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586CA" w14:textId="77777777" w:rsidR="00B40844" w:rsidRPr="004A5618" w:rsidRDefault="00B40844" w:rsidP="004358E2">
      <w:pPr>
        <w:spacing w:after="0" w:line="360" w:lineRule="auto"/>
        <w:jc w:val="center"/>
        <w:rPr>
          <w:rFonts w:ascii="Arial" w:hAnsi="Arial" w:cs="Arial"/>
          <w:b/>
          <w:sz w:val="24"/>
          <w:szCs w:val="24"/>
        </w:rPr>
      </w:pPr>
      <w:r w:rsidRPr="004A5618">
        <w:rPr>
          <w:rFonts w:ascii="Arial" w:hAnsi="Arial" w:cs="Arial"/>
          <w:b/>
          <w:sz w:val="24"/>
          <w:szCs w:val="24"/>
        </w:rPr>
        <w:t>REPUBLIC OF NAMIBIA</w:t>
      </w:r>
    </w:p>
    <w:p w14:paraId="77E0E4BF" w14:textId="77777777" w:rsidR="00B40844" w:rsidRPr="004A5618" w:rsidRDefault="00B40844" w:rsidP="00B40844">
      <w:pPr>
        <w:spacing w:after="0" w:line="360" w:lineRule="auto"/>
        <w:jc w:val="both"/>
        <w:rPr>
          <w:rFonts w:ascii="Arial Narrow" w:hAnsi="Arial Narrow"/>
          <w:sz w:val="10"/>
          <w:szCs w:val="10"/>
        </w:rPr>
      </w:pPr>
      <w:r w:rsidRPr="004A5618">
        <w:rPr>
          <w:noProof/>
          <w:lang w:val="en-ZA" w:eastAsia="en-ZA"/>
        </w:rPr>
        <w:drawing>
          <wp:anchor distT="0" distB="0" distL="114300" distR="114300" simplePos="0" relativeHeight="251659264" behindDoc="0" locked="0" layoutInCell="1" allowOverlap="1" wp14:anchorId="7662C4DF" wp14:editId="06EAD38D">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618">
        <w:rPr>
          <w:rFonts w:ascii="Arial Narrow" w:hAnsi="Arial Narrow"/>
          <w:b/>
          <w:sz w:val="32"/>
          <w:szCs w:val="32"/>
        </w:rPr>
        <w:br w:type="textWrapping" w:clear="all"/>
      </w:r>
    </w:p>
    <w:p w14:paraId="09B46CD9" w14:textId="77777777" w:rsidR="00B40844" w:rsidRPr="004A5618" w:rsidRDefault="00B40844" w:rsidP="00B40844">
      <w:pPr>
        <w:spacing w:after="0" w:line="360" w:lineRule="auto"/>
        <w:jc w:val="center"/>
        <w:rPr>
          <w:rFonts w:ascii="Arial" w:hAnsi="Arial" w:cs="Arial"/>
          <w:bCs/>
          <w:sz w:val="24"/>
          <w:szCs w:val="24"/>
        </w:rPr>
      </w:pPr>
      <w:r w:rsidRPr="004A5618">
        <w:rPr>
          <w:rFonts w:ascii="Arial" w:hAnsi="Arial" w:cs="Arial"/>
          <w:b/>
          <w:sz w:val="24"/>
          <w:szCs w:val="24"/>
        </w:rPr>
        <w:t>HIGH COURT OF NAMIBIA MAIN DIVISION, WINDHOEK</w:t>
      </w:r>
    </w:p>
    <w:p w14:paraId="69C0853D" w14:textId="77777777" w:rsidR="00B40844" w:rsidRPr="004A5618" w:rsidRDefault="00B40844" w:rsidP="00B40844">
      <w:pPr>
        <w:spacing w:after="0" w:line="360" w:lineRule="auto"/>
        <w:jc w:val="center"/>
        <w:rPr>
          <w:rFonts w:ascii="Arial" w:hAnsi="Arial" w:cs="Arial"/>
          <w:b/>
          <w:sz w:val="14"/>
          <w:szCs w:val="14"/>
        </w:rPr>
      </w:pPr>
    </w:p>
    <w:p w14:paraId="19C46F25" w14:textId="77777777" w:rsidR="00B40844" w:rsidRDefault="008006A3" w:rsidP="00B40844">
      <w:pPr>
        <w:spacing w:after="0" w:line="360" w:lineRule="auto"/>
        <w:jc w:val="center"/>
        <w:rPr>
          <w:rFonts w:ascii="Arial" w:hAnsi="Arial" w:cs="Arial"/>
          <w:b/>
          <w:sz w:val="24"/>
          <w:szCs w:val="24"/>
        </w:rPr>
      </w:pPr>
      <w:r w:rsidRPr="004A5618">
        <w:rPr>
          <w:rFonts w:ascii="Arial" w:hAnsi="Arial" w:cs="Arial"/>
          <w:b/>
          <w:sz w:val="24"/>
          <w:szCs w:val="24"/>
        </w:rPr>
        <w:t>RULING</w:t>
      </w:r>
    </w:p>
    <w:p w14:paraId="321BC1AB" w14:textId="77777777" w:rsidR="00222067" w:rsidRPr="004A5618" w:rsidRDefault="00222067" w:rsidP="00B40844">
      <w:pPr>
        <w:spacing w:after="0" w:line="360" w:lineRule="auto"/>
        <w:jc w:val="center"/>
        <w:rPr>
          <w:rFonts w:ascii="Arial" w:hAnsi="Arial" w:cs="Arial"/>
          <w:b/>
          <w:sz w:val="24"/>
          <w:szCs w:val="24"/>
        </w:rPr>
      </w:pPr>
    </w:p>
    <w:p w14:paraId="1FE8AD31" w14:textId="0160B8F1" w:rsidR="00D965B8" w:rsidRPr="004A5618" w:rsidRDefault="00D965B8" w:rsidP="00B40844">
      <w:pPr>
        <w:spacing w:after="0" w:line="360" w:lineRule="auto"/>
        <w:jc w:val="center"/>
        <w:rPr>
          <w:rFonts w:ascii="Arial" w:hAnsi="Arial" w:cs="Arial"/>
          <w:b/>
          <w:sz w:val="24"/>
          <w:szCs w:val="24"/>
        </w:rPr>
      </w:pPr>
      <w:r w:rsidRPr="004A5618">
        <w:rPr>
          <w:rFonts w:ascii="Arial" w:hAnsi="Arial" w:cs="Arial"/>
          <w:b/>
          <w:sz w:val="24"/>
          <w:szCs w:val="24"/>
        </w:rPr>
        <w:t>PRACTICE DIRECTI</w:t>
      </w:r>
      <w:r w:rsidR="00222067">
        <w:rPr>
          <w:rFonts w:ascii="Arial" w:hAnsi="Arial" w:cs="Arial"/>
          <w:b/>
          <w:sz w:val="24"/>
          <w:szCs w:val="24"/>
        </w:rPr>
        <w:t>ON</w:t>
      </w:r>
      <w:r w:rsidRPr="004A5618">
        <w:rPr>
          <w:rFonts w:ascii="Arial" w:hAnsi="Arial" w:cs="Arial"/>
          <w:b/>
          <w:sz w:val="24"/>
          <w:szCs w:val="24"/>
        </w:rPr>
        <w:t xml:space="preserve"> 61</w:t>
      </w:r>
    </w:p>
    <w:p w14:paraId="3C4906F8" w14:textId="77777777" w:rsidR="00B40844" w:rsidRPr="004A5618" w:rsidRDefault="00B40844" w:rsidP="00B40844">
      <w:pPr>
        <w:spacing w:after="0" w:line="360" w:lineRule="auto"/>
        <w:jc w:val="both"/>
        <w:rPr>
          <w:rFonts w:ascii="Arial" w:hAnsi="Arial" w:cs="Arial"/>
          <w:sz w:val="24"/>
          <w:szCs w:val="24"/>
        </w:rPr>
      </w:pPr>
    </w:p>
    <w:tbl>
      <w:tblPr>
        <w:tblStyle w:val="TableGrid"/>
        <w:tblW w:w="10206" w:type="dxa"/>
        <w:tblInd w:w="-572" w:type="dxa"/>
        <w:tblLook w:val="04A0" w:firstRow="1" w:lastRow="0" w:firstColumn="1" w:lastColumn="0" w:noHBand="0" w:noVBand="1"/>
      </w:tblPr>
      <w:tblGrid>
        <w:gridCol w:w="4770"/>
        <w:gridCol w:w="462"/>
        <w:gridCol w:w="4974"/>
      </w:tblGrid>
      <w:tr w:rsidR="00CA7995" w:rsidRPr="004A5618" w14:paraId="54B0706B" w14:textId="77777777" w:rsidTr="00136505">
        <w:trPr>
          <w:trHeight w:val="997"/>
        </w:trPr>
        <w:tc>
          <w:tcPr>
            <w:tcW w:w="5232" w:type="dxa"/>
            <w:gridSpan w:val="2"/>
            <w:vMerge w:val="restart"/>
          </w:tcPr>
          <w:p w14:paraId="589D2D96"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b/>
                <w:sz w:val="24"/>
                <w:szCs w:val="24"/>
              </w:rPr>
              <w:t>Case Title:</w:t>
            </w:r>
          </w:p>
          <w:p w14:paraId="20EAB700" w14:textId="579BE89C" w:rsidR="00B40844" w:rsidRPr="00562E95" w:rsidRDefault="00562E95" w:rsidP="00516C5A">
            <w:pPr>
              <w:jc w:val="both"/>
              <w:rPr>
                <w:rFonts w:ascii="Arial" w:hAnsi="Arial" w:cs="Arial"/>
                <w:sz w:val="24"/>
                <w:szCs w:val="24"/>
              </w:rPr>
            </w:pPr>
            <w:r w:rsidRPr="00562E95">
              <w:rPr>
                <w:rFonts w:ascii="Arial" w:hAnsi="Arial" w:cs="Arial"/>
                <w:sz w:val="24"/>
                <w:szCs w:val="24"/>
              </w:rPr>
              <w:t xml:space="preserve">GRAND DESIGN INVESTMENT (PTY) LTD &amp; </w:t>
            </w:r>
            <w:r w:rsidR="00516C5A">
              <w:rPr>
                <w:rFonts w:ascii="Arial" w:hAnsi="Arial" w:cs="Arial"/>
                <w:sz w:val="24"/>
                <w:szCs w:val="24"/>
              </w:rPr>
              <w:t>ANOTHER</w:t>
            </w:r>
            <w:r w:rsidR="00602C25" w:rsidRPr="00562E95">
              <w:rPr>
                <w:rFonts w:ascii="Arial" w:hAnsi="Arial" w:cs="Arial"/>
                <w:sz w:val="24"/>
                <w:szCs w:val="24"/>
              </w:rPr>
              <w:t xml:space="preserve"> </w:t>
            </w:r>
            <w:r w:rsidR="00136505" w:rsidRPr="00562E95">
              <w:rPr>
                <w:rFonts w:ascii="Arial" w:hAnsi="Arial" w:cs="Arial"/>
                <w:sz w:val="24"/>
                <w:szCs w:val="24"/>
                <w:shd w:val="clear" w:color="auto" w:fill="FFFFFF"/>
              </w:rPr>
              <w:t xml:space="preserve">// </w:t>
            </w:r>
            <w:r w:rsidRPr="00562E95">
              <w:rPr>
                <w:rFonts w:ascii="Arial" w:hAnsi="Arial" w:cs="Arial"/>
                <w:sz w:val="24"/>
                <w:szCs w:val="24"/>
              </w:rPr>
              <w:t>DEPUTY SHERIFF MARIENTAL (ANDRIES PRETORIUS)</w:t>
            </w:r>
            <w:r w:rsidR="00FE0A83" w:rsidRPr="00562E95">
              <w:rPr>
                <w:rFonts w:ascii="Arial" w:hAnsi="Arial" w:cs="Arial"/>
                <w:sz w:val="24"/>
                <w:szCs w:val="24"/>
              </w:rPr>
              <w:t xml:space="preserve"> &amp; </w:t>
            </w:r>
            <w:r w:rsidRPr="00562E95">
              <w:rPr>
                <w:rFonts w:ascii="Arial" w:hAnsi="Arial" w:cs="Arial"/>
                <w:sz w:val="24"/>
                <w:szCs w:val="24"/>
              </w:rPr>
              <w:t xml:space="preserve">4 </w:t>
            </w:r>
            <w:r w:rsidR="00D3397A" w:rsidRPr="00562E95">
              <w:rPr>
                <w:rFonts w:ascii="Arial" w:hAnsi="Arial" w:cs="Arial"/>
                <w:sz w:val="24"/>
                <w:szCs w:val="24"/>
              </w:rPr>
              <w:t>OTHER</w:t>
            </w:r>
            <w:r w:rsidRPr="00562E95">
              <w:rPr>
                <w:rFonts w:ascii="Arial" w:hAnsi="Arial" w:cs="Arial"/>
                <w:sz w:val="24"/>
                <w:szCs w:val="24"/>
              </w:rPr>
              <w:t>S</w:t>
            </w:r>
          </w:p>
        </w:tc>
        <w:tc>
          <w:tcPr>
            <w:tcW w:w="4974" w:type="dxa"/>
          </w:tcPr>
          <w:p w14:paraId="677B36DE"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Case No:</w:t>
            </w:r>
          </w:p>
          <w:p w14:paraId="7CF4C181" w14:textId="56714A94" w:rsidR="00865F37" w:rsidRPr="00562E95" w:rsidRDefault="00562E95" w:rsidP="00937C89">
            <w:pPr>
              <w:spacing w:line="360" w:lineRule="auto"/>
              <w:jc w:val="both"/>
              <w:rPr>
                <w:rFonts w:ascii="Arial" w:hAnsi="Arial" w:cs="Arial"/>
                <w:sz w:val="24"/>
                <w:szCs w:val="24"/>
              </w:rPr>
            </w:pPr>
            <w:r w:rsidRPr="00562E95">
              <w:rPr>
                <w:rFonts w:ascii="Arial" w:hAnsi="Arial" w:cs="Arial"/>
                <w:sz w:val="24"/>
                <w:szCs w:val="24"/>
              </w:rPr>
              <w:t>HC-MD-CIV-MOT-REV-2020/00342</w:t>
            </w:r>
          </w:p>
        </w:tc>
      </w:tr>
      <w:tr w:rsidR="00CA7995" w:rsidRPr="004A5618" w14:paraId="166013AA" w14:textId="77777777" w:rsidTr="00136505">
        <w:trPr>
          <w:trHeight w:val="968"/>
        </w:trPr>
        <w:tc>
          <w:tcPr>
            <w:tcW w:w="5232" w:type="dxa"/>
            <w:gridSpan w:val="2"/>
            <w:vMerge/>
          </w:tcPr>
          <w:p w14:paraId="0FD58AC5" w14:textId="77777777" w:rsidR="00B40844" w:rsidRPr="004A5618" w:rsidRDefault="00B40844" w:rsidP="00937C89">
            <w:pPr>
              <w:spacing w:line="360" w:lineRule="auto"/>
              <w:jc w:val="both"/>
              <w:rPr>
                <w:rFonts w:ascii="Arial" w:hAnsi="Arial" w:cs="Arial"/>
                <w:sz w:val="24"/>
                <w:szCs w:val="24"/>
              </w:rPr>
            </w:pPr>
          </w:p>
        </w:tc>
        <w:tc>
          <w:tcPr>
            <w:tcW w:w="4974" w:type="dxa"/>
          </w:tcPr>
          <w:p w14:paraId="0E396F80"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b/>
                <w:sz w:val="24"/>
                <w:szCs w:val="24"/>
              </w:rPr>
              <w:t>Division of Court:</w:t>
            </w:r>
          </w:p>
          <w:p w14:paraId="4C77435D"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sz w:val="24"/>
                <w:szCs w:val="24"/>
              </w:rPr>
              <w:t>HIGH COURT (MAIN DIVISION)</w:t>
            </w:r>
          </w:p>
        </w:tc>
      </w:tr>
      <w:tr w:rsidR="00CA7995" w:rsidRPr="004A5618" w14:paraId="0BF47252" w14:textId="77777777" w:rsidTr="00136505">
        <w:trPr>
          <w:trHeight w:val="965"/>
        </w:trPr>
        <w:tc>
          <w:tcPr>
            <w:tcW w:w="5232" w:type="dxa"/>
            <w:gridSpan w:val="2"/>
            <w:vMerge w:val="restart"/>
          </w:tcPr>
          <w:p w14:paraId="7EDF222B"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Heard before:</w:t>
            </w:r>
          </w:p>
          <w:p w14:paraId="512EBB6A" w14:textId="77777777" w:rsidR="00B40844" w:rsidRPr="004A5618" w:rsidRDefault="00B40844" w:rsidP="00136505">
            <w:pPr>
              <w:spacing w:line="360" w:lineRule="auto"/>
              <w:jc w:val="both"/>
              <w:rPr>
                <w:rFonts w:ascii="Arial" w:hAnsi="Arial" w:cs="Arial"/>
                <w:sz w:val="24"/>
                <w:szCs w:val="24"/>
              </w:rPr>
            </w:pPr>
            <w:r w:rsidRPr="004A5618">
              <w:rPr>
                <w:rFonts w:ascii="Arial" w:hAnsi="Arial" w:cs="Arial"/>
                <w:sz w:val="24"/>
                <w:szCs w:val="24"/>
              </w:rPr>
              <w:t xml:space="preserve">HONOURABLE MR JUSTICE </w:t>
            </w:r>
            <w:r w:rsidR="00136505" w:rsidRPr="004A5618">
              <w:rPr>
                <w:rFonts w:ascii="Arial" w:hAnsi="Arial" w:cs="Arial"/>
                <w:sz w:val="24"/>
                <w:szCs w:val="24"/>
              </w:rPr>
              <w:t>PARKER</w:t>
            </w:r>
            <w:r w:rsidRPr="004A5618">
              <w:rPr>
                <w:rFonts w:ascii="Arial" w:hAnsi="Arial" w:cs="Arial"/>
                <w:sz w:val="24"/>
                <w:szCs w:val="24"/>
              </w:rPr>
              <w:t xml:space="preserve">, </w:t>
            </w:r>
            <w:r w:rsidR="00136505" w:rsidRPr="004A5618">
              <w:rPr>
                <w:rFonts w:ascii="Arial" w:hAnsi="Arial" w:cs="Arial"/>
                <w:sz w:val="24"/>
                <w:szCs w:val="24"/>
              </w:rPr>
              <w:t>ACTING</w:t>
            </w:r>
          </w:p>
        </w:tc>
        <w:tc>
          <w:tcPr>
            <w:tcW w:w="4974" w:type="dxa"/>
          </w:tcPr>
          <w:p w14:paraId="08D8ABA6" w14:textId="1457129D" w:rsidR="00B40844" w:rsidRPr="004A5618" w:rsidRDefault="0080318F" w:rsidP="00937C89">
            <w:pPr>
              <w:spacing w:line="360" w:lineRule="auto"/>
              <w:jc w:val="both"/>
              <w:rPr>
                <w:rFonts w:ascii="Arial" w:hAnsi="Arial" w:cs="Arial"/>
                <w:b/>
                <w:sz w:val="24"/>
                <w:szCs w:val="24"/>
              </w:rPr>
            </w:pPr>
            <w:r>
              <w:rPr>
                <w:rFonts w:ascii="Arial" w:hAnsi="Arial" w:cs="Arial"/>
                <w:b/>
                <w:sz w:val="24"/>
                <w:szCs w:val="24"/>
              </w:rPr>
              <w:t>H</w:t>
            </w:r>
            <w:r w:rsidR="00DE1990">
              <w:rPr>
                <w:rFonts w:ascii="Arial" w:hAnsi="Arial" w:cs="Arial"/>
                <w:b/>
                <w:sz w:val="24"/>
                <w:szCs w:val="24"/>
              </w:rPr>
              <w:t>eard</w:t>
            </w:r>
            <w:r>
              <w:rPr>
                <w:rFonts w:ascii="Arial" w:hAnsi="Arial" w:cs="Arial"/>
                <w:b/>
                <w:sz w:val="24"/>
                <w:szCs w:val="24"/>
              </w:rPr>
              <w:t xml:space="preserve"> on</w:t>
            </w:r>
            <w:r w:rsidR="00B40844" w:rsidRPr="004A5618">
              <w:rPr>
                <w:rFonts w:ascii="Arial" w:hAnsi="Arial" w:cs="Arial"/>
                <w:b/>
                <w:sz w:val="24"/>
                <w:szCs w:val="24"/>
              </w:rPr>
              <w:t>:</w:t>
            </w:r>
          </w:p>
          <w:p w14:paraId="7B3DC67C" w14:textId="4C1B35B1" w:rsidR="00B40844" w:rsidRPr="004A5618" w:rsidRDefault="00562E95" w:rsidP="00562E95">
            <w:pPr>
              <w:spacing w:line="360" w:lineRule="auto"/>
              <w:jc w:val="both"/>
              <w:rPr>
                <w:rFonts w:ascii="Arial" w:hAnsi="Arial" w:cs="Arial"/>
                <w:sz w:val="24"/>
                <w:szCs w:val="24"/>
              </w:rPr>
            </w:pPr>
            <w:r>
              <w:rPr>
                <w:rFonts w:ascii="Arial" w:hAnsi="Arial" w:cs="Arial"/>
                <w:sz w:val="24"/>
                <w:szCs w:val="24"/>
              </w:rPr>
              <w:t>15</w:t>
            </w:r>
            <w:r w:rsidR="00C2633E" w:rsidRPr="004A5618">
              <w:rPr>
                <w:rFonts w:ascii="Arial" w:hAnsi="Arial" w:cs="Arial"/>
                <w:sz w:val="24"/>
                <w:szCs w:val="24"/>
              </w:rPr>
              <w:t xml:space="preserve"> </w:t>
            </w:r>
            <w:r>
              <w:rPr>
                <w:rFonts w:ascii="Arial" w:hAnsi="Arial" w:cs="Arial"/>
                <w:sz w:val="24"/>
                <w:szCs w:val="24"/>
              </w:rPr>
              <w:t>AUGUST</w:t>
            </w:r>
            <w:r w:rsidR="00B40844" w:rsidRPr="004A5618">
              <w:rPr>
                <w:rFonts w:ascii="Arial" w:hAnsi="Arial" w:cs="Arial"/>
                <w:sz w:val="24"/>
                <w:szCs w:val="24"/>
              </w:rPr>
              <w:t xml:space="preserve"> 202</w:t>
            </w:r>
            <w:r w:rsidR="00C2633E" w:rsidRPr="004A5618">
              <w:rPr>
                <w:rFonts w:ascii="Arial" w:hAnsi="Arial" w:cs="Arial"/>
                <w:sz w:val="24"/>
                <w:szCs w:val="24"/>
              </w:rPr>
              <w:t>3</w:t>
            </w:r>
          </w:p>
        </w:tc>
      </w:tr>
      <w:tr w:rsidR="00CA7995" w:rsidRPr="004A5618" w14:paraId="751064C1" w14:textId="77777777" w:rsidTr="00136505">
        <w:trPr>
          <w:trHeight w:val="991"/>
        </w:trPr>
        <w:tc>
          <w:tcPr>
            <w:tcW w:w="5232" w:type="dxa"/>
            <w:gridSpan w:val="2"/>
            <w:vMerge/>
          </w:tcPr>
          <w:p w14:paraId="3BD25D3A" w14:textId="77777777" w:rsidR="00B40844" w:rsidRPr="004A5618" w:rsidRDefault="00B40844" w:rsidP="00937C89">
            <w:pPr>
              <w:spacing w:line="360" w:lineRule="auto"/>
              <w:jc w:val="both"/>
              <w:rPr>
                <w:rFonts w:ascii="Arial" w:hAnsi="Arial" w:cs="Arial"/>
                <w:b/>
                <w:sz w:val="24"/>
                <w:szCs w:val="24"/>
              </w:rPr>
            </w:pPr>
          </w:p>
        </w:tc>
        <w:tc>
          <w:tcPr>
            <w:tcW w:w="4974" w:type="dxa"/>
          </w:tcPr>
          <w:p w14:paraId="104F3EB5"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Delivered on:</w:t>
            </w:r>
          </w:p>
          <w:p w14:paraId="4B2567EA" w14:textId="347B5F5A" w:rsidR="00B40844" w:rsidRPr="004A5618" w:rsidRDefault="00562E95" w:rsidP="00562E95">
            <w:pPr>
              <w:spacing w:line="360" w:lineRule="auto"/>
              <w:jc w:val="both"/>
              <w:rPr>
                <w:rFonts w:ascii="Arial" w:hAnsi="Arial" w:cs="Arial"/>
                <w:b/>
                <w:sz w:val="24"/>
                <w:szCs w:val="24"/>
              </w:rPr>
            </w:pPr>
            <w:r>
              <w:rPr>
                <w:rFonts w:ascii="Arial" w:hAnsi="Arial" w:cs="Arial"/>
                <w:sz w:val="24"/>
                <w:szCs w:val="24"/>
              </w:rPr>
              <w:t>25</w:t>
            </w:r>
            <w:r w:rsidR="00136505" w:rsidRPr="004A5618">
              <w:rPr>
                <w:rFonts w:ascii="Arial" w:hAnsi="Arial" w:cs="Arial"/>
                <w:sz w:val="24"/>
                <w:szCs w:val="24"/>
              </w:rPr>
              <w:t xml:space="preserve"> </w:t>
            </w:r>
            <w:r>
              <w:rPr>
                <w:rFonts w:ascii="Arial" w:hAnsi="Arial" w:cs="Arial"/>
                <w:sz w:val="24"/>
                <w:szCs w:val="24"/>
              </w:rPr>
              <w:t>OCTOBER</w:t>
            </w:r>
            <w:r w:rsidR="00B40844" w:rsidRPr="004A5618">
              <w:rPr>
                <w:rFonts w:ascii="Arial" w:hAnsi="Arial" w:cs="Arial"/>
                <w:sz w:val="24"/>
                <w:szCs w:val="24"/>
              </w:rPr>
              <w:t xml:space="preserve"> 202</w:t>
            </w:r>
            <w:r w:rsidR="00C2633E" w:rsidRPr="004A5618">
              <w:rPr>
                <w:rFonts w:ascii="Arial" w:hAnsi="Arial" w:cs="Arial"/>
                <w:sz w:val="24"/>
                <w:szCs w:val="24"/>
              </w:rPr>
              <w:t>3</w:t>
            </w:r>
          </w:p>
        </w:tc>
      </w:tr>
      <w:tr w:rsidR="00CA7995" w:rsidRPr="004A5618" w14:paraId="51AC7992" w14:textId="77777777" w:rsidTr="00222067">
        <w:trPr>
          <w:trHeight w:val="998"/>
        </w:trPr>
        <w:tc>
          <w:tcPr>
            <w:tcW w:w="10206" w:type="dxa"/>
            <w:gridSpan w:val="3"/>
          </w:tcPr>
          <w:p w14:paraId="10F63DC5" w14:textId="7E2EA862" w:rsidR="00B40844" w:rsidRPr="004A5618" w:rsidRDefault="00B40844" w:rsidP="00E727DB">
            <w:pPr>
              <w:spacing w:line="360" w:lineRule="auto"/>
              <w:ind w:left="2160" w:hanging="2127"/>
              <w:jc w:val="both"/>
              <w:rPr>
                <w:rFonts w:ascii="Arial" w:hAnsi="Arial" w:cs="Arial"/>
                <w:sz w:val="24"/>
                <w:szCs w:val="24"/>
              </w:rPr>
            </w:pPr>
            <w:r w:rsidRPr="004A5618">
              <w:rPr>
                <w:rFonts w:ascii="Arial" w:hAnsi="Arial" w:cs="Arial"/>
                <w:b/>
                <w:sz w:val="24"/>
                <w:szCs w:val="24"/>
              </w:rPr>
              <w:t xml:space="preserve">Neutral citation: </w:t>
            </w:r>
            <w:r w:rsidR="004E3BFB" w:rsidRPr="004A5618">
              <w:rPr>
                <w:rFonts w:ascii="Arial" w:hAnsi="Arial" w:cs="Arial"/>
                <w:b/>
                <w:sz w:val="24"/>
                <w:szCs w:val="24"/>
              </w:rPr>
              <w:t xml:space="preserve"> </w:t>
            </w:r>
            <w:r w:rsidR="00562E95">
              <w:rPr>
                <w:rFonts w:ascii="Arial" w:hAnsi="Arial" w:cs="Arial"/>
                <w:i/>
                <w:sz w:val="24"/>
                <w:szCs w:val="24"/>
              </w:rPr>
              <w:t>G</w:t>
            </w:r>
            <w:r w:rsidR="00562E95" w:rsidRPr="00562E95">
              <w:rPr>
                <w:rFonts w:ascii="Arial" w:hAnsi="Arial" w:cs="Arial"/>
                <w:i/>
                <w:sz w:val="24"/>
                <w:szCs w:val="24"/>
              </w:rPr>
              <w:t xml:space="preserve">rand </w:t>
            </w:r>
            <w:r w:rsidR="00562E95">
              <w:rPr>
                <w:rFonts w:ascii="Arial" w:hAnsi="Arial" w:cs="Arial"/>
                <w:i/>
                <w:sz w:val="24"/>
                <w:szCs w:val="24"/>
              </w:rPr>
              <w:t>D</w:t>
            </w:r>
            <w:r w:rsidR="00562E95" w:rsidRPr="00562E95">
              <w:rPr>
                <w:rFonts w:ascii="Arial" w:hAnsi="Arial" w:cs="Arial"/>
                <w:i/>
                <w:sz w:val="24"/>
                <w:szCs w:val="24"/>
              </w:rPr>
              <w:t xml:space="preserve">esign </w:t>
            </w:r>
            <w:r w:rsidR="00562E95">
              <w:rPr>
                <w:rFonts w:ascii="Arial" w:hAnsi="Arial" w:cs="Arial"/>
                <w:i/>
                <w:sz w:val="24"/>
                <w:szCs w:val="24"/>
              </w:rPr>
              <w:t>I</w:t>
            </w:r>
            <w:r w:rsidR="00562E95" w:rsidRPr="00562E95">
              <w:rPr>
                <w:rFonts w:ascii="Arial" w:hAnsi="Arial" w:cs="Arial"/>
                <w:i/>
                <w:sz w:val="24"/>
                <w:szCs w:val="24"/>
              </w:rPr>
              <w:t>nvestment (</w:t>
            </w:r>
            <w:r w:rsidR="00562E95">
              <w:rPr>
                <w:rFonts w:ascii="Arial" w:hAnsi="Arial" w:cs="Arial"/>
                <w:i/>
                <w:sz w:val="24"/>
                <w:szCs w:val="24"/>
              </w:rPr>
              <w:t>P</w:t>
            </w:r>
            <w:r w:rsidR="00562E95" w:rsidRPr="00562E95">
              <w:rPr>
                <w:rFonts w:ascii="Arial" w:hAnsi="Arial" w:cs="Arial"/>
                <w:i/>
                <w:sz w:val="24"/>
                <w:szCs w:val="24"/>
              </w:rPr>
              <w:t xml:space="preserve">ty) </w:t>
            </w:r>
            <w:r w:rsidR="00562E95">
              <w:rPr>
                <w:rFonts w:ascii="Arial" w:hAnsi="Arial" w:cs="Arial"/>
                <w:i/>
                <w:sz w:val="24"/>
                <w:szCs w:val="24"/>
              </w:rPr>
              <w:t>L</w:t>
            </w:r>
            <w:r w:rsidR="00562E95" w:rsidRPr="00562E95">
              <w:rPr>
                <w:rFonts w:ascii="Arial" w:hAnsi="Arial" w:cs="Arial"/>
                <w:i/>
                <w:sz w:val="24"/>
                <w:szCs w:val="24"/>
              </w:rPr>
              <w:t>td</w:t>
            </w:r>
            <w:r w:rsidR="00D3397A" w:rsidRPr="00D3397A">
              <w:rPr>
                <w:rFonts w:ascii="Arial" w:hAnsi="Arial" w:cs="Arial"/>
                <w:i/>
                <w:sz w:val="24"/>
                <w:szCs w:val="24"/>
                <w:shd w:val="clear" w:color="auto" w:fill="FFFFFF"/>
              </w:rPr>
              <w:t xml:space="preserve"> v </w:t>
            </w:r>
            <w:r w:rsidR="00562E95">
              <w:rPr>
                <w:rFonts w:ascii="Arial" w:hAnsi="Arial" w:cs="Arial"/>
                <w:i/>
                <w:sz w:val="24"/>
                <w:szCs w:val="24"/>
              </w:rPr>
              <w:t>D</w:t>
            </w:r>
            <w:r w:rsidR="00562E95" w:rsidRPr="00562E95">
              <w:rPr>
                <w:rFonts w:ascii="Arial" w:hAnsi="Arial" w:cs="Arial"/>
                <w:i/>
                <w:sz w:val="24"/>
                <w:szCs w:val="24"/>
              </w:rPr>
              <w:t xml:space="preserve">eputy </w:t>
            </w:r>
            <w:r w:rsidR="00562E95">
              <w:rPr>
                <w:rFonts w:ascii="Arial" w:hAnsi="Arial" w:cs="Arial"/>
                <w:i/>
                <w:sz w:val="24"/>
                <w:szCs w:val="24"/>
              </w:rPr>
              <w:t>S</w:t>
            </w:r>
            <w:r w:rsidR="00562E95" w:rsidRPr="00562E95">
              <w:rPr>
                <w:rFonts w:ascii="Arial" w:hAnsi="Arial" w:cs="Arial"/>
                <w:i/>
                <w:sz w:val="24"/>
                <w:szCs w:val="24"/>
              </w:rPr>
              <w:t xml:space="preserve">heriff </w:t>
            </w:r>
            <w:r w:rsidR="00562E95">
              <w:rPr>
                <w:rFonts w:ascii="Arial" w:hAnsi="Arial" w:cs="Arial"/>
                <w:i/>
                <w:sz w:val="24"/>
                <w:szCs w:val="24"/>
              </w:rPr>
              <w:t>M</w:t>
            </w:r>
            <w:r w:rsidR="00562E95" w:rsidRPr="00562E95">
              <w:rPr>
                <w:rFonts w:ascii="Arial" w:hAnsi="Arial" w:cs="Arial"/>
                <w:i/>
                <w:sz w:val="24"/>
                <w:szCs w:val="24"/>
              </w:rPr>
              <w:t>ariental (</w:t>
            </w:r>
            <w:r w:rsidR="00562E95">
              <w:rPr>
                <w:rFonts w:ascii="Arial" w:hAnsi="Arial" w:cs="Arial"/>
                <w:i/>
                <w:sz w:val="24"/>
                <w:szCs w:val="24"/>
              </w:rPr>
              <w:t>A</w:t>
            </w:r>
            <w:r w:rsidR="00562E95" w:rsidRPr="00562E95">
              <w:rPr>
                <w:rFonts w:ascii="Arial" w:hAnsi="Arial" w:cs="Arial"/>
                <w:i/>
                <w:sz w:val="24"/>
                <w:szCs w:val="24"/>
              </w:rPr>
              <w:t xml:space="preserve">ndries </w:t>
            </w:r>
            <w:r w:rsidR="00562E95">
              <w:rPr>
                <w:rFonts w:ascii="Arial" w:hAnsi="Arial" w:cs="Arial"/>
                <w:i/>
                <w:sz w:val="24"/>
                <w:szCs w:val="24"/>
              </w:rPr>
              <w:t>P</w:t>
            </w:r>
            <w:r w:rsidR="00562E95" w:rsidRPr="00562E95">
              <w:rPr>
                <w:rFonts w:ascii="Arial" w:hAnsi="Arial" w:cs="Arial"/>
                <w:i/>
                <w:sz w:val="24"/>
                <w:szCs w:val="24"/>
              </w:rPr>
              <w:t>retorius)</w:t>
            </w:r>
            <w:r w:rsidRPr="004A5618">
              <w:rPr>
                <w:rFonts w:ascii="Arial" w:hAnsi="Arial" w:cs="Arial"/>
                <w:sz w:val="24"/>
                <w:szCs w:val="24"/>
              </w:rPr>
              <w:t xml:space="preserve"> (</w:t>
            </w:r>
            <w:r w:rsidR="00562E95" w:rsidRPr="00562E95">
              <w:rPr>
                <w:rFonts w:ascii="Arial" w:hAnsi="Arial" w:cs="Arial"/>
                <w:sz w:val="24"/>
                <w:szCs w:val="24"/>
              </w:rPr>
              <w:t>HC-MD-CIV-MOT-REV-2020/00342</w:t>
            </w:r>
            <w:r w:rsidRPr="004A5618">
              <w:rPr>
                <w:rFonts w:ascii="Arial" w:hAnsi="Arial" w:cs="Arial"/>
                <w:sz w:val="24"/>
                <w:szCs w:val="24"/>
              </w:rPr>
              <w:t>)</w:t>
            </w:r>
            <w:r w:rsidRPr="004A5618">
              <w:rPr>
                <w:rFonts w:ascii="Arial" w:hAnsi="Arial" w:cs="Arial"/>
                <w:b/>
                <w:sz w:val="24"/>
                <w:szCs w:val="24"/>
              </w:rPr>
              <w:t xml:space="preserve"> </w:t>
            </w:r>
            <w:r w:rsidRPr="004A5618">
              <w:rPr>
                <w:rFonts w:ascii="Arial" w:hAnsi="Arial" w:cs="Arial"/>
                <w:sz w:val="24"/>
                <w:szCs w:val="24"/>
              </w:rPr>
              <w:t>[202</w:t>
            </w:r>
            <w:r w:rsidR="00B47800" w:rsidRPr="004A5618">
              <w:rPr>
                <w:rFonts w:ascii="Arial" w:hAnsi="Arial" w:cs="Arial"/>
                <w:sz w:val="24"/>
                <w:szCs w:val="24"/>
              </w:rPr>
              <w:t>3</w:t>
            </w:r>
            <w:r w:rsidRPr="004A5618">
              <w:rPr>
                <w:rFonts w:ascii="Arial" w:hAnsi="Arial" w:cs="Arial"/>
                <w:sz w:val="24"/>
                <w:szCs w:val="24"/>
              </w:rPr>
              <w:t xml:space="preserve">] NAHCMD </w:t>
            </w:r>
            <w:r w:rsidR="00E727DB">
              <w:rPr>
                <w:rFonts w:ascii="Arial" w:hAnsi="Arial" w:cs="Arial"/>
                <w:sz w:val="24"/>
                <w:szCs w:val="24"/>
              </w:rPr>
              <w:t>677</w:t>
            </w:r>
            <w:bookmarkStart w:id="0" w:name="_GoBack"/>
            <w:bookmarkEnd w:id="0"/>
            <w:r w:rsidRPr="004A5618">
              <w:rPr>
                <w:rFonts w:ascii="Arial" w:hAnsi="Arial" w:cs="Arial"/>
                <w:sz w:val="24"/>
                <w:szCs w:val="24"/>
              </w:rPr>
              <w:t xml:space="preserve"> (</w:t>
            </w:r>
            <w:r w:rsidR="00562E95">
              <w:rPr>
                <w:rFonts w:ascii="Arial" w:hAnsi="Arial" w:cs="Arial"/>
                <w:sz w:val="24"/>
                <w:szCs w:val="24"/>
              </w:rPr>
              <w:t>25</w:t>
            </w:r>
            <w:r w:rsidR="00136505" w:rsidRPr="004A5618">
              <w:rPr>
                <w:rFonts w:ascii="Arial" w:hAnsi="Arial" w:cs="Arial"/>
                <w:sz w:val="24"/>
                <w:szCs w:val="24"/>
              </w:rPr>
              <w:t xml:space="preserve"> </w:t>
            </w:r>
            <w:r w:rsidR="00562E95">
              <w:rPr>
                <w:rFonts w:ascii="Arial" w:hAnsi="Arial" w:cs="Arial"/>
                <w:sz w:val="24"/>
                <w:szCs w:val="24"/>
              </w:rPr>
              <w:t>October</w:t>
            </w:r>
            <w:r w:rsidR="00B47800" w:rsidRPr="004A5618">
              <w:rPr>
                <w:rFonts w:ascii="Arial" w:hAnsi="Arial" w:cs="Arial"/>
                <w:sz w:val="24"/>
                <w:szCs w:val="24"/>
              </w:rPr>
              <w:t xml:space="preserve"> 2023</w:t>
            </w:r>
            <w:r w:rsidRPr="004A5618">
              <w:rPr>
                <w:rFonts w:ascii="Arial" w:hAnsi="Arial" w:cs="Arial"/>
                <w:sz w:val="24"/>
                <w:szCs w:val="24"/>
              </w:rPr>
              <w:t>)</w:t>
            </w:r>
          </w:p>
        </w:tc>
      </w:tr>
      <w:tr w:rsidR="00222067" w:rsidRPr="004A5618" w14:paraId="11188504" w14:textId="77777777" w:rsidTr="00222067">
        <w:trPr>
          <w:trHeight w:val="542"/>
        </w:trPr>
        <w:tc>
          <w:tcPr>
            <w:tcW w:w="10206" w:type="dxa"/>
            <w:gridSpan w:val="3"/>
          </w:tcPr>
          <w:p w14:paraId="6CE7BBB2" w14:textId="6BCCA21D" w:rsidR="00222067" w:rsidRPr="004A5618" w:rsidRDefault="00222067" w:rsidP="00222067">
            <w:pPr>
              <w:spacing w:line="360" w:lineRule="auto"/>
              <w:jc w:val="both"/>
              <w:rPr>
                <w:rFonts w:ascii="Arial" w:hAnsi="Arial" w:cs="Arial"/>
                <w:b/>
                <w:sz w:val="24"/>
                <w:szCs w:val="24"/>
              </w:rPr>
            </w:pPr>
            <w:r w:rsidRPr="004A5618">
              <w:rPr>
                <w:rFonts w:ascii="Arial" w:hAnsi="Arial" w:cs="Arial"/>
                <w:b/>
                <w:sz w:val="24"/>
                <w:szCs w:val="24"/>
              </w:rPr>
              <w:t>Order:</w:t>
            </w:r>
          </w:p>
        </w:tc>
      </w:tr>
      <w:tr w:rsidR="00CA7995" w:rsidRPr="004A5618" w14:paraId="6E51612E" w14:textId="77777777" w:rsidTr="00136505">
        <w:tc>
          <w:tcPr>
            <w:tcW w:w="10206" w:type="dxa"/>
            <w:gridSpan w:val="3"/>
          </w:tcPr>
          <w:p w14:paraId="79CF1D7B" w14:textId="77777777" w:rsidR="004E3BFB" w:rsidRPr="004A5618" w:rsidRDefault="004E3BFB" w:rsidP="00937C89">
            <w:pPr>
              <w:spacing w:line="360" w:lineRule="auto"/>
              <w:jc w:val="both"/>
              <w:rPr>
                <w:rFonts w:ascii="Arial" w:hAnsi="Arial" w:cs="Arial"/>
                <w:b/>
                <w:sz w:val="24"/>
                <w:szCs w:val="24"/>
              </w:rPr>
            </w:pPr>
          </w:p>
          <w:p w14:paraId="6ECD0A94" w14:textId="77777777" w:rsidR="00402EBF" w:rsidRPr="007B2615" w:rsidRDefault="00402EBF" w:rsidP="00402EBF">
            <w:pPr>
              <w:pStyle w:val="ListParagraph"/>
              <w:numPr>
                <w:ilvl w:val="0"/>
                <w:numId w:val="25"/>
              </w:numPr>
              <w:spacing w:line="360" w:lineRule="auto"/>
              <w:ind w:hanging="720"/>
              <w:jc w:val="both"/>
              <w:rPr>
                <w:rFonts w:ascii="Arial" w:hAnsi="Arial" w:cs="Arial"/>
                <w:sz w:val="24"/>
                <w:szCs w:val="24"/>
              </w:rPr>
            </w:pPr>
            <w:r w:rsidRPr="007B2615">
              <w:rPr>
                <w:rFonts w:ascii="Arial" w:hAnsi="Arial" w:cs="Arial"/>
                <w:sz w:val="24"/>
                <w:szCs w:val="24"/>
              </w:rPr>
              <w:t>The application is dismissed with costs.</w:t>
            </w:r>
          </w:p>
          <w:p w14:paraId="4B1BC1A8" w14:textId="77777777" w:rsidR="00402EBF" w:rsidRPr="00D95BF0" w:rsidRDefault="00402EBF" w:rsidP="00402EBF">
            <w:pPr>
              <w:spacing w:line="360" w:lineRule="auto"/>
              <w:jc w:val="both"/>
              <w:rPr>
                <w:rFonts w:ascii="Arial" w:hAnsi="Arial" w:cs="Arial"/>
                <w:sz w:val="24"/>
                <w:szCs w:val="24"/>
              </w:rPr>
            </w:pPr>
          </w:p>
          <w:p w14:paraId="02E12779" w14:textId="5964F7CA" w:rsidR="00402EBF" w:rsidRPr="00D95BF0" w:rsidRDefault="00402EBF" w:rsidP="00402EBF">
            <w:pPr>
              <w:spacing w:line="360" w:lineRule="auto"/>
              <w:ind w:left="743" w:hanging="743"/>
              <w:jc w:val="both"/>
              <w:rPr>
                <w:rFonts w:ascii="Arial" w:hAnsi="Arial" w:cs="Arial"/>
                <w:sz w:val="24"/>
                <w:szCs w:val="24"/>
              </w:rPr>
            </w:pPr>
            <w:r w:rsidRPr="00D95BF0">
              <w:rPr>
                <w:rFonts w:ascii="Arial" w:hAnsi="Arial" w:cs="Arial"/>
                <w:sz w:val="24"/>
                <w:szCs w:val="24"/>
              </w:rPr>
              <w:t>2.</w:t>
            </w:r>
            <w:r w:rsidRPr="00D95BF0">
              <w:rPr>
                <w:rFonts w:ascii="Arial" w:hAnsi="Arial" w:cs="Arial"/>
                <w:sz w:val="24"/>
                <w:szCs w:val="24"/>
              </w:rPr>
              <w:tab/>
              <w:t xml:space="preserve">Costs are awarded in favour of the second respondent and the third respondent against the applicants, </w:t>
            </w:r>
            <w:r w:rsidR="0020342B">
              <w:rPr>
                <w:rFonts w:ascii="Arial" w:hAnsi="Arial" w:cs="Arial"/>
                <w:sz w:val="24"/>
                <w:szCs w:val="24"/>
              </w:rPr>
              <w:t xml:space="preserve">the </w:t>
            </w:r>
            <w:r w:rsidRPr="00D95BF0">
              <w:rPr>
                <w:rFonts w:ascii="Arial" w:hAnsi="Arial" w:cs="Arial"/>
                <w:sz w:val="24"/>
                <w:szCs w:val="24"/>
              </w:rPr>
              <w:t>one paying the other to be absolved.</w:t>
            </w:r>
          </w:p>
          <w:p w14:paraId="12B3ED7B" w14:textId="77777777" w:rsidR="00402EBF" w:rsidRPr="00D95BF0" w:rsidRDefault="00402EBF" w:rsidP="00402EBF">
            <w:pPr>
              <w:spacing w:line="360" w:lineRule="auto"/>
              <w:jc w:val="both"/>
              <w:rPr>
                <w:rFonts w:ascii="Arial" w:hAnsi="Arial" w:cs="Arial"/>
                <w:sz w:val="24"/>
                <w:szCs w:val="24"/>
              </w:rPr>
            </w:pPr>
          </w:p>
          <w:p w14:paraId="1BAA34B8" w14:textId="77777777" w:rsidR="00402EBF" w:rsidRPr="00D95BF0" w:rsidRDefault="00402EBF" w:rsidP="00402EBF">
            <w:pPr>
              <w:spacing w:line="360" w:lineRule="auto"/>
              <w:jc w:val="both"/>
              <w:rPr>
                <w:rFonts w:ascii="Arial" w:hAnsi="Arial" w:cs="Arial"/>
                <w:sz w:val="24"/>
                <w:szCs w:val="24"/>
              </w:rPr>
            </w:pPr>
            <w:r w:rsidRPr="00D95BF0">
              <w:rPr>
                <w:rFonts w:ascii="Arial" w:hAnsi="Arial" w:cs="Arial"/>
                <w:sz w:val="24"/>
                <w:szCs w:val="24"/>
              </w:rPr>
              <w:t>3.</w:t>
            </w:r>
            <w:r w:rsidRPr="00D95BF0">
              <w:rPr>
                <w:rFonts w:ascii="Arial" w:hAnsi="Arial" w:cs="Arial"/>
                <w:sz w:val="24"/>
                <w:szCs w:val="24"/>
              </w:rPr>
              <w:tab/>
              <w:t>The matter is finalised and removed from the roll.</w:t>
            </w:r>
          </w:p>
          <w:p w14:paraId="1D7360B2" w14:textId="77777777" w:rsidR="008C2200" w:rsidRPr="004A5618" w:rsidRDefault="008C2200" w:rsidP="00B32493">
            <w:pPr>
              <w:pStyle w:val="ListParagraph"/>
              <w:spacing w:line="360" w:lineRule="auto"/>
              <w:ind w:left="1110"/>
              <w:jc w:val="both"/>
              <w:rPr>
                <w:rFonts w:ascii="Arial" w:hAnsi="Arial" w:cs="Arial"/>
              </w:rPr>
            </w:pPr>
          </w:p>
        </w:tc>
      </w:tr>
      <w:tr w:rsidR="00CA7995" w:rsidRPr="004A5618" w14:paraId="7622E6FE" w14:textId="77777777" w:rsidTr="00136505">
        <w:trPr>
          <w:trHeight w:val="548"/>
        </w:trPr>
        <w:tc>
          <w:tcPr>
            <w:tcW w:w="10206" w:type="dxa"/>
            <w:gridSpan w:val="3"/>
          </w:tcPr>
          <w:p w14:paraId="430A1DB8" w14:textId="04C64B81" w:rsidR="00B40844" w:rsidRPr="004A5618" w:rsidRDefault="003B03B0" w:rsidP="00937C89">
            <w:pPr>
              <w:tabs>
                <w:tab w:val="right" w:pos="9693"/>
              </w:tabs>
              <w:spacing w:line="360" w:lineRule="auto"/>
              <w:jc w:val="both"/>
              <w:rPr>
                <w:rFonts w:ascii="Arial" w:hAnsi="Arial" w:cs="Arial"/>
                <w:b/>
                <w:sz w:val="24"/>
                <w:szCs w:val="24"/>
              </w:rPr>
            </w:pPr>
            <w:r w:rsidRPr="004A5618">
              <w:rPr>
                <w:rFonts w:ascii="Arial" w:hAnsi="Arial" w:cs="Arial"/>
                <w:b/>
                <w:sz w:val="24"/>
                <w:szCs w:val="24"/>
              </w:rPr>
              <w:t>R</w:t>
            </w:r>
            <w:r w:rsidR="00222067">
              <w:rPr>
                <w:rFonts w:ascii="Arial" w:hAnsi="Arial" w:cs="Arial"/>
                <w:b/>
                <w:sz w:val="24"/>
                <w:szCs w:val="24"/>
              </w:rPr>
              <w:t>easons</w:t>
            </w:r>
            <w:r w:rsidR="00B40844" w:rsidRPr="004A5618">
              <w:rPr>
                <w:rFonts w:ascii="Arial" w:hAnsi="Arial" w:cs="Arial"/>
                <w:b/>
                <w:sz w:val="24"/>
                <w:szCs w:val="24"/>
              </w:rPr>
              <w:t>:</w:t>
            </w:r>
          </w:p>
        </w:tc>
      </w:tr>
      <w:tr w:rsidR="00CA7995" w:rsidRPr="004A5618" w14:paraId="5E5C7ACE" w14:textId="77777777" w:rsidTr="00136505">
        <w:tc>
          <w:tcPr>
            <w:tcW w:w="10206" w:type="dxa"/>
            <w:gridSpan w:val="3"/>
          </w:tcPr>
          <w:p w14:paraId="5FFBDC64" w14:textId="75DCFED5" w:rsidR="0080318F" w:rsidRDefault="0080318F" w:rsidP="00ED76B2">
            <w:pPr>
              <w:spacing w:line="360" w:lineRule="auto"/>
              <w:jc w:val="both"/>
              <w:rPr>
                <w:rFonts w:ascii="Arial" w:hAnsi="Arial" w:cs="Arial"/>
                <w:sz w:val="24"/>
                <w:szCs w:val="24"/>
              </w:rPr>
            </w:pPr>
          </w:p>
          <w:p w14:paraId="3404A598" w14:textId="77777777" w:rsidR="00B40844" w:rsidRPr="004A5618" w:rsidRDefault="003B03B0" w:rsidP="00ED76B2">
            <w:pPr>
              <w:spacing w:line="360" w:lineRule="auto"/>
              <w:jc w:val="both"/>
              <w:rPr>
                <w:rFonts w:ascii="Arial" w:hAnsi="Arial" w:cs="Arial"/>
                <w:sz w:val="24"/>
                <w:szCs w:val="24"/>
              </w:rPr>
            </w:pPr>
            <w:r w:rsidRPr="004A5618">
              <w:rPr>
                <w:rFonts w:ascii="Arial" w:hAnsi="Arial" w:cs="Arial"/>
                <w:sz w:val="24"/>
                <w:szCs w:val="24"/>
              </w:rPr>
              <w:t>PARKER AJ:</w:t>
            </w:r>
          </w:p>
          <w:p w14:paraId="3BB76114" w14:textId="77777777" w:rsidR="005B62C7" w:rsidRPr="00D95BF0" w:rsidRDefault="005B62C7" w:rsidP="00D95BF0">
            <w:pPr>
              <w:spacing w:line="360" w:lineRule="auto"/>
              <w:jc w:val="both"/>
              <w:rPr>
                <w:rFonts w:ascii="Arial" w:hAnsi="Arial" w:cs="Arial"/>
                <w:sz w:val="24"/>
                <w:szCs w:val="24"/>
              </w:rPr>
            </w:pPr>
          </w:p>
          <w:p w14:paraId="67059C2D" w14:textId="1337995E" w:rsidR="00D95BF0" w:rsidRPr="00D95BF0" w:rsidRDefault="00D95BF0" w:rsidP="00D95BF0">
            <w:pPr>
              <w:spacing w:line="360" w:lineRule="auto"/>
              <w:jc w:val="both"/>
              <w:rPr>
                <w:rFonts w:ascii="Arial" w:hAnsi="Arial" w:cs="Arial"/>
                <w:sz w:val="24"/>
                <w:szCs w:val="24"/>
              </w:rPr>
            </w:pPr>
            <w:r w:rsidRPr="00D95BF0">
              <w:rPr>
                <w:rFonts w:ascii="Arial" w:hAnsi="Arial" w:cs="Arial"/>
                <w:sz w:val="24"/>
                <w:szCs w:val="24"/>
              </w:rPr>
              <w:t>[1]</w:t>
            </w:r>
            <w:r w:rsidRPr="00D95BF0">
              <w:rPr>
                <w:rFonts w:ascii="Arial" w:hAnsi="Arial" w:cs="Arial"/>
                <w:sz w:val="24"/>
                <w:szCs w:val="24"/>
              </w:rPr>
              <w:tab/>
              <w:t>In this application</w:t>
            </w:r>
            <w:r w:rsidR="00516C5A">
              <w:rPr>
                <w:rFonts w:ascii="Arial" w:hAnsi="Arial" w:cs="Arial"/>
                <w:sz w:val="24"/>
                <w:szCs w:val="24"/>
              </w:rPr>
              <w:t>,</w:t>
            </w:r>
            <w:r w:rsidRPr="00D95BF0">
              <w:rPr>
                <w:rFonts w:ascii="Arial" w:hAnsi="Arial" w:cs="Arial"/>
                <w:sz w:val="24"/>
                <w:szCs w:val="24"/>
              </w:rPr>
              <w:t xml:space="preserve"> the applicants seek the order set out in the </w:t>
            </w:r>
            <w:r w:rsidR="003D6471">
              <w:rPr>
                <w:rFonts w:ascii="Arial" w:hAnsi="Arial" w:cs="Arial"/>
                <w:sz w:val="24"/>
                <w:szCs w:val="24"/>
              </w:rPr>
              <w:t xml:space="preserve">interpleader </w:t>
            </w:r>
            <w:r w:rsidRPr="00D95BF0">
              <w:rPr>
                <w:rFonts w:ascii="Arial" w:hAnsi="Arial" w:cs="Arial"/>
                <w:sz w:val="24"/>
                <w:szCs w:val="24"/>
              </w:rPr>
              <w:t>notice. It is to review and set aside the sale in execution by the first respondent of a judgment debt owed by the applicants to the judgment creditor, the second respondent. Ms Kahengombe represents the a</w:t>
            </w:r>
            <w:r w:rsidR="003D6471">
              <w:rPr>
                <w:rFonts w:ascii="Arial" w:hAnsi="Arial" w:cs="Arial"/>
                <w:sz w:val="24"/>
                <w:szCs w:val="24"/>
              </w:rPr>
              <w:t>pplicants. The third respondent</w:t>
            </w:r>
            <w:r w:rsidRPr="00D95BF0">
              <w:rPr>
                <w:rFonts w:ascii="Arial" w:hAnsi="Arial" w:cs="Arial"/>
                <w:sz w:val="24"/>
                <w:szCs w:val="24"/>
              </w:rPr>
              <w:t xml:space="preserve"> (represented by Mr Maritz) and the second respondent (represented by Ms Mushor</w:t>
            </w:r>
            <w:r w:rsidR="005D2E8B">
              <w:rPr>
                <w:rFonts w:ascii="Arial" w:hAnsi="Arial" w:cs="Arial"/>
                <w:sz w:val="24"/>
                <w:szCs w:val="24"/>
              </w:rPr>
              <w:t>e</w:t>
            </w:r>
            <w:r w:rsidRPr="00D95BF0">
              <w:rPr>
                <w:rFonts w:ascii="Arial" w:hAnsi="Arial" w:cs="Arial"/>
                <w:sz w:val="24"/>
                <w:szCs w:val="24"/>
              </w:rPr>
              <w:t>) have moved to reject the application.</w:t>
            </w:r>
          </w:p>
          <w:p w14:paraId="5D456A19" w14:textId="77777777" w:rsidR="00D95BF0" w:rsidRPr="00D95BF0" w:rsidRDefault="00D95BF0" w:rsidP="00D95BF0">
            <w:pPr>
              <w:spacing w:line="360" w:lineRule="auto"/>
              <w:jc w:val="both"/>
              <w:rPr>
                <w:rFonts w:ascii="Arial" w:hAnsi="Arial" w:cs="Arial"/>
                <w:sz w:val="24"/>
                <w:szCs w:val="24"/>
              </w:rPr>
            </w:pPr>
          </w:p>
          <w:p w14:paraId="4B0435AC" w14:textId="372FFB9D" w:rsidR="00D95BF0" w:rsidRPr="00D95BF0" w:rsidRDefault="00D95BF0" w:rsidP="00D95BF0">
            <w:pPr>
              <w:spacing w:line="360" w:lineRule="auto"/>
              <w:jc w:val="both"/>
              <w:rPr>
                <w:rFonts w:ascii="Arial" w:hAnsi="Arial" w:cs="Arial"/>
                <w:sz w:val="24"/>
                <w:szCs w:val="24"/>
              </w:rPr>
            </w:pPr>
            <w:r w:rsidRPr="00D95BF0">
              <w:rPr>
                <w:rFonts w:ascii="Arial" w:hAnsi="Arial" w:cs="Arial"/>
                <w:sz w:val="24"/>
                <w:szCs w:val="24"/>
              </w:rPr>
              <w:t>[2]</w:t>
            </w:r>
            <w:r w:rsidRPr="00D95BF0">
              <w:rPr>
                <w:rFonts w:ascii="Arial" w:hAnsi="Arial" w:cs="Arial"/>
                <w:sz w:val="24"/>
                <w:szCs w:val="24"/>
              </w:rPr>
              <w:tab/>
              <w:t>This should be said – with respect, of course. The court was bamboozled with a tome of heads of argument by Ms Kahengombe, running into 102 pages of absolute tedium of irrelevant principles of law that are largely of no assistance on the points that are under consideration in the instant proceedings. The heads are, with respect, so poorly prepared that, sadly, counsel characteri</w:t>
            </w:r>
            <w:r w:rsidR="005D2E8B">
              <w:rPr>
                <w:rFonts w:ascii="Arial" w:hAnsi="Arial" w:cs="Arial"/>
                <w:sz w:val="24"/>
                <w:szCs w:val="24"/>
              </w:rPr>
              <w:t>s</w:t>
            </w:r>
            <w:r w:rsidRPr="00D95BF0">
              <w:rPr>
                <w:rFonts w:ascii="Arial" w:hAnsi="Arial" w:cs="Arial"/>
                <w:sz w:val="24"/>
                <w:szCs w:val="24"/>
              </w:rPr>
              <w:t xml:space="preserve">ed some of the grounds of review as points </w:t>
            </w:r>
            <w:r w:rsidRPr="00D95BF0">
              <w:rPr>
                <w:rFonts w:ascii="Arial" w:hAnsi="Arial" w:cs="Arial"/>
                <w:i/>
                <w:iCs/>
                <w:sz w:val="24"/>
                <w:szCs w:val="24"/>
              </w:rPr>
              <w:t>in limine</w:t>
            </w:r>
            <w:r w:rsidRPr="00D95BF0">
              <w:rPr>
                <w:rFonts w:ascii="Arial" w:hAnsi="Arial" w:cs="Arial"/>
                <w:sz w:val="24"/>
                <w:szCs w:val="24"/>
              </w:rPr>
              <w:t>.</w:t>
            </w:r>
          </w:p>
          <w:p w14:paraId="7B8BD33C" w14:textId="77777777" w:rsidR="00D95BF0" w:rsidRPr="00D95BF0" w:rsidRDefault="00D95BF0" w:rsidP="00D95BF0">
            <w:pPr>
              <w:spacing w:line="360" w:lineRule="auto"/>
              <w:jc w:val="both"/>
              <w:rPr>
                <w:rFonts w:ascii="Arial" w:hAnsi="Arial" w:cs="Arial"/>
                <w:sz w:val="24"/>
                <w:szCs w:val="24"/>
              </w:rPr>
            </w:pPr>
          </w:p>
          <w:p w14:paraId="3E339723" w14:textId="570365D1" w:rsidR="00D95BF0" w:rsidRPr="00D95BF0" w:rsidRDefault="00D95BF0" w:rsidP="00D95BF0">
            <w:pPr>
              <w:spacing w:line="360" w:lineRule="auto"/>
              <w:jc w:val="both"/>
              <w:rPr>
                <w:rFonts w:ascii="Arial" w:hAnsi="Arial" w:cs="Arial"/>
                <w:sz w:val="24"/>
                <w:szCs w:val="24"/>
              </w:rPr>
            </w:pPr>
            <w:r w:rsidRPr="00D95BF0">
              <w:rPr>
                <w:rFonts w:ascii="Arial" w:hAnsi="Arial" w:cs="Arial"/>
                <w:sz w:val="24"/>
                <w:szCs w:val="24"/>
              </w:rPr>
              <w:t>[3]</w:t>
            </w:r>
            <w:r w:rsidRPr="00D95BF0">
              <w:rPr>
                <w:rFonts w:ascii="Arial" w:hAnsi="Arial" w:cs="Arial"/>
                <w:sz w:val="24"/>
                <w:szCs w:val="24"/>
              </w:rPr>
              <w:tab/>
              <w:t>Added on to the gargantuan tome of heads of arguments were 22 Namibian authorities and 57 foreign authorities. I dare say, if Ms Kahengom</w:t>
            </w:r>
            <w:r w:rsidR="00516C5A">
              <w:rPr>
                <w:rFonts w:ascii="Arial" w:hAnsi="Arial" w:cs="Arial"/>
                <w:sz w:val="24"/>
                <w:szCs w:val="24"/>
              </w:rPr>
              <w:t>b</w:t>
            </w:r>
            <w:r w:rsidRPr="00D95BF0">
              <w:rPr>
                <w:rFonts w:ascii="Arial" w:hAnsi="Arial" w:cs="Arial"/>
                <w:sz w:val="24"/>
                <w:szCs w:val="24"/>
              </w:rPr>
              <w:t>e’s written heads of argument and the list of authorities were competing in the Olympics, they would have take</w:t>
            </w:r>
            <w:r w:rsidR="005D2E8B">
              <w:rPr>
                <w:rFonts w:ascii="Arial" w:hAnsi="Arial" w:cs="Arial"/>
                <w:sz w:val="24"/>
                <w:szCs w:val="24"/>
              </w:rPr>
              <w:t>n</w:t>
            </w:r>
            <w:r w:rsidRPr="00D95BF0">
              <w:rPr>
                <w:rFonts w:ascii="Arial" w:hAnsi="Arial" w:cs="Arial"/>
                <w:sz w:val="24"/>
                <w:szCs w:val="24"/>
              </w:rPr>
              <w:t xml:space="preserve"> Gold, putting to shame our fine, world-class athletes Ms Mboma and Ms Masilingi.</w:t>
            </w:r>
          </w:p>
          <w:p w14:paraId="5C39FABF" w14:textId="77777777" w:rsidR="00D95BF0" w:rsidRPr="00D95BF0" w:rsidRDefault="00D95BF0" w:rsidP="00D95BF0">
            <w:pPr>
              <w:spacing w:line="360" w:lineRule="auto"/>
              <w:jc w:val="both"/>
              <w:rPr>
                <w:rFonts w:ascii="Arial" w:hAnsi="Arial" w:cs="Arial"/>
                <w:sz w:val="24"/>
                <w:szCs w:val="24"/>
              </w:rPr>
            </w:pPr>
          </w:p>
          <w:p w14:paraId="375553D8" w14:textId="1823C7BF" w:rsidR="00D95BF0" w:rsidRPr="00D95BF0" w:rsidRDefault="00D95BF0" w:rsidP="00D95BF0">
            <w:pPr>
              <w:spacing w:line="360" w:lineRule="auto"/>
              <w:jc w:val="both"/>
              <w:rPr>
                <w:rFonts w:ascii="Arial" w:hAnsi="Arial" w:cs="Arial"/>
                <w:sz w:val="24"/>
                <w:szCs w:val="24"/>
              </w:rPr>
            </w:pPr>
            <w:r w:rsidRPr="00D95BF0">
              <w:rPr>
                <w:rFonts w:ascii="Arial" w:hAnsi="Arial" w:cs="Arial"/>
                <w:sz w:val="24"/>
                <w:szCs w:val="24"/>
              </w:rPr>
              <w:t>[4]</w:t>
            </w:r>
            <w:r w:rsidRPr="00D95BF0">
              <w:rPr>
                <w:rFonts w:ascii="Arial" w:hAnsi="Arial" w:cs="Arial"/>
                <w:sz w:val="24"/>
                <w:szCs w:val="24"/>
              </w:rPr>
              <w:tab/>
              <w:t xml:space="preserve">Despite the </w:t>
            </w:r>
            <w:r w:rsidR="003D6471">
              <w:rPr>
                <w:rFonts w:ascii="Arial" w:hAnsi="Arial" w:cs="Arial"/>
                <w:sz w:val="24"/>
                <w:szCs w:val="24"/>
              </w:rPr>
              <w:t xml:space="preserve">aforesaid </w:t>
            </w:r>
            <w:r w:rsidRPr="00D95BF0">
              <w:rPr>
                <w:rFonts w:ascii="Arial" w:hAnsi="Arial" w:cs="Arial"/>
                <w:sz w:val="24"/>
                <w:szCs w:val="24"/>
              </w:rPr>
              <w:t xml:space="preserve">extremely copious heads of argument and 79 authorities, the determination of the application </w:t>
            </w:r>
            <w:r w:rsidR="003D6471">
              <w:rPr>
                <w:rFonts w:ascii="Arial" w:hAnsi="Arial" w:cs="Arial"/>
                <w:sz w:val="24"/>
                <w:szCs w:val="24"/>
              </w:rPr>
              <w:t>t</w:t>
            </w:r>
            <w:r w:rsidRPr="00D95BF0">
              <w:rPr>
                <w:rFonts w:ascii="Arial" w:hAnsi="Arial" w:cs="Arial"/>
                <w:sz w:val="24"/>
                <w:szCs w:val="24"/>
              </w:rPr>
              <w:t>urns on an extr</w:t>
            </w:r>
            <w:r w:rsidR="003D6471">
              <w:rPr>
                <w:rFonts w:ascii="Arial" w:hAnsi="Arial" w:cs="Arial"/>
                <w:sz w:val="24"/>
                <w:szCs w:val="24"/>
              </w:rPr>
              <w:t>emely short and narrow compass a</w:t>
            </w:r>
            <w:r w:rsidRPr="00D95BF0">
              <w:rPr>
                <w:rFonts w:ascii="Arial" w:hAnsi="Arial" w:cs="Arial"/>
                <w:sz w:val="24"/>
                <w:szCs w:val="24"/>
              </w:rPr>
              <w:t>s will become apparent in due course.</w:t>
            </w:r>
          </w:p>
          <w:p w14:paraId="5F7E52DE" w14:textId="77777777" w:rsidR="00D95BF0" w:rsidRPr="00D95BF0" w:rsidRDefault="00D95BF0" w:rsidP="00D95BF0">
            <w:pPr>
              <w:spacing w:line="360" w:lineRule="auto"/>
              <w:jc w:val="both"/>
              <w:rPr>
                <w:rFonts w:ascii="Arial" w:hAnsi="Arial" w:cs="Arial"/>
                <w:sz w:val="24"/>
                <w:szCs w:val="24"/>
              </w:rPr>
            </w:pPr>
          </w:p>
          <w:p w14:paraId="0C3E00D8" w14:textId="2FB2A2A9" w:rsidR="00D95BF0" w:rsidRPr="00D95BF0" w:rsidRDefault="00D95BF0" w:rsidP="00D95BF0">
            <w:pPr>
              <w:spacing w:line="360" w:lineRule="auto"/>
              <w:jc w:val="both"/>
              <w:rPr>
                <w:rFonts w:ascii="Arial" w:hAnsi="Arial" w:cs="Arial"/>
                <w:sz w:val="24"/>
                <w:szCs w:val="24"/>
              </w:rPr>
            </w:pPr>
            <w:r w:rsidRPr="00D95BF0">
              <w:rPr>
                <w:rFonts w:ascii="Arial" w:hAnsi="Arial" w:cs="Arial"/>
                <w:sz w:val="24"/>
                <w:szCs w:val="24"/>
              </w:rPr>
              <w:t>[5]</w:t>
            </w:r>
            <w:r w:rsidRPr="00D95BF0">
              <w:rPr>
                <w:rFonts w:ascii="Arial" w:hAnsi="Arial" w:cs="Arial"/>
                <w:sz w:val="24"/>
                <w:szCs w:val="24"/>
              </w:rPr>
              <w:tab/>
              <w:t xml:space="preserve">The farm in question, ie Farm Derm Oost No. 101, was sold by the first respondent on 20 March 2020 in execution of a judgment obtained on 14 August 2018. By an order of the court, </w:t>
            </w:r>
            <w:r w:rsidR="003D6471">
              <w:rPr>
                <w:rFonts w:ascii="Arial" w:hAnsi="Arial" w:cs="Arial"/>
                <w:sz w:val="24"/>
                <w:szCs w:val="24"/>
              </w:rPr>
              <w:t>p</w:t>
            </w:r>
            <w:r w:rsidRPr="00D95BF0">
              <w:rPr>
                <w:rFonts w:ascii="Arial" w:hAnsi="Arial" w:cs="Arial"/>
                <w:sz w:val="24"/>
                <w:szCs w:val="24"/>
              </w:rPr>
              <w:t>er Masuku J, the farm was declared specially executable in terms of rule 108 of the rules of court (‘the Masuku J order’). In that regard, it is important to note that the court has become functus officio in respect of the execution of the said judgment.</w:t>
            </w:r>
          </w:p>
          <w:p w14:paraId="41B30B0D" w14:textId="77777777" w:rsidR="00D95BF0" w:rsidRPr="00D95BF0" w:rsidRDefault="00D95BF0" w:rsidP="00D95BF0">
            <w:pPr>
              <w:spacing w:line="360" w:lineRule="auto"/>
              <w:jc w:val="both"/>
              <w:rPr>
                <w:rFonts w:ascii="Arial" w:hAnsi="Arial" w:cs="Arial"/>
                <w:sz w:val="24"/>
                <w:szCs w:val="24"/>
              </w:rPr>
            </w:pPr>
          </w:p>
          <w:p w14:paraId="0CBBCE7D" w14:textId="521C2165" w:rsidR="00D95BF0" w:rsidRPr="00D95BF0" w:rsidRDefault="00D95BF0" w:rsidP="00D95BF0">
            <w:pPr>
              <w:spacing w:line="360" w:lineRule="auto"/>
              <w:jc w:val="both"/>
              <w:rPr>
                <w:rFonts w:ascii="Arial" w:hAnsi="Arial" w:cs="Arial"/>
                <w:sz w:val="24"/>
                <w:szCs w:val="24"/>
              </w:rPr>
            </w:pPr>
            <w:r w:rsidRPr="00D95BF0">
              <w:rPr>
                <w:rFonts w:ascii="Arial" w:hAnsi="Arial" w:cs="Arial"/>
                <w:sz w:val="24"/>
                <w:szCs w:val="24"/>
              </w:rPr>
              <w:t>[6]</w:t>
            </w:r>
            <w:r w:rsidRPr="00D95BF0">
              <w:rPr>
                <w:rFonts w:ascii="Arial" w:hAnsi="Arial" w:cs="Arial"/>
                <w:sz w:val="24"/>
                <w:szCs w:val="24"/>
              </w:rPr>
              <w:tab/>
              <w:t>A crucial point at th</w:t>
            </w:r>
            <w:r w:rsidR="00205811">
              <w:rPr>
                <w:rFonts w:ascii="Arial" w:hAnsi="Arial" w:cs="Arial"/>
                <w:sz w:val="24"/>
                <w:szCs w:val="24"/>
              </w:rPr>
              <w:t>e</w:t>
            </w:r>
            <w:r w:rsidRPr="00D95BF0">
              <w:rPr>
                <w:rFonts w:ascii="Arial" w:hAnsi="Arial" w:cs="Arial"/>
                <w:sz w:val="24"/>
                <w:szCs w:val="24"/>
              </w:rPr>
              <w:t xml:space="preserve"> centre of the instant proceeding is that the applicants have approached the court for judicial review to challenge the validity of </w:t>
            </w:r>
            <w:r w:rsidR="00205811">
              <w:rPr>
                <w:rFonts w:ascii="Arial" w:hAnsi="Arial" w:cs="Arial"/>
                <w:sz w:val="24"/>
                <w:szCs w:val="24"/>
              </w:rPr>
              <w:t>t</w:t>
            </w:r>
            <w:r w:rsidRPr="00D95BF0">
              <w:rPr>
                <w:rFonts w:ascii="Arial" w:hAnsi="Arial" w:cs="Arial"/>
                <w:sz w:val="24"/>
                <w:szCs w:val="24"/>
              </w:rPr>
              <w:t>he conduct of the first respondent in ‘the sale in execution of Farm Derm Oost No. 107 that was held on 20 March 2020 in the district of Mariental’, as appears in the notice of motion. Thus, as a matter of</w:t>
            </w:r>
            <w:r w:rsidR="003D6471">
              <w:rPr>
                <w:rFonts w:ascii="Arial" w:hAnsi="Arial" w:cs="Arial"/>
                <w:sz w:val="24"/>
                <w:szCs w:val="24"/>
              </w:rPr>
              <w:t xml:space="preserve"> course</w:t>
            </w:r>
            <w:r w:rsidRPr="00D95BF0">
              <w:rPr>
                <w:rFonts w:ascii="Arial" w:hAnsi="Arial" w:cs="Arial"/>
                <w:sz w:val="24"/>
                <w:szCs w:val="24"/>
              </w:rPr>
              <w:t xml:space="preserve">, it is the conduct of the first respondent only that is challenged by judicial review. The first </w:t>
            </w:r>
            <w:r w:rsidRPr="00D95BF0">
              <w:rPr>
                <w:rFonts w:ascii="Arial" w:hAnsi="Arial" w:cs="Arial"/>
                <w:sz w:val="24"/>
                <w:szCs w:val="24"/>
              </w:rPr>
              <w:lastRenderedPageBreak/>
              <w:t>respondent alone carried out the judicial execution of the said judgment. The other respondents did not conduct ‘the sale in execution … on 20 March 2020’. They have been joined, I suppose, because of any interest they may have in the outcome of the proceedings. Indeed, no order is sought against them. Therefore, any attack on whatever any one of them did or did not do is immaterial</w:t>
            </w:r>
            <w:r w:rsidR="003D6471">
              <w:rPr>
                <w:rFonts w:ascii="Arial" w:hAnsi="Arial" w:cs="Arial"/>
                <w:sz w:val="24"/>
                <w:szCs w:val="24"/>
              </w:rPr>
              <w:t>,</w:t>
            </w:r>
            <w:r w:rsidRPr="00D95BF0">
              <w:rPr>
                <w:rFonts w:ascii="Arial" w:hAnsi="Arial" w:cs="Arial"/>
                <w:sz w:val="24"/>
                <w:szCs w:val="24"/>
              </w:rPr>
              <w:t xml:space="preserve"> and I shall not waste any time considering whatever they did or did not do. I am also not interested in the cause of action that in the end brought about the Masuku J order.</w:t>
            </w:r>
          </w:p>
          <w:p w14:paraId="1BED3FF1" w14:textId="77777777" w:rsidR="00D95BF0" w:rsidRPr="00D95BF0" w:rsidRDefault="00D95BF0" w:rsidP="00D95BF0">
            <w:pPr>
              <w:spacing w:line="360" w:lineRule="auto"/>
              <w:jc w:val="both"/>
              <w:rPr>
                <w:rFonts w:ascii="Arial" w:hAnsi="Arial" w:cs="Arial"/>
                <w:sz w:val="24"/>
                <w:szCs w:val="24"/>
              </w:rPr>
            </w:pPr>
          </w:p>
          <w:p w14:paraId="77BAD2AB" w14:textId="7C112625" w:rsidR="00D95BF0" w:rsidRPr="00D95BF0" w:rsidRDefault="00D95BF0" w:rsidP="00D95BF0">
            <w:pPr>
              <w:spacing w:line="360" w:lineRule="auto"/>
              <w:jc w:val="both"/>
              <w:rPr>
                <w:rFonts w:ascii="Arial" w:hAnsi="Arial" w:cs="Arial"/>
                <w:sz w:val="24"/>
                <w:szCs w:val="24"/>
              </w:rPr>
            </w:pPr>
            <w:r w:rsidRPr="00D95BF0">
              <w:rPr>
                <w:rFonts w:ascii="Arial" w:hAnsi="Arial" w:cs="Arial"/>
                <w:sz w:val="24"/>
                <w:szCs w:val="24"/>
              </w:rPr>
              <w:t>[7]</w:t>
            </w:r>
            <w:r w:rsidRPr="00D95BF0">
              <w:rPr>
                <w:rFonts w:ascii="Arial" w:hAnsi="Arial" w:cs="Arial"/>
                <w:sz w:val="24"/>
                <w:szCs w:val="24"/>
              </w:rPr>
              <w:tab/>
              <w:t>In this proceeding</w:t>
            </w:r>
            <w:r w:rsidR="00516C5A">
              <w:rPr>
                <w:rFonts w:ascii="Arial" w:hAnsi="Arial" w:cs="Arial"/>
                <w:sz w:val="24"/>
                <w:szCs w:val="24"/>
              </w:rPr>
              <w:t>,</w:t>
            </w:r>
            <w:r w:rsidRPr="00D95BF0">
              <w:rPr>
                <w:rFonts w:ascii="Arial" w:hAnsi="Arial" w:cs="Arial"/>
                <w:sz w:val="24"/>
                <w:szCs w:val="24"/>
              </w:rPr>
              <w:t xml:space="preserve"> the applicants bear the burden of satisfying the court that good grounds exist to review the first respondent’s impugned conduct.</w:t>
            </w:r>
            <w:r w:rsidRPr="00D95BF0">
              <w:rPr>
                <w:rStyle w:val="FootnoteReference"/>
                <w:rFonts w:ascii="Arial" w:hAnsi="Arial" w:cs="Arial"/>
                <w:sz w:val="24"/>
                <w:szCs w:val="24"/>
              </w:rPr>
              <w:footnoteReference w:id="1"/>
            </w:r>
            <w:r w:rsidRPr="00D95BF0">
              <w:rPr>
                <w:rFonts w:ascii="Arial" w:hAnsi="Arial" w:cs="Arial"/>
                <w:sz w:val="24"/>
                <w:szCs w:val="24"/>
              </w:rPr>
              <w:t xml:space="preserve"> The good grounds should be satisfactory and sufficient grounds anchored in common law,</w:t>
            </w:r>
            <w:r w:rsidRPr="00D95BF0">
              <w:rPr>
                <w:rStyle w:val="FootnoteReference"/>
                <w:rFonts w:ascii="Arial" w:hAnsi="Arial" w:cs="Arial"/>
                <w:sz w:val="24"/>
                <w:szCs w:val="24"/>
              </w:rPr>
              <w:footnoteReference w:id="2"/>
            </w:r>
            <w:r w:rsidRPr="00D95BF0">
              <w:rPr>
                <w:rFonts w:ascii="Arial" w:hAnsi="Arial" w:cs="Arial"/>
                <w:sz w:val="24"/>
                <w:szCs w:val="24"/>
              </w:rPr>
              <w:t xml:space="preserve"> since the first respondent is not an administrative official, within the meaning of article 18 of the Namibian Constitution. And what is more, the grounds should be found in the founding affidavit</w:t>
            </w:r>
            <w:r w:rsidR="003D6471">
              <w:rPr>
                <w:rFonts w:ascii="Arial" w:hAnsi="Arial" w:cs="Arial"/>
                <w:sz w:val="24"/>
                <w:szCs w:val="24"/>
              </w:rPr>
              <w:t>.</w:t>
            </w:r>
            <w:r w:rsidRPr="00D95BF0">
              <w:rPr>
                <w:rStyle w:val="FootnoteReference"/>
                <w:rFonts w:ascii="Arial" w:hAnsi="Arial" w:cs="Arial"/>
                <w:sz w:val="24"/>
                <w:szCs w:val="24"/>
              </w:rPr>
              <w:footnoteReference w:id="3"/>
            </w:r>
            <w:r w:rsidRPr="00D95BF0">
              <w:rPr>
                <w:rFonts w:ascii="Arial" w:hAnsi="Arial" w:cs="Arial"/>
                <w:sz w:val="24"/>
                <w:szCs w:val="24"/>
              </w:rPr>
              <w:t xml:space="preserve"> The reason is that the notice of motion must be accompanied by an affidavit verifying the facts relied on. Indeed, it is trite t</w:t>
            </w:r>
            <w:r w:rsidR="00C95CA0">
              <w:rPr>
                <w:rFonts w:ascii="Arial" w:hAnsi="Arial" w:cs="Arial"/>
                <w:sz w:val="24"/>
                <w:szCs w:val="24"/>
              </w:rPr>
              <w:t>h</w:t>
            </w:r>
            <w:r w:rsidRPr="00D95BF0">
              <w:rPr>
                <w:rFonts w:ascii="Arial" w:hAnsi="Arial" w:cs="Arial"/>
                <w:sz w:val="24"/>
                <w:szCs w:val="24"/>
              </w:rPr>
              <w:t>at in motion proceedings</w:t>
            </w:r>
            <w:r w:rsidR="003D6471">
              <w:rPr>
                <w:rFonts w:ascii="Arial" w:hAnsi="Arial" w:cs="Arial"/>
                <w:sz w:val="24"/>
                <w:szCs w:val="24"/>
              </w:rPr>
              <w:t>,</w:t>
            </w:r>
            <w:r w:rsidRPr="00D95BF0">
              <w:rPr>
                <w:rFonts w:ascii="Arial" w:hAnsi="Arial" w:cs="Arial"/>
                <w:sz w:val="24"/>
                <w:szCs w:val="24"/>
              </w:rPr>
              <w:t xml:space="preserve"> the affidavits constitute both the pleadings and the evidence. It is also trite that submission by counsel or parties is not evidence. It is, therefore, to the founding affidavit that I now direct the enquiry.</w:t>
            </w:r>
          </w:p>
          <w:p w14:paraId="5530ED52" w14:textId="77777777" w:rsidR="00D95BF0" w:rsidRPr="00D95BF0" w:rsidRDefault="00D95BF0" w:rsidP="00D95BF0">
            <w:pPr>
              <w:spacing w:line="360" w:lineRule="auto"/>
              <w:jc w:val="both"/>
              <w:rPr>
                <w:rFonts w:ascii="Arial" w:hAnsi="Arial" w:cs="Arial"/>
                <w:sz w:val="24"/>
                <w:szCs w:val="24"/>
              </w:rPr>
            </w:pPr>
          </w:p>
          <w:p w14:paraId="510D3EBA" w14:textId="422B7EA6" w:rsidR="00D95BF0" w:rsidRPr="00D95BF0" w:rsidRDefault="00D95BF0" w:rsidP="00D95BF0">
            <w:pPr>
              <w:spacing w:line="360" w:lineRule="auto"/>
              <w:jc w:val="both"/>
              <w:rPr>
                <w:rFonts w:ascii="Arial" w:hAnsi="Arial" w:cs="Arial"/>
                <w:sz w:val="24"/>
                <w:szCs w:val="24"/>
              </w:rPr>
            </w:pPr>
            <w:r w:rsidRPr="00D95BF0">
              <w:rPr>
                <w:rFonts w:ascii="Arial" w:hAnsi="Arial" w:cs="Arial"/>
                <w:sz w:val="24"/>
                <w:szCs w:val="24"/>
              </w:rPr>
              <w:t>[8]</w:t>
            </w:r>
            <w:r w:rsidRPr="00D95BF0">
              <w:rPr>
                <w:rFonts w:ascii="Arial" w:hAnsi="Arial" w:cs="Arial"/>
                <w:sz w:val="24"/>
                <w:szCs w:val="24"/>
              </w:rPr>
              <w:tab/>
              <w:t>The applicants have not indicated with any sufficient particularity in their affidavit which common law grounds of review known to the law</w:t>
            </w:r>
            <w:r w:rsidRPr="00D95BF0">
              <w:rPr>
                <w:rStyle w:val="FootnoteReference"/>
                <w:rFonts w:ascii="Arial" w:hAnsi="Arial" w:cs="Arial"/>
                <w:sz w:val="24"/>
                <w:szCs w:val="24"/>
              </w:rPr>
              <w:footnoteReference w:id="4"/>
            </w:r>
            <w:r w:rsidRPr="00D95BF0">
              <w:rPr>
                <w:rFonts w:ascii="Arial" w:hAnsi="Arial" w:cs="Arial"/>
                <w:sz w:val="24"/>
                <w:szCs w:val="24"/>
              </w:rPr>
              <w:t xml:space="preserve"> that they rely on for relief. Be that as it may, since it is trite that in our law regard is had to substance rather than form,</w:t>
            </w:r>
            <w:r w:rsidRPr="00D95BF0">
              <w:rPr>
                <w:rStyle w:val="FootnoteReference"/>
                <w:rFonts w:ascii="Arial" w:hAnsi="Arial" w:cs="Arial"/>
                <w:sz w:val="24"/>
                <w:szCs w:val="24"/>
              </w:rPr>
              <w:footnoteReference w:id="5"/>
            </w:r>
            <w:r w:rsidRPr="00D95BF0">
              <w:rPr>
                <w:rFonts w:ascii="Arial" w:hAnsi="Arial" w:cs="Arial"/>
                <w:sz w:val="24"/>
                <w:szCs w:val="24"/>
              </w:rPr>
              <w:t xml:space="preserve"> I have trawled through the applicants’ founding affidavit to see if the applicants have placed before the court go</w:t>
            </w:r>
            <w:r w:rsidR="00C95CA0">
              <w:rPr>
                <w:rFonts w:ascii="Arial" w:hAnsi="Arial" w:cs="Arial"/>
                <w:sz w:val="24"/>
                <w:szCs w:val="24"/>
              </w:rPr>
              <w:t>o</w:t>
            </w:r>
            <w:r w:rsidRPr="00D95BF0">
              <w:rPr>
                <w:rFonts w:ascii="Arial" w:hAnsi="Arial" w:cs="Arial"/>
                <w:sz w:val="24"/>
                <w:szCs w:val="24"/>
              </w:rPr>
              <w:t>d grounds, in substance, to review the impugned decision of the first respondent.</w:t>
            </w:r>
          </w:p>
          <w:p w14:paraId="042C3A8B" w14:textId="77777777" w:rsidR="00D95BF0" w:rsidRPr="00D95BF0" w:rsidRDefault="00D95BF0" w:rsidP="00D95BF0">
            <w:pPr>
              <w:spacing w:line="360" w:lineRule="auto"/>
              <w:jc w:val="both"/>
              <w:rPr>
                <w:rFonts w:ascii="Arial" w:hAnsi="Arial" w:cs="Arial"/>
                <w:sz w:val="24"/>
                <w:szCs w:val="24"/>
              </w:rPr>
            </w:pPr>
          </w:p>
          <w:p w14:paraId="2FCE9939" w14:textId="38F154B3" w:rsidR="00D95BF0" w:rsidRPr="00D95BF0" w:rsidRDefault="00D95BF0" w:rsidP="00D95BF0">
            <w:pPr>
              <w:spacing w:line="360" w:lineRule="auto"/>
              <w:jc w:val="both"/>
              <w:rPr>
                <w:rFonts w:ascii="Arial" w:hAnsi="Arial" w:cs="Arial"/>
                <w:sz w:val="24"/>
                <w:szCs w:val="24"/>
              </w:rPr>
            </w:pPr>
            <w:r w:rsidRPr="00D95BF0">
              <w:rPr>
                <w:rFonts w:ascii="Arial" w:hAnsi="Arial" w:cs="Arial"/>
                <w:sz w:val="24"/>
                <w:szCs w:val="24"/>
              </w:rPr>
              <w:t>[9]</w:t>
            </w:r>
            <w:r w:rsidRPr="00D95BF0">
              <w:rPr>
                <w:rFonts w:ascii="Arial" w:hAnsi="Arial" w:cs="Arial"/>
                <w:sz w:val="24"/>
                <w:szCs w:val="24"/>
              </w:rPr>
              <w:tab/>
              <w:t>The founding affidavit contains 32 paragraphs. Paragraph 1 is an introductory paragraph on the particulars of the deponent of the affidavit. Paragraphs 2 to 8 describe the parties. Paragraph 9 contains the purpose of the application, and it is a rehash of the order sought in the notice of motion. Paragraphs 10 to 18 contain factual background. Paragraphs 19 to 31 is a re</w:t>
            </w:r>
            <w:r w:rsidR="003D6471">
              <w:rPr>
                <w:rFonts w:ascii="Arial" w:hAnsi="Arial" w:cs="Arial"/>
                <w:sz w:val="24"/>
                <w:szCs w:val="24"/>
              </w:rPr>
              <w:t>ndi</w:t>
            </w:r>
            <w:r w:rsidRPr="00D95BF0">
              <w:rPr>
                <w:rFonts w:ascii="Arial" w:hAnsi="Arial" w:cs="Arial"/>
                <w:sz w:val="24"/>
                <w:szCs w:val="24"/>
              </w:rPr>
              <w:t>tion of the applicable law, and yet it is trite tha</w:t>
            </w:r>
            <w:r w:rsidR="003D6471">
              <w:rPr>
                <w:rFonts w:ascii="Arial" w:hAnsi="Arial" w:cs="Arial"/>
                <w:sz w:val="24"/>
                <w:szCs w:val="24"/>
              </w:rPr>
              <w:t>t an affidavit should contain</w:t>
            </w:r>
            <w:r w:rsidRPr="00D95BF0">
              <w:rPr>
                <w:rFonts w:ascii="Arial" w:hAnsi="Arial" w:cs="Arial"/>
                <w:sz w:val="24"/>
                <w:szCs w:val="24"/>
              </w:rPr>
              <w:t xml:space="preserve"> only the facts relied on for support in terms of rule 65 (1) of the rules of court. Paragraph 32 is the last </w:t>
            </w:r>
            <w:r w:rsidRPr="00D95BF0">
              <w:rPr>
                <w:rFonts w:ascii="Arial" w:hAnsi="Arial" w:cs="Arial"/>
                <w:sz w:val="24"/>
                <w:szCs w:val="24"/>
              </w:rPr>
              <w:lastRenderedPageBreak/>
              <w:t>paragraph and is headed ‘</w:t>
            </w:r>
            <w:r w:rsidR="003D6471" w:rsidRPr="00D95BF0">
              <w:rPr>
                <w:rFonts w:ascii="Arial" w:hAnsi="Arial" w:cs="Arial"/>
                <w:sz w:val="24"/>
                <w:szCs w:val="24"/>
              </w:rPr>
              <w:t>C</w:t>
            </w:r>
            <w:r w:rsidRPr="00D95BF0">
              <w:rPr>
                <w:rFonts w:ascii="Arial" w:hAnsi="Arial" w:cs="Arial"/>
                <w:sz w:val="24"/>
                <w:szCs w:val="24"/>
              </w:rPr>
              <w:t>onclusion’. The applicants state that paragraphs 19 to 31 contain both ‘the applicable law’ and ‘the basis of the application’.</w:t>
            </w:r>
          </w:p>
          <w:p w14:paraId="23D8F86D" w14:textId="77777777" w:rsidR="00D95BF0" w:rsidRPr="00D95BF0" w:rsidRDefault="00D95BF0" w:rsidP="00D95BF0">
            <w:pPr>
              <w:spacing w:line="360" w:lineRule="auto"/>
              <w:jc w:val="both"/>
              <w:rPr>
                <w:rFonts w:ascii="Arial" w:hAnsi="Arial" w:cs="Arial"/>
                <w:sz w:val="24"/>
                <w:szCs w:val="24"/>
              </w:rPr>
            </w:pPr>
          </w:p>
          <w:p w14:paraId="55BF2378" w14:textId="78FE0039" w:rsidR="00D95BF0" w:rsidRPr="00D95BF0" w:rsidRDefault="00D95BF0" w:rsidP="00D95BF0">
            <w:pPr>
              <w:spacing w:line="360" w:lineRule="auto"/>
              <w:jc w:val="both"/>
              <w:rPr>
                <w:rFonts w:ascii="Arial" w:hAnsi="Arial" w:cs="Arial"/>
                <w:sz w:val="24"/>
                <w:szCs w:val="24"/>
              </w:rPr>
            </w:pPr>
            <w:r w:rsidRPr="00D95BF0">
              <w:rPr>
                <w:rFonts w:ascii="Arial" w:hAnsi="Arial" w:cs="Arial"/>
                <w:sz w:val="24"/>
                <w:szCs w:val="24"/>
              </w:rPr>
              <w:t>[10]</w:t>
            </w:r>
            <w:r w:rsidRPr="00D95BF0">
              <w:rPr>
                <w:rFonts w:ascii="Arial" w:hAnsi="Arial" w:cs="Arial"/>
                <w:sz w:val="24"/>
                <w:szCs w:val="24"/>
              </w:rPr>
              <w:tab/>
              <w:t xml:space="preserve">I have set out in a few words what the various passages of the founding affidavit deal with to emphasise the point that </w:t>
            </w:r>
            <w:r w:rsidR="003D6471">
              <w:rPr>
                <w:rFonts w:ascii="Arial" w:hAnsi="Arial" w:cs="Arial"/>
                <w:sz w:val="24"/>
                <w:szCs w:val="24"/>
              </w:rPr>
              <w:t xml:space="preserve">as </w:t>
            </w:r>
            <w:r w:rsidRPr="00D95BF0">
              <w:rPr>
                <w:rFonts w:ascii="Arial" w:hAnsi="Arial" w:cs="Arial"/>
                <w:sz w:val="24"/>
                <w:szCs w:val="24"/>
              </w:rPr>
              <w:t>respects paras 19 to 31</w:t>
            </w:r>
            <w:r w:rsidR="003D6471">
              <w:rPr>
                <w:rFonts w:ascii="Arial" w:hAnsi="Arial" w:cs="Arial"/>
                <w:sz w:val="24"/>
                <w:szCs w:val="24"/>
              </w:rPr>
              <w:t>,</w:t>
            </w:r>
            <w:r w:rsidRPr="00D95BF0">
              <w:rPr>
                <w:rFonts w:ascii="Arial" w:hAnsi="Arial" w:cs="Arial"/>
                <w:sz w:val="24"/>
                <w:szCs w:val="24"/>
              </w:rPr>
              <w:t xml:space="preserve"> my main focus shall be on the passages that deal with ‘the basis of the application’. I understand ‘the basis of the application</w:t>
            </w:r>
            <w:r w:rsidR="003D6471">
              <w:rPr>
                <w:rFonts w:ascii="Arial" w:hAnsi="Arial" w:cs="Arial"/>
                <w:sz w:val="24"/>
                <w:szCs w:val="24"/>
              </w:rPr>
              <w:t>’</w:t>
            </w:r>
            <w:r w:rsidRPr="00D95BF0">
              <w:rPr>
                <w:rFonts w:ascii="Arial" w:hAnsi="Arial" w:cs="Arial"/>
                <w:sz w:val="24"/>
                <w:szCs w:val="24"/>
              </w:rPr>
              <w:t xml:space="preserve"> to mean grounds of review, considering the relief sought in the notice of motion.</w:t>
            </w:r>
          </w:p>
          <w:p w14:paraId="20C0A370" w14:textId="77777777" w:rsidR="00D95BF0" w:rsidRPr="00D95BF0" w:rsidRDefault="00D95BF0" w:rsidP="00D95BF0">
            <w:pPr>
              <w:spacing w:line="360" w:lineRule="auto"/>
              <w:jc w:val="both"/>
              <w:rPr>
                <w:rFonts w:ascii="Arial" w:hAnsi="Arial" w:cs="Arial"/>
                <w:sz w:val="24"/>
                <w:szCs w:val="24"/>
              </w:rPr>
            </w:pPr>
          </w:p>
          <w:p w14:paraId="194AC84C" w14:textId="17BCFC8C" w:rsidR="00D95BF0" w:rsidRPr="00D95BF0" w:rsidRDefault="00D95BF0" w:rsidP="00D95BF0">
            <w:pPr>
              <w:spacing w:line="360" w:lineRule="auto"/>
              <w:jc w:val="both"/>
              <w:rPr>
                <w:rFonts w:ascii="Arial" w:hAnsi="Arial" w:cs="Arial"/>
                <w:sz w:val="24"/>
                <w:szCs w:val="24"/>
              </w:rPr>
            </w:pPr>
            <w:r w:rsidRPr="00D95BF0">
              <w:rPr>
                <w:rFonts w:ascii="Arial" w:hAnsi="Arial" w:cs="Arial"/>
                <w:sz w:val="24"/>
                <w:szCs w:val="24"/>
              </w:rPr>
              <w:t>[11]</w:t>
            </w:r>
            <w:r w:rsidRPr="00D95BF0">
              <w:rPr>
                <w:rFonts w:ascii="Arial" w:hAnsi="Arial" w:cs="Arial"/>
                <w:sz w:val="24"/>
                <w:szCs w:val="24"/>
              </w:rPr>
              <w:tab/>
              <w:t xml:space="preserve">The first ‘basis’ (or ground) relates to the interpretation and application of s 17(1) and (2) of the Agricultural (Commercial) Land Reform Act </w:t>
            </w:r>
            <w:r w:rsidR="0020342B">
              <w:rPr>
                <w:rFonts w:ascii="Arial" w:hAnsi="Arial" w:cs="Arial"/>
                <w:sz w:val="24"/>
                <w:szCs w:val="24"/>
              </w:rPr>
              <w:t xml:space="preserve">6 </w:t>
            </w:r>
            <w:r w:rsidRPr="00D95BF0">
              <w:rPr>
                <w:rFonts w:ascii="Arial" w:hAnsi="Arial" w:cs="Arial"/>
                <w:sz w:val="24"/>
                <w:szCs w:val="24"/>
              </w:rPr>
              <w:t>of 1995 (as amended) (‘the ALRA’). The applicants contend that ‘the owner of the farm can only escape the consequences of s 17(2) of the ALRA if he or she had given the State the right of first refusal’. The applicants’ contention has no basis in law as far as the instant proceeding is concerned. There is filed of record a Certificate of Waiver. Ms Kahengombe argued that the waiver was granted not to the first respondent but to the first applicant, and therefore</w:t>
            </w:r>
            <w:r w:rsidR="0020342B">
              <w:rPr>
                <w:rFonts w:ascii="Arial" w:hAnsi="Arial" w:cs="Arial"/>
                <w:sz w:val="24"/>
                <w:szCs w:val="24"/>
              </w:rPr>
              <w:t>,</w:t>
            </w:r>
            <w:r w:rsidRPr="00D95BF0">
              <w:rPr>
                <w:rFonts w:ascii="Arial" w:hAnsi="Arial" w:cs="Arial"/>
                <w:sz w:val="24"/>
                <w:szCs w:val="24"/>
              </w:rPr>
              <w:t xml:space="preserve"> the certificate is invalid. But I find that at the relevant time the title to the farm was in first applicant’s name.</w:t>
            </w:r>
          </w:p>
          <w:p w14:paraId="64F2BF75" w14:textId="77777777" w:rsidR="00D95BF0" w:rsidRPr="00D95BF0" w:rsidRDefault="00D95BF0" w:rsidP="00D95BF0">
            <w:pPr>
              <w:spacing w:line="360" w:lineRule="auto"/>
              <w:jc w:val="both"/>
              <w:rPr>
                <w:rFonts w:ascii="Arial" w:hAnsi="Arial" w:cs="Arial"/>
                <w:sz w:val="24"/>
                <w:szCs w:val="24"/>
              </w:rPr>
            </w:pPr>
          </w:p>
          <w:p w14:paraId="4FA7E004" w14:textId="435B76D4" w:rsidR="00D95BF0" w:rsidRPr="00D95BF0" w:rsidRDefault="00D95BF0" w:rsidP="00D95BF0">
            <w:pPr>
              <w:spacing w:line="360" w:lineRule="auto"/>
              <w:jc w:val="both"/>
              <w:rPr>
                <w:rFonts w:ascii="Arial" w:hAnsi="Arial" w:cs="Arial"/>
                <w:sz w:val="24"/>
                <w:szCs w:val="24"/>
              </w:rPr>
            </w:pPr>
            <w:r w:rsidRPr="00D95BF0">
              <w:rPr>
                <w:rFonts w:ascii="Arial" w:hAnsi="Arial" w:cs="Arial"/>
                <w:sz w:val="24"/>
                <w:szCs w:val="24"/>
              </w:rPr>
              <w:t>[12]</w:t>
            </w:r>
            <w:r w:rsidRPr="00D95BF0">
              <w:rPr>
                <w:rFonts w:ascii="Arial" w:hAnsi="Arial" w:cs="Arial"/>
                <w:sz w:val="24"/>
                <w:szCs w:val="24"/>
              </w:rPr>
              <w:tab/>
              <w:t>As a matter of law and logic</w:t>
            </w:r>
            <w:r w:rsidR="003D6471">
              <w:rPr>
                <w:rFonts w:ascii="Arial" w:hAnsi="Arial" w:cs="Arial"/>
                <w:sz w:val="24"/>
                <w:szCs w:val="24"/>
              </w:rPr>
              <w:t>,</w:t>
            </w:r>
            <w:r w:rsidRPr="00D95BF0">
              <w:rPr>
                <w:rFonts w:ascii="Arial" w:hAnsi="Arial" w:cs="Arial"/>
                <w:sz w:val="24"/>
                <w:szCs w:val="24"/>
              </w:rPr>
              <w:t xml:space="preserve"> the Certificate of Waiver could not have been granted by the Minister to a person whose name was not on the title deed that described the Farm and in respect of which the Minister was issuing the waiver.</w:t>
            </w:r>
          </w:p>
          <w:p w14:paraId="7649E499" w14:textId="77777777" w:rsidR="00D95BF0" w:rsidRPr="00D95BF0" w:rsidRDefault="00D95BF0" w:rsidP="00D95BF0">
            <w:pPr>
              <w:spacing w:line="360" w:lineRule="auto"/>
              <w:jc w:val="both"/>
              <w:rPr>
                <w:rFonts w:ascii="Arial" w:hAnsi="Arial" w:cs="Arial"/>
                <w:sz w:val="24"/>
                <w:szCs w:val="24"/>
              </w:rPr>
            </w:pPr>
          </w:p>
          <w:p w14:paraId="0BD3B80C" w14:textId="0D65A7FE" w:rsidR="00D95BF0" w:rsidRPr="00D95BF0" w:rsidRDefault="00D95BF0" w:rsidP="00D95BF0">
            <w:pPr>
              <w:spacing w:line="360" w:lineRule="auto"/>
              <w:jc w:val="both"/>
              <w:rPr>
                <w:rFonts w:ascii="Arial" w:hAnsi="Arial" w:cs="Arial"/>
                <w:sz w:val="24"/>
                <w:szCs w:val="24"/>
              </w:rPr>
            </w:pPr>
            <w:r w:rsidRPr="00D95BF0">
              <w:rPr>
                <w:rFonts w:ascii="Arial" w:hAnsi="Arial" w:cs="Arial"/>
                <w:sz w:val="24"/>
                <w:szCs w:val="24"/>
              </w:rPr>
              <w:t>[13]</w:t>
            </w:r>
            <w:r w:rsidRPr="00D95BF0">
              <w:rPr>
                <w:rFonts w:ascii="Arial" w:hAnsi="Arial" w:cs="Arial"/>
                <w:sz w:val="24"/>
                <w:szCs w:val="24"/>
              </w:rPr>
              <w:tab/>
              <w:t>Granted, the definition of ‘owner’ in the ALRA was substituted by s 1 of the Agricultural (Commercial) Land Reform Amendment Act 1 of 2014 (‘ALRAA’) whereby ‘owner’ was defined to include, among others, the deputy sheriff concerned in respect of property attached in terms of an order of court. For that reason, Ms Kahengome argued that the certificate ought to have been issued to the first respondent. With respect, counsel misreads s 1 of Act 1 of 2014. The section does not provide that the name of the owner of the property can be replace</w:t>
            </w:r>
            <w:r w:rsidR="003D6471">
              <w:rPr>
                <w:rFonts w:ascii="Arial" w:hAnsi="Arial" w:cs="Arial"/>
                <w:sz w:val="24"/>
                <w:szCs w:val="24"/>
              </w:rPr>
              <w:t>d</w:t>
            </w:r>
            <w:r w:rsidRPr="00D95BF0">
              <w:rPr>
                <w:rFonts w:ascii="Arial" w:hAnsi="Arial" w:cs="Arial"/>
                <w:sz w:val="24"/>
                <w:szCs w:val="24"/>
              </w:rPr>
              <w:t xml:space="preserve"> with the sheriff, deputy sheriff or messenger of the court concerned. It provides clearly that ‘owner’ includes, </w:t>
            </w:r>
            <w:r w:rsidRPr="003D6471">
              <w:rPr>
                <w:rFonts w:ascii="Arial" w:hAnsi="Arial" w:cs="Arial"/>
                <w:color w:val="000000" w:themeColor="text1"/>
                <w:sz w:val="24"/>
                <w:szCs w:val="24"/>
              </w:rPr>
              <w:t xml:space="preserve">not is </w:t>
            </w:r>
            <w:r w:rsidRPr="00D95BF0">
              <w:rPr>
                <w:rFonts w:ascii="Arial" w:hAnsi="Arial" w:cs="Arial"/>
                <w:sz w:val="24"/>
                <w:szCs w:val="24"/>
              </w:rPr>
              <w:t xml:space="preserve">a deputy sheriff, sheriff, etc. It does not mean that if </w:t>
            </w:r>
            <w:r w:rsidRPr="00D95BF0">
              <w:rPr>
                <w:rFonts w:ascii="Arial" w:hAnsi="Arial" w:cs="Arial"/>
                <w:b/>
                <w:bCs/>
                <w:sz w:val="24"/>
                <w:szCs w:val="24"/>
              </w:rPr>
              <w:t>X</w:t>
            </w:r>
            <w:r w:rsidRPr="00D95BF0">
              <w:rPr>
                <w:rFonts w:ascii="Arial" w:hAnsi="Arial" w:cs="Arial"/>
                <w:sz w:val="24"/>
                <w:szCs w:val="24"/>
              </w:rPr>
              <w:t xml:space="preserve"> is the owner of property </w:t>
            </w:r>
            <w:r w:rsidRPr="00D95BF0">
              <w:rPr>
                <w:rFonts w:ascii="Arial" w:hAnsi="Arial" w:cs="Arial"/>
                <w:b/>
                <w:bCs/>
                <w:sz w:val="24"/>
                <w:szCs w:val="24"/>
              </w:rPr>
              <w:t>A</w:t>
            </w:r>
            <w:r w:rsidRPr="00D95BF0">
              <w:rPr>
                <w:rFonts w:ascii="Arial" w:hAnsi="Arial" w:cs="Arial"/>
                <w:sz w:val="24"/>
                <w:szCs w:val="24"/>
              </w:rPr>
              <w:t xml:space="preserve"> and that property is attached for execution in terms of an order of court, the deputy sheriff concerned becomes the new owner of property </w:t>
            </w:r>
            <w:r w:rsidRPr="00D95BF0">
              <w:rPr>
                <w:rFonts w:ascii="Arial" w:hAnsi="Arial" w:cs="Arial"/>
                <w:b/>
                <w:bCs/>
                <w:sz w:val="24"/>
                <w:szCs w:val="24"/>
              </w:rPr>
              <w:t>A</w:t>
            </w:r>
            <w:r w:rsidRPr="00D95BF0">
              <w:rPr>
                <w:rFonts w:ascii="Arial" w:hAnsi="Arial" w:cs="Arial"/>
                <w:sz w:val="24"/>
                <w:szCs w:val="24"/>
              </w:rPr>
              <w:t>.</w:t>
            </w:r>
          </w:p>
          <w:p w14:paraId="54485E94" w14:textId="77777777" w:rsidR="00D95BF0" w:rsidRPr="00D95BF0" w:rsidRDefault="00D95BF0" w:rsidP="00D95BF0">
            <w:pPr>
              <w:spacing w:line="360" w:lineRule="auto"/>
              <w:jc w:val="both"/>
              <w:rPr>
                <w:rFonts w:ascii="Arial" w:hAnsi="Arial" w:cs="Arial"/>
                <w:sz w:val="24"/>
                <w:szCs w:val="24"/>
              </w:rPr>
            </w:pPr>
          </w:p>
          <w:p w14:paraId="776132C6" w14:textId="194970ED" w:rsidR="00D95BF0" w:rsidRPr="00D95BF0" w:rsidRDefault="00D95BF0" w:rsidP="00D95BF0">
            <w:pPr>
              <w:spacing w:line="360" w:lineRule="auto"/>
              <w:jc w:val="both"/>
              <w:rPr>
                <w:rFonts w:ascii="Arial" w:hAnsi="Arial" w:cs="Arial"/>
                <w:sz w:val="24"/>
                <w:szCs w:val="24"/>
              </w:rPr>
            </w:pPr>
            <w:r w:rsidRPr="00D95BF0">
              <w:rPr>
                <w:rFonts w:ascii="Arial" w:hAnsi="Arial" w:cs="Arial"/>
                <w:sz w:val="24"/>
                <w:szCs w:val="24"/>
              </w:rPr>
              <w:t>[14]</w:t>
            </w:r>
            <w:r w:rsidRPr="00D95BF0">
              <w:rPr>
                <w:rFonts w:ascii="Arial" w:hAnsi="Arial" w:cs="Arial"/>
                <w:sz w:val="24"/>
                <w:szCs w:val="24"/>
              </w:rPr>
              <w:tab/>
              <w:t xml:space="preserve">The deputy sheriff concerned has the power, for instance, to do all that is </w:t>
            </w:r>
            <w:r w:rsidRPr="00E66492">
              <w:rPr>
                <w:rFonts w:ascii="Arial" w:hAnsi="Arial" w:cs="Arial"/>
                <w:color w:val="000000" w:themeColor="text1"/>
                <w:sz w:val="24"/>
                <w:szCs w:val="24"/>
              </w:rPr>
              <w:t>necessary to</w:t>
            </w:r>
            <w:r w:rsidR="00E66492" w:rsidRPr="00E66492">
              <w:rPr>
                <w:rFonts w:ascii="Arial" w:hAnsi="Arial" w:cs="Arial"/>
                <w:color w:val="000000" w:themeColor="text1"/>
                <w:sz w:val="24"/>
                <w:szCs w:val="24"/>
              </w:rPr>
              <w:t xml:space="preserve"> transfer ownership of the property to the</w:t>
            </w:r>
            <w:r w:rsidRPr="00E66492">
              <w:rPr>
                <w:rFonts w:ascii="Arial" w:hAnsi="Arial" w:cs="Arial"/>
                <w:color w:val="000000" w:themeColor="text1"/>
                <w:sz w:val="24"/>
                <w:szCs w:val="24"/>
              </w:rPr>
              <w:t xml:space="preserve"> purchaser</w:t>
            </w:r>
            <w:r w:rsidRPr="00D95BF0">
              <w:rPr>
                <w:rFonts w:ascii="Arial" w:hAnsi="Arial" w:cs="Arial"/>
                <w:color w:val="FF0000"/>
                <w:sz w:val="24"/>
                <w:szCs w:val="24"/>
              </w:rPr>
              <w:t xml:space="preserve"> </w:t>
            </w:r>
            <w:r w:rsidRPr="00D95BF0">
              <w:rPr>
                <w:rFonts w:ascii="Arial" w:hAnsi="Arial" w:cs="Arial"/>
                <w:sz w:val="24"/>
                <w:szCs w:val="24"/>
              </w:rPr>
              <w:t xml:space="preserve">where the owner of property </w:t>
            </w:r>
            <w:r w:rsidRPr="00D95BF0">
              <w:rPr>
                <w:rFonts w:ascii="Arial" w:hAnsi="Arial" w:cs="Arial"/>
                <w:b/>
                <w:bCs/>
                <w:sz w:val="24"/>
                <w:szCs w:val="24"/>
              </w:rPr>
              <w:t>A</w:t>
            </w:r>
            <w:r w:rsidRPr="00D95BF0">
              <w:rPr>
                <w:rFonts w:ascii="Arial" w:hAnsi="Arial" w:cs="Arial"/>
                <w:sz w:val="24"/>
                <w:szCs w:val="24"/>
              </w:rPr>
              <w:t xml:space="preserve"> refuses or fails to act as such when called upon to do so. The </w:t>
            </w:r>
            <w:r w:rsidR="008E25AB">
              <w:rPr>
                <w:rFonts w:ascii="Arial" w:hAnsi="Arial" w:cs="Arial"/>
                <w:sz w:val="24"/>
                <w:szCs w:val="24"/>
              </w:rPr>
              <w:t xml:space="preserve">said </w:t>
            </w:r>
            <w:r w:rsidRPr="00D95BF0">
              <w:rPr>
                <w:rFonts w:ascii="Arial" w:hAnsi="Arial" w:cs="Arial"/>
                <w:sz w:val="24"/>
                <w:szCs w:val="24"/>
              </w:rPr>
              <w:t xml:space="preserve">definition is for the purposes of the </w:t>
            </w:r>
            <w:r w:rsidRPr="00D95BF0">
              <w:rPr>
                <w:rFonts w:ascii="Arial" w:hAnsi="Arial" w:cs="Arial"/>
                <w:sz w:val="24"/>
                <w:szCs w:val="24"/>
              </w:rPr>
              <w:lastRenderedPageBreak/>
              <w:t>ALRAA. The deputy sheriff does not become the owner at common law or in terms of the Deeds Registries Act 14 of 2015, for instance.</w:t>
            </w:r>
          </w:p>
          <w:p w14:paraId="66E5BC0E" w14:textId="77777777" w:rsidR="00D95BF0" w:rsidRPr="00D95BF0" w:rsidRDefault="00D95BF0" w:rsidP="00D95BF0">
            <w:pPr>
              <w:spacing w:line="360" w:lineRule="auto"/>
              <w:jc w:val="both"/>
              <w:rPr>
                <w:rFonts w:ascii="Arial" w:hAnsi="Arial" w:cs="Arial"/>
                <w:sz w:val="24"/>
                <w:szCs w:val="24"/>
              </w:rPr>
            </w:pPr>
          </w:p>
          <w:p w14:paraId="166C551B" w14:textId="4A937140" w:rsidR="00D95BF0" w:rsidRPr="00D95BF0" w:rsidRDefault="00D95BF0" w:rsidP="00D95BF0">
            <w:pPr>
              <w:spacing w:line="360" w:lineRule="auto"/>
              <w:jc w:val="both"/>
              <w:rPr>
                <w:rFonts w:ascii="Arial" w:hAnsi="Arial" w:cs="Arial"/>
                <w:sz w:val="24"/>
                <w:szCs w:val="24"/>
              </w:rPr>
            </w:pPr>
            <w:r w:rsidRPr="00D95BF0">
              <w:rPr>
                <w:rFonts w:ascii="Arial" w:hAnsi="Arial" w:cs="Arial"/>
                <w:sz w:val="24"/>
                <w:szCs w:val="24"/>
              </w:rPr>
              <w:t>[15]</w:t>
            </w:r>
            <w:r w:rsidRPr="00D95BF0">
              <w:rPr>
                <w:rFonts w:ascii="Arial" w:hAnsi="Arial" w:cs="Arial"/>
                <w:sz w:val="24"/>
                <w:szCs w:val="24"/>
              </w:rPr>
              <w:tab/>
              <w:t xml:space="preserve">In the instant matter, at the time the Certificate of Waiver was granted, the name of the owner of the farm </w:t>
            </w:r>
            <w:r w:rsidR="008E25AB">
              <w:rPr>
                <w:rFonts w:ascii="Arial" w:hAnsi="Arial" w:cs="Arial"/>
                <w:sz w:val="24"/>
                <w:szCs w:val="24"/>
              </w:rPr>
              <w:t>was</w:t>
            </w:r>
            <w:r w:rsidRPr="00D95BF0">
              <w:rPr>
                <w:rFonts w:ascii="Arial" w:hAnsi="Arial" w:cs="Arial"/>
                <w:sz w:val="24"/>
                <w:szCs w:val="24"/>
              </w:rPr>
              <w:t xml:space="preserve"> the applicant. It is only when the property has been transferred to a new owner by the deputy sheriff, if the first respondent refused to do so, would the deputy sheriff b</w:t>
            </w:r>
            <w:r w:rsidR="007F5CF0">
              <w:rPr>
                <w:rFonts w:ascii="Arial" w:hAnsi="Arial" w:cs="Arial"/>
                <w:sz w:val="24"/>
                <w:szCs w:val="24"/>
              </w:rPr>
              <w:t>e</w:t>
            </w:r>
            <w:r w:rsidRPr="00D95BF0">
              <w:rPr>
                <w:rFonts w:ascii="Arial" w:hAnsi="Arial" w:cs="Arial"/>
                <w:sz w:val="24"/>
                <w:szCs w:val="24"/>
              </w:rPr>
              <w:t xml:space="preserve"> able to do that which the applicant had refused to do. It is only at that time would a title deed issued by the Registrar of Deeds show the transferee of the property as the new owner, as Mr Maritz submitted.</w:t>
            </w:r>
          </w:p>
          <w:p w14:paraId="5509B57D" w14:textId="77777777" w:rsidR="00D95BF0" w:rsidRPr="00D95BF0" w:rsidRDefault="00D95BF0" w:rsidP="00D95BF0">
            <w:pPr>
              <w:spacing w:line="360" w:lineRule="auto"/>
              <w:jc w:val="both"/>
              <w:rPr>
                <w:rFonts w:ascii="Arial" w:hAnsi="Arial" w:cs="Arial"/>
                <w:sz w:val="24"/>
                <w:szCs w:val="24"/>
              </w:rPr>
            </w:pPr>
          </w:p>
          <w:p w14:paraId="70845D97" w14:textId="53258D7B" w:rsidR="00D95BF0" w:rsidRPr="00D95BF0" w:rsidRDefault="00D95BF0" w:rsidP="00D95BF0">
            <w:pPr>
              <w:spacing w:line="360" w:lineRule="auto"/>
              <w:jc w:val="both"/>
              <w:rPr>
                <w:rFonts w:ascii="Arial" w:hAnsi="Arial" w:cs="Arial"/>
                <w:sz w:val="24"/>
                <w:szCs w:val="24"/>
              </w:rPr>
            </w:pPr>
            <w:r w:rsidRPr="00D95BF0">
              <w:rPr>
                <w:rFonts w:ascii="Arial" w:hAnsi="Arial" w:cs="Arial"/>
                <w:sz w:val="24"/>
                <w:szCs w:val="24"/>
              </w:rPr>
              <w:t>[16]</w:t>
            </w:r>
            <w:r w:rsidRPr="00D95BF0">
              <w:rPr>
                <w:rFonts w:ascii="Arial" w:hAnsi="Arial" w:cs="Arial"/>
                <w:sz w:val="24"/>
                <w:szCs w:val="24"/>
              </w:rPr>
              <w:tab/>
              <w:t xml:space="preserve">In any case, </w:t>
            </w:r>
            <w:r w:rsidR="008E25AB">
              <w:rPr>
                <w:rFonts w:ascii="Arial" w:hAnsi="Arial" w:cs="Arial"/>
                <w:sz w:val="24"/>
                <w:szCs w:val="24"/>
              </w:rPr>
              <w:t xml:space="preserve">as </w:t>
            </w:r>
            <w:r w:rsidRPr="00D95BF0">
              <w:rPr>
                <w:rFonts w:ascii="Arial" w:hAnsi="Arial" w:cs="Arial"/>
                <w:sz w:val="24"/>
                <w:szCs w:val="24"/>
              </w:rPr>
              <w:t>M</w:t>
            </w:r>
            <w:r w:rsidR="007B2615">
              <w:rPr>
                <w:rFonts w:ascii="Arial" w:hAnsi="Arial" w:cs="Arial"/>
                <w:sz w:val="24"/>
                <w:szCs w:val="24"/>
              </w:rPr>
              <w:t>s</w:t>
            </w:r>
            <w:r w:rsidRPr="00D95BF0">
              <w:rPr>
                <w:rFonts w:ascii="Arial" w:hAnsi="Arial" w:cs="Arial"/>
                <w:sz w:val="24"/>
                <w:szCs w:val="24"/>
              </w:rPr>
              <w:t xml:space="preserve"> Mushore </w:t>
            </w:r>
            <w:r w:rsidR="008E25AB">
              <w:rPr>
                <w:rFonts w:ascii="Arial" w:hAnsi="Arial" w:cs="Arial"/>
                <w:sz w:val="24"/>
                <w:szCs w:val="24"/>
              </w:rPr>
              <w:t>sub</w:t>
            </w:r>
            <w:r w:rsidRPr="00D95BF0">
              <w:rPr>
                <w:rFonts w:ascii="Arial" w:hAnsi="Arial" w:cs="Arial"/>
                <w:sz w:val="24"/>
                <w:szCs w:val="24"/>
              </w:rPr>
              <w:t>mitted</w:t>
            </w:r>
            <w:r w:rsidR="008E25AB">
              <w:rPr>
                <w:rFonts w:ascii="Arial" w:hAnsi="Arial" w:cs="Arial"/>
                <w:sz w:val="24"/>
                <w:szCs w:val="24"/>
              </w:rPr>
              <w:t>,</w:t>
            </w:r>
            <w:r w:rsidRPr="00D95BF0">
              <w:rPr>
                <w:rFonts w:ascii="Arial" w:hAnsi="Arial" w:cs="Arial"/>
                <w:sz w:val="24"/>
                <w:szCs w:val="24"/>
              </w:rPr>
              <w:t xml:space="preserve"> upon the correct interpretation of s 17(2) of the ALRA, the ALRA does not prohibit parties, including the deputy sheriff (seized with a judicial execution order), from concluding a contract of sale of agricultural land even if the </w:t>
            </w:r>
            <w:r w:rsidR="007B2615">
              <w:rPr>
                <w:rFonts w:ascii="Arial" w:hAnsi="Arial" w:cs="Arial"/>
                <w:sz w:val="24"/>
                <w:szCs w:val="24"/>
              </w:rPr>
              <w:t>m</w:t>
            </w:r>
            <w:r w:rsidRPr="00D95BF0">
              <w:rPr>
                <w:rFonts w:ascii="Arial" w:hAnsi="Arial" w:cs="Arial"/>
                <w:sz w:val="24"/>
                <w:szCs w:val="24"/>
              </w:rPr>
              <w:t>inister’s certificate of waiver has not been obtained. Only that the</w:t>
            </w:r>
            <w:r w:rsidR="00402EBF">
              <w:rPr>
                <w:rFonts w:ascii="Arial" w:hAnsi="Arial" w:cs="Arial"/>
                <w:sz w:val="24"/>
                <w:szCs w:val="24"/>
              </w:rPr>
              <w:t xml:space="preserve"> contract shall come into force</w:t>
            </w:r>
            <w:r w:rsidRPr="00D95BF0">
              <w:rPr>
                <w:rFonts w:ascii="Arial" w:hAnsi="Arial" w:cs="Arial"/>
                <w:sz w:val="24"/>
                <w:szCs w:val="24"/>
              </w:rPr>
              <w:t xml:space="preserve"> upon the waiver having been obtained. Ms Mushore’s submission has force, and is valid. Thus, the deputy sheriff could enter into a contract of sale of agricultural land even if the </w:t>
            </w:r>
            <w:r w:rsidR="007B2615">
              <w:rPr>
                <w:rFonts w:ascii="Arial" w:hAnsi="Arial" w:cs="Arial"/>
                <w:sz w:val="24"/>
                <w:szCs w:val="24"/>
              </w:rPr>
              <w:t>m</w:t>
            </w:r>
            <w:r w:rsidRPr="00D95BF0">
              <w:rPr>
                <w:rFonts w:ascii="Arial" w:hAnsi="Arial" w:cs="Arial"/>
                <w:sz w:val="24"/>
                <w:szCs w:val="24"/>
              </w:rPr>
              <w:t>inister’s waiver has not been obtained; except that the contract is not enforceable until the land has been offered for sale to the State or the seller has been furnished with a certificate of waiver in respect of the land.</w:t>
            </w:r>
            <w:r w:rsidRPr="00D95BF0">
              <w:rPr>
                <w:rStyle w:val="FootnoteReference"/>
                <w:rFonts w:ascii="Arial" w:hAnsi="Arial" w:cs="Arial"/>
                <w:sz w:val="24"/>
                <w:szCs w:val="24"/>
              </w:rPr>
              <w:footnoteReference w:id="6"/>
            </w:r>
          </w:p>
          <w:p w14:paraId="21075A40" w14:textId="77777777" w:rsidR="00D95BF0" w:rsidRPr="00D95BF0" w:rsidRDefault="00D95BF0" w:rsidP="00D95BF0">
            <w:pPr>
              <w:spacing w:line="360" w:lineRule="auto"/>
              <w:jc w:val="both"/>
              <w:rPr>
                <w:rFonts w:ascii="Arial" w:hAnsi="Arial" w:cs="Arial"/>
                <w:sz w:val="24"/>
                <w:szCs w:val="24"/>
              </w:rPr>
            </w:pPr>
          </w:p>
          <w:p w14:paraId="321E0E69" w14:textId="64FB84F0" w:rsidR="00D95BF0" w:rsidRPr="00D95BF0" w:rsidRDefault="00D95BF0" w:rsidP="00D95BF0">
            <w:pPr>
              <w:spacing w:line="360" w:lineRule="auto"/>
              <w:jc w:val="both"/>
              <w:rPr>
                <w:rFonts w:ascii="Arial" w:hAnsi="Arial" w:cs="Arial"/>
                <w:sz w:val="24"/>
                <w:szCs w:val="24"/>
              </w:rPr>
            </w:pPr>
            <w:r w:rsidRPr="00D95BF0">
              <w:rPr>
                <w:rFonts w:ascii="Arial" w:hAnsi="Arial" w:cs="Arial"/>
                <w:sz w:val="24"/>
                <w:szCs w:val="24"/>
              </w:rPr>
              <w:t>[17]</w:t>
            </w:r>
            <w:r w:rsidRPr="00D95BF0">
              <w:rPr>
                <w:rFonts w:ascii="Arial" w:hAnsi="Arial" w:cs="Arial"/>
                <w:sz w:val="24"/>
                <w:szCs w:val="24"/>
              </w:rPr>
              <w:tab/>
            </w:r>
            <w:r w:rsidR="008E25AB">
              <w:rPr>
                <w:rFonts w:ascii="Arial" w:hAnsi="Arial" w:cs="Arial"/>
                <w:sz w:val="24"/>
                <w:szCs w:val="24"/>
              </w:rPr>
              <w:t>Another</w:t>
            </w:r>
            <w:r w:rsidRPr="00D95BF0">
              <w:rPr>
                <w:rFonts w:ascii="Arial" w:hAnsi="Arial" w:cs="Arial"/>
                <w:sz w:val="24"/>
                <w:szCs w:val="24"/>
              </w:rPr>
              <w:t xml:space="preserve"> ‘basis’ </w:t>
            </w:r>
            <w:r w:rsidR="008E25AB">
              <w:rPr>
                <w:rFonts w:ascii="Arial" w:hAnsi="Arial" w:cs="Arial"/>
                <w:sz w:val="24"/>
                <w:szCs w:val="24"/>
              </w:rPr>
              <w:t xml:space="preserve">of review </w:t>
            </w:r>
            <w:r w:rsidRPr="00D95BF0">
              <w:rPr>
                <w:rFonts w:ascii="Arial" w:hAnsi="Arial" w:cs="Arial"/>
                <w:sz w:val="24"/>
                <w:szCs w:val="24"/>
              </w:rPr>
              <w:t xml:space="preserve">is premised upon rule 110(6) and 110(9) of the rules of court. In the interpretation and application of rule 110(9) the qualification introduced by the conjunctive phrase ‘except that’ is crucial. </w:t>
            </w:r>
            <w:r w:rsidR="007B2615">
              <w:rPr>
                <w:rFonts w:ascii="Arial" w:hAnsi="Arial" w:cs="Arial"/>
                <w:sz w:val="24"/>
                <w:szCs w:val="24"/>
              </w:rPr>
              <w:t xml:space="preserve"> </w:t>
            </w:r>
            <w:r w:rsidRPr="00D95BF0">
              <w:rPr>
                <w:rFonts w:ascii="Arial" w:hAnsi="Arial" w:cs="Arial"/>
                <w:sz w:val="24"/>
                <w:szCs w:val="24"/>
              </w:rPr>
              <w:t>In the instant matter</w:t>
            </w:r>
            <w:r w:rsidR="008E25AB">
              <w:rPr>
                <w:rFonts w:ascii="Arial" w:hAnsi="Arial" w:cs="Arial"/>
                <w:sz w:val="24"/>
                <w:szCs w:val="24"/>
              </w:rPr>
              <w:t>,</w:t>
            </w:r>
            <w:r w:rsidRPr="00D95BF0">
              <w:rPr>
                <w:rFonts w:ascii="Arial" w:hAnsi="Arial" w:cs="Arial"/>
                <w:sz w:val="24"/>
                <w:szCs w:val="24"/>
              </w:rPr>
              <w:t xml:space="preserve"> it is not established that the farm was the primary home of the execution debtor, an artificial person, within the meaning of rule 108 of the rules of court, if an artificial person, as a matter of law and common sense, is capable of having a primary home, within the meaning of rule 108.</w:t>
            </w:r>
            <w:r w:rsidR="007B2615">
              <w:rPr>
                <w:rFonts w:ascii="Arial" w:hAnsi="Arial" w:cs="Arial"/>
                <w:sz w:val="24"/>
                <w:szCs w:val="24"/>
              </w:rPr>
              <w:t xml:space="preserve"> </w:t>
            </w:r>
            <w:r w:rsidRPr="00D95BF0">
              <w:rPr>
                <w:rFonts w:ascii="Arial" w:hAnsi="Arial" w:cs="Arial"/>
                <w:sz w:val="24"/>
                <w:szCs w:val="24"/>
              </w:rPr>
              <w:t xml:space="preserve">The result is that </w:t>
            </w:r>
            <w:r w:rsidR="008E25AB">
              <w:rPr>
                <w:rFonts w:ascii="Arial" w:hAnsi="Arial" w:cs="Arial"/>
                <w:sz w:val="24"/>
                <w:szCs w:val="24"/>
              </w:rPr>
              <w:t>this</w:t>
            </w:r>
            <w:r w:rsidRPr="00D95BF0">
              <w:rPr>
                <w:rFonts w:ascii="Arial" w:hAnsi="Arial" w:cs="Arial"/>
                <w:sz w:val="24"/>
                <w:szCs w:val="24"/>
              </w:rPr>
              <w:t xml:space="preserve"> ‘basis’ cannot succeed. It is rejected as having no merit at all.</w:t>
            </w:r>
          </w:p>
          <w:p w14:paraId="461B9EB9" w14:textId="77777777" w:rsidR="00D95BF0" w:rsidRPr="00D95BF0" w:rsidRDefault="00D95BF0" w:rsidP="00D95BF0">
            <w:pPr>
              <w:spacing w:line="360" w:lineRule="auto"/>
              <w:jc w:val="both"/>
              <w:rPr>
                <w:rFonts w:ascii="Arial" w:hAnsi="Arial" w:cs="Arial"/>
                <w:sz w:val="24"/>
                <w:szCs w:val="24"/>
              </w:rPr>
            </w:pPr>
          </w:p>
          <w:p w14:paraId="2CA4EB1C" w14:textId="39061BC9" w:rsidR="00D95BF0" w:rsidRPr="00D95BF0" w:rsidRDefault="00D95BF0" w:rsidP="00D95BF0">
            <w:pPr>
              <w:spacing w:line="360" w:lineRule="auto"/>
              <w:jc w:val="both"/>
              <w:rPr>
                <w:rFonts w:ascii="Arial" w:hAnsi="Arial" w:cs="Arial"/>
                <w:sz w:val="24"/>
                <w:szCs w:val="24"/>
              </w:rPr>
            </w:pPr>
            <w:r w:rsidRPr="00D95BF0">
              <w:rPr>
                <w:rFonts w:ascii="Arial" w:hAnsi="Arial" w:cs="Arial"/>
                <w:sz w:val="24"/>
                <w:szCs w:val="24"/>
              </w:rPr>
              <w:t>[18]</w:t>
            </w:r>
            <w:r w:rsidRPr="00D95BF0">
              <w:rPr>
                <w:rFonts w:ascii="Arial" w:hAnsi="Arial" w:cs="Arial"/>
                <w:sz w:val="24"/>
                <w:szCs w:val="24"/>
              </w:rPr>
              <w:tab/>
              <w:t>The foregoing considerations and reasons propel me to the ineluctable conclusion that the application has failed. The applicants have not established that good grounds exist to review and set aside the sale in execution of Farm Derm Oost No. 107 that was held on 20 March 2020 in the district of Mariental.</w:t>
            </w:r>
            <w:r w:rsidRPr="00D95BF0">
              <w:rPr>
                <w:rStyle w:val="FootnoteReference"/>
                <w:rFonts w:ascii="Arial" w:hAnsi="Arial" w:cs="Arial"/>
                <w:sz w:val="24"/>
                <w:szCs w:val="24"/>
              </w:rPr>
              <w:footnoteReference w:id="7"/>
            </w:r>
          </w:p>
          <w:p w14:paraId="4DDC6B16" w14:textId="77777777" w:rsidR="00D95BF0" w:rsidRPr="00D95BF0" w:rsidRDefault="00D95BF0" w:rsidP="00D95BF0">
            <w:pPr>
              <w:spacing w:line="360" w:lineRule="auto"/>
              <w:jc w:val="both"/>
              <w:rPr>
                <w:rFonts w:ascii="Arial" w:hAnsi="Arial" w:cs="Arial"/>
                <w:sz w:val="24"/>
                <w:szCs w:val="24"/>
              </w:rPr>
            </w:pPr>
          </w:p>
          <w:p w14:paraId="1C0503A3" w14:textId="4831419A" w:rsidR="00D95BF0" w:rsidRDefault="00D95BF0" w:rsidP="00D95BF0">
            <w:pPr>
              <w:spacing w:line="360" w:lineRule="auto"/>
              <w:jc w:val="both"/>
              <w:rPr>
                <w:rFonts w:ascii="Arial" w:hAnsi="Arial" w:cs="Arial"/>
                <w:sz w:val="24"/>
                <w:szCs w:val="24"/>
              </w:rPr>
            </w:pPr>
            <w:r w:rsidRPr="00D95BF0">
              <w:rPr>
                <w:rFonts w:ascii="Arial" w:hAnsi="Arial" w:cs="Arial"/>
                <w:sz w:val="24"/>
                <w:szCs w:val="24"/>
              </w:rPr>
              <w:lastRenderedPageBreak/>
              <w:t>[19]</w:t>
            </w:r>
            <w:r w:rsidRPr="00D95BF0">
              <w:rPr>
                <w:rFonts w:ascii="Arial" w:hAnsi="Arial" w:cs="Arial"/>
                <w:sz w:val="24"/>
                <w:szCs w:val="24"/>
              </w:rPr>
              <w:tab/>
              <w:t xml:space="preserve">In </w:t>
            </w:r>
            <w:r w:rsidR="0020342B">
              <w:rPr>
                <w:rFonts w:ascii="Arial" w:hAnsi="Arial" w:cs="Arial"/>
                <w:sz w:val="24"/>
                <w:szCs w:val="24"/>
              </w:rPr>
              <w:t>t</w:t>
            </w:r>
            <w:r w:rsidRPr="00D95BF0">
              <w:rPr>
                <w:rFonts w:ascii="Arial" w:hAnsi="Arial" w:cs="Arial"/>
                <w:sz w:val="24"/>
                <w:szCs w:val="24"/>
              </w:rPr>
              <w:t>he result, I order as follows:</w:t>
            </w:r>
          </w:p>
          <w:p w14:paraId="0AF5F1E8" w14:textId="77777777" w:rsidR="007B2615" w:rsidRPr="00D95BF0" w:rsidRDefault="007B2615" w:rsidP="00D95BF0">
            <w:pPr>
              <w:spacing w:line="360" w:lineRule="auto"/>
              <w:jc w:val="both"/>
              <w:rPr>
                <w:rFonts w:ascii="Arial" w:hAnsi="Arial" w:cs="Arial"/>
                <w:sz w:val="24"/>
                <w:szCs w:val="24"/>
              </w:rPr>
            </w:pPr>
          </w:p>
          <w:p w14:paraId="07693320" w14:textId="38240AE5" w:rsidR="00D95BF0" w:rsidRPr="007B2615" w:rsidRDefault="00D95BF0" w:rsidP="00402EBF">
            <w:pPr>
              <w:pStyle w:val="ListParagraph"/>
              <w:numPr>
                <w:ilvl w:val="0"/>
                <w:numId w:val="26"/>
              </w:numPr>
              <w:spacing w:line="360" w:lineRule="auto"/>
              <w:ind w:hanging="687"/>
              <w:jc w:val="both"/>
              <w:rPr>
                <w:rFonts w:ascii="Arial" w:hAnsi="Arial" w:cs="Arial"/>
                <w:sz w:val="24"/>
                <w:szCs w:val="24"/>
              </w:rPr>
            </w:pPr>
            <w:r w:rsidRPr="007B2615">
              <w:rPr>
                <w:rFonts w:ascii="Arial" w:hAnsi="Arial" w:cs="Arial"/>
                <w:sz w:val="24"/>
                <w:szCs w:val="24"/>
              </w:rPr>
              <w:t>The application is dismissed with costs.</w:t>
            </w:r>
          </w:p>
          <w:p w14:paraId="69DAFADC" w14:textId="77777777" w:rsidR="00D95BF0" w:rsidRPr="00D95BF0" w:rsidRDefault="00D95BF0" w:rsidP="00D95BF0">
            <w:pPr>
              <w:spacing w:line="360" w:lineRule="auto"/>
              <w:jc w:val="both"/>
              <w:rPr>
                <w:rFonts w:ascii="Arial" w:hAnsi="Arial" w:cs="Arial"/>
                <w:sz w:val="24"/>
                <w:szCs w:val="24"/>
              </w:rPr>
            </w:pPr>
          </w:p>
          <w:p w14:paraId="10D6B885" w14:textId="24AE9A5F" w:rsidR="00D95BF0" w:rsidRPr="00D95BF0" w:rsidRDefault="00D95BF0" w:rsidP="007B2615">
            <w:pPr>
              <w:spacing w:line="360" w:lineRule="auto"/>
              <w:ind w:left="743" w:hanging="743"/>
              <w:jc w:val="both"/>
              <w:rPr>
                <w:rFonts w:ascii="Arial" w:hAnsi="Arial" w:cs="Arial"/>
                <w:sz w:val="24"/>
                <w:szCs w:val="24"/>
              </w:rPr>
            </w:pPr>
            <w:r w:rsidRPr="00D95BF0">
              <w:rPr>
                <w:rFonts w:ascii="Arial" w:hAnsi="Arial" w:cs="Arial"/>
                <w:sz w:val="24"/>
                <w:szCs w:val="24"/>
              </w:rPr>
              <w:t>2.</w:t>
            </w:r>
            <w:r w:rsidRPr="00D95BF0">
              <w:rPr>
                <w:rFonts w:ascii="Arial" w:hAnsi="Arial" w:cs="Arial"/>
                <w:sz w:val="24"/>
                <w:szCs w:val="24"/>
              </w:rPr>
              <w:tab/>
              <w:t xml:space="preserve">Costs are awarded in favour of the second respondent and the third respondent against the applicants, </w:t>
            </w:r>
            <w:r w:rsidR="0020342B">
              <w:rPr>
                <w:rFonts w:ascii="Arial" w:hAnsi="Arial" w:cs="Arial"/>
                <w:sz w:val="24"/>
                <w:szCs w:val="24"/>
              </w:rPr>
              <w:t xml:space="preserve">the </w:t>
            </w:r>
            <w:r w:rsidRPr="00D95BF0">
              <w:rPr>
                <w:rFonts w:ascii="Arial" w:hAnsi="Arial" w:cs="Arial"/>
                <w:sz w:val="24"/>
                <w:szCs w:val="24"/>
              </w:rPr>
              <w:t>one paying the other to be absolved.</w:t>
            </w:r>
          </w:p>
          <w:p w14:paraId="18717DB1" w14:textId="77777777" w:rsidR="00D95BF0" w:rsidRPr="00D95BF0" w:rsidRDefault="00D95BF0" w:rsidP="00D95BF0">
            <w:pPr>
              <w:spacing w:line="360" w:lineRule="auto"/>
              <w:jc w:val="both"/>
              <w:rPr>
                <w:rFonts w:ascii="Arial" w:hAnsi="Arial" w:cs="Arial"/>
                <w:sz w:val="24"/>
                <w:szCs w:val="24"/>
              </w:rPr>
            </w:pPr>
          </w:p>
          <w:p w14:paraId="54EFABB1" w14:textId="23EB9DAE" w:rsidR="00D95BF0" w:rsidRPr="00D95BF0" w:rsidRDefault="00D95BF0" w:rsidP="00D95BF0">
            <w:pPr>
              <w:spacing w:line="360" w:lineRule="auto"/>
              <w:jc w:val="both"/>
              <w:rPr>
                <w:rFonts w:ascii="Arial" w:hAnsi="Arial" w:cs="Arial"/>
                <w:sz w:val="24"/>
                <w:szCs w:val="24"/>
              </w:rPr>
            </w:pPr>
            <w:r w:rsidRPr="00D95BF0">
              <w:rPr>
                <w:rFonts w:ascii="Arial" w:hAnsi="Arial" w:cs="Arial"/>
                <w:sz w:val="24"/>
                <w:szCs w:val="24"/>
              </w:rPr>
              <w:t>3.</w:t>
            </w:r>
            <w:r w:rsidRPr="00D95BF0">
              <w:rPr>
                <w:rFonts w:ascii="Arial" w:hAnsi="Arial" w:cs="Arial"/>
                <w:sz w:val="24"/>
                <w:szCs w:val="24"/>
              </w:rPr>
              <w:tab/>
              <w:t>The matter is finalised and removed from the roll.</w:t>
            </w:r>
          </w:p>
          <w:p w14:paraId="71D39DDF" w14:textId="77777777" w:rsidR="007008BE" w:rsidRPr="004A5618" w:rsidRDefault="007008BE" w:rsidP="00CC128D">
            <w:pPr>
              <w:pStyle w:val="ListParagraph"/>
              <w:tabs>
                <w:tab w:val="left" w:pos="729"/>
              </w:tabs>
              <w:spacing w:line="360" w:lineRule="auto"/>
              <w:ind w:left="743"/>
              <w:jc w:val="both"/>
              <w:rPr>
                <w:rFonts w:ascii="Arial" w:hAnsi="Arial" w:cs="Arial"/>
                <w:sz w:val="24"/>
                <w:szCs w:val="24"/>
              </w:rPr>
            </w:pPr>
          </w:p>
        </w:tc>
      </w:tr>
      <w:tr w:rsidR="00CA7995" w:rsidRPr="004A5618" w14:paraId="569D7468" w14:textId="77777777" w:rsidTr="00136505">
        <w:tc>
          <w:tcPr>
            <w:tcW w:w="4770" w:type="dxa"/>
          </w:tcPr>
          <w:p w14:paraId="1CE02859" w14:textId="54794BCB" w:rsidR="00B40844" w:rsidRPr="004A5618" w:rsidRDefault="004E5B45" w:rsidP="00ED76B2">
            <w:pPr>
              <w:spacing w:line="360" w:lineRule="auto"/>
              <w:jc w:val="center"/>
              <w:rPr>
                <w:rFonts w:ascii="Arial" w:hAnsi="Arial" w:cs="Arial"/>
                <w:b/>
                <w:sz w:val="24"/>
                <w:szCs w:val="24"/>
              </w:rPr>
            </w:pPr>
            <w:r>
              <w:rPr>
                <w:rFonts w:ascii="Arial" w:hAnsi="Arial" w:cs="Arial"/>
                <w:b/>
                <w:sz w:val="24"/>
                <w:szCs w:val="24"/>
              </w:rPr>
              <w:lastRenderedPageBreak/>
              <w:t>Judge’s signature:</w:t>
            </w:r>
          </w:p>
        </w:tc>
        <w:tc>
          <w:tcPr>
            <w:tcW w:w="5436" w:type="dxa"/>
            <w:gridSpan w:val="2"/>
          </w:tcPr>
          <w:p w14:paraId="5E78AD4E" w14:textId="77777777" w:rsidR="00B40844" w:rsidRPr="004A5618" w:rsidRDefault="00B40844" w:rsidP="00937C89">
            <w:pPr>
              <w:spacing w:line="360" w:lineRule="auto"/>
              <w:jc w:val="center"/>
              <w:rPr>
                <w:rFonts w:ascii="Arial" w:hAnsi="Arial" w:cs="Arial"/>
                <w:b/>
                <w:sz w:val="24"/>
                <w:szCs w:val="24"/>
              </w:rPr>
            </w:pPr>
            <w:r w:rsidRPr="004A5618">
              <w:rPr>
                <w:rFonts w:ascii="Arial" w:hAnsi="Arial" w:cs="Arial"/>
                <w:b/>
                <w:sz w:val="24"/>
                <w:szCs w:val="24"/>
              </w:rPr>
              <w:t>Note to the parties:</w:t>
            </w:r>
          </w:p>
        </w:tc>
      </w:tr>
      <w:tr w:rsidR="00CA7995" w:rsidRPr="004A5618" w14:paraId="71A537E8" w14:textId="77777777" w:rsidTr="00136505">
        <w:trPr>
          <w:trHeight w:val="1114"/>
        </w:trPr>
        <w:tc>
          <w:tcPr>
            <w:tcW w:w="4770" w:type="dxa"/>
          </w:tcPr>
          <w:p w14:paraId="7187A946" w14:textId="77777777" w:rsidR="00B40844" w:rsidRPr="004A5618" w:rsidRDefault="00B40844" w:rsidP="00937C89">
            <w:pPr>
              <w:spacing w:line="360" w:lineRule="auto"/>
              <w:jc w:val="both"/>
              <w:rPr>
                <w:rFonts w:ascii="Arial" w:hAnsi="Arial" w:cs="Arial"/>
                <w:sz w:val="24"/>
                <w:szCs w:val="24"/>
              </w:rPr>
            </w:pPr>
          </w:p>
          <w:p w14:paraId="0A03E537" w14:textId="77777777" w:rsidR="00E97512" w:rsidRDefault="00E97512" w:rsidP="00937C89">
            <w:pPr>
              <w:spacing w:line="360" w:lineRule="auto"/>
              <w:jc w:val="both"/>
              <w:rPr>
                <w:rFonts w:ascii="Arial" w:hAnsi="Arial" w:cs="Arial"/>
                <w:sz w:val="24"/>
                <w:szCs w:val="24"/>
              </w:rPr>
            </w:pPr>
          </w:p>
          <w:p w14:paraId="4D626231" w14:textId="77777777" w:rsidR="007008BE" w:rsidRPr="004A5618" w:rsidRDefault="007008BE" w:rsidP="00937C89">
            <w:pPr>
              <w:spacing w:line="360" w:lineRule="auto"/>
              <w:jc w:val="both"/>
              <w:rPr>
                <w:rFonts w:ascii="Arial" w:hAnsi="Arial" w:cs="Arial"/>
                <w:sz w:val="24"/>
                <w:szCs w:val="24"/>
              </w:rPr>
            </w:pPr>
          </w:p>
        </w:tc>
        <w:tc>
          <w:tcPr>
            <w:tcW w:w="5436" w:type="dxa"/>
            <w:gridSpan w:val="2"/>
          </w:tcPr>
          <w:p w14:paraId="525DC040"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sz w:val="24"/>
                <w:szCs w:val="24"/>
              </w:rPr>
              <w:t>Not applicable.</w:t>
            </w:r>
          </w:p>
        </w:tc>
      </w:tr>
      <w:tr w:rsidR="00CA7995" w:rsidRPr="004A5618" w14:paraId="4BF6B70F" w14:textId="77777777" w:rsidTr="00136505">
        <w:tc>
          <w:tcPr>
            <w:tcW w:w="10206" w:type="dxa"/>
            <w:gridSpan w:val="3"/>
          </w:tcPr>
          <w:p w14:paraId="6A5EA542" w14:textId="77777777" w:rsidR="00B40844" w:rsidRPr="004A5618" w:rsidRDefault="00B40844" w:rsidP="00937C89">
            <w:pPr>
              <w:spacing w:line="360" w:lineRule="auto"/>
              <w:jc w:val="center"/>
              <w:rPr>
                <w:rFonts w:ascii="Arial" w:hAnsi="Arial" w:cs="Arial"/>
                <w:b/>
                <w:sz w:val="24"/>
                <w:szCs w:val="24"/>
              </w:rPr>
            </w:pPr>
            <w:r w:rsidRPr="004A5618">
              <w:rPr>
                <w:rFonts w:ascii="Arial" w:hAnsi="Arial" w:cs="Arial"/>
                <w:b/>
                <w:sz w:val="24"/>
                <w:szCs w:val="24"/>
              </w:rPr>
              <w:t>Counsel:</w:t>
            </w:r>
          </w:p>
        </w:tc>
      </w:tr>
      <w:tr w:rsidR="00CA7995" w:rsidRPr="004A5618" w14:paraId="579F63FC" w14:textId="77777777" w:rsidTr="00136505">
        <w:tc>
          <w:tcPr>
            <w:tcW w:w="4770" w:type="dxa"/>
          </w:tcPr>
          <w:p w14:paraId="52D98B5F" w14:textId="7B8B89CA" w:rsidR="00B40844" w:rsidRPr="004A5618" w:rsidRDefault="00CC128D" w:rsidP="00937C89">
            <w:pPr>
              <w:spacing w:line="360" w:lineRule="auto"/>
              <w:jc w:val="center"/>
              <w:rPr>
                <w:rFonts w:ascii="Arial" w:hAnsi="Arial" w:cs="Arial"/>
                <w:b/>
                <w:sz w:val="24"/>
                <w:szCs w:val="24"/>
              </w:rPr>
            </w:pPr>
            <w:r>
              <w:rPr>
                <w:rFonts w:ascii="Arial" w:hAnsi="Arial" w:cs="Arial"/>
                <w:b/>
                <w:sz w:val="24"/>
                <w:szCs w:val="24"/>
              </w:rPr>
              <w:t>Applicant</w:t>
            </w:r>
            <w:r w:rsidR="00440567">
              <w:rPr>
                <w:rFonts w:ascii="Arial" w:hAnsi="Arial" w:cs="Arial"/>
                <w:b/>
                <w:sz w:val="24"/>
                <w:szCs w:val="24"/>
              </w:rPr>
              <w:t>s</w:t>
            </w:r>
          </w:p>
        </w:tc>
        <w:tc>
          <w:tcPr>
            <w:tcW w:w="5436" w:type="dxa"/>
            <w:gridSpan w:val="2"/>
          </w:tcPr>
          <w:p w14:paraId="7EC49BF1" w14:textId="3331F754" w:rsidR="00B40844" w:rsidRPr="004A5618" w:rsidRDefault="00CC128D" w:rsidP="00CC128D">
            <w:pPr>
              <w:spacing w:line="360" w:lineRule="auto"/>
              <w:jc w:val="center"/>
              <w:rPr>
                <w:rFonts w:ascii="Arial" w:hAnsi="Arial" w:cs="Arial"/>
                <w:b/>
                <w:sz w:val="24"/>
                <w:szCs w:val="24"/>
              </w:rPr>
            </w:pPr>
            <w:r>
              <w:rPr>
                <w:rFonts w:ascii="Arial" w:hAnsi="Arial" w:cs="Arial"/>
                <w:b/>
                <w:sz w:val="24"/>
                <w:szCs w:val="24"/>
              </w:rPr>
              <w:t>Respondent</w:t>
            </w:r>
            <w:r w:rsidR="00440567">
              <w:rPr>
                <w:rFonts w:ascii="Arial" w:hAnsi="Arial" w:cs="Arial"/>
                <w:b/>
                <w:sz w:val="24"/>
                <w:szCs w:val="24"/>
              </w:rPr>
              <w:t>s</w:t>
            </w:r>
          </w:p>
        </w:tc>
      </w:tr>
      <w:tr w:rsidR="00CA7995" w:rsidRPr="004A5618" w14:paraId="7F6632AA" w14:textId="77777777" w:rsidTr="00136505">
        <w:tc>
          <w:tcPr>
            <w:tcW w:w="4770" w:type="dxa"/>
          </w:tcPr>
          <w:p w14:paraId="776F3A39" w14:textId="744A09FA" w:rsidR="00562E95" w:rsidRPr="00440567" w:rsidRDefault="00440567" w:rsidP="00937C89">
            <w:pPr>
              <w:spacing w:line="360" w:lineRule="auto"/>
              <w:jc w:val="center"/>
              <w:rPr>
                <w:rFonts w:ascii="Arial" w:hAnsi="Arial" w:cs="Arial"/>
                <w:sz w:val="24"/>
                <w:szCs w:val="24"/>
              </w:rPr>
            </w:pPr>
            <w:r>
              <w:rPr>
                <w:rFonts w:ascii="Arial" w:hAnsi="Arial" w:cs="Arial"/>
                <w:sz w:val="24"/>
                <w:szCs w:val="24"/>
              </w:rPr>
              <w:t xml:space="preserve">S </w:t>
            </w:r>
            <w:r w:rsidRPr="00440567">
              <w:rPr>
                <w:rFonts w:ascii="Arial" w:hAnsi="Arial" w:cs="Arial"/>
                <w:sz w:val="24"/>
                <w:szCs w:val="24"/>
              </w:rPr>
              <w:t>Kahengombe</w:t>
            </w:r>
          </w:p>
          <w:p w14:paraId="5821C7F1" w14:textId="0119944C" w:rsidR="00B40844" w:rsidRPr="00134E9F" w:rsidRDefault="00E97512" w:rsidP="00937C89">
            <w:pPr>
              <w:spacing w:line="360" w:lineRule="auto"/>
              <w:jc w:val="center"/>
              <w:rPr>
                <w:rFonts w:ascii="Arial" w:hAnsi="Arial" w:cs="Arial"/>
                <w:sz w:val="24"/>
                <w:szCs w:val="24"/>
              </w:rPr>
            </w:pPr>
            <w:r>
              <w:rPr>
                <w:rFonts w:ascii="Arial" w:hAnsi="Arial" w:cs="Arial"/>
                <w:sz w:val="24"/>
                <w:szCs w:val="24"/>
              </w:rPr>
              <w:t>Of</w:t>
            </w:r>
          </w:p>
          <w:p w14:paraId="5DF3F17F" w14:textId="52EECD0B" w:rsidR="00B40844" w:rsidRPr="004A5618" w:rsidRDefault="00562E95" w:rsidP="00E97512">
            <w:pPr>
              <w:spacing w:line="360" w:lineRule="auto"/>
              <w:jc w:val="center"/>
              <w:rPr>
                <w:rFonts w:ascii="Arial" w:hAnsi="Arial" w:cs="Arial"/>
                <w:sz w:val="24"/>
                <w:szCs w:val="24"/>
              </w:rPr>
            </w:pPr>
            <w:r w:rsidRPr="00562E95">
              <w:rPr>
                <w:rFonts w:ascii="Arial" w:hAnsi="Arial" w:cs="Arial"/>
                <w:sz w:val="24"/>
                <w:szCs w:val="24"/>
              </w:rPr>
              <w:t>Kahengombe Law Chambers</w:t>
            </w:r>
            <w:r w:rsidR="00136505" w:rsidRPr="001B346B">
              <w:rPr>
                <w:rFonts w:ascii="Arial" w:hAnsi="Arial" w:cs="Arial"/>
                <w:sz w:val="24"/>
                <w:szCs w:val="24"/>
              </w:rPr>
              <w:t>,</w:t>
            </w:r>
            <w:r w:rsidR="00136505" w:rsidRPr="004A5618">
              <w:rPr>
                <w:rFonts w:ascii="Arial" w:hAnsi="Arial" w:cs="Arial"/>
                <w:sz w:val="24"/>
                <w:szCs w:val="24"/>
              </w:rPr>
              <w:t xml:space="preserve"> Windhoek</w:t>
            </w:r>
          </w:p>
        </w:tc>
        <w:tc>
          <w:tcPr>
            <w:tcW w:w="5436" w:type="dxa"/>
            <w:gridSpan w:val="2"/>
          </w:tcPr>
          <w:p w14:paraId="5DDC6B71" w14:textId="10D165A8" w:rsidR="00440567" w:rsidRPr="00440567" w:rsidRDefault="00440567" w:rsidP="00440567">
            <w:pPr>
              <w:spacing w:line="360" w:lineRule="auto"/>
              <w:jc w:val="center"/>
              <w:rPr>
                <w:rFonts w:ascii="Arial" w:hAnsi="Arial" w:cs="Arial"/>
                <w:sz w:val="24"/>
                <w:szCs w:val="24"/>
              </w:rPr>
            </w:pPr>
            <w:r w:rsidRPr="00440567">
              <w:rPr>
                <w:rFonts w:ascii="Arial" w:hAnsi="Arial" w:cs="Arial"/>
                <w:sz w:val="24"/>
                <w:szCs w:val="24"/>
              </w:rPr>
              <w:t xml:space="preserve">S </w:t>
            </w:r>
            <w:r>
              <w:rPr>
                <w:rFonts w:ascii="Arial" w:hAnsi="Arial" w:cs="Arial"/>
                <w:sz w:val="24"/>
                <w:szCs w:val="24"/>
              </w:rPr>
              <w:t>F</w:t>
            </w:r>
            <w:r w:rsidRPr="00440567">
              <w:rPr>
                <w:rFonts w:ascii="Arial" w:hAnsi="Arial" w:cs="Arial"/>
                <w:sz w:val="24"/>
                <w:szCs w:val="24"/>
              </w:rPr>
              <w:t xml:space="preserve"> </w:t>
            </w:r>
            <w:r>
              <w:rPr>
                <w:rFonts w:ascii="Arial" w:hAnsi="Arial" w:cs="Arial"/>
                <w:sz w:val="24"/>
                <w:szCs w:val="24"/>
              </w:rPr>
              <w:t>M</w:t>
            </w:r>
            <w:r w:rsidRPr="00440567">
              <w:rPr>
                <w:rFonts w:ascii="Arial" w:hAnsi="Arial" w:cs="Arial"/>
                <w:sz w:val="24"/>
                <w:szCs w:val="24"/>
              </w:rPr>
              <w:t>aritz</w:t>
            </w:r>
            <w:r>
              <w:rPr>
                <w:rFonts w:ascii="Arial" w:hAnsi="Arial" w:cs="Arial"/>
                <w:sz w:val="24"/>
                <w:szCs w:val="24"/>
              </w:rPr>
              <w:t xml:space="preserve"> (1</w:t>
            </w:r>
            <w:r w:rsidRPr="00440567">
              <w:rPr>
                <w:rFonts w:ascii="Arial" w:hAnsi="Arial" w:cs="Arial"/>
                <w:sz w:val="24"/>
                <w:szCs w:val="24"/>
                <w:vertAlign w:val="superscript"/>
              </w:rPr>
              <w:t>st</w:t>
            </w:r>
            <w:r>
              <w:rPr>
                <w:rFonts w:ascii="Arial" w:hAnsi="Arial" w:cs="Arial"/>
                <w:sz w:val="24"/>
                <w:szCs w:val="24"/>
              </w:rPr>
              <w:t xml:space="preserve"> and 3</w:t>
            </w:r>
            <w:r w:rsidRPr="00440567">
              <w:rPr>
                <w:rFonts w:ascii="Arial" w:hAnsi="Arial" w:cs="Arial"/>
                <w:sz w:val="24"/>
                <w:szCs w:val="24"/>
                <w:vertAlign w:val="superscript"/>
              </w:rPr>
              <w:t>rd</w:t>
            </w:r>
            <w:r>
              <w:rPr>
                <w:rFonts w:ascii="Arial" w:hAnsi="Arial" w:cs="Arial"/>
                <w:sz w:val="24"/>
                <w:szCs w:val="24"/>
              </w:rPr>
              <w:t xml:space="preserve"> respondents)</w:t>
            </w:r>
          </w:p>
          <w:p w14:paraId="3019EC82" w14:textId="6C12BF31" w:rsidR="00440567" w:rsidRPr="00134E9F" w:rsidRDefault="00440567" w:rsidP="00440567">
            <w:pPr>
              <w:spacing w:line="360" w:lineRule="auto"/>
              <w:jc w:val="center"/>
              <w:rPr>
                <w:rFonts w:ascii="Arial" w:hAnsi="Arial" w:cs="Arial"/>
                <w:sz w:val="24"/>
                <w:szCs w:val="24"/>
              </w:rPr>
            </w:pPr>
            <w:r>
              <w:rPr>
                <w:rFonts w:ascii="Arial" w:hAnsi="Arial" w:cs="Arial"/>
                <w:sz w:val="24"/>
                <w:szCs w:val="24"/>
              </w:rPr>
              <w:t>Of</w:t>
            </w:r>
          </w:p>
          <w:p w14:paraId="39652000" w14:textId="624185AE" w:rsidR="00B62F2B" w:rsidRDefault="00440567" w:rsidP="00440567">
            <w:pPr>
              <w:spacing w:line="360" w:lineRule="auto"/>
              <w:jc w:val="center"/>
              <w:rPr>
                <w:rFonts w:ascii="Arial" w:hAnsi="Arial" w:cs="Arial"/>
                <w:sz w:val="24"/>
                <w:szCs w:val="24"/>
              </w:rPr>
            </w:pPr>
            <w:r w:rsidRPr="00440567">
              <w:rPr>
                <w:rFonts w:ascii="Arial" w:hAnsi="Arial" w:cs="Arial"/>
                <w:sz w:val="24"/>
                <w:szCs w:val="24"/>
              </w:rPr>
              <w:t>Dr Weder, Kauta &amp; Hoveka Inc</w:t>
            </w:r>
            <w:r>
              <w:t>.</w:t>
            </w:r>
            <w:r w:rsidRPr="001B346B">
              <w:rPr>
                <w:rFonts w:ascii="Arial" w:hAnsi="Arial" w:cs="Arial"/>
                <w:sz w:val="24"/>
                <w:szCs w:val="24"/>
              </w:rPr>
              <w:t>,</w:t>
            </w:r>
            <w:r w:rsidRPr="004A5618">
              <w:rPr>
                <w:rFonts w:ascii="Arial" w:hAnsi="Arial" w:cs="Arial"/>
                <w:sz w:val="24"/>
                <w:szCs w:val="24"/>
              </w:rPr>
              <w:t xml:space="preserve"> Windhoek</w:t>
            </w:r>
          </w:p>
          <w:p w14:paraId="77897F3B" w14:textId="4AEC043E" w:rsidR="00440567" w:rsidRDefault="001F1794" w:rsidP="00440567">
            <w:pPr>
              <w:spacing w:line="360" w:lineRule="auto"/>
              <w:jc w:val="center"/>
              <w:rPr>
                <w:rFonts w:ascii="Arial" w:hAnsi="Arial" w:cs="Arial"/>
                <w:sz w:val="24"/>
                <w:szCs w:val="24"/>
              </w:rPr>
            </w:pPr>
            <w:r>
              <w:rPr>
                <w:rFonts w:ascii="Arial" w:hAnsi="Arial" w:cs="Arial"/>
                <w:sz w:val="24"/>
                <w:szCs w:val="24"/>
              </w:rPr>
              <w:t>and</w:t>
            </w:r>
          </w:p>
          <w:p w14:paraId="35DF809C" w14:textId="2D79E582" w:rsidR="00440567" w:rsidRPr="001F1794" w:rsidRDefault="00440567" w:rsidP="00440567">
            <w:pPr>
              <w:spacing w:line="360" w:lineRule="auto"/>
              <w:jc w:val="center"/>
              <w:rPr>
                <w:rFonts w:ascii="Arial" w:hAnsi="Arial" w:cs="Arial"/>
                <w:sz w:val="24"/>
                <w:szCs w:val="24"/>
              </w:rPr>
            </w:pPr>
            <w:r w:rsidRPr="001F1794">
              <w:rPr>
                <w:rFonts w:ascii="Arial" w:hAnsi="Arial" w:cs="Arial"/>
                <w:sz w:val="24"/>
                <w:szCs w:val="24"/>
              </w:rPr>
              <w:t> </w:t>
            </w:r>
            <w:r w:rsidR="001F1794" w:rsidRPr="001F1794">
              <w:rPr>
                <w:rFonts w:ascii="Arial" w:hAnsi="Arial" w:cs="Arial"/>
                <w:sz w:val="24"/>
                <w:szCs w:val="24"/>
              </w:rPr>
              <w:t xml:space="preserve">K </w:t>
            </w:r>
            <w:r w:rsidR="001F1794">
              <w:rPr>
                <w:rFonts w:ascii="Arial" w:hAnsi="Arial" w:cs="Arial"/>
                <w:sz w:val="24"/>
                <w:szCs w:val="24"/>
              </w:rPr>
              <w:t>M</w:t>
            </w:r>
            <w:r w:rsidR="001F1794" w:rsidRPr="001F1794">
              <w:rPr>
                <w:rFonts w:ascii="Arial" w:hAnsi="Arial" w:cs="Arial"/>
                <w:sz w:val="24"/>
                <w:szCs w:val="24"/>
              </w:rPr>
              <w:t>ushore</w:t>
            </w:r>
            <w:r w:rsidR="001F1794">
              <w:rPr>
                <w:rFonts w:ascii="Arial" w:hAnsi="Arial" w:cs="Arial"/>
                <w:sz w:val="24"/>
                <w:szCs w:val="24"/>
              </w:rPr>
              <w:t xml:space="preserve"> (2</w:t>
            </w:r>
            <w:r w:rsidR="001F1794" w:rsidRPr="001F1794">
              <w:rPr>
                <w:rFonts w:ascii="Arial" w:hAnsi="Arial" w:cs="Arial"/>
                <w:sz w:val="24"/>
                <w:szCs w:val="24"/>
                <w:vertAlign w:val="superscript"/>
              </w:rPr>
              <w:t>nd</w:t>
            </w:r>
            <w:r w:rsidR="001F1794">
              <w:rPr>
                <w:rFonts w:ascii="Arial" w:hAnsi="Arial" w:cs="Arial"/>
                <w:sz w:val="24"/>
                <w:szCs w:val="24"/>
              </w:rPr>
              <w:t xml:space="preserve"> respondent)</w:t>
            </w:r>
          </w:p>
          <w:p w14:paraId="5A55B3CE" w14:textId="77777777" w:rsidR="00440567" w:rsidRPr="00134E9F" w:rsidRDefault="00440567" w:rsidP="00440567">
            <w:pPr>
              <w:spacing w:line="360" w:lineRule="auto"/>
              <w:jc w:val="center"/>
              <w:rPr>
                <w:rFonts w:ascii="Arial" w:hAnsi="Arial" w:cs="Arial"/>
                <w:sz w:val="24"/>
                <w:szCs w:val="24"/>
              </w:rPr>
            </w:pPr>
            <w:r>
              <w:rPr>
                <w:rFonts w:ascii="Arial" w:hAnsi="Arial" w:cs="Arial"/>
                <w:sz w:val="24"/>
                <w:szCs w:val="24"/>
              </w:rPr>
              <w:t>Of</w:t>
            </w:r>
          </w:p>
          <w:p w14:paraId="24DFC0CD" w14:textId="5B10EDC3" w:rsidR="00440567" w:rsidRDefault="001F1794" w:rsidP="00440567">
            <w:pPr>
              <w:spacing w:line="360" w:lineRule="auto"/>
              <w:jc w:val="center"/>
              <w:rPr>
                <w:rFonts w:ascii="Arial" w:hAnsi="Arial" w:cs="Arial"/>
                <w:sz w:val="24"/>
                <w:szCs w:val="24"/>
              </w:rPr>
            </w:pPr>
            <w:r w:rsidRPr="001F1794">
              <w:rPr>
                <w:rFonts w:ascii="Arial" w:hAnsi="Arial" w:cs="Arial"/>
                <w:sz w:val="24"/>
                <w:szCs w:val="24"/>
              </w:rPr>
              <w:t>Etzold-Duvenhage</w:t>
            </w:r>
            <w:r w:rsidR="00440567" w:rsidRPr="001B346B">
              <w:rPr>
                <w:rFonts w:ascii="Arial" w:hAnsi="Arial" w:cs="Arial"/>
                <w:sz w:val="24"/>
                <w:szCs w:val="24"/>
              </w:rPr>
              <w:t>,</w:t>
            </w:r>
            <w:r w:rsidR="00440567" w:rsidRPr="004A5618">
              <w:rPr>
                <w:rFonts w:ascii="Arial" w:hAnsi="Arial" w:cs="Arial"/>
                <w:sz w:val="24"/>
                <w:szCs w:val="24"/>
              </w:rPr>
              <w:t xml:space="preserve"> Windhoek</w:t>
            </w:r>
          </w:p>
          <w:p w14:paraId="2EDA150C" w14:textId="6D92F245" w:rsidR="00440567" w:rsidRPr="004A5618" w:rsidRDefault="00440567" w:rsidP="00440567">
            <w:pPr>
              <w:spacing w:line="360" w:lineRule="auto"/>
              <w:jc w:val="center"/>
              <w:rPr>
                <w:rFonts w:ascii="Arial" w:hAnsi="Arial" w:cs="Arial"/>
                <w:sz w:val="24"/>
                <w:szCs w:val="24"/>
              </w:rPr>
            </w:pPr>
          </w:p>
        </w:tc>
      </w:tr>
    </w:tbl>
    <w:p w14:paraId="0EB2A4A3" w14:textId="77777777" w:rsidR="00B845CF" w:rsidRDefault="00B845CF"/>
    <w:sectPr w:rsidR="00B845CF" w:rsidSect="00340EA6">
      <w:headerReference w:type="default" r:id="rId9"/>
      <w:footerReference w:type="default" r:id="rId10"/>
      <w:pgSz w:w="11906" w:h="16838"/>
      <w:pgMar w:top="993" w:right="1440" w:bottom="851"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50E77" w14:textId="77777777" w:rsidR="00A512A0" w:rsidRPr="004A5618" w:rsidRDefault="00A512A0" w:rsidP="00B40844">
      <w:pPr>
        <w:spacing w:after="0" w:line="240" w:lineRule="auto"/>
      </w:pPr>
      <w:r w:rsidRPr="004A5618">
        <w:separator/>
      </w:r>
    </w:p>
  </w:endnote>
  <w:endnote w:type="continuationSeparator" w:id="0">
    <w:p w14:paraId="44BB0EE4" w14:textId="77777777" w:rsidR="00A512A0" w:rsidRPr="004A5618" w:rsidRDefault="00A512A0" w:rsidP="00B40844">
      <w:pPr>
        <w:spacing w:after="0" w:line="240" w:lineRule="auto"/>
      </w:pPr>
      <w:r w:rsidRPr="004A561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715E" w14:textId="77777777" w:rsidR="00937C89" w:rsidRPr="004A5618"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8492E" w14:textId="77777777" w:rsidR="00A512A0" w:rsidRPr="004A5618" w:rsidRDefault="00A512A0" w:rsidP="00B40844">
      <w:pPr>
        <w:spacing w:after="0" w:line="240" w:lineRule="auto"/>
      </w:pPr>
      <w:r w:rsidRPr="004A5618">
        <w:separator/>
      </w:r>
    </w:p>
  </w:footnote>
  <w:footnote w:type="continuationSeparator" w:id="0">
    <w:p w14:paraId="00268E4C" w14:textId="77777777" w:rsidR="00A512A0" w:rsidRPr="004A5618" w:rsidRDefault="00A512A0" w:rsidP="00B40844">
      <w:pPr>
        <w:spacing w:after="0" w:line="240" w:lineRule="auto"/>
      </w:pPr>
      <w:r w:rsidRPr="004A5618">
        <w:continuationSeparator/>
      </w:r>
    </w:p>
  </w:footnote>
  <w:footnote w:id="1">
    <w:p w14:paraId="099A8E94" w14:textId="77777777" w:rsidR="00D95BF0" w:rsidRPr="00C95CA0" w:rsidRDefault="00D95BF0" w:rsidP="00C95CA0">
      <w:pPr>
        <w:pStyle w:val="FootnoteText"/>
        <w:jc w:val="both"/>
        <w:rPr>
          <w:rFonts w:ascii="Arial" w:hAnsi="Arial" w:cs="Arial"/>
          <w:lang w:val="en-US"/>
        </w:rPr>
      </w:pPr>
      <w:r w:rsidRPr="00C95CA0">
        <w:rPr>
          <w:rStyle w:val="FootnoteReference"/>
          <w:rFonts w:ascii="Arial" w:hAnsi="Arial" w:cs="Arial"/>
        </w:rPr>
        <w:footnoteRef/>
      </w:r>
      <w:r w:rsidRPr="00C95CA0">
        <w:rPr>
          <w:rFonts w:ascii="Arial" w:hAnsi="Arial" w:cs="Arial"/>
        </w:rPr>
        <w:t xml:space="preserve"> </w:t>
      </w:r>
      <w:r w:rsidRPr="00C95CA0">
        <w:rPr>
          <w:rFonts w:ascii="Arial" w:hAnsi="Arial" w:cs="Arial"/>
          <w:i/>
          <w:iCs/>
          <w:lang w:val="en-US"/>
        </w:rPr>
        <w:t>Christian v Metropolitan Life Namibia Retirement Annuity Fund</w:t>
      </w:r>
      <w:r w:rsidRPr="00C95CA0">
        <w:rPr>
          <w:rFonts w:ascii="Arial" w:hAnsi="Arial" w:cs="Arial"/>
          <w:lang w:val="en-US"/>
        </w:rPr>
        <w:t xml:space="preserve"> 2002 (2) NR 753 (SC) para 15.</w:t>
      </w:r>
    </w:p>
  </w:footnote>
  <w:footnote w:id="2">
    <w:p w14:paraId="095C7F1D" w14:textId="19F6C5DB" w:rsidR="00D95BF0" w:rsidRPr="00C95CA0" w:rsidRDefault="00D95BF0" w:rsidP="00C95CA0">
      <w:pPr>
        <w:pStyle w:val="FootnoteText"/>
        <w:jc w:val="both"/>
        <w:rPr>
          <w:rFonts w:ascii="Arial" w:hAnsi="Arial" w:cs="Arial"/>
          <w:lang w:val="en-US"/>
        </w:rPr>
      </w:pPr>
      <w:r w:rsidRPr="00C95CA0">
        <w:rPr>
          <w:rStyle w:val="FootnoteReference"/>
          <w:rFonts w:ascii="Arial" w:hAnsi="Arial" w:cs="Arial"/>
        </w:rPr>
        <w:footnoteRef/>
      </w:r>
      <w:r w:rsidRPr="00C95CA0">
        <w:rPr>
          <w:rFonts w:ascii="Arial" w:hAnsi="Arial" w:cs="Arial"/>
        </w:rPr>
        <w:t xml:space="preserve"> </w:t>
      </w:r>
      <w:r w:rsidR="003D6471">
        <w:rPr>
          <w:rFonts w:ascii="Arial" w:hAnsi="Arial" w:cs="Arial"/>
          <w:i/>
          <w:iCs/>
          <w:lang w:val="en-US"/>
        </w:rPr>
        <w:t>Nol</w:t>
      </w:r>
      <w:r w:rsidRPr="00C95CA0">
        <w:rPr>
          <w:rFonts w:ascii="Arial" w:hAnsi="Arial" w:cs="Arial"/>
          <w:i/>
          <w:iCs/>
          <w:lang w:val="en-US"/>
        </w:rPr>
        <w:t>te v Minister of Environment, Forestry and Tourism</w:t>
      </w:r>
      <w:r w:rsidRPr="00C95CA0">
        <w:rPr>
          <w:rFonts w:ascii="Arial" w:hAnsi="Arial" w:cs="Arial"/>
          <w:lang w:val="en-US"/>
        </w:rPr>
        <w:t xml:space="preserve"> [2003] NAHCMD 361 (28 June 2023) para 5.</w:t>
      </w:r>
    </w:p>
  </w:footnote>
  <w:footnote w:id="3">
    <w:p w14:paraId="3C85299E" w14:textId="77777777" w:rsidR="00D95BF0" w:rsidRPr="00C95CA0" w:rsidRDefault="00D95BF0" w:rsidP="00C95CA0">
      <w:pPr>
        <w:pStyle w:val="FootnoteText"/>
        <w:jc w:val="both"/>
        <w:rPr>
          <w:rFonts w:ascii="Arial" w:hAnsi="Arial" w:cs="Arial"/>
          <w:lang w:val="en-US"/>
        </w:rPr>
      </w:pPr>
      <w:r w:rsidRPr="00C95CA0">
        <w:rPr>
          <w:rStyle w:val="FootnoteReference"/>
          <w:rFonts w:ascii="Arial" w:hAnsi="Arial" w:cs="Arial"/>
        </w:rPr>
        <w:footnoteRef/>
      </w:r>
      <w:r w:rsidRPr="00C95CA0">
        <w:rPr>
          <w:rFonts w:ascii="Arial" w:hAnsi="Arial" w:cs="Arial"/>
        </w:rPr>
        <w:t xml:space="preserve"> </w:t>
      </w:r>
      <w:r w:rsidRPr="00C95CA0">
        <w:rPr>
          <w:rFonts w:ascii="Arial" w:hAnsi="Arial" w:cs="Arial"/>
          <w:i/>
          <w:iCs/>
        </w:rPr>
        <w:t>Nelumbu v Shikumwah</w:t>
      </w:r>
      <w:r w:rsidRPr="00C95CA0">
        <w:rPr>
          <w:rFonts w:ascii="Arial" w:hAnsi="Arial" w:cs="Arial"/>
        </w:rPr>
        <w:t xml:space="preserve"> (SA27-2015) [2017] NASC 14 (13 April 2017) paras 40-45.</w:t>
      </w:r>
    </w:p>
  </w:footnote>
  <w:footnote w:id="4">
    <w:p w14:paraId="5B9A6112" w14:textId="77777777" w:rsidR="00D95BF0" w:rsidRPr="00C95CA0" w:rsidRDefault="00D95BF0" w:rsidP="00C95CA0">
      <w:pPr>
        <w:pStyle w:val="FootnoteText"/>
        <w:jc w:val="both"/>
        <w:rPr>
          <w:rFonts w:ascii="Arial" w:hAnsi="Arial" w:cs="Arial"/>
          <w:i/>
          <w:iCs/>
          <w:lang w:val="en-US"/>
        </w:rPr>
      </w:pPr>
      <w:r w:rsidRPr="00C95CA0">
        <w:rPr>
          <w:rStyle w:val="FootnoteReference"/>
          <w:rFonts w:ascii="Arial" w:hAnsi="Arial" w:cs="Arial"/>
        </w:rPr>
        <w:footnoteRef/>
      </w:r>
      <w:r w:rsidRPr="00C95CA0">
        <w:rPr>
          <w:rFonts w:ascii="Arial" w:hAnsi="Arial" w:cs="Arial"/>
        </w:rPr>
        <w:t xml:space="preserve"> </w:t>
      </w:r>
      <w:r w:rsidRPr="00C95CA0">
        <w:rPr>
          <w:rFonts w:ascii="Arial" w:hAnsi="Arial" w:cs="Arial"/>
          <w:i/>
          <w:iCs/>
          <w:lang w:val="en-US"/>
        </w:rPr>
        <w:t>Johannesburg Consolidated Investment Co v Johannesburg Town Council</w:t>
      </w:r>
      <w:r w:rsidRPr="00C95CA0">
        <w:rPr>
          <w:rFonts w:ascii="Arial" w:hAnsi="Arial" w:cs="Arial"/>
          <w:lang w:val="en-US"/>
        </w:rPr>
        <w:t xml:space="preserve"> 1903 TS III, applied by the court in, for example, </w:t>
      </w:r>
      <w:r w:rsidRPr="00C95CA0">
        <w:rPr>
          <w:rFonts w:ascii="Arial" w:hAnsi="Arial" w:cs="Arial"/>
          <w:i/>
          <w:iCs/>
          <w:lang w:val="en-US"/>
        </w:rPr>
        <w:t>Federal Convention of Namibia v Speaker, National Assembly of Namibia and Others</w:t>
      </w:r>
      <w:r w:rsidRPr="00C95CA0">
        <w:rPr>
          <w:rFonts w:ascii="Arial" w:hAnsi="Arial" w:cs="Arial"/>
          <w:lang w:val="en-US"/>
        </w:rPr>
        <w:t xml:space="preserve"> 1991 NR 69 (HC); and </w:t>
      </w:r>
      <w:r w:rsidRPr="00C95CA0">
        <w:rPr>
          <w:rFonts w:ascii="Arial" w:hAnsi="Arial" w:cs="Arial"/>
          <w:i/>
          <w:iCs/>
          <w:lang w:val="en-US"/>
        </w:rPr>
        <w:t>New Era Investment (Pty) Ltd v Roads Authority and Others</w:t>
      </w:r>
      <w:r w:rsidRPr="00C95CA0">
        <w:rPr>
          <w:rFonts w:ascii="Arial" w:hAnsi="Arial" w:cs="Arial"/>
          <w:lang w:val="en-US"/>
        </w:rPr>
        <w:t xml:space="preserve"> 2014 (2) NR 596 (HC).</w:t>
      </w:r>
    </w:p>
  </w:footnote>
  <w:footnote w:id="5">
    <w:p w14:paraId="4C8AE51A" w14:textId="77777777" w:rsidR="00D95BF0" w:rsidRPr="00C95CA0" w:rsidRDefault="00D95BF0" w:rsidP="00C95CA0">
      <w:pPr>
        <w:pStyle w:val="FootnoteText"/>
        <w:jc w:val="both"/>
        <w:rPr>
          <w:rFonts w:ascii="Arial" w:hAnsi="Arial" w:cs="Arial"/>
          <w:lang w:val="en-US"/>
        </w:rPr>
      </w:pPr>
      <w:r w:rsidRPr="00C95CA0">
        <w:rPr>
          <w:rStyle w:val="FootnoteReference"/>
          <w:rFonts w:ascii="Arial" w:hAnsi="Arial" w:cs="Arial"/>
        </w:rPr>
        <w:footnoteRef/>
      </w:r>
      <w:r w:rsidRPr="00C95CA0">
        <w:rPr>
          <w:rFonts w:ascii="Arial" w:hAnsi="Arial" w:cs="Arial"/>
        </w:rPr>
        <w:t xml:space="preserve"> </w:t>
      </w:r>
      <w:r w:rsidRPr="00C95CA0">
        <w:rPr>
          <w:rFonts w:ascii="Arial" w:hAnsi="Arial" w:cs="Arial"/>
          <w:i/>
          <w:iCs/>
          <w:lang w:val="en-US"/>
        </w:rPr>
        <w:t>Kamwi v Standard Bank of Namibia Ltd</w:t>
      </w:r>
      <w:r w:rsidRPr="00C95CA0">
        <w:rPr>
          <w:rFonts w:ascii="Arial" w:hAnsi="Arial" w:cs="Arial"/>
          <w:lang w:val="en-US"/>
        </w:rPr>
        <w:t xml:space="preserve"> 2020 NR (4) 1038 (SC); </w:t>
      </w:r>
      <w:r w:rsidRPr="00C95CA0">
        <w:rPr>
          <w:rFonts w:ascii="Arial" w:hAnsi="Arial" w:cs="Arial"/>
          <w:i/>
          <w:iCs/>
          <w:lang w:val="en-US"/>
        </w:rPr>
        <w:t>Helao Nafidi Town Council v Kambode</w:t>
      </w:r>
      <w:r w:rsidRPr="00C95CA0">
        <w:rPr>
          <w:rFonts w:ascii="Arial" w:hAnsi="Arial" w:cs="Arial"/>
          <w:lang w:val="en-US"/>
        </w:rPr>
        <w:t xml:space="preserve"> [2017] NASC (12 May 2017).</w:t>
      </w:r>
    </w:p>
  </w:footnote>
  <w:footnote w:id="6">
    <w:p w14:paraId="0783F010" w14:textId="77777777" w:rsidR="00D95BF0" w:rsidRPr="007B2615" w:rsidRDefault="00D95BF0" w:rsidP="007B2615">
      <w:pPr>
        <w:pStyle w:val="FootnoteText"/>
        <w:jc w:val="both"/>
        <w:rPr>
          <w:rFonts w:ascii="Arial" w:hAnsi="Arial" w:cs="Arial"/>
          <w:lang w:val="en-US"/>
        </w:rPr>
      </w:pPr>
      <w:r w:rsidRPr="007B2615">
        <w:rPr>
          <w:rStyle w:val="FootnoteReference"/>
          <w:rFonts w:ascii="Arial" w:hAnsi="Arial" w:cs="Arial"/>
        </w:rPr>
        <w:footnoteRef/>
      </w:r>
      <w:r w:rsidRPr="007B2615">
        <w:rPr>
          <w:rFonts w:ascii="Arial" w:hAnsi="Arial" w:cs="Arial"/>
        </w:rPr>
        <w:t xml:space="preserve"> </w:t>
      </w:r>
      <w:r w:rsidRPr="007B2615">
        <w:rPr>
          <w:rFonts w:ascii="Arial" w:hAnsi="Arial" w:cs="Arial"/>
          <w:i/>
          <w:iCs/>
          <w:lang w:val="en-US"/>
        </w:rPr>
        <w:t>PDS Holdings (BV1) v Minister of Land Reform</w:t>
      </w:r>
      <w:r w:rsidRPr="007B2615">
        <w:rPr>
          <w:rFonts w:ascii="Arial" w:hAnsi="Arial" w:cs="Arial"/>
          <w:lang w:val="en-US"/>
        </w:rPr>
        <w:t xml:space="preserve"> [2018] NAHCMD 129 (16 May 2018), applying </w:t>
      </w:r>
      <w:r w:rsidRPr="007B2615">
        <w:rPr>
          <w:rFonts w:ascii="Arial" w:hAnsi="Arial" w:cs="Arial"/>
          <w:i/>
          <w:iCs/>
          <w:lang w:val="en-US"/>
        </w:rPr>
        <w:t>Locke v Van der Merwe</w:t>
      </w:r>
      <w:r w:rsidRPr="007B2615">
        <w:rPr>
          <w:rFonts w:ascii="Arial" w:hAnsi="Arial" w:cs="Arial"/>
          <w:lang w:val="en-US"/>
        </w:rPr>
        <w:t xml:space="preserve"> 016 (1) NR1 (SC) at 18H-19F.</w:t>
      </w:r>
    </w:p>
  </w:footnote>
  <w:footnote w:id="7">
    <w:p w14:paraId="6B9D5294" w14:textId="77777777" w:rsidR="00D95BF0" w:rsidRPr="007B2615" w:rsidRDefault="00D95BF0" w:rsidP="007B2615">
      <w:pPr>
        <w:pStyle w:val="FootnoteText"/>
        <w:jc w:val="both"/>
        <w:rPr>
          <w:rFonts w:ascii="Arial" w:hAnsi="Arial" w:cs="Arial"/>
          <w:lang w:val="en-US"/>
        </w:rPr>
      </w:pPr>
      <w:r w:rsidRPr="007B2615">
        <w:rPr>
          <w:rStyle w:val="FootnoteReference"/>
          <w:rFonts w:ascii="Arial" w:hAnsi="Arial" w:cs="Arial"/>
        </w:rPr>
        <w:footnoteRef/>
      </w:r>
      <w:r w:rsidRPr="007B2615">
        <w:rPr>
          <w:rFonts w:ascii="Arial" w:hAnsi="Arial" w:cs="Arial"/>
        </w:rPr>
        <w:t xml:space="preserve"> </w:t>
      </w:r>
      <w:r w:rsidRPr="007B2615">
        <w:rPr>
          <w:rFonts w:ascii="Arial" w:hAnsi="Arial" w:cs="Arial"/>
          <w:lang w:val="en-US"/>
        </w:rPr>
        <w:t>See para 7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575618"/>
      <w:docPartObj>
        <w:docPartGallery w:val="Page Numbers (Top of Page)"/>
        <w:docPartUnique/>
      </w:docPartObj>
    </w:sdtPr>
    <w:sdtEndPr/>
    <w:sdtContent>
      <w:p w14:paraId="34337E68" w14:textId="77777777" w:rsidR="00157447" w:rsidRPr="004A5618" w:rsidRDefault="00157447">
        <w:pPr>
          <w:pStyle w:val="Header"/>
          <w:jc w:val="right"/>
        </w:pPr>
        <w:r w:rsidRPr="004A5618">
          <w:rPr>
            <w:rFonts w:ascii="Arial" w:hAnsi="Arial" w:cs="Arial"/>
            <w:sz w:val="24"/>
            <w:szCs w:val="24"/>
          </w:rPr>
          <w:fldChar w:fldCharType="begin"/>
        </w:r>
        <w:r w:rsidRPr="004A5618">
          <w:rPr>
            <w:rFonts w:ascii="Arial" w:hAnsi="Arial" w:cs="Arial"/>
            <w:sz w:val="24"/>
            <w:szCs w:val="24"/>
          </w:rPr>
          <w:instrText xml:space="preserve"> PAGE   \* MERGEFORMAT </w:instrText>
        </w:r>
        <w:r w:rsidRPr="004A5618">
          <w:rPr>
            <w:rFonts w:ascii="Arial" w:hAnsi="Arial" w:cs="Arial"/>
            <w:sz w:val="24"/>
            <w:szCs w:val="24"/>
          </w:rPr>
          <w:fldChar w:fldCharType="separate"/>
        </w:r>
        <w:r w:rsidR="00E727DB">
          <w:rPr>
            <w:rFonts w:ascii="Arial" w:hAnsi="Arial" w:cs="Arial"/>
            <w:noProof/>
            <w:sz w:val="24"/>
            <w:szCs w:val="24"/>
          </w:rPr>
          <w:t>2</w:t>
        </w:r>
        <w:r w:rsidRPr="004A5618">
          <w:rPr>
            <w:rFonts w:ascii="Arial" w:hAnsi="Arial" w:cs="Arial"/>
            <w:sz w:val="24"/>
            <w:szCs w:val="24"/>
          </w:rPr>
          <w:fldChar w:fldCharType="end"/>
        </w:r>
      </w:p>
    </w:sdtContent>
  </w:sdt>
  <w:p w14:paraId="36851913" w14:textId="77777777" w:rsidR="00157447" w:rsidRPr="004A5618" w:rsidRDefault="00157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15:restartNumberingAfterBreak="0">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15:restartNumberingAfterBreak="0">
    <w:nsid w:val="0646573E"/>
    <w:multiLevelType w:val="hybridMultilevel"/>
    <w:tmpl w:val="99A4C3D4"/>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92D2169"/>
    <w:multiLevelType w:val="hybridMultilevel"/>
    <w:tmpl w:val="92DEF4C6"/>
    <w:lvl w:ilvl="0" w:tplc="B24A7226">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5" w15:restartNumberingAfterBreak="0">
    <w:nsid w:val="14AD5361"/>
    <w:multiLevelType w:val="hybridMultilevel"/>
    <w:tmpl w:val="D944A550"/>
    <w:lvl w:ilvl="0" w:tplc="63FAEF5A">
      <w:start w:val="1"/>
      <w:numFmt w:val="lowerLetter"/>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6" w15:restartNumberingAfterBreak="0">
    <w:nsid w:val="19034F07"/>
    <w:multiLevelType w:val="hybridMultilevel"/>
    <w:tmpl w:val="4318823E"/>
    <w:lvl w:ilvl="0" w:tplc="492A46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BCA31AD"/>
    <w:multiLevelType w:val="hybridMultilevel"/>
    <w:tmpl w:val="57E8C07C"/>
    <w:lvl w:ilvl="0" w:tplc="082E31EA">
      <w:start w:val="1"/>
      <w:numFmt w:val="decimal"/>
      <w:lvlText w:val="%1."/>
      <w:lvlJc w:val="left"/>
      <w:pPr>
        <w:ind w:left="1110" w:hanging="7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0D76698"/>
    <w:multiLevelType w:val="hybridMultilevel"/>
    <w:tmpl w:val="122ED9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7947409"/>
    <w:multiLevelType w:val="hybridMultilevel"/>
    <w:tmpl w:val="9E5827D0"/>
    <w:lvl w:ilvl="0" w:tplc="075CC504">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10" w15:restartNumberingAfterBreak="0">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3" w15:restartNumberingAfterBreak="0">
    <w:nsid w:val="4B426C91"/>
    <w:multiLevelType w:val="hybridMultilevel"/>
    <w:tmpl w:val="5FBE82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1271D44"/>
    <w:multiLevelType w:val="hybridMultilevel"/>
    <w:tmpl w:val="C9820F42"/>
    <w:lvl w:ilvl="0" w:tplc="C92658F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13C34B2"/>
    <w:multiLevelType w:val="hybridMultilevel"/>
    <w:tmpl w:val="EFF8908E"/>
    <w:lvl w:ilvl="0" w:tplc="9382741C">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16" w15:restartNumberingAfterBreak="0">
    <w:nsid w:val="534255FC"/>
    <w:multiLevelType w:val="hybridMultilevel"/>
    <w:tmpl w:val="9F12DE0E"/>
    <w:lvl w:ilvl="0" w:tplc="5A2A9780">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17" w15:restartNumberingAfterBreak="0">
    <w:nsid w:val="57046B77"/>
    <w:multiLevelType w:val="hybridMultilevel"/>
    <w:tmpl w:val="6094AB24"/>
    <w:lvl w:ilvl="0" w:tplc="383E0F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C221D8"/>
    <w:multiLevelType w:val="hybridMultilevel"/>
    <w:tmpl w:val="1A50CB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60B056F"/>
    <w:multiLevelType w:val="hybridMultilevel"/>
    <w:tmpl w:val="6A0005DE"/>
    <w:lvl w:ilvl="0" w:tplc="EB5019F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0024C75"/>
    <w:multiLevelType w:val="hybridMultilevel"/>
    <w:tmpl w:val="6094AB24"/>
    <w:lvl w:ilvl="0" w:tplc="383E0F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A1302A3"/>
    <w:multiLevelType w:val="hybridMultilevel"/>
    <w:tmpl w:val="6EB2FC96"/>
    <w:lvl w:ilvl="0" w:tplc="A394D874">
      <w:start w:val="1"/>
      <w:numFmt w:val="lowerLetter"/>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23" w15:restartNumberingAfterBreak="0">
    <w:nsid w:val="7D8A7B9E"/>
    <w:multiLevelType w:val="hybridMultilevel"/>
    <w:tmpl w:val="D11E27FA"/>
    <w:lvl w:ilvl="0" w:tplc="57745AA4">
      <w:start w:val="1"/>
      <w:numFmt w:val="decimal"/>
      <w:lvlText w:val="%1."/>
      <w:lvlJc w:val="left"/>
      <w:pPr>
        <w:ind w:left="1103" w:hanging="360"/>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24" w15:restartNumberingAfterBreak="0">
    <w:nsid w:val="7DB30925"/>
    <w:multiLevelType w:val="hybridMultilevel"/>
    <w:tmpl w:val="4B80FB1A"/>
    <w:lvl w:ilvl="0" w:tplc="D0E688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8"/>
  </w:num>
  <w:num w:numId="3">
    <w:abstractNumId w:val="12"/>
  </w:num>
  <w:num w:numId="4">
    <w:abstractNumId w:val="2"/>
  </w:num>
  <w:num w:numId="5">
    <w:abstractNumId w:val="1"/>
  </w:num>
  <w:num w:numId="6">
    <w:abstractNumId w:val="11"/>
  </w:num>
  <w:num w:numId="7">
    <w:abstractNumId w:val="10"/>
  </w:num>
  <w:num w:numId="8">
    <w:abstractNumId w:val="23"/>
  </w:num>
  <w:num w:numId="9">
    <w:abstractNumId w:val="7"/>
  </w:num>
  <w:num w:numId="10">
    <w:abstractNumId w:val="4"/>
  </w:num>
  <w:num w:numId="11">
    <w:abstractNumId w:val="1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6"/>
  </w:num>
  <w:num w:numId="15">
    <w:abstractNumId w:val="9"/>
  </w:num>
  <w:num w:numId="16">
    <w:abstractNumId w:val="22"/>
  </w:num>
  <w:num w:numId="17">
    <w:abstractNumId w:val="5"/>
  </w:num>
  <w:num w:numId="18">
    <w:abstractNumId w:val="21"/>
  </w:num>
  <w:num w:numId="19">
    <w:abstractNumId w:val="24"/>
  </w:num>
  <w:num w:numId="20">
    <w:abstractNumId w:val="15"/>
  </w:num>
  <w:num w:numId="21">
    <w:abstractNumId w:val="14"/>
  </w:num>
  <w:num w:numId="22">
    <w:abstractNumId w:val="16"/>
  </w:num>
  <w:num w:numId="23">
    <w:abstractNumId w:val="3"/>
  </w:num>
  <w:num w:numId="24">
    <w:abstractNumId w:val="13"/>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1CE5"/>
    <w:rsid w:val="00002760"/>
    <w:rsid w:val="000142CE"/>
    <w:rsid w:val="00015808"/>
    <w:rsid w:val="000200BD"/>
    <w:rsid w:val="00022A4B"/>
    <w:rsid w:val="00030A66"/>
    <w:rsid w:val="00031642"/>
    <w:rsid w:val="00042EFE"/>
    <w:rsid w:val="00043914"/>
    <w:rsid w:val="00047BBE"/>
    <w:rsid w:val="0005029C"/>
    <w:rsid w:val="00052806"/>
    <w:rsid w:val="00052A39"/>
    <w:rsid w:val="00053646"/>
    <w:rsid w:val="0006006E"/>
    <w:rsid w:val="000650A0"/>
    <w:rsid w:val="00070995"/>
    <w:rsid w:val="00071E6A"/>
    <w:rsid w:val="00076184"/>
    <w:rsid w:val="000929C5"/>
    <w:rsid w:val="000A6E7F"/>
    <w:rsid w:val="000B297E"/>
    <w:rsid w:val="000D1E23"/>
    <w:rsid w:val="000E7C99"/>
    <w:rsid w:val="000F2FD9"/>
    <w:rsid w:val="000F39A3"/>
    <w:rsid w:val="000F681E"/>
    <w:rsid w:val="00100870"/>
    <w:rsid w:val="001032AE"/>
    <w:rsid w:val="00116AFB"/>
    <w:rsid w:val="00117280"/>
    <w:rsid w:val="001223B7"/>
    <w:rsid w:val="00124C63"/>
    <w:rsid w:val="00130339"/>
    <w:rsid w:val="00134E9F"/>
    <w:rsid w:val="00136505"/>
    <w:rsid w:val="00144967"/>
    <w:rsid w:val="00150B08"/>
    <w:rsid w:val="00152FEA"/>
    <w:rsid w:val="00153ED0"/>
    <w:rsid w:val="00157447"/>
    <w:rsid w:val="00163FB4"/>
    <w:rsid w:val="001721EB"/>
    <w:rsid w:val="0017433C"/>
    <w:rsid w:val="001822C1"/>
    <w:rsid w:val="0018718C"/>
    <w:rsid w:val="00191974"/>
    <w:rsid w:val="001A13C3"/>
    <w:rsid w:val="001B2CA3"/>
    <w:rsid w:val="001B346B"/>
    <w:rsid w:val="001B3825"/>
    <w:rsid w:val="001C1570"/>
    <w:rsid w:val="001C33C5"/>
    <w:rsid w:val="001E097B"/>
    <w:rsid w:val="001E113F"/>
    <w:rsid w:val="001E192B"/>
    <w:rsid w:val="001E2A2D"/>
    <w:rsid w:val="001F1794"/>
    <w:rsid w:val="002000BA"/>
    <w:rsid w:val="0020342B"/>
    <w:rsid w:val="00204A1F"/>
    <w:rsid w:val="00205811"/>
    <w:rsid w:val="00217744"/>
    <w:rsid w:val="00222067"/>
    <w:rsid w:val="00224808"/>
    <w:rsid w:val="002317B0"/>
    <w:rsid w:val="0023549A"/>
    <w:rsid w:val="00241D98"/>
    <w:rsid w:val="00244BAC"/>
    <w:rsid w:val="00244F7C"/>
    <w:rsid w:val="0025219B"/>
    <w:rsid w:val="002536EA"/>
    <w:rsid w:val="00276736"/>
    <w:rsid w:val="0028119C"/>
    <w:rsid w:val="002863C2"/>
    <w:rsid w:val="00287097"/>
    <w:rsid w:val="002A3C64"/>
    <w:rsid w:val="002A4AA3"/>
    <w:rsid w:val="002B38E0"/>
    <w:rsid w:val="002B44E0"/>
    <w:rsid w:val="002C1EF6"/>
    <w:rsid w:val="002D20C5"/>
    <w:rsid w:val="002D407B"/>
    <w:rsid w:val="002D633E"/>
    <w:rsid w:val="002E738E"/>
    <w:rsid w:val="002F06E3"/>
    <w:rsid w:val="00301CC7"/>
    <w:rsid w:val="00302F62"/>
    <w:rsid w:val="0030757C"/>
    <w:rsid w:val="00311DE0"/>
    <w:rsid w:val="0031523D"/>
    <w:rsid w:val="003206F3"/>
    <w:rsid w:val="00322F39"/>
    <w:rsid w:val="00323AAF"/>
    <w:rsid w:val="00323E22"/>
    <w:rsid w:val="00337423"/>
    <w:rsid w:val="00340EA6"/>
    <w:rsid w:val="003414A7"/>
    <w:rsid w:val="0036327E"/>
    <w:rsid w:val="00371A8B"/>
    <w:rsid w:val="00371B8F"/>
    <w:rsid w:val="0038382D"/>
    <w:rsid w:val="003870FF"/>
    <w:rsid w:val="003A1463"/>
    <w:rsid w:val="003A18AD"/>
    <w:rsid w:val="003A3390"/>
    <w:rsid w:val="003A43B2"/>
    <w:rsid w:val="003B03B0"/>
    <w:rsid w:val="003C0EA4"/>
    <w:rsid w:val="003C2574"/>
    <w:rsid w:val="003D165C"/>
    <w:rsid w:val="003D3059"/>
    <w:rsid w:val="003D6471"/>
    <w:rsid w:val="003E6398"/>
    <w:rsid w:val="00402EBF"/>
    <w:rsid w:val="00404B70"/>
    <w:rsid w:val="00412278"/>
    <w:rsid w:val="00414B69"/>
    <w:rsid w:val="00415F4F"/>
    <w:rsid w:val="00426C60"/>
    <w:rsid w:val="00431A65"/>
    <w:rsid w:val="004352E5"/>
    <w:rsid w:val="004358E2"/>
    <w:rsid w:val="00436B1E"/>
    <w:rsid w:val="00436C2B"/>
    <w:rsid w:val="00437666"/>
    <w:rsid w:val="00440567"/>
    <w:rsid w:val="004416D0"/>
    <w:rsid w:val="00443B14"/>
    <w:rsid w:val="00450650"/>
    <w:rsid w:val="00461F35"/>
    <w:rsid w:val="00463486"/>
    <w:rsid w:val="004665B1"/>
    <w:rsid w:val="00466B36"/>
    <w:rsid w:val="00472769"/>
    <w:rsid w:val="00474C2A"/>
    <w:rsid w:val="00475B7A"/>
    <w:rsid w:val="00475D2C"/>
    <w:rsid w:val="0048485D"/>
    <w:rsid w:val="00490505"/>
    <w:rsid w:val="004907E4"/>
    <w:rsid w:val="004936A7"/>
    <w:rsid w:val="004A2855"/>
    <w:rsid w:val="004A2D48"/>
    <w:rsid w:val="004A325C"/>
    <w:rsid w:val="004A5618"/>
    <w:rsid w:val="004B337B"/>
    <w:rsid w:val="004B6FA1"/>
    <w:rsid w:val="004C5788"/>
    <w:rsid w:val="004C646F"/>
    <w:rsid w:val="004D7D3B"/>
    <w:rsid w:val="004E02A0"/>
    <w:rsid w:val="004E3BFB"/>
    <w:rsid w:val="004E5B45"/>
    <w:rsid w:val="004E6D2F"/>
    <w:rsid w:val="00503F36"/>
    <w:rsid w:val="005111BA"/>
    <w:rsid w:val="00512AB9"/>
    <w:rsid w:val="00516C5A"/>
    <w:rsid w:val="00522621"/>
    <w:rsid w:val="00523D75"/>
    <w:rsid w:val="005334B7"/>
    <w:rsid w:val="00535F29"/>
    <w:rsid w:val="00536EFF"/>
    <w:rsid w:val="005629DA"/>
    <w:rsid w:val="00562E95"/>
    <w:rsid w:val="005672D2"/>
    <w:rsid w:val="00580728"/>
    <w:rsid w:val="00586B27"/>
    <w:rsid w:val="00594F6C"/>
    <w:rsid w:val="005A0EBD"/>
    <w:rsid w:val="005A4D90"/>
    <w:rsid w:val="005A5C67"/>
    <w:rsid w:val="005B62A0"/>
    <w:rsid w:val="005B62C7"/>
    <w:rsid w:val="005B7449"/>
    <w:rsid w:val="005C0E24"/>
    <w:rsid w:val="005C21D7"/>
    <w:rsid w:val="005C3354"/>
    <w:rsid w:val="005C4157"/>
    <w:rsid w:val="005C715D"/>
    <w:rsid w:val="005C7D31"/>
    <w:rsid w:val="005D0D19"/>
    <w:rsid w:val="005D2E8B"/>
    <w:rsid w:val="005D6452"/>
    <w:rsid w:val="005E2DC4"/>
    <w:rsid w:val="005F325C"/>
    <w:rsid w:val="005F32EB"/>
    <w:rsid w:val="00602C25"/>
    <w:rsid w:val="00605348"/>
    <w:rsid w:val="00610BF1"/>
    <w:rsid w:val="006115E2"/>
    <w:rsid w:val="006144A8"/>
    <w:rsid w:val="0061537D"/>
    <w:rsid w:val="0062003A"/>
    <w:rsid w:val="00625A57"/>
    <w:rsid w:val="00661376"/>
    <w:rsid w:val="00663770"/>
    <w:rsid w:val="00672C76"/>
    <w:rsid w:val="006734C7"/>
    <w:rsid w:val="00683F2D"/>
    <w:rsid w:val="00695745"/>
    <w:rsid w:val="006976D9"/>
    <w:rsid w:val="006A0BA4"/>
    <w:rsid w:val="006A1E08"/>
    <w:rsid w:val="006B5854"/>
    <w:rsid w:val="006B7521"/>
    <w:rsid w:val="006C2FB6"/>
    <w:rsid w:val="006D0991"/>
    <w:rsid w:val="006D0E84"/>
    <w:rsid w:val="006D69E7"/>
    <w:rsid w:val="006D7450"/>
    <w:rsid w:val="006E014E"/>
    <w:rsid w:val="006E0FD4"/>
    <w:rsid w:val="006F07B3"/>
    <w:rsid w:val="006F1CCC"/>
    <w:rsid w:val="006F6DE3"/>
    <w:rsid w:val="007008BE"/>
    <w:rsid w:val="00700B1F"/>
    <w:rsid w:val="00702C62"/>
    <w:rsid w:val="00703171"/>
    <w:rsid w:val="00734802"/>
    <w:rsid w:val="00735C39"/>
    <w:rsid w:val="00736DA4"/>
    <w:rsid w:val="007448FE"/>
    <w:rsid w:val="00746C0C"/>
    <w:rsid w:val="0075019C"/>
    <w:rsid w:val="00750F55"/>
    <w:rsid w:val="00752FAA"/>
    <w:rsid w:val="007600DB"/>
    <w:rsid w:val="00766C68"/>
    <w:rsid w:val="00776163"/>
    <w:rsid w:val="0078274D"/>
    <w:rsid w:val="007853D8"/>
    <w:rsid w:val="00787EE4"/>
    <w:rsid w:val="007950C8"/>
    <w:rsid w:val="007979CA"/>
    <w:rsid w:val="007B131C"/>
    <w:rsid w:val="007B2615"/>
    <w:rsid w:val="007B2BC4"/>
    <w:rsid w:val="007B7330"/>
    <w:rsid w:val="007C2B88"/>
    <w:rsid w:val="007D0792"/>
    <w:rsid w:val="007D6C74"/>
    <w:rsid w:val="007E19C1"/>
    <w:rsid w:val="007E43B6"/>
    <w:rsid w:val="007E594A"/>
    <w:rsid w:val="007F4E11"/>
    <w:rsid w:val="007F564C"/>
    <w:rsid w:val="007F5CF0"/>
    <w:rsid w:val="007F68C4"/>
    <w:rsid w:val="008006A3"/>
    <w:rsid w:val="00802096"/>
    <w:rsid w:val="0080318F"/>
    <w:rsid w:val="00812409"/>
    <w:rsid w:val="00812E19"/>
    <w:rsid w:val="00816D5D"/>
    <w:rsid w:val="00821A0C"/>
    <w:rsid w:val="008275AC"/>
    <w:rsid w:val="00827F39"/>
    <w:rsid w:val="00835300"/>
    <w:rsid w:val="008367A3"/>
    <w:rsid w:val="00843040"/>
    <w:rsid w:val="00853833"/>
    <w:rsid w:val="008653EA"/>
    <w:rsid w:val="00865F37"/>
    <w:rsid w:val="00870109"/>
    <w:rsid w:val="0087368D"/>
    <w:rsid w:val="00882F73"/>
    <w:rsid w:val="00883D7C"/>
    <w:rsid w:val="00886625"/>
    <w:rsid w:val="00890A20"/>
    <w:rsid w:val="00892D9A"/>
    <w:rsid w:val="008A1447"/>
    <w:rsid w:val="008A5AC1"/>
    <w:rsid w:val="008B5D68"/>
    <w:rsid w:val="008B6223"/>
    <w:rsid w:val="008C2200"/>
    <w:rsid w:val="008D54B2"/>
    <w:rsid w:val="008E0730"/>
    <w:rsid w:val="008E25AB"/>
    <w:rsid w:val="008E5E3D"/>
    <w:rsid w:val="008F59A0"/>
    <w:rsid w:val="00904ED1"/>
    <w:rsid w:val="00912F74"/>
    <w:rsid w:val="00923430"/>
    <w:rsid w:val="00927600"/>
    <w:rsid w:val="009279BE"/>
    <w:rsid w:val="00937C89"/>
    <w:rsid w:val="00944CCD"/>
    <w:rsid w:val="00946D90"/>
    <w:rsid w:val="0095505F"/>
    <w:rsid w:val="0096585C"/>
    <w:rsid w:val="009661E4"/>
    <w:rsid w:val="009733A9"/>
    <w:rsid w:val="009856AB"/>
    <w:rsid w:val="009919F6"/>
    <w:rsid w:val="00996760"/>
    <w:rsid w:val="00997C11"/>
    <w:rsid w:val="009A5AD1"/>
    <w:rsid w:val="009A7A59"/>
    <w:rsid w:val="009B41E2"/>
    <w:rsid w:val="009B600F"/>
    <w:rsid w:val="009C3275"/>
    <w:rsid w:val="009C35C9"/>
    <w:rsid w:val="009C62AE"/>
    <w:rsid w:val="009C6F3F"/>
    <w:rsid w:val="009D24DC"/>
    <w:rsid w:val="009D27E8"/>
    <w:rsid w:val="009E730A"/>
    <w:rsid w:val="009F1FA2"/>
    <w:rsid w:val="009F2ADD"/>
    <w:rsid w:val="00A05FE8"/>
    <w:rsid w:val="00A10E40"/>
    <w:rsid w:val="00A13C7B"/>
    <w:rsid w:val="00A15CD1"/>
    <w:rsid w:val="00A162A3"/>
    <w:rsid w:val="00A20314"/>
    <w:rsid w:val="00A22E0F"/>
    <w:rsid w:val="00A2391E"/>
    <w:rsid w:val="00A23EB6"/>
    <w:rsid w:val="00A26B7B"/>
    <w:rsid w:val="00A31424"/>
    <w:rsid w:val="00A3327E"/>
    <w:rsid w:val="00A42469"/>
    <w:rsid w:val="00A45560"/>
    <w:rsid w:val="00A50F13"/>
    <w:rsid w:val="00A512A0"/>
    <w:rsid w:val="00A60965"/>
    <w:rsid w:val="00A66511"/>
    <w:rsid w:val="00A75ED6"/>
    <w:rsid w:val="00A85792"/>
    <w:rsid w:val="00A90F3E"/>
    <w:rsid w:val="00A91240"/>
    <w:rsid w:val="00A9498C"/>
    <w:rsid w:val="00AA2EFA"/>
    <w:rsid w:val="00AA3ECB"/>
    <w:rsid w:val="00AC4E79"/>
    <w:rsid w:val="00AD3D5E"/>
    <w:rsid w:val="00AD5C54"/>
    <w:rsid w:val="00AD72DD"/>
    <w:rsid w:val="00AE0185"/>
    <w:rsid w:val="00AE08F0"/>
    <w:rsid w:val="00AE16BF"/>
    <w:rsid w:val="00AE2293"/>
    <w:rsid w:val="00AF7F79"/>
    <w:rsid w:val="00B01B6C"/>
    <w:rsid w:val="00B050E7"/>
    <w:rsid w:val="00B119D6"/>
    <w:rsid w:val="00B121EA"/>
    <w:rsid w:val="00B13529"/>
    <w:rsid w:val="00B32493"/>
    <w:rsid w:val="00B40844"/>
    <w:rsid w:val="00B42F3B"/>
    <w:rsid w:val="00B45E7F"/>
    <w:rsid w:val="00B47800"/>
    <w:rsid w:val="00B50C99"/>
    <w:rsid w:val="00B51737"/>
    <w:rsid w:val="00B56E34"/>
    <w:rsid w:val="00B5737E"/>
    <w:rsid w:val="00B573A6"/>
    <w:rsid w:val="00B60287"/>
    <w:rsid w:val="00B61AC7"/>
    <w:rsid w:val="00B62F2B"/>
    <w:rsid w:val="00B72DF0"/>
    <w:rsid w:val="00B77777"/>
    <w:rsid w:val="00B808CB"/>
    <w:rsid w:val="00B845CF"/>
    <w:rsid w:val="00B92DE7"/>
    <w:rsid w:val="00B9407E"/>
    <w:rsid w:val="00B96ECC"/>
    <w:rsid w:val="00BA2C89"/>
    <w:rsid w:val="00BA4C8B"/>
    <w:rsid w:val="00BB13F4"/>
    <w:rsid w:val="00BB3273"/>
    <w:rsid w:val="00BB3C0C"/>
    <w:rsid w:val="00BC2C75"/>
    <w:rsid w:val="00BC5931"/>
    <w:rsid w:val="00BD61A4"/>
    <w:rsid w:val="00BD7103"/>
    <w:rsid w:val="00BE31AD"/>
    <w:rsid w:val="00BE3978"/>
    <w:rsid w:val="00BE4F57"/>
    <w:rsid w:val="00BF44EC"/>
    <w:rsid w:val="00C04F28"/>
    <w:rsid w:val="00C06EB4"/>
    <w:rsid w:val="00C14AB5"/>
    <w:rsid w:val="00C2633E"/>
    <w:rsid w:val="00C3225B"/>
    <w:rsid w:val="00C360E9"/>
    <w:rsid w:val="00C47E3A"/>
    <w:rsid w:val="00C5200F"/>
    <w:rsid w:val="00C617C6"/>
    <w:rsid w:val="00C72463"/>
    <w:rsid w:val="00C73D5D"/>
    <w:rsid w:val="00C95CA0"/>
    <w:rsid w:val="00C975D3"/>
    <w:rsid w:val="00CA7995"/>
    <w:rsid w:val="00CB1183"/>
    <w:rsid w:val="00CC128D"/>
    <w:rsid w:val="00CC7431"/>
    <w:rsid w:val="00CD62C0"/>
    <w:rsid w:val="00CE4631"/>
    <w:rsid w:val="00D03B96"/>
    <w:rsid w:val="00D04B6F"/>
    <w:rsid w:val="00D113DD"/>
    <w:rsid w:val="00D24453"/>
    <w:rsid w:val="00D25285"/>
    <w:rsid w:val="00D30D4D"/>
    <w:rsid w:val="00D32F8E"/>
    <w:rsid w:val="00D3397A"/>
    <w:rsid w:val="00D37DAA"/>
    <w:rsid w:val="00D41928"/>
    <w:rsid w:val="00D5070E"/>
    <w:rsid w:val="00D547B6"/>
    <w:rsid w:val="00D61648"/>
    <w:rsid w:val="00D6224D"/>
    <w:rsid w:val="00D6655A"/>
    <w:rsid w:val="00D752D7"/>
    <w:rsid w:val="00D80947"/>
    <w:rsid w:val="00D86F11"/>
    <w:rsid w:val="00D87914"/>
    <w:rsid w:val="00D9282E"/>
    <w:rsid w:val="00D95BF0"/>
    <w:rsid w:val="00D960EA"/>
    <w:rsid w:val="00D965B8"/>
    <w:rsid w:val="00DA1708"/>
    <w:rsid w:val="00DA2283"/>
    <w:rsid w:val="00DA5689"/>
    <w:rsid w:val="00DA58B4"/>
    <w:rsid w:val="00DB5AA2"/>
    <w:rsid w:val="00DD76E7"/>
    <w:rsid w:val="00DE1990"/>
    <w:rsid w:val="00DE220E"/>
    <w:rsid w:val="00E0573A"/>
    <w:rsid w:val="00E07A3E"/>
    <w:rsid w:val="00E16739"/>
    <w:rsid w:val="00E221FD"/>
    <w:rsid w:val="00E41BE5"/>
    <w:rsid w:val="00E4469F"/>
    <w:rsid w:val="00E452F4"/>
    <w:rsid w:val="00E533BE"/>
    <w:rsid w:val="00E5361F"/>
    <w:rsid w:val="00E53C47"/>
    <w:rsid w:val="00E55FBE"/>
    <w:rsid w:val="00E62DB3"/>
    <w:rsid w:val="00E6569A"/>
    <w:rsid w:val="00E66492"/>
    <w:rsid w:val="00E727DB"/>
    <w:rsid w:val="00E73C41"/>
    <w:rsid w:val="00E778B9"/>
    <w:rsid w:val="00E911FB"/>
    <w:rsid w:val="00E96F9E"/>
    <w:rsid w:val="00E97512"/>
    <w:rsid w:val="00EA2DE2"/>
    <w:rsid w:val="00EA4B51"/>
    <w:rsid w:val="00EA61D1"/>
    <w:rsid w:val="00EB1AE0"/>
    <w:rsid w:val="00EC1776"/>
    <w:rsid w:val="00EC7E83"/>
    <w:rsid w:val="00ED27EE"/>
    <w:rsid w:val="00ED2C7B"/>
    <w:rsid w:val="00ED5B76"/>
    <w:rsid w:val="00ED7008"/>
    <w:rsid w:val="00ED76B2"/>
    <w:rsid w:val="00EE122C"/>
    <w:rsid w:val="00EE4268"/>
    <w:rsid w:val="00EF184A"/>
    <w:rsid w:val="00EF249A"/>
    <w:rsid w:val="00EF2FFD"/>
    <w:rsid w:val="00F01B97"/>
    <w:rsid w:val="00F0235A"/>
    <w:rsid w:val="00F05B1C"/>
    <w:rsid w:val="00F05CAB"/>
    <w:rsid w:val="00F0783D"/>
    <w:rsid w:val="00F13D78"/>
    <w:rsid w:val="00F146F6"/>
    <w:rsid w:val="00F21EDB"/>
    <w:rsid w:val="00F3779B"/>
    <w:rsid w:val="00F4176A"/>
    <w:rsid w:val="00F4726A"/>
    <w:rsid w:val="00F47A1E"/>
    <w:rsid w:val="00F57D85"/>
    <w:rsid w:val="00F62189"/>
    <w:rsid w:val="00F65529"/>
    <w:rsid w:val="00F65903"/>
    <w:rsid w:val="00F66F79"/>
    <w:rsid w:val="00F72231"/>
    <w:rsid w:val="00F7691A"/>
    <w:rsid w:val="00F82EDF"/>
    <w:rsid w:val="00F84868"/>
    <w:rsid w:val="00F92D04"/>
    <w:rsid w:val="00F9481A"/>
    <w:rsid w:val="00F9509A"/>
    <w:rsid w:val="00FB27BC"/>
    <w:rsid w:val="00FB2E9E"/>
    <w:rsid w:val="00FB5F14"/>
    <w:rsid w:val="00FC2237"/>
    <w:rsid w:val="00FC6F2E"/>
    <w:rsid w:val="00FC73EF"/>
    <w:rsid w:val="00FC7A25"/>
    <w:rsid w:val="00FD0062"/>
    <w:rsid w:val="00FD68B7"/>
    <w:rsid w:val="00FE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5425"/>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Header">
    <w:name w:val="header"/>
    <w:basedOn w:val="Normal"/>
    <w:link w:val="HeaderChar"/>
    <w:uiPriority w:val="99"/>
    <w:unhideWhenUsed/>
    <w:rsid w:val="00157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447"/>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42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2023-10-24T18:30:00+00:00</Judgment_x0020_Date>
    <Year xmlns="c1afb1bd-f2fb-40fd-9abb-aea55b4d7662">2023</Year>
  </documentManagement>
</p:properties>
</file>

<file path=customXml/itemProps1.xml><?xml version="1.0" encoding="utf-8"?>
<ds:datastoreItem xmlns:ds="http://schemas.openxmlformats.org/officeDocument/2006/customXml" ds:itemID="{195D9655-8266-45C8-82C3-78EFE5D3F9C4}"/>
</file>

<file path=customXml/itemProps2.xml><?xml version="1.0" encoding="utf-8"?>
<ds:datastoreItem xmlns:ds="http://schemas.openxmlformats.org/officeDocument/2006/customXml" ds:itemID="{F1DF2432-3C59-4A46-96ED-28FC30CBF18A}"/>
</file>

<file path=customXml/itemProps3.xml><?xml version="1.0" encoding="utf-8"?>
<ds:datastoreItem xmlns:ds="http://schemas.openxmlformats.org/officeDocument/2006/customXml" ds:itemID="{2C16747B-E68C-4557-AB2B-0B61464D59D7}"/>
</file>

<file path=customXml/itemProps4.xml><?xml version="1.0" encoding="utf-8"?>
<ds:datastoreItem xmlns:ds="http://schemas.openxmlformats.org/officeDocument/2006/customXml" ds:itemID="{07877436-CE86-4BFD-A7F9-FCE83C1A05B1}"/>
</file>

<file path=docProps/app.xml><?xml version="1.0" encoding="utf-8"?>
<Properties xmlns="http://schemas.openxmlformats.org/officeDocument/2006/extended-properties" xmlns:vt="http://schemas.openxmlformats.org/officeDocument/2006/docPropsVTypes">
  <Template>Normal</Template>
  <TotalTime>111</TotalTime>
  <Pages>6</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Design Invest (Pty) Ltd v Dep Sheriff Mariental(HC-MD-CIV-MOT-REV-2020-00342) [2023] NAHCMD 677 (25 October 2023)</dc:title>
  <dc:subject/>
  <dc:creator>shomany keister</dc:creator>
  <cp:keywords/>
  <dc:description/>
  <cp:lastModifiedBy>Lusia Simon</cp:lastModifiedBy>
  <cp:revision>26</cp:revision>
  <cp:lastPrinted>2023-10-24T13:39:00Z</cp:lastPrinted>
  <dcterms:created xsi:type="dcterms:W3CDTF">2023-10-17T08:55:00Z</dcterms:created>
  <dcterms:modified xsi:type="dcterms:W3CDTF">2023-10-24T13:55:00Z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