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487B" w14:textId="223E3A8A" w:rsidR="00853524" w:rsidRPr="00AD6A86" w:rsidRDefault="00853524" w:rsidP="002C1127">
      <w:pPr>
        <w:jc w:val="center"/>
        <w:rPr>
          <w:b/>
        </w:rPr>
      </w:pPr>
      <w:bookmarkStart w:id="0" w:name="_Hlk95725994"/>
      <w:r w:rsidRPr="00AD6A86">
        <w:rPr>
          <w:b/>
        </w:rPr>
        <w:t>REPUBLIC OF NAMIBIA</w:t>
      </w:r>
    </w:p>
    <w:p w14:paraId="1C6D7060" w14:textId="7939410B" w:rsidR="00853524" w:rsidRPr="00AD6A86" w:rsidRDefault="00AA671A" w:rsidP="002C1127">
      <w:pPr>
        <w:jc w:val="center"/>
        <w:rPr>
          <w:b/>
          <w:sz w:val="32"/>
          <w:szCs w:val="32"/>
        </w:rPr>
      </w:pPr>
      <w:r w:rsidRPr="00AD6A86">
        <w:rPr>
          <w:b/>
          <w:noProof/>
          <w:sz w:val="32"/>
          <w:szCs w:val="32"/>
          <w:lang w:val="en-US"/>
        </w:rPr>
        <w:drawing>
          <wp:inline distT="0" distB="0" distL="0" distR="0" wp14:anchorId="741FDD3E" wp14:editId="7216E6D6">
            <wp:extent cx="1270000" cy="132715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1327150"/>
                    </a:xfrm>
                    <a:prstGeom prst="rect">
                      <a:avLst/>
                    </a:prstGeom>
                    <a:noFill/>
                    <a:ln>
                      <a:noFill/>
                    </a:ln>
                  </pic:spPr>
                </pic:pic>
              </a:graphicData>
            </a:graphic>
          </wp:inline>
        </w:drawing>
      </w:r>
    </w:p>
    <w:p w14:paraId="2D7CD69D" w14:textId="77777777" w:rsidR="00853524" w:rsidRPr="00AD6A86" w:rsidRDefault="00853524" w:rsidP="002C1127">
      <w:pPr>
        <w:jc w:val="center"/>
        <w:rPr>
          <w:b/>
        </w:rPr>
      </w:pPr>
    </w:p>
    <w:p w14:paraId="2942004E" w14:textId="77777777" w:rsidR="00853524" w:rsidRPr="00AD6A86" w:rsidRDefault="00853524" w:rsidP="002C1127">
      <w:pPr>
        <w:jc w:val="center"/>
        <w:rPr>
          <w:b/>
        </w:rPr>
      </w:pPr>
      <w:r w:rsidRPr="00AD6A86">
        <w:rPr>
          <w:b/>
        </w:rPr>
        <w:t>HIGH COURT OF NAMIBIA MAIN DIVISION, WINDHOEK</w:t>
      </w:r>
    </w:p>
    <w:p w14:paraId="6E854713" w14:textId="77777777" w:rsidR="00A4008E" w:rsidRDefault="00A4008E" w:rsidP="002C1127">
      <w:pPr>
        <w:jc w:val="center"/>
        <w:rPr>
          <w:b/>
        </w:rPr>
      </w:pPr>
    </w:p>
    <w:p w14:paraId="64127DCF" w14:textId="77777777" w:rsidR="00790F9D" w:rsidRPr="00AD6A86" w:rsidRDefault="00790F9D" w:rsidP="002C1127">
      <w:pPr>
        <w:jc w:val="center"/>
        <w:rPr>
          <w:b/>
        </w:rPr>
      </w:pPr>
      <w:r w:rsidRPr="00AD6A86">
        <w:rPr>
          <w:b/>
        </w:rPr>
        <w:t xml:space="preserve">JUDGMENT </w:t>
      </w:r>
    </w:p>
    <w:p w14:paraId="3471675C" w14:textId="77777777" w:rsidR="00853524" w:rsidRPr="00AD6A86" w:rsidRDefault="00853524" w:rsidP="002C1127">
      <w:pPr>
        <w:jc w:val="center"/>
        <w:rPr>
          <w:b/>
        </w:rPr>
      </w:pPr>
    </w:p>
    <w:p w14:paraId="7D97033E" w14:textId="2F649810" w:rsidR="00853524" w:rsidRPr="00AD6A86" w:rsidRDefault="00853524" w:rsidP="002C1127">
      <w:pPr>
        <w:jc w:val="right"/>
      </w:pPr>
      <w:r w:rsidRPr="00AD6A86">
        <w:t xml:space="preserve">             Case no:</w:t>
      </w:r>
      <w:r w:rsidR="00CA7A0D" w:rsidRPr="00AD6A86">
        <w:t xml:space="preserve"> </w:t>
      </w:r>
      <w:r w:rsidR="00273FF7" w:rsidRPr="00AD6A86">
        <w:t>HC-MD-CIV-MOT-GEN-2022/00502</w:t>
      </w:r>
    </w:p>
    <w:p w14:paraId="25646506" w14:textId="77777777" w:rsidR="00853524" w:rsidRPr="00AD6A86" w:rsidRDefault="00853524" w:rsidP="002C1127"/>
    <w:p w14:paraId="178468A1" w14:textId="77777777" w:rsidR="00853524" w:rsidRPr="00AD6A86" w:rsidRDefault="00853524" w:rsidP="002C1127">
      <w:r w:rsidRPr="00AD6A86">
        <w:t>In the matter between:</w:t>
      </w:r>
    </w:p>
    <w:p w14:paraId="4DAEACF9" w14:textId="77777777" w:rsidR="00853524" w:rsidRPr="00AD6A86" w:rsidRDefault="00853524" w:rsidP="002C1127"/>
    <w:p w14:paraId="732E870B" w14:textId="69BA4E8F" w:rsidR="00273FF7" w:rsidRPr="00AD6A86" w:rsidRDefault="00273FF7" w:rsidP="002C1127">
      <w:pPr>
        <w:tabs>
          <w:tab w:val="right" w:pos="8280"/>
        </w:tabs>
        <w:rPr>
          <w:b/>
        </w:rPr>
      </w:pPr>
      <w:r w:rsidRPr="00AD6A86">
        <w:rPr>
          <w:b/>
        </w:rPr>
        <w:t xml:space="preserve">HIGH POWER HOLDINGS (PTY) LTD </w:t>
      </w:r>
      <w:r w:rsidRPr="00AD6A86">
        <w:rPr>
          <w:b/>
        </w:rPr>
        <w:tab/>
        <w:t xml:space="preserve">  FIRST APPLICANT</w:t>
      </w:r>
    </w:p>
    <w:p w14:paraId="5CD17D55" w14:textId="2B64A38F" w:rsidR="00273FF7" w:rsidRPr="00AD6A86" w:rsidRDefault="00273FF7" w:rsidP="002C1127">
      <w:pPr>
        <w:tabs>
          <w:tab w:val="right" w:pos="8280"/>
        </w:tabs>
        <w:rPr>
          <w:b/>
        </w:rPr>
      </w:pPr>
      <w:r w:rsidRPr="00AD6A86">
        <w:rPr>
          <w:b/>
        </w:rPr>
        <w:t xml:space="preserve">EUGENE LOTTERING </w:t>
      </w:r>
      <w:r w:rsidRPr="00AD6A86">
        <w:rPr>
          <w:b/>
        </w:rPr>
        <w:tab/>
        <w:t>SECOND APPLICANT</w:t>
      </w:r>
    </w:p>
    <w:p w14:paraId="412EA70C" w14:textId="6CE55B96" w:rsidR="00693234" w:rsidRPr="00AD6A86" w:rsidRDefault="00273FF7" w:rsidP="002C1127">
      <w:pPr>
        <w:tabs>
          <w:tab w:val="right" w:pos="8280"/>
        </w:tabs>
        <w:rPr>
          <w:b/>
        </w:rPr>
      </w:pPr>
      <w:r w:rsidRPr="00AD6A86">
        <w:rPr>
          <w:b/>
        </w:rPr>
        <w:t xml:space="preserve">WISEMAN KHUMALO </w:t>
      </w:r>
      <w:r w:rsidRPr="00AD6A86">
        <w:rPr>
          <w:b/>
        </w:rPr>
        <w:tab/>
        <w:t>THIRD APPLICANT</w:t>
      </w:r>
    </w:p>
    <w:p w14:paraId="781224F4" w14:textId="77777777" w:rsidR="00BB5369" w:rsidRPr="00AD6A86" w:rsidRDefault="00BB5369" w:rsidP="002C1127">
      <w:pPr>
        <w:tabs>
          <w:tab w:val="right" w:pos="8280"/>
        </w:tabs>
      </w:pPr>
    </w:p>
    <w:p w14:paraId="51AF5D74" w14:textId="77777777" w:rsidR="00C85BDB" w:rsidRPr="00AD6A86" w:rsidRDefault="00FD2B70" w:rsidP="002C1127">
      <w:pPr>
        <w:tabs>
          <w:tab w:val="right" w:pos="8280"/>
        </w:tabs>
      </w:pPr>
      <w:r w:rsidRPr="00AD6A86">
        <w:t>a</w:t>
      </w:r>
      <w:r w:rsidR="00853524" w:rsidRPr="00AD6A86">
        <w:t>nd</w:t>
      </w:r>
    </w:p>
    <w:p w14:paraId="6B20AA76" w14:textId="77777777" w:rsidR="00BB5369" w:rsidRPr="00AD6A86" w:rsidRDefault="00BB5369" w:rsidP="002C1127">
      <w:pPr>
        <w:tabs>
          <w:tab w:val="right" w:pos="8280"/>
        </w:tabs>
        <w:rPr>
          <w:b/>
        </w:rPr>
      </w:pPr>
    </w:p>
    <w:p w14:paraId="7611C3A1" w14:textId="79A267CB" w:rsidR="00273FF7" w:rsidRPr="00AD6A86" w:rsidRDefault="00273FF7" w:rsidP="002C1127">
      <w:pPr>
        <w:tabs>
          <w:tab w:val="right" w:pos="8280"/>
        </w:tabs>
        <w:rPr>
          <w:b/>
        </w:rPr>
      </w:pPr>
      <w:r w:rsidRPr="00AD6A86">
        <w:rPr>
          <w:b/>
        </w:rPr>
        <w:t xml:space="preserve">IMPRINT INVESTMENTS (PTY) LTD </w:t>
      </w:r>
      <w:r w:rsidRPr="00AD6A86">
        <w:rPr>
          <w:b/>
        </w:rPr>
        <w:tab/>
        <w:t>FIRST RESPONDENT</w:t>
      </w:r>
    </w:p>
    <w:p w14:paraId="6FB49823" w14:textId="6674C869" w:rsidR="00273FF7" w:rsidRPr="00AD6A86" w:rsidRDefault="00273FF7" w:rsidP="002C1127">
      <w:pPr>
        <w:tabs>
          <w:tab w:val="right" w:pos="8280"/>
        </w:tabs>
        <w:rPr>
          <w:b/>
        </w:rPr>
      </w:pPr>
      <w:r w:rsidRPr="00AD6A86">
        <w:rPr>
          <w:b/>
        </w:rPr>
        <w:t xml:space="preserve">PSP LOGISTICS (PTY) LTD </w:t>
      </w:r>
      <w:r w:rsidRPr="00AD6A86">
        <w:rPr>
          <w:b/>
        </w:rPr>
        <w:tab/>
        <w:t>SECOND RESPONDENT</w:t>
      </w:r>
    </w:p>
    <w:p w14:paraId="173659C0" w14:textId="77777777" w:rsidR="00273FF7" w:rsidRPr="00AD6A86" w:rsidRDefault="00273FF7" w:rsidP="002C1127">
      <w:pPr>
        <w:tabs>
          <w:tab w:val="right" w:pos="8280"/>
        </w:tabs>
        <w:rPr>
          <w:b/>
        </w:rPr>
      </w:pPr>
      <w:r w:rsidRPr="00AD6A86">
        <w:rPr>
          <w:b/>
        </w:rPr>
        <w:t xml:space="preserve">BPLC MANAGEMENT CONSULTANTS </w:t>
      </w:r>
    </w:p>
    <w:p w14:paraId="2B5A62B9" w14:textId="1B1DE8E7" w:rsidR="00273FF7" w:rsidRPr="00AD6A86" w:rsidRDefault="00273FF7" w:rsidP="002C1127">
      <w:pPr>
        <w:tabs>
          <w:tab w:val="right" w:pos="8280"/>
        </w:tabs>
        <w:rPr>
          <w:b/>
        </w:rPr>
      </w:pPr>
      <w:r w:rsidRPr="00AD6A86">
        <w:rPr>
          <w:b/>
        </w:rPr>
        <w:t xml:space="preserve">(UK) LIMITED </w:t>
      </w:r>
      <w:r w:rsidRPr="00AD6A86">
        <w:rPr>
          <w:b/>
        </w:rPr>
        <w:tab/>
        <w:t>THIRD RESPONDENT</w:t>
      </w:r>
    </w:p>
    <w:p w14:paraId="657CAAB3" w14:textId="77777777" w:rsidR="00273FF7" w:rsidRPr="00AD6A86" w:rsidRDefault="00273FF7" w:rsidP="002C1127">
      <w:pPr>
        <w:tabs>
          <w:tab w:val="right" w:pos="8280"/>
        </w:tabs>
        <w:rPr>
          <w:b/>
        </w:rPr>
      </w:pPr>
      <w:r w:rsidRPr="00AD6A86">
        <w:rPr>
          <w:b/>
        </w:rPr>
        <w:t xml:space="preserve">VEIINASTOCKS HOLDING GROUP </w:t>
      </w:r>
    </w:p>
    <w:p w14:paraId="0662245C" w14:textId="6ECD1AEA" w:rsidR="00273FF7" w:rsidRPr="00AD6A86" w:rsidRDefault="00273FF7" w:rsidP="002C1127">
      <w:pPr>
        <w:tabs>
          <w:tab w:val="right" w:pos="8280"/>
        </w:tabs>
        <w:rPr>
          <w:b/>
        </w:rPr>
      </w:pPr>
      <w:r w:rsidRPr="00AD6A86">
        <w:rPr>
          <w:b/>
        </w:rPr>
        <w:t xml:space="preserve">INTERNATIONAL (PTY) LTD </w:t>
      </w:r>
      <w:r w:rsidRPr="00AD6A86">
        <w:rPr>
          <w:b/>
        </w:rPr>
        <w:tab/>
        <w:t>FOURTH RESPONDENT</w:t>
      </w:r>
    </w:p>
    <w:p w14:paraId="0B2487A8" w14:textId="4D8E8169" w:rsidR="00273FF7" w:rsidRPr="00AD6A86" w:rsidRDefault="00273FF7" w:rsidP="002C1127">
      <w:pPr>
        <w:tabs>
          <w:tab w:val="right" w:pos="8280"/>
        </w:tabs>
        <w:rPr>
          <w:b/>
        </w:rPr>
      </w:pPr>
      <w:r w:rsidRPr="00AD6A86">
        <w:rPr>
          <w:b/>
        </w:rPr>
        <w:t xml:space="preserve">NAMIBIA EQUITY MINING CC </w:t>
      </w:r>
      <w:r w:rsidRPr="00AD6A86">
        <w:rPr>
          <w:b/>
        </w:rPr>
        <w:tab/>
        <w:t>FIFTH RESPONDENT</w:t>
      </w:r>
    </w:p>
    <w:p w14:paraId="6E51715A" w14:textId="6F078377" w:rsidR="00273FF7" w:rsidRPr="00AD6A86" w:rsidRDefault="00273FF7" w:rsidP="002C1127">
      <w:pPr>
        <w:tabs>
          <w:tab w:val="right" w:pos="8280"/>
        </w:tabs>
        <w:rPr>
          <w:b/>
        </w:rPr>
      </w:pPr>
      <w:r w:rsidRPr="00AD6A86">
        <w:rPr>
          <w:b/>
        </w:rPr>
        <w:t xml:space="preserve">PASCAL INVESTMENT CC </w:t>
      </w:r>
      <w:r w:rsidRPr="00AD6A86">
        <w:rPr>
          <w:b/>
        </w:rPr>
        <w:tab/>
        <w:t>SIXTH RESPONDENT</w:t>
      </w:r>
    </w:p>
    <w:p w14:paraId="196243C3" w14:textId="0E4B62C5" w:rsidR="00273FF7" w:rsidRPr="00AD6A86" w:rsidRDefault="00273FF7" w:rsidP="002C1127">
      <w:pPr>
        <w:tabs>
          <w:tab w:val="right" w:pos="8280"/>
        </w:tabs>
        <w:rPr>
          <w:b/>
        </w:rPr>
      </w:pPr>
      <w:r w:rsidRPr="00AD6A86">
        <w:rPr>
          <w:b/>
        </w:rPr>
        <w:t xml:space="preserve">ABUID KATJAITA </w:t>
      </w:r>
      <w:r w:rsidRPr="00AD6A86">
        <w:rPr>
          <w:b/>
        </w:rPr>
        <w:tab/>
        <w:t>SEVENTH RESPONDENT</w:t>
      </w:r>
    </w:p>
    <w:p w14:paraId="02BDB649" w14:textId="06AB305F" w:rsidR="00273FF7" w:rsidRPr="00AD6A86" w:rsidRDefault="00273FF7" w:rsidP="002C1127">
      <w:pPr>
        <w:tabs>
          <w:tab w:val="right" w:pos="8280"/>
        </w:tabs>
        <w:rPr>
          <w:b/>
        </w:rPr>
      </w:pPr>
      <w:r w:rsidRPr="00AD6A86">
        <w:rPr>
          <w:b/>
        </w:rPr>
        <w:t xml:space="preserve">ALFRED MBAHA </w:t>
      </w:r>
      <w:r w:rsidRPr="00AD6A86">
        <w:rPr>
          <w:b/>
        </w:rPr>
        <w:tab/>
        <w:t>EIGHT</w:t>
      </w:r>
      <w:r w:rsidR="00A4008E">
        <w:rPr>
          <w:b/>
        </w:rPr>
        <w:t>H</w:t>
      </w:r>
      <w:r w:rsidRPr="00AD6A86">
        <w:rPr>
          <w:b/>
        </w:rPr>
        <w:t xml:space="preserve"> RESPONDENT</w:t>
      </w:r>
    </w:p>
    <w:p w14:paraId="1137AB95" w14:textId="3E7606DF" w:rsidR="00273FF7" w:rsidRPr="00AD6A86" w:rsidRDefault="00273FF7" w:rsidP="002C1127">
      <w:pPr>
        <w:tabs>
          <w:tab w:val="right" w:pos="8280"/>
        </w:tabs>
        <w:rPr>
          <w:b/>
        </w:rPr>
      </w:pPr>
      <w:r w:rsidRPr="00AD6A86">
        <w:rPr>
          <w:b/>
        </w:rPr>
        <w:t xml:space="preserve">JACQUELINE PRINCE </w:t>
      </w:r>
      <w:r w:rsidRPr="00AD6A86">
        <w:rPr>
          <w:b/>
        </w:rPr>
        <w:tab/>
        <w:t xml:space="preserve">NINTH RESPONDENT </w:t>
      </w:r>
    </w:p>
    <w:p w14:paraId="41C43A4C" w14:textId="50F27B8B" w:rsidR="00273FF7" w:rsidRPr="00AD6A86" w:rsidRDefault="00273FF7" w:rsidP="002C1127">
      <w:pPr>
        <w:tabs>
          <w:tab w:val="right" w:pos="8280"/>
        </w:tabs>
        <w:rPr>
          <w:b/>
        </w:rPr>
      </w:pPr>
      <w:r w:rsidRPr="00AD6A86">
        <w:rPr>
          <w:b/>
        </w:rPr>
        <w:t xml:space="preserve">JUNFA XIE </w:t>
      </w:r>
      <w:r w:rsidRPr="00AD6A86">
        <w:rPr>
          <w:b/>
        </w:rPr>
        <w:tab/>
        <w:t>TENTH RESPONDENT</w:t>
      </w:r>
    </w:p>
    <w:p w14:paraId="70CF57D4" w14:textId="017A57DF" w:rsidR="00273FF7" w:rsidRPr="00AD6A86" w:rsidRDefault="00273FF7" w:rsidP="002C1127">
      <w:pPr>
        <w:tabs>
          <w:tab w:val="right" w:pos="8280"/>
        </w:tabs>
        <w:rPr>
          <w:b/>
        </w:rPr>
      </w:pPr>
      <w:r w:rsidRPr="00AD6A86">
        <w:rPr>
          <w:b/>
        </w:rPr>
        <w:lastRenderedPageBreak/>
        <w:t xml:space="preserve">MICK MUTANGA </w:t>
      </w:r>
      <w:r w:rsidRPr="00AD6A86">
        <w:rPr>
          <w:b/>
        </w:rPr>
        <w:tab/>
        <w:t>ELEVENTH RESPONDENT</w:t>
      </w:r>
    </w:p>
    <w:p w14:paraId="108EA62D" w14:textId="29B6316C" w:rsidR="00273FF7" w:rsidRPr="00AD6A86" w:rsidRDefault="00273FF7" w:rsidP="002C1127">
      <w:pPr>
        <w:tabs>
          <w:tab w:val="right" w:pos="8280"/>
        </w:tabs>
        <w:rPr>
          <w:b/>
        </w:rPr>
      </w:pPr>
      <w:r w:rsidRPr="00AD6A86">
        <w:rPr>
          <w:b/>
        </w:rPr>
        <w:t xml:space="preserve">PANDULENI SHIMUTWIKENI </w:t>
      </w:r>
      <w:r w:rsidRPr="00AD6A86">
        <w:rPr>
          <w:b/>
        </w:rPr>
        <w:tab/>
        <w:t>TWELFTH RESPONDENT</w:t>
      </w:r>
    </w:p>
    <w:p w14:paraId="73BF7F03" w14:textId="4D92CD28" w:rsidR="00273FF7" w:rsidRPr="00AD6A86" w:rsidRDefault="00273FF7" w:rsidP="002C1127">
      <w:pPr>
        <w:tabs>
          <w:tab w:val="right" w:pos="8280"/>
        </w:tabs>
        <w:rPr>
          <w:b/>
        </w:rPr>
      </w:pPr>
      <w:r w:rsidRPr="00AD6A86">
        <w:rPr>
          <w:b/>
        </w:rPr>
        <w:t xml:space="preserve">RAUNA HANGHUWO </w:t>
      </w:r>
      <w:r w:rsidRPr="00AD6A86">
        <w:rPr>
          <w:b/>
        </w:rPr>
        <w:tab/>
        <w:t>THIRTEENTH RESPONDENT</w:t>
      </w:r>
    </w:p>
    <w:p w14:paraId="6126662A" w14:textId="13D557F8" w:rsidR="00273FF7" w:rsidRPr="00AD6A86" w:rsidRDefault="00273FF7" w:rsidP="002C1127">
      <w:pPr>
        <w:tabs>
          <w:tab w:val="right" w:pos="8280"/>
        </w:tabs>
        <w:rPr>
          <w:b/>
        </w:rPr>
      </w:pPr>
      <w:r w:rsidRPr="00AD6A86">
        <w:rPr>
          <w:b/>
        </w:rPr>
        <w:t xml:space="preserve">STEVEN KARIAZU </w:t>
      </w:r>
      <w:r w:rsidRPr="00AD6A86">
        <w:rPr>
          <w:b/>
        </w:rPr>
        <w:tab/>
        <w:t>FOURTEENTH RESPONDENT</w:t>
      </w:r>
    </w:p>
    <w:p w14:paraId="1B8621C8" w14:textId="08729C61" w:rsidR="00273FF7" w:rsidRPr="00AD6A86" w:rsidRDefault="00273FF7" w:rsidP="002C1127">
      <w:pPr>
        <w:tabs>
          <w:tab w:val="right" w:pos="8280"/>
        </w:tabs>
        <w:rPr>
          <w:b/>
        </w:rPr>
      </w:pPr>
      <w:r w:rsidRPr="00AD6A86">
        <w:rPr>
          <w:b/>
        </w:rPr>
        <w:t xml:space="preserve">BEN KAUARI </w:t>
      </w:r>
      <w:r w:rsidRPr="00AD6A86">
        <w:rPr>
          <w:b/>
        </w:rPr>
        <w:tab/>
        <w:t>FIFTEENTH RESPONDENT</w:t>
      </w:r>
    </w:p>
    <w:p w14:paraId="595BB304" w14:textId="2FE5DE9A" w:rsidR="00273FF7" w:rsidRPr="00AD6A86" w:rsidRDefault="00273FF7" w:rsidP="002C1127">
      <w:pPr>
        <w:tabs>
          <w:tab w:val="right" w:pos="8280"/>
        </w:tabs>
        <w:rPr>
          <w:b/>
        </w:rPr>
      </w:pPr>
      <w:r w:rsidRPr="00AD6A86">
        <w:rPr>
          <w:b/>
        </w:rPr>
        <w:t xml:space="preserve">IYALOO MWANINGANGE </w:t>
      </w:r>
      <w:r w:rsidRPr="00AD6A86">
        <w:rPr>
          <w:b/>
        </w:rPr>
        <w:tab/>
        <w:t>SIXTEENTH RESPONDENT</w:t>
      </w:r>
    </w:p>
    <w:p w14:paraId="192EE7E4" w14:textId="2099779D" w:rsidR="00273FF7" w:rsidRPr="00AD6A86" w:rsidRDefault="00273FF7" w:rsidP="002C1127">
      <w:pPr>
        <w:tabs>
          <w:tab w:val="right" w:pos="8280"/>
        </w:tabs>
        <w:rPr>
          <w:b/>
        </w:rPr>
      </w:pPr>
      <w:r w:rsidRPr="00AD6A86">
        <w:rPr>
          <w:b/>
        </w:rPr>
        <w:t xml:space="preserve">JUSTUS STANLEY VEII </w:t>
      </w:r>
      <w:r w:rsidRPr="00AD6A86">
        <w:rPr>
          <w:b/>
        </w:rPr>
        <w:tab/>
        <w:t>SEVENTEENTH RESPONDENT</w:t>
      </w:r>
    </w:p>
    <w:p w14:paraId="232575DF" w14:textId="3A8E8852" w:rsidR="00273FF7" w:rsidRPr="00AD6A86" w:rsidRDefault="00273FF7" w:rsidP="002C1127">
      <w:pPr>
        <w:tabs>
          <w:tab w:val="right" w:pos="8280"/>
        </w:tabs>
        <w:rPr>
          <w:b/>
        </w:rPr>
      </w:pPr>
      <w:r w:rsidRPr="00AD6A86">
        <w:rPr>
          <w:b/>
        </w:rPr>
        <w:t xml:space="preserve">BARRY GERALD STOCKS </w:t>
      </w:r>
      <w:r w:rsidRPr="00AD6A86">
        <w:rPr>
          <w:b/>
        </w:rPr>
        <w:tab/>
        <w:t>EIGHTEENTH RESPONDENT</w:t>
      </w:r>
    </w:p>
    <w:p w14:paraId="6825CD15" w14:textId="091073CE" w:rsidR="00273FF7" w:rsidRPr="00AD6A86" w:rsidRDefault="00273FF7" w:rsidP="002C1127">
      <w:pPr>
        <w:tabs>
          <w:tab w:val="right" w:pos="8280"/>
        </w:tabs>
        <w:rPr>
          <w:b/>
        </w:rPr>
      </w:pPr>
      <w:r w:rsidRPr="00AD6A86">
        <w:rPr>
          <w:b/>
        </w:rPr>
        <w:t xml:space="preserve">ERIC NEALE JOY </w:t>
      </w:r>
      <w:r w:rsidRPr="00AD6A86">
        <w:rPr>
          <w:b/>
        </w:rPr>
        <w:tab/>
        <w:t>NINETEENTH RESPONDENT</w:t>
      </w:r>
    </w:p>
    <w:p w14:paraId="347B300B" w14:textId="57375A49" w:rsidR="00273FF7" w:rsidRPr="00AD6A86" w:rsidRDefault="00273FF7" w:rsidP="002C1127">
      <w:pPr>
        <w:tabs>
          <w:tab w:val="right" w:pos="8280"/>
        </w:tabs>
        <w:rPr>
          <w:b/>
        </w:rPr>
      </w:pPr>
      <w:r w:rsidRPr="00AD6A86">
        <w:rPr>
          <w:b/>
        </w:rPr>
        <w:t xml:space="preserve">ABUID KATJAITA </w:t>
      </w:r>
      <w:r w:rsidRPr="00AD6A86">
        <w:rPr>
          <w:b/>
        </w:rPr>
        <w:tab/>
        <w:t>TWENTIETH RESPONDENT</w:t>
      </w:r>
    </w:p>
    <w:p w14:paraId="683E2410" w14:textId="018F820F" w:rsidR="00273FF7" w:rsidRPr="00AD6A86" w:rsidRDefault="00273FF7" w:rsidP="002C1127">
      <w:pPr>
        <w:tabs>
          <w:tab w:val="right" w:pos="8280"/>
        </w:tabs>
        <w:rPr>
          <w:b/>
        </w:rPr>
      </w:pPr>
      <w:r w:rsidRPr="00AD6A86">
        <w:rPr>
          <w:b/>
        </w:rPr>
        <w:t xml:space="preserve">ASAVELA ANDERSON NGCONGO </w:t>
      </w:r>
      <w:r w:rsidRPr="00AD6A86">
        <w:rPr>
          <w:b/>
        </w:rPr>
        <w:tab/>
        <w:t>TWENTY-FIRST RESPONDENT</w:t>
      </w:r>
    </w:p>
    <w:p w14:paraId="0BCB8815" w14:textId="797D1D43" w:rsidR="00273FF7" w:rsidRPr="00AD6A86" w:rsidRDefault="00273FF7" w:rsidP="002C1127">
      <w:pPr>
        <w:tabs>
          <w:tab w:val="right" w:pos="8280"/>
        </w:tabs>
        <w:rPr>
          <w:b/>
        </w:rPr>
      </w:pPr>
      <w:r w:rsidRPr="00AD6A86">
        <w:rPr>
          <w:b/>
        </w:rPr>
        <w:t xml:space="preserve">CHARLES KAUEJAO </w:t>
      </w:r>
      <w:r w:rsidRPr="00AD6A86">
        <w:rPr>
          <w:b/>
        </w:rPr>
        <w:tab/>
        <w:t>TWENTY-SECOND RESPONDENT</w:t>
      </w:r>
    </w:p>
    <w:p w14:paraId="59F6BF4E" w14:textId="77777777" w:rsidR="00273FF7" w:rsidRPr="00AD6A86" w:rsidRDefault="00273FF7" w:rsidP="002C1127">
      <w:pPr>
        <w:tabs>
          <w:tab w:val="right" w:pos="8280"/>
        </w:tabs>
        <w:rPr>
          <w:b/>
        </w:rPr>
      </w:pPr>
      <w:r w:rsidRPr="00AD6A86">
        <w:rPr>
          <w:b/>
        </w:rPr>
        <w:t xml:space="preserve">BUSINESS AND INTELLECTUAL </w:t>
      </w:r>
    </w:p>
    <w:p w14:paraId="5E9FE79C" w14:textId="6A88775B" w:rsidR="00273FF7" w:rsidRPr="00AD6A86" w:rsidRDefault="00273FF7" w:rsidP="002C1127">
      <w:pPr>
        <w:tabs>
          <w:tab w:val="right" w:pos="8280"/>
        </w:tabs>
        <w:rPr>
          <w:b/>
        </w:rPr>
      </w:pPr>
      <w:r w:rsidRPr="00AD6A86">
        <w:rPr>
          <w:b/>
        </w:rPr>
        <w:t xml:space="preserve">PROPERTY AUTHORITY </w:t>
      </w:r>
      <w:r w:rsidRPr="00AD6A86">
        <w:rPr>
          <w:b/>
        </w:rPr>
        <w:tab/>
        <w:t>TWENTY-THIRD RESPONDENT</w:t>
      </w:r>
    </w:p>
    <w:p w14:paraId="4FA0FD1D" w14:textId="1057D439" w:rsidR="00693234" w:rsidRPr="00AD6A86" w:rsidRDefault="00273FF7" w:rsidP="002C1127">
      <w:pPr>
        <w:tabs>
          <w:tab w:val="right" w:pos="8280"/>
        </w:tabs>
        <w:rPr>
          <w:b/>
        </w:rPr>
      </w:pPr>
      <w:r w:rsidRPr="00AD6A86">
        <w:rPr>
          <w:b/>
        </w:rPr>
        <w:t xml:space="preserve">MINISTER OF MINES AND ENERGY </w:t>
      </w:r>
      <w:r w:rsidRPr="00AD6A86">
        <w:rPr>
          <w:b/>
        </w:rPr>
        <w:tab/>
        <w:t>TWENTY-FOURTH RESPONDENT</w:t>
      </w:r>
    </w:p>
    <w:p w14:paraId="34CA8737" w14:textId="77777777" w:rsidR="00693234" w:rsidRPr="00AD6A86" w:rsidRDefault="00693234" w:rsidP="002C1127">
      <w:pPr>
        <w:ind w:left="2160" w:hanging="2160"/>
        <w:rPr>
          <w:b/>
        </w:rPr>
      </w:pPr>
    </w:p>
    <w:p w14:paraId="58B206DF" w14:textId="6F574AEA" w:rsidR="00853524" w:rsidRPr="00AD6A86" w:rsidRDefault="00853524" w:rsidP="002C1127">
      <w:r w:rsidRPr="00AD6A86">
        <w:rPr>
          <w:b/>
        </w:rPr>
        <w:t>Neutral citation</w:t>
      </w:r>
      <w:r w:rsidR="00C82A83" w:rsidRPr="00AD6A86">
        <w:rPr>
          <w:b/>
        </w:rPr>
        <w:t>:</w:t>
      </w:r>
      <w:r w:rsidRPr="00AD6A86">
        <w:rPr>
          <w:b/>
        </w:rPr>
        <w:tab/>
      </w:r>
      <w:r w:rsidR="00273FF7" w:rsidRPr="00AD6A86">
        <w:rPr>
          <w:bCs/>
          <w:i/>
          <w:iCs/>
        </w:rPr>
        <w:t xml:space="preserve">High Power Holdings (Pty) Ltd </w:t>
      </w:r>
      <w:r w:rsidR="005A159F" w:rsidRPr="00AD6A86">
        <w:rPr>
          <w:bCs/>
          <w:i/>
          <w:iCs/>
        </w:rPr>
        <w:t xml:space="preserve">v </w:t>
      </w:r>
      <w:r w:rsidR="00273FF7" w:rsidRPr="00AD6A86">
        <w:rPr>
          <w:i/>
        </w:rPr>
        <w:t xml:space="preserve">Imprint Investments (Pty) </w:t>
      </w:r>
      <w:r w:rsidR="00253AD4" w:rsidRPr="00AD6A86">
        <w:rPr>
          <w:i/>
        </w:rPr>
        <w:tab/>
      </w:r>
      <w:r w:rsidR="00253AD4" w:rsidRPr="00AD6A86">
        <w:rPr>
          <w:i/>
        </w:rPr>
        <w:tab/>
      </w:r>
      <w:r w:rsidR="00253AD4" w:rsidRPr="00AD6A86">
        <w:rPr>
          <w:i/>
        </w:rPr>
        <w:tab/>
      </w:r>
      <w:r w:rsidR="00273FF7" w:rsidRPr="00AD6A86">
        <w:rPr>
          <w:i/>
        </w:rPr>
        <w:t>Ltd</w:t>
      </w:r>
      <w:r w:rsidR="006C0C27" w:rsidRPr="00AD6A86">
        <w:t xml:space="preserve"> </w:t>
      </w:r>
      <w:r w:rsidR="0027726D" w:rsidRPr="00AD6A86">
        <w:t>(</w:t>
      </w:r>
      <w:r w:rsidR="00273FF7" w:rsidRPr="00AD6A86">
        <w:t>HC-MD-CIV-MOT-GEN-2022/00502</w:t>
      </w:r>
      <w:r w:rsidR="005A159F" w:rsidRPr="00AD6A86">
        <w:t>)</w:t>
      </w:r>
      <w:r w:rsidR="004B1A8D" w:rsidRPr="00AD6A86">
        <w:t xml:space="preserve"> </w:t>
      </w:r>
      <w:r w:rsidR="000D5E8F" w:rsidRPr="00AD6A86">
        <w:t xml:space="preserve">[2023] NAHCMD </w:t>
      </w:r>
      <w:r w:rsidR="00253AD4" w:rsidRPr="00AD6A86">
        <w:tab/>
      </w:r>
      <w:r w:rsidR="00253AD4" w:rsidRPr="00AD6A86">
        <w:tab/>
      </w:r>
      <w:r w:rsidR="00253AD4" w:rsidRPr="00AD6A86">
        <w:tab/>
      </w:r>
      <w:r w:rsidR="0002145C" w:rsidRPr="0002145C">
        <w:t>688</w:t>
      </w:r>
      <w:r w:rsidR="0002145C">
        <w:rPr>
          <w:color w:val="FF0000"/>
        </w:rPr>
        <w:t xml:space="preserve"> </w:t>
      </w:r>
      <w:r w:rsidR="00DD1112" w:rsidRPr="00AD6A86">
        <w:t>(</w:t>
      </w:r>
      <w:r w:rsidR="00A4008E">
        <w:t>30</w:t>
      </w:r>
      <w:r w:rsidR="008742B5" w:rsidRPr="00AD6A86">
        <w:t xml:space="preserve"> October </w:t>
      </w:r>
      <w:r w:rsidR="005A159F" w:rsidRPr="00AD6A86">
        <w:t>2023</w:t>
      </w:r>
      <w:r w:rsidR="004B1A8D" w:rsidRPr="00AD6A86">
        <w:t>)</w:t>
      </w:r>
    </w:p>
    <w:p w14:paraId="40BE7433" w14:textId="77777777" w:rsidR="00853524" w:rsidRPr="00AD6A86" w:rsidRDefault="00853524" w:rsidP="002C1127">
      <w:pPr>
        <w:ind w:left="2160" w:hanging="2160"/>
      </w:pPr>
    </w:p>
    <w:p w14:paraId="657CA48A" w14:textId="4B23410E" w:rsidR="004B1A8D" w:rsidRPr="00AD6A86" w:rsidRDefault="00853524" w:rsidP="002C1127">
      <w:pPr>
        <w:ind w:left="2160" w:hanging="2160"/>
        <w:rPr>
          <w:b/>
          <w:bCs/>
        </w:rPr>
      </w:pPr>
      <w:r w:rsidRPr="00AD6A86">
        <w:rPr>
          <w:b/>
        </w:rPr>
        <w:t>Coram</w:t>
      </w:r>
      <w:r w:rsidR="00D01FBD" w:rsidRPr="00AD6A86">
        <w:rPr>
          <w:b/>
        </w:rPr>
        <w:t>:</w:t>
      </w:r>
      <w:r w:rsidRPr="00AD6A86">
        <w:tab/>
      </w:r>
      <w:r w:rsidR="00A4008E" w:rsidRPr="00AD6A86">
        <w:t>SCHIMMING-CHASE J</w:t>
      </w:r>
    </w:p>
    <w:p w14:paraId="79C11E11" w14:textId="2E19279A" w:rsidR="00853524" w:rsidRPr="00AD6A86" w:rsidRDefault="00853524" w:rsidP="002C1127">
      <w:pPr>
        <w:ind w:left="2160" w:hanging="2160"/>
        <w:rPr>
          <w:b/>
          <w:bCs/>
        </w:rPr>
      </w:pPr>
      <w:r w:rsidRPr="00AD6A86">
        <w:rPr>
          <w:b/>
          <w:bCs/>
        </w:rPr>
        <w:t>Heard</w:t>
      </w:r>
      <w:r w:rsidR="00D01FBD" w:rsidRPr="00AD6A86">
        <w:rPr>
          <w:b/>
          <w:bCs/>
        </w:rPr>
        <w:t>:</w:t>
      </w:r>
      <w:r w:rsidRPr="00AD6A86">
        <w:rPr>
          <w:b/>
        </w:rPr>
        <w:tab/>
      </w:r>
      <w:r w:rsidR="00253AD4" w:rsidRPr="00AD6A86">
        <w:rPr>
          <w:b/>
          <w:bCs/>
        </w:rPr>
        <w:t>27 June 2023</w:t>
      </w:r>
    </w:p>
    <w:p w14:paraId="00AB6D83" w14:textId="232A24AB" w:rsidR="00853524" w:rsidRPr="00AD6A86" w:rsidRDefault="00117DD9" w:rsidP="002C1127">
      <w:pPr>
        <w:ind w:left="2160" w:hanging="2160"/>
        <w:rPr>
          <w:b/>
          <w:bCs/>
        </w:rPr>
      </w:pPr>
      <w:r w:rsidRPr="00AD6A86">
        <w:rPr>
          <w:b/>
          <w:bCs/>
        </w:rPr>
        <w:t>Delivered</w:t>
      </w:r>
      <w:r w:rsidR="00D01FBD" w:rsidRPr="00AD6A86">
        <w:rPr>
          <w:b/>
          <w:bCs/>
        </w:rPr>
        <w:t>:</w:t>
      </w:r>
      <w:r w:rsidR="00853524" w:rsidRPr="00AD6A86">
        <w:rPr>
          <w:b/>
        </w:rPr>
        <w:tab/>
      </w:r>
      <w:r w:rsidR="00A4008E">
        <w:rPr>
          <w:b/>
          <w:bCs/>
        </w:rPr>
        <w:t>30</w:t>
      </w:r>
      <w:r w:rsidR="008742B5" w:rsidRPr="00AD6A86">
        <w:rPr>
          <w:b/>
          <w:bCs/>
        </w:rPr>
        <w:t xml:space="preserve"> October </w:t>
      </w:r>
      <w:r w:rsidR="004A09FE" w:rsidRPr="00AD6A86">
        <w:rPr>
          <w:b/>
          <w:bCs/>
        </w:rPr>
        <w:t>2023</w:t>
      </w:r>
    </w:p>
    <w:p w14:paraId="4B94ED77" w14:textId="77777777" w:rsidR="00853524" w:rsidRPr="00AD6A86" w:rsidRDefault="00853524" w:rsidP="002C1127">
      <w:pPr>
        <w:ind w:left="1440" w:hanging="1440"/>
      </w:pPr>
    </w:p>
    <w:p w14:paraId="2DAE0BF7" w14:textId="1796045D" w:rsidR="00A762AE" w:rsidRPr="00AD6A86" w:rsidRDefault="00853524" w:rsidP="002C1127">
      <w:pPr>
        <w:rPr>
          <w:bCs/>
        </w:rPr>
      </w:pPr>
      <w:r w:rsidRPr="00AD6A86">
        <w:rPr>
          <w:b/>
        </w:rPr>
        <w:t>Flynote</w:t>
      </w:r>
      <w:r w:rsidR="005A4EBE" w:rsidRPr="00AD6A86">
        <w:rPr>
          <w:bCs/>
        </w:rPr>
        <w:t>:</w:t>
      </w:r>
      <w:r w:rsidR="00EC1E76" w:rsidRPr="00AD6A86">
        <w:rPr>
          <w:bCs/>
        </w:rPr>
        <w:t xml:space="preserve"> </w:t>
      </w:r>
      <w:r w:rsidR="000E0FAF" w:rsidRPr="00AD6A86">
        <w:rPr>
          <w:bCs/>
        </w:rPr>
        <w:tab/>
      </w:r>
      <w:r w:rsidR="00A038A5" w:rsidRPr="00A038A5">
        <w:rPr>
          <w:bCs/>
        </w:rPr>
        <w:t xml:space="preserve">Practice — Particular defences — Defence of </w:t>
      </w:r>
      <w:r w:rsidR="00A038A5" w:rsidRPr="00A038A5">
        <w:rPr>
          <w:bCs/>
          <w:i/>
          <w:iCs/>
        </w:rPr>
        <w:t>lis alibi pendens</w:t>
      </w:r>
      <w:r w:rsidR="000E0FAF" w:rsidRPr="00AD6A86">
        <w:rPr>
          <w:bCs/>
        </w:rPr>
        <w:t xml:space="preserve"> </w:t>
      </w:r>
      <w:r w:rsidR="00A4008E" w:rsidRPr="00A038A5">
        <w:rPr>
          <w:bCs/>
        </w:rPr>
        <w:t>—</w:t>
      </w:r>
      <w:r w:rsidR="000E0FAF" w:rsidRPr="00AD6A86">
        <w:rPr>
          <w:bCs/>
        </w:rPr>
        <w:t xml:space="preserve">requirements restated </w:t>
      </w:r>
      <w:r w:rsidR="00A4008E" w:rsidRPr="00A038A5">
        <w:rPr>
          <w:bCs/>
        </w:rPr>
        <w:t>—</w:t>
      </w:r>
      <w:r w:rsidR="000E0FAF" w:rsidRPr="00AD6A86">
        <w:rPr>
          <w:bCs/>
        </w:rPr>
        <w:t xml:space="preserve"> there must be pending litigation, between the same parties or their privies, based on the same cause of action, and in respect of the same subject-matter, but this does not mean the form of relief claimed in both proceedings must be identical.</w:t>
      </w:r>
    </w:p>
    <w:p w14:paraId="078D9DD2" w14:textId="77777777" w:rsidR="009C4558" w:rsidRPr="00AD6A86" w:rsidRDefault="009C4558" w:rsidP="002C1127">
      <w:pPr>
        <w:rPr>
          <w:bCs/>
        </w:rPr>
      </w:pPr>
    </w:p>
    <w:p w14:paraId="7B919808" w14:textId="06A066C3" w:rsidR="00B134A7" w:rsidRPr="00AD6A86" w:rsidRDefault="00853524" w:rsidP="002C1127">
      <w:pPr>
        <w:widowControl/>
        <w:rPr>
          <w:bCs/>
        </w:rPr>
      </w:pPr>
      <w:r w:rsidRPr="00AD6A86">
        <w:rPr>
          <w:b/>
        </w:rPr>
        <w:t>Summary</w:t>
      </w:r>
      <w:r w:rsidR="00180697" w:rsidRPr="00AD6A86">
        <w:rPr>
          <w:bCs/>
        </w:rPr>
        <w:t>:</w:t>
      </w:r>
      <w:r w:rsidR="00180697" w:rsidRPr="00AD6A86">
        <w:rPr>
          <w:bCs/>
        </w:rPr>
        <w:tab/>
      </w:r>
      <w:r w:rsidR="003C4FE9">
        <w:rPr>
          <w:bCs/>
        </w:rPr>
        <w:t xml:space="preserve">In this application, the applicants seek to set aside certain resolutions taken by the board of directors of the first respondent. The essence of the </w:t>
      </w:r>
      <w:r w:rsidR="0049214A">
        <w:rPr>
          <w:bCs/>
        </w:rPr>
        <w:t xml:space="preserve">relief sought </w:t>
      </w:r>
      <w:r w:rsidR="003C4FE9">
        <w:rPr>
          <w:bCs/>
        </w:rPr>
        <w:t>is that w</w:t>
      </w:r>
      <w:r w:rsidR="005B16DE">
        <w:rPr>
          <w:bCs/>
        </w:rPr>
        <w:t xml:space="preserve">hilst litigation concerning </w:t>
      </w:r>
      <w:r w:rsidR="00E842F1">
        <w:rPr>
          <w:bCs/>
          <w:i/>
          <w:iCs/>
        </w:rPr>
        <w:t xml:space="preserve">inter alia </w:t>
      </w:r>
      <w:r w:rsidR="00E842F1">
        <w:rPr>
          <w:bCs/>
        </w:rPr>
        <w:t xml:space="preserve"> the financial management and </w:t>
      </w:r>
      <w:r w:rsidR="005B16DE">
        <w:rPr>
          <w:bCs/>
        </w:rPr>
        <w:t xml:space="preserve">the objectives </w:t>
      </w:r>
      <w:r w:rsidR="00E842F1">
        <w:rPr>
          <w:bCs/>
        </w:rPr>
        <w:t>of the</w:t>
      </w:r>
      <w:r w:rsidR="005B16DE">
        <w:rPr>
          <w:bCs/>
        </w:rPr>
        <w:t xml:space="preserve"> first respondent was under way</w:t>
      </w:r>
      <w:r w:rsidR="000D46F1">
        <w:rPr>
          <w:bCs/>
        </w:rPr>
        <w:t xml:space="preserve"> in this </w:t>
      </w:r>
      <w:r w:rsidR="000D46F1">
        <w:rPr>
          <w:bCs/>
        </w:rPr>
        <w:lastRenderedPageBreak/>
        <w:t>court</w:t>
      </w:r>
      <w:r w:rsidR="005B16DE">
        <w:rPr>
          <w:bCs/>
        </w:rPr>
        <w:t xml:space="preserve">, and on </w:t>
      </w:r>
      <w:r w:rsidR="00180697" w:rsidRPr="00AD6A86">
        <w:rPr>
          <w:bCs/>
        </w:rPr>
        <w:t xml:space="preserve">24 November 2021, the </w:t>
      </w:r>
      <w:r w:rsidR="005B16DE">
        <w:rPr>
          <w:bCs/>
        </w:rPr>
        <w:t>seventeenth to twentieth respondent</w:t>
      </w:r>
      <w:r w:rsidR="000D46F1">
        <w:rPr>
          <w:bCs/>
        </w:rPr>
        <w:t>s</w:t>
      </w:r>
      <w:r w:rsidR="005B16DE">
        <w:rPr>
          <w:bCs/>
        </w:rPr>
        <w:t xml:space="preserve"> convened a meeting of the first respondent scheduled for 23 December 2021. The</w:t>
      </w:r>
      <w:r w:rsidR="00180697" w:rsidRPr="00AD6A86">
        <w:rPr>
          <w:bCs/>
        </w:rPr>
        <w:t xml:space="preserve"> notice was also shared with the applicants.</w:t>
      </w:r>
    </w:p>
    <w:p w14:paraId="6177D063" w14:textId="77777777" w:rsidR="00180697" w:rsidRPr="00AD6A86" w:rsidRDefault="00180697" w:rsidP="002C1127">
      <w:pPr>
        <w:widowControl/>
        <w:rPr>
          <w:bCs/>
        </w:rPr>
      </w:pPr>
    </w:p>
    <w:p w14:paraId="3D3543BB" w14:textId="5E0ACF09" w:rsidR="00180697" w:rsidRPr="00AD6A86" w:rsidRDefault="00180697" w:rsidP="002C1127">
      <w:pPr>
        <w:widowControl/>
        <w:rPr>
          <w:bCs/>
        </w:rPr>
      </w:pPr>
      <w:r w:rsidRPr="00AD6A86">
        <w:rPr>
          <w:bCs/>
        </w:rPr>
        <w:t xml:space="preserve">Despite protest by the applicants that </w:t>
      </w:r>
      <w:r w:rsidR="003C4FE9">
        <w:rPr>
          <w:bCs/>
        </w:rPr>
        <w:t xml:space="preserve">convening a board meeting at that stage, </w:t>
      </w:r>
      <w:r w:rsidR="0049214A">
        <w:rPr>
          <w:bCs/>
        </w:rPr>
        <w:t xml:space="preserve">would prejudicially </w:t>
      </w:r>
      <w:r w:rsidRPr="00AD6A86">
        <w:rPr>
          <w:bCs/>
        </w:rPr>
        <w:t xml:space="preserve">interfere with </w:t>
      </w:r>
      <w:r w:rsidR="003C4FE9">
        <w:rPr>
          <w:bCs/>
        </w:rPr>
        <w:t xml:space="preserve">the </w:t>
      </w:r>
      <w:r w:rsidRPr="00AD6A86">
        <w:rPr>
          <w:bCs/>
        </w:rPr>
        <w:t>litigation instituted by the applicants against the respondents</w:t>
      </w:r>
      <w:r w:rsidR="000D46F1">
        <w:rPr>
          <w:bCs/>
        </w:rPr>
        <w:t>,</w:t>
      </w:r>
      <w:r w:rsidRPr="00AD6A86">
        <w:rPr>
          <w:bCs/>
        </w:rPr>
        <w:t xml:space="preserve"> </w:t>
      </w:r>
      <w:r w:rsidR="00E842F1">
        <w:rPr>
          <w:bCs/>
        </w:rPr>
        <w:t xml:space="preserve">the </w:t>
      </w:r>
      <w:r w:rsidR="000D46F1">
        <w:rPr>
          <w:bCs/>
        </w:rPr>
        <w:t xml:space="preserve">board </w:t>
      </w:r>
      <w:r w:rsidR="00E842F1">
        <w:rPr>
          <w:bCs/>
        </w:rPr>
        <w:t xml:space="preserve">meeting went ahead in the absence of the applicants. At the aforesaid meeting, it was </w:t>
      </w:r>
      <w:r w:rsidR="003C4FE9">
        <w:rPr>
          <w:bCs/>
          <w:i/>
          <w:iCs/>
        </w:rPr>
        <w:t xml:space="preserve">inter alia </w:t>
      </w:r>
      <w:r w:rsidR="00E842F1">
        <w:rPr>
          <w:bCs/>
        </w:rPr>
        <w:t xml:space="preserve">resolved to remove </w:t>
      </w:r>
      <w:r w:rsidRPr="00AD6A86">
        <w:rPr>
          <w:bCs/>
        </w:rPr>
        <w:t xml:space="preserve">the first applicant as shareholder of the first respondent, </w:t>
      </w:r>
      <w:r w:rsidR="003C4FE9">
        <w:rPr>
          <w:bCs/>
        </w:rPr>
        <w:t xml:space="preserve">and </w:t>
      </w:r>
      <w:r w:rsidRPr="00AD6A86">
        <w:rPr>
          <w:bCs/>
        </w:rPr>
        <w:t>to remove the second applicant</w:t>
      </w:r>
      <w:r w:rsidR="000D46F1">
        <w:rPr>
          <w:bCs/>
        </w:rPr>
        <w:t xml:space="preserve"> and third applicants as </w:t>
      </w:r>
      <w:r w:rsidRPr="00AD6A86">
        <w:rPr>
          <w:bCs/>
        </w:rPr>
        <w:t>director</w:t>
      </w:r>
      <w:r w:rsidR="000D46F1">
        <w:rPr>
          <w:bCs/>
        </w:rPr>
        <w:t>s</w:t>
      </w:r>
      <w:r w:rsidRPr="00AD6A86">
        <w:rPr>
          <w:bCs/>
        </w:rPr>
        <w:t xml:space="preserve"> of the first respondent.</w:t>
      </w:r>
    </w:p>
    <w:p w14:paraId="1BAB6C34" w14:textId="77777777" w:rsidR="00180697" w:rsidRPr="00AD6A86" w:rsidRDefault="00180697" w:rsidP="002C1127">
      <w:pPr>
        <w:widowControl/>
        <w:rPr>
          <w:bCs/>
        </w:rPr>
      </w:pPr>
    </w:p>
    <w:p w14:paraId="57D3E27C" w14:textId="28ADA2C8" w:rsidR="00180697" w:rsidRPr="00AD6A86" w:rsidRDefault="0049214A" w:rsidP="002C1127">
      <w:pPr>
        <w:widowControl/>
        <w:rPr>
          <w:bCs/>
        </w:rPr>
      </w:pPr>
      <w:r>
        <w:rPr>
          <w:bCs/>
        </w:rPr>
        <w:t xml:space="preserve">In the action proceedings, </w:t>
      </w:r>
      <w:bookmarkStart w:id="1" w:name="_Hlk149219516"/>
      <w:r w:rsidR="00180697" w:rsidRPr="00AD6A86">
        <w:rPr>
          <w:bCs/>
        </w:rPr>
        <w:t>the applicants sought leave of the</w:t>
      </w:r>
      <w:r w:rsidR="00A4008E">
        <w:rPr>
          <w:bCs/>
        </w:rPr>
        <w:t xml:space="preserve"> court</w:t>
      </w:r>
      <w:r w:rsidR="00180697" w:rsidRPr="00AD6A86">
        <w:rPr>
          <w:bCs/>
        </w:rPr>
        <w:t xml:space="preserve"> to amend their particulars of claim to have the resolutions </w:t>
      </w:r>
      <w:r>
        <w:rPr>
          <w:bCs/>
        </w:rPr>
        <w:t xml:space="preserve">made by the first respondent on 23 December 2021 </w:t>
      </w:r>
      <w:r w:rsidR="00180697" w:rsidRPr="00AD6A86">
        <w:rPr>
          <w:bCs/>
        </w:rPr>
        <w:t>declared null and void and set aside</w:t>
      </w:r>
      <w:r w:rsidR="000D46F1">
        <w:rPr>
          <w:bCs/>
        </w:rPr>
        <w:t>. Th</w:t>
      </w:r>
      <w:r>
        <w:rPr>
          <w:bCs/>
        </w:rPr>
        <w:t>is</w:t>
      </w:r>
      <w:r w:rsidR="008D7D64">
        <w:rPr>
          <w:bCs/>
        </w:rPr>
        <w:t xml:space="preserve"> court, per Parker AJ (HC-</w:t>
      </w:r>
      <w:r w:rsidR="000D46F1">
        <w:rPr>
          <w:bCs/>
        </w:rPr>
        <w:t>MD-CIV-ACT-OTH-2021/03944)</w:t>
      </w:r>
      <w:r w:rsidR="00180697" w:rsidRPr="00AD6A86">
        <w:rPr>
          <w:bCs/>
        </w:rPr>
        <w:t xml:space="preserve">, </w:t>
      </w:r>
      <w:r w:rsidR="000D46F1">
        <w:rPr>
          <w:bCs/>
        </w:rPr>
        <w:t xml:space="preserve">refused the application for </w:t>
      </w:r>
      <w:r w:rsidR="00180697" w:rsidRPr="00AD6A86">
        <w:rPr>
          <w:bCs/>
        </w:rPr>
        <w:t xml:space="preserve"> leave </w:t>
      </w:r>
      <w:r w:rsidR="00C97295" w:rsidRPr="00AD6A86">
        <w:rPr>
          <w:bCs/>
        </w:rPr>
        <w:t>to amend</w:t>
      </w:r>
      <w:r w:rsidR="000D46F1">
        <w:rPr>
          <w:bCs/>
        </w:rPr>
        <w:t>. Subsequent to an application for leave to appeal to the Supreme Court, which was similarly refused, the applicants petitione</w:t>
      </w:r>
      <w:r w:rsidR="003C4FE9">
        <w:rPr>
          <w:bCs/>
        </w:rPr>
        <w:t>d</w:t>
      </w:r>
      <w:r w:rsidR="000D46F1">
        <w:rPr>
          <w:bCs/>
        </w:rPr>
        <w:t xml:space="preserve"> the Chief Justice. </w:t>
      </w:r>
      <w:r w:rsidR="003C4FE9">
        <w:rPr>
          <w:bCs/>
        </w:rPr>
        <w:t xml:space="preserve">Leave to appeal to the Supreme Court was granted on 7 December 2022. </w:t>
      </w:r>
      <w:r w:rsidR="00034CA6">
        <w:rPr>
          <w:bCs/>
        </w:rPr>
        <w:t xml:space="preserve">On 2 October 2023, the matter </w:t>
      </w:r>
      <w:r w:rsidR="008D7D64">
        <w:rPr>
          <w:bCs/>
        </w:rPr>
        <w:t xml:space="preserve">was postponed to </w:t>
      </w:r>
      <w:r w:rsidR="00034CA6">
        <w:t>27 March 2024 pending the outcome of the Supreme Court appeal.</w:t>
      </w:r>
      <w:r>
        <w:t xml:space="preserve"> These application proceedings were launched on 26 October 2022.</w:t>
      </w:r>
    </w:p>
    <w:bookmarkEnd w:id="1"/>
    <w:p w14:paraId="35D10DE1" w14:textId="77777777" w:rsidR="00180697" w:rsidRPr="00AD6A86" w:rsidRDefault="00180697" w:rsidP="002C1127">
      <w:pPr>
        <w:widowControl/>
        <w:rPr>
          <w:bCs/>
        </w:rPr>
      </w:pPr>
    </w:p>
    <w:p w14:paraId="61CBE9D2" w14:textId="6785FE1C" w:rsidR="004B0186" w:rsidRPr="00AD6A86" w:rsidRDefault="00034CA6" w:rsidP="00C2084F">
      <w:pPr>
        <w:widowControl/>
        <w:rPr>
          <w:bCs/>
        </w:rPr>
      </w:pPr>
      <w:r>
        <w:rPr>
          <w:bCs/>
        </w:rPr>
        <w:t xml:space="preserve">The respondents raised the dilatory defence of </w:t>
      </w:r>
      <w:r w:rsidR="00A4008E">
        <w:rPr>
          <w:bCs/>
          <w:i/>
          <w:iCs/>
        </w:rPr>
        <w:t>lis alibi pendens,</w:t>
      </w:r>
      <w:r>
        <w:rPr>
          <w:bCs/>
        </w:rPr>
        <w:t xml:space="preserve"> contending that essentially the same relief</w:t>
      </w:r>
      <w:r w:rsidR="0049214A">
        <w:rPr>
          <w:bCs/>
        </w:rPr>
        <w:t xml:space="preserve"> sought in the application for leave to amend which forms the subject matter of the appeal, is sought in these </w:t>
      </w:r>
      <w:r w:rsidR="00A4008E">
        <w:rPr>
          <w:bCs/>
        </w:rPr>
        <w:t>proceedings;</w:t>
      </w:r>
      <w:r w:rsidR="0049214A">
        <w:rPr>
          <w:bCs/>
        </w:rPr>
        <w:t xml:space="preserve"> </w:t>
      </w:r>
      <w:r w:rsidR="00C2084F">
        <w:rPr>
          <w:bCs/>
        </w:rPr>
        <w:t>hence the</w:t>
      </w:r>
      <w:r w:rsidR="0049214A">
        <w:rPr>
          <w:bCs/>
        </w:rPr>
        <w:t xml:space="preserve"> launching of </w:t>
      </w:r>
      <w:r w:rsidR="00C2084F">
        <w:rPr>
          <w:bCs/>
        </w:rPr>
        <w:t xml:space="preserve">this application was premature. </w:t>
      </w:r>
    </w:p>
    <w:p w14:paraId="7CA158A2" w14:textId="77777777" w:rsidR="004B0186" w:rsidRPr="00AD6A86" w:rsidRDefault="004B0186" w:rsidP="002C1127">
      <w:pPr>
        <w:widowControl/>
        <w:rPr>
          <w:bCs/>
        </w:rPr>
      </w:pPr>
    </w:p>
    <w:p w14:paraId="74E6AE5A" w14:textId="7AA05772" w:rsidR="004B0186" w:rsidRPr="00AD6A86" w:rsidRDefault="004B0186" w:rsidP="002C1127">
      <w:pPr>
        <w:widowControl/>
        <w:rPr>
          <w:bCs/>
        </w:rPr>
      </w:pPr>
      <w:r w:rsidRPr="00AD6A86">
        <w:rPr>
          <w:bCs/>
          <w:i/>
          <w:iCs/>
        </w:rPr>
        <w:t>Held that</w:t>
      </w:r>
      <w:r w:rsidRPr="00AD6A86">
        <w:rPr>
          <w:bCs/>
        </w:rPr>
        <w:t xml:space="preserve">, the requirements for the plea of </w:t>
      </w:r>
      <w:r w:rsidRPr="00AD6A86">
        <w:rPr>
          <w:bCs/>
          <w:i/>
        </w:rPr>
        <w:t>lis pendens</w:t>
      </w:r>
      <w:r w:rsidRPr="00AD6A86">
        <w:rPr>
          <w:bCs/>
        </w:rPr>
        <w:t xml:space="preserve"> are that there must be pending litigation, between the same parties or their privies, based on the same cause of action, and in respect of the same subject-matter, but this does not mean the form of relief claimed in both proceedings must be identical.</w:t>
      </w:r>
    </w:p>
    <w:p w14:paraId="7A0527EF" w14:textId="77777777" w:rsidR="00A85C8F" w:rsidRPr="00AD6A86" w:rsidRDefault="00A85C8F" w:rsidP="002C1127">
      <w:pPr>
        <w:widowControl/>
        <w:rPr>
          <w:bCs/>
        </w:rPr>
      </w:pPr>
    </w:p>
    <w:p w14:paraId="2DA533ED" w14:textId="7CFEF2C3" w:rsidR="00C2084F" w:rsidRDefault="00A85C8F" w:rsidP="00C2084F">
      <w:pPr>
        <w:widowControl/>
        <w:rPr>
          <w:bCs/>
        </w:rPr>
      </w:pPr>
      <w:r w:rsidRPr="00AD6A86">
        <w:rPr>
          <w:bCs/>
          <w:i/>
          <w:iCs/>
        </w:rPr>
        <w:t>Further held that</w:t>
      </w:r>
      <w:r w:rsidRPr="00AD6A86">
        <w:rPr>
          <w:bCs/>
        </w:rPr>
        <w:t xml:space="preserve">, </w:t>
      </w:r>
      <w:r w:rsidR="008D7D64">
        <w:rPr>
          <w:bCs/>
        </w:rPr>
        <w:t>s</w:t>
      </w:r>
      <w:r w:rsidR="00C2084F">
        <w:rPr>
          <w:bCs/>
        </w:rPr>
        <w:t>hould the Supreme Court uphold the appeal, the same cause of action and relief sought to be obtained in these</w:t>
      </w:r>
      <w:r w:rsidR="0049214A">
        <w:rPr>
          <w:bCs/>
        </w:rPr>
        <w:t xml:space="preserve"> application </w:t>
      </w:r>
      <w:r w:rsidR="00C2084F">
        <w:rPr>
          <w:bCs/>
        </w:rPr>
        <w:t xml:space="preserve">proceedings will </w:t>
      </w:r>
      <w:r w:rsidR="00C2084F">
        <w:rPr>
          <w:bCs/>
        </w:rPr>
        <w:lastRenderedPageBreak/>
        <w:t xml:space="preserve">become a live issue in the action currently pending between the parties, which has been stayed pending finalisation </w:t>
      </w:r>
      <w:r w:rsidR="0049214A">
        <w:rPr>
          <w:bCs/>
        </w:rPr>
        <w:t>of the appeal</w:t>
      </w:r>
      <w:r w:rsidR="00C2084F">
        <w:rPr>
          <w:bCs/>
        </w:rPr>
        <w:t xml:space="preserve">. To make a determination on that same issue whilst an appeal is pending would effectively usurp the Supreme Court’s function of determining the issue before it. </w:t>
      </w:r>
    </w:p>
    <w:p w14:paraId="02C1AA50" w14:textId="77777777" w:rsidR="00C2084F" w:rsidRDefault="00C2084F" w:rsidP="00C2084F">
      <w:pPr>
        <w:widowControl/>
        <w:rPr>
          <w:bCs/>
        </w:rPr>
      </w:pPr>
    </w:p>
    <w:p w14:paraId="42A9766A" w14:textId="71B3E9DA" w:rsidR="00A85C8F" w:rsidRPr="00AD6A86" w:rsidRDefault="00C2084F" w:rsidP="00C2084F">
      <w:pPr>
        <w:widowControl/>
        <w:rPr>
          <w:bCs/>
        </w:rPr>
      </w:pPr>
      <w:r>
        <w:rPr>
          <w:bCs/>
        </w:rPr>
        <w:t xml:space="preserve">Accordingly the plea of </w:t>
      </w:r>
      <w:r>
        <w:rPr>
          <w:bCs/>
          <w:i/>
          <w:iCs/>
        </w:rPr>
        <w:t xml:space="preserve">lis pendens </w:t>
      </w:r>
      <w:r>
        <w:rPr>
          <w:bCs/>
        </w:rPr>
        <w:t xml:space="preserve">is upheld with costs and these proceedings are </w:t>
      </w:r>
      <w:r w:rsidR="0049214A">
        <w:rPr>
          <w:bCs/>
        </w:rPr>
        <w:t xml:space="preserve">similarly </w:t>
      </w:r>
      <w:r>
        <w:rPr>
          <w:bCs/>
        </w:rPr>
        <w:t xml:space="preserve">stayed pending finalisation of the Supreme Court appeal. </w:t>
      </w:r>
    </w:p>
    <w:p w14:paraId="38508DCB" w14:textId="77777777" w:rsidR="002C1127" w:rsidRPr="00AD6A86" w:rsidRDefault="002C1127" w:rsidP="002C1127">
      <w:pPr>
        <w:widowControl/>
        <w:rPr>
          <w:bCs/>
        </w:rPr>
      </w:pPr>
    </w:p>
    <w:p w14:paraId="501959EE" w14:textId="77777777" w:rsidR="00853524" w:rsidRPr="00AD6A86" w:rsidRDefault="00000000" w:rsidP="002C1127">
      <w:pPr>
        <w:rPr>
          <w:bCs/>
        </w:rPr>
      </w:pPr>
      <w:r>
        <w:rPr>
          <w:bCs/>
        </w:rPr>
        <w:pict w14:anchorId="0577953A">
          <v:rect id="_x0000_i1025" style="width:0;height:1.5pt" o:hralign="center" o:hrstd="t" o:hr="t" fillcolor="#a0a0a0" stroked="f"/>
        </w:pict>
      </w:r>
    </w:p>
    <w:p w14:paraId="779BEC67" w14:textId="77777777" w:rsidR="00853524" w:rsidRPr="00AD6A86" w:rsidRDefault="001F6CB9" w:rsidP="002C1127">
      <w:pPr>
        <w:jc w:val="center"/>
        <w:rPr>
          <w:b/>
          <w:bCs/>
        </w:rPr>
      </w:pPr>
      <w:r w:rsidRPr="00AD6A86">
        <w:rPr>
          <w:b/>
          <w:bCs/>
        </w:rPr>
        <w:t>ORDER</w:t>
      </w:r>
    </w:p>
    <w:p w14:paraId="33C92FAB" w14:textId="77777777" w:rsidR="00853524" w:rsidRPr="00AD6A86" w:rsidRDefault="00000000" w:rsidP="002C1127">
      <w:pPr>
        <w:jc w:val="center"/>
        <w:rPr>
          <w:b/>
          <w:bCs/>
        </w:rPr>
      </w:pPr>
      <w:r>
        <w:rPr>
          <w:bCs/>
        </w:rPr>
        <w:pict w14:anchorId="57A495BB">
          <v:rect id="_x0000_i1026" style="width:0;height:1.5pt" o:hralign="center" o:hrstd="t" o:hr="t" fillcolor="#a0a0a0" stroked="f"/>
        </w:pict>
      </w:r>
    </w:p>
    <w:p w14:paraId="48367D86" w14:textId="77777777" w:rsidR="00853524" w:rsidRPr="00AD6A86" w:rsidRDefault="00853524" w:rsidP="002C1127">
      <w:pPr>
        <w:rPr>
          <w:bCs/>
        </w:rPr>
      </w:pPr>
    </w:p>
    <w:p w14:paraId="7105C7BB" w14:textId="5BD1B677" w:rsidR="00A85C8F" w:rsidRPr="003609E1" w:rsidRDefault="003609E1" w:rsidP="003609E1">
      <w:pPr>
        <w:ind w:left="567" w:hanging="567"/>
      </w:pPr>
      <w:bookmarkStart w:id="2" w:name="_Hlk149221458"/>
      <w:bookmarkStart w:id="3" w:name="_Hlk138168201"/>
      <w:bookmarkStart w:id="4" w:name="_Hlk125983276"/>
      <w:r>
        <w:rPr>
          <w:spacing w:val="0"/>
        </w:rPr>
        <w:t>1.</w:t>
      </w:r>
      <w:r>
        <w:rPr>
          <w:spacing w:val="0"/>
        </w:rPr>
        <w:tab/>
      </w:r>
      <w:r w:rsidR="00A85C8F" w:rsidRPr="003609E1">
        <w:t xml:space="preserve">The respondents’ point in limine of </w:t>
      </w:r>
      <w:r w:rsidR="00A85C8F" w:rsidRPr="003609E1">
        <w:rPr>
          <w:i/>
          <w:iCs/>
        </w:rPr>
        <w:t xml:space="preserve">lis pendens </w:t>
      </w:r>
      <w:r w:rsidR="00A85C8F" w:rsidRPr="003609E1">
        <w:t>is upheld.</w:t>
      </w:r>
    </w:p>
    <w:p w14:paraId="1D057426" w14:textId="77777777" w:rsidR="009667AB" w:rsidRPr="00AD6A86" w:rsidRDefault="009667AB" w:rsidP="009667AB">
      <w:pPr>
        <w:pStyle w:val="ListParagraph"/>
        <w:spacing w:after="0" w:line="360" w:lineRule="auto"/>
        <w:ind w:left="567"/>
        <w:contextualSpacing w:val="0"/>
        <w:jc w:val="both"/>
        <w:rPr>
          <w:rFonts w:ascii="Arial" w:hAnsi="Arial" w:cs="Arial"/>
          <w:sz w:val="24"/>
          <w:szCs w:val="24"/>
          <w:lang w:val="en-GB"/>
        </w:rPr>
      </w:pPr>
    </w:p>
    <w:p w14:paraId="76E3F94D" w14:textId="7A8E077C" w:rsidR="00A85C8F" w:rsidRPr="003609E1" w:rsidRDefault="003609E1" w:rsidP="003609E1">
      <w:pPr>
        <w:ind w:left="567" w:hanging="567"/>
      </w:pPr>
      <w:r>
        <w:rPr>
          <w:spacing w:val="0"/>
        </w:rPr>
        <w:t>2.</w:t>
      </w:r>
      <w:r>
        <w:rPr>
          <w:spacing w:val="0"/>
        </w:rPr>
        <w:tab/>
      </w:r>
      <w:r w:rsidR="00A85C8F" w:rsidRPr="003609E1">
        <w:t>The applicants must pay the respondents’ costs</w:t>
      </w:r>
      <w:r w:rsidR="00C2084F" w:rsidRPr="003609E1">
        <w:t xml:space="preserve"> in this application</w:t>
      </w:r>
      <w:r w:rsidR="00A85C8F" w:rsidRPr="003609E1">
        <w:t xml:space="preserve">, </w:t>
      </w:r>
      <w:r w:rsidR="00C2084F" w:rsidRPr="003609E1">
        <w:t xml:space="preserve">such costs to include the costs consequent upon the employment of one instructing and one instructed counsel. </w:t>
      </w:r>
    </w:p>
    <w:p w14:paraId="7545A9B9" w14:textId="77777777" w:rsidR="009667AB" w:rsidRPr="00AD6A86" w:rsidRDefault="009667AB" w:rsidP="009667AB">
      <w:pPr>
        <w:pStyle w:val="ListParagraph"/>
        <w:spacing w:after="0" w:line="360" w:lineRule="auto"/>
        <w:ind w:left="567"/>
        <w:contextualSpacing w:val="0"/>
        <w:jc w:val="both"/>
        <w:rPr>
          <w:rFonts w:ascii="Arial" w:hAnsi="Arial" w:cs="Arial"/>
          <w:sz w:val="24"/>
          <w:szCs w:val="24"/>
          <w:lang w:val="en-GB"/>
        </w:rPr>
      </w:pPr>
    </w:p>
    <w:p w14:paraId="1397FDFB" w14:textId="2880A2EF" w:rsidR="00C2084F" w:rsidRPr="003609E1" w:rsidRDefault="003609E1" w:rsidP="003609E1">
      <w:pPr>
        <w:ind w:left="567" w:hanging="567"/>
      </w:pPr>
      <w:r w:rsidRPr="009667AB">
        <w:rPr>
          <w:spacing w:val="0"/>
        </w:rPr>
        <w:t>3.</w:t>
      </w:r>
      <w:r w:rsidRPr="009667AB">
        <w:rPr>
          <w:spacing w:val="0"/>
        </w:rPr>
        <w:tab/>
      </w:r>
      <w:r w:rsidR="00A85C8F" w:rsidRPr="003609E1">
        <w:t xml:space="preserve">The matter is </w:t>
      </w:r>
      <w:r w:rsidR="00C2084F" w:rsidRPr="003609E1">
        <w:t xml:space="preserve">postponed to </w:t>
      </w:r>
      <w:r w:rsidR="008D7D64" w:rsidRPr="003609E1">
        <w:rPr>
          <w:b/>
          <w:bCs/>
        </w:rPr>
        <w:t>29 April</w:t>
      </w:r>
      <w:r w:rsidR="00C2084F" w:rsidRPr="003609E1">
        <w:rPr>
          <w:b/>
          <w:bCs/>
        </w:rPr>
        <w:t xml:space="preserve"> 2024</w:t>
      </w:r>
      <w:r w:rsidR="00A4008E" w:rsidRPr="003609E1">
        <w:rPr>
          <w:b/>
          <w:bCs/>
        </w:rPr>
        <w:t xml:space="preserve"> </w:t>
      </w:r>
      <w:r w:rsidR="00A4008E" w:rsidRPr="003609E1">
        <w:rPr>
          <w:bCs/>
        </w:rPr>
        <w:t xml:space="preserve">at </w:t>
      </w:r>
      <w:r w:rsidR="00A4008E" w:rsidRPr="003609E1">
        <w:rPr>
          <w:b/>
          <w:bCs/>
        </w:rPr>
        <w:t>15h30</w:t>
      </w:r>
      <w:r w:rsidR="00C2084F" w:rsidRPr="003609E1">
        <w:rPr>
          <w:b/>
          <w:bCs/>
        </w:rPr>
        <w:t xml:space="preserve"> </w:t>
      </w:r>
      <w:r w:rsidR="00C2084F" w:rsidRPr="003609E1">
        <w:rPr>
          <w:bCs/>
        </w:rPr>
        <w:t>for a Status hearing.</w:t>
      </w:r>
    </w:p>
    <w:p w14:paraId="0C8D08D5" w14:textId="77777777" w:rsidR="009667AB" w:rsidRPr="00C2084F" w:rsidRDefault="009667AB" w:rsidP="009667AB">
      <w:pPr>
        <w:pStyle w:val="ListParagraph"/>
        <w:spacing w:after="0" w:line="360" w:lineRule="auto"/>
        <w:ind w:left="567"/>
        <w:contextualSpacing w:val="0"/>
        <w:jc w:val="both"/>
        <w:rPr>
          <w:rFonts w:ascii="Arial" w:hAnsi="Arial" w:cs="Arial"/>
          <w:sz w:val="24"/>
          <w:szCs w:val="24"/>
          <w:lang w:val="en-GB"/>
        </w:rPr>
      </w:pPr>
    </w:p>
    <w:p w14:paraId="635681B0" w14:textId="37276BD6" w:rsidR="002C1127" w:rsidRPr="003609E1" w:rsidRDefault="003609E1" w:rsidP="003609E1">
      <w:pPr>
        <w:ind w:left="567" w:hanging="567"/>
      </w:pPr>
      <w:r w:rsidRPr="00C2084F">
        <w:rPr>
          <w:spacing w:val="0"/>
        </w:rPr>
        <w:t>4.</w:t>
      </w:r>
      <w:r w:rsidRPr="00C2084F">
        <w:rPr>
          <w:spacing w:val="0"/>
        </w:rPr>
        <w:tab/>
      </w:r>
      <w:r w:rsidR="00C2084F" w:rsidRPr="003609E1">
        <w:rPr>
          <w:bCs/>
        </w:rPr>
        <w:t xml:space="preserve">The </w:t>
      </w:r>
      <w:r w:rsidR="008D7D64" w:rsidRPr="003609E1">
        <w:rPr>
          <w:bCs/>
        </w:rPr>
        <w:t>parties are directed to file a s</w:t>
      </w:r>
      <w:r w:rsidR="00C2084F" w:rsidRPr="003609E1">
        <w:rPr>
          <w:bCs/>
        </w:rPr>
        <w:t xml:space="preserve">tatus report outlining the further conduct of the review application on or before </w:t>
      </w:r>
      <w:r w:rsidR="008D7D64" w:rsidRPr="003609E1">
        <w:rPr>
          <w:b/>
        </w:rPr>
        <w:t>24 April</w:t>
      </w:r>
      <w:r w:rsidR="00C2084F" w:rsidRPr="003609E1">
        <w:rPr>
          <w:b/>
        </w:rPr>
        <w:t xml:space="preserve"> 2024.</w:t>
      </w:r>
      <w:bookmarkEnd w:id="2"/>
      <w:r w:rsidR="00C2084F" w:rsidRPr="003609E1">
        <w:rPr>
          <w:b/>
        </w:rPr>
        <w:t xml:space="preserve"> </w:t>
      </w:r>
      <w:bookmarkEnd w:id="3"/>
      <w:bookmarkEnd w:id="4"/>
    </w:p>
    <w:p w14:paraId="797A2C93" w14:textId="77777777" w:rsidR="00853524" w:rsidRPr="00AD6A86" w:rsidRDefault="00000000" w:rsidP="002C1127">
      <w:pPr>
        <w:rPr>
          <w:bCs/>
        </w:rPr>
      </w:pPr>
      <w:r>
        <w:rPr>
          <w:bCs/>
        </w:rPr>
        <w:pict w14:anchorId="60110198">
          <v:rect id="_x0000_i1027" style="width:0;height:1.5pt" o:hralign="center" o:hrstd="t" o:hr="t" fillcolor="#a0a0a0" stroked="f"/>
        </w:pict>
      </w:r>
    </w:p>
    <w:p w14:paraId="5F0CF418" w14:textId="77777777" w:rsidR="00853524" w:rsidRPr="00AD6A86" w:rsidRDefault="001F6CB9" w:rsidP="002C1127">
      <w:pPr>
        <w:jc w:val="center"/>
        <w:rPr>
          <w:b/>
        </w:rPr>
      </w:pPr>
      <w:r w:rsidRPr="00AD6A86">
        <w:rPr>
          <w:b/>
        </w:rPr>
        <w:t>JUDGMENT</w:t>
      </w:r>
    </w:p>
    <w:p w14:paraId="0EFD1DC1" w14:textId="77777777" w:rsidR="00853524" w:rsidRPr="00AD6A86" w:rsidRDefault="00000000" w:rsidP="002C1127">
      <w:pPr>
        <w:jc w:val="center"/>
        <w:rPr>
          <w:b/>
        </w:rPr>
      </w:pPr>
      <w:r>
        <w:rPr>
          <w:bCs/>
        </w:rPr>
        <w:pict w14:anchorId="07771C2F">
          <v:rect id="_x0000_i1028" style="width:0;height:1.5pt" o:hralign="center" o:hrstd="t" o:hr="t" fillcolor="#a0a0a0" stroked="f"/>
        </w:pict>
      </w:r>
    </w:p>
    <w:p w14:paraId="1F6B3135" w14:textId="77777777" w:rsidR="0033760D" w:rsidRPr="00AD6A86" w:rsidRDefault="0033760D" w:rsidP="002C1127"/>
    <w:p w14:paraId="645DC27E" w14:textId="15EFFC63" w:rsidR="00F87870" w:rsidRPr="00AD6A86" w:rsidRDefault="00853524" w:rsidP="002C1127">
      <w:pPr>
        <w:rPr>
          <w:b/>
          <w:i/>
        </w:rPr>
      </w:pPr>
      <w:r w:rsidRPr="00AD6A86">
        <w:t>SCHIMMING-CHASE J</w:t>
      </w:r>
      <w:r w:rsidR="004D74FE" w:rsidRPr="00AD6A86">
        <w:t xml:space="preserve">: </w:t>
      </w:r>
    </w:p>
    <w:p w14:paraId="7BFB44E5" w14:textId="6C9EAB9B" w:rsidR="00F87870" w:rsidRPr="00AD6A86" w:rsidRDefault="00F87870" w:rsidP="002C1127">
      <w:pPr>
        <w:rPr>
          <w:bCs/>
          <w:iCs/>
          <w:u w:val="single"/>
        </w:rPr>
      </w:pPr>
    </w:p>
    <w:p w14:paraId="4B7C2A4F" w14:textId="5CF80383" w:rsidR="00E80469" w:rsidRPr="00AD6A86" w:rsidRDefault="003609E1" w:rsidP="003609E1">
      <w:pPr>
        <w:pStyle w:val="Heading1"/>
        <w:numPr>
          <w:ilvl w:val="0"/>
          <w:numId w:val="0"/>
        </w:numPr>
      </w:pPr>
      <w:r w:rsidRPr="00AD6A86">
        <w:t>[1]</w:t>
      </w:r>
      <w:r w:rsidRPr="00AD6A86">
        <w:tab/>
      </w:r>
      <w:r w:rsidR="00E80469" w:rsidRPr="00AD6A86">
        <w:t>Serving before court is</w:t>
      </w:r>
      <w:r w:rsidR="002C1127">
        <w:t xml:space="preserve"> a matter involving </w:t>
      </w:r>
      <w:r w:rsidR="00E80469" w:rsidRPr="00AD6A86">
        <w:t xml:space="preserve">corporate infighting </w:t>
      </w:r>
      <w:r w:rsidR="002C1127">
        <w:t xml:space="preserve">between </w:t>
      </w:r>
      <w:r w:rsidR="00E80469" w:rsidRPr="00AD6A86">
        <w:t>the applicants on the one hand and the respondents on the other</w:t>
      </w:r>
      <w:r w:rsidR="00C2084F">
        <w:t>, as it regards the functioning, leadership in and ownership of the first respondent</w:t>
      </w:r>
      <w:r w:rsidR="00E80469" w:rsidRPr="00AD6A86">
        <w:t>. As a result of the skirmishes between the parties, the respondents are alleged to</w:t>
      </w:r>
      <w:r w:rsidR="00C97295" w:rsidRPr="00AD6A86">
        <w:t xml:space="preserve"> have</w:t>
      </w:r>
      <w:r w:rsidR="00E80469" w:rsidRPr="00AD6A86">
        <w:t xml:space="preserve"> made certain resolutions, which resolutions the applicants now </w:t>
      </w:r>
      <w:r w:rsidR="00C97295" w:rsidRPr="00AD6A86">
        <w:t xml:space="preserve">seek to </w:t>
      </w:r>
      <w:r w:rsidR="00E80469" w:rsidRPr="00AD6A86">
        <w:t xml:space="preserve">impugn in these </w:t>
      </w:r>
      <w:r w:rsidR="00C2084F">
        <w:t xml:space="preserve">motion </w:t>
      </w:r>
      <w:r w:rsidR="00E80469" w:rsidRPr="00AD6A86">
        <w:t>proceedings.</w:t>
      </w:r>
    </w:p>
    <w:p w14:paraId="62342FC0" w14:textId="77777777" w:rsidR="00E80469" w:rsidRPr="00AD6A86" w:rsidRDefault="00E80469" w:rsidP="002C1127"/>
    <w:p w14:paraId="08AD7382" w14:textId="55B35CB2" w:rsidR="00B32490" w:rsidRDefault="003609E1" w:rsidP="003609E1">
      <w:pPr>
        <w:pStyle w:val="Heading1"/>
        <w:numPr>
          <w:ilvl w:val="0"/>
          <w:numId w:val="0"/>
        </w:numPr>
      </w:pPr>
      <w:r>
        <w:t>[2]</w:t>
      </w:r>
      <w:r>
        <w:tab/>
      </w:r>
      <w:r w:rsidR="00B32490" w:rsidRPr="00AD6A86">
        <w:t xml:space="preserve">The </w:t>
      </w:r>
      <w:r w:rsidR="00EA50F1" w:rsidRPr="00AD6A86">
        <w:t xml:space="preserve">first applicant </w:t>
      </w:r>
      <w:r w:rsidR="00B32490" w:rsidRPr="00AD6A86">
        <w:t xml:space="preserve">is </w:t>
      </w:r>
      <w:r w:rsidR="00EA50F1" w:rsidRPr="00AD6A86">
        <w:t>High Power Holdings (Pty) Ltd</w:t>
      </w:r>
      <w:r w:rsidR="00D43C9B">
        <w:t xml:space="preserve"> (</w:t>
      </w:r>
      <w:r w:rsidR="008D7D64">
        <w:t>‘High Power’</w:t>
      </w:r>
      <w:r w:rsidR="00D43C9B">
        <w:t>)</w:t>
      </w:r>
      <w:r w:rsidR="00B32490" w:rsidRPr="00AD6A86">
        <w:t>, a company with limited liability, registered in terms of the company laws of the Republic of South Africa, with address located at 7</w:t>
      </w:r>
      <w:r w:rsidR="00EA50F1" w:rsidRPr="00AD6A86">
        <w:t xml:space="preserve">, </w:t>
      </w:r>
      <w:r w:rsidR="00B32490" w:rsidRPr="00AD6A86">
        <w:t>29 Bantry Road, Bryanston, Johannesburg</w:t>
      </w:r>
      <w:r w:rsidR="00EA50F1" w:rsidRPr="00AD6A86">
        <w:t>, R</w:t>
      </w:r>
      <w:r w:rsidR="00B32490" w:rsidRPr="00AD6A86">
        <w:t>epublic of Sou</w:t>
      </w:r>
      <w:r w:rsidR="00EA50F1" w:rsidRPr="00AD6A86">
        <w:t>t</w:t>
      </w:r>
      <w:r w:rsidR="00B32490" w:rsidRPr="00AD6A86">
        <w:t>h Africa.</w:t>
      </w:r>
    </w:p>
    <w:p w14:paraId="75E4C7DF" w14:textId="77777777" w:rsidR="002C1127" w:rsidRDefault="002C1127" w:rsidP="002C1127"/>
    <w:p w14:paraId="50B25E77" w14:textId="0AD98441" w:rsidR="002C1127" w:rsidRPr="002C1127" w:rsidRDefault="003609E1" w:rsidP="003609E1">
      <w:pPr>
        <w:pStyle w:val="Heading1"/>
        <w:numPr>
          <w:ilvl w:val="0"/>
          <w:numId w:val="0"/>
        </w:numPr>
      </w:pPr>
      <w:r w:rsidRPr="002C1127">
        <w:t>[3]</w:t>
      </w:r>
      <w:r w:rsidRPr="002C1127">
        <w:tab/>
      </w:r>
      <w:r w:rsidR="002C1127">
        <w:t xml:space="preserve">The second applicant is </w:t>
      </w:r>
      <w:r w:rsidR="00770964">
        <w:t xml:space="preserve">Dr Eugene Lottering, a South African national and businessman. He is a director of </w:t>
      </w:r>
      <w:r w:rsidR="00D43C9B">
        <w:t>High Power</w:t>
      </w:r>
      <w:r w:rsidR="00770964">
        <w:t xml:space="preserve"> and Chair of the Board of Directors of the first respondent</w:t>
      </w:r>
      <w:r w:rsidR="00C2084F">
        <w:t xml:space="preserve">. He </w:t>
      </w:r>
      <w:r w:rsidR="00770964">
        <w:t xml:space="preserve">also represents </w:t>
      </w:r>
      <w:r w:rsidR="00D43C9B">
        <w:t xml:space="preserve">High Power’s </w:t>
      </w:r>
      <w:r w:rsidR="00770964">
        <w:t xml:space="preserve">interests in the first respondent. Dr Lottering deposed to the founding affidavit in these proceedings. </w:t>
      </w:r>
    </w:p>
    <w:p w14:paraId="654788A4" w14:textId="77777777" w:rsidR="00B32490" w:rsidRPr="00AD6A86" w:rsidRDefault="00B32490" w:rsidP="002C1127"/>
    <w:p w14:paraId="2213741B" w14:textId="729CF7C0" w:rsidR="00B32490" w:rsidRPr="00AD6A86" w:rsidRDefault="003609E1" w:rsidP="003609E1">
      <w:pPr>
        <w:pStyle w:val="Heading1"/>
        <w:numPr>
          <w:ilvl w:val="0"/>
          <w:numId w:val="0"/>
        </w:numPr>
      </w:pPr>
      <w:r w:rsidRPr="00AD6A86">
        <w:t>[4]</w:t>
      </w:r>
      <w:r w:rsidRPr="00AD6A86">
        <w:tab/>
      </w:r>
      <w:r w:rsidR="00B32490" w:rsidRPr="00AD6A86">
        <w:t xml:space="preserve">The </w:t>
      </w:r>
      <w:r w:rsidR="00EA50F1" w:rsidRPr="00AD6A86">
        <w:t>third applicant is Wiseman Khumalo</w:t>
      </w:r>
      <w:r w:rsidR="00B32490" w:rsidRPr="00AD6A86">
        <w:t xml:space="preserve">, a </w:t>
      </w:r>
      <w:r w:rsidR="004D0825">
        <w:t xml:space="preserve">South African national </w:t>
      </w:r>
      <w:r w:rsidR="00B32490" w:rsidRPr="00AD6A86">
        <w:t xml:space="preserve">with his business address located at Seekoeiwater AH, Emalahleni in the Republic of South Africa. </w:t>
      </w:r>
      <w:r w:rsidR="00D43C9B">
        <w:t>Mr Khumalo</w:t>
      </w:r>
      <w:r w:rsidR="00B32490" w:rsidRPr="00AD6A86">
        <w:t xml:space="preserve"> </w:t>
      </w:r>
      <w:r w:rsidR="00D43C9B">
        <w:t xml:space="preserve">also </w:t>
      </w:r>
      <w:r w:rsidR="00B32490" w:rsidRPr="00AD6A86">
        <w:t xml:space="preserve">represents </w:t>
      </w:r>
      <w:r w:rsidR="00D43C9B">
        <w:t xml:space="preserve">High Power’s interests in </w:t>
      </w:r>
      <w:r w:rsidR="00B32490" w:rsidRPr="00AD6A86">
        <w:t>the first respondent.</w:t>
      </w:r>
      <w:r w:rsidR="0049214A">
        <w:t xml:space="preserve"> I refer to the parties by their names, and collectively as ‘the applicants’ where applicable in this judgment. </w:t>
      </w:r>
    </w:p>
    <w:p w14:paraId="1BA6FD30" w14:textId="77777777" w:rsidR="00B32490" w:rsidRPr="00AD6A86" w:rsidRDefault="00B32490" w:rsidP="002C1127"/>
    <w:p w14:paraId="5ACED20B" w14:textId="637AA1C5" w:rsidR="00B32490" w:rsidRPr="00AD6A86" w:rsidRDefault="003609E1" w:rsidP="003609E1">
      <w:pPr>
        <w:pStyle w:val="Heading1"/>
        <w:numPr>
          <w:ilvl w:val="0"/>
          <w:numId w:val="0"/>
        </w:numPr>
      </w:pPr>
      <w:r w:rsidRPr="00AD6A86">
        <w:t>[5]</w:t>
      </w:r>
      <w:r w:rsidRPr="00AD6A86">
        <w:tab/>
      </w:r>
      <w:r w:rsidR="00B32490" w:rsidRPr="00AD6A86">
        <w:t xml:space="preserve">The </w:t>
      </w:r>
      <w:r w:rsidR="00EA50F1" w:rsidRPr="00AD6A86">
        <w:t>first respondent is Imprint Investment (Pty) Ltd</w:t>
      </w:r>
      <w:r w:rsidR="008D7D64">
        <w:t xml:space="preserve"> (‘Imprint’</w:t>
      </w:r>
      <w:r w:rsidR="00D43C9B">
        <w:t>)</w:t>
      </w:r>
      <w:r w:rsidR="00EA50F1" w:rsidRPr="00AD6A86">
        <w:t>,</w:t>
      </w:r>
      <w:r w:rsidR="00B32490" w:rsidRPr="00AD6A86">
        <w:t xml:space="preserve"> </w:t>
      </w:r>
      <w:r w:rsidR="004D0825">
        <w:t xml:space="preserve">a duly registered </w:t>
      </w:r>
      <w:r w:rsidR="00B32490" w:rsidRPr="00AD6A86">
        <w:t xml:space="preserve">company with limited liability </w:t>
      </w:r>
      <w:r w:rsidR="00D43C9B">
        <w:t xml:space="preserve">registered and </w:t>
      </w:r>
      <w:r w:rsidR="00B32490" w:rsidRPr="00AD6A86">
        <w:t>incorporated in terms of the company laws of the Republic of Namibia.</w:t>
      </w:r>
    </w:p>
    <w:p w14:paraId="4119CF87" w14:textId="77777777" w:rsidR="00B32490" w:rsidRPr="00AD6A86" w:rsidRDefault="00B32490" w:rsidP="002C1127"/>
    <w:p w14:paraId="6A97F327" w14:textId="147EE743" w:rsidR="006F4951" w:rsidRPr="00AD6A86" w:rsidRDefault="003609E1" w:rsidP="003609E1">
      <w:pPr>
        <w:pStyle w:val="Heading1"/>
        <w:numPr>
          <w:ilvl w:val="0"/>
          <w:numId w:val="0"/>
        </w:numPr>
      </w:pPr>
      <w:r w:rsidRPr="00AD6A86">
        <w:t>[6]</w:t>
      </w:r>
      <w:r w:rsidRPr="00AD6A86">
        <w:tab/>
      </w:r>
      <w:r w:rsidR="00B32490" w:rsidRPr="00AD6A86">
        <w:t>Th</w:t>
      </w:r>
      <w:r w:rsidR="00EA50F1" w:rsidRPr="00AD6A86">
        <w:t xml:space="preserve">e second respondent is PSP Logistics (Pty) </w:t>
      </w:r>
      <w:proofErr w:type="gramStart"/>
      <w:r w:rsidR="00EA50F1" w:rsidRPr="00AD6A86">
        <w:t>Ltd</w:t>
      </w:r>
      <w:r w:rsidR="00B32490" w:rsidRPr="00AD6A86">
        <w:t>,  a</w:t>
      </w:r>
      <w:proofErr w:type="gramEnd"/>
      <w:r w:rsidR="00B32490" w:rsidRPr="00AD6A86">
        <w:t xml:space="preserve"> company with limited liability, </w:t>
      </w:r>
      <w:r w:rsidR="00D43C9B">
        <w:t xml:space="preserve">registered and </w:t>
      </w:r>
      <w:r w:rsidR="00B32490" w:rsidRPr="00AD6A86">
        <w:t>incorporated in terms of the company laws of the Republic of South Africa, with its address located at 1st Floor, Illovo Muse, 198 Oxford Road, Illovo</w:t>
      </w:r>
      <w:r w:rsidR="00EA50F1" w:rsidRPr="00AD6A86">
        <w:t>,</w:t>
      </w:r>
      <w:r w:rsidR="00B32490" w:rsidRPr="00AD6A86">
        <w:t xml:space="preserve"> Republic of South Africa.</w:t>
      </w:r>
    </w:p>
    <w:p w14:paraId="672EAE69" w14:textId="77777777" w:rsidR="006F4951" w:rsidRPr="00AD6A86" w:rsidRDefault="006F4951" w:rsidP="002C1127"/>
    <w:p w14:paraId="1BAD64B3" w14:textId="3B3C5468" w:rsidR="006F4951" w:rsidRPr="00AD6A86" w:rsidRDefault="003609E1" w:rsidP="003609E1">
      <w:pPr>
        <w:pStyle w:val="Heading1"/>
        <w:numPr>
          <w:ilvl w:val="0"/>
          <w:numId w:val="0"/>
        </w:numPr>
      </w:pPr>
      <w:r w:rsidRPr="00AD6A86">
        <w:t>[7]</w:t>
      </w:r>
      <w:r w:rsidRPr="00AD6A86">
        <w:tab/>
      </w:r>
      <w:r w:rsidR="00B32490" w:rsidRPr="00AD6A86">
        <w:t xml:space="preserve">The </w:t>
      </w:r>
      <w:r w:rsidR="00EA50F1" w:rsidRPr="00AD6A86">
        <w:t>third respondent is BPLC Management Consultants (UK) Limited</w:t>
      </w:r>
      <w:r w:rsidR="00B32490" w:rsidRPr="00AD6A86">
        <w:t>, a company with limited liability incorporated in terms of the company laws of the United Kingdom, with its address located at 41, Cornmarket Street, Oxford, OX1 3HA, United Kingdom.</w:t>
      </w:r>
    </w:p>
    <w:p w14:paraId="3328D813" w14:textId="77777777" w:rsidR="006F4951" w:rsidRPr="00AD6A86" w:rsidRDefault="006F4951" w:rsidP="002C1127"/>
    <w:p w14:paraId="421E18FE" w14:textId="5583C57E" w:rsidR="006F4951" w:rsidRPr="00AD6A86" w:rsidRDefault="003609E1" w:rsidP="003609E1">
      <w:pPr>
        <w:pStyle w:val="Heading1"/>
        <w:numPr>
          <w:ilvl w:val="0"/>
          <w:numId w:val="0"/>
        </w:numPr>
      </w:pPr>
      <w:r w:rsidRPr="00AD6A86">
        <w:lastRenderedPageBreak/>
        <w:t>[8]</w:t>
      </w:r>
      <w:r w:rsidRPr="00AD6A86">
        <w:tab/>
      </w:r>
      <w:r w:rsidR="00B32490" w:rsidRPr="00AD6A86">
        <w:t xml:space="preserve">The </w:t>
      </w:r>
      <w:r w:rsidR="0054574A" w:rsidRPr="00AD6A86">
        <w:t>fourth respondent is VeiinaStocks Holding Group International (Pty) Ltd</w:t>
      </w:r>
      <w:r w:rsidR="00B32490" w:rsidRPr="00AD6A86">
        <w:t xml:space="preserve">, a </w:t>
      </w:r>
      <w:r w:rsidR="0059551B">
        <w:t xml:space="preserve">duly registered Namibian </w:t>
      </w:r>
      <w:r w:rsidR="00B32490" w:rsidRPr="00AD6A86">
        <w:t>company with limited liability, incorporated in terms of the company laws of the Republic of Namibia.</w:t>
      </w:r>
    </w:p>
    <w:p w14:paraId="148565A2" w14:textId="77777777" w:rsidR="006F4951" w:rsidRPr="00AD6A86" w:rsidRDefault="006F4951" w:rsidP="002C1127"/>
    <w:p w14:paraId="2FA8EB9C" w14:textId="21EB28AA" w:rsidR="006F4951" w:rsidRPr="00AD6A86" w:rsidRDefault="003609E1" w:rsidP="003609E1">
      <w:pPr>
        <w:pStyle w:val="Heading1"/>
        <w:numPr>
          <w:ilvl w:val="0"/>
          <w:numId w:val="0"/>
        </w:numPr>
      </w:pPr>
      <w:r w:rsidRPr="00AD6A86">
        <w:t>[9]</w:t>
      </w:r>
      <w:r w:rsidRPr="00AD6A86">
        <w:tab/>
      </w:r>
      <w:r w:rsidR="00B32490" w:rsidRPr="00AD6A86">
        <w:t xml:space="preserve">The </w:t>
      </w:r>
      <w:r w:rsidR="0054574A" w:rsidRPr="00AD6A86">
        <w:t>fifth respondent is Namibia Equity Mining CC,</w:t>
      </w:r>
      <w:r w:rsidR="00B32490" w:rsidRPr="00AD6A86">
        <w:t xml:space="preserve"> a close corporation, registered in terms of the close corporation laws of the Republic of Namibia.</w:t>
      </w:r>
    </w:p>
    <w:p w14:paraId="49B25A0D" w14:textId="77777777" w:rsidR="006F4951" w:rsidRPr="00AD6A86" w:rsidRDefault="006F4951" w:rsidP="002C1127"/>
    <w:p w14:paraId="4B485289" w14:textId="20C7894E" w:rsidR="006F4951" w:rsidRPr="00AD6A86" w:rsidRDefault="003609E1" w:rsidP="003609E1">
      <w:pPr>
        <w:pStyle w:val="Heading1"/>
        <w:numPr>
          <w:ilvl w:val="0"/>
          <w:numId w:val="0"/>
        </w:numPr>
      </w:pPr>
      <w:r w:rsidRPr="00AD6A86">
        <w:t>[10]</w:t>
      </w:r>
      <w:r w:rsidRPr="00AD6A86">
        <w:tab/>
      </w:r>
      <w:r w:rsidR="00B32490" w:rsidRPr="00AD6A86">
        <w:t xml:space="preserve">The </w:t>
      </w:r>
      <w:r w:rsidR="0054574A" w:rsidRPr="00AD6A86">
        <w:t>sixth respondent is Pascal Investment CC</w:t>
      </w:r>
      <w:r w:rsidR="00B32490" w:rsidRPr="00AD6A86">
        <w:t>, a close corporation, registered in terms of the close corporation laws of the Republic of Namibia.</w:t>
      </w:r>
    </w:p>
    <w:p w14:paraId="16D7CA0C" w14:textId="77777777" w:rsidR="006F4951" w:rsidRPr="00AD6A86" w:rsidRDefault="006F4951" w:rsidP="002C1127"/>
    <w:p w14:paraId="022A6245" w14:textId="50607DD1" w:rsidR="006F4951" w:rsidRDefault="003609E1" w:rsidP="003609E1">
      <w:pPr>
        <w:pStyle w:val="Heading1"/>
        <w:numPr>
          <w:ilvl w:val="0"/>
          <w:numId w:val="0"/>
        </w:numPr>
      </w:pPr>
      <w:r>
        <w:t>[11]</w:t>
      </w:r>
      <w:r>
        <w:tab/>
      </w:r>
      <w:r w:rsidR="00B32490" w:rsidRPr="00AD6A86">
        <w:t xml:space="preserve">The </w:t>
      </w:r>
      <w:r w:rsidR="0054574A" w:rsidRPr="00AD6A86">
        <w:t xml:space="preserve">seventh </w:t>
      </w:r>
      <w:r w:rsidR="00D43C9B">
        <w:t xml:space="preserve">to sixteenth respondents are shareholders of Imprint. </w:t>
      </w:r>
    </w:p>
    <w:p w14:paraId="383C4895" w14:textId="77777777" w:rsidR="00D43C9B" w:rsidRPr="00D43C9B" w:rsidRDefault="00D43C9B" w:rsidP="00D43C9B"/>
    <w:p w14:paraId="64288D9B" w14:textId="5F1F572F" w:rsidR="00D43C9B" w:rsidRDefault="003609E1" w:rsidP="003609E1">
      <w:pPr>
        <w:pStyle w:val="Heading1"/>
        <w:numPr>
          <w:ilvl w:val="0"/>
          <w:numId w:val="0"/>
        </w:numPr>
      </w:pPr>
      <w:r>
        <w:t>[12]</w:t>
      </w:r>
      <w:r>
        <w:tab/>
      </w:r>
      <w:r w:rsidR="00B32490" w:rsidRPr="00AD6A86">
        <w:t xml:space="preserve">The </w:t>
      </w:r>
      <w:r w:rsidR="00E95EB6" w:rsidRPr="00AD6A86">
        <w:t xml:space="preserve">seventeenth </w:t>
      </w:r>
      <w:r w:rsidR="00D43C9B">
        <w:t>to twenty second respondents are directors of Imprint as of 30 August 2022.</w:t>
      </w:r>
    </w:p>
    <w:p w14:paraId="6AFBE2F8" w14:textId="77777777" w:rsidR="00850121" w:rsidRPr="00AD6A86" w:rsidRDefault="00850121" w:rsidP="002C1127"/>
    <w:p w14:paraId="61D05472" w14:textId="6E8428D5" w:rsidR="006F4951" w:rsidRPr="00AD6A86" w:rsidRDefault="003609E1" w:rsidP="003609E1">
      <w:pPr>
        <w:pStyle w:val="Heading1"/>
        <w:numPr>
          <w:ilvl w:val="0"/>
          <w:numId w:val="0"/>
        </w:numPr>
      </w:pPr>
      <w:r w:rsidRPr="00AD6A86">
        <w:t>[13]</w:t>
      </w:r>
      <w:r w:rsidRPr="00AD6A86">
        <w:tab/>
      </w:r>
      <w:r w:rsidR="00B32490" w:rsidRPr="00AD6A86">
        <w:t xml:space="preserve">The </w:t>
      </w:r>
      <w:r w:rsidR="003C688F" w:rsidRPr="00AD6A86">
        <w:t xml:space="preserve">twenty-third respondent is the Business and Intellectual Property Authority, </w:t>
      </w:r>
      <w:r w:rsidR="00B32490" w:rsidRPr="00AD6A86">
        <w:t>a statutory body established in terms of s 3 of the Business and Intellectual Property Authority Act 8 of 2016.</w:t>
      </w:r>
    </w:p>
    <w:p w14:paraId="2CDB383A" w14:textId="77777777" w:rsidR="006F4951" w:rsidRPr="00AD6A86" w:rsidRDefault="006F4951" w:rsidP="002C1127"/>
    <w:p w14:paraId="1B40ED78" w14:textId="6543A0FE" w:rsidR="00E80469" w:rsidRPr="00AD6A86" w:rsidRDefault="003609E1" w:rsidP="003609E1">
      <w:pPr>
        <w:pStyle w:val="Heading1"/>
        <w:numPr>
          <w:ilvl w:val="0"/>
          <w:numId w:val="0"/>
        </w:numPr>
      </w:pPr>
      <w:r w:rsidRPr="00AD6A86">
        <w:t>[14]</w:t>
      </w:r>
      <w:r w:rsidRPr="00AD6A86">
        <w:tab/>
      </w:r>
      <w:r w:rsidR="00B32490" w:rsidRPr="00AD6A86">
        <w:t xml:space="preserve">The </w:t>
      </w:r>
      <w:r w:rsidR="003C688F" w:rsidRPr="00AD6A86">
        <w:t xml:space="preserve">twenty-fourth respondent is the Minister of Mines and Energy, </w:t>
      </w:r>
      <w:r w:rsidR="00B32490" w:rsidRPr="00AD6A86">
        <w:t xml:space="preserve">duly appointed as such in terms of </w:t>
      </w:r>
      <w:r w:rsidR="003C688F" w:rsidRPr="00AD6A86">
        <w:t>a</w:t>
      </w:r>
      <w:r w:rsidR="00B32490" w:rsidRPr="00AD6A86">
        <w:t>rticle 32(3)(</w:t>
      </w:r>
      <w:proofErr w:type="gramStart"/>
      <w:r w:rsidR="00B32490" w:rsidRPr="008D7D64">
        <w:rPr>
          <w:iCs/>
        </w:rPr>
        <w:t>i</w:t>
      </w:r>
      <w:r w:rsidR="00B32490" w:rsidRPr="00AD6A86">
        <w:t>)(</w:t>
      </w:r>
      <w:proofErr w:type="gramEnd"/>
      <w:r w:rsidR="00B32490" w:rsidRPr="00AD6A86">
        <w:rPr>
          <w:i/>
          <w:iCs/>
        </w:rPr>
        <w:t>bb</w:t>
      </w:r>
      <w:r w:rsidR="00B32490" w:rsidRPr="00AD6A86">
        <w:t>) of the Namibian Constitution, representing the Government of the Republic of Namibia</w:t>
      </w:r>
      <w:r w:rsidR="003C688F" w:rsidRPr="00AD6A86">
        <w:t>.</w:t>
      </w:r>
    </w:p>
    <w:p w14:paraId="57A6F77E" w14:textId="77777777" w:rsidR="00E80469" w:rsidRPr="00AD6A86" w:rsidRDefault="00E80469" w:rsidP="002C1127">
      <w:pPr>
        <w:pStyle w:val="Heading1"/>
        <w:numPr>
          <w:ilvl w:val="0"/>
          <w:numId w:val="0"/>
        </w:numPr>
        <w:shd w:val="clear" w:color="auto" w:fill="FFFFFF"/>
        <w:rPr>
          <w:rFonts w:eastAsia="Calibri"/>
        </w:rPr>
      </w:pPr>
    </w:p>
    <w:p w14:paraId="0FC612AC" w14:textId="48A7B7D1" w:rsidR="00E10550" w:rsidRDefault="003609E1" w:rsidP="003609E1">
      <w:pPr>
        <w:pStyle w:val="Heading1"/>
        <w:numPr>
          <w:ilvl w:val="0"/>
          <w:numId w:val="0"/>
        </w:numPr>
      </w:pPr>
      <w:r>
        <w:t>[15]</w:t>
      </w:r>
      <w:r>
        <w:tab/>
      </w:r>
      <w:r w:rsidR="00D43C9B">
        <w:t xml:space="preserve">By way of short background to the proceedings before court, </w:t>
      </w:r>
      <w:r w:rsidR="00E10550">
        <w:t>High Power and the second, third and fourth respondents agreed</w:t>
      </w:r>
      <w:r w:rsidR="0090680C">
        <w:t xml:space="preserve"> during May </w:t>
      </w:r>
      <w:proofErr w:type="gramStart"/>
      <w:r w:rsidR="0090680C">
        <w:t xml:space="preserve">2020 </w:t>
      </w:r>
      <w:r w:rsidR="00E10550">
        <w:t xml:space="preserve"> to</w:t>
      </w:r>
      <w:proofErr w:type="gramEnd"/>
      <w:r w:rsidR="00E10550">
        <w:t xml:space="preserve"> u</w:t>
      </w:r>
      <w:r w:rsidR="0090680C">
        <w:t>tilise</w:t>
      </w:r>
      <w:r w:rsidR="00E10550">
        <w:t xml:space="preserve"> Imprint as a vehicle to conduct exclusive </w:t>
      </w:r>
      <w:r w:rsidR="0090680C">
        <w:t>prospecting</w:t>
      </w:r>
      <w:r w:rsidR="00E10550">
        <w:t xml:space="preserve"> operations</w:t>
      </w:r>
      <w:r w:rsidR="0049214A">
        <w:t xml:space="preserve"> in the Otjozondjupa and Omaheke regions</w:t>
      </w:r>
      <w:r w:rsidR="00E10550">
        <w:t>. To this end, Impri</w:t>
      </w:r>
      <w:r w:rsidR="0090680C">
        <w:t>n</w:t>
      </w:r>
      <w:r w:rsidR="00E10550">
        <w:t xml:space="preserve">t is </w:t>
      </w:r>
      <w:r w:rsidR="0090680C">
        <w:t>the h</w:t>
      </w:r>
      <w:r w:rsidR="00E10550">
        <w:t>older of two exclusive prospecting licenses issued by the 24</w:t>
      </w:r>
      <w:r w:rsidR="00E10550" w:rsidRPr="00E10550">
        <w:rPr>
          <w:vertAlign w:val="superscript"/>
        </w:rPr>
        <w:t>th</w:t>
      </w:r>
      <w:r w:rsidR="00E10550">
        <w:t xml:space="preserve"> respondent. </w:t>
      </w:r>
    </w:p>
    <w:p w14:paraId="38A2550B" w14:textId="77777777" w:rsidR="00E10550" w:rsidRPr="00E10550" w:rsidRDefault="00E10550" w:rsidP="00E10550"/>
    <w:p w14:paraId="2FCADCE7" w14:textId="62CF6021" w:rsidR="00E10550" w:rsidRDefault="003609E1" w:rsidP="003609E1">
      <w:pPr>
        <w:pStyle w:val="Heading1"/>
        <w:numPr>
          <w:ilvl w:val="0"/>
          <w:numId w:val="0"/>
        </w:numPr>
      </w:pPr>
      <w:r>
        <w:t>[16]</w:t>
      </w:r>
      <w:r>
        <w:tab/>
      </w:r>
      <w:r w:rsidR="00E10550">
        <w:t>It is alleged in the founding papers that High Power made a substantial capital contribution/investm</w:t>
      </w:r>
      <w:r w:rsidR="008D7D64">
        <w:t>ent into Imprint. At its i</w:t>
      </w:r>
      <w:r w:rsidR="00E10550">
        <w:t xml:space="preserve">nception, Imprint’s Board of Directors comprised Dr Lottering, Mr Khumalo, and </w:t>
      </w:r>
      <w:r w:rsidR="00A4008E">
        <w:t>17</w:t>
      </w:r>
      <w:r w:rsidR="00A4008E" w:rsidRPr="00A4008E">
        <w:rPr>
          <w:vertAlign w:val="superscript"/>
        </w:rPr>
        <w:t>th</w:t>
      </w:r>
      <w:r w:rsidR="00E10550">
        <w:t xml:space="preserve"> to </w:t>
      </w:r>
      <w:r w:rsidR="00A4008E">
        <w:t>19</w:t>
      </w:r>
      <w:r w:rsidR="00A4008E" w:rsidRPr="00A4008E">
        <w:rPr>
          <w:vertAlign w:val="superscript"/>
        </w:rPr>
        <w:t>th</w:t>
      </w:r>
      <w:r w:rsidR="00E10550">
        <w:t xml:space="preserve"> respondents. </w:t>
      </w:r>
    </w:p>
    <w:p w14:paraId="74520BD4" w14:textId="77777777" w:rsidR="00E10550" w:rsidRPr="00E10550" w:rsidRDefault="00E10550" w:rsidP="00E10550"/>
    <w:p w14:paraId="5307EFC8" w14:textId="700AA100" w:rsidR="0090680C" w:rsidRDefault="003609E1" w:rsidP="003609E1">
      <w:pPr>
        <w:pStyle w:val="Heading1"/>
        <w:numPr>
          <w:ilvl w:val="0"/>
          <w:numId w:val="0"/>
        </w:numPr>
      </w:pPr>
      <w:r>
        <w:lastRenderedPageBreak/>
        <w:t>[17]</w:t>
      </w:r>
      <w:r>
        <w:tab/>
      </w:r>
      <w:r w:rsidR="00E10550">
        <w:t>On 18</w:t>
      </w:r>
      <w:r w:rsidR="008D7D64">
        <w:rPr>
          <w:vertAlign w:val="superscript"/>
        </w:rPr>
        <w:t xml:space="preserve"> </w:t>
      </w:r>
      <w:r w:rsidR="00E10550">
        <w:t>October 202</w:t>
      </w:r>
      <w:r w:rsidR="0090680C">
        <w:t>1</w:t>
      </w:r>
      <w:r w:rsidR="00E10550">
        <w:t>, the applicants instituted an action in this court under case number HC-MD-CIV-ACT-OTH/03944</w:t>
      </w:r>
      <w:r w:rsidR="0090680C">
        <w:t xml:space="preserve"> seeking the following relief:</w:t>
      </w:r>
    </w:p>
    <w:p w14:paraId="34119918" w14:textId="77777777" w:rsidR="0090680C" w:rsidRDefault="0090680C" w:rsidP="0090680C">
      <w:pPr>
        <w:pStyle w:val="Heading1"/>
        <w:numPr>
          <w:ilvl w:val="0"/>
          <w:numId w:val="0"/>
        </w:numPr>
      </w:pPr>
    </w:p>
    <w:p w14:paraId="16995250" w14:textId="430348BF" w:rsidR="0090680C" w:rsidRDefault="003609E1" w:rsidP="003609E1">
      <w:pPr>
        <w:pStyle w:val="Heading1"/>
        <w:numPr>
          <w:ilvl w:val="0"/>
          <w:numId w:val="0"/>
        </w:numPr>
        <w:ind w:left="567"/>
      </w:pPr>
      <w:r>
        <w:t>(a)</w:t>
      </w:r>
      <w:r>
        <w:tab/>
      </w:r>
      <w:r w:rsidR="0090680C">
        <w:t xml:space="preserve">an order declaring the meetings held by Imprint between December 2020 and October 2021 unlawful, null and void of any legal consequences, and further setting aside the business conducted during the </w:t>
      </w:r>
      <w:proofErr w:type="gramStart"/>
      <w:r w:rsidR="0090680C">
        <w:t>aforementioned meetings</w:t>
      </w:r>
      <w:proofErr w:type="gramEnd"/>
      <w:r w:rsidR="0090680C">
        <w:t xml:space="preserve">; and </w:t>
      </w:r>
    </w:p>
    <w:p w14:paraId="1E81BA19" w14:textId="77777777" w:rsidR="0090680C" w:rsidRPr="009920B2" w:rsidRDefault="0090680C" w:rsidP="008D7D64">
      <w:pPr>
        <w:ind w:left="567"/>
      </w:pPr>
    </w:p>
    <w:p w14:paraId="544F5A76" w14:textId="3DDC2EFC" w:rsidR="00A4008E" w:rsidRPr="003609E1" w:rsidRDefault="003609E1" w:rsidP="003609E1">
      <w:pPr>
        <w:ind w:left="567"/>
      </w:pPr>
      <w:r w:rsidRPr="00A4008E">
        <w:rPr>
          <w:spacing w:val="0"/>
          <w:lang w:val="en-US"/>
        </w:rPr>
        <w:t>(b)</w:t>
      </w:r>
      <w:r w:rsidRPr="00A4008E">
        <w:rPr>
          <w:spacing w:val="0"/>
          <w:lang w:val="en-US"/>
        </w:rPr>
        <w:tab/>
      </w:r>
      <w:r w:rsidR="0090680C" w:rsidRPr="003609E1">
        <w:t>an o</w:t>
      </w:r>
      <w:r w:rsidR="009920B2" w:rsidRPr="003609E1">
        <w:t>r</w:t>
      </w:r>
      <w:r w:rsidR="0090680C" w:rsidRPr="003609E1">
        <w:t>der excusing Dr Lottering and Mr Khumalo from any possible claim emanating from the business conducted pursuant to Imprint’s ‘impugned’</w:t>
      </w:r>
      <w:r w:rsidR="009920B2" w:rsidRPr="003609E1">
        <w:t xml:space="preserve"> </w:t>
      </w:r>
      <w:r w:rsidR="0090680C" w:rsidRPr="003609E1">
        <w:t>resolutions taken between December 202 and October 2021 (on dates unknown to High Power, Dr Lottering or Mr Khumalo</w:t>
      </w:r>
      <w:r w:rsidR="009920B2" w:rsidRPr="003609E1">
        <w:t>)</w:t>
      </w:r>
      <w:r w:rsidR="0090680C" w:rsidRPr="003609E1">
        <w:t>, as contemplated in s 256(2) of the Companies Act</w:t>
      </w:r>
      <w:r w:rsidR="009920B2" w:rsidRPr="003609E1">
        <w:t xml:space="preserve"> 28 of 2008.</w:t>
      </w:r>
    </w:p>
    <w:p w14:paraId="65ED1BC6" w14:textId="77777777" w:rsidR="00A4008E" w:rsidRPr="009920B2" w:rsidRDefault="00A4008E" w:rsidP="00A4008E">
      <w:pPr>
        <w:pStyle w:val="ListParagraph"/>
        <w:spacing w:after="0" w:line="360" w:lineRule="auto"/>
        <w:ind w:left="567"/>
        <w:jc w:val="both"/>
        <w:rPr>
          <w:rFonts w:ascii="Arial" w:hAnsi="Arial" w:cs="Arial"/>
          <w:sz w:val="24"/>
          <w:szCs w:val="24"/>
        </w:rPr>
      </w:pPr>
    </w:p>
    <w:p w14:paraId="6382AAC8" w14:textId="179C9160" w:rsidR="001A30E2" w:rsidRDefault="003609E1" w:rsidP="003609E1">
      <w:pPr>
        <w:pStyle w:val="Heading1"/>
        <w:numPr>
          <w:ilvl w:val="0"/>
          <w:numId w:val="0"/>
        </w:numPr>
        <w:rPr>
          <w:rFonts w:cs="Arial"/>
        </w:rPr>
      </w:pPr>
      <w:r>
        <w:rPr>
          <w:rFonts w:cs="Arial"/>
        </w:rPr>
        <w:t>[18]</w:t>
      </w:r>
      <w:r>
        <w:rPr>
          <w:rFonts w:cs="Arial"/>
        </w:rPr>
        <w:tab/>
      </w:r>
      <w:r w:rsidR="00E10550" w:rsidRPr="009920B2">
        <w:rPr>
          <w:rFonts w:cs="Arial"/>
        </w:rPr>
        <w:t xml:space="preserve"> </w:t>
      </w:r>
      <w:r w:rsidR="009920B2">
        <w:rPr>
          <w:rFonts w:cs="Arial"/>
        </w:rPr>
        <w:t>In the applicants’</w:t>
      </w:r>
      <w:r w:rsidR="00F404B3">
        <w:rPr>
          <w:rFonts w:cs="Arial"/>
        </w:rPr>
        <w:t xml:space="preserve"> </w:t>
      </w:r>
      <w:r w:rsidR="009920B2">
        <w:rPr>
          <w:rFonts w:cs="Arial"/>
        </w:rPr>
        <w:t xml:space="preserve">particulars of claim the first and other respondents were requested to </w:t>
      </w:r>
      <w:r w:rsidR="008D7D64">
        <w:rPr>
          <w:rFonts w:cs="Arial"/>
        </w:rPr>
        <w:t>stay the implementation of the ‘impugned’</w:t>
      </w:r>
      <w:r w:rsidR="00F404B3">
        <w:rPr>
          <w:rFonts w:cs="Arial"/>
        </w:rPr>
        <w:t xml:space="preserve"> </w:t>
      </w:r>
      <w:r w:rsidR="009920B2">
        <w:rPr>
          <w:rFonts w:cs="Arial"/>
        </w:rPr>
        <w:t xml:space="preserve">resolutions pending </w:t>
      </w:r>
      <w:r w:rsidR="00F404B3">
        <w:rPr>
          <w:rFonts w:cs="Arial"/>
        </w:rPr>
        <w:t>finalisation</w:t>
      </w:r>
      <w:r w:rsidR="009920B2">
        <w:rPr>
          <w:rFonts w:cs="Arial"/>
        </w:rPr>
        <w:t xml:space="preserve"> </w:t>
      </w:r>
      <w:r w:rsidR="00F404B3">
        <w:rPr>
          <w:rFonts w:cs="Arial"/>
        </w:rPr>
        <w:t>of</w:t>
      </w:r>
      <w:r w:rsidR="009920B2">
        <w:rPr>
          <w:rFonts w:cs="Arial"/>
        </w:rPr>
        <w:t xml:space="preserve"> the action. This was not done</w:t>
      </w:r>
      <w:r w:rsidR="001A30E2">
        <w:rPr>
          <w:rFonts w:cs="Arial"/>
        </w:rPr>
        <w:t xml:space="preserve">. </w:t>
      </w:r>
    </w:p>
    <w:p w14:paraId="10F1F357" w14:textId="77777777" w:rsidR="001A30E2" w:rsidRPr="001A30E2" w:rsidRDefault="001A30E2" w:rsidP="001A30E2"/>
    <w:p w14:paraId="262600AF" w14:textId="2C10B280" w:rsidR="001A30E2" w:rsidRDefault="003609E1" w:rsidP="003609E1">
      <w:pPr>
        <w:pStyle w:val="Heading1"/>
        <w:numPr>
          <w:ilvl w:val="0"/>
          <w:numId w:val="0"/>
        </w:numPr>
      </w:pPr>
      <w:r>
        <w:t>[19]</w:t>
      </w:r>
      <w:r>
        <w:tab/>
      </w:r>
      <w:r w:rsidR="009920B2">
        <w:rPr>
          <w:rFonts w:cs="Arial"/>
        </w:rPr>
        <w:t xml:space="preserve"> </w:t>
      </w:r>
      <w:r w:rsidR="001A30E2">
        <w:rPr>
          <w:rFonts w:cs="Arial"/>
        </w:rPr>
        <w:t>O</w:t>
      </w:r>
      <w:r w:rsidR="00E80469" w:rsidRPr="00AD6A86">
        <w:t>n or about 24 November 2021</w:t>
      </w:r>
      <w:r w:rsidR="00A4008E">
        <w:t>,</w:t>
      </w:r>
      <w:r w:rsidR="00E80469" w:rsidRPr="00AD6A86">
        <w:t xml:space="preserve"> the </w:t>
      </w:r>
      <w:r w:rsidR="00A4008E">
        <w:t>17</w:t>
      </w:r>
      <w:r w:rsidR="00A4008E" w:rsidRPr="00A4008E">
        <w:rPr>
          <w:vertAlign w:val="superscript"/>
        </w:rPr>
        <w:t>th</w:t>
      </w:r>
      <w:r w:rsidR="001A30E2">
        <w:t xml:space="preserve"> to </w:t>
      </w:r>
      <w:r w:rsidR="00A4008E">
        <w:t>20</w:t>
      </w:r>
      <w:r w:rsidR="00A4008E" w:rsidRPr="00A4008E">
        <w:rPr>
          <w:vertAlign w:val="superscript"/>
        </w:rPr>
        <w:t>th</w:t>
      </w:r>
      <w:r w:rsidR="00A4008E">
        <w:t xml:space="preserve"> </w:t>
      </w:r>
      <w:r w:rsidR="00E80469" w:rsidRPr="00AD6A86">
        <w:t>respondents convened a</w:t>
      </w:r>
      <w:r w:rsidR="00BC2EFC">
        <w:t>nother</w:t>
      </w:r>
      <w:r w:rsidR="00E80469" w:rsidRPr="00AD6A86">
        <w:t xml:space="preserve"> meeting of the board of directors </w:t>
      </w:r>
      <w:r w:rsidR="00656954">
        <w:t xml:space="preserve">of </w:t>
      </w:r>
      <w:r w:rsidR="001A30E2">
        <w:t>Imprint to b</w:t>
      </w:r>
      <w:r w:rsidR="008D7D64">
        <w:t>e held on 23 December 2021. An a</w:t>
      </w:r>
      <w:r w:rsidR="001A30E2">
        <w:t xml:space="preserve">genda formed part of the </w:t>
      </w:r>
      <w:r w:rsidR="00BC2EFC">
        <w:t>notice convening the meeting</w:t>
      </w:r>
      <w:r w:rsidR="001A30E2">
        <w:t>, which included</w:t>
      </w:r>
      <w:r w:rsidR="008D7D64">
        <w:t>,</w:t>
      </w:r>
      <w:r w:rsidR="001A30E2">
        <w:t xml:space="preserve"> </w:t>
      </w:r>
      <w:r w:rsidR="001A30E2" w:rsidRPr="008D7D64">
        <w:rPr>
          <w:i/>
        </w:rPr>
        <w:t>inter alia</w:t>
      </w:r>
      <w:r w:rsidR="008D7D64">
        <w:t>,</w:t>
      </w:r>
      <w:r w:rsidR="001A30E2">
        <w:t xml:space="preserve"> a special point relating to a special resolution to be taken on D</w:t>
      </w:r>
      <w:r w:rsidR="00BC2EFC">
        <w:t>r</w:t>
      </w:r>
      <w:r w:rsidR="001A30E2">
        <w:t xml:space="preserve"> Lottering and Mr Khumalo on their status </w:t>
      </w:r>
      <w:r w:rsidR="00BC2EFC">
        <w:t>as</w:t>
      </w:r>
      <w:r w:rsidR="001A30E2">
        <w:t xml:space="preserve"> directors</w:t>
      </w:r>
      <w:r w:rsidR="00BC2EFC">
        <w:t xml:space="preserve"> of Imprint</w:t>
      </w:r>
      <w:r w:rsidR="001A30E2">
        <w:t>. The applicants protested this meeting and requested that the meeting not proceed pending the finalisation of the action. It was also indicated that Messrs Lottering and Khumalo would not attend on behalf of High Power.</w:t>
      </w:r>
    </w:p>
    <w:p w14:paraId="0E6FE76C" w14:textId="77777777" w:rsidR="00E80469" w:rsidRPr="00AD6A86" w:rsidRDefault="00E80469" w:rsidP="002C1127">
      <w:pPr>
        <w:rPr>
          <w:rFonts w:eastAsia="Calibri"/>
        </w:rPr>
      </w:pPr>
    </w:p>
    <w:p w14:paraId="4AF15622" w14:textId="5B06B9BF" w:rsidR="001A30E2" w:rsidRDefault="003609E1" w:rsidP="003609E1">
      <w:pPr>
        <w:pStyle w:val="Heading1"/>
        <w:numPr>
          <w:ilvl w:val="0"/>
          <w:numId w:val="0"/>
        </w:numPr>
        <w:rPr>
          <w:rFonts w:cs="Arial"/>
        </w:rPr>
      </w:pPr>
      <w:r>
        <w:rPr>
          <w:rFonts w:cs="Arial"/>
        </w:rPr>
        <w:t>[20]</w:t>
      </w:r>
      <w:r>
        <w:rPr>
          <w:rFonts w:cs="Arial"/>
        </w:rPr>
        <w:tab/>
      </w:r>
      <w:r w:rsidR="001A30E2">
        <w:t xml:space="preserve">The meeting of the board of directors of Imprint </w:t>
      </w:r>
      <w:r w:rsidR="008D7D64">
        <w:t xml:space="preserve">proceeded on 23 December 2021. </w:t>
      </w:r>
      <w:r w:rsidR="001A30E2">
        <w:t xml:space="preserve">The meeting, amongst others, </w:t>
      </w:r>
      <w:r w:rsidR="00E80469" w:rsidRPr="00AD6A86">
        <w:t xml:space="preserve">resolved to: </w:t>
      </w:r>
      <w:r w:rsidR="00993749">
        <w:t xml:space="preserve">(a) </w:t>
      </w:r>
      <w:r w:rsidR="00363F84" w:rsidRPr="00AD6A86">
        <w:t>remove</w:t>
      </w:r>
      <w:r w:rsidR="00363F84">
        <w:t xml:space="preserve"> High</w:t>
      </w:r>
      <w:r w:rsidR="001A30E2">
        <w:t xml:space="preserve"> Power as Imprint’s shareholder</w:t>
      </w:r>
      <w:r w:rsidR="00E52524" w:rsidRPr="00AD6A86">
        <w:t xml:space="preserve">, </w:t>
      </w:r>
      <w:r w:rsidR="00993749">
        <w:t xml:space="preserve">(b) </w:t>
      </w:r>
      <w:r w:rsidR="00E80469" w:rsidRPr="00AD6A86">
        <w:t xml:space="preserve">remove </w:t>
      </w:r>
      <w:r w:rsidR="001A30E2">
        <w:t xml:space="preserve">Dr Lottering as </w:t>
      </w:r>
      <w:r w:rsidR="00E80469" w:rsidRPr="00AD6A86">
        <w:t>a director</w:t>
      </w:r>
      <w:r w:rsidR="00E52524" w:rsidRPr="00AD6A86">
        <w:t xml:space="preserve"> </w:t>
      </w:r>
      <w:r w:rsidR="00E80469" w:rsidRPr="00AD6A86">
        <w:t>and chairperson of its board of directors</w:t>
      </w:r>
      <w:r w:rsidR="00E52524" w:rsidRPr="00AD6A86">
        <w:t>,</w:t>
      </w:r>
      <w:r w:rsidR="00E80469" w:rsidRPr="00AD6A86">
        <w:t xml:space="preserve"> and </w:t>
      </w:r>
      <w:r w:rsidR="00993749">
        <w:t xml:space="preserve">(c) </w:t>
      </w:r>
      <w:r w:rsidR="00E80469" w:rsidRPr="00AD6A86">
        <w:t xml:space="preserve">remove the </w:t>
      </w:r>
      <w:r w:rsidR="001A30E2">
        <w:t>Mr Khumalo</w:t>
      </w:r>
      <w:r w:rsidR="00E80469" w:rsidRPr="00AD6A86">
        <w:t xml:space="preserve"> as a director of its board of directors</w:t>
      </w:r>
      <w:r w:rsidR="00BC2EFC">
        <w:t>.</w:t>
      </w:r>
      <w:r w:rsidR="001A30E2">
        <w:rPr>
          <w:rFonts w:cs="Arial"/>
        </w:rPr>
        <w:t xml:space="preserve"> </w:t>
      </w:r>
    </w:p>
    <w:p w14:paraId="2CEB1285" w14:textId="77777777" w:rsidR="001F2226" w:rsidRPr="00AD6A86" w:rsidRDefault="001F2226" w:rsidP="002C1127">
      <w:pPr>
        <w:rPr>
          <w:rFonts w:eastAsia="Calibri"/>
        </w:rPr>
      </w:pPr>
    </w:p>
    <w:p w14:paraId="771E14A7" w14:textId="4088CBFF" w:rsidR="00BB136D" w:rsidRPr="00BB136D" w:rsidRDefault="003609E1" w:rsidP="003609E1">
      <w:pPr>
        <w:pStyle w:val="Heading1"/>
        <w:numPr>
          <w:ilvl w:val="0"/>
          <w:numId w:val="0"/>
        </w:numPr>
      </w:pPr>
      <w:r w:rsidRPr="00BB136D">
        <w:lastRenderedPageBreak/>
        <w:t>[21]</w:t>
      </w:r>
      <w:r w:rsidRPr="00BB136D">
        <w:tab/>
      </w:r>
      <w:r w:rsidR="001A30E2">
        <w:t xml:space="preserve">On 8 </w:t>
      </w:r>
      <w:r w:rsidR="00BB136D">
        <w:t>February</w:t>
      </w:r>
      <w:r w:rsidR="001A30E2">
        <w:t xml:space="preserve"> 2022, the applicants applied for interim relief seeking </w:t>
      </w:r>
      <w:r w:rsidR="00BB136D">
        <w:t>to stay the implementation of Imprint’s decision taken at the Board meetings which gave rise to institution</w:t>
      </w:r>
      <w:r w:rsidR="008D7D64">
        <w:t xml:space="preserve"> of the action mentioned above.</w:t>
      </w:r>
      <w:r w:rsidR="001A30E2">
        <w:t xml:space="preserve"> It appears that on 25 February 2022</w:t>
      </w:r>
      <w:r w:rsidR="00BB136D">
        <w:t xml:space="preserve">, the applicants sought to amend the notice of motion in the application </w:t>
      </w:r>
      <w:r w:rsidR="00BB136D" w:rsidRPr="00BB136D">
        <w:rPr>
          <w:i/>
          <w:iCs/>
        </w:rPr>
        <w:t>pendente lite</w:t>
      </w:r>
      <w:r w:rsidR="00BB136D">
        <w:t>, seeking a stay of the effect of Imprint</w:t>
      </w:r>
      <w:r w:rsidR="00BC2EFC">
        <w:t>’</w:t>
      </w:r>
      <w:r w:rsidR="00BB136D">
        <w:t>s resolu</w:t>
      </w:r>
      <w:r w:rsidR="008D7D64">
        <w:t xml:space="preserve">tions made on 23 December 2021. </w:t>
      </w:r>
      <w:r w:rsidR="00BB136D">
        <w:t xml:space="preserve">The applicants also delivered a notice of intention to amend </w:t>
      </w:r>
      <w:r w:rsidR="00BC2EFC">
        <w:t>their</w:t>
      </w:r>
      <w:r w:rsidR="00BB136D">
        <w:t xml:space="preserve"> particulars of claim, seeking a declaration of invalidity of the resolutions taken by Imprint on 23 December 2021 on the grounds that the decisions were taken unlawfully. In a ruling dated 3 August 2022, the application for leave to amend was refused. </w:t>
      </w:r>
    </w:p>
    <w:p w14:paraId="4F967E2B" w14:textId="77777777" w:rsidR="00BB136D" w:rsidRPr="00BB136D" w:rsidRDefault="00BB136D" w:rsidP="00BB136D"/>
    <w:p w14:paraId="5BB4F88E" w14:textId="502BEF51" w:rsidR="00BB136D" w:rsidRDefault="003609E1" w:rsidP="003609E1">
      <w:pPr>
        <w:pStyle w:val="Heading1"/>
        <w:numPr>
          <w:ilvl w:val="0"/>
          <w:numId w:val="0"/>
        </w:numPr>
      </w:pPr>
      <w:r>
        <w:t>[22]</w:t>
      </w:r>
      <w:r>
        <w:tab/>
      </w:r>
      <w:r w:rsidR="00BB136D" w:rsidRPr="00BB136D">
        <w:t xml:space="preserve">Subsequent to an application for leave to appeal to the Supreme Court, which was similarly refused, the applicants petitioned the Chief Justice. Leave to appeal to the Supreme Court was granted on 7 December 2022. On 2 October 2023, the matter </w:t>
      </w:r>
      <w:r w:rsidR="00BC2EFC">
        <w:t xml:space="preserve">was postponed </w:t>
      </w:r>
      <w:r w:rsidR="00BB136D" w:rsidRPr="00BB136D">
        <w:t>27 March 2024 pending the outcome of the Supreme Court appeal.</w:t>
      </w:r>
    </w:p>
    <w:p w14:paraId="2DBE9A43" w14:textId="77777777" w:rsidR="00BB136D" w:rsidRPr="00BB136D" w:rsidRDefault="00BB136D" w:rsidP="00BB136D"/>
    <w:p w14:paraId="436B20AF" w14:textId="3F08D04D" w:rsidR="00BC2EFC" w:rsidRDefault="003609E1" w:rsidP="003609E1">
      <w:pPr>
        <w:pStyle w:val="Heading1"/>
        <w:numPr>
          <w:ilvl w:val="0"/>
          <w:numId w:val="0"/>
        </w:numPr>
      </w:pPr>
      <w:r>
        <w:t>[23]</w:t>
      </w:r>
      <w:r>
        <w:tab/>
      </w:r>
      <w:r w:rsidR="00BB136D">
        <w:t xml:space="preserve">On 16 June 2023, and after leave to appeal to the Supreme Court was granted, the applicants launched the </w:t>
      </w:r>
      <w:r w:rsidR="00BC2EFC">
        <w:t xml:space="preserve">application proceedings </w:t>
      </w:r>
      <w:r w:rsidR="00BB136D">
        <w:t xml:space="preserve">which proceedings are now before me for adjudication. </w:t>
      </w:r>
    </w:p>
    <w:p w14:paraId="29D726F3" w14:textId="77777777" w:rsidR="00BC2EFC" w:rsidRPr="00BC2EFC" w:rsidRDefault="00BC2EFC" w:rsidP="00BC2EFC"/>
    <w:p w14:paraId="088EDA18" w14:textId="0EA3DAAD" w:rsidR="00295F30" w:rsidRDefault="003609E1" w:rsidP="003609E1">
      <w:pPr>
        <w:pStyle w:val="Heading1"/>
        <w:numPr>
          <w:ilvl w:val="0"/>
          <w:numId w:val="0"/>
        </w:numPr>
      </w:pPr>
      <w:r>
        <w:t>[24]</w:t>
      </w:r>
      <w:r>
        <w:tab/>
      </w:r>
      <w:r w:rsidR="00BB136D">
        <w:t xml:space="preserve">In these proceedings, the applicants seek an order reviewing and setting aside </w:t>
      </w:r>
      <w:r w:rsidR="00295F30">
        <w:t>the resolutions taken by Imprint’s board dated 23 December 2021 removing High Power as shareholder of Imprint, removing D</w:t>
      </w:r>
      <w:r w:rsidR="00BC2EFC">
        <w:t>r</w:t>
      </w:r>
      <w:r w:rsidR="00295F30">
        <w:t xml:space="preserve"> Lottering as its chairman, and removing Messrs Lottering and Khumalo as directors of Imprint. </w:t>
      </w:r>
    </w:p>
    <w:p w14:paraId="79EFB2E8" w14:textId="77777777" w:rsidR="00295F30" w:rsidRPr="00295F30" w:rsidRDefault="00295F30" w:rsidP="00295F30"/>
    <w:p w14:paraId="64B53CED" w14:textId="08DFD966" w:rsidR="006F4951" w:rsidRDefault="003609E1" w:rsidP="003609E1">
      <w:pPr>
        <w:pStyle w:val="Heading1"/>
        <w:numPr>
          <w:ilvl w:val="0"/>
          <w:numId w:val="0"/>
        </w:numPr>
      </w:pPr>
      <w:r>
        <w:t>[25]</w:t>
      </w:r>
      <w:r>
        <w:tab/>
      </w:r>
      <w:r w:rsidR="00295F30">
        <w:t xml:space="preserve">In addition the applicants seek an order setting aside any share certificates Issued by Imprint as a result of this </w:t>
      </w:r>
      <w:proofErr w:type="gramStart"/>
      <w:r w:rsidR="00295F30">
        <w:t>decision, and</w:t>
      </w:r>
      <w:proofErr w:type="gramEnd"/>
      <w:r w:rsidR="00295F30">
        <w:t xml:space="preserve"> setting aside the recognition by the </w:t>
      </w:r>
      <w:r w:rsidR="00A4008E">
        <w:t>23</w:t>
      </w:r>
      <w:r w:rsidR="00A4008E" w:rsidRPr="00A4008E">
        <w:rPr>
          <w:vertAlign w:val="superscript"/>
        </w:rPr>
        <w:t>rd</w:t>
      </w:r>
      <w:r w:rsidR="00A4008E">
        <w:t xml:space="preserve"> </w:t>
      </w:r>
      <w:r w:rsidR="00295F30">
        <w:t>respondent recognising Imprint’s decisio</w:t>
      </w:r>
      <w:r w:rsidR="00A4008E">
        <w:t xml:space="preserve">ns. An order </w:t>
      </w:r>
      <w:r w:rsidR="00295F30">
        <w:t>was</w:t>
      </w:r>
      <w:r w:rsidR="00A4008E">
        <w:t xml:space="preserve"> also</w:t>
      </w:r>
      <w:r w:rsidR="00295F30">
        <w:t xml:space="preserve"> sought </w:t>
      </w:r>
      <w:r w:rsidR="00A4008E">
        <w:t>to set</w:t>
      </w:r>
      <w:r w:rsidR="00295F30">
        <w:t xml:space="preserve"> aside the appointment of </w:t>
      </w:r>
      <w:r w:rsidR="00A4008E">
        <w:t>21</w:t>
      </w:r>
      <w:r w:rsidR="00A4008E" w:rsidRPr="00A4008E">
        <w:rPr>
          <w:vertAlign w:val="superscript"/>
        </w:rPr>
        <w:t>st</w:t>
      </w:r>
      <w:r w:rsidR="00A4008E">
        <w:t xml:space="preserve"> </w:t>
      </w:r>
      <w:r w:rsidR="00295F30">
        <w:t xml:space="preserve">and </w:t>
      </w:r>
      <w:r w:rsidR="00A4008E">
        <w:t>22</w:t>
      </w:r>
      <w:r w:rsidR="00A4008E" w:rsidRPr="00A4008E">
        <w:rPr>
          <w:vertAlign w:val="superscript"/>
        </w:rPr>
        <w:t>nd</w:t>
      </w:r>
      <w:r w:rsidR="00A4008E">
        <w:t xml:space="preserve"> </w:t>
      </w:r>
      <w:r w:rsidR="00295F30">
        <w:t>respondents as directors of Imprint consequent to the ‘impugned’ decision.</w:t>
      </w:r>
    </w:p>
    <w:p w14:paraId="7B70A968" w14:textId="77777777" w:rsidR="00295F30" w:rsidRPr="00295F30" w:rsidRDefault="00295F30" w:rsidP="00295F30"/>
    <w:p w14:paraId="0D8B789A" w14:textId="2232908B" w:rsidR="00FD4A62" w:rsidRPr="00AD6A86" w:rsidRDefault="003609E1" w:rsidP="003609E1">
      <w:pPr>
        <w:pStyle w:val="Heading1"/>
        <w:numPr>
          <w:ilvl w:val="0"/>
          <w:numId w:val="0"/>
        </w:numPr>
      </w:pPr>
      <w:r w:rsidRPr="00AD6A86">
        <w:lastRenderedPageBreak/>
        <w:t>[26]</w:t>
      </w:r>
      <w:r w:rsidRPr="00AD6A86">
        <w:tab/>
      </w:r>
      <w:r w:rsidR="00FD4A62" w:rsidRPr="00AD6A86">
        <w:t xml:space="preserve">It is the case of the applicants that the resolutions </w:t>
      </w:r>
      <w:r w:rsidR="00432DD2">
        <w:t xml:space="preserve">taken at the meeting of the directors of the first respondent </w:t>
      </w:r>
      <w:r w:rsidR="00FD4A62" w:rsidRPr="00AD6A86">
        <w:t>are invalid, unlawful and fall to be declared as such</w:t>
      </w:r>
      <w:r w:rsidR="00432DD2">
        <w:t xml:space="preserve">. Further, it is contended that </w:t>
      </w:r>
      <w:r w:rsidR="00FD4A62" w:rsidRPr="00AD6A86">
        <w:t xml:space="preserve">the discussions giving rise </w:t>
      </w:r>
      <w:r w:rsidR="00432DD2">
        <w:t xml:space="preserve">to the purported resolutions </w:t>
      </w:r>
      <w:r w:rsidR="00FD4A62" w:rsidRPr="00AD6A86">
        <w:t xml:space="preserve">were not particularised or foreshadowed in the notice </w:t>
      </w:r>
      <w:r w:rsidR="00432DD2">
        <w:t xml:space="preserve">or agenda </w:t>
      </w:r>
      <w:r w:rsidR="00FD4A62" w:rsidRPr="00AD6A86">
        <w:t xml:space="preserve">convening the meeting. The applicants further argue that </w:t>
      </w:r>
      <w:r w:rsidR="00432DD2">
        <w:t xml:space="preserve">the first respondent’s </w:t>
      </w:r>
      <w:r w:rsidR="008D7D64">
        <w:t>board of directors cannot ‘</w:t>
      </w:r>
      <w:r w:rsidR="00FD4A62" w:rsidRPr="00AD6A86">
        <w:t>vote out</w:t>
      </w:r>
      <w:r w:rsidR="008D7D64">
        <w:t>’</w:t>
      </w:r>
      <w:r w:rsidR="00FD4A62" w:rsidRPr="00AD6A86">
        <w:t xml:space="preserve"> persons as shareholders of companies, </w:t>
      </w:r>
      <w:r w:rsidR="00307810">
        <w:t xml:space="preserve">as same </w:t>
      </w:r>
      <w:r w:rsidR="00FD4A62" w:rsidRPr="00AD6A86">
        <w:t xml:space="preserve">is tantamount to (unlawful) expropriation without compensation. </w:t>
      </w:r>
      <w:r w:rsidR="00307810">
        <w:t xml:space="preserve">In this regard, it was submitted that </w:t>
      </w:r>
      <w:r w:rsidR="00FD4A62" w:rsidRPr="00AD6A86">
        <w:t xml:space="preserve">if it is accepted that the resolutions are invalid, unlawful, and fall to be declared as such, it is a natural consequence of law that any share certificates or document alike must also be set aside. </w:t>
      </w:r>
    </w:p>
    <w:p w14:paraId="1CDBFBE2" w14:textId="77777777" w:rsidR="0075583D" w:rsidRPr="00AD6A86" w:rsidRDefault="0075583D" w:rsidP="002C1127">
      <w:pPr>
        <w:rPr>
          <w:rFonts w:eastAsia="Calibri"/>
        </w:rPr>
      </w:pPr>
    </w:p>
    <w:p w14:paraId="46A5EE67" w14:textId="171BD7CD" w:rsidR="00BC2EFC" w:rsidRDefault="003609E1" w:rsidP="003609E1">
      <w:pPr>
        <w:pStyle w:val="Heading1"/>
        <w:numPr>
          <w:ilvl w:val="0"/>
          <w:numId w:val="0"/>
        </w:numPr>
        <w:rPr>
          <w:rFonts w:eastAsia="Calibri"/>
          <w:i/>
          <w:iCs/>
          <w:shd w:val="clear" w:color="auto" w:fill="FFFFFF"/>
        </w:rPr>
      </w:pPr>
      <w:r>
        <w:rPr>
          <w:rFonts w:eastAsia="Calibri"/>
          <w:iCs/>
        </w:rPr>
        <w:t>[27]</w:t>
      </w:r>
      <w:r>
        <w:rPr>
          <w:rFonts w:eastAsia="Calibri"/>
          <w:iCs/>
        </w:rPr>
        <w:tab/>
      </w:r>
      <w:r w:rsidR="00D07825" w:rsidRPr="002C5710">
        <w:rPr>
          <w:shd w:val="clear" w:color="auto" w:fill="FFFFFF"/>
        </w:rPr>
        <w:t>The respondents</w:t>
      </w:r>
      <w:r w:rsidR="00295F30">
        <w:rPr>
          <w:shd w:val="clear" w:color="auto" w:fill="FFFFFF"/>
        </w:rPr>
        <w:t xml:space="preserve"> dealt with the merits</w:t>
      </w:r>
      <w:r w:rsidR="00BC2EFC">
        <w:rPr>
          <w:shd w:val="clear" w:color="auto" w:fill="FFFFFF"/>
        </w:rPr>
        <w:t xml:space="preserve">, raising material breaches by High Power of its obligations in terms of the shareholders’ agreement. </w:t>
      </w:r>
      <w:proofErr w:type="gramStart"/>
      <w:r w:rsidR="00BC2EFC">
        <w:rPr>
          <w:shd w:val="clear" w:color="auto" w:fill="FFFFFF"/>
        </w:rPr>
        <w:t>However</w:t>
      </w:r>
      <w:proofErr w:type="gramEnd"/>
      <w:r w:rsidR="00BC2EFC">
        <w:rPr>
          <w:shd w:val="clear" w:color="auto" w:fill="FFFFFF"/>
        </w:rPr>
        <w:t xml:space="preserve"> a number of </w:t>
      </w:r>
      <w:r w:rsidR="00363F84">
        <w:rPr>
          <w:shd w:val="clear" w:color="auto" w:fill="FFFFFF"/>
        </w:rPr>
        <w:t>preliminary</w:t>
      </w:r>
      <w:r w:rsidR="00295F30">
        <w:rPr>
          <w:shd w:val="clear" w:color="auto" w:fill="FFFFFF"/>
        </w:rPr>
        <w:t xml:space="preserve"> points</w:t>
      </w:r>
      <w:r w:rsidR="00BC2EFC">
        <w:rPr>
          <w:shd w:val="clear" w:color="auto" w:fill="FFFFFF"/>
        </w:rPr>
        <w:t xml:space="preserve"> were raised in the answering papers</w:t>
      </w:r>
      <w:r w:rsidR="00295F30">
        <w:rPr>
          <w:shd w:val="clear" w:color="auto" w:fill="FFFFFF"/>
        </w:rPr>
        <w:t xml:space="preserve">. The only one I consider at this stage, </w:t>
      </w:r>
      <w:r w:rsidR="00BC2EFC">
        <w:rPr>
          <w:shd w:val="clear" w:color="auto" w:fill="FFFFFF"/>
        </w:rPr>
        <w:t xml:space="preserve">is the dilatory defence </w:t>
      </w:r>
      <w:r w:rsidR="00295F30">
        <w:rPr>
          <w:shd w:val="clear" w:color="auto" w:fill="FFFFFF"/>
        </w:rPr>
        <w:t xml:space="preserve">of </w:t>
      </w:r>
      <w:r w:rsidR="00F345A5" w:rsidRPr="00295F30">
        <w:rPr>
          <w:rFonts w:eastAsia="Calibri"/>
          <w:i/>
          <w:iCs/>
          <w:shd w:val="clear" w:color="auto" w:fill="FFFFFF"/>
        </w:rPr>
        <w:t>lis pendens</w:t>
      </w:r>
      <w:r w:rsidR="00BC2EFC">
        <w:rPr>
          <w:rFonts w:eastAsia="Calibri"/>
          <w:i/>
          <w:iCs/>
          <w:shd w:val="clear" w:color="auto" w:fill="FFFFFF"/>
        </w:rPr>
        <w:t>.</w:t>
      </w:r>
    </w:p>
    <w:p w14:paraId="34BD9B4B" w14:textId="77777777" w:rsidR="00BC2EFC" w:rsidRPr="00BC2EFC" w:rsidRDefault="00BC2EFC" w:rsidP="00BC2EFC">
      <w:pPr>
        <w:rPr>
          <w:rFonts w:eastAsia="Calibri"/>
        </w:rPr>
      </w:pPr>
    </w:p>
    <w:p w14:paraId="5A0B57C2" w14:textId="5CBE99B7" w:rsidR="00E76E42" w:rsidRPr="002C5710" w:rsidRDefault="003609E1" w:rsidP="003609E1">
      <w:pPr>
        <w:pStyle w:val="Heading1"/>
        <w:numPr>
          <w:ilvl w:val="0"/>
          <w:numId w:val="0"/>
        </w:numPr>
        <w:rPr>
          <w:rFonts w:eastAsia="Calibri"/>
          <w:shd w:val="clear" w:color="auto" w:fill="FFFFFF"/>
        </w:rPr>
      </w:pPr>
      <w:r w:rsidRPr="002C5710">
        <w:rPr>
          <w:rFonts w:eastAsia="Calibri"/>
        </w:rPr>
        <w:t>[28]</w:t>
      </w:r>
      <w:r w:rsidRPr="002C5710">
        <w:rPr>
          <w:rFonts w:eastAsia="Calibri"/>
        </w:rPr>
        <w:tab/>
      </w:r>
      <w:r w:rsidR="00F345A5" w:rsidRPr="002C5710">
        <w:rPr>
          <w:rFonts w:eastAsia="Calibri"/>
          <w:shd w:val="clear" w:color="auto" w:fill="FFFFFF"/>
        </w:rPr>
        <w:t xml:space="preserve"> </w:t>
      </w:r>
      <w:r w:rsidR="00D07825" w:rsidRPr="002C5710">
        <w:rPr>
          <w:shd w:val="clear" w:color="auto" w:fill="FFFFFF"/>
        </w:rPr>
        <w:t>C</w:t>
      </w:r>
      <w:r w:rsidR="00F345A5" w:rsidRPr="002C5710">
        <w:rPr>
          <w:rFonts w:eastAsia="Calibri"/>
          <w:shd w:val="clear" w:color="auto" w:fill="FFFFFF"/>
        </w:rPr>
        <w:t>ounsel for the respondents argued</w:t>
      </w:r>
      <w:r w:rsidR="00D07825" w:rsidRPr="002C5710">
        <w:rPr>
          <w:shd w:val="clear" w:color="auto" w:fill="FFFFFF"/>
        </w:rPr>
        <w:t xml:space="preserve"> that</w:t>
      </w:r>
      <w:r w:rsidR="00F345A5" w:rsidRPr="002C5710">
        <w:rPr>
          <w:rFonts w:eastAsia="Calibri"/>
          <w:shd w:val="clear" w:color="auto" w:fill="FFFFFF"/>
        </w:rPr>
        <w:t xml:space="preserve"> the applicants instituted proceedings in this court by way of action</w:t>
      </w:r>
      <w:r w:rsidR="00C95549" w:rsidRPr="002C5710">
        <w:rPr>
          <w:rFonts w:eastAsia="Calibri"/>
          <w:shd w:val="clear" w:color="auto" w:fill="FFFFFF"/>
        </w:rPr>
        <w:t xml:space="preserve"> on or about 19 October 2021</w:t>
      </w:r>
      <w:r w:rsidR="00F345A5" w:rsidRPr="002C5710">
        <w:rPr>
          <w:rFonts w:eastAsia="Calibri"/>
          <w:shd w:val="clear" w:color="auto" w:fill="FFFFFF"/>
        </w:rPr>
        <w:t xml:space="preserve">, </w:t>
      </w:r>
      <w:r w:rsidR="00C95549" w:rsidRPr="002C5710">
        <w:rPr>
          <w:rFonts w:eastAsia="Calibri"/>
          <w:shd w:val="clear" w:color="auto" w:fill="FFFFFF"/>
        </w:rPr>
        <w:t>with the sole purpose of effectively paraly</w:t>
      </w:r>
      <w:r w:rsidR="00AD6A86" w:rsidRPr="002C5710">
        <w:rPr>
          <w:rFonts w:eastAsia="Calibri"/>
          <w:shd w:val="clear" w:color="auto" w:fill="FFFFFF"/>
        </w:rPr>
        <w:t>s</w:t>
      </w:r>
      <w:r w:rsidR="002C5710" w:rsidRPr="002C5710">
        <w:rPr>
          <w:shd w:val="clear" w:color="auto" w:fill="FFFFFF"/>
        </w:rPr>
        <w:t>ing</w:t>
      </w:r>
      <w:r w:rsidR="00C95549" w:rsidRPr="002C5710">
        <w:rPr>
          <w:rFonts w:eastAsia="Calibri"/>
          <w:shd w:val="clear" w:color="auto" w:fill="FFFFFF"/>
        </w:rPr>
        <w:t xml:space="preserve"> the operations of the respondents, </w:t>
      </w:r>
      <w:r w:rsidR="00F345A5" w:rsidRPr="002C5710">
        <w:rPr>
          <w:rFonts w:eastAsia="Calibri"/>
          <w:shd w:val="clear" w:color="auto" w:fill="FFFFFF"/>
        </w:rPr>
        <w:t>and thereafter sought to amend their claim.</w:t>
      </w:r>
      <w:r w:rsidR="002C5710" w:rsidRPr="002C5710">
        <w:rPr>
          <w:shd w:val="clear" w:color="auto" w:fill="FFFFFF"/>
        </w:rPr>
        <w:t xml:space="preserve"> The </w:t>
      </w:r>
      <w:r w:rsidR="00E76E42" w:rsidRPr="002C5710">
        <w:rPr>
          <w:rFonts w:eastAsia="Calibri"/>
        </w:rPr>
        <w:t xml:space="preserve">convening of the meeting and the impugned decisions occurred after the institution of </w:t>
      </w:r>
      <w:r w:rsidR="002C5710">
        <w:rPr>
          <w:rFonts w:eastAsia="Calibri"/>
        </w:rPr>
        <w:t xml:space="preserve">that </w:t>
      </w:r>
      <w:r w:rsidR="00E76E42" w:rsidRPr="002C5710">
        <w:rPr>
          <w:rFonts w:eastAsia="Calibri"/>
        </w:rPr>
        <w:t xml:space="preserve">action. </w:t>
      </w:r>
      <w:r w:rsidR="00295F30">
        <w:rPr>
          <w:rFonts w:eastAsia="Calibri"/>
        </w:rPr>
        <w:t xml:space="preserve">When the respondents learned that the meeting proceeded and that resolutions were taken affecting them, </w:t>
      </w:r>
      <w:r w:rsidR="00E76E42" w:rsidRPr="002C5710">
        <w:rPr>
          <w:rFonts w:eastAsia="Calibri"/>
        </w:rPr>
        <w:t>they sought</w:t>
      </w:r>
      <w:r w:rsidR="00EB400C">
        <w:rPr>
          <w:rFonts w:eastAsia="Calibri"/>
        </w:rPr>
        <w:t>,</w:t>
      </w:r>
      <w:r w:rsidR="00E76E42" w:rsidRPr="002C5710">
        <w:rPr>
          <w:rFonts w:eastAsia="Calibri"/>
        </w:rPr>
        <w:t xml:space="preserve"> </w:t>
      </w:r>
      <w:r w:rsidR="00295F30">
        <w:rPr>
          <w:rFonts w:eastAsia="Calibri"/>
          <w:i/>
          <w:iCs/>
        </w:rPr>
        <w:t>inter alia</w:t>
      </w:r>
      <w:r w:rsidR="00EB400C">
        <w:rPr>
          <w:rFonts w:eastAsia="Calibri"/>
          <w:iCs/>
        </w:rPr>
        <w:t>,</w:t>
      </w:r>
      <w:r w:rsidR="00295F30">
        <w:rPr>
          <w:rFonts w:eastAsia="Calibri"/>
          <w:i/>
          <w:iCs/>
        </w:rPr>
        <w:t xml:space="preserve"> </w:t>
      </w:r>
      <w:r w:rsidR="00E76E42" w:rsidRPr="002C5710">
        <w:rPr>
          <w:rFonts w:eastAsia="Calibri"/>
        </w:rPr>
        <w:t>an amendment of the action proceedings.</w:t>
      </w:r>
    </w:p>
    <w:p w14:paraId="53B32A7F" w14:textId="77777777" w:rsidR="00C95549" w:rsidRPr="00AD6A86" w:rsidRDefault="00C95549" w:rsidP="002C1127">
      <w:pPr>
        <w:pStyle w:val="Heading1"/>
        <w:numPr>
          <w:ilvl w:val="0"/>
          <w:numId w:val="0"/>
        </w:numPr>
        <w:rPr>
          <w:rFonts w:eastAsia="Calibri"/>
          <w:shd w:val="clear" w:color="auto" w:fill="FFFFFF"/>
        </w:rPr>
      </w:pPr>
    </w:p>
    <w:p w14:paraId="58169969" w14:textId="19C95B41" w:rsidR="00E76E42" w:rsidRPr="00AD6A86" w:rsidRDefault="003609E1" w:rsidP="003609E1">
      <w:pPr>
        <w:pStyle w:val="Heading1"/>
        <w:numPr>
          <w:ilvl w:val="0"/>
          <w:numId w:val="0"/>
        </w:numPr>
        <w:rPr>
          <w:shd w:val="clear" w:color="auto" w:fill="FFFFFF"/>
        </w:rPr>
      </w:pPr>
      <w:r w:rsidRPr="00AD6A86">
        <w:t>[29]</w:t>
      </w:r>
      <w:r w:rsidRPr="00AD6A86">
        <w:tab/>
      </w:r>
      <w:r w:rsidR="00F345A5" w:rsidRPr="00AD6A86">
        <w:rPr>
          <w:shd w:val="clear" w:color="auto" w:fill="FFFFFF"/>
        </w:rPr>
        <w:t>What the</w:t>
      </w:r>
      <w:r w:rsidR="002C5710">
        <w:rPr>
          <w:shd w:val="clear" w:color="auto" w:fill="FFFFFF"/>
        </w:rPr>
        <w:t xml:space="preserve"> applicants</w:t>
      </w:r>
      <w:r w:rsidR="00F345A5" w:rsidRPr="00AD6A86">
        <w:rPr>
          <w:shd w:val="clear" w:color="auto" w:fill="FFFFFF"/>
        </w:rPr>
        <w:t xml:space="preserve"> sought to amend was that the meeting of 23 December 2021 and all transactions and decisions taken thereat</w:t>
      </w:r>
      <w:r w:rsidR="00E76E42" w:rsidRPr="00AD6A86">
        <w:rPr>
          <w:shd w:val="clear" w:color="auto" w:fill="FFFFFF"/>
        </w:rPr>
        <w:t>, in essence, be reviewed and set aside</w:t>
      </w:r>
      <w:r w:rsidR="00F345A5" w:rsidRPr="00AD6A86">
        <w:rPr>
          <w:shd w:val="clear" w:color="auto" w:fill="FFFFFF"/>
        </w:rPr>
        <w:t xml:space="preserve">. </w:t>
      </w:r>
      <w:r w:rsidR="00295F30">
        <w:rPr>
          <w:shd w:val="clear" w:color="auto" w:fill="FFFFFF"/>
        </w:rPr>
        <w:t>L</w:t>
      </w:r>
      <w:r w:rsidR="00F345A5" w:rsidRPr="00AD6A86">
        <w:rPr>
          <w:shd w:val="clear" w:color="auto" w:fill="FFFFFF"/>
        </w:rPr>
        <w:t xml:space="preserve">eave to amend was not granted, and </w:t>
      </w:r>
      <w:r w:rsidR="00295F30">
        <w:rPr>
          <w:shd w:val="clear" w:color="auto" w:fill="FFFFFF"/>
        </w:rPr>
        <w:t>after petitioning the Supreme Court, leave to appeal was granted. Therefore, and a</w:t>
      </w:r>
      <w:r w:rsidR="00F345A5" w:rsidRPr="00AD6A86">
        <w:rPr>
          <w:shd w:val="clear" w:color="auto" w:fill="FFFFFF"/>
        </w:rPr>
        <w:t xml:space="preserve">t the time of hearing this matter, a determination of the </w:t>
      </w:r>
      <w:r w:rsidR="00295F30">
        <w:rPr>
          <w:shd w:val="clear" w:color="auto" w:fill="FFFFFF"/>
        </w:rPr>
        <w:t xml:space="preserve">same </w:t>
      </w:r>
      <w:r w:rsidR="00F345A5" w:rsidRPr="00AD6A86">
        <w:rPr>
          <w:shd w:val="clear" w:color="auto" w:fill="FFFFFF"/>
        </w:rPr>
        <w:t xml:space="preserve">issues before the Supreme Court was still pending, and in the event the relief is granted – meaning, </w:t>
      </w:r>
      <w:r w:rsidR="00BC2EFC">
        <w:rPr>
          <w:shd w:val="clear" w:color="auto" w:fill="FFFFFF"/>
        </w:rPr>
        <w:t xml:space="preserve">if </w:t>
      </w:r>
      <w:r w:rsidR="00F345A5" w:rsidRPr="00AD6A86">
        <w:rPr>
          <w:shd w:val="clear" w:color="auto" w:fill="FFFFFF"/>
        </w:rPr>
        <w:t xml:space="preserve">the amendment is granted in the action proceedings, such </w:t>
      </w:r>
      <w:r w:rsidR="00F345A5" w:rsidRPr="00AD6A86">
        <w:rPr>
          <w:shd w:val="clear" w:color="auto" w:fill="FFFFFF"/>
        </w:rPr>
        <w:lastRenderedPageBreak/>
        <w:t>amendment (which constitutes the main relief of the applicants in th</w:t>
      </w:r>
      <w:r w:rsidR="00BC2EFC">
        <w:rPr>
          <w:shd w:val="clear" w:color="auto" w:fill="FFFFFF"/>
        </w:rPr>
        <w:t>ese proceedings</w:t>
      </w:r>
      <w:r w:rsidR="00F345A5" w:rsidRPr="00AD6A86">
        <w:rPr>
          <w:shd w:val="clear" w:color="auto" w:fill="FFFFFF"/>
        </w:rPr>
        <w:t xml:space="preserve">) would be a live issue between the parties. </w:t>
      </w:r>
    </w:p>
    <w:p w14:paraId="1750BD21" w14:textId="77777777" w:rsidR="00C01D8F" w:rsidRDefault="00C01D8F" w:rsidP="00C01D8F">
      <w:pPr>
        <w:pStyle w:val="Heading1"/>
        <w:numPr>
          <w:ilvl w:val="0"/>
          <w:numId w:val="0"/>
        </w:numPr>
        <w:rPr>
          <w:rFonts w:eastAsia="Calibri"/>
          <w:shd w:val="clear" w:color="auto" w:fill="FFFFFF"/>
        </w:rPr>
      </w:pPr>
    </w:p>
    <w:p w14:paraId="1FD58A7F" w14:textId="414BF380" w:rsidR="00D1098B" w:rsidRPr="00AD6A86" w:rsidRDefault="003609E1" w:rsidP="003609E1">
      <w:pPr>
        <w:pStyle w:val="Heading1"/>
        <w:numPr>
          <w:ilvl w:val="0"/>
          <w:numId w:val="0"/>
        </w:numPr>
        <w:rPr>
          <w:rFonts w:eastAsia="Calibri"/>
          <w:shd w:val="clear" w:color="auto" w:fill="FFFFFF"/>
        </w:rPr>
      </w:pPr>
      <w:r w:rsidRPr="00AD6A86">
        <w:rPr>
          <w:rFonts w:eastAsia="Calibri"/>
        </w:rPr>
        <w:t>[30]</w:t>
      </w:r>
      <w:r w:rsidRPr="00AD6A86">
        <w:rPr>
          <w:rFonts w:eastAsia="Calibri"/>
        </w:rPr>
        <w:tab/>
      </w:r>
      <w:r w:rsidR="009353AA">
        <w:rPr>
          <w:rFonts w:eastAsia="Calibri"/>
          <w:shd w:val="clear" w:color="auto" w:fill="FFFFFF"/>
        </w:rPr>
        <w:t xml:space="preserve">The requirements for a defence of </w:t>
      </w:r>
      <w:r w:rsidR="009353AA">
        <w:rPr>
          <w:rFonts w:eastAsia="Calibri"/>
          <w:i/>
          <w:iCs/>
          <w:shd w:val="clear" w:color="auto" w:fill="FFFFFF"/>
        </w:rPr>
        <w:t xml:space="preserve">lis pendens </w:t>
      </w:r>
      <w:r w:rsidR="009353AA" w:rsidRPr="009353AA">
        <w:rPr>
          <w:rFonts w:eastAsia="Calibri"/>
          <w:shd w:val="clear" w:color="auto" w:fill="FFFFFF"/>
        </w:rPr>
        <w:t>were succinctly set out in</w:t>
      </w:r>
      <w:r w:rsidR="009353AA">
        <w:rPr>
          <w:rFonts w:eastAsia="Calibri"/>
          <w:i/>
          <w:iCs/>
          <w:shd w:val="clear" w:color="auto" w:fill="FFFFFF"/>
        </w:rPr>
        <w:t xml:space="preserve"> </w:t>
      </w:r>
      <w:r w:rsidR="00E82446" w:rsidRPr="00AD6A86">
        <w:rPr>
          <w:i/>
        </w:rPr>
        <w:t>Schuette v Schuette</w:t>
      </w:r>
      <w:r w:rsidR="00E82446" w:rsidRPr="00AD6A86">
        <w:rPr>
          <w:rStyle w:val="FootnoteReference"/>
          <w:i/>
        </w:rPr>
        <w:footnoteReference w:id="1"/>
      </w:r>
      <w:r w:rsidR="00A4008E">
        <w:rPr>
          <w:i/>
        </w:rPr>
        <w:t xml:space="preserve"> </w:t>
      </w:r>
      <w:r w:rsidR="00A4008E">
        <w:t>as follows</w:t>
      </w:r>
      <w:r w:rsidR="009353AA">
        <w:rPr>
          <w:iCs/>
        </w:rPr>
        <w:t>:</w:t>
      </w:r>
      <w:r w:rsidR="006C5179">
        <w:rPr>
          <w:rFonts w:eastAsia="Calibri"/>
          <w:shd w:val="clear" w:color="auto" w:fill="FFFFFF"/>
        </w:rPr>
        <w:t xml:space="preserve"> </w:t>
      </w:r>
    </w:p>
    <w:p w14:paraId="77BE3666" w14:textId="77777777" w:rsidR="00E82446" w:rsidRPr="00AD6A86" w:rsidRDefault="00E82446" w:rsidP="002C1127">
      <w:pPr>
        <w:rPr>
          <w:rFonts w:eastAsia="Calibri"/>
        </w:rPr>
      </w:pPr>
    </w:p>
    <w:p w14:paraId="3D8BB354" w14:textId="253CAA78" w:rsidR="00E82446" w:rsidRPr="00AD6A86" w:rsidRDefault="00E82446" w:rsidP="002C1127">
      <w:pPr>
        <w:ind w:firstLine="720"/>
        <w:rPr>
          <w:rFonts w:eastAsia="Calibri"/>
          <w:sz w:val="22"/>
          <w:szCs w:val="22"/>
        </w:rPr>
      </w:pPr>
      <w:r w:rsidRPr="00AD6A86">
        <w:rPr>
          <w:rFonts w:eastAsia="Calibri"/>
          <w:sz w:val="22"/>
          <w:szCs w:val="22"/>
        </w:rPr>
        <w:t>‘[14]</w:t>
      </w:r>
      <w:r w:rsidRPr="00AD6A86">
        <w:rPr>
          <w:rFonts w:eastAsia="Calibri"/>
          <w:sz w:val="22"/>
          <w:szCs w:val="22"/>
        </w:rPr>
        <w:tab/>
        <w:t xml:space="preserve">The requirements for the plea of </w:t>
      </w:r>
      <w:r w:rsidRPr="00AD6A86">
        <w:rPr>
          <w:rFonts w:eastAsia="Calibri"/>
          <w:i/>
          <w:sz w:val="22"/>
          <w:szCs w:val="22"/>
        </w:rPr>
        <w:t>lis pendens</w:t>
      </w:r>
      <w:r w:rsidRPr="00AD6A86">
        <w:rPr>
          <w:rFonts w:eastAsia="Calibri"/>
          <w:sz w:val="22"/>
          <w:szCs w:val="22"/>
        </w:rPr>
        <w:t xml:space="preserve"> in terms of the law are these: there must be pending litigations; between the same parties or their privies; based on the same cause of action; and in respect of the same subject-matter, but this does not mean the form of relief claimed in both proceedings must be identical.</w:t>
      </w:r>
      <w:r w:rsidRPr="00AD6A86">
        <w:rPr>
          <w:rFonts w:eastAsia="Calibri"/>
          <w:sz w:val="22"/>
          <w:szCs w:val="22"/>
          <w:vertAlign w:val="superscript"/>
        </w:rPr>
        <w:footnoteReference w:id="2"/>
      </w:r>
      <w:r w:rsidRPr="00AD6A86">
        <w:rPr>
          <w:rFonts w:eastAsia="Calibri"/>
          <w:sz w:val="22"/>
          <w:szCs w:val="22"/>
        </w:rPr>
        <w:t xml:space="preserve"> The plea of </w:t>
      </w:r>
      <w:r w:rsidRPr="00AD6A86">
        <w:rPr>
          <w:rFonts w:eastAsia="Calibri"/>
          <w:i/>
          <w:sz w:val="22"/>
          <w:szCs w:val="22"/>
        </w:rPr>
        <w:t>lis pendens</w:t>
      </w:r>
      <w:r w:rsidRPr="00AD6A86">
        <w:rPr>
          <w:rFonts w:eastAsia="Calibri"/>
          <w:sz w:val="22"/>
          <w:szCs w:val="22"/>
        </w:rPr>
        <w:t xml:space="preserve"> is not absolute. This means that even if it is found that the requirements have been met, the court has a discretion to allow an action to continue should that be considered just and equitable in the circumstances, despite the earlier institution of the same action.</w:t>
      </w:r>
    </w:p>
    <w:p w14:paraId="336B6FCA" w14:textId="77777777" w:rsidR="00E82446" w:rsidRPr="00AD6A86" w:rsidRDefault="00E82446" w:rsidP="002C1127">
      <w:pPr>
        <w:rPr>
          <w:rFonts w:eastAsia="Calibri"/>
          <w:sz w:val="22"/>
          <w:szCs w:val="22"/>
        </w:rPr>
      </w:pPr>
    </w:p>
    <w:p w14:paraId="3BAC5CCB" w14:textId="1181BFBB" w:rsidR="00E82446" w:rsidRPr="00AD6A86" w:rsidRDefault="00E82446" w:rsidP="002C1127">
      <w:pPr>
        <w:rPr>
          <w:rFonts w:eastAsia="Calibri"/>
          <w:sz w:val="22"/>
          <w:szCs w:val="22"/>
        </w:rPr>
      </w:pPr>
      <w:r w:rsidRPr="00AD6A86">
        <w:rPr>
          <w:rFonts w:eastAsia="Calibri"/>
          <w:sz w:val="22"/>
          <w:szCs w:val="22"/>
        </w:rPr>
        <w:t>[15]</w:t>
      </w:r>
      <w:r w:rsidRPr="00AD6A86">
        <w:rPr>
          <w:rFonts w:eastAsia="Calibri"/>
          <w:sz w:val="22"/>
          <w:szCs w:val="22"/>
        </w:rPr>
        <w:tab/>
        <w:t xml:space="preserve">A plea of </w:t>
      </w:r>
      <w:r w:rsidRPr="00AD6A86">
        <w:rPr>
          <w:rFonts w:eastAsia="Calibri"/>
          <w:i/>
          <w:sz w:val="22"/>
          <w:szCs w:val="22"/>
        </w:rPr>
        <w:t>lis pendens</w:t>
      </w:r>
      <w:r w:rsidRPr="00AD6A86">
        <w:rPr>
          <w:rFonts w:eastAsia="Calibri"/>
          <w:sz w:val="22"/>
          <w:szCs w:val="22"/>
        </w:rPr>
        <w:t xml:space="preserve"> is open to a litigant who contends that a dispute between the same parties concerning the same cause of action is pending before the same court or another court with the same jurisdiction. The plea has been aptly explained as being based ‘on the proposition that the dispute (</w:t>
      </w:r>
      <w:r w:rsidRPr="00AD6A86">
        <w:rPr>
          <w:rFonts w:eastAsia="Calibri"/>
          <w:i/>
          <w:sz w:val="22"/>
          <w:szCs w:val="22"/>
        </w:rPr>
        <w:t>lis</w:t>
      </w:r>
      <w:r w:rsidRPr="00AD6A86">
        <w:rPr>
          <w:rFonts w:eastAsia="Calibri"/>
          <w:sz w:val="22"/>
          <w:szCs w:val="22"/>
        </w:rPr>
        <w:t>) between the parties is being litigated elsewhere and therefore it is inappropriate for it to be litigated in the court in which the plea is raised’.</w:t>
      </w:r>
      <w:r w:rsidRPr="00AD6A86">
        <w:rPr>
          <w:rFonts w:eastAsia="Calibri"/>
          <w:sz w:val="22"/>
          <w:szCs w:val="22"/>
          <w:vertAlign w:val="superscript"/>
        </w:rPr>
        <w:footnoteReference w:id="3"/>
      </w:r>
      <w:r w:rsidRPr="00AD6A86">
        <w:rPr>
          <w:rFonts w:eastAsia="Calibri"/>
          <w:sz w:val="22"/>
          <w:szCs w:val="22"/>
        </w:rPr>
        <w:t xml:space="preserve"> The party raising the plea of </w:t>
      </w:r>
      <w:r w:rsidRPr="00AD6A86">
        <w:rPr>
          <w:rFonts w:eastAsia="Calibri"/>
          <w:i/>
          <w:sz w:val="22"/>
          <w:szCs w:val="22"/>
        </w:rPr>
        <w:t>lis pendens</w:t>
      </w:r>
      <w:r w:rsidRPr="00AD6A86">
        <w:rPr>
          <w:rFonts w:eastAsia="Calibri"/>
          <w:sz w:val="22"/>
          <w:szCs w:val="22"/>
        </w:rPr>
        <w:t xml:space="preserve"> bears the onus of proving all the requirements.</w:t>
      </w:r>
      <w:r w:rsidRPr="00AD6A86">
        <w:rPr>
          <w:rFonts w:eastAsia="Calibri"/>
          <w:sz w:val="22"/>
          <w:szCs w:val="22"/>
          <w:vertAlign w:val="superscript"/>
        </w:rPr>
        <w:footnoteReference w:id="4"/>
      </w:r>
      <w:r w:rsidRPr="00AD6A86">
        <w:rPr>
          <w:rFonts w:eastAsia="Calibri"/>
          <w:sz w:val="22"/>
          <w:szCs w:val="22"/>
        </w:rPr>
        <w:t>’</w:t>
      </w:r>
    </w:p>
    <w:p w14:paraId="6183D6A7" w14:textId="77777777" w:rsidR="00E82446" w:rsidRPr="00AD6A86" w:rsidRDefault="00E82446" w:rsidP="002C1127">
      <w:pPr>
        <w:rPr>
          <w:rFonts w:eastAsia="Calibri"/>
        </w:rPr>
      </w:pPr>
    </w:p>
    <w:p w14:paraId="442A3BE7" w14:textId="0B4C0797" w:rsidR="009353AA" w:rsidRDefault="003609E1" w:rsidP="003609E1">
      <w:pPr>
        <w:pStyle w:val="Heading1"/>
        <w:numPr>
          <w:ilvl w:val="0"/>
          <w:numId w:val="0"/>
        </w:numPr>
        <w:rPr>
          <w:shd w:val="clear" w:color="auto" w:fill="FFFFFF"/>
        </w:rPr>
      </w:pPr>
      <w:r>
        <w:t>[31]</w:t>
      </w:r>
      <w:r>
        <w:tab/>
      </w:r>
      <w:r w:rsidR="006C5179">
        <w:rPr>
          <w:shd w:val="clear" w:color="auto" w:fill="FFFFFF"/>
        </w:rPr>
        <w:t xml:space="preserve">The party raising the plea </w:t>
      </w:r>
      <w:r w:rsidR="006C5179" w:rsidRPr="00BC2EFC">
        <w:rPr>
          <w:i/>
          <w:iCs/>
          <w:shd w:val="clear" w:color="auto" w:fill="FFFFFF"/>
        </w:rPr>
        <w:t>of lis pendens</w:t>
      </w:r>
      <w:r w:rsidR="006C5179">
        <w:rPr>
          <w:shd w:val="clear" w:color="auto" w:fill="FFFFFF"/>
        </w:rPr>
        <w:t xml:space="preserve"> bears the onus of proving all the requirements. </w:t>
      </w:r>
    </w:p>
    <w:p w14:paraId="3E64D6AD" w14:textId="77777777" w:rsidR="009353AA" w:rsidRPr="009353AA" w:rsidRDefault="009353AA" w:rsidP="009353AA"/>
    <w:p w14:paraId="38848840" w14:textId="67322F43" w:rsidR="00F654CD" w:rsidRDefault="003609E1" w:rsidP="003609E1">
      <w:pPr>
        <w:pStyle w:val="Heading1"/>
        <w:numPr>
          <w:ilvl w:val="0"/>
          <w:numId w:val="0"/>
        </w:numPr>
        <w:rPr>
          <w:shd w:val="clear" w:color="auto" w:fill="FFFFFF"/>
        </w:rPr>
      </w:pPr>
      <w:r>
        <w:t>[32]</w:t>
      </w:r>
      <w:r>
        <w:tab/>
      </w:r>
      <w:r w:rsidR="006C5179">
        <w:rPr>
          <w:shd w:val="clear" w:color="auto" w:fill="FFFFFF"/>
        </w:rPr>
        <w:t xml:space="preserve">It is </w:t>
      </w:r>
      <w:r w:rsidR="009353AA">
        <w:rPr>
          <w:shd w:val="clear" w:color="auto" w:fill="FFFFFF"/>
        </w:rPr>
        <w:t xml:space="preserve">common cause that there is a pending action between the parties, and that the main relief sought </w:t>
      </w:r>
      <w:r w:rsidR="00A4008E">
        <w:rPr>
          <w:shd w:val="clear" w:color="auto" w:fill="FFFFFF"/>
        </w:rPr>
        <w:t xml:space="preserve">in these proceedings was raised as </w:t>
      </w:r>
      <w:r w:rsidR="009353AA">
        <w:rPr>
          <w:shd w:val="clear" w:color="auto" w:fill="FFFFFF"/>
        </w:rPr>
        <w:t xml:space="preserve">an amendment to the claim in that action. It is true that in these motion </w:t>
      </w:r>
      <w:r w:rsidR="009353AA">
        <w:rPr>
          <w:shd w:val="clear" w:color="auto" w:fill="FFFFFF"/>
        </w:rPr>
        <w:lastRenderedPageBreak/>
        <w:t xml:space="preserve">proceedings, </w:t>
      </w:r>
      <w:r w:rsidR="00F654CD">
        <w:rPr>
          <w:shd w:val="clear" w:color="auto" w:fill="FFFFFF"/>
        </w:rPr>
        <w:t>the 17</w:t>
      </w:r>
      <w:r w:rsidR="00F654CD" w:rsidRPr="00F654CD">
        <w:rPr>
          <w:shd w:val="clear" w:color="auto" w:fill="FFFFFF"/>
          <w:vertAlign w:val="superscript"/>
        </w:rPr>
        <w:t>th</w:t>
      </w:r>
      <w:r w:rsidR="00F654CD">
        <w:rPr>
          <w:shd w:val="clear" w:color="auto" w:fill="FFFFFF"/>
        </w:rPr>
        <w:t xml:space="preserve"> to 23</w:t>
      </w:r>
      <w:r w:rsidR="00F654CD" w:rsidRPr="00F654CD">
        <w:rPr>
          <w:shd w:val="clear" w:color="auto" w:fill="FFFFFF"/>
          <w:vertAlign w:val="superscript"/>
        </w:rPr>
        <w:t>rd</w:t>
      </w:r>
      <w:r w:rsidR="00F654CD">
        <w:rPr>
          <w:shd w:val="clear" w:color="auto" w:fill="FFFFFF"/>
        </w:rPr>
        <w:t xml:space="preserve"> respondents were ci</w:t>
      </w:r>
      <w:r w:rsidR="0049214A">
        <w:rPr>
          <w:shd w:val="clear" w:color="auto" w:fill="FFFFFF"/>
        </w:rPr>
        <w:t>t</w:t>
      </w:r>
      <w:r w:rsidR="00F654CD">
        <w:rPr>
          <w:shd w:val="clear" w:color="auto" w:fill="FFFFFF"/>
        </w:rPr>
        <w:t>ed</w:t>
      </w:r>
      <w:r w:rsidR="00BC2EFC">
        <w:rPr>
          <w:shd w:val="clear" w:color="auto" w:fill="FFFFFF"/>
        </w:rPr>
        <w:t xml:space="preserve"> additionally</w:t>
      </w:r>
      <w:r w:rsidR="00F654CD">
        <w:rPr>
          <w:shd w:val="clear" w:color="auto" w:fill="FFFFFF"/>
        </w:rPr>
        <w:t xml:space="preserve">, and there is relief sought against them, as has been set out above in this judgment. </w:t>
      </w:r>
    </w:p>
    <w:p w14:paraId="754F11BA" w14:textId="77777777" w:rsidR="00F654CD" w:rsidRPr="00F654CD" w:rsidRDefault="00F654CD" w:rsidP="00F654CD"/>
    <w:p w14:paraId="2B4D2E71" w14:textId="4021AE8D" w:rsidR="00F654CD" w:rsidRDefault="003609E1" w:rsidP="003609E1">
      <w:pPr>
        <w:pStyle w:val="Heading1"/>
        <w:numPr>
          <w:ilvl w:val="0"/>
          <w:numId w:val="0"/>
        </w:numPr>
        <w:rPr>
          <w:shd w:val="clear" w:color="auto" w:fill="FFFFFF"/>
        </w:rPr>
      </w:pPr>
      <w:r>
        <w:t>[33]</w:t>
      </w:r>
      <w:r>
        <w:tab/>
      </w:r>
      <w:r w:rsidR="00F654CD">
        <w:rPr>
          <w:shd w:val="clear" w:color="auto" w:fill="FFFFFF"/>
        </w:rPr>
        <w:t xml:space="preserve">However, and to my mind, the relief sought against the </w:t>
      </w:r>
      <w:r w:rsidR="009667AB">
        <w:rPr>
          <w:shd w:val="clear" w:color="auto" w:fill="FFFFFF"/>
        </w:rPr>
        <w:t>17</w:t>
      </w:r>
      <w:r w:rsidR="009667AB" w:rsidRPr="009667AB">
        <w:rPr>
          <w:shd w:val="clear" w:color="auto" w:fill="FFFFFF"/>
          <w:vertAlign w:val="superscript"/>
        </w:rPr>
        <w:t>th</w:t>
      </w:r>
      <w:r w:rsidR="009667AB">
        <w:rPr>
          <w:shd w:val="clear" w:color="auto" w:fill="FFFFFF"/>
        </w:rPr>
        <w:t xml:space="preserve"> </w:t>
      </w:r>
      <w:r w:rsidR="00F654CD">
        <w:rPr>
          <w:shd w:val="clear" w:color="auto" w:fill="FFFFFF"/>
        </w:rPr>
        <w:t xml:space="preserve">to </w:t>
      </w:r>
      <w:r w:rsidR="009667AB">
        <w:rPr>
          <w:shd w:val="clear" w:color="auto" w:fill="FFFFFF"/>
        </w:rPr>
        <w:t>23</w:t>
      </w:r>
      <w:r w:rsidR="009667AB" w:rsidRPr="009667AB">
        <w:rPr>
          <w:shd w:val="clear" w:color="auto" w:fill="FFFFFF"/>
          <w:vertAlign w:val="superscript"/>
        </w:rPr>
        <w:t>rd</w:t>
      </w:r>
      <w:r w:rsidR="00F654CD">
        <w:rPr>
          <w:shd w:val="clear" w:color="auto" w:fill="FFFFFF"/>
        </w:rPr>
        <w:t xml:space="preserve"> respondents necessarily </w:t>
      </w:r>
      <w:proofErr w:type="gramStart"/>
      <w:r w:rsidR="00F654CD">
        <w:rPr>
          <w:shd w:val="clear" w:color="auto" w:fill="FFFFFF"/>
        </w:rPr>
        <w:t>flows</w:t>
      </w:r>
      <w:proofErr w:type="gramEnd"/>
      <w:r w:rsidR="00F654CD">
        <w:rPr>
          <w:shd w:val="clear" w:color="auto" w:fill="FFFFFF"/>
        </w:rPr>
        <w:t xml:space="preserve"> from the main relief sought, namely to set aside the </w:t>
      </w:r>
      <w:r w:rsidR="009667AB">
        <w:rPr>
          <w:shd w:val="clear" w:color="auto" w:fill="FFFFFF"/>
        </w:rPr>
        <w:t>23</w:t>
      </w:r>
      <w:r w:rsidR="009667AB" w:rsidRPr="009667AB">
        <w:rPr>
          <w:shd w:val="clear" w:color="auto" w:fill="FFFFFF"/>
          <w:vertAlign w:val="superscript"/>
        </w:rPr>
        <w:t>rd</w:t>
      </w:r>
      <w:r w:rsidR="009667AB">
        <w:rPr>
          <w:shd w:val="clear" w:color="auto" w:fill="FFFFFF"/>
        </w:rPr>
        <w:t xml:space="preserve"> </w:t>
      </w:r>
      <w:r w:rsidR="00F654CD">
        <w:rPr>
          <w:shd w:val="clear" w:color="auto" w:fill="FFFFFF"/>
        </w:rPr>
        <w:t xml:space="preserve">respondent’s recognition of the resolutions made by Imprint on 23 December 2021, and to declare the appointment of the </w:t>
      </w:r>
      <w:r w:rsidR="009667AB">
        <w:rPr>
          <w:shd w:val="clear" w:color="auto" w:fill="FFFFFF"/>
        </w:rPr>
        <w:t>21</w:t>
      </w:r>
      <w:r w:rsidR="009667AB" w:rsidRPr="009667AB">
        <w:rPr>
          <w:shd w:val="clear" w:color="auto" w:fill="FFFFFF"/>
          <w:vertAlign w:val="superscript"/>
        </w:rPr>
        <w:t>st</w:t>
      </w:r>
      <w:r w:rsidR="009667AB">
        <w:rPr>
          <w:shd w:val="clear" w:color="auto" w:fill="FFFFFF"/>
        </w:rPr>
        <w:t xml:space="preserve"> </w:t>
      </w:r>
      <w:r w:rsidR="00F654CD">
        <w:rPr>
          <w:shd w:val="clear" w:color="auto" w:fill="FFFFFF"/>
        </w:rPr>
        <w:t xml:space="preserve">and </w:t>
      </w:r>
      <w:r w:rsidR="009667AB">
        <w:rPr>
          <w:shd w:val="clear" w:color="auto" w:fill="FFFFFF"/>
        </w:rPr>
        <w:t>22</w:t>
      </w:r>
      <w:r w:rsidR="009667AB" w:rsidRPr="009667AB">
        <w:rPr>
          <w:shd w:val="clear" w:color="auto" w:fill="FFFFFF"/>
          <w:vertAlign w:val="superscript"/>
        </w:rPr>
        <w:t>nd</w:t>
      </w:r>
      <w:r w:rsidR="009667AB">
        <w:rPr>
          <w:shd w:val="clear" w:color="auto" w:fill="FFFFFF"/>
        </w:rPr>
        <w:t xml:space="preserve"> </w:t>
      </w:r>
      <w:r w:rsidR="00F654CD">
        <w:rPr>
          <w:shd w:val="clear" w:color="auto" w:fill="FFFFFF"/>
        </w:rPr>
        <w:t xml:space="preserve">respondents as directors to be invalid. The </w:t>
      </w:r>
      <w:r w:rsidR="009667AB">
        <w:rPr>
          <w:shd w:val="clear" w:color="auto" w:fill="FFFFFF"/>
        </w:rPr>
        <w:t>24</w:t>
      </w:r>
      <w:r w:rsidR="009667AB" w:rsidRPr="009667AB">
        <w:rPr>
          <w:shd w:val="clear" w:color="auto" w:fill="FFFFFF"/>
          <w:vertAlign w:val="superscript"/>
        </w:rPr>
        <w:t>th</w:t>
      </w:r>
      <w:r w:rsidR="009667AB">
        <w:rPr>
          <w:shd w:val="clear" w:color="auto" w:fill="FFFFFF"/>
        </w:rPr>
        <w:t xml:space="preserve"> </w:t>
      </w:r>
      <w:r w:rsidR="00F654CD">
        <w:rPr>
          <w:shd w:val="clear" w:color="auto" w:fill="FFFFFF"/>
        </w:rPr>
        <w:t>respondent was cited in his official capacity mainly for the interest it may have in these proceedings.</w:t>
      </w:r>
    </w:p>
    <w:p w14:paraId="2B7C76CE" w14:textId="77777777" w:rsidR="00F654CD" w:rsidRPr="00F654CD" w:rsidRDefault="00F654CD" w:rsidP="00F654CD"/>
    <w:p w14:paraId="12D308B7" w14:textId="7849BE97" w:rsidR="00F654CD" w:rsidRDefault="003609E1" w:rsidP="003609E1">
      <w:pPr>
        <w:pStyle w:val="Heading1"/>
        <w:numPr>
          <w:ilvl w:val="0"/>
          <w:numId w:val="0"/>
        </w:numPr>
        <w:rPr>
          <w:shd w:val="clear" w:color="auto" w:fill="FFFFFF"/>
        </w:rPr>
      </w:pPr>
      <w:r>
        <w:t>[34]</w:t>
      </w:r>
      <w:r>
        <w:tab/>
      </w:r>
      <w:r w:rsidR="00F654CD">
        <w:rPr>
          <w:shd w:val="clear" w:color="auto" w:fill="FFFFFF"/>
        </w:rPr>
        <w:t>It is also clear that as leave to appeal has been granted, that the Supreme Court is to determine whether the application for leave to amend should have been refused or not. Should the applicants succeed on appeal, the relief sought in these motion proceedings becomes a live issue for determination at the trial. It would be ill-advised to effectively usurp the Supreme Court</w:t>
      </w:r>
      <w:r w:rsidR="00BC2EFC">
        <w:rPr>
          <w:shd w:val="clear" w:color="auto" w:fill="FFFFFF"/>
        </w:rPr>
        <w:t>’</w:t>
      </w:r>
      <w:r w:rsidR="00F654CD">
        <w:rPr>
          <w:shd w:val="clear" w:color="auto" w:fill="FFFFFF"/>
        </w:rPr>
        <w:t xml:space="preserve">s function to determine the appeal, if this court were, in separate proceedings to determine the merits of the application. </w:t>
      </w:r>
    </w:p>
    <w:p w14:paraId="7DA1ABDE" w14:textId="77777777" w:rsidR="00F654CD" w:rsidRPr="00F654CD" w:rsidRDefault="00F654CD" w:rsidP="00F654CD"/>
    <w:p w14:paraId="51FD3A5F" w14:textId="7F764BE0" w:rsidR="00F654CD" w:rsidRDefault="003609E1" w:rsidP="003609E1">
      <w:pPr>
        <w:pStyle w:val="Heading1"/>
        <w:numPr>
          <w:ilvl w:val="0"/>
          <w:numId w:val="0"/>
        </w:numPr>
        <w:rPr>
          <w:shd w:val="clear" w:color="auto" w:fill="FFFFFF"/>
        </w:rPr>
      </w:pPr>
      <w:r>
        <w:t>[35]</w:t>
      </w:r>
      <w:r>
        <w:tab/>
      </w:r>
      <w:r w:rsidR="00F654CD">
        <w:rPr>
          <w:shd w:val="clear" w:color="auto" w:fill="FFFFFF"/>
        </w:rPr>
        <w:t xml:space="preserve">There is clearly </w:t>
      </w:r>
      <w:r w:rsidR="00F654CD" w:rsidRPr="00F654CD">
        <w:rPr>
          <w:shd w:val="clear" w:color="auto" w:fill="FFFFFF"/>
        </w:rPr>
        <w:t>a dispute between the same parties concerning the same cause of action</w:t>
      </w:r>
      <w:r w:rsidR="00F654CD">
        <w:rPr>
          <w:shd w:val="clear" w:color="auto" w:fill="FFFFFF"/>
        </w:rPr>
        <w:t xml:space="preserve">, </w:t>
      </w:r>
      <w:r w:rsidR="00F654CD" w:rsidRPr="00F654CD">
        <w:rPr>
          <w:shd w:val="clear" w:color="auto" w:fill="FFFFFF"/>
        </w:rPr>
        <w:t xml:space="preserve">pending before the </w:t>
      </w:r>
      <w:r w:rsidR="00F654CD">
        <w:rPr>
          <w:shd w:val="clear" w:color="auto" w:fill="FFFFFF"/>
        </w:rPr>
        <w:t>Supreme Court, and the respondents have proved the elements of the defence raised.</w:t>
      </w:r>
      <w:r w:rsidR="00F654CD" w:rsidRPr="00F654CD">
        <w:rPr>
          <w:shd w:val="clear" w:color="auto" w:fill="FFFFFF"/>
        </w:rPr>
        <w:t xml:space="preserve"> </w:t>
      </w:r>
    </w:p>
    <w:p w14:paraId="6B18EA6F" w14:textId="77777777" w:rsidR="00FF7DA6" w:rsidRPr="00AD6A86" w:rsidRDefault="00FF7DA6" w:rsidP="002C1127">
      <w:pPr>
        <w:rPr>
          <w:rFonts w:eastAsia="Calibri"/>
        </w:rPr>
      </w:pPr>
    </w:p>
    <w:p w14:paraId="7A9AA20D" w14:textId="77868A58" w:rsidR="00972792" w:rsidRDefault="003609E1" w:rsidP="003609E1">
      <w:pPr>
        <w:pStyle w:val="Heading1"/>
        <w:numPr>
          <w:ilvl w:val="0"/>
          <w:numId w:val="0"/>
        </w:numPr>
        <w:rPr>
          <w:shd w:val="clear" w:color="auto" w:fill="FFFFFF"/>
        </w:rPr>
      </w:pPr>
      <w:r>
        <w:t>[36]</w:t>
      </w:r>
      <w:r>
        <w:tab/>
      </w:r>
      <w:r w:rsidR="002F7CE5" w:rsidRPr="00AD6A86">
        <w:rPr>
          <w:shd w:val="clear" w:color="auto" w:fill="FFFFFF"/>
        </w:rPr>
        <w:t>According</w:t>
      </w:r>
      <w:r w:rsidR="00A85C8F" w:rsidRPr="00AD6A86">
        <w:rPr>
          <w:shd w:val="clear" w:color="auto" w:fill="FFFFFF"/>
        </w:rPr>
        <w:t>ly</w:t>
      </w:r>
      <w:r w:rsidR="002F7CE5" w:rsidRPr="00AD6A86">
        <w:rPr>
          <w:shd w:val="clear" w:color="auto" w:fill="FFFFFF"/>
        </w:rPr>
        <w:t>, the following order is made:</w:t>
      </w:r>
      <w:r w:rsidR="00972792" w:rsidRPr="00AD6A86">
        <w:rPr>
          <w:shd w:val="clear" w:color="auto" w:fill="FFFFFF"/>
        </w:rPr>
        <w:t xml:space="preserve"> </w:t>
      </w:r>
    </w:p>
    <w:p w14:paraId="6F9611B8" w14:textId="77777777" w:rsidR="00F654CD" w:rsidRDefault="00F654CD" w:rsidP="00F654CD"/>
    <w:p w14:paraId="69DB3993" w14:textId="4530ADC0" w:rsidR="00F654CD" w:rsidRPr="003609E1" w:rsidRDefault="003609E1" w:rsidP="003609E1">
      <w:pPr>
        <w:ind w:left="1131" w:hanging="564"/>
      </w:pPr>
      <w:r w:rsidRPr="009667AB">
        <w:rPr>
          <w:spacing w:val="0"/>
          <w:lang w:val="en-US"/>
        </w:rPr>
        <w:t>1.</w:t>
      </w:r>
      <w:r w:rsidRPr="009667AB">
        <w:rPr>
          <w:spacing w:val="0"/>
          <w:lang w:val="en-US"/>
        </w:rPr>
        <w:tab/>
      </w:r>
      <w:r w:rsidR="00F654CD" w:rsidRPr="003609E1">
        <w:t xml:space="preserve">The respondents’ point in limine of </w:t>
      </w:r>
      <w:r w:rsidR="00F654CD" w:rsidRPr="003609E1">
        <w:rPr>
          <w:i/>
          <w:iCs/>
        </w:rPr>
        <w:t>lis pendens</w:t>
      </w:r>
      <w:r w:rsidR="00F654CD" w:rsidRPr="003609E1">
        <w:t xml:space="preserve"> is upheld.</w:t>
      </w:r>
    </w:p>
    <w:p w14:paraId="3D3867D5" w14:textId="77777777" w:rsidR="009667AB" w:rsidRPr="009667AB" w:rsidRDefault="009667AB" w:rsidP="009667AB">
      <w:pPr>
        <w:pStyle w:val="ListParagraph"/>
        <w:spacing w:line="360" w:lineRule="auto"/>
        <w:ind w:left="1131"/>
        <w:jc w:val="both"/>
        <w:rPr>
          <w:rFonts w:ascii="Arial" w:hAnsi="Arial" w:cs="Arial"/>
          <w:sz w:val="24"/>
          <w:szCs w:val="24"/>
        </w:rPr>
      </w:pPr>
    </w:p>
    <w:p w14:paraId="069118A6" w14:textId="5DC8F996" w:rsidR="009667AB" w:rsidRPr="003609E1" w:rsidRDefault="003609E1" w:rsidP="003609E1">
      <w:pPr>
        <w:ind w:left="1131" w:hanging="564"/>
      </w:pPr>
      <w:r w:rsidRPr="009667AB">
        <w:rPr>
          <w:spacing w:val="0"/>
          <w:lang w:val="en-US"/>
        </w:rPr>
        <w:t>2.</w:t>
      </w:r>
      <w:r w:rsidRPr="009667AB">
        <w:rPr>
          <w:spacing w:val="0"/>
          <w:lang w:val="en-US"/>
        </w:rPr>
        <w:tab/>
      </w:r>
      <w:r w:rsidR="00F654CD" w:rsidRPr="003609E1">
        <w:t xml:space="preserve">The applicants must pay the respondents’ costs in this application, such costs to include the costs consequent upon the employment of one </w:t>
      </w:r>
      <w:proofErr w:type="gramStart"/>
      <w:r w:rsidR="00F654CD" w:rsidRPr="003609E1">
        <w:t>instructing</w:t>
      </w:r>
      <w:proofErr w:type="gramEnd"/>
      <w:r w:rsidR="00F654CD" w:rsidRPr="003609E1">
        <w:t xml:space="preserve"> and one instructed counsel. </w:t>
      </w:r>
    </w:p>
    <w:p w14:paraId="396C9328" w14:textId="77777777" w:rsidR="009667AB" w:rsidRPr="009667AB" w:rsidRDefault="009667AB" w:rsidP="009667AB">
      <w:pPr>
        <w:pStyle w:val="ListParagraph"/>
        <w:rPr>
          <w:rFonts w:ascii="Arial" w:hAnsi="Arial" w:cs="Arial"/>
          <w:sz w:val="24"/>
          <w:szCs w:val="24"/>
        </w:rPr>
      </w:pPr>
    </w:p>
    <w:p w14:paraId="094594F0" w14:textId="381E8AAB" w:rsidR="009667AB" w:rsidRPr="003609E1" w:rsidRDefault="003609E1" w:rsidP="003609E1">
      <w:pPr>
        <w:ind w:left="1131" w:hanging="564"/>
      </w:pPr>
      <w:r w:rsidRPr="009667AB">
        <w:rPr>
          <w:spacing w:val="0"/>
          <w:lang w:val="en-US"/>
        </w:rPr>
        <w:t>3.</w:t>
      </w:r>
      <w:r w:rsidRPr="009667AB">
        <w:rPr>
          <w:spacing w:val="0"/>
          <w:lang w:val="en-US"/>
        </w:rPr>
        <w:tab/>
      </w:r>
      <w:r w:rsidR="00F654CD" w:rsidRPr="003609E1">
        <w:t xml:space="preserve">The matter is postponed to </w:t>
      </w:r>
      <w:r w:rsidR="008D7D64" w:rsidRPr="003609E1">
        <w:rPr>
          <w:b/>
        </w:rPr>
        <w:t>29 April 2024</w:t>
      </w:r>
      <w:r w:rsidR="00A4008E" w:rsidRPr="003609E1">
        <w:rPr>
          <w:b/>
        </w:rPr>
        <w:t xml:space="preserve"> </w:t>
      </w:r>
      <w:r w:rsidR="00A4008E" w:rsidRPr="003609E1">
        <w:rPr>
          <w:bCs/>
        </w:rPr>
        <w:t xml:space="preserve">at </w:t>
      </w:r>
      <w:r w:rsidR="00A4008E" w:rsidRPr="003609E1">
        <w:rPr>
          <w:b/>
          <w:bCs/>
        </w:rPr>
        <w:t>15h30</w:t>
      </w:r>
      <w:r w:rsidR="00F654CD" w:rsidRPr="003609E1">
        <w:t xml:space="preserve"> for a Status hearing.</w:t>
      </w:r>
    </w:p>
    <w:p w14:paraId="45D5CE5D" w14:textId="77777777" w:rsidR="009667AB" w:rsidRPr="009667AB" w:rsidRDefault="009667AB" w:rsidP="009667AB">
      <w:pPr>
        <w:pStyle w:val="ListParagraph"/>
        <w:rPr>
          <w:rFonts w:ascii="Arial" w:hAnsi="Arial" w:cs="Arial"/>
          <w:sz w:val="24"/>
          <w:szCs w:val="24"/>
        </w:rPr>
      </w:pPr>
    </w:p>
    <w:p w14:paraId="120D3FFE" w14:textId="466A5EDC" w:rsidR="00F654CD" w:rsidRPr="003609E1" w:rsidRDefault="003609E1" w:rsidP="003609E1">
      <w:pPr>
        <w:ind w:left="1131" w:hanging="564"/>
      </w:pPr>
      <w:r w:rsidRPr="009667AB">
        <w:rPr>
          <w:spacing w:val="0"/>
          <w:lang w:val="en-US"/>
        </w:rPr>
        <w:lastRenderedPageBreak/>
        <w:t>4.</w:t>
      </w:r>
      <w:r w:rsidRPr="009667AB">
        <w:rPr>
          <w:spacing w:val="0"/>
          <w:lang w:val="en-US"/>
        </w:rPr>
        <w:tab/>
      </w:r>
      <w:r w:rsidR="00F654CD" w:rsidRPr="003609E1">
        <w:t>The pa</w:t>
      </w:r>
      <w:r w:rsidR="008D7D64" w:rsidRPr="003609E1">
        <w:t>rties are directed to file a s</w:t>
      </w:r>
      <w:r w:rsidR="00F654CD" w:rsidRPr="003609E1">
        <w:t xml:space="preserve">tatus report outlining the further conduct of the review application on or before </w:t>
      </w:r>
      <w:r w:rsidR="008D7D64" w:rsidRPr="003609E1">
        <w:rPr>
          <w:b/>
        </w:rPr>
        <w:t>24 April 2024</w:t>
      </w:r>
      <w:r w:rsidR="00F654CD" w:rsidRPr="003609E1">
        <w:t>.</w:t>
      </w:r>
    </w:p>
    <w:p w14:paraId="179B689F" w14:textId="77777777" w:rsidR="007826CC" w:rsidRPr="00AD6A86" w:rsidRDefault="007826CC" w:rsidP="008D7D64"/>
    <w:p w14:paraId="085A3C88" w14:textId="77777777" w:rsidR="00EB400C" w:rsidRDefault="00EB400C" w:rsidP="002C1127">
      <w:pPr>
        <w:jc w:val="right"/>
      </w:pPr>
    </w:p>
    <w:p w14:paraId="0C994A7F" w14:textId="10729A70" w:rsidR="00F87870" w:rsidRPr="00AD6A86" w:rsidRDefault="007A0214" w:rsidP="002C1127">
      <w:pPr>
        <w:jc w:val="right"/>
      </w:pPr>
      <w:r w:rsidRPr="00AD6A86">
        <w:t>______________________</w:t>
      </w:r>
    </w:p>
    <w:p w14:paraId="7770FC05" w14:textId="79803785" w:rsidR="007A0214" w:rsidRPr="00AD6A86" w:rsidRDefault="007A0214" w:rsidP="002C1127">
      <w:pPr>
        <w:jc w:val="right"/>
      </w:pPr>
      <w:r w:rsidRPr="00AD6A86">
        <w:t>E M SCHIMMING-CHASE</w:t>
      </w:r>
    </w:p>
    <w:p w14:paraId="2B7DF5E5" w14:textId="77777777" w:rsidR="006F4951" w:rsidRPr="00AD6A86" w:rsidRDefault="007A0214" w:rsidP="002C1127">
      <w:pPr>
        <w:jc w:val="right"/>
      </w:pPr>
      <w:r w:rsidRPr="00AD6A86">
        <w:t>Judge</w:t>
      </w:r>
    </w:p>
    <w:p w14:paraId="24BBAFFA" w14:textId="77777777" w:rsidR="009667AB" w:rsidRDefault="009667AB" w:rsidP="00F654CD">
      <w:pPr>
        <w:widowControl/>
        <w:spacing w:line="240" w:lineRule="auto"/>
        <w:jc w:val="left"/>
      </w:pPr>
    </w:p>
    <w:p w14:paraId="0E37B1AE" w14:textId="77777777" w:rsidR="009667AB" w:rsidRDefault="009667AB" w:rsidP="00F654CD">
      <w:pPr>
        <w:widowControl/>
        <w:spacing w:line="240" w:lineRule="auto"/>
        <w:jc w:val="left"/>
      </w:pPr>
    </w:p>
    <w:p w14:paraId="09A80B26" w14:textId="77777777" w:rsidR="009667AB" w:rsidRDefault="009667AB" w:rsidP="00F654CD">
      <w:pPr>
        <w:widowControl/>
        <w:spacing w:line="240" w:lineRule="auto"/>
        <w:jc w:val="left"/>
      </w:pPr>
    </w:p>
    <w:p w14:paraId="0EC0675B" w14:textId="77777777" w:rsidR="009667AB" w:rsidRDefault="009667AB" w:rsidP="00F654CD">
      <w:pPr>
        <w:widowControl/>
        <w:spacing w:line="240" w:lineRule="auto"/>
        <w:jc w:val="left"/>
      </w:pPr>
    </w:p>
    <w:p w14:paraId="0649CA88" w14:textId="77777777" w:rsidR="009667AB" w:rsidRDefault="009667AB" w:rsidP="00F654CD">
      <w:pPr>
        <w:widowControl/>
        <w:spacing w:line="240" w:lineRule="auto"/>
        <w:jc w:val="left"/>
      </w:pPr>
    </w:p>
    <w:p w14:paraId="57EB66EC" w14:textId="77777777" w:rsidR="009667AB" w:rsidRDefault="009667AB" w:rsidP="00F654CD">
      <w:pPr>
        <w:widowControl/>
        <w:spacing w:line="240" w:lineRule="auto"/>
        <w:jc w:val="left"/>
      </w:pPr>
    </w:p>
    <w:p w14:paraId="7CD84951" w14:textId="77777777" w:rsidR="009667AB" w:rsidRDefault="009667AB" w:rsidP="00F654CD">
      <w:pPr>
        <w:widowControl/>
        <w:spacing w:line="240" w:lineRule="auto"/>
        <w:jc w:val="left"/>
      </w:pPr>
    </w:p>
    <w:p w14:paraId="1081A39C" w14:textId="77777777" w:rsidR="009667AB" w:rsidRDefault="009667AB" w:rsidP="00F654CD">
      <w:pPr>
        <w:widowControl/>
        <w:spacing w:line="240" w:lineRule="auto"/>
        <w:jc w:val="left"/>
      </w:pPr>
    </w:p>
    <w:p w14:paraId="586E62D3" w14:textId="77777777" w:rsidR="009667AB" w:rsidRDefault="009667AB" w:rsidP="00F654CD">
      <w:pPr>
        <w:widowControl/>
        <w:spacing w:line="240" w:lineRule="auto"/>
        <w:jc w:val="left"/>
      </w:pPr>
    </w:p>
    <w:p w14:paraId="1DD2199D" w14:textId="77777777" w:rsidR="009667AB" w:rsidRDefault="009667AB" w:rsidP="00F654CD">
      <w:pPr>
        <w:widowControl/>
        <w:spacing w:line="240" w:lineRule="auto"/>
        <w:jc w:val="left"/>
      </w:pPr>
    </w:p>
    <w:p w14:paraId="202D5129" w14:textId="77777777" w:rsidR="009667AB" w:rsidRDefault="009667AB" w:rsidP="00F654CD">
      <w:pPr>
        <w:widowControl/>
        <w:spacing w:line="240" w:lineRule="auto"/>
        <w:jc w:val="left"/>
      </w:pPr>
    </w:p>
    <w:p w14:paraId="058F636C" w14:textId="77777777" w:rsidR="009667AB" w:rsidRDefault="009667AB" w:rsidP="00F654CD">
      <w:pPr>
        <w:widowControl/>
        <w:spacing w:line="240" w:lineRule="auto"/>
        <w:jc w:val="left"/>
      </w:pPr>
    </w:p>
    <w:p w14:paraId="68E5CB52" w14:textId="77777777" w:rsidR="009667AB" w:rsidRDefault="009667AB" w:rsidP="00F654CD">
      <w:pPr>
        <w:widowControl/>
        <w:spacing w:line="240" w:lineRule="auto"/>
        <w:jc w:val="left"/>
      </w:pPr>
    </w:p>
    <w:p w14:paraId="52B6059E" w14:textId="77777777" w:rsidR="009667AB" w:rsidRDefault="009667AB" w:rsidP="00F654CD">
      <w:pPr>
        <w:widowControl/>
        <w:spacing w:line="240" w:lineRule="auto"/>
        <w:jc w:val="left"/>
      </w:pPr>
    </w:p>
    <w:p w14:paraId="2C026FC4" w14:textId="77777777" w:rsidR="009667AB" w:rsidRDefault="009667AB" w:rsidP="00F654CD">
      <w:pPr>
        <w:widowControl/>
        <w:spacing w:line="240" w:lineRule="auto"/>
        <w:jc w:val="left"/>
      </w:pPr>
    </w:p>
    <w:p w14:paraId="74868539" w14:textId="77777777" w:rsidR="009667AB" w:rsidRDefault="009667AB" w:rsidP="00F654CD">
      <w:pPr>
        <w:widowControl/>
        <w:spacing w:line="240" w:lineRule="auto"/>
        <w:jc w:val="left"/>
      </w:pPr>
    </w:p>
    <w:p w14:paraId="67B1BF6F" w14:textId="77777777" w:rsidR="009667AB" w:rsidRDefault="009667AB" w:rsidP="00F654CD">
      <w:pPr>
        <w:widowControl/>
        <w:spacing w:line="240" w:lineRule="auto"/>
        <w:jc w:val="left"/>
      </w:pPr>
    </w:p>
    <w:p w14:paraId="2909FC89" w14:textId="77777777" w:rsidR="009667AB" w:rsidRDefault="009667AB" w:rsidP="00F654CD">
      <w:pPr>
        <w:widowControl/>
        <w:spacing w:line="240" w:lineRule="auto"/>
        <w:jc w:val="left"/>
      </w:pPr>
    </w:p>
    <w:p w14:paraId="7F29ED3B" w14:textId="77777777" w:rsidR="009667AB" w:rsidRDefault="009667AB" w:rsidP="00F654CD">
      <w:pPr>
        <w:widowControl/>
        <w:spacing w:line="240" w:lineRule="auto"/>
        <w:jc w:val="left"/>
      </w:pPr>
    </w:p>
    <w:p w14:paraId="067EEBFF" w14:textId="77777777" w:rsidR="009667AB" w:rsidRDefault="009667AB" w:rsidP="00F654CD">
      <w:pPr>
        <w:widowControl/>
        <w:spacing w:line="240" w:lineRule="auto"/>
        <w:jc w:val="left"/>
      </w:pPr>
    </w:p>
    <w:p w14:paraId="4E3036FB" w14:textId="77777777" w:rsidR="009667AB" w:rsidRDefault="009667AB" w:rsidP="00F654CD">
      <w:pPr>
        <w:widowControl/>
        <w:spacing w:line="240" w:lineRule="auto"/>
        <w:jc w:val="left"/>
      </w:pPr>
    </w:p>
    <w:p w14:paraId="2ABA0E81" w14:textId="77777777" w:rsidR="009667AB" w:rsidRDefault="009667AB" w:rsidP="00F654CD">
      <w:pPr>
        <w:widowControl/>
        <w:spacing w:line="240" w:lineRule="auto"/>
        <w:jc w:val="left"/>
      </w:pPr>
    </w:p>
    <w:p w14:paraId="3ECB441A" w14:textId="77777777" w:rsidR="009667AB" w:rsidRDefault="009667AB" w:rsidP="00F654CD">
      <w:pPr>
        <w:widowControl/>
        <w:spacing w:line="240" w:lineRule="auto"/>
        <w:jc w:val="left"/>
      </w:pPr>
    </w:p>
    <w:p w14:paraId="1700801A" w14:textId="77777777" w:rsidR="009667AB" w:rsidRDefault="009667AB" w:rsidP="00F654CD">
      <w:pPr>
        <w:widowControl/>
        <w:spacing w:line="240" w:lineRule="auto"/>
        <w:jc w:val="left"/>
      </w:pPr>
    </w:p>
    <w:p w14:paraId="093F1315" w14:textId="77777777" w:rsidR="009667AB" w:rsidRDefault="009667AB" w:rsidP="00F654CD">
      <w:pPr>
        <w:widowControl/>
        <w:spacing w:line="240" w:lineRule="auto"/>
        <w:jc w:val="left"/>
      </w:pPr>
    </w:p>
    <w:p w14:paraId="53CBB17E" w14:textId="77777777" w:rsidR="009667AB" w:rsidRDefault="009667AB" w:rsidP="00F654CD">
      <w:pPr>
        <w:widowControl/>
        <w:spacing w:line="240" w:lineRule="auto"/>
        <w:jc w:val="left"/>
      </w:pPr>
    </w:p>
    <w:p w14:paraId="486516B3" w14:textId="77777777" w:rsidR="009667AB" w:rsidRDefault="009667AB" w:rsidP="00F654CD">
      <w:pPr>
        <w:widowControl/>
        <w:spacing w:line="240" w:lineRule="auto"/>
        <w:jc w:val="left"/>
      </w:pPr>
    </w:p>
    <w:p w14:paraId="6924A864" w14:textId="77777777" w:rsidR="009667AB" w:rsidRDefault="009667AB" w:rsidP="00F654CD">
      <w:pPr>
        <w:widowControl/>
        <w:spacing w:line="240" w:lineRule="auto"/>
        <w:jc w:val="left"/>
      </w:pPr>
    </w:p>
    <w:p w14:paraId="3E5CFC97" w14:textId="77777777" w:rsidR="009667AB" w:rsidRDefault="009667AB" w:rsidP="00F654CD">
      <w:pPr>
        <w:widowControl/>
        <w:spacing w:line="240" w:lineRule="auto"/>
        <w:jc w:val="left"/>
      </w:pPr>
    </w:p>
    <w:p w14:paraId="1052F4CA" w14:textId="77777777" w:rsidR="009667AB" w:rsidRDefault="009667AB" w:rsidP="00F654CD">
      <w:pPr>
        <w:widowControl/>
        <w:spacing w:line="240" w:lineRule="auto"/>
        <w:jc w:val="left"/>
      </w:pPr>
    </w:p>
    <w:p w14:paraId="5985AB3E" w14:textId="77777777" w:rsidR="009667AB" w:rsidRDefault="009667AB" w:rsidP="00F654CD">
      <w:pPr>
        <w:widowControl/>
        <w:spacing w:line="240" w:lineRule="auto"/>
        <w:jc w:val="left"/>
      </w:pPr>
    </w:p>
    <w:p w14:paraId="78075CC3" w14:textId="77777777" w:rsidR="009667AB" w:rsidRDefault="009667AB" w:rsidP="00F654CD">
      <w:pPr>
        <w:widowControl/>
        <w:spacing w:line="240" w:lineRule="auto"/>
        <w:jc w:val="left"/>
      </w:pPr>
    </w:p>
    <w:p w14:paraId="4D7E8C9D" w14:textId="77777777" w:rsidR="009667AB" w:rsidRDefault="009667AB" w:rsidP="00F654CD">
      <w:pPr>
        <w:widowControl/>
        <w:spacing w:line="240" w:lineRule="auto"/>
        <w:jc w:val="left"/>
      </w:pPr>
    </w:p>
    <w:p w14:paraId="0AE552E8" w14:textId="77777777" w:rsidR="009667AB" w:rsidRDefault="009667AB" w:rsidP="00F654CD">
      <w:pPr>
        <w:widowControl/>
        <w:spacing w:line="240" w:lineRule="auto"/>
        <w:jc w:val="left"/>
      </w:pPr>
    </w:p>
    <w:p w14:paraId="1AAA4907" w14:textId="77777777" w:rsidR="009667AB" w:rsidRDefault="009667AB" w:rsidP="00F654CD">
      <w:pPr>
        <w:widowControl/>
        <w:spacing w:line="240" w:lineRule="auto"/>
        <w:jc w:val="left"/>
      </w:pPr>
    </w:p>
    <w:p w14:paraId="11C0549B" w14:textId="77777777" w:rsidR="009667AB" w:rsidRDefault="009667AB" w:rsidP="00F654CD">
      <w:pPr>
        <w:widowControl/>
        <w:spacing w:line="240" w:lineRule="auto"/>
        <w:jc w:val="left"/>
      </w:pPr>
    </w:p>
    <w:p w14:paraId="1A7A8797" w14:textId="77777777" w:rsidR="009667AB" w:rsidRDefault="009667AB" w:rsidP="00F654CD">
      <w:pPr>
        <w:widowControl/>
        <w:spacing w:line="240" w:lineRule="auto"/>
        <w:jc w:val="left"/>
      </w:pPr>
    </w:p>
    <w:p w14:paraId="69B0780E" w14:textId="77777777" w:rsidR="009667AB" w:rsidRDefault="009667AB" w:rsidP="00F654CD">
      <w:pPr>
        <w:widowControl/>
        <w:spacing w:line="240" w:lineRule="auto"/>
        <w:jc w:val="left"/>
      </w:pPr>
    </w:p>
    <w:p w14:paraId="31FAA6E0" w14:textId="77777777" w:rsidR="009667AB" w:rsidRDefault="009667AB" w:rsidP="00F654CD">
      <w:pPr>
        <w:widowControl/>
        <w:spacing w:line="240" w:lineRule="auto"/>
        <w:jc w:val="left"/>
      </w:pPr>
    </w:p>
    <w:p w14:paraId="70B2F9A8" w14:textId="5FF3BD8D" w:rsidR="00853524" w:rsidRPr="00AD6A86" w:rsidRDefault="00853524" w:rsidP="00F654CD">
      <w:pPr>
        <w:widowControl/>
        <w:spacing w:line="240" w:lineRule="auto"/>
        <w:jc w:val="left"/>
      </w:pPr>
      <w:r w:rsidRPr="00AD6A86">
        <w:t>APPEARANCES</w:t>
      </w:r>
    </w:p>
    <w:p w14:paraId="1D20A8C1" w14:textId="77777777" w:rsidR="00853524" w:rsidRPr="00AD6A86" w:rsidRDefault="00853524" w:rsidP="002C1127">
      <w:pPr>
        <w:pStyle w:val="BodyText"/>
        <w:autoSpaceDE w:val="0"/>
        <w:autoSpaceDN w:val="0"/>
        <w:adjustRightInd w:val="0"/>
        <w:spacing w:line="360" w:lineRule="auto"/>
        <w:jc w:val="both"/>
        <w:rPr>
          <w:rFonts w:ascii="Arial" w:hAnsi="Arial" w:cs="Arial"/>
        </w:rPr>
      </w:pPr>
    </w:p>
    <w:p w14:paraId="19FED7E2" w14:textId="55B7078B" w:rsidR="00252CA1" w:rsidRPr="00AD6A86" w:rsidRDefault="00252CA1" w:rsidP="002C1127">
      <w:r w:rsidRPr="00AD6A86">
        <w:t>APPLICANTS</w:t>
      </w:r>
      <w:r w:rsidR="00CA7A0D" w:rsidRPr="00AD6A86">
        <w:t>:</w:t>
      </w:r>
      <w:r w:rsidR="00AB38A7" w:rsidRPr="00AD6A86">
        <w:tab/>
      </w:r>
      <w:r w:rsidR="00AB38A7" w:rsidRPr="00AD6A86">
        <w:tab/>
      </w:r>
      <w:r w:rsidR="004D74FE" w:rsidRPr="00AD6A86">
        <w:tab/>
      </w:r>
      <w:r w:rsidRPr="00AD6A86">
        <w:tab/>
      </w:r>
      <w:r w:rsidRPr="00AD6A86">
        <w:tab/>
        <w:t xml:space="preserve">T Muhongo </w:t>
      </w:r>
    </w:p>
    <w:p w14:paraId="10DE8750" w14:textId="5EA31100" w:rsidR="00557AEB" w:rsidRPr="00AD6A86" w:rsidRDefault="00252CA1" w:rsidP="002C1127">
      <w:pPr>
        <w:ind w:left="4320" w:firstLine="720"/>
      </w:pPr>
      <w:r w:rsidRPr="00AD6A86">
        <w:t>(</w:t>
      </w:r>
      <w:r w:rsidR="008D7D64">
        <w:t>w</w:t>
      </w:r>
      <w:r w:rsidR="007826CC" w:rsidRPr="00AD6A86">
        <w:t>ith</w:t>
      </w:r>
      <w:r w:rsidR="008D7D64">
        <w:t xml:space="preserve"> him, </w:t>
      </w:r>
      <w:r w:rsidRPr="00AD6A86">
        <w:t>S Shimakeleni)</w:t>
      </w:r>
    </w:p>
    <w:p w14:paraId="70DFBAFB" w14:textId="77777777" w:rsidR="00252CA1" w:rsidRPr="00AD6A86" w:rsidRDefault="00252CA1" w:rsidP="002C1127">
      <w:r w:rsidRPr="00AD6A86">
        <w:tab/>
      </w:r>
      <w:r w:rsidRPr="00AD6A86">
        <w:tab/>
      </w:r>
      <w:r w:rsidRPr="00AD6A86">
        <w:tab/>
      </w:r>
      <w:r w:rsidRPr="00AD6A86">
        <w:tab/>
      </w:r>
      <w:r w:rsidRPr="00AD6A86">
        <w:tab/>
      </w:r>
      <w:r w:rsidRPr="00AD6A86">
        <w:tab/>
      </w:r>
      <w:r w:rsidRPr="00AD6A86">
        <w:tab/>
        <w:t xml:space="preserve">Instructed by </w:t>
      </w:r>
    </w:p>
    <w:p w14:paraId="08F6BE5F" w14:textId="5B7B1C9C" w:rsidR="00853524" w:rsidRPr="00AD6A86" w:rsidRDefault="00252CA1" w:rsidP="009667AB">
      <w:pPr>
        <w:ind w:left="5040"/>
      </w:pPr>
      <w:proofErr w:type="spellStart"/>
      <w:r w:rsidRPr="00AD6A86">
        <w:t>Shakwa</w:t>
      </w:r>
      <w:proofErr w:type="spellEnd"/>
      <w:r w:rsidRPr="00AD6A86">
        <w:t xml:space="preserve"> Nyambe &amp; Co. Inc.,</w:t>
      </w:r>
      <w:r w:rsidR="009667AB">
        <w:t xml:space="preserve"> </w:t>
      </w:r>
      <w:r w:rsidRPr="00AD6A86">
        <w:t>Windhoek</w:t>
      </w:r>
    </w:p>
    <w:p w14:paraId="697F5C31" w14:textId="77777777" w:rsidR="00853524" w:rsidRPr="00AD6A86" w:rsidRDefault="00853524" w:rsidP="002C1127">
      <w:pPr>
        <w:autoSpaceDE w:val="0"/>
        <w:autoSpaceDN w:val="0"/>
        <w:adjustRightInd w:val="0"/>
        <w:ind w:left="3780" w:hanging="3780"/>
      </w:pPr>
    </w:p>
    <w:p w14:paraId="354F969E" w14:textId="77777777" w:rsidR="00252CA1" w:rsidRPr="00AD6A86" w:rsidRDefault="00252CA1" w:rsidP="002C1127">
      <w:pPr>
        <w:autoSpaceDE w:val="0"/>
        <w:autoSpaceDN w:val="0"/>
        <w:adjustRightInd w:val="0"/>
        <w:ind w:left="3780" w:hanging="3780"/>
      </w:pPr>
    </w:p>
    <w:p w14:paraId="16E4E40B" w14:textId="0DD67A67" w:rsidR="00252CA1" w:rsidRPr="00AD6A86" w:rsidRDefault="009667AB" w:rsidP="002C1127">
      <w:pPr>
        <w:autoSpaceDE w:val="0"/>
        <w:autoSpaceDN w:val="0"/>
        <w:adjustRightInd w:val="0"/>
        <w:ind w:left="2880" w:hanging="2880"/>
      </w:pPr>
      <w:r>
        <w:t>1</w:t>
      </w:r>
      <w:r w:rsidRPr="009667AB">
        <w:rPr>
          <w:vertAlign w:val="superscript"/>
        </w:rPr>
        <w:t>ST</w:t>
      </w:r>
      <w:r>
        <w:t xml:space="preserve"> TO 17</w:t>
      </w:r>
      <w:r w:rsidRPr="009667AB">
        <w:rPr>
          <w:vertAlign w:val="superscript"/>
        </w:rPr>
        <w:t>TH</w:t>
      </w:r>
      <w:r w:rsidR="00257A6D" w:rsidRPr="00AD6A86">
        <w:t xml:space="preserve"> R</w:t>
      </w:r>
      <w:r w:rsidR="008D7D64">
        <w:t>ESPONDENTS:</w:t>
      </w:r>
      <w:r w:rsidR="008D7D64">
        <w:tab/>
      </w:r>
      <w:r>
        <w:tab/>
      </w:r>
      <w:r>
        <w:tab/>
      </w:r>
      <w:r w:rsidR="00252CA1" w:rsidRPr="00AD6A86">
        <w:t>S Rukoro</w:t>
      </w:r>
    </w:p>
    <w:p w14:paraId="3CEE8BB5" w14:textId="77777777" w:rsidR="00252CA1" w:rsidRPr="00AD6A86" w:rsidRDefault="00252CA1" w:rsidP="002C1127">
      <w:pPr>
        <w:autoSpaceDE w:val="0"/>
        <w:autoSpaceDN w:val="0"/>
        <w:adjustRightInd w:val="0"/>
        <w:ind w:left="2880" w:hanging="2880"/>
      </w:pPr>
      <w:r w:rsidRPr="00AD6A86">
        <w:tab/>
      </w:r>
      <w:r w:rsidRPr="00AD6A86">
        <w:tab/>
      </w:r>
      <w:r w:rsidRPr="00AD6A86">
        <w:tab/>
      </w:r>
      <w:r w:rsidRPr="00AD6A86">
        <w:tab/>
        <w:t xml:space="preserve">Instructed by </w:t>
      </w:r>
    </w:p>
    <w:p w14:paraId="2E244673" w14:textId="23848DE1" w:rsidR="00252CA1" w:rsidRPr="00AD6A86" w:rsidRDefault="00252CA1" w:rsidP="002C1127">
      <w:pPr>
        <w:autoSpaceDE w:val="0"/>
        <w:autoSpaceDN w:val="0"/>
        <w:adjustRightInd w:val="0"/>
        <w:ind w:left="4320" w:firstLine="720"/>
      </w:pPr>
      <w:r w:rsidRPr="00AD6A86">
        <w:t>Williams Legal Practitioners</w:t>
      </w:r>
      <w:r w:rsidR="008D7D64">
        <w:t>,</w:t>
      </w:r>
    </w:p>
    <w:p w14:paraId="0DF6EE82" w14:textId="3CED0BAA" w:rsidR="00252CA1" w:rsidRPr="00AD6A86" w:rsidRDefault="00252CA1" w:rsidP="002C1127">
      <w:pPr>
        <w:autoSpaceDE w:val="0"/>
        <w:autoSpaceDN w:val="0"/>
        <w:adjustRightInd w:val="0"/>
        <w:ind w:left="4320" w:firstLine="720"/>
      </w:pPr>
      <w:r w:rsidRPr="00AD6A86">
        <w:t>Windhoek</w:t>
      </w:r>
    </w:p>
    <w:bookmarkEnd w:id="0"/>
    <w:p w14:paraId="3DB3F75C" w14:textId="10607882" w:rsidR="0002788F" w:rsidRPr="00AD6A86" w:rsidRDefault="0002788F" w:rsidP="009667AB">
      <w:pPr>
        <w:autoSpaceDE w:val="0"/>
        <w:autoSpaceDN w:val="0"/>
        <w:adjustRightInd w:val="0"/>
      </w:pPr>
    </w:p>
    <w:sectPr w:rsidR="0002788F" w:rsidRPr="00AD6A86" w:rsidSect="003A2D78">
      <w:headerReference w:type="even" r:id="rId13"/>
      <w:headerReference w:type="default" r:id="rId14"/>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7BDB" w14:textId="77777777" w:rsidR="00427565" w:rsidRPr="00AD6A86" w:rsidRDefault="00427565" w:rsidP="00867D73">
      <w:pPr>
        <w:spacing w:line="240" w:lineRule="auto"/>
      </w:pPr>
      <w:r w:rsidRPr="00AD6A86">
        <w:separator/>
      </w:r>
    </w:p>
  </w:endnote>
  <w:endnote w:type="continuationSeparator" w:id="0">
    <w:p w14:paraId="4E1AFC6E" w14:textId="77777777" w:rsidR="00427565" w:rsidRPr="00AD6A86" w:rsidRDefault="00427565" w:rsidP="00867D73">
      <w:pPr>
        <w:spacing w:line="240" w:lineRule="auto"/>
      </w:pPr>
      <w:r w:rsidRPr="00AD6A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D079" w14:textId="77777777" w:rsidR="00427565" w:rsidRPr="00AD6A86" w:rsidRDefault="00427565" w:rsidP="00867D73">
      <w:pPr>
        <w:spacing w:line="240" w:lineRule="auto"/>
      </w:pPr>
      <w:r w:rsidRPr="00AD6A86">
        <w:separator/>
      </w:r>
    </w:p>
  </w:footnote>
  <w:footnote w:type="continuationSeparator" w:id="0">
    <w:p w14:paraId="21839F6C" w14:textId="77777777" w:rsidR="00427565" w:rsidRPr="00AD6A86" w:rsidRDefault="00427565" w:rsidP="00867D73">
      <w:pPr>
        <w:spacing w:line="240" w:lineRule="auto"/>
      </w:pPr>
      <w:r w:rsidRPr="00AD6A86">
        <w:continuationSeparator/>
      </w:r>
    </w:p>
  </w:footnote>
  <w:footnote w:id="1">
    <w:p w14:paraId="7DC933BA" w14:textId="19989924" w:rsidR="00E82446" w:rsidRPr="00AD6A86" w:rsidRDefault="00E82446" w:rsidP="009667AB">
      <w:pPr>
        <w:pStyle w:val="FootnoteText"/>
        <w:spacing w:line="240" w:lineRule="auto"/>
      </w:pPr>
      <w:r w:rsidRPr="00AD6A86">
        <w:rPr>
          <w:rStyle w:val="FootnoteReference"/>
        </w:rPr>
        <w:footnoteRef/>
      </w:r>
      <w:r w:rsidRPr="00AD6A86">
        <w:rPr>
          <w:i/>
        </w:rPr>
        <w:t xml:space="preserve">Schuette v Schuette </w:t>
      </w:r>
      <w:r w:rsidRPr="00AD6A86">
        <w:t>(HC-MD-CIV-MOT-GEN-2019/00376) [2020] NAHCMD 426 (18 September 2020).</w:t>
      </w:r>
    </w:p>
  </w:footnote>
  <w:footnote w:id="2">
    <w:p w14:paraId="5E70AB5D" w14:textId="654B1B44" w:rsidR="00E82446" w:rsidRPr="00AD6A86" w:rsidRDefault="00E82446" w:rsidP="009667AB">
      <w:pPr>
        <w:pStyle w:val="FootnoteText"/>
        <w:spacing w:line="240" w:lineRule="auto"/>
      </w:pPr>
      <w:r w:rsidRPr="00AD6A86">
        <w:rPr>
          <w:rStyle w:val="FootnoteReference"/>
        </w:rPr>
        <w:footnoteRef/>
      </w:r>
      <w:r w:rsidRPr="00AD6A86">
        <w:t xml:space="preserve"> LAWSA Vol 3 para 247; </w:t>
      </w:r>
      <w:r w:rsidRPr="00AD6A86">
        <w:rPr>
          <w:i/>
        </w:rPr>
        <w:t>Baker v The Messenger of Court for the District of Walvis Bay</w:t>
      </w:r>
      <w:r w:rsidRPr="00AD6A86">
        <w:t xml:space="preserve"> (A 309/2015 [2015]</w:t>
      </w:r>
      <w:r w:rsidR="009667AB">
        <w:t xml:space="preserve"> NAHCMD 286 (23 November 2015)</w:t>
      </w:r>
      <w:r w:rsidRPr="00AD6A86">
        <w:t xml:space="preserve"> para 6.</w:t>
      </w:r>
    </w:p>
  </w:footnote>
  <w:footnote w:id="3">
    <w:p w14:paraId="236B03E6" w14:textId="77777777" w:rsidR="00E82446" w:rsidRPr="00AD6A86" w:rsidRDefault="00E82446" w:rsidP="009667AB">
      <w:pPr>
        <w:pStyle w:val="FootnoteText"/>
        <w:spacing w:line="240" w:lineRule="auto"/>
      </w:pPr>
      <w:r w:rsidRPr="00AD6A86">
        <w:rPr>
          <w:rStyle w:val="FootnoteReference"/>
          <w:i/>
        </w:rPr>
        <w:footnoteRef/>
      </w:r>
      <w:r w:rsidRPr="00AD6A86">
        <w:rPr>
          <w:i/>
        </w:rPr>
        <w:t xml:space="preserve"> Caesarstone Sdot-Yam Ltd v The World of Marble and Granite and Others</w:t>
      </w:r>
      <w:r w:rsidRPr="00AD6A86">
        <w:t xml:space="preserve"> 2013 (6) SA 499 (SCA).</w:t>
      </w:r>
    </w:p>
  </w:footnote>
  <w:footnote w:id="4">
    <w:p w14:paraId="5B8164B9" w14:textId="77777777" w:rsidR="00E82446" w:rsidRPr="00AD6A86" w:rsidRDefault="00E82446" w:rsidP="009667AB">
      <w:pPr>
        <w:pStyle w:val="FootnoteText"/>
        <w:spacing w:line="240" w:lineRule="auto"/>
      </w:pPr>
      <w:r w:rsidRPr="00AD6A86">
        <w:rPr>
          <w:rStyle w:val="FootnoteReference"/>
        </w:rPr>
        <w:footnoteRef/>
      </w:r>
      <w:r w:rsidRPr="00AD6A86">
        <w:t xml:space="preserve"> </w:t>
      </w:r>
      <w:r w:rsidRPr="00AD6A86">
        <w:rPr>
          <w:i/>
        </w:rPr>
        <w:t>Marks &amp; Kantor v Van Diggelen</w:t>
      </w:r>
      <w:r w:rsidRPr="00AD6A86">
        <w:t xml:space="preserve"> 1935 TPD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2146" w14:textId="77777777" w:rsidR="001763A5" w:rsidRPr="00AD6A86" w:rsidRDefault="001763A5">
    <w:pPr>
      <w:pStyle w:val="Header"/>
      <w:framePr w:wrap="around" w:vAnchor="text" w:hAnchor="margin" w:xAlign="right" w:y="1"/>
      <w:rPr>
        <w:rStyle w:val="PageNumber"/>
      </w:rPr>
    </w:pPr>
    <w:r w:rsidRPr="00AD6A86">
      <w:rPr>
        <w:rStyle w:val="PageNumber"/>
      </w:rPr>
      <w:fldChar w:fldCharType="begin"/>
    </w:r>
    <w:r w:rsidRPr="00AD6A86">
      <w:rPr>
        <w:rStyle w:val="PageNumber"/>
      </w:rPr>
      <w:instrText xml:space="preserve">PAGE  </w:instrText>
    </w:r>
    <w:r w:rsidRPr="00AD6A86">
      <w:rPr>
        <w:rStyle w:val="PageNumber"/>
      </w:rPr>
      <w:fldChar w:fldCharType="end"/>
    </w:r>
  </w:p>
  <w:p w14:paraId="4B334462" w14:textId="77777777" w:rsidR="001763A5" w:rsidRPr="00AD6A86" w:rsidRDefault="001763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F73B" w14:textId="77777777" w:rsidR="001763A5" w:rsidRPr="00AD6A86" w:rsidRDefault="001763A5">
    <w:pPr>
      <w:ind w:right="360"/>
      <w:jc w:val="right"/>
    </w:pPr>
    <w:r w:rsidRPr="00AD6A86">
      <w:rPr>
        <w:rStyle w:val="PageNumber"/>
      </w:rPr>
      <w:fldChar w:fldCharType="begin"/>
    </w:r>
    <w:r w:rsidRPr="00AD6A86">
      <w:rPr>
        <w:rStyle w:val="PageNumber"/>
      </w:rPr>
      <w:instrText xml:space="preserve"> PAGE </w:instrText>
    </w:r>
    <w:r w:rsidRPr="00AD6A86">
      <w:rPr>
        <w:rStyle w:val="PageNumber"/>
      </w:rPr>
      <w:fldChar w:fldCharType="separate"/>
    </w:r>
    <w:r w:rsidR="0002145C">
      <w:rPr>
        <w:rStyle w:val="PageNumber"/>
        <w:noProof/>
      </w:rPr>
      <w:t>13</w:t>
    </w:r>
    <w:r w:rsidRPr="00AD6A8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30AD34"/>
    <w:lvl w:ilvl="0">
      <w:start w:val="1"/>
      <w:numFmt w:val="decimal"/>
      <w:pStyle w:val="Heading1"/>
      <w:lvlText w:val="[%1]"/>
      <w:lvlJc w:val="left"/>
      <w:pPr>
        <w:ind w:left="360" w:hanging="360"/>
      </w:pPr>
      <w:rPr>
        <w:rFonts w:ascii="Arial" w:hAnsi="Arial" w:hint="default"/>
        <w:i w:val="0"/>
        <w:sz w:val="24"/>
      </w:rPr>
    </w:lvl>
    <w:lvl w:ilvl="1">
      <w:start w:val="1"/>
      <w:numFmt w:val="decimal"/>
      <w:pStyle w:val="Heading2"/>
      <w:lvlText w:val="%1.%2."/>
      <w:legacy w:legacy="1" w:legacySpace="0" w:legacyIndent="720"/>
      <w:lvlJc w:val="left"/>
      <w:pPr>
        <w:ind w:left="1457" w:hanging="720"/>
      </w:pPr>
    </w:lvl>
    <w:lvl w:ilvl="2">
      <w:start w:val="1"/>
      <w:numFmt w:val="decimal"/>
      <w:pStyle w:val="Heading3"/>
      <w:lvlText w:val="%1.%2.%3."/>
      <w:legacy w:legacy="1" w:legacySpace="0" w:legacyIndent="720"/>
      <w:lvlJc w:val="left"/>
      <w:pPr>
        <w:ind w:left="2177" w:hanging="720"/>
      </w:pPr>
    </w:lvl>
    <w:lvl w:ilvl="3">
      <w:start w:val="1"/>
      <w:numFmt w:val="decimal"/>
      <w:pStyle w:val="Heading4"/>
      <w:lvlText w:val="%1.%2.%3.%4."/>
      <w:legacy w:legacy="1" w:legacySpace="0" w:legacyIndent="720"/>
      <w:lvlJc w:val="left"/>
      <w:pPr>
        <w:ind w:left="2897" w:hanging="720"/>
      </w:pPr>
    </w:lvl>
    <w:lvl w:ilvl="4">
      <w:start w:val="1"/>
      <w:numFmt w:val="decimal"/>
      <w:pStyle w:val="Heading5"/>
      <w:lvlText w:val="%1.%2.%3.%4.%5."/>
      <w:legacy w:legacy="1" w:legacySpace="0" w:legacyIndent="720"/>
      <w:lvlJc w:val="left"/>
      <w:pPr>
        <w:ind w:left="3617" w:hanging="720"/>
      </w:pPr>
    </w:lvl>
    <w:lvl w:ilvl="5">
      <w:start w:val="1"/>
      <w:numFmt w:val="decimal"/>
      <w:pStyle w:val="Heading6"/>
      <w:lvlText w:val="%1.%2.%3.%4.%5.%6."/>
      <w:legacy w:legacy="1" w:legacySpace="0" w:legacyIndent="720"/>
      <w:lvlJc w:val="left"/>
      <w:pPr>
        <w:ind w:left="4337" w:hanging="720"/>
      </w:pPr>
    </w:lvl>
    <w:lvl w:ilvl="6">
      <w:start w:val="1"/>
      <w:numFmt w:val="decimal"/>
      <w:pStyle w:val="Heading7"/>
      <w:lvlText w:val="%1.%2.%3.%4.%5.%6.%7."/>
      <w:legacy w:legacy="1" w:legacySpace="0" w:legacyIndent="720"/>
      <w:lvlJc w:val="left"/>
      <w:pPr>
        <w:ind w:left="5057" w:hanging="720"/>
      </w:pPr>
    </w:lvl>
    <w:lvl w:ilvl="7">
      <w:start w:val="1"/>
      <w:numFmt w:val="decimal"/>
      <w:pStyle w:val="Heading8"/>
      <w:lvlText w:val="%1.%2.%3.%4.%5.%6.%7.%8."/>
      <w:legacy w:legacy="1" w:legacySpace="0" w:legacyIndent="720"/>
      <w:lvlJc w:val="left"/>
      <w:pPr>
        <w:ind w:left="5777" w:hanging="720"/>
      </w:pPr>
    </w:lvl>
    <w:lvl w:ilvl="8">
      <w:start w:val="1"/>
      <w:numFmt w:val="decimal"/>
      <w:pStyle w:val="Heading9"/>
      <w:lvlText w:val="%1.%2.%3.%4.%5.%6.%7.%8.%9."/>
      <w:legacy w:legacy="1" w:legacySpace="0" w:legacyIndent="720"/>
      <w:lvlJc w:val="left"/>
      <w:pPr>
        <w:ind w:left="6497" w:hanging="720"/>
      </w:pPr>
    </w:lvl>
  </w:abstractNum>
  <w:abstractNum w:abstractNumId="1" w15:restartNumberingAfterBreak="0">
    <w:nsid w:val="0053195E"/>
    <w:multiLevelType w:val="hybridMultilevel"/>
    <w:tmpl w:val="6DAA9918"/>
    <w:lvl w:ilvl="0" w:tplc="C5F4D2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6052FE"/>
    <w:multiLevelType w:val="hybridMultilevel"/>
    <w:tmpl w:val="FFFFFFFF"/>
    <w:lvl w:ilvl="0" w:tplc="3FCCCB72">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02F5398"/>
    <w:multiLevelType w:val="hybridMultilevel"/>
    <w:tmpl w:val="2710FBBA"/>
    <w:lvl w:ilvl="0" w:tplc="C6844928">
      <w:start w:val="1"/>
      <w:numFmt w:val="decimal"/>
      <w:lvlText w:val="[%1]"/>
      <w:lvlJc w:val="left"/>
      <w:pPr>
        <w:ind w:left="720" w:hanging="360"/>
      </w:pPr>
      <w:rPr>
        <w:rFonts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CE4BBE"/>
    <w:multiLevelType w:val="hybridMultilevel"/>
    <w:tmpl w:val="5414161E"/>
    <w:lvl w:ilvl="0" w:tplc="4A7E12FA">
      <w:start w:val="1"/>
      <w:numFmt w:val="decimal"/>
      <w:lvlText w:val="%1."/>
      <w:lvlJc w:val="left"/>
      <w:pPr>
        <w:ind w:left="1131" w:hanging="5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EA70A8C"/>
    <w:multiLevelType w:val="hybridMultilevel"/>
    <w:tmpl w:val="E2C07C78"/>
    <w:lvl w:ilvl="0" w:tplc="9B0A5B26">
      <w:start w:val="1"/>
      <w:numFmt w:val="lowerLetter"/>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6" w15:restartNumberingAfterBreak="0">
    <w:nsid w:val="48DA1B27"/>
    <w:multiLevelType w:val="multilevel"/>
    <w:tmpl w:val="FFFFFFFF"/>
    <w:styleLink w:val="Style3"/>
    <w:lvl w:ilvl="0">
      <w:start w:val="1"/>
      <w:numFmt w:val="decimal"/>
      <w:lvlText w:val="%1."/>
      <w:lvlJc w:val="left"/>
      <w:pPr>
        <w:ind w:left="851" w:hanging="851"/>
      </w:pPr>
      <w:rPr>
        <w:rFonts w:cs="Times New Roman" w:hint="default"/>
      </w:rPr>
    </w:lvl>
    <w:lvl w:ilvl="1">
      <w:start w:val="1"/>
      <w:numFmt w:val="decimal"/>
      <w:lvlText w:val="%1.%2."/>
      <w:lvlJc w:val="left"/>
      <w:pPr>
        <w:ind w:left="1702" w:hanging="851"/>
      </w:pPr>
      <w:rPr>
        <w:rFonts w:cs="Times New Roman" w:hint="default"/>
      </w:rPr>
    </w:lvl>
    <w:lvl w:ilvl="2">
      <w:start w:val="1"/>
      <w:numFmt w:val="decimal"/>
      <w:lvlText w:val="%1.%2.%3."/>
      <w:lvlJc w:val="left"/>
      <w:pPr>
        <w:ind w:left="2553" w:hanging="851"/>
      </w:pPr>
      <w:rPr>
        <w:rFonts w:cs="Times New Roman" w:hint="default"/>
      </w:rPr>
    </w:lvl>
    <w:lvl w:ilvl="3">
      <w:start w:val="1"/>
      <w:numFmt w:val="decimal"/>
      <w:lvlText w:val="%1.%2.%3.%4."/>
      <w:lvlJc w:val="left"/>
      <w:pPr>
        <w:ind w:left="3404" w:hanging="851"/>
      </w:pPr>
      <w:rPr>
        <w:rFonts w:cs="Times New Roman" w:hint="default"/>
      </w:rPr>
    </w:lvl>
    <w:lvl w:ilvl="4">
      <w:start w:val="1"/>
      <w:numFmt w:val="decimal"/>
      <w:lvlText w:val="%1.%2.%3.%4.%5."/>
      <w:lvlJc w:val="left"/>
      <w:pPr>
        <w:ind w:left="4255" w:hanging="851"/>
      </w:pPr>
      <w:rPr>
        <w:rFonts w:cs="Times New Roman" w:hint="default"/>
      </w:rPr>
    </w:lvl>
    <w:lvl w:ilvl="5">
      <w:start w:val="1"/>
      <w:numFmt w:val="decimal"/>
      <w:lvlText w:val="%1.%2.%3.%4.%5.%6."/>
      <w:lvlJc w:val="left"/>
      <w:pPr>
        <w:ind w:left="5106" w:hanging="851"/>
      </w:pPr>
      <w:rPr>
        <w:rFonts w:cs="Times New Roman" w:hint="default"/>
      </w:rPr>
    </w:lvl>
    <w:lvl w:ilvl="6">
      <w:start w:val="1"/>
      <w:numFmt w:val="decimal"/>
      <w:lvlText w:val="%1.%2.%3.%4.%5.%6.%7."/>
      <w:lvlJc w:val="left"/>
      <w:pPr>
        <w:ind w:left="5957" w:hanging="851"/>
      </w:pPr>
      <w:rPr>
        <w:rFonts w:cs="Times New Roman" w:hint="default"/>
      </w:rPr>
    </w:lvl>
    <w:lvl w:ilvl="7">
      <w:start w:val="1"/>
      <w:numFmt w:val="decimal"/>
      <w:lvlText w:val="%1.%2.%3.%4.%5.%6.%7.%8."/>
      <w:lvlJc w:val="left"/>
      <w:pPr>
        <w:ind w:left="6808" w:hanging="851"/>
      </w:pPr>
      <w:rPr>
        <w:rFonts w:cs="Times New Roman" w:hint="default"/>
      </w:rPr>
    </w:lvl>
    <w:lvl w:ilvl="8">
      <w:start w:val="1"/>
      <w:numFmt w:val="decimal"/>
      <w:lvlText w:val="%1.%2.%3.%4.%5.%6.%7.%8.%9."/>
      <w:lvlJc w:val="left"/>
      <w:pPr>
        <w:ind w:left="7659" w:hanging="851"/>
      </w:pPr>
      <w:rPr>
        <w:rFonts w:cs="Times New Roman" w:hint="default"/>
      </w:rPr>
    </w:lvl>
  </w:abstractNum>
  <w:abstractNum w:abstractNumId="7" w15:restartNumberingAfterBreak="0">
    <w:nsid w:val="4A764AB2"/>
    <w:multiLevelType w:val="hybridMultilevel"/>
    <w:tmpl w:val="CEE4B240"/>
    <w:lvl w:ilvl="0" w:tplc="938255E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3163EED"/>
    <w:multiLevelType w:val="hybridMultilevel"/>
    <w:tmpl w:val="80A0EDDA"/>
    <w:lvl w:ilvl="0" w:tplc="AA32DD2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420249C"/>
    <w:multiLevelType w:val="hybridMultilevel"/>
    <w:tmpl w:val="767A9C3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15938E7"/>
    <w:multiLevelType w:val="hybridMultilevel"/>
    <w:tmpl w:val="E9807352"/>
    <w:lvl w:ilvl="0" w:tplc="4F18AE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213692989">
    <w:abstractNumId w:val="0"/>
  </w:num>
  <w:num w:numId="2" w16cid:durableId="1101488869">
    <w:abstractNumId w:val="5"/>
  </w:num>
  <w:num w:numId="3" w16cid:durableId="1571036625">
    <w:abstractNumId w:val="6"/>
  </w:num>
  <w:num w:numId="4" w16cid:durableId="1561286515">
    <w:abstractNumId w:val="2"/>
  </w:num>
  <w:num w:numId="5" w16cid:durableId="867566764">
    <w:abstractNumId w:val="3"/>
  </w:num>
  <w:num w:numId="6" w16cid:durableId="1176577973">
    <w:abstractNumId w:val="9"/>
  </w:num>
  <w:num w:numId="7" w16cid:durableId="1778401922">
    <w:abstractNumId w:val="7"/>
  </w:num>
  <w:num w:numId="8" w16cid:durableId="526798577">
    <w:abstractNumId w:val="1"/>
  </w:num>
  <w:num w:numId="9" w16cid:durableId="1068457970">
    <w:abstractNumId w:val="10"/>
  </w:num>
  <w:num w:numId="10" w16cid:durableId="627586048">
    <w:abstractNumId w:val="0"/>
  </w:num>
  <w:num w:numId="11" w16cid:durableId="1852180862">
    <w:abstractNumId w:val="8"/>
  </w:num>
  <w:num w:numId="12" w16cid:durableId="169923485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524"/>
    <w:rsid w:val="00001E44"/>
    <w:rsid w:val="000031EF"/>
    <w:rsid w:val="000032C3"/>
    <w:rsid w:val="000033AC"/>
    <w:rsid w:val="00006380"/>
    <w:rsid w:val="00013787"/>
    <w:rsid w:val="00014BCA"/>
    <w:rsid w:val="00015776"/>
    <w:rsid w:val="00017277"/>
    <w:rsid w:val="0002107A"/>
    <w:rsid w:val="0002145C"/>
    <w:rsid w:val="00024282"/>
    <w:rsid w:val="0002788F"/>
    <w:rsid w:val="000324F3"/>
    <w:rsid w:val="00032868"/>
    <w:rsid w:val="00034CA6"/>
    <w:rsid w:val="00035A34"/>
    <w:rsid w:val="00041F29"/>
    <w:rsid w:val="000650A6"/>
    <w:rsid w:val="000668A3"/>
    <w:rsid w:val="00074F31"/>
    <w:rsid w:val="00077F1B"/>
    <w:rsid w:val="00080E54"/>
    <w:rsid w:val="00081CB5"/>
    <w:rsid w:val="00082049"/>
    <w:rsid w:val="00082878"/>
    <w:rsid w:val="00083864"/>
    <w:rsid w:val="00085D64"/>
    <w:rsid w:val="00093246"/>
    <w:rsid w:val="000947C8"/>
    <w:rsid w:val="0009615A"/>
    <w:rsid w:val="000975CD"/>
    <w:rsid w:val="000A1490"/>
    <w:rsid w:val="000A1EA7"/>
    <w:rsid w:val="000A3C39"/>
    <w:rsid w:val="000B4551"/>
    <w:rsid w:val="000C4C44"/>
    <w:rsid w:val="000C7BC1"/>
    <w:rsid w:val="000D0345"/>
    <w:rsid w:val="000D10C7"/>
    <w:rsid w:val="000D2E51"/>
    <w:rsid w:val="000D46F1"/>
    <w:rsid w:val="000D490E"/>
    <w:rsid w:val="000D5E8F"/>
    <w:rsid w:val="000D617B"/>
    <w:rsid w:val="000E0362"/>
    <w:rsid w:val="000E0FAF"/>
    <w:rsid w:val="000E3FE9"/>
    <w:rsid w:val="000E46CB"/>
    <w:rsid w:val="000E65A3"/>
    <w:rsid w:val="000F3ED7"/>
    <w:rsid w:val="000F5A6B"/>
    <w:rsid w:val="000F7F8A"/>
    <w:rsid w:val="00101535"/>
    <w:rsid w:val="0010488E"/>
    <w:rsid w:val="00104DAF"/>
    <w:rsid w:val="001052DB"/>
    <w:rsid w:val="00105F7F"/>
    <w:rsid w:val="001063BC"/>
    <w:rsid w:val="00107EC3"/>
    <w:rsid w:val="001142EB"/>
    <w:rsid w:val="00117DD9"/>
    <w:rsid w:val="0012127D"/>
    <w:rsid w:val="00124DB7"/>
    <w:rsid w:val="00127413"/>
    <w:rsid w:val="0013308E"/>
    <w:rsid w:val="00133A6B"/>
    <w:rsid w:val="00134504"/>
    <w:rsid w:val="0013550D"/>
    <w:rsid w:val="00135CE1"/>
    <w:rsid w:val="0013643A"/>
    <w:rsid w:val="001504BD"/>
    <w:rsid w:val="0015132E"/>
    <w:rsid w:val="00151716"/>
    <w:rsid w:val="00151F0F"/>
    <w:rsid w:val="001524C6"/>
    <w:rsid w:val="001600D3"/>
    <w:rsid w:val="00162FA5"/>
    <w:rsid w:val="001654F8"/>
    <w:rsid w:val="00167E9F"/>
    <w:rsid w:val="001722CE"/>
    <w:rsid w:val="001763A5"/>
    <w:rsid w:val="00180697"/>
    <w:rsid w:val="001825ED"/>
    <w:rsid w:val="00185174"/>
    <w:rsid w:val="00185464"/>
    <w:rsid w:val="00185F97"/>
    <w:rsid w:val="00192CD0"/>
    <w:rsid w:val="00194721"/>
    <w:rsid w:val="00194F99"/>
    <w:rsid w:val="001972F1"/>
    <w:rsid w:val="001A30E2"/>
    <w:rsid w:val="001A3CCC"/>
    <w:rsid w:val="001A7E56"/>
    <w:rsid w:val="001B250B"/>
    <w:rsid w:val="001C265E"/>
    <w:rsid w:val="001C373C"/>
    <w:rsid w:val="001C6D6E"/>
    <w:rsid w:val="001C727F"/>
    <w:rsid w:val="001D395A"/>
    <w:rsid w:val="001E2BD4"/>
    <w:rsid w:val="001E2F76"/>
    <w:rsid w:val="001E46B3"/>
    <w:rsid w:val="001E68C5"/>
    <w:rsid w:val="001E7D1F"/>
    <w:rsid w:val="001F2226"/>
    <w:rsid w:val="001F224C"/>
    <w:rsid w:val="001F53A8"/>
    <w:rsid w:val="001F6CB9"/>
    <w:rsid w:val="00205C34"/>
    <w:rsid w:val="00207445"/>
    <w:rsid w:val="002076B9"/>
    <w:rsid w:val="0021062F"/>
    <w:rsid w:val="00211FC4"/>
    <w:rsid w:val="00214E82"/>
    <w:rsid w:val="00215EE2"/>
    <w:rsid w:val="00216928"/>
    <w:rsid w:val="00222B92"/>
    <w:rsid w:val="00223760"/>
    <w:rsid w:val="00223853"/>
    <w:rsid w:val="00224C85"/>
    <w:rsid w:val="0022575A"/>
    <w:rsid w:val="002321EB"/>
    <w:rsid w:val="00232BC7"/>
    <w:rsid w:val="00233FD2"/>
    <w:rsid w:val="00236A53"/>
    <w:rsid w:val="00236F7F"/>
    <w:rsid w:val="00237278"/>
    <w:rsid w:val="00240999"/>
    <w:rsid w:val="00252CA1"/>
    <w:rsid w:val="00253AD4"/>
    <w:rsid w:val="00257A6D"/>
    <w:rsid w:val="00264113"/>
    <w:rsid w:val="00264F29"/>
    <w:rsid w:val="00266D54"/>
    <w:rsid w:val="00272166"/>
    <w:rsid w:val="00273FF7"/>
    <w:rsid w:val="00275A78"/>
    <w:rsid w:val="0027726D"/>
    <w:rsid w:val="00277E0C"/>
    <w:rsid w:val="00282F0B"/>
    <w:rsid w:val="002843A7"/>
    <w:rsid w:val="00286BCF"/>
    <w:rsid w:val="0029008B"/>
    <w:rsid w:val="00290BA6"/>
    <w:rsid w:val="00293B94"/>
    <w:rsid w:val="00295F30"/>
    <w:rsid w:val="002A3963"/>
    <w:rsid w:val="002A4407"/>
    <w:rsid w:val="002A7BCD"/>
    <w:rsid w:val="002B1453"/>
    <w:rsid w:val="002B24D7"/>
    <w:rsid w:val="002B404A"/>
    <w:rsid w:val="002B649A"/>
    <w:rsid w:val="002B7EB5"/>
    <w:rsid w:val="002C0AFA"/>
    <w:rsid w:val="002C0FDA"/>
    <w:rsid w:val="002C1127"/>
    <w:rsid w:val="002C2652"/>
    <w:rsid w:val="002C2F11"/>
    <w:rsid w:val="002C3BF8"/>
    <w:rsid w:val="002C5710"/>
    <w:rsid w:val="002C6EAD"/>
    <w:rsid w:val="002D08EE"/>
    <w:rsid w:val="002D0A9C"/>
    <w:rsid w:val="002D55FB"/>
    <w:rsid w:val="002D6836"/>
    <w:rsid w:val="002D6DC4"/>
    <w:rsid w:val="002E2FE3"/>
    <w:rsid w:val="002E380C"/>
    <w:rsid w:val="002E6D61"/>
    <w:rsid w:val="002F0D47"/>
    <w:rsid w:val="002F282C"/>
    <w:rsid w:val="002F3597"/>
    <w:rsid w:val="002F3943"/>
    <w:rsid w:val="002F5DE6"/>
    <w:rsid w:val="002F7CE5"/>
    <w:rsid w:val="003021F2"/>
    <w:rsid w:val="003026C6"/>
    <w:rsid w:val="00307810"/>
    <w:rsid w:val="003120DC"/>
    <w:rsid w:val="003209AD"/>
    <w:rsid w:val="00321344"/>
    <w:rsid w:val="0032353B"/>
    <w:rsid w:val="003257F8"/>
    <w:rsid w:val="003268A7"/>
    <w:rsid w:val="003301EA"/>
    <w:rsid w:val="0033760D"/>
    <w:rsid w:val="00342EA3"/>
    <w:rsid w:val="00345B94"/>
    <w:rsid w:val="00347D03"/>
    <w:rsid w:val="00353BFC"/>
    <w:rsid w:val="003541F0"/>
    <w:rsid w:val="00356A42"/>
    <w:rsid w:val="0036073B"/>
    <w:rsid w:val="003609E1"/>
    <w:rsid w:val="00363F84"/>
    <w:rsid w:val="00365E11"/>
    <w:rsid w:val="00366DD4"/>
    <w:rsid w:val="00371771"/>
    <w:rsid w:val="00373CDF"/>
    <w:rsid w:val="00375877"/>
    <w:rsid w:val="00376F2E"/>
    <w:rsid w:val="003770DD"/>
    <w:rsid w:val="00377146"/>
    <w:rsid w:val="0038146D"/>
    <w:rsid w:val="00391047"/>
    <w:rsid w:val="00394F13"/>
    <w:rsid w:val="003A2D78"/>
    <w:rsid w:val="003A658C"/>
    <w:rsid w:val="003A667E"/>
    <w:rsid w:val="003B17B0"/>
    <w:rsid w:val="003C3E52"/>
    <w:rsid w:val="003C4FE9"/>
    <w:rsid w:val="003C688F"/>
    <w:rsid w:val="003C68BC"/>
    <w:rsid w:val="003D0692"/>
    <w:rsid w:val="003D70E6"/>
    <w:rsid w:val="003E2C84"/>
    <w:rsid w:val="003E6394"/>
    <w:rsid w:val="003F4C9B"/>
    <w:rsid w:val="003F5776"/>
    <w:rsid w:val="003F5D86"/>
    <w:rsid w:val="003F6093"/>
    <w:rsid w:val="003F6F0E"/>
    <w:rsid w:val="00401696"/>
    <w:rsid w:val="00402B4C"/>
    <w:rsid w:val="00403581"/>
    <w:rsid w:val="00407F6A"/>
    <w:rsid w:val="00411947"/>
    <w:rsid w:val="00414D46"/>
    <w:rsid w:val="00415368"/>
    <w:rsid w:val="00416BF9"/>
    <w:rsid w:val="0042062E"/>
    <w:rsid w:val="00422052"/>
    <w:rsid w:val="004249DF"/>
    <w:rsid w:val="00427565"/>
    <w:rsid w:val="00430666"/>
    <w:rsid w:val="00431883"/>
    <w:rsid w:val="00432DD2"/>
    <w:rsid w:val="00437C3B"/>
    <w:rsid w:val="00440A23"/>
    <w:rsid w:val="00441514"/>
    <w:rsid w:val="0044394F"/>
    <w:rsid w:val="0045356F"/>
    <w:rsid w:val="00454374"/>
    <w:rsid w:val="00454387"/>
    <w:rsid w:val="0047151B"/>
    <w:rsid w:val="00477C7E"/>
    <w:rsid w:val="00481067"/>
    <w:rsid w:val="0049214A"/>
    <w:rsid w:val="00493313"/>
    <w:rsid w:val="00494E3E"/>
    <w:rsid w:val="00497186"/>
    <w:rsid w:val="004A09FE"/>
    <w:rsid w:val="004A334F"/>
    <w:rsid w:val="004A3FAF"/>
    <w:rsid w:val="004B0186"/>
    <w:rsid w:val="004B1A8D"/>
    <w:rsid w:val="004B2778"/>
    <w:rsid w:val="004B2F6B"/>
    <w:rsid w:val="004B3FC8"/>
    <w:rsid w:val="004B6808"/>
    <w:rsid w:val="004C08CA"/>
    <w:rsid w:val="004C713A"/>
    <w:rsid w:val="004D008F"/>
    <w:rsid w:val="004D0825"/>
    <w:rsid w:val="004D4D6A"/>
    <w:rsid w:val="004D6455"/>
    <w:rsid w:val="004D74FE"/>
    <w:rsid w:val="004E16FD"/>
    <w:rsid w:val="004E3AEA"/>
    <w:rsid w:val="004E5A2D"/>
    <w:rsid w:val="004E5D09"/>
    <w:rsid w:val="004F3D79"/>
    <w:rsid w:val="0050055E"/>
    <w:rsid w:val="005011FC"/>
    <w:rsid w:val="00502D18"/>
    <w:rsid w:val="00503322"/>
    <w:rsid w:val="00504963"/>
    <w:rsid w:val="005074E2"/>
    <w:rsid w:val="0050752F"/>
    <w:rsid w:val="0051185B"/>
    <w:rsid w:val="00513A6C"/>
    <w:rsid w:val="00520746"/>
    <w:rsid w:val="0052266A"/>
    <w:rsid w:val="00522C0C"/>
    <w:rsid w:val="00526BB3"/>
    <w:rsid w:val="00531A75"/>
    <w:rsid w:val="00534EC6"/>
    <w:rsid w:val="00536902"/>
    <w:rsid w:val="00540279"/>
    <w:rsid w:val="0054293F"/>
    <w:rsid w:val="0054325F"/>
    <w:rsid w:val="00543A77"/>
    <w:rsid w:val="00544A04"/>
    <w:rsid w:val="0054574A"/>
    <w:rsid w:val="0054645F"/>
    <w:rsid w:val="0055592A"/>
    <w:rsid w:val="00556AB7"/>
    <w:rsid w:val="005574AC"/>
    <w:rsid w:val="00557AEB"/>
    <w:rsid w:val="00563225"/>
    <w:rsid w:val="00564D69"/>
    <w:rsid w:val="0056666C"/>
    <w:rsid w:val="0057017B"/>
    <w:rsid w:val="005807C6"/>
    <w:rsid w:val="00580EC0"/>
    <w:rsid w:val="00584090"/>
    <w:rsid w:val="00584386"/>
    <w:rsid w:val="00587A6D"/>
    <w:rsid w:val="00592735"/>
    <w:rsid w:val="00592A09"/>
    <w:rsid w:val="0059551B"/>
    <w:rsid w:val="00595564"/>
    <w:rsid w:val="005A159F"/>
    <w:rsid w:val="005A2EF0"/>
    <w:rsid w:val="005A4EBE"/>
    <w:rsid w:val="005A4EEF"/>
    <w:rsid w:val="005B04B8"/>
    <w:rsid w:val="005B1248"/>
    <w:rsid w:val="005B16DE"/>
    <w:rsid w:val="005B214F"/>
    <w:rsid w:val="005B44AB"/>
    <w:rsid w:val="005B6574"/>
    <w:rsid w:val="005B6D6B"/>
    <w:rsid w:val="005B78E3"/>
    <w:rsid w:val="005C4415"/>
    <w:rsid w:val="005C5E86"/>
    <w:rsid w:val="005C64A0"/>
    <w:rsid w:val="005E3952"/>
    <w:rsid w:val="005E660A"/>
    <w:rsid w:val="005F2313"/>
    <w:rsid w:val="005F7044"/>
    <w:rsid w:val="00601805"/>
    <w:rsid w:val="006073AD"/>
    <w:rsid w:val="006146AC"/>
    <w:rsid w:val="00614FD9"/>
    <w:rsid w:val="00615357"/>
    <w:rsid w:val="00617355"/>
    <w:rsid w:val="00622317"/>
    <w:rsid w:val="00626C68"/>
    <w:rsid w:val="00630F7F"/>
    <w:rsid w:val="006325D7"/>
    <w:rsid w:val="00643D8B"/>
    <w:rsid w:val="00645659"/>
    <w:rsid w:val="00645C38"/>
    <w:rsid w:val="0065490F"/>
    <w:rsid w:val="0065520D"/>
    <w:rsid w:val="00656954"/>
    <w:rsid w:val="006573D4"/>
    <w:rsid w:val="006621B1"/>
    <w:rsid w:val="0066258F"/>
    <w:rsid w:val="00665516"/>
    <w:rsid w:val="00670212"/>
    <w:rsid w:val="006814B2"/>
    <w:rsid w:val="00686502"/>
    <w:rsid w:val="00691776"/>
    <w:rsid w:val="00692251"/>
    <w:rsid w:val="00693234"/>
    <w:rsid w:val="00693E19"/>
    <w:rsid w:val="00695A77"/>
    <w:rsid w:val="006962C7"/>
    <w:rsid w:val="00697FDF"/>
    <w:rsid w:val="006A1816"/>
    <w:rsid w:val="006A3550"/>
    <w:rsid w:val="006A536E"/>
    <w:rsid w:val="006B3CA5"/>
    <w:rsid w:val="006B3D22"/>
    <w:rsid w:val="006B3EE2"/>
    <w:rsid w:val="006B41EA"/>
    <w:rsid w:val="006B4221"/>
    <w:rsid w:val="006B43BC"/>
    <w:rsid w:val="006B447D"/>
    <w:rsid w:val="006C0C27"/>
    <w:rsid w:val="006C4FAE"/>
    <w:rsid w:val="006C5179"/>
    <w:rsid w:val="006C5A54"/>
    <w:rsid w:val="006C62AA"/>
    <w:rsid w:val="006C6C7E"/>
    <w:rsid w:val="006C7BCF"/>
    <w:rsid w:val="006D0B11"/>
    <w:rsid w:val="006D18B6"/>
    <w:rsid w:val="006E4851"/>
    <w:rsid w:val="006E69A8"/>
    <w:rsid w:val="006E6E0C"/>
    <w:rsid w:val="006F2DCE"/>
    <w:rsid w:val="006F3377"/>
    <w:rsid w:val="006F3647"/>
    <w:rsid w:val="006F4951"/>
    <w:rsid w:val="006F720F"/>
    <w:rsid w:val="007006E5"/>
    <w:rsid w:val="00701020"/>
    <w:rsid w:val="0070659C"/>
    <w:rsid w:val="00706D0C"/>
    <w:rsid w:val="00707393"/>
    <w:rsid w:val="007115EC"/>
    <w:rsid w:val="00716ABC"/>
    <w:rsid w:val="007200FB"/>
    <w:rsid w:val="0072586B"/>
    <w:rsid w:val="00726BD2"/>
    <w:rsid w:val="007442DD"/>
    <w:rsid w:val="0075040C"/>
    <w:rsid w:val="0075412A"/>
    <w:rsid w:val="007545C5"/>
    <w:rsid w:val="0075583D"/>
    <w:rsid w:val="007569F3"/>
    <w:rsid w:val="00762395"/>
    <w:rsid w:val="00765944"/>
    <w:rsid w:val="00770964"/>
    <w:rsid w:val="007728EA"/>
    <w:rsid w:val="00772A1E"/>
    <w:rsid w:val="00780102"/>
    <w:rsid w:val="007805FF"/>
    <w:rsid w:val="007826CC"/>
    <w:rsid w:val="00783ADD"/>
    <w:rsid w:val="00785D24"/>
    <w:rsid w:val="0078681D"/>
    <w:rsid w:val="00790F9D"/>
    <w:rsid w:val="00791B7C"/>
    <w:rsid w:val="00793FBD"/>
    <w:rsid w:val="00796490"/>
    <w:rsid w:val="007968BD"/>
    <w:rsid w:val="007A0214"/>
    <w:rsid w:val="007A2422"/>
    <w:rsid w:val="007A4E2C"/>
    <w:rsid w:val="007A677C"/>
    <w:rsid w:val="007A6A2C"/>
    <w:rsid w:val="007B1A63"/>
    <w:rsid w:val="007B1D29"/>
    <w:rsid w:val="007B2F5C"/>
    <w:rsid w:val="007B7AF6"/>
    <w:rsid w:val="007C076E"/>
    <w:rsid w:val="007C323B"/>
    <w:rsid w:val="007C3638"/>
    <w:rsid w:val="007C5690"/>
    <w:rsid w:val="007C70A7"/>
    <w:rsid w:val="007D0A02"/>
    <w:rsid w:val="007D3D85"/>
    <w:rsid w:val="007E0468"/>
    <w:rsid w:val="007E12E4"/>
    <w:rsid w:val="007E3C56"/>
    <w:rsid w:val="007E57D7"/>
    <w:rsid w:val="007F11A9"/>
    <w:rsid w:val="007F3584"/>
    <w:rsid w:val="007F4943"/>
    <w:rsid w:val="007F5546"/>
    <w:rsid w:val="007F7ABD"/>
    <w:rsid w:val="00805913"/>
    <w:rsid w:val="00806373"/>
    <w:rsid w:val="008077F3"/>
    <w:rsid w:val="00807C3E"/>
    <w:rsid w:val="008106D9"/>
    <w:rsid w:val="00814E3A"/>
    <w:rsid w:val="0081585A"/>
    <w:rsid w:val="0081590F"/>
    <w:rsid w:val="00820B2F"/>
    <w:rsid w:val="0082143E"/>
    <w:rsid w:val="00821F91"/>
    <w:rsid w:val="008246AD"/>
    <w:rsid w:val="00824C4F"/>
    <w:rsid w:val="00824CCD"/>
    <w:rsid w:val="00830470"/>
    <w:rsid w:val="00834FDC"/>
    <w:rsid w:val="00840CA6"/>
    <w:rsid w:val="008411B2"/>
    <w:rsid w:val="00846220"/>
    <w:rsid w:val="00846CFA"/>
    <w:rsid w:val="00850121"/>
    <w:rsid w:val="008507E5"/>
    <w:rsid w:val="00853524"/>
    <w:rsid w:val="00855FAA"/>
    <w:rsid w:val="008571AF"/>
    <w:rsid w:val="00860852"/>
    <w:rsid w:val="008665CF"/>
    <w:rsid w:val="0086661E"/>
    <w:rsid w:val="00867D73"/>
    <w:rsid w:val="00874233"/>
    <w:rsid w:val="008742B5"/>
    <w:rsid w:val="00874A30"/>
    <w:rsid w:val="008802A5"/>
    <w:rsid w:val="0088248A"/>
    <w:rsid w:val="0088723F"/>
    <w:rsid w:val="00892889"/>
    <w:rsid w:val="00893153"/>
    <w:rsid w:val="00894594"/>
    <w:rsid w:val="00895DCD"/>
    <w:rsid w:val="008A1603"/>
    <w:rsid w:val="008A3ED4"/>
    <w:rsid w:val="008A443F"/>
    <w:rsid w:val="008A670E"/>
    <w:rsid w:val="008B02B0"/>
    <w:rsid w:val="008B61FB"/>
    <w:rsid w:val="008C3F7C"/>
    <w:rsid w:val="008D1291"/>
    <w:rsid w:val="008D5108"/>
    <w:rsid w:val="008D5327"/>
    <w:rsid w:val="008D5BB0"/>
    <w:rsid w:val="008D5BCB"/>
    <w:rsid w:val="008D7D64"/>
    <w:rsid w:val="008E084E"/>
    <w:rsid w:val="008E35C3"/>
    <w:rsid w:val="008E3D66"/>
    <w:rsid w:val="008F5D63"/>
    <w:rsid w:val="008F6648"/>
    <w:rsid w:val="008F6D39"/>
    <w:rsid w:val="008F70BF"/>
    <w:rsid w:val="00900EFC"/>
    <w:rsid w:val="00901308"/>
    <w:rsid w:val="00901B41"/>
    <w:rsid w:val="00903BD4"/>
    <w:rsid w:val="009044F5"/>
    <w:rsid w:val="00904FF4"/>
    <w:rsid w:val="0090680C"/>
    <w:rsid w:val="00906D61"/>
    <w:rsid w:val="00913B34"/>
    <w:rsid w:val="009140E2"/>
    <w:rsid w:val="009143FB"/>
    <w:rsid w:val="00914691"/>
    <w:rsid w:val="00914CCA"/>
    <w:rsid w:val="00915DAC"/>
    <w:rsid w:val="0092146F"/>
    <w:rsid w:val="00923EA8"/>
    <w:rsid w:val="00925B98"/>
    <w:rsid w:val="009353AA"/>
    <w:rsid w:val="00935FE5"/>
    <w:rsid w:val="009366F1"/>
    <w:rsid w:val="00942721"/>
    <w:rsid w:val="00942F45"/>
    <w:rsid w:val="00942FC1"/>
    <w:rsid w:val="00947B0C"/>
    <w:rsid w:val="00950B99"/>
    <w:rsid w:val="009524C8"/>
    <w:rsid w:val="00953461"/>
    <w:rsid w:val="0096079D"/>
    <w:rsid w:val="0096179E"/>
    <w:rsid w:val="00965EEF"/>
    <w:rsid w:val="009667AB"/>
    <w:rsid w:val="009701D0"/>
    <w:rsid w:val="00972792"/>
    <w:rsid w:val="00975C6F"/>
    <w:rsid w:val="00976BDB"/>
    <w:rsid w:val="00980F05"/>
    <w:rsid w:val="009824E5"/>
    <w:rsid w:val="00982CBB"/>
    <w:rsid w:val="009920B2"/>
    <w:rsid w:val="0099218B"/>
    <w:rsid w:val="0099254F"/>
    <w:rsid w:val="00993749"/>
    <w:rsid w:val="009956A4"/>
    <w:rsid w:val="009A5552"/>
    <w:rsid w:val="009B1733"/>
    <w:rsid w:val="009B4960"/>
    <w:rsid w:val="009C0647"/>
    <w:rsid w:val="009C1E21"/>
    <w:rsid w:val="009C4558"/>
    <w:rsid w:val="009C59DA"/>
    <w:rsid w:val="009C6166"/>
    <w:rsid w:val="009C799D"/>
    <w:rsid w:val="009E198A"/>
    <w:rsid w:val="009E3131"/>
    <w:rsid w:val="009E38BA"/>
    <w:rsid w:val="009E6964"/>
    <w:rsid w:val="009E69DB"/>
    <w:rsid w:val="009F3851"/>
    <w:rsid w:val="009F40B4"/>
    <w:rsid w:val="009F531F"/>
    <w:rsid w:val="009F6AC2"/>
    <w:rsid w:val="009F7910"/>
    <w:rsid w:val="009F7B94"/>
    <w:rsid w:val="00A038A5"/>
    <w:rsid w:val="00A03D39"/>
    <w:rsid w:val="00A04557"/>
    <w:rsid w:val="00A05272"/>
    <w:rsid w:val="00A054DD"/>
    <w:rsid w:val="00A1110C"/>
    <w:rsid w:val="00A12A12"/>
    <w:rsid w:val="00A134C3"/>
    <w:rsid w:val="00A143D5"/>
    <w:rsid w:val="00A27CB5"/>
    <w:rsid w:val="00A27E29"/>
    <w:rsid w:val="00A4008E"/>
    <w:rsid w:val="00A45119"/>
    <w:rsid w:val="00A57B46"/>
    <w:rsid w:val="00A65FC1"/>
    <w:rsid w:val="00A717DC"/>
    <w:rsid w:val="00A762AE"/>
    <w:rsid w:val="00A8094D"/>
    <w:rsid w:val="00A80EDF"/>
    <w:rsid w:val="00A81142"/>
    <w:rsid w:val="00A824DB"/>
    <w:rsid w:val="00A85C8F"/>
    <w:rsid w:val="00A87EE2"/>
    <w:rsid w:val="00A9094A"/>
    <w:rsid w:val="00A945A6"/>
    <w:rsid w:val="00A94D0B"/>
    <w:rsid w:val="00AA314C"/>
    <w:rsid w:val="00AA58B7"/>
    <w:rsid w:val="00AA671A"/>
    <w:rsid w:val="00AA73BA"/>
    <w:rsid w:val="00AA7797"/>
    <w:rsid w:val="00AA7A97"/>
    <w:rsid w:val="00AB37EC"/>
    <w:rsid w:val="00AB38A7"/>
    <w:rsid w:val="00AB4A8B"/>
    <w:rsid w:val="00AB56AC"/>
    <w:rsid w:val="00AB5D12"/>
    <w:rsid w:val="00AC0486"/>
    <w:rsid w:val="00AC10AF"/>
    <w:rsid w:val="00AC18C6"/>
    <w:rsid w:val="00AC4E09"/>
    <w:rsid w:val="00AC6678"/>
    <w:rsid w:val="00AD1AB7"/>
    <w:rsid w:val="00AD48C9"/>
    <w:rsid w:val="00AD6A86"/>
    <w:rsid w:val="00AE1635"/>
    <w:rsid w:val="00AE41F5"/>
    <w:rsid w:val="00AF2207"/>
    <w:rsid w:val="00AF3EBA"/>
    <w:rsid w:val="00AF7483"/>
    <w:rsid w:val="00B023C5"/>
    <w:rsid w:val="00B03992"/>
    <w:rsid w:val="00B134A7"/>
    <w:rsid w:val="00B13B56"/>
    <w:rsid w:val="00B13E9E"/>
    <w:rsid w:val="00B1412C"/>
    <w:rsid w:val="00B14428"/>
    <w:rsid w:val="00B15B75"/>
    <w:rsid w:val="00B17B51"/>
    <w:rsid w:val="00B211D8"/>
    <w:rsid w:val="00B21F75"/>
    <w:rsid w:val="00B2259D"/>
    <w:rsid w:val="00B23222"/>
    <w:rsid w:val="00B30C58"/>
    <w:rsid w:val="00B322D3"/>
    <w:rsid w:val="00B32490"/>
    <w:rsid w:val="00B37D39"/>
    <w:rsid w:val="00B43ACB"/>
    <w:rsid w:val="00B4760F"/>
    <w:rsid w:val="00B5074D"/>
    <w:rsid w:val="00B51244"/>
    <w:rsid w:val="00B53C15"/>
    <w:rsid w:val="00B60794"/>
    <w:rsid w:val="00B662F2"/>
    <w:rsid w:val="00B67529"/>
    <w:rsid w:val="00B72816"/>
    <w:rsid w:val="00B80D4B"/>
    <w:rsid w:val="00B80DCC"/>
    <w:rsid w:val="00B80EF8"/>
    <w:rsid w:val="00B81E8B"/>
    <w:rsid w:val="00B835CF"/>
    <w:rsid w:val="00B8383F"/>
    <w:rsid w:val="00B902B1"/>
    <w:rsid w:val="00B92EB3"/>
    <w:rsid w:val="00B936E0"/>
    <w:rsid w:val="00B9564A"/>
    <w:rsid w:val="00B95662"/>
    <w:rsid w:val="00B97ECE"/>
    <w:rsid w:val="00BA1E7E"/>
    <w:rsid w:val="00BA23DC"/>
    <w:rsid w:val="00BA2BA0"/>
    <w:rsid w:val="00BA5F62"/>
    <w:rsid w:val="00BA62E3"/>
    <w:rsid w:val="00BA68B4"/>
    <w:rsid w:val="00BB136D"/>
    <w:rsid w:val="00BB32D0"/>
    <w:rsid w:val="00BB5144"/>
    <w:rsid w:val="00BB5369"/>
    <w:rsid w:val="00BB540C"/>
    <w:rsid w:val="00BC0537"/>
    <w:rsid w:val="00BC20F1"/>
    <w:rsid w:val="00BC2EFC"/>
    <w:rsid w:val="00BC303B"/>
    <w:rsid w:val="00BD367D"/>
    <w:rsid w:val="00BD69FC"/>
    <w:rsid w:val="00BF5A23"/>
    <w:rsid w:val="00BF659B"/>
    <w:rsid w:val="00C01D8F"/>
    <w:rsid w:val="00C077DA"/>
    <w:rsid w:val="00C15F41"/>
    <w:rsid w:val="00C2084F"/>
    <w:rsid w:val="00C267F2"/>
    <w:rsid w:val="00C26AB6"/>
    <w:rsid w:val="00C26CDA"/>
    <w:rsid w:val="00C27276"/>
    <w:rsid w:val="00C32061"/>
    <w:rsid w:val="00C321DF"/>
    <w:rsid w:val="00C35AEF"/>
    <w:rsid w:val="00C35B56"/>
    <w:rsid w:val="00C44A9F"/>
    <w:rsid w:val="00C44B26"/>
    <w:rsid w:val="00C47A0D"/>
    <w:rsid w:val="00C53115"/>
    <w:rsid w:val="00C531C6"/>
    <w:rsid w:val="00C54B2F"/>
    <w:rsid w:val="00C54B9D"/>
    <w:rsid w:val="00C56E95"/>
    <w:rsid w:val="00C5752B"/>
    <w:rsid w:val="00C64774"/>
    <w:rsid w:val="00C66DC7"/>
    <w:rsid w:val="00C71D84"/>
    <w:rsid w:val="00C73603"/>
    <w:rsid w:val="00C8033C"/>
    <w:rsid w:val="00C82A83"/>
    <w:rsid w:val="00C831CB"/>
    <w:rsid w:val="00C85BDB"/>
    <w:rsid w:val="00C860B6"/>
    <w:rsid w:val="00C8721C"/>
    <w:rsid w:val="00C90AAD"/>
    <w:rsid w:val="00C916FE"/>
    <w:rsid w:val="00C95549"/>
    <w:rsid w:val="00C97295"/>
    <w:rsid w:val="00CA7A0D"/>
    <w:rsid w:val="00CB1611"/>
    <w:rsid w:val="00CB2721"/>
    <w:rsid w:val="00CB6AAF"/>
    <w:rsid w:val="00CC3224"/>
    <w:rsid w:val="00CC589C"/>
    <w:rsid w:val="00CD1079"/>
    <w:rsid w:val="00CD151B"/>
    <w:rsid w:val="00CD2876"/>
    <w:rsid w:val="00CD7E46"/>
    <w:rsid w:val="00CE1DFF"/>
    <w:rsid w:val="00CF359D"/>
    <w:rsid w:val="00CF4FDD"/>
    <w:rsid w:val="00CF7085"/>
    <w:rsid w:val="00CF7975"/>
    <w:rsid w:val="00D00DC4"/>
    <w:rsid w:val="00D01FBD"/>
    <w:rsid w:val="00D05755"/>
    <w:rsid w:val="00D05F8C"/>
    <w:rsid w:val="00D07825"/>
    <w:rsid w:val="00D1098B"/>
    <w:rsid w:val="00D12275"/>
    <w:rsid w:val="00D14868"/>
    <w:rsid w:val="00D2082C"/>
    <w:rsid w:val="00D24342"/>
    <w:rsid w:val="00D245E3"/>
    <w:rsid w:val="00D25F00"/>
    <w:rsid w:val="00D32E28"/>
    <w:rsid w:val="00D43C9B"/>
    <w:rsid w:val="00D458F4"/>
    <w:rsid w:val="00D529DC"/>
    <w:rsid w:val="00D54280"/>
    <w:rsid w:val="00D54D06"/>
    <w:rsid w:val="00D565A9"/>
    <w:rsid w:val="00D56C6C"/>
    <w:rsid w:val="00D6476E"/>
    <w:rsid w:val="00D6713E"/>
    <w:rsid w:val="00D709D1"/>
    <w:rsid w:val="00D76EEA"/>
    <w:rsid w:val="00D82440"/>
    <w:rsid w:val="00D846C8"/>
    <w:rsid w:val="00D901DB"/>
    <w:rsid w:val="00D92F77"/>
    <w:rsid w:val="00D9358D"/>
    <w:rsid w:val="00D93E8F"/>
    <w:rsid w:val="00D94B2A"/>
    <w:rsid w:val="00DA04DF"/>
    <w:rsid w:val="00DA2B95"/>
    <w:rsid w:val="00DA626E"/>
    <w:rsid w:val="00DC0A0D"/>
    <w:rsid w:val="00DC3611"/>
    <w:rsid w:val="00DC4235"/>
    <w:rsid w:val="00DC5B78"/>
    <w:rsid w:val="00DD1112"/>
    <w:rsid w:val="00DD14FA"/>
    <w:rsid w:val="00DD2EEE"/>
    <w:rsid w:val="00DD3657"/>
    <w:rsid w:val="00DD410E"/>
    <w:rsid w:val="00DD69EF"/>
    <w:rsid w:val="00DD730A"/>
    <w:rsid w:val="00DD75D4"/>
    <w:rsid w:val="00DE1BFD"/>
    <w:rsid w:val="00DE21AA"/>
    <w:rsid w:val="00DE616D"/>
    <w:rsid w:val="00DE758B"/>
    <w:rsid w:val="00DE77EF"/>
    <w:rsid w:val="00DF290B"/>
    <w:rsid w:val="00DF6960"/>
    <w:rsid w:val="00E038DD"/>
    <w:rsid w:val="00E04F01"/>
    <w:rsid w:val="00E05C98"/>
    <w:rsid w:val="00E10550"/>
    <w:rsid w:val="00E121F1"/>
    <w:rsid w:val="00E13FE5"/>
    <w:rsid w:val="00E207D2"/>
    <w:rsid w:val="00E224B6"/>
    <w:rsid w:val="00E23557"/>
    <w:rsid w:val="00E264BE"/>
    <w:rsid w:val="00E26A91"/>
    <w:rsid w:val="00E30ED9"/>
    <w:rsid w:val="00E35AC7"/>
    <w:rsid w:val="00E35C80"/>
    <w:rsid w:val="00E4509A"/>
    <w:rsid w:val="00E52524"/>
    <w:rsid w:val="00E54F9E"/>
    <w:rsid w:val="00E5595B"/>
    <w:rsid w:val="00E562FB"/>
    <w:rsid w:val="00E574E7"/>
    <w:rsid w:val="00E6075F"/>
    <w:rsid w:val="00E60D91"/>
    <w:rsid w:val="00E635E0"/>
    <w:rsid w:val="00E6450F"/>
    <w:rsid w:val="00E65BAC"/>
    <w:rsid w:val="00E67120"/>
    <w:rsid w:val="00E7645E"/>
    <w:rsid w:val="00E76E42"/>
    <w:rsid w:val="00E80469"/>
    <w:rsid w:val="00E82446"/>
    <w:rsid w:val="00E82B50"/>
    <w:rsid w:val="00E842F1"/>
    <w:rsid w:val="00E87B59"/>
    <w:rsid w:val="00E909D1"/>
    <w:rsid w:val="00E90C91"/>
    <w:rsid w:val="00E91E2D"/>
    <w:rsid w:val="00E92B40"/>
    <w:rsid w:val="00E930A8"/>
    <w:rsid w:val="00E939E6"/>
    <w:rsid w:val="00E95216"/>
    <w:rsid w:val="00E95EB6"/>
    <w:rsid w:val="00E96015"/>
    <w:rsid w:val="00E962EF"/>
    <w:rsid w:val="00EA1B5F"/>
    <w:rsid w:val="00EA1D6A"/>
    <w:rsid w:val="00EA1E18"/>
    <w:rsid w:val="00EA50DB"/>
    <w:rsid w:val="00EA50F1"/>
    <w:rsid w:val="00EA6D85"/>
    <w:rsid w:val="00EB3E1C"/>
    <w:rsid w:val="00EB400C"/>
    <w:rsid w:val="00EB5AFE"/>
    <w:rsid w:val="00EB60B6"/>
    <w:rsid w:val="00EB631E"/>
    <w:rsid w:val="00EB6EB0"/>
    <w:rsid w:val="00EC1E76"/>
    <w:rsid w:val="00EC29CF"/>
    <w:rsid w:val="00ED503B"/>
    <w:rsid w:val="00EF1C45"/>
    <w:rsid w:val="00EF40FB"/>
    <w:rsid w:val="00EF504B"/>
    <w:rsid w:val="00EF5479"/>
    <w:rsid w:val="00EF59E6"/>
    <w:rsid w:val="00EF638E"/>
    <w:rsid w:val="00EF6F14"/>
    <w:rsid w:val="00F0054C"/>
    <w:rsid w:val="00F12DCC"/>
    <w:rsid w:val="00F14228"/>
    <w:rsid w:val="00F237F3"/>
    <w:rsid w:val="00F251A9"/>
    <w:rsid w:val="00F27103"/>
    <w:rsid w:val="00F2771F"/>
    <w:rsid w:val="00F33C9C"/>
    <w:rsid w:val="00F345A5"/>
    <w:rsid w:val="00F35357"/>
    <w:rsid w:val="00F366C4"/>
    <w:rsid w:val="00F36D24"/>
    <w:rsid w:val="00F404B3"/>
    <w:rsid w:val="00F40E48"/>
    <w:rsid w:val="00F41785"/>
    <w:rsid w:val="00F43E19"/>
    <w:rsid w:val="00F441D3"/>
    <w:rsid w:val="00F45E2D"/>
    <w:rsid w:val="00F4711F"/>
    <w:rsid w:val="00F54B07"/>
    <w:rsid w:val="00F5565E"/>
    <w:rsid w:val="00F602D6"/>
    <w:rsid w:val="00F604DB"/>
    <w:rsid w:val="00F62CE4"/>
    <w:rsid w:val="00F6471C"/>
    <w:rsid w:val="00F654CD"/>
    <w:rsid w:val="00F655C0"/>
    <w:rsid w:val="00F65E40"/>
    <w:rsid w:val="00F6608A"/>
    <w:rsid w:val="00F675A6"/>
    <w:rsid w:val="00F67B26"/>
    <w:rsid w:val="00F7418D"/>
    <w:rsid w:val="00F84709"/>
    <w:rsid w:val="00F84F29"/>
    <w:rsid w:val="00F87870"/>
    <w:rsid w:val="00F95519"/>
    <w:rsid w:val="00F97417"/>
    <w:rsid w:val="00F97798"/>
    <w:rsid w:val="00F977CD"/>
    <w:rsid w:val="00FA4771"/>
    <w:rsid w:val="00FA569F"/>
    <w:rsid w:val="00FA607A"/>
    <w:rsid w:val="00FA7CFA"/>
    <w:rsid w:val="00FB171A"/>
    <w:rsid w:val="00FC161D"/>
    <w:rsid w:val="00FC2247"/>
    <w:rsid w:val="00FC28EF"/>
    <w:rsid w:val="00FC2CF9"/>
    <w:rsid w:val="00FC398C"/>
    <w:rsid w:val="00FC67C0"/>
    <w:rsid w:val="00FD2B70"/>
    <w:rsid w:val="00FD4A62"/>
    <w:rsid w:val="00FD6C94"/>
    <w:rsid w:val="00FE09C6"/>
    <w:rsid w:val="00FE122D"/>
    <w:rsid w:val="00FE15B1"/>
    <w:rsid w:val="00FE6902"/>
    <w:rsid w:val="00FF7D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09011"/>
  <w15:docId w15:val="{DF8D6F5C-91D5-4BDF-AD55-04B9A7B0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24"/>
    <w:pPr>
      <w:widowControl w:val="0"/>
      <w:spacing w:line="360" w:lineRule="auto"/>
      <w:jc w:val="both"/>
    </w:pPr>
    <w:rPr>
      <w:rFonts w:ascii="Arial" w:hAnsi="Arial" w:cs="Arial"/>
      <w:spacing w:val="-3"/>
      <w:sz w:val="24"/>
      <w:szCs w:val="24"/>
      <w:lang w:val="en-GB"/>
    </w:rPr>
  </w:style>
  <w:style w:type="paragraph" w:styleId="Heading1">
    <w:name w:val="heading 1"/>
    <w:basedOn w:val="Normal"/>
    <w:next w:val="Normal"/>
    <w:link w:val="Heading1Char"/>
    <w:qFormat/>
    <w:rsid w:val="002C1127"/>
    <w:pPr>
      <w:widowControl/>
      <w:numPr>
        <w:numId w:val="10"/>
      </w:numPr>
      <w:ind w:left="0" w:firstLine="0"/>
      <w:outlineLvl w:val="0"/>
    </w:pPr>
    <w:rPr>
      <w:rFonts w:eastAsiaTheme="minorHAnsi" w:cs="Times New Roman"/>
      <w:spacing w:val="0"/>
      <w:kern w:val="2"/>
      <w14:ligatures w14:val="standardContextual"/>
    </w:rPr>
  </w:style>
  <w:style w:type="paragraph" w:styleId="Heading2">
    <w:name w:val="heading 2"/>
    <w:basedOn w:val="Normal"/>
    <w:next w:val="Normal"/>
    <w:link w:val="Heading2Char"/>
    <w:uiPriority w:val="9"/>
    <w:qFormat/>
    <w:rsid w:val="00716ABC"/>
    <w:pPr>
      <w:numPr>
        <w:ilvl w:val="1"/>
        <w:numId w:val="10"/>
      </w:numPr>
      <w:outlineLvl w:val="1"/>
    </w:pPr>
  </w:style>
  <w:style w:type="paragraph" w:styleId="Heading3">
    <w:name w:val="heading 3"/>
    <w:basedOn w:val="Normal"/>
    <w:next w:val="Normal"/>
    <w:qFormat/>
    <w:rsid w:val="001C373C"/>
    <w:pPr>
      <w:numPr>
        <w:ilvl w:val="2"/>
        <w:numId w:val="10"/>
      </w:numPr>
      <w:tabs>
        <w:tab w:val="left" w:pos="2520"/>
      </w:tabs>
      <w:outlineLvl w:val="2"/>
    </w:pPr>
  </w:style>
  <w:style w:type="paragraph" w:styleId="Heading4">
    <w:name w:val="heading 4"/>
    <w:basedOn w:val="Normal"/>
    <w:next w:val="Normal"/>
    <w:qFormat/>
    <w:rsid w:val="00942F45"/>
    <w:pPr>
      <w:numPr>
        <w:ilvl w:val="3"/>
        <w:numId w:val="10"/>
      </w:numPr>
      <w:outlineLvl w:val="3"/>
    </w:pPr>
  </w:style>
  <w:style w:type="paragraph" w:styleId="Heading5">
    <w:name w:val="heading 5"/>
    <w:basedOn w:val="Normal"/>
    <w:next w:val="Normal"/>
    <w:qFormat/>
    <w:rsid w:val="00E7645E"/>
    <w:pPr>
      <w:numPr>
        <w:ilvl w:val="4"/>
        <w:numId w:val="10"/>
      </w:numPr>
      <w:outlineLvl w:val="4"/>
    </w:pPr>
  </w:style>
  <w:style w:type="paragraph" w:styleId="Heading6">
    <w:name w:val="heading 6"/>
    <w:basedOn w:val="Normal"/>
    <w:next w:val="Normal"/>
    <w:qFormat/>
    <w:rsid w:val="00E7645E"/>
    <w:pPr>
      <w:numPr>
        <w:ilvl w:val="5"/>
        <w:numId w:val="10"/>
      </w:numPr>
      <w:outlineLvl w:val="5"/>
    </w:pPr>
    <w:rPr>
      <w:i/>
      <w:sz w:val="22"/>
    </w:rPr>
  </w:style>
  <w:style w:type="paragraph" w:styleId="Heading7">
    <w:name w:val="heading 7"/>
    <w:basedOn w:val="Normal"/>
    <w:next w:val="Normal"/>
    <w:qFormat/>
    <w:rsid w:val="00E7645E"/>
    <w:pPr>
      <w:numPr>
        <w:ilvl w:val="6"/>
        <w:numId w:val="10"/>
      </w:numPr>
      <w:outlineLvl w:val="6"/>
    </w:pPr>
  </w:style>
  <w:style w:type="paragraph" w:styleId="Heading8">
    <w:name w:val="heading 8"/>
    <w:basedOn w:val="Normal"/>
    <w:next w:val="Normal"/>
    <w:qFormat/>
    <w:rsid w:val="00E7645E"/>
    <w:pPr>
      <w:numPr>
        <w:ilvl w:val="7"/>
        <w:numId w:val="10"/>
      </w:numPr>
      <w:outlineLvl w:val="7"/>
    </w:pPr>
    <w:rPr>
      <w:i/>
    </w:rPr>
  </w:style>
  <w:style w:type="paragraph" w:styleId="Heading9">
    <w:name w:val="heading 9"/>
    <w:basedOn w:val="Normal"/>
    <w:next w:val="Normal"/>
    <w:qFormat/>
    <w:rsid w:val="00E7645E"/>
    <w:pPr>
      <w:numPr>
        <w:ilvl w:val="8"/>
        <w:numId w:val="10"/>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link w:val="FootnoteText"/>
    <w:uiPriority w:val="99"/>
    <w:rsid w:val="00853524"/>
    <w:rPr>
      <w:rFonts w:ascii="Arial" w:hAnsi="Arial" w:cs="Arial"/>
      <w:spacing w:val="-3"/>
      <w:lang w:val="en-GB" w:eastAsia="en-US"/>
    </w:rPr>
  </w:style>
  <w:style w:type="character" w:styleId="FootnoteReference">
    <w:name w:val="footnote reference"/>
    <w:aliases w:val="Footnotes refss,(NECG) Footnote Reference,fr,Appel note de bas de page,Ref,de nota al pie,註腳內容,Footnote symbol,Style 12,Footnote"/>
    <w:uiPriority w:val="99"/>
    <w:qFormat/>
    <w:rsid w:val="00853524"/>
    <w:rPr>
      <w:vertAlign w:val="superscript"/>
    </w:rPr>
  </w:style>
  <w:style w:type="character" w:customStyle="1" w:styleId="Heading1Char">
    <w:name w:val="Heading 1 Char"/>
    <w:link w:val="Heading1"/>
    <w:rsid w:val="002C1127"/>
    <w:rPr>
      <w:rFonts w:ascii="Arial" w:eastAsiaTheme="minorHAnsi" w:hAnsi="Arial"/>
      <w:kern w:val="2"/>
      <w:sz w:val="24"/>
      <w:szCs w:val="24"/>
      <w:lang w:val="en-GB"/>
      <w14:ligatures w14:val="standardContextual"/>
    </w:rPr>
  </w:style>
  <w:style w:type="character" w:customStyle="1" w:styleId="Heading2Char">
    <w:name w:val="Heading 2 Char"/>
    <w:link w:val="Heading2"/>
    <w:uiPriority w:val="9"/>
    <w:rsid w:val="00716ABC"/>
    <w:rPr>
      <w:rFonts w:ascii="Arial" w:hAnsi="Arial" w:cs="Arial"/>
      <w:spacing w:val="-3"/>
      <w:sz w:val="24"/>
      <w:szCs w:val="24"/>
      <w:lang w:val="en-ZA"/>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135CE1"/>
    <w:pPr>
      <w:widowControl/>
      <w:spacing w:after="200" w:line="276" w:lineRule="auto"/>
      <w:ind w:left="720"/>
      <w:contextualSpacing/>
      <w:jc w:val="left"/>
    </w:pPr>
    <w:rPr>
      <w:rFonts w:ascii="Calibri" w:hAnsi="Calibri" w:cs="Times New Roman"/>
      <w:spacing w:val="0"/>
      <w:sz w:val="22"/>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character" w:styleId="CommentReference">
    <w:name w:val="annotation reference"/>
    <w:uiPriority w:val="99"/>
    <w:semiHidden/>
    <w:unhideWhenUsed/>
    <w:rsid w:val="008571AF"/>
    <w:rPr>
      <w:sz w:val="16"/>
      <w:szCs w:val="16"/>
    </w:rPr>
  </w:style>
  <w:style w:type="paragraph" w:styleId="CommentText">
    <w:name w:val="annotation text"/>
    <w:basedOn w:val="Normal"/>
    <w:link w:val="CommentTextChar"/>
    <w:uiPriority w:val="99"/>
    <w:semiHidden/>
    <w:unhideWhenUsed/>
    <w:rsid w:val="008571AF"/>
    <w:pPr>
      <w:spacing w:line="240" w:lineRule="auto"/>
    </w:pPr>
    <w:rPr>
      <w:sz w:val="20"/>
      <w:szCs w:val="20"/>
    </w:rPr>
  </w:style>
  <w:style w:type="character" w:customStyle="1" w:styleId="CommentTextChar">
    <w:name w:val="Comment Text Char"/>
    <w:link w:val="CommentText"/>
    <w:uiPriority w:val="99"/>
    <w:semiHidden/>
    <w:rsid w:val="008571AF"/>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8571AF"/>
    <w:rPr>
      <w:b/>
      <w:bCs/>
    </w:rPr>
  </w:style>
  <w:style w:type="character" w:customStyle="1" w:styleId="CommentSubjectChar">
    <w:name w:val="Comment Subject Char"/>
    <w:link w:val="CommentSubject"/>
    <w:uiPriority w:val="99"/>
    <w:semiHidden/>
    <w:rsid w:val="008571AF"/>
    <w:rPr>
      <w:rFonts w:ascii="Arial" w:hAnsi="Arial" w:cs="Arial"/>
      <w:b/>
      <w:bCs/>
      <w:spacing w:val="-3"/>
      <w:lang w:val="en-GB" w:eastAsia="en-US"/>
    </w:rPr>
  </w:style>
  <w:style w:type="paragraph" w:styleId="Revision">
    <w:name w:val="Revision"/>
    <w:hidden/>
    <w:uiPriority w:val="99"/>
    <w:semiHidden/>
    <w:rsid w:val="00E95216"/>
    <w:rPr>
      <w:rFonts w:ascii="Arial" w:hAnsi="Arial" w:cs="Arial"/>
      <w:spacing w:val="-3"/>
      <w:sz w:val="24"/>
      <w:szCs w:val="24"/>
      <w:lang w:val="en-GB"/>
    </w:rPr>
  </w:style>
  <w:style w:type="numbering" w:customStyle="1" w:styleId="Style3">
    <w:name w:val="Style3"/>
    <w:rsid w:val="0013643A"/>
    <w:pPr>
      <w:numPr>
        <w:numId w:val="3"/>
      </w:numPr>
    </w:pPr>
  </w:style>
  <w:style w:type="character" w:styleId="Hyperlink">
    <w:name w:val="Hyperlink"/>
    <w:basedOn w:val="DefaultParagraphFont"/>
    <w:uiPriority w:val="99"/>
    <w:unhideWhenUsed/>
    <w:rsid w:val="00975C6F"/>
    <w:rPr>
      <w:color w:val="0563C1" w:themeColor="hyperlink"/>
      <w:u w:val="single"/>
    </w:rPr>
  </w:style>
  <w:style w:type="character" w:customStyle="1" w:styleId="UnresolvedMention1">
    <w:name w:val="Unresolved Mention1"/>
    <w:basedOn w:val="DefaultParagraphFont"/>
    <w:uiPriority w:val="99"/>
    <w:semiHidden/>
    <w:unhideWhenUsed/>
    <w:rsid w:val="00975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7372">
      <w:bodyDiv w:val="1"/>
      <w:marLeft w:val="0"/>
      <w:marRight w:val="0"/>
      <w:marTop w:val="0"/>
      <w:marBottom w:val="0"/>
      <w:divBdr>
        <w:top w:val="none" w:sz="0" w:space="0" w:color="auto"/>
        <w:left w:val="none" w:sz="0" w:space="0" w:color="auto"/>
        <w:bottom w:val="none" w:sz="0" w:space="0" w:color="auto"/>
        <w:right w:val="none" w:sz="0" w:space="0" w:color="auto"/>
      </w:divBdr>
    </w:div>
    <w:div w:id="635448634">
      <w:bodyDiv w:val="1"/>
      <w:marLeft w:val="0"/>
      <w:marRight w:val="0"/>
      <w:marTop w:val="0"/>
      <w:marBottom w:val="0"/>
      <w:divBdr>
        <w:top w:val="none" w:sz="0" w:space="0" w:color="auto"/>
        <w:left w:val="none" w:sz="0" w:space="0" w:color="auto"/>
        <w:bottom w:val="none" w:sz="0" w:space="0" w:color="auto"/>
        <w:right w:val="none" w:sz="0" w:space="0" w:color="auto"/>
      </w:divBdr>
    </w:div>
    <w:div w:id="1770659753">
      <w:bodyDiv w:val="1"/>
      <w:marLeft w:val="0"/>
      <w:marRight w:val="0"/>
      <w:marTop w:val="0"/>
      <w:marBottom w:val="0"/>
      <w:divBdr>
        <w:top w:val="none" w:sz="0" w:space="0" w:color="auto"/>
        <w:left w:val="none" w:sz="0" w:space="0" w:color="auto"/>
        <w:bottom w:val="none" w:sz="0" w:space="0" w:color="auto"/>
        <w:right w:val="none" w:sz="0" w:space="0" w:color="auto"/>
      </w:divBdr>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085838375">
      <w:bodyDiv w:val="1"/>
      <w:marLeft w:val="0"/>
      <w:marRight w:val="0"/>
      <w:marTop w:val="0"/>
      <w:marBottom w:val="0"/>
      <w:divBdr>
        <w:top w:val="none" w:sz="0" w:space="0" w:color="auto"/>
        <w:left w:val="none" w:sz="0" w:space="0" w:color="auto"/>
        <w:bottom w:val="none" w:sz="0" w:space="0" w:color="auto"/>
        <w:right w:val="none" w:sz="0" w:space="0" w:color="auto"/>
      </w:divBdr>
      <w:divsChild>
        <w:div w:id="1937201640">
          <w:marLeft w:val="0"/>
          <w:marRight w:val="0"/>
          <w:marTop w:val="0"/>
          <w:marBottom w:val="0"/>
          <w:divBdr>
            <w:top w:val="none" w:sz="0" w:space="0" w:color="auto"/>
            <w:left w:val="none" w:sz="0" w:space="0" w:color="auto"/>
            <w:bottom w:val="none" w:sz="0" w:space="0" w:color="auto"/>
            <w:right w:val="none" w:sz="0" w:space="0" w:color="auto"/>
          </w:divBdr>
        </w:div>
        <w:div w:id="818618130">
          <w:marLeft w:val="0"/>
          <w:marRight w:val="0"/>
          <w:marTop w:val="0"/>
          <w:marBottom w:val="0"/>
          <w:divBdr>
            <w:top w:val="none" w:sz="0" w:space="0" w:color="auto"/>
            <w:left w:val="none" w:sz="0" w:space="0" w:color="auto"/>
            <w:bottom w:val="none" w:sz="0" w:space="0" w:color="auto"/>
            <w:right w:val="none" w:sz="0" w:space="0" w:color="auto"/>
          </w:divBdr>
        </w:div>
        <w:div w:id="2137940045">
          <w:marLeft w:val="0"/>
          <w:marRight w:val="0"/>
          <w:marTop w:val="0"/>
          <w:marBottom w:val="0"/>
          <w:divBdr>
            <w:top w:val="none" w:sz="0" w:space="0" w:color="auto"/>
            <w:left w:val="none" w:sz="0" w:space="0" w:color="auto"/>
            <w:bottom w:val="none" w:sz="0" w:space="0" w:color="auto"/>
            <w:right w:val="none" w:sz="0" w:space="0" w:color="auto"/>
          </w:divBdr>
        </w:div>
        <w:div w:id="44111785">
          <w:marLeft w:val="0"/>
          <w:marRight w:val="0"/>
          <w:marTop w:val="0"/>
          <w:marBottom w:val="0"/>
          <w:divBdr>
            <w:top w:val="none" w:sz="0" w:space="0" w:color="auto"/>
            <w:left w:val="none" w:sz="0" w:space="0" w:color="auto"/>
            <w:bottom w:val="none" w:sz="0" w:space="0" w:color="auto"/>
            <w:right w:val="none" w:sz="0" w:space="0" w:color="auto"/>
          </w:divBdr>
        </w:div>
        <w:div w:id="983045216">
          <w:marLeft w:val="0"/>
          <w:marRight w:val="0"/>
          <w:marTop w:val="0"/>
          <w:marBottom w:val="0"/>
          <w:divBdr>
            <w:top w:val="none" w:sz="0" w:space="0" w:color="auto"/>
            <w:left w:val="none" w:sz="0" w:space="0" w:color="auto"/>
            <w:bottom w:val="none" w:sz="0" w:space="0" w:color="auto"/>
            <w:right w:val="none" w:sz="0" w:space="0" w:color="auto"/>
          </w:divBdr>
        </w:div>
        <w:div w:id="940332671">
          <w:marLeft w:val="0"/>
          <w:marRight w:val="0"/>
          <w:marTop w:val="0"/>
          <w:marBottom w:val="0"/>
          <w:divBdr>
            <w:top w:val="none" w:sz="0" w:space="0" w:color="auto"/>
            <w:left w:val="none" w:sz="0" w:space="0" w:color="auto"/>
            <w:bottom w:val="none" w:sz="0" w:space="0" w:color="auto"/>
            <w:right w:val="none" w:sz="0" w:space="0" w:color="auto"/>
          </w:divBdr>
        </w:div>
        <w:div w:id="1464008889">
          <w:marLeft w:val="0"/>
          <w:marRight w:val="0"/>
          <w:marTop w:val="0"/>
          <w:marBottom w:val="0"/>
          <w:divBdr>
            <w:top w:val="none" w:sz="0" w:space="0" w:color="auto"/>
            <w:left w:val="none" w:sz="0" w:space="0" w:color="auto"/>
            <w:bottom w:val="none" w:sz="0" w:space="0" w:color="auto"/>
            <w:right w:val="none" w:sz="0" w:space="0" w:color="auto"/>
          </w:divBdr>
        </w:div>
        <w:div w:id="993727538">
          <w:marLeft w:val="0"/>
          <w:marRight w:val="0"/>
          <w:marTop w:val="0"/>
          <w:marBottom w:val="0"/>
          <w:divBdr>
            <w:top w:val="none" w:sz="0" w:space="0" w:color="auto"/>
            <w:left w:val="none" w:sz="0" w:space="0" w:color="auto"/>
            <w:bottom w:val="none" w:sz="0" w:space="0" w:color="auto"/>
            <w:right w:val="none" w:sz="0" w:space="0" w:color="auto"/>
          </w:divBdr>
        </w:div>
        <w:div w:id="1183124673">
          <w:marLeft w:val="0"/>
          <w:marRight w:val="0"/>
          <w:marTop w:val="0"/>
          <w:marBottom w:val="0"/>
          <w:divBdr>
            <w:top w:val="none" w:sz="0" w:space="0" w:color="auto"/>
            <w:left w:val="none" w:sz="0" w:space="0" w:color="auto"/>
            <w:bottom w:val="none" w:sz="0" w:space="0" w:color="auto"/>
            <w:right w:val="none" w:sz="0" w:space="0" w:color="auto"/>
          </w:divBdr>
        </w:div>
        <w:div w:id="1620867477">
          <w:marLeft w:val="0"/>
          <w:marRight w:val="0"/>
          <w:marTop w:val="0"/>
          <w:marBottom w:val="0"/>
          <w:divBdr>
            <w:top w:val="none" w:sz="0" w:space="0" w:color="auto"/>
            <w:left w:val="none" w:sz="0" w:space="0" w:color="auto"/>
            <w:bottom w:val="none" w:sz="0" w:space="0" w:color="auto"/>
            <w:right w:val="none" w:sz="0" w:space="0" w:color="auto"/>
          </w:divBdr>
        </w:div>
        <w:div w:id="1725986846">
          <w:marLeft w:val="0"/>
          <w:marRight w:val="0"/>
          <w:marTop w:val="0"/>
          <w:marBottom w:val="0"/>
          <w:divBdr>
            <w:top w:val="none" w:sz="0" w:space="0" w:color="auto"/>
            <w:left w:val="none" w:sz="0" w:space="0" w:color="auto"/>
            <w:bottom w:val="none" w:sz="0" w:space="0" w:color="auto"/>
            <w:right w:val="none" w:sz="0" w:space="0" w:color="auto"/>
          </w:divBdr>
        </w:div>
        <w:div w:id="1256788411">
          <w:marLeft w:val="0"/>
          <w:marRight w:val="0"/>
          <w:marTop w:val="0"/>
          <w:marBottom w:val="0"/>
          <w:divBdr>
            <w:top w:val="none" w:sz="0" w:space="0" w:color="auto"/>
            <w:left w:val="none" w:sz="0" w:space="0" w:color="auto"/>
            <w:bottom w:val="none" w:sz="0" w:space="0" w:color="auto"/>
            <w:right w:val="none" w:sz="0" w:space="0" w:color="auto"/>
          </w:divBdr>
        </w:div>
        <w:div w:id="977956025">
          <w:marLeft w:val="0"/>
          <w:marRight w:val="0"/>
          <w:marTop w:val="0"/>
          <w:marBottom w:val="0"/>
          <w:divBdr>
            <w:top w:val="none" w:sz="0" w:space="0" w:color="auto"/>
            <w:left w:val="none" w:sz="0" w:space="0" w:color="auto"/>
            <w:bottom w:val="none" w:sz="0" w:space="0" w:color="auto"/>
            <w:right w:val="none" w:sz="0" w:space="0" w:color="auto"/>
          </w:divBdr>
        </w:div>
        <w:div w:id="189805462">
          <w:marLeft w:val="0"/>
          <w:marRight w:val="0"/>
          <w:marTop w:val="0"/>
          <w:marBottom w:val="0"/>
          <w:divBdr>
            <w:top w:val="none" w:sz="0" w:space="0" w:color="auto"/>
            <w:left w:val="none" w:sz="0" w:space="0" w:color="auto"/>
            <w:bottom w:val="none" w:sz="0" w:space="0" w:color="auto"/>
            <w:right w:val="none" w:sz="0" w:space="0" w:color="auto"/>
          </w:divBdr>
        </w:div>
        <w:div w:id="361055043">
          <w:marLeft w:val="0"/>
          <w:marRight w:val="0"/>
          <w:marTop w:val="0"/>
          <w:marBottom w:val="0"/>
          <w:divBdr>
            <w:top w:val="none" w:sz="0" w:space="0" w:color="auto"/>
            <w:left w:val="none" w:sz="0" w:space="0" w:color="auto"/>
            <w:bottom w:val="none" w:sz="0" w:space="0" w:color="auto"/>
            <w:right w:val="none" w:sz="0" w:space="0" w:color="auto"/>
          </w:divBdr>
        </w:div>
        <w:div w:id="2059470331">
          <w:marLeft w:val="0"/>
          <w:marRight w:val="0"/>
          <w:marTop w:val="0"/>
          <w:marBottom w:val="0"/>
          <w:divBdr>
            <w:top w:val="none" w:sz="0" w:space="0" w:color="auto"/>
            <w:left w:val="none" w:sz="0" w:space="0" w:color="auto"/>
            <w:bottom w:val="none" w:sz="0" w:space="0" w:color="auto"/>
            <w:right w:val="none" w:sz="0" w:space="0" w:color="auto"/>
          </w:divBdr>
        </w:div>
      </w:divsChild>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AppData\Roaming\Microsoft\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2023-10-29T18:30:00+00:00</Judgment_x0020_Date>
    <Year xmlns="c1afb1bd-f2fb-40fd-9abb-aea55b4d7662">2023</Yea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35ADF09-D5C6-473B-BE04-A2CE1079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FE5B2-97C2-4641-9FF6-92ED6A25CE8E}">
  <ds:schemaRefs>
    <ds:schemaRef ds:uri="http://schemas.microsoft.com/sharepoint/v3/contenttype/forms"/>
  </ds:schemaRefs>
</ds:datastoreItem>
</file>

<file path=customXml/itemProps3.xml><?xml version="1.0" encoding="utf-8"?>
<ds:datastoreItem xmlns:ds="http://schemas.openxmlformats.org/officeDocument/2006/customXml" ds:itemID="{764F6D89-DBA9-4755-9432-07BB5FDF3284}">
  <ds:schemaRefs>
    <ds:schemaRef ds:uri="http://schemas.openxmlformats.org/officeDocument/2006/bibliography"/>
  </ds:schemaRefs>
</ds:datastoreItem>
</file>

<file path=customXml/itemProps4.xml><?xml version="1.0" encoding="utf-8"?>
<ds:datastoreItem xmlns:ds="http://schemas.openxmlformats.org/officeDocument/2006/customXml" ds:itemID="{909FC7C7-0A6E-4F40-BDE1-ECA9F971E397}">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5.xml><?xml version="1.0" encoding="utf-8"?>
<ds:datastoreItem xmlns:ds="http://schemas.openxmlformats.org/officeDocument/2006/customXml" ds:itemID="{5CBA5F70-8A76-4074-B031-27A874BC1A2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Affidavit</Template>
  <TotalTime>0</TotalTime>
  <Pages>13</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Neumbo v Tjirmuje (HC-MD-CIV-ACT-DEL-2020-04493) [2022] NAHCMD 431 (24 August 2022)</vt:lpstr>
    </vt:vector>
  </TitlesOfParts>
  <Company>Gardens Chambers</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Power Holdings (Pty) Ltd v Imprint Invest (Pty) Ltd (HC-MD-CIV-MOT-GEN-2022-00502) [2023] NAHCMD 688 (30 Oct 2023)</dc:title>
  <dc:creator>Monica</dc:creator>
  <cp:lastModifiedBy>Mariana Anguelov</cp:lastModifiedBy>
  <cp:revision>4</cp:revision>
  <cp:lastPrinted>2023-10-30T12:28:00Z</cp:lastPrinted>
  <dcterms:created xsi:type="dcterms:W3CDTF">2023-10-30T11:53:00Z</dcterms:created>
  <dcterms:modified xsi:type="dcterms:W3CDTF">2023-11-01T18:45:00Z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4a2eb42c7c92a2da5a4b3074a4732416c24501cc7ef326e79aad4dfdf3d5d676</vt:lpwstr>
  </property>
  <property fmtid="{D5CDD505-2E9C-101B-9397-08002B2CF9AE}" pid="3" name="ContentTypeId">
    <vt:lpwstr>0x0101000ECE0F99B3F8644397ECB0C536651393</vt:lpwstr>
  </property>
</Properties>
</file>