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794D13" w:rsidRDefault="00853524" w:rsidP="005B12CA">
      <w:pPr>
        <w:jc w:val="center"/>
        <w:rPr>
          <w:b/>
        </w:rPr>
      </w:pPr>
      <w:r w:rsidRPr="00794D13">
        <w:rPr>
          <w:b/>
        </w:rPr>
        <w:t>REPUBLIC OF NAMIBIA</w:t>
      </w:r>
    </w:p>
    <w:p w14:paraId="4D884DEA" w14:textId="05633A06" w:rsidR="00853524" w:rsidRPr="00794D13" w:rsidRDefault="00853524" w:rsidP="005B12CA">
      <w:pPr>
        <w:jc w:val="center"/>
        <w:rPr>
          <w:b/>
          <w:sz w:val="32"/>
          <w:szCs w:val="32"/>
        </w:rPr>
      </w:pPr>
      <w:r w:rsidRPr="00794D13">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794D13">
        <w:rPr>
          <w:b/>
          <w:sz w:val="32"/>
          <w:szCs w:val="32"/>
        </w:rPr>
        <w:t xml:space="preserve"> </w:t>
      </w:r>
    </w:p>
    <w:p w14:paraId="0121DDEF" w14:textId="77777777" w:rsidR="00853524" w:rsidRPr="00794D13" w:rsidRDefault="00853524" w:rsidP="005B12CA">
      <w:pPr>
        <w:jc w:val="center"/>
        <w:rPr>
          <w:b/>
        </w:rPr>
      </w:pPr>
      <w:r w:rsidRPr="00794D13">
        <w:rPr>
          <w:b/>
        </w:rPr>
        <w:t>HIGH COURT OF NAMIBIA MAIN DIVISION, WINDHOEK</w:t>
      </w:r>
    </w:p>
    <w:p w14:paraId="3FBDE3FE" w14:textId="77777777" w:rsidR="00EF7894" w:rsidRPr="00794D13" w:rsidRDefault="00EF7894" w:rsidP="005B12CA">
      <w:pPr>
        <w:jc w:val="center"/>
        <w:rPr>
          <w:bCs/>
        </w:rPr>
      </w:pPr>
    </w:p>
    <w:p w14:paraId="0B4BB7B9" w14:textId="58630CBB" w:rsidR="00853524" w:rsidRPr="00794D13" w:rsidRDefault="00E057F8" w:rsidP="005B12CA">
      <w:pPr>
        <w:jc w:val="center"/>
        <w:rPr>
          <w:b/>
        </w:rPr>
      </w:pPr>
      <w:r w:rsidRPr="00794D13">
        <w:rPr>
          <w:b/>
        </w:rPr>
        <w:t>RULING ON SPECIAL PLEA</w:t>
      </w:r>
      <w:r w:rsidR="00FF6F44">
        <w:rPr>
          <w:b/>
        </w:rPr>
        <w:t>S</w:t>
      </w:r>
    </w:p>
    <w:p w14:paraId="4AB5AAC2" w14:textId="77777777" w:rsidR="00140A9D" w:rsidRPr="00794D13" w:rsidRDefault="00140A9D" w:rsidP="005B12CA">
      <w:pPr>
        <w:jc w:val="center"/>
        <w:rPr>
          <w:b/>
        </w:rPr>
      </w:pPr>
    </w:p>
    <w:p w14:paraId="656267F7" w14:textId="589CD8E0" w:rsidR="00853524" w:rsidRPr="00794D13" w:rsidRDefault="00EF7894" w:rsidP="005B12CA">
      <w:pPr>
        <w:jc w:val="right"/>
        <w:rPr>
          <w:b/>
          <w:bCs/>
        </w:rPr>
      </w:pPr>
      <w:r w:rsidRPr="00794D13">
        <w:t xml:space="preserve">             Case no:</w:t>
      </w:r>
      <w:r w:rsidR="00E057F8" w:rsidRPr="00794D13">
        <w:t xml:space="preserve"> HC-MD-CIV-ACT-OTH-2022/02129</w:t>
      </w:r>
    </w:p>
    <w:p w14:paraId="58A48D65" w14:textId="77777777" w:rsidR="00292624" w:rsidRPr="00794D13" w:rsidRDefault="00292624" w:rsidP="005B12CA"/>
    <w:p w14:paraId="01440233" w14:textId="77777777" w:rsidR="00853524" w:rsidRPr="00794D13" w:rsidRDefault="00853524" w:rsidP="005B12CA">
      <w:r w:rsidRPr="00794D13">
        <w:t>In the matter between:</w:t>
      </w:r>
    </w:p>
    <w:p w14:paraId="291513BA" w14:textId="77777777" w:rsidR="00853524" w:rsidRPr="00794D13" w:rsidRDefault="00853524" w:rsidP="005B12CA"/>
    <w:p w14:paraId="28A29F10" w14:textId="11DC9D8B" w:rsidR="00853524" w:rsidRPr="00794D13" w:rsidRDefault="00E057F8" w:rsidP="005B12CA">
      <w:pPr>
        <w:pStyle w:val="Heading4"/>
        <w:numPr>
          <w:ilvl w:val="0"/>
          <w:numId w:val="0"/>
        </w:numPr>
        <w:rPr>
          <w:b/>
        </w:rPr>
      </w:pPr>
      <w:r w:rsidRPr="00794D13">
        <w:rPr>
          <w:b/>
        </w:rPr>
        <w:t xml:space="preserve">IMMANUEL TJIKUNGA </w:t>
      </w:r>
      <w:r w:rsidR="003759B4">
        <w:rPr>
          <w:b/>
        </w:rPr>
        <w:t>SAMUKUTA</w:t>
      </w:r>
      <w:r w:rsidRPr="00794D13">
        <w:rPr>
          <w:b/>
        </w:rPr>
        <w:tab/>
      </w:r>
      <w:r w:rsidRPr="00794D13">
        <w:rPr>
          <w:b/>
        </w:rPr>
        <w:tab/>
      </w:r>
      <w:r w:rsidRPr="00794D13">
        <w:rPr>
          <w:b/>
        </w:rPr>
        <w:tab/>
      </w:r>
      <w:r w:rsidRPr="00794D13">
        <w:rPr>
          <w:b/>
        </w:rPr>
        <w:tab/>
        <w:t xml:space="preserve">         </w:t>
      </w:r>
      <w:r w:rsidR="00210D9A" w:rsidRPr="00794D13">
        <w:rPr>
          <w:b/>
        </w:rPr>
        <w:t>PLAINTIFF</w:t>
      </w:r>
    </w:p>
    <w:p w14:paraId="6F922E4C" w14:textId="77777777" w:rsidR="002D436F" w:rsidRPr="00794D13" w:rsidRDefault="002D436F" w:rsidP="005B12CA"/>
    <w:p w14:paraId="35124039" w14:textId="40329530" w:rsidR="00853524" w:rsidRPr="00794D13" w:rsidRDefault="00853524" w:rsidP="005B12CA">
      <w:r w:rsidRPr="00794D13">
        <w:t>and</w:t>
      </w:r>
    </w:p>
    <w:p w14:paraId="67AFE6BE" w14:textId="77777777" w:rsidR="002D436F" w:rsidRPr="00794D13" w:rsidRDefault="002D436F" w:rsidP="005B12CA">
      <w:pPr>
        <w:rPr>
          <w:b/>
          <w:color w:val="000000" w:themeColor="text1"/>
        </w:rPr>
      </w:pPr>
    </w:p>
    <w:p w14:paraId="15305F1C" w14:textId="77F8FD6B" w:rsidR="003759B4" w:rsidRDefault="003759B4" w:rsidP="005B12CA">
      <w:pPr>
        <w:rPr>
          <w:b/>
          <w:color w:val="000000" w:themeColor="text1"/>
        </w:rPr>
      </w:pPr>
      <w:r>
        <w:rPr>
          <w:b/>
          <w:color w:val="000000" w:themeColor="text1"/>
        </w:rPr>
        <w:t xml:space="preserve">THE </w:t>
      </w:r>
      <w:r w:rsidR="00E057F8" w:rsidRPr="00794D13">
        <w:rPr>
          <w:b/>
          <w:color w:val="000000" w:themeColor="text1"/>
        </w:rPr>
        <w:t>MINISTRY OF</w:t>
      </w:r>
      <w:r>
        <w:rPr>
          <w:b/>
          <w:color w:val="000000" w:themeColor="text1"/>
        </w:rPr>
        <w:t xml:space="preserve"> SAFETY AND SECURITY:</w:t>
      </w:r>
    </w:p>
    <w:p w14:paraId="72A36D59" w14:textId="2004ECB1" w:rsidR="008B1836" w:rsidRPr="00794D13" w:rsidRDefault="00E057F8" w:rsidP="005B12CA">
      <w:pPr>
        <w:rPr>
          <w:b/>
          <w:color w:val="000000" w:themeColor="text1"/>
        </w:rPr>
      </w:pPr>
      <w:r w:rsidRPr="00794D13">
        <w:rPr>
          <w:b/>
          <w:color w:val="000000" w:themeColor="text1"/>
        </w:rPr>
        <w:t>HON. FRANS KAPOFI</w:t>
      </w:r>
      <w:r w:rsidRPr="00794D13">
        <w:rPr>
          <w:b/>
          <w:color w:val="000000" w:themeColor="text1"/>
        </w:rPr>
        <w:tab/>
        <w:t xml:space="preserve">     </w:t>
      </w:r>
      <w:r w:rsidR="003759B4">
        <w:rPr>
          <w:b/>
          <w:color w:val="000000" w:themeColor="text1"/>
        </w:rPr>
        <w:tab/>
      </w:r>
      <w:r w:rsidR="003759B4">
        <w:rPr>
          <w:b/>
          <w:color w:val="000000" w:themeColor="text1"/>
        </w:rPr>
        <w:tab/>
      </w:r>
      <w:r w:rsidR="003759B4">
        <w:rPr>
          <w:b/>
          <w:color w:val="000000" w:themeColor="text1"/>
        </w:rPr>
        <w:tab/>
      </w:r>
      <w:r w:rsidR="003759B4">
        <w:rPr>
          <w:b/>
          <w:color w:val="000000" w:themeColor="text1"/>
        </w:rPr>
        <w:tab/>
        <w:t xml:space="preserve">     </w:t>
      </w:r>
      <w:r w:rsidRPr="00794D13">
        <w:rPr>
          <w:b/>
          <w:color w:val="000000" w:themeColor="text1"/>
        </w:rPr>
        <w:t xml:space="preserve">FIRST </w:t>
      </w:r>
      <w:r w:rsidR="00210D9A" w:rsidRPr="00794D13">
        <w:rPr>
          <w:b/>
          <w:color w:val="000000" w:themeColor="text1"/>
        </w:rPr>
        <w:t>DEFENDANT</w:t>
      </w:r>
    </w:p>
    <w:p w14:paraId="56E435F0" w14:textId="77777777" w:rsidR="00E057F8" w:rsidRPr="00794D13" w:rsidRDefault="00E057F8" w:rsidP="005B12CA">
      <w:pPr>
        <w:rPr>
          <w:b/>
          <w:color w:val="000000" w:themeColor="text1"/>
        </w:rPr>
      </w:pPr>
    </w:p>
    <w:p w14:paraId="774110C0" w14:textId="77777777" w:rsidR="00E057F8" w:rsidRPr="00794D13" w:rsidRDefault="00E057F8" w:rsidP="005B12CA">
      <w:pPr>
        <w:rPr>
          <w:b/>
          <w:color w:val="000000" w:themeColor="text1"/>
        </w:rPr>
      </w:pPr>
      <w:r w:rsidRPr="00794D13">
        <w:rPr>
          <w:b/>
          <w:color w:val="000000" w:themeColor="text1"/>
        </w:rPr>
        <w:t>THE COMMISSIONER GENERAL RAPHAEL</w:t>
      </w:r>
    </w:p>
    <w:p w14:paraId="4A872E6D" w14:textId="14D25A52" w:rsidR="00E057F8" w:rsidRPr="00794D13" w:rsidRDefault="00E057F8" w:rsidP="005B12CA">
      <w:pPr>
        <w:rPr>
          <w:b/>
          <w:color w:val="000000" w:themeColor="text1"/>
        </w:rPr>
      </w:pPr>
      <w:r w:rsidRPr="00794D13">
        <w:rPr>
          <w:b/>
          <w:color w:val="000000" w:themeColor="text1"/>
        </w:rPr>
        <w:t>HAMUNYELA OF THE NAMIBIA CORRECTIONAL</w:t>
      </w:r>
    </w:p>
    <w:p w14:paraId="24E2DBA3" w14:textId="79DC4B30" w:rsidR="00E057F8" w:rsidRPr="00794D13" w:rsidRDefault="00E057F8" w:rsidP="005B12CA">
      <w:pPr>
        <w:rPr>
          <w:b/>
          <w:color w:val="000000" w:themeColor="text1"/>
        </w:rPr>
      </w:pPr>
      <w:r w:rsidRPr="00794D13">
        <w:rPr>
          <w:b/>
          <w:color w:val="000000" w:themeColor="text1"/>
        </w:rPr>
        <w:t>SERVICE</w:t>
      </w:r>
      <w:r w:rsidRPr="00794D13">
        <w:rPr>
          <w:b/>
          <w:color w:val="000000" w:themeColor="text1"/>
        </w:rPr>
        <w:tab/>
      </w:r>
      <w:r w:rsidRPr="00794D13">
        <w:rPr>
          <w:b/>
          <w:color w:val="000000" w:themeColor="text1"/>
        </w:rPr>
        <w:tab/>
      </w:r>
      <w:r w:rsidRPr="00794D13">
        <w:rPr>
          <w:b/>
          <w:color w:val="000000" w:themeColor="text1"/>
        </w:rPr>
        <w:tab/>
      </w:r>
      <w:r w:rsidRPr="00794D13">
        <w:rPr>
          <w:b/>
          <w:color w:val="000000" w:themeColor="text1"/>
        </w:rPr>
        <w:tab/>
      </w:r>
      <w:r w:rsidRPr="00794D13">
        <w:rPr>
          <w:b/>
          <w:color w:val="000000" w:themeColor="text1"/>
        </w:rPr>
        <w:tab/>
      </w:r>
      <w:r w:rsidRPr="00794D13">
        <w:rPr>
          <w:b/>
          <w:color w:val="000000" w:themeColor="text1"/>
        </w:rPr>
        <w:tab/>
      </w:r>
      <w:r w:rsidRPr="00794D13">
        <w:rPr>
          <w:b/>
          <w:color w:val="000000" w:themeColor="text1"/>
        </w:rPr>
        <w:tab/>
        <w:t>SECOND DEFENDANT</w:t>
      </w:r>
    </w:p>
    <w:p w14:paraId="133D5BE3" w14:textId="77777777" w:rsidR="00E057F8" w:rsidRPr="00794D13" w:rsidRDefault="00E057F8" w:rsidP="005B12CA">
      <w:pPr>
        <w:rPr>
          <w:b/>
          <w:color w:val="000000" w:themeColor="text1"/>
        </w:rPr>
      </w:pPr>
    </w:p>
    <w:p w14:paraId="33FAD939" w14:textId="37F06B78" w:rsidR="00E057F8" w:rsidRPr="00794D13" w:rsidRDefault="00E057F8" w:rsidP="005B12CA">
      <w:pPr>
        <w:rPr>
          <w:b/>
          <w:color w:val="000000" w:themeColor="text1"/>
        </w:rPr>
      </w:pPr>
      <w:r w:rsidRPr="00794D13">
        <w:rPr>
          <w:b/>
          <w:color w:val="000000" w:themeColor="text1"/>
        </w:rPr>
        <w:t>THE SUPERITENDENT H. N. UUSIKU OF THE</w:t>
      </w:r>
    </w:p>
    <w:p w14:paraId="11C04272" w14:textId="77777777" w:rsidR="00B95738" w:rsidRDefault="00E057F8" w:rsidP="005B12CA">
      <w:pPr>
        <w:rPr>
          <w:b/>
          <w:color w:val="000000" w:themeColor="text1"/>
        </w:rPr>
      </w:pPr>
      <w:r w:rsidRPr="00794D13">
        <w:rPr>
          <w:b/>
          <w:color w:val="000000" w:themeColor="text1"/>
        </w:rPr>
        <w:t>NAMIBIA CORRECTIONAL SERVICE</w:t>
      </w:r>
      <w:r w:rsidRPr="00794D13">
        <w:rPr>
          <w:b/>
          <w:color w:val="000000" w:themeColor="text1"/>
        </w:rPr>
        <w:tab/>
      </w:r>
      <w:r w:rsidRPr="00794D13">
        <w:rPr>
          <w:b/>
          <w:color w:val="000000" w:themeColor="text1"/>
        </w:rPr>
        <w:tab/>
      </w:r>
      <w:r w:rsidRPr="00794D13">
        <w:rPr>
          <w:b/>
          <w:color w:val="000000" w:themeColor="text1"/>
        </w:rPr>
        <w:tab/>
      </w:r>
      <w:r w:rsidR="008D5FA9">
        <w:rPr>
          <w:b/>
          <w:color w:val="000000" w:themeColor="text1"/>
        </w:rPr>
        <w:t xml:space="preserve">    THIRD DEFENDANT</w:t>
      </w:r>
    </w:p>
    <w:p w14:paraId="11C06559" w14:textId="5AE15680" w:rsidR="00853524" w:rsidRPr="008D5FA9" w:rsidRDefault="00F40790" w:rsidP="005B12CA">
      <w:pPr>
        <w:rPr>
          <w:b/>
          <w:color w:val="000000" w:themeColor="text1"/>
        </w:rPr>
      </w:pPr>
      <w:r w:rsidRPr="00794D13">
        <w:rPr>
          <w:b/>
          <w:color w:val="000000" w:themeColor="text1"/>
        </w:rPr>
        <w:t xml:space="preserve"> </w:t>
      </w:r>
    </w:p>
    <w:p w14:paraId="1CFCD256" w14:textId="243694BA" w:rsidR="00853524" w:rsidRPr="00794D13" w:rsidRDefault="00853524" w:rsidP="00C737F5">
      <w:pPr>
        <w:ind w:left="2160" w:hanging="2160"/>
        <w:rPr>
          <w:iCs/>
          <w:color w:val="000000" w:themeColor="text1"/>
        </w:rPr>
      </w:pPr>
      <w:r w:rsidRPr="00794D13">
        <w:rPr>
          <w:b/>
        </w:rPr>
        <w:t>Neutral citation</w:t>
      </w:r>
      <w:r w:rsidR="001076B6" w:rsidRPr="00794D13">
        <w:rPr>
          <w:b/>
        </w:rPr>
        <w:t>:</w:t>
      </w:r>
      <w:r w:rsidRPr="00794D13">
        <w:rPr>
          <w:b/>
        </w:rPr>
        <w:tab/>
      </w:r>
      <w:proofErr w:type="spellStart"/>
      <w:r w:rsidR="003759B4">
        <w:rPr>
          <w:i/>
        </w:rPr>
        <w:t>Samukuta</w:t>
      </w:r>
      <w:proofErr w:type="spellEnd"/>
      <w:r w:rsidR="005B1D56">
        <w:rPr>
          <w:i/>
        </w:rPr>
        <w:t xml:space="preserve"> </w:t>
      </w:r>
      <w:r w:rsidR="00E057F8" w:rsidRPr="00794D13">
        <w:rPr>
          <w:i/>
        </w:rPr>
        <w:t xml:space="preserve">v </w:t>
      </w:r>
      <w:r w:rsidR="003759B4">
        <w:rPr>
          <w:i/>
        </w:rPr>
        <w:t xml:space="preserve">The </w:t>
      </w:r>
      <w:r w:rsidR="00E057F8" w:rsidRPr="00794D13">
        <w:rPr>
          <w:i/>
        </w:rPr>
        <w:t xml:space="preserve">Ministry of Safety and Security: Hon. Frans </w:t>
      </w:r>
      <w:proofErr w:type="spellStart"/>
      <w:r w:rsidR="00E057F8" w:rsidRPr="00794D13">
        <w:rPr>
          <w:i/>
        </w:rPr>
        <w:t>Kapofi</w:t>
      </w:r>
      <w:proofErr w:type="spellEnd"/>
      <w:r w:rsidR="00C737F5">
        <w:t xml:space="preserve"> </w:t>
      </w:r>
      <w:r w:rsidR="00E057F8" w:rsidRPr="00794D13">
        <w:t xml:space="preserve">(HC-MD-CIV-ACT-OTH-2022/02129) NAHCMD </w:t>
      </w:r>
      <w:r w:rsidR="003759B4" w:rsidRPr="003759B4">
        <w:t>785</w:t>
      </w:r>
      <w:r w:rsidR="00E057F8" w:rsidRPr="00794D13">
        <w:t xml:space="preserve"> (4 December 2023)</w:t>
      </w:r>
    </w:p>
    <w:p w14:paraId="2A1E0044" w14:textId="77777777" w:rsidR="00853524" w:rsidRDefault="00853524" w:rsidP="005B12CA">
      <w:pPr>
        <w:ind w:left="2160" w:hanging="2160"/>
      </w:pPr>
    </w:p>
    <w:p w14:paraId="51B9655D" w14:textId="77777777" w:rsidR="009A635F" w:rsidRDefault="009A635F" w:rsidP="005B12CA">
      <w:pPr>
        <w:ind w:left="2160" w:hanging="2160"/>
        <w:rPr>
          <w:b/>
        </w:rPr>
      </w:pPr>
    </w:p>
    <w:p w14:paraId="6CFF978A" w14:textId="63EF1367" w:rsidR="006D65BF" w:rsidRPr="00794D13" w:rsidRDefault="00853524" w:rsidP="005B12CA">
      <w:pPr>
        <w:ind w:left="2160" w:hanging="2160"/>
        <w:rPr>
          <w:b/>
          <w:i/>
        </w:rPr>
      </w:pPr>
      <w:r w:rsidRPr="00794D13">
        <w:rPr>
          <w:b/>
        </w:rPr>
        <w:lastRenderedPageBreak/>
        <w:t>Coram</w:t>
      </w:r>
      <w:r w:rsidR="001076B6" w:rsidRPr="00794D13">
        <w:rPr>
          <w:b/>
        </w:rPr>
        <w:t>:</w:t>
      </w:r>
      <w:r w:rsidR="008B1836" w:rsidRPr="00794D13">
        <w:tab/>
      </w:r>
      <w:r w:rsidR="0046094F" w:rsidRPr="00B95738">
        <w:t>SCHIMMING-CHASE J</w:t>
      </w:r>
    </w:p>
    <w:p w14:paraId="1145F951" w14:textId="63781B35" w:rsidR="00853524" w:rsidRPr="000A1206" w:rsidRDefault="00853524" w:rsidP="005B12CA">
      <w:pPr>
        <w:ind w:left="2160" w:hanging="2160"/>
        <w:rPr>
          <w:b/>
        </w:rPr>
      </w:pPr>
      <w:r w:rsidRPr="00794D13">
        <w:rPr>
          <w:b/>
          <w:bCs/>
        </w:rPr>
        <w:t>Heard</w:t>
      </w:r>
      <w:r w:rsidR="001076B6" w:rsidRPr="00794D13">
        <w:rPr>
          <w:b/>
          <w:bCs/>
        </w:rPr>
        <w:t>:</w:t>
      </w:r>
      <w:r w:rsidRPr="00794D13">
        <w:tab/>
      </w:r>
      <w:r w:rsidR="000A1206" w:rsidRPr="0046094F">
        <w:rPr>
          <w:b/>
          <w:bCs/>
        </w:rPr>
        <w:t>18 September 2023</w:t>
      </w:r>
    </w:p>
    <w:p w14:paraId="447A448F" w14:textId="72E811C8" w:rsidR="00853524" w:rsidRPr="00794D13" w:rsidRDefault="00117DD9" w:rsidP="005B12CA">
      <w:pPr>
        <w:ind w:left="2160" w:hanging="2160"/>
      </w:pPr>
      <w:r w:rsidRPr="00794D13">
        <w:rPr>
          <w:b/>
          <w:bCs/>
        </w:rPr>
        <w:t>Delivered</w:t>
      </w:r>
      <w:r w:rsidR="001076B6" w:rsidRPr="00794D13">
        <w:rPr>
          <w:b/>
          <w:bCs/>
        </w:rPr>
        <w:t>:</w:t>
      </w:r>
      <w:r w:rsidR="00334AFC" w:rsidRPr="00794D13">
        <w:rPr>
          <w:b/>
          <w:bCs/>
        </w:rPr>
        <w:tab/>
      </w:r>
      <w:r w:rsidR="000A1206" w:rsidRPr="0046094F">
        <w:rPr>
          <w:b/>
        </w:rPr>
        <w:t>4</w:t>
      </w:r>
      <w:r w:rsidR="00E057F8" w:rsidRPr="0046094F">
        <w:rPr>
          <w:b/>
        </w:rPr>
        <w:t xml:space="preserve"> December 2023</w:t>
      </w:r>
    </w:p>
    <w:p w14:paraId="514826F6" w14:textId="41065798" w:rsidR="00853524" w:rsidRPr="00794D13" w:rsidRDefault="00853524" w:rsidP="005B12CA">
      <w:pPr>
        <w:ind w:left="1440" w:hanging="1440"/>
      </w:pPr>
    </w:p>
    <w:p w14:paraId="50D56D43" w14:textId="356FA0F3" w:rsidR="0046094F" w:rsidRDefault="00853524" w:rsidP="005B12CA">
      <w:pPr>
        <w:rPr>
          <w:bCs/>
        </w:rPr>
      </w:pPr>
      <w:r w:rsidRPr="00794D13">
        <w:rPr>
          <w:b/>
        </w:rPr>
        <w:t>Flynote</w:t>
      </w:r>
      <w:r w:rsidR="00F40790" w:rsidRPr="00794D13">
        <w:rPr>
          <w:b/>
        </w:rPr>
        <w:t>:</w:t>
      </w:r>
      <w:r w:rsidRPr="00794D13">
        <w:rPr>
          <w:b/>
        </w:rPr>
        <w:tab/>
      </w:r>
      <w:r w:rsidR="00535029" w:rsidRPr="00535029">
        <w:rPr>
          <w:bCs/>
        </w:rPr>
        <w:t>Prescription</w:t>
      </w:r>
      <w:r w:rsidR="007D2492">
        <w:rPr>
          <w:bCs/>
        </w:rPr>
        <w:t xml:space="preserve"> </w:t>
      </w:r>
      <w:bookmarkStart w:id="0" w:name="_Hlk152313030"/>
      <w:r w:rsidR="007D2492">
        <w:rPr>
          <w:bCs/>
        </w:rPr>
        <w:t>–</w:t>
      </w:r>
      <w:bookmarkEnd w:id="0"/>
      <w:r w:rsidR="007D2492">
        <w:rPr>
          <w:bCs/>
        </w:rPr>
        <w:t xml:space="preserve"> Corre</w:t>
      </w:r>
      <w:r w:rsidR="00F179AC">
        <w:rPr>
          <w:bCs/>
        </w:rPr>
        <w:t>ctional Service Act</w:t>
      </w:r>
      <w:r w:rsidR="00B95738">
        <w:rPr>
          <w:bCs/>
        </w:rPr>
        <w:t>,</w:t>
      </w:r>
      <w:r w:rsidR="00F179AC">
        <w:rPr>
          <w:bCs/>
        </w:rPr>
        <w:t xml:space="preserve"> 9 of 2012 </w:t>
      </w:r>
      <w:r w:rsidR="007D2492">
        <w:rPr>
          <w:bCs/>
        </w:rPr>
        <w:t xml:space="preserve">– Section </w:t>
      </w:r>
      <w:r w:rsidR="00BE20B9">
        <w:rPr>
          <w:bCs/>
        </w:rPr>
        <w:t>133</w:t>
      </w:r>
      <w:r w:rsidR="00F179AC">
        <w:rPr>
          <w:bCs/>
        </w:rPr>
        <w:t xml:space="preserve">(3) </w:t>
      </w:r>
      <w:r w:rsidR="00535029">
        <w:rPr>
          <w:bCs/>
        </w:rPr>
        <w:t>and (4)</w:t>
      </w:r>
      <w:r w:rsidR="00E35C3C" w:rsidRPr="00E35C3C">
        <w:rPr>
          <w:bCs/>
        </w:rPr>
        <w:t xml:space="preserve"> </w:t>
      </w:r>
      <w:r w:rsidR="009A635F">
        <w:rPr>
          <w:bCs/>
        </w:rPr>
        <w:t>– Special p</w:t>
      </w:r>
      <w:r w:rsidR="00E35C3C">
        <w:rPr>
          <w:bCs/>
        </w:rPr>
        <w:t>leas of prescription dismissed.</w:t>
      </w:r>
    </w:p>
    <w:p w14:paraId="3528554C" w14:textId="77777777" w:rsidR="0046094F" w:rsidRDefault="0046094F" w:rsidP="005B12CA">
      <w:pPr>
        <w:rPr>
          <w:bCs/>
        </w:rPr>
      </w:pPr>
    </w:p>
    <w:p w14:paraId="0AFBF051" w14:textId="1CD50DA9" w:rsidR="00E35C3C" w:rsidRDefault="0046094F" w:rsidP="005B12CA">
      <w:pPr>
        <w:rPr>
          <w:bCs/>
        </w:rPr>
      </w:pPr>
      <w:r>
        <w:rPr>
          <w:bCs/>
        </w:rPr>
        <w:t>Statute</w:t>
      </w:r>
      <w:r w:rsidR="00F179AC">
        <w:rPr>
          <w:bCs/>
        </w:rPr>
        <w:t xml:space="preserve"> – </w:t>
      </w:r>
      <w:r w:rsidR="00535029">
        <w:rPr>
          <w:bCs/>
        </w:rPr>
        <w:t xml:space="preserve">Interpretation </w:t>
      </w:r>
      <w:r w:rsidR="00E35C3C">
        <w:rPr>
          <w:bCs/>
        </w:rPr>
        <w:t>– Interpretation of s 133(4) of the Correctional Service Act – Object and purpose of provision must be considered – Act to be interpreted so as not to reach an absurd result.</w:t>
      </w:r>
    </w:p>
    <w:p w14:paraId="580B7B3D" w14:textId="1C9DE175" w:rsidR="00853524" w:rsidRPr="00794D13" w:rsidRDefault="00853524" w:rsidP="005B12CA"/>
    <w:p w14:paraId="2C6DC199" w14:textId="76FBAF6A" w:rsidR="007D2492" w:rsidRDefault="00853524" w:rsidP="005B12CA">
      <w:r w:rsidRPr="00794D13">
        <w:rPr>
          <w:b/>
        </w:rPr>
        <w:t>Summary</w:t>
      </w:r>
      <w:r w:rsidR="00F40790" w:rsidRPr="00794D13">
        <w:rPr>
          <w:b/>
        </w:rPr>
        <w:t>:</w:t>
      </w:r>
      <w:r w:rsidRPr="00794D13">
        <w:rPr>
          <w:b/>
        </w:rPr>
        <w:tab/>
      </w:r>
      <w:r w:rsidR="007D2492" w:rsidRPr="00FE1764">
        <w:t xml:space="preserve">The </w:t>
      </w:r>
      <w:r w:rsidR="00E35C3C">
        <w:t>plaintiff, an incarcerated inmate sued the defendants for defamati</w:t>
      </w:r>
      <w:r w:rsidR="00DB59CE">
        <w:t>on arising from a statement authored</w:t>
      </w:r>
      <w:r w:rsidR="00E35C3C">
        <w:t xml:space="preserve"> by the third defendant in a Behavioural Change Report on 25 September 2020. </w:t>
      </w:r>
      <w:r w:rsidR="009A635F">
        <w:t>The p</w:t>
      </w:r>
      <w:r w:rsidR="00B62BAC">
        <w:t xml:space="preserve">laintiff alleged that he only came to know of the alleged defamation on 10 February 2022, and served the statutory notice on 25 April 2022. </w:t>
      </w:r>
      <w:r w:rsidR="009A635F">
        <w:t>The d</w:t>
      </w:r>
      <w:r w:rsidR="00E35C3C">
        <w:t xml:space="preserve">efendants argued </w:t>
      </w:r>
      <w:r w:rsidR="007D2492" w:rsidRPr="00FE1764">
        <w:t>that the plaintiff failed to comply with s 133(3) and (4) of the Correctional Service Act 9 of 2012 (‘the Act’)</w:t>
      </w:r>
      <w:r w:rsidR="00E35C3C">
        <w:t>,</w:t>
      </w:r>
      <w:r w:rsidR="007D2492" w:rsidRPr="00FE1764">
        <w:t xml:space="preserve"> in that the plaintiff’s claim </w:t>
      </w:r>
      <w:r w:rsidR="00E35C3C">
        <w:t xml:space="preserve">not only prescribed in terms of s 133(4), but also that </w:t>
      </w:r>
      <w:r w:rsidR="007D2492" w:rsidRPr="00FE1764">
        <w:t xml:space="preserve">action was instituted prior to the </w:t>
      </w:r>
      <w:r w:rsidR="00E35C3C">
        <w:t xml:space="preserve">lapsing of the </w:t>
      </w:r>
      <w:r w:rsidR="007D2492" w:rsidRPr="00FE1764">
        <w:t>30-d</w:t>
      </w:r>
      <w:r w:rsidR="009A635F">
        <w:t>ay prescriptive period.</w:t>
      </w:r>
    </w:p>
    <w:p w14:paraId="2EEB396F" w14:textId="77777777" w:rsidR="007D2492" w:rsidRDefault="007D2492" w:rsidP="005B12CA"/>
    <w:p w14:paraId="409952AC" w14:textId="5492CF8D" w:rsidR="00B62BAC" w:rsidRDefault="007D2492" w:rsidP="005B12CA">
      <w:r>
        <w:rPr>
          <w:i/>
        </w:rPr>
        <w:t>Held that</w:t>
      </w:r>
      <w:r>
        <w:t xml:space="preserve">, </w:t>
      </w:r>
      <w:r w:rsidR="00B62BAC">
        <w:t>the statutory notice was served 25 days as opposed to 30 days</w:t>
      </w:r>
      <w:r w:rsidR="009A635F">
        <w:t xml:space="preserve"> before action was instituted. The d</w:t>
      </w:r>
      <w:r w:rsidR="00B62BAC">
        <w:t xml:space="preserve">efendants were not prejudiced as the time </w:t>
      </w:r>
      <w:r w:rsidR="009A635F">
        <w:t xml:space="preserve">period had not expired. </w:t>
      </w:r>
      <w:r w:rsidR="00B62BAC">
        <w:t>There w</w:t>
      </w:r>
      <w:r w:rsidR="009A635F">
        <w:t>as substantial compliance with s 133(4) of the Act.</w:t>
      </w:r>
    </w:p>
    <w:p w14:paraId="73F99771" w14:textId="77777777" w:rsidR="00F179AC" w:rsidRDefault="00F179AC" w:rsidP="005B12CA"/>
    <w:p w14:paraId="11072780" w14:textId="2DCA270B" w:rsidR="007D2492" w:rsidRDefault="00F179AC" w:rsidP="005B12CA">
      <w:pPr>
        <w:rPr>
          <w:iCs/>
        </w:rPr>
      </w:pPr>
      <w:r>
        <w:rPr>
          <w:i/>
        </w:rPr>
        <w:t>Held</w:t>
      </w:r>
      <w:r w:rsidR="009A635F">
        <w:rPr>
          <w:i/>
        </w:rPr>
        <w:t xml:space="preserve"> further that,</w:t>
      </w:r>
      <w:r w:rsidR="00B62BAC">
        <w:rPr>
          <w:i/>
        </w:rPr>
        <w:t xml:space="preserve"> </w:t>
      </w:r>
      <w:r w:rsidR="009A635F">
        <w:rPr>
          <w:iCs/>
        </w:rPr>
        <w:t>i</w:t>
      </w:r>
      <w:r w:rsidR="00B62BAC">
        <w:rPr>
          <w:iCs/>
        </w:rPr>
        <w:t xml:space="preserve">nsofar as the plaintiff only came to know of the defamation, and in particular the identity of the maker of the statement on 10 February 2022, s 133(3) of the Act could not be interpreted as to require inmates </w:t>
      </w:r>
      <w:r w:rsidR="00DB59CE">
        <w:rPr>
          <w:iCs/>
        </w:rPr>
        <w:t xml:space="preserve">or offenders </w:t>
      </w:r>
      <w:r w:rsidR="00B62BAC">
        <w:rPr>
          <w:iCs/>
        </w:rPr>
        <w:t>in particular to institute action whilst not aware of, or whilst the c</w:t>
      </w:r>
      <w:r w:rsidR="00DB59CE">
        <w:rPr>
          <w:iCs/>
        </w:rPr>
        <w:t>ause of action is not complete.</w:t>
      </w:r>
    </w:p>
    <w:p w14:paraId="3F489A34" w14:textId="77777777" w:rsidR="00DB59CE" w:rsidRDefault="00DB59CE" w:rsidP="005B12CA">
      <w:pPr>
        <w:rPr>
          <w:iCs/>
        </w:rPr>
      </w:pPr>
    </w:p>
    <w:p w14:paraId="5F50821F" w14:textId="7BDD3FE3" w:rsidR="00DB59CE" w:rsidRDefault="00DB59CE" w:rsidP="005B12CA">
      <w:pPr>
        <w:rPr>
          <w:iCs/>
        </w:rPr>
      </w:pPr>
      <w:r>
        <w:rPr>
          <w:iCs/>
        </w:rPr>
        <w:t>Special pleas dismissed.</w:t>
      </w:r>
    </w:p>
    <w:p w14:paraId="1DA91D7E" w14:textId="77777777" w:rsidR="00DB59CE" w:rsidRDefault="00DB59CE" w:rsidP="005B12CA">
      <w:pPr>
        <w:rPr>
          <w:iCs/>
        </w:rPr>
      </w:pPr>
    </w:p>
    <w:p w14:paraId="71E8F4DA" w14:textId="77777777" w:rsidR="00DB59CE" w:rsidRPr="009A635F" w:rsidRDefault="00DB59CE" w:rsidP="005B12CA">
      <w:pPr>
        <w:rPr>
          <w:iCs/>
        </w:rPr>
      </w:pPr>
    </w:p>
    <w:p w14:paraId="6BE47DE3" w14:textId="77777777" w:rsidR="00853524" w:rsidRPr="00794D13" w:rsidRDefault="00000000" w:rsidP="005B12CA">
      <w:pPr>
        <w:rPr>
          <w:bCs/>
        </w:rPr>
      </w:pPr>
      <w:r>
        <w:rPr>
          <w:bCs/>
        </w:rPr>
        <w:lastRenderedPageBreak/>
        <w:pict w14:anchorId="5E7E26FB">
          <v:rect id="_x0000_i1025" style="width:0;height:1.5pt" o:hralign="center" o:hrstd="t" o:hr="t" fillcolor="#a0a0a0" stroked="f"/>
        </w:pict>
      </w:r>
    </w:p>
    <w:p w14:paraId="37BE7084" w14:textId="4192C691" w:rsidR="00853524" w:rsidRPr="00794D13" w:rsidRDefault="001F6CB9" w:rsidP="005B12CA">
      <w:pPr>
        <w:jc w:val="center"/>
        <w:rPr>
          <w:b/>
          <w:bCs/>
        </w:rPr>
      </w:pPr>
      <w:r w:rsidRPr="00794D13">
        <w:rPr>
          <w:b/>
          <w:bCs/>
        </w:rPr>
        <w:t>ORDER</w:t>
      </w:r>
    </w:p>
    <w:p w14:paraId="395B7EDA" w14:textId="63929243" w:rsidR="00853524" w:rsidRPr="007D2492" w:rsidRDefault="00000000" w:rsidP="005B12CA">
      <w:pPr>
        <w:jc w:val="center"/>
        <w:rPr>
          <w:b/>
          <w:bCs/>
        </w:rPr>
      </w:pPr>
      <w:r>
        <w:rPr>
          <w:bCs/>
        </w:rPr>
        <w:pict w14:anchorId="28AA4E8A">
          <v:rect id="_x0000_i1026" style="width:0;height:1.5pt" o:hralign="center" o:hrstd="t" o:hr="t" fillcolor="#a0a0a0" stroked="f"/>
        </w:pict>
      </w:r>
    </w:p>
    <w:p w14:paraId="67359522" w14:textId="77777777" w:rsidR="002E1CFF" w:rsidRDefault="002E1CFF" w:rsidP="005B12CA">
      <w:pPr>
        <w:pStyle w:val="ListParagraph"/>
        <w:ind w:left="1134"/>
        <w:rPr>
          <w:lang w:val="en-ZA"/>
        </w:rPr>
      </w:pPr>
    </w:p>
    <w:p w14:paraId="2CF449BD" w14:textId="7A3D5A80" w:rsidR="000A1206" w:rsidRPr="00C373B3" w:rsidRDefault="00C373B3" w:rsidP="00C373B3">
      <w:r>
        <w:rPr>
          <w:rFonts w:cs="Times New Roman"/>
          <w:spacing w:val="0"/>
          <w:szCs w:val="22"/>
        </w:rPr>
        <w:t>1.</w:t>
      </w:r>
      <w:r>
        <w:rPr>
          <w:rFonts w:cs="Times New Roman"/>
          <w:spacing w:val="0"/>
          <w:szCs w:val="22"/>
        </w:rPr>
        <w:tab/>
      </w:r>
      <w:r w:rsidR="000A1206" w:rsidRPr="00C373B3">
        <w:t>The defendants’ two special pleas are dismissed.</w:t>
      </w:r>
    </w:p>
    <w:p w14:paraId="32BD9CAC" w14:textId="77777777" w:rsidR="000A1206" w:rsidRDefault="000A1206" w:rsidP="005B12CA">
      <w:pPr>
        <w:pStyle w:val="ListParagraph"/>
        <w:ind w:left="0"/>
        <w:rPr>
          <w:lang w:val="en-ZA"/>
        </w:rPr>
      </w:pPr>
    </w:p>
    <w:p w14:paraId="2F303120" w14:textId="09C44B31" w:rsidR="000A1206" w:rsidRPr="00C373B3" w:rsidRDefault="00C373B3" w:rsidP="00C373B3">
      <w:r>
        <w:rPr>
          <w:rFonts w:cs="Times New Roman"/>
          <w:spacing w:val="0"/>
          <w:szCs w:val="22"/>
        </w:rPr>
        <w:t>2.</w:t>
      </w:r>
      <w:r>
        <w:rPr>
          <w:rFonts w:cs="Times New Roman"/>
          <w:spacing w:val="0"/>
          <w:szCs w:val="22"/>
        </w:rPr>
        <w:tab/>
      </w:r>
      <w:r w:rsidR="000A1206" w:rsidRPr="00C373B3">
        <w:t xml:space="preserve">The parties must make discovery in terms of rule 28 and exchange their bundles of discovered documents on or before </w:t>
      </w:r>
      <w:r w:rsidR="000A1206" w:rsidRPr="00C373B3">
        <w:rPr>
          <w:b/>
        </w:rPr>
        <w:t>24 January 2024</w:t>
      </w:r>
      <w:r w:rsidR="000A1206" w:rsidRPr="00C373B3">
        <w:t>.</w:t>
      </w:r>
    </w:p>
    <w:p w14:paraId="6512FB71" w14:textId="77777777" w:rsidR="00ED4F5F" w:rsidRPr="00ED4F5F" w:rsidRDefault="00ED4F5F" w:rsidP="00ED4F5F">
      <w:pPr>
        <w:pStyle w:val="ListParagraph"/>
        <w:rPr>
          <w:lang w:val="en-ZA"/>
        </w:rPr>
      </w:pPr>
    </w:p>
    <w:p w14:paraId="5A7E8DB5" w14:textId="3F203C18" w:rsidR="00ED4F5F" w:rsidRPr="00C373B3" w:rsidRDefault="00C373B3" w:rsidP="00C373B3">
      <w:r w:rsidRPr="00ED4F5F">
        <w:rPr>
          <w:rFonts w:cs="Times New Roman"/>
          <w:spacing w:val="0"/>
          <w:szCs w:val="22"/>
        </w:rPr>
        <w:t>3.</w:t>
      </w:r>
      <w:r w:rsidRPr="00ED4F5F">
        <w:rPr>
          <w:rFonts w:cs="Times New Roman"/>
          <w:spacing w:val="0"/>
          <w:szCs w:val="22"/>
        </w:rPr>
        <w:tab/>
      </w:r>
      <w:r w:rsidR="00ED4F5F" w:rsidRPr="00ED4F5F">
        <w:t xml:space="preserve">The matter is postponed to </w:t>
      </w:r>
      <w:r w:rsidR="00ED4F5F" w:rsidRPr="00C373B3">
        <w:rPr>
          <w:b/>
          <w:bCs/>
        </w:rPr>
        <w:t xml:space="preserve">5 February 2024 </w:t>
      </w:r>
      <w:r w:rsidR="00ED4F5F" w:rsidRPr="00C373B3">
        <w:rPr>
          <w:bCs/>
        </w:rPr>
        <w:t>at</w:t>
      </w:r>
      <w:r w:rsidR="00ED4F5F" w:rsidRPr="00C373B3">
        <w:rPr>
          <w:b/>
          <w:bCs/>
        </w:rPr>
        <w:t xml:space="preserve"> 15h30</w:t>
      </w:r>
      <w:r w:rsidR="00ED4F5F" w:rsidRPr="00ED4F5F">
        <w:t xml:space="preserve"> for a case management conference.</w:t>
      </w:r>
    </w:p>
    <w:p w14:paraId="440F2D7F" w14:textId="77777777" w:rsidR="00ED4F5F" w:rsidRPr="00ED4F5F" w:rsidRDefault="00ED4F5F" w:rsidP="00ED4F5F">
      <w:pPr>
        <w:pStyle w:val="ListParagraph"/>
        <w:rPr>
          <w:lang w:val="en-ZA"/>
        </w:rPr>
      </w:pPr>
    </w:p>
    <w:p w14:paraId="0688CFB2" w14:textId="613F227E" w:rsidR="009A635F" w:rsidRPr="00C373B3" w:rsidRDefault="00C373B3" w:rsidP="00C373B3">
      <w:r w:rsidRPr="009A635F">
        <w:rPr>
          <w:rFonts w:cs="Times New Roman"/>
          <w:spacing w:val="0"/>
          <w:szCs w:val="22"/>
        </w:rPr>
        <w:t>4.</w:t>
      </w:r>
      <w:r w:rsidRPr="009A635F">
        <w:rPr>
          <w:rFonts w:cs="Times New Roman"/>
          <w:spacing w:val="0"/>
          <w:szCs w:val="22"/>
        </w:rPr>
        <w:tab/>
      </w:r>
      <w:r w:rsidR="000A1206" w:rsidRPr="00C373B3">
        <w:t>The parties must file a joint case management conference</w:t>
      </w:r>
      <w:r w:rsidR="0046094F" w:rsidRPr="00C373B3">
        <w:t xml:space="preserve"> report</w:t>
      </w:r>
      <w:r w:rsidR="000A1206" w:rsidRPr="00C373B3">
        <w:t xml:space="preserve"> on or before </w:t>
      </w:r>
      <w:r w:rsidR="000A1206" w:rsidRPr="00C373B3">
        <w:rPr>
          <w:b/>
        </w:rPr>
        <w:t>31 January 2024</w:t>
      </w:r>
      <w:r w:rsidR="000A1206" w:rsidRPr="00C373B3">
        <w:t xml:space="preserve"> at </w:t>
      </w:r>
      <w:r w:rsidR="000A1206" w:rsidRPr="00C373B3">
        <w:rPr>
          <w:b/>
        </w:rPr>
        <w:t>15h00</w:t>
      </w:r>
      <w:r w:rsidR="000A1206" w:rsidRPr="00C373B3">
        <w:t>.</w:t>
      </w:r>
      <w:bookmarkStart w:id="1" w:name="_Hlk118988738"/>
      <w:bookmarkStart w:id="2" w:name="_Hlk112176695"/>
    </w:p>
    <w:p w14:paraId="4B78DDE3" w14:textId="77777777" w:rsidR="009A635F" w:rsidRPr="009A635F" w:rsidRDefault="009A635F" w:rsidP="009A635F">
      <w:pPr>
        <w:pStyle w:val="ListParagraph"/>
        <w:ind w:left="0"/>
        <w:rPr>
          <w:lang w:val="en-ZA"/>
        </w:rPr>
      </w:pPr>
    </w:p>
    <w:bookmarkEnd w:id="1"/>
    <w:bookmarkEnd w:id="2"/>
    <w:p w14:paraId="6BCDA908" w14:textId="77777777" w:rsidR="00853524" w:rsidRPr="00794D13" w:rsidRDefault="00000000" w:rsidP="005B12CA">
      <w:pPr>
        <w:rPr>
          <w:bCs/>
        </w:rPr>
      </w:pPr>
      <w:r>
        <w:rPr>
          <w:bCs/>
        </w:rPr>
        <w:pict w14:anchorId="2893D86E">
          <v:rect id="_x0000_i1027" style="width:0;height:1.5pt" o:hralign="center" o:hrstd="t" o:hr="t" fillcolor="#a0a0a0" stroked="f"/>
        </w:pict>
      </w:r>
    </w:p>
    <w:p w14:paraId="4BDA99AF" w14:textId="283B76EE" w:rsidR="00853524" w:rsidRPr="00794D13" w:rsidRDefault="001F6CB9" w:rsidP="005B12CA">
      <w:pPr>
        <w:jc w:val="center"/>
        <w:rPr>
          <w:b/>
        </w:rPr>
      </w:pPr>
      <w:r w:rsidRPr="00794D13">
        <w:rPr>
          <w:b/>
        </w:rPr>
        <w:t>JUDGMENT</w:t>
      </w:r>
    </w:p>
    <w:p w14:paraId="249A22DE" w14:textId="0DA72A6C" w:rsidR="005368A3" w:rsidRPr="002E1CFF" w:rsidRDefault="00000000" w:rsidP="005B12CA">
      <w:pPr>
        <w:jc w:val="center"/>
        <w:rPr>
          <w:b/>
        </w:rPr>
      </w:pPr>
      <w:r>
        <w:rPr>
          <w:bCs/>
        </w:rPr>
        <w:pict w14:anchorId="4AE2B4B3">
          <v:rect id="_x0000_i1028" style="width:0;height:1.5pt" o:hralign="center" o:hrstd="t" o:hr="t" fillcolor="#a0a0a0" stroked="f"/>
        </w:pict>
      </w:r>
    </w:p>
    <w:p w14:paraId="565439A6" w14:textId="77777777" w:rsidR="00F179AC" w:rsidRDefault="00F179AC" w:rsidP="005B12CA"/>
    <w:p w14:paraId="2BC4993E" w14:textId="3037BCCF" w:rsidR="007D2492" w:rsidRDefault="006F4DCB" w:rsidP="005B12CA">
      <w:r w:rsidRPr="00794D13">
        <w:t>SCHIMMING-CHASE</w:t>
      </w:r>
      <w:r w:rsidR="00853524" w:rsidRPr="00794D13">
        <w:t xml:space="preserve"> J</w:t>
      </w:r>
      <w:r w:rsidRPr="00794D13">
        <w:t>:</w:t>
      </w:r>
    </w:p>
    <w:p w14:paraId="65533082" w14:textId="77777777" w:rsidR="007D2492" w:rsidRPr="007D2492" w:rsidRDefault="007D2492" w:rsidP="005B12CA"/>
    <w:p w14:paraId="1202B93C" w14:textId="5B0479CA" w:rsidR="00E057F8" w:rsidRPr="005B12CA" w:rsidRDefault="00C373B3" w:rsidP="00C373B3">
      <w:pPr>
        <w:pStyle w:val="Heading1"/>
        <w:numPr>
          <w:ilvl w:val="0"/>
          <w:numId w:val="0"/>
        </w:numPr>
        <w:rPr>
          <w:bCs/>
        </w:rPr>
      </w:pPr>
      <w:r w:rsidRPr="005B12CA">
        <w:rPr>
          <w:bCs/>
        </w:rPr>
        <w:t>[1]</w:t>
      </w:r>
      <w:r w:rsidRPr="005B12CA">
        <w:rPr>
          <w:bCs/>
        </w:rPr>
        <w:tab/>
      </w:r>
      <w:r w:rsidR="002B490B">
        <w:t>Up for determination is</w:t>
      </w:r>
      <w:r w:rsidR="0014245A">
        <w:t xml:space="preserve"> whether the </w:t>
      </w:r>
      <w:r w:rsidR="00E057F8" w:rsidRPr="00794D13">
        <w:t xml:space="preserve">defendants’ </w:t>
      </w:r>
      <w:r w:rsidR="0014245A">
        <w:t>s</w:t>
      </w:r>
      <w:r w:rsidR="0014245A" w:rsidRPr="00794D13">
        <w:t xml:space="preserve">pecial pleas </w:t>
      </w:r>
      <w:r w:rsidR="007D2492">
        <w:t>of</w:t>
      </w:r>
      <w:r w:rsidR="002B490B">
        <w:t xml:space="preserve"> prescription and non-compliance with s 133</w:t>
      </w:r>
      <w:r w:rsidR="00B62BAC">
        <w:t xml:space="preserve">(3) and </w:t>
      </w:r>
      <w:r w:rsidR="002B490B">
        <w:t>(4) of the Correctional Service Act 9 of 2012 (‘the Act’) should be upheld.</w:t>
      </w:r>
    </w:p>
    <w:p w14:paraId="6847F202" w14:textId="77777777" w:rsidR="00E057F8" w:rsidRPr="00794D13" w:rsidRDefault="00E057F8" w:rsidP="005B12CA">
      <w:pPr>
        <w:pStyle w:val="ListParagraph"/>
        <w:ind w:left="0"/>
        <w:rPr>
          <w:b/>
          <w:lang w:val="en-ZA"/>
        </w:rPr>
      </w:pPr>
    </w:p>
    <w:p w14:paraId="5163408C" w14:textId="4251E67F" w:rsidR="00E057F8" w:rsidRPr="005B12CA" w:rsidRDefault="00C373B3" w:rsidP="00C373B3">
      <w:pPr>
        <w:pStyle w:val="Heading1"/>
        <w:numPr>
          <w:ilvl w:val="0"/>
          <w:numId w:val="0"/>
        </w:numPr>
        <w:rPr>
          <w:bCs/>
        </w:rPr>
      </w:pPr>
      <w:r w:rsidRPr="005B12CA">
        <w:rPr>
          <w:bCs/>
        </w:rPr>
        <w:t>[2]</w:t>
      </w:r>
      <w:r w:rsidRPr="005B12CA">
        <w:rPr>
          <w:bCs/>
        </w:rPr>
        <w:tab/>
      </w:r>
      <w:r w:rsidR="00E057F8" w:rsidRPr="00794D13">
        <w:t>Th</w:t>
      </w:r>
      <w:r w:rsidR="003759B4">
        <w:t xml:space="preserve">e plaintiff is Immanuel </w:t>
      </w:r>
      <w:proofErr w:type="spellStart"/>
      <w:r w:rsidR="003759B4">
        <w:t>Samukuta</w:t>
      </w:r>
      <w:proofErr w:type="spellEnd"/>
      <w:r w:rsidR="003F3069">
        <w:t>,</w:t>
      </w:r>
      <w:r w:rsidR="00E057F8" w:rsidRPr="00794D13">
        <w:t xml:space="preserve"> an adult male presently incarcerated at the Windhoek Correctional Facility, Windhoek</w:t>
      </w:r>
      <w:r w:rsidR="00D21FE8" w:rsidRPr="00794D13">
        <w:t xml:space="preserve">, who </w:t>
      </w:r>
      <w:r w:rsidR="005B12CA">
        <w:t>instituted action against the defendants on 20 May 2022 for damages in the amount of N$500 000</w:t>
      </w:r>
      <w:r w:rsidR="00C62A10">
        <w:t xml:space="preserve"> for </w:t>
      </w:r>
      <w:r w:rsidR="00D21FE8" w:rsidRPr="00794D13">
        <w:t>alleg</w:t>
      </w:r>
      <w:r w:rsidR="0014245A">
        <w:t>ed defamatory statements</w:t>
      </w:r>
      <w:r w:rsidR="00E2642B">
        <w:t xml:space="preserve"> </w:t>
      </w:r>
      <w:r w:rsidR="0014245A">
        <w:t xml:space="preserve">made </w:t>
      </w:r>
      <w:r w:rsidR="00C62A10">
        <w:t>by the third defendant on</w:t>
      </w:r>
      <w:r w:rsidR="00C62A10" w:rsidRPr="00794D13">
        <w:t xml:space="preserve"> 25 September 2020.</w:t>
      </w:r>
      <w:r w:rsidR="00C62A10">
        <w:t xml:space="preserve"> The defendants defended the matter on 31 May 2022.  </w:t>
      </w:r>
    </w:p>
    <w:p w14:paraId="6AAA44DB" w14:textId="77777777" w:rsidR="00D21FE8" w:rsidRPr="00794D13" w:rsidRDefault="00D21FE8" w:rsidP="002456B2">
      <w:pPr>
        <w:pStyle w:val="ListParagraph"/>
        <w:rPr>
          <w:b/>
          <w:lang w:val="en-ZA"/>
        </w:rPr>
      </w:pPr>
    </w:p>
    <w:p w14:paraId="072193BA" w14:textId="3FFC04D3" w:rsidR="0014245A" w:rsidRDefault="00C373B3" w:rsidP="00C373B3">
      <w:pPr>
        <w:pStyle w:val="Heading1"/>
        <w:numPr>
          <w:ilvl w:val="0"/>
          <w:numId w:val="0"/>
        </w:numPr>
      </w:pPr>
      <w:r>
        <w:t>[3]</w:t>
      </w:r>
      <w:r>
        <w:tab/>
      </w:r>
      <w:r w:rsidR="00D21FE8" w:rsidRPr="0014245A">
        <w:t xml:space="preserve">The first </w:t>
      </w:r>
      <w:r w:rsidR="00F179AC">
        <w:t xml:space="preserve">and second </w:t>
      </w:r>
      <w:r w:rsidR="00D21FE8" w:rsidRPr="0014245A">
        <w:t>defendant</w:t>
      </w:r>
      <w:r w:rsidR="00F179AC">
        <w:t>s are</w:t>
      </w:r>
      <w:r w:rsidR="00D21FE8" w:rsidRPr="0014245A">
        <w:t xml:space="preserve"> the </w:t>
      </w:r>
      <w:r w:rsidR="00F179AC">
        <w:t>Minister of Safety and Security and Commissioner of the Namibian Correctional Service, who are sued in their official capacities as the Head and Director General, respectively,</w:t>
      </w:r>
      <w:r w:rsidR="00D21FE8" w:rsidRPr="0014245A">
        <w:t xml:space="preserve"> of the </w:t>
      </w:r>
      <w:r w:rsidR="00D21FE8" w:rsidRPr="0014245A">
        <w:lastRenderedPageBreak/>
        <w:t>Namibian Correctional Service. The third defendant is Superintendent HN Uusiku, who is sued in her official capacity as the Superintendent of the Namibian Correctional S</w:t>
      </w:r>
      <w:r w:rsidR="0014245A">
        <w:t>ervice</w:t>
      </w:r>
      <w:r w:rsidR="002456B2">
        <w:t xml:space="preserve">. She is the </w:t>
      </w:r>
      <w:r w:rsidR="00B52475">
        <w:t xml:space="preserve">alleged </w:t>
      </w:r>
      <w:r w:rsidR="002E1CFF">
        <w:t>author and publisher of the purported defamatory statements being the subject-matter of the</w:t>
      </w:r>
      <w:r w:rsidR="00F179AC">
        <w:t xml:space="preserve"> present</w:t>
      </w:r>
      <w:r w:rsidR="002E1CFF">
        <w:t xml:space="preserve"> action</w:t>
      </w:r>
      <w:r w:rsidR="00F179AC">
        <w:t xml:space="preserve"> before court.</w:t>
      </w:r>
    </w:p>
    <w:p w14:paraId="0B442802" w14:textId="77777777" w:rsidR="002456B2" w:rsidRDefault="002456B2" w:rsidP="002456B2"/>
    <w:p w14:paraId="5ED064F3" w14:textId="483BFA3E" w:rsidR="002456B2" w:rsidRDefault="00C373B3" w:rsidP="00C373B3">
      <w:pPr>
        <w:pStyle w:val="Heading1"/>
        <w:numPr>
          <w:ilvl w:val="0"/>
          <w:numId w:val="0"/>
        </w:numPr>
      </w:pPr>
      <w:r>
        <w:t>[4]</w:t>
      </w:r>
      <w:r>
        <w:tab/>
      </w:r>
      <w:r w:rsidR="002456B2">
        <w:t xml:space="preserve">The plaintiff’s case as summarised in the </w:t>
      </w:r>
      <w:r w:rsidR="00700032">
        <w:t xml:space="preserve">amended </w:t>
      </w:r>
      <w:r w:rsidR="002456B2">
        <w:t xml:space="preserve">particulars of claim </w:t>
      </w:r>
      <w:r w:rsidR="003F3069">
        <w:t xml:space="preserve">is </w:t>
      </w:r>
      <w:r w:rsidR="002456B2">
        <w:t xml:space="preserve">that on or about 25 September 2020, and at the </w:t>
      </w:r>
      <w:r w:rsidR="00030F9D">
        <w:t xml:space="preserve">Windhoek Correctional Facility, the third defendant authored a ‘Behavioural / Change Progress </w:t>
      </w:r>
      <w:r w:rsidR="003F3069">
        <w:t>R</w:t>
      </w:r>
      <w:r w:rsidR="00030F9D">
        <w:t xml:space="preserve">eport’ </w:t>
      </w:r>
      <w:r w:rsidR="003F3069">
        <w:t>of and concerning</w:t>
      </w:r>
      <w:r w:rsidR="00030F9D">
        <w:t xml:space="preserve"> the plaintiff</w:t>
      </w:r>
      <w:r w:rsidR="00B52475">
        <w:t>,</w:t>
      </w:r>
      <w:r w:rsidR="00030F9D">
        <w:t xml:space="preserve"> to the effect that there was an allegation </w:t>
      </w:r>
      <w:r w:rsidR="00B52475">
        <w:t xml:space="preserve">made </w:t>
      </w:r>
      <w:r w:rsidR="00030F9D">
        <w:t>on 23 April 2020</w:t>
      </w:r>
      <w:r w:rsidR="00B52475">
        <w:t xml:space="preserve"> that </w:t>
      </w:r>
      <w:r w:rsidR="00030F9D">
        <w:t xml:space="preserve">the plaintiff sodomised another incarcerated </w:t>
      </w:r>
      <w:r w:rsidR="003F3069">
        <w:t>inmate</w:t>
      </w:r>
      <w:r w:rsidR="00030F9D">
        <w:t xml:space="preserve">. Further that the plaintiff warned the said </w:t>
      </w:r>
      <w:r w:rsidR="003F3069">
        <w:t>inmate</w:t>
      </w:r>
      <w:r w:rsidR="00030F9D">
        <w:t xml:space="preserve"> not to tell anyone about the alleged incident</w:t>
      </w:r>
      <w:r w:rsidR="00B52475">
        <w:t>/s</w:t>
      </w:r>
      <w:r w:rsidR="00030F9D">
        <w:t xml:space="preserve">. </w:t>
      </w:r>
    </w:p>
    <w:p w14:paraId="6E3EF0AD" w14:textId="77777777" w:rsidR="00030F9D" w:rsidRDefault="00030F9D" w:rsidP="00030F9D"/>
    <w:p w14:paraId="7844AB6D" w14:textId="4814277E" w:rsidR="00B52475" w:rsidRDefault="00C373B3" w:rsidP="00C373B3">
      <w:pPr>
        <w:pStyle w:val="Heading1"/>
        <w:numPr>
          <w:ilvl w:val="0"/>
          <w:numId w:val="0"/>
        </w:numPr>
      </w:pPr>
      <w:r>
        <w:t>[5]</w:t>
      </w:r>
      <w:r>
        <w:tab/>
      </w:r>
      <w:r w:rsidR="00B52475" w:rsidRPr="00B52475">
        <w:t xml:space="preserve">The defendants pleaded to the plaintiff’s claim </w:t>
      </w:r>
      <w:r w:rsidR="00B52475">
        <w:t xml:space="preserve">denying the defamation, </w:t>
      </w:r>
      <w:r w:rsidR="00B52475" w:rsidRPr="00B52475">
        <w:t>and raised two special pleas. Firstly</w:t>
      </w:r>
      <w:r w:rsidR="0046094F">
        <w:t>,</w:t>
      </w:r>
      <w:r w:rsidR="00B52475" w:rsidRPr="00B52475">
        <w:t xml:space="preserve"> the defendants plead that </w:t>
      </w:r>
      <w:r w:rsidR="00B52475">
        <w:t>the plaintiff</w:t>
      </w:r>
      <w:r w:rsidR="00B52475" w:rsidRPr="00B52475">
        <w:t xml:space="preserve"> contravened s 133(4) of the </w:t>
      </w:r>
      <w:r w:rsidR="00B52475">
        <w:t xml:space="preserve">Correctional Service </w:t>
      </w:r>
      <w:r w:rsidR="00B52475" w:rsidRPr="00B52475">
        <w:t>Act</w:t>
      </w:r>
      <w:r w:rsidR="0046094F">
        <w:t xml:space="preserve"> No 9 of 2012 (‘the Act’</w:t>
      </w:r>
      <w:r w:rsidR="00B52475">
        <w:t>)</w:t>
      </w:r>
      <w:r w:rsidR="00B52475" w:rsidRPr="00B52475">
        <w:t xml:space="preserve"> by failing to provide statutory notice one month prior to instituting these proceedings. Secondly, th</w:t>
      </w:r>
      <w:r w:rsidR="00B52475">
        <w:t>ey plead that the plaintiff</w:t>
      </w:r>
      <w:r w:rsidR="00B52475" w:rsidRPr="00B52475">
        <w:t xml:space="preserve"> failed to comply with s 133(3) of the Act</w:t>
      </w:r>
      <w:r w:rsidR="00B52475">
        <w:t>,</w:t>
      </w:r>
      <w:r w:rsidR="00B52475" w:rsidRPr="00B52475">
        <w:t xml:space="preserve"> having instituted</w:t>
      </w:r>
      <w:r w:rsidR="0046094F">
        <w:t xml:space="preserve"> these proceedings outside the six</w:t>
      </w:r>
      <w:r w:rsidR="00B52475" w:rsidRPr="00B52475">
        <w:t xml:space="preserve">-month </w:t>
      </w:r>
      <w:r w:rsidR="0046094F">
        <w:t>period prescribed by the section</w:t>
      </w:r>
      <w:r w:rsidR="00B52475" w:rsidRPr="00B52475">
        <w:t>, as the cause of action apparently arose on 23 April 2020.</w:t>
      </w:r>
      <w:r w:rsidR="00B52475">
        <w:t xml:space="preserve"> In the event that the cause of action arose on 25 September 2020, the plaintiff remains out of time for purposes of the </w:t>
      </w:r>
      <w:r w:rsidR="0046094F">
        <w:t>six</w:t>
      </w:r>
      <w:r w:rsidR="0073716E">
        <w:t>-month</w:t>
      </w:r>
      <w:r w:rsidR="00B52475">
        <w:t xml:space="preserve"> period, as action was instituted on 20 May 2022.</w:t>
      </w:r>
    </w:p>
    <w:p w14:paraId="2D393E60" w14:textId="77777777" w:rsidR="00B52475" w:rsidRPr="00B52475" w:rsidRDefault="00B52475" w:rsidP="00B52475"/>
    <w:p w14:paraId="3E345D8F" w14:textId="4095A628" w:rsidR="003C4426" w:rsidRPr="003C4426" w:rsidRDefault="00C373B3" w:rsidP="00C373B3">
      <w:pPr>
        <w:pStyle w:val="Heading1"/>
        <w:numPr>
          <w:ilvl w:val="0"/>
          <w:numId w:val="0"/>
        </w:numPr>
      </w:pPr>
      <w:r w:rsidRPr="003C4426">
        <w:t>[6]</w:t>
      </w:r>
      <w:r w:rsidRPr="003C4426">
        <w:tab/>
      </w:r>
      <w:r w:rsidR="00700032">
        <w:t xml:space="preserve">A number of </w:t>
      </w:r>
      <w:r w:rsidR="00534F2D">
        <w:t xml:space="preserve">recognised </w:t>
      </w:r>
      <w:r w:rsidR="00700032">
        <w:t xml:space="preserve">defences are raised in the plea on the merits, including but not limited to pleading that </w:t>
      </w:r>
      <w:r w:rsidR="00030F9D">
        <w:t>the inmate in question reported that the plaintiff sodo</w:t>
      </w:r>
      <w:r w:rsidR="00E54228">
        <w:t>mis</w:t>
      </w:r>
      <w:r w:rsidR="00700032">
        <w:t>ed</w:t>
      </w:r>
      <w:r w:rsidR="00E54228">
        <w:t xml:space="preserve"> </w:t>
      </w:r>
      <w:r w:rsidR="00D47082">
        <w:t xml:space="preserve">him </w:t>
      </w:r>
      <w:r w:rsidR="00E54228">
        <w:t xml:space="preserve">in exchange for toiletries and other items to one Superintendent </w:t>
      </w:r>
      <w:proofErr w:type="spellStart"/>
      <w:r w:rsidR="00E54228">
        <w:t>Maboga</w:t>
      </w:r>
      <w:proofErr w:type="spellEnd"/>
      <w:r w:rsidR="00E54228">
        <w:t>, who in turn author</w:t>
      </w:r>
      <w:r w:rsidR="00534F2D">
        <w:t>ed</w:t>
      </w:r>
      <w:r w:rsidR="00E54228">
        <w:t xml:space="preserve"> ‘case notes’ which narrated the complainant’s version of events</w:t>
      </w:r>
      <w:r w:rsidR="00700032">
        <w:t xml:space="preserve"> on 23 April 2020</w:t>
      </w:r>
      <w:r w:rsidR="00E54228">
        <w:t xml:space="preserve">. The report was then published by the third defendant on or about 25 September 2020 in a ‘Behavioural Change Report’. </w:t>
      </w:r>
    </w:p>
    <w:p w14:paraId="76A4C850" w14:textId="77777777" w:rsidR="00B13156" w:rsidRPr="00794D13" w:rsidRDefault="00B13156" w:rsidP="005B12CA">
      <w:pPr>
        <w:pStyle w:val="ListParagraph"/>
        <w:rPr>
          <w:b/>
          <w:lang w:val="en-ZA"/>
        </w:rPr>
      </w:pPr>
    </w:p>
    <w:p w14:paraId="49D316E8" w14:textId="62CF2A46" w:rsidR="00794D13" w:rsidRPr="003C4426" w:rsidRDefault="00C373B3" w:rsidP="00C373B3">
      <w:pPr>
        <w:pStyle w:val="Heading1"/>
        <w:numPr>
          <w:ilvl w:val="0"/>
          <w:numId w:val="0"/>
        </w:numPr>
        <w:rPr>
          <w:bCs/>
        </w:rPr>
      </w:pPr>
      <w:r w:rsidRPr="003C4426">
        <w:rPr>
          <w:bCs/>
        </w:rPr>
        <w:t>[7]</w:t>
      </w:r>
      <w:r w:rsidRPr="003C4426">
        <w:rPr>
          <w:bCs/>
        </w:rPr>
        <w:tab/>
      </w:r>
      <w:r w:rsidR="003C4426">
        <w:t xml:space="preserve">In his amended replication, </w:t>
      </w:r>
      <w:r w:rsidR="00700032">
        <w:t xml:space="preserve">and as regards the </w:t>
      </w:r>
      <w:r w:rsidR="0073716E">
        <w:t>30-day</w:t>
      </w:r>
      <w:r w:rsidR="00700032">
        <w:t xml:space="preserve"> notice period </w:t>
      </w:r>
      <w:r w:rsidR="00700032">
        <w:lastRenderedPageBreak/>
        <w:t xml:space="preserve">alleged not to have been complied with, </w:t>
      </w:r>
      <w:r w:rsidR="003C4426">
        <w:t xml:space="preserve">the plaintiff </w:t>
      </w:r>
      <w:r w:rsidR="00700032">
        <w:t xml:space="preserve">maintains that </w:t>
      </w:r>
      <w:r w:rsidR="00794D13" w:rsidRPr="00794D13">
        <w:t xml:space="preserve">he </w:t>
      </w:r>
      <w:r w:rsidR="00700032">
        <w:t xml:space="preserve">personally </w:t>
      </w:r>
      <w:r w:rsidR="00794D13" w:rsidRPr="00794D13">
        <w:t xml:space="preserve">served </w:t>
      </w:r>
      <w:r w:rsidR="00700032">
        <w:t xml:space="preserve"> the prescribed notice </w:t>
      </w:r>
      <w:r w:rsidR="00794D13" w:rsidRPr="00794D13">
        <w:t xml:space="preserve">on 25 April 2022 </w:t>
      </w:r>
      <w:r w:rsidR="009559B8">
        <w:t>(</w:t>
      </w:r>
      <w:r w:rsidR="00913E95">
        <w:t>five</w:t>
      </w:r>
      <w:r w:rsidR="003C4426">
        <w:t xml:space="preserve"> days before </w:t>
      </w:r>
      <w:r w:rsidR="00534F2D">
        <w:t xml:space="preserve">expiry of </w:t>
      </w:r>
      <w:r w:rsidR="003C4426">
        <w:t xml:space="preserve">the 30-day period prescribed by the </w:t>
      </w:r>
      <w:r w:rsidR="009559B8">
        <w:t xml:space="preserve">section) </w:t>
      </w:r>
      <w:r w:rsidR="00794D13" w:rsidRPr="00794D13">
        <w:t xml:space="preserve">with the assistance of </w:t>
      </w:r>
      <w:r w:rsidR="002E1CFF">
        <w:t>officials</w:t>
      </w:r>
      <w:r w:rsidR="00794D13" w:rsidRPr="00794D13">
        <w:t xml:space="preserve"> </w:t>
      </w:r>
      <w:r w:rsidR="00700032">
        <w:t>at</w:t>
      </w:r>
      <w:r w:rsidR="00794D13" w:rsidRPr="00794D13">
        <w:t xml:space="preserve"> </w:t>
      </w:r>
      <w:r w:rsidR="00534F2D">
        <w:t xml:space="preserve">the </w:t>
      </w:r>
      <w:r w:rsidR="00794D13" w:rsidRPr="00794D13">
        <w:t>Correctional Service</w:t>
      </w:r>
      <w:r w:rsidR="00534F2D">
        <w:t>,</w:t>
      </w:r>
      <w:r w:rsidR="00794D13" w:rsidRPr="00794D13">
        <w:t xml:space="preserve"> and that a copy of the notice was uploaded onto the eJustice system when action was instituted</w:t>
      </w:r>
      <w:r w:rsidR="00DB59CE">
        <w:t xml:space="preserve"> on 20 May 2022</w:t>
      </w:r>
      <w:r w:rsidR="00794D13" w:rsidRPr="00794D13">
        <w:t xml:space="preserve">. </w:t>
      </w:r>
      <w:r w:rsidR="009559B8">
        <w:t xml:space="preserve">The plaintiff pleaded </w:t>
      </w:r>
      <w:r w:rsidR="00700032">
        <w:t xml:space="preserve">that </w:t>
      </w:r>
      <w:r w:rsidR="00794D13" w:rsidRPr="00794D13">
        <w:t>he has achieved substantial compliance with s 133(4) of the Ac</w:t>
      </w:r>
      <w:r w:rsidR="00794D13">
        <w:t>t.</w:t>
      </w:r>
    </w:p>
    <w:p w14:paraId="45A6991B" w14:textId="77777777" w:rsidR="00794D13" w:rsidRPr="00794D13" w:rsidRDefault="00794D13" w:rsidP="005B12CA">
      <w:pPr>
        <w:pStyle w:val="ListParagraph"/>
        <w:rPr>
          <w:lang w:val="en-ZA"/>
        </w:rPr>
      </w:pPr>
    </w:p>
    <w:p w14:paraId="10B44FC6" w14:textId="33FF438C" w:rsidR="00534F2D" w:rsidRDefault="00C373B3" w:rsidP="00C373B3">
      <w:pPr>
        <w:pStyle w:val="Heading1"/>
        <w:numPr>
          <w:ilvl w:val="0"/>
          <w:numId w:val="0"/>
        </w:numPr>
      </w:pPr>
      <w:r>
        <w:t>[8]</w:t>
      </w:r>
      <w:r>
        <w:tab/>
      </w:r>
      <w:r w:rsidR="00794D13" w:rsidRPr="00794D13">
        <w:t xml:space="preserve">As regards the special plea of prescription, </w:t>
      </w:r>
      <w:r w:rsidR="008569CD">
        <w:t xml:space="preserve">the plaintiff </w:t>
      </w:r>
      <w:r w:rsidR="00794D13" w:rsidRPr="00794D13">
        <w:t>replicated that the purported offending statement was authored and published on 25 September 2020 as opposed to 23 April 2020 as alleged by the defendants, and that he only came to know of the</w:t>
      </w:r>
      <w:r w:rsidR="001862B4">
        <w:t xml:space="preserve"> identity of the ‘maker’</w:t>
      </w:r>
      <w:r w:rsidR="00794D13" w:rsidRPr="00794D13">
        <w:t xml:space="preserve"> </w:t>
      </w:r>
      <w:r w:rsidR="001862B4">
        <w:t xml:space="preserve">of the </w:t>
      </w:r>
      <w:r w:rsidR="00794D13" w:rsidRPr="00794D13">
        <w:t>alleged defamatory statement</w:t>
      </w:r>
      <w:r w:rsidR="002E1CFF">
        <w:t>s</w:t>
      </w:r>
      <w:r w:rsidR="001862B4">
        <w:t>, the third defendant,</w:t>
      </w:r>
      <w:r w:rsidR="00794D13" w:rsidRPr="00794D13">
        <w:t xml:space="preserve"> on 10 February 2022 when his new case management officer</w:t>
      </w:r>
      <w:r w:rsidR="001862B4">
        <w:t xml:space="preserve"> </w:t>
      </w:r>
      <w:r w:rsidR="00794D13" w:rsidRPr="00794D13">
        <w:t xml:space="preserve">provided him with </w:t>
      </w:r>
      <w:r w:rsidR="00534F2D">
        <w:t>the</w:t>
      </w:r>
      <w:r w:rsidR="00794D13" w:rsidRPr="00794D13">
        <w:t xml:space="preserve"> </w:t>
      </w:r>
      <w:r w:rsidR="00534F2D">
        <w:t>B</w:t>
      </w:r>
      <w:r w:rsidR="00794D13" w:rsidRPr="00794D13">
        <w:t xml:space="preserve">ehavioural </w:t>
      </w:r>
      <w:r w:rsidR="00534F2D">
        <w:t>R</w:t>
      </w:r>
      <w:r w:rsidR="00794D13">
        <w:t xml:space="preserve">eport </w:t>
      </w:r>
      <w:r w:rsidR="004408AF">
        <w:t xml:space="preserve">where </w:t>
      </w:r>
      <w:r w:rsidR="00794D13">
        <w:t>the alleged statements were published</w:t>
      </w:r>
      <w:r w:rsidR="00BB73C6">
        <w:t xml:space="preserve"> b</w:t>
      </w:r>
      <w:r w:rsidR="004408AF">
        <w:t xml:space="preserve">y the third defendant. </w:t>
      </w:r>
      <w:r w:rsidR="001862B4">
        <w:t xml:space="preserve"> </w:t>
      </w:r>
      <w:r w:rsidR="00794D13">
        <w:t xml:space="preserve">He </w:t>
      </w:r>
      <w:r w:rsidR="008569CD">
        <w:t xml:space="preserve">further </w:t>
      </w:r>
      <w:r w:rsidR="00794D13">
        <w:t xml:space="preserve">replicated that he had no knowledge </w:t>
      </w:r>
      <w:r w:rsidR="00F179AC">
        <w:t>of the person who</w:t>
      </w:r>
      <w:r w:rsidR="001862B4">
        <w:t xml:space="preserve"> had made the </w:t>
      </w:r>
      <w:r w:rsidR="00794D13">
        <w:t>apparent defamatory statements</w:t>
      </w:r>
      <w:r w:rsidR="001862B4">
        <w:t>,</w:t>
      </w:r>
      <w:r w:rsidR="00794D13">
        <w:t xml:space="preserve"> prior to 10 February 2022. In the result, </w:t>
      </w:r>
      <w:r w:rsidR="008569CD">
        <w:t xml:space="preserve">the plaintiff’s case is that </w:t>
      </w:r>
      <w:r w:rsidR="00794D13">
        <w:t>his cause of action only became complete from that date</w:t>
      </w:r>
      <w:r w:rsidR="001862B4">
        <w:t>, being 10 February 2022</w:t>
      </w:r>
      <w:r w:rsidR="00794D13">
        <w:t xml:space="preserve">. </w:t>
      </w:r>
    </w:p>
    <w:p w14:paraId="687F309B" w14:textId="77777777" w:rsidR="00534F2D" w:rsidRPr="00534F2D" w:rsidRDefault="00534F2D" w:rsidP="00534F2D"/>
    <w:p w14:paraId="4E7842BA" w14:textId="19141F3E" w:rsidR="00B13156" w:rsidRPr="008569CD" w:rsidRDefault="00C373B3" w:rsidP="00C373B3">
      <w:pPr>
        <w:pStyle w:val="Heading1"/>
        <w:numPr>
          <w:ilvl w:val="0"/>
          <w:numId w:val="0"/>
        </w:numPr>
        <w:rPr>
          <w:bCs/>
        </w:rPr>
      </w:pPr>
      <w:r w:rsidRPr="008569CD">
        <w:rPr>
          <w:bCs/>
        </w:rPr>
        <w:t>[9]</w:t>
      </w:r>
      <w:r w:rsidRPr="008569CD">
        <w:rPr>
          <w:bCs/>
        </w:rPr>
        <w:tab/>
      </w:r>
      <w:r w:rsidR="004408AF">
        <w:t>As regards t</w:t>
      </w:r>
      <w:r w:rsidR="00794D13">
        <w:t xml:space="preserve">he prescriptive period, </w:t>
      </w:r>
      <w:r w:rsidR="00F66812">
        <w:t xml:space="preserve">the plaintiff </w:t>
      </w:r>
      <w:r w:rsidR="00794D13">
        <w:t>pleaded that</w:t>
      </w:r>
      <w:r w:rsidR="00F66812">
        <w:t xml:space="preserve"> in any event</w:t>
      </w:r>
      <w:r w:rsidR="00913E95">
        <w:t>, in</w:t>
      </w:r>
      <w:r w:rsidR="00DB59CE">
        <w:t xml:space="preserve"> terms of s133(3), 12 months is</w:t>
      </w:r>
      <w:r w:rsidR="004408AF">
        <w:t xml:space="preserve"> </w:t>
      </w:r>
      <w:r w:rsidR="00794D13">
        <w:t xml:space="preserve">the </w:t>
      </w:r>
      <w:r w:rsidR="004408AF">
        <w:t>maximum period prescribed within which to institut</w:t>
      </w:r>
      <w:r w:rsidR="00DB59CE">
        <w:t>e the action, whether or not an</w:t>
      </w:r>
      <w:r w:rsidR="004408AF">
        <w:t xml:space="preserve"> inmate is released. The plaintiff remains </w:t>
      </w:r>
      <w:r w:rsidR="00096407">
        <w:t>incarcerated.</w:t>
      </w:r>
    </w:p>
    <w:p w14:paraId="3DE91CF6" w14:textId="77777777" w:rsidR="00794D13" w:rsidRDefault="00794D13" w:rsidP="005B12CA">
      <w:pPr>
        <w:pStyle w:val="ListParagraph"/>
        <w:rPr>
          <w:b/>
          <w:lang w:val="en-ZA"/>
        </w:rPr>
      </w:pPr>
    </w:p>
    <w:p w14:paraId="0AB8E98C" w14:textId="18F20E1D" w:rsidR="003C4426" w:rsidRPr="00DB59CE" w:rsidRDefault="00C373B3" w:rsidP="00C373B3">
      <w:pPr>
        <w:pStyle w:val="Heading1"/>
        <w:numPr>
          <w:ilvl w:val="0"/>
          <w:numId w:val="0"/>
        </w:numPr>
        <w:rPr>
          <w:bCs/>
        </w:rPr>
      </w:pPr>
      <w:r w:rsidRPr="00DB59CE">
        <w:rPr>
          <w:bCs/>
        </w:rPr>
        <w:t>[10]</w:t>
      </w:r>
      <w:r w:rsidRPr="00DB59CE">
        <w:rPr>
          <w:bCs/>
        </w:rPr>
        <w:tab/>
      </w:r>
      <w:r w:rsidR="003C4426">
        <w:t xml:space="preserve">Mr Ncube appeared for the defendants and Mr Quickfall appeared  </w:t>
      </w:r>
      <w:r w:rsidR="003C4426">
        <w:rPr>
          <w:i/>
        </w:rPr>
        <w:t>amicus curiae</w:t>
      </w:r>
      <w:r w:rsidR="003C4426">
        <w:t>. The court expresses its indebtedness to Mr Quickfall for his assistance herein.</w:t>
      </w:r>
    </w:p>
    <w:p w14:paraId="770D939F" w14:textId="77777777" w:rsidR="00BB73C6" w:rsidRPr="00BB73C6" w:rsidRDefault="00BB73C6" w:rsidP="00D47082">
      <w:pPr>
        <w:pStyle w:val="Heading1"/>
        <w:numPr>
          <w:ilvl w:val="0"/>
          <w:numId w:val="0"/>
        </w:numPr>
        <w:rPr>
          <w:bCs/>
        </w:rPr>
      </w:pPr>
    </w:p>
    <w:p w14:paraId="2E672368" w14:textId="0DEB5A40" w:rsidR="00DB0D52" w:rsidRDefault="00C373B3" w:rsidP="00C373B3">
      <w:pPr>
        <w:pStyle w:val="Heading1"/>
        <w:numPr>
          <w:ilvl w:val="0"/>
          <w:numId w:val="0"/>
        </w:numPr>
      </w:pPr>
      <w:r>
        <w:t>[11]</w:t>
      </w:r>
      <w:r>
        <w:tab/>
      </w:r>
      <w:r w:rsidR="00D47082">
        <w:t xml:space="preserve">I deal firstly with the special plea relating to the 30-day notice period. Mr Ncube advanced argument on the mandatory effect of </w:t>
      </w:r>
      <w:r w:rsidR="00913E95">
        <w:t>s</w:t>
      </w:r>
      <w:r w:rsidR="00AA4F54">
        <w:t xml:space="preserve"> 1</w:t>
      </w:r>
      <w:r w:rsidR="00DB59CE">
        <w:t>3</w:t>
      </w:r>
      <w:r w:rsidR="00AA4F54">
        <w:t>3(3) and 1</w:t>
      </w:r>
      <w:r w:rsidR="00DB59CE">
        <w:t>3</w:t>
      </w:r>
      <w:r w:rsidR="00534F2D">
        <w:t>3</w:t>
      </w:r>
      <w:r w:rsidR="00AA4F54">
        <w:t>(4) of the Act</w:t>
      </w:r>
      <w:r w:rsidR="00D47082">
        <w:t xml:space="preserve">. </w:t>
      </w:r>
    </w:p>
    <w:p w14:paraId="5A353C6E" w14:textId="77777777" w:rsidR="00DB0D52" w:rsidRPr="00DB0D52" w:rsidRDefault="00DB0D52" w:rsidP="00DB0D52"/>
    <w:p w14:paraId="631B65C5" w14:textId="6E1099DB" w:rsidR="00AA4F54" w:rsidRPr="00DB0D52" w:rsidRDefault="00C373B3" w:rsidP="00C373B3">
      <w:pPr>
        <w:pStyle w:val="Heading1"/>
        <w:numPr>
          <w:ilvl w:val="0"/>
          <w:numId w:val="0"/>
        </w:numPr>
      </w:pPr>
      <w:r w:rsidRPr="00DB0D52">
        <w:t>[12]</w:t>
      </w:r>
      <w:r w:rsidRPr="00DB0D52">
        <w:tab/>
      </w:r>
      <w:r w:rsidR="003759B4">
        <w:rPr>
          <w:bCs/>
        </w:rPr>
        <w:t>A full b</w:t>
      </w:r>
      <w:r w:rsidR="00AA4F54" w:rsidRPr="00DB0D52">
        <w:rPr>
          <w:bCs/>
        </w:rPr>
        <w:t xml:space="preserve">ench of this court considered the constitutionality of s 133(3) and </w:t>
      </w:r>
      <w:r w:rsidR="00AA4F54" w:rsidRPr="00DB0D52">
        <w:rPr>
          <w:bCs/>
        </w:rPr>
        <w:lastRenderedPageBreak/>
        <w:t xml:space="preserve">(4) of the Act in </w:t>
      </w:r>
      <w:proofErr w:type="spellStart"/>
      <w:r w:rsidR="00AA4F54" w:rsidRPr="00DB0D52">
        <w:rPr>
          <w:bCs/>
          <w:i/>
          <w:iCs/>
        </w:rPr>
        <w:t>Amadhila</w:t>
      </w:r>
      <w:proofErr w:type="spellEnd"/>
      <w:r w:rsidR="00AA4F54" w:rsidRPr="00DB0D52">
        <w:rPr>
          <w:bCs/>
          <w:i/>
          <w:iCs/>
        </w:rPr>
        <w:t xml:space="preserve"> v Government of the Republic of Namibia</w:t>
      </w:r>
      <w:r w:rsidR="00AA4F54">
        <w:rPr>
          <w:rStyle w:val="FootnoteReference"/>
          <w:bCs/>
          <w:i/>
          <w:iCs/>
        </w:rPr>
        <w:footnoteReference w:id="1"/>
      </w:r>
      <w:r w:rsidR="00AA4F54" w:rsidRPr="00DB0D52">
        <w:rPr>
          <w:bCs/>
          <w:i/>
          <w:iCs/>
        </w:rPr>
        <w:t xml:space="preserve"> </w:t>
      </w:r>
      <w:r w:rsidR="00AA4F54" w:rsidRPr="00DB0D52">
        <w:rPr>
          <w:bCs/>
        </w:rPr>
        <w:t xml:space="preserve">and </w:t>
      </w:r>
      <w:r w:rsidR="00534F2D" w:rsidRPr="00DB0D52">
        <w:rPr>
          <w:bCs/>
        </w:rPr>
        <w:t xml:space="preserve">confirmed </w:t>
      </w:r>
      <w:r w:rsidR="00AA4F54" w:rsidRPr="00DB0D52">
        <w:rPr>
          <w:bCs/>
        </w:rPr>
        <w:t xml:space="preserve">the finding of the Supreme Court in </w:t>
      </w:r>
      <w:r w:rsidR="00AA4F54" w:rsidRPr="00DB0D52">
        <w:rPr>
          <w:bCs/>
          <w:i/>
          <w:iCs/>
        </w:rPr>
        <w:t xml:space="preserve">Minister of Home Affairs v </w:t>
      </w:r>
      <w:proofErr w:type="spellStart"/>
      <w:r w:rsidR="00AA4F54" w:rsidRPr="00DB0D52">
        <w:rPr>
          <w:bCs/>
          <w:i/>
          <w:iCs/>
        </w:rPr>
        <w:t>Majiedt</w:t>
      </w:r>
      <w:proofErr w:type="spellEnd"/>
      <w:r w:rsidR="00AA4F54" w:rsidRPr="00DB0D52">
        <w:rPr>
          <w:bCs/>
          <w:i/>
          <w:iCs/>
        </w:rPr>
        <w:t xml:space="preserve"> and Others</w:t>
      </w:r>
      <w:r w:rsidR="00AA4F54">
        <w:rPr>
          <w:rStyle w:val="FootnoteReference"/>
          <w:bCs/>
          <w:i/>
          <w:iCs/>
        </w:rPr>
        <w:footnoteReference w:id="2"/>
      </w:r>
      <w:r w:rsidR="00AA4F54" w:rsidRPr="00DB0D52">
        <w:rPr>
          <w:bCs/>
        </w:rPr>
        <w:t xml:space="preserve"> </w:t>
      </w:r>
      <w:r w:rsidR="00534F2D" w:rsidRPr="00DB0D52">
        <w:rPr>
          <w:bCs/>
        </w:rPr>
        <w:t>relating to</w:t>
      </w:r>
      <w:r w:rsidR="00AA4F54" w:rsidRPr="00DB0D52">
        <w:rPr>
          <w:bCs/>
        </w:rPr>
        <w:t xml:space="preserve"> s 39(1) of the Police Act</w:t>
      </w:r>
      <w:r w:rsidR="0020361A">
        <w:rPr>
          <w:bCs/>
        </w:rPr>
        <w:t xml:space="preserve"> </w:t>
      </w:r>
      <w:r w:rsidR="00534F2D" w:rsidRPr="00DB0D52">
        <w:rPr>
          <w:bCs/>
        </w:rPr>
        <w:t xml:space="preserve">9 of 1990 which contains  </w:t>
      </w:r>
      <w:r w:rsidR="0073716E">
        <w:rPr>
          <w:bCs/>
        </w:rPr>
        <w:t xml:space="preserve">similar </w:t>
      </w:r>
      <w:r w:rsidR="00534F2D" w:rsidRPr="00DB0D52">
        <w:rPr>
          <w:bCs/>
        </w:rPr>
        <w:t>provisions</w:t>
      </w:r>
      <w:r w:rsidR="003759B4">
        <w:rPr>
          <w:bCs/>
        </w:rPr>
        <w:t xml:space="preserve">. </w:t>
      </w:r>
      <w:r w:rsidR="00DB0D52" w:rsidRPr="00DB0D52">
        <w:rPr>
          <w:bCs/>
        </w:rPr>
        <w:t>The court considered that the purpose of the enactment of a statutory notice period</w:t>
      </w:r>
      <w:r w:rsidR="00AA4F54" w:rsidRPr="00DB0D52">
        <w:rPr>
          <w:bCs/>
        </w:rPr>
        <w:t xml:space="preserve"> was ‘connected to a legitimate government purpose of regulating claims against the State in a way that promotes speed, prompt investigation of surrounding circumstances, and settlement if justified.’</w:t>
      </w:r>
      <w:r w:rsidR="00DB0D52">
        <w:rPr>
          <w:rStyle w:val="FootnoteReference"/>
          <w:bCs/>
        </w:rPr>
        <w:footnoteReference w:id="3"/>
      </w:r>
      <w:r w:rsidR="00AA4F54" w:rsidRPr="00DB0D52">
        <w:rPr>
          <w:bCs/>
        </w:rPr>
        <w:t xml:space="preserve"> </w:t>
      </w:r>
    </w:p>
    <w:p w14:paraId="75B94131" w14:textId="77777777" w:rsidR="00DB0D52" w:rsidRPr="00DB0D52" w:rsidRDefault="00DB0D52" w:rsidP="00DB0D52"/>
    <w:p w14:paraId="2D1C2670" w14:textId="1B3F7FA5" w:rsidR="00AA4F54" w:rsidRPr="00AA4F54" w:rsidRDefault="00C373B3" w:rsidP="00C373B3">
      <w:pPr>
        <w:pStyle w:val="Heading1"/>
        <w:numPr>
          <w:ilvl w:val="0"/>
          <w:numId w:val="0"/>
        </w:numPr>
        <w:rPr>
          <w:bCs/>
        </w:rPr>
      </w:pPr>
      <w:r w:rsidRPr="00AA4F54">
        <w:rPr>
          <w:bCs/>
        </w:rPr>
        <w:t>[13]</w:t>
      </w:r>
      <w:r w:rsidRPr="00AA4F54">
        <w:rPr>
          <w:bCs/>
        </w:rPr>
        <w:tab/>
      </w:r>
      <w:r w:rsidR="00AA4F54" w:rsidRPr="00AA4F54">
        <w:rPr>
          <w:bCs/>
        </w:rPr>
        <w:t xml:space="preserve">Mr Ncube submitted that s 133(4) of the Act is peremptory in nature and ‘must be followed before instituting any legal proceedings.’ It was Mr Ncube’s submission that </w:t>
      </w:r>
      <w:r w:rsidR="00AA4F54">
        <w:rPr>
          <w:bCs/>
        </w:rPr>
        <w:t>the plaintiff</w:t>
      </w:r>
      <w:r w:rsidR="00AA4F54" w:rsidRPr="00AA4F54">
        <w:rPr>
          <w:bCs/>
        </w:rPr>
        <w:t xml:space="preserve"> instituted these proceedings</w:t>
      </w:r>
      <w:r w:rsidR="0020361A">
        <w:rPr>
          <w:bCs/>
        </w:rPr>
        <w:t xml:space="preserve"> prior to the lapsing of the 30-</w:t>
      </w:r>
      <w:r w:rsidR="00AA4F54" w:rsidRPr="00AA4F54">
        <w:rPr>
          <w:bCs/>
        </w:rPr>
        <w:t>day period as envisaged in s 133(4)</w:t>
      </w:r>
      <w:r w:rsidR="00DB0D52">
        <w:rPr>
          <w:bCs/>
        </w:rPr>
        <w:t xml:space="preserve"> </w:t>
      </w:r>
      <w:r w:rsidR="0020361A">
        <w:rPr>
          <w:bCs/>
        </w:rPr>
        <w:t xml:space="preserve">of the Act </w:t>
      </w:r>
      <w:r w:rsidR="00DB0D52">
        <w:rPr>
          <w:bCs/>
        </w:rPr>
        <w:t xml:space="preserve">and that </w:t>
      </w:r>
      <w:r w:rsidR="00AA4F54" w:rsidRPr="00AA4F54">
        <w:rPr>
          <w:bCs/>
        </w:rPr>
        <w:t xml:space="preserve">the legislature did not intend to allow parties to institute legal proceedings without complying </w:t>
      </w:r>
      <w:r w:rsidR="00AA4F54">
        <w:rPr>
          <w:bCs/>
        </w:rPr>
        <w:t xml:space="preserve">fully </w:t>
      </w:r>
      <w:r w:rsidR="0020361A">
        <w:rPr>
          <w:bCs/>
        </w:rPr>
        <w:t>with aforementioned provision.</w:t>
      </w:r>
    </w:p>
    <w:p w14:paraId="2BFB516F" w14:textId="77777777" w:rsidR="00AA4F54" w:rsidRPr="00AA4F54" w:rsidRDefault="00AA4F54" w:rsidP="00AA4F54">
      <w:pPr>
        <w:pStyle w:val="Heading1"/>
        <w:numPr>
          <w:ilvl w:val="0"/>
          <w:numId w:val="0"/>
        </w:numPr>
        <w:rPr>
          <w:bCs/>
        </w:rPr>
      </w:pPr>
    </w:p>
    <w:p w14:paraId="5C8EE216" w14:textId="6147D191" w:rsidR="00AA4F54" w:rsidRPr="00DB59CE" w:rsidRDefault="00C373B3" w:rsidP="00C373B3">
      <w:pPr>
        <w:pStyle w:val="Heading1"/>
        <w:numPr>
          <w:ilvl w:val="0"/>
          <w:numId w:val="0"/>
        </w:numPr>
        <w:rPr>
          <w:bCs/>
        </w:rPr>
      </w:pPr>
      <w:r w:rsidRPr="00DB59CE">
        <w:rPr>
          <w:bCs/>
        </w:rPr>
        <w:t>[14]</w:t>
      </w:r>
      <w:r w:rsidRPr="00DB59CE">
        <w:rPr>
          <w:bCs/>
        </w:rPr>
        <w:tab/>
      </w:r>
      <w:r w:rsidR="00AA4F54">
        <w:rPr>
          <w:bCs/>
        </w:rPr>
        <w:t xml:space="preserve">Mr </w:t>
      </w:r>
      <w:r w:rsidR="00AA4F54" w:rsidRPr="00AA4F54">
        <w:rPr>
          <w:bCs/>
        </w:rPr>
        <w:t>Quickfall submitted that</w:t>
      </w:r>
      <w:r w:rsidR="004A0CB1">
        <w:rPr>
          <w:bCs/>
        </w:rPr>
        <w:t xml:space="preserve"> the statutory notice was served on</w:t>
      </w:r>
      <w:r w:rsidR="00AA4F54" w:rsidRPr="00AA4F54">
        <w:rPr>
          <w:bCs/>
        </w:rPr>
        <w:t xml:space="preserve"> 25 April 2022</w:t>
      </w:r>
      <w:r w:rsidR="004A0CB1">
        <w:rPr>
          <w:bCs/>
        </w:rPr>
        <w:t xml:space="preserve">. It was not late, but served </w:t>
      </w:r>
      <w:r w:rsidR="0020361A">
        <w:rPr>
          <w:bCs/>
        </w:rPr>
        <w:t>five</w:t>
      </w:r>
      <w:r w:rsidR="004A0CB1">
        <w:rPr>
          <w:bCs/>
        </w:rPr>
        <w:t xml:space="preserve"> days </w:t>
      </w:r>
      <w:r w:rsidR="00EF2E02">
        <w:rPr>
          <w:bCs/>
        </w:rPr>
        <w:t xml:space="preserve">prior to the </w:t>
      </w:r>
      <w:r w:rsidR="0073716E">
        <w:rPr>
          <w:bCs/>
        </w:rPr>
        <w:t>30-day</w:t>
      </w:r>
      <w:r w:rsidR="00EF2E02">
        <w:rPr>
          <w:bCs/>
        </w:rPr>
        <w:t xml:space="preserve"> p</w:t>
      </w:r>
      <w:r w:rsidR="00DB59CE">
        <w:rPr>
          <w:bCs/>
        </w:rPr>
        <w:t xml:space="preserve">eriod envisioned by the section. The notice </w:t>
      </w:r>
      <w:r w:rsidR="00DB0D52" w:rsidRPr="00DB0D52">
        <w:rPr>
          <w:bCs/>
        </w:rPr>
        <w:t>contained all the relevant information</w:t>
      </w:r>
      <w:r w:rsidR="00DB0D52">
        <w:rPr>
          <w:bCs/>
        </w:rPr>
        <w:t xml:space="preserve">, and </w:t>
      </w:r>
      <w:r w:rsidR="00EF2E02">
        <w:rPr>
          <w:bCs/>
        </w:rPr>
        <w:t>created no prejudice to the defendants</w:t>
      </w:r>
      <w:r w:rsidR="0020361A">
        <w:rPr>
          <w:bCs/>
        </w:rPr>
        <w:t>.</w:t>
      </w:r>
      <w:r w:rsidR="00EF2E02">
        <w:rPr>
          <w:bCs/>
        </w:rPr>
        <w:t xml:space="preserve"> Action was instituted on </w:t>
      </w:r>
      <w:r w:rsidR="00AA4F54" w:rsidRPr="00AA4F54">
        <w:rPr>
          <w:bCs/>
        </w:rPr>
        <w:t xml:space="preserve">20 May 2022, </w:t>
      </w:r>
      <w:r w:rsidR="00EF2E02">
        <w:rPr>
          <w:bCs/>
        </w:rPr>
        <w:t xml:space="preserve">and the defendants defended the action </w:t>
      </w:r>
      <w:r w:rsidR="00AA4F54" w:rsidRPr="00AA4F54">
        <w:rPr>
          <w:bCs/>
        </w:rPr>
        <w:t>on 31 May 2022.</w:t>
      </w:r>
      <w:r w:rsidR="00DB59CE">
        <w:rPr>
          <w:bCs/>
        </w:rPr>
        <w:t xml:space="preserve"> </w:t>
      </w:r>
      <w:r w:rsidR="00AA4F54" w:rsidRPr="00DB59CE">
        <w:rPr>
          <w:bCs/>
        </w:rPr>
        <w:t>Mr Quickfall</w:t>
      </w:r>
      <w:r w:rsidR="00DB59CE">
        <w:rPr>
          <w:bCs/>
        </w:rPr>
        <w:t xml:space="preserve"> further</w:t>
      </w:r>
      <w:r w:rsidR="00AA4F54" w:rsidRPr="00DB59CE">
        <w:rPr>
          <w:bCs/>
        </w:rPr>
        <w:t xml:space="preserve"> submitted that the object of the statutory notice is to inform the defendants ‘sufficiently of the p</w:t>
      </w:r>
      <w:r w:rsidR="00DB59CE">
        <w:rPr>
          <w:bCs/>
        </w:rPr>
        <w:t>roposed claim so as to enable them</w:t>
      </w:r>
      <w:r w:rsidR="00AA4F54" w:rsidRPr="00DB59CE">
        <w:rPr>
          <w:bCs/>
        </w:rPr>
        <w:t xml:space="preserve"> to investigate the matter.</w:t>
      </w:r>
      <w:r w:rsidR="0020361A" w:rsidRPr="00DB59CE">
        <w:rPr>
          <w:bCs/>
        </w:rPr>
        <w:t>’</w:t>
      </w:r>
      <w:r w:rsidR="00AA4F54" w:rsidRPr="00DB59CE">
        <w:rPr>
          <w:bCs/>
        </w:rPr>
        <w:t xml:space="preserve"> </w:t>
      </w:r>
      <w:r w:rsidR="008E2C30" w:rsidRPr="00DB59CE">
        <w:rPr>
          <w:bCs/>
        </w:rPr>
        <w:t>The notice contained all particulars and information to enable pro</w:t>
      </w:r>
      <w:r w:rsidR="0020361A" w:rsidRPr="00DB59CE">
        <w:rPr>
          <w:bCs/>
        </w:rPr>
        <w:t xml:space="preserve">per investigation of the claim. </w:t>
      </w:r>
      <w:r w:rsidR="00AA4F54" w:rsidRPr="00DB59CE">
        <w:rPr>
          <w:bCs/>
        </w:rPr>
        <w:t xml:space="preserve">Reference was made to </w:t>
      </w:r>
      <w:r w:rsidR="00AA4F54" w:rsidRPr="00DB59CE">
        <w:rPr>
          <w:bCs/>
          <w:i/>
          <w:iCs/>
        </w:rPr>
        <w:t>Simon v Administrator-General, South West Africa</w:t>
      </w:r>
      <w:r w:rsidR="00EF2E02">
        <w:rPr>
          <w:rStyle w:val="FootnoteReference"/>
          <w:bCs/>
          <w:i/>
          <w:iCs/>
        </w:rPr>
        <w:footnoteReference w:id="4"/>
      </w:r>
      <w:r w:rsidR="0020361A" w:rsidRPr="00DB59CE">
        <w:rPr>
          <w:bCs/>
        </w:rPr>
        <w:t xml:space="preserve"> </w:t>
      </w:r>
      <w:r w:rsidR="00AA4F54" w:rsidRPr="00DB59CE">
        <w:rPr>
          <w:bCs/>
        </w:rPr>
        <w:t xml:space="preserve">where it was held </w:t>
      </w:r>
      <w:r w:rsidR="00C32B40" w:rsidRPr="00DB59CE">
        <w:rPr>
          <w:bCs/>
          <w:i/>
        </w:rPr>
        <w:t>inter alia</w:t>
      </w:r>
      <w:r w:rsidR="00C32B40" w:rsidRPr="00DB59CE">
        <w:rPr>
          <w:bCs/>
        </w:rPr>
        <w:t xml:space="preserve"> </w:t>
      </w:r>
      <w:r w:rsidR="00AA4F54" w:rsidRPr="00DB59CE">
        <w:rPr>
          <w:bCs/>
        </w:rPr>
        <w:t>that –</w:t>
      </w:r>
    </w:p>
    <w:p w14:paraId="7D496DAB" w14:textId="77777777" w:rsidR="00C32B40" w:rsidRDefault="00C32B40" w:rsidP="00C32B40">
      <w:pPr>
        <w:pStyle w:val="Heading1"/>
        <w:numPr>
          <w:ilvl w:val="0"/>
          <w:numId w:val="0"/>
        </w:numPr>
        <w:rPr>
          <w:bCs/>
        </w:rPr>
      </w:pPr>
    </w:p>
    <w:p w14:paraId="20C1CFD0" w14:textId="17F5F9E0" w:rsidR="00AA4F54" w:rsidRDefault="00AA4F54" w:rsidP="00C32B40">
      <w:pPr>
        <w:pStyle w:val="Heading1"/>
        <w:numPr>
          <w:ilvl w:val="0"/>
          <w:numId w:val="0"/>
        </w:numPr>
        <w:ind w:firstLine="720"/>
        <w:rPr>
          <w:bCs/>
        </w:rPr>
      </w:pPr>
      <w:r w:rsidRPr="003759B4">
        <w:rPr>
          <w:bCs/>
          <w:sz w:val="22"/>
        </w:rPr>
        <w:t>‘If there is in such a notice sufficient information to allow the defendant to investigate the claim that is sufficient.’</w:t>
      </w:r>
      <w:r w:rsidR="00C32B40">
        <w:rPr>
          <w:rStyle w:val="FootnoteReference"/>
          <w:bCs/>
        </w:rPr>
        <w:footnoteReference w:id="5"/>
      </w:r>
    </w:p>
    <w:p w14:paraId="634FFBFE" w14:textId="77777777" w:rsidR="00C32B40" w:rsidRPr="00C32B40" w:rsidRDefault="00C32B40" w:rsidP="00C32B40"/>
    <w:p w14:paraId="6678E626" w14:textId="3087B56D" w:rsidR="008E2C30" w:rsidRDefault="00C373B3" w:rsidP="00C373B3">
      <w:pPr>
        <w:pStyle w:val="Heading1"/>
        <w:numPr>
          <w:ilvl w:val="0"/>
          <w:numId w:val="0"/>
        </w:numPr>
        <w:rPr>
          <w:bCs/>
        </w:rPr>
      </w:pPr>
      <w:r>
        <w:rPr>
          <w:bCs/>
        </w:rPr>
        <w:t>[15]</w:t>
      </w:r>
      <w:r>
        <w:rPr>
          <w:bCs/>
        </w:rPr>
        <w:tab/>
      </w:r>
      <w:r w:rsidR="00C32B40" w:rsidRPr="0073716E">
        <w:rPr>
          <w:bCs/>
        </w:rPr>
        <w:t>Although the above remarks were made in the context of the sufficiency of the information</w:t>
      </w:r>
      <w:r w:rsidR="00DB59CE">
        <w:rPr>
          <w:bCs/>
        </w:rPr>
        <w:t xml:space="preserve"> contained</w:t>
      </w:r>
      <w:r w:rsidR="00C32B40" w:rsidRPr="0073716E">
        <w:rPr>
          <w:bCs/>
        </w:rPr>
        <w:t xml:space="preserve"> in the notice, I am in agreement with the principle that the defendants must be provided sufficient opportunity to consider the claim</w:t>
      </w:r>
      <w:r w:rsidR="0073716E" w:rsidRPr="0073716E">
        <w:rPr>
          <w:bCs/>
        </w:rPr>
        <w:t xml:space="preserve">, based on the principles elucidated in </w:t>
      </w:r>
      <w:r w:rsidR="00DB59CE">
        <w:rPr>
          <w:bCs/>
          <w:i/>
        </w:rPr>
        <w:t xml:space="preserve">Minister of Home Affairs v </w:t>
      </w:r>
      <w:proofErr w:type="spellStart"/>
      <w:r w:rsidR="0073716E" w:rsidRPr="0073716E">
        <w:rPr>
          <w:bCs/>
          <w:i/>
          <w:iCs/>
        </w:rPr>
        <w:t>Majiedt</w:t>
      </w:r>
      <w:proofErr w:type="spellEnd"/>
      <w:r w:rsidR="00DB59CE">
        <w:rPr>
          <w:bCs/>
          <w:iCs/>
        </w:rPr>
        <w:t xml:space="preserve"> cited above</w:t>
      </w:r>
      <w:r w:rsidR="00C32B40" w:rsidRPr="0073716E">
        <w:rPr>
          <w:bCs/>
        </w:rPr>
        <w:t xml:space="preserve">. </w:t>
      </w:r>
    </w:p>
    <w:p w14:paraId="789616A2" w14:textId="77777777" w:rsidR="0073716E" w:rsidRPr="0073716E" w:rsidRDefault="0073716E" w:rsidP="0073716E"/>
    <w:p w14:paraId="25BB551F" w14:textId="7D2C88C4" w:rsidR="00AA4F54" w:rsidRPr="007E45DA" w:rsidRDefault="00C373B3" w:rsidP="00C373B3">
      <w:pPr>
        <w:pStyle w:val="Heading1"/>
        <w:numPr>
          <w:ilvl w:val="0"/>
          <w:numId w:val="0"/>
        </w:numPr>
        <w:rPr>
          <w:bCs/>
        </w:rPr>
      </w:pPr>
      <w:r w:rsidRPr="007E45DA">
        <w:rPr>
          <w:bCs/>
        </w:rPr>
        <w:t>[16]</w:t>
      </w:r>
      <w:r w:rsidRPr="007E45DA">
        <w:rPr>
          <w:bCs/>
        </w:rPr>
        <w:tab/>
      </w:r>
      <w:r w:rsidR="00AA4F54" w:rsidRPr="00AA4F54">
        <w:rPr>
          <w:bCs/>
        </w:rPr>
        <w:t xml:space="preserve">Mr Quickfall </w:t>
      </w:r>
      <w:r w:rsidR="008E2C30">
        <w:rPr>
          <w:bCs/>
        </w:rPr>
        <w:t xml:space="preserve">also referred to the decision in </w:t>
      </w:r>
      <w:r w:rsidR="00AA4F54" w:rsidRPr="008E2C30">
        <w:rPr>
          <w:bCs/>
          <w:i/>
          <w:iCs/>
        </w:rPr>
        <w:t xml:space="preserve">JEM Motors Ltd v </w:t>
      </w:r>
      <w:proofErr w:type="spellStart"/>
      <w:r w:rsidR="00AA4F54" w:rsidRPr="008E2C30">
        <w:rPr>
          <w:bCs/>
          <w:i/>
          <w:iCs/>
        </w:rPr>
        <w:t>Boutle</w:t>
      </w:r>
      <w:proofErr w:type="spellEnd"/>
      <w:r w:rsidR="00AA4F54" w:rsidRPr="008E2C30">
        <w:rPr>
          <w:bCs/>
          <w:i/>
          <w:iCs/>
        </w:rPr>
        <w:t xml:space="preserve"> and Another</w:t>
      </w:r>
      <w:r w:rsidR="008E2C30">
        <w:rPr>
          <w:rStyle w:val="FootnoteReference"/>
          <w:bCs/>
        </w:rPr>
        <w:footnoteReference w:id="6"/>
      </w:r>
      <w:r w:rsidR="0020361A">
        <w:rPr>
          <w:bCs/>
        </w:rPr>
        <w:t xml:space="preserve"> </w:t>
      </w:r>
      <w:r w:rsidR="00DB59CE">
        <w:rPr>
          <w:bCs/>
        </w:rPr>
        <w:t>which was endorsed by</w:t>
      </w:r>
      <w:r w:rsidR="00AA4F54" w:rsidRPr="00AA4F54">
        <w:rPr>
          <w:bCs/>
        </w:rPr>
        <w:t xml:space="preserve"> </w:t>
      </w:r>
      <w:r w:rsidR="008E2C30">
        <w:rPr>
          <w:bCs/>
        </w:rPr>
        <w:t xml:space="preserve">the Supreme Court in </w:t>
      </w:r>
      <w:r w:rsidR="00AA4F54" w:rsidRPr="008E2C30">
        <w:rPr>
          <w:bCs/>
          <w:i/>
          <w:iCs/>
        </w:rPr>
        <w:t>Torbitt and Others v International University of Management</w:t>
      </w:r>
      <w:r w:rsidR="008E2C30">
        <w:rPr>
          <w:rStyle w:val="FootnoteReference"/>
          <w:bCs/>
          <w:i/>
          <w:iCs/>
        </w:rPr>
        <w:footnoteReference w:id="7"/>
      </w:r>
      <w:r w:rsidR="00AA4F54" w:rsidRPr="00AA4F54">
        <w:rPr>
          <w:bCs/>
        </w:rPr>
        <w:t xml:space="preserve"> where it was held that </w:t>
      </w:r>
      <w:r w:rsidR="003759B4">
        <w:rPr>
          <w:bCs/>
        </w:rPr>
        <w:t xml:space="preserve">merely because </w:t>
      </w:r>
      <w:r w:rsidR="007E45DA">
        <w:rPr>
          <w:bCs/>
        </w:rPr>
        <w:t>p</w:t>
      </w:r>
      <w:r w:rsidR="007E45DA" w:rsidRPr="007E45DA">
        <w:rPr>
          <w:bCs/>
        </w:rPr>
        <w:t>eremptory provisions are peremptory</w:t>
      </w:r>
      <w:r w:rsidR="00DB0D52">
        <w:rPr>
          <w:bCs/>
        </w:rPr>
        <w:t>,</w:t>
      </w:r>
      <w:r w:rsidR="007E45DA" w:rsidRPr="007E45DA">
        <w:rPr>
          <w:bCs/>
        </w:rPr>
        <w:t xml:space="preserve"> </w:t>
      </w:r>
      <w:r w:rsidR="003759B4">
        <w:rPr>
          <w:bCs/>
        </w:rPr>
        <w:t xml:space="preserve">such peremptory provisions </w:t>
      </w:r>
      <w:r w:rsidR="007E45DA" w:rsidRPr="007E45DA">
        <w:rPr>
          <w:bCs/>
        </w:rPr>
        <w:t>will not by implication be held to require exact compliance where substantial compliance with them will achieve the object of the legislature. The modern approach manifests a tendency to incline towards flexibility.</w:t>
      </w:r>
      <w:r w:rsidR="007E45DA">
        <w:rPr>
          <w:rStyle w:val="FootnoteReference"/>
          <w:bCs/>
        </w:rPr>
        <w:footnoteReference w:id="8"/>
      </w:r>
    </w:p>
    <w:p w14:paraId="44BB2FA2" w14:textId="77777777" w:rsidR="007E45DA" w:rsidRPr="007E45DA" w:rsidRDefault="007E45DA" w:rsidP="007E45DA"/>
    <w:p w14:paraId="5570F41A" w14:textId="2D0D957C" w:rsidR="007E45DA" w:rsidRDefault="00C373B3" w:rsidP="00C373B3">
      <w:pPr>
        <w:pStyle w:val="Heading1"/>
        <w:numPr>
          <w:ilvl w:val="0"/>
          <w:numId w:val="0"/>
        </w:numPr>
        <w:rPr>
          <w:bCs/>
        </w:rPr>
      </w:pPr>
      <w:r>
        <w:rPr>
          <w:bCs/>
        </w:rPr>
        <w:t>[17]</w:t>
      </w:r>
      <w:r>
        <w:rPr>
          <w:bCs/>
        </w:rPr>
        <w:tab/>
      </w:r>
      <w:r w:rsidR="0073716E">
        <w:rPr>
          <w:bCs/>
        </w:rPr>
        <w:t>I</w:t>
      </w:r>
      <w:r w:rsidR="007E45DA">
        <w:rPr>
          <w:bCs/>
        </w:rPr>
        <w:t>n all the cases relied on by Mr Ncube</w:t>
      </w:r>
      <w:r w:rsidR="007E45DA">
        <w:rPr>
          <w:rStyle w:val="FootnoteReference"/>
          <w:bCs/>
        </w:rPr>
        <w:footnoteReference w:id="9"/>
      </w:r>
      <w:r w:rsidR="0073716E">
        <w:rPr>
          <w:bCs/>
        </w:rPr>
        <w:t xml:space="preserve"> in support of his argument</w:t>
      </w:r>
      <w:r w:rsidR="007E45DA">
        <w:rPr>
          <w:bCs/>
        </w:rPr>
        <w:t>, notices had been s</w:t>
      </w:r>
      <w:r w:rsidR="0020361A">
        <w:rPr>
          <w:bCs/>
        </w:rPr>
        <w:t>erved outside the prescribed 30-</w:t>
      </w:r>
      <w:r w:rsidR="007E45DA">
        <w:rPr>
          <w:bCs/>
        </w:rPr>
        <w:t>day period</w:t>
      </w:r>
      <w:r w:rsidR="006C08D6">
        <w:rPr>
          <w:bCs/>
        </w:rPr>
        <w:t xml:space="preserve"> or not at all.</w:t>
      </w:r>
      <w:r w:rsidR="007E45DA">
        <w:rPr>
          <w:bCs/>
        </w:rPr>
        <w:t xml:space="preserve"> In this matter, the notice was </w:t>
      </w:r>
      <w:r w:rsidR="0020361A">
        <w:rPr>
          <w:bCs/>
        </w:rPr>
        <w:t>served a mere five</w:t>
      </w:r>
      <w:r w:rsidR="007E45DA">
        <w:rPr>
          <w:bCs/>
        </w:rPr>
        <w:t xml:space="preserve"> days earlier. There is no prejudice to the defendants, and the claim was fully set out.</w:t>
      </w:r>
      <w:r w:rsidR="006C08D6">
        <w:rPr>
          <w:bCs/>
        </w:rPr>
        <w:t xml:space="preserve"> In light of the foregoing, I find that there was su</w:t>
      </w:r>
      <w:r w:rsidR="00C95B38">
        <w:rPr>
          <w:bCs/>
        </w:rPr>
        <w:t>bstantial compliance with s 133</w:t>
      </w:r>
      <w:r w:rsidR="006C08D6">
        <w:rPr>
          <w:bCs/>
        </w:rPr>
        <w:t xml:space="preserve">(4), and the first special plea falls to be dismissed. </w:t>
      </w:r>
      <w:r w:rsidR="007E45DA">
        <w:rPr>
          <w:bCs/>
        </w:rPr>
        <w:t xml:space="preserve"> </w:t>
      </w:r>
    </w:p>
    <w:p w14:paraId="251B64B7" w14:textId="77777777" w:rsidR="007E45DA" w:rsidRPr="007E45DA" w:rsidRDefault="007E45DA" w:rsidP="007E45DA"/>
    <w:p w14:paraId="0E90C4E4" w14:textId="340132FB" w:rsidR="00ED4427" w:rsidRPr="006C08D6" w:rsidRDefault="00C373B3" w:rsidP="00C373B3">
      <w:pPr>
        <w:pStyle w:val="Heading1"/>
        <w:numPr>
          <w:ilvl w:val="0"/>
          <w:numId w:val="0"/>
        </w:numPr>
      </w:pPr>
      <w:r w:rsidRPr="006C08D6">
        <w:t>[18]</w:t>
      </w:r>
      <w:r w:rsidRPr="006C08D6">
        <w:tab/>
      </w:r>
      <w:r w:rsidR="006C08D6">
        <w:rPr>
          <w:bCs/>
        </w:rPr>
        <w:t>I no</w:t>
      </w:r>
      <w:r w:rsidR="00DB0D52">
        <w:rPr>
          <w:bCs/>
        </w:rPr>
        <w:t>w</w:t>
      </w:r>
      <w:r w:rsidR="006C08D6">
        <w:rPr>
          <w:bCs/>
        </w:rPr>
        <w:t xml:space="preserve"> deal with the second special plea, related to the issue of </w:t>
      </w:r>
      <w:r w:rsidR="00C95B38">
        <w:rPr>
          <w:bCs/>
        </w:rPr>
        <w:t>prescription in terms of s</w:t>
      </w:r>
      <w:r w:rsidR="006C08D6">
        <w:rPr>
          <w:bCs/>
        </w:rPr>
        <w:t xml:space="preserve"> 133(3) of the Act. It provides that no </w:t>
      </w:r>
      <w:r w:rsidR="00ED4427" w:rsidRPr="006C08D6">
        <w:t>civil action against the State or any person for anything done or omitted in pursuance of any provision of th</w:t>
      </w:r>
      <w:r w:rsidR="006C08D6">
        <w:t>e</w:t>
      </w:r>
      <w:r w:rsidR="00ED4427" w:rsidRPr="006C08D6">
        <w:t xml:space="preserve"> Act may be entered into after the expiration of six months </w:t>
      </w:r>
      <w:r w:rsidR="00ED4427" w:rsidRPr="006C08D6">
        <w:rPr>
          <w:u w:val="single"/>
        </w:rPr>
        <w:lastRenderedPageBreak/>
        <w:t>immediately succeeding the act or omission in question</w:t>
      </w:r>
      <w:r w:rsidR="00ED4427" w:rsidRPr="006C08D6">
        <w:t xml:space="preserve">, or in the case of an offender, after the expiration of six months immediately succeeding the date of his or her release from correctional facility, </w:t>
      </w:r>
      <w:r w:rsidR="00ED4427" w:rsidRPr="006C08D6">
        <w:rPr>
          <w:u w:val="single"/>
        </w:rPr>
        <w:t>but in no case may any such action be entered into after the expiration of one year from the date of the act or omission in question</w:t>
      </w:r>
      <w:r w:rsidR="00ED4427" w:rsidRPr="006C08D6">
        <w:t>.’</w:t>
      </w:r>
      <w:r w:rsidR="006C08D6">
        <w:t xml:space="preserve"> </w:t>
      </w:r>
      <w:r w:rsidR="0046094F">
        <w:rPr>
          <w:bCs/>
        </w:rPr>
        <w:t>(E</w:t>
      </w:r>
      <w:r w:rsidR="006F66B7" w:rsidRPr="006C08D6">
        <w:rPr>
          <w:bCs/>
        </w:rPr>
        <w:t>mphasis supplied</w:t>
      </w:r>
      <w:r w:rsidR="0046094F">
        <w:rPr>
          <w:bCs/>
        </w:rPr>
        <w:t>.</w:t>
      </w:r>
      <w:r w:rsidR="006F66B7" w:rsidRPr="006C08D6">
        <w:rPr>
          <w:bCs/>
        </w:rPr>
        <w:t>)</w:t>
      </w:r>
    </w:p>
    <w:p w14:paraId="425F2878" w14:textId="77777777" w:rsidR="006F66B7" w:rsidRPr="00ED4427" w:rsidRDefault="006F66B7" w:rsidP="005B12CA">
      <w:pPr>
        <w:pStyle w:val="ListParagraph"/>
        <w:ind w:left="0"/>
        <w:rPr>
          <w:b/>
          <w:lang w:val="en-ZA"/>
        </w:rPr>
      </w:pPr>
    </w:p>
    <w:p w14:paraId="58D490EB" w14:textId="29120972" w:rsidR="0020465C" w:rsidRPr="000E4FA5" w:rsidRDefault="00C373B3" w:rsidP="00C373B3">
      <w:pPr>
        <w:pStyle w:val="Heading1"/>
        <w:numPr>
          <w:ilvl w:val="0"/>
          <w:numId w:val="0"/>
        </w:numPr>
        <w:rPr>
          <w:bCs/>
        </w:rPr>
      </w:pPr>
      <w:r w:rsidRPr="000E4FA5">
        <w:rPr>
          <w:bCs/>
        </w:rPr>
        <w:t>[19]</w:t>
      </w:r>
      <w:r w:rsidRPr="000E4FA5">
        <w:rPr>
          <w:bCs/>
        </w:rPr>
        <w:tab/>
      </w:r>
      <w:r w:rsidR="0073716E">
        <w:t>Mr Ncube conc</w:t>
      </w:r>
      <w:r w:rsidR="00C95B38">
        <w:t>eded that his reliance on the six-</w:t>
      </w:r>
      <w:r w:rsidR="0073716E">
        <w:t>month period contained in the section was misplaced, and that in all ca</w:t>
      </w:r>
      <w:r w:rsidR="00C95B38">
        <w:t xml:space="preserve">ses the prescription period is one year. </w:t>
      </w:r>
      <w:r w:rsidR="006C08D6">
        <w:t>D</w:t>
      </w:r>
      <w:r w:rsidR="00AF650F">
        <w:t xml:space="preserve">ealing with </w:t>
      </w:r>
      <w:r w:rsidR="006F66B7">
        <w:t xml:space="preserve">the plaintiff’s </w:t>
      </w:r>
      <w:r w:rsidR="00C95B38">
        <w:t xml:space="preserve">non-compliance with s </w:t>
      </w:r>
      <w:r w:rsidR="00AF650F">
        <w:t xml:space="preserve">133(3) of the Act, Mr Ncube submitted that </w:t>
      </w:r>
      <w:r w:rsidR="00920A85">
        <w:t xml:space="preserve">the cause of action arose either on 23 April 2020 or 25 September 2020, which would mean that the one year would </w:t>
      </w:r>
      <w:r w:rsidR="002E1CFF">
        <w:t xml:space="preserve">have </w:t>
      </w:r>
      <w:r w:rsidR="00920A85">
        <w:t>lapse</w:t>
      </w:r>
      <w:r w:rsidR="002E1CFF">
        <w:t>d</w:t>
      </w:r>
      <w:r w:rsidR="00920A85">
        <w:t xml:space="preserve"> either in April or September 2021. </w:t>
      </w:r>
      <w:r w:rsidR="006F3BBD">
        <w:t xml:space="preserve">The plaintiff’s </w:t>
      </w:r>
      <w:r w:rsidR="00920A85">
        <w:t>action was instituted in May 2022.</w:t>
      </w:r>
      <w:r w:rsidR="00BB73C6">
        <w:t xml:space="preserve"> </w:t>
      </w:r>
      <w:r w:rsidR="006F3BBD">
        <w:t>Mr Ncube a</w:t>
      </w:r>
      <w:r w:rsidR="00BB73C6">
        <w:t>rg</w:t>
      </w:r>
      <w:r w:rsidR="00C95B38">
        <w:t xml:space="preserve">ued that s </w:t>
      </w:r>
      <w:r w:rsidR="006F3BBD">
        <w:t>133(3) is couched in peremptory terms and that prescription is calculated from the time that the cause of action arose, and not from the date that the plaintiff obtained knowledge of the identity of the matter of th</w:t>
      </w:r>
      <w:r w:rsidR="00C95B38">
        <w:t xml:space="preserve">e alleged defamatory statement. </w:t>
      </w:r>
      <w:r w:rsidR="00BB73C6">
        <w:t>R</w:t>
      </w:r>
      <w:r w:rsidR="00C95B38">
        <w:t>eference was made to the words ‘act or omission in question’</w:t>
      </w:r>
      <w:r w:rsidR="006C08D6">
        <w:t xml:space="preserve"> contained in the </w:t>
      </w:r>
      <w:r w:rsidR="000756F1">
        <w:t>section</w:t>
      </w:r>
      <w:r w:rsidR="00BB73C6">
        <w:t>.</w:t>
      </w:r>
      <w:r w:rsidR="0055395A">
        <w:t xml:space="preserve"> </w:t>
      </w:r>
    </w:p>
    <w:p w14:paraId="3C517A43" w14:textId="77777777" w:rsidR="0020465C" w:rsidRPr="0020465C" w:rsidRDefault="0020465C" w:rsidP="005B12CA">
      <w:pPr>
        <w:pStyle w:val="ListParagraph"/>
        <w:rPr>
          <w:lang w:val="en-ZA"/>
        </w:rPr>
      </w:pPr>
    </w:p>
    <w:p w14:paraId="267F7CB3" w14:textId="205CF43A" w:rsidR="0030639B" w:rsidRDefault="00C373B3" w:rsidP="00C373B3">
      <w:pPr>
        <w:pStyle w:val="Heading1"/>
        <w:numPr>
          <w:ilvl w:val="0"/>
          <w:numId w:val="0"/>
        </w:numPr>
      </w:pPr>
      <w:r>
        <w:t>[20]</w:t>
      </w:r>
      <w:r>
        <w:tab/>
      </w:r>
      <w:r w:rsidR="00DB59CE">
        <w:t>Reliance was placed on the case of</w:t>
      </w:r>
      <w:r w:rsidR="001862B4">
        <w:t xml:space="preserve"> </w:t>
      </w:r>
      <w:r w:rsidR="001862B4">
        <w:rPr>
          <w:i/>
        </w:rPr>
        <w:t>Gregory v Minister of Safety and Security</w:t>
      </w:r>
      <w:r w:rsidR="001862B4" w:rsidRPr="001862B4">
        <w:rPr>
          <w:rStyle w:val="FootnoteReference"/>
        </w:rPr>
        <w:footnoteReference w:id="10"/>
      </w:r>
      <w:r w:rsidR="001862B4">
        <w:rPr>
          <w:i/>
        </w:rPr>
        <w:t xml:space="preserve"> </w:t>
      </w:r>
      <w:r w:rsidR="001862B4">
        <w:t xml:space="preserve">where this court </w:t>
      </w:r>
      <w:r w:rsidR="0020465C">
        <w:t xml:space="preserve">held </w:t>
      </w:r>
      <w:r w:rsidR="001862B4">
        <w:t>that ‘the computation of the time within which the proceedings could be brought should be calculated from the last action which instigated the proceedings</w:t>
      </w:r>
      <w:r w:rsidR="008C4060">
        <w:t>’. I</w:t>
      </w:r>
      <w:r w:rsidR="002E1CFF">
        <w:t xml:space="preserve">n the </w:t>
      </w:r>
      <w:r w:rsidR="002E1CFF">
        <w:rPr>
          <w:i/>
        </w:rPr>
        <w:t xml:space="preserve">Gregory </w:t>
      </w:r>
      <w:r w:rsidR="00DB59CE">
        <w:t>case</w:t>
      </w:r>
      <w:r w:rsidR="008C4060">
        <w:t>,</w:t>
      </w:r>
      <w:r w:rsidR="002E1CFF">
        <w:t xml:space="preserve"> </w:t>
      </w:r>
      <w:r w:rsidR="0030639B">
        <w:t xml:space="preserve">the plaintiff, an inmate, accused the defendants of stealing his craft items after he was informed of a transfer </w:t>
      </w:r>
      <w:r w:rsidR="008C4060">
        <w:t xml:space="preserve">to another correctional facility </w:t>
      </w:r>
      <w:r w:rsidR="0030639B">
        <w:t>on 14 January 2019</w:t>
      </w:r>
      <w:r w:rsidR="008C4060">
        <w:t>. After he enquired about his missing craft items, he was inf</w:t>
      </w:r>
      <w:r w:rsidR="00CE1DE4">
        <w:t xml:space="preserve">ormed on </w:t>
      </w:r>
      <w:r w:rsidR="0030639B">
        <w:t>10 April 2019</w:t>
      </w:r>
      <w:r w:rsidR="00CE1DE4">
        <w:t xml:space="preserve"> via </w:t>
      </w:r>
      <w:r w:rsidR="0030639B">
        <w:t>a letter from the defendants that his allegations that he never received his craft items were false.</w:t>
      </w:r>
      <w:r w:rsidR="00AA2D47">
        <w:t xml:space="preserve"> When the initial summons was withdrawn </w:t>
      </w:r>
      <w:r w:rsidR="00CE1DE4">
        <w:t>(</w:t>
      </w:r>
      <w:r w:rsidR="00AA2D47">
        <w:t>to enable the plaintiff to comply with s 133(4) of the Act</w:t>
      </w:r>
      <w:r w:rsidR="00DB59CE">
        <w:t>)</w:t>
      </w:r>
      <w:r w:rsidR="00AA2D47">
        <w:t xml:space="preserve"> and reinstituted on 9 April 2021, the defendants raised a special plea of prescription and argued that the cause of action arose on 14 January 2019 when the plaintiff was informed of his transfer. The court found </w:t>
      </w:r>
      <w:r w:rsidR="00AA2D47">
        <w:lastRenderedPageBreak/>
        <w:t>that the last action which instigated the proceedings was when the plaintiff received the letter of 10 April 2019 and as such, prescription began to run as of 10 April</w:t>
      </w:r>
      <w:r w:rsidR="005C1A68">
        <w:t xml:space="preserve"> 2019 – this is when the last act completed the cause of action.</w:t>
      </w:r>
      <w:r w:rsidR="00CE1DE4">
        <w:t xml:space="preserve"> This case is distinguishable on the present set of facts. </w:t>
      </w:r>
    </w:p>
    <w:p w14:paraId="40B6F070" w14:textId="77777777" w:rsidR="00CE1DE4" w:rsidRDefault="00CE1DE4" w:rsidP="00CE1DE4"/>
    <w:p w14:paraId="48A3E3A6" w14:textId="5164BABE" w:rsidR="00CE1DE4" w:rsidRPr="00CE1DE4" w:rsidRDefault="00C373B3" w:rsidP="00C373B3">
      <w:pPr>
        <w:pStyle w:val="Heading1"/>
        <w:numPr>
          <w:ilvl w:val="0"/>
          <w:numId w:val="0"/>
        </w:numPr>
      </w:pPr>
      <w:r w:rsidRPr="00CE1DE4">
        <w:t>[21]</w:t>
      </w:r>
      <w:r w:rsidRPr="00CE1DE4">
        <w:tab/>
      </w:r>
      <w:r w:rsidR="00CE1DE4">
        <w:t xml:space="preserve">In the </w:t>
      </w:r>
      <w:proofErr w:type="spellStart"/>
      <w:r w:rsidR="00CE1DE4">
        <w:rPr>
          <w:i/>
          <w:iCs/>
        </w:rPr>
        <w:t>Kahimise</w:t>
      </w:r>
      <w:proofErr w:type="spellEnd"/>
      <w:r w:rsidR="00DB59CE">
        <w:t xml:space="preserve"> case cited in the </w:t>
      </w:r>
      <w:r w:rsidR="00DB59CE">
        <w:rPr>
          <w:i/>
        </w:rPr>
        <w:t>Gregory</w:t>
      </w:r>
      <w:r w:rsidR="00DB59CE">
        <w:t xml:space="preserve"> case</w:t>
      </w:r>
      <w:r w:rsidR="00CE1DE4">
        <w:t xml:space="preserve">, the applicant was demoted in rank from </w:t>
      </w:r>
      <w:r w:rsidR="00987B0E">
        <w:t>Assistant Commissioner to Senior Superintendent after pleading guilty to disciplinary charges. The Commissioner-General later reduced the applicant’s salary, in line with the rank to which he was demoted. He then approached this court for an order reviewing and setting aside the Commissioner-General’s decision. The defendants raised a point that the applicant did not bri</w:t>
      </w:r>
      <w:r w:rsidR="00C95B38">
        <w:t xml:space="preserve">ng the application within the six-month period prescribed by s </w:t>
      </w:r>
      <w:r w:rsidR="00987B0E">
        <w:t>133(3). The court held, applying the principle that the computation of time within which the proceedings could be brought should be calculated from the last action which instigated the proceeding</w:t>
      </w:r>
      <w:r w:rsidR="00DB59CE">
        <w:t>s held that the applicable time period was</w:t>
      </w:r>
      <w:r w:rsidR="00987B0E">
        <w:t xml:space="preserve"> to be calculated from the date of the Commissioner-General’s refusal to uphold the grievance related to the salary reduction, which placed t</w:t>
      </w:r>
      <w:r w:rsidR="00C95B38">
        <w:t>he applicant’s case within the six</w:t>
      </w:r>
      <w:r w:rsidR="00987B0E">
        <w:t>-month p</w:t>
      </w:r>
      <w:r w:rsidR="0046094F">
        <w:t>eriod provided for in s 133(3).</w:t>
      </w:r>
      <w:r w:rsidR="00987B0E">
        <w:rPr>
          <w:rStyle w:val="FootnoteReference"/>
        </w:rPr>
        <w:footnoteReference w:id="11"/>
      </w:r>
      <w:r w:rsidR="00987B0E">
        <w:t xml:space="preserve"> </w:t>
      </w:r>
      <w:r w:rsidR="00015972">
        <w:t xml:space="preserve">The facts of this case are also distinguishable from the facts of the present case before me. </w:t>
      </w:r>
    </w:p>
    <w:p w14:paraId="3C8405A2" w14:textId="77777777" w:rsidR="00AA2D47" w:rsidRPr="00AA2D47" w:rsidRDefault="00AA2D47" w:rsidP="005B12CA">
      <w:pPr>
        <w:pStyle w:val="ListParagraph"/>
        <w:ind w:left="0"/>
        <w:rPr>
          <w:b/>
          <w:lang w:val="en-ZA"/>
        </w:rPr>
      </w:pPr>
    </w:p>
    <w:p w14:paraId="743BB77E" w14:textId="10BA2D33" w:rsidR="006C08D6" w:rsidRDefault="00C373B3" w:rsidP="00C373B3">
      <w:pPr>
        <w:pStyle w:val="Heading1"/>
        <w:numPr>
          <w:ilvl w:val="0"/>
          <w:numId w:val="0"/>
        </w:numPr>
      </w:pPr>
      <w:r>
        <w:t>[22]</w:t>
      </w:r>
      <w:r>
        <w:tab/>
      </w:r>
      <w:r w:rsidR="00AA2D47">
        <w:t xml:space="preserve">In the present instance, Mr Quickfall submitted </w:t>
      </w:r>
      <w:r w:rsidR="000756F1">
        <w:t>that it should be borne in mind that this is a delictual claim, and that the Act should not be interpreted as to prevent inmates or offenders from having the opportunity in law to complete a cause of action for purposes of calculating the prescription period called for by the Act. This would lead to absurd results</w:t>
      </w:r>
      <w:r w:rsidR="000E4FA5">
        <w:t xml:space="preserve"> because the effect would be that prescription runs against an inmate</w:t>
      </w:r>
      <w:r w:rsidR="00DB59CE">
        <w:t xml:space="preserve"> or offender</w:t>
      </w:r>
      <w:r w:rsidR="000E4FA5">
        <w:t xml:space="preserve"> for this type of claim whether or not he or she knows of the cause of action. </w:t>
      </w:r>
      <w:r w:rsidR="000756F1">
        <w:t>Therefore,</w:t>
      </w:r>
      <w:r w:rsidR="00AA2D47">
        <w:t xml:space="preserve"> the </w:t>
      </w:r>
      <w:r w:rsidR="006C08D6">
        <w:t xml:space="preserve">relevant last date </w:t>
      </w:r>
      <w:r w:rsidR="00AA2D47">
        <w:t xml:space="preserve">to constitute the </w:t>
      </w:r>
      <w:r w:rsidR="000756F1">
        <w:t xml:space="preserve">plaintiff’s </w:t>
      </w:r>
      <w:r w:rsidR="00AA2D47">
        <w:t xml:space="preserve">cause of action only occurred 10 February 2022 when </w:t>
      </w:r>
      <w:r w:rsidR="00C737F5">
        <w:t>the plaintiff</w:t>
      </w:r>
      <w:r w:rsidR="00AA2D47">
        <w:t xml:space="preserve"> gained knowledge of the auth</w:t>
      </w:r>
      <w:r w:rsidR="007D7C84">
        <w:t xml:space="preserve">or of the alleged defamatory statements, despite these purported statements being made as far back as 2020. </w:t>
      </w:r>
    </w:p>
    <w:p w14:paraId="101CD7BF" w14:textId="77777777" w:rsidR="006C08D6" w:rsidRPr="006C08D6" w:rsidRDefault="006C08D6" w:rsidP="006C08D6"/>
    <w:p w14:paraId="795EC52F" w14:textId="57F94433" w:rsidR="0030639B" w:rsidRPr="00015972" w:rsidRDefault="00C373B3" w:rsidP="00C373B3">
      <w:pPr>
        <w:pStyle w:val="Heading1"/>
        <w:numPr>
          <w:ilvl w:val="0"/>
          <w:numId w:val="0"/>
        </w:numPr>
        <w:rPr>
          <w:bCs/>
        </w:rPr>
      </w:pPr>
      <w:r w:rsidRPr="00015972">
        <w:rPr>
          <w:bCs/>
        </w:rPr>
        <w:t>[23]</w:t>
      </w:r>
      <w:r w:rsidRPr="00015972">
        <w:rPr>
          <w:bCs/>
        </w:rPr>
        <w:tab/>
      </w:r>
      <w:r w:rsidR="007D7C84">
        <w:t xml:space="preserve">It was </w:t>
      </w:r>
      <w:r w:rsidR="006C08D6">
        <w:t xml:space="preserve">further </w:t>
      </w:r>
      <w:r w:rsidR="007D7C84">
        <w:t xml:space="preserve">submitted that before 10 February 2022, no enforceable </w:t>
      </w:r>
      <w:r w:rsidR="007D7C84" w:rsidRPr="000756F1">
        <w:t>delictual act</w:t>
      </w:r>
      <w:r w:rsidR="007D7C84">
        <w:t xml:space="preserve"> existed or could be said </w:t>
      </w:r>
      <w:r w:rsidR="00C737F5">
        <w:t xml:space="preserve">to </w:t>
      </w:r>
      <w:r w:rsidR="007D7C84">
        <w:t xml:space="preserve">have existed. In this regard, reference was made to </w:t>
      </w:r>
      <w:r w:rsidR="007D7C84">
        <w:rPr>
          <w:i/>
        </w:rPr>
        <w:t>Abrahamse &amp; Sons v SA Railways and Harbours</w:t>
      </w:r>
      <w:r w:rsidR="007D7C84" w:rsidRPr="007D7C84">
        <w:rPr>
          <w:rStyle w:val="FootnoteReference"/>
        </w:rPr>
        <w:footnoteReference w:id="12"/>
      </w:r>
      <w:r w:rsidR="007D7C84">
        <w:t xml:space="preserve"> where the meaning of ‘cause of action’ was examined– </w:t>
      </w:r>
    </w:p>
    <w:p w14:paraId="4BF124BF" w14:textId="77777777" w:rsidR="007D7C84" w:rsidRPr="007D7C84" w:rsidRDefault="007D7C84" w:rsidP="005B12CA">
      <w:pPr>
        <w:pStyle w:val="ListParagraph"/>
        <w:rPr>
          <w:b/>
          <w:lang w:val="en-ZA"/>
        </w:rPr>
      </w:pPr>
    </w:p>
    <w:p w14:paraId="42798BB3" w14:textId="68B42B5F" w:rsidR="007D7C84" w:rsidRPr="007D7C84" w:rsidRDefault="007D7C84" w:rsidP="005B12CA">
      <w:pPr>
        <w:pStyle w:val="ListParagraph"/>
        <w:ind w:left="0" w:firstLine="720"/>
        <w:rPr>
          <w:lang w:val="en-ZA"/>
        </w:rPr>
      </w:pPr>
      <w:r>
        <w:rPr>
          <w:sz w:val="22"/>
          <w:lang w:val="en-ZA"/>
        </w:rPr>
        <w:t xml:space="preserve">‘The proper legal </w:t>
      </w:r>
      <w:r w:rsidR="00580852">
        <w:rPr>
          <w:sz w:val="22"/>
          <w:lang w:val="en-ZA"/>
        </w:rPr>
        <w:t>meaning</w:t>
      </w:r>
      <w:r>
        <w:rPr>
          <w:sz w:val="22"/>
          <w:lang w:val="en-ZA"/>
        </w:rPr>
        <w:t xml:space="preserve"> of the expression of “cause of action” is the entire set of facts which gives rise to an enforceable claim and includes every fact which is material to be proved to entitle a plaintiff to succeed in his claim. </w:t>
      </w:r>
      <w:r w:rsidRPr="007D7C84">
        <w:rPr>
          <w:sz w:val="22"/>
          <w:u w:val="single"/>
          <w:lang w:val="en-ZA"/>
        </w:rPr>
        <w:t>It includes all that a plaintiff must set out in his declaration in order to disclose a cause of action. Such cause of action does not “arise” or “accrue” until the occurrence of the last of such facts and consequently the last of such facts is sometimes loosely spoken of as the cause of action.</w:t>
      </w:r>
      <w:r>
        <w:rPr>
          <w:sz w:val="22"/>
          <w:lang w:val="en-ZA"/>
        </w:rPr>
        <w:t xml:space="preserve">’ </w:t>
      </w:r>
      <w:r>
        <w:rPr>
          <w:lang w:val="en-ZA"/>
        </w:rPr>
        <w:t>(</w:t>
      </w:r>
      <w:r w:rsidR="00C95B38">
        <w:rPr>
          <w:lang w:val="en-ZA"/>
        </w:rPr>
        <w:t>E</w:t>
      </w:r>
      <w:r>
        <w:rPr>
          <w:lang w:val="en-ZA"/>
        </w:rPr>
        <w:t>mphasis supplied</w:t>
      </w:r>
      <w:r w:rsidR="00337D29">
        <w:rPr>
          <w:lang w:val="en-ZA"/>
        </w:rPr>
        <w:t>.</w:t>
      </w:r>
      <w:r>
        <w:rPr>
          <w:lang w:val="en-ZA"/>
        </w:rPr>
        <w:t>)</w:t>
      </w:r>
    </w:p>
    <w:p w14:paraId="6765C701" w14:textId="77777777" w:rsidR="007D7C84" w:rsidRPr="007D7C84" w:rsidRDefault="007D7C84" w:rsidP="005B12CA">
      <w:pPr>
        <w:pStyle w:val="ListParagraph"/>
        <w:rPr>
          <w:b/>
          <w:lang w:val="en-ZA"/>
        </w:rPr>
      </w:pPr>
    </w:p>
    <w:p w14:paraId="649B4265" w14:textId="337CDB63" w:rsidR="007E6392" w:rsidRPr="00476037" w:rsidRDefault="00C373B3" w:rsidP="00C373B3">
      <w:pPr>
        <w:pStyle w:val="Heading1"/>
        <w:numPr>
          <w:ilvl w:val="0"/>
          <w:numId w:val="0"/>
        </w:numPr>
        <w:rPr>
          <w:bCs/>
        </w:rPr>
      </w:pPr>
      <w:r w:rsidRPr="00476037">
        <w:rPr>
          <w:bCs/>
        </w:rPr>
        <w:t>[24]</w:t>
      </w:r>
      <w:r w:rsidRPr="00476037">
        <w:rPr>
          <w:bCs/>
        </w:rPr>
        <w:tab/>
      </w:r>
      <w:proofErr w:type="spellStart"/>
      <w:r w:rsidR="007E6392">
        <w:t>Ueitele</w:t>
      </w:r>
      <w:proofErr w:type="spellEnd"/>
      <w:r w:rsidR="007E6392">
        <w:t xml:space="preserve"> J in </w:t>
      </w:r>
      <w:r w:rsidR="007E6392">
        <w:rPr>
          <w:i/>
        </w:rPr>
        <w:t xml:space="preserve">Singh v </w:t>
      </w:r>
      <w:proofErr w:type="spellStart"/>
      <w:r w:rsidR="007E6392">
        <w:rPr>
          <w:i/>
        </w:rPr>
        <w:t>Figura</w:t>
      </w:r>
      <w:proofErr w:type="spellEnd"/>
      <w:r w:rsidR="00476037">
        <w:rPr>
          <w:i/>
        </w:rPr>
        <w:t xml:space="preserve"> </w:t>
      </w:r>
      <w:r w:rsidR="007E6392">
        <w:rPr>
          <w:rStyle w:val="FootnoteReference"/>
          <w:i/>
        </w:rPr>
        <w:footnoteReference w:id="13"/>
      </w:r>
      <w:r w:rsidR="007E6392">
        <w:t xml:space="preserve"> held that ‘a cause of action accrues, when there is in existence a person who can sue and another who can be sued, and when all facts have occurred which are material to be proved to entitle the applicant to succeed.’ In reference to </w:t>
      </w:r>
      <w:r w:rsidR="007E6392">
        <w:rPr>
          <w:i/>
        </w:rPr>
        <w:t>McKenzie v Farmers’ Co-operative Meat Industries Ltd</w:t>
      </w:r>
      <w:r w:rsidR="00476037">
        <w:rPr>
          <w:i/>
        </w:rPr>
        <w:t xml:space="preserve"> </w:t>
      </w:r>
      <w:r w:rsidR="007E6392">
        <w:rPr>
          <w:rStyle w:val="FootnoteReference"/>
          <w:i/>
        </w:rPr>
        <w:footnoteReference w:id="14"/>
      </w:r>
      <w:r w:rsidR="007E6392">
        <w:rPr>
          <w:i/>
        </w:rPr>
        <w:t xml:space="preserve"> </w:t>
      </w:r>
      <w:r w:rsidR="007E6392">
        <w:t>Ueitele J endorsed the dictum in definition of ‘cause of action’ to be –</w:t>
      </w:r>
    </w:p>
    <w:p w14:paraId="78294781" w14:textId="77777777" w:rsidR="007E6392" w:rsidRDefault="007E6392" w:rsidP="005B12CA">
      <w:pPr>
        <w:pStyle w:val="ListParagraph"/>
        <w:ind w:left="0"/>
        <w:rPr>
          <w:lang w:val="en-ZA"/>
        </w:rPr>
      </w:pPr>
    </w:p>
    <w:p w14:paraId="26F50C15" w14:textId="7F472CC0" w:rsidR="007E6392" w:rsidRPr="007E6392" w:rsidRDefault="007E6392" w:rsidP="005B12CA">
      <w:pPr>
        <w:pStyle w:val="ListParagraph"/>
        <w:ind w:left="0" w:firstLine="720"/>
        <w:rPr>
          <w:b/>
          <w:lang w:val="en-ZA"/>
        </w:rPr>
      </w:pPr>
      <w:r>
        <w:rPr>
          <w:lang w:val="en-ZA"/>
        </w:rPr>
        <w:t>‘</w:t>
      </w:r>
      <w:r w:rsidRPr="007E6392">
        <w:rPr>
          <w:sz w:val="22"/>
        </w:rPr>
        <w:t>Every fact which it would be necessary for the plaintiff to prove if traversed, in order to support his right to the judgment of the court. It does not comprise every piece of evidence which is necessary to prove each fact, but every fact wh</w:t>
      </w:r>
      <w:r w:rsidR="00580852">
        <w:rPr>
          <w:sz w:val="22"/>
        </w:rPr>
        <w:t>ich is necessary to be proved.’</w:t>
      </w:r>
    </w:p>
    <w:p w14:paraId="1B55DF8E" w14:textId="77777777" w:rsidR="007E6392" w:rsidRPr="007E6392" w:rsidRDefault="007E6392" w:rsidP="005B12CA">
      <w:pPr>
        <w:pStyle w:val="ListParagraph"/>
        <w:ind w:left="0"/>
        <w:rPr>
          <w:b/>
          <w:lang w:val="en-ZA"/>
        </w:rPr>
      </w:pPr>
    </w:p>
    <w:p w14:paraId="4A4BA587" w14:textId="313AAFF3" w:rsidR="00084D9F" w:rsidRDefault="00C373B3" w:rsidP="00C373B3">
      <w:pPr>
        <w:pStyle w:val="Heading1"/>
        <w:numPr>
          <w:ilvl w:val="0"/>
          <w:numId w:val="0"/>
        </w:numPr>
      </w:pPr>
      <w:r>
        <w:t>[25]</w:t>
      </w:r>
      <w:r>
        <w:tab/>
      </w:r>
      <w:r w:rsidR="00A86CC5">
        <w:t xml:space="preserve">The defendants join issue on the allegation in the plaintiff’s replication to the effect that he only came to know of the identity of the maker of the statement on </w:t>
      </w:r>
      <w:r w:rsidR="007E6392">
        <w:t>10 Fe</w:t>
      </w:r>
      <w:r w:rsidR="005C1A68">
        <w:t>bruary 2022</w:t>
      </w:r>
      <w:r w:rsidR="007E6392">
        <w:t xml:space="preserve">. </w:t>
      </w:r>
      <w:r w:rsidR="00A86CC5">
        <w:t xml:space="preserve">This is an issue that would have to be resolved by </w:t>
      </w:r>
      <w:r w:rsidR="00A86CC5">
        <w:lastRenderedPageBreak/>
        <w:t xml:space="preserve">evidence in any event. </w:t>
      </w:r>
    </w:p>
    <w:p w14:paraId="088D2749" w14:textId="77777777" w:rsidR="000756F1" w:rsidRPr="000756F1" w:rsidRDefault="000756F1" w:rsidP="000756F1"/>
    <w:p w14:paraId="29DC1BC8" w14:textId="5B824FC2" w:rsidR="00084D9F" w:rsidRPr="00476037" w:rsidRDefault="00C373B3" w:rsidP="00C373B3">
      <w:pPr>
        <w:pStyle w:val="Heading1"/>
        <w:numPr>
          <w:ilvl w:val="0"/>
          <w:numId w:val="0"/>
        </w:numPr>
        <w:rPr>
          <w:bCs/>
        </w:rPr>
      </w:pPr>
      <w:r w:rsidRPr="00476037">
        <w:rPr>
          <w:bCs/>
        </w:rPr>
        <w:t>[26]</w:t>
      </w:r>
      <w:r w:rsidRPr="00476037">
        <w:rPr>
          <w:bCs/>
        </w:rPr>
        <w:tab/>
      </w:r>
      <w:r w:rsidR="00084D9F">
        <w:t xml:space="preserve">Mr Ncube submitted that </w:t>
      </w:r>
      <w:r w:rsidR="000E4FA5">
        <w:t xml:space="preserve">the plaintiff’s </w:t>
      </w:r>
      <w:r w:rsidR="00084D9F">
        <w:t>conte</w:t>
      </w:r>
      <w:r w:rsidR="005C1A68">
        <w:t>ntion is self-serving and relied</w:t>
      </w:r>
      <w:r w:rsidR="00084D9F">
        <w:t xml:space="preserve"> on </w:t>
      </w:r>
      <w:proofErr w:type="spellStart"/>
      <w:r w:rsidR="00084D9F">
        <w:rPr>
          <w:i/>
        </w:rPr>
        <w:t>Khariseb</w:t>
      </w:r>
      <w:proofErr w:type="spellEnd"/>
      <w:r w:rsidR="00084D9F">
        <w:rPr>
          <w:i/>
        </w:rPr>
        <w:t xml:space="preserve"> v Minister of Safety and Security</w:t>
      </w:r>
      <w:r w:rsidR="00084D9F">
        <w:rPr>
          <w:rStyle w:val="FootnoteReference"/>
          <w:i/>
        </w:rPr>
        <w:footnoteReference w:id="15"/>
      </w:r>
      <w:r w:rsidR="00084D9F">
        <w:t xml:space="preserve"> in respect of this submission on the basis that the court at paragraph 45 held that the applicant’s cause of action</w:t>
      </w:r>
      <w:r w:rsidR="00580852">
        <w:t xml:space="preserve">, in the </w:t>
      </w:r>
      <w:proofErr w:type="spellStart"/>
      <w:r w:rsidR="00580852">
        <w:rPr>
          <w:i/>
        </w:rPr>
        <w:t>Khariseb</w:t>
      </w:r>
      <w:proofErr w:type="spellEnd"/>
      <w:r w:rsidR="00580852">
        <w:t xml:space="preserve"> matter,</w:t>
      </w:r>
      <w:r w:rsidR="00084D9F">
        <w:t xml:space="preserve"> arose when the decision was made and not when it was communicated to the applicant.</w:t>
      </w:r>
    </w:p>
    <w:p w14:paraId="55CE6B80" w14:textId="77777777" w:rsidR="00084D9F" w:rsidRPr="00084D9F" w:rsidRDefault="00084D9F" w:rsidP="005B12CA">
      <w:pPr>
        <w:pStyle w:val="ListParagraph"/>
        <w:rPr>
          <w:lang w:val="en-ZA"/>
        </w:rPr>
      </w:pPr>
    </w:p>
    <w:p w14:paraId="625AA3D2" w14:textId="37AF4F4F" w:rsidR="00084D9F" w:rsidRPr="00476037" w:rsidRDefault="00C373B3" w:rsidP="00C373B3">
      <w:pPr>
        <w:pStyle w:val="Heading1"/>
        <w:numPr>
          <w:ilvl w:val="0"/>
          <w:numId w:val="0"/>
        </w:numPr>
        <w:rPr>
          <w:bCs/>
        </w:rPr>
      </w:pPr>
      <w:r w:rsidRPr="00476037">
        <w:rPr>
          <w:bCs/>
        </w:rPr>
        <w:t>[27]</w:t>
      </w:r>
      <w:r w:rsidRPr="00476037">
        <w:rPr>
          <w:bCs/>
        </w:rPr>
        <w:tab/>
      </w:r>
      <w:r w:rsidR="00084D9F">
        <w:t xml:space="preserve">I find the </w:t>
      </w:r>
      <w:proofErr w:type="spellStart"/>
      <w:r w:rsidR="00084D9F">
        <w:rPr>
          <w:i/>
        </w:rPr>
        <w:t>Khariseb</w:t>
      </w:r>
      <w:proofErr w:type="spellEnd"/>
      <w:r w:rsidR="00084D9F">
        <w:rPr>
          <w:i/>
        </w:rPr>
        <w:t xml:space="preserve"> </w:t>
      </w:r>
      <w:r w:rsidR="00084D9F">
        <w:t xml:space="preserve">matter distinguishable. In the </w:t>
      </w:r>
      <w:proofErr w:type="spellStart"/>
      <w:r w:rsidR="00084D9F">
        <w:rPr>
          <w:i/>
        </w:rPr>
        <w:t>Khariseb</w:t>
      </w:r>
      <w:proofErr w:type="spellEnd"/>
      <w:r w:rsidR="00084D9F">
        <w:t xml:space="preserve"> matter, the applicant – a career police officer – was absent without leave (AWOL) for the period of 18 January to 3 March 2016, and he was discharged from service and received a letter dated 3 March 2016 from the Inspector General stating the aforesaid. He then sought to be reinstated and the Inspector General declined such request. An internal appeal was lodged on 25 April 2016 and was dismissed on 5 December 2016. Proceedings were then instituted </w:t>
      </w:r>
      <w:r w:rsidR="001C5105">
        <w:t xml:space="preserve">in court </w:t>
      </w:r>
      <w:r w:rsidR="00084D9F">
        <w:t xml:space="preserve">by the applicant on 5 December 2017. The respondents raised non-compliance with s 39 of the Police Act 19 of 1990 (‘the Police Act’) as a point in </w:t>
      </w:r>
      <w:r w:rsidR="00084D9F">
        <w:rPr>
          <w:i/>
        </w:rPr>
        <w:t>limine</w:t>
      </w:r>
      <w:r w:rsidR="00084D9F">
        <w:t xml:space="preserve">. In the end, </w:t>
      </w:r>
      <w:r w:rsidR="0064383A">
        <w:t>the court</w:t>
      </w:r>
      <w:r w:rsidR="00084D9F">
        <w:t xml:space="preserve"> held as follows –</w:t>
      </w:r>
    </w:p>
    <w:p w14:paraId="1EB459E7" w14:textId="77777777" w:rsidR="00084D9F" w:rsidRPr="00084D9F" w:rsidRDefault="00084D9F" w:rsidP="005B12CA">
      <w:pPr>
        <w:pStyle w:val="ListParagraph"/>
        <w:rPr>
          <w:b/>
          <w:lang w:val="en-ZA"/>
        </w:rPr>
      </w:pPr>
    </w:p>
    <w:p w14:paraId="277716D9" w14:textId="13D1D4B1" w:rsidR="00084D9F" w:rsidRDefault="00084D9F" w:rsidP="005B12CA">
      <w:pPr>
        <w:pStyle w:val="ListParagraph"/>
        <w:ind w:left="0" w:firstLine="720"/>
        <w:rPr>
          <w:sz w:val="22"/>
          <w:lang w:val="en-ZA"/>
        </w:rPr>
      </w:pPr>
      <w:r>
        <w:rPr>
          <w:sz w:val="22"/>
          <w:lang w:val="en-ZA"/>
        </w:rPr>
        <w:t>‘[15]</w:t>
      </w:r>
      <w:r>
        <w:rPr>
          <w:sz w:val="22"/>
          <w:lang w:val="en-ZA"/>
        </w:rPr>
        <w:tab/>
        <w:t>It would appear to me from the notice of motion that the applicant considers the date when his cause of action arose to be the date he received the letter of discharge being 3 March 2016. His request to the Inspector General for reinstatement was refused on 4 April 2016. This conclusion is reinforced by the fact that despite his contention that his cause of action arose on 5 December 2016 when his appeal was refused by the Minister, he does not seek an order to declare the Minister’s decision null and void.</w:t>
      </w:r>
    </w:p>
    <w:p w14:paraId="2416F312" w14:textId="77777777" w:rsidR="00084D9F" w:rsidRDefault="00084D9F" w:rsidP="005B12CA">
      <w:pPr>
        <w:pStyle w:val="ListParagraph"/>
        <w:ind w:left="0"/>
        <w:rPr>
          <w:sz w:val="22"/>
          <w:lang w:val="en-ZA"/>
        </w:rPr>
      </w:pPr>
    </w:p>
    <w:p w14:paraId="5BA1A385" w14:textId="78B5AC8D" w:rsidR="00084D9F" w:rsidRDefault="00084D9F" w:rsidP="005B12CA">
      <w:pPr>
        <w:pStyle w:val="ListParagraph"/>
        <w:ind w:left="0"/>
        <w:rPr>
          <w:sz w:val="22"/>
          <w:lang w:val="en-ZA"/>
        </w:rPr>
      </w:pPr>
      <w:r>
        <w:rPr>
          <w:sz w:val="22"/>
          <w:lang w:val="en-ZA"/>
        </w:rPr>
        <w:t>[16]</w:t>
      </w:r>
      <w:r>
        <w:rPr>
          <w:sz w:val="22"/>
          <w:lang w:val="en-ZA"/>
        </w:rPr>
        <w:tab/>
        <w:t xml:space="preserve">In any event, given the provisions of section 9 of the Act, it would appear that an incompetent relief is sought, namely to declare the notice of discharge null and void, which merely served to confirm an act or a consequence which had taken place by operation of law. In my view, the Inspector-General was correct in law when he pointed out to the applicant in his letter that “you are deemed to have discharged yourself from the Force, thus this letter merely serves as notification for record </w:t>
      </w:r>
      <w:r>
        <w:rPr>
          <w:sz w:val="22"/>
          <w:lang w:val="en-ZA"/>
        </w:rPr>
        <w:lastRenderedPageBreak/>
        <w:t xml:space="preserve">purposes of that which has already occurred by operation of law”. </w:t>
      </w:r>
      <w:r w:rsidRPr="0064383A">
        <w:rPr>
          <w:sz w:val="22"/>
          <w:u w:val="single"/>
          <w:lang w:val="en-ZA"/>
        </w:rPr>
        <w:t xml:space="preserve">I am therefore of the considered view that it was not the Inspector-General who discharged the applicant </w:t>
      </w:r>
      <w:r w:rsidR="0064383A" w:rsidRPr="0064383A">
        <w:rPr>
          <w:sz w:val="22"/>
          <w:u w:val="single"/>
          <w:lang w:val="en-ZA"/>
        </w:rPr>
        <w:t>but that he was discharged by operation of the law.</w:t>
      </w:r>
    </w:p>
    <w:p w14:paraId="6CA99A47" w14:textId="3B79C0CA" w:rsidR="0064383A" w:rsidRDefault="0064383A" w:rsidP="005B12CA">
      <w:pPr>
        <w:pStyle w:val="ListParagraph"/>
        <w:ind w:left="0"/>
        <w:rPr>
          <w:sz w:val="22"/>
          <w:lang w:val="en-ZA"/>
        </w:rPr>
      </w:pPr>
    </w:p>
    <w:p w14:paraId="48E5C9DE" w14:textId="5514D5ED" w:rsidR="0064383A" w:rsidRDefault="0064383A" w:rsidP="005B12CA">
      <w:pPr>
        <w:pStyle w:val="ListParagraph"/>
        <w:ind w:left="0"/>
        <w:rPr>
          <w:sz w:val="22"/>
          <w:lang w:val="en-ZA"/>
        </w:rPr>
      </w:pPr>
      <w:r>
        <w:rPr>
          <w:sz w:val="22"/>
          <w:lang w:val="en-ZA"/>
        </w:rPr>
        <w:t>…</w:t>
      </w:r>
    </w:p>
    <w:p w14:paraId="1B5FB712" w14:textId="77777777" w:rsidR="0064383A" w:rsidRDefault="0064383A" w:rsidP="005B12CA">
      <w:pPr>
        <w:pStyle w:val="ListParagraph"/>
        <w:ind w:left="0"/>
        <w:rPr>
          <w:sz w:val="22"/>
          <w:lang w:val="en-ZA"/>
        </w:rPr>
      </w:pPr>
    </w:p>
    <w:p w14:paraId="41FEFC70" w14:textId="15431ED0" w:rsidR="0064383A" w:rsidRPr="0064383A" w:rsidRDefault="0064383A" w:rsidP="005B12CA">
      <w:pPr>
        <w:pStyle w:val="ListParagraph"/>
        <w:ind w:left="0"/>
        <w:rPr>
          <w:lang w:val="en-ZA"/>
        </w:rPr>
      </w:pPr>
      <w:r>
        <w:rPr>
          <w:sz w:val="22"/>
          <w:lang w:val="en-ZA"/>
        </w:rPr>
        <w:t>[18]</w:t>
      </w:r>
      <w:r>
        <w:rPr>
          <w:sz w:val="22"/>
          <w:lang w:val="en-ZA"/>
        </w:rPr>
        <w:tab/>
        <w:t xml:space="preserve">Taking into account the foregoing, </w:t>
      </w:r>
      <w:r w:rsidRPr="0064383A">
        <w:rPr>
          <w:sz w:val="22"/>
          <w:u w:val="single"/>
          <w:lang w:val="en-ZA"/>
        </w:rPr>
        <w:t>the conclusion I have arrived at is that the applicant’s cause of action arose when he absented himself for a continuous period of 30 days without leave or permission from the Inspector-General.</w:t>
      </w:r>
      <w:r>
        <w:rPr>
          <w:sz w:val="22"/>
          <w:lang w:val="en-ZA"/>
        </w:rPr>
        <w:t xml:space="preserve"> At worst the cause of action arose on 3 March 2016, and at best, it arose on 4 April 2016 when the Inspector-General conveyed to the applicant that he could not reinstate him. The application was served on the respondents on 5 December 2017, which is a period more than the period of 12 months stipulated by section 39. The claim has therefore prescribed.’ </w:t>
      </w:r>
      <w:r>
        <w:rPr>
          <w:lang w:val="en-ZA"/>
        </w:rPr>
        <w:t>(</w:t>
      </w:r>
      <w:r w:rsidR="00C737F5">
        <w:rPr>
          <w:lang w:val="en-ZA"/>
        </w:rPr>
        <w:t>E</w:t>
      </w:r>
      <w:r>
        <w:rPr>
          <w:lang w:val="en-ZA"/>
        </w:rPr>
        <w:t>mphasis supplied</w:t>
      </w:r>
      <w:r w:rsidR="00C737F5">
        <w:rPr>
          <w:lang w:val="en-ZA"/>
        </w:rPr>
        <w:t>.</w:t>
      </w:r>
      <w:r>
        <w:rPr>
          <w:lang w:val="en-ZA"/>
        </w:rPr>
        <w:t>)</w:t>
      </w:r>
    </w:p>
    <w:p w14:paraId="74457BDC" w14:textId="77777777" w:rsidR="00084D9F" w:rsidRPr="00084D9F" w:rsidRDefault="00084D9F" w:rsidP="005B12CA">
      <w:pPr>
        <w:pStyle w:val="ListParagraph"/>
        <w:rPr>
          <w:b/>
          <w:lang w:val="en-ZA"/>
        </w:rPr>
      </w:pPr>
    </w:p>
    <w:p w14:paraId="4F89AF55" w14:textId="02F62327" w:rsidR="00084D9F" w:rsidRPr="00476037" w:rsidRDefault="00C373B3" w:rsidP="00C373B3">
      <w:pPr>
        <w:pStyle w:val="Heading1"/>
        <w:numPr>
          <w:ilvl w:val="0"/>
          <w:numId w:val="0"/>
        </w:numPr>
        <w:rPr>
          <w:bCs/>
        </w:rPr>
      </w:pPr>
      <w:r w:rsidRPr="00476037">
        <w:rPr>
          <w:bCs/>
        </w:rPr>
        <w:t>[28]</w:t>
      </w:r>
      <w:r w:rsidRPr="00476037">
        <w:rPr>
          <w:bCs/>
        </w:rPr>
        <w:tab/>
      </w:r>
      <w:r w:rsidR="0064383A">
        <w:t xml:space="preserve">In the </w:t>
      </w:r>
      <w:proofErr w:type="spellStart"/>
      <w:r w:rsidR="0064383A">
        <w:rPr>
          <w:i/>
        </w:rPr>
        <w:t>Khariseb</w:t>
      </w:r>
      <w:proofErr w:type="spellEnd"/>
      <w:r w:rsidR="0064383A">
        <w:t xml:space="preserve"> matter</w:t>
      </w:r>
      <w:r w:rsidR="001C5105">
        <w:t>,</w:t>
      </w:r>
      <w:r w:rsidR="0064383A">
        <w:t xml:space="preserve"> at all times</w:t>
      </w:r>
      <w:r w:rsidR="001C5105">
        <w:t>,</w:t>
      </w:r>
      <w:r w:rsidR="0064383A">
        <w:t xml:space="preserve"> the applicant had full knowledge of all facts in relation to the dispute. Notwithstanding that</w:t>
      </w:r>
      <w:r w:rsidR="00DB59CE">
        <w:t>,</w:t>
      </w:r>
      <w:r w:rsidR="0064383A">
        <w:t xml:space="preserve"> the applicant’s discharge was by operation of law and not because of the conduct of a third party. In the present instance, </w:t>
      </w:r>
      <w:r w:rsidR="00DB59CE">
        <w:t xml:space="preserve">the plaintiff, according to his replication, </w:t>
      </w:r>
      <w:r w:rsidR="0064383A">
        <w:t>only obtained knowledge of the full facts pertaining to his dispute on 10 February 2022</w:t>
      </w:r>
      <w:r w:rsidR="001C5105">
        <w:t xml:space="preserve"> which brought the cause of action in existence</w:t>
      </w:r>
      <w:r w:rsidR="0064383A">
        <w:t>.</w:t>
      </w:r>
    </w:p>
    <w:p w14:paraId="730D9CA0" w14:textId="77777777" w:rsidR="00AF1E42" w:rsidRPr="00AF1E42" w:rsidRDefault="00AF1E42" w:rsidP="005B12CA">
      <w:pPr>
        <w:pStyle w:val="ListParagraph"/>
        <w:ind w:left="0"/>
        <w:rPr>
          <w:b/>
          <w:lang w:val="en-ZA"/>
        </w:rPr>
      </w:pPr>
    </w:p>
    <w:p w14:paraId="4F583FF6" w14:textId="1186FF20" w:rsidR="00A86CC5" w:rsidRDefault="00C373B3" w:rsidP="00C373B3">
      <w:pPr>
        <w:pStyle w:val="Heading1"/>
        <w:numPr>
          <w:ilvl w:val="0"/>
          <w:numId w:val="0"/>
        </w:numPr>
      </w:pPr>
      <w:r>
        <w:t>[29]</w:t>
      </w:r>
      <w:r>
        <w:tab/>
      </w:r>
      <w:r w:rsidR="00A86CC5">
        <w:t xml:space="preserve">The question to be determined is whether the section should be interpreted to disallow inmates </w:t>
      </w:r>
      <w:r w:rsidR="00C737F5">
        <w:t>or offenders as defined in the A</w:t>
      </w:r>
      <w:r w:rsidR="00A86CC5">
        <w:t>ct, to obtain a complete cause of action for purposes of instituting action</w:t>
      </w:r>
      <w:r w:rsidR="00945A1C">
        <w:t>, meaning that the knowledge component does not apply to inmates o</w:t>
      </w:r>
      <w:r w:rsidR="00DB59CE">
        <w:t>r offenders in terms of the Act and prescription begins to run against them in terms of the Act from the date of the act or omission, irrespective of the absence of the knowledge of same.</w:t>
      </w:r>
    </w:p>
    <w:p w14:paraId="1648FBC2" w14:textId="77777777" w:rsidR="00945A1C" w:rsidRDefault="00945A1C" w:rsidP="00945A1C">
      <w:pPr>
        <w:pStyle w:val="Heading1"/>
        <w:numPr>
          <w:ilvl w:val="0"/>
          <w:numId w:val="0"/>
        </w:numPr>
        <w:rPr>
          <w:bCs/>
        </w:rPr>
      </w:pPr>
    </w:p>
    <w:p w14:paraId="534DC448" w14:textId="568398BA" w:rsidR="00C20DC8" w:rsidRPr="00C20DC8" w:rsidRDefault="00C373B3" w:rsidP="00C373B3">
      <w:pPr>
        <w:pStyle w:val="Heading1"/>
        <w:numPr>
          <w:ilvl w:val="0"/>
          <w:numId w:val="0"/>
        </w:numPr>
        <w:rPr>
          <w:bCs/>
        </w:rPr>
      </w:pPr>
      <w:r w:rsidRPr="00C20DC8">
        <w:rPr>
          <w:bCs/>
        </w:rPr>
        <w:t>[30]</w:t>
      </w:r>
      <w:r w:rsidRPr="00C20DC8">
        <w:rPr>
          <w:bCs/>
        </w:rPr>
        <w:tab/>
      </w:r>
      <w:r w:rsidR="00C20DC8">
        <w:rPr>
          <w:bCs/>
        </w:rPr>
        <w:t xml:space="preserve">In </w:t>
      </w:r>
      <w:proofErr w:type="spellStart"/>
      <w:r w:rsidR="00C20DC8" w:rsidRPr="00C20DC8">
        <w:rPr>
          <w:bCs/>
          <w:i/>
          <w:iCs/>
        </w:rPr>
        <w:t>Bhyat</w:t>
      </w:r>
      <w:proofErr w:type="spellEnd"/>
      <w:r w:rsidR="00C20DC8" w:rsidRPr="00C20DC8">
        <w:rPr>
          <w:bCs/>
          <w:i/>
          <w:iCs/>
        </w:rPr>
        <w:t xml:space="preserve"> v Commissioner for Immigration</w:t>
      </w:r>
      <w:r w:rsidR="00C20DC8">
        <w:rPr>
          <w:rStyle w:val="FootnoteReference"/>
          <w:bCs/>
          <w:i/>
          <w:iCs/>
        </w:rPr>
        <w:footnoteReference w:id="16"/>
      </w:r>
      <w:r w:rsidR="00C20DC8" w:rsidRPr="00C20DC8">
        <w:rPr>
          <w:bCs/>
        </w:rPr>
        <w:t xml:space="preserve">  </w:t>
      </w:r>
      <w:r w:rsidR="00750AD2">
        <w:rPr>
          <w:bCs/>
        </w:rPr>
        <w:t>it was held</w:t>
      </w:r>
      <w:r w:rsidR="00337D29">
        <w:rPr>
          <w:bCs/>
        </w:rPr>
        <w:t xml:space="preserve"> </w:t>
      </w:r>
      <w:r w:rsidR="00750AD2">
        <w:rPr>
          <w:bCs/>
        </w:rPr>
        <w:t>that</w:t>
      </w:r>
      <w:r w:rsidR="00C20DC8" w:rsidRPr="00C20DC8">
        <w:rPr>
          <w:bCs/>
        </w:rPr>
        <w:t>:</w:t>
      </w:r>
    </w:p>
    <w:p w14:paraId="204C7003" w14:textId="77777777" w:rsidR="00750AD2" w:rsidRDefault="00750AD2" w:rsidP="00750AD2">
      <w:pPr>
        <w:pStyle w:val="Heading1"/>
        <w:numPr>
          <w:ilvl w:val="0"/>
          <w:numId w:val="0"/>
        </w:numPr>
        <w:rPr>
          <w:bCs/>
        </w:rPr>
      </w:pPr>
    </w:p>
    <w:p w14:paraId="12A8F741" w14:textId="2F71F18B" w:rsidR="00C20DC8" w:rsidRDefault="00C20DC8" w:rsidP="00750AD2">
      <w:pPr>
        <w:pStyle w:val="Heading1"/>
        <w:numPr>
          <w:ilvl w:val="0"/>
          <w:numId w:val="0"/>
        </w:numPr>
        <w:ind w:firstLine="720"/>
        <w:rPr>
          <w:bCs/>
        </w:rPr>
      </w:pPr>
      <w:r w:rsidRPr="00337D29">
        <w:rPr>
          <w:bCs/>
          <w:sz w:val="22"/>
        </w:rPr>
        <w:t xml:space="preserve">'The cardinal rule of construction of a statute is to endeavour to arrive at the intention of the lawgiver from the language employed in the enactment. . . . in </w:t>
      </w:r>
      <w:r w:rsidRPr="00337D29">
        <w:rPr>
          <w:bCs/>
          <w:sz w:val="22"/>
        </w:rPr>
        <w:lastRenderedPageBreak/>
        <w:t>construing a provision of an Act of Parliament the plain meaning of its language must be adopted unless it leads to some absurdity, inconsistency, hardship or anomaly which from a consideration of the enactment as a whole a court of law is satisfied the Legislature could not have intended.'</w:t>
      </w:r>
      <w:r w:rsidR="00750AD2">
        <w:rPr>
          <w:rStyle w:val="FootnoteReference"/>
          <w:bCs/>
        </w:rPr>
        <w:footnoteReference w:id="17"/>
      </w:r>
    </w:p>
    <w:p w14:paraId="10FF22AE" w14:textId="77777777" w:rsidR="00945A1C" w:rsidRPr="00945A1C" w:rsidRDefault="00945A1C" w:rsidP="00945A1C"/>
    <w:p w14:paraId="239DC99D" w14:textId="65C876D4" w:rsidR="00CF351B" w:rsidRPr="00CF351B" w:rsidRDefault="00C373B3" w:rsidP="00C373B3">
      <w:pPr>
        <w:pStyle w:val="Heading1"/>
        <w:numPr>
          <w:ilvl w:val="0"/>
          <w:numId w:val="0"/>
        </w:numPr>
        <w:rPr>
          <w:bCs/>
        </w:rPr>
      </w:pPr>
      <w:r w:rsidRPr="00CF351B">
        <w:rPr>
          <w:bCs/>
        </w:rPr>
        <w:t>[31]</w:t>
      </w:r>
      <w:r w:rsidRPr="00CF351B">
        <w:rPr>
          <w:bCs/>
        </w:rPr>
        <w:tab/>
      </w:r>
      <w:r w:rsidR="00CF351B">
        <w:rPr>
          <w:bCs/>
        </w:rPr>
        <w:t xml:space="preserve">In the </w:t>
      </w:r>
      <w:r w:rsidR="00CF351B">
        <w:rPr>
          <w:bCs/>
          <w:i/>
          <w:iCs/>
        </w:rPr>
        <w:t>Torbitt</w:t>
      </w:r>
      <w:r w:rsidR="00945A1C">
        <w:rPr>
          <w:rStyle w:val="FootnoteReference"/>
          <w:bCs/>
          <w:i/>
          <w:iCs/>
        </w:rPr>
        <w:footnoteReference w:id="18"/>
      </w:r>
      <w:r w:rsidR="00CF351B">
        <w:rPr>
          <w:bCs/>
          <w:i/>
          <w:iCs/>
        </w:rPr>
        <w:t xml:space="preserve"> </w:t>
      </w:r>
      <w:r w:rsidR="00337D29">
        <w:rPr>
          <w:bCs/>
        </w:rPr>
        <w:t>matter</w:t>
      </w:r>
      <w:r w:rsidR="00CF351B">
        <w:rPr>
          <w:bCs/>
        </w:rPr>
        <w:t xml:space="preserve"> the cardinal rule of construction of the words of a statute was expressed as follows</w:t>
      </w:r>
      <w:r w:rsidR="00C737F5">
        <w:rPr>
          <w:bCs/>
        </w:rPr>
        <w:t>:</w:t>
      </w:r>
    </w:p>
    <w:p w14:paraId="774C5E01" w14:textId="77777777" w:rsidR="00CF351B" w:rsidRPr="00CF351B" w:rsidRDefault="00CF351B" w:rsidP="00CF351B">
      <w:pPr>
        <w:pStyle w:val="Heading1"/>
        <w:numPr>
          <w:ilvl w:val="0"/>
          <w:numId w:val="0"/>
        </w:numPr>
        <w:rPr>
          <w:bCs/>
        </w:rPr>
      </w:pPr>
    </w:p>
    <w:p w14:paraId="47BF41A0" w14:textId="5083CF33" w:rsidR="00CF351B" w:rsidRPr="00337D29" w:rsidRDefault="00CF351B" w:rsidP="00CF351B">
      <w:pPr>
        <w:pStyle w:val="Heading1"/>
        <w:numPr>
          <w:ilvl w:val="0"/>
          <w:numId w:val="0"/>
        </w:numPr>
        <w:ind w:firstLine="720"/>
        <w:rPr>
          <w:bCs/>
          <w:sz w:val="22"/>
        </w:rPr>
      </w:pPr>
      <w:r w:rsidRPr="00337D29">
        <w:rPr>
          <w:bCs/>
          <w:sz w:val="22"/>
        </w:rPr>
        <w:t xml:space="preserve">‘The cardinal rule of construction is that words of a statute must be given their ordinary literal or grammatical meaning if the words are clear and unambiguous, unless it is apparent that such literal construction would lead to manifest absurdity, inconsistency, injustice or would be contrary to the intention of the legislature.’ </w:t>
      </w:r>
    </w:p>
    <w:p w14:paraId="39D8F304" w14:textId="77777777" w:rsidR="00750AD2" w:rsidRPr="00750AD2" w:rsidRDefault="00750AD2" w:rsidP="00750AD2"/>
    <w:p w14:paraId="1F4AE1B1" w14:textId="0F3E5827" w:rsidR="003F3069" w:rsidRPr="003F3069" w:rsidRDefault="00C373B3" w:rsidP="00C373B3">
      <w:pPr>
        <w:pStyle w:val="Heading1"/>
        <w:numPr>
          <w:ilvl w:val="0"/>
          <w:numId w:val="0"/>
        </w:numPr>
        <w:rPr>
          <w:bCs/>
        </w:rPr>
      </w:pPr>
      <w:r w:rsidRPr="003F3069">
        <w:rPr>
          <w:bCs/>
        </w:rPr>
        <w:t>[32]</w:t>
      </w:r>
      <w:r w:rsidRPr="003F3069">
        <w:rPr>
          <w:bCs/>
        </w:rPr>
        <w:tab/>
      </w:r>
      <w:r w:rsidR="000340C5" w:rsidRPr="003F3069">
        <w:rPr>
          <w:bCs/>
        </w:rPr>
        <w:t xml:space="preserve">A reformulation of the interpretation exercise </w:t>
      </w:r>
      <w:r w:rsidR="003F3069" w:rsidRPr="003F3069">
        <w:rPr>
          <w:bCs/>
        </w:rPr>
        <w:t>resulting in a more modern and contextual approach to interpretation of statutes and other text</w:t>
      </w:r>
      <w:r w:rsidR="00750AD2">
        <w:rPr>
          <w:bCs/>
        </w:rPr>
        <w:t xml:space="preserve"> occurred in </w:t>
      </w:r>
      <w:r w:rsidR="003F3069" w:rsidRPr="003F3069">
        <w:rPr>
          <w:bCs/>
        </w:rPr>
        <w:t xml:space="preserve"> the  decision of </w:t>
      </w:r>
      <w:r w:rsidR="003F3069" w:rsidRPr="003F3069">
        <w:rPr>
          <w:bCs/>
          <w:i/>
          <w:iCs/>
        </w:rPr>
        <w:t>Natal Joint Municipal Pension Fund v Endumeni Municipality</w:t>
      </w:r>
      <w:r w:rsidR="003F3069">
        <w:rPr>
          <w:rStyle w:val="FootnoteReference"/>
          <w:bCs/>
          <w:i/>
          <w:iCs/>
        </w:rPr>
        <w:footnoteReference w:id="19"/>
      </w:r>
      <w:r w:rsidR="003F3069" w:rsidRPr="003F3069">
        <w:rPr>
          <w:bCs/>
        </w:rPr>
        <w:t xml:space="preserve"> as follows:</w:t>
      </w:r>
    </w:p>
    <w:p w14:paraId="3DB5428D" w14:textId="77777777" w:rsidR="003F3069" w:rsidRDefault="003F3069" w:rsidP="003F3069">
      <w:pPr>
        <w:pStyle w:val="Heading1"/>
        <w:numPr>
          <w:ilvl w:val="0"/>
          <w:numId w:val="0"/>
        </w:numPr>
        <w:rPr>
          <w:bCs/>
        </w:rPr>
      </w:pPr>
    </w:p>
    <w:p w14:paraId="300D048A" w14:textId="09AFA14A" w:rsidR="003F3069" w:rsidRDefault="003F3069" w:rsidP="003F3069">
      <w:pPr>
        <w:pStyle w:val="Heading1"/>
        <w:numPr>
          <w:ilvl w:val="0"/>
          <w:numId w:val="0"/>
        </w:numPr>
        <w:rPr>
          <w:bCs/>
        </w:rPr>
      </w:pPr>
      <w:r w:rsidRPr="003F3069">
        <w:rPr>
          <w:bCs/>
        </w:rPr>
        <w:tab/>
      </w:r>
      <w:r w:rsidRPr="00337D29">
        <w:rPr>
          <w:bCs/>
          <w:sz w:val="22"/>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w:t>
      </w:r>
      <w:r w:rsidRPr="00337D29">
        <w:rPr>
          <w:bCs/>
          <w:sz w:val="22"/>
        </w:rPr>
        <w:lastRenderedPageBreak/>
        <w:t xml:space="preserve">must be alert to, and guard against, the temptation to substitute what they regard as reasonable, sensible or businesslike for the words actually used.' </w:t>
      </w:r>
      <w:r>
        <w:rPr>
          <w:rStyle w:val="FootnoteReference"/>
          <w:bCs/>
        </w:rPr>
        <w:footnoteReference w:id="20"/>
      </w:r>
      <w:r w:rsidRPr="003F3069">
        <w:rPr>
          <w:bCs/>
        </w:rPr>
        <w:t xml:space="preserve"> </w:t>
      </w:r>
    </w:p>
    <w:p w14:paraId="4B1591F7" w14:textId="77777777" w:rsidR="003F3069" w:rsidRPr="003F3069" w:rsidRDefault="003F3069" w:rsidP="003F3069"/>
    <w:p w14:paraId="27C3131E" w14:textId="09AEBABB" w:rsidR="003F3069" w:rsidRDefault="00C373B3" w:rsidP="00C373B3">
      <w:pPr>
        <w:pStyle w:val="Heading1"/>
        <w:numPr>
          <w:ilvl w:val="0"/>
          <w:numId w:val="0"/>
        </w:numPr>
        <w:rPr>
          <w:i/>
          <w:iCs/>
        </w:rPr>
      </w:pPr>
      <w:r>
        <w:rPr>
          <w:iCs/>
        </w:rPr>
        <w:t>[33]</w:t>
      </w:r>
      <w:r>
        <w:rPr>
          <w:iCs/>
        </w:rPr>
        <w:tab/>
      </w:r>
      <w:r w:rsidR="003F3069">
        <w:t xml:space="preserve">The above dictum was approved in the Supreme Court in </w:t>
      </w:r>
      <w:r w:rsidR="003F3069" w:rsidRPr="003F3069">
        <w:rPr>
          <w:i/>
          <w:iCs/>
        </w:rPr>
        <w:t xml:space="preserve">Total Namibia (Pty) Ltd </w:t>
      </w:r>
      <w:r w:rsidR="003F3069">
        <w:rPr>
          <w:i/>
          <w:iCs/>
        </w:rPr>
        <w:t>v</w:t>
      </w:r>
      <w:r w:rsidR="003F3069" w:rsidRPr="003F3069">
        <w:rPr>
          <w:i/>
          <w:iCs/>
        </w:rPr>
        <w:t xml:space="preserve"> O</w:t>
      </w:r>
      <w:r w:rsidR="003F3069">
        <w:rPr>
          <w:i/>
          <w:iCs/>
        </w:rPr>
        <w:t>BM</w:t>
      </w:r>
      <w:r w:rsidR="003F3069" w:rsidRPr="003F3069">
        <w:rPr>
          <w:i/>
          <w:iCs/>
        </w:rPr>
        <w:t xml:space="preserve"> Engineering </w:t>
      </w:r>
      <w:r w:rsidR="003F3069">
        <w:rPr>
          <w:i/>
          <w:iCs/>
        </w:rPr>
        <w:t>a</w:t>
      </w:r>
      <w:r w:rsidR="003F3069" w:rsidRPr="003F3069">
        <w:rPr>
          <w:i/>
          <w:iCs/>
        </w:rPr>
        <w:t>nd Petroleum Distributors</w:t>
      </w:r>
      <w:r w:rsidR="00337D29">
        <w:rPr>
          <w:iCs/>
        </w:rPr>
        <w:t>.</w:t>
      </w:r>
      <w:r w:rsidR="003F3069" w:rsidRPr="00337D29">
        <w:rPr>
          <w:rStyle w:val="FootnoteReference"/>
          <w:iCs/>
        </w:rPr>
        <w:footnoteReference w:id="21"/>
      </w:r>
    </w:p>
    <w:p w14:paraId="4CC88787" w14:textId="77777777" w:rsidR="00750AD2" w:rsidRPr="00750AD2" w:rsidRDefault="00750AD2" w:rsidP="00750AD2"/>
    <w:p w14:paraId="4F190B10" w14:textId="3348C4B2" w:rsidR="00337D29" w:rsidRDefault="00C373B3" w:rsidP="00C373B3">
      <w:pPr>
        <w:pStyle w:val="Heading1"/>
        <w:numPr>
          <w:ilvl w:val="0"/>
          <w:numId w:val="0"/>
        </w:numPr>
      </w:pPr>
      <w:r>
        <w:t>[34]</w:t>
      </w:r>
      <w:r>
        <w:tab/>
      </w:r>
      <w:r w:rsidR="00752A95">
        <w:t>T</w:t>
      </w:r>
      <w:r w:rsidR="00AF1E42" w:rsidRPr="00AF1E42">
        <w:t>h</w:t>
      </w:r>
      <w:r w:rsidR="005A0EC6">
        <w:t xml:space="preserve">e Supreme Court had occasion to deal with the </w:t>
      </w:r>
      <w:r w:rsidR="00752A95">
        <w:t>principles relating to prescription in terms of the Prescription Act 68 of 1969</w:t>
      </w:r>
      <w:r w:rsidR="00337D29">
        <w:t xml:space="preserve"> (‘the Prescription Act’)</w:t>
      </w:r>
      <w:r w:rsidR="00752A95">
        <w:t xml:space="preserve"> </w:t>
      </w:r>
      <w:r w:rsidR="00AF1E42" w:rsidRPr="00AF1E42">
        <w:t xml:space="preserve">in </w:t>
      </w:r>
      <w:r w:rsidR="00AF1E42" w:rsidRPr="00AF1E42">
        <w:rPr>
          <w:i/>
        </w:rPr>
        <w:t>Lisse v Ministry of Health and Social S</w:t>
      </w:r>
      <w:r w:rsidR="00AF1E42">
        <w:rPr>
          <w:i/>
        </w:rPr>
        <w:t>ervices</w:t>
      </w:r>
      <w:r w:rsidR="00C737F5">
        <w:t>.</w:t>
      </w:r>
      <w:r w:rsidR="00AF1E42" w:rsidRPr="00337D29">
        <w:rPr>
          <w:rStyle w:val="FootnoteReference"/>
        </w:rPr>
        <w:footnoteReference w:id="22"/>
      </w:r>
    </w:p>
    <w:p w14:paraId="1E0E1A67" w14:textId="77777777" w:rsidR="00337D29" w:rsidRPr="00337D29" w:rsidRDefault="00337D29" w:rsidP="00337D29"/>
    <w:p w14:paraId="5D939AB2" w14:textId="38EB3B25" w:rsidR="00FE2F44" w:rsidRDefault="00C373B3" w:rsidP="00C373B3">
      <w:pPr>
        <w:pStyle w:val="Heading1"/>
        <w:numPr>
          <w:ilvl w:val="0"/>
          <w:numId w:val="0"/>
        </w:numPr>
      </w:pPr>
      <w:r>
        <w:t>[35]</w:t>
      </w:r>
      <w:r>
        <w:tab/>
      </w:r>
      <w:r w:rsidR="00C737F5">
        <w:t xml:space="preserve">The Supreme Court in </w:t>
      </w:r>
      <w:r w:rsidR="00C737F5" w:rsidRPr="00C737F5">
        <w:rPr>
          <w:i/>
        </w:rPr>
        <w:t>Lisse</w:t>
      </w:r>
      <w:r w:rsidR="00C737F5">
        <w:t xml:space="preserve"> held that s</w:t>
      </w:r>
      <w:r w:rsidR="00FE2F44" w:rsidRPr="00C737F5">
        <w:t>ection</w:t>
      </w:r>
      <w:r w:rsidR="00FE2F44">
        <w:t xml:space="preserve"> 10 of the Prescription Act provides that a debt shall be extinguished by prescription after the lapse of the period that applies in respect of </w:t>
      </w:r>
      <w:r w:rsidR="00337D29">
        <w:t xml:space="preserve">the prescription of such debt. </w:t>
      </w:r>
      <w:r w:rsidR="00FE2F44">
        <w:t>Section 11</w:t>
      </w:r>
      <w:r w:rsidR="005A0EC6">
        <w:t>(</w:t>
      </w:r>
      <w:r w:rsidR="005A0EC6" w:rsidRPr="00337D29">
        <w:rPr>
          <w:i/>
        </w:rPr>
        <w:t>d</w:t>
      </w:r>
      <w:r w:rsidR="005A0EC6">
        <w:t xml:space="preserve">) </w:t>
      </w:r>
      <w:r w:rsidR="00FE2F44">
        <w:t xml:space="preserve">provides </w:t>
      </w:r>
      <w:r w:rsidR="005A0EC6">
        <w:t>that t</w:t>
      </w:r>
      <w:r w:rsidR="00FE2F44">
        <w:t>he periods of prescription of debts sh</w:t>
      </w:r>
      <w:r w:rsidR="005A0EC6">
        <w:t xml:space="preserve">all </w:t>
      </w:r>
      <w:r w:rsidR="00FE2F44">
        <w:t>save where an Act of Parliament provides otherwise, three years in respect of any other debt</w:t>
      </w:r>
      <w:r w:rsidR="005A0EC6">
        <w:t xml:space="preserve"> </w:t>
      </w:r>
      <w:r w:rsidR="00752A95">
        <w:t xml:space="preserve">(in this regard, the Correctional Services Act </w:t>
      </w:r>
      <w:r w:rsidR="005A0EC6">
        <w:t xml:space="preserve">provides for a </w:t>
      </w:r>
      <w:r w:rsidR="00752A95">
        <w:t xml:space="preserve">prescription period </w:t>
      </w:r>
      <w:r w:rsidR="005A0EC6">
        <w:t>of one year in total</w:t>
      </w:r>
      <w:r w:rsidR="00752A95">
        <w:t>)</w:t>
      </w:r>
      <w:r w:rsidR="005A0EC6">
        <w:t>.</w:t>
      </w:r>
      <w:r w:rsidR="00752A95">
        <w:t xml:space="preserve"> </w:t>
      </w:r>
    </w:p>
    <w:p w14:paraId="2D72CBA3" w14:textId="77777777" w:rsidR="00752A95" w:rsidRPr="00752A95" w:rsidRDefault="00752A95" w:rsidP="00752A95"/>
    <w:p w14:paraId="18618B3E" w14:textId="7FD5675C" w:rsidR="00FE2F44" w:rsidRDefault="00C373B3" w:rsidP="00C373B3">
      <w:pPr>
        <w:pStyle w:val="Heading1"/>
        <w:numPr>
          <w:ilvl w:val="0"/>
          <w:numId w:val="0"/>
        </w:numPr>
      </w:pPr>
      <w:r>
        <w:t>[36]</w:t>
      </w:r>
      <w:r>
        <w:tab/>
      </w:r>
      <w:r w:rsidR="00FE2F44">
        <w:t>Although the Prescription Act uses the word ‘debt’, which might be understood narrowly, the courts have held that the word should be given a wide meaning to include what is due or owed as a result of a legal obligation.   Section 12(1) provides that prescription will commence to run ‘as soon as the debt is due’. And s 12(3) provides that:</w:t>
      </w:r>
    </w:p>
    <w:p w14:paraId="2E43B8F5" w14:textId="77777777" w:rsidR="005A0EC6" w:rsidRDefault="005A0EC6" w:rsidP="005A0EC6">
      <w:pPr>
        <w:pStyle w:val="Heading1"/>
        <w:numPr>
          <w:ilvl w:val="0"/>
          <w:numId w:val="0"/>
        </w:numPr>
      </w:pPr>
    </w:p>
    <w:p w14:paraId="1397134E" w14:textId="4860A7B6" w:rsidR="00FE2F44" w:rsidRPr="00337D29" w:rsidRDefault="00FE2F44" w:rsidP="005A0EC6">
      <w:pPr>
        <w:pStyle w:val="Heading1"/>
        <w:numPr>
          <w:ilvl w:val="0"/>
          <w:numId w:val="0"/>
        </w:numPr>
        <w:ind w:firstLine="720"/>
      </w:pPr>
      <w:r w:rsidRPr="00337D29">
        <w:rPr>
          <w:sz w:val="22"/>
        </w:rPr>
        <w:t xml:space="preserve">‘A debt shall not be deemed to be due until the creditor </w:t>
      </w:r>
      <w:r w:rsidRPr="00337D29">
        <w:rPr>
          <w:sz w:val="22"/>
          <w:u w:val="single"/>
        </w:rPr>
        <w:t>has knowledge of the identity of the debtor and of the fact from which the debt arises</w:t>
      </w:r>
      <w:r w:rsidRPr="00337D29">
        <w:rPr>
          <w:sz w:val="22"/>
        </w:rPr>
        <w:t>:  Provided that a creditor shall be deemed to have such knowledge if he could have acquired it by exercising reasonable care.’</w:t>
      </w:r>
      <w:r w:rsidR="00337D29">
        <w:rPr>
          <w:sz w:val="22"/>
        </w:rPr>
        <w:t xml:space="preserve"> </w:t>
      </w:r>
      <w:r w:rsidR="00337D29">
        <w:t>(Emphasis supplied.)</w:t>
      </w:r>
    </w:p>
    <w:p w14:paraId="25CC45B8" w14:textId="77777777" w:rsidR="00FE2F44" w:rsidRDefault="00FE2F44" w:rsidP="005A0EC6">
      <w:pPr>
        <w:pStyle w:val="Heading1"/>
        <w:numPr>
          <w:ilvl w:val="0"/>
          <w:numId w:val="0"/>
        </w:numPr>
      </w:pPr>
    </w:p>
    <w:p w14:paraId="4C90531B" w14:textId="56FE9636" w:rsidR="00FE2F44" w:rsidRDefault="00C373B3" w:rsidP="00C373B3">
      <w:pPr>
        <w:pStyle w:val="Heading1"/>
        <w:numPr>
          <w:ilvl w:val="0"/>
          <w:numId w:val="0"/>
        </w:numPr>
      </w:pPr>
      <w:r>
        <w:lastRenderedPageBreak/>
        <w:t>[37]</w:t>
      </w:r>
      <w:r>
        <w:tab/>
      </w:r>
      <w:r w:rsidR="00FE2F44">
        <w:t>Section 15 of the Act governs the interruption of prescription. In relevant part, it provides that</w:t>
      </w:r>
      <w:r w:rsidR="005A0EC6">
        <w:t xml:space="preserve"> t</w:t>
      </w:r>
      <w:r w:rsidR="00FE2F44">
        <w:t>he running of prescription shall subject to the provisions of subsection (2), be interrupted by the service on the debtor of any process whereby the creditor claims payment of the debt.</w:t>
      </w:r>
      <w:r w:rsidR="005A0EC6">
        <w:t xml:space="preserve"> F</w:t>
      </w:r>
      <w:r w:rsidR="00FE2F44">
        <w:t>or</w:t>
      </w:r>
      <w:r w:rsidR="009A635F">
        <w:t xml:space="preserve"> the purposes of this section, ‘process’</w:t>
      </w:r>
      <w:r w:rsidR="00FE2F44">
        <w:t xml:space="preserve"> includes a petition, a notice of motion, a rule </w:t>
      </w:r>
      <w:r w:rsidR="00FE2F44" w:rsidRPr="009A635F">
        <w:rPr>
          <w:i/>
        </w:rPr>
        <w:t>nisi</w:t>
      </w:r>
      <w:r w:rsidR="00FE2F44">
        <w:t>, a pleading in reconvention, a third party notice referred to in any rule of court, and any document whereby legal proceedings are commenced.’</w:t>
      </w:r>
      <w:r w:rsidR="005A0EC6">
        <w:rPr>
          <w:rStyle w:val="FootnoteReference"/>
        </w:rPr>
        <w:footnoteReference w:id="23"/>
      </w:r>
    </w:p>
    <w:p w14:paraId="59B097D1" w14:textId="77777777" w:rsidR="005A0EC6" w:rsidRPr="005A0EC6" w:rsidRDefault="005A0EC6" w:rsidP="005A0EC6"/>
    <w:p w14:paraId="54450B1B" w14:textId="0DA03ADB" w:rsidR="00200381" w:rsidRDefault="00C373B3" w:rsidP="00C373B3">
      <w:pPr>
        <w:pStyle w:val="Heading1"/>
        <w:numPr>
          <w:ilvl w:val="0"/>
          <w:numId w:val="0"/>
        </w:numPr>
      </w:pPr>
      <w:r>
        <w:t>[38]</w:t>
      </w:r>
      <w:r>
        <w:tab/>
      </w:r>
      <w:r w:rsidR="00200381">
        <w:t>The Supreme Court also opined</w:t>
      </w:r>
      <w:r w:rsidR="00200381">
        <w:rPr>
          <w:rStyle w:val="FootnoteReference"/>
        </w:rPr>
        <w:footnoteReference w:id="24"/>
      </w:r>
      <w:r w:rsidR="00200381">
        <w:t xml:space="preserve"> that </w:t>
      </w:r>
      <w:r w:rsidR="009A635F">
        <w:rPr>
          <w:lang w:val="en-GB"/>
        </w:rPr>
        <w:t>in interpreting s</w:t>
      </w:r>
      <w:r w:rsidR="00200381">
        <w:rPr>
          <w:lang w:val="en-GB"/>
        </w:rPr>
        <w:t xml:space="preserve"> 15 of the Prescription Act, it is important to </w:t>
      </w:r>
      <w:r w:rsidR="00200381" w:rsidRPr="00B5781F">
        <w:rPr>
          <w:lang w:val="en-GB"/>
        </w:rPr>
        <w:t xml:space="preserve">realise </w:t>
      </w:r>
      <w:r w:rsidR="00200381">
        <w:rPr>
          <w:lang w:val="en-GB"/>
        </w:rPr>
        <w:t xml:space="preserve">the Prescription </w:t>
      </w:r>
      <w:r w:rsidR="00200381" w:rsidRPr="00B5781F">
        <w:rPr>
          <w:lang w:val="en-GB"/>
        </w:rPr>
        <w:t xml:space="preserve">Act </w:t>
      </w:r>
      <w:r w:rsidR="00200381">
        <w:rPr>
          <w:lang w:val="en-GB"/>
        </w:rPr>
        <w:t>displays</w:t>
      </w:r>
      <w:r w:rsidR="00200381" w:rsidRPr="00B5781F">
        <w:rPr>
          <w:lang w:val="en-GB"/>
        </w:rPr>
        <w:t xml:space="preserve"> a ‘discernible looseness of language</w:t>
      </w:r>
      <w:r w:rsidR="00200381">
        <w:rPr>
          <w:lang w:val="en-GB"/>
        </w:rPr>
        <w:t>’.</w:t>
      </w:r>
      <w:r w:rsidR="00200381">
        <w:rPr>
          <w:rStyle w:val="FootnoteReference"/>
          <w:lang w:val="en-GB"/>
        </w:rPr>
        <w:footnoteReference w:id="25"/>
      </w:r>
      <w:r w:rsidR="00200381">
        <w:rPr>
          <w:lang w:val="en-GB"/>
        </w:rPr>
        <w:t xml:space="preserve"> For example, it </w:t>
      </w:r>
      <w:r w:rsidR="00200381" w:rsidRPr="00B5781F">
        <w:rPr>
          <w:lang w:val="en-GB"/>
        </w:rPr>
        <w:t xml:space="preserve">uses the word </w:t>
      </w:r>
      <w:r w:rsidR="00200381">
        <w:rPr>
          <w:lang w:val="en-GB"/>
        </w:rPr>
        <w:t>‘</w:t>
      </w:r>
      <w:r w:rsidR="00200381" w:rsidRPr="00B5781F">
        <w:rPr>
          <w:lang w:val="en-GB"/>
        </w:rPr>
        <w:t>debt</w:t>
      </w:r>
      <w:r w:rsidR="00200381">
        <w:rPr>
          <w:lang w:val="en-GB"/>
        </w:rPr>
        <w:t>’</w:t>
      </w:r>
      <w:r w:rsidR="00200381" w:rsidRPr="00B5781F">
        <w:rPr>
          <w:lang w:val="en-GB"/>
        </w:rPr>
        <w:t xml:space="preserve"> with several different meanings, and it is nowhere defined.</w:t>
      </w:r>
      <w:r w:rsidR="00200381">
        <w:rPr>
          <w:rStyle w:val="FootnoteReference"/>
          <w:lang w:val="en-GB"/>
        </w:rPr>
        <w:footnoteReference w:id="26"/>
      </w:r>
      <w:r w:rsidR="00200381">
        <w:rPr>
          <w:lang w:val="en-GB"/>
        </w:rPr>
        <w:t xml:space="preserve"> Also, although the word ‘debt’ could be construed narrowly to refer only to obligations to pay liquidated sums of money, t</w:t>
      </w:r>
      <w:r w:rsidR="00200381" w:rsidRPr="00B5781F">
        <w:rPr>
          <w:lang w:val="en-GB"/>
        </w:rPr>
        <w:t xml:space="preserve">he courts have given the word </w:t>
      </w:r>
      <w:r w:rsidR="00200381">
        <w:rPr>
          <w:lang w:val="en-GB"/>
        </w:rPr>
        <w:t>‘</w:t>
      </w:r>
      <w:r w:rsidR="00200381" w:rsidRPr="00B5781F">
        <w:rPr>
          <w:lang w:val="en-GB"/>
        </w:rPr>
        <w:t>debt</w:t>
      </w:r>
      <w:r w:rsidR="00200381">
        <w:rPr>
          <w:lang w:val="en-GB"/>
        </w:rPr>
        <w:t>’</w:t>
      </w:r>
      <w:r w:rsidR="00200381" w:rsidRPr="00B5781F">
        <w:rPr>
          <w:lang w:val="en-GB"/>
        </w:rPr>
        <w:t xml:space="preserve"> a wide meaning to include what is due or owed as a result of a legal obligation and it is clear that it extends beyond </w:t>
      </w:r>
      <w:r w:rsidR="00200381">
        <w:rPr>
          <w:lang w:val="en-GB"/>
        </w:rPr>
        <w:t>‘</w:t>
      </w:r>
      <w:r w:rsidR="00200381" w:rsidRPr="00B5781F">
        <w:rPr>
          <w:lang w:val="en-GB"/>
        </w:rPr>
        <w:t>an obligation to pay a sum of</w:t>
      </w:r>
      <w:r w:rsidR="00C737F5">
        <w:rPr>
          <w:lang w:val="en-GB"/>
        </w:rPr>
        <w:t xml:space="preserve"> money’. The court</w:t>
      </w:r>
      <w:r w:rsidR="00200381" w:rsidRPr="00B5781F">
        <w:rPr>
          <w:lang w:val="en-GB"/>
        </w:rPr>
        <w:t xml:space="preserve"> </w:t>
      </w:r>
      <w:r w:rsidR="00AF1E42">
        <w:t xml:space="preserve">held that ‘prescription of a debt (which includes a </w:t>
      </w:r>
      <w:proofErr w:type="spellStart"/>
      <w:r w:rsidR="00AF1E42">
        <w:t>delictual</w:t>
      </w:r>
      <w:proofErr w:type="spellEnd"/>
      <w:r w:rsidR="00AF1E42">
        <w:t xml:space="preserve"> debt) begins running when the debt becomes</w:t>
      </w:r>
      <w:r w:rsidR="009A635F">
        <w:t xml:space="preserve"> due, </w:t>
      </w:r>
      <w:r w:rsidR="00AF1E42">
        <w:t>and a debt becomes due when the creditor acquires knowledge of the facts from which the debt arises, in other words, the debt becomes due when the creditor acquires a complete cause of action for the recovery of the debt or when the entire set of facts upon which he relies to prove his claim is in place</w:t>
      </w:r>
      <w:r w:rsidR="00AF1E42">
        <w:rPr>
          <w:i/>
        </w:rPr>
        <w:t>.</w:t>
      </w:r>
      <w:r w:rsidR="00AF1E42">
        <w:t xml:space="preserve">’ </w:t>
      </w:r>
    </w:p>
    <w:p w14:paraId="4D58E66C" w14:textId="77777777" w:rsidR="00200381" w:rsidRPr="00200381" w:rsidRDefault="00200381" w:rsidP="00200381"/>
    <w:p w14:paraId="19739EC2" w14:textId="147CAA5C" w:rsidR="00ED4F5F" w:rsidRDefault="00C373B3" w:rsidP="00C373B3">
      <w:pPr>
        <w:pStyle w:val="Heading1"/>
        <w:numPr>
          <w:ilvl w:val="0"/>
          <w:numId w:val="0"/>
        </w:numPr>
        <w:rPr>
          <w:bCs/>
        </w:rPr>
      </w:pPr>
      <w:r>
        <w:rPr>
          <w:bCs/>
        </w:rPr>
        <w:t>[39]</w:t>
      </w:r>
      <w:r>
        <w:rPr>
          <w:bCs/>
        </w:rPr>
        <w:tab/>
      </w:r>
      <w:r w:rsidR="00200381">
        <w:t>I</w:t>
      </w:r>
      <w:r w:rsidR="00AF1E42">
        <w:t xml:space="preserve">n </w:t>
      </w:r>
      <w:r w:rsidR="00AF1E42">
        <w:rPr>
          <w:i/>
        </w:rPr>
        <w:t xml:space="preserve">Truter and Another v </w:t>
      </w:r>
      <w:proofErr w:type="spellStart"/>
      <w:r w:rsidR="00AF1E42">
        <w:rPr>
          <w:i/>
        </w:rPr>
        <w:t>Deyse</w:t>
      </w:r>
      <w:r w:rsidR="00752A95">
        <w:rPr>
          <w:i/>
        </w:rPr>
        <w:t>l</w:t>
      </w:r>
      <w:proofErr w:type="spellEnd"/>
      <w:r w:rsidR="00AF1E42">
        <w:rPr>
          <w:rStyle w:val="FootnoteReference"/>
          <w:i/>
        </w:rPr>
        <w:footnoteReference w:id="27"/>
      </w:r>
      <w:r w:rsidR="00AF1E42">
        <w:rPr>
          <w:i/>
        </w:rPr>
        <w:t xml:space="preserve"> </w:t>
      </w:r>
      <w:r w:rsidR="00AF1E42">
        <w:t>it was ‘held that in a delictual claim, the requirements of fault and unlawfulness do not constitute factual ingredients of the cause of action, but are legal conclusions to be drawn from the facts. For purposes of prescription, “cause of action” meant every fact which it was necessary for the plaintiff to prove in order to succeed in his claim.’</w:t>
      </w:r>
      <w:r w:rsidR="00ED4F5F">
        <w:rPr>
          <w:bCs/>
        </w:rPr>
        <w:t xml:space="preserve"> </w:t>
      </w:r>
    </w:p>
    <w:p w14:paraId="6919BE01" w14:textId="77777777" w:rsidR="00ED4F5F" w:rsidRPr="00ED4F5F" w:rsidRDefault="00ED4F5F" w:rsidP="00ED4F5F"/>
    <w:p w14:paraId="02DBD2D3" w14:textId="0C0AFA9D" w:rsidR="00AF1E42" w:rsidRDefault="00C373B3" w:rsidP="00C373B3">
      <w:pPr>
        <w:pStyle w:val="Heading1"/>
        <w:numPr>
          <w:ilvl w:val="0"/>
          <w:numId w:val="0"/>
        </w:numPr>
      </w:pPr>
      <w:r>
        <w:t>[40]</w:t>
      </w:r>
      <w:r>
        <w:tab/>
      </w:r>
      <w:r w:rsidR="00752A95">
        <w:t xml:space="preserve">The above provisions in the Prescription Act have not been ousted by the Correctional Service Act. </w:t>
      </w:r>
    </w:p>
    <w:p w14:paraId="29183EB9" w14:textId="77777777" w:rsidR="00ED4F5F" w:rsidRPr="00ED4F5F" w:rsidRDefault="00ED4F5F" w:rsidP="00ED4F5F"/>
    <w:p w14:paraId="7258A9DC" w14:textId="293C5EBB" w:rsidR="0064383A" w:rsidRDefault="00C373B3" w:rsidP="00C373B3">
      <w:pPr>
        <w:pStyle w:val="Heading1"/>
        <w:numPr>
          <w:ilvl w:val="0"/>
          <w:numId w:val="0"/>
        </w:numPr>
      </w:pPr>
      <w:r>
        <w:t>[41]</w:t>
      </w:r>
      <w:r>
        <w:tab/>
      </w:r>
      <w:r w:rsidR="00ED4F5F">
        <w:t>The effect of Mr Ncube’s argument results in an interpretation of s</w:t>
      </w:r>
      <w:r w:rsidR="009A635F">
        <w:t xml:space="preserve"> </w:t>
      </w:r>
      <w:r w:rsidR="00ED4F5F">
        <w:t xml:space="preserve">133(4) of the Act that </w:t>
      </w:r>
      <w:r w:rsidR="009A635F">
        <w:t>leads to an</w:t>
      </w:r>
      <w:r w:rsidR="00ED4F5F">
        <w:t xml:space="preserve"> absurdity. This is because the effect of this argument is that in a delictual claim, as in this instance, prescription runs against an inmate or offender in spite of the fact that he or she does not have knowledge of the identity of the maker of the statement, or in instances where the inmate or offender’s cause of action is not complete. This cannot on any construction be the intention of the Act. Therefore and in light of the foregoing, the second special plea must also fail. </w:t>
      </w:r>
    </w:p>
    <w:p w14:paraId="1DAB91E7" w14:textId="77777777" w:rsidR="00ED4F5F" w:rsidRPr="00ED4F5F" w:rsidRDefault="00ED4F5F" w:rsidP="00ED4F5F"/>
    <w:p w14:paraId="77EE5F29" w14:textId="53095CDD" w:rsidR="000A1206" w:rsidRPr="00411DE0" w:rsidRDefault="00C373B3" w:rsidP="00C373B3">
      <w:pPr>
        <w:pStyle w:val="Heading1"/>
        <w:numPr>
          <w:ilvl w:val="0"/>
          <w:numId w:val="0"/>
        </w:numPr>
        <w:rPr>
          <w:bCs/>
        </w:rPr>
      </w:pPr>
      <w:r w:rsidRPr="00411DE0">
        <w:rPr>
          <w:bCs/>
        </w:rPr>
        <w:t>[42]</w:t>
      </w:r>
      <w:r w:rsidRPr="00411DE0">
        <w:rPr>
          <w:bCs/>
        </w:rPr>
        <w:tab/>
      </w:r>
      <w:r w:rsidR="000A1206">
        <w:t>In the end, the following order is made:</w:t>
      </w:r>
    </w:p>
    <w:p w14:paraId="19C1B6D0" w14:textId="77777777" w:rsidR="000A1206" w:rsidRPr="000A1206" w:rsidRDefault="000A1206" w:rsidP="005B12CA">
      <w:pPr>
        <w:pStyle w:val="ListParagraph"/>
        <w:rPr>
          <w:b/>
          <w:lang w:val="en-ZA"/>
        </w:rPr>
      </w:pPr>
    </w:p>
    <w:p w14:paraId="28C26A00" w14:textId="7AC78369" w:rsidR="00D23B0C" w:rsidRDefault="00C373B3" w:rsidP="00C373B3">
      <w:pPr>
        <w:ind w:left="1134" w:hanging="567"/>
      </w:pPr>
      <w:r>
        <w:rPr>
          <w:rFonts w:cs="Times New Roman"/>
          <w:spacing w:val="0"/>
          <w:szCs w:val="22"/>
          <w:lang w:val="en-US"/>
        </w:rPr>
        <w:t>1.</w:t>
      </w:r>
      <w:r>
        <w:rPr>
          <w:rFonts w:cs="Times New Roman"/>
          <w:spacing w:val="0"/>
          <w:szCs w:val="22"/>
          <w:lang w:val="en-US"/>
        </w:rPr>
        <w:tab/>
      </w:r>
      <w:r w:rsidR="00D23B0C">
        <w:t>The de</w:t>
      </w:r>
      <w:r w:rsidR="000A1206" w:rsidRPr="00D23B0C">
        <w:t>fendants’ two special pleas are dismissed.</w:t>
      </w:r>
    </w:p>
    <w:p w14:paraId="155FF6ED" w14:textId="77777777" w:rsidR="00D23B0C" w:rsidRDefault="00D23B0C" w:rsidP="005B12CA">
      <w:pPr>
        <w:pStyle w:val="ListParagraph"/>
        <w:ind w:left="1134"/>
      </w:pPr>
    </w:p>
    <w:p w14:paraId="52E39FF4" w14:textId="122D9317" w:rsidR="00D23B0C" w:rsidRPr="00ED4F5F" w:rsidRDefault="00C373B3" w:rsidP="00C373B3">
      <w:pPr>
        <w:ind w:left="1134" w:hanging="567"/>
      </w:pPr>
      <w:r w:rsidRPr="00ED4F5F">
        <w:rPr>
          <w:rFonts w:cs="Times New Roman"/>
          <w:spacing w:val="0"/>
          <w:szCs w:val="22"/>
          <w:lang w:val="en-US"/>
        </w:rPr>
        <w:t>2.</w:t>
      </w:r>
      <w:r w:rsidRPr="00ED4F5F">
        <w:rPr>
          <w:rFonts w:cs="Times New Roman"/>
          <w:spacing w:val="0"/>
          <w:szCs w:val="22"/>
          <w:lang w:val="en-US"/>
        </w:rPr>
        <w:tab/>
      </w:r>
      <w:r w:rsidR="000A1206" w:rsidRPr="00C373B3">
        <w:t xml:space="preserve">The parties must make discovery in terms of rule 28 and exchange their bundles of discovered documents on or before </w:t>
      </w:r>
      <w:r w:rsidR="000A1206" w:rsidRPr="00C373B3">
        <w:rPr>
          <w:b/>
        </w:rPr>
        <w:t>24 January 2024</w:t>
      </w:r>
      <w:r w:rsidR="00D23B0C" w:rsidRPr="00C373B3">
        <w:t>.</w:t>
      </w:r>
    </w:p>
    <w:p w14:paraId="4D5B0E5A" w14:textId="77777777" w:rsidR="00ED4F5F" w:rsidRDefault="00ED4F5F" w:rsidP="00ED4F5F">
      <w:pPr>
        <w:pStyle w:val="ListParagraph"/>
      </w:pPr>
    </w:p>
    <w:p w14:paraId="4A71A031" w14:textId="024A5868" w:rsidR="000A1206" w:rsidRDefault="00C373B3" w:rsidP="00C373B3">
      <w:pPr>
        <w:ind w:left="1134" w:hanging="567"/>
      </w:pPr>
      <w:r>
        <w:rPr>
          <w:rFonts w:cs="Times New Roman"/>
          <w:spacing w:val="0"/>
          <w:szCs w:val="22"/>
          <w:lang w:val="en-US"/>
        </w:rPr>
        <w:t>3.</w:t>
      </w:r>
      <w:r>
        <w:rPr>
          <w:rFonts w:cs="Times New Roman"/>
          <w:spacing w:val="0"/>
          <w:szCs w:val="22"/>
          <w:lang w:val="en-US"/>
        </w:rPr>
        <w:tab/>
      </w:r>
      <w:r w:rsidR="000A1206" w:rsidRPr="00ED4F5F">
        <w:t xml:space="preserve">The matter is postponed to </w:t>
      </w:r>
      <w:r w:rsidR="000A1206" w:rsidRPr="00C373B3">
        <w:rPr>
          <w:b/>
        </w:rPr>
        <w:t>5 February 2024</w:t>
      </w:r>
      <w:r w:rsidR="000A1206" w:rsidRPr="00ED4F5F">
        <w:t xml:space="preserve"> at </w:t>
      </w:r>
      <w:r w:rsidR="000A1206" w:rsidRPr="00C373B3">
        <w:rPr>
          <w:b/>
        </w:rPr>
        <w:t>15h30</w:t>
      </w:r>
      <w:r w:rsidR="003759B4">
        <w:t xml:space="preserve"> for a c</w:t>
      </w:r>
      <w:r w:rsidR="000A1206">
        <w:t xml:space="preserve">ase </w:t>
      </w:r>
      <w:r w:rsidR="003759B4">
        <w:t>management c</w:t>
      </w:r>
      <w:r w:rsidR="000A1206">
        <w:t>onference.</w:t>
      </w:r>
    </w:p>
    <w:p w14:paraId="74624DD8" w14:textId="77777777" w:rsidR="00ED4F5F" w:rsidRDefault="00ED4F5F" w:rsidP="00ED4F5F">
      <w:pPr>
        <w:pStyle w:val="ListParagraph"/>
      </w:pPr>
    </w:p>
    <w:p w14:paraId="6F154E69" w14:textId="46BB1F95" w:rsidR="008D5FA9" w:rsidRDefault="00C373B3" w:rsidP="00C373B3">
      <w:pPr>
        <w:ind w:left="1134" w:hanging="567"/>
      </w:pPr>
      <w:r>
        <w:rPr>
          <w:rFonts w:cs="Times New Roman"/>
          <w:spacing w:val="0"/>
          <w:szCs w:val="22"/>
          <w:lang w:val="en-US"/>
        </w:rPr>
        <w:t>4.</w:t>
      </w:r>
      <w:r>
        <w:rPr>
          <w:rFonts w:cs="Times New Roman"/>
          <w:spacing w:val="0"/>
          <w:szCs w:val="22"/>
          <w:lang w:val="en-US"/>
        </w:rPr>
        <w:tab/>
      </w:r>
      <w:r w:rsidR="00ED4F5F" w:rsidRPr="00ED4F5F">
        <w:t>The parties must file a joint case management conference</w:t>
      </w:r>
      <w:r w:rsidR="009A635F">
        <w:t xml:space="preserve"> report</w:t>
      </w:r>
      <w:r w:rsidR="00ED4F5F" w:rsidRPr="00ED4F5F">
        <w:t xml:space="preserve"> on or before </w:t>
      </w:r>
      <w:r w:rsidR="00ED4F5F" w:rsidRPr="00C373B3">
        <w:rPr>
          <w:b/>
          <w:bCs/>
        </w:rPr>
        <w:t xml:space="preserve">31 January 2024 </w:t>
      </w:r>
      <w:r w:rsidR="00ED4F5F" w:rsidRPr="00C373B3">
        <w:rPr>
          <w:bCs/>
        </w:rPr>
        <w:t xml:space="preserve">at </w:t>
      </w:r>
      <w:r w:rsidR="00ED4F5F" w:rsidRPr="00C373B3">
        <w:rPr>
          <w:b/>
          <w:bCs/>
        </w:rPr>
        <w:t>15h00</w:t>
      </w:r>
      <w:r w:rsidR="00ED4F5F" w:rsidRPr="00ED4F5F">
        <w:t>.</w:t>
      </w:r>
    </w:p>
    <w:p w14:paraId="1F6E0011" w14:textId="77777777" w:rsidR="008D5FA9" w:rsidRDefault="008D5FA9" w:rsidP="005B12CA">
      <w:pPr>
        <w:widowControl/>
        <w:ind w:left="4320" w:firstLine="720"/>
        <w:jc w:val="left"/>
      </w:pPr>
    </w:p>
    <w:p w14:paraId="5A0551A2" w14:textId="77777777" w:rsidR="008D5FA9" w:rsidRDefault="008D5FA9" w:rsidP="005B12CA">
      <w:pPr>
        <w:widowControl/>
        <w:ind w:left="4320" w:firstLine="720"/>
        <w:jc w:val="left"/>
      </w:pPr>
    </w:p>
    <w:p w14:paraId="7B24043E" w14:textId="5133507D" w:rsidR="00853524" w:rsidRPr="00794D13" w:rsidRDefault="00853524" w:rsidP="005B12CA">
      <w:pPr>
        <w:widowControl/>
        <w:ind w:left="4320" w:firstLine="720"/>
        <w:jc w:val="left"/>
      </w:pPr>
      <w:r w:rsidRPr="00794D13">
        <w:t>____________________</w:t>
      </w:r>
    </w:p>
    <w:p w14:paraId="2FC3ACD2" w14:textId="138029EB" w:rsidR="00853524" w:rsidRPr="00794D13" w:rsidRDefault="00853524" w:rsidP="005B12CA">
      <w:pPr>
        <w:ind w:left="4320" w:firstLine="720"/>
      </w:pPr>
      <w:r w:rsidRPr="00794D13">
        <w:t>E</w:t>
      </w:r>
      <w:r w:rsidR="009A4927" w:rsidRPr="00794D13">
        <w:t xml:space="preserve"> </w:t>
      </w:r>
      <w:r w:rsidRPr="00794D13">
        <w:t>M SCHIMMING-CHASE</w:t>
      </w:r>
    </w:p>
    <w:p w14:paraId="46B13592" w14:textId="08C0BC1C" w:rsidR="00147336" w:rsidRPr="00794D13" w:rsidRDefault="00053826" w:rsidP="005B12CA">
      <w:r w:rsidRPr="00794D13">
        <w:t xml:space="preserve">                                                                   </w:t>
      </w:r>
      <w:r w:rsidR="008A5EE8" w:rsidRPr="00794D13">
        <w:tab/>
      </w:r>
      <w:r w:rsidR="008A5EE8" w:rsidRPr="00794D13">
        <w:tab/>
      </w:r>
      <w:r w:rsidR="00853524" w:rsidRPr="00794D13">
        <w:t>Judg</w:t>
      </w:r>
      <w:r w:rsidR="0012505E" w:rsidRPr="00794D13">
        <w:t>e</w:t>
      </w:r>
      <w:r w:rsidR="00147336" w:rsidRPr="00794D13">
        <w:br w:type="page"/>
      </w:r>
    </w:p>
    <w:p w14:paraId="1C4F74C7" w14:textId="24680C6B" w:rsidR="00853524" w:rsidRPr="00794D13" w:rsidRDefault="00853524" w:rsidP="005B12CA">
      <w:pPr>
        <w:widowControl/>
        <w:jc w:val="left"/>
      </w:pPr>
      <w:r w:rsidRPr="00794D13">
        <w:lastRenderedPageBreak/>
        <w:t>APPEARANCES</w:t>
      </w:r>
    </w:p>
    <w:p w14:paraId="2F3FACC4" w14:textId="77777777" w:rsidR="00853524" w:rsidRPr="00794D13" w:rsidRDefault="00853524" w:rsidP="005B12CA">
      <w:pPr>
        <w:pStyle w:val="BodyText"/>
        <w:autoSpaceDE w:val="0"/>
        <w:autoSpaceDN w:val="0"/>
        <w:adjustRightInd w:val="0"/>
        <w:spacing w:line="360" w:lineRule="auto"/>
        <w:jc w:val="both"/>
        <w:rPr>
          <w:rFonts w:ascii="Arial" w:hAnsi="Arial" w:cs="Arial"/>
        </w:rPr>
      </w:pPr>
    </w:p>
    <w:p w14:paraId="51AE858F" w14:textId="46ECDFBE" w:rsidR="00E057F8" w:rsidRPr="00794D13" w:rsidRDefault="00A52125" w:rsidP="005B12CA">
      <w:r w:rsidRPr="00794D13">
        <w:t>PLAINTIFF</w:t>
      </w:r>
      <w:r w:rsidR="000E59B9" w:rsidRPr="00794D13">
        <w:t>:</w:t>
      </w:r>
      <w:r w:rsidR="00E057F8" w:rsidRPr="00794D13">
        <w:tab/>
      </w:r>
      <w:r w:rsidR="00E057F8" w:rsidRPr="00794D13">
        <w:tab/>
      </w:r>
      <w:r w:rsidR="00E057F8" w:rsidRPr="00794D13">
        <w:tab/>
      </w:r>
      <w:r w:rsidR="00E057F8" w:rsidRPr="00794D13">
        <w:tab/>
        <w:t>D Quickfall</w:t>
      </w:r>
    </w:p>
    <w:p w14:paraId="714E40B2" w14:textId="77777777" w:rsidR="00E057F8" w:rsidRPr="00794D13" w:rsidRDefault="00E057F8" w:rsidP="005B12CA">
      <w:r w:rsidRPr="00794D13">
        <w:tab/>
      </w:r>
      <w:r w:rsidRPr="00794D13">
        <w:tab/>
      </w:r>
      <w:r w:rsidRPr="00794D13">
        <w:tab/>
      </w:r>
      <w:r w:rsidRPr="00794D13">
        <w:tab/>
      </w:r>
      <w:r w:rsidRPr="00794D13">
        <w:tab/>
        <w:t>Society of Advocates, Windhoek</w:t>
      </w:r>
    </w:p>
    <w:p w14:paraId="2C58FC8F" w14:textId="5287DA66" w:rsidR="00853524" w:rsidRPr="00794D13" w:rsidRDefault="00E057F8" w:rsidP="005B12CA">
      <w:r w:rsidRPr="00794D13">
        <w:tab/>
      </w:r>
      <w:r w:rsidRPr="00794D13">
        <w:tab/>
      </w:r>
      <w:r w:rsidRPr="00794D13">
        <w:tab/>
      </w:r>
      <w:r w:rsidRPr="00794D13">
        <w:tab/>
      </w:r>
      <w:r w:rsidRPr="00794D13">
        <w:tab/>
      </w:r>
      <w:r w:rsidRPr="00794D13">
        <w:rPr>
          <w:i/>
        </w:rPr>
        <w:t>Amicus Curiae</w:t>
      </w:r>
      <w:r w:rsidR="000E59B9" w:rsidRPr="00794D13">
        <w:tab/>
      </w:r>
      <w:r w:rsidR="000E59B9" w:rsidRPr="00794D13">
        <w:tab/>
      </w:r>
      <w:r w:rsidR="000E59B9" w:rsidRPr="00794D13">
        <w:tab/>
      </w:r>
      <w:r w:rsidR="000E59B9" w:rsidRPr="00794D13">
        <w:tab/>
      </w:r>
      <w:r w:rsidR="00053826" w:rsidRPr="00794D13">
        <w:tab/>
      </w:r>
    </w:p>
    <w:p w14:paraId="3CAA1AD7" w14:textId="77777777" w:rsidR="00053826" w:rsidRPr="00794D13" w:rsidRDefault="00053826" w:rsidP="005B12CA">
      <w:pPr>
        <w:ind w:left="3600"/>
        <w:jc w:val="left"/>
      </w:pPr>
    </w:p>
    <w:p w14:paraId="4E85DAE2" w14:textId="7F354BE2" w:rsidR="00E057F8" w:rsidRPr="00794D13" w:rsidRDefault="00E057F8" w:rsidP="005B12CA">
      <w:pPr>
        <w:autoSpaceDE w:val="0"/>
        <w:autoSpaceDN w:val="0"/>
        <w:adjustRightInd w:val="0"/>
      </w:pPr>
      <w:r w:rsidRPr="00794D13">
        <w:t>DEFENDANTS:</w:t>
      </w:r>
      <w:r w:rsidRPr="00794D13">
        <w:tab/>
      </w:r>
      <w:r w:rsidRPr="00794D13">
        <w:tab/>
      </w:r>
      <w:r w:rsidRPr="00794D13">
        <w:tab/>
        <w:t>J Ncube</w:t>
      </w:r>
    </w:p>
    <w:p w14:paraId="0AEC7E2F" w14:textId="6B7E92B1" w:rsidR="0012505E" w:rsidRPr="00794D13" w:rsidRDefault="00E057F8" w:rsidP="005B12CA">
      <w:pPr>
        <w:autoSpaceDE w:val="0"/>
        <w:autoSpaceDN w:val="0"/>
        <w:adjustRightInd w:val="0"/>
        <w:ind w:left="3600"/>
      </w:pPr>
      <w:r w:rsidRPr="00794D13">
        <w:t>Of Office of the Government Attorney, Windhoek</w:t>
      </w:r>
      <w:r w:rsidR="00853524" w:rsidRPr="00794D13">
        <w:tab/>
      </w:r>
      <w:r w:rsidR="00500299" w:rsidRPr="00794D13">
        <w:tab/>
      </w:r>
      <w:r w:rsidR="00500299" w:rsidRPr="00794D13">
        <w:tab/>
      </w:r>
      <w:r w:rsidR="00500299" w:rsidRPr="00794D13">
        <w:tab/>
      </w:r>
      <w:r w:rsidR="00500299" w:rsidRPr="00794D13">
        <w:tab/>
      </w:r>
    </w:p>
    <w:p w14:paraId="64D1943B" w14:textId="77777777" w:rsidR="00EC1726" w:rsidRPr="00794D13" w:rsidRDefault="00EC1726" w:rsidP="005B12CA">
      <w:pPr>
        <w:tabs>
          <w:tab w:val="left" w:pos="1394"/>
          <w:tab w:val="left" w:pos="2528"/>
          <w:tab w:val="left" w:pos="3780"/>
        </w:tabs>
      </w:pPr>
    </w:p>
    <w:sectPr w:rsidR="00EC1726" w:rsidRPr="00794D13" w:rsidSect="00866EC4">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D0D2" w14:textId="77777777" w:rsidR="00956E46" w:rsidRDefault="00956E46" w:rsidP="00867D73">
      <w:pPr>
        <w:spacing w:line="240" w:lineRule="auto"/>
      </w:pPr>
      <w:r>
        <w:separator/>
      </w:r>
    </w:p>
  </w:endnote>
  <w:endnote w:type="continuationSeparator" w:id="0">
    <w:p w14:paraId="0E7BE833" w14:textId="77777777" w:rsidR="00956E46" w:rsidRDefault="00956E46"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186B" w14:textId="77777777" w:rsidR="00956E46" w:rsidRDefault="00956E46" w:rsidP="00867D73">
      <w:pPr>
        <w:spacing w:line="240" w:lineRule="auto"/>
      </w:pPr>
      <w:r>
        <w:separator/>
      </w:r>
    </w:p>
  </w:footnote>
  <w:footnote w:type="continuationSeparator" w:id="0">
    <w:p w14:paraId="21C3A12F" w14:textId="77777777" w:rsidR="00956E46" w:rsidRDefault="00956E46" w:rsidP="00867D73">
      <w:pPr>
        <w:spacing w:line="240" w:lineRule="auto"/>
      </w:pPr>
      <w:r>
        <w:continuationSeparator/>
      </w:r>
    </w:p>
  </w:footnote>
  <w:footnote w:id="1">
    <w:p w14:paraId="58A36D01" w14:textId="1FF6061F" w:rsidR="00AA4F54" w:rsidRPr="00AA4F54" w:rsidRDefault="00AA4F54">
      <w:pPr>
        <w:pStyle w:val="FootnoteText"/>
        <w:rPr>
          <w:lang w:val="en-GB"/>
        </w:rPr>
      </w:pPr>
      <w:r>
        <w:rPr>
          <w:rStyle w:val="FootnoteReference"/>
        </w:rPr>
        <w:footnoteRef/>
      </w:r>
      <w:r w:rsidRPr="00AA4F54">
        <w:rPr>
          <w:i/>
          <w:iCs/>
        </w:rPr>
        <w:t>Amadhila v Government of the Republic of Namibia</w:t>
      </w:r>
      <w:r w:rsidRPr="00AA4F54">
        <w:t xml:space="preserve"> (HC-MD-CIV-ACT-DEL-2019/00602) [2021] NAHCMD 428 (24 September 2021) para 32.</w:t>
      </w:r>
      <w:r>
        <w:t xml:space="preserve"> </w:t>
      </w:r>
    </w:p>
  </w:footnote>
  <w:footnote w:id="2">
    <w:p w14:paraId="0A32CD72" w14:textId="6EE5169F" w:rsidR="00AA4F54" w:rsidRPr="00AA4F54" w:rsidRDefault="00AA4F54">
      <w:pPr>
        <w:pStyle w:val="FootnoteText"/>
        <w:rPr>
          <w:lang w:val="en-GB"/>
        </w:rPr>
      </w:pPr>
      <w:r>
        <w:rPr>
          <w:rStyle w:val="FootnoteReference"/>
        </w:rPr>
        <w:footnoteRef/>
      </w:r>
      <w:r>
        <w:t xml:space="preserve"> </w:t>
      </w:r>
      <w:r w:rsidRPr="00AA4F54">
        <w:rPr>
          <w:i/>
          <w:iCs/>
        </w:rPr>
        <w:t xml:space="preserve">Minister of Home Affairs v </w:t>
      </w:r>
      <w:r w:rsidRPr="00AA4F54">
        <w:rPr>
          <w:i/>
          <w:iCs/>
        </w:rPr>
        <w:t>Majiedt and Others</w:t>
      </w:r>
      <w:r w:rsidRPr="00AA4F54">
        <w:t xml:space="preserve"> 2007 (2) NR 475 (SC)</w:t>
      </w:r>
      <w:r w:rsidR="008E2C30">
        <w:t xml:space="preserve"> para 45</w:t>
      </w:r>
      <w:r w:rsidRPr="00AA4F54">
        <w:t>.</w:t>
      </w:r>
    </w:p>
  </w:footnote>
  <w:footnote w:id="3">
    <w:p w14:paraId="1EB5E7A1" w14:textId="555CDE46" w:rsidR="00DB0D52" w:rsidRPr="00DB0D52" w:rsidRDefault="00DB0D52">
      <w:pPr>
        <w:pStyle w:val="FootnoteText"/>
        <w:rPr>
          <w:lang w:val="en-GB"/>
        </w:rPr>
      </w:pPr>
      <w:r>
        <w:rPr>
          <w:rStyle w:val="FootnoteReference"/>
        </w:rPr>
        <w:footnoteRef/>
      </w:r>
      <w:r>
        <w:t xml:space="preserve"> </w:t>
      </w:r>
      <w:r w:rsidR="0020361A">
        <w:rPr>
          <w:lang w:val="en-GB"/>
        </w:rPr>
        <w:t>Ibid</w:t>
      </w:r>
      <w:r>
        <w:rPr>
          <w:lang w:val="en-GB"/>
        </w:rPr>
        <w:t xml:space="preserve"> </w:t>
      </w:r>
      <w:r>
        <w:rPr>
          <w:lang w:val="en-GB"/>
        </w:rPr>
        <w:t>para 32</w:t>
      </w:r>
    </w:p>
  </w:footnote>
  <w:footnote w:id="4">
    <w:p w14:paraId="616FA0CE" w14:textId="4419AE17" w:rsidR="00EF2E02" w:rsidRPr="0046094F" w:rsidRDefault="00EF2E02">
      <w:pPr>
        <w:pStyle w:val="FootnoteText"/>
        <w:rPr>
          <w:lang w:val="en-US"/>
        </w:rPr>
      </w:pPr>
      <w:r>
        <w:rPr>
          <w:rStyle w:val="FootnoteReference"/>
        </w:rPr>
        <w:footnoteRef/>
      </w:r>
      <w:r>
        <w:t xml:space="preserve"> </w:t>
      </w:r>
      <w:r w:rsidR="00C32B40" w:rsidRPr="00C32B40">
        <w:rPr>
          <w:i/>
          <w:lang w:val="en-US"/>
        </w:rPr>
        <w:t xml:space="preserve">Simon v Administrator-General, South West Africa </w:t>
      </w:r>
      <w:r w:rsidR="00C32B40" w:rsidRPr="00C32B40">
        <w:rPr>
          <w:lang w:val="en-US"/>
        </w:rPr>
        <w:t>1991 NR 15</w:t>
      </w:r>
      <w:r w:rsidR="00C32B40">
        <w:rPr>
          <w:lang w:val="en-US"/>
        </w:rPr>
        <w:t>1</w:t>
      </w:r>
      <w:r w:rsidR="00C32B40" w:rsidRPr="00C32B40">
        <w:rPr>
          <w:lang w:val="en-US"/>
        </w:rPr>
        <w:t>.</w:t>
      </w:r>
    </w:p>
  </w:footnote>
  <w:footnote w:id="5">
    <w:p w14:paraId="527FBDAC" w14:textId="37A9071A" w:rsidR="00C32B40" w:rsidRPr="00C32B40" w:rsidRDefault="00C32B40">
      <w:pPr>
        <w:pStyle w:val="FootnoteText"/>
        <w:rPr>
          <w:lang w:val="en-GB"/>
        </w:rPr>
      </w:pPr>
      <w:r>
        <w:rPr>
          <w:rStyle w:val="FootnoteReference"/>
        </w:rPr>
        <w:footnoteRef/>
      </w:r>
      <w:r>
        <w:t xml:space="preserve"> </w:t>
      </w:r>
      <w:r w:rsidR="0046094F">
        <w:rPr>
          <w:lang w:val="en-GB"/>
        </w:rPr>
        <w:t>Ibid</w:t>
      </w:r>
      <w:r w:rsidR="0020361A">
        <w:rPr>
          <w:lang w:val="en-GB"/>
        </w:rPr>
        <w:t xml:space="preserve"> at 155</w:t>
      </w:r>
      <w:r>
        <w:rPr>
          <w:lang w:val="en-GB"/>
        </w:rPr>
        <w:t>A</w:t>
      </w:r>
      <w:r w:rsidR="0020361A">
        <w:rPr>
          <w:lang w:val="en-GB"/>
        </w:rPr>
        <w:t>.</w:t>
      </w:r>
    </w:p>
  </w:footnote>
  <w:footnote w:id="6">
    <w:p w14:paraId="05E2C9A9" w14:textId="68494BFB" w:rsidR="008E2C30" w:rsidRPr="008E2C30" w:rsidRDefault="008E2C30">
      <w:pPr>
        <w:pStyle w:val="FootnoteText"/>
        <w:rPr>
          <w:lang w:val="en-GB"/>
        </w:rPr>
      </w:pPr>
      <w:r>
        <w:rPr>
          <w:rStyle w:val="FootnoteReference"/>
        </w:rPr>
        <w:footnoteRef/>
      </w:r>
      <w:r>
        <w:t xml:space="preserve"> </w:t>
      </w:r>
      <w:r>
        <w:rPr>
          <w:i/>
        </w:rPr>
        <w:t xml:space="preserve">JEM Motors Ltd v </w:t>
      </w:r>
      <w:r>
        <w:rPr>
          <w:i/>
        </w:rPr>
        <w:t xml:space="preserve">Boutle and Another </w:t>
      </w:r>
      <w:r>
        <w:t>1961 (2) SA 320 (N).</w:t>
      </w:r>
    </w:p>
  </w:footnote>
  <w:footnote w:id="7">
    <w:p w14:paraId="6AFC4256" w14:textId="3B319829" w:rsidR="008E2C30" w:rsidRPr="008E2C30" w:rsidRDefault="008E2C30">
      <w:pPr>
        <w:pStyle w:val="FootnoteText"/>
        <w:rPr>
          <w:lang w:val="en-GB"/>
        </w:rPr>
      </w:pPr>
      <w:r>
        <w:rPr>
          <w:rStyle w:val="FootnoteReference"/>
        </w:rPr>
        <w:footnoteRef/>
      </w:r>
      <w:r>
        <w:t xml:space="preserve"> </w:t>
      </w:r>
      <w:r>
        <w:rPr>
          <w:i/>
        </w:rPr>
        <w:t xml:space="preserve">Torbitt and Others v International University of Management </w:t>
      </w:r>
      <w:r w:rsidR="007E45DA" w:rsidRPr="007E45DA">
        <w:t xml:space="preserve"> 2017 (2) NR 323 (SC)</w:t>
      </w:r>
      <w:r w:rsidR="00DB59CE">
        <w:t>.</w:t>
      </w:r>
    </w:p>
  </w:footnote>
  <w:footnote w:id="8">
    <w:p w14:paraId="1659F7FC" w14:textId="1DC1E5CA" w:rsidR="007E45DA" w:rsidRPr="007E45DA" w:rsidRDefault="007E45DA">
      <w:pPr>
        <w:pStyle w:val="FootnoteText"/>
        <w:rPr>
          <w:lang w:val="en-GB"/>
        </w:rPr>
      </w:pPr>
      <w:r>
        <w:rPr>
          <w:rStyle w:val="FootnoteReference"/>
        </w:rPr>
        <w:footnoteRef/>
      </w:r>
      <w:r>
        <w:t xml:space="preserve"> </w:t>
      </w:r>
      <w:r w:rsidR="0020361A">
        <w:rPr>
          <w:lang w:val="en-GB"/>
        </w:rPr>
        <w:t>Ibid</w:t>
      </w:r>
      <w:r>
        <w:rPr>
          <w:lang w:val="en-GB"/>
        </w:rPr>
        <w:t xml:space="preserve"> </w:t>
      </w:r>
      <w:r>
        <w:rPr>
          <w:lang w:val="en-GB"/>
        </w:rPr>
        <w:t>para</w:t>
      </w:r>
      <w:r w:rsidR="0046094F">
        <w:rPr>
          <w:lang w:val="en-GB"/>
        </w:rPr>
        <w:t>s</w:t>
      </w:r>
      <w:r>
        <w:rPr>
          <w:lang w:val="en-GB"/>
        </w:rPr>
        <w:t xml:space="preserve"> 30-36.</w:t>
      </w:r>
    </w:p>
  </w:footnote>
  <w:footnote w:id="9">
    <w:p w14:paraId="6E8D9AC4" w14:textId="77777777" w:rsidR="007E45DA" w:rsidRPr="006B3ED0" w:rsidRDefault="007E45DA" w:rsidP="007E45DA">
      <w:pPr>
        <w:pStyle w:val="FootnoteText"/>
        <w:rPr>
          <w:lang w:val="en-US"/>
        </w:rPr>
      </w:pPr>
      <w:r>
        <w:rPr>
          <w:rStyle w:val="FootnoteReference"/>
        </w:rPr>
        <w:footnoteRef/>
      </w:r>
      <w:r>
        <w:t xml:space="preserve"> </w:t>
      </w:r>
      <w:r>
        <w:rPr>
          <w:i/>
        </w:rPr>
        <w:t xml:space="preserve">Legal Aid Board v Singh </w:t>
      </w:r>
      <w:r>
        <w:t xml:space="preserve">2009 (1) SA 184 (N); </w:t>
      </w:r>
      <w:r>
        <w:rPr>
          <w:i/>
        </w:rPr>
        <w:t xml:space="preserve">Van Wyk v Namibia Correctional Service Commissioner General: Hamunyela </w:t>
      </w:r>
      <w:r>
        <w:t>(HC-MD-CIV-MOT-GEN-2019/00024) [2020] NAHCMD 368 (21 August 2020).</w:t>
      </w:r>
    </w:p>
    <w:p w14:paraId="103C14C8" w14:textId="1DDFD82F" w:rsidR="007E45DA" w:rsidRPr="008E5614" w:rsidRDefault="007E45DA" w:rsidP="007E45DA">
      <w:pPr>
        <w:pStyle w:val="FootnoteText"/>
        <w:rPr>
          <w:lang w:val="en-US"/>
        </w:rPr>
      </w:pPr>
    </w:p>
    <w:p w14:paraId="70A71B8C" w14:textId="6BF60329" w:rsidR="007E45DA" w:rsidRPr="007E45DA" w:rsidRDefault="007E45DA">
      <w:pPr>
        <w:pStyle w:val="FootnoteText"/>
        <w:rPr>
          <w:lang w:val="en-GB"/>
        </w:rPr>
      </w:pPr>
    </w:p>
  </w:footnote>
  <w:footnote w:id="10">
    <w:p w14:paraId="0D7284A7" w14:textId="38D79923" w:rsidR="000A1206" w:rsidRPr="001862B4" w:rsidRDefault="000A1206">
      <w:pPr>
        <w:pStyle w:val="FootnoteText"/>
        <w:rPr>
          <w:lang w:val="en-US"/>
        </w:rPr>
      </w:pPr>
      <w:r>
        <w:rPr>
          <w:rStyle w:val="FootnoteReference"/>
        </w:rPr>
        <w:footnoteRef/>
      </w:r>
      <w:r w:rsidR="00C95B38">
        <w:rPr>
          <w:i/>
        </w:rPr>
        <w:t xml:space="preserve"> </w:t>
      </w:r>
      <w:r>
        <w:rPr>
          <w:i/>
        </w:rPr>
        <w:t xml:space="preserve">Gregory v Minister of Safety and Security </w:t>
      </w:r>
      <w:r>
        <w:t xml:space="preserve">(HC-MD-CIV-ACT-OTH-2021/01397) [2022] NAHCMD 228 (9 May 2022) </w:t>
      </w:r>
      <w:r w:rsidR="00015972">
        <w:t xml:space="preserve">para 13 </w:t>
      </w:r>
      <w:r>
        <w:t xml:space="preserve">in citing with approval </w:t>
      </w:r>
      <w:r>
        <w:rPr>
          <w:i/>
        </w:rPr>
        <w:t xml:space="preserve">Kahimise v Commissioner-General of Correctional Services </w:t>
      </w:r>
      <w:r>
        <w:t>(HC-MD-CIV-MOT-REV-2020/00054) [2021] NAHCMD 24 (4 February 2021).</w:t>
      </w:r>
    </w:p>
  </w:footnote>
  <w:footnote w:id="11">
    <w:p w14:paraId="0AC7CD03" w14:textId="28E20E80" w:rsidR="00987B0E" w:rsidRPr="00987B0E" w:rsidRDefault="00987B0E">
      <w:pPr>
        <w:pStyle w:val="FootnoteText"/>
        <w:rPr>
          <w:lang w:val="en-US"/>
        </w:rPr>
      </w:pPr>
      <w:r>
        <w:rPr>
          <w:rStyle w:val="FootnoteReference"/>
        </w:rPr>
        <w:footnoteRef/>
      </w:r>
      <w:r>
        <w:t xml:space="preserve"> </w:t>
      </w:r>
      <w:r w:rsidR="00C95B38" w:rsidRPr="00C95B38">
        <w:rPr>
          <w:i/>
        </w:rPr>
        <w:t xml:space="preserve">Kahimise </w:t>
      </w:r>
      <w:r w:rsidR="00C95B38">
        <w:t>supra p</w:t>
      </w:r>
      <w:r w:rsidRPr="00C95B38">
        <w:rPr>
          <w:lang w:val="en-US"/>
        </w:rPr>
        <w:t>aras</w:t>
      </w:r>
      <w:r>
        <w:rPr>
          <w:lang w:val="en-US"/>
        </w:rPr>
        <w:t xml:space="preserve"> 13-21. </w:t>
      </w:r>
    </w:p>
  </w:footnote>
  <w:footnote w:id="12">
    <w:p w14:paraId="038F116F" w14:textId="273F09FC" w:rsidR="000A1206" w:rsidRPr="007D7C84" w:rsidRDefault="000A1206">
      <w:pPr>
        <w:pStyle w:val="FootnoteText"/>
        <w:rPr>
          <w:lang w:val="en-US"/>
        </w:rPr>
      </w:pPr>
      <w:r>
        <w:rPr>
          <w:rStyle w:val="FootnoteReference"/>
        </w:rPr>
        <w:footnoteRef/>
      </w:r>
      <w:r>
        <w:t xml:space="preserve"> </w:t>
      </w:r>
      <w:r>
        <w:rPr>
          <w:i/>
        </w:rPr>
        <w:t xml:space="preserve">Abrahamse &amp; Sons v SA Railways and Harbours </w:t>
      </w:r>
      <w:r>
        <w:t xml:space="preserve">1993 CPD 626 cited with approval in </w:t>
      </w:r>
      <w:r>
        <w:rPr>
          <w:i/>
        </w:rPr>
        <w:t xml:space="preserve">Namibia Breweries Ltd v Seelenbinder, Henning &amp; Partners </w:t>
      </w:r>
      <w:r>
        <w:t>Case No (P) I 1606/1999 delivered on 12 February 2002.</w:t>
      </w:r>
    </w:p>
  </w:footnote>
  <w:footnote w:id="13">
    <w:p w14:paraId="4B1FF569" w14:textId="23725ED8" w:rsidR="000A1206" w:rsidRPr="007E6392" w:rsidRDefault="000A1206">
      <w:pPr>
        <w:pStyle w:val="FootnoteText"/>
        <w:rPr>
          <w:lang w:val="en-US"/>
        </w:rPr>
      </w:pPr>
      <w:r>
        <w:rPr>
          <w:rStyle w:val="FootnoteReference"/>
        </w:rPr>
        <w:footnoteRef/>
      </w:r>
      <w:r>
        <w:t xml:space="preserve"> </w:t>
      </w:r>
      <w:r>
        <w:rPr>
          <w:i/>
        </w:rPr>
        <w:t xml:space="preserve">Singh v </w:t>
      </w:r>
      <w:r>
        <w:rPr>
          <w:i/>
        </w:rPr>
        <w:t xml:space="preserve">Figura </w:t>
      </w:r>
      <w:r>
        <w:t>(HC-MD-CIV-ACT-CON-2020/01882) [2020] NAHCMD 464 (29 September 2020) para 23.</w:t>
      </w:r>
    </w:p>
  </w:footnote>
  <w:footnote w:id="14">
    <w:p w14:paraId="3960AF24" w14:textId="593ECB59" w:rsidR="000A1206" w:rsidRPr="007E6392" w:rsidRDefault="000A1206">
      <w:pPr>
        <w:pStyle w:val="FootnoteText"/>
        <w:rPr>
          <w:lang w:val="en-US"/>
        </w:rPr>
      </w:pPr>
      <w:r>
        <w:rPr>
          <w:rStyle w:val="FootnoteReference"/>
        </w:rPr>
        <w:footnoteRef/>
      </w:r>
      <w:r>
        <w:t xml:space="preserve"> </w:t>
      </w:r>
      <w:r>
        <w:rPr>
          <w:i/>
        </w:rPr>
        <w:t xml:space="preserve">McKenzie v Farmers’ Co-operative Meat Industries Ltd </w:t>
      </w:r>
      <w:r>
        <w:t>1922 AD 16 para 23.</w:t>
      </w:r>
    </w:p>
  </w:footnote>
  <w:footnote w:id="15">
    <w:p w14:paraId="3CFA33F3" w14:textId="28AAA330" w:rsidR="000A1206" w:rsidRPr="00084D9F" w:rsidRDefault="000A1206">
      <w:pPr>
        <w:pStyle w:val="FootnoteText"/>
        <w:rPr>
          <w:lang w:val="en-US"/>
        </w:rPr>
      </w:pPr>
      <w:r>
        <w:rPr>
          <w:rStyle w:val="FootnoteReference"/>
        </w:rPr>
        <w:footnoteRef/>
      </w:r>
      <w:r>
        <w:t xml:space="preserve"> </w:t>
      </w:r>
      <w:r>
        <w:rPr>
          <w:i/>
        </w:rPr>
        <w:t xml:space="preserve">Khariseb v Minister of Safety and Security </w:t>
      </w:r>
      <w:r>
        <w:t>2020 (3) NR 794 (SC).</w:t>
      </w:r>
    </w:p>
  </w:footnote>
  <w:footnote w:id="16">
    <w:p w14:paraId="0AAF6150" w14:textId="3B8A8992" w:rsidR="00C20DC8" w:rsidRPr="00C20DC8" w:rsidRDefault="00C20DC8">
      <w:pPr>
        <w:pStyle w:val="FootnoteText"/>
        <w:rPr>
          <w:lang w:val="en-GB"/>
        </w:rPr>
      </w:pPr>
      <w:r>
        <w:rPr>
          <w:rStyle w:val="FootnoteReference"/>
        </w:rPr>
        <w:footnoteRef/>
      </w:r>
      <w:r>
        <w:t xml:space="preserve"> </w:t>
      </w:r>
      <w:r w:rsidRPr="00C20DC8">
        <w:rPr>
          <w:bCs/>
          <w:i/>
          <w:iCs/>
        </w:rPr>
        <w:t>Bhyat v Commissioner for Immigration</w:t>
      </w:r>
      <w:r w:rsidRPr="00C20DC8">
        <w:t xml:space="preserve"> 1932 AD 125 at 129.</w:t>
      </w:r>
    </w:p>
  </w:footnote>
  <w:footnote w:id="17">
    <w:p w14:paraId="414C1BCA" w14:textId="326807F1" w:rsidR="00750AD2" w:rsidRPr="00750AD2" w:rsidRDefault="00750AD2">
      <w:pPr>
        <w:pStyle w:val="FootnoteText"/>
        <w:rPr>
          <w:lang w:val="en-GB"/>
        </w:rPr>
      </w:pPr>
      <w:r>
        <w:rPr>
          <w:rStyle w:val="FootnoteReference"/>
        </w:rPr>
        <w:footnoteRef/>
      </w:r>
      <w:r>
        <w:t xml:space="preserve"> </w:t>
      </w:r>
      <w:r>
        <w:rPr>
          <w:lang w:val="en-GB"/>
        </w:rPr>
        <w:t xml:space="preserve">Approved in inter alia </w:t>
      </w:r>
      <w:r w:rsidRPr="00750AD2">
        <w:rPr>
          <w:i/>
          <w:iCs/>
          <w:lang w:val="en-GB"/>
        </w:rPr>
        <w:t xml:space="preserve">Radial Truss Industries (Pty) Ltd </w:t>
      </w:r>
      <w:r>
        <w:rPr>
          <w:i/>
          <w:iCs/>
          <w:lang w:val="en-GB"/>
        </w:rPr>
        <w:t xml:space="preserve">v </w:t>
      </w:r>
      <w:r w:rsidRPr="00750AD2">
        <w:rPr>
          <w:i/>
          <w:iCs/>
          <w:lang w:val="en-GB"/>
        </w:rPr>
        <w:t xml:space="preserve">Chairperson </w:t>
      </w:r>
      <w:r>
        <w:rPr>
          <w:i/>
          <w:iCs/>
          <w:lang w:val="en-GB"/>
        </w:rPr>
        <w:t>o</w:t>
      </w:r>
      <w:r w:rsidRPr="00750AD2">
        <w:rPr>
          <w:i/>
          <w:iCs/>
          <w:lang w:val="en-GB"/>
        </w:rPr>
        <w:t xml:space="preserve">f </w:t>
      </w:r>
      <w:r>
        <w:rPr>
          <w:i/>
          <w:iCs/>
          <w:lang w:val="en-GB"/>
        </w:rPr>
        <w:t>t</w:t>
      </w:r>
      <w:r w:rsidRPr="00750AD2">
        <w:rPr>
          <w:i/>
          <w:iCs/>
          <w:lang w:val="en-GB"/>
        </w:rPr>
        <w:t xml:space="preserve">he Central Procurement Board </w:t>
      </w:r>
      <w:r>
        <w:rPr>
          <w:i/>
          <w:iCs/>
          <w:lang w:val="en-GB"/>
        </w:rPr>
        <w:t>o</w:t>
      </w:r>
      <w:r w:rsidRPr="00750AD2">
        <w:rPr>
          <w:i/>
          <w:iCs/>
          <w:lang w:val="en-GB"/>
        </w:rPr>
        <w:t xml:space="preserve">f Namibia </w:t>
      </w:r>
      <w:r>
        <w:rPr>
          <w:i/>
          <w:iCs/>
          <w:lang w:val="en-GB"/>
        </w:rPr>
        <w:t>a</w:t>
      </w:r>
      <w:r w:rsidRPr="00750AD2">
        <w:rPr>
          <w:i/>
          <w:iCs/>
          <w:lang w:val="en-GB"/>
        </w:rPr>
        <w:t>nd Others</w:t>
      </w:r>
      <w:r w:rsidRPr="00750AD2">
        <w:rPr>
          <w:lang w:val="en-GB"/>
        </w:rPr>
        <w:t xml:space="preserve"> 2021 (3) NR 752 (HC)</w:t>
      </w:r>
      <w:r w:rsidR="00337D29">
        <w:rPr>
          <w:lang w:val="en-GB"/>
        </w:rPr>
        <w:t xml:space="preserve"> </w:t>
      </w:r>
      <w:r>
        <w:rPr>
          <w:lang w:val="en-GB"/>
        </w:rPr>
        <w:t>para 28.</w:t>
      </w:r>
    </w:p>
  </w:footnote>
  <w:footnote w:id="18">
    <w:p w14:paraId="3FFF6248" w14:textId="34CBCADF" w:rsidR="00945A1C" w:rsidRPr="00945A1C" w:rsidRDefault="00945A1C">
      <w:pPr>
        <w:pStyle w:val="FootnoteText"/>
        <w:rPr>
          <w:lang w:val="en-GB"/>
        </w:rPr>
      </w:pPr>
      <w:r>
        <w:rPr>
          <w:rStyle w:val="FootnoteReference"/>
        </w:rPr>
        <w:footnoteRef/>
      </w:r>
      <w:r>
        <w:t xml:space="preserve"> </w:t>
      </w:r>
      <w:r>
        <w:rPr>
          <w:lang w:val="en-GB"/>
        </w:rPr>
        <w:t xml:space="preserve">Ibid </w:t>
      </w:r>
      <w:r>
        <w:rPr>
          <w:lang w:val="en-GB"/>
        </w:rPr>
        <w:t>fn 7.</w:t>
      </w:r>
    </w:p>
  </w:footnote>
  <w:footnote w:id="19">
    <w:p w14:paraId="732C27A5" w14:textId="240B02A7" w:rsidR="003F3069" w:rsidRPr="003F3069" w:rsidRDefault="003F3069">
      <w:pPr>
        <w:pStyle w:val="FootnoteText"/>
        <w:rPr>
          <w:lang w:val="en-GB"/>
        </w:rPr>
      </w:pPr>
      <w:r>
        <w:rPr>
          <w:rStyle w:val="FootnoteReference"/>
        </w:rPr>
        <w:footnoteRef/>
      </w:r>
      <w:r>
        <w:t xml:space="preserve"> </w:t>
      </w:r>
      <w:r w:rsidRPr="003F3069">
        <w:rPr>
          <w:i/>
          <w:iCs/>
        </w:rPr>
        <w:t>Natal Joint Municipal Pension Fund v Endumeni Municipality</w:t>
      </w:r>
      <w:r w:rsidRPr="003F3069">
        <w:t xml:space="preserve"> 2012 (4) SA 593 (SCA) ([2012] 2 All SA 262; [2012] ZASCA 13) </w:t>
      </w:r>
      <w:r w:rsidRPr="003F3069">
        <w:t xml:space="preserve">para 18 and </w:t>
      </w:r>
      <w:r w:rsidRPr="003F3069">
        <w:rPr>
          <w:i/>
          <w:iCs/>
        </w:rPr>
        <w:t>KPMG Chartered Accountants (SA) v Securefin Ltd and Another</w:t>
      </w:r>
      <w:r w:rsidRPr="003F3069">
        <w:t xml:space="preserve"> 2009 (4) SA 399 (SCA) ([2009] 2 All SA 523; [2009] ZASCA 7) para 39.</w:t>
      </w:r>
    </w:p>
  </w:footnote>
  <w:footnote w:id="20">
    <w:p w14:paraId="31CB403E" w14:textId="33DB04BB" w:rsidR="003F3069" w:rsidRPr="003F3069" w:rsidRDefault="003F3069">
      <w:pPr>
        <w:pStyle w:val="FootnoteText"/>
        <w:rPr>
          <w:lang w:val="en-GB"/>
        </w:rPr>
      </w:pPr>
      <w:r>
        <w:rPr>
          <w:rStyle w:val="FootnoteReference"/>
        </w:rPr>
        <w:footnoteRef/>
      </w:r>
      <w:r>
        <w:t xml:space="preserve"> </w:t>
      </w:r>
      <w:r w:rsidR="00337D29">
        <w:rPr>
          <w:lang w:val="en-GB"/>
        </w:rPr>
        <w:t>Ibid</w:t>
      </w:r>
      <w:r>
        <w:rPr>
          <w:lang w:val="en-GB"/>
        </w:rPr>
        <w:t xml:space="preserve"> </w:t>
      </w:r>
      <w:r>
        <w:rPr>
          <w:lang w:val="en-GB"/>
        </w:rPr>
        <w:t>para 18.</w:t>
      </w:r>
    </w:p>
  </w:footnote>
  <w:footnote w:id="21">
    <w:p w14:paraId="1B80BBE8" w14:textId="1E72FE86" w:rsidR="003F3069" w:rsidRPr="003F3069" w:rsidRDefault="003F3069">
      <w:pPr>
        <w:pStyle w:val="FootnoteText"/>
        <w:rPr>
          <w:lang w:val="en-GB"/>
        </w:rPr>
      </w:pPr>
      <w:r>
        <w:rPr>
          <w:rStyle w:val="FootnoteReference"/>
        </w:rPr>
        <w:footnoteRef/>
      </w:r>
      <w:r>
        <w:t xml:space="preserve"> </w:t>
      </w:r>
      <w:r w:rsidRPr="003F3069">
        <w:rPr>
          <w:i/>
          <w:iCs/>
        </w:rPr>
        <w:t>Total Namibia (Pty) Ltd v OBM Engineering and Petroleum Distributors</w:t>
      </w:r>
      <w:r w:rsidRPr="003F3069">
        <w:t xml:space="preserve"> CC 2015 (3) NR 733 (SC)</w:t>
      </w:r>
      <w:r w:rsidR="00C737F5">
        <w:t xml:space="preserve"> </w:t>
      </w:r>
      <w:r>
        <w:t>para 18.</w:t>
      </w:r>
    </w:p>
  </w:footnote>
  <w:footnote w:id="22">
    <w:p w14:paraId="58D118FD" w14:textId="3C9B29CE" w:rsidR="000A1206" w:rsidRPr="00AF1E42" w:rsidRDefault="000A1206">
      <w:pPr>
        <w:pStyle w:val="FootnoteText"/>
        <w:rPr>
          <w:i/>
          <w:lang w:val="en-US"/>
        </w:rPr>
      </w:pPr>
      <w:r>
        <w:rPr>
          <w:rStyle w:val="FootnoteReference"/>
        </w:rPr>
        <w:footnoteRef/>
      </w:r>
      <w:r>
        <w:t xml:space="preserve"> </w:t>
      </w:r>
      <w:r>
        <w:rPr>
          <w:i/>
        </w:rPr>
        <w:t xml:space="preserve">Lisse v Ministry of Health and Social Services </w:t>
      </w:r>
      <w:r w:rsidR="005A0EC6" w:rsidRPr="005A0EC6">
        <w:rPr>
          <w:i/>
        </w:rPr>
        <w:t>(</w:t>
      </w:r>
      <w:r w:rsidR="005A0EC6" w:rsidRPr="00C737F5">
        <w:t>SA 75/2011) [2014] NASC (12 December 2014)</w:t>
      </w:r>
      <w:r>
        <w:t>.</w:t>
      </w:r>
    </w:p>
  </w:footnote>
  <w:footnote w:id="23">
    <w:p w14:paraId="6367A1DE" w14:textId="633137ED" w:rsidR="005A0EC6" w:rsidRPr="005A0EC6" w:rsidRDefault="005A0EC6">
      <w:pPr>
        <w:pStyle w:val="FootnoteText"/>
        <w:rPr>
          <w:lang w:val="en-GB"/>
        </w:rPr>
      </w:pPr>
      <w:r>
        <w:rPr>
          <w:rStyle w:val="FootnoteReference"/>
        </w:rPr>
        <w:footnoteRef/>
      </w:r>
      <w:r>
        <w:t xml:space="preserve"> </w:t>
      </w:r>
      <w:r w:rsidR="009A635F">
        <w:rPr>
          <w:lang w:val="en-GB"/>
        </w:rPr>
        <w:t>Ibid</w:t>
      </w:r>
      <w:r>
        <w:rPr>
          <w:lang w:val="en-GB"/>
        </w:rPr>
        <w:t xml:space="preserve"> </w:t>
      </w:r>
      <w:r>
        <w:rPr>
          <w:lang w:val="en-GB"/>
        </w:rPr>
        <w:t>paras 18-20.</w:t>
      </w:r>
    </w:p>
  </w:footnote>
  <w:footnote w:id="24">
    <w:p w14:paraId="25BAEAF0" w14:textId="0E9FDE8D" w:rsidR="00200381" w:rsidRPr="00200381" w:rsidRDefault="00200381">
      <w:pPr>
        <w:pStyle w:val="FootnoteText"/>
        <w:rPr>
          <w:lang w:val="en-GB"/>
        </w:rPr>
      </w:pPr>
      <w:r>
        <w:rPr>
          <w:rStyle w:val="FootnoteReference"/>
        </w:rPr>
        <w:footnoteRef/>
      </w:r>
      <w:r>
        <w:t xml:space="preserve"> </w:t>
      </w:r>
      <w:r w:rsidR="009A635F">
        <w:rPr>
          <w:lang w:val="en-GB"/>
        </w:rPr>
        <w:t>Ibid</w:t>
      </w:r>
      <w:r>
        <w:rPr>
          <w:lang w:val="en-GB"/>
        </w:rPr>
        <w:t xml:space="preserve"> </w:t>
      </w:r>
      <w:r>
        <w:rPr>
          <w:lang w:val="en-GB"/>
        </w:rPr>
        <w:t>para 22.</w:t>
      </w:r>
    </w:p>
  </w:footnote>
  <w:footnote w:id="25">
    <w:p w14:paraId="1CA27921" w14:textId="3E7EFD78" w:rsidR="00200381" w:rsidRPr="00654CDA" w:rsidRDefault="00200381" w:rsidP="00200381">
      <w:pPr>
        <w:pStyle w:val="FootnoteText"/>
        <w:rPr>
          <w:lang w:val="en-US"/>
        </w:rPr>
      </w:pPr>
      <w:r w:rsidRPr="00654CDA">
        <w:rPr>
          <w:rStyle w:val="FootnoteReference"/>
        </w:rPr>
        <w:footnoteRef/>
      </w:r>
      <w:r w:rsidRPr="00654CDA">
        <w:t xml:space="preserve"> </w:t>
      </w:r>
      <w:r w:rsidRPr="00654CDA">
        <w:rPr>
          <w:lang w:val="en-GB"/>
        </w:rPr>
        <w:t xml:space="preserve">Howie J in </w:t>
      </w:r>
      <w:r w:rsidRPr="00654CDA">
        <w:rPr>
          <w:i/>
          <w:lang w:val="en-GB"/>
        </w:rPr>
        <w:t>Cape Town Municipality and Another v Allianz Insurance Co Ltd</w:t>
      </w:r>
      <w:r w:rsidRPr="00654CDA">
        <w:rPr>
          <w:lang w:val="en-GB"/>
        </w:rPr>
        <w:t xml:space="preserve"> 1990 (1) SA 311 (C) at 330E–G.</w:t>
      </w:r>
    </w:p>
  </w:footnote>
  <w:footnote w:id="26">
    <w:p w14:paraId="200D9D77" w14:textId="7653975A" w:rsidR="00200381" w:rsidRPr="00654CDA" w:rsidRDefault="00200381" w:rsidP="00200381">
      <w:pPr>
        <w:pStyle w:val="FootnoteText"/>
        <w:rPr>
          <w:lang w:val="en-US"/>
        </w:rPr>
      </w:pPr>
      <w:r w:rsidRPr="00654CDA">
        <w:rPr>
          <w:rStyle w:val="FootnoteReference"/>
        </w:rPr>
        <w:footnoteRef/>
      </w:r>
      <w:r w:rsidRPr="00654CDA">
        <w:t xml:space="preserve"> </w:t>
      </w:r>
      <w:r w:rsidR="009A635F">
        <w:rPr>
          <w:lang w:val="en-US"/>
        </w:rPr>
        <w:t>Ibid.</w:t>
      </w:r>
    </w:p>
  </w:footnote>
  <w:footnote w:id="27">
    <w:p w14:paraId="0F24DD8B" w14:textId="382F7A88" w:rsidR="000A1206" w:rsidRPr="00AF1E42" w:rsidRDefault="000A1206">
      <w:pPr>
        <w:pStyle w:val="FootnoteText"/>
        <w:rPr>
          <w:lang w:val="en-US"/>
        </w:rPr>
      </w:pPr>
      <w:r>
        <w:rPr>
          <w:rStyle w:val="FootnoteReference"/>
        </w:rPr>
        <w:footnoteRef/>
      </w:r>
      <w:r>
        <w:t xml:space="preserve"> </w:t>
      </w:r>
      <w:r>
        <w:rPr>
          <w:i/>
        </w:rPr>
        <w:t xml:space="preserve">Truter and Another v </w:t>
      </w:r>
      <w:r>
        <w:rPr>
          <w:i/>
        </w:rPr>
        <w:t>Deysel</w:t>
      </w:r>
      <w:r>
        <w:t xml:space="preserve"> 2006 (4) 168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0A1206" w:rsidRDefault="000A12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0A1206" w:rsidRDefault="000A12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0A1206" w:rsidRDefault="000A1206" w:rsidP="002B490B">
    <w:pPr>
      <w:ind w:right="-198"/>
      <w:jc w:val="right"/>
    </w:pPr>
    <w:r>
      <w:rPr>
        <w:rStyle w:val="PageNumber"/>
      </w:rPr>
      <w:fldChar w:fldCharType="begin"/>
    </w:r>
    <w:r>
      <w:rPr>
        <w:rStyle w:val="PageNumber"/>
      </w:rPr>
      <w:instrText xml:space="preserve"> PAGE </w:instrText>
    </w:r>
    <w:r>
      <w:rPr>
        <w:rStyle w:val="PageNumber"/>
      </w:rPr>
      <w:fldChar w:fldCharType="separate"/>
    </w:r>
    <w:r w:rsidR="00DB59CE">
      <w:rPr>
        <w:rStyle w:val="PageNumber"/>
        <w:noProof/>
      </w:rPr>
      <w:t>17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2181FB4"/>
    <w:lvl w:ilvl="0">
      <w:start w:val="1"/>
      <w:numFmt w:val="decimal"/>
      <w:pStyle w:val="Heading1"/>
      <w:lvlText w:val="[%1]"/>
      <w:lvlJc w:val="left"/>
      <w:pPr>
        <w:ind w:left="502" w:hanging="360"/>
      </w:pPr>
      <w:rPr>
        <w:rFonts w:hint="default"/>
        <w:i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15:restartNumberingAfterBreak="0">
    <w:nsid w:val="09DA1027"/>
    <w:multiLevelType w:val="hybridMultilevel"/>
    <w:tmpl w:val="6D0272B4"/>
    <w:lvl w:ilvl="0" w:tplc="BC1E68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2F2E64"/>
    <w:multiLevelType w:val="hybridMultilevel"/>
    <w:tmpl w:val="16564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7" w15:restartNumberingAfterBreak="0">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3" w15:restartNumberingAfterBreak="0">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6" w15:restartNumberingAfterBreak="0">
    <w:nsid w:val="39856B6B"/>
    <w:multiLevelType w:val="hybridMultilevel"/>
    <w:tmpl w:val="3D7C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8" w15:restartNumberingAfterBreak="0">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3" w15:restartNumberingAfterBreak="0">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5" w15:restartNumberingAfterBreak="0">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42EEB"/>
    <w:multiLevelType w:val="hybridMultilevel"/>
    <w:tmpl w:val="08BC7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06249"/>
    <w:multiLevelType w:val="hybridMultilevel"/>
    <w:tmpl w:val="7C5A1F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42D2B1F"/>
    <w:multiLevelType w:val="hybridMultilevel"/>
    <w:tmpl w:val="E5AA392C"/>
    <w:lvl w:ilvl="0" w:tplc="D734A79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15165">
    <w:abstractNumId w:val="0"/>
  </w:num>
  <w:num w:numId="2" w16cid:durableId="91316552">
    <w:abstractNumId w:val="0"/>
  </w:num>
  <w:num w:numId="3" w16cid:durableId="184102046">
    <w:abstractNumId w:val="27"/>
  </w:num>
  <w:num w:numId="4" w16cid:durableId="1660108471">
    <w:abstractNumId w:val="12"/>
  </w:num>
  <w:num w:numId="5" w16cid:durableId="1875846508">
    <w:abstractNumId w:val="24"/>
  </w:num>
  <w:num w:numId="6" w16cid:durableId="692732595">
    <w:abstractNumId w:val="12"/>
    <w:lvlOverride w:ilvl="0">
      <w:startOverride w:val="1"/>
    </w:lvlOverride>
  </w:num>
  <w:num w:numId="7" w16cid:durableId="81873624">
    <w:abstractNumId w:val="12"/>
    <w:lvlOverride w:ilvl="0">
      <w:startOverride w:val="1"/>
    </w:lvlOverride>
  </w:num>
  <w:num w:numId="8" w16cid:durableId="573706483">
    <w:abstractNumId w:val="12"/>
    <w:lvlOverride w:ilvl="0">
      <w:startOverride w:val="1"/>
    </w:lvlOverride>
  </w:num>
  <w:num w:numId="9" w16cid:durableId="1691101970">
    <w:abstractNumId w:val="12"/>
    <w:lvlOverride w:ilvl="0">
      <w:startOverride w:val="1"/>
    </w:lvlOverride>
  </w:num>
  <w:num w:numId="10" w16cid:durableId="648483729">
    <w:abstractNumId w:val="12"/>
    <w:lvlOverride w:ilvl="0">
      <w:startOverride w:val="1"/>
    </w:lvlOverride>
  </w:num>
  <w:num w:numId="11" w16cid:durableId="2052025674">
    <w:abstractNumId w:val="12"/>
    <w:lvlOverride w:ilvl="0">
      <w:startOverride w:val="5"/>
    </w:lvlOverride>
  </w:num>
  <w:num w:numId="12" w16cid:durableId="1576822887">
    <w:abstractNumId w:val="12"/>
    <w:lvlOverride w:ilvl="0">
      <w:startOverride w:val="1"/>
    </w:lvlOverride>
  </w:num>
  <w:num w:numId="13" w16cid:durableId="1374648077">
    <w:abstractNumId w:val="13"/>
  </w:num>
  <w:num w:numId="14" w16cid:durableId="6835696">
    <w:abstractNumId w:val="15"/>
  </w:num>
  <w:num w:numId="15" w16cid:durableId="417599092">
    <w:abstractNumId w:val="6"/>
  </w:num>
  <w:num w:numId="16" w16cid:durableId="760223036">
    <w:abstractNumId w:val="22"/>
  </w:num>
  <w:num w:numId="17" w16cid:durableId="580018904">
    <w:abstractNumId w:val="2"/>
  </w:num>
  <w:num w:numId="18" w16cid:durableId="636103164">
    <w:abstractNumId w:val="33"/>
  </w:num>
  <w:num w:numId="19" w16cid:durableId="1940680616">
    <w:abstractNumId w:val="8"/>
  </w:num>
  <w:num w:numId="20" w16cid:durableId="2006978636">
    <w:abstractNumId w:val="17"/>
  </w:num>
  <w:num w:numId="21" w16cid:durableId="826435515">
    <w:abstractNumId w:val="18"/>
  </w:num>
  <w:num w:numId="22" w16cid:durableId="460729975">
    <w:abstractNumId w:val="10"/>
  </w:num>
  <w:num w:numId="23" w16cid:durableId="1495485185">
    <w:abstractNumId w:val="1"/>
  </w:num>
  <w:num w:numId="24" w16cid:durableId="1170414438">
    <w:abstractNumId w:val="25"/>
  </w:num>
  <w:num w:numId="25" w16cid:durableId="1969581139">
    <w:abstractNumId w:val="21"/>
  </w:num>
  <w:num w:numId="26" w16cid:durableId="1932548899">
    <w:abstractNumId w:val="23"/>
  </w:num>
  <w:num w:numId="27" w16cid:durableId="1520511459">
    <w:abstractNumId w:val="4"/>
  </w:num>
  <w:num w:numId="28" w16cid:durableId="1129199685">
    <w:abstractNumId w:val="28"/>
  </w:num>
  <w:num w:numId="29" w16cid:durableId="455560012">
    <w:abstractNumId w:val="11"/>
  </w:num>
  <w:num w:numId="30" w16cid:durableId="670064498">
    <w:abstractNumId w:val="20"/>
  </w:num>
  <w:num w:numId="31" w16cid:durableId="1834225314">
    <w:abstractNumId w:val="29"/>
  </w:num>
  <w:num w:numId="32" w16cid:durableId="1173180092">
    <w:abstractNumId w:val="9"/>
  </w:num>
  <w:num w:numId="33" w16cid:durableId="893928625">
    <w:abstractNumId w:val="32"/>
  </w:num>
  <w:num w:numId="34" w16cid:durableId="364989884">
    <w:abstractNumId w:val="35"/>
  </w:num>
  <w:num w:numId="35" w16cid:durableId="962539693">
    <w:abstractNumId w:val="14"/>
  </w:num>
  <w:num w:numId="36" w16cid:durableId="344483669">
    <w:abstractNumId w:val="19"/>
  </w:num>
  <w:num w:numId="37" w16cid:durableId="88893321">
    <w:abstractNumId w:val="26"/>
  </w:num>
  <w:num w:numId="38" w16cid:durableId="1232808990">
    <w:abstractNumId w:val="7"/>
  </w:num>
  <w:num w:numId="39" w16cid:durableId="28995375">
    <w:abstractNumId w:val="12"/>
    <w:lvlOverride w:ilvl="0">
      <w:startOverride w:val="1"/>
    </w:lvlOverride>
  </w:num>
  <w:num w:numId="40" w16cid:durableId="189225198">
    <w:abstractNumId w:val="12"/>
    <w:lvlOverride w:ilvl="0">
      <w:startOverride w:val="1"/>
    </w:lvlOverride>
  </w:num>
  <w:num w:numId="41" w16cid:durableId="325284447">
    <w:abstractNumId w:val="12"/>
    <w:lvlOverride w:ilvl="0">
      <w:startOverride w:val="1"/>
    </w:lvlOverride>
  </w:num>
  <w:num w:numId="42" w16cid:durableId="370229593">
    <w:abstractNumId w:val="34"/>
  </w:num>
  <w:num w:numId="43" w16cid:durableId="395670761">
    <w:abstractNumId w:val="16"/>
  </w:num>
  <w:num w:numId="44" w16cid:durableId="1765807350">
    <w:abstractNumId w:val="31"/>
  </w:num>
  <w:num w:numId="45" w16cid:durableId="1853564205">
    <w:abstractNumId w:val="5"/>
  </w:num>
  <w:num w:numId="46" w16cid:durableId="1922979690">
    <w:abstractNumId w:val="3"/>
  </w:num>
  <w:num w:numId="47" w16cid:durableId="196826957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524"/>
    <w:rsid w:val="00000AD3"/>
    <w:rsid w:val="000011BD"/>
    <w:rsid w:val="00001E44"/>
    <w:rsid w:val="000031EF"/>
    <w:rsid w:val="00005673"/>
    <w:rsid w:val="0001020A"/>
    <w:rsid w:val="00010EE2"/>
    <w:rsid w:val="00013787"/>
    <w:rsid w:val="00014C91"/>
    <w:rsid w:val="00015776"/>
    <w:rsid w:val="00015972"/>
    <w:rsid w:val="00016FEE"/>
    <w:rsid w:val="000178BA"/>
    <w:rsid w:val="000226A9"/>
    <w:rsid w:val="000236F4"/>
    <w:rsid w:val="00027D48"/>
    <w:rsid w:val="00030F9D"/>
    <w:rsid w:val="000324F3"/>
    <w:rsid w:val="000340C5"/>
    <w:rsid w:val="00045453"/>
    <w:rsid w:val="000454E0"/>
    <w:rsid w:val="0005086D"/>
    <w:rsid w:val="00051121"/>
    <w:rsid w:val="00051574"/>
    <w:rsid w:val="00053514"/>
    <w:rsid w:val="00053826"/>
    <w:rsid w:val="00063685"/>
    <w:rsid w:val="000650A6"/>
    <w:rsid w:val="00070A8F"/>
    <w:rsid w:val="0007119C"/>
    <w:rsid w:val="00072ED7"/>
    <w:rsid w:val="00072F8E"/>
    <w:rsid w:val="000756F1"/>
    <w:rsid w:val="00083864"/>
    <w:rsid w:val="00083B84"/>
    <w:rsid w:val="00084D9F"/>
    <w:rsid w:val="00085D64"/>
    <w:rsid w:val="00087A71"/>
    <w:rsid w:val="00093246"/>
    <w:rsid w:val="00093CE9"/>
    <w:rsid w:val="00096407"/>
    <w:rsid w:val="000975CD"/>
    <w:rsid w:val="00097B54"/>
    <w:rsid w:val="000A1206"/>
    <w:rsid w:val="000B1663"/>
    <w:rsid w:val="000B66A4"/>
    <w:rsid w:val="000B7750"/>
    <w:rsid w:val="000C20ED"/>
    <w:rsid w:val="000C4BBF"/>
    <w:rsid w:val="000C4C61"/>
    <w:rsid w:val="000C54BA"/>
    <w:rsid w:val="000C75F9"/>
    <w:rsid w:val="000C7A3B"/>
    <w:rsid w:val="000D1660"/>
    <w:rsid w:val="000D3986"/>
    <w:rsid w:val="000D490E"/>
    <w:rsid w:val="000D617B"/>
    <w:rsid w:val="000D661F"/>
    <w:rsid w:val="000E0AC9"/>
    <w:rsid w:val="000E1E31"/>
    <w:rsid w:val="000E321B"/>
    <w:rsid w:val="000E3CA3"/>
    <w:rsid w:val="000E4FA5"/>
    <w:rsid w:val="000E59B9"/>
    <w:rsid w:val="000E61B8"/>
    <w:rsid w:val="000E6332"/>
    <w:rsid w:val="000F3ED7"/>
    <w:rsid w:val="000F7F8A"/>
    <w:rsid w:val="00101953"/>
    <w:rsid w:val="0010488E"/>
    <w:rsid w:val="00105F5C"/>
    <w:rsid w:val="001063BC"/>
    <w:rsid w:val="001076B6"/>
    <w:rsid w:val="00110892"/>
    <w:rsid w:val="00115C5D"/>
    <w:rsid w:val="001173DC"/>
    <w:rsid w:val="00117DD9"/>
    <w:rsid w:val="0012505E"/>
    <w:rsid w:val="0013471F"/>
    <w:rsid w:val="00135CE1"/>
    <w:rsid w:val="001367FF"/>
    <w:rsid w:val="00140A9D"/>
    <w:rsid w:val="0014245A"/>
    <w:rsid w:val="0014460F"/>
    <w:rsid w:val="0014505C"/>
    <w:rsid w:val="00145ADF"/>
    <w:rsid w:val="00147336"/>
    <w:rsid w:val="00157754"/>
    <w:rsid w:val="001600D3"/>
    <w:rsid w:val="00161ADB"/>
    <w:rsid w:val="00162921"/>
    <w:rsid w:val="00162FA5"/>
    <w:rsid w:val="0016314E"/>
    <w:rsid w:val="0016544A"/>
    <w:rsid w:val="00165969"/>
    <w:rsid w:val="00171961"/>
    <w:rsid w:val="00174E15"/>
    <w:rsid w:val="001763A5"/>
    <w:rsid w:val="00176DB6"/>
    <w:rsid w:val="00180C19"/>
    <w:rsid w:val="0018186D"/>
    <w:rsid w:val="001825ED"/>
    <w:rsid w:val="001846B9"/>
    <w:rsid w:val="001846FB"/>
    <w:rsid w:val="00185464"/>
    <w:rsid w:val="001862B4"/>
    <w:rsid w:val="00186562"/>
    <w:rsid w:val="0019079A"/>
    <w:rsid w:val="00193D82"/>
    <w:rsid w:val="0019695F"/>
    <w:rsid w:val="0019700F"/>
    <w:rsid w:val="001A0782"/>
    <w:rsid w:val="001A342B"/>
    <w:rsid w:val="001A4178"/>
    <w:rsid w:val="001A41A8"/>
    <w:rsid w:val="001A7011"/>
    <w:rsid w:val="001B3027"/>
    <w:rsid w:val="001B39A8"/>
    <w:rsid w:val="001B6D0D"/>
    <w:rsid w:val="001C373C"/>
    <w:rsid w:val="001C5105"/>
    <w:rsid w:val="001C5C4C"/>
    <w:rsid w:val="001C727F"/>
    <w:rsid w:val="001D4C80"/>
    <w:rsid w:val="001D4E59"/>
    <w:rsid w:val="001E1CC2"/>
    <w:rsid w:val="001E20BF"/>
    <w:rsid w:val="001E46B3"/>
    <w:rsid w:val="001E5489"/>
    <w:rsid w:val="001F4D61"/>
    <w:rsid w:val="001F5190"/>
    <w:rsid w:val="001F6CB9"/>
    <w:rsid w:val="00200381"/>
    <w:rsid w:val="002023D0"/>
    <w:rsid w:val="002025F8"/>
    <w:rsid w:val="0020361A"/>
    <w:rsid w:val="0020465C"/>
    <w:rsid w:val="002076B9"/>
    <w:rsid w:val="00210D9A"/>
    <w:rsid w:val="00211B5D"/>
    <w:rsid w:val="00214E82"/>
    <w:rsid w:val="00216928"/>
    <w:rsid w:val="00222B92"/>
    <w:rsid w:val="00231AB5"/>
    <w:rsid w:val="00237278"/>
    <w:rsid w:val="0024093F"/>
    <w:rsid w:val="00240999"/>
    <w:rsid w:val="00241AD6"/>
    <w:rsid w:val="0024419B"/>
    <w:rsid w:val="00244899"/>
    <w:rsid w:val="002456B2"/>
    <w:rsid w:val="00247EF9"/>
    <w:rsid w:val="0025315E"/>
    <w:rsid w:val="0025677F"/>
    <w:rsid w:val="00257636"/>
    <w:rsid w:val="00257D35"/>
    <w:rsid w:val="00264113"/>
    <w:rsid w:val="00266D54"/>
    <w:rsid w:val="0027073E"/>
    <w:rsid w:val="002719BF"/>
    <w:rsid w:val="00275A78"/>
    <w:rsid w:val="00277B56"/>
    <w:rsid w:val="00277E0C"/>
    <w:rsid w:val="002812F7"/>
    <w:rsid w:val="00285FF7"/>
    <w:rsid w:val="00287908"/>
    <w:rsid w:val="00290268"/>
    <w:rsid w:val="00292624"/>
    <w:rsid w:val="002A0B7F"/>
    <w:rsid w:val="002A0EEB"/>
    <w:rsid w:val="002A217F"/>
    <w:rsid w:val="002A4EDC"/>
    <w:rsid w:val="002A7773"/>
    <w:rsid w:val="002A7BCD"/>
    <w:rsid w:val="002B1453"/>
    <w:rsid w:val="002B24D7"/>
    <w:rsid w:val="002B490B"/>
    <w:rsid w:val="002B6CD0"/>
    <w:rsid w:val="002B7099"/>
    <w:rsid w:val="002C5751"/>
    <w:rsid w:val="002D035C"/>
    <w:rsid w:val="002D08EE"/>
    <w:rsid w:val="002D0A9C"/>
    <w:rsid w:val="002D1C5A"/>
    <w:rsid w:val="002D31C9"/>
    <w:rsid w:val="002D436F"/>
    <w:rsid w:val="002D47EB"/>
    <w:rsid w:val="002D4990"/>
    <w:rsid w:val="002D6750"/>
    <w:rsid w:val="002D6836"/>
    <w:rsid w:val="002D6B87"/>
    <w:rsid w:val="002D786B"/>
    <w:rsid w:val="002E1CFF"/>
    <w:rsid w:val="002E30DE"/>
    <w:rsid w:val="002E380C"/>
    <w:rsid w:val="002E3BF2"/>
    <w:rsid w:val="002E6D61"/>
    <w:rsid w:val="002F09FA"/>
    <w:rsid w:val="002F1084"/>
    <w:rsid w:val="002F3C44"/>
    <w:rsid w:val="003016C4"/>
    <w:rsid w:val="0030298A"/>
    <w:rsid w:val="0030639B"/>
    <w:rsid w:val="00307C87"/>
    <w:rsid w:val="00311B99"/>
    <w:rsid w:val="00316EA0"/>
    <w:rsid w:val="003209AD"/>
    <w:rsid w:val="00321344"/>
    <w:rsid w:val="003219ED"/>
    <w:rsid w:val="00333E79"/>
    <w:rsid w:val="00334677"/>
    <w:rsid w:val="00334AFC"/>
    <w:rsid w:val="00337D29"/>
    <w:rsid w:val="00340D6A"/>
    <w:rsid w:val="003428D2"/>
    <w:rsid w:val="00342ADA"/>
    <w:rsid w:val="00347D03"/>
    <w:rsid w:val="00350278"/>
    <w:rsid w:val="003504E0"/>
    <w:rsid w:val="003517F4"/>
    <w:rsid w:val="00352F30"/>
    <w:rsid w:val="00354402"/>
    <w:rsid w:val="00365991"/>
    <w:rsid w:val="0037192F"/>
    <w:rsid w:val="00373CDF"/>
    <w:rsid w:val="003759B4"/>
    <w:rsid w:val="00376F2E"/>
    <w:rsid w:val="003770DD"/>
    <w:rsid w:val="00382515"/>
    <w:rsid w:val="00383735"/>
    <w:rsid w:val="00383E88"/>
    <w:rsid w:val="00384959"/>
    <w:rsid w:val="00391047"/>
    <w:rsid w:val="00392518"/>
    <w:rsid w:val="0039415D"/>
    <w:rsid w:val="00394CCF"/>
    <w:rsid w:val="003A3CF2"/>
    <w:rsid w:val="003A3E0C"/>
    <w:rsid w:val="003A5FD0"/>
    <w:rsid w:val="003A636A"/>
    <w:rsid w:val="003A667E"/>
    <w:rsid w:val="003A7C97"/>
    <w:rsid w:val="003B1674"/>
    <w:rsid w:val="003C07FB"/>
    <w:rsid w:val="003C1894"/>
    <w:rsid w:val="003C30BF"/>
    <w:rsid w:val="003C3175"/>
    <w:rsid w:val="003C3E52"/>
    <w:rsid w:val="003C3EA1"/>
    <w:rsid w:val="003C42F0"/>
    <w:rsid w:val="003C4426"/>
    <w:rsid w:val="003D158E"/>
    <w:rsid w:val="003D180E"/>
    <w:rsid w:val="003D1B0D"/>
    <w:rsid w:val="003D70E6"/>
    <w:rsid w:val="003E2C84"/>
    <w:rsid w:val="003E364B"/>
    <w:rsid w:val="003E3AA8"/>
    <w:rsid w:val="003E6394"/>
    <w:rsid w:val="003E6BED"/>
    <w:rsid w:val="003E70D0"/>
    <w:rsid w:val="003E7333"/>
    <w:rsid w:val="003F3069"/>
    <w:rsid w:val="003F4C9B"/>
    <w:rsid w:val="003F5776"/>
    <w:rsid w:val="003F5D86"/>
    <w:rsid w:val="003F6093"/>
    <w:rsid w:val="003F6F0E"/>
    <w:rsid w:val="00400D96"/>
    <w:rsid w:val="004032BD"/>
    <w:rsid w:val="00403581"/>
    <w:rsid w:val="0040448F"/>
    <w:rsid w:val="00406D74"/>
    <w:rsid w:val="00410928"/>
    <w:rsid w:val="00411DE0"/>
    <w:rsid w:val="00414D46"/>
    <w:rsid w:val="00414F89"/>
    <w:rsid w:val="00415368"/>
    <w:rsid w:val="00422636"/>
    <w:rsid w:val="004229A8"/>
    <w:rsid w:val="00430666"/>
    <w:rsid w:val="0043111A"/>
    <w:rsid w:val="004375AE"/>
    <w:rsid w:val="00437C3B"/>
    <w:rsid w:val="004408AF"/>
    <w:rsid w:val="00440A23"/>
    <w:rsid w:val="004412A9"/>
    <w:rsid w:val="0044133E"/>
    <w:rsid w:val="00441FD6"/>
    <w:rsid w:val="00442B69"/>
    <w:rsid w:val="00444DD0"/>
    <w:rsid w:val="00452D35"/>
    <w:rsid w:val="00457F74"/>
    <w:rsid w:val="0046094F"/>
    <w:rsid w:val="00462A5A"/>
    <w:rsid w:val="00467F45"/>
    <w:rsid w:val="0047151B"/>
    <w:rsid w:val="00472891"/>
    <w:rsid w:val="00476037"/>
    <w:rsid w:val="00480A13"/>
    <w:rsid w:val="00487CB0"/>
    <w:rsid w:val="00493180"/>
    <w:rsid w:val="00495BDE"/>
    <w:rsid w:val="00497186"/>
    <w:rsid w:val="004A0CB1"/>
    <w:rsid w:val="004A2239"/>
    <w:rsid w:val="004A24AC"/>
    <w:rsid w:val="004A2820"/>
    <w:rsid w:val="004A334F"/>
    <w:rsid w:val="004A3A4C"/>
    <w:rsid w:val="004A4AF2"/>
    <w:rsid w:val="004A5900"/>
    <w:rsid w:val="004A762E"/>
    <w:rsid w:val="004B2778"/>
    <w:rsid w:val="004B3FC8"/>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4C08"/>
    <w:rsid w:val="004E7BF8"/>
    <w:rsid w:val="004F17AE"/>
    <w:rsid w:val="004F3395"/>
    <w:rsid w:val="004F3D79"/>
    <w:rsid w:val="00500299"/>
    <w:rsid w:val="0050055E"/>
    <w:rsid w:val="005011FC"/>
    <w:rsid w:val="00502403"/>
    <w:rsid w:val="00504963"/>
    <w:rsid w:val="00504DF7"/>
    <w:rsid w:val="00507804"/>
    <w:rsid w:val="0051036D"/>
    <w:rsid w:val="00515B97"/>
    <w:rsid w:val="00520746"/>
    <w:rsid w:val="00521176"/>
    <w:rsid w:val="0052144B"/>
    <w:rsid w:val="00522C0C"/>
    <w:rsid w:val="00524FCF"/>
    <w:rsid w:val="00531A75"/>
    <w:rsid w:val="00534EC6"/>
    <w:rsid w:val="00534F2D"/>
    <w:rsid w:val="00535029"/>
    <w:rsid w:val="005368A3"/>
    <w:rsid w:val="00536902"/>
    <w:rsid w:val="00536A0A"/>
    <w:rsid w:val="00536C1B"/>
    <w:rsid w:val="00547F1F"/>
    <w:rsid w:val="0055152A"/>
    <w:rsid w:val="0055395A"/>
    <w:rsid w:val="00556AB7"/>
    <w:rsid w:val="00562A56"/>
    <w:rsid w:val="00564D69"/>
    <w:rsid w:val="00564FD2"/>
    <w:rsid w:val="0056666C"/>
    <w:rsid w:val="0056674E"/>
    <w:rsid w:val="0056681E"/>
    <w:rsid w:val="00570A7D"/>
    <w:rsid w:val="005718E1"/>
    <w:rsid w:val="00574344"/>
    <w:rsid w:val="005807C6"/>
    <w:rsid w:val="00580852"/>
    <w:rsid w:val="00583CCB"/>
    <w:rsid w:val="00590E8B"/>
    <w:rsid w:val="00591F68"/>
    <w:rsid w:val="005A0EC6"/>
    <w:rsid w:val="005A31E6"/>
    <w:rsid w:val="005A6786"/>
    <w:rsid w:val="005A6ECB"/>
    <w:rsid w:val="005B04B8"/>
    <w:rsid w:val="005B12CA"/>
    <w:rsid w:val="005B1D56"/>
    <w:rsid w:val="005B28AD"/>
    <w:rsid w:val="005B3279"/>
    <w:rsid w:val="005B39C1"/>
    <w:rsid w:val="005B3AF2"/>
    <w:rsid w:val="005B4B91"/>
    <w:rsid w:val="005B6574"/>
    <w:rsid w:val="005B6D6B"/>
    <w:rsid w:val="005B78E3"/>
    <w:rsid w:val="005C03A3"/>
    <w:rsid w:val="005C0AD7"/>
    <w:rsid w:val="005C183C"/>
    <w:rsid w:val="005C1A68"/>
    <w:rsid w:val="005C2F88"/>
    <w:rsid w:val="005C4415"/>
    <w:rsid w:val="005C5E86"/>
    <w:rsid w:val="005C5F32"/>
    <w:rsid w:val="005D5F13"/>
    <w:rsid w:val="005E2068"/>
    <w:rsid w:val="005E3952"/>
    <w:rsid w:val="005E51A6"/>
    <w:rsid w:val="005F05E6"/>
    <w:rsid w:val="005F2313"/>
    <w:rsid w:val="005F2BBE"/>
    <w:rsid w:val="005F3EC0"/>
    <w:rsid w:val="005F7044"/>
    <w:rsid w:val="0060209D"/>
    <w:rsid w:val="00603B05"/>
    <w:rsid w:val="00604C91"/>
    <w:rsid w:val="006050CC"/>
    <w:rsid w:val="00607C68"/>
    <w:rsid w:val="006146AC"/>
    <w:rsid w:val="00615357"/>
    <w:rsid w:val="006201EB"/>
    <w:rsid w:val="0062079B"/>
    <w:rsid w:val="00622353"/>
    <w:rsid w:val="00624A13"/>
    <w:rsid w:val="00625494"/>
    <w:rsid w:val="00630E6B"/>
    <w:rsid w:val="006313FB"/>
    <w:rsid w:val="00633456"/>
    <w:rsid w:val="00635001"/>
    <w:rsid w:val="00635820"/>
    <w:rsid w:val="00636471"/>
    <w:rsid w:val="00640853"/>
    <w:rsid w:val="00642C9C"/>
    <w:rsid w:val="0064383A"/>
    <w:rsid w:val="00643D8B"/>
    <w:rsid w:val="006461DE"/>
    <w:rsid w:val="00646AA0"/>
    <w:rsid w:val="00647FE5"/>
    <w:rsid w:val="006517D3"/>
    <w:rsid w:val="006539B7"/>
    <w:rsid w:val="00655DE0"/>
    <w:rsid w:val="006563E5"/>
    <w:rsid w:val="006573D4"/>
    <w:rsid w:val="00667C0B"/>
    <w:rsid w:val="00680C7F"/>
    <w:rsid w:val="006814B2"/>
    <w:rsid w:val="00682AC4"/>
    <w:rsid w:val="006860BD"/>
    <w:rsid w:val="00687B62"/>
    <w:rsid w:val="00691776"/>
    <w:rsid w:val="00692E4F"/>
    <w:rsid w:val="00693E19"/>
    <w:rsid w:val="00695CD4"/>
    <w:rsid w:val="006A1816"/>
    <w:rsid w:val="006A42D1"/>
    <w:rsid w:val="006A7D62"/>
    <w:rsid w:val="006B3ED0"/>
    <w:rsid w:val="006B3EE2"/>
    <w:rsid w:val="006B4221"/>
    <w:rsid w:val="006B4A65"/>
    <w:rsid w:val="006C08D6"/>
    <w:rsid w:val="006C1B65"/>
    <w:rsid w:val="006C22CB"/>
    <w:rsid w:val="006C3CB3"/>
    <w:rsid w:val="006C4FAE"/>
    <w:rsid w:val="006C7366"/>
    <w:rsid w:val="006D524F"/>
    <w:rsid w:val="006D6564"/>
    <w:rsid w:val="006D65BF"/>
    <w:rsid w:val="006E0D29"/>
    <w:rsid w:val="006E0F9A"/>
    <w:rsid w:val="006E3EA2"/>
    <w:rsid w:val="006E5F8D"/>
    <w:rsid w:val="006E69A8"/>
    <w:rsid w:val="006F133F"/>
    <w:rsid w:val="006F3377"/>
    <w:rsid w:val="006F3BBD"/>
    <w:rsid w:val="006F4C6B"/>
    <w:rsid w:val="006F4DCB"/>
    <w:rsid w:val="006F66B7"/>
    <w:rsid w:val="006F720F"/>
    <w:rsid w:val="00700032"/>
    <w:rsid w:val="007070E0"/>
    <w:rsid w:val="00710297"/>
    <w:rsid w:val="00712D16"/>
    <w:rsid w:val="007155E4"/>
    <w:rsid w:val="007200FB"/>
    <w:rsid w:val="00721509"/>
    <w:rsid w:val="007233E5"/>
    <w:rsid w:val="00723A0A"/>
    <w:rsid w:val="00724FDC"/>
    <w:rsid w:val="0072692A"/>
    <w:rsid w:val="00726BD2"/>
    <w:rsid w:val="0072728C"/>
    <w:rsid w:val="00732EFE"/>
    <w:rsid w:val="007330E9"/>
    <w:rsid w:val="0073716E"/>
    <w:rsid w:val="00740067"/>
    <w:rsid w:val="00740AB0"/>
    <w:rsid w:val="0074185D"/>
    <w:rsid w:val="007420AD"/>
    <w:rsid w:val="00742A5D"/>
    <w:rsid w:val="007442DD"/>
    <w:rsid w:val="0075040C"/>
    <w:rsid w:val="00750AD2"/>
    <w:rsid w:val="007510C8"/>
    <w:rsid w:val="00752A95"/>
    <w:rsid w:val="00753359"/>
    <w:rsid w:val="00754C6F"/>
    <w:rsid w:val="00755D63"/>
    <w:rsid w:val="007603F4"/>
    <w:rsid w:val="00762395"/>
    <w:rsid w:val="00765944"/>
    <w:rsid w:val="0077034D"/>
    <w:rsid w:val="00772D12"/>
    <w:rsid w:val="0077594A"/>
    <w:rsid w:val="00780102"/>
    <w:rsid w:val="00785D24"/>
    <w:rsid w:val="007865B5"/>
    <w:rsid w:val="0079241E"/>
    <w:rsid w:val="007935D2"/>
    <w:rsid w:val="00793607"/>
    <w:rsid w:val="00794D13"/>
    <w:rsid w:val="007A5F4E"/>
    <w:rsid w:val="007B1D29"/>
    <w:rsid w:val="007B2F5C"/>
    <w:rsid w:val="007B52EA"/>
    <w:rsid w:val="007B7AF6"/>
    <w:rsid w:val="007D0413"/>
    <w:rsid w:val="007D1502"/>
    <w:rsid w:val="007D2492"/>
    <w:rsid w:val="007D3D85"/>
    <w:rsid w:val="007D4F0A"/>
    <w:rsid w:val="007D71AB"/>
    <w:rsid w:val="007D7ABE"/>
    <w:rsid w:val="007D7C84"/>
    <w:rsid w:val="007E0468"/>
    <w:rsid w:val="007E0621"/>
    <w:rsid w:val="007E12E4"/>
    <w:rsid w:val="007E2130"/>
    <w:rsid w:val="007E248D"/>
    <w:rsid w:val="007E45DA"/>
    <w:rsid w:val="007E6392"/>
    <w:rsid w:val="007F2B89"/>
    <w:rsid w:val="007F3450"/>
    <w:rsid w:val="007F5084"/>
    <w:rsid w:val="007F6100"/>
    <w:rsid w:val="007F6554"/>
    <w:rsid w:val="007F7ABD"/>
    <w:rsid w:val="0080635A"/>
    <w:rsid w:val="00806373"/>
    <w:rsid w:val="008077F3"/>
    <w:rsid w:val="00814E3A"/>
    <w:rsid w:val="00814FE2"/>
    <w:rsid w:val="00815061"/>
    <w:rsid w:val="0081590F"/>
    <w:rsid w:val="008173A5"/>
    <w:rsid w:val="00822342"/>
    <w:rsid w:val="00824AE6"/>
    <w:rsid w:val="00824C4F"/>
    <w:rsid w:val="00834AA4"/>
    <w:rsid w:val="008358E8"/>
    <w:rsid w:val="00836131"/>
    <w:rsid w:val="00840FFD"/>
    <w:rsid w:val="008411B2"/>
    <w:rsid w:val="0084415E"/>
    <w:rsid w:val="00844780"/>
    <w:rsid w:val="00845285"/>
    <w:rsid w:val="008507E5"/>
    <w:rsid w:val="00851776"/>
    <w:rsid w:val="00853524"/>
    <w:rsid w:val="008552C7"/>
    <w:rsid w:val="00856842"/>
    <w:rsid w:val="008569CD"/>
    <w:rsid w:val="00862509"/>
    <w:rsid w:val="00862DBC"/>
    <w:rsid w:val="008665CF"/>
    <w:rsid w:val="00866EC4"/>
    <w:rsid w:val="008670B7"/>
    <w:rsid w:val="00867D73"/>
    <w:rsid w:val="0087008D"/>
    <w:rsid w:val="008769E4"/>
    <w:rsid w:val="0088248A"/>
    <w:rsid w:val="008844A5"/>
    <w:rsid w:val="00885655"/>
    <w:rsid w:val="0088723F"/>
    <w:rsid w:val="00892889"/>
    <w:rsid w:val="00893153"/>
    <w:rsid w:val="008939CB"/>
    <w:rsid w:val="008A1B50"/>
    <w:rsid w:val="008A443F"/>
    <w:rsid w:val="008A5EE8"/>
    <w:rsid w:val="008A670E"/>
    <w:rsid w:val="008A7105"/>
    <w:rsid w:val="008B1118"/>
    <w:rsid w:val="008B1836"/>
    <w:rsid w:val="008B2C30"/>
    <w:rsid w:val="008B5984"/>
    <w:rsid w:val="008B61FB"/>
    <w:rsid w:val="008C3EE3"/>
    <w:rsid w:val="008C3F7C"/>
    <w:rsid w:val="008C4060"/>
    <w:rsid w:val="008C724F"/>
    <w:rsid w:val="008D5327"/>
    <w:rsid w:val="008D5FA9"/>
    <w:rsid w:val="008D5FB6"/>
    <w:rsid w:val="008D7A77"/>
    <w:rsid w:val="008E1361"/>
    <w:rsid w:val="008E2C30"/>
    <w:rsid w:val="008E35C3"/>
    <w:rsid w:val="008E3D66"/>
    <w:rsid w:val="008E5614"/>
    <w:rsid w:val="008E5D02"/>
    <w:rsid w:val="008E6309"/>
    <w:rsid w:val="008F29DB"/>
    <w:rsid w:val="008F59B4"/>
    <w:rsid w:val="008F6648"/>
    <w:rsid w:val="008F70BF"/>
    <w:rsid w:val="00900D62"/>
    <w:rsid w:val="00900EFC"/>
    <w:rsid w:val="0090176D"/>
    <w:rsid w:val="00903C6E"/>
    <w:rsid w:val="00904FF4"/>
    <w:rsid w:val="00906BF4"/>
    <w:rsid w:val="00906D61"/>
    <w:rsid w:val="00913B34"/>
    <w:rsid w:val="00913E2F"/>
    <w:rsid w:val="00913E95"/>
    <w:rsid w:val="00914691"/>
    <w:rsid w:val="00915DAC"/>
    <w:rsid w:val="0092066C"/>
    <w:rsid w:val="00920A85"/>
    <w:rsid w:val="00920F28"/>
    <w:rsid w:val="0092115E"/>
    <w:rsid w:val="0092146F"/>
    <w:rsid w:val="009240AC"/>
    <w:rsid w:val="00925473"/>
    <w:rsid w:val="0093023C"/>
    <w:rsid w:val="00932E18"/>
    <w:rsid w:val="00934A94"/>
    <w:rsid w:val="009366F1"/>
    <w:rsid w:val="00937089"/>
    <w:rsid w:val="00942B5B"/>
    <w:rsid w:val="00942F45"/>
    <w:rsid w:val="00945A1C"/>
    <w:rsid w:val="009462CD"/>
    <w:rsid w:val="009462FC"/>
    <w:rsid w:val="00950943"/>
    <w:rsid w:val="00950B99"/>
    <w:rsid w:val="00952D40"/>
    <w:rsid w:val="00953461"/>
    <w:rsid w:val="00953FFC"/>
    <w:rsid w:val="009559B8"/>
    <w:rsid w:val="00956E46"/>
    <w:rsid w:val="0096179E"/>
    <w:rsid w:val="00965051"/>
    <w:rsid w:val="0097405C"/>
    <w:rsid w:val="00976BDB"/>
    <w:rsid w:val="00980D52"/>
    <w:rsid w:val="009824E5"/>
    <w:rsid w:val="00986AC9"/>
    <w:rsid w:val="00987B0E"/>
    <w:rsid w:val="009930C3"/>
    <w:rsid w:val="009933FE"/>
    <w:rsid w:val="00993D08"/>
    <w:rsid w:val="009A4927"/>
    <w:rsid w:val="009A635F"/>
    <w:rsid w:val="009A707B"/>
    <w:rsid w:val="009B026F"/>
    <w:rsid w:val="009B07B0"/>
    <w:rsid w:val="009B4960"/>
    <w:rsid w:val="009C0647"/>
    <w:rsid w:val="009C2458"/>
    <w:rsid w:val="009C43E4"/>
    <w:rsid w:val="009C45F1"/>
    <w:rsid w:val="009C4958"/>
    <w:rsid w:val="009D0A59"/>
    <w:rsid w:val="009D1158"/>
    <w:rsid w:val="009D2A5B"/>
    <w:rsid w:val="009D555E"/>
    <w:rsid w:val="009D6CC5"/>
    <w:rsid w:val="009E215A"/>
    <w:rsid w:val="009E6C5E"/>
    <w:rsid w:val="009F3851"/>
    <w:rsid w:val="009F40B4"/>
    <w:rsid w:val="009F531F"/>
    <w:rsid w:val="009F5839"/>
    <w:rsid w:val="009F6AC2"/>
    <w:rsid w:val="009F7910"/>
    <w:rsid w:val="009F7B94"/>
    <w:rsid w:val="00A00520"/>
    <w:rsid w:val="00A00DBD"/>
    <w:rsid w:val="00A04557"/>
    <w:rsid w:val="00A04BAD"/>
    <w:rsid w:val="00A058CE"/>
    <w:rsid w:val="00A066DB"/>
    <w:rsid w:val="00A1072B"/>
    <w:rsid w:val="00A1091C"/>
    <w:rsid w:val="00A11A32"/>
    <w:rsid w:val="00A134C3"/>
    <w:rsid w:val="00A164F9"/>
    <w:rsid w:val="00A20919"/>
    <w:rsid w:val="00A22A27"/>
    <w:rsid w:val="00A26A4B"/>
    <w:rsid w:val="00A3136C"/>
    <w:rsid w:val="00A341ED"/>
    <w:rsid w:val="00A4258A"/>
    <w:rsid w:val="00A44195"/>
    <w:rsid w:val="00A46120"/>
    <w:rsid w:val="00A514A6"/>
    <w:rsid w:val="00A52125"/>
    <w:rsid w:val="00A55F19"/>
    <w:rsid w:val="00A57B46"/>
    <w:rsid w:val="00A57E84"/>
    <w:rsid w:val="00A6569C"/>
    <w:rsid w:val="00A65B85"/>
    <w:rsid w:val="00A66A69"/>
    <w:rsid w:val="00A67FA9"/>
    <w:rsid w:val="00A72A55"/>
    <w:rsid w:val="00A72E3E"/>
    <w:rsid w:val="00A7452A"/>
    <w:rsid w:val="00A8094D"/>
    <w:rsid w:val="00A824DB"/>
    <w:rsid w:val="00A83182"/>
    <w:rsid w:val="00A86CC5"/>
    <w:rsid w:val="00A87EE2"/>
    <w:rsid w:val="00A9094A"/>
    <w:rsid w:val="00A92315"/>
    <w:rsid w:val="00A9317E"/>
    <w:rsid w:val="00A94D0B"/>
    <w:rsid w:val="00A973AE"/>
    <w:rsid w:val="00AA2D47"/>
    <w:rsid w:val="00AA420E"/>
    <w:rsid w:val="00AA4837"/>
    <w:rsid w:val="00AA4D49"/>
    <w:rsid w:val="00AA4F54"/>
    <w:rsid w:val="00AA58B7"/>
    <w:rsid w:val="00AA5C68"/>
    <w:rsid w:val="00AA73BA"/>
    <w:rsid w:val="00AA7A97"/>
    <w:rsid w:val="00AB2B3C"/>
    <w:rsid w:val="00AB56AC"/>
    <w:rsid w:val="00AB5D12"/>
    <w:rsid w:val="00AB6647"/>
    <w:rsid w:val="00AC6678"/>
    <w:rsid w:val="00AD1D1B"/>
    <w:rsid w:val="00AD4E77"/>
    <w:rsid w:val="00AD4FF1"/>
    <w:rsid w:val="00AD5017"/>
    <w:rsid w:val="00AE2106"/>
    <w:rsid w:val="00AE477D"/>
    <w:rsid w:val="00AF09D9"/>
    <w:rsid w:val="00AF1E42"/>
    <w:rsid w:val="00AF650F"/>
    <w:rsid w:val="00B01433"/>
    <w:rsid w:val="00B023C5"/>
    <w:rsid w:val="00B05917"/>
    <w:rsid w:val="00B13156"/>
    <w:rsid w:val="00B15B75"/>
    <w:rsid w:val="00B17B51"/>
    <w:rsid w:val="00B211D8"/>
    <w:rsid w:val="00B217A5"/>
    <w:rsid w:val="00B21F75"/>
    <w:rsid w:val="00B2259D"/>
    <w:rsid w:val="00B23222"/>
    <w:rsid w:val="00B234EC"/>
    <w:rsid w:val="00B263DA"/>
    <w:rsid w:val="00B26B47"/>
    <w:rsid w:val="00B308EF"/>
    <w:rsid w:val="00B322D3"/>
    <w:rsid w:val="00B32CC1"/>
    <w:rsid w:val="00B33DAF"/>
    <w:rsid w:val="00B340A5"/>
    <w:rsid w:val="00B4256E"/>
    <w:rsid w:val="00B43055"/>
    <w:rsid w:val="00B43B5B"/>
    <w:rsid w:val="00B46439"/>
    <w:rsid w:val="00B50397"/>
    <w:rsid w:val="00B5074D"/>
    <w:rsid w:val="00B50EF2"/>
    <w:rsid w:val="00B51244"/>
    <w:rsid w:val="00B512B8"/>
    <w:rsid w:val="00B5234D"/>
    <w:rsid w:val="00B52475"/>
    <w:rsid w:val="00B52869"/>
    <w:rsid w:val="00B54871"/>
    <w:rsid w:val="00B57D38"/>
    <w:rsid w:val="00B62BAC"/>
    <w:rsid w:val="00B630F5"/>
    <w:rsid w:val="00B6528F"/>
    <w:rsid w:val="00B662F2"/>
    <w:rsid w:val="00B70DB8"/>
    <w:rsid w:val="00B80D4B"/>
    <w:rsid w:val="00B80EF8"/>
    <w:rsid w:val="00B81E8B"/>
    <w:rsid w:val="00B8223D"/>
    <w:rsid w:val="00B8303E"/>
    <w:rsid w:val="00B83486"/>
    <w:rsid w:val="00B85363"/>
    <w:rsid w:val="00B85E7B"/>
    <w:rsid w:val="00B936E0"/>
    <w:rsid w:val="00B95662"/>
    <w:rsid w:val="00B95738"/>
    <w:rsid w:val="00B973FC"/>
    <w:rsid w:val="00B97C49"/>
    <w:rsid w:val="00B97D48"/>
    <w:rsid w:val="00B97ECE"/>
    <w:rsid w:val="00BA17B4"/>
    <w:rsid w:val="00BA203B"/>
    <w:rsid w:val="00BA2BA0"/>
    <w:rsid w:val="00BA3661"/>
    <w:rsid w:val="00BA5707"/>
    <w:rsid w:val="00BA5F62"/>
    <w:rsid w:val="00BA62E3"/>
    <w:rsid w:val="00BA7207"/>
    <w:rsid w:val="00BB03B8"/>
    <w:rsid w:val="00BB2281"/>
    <w:rsid w:val="00BB540C"/>
    <w:rsid w:val="00BB73C6"/>
    <w:rsid w:val="00BB7C52"/>
    <w:rsid w:val="00BC0919"/>
    <w:rsid w:val="00BC303B"/>
    <w:rsid w:val="00BC5027"/>
    <w:rsid w:val="00BD04DE"/>
    <w:rsid w:val="00BD09A7"/>
    <w:rsid w:val="00BD48E2"/>
    <w:rsid w:val="00BE0263"/>
    <w:rsid w:val="00BE20B9"/>
    <w:rsid w:val="00BE72A7"/>
    <w:rsid w:val="00BF37FD"/>
    <w:rsid w:val="00BF4616"/>
    <w:rsid w:val="00BF5362"/>
    <w:rsid w:val="00C00517"/>
    <w:rsid w:val="00C02A42"/>
    <w:rsid w:val="00C036D4"/>
    <w:rsid w:val="00C03808"/>
    <w:rsid w:val="00C07101"/>
    <w:rsid w:val="00C077DA"/>
    <w:rsid w:val="00C148C6"/>
    <w:rsid w:val="00C15F41"/>
    <w:rsid w:val="00C20DC8"/>
    <w:rsid w:val="00C2159C"/>
    <w:rsid w:val="00C22E73"/>
    <w:rsid w:val="00C30673"/>
    <w:rsid w:val="00C32B40"/>
    <w:rsid w:val="00C35AEF"/>
    <w:rsid w:val="00C373B3"/>
    <w:rsid w:val="00C4026A"/>
    <w:rsid w:val="00C44B26"/>
    <w:rsid w:val="00C45A81"/>
    <w:rsid w:val="00C522FD"/>
    <w:rsid w:val="00C53115"/>
    <w:rsid w:val="00C53E83"/>
    <w:rsid w:val="00C54B9D"/>
    <w:rsid w:val="00C5721E"/>
    <w:rsid w:val="00C62A10"/>
    <w:rsid w:val="00C64774"/>
    <w:rsid w:val="00C65F21"/>
    <w:rsid w:val="00C66999"/>
    <w:rsid w:val="00C66DC7"/>
    <w:rsid w:val="00C670F1"/>
    <w:rsid w:val="00C737F5"/>
    <w:rsid w:val="00C7534F"/>
    <w:rsid w:val="00C76811"/>
    <w:rsid w:val="00C8033C"/>
    <w:rsid w:val="00C81590"/>
    <w:rsid w:val="00C83803"/>
    <w:rsid w:val="00C860B6"/>
    <w:rsid w:val="00C91BD0"/>
    <w:rsid w:val="00C93DEB"/>
    <w:rsid w:val="00C95706"/>
    <w:rsid w:val="00C95B38"/>
    <w:rsid w:val="00CA0000"/>
    <w:rsid w:val="00CA6F10"/>
    <w:rsid w:val="00CA7A53"/>
    <w:rsid w:val="00CB37F9"/>
    <w:rsid w:val="00CB50B6"/>
    <w:rsid w:val="00CB73FA"/>
    <w:rsid w:val="00CC2442"/>
    <w:rsid w:val="00CD1079"/>
    <w:rsid w:val="00CD23C2"/>
    <w:rsid w:val="00CD266B"/>
    <w:rsid w:val="00CD2876"/>
    <w:rsid w:val="00CD6D81"/>
    <w:rsid w:val="00CE1DE4"/>
    <w:rsid w:val="00CE736A"/>
    <w:rsid w:val="00CE7F02"/>
    <w:rsid w:val="00CF196E"/>
    <w:rsid w:val="00CF3519"/>
    <w:rsid w:val="00CF351B"/>
    <w:rsid w:val="00CF36BA"/>
    <w:rsid w:val="00CF4FDD"/>
    <w:rsid w:val="00CF68DF"/>
    <w:rsid w:val="00CF7085"/>
    <w:rsid w:val="00D01238"/>
    <w:rsid w:val="00D03261"/>
    <w:rsid w:val="00D03BE9"/>
    <w:rsid w:val="00D05290"/>
    <w:rsid w:val="00D06B02"/>
    <w:rsid w:val="00D07B8E"/>
    <w:rsid w:val="00D1074F"/>
    <w:rsid w:val="00D16257"/>
    <w:rsid w:val="00D2082C"/>
    <w:rsid w:val="00D21FE8"/>
    <w:rsid w:val="00D22901"/>
    <w:rsid w:val="00D23B0C"/>
    <w:rsid w:val="00D24E4F"/>
    <w:rsid w:val="00D25820"/>
    <w:rsid w:val="00D31624"/>
    <w:rsid w:val="00D316B5"/>
    <w:rsid w:val="00D32E28"/>
    <w:rsid w:val="00D35271"/>
    <w:rsid w:val="00D47082"/>
    <w:rsid w:val="00D52ADD"/>
    <w:rsid w:val="00D56C6C"/>
    <w:rsid w:val="00D57424"/>
    <w:rsid w:val="00D6339D"/>
    <w:rsid w:val="00D6476E"/>
    <w:rsid w:val="00D65318"/>
    <w:rsid w:val="00D6648F"/>
    <w:rsid w:val="00D6713E"/>
    <w:rsid w:val="00D70565"/>
    <w:rsid w:val="00D709D1"/>
    <w:rsid w:val="00D70F34"/>
    <w:rsid w:val="00D7245B"/>
    <w:rsid w:val="00D830F9"/>
    <w:rsid w:val="00D83A3C"/>
    <w:rsid w:val="00D846C8"/>
    <w:rsid w:val="00D84C43"/>
    <w:rsid w:val="00D85042"/>
    <w:rsid w:val="00D86343"/>
    <w:rsid w:val="00D877B1"/>
    <w:rsid w:val="00D920BA"/>
    <w:rsid w:val="00D92F77"/>
    <w:rsid w:val="00D9358D"/>
    <w:rsid w:val="00D944AE"/>
    <w:rsid w:val="00D96B8A"/>
    <w:rsid w:val="00DA04DF"/>
    <w:rsid w:val="00DA728B"/>
    <w:rsid w:val="00DA7342"/>
    <w:rsid w:val="00DA7497"/>
    <w:rsid w:val="00DB0D52"/>
    <w:rsid w:val="00DB33AA"/>
    <w:rsid w:val="00DB4581"/>
    <w:rsid w:val="00DB59CE"/>
    <w:rsid w:val="00DB5EC5"/>
    <w:rsid w:val="00DB652D"/>
    <w:rsid w:val="00DC0A0D"/>
    <w:rsid w:val="00DC2989"/>
    <w:rsid w:val="00DC52B4"/>
    <w:rsid w:val="00DC5B78"/>
    <w:rsid w:val="00DC620E"/>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77EF"/>
    <w:rsid w:val="00DF2F71"/>
    <w:rsid w:val="00E057F8"/>
    <w:rsid w:val="00E05C98"/>
    <w:rsid w:val="00E06B6F"/>
    <w:rsid w:val="00E070CA"/>
    <w:rsid w:val="00E07289"/>
    <w:rsid w:val="00E121F1"/>
    <w:rsid w:val="00E13FE5"/>
    <w:rsid w:val="00E157C7"/>
    <w:rsid w:val="00E1637C"/>
    <w:rsid w:val="00E168BC"/>
    <w:rsid w:val="00E17D36"/>
    <w:rsid w:val="00E207D2"/>
    <w:rsid w:val="00E20D1F"/>
    <w:rsid w:val="00E2339A"/>
    <w:rsid w:val="00E251D5"/>
    <w:rsid w:val="00E2642B"/>
    <w:rsid w:val="00E30A24"/>
    <w:rsid w:val="00E335FF"/>
    <w:rsid w:val="00E35C3C"/>
    <w:rsid w:val="00E37357"/>
    <w:rsid w:val="00E403C2"/>
    <w:rsid w:val="00E42669"/>
    <w:rsid w:val="00E432D1"/>
    <w:rsid w:val="00E539DE"/>
    <w:rsid w:val="00E54228"/>
    <w:rsid w:val="00E54F9E"/>
    <w:rsid w:val="00E5618B"/>
    <w:rsid w:val="00E562FB"/>
    <w:rsid w:val="00E574E7"/>
    <w:rsid w:val="00E6075F"/>
    <w:rsid w:val="00E60D91"/>
    <w:rsid w:val="00E6196B"/>
    <w:rsid w:val="00E6327F"/>
    <w:rsid w:val="00E669F4"/>
    <w:rsid w:val="00E66A15"/>
    <w:rsid w:val="00E7645E"/>
    <w:rsid w:val="00E82B50"/>
    <w:rsid w:val="00E83597"/>
    <w:rsid w:val="00E84EC5"/>
    <w:rsid w:val="00E87B59"/>
    <w:rsid w:val="00E90BE3"/>
    <w:rsid w:val="00E90C91"/>
    <w:rsid w:val="00E92B40"/>
    <w:rsid w:val="00E930A8"/>
    <w:rsid w:val="00E940F5"/>
    <w:rsid w:val="00E9475D"/>
    <w:rsid w:val="00E952DA"/>
    <w:rsid w:val="00E9744D"/>
    <w:rsid w:val="00E97F85"/>
    <w:rsid w:val="00EA1B5F"/>
    <w:rsid w:val="00EA2D24"/>
    <w:rsid w:val="00EA50DB"/>
    <w:rsid w:val="00EA6D85"/>
    <w:rsid w:val="00EA7AB5"/>
    <w:rsid w:val="00EB17AD"/>
    <w:rsid w:val="00EB60B6"/>
    <w:rsid w:val="00EB71C4"/>
    <w:rsid w:val="00EC1167"/>
    <w:rsid w:val="00EC1726"/>
    <w:rsid w:val="00EC40A6"/>
    <w:rsid w:val="00EC5429"/>
    <w:rsid w:val="00EC587D"/>
    <w:rsid w:val="00ED1FD9"/>
    <w:rsid w:val="00ED4427"/>
    <w:rsid w:val="00ED4799"/>
    <w:rsid w:val="00ED4F5F"/>
    <w:rsid w:val="00EE3A01"/>
    <w:rsid w:val="00EE62A9"/>
    <w:rsid w:val="00EF1A8B"/>
    <w:rsid w:val="00EF2E02"/>
    <w:rsid w:val="00EF4530"/>
    <w:rsid w:val="00EF46F6"/>
    <w:rsid w:val="00EF504B"/>
    <w:rsid w:val="00EF638E"/>
    <w:rsid w:val="00EF7894"/>
    <w:rsid w:val="00F0054C"/>
    <w:rsid w:val="00F03820"/>
    <w:rsid w:val="00F0717B"/>
    <w:rsid w:val="00F071D4"/>
    <w:rsid w:val="00F079AF"/>
    <w:rsid w:val="00F11057"/>
    <w:rsid w:val="00F12DCC"/>
    <w:rsid w:val="00F14228"/>
    <w:rsid w:val="00F14D6F"/>
    <w:rsid w:val="00F168F9"/>
    <w:rsid w:val="00F179AC"/>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608A"/>
    <w:rsid w:val="00F66812"/>
    <w:rsid w:val="00F67B26"/>
    <w:rsid w:val="00F73040"/>
    <w:rsid w:val="00F7418D"/>
    <w:rsid w:val="00F75287"/>
    <w:rsid w:val="00F77FAE"/>
    <w:rsid w:val="00F82F17"/>
    <w:rsid w:val="00F84F29"/>
    <w:rsid w:val="00F85335"/>
    <w:rsid w:val="00F92D72"/>
    <w:rsid w:val="00F97355"/>
    <w:rsid w:val="00F97417"/>
    <w:rsid w:val="00F9779C"/>
    <w:rsid w:val="00F977CD"/>
    <w:rsid w:val="00F97D17"/>
    <w:rsid w:val="00FA7F0A"/>
    <w:rsid w:val="00FB1263"/>
    <w:rsid w:val="00FB2E23"/>
    <w:rsid w:val="00FB30C6"/>
    <w:rsid w:val="00FB3696"/>
    <w:rsid w:val="00FC2247"/>
    <w:rsid w:val="00FC2E89"/>
    <w:rsid w:val="00FC67C0"/>
    <w:rsid w:val="00FD07D9"/>
    <w:rsid w:val="00FD5F0D"/>
    <w:rsid w:val="00FE2F44"/>
    <w:rsid w:val="00FE320D"/>
    <w:rsid w:val="00FE6385"/>
    <w:rsid w:val="00FE6902"/>
    <w:rsid w:val="00FF2623"/>
    <w:rsid w:val="00FF6F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49FB1E44-FC07-4CD7-9467-1C449D33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CA"/>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B12CA"/>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qFormat/>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uiPriority w:val="9"/>
    <w:rsid w:val="005B12CA"/>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3C4426"/>
    <w:pPr>
      <w:widowControl/>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2023-12-03T18:30:00+00:00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593E-2E6A-4B34-A0AF-C9FBFCB45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35BEF-D0C9-4762-AAF0-68F538B60589}">
  <ds:schemaRefs>
    <ds:schemaRef ds:uri="http://schemas.microsoft.com/sharepoint/v3/contenttype/forms"/>
  </ds:schemaRefs>
</ds:datastoreItem>
</file>

<file path=customXml/itemProps3.xml><?xml version="1.0" encoding="utf-8"?>
<ds:datastoreItem xmlns:ds="http://schemas.openxmlformats.org/officeDocument/2006/customXml" ds:itemID="{B2011E34-564E-4510-9F82-8B2B0FFB6F7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2883947E-DE35-40C6-887B-1FA283C1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17</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Samukuta v The Ministry of Safety and Security(HC-MD-CIV-ACT-OTH-2022-02129) NAHCMD 785 (4 Dec 2023)</dc:title>
  <dc:creator>Monica</dc:creator>
  <cp:lastModifiedBy>Mariana Anguelov</cp:lastModifiedBy>
  <cp:revision>12</cp:revision>
  <cp:lastPrinted>2023-12-04T12:13:00Z</cp:lastPrinted>
  <dcterms:created xsi:type="dcterms:W3CDTF">2023-11-29T15:00:00Z</dcterms:created>
  <dcterms:modified xsi:type="dcterms:W3CDTF">2023-12-08T19:34:00Z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