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01B7" w14:textId="77777777" w:rsidR="00DC489D" w:rsidRPr="001D6B3F" w:rsidRDefault="00DC489D" w:rsidP="007A6C9F">
      <w:pPr>
        <w:spacing w:after="0" w:line="360" w:lineRule="auto"/>
        <w:jc w:val="center"/>
        <w:rPr>
          <w:b/>
          <w:bCs/>
          <w:lang w:val="en-ZA"/>
        </w:rPr>
      </w:pPr>
      <w:r w:rsidRPr="001D6B3F">
        <w:rPr>
          <w:b/>
          <w:bCs/>
        </w:rPr>
        <w:t>REPUBLIC OF NAMIBIA</w:t>
      </w:r>
    </w:p>
    <w:p w14:paraId="4E3ECB08" w14:textId="77777777" w:rsidR="00DC489D" w:rsidRPr="001D6B3F" w:rsidRDefault="00DC489D" w:rsidP="007A6C9F">
      <w:pPr>
        <w:spacing w:after="0" w:line="360" w:lineRule="auto"/>
        <w:jc w:val="center"/>
        <w:rPr>
          <w:b/>
          <w:bCs/>
          <w:lang w:val="en-ZA"/>
        </w:rPr>
      </w:pPr>
      <w:r w:rsidRPr="001D6B3F">
        <w:rPr>
          <w:b/>
          <w:noProof/>
        </w:rPr>
        <w:drawing>
          <wp:inline distT="0" distB="0" distL="0" distR="0" wp14:anchorId="64C953EA" wp14:editId="70A0B3D8">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458E6C2E" w14:textId="5E1D72FD" w:rsidR="00DC489D" w:rsidRPr="00931E2D" w:rsidRDefault="00DC489D" w:rsidP="00931E2D">
      <w:pPr>
        <w:spacing w:after="0" w:line="360" w:lineRule="auto"/>
        <w:jc w:val="center"/>
        <w:rPr>
          <w:lang w:val="en-ZA"/>
        </w:rPr>
      </w:pPr>
      <w:r w:rsidRPr="001D6B3F">
        <w:rPr>
          <w:b/>
          <w:bCs/>
        </w:rPr>
        <w:t>HIGH COURT OF NAMIBIA MAIN DIVISION, WINDHOEK</w:t>
      </w:r>
    </w:p>
    <w:p w14:paraId="34B7D46A" w14:textId="77777777" w:rsidR="000519A2" w:rsidRPr="001D6B3F" w:rsidRDefault="000519A2" w:rsidP="007A6C9F">
      <w:pPr>
        <w:spacing w:after="0" w:line="360" w:lineRule="auto"/>
        <w:jc w:val="center"/>
      </w:pPr>
    </w:p>
    <w:p w14:paraId="7F99B005" w14:textId="06A77054" w:rsidR="00DC489D" w:rsidRDefault="00D73DDE" w:rsidP="007A6C9F">
      <w:pPr>
        <w:spacing w:after="0" w:line="360" w:lineRule="auto"/>
        <w:jc w:val="center"/>
        <w:rPr>
          <w:b/>
        </w:rPr>
      </w:pPr>
      <w:r>
        <w:rPr>
          <w:b/>
        </w:rPr>
        <w:t>SUMMARY JUDGMENT</w:t>
      </w:r>
    </w:p>
    <w:p w14:paraId="6B530C3E" w14:textId="77777777" w:rsidR="00BF46CD" w:rsidRDefault="00BF46CD" w:rsidP="007A6C9F">
      <w:pPr>
        <w:spacing w:after="0" w:line="360" w:lineRule="auto"/>
        <w:jc w:val="center"/>
        <w:rPr>
          <w:b/>
        </w:rPr>
      </w:pPr>
    </w:p>
    <w:p w14:paraId="6C09980A" w14:textId="6BC5C579" w:rsidR="00BF46CD" w:rsidRDefault="00FE2EA3" w:rsidP="007A6C9F">
      <w:pPr>
        <w:spacing w:after="0" w:line="360" w:lineRule="auto"/>
        <w:jc w:val="center"/>
        <w:rPr>
          <w:b/>
        </w:rPr>
      </w:pPr>
      <w:r>
        <w:rPr>
          <w:b/>
        </w:rPr>
        <w:t>PRACTICE DIRECTION 61</w:t>
      </w:r>
    </w:p>
    <w:p w14:paraId="37927C61" w14:textId="5E505633" w:rsidR="00931E2D" w:rsidRPr="001D6B3F" w:rsidRDefault="00931E2D" w:rsidP="007A6C9F">
      <w:pPr>
        <w:spacing w:after="0" w:line="360" w:lineRule="auto"/>
        <w:jc w:val="center"/>
      </w:pPr>
    </w:p>
    <w:tbl>
      <w:tblPr>
        <w:tblStyle w:val="TableGrid"/>
        <w:tblW w:w="10476" w:type="dxa"/>
        <w:tblInd w:w="-275" w:type="dxa"/>
        <w:tblLook w:val="04A0" w:firstRow="1" w:lastRow="0" w:firstColumn="1" w:lastColumn="0" w:noHBand="0" w:noVBand="1"/>
      </w:tblPr>
      <w:tblGrid>
        <w:gridCol w:w="4770"/>
        <w:gridCol w:w="1596"/>
        <w:gridCol w:w="4110"/>
      </w:tblGrid>
      <w:tr w:rsidR="001D6B3F" w:rsidRPr="001D6B3F" w14:paraId="641B103E" w14:textId="77777777" w:rsidTr="000517D9">
        <w:trPr>
          <w:trHeight w:val="744"/>
        </w:trPr>
        <w:tc>
          <w:tcPr>
            <w:tcW w:w="6366" w:type="dxa"/>
            <w:gridSpan w:val="2"/>
            <w:vMerge w:val="restart"/>
          </w:tcPr>
          <w:p w14:paraId="4CF08331" w14:textId="49AD0A65" w:rsidR="00931E2D" w:rsidRDefault="009C2E53" w:rsidP="00931E2D">
            <w:pPr>
              <w:spacing w:line="360" w:lineRule="auto"/>
              <w:jc w:val="both"/>
              <w:rPr>
                <w:rFonts w:ascii="Arial" w:hAnsi="Arial" w:cs="Arial"/>
                <w:b/>
                <w:sz w:val="24"/>
                <w:szCs w:val="24"/>
              </w:rPr>
            </w:pPr>
            <w:r w:rsidRPr="001D6B3F">
              <w:rPr>
                <w:rFonts w:ascii="Arial" w:hAnsi="Arial" w:cs="Arial"/>
                <w:b/>
                <w:sz w:val="24"/>
                <w:szCs w:val="24"/>
              </w:rPr>
              <w:t>Case Title:</w:t>
            </w:r>
          </w:p>
          <w:p w14:paraId="7649C982" w14:textId="77777777" w:rsidR="00B94A6E" w:rsidRDefault="00B94A6E" w:rsidP="00931E2D">
            <w:pPr>
              <w:spacing w:line="360" w:lineRule="auto"/>
              <w:jc w:val="both"/>
              <w:rPr>
                <w:rFonts w:ascii="Arial" w:hAnsi="Arial" w:cs="Arial"/>
                <w:b/>
                <w:sz w:val="24"/>
                <w:szCs w:val="24"/>
              </w:rPr>
            </w:pPr>
          </w:p>
          <w:p w14:paraId="1B7596F3" w14:textId="501BBBB5" w:rsidR="00B94A6E" w:rsidRDefault="00D73DDE" w:rsidP="00931E2D">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Piet Basson                                                          </w:t>
            </w:r>
            <w:r w:rsidR="00BF46CD">
              <w:rPr>
                <w:rFonts w:ascii="Arial" w:hAnsi="Arial"/>
                <w:bCs/>
                <w:color w:val="auto"/>
                <w:sz w:val="24"/>
                <w:szCs w:val="24"/>
                <w:lang w:val="en-US"/>
              </w:rPr>
              <w:t>Plaintiff</w:t>
            </w:r>
          </w:p>
          <w:p w14:paraId="107C9FFC" w14:textId="77777777" w:rsidR="00BF46CD" w:rsidRDefault="00BF46CD" w:rsidP="00931E2D">
            <w:pPr>
              <w:pStyle w:val="Body"/>
              <w:keepNext/>
              <w:tabs>
                <w:tab w:val="right" w:pos="9000"/>
              </w:tabs>
              <w:spacing w:line="360" w:lineRule="auto"/>
              <w:jc w:val="both"/>
              <w:outlineLvl w:val="3"/>
              <w:rPr>
                <w:rFonts w:ascii="Arial" w:hAnsi="Arial"/>
                <w:bCs/>
                <w:color w:val="auto"/>
                <w:sz w:val="24"/>
                <w:szCs w:val="24"/>
                <w:lang w:val="en-US"/>
              </w:rPr>
            </w:pPr>
          </w:p>
          <w:p w14:paraId="02607675" w14:textId="36B92816" w:rsidR="00BF46CD" w:rsidRDefault="00BF46CD" w:rsidP="00931E2D">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and</w:t>
            </w:r>
          </w:p>
          <w:p w14:paraId="062D23A1" w14:textId="77777777" w:rsidR="00BF46CD" w:rsidRDefault="00BF46CD" w:rsidP="00931E2D">
            <w:pPr>
              <w:pStyle w:val="Body"/>
              <w:keepNext/>
              <w:tabs>
                <w:tab w:val="right" w:pos="9000"/>
              </w:tabs>
              <w:spacing w:line="360" w:lineRule="auto"/>
              <w:jc w:val="both"/>
              <w:outlineLvl w:val="3"/>
              <w:rPr>
                <w:rFonts w:ascii="Arial" w:hAnsi="Arial"/>
                <w:bCs/>
                <w:color w:val="auto"/>
                <w:sz w:val="24"/>
                <w:szCs w:val="24"/>
                <w:lang w:val="en-US"/>
              </w:rPr>
            </w:pPr>
          </w:p>
          <w:p w14:paraId="3A7B993E" w14:textId="70F51EB1" w:rsidR="00BF46CD" w:rsidRPr="00BF46CD" w:rsidRDefault="00D73DDE" w:rsidP="00D73DDE">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Jan </w:t>
            </w:r>
            <w:proofErr w:type="spellStart"/>
            <w:r>
              <w:rPr>
                <w:rFonts w:ascii="Arial" w:hAnsi="Arial"/>
                <w:bCs/>
                <w:color w:val="auto"/>
                <w:sz w:val="24"/>
                <w:szCs w:val="24"/>
                <w:lang w:val="en-US"/>
              </w:rPr>
              <w:t>Jarson</w:t>
            </w:r>
            <w:proofErr w:type="spellEnd"/>
            <w:r>
              <w:rPr>
                <w:rFonts w:ascii="Arial" w:hAnsi="Arial"/>
                <w:bCs/>
                <w:color w:val="auto"/>
                <w:sz w:val="24"/>
                <w:szCs w:val="24"/>
                <w:lang w:val="en-US"/>
              </w:rPr>
              <w:t xml:space="preserve">                                                        </w:t>
            </w:r>
            <w:r w:rsidR="00423A6C">
              <w:rPr>
                <w:rFonts w:ascii="Arial" w:hAnsi="Arial"/>
                <w:bCs/>
                <w:color w:val="auto"/>
                <w:sz w:val="24"/>
                <w:szCs w:val="24"/>
                <w:lang w:val="en-US"/>
              </w:rPr>
              <w:t xml:space="preserve">  </w:t>
            </w:r>
            <w:r w:rsidR="00BF46CD">
              <w:rPr>
                <w:rFonts w:ascii="Arial" w:hAnsi="Arial"/>
                <w:bCs/>
                <w:color w:val="auto"/>
                <w:sz w:val="24"/>
                <w:szCs w:val="24"/>
                <w:lang w:val="en-US"/>
              </w:rPr>
              <w:t>Defendant</w:t>
            </w:r>
          </w:p>
        </w:tc>
        <w:tc>
          <w:tcPr>
            <w:tcW w:w="4110" w:type="dxa"/>
          </w:tcPr>
          <w:p w14:paraId="32B2A74E"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No:</w:t>
            </w:r>
          </w:p>
          <w:p w14:paraId="0AC935A1" w14:textId="1C5E4B45" w:rsidR="009C2E53" w:rsidRPr="001D6B3F" w:rsidRDefault="000519A2" w:rsidP="00BF46CD">
            <w:pPr>
              <w:spacing w:line="360" w:lineRule="auto"/>
              <w:jc w:val="both"/>
              <w:rPr>
                <w:rFonts w:ascii="Arial" w:hAnsi="Arial" w:cs="Arial"/>
                <w:b/>
                <w:sz w:val="24"/>
                <w:szCs w:val="24"/>
              </w:rPr>
            </w:pPr>
            <w:r w:rsidRPr="001D6B3F">
              <w:rPr>
                <w:rFonts w:ascii="Arial" w:eastAsia="Arial" w:hAnsi="Arial" w:cs="Arial"/>
                <w:sz w:val="24"/>
                <w:szCs w:val="24"/>
                <w:lang w:val="en-US"/>
              </w:rPr>
              <w:t>HC-MD-CIV-</w:t>
            </w:r>
            <w:r w:rsidR="00D73DDE">
              <w:rPr>
                <w:rFonts w:ascii="Arial" w:eastAsia="Arial" w:hAnsi="Arial" w:cs="Arial"/>
                <w:sz w:val="24"/>
                <w:szCs w:val="24"/>
                <w:lang w:val="en-US"/>
              </w:rPr>
              <w:t>ACT-OTH-2023/04247</w:t>
            </w:r>
          </w:p>
        </w:tc>
      </w:tr>
      <w:tr w:rsidR="001D6B3F" w:rsidRPr="001D6B3F" w14:paraId="60B08CD8" w14:textId="77777777" w:rsidTr="000517D9">
        <w:trPr>
          <w:trHeight w:val="794"/>
        </w:trPr>
        <w:tc>
          <w:tcPr>
            <w:tcW w:w="6366" w:type="dxa"/>
            <w:gridSpan w:val="2"/>
            <w:vMerge/>
          </w:tcPr>
          <w:p w14:paraId="7D4B018C" w14:textId="77777777" w:rsidR="009C2E53" w:rsidRPr="001D6B3F" w:rsidRDefault="009C2E53" w:rsidP="007A6C9F">
            <w:pPr>
              <w:spacing w:line="360" w:lineRule="auto"/>
              <w:jc w:val="both"/>
              <w:rPr>
                <w:rFonts w:ascii="Arial" w:hAnsi="Arial" w:cs="Arial"/>
                <w:sz w:val="24"/>
                <w:szCs w:val="24"/>
              </w:rPr>
            </w:pPr>
          </w:p>
        </w:tc>
        <w:tc>
          <w:tcPr>
            <w:tcW w:w="4110" w:type="dxa"/>
          </w:tcPr>
          <w:p w14:paraId="41874EB2"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Division of Court:</w:t>
            </w:r>
          </w:p>
          <w:p w14:paraId="7EE2DFCC" w14:textId="77777777" w:rsidR="009C2E53" w:rsidRPr="001D6B3F" w:rsidRDefault="005C2B5B" w:rsidP="007A6C9F">
            <w:pPr>
              <w:spacing w:line="360" w:lineRule="auto"/>
              <w:jc w:val="both"/>
              <w:rPr>
                <w:rFonts w:ascii="Arial" w:hAnsi="Arial" w:cs="Arial"/>
                <w:sz w:val="24"/>
                <w:szCs w:val="24"/>
              </w:rPr>
            </w:pPr>
            <w:r w:rsidRPr="001D6B3F">
              <w:rPr>
                <w:rFonts w:ascii="Arial" w:hAnsi="Arial" w:cs="Arial"/>
                <w:sz w:val="24"/>
                <w:szCs w:val="24"/>
              </w:rPr>
              <w:t>High Court, Main Division</w:t>
            </w:r>
          </w:p>
        </w:tc>
      </w:tr>
      <w:tr w:rsidR="001D6B3F" w:rsidRPr="001D6B3F" w14:paraId="4F87EA28" w14:textId="77777777" w:rsidTr="000517D9">
        <w:trPr>
          <w:trHeight w:val="645"/>
        </w:trPr>
        <w:tc>
          <w:tcPr>
            <w:tcW w:w="6366" w:type="dxa"/>
            <w:gridSpan w:val="2"/>
            <w:vMerge w:val="restart"/>
          </w:tcPr>
          <w:p w14:paraId="70181E7F" w14:textId="77777777" w:rsidR="009C2E53" w:rsidRPr="001D6B3F" w:rsidRDefault="005C2B5B" w:rsidP="007A6C9F">
            <w:pPr>
              <w:spacing w:line="360" w:lineRule="auto"/>
              <w:jc w:val="both"/>
              <w:rPr>
                <w:rFonts w:ascii="Arial" w:hAnsi="Arial" w:cs="Arial"/>
                <w:b/>
                <w:sz w:val="24"/>
                <w:szCs w:val="24"/>
              </w:rPr>
            </w:pPr>
            <w:r w:rsidRPr="001D6B3F">
              <w:rPr>
                <w:rFonts w:ascii="Arial" w:hAnsi="Arial" w:cs="Arial"/>
                <w:b/>
                <w:sz w:val="24"/>
                <w:szCs w:val="24"/>
              </w:rPr>
              <w:t>Coram</w:t>
            </w:r>
            <w:r w:rsidR="009C2E53" w:rsidRPr="001D6B3F">
              <w:rPr>
                <w:rFonts w:ascii="Arial" w:hAnsi="Arial" w:cs="Arial"/>
                <w:b/>
                <w:sz w:val="24"/>
                <w:szCs w:val="24"/>
              </w:rPr>
              <w:t>:</w:t>
            </w:r>
          </w:p>
          <w:p w14:paraId="6856DAC8" w14:textId="5F8D69EF" w:rsidR="009C2E53" w:rsidRPr="001D6B3F" w:rsidRDefault="00931E2D" w:rsidP="00B94A6E">
            <w:pPr>
              <w:spacing w:line="360" w:lineRule="auto"/>
              <w:jc w:val="both"/>
              <w:rPr>
                <w:rFonts w:ascii="Arial" w:hAnsi="Arial" w:cs="Arial"/>
                <w:sz w:val="24"/>
                <w:szCs w:val="24"/>
              </w:rPr>
            </w:pPr>
            <w:r>
              <w:rPr>
                <w:rFonts w:ascii="Arial" w:hAnsi="Arial" w:cs="Arial"/>
                <w:sz w:val="24"/>
                <w:szCs w:val="24"/>
                <w:lang w:val="en-US"/>
              </w:rPr>
              <w:t xml:space="preserve">Honourable Justice </w:t>
            </w:r>
            <w:r w:rsidR="00B94A6E">
              <w:rPr>
                <w:rFonts w:ascii="Arial" w:hAnsi="Arial" w:cs="Arial"/>
                <w:sz w:val="24"/>
                <w:szCs w:val="24"/>
                <w:lang w:val="en-US"/>
              </w:rPr>
              <w:t>Schimming-Chase</w:t>
            </w:r>
          </w:p>
        </w:tc>
        <w:tc>
          <w:tcPr>
            <w:tcW w:w="4110" w:type="dxa"/>
          </w:tcPr>
          <w:p w14:paraId="43F0084B" w14:textId="77777777" w:rsidR="00BF46CD" w:rsidRDefault="00827401" w:rsidP="00BF46CD">
            <w:pPr>
              <w:spacing w:line="360" w:lineRule="auto"/>
              <w:jc w:val="both"/>
              <w:rPr>
                <w:rFonts w:ascii="Arial" w:hAnsi="Arial" w:cs="Arial"/>
                <w:b/>
                <w:sz w:val="24"/>
                <w:szCs w:val="24"/>
              </w:rPr>
            </w:pPr>
            <w:r w:rsidRPr="00423A6C">
              <w:rPr>
                <w:rFonts w:ascii="Arial" w:hAnsi="Arial" w:cs="Arial"/>
                <w:b/>
                <w:sz w:val="24"/>
                <w:szCs w:val="24"/>
              </w:rPr>
              <w:t>Heard</w:t>
            </w:r>
            <w:r w:rsidR="003D2D8A" w:rsidRPr="00423A6C">
              <w:rPr>
                <w:rFonts w:ascii="Arial" w:hAnsi="Arial" w:cs="Arial"/>
                <w:b/>
                <w:sz w:val="24"/>
                <w:szCs w:val="24"/>
              </w:rPr>
              <w:t xml:space="preserve"> </w:t>
            </w:r>
            <w:r w:rsidR="00BF46CD" w:rsidRPr="00423A6C">
              <w:rPr>
                <w:rFonts w:ascii="Arial" w:hAnsi="Arial" w:cs="Arial"/>
                <w:b/>
                <w:sz w:val="24"/>
                <w:szCs w:val="24"/>
              </w:rPr>
              <w:t>on:</w:t>
            </w:r>
          </w:p>
          <w:p w14:paraId="0830B477" w14:textId="1BAFD354" w:rsidR="009C2E53" w:rsidRPr="001D6B3F" w:rsidRDefault="00423A6C" w:rsidP="00BF46CD">
            <w:pPr>
              <w:spacing w:line="360" w:lineRule="auto"/>
              <w:jc w:val="both"/>
              <w:rPr>
                <w:rFonts w:ascii="Arial" w:hAnsi="Arial" w:cs="Arial"/>
                <w:sz w:val="24"/>
                <w:szCs w:val="24"/>
              </w:rPr>
            </w:pPr>
            <w:r>
              <w:rPr>
                <w:rFonts w:ascii="Arial" w:hAnsi="Arial" w:cs="Arial"/>
                <w:sz w:val="24"/>
                <w:szCs w:val="24"/>
              </w:rPr>
              <w:t>Determined on the papers</w:t>
            </w:r>
          </w:p>
        </w:tc>
      </w:tr>
      <w:tr w:rsidR="001D6B3F" w:rsidRPr="001D6B3F" w14:paraId="3DB3B0AC" w14:textId="77777777" w:rsidTr="000517D9">
        <w:trPr>
          <w:trHeight w:val="588"/>
        </w:trPr>
        <w:tc>
          <w:tcPr>
            <w:tcW w:w="6366" w:type="dxa"/>
            <w:gridSpan w:val="2"/>
            <w:vMerge/>
          </w:tcPr>
          <w:p w14:paraId="2C2EF1D3" w14:textId="77777777" w:rsidR="009C2E53" w:rsidRPr="001D6B3F" w:rsidRDefault="009C2E53" w:rsidP="007A6C9F">
            <w:pPr>
              <w:spacing w:line="360" w:lineRule="auto"/>
              <w:jc w:val="both"/>
              <w:rPr>
                <w:rFonts w:ascii="Arial" w:hAnsi="Arial" w:cs="Arial"/>
                <w:b/>
                <w:sz w:val="24"/>
                <w:szCs w:val="24"/>
              </w:rPr>
            </w:pPr>
          </w:p>
        </w:tc>
        <w:tc>
          <w:tcPr>
            <w:tcW w:w="4110" w:type="dxa"/>
          </w:tcPr>
          <w:p w14:paraId="1FFFF7B5" w14:textId="0365C1C7" w:rsidR="00EF5666" w:rsidRPr="001D6B3F" w:rsidRDefault="00BF46CD" w:rsidP="007A6C9F">
            <w:pPr>
              <w:spacing w:line="360" w:lineRule="auto"/>
              <w:jc w:val="both"/>
              <w:rPr>
                <w:rFonts w:ascii="Arial" w:hAnsi="Arial" w:cs="Arial"/>
                <w:b/>
                <w:sz w:val="24"/>
                <w:szCs w:val="24"/>
              </w:rPr>
            </w:pPr>
            <w:r w:rsidRPr="00423A6C">
              <w:rPr>
                <w:rFonts w:ascii="Arial" w:hAnsi="Arial" w:cs="Arial"/>
                <w:b/>
                <w:sz w:val="24"/>
                <w:szCs w:val="24"/>
              </w:rPr>
              <w:t>Delivered on:</w:t>
            </w:r>
          </w:p>
          <w:p w14:paraId="0A7821C1" w14:textId="793A5790" w:rsidR="00CC0F00" w:rsidRPr="001D6B3F" w:rsidRDefault="00517F41" w:rsidP="007A6C9F">
            <w:pPr>
              <w:spacing w:line="360" w:lineRule="auto"/>
              <w:jc w:val="both"/>
              <w:rPr>
                <w:rFonts w:ascii="Arial" w:hAnsi="Arial"/>
                <w:bCs/>
                <w:sz w:val="24"/>
                <w:szCs w:val="24"/>
                <w:lang w:val="en-US"/>
              </w:rPr>
            </w:pPr>
            <w:r>
              <w:rPr>
                <w:rFonts w:ascii="Arial" w:hAnsi="Arial"/>
                <w:bCs/>
                <w:sz w:val="24"/>
                <w:szCs w:val="24"/>
                <w:lang w:val="en-US"/>
              </w:rPr>
              <w:t>18 March 2024</w:t>
            </w:r>
          </w:p>
        </w:tc>
      </w:tr>
      <w:tr w:rsidR="001D6B3F" w:rsidRPr="001D6B3F" w14:paraId="1BD5D522" w14:textId="77777777" w:rsidTr="00004108">
        <w:trPr>
          <w:trHeight w:val="710"/>
        </w:trPr>
        <w:tc>
          <w:tcPr>
            <w:tcW w:w="10476" w:type="dxa"/>
            <w:gridSpan w:val="3"/>
          </w:tcPr>
          <w:p w14:paraId="318D7BDF" w14:textId="190956A1" w:rsidR="009C2E53" w:rsidRPr="00B94A6E" w:rsidRDefault="00423A6C" w:rsidP="003C6630">
            <w:pPr>
              <w:spacing w:line="360" w:lineRule="auto"/>
              <w:ind w:left="2160" w:hanging="2160"/>
              <w:jc w:val="both"/>
            </w:pPr>
            <w:r w:rsidRPr="00423A6C">
              <w:rPr>
                <w:rFonts w:ascii="Arial" w:hAnsi="Arial" w:cs="Arial"/>
                <w:b/>
                <w:sz w:val="24"/>
                <w:lang w:val="en-US"/>
              </w:rPr>
              <w:t>Neutral citation:</w:t>
            </w:r>
            <w:r>
              <w:rPr>
                <w:rFonts w:ascii="Arial" w:hAnsi="Arial" w:cs="Arial"/>
                <w:b/>
                <w:sz w:val="24"/>
                <w:lang w:val="en-US"/>
              </w:rPr>
              <w:tab/>
            </w:r>
            <w:proofErr w:type="spellStart"/>
            <w:r>
              <w:rPr>
                <w:rFonts w:ascii="Arial" w:hAnsi="Arial" w:cs="Arial"/>
                <w:i/>
                <w:sz w:val="24"/>
                <w:lang w:val="en-US"/>
              </w:rPr>
              <w:t>Basson</w:t>
            </w:r>
            <w:proofErr w:type="spellEnd"/>
            <w:r>
              <w:rPr>
                <w:rFonts w:ascii="Arial" w:hAnsi="Arial" w:cs="Arial"/>
                <w:i/>
                <w:sz w:val="24"/>
                <w:lang w:val="en-US"/>
              </w:rPr>
              <w:t xml:space="preserve"> v </w:t>
            </w:r>
            <w:proofErr w:type="spellStart"/>
            <w:r>
              <w:rPr>
                <w:rFonts w:ascii="Arial" w:hAnsi="Arial" w:cs="Arial"/>
                <w:i/>
                <w:sz w:val="24"/>
                <w:lang w:val="en-US"/>
              </w:rPr>
              <w:t>Jarson</w:t>
            </w:r>
            <w:proofErr w:type="spellEnd"/>
            <w:r>
              <w:rPr>
                <w:rFonts w:ascii="Arial" w:hAnsi="Arial" w:cs="Arial"/>
                <w:i/>
                <w:sz w:val="24"/>
                <w:lang w:val="en-US"/>
              </w:rPr>
              <w:t xml:space="preserve"> </w:t>
            </w:r>
            <w:r>
              <w:rPr>
                <w:rFonts w:ascii="Arial" w:hAnsi="Arial" w:cs="Arial"/>
                <w:sz w:val="24"/>
                <w:lang w:val="en-US"/>
              </w:rPr>
              <w:t>(HC-MD-CIV-ACT-OTH-2023/</w:t>
            </w:r>
            <w:r>
              <w:rPr>
                <w:rFonts w:ascii="Arial" w:eastAsia="Arial" w:hAnsi="Arial" w:cs="Arial"/>
                <w:sz w:val="24"/>
                <w:szCs w:val="24"/>
                <w:lang w:val="en-US"/>
              </w:rPr>
              <w:t xml:space="preserve">04247) [2024] NAHCMD </w:t>
            </w:r>
            <w:r w:rsidR="003C6630" w:rsidRPr="003C6630">
              <w:rPr>
                <w:rFonts w:ascii="Arial" w:eastAsia="Arial" w:hAnsi="Arial" w:cs="Arial"/>
                <w:sz w:val="24"/>
                <w:szCs w:val="24"/>
                <w:lang w:val="en-US"/>
              </w:rPr>
              <w:t>121</w:t>
            </w:r>
            <w:r>
              <w:rPr>
                <w:rFonts w:ascii="Arial" w:eastAsia="Arial" w:hAnsi="Arial" w:cs="Arial"/>
                <w:sz w:val="24"/>
                <w:szCs w:val="24"/>
                <w:lang w:val="en-US"/>
              </w:rPr>
              <w:t xml:space="preserve"> (</w:t>
            </w:r>
            <w:r w:rsidR="00517F41">
              <w:rPr>
                <w:rFonts w:ascii="Arial" w:eastAsia="Arial" w:hAnsi="Arial" w:cs="Arial"/>
                <w:sz w:val="24"/>
                <w:szCs w:val="24"/>
                <w:lang w:val="en-US"/>
              </w:rPr>
              <w:t>18 March 2024)</w:t>
            </w:r>
          </w:p>
        </w:tc>
      </w:tr>
      <w:tr w:rsidR="001D6B3F" w:rsidRPr="001D6B3F" w14:paraId="542E1039" w14:textId="77777777" w:rsidTr="00B94A6E">
        <w:trPr>
          <w:trHeight w:val="432"/>
        </w:trPr>
        <w:tc>
          <w:tcPr>
            <w:tcW w:w="10476" w:type="dxa"/>
            <w:gridSpan w:val="3"/>
          </w:tcPr>
          <w:p w14:paraId="29C70C42" w14:textId="74CB9CFB" w:rsidR="002524E6" w:rsidRPr="00B94A6E" w:rsidRDefault="002150D0" w:rsidP="007A6C9F">
            <w:pPr>
              <w:tabs>
                <w:tab w:val="left" w:pos="2100"/>
              </w:tabs>
              <w:spacing w:line="360" w:lineRule="auto"/>
              <w:jc w:val="both"/>
            </w:pPr>
            <w:r w:rsidRPr="001D6B3F">
              <w:rPr>
                <w:rFonts w:ascii="Arial" w:hAnsi="Arial" w:cs="Arial"/>
                <w:b/>
                <w:sz w:val="24"/>
                <w:szCs w:val="24"/>
              </w:rPr>
              <w:t>O</w:t>
            </w:r>
            <w:r w:rsidR="009C2E53" w:rsidRPr="001D6B3F">
              <w:rPr>
                <w:rFonts w:ascii="Arial" w:hAnsi="Arial" w:cs="Arial"/>
                <w:b/>
                <w:sz w:val="24"/>
                <w:szCs w:val="24"/>
              </w:rPr>
              <w:t>rder:</w:t>
            </w:r>
            <w:r w:rsidR="0083558F" w:rsidRPr="001D6B3F">
              <w:rPr>
                <w:rFonts w:ascii="Arial" w:hAnsi="Arial" w:cs="Arial"/>
                <w:b/>
                <w:sz w:val="24"/>
                <w:szCs w:val="24"/>
              </w:rPr>
              <w:tab/>
            </w:r>
          </w:p>
        </w:tc>
      </w:tr>
      <w:tr w:rsidR="00B94A6E" w:rsidRPr="001D6B3F" w14:paraId="00C1BB9F" w14:textId="77777777" w:rsidTr="00004108">
        <w:trPr>
          <w:trHeight w:val="1200"/>
        </w:trPr>
        <w:tc>
          <w:tcPr>
            <w:tcW w:w="10476" w:type="dxa"/>
            <w:gridSpan w:val="3"/>
          </w:tcPr>
          <w:p w14:paraId="214D9A06" w14:textId="77777777" w:rsidR="00B94A6E" w:rsidRDefault="00B94A6E" w:rsidP="00BF46CD">
            <w:pPr>
              <w:pBdr>
                <w:top w:val="nil"/>
                <w:left w:val="nil"/>
                <w:bottom w:val="nil"/>
                <w:right w:val="nil"/>
                <w:between w:val="nil"/>
                <w:bar w:val="nil"/>
              </w:pBdr>
              <w:spacing w:line="360" w:lineRule="auto"/>
              <w:jc w:val="both"/>
              <w:rPr>
                <w:b/>
              </w:rPr>
            </w:pPr>
          </w:p>
          <w:p w14:paraId="391AA91A" w14:textId="77777777" w:rsidR="00D73DDE" w:rsidRDefault="00D73DDE" w:rsidP="00D73DDE">
            <w:pPr>
              <w:pStyle w:val="ListParagraph"/>
              <w:numPr>
                <w:ilvl w:val="0"/>
                <w:numId w:val="36"/>
              </w:numPr>
              <w:spacing w:after="200" w:line="360" w:lineRule="auto"/>
              <w:jc w:val="both"/>
              <w:rPr>
                <w:rFonts w:ascii="Arial" w:hAnsi="Arial" w:cs="Arial"/>
                <w:sz w:val="24"/>
              </w:rPr>
            </w:pPr>
            <w:r>
              <w:rPr>
                <w:rFonts w:ascii="Arial" w:hAnsi="Arial" w:cs="Arial"/>
                <w:sz w:val="24"/>
              </w:rPr>
              <w:t>The plaintiff’s application for summary judgment succeeds to the following extent:</w:t>
            </w:r>
          </w:p>
          <w:p w14:paraId="4ED62AE1" w14:textId="77777777" w:rsidR="00D73DDE" w:rsidRDefault="00D73DDE" w:rsidP="00D73DDE">
            <w:pPr>
              <w:pStyle w:val="ListParagraph"/>
              <w:spacing w:line="360" w:lineRule="auto"/>
              <w:ind w:left="1134"/>
              <w:jc w:val="both"/>
              <w:rPr>
                <w:rFonts w:ascii="Arial" w:hAnsi="Arial" w:cs="Arial"/>
                <w:sz w:val="24"/>
              </w:rPr>
            </w:pPr>
          </w:p>
          <w:p w14:paraId="0937CAD0" w14:textId="1ECD7237" w:rsidR="00D73DDE" w:rsidRPr="00FE2EA3" w:rsidRDefault="00D73DDE" w:rsidP="00FE2EA3">
            <w:pPr>
              <w:pStyle w:val="ListParagraph"/>
              <w:spacing w:line="360" w:lineRule="auto"/>
              <w:ind w:left="1134"/>
              <w:jc w:val="both"/>
              <w:rPr>
                <w:rFonts w:ascii="Arial" w:hAnsi="Arial" w:cs="Arial"/>
                <w:sz w:val="24"/>
              </w:rPr>
            </w:pPr>
            <w:r>
              <w:rPr>
                <w:rFonts w:ascii="Arial" w:hAnsi="Arial" w:cs="Arial"/>
                <w:sz w:val="24"/>
              </w:rPr>
              <w:t xml:space="preserve">The defendant and/or any other person in occupation and/or possession of the </w:t>
            </w:r>
            <w:r>
              <w:rPr>
                <w:rFonts w:ascii="Arial" w:hAnsi="Arial" w:cs="Arial"/>
                <w:sz w:val="24"/>
              </w:rPr>
              <w:lastRenderedPageBreak/>
              <w:t xml:space="preserve">property described as </w:t>
            </w:r>
            <w:proofErr w:type="spellStart"/>
            <w:r>
              <w:rPr>
                <w:rFonts w:ascii="Arial" w:hAnsi="Arial" w:cs="Arial"/>
                <w:sz w:val="24"/>
              </w:rPr>
              <w:t>Erf</w:t>
            </w:r>
            <w:proofErr w:type="spellEnd"/>
            <w:r>
              <w:rPr>
                <w:rFonts w:ascii="Arial" w:hAnsi="Arial" w:cs="Arial"/>
                <w:sz w:val="24"/>
              </w:rPr>
              <w:t xml:space="preserve"> 124, </w:t>
            </w:r>
            <w:proofErr w:type="spellStart"/>
            <w:r>
              <w:rPr>
                <w:rFonts w:ascii="Arial" w:hAnsi="Arial" w:cs="Arial"/>
                <w:sz w:val="24"/>
              </w:rPr>
              <w:t>Sonara</w:t>
            </w:r>
            <w:proofErr w:type="spellEnd"/>
            <w:r>
              <w:rPr>
                <w:rFonts w:ascii="Arial" w:hAnsi="Arial" w:cs="Arial"/>
                <w:sz w:val="24"/>
              </w:rPr>
              <w:t xml:space="preserve">, </w:t>
            </w:r>
            <w:proofErr w:type="spellStart"/>
            <w:r>
              <w:rPr>
                <w:rFonts w:ascii="Arial" w:hAnsi="Arial" w:cs="Arial"/>
                <w:sz w:val="24"/>
              </w:rPr>
              <w:t>Hardel</w:t>
            </w:r>
            <w:proofErr w:type="spellEnd"/>
            <w:r>
              <w:rPr>
                <w:rFonts w:ascii="Arial" w:hAnsi="Arial" w:cs="Arial"/>
                <w:sz w:val="24"/>
              </w:rPr>
              <w:t xml:space="preserve"> Street, </w:t>
            </w:r>
            <w:proofErr w:type="spellStart"/>
            <w:r>
              <w:rPr>
                <w:rFonts w:ascii="Arial" w:hAnsi="Arial" w:cs="Arial"/>
                <w:sz w:val="24"/>
              </w:rPr>
              <w:t>Aranos</w:t>
            </w:r>
            <w:proofErr w:type="spellEnd"/>
            <w:r>
              <w:rPr>
                <w:rFonts w:ascii="Arial" w:hAnsi="Arial" w:cs="Arial"/>
                <w:sz w:val="24"/>
              </w:rPr>
              <w:t xml:space="preserve">, Republic of Namibia </w:t>
            </w:r>
            <w:proofErr w:type="gramStart"/>
            <w:r w:rsidR="00517F41">
              <w:rPr>
                <w:rFonts w:ascii="Arial" w:hAnsi="Arial" w:cs="Arial"/>
                <w:sz w:val="24"/>
              </w:rPr>
              <w:t xml:space="preserve">is </w:t>
            </w:r>
            <w:r>
              <w:rPr>
                <w:rFonts w:ascii="Arial" w:hAnsi="Arial" w:cs="Arial"/>
                <w:sz w:val="24"/>
              </w:rPr>
              <w:t xml:space="preserve"> hereby</w:t>
            </w:r>
            <w:proofErr w:type="gramEnd"/>
            <w:r>
              <w:rPr>
                <w:rFonts w:ascii="Arial" w:hAnsi="Arial" w:cs="Arial"/>
                <w:sz w:val="24"/>
              </w:rPr>
              <w:t xml:space="preserve"> evicted</w:t>
            </w:r>
            <w:r w:rsidR="00517F41">
              <w:rPr>
                <w:rFonts w:ascii="Arial" w:hAnsi="Arial" w:cs="Arial"/>
                <w:sz w:val="24"/>
              </w:rPr>
              <w:t xml:space="preserve"> and ordered to immediately vacate the </w:t>
            </w:r>
            <w:r w:rsidR="003B5001">
              <w:rPr>
                <w:rFonts w:ascii="Arial" w:hAnsi="Arial" w:cs="Arial"/>
                <w:sz w:val="24"/>
              </w:rPr>
              <w:t>aforesaid property</w:t>
            </w:r>
            <w:r w:rsidR="00517F41">
              <w:rPr>
                <w:rFonts w:ascii="Arial" w:hAnsi="Arial" w:cs="Arial"/>
                <w:sz w:val="24"/>
              </w:rPr>
              <w:t>.</w:t>
            </w:r>
          </w:p>
          <w:p w14:paraId="3C6C5592" w14:textId="77777777" w:rsidR="00D73DDE" w:rsidRDefault="00D73DDE" w:rsidP="00D73DDE">
            <w:pPr>
              <w:pStyle w:val="ListParagraph"/>
              <w:spacing w:line="360" w:lineRule="auto"/>
              <w:ind w:left="1134"/>
              <w:jc w:val="both"/>
              <w:rPr>
                <w:rFonts w:ascii="Arial" w:hAnsi="Arial" w:cs="Arial"/>
                <w:sz w:val="24"/>
              </w:rPr>
            </w:pPr>
          </w:p>
          <w:p w14:paraId="231B8ADF" w14:textId="7EFA11BD" w:rsidR="00D73DDE" w:rsidRDefault="00D73DDE" w:rsidP="00D73DDE">
            <w:pPr>
              <w:pStyle w:val="ListParagraph"/>
              <w:numPr>
                <w:ilvl w:val="0"/>
                <w:numId w:val="36"/>
              </w:numPr>
              <w:spacing w:after="200" w:line="360" w:lineRule="auto"/>
              <w:ind w:left="1126" w:hanging="567"/>
              <w:jc w:val="both"/>
              <w:rPr>
                <w:rFonts w:ascii="Arial" w:hAnsi="Arial" w:cs="Arial"/>
                <w:sz w:val="24"/>
              </w:rPr>
            </w:pPr>
            <w:r>
              <w:rPr>
                <w:rFonts w:ascii="Arial" w:hAnsi="Arial" w:cs="Arial"/>
                <w:sz w:val="24"/>
              </w:rPr>
              <w:t>The defendant is granted le</w:t>
            </w:r>
            <w:r w:rsidR="005D573C">
              <w:rPr>
                <w:rFonts w:ascii="Arial" w:hAnsi="Arial" w:cs="Arial"/>
                <w:sz w:val="24"/>
              </w:rPr>
              <w:t xml:space="preserve">ave to defend the </w:t>
            </w:r>
            <w:r>
              <w:rPr>
                <w:rFonts w:ascii="Arial" w:hAnsi="Arial" w:cs="Arial"/>
                <w:sz w:val="24"/>
              </w:rPr>
              <w:t>plaintiff</w:t>
            </w:r>
            <w:r w:rsidR="00517F41">
              <w:rPr>
                <w:rFonts w:ascii="Arial" w:hAnsi="Arial" w:cs="Arial"/>
                <w:sz w:val="24"/>
              </w:rPr>
              <w:t>’s claim for damages.</w:t>
            </w:r>
          </w:p>
          <w:p w14:paraId="44214979" w14:textId="77777777" w:rsidR="00D73DDE" w:rsidRDefault="00D73DDE" w:rsidP="00D73DDE">
            <w:pPr>
              <w:pStyle w:val="ListParagraph"/>
              <w:spacing w:after="200" w:line="360" w:lineRule="auto"/>
              <w:ind w:left="1126"/>
              <w:jc w:val="both"/>
              <w:rPr>
                <w:rFonts w:ascii="Arial" w:hAnsi="Arial" w:cs="Arial"/>
                <w:sz w:val="24"/>
              </w:rPr>
            </w:pPr>
          </w:p>
          <w:p w14:paraId="26F9230D" w14:textId="5EBAECF5" w:rsidR="00D73DDE" w:rsidRPr="00D73DDE" w:rsidRDefault="00D73DDE" w:rsidP="00D73DDE">
            <w:pPr>
              <w:pStyle w:val="ListParagraph"/>
              <w:numPr>
                <w:ilvl w:val="0"/>
                <w:numId w:val="36"/>
              </w:numPr>
              <w:spacing w:after="200" w:line="360" w:lineRule="auto"/>
              <w:ind w:left="1126" w:hanging="567"/>
              <w:jc w:val="both"/>
              <w:rPr>
                <w:rFonts w:ascii="Arial" w:hAnsi="Arial" w:cs="Arial"/>
                <w:sz w:val="24"/>
              </w:rPr>
            </w:pPr>
            <w:r>
              <w:rPr>
                <w:rFonts w:ascii="Arial" w:hAnsi="Arial" w:cs="Arial"/>
                <w:sz w:val="24"/>
              </w:rPr>
              <w:t>The defendant is ordered to pay the plaintiff’s costs of this application, which shall be limited under rule 32(11).</w:t>
            </w:r>
          </w:p>
          <w:p w14:paraId="72AB55C4" w14:textId="77777777" w:rsidR="00D73DDE" w:rsidRDefault="00D73DDE" w:rsidP="00D73DDE">
            <w:pPr>
              <w:pStyle w:val="ListParagraph"/>
              <w:spacing w:line="360" w:lineRule="auto"/>
              <w:ind w:left="1134"/>
              <w:jc w:val="both"/>
              <w:rPr>
                <w:rFonts w:ascii="Arial" w:hAnsi="Arial" w:cs="Arial"/>
                <w:sz w:val="24"/>
              </w:rPr>
            </w:pPr>
          </w:p>
          <w:p w14:paraId="3206285B" w14:textId="77777777" w:rsidR="00D73DDE" w:rsidRDefault="00D73DDE" w:rsidP="00D73DDE">
            <w:pPr>
              <w:pStyle w:val="ListParagraph"/>
              <w:numPr>
                <w:ilvl w:val="0"/>
                <w:numId w:val="36"/>
              </w:numPr>
              <w:spacing w:after="200" w:line="360" w:lineRule="auto"/>
              <w:ind w:left="1126" w:hanging="567"/>
              <w:jc w:val="both"/>
              <w:rPr>
                <w:rFonts w:ascii="Arial" w:hAnsi="Arial" w:cs="Arial"/>
                <w:sz w:val="24"/>
              </w:rPr>
            </w:pPr>
            <w:r>
              <w:rPr>
                <w:rFonts w:ascii="Arial" w:hAnsi="Arial" w:cs="Arial"/>
                <w:sz w:val="24"/>
              </w:rPr>
              <w:t xml:space="preserve">The matter is postponed to </w:t>
            </w:r>
            <w:r>
              <w:rPr>
                <w:rFonts w:ascii="Arial" w:hAnsi="Arial" w:cs="Arial"/>
                <w:b/>
                <w:sz w:val="24"/>
              </w:rPr>
              <w:t>8 April 2024</w:t>
            </w:r>
            <w:r>
              <w:rPr>
                <w:rFonts w:ascii="Arial" w:hAnsi="Arial" w:cs="Arial"/>
                <w:sz w:val="24"/>
              </w:rPr>
              <w:t xml:space="preserve"> at </w:t>
            </w:r>
            <w:r>
              <w:rPr>
                <w:rFonts w:ascii="Arial" w:hAnsi="Arial" w:cs="Arial"/>
                <w:b/>
                <w:sz w:val="24"/>
              </w:rPr>
              <w:t>15h30</w:t>
            </w:r>
            <w:r>
              <w:rPr>
                <w:rFonts w:ascii="Arial" w:hAnsi="Arial" w:cs="Arial"/>
                <w:sz w:val="24"/>
              </w:rPr>
              <w:t xml:space="preserve"> for a case planning conference.</w:t>
            </w:r>
          </w:p>
          <w:p w14:paraId="3146F11E" w14:textId="77777777" w:rsidR="00D73DDE" w:rsidRPr="004567B5" w:rsidRDefault="00D73DDE" w:rsidP="00D73DDE">
            <w:pPr>
              <w:pStyle w:val="ListParagraph"/>
              <w:ind w:left="1126" w:hanging="567"/>
              <w:rPr>
                <w:rFonts w:ascii="Arial" w:hAnsi="Arial" w:cs="Arial"/>
                <w:sz w:val="24"/>
              </w:rPr>
            </w:pPr>
          </w:p>
          <w:p w14:paraId="367E0A01" w14:textId="77C78B5F" w:rsidR="00D73DDE" w:rsidRPr="00D73DDE" w:rsidRDefault="00D73DDE" w:rsidP="00D73DDE">
            <w:pPr>
              <w:pStyle w:val="ListParagraph"/>
              <w:numPr>
                <w:ilvl w:val="0"/>
                <w:numId w:val="36"/>
              </w:numPr>
              <w:spacing w:after="200" w:line="360" w:lineRule="auto"/>
              <w:ind w:left="1126" w:hanging="567"/>
              <w:jc w:val="both"/>
              <w:rPr>
                <w:rFonts w:ascii="Arial" w:hAnsi="Arial" w:cs="Arial"/>
                <w:sz w:val="24"/>
              </w:rPr>
            </w:pPr>
            <w:r>
              <w:rPr>
                <w:rFonts w:ascii="Arial" w:hAnsi="Arial" w:cs="Arial"/>
                <w:sz w:val="24"/>
              </w:rPr>
              <w:t xml:space="preserve">The parties must file a joint case plan on or before </w:t>
            </w:r>
            <w:r>
              <w:rPr>
                <w:rFonts w:ascii="Arial" w:hAnsi="Arial" w:cs="Arial"/>
                <w:b/>
                <w:sz w:val="24"/>
              </w:rPr>
              <w:t>3 April 2024</w:t>
            </w:r>
            <w:r>
              <w:rPr>
                <w:rFonts w:ascii="Arial" w:hAnsi="Arial" w:cs="Arial"/>
                <w:sz w:val="24"/>
              </w:rPr>
              <w:t xml:space="preserve"> at </w:t>
            </w:r>
            <w:r>
              <w:rPr>
                <w:rFonts w:ascii="Arial" w:hAnsi="Arial" w:cs="Arial"/>
                <w:b/>
                <w:sz w:val="24"/>
              </w:rPr>
              <w:t>15h</w:t>
            </w:r>
            <w:r w:rsidR="00FE2EA3">
              <w:rPr>
                <w:rFonts w:ascii="Arial" w:hAnsi="Arial" w:cs="Arial"/>
                <w:b/>
                <w:sz w:val="24"/>
              </w:rPr>
              <w:t>0</w:t>
            </w:r>
            <w:r>
              <w:rPr>
                <w:rFonts w:ascii="Arial" w:hAnsi="Arial" w:cs="Arial"/>
                <w:b/>
                <w:sz w:val="24"/>
              </w:rPr>
              <w:t>0</w:t>
            </w:r>
            <w:r>
              <w:rPr>
                <w:rFonts w:ascii="Arial" w:hAnsi="Arial" w:cs="Arial"/>
                <w:sz w:val="24"/>
              </w:rPr>
              <w:t>.</w:t>
            </w:r>
          </w:p>
          <w:p w14:paraId="47E3946C" w14:textId="301C3A93" w:rsidR="00D73DDE" w:rsidRPr="00D73DDE" w:rsidRDefault="00D73DDE" w:rsidP="00D73DDE">
            <w:pPr>
              <w:pStyle w:val="ListParagraph"/>
              <w:spacing w:after="200" w:line="360" w:lineRule="auto"/>
              <w:ind w:left="1134"/>
              <w:jc w:val="both"/>
              <w:rPr>
                <w:rFonts w:ascii="Arial" w:hAnsi="Arial" w:cs="Arial"/>
                <w:sz w:val="24"/>
              </w:rPr>
            </w:pPr>
          </w:p>
        </w:tc>
      </w:tr>
      <w:tr w:rsidR="001D6B3F" w:rsidRPr="001D6B3F" w14:paraId="2BD02CF8" w14:textId="77777777" w:rsidTr="00004108">
        <w:tc>
          <w:tcPr>
            <w:tcW w:w="10476" w:type="dxa"/>
            <w:gridSpan w:val="3"/>
          </w:tcPr>
          <w:p w14:paraId="06314928" w14:textId="314A4661" w:rsidR="009C2E53" w:rsidRPr="001D6B3F" w:rsidRDefault="005163E0" w:rsidP="007A6C9F">
            <w:pPr>
              <w:spacing w:line="360" w:lineRule="auto"/>
              <w:jc w:val="both"/>
              <w:rPr>
                <w:rFonts w:ascii="Arial" w:hAnsi="Arial" w:cs="Arial"/>
                <w:b/>
                <w:sz w:val="24"/>
                <w:szCs w:val="24"/>
              </w:rPr>
            </w:pPr>
            <w:r>
              <w:rPr>
                <w:rFonts w:ascii="Arial" w:hAnsi="Arial" w:cs="Arial"/>
                <w:b/>
                <w:sz w:val="24"/>
                <w:szCs w:val="24"/>
              </w:rPr>
              <w:lastRenderedPageBreak/>
              <w:t>R</w:t>
            </w:r>
            <w:r w:rsidR="00554726">
              <w:rPr>
                <w:rFonts w:ascii="Arial" w:hAnsi="Arial" w:cs="Arial"/>
                <w:b/>
                <w:sz w:val="24"/>
                <w:szCs w:val="24"/>
              </w:rPr>
              <w:t>easons</w:t>
            </w:r>
            <w:r w:rsidR="009C2E53" w:rsidRPr="001D6B3F">
              <w:rPr>
                <w:rFonts w:ascii="Arial" w:hAnsi="Arial" w:cs="Arial"/>
                <w:b/>
                <w:sz w:val="24"/>
                <w:szCs w:val="24"/>
              </w:rPr>
              <w:t>:</w:t>
            </w:r>
          </w:p>
        </w:tc>
      </w:tr>
      <w:tr w:rsidR="001D6B3F" w:rsidRPr="001D6B3F" w14:paraId="108B7EFD" w14:textId="77777777" w:rsidTr="00004108">
        <w:tc>
          <w:tcPr>
            <w:tcW w:w="10476" w:type="dxa"/>
            <w:gridSpan w:val="3"/>
          </w:tcPr>
          <w:p w14:paraId="3CD1EDFE" w14:textId="77777777" w:rsidR="00931E2D" w:rsidRDefault="00931E2D" w:rsidP="00931E2D">
            <w:pPr>
              <w:spacing w:line="360" w:lineRule="auto"/>
              <w:jc w:val="both"/>
              <w:rPr>
                <w:rFonts w:ascii="Arial" w:hAnsi="Arial" w:cs="Arial"/>
                <w:sz w:val="24"/>
                <w:szCs w:val="24"/>
                <w:lang w:val="af-ZA"/>
              </w:rPr>
            </w:pPr>
          </w:p>
          <w:p w14:paraId="145A95D8" w14:textId="77777777" w:rsidR="00097233" w:rsidRDefault="00B94A6E" w:rsidP="00BF46CD">
            <w:pPr>
              <w:spacing w:line="360" w:lineRule="auto"/>
              <w:jc w:val="both"/>
              <w:rPr>
                <w:rFonts w:ascii="Arial" w:hAnsi="Arial" w:cs="Arial"/>
                <w:sz w:val="24"/>
                <w:szCs w:val="24"/>
                <w:lang w:val="af-ZA"/>
              </w:rPr>
            </w:pPr>
            <w:r>
              <w:rPr>
                <w:rFonts w:ascii="Arial" w:hAnsi="Arial" w:cs="Arial"/>
                <w:sz w:val="24"/>
                <w:szCs w:val="24"/>
                <w:lang w:val="af-ZA"/>
              </w:rPr>
              <w:t>SCHIMMING-CHASE J:</w:t>
            </w:r>
          </w:p>
          <w:p w14:paraId="7C9DEBBE" w14:textId="77777777" w:rsidR="00D73DDE" w:rsidRDefault="00D73DDE" w:rsidP="00BF46CD">
            <w:pPr>
              <w:spacing w:line="360" w:lineRule="auto"/>
              <w:jc w:val="both"/>
              <w:rPr>
                <w:rFonts w:ascii="Arial" w:hAnsi="Arial" w:cs="Arial"/>
                <w:sz w:val="24"/>
                <w:szCs w:val="24"/>
                <w:lang w:val="af-ZA"/>
              </w:rPr>
            </w:pPr>
          </w:p>
          <w:p w14:paraId="59601741" w14:textId="5A878269" w:rsidR="00D73DDE" w:rsidRPr="0041282B"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lang w:val="en-US"/>
              </w:rPr>
              <w:t xml:space="preserve">Serving before court is an application for summary judgment lodged on 2 November 2023 by the plaintiff, Piet Basson, a major male pensioner residing at </w:t>
            </w:r>
            <w:proofErr w:type="spellStart"/>
            <w:r>
              <w:rPr>
                <w:rFonts w:ascii="Arial" w:hAnsi="Arial" w:cs="Arial"/>
                <w:sz w:val="24"/>
                <w:lang w:val="en-US"/>
              </w:rPr>
              <w:t>Erf</w:t>
            </w:r>
            <w:proofErr w:type="spellEnd"/>
            <w:r>
              <w:rPr>
                <w:rFonts w:ascii="Arial" w:hAnsi="Arial" w:cs="Arial"/>
                <w:sz w:val="24"/>
                <w:lang w:val="en-US"/>
              </w:rPr>
              <w:t xml:space="preserve"> 732, </w:t>
            </w:r>
            <w:proofErr w:type="spellStart"/>
            <w:r>
              <w:rPr>
                <w:rFonts w:ascii="Arial" w:hAnsi="Arial" w:cs="Arial"/>
                <w:sz w:val="24"/>
                <w:lang w:val="en-US"/>
              </w:rPr>
              <w:t>Sonara</w:t>
            </w:r>
            <w:proofErr w:type="spellEnd"/>
            <w:r>
              <w:rPr>
                <w:rFonts w:ascii="Arial" w:hAnsi="Arial" w:cs="Arial"/>
                <w:sz w:val="24"/>
                <w:lang w:val="en-US"/>
              </w:rPr>
              <w:t xml:space="preserve">, </w:t>
            </w:r>
            <w:proofErr w:type="spellStart"/>
            <w:r>
              <w:rPr>
                <w:rFonts w:ascii="Arial" w:hAnsi="Arial" w:cs="Arial"/>
                <w:sz w:val="24"/>
                <w:lang w:val="en-US"/>
              </w:rPr>
              <w:t>Aranos</w:t>
            </w:r>
            <w:proofErr w:type="spellEnd"/>
            <w:r>
              <w:rPr>
                <w:rFonts w:ascii="Arial" w:hAnsi="Arial" w:cs="Arial"/>
                <w:sz w:val="24"/>
                <w:lang w:val="en-US"/>
              </w:rPr>
              <w:t xml:space="preserve">, Namibia. The defendant is Jan </w:t>
            </w:r>
            <w:proofErr w:type="spellStart"/>
            <w:r>
              <w:rPr>
                <w:rFonts w:ascii="Arial" w:hAnsi="Arial" w:cs="Arial"/>
                <w:sz w:val="24"/>
                <w:lang w:val="en-US"/>
              </w:rPr>
              <w:t>Jarson</w:t>
            </w:r>
            <w:proofErr w:type="spellEnd"/>
            <w:r>
              <w:rPr>
                <w:rFonts w:ascii="Arial" w:hAnsi="Arial" w:cs="Arial"/>
                <w:sz w:val="24"/>
                <w:lang w:val="en-US"/>
              </w:rPr>
              <w:t xml:space="preserve">, a major male currently residing at No 78, </w:t>
            </w:r>
            <w:proofErr w:type="spellStart"/>
            <w:r>
              <w:rPr>
                <w:rFonts w:ascii="Arial" w:hAnsi="Arial" w:cs="Arial"/>
                <w:sz w:val="24"/>
                <w:lang w:val="en-US"/>
              </w:rPr>
              <w:t>Hoogenhoud</w:t>
            </w:r>
            <w:proofErr w:type="spellEnd"/>
            <w:r>
              <w:rPr>
                <w:rFonts w:ascii="Arial" w:hAnsi="Arial" w:cs="Arial"/>
                <w:sz w:val="24"/>
                <w:lang w:val="en-US"/>
              </w:rPr>
              <w:t xml:space="preserve"> Street, </w:t>
            </w:r>
            <w:proofErr w:type="spellStart"/>
            <w:r>
              <w:rPr>
                <w:rFonts w:ascii="Arial" w:hAnsi="Arial" w:cs="Arial"/>
                <w:sz w:val="24"/>
                <w:lang w:val="en-US"/>
              </w:rPr>
              <w:t>Aranos</w:t>
            </w:r>
            <w:proofErr w:type="spellEnd"/>
            <w:r>
              <w:rPr>
                <w:rFonts w:ascii="Arial" w:hAnsi="Arial" w:cs="Arial"/>
                <w:sz w:val="24"/>
                <w:lang w:val="en-US"/>
              </w:rPr>
              <w:t>, Namibia, who opposes this summary judgment application.</w:t>
            </w:r>
          </w:p>
          <w:p w14:paraId="56690A48" w14:textId="77777777" w:rsidR="00D73DDE" w:rsidRPr="0041282B" w:rsidRDefault="00D73DDE" w:rsidP="00D73DDE">
            <w:pPr>
              <w:pStyle w:val="ListParagraph"/>
              <w:spacing w:line="360" w:lineRule="auto"/>
              <w:ind w:left="0"/>
              <w:jc w:val="both"/>
              <w:rPr>
                <w:rFonts w:ascii="Arial" w:hAnsi="Arial" w:cs="Arial"/>
                <w:sz w:val="24"/>
              </w:rPr>
            </w:pPr>
          </w:p>
          <w:p w14:paraId="47595D40" w14:textId="04C99222" w:rsidR="00D73DDE"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 xml:space="preserve">The plaintiff instituted action against the defendant on 15 September 2023, alleging that he is the registered owner of </w:t>
            </w:r>
            <w:proofErr w:type="spellStart"/>
            <w:r>
              <w:rPr>
                <w:rFonts w:ascii="Arial" w:hAnsi="Arial" w:cs="Arial"/>
                <w:sz w:val="24"/>
              </w:rPr>
              <w:t>Erf</w:t>
            </w:r>
            <w:proofErr w:type="spellEnd"/>
            <w:r>
              <w:rPr>
                <w:rFonts w:ascii="Arial" w:hAnsi="Arial" w:cs="Arial"/>
                <w:sz w:val="24"/>
              </w:rPr>
              <w:t xml:space="preserve"> 124, </w:t>
            </w:r>
            <w:proofErr w:type="spellStart"/>
            <w:r>
              <w:rPr>
                <w:rFonts w:ascii="Arial" w:hAnsi="Arial" w:cs="Arial"/>
                <w:sz w:val="24"/>
              </w:rPr>
              <w:t>Sonara</w:t>
            </w:r>
            <w:proofErr w:type="spellEnd"/>
            <w:r>
              <w:rPr>
                <w:rFonts w:ascii="Arial" w:hAnsi="Arial" w:cs="Arial"/>
                <w:sz w:val="24"/>
              </w:rPr>
              <w:t xml:space="preserve">, Handel Street, </w:t>
            </w:r>
            <w:proofErr w:type="spellStart"/>
            <w:r>
              <w:rPr>
                <w:rFonts w:ascii="Arial" w:hAnsi="Arial" w:cs="Arial"/>
                <w:sz w:val="24"/>
              </w:rPr>
              <w:t>Aranos</w:t>
            </w:r>
            <w:proofErr w:type="spellEnd"/>
            <w:r>
              <w:rPr>
                <w:rFonts w:ascii="Arial" w:hAnsi="Arial" w:cs="Arial"/>
                <w:sz w:val="24"/>
              </w:rPr>
              <w:t xml:space="preserve">, Namibia (‘the property’). He attaches a copy of the title </w:t>
            </w:r>
            <w:r w:rsidR="003B5001">
              <w:rPr>
                <w:rFonts w:ascii="Arial" w:hAnsi="Arial" w:cs="Arial"/>
                <w:sz w:val="24"/>
              </w:rPr>
              <w:t>deed to</w:t>
            </w:r>
            <w:r>
              <w:rPr>
                <w:rFonts w:ascii="Arial" w:hAnsi="Arial" w:cs="Arial"/>
                <w:sz w:val="24"/>
              </w:rPr>
              <w:t xml:space="preserve"> the property to his particulars of claim</w:t>
            </w:r>
            <w:r w:rsidR="00517F41">
              <w:rPr>
                <w:rFonts w:ascii="Arial" w:hAnsi="Arial" w:cs="Arial"/>
                <w:sz w:val="24"/>
              </w:rPr>
              <w:t>.</w:t>
            </w:r>
            <w:r>
              <w:rPr>
                <w:rFonts w:ascii="Arial" w:hAnsi="Arial" w:cs="Arial"/>
                <w:sz w:val="24"/>
              </w:rPr>
              <w:t xml:space="preserve"> The plaintiff further alleges that since 1 April 2019, the defendant has unlawfully occupied the property without a valid written and/or oral lease agreement and without the plaintiff’s consent. As a result, the plaintiff is apparently suffering damages of N$7000 per month since 1 April 2019 and continues to suffer such damages.</w:t>
            </w:r>
          </w:p>
          <w:p w14:paraId="2AE41E1B" w14:textId="77777777" w:rsidR="00D73DDE" w:rsidRPr="00D73DDE" w:rsidRDefault="00D73DDE" w:rsidP="00D73DDE">
            <w:pPr>
              <w:pStyle w:val="ListParagraph"/>
            </w:pPr>
          </w:p>
          <w:p w14:paraId="16BC4027" w14:textId="4A5B47F3" w:rsidR="00D73DDE"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 xml:space="preserve">Summarily, the plaintiff seeks the eviction of the defendant (or any other person in occupation and/or possession of the property) from the property together with payment of </w:t>
            </w:r>
            <w:r>
              <w:rPr>
                <w:rFonts w:ascii="Arial" w:hAnsi="Arial" w:cs="Arial"/>
                <w:sz w:val="24"/>
              </w:rPr>
              <w:lastRenderedPageBreak/>
              <w:t>N$7000 per month as of 1 April 2019 to date of eviction plus interest of 20 per cent per annum as of 1 April 2019 to date of eviction and legal costs.</w:t>
            </w:r>
          </w:p>
          <w:p w14:paraId="4EF5E365" w14:textId="77777777" w:rsidR="00D73DDE" w:rsidRPr="0041282B" w:rsidRDefault="00D73DDE" w:rsidP="00D73DDE">
            <w:pPr>
              <w:pStyle w:val="ListParagraph"/>
              <w:rPr>
                <w:rFonts w:ascii="Arial" w:hAnsi="Arial" w:cs="Arial"/>
                <w:sz w:val="24"/>
              </w:rPr>
            </w:pPr>
          </w:p>
          <w:p w14:paraId="4A21819E" w14:textId="198C759E" w:rsidR="00D73DDE"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 xml:space="preserve">The defendant </w:t>
            </w:r>
            <w:r w:rsidR="00FE2EA3">
              <w:rPr>
                <w:rFonts w:ascii="Arial" w:hAnsi="Arial" w:cs="Arial"/>
                <w:sz w:val="24"/>
              </w:rPr>
              <w:t>defended</w:t>
            </w:r>
            <w:r>
              <w:rPr>
                <w:rFonts w:ascii="Arial" w:hAnsi="Arial" w:cs="Arial"/>
                <w:sz w:val="24"/>
              </w:rPr>
              <w:t xml:space="preserve"> the main action on 29 September 2023. On 23 October 2023, having considered the parties joint case plan filed of record on 18 October 2023, the court recorded that the plaintiff intends to apply for</w:t>
            </w:r>
            <w:r w:rsidR="00D03B1D">
              <w:rPr>
                <w:rFonts w:ascii="Arial" w:hAnsi="Arial" w:cs="Arial"/>
                <w:sz w:val="24"/>
              </w:rPr>
              <w:t xml:space="preserve"> summary judg</w:t>
            </w:r>
            <w:r w:rsidR="005D573C">
              <w:rPr>
                <w:rFonts w:ascii="Arial" w:hAnsi="Arial" w:cs="Arial"/>
                <w:sz w:val="24"/>
              </w:rPr>
              <w:t xml:space="preserve">ment but that </w:t>
            </w:r>
            <w:r>
              <w:rPr>
                <w:rFonts w:ascii="Arial" w:hAnsi="Arial" w:cs="Arial"/>
                <w:sz w:val="24"/>
              </w:rPr>
              <w:t xml:space="preserve">summary judgment cannot be applied for in </w:t>
            </w:r>
            <w:r w:rsidR="00517F41">
              <w:rPr>
                <w:rFonts w:ascii="Arial" w:hAnsi="Arial" w:cs="Arial"/>
                <w:sz w:val="24"/>
              </w:rPr>
              <w:t>the damages claim, as it is not a liquidated amount as envisaged by rule 60(1).</w:t>
            </w:r>
            <w:r>
              <w:rPr>
                <w:rFonts w:ascii="Arial" w:hAnsi="Arial" w:cs="Arial"/>
                <w:sz w:val="24"/>
              </w:rPr>
              <w:t xml:space="preserve"> The court </w:t>
            </w:r>
            <w:r w:rsidR="00517F41">
              <w:rPr>
                <w:rFonts w:ascii="Arial" w:hAnsi="Arial" w:cs="Arial"/>
                <w:sz w:val="24"/>
              </w:rPr>
              <w:t xml:space="preserve">then </w:t>
            </w:r>
            <w:r>
              <w:rPr>
                <w:rFonts w:ascii="Arial" w:hAnsi="Arial" w:cs="Arial"/>
                <w:sz w:val="24"/>
              </w:rPr>
              <w:t xml:space="preserve">issued directions </w:t>
            </w:r>
            <w:r w:rsidR="00517F41">
              <w:rPr>
                <w:rFonts w:ascii="Arial" w:hAnsi="Arial" w:cs="Arial"/>
                <w:sz w:val="24"/>
              </w:rPr>
              <w:t xml:space="preserve">for </w:t>
            </w:r>
            <w:r>
              <w:rPr>
                <w:rFonts w:ascii="Arial" w:hAnsi="Arial" w:cs="Arial"/>
                <w:sz w:val="24"/>
              </w:rPr>
              <w:t>the plaintiff’s summary judgment application.</w:t>
            </w:r>
          </w:p>
          <w:p w14:paraId="027661C5" w14:textId="77777777" w:rsidR="00D73DDE" w:rsidRPr="002B7733" w:rsidRDefault="00D73DDE" w:rsidP="00D73DDE">
            <w:pPr>
              <w:pStyle w:val="ListParagraph"/>
              <w:rPr>
                <w:rFonts w:ascii="Arial" w:hAnsi="Arial" w:cs="Arial"/>
                <w:sz w:val="24"/>
              </w:rPr>
            </w:pPr>
          </w:p>
          <w:p w14:paraId="12916E1A" w14:textId="79EFBEF1" w:rsidR="00D73DDE"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 xml:space="preserve">The plaintiff lodged his summary judgment application on 2 November 2023, and despite my </w:t>
            </w:r>
            <w:proofErr w:type="spellStart"/>
            <w:r>
              <w:rPr>
                <w:rFonts w:ascii="Arial" w:hAnsi="Arial" w:cs="Arial"/>
                <w:sz w:val="24"/>
              </w:rPr>
              <w:t>recordal</w:t>
            </w:r>
            <w:proofErr w:type="spellEnd"/>
            <w:r>
              <w:rPr>
                <w:rFonts w:ascii="Arial" w:hAnsi="Arial" w:cs="Arial"/>
                <w:sz w:val="24"/>
              </w:rPr>
              <w:t xml:space="preserve"> on 23 October 2023 that the plaintiff cannot apply for summary judgment for the damages claim, the plaintiff </w:t>
            </w:r>
            <w:r w:rsidR="00517F41">
              <w:rPr>
                <w:rFonts w:ascii="Arial" w:hAnsi="Arial" w:cs="Arial"/>
                <w:sz w:val="24"/>
              </w:rPr>
              <w:t xml:space="preserve">still sought </w:t>
            </w:r>
            <w:r>
              <w:rPr>
                <w:rFonts w:ascii="Arial" w:hAnsi="Arial" w:cs="Arial"/>
                <w:sz w:val="24"/>
              </w:rPr>
              <w:t>summary judgment on the damages claim alongside an order for the eviction of the defendant</w:t>
            </w:r>
            <w:r w:rsidR="00517F41">
              <w:rPr>
                <w:rFonts w:ascii="Arial" w:hAnsi="Arial" w:cs="Arial"/>
                <w:sz w:val="24"/>
              </w:rPr>
              <w:t xml:space="preserve"> (</w:t>
            </w:r>
            <w:r w:rsidR="00FE2EA3">
              <w:rPr>
                <w:rFonts w:ascii="Arial" w:hAnsi="Arial" w:cs="Arial"/>
                <w:sz w:val="24"/>
              </w:rPr>
              <w:t>a</w:t>
            </w:r>
            <w:r w:rsidR="00517F41">
              <w:rPr>
                <w:rFonts w:ascii="Arial" w:hAnsi="Arial" w:cs="Arial"/>
                <w:sz w:val="24"/>
              </w:rPr>
              <w:t>nd others)</w:t>
            </w:r>
            <w:r>
              <w:rPr>
                <w:rFonts w:ascii="Arial" w:hAnsi="Arial" w:cs="Arial"/>
                <w:sz w:val="24"/>
              </w:rPr>
              <w:t xml:space="preserve"> from the property.</w:t>
            </w:r>
          </w:p>
          <w:p w14:paraId="7039A360" w14:textId="77777777" w:rsidR="00D73DDE" w:rsidRPr="002B7733" w:rsidRDefault="00D73DDE" w:rsidP="00D73DDE">
            <w:pPr>
              <w:pStyle w:val="ListParagraph"/>
              <w:rPr>
                <w:rFonts w:ascii="Arial" w:hAnsi="Arial" w:cs="Arial"/>
                <w:sz w:val="24"/>
              </w:rPr>
            </w:pPr>
          </w:p>
          <w:p w14:paraId="6E3D991A" w14:textId="25446344" w:rsidR="00D73DDE"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 xml:space="preserve">The defendant delivered an opposing affidavit on 17 November 2023 and denies that he entered an appearance for the sole reason to delay the proceedings; denying further that he does not have a bona fide defence to the plaintiff’s claim. </w:t>
            </w:r>
            <w:r w:rsidR="00517F41">
              <w:rPr>
                <w:rFonts w:ascii="Arial" w:hAnsi="Arial" w:cs="Arial"/>
                <w:sz w:val="24"/>
              </w:rPr>
              <w:t xml:space="preserve">The defendant’s </w:t>
            </w:r>
            <w:r w:rsidR="00FE2EA3">
              <w:rPr>
                <w:rFonts w:ascii="Arial" w:hAnsi="Arial" w:cs="Arial"/>
                <w:sz w:val="24"/>
              </w:rPr>
              <w:t>grounds for opposition are that</w:t>
            </w:r>
            <w:r>
              <w:rPr>
                <w:rFonts w:ascii="Arial" w:hAnsi="Arial" w:cs="Arial"/>
                <w:sz w:val="24"/>
              </w:rPr>
              <w:t xml:space="preserve"> the parties concluded an oral agreement during April 2014 </w:t>
            </w:r>
            <w:r w:rsidR="00517F41">
              <w:rPr>
                <w:rFonts w:ascii="Arial" w:hAnsi="Arial" w:cs="Arial"/>
                <w:sz w:val="24"/>
              </w:rPr>
              <w:t>in terms of which</w:t>
            </w:r>
            <w:r>
              <w:rPr>
                <w:rFonts w:ascii="Arial" w:hAnsi="Arial" w:cs="Arial"/>
                <w:sz w:val="24"/>
              </w:rPr>
              <w:t xml:space="preserve"> the plaintiff would sell to the defendant, who would purchase the property for N$200 000</w:t>
            </w:r>
            <w:r w:rsidR="003B5001">
              <w:rPr>
                <w:rFonts w:ascii="Arial" w:hAnsi="Arial" w:cs="Arial"/>
                <w:sz w:val="24"/>
              </w:rPr>
              <w:t>,</w:t>
            </w:r>
            <w:r>
              <w:rPr>
                <w:rFonts w:ascii="Arial" w:hAnsi="Arial" w:cs="Arial"/>
                <w:sz w:val="24"/>
              </w:rPr>
              <w:t xml:space="preserve"> payable in cash. It is alleged by the defendant further that in addition to the purchase of the property, he purchased a Volkswagen Jetta 3 motor vehicle from the plaintiff which was valued at N$50 000. He alleges that the money was paid and the </w:t>
            </w:r>
            <w:r w:rsidR="00DA3781">
              <w:rPr>
                <w:rFonts w:ascii="Arial" w:hAnsi="Arial" w:cs="Arial"/>
                <w:sz w:val="24"/>
              </w:rPr>
              <w:t>plaintiff delivered the vehicle</w:t>
            </w:r>
            <w:r>
              <w:rPr>
                <w:rFonts w:ascii="Arial" w:hAnsi="Arial" w:cs="Arial"/>
                <w:sz w:val="24"/>
              </w:rPr>
              <w:t xml:space="preserve">. Neither proof of payment nor </w:t>
            </w:r>
            <w:r w:rsidR="005D573C">
              <w:rPr>
                <w:rFonts w:ascii="Arial" w:hAnsi="Arial" w:cs="Arial"/>
                <w:sz w:val="24"/>
              </w:rPr>
              <w:t xml:space="preserve">proof of </w:t>
            </w:r>
            <w:r>
              <w:rPr>
                <w:rFonts w:ascii="Arial" w:hAnsi="Arial" w:cs="Arial"/>
                <w:sz w:val="24"/>
              </w:rPr>
              <w:t>the delivery of the vehicle to him was provided to the court by the defendant.</w:t>
            </w:r>
          </w:p>
          <w:p w14:paraId="4C2764C5" w14:textId="77777777" w:rsidR="00D73DDE" w:rsidRPr="002B7733" w:rsidRDefault="00D73DDE" w:rsidP="00D73DDE">
            <w:pPr>
              <w:pStyle w:val="ListParagraph"/>
              <w:rPr>
                <w:rFonts w:ascii="Arial" w:hAnsi="Arial" w:cs="Arial"/>
                <w:sz w:val="24"/>
              </w:rPr>
            </w:pPr>
          </w:p>
          <w:p w14:paraId="1E51A9D1" w14:textId="3C88E8D8" w:rsidR="00D73DDE"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The defendant further deposes that the purpose for purchasing the property was to conduct a bar</w:t>
            </w:r>
            <w:r w:rsidR="00DA3781">
              <w:rPr>
                <w:rFonts w:ascii="Arial" w:hAnsi="Arial" w:cs="Arial"/>
                <w:sz w:val="24"/>
              </w:rPr>
              <w:t>,</w:t>
            </w:r>
            <w:r>
              <w:rPr>
                <w:rFonts w:ascii="Arial" w:hAnsi="Arial" w:cs="Arial"/>
                <w:sz w:val="24"/>
              </w:rPr>
              <w:t xml:space="preserve"> and upon purchasing the p</w:t>
            </w:r>
            <w:r w:rsidR="00FE2EA3">
              <w:rPr>
                <w:rFonts w:ascii="Arial" w:hAnsi="Arial" w:cs="Arial"/>
                <w:sz w:val="24"/>
              </w:rPr>
              <w:t xml:space="preserve">roperty he commenced trading in the </w:t>
            </w:r>
            <w:r>
              <w:rPr>
                <w:rFonts w:ascii="Arial" w:hAnsi="Arial" w:cs="Arial"/>
                <w:sz w:val="24"/>
              </w:rPr>
              <w:t>bar until 14 July 2023</w:t>
            </w:r>
            <w:r w:rsidR="00D03B1D">
              <w:rPr>
                <w:rFonts w:ascii="Arial" w:hAnsi="Arial" w:cs="Arial"/>
                <w:sz w:val="24"/>
              </w:rPr>
              <w:t>,</w:t>
            </w:r>
            <w:r>
              <w:rPr>
                <w:rFonts w:ascii="Arial" w:hAnsi="Arial" w:cs="Arial"/>
                <w:sz w:val="24"/>
              </w:rPr>
              <w:t xml:space="preserve"> when he was apparently unlawfully evicted from the property. He acknowledges that at the time of the conclusion of the apparent oral agreement regarding the purchasing of the property, neither he nor the plaintiff had knowledge of the law surrounding the purchasing of immovable property and he was only informed of the correct legal position regarding purchasing of immovable property by his legal practitioners of record. In this regard, the defendant’s position is </w:t>
            </w:r>
            <w:r>
              <w:rPr>
                <w:rFonts w:ascii="Arial" w:hAnsi="Arial" w:cs="Arial"/>
                <w:sz w:val="24"/>
              </w:rPr>
              <w:lastRenderedPageBreak/>
              <w:t>that he intends to bring a counterclaim to rectify the supposed oral agreement to have the same reduced to writing in li</w:t>
            </w:r>
            <w:r w:rsidR="005D573C">
              <w:rPr>
                <w:rFonts w:ascii="Arial" w:hAnsi="Arial" w:cs="Arial"/>
                <w:sz w:val="24"/>
              </w:rPr>
              <w:t>ne with the relevant statute</w:t>
            </w:r>
            <w:r>
              <w:rPr>
                <w:rFonts w:ascii="Arial" w:hAnsi="Arial" w:cs="Arial"/>
                <w:sz w:val="24"/>
              </w:rPr>
              <w:t>. He admits that he does not have a lease agreement regarding the property with the plaintiff but correctly points out that this can only be ventilated at trial stage.</w:t>
            </w:r>
          </w:p>
          <w:p w14:paraId="3DEC7F02" w14:textId="77777777" w:rsidR="00D73DDE" w:rsidRPr="002B7733" w:rsidRDefault="00D73DDE" w:rsidP="00D73DDE">
            <w:pPr>
              <w:pStyle w:val="ListParagraph"/>
              <w:rPr>
                <w:rFonts w:ascii="Arial" w:hAnsi="Arial" w:cs="Arial"/>
                <w:sz w:val="24"/>
              </w:rPr>
            </w:pPr>
          </w:p>
          <w:p w14:paraId="34D13F87" w14:textId="4D15A2FD" w:rsidR="00D73DDE"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 xml:space="preserve">It is the defendant’s further stance that he intends to bring a counterclaim for </w:t>
            </w:r>
            <w:proofErr w:type="spellStart"/>
            <w:r w:rsidRPr="002B7733">
              <w:rPr>
                <w:rFonts w:ascii="Arial" w:hAnsi="Arial" w:cs="Arial"/>
                <w:i/>
                <w:sz w:val="24"/>
              </w:rPr>
              <w:t>rei</w:t>
            </w:r>
            <w:proofErr w:type="spellEnd"/>
            <w:r w:rsidRPr="002B7733">
              <w:rPr>
                <w:rFonts w:ascii="Arial" w:hAnsi="Arial" w:cs="Arial"/>
                <w:i/>
                <w:sz w:val="24"/>
              </w:rPr>
              <w:t xml:space="preserve"> </w:t>
            </w:r>
            <w:proofErr w:type="spellStart"/>
            <w:r w:rsidRPr="002B7733">
              <w:rPr>
                <w:rFonts w:ascii="Arial" w:hAnsi="Arial" w:cs="Arial"/>
                <w:i/>
                <w:sz w:val="24"/>
              </w:rPr>
              <w:t>vindicatio</w:t>
            </w:r>
            <w:proofErr w:type="spellEnd"/>
            <w:r>
              <w:rPr>
                <w:rFonts w:ascii="Arial" w:hAnsi="Arial" w:cs="Arial"/>
                <w:sz w:val="24"/>
              </w:rPr>
              <w:t xml:space="preserve"> for the return of certain valuable items that the plaintiff was ordered to return to him by this court, </w:t>
            </w:r>
            <w:r>
              <w:rPr>
                <w:rFonts w:ascii="Arial" w:hAnsi="Arial" w:cs="Arial"/>
                <w:i/>
                <w:sz w:val="24"/>
              </w:rPr>
              <w:t>per</w:t>
            </w:r>
            <w:r>
              <w:rPr>
                <w:rFonts w:ascii="Arial" w:hAnsi="Arial" w:cs="Arial"/>
                <w:sz w:val="24"/>
              </w:rPr>
              <w:t xml:space="preserve"> Ueitele J, on 18 August 2023. He</w:t>
            </w:r>
            <w:r w:rsidR="00DA3781">
              <w:rPr>
                <w:rFonts w:ascii="Arial" w:hAnsi="Arial" w:cs="Arial"/>
                <w:sz w:val="24"/>
              </w:rPr>
              <w:t xml:space="preserve"> also</w:t>
            </w:r>
            <w:r>
              <w:rPr>
                <w:rFonts w:ascii="Arial" w:hAnsi="Arial" w:cs="Arial"/>
                <w:sz w:val="24"/>
              </w:rPr>
              <w:t xml:space="preserve"> intends to counterclaim against the plaintiff for contempt of court as a failure to comply with the court’s order of 18 August 2023. Lastly, he intends to bring a counterclaim of spoliation on the basis that after the plaintiff was ordered to restore possession of the property to him under the court order of Ueitele J, the plaintiff apparently unlawfully disconnected the water supply to the property by purportedly removing and withholding the water meter on 23 August 2023. </w:t>
            </w:r>
          </w:p>
          <w:p w14:paraId="5A7EE2AD" w14:textId="77777777" w:rsidR="00D73DDE" w:rsidRPr="00491844" w:rsidRDefault="00D73DDE" w:rsidP="00D73DDE">
            <w:pPr>
              <w:pStyle w:val="ListParagraph"/>
              <w:rPr>
                <w:rFonts w:ascii="Arial" w:hAnsi="Arial" w:cs="Arial"/>
                <w:sz w:val="24"/>
              </w:rPr>
            </w:pPr>
          </w:p>
          <w:p w14:paraId="50CAEF5F" w14:textId="77777777" w:rsidR="00D73DDE"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Resultantly, the defendant claims that he has bona fide defences to the plaintiff’s claim and seeks this court’s discretion to dismiss the plaintiff’s summary judgment application.</w:t>
            </w:r>
          </w:p>
          <w:p w14:paraId="144DF844" w14:textId="77777777" w:rsidR="00D73DDE" w:rsidRPr="00491844" w:rsidRDefault="00D73DDE" w:rsidP="00D73DDE">
            <w:pPr>
              <w:pStyle w:val="ListParagraph"/>
              <w:rPr>
                <w:rFonts w:ascii="Arial" w:hAnsi="Arial" w:cs="Arial"/>
                <w:sz w:val="24"/>
              </w:rPr>
            </w:pPr>
          </w:p>
          <w:p w14:paraId="0E39F9A2" w14:textId="16DCB030" w:rsidR="00D73DDE" w:rsidRDefault="00DA3781"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I</w:t>
            </w:r>
            <w:r w:rsidR="00D73DDE">
              <w:rPr>
                <w:rFonts w:ascii="Arial" w:hAnsi="Arial" w:cs="Arial"/>
                <w:sz w:val="24"/>
              </w:rPr>
              <w:t xml:space="preserve">t is only </w:t>
            </w:r>
            <w:r>
              <w:rPr>
                <w:rFonts w:ascii="Arial" w:hAnsi="Arial" w:cs="Arial"/>
                <w:sz w:val="24"/>
              </w:rPr>
              <w:t xml:space="preserve">in </w:t>
            </w:r>
            <w:r w:rsidR="00D73DDE">
              <w:rPr>
                <w:rFonts w:ascii="Arial" w:hAnsi="Arial" w:cs="Arial"/>
                <w:sz w:val="24"/>
              </w:rPr>
              <w:t>four circumstances that a plaintiff may apply to court for summary judgment and these are: (1) a liquid document; (2) a liquidated amount in money; (3) the delivery of specified movable property; and (3) ejectment.</w:t>
            </w:r>
            <w:r w:rsidR="00D73DDE">
              <w:rPr>
                <w:rStyle w:val="FootnoteReference"/>
                <w:rFonts w:ascii="Arial" w:hAnsi="Arial" w:cs="Arial"/>
                <w:sz w:val="24"/>
              </w:rPr>
              <w:footnoteReference w:id="1"/>
            </w:r>
          </w:p>
          <w:p w14:paraId="612A86C7" w14:textId="77777777" w:rsidR="00D73DDE" w:rsidRPr="00491844" w:rsidRDefault="00D73DDE" w:rsidP="00D73DDE">
            <w:pPr>
              <w:pStyle w:val="ListParagraph"/>
              <w:rPr>
                <w:rFonts w:ascii="Arial" w:hAnsi="Arial" w:cs="Arial"/>
                <w:sz w:val="24"/>
              </w:rPr>
            </w:pPr>
          </w:p>
          <w:p w14:paraId="378172B6" w14:textId="4720179B" w:rsidR="00D73DDE" w:rsidRDefault="00DA3781"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T</w:t>
            </w:r>
            <w:r w:rsidR="00D73DDE">
              <w:rPr>
                <w:rFonts w:ascii="Arial" w:hAnsi="Arial" w:cs="Arial"/>
                <w:sz w:val="24"/>
              </w:rPr>
              <w:t xml:space="preserve">he plaintiff’s claim for damages </w:t>
            </w:r>
            <w:r>
              <w:rPr>
                <w:rFonts w:ascii="Arial" w:hAnsi="Arial" w:cs="Arial"/>
                <w:sz w:val="24"/>
              </w:rPr>
              <w:t xml:space="preserve">cannot be entertained in terms of rule 60. </w:t>
            </w:r>
            <w:r w:rsidR="00D73DDE">
              <w:rPr>
                <w:rFonts w:ascii="Arial" w:hAnsi="Arial" w:cs="Arial"/>
                <w:sz w:val="24"/>
              </w:rPr>
              <w:t xml:space="preserve">Not only is the plaintiff’s claim for damages not a liquidated amount or premised on a liquid document, but the claim </w:t>
            </w:r>
            <w:r w:rsidR="004541AC">
              <w:rPr>
                <w:rFonts w:ascii="Arial" w:hAnsi="Arial" w:cs="Arial"/>
                <w:sz w:val="24"/>
              </w:rPr>
              <w:t xml:space="preserve">also </w:t>
            </w:r>
            <w:r w:rsidR="00D73DDE">
              <w:rPr>
                <w:rFonts w:ascii="Arial" w:hAnsi="Arial" w:cs="Arial"/>
                <w:sz w:val="24"/>
              </w:rPr>
              <w:t>seems excipiable. It is uncertain on what basis the plaintiff seeks N$7000 per month in damages. A claim for damages must properly be set out to enable the defendant to ‘reasonably assess the quantum thereof’.</w:t>
            </w:r>
            <w:r w:rsidR="00D73DDE">
              <w:rPr>
                <w:rStyle w:val="FootnoteReference"/>
                <w:rFonts w:ascii="Arial" w:hAnsi="Arial" w:cs="Arial"/>
                <w:sz w:val="24"/>
              </w:rPr>
              <w:footnoteReference w:id="2"/>
            </w:r>
            <w:r w:rsidR="00D73DDE">
              <w:rPr>
                <w:rFonts w:ascii="Arial" w:hAnsi="Arial" w:cs="Arial"/>
                <w:sz w:val="24"/>
              </w:rPr>
              <w:t xml:space="preserve"> </w:t>
            </w:r>
          </w:p>
          <w:p w14:paraId="7C1A719A" w14:textId="77777777" w:rsidR="00D73DDE" w:rsidRPr="00491844" w:rsidRDefault="00D73DDE" w:rsidP="00D73DDE">
            <w:pPr>
              <w:pStyle w:val="ListParagraph"/>
              <w:rPr>
                <w:rFonts w:ascii="Arial" w:hAnsi="Arial" w:cs="Arial"/>
                <w:sz w:val="24"/>
              </w:rPr>
            </w:pPr>
          </w:p>
          <w:p w14:paraId="523CF881" w14:textId="2FF63F21" w:rsidR="00D73DDE" w:rsidRDefault="004541AC" w:rsidP="00B91050">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 xml:space="preserve">On the issue of ejectment, same is covered by rule 60. </w:t>
            </w:r>
            <w:r w:rsidR="00D73DDE">
              <w:rPr>
                <w:rFonts w:ascii="Arial" w:hAnsi="Arial" w:cs="Arial"/>
                <w:sz w:val="24"/>
              </w:rPr>
              <w:t xml:space="preserve">Although not </w:t>
            </w:r>
            <w:r>
              <w:rPr>
                <w:rFonts w:ascii="Arial" w:hAnsi="Arial" w:cs="Arial"/>
                <w:sz w:val="24"/>
              </w:rPr>
              <w:t>residing</w:t>
            </w:r>
            <w:r w:rsidR="00D73DDE">
              <w:rPr>
                <w:rFonts w:ascii="Arial" w:hAnsi="Arial" w:cs="Arial"/>
                <w:sz w:val="24"/>
              </w:rPr>
              <w:t xml:space="preserve"> on the property,</w:t>
            </w:r>
            <w:r w:rsidR="00D73DDE">
              <w:rPr>
                <w:rStyle w:val="FootnoteReference"/>
                <w:rFonts w:ascii="Arial" w:hAnsi="Arial" w:cs="Arial"/>
                <w:sz w:val="24"/>
              </w:rPr>
              <w:footnoteReference w:id="3"/>
            </w:r>
            <w:r w:rsidR="00D73DDE">
              <w:rPr>
                <w:rFonts w:ascii="Arial" w:hAnsi="Arial" w:cs="Arial"/>
                <w:sz w:val="24"/>
              </w:rPr>
              <w:t xml:space="preserve"> it </w:t>
            </w:r>
            <w:r>
              <w:rPr>
                <w:rFonts w:ascii="Arial" w:hAnsi="Arial" w:cs="Arial"/>
                <w:sz w:val="24"/>
              </w:rPr>
              <w:t xml:space="preserve">appears </w:t>
            </w:r>
            <w:r w:rsidR="00D73DDE">
              <w:rPr>
                <w:rFonts w:ascii="Arial" w:hAnsi="Arial" w:cs="Arial"/>
                <w:sz w:val="24"/>
              </w:rPr>
              <w:t>that the defendant runs his bar operations on the property and is thus in possession of the property.</w:t>
            </w:r>
            <w:r>
              <w:rPr>
                <w:rFonts w:ascii="Arial" w:hAnsi="Arial" w:cs="Arial"/>
                <w:sz w:val="24"/>
              </w:rPr>
              <w:t xml:space="preserve"> This is not a possessory claim, but one relating to ownership of the </w:t>
            </w:r>
            <w:r>
              <w:rPr>
                <w:rFonts w:ascii="Arial" w:hAnsi="Arial" w:cs="Arial"/>
                <w:sz w:val="24"/>
              </w:rPr>
              <w:lastRenderedPageBreak/>
              <w:t xml:space="preserve">property. Despite the defendant’s averments on the oral agreement relating to the immovable property, and the rectification sought on a potential counterclaim, the fact </w:t>
            </w:r>
            <w:r w:rsidR="00B91050">
              <w:rPr>
                <w:rFonts w:ascii="Arial" w:hAnsi="Arial" w:cs="Arial"/>
                <w:sz w:val="24"/>
              </w:rPr>
              <w:t>is that s</w:t>
            </w:r>
            <w:r w:rsidR="00FE2EA3">
              <w:rPr>
                <w:rFonts w:ascii="Arial" w:hAnsi="Arial" w:cs="Arial"/>
                <w:sz w:val="24"/>
              </w:rPr>
              <w:t xml:space="preserve"> </w:t>
            </w:r>
            <w:r w:rsidR="00B91050">
              <w:rPr>
                <w:rFonts w:ascii="Arial" w:hAnsi="Arial" w:cs="Arial"/>
                <w:sz w:val="24"/>
              </w:rPr>
              <w:t xml:space="preserve">1 of </w:t>
            </w:r>
            <w:r w:rsidR="00D03B1D">
              <w:rPr>
                <w:rFonts w:ascii="Arial" w:hAnsi="Arial" w:cs="Arial"/>
                <w:sz w:val="24"/>
              </w:rPr>
              <w:t>the Formalities in r</w:t>
            </w:r>
            <w:r w:rsidR="00FE2EA3">
              <w:rPr>
                <w:rFonts w:ascii="Arial" w:hAnsi="Arial" w:cs="Arial"/>
                <w:sz w:val="24"/>
              </w:rPr>
              <w:t>espect of</w:t>
            </w:r>
            <w:r w:rsidR="00D03B1D">
              <w:rPr>
                <w:rFonts w:ascii="Arial" w:hAnsi="Arial" w:cs="Arial"/>
                <w:sz w:val="24"/>
              </w:rPr>
              <w:t xml:space="preserve"> Contracts of</w:t>
            </w:r>
            <w:r w:rsidR="00FE2EA3">
              <w:rPr>
                <w:rFonts w:ascii="Arial" w:hAnsi="Arial" w:cs="Arial"/>
                <w:sz w:val="24"/>
              </w:rPr>
              <w:t xml:space="preserve"> Sale of Land</w:t>
            </w:r>
            <w:r w:rsidR="00D03B1D">
              <w:rPr>
                <w:rFonts w:ascii="Arial" w:hAnsi="Arial" w:cs="Arial"/>
                <w:sz w:val="24"/>
              </w:rPr>
              <w:t xml:space="preserve"> Act</w:t>
            </w:r>
            <w:r w:rsidR="00B91050">
              <w:rPr>
                <w:rFonts w:ascii="Arial" w:hAnsi="Arial" w:cs="Arial"/>
                <w:sz w:val="24"/>
              </w:rPr>
              <w:t xml:space="preserve"> </w:t>
            </w:r>
            <w:r w:rsidR="00FE2EA3">
              <w:rPr>
                <w:rFonts w:ascii="Arial" w:hAnsi="Arial" w:cs="Arial"/>
                <w:sz w:val="24"/>
              </w:rPr>
              <w:t>71</w:t>
            </w:r>
            <w:r w:rsidR="00B91050">
              <w:rPr>
                <w:rFonts w:ascii="Arial" w:hAnsi="Arial" w:cs="Arial"/>
                <w:sz w:val="24"/>
              </w:rPr>
              <w:t xml:space="preserve"> </w:t>
            </w:r>
            <w:r w:rsidR="00FE2EA3">
              <w:rPr>
                <w:rFonts w:ascii="Arial" w:hAnsi="Arial" w:cs="Arial"/>
                <w:sz w:val="24"/>
              </w:rPr>
              <w:t>of 1969,</w:t>
            </w:r>
            <w:r w:rsidR="00B91050">
              <w:rPr>
                <w:rFonts w:ascii="Arial" w:hAnsi="Arial" w:cs="Arial"/>
                <w:sz w:val="24"/>
              </w:rPr>
              <w:t xml:space="preserve"> invalidates an agreement relating to the sale of immovable property that is not </w:t>
            </w:r>
            <w:r w:rsidR="00D73DDE">
              <w:rPr>
                <w:rFonts w:ascii="Arial" w:hAnsi="Arial" w:cs="Arial"/>
                <w:sz w:val="24"/>
              </w:rPr>
              <w:t>reduced to writing and signe</w:t>
            </w:r>
            <w:r w:rsidR="005D573C">
              <w:rPr>
                <w:rFonts w:ascii="Arial" w:hAnsi="Arial" w:cs="Arial"/>
                <w:sz w:val="24"/>
              </w:rPr>
              <w:t>d by</w:t>
            </w:r>
            <w:r w:rsidR="00FE2EA3">
              <w:rPr>
                <w:rFonts w:ascii="Arial" w:hAnsi="Arial" w:cs="Arial"/>
                <w:sz w:val="24"/>
              </w:rPr>
              <w:t xml:space="preserve"> the</w:t>
            </w:r>
            <w:r w:rsidR="005D573C">
              <w:rPr>
                <w:rFonts w:ascii="Arial" w:hAnsi="Arial" w:cs="Arial"/>
                <w:sz w:val="24"/>
              </w:rPr>
              <w:t xml:space="preserve"> parties</w:t>
            </w:r>
            <w:r w:rsidR="00B91050">
              <w:rPr>
                <w:rFonts w:ascii="Arial" w:hAnsi="Arial" w:cs="Arial"/>
                <w:sz w:val="24"/>
              </w:rPr>
              <w:t xml:space="preserve">. </w:t>
            </w:r>
          </w:p>
          <w:p w14:paraId="08165637" w14:textId="77777777" w:rsidR="00D73DDE" w:rsidRPr="002615FE" w:rsidRDefault="00D73DDE" w:rsidP="00D73DDE">
            <w:pPr>
              <w:pStyle w:val="ListParagraph"/>
              <w:rPr>
                <w:rFonts w:ascii="Arial" w:hAnsi="Arial" w:cs="Arial"/>
                <w:sz w:val="24"/>
              </w:rPr>
            </w:pPr>
          </w:p>
          <w:p w14:paraId="3AF19760" w14:textId="32D91CD7" w:rsidR="00FE2EA3" w:rsidRPr="00FE2EA3" w:rsidRDefault="00D73DDE" w:rsidP="00FE2EA3">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 xml:space="preserve">In order to comply with the relevant laws pertaining to the sale of land, the defendant has indicated that he intends to bring a counterclaim against the plaintiff to have the oral </w:t>
            </w:r>
            <w:r w:rsidR="00B91050">
              <w:rPr>
                <w:rFonts w:ascii="Arial" w:hAnsi="Arial" w:cs="Arial"/>
                <w:sz w:val="24"/>
              </w:rPr>
              <w:t xml:space="preserve">agreement </w:t>
            </w:r>
            <w:r>
              <w:rPr>
                <w:rFonts w:ascii="Arial" w:hAnsi="Arial" w:cs="Arial"/>
                <w:sz w:val="24"/>
              </w:rPr>
              <w:t>rectified by means of reducing it to writing.</w:t>
            </w:r>
            <w:r w:rsidR="008D0538">
              <w:rPr>
                <w:rFonts w:ascii="Arial" w:hAnsi="Arial" w:cs="Arial"/>
                <w:sz w:val="24"/>
              </w:rPr>
              <w:t xml:space="preserve"> This claim is also untenable because the object of rectification is to have a written contract conform to the common intention of the parties. The essential allegations in a rectification claim were reiterated in </w:t>
            </w:r>
            <w:proofErr w:type="spellStart"/>
            <w:r w:rsidRPr="008D0538">
              <w:rPr>
                <w:rFonts w:ascii="Arial" w:hAnsi="Arial" w:cs="Arial"/>
                <w:i/>
                <w:sz w:val="24"/>
              </w:rPr>
              <w:t>Arysteq</w:t>
            </w:r>
            <w:proofErr w:type="spellEnd"/>
            <w:r w:rsidRPr="008D0538">
              <w:rPr>
                <w:rFonts w:ascii="Arial" w:hAnsi="Arial" w:cs="Arial"/>
                <w:i/>
                <w:sz w:val="24"/>
              </w:rPr>
              <w:t xml:space="preserve"> Financial Services (Pty) Ltd v </w:t>
            </w:r>
            <w:proofErr w:type="spellStart"/>
            <w:r w:rsidRPr="008D0538">
              <w:rPr>
                <w:rFonts w:ascii="Arial" w:hAnsi="Arial" w:cs="Arial"/>
                <w:i/>
                <w:sz w:val="24"/>
              </w:rPr>
              <w:t>Quinto</w:t>
            </w:r>
            <w:proofErr w:type="spellEnd"/>
            <w:r w:rsidRPr="008D0538">
              <w:rPr>
                <w:rFonts w:ascii="Arial" w:hAnsi="Arial" w:cs="Arial"/>
                <w:i/>
                <w:sz w:val="24"/>
              </w:rPr>
              <w:t xml:space="preserve"> </w:t>
            </w:r>
            <w:proofErr w:type="spellStart"/>
            <w:r w:rsidRPr="008D0538">
              <w:rPr>
                <w:rFonts w:ascii="Arial" w:hAnsi="Arial" w:cs="Arial"/>
                <w:i/>
                <w:sz w:val="24"/>
              </w:rPr>
              <w:t>Ockhuizen</w:t>
            </w:r>
            <w:proofErr w:type="spellEnd"/>
            <w:r>
              <w:rPr>
                <w:rStyle w:val="FootnoteReference"/>
                <w:rFonts w:ascii="Arial" w:hAnsi="Arial" w:cs="Arial"/>
                <w:i/>
                <w:sz w:val="24"/>
              </w:rPr>
              <w:footnoteReference w:id="4"/>
            </w:r>
            <w:r w:rsidRPr="008D0538">
              <w:rPr>
                <w:rFonts w:ascii="Arial" w:hAnsi="Arial" w:cs="Arial"/>
                <w:i/>
                <w:sz w:val="24"/>
              </w:rPr>
              <w:t xml:space="preserve"> </w:t>
            </w:r>
            <w:r w:rsidR="008D0538">
              <w:rPr>
                <w:rFonts w:ascii="Arial" w:hAnsi="Arial" w:cs="Arial"/>
                <w:sz w:val="24"/>
              </w:rPr>
              <w:t>the following</w:t>
            </w:r>
            <w:r>
              <w:rPr>
                <w:rFonts w:ascii="Arial" w:hAnsi="Arial" w:cs="Arial"/>
                <w:sz w:val="24"/>
              </w:rPr>
              <w:t>: (1) there is an agreement between the parties which was reduced to writing; (2) the written agreement does not reflect the parties’ common intention; (3) both parties’ intention to reduce the agreement to writing; (4) there is a mistake in drafting the written agreement (whether bona fide or intentional); and (5) the wording of the agreement as rectified.</w:t>
            </w:r>
            <w:r>
              <w:rPr>
                <w:rStyle w:val="FootnoteReference"/>
                <w:rFonts w:ascii="Arial" w:hAnsi="Arial" w:cs="Arial"/>
                <w:sz w:val="24"/>
              </w:rPr>
              <w:footnoteReference w:id="5"/>
            </w:r>
            <w:r w:rsidR="003B5001">
              <w:rPr>
                <w:rFonts w:ascii="Arial" w:hAnsi="Arial" w:cs="Arial"/>
                <w:sz w:val="24"/>
              </w:rPr>
              <w:t xml:space="preserve"> The defendant would have to institute a claim for the return of the moneys allegedly paid.</w:t>
            </w:r>
          </w:p>
          <w:p w14:paraId="5277046C" w14:textId="77777777" w:rsidR="00FE2EA3" w:rsidRPr="00FE2EA3" w:rsidRDefault="00FE2EA3" w:rsidP="00FE2EA3">
            <w:pPr>
              <w:pStyle w:val="ListParagraph"/>
              <w:spacing w:after="200" w:line="360" w:lineRule="auto"/>
              <w:ind w:left="0"/>
              <w:jc w:val="both"/>
              <w:rPr>
                <w:rFonts w:ascii="Arial" w:hAnsi="Arial" w:cs="Arial"/>
                <w:sz w:val="24"/>
              </w:rPr>
            </w:pPr>
          </w:p>
          <w:p w14:paraId="43425942" w14:textId="14E0AED5" w:rsidR="00D73DDE"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I hasten to add that save to depose that an alleged oral agreement was concluded between the parties during April 2014, the defendant failed to provide any particularity regarding this purported oral agreement. He failed to allege where the agreement was concluded, the terms of the agreement – specifically when possession was to be taken over</w:t>
            </w:r>
            <w:r w:rsidR="005D573C">
              <w:rPr>
                <w:rFonts w:ascii="Arial" w:hAnsi="Arial" w:cs="Arial"/>
                <w:sz w:val="24"/>
              </w:rPr>
              <w:t xml:space="preserve"> by</w:t>
            </w:r>
            <w:r>
              <w:rPr>
                <w:rFonts w:ascii="Arial" w:hAnsi="Arial" w:cs="Arial"/>
                <w:sz w:val="24"/>
              </w:rPr>
              <w:t xml:space="preserve"> the defendant under the</w:t>
            </w:r>
            <w:r w:rsidR="005D573C">
              <w:rPr>
                <w:rFonts w:ascii="Arial" w:hAnsi="Arial" w:cs="Arial"/>
                <w:sz w:val="24"/>
              </w:rPr>
              <w:t xml:space="preserve"> supposed oral</w:t>
            </w:r>
            <w:r>
              <w:rPr>
                <w:rFonts w:ascii="Arial" w:hAnsi="Arial" w:cs="Arial"/>
                <w:sz w:val="24"/>
              </w:rPr>
              <w:t xml:space="preserve"> agreement. Additionally, no evidence has</w:t>
            </w:r>
            <w:r w:rsidR="00D03B1D">
              <w:rPr>
                <w:rFonts w:ascii="Arial" w:hAnsi="Arial" w:cs="Arial"/>
                <w:sz w:val="24"/>
              </w:rPr>
              <w:t xml:space="preserve"> been</w:t>
            </w:r>
            <w:r>
              <w:rPr>
                <w:rFonts w:ascii="Arial" w:hAnsi="Arial" w:cs="Arial"/>
                <w:sz w:val="24"/>
              </w:rPr>
              <w:t xml:space="preserve"> presented to this court that the defendant actually made payment of N$200 000 to the plaintiff.</w:t>
            </w:r>
            <w:r w:rsidR="000235E6">
              <w:rPr>
                <w:rFonts w:ascii="Arial" w:hAnsi="Arial" w:cs="Arial"/>
                <w:sz w:val="24"/>
              </w:rPr>
              <w:t xml:space="preserve"> The nature and grounds for the defence have</w:t>
            </w:r>
            <w:r w:rsidR="00FE2EA3">
              <w:rPr>
                <w:rFonts w:ascii="Arial" w:hAnsi="Arial" w:cs="Arial"/>
                <w:sz w:val="24"/>
              </w:rPr>
              <w:t xml:space="preserve"> also not been fully disclosed.</w:t>
            </w:r>
            <w:r w:rsidR="000235E6">
              <w:rPr>
                <w:rStyle w:val="FootnoteReference"/>
                <w:rFonts w:ascii="Arial" w:hAnsi="Arial" w:cs="Arial"/>
                <w:sz w:val="24"/>
              </w:rPr>
              <w:footnoteReference w:id="6"/>
            </w:r>
          </w:p>
          <w:p w14:paraId="636702C7" w14:textId="77777777" w:rsidR="00D73DDE" w:rsidRPr="002615FE" w:rsidRDefault="00D73DDE" w:rsidP="00D73DDE">
            <w:pPr>
              <w:pStyle w:val="ListParagraph"/>
              <w:rPr>
                <w:rFonts w:ascii="Arial" w:hAnsi="Arial" w:cs="Arial"/>
                <w:sz w:val="24"/>
              </w:rPr>
            </w:pPr>
          </w:p>
          <w:p w14:paraId="01E28947" w14:textId="2C50B28E" w:rsidR="00D73DDE" w:rsidRDefault="008D0538"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 xml:space="preserve">The plaintiff has attached proof of ownership of the property to his particulars of claim and verified his cause of </w:t>
            </w:r>
            <w:r w:rsidR="000235E6">
              <w:rPr>
                <w:rFonts w:ascii="Arial" w:hAnsi="Arial" w:cs="Arial"/>
                <w:sz w:val="24"/>
              </w:rPr>
              <w:t xml:space="preserve">action as owner of the property for purposes of the eviction application. The </w:t>
            </w:r>
            <w:r w:rsidR="000235E6">
              <w:rPr>
                <w:rFonts w:ascii="Arial" w:hAnsi="Arial" w:cs="Arial"/>
                <w:sz w:val="24"/>
              </w:rPr>
              <w:lastRenderedPageBreak/>
              <w:t xml:space="preserve">defendant has however disclosed a defence to the plaintiff’s claim for damages, and possibly, one of his counterclaims. On that basis summary judgment will be granted only on the eviction application. </w:t>
            </w:r>
          </w:p>
          <w:p w14:paraId="08B62845" w14:textId="77777777" w:rsidR="00D73DDE" w:rsidRDefault="00D73DDE" w:rsidP="00D73DDE">
            <w:pPr>
              <w:pStyle w:val="ListParagraph"/>
              <w:spacing w:line="360" w:lineRule="auto"/>
              <w:ind w:left="0"/>
              <w:jc w:val="both"/>
              <w:rPr>
                <w:rFonts w:ascii="Arial" w:hAnsi="Arial" w:cs="Arial"/>
                <w:sz w:val="24"/>
              </w:rPr>
            </w:pPr>
          </w:p>
          <w:p w14:paraId="4F339397" w14:textId="3226659C" w:rsidR="00D73DDE"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Before I conclude, I am bound to consider costs. The general principle needs no regurgitation and denotes that the successful litigant must be awarded costs. I see no need and no reasons have been provided to this court why the general</w:t>
            </w:r>
            <w:r w:rsidR="00A80C7E">
              <w:rPr>
                <w:rFonts w:ascii="Arial" w:hAnsi="Arial" w:cs="Arial"/>
                <w:sz w:val="24"/>
              </w:rPr>
              <w:t xml:space="preserve"> principle</w:t>
            </w:r>
            <w:r>
              <w:rPr>
                <w:rFonts w:ascii="Arial" w:hAnsi="Arial" w:cs="Arial"/>
                <w:sz w:val="24"/>
              </w:rPr>
              <w:t xml:space="preserve"> should not follow. The plaintiff shall therefore be awarded </w:t>
            </w:r>
            <w:r w:rsidR="00A80C7E">
              <w:rPr>
                <w:rFonts w:ascii="Arial" w:hAnsi="Arial" w:cs="Arial"/>
                <w:sz w:val="24"/>
              </w:rPr>
              <w:t>costs.</w:t>
            </w:r>
          </w:p>
          <w:p w14:paraId="08B1EE5C" w14:textId="77777777" w:rsidR="00D73DDE" w:rsidRPr="004567B5" w:rsidRDefault="00D73DDE" w:rsidP="00D73DDE">
            <w:pPr>
              <w:pStyle w:val="ListParagraph"/>
              <w:rPr>
                <w:rFonts w:ascii="Arial" w:hAnsi="Arial" w:cs="Arial"/>
                <w:sz w:val="24"/>
              </w:rPr>
            </w:pPr>
          </w:p>
          <w:p w14:paraId="2D12057B" w14:textId="77777777" w:rsidR="00D73DDE" w:rsidRDefault="00D73DDE" w:rsidP="00D73DDE">
            <w:pPr>
              <w:pStyle w:val="ListParagraph"/>
              <w:numPr>
                <w:ilvl w:val="0"/>
                <w:numId w:val="35"/>
              </w:numPr>
              <w:spacing w:after="200" w:line="360" w:lineRule="auto"/>
              <w:ind w:left="0" w:firstLine="0"/>
              <w:jc w:val="both"/>
              <w:rPr>
                <w:rFonts w:ascii="Arial" w:hAnsi="Arial" w:cs="Arial"/>
                <w:sz w:val="24"/>
              </w:rPr>
            </w:pPr>
            <w:r>
              <w:rPr>
                <w:rFonts w:ascii="Arial" w:hAnsi="Arial" w:cs="Arial"/>
                <w:sz w:val="24"/>
              </w:rPr>
              <w:t>For the foregoing reasons, I make the following order:</w:t>
            </w:r>
          </w:p>
          <w:p w14:paraId="27691328" w14:textId="77777777" w:rsidR="00D73DDE" w:rsidRPr="004567B5" w:rsidRDefault="00D73DDE" w:rsidP="00D73DDE">
            <w:pPr>
              <w:pStyle w:val="ListParagraph"/>
              <w:rPr>
                <w:rFonts w:ascii="Arial" w:hAnsi="Arial" w:cs="Arial"/>
                <w:sz w:val="24"/>
              </w:rPr>
            </w:pPr>
          </w:p>
          <w:p w14:paraId="40CA746B" w14:textId="77777777" w:rsidR="000235E6" w:rsidRPr="00FE2EA3" w:rsidRDefault="000235E6" w:rsidP="00FE2EA3">
            <w:pPr>
              <w:pStyle w:val="ListParagraph"/>
              <w:numPr>
                <w:ilvl w:val="0"/>
                <w:numId w:val="38"/>
              </w:numPr>
              <w:spacing w:after="200" w:line="360" w:lineRule="auto"/>
              <w:ind w:left="1126" w:hanging="567"/>
              <w:jc w:val="both"/>
              <w:rPr>
                <w:rFonts w:ascii="Arial" w:hAnsi="Arial" w:cs="Arial"/>
                <w:sz w:val="24"/>
              </w:rPr>
            </w:pPr>
            <w:r w:rsidRPr="00FE2EA3">
              <w:rPr>
                <w:rFonts w:ascii="Arial" w:hAnsi="Arial" w:cs="Arial"/>
                <w:sz w:val="24"/>
              </w:rPr>
              <w:t>The plaintiff’s application for summary judgment succeeds to the following extent:</w:t>
            </w:r>
          </w:p>
          <w:p w14:paraId="31E0FE9E" w14:textId="77777777" w:rsidR="000235E6" w:rsidRPr="00FE2EA3" w:rsidRDefault="000235E6" w:rsidP="00FE2EA3">
            <w:pPr>
              <w:pStyle w:val="ListParagraph"/>
              <w:spacing w:after="200" w:line="360" w:lineRule="auto"/>
              <w:ind w:left="1126" w:hanging="567"/>
              <w:jc w:val="both"/>
              <w:rPr>
                <w:rFonts w:ascii="Arial" w:hAnsi="Arial" w:cs="Arial"/>
                <w:sz w:val="24"/>
              </w:rPr>
            </w:pPr>
          </w:p>
          <w:p w14:paraId="2B8C8395" w14:textId="2F7C5554" w:rsidR="000235E6" w:rsidRPr="00FE2EA3" w:rsidRDefault="000235E6" w:rsidP="00FE2EA3">
            <w:pPr>
              <w:pStyle w:val="ListParagraph"/>
              <w:spacing w:after="200" w:line="360" w:lineRule="auto"/>
              <w:ind w:left="1126"/>
              <w:jc w:val="both"/>
              <w:rPr>
                <w:rFonts w:ascii="Arial" w:hAnsi="Arial" w:cs="Arial"/>
                <w:sz w:val="24"/>
              </w:rPr>
            </w:pPr>
            <w:r w:rsidRPr="00FE2EA3">
              <w:rPr>
                <w:rFonts w:ascii="Arial" w:hAnsi="Arial" w:cs="Arial"/>
                <w:sz w:val="24"/>
              </w:rPr>
              <w:t xml:space="preserve">The defendant and/or any other person in occupation and/or possession of the property described as </w:t>
            </w:r>
            <w:proofErr w:type="spellStart"/>
            <w:r w:rsidRPr="00FE2EA3">
              <w:rPr>
                <w:rFonts w:ascii="Arial" w:hAnsi="Arial" w:cs="Arial"/>
                <w:sz w:val="24"/>
              </w:rPr>
              <w:t>Erf</w:t>
            </w:r>
            <w:proofErr w:type="spellEnd"/>
            <w:r w:rsidRPr="00FE2EA3">
              <w:rPr>
                <w:rFonts w:ascii="Arial" w:hAnsi="Arial" w:cs="Arial"/>
                <w:sz w:val="24"/>
              </w:rPr>
              <w:t xml:space="preserve"> 124, </w:t>
            </w:r>
            <w:proofErr w:type="spellStart"/>
            <w:r w:rsidRPr="00FE2EA3">
              <w:rPr>
                <w:rFonts w:ascii="Arial" w:hAnsi="Arial" w:cs="Arial"/>
                <w:sz w:val="24"/>
              </w:rPr>
              <w:t>Sonara</w:t>
            </w:r>
            <w:proofErr w:type="spellEnd"/>
            <w:r w:rsidRPr="00FE2EA3">
              <w:rPr>
                <w:rFonts w:ascii="Arial" w:hAnsi="Arial" w:cs="Arial"/>
                <w:sz w:val="24"/>
              </w:rPr>
              <w:t xml:space="preserve">, </w:t>
            </w:r>
            <w:proofErr w:type="spellStart"/>
            <w:r w:rsidRPr="00FE2EA3">
              <w:rPr>
                <w:rFonts w:ascii="Arial" w:hAnsi="Arial" w:cs="Arial"/>
                <w:sz w:val="24"/>
              </w:rPr>
              <w:t>Hardel</w:t>
            </w:r>
            <w:proofErr w:type="spellEnd"/>
            <w:r w:rsidRPr="00FE2EA3">
              <w:rPr>
                <w:rFonts w:ascii="Arial" w:hAnsi="Arial" w:cs="Arial"/>
                <w:sz w:val="24"/>
              </w:rPr>
              <w:t xml:space="preserve"> Street, </w:t>
            </w:r>
            <w:proofErr w:type="spellStart"/>
            <w:r w:rsidRPr="00FE2EA3">
              <w:rPr>
                <w:rFonts w:ascii="Arial" w:hAnsi="Arial" w:cs="Arial"/>
                <w:sz w:val="24"/>
              </w:rPr>
              <w:t>Aranos</w:t>
            </w:r>
            <w:proofErr w:type="spellEnd"/>
            <w:r w:rsidRPr="00FE2EA3">
              <w:rPr>
                <w:rFonts w:ascii="Arial" w:hAnsi="Arial" w:cs="Arial"/>
                <w:sz w:val="24"/>
              </w:rPr>
              <w:t xml:space="preserve">, Republic of Namibia is  hereby evicted and ordered to immediately vacate the </w:t>
            </w:r>
            <w:r w:rsidR="00D03B1D">
              <w:rPr>
                <w:rFonts w:ascii="Arial" w:hAnsi="Arial" w:cs="Arial"/>
                <w:sz w:val="24"/>
              </w:rPr>
              <w:t>aforesaid property</w:t>
            </w:r>
          </w:p>
          <w:p w14:paraId="48A0B741" w14:textId="77777777" w:rsidR="000235E6" w:rsidRPr="00FE2EA3" w:rsidRDefault="000235E6" w:rsidP="00FE2EA3">
            <w:pPr>
              <w:pStyle w:val="ListParagraph"/>
              <w:spacing w:after="200" w:line="360" w:lineRule="auto"/>
              <w:ind w:left="1126" w:hanging="567"/>
              <w:jc w:val="both"/>
              <w:rPr>
                <w:rFonts w:ascii="Arial" w:hAnsi="Arial" w:cs="Arial"/>
                <w:sz w:val="24"/>
              </w:rPr>
            </w:pPr>
          </w:p>
          <w:p w14:paraId="58A3276E" w14:textId="77777777" w:rsidR="000235E6" w:rsidRPr="00FE2EA3" w:rsidRDefault="000235E6" w:rsidP="00FE2EA3">
            <w:pPr>
              <w:pStyle w:val="ListParagraph"/>
              <w:numPr>
                <w:ilvl w:val="0"/>
                <w:numId w:val="38"/>
              </w:numPr>
              <w:spacing w:after="200" w:line="360" w:lineRule="auto"/>
              <w:ind w:left="1126" w:hanging="567"/>
              <w:jc w:val="both"/>
              <w:rPr>
                <w:rFonts w:ascii="Arial" w:hAnsi="Arial" w:cs="Arial"/>
                <w:sz w:val="24"/>
              </w:rPr>
            </w:pPr>
            <w:r w:rsidRPr="00FE2EA3">
              <w:rPr>
                <w:rFonts w:ascii="Arial" w:hAnsi="Arial" w:cs="Arial"/>
                <w:sz w:val="24"/>
              </w:rPr>
              <w:t>The defendant is granted leave to defend the plaintiff’s claim for damages.</w:t>
            </w:r>
          </w:p>
          <w:p w14:paraId="062C999B" w14:textId="77777777" w:rsidR="000235E6" w:rsidRPr="00FE2EA3" w:rsidRDefault="000235E6" w:rsidP="00FE2EA3">
            <w:pPr>
              <w:pStyle w:val="ListParagraph"/>
              <w:spacing w:after="200" w:line="360" w:lineRule="auto"/>
              <w:ind w:left="1126" w:hanging="567"/>
              <w:jc w:val="both"/>
              <w:rPr>
                <w:rFonts w:ascii="Arial" w:hAnsi="Arial" w:cs="Arial"/>
                <w:sz w:val="24"/>
              </w:rPr>
            </w:pPr>
          </w:p>
          <w:p w14:paraId="780D7F56" w14:textId="77777777" w:rsidR="000235E6" w:rsidRPr="00FE2EA3" w:rsidRDefault="000235E6" w:rsidP="00FE2EA3">
            <w:pPr>
              <w:pStyle w:val="ListParagraph"/>
              <w:numPr>
                <w:ilvl w:val="0"/>
                <w:numId w:val="38"/>
              </w:numPr>
              <w:spacing w:after="200" w:line="360" w:lineRule="auto"/>
              <w:ind w:left="1126" w:hanging="567"/>
              <w:jc w:val="both"/>
              <w:rPr>
                <w:rFonts w:ascii="Arial" w:hAnsi="Arial" w:cs="Arial"/>
                <w:sz w:val="24"/>
              </w:rPr>
            </w:pPr>
            <w:r w:rsidRPr="00FE2EA3">
              <w:rPr>
                <w:rFonts w:ascii="Arial" w:hAnsi="Arial" w:cs="Arial"/>
                <w:sz w:val="24"/>
              </w:rPr>
              <w:t>The defendant is ordered to pay the plaintiff’s costs of this application, which shall be limited under rule 32(11).</w:t>
            </w:r>
          </w:p>
          <w:p w14:paraId="38DAF0A4" w14:textId="77777777" w:rsidR="000235E6" w:rsidRPr="00FE2EA3" w:rsidRDefault="000235E6" w:rsidP="00FE2EA3">
            <w:pPr>
              <w:pStyle w:val="ListParagraph"/>
              <w:spacing w:after="200" w:line="360" w:lineRule="auto"/>
              <w:ind w:left="1126" w:hanging="567"/>
              <w:jc w:val="both"/>
              <w:rPr>
                <w:rFonts w:ascii="Arial" w:hAnsi="Arial" w:cs="Arial"/>
                <w:sz w:val="24"/>
              </w:rPr>
            </w:pPr>
          </w:p>
          <w:p w14:paraId="424E9AB8" w14:textId="77777777" w:rsidR="000235E6" w:rsidRPr="00FE2EA3" w:rsidRDefault="000235E6" w:rsidP="00FE2EA3">
            <w:pPr>
              <w:pStyle w:val="ListParagraph"/>
              <w:numPr>
                <w:ilvl w:val="0"/>
                <w:numId w:val="38"/>
              </w:numPr>
              <w:spacing w:after="200" w:line="360" w:lineRule="auto"/>
              <w:ind w:left="1126" w:hanging="567"/>
              <w:jc w:val="both"/>
              <w:rPr>
                <w:rFonts w:ascii="Arial" w:hAnsi="Arial" w:cs="Arial"/>
                <w:sz w:val="24"/>
              </w:rPr>
            </w:pPr>
            <w:r w:rsidRPr="00FE2EA3">
              <w:rPr>
                <w:rFonts w:ascii="Arial" w:hAnsi="Arial" w:cs="Arial"/>
                <w:sz w:val="24"/>
              </w:rPr>
              <w:t xml:space="preserve">The matter is postponed to </w:t>
            </w:r>
            <w:r w:rsidRPr="00FE2EA3">
              <w:rPr>
                <w:rFonts w:ascii="Arial" w:hAnsi="Arial" w:cs="Arial"/>
                <w:b/>
                <w:bCs/>
                <w:sz w:val="24"/>
              </w:rPr>
              <w:t>8 April 2024 at 15h30</w:t>
            </w:r>
            <w:r w:rsidRPr="00FE2EA3">
              <w:rPr>
                <w:rFonts w:ascii="Arial" w:hAnsi="Arial" w:cs="Arial"/>
                <w:sz w:val="24"/>
              </w:rPr>
              <w:t xml:space="preserve"> for a case planning conference.</w:t>
            </w:r>
          </w:p>
          <w:p w14:paraId="5C926832" w14:textId="77777777" w:rsidR="000235E6" w:rsidRPr="00FE2EA3" w:rsidRDefault="000235E6" w:rsidP="00FE2EA3">
            <w:pPr>
              <w:pStyle w:val="ListParagraph"/>
              <w:spacing w:after="200" w:line="360" w:lineRule="auto"/>
              <w:ind w:left="1126" w:hanging="567"/>
              <w:jc w:val="both"/>
              <w:rPr>
                <w:rFonts w:ascii="Arial" w:hAnsi="Arial" w:cs="Arial"/>
                <w:sz w:val="24"/>
              </w:rPr>
            </w:pPr>
          </w:p>
          <w:p w14:paraId="228C9205" w14:textId="59D97F45" w:rsidR="00FE2EA3" w:rsidRPr="00FE2EA3" w:rsidRDefault="000235E6" w:rsidP="00FE2EA3">
            <w:pPr>
              <w:pStyle w:val="ListParagraph"/>
              <w:numPr>
                <w:ilvl w:val="0"/>
                <w:numId w:val="38"/>
              </w:numPr>
              <w:spacing w:after="200" w:line="360" w:lineRule="auto"/>
              <w:ind w:left="1126" w:hanging="567"/>
              <w:jc w:val="both"/>
              <w:rPr>
                <w:rFonts w:ascii="Arial" w:hAnsi="Arial" w:cs="Arial"/>
                <w:sz w:val="24"/>
              </w:rPr>
            </w:pPr>
            <w:r w:rsidRPr="00FE2EA3">
              <w:rPr>
                <w:rFonts w:ascii="Arial" w:hAnsi="Arial" w:cs="Arial"/>
                <w:sz w:val="24"/>
              </w:rPr>
              <w:t xml:space="preserve">The parties must file a joint case plan on or before </w:t>
            </w:r>
            <w:r w:rsidR="00D03B1D">
              <w:rPr>
                <w:rFonts w:ascii="Arial" w:hAnsi="Arial" w:cs="Arial"/>
                <w:b/>
                <w:bCs/>
                <w:sz w:val="24"/>
              </w:rPr>
              <w:t xml:space="preserve">3 April 2024 </w:t>
            </w:r>
            <w:r w:rsidR="00D03B1D" w:rsidRPr="00D03B1D">
              <w:rPr>
                <w:rFonts w:ascii="Arial" w:hAnsi="Arial" w:cs="Arial"/>
                <w:bCs/>
                <w:sz w:val="24"/>
              </w:rPr>
              <w:t xml:space="preserve">at </w:t>
            </w:r>
            <w:r w:rsidR="00D03B1D">
              <w:rPr>
                <w:rFonts w:ascii="Arial" w:hAnsi="Arial" w:cs="Arial"/>
                <w:b/>
                <w:bCs/>
                <w:sz w:val="24"/>
              </w:rPr>
              <w:t>15h0</w:t>
            </w:r>
            <w:r w:rsidRPr="00FE2EA3">
              <w:rPr>
                <w:rFonts w:ascii="Arial" w:hAnsi="Arial" w:cs="Arial"/>
                <w:b/>
                <w:bCs/>
                <w:sz w:val="24"/>
              </w:rPr>
              <w:t>0</w:t>
            </w:r>
            <w:r w:rsidRPr="00FE2EA3">
              <w:rPr>
                <w:rFonts w:ascii="Arial" w:hAnsi="Arial" w:cs="Arial"/>
                <w:sz w:val="24"/>
              </w:rPr>
              <w:t>.</w:t>
            </w:r>
          </w:p>
          <w:p w14:paraId="50881B48" w14:textId="5A092DD3" w:rsidR="00FE2EA3" w:rsidRPr="00FE2EA3" w:rsidRDefault="00FE2EA3" w:rsidP="00FE2EA3">
            <w:pPr>
              <w:pStyle w:val="ListParagraph"/>
              <w:spacing w:after="200" w:line="360" w:lineRule="auto"/>
              <w:ind w:left="1126"/>
              <w:jc w:val="both"/>
              <w:rPr>
                <w:rFonts w:ascii="Arial" w:hAnsi="Arial" w:cs="Arial"/>
                <w:sz w:val="24"/>
              </w:rPr>
            </w:pPr>
          </w:p>
        </w:tc>
      </w:tr>
      <w:tr w:rsidR="001D6B3F" w:rsidRPr="001D6B3F" w14:paraId="669CD305" w14:textId="77777777" w:rsidTr="00004108">
        <w:tc>
          <w:tcPr>
            <w:tcW w:w="4770" w:type="dxa"/>
          </w:tcPr>
          <w:p w14:paraId="52935D9E" w14:textId="77777777" w:rsidR="009C2E53" w:rsidRPr="001D6B3F" w:rsidRDefault="003E7B95" w:rsidP="007A6C9F">
            <w:pPr>
              <w:spacing w:line="360" w:lineRule="auto"/>
              <w:jc w:val="center"/>
              <w:rPr>
                <w:rFonts w:ascii="Arial" w:hAnsi="Arial" w:cs="Arial"/>
                <w:b/>
                <w:sz w:val="24"/>
                <w:szCs w:val="24"/>
              </w:rPr>
            </w:pPr>
            <w:r w:rsidRPr="001D6B3F">
              <w:rPr>
                <w:rFonts w:ascii="Arial" w:hAnsi="Arial" w:cs="Arial"/>
                <w:b/>
                <w:sz w:val="24"/>
                <w:szCs w:val="24"/>
                <w:lang w:val="en-US"/>
              </w:rPr>
              <w:lastRenderedPageBreak/>
              <w:t>Judge’s signature</w:t>
            </w:r>
          </w:p>
        </w:tc>
        <w:tc>
          <w:tcPr>
            <w:tcW w:w="5706" w:type="dxa"/>
            <w:gridSpan w:val="2"/>
          </w:tcPr>
          <w:p w14:paraId="7A7B4897"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Note to the parties:</w:t>
            </w:r>
          </w:p>
        </w:tc>
      </w:tr>
      <w:tr w:rsidR="001D6B3F" w:rsidRPr="001D6B3F" w14:paraId="6F11AF53" w14:textId="77777777" w:rsidTr="00004108">
        <w:trPr>
          <w:trHeight w:val="1114"/>
        </w:trPr>
        <w:tc>
          <w:tcPr>
            <w:tcW w:w="4770" w:type="dxa"/>
          </w:tcPr>
          <w:p w14:paraId="3F24801C" w14:textId="77777777" w:rsidR="006541D3" w:rsidRDefault="006541D3" w:rsidP="007A6C9F">
            <w:pPr>
              <w:spacing w:line="360" w:lineRule="auto"/>
              <w:jc w:val="both"/>
              <w:rPr>
                <w:rFonts w:ascii="Arial" w:hAnsi="Arial" w:cs="Arial"/>
                <w:sz w:val="24"/>
                <w:szCs w:val="24"/>
              </w:rPr>
            </w:pPr>
          </w:p>
          <w:p w14:paraId="5DDCD59A" w14:textId="77777777" w:rsidR="00FE2EA3" w:rsidRPr="001D6B3F" w:rsidRDefault="00FE2EA3" w:rsidP="007A6C9F">
            <w:pPr>
              <w:spacing w:line="360" w:lineRule="auto"/>
              <w:jc w:val="both"/>
              <w:rPr>
                <w:rFonts w:ascii="Arial" w:hAnsi="Arial" w:cs="Arial"/>
                <w:sz w:val="24"/>
                <w:szCs w:val="24"/>
              </w:rPr>
            </w:pPr>
          </w:p>
          <w:p w14:paraId="463C3024" w14:textId="77777777" w:rsidR="009C2E53" w:rsidRDefault="009C2E53" w:rsidP="007A6C9F">
            <w:pPr>
              <w:spacing w:line="360" w:lineRule="auto"/>
              <w:jc w:val="both"/>
              <w:rPr>
                <w:rFonts w:ascii="Arial" w:hAnsi="Arial" w:cs="Arial"/>
                <w:sz w:val="24"/>
                <w:szCs w:val="24"/>
              </w:rPr>
            </w:pPr>
          </w:p>
          <w:p w14:paraId="7E296104" w14:textId="77777777" w:rsidR="00FE2EA3" w:rsidRPr="001D6B3F" w:rsidRDefault="00FE2EA3" w:rsidP="007A6C9F">
            <w:pPr>
              <w:spacing w:line="360" w:lineRule="auto"/>
              <w:jc w:val="both"/>
              <w:rPr>
                <w:rFonts w:ascii="Arial" w:hAnsi="Arial" w:cs="Arial"/>
                <w:sz w:val="24"/>
                <w:szCs w:val="24"/>
              </w:rPr>
            </w:pPr>
            <w:bookmarkStart w:id="0" w:name="_GoBack"/>
            <w:bookmarkEnd w:id="0"/>
          </w:p>
        </w:tc>
        <w:tc>
          <w:tcPr>
            <w:tcW w:w="5706" w:type="dxa"/>
            <w:gridSpan w:val="2"/>
          </w:tcPr>
          <w:p w14:paraId="147BDE73" w14:textId="21D08B7B" w:rsidR="009C2E53" w:rsidRPr="001D6B3F" w:rsidRDefault="009C2E53" w:rsidP="007A6C9F">
            <w:pPr>
              <w:spacing w:line="360" w:lineRule="auto"/>
              <w:jc w:val="both"/>
              <w:rPr>
                <w:rFonts w:ascii="Arial" w:hAnsi="Arial" w:cs="Arial"/>
                <w:sz w:val="24"/>
                <w:szCs w:val="24"/>
              </w:rPr>
            </w:pPr>
          </w:p>
        </w:tc>
      </w:tr>
      <w:tr w:rsidR="001D6B3F" w:rsidRPr="001D6B3F" w14:paraId="0E0AAC03" w14:textId="77777777" w:rsidTr="00004108">
        <w:tc>
          <w:tcPr>
            <w:tcW w:w="10476" w:type="dxa"/>
            <w:gridSpan w:val="3"/>
          </w:tcPr>
          <w:p w14:paraId="14800348"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lastRenderedPageBreak/>
              <w:t>Counsel:</w:t>
            </w:r>
          </w:p>
        </w:tc>
      </w:tr>
      <w:tr w:rsidR="001D6B3F" w:rsidRPr="001D6B3F" w14:paraId="7F087206" w14:textId="77777777" w:rsidTr="00004108">
        <w:tc>
          <w:tcPr>
            <w:tcW w:w="4770" w:type="dxa"/>
          </w:tcPr>
          <w:p w14:paraId="4A75B42C" w14:textId="352B3DC6" w:rsidR="009C2E53" w:rsidRPr="001D6B3F" w:rsidRDefault="004026D2" w:rsidP="007A6C9F">
            <w:pPr>
              <w:spacing w:line="360" w:lineRule="auto"/>
              <w:jc w:val="center"/>
              <w:rPr>
                <w:rFonts w:ascii="Arial" w:hAnsi="Arial" w:cs="Arial"/>
                <w:b/>
                <w:sz w:val="24"/>
                <w:szCs w:val="24"/>
              </w:rPr>
            </w:pPr>
            <w:r>
              <w:rPr>
                <w:rFonts w:ascii="Arial" w:hAnsi="Arial" w:cs="Arial"/>
                <w:b/>
                <w:sz w:val="24"/>
                <w:szCs w:val="24"/>
              </w:rPr>
              <w:t>Plaintiff</w:t>
            </w:r>
          </w:p>
        </w:tc>
        <w:tc>
          <w:tcPr>
            <w:tcW w:w="5706" w:type="dxa"/>
            <w:gridSpan w:val="2"/>
          </w:tcPr>
          <w:p w14:paraId="208DE7F5" w14:textId="23AB9513" w:rsidR="009C2E53" w:rsidRPr="001D6B3F" w:rsidRDefault="00DC6364" w:rsidP="007A6C9F">
            <w:pPr>
              <w:spacing w:line="360" w:lineRule="auto"/>
              <w:jc w:val="center"/>
              <w:rPr>
                <w:rFonts w:ascii="Arial" w:hAnsi="Arial" w:cs="Arial"/>
                <w:b/>
                <w:sz w:val="24"/>
                <w:szCs w:val="24"/>
              </w:rPr>
            </w:pPr>
            <w:r w:rsidRPr="001D6B3F">
              <w:rPr>
                <w:rFonts w:ascii="Arial" w:hAnsi="Arial" w:cs="Arial"/>
                <w:b/>
                <w:sz w:val="24"/>
                <w:szCs w:val="24"/>
              </w:rPr>
              <w:t xml:space="preserve"> </w:t>
            </w:r>
            <w:r w:rsidR="004026D2">
              <w:rPr>
                <w:rFonts w:ascii="Arial" w:hAnsi="Arial" w:cs="Arial"/>
                <w:b/>
                <w:sz w:val="24"/>
                <w:szCs w:val="24"/>
              </w:rPr>
              <w:t>Defendant</w:t>
            </w:r>
          </w:p>
        </w:tc>
      </w:tr>
      <w:tr w:rsidR="001D6B3F" w:rsidRPr="001D6B3F" w14:paraId="4A32A77D" w14:textId="77777777" w:rsidTr="00143B2D">
        <w:trPr>
          <w:trHeight w:val="989"/>
        </w:trPr>
        <w:tc>
          <w:tcPr>
            <w:tcW w:w="4770" w:type="dxa"/>
          </w:tcPr>
          <w:p w14:paraId="020B5016" w14:textId="04069219" w:rsidR="00AB71DC" w:rsidRDefault="00AB71DC" w:rsidP="00D73DDE">
            <w:pPr>
              <w:pStyle w:val="Body"/>
              <w:tabs>
                <w:tab w:val="left" w:pos="1394"/>
                <w:tab w:val="left" w:pos="2528"/>
                <w:tab w:val="left" w:pos="3780"/>
              </w:tabs>
              <w:spacing w:line="360" w:lineRule="auto"/>
              <w:jc w:val="center"/>
              <w:rPr>
                <w:rFonts w:ascii="Arial" w:hAnsi="Arial" w:cs="Arial"/>
                <w:color w:val="auto"/>
                <w:sz w:val="24"/>
                <w:szCs w:val="24"/>
                <w:lang w:val="de-DE"/>
              </w:rPr>
            </w:pPr>
          </w:p>
          <w:p w14:paraId="0882B254" w14:textId="18FFF6E1" w:rsidR="00D73DDE" w:rsidRDefault="00D73DDE" w:rsidP="00D73DDE">
            <w:pPr>
              <w:pStyle w:val="Body"/>
              <w:tabs>
                <w:tab w:val="left" w:pos="1394"/>
                <w:tab w:val="left" w:pos="2528"/>
                <w:tab w:val="left" w:pos="3780"/>
              </w:tabs>
              <w:spacing w:line="360" w:lineRule="auto"/>
              <w:jc w:val="center"/>
              <w:rPr>
                <w:rFonts w:ascii="Arial" w:hAnsi="Arial" w:cs="Arial"/>
                <w:color w:val="auto"/>
                <w:sz w:val="24"/>
                <w:szCs w:val="24"/>
                <w:lang w:val="de-DE"/>
              </w:rPr>
            </w:pPr>
            <w:r>
              <w:rPr>
                <w:rFonts w:ascii="Arial" w:hAnsi="Arial" w:cs="Arial"/>
                <w:color w:val="auto"/>
                <w:sz w:val="24"/>
                <w:szCs w:val="24"/>
                <w:lang w:val="de-DE"/>
              </w:rPr>
              <w:t>J Arnols</w:t>
            </w:r>
          </w:p>
          <w:p w14:paraId="2EAED3F8" w14:textId="5744FC52" w:rsidR="00D73DDE" w:rsidRPr="001D6B3F" w:rsidRDefault="00D73DDE" w:rsidP="00D73DDE">
            <w:pPr>
              <w:pStyle w:val="Body"/>
              <w:tabs>
                <w:tab w:val="left" w:pos="1394"/>
                <w:tab w:val="left" w:pos="2528"/>
                <w:tab w:val="left" w:pos="3780"/>
              </w:tabs>
              <w:spacing w:line="360" w:lineRule="auto"/>
              <w:jc w:val="center"/>
              <w:rPr>
                <w:rFonts w:ascii="Arial" w:hAnsi="Arial" w:cs="Arial"/>
                <w:color w:val="auto"/>
                <w:sz w:val="24"/>
                <w:szCs w:val="24"/>
                <w:lang w:val="de-DE"/>
              </w:rPr>
            </w:pPr>
            <w:r>
              <w:rPr>
                <w:rFonts w:ascii="Arial" w:hAnsi="Arial" w:cs="Arial"/>
                <w:color w:val="auto"/>
                <w:sz w:val="24"/>
                <w:szCs w:val="24"/>
                <w:lang w:val="de-DE"/>
              </w:rPr>
              <w:t>Of Sisa Namandje &amp; Co Inc., Windhoek</w:t>
            </w:r>
          </w:p>
          <w:p w14:paraId="710D9D96" w14:textId="3D70B7E8" w:rsidR="00AB71DC" w:rsidRPr="001D6B3F" w:rsidRDefault="00AB71DC" w:rsidP="00535D15">
            <w:pPr>
              <w:pStyle w:val="Body"/>
              <w:spacing w:line="360" w:lineRule="auto"/>
              <w:jc w:val="center"/>
              <w:rPr>
                <w:rFonts w:ascii="Arial" w:hAnsi="Arial" w:cs="Arial"/>
                <w:sz w:val="24"/>
                <w:szCs w:val="24"/>
              </w:rPr>
            </w:pPr>
          </w:p>
        </w:tc>
        <w:tc>
          <w:tcPr>
            <w:tcW w:w="5706" w:type="dxa"/>
            <w:gridSpan w:val="2"/>
          </w:tcPr>
          <w:p w14:paraId="32636BDE" w14:textId="77777777" w:rsidR="00AB71DC" w:rsidRPr="001D6B3F" w:rsidRDefault="00AB71DC" w:rsidP="007A6C9F">
            <w:pPr>
              <w:pStyle w:val="Body"/>
              <w:spacing w:line="360" w:lineRule="auto"/>
              <w:ind w:left="2520" w:hanging="2520"/>
              <w:jc w:val="both"/>
              <w:rPr>
                <w:rFonts w:ascii="Arial" w:hAnsi="Arial" w:cs="Arial"/>
                <w:color w:val="auto"/>
                <w:sz w:val="24"/>
                <w:szCs w:val="24"/>
                <w:lang w:val="en-US"/>
              </w:rPr>
            </w:pPr>
          </w:p>
          <w:p w14:paraId="3EDEE1E2" w14:textId="4451F0CC" w:rsidR="009C2E53" w:rsidRDefault="00D73DDE" w:rsidP="00535D15">
            <w:pPr>
              <w:spacing w:line="360" w:lineRule="auto"/>
              <w:jc w:val="center"/>
              <w:rPr>
                <w:rFonts w:ascii="Arial" w:hAnsi="Arial" w:cs="Arial"/>
                <w:sz w:val="24"/>
                <w:szCs w:val="24"/>
              </w:rPr>
            </w:pPr>
            <w:r>
              <w:rPr>
                <w:rFonts w:ascii="Arial" w:hAnsi="Arial" w:cs="Arial"/>
                <w:sz w:val="24"/>
                <w:szCs w:val="24"/>
              </w:rPr>
              <w:t>S</w:t>
            </w:r>
            <w:r w:rsidR="00D03B1D">
              <w:rPr>
                <w:rFonts w:ascii="Arial" w:hAnsi="Arial" w:cs="Arial"/>
                <w:sz w:val="24"/>
                <w:szCs w:val="24"/>
              </w:rPr>
              <w:t xml:space="preserve"> N</w:t>
            </w:r>
            <w:r>
              <w:rPr>
                <w:rFonts w:ascii="Arial" w:hAnsi="Arial" w:cs="Arial"/>
                <w:sz w:val="24"/>
                <w:szCs w:val="24"/>
              </w:rPr>
              <w:t xml:space="preserve"> </w:t>
            </w:r>
            <w:proofErr w:type="spellStart"/>
            <w:r>
              <w:rPr>
                <w:rFonts w:ascii="Arial" w:hAnsi="Arial" w:cs="Arial"/>
                <w:sz w:val="24"/>
                <w:szCs w:val="24"/>
              </w:rPr>
              <w:t>Enkali</w:t>
            </w:r>
            <w:proofErr w:type="spellEnd"/>
          </w:p>
          <w:p w14:paraId="1E8AB446" w14:textId="4B6A7579" w:rsidR="00D73DDE" w:rsidRPr="001D6B3F" w:rsidRDefault="00D73DDE" w:rsidP="00535D15">
            <w:pPr>
              <w:spacing w:line="360" w:lineRule="auto"/>
              <w:jc w:val="center"/>
              <w:rPr>
                <w:rFonts w:ascii="Arial" w:hAnsi="Arial" w:cs="Arial"/>
                <w:sz w:val="24"/>
                <w:szCs w:val="24"/>
              </w:rPr>
            </w:pPr>
            <w:r>
              <w:rPr>
                <w:rFonts w:ascii="Arial" w:hAnsi="Arial" w:cs="Arial"/>
                <w:sz w:val="24"/>
                <w:szCs w:val="24"/>
              </w:rPr>
              <w:t>Of Kadhila Amoomo Legal Practitioners, Windhoek</w:t>
            </w:r>
          </w:p>
        </w:tc>
      </w:tr>
    </w:tbl>
    <w:p w14:paraId="145039E2" w14:textId="078C6330" w:rsidR="009C2E53" w:rsidRPr="001D6B3F" w:rsidRDefault="009C2E53" w:rsidP="00EF1256">
      <w:pPr>
        <w:spacing w:after="0" w:line="360" w:lineRule="auto"/>
        <w:jc w:val="both"/>
      </w:pPr>
    </w:p>
    <w:sectPr w:rsidR="009C2E53" w:rsidRPr="001D6B3F" w:rsidSect="008916E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D2A9D" w14:textId="77777777" w:rsidR="00954D19" w:rsidRDefault="00954D19" w:rsidP="009C2E53">
      <w:pPr>
        <w:spacing w:after="0" w:line="240" w:lineRule="auto"/>
      </w:pPr>
      <w:r>
        <w:separator/>
      </w:r>
    </w:p>
  </w:endnote>
  <w:endnote w:type="continuationSeparator" w:id="0">
    <w:p w14:paraId="53CC6B8C" w14:textId="77777777" w:rsidR="00954D19" w:rsidRDefault="00954D19"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65DF" w14:textId="77777777" w:rsidR="00954D19" w:rsidRDefault="00954D19" w:rsidP="009C2E53">
      <w:pPr>
        <w:spacing w:after="0" w:line="240" w:lineRule="auto"/>
      </w:pPr>
      <w:r>
        <w:separator/>
      </w:r>
    </w:p>
  </w:footnote>
  <w:footnote w:type="continuationSeparator" w:id="0">
    <w:p w14:paraId="69390591" w14:textId="77777777" w:rsidR="00954D19" w:rsidRDefault="00954D19" w:rsidP="009C2E53">
      <w:pPr>
        <w:spacing w:after="0" w:line="240" w:lineRule="auto"/>
      </w:pPr>
      <w:r>
        <w:continuationSeparator/>
      </w:r>
    </w:p>
  </w:footnote>
  <w:footnote w:id="1">
    <w:p w14:paraId="7AF76A68" w14:textId="2F407D98" w:rsidR="00D73DDE" w:rsidRPr="00491844" w:rsidRDefault="00D73DDE" w:rsidP="00D73DDE">
      <w:pPr>
        <w:pStyle w:val="FootnoteText"/>
        <w:jc w:val="both"/>
        <w:rPr>
          <w:rFonts w:ascii="Arial" w:hAnsi="Arial" w:cs="Arial"/>
          <w:lang w:val="en-US"/>
        </w:rPr>
      </w:pPr>
      <w:r>
        <w:rPr>
          <w:rStyle w:val="FootnoteReference"/>
        </w:rPr>
        <w:footnoteRef/>
      </w:r>
      <w:r>
        <w:t xml:space="preserve"> </w:t>
      </w:r>
      <w:proofErr w:type="gramStart"/>
      <w:r w:rsidR="00FE2EA3">
        <w:rPr>
          <w:rFonts w:ascii="Arial" w:hAnsi="Arial" w:cs="Arial"/>
          <w:lang w:val="en-US"/>
        </w:rPr>
        <w:t>High Court Rule 60(1).</w:t>
      </w:r>
      <w:proofErr w:type="gramEnd"/>
    </w:p>
  </w:footnote>
  <w:footnote w:id="2">
    <w:p w14:paraId="00BA22B4" w14:textId="6E1C72CB" w:rsidR="00D73DDE" w:rsidRPr="00491844" w:rsidRDefault="00D73DDE" w:rsidP="00D73DDE">
      <w:pPr>
        <w:pStyle w:val="FootnoteText"/>
        <w:jc w:val="both"/>
        <w:rPr>
          <w:rFonts w:ascii="Arial" w:hAnsi="Arial" w:cs="Arial"/>
          <w:lang w:val="en-US"/>
        </w:rPr>
      </w:pPr>
      <w:r>
        <w:rPr>
          <w:rStyle w:val="FootnoteReference"/>
        </w:rPr>
        <w:footnoteRef/>
      </w:r>
      <w:r>
        <w:t xml:space="preserve"> </w:t>
      </w:r>
      <w:proofErr w:type="gramStart"/>
      <w:r w:rsidR="00FE2EA3">
        <w:rPr>
          <w:rFonts w:ascii="Arial" w:hAnsi="Arial" w:cs="Arial"/>
          <w:lang w:val="en-US"/>
        </w:rPr>
        <w:t>High Court Rule 45(9).</w:t>
      </w:r>
      <w:proofErr w:type="gramEnd"/>
    </w:p>
  </w:footnote>
  <w:footnote w:id="3">
    <w:p w14:paraId="7FD1FDDF" w14:textId="77777777" w:rsidR="00D73DDE" w:rsidRPr="00491844" w:rsidRDefault="00D73DDE" w:rsidP="00D73DDE">
      <w:pPr>
        <w:pStyle w:val="FootnoteText"/>
        <w:jc w:val="both"/>
        <w:rPr>
          <w:rFonts w:ascii="Arial" w:hAnsi="Arial" w:cs="Arial"/>
          <w:lang w:val="en-US"/>
        </w:rPr>
      </w:pPr>
      <w:r>
        <w:rPr>
          <w:rStyle w:val="FootnoteReference"/>
        </w:rPr>
        <w:footnoteRef/>
      </w:r>
      <w:r>
        <w:t xml:space="preserve"> </w:t>
      </w:r>
      <w:r>
        <w:rPr>
          <w:rFonts w:ascii="Arial" w:hAnsi="Arial" w:cs="Arial"/>
          <w:lang w:val="en-US"/>
        </w:rPr>
        <w:t>See para 1 of the defendant’s opposing affidavit.</w:t>
      </w:r>
    </w:p>
  </w:footnote>
  <w:footnote w:id="4">
    <w:p w14:paraId="7193E1AF" w14:textId="77777777" w:rsidR="00D73DDE" w:rsidRPr="002615FE" w:rsidRDefault="00D73DDE" w:rsidP="00D73DDE">
      <w:pPr>
        <w:pStyle w:val="FootnoteText"/>
        <w:jc w:val="both"/>
        <w:rPr>
          <w:lang w:val="en-US"/>
        </w:rPr>
      </w:pPr>
      <w:r>
        <w:rPr>
          <w:rStyle w:val="FootnoteReference"/>
        </w:rPr>
        <w:footnoteRef/>
      </w:r>
      <w:r>
        <w:t xml:space="preserve"> </w:t>
      </w:r>
      <w:proofErr w:type="spellStart"/>
      <w:r w:rsidRPr="002615FE">
        <w:rPr>
          <w:rFonts w:ascii="Arial" w:hAnsi="Arial" w:cs="Arial"/>
          <w:i/>
        </w:rPr>
        <w:t>Arysteq</w:t>
      </w:r>
      <w:proofErr w:type="spellEnd"/>
      <w:r w:rsidRPr="002615FE">
        <w:rPr>
          <w:rFonts w:ascii="Arial" w:hAnsi="Arial" w:cs="Arial"/>
          <w:i/>
        </w:rPr>
        <w:t xml:space="preserve"> Financial Services (Pty) Ltd v </w:t>
      </w:r>
      <w:proofErr w:type="spellStart"/>
      <w:r w:rsidRPr="002615FE">
        <w:rPr>
          <w:rFonts w:ascii="Arial" w:hAnsi="Arial" w:cs="Arial"/>
          <w:i/>
        </w:rPr>
        <w:t>Quinto</w:t>
      </w:r>
      <w:proofErr w:type="spellEnd"/>
      <w:r w:rsidRPr="002615FE">
        <w:rPr>
          <w:rFonts w:ascii="Arial" w:hAnsi="Arial" w:cs="Arial"/>
          <w:i/>
        </w:rPr>
        <w:t xml:space="preserve"> </w:t>
      </w:r>
      <w:proofErr w:type="spellStart"/>
      <w:r w:rsidRPr="002615FE">
        <w:rPr>
          <w:rFonts w:ascii="Arial" w:hAnsi="Arial" w:cs="Arial"/>
          <w:i/>
        </w:rPr>
        <w:t>Ockhuizen</w:t>
      </w:r>
      <w:proofErr w:type="spellEnd"/>
      <w:r w:rsidRPr="002615FE">
        <w:rPr>
          <w:rFonts w:ascii="Arial" w:hAnsi="Arial" w:cs="Arial"/>
          <w:i/>
        </w:rPr>
        <w:t xml:space="preserve"> </w:t>
      </w:r>
      <w:r w:rsidRPr="002615FE">
        <w:rPr>
          <w:rFonts w:ascii="Arial" w:hAnsi="Arial" w:cs="Arial"/>
        </w:rPr>
        <w:t>HC-MD-CIV-ACT-CON-2019/00478 [2022] NAHCMD 16 (21 January 2022) para 51.</w:t>
      </w:r>
    </w:p>
  </w:footnote>
  <w:footnote w:id="5">
    <w:p w14:paraId="5145FAD2" w14:textId="77777777" w:rsidR="00D73DDE" w:rsidRPr="002615FE" w:rsidRDefault="00D73DDE" w:rsidP="00D73DDE">
      <w:pPr>
        <w:pStyle w:val="FootnoteText"/>
        <w:jc w:val="both"/>
        <w:rPr>
          <w:rFonts w:ascii="Arial" w:hAnsi="Arial" w:cs="Arial"/>
          <w:lang w:val="en-US"/>
        </w:rPr>
      </w:pPr>
      <w:r>
        <w:rPr>
          <w:rStyle w:val="FootnoteReference"/>
        </w:rPr>
        <w:footnoteRef/>
      </w:r>
      <w:r>
        <w:t xml:space="preserve"> </w:t>
      </w:r>
      <w:r>
        <w:rPr>
          <w:rFonts w:ascii="Arial" w:hAnsi="Arial" w:cs="Arial"/>
          <w:lang w:val="en-US"/>
        </w:rPr>
        <w:t>Ibid para 53 and the authorities collected therein.</w:t>
      </w:r>
    </w:p>
  </w:footnote>
  <w:footnote w:id="6">
    <w:p w14:paraId="51469656" w14:textId="53A436F2" w:rsidR="000235E6" w:rsidRPr="00FE2EA3" w:rsidRDefault="000235E6">
      <w:pPr>
        <w:pStyle w:val="FootnoteText"/>
      </w:pPr>
      <w:r>
        <w:rPr>
          <w:rStyle w:val="FootnoteReference"/>
        </w:rPr>
        <w:footnoteRef/>
      </w:r>
      <w:r>
        <w:t xml:space="preserve"> </w:t>
      </w:r>
      <w:proofErr w:type="gramStart"/>
      <w:r w:rsidRPr="000235E6">
        <w:rPr>
          <w:rFonts w:ascii="Arial" w:hAnsi="Arial" w:cs="Arial"/>
          <w:i/>
        </w:rPr>
        <w:t>Di Savino v Nedbank Namibia Limited</w:t>
      </w:r>
      <w:r>
        <w:rPr>
          <w:rFonts w:ascii="Arial" w:hAnsi="Arial" w:cs="Arial"/>
          <w:i/>
        </w:rPr>
        <w:t xml:space="preserve"> </w:t>
      </w:r>
      <w:r w:rsidRPr="000235E6">
        <w:rPr>
          <w:rFonts w:ascii="Arial" w:hAnsi="Arial" w:cs="Arial"/>
          <w:iCs/>
        </w:rPr>
        <w:t>2012 (2) NR 7 (SC</w:t>
      </w:r>
      <w:r w:rsidRPr="000235E6">
        <w:rPr>
          <w:rFonts w:ascii="Arial" w:hAnsi="Arial" w:cs="Arial"/>
          <w:i/>
        </w:rPr>
        <w:t>)</w:t>
      </w:r>
      <w:r w:rsidR="00FE2EA3">
        <w:rPr>
          <w:rFonts w:ascii="Arial" w:hAnsi="Arial"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74228"/>
      <w:docPartObj>
        <w:docPartGallery w:val="Page Numbers (Top of Page)"/>
        <w:docPartUnique/>
      </w:docPartObj>
    </w:sdtPr>
    <w:sdtEndPr>
      <w:rPr>
        <w:noProof/>
      </w:rPr>
    </w:sdtEndPr>
    <w:sdtContent>
      <w:p w14:paraId="05CAB710" w14:textId="77777777" w:rsidR="00921456" w:rsidRPr="00186A43" w:rsidRDefault="00921456" w:rsidP="00BF46CD">
        <w:pPr>
          <w:pStyle w:val="Header"/>
          <w:tabs>
            <w:tab w:val="clear" w:pos="9360"/>
            <w:tab w:val="right" w:pos="10065"/>
          </w:tabs>
          <w:ind w:right="-705"/>
          <w:jc w:val="right"/>
        </w:pPr>
        <w:r w:rsidRPr="00186A43">
          <w:fldChar w:fldCharType="begin"/>
        </w:r>
        <w:r w:rsidRPr="00186A43">
          <w:instrText xml:space="preserve"> PAGE   \* MERGEFORMAT </w:instrText>
        </w:r>
        <w:r w:rsidRPr="00186A43">
          <w:fldChar w:fldCharType="separate"/>
        </w:r>
        <w:r w:rsidR="00BA35A2">
          <w:rPr>
            <w:noProof/>
          </w:rPr>
          <w:t>7</w:t>
        </w:r>
        <w:r w:rsidRPr="00186A43">
          <w:rPr>
            <w:noProof/>
          </w:rPr>
          <w:fldChar w:fldCharType="end"/>
        </w:r>
      </w:p>
    </w:sdtContent>
  </w:sdt>
  <w:p w14:paraId="4CDD9004" w14:textId="77777777" w:rsidR="00921456" w:rsidRPr="00186A43"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C6CC5"/>
    <w:multiLevelType w:val="hybridMultilevel"/>
    <w:tmpl w:val="F5E60AAA"/>
    <w:lvl w:ilvl="0" w:tplc="D7E62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62ED"/>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AE5231"/>
    <w:multiLevelType w:val="hybridMultilevel"/>
    <w:tmpl w:val="62023B62"/>
    <w:lvl w:ilvl="0" w:tplc="1F288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74E17"/>
    <w:multiLevelType w:val="hybridMultilevel"/>
    <w:tmpl w:val="0BFC282C"/>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33315"/>
    <w:multiLevelType w:val="hybridMultilevel"/>
    <w:tmpl w:val="9E9C4AEE"/>
    <w:lvl w:ilvl="0" w:tplc="537A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973B1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2F22D5"/>
    <w:multiLevelType w:val="hybridMultilevel"/>
    <w:tmpl w:val="2046A142"/>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61A2A"/>
    <w:multiLevelType w:val="hybridMultilevel"/>
    <w:tmpl w:val="0BFC282C"/>
    <w:styleLink w:val="ImportedStyle1"/>
    <w:lvl w:ilvl="0" w:tplc="AE92C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E7D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466E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AA5F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66F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AC9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A2A6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5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4AC3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0B859B1"/>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C4F0883"/>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801487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0E27CA"/>
    <w:multiLevelType w:val="hybridMultilevel"/>
    <w:tmpl w:val="A2C0201A"/>
    <w:lvl w:ilvl="0" w:tplc="530A1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82FBE"/>
    <w:multiLevelType w:val="hybridMultilevel"/>
    <w:tmpl w:val="9AC4FB76"/>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B5DE0"/>
    <w:multiLevelType w:val="multilevel"/>
    <w:tmpl w:val="0BFC282C"/>
    <w:numStyleLink w:val="ImportedStyle1"/>
  </w:abstractNum>
  <w:abstractNum w:abstractNumId="19">
    <w:nsid w:val="43DA3C2F"/>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F81C39"/>
    <w:multiLevelType w:val="hybridMultilevel"/>
    <w:tmpl w:val="5DCE1C6C"/>
    <w:lvl w:ilvl="0" w:tplc="8DA09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6634C66"/>
    <w:multiLevelType w:val="hybridMultilevel"/>
    <w:tmpl w:val="36C0CF7C"/>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063B3A"/>
    <w:multiLevelType w:val="hybridMultilevel"/>
    <w:tmpl w:val="823E28B4"/>
    <w:lvl w:ilvl="0" w:tplc="F2F2BA3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65A53BD5"/>
    <w:multiLevelType w:val="hybridMultilevel"/>
    <w:tmpl w:val="A4A86F12"/>
    <w:lvl w:ilvl="0" w:tplc="975644B0">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9C320C4"/>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DBB7230"/>
    <w:multiLevelType w:val="hybridMultilevel"/>
    <w:tmpl w:val="99FE53F4"/>
    <w:lvl w:ilvl="0" w:tplc="4162A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E16189F"/>
    <w:multiLevelType w:val="hybridMultilevel"/>
    <w:tmpl w:val="123611E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05D6568"/>
    <w:multiLevelType w:val="hybridMultilevel"/>
    <w:tmpl w:val="E1F4E1EA"/>
    <w:lvl w:ilvl="0" w:tplc="EE5CC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EA5DBB"/>
    <w:multiLevelType w:val="hybridMultilevel"/>
    <w:tmpl w:val="58041394"/>
    <w:lvl w:ilvl="0" w:tplc="BBB80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7E61150"/>
    <w:multiLevelType w:val="hybridMultilevel"/>
    <w:tmpl w:val="7EB2D1D8"/>
    <w:lvl w:ilvl="0" w:tplc="CDE6AE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9623DC"/>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5"/>
  </w:num>
  <w:num w:numId="2">
    <w:abstractNumId w:val="0"/>
  </w:num>
  <w:num w:numId="3">
    <w:abstractNumId w:val="5"/>
  </w:num>
  <w:num w:numId="4">
    <w:abstractNumId w:val="23"/>
  </w:num>
  <w:num w:numId="5">
    <w:abstractNumId w:val="22"/>
  </w:num>
  <w:num w:numId="6">
    <w:abstractNumId w:val="14"/>
  </w:num>
  <w:num w:numId="7">
    <w:abstractNumId w:val="11"/>
  </w:num>
  <w:num w:numId="8">
    <w:abstractNumId w:val="34"/>
  </w:num>
  <w:num w:numId="9">
    <w:abstractNumId w:val="13"/>
  </w:num>
  <w:num w:numId="10">
    <w:abstractNumId w:val="37"/>
  </w:num>
  <w:num w:numId="11">
    <w:abstractNumId w:val="28"/>
  </w:num>
  <w:num w:numId="12">
    <w:abstractNumId w:val="7"/>
  </w:num>
  <w:num w:numId="13">
    <w:abstractNumId w:val="21"/>
  </w:num>
  <w:num w:numId="14">
    <w:abstractNumId w:val="33"/>
  </w:num>
  <w:num w:numId="15">
    <w:abstractNumId w:val="36"/>
  </w:num>
  <w:num w:numId="16">
    <w:abstractNumId w:val="10"/>
  </w:num>
  <w:num w:numId="17">
    <w:abstractNumId w:val="9"/>
  </w:num>
  <w:num w:numId="18">
    <w:abstractNumId w:val="18"/>
  </w:num>
  <w:num w:numId="19">
    <w:abstractNumId w:val="15"/>
  </w:num>
  <w:num w:numId="20">
    <w:abstractNumId w:val="19"/>
  </w:num>
  <w:num w:numId="21">
    <w:abstractNumId w:val="6"/>
  </w:num>
  <w:num w:numId="22">
    <w:abstractNumId w:val="12"/>
  </w:num>
  <w:num w:numId="23">
    <w:abstractNumId w:val="31"/>
  </w:num>
  <w:num w:numId="24">
    <w:abstractNumId w:val="4"/>
  </w:num>
  <w:num w:numId="25">
    <w:abstractNumId w:val="27"/>
  </w:num>
  <w:num w:numId="26">
    <w:abstractNumId w:val="2"/>
  </w:num>
  <w:num w:numId="27">
    <w:abstractNumId w:val="29"/>
  </w:num>
  <w:num w:numId="28">
    <w:abstractNumId w:val="30"/>
  </w:num>
  <w:num w:numId="29">
    <w:abstractNumId w:val="24"/>
  </w:num>
  <w:num w:numId="30">
    <w:abstractNumId w:val="8"/>
  </w:num>
  <w:num w:numId="31">
    <w:abstractNumId w:val="3"/>
  </w:num>
  <w:num w:numId="32">
    <w:abstractNumId w:val="32"/>
  </w:num>
  <w:num w:numId="33">
    <w:abstractNumId w:val="35"/>
  </w:num>
  <w:num w:numId="34">
    <w:abstractNumId w:val="20"/>
  </w:num>
  <w:num w:numId="35">
    <w:abstractNumId w:val="17"/>
  </w:num>
  <w:num w:numId="36">
    <w:abstractNumId w:val="1"/>
  </w:num>
  <w:num w:numId="37">
    <w:abstractNumId w:val="2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53"/>
    <w:rsid w:val="0000106C"/>
    <w:rsid w:val="00004108"/>
    <w:rsid w:val="00004E1C"/>
    <w:rsid w:val="0001446E"/>
    <w:rsid w:val="000151DD"/>
    <w:rsid w:val="00017193"/>
    <w:rsid w:val="000235E6"/>
    <w:rsid w:val="00025639"/>
    <w:rsid w:val="00025D47"/>
    <w:rsid w:val="00027317"/>
    <w:rsid w:val="00034287"/>
    <w:rsid w:val="000424AD"/>
    <w:rsid w:val="000517D9"/>
    <w:rsid w:val="000519A2"/>
    <w:rsid w:val="00060136"/>
    <w:rsid w:val="000672C0"/>
    <w:rsid w:val="000736B6"/>
    <w:rsid w:val="000742B3"/>
    <w:rsid w:val="000817FE"/>
    <w:rsid w:val="00093110"/>
    <w:rsid w:val="00094B6B"/>
    <w:rsid w:val="00096F9F"/>
    <w:rsid w:val="00097233"/>
    <w:rsid w:val="000A193C"/>
    <w:rsid w:val="000A2C5F"/>
    <w:rsid w:val="000B2A0C"/>
    <w:rsid w:val="000B2FEC"/>
    <w:rsid w:val="000B33EE"/>
    <w:rsid w:val="000C0916"/>
    <w:rsid w:val="000C61B9"/>
    <w:rsid w:val="000C665C"/>
    <w:rsid w:val="000D0405"/>
    <w:rsid w:val="000D1FDC"/>
    <w:rsid w:val="000D239B"/>
    <w:rsid w:val="000D4D37"/>
    <w:rsid w:val="000E775F"/>
    <w:rsid w:val="000F6149"/>
    <w:rsid w:val="0010178E"/>
    <w:rsid w:val="0010758D"/>
    <w:rsid w:val="00107F84"/>
    <w:rsid w:val="00116A1A"/>
    <w:rsid w:val="0013278F"/>
    <w:rsid w:val="00137D18"/>
    <w:rsid w:val="00142FF4"/>
    <w:rsid w:val="00143B2D"/>
    <w:rsid w:val="0014516C"/>
    <w:rsid w:val="00154A5A"/>
    <w:rsid w:val="001624C1"/>
    <w:rsid w:val="001704E1"/>
    <w:rsid w:val="001779B3"/>
    <w:rsid w:val="001844BF"/>
    <w:rsid w:val="00186A43"/>
    <w:rsid w:val="001A5C0F"/>
    <w:rsid w:val="001B0AC2"/>
    <w:rsid w:val="001B27F4"/>
    <w:rsid w:val="001C4DB1"/>
    <w:rsid w:val="001C7592"/>
    <w:rsid w:val="001D2A5E"/>
    <w:rsid w:val="001D51E3"/>
    <w:rsid w:val="001D6B3F"/>
    <w:rsid w:val="001E267B"/>
    <w:rsid w:val="001E704F"/>
    <w:rsid w:val="001F058C"/>
    <w:rsid w:val="00210099"/>
    <w:rsid w:val="002120B7"/>
    <w:rsid w:val="0021222B"/>
    <w:rsid w:val="002150D0"/>
    <w:rsid w:val="002158A2"/>
    <w:rsid w:val="00222BB5"/>
    <w:rsid w:val="00225D4A"/>
    <w:rsid w:val="0023037A"/>
    <w:rsid w:val="00236038"/>
    <w:rsid w:val="00241358"/>
    <w:rsid w:val="002478E9"/>
    <w:rsid w:val="002524E6"/>
    <w:rsid w:val="00257708"/>
    <w:rsid w:val="00267876"/>
    <w:rsid w:val="00280EA1"/>
    <w:rsid w:val="002828CA"/>
    <w:rsid w:val="00284B5E"/>
    <w:rsid w:val="00287260"/>
    <w:rsid w:val="00297DDA"/>
    <w:rsid w:val="002A1B18"/>
    <w:rsid w:val="002C7062"/>
    <w:rsid w:val="002D0858"/>
    <w:rsid w:val="002D15B0"/>
    <w:rsid w:val="002D1DC3"/>
    <w:rsid w:val="002D269C"/>
    <w:rsid w:val="002D5299"/>
    <w:rsid w:val="002D6C03"/>
    <w:rsid w:val="002E3C26"/>
    <w:rsid w:val="002E66C4"/>
    <w:rsid w:val="002E779F"/>
    <w:rsid w:val="002F00E2"/>
    <w:rsid w:val="003058A9"/>
    <w:rsid w:val="00315844"/>
    <w:rsid w:val="00324AA6"/>
    <w:rsid w:val="00333FE2"/>
    <w:rsid w:val="0034027A"/>
    <w:rsid w:val="00341784"/>
    <w:rsid w:val="00342991"/>
    <w:rsid w:val="00351E67"/>
    <w:rsid w:val="00387CE2"/>
    <w:rsid w:val="00390CAF"/>
    <w:rsid w:val="0039792A"/>
    <w:rsid w:val="003B0C0D"/>
    <w:rsid w:val="003B5001"/>
    <w:rsid w:val="003C6630"/>
    <w:rsid w:val="003D2D8A"/>
    <w:rsid w:val="003D5992"/>
    <w:rsid w:val="003E72DC"/>
    <w:rsid w:val="003E7B95"/>
    <w:rsid w:val="00402207"/>
    <w:rsid w:val="004026D2"/>
    <w:rsid w:val="00413140"/>
    <w:rsid w:val="004144C1"/>
    <w:rsid w:val="00415ECC"/>
    <w:rsid w:val="00422E74"/>
    <w:rsid w:val="00423A6C"/>
    <w:rsid w:val="00425504"/>
    <w:rsid w:val="00430B52"/>
    <w:rsid w:val="004317EE"/>
    <w:rsid w:val="004344CE"/>
    <w:rsid w:val="00434726"/>
    <w:rsid w:val="00435A41"/>
    <w:rsid w:val="004366B2"/>
    <w:rsid w:val="00437DE9"/>
    <w:rsid w:val="00451B47"/>
    <w:rsid w:val="004541AC"/>
    <w:rsid w:val="00456486"/>
    <w:rsid w:val="00457481"/>
    <w:rsid w:val="004754F8"/>
    <w:rsid w:val="00477431"/>
    <w:rsid w:val="00481062"/>
    <w:rsid w:val="00485708"/>
    <w:rsid w:val="004861BA"/>
    <w:rsid w:val="004871A9"/>
    <w:rsid w:val="004878D3"/>
    <w:rsid w:val="00487903"/>
    <w:rsid w:val="004907F9"/>
    <w:rsid w:val="00491EAE"/>
    <w:rsid w:val="004B2FE6"/>
    <w:rsid w:val="004B53A5"/>
    <w:rsid w:val="004F1FD3"/>
    <w:rsid w:val="00505F77"/>
    <w:rsid w:val="005078CC"/>
    <w:rsid w:val="005163E0"/>
    <w:rsid w:val="00517F41"/>
    <w:rsid w:val="005216C7"/>
    <w:rsid w:val="00526AE0"/>
    <w:rsid w:val="00535D15"/>
    <w:rsid w:val="00545657"/>
    <w:rsid w:val="005508CE"/>
    <w:rsid w:val="00554726"/>
    <w:rsid w:val="00560147"/>
    <w:rsid w:val="00565BB8"/>
    <w:rsid w:val="0059672C"/>
    <w:rsid w:val="005A1127"/>
    <w:rsid w:val="005A563B"/>
    <w:rsid w:val="005A6186"/>
    <w:rsid w:val="005A6CAD"/>
    <w:rsid w:val="005B6AF5"/>
    <w:rsid w:val="005B79AB"/>
    <w:rsid w:val="005C2B5B"/>
    <w:rsid w:val="005C6BBF"/>
    <w:rsid w:val="005C7CE9"/>
    <w:rsid w:val="005D573C"/>
    <w:rsid w:val="005F15B0"/>
    <w:rsid w:val="0061062B"/>
    <w:rsid w:val="00610D63"/>
    <w:rsid w:val="00612016"/>
    <w:rsid w:val="00615C9E"/>
    <w:rsid w:val="00616BA6"/>
    <w:rsid w:val="00616F75"/>
    <w:rsid w:val="00620B70"/>
    <w:rsid w:val="00623D17"/>
    <w:rsid w:val="0062691A"/>
    <w:rsid w:val="006336AA"/>
    <w:rsid w:val="00635F3C"/>
    <w:rsid w:val="006412F6"/>
    <w:rsid w:val="00645A84"/>
    <w:rsid w:val="00651263"/>
    <w:rsid w:val="006541D3"/>
    <w:rsid w:val="00660E85"/>
    <w:rsid w:val="006647C4"/>
    <w:rsid w:val="00670308"/>
    <w:rsid w:val="00681908"/>
    <w:rsid w:val="0068252C"/>
    <w:rsid w:val="00690F37"/>
    <w:rsid w:val="00696D63"/>
    <w:rsid w:val="006A3ED5"/>
    <w:rsid w:val="006A70AE"/>
    <w:rsid w:val="006B1FAF"/>
    <w:rsid w:val="006D1B3B"/>
    <w:rsid w:val="006D4123"/>
    <w:rsid w:val="006D56F0"/>
    <w:rsid w:val="006E333C"/>
    <w:rsid w:val="006F061A"/>
    <w:rsid w:val="006F0D59"/>
    <w:rsid w:val="006F4187"/>
    <w:rsid w:val="006F46F0"/>
    <w:rsid w:val="006F59B4"/>
    <w:rsid w:val="0070040A"/>
    <w:rsid w:val="00702353"/>
    <w:rsid w:val="0071150C"/>
    <w:rsid w:val="00732ACD"/>
    <w:rsid w:val="00743DD5"/>
    <w:rsid w:val="00747D74"/>
    <w:rsid w:val="00757C37"/>
    <w:rsid w:val="00761719"/>
    <w:rsid w:val="00762FA5"/>
    <w:rsid w:val="007644E9"/>
    <w:rsid w:val="00767C2D"/>
    <w:rsid w:val="007769C4"/>
    <w:rsid w:val="0078556A"/>
    <w:rsid w:val="00785A19"/>
    <w:rsid w:val="00786210"/>
    <w:rsid w:val="007869DA"/>
    <w:rsid w:val="00790EA0"/>
    <w:rsid w:val="0079140E"/>
    <w:rsid w:val="007A0885"/>
    <w:rsid w:val="007A1297"/>
    <w:rsid w:val="007A47D1"/>
    <w:rsid w:val="007A6C9F"/>
    <w:rsid w:val="007B3B1A"/>
    <w:rsid w:val="007C269A"/>
    <w:rsid w:val="007C332D"/>
    <w:rsid w:val="007C3A10"/>
    <w:rsid w:val="007D16A2"/>
    <w:rsid w:val="007E02B3"/>
    <w:rsid w:val="007E07B7"/>
    <w:rsid w:val="007E4920"/>
    <w:rsid w:val="0080430F"/>
    <w:rsid w:val="00806035"/>
    <w:rsid w:val="00813AAD"/>
    <w:rsid w:val="00816185"/>
    <w:rsid w:val="00827401"/>
    <w:rsid w:val="00830251"/>
    <w:rsid w:val="008305AC"/>
    <w:rsid w:val="0083558F"/>
    <w:rsid w:val="00836BD1"/>
    <w:rsid w:val="008423D7"/>
    <w:rsid w:val="00844048"/>
    <w:rsid w:val="008565EB"/>
    <w:rsid w:val="008606C6"/>
    <w:rsid w:val="00860CCB"/>
    <w:rsid w:val="00860DD8"/>
    <w:rsid w:val="008673E6"/>
    <w:rsid w:val="008916E8"/>
    <w:rsid w:val="00892829"/>
    <w:rsid w:val="008967AD"/>
    <w:rsid w:val="008A0762"/>
    <w:rsid w:val="008A08AC"/>
    <w:rsid w:val="008A538A"/>
    <w:rsid w:val="008B4EEF"/>
    <w:rsid w:val="008B5105"/>
    <w:rsid w:val="008D0538"/>
    <w:rsid w:val="008D19DA"/>
    <w:rsid w:val="008E45D1"/>
    <w:rsid w:val="008F25A9"/>
    <w:rsid w:val="008F5DB4"/>
    <w:rsid w:val="008F6970"/>
    <w:rsid w:val="00903018"/>
    <w:rsid w:val="0091528B"/>
    <w:rsid w:val="00915353"/>
    <w:rsid w:val="00921456"/>
    <w:rsid w:val="009263CF"/>
    <w:rsid w:val="00927307"/>
    <w:rsid w:val="00931E2D"/>
    <w:rsid w:val="00932CE7"/>
    <w:rsid w:val="0093629F"/>
    <w:rsid w:val="0094700D"/>
    <w:rsid w:val="00947477"/>
    <w:rsid w:val="00950801"/>
    <w:rsid w:val="009541BC"/>
    <w:rsid w:val="00954D19"/>
    <w:rsid w:val="00955D5B"/>
    <w:rsid w:val="00960DF5"/>
    <w:rsid w:val="009709CA"/>
    <w:rsid w:val="00977B79"/>
    <w:rsid w:val="0098376D"/>
    <w:rsid w:val="00985AEF"/>
    <w:rsid w:val="009953E1"/>
    <w:rsid w:val="009A0698"/>
    <w:rsid w:val="009A546A"/>
    <w:rsid w:val="009B4064"/>
    <w:rsid w:val="009C0E21"/>
    <w:rsid w:val="009C2E53"/>
    <w:rsid w:val="009E14BF"/>
    <w:rsid w:val="009E2727"/>
    <w:rsid w:val="009E2E4C"/>
    <w:rsid w:val="009E5A4E"/>
    <w:rsid w:val="009F5E08"/>
    <w:rsid w:val="00A1092D"/>
    <w:rsid w:val="00A13E17"/>
    <w:rsid w:val="00A21FEC"/>
    <w:rsid w:val="00A23D7A"/>
    <w:rsid w:val="00A323D3"/>
    <w:rsid w:val="00A4043F"/>
    <w:rsid w:val="00A425A3"/>
    <w:rsid w:val="00A42F85"/>
    <w:rsid w:val="00A439A4"/>
    <w:rsid w:val="00A6384C"/>
    <w:rsid w:val="00A64E13"/>
    <w:rsid w:val="00A64F72"/>
    <w:rsid w:val="00A67C72"/>
    <w:rsid w:val="00A71593"/>
    <w:rsid w:val="00A74743"/>
    <w:rsid w:val="00A74B21"/>
    <w:rsid w:val="00A80C7E"/>
    <w:rsid w:val="00A84251"/>
    <w:rsid w:val="00A842FE"/>
    <w:rsid w:val="00A87B0D"/>
    <w:rsid w:val="00A91A42"/>
    <w:rsid w:val="00A97F7A"/>
    <w:rsid w:val="00AA273F"/>
    <w:rsid w:val="00AA5692"/>
    <w:rsid w:val="00AB05C3"/>
    <w:rsid w:val="00AB620F"/>
    <w:rsid w:val="00AB71DC"/>
    <w:rsid w:val="00AD0B95"/>
    <w:rsid w:val="00AD7322"/>
    <w:rsid w:val="00AE74DE"/>
    <w:rsid w:val="00AF5CB7"/>
    <w:rsid w:val="00AF6F03"/>
    <w:rsid w:val="00AF7F00"/>
    <w:rsid w:val="00B00FB8"/>
    <w:rsid w:val="00B02BBA"/>
    <w:rsid w:val="00B054C7"/>
    <w:rsid w:val="00B100A9"/>
    <w:rsid w:val="00B10272"/>
    <w:rsid w:val="00B150A5"/>
    <w:rsid w:val="00B1705C"/>
    <w:rsid w:val="00B24EBD"/>
    <w:rsid w:val="00B250A0"/>
    <w:rsid w:val="00B34271"/>
    <w:rsid w:val="00B51EC6"/>
    <w:rsid w:val="00B66A80"/>
    <w:rsid w:val="00B70021"/>
    <w:rsid w:val="00B72EF0"/>
    <w:rsid w:val="00B83D2B"/>
    <w:rsid w:val="00B86B6C"/>
    <w:rsid w:val="00B91050"/>
    <w:rsid w:val="00B9293D"/>
    <w:rsid w:val="00B94A6E"/>
    <w:rsid w:val="00B96167"/>
    <w:rsid w:val="00B977BB"/>
    <w:rsid w:val="00BA0064"/>
    <w:rsid w:val="00BA30AF"/>
    <w:rsid w:val="00BA35A2"/>
    <w:rsid w:val="00BA5110"/>
    <w:rsid w:val="00BA589D"/>
    <w:rsid w:val="00BB389F"/>
    <w:rsid w:val="00BB4C55"/>
    <w:rsid w:val="00BC175B"/>
    <w:rsid w:val="00BC2182"/>
    <w:rsid w:val="00BD1D47"/>
    <w:rsid w:val="00BE2D9E"/>
    <w:rsid w:val="00BE4D00"/>
    <w:rsid w:val="00BE51C3"/>
    <w:rsid w:val="00BF01F9"/>
    <w:rsid w:val="00BF46CD"/>
    <w:rsid w:val="00C03CC7"/>
    <w:rsid w:val="00C04427"/>
    <w:rsid w:val="00C07E77"/>
    <w:rsid w:val="00C110A8"/>
    <w:rsid w:val="00C132D3"/>
    <w:rsid w:val="00C268A6"/>
    <w:rsid w:val="00C27546"/>
    <w:rsid w:val="00C566F1"/>
    <w:rsid w:val="00C82668"/>
    <w:rsid w:val="00C9626D"/>
    <w:rsid w:val="00CA686A"/>
    <w:rsid w:val="00CA718B"/>
    <w:rsid w:val="00CB18E2"/>
    <w:rsid w:val="00CB34EB"/>
    <w:rsid w:val="00CC0F00"/>
    <w:rsid w:val="00CC1C2A"/>
    <w:rsid w:val="00CE7562"/>
    <w:rsid w:val="00CF2C83"/>
    <w:rsid w:val="00CF776D"/>
    <w:rsid w:val="00D03B1D"/>
    <w:rsid w:val="00D16B8B"/>
    <w:rsid w:val="00D20765"/>
    <w:rsid w:val="00D27B89"/>
    <w:rsid w:val="00D3707E"/>
    <w:rsid w:val="00D40C32"/>
    <w:rsid w:val="00D40C34"/>
    <w:rsid w:val="00D41E73"/>
    <w:rsid w:val="00D54141"/>
    <w:rsid w:val="00D66539"/>
    <w:rsid w:val="00D70077"/>
    <w:rsid w:val="00D73DDE"/>
    <w:rsid w:val="00D76531"/>
    <w:rsid w:val="00D824EC"/>
    <w:rsid w:val="00D9033A"/>
    <w:rsid w:val="00D9575E"/>
    <w:rsid w:val="00DA3781"/>
    <w:rsid w:val="00DA37E5"/>
    <w:rsid w:val="00DA5986"/>
    <w:rsid w:val="00DB74B4"/>
    <w:rsid w:val="00DC3422"/>
    <w:rsid w:val="00DC489D"/>
    <w:rsid w:val="00DC6364"/>
    <w:rsid w:val="00DD344A"/>
    <w:rsid w:val="00DE1496"/>
    <w:rsid w:val="00DE769E"/>
    <w:rsid w:val="00DF1513"/>
    <w:rsid w:val="00DF2DB6"/>
    <w:rsid w:val="00E148A8"/>
    <w:rsid w:val="00E3091C"/>
    <w:rsid w:val="00E404A3"/>
    <w:rsid w:val="00E42D42"/>
    <w:rsid w:val="00E51483"/>
    <w:rsid w:val="00E57EBA"/>
    <w:rsid w:val="00E644B8"/>
    <w:rsid w:val="00E6536C"/>
    <w:rsid w:val="00E65ECF"/>
    <w:rsid w:val="00E8057B"/>
    <w:rsid w:val="00E81E4F"/>
    <w:rsid w:val="00E96C11"/>
    <w:rsid w:val="00E97836"/>
    <w:rsid w:val="00EA38E7"/>
    <w:rsid w:val="00EA73CD"/>
    <w:rsid w:val="00EC1212"/>
    <w:rsid w:val="00ED3037"/>
    <w:rsid w:val="00ED65C4"/>
    <w:rsid w:val="00EE6EEE"/>
    <w:rsid w:val="00EF1256"/>
    <w:rsid w:val="00EF19BD"/>
    <w:rsid w:val="00EF4AE3"/>
    <w:rsid w:val="00EF5666"/>
    <w:rsid w:val="00EF706E"/>
    <w:rsid w:val="00EF7CEB"/>
    <w:rsid w:val="00F0028E"/>
    <w:rsid w:val="00F047A9"/>
    <w:rsid w:val="00F275ED"/>
    <w:rsid w:val="00F30215"/>
    <w:rsid w:val="00F32425"/>
    <w:rsid w:val="00F359A1"/>
    <w:rsid w:val="00F4643D"/>
    <w:rsid w:val="00F5745F"/>
    <w:rsid w:val="00F63DB3"/>
    <w:rsid w:val="00F70E67"/>
    <w:rsid w:val="00F7230F"/>
    <w:rsid w:val="00F771BA"/>
    <w:rsid w:val="00F779BA"/>
    <w:rsid w:val="00F80FED"/>
    <w:rsid w:val="00F82631"/>
    <w:rsid w:val="00F952CA"/>
    <w:rsid w:val="00F97DB8"/>
    <w:rsid w:val="00FC026A"/>
    <w:rsid w:val="00FC28F3"/>
    <w:rsid w:val="00FD6593"/>
    <w:rsid w:val="00FE2EA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2024-03-17T18:30:00+00:00</Judgment_x0020_Date>
    <Year xmlns="c1afb1bd-f2fb-40fd-9abb-aea55b4d7662">2024</Year>
  </documentManagement>
</p:properties>
</file>

<file path=customXml/itemProps1.xml><?xml version="1.0" encoding="utf-8"?>
<ds:datastoreItem xmlns:ds="http://schemas.openxmlformats.org/officeDocument/2006/customXml" ds:itemID="{D242A3DC-6D9E-4C60-BD7A-04DE132542B2}"/>
</file>

<file path=customXml/itemProps2.xml><?xml version="1.0" encoding="utf-8"?>
<ds:datastoreItem xmlns:ds="http://schemas.openxmlformats.org/officeDocument/2006/customXml" ds:itemID="{2E238CEB-AB4A-4BCA-B2DA-B469CDDE4F45}"/>
</file>

<file path=customXml/itemProps3.xml><?xml version="1.0" encoding="utf-8"?>
<ds:datastoreItem xmlns:ds="http://schemas.openxmlformats.org/officeDocument/2006/customXml" ds:itemID="{30897666-A555-45E2-AAC5-B92AF2227DF6}"/>
</file>

<file path=customXml/itemProps4.xml><?xml version="1.0" encoding="utf-8"?>
<ds:datastoreItem xmlns:ds="http://schemas.openxmlformats.org/officeDocument/2006/customXml" ds:itemID="{9D08293D-9F9C-41AE-BA08-086A96BC51ED}"/>
</file>

<file path=docProps/app.xml><?xml version="1.0" encoding="utf-8"?>
<Properties xmlns="http://schemas.openxmlformats.org/officeDocument/2006/extended-properties" xmlns:vt="http://schemas.openxmlformats.org/officeDocument/2006/docPropsVTypes">
  <Template>Normal</Template>
  <TotalTime>7</TotalTime>
  <Pages>7</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Basson v Jarson (HC-MD-CIV-ACT-OTH-2023-04247) [2024] NAHCMD 121 (18 March 2024)</dc:title>
  <dc:creator>Prinsloo Hannelie</dc:creator>
  <cp:lastModifiedBy>Dean-Marlo Titus</cp:lastModifiedBy>
  <cp:revision>3</cp:revision>
  <cp:lastPrinted>2024-03-18T13:33:00Z</cp:lastPrinted>
  <dcterms:created xsi:type="dcterms:W3CDTF">2024-03-18T12:39:00Z</dcterms:created>
  <dcterms:modified xsi:type="dcterms:W3CDTF">2024-03-18T13:40:00Z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