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5DC8" w14:textId="668DE417" w:rsidR="00061C47" w:rsidRPr="00A54A5B" w:rsidRDefault="00A54A5B" w:rsidP="00A54A5B">
      <w:pPr>
        <w:spacing w:line="360" w:lineRule="auto"/>
        <w:jc w:val="center"/>
        <w:rPr>
          <w:rFonts w:ascii="Arial" w:hAnsi="Arial" w:cs="Arial"/>
          <w:b/>
          <w:bCs/>
          <w:lang w:val="en-US"/>
        </w:rPr>
      </w:pPr>
      <w:r>
        <w:rPr>
          <w:rFonts w:ascii="Arial" w:hAnsi="Arial" w:cs="Arial"/>
          <w:b/>
          <w:bCs/>
          <w:lang w:val="en-US"/>
        </w:rPr>
        <w:t>REPUBLIC OF NAMIBIA</w:t>
      </w:r>
    </w:p>
    <w:p w14:paraId="046F61C2" w14:textId="4F51A201" w:rsidR="00FE7F68" w:rsidRDefault="00A54A5B" w:rsidP="00AF7D5F">
      <w:pPr>
        <w:spacing w:line="360" w:lineRule="auto"/>
        <w:jc w:val="center"/>
        <w:rPr>
          <w:rFonts w:ascii="Arial" w:hAnsi="Arial" w:cs="Arial"/>
          <w:lang w:val="en-US"/>
        </w:rPr>
      </w:pPr>
      <w:r w:rsidRPr="00A54A5B">
        <w:rPr>
          <w:rFonts w:ascii="Arial" w:hAnsi="Arial" w:cs="Arial"/>
          <w:b/>
          <w:noProof/>
          <w:lang w:val="en-US"/>
        </w:rPr>
        <w:drawing>
          <wp:inline distT="0" distB="0" distL="0" distR="0" wp14:anchorId="29A032EE" wp14:editId="01CE8ADD">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3827"/>
        <w:gridCol w:w="2835"/>
      </w:tblGrid>
      <w:tr w:rsidR="00AF7D5F" w:rsidRPr="00FE7F68" w14:paraId="229DB763" w14:textId="77777777" w:rsidTr="00F97DE9">
        <w:tc>
          <w:tcPr>
            <w:tcW w:w="8789" w:type="dxa"/>
            <w:gridSpan w:val="4"/>
          </w:tcPr>
          <w:p w14:paraId="0C4BB454" w14:textId="3D2253A4" w:rsidR="00AF7D5F" w:rsidRDefault="00AF7D5F" w:rsidP="00AF7D5F">
            <w:pPr>
              <w:spacing w:line="360" w:lineRule="auto"/>
              <w:jc w:val="center"/>
              <w:rPr>
                <w:rFonts w:ascii="Arial" w:hAnsi="Arial" w:cs="Arial"/>
                <w:b/>
                <w:bCs/>
                <w:lang w:val="en-US"/>
              </w:rPr>
            </w:pPr>
            <w:r>
              <w:rPr>
                <w:rFonts w:ascii="Arial" w:hAnsi="Arial" w:cs="Arial"/>
                <w:b/>
                <w:bCs/>
                <w:lang w:val="en-US"/>
              </w:rPr>
              <w:t>HIGH COURT OF NAMIBIA</w:t>
            </w:r>
            <w:r w:rsidR="00A81C32">
              <w:rPr>
                <w:rFonts w:ascii="Arial" w:hAnsi="Arial" w:cs="Arial"/>
                <w:b/>
                <w:bCs/>
                <w:lang w:val="en-US"/>
              </w:rPr>
              <w:t>,</w:t>
            </w:r>
            <w:r>
              <w:rPr>
                <w:rFonts w:ascii="Arial" w:hAnsi="Arial" w:cs="Arial"/>
                <w:b/>
                <w:bCs/>
                <w:lang w:val="en-US"/>
              </w:rPr>
              <w:t xml:space="preserve"> MAIN DIVISION, WIN</w:t>
            </w:r>
            <w:r w:rsidR="003B6BE9">
              <w:rPr>
                <w:rFonts w:ascii="Arial" w:hAnsi="Arial" w:cs="Arial"/>
                <w:b/>
                <w:bCs/>
                <w:lang w:val="en-US"/>
              </w:rPr>
              <w:t>D</w:t>
            </w:r>
            <w:r>
              <w:rPr>
                <w:rFonts w:ascii="Arial" w:hAnsi="Arial" w:cs="Arial"/>
                <w:b/>
                <w:bCs/>
                <w:lang w:val="en-US"/>
              </w:rPr>
              <w:t>HOEK</w:t>
            </w:r>
          </w:p>
          <w:p w14:paraId="580A6A52" w14:textId="13D8E8E9" w:rsidR="00AF7D5F" w:rsidRPr="00FE7F68" w:rsidRDefault="00AF7D5F" w:rsidP="00AF7D5F">
            <w:pPr>
              <w:spacing w:line="360" w:lineRule="auto"/>
              <w:jc w:val="center"/>
              <w:rPr>
                <w:rFonts w:ascii="Arial" w:hAnsi="Arial" w:cs="Arial"/>
                <w:b/>
                <w:bCs/>
                <w:highlight w:val="yellow"/>
                <w:lang w:val="en-US"/>
              </w:rPr>
            </w:pPr>
          </w:p>
        </w:tc>
      </w:tr>
      <w:tr w:rsidR="00AF7D5F" w:rsidRPr="00FE7F68" w14:paraId="197DA8BE" w14:textId="77777777" w:rsidTr="00F97DE9">
        <w:tc>
          <w:tcPr>
            <w:tcW w:w="8789" w:type="dxa"/>
            <w:gridSpan w:val="4"/>
          </w:tcPr>
          <w:p w14:paraId="279F5FEF" w14:textId="77777777" w:rsidR="00AF7D5F" w:rsidRDefault="00AF7D5F" w:rsidP="00AF7D5F">
            <w:pPr>
              <w:spacing w:line="360" w:lineRule="auto"/>
              <w:jc w:val="center"/>
              <w:rPr>
                <w:rFonts w:ascii="Arial" w:hAnsi="Arial" w:cs="Arial"/>
                <w:b/>
                <w:bCs/>
                <w:lang w:val="en-US"/>
              </w:rPr>
            </w:pPr>
            <w:r w:rsidRPr="00F97DE9">
              <w:rPr>
                <w:rFonts w:ascii="Arial" w:hAnsi="Arial" w:cs="Arial"/>
                <w:b/>
                <w:bCs/>
                <w:lang w:val="en-US"/>
              </w:rPr>
              <w:t>JUDGMENT</w:t>
            </w:r>
          </w:p>
          <w:p w14:paraId="730ECA8E" w14:textId="39AF505D" w:rsidR="00AF7D5F" w:rsidRDefault="00AF7D5F" w:rsidP="00AF7D5F">
            <w:pPr>
              <w:spacing w:line="360" w:lineRule="auto"/>
              <w:jc w:val="center"/>
              <w:rPr>
                <w:rFonts w:ascii="Arial" w:hAnsi="Arial" w:cs="Arial"/>
                <w:lang w:val="en-US"/>
              </w:rPr>
            </w:pPr>
          </w:p>
        </w:tc>
      </w:tr>
      <w:tr w:rsidR="00AF7D5F" w:rsidRPr="00FE7F68" w14:paraId="613B65F0" w14:textId="77777777" w:rsidTr="00F97DE9">
        <w:tc>
          <w:tcPr>
            <w:tcW w:w="8789" w:type="dxa"/>
            <w:gridSpan w:val="4"/>
          </w:tcPr>
          <w:p w14:paraId="11B37741" w14:textId="3691D32C" w:rsidR="00AF7D5F" w:rsidRDefault="00AF7D5F" w:rsidP="00AF7D5F">
            <w:pPr>
              <w:spacing w:line="360" w:lineRule="auto"/>
              <w:jc w:val="right"/>
              <w:rPr>
                <w:rFonts w:ascii="Arial" w:hAnsi="Arial" w:cs="Arial"/>
                <w:lang w:val="en-US"/>
              </w:rPr>
            </w:pPr>
            <w:r>
              <w:rPr>
                <w:rFonts w:ascii="Arial" w:hAnsi="Arial" w:cs="Arial"/>
                <w:lang w:val="en-US"/>
              </w:rPr>
              <w:t xml:space="preserve">Case number: </w:t>
            </w:r>
            <w:r w:rsidR="00F97DE9" w:rsidRPr="00F97DE9">
              <w:rPr>
                <w:rFonts w:ascii="Arial" w:hAnsi="Arial" w:cs="Arial"/>
                <w:lang w:val="en-US"/>
              </w:rPr>
              <w:t>HC-MD-CIV-ACT-CON-2022/03243</w:t>
            </w:r>
          </w:p>
          <w:p w14:paraId="29CE0FA8" w14:textId="58560F30" w:rsidR="00AF7D5F" w:rsidRDefault="00AF7D5F" w:rsidP="00AF7D5F">
            <w:pPr>
              <w:spacing w:line="360" w:lineRule="auto"/>
              <w:jc w:val="right"/>
              <w:rPr>
                <w:rFonts w:ascii="Arial" w:hAnsi="Arial" w:cs="Arial"/>
                <w:lang w:val="en-US"/>
              </w:rPr>
            </w:pPr>
          </w:p>
        </w:tc>
      </w:tr>
      <w:tr w:rsidR="00AF7D5F" w:rsidRPr="00FE7F68" w14:paraId="10C4EC0D" w14:textId="77777777" w:rsidTr="00F97DE9">
        <w:tc>
          <w:tcPr>
            <w:tcW w:w="8789" w:type="dxa"/>
            <w:gridSpan w:val="4"/>
          </w:tcPr>
          <w:p w14:paraId="3B304EC7" w14:textId="77777777" w:rsidR="00AF7D5F" w:rsidRDefault="00AF7D5F" w:rsidP="00AF7D5F">
            <w:pPr>
              <w:spacing w:line="360" w:lineRule="auto"/>
              <w:rPr>
                <w:rFonts w:ascii="Arial" w:hAnsi="Arial" w:cs="Arial"/>
                <w:lang w:val="en-US"/>
              </w:rPr>
            </w:pPr>
            <w:r>
              <w:rPr>
                <w:rFonts w:ascii="Arial" w:hAnsi="Arial" w:cs="Arial"/>
                <w:lang w:val="en-US"/>
              </w:rPr>
              <w:t>In the matter between:</w:t>
            </w:r>
          </w:p>
          <w:p w14:paraId="1BAB2C08" w14:textId="042AE4E0" w:rsidR="00AF7D5F" w:rsidRDefault="00AF7D5F" w:rsidP="00AF7D5F">
            <w:pPr>
              <w:spacing w:line="360" w:lineRule="auto"/>
              <w:rPr>
                <w:rFonts w:ascii="Arial" w:hAnsi="Arial" w:cs="Arial"/>
                <w:b/>
                <w:bCs/>
                <w:highlight w:val="yellow"/>
                <w:lang w:val="en-US"/>
              </w:rPr>
            </w:pPr>
          </w:p>
        </w:tc>
      </w:tr>
      <w:tr w:rsidR="00FE7F68" w:rsidRPr="00F97DE9" w14:paraId="34CCEAD3" w14:textId="77777777" w:rsidTr="00F97DE9">
        <w:tc>
          <w:tcPr>
            <w:tcW w:w="5954" w:type="dxa"/>
            <w:gridSpan w:val="3"/>
          </w:tcPr>
          <w:p w14:paraId="65C51661" w14:textId="77777777" w:rsidR="00FE7F68" w:rsidRDefault="00F97DE9" w:rsidP="00FE7F68">
            <w:pPr>
              <w:spacing w:line="360" w:lineRule="auto"/>
              <w:rPr>
                <w:rFonts w:ascii="Arial" w:hAnsi="Arial" w:cs="Arial"/>
                <w:b/>
                <w:bCs/>
                <w:lang w:val="en-US"/>
              </w:rPr>
            </w:pPr>
            <w:r w:rsidRPr="00F97DE9">
              <w:rPr>
                <w:rFonts w:ascii="Arial" w:hAnsi="Arial" w:cs="Arial"/>
                <w:b/>
                <w:bCs/>
                <w:lang w:val="en-US"/>
              </w:rPr>
              <w:t>EDISON BUILDING ENTERPRISE CC</w:t>
            </w:r>
          </w:p>
          <w:p w14:paraId="5D832CEA" w14:textId="635AE170" w:rsidR="00F97DE9" w:rsidRPr="00F97DE9" w:rsidRDefault="00F97DE9" w:rsidP="00FE7F68">
            <w:pPr>
              <w:spacing w:line="360" w:lineRule="auto"/>
              <w:rPr>
                <w:rFonts w:ascii="Arial" w:hAnsi="Arial" w:cs="Arial"/>
                <w:b/>
                <w:bCs/>
                <w:lang w:val="en-US"/>
              </w:rPr>
            </w:pPr>
          </w:p>
        </w:tc>
        <w:tc>
          <w:tcPr>
            <w:tcW w:w="2835" w:type="dxa"/>
          </w:tcPr>
          <w:p w14:paraId="0C5F0845" w14:textId="0FC54225" w:rsidR="00FE7F68" w:rsidRPr="00F97DE9" w:rsidRDefault="00FE7F68" w:rsidP="00FE7F68">
            <w:pPr>
              <w:spacing w:line="360" w:lineRule="auto"/>
              <w:jc w:val="right"/>
              <w:rPr>
                <w:rFonts w:ascii="Arial" w:hAnsi="Arial" w:cs="Arial"/>
                <w:b/>
                <w:bCs/>
                <w:lang w:val="en-US"/>
              </w:rPr>
            </w:pPr>
            <w:r w:rsidRPr="00F97DE9">
              <w:rPr>
                <w:rFonts w:ascii="Arial" w:hAnsi="Arial" w:cs="Arial"/>
                <w:b/>
                <w:bCs/>
                <w:lang w:val="en-US"/>
              </w:rPr>
              <w:t>PLAINTIFF</w:t>
            </w:r>
          </w:p>
        </w:tc>
      </w:tr>
      <w:tr w:rsidR="00FE7F68" w:rsidRPr="00F97DE9" w14:paraId="0E075A5C" w14:textId="77777777" w:rsidTr="00F97DE9">
        <w:tc>
          <w:tcPr>
            <w:tcW w:w="8789" w:type="dxa"/>
            <w:gridSpan w:val="4"/>
          </w:tcPr>
          <w:p w14:paraId="5BCA3EBB" w14:textId="77777777" w:rsidR="00FE7F68" w:rsidRDefault="00FE7F68" w:rsidP="00FE7F68">
            <w:pPr>
              <w:spacing w:line="360" w:lineRule="auto"/>
              <w:jc w:val="both"/>
              <w:rPr>
                <w:rFonts w:ascii="Arial" w:hAnsi="Arial" w:cs="Arial"/>
                <w:lang w:val="en-US"/>
              </w:rPr>
            </w:pPr>
            <w:r w:rsidRPr="00F97DE9">
              <w:rPr>
                <w:rFonts w:ascii="Arial" w:hAnsi="Arial" w:cs="Arial"/>
                <w:lang w:val="en-US"/>
              </w:rPr>
              <w:t>and</w:t>
            </w:r>
          </w:p>
          <w:p w14:paraId="7105FEA8" w14:textId="5A938592" w:rsidR="00F97DE9" w:rsidRPr="00F97DE9" w:rsidRDefault="00F97DE9" w:rsidP="00FE7F68">
            <w:pPr>
              <w:spacing w:line="360" w:lineRule="auto"/>
              <w:jc w:val="both"/>
              <w:rPr>
                <w:rFonts w:ascii="Arial" w:hAnsi="Arial" w:cs="Arial"/>
                <w:lang w:val="en-US"/>
              </w:rPr>
            </w:pPr>
          </w:p>
        </w:tc>
      </w:tr>
      <w:tr w:rsidR="00FE7F68" w:rsidRPr="00F97DE9" w14:paraId="04F81E39" w14:textId="77777777" w:rsidTr="00F97DE9">
        <w:tc>
          <w:tcPr>
            <w:tcW w:w="5954" w:type="dxa"/>
            <w:gridSpan w:val="3"/>
          </w:tcPr>
          <w:p w14:paraId="00D8DE7D" w14:textId="62F036DB" w:rsidR="00FE7F68" w:rsidRPr="00F97DE9" w:rsidRDefault="00F97DE9" w:rsidP="00F97DE9">
            <w:pPr>
              <w:spacing w:line="360" w:lineRule="auto"/>
              <w:rPr>
                <w:rFonts w:ascii="Arial" w:hAnsi="Arial" w:cs="Arial"/>
                <w:b/>
                <w:bCs/>
                <w:lang w:val="en-US"/>
              </w:rPr>
            </w:pPr>
            <w:r w:rsidRPr="00F97DE9">
              <w:rPr>
                <w:rFonts w:ascii="Arial" w:hAnsi="Arial" w:cs="Arial"/>
                <w:b/>
                <w:bCs/>
                <w:lang w:val="en-US"/>
              </w:rPr>
              <w:t>GOVERNMENT OF THE REPUBLIC OF NAMIBIA REPRESENTED BY MINISTER</w:t>
            </w:r>
            <w:r>
              <w:rPr>
                <w:rFonts w:ascii="Arial" w:hAnsi="Arial" w:cs="Arial"/>
                <w:b/>
                <w:bCs/>
                <w:lang w:val="en-US"/>
              </w:rPr>
              <w:t xml:space="preserve"> </w:t>
            </w:r>
            <w:r w:rsidRPr="00F97DE9">
              <w:rPr>
                <w:rFonts w:ascii="Arial" w:hAnsi="Arial" w:cs="Arial"/>
                <w:b/>
                <w:bCs/>
                <w:lang w:val="en-US"/>
              </w:rPr>
              <w:t>AND OR</w:t>
            </w:r>
            <w:r>
              <w:rPr>
                <w:rFonts w:ascii="Arial" w:hAnsi="Arial" w:cs="Arial"/>
                <w:b/>
                <w:bCs/>
                <w:lang w:val="en-US"/>
              </w:rPr>
              <w:t xml:space="preserve"> </w:t>
            </w:r>
            <w:r w:rsidRPr="00F97DE9">
              <w:rPr>
                <w:rFonts w:ascii="Arial" w:hAnsi="Arial" w:cs="Arial"/>
                <w:b/>
                <w:bCs/>
                <w:lang w:val="en-US"/>
              </w:rPr>
              <w:t>EXECUTIVE DIRECTOR IN THE MINISTRY OF WORKS AND</w:t>
            </w:r>
            <w:r>
              <w:rPr>
                <w:rFonts w:ascii="Arial" w:hAnsi="Arial" w:cs="Arial"/>
                <w:b/>
                <w:bCs/>
                <w:lang w:val="en-US"/>
              </w:rPr>
              <w:t xml:space="preserve"> </w:t>
            </w:r>
            <w:r w:rsidRPr="00F97DE9">
              <w:rPr>
                <w:rFonts w:ascii="Arial" w:hAnsi="Arial" w:cs="Arial"/>
                <w:b/>
                <w:bCs/>
                <w:lang w:val="en-US"/>
              </w:rPr>
              <w:t>TRANSPORT</w:t>
            </w:r>
          </w:p>
        </w:tc>
        <w:tc>
          <w:tcPr>
            <w:tcW w:w="2835" w:type="dxa"/>
          </w:tcPr>
          <w:p w14:paraId="1ADBFFFC" w14:textId="0EB93BA6" w:rsidR="00FE7F68" w:rsidRPr="00F97DE9" w:rsidRDefault="00FE7F68" w:rsidP="00FE7F68">
            <w:pPr>
              <w:spacing w:line="360" w:lineRule="auto"/>
              <w:jc w:val="right"/>
              <w:rPr>
                <w:rFonts w:ascii="Arial" w:hAnsi="Arial" w:cs="Arial"/>
                <w:b/>
                <w:bCs/>
                <w:lang w:val="en-US"/>
              </w:rPr>
            </w:pPr>
            <w:r w:rsidRPr="00F97DE9">
              <w:rPr>
                <w:rFonts w:ascii="Arial" w:hAnsi="Arial" w:cs="Arial"/>
                <w:b/>
                <w:bCs/>
                <w:lang w:val="en-US"/>
              </w:rPr>
              <w:t xml:space="preserve">FIRST </w:t>
            </w:r>
            <w:r w:rsidR="00972458" w:rsidRPr="00F97DE9">
              <w:rPr>
                <w:rFonts w:ascii="Arial" w:hAnsi="Arial" w:cs="Arial"/>
                <w:b/>
                <w:bCs/>
                <w:lang w:val="en-US"/>
              </w:rPr>
              <w:t>DEFENDANT</w:t>
            </w:r>
          </w:p>
        </w:tc>
      </w:tr>
      <w:tr w:rsidR="00FE7F68" w:rsidRPr="00F97DE9" w14:paraId="601BC258" w14:textId="77777777" w:rsidTr="00F97DE9">
        <w:tc>
          <w:tcPr>
            <w:tcW w:w="5954" w:type="dxa"/>
            <w:gridSpan w:val="3"/>
          </w:tcPr>
          <w:p w14:paraId="44EA80CC" w14:textId="3CEF2F4A" w:rsidR="00FE7F68" w:rsidRPr="00F97DE9" w:rsidRDefault="00F97DE9" w:rsidP="00FE7F68">
            <w:pPr>
              <w:spacing w:line="360" w:lineRule="auto"/>
              <w:rPr>
                <w:rFonts w:ascii="Arial" w:hAnsi="Arial" w:cs="Arial"/>
                <w:b/>
                <w:bCs/>
                <w:lang w:val="en-US"/>
              </w:rPr>
            </w:pPr>
            <w:r w:rsidRPr="00F97DE9">
              <w:rPr>
                <w:rFonts w:ascii="Arial" w:hAnsi="Arial" w:cs="Arial"/>
                <w:b/>
                <w:bCs/>
                <w:lang w:val="en-US"/>
              </w:rPr>
              <w:t>BURMEISTER AND PARTNERS (PTY) LTD</w:t>
            </w:r>
          </w:p>
          <w:p w14:paraId="4B22417B" w14:textId="64F5D429" w:rsidR="00AF7D5F" w:rsidRPr="00F97DE9" w:rsidRDefault="00AF7D5F" w:rsidP="00FE7F68">
            <w:pPr>
              <w:spacing w:line="360" w:lineRule="auto"/>
              <w:rPr>
                <w:rFonts w:ascii="Arial" w:hAnsi="Arial" w:cs="Arial"/>
                <w:b/>
                <w:bCs/>
                <w:lang w:val="en-US"/>
              </w:rPr>
            </w:pPr>
          </w:p>
        </w:tc>
        <w:tc>
          <w:tcPr>
            <w:tcW w:w="2835" w:type="dxa"/>
          </w:tcPr>
          <w:p w14:paraId="7C36DF26" w14:textId="45D9195D" w:rsidR="00FE7F68" w:rsidRPr="00F97DE9" w:rsidRDefault="00FE7F68" w:rsidP="00FE7F68">
            <w:pPr>
              <w:spacing w:line="360" w:lineRule="auto"/>
              <w:jc w:val="right"/>
              <w:rPr>
                <w:rFonts w:ascii="Arial" w:hAnsi="Arial" w:cs="Arial"/>
                <w:b/>
                <w:bCs/>
                <w:lang w:val="en-US"/>
              </w:rPr>
            </w:pPr>
            <w:r w:rsidRPr="00F97DE9">
              <w:rPr>
                <w:rFonts w:ascii="Arial" w:hAnsi="Arial" w:cs="Arial"/>
                <w:b/>
                <w:bCs/>
                <w:lang w:val="en-US"/>
              </w:rPr>
              <w:t>SECOND DEFENDANT</w:t>
            </w:r>
          </w:p>
        </w:tc>
      </w:tr>
      <w:tr w:rsidR="00AF7D5F" w:rsidRPr="00F97DE9" w14:paraId="41CF2B70" w14:textId="77777777" w:rsidTr="00F97DE9">
        <w:tc>
          <w:tcPr>
            <w:tcW w:w="2127" w:type="dxa"/>
            <w:gridSpan w:val="2"/>
          </w:tcPr>
          <w:p w14:paraId="487AC033" w14:textId="3EB28DE0" w:rsidR="00AF7D5F" w:rsidRPr="00F97DE9" w:rsidRDefault="00AF7D5F" w:rsidP="00AF7D5F">
            <w:pPr>
              <w:spacing w:line="360" w:lineRule="auto"/>
              <w:jc w:val="both"/>
              <w:rPr>
                <w:rFonts w:ascii="Arial" w:hAnsi="Arial" w:cs="Arial"/>
                <w:b/>
                <w:bCs/>
                <w:lang w:val="en-US"/>
              </w:rPr>
            </w:pPr>
            <w:r w:rsidRPr="00F97DE9">
              <w:rPr>
                <w:rFonts w:ascii="Arial" w:hAnsi="Arial" w:cs="Arial"/>
                <w:b/>
                <w:bCs/>
                <w:lang w:val="en-US"/>
              </w:rPr>
              <w:t>Neutral citation:</w:t>
            </w:r>
          </w:p>
        </w:tc>
        <w:tc>
          <w:tcPr>
            <w:tcW w:w="6662" w:type="dxa"/>
            <w:gridSpan w:val="2"/>
          </w:tcPr>
          <w:p w14:paraId="251DFA2E" w14:textId="11ADBCDB" w:rsidR="00AF7D5F" w:rsidRPr="00F97DE9" w:rsidRDefault="00F97DE9" w:rsidP="00AF7D5F">
            <w:pPr>
              <w:spacing w:line="360" w:lineRule="auto"/>
              <w:jc w:val="both"/>
              <w:rPr>
                <w:rFonts w:ascii="Arial" w:hAnsi="Arial" w:cs="Arial"/>
                <w:lang w:val="en-US"/>
              </w:rPr>
            </w:pPr>
            <w:r>
              <w:rPr>
                <w:rFonts w:ascii="Arial" w:hAnsi="Arial" w:cs="Arial"/>
                <w:i/>
                <w:iCs/>
                <w:lang w:val="en-US"/>
              </w:rPr>
              <w:t>Edison Building Enterprise CC</w:t>
            </w:r>
            <w:r w:rsidR="00AF7D5F" w:rsidRPr="00F97DE9">
              <w:rPr>
                <w:rFonts w:ascii="Arial" w:hAnsi="Arial" w:cs="Arial"/>
                <w:i/>
                <w:iCs/>
                <w:lang w:val="en-US"/>
              </w:rPr>
              <w:t xml:space="preserve"> v </w:t>
            </w:r>
            <w:r>
              <w:rPr>
                <w:rFonts w:ascii="Arial" w:hAnsi="Arial" w:cs="Arial"/>
                <w:i/>
                <w:iCs/>
                <w:lang w:val="en-US"/>
              </w:rPr>
              <w:t>Government of the Republic of Namibia represented by Minister and or Executive Director in the Ministry of Works and Transport</w:t>
            </w:r>
            <w:r w:rsidR="00AF7D5F" w:rsidRPr="00F97DE9">
              <w:rPr>
                <w:rFonts w:ascii="Arial" w:hAnsi="Arial" w:cs="Arial"/>
                <w:lang w:val="en-US"/>
              </w:rPr>
              <w:t xml:space="preserve"> (</w:t>
            </w:r>
            <w:r w:rsidRPr="00F97DE9">
              <w:rPr>
                <w:rFonts w:ascii="Arial" w:hAnsi="Arial" w:cs="Arial"/>
                <w:lang w:val="en-US"/>
              </w:rPr>
              <w:t>HC-MD-CIV-ACT-CON-2022/03243</w:t>
            </w:r>
            <w:r w:rsidR="00AF7D5F" w:rsidRPr="00F97DE9">
              <w:rPr>
                <w:rFonts w:ascii="Arial" w:hAnsi="Arial" w:cs="Arial"/>
                <w:lang w:val="en-US"/>
              </w:rPr>
              <w:t>) [2024]</w:t>
            </w:r>
            <w:r w:rsidR="00DC6327" w:rsidRPr="00F97DE9">
              <w:rPr>
                <w:rFonts w:ascii="Arial" w:hAnsi="Arial" w:cs="Arial"/>
                <w:lang w:val="en-US"/>
              </w:rPr>
              <w:t xml:space="preserve"> NAHCMD</w:t>
            </w:r>
            <w:r w:rsidR="004D5A5F">
              <w:rPr>
                <w:rFonts w:ascii="Arial" w:hAnsi="Arial" w:cs="Arial"/>
                <w:lang w:val="en-US"/>
              </w:rPr>
              <w:t xml:space="preserve"> 159</w:t>
            </w:r>
            <w:r w:rsidR="00AF7D5F" w:rsidRPr="00F97DE9">
              <w:rPr>
                <w:rFonts w:ascii="Arial" w:hAnsi="Arial" w:cs="Arial"/>
                <w:lang w:val="en-US"/>
              </w:rPr>
              <w:t xml:space="preserve"> (</w:t>
            </w:r>
            <w:r>
              <w:rPr>
                <w:rFonts w:ascii="Arial" w:hAnsi="Arial" w:cs="Arial"/>
                <w:lang w:val="en-US"/>
              </w:rPr>
              <w:t>8 April</w:t>
            </w:r>
            <w:r w:rsidR="00AF7D5F" w:rsidRPr="00F97DE9">
              <w:rPr>
                <w:rFonts w:ascii="Arial" w:hAnsi="Arial" w:cs="Arial"/>
                <w:lang w:val="en-US"/>
              </w:rPr>
              <w:t xml:space="preserve"> 2024)</w:t>
            </w:r>
          </w:p>
          <w:p w14:paraId="282C2D36" w14:textId="5C4EF553" w:rsidR="00AF7D5F" w:rsidRPr="00F97DE9" w:rsidRDefault="00AF7D5F" w:rsidP="00AF7D5F">
            <w:pPr>
              <w:spacing w:line="360" w:lineRule="auto"/>
              <w:jc w:val="both"/>
              <w:rPr>
                <w:rFonts w:ascii="Arial" w:hAnsi="Arial" w:cs="Arial"/>
                <w:lang w:val="en-US"/>
              </w:rPr>
            </w:pPr>
          </w:p>
        </w:tc>
      </w:tr>
      <w:tr w:rsidR="00AF7D5F" w:rsidRPr="00F97DE9" w14:paraId="27AE6A1D" w14:textId="77777777" w:rsidTr="00F97DE9">
        <w:tc>
          <w:tcPr>
            <w:tcW w:w="1418" w:type="dxa"/>
          </w:tcPr>
          <w:p w14:paraId="6BF613A4" w14:textId="39079173" w:rsidR="00AF7D5F" w:rsidRPr="00F97DE9" w:rsidRDefault="00AF7D5F" w:rsidP="00AF7D5F">
            <w:pPr>
              <w:spacing w:line="360" w:lineRule="auto"/>
              <w:jc w:val="both"/>
              <w:rPr>
                <w:rFonts w:ascii="Arial" w:hAnsi="Arial" w:cs="Arial"/>
                <w:b/>
                <w:bCs/>
                <w:lang w:val="en-US"/>
              </w:rPr>
            </w:pPr>
            <w:r w:rsidRPr="00F97DE9">
              <w:rPr>
                <w:rFonts w:ascii="Arial" w:hAnsi="Arial" w:cs="Arial"/>
                <w:b/>
                <w:bCs/>
                <w:lang w:val="en-US"/>
              </w:rPr>
              <w:t>Coram:</w:t>
            </w:r>
          </w:p>
        </w:tc>
        <w:tc>
          <w:tcPr>
            <w:tcW w:w="7371" w:type="dxa"/>
            <w:gridSpan w:val="3"/>
          </w:tcPr>
          <w:p w14:paraId="5A5C72D6" w14:textId="21306A88" w:rsidR="00AF7D5F" w:rsidRPr="00F97DE9" w:rsidRDefault="00155B26" w:rsidP="00AF7D5F">
            <w:pPr>
              <w:spacing w:line="360" w:lineRule="auto"/>
              <w:jc w:val="both"/>
              <w:rPr>
                <w:rFonts w:ascii="Arial" w:hAnsi="Arial" w:cs="Arial"/>
                <w:lang w:val="en-US"/>
              </w:rPr>
            </w:pPr>
            <w:r w:rsidRPr="00F97DE9">
              <w:rPr>
                <w:rFonts w:ascii="Arial" w:hAnsi="Arial" w:cs="Arial"/>
                <w:lang w:val="en-US"/>
              </w:rPr>
              <w:t>DE JAGER AJ</w:t>
            </w:r>
          </w:p>
        </w:tc>
      </w:tr>
      <w:tr w:rsidR="00AF7D5F" w:rsidRPr="00F97DE9" w14:paraId="6AA370E6" w14:textId="77777777" w:rsidTr="00F97DE9">
        <w:tc>
          <w:tcPr>
            <w:tcW w:w="1418" w:type="dxa"/>
          </w:tcPr>
          <w:p w14:paraId="0FD33D8F" w14:textId="392CB1F0" w:rsidR="00AF7D5F" w:rsidRPr="00F97DE9" w:rsidRDefault="00AF7D5F" w:rsidP="00AF7D5F">
            <w:pPr>
              <w:spacing w:line="360" w:lineRule="auto"/>
              <w:jc w:val="both"/>
              <w:rPr>
                <w:rFonts w:ascii="Arial" w:hAnsi="Arial" w:cs="Arial"/>
                <w:b/>
                <w:bCs/>
                <w:lang w:val="en-US"/>
              </w:rPr>
            </w:pPr>
            <w:r w:rsidRPr="00F97DE9">
              <w:rPr>
                <w:rFonts w:ascii="Arial" w:hAnsi="Arial" w:cs="Arial"/>
                <w:b/>
                <w:bCs/>
                <w:lang w:val="en-US"/>
              </w:rPr>
              <w:t>Heard:</w:t>
            </w:r>
          </w:p>
        </w:tc>
        <w:tc>
          <w:tcPr>
            <w:tcW w:w="7371" w:type="dxa"/>
            <w:gridSpan w:val="3"/>
          </w:tcPr>
          <w:p w14:paraId="35ED4601" w14:textId="0FED210D" w:rsidR="00AF7D5F" w:rsidRPr="00F97DE9" w:rsidRDefault="00F97DE9" w:rsidP="00AF7D5F">
            <w:pPr>
              <w:spacing w:line="360" w:lineRule="auto"/>
              <w:jc w:val="both"/>
              <w:rPr>
                <w:rFonts w:ascii="Arial" w:hAnsi="Arial" w:cs="Arial"/>
                <w:b/>
                <w:bCs/>
                <w:lang w:val="en-US"/>
              </w:rPr>
            </w:pPr>
            <w:r>
              <w:rPr>
                <w:rFonts w:ascii="Arial" w:hAnsi="Arial" w:cs="Arial"/>
                <w:b/>
                <w:bCs/>
                <w:lang w:val="en-US"/>
              </w:rPr>
              <w:t>12, 13, 14, 15 and 20 February</w:t>
            </w:r>
            <w:r w:rsidR="00155B26" w:rsidRPr="00F97DE9">
              <w:rPr>
                <w:rFonts w:ascii="Arial" w:hAnsi="Arial" w:cs="Arial"/>
                <w:b/>
                <w:bCs/>
                <w:lang w:val="en-US"/>
              </w:rPr>
              <w:t xml:space="preserve"> 2024</w:t>
            </w:r>
          </w:p>
        </w:tc>
      </w:tr>
      <w:tr w:rsidR="00AF7D5F" w:rsidRPr="00AF7D5F" w14:paraId="655093C6" w14:textId="77777777" w:rsidTr="00F97DE9">
        <w:tc>
          <w:tcPr>
            <w:tcW w:w="1418" w:type="dxa"/>
          </w:tcPr>
          <w:p w14:paraId="550E49EA" w14:textId="221779FF" w:rsidR="00AF7D5F" w:rsidRPr="00F97DE9" w:rsidRDefault="00AF7D5F" w:rsidP="00AF7D5F">
            <w:pPr>
              <w:spacing w:line="360" w:lineRule="auto"/>
              <w:jc w:val="both"/>
              <w:rPr>
                <w:rFonts w:ascii="Arial" w:hAnsi="Arial" w:cs="Arial"/>
                <w:b/>
                <w:bCs/>
                <w:lang w:val="en-US"/>
              </w:rPr>
            </w:pPr>
            <w:r w:rsidRPr="00F97DE9">
              <w:rPr>
                <w:rFonts w:ascii="Arial" w:hAnsi="Arial" w:cs="Arial"/>
                <w:b/>
                <w:bCs/>
                <w:lang w:val="en-US"/>
              </w:rPr>
              <w:t>Delivered:</w:t>
            </w:r>
          </w:p>
        </w:tc>
        <w:tc>
          <w:tcPr>
            <w:tcW w:w="7371" w:type="dxa"/>
            <w:gridSpan w:val="3"/>
          </w:tcPr>
          <w:p w14:paraId="3BB7DE40" w14:textId="732B20DF" w:rsidR="00AF7D5F" w:rsidRDefault="00F97DE9" w:rsidP="00AF7D5F">
            <w:pPr>
              <w:spacing w:line="360" w:lineRule="auto"/>
              <w:jc w:val="both"/>
              <w:rPr>
                <w:rFonts w:ascii="Arial" w:hAnsi="Arial" w:cs="Arial"/>
                <w:b/>
                <w:bCs/>
                <w:lang w:val="en-US"/>
              </w:rPr>
            </w:pPr>
            <w:r>
              <w:rPr>
                <w:rFonts w:ascii="Arial" w:hAnsi="Arial" w:cs="Arial"/>
                <w:b/>
                <w:bCs/>
                <w:lang w:val="en-US"/>
              </w:rPr>
              <w:t>8 April</w:t>
            </w:r>
            <w:r w:rsidR="00155B26" w:rsidRPr="00F97DE9">
              <w:rPr>
                <w:rFonts w:ascii="Arial" w:hAnsi="Arial" w:cs="Arial"/>
                <w:b/>
                <w:bCs/>
                <w:lang w:val="en-US"/>
              </w:rPr>
              <w:t xml:space="preserve"> 2024</w:t>
            </w:r>
          </w:p>
          <w:p w14:paraId="20367C70" w14:textId="78A3FD94" w:rsidR="00155B26" w:rsidRPr="00155B26" w:rsidRDefault="00155B26" w:rsidP="00AF7D5F">
            <w:pPr>
              <w:spacing w:line="360" w:lineRule="auto"/>
              <w:jc w:val="both"/>
              <w:rPr>
                <w:rFonts w:ascii="Arial" w:hAnsi="Arial" w:cs="Arial"/>
                <w:lang w:val="en-US"/>
              </w:rPr>
            </w:pPr>
          </w:p>
        </w:tc>
      </w:tr>
    </w:tbl>
    <w:p w14:paraId="537DC2D5" w14:textId="7B9203B1" w:rsidR="000B7561" w:rsidRDefault="00155B26" w:rsidP="000B7561">
      <w:pPr>
        <w:pStyle w:val="ListParagraph"/>
        <w:spacing w:line="360" w:lineRule="auto"/>
        <w:ind w:left="0"/>
        <w:jc w:val="both"/>
        <w:rPr>
          <w:rFonts w:ascii="Arial" w:hAnsi="Arial" w:cs="Arial"/>
          <w:lang w:val="en-US"/>
        </w:rPr>
      </w:pPr>
      <w:proofErr w:type="spellStart"/>
      <w:r>
        <w:rPr>
          <w:rFonts w:ascii="Arial" w:hAnsi="Arial" w:cs="Arial"/>
          <w:b/>
          <w:bCs/>
          <w:lang w:val="en-US"/>
        </w:rPr>
        <w:lastRenderedPageBreak/>
        <w:t>Flynote</w:t>
      </w:r>
      <w:proofErr w:type="spellEnd"/>
      <w:r>
        <w:rPr>
          <w:rFonts w:ascii="Arial" w:hAnsi="Arial" w:cs="Arial"/>
          <w:b/>
          <w:bCs/>
          <w:lang w:val="en-US"/>
        </w:rPr>
        <w:t>:</w:t>
      </w:r>
      <w:r>
        <w:rPr>
          <w:rFonts w:ascii="Arial" w:hAnsi="Arial" w:cs="Arial"/>
          <w:b/>
          <w:bCs/>
          <w:lang w:val="en-US"/>
        </w:rPr>
        <w:tab/>
      </w:r>
      <w:r w:rsidR="000B7561" w:rsidRPr="000B7561">
        <w:rPr>
          <w:rFonts w:ascii="Arial" w:hAnsi="Arial" w:cs="Arial"/>
          <w:lang w:val="en-US"/>
        </w:rPr>
        <w:t xml:space="preserve">Evidence – </w:t>
      </w:r>
      <w:r w:rsidR="000B7561">
        <w:rPr>
          <w:rFonts w:ascii="Arial" w:hAnsi="Arial" w:cs="Arial"/>
          <w:lang w:val="en-US"/>
        </w:rPr>
        <w:t>W</w:t>
      </w:r>
      <w:r w:rsidR="000B7561" w:rsidRPr="000B7561">
        <w:rPr>
          <w:rFonts w:ascii="Arial" w:hAnsi="Arial" w:cs="Arial"/>
          <w:lang w:val="en-US"/>
        </w:rPr>
        <w:t xml:space="preserve">hether all work was quantified – </w:t>
      </w:r>
      <w:r w:rsidR="00C246C1">
        <w:rPr>
          <w:rFonts w:ascii="Arial" w:hAnsi="Arial" w:cs="Arial"/>
          <w:lang w:val="en-US"/>
        </w:rPr>
        <w:t>Contradictory s</w:t>
      </w:r>
      <w:r w:rsidR="000B7561" w:rsidRPr="000B7561">
        <w:rPr>
          <w:rFonts w:ascii="Arial" w:hAnsi="Arial" w:cs="Arial"/>
          <w:lang w:val="en-US"/>
        </w:rPr>
        <w:t xml:space="preserve">econdhand evidence not accepted </w:t>
      </w:r>
      <w:r w:rsidR="00551287">
        <w:rPr>
          <w:rFonts w:ascii="Arial" w:hAnsi="Arial" w:cs="Arial"/>
          <w:lang w:val="en-US"/>
        </w:rPr>
        <w:t>and f</w:t>
      </w:r>
      <w:r w:rsidR="000B7561" w:rsidRPr="000B7561">
        <w:rPr>
          <w:rFonts w:ascii="Arial" w:hAnsi="Arial" w:cs="Arial"/>
          <w:lang w:val="en-US"/>
        </w:rPr>
        <w:t>irsthand evidence</w:t>
      </w:r>
      <w:r w:rsidR="00551287">
        <w:rPr>
          <w:rFonts w:ascii="Arial" w:hAnsi="Arial" w:cs="Arial"/>
          <w:lang w:val="en-US"/>
        </w:rPr>
        <w:t xml:space="preserve">, as supplemented by further testimony evidencing </w:t>
      </w:r>
      <w:r w:rsidR="00E11A00">
        <w:rPr>
          <w:rFonts w:ascii="Arial" w:hAnsi="Arial" w:cs="Arial"/>
          <w:lang w:val="en-US"/>
        </w:rPr>
        <w:t xml:space="preserve">a joint quantification did not take place and the final account remains </w:t>
      </w:r>
      <w:r w:rsidR="00551287">
        <w:rPr>
          <w:rFonts w:ascii="Arial" w:hAnsi="Arial" w:cs="Arial"/>
          <w:lang w:val="en-US"/>
        </w:rPr>
        <w:t>unresolved, accepted</w:t>
      </w:r>
      <w:r w:rsidR="00384419">
        <w:rPr>
          <w:rFonts w:ascii="Arial" w:hAnsi="Arial" w:cs="Arial"/>
          <w:lang w:val="en-US"/>
        </w:rPr>
        <w:t xml:space="preserve"> </w:t>
      </w:r>
      <w:r w:rsidR="000B7561" w:rsidRPr="000B7561">
        <w:rPr>
          <w:rFonts w:ascii="Arial" w:hAnsi="Arial" w:cs="Arial"/>
          <w:lang w:val="en-US"/>
        </w:rPr>
        <w:t xml:space="preserve">– Final account not compiled from last site meeting – Work not quantified for final account at last site meeting – </w:t>
      </w:r>
      <w:r w:rsidR="005C1837" w:rsidRPr="000B7561">
        <w:rPr>
          <w:rFonts w:ascii="Arial" w:hAnsi="Arial" w:cs="Arial"/>
          <w:lang w:val="en-US"/>
        </w:rPr>
        <w:t>Final account not shared with plaintiff –</w:t>
      </w:r>
      <w:r w:rsidR="005C1837">
        <w:rPr>
          <w:rFonts w:ascii="Arial" w:hAnsi="Arial" w:cs="Arial"/>
          <w:lang w:val="en-US"/>
        </w:rPr>
        <w:t xml:space="preserve"> Revised final account not shared with plaintiff – </w:t>
      </w:r>
      <w:r w:rsidR="000B7561" w:rsidRPr="000B7561">
        <w:rPr>
          <w:rFonts w:ascii="Arial" w:hAnsi="Arial" w:cs="Arial"/>
          <w:lang w:val="en-US"/>
        </w:rPr>
        <w:t xml:space="preserve">Undisputed process </w:t>
      </w:r>
      <w:r w:rsidR="00AC0D92">
        <w:rPr>
          <w:rFonts w:ascii="Arial" w:hAnsi="Arial" w:cs="Arial"/>
          <w:lang w:val="en-US"/>
        </w:rPr>
        <w:t xml:space="preserve">followed </w:t>
      </w:r>
      <w:r w:rsidR="000B7561" w:rsidRPr="000B7561">
        <w:rPr>
          <w:rFonts w:ascii="Arial" w:hAnsi="Arial" w:cs="Arial"/>
          <w:lang w:val="en-US"/>
        </w:rPr>
        <w:t xml:space="preserve">on the ground to determine if payment was due to plaintiff was a joint process and plaintiff was to </w:t>
      </w:r>
      <w:proofErr w:type="spellStart"/>
      <w:r w:rsidR="000B7561" w:rsidRPr="000B7561">
        <w:rPr>
          <w:rFonts w:ascii="Arial" w:hAnsi="Arial" w:cs="Arial"/>
          <w:lang w:val="en-US"/>
        </w:rPr>
        <w:t>finalise</w:t>
      </w:r>
      <w:proofErr w:type="spellEnd"/>
      <w:r w:rsidR="000B7561" w:rsidRPr="000B7561">
        <w:rPr>
          <w:rFonts w:ascii="Arial" w:hAnsi="Arial" w:cs="Arial"/>
          <w:lang w:val="en-US"/>
        </w:rPr>
        <w:t xml:space="preserve"> the final account with the quantity surveyor –</w:t>
      </w:r>
      <w:r w:rsidR="005C1837">
        <w:rPr>
          <w:rFonts w:ascii="Arial" w:hAnsi="Arial" w:cs="Arial"/>
          <w:lang w:val="en-US"/>
        </w:rPr>
        <w:t xml:space="preserve"> Joint quantification did not take place – </w:t>
      </w:r>
      <w:r w:rsidR="000B7561" w:rsidRPr="000B7561">
        <w:rPr>
          <w:rFonts w:ascii="Arial" w:hAnsi="Arial" w:cs="Arial"/>
          <w:lang w:val="en-US"/>
        </w:rPr>
        <w:t>Final account must have been discussed with plaintiff but it was not –</w:t>
      </w:r>
      <w:r w:rsidR="005C1837">
        <w:rPr>
          <w:rFonts w:ascii="Arial" w:hAnsi="Arial" w:cs="Arial"/>
          <w:lang w:val="en-US"/>
        </w:rPr>
        <w:t xml:space="preserve"> </w:t>
      </w:r>
      <w:r w:rsidR="000B7561" w:rsidRPr="000B7561">
        <w:rPr>
          <w:rFonts w:ascii="Arial" w:hAnsi="Arial" w:cs="Arial"/>
          <w:lang w:val="en-US"/>
        </w:rPr>
        <w:t>Final account remains unresolved – Claim for quantification succeeds.</w:t>
      </w:r>
    </w:p>
    <w:p w14:paraId="1AA83D46" w14:textId="77777777" w:rsidR="000B7561" w:rsidRPr="001737C4" w:rsidRDefault="000B7561" w:rsidP="000B7561">
      <w:pPr>
        <w:pStyle w:val="ListParagraph"/>
        <w:rPr>
          <w:rFonts w:ascii="Arial" w:hAnsi="Arial" w:cs="Arial"/>
          <w:lang w:val="en-US"/>
        </w:rPr>
      </w:pPr>
    </w:p>
    <w:p w14:paraId="3242126C" w14:textId="2F8E70F1" w:rsidR="000B7561" w:rsidRDefault="000B7561" w:rsidP="000B7561">
      <w:pPr>
        <w:pStyle w:val="ListParagraph"/>
        <w:spacing w:line="360" w:lineRule="auto"/>
        <w:ind w:left="0"/>
        <w:jc w:val="both"/>
        <w:rPr>
          <w:rFonts w:ascii="Arial" w:hAnsi="Arial" w:cs="Arial"/>
          <w:lang w:val="en-US"/>
        </w:rPr>
      </w:pPr>
      <w:r w:rsidRPr="000B7561">
        <w:rPr>
          <w:rFonts w:ascii="Arial" w:hAnsi="Arial" w:cs="Arial"/>
          <w:lang w:val="en-US"/>
        </w:rPr>
        <w:t xml:space="preserve">Pleadings – Causes of action relied on not pleaded – Damages claim resulting from breach of contract – Must allege and prove the contract, </w:t>
      </w:r>
      <w:r w:rsidR="00384419">
        <w:rPr>
          <w:rFonts w:ascii="Arial" w:hAnsi="Arial" w:cs="Arial"/>
          <w:lang w:val="en-US"/>
        </w:rPr>
        <w:t xml:space="preserve">the </w:t>
      </w:r>
      <w:r w:rsidRPr="000B7561">
        <w:rPr>
          <w:rFonts w:ascii="Arial" w:hAnsi="Arial" w:cs="Arial"/>
          <w:lang w:val="en-US"/>
        </w:rPr>
        <w:t xml:space="preserve">breach, </w:t>
      </w:r>
      <w:r w:rsidR="00384419">
        <w:rPr>
          <w:rFonts w:ascii="Arial" w:hAnsi="Arial" w:cs="Arial"/>
          <w:lang w:val="en-US"/>
        </w:rPr>
        <w:t xml:space="preserve">damages </w:t>
      </w:r>
      <w:r w:rsidRPr="000B7561">
        <w:rPr>
          <w:rFonts w:ascii="Arial" w:hAnsi="Arial" w:cs="Arial"/>
          <w:lang w:val="en-US"/>
        </w:rPr>
        <w:t xml:space="preserve">suffered, a causal link between the breach and damages and the loss was not too remote – General or intrinsic damages </w:t>
      </w:r>
      <w:r w:rsidR="00384419">
        <w:rPr>
          <w:rFonts w:ascii="Arial" w:hAnsi="Arial" w:cs="Arial"/>
          <w:lang w:val="en-US"/>
        </w:rPr>
        <w:t>are those that</w:t>
      </w:r>
      <w:r w:rsidRPr="000B7561">
        <w:rPr>
          <w:rFonts w:ascii="Arial" w:hAnsi="Arial" w:cs="Arial"/>
          <w:lang w:val="en-US"/>
        </w:rPr>
        <w:t xml:space="preserve"> flow naturally and generally from the breach in that because the law presumes that such damages fell within the parties’ contemplation as a probable result of the breach, they are not regarded as too remote – Special or extrinsic damages are those not regarded as too remote if, in the special circumstances in the conclusion of the contract, the parties actually or presumptively contemplated such damages would probably result from the breach </w:t>
      </w:r>
      <w:r w:rsidR="000D761D">
        <w:rPr>
          <w:rFonts w:ascii="Arial" w:hAnsi="Arial" w:cs="Arial"/>
          <w:lang w:val="en-US"/>
        </w:rPr>
        <w:t>–</w:t>
      </w:r>
      <w:r w:rsidRPr="000B7561">
        <w:rPr>
          <w:rFonts w:ascii="Arial" w:hAnsi="Arial" w:cs="Arial"/>
          <w:lang w:val="en-US"/>
        </w:rPr>
        <w:t xml:space="preserve"> Plaintiff did not allege or prove causal link between the breach pleaded and the damages, nor that the loss was not too remote – Facts do not support a causal link between the breach </w:t>
      </w:r>
      <w:r w:rsidR="00AC0D92">
        <w:rPr>
          <w:rFonts w:ascii="Arial" w:hAnsi="Arial" w:cs="Arial"/>
          <w:lang w:val="en-US"/>
        </w:rPr>
        <w:t xml:space="preserve">pleaded </w:t>
      </w:r>
      <w:r w:rsidRPr="000B7561">
        <w:rPr>
          <w:rFonts w:ascii="Arial" w:hAnsi="Arial" w:cs="Arial"/>
          <w:lang w:val="en-US"/>
        </w:rPr>
        <w:t>and the damages – Plaintiff failed to make a case for its monetary claim.</w:t>
      </w:r>
    </w:p>
    <w:p w14:paraId="2BC993D3" w14:textId="77777777" w:rsidR="000B7561" w:rsidRPr="001737C4" w:rsidRDefault="000B7561" w:rsidP="000B7561">
      <w:pPr>
        <w:pStyle w:val="ListParagraph"/>
        <w:rPr>
          <w:rFonts w:ascii="Arial" w:hAnsi="Arial" w:cs="Arial"/>
          <w:lang w:val="en-US"/>
        </w:rPr>
      </w:pPr>
    </w:p>
    <w:p w14:paraId="0B18D332" w14:textId="79EE0F25" w:rsidR="00387FB0" w:rsidRDefault="000B7561" w:rsidP="000B7561">
      <w:pPr>
        <w:pStyle w:val="ListParagraph"/>
        <w:spacing w:line="360" w:lineRule="auto"/>
        <w:ind w:left="0"/>
        <w:jc w:val="both"/>
        <w:rPr>
          <w:rFonts w:ascii="Arial" w:hAnsi="Arial" w:cs="Arial"/>
          <w:lang w:val="en-US"/>
        </w:rPr>
      </w:pPr>
      <w:r w:rsidRPr="000B7561">
        <w:rPr>
          <w:rFonts w:ascii="Arial" w:hAnsi="Arial" w:cs="Arial"/>
          <w:lang w:val="en-US"/>
        </w:rPr>
        <w:t xml:space="preserve">Costs – Basic rule costs are in court’s discretion – General rule costs follow the event – Applying general rule but whereas plaintiff succeeds </w:t>
      </w:r>
      <w:r w:rsidR="00384419">
        <w:rPr>
          <w:rFonts w:ascii="Arial" w:hAnsi="Arial" w:cs="Arial"/>
          <w:lang w:val="en-US"/>
        </w:rPr>
        <w:t xml:space="preserve">only </w:t>
      </w:r>
      <w:r w:rsidRPr="000B7561">
        <w:rPr>
          <w:rFonts w:ascii="Arial" w:hAnsi="Arial" w:cs="Arial"/>
          <w:lang w:val="en-US"/>
        </w:rPr>
        <w:t>partially, court awards plaintiff only part of its costs.</w:t>
      </w:r>
      <w:r w:rsidR="00155B26">
        <w:rPr>
          <w:rFonts w:ascii="Arial" w:hAnsi="Arial" w:cs="Arial"/>
          <w:lang w:val="en-US"/>
        </w:rPr>
        <w:t xml:space="preserve"> </w:t>
      </w:r>
    </w:p>
    <w:p w14:paraId="526AC934" w14:textId="77777777" w:rsidR="00387FB0" w:rsidRPr="001737C4" w:rsidRDefault="00387FB0" w:rsidP="000B7561">
      <w:pPr>
        <w:pStyle w:val="ListParagraph"/>
        <w:ind w:left="0"/>
        <w:rPr>
          <w:rFonts w:ascii="Arial" w:hAnsi="Arial" w:cs="Arial"/>
          <w:lang w:val="en-US"/>
        </w:rPr>
      </w:pPr>
    </w:p>
    <w:p w14:paraId="3E269A24" w14:textId="4E53700D" w:rsidR="00387FB0" w:rsidRDefault="00155B26" w:rsidP="000B7561">
      <w:pPr>
        <w:pStyle w:val="ListParagraph"/>
        <w:spacing w:line="360" w:lineRule="auto"/>
        <w:ind w:left="0"/>
        <w:jc w:val="both"/>
        <w:rPr>
          <w:rFonts w:ascii="Arial" w:hAnsi="Arial" w:cs="Arial"/>
          <w:lang w:val="en-US"/>
        </w:rPr>
      </w:pPr>
      <w:r>
        <w:rPr>
          <w:rFonts w:ascii="Arial" w:hAnsi="Arial" w:cs="Arial"/>
          <w:b/>
          <w:bCs/>
          <w:lang w:val="en-US"/>
        </w:rPr>
        <w:t>Summary:</w:t>
      </w:r>
      <w:r>
        <w:rPr>
          <w:rFonts w:ascii="Arial" w:hAnsi="Arial" w:cs="Arial"/>
          <w:b/>
          <w:bCs/>
          <w:lang w:val="en-US"/>
        </w:rPr>
        <w:tab/>
      </w:r>
      <w:r w:rsidR="00EA618D" w:rsidRPr="00EA618D">
        <w:rPr>
          <w:rFonts w:ascii="Arial" w:hAnsi="Arial" w:cs="Arial"/>
          <w:lang w:val="en-US"/>
        </w:rPr>
        <w:t xml:space="preserve">The plaintiff and the first defendant were parties to a written contract </w:t>
      </w:r>
      <w:r w:rsidR="00EA618D">
        <w:rPr>
          <w:rFonts w:ascii="Arial" w:hAnsi="Arial" w:cs="Arial"/>
          <w:lang w:val="en-US"/>
        </w:rPr>
        <w:t xml:space="preserve">concluded on </w:t>
      </w:r>
      <w:r w:rsidR="00EA618D" w:rsidRPr="00EA618D">
        <w:rPr>
          <w:rFonts w:ascii="Arial" w:hAnsi="Arial" w:cs="Arial"/>
          <w:lang w:val="en-US"/>
        </w:rPr>
        <w:t>9 October 2014</w:t>
      </w:r>
      <w:r w:rsidR="008608CD">
        <w:rPr>
          <w:rFonts w:ascii="Arial" w:hAnsi="Arial" w:cs="Arial"/>
          <w:lang w:val="en-US"/>
        </w:rPr>
        <w:t>,</w:t>
      </w:r>
      <w:r w:rsidR="00EA618D" w:rsidRPr="00EA618D">
        <w:rPr>
          <w:rFonts w:ascii="Arial" w:hAnsi="Arial" w:cs="Arial"/>
          <w:lang w:val="en-US"/>
        </w:rPr>
        <w:t xml:space="preserve"> whereby the first defendant contracted the plaintiff to perform construction services </w:t>
      </w:r>
      <w:r w:rsidR="00EA618D">
        <w:rPr>
          <w:rFonts w:ascii="Arial" w:hAnsi="Arial" w:cs="Arial"/>
          <w:lang w:val="en-US"/>
        </w:rPr>
        <w:t>upgrad</w:t>
      </w:r>
      <w:r w:rsidR="008608CD">
        <w:rPr>
          <w:rFonts w:ascii="Arial" w:hAnsi="Arial" w:cs="Arial"/>
          <w:lang w:val="en-US"/>
        </w:rPr>
        <w:t>ing</w:t>
      </w:r>
      <w:r w:rsidR="00EA618D">
        <w:rPr>
          <w:rFonts w:ascii="Arial" w:hAnsi="Arial" w:cs="Arial"/>
          <w:lang w:val="en-US"/>
        </w:rPr>
        <w:t xml:space="preserve"> </w:t>
      </w:r>
      <w:proofErr w:type="spellStart"/>
      <w:r w:rsidR="00EA618D" w:rsidRPr="00EA618D">
        <w:rPr>
          <w:rFonts w:ascii="Arial" w:hAnsi="Arial" w:cs="Arial"/>
          <w:lang w:val="en-US"/>
        </w:rPr>
        <w:t>Fonteintjie</w:t>
      </w:r>
      <w:proofErr w:type="spellEnd"/>
      <w:r w:rsidR="00EA618D" w:rsidRPr="00EA618D">
        <w:rPr>
          <w:rFonts w:ascii="Arial" w:hAnsi="Arial" w:cs="Arial"/>
          <w:lang w:val="en-US"/>
        </w:rPr>
        <w:t xml:space="preserve"> Fish Farm.</w:t>
      </w:r>
      <w:r w:rsidR="008608CD">
        <w:rPr>
          <w:rFonts w:ascii="Arial" w:hAnsi="Arial" w:cs="Arial"/>
          <w:lang w:val="en-US"/>
        </w:rPr>
        <w:t xml:space="preserve"> </w:t>
      </w:r>
      <w:r w:rsidR="00EA618D" w:rsidRPr="00EA618D">
        <w:rPr>
          <w:rFonts w:ascii="Arial" w:hAnsi="Arial" w:cs="Arial"/>
          <w:lang w:val="en-US"/>
        </w:rPr>
        <w:t>The second defendant was the principal agent. Prior to concluding the contract, the plaintiff had to provide a performance guarantee</w:t>
      </w:r>
      <w:r w:rsidR="008608CD">
        <w:rPr>
          <w:rFonts w:ascii="Arial" w:eastAsia="Calibri" w:hAnsi="Arial" w:cs="Arial"/>
          <w:bCs/>
        </w:rPr>
        <w:t xml:space="preserve">, </w:t>
      </w:r>
      <w:r w:rsidR="00EA618D" w:rsidRPr="00EA618D">
        <w:rPr>
          <w:rFonts w:ascii="Arial" w:hAnsi="Arial" w:cs="Arial"/>
          <w:lang w:val="en-US"/>
        </w:rPr>
        <w:t xml:space="preserve">which it did on 23 September 2014. A </w:t>
      </w:r>
      <w:r w:rsidR="00EA618D" w:rsidRPr="00EA618D">
        <w:rPr>
          <w:rFonts w:ascii="Arial" w:hAnsi="Arial" w:cs="Arial"/>
          <w:lang w:val="en-US"/>
        </w:rPr>
        <w:lastRenderedPageBreak/>
        <w:t>payment dispute arose</w:t>
      </w:r>
      <w:r w:rsidR="008608CD">
        <w:rPr>
          <w:rFonts w:ascii="Arial" w:hAnsi="Arial" w:cs="Arial"/>
          <w:lang w:val="en-US"/>
        </w:rPr>
        <w:t xml:space="preserve"> about payment certificate 24 issued in October 2017</w:t>
      </w:r>
      <w:r w:rsidR="00EA618D" w:rsidRPr="00EA618D">
        <w:rPr>
          <w:rFonts w:ascii="Arial" w:hAnsi="Arial" w:cs="Arial"/>
          <w:lang w:val="en-US"/>
        </w:rPr>
        <w:t xml:space="preserve">, leading to the plaintiff terminating the contract in August 2019 and demanding the return of the performance guarantee. The plaintiff alleges any further payments that would be due, </w:t>
      </w:r>
      <w:proofErr w:type="gramStart"/>
      <w:r w:rsidR="00EA618D" w:rsidRPr="00EA618D">
        <w:rPr>
          <w:rFonts w:ascii="Arial" w:hAnsi="Arial" w:cs="Arial"/>
          <w:lang w:val="en-US"/>
        </w:rPr>
        <w:t>owing</w:t>
      </w:r>
      <w:proofErr w:type="gramEnd"/>
      <w:r w:rsidR="00EA618D" w:rsidRPr="00EA618D">
        <w:rPr>
          <w:rFonts w:ascii="Arial" w:hAnsi="Arial" w:cs="Arial"/>
          <w:lang w:val="en-US"/>
        </w:rPr>
        <w:t xml:space="preserve"> and payable to it would be determined by a joint quantification thereof, alternatively, a determination thereof by the second defendant.</w:t>
      </w:r>
      <w:r w:rsidR="008608CD">
        <w:rPr>
          <w:rFonts w:ascii="Arial" w:hAnsi="Arial" w:cs="Arial"/>
          <w:lang w:val="en-US"/>
        </w:rPr>
        <w:t xml:space="preserve"> The plaintiff claims that after</w:t>
      </w:r>
      <w:r w:rsidR="00EA618D" w:rsidRPr="00EA618D">
        <w:rPr>
          <w:rFonts w:ascii="Arial" w:hAnsi="Arial" w:cs="Arial"/>
          <w:lang w:val="en-US"/>
        </w:rPr>
        <w:t xml:space="preserve"> payment certificate 28</w:t>
      </w:r>
      <w:r w:rsidR="009567A2">
        <w:rPr>
          <w:rFonts w:ascii="Arial" w:hAnsi="Arial" w:cs="Arial"/>
          <w:lang w:val="en-US"/>
        </w:rPr>
        <w:t xml:space="preserve"> was</w:t>
      </w:r>
      <w:r w:rsidR="008608CD">
        <w:rPr>
          <w:rFonts w:ascii="Arial" w:hAnsi="Arial" w:cs="Arial"/>
          <w:lang w:val="en-US"/>
        </w:rPr>
        <w:t xml:space="preserve"> </w:t>
      </w:r>
      <w:r w:rsidR="00EA618D" w:rsidRPr="00EA618D">
        <w:rPr>
          <w:rFonts w:ascii="Arial" w:hAnsi="Arial" w:cs="Arial"/>
          <w:lang w:val="en-US"/>
        </w:rPr>
        <w:t>issued</w:t>
      </w:r>
      <w:r w:rsidR="008608CD">
        <w:rPr>
          <w:rFonts w:ascii="Arial" w:hAnsi="Arial" w:cs="Arial"/>
          <w:lang w:val="en-US"/>
        </w:rPr>
        <w:t xml:space="preserve"> in March 2019</w:t>
      </w:r>
      <w:r w:rsidR="00EA618D" w:rsidRPr="00EA618D">
        <w:rPr>
          <w:rFonts w:ascii="Arial" w:hAnsi="Arial" w:cs="Arial"/>
          <w:lang w:val="en-US"/>
        </w:rPr>
        <w:t xml:space="preserve">, </w:t>
      </w:r>
      <w:r w:rsidR="008608CD">
        <w:rPr>
          <w:rFonts w:ascii="Arial" w:hAnsi="Arial" w:cs="Arial"/>
          <w:lang w:val="en-US"/>
        </w:rPr>
        <w:t>it</w:t>
      </w:r>
      <w:r w:rsidR="00EA618D" w:rsidRPr="00EA618D">
        <w:rPr>
          <w:rFonts w:ascii="Arial" w:hAnsi="Arial" w:cs="Arial"/>
          <w:lang w:val="en-US"/>
        </w:rPr>
        <w:t xml:space="preserve"> continued to render services, but despite </w:t>
      </w:r>
      <w:r w:rsidR="008608CD">
        <w:rPr>
          <w:rFonts w:ascii="Arial" w:hAnsi="Arial" w:cs="Arial"/>
          <w:lang w:val="en-US"/>
        </w:rPr>
        <w:t xml:space="preserve">the plaintiff’s </w:t>
      </w:r>
      <w:r w:rsidR="00EA618D" w:rsidRPr="00EA618D">
        <w:rPr>
          <w:rFonts w:ascii="Arial" w:hAnsi="Arial" w:cs="Arial"/>
          <w:lang w:val="en-US"/>
        </w:rPr>
        <w:t>additional work, no other payment certificates were issued. The plaintiff claims it is entitled to a quantification of the amounts due, owing, and payable to it and payment of N$2 490 631 for costs incurred in securing the performance guarantee.</w:t>
      </w:r>
      <w:r w:rsidR="008608CD">
        <w:rPr>
          <w:rFonts w:ascii="Arial" w:hAnsi="Arial" w:cs="Arial"/>
          <w:lang w:val="en-US"/>
        </w:rPr>
        <w:t xml:space="preserve"> The first defendant </w:t>
      </w:r>
      <w:r w:rsidR="005F2E4B">
        <w:rPr>
          <w:rFonts w:ascii="Arial" w:hAnsi="Arial" w:cs="Arial"/>
          <w:lang w:val="en-US"/>
        </w:rPr>
        <w:t xml:space="preserve">admits the plaintiff terminated the contract, but disputes it was because of the first defendant’s breach. The first defendant claims a double payment </w:t>
      </w:r>
      <w:r w:rsidR="009567A2">
        <w:rPr>
          <w:rFonts w:ascii="Arial" w:hAnsi="Arial" w:cs="Arial"/>
          <w:lang w:val="en-US"/>
        </w:rPr>
        <w:t>resulted from</w:t>
      </w:r>
      <w:r w:rsidR="005F2E4B">
        <w:rPr>
          <w:rFonts w:ascii="Arial" w:hAnsi="Arial" w:cs="Arial"/>
          <w:lang w:val="en-US"/>
        </w:rPr>
        <w:t xml:space="preserve"> payment certificates 23A and 23B which was set off against payment certificate 24. The first defendant further claims there was a site meeting on 26 November 20</w:t>
      </w:r>
      <w:r w:rsidR="00D16A30">
        <w:rPr>
          <w:rFonts w:ascii="Arial" w:hAnsi="Arial" w:cs="Arial"/>
          <w:lang w:val="en-US"/>
        </w:rPr>
        <w:t>19</w:t>
      </w:r>
      <w:r w:rsidR="005F2E4B">
        <w:rPr>
          <w:rFonts w:ascii="Arial" w:hAnsi="Arial" w:cs="Arial"/>
          <w:lang w:val="en-US"/>
        </w:rPr>
        <w:t>, attended</w:t>
      </w:r>
      <w:r w:rsidR="00AC0D92">
        <w:rPr>
          <w:rFonts w:ascii="Arial" w:hAnsi="Arial" w:cs="Arial"/>
          <w:lang w:val="en-US"/>
        </w:rPr>
        <w:t xml:space="preserve"> </w:t>
      </w:r>
      <w:r w:rsidR="005F2E4B">
        <w:rPr>
          <w:rFonts w:ascii="Arial" w:hAnsi="Arial" w:cs="Arial"/>
          <w:lang w:val="en-US"/>
        </w:rPr>
        <w:t xml:space="preserve">by the plaintiff, with the purpose of quantifying the work which translated to a final account </w:t>
      </w:r>
      <w:r w:rsidR="009567A2">
        <w:rPr>
          <w:rFonts w:ascii="Arial" w:hAnsi="Arial" w:cs="Arial"/>
          <w:lang w:val="en-US"/>
        </w:rPr>
        <w:t xml:space="preserve">that was </w:t>
      </w:r>
      <w:r w:rsidR="005F2E4B">
        <w:rPr>
          <w:rFonts w:ascii="Arial" w:hAnsi="Arial" w:cs="Arial"/>
          <w:lang w:val="en-US"/>
        </w:rPr>
        <w:t>forwarded to the plaintiff. The first defendant disputes liability for costs incurred in securing the performance guarantee as N$35 000 was agreed t</w:t>
      </w:r>
      <w:r w:rsidR="009567A2">
        <w:rPr>
          <w:rFonts w:ascii="Arial" w:hAnsi="Arial" w:cs="Arial"/>
          <w:lang w:val="en-US"/>
        </w:rPr>
        <w:t xml:space="preserve">o and included in the contract as the cost to obtain the performance guarantee. The first defendant further claims the performance guarantee was returned to the plaintiff in November 2019 despite the work not being completed by the plaintiff, there being no certificate of completion and the plaintiff not being entitled to its return. </w:t>
      </w:r>
      <w:r w:rsidR="008608CD">
        <w:rPr>
          <w:rFonts w:ascii="Arial" w:hAnsi="Arial" w:cs="Arial"/>
          <w:lang w:val="en-US"/>
        </w:rPr>
        <w:t xml:space="preserve"> </w:t>
      </w:r>
    </w:p>
    <w:p w14:paraId="69F43DCD" w14:textId="77777777" w:rsidR="00387FB0" w:rsidRPr="001737C4" w:rsidRDefault="00387FB0" w:rsidP="00387FB0">
      <w:pPr>
        <w:pStyle w:val="ListParagraph"/>
        <w:rPr>
          <w:rFonts w:ascii="Arial" w:hAnsi="Arial" w:cs="Arial"/>
          <w:lang w:val="en-US"/>
        </w:rPr>
      </w:pPr>
    </w:p>
    <w:p w14:paraId="328D5D6F" w14:textId="46743585" w:rsidR="00387FB0" w:rsidRDefault="00155B26" w:rsidP="009C56FC">
      <w:pPr>
        <w:pStyle w:val="ListParagraph"/>
        <w:spacing w:line="360" w:lineRule="auto"/>
        <w:ind w:left="0"/>
        <w:jc w:val="both"/>
        <w:rPr>
          <w:rFonts w:ascii="Arial" w:hAnsi="Arial" w:cs="Arial"/>
          <w:lang w:val="en-US"/>
        </w:rPr>
      </w:pPr>
      <w:r>
        <w:rPr>
          <w:rFonts w:ascii="Arial" w:hAnsi="Arial" w:cs="Arial"/>
          <w:i/>
          <w:iCs/>
          <w:lang w:val="en-US"/>
        </w:rPr>
        <w:t>Held that</w:t>
      </w:r>
      <w:r>
        <w:rPr>
          <w:rFonts w:ascii="Arial" w:hAnsi="Arial" w:cs="Arial"/>
          <w:lang w:val="en-US"/>
        </w:rPr>
        <w:t xml:space="preserve"> </w:t>
      </w:r>
      <w:r w:rsidR="00387FB0" w:rsidRPr="00387FB0">
        <w:rPr>
          <w:rFonts w:ascii="Arial" w:hAnsi="Arial" w:cs="Arial"/>
          <w:lang w:val="en-US"/>
        </w:rPr>
        <w:t xml:space="preserve">Garcia’s and Nel’s </w:t>
      </w:r>
      <w:r w:rsidR="00C246C1">
        <w:rPr>
          <w:rFonts w:ascii="Arial" w:hAnsi="Arial" w:cs="Arial"/>
          <w:lang w:val="en-US"/>
        </w:rPr>
        <w:t xml:space="preserve">contradictory </w:t>
      </w:r>
      <w:r w:rsidR="00AC0D92">
        <w:rPr>
          <w:rFonts w:ascii="Arial" w:hAnsi="Arial" w:cs="Arial"/>
          <w:lang w:val="en-US"/>
        </w:rPr>
        <w:t xml:space="preserve">secondhand </w:t>
      </w:r>
      <w:r w:rsidR="00387FB0" w:rsidRPr="00387FB0">
        <w:rPr>
          <w:rFonts w:ascii="Arial" w:hAnsi="Arial" w:cs="Arial"/>
          <w:lang w:val="en-US"/>
        </w:rPr>
        <w:t xml:space="preserve">testimony that all work was quantified </w:t>
      </w:r>
      <w:r w:rsidR="00551287">
        <w:rPr>
          <w:rFonts w:ascii="Arial" w:hAnsi="Arial" w:cs="Arial"/>
          <w:lang w:val="en-US"/>
        </w:rPr>
        <w:t>is not</w:t>
      </w:r>
      <w:r w:rsidR="00387FB0" w:rsidRPr="00387FB0">
        <w:rPr>
          <w:rFonts w:ascii="Arial" w:hAnsi="Arial" w:cs="Arial"/>
          <w:lang w:val="en-US"/>
        </w:rPr>
        <w:t xml:space="preserve"> accepted as evidence that all work was indeed quantified</w:t>
      </w:r>
      <w:r w:rsidR="00387FB0">
        <w:rPr>
          <w:rFonts w:ascii="Arial" w:hAnsi="Arial" w:cs="Arial"/>
          <w:lang w:val="en-US"/>
        </w:rPr>
        <w:t>.</w:t>
      </w:r>
      <w:r w:rsidR="000D761D">
        <w:rPr>
          <w:rFonts w:ascii="Arial" w:hAnsi="Arial" w:cs="Arial"/>
          <w:lang w:val="en-US"/>
        </w:rPr>
        <w:t xml:space="preserve"> </w:t>
      </w:r>
      <w:proofErr w:type="spellStart"/>
      <w:r w:rsidR="00387FB0" w:rsidRPr="00387FB0">
        <w:rPr>
          <w:rFonts w:ascii="Arial" w:hAnsi="Arial" w:cs="Arial"/>
          <w:lang w:val="en-US"/>
        </w:rPr>
        <w:t>Kapuuo’s</w:t>
      </w:r>
      <w:proofErr w:type="spellEnd"/>
      <w:r w:rsidR="00387FB0" w:rsidRPr="00387FB0">
        <w:rPr>
          <w:rFonts w:ascii="Arial" w:hAnsi="Arial" w:cs="Arial"/>
          <w:lang w:val="en-US"/>
        </w:rPr>
        <w:t xml:space="preserve"> testimony</w:t>
      </w:r>
      <w:r w:rsidR="00551287">
        <w:rPr>
          <w:rFonts w:ascii="Arial" w:hAnsi="Arial" w:cs="Arial"/>
          <w:lang w:val="en-US"/>
        </w:rPr>
        <w:t>,</w:t>
      </w:r>
      <w:r w:rsidR="000D761D">
        <w:rPr>
          <w:rFonts w:ascii="Arial" w:hAnsi="Arial" w:cs="Arial"/>
          <w:lang w:val="en-US"/>
        </w:rPr>
        <w:t xml:space="preserve"> </w:t>
      </w:r>
      <w:r w:rsidR="00551287">
        <w:rPr>
          <w:rFonts w:ascii="Arial" w:hAnsi="Arial" w:cs="Arial"/>
          <w:lang w:val="en-US"/>
        </w:rPr>
        <w:t xml:space="preserve">as supplemented by further testimony evidencing </w:t>
      </w:r>
      <w:r w:rsidR="00E11A00">
        <w:rPr>
          <w:rFonts w:ascii="Arial" w:hAnsi="Arial" w:cs="Arial"/>
          <w:lang w:val="en-US"/>
        </w:rPr>
        <w:t>a joint quantification did not take place and the</w:t>
      </w:r>
      <w:r w:rsidR="00551287">
        <w:rPr>
          <w:rFonts w:ascii="Arial" w:hAnsi="Arial" w:cs="Arial"/>
          <w:lang w:val="en-US"/>
        </w:rPr>
        <w:t xml:space="preserve"> final account</w:t>
      </w:r>
      <w:r w:rsidR="00E11A00">
        <w:rPr>
          <w:rFonts w:ascii="Arial" w:hAnsi="Arial" w:cs="Arial"/>
          <w:lang w:val="en-US"/>
        </w:rPr>
        <w:t xml:space="preserve"> remains unresolved</w:t>
      </w:r>
      <w:r w:rsidR="00551287">
        <w:rPr>
          <w:rFonts w:ascii="Arial" w:hAnsi="Arial" w:cs="Arial"/>
          <w:lang w:val="en-US"/>
        </w:rPr>
        <w:t>,</w:t>
      </w:r>
      <w:r w:rsidR="00387FB0" w:rsidRPr="00387FB0">
        <w:rPr>
          <w:rFonts w:ascii="Arial" w:hAnsi="Arial" w:cs="Arial"/>
          <w:lang w:val="en-US"/>
        </w:rPr>
        <w:t xml:space="preserve"> </w:t>
      </w:r>
      <w:r w:rsidR="00551287">
        <w:rPr>
          <w:rFonts w:ascii="Arial" w:hAnsi="Arial" w:cs="Arial"/>
          <w:lang w:val="en-US"/>
        </w:rPr>
        <w:t>is</w:t>
      </w:r>
      <w:r w:rsidR="00387FB0" w:rsidRPr="00387FB0">
        <w:rPr>
          <w:rFonts w:ascii="Arial" w:hAnsi="Arial" w:cs="Arial"/>
          <w:lang w:val="en-US"/>
        </w:rPr>
        <w:t xml:space="preserve"> accepted as firsthand evidence of whether additional work was done</w:t>
      </w:r>
      <w:r w:rsidR="006D1232">
        <w:rPr>
          <w:rFonts w:ascii="Arial" w:hAnsi="Arial" w:cs="Arial"/>
          <w:lang w:val="en-US"/>
        </w:rPr>
        <w:t xml:space="preserve"> that was not quantified</w:t>
      </w:r>
      <w:r w:rsidR="00D16A30">
        <w:rPr>
          <w:rFonts w:ascii="Arial" w:hAnsi="Arial" w:cs="Arial"/>
          <w:lang w:val="en-US"/>
        </w:rPr>
        <w:t xml:space="preserve"> at the last site meeting of 26 November 2019</w:t>
      </w:r>
      <w:r w:rsidR="00387FB0" w:rsidRPr="00387FB0">
        <w:rPr>
          <w:rFonts w:ascii="Arial" w:hAnsi="Arial" w:cs="Arial"/>
          <w:lang w:val="en-US"/>
        </w:rPr>
        <w:t>.</w:t>
      </w:r>
    </w:p>
    <w:p w14:paraId="74463247" w14:textId="77777777" w:rsidR="00387FB0" w:rsidRPr="001737C4" w:rsidRDefault="00387FB0" w:rsidP="00387FB0">
      <w:pPr>
        <w:pStyle w:val="ListParagraph"/>
        <w:rPr>
          <w:rFonts w:ascii="Arial" w:hAnsi="Arial" w:cs="Arial"/>
          <w:lang w:val="en-US"/>
        </w:rPr>
      </w:pPr>
    </w:p>
    <w:p w14:paraId="2CA6F128" w14:textId="402059B1" w:rsidR="00387FB0" w:rsidRDefault="00387FB0" w:rsidP="009C56FC">
      <w:pPr>
        <w:pStyle w:val="ListParagraph"/>
        <w:spacing w:line="360" w:lineRule="auto"/>
        <w:ind w:left="0"/>
        <w:jc w:val="both"/>
        <w:rPr>
          <w:rFonts w:ascii="Arial" w:hAnsi="Arial" w:cs="Arial"/>
          <w:lang w:val="en-US"/>
        </w:rPr>
      </w:pPr>
      <w:r>
        <w:rPr>
          <w:rFonts w:ascii="Arial" w:hAnsi="Arial" w:cs="Arial"/>
          <w:i/>
          <w:iCs/>
          <w:lang w:val="en-US"/>
        </w:rPr>
        <w:t xml:space="preserve">Held that </w:t>
      </w:r>
      <w:r w:rsidR="000D761D" w:rsidRPr="000D761D">
        <w:rPr>
          <w:rFonts w:ascii="Arial" w:hAnsi="Arial" w:cs="Arial"/>
          <w:lang w:val="en-US"/>
        </w:rPr>
        <w:t>t</w:t>
      </w:r>
      <w:r w:rsidRPr="000D761D">
        <w:rPr>
          <w:rFonts w:ascii="Arial" w:hAnsi="Arial" w:cs="Arial"/>
          <w:lang w:val="en-US"/>
        </w:rPr>
        <w:t>h</w:t>
      </w:r>
      <w:r>
        <w:rPr>
          <w:rFonts w:ascii="Arial" w:hAnsi="Arial" w:cs="Arial"/>
          <w:lang w:val="en-US"/>
        </w:rPr>
        <w:t xml:space="preserve">e </w:t>
      </w:r>
      <w:r w:rsidRPr="00183599">
        <w:rPr>
          <w:rFonts w:ascii="Arial" w:hAnsi="Arial" w:cs="Arial"/>
          <w:lang w:val="en-US"/>
        </w:rPr>
        <w:t xml:space="preserve">final account was not compiled </w:t>
      </w:r>
      <w:proofErr w:type="gramStart"/>
      <w:r w:rsidRPr="00183599">
        <w:rPr>
          <w:rFonts w:ascii="Arial" w:hAnsi="Arial" w:cs="Arial"/>
          <w:lang w:val="en-US"/>
        </w:rPr>
        <w:t>as a result of</w:t>
      </w:r>
      <w:proofErr w:type="gramEnd"/>
      <w:r w:rsidRPr="00183599">
        <w:rPr>
          <w:rFonts w:ascii="Arial" w:hAnsi="Arial" w:cs="Arial"/>
          <w:lang w:val="en-US"/>
        </w:rPr>
        <w:t xml:space="preserve"> the site meeting on 26 November 2019</w:t>
      </w:r>
      <w:r>
        <w:rPr>
          <w:rFonts w:ascii="Arial" w:hAnsi="Arial" w:cs="Arial"/>
          <w:lang w:val="en-US"/>
        </w:rPr>
        <w:t>, and the work was not quantified for the purpose of the final account at the site meeting of 26 November 20</w:t>
      </w:r>
      <w:r w:rsidR="00D16A30">
        <w:rPr>
          <w:rFonts w:ascii="Arial" w:hAnsi="Arial" w:cs="Arial"/>
          <w:lang w:val="en-US"/>
        </w:rPr>
        <w:t>19</w:t>
      </w:r>
      <w:r>
        <w:rPr>
          <w:rFonts w:ascii="Arial" w:hAnsi="Arial" w:cs="Arial"/>
          <w:lang w:val="en-US"/>
        </w:rPr>
        <w:t>.</w:t>
      </w:r>
    </w:p>
    <w:p w14:paraId="1B7E6034" w14:textId="77777777" w:rsidR="00387FB0" w:rsidRPr="001737C4" w:rsidRDefault="00387FB0" w:rsidP="00387FB0">
      <w:pPr>
        <w:pStyle w:val="ListParagraph"/>
        <w:rPr>
          <w:rFonts w:ascii="Arial" w:hAnsi="Arial" w:cs="Arial"/>
          <w:lang w:val="en-US"/>
        </w:rPr>
      </w:pPr>
    </w:p>
    <w:p w14:paraId="7496058F" w14:textId="6E0E8AE8" w:rsidR="009C56FC" w:rsidRDefault="00387FB0" w:rsidP="009C56FC">
      <w:pPr>
        <w:pStyle w:val="ListParagraph"/>
        <w:spacing w:line="360" w:lineRule="auto"/>
        <w:ind w:left="0"/>
        <w:jc w:val="both"/>
        <w:rPr>
          <w:rFonts w:ascii="Arial" w:hAnsi="Arial" w:cs="Arial"/>
          <w:lang w:val="en-US"/>
        </w:rPr>
      </w:pPr>
      <w:r>
        <w:rPr>
          <w:rFonts w:ascii="Arial" w:hAnsi="Arial" w:cs="Arial"/>
          <w:i/>
          <w:iCs/>
          <w:lang w:val="en-US"/>
        </w:rPr>
        <w:lastRenderedPageBreak/>
        <w:t xml:space="preserve">Held that </w:t>
      </w:r>
      <w:r>
        <w:rPr>
          <w:rFonts w:ascii="Arial" w:hAnsi="Arial" w:cs="Arial"/>
          <w:lang w:val="en-US"/>
        </w:rPr>
        <w:t xml:space="preserve">the first defendant failed to rebut </w:t>
      </w:r>
      <w:proofErr w:type="spellStart"/>
      <w:r>
        <w:rPr>
          <w:rFonts w:ascii="Arial" w:hAnsi="Arial" w:cs="Arial"/>
          <w:lang w:val="en-US"/>
        </w:rPr>
        <w:t>Kapuuo’s</w:t>
      </w:r>
      <w:proofErr w:type="spellEnd"/>
      <w:r>
        <w:rPr>
          <w:rFonts w:ascii="Arial" w:hAnsi="Arial" w:cs="Arial"/>
          <w:lang w:val="en-US"/>
        </w:rPr>
        <w:t xml:space="preserve"> evidence that the final account was not shared with the plaintiff</w:t>
      </w:r>
      <w:r w:rsidR="00AC0D92">
        <w:rPr>
          <w:rFonts w:ascii="Arial" w:hAnsi="Arial" w:cs="Arial"/>
          <w:lang w:val="en-US"/>
        </w:rPr>
        <w:t>,</w:t>
      </w:r>
      <w:r>
        <w:rPr>
          <w:rFonts w:ascii="Arial" w:hAnsi="Arial" w:cs="Arial"/>
          <w:lang w:val="en-US"/>
        </w:rPr>
        <w:t xml:space="preserve"> and there is </w:t>
      </w:r>
      <w:r w:rsidR="00AC0D92">
        <w:rPr>
          <w:rFonts w:ascii="Arial" w:hAnsi="Arial" w:cs="Arial"/>
          <w:lang w:val="en-US"/>
        </w:rPr>
        <w:t xml:space="preserve">furthermore </w:t>
      </w:r>
      <w:r>
        <w:rPr>
          <w:rFonts w:ascii="Arial" w:hAnsi="Arial" w:cs="Arial"/>
          <w:lang w:val="en-US"/>
        </w:rPr>
        <w:t>a revised final account that was n</w:t>
      </w:r>
      <w:r w:rsidR="005C1837">
        <w:rPr>
          <w:rFonts w:ascii="Arial" w:hAnsi="Arial" w:cs="Arial"/>
          <w:lang w:val="en-US"/>
        </w:rPr>
        <w:t>ot</w:t>
      </w:r>
      <w:r>
        <w:rPr>
          <w:rFonts w:ascii="Arial" w:hAnsi="Arial" w:cs="Arial"/>
          <w:lang w:val="en-US"/>
        </w:rPr>
        <w:t xml:space="preserve"> shared with the plaintiff</w:t>
      </w:r>
      <w:r w:rsidR="009C56FC">
        <w:rPr>
          <w:rFonts w:ascii="Arial" w:hAnsi="Arial" w:cs="Arial"/>
          <w:lang w:val="en-US"/>
        </w:rPr>
        <w:t>.</w:t>
      </w:r>
    </w:p>
    <w:p w14:paraId="3A60229B" w14:textId="77777777" w:rsidR="009C56FC" w:rsidRPr="001737C4" w:rsidRDefault="009C56FC" w:rsidP="009C56FC">
      <w:pPr>
        <w:pStyle w:val="ListParagraph"/>
        <w:rPr>
          <w:rFonts w:ascii="Arial" w:hAnsi="Arial" w:cs="Arial"/>
          <w:lang w:val="en-US"/>
        </w:rPr>
      </w:pPr>
    </w:p>
    <w:p w14:paraId="4CB04A94" w14:textId="0217B8AC" w:rsidR="009C56FC" w:rsidRDefault="009C56FC" w:rsidP="009C56FC">
      <w:pPr>
        <w:pStyle w:val="ListParagraph"/>
        <w:spacing w:line="360" w:lineRule="auto"/>
        <w:ind w:left="0"/>
        <w:jc w:val="both"/>
        <w:rPr>
          <w:rFonts w:ascii="Arial" w:hAnsi="Arial" w:cs="Arial"/>
          <w:lang w:val="en-US"/>
        </w:rPr>
      </w:pPr>
      <w:r>
        <w:rPr>
          <w:rFonts w:ascii="Arial" w:hAnsi="Arial" w:cs="Arial"/>
          <w:i/>
          <w:iCs/>
          <w:lang w:val="en-US"/>
        </w:rPr>
        <w:t xml:space="preserve">Held that </w:t>
      </w:r>
      <w:r>
        <w:rPr>
          <w:rFonts w:ascii="Arial" w:hAnsi="Arial" w:cs="Arial"/>
          <w:lang w:val="en-US"/>
        </w:rPr>
        <w:t>the</w:t>
      </w:r>
      <w:r w:rsidRPr="009C56FC">
        <w:rPr>
          <w:rFonts w:ascii="Arial" w:hAnsi="Arial" w:cs="Arial"/>
          <w:lang w:val="en-US"/>
        </w:rPr>
        <w:t xml:space="preserve"> undisputed process</w:t>
      </w:r>
      <w:r w:rsidR="00AC0D92">
        <w:rPr>
          <w:rFonts w:ascii="Arial" w:hAnsi="Arial" w:cs="Arial"/>
          <w:lang w:val="en-US"/>
        </w:rPr>
        <w:t xml:space="preserve"> followed</w:t>
      </w:r>
      <w:r w:rsidRPr="009C56FC">
        <w:rPr>
          <w:rFonts w:ascii="Arial" w:hAnsi="Arial" w:cs="Arial"/>
          <w:lang w:val="en-US"/>
        </w:rPr>
        <w:t xml:space="preserve"> on the ground to determine whether payment was due to the plaintiff was a joint process and not a unilateral one by the professional team, and according to clause 13 of the notes to tenders in the bills of quantities</w:t>
      </w:r>
      <w:r>
        <w:rPr>
          <w:rFonts w:ascii="Arial" w:hAnsi="Arial" w:cs="Arial"/>
          <w:lang w:val="en-US"/>
        </w:rPr>
        <w:t>,</w:t>
      </w:r>
      <w:r w:rsidRPr="009C56FC">
        <w:rPr>
          <w:rFonts w:ascii="Arial" w:hAnsi="Arial" w:cs="Arial"/>
          <w:lang w:val="en-US"/>
        </w:rPr>
        <w:t xml:space="preserve"> the plaintiff </w:t>
      </w:r>
      <w:r>
        <w:rPr>
          <w:rFonts w:ascii="Arial" w:hAnsi="Arial" w:cs="Arial"/>
          <w:lang w:val="en-US"/>
        </w:rPr>
        <w:t>wa</w:t>
      </w:r>
      <w:r w:rsidRPr="009C56FC">
        <w:rPr>
          <w:rFonts w:ascii="Arial" w:hAnsi="Arial" w:cs="Arial"/>
          <w:lang w:val="en-US"/>
        </w:rPr>
        <w:t xml:space="preserve">s to </w:t>
      </w:r>
      <w:proofErr w:type="spellStart"/>
      <w:r w:rsidRPr="009C56FC">
        <w:rPr>
          <w:rFonts w:ascii="Arial" w:hAnsi="Arial" w:cs="Arial"/>
          <w:lang w:val="en-US"/>
        </w:rPr>
        <w:t>finalise</w:t>
      </w:r>
      <w:proofErr w:type="spellEnd"/>
      <w:r w:rsidRPr="009C56FC">
        <w:rPr>
          <w:rFonts w:ascii="Arial" w:hAnsi="Arial" w:cs="Arial"/>
          <w:lang w:val="en-US"/>
        </w:rPr>
        <w:t xml:space="preserve"> the final account with the quantity surveyor</w:t>
      </w:r>
      <w:r w:rsidR="006D1232">
        <w:rPr>
          <w:rFonts w:ascii="Arial" w:hAnsi="Arial" w:cs="Arial"/>
          <w:lang w:val="en-US"/>
        </w:rPr>
        <w:t xml:space="preserve">. </w:t>
      </w:r>
      <w:r w:rsidR="00B63A3D">
        <w:rPr>
          <w:rFonts w:ascii="Arial" w:hAnsi="Arial" w:cs="Arial"/>
          <w:lang w:val="en-US"/>
        </w:rPr>
        <w:t xml:space="preserve">A joint quantification did not take place. </w:t>
      </w:r>
      <w:r w:rsidR="006D1232">
        <w:rPr>
          <w:rFonts w:ascii="Arial" w:hAnsi="Arial" w:cs="Arial"/>
          <w:lang w:val="en-US"/>
        </w:rPr>
        <w:t>T</w:t>
      </w:r>
      <w:r w:rsidRPr="009C56FC">
        <w:rPr>
          <w:rFonts w:ascii="Arial" w:hAnsi="Arial" w:cs="Arial"/>
          <w:lang w:val="en-US"/>
        </w:rPr>
        <w:t>he</w:t>
      </w:r>
      <w:r w:rsidR="00B63A3D">
        <w:rPr>
          <w:rFonts w:ascii="Arial" w:hAnsi="Arial" w:cs="Arial"/>
          <w:lang w:val="en-US"/>
        </w:rPr>
        <w:t xml:space="preserve"> </w:t>
      </w:r>
      <w:r w:rsidRPr="009C56FC">
        <w:rPr>
          <w:rFonts w:ascii="Arial" w:hAnsi="Arial" w:cs="Arial"/>
          <w:lang w:val="en-US"/>
        </w:rPr>
        <w:t>final account must have been discussed with the plaintiff</w:t>
      </w:r>
      <w:r w:rsidR="00AC0D92">
        <w:rPr>
          <w:rFonts w:ascii="Arial" w:hAnsi="Arial" w:cs="Arial"/>
          <w:lang w:val="en-US"/>
        </w:rPr>
        <w:t xml:space="preserve"> and</w:t>
      </w:r>
      <w:r w:rsidR="006D1232">
        <w:rPr>
          <w:rFonts w:ascii="Arial" w:hAnsi="Arial" w:cs="Arial"/>
          <w:lang w:val="en-US"/>
        </w:rPr>
        <w:t xml:space="preserve"> </w:t>
      </w:r>
      <w:r>
        <w:rPr>
          <w:rFonts w:ascii="Arial" w:hAnsi="Arial" w:cs="Arial"/>
          <w:lang w:val="en-US"/>
        </w:rPr>
        <w:t xml:space="preserve">that </w:t>
      </w:r>
      <w:r w:rsidRPr="009C56FC">
        <w:rPr>
          <w:rFonts w:ascii="Arial" w:hAnsi="Arial" w:cs="Arial"/>
          <w:lang w:val="en-US"/>
        </w:rPr>
        <w:t>was not done</w:t>
      </w:r>
      <w:r w:rsidR="00B63A3D">
        <w:rPr>
          <w:rFonts w:ascii="Arial" w:hAnsi="Arial" w:cs="Arial"/>
          <w:lang w:val="en-US"/>
        </w:rPr>
        <w:t>. T</w:t>
      </w:r>
      <w:r w:rsidRPr="009C56FC">
        <w:rPr>
          <w:rFonts w:ascii="Arial" w:hAnsi="Arial" w:cs="Arial"/>
          <w:lang w:val="en-US"/>
        </w:rPr>
        <w:t>h</w:t>
      </w:r>
      <w:r w:rsidR="00B63A3D">
        <w:rPr>
          <w:rFonts w:ascii="Arial" w:hAnsi="Arial" w:cs="Arial"/>
          <w:lang w:val="en-US"/>
        </w:rPr>
        <w:t>e</w:t>
      </w:r>
      <w:r w:rsidRPr="009C56FC">
        <w:rPr>
          <w:rFonts w:ascii="Arial" w:hAnsi="Arial" w:cs="Arial"/>
          <w:lang w:val="en-US"/>
        </w:rPr>
        <w:t xml:space="preserve"> final account remains unresolved</w:t>
      </w:r>
      <w:r>
        <w:rPr>
          <w:rFonts w:ascii="Arial" w:hAnsi="Arial" w:cs="Arial"/>
          <w:lang w:val="en-US"/>
        </w:rPr>
        <w:t>.</w:t>
      </w:r>
      <w:r w:rsidR="000D761D">
        <w:rPr>
          <w:rFonts w:ascii="Arial" w:hAnsi="Arial" w:cs="Arial"/>
          <w:lang w:val="en-US"/>
        </w:rPr>
        <w:t xml:space="preserve"> </w:t>
      </w:r>
      <w:r w:rsidRPr="009C56FC">
        <w:rPr>
          <w:rFonts w:ascii="Arial" w:hAnsi="Arial" w:cs="Arial"/>
          <w:lang w:val="en-US"/>
        </w:rPr>
        <w:t>In</w:t>
      </w:r>
      <w:r w:rsidR="00F01516">
        <w:rPr>
          <w:rFonts w:ascii="Arial" w:hAnsi="Arial" w:cs="Arial"/>
          <w:lang w:val="en-US"/>
        </w:rPr>
        <w:t xml:space="preserve"> </w:t>
      </w:r>
      <w:r w:rsidRPr="009C56FC">
        <w:rPr>
          <w:rFonts w:ascii="Arial" w:hAnsi="Arial" w:cs="Arial"/>
          <w:lang w:val="en-US"/>
        </w:rPr>
        <w:t>those circumstances, the plaintiff’s claim for quantification succeed</w:t>
      </w:r>
      <w:r w:rsidR="006D1232">
        <w:rPr>
          <w:rFonts w:ascii="Arial" w:hAnsi="Arial" w:cs="Arial"/>
          <w:lang w:val="en-US"/>
        </w:rPr>
        <w:t>s</w:t>
      </w:r>
      <w:r>
        <w:rPr>
          <w:rFonts w:ascii="Arial" w:hAnsi="Arial" w:cs="Arial"/>
          <w:lang w:val="en-US"/>
        </w:rPr>
        <w:t>.</w:t>
      </w:r>
    </w:p>
    <w:p w14:paraId="2229F825" w14:textId="77777777" w:rsidR="009C56FC" w:rsidRPr="001737C4" w:rsidRDefault="009C56FC" w:rsidP="009C56FC">
      <w:pPr>
        <w:pStyle w:val="ListParagraph"/>
        <w:rPr>
          <w:rFonts w:ascii="Arial" w:hAnsi="Arial" w:cs="Arial"/>
          <w:lang w:val="en-US"/>
        </w:rPr>
      </w:pPr>
    </w:p>
    <w:p w14:paraId="3480A444" w14:textId="314BF4C0" w:rsidR="009C56FC" w:rsidRDefault="009C56FC" w:rsidP="009C56FC">
      <w:pPr>
        <w:pStyle w:val="ListParagraph"/>
        <w:spacing w:line="360" w:lineRule="auto"/>
        <w:ind w:left="0"/>
        <w:jc w:val="both"/>
        <w:rPr>
          <w:rFonts w:ascii="Arial" w:hAnsi="Arial" w:cs="Arial"/>
          <w:lang w:val="en-US"/>
        </w:rPr>
      </w:pPr>
      <w:r>
        <w:rPr>
          <w:rFonts w:ascii="Arial" w:hAnsi="Arial" w:cs="Arial"/>
          <w:i/>
          <w:iCs/>
          <w:lang w:val="en-US"/>
        </w:rPr>
        <w:t xml:space="preserve">Held that </w:t>
      </w:r>
      <w:r>
        <w:rPr>
          <w:rFonts w:ascii="Arial" w:hAnsi="Arial" w:cs="Arial"/>
          <w:lang w:val="en-US"/>
        </w:rPr>
        <w:t>the</w:t>
      </w:r>
      <w:r w:rsidRPr="009C56FC">
        <w:rPr>
          <w:rFonts w:ascii="Arial" w:hAnsi="Arial" w:cs="Arial"/>
          <w:lang w:val="en-US"/>
        </w:rPr>
        <w:t xml:space="preserve"> first defendant’s alleged breach of contract to pay the P&amp;</w:t>
      </w:r>
      <w:proofErr w:type="gramStart"/>
      <w:r w:rsidRPr="009C56FC">
        <w:rPr>
          <w:rFonts w:ascii="Arial" w:hAnsi="Arial" w:cs="Arial"/>
          <w:lang w:val="en-US"/>
        </w:rPr>
        <w:t>G’s</w:t>
      </w:r>
      <w:proofErr w:type="gramEnd"/>
      <w:r w:rsidRPr="009C56FC">
        <w:rPr>
          <w:rFonts w:ascii="Arial" w:hAnsi="Arial" w:cs="Arial"/>
          <w:lang w:val="en-US"/>
        </w:rPr>
        <w:t xml:space="preserve"> for the years 2017 to 2019, was not pleaded, nor was it included in the pre-trial order.</w:t>
      </w:r>
      <w:r>
        <w:rPr>
          <w:rFonts w:ascii="Arial" w:hAnsi="Arial" w:cs="Arial"/>
          <w:lang w:val="en-US"/>
        </w:rPr>
        <w:t xml:space="preserve"> </w:t>
      </w:r>
      <w:r w:rsidRPr="009C56FC">
        <w:rPr>
          <w:rFonts w:ascii="Arial" w:hAnsi="Arial" w:cs="Arial"/>
          <w:lang w:val="en-US"/>
        </w:rPr>
        <w:t>The only breach pleaded by the plaintiff is the first defendant’s failure to satisfy payment certificate 24</w:t>
      </w:r>
      <w:r>
        <w:rPr>
          <w:rFonts w:ascii="Arial" w:hAnsi="Arial" w:cs="Arial"/>
          <w:lang w:val="en-US"/>
        </w:rPr>
        <w:t xml:space="preserve">. </w:t>
      </w:r>
      <w:r w:rsidRPr="009C56FC">
        <w:rPr>
          <w:rFonts w:ascii="Arial" w:hAnsi="Arial" w:cs="Arial"/>
          <w:lang w:val="en-US"/>
        </w:rPr>
        <w:t>It was</w:t>
      </w:r>
      <w:r>
        <w:rPr>
          <w:rFonts w:ascii="Arial" w:hAnsi="Arial" w:cs="Arial"/>
          <w:lang w:val="en-US"/>
        </w:rPr>
        <w:t xml:space="preserve"> </w:t>
      </w:r>
      <w:r w:rsidRPr="009C56FC">
        <w:rPr>
          <w:rFonts w:ascii="Arial" w:hAnsi="Arial" w:cs="Arial"/>
          <w:lang w:val="en-US"/>
        </w:rPr>
        <w:t xml:space="preserve">not </w:t>
      </w:r>
      <w:proofErr w:type="spellStart"/>
      <w:r w:rsidRPr="009C56FC">
        <w:rPr>
          <w:rFonts w:ascii="Arial" w:hAnsi="Arial" w:cs="Arial"/>
          <w:lang w:val="en-US"/>
        </w:rPr>
        <w:t>pleaded</w:t>
      </w:r>
      <w:proofErr w:type="spellEnd"/>
      <w:r w:rsidRPr="009C56FC">
        <w:rPr>
          <w:rFonts w:ascii="Arial" w:hAnsi="Arial" w:cs="Arial"/>
          <w:lang w:val="en-US"/>
        </w:rPr>
        <w:t xml:space="preserve"> that, in the event of a termination of the contract, the first defendant would be liable for damages in respect of costs incurred for the performance guarantee, nor that the contract contemplated ‘any damages’ suffered by the plaintiff because of a termination owing to the first defendant’s breach</w:t>
      </w:r>
      <w:r>
        <w:rPr>
          <w:rFonts w:ascii="Arial" w:hAnsi="Arial" w:cs="Arial"/>
          <w:lang w:val="en-US"/>
        </w:rPr>
        <w:t xml:space="preserve">, </w:t>
      </w:r>
      <w:r w:rsidRPr="009C56FC">
        <w:rPr>
          <w:rFonts w:ascii="Arial" w:hAnsi="Arial" w:cs="Arial"/>
          <w:lang w:val="en-US"/>
        </w:rPr>
        <w:t>or that once the contract was terminated, the first defendant was obliged to return the performance guarantee.</w:t>
      </w:r>
    </w:p>
    <w:p w14:paraId="462A86DD" w14:textId="77777777" w:rsidR="009C56FC" w:rsidRPr="001737C4" w:rsidRDefault="009C56FC" w:rsidP="009C56FC">
      <w:pPr>
        <w:pStyle w:val="ListParagraph"/>
        <w:rPr>
          <w:rFonts w:ascii="Arial" w:hAnsi="Arial" w:cs="Arial"/>
          <w:lang w:val="en-US"/>
        </w:rPr>
      </w:pPr>
    </w:p>
    <w:p w14:paraId="4DBE9251" w14:textId="5C96E8EB" w:rsidR="009C56FC" w:rsidRDefault="009C56FC" w:rsidP="009C56FC">
      <w:pPr>
        <w:pStyle w:val="ListParagraph"/>
        <w:spacing w:line="360" w:lineRule="auto"/>
        <w:ind w:left="0"/>
        <w:jc w:val="both"/>
        <w:rPr>
          <w:rFonts w:ascii="Arial" w:hAnsi="Arial" w:cs="Arial"/>
          <w:lang w:val="en-US"/>
        </w:rPr>
      </w:pPr>
      <w:r>
        <w:rPr>
          <w:rFonts w:ascii="Arial" w:hAnsi="Arial" w:cs="Arial"/>
          <w:i/>
          <w:iCs/>
          <w:lang w:val="en-US"/>
        </w:rPr>
        <w:t xml:space="preserve">Held that </w:t>
      </w:r>
      <w:r>
        <w:rPr>
          <w:rFonts w:ascii="Arial" w:hAnsi="Arial" w:cs="Arial"/>
          <w:lang w:val="en-US"/>
        </w:rPr>
        <w:t xml:space="preserve">a </w:t>
      </w:r>
      <w:r w:rsidRPr="009C56FC">
        <w:rPr>
          <w:rFonts w:ascii="Arial" w:hAnsi="Arial" w:cs="Arial"/>
          <w:lang w:val="en-US"/>
        </w:rPr>
        <w:t xml:space="preserve">party wishing to claim damages resulting from a breach of contract must allege and prove the contract, </w:t>
      </w:r>
      <w:r w:rsidR="00F01516">
        <w:rPr>
          <w:rFonts w:ascii="Arial" w:hAnsi="Arial" w:cs="Arial"/>
          <w:lang w:val="en-US"/>
        </w:rPr>
        <w:t xml:space="preserve">the </w:t>
      </w:r>
      <w:r w:rsidRPr="009C56FC">
        <w:rPr>
          <w:rFonts w:ascii="Arial" w:hAnsi="Arial" w:cs="Arial"/>
          <w:lang w:val="en-US"/>
        </w:rPr>
        <w:t>breach of the contract, that it suffered damages, a causal link between the breach and damages and that the loss was not too remote</w:t>
      </w:r>
      <w:r>
        <w:rPr>
          <w:rFonts w:ascii="Arial" w:hAnsi="Arial" w:cs="Arial"/>
          <w:lang w:val="en-US"/>
        </w:rPr>
        <w:t>. F</w:t>
      </w:r>
      <w:r w:rsidRPr="009C56FC">
        <w:rPr>
          <w:rFonts w:ascii="Arial" w:hAnsi="Arial" w:cs="Arial"/>
          <w:lang w:val="en-US"/>
        </w:rPr>
        <w:t xml:space="preserve">or the last-mentioned requirement, there are two principles. The first principle is that the damages must flow naturally and generally from the kind of breach in question in that because the law presumes that such damages fell within the parties’ contemplation as a probable result of the breach, they are not regarded as too remote. Such damages are general or intrinsic damages. The second principle is that if the damages do not fall within the first category, they are not regarded as too remote if, in the special circumstances in the conclusion of the contract, the parties actually or presumptively contemplated such damages would probably result from the breach. Such damages are special or extrinsic </w:t>
      </w:r>
      <w:r w:rsidRPr="009C56FC">
        <w:rPr>
          <w:rFonts w:ascii="Arial" w:hAnsi="Arial" w:cs="Arial"/>
          <w:lang w:val="en-US"/>
        </w:rPr>
        <w:lastRenderedPageBreak/>
        <w:t>damages.</w:t>
      </w:r>
      <w:r>
        <w:rPr>
          <w:rFonts w:ascii="Arial" w:hAnsi="Arial" w:cs="Arial"/>
          <w:lang w:val="en-US"/>
        </w:rPr>
        <w:t xml:space="preserve"> The plaintiff did not allege or prove a causal link between the breach pleaded and the damages suffered, nor that the loss was not too remote, and t</w:t>
      </w:r>
      <w:r w:rsidRPr="00432329">
        <w:rPr>
          <w:rFonts w:ascii="Arial" w:hAnsi="Arial" w:cs="Arial"/>
          <w:lang w:val="en-US"/>
        </w:rPr>
        <w:t xml:space="preserve">he facts do </w:t>
      </w:r>
      <w:r w:rsidR="00517AE0">
        <w:rPr>
          <w:rFonts w:ascii="Arial" w:hAnsi="Arial" w:cs="Arial"/>
          <w:lang w:val="en-US"/>
        </w:rPr>
        <w:t xml:space="preserve">furthermore </w:t>
      </w:r>
      <w:r w:rsidRPr="00432329">
        <w:rPr>
          <w:rFonts w:ascii="Arial" w:hAnsi="Arial" w:cs="Arial"/>
          <w:lang w:val="en-US"/>
        </w:rPr>
        <w:t>not</w:t>
      </w:r>
      <w:r>
        <w:rPr>
          <w:rFonts w:ascii="Arial" w:hAnsi="Arial" w:cs="Arial"/>
          <w:lang w:val="en-US"/>
        </w:rPr>
        <w:t xml:space="preserve"> </w:t>
      </w:r>
      <w:r w:rsidRPr="00432329">
        <w:rPr>
          <w:rFonts w:ascii="Arial" w:hAnsi="Arial" w:cs="Arial"/>
          <w:lang w:val="en-US"/>
        </w:rPr>
        <w:t xml:space="preserve">support </w:t>
      </w:r>
      <w:r>
        <w:rPr>
          <w:rFonts w:ascii="Arial" w:hAnsi="Arial" w:cs="Arial"/>
          <w:lang w:val="en-US"/>
        </w:rPr>
        <w:t xml:space="preserve">a causal link between the breach and the damages. </w:t>
      </w:r>
      <w:r w:rsidRPr="001C094C">
        <w:rPr>
          <w:rFonts w:ascii="Arial" w:hAnsi="Arial" w:cs="Arial"/>
          <w:lang w:val="en-US"/>
        </w:rPr>
        <w:t>The plaintiff failed to make a case for its monetary claim</w:t>
      </w:r>
      <w:r>
        <w:rPr>
          <w:rFonts w:ascii="Arial" w:hAnsi="Arial" w:cs="Arial"/>
          <w:lang w:val="en-US"/>
        </w:rPr>
        <w:t>.</w:t>
      </w:r>
    </w:p>
    <w:p w14:paraId="23000DB6" w14:textId="77777777" w:rsidR="009C56FC" w:rsidRPr="001737C4" w:rsidRDefault="009C56FC" w:rsidP="009C56FC">
      <w:pPr>
        <w:pStyle w:val="ListParagraph"/>
        <w:rPr>
          <w:rFonts w:ascii="Arial" w:hAnsi="Arial" w:cs="Arial"/>
          <w:lang w:val="en-US"/>
        </w:rPr>
      </w:pPr>
    </w:p>
    <w:p w14:paraId="57C8C678" w14:textId="4EF55BE9" w:rsidR="00387FB0" w:rsidRDefault="009C56FC" w:rsidP="00FE7F68">
      <w:pPr>
        <w:spacing w:line="360" w:lineRule="auto"/>
        <w:jc w:val="both"/>
        <w:rPr>
          <w:rFonts w:ascii="Arial" w:hAnsi="Arial" w:cs="Arial"/>
          <w:lang w:val="en-US"/>
        </w:rPr>
      </w:pPr>
      <w:r>
        <w:rPr>
          <w:rFonts w:ascii="Arial" w:hAnsi="Arial" w:cs="Arial"/>
          <w:i/>
          <w:iCs/>
          <w:lang w:val="en-US"/>
        </w:rPr>
        <w:t xml:space="preserve">Held that </w:t>
      </w:r>
      <w:r>
        <w:rPr>
          <w:rFonts w:ascii="Arial" w:hAnsi="Arial" w:cs="Arial"/>
          <w:lang w:val="en-US"/>
        </w:rPr>
        <w:t>the basic rule is that costs are in the court’s discretion, and the general rule is that costs follow the event. Applying the general rule, and whereas the plaintiff is only partially successful, the court exercises its discretion by awarding the plaintiff only part of its costs.</w:t>
      </w:r>
    </w:p>
    <w:p w14:paraId="29933992"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101455F5" w14:textId="77777777" w:rsidR="00010077" w:rsidRPr="00AC04D5" w:rsidRDefault="00010077" w:rsidP="00010077">
      <w:pPr>
        <w:spacing w:line="360" w:lineRule="auto"/>
        <w:jc w:val="center"/>
        <w:rPr>
          <w:rFonts w:ascii="Arial" w:hAnsi="Arial" w:cs="Arial"/>
          <w:b/>
          <w:bCs/>
          <w:sz w:val="15"/>
          <w:szCs w:val="15"/>
          <w:lang w:val="en-US"/>
        </w:rPr>
      </w:pPr>
    </w:p>
    <w:p w14:paraId="77324927" w14:textId="77777777" w:rsidR="00010077" w:rsidRDefault="00010077" w:rsidP="00010077">
      <w:pPr>
        <w:spacing w:line="360" w:lineRule="auto"/>
        <w:jc w:val="center"/>
        <w:rPr>
          <w:rFonts w:ascii="Arial" w:hAnsi="Arial" w:cs="Arial"/>
          <w:b/>
          <w:bCs/>
          <w:lang w:val="en-US"/>
        </w:rPr>
      </w:pPr>
      <w:r>
        <w:rPr>
          <w:rFonts w:ascii="Arial" w:hAnsi="Arial" w:cs="Arial"/>
          <w:b/>
          <w:bCs/>
          <w:lang w:val="en-US"/>
        </w:rPr>
        <w:t>ORDER</w:t>
      </w:r>
    </w:p>
    <w:p w14:paraId="6C5002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C8DF337" w14:textId="77777777" w:rsidR="004E5F07" w:rsidRDefault="004E5F07" w:rsidP="00FE7F68">
      <w:pPr>
        <w:spacing w:line="360" w:lineRule="auto"/>
        <w:jc w:val="both"/>
        <w:rPr>
          <w:rFonts w:ascii="Arial" w:hAnsi="Arial" w:cs="Arial"/>
          <w:lang w:val="en-US"/>
        </w:rPr>
      </w:pPr>
    </w:p>
    <w:p w14:paraId="6CD1D7AC" w14:textId="77777777" w:rsidR="001737C4" w:rsidRDefault="008311C2" w:rsidP="001737C4">
      <w:pPr>
        <w:pStyle w:val="ListParagraph"/>
        <w:numPr>
          <w:ilvl w:val="0"/>
          <w:numId w:val="1"/>
        </w:numPr>
        <w:spacing w:line="360" w:lineRule="auto"/>
        <w:ind w:left="0" w:firstLine="0"/>
        <w:jc w:val="both"/>
        <w:rPr>
          <w:rFonts w:ascii="Arial" w:hAnsi="Arial" w:cs="Arial"/>
          <w:lang w:val="en-US"/>
        </w:rPr>
      </w:pPr>
      <w:r w:rsidRPr="008311C2">
        <w:rPr>
          <w:rFonts w:ascii="Arial" w:hAnsi="Arial" w:cs="Arial"/>
          <w:lang w:val="en-US"/>
        </w:rPr>
        <w:t>The first defendant is ordered, within 21 days of th</w:t>
      </w:r>
      <w:r w:rsidR="001737C4">
        <w:rPr>
          <w:rFonts w:ascii="Arial" w:hAnsi="Arial" w:cs="Arial"/>
          <w:lang w:val="en-US"/>
        </w:rPr>
        <w:t>is</w:t>
      </w:r>
      <w:r w:rsidRPr="008311C2">
        <w:rPr>
          <w:rFonts w:ascii="Arial" w:hAnsi="Arial" w:cs="Arial"/>
          <w:lang w:val="en-US"/>
        </w:rPr>
        <w:t xml:space="preserve"> order, to:</w:t>
      </w:r>
    </w:p>
    <w:p w14:paraId="494BC091" w14:textId="77777777" w:rsidR="001737C4" w:rsidRPr="001737C4" w:rsidRDefault="001737C4" w:rsidP="001737C4">
      <w:pPr>
        <w:pStyle w:val="ListParagraph"/>
        <w:rPr>
          <w:rFonts w:ascii="Arial" w:hAnsi="Arial" w:cs="Arial"/>
          <w:lang w:val="en-US"/>
        </w:rPr>
      </w:pPr>
    </w:p>
    <w:p w14:paraId="5B56CB2E" w14:textId="14346E33" w:rsidR="001737C4" w:rsidRDefault="001737C4" w:rsidP="001737C4">
      <w:pPr>
        <w:pStyle w:val="ListParagraph"/>
        <w:spacing w:line="360" w:lineRule="auto"/>
        <w:ind w:left="0"/>
        <w:jc w:val="both"/>
        <w:rPr>
          <w:rFonts w:ascii="Arial" w:hAnsi="Arial" w:cs="Arial"/>
          <w:lang w:val="en-US"/>
        </w:rPr>
      </w:pPr>
      <w:r>
        <w:rPr>
          <w:rFonts w:ascii="Arial" w:hAnsi="Arial" w:cs="Arial"/>
          <w:lang w:val="en-US"/>
        </w:rPr>
        <w:t xml:space="preserve">(a) </w:t>
      </w:r>
      <w:r w:rsidR="008311C2" w:rsidRPr="001737C4">
        <w:rPr>
          <w:rFonts w:ascii="Arial" w:hAnsi="Arial" w:cs="Arial"/>
          <w:lang w:val="en-US"/>
        </w:rPr>
        <w:t>place before the second defendant, together with the plaintiff, for purposes of quantification, all material related to the work done by the plaintiff under the contract in their possession (if any);</w:t>
      </w:r>
      <w:r>
        <w:rPr>
          <w:rFonts w:ascii="Arial" w:hAnsi="Arial" w:cs="Arial"/>
          <w:lang w:val="en-US"/>
        </w:rPr>
        <w:t xml:space="preserve"> and</w:t>
      </w:r>
    </w:p>
    <w:p w14:paraId="2BBD85F2" w14:textId="77777777" w:rsidR="001737C4" w:rsidRPr="001737C4" w:rsidRDefault="001737C4" w:rsidP="001737C4">
      <w:pPr>
        <w:pStyle w:val="ListParagraph"/>
        <w:ind w:left="0"/>
        <w:rPr>
          <w:rFonts w:ascii="Arial" w:hAnsi="Arial" w:cs="Arial"/>
          <w:lang w:val="en-US"/>
        </w:rPr>
      </w:pPr>
    </w:p>
    <w:p w14:paraId="729594DD" w14:textId="0C3CD111" w:rsidR="001737C4" w:rsidRDefault="001737C4" w:rsidP="001737C4">
      <w:pPr>
        <w:pStyle w:val="ListParagraph"/>
        <w:spacing w:line="360" w:lineRule="auto"/>
        <w:ind w:left="0"/>
        <w:jc w:val="both"/>
        <w:rPr>
          <w:rFonts w:ascii="Arial" w:hAnsi="Arial" w:cs="Arial"/>
          <w:lang w:val="en-US"/>
        </w:rPr>
      </w:pPr>
      <w:r>
        <w:rPr>
          <w:rFonts w:ascii="Arial" w:hAnsi="Arial" w:cs="Arial"/>
          <w:lang w:val="en-US"/>
        </w:rPr>
        <w:t xml:space="preserve">(b) </w:t>
      </w:r>
      <w:r w:rsidR="008311C2" w:rsidRPr="001737C4">
        <w:rPr>
          <w:rFonts w:ascii="Arial" w:hAnsi="Arial" w:cs="Arial"/>
          <w:lang w:val="en-US"/>
        </w:rPr>
        <w:t xml:space="preserve">attend to </w:t>
      </w:r>
      <w:proofErr w:type="spellStart"/>
      <w:r w:rsidR="008311C2" w:rsidRPr="001737C4">
        <w:rPr>
          <w:rFonts w:ascii="Arial" w:hAnsi="Arial" w:cs="Arial"/>
          <w:lang w:val="en-US"/>
        </w:rPr>
        <w:t>Fonteintjie</w:t>
      </w:r>
      <w:proofErr w:type="spellEnd"/>
      <w:r w:rsidR="008311C2" w:rsidRPr="001737C4">
        <w:rPr>
          <w:rFonts w:ascii="Arial" w:hAnsi="Arial" w:cs="Arial"/>
          <w:lang w:val="en-US"/>
        </w:rPr>
        <w:t xml:space="preserve"> Fish Farm in the presence of the parties and/or their representatives to quantify the work done by the plaintiff until </w:t>
      </w:r>
      <w:r w:rsidR="00E826B3">
        <w:rPr>
          <w:rFonts w:ascii="Arial" w:hAnsi="Arial" w:cs="Arial"/>
          <w:lang w:val="en-US"/>
        </w:rPr>
        <w:t>November</w:t>
      </w:r>
      <w:r w:rsidR="008311C2" w:rsidRPr="001737C4">
        <w:rPr>
          <w:rFonts w:ascii="Arial" w:hAnsi="Arial" w:cs="Arial"/>
          <w:lang w:val="en-US"/>
        </w:rPr>
        <w:t xml:space="preserve"> 2019. </w:t>
      </w:r>
    </w:p>
    <w:p w14:paraId="6F7CE1BC" w14:textId="77777777" w:rsidR="001737C4" w:rsidRPr="001737C4" w:rsidRDefault="001737C4" w:rsidP="001737C4">
      <w:pPr>
        <w:pStyle w:val="ListParagraph"/>
        <w:rPr>
          <w:rFonts w:ascii="Arial" w:hAnsi="Arial" w:cs="Arial"/>
          <w:lang w:val="en-US"/>
        </w:rPr>
      </w:pPr>
    </w:p>
    <w:p w14:paraId="7D88B4AE" w14:textId="3EEF5CB5" w:rsidR="001737C4" w:rsidRDefault="00A23AD2" w:rsidP="001737C4">
      <w:pPr>
        <w:pStyle w:val="ListParagraph"/>
        <w:numPr>
          <w:ilvl w:val="0"/>
          <w:numId w:val="1"/>
        </w:numPr>
        <w:spacing w:line="360" w:lineRule="auto"/>
        <w:ind w:left="0" w:firstLine="0"/>
        <w:jc w:val="both"/>
        <w:rPr>
          <w:rFonts w:ascii="Arial" w:hAnsi="Arial" w:cs="Arial"/>
          <w:lang w:val="en-US"/>
        </w:rPr>
      </w:pPr>
      <w:r w:rsidRPr="001737C4">
        <w:rPr>
          <w:rFonts w:ascii="Arial" w:hAnsi="Arial" w:cs="Arial"/>
          <w:lang w:val="en-US"/>
        </w:rPr>
        <w:t>The first defendant shall</w:t>
      </w:r>
      <w:r>
        <w:rPr>
          <w:rFonts w:ascii="Arial" w:hAnsi="Arial" w:cs="Arial"/>
          <w:lang w:val="en-US"/>
        </w:rPr>
        <w:t xml:space="preserve">, </w:t>
      </w:r>
      <w:r w:rsidRPr="001737C4">
        <w:rPr>
          <w:rFonts w:ascii="Arial" w:hAnsi="Arial" w:cs="Arial"/>
          <w:lang w:val="en-US"/>
        </w:rPr>
        <w:t>within 21 days of the quantification</w:t>
      </w:r>
      <w:r>
        <w:rPr>
          <w:rFonts w:ascii="Arial" w:hAnsi="Arial" w:cs="Arial"/>
          <w:lang w:val="en-US"/>
        </w:rPr>
        <w:t>,</w:t>
      </w:r>
      <w:r w:rsidRPr="001737C4">
        <w:rPr>
          <w:rFonts w:ascii="Arial" w:hAnsi="Arial" w:cs="Arial"/>
          <w:lang w:val="en-US"/>
        </w:rPr>
        <w:t xml:space="preserve"> pay the plaintiff the determined (quantified) amount</w:t>
      </w:r>
      <w:r>
        <w:rPr>
          <w:rFonts w:ascii="Arial" w:hAnsi="Arial" w:cs="Arial"/>
          <w:lang w:val="en-US"/>
        </w:rPr>
        <w:t xml:space="preserve"> if it is more than what the plaintiff was already paid</w:t>
      </w:r>
      <w:r w:rsidRPr="001737C4">
        <w:rPr>
          <w:rFonts w:ascii="Arial" w:hAnsi="Arial" w:cs="Arial"/>
          <w:lang w:val="en-US"/>
        </w:rPr>
        <w:t>.</w:t>
      </w:r>
      <w:r w:rsidR="008311C2" w:rsidRPr="001737C4">
        <w:rPr>
          <w:rFonts w:ascii="Arial" w:hAnsi="Arial" w:cs="Arial"/>
          <w:lang w:val="en-US"/>
        </w:rPr>
        <w:t xml:space="preserve"> </w:t>
      </w:r>
    </w:p>
    <w:p w14:paraId="00886A61" w14:textId="77777777" w:rsidR="001737C4" w:rsidRPr="001737C4" w:rsidRDefault="001737C4" w:rsidP="001737C4">
      <w:pPr>
        <w:pStyle w:val="ListParagraph"/>
        <w:rPr>
          <w:rFonts w:ascii="Arial" w:hAnsi="Arial" w:cs="Arial"/>
          <w:lang w:val="en-US"/>
        </w:rPr>
      </w:pPr>
    </w:p>
    <w:p w14:paraId="40289382" w14:textId="3649E24B" w:rsidR="001737C4" w:rsidRDefault="008311C2" w:rsidP="001737C4">
      <w:pPr>
        <w:pStyle w:val="ListParagraph"/>
        <w:numPr>
          <w:ilvl w:val="0"/>
          <w:numId w:val="1"/>
        </w:numPr>
        <w:spacing w:line="360" w:lineRule="auto"/>
        <w:ind w:left="0" w:firstLine="0"/>
        <w:jc w:val="both"/>
        <w:rPr>
          <w:rFonts w:ascii="Arial" w:hAnsi="Arial" w:cs="Arial"/>
          <w:lang w:val="en-US"/>
        </w:rPr>
      </w:pPr>
      <w:r w:rsidRPr="001737C4">
        <w:rPr>
          <w:rFonts w:ascii="Arial" w:hAnsi="Arial" w:cs="Arial"/>
          <w:lang w:val="en-US"/>
        </w:rPr>
        <w:t>The first defendant shall pay the plaintiff interest on the amount in the preceding paragraph</w:t>
      </w:r>
      <w:r w:rsidR="00A23AD2">
        <w:rPr>
          <w:rFonts w:ascii="Arial" w:hAnsi="Arial" w:cs="Arial"/>
          <w:lang w:val="en-US"/>
        </w:rPr>
        <w:t>, if any,</w:t>
      </w:r>
      <w:r w:rsidRPr="001737C4">
        <w:rPr>
          <w:rFonts w:ascii="Arial" w:hAnsi="Arial" w:cs="Arial"/>
          <w:lang w:val="en-US"/>
        </w:rPr>
        <w:t xml:space="preserve"> at the rate of 20</w:t>
      </w:r>
      <w:r w:rsidR="000D761D">
        <w:rPr>
          <w:rFonts w:ascii="Arial" w:hAnsi="Arial" w:cs="Arial"/>
          <w:lang w:val="en-US"/>
        </w:rPr>
        <w:t xml:space="preserve"> per cent</w:t>
      </w:r>
      <w:r w:rsidRPr="001737C4">
        <w:rPr>
          <w:rFonts w:ascii="Arial" w:hAnsi="Arial" w:cs="Arial"/>
          <w:lang w:val="en-US"/>
        </w:rPr>
        <w:t xml:space="preserve"> per annum from the date of determination until the date of final payment.</w:t>
      </w:r>
    </w:p>
    <w:p w14:paraId="6FAFC6C7" w14:textId="77777777" w:rsidR="001737C4" w:rsidRPr="001737C4" w:rsidRDefault="001737C4" w:rsidP="001737C4">
      <w:pPr>
        <w:pStyle w:val="ListParagraph"/>
        <w:rPr>
          <w:rFonts w:ascii="Arial" w:hAnsi="Arial" w:cs="Arial"/>
          <w:lang w:val="en-US"/>
        </w:rPr>
      </w:pPr>
    </w:p>
    <w:p w14:paraId="1A3B5D48" w14:textId="1395CD92" w:rsidR="004E2EAF" w:rsidRPr="001737C4" w:rsidRDefault="00551287" w:rsidP="001737C4">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w:t>
      </w:r>
      <w:r w:rsidR="004E2EAF" w:rsidRPr="001737C4">
        <w:rPr>
          <w:rFonts w:ascii="Arial" w:hAnsi="Arial" w:cs="Arial"/>
          <w:lang w:val="en-US"/>
        </w:rPr>
        <w:t>he plaintiff’s claim</w:t>
      </w:r>
      <w:r w:rsidR="001737C4">
        <w:rPr>
          <w:rFonts w:ascii="Arial" w:hAnsi="Arial" w:cs="Arial"/>
          <w:lang w:val="en-US"/>
        </w:rPr>
        <w:t xml:space="preserve"> for damages in prayers 4 and 5 of the particulars of claim</w:t>
      </w:r>
      <w:r>
        <w:rPr>
          <w:rFonts w:ascii="Arial" w:hAnsi="Arial" w:cs="Arial"/>
          <w:lang w:val="en-US"/>
        </w:rPr>
        <w:t xml:space="preserve"> is dismissed</w:t>
      </w:r>
      <w:r w:rsidR="004E2EAF" w:rsidRPr="001737C4">
        <w:rPr>
          <w:rFonts w:ascii="Arial" w:hAnsi="Arial" w:cs="Arial"/>
          <w:lang w:val="en-US"/>
        </w:rPr>
        <w:t>.</w:t>
      </w:r>
    </w:p>
    <w:p w14:paraId="72764F52" w14:textId="77777777" w:rsidR="004E2EAF" w:rsidRPr="004E2EAF" w:rsidRDefault="004E2EAF" w:rsidP="008311C2">
      <w:pPr>
        <w:pStyle w:val="ListParagraph"/>
        <w:ind w:left="0"/>
        <w:rPr>
          <w:rFonts w:ascii="Arial" w:hAnsi="Arial" w:cs="Arial"/>
          <w:lang w:val="en-US"/>
        </w:rPr>
      </w:pPr>
    </w:p>
    <w:p w14:paraId="3FCDF786" w14:textId="4B05AEB3" w:rsidR="004E2EAF" w:rsidRDefault="004E2EAF" w:rsidP="008311C2">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 xml:space="preserve">The </w:t>
      </w:r>
      <w:r w:rsidR="001737C4">
        <w:rPr>
          <w:rFonts w:ascii="Arial" w:hAnsi="Arial" w:cs="Arial"/>
          <w:lang w:val="en-US"/>
        </w:rPr>
        <w:t xml:space="preserve">first defendant shall pay </w:t>
      </w:r>
      <w:r w:rsidR="00F01516">
        <w:rPr>
          <w:rFonts w:ascii="Arial" w:hAnsi="Arial" w:cs="Arial"/>
          <w:lang w:val="en-US"/>
        </w:rPr>
        <w:t xml:space="preserve">one </w:t>
      </w:r>
      <w:r w:rsidR="001737C4">
        <w:rPr>
          <w:rFonts w:ascii="Arial" w:hAnsi="Arial" w:cs="Arial"/>
          <w:lang w:val="en-US"/>
        </w:rPr>
        <w:t xml:space="preserve">half of the </w:t>
      </w:r>
      <w:r>
        <w:rPr>
          <w:rFonts w:ascii="Arial" w:hAnsi="Arial" w:cs="Arial"/>
          <w:lang w:val="en-US"/>
        </w:rPr>
        <w:t>plaintiff</w:t>
      </w:r>
      <w:r w:rsidR="001737C4">
        <w:rPr>
          <w:rFonts w:ascii="Arial" w:hAnsi="Arial" w:cs="Arial"/>
          <w:lang w:val="en-US"/>
        </w:rPr>
        <w:t>’s</w:t>
      </w:r>
      <w:r>
        <w:rPr>
          <w:rFonts w:ascii="Arial" w:hAnsi="Arial" w:cs="Arial"/>
          <w:lang w:val="en-US"/>
        </w:rPr>
        <w:t xml:space="preserve"> costs of suit, such cost</w:t>
      </w:r>
      <w:r w:rsidR="008C76AA">
        <w:rPr>
          <w:rFonts w:ascii="Arial" w:hAnsi="Arial" w:cs="Arial"/>
          <w:lang w:val="en-US"/>
        </w:rPr>
        <w:t>s</w:t>
      </w:r>
      <w:r>
        <w:rPr>
          <w:rFonts w:ascii="Arial" w:hAnsi="Arial" w:cs="Arial"/>
          <w:lang w:val="en-US"/>
        </w:rPr>
        <w:t xml:space="preserve"> to include the costs of one instructing and one instructed legal practitioner.</w:t>
      </w:r>
    </w:p>
    <w:p w14:paraId="5B9D9789" w14:textId="77777777" w:rsidR="004E2EAF" w:rsidRPr="004E2EAF" w:rsidRDefault="004E2EAF" w:rsidP="008311C2">
      <w:pPr>
        <w:pStyle w:val="ListParagraph"/>
        <w:ind w:left="0"/>
        <w:rPr>
          <w:rFonts w:ascii="Arial" w:hAnsi="Arial" w:cs="Arial"/>
          <w:lang w:val="en-US"/>
        </w:rPr>
      </w:pPr>
    </w:p>
    <w:p w14:paraId="7B9E2886" w14:textId="47CB4407" w:rsidR="004E5F07" w:rsidRDefault="004E2EAF" w:rsidP="008311C2">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 xml:space="preserve">The matter is </w:t>
      </w:r>
      <w:proofErr w:type="spellStart"/>
      <w:r>
        <w:rPr>
          <w:rFonts w:ascii="Arial" w:hAnsi="Arial" w:cs="Arial"/>
          <w:lang w:val="en-US"/>
        </w:rPr>
        <w:t>finalised</w:t>
      </w:r>
      <w:proofErr w:type="spellEnd"/>
      <w:r>
        <w:rPr>
          <w:rFonts w:ascii="Arial" w:hAnsi="Arial" w:cs="Arial"/>
          <w:lang w:val="en-US"/>
        </w:rPr>
        <w:t xml:space="preserve"> and removed from the roll.</w:t>
      </w:r>
    </w:p>
    <w:p w14:paraId="374EF93F" w14:textId="77777777" w:rsidR="004E5F07" w:rsidRPr="004E5F07" w:rsidRDefault="004E5F07" w:rsidP="004E5F07">
      <w:pPr>
        <w:pStyle w:val="ListParagraph"/>
        <w:rPr>
          <w:rFonts w:ascii="Arial" w:hAnsi="Arial" w:cs="Arial"/>
          <w:lang w:val="en-US"/>
        </w:rPr>
      </w:pPr>
    </w:p>
    <w:p w14:paraId="7FEB3F34"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7EE4BD00" w14:textId="77777777" w:rsidR="00010077" w:rsidRPr="00AC04D5" w:rsidRDefault="00010077" w:rsidP="00010077">
      <w:pPr>
        <w:spacing w:line="360" w:lineRule="auto"/>
        <w:jc w:val="center"/>
        <w:rPr>
          <w:rFonts w:ascii="Arial" w:hAnsi="Arial" w:cs="Arial"/>
          <w:b/>
          <w:bCs/>
          <w:sz w:val="15"/>
          <w:szCs w:val="15"/>
          <w:lang w:val="en-US"/>
        </w:rPr>
      </w:pPr>
    </w:p>
    <w:p w14:paraId="2833A6CE" w14:textId="4FA4534B" w:rsidR="00010077" w:rsidRDefault="00010077" w:rsidP="00010077">
      <w:pPr>
        <w:spacing w:line="360" w:lineRule="auto"/>
        <w:jc w:val="center"/>
        <w:rPr>
          <w:rFonts w:ascii="Arial" w:hAnsi="Arial" w:cs="Arial"/>
          <w:b/>
          <w:bCs/>
          <w:lang w:val="en-US"/>
        </w:rPr>
      </w:pPr>
      <w:r w:rsidRPr="00F97DE9">
        <w:rPr>
          <w:rFonts w:ascii="Arial" w:hAnsi="Arial" w:cs="Arial"/>
          <w:b/>
          <w:bCs/>
          <w:lang w:val="en-US"/>
        </w:rPr>
        <w:t>JUDGMENT</w:t>
      </w:r>
    </w:p>
    <w:p w14:paraId="25E33A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D9D3C12" w14:textId="77777777" w:rsidR="004E5F07" w:rsidRDefault="004E5F07" w:rsidP="004E5F07">
      <w:pPr>
        <w:pStyle w:val="ListParagraph"/>
        <w:spacing w:line="360" w:lineRule="auto"/>
        <w:ind w:left="0"/>
        <w:jc w:val="both"/>
        <w:rPr>
          <w:rFonts w:ascii="Arial" w:hAnsi="Arial" w:cs="Arial"/>
          <w:lang w:val="en-US"/>
        </w:rPr>
      </w:pPr>
    </w:p>
    <w:p w14:paraId="219A5CF9" w14:textId="2F61FFC0" w:rsidR="004E5F07" w:rsidRDefault="004E5F07" w:rsidP="004E5F07">
      <w:pPr>
        <w:pStyle w:val="ListParagraph"/>
        <w:spacing w:line="360" w:lineRule="auto"/>
        <w:ind w:left="0"/>
        <w:jc w:val="both"/>
        <w:rPr>
          <w:rFonts w:ascii="Arial" w:hAnsi="Arial" w:cs="Arial"/>
          <w:lang w:val="en-US"/>
        </w:rPr>
      </w:pPr>
      <w:r>
        <w:rPr>
          <w:rFonts w:ascii="Arial" w:hAnsi="Arial" w:cs="Arial"/>
          <w:lang w:val="en-US"/>
        </w:rPr>
        <w:t>DE JAGER AJ:</w:t>
      </w:r>
    </w:p>
    <w:p w14:paraId="1E63A9D2" w14:textId="77777777" w:rsidR="004E5F07" w:rsidRDefault="004E5F07" w:rsidP="004E5F07">
      <w:pPr>
        <w:pStyle w:val="ListParagraph"/>
        <w:spacing w:line="360" w:lineRule="auto"/>
        <w:ind w:left="0"/>
        <w:jc w:val="both"/>
        <w:rPr>
          <w:rFonts w:ascii="Arial" w:hAnsi="Arial" w:cs="Arial"/>
          <w:lang w:val="en-US"/>
        </w:rPr>
      </w:pPr>
    </w:p>
    <w:p w14:paraId="126B208C" w14:textId="1173D645" w:rsidR="004E5F07" w:rsidRDefault="004E2EAF" w:rsidP="004E5F07">
      <w:pPr>
        <w:pStyle w:val="ListParagraph"/>
        <w:spacing w:line="360" w:lineRule="auto"/>
        <w:ind w:left="0"/>
        <w:jc w:val="both"/>
        <w:rPr>
          <w:rFonts w:ascii="Arial" w:hAnsi="Arial" w:cs="Arial"/>
          <w:u w:val="single"/>
          <w:lang w:val="en-US"/>
        </w:rPr>
      </w:pPr>
      <w:r>
        <w:rPr>
          <w:rFonts w:ascii="Arial" w:hAnsi="Arial" w:cs="Arial"/>
          <w:u w:val="single"/>
          <w:lang w:val="en-US"/>
        </w:rPr>
        <w:t>Introduction</w:t>
      </w:r>
    </w:p>
    <w:p w14:paraId="2C6F0DEA" w14:textId="65AF0C86" w:rsidR="004E5F07" w:rsidRDefault="004E5F07" w:rsidP="004E5F07">
      <w:pPr>
        <w:pStyle w:val="ListParagraph"/>
        <w:spacing w:line="360" w:lineRule="auto"/>
        <w:ind w:left="0"/>
        <w:jc w:val="both"/>
        <w:rPr>
          <w:rFonts w:ascii="Arial" w:hAnsi="Arial" w:cs="Arial"/>
          <w:lang w:val="en-US"/>
        </w:rPr>
      </w:pPr>
    </w:p>
    <w:p w14:paraId="0D752A0E" w14:textId="2E9E6F5F" w:rsidR="004E5F07" w:rsidRDefault="004E2EAF" w:rsidP="004E5F07">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The plaintiff and the first defendant were parties to a contract whereby the first defendant contracted the plaintiff to perform certain construction services</w:t>
      </w:r>
      <w:r w:rsidR="004E5F07">
        <w:rPr>
          <w:rFonts w:ascii="Arial" w:hAnsi="Arial" w:cs="Arial"/>
          <w:lang w:val="en-US"/>
        </w:rPr>
        <w:t>.</w:t>
      </w:r>
      <w:r w:rsidR="00F8269A">
        <w:rPr>
          <w:rFonts w:ascii="Arial" w:hAnsi="Arial" w:cs="Arial"/>
          <w:lang w:val="en-US"/>
        </w:rPr>
        <w:t xml:space="preserve"> The second defendant was the principal agent.</w:t>
      </w:r>
      <w:r>
        <w:rPr>
          <w:rFonts w:ascii="Arial" w:hAnsi="Arial" w:cs="Arial"/>
          <w:lang w:val="en-US"/>
        </w:rPr>
        <w:t xml:space="preserve"> Prior to concluding the contract, the plaintiff had to provide a performance guarantee, which it did.</w:t>
      </w:r>
    </w:p>
    <w:p w14:paraId="62DB092A" w14:textId="77777777" w:rsidR="004E5F07" w:rsidRPr="004E5F07" w:rsidRDefault="004E5F07" w:rsidP="004E5F07">
      <w:pPr>
        <w:pStyle w:val="ListParagraph"/>
        <w:rPr>
          <w:rFonts w:ascii="Arial" w:hAnsi="Arial" w:cs="Arial"/>
          <w:lang w:val="en-US"/>
        </w:rPr>
      </w:pPr>
    </w:p>
    <w:p w14:paraId="756FF443" w14:textId="4787A4EF" w:rsidR="009179C5" w:rsidRPr="009179C5" w:rsidRDefault="004E2EAF" w:rsidP="009179C5">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A payment dispute arose, leading to the plaintiff terminating the contract and demanding the return of the performance guarantee</w:t>
      </w:r>
      <w:r w:rsidR="004E5F07">
        <w:rPr>
          <w:rFonts w:ascii="Arial" w:hAnsi="Arial" w:cs="Arial"/>
          <w:lang w:val="en-US"/>
        </w:rPr>
        <w:t>.</w:t>
      </w:r>
      <w:r w:rsidR="009179C5">
        <w:rPr>
          <w:rFonts w:ascii="Arial" w:hAnsi="Arial" w:cs="Arial"/>
          <w:lang w:val="en-US"/>
        </w:rPr>
        <w:t xml:space="preserve"> </w:t>
      </w:r>
      <w:r w:rsidRPr="009179C5">
        <w:rPr>
          <w:rFonts w:ascii="Arial" w:eastAsia="Calibri" w:hAnsi="Arial" w:cs="Arial"/>
          <w:bCs/>
        </w:rPr>
        <w:t xml:space="preserve">The plaintiff </w:t>
      </w:r>
      <w:r w:rsidR="009179C5" w:rsidRPr="009179C5">
        <w:rPr>
          <w:rFonts w:ascii="Arial" w:eastAsia="Calibri" w:hAnsi="Arial" w:cs="Arial"/>
          <w:bCs/>
        </w:rPr>
        <w:t>allege</w:t>
      </w:r>
      <w:r w:rsidR="00DC4579">
        <w:rPr>
          <w:rFonts w:ascii="Arial" w:eastAsia="Calibri" w:hAnsi="Arial" w:cs="Arial"/>
          <w:bCs/>
        </w:rPr>
        <w:t>s</w:t>
      </w:r>
      <w:r w:rsidR="00B47201" w:rsidRPr="009179C5">
        <w:rPr>
          <w:rFonts w:ascii="Arial" w:eastAsia="Calibri" w:hAnsi="Arial" w:cs="Arial"/>
          <w:bCs/>
        </w:rPr>
        <w:t xml:space="preserve"> any further payments that would be due</w:t>
      </w:r>
      <w:r w:rsidR="009179C5" w:rsidRPr="009179C5">
        <w:rPr>
          <w:rFonts w:ascii="Arial" w:eastAsia="Calibri" w:hAnsi="Arial" w:cs="Arial"/>
          <w:bCs/>
        </w:rPr>
        <w:t xml:space="preserve">, </w:t>
      </w:r>
      <w:proofErr w:type="gramStart"/>
      <w:r w:rsidR="009179C5" w:rsidRPr="009179C5">
        <w:rPr>
          <w:rFonts w:ascii="Arial" w:eastAsia="Calibri" w:hAnsi="Arial" w:cs="Arial"/>
          <w:bCs/>
        </w:rPr>
        <w:t>owing</w:t>
      </w:r>
      <w:proofErr w:type="gramEnd"/>
      <w:r w:rsidR="009179C5" w:rsidRPr="009179C5">
        <w:rPr>
          <w:rFonts w:ascii="Arial" w:eastAsia="Calibri" w:hAnsi="Arial" w:cs="Arial"/>
          <w:bCs/>
        </w:rPr>
        <w:t xml:space="preserve"> and payable</w:t>
      </w:r>
      <w:r w:rsidR="00B47201" w:rsidRPr="009179C5">
        <w:rPr>
          <w:rFonts w:ascii="Arial" w:eastAsia="Calibri" w:hAnsi="Arial" w:cs="Arial"/>
          <w:bCs/>
        </w:rPr>
        <w:t xml:space="preserve"> to it would be determined by a joint quantification</w:t>
      </w:r>
      <w:r w:rsidR="009179C5" w:rsidRPr="009179C5">
        <w:rPr>
          <w:rFonts w:ascii="Arial" w:eastAsia="Calibri" w:hAnsi="Arial" w:cs="Arial"/>
          <w:bCs/>
        </w:rPr>
        <w:t xml:space="preserve"> thereof, alternatively, a determination thereof by the second defendant. </w:t>
      </w:r>
    </w:p>
    <w:p w14:paraId="62FA998F" w14:textId="77777777" w:rsidR="009179C5" w:rsidRPr="009179C5" w:rsidRDefault="009179C5" w:rsidP="009179C5">
      <w:pPr>
        <w:pStyle w:val="ListParagraph"/>
        <w:rPr>
          <w:rFonts w:ascii="Arial" w:eastAsia="Calibri" w:hAnsi="Arial" w:cs="Arial"/>
          <w:bCs/>
        </w:rPr>
      </w:pPr>
    </w:p>
    <w:p w14:paraId="65F6ACAF" w14:textId="61F5540E" w:rsidR="004E5F07" w:rsidRDefault="0067518B" w:rsidP="009179C5">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 claims that after</w:t>
      </w:r>
      <w:r w:rsidRPr="00EA618D">
        <w:rPr>
          <w:rFonts w:ascii="Arial" w:hAnsi="Arial" w:cs="Arial"/>
          <w:lang w:val="en-US"/>
        </w:rPr>
        <w:t xml:space="preserve"> </w:t>
      </w:r>
      <w:r>
        <w:rPr>
          <w:rFonts w:ascii="Arial" w:hAnsi="Arial" w:cs="Arial"/>
          <w:lang w:val="en-US"/>
        </w:rPr>
        <w:t xml:space="preserve">the last </w:t>
      </w:r>
      <w:r w:rsidRPr="00EA618D">
        <w:rPr>
          <w:rFonts w:ascii="Arial" w:hAnsi="Arial" w:cs="Arial"/>
          <w:lang w:val="en-US"/>
        </w:rPr>
        <w:t xml:space="preserve">payment certificate </w:t>
      </w:r>
      <w:r>
        <w:rPr>
          <w:rFonts w:ascii="Arial" w:hAnsi="Arial" w:cs="Arial"/>
          <w:lang w:val="en-US"/>
        </w:rPr>
        <w:t xml:space="preserve">was </w:t>
      </w:r>
      <w:r w:rsidRPr="00EA618D">
        <w:rPr>
          <w:rFonts w:ascii="Arial" w:hAnsi="Arial" w:cs="Arial"/>
          <w:lang w:val="en-US"/>
        </w:rPr>
        <w:t xml:space="preserve">issued, </w:t>
      </w:r>
      <w:r>
        <w:rPr>
          <w:rFonts w:ascii="Arial" w:hAnsi="Arial" w:cs="Arial"/>
          <w:lang w:val="en-US"/>
        </w:rPr>
        <w:t>it</w:t>
      </w:r>
      <w:r w:rsidRPr="00EA618D">
        <w:rPr>
          <w:rFonts w:ascii="Arial" w:hAnsi="Arial" w:cs="Arial"/>
          <w:lang w:val="en-US"/>
        </w:rPr>
        <w:t xml:space="preserve"> continued to render services, but despite </w:t>
      </w:r>
      <w:r>
        <w:rPr>
          <w:rFonts w:ascii="Arial" w:hAnsi="Arial" w:cs="Arial"/>
          <w:lang w:val="en-US"/>
        </w:rPr>
        <w:t xml:space="preserve">the plaintiff’s </w:t>
      </w:r>
      <w:r w:rsidRPr="00EA618D">
        <w:rPr>
          <w:rFonts w:ascii="Arial" w:hAnsi="Arial" w:cs="Arial"/>
          <w:lang w:val="en-US"/>
        </w:rPr>
        <w:t>additional work, no other payment certificates were issued.</w:t>
      </w:r>
      <w:r>
        <w:rPr>
          <w:rFonts w:ascii="Arial" w:hAnsi="Arial" w:cs="Arial"/>
          <w:lang w:val="en-US"/>
        </w:rPr>
        <w:t xml:space="preserve"> It </w:t>
      </w:r>
      <w:r w:rsidR="009179C5" w:rsidRPr="009179C5">
        <w:rPr>
          <w:rFonts w:ascii="Arial" w:eastAsia="Calibri" w:hAnsi="Arial" w:cs="Arial"/>
          <w:bCs/>
        </w:rPr>
        <w:t>claims</w:t>
      </w:r>
      <w:r w:rsidR="004E2EAF" w:rsidRPr="009179C5">
        <w:rPr>
          <w:rFonts w:ascii="Arial" w:eastAsia="Calibri" w:hAnsi="Arial" w:cs="Arial"/>
          <w:bCs/>
        </w:rPr>
        <w:t xml:space="preserve"> it </w:t>
      </w:r>
      <w:r w:rsidR="00B47201" w:rsidRPr="009179C5">
        <w:rPr>
          <w:rFonts w:ascii="Arial" w:eastAsia="Calibri" w:hAnsi="Arial" w:cs="Arial"/>
          <w:bCs/>
        </w:rPr>
        <w:t>is entitled to a quantification of the amounts due</w:t>
      </w:r>
      <w:r w:rsidR="009179C5" w:rsidRPr="009179C5">
        <w:rPr>
          <w:rFonts w:ascii="Arial" w:eastAsia="Calibri" w:hAnsi="Arial" w:cs="Arial"/>
          <w:bCs/>
        </w:rPr>
        <w:t>, owing</w:t>
      </w:r>
      <w:r w:rsidR="00F8269A">
        <w:rPr>
          <w:rFonts w:ascii="Arial" w:eastAsia="Calibri" w:hAnsi="Arial" w:cs="Arial"/>
          <w:bCs/>
        </w:rPr>
        <w:t>, and payable to it and payment of N$2 490 631 for</w:t>
      </w:r>
      <w:r w:rsidR="009179C5" w:rsidRPr="009179C5">
        <w:rPr>
          <w:rFonts w:ascii="Arial" w:eastAsia="Calibri" w:hAnsi="Arial" w:cs="Arial"/>
          <w:bCs/>
        </w:rPr>
        <w:t xml:space="preserve"> costs </w:t>
      </w:r>
      <w:r w:rsidR="00B47201" w:rsidRPr="009179C5">
        <w:rPr>
          <w:rFonts w:ascii="Arial" w:eastAsia="Calibri" w:hAnsi="Arial" w:cs="Arial"/>
          <w:bCs/>
        </w:rPr>
        <w:t>incurred in securing the performance guarantee</w:t>
      </w:r>
      <w:r w:rsidR="004E5F07" w:rsidRPr="009179C5">
        <w:rPr>
          <w:rFonts w:ascii="Arial" w:hAnsi="Arial" w:cs="Arial"/>
          <w:lang w:val="en-US"/>
        </w:rPr>
        <w:t>.</w:t>
      </w:r>
    </w:p>
    <w:p w14:paraId="19C518DD" w14:textId="77777777" w:rsidR="0067518B" w:rsidRPr="0067518B" w:rsidRDefault="0067518B" w:rsidP="0067518B">
      <w:pPr>
        <w:pStyle w:val="ListParagraph"/>
        <w:rPr>
          <w:rFonts w:ascii="Arial" w:hAnsi="Arial" w:cs="Arial"/>
          <w:lang w:val="en-US"/>
        </w:rPr>
      </w:pPr>
    </w:p>
    <w:p w14:paraId="430E61A7" w14:textId="7D5A97CB" w:rsidR="0067518B" w:rsidRPr="009179C5" w:rsidRDefault="0067518B" w:rsidP="009179C5">
      <w:pPr>
        <w:pStyle w:val="ListParagraph"/>
        <w:numPr>
          <w:ilvl w:val="0"/>
          <w:numId w:val="2"/>
        </w:numPr>
        <w:spacing w:line="360" w:lineRule="auto"/>
        <w:ind w:left="0" w:firstLine="0"/>
        <w:jc w:val="both"/>
        <w:rPr>
          <w:rFonts w:ascii="Arial" w:hAnsi="Arial" w:cs="Arial"/>
          <w:lang w:val="en-US"/>
        </w:rPr>
      </w:pPr>
      <w:r w:rsidRPr="0067518B">
        <w:rPr>
          <w:rFonts w:ascii="Arial" w:hAnsi="Arial" w:cs="Arial"/>
          <w:lang w:val="en-US"/>
        </w:rPr>
        <w:t xml:space="preserve">The first defendant admits the plaintiff terminated the contract, but disputes it was because of the first defendant’s breach. The first defendant claims </w:t>
      </w:r>
      <w:r>
        <w:rPr>
          <w:rFonts w:ascii="Arial" w:hAnsi="Arial" w:cs="Arial"/>
          <w:lang w:val="en-US"/>
        </w:rPr>
        <w:t>there was a</w:t>
      </w:r>
      <w:r w:rsidRPr="0067518B">
        <w:rPr>
          <w:rFonts w:ascii="Arial" w:hAnsi="Arial" w:cs="Arial"/>
          <w:lang w:val="en-US"/>
        </w:rPr>
        <w:t xml:space="preserve"> double payment</w:t>
      </w:r>
      <w:r>
        <w:rPr>
          <w:rFonts w:ascii="Arial" w:hAnsi="Arial" w:cs="Arial"/>
          <w:lang w:val="en-US"/>
        </w:rPr>
        <w:t xml:space="preserve"> </w:t>
      </w:r>
      <w:r w:rsidRPr="0067518B">
        <w:rPr>
          <w:rFonts w:ascii="Arial" w:hAnsi="Arial" w:cs="Arial"/>
          <w:lang w:val="en-US"/>
        </w:rPr>
        <w:t xml:space="preserve">which was set off against </w:t>
      </w:r>
      <w:r>
        <w:rPr>
          <w:rFonts w:ascii="Arial" w:hAnsi="Arial" w:cs="Arial"/>
          <w:lang w:val="en-US"/>
        </w:rPr>
        <w:t xml:space="preserve">the following </w:t>
      </w:r>
      <w:r w:rsidRPr="0067518B">
        <w:rPr>
          <w:rFonts w:ascii="Arial" w:hAnsi="Arial" w:cs="Arial"/>
          <w:lang w:val="en-US"/>
        </w:rPr>
        <w:t>payment certificate. The first defendant further claims there was a site meeting</w:t>
      </w:r>
      <w:r>
        <w:rPr>
          <w:rFonts w:ascii="Arial" w:hAnsi="Arial" w:cs="Arial"/>
          <w:lang w:val="en-US"/>
        </w:rPr>
        <w:t>, attended by the plaintiff, with the purpose of quantifying the work,</w:t>
      </w:r>
      <w:r w:rsidRPr="0067518B">
        <w:rPr>
          <w:rFonts w:ascii="Arial" w:hAnsi="Arial" w:cs="Arial"/>
          <w:lang w:val="en-US"/>
        </w:rPr>
        <w:t xml:space="preserve"> which translated to a final account that was forwarded to the plaintiff. The first defendant disputes liability for costs incurred in securing the performance guarantee as N$35 000 was </w:t>
      </w:r>
      <w:r w:rsidRPr="0067518B">
        <w:rPr>
          <w:rFonts w:ascii="Arial" w:hAnsi="Arial" w:cs="Arial"/>
          <w:lang w:val="en-US"/>
        </w:rPr>
        <w:lastRenderedPageBreak/>
        <w:t xml:space="preserve">agreed to and included in the contract as the cost to obtain the performance guarantee. The first defendant </w:t>
      </w:r>
      <w:r>
        <w:rPr>
          <w:rFonts w:ascii="Arial" w:hAnsi="Arial" w:cs="Arial"/>
          <w:lang w:val="en-US"/>
        </w:rPr>
        <w:t>further</w:t>
      </w:r>
      <w:r w:rsidRPr="0067518B">
        <w:rPr>
          <w:rFonts w:ascii="Arial" w:hAnsi="Arial" w:cs="Arial"/>
          <w:lang w:val="en-US"/>
        </w:rPr>
        <w:t xml:space="preserve"> claims the performance guarantee was returned to the plaintiff despite the work not being completed by the plaintiff, there being no certificate of completion and the plaintiff not being entitled to its return.</w:t>
      </w:r>
    </w:p>
    <w:p w14:paraId="5380ACDD" w14:textId="77777777" w:rsidR="004E5F07" w:rsidRPr="004E5F07" w:rsidRDefault="004E5F07" w:rsidP="004E5F07">
      <w:pPr>
        <w:pStyle w:val="ListParagraph"/>
        <w:rPr>
          <w:rFonts w:ascii="Arial" w:hAnsi="Arial" w:cs="Arial"/>
          <w:lang w:val="en-US"/>
        </w:rPr>
      </w:pPr>
    </w:p>
    <w:p w14:paraId="2940E2E9" w14:textId="3DEB0043" w:rsidR="006F6E1C" w:rsidRPr="006F6E1C" w:rsidRDefault="006F6E1C" w:rsidP="006F6E1C">
      <w:pPr>
        <w:pStyle w:val="ListParagraph"/>
        <w:spacing w:line="360" w:lineRule="auto"/>
        <w:ind w:left="0"/>
        <w:jc w:val="both"/>
        <w:rPr>
          <w:rFonts w:ascii="Arial" w:hAnsi="Arial" w:cs="Arial"/>
          <w:u w:val="single"/>
          <w:lang w:val="en-US"/>
        </w:rPr>
      </w:pPr>
      <w:r w:rsidRPr="006F6E1C">
        <w:rPr>
          <w:rFonts w:ascii="Arial" w:hAnsi="Arial" w:cs="Arial"/>
          <w:u w:val="single"/>
          <w:lang w:val="en-US"/>
        </w:rPr>
        <w:t xml:space="preserve">The </w:t>
      </w:r>
      <w:r w:rsidR="00F85F3C">
        <w:rPr>
          <w:rFonts w:ascii="Arial" w:hAnsi="Arial" w:cs="Arial"/>
          <w:u w:val="single"/>
          <w:lang w:val="en-US"/>
        </w:rPr>
        <w:t>parties</w:t>
      </w:r>
    </w:p>
    <w:p w14:paraId="18689631" w14:textId="77777777" w:rsidR="006F6E1C" w:rsidRPr="006F6E1C" w:rsidRDefault="006F6E1C" w:rsidP="006F6E1C">
      <w:pPr>
        <w:pStyle w:val="ListParagraph"/>
        <w:rPr>
          <w:rFonts w:ascii="Arial" w:hAnsi="Arial" w:cs="Arial"/>
          <w:lang w:val="en-US"/>
        </w:rPr>
      </w:pPr>
    </w:p>
    <w:p w14:paraId="33CB15F3" w14:textId="3EF6D9F9" w:rsidR="00F85F3C" w:rsidRPr="00C94025" w:rsidRDefault="006F6E1C" w:rsidP="00C94025">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 is Edison Building Enterprise CC</w:t>
      </w:r>
      <w:r w:rsidR="00F85F3C">
        <w:rPr>
          <w:rFonts w:ascii="Arial" w:hAnsi="Arial" w:cs="Arial"/>
          <w:lang w:val="en-US"/>
        </w:rPr>
        <w:t>, a registered close corporation.</w:t>
      </w:r>
      <w:r w:rsidR="00C94025">
        <w:rPr>
          <w:rFonts w:ascii="Arial" w:hAnsi="Arial" w:cs="Arial"/>
          <w:lang w:val="en-US"/>
        </w:rPr>
        <w:t xml:space="preserve"> </w:t>
      </w:r>
      <w:r w:rsidR="00F85F3C" w:rsidRPr="00C94025">
        <w:rPr>
          <w:rFonts w:ascii="Arial" w:hAnsi="Arial" w:cs="Arial"/>
          <w:lang w:val="en-US"/>
        </w:rPr>
        <w:t>The first defendant is the Government of the Republic of Namibia, represented by the Minister and or Executive Director of the Ministry of Works and Transport.</w:t>
      </w:r>
      <w:r w:rsidR="00C94025">
        <w:rPr>
          <w:rFonts w:ascii="Arial" w:hAnsi="Arial" w:cs="Arial"/>
          <w:lang w:val="en-US"/>
        </w:rPr>
        <w:t xml:space="preserve"> </w:t>
      </w:r>
      <w:r w:rsidR="00F85F3C" w:rsidRPr="00C94025">
        <w:rPr>
          <w:rFonts w:ascii="Arial" w:hAnsi="Arial" w:cs="Arial"/>
          <w:lang w:val="en-US"/>
        </w:rPr>
        <w:t>The second defendant is Burmeister and Partners (Pty) Ltd, an incorporated company.</w:t>
      </w:r>
      <w:r w:rsidR="00C94025" w:rsidRPr="00C94025">
        <w:rPr>
          <w:rFonts w:ascii="Arial" w:hAnsi="Arial" w:cs="Arial"/>
          <w:lang w:val="en-US"/>
        </w:rPr>
        <w:t xml:space="preserve"> No relief is sought against the second defendant, but it was cited in so far as it may have an interest in the matter and its outcome.</w:t>
      </w:r>
      <w:r w:rsidR="00F85F3C" w:rsidRPr="00C94025">
        <w:rPr>
          <w:rFonts w:ascii="Arial" w:hAnsi="Arial" w:cs="Arial"/>
          <w:lang w:val="en-US"/>
        </w:rPr>
        <w:t xml:space="preserve"> </w:t>
      </w:r>
    </w:p>
    <w:p w14:paraId="362CE3B4" w14:textId="77777777" w:rsidR="006F6E1C" w:rsidRPr="006F6E1C" w:rsidRDefault="006F6E1C" w:rsidP="006F6E1C">
      <w:pPr>
        <w:pStyle w:val="ListParagraph"/>
        <w:rPr>
          <w:rFonts w:ascii="Arial" w:hAnsi="Arial" w:cs="Arial"/>
          <w:lang w:val="en-US"/>
        </w:rPr>
      </w:pPr>
    </w:p>
    <w:p w14:paraId="4ED4AC84" w14:textId="2B6F243F" w:rsidR="004E5F07" w:rsidRPr="004E5F07" w:rsidRDefault="00F85F3C" w:rsidP="004E5F07">
      <w:pPr>
        <w:pStyle w:val="ListParagraph"/>
        <w:spacing w:line="360" w:lineRule="auto"/>
        <w:ind w:left="0"/>
        <w:jc w:val="both"/>
        <w:rPr>
          <w:rFonts w:ascii="Arial" w:hAnsi="Arial" w:cs="Arial"/>
          <w:u w:val="single"/>
          <w:lang w:val="en-US"/>
        </w:rPr>
      </w:pPr>
      <w:r>
        <w:rPr>
          <w:rFonts w:ascii="Arial" w:eastAsia="Calibri" w:hAnsi="Arial" w:cs="Arial"/>
          <w:bCs/>
          <w:u w:val="single"/>
        </w:rPr>
        <w:t>The pleadings and the pre-trial order</w:t>
      </w:r>
    </w:p>
    <w:p w14:paraId="07AEDE2C" w14:textId="77777777" w:rsidR="004E5F07" w:rsidRPr="004E5F07" w:rsidRDefault="004E5F07" w:rsidP="004E5F07">
      <w:pPr>
        <w:pStyle w:val="ListParagraph"/>
        <w:rPr>
          <w:rFonts w:ascii="Arial" w:hAnsi="Arial" w:cs="Arial"/>
          <w:lang w:val="en-US"/>
        </w:rPr>
      </w:pPr>
    </w:p>
    <w:p w14:paraId="7BB80A80" w14:textId="0F51F0A4" w:rsidR="002113C5" w:rsidRDefault="002113C5" w:rsidP="002113C5">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pre-trial order, read with the pleadings, reflects the following. </w:t>
      </w:r>
    </w:p>
    <w:p w14:paraId="5E77C59D" w14:textId="77777777" w:rsidR="002113C5" w:rsidRPr="006F6E1C" w:rsidRDefault="002113C5" w:rsidP="002113C5">
      <w:pPr>
        <w:pStyle w:val="ListParagraph"/>
        <w:rPr>
          <w:rFonts w:ascii="Arial" w:hAnsi="Arial" w:cs="Arial"/>
          <w:lang w:val="en-US"/>
        </w:rPr>
      </w:pPr>
    </w:p>
    <w:p w14:paraId="5A0A9A89" w14:textId="7629BB49" w:rsidR="00F85F3C" w:rsidRDefault="00DC4579" w:rsidP="00F85F3C">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plea admits</w:t>
      </w:r>
      <w:r w:rsidR="00F85F3C">
        <w:rPr>
          <w:rFonts w:ascii="Arial" w:hAnsi="Arial" w:cs="Arial"/>
          <w:lang w:val="en-US"/>
        </w:rPr>
        <w:t xml:space="preserve"> the cause of action arose within the court’s jurisdiction.</w:t>
      </w:r>
    </w:p>
    <w:p w14:paraId="63D756AE" w14:textId="77777777" w:rsidR="00F85F3C" w:rsidRPr="006F6E1C" w:rsidRDefault="00F85F3C" w:rsidP="00F85F3C">
      <w:pPr>
        <w:pStyle w:val="ListParagraph"/>
        <w:rPr>
          <w:rFonts w:ascii="Arial" w:hAnsi="Arial" w:cs="Arial"/>
          <w:lang w:val="en-US"/>
        </w:rPr>
      </w:pPr>
    </w:p>
    <w:p w14:paraId="3A19B7D9" w14:textId="5725340A" w:rsidR="004E5F07" w:rsidRDefault="000C2791" w:rsidP="004E5F07">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 xml:space="preserve">The following facts are </w:t>
      </w:r>
      <w:r w:rsidR="006F6E1C">
        <w:rPr>
          <w:rFonts w:ascii="Arial" w:eastAsia="Calibri" w:hAnsi="Arial" w:cs="Arial"/>
          <w:bCs/>
        </w:rPr>
        <w:t xml:space="preserve">recorded as </w:t>
      </w:r>
      <w:r>
        <w:rPr>
          <w:rFonts w:ascii="Arial" w:eastAsia="Calibri" w:hAnsi="Arial" w:cs="Arial"/>
          <w:bCs/>
        </w:rPr>
        <w:t>undisputed</w:t>
      </w:r>
      <w:r w:rsidR="006F6E1C">
        <w:rPr>
          <w:rFonts w:ascii="Arial" w:eastAsia="Calibri" w:hAnsi="Arial" w:cs="Arial"/>
          <w:bCs/>
        </w:rPr>
        <w:t xml:space="preserve"> in the pre-trial order</w:t>
      </w:r>
      <w:r w:rsidR="006F6E1C">
        <w:rPr>
          <w:rFonts w:ascii="Arial" w:hAnsi="Arial" w:cs="Arial"/>
          <w:lang w:val="en-US"/>
        </w:rPr>
        <w:t>:</w:t>
      </w:r>
    </w:p>
    <w:p w14:paraId="64CE2B1D" w14:textId="77777777" w:rsidR="004E5F07" w:rsidRPr="004E5F07" w:rsidRDefault="004E5F07" w:rsidP="004E5F07">
      <w:pPr>
        <w:pStyle w:val="ListParagraph"/>
        <w:rPr>
          <w:rFonts w:ascii="Arial" w:hAnsi="Arial" w:cs="Arial"/>
          <w:lang w:val="en-US"/>
        </w:rPr>
      </w:pPr>
    </w:p>
    <w:p w14:paraId="4089B312" w14:textId="77777777" w:rsidR="006F6E1C" w:rsidRDefault="006F6E1C" w:rsidP="006F6E1C">
      <w:pPr>
        <w:pStyle w:val="ListParagraph"/>
        <w:numPr>
          <w:ilvl w:val="0"/>
          <w:numId w:val="3"/>
        </w:numPr>
        <w:spacing w:line="360" w:lineRule="auto"/>
        <w:ind w:left="0" w:firstLine="0"/>
        <w:jc w:val="both"/>
        <w:rPr>
          <w:rFonts w:ascii="Arial" w:eastAsia="Calibri" w:hAnsi="Arial" w:cs="Arial"/>
          <w:bCs/>
        </w:rPr>
      </w:pPr>
      <w:r>
        <w:rPr>
          <w:rFonts w:ascii="Arial" w:eastAsia="Calibri" w:hAnsi="Arial" w:cs="Arial"/>
          <w:bCs/>
        </w:rPr>
        <w:t>The parties’ citations.</w:t>
      </w:r>
    </w:p>
    <w:p w14:paraId="7DA79E9D" w14:textId="77777777" w:rsidR="006F6E1C" w:rsidRPr="00722993" w:rsidRDefault="006F6E1C" w:rsidP="006F6E1C">
      <w:pPr>
        <w:pStyle w:val="ListParagraph"/>
        <w:ind w:left="0"/>
        <w:rPr>
          <w:rFonts w:ascii="Arial" w:hAnsi="Arial" w:cs="Arial"/>
          <w:lang w:val="en-US"/>
        </w:rPr>
      </w:pPr>
    </w:p>
    <w:p w14:paraId="49D93421" w14:textId="35D4B0ED" w:rsidR="00722993" w:rsidRDefault="00F85F3C" w:rsidP="00722993">
      <w:pPr>
        <w:pStyle w:val="ListParagraph"/>
        <w:numPr>
          <w:ilvl w:val="0"/>
          <w:numId w:val="3"/>
        </w:numPr>
        <w:spacing w:line="360" w:lineRule="auto"/>
        <w:ind w:left="0" w:firstLine="0"/>
        <w:jc w:val="both"/>
        <w:rPr>
          <w:rFonts w:ascii="Arial" w:eastAsia="Calibri" w:hAnsi="Arial" w:cs="Arial"/>
          <w:bCs/>
        </w:rPr>
      </w:pPr>
      <w:r>
        <w:rPr>
          <w:rFonts w:ascii="Arial" w:eastAsia="Calibri" w:hAnsi="Arial" w:cs="Arial"/>
          <w:bCs/>
        </w:rPr>
        <w:t xml:space="preserve">The plaintiff and the first defendant, duly represented by Edison </w:t>
      </w:r>
      <w:proofErr w:type="spellStart"/>
      <w:r>
        <w:rPr>
          <w:rFonts w:ascii="Arial" w:eastAsia="Calibri" w:hAnsi="Arial" w:cs="Arial"/>
          <w:bCs/>
        </w:rPr>
        <w:t>Kapuuo</w:t>
      </w:r>
      <w:proofErr w:type="spellEnd"/>
      <w:r>
        <w:rPr>
          <w:rFonts w:ascii="Arial" w:eastAsia="Calibri" w:hAnsi="Arial" w:cs="Arial"/>
          <w:bCs/>
        </w:rPr>
        <w:t xml:space="preserve"> and Andrew K</w:t>
      </w:r>
      <w:r w:rsidR="00C94025">
        <w:rPr>
          <w:rFonts w:ascii="Arial" w:eastAsia="Calibri" w:hAnsi="Arial" w:cs="Arial"/>
          <w:bCs/>
        </w:rPr>
        <w:t>.</w:t>
      </w:r>
      <w:r>
        <w:rPr>
          <w:rFonts w:ascii="Arial" w:eastAsia="Calibri" w:hAnsi="Arial" w:cs="Arial"/>
          <w:bCs/>
        </w:rPr>
        <w:t xml:space="preserve"> </w:t>
      </w:r>
      <w:proofErr w:type="spellStart"/>
      <w:r>
        <w:rPr>
          <w:rFonts w:ascii="Arial" w:eastAsia="Calibri" w:hAnsi="Arial" w:cs="Arial"/>
          <w:bCs/>
        </w:rPr>
        <w:t>Mwazi</w:t>
      </w:r>
      <w:proofErr w:type="spellEnd"/>
      <w:r w:rsidR="00C94025">
        <w:rPr>
          <w:rFonts w:ascii="Arial" w:eastAsia="Calibri" w:hAnsi="Arial" w:cs="Arial"/>
          <w:bCs/>
        </w:rPr>
        <w:t>,</w:t>
      </w:r>
      <w:r>
        <w:rPr>
          <w:rFonts w:ascii="Arial" w:eastAsia="Calibri" w:hAnsi="Arial" w:cs="Arial"/>
          <w:bCs/>
        </w:rPr>
        <w:t xml:space="preserve"> respectively, concluded a written agreement on 9 October 2014 at Windhoek, </w:t>
      </w:r>
      <w:r w:rsidR="00C94025">
        <w:rPr>
          <w:rFonts w:ascii="Arial" w:eastAsia="Calibri" w:hAnsi="Arial" w:cs="Arial"/>
          <w:bCs/>
        </w:rPr>
        <w:t>whereby</w:t>
      </w:r>
      <w:r>
        <w:rPr>
          <w:rFonts w:ascii="Arial" w:eastAsia="Calibri" w:hAnsi="Arial" w:cs="Arial"/>
          <w:bCs/>
        </w:rPr>
        <w:t xml:space="preserve"> the plaintiff would render construction services to the first defendant by upgrading </w:t>
      </w:r>
      <w:proofErr w:type="spellStart"/>
      <w:r>
        <w:rPr>
          <w:rFonts w:ascii="Arial" w:eastAsia="Calibri" w:hAnsi="Arial" w:cs="Arial"/>
          <w:bCs/>
        </w:rPr>
        <w:t>Fonteintjie</w:t>
      </w:r>
      <w:proofErr w:type="spellEnd"/>
      <w:r>
        <w:rPr>
          <w:rFonts w:ascii="Arial" w:eastAsia="Calibri" w:hAnsi="Arial" w:cs="Arial"/>
          <w:bCs/>
        </w:rPr>
        <w:t xml:space="preserve"> Fish Farm </w:t>
      </w:r>
      <w:r w:rsidR="00C94025">
        <w:rPr>
          <w:rFonts w:ascii="Arial" w:eastAsia="Calibri" w:hAnsi="Arial" w:cs="Arial"/>
          <w:bCs/>
        </w:rPr>
        <w:t xml:space="preserve">situated </w:t>
      </w:r>
      <w:r>
        <w:rPr>
          <w:rFonts w:ascii="Arial" w:eastAsia="Calibri" w:hAnsi="Arial" w:cs="Arial"/>
          <w:bCs/>
        </w:rPr>
        <w:t xml:space="preserve">at </w:t>
      </w:r>
      <w:proofErr w:type="spellStart"/>
      <w:r>
        <w:rPr>
          <w:rFonts w:ascii="Arial" w:eastAsia="Calibri" w:hAnsi="Arial" w:cs="Arial"/>
          <w:bCs/>
        </w:rPr>
        <w:t>Keetmanshoop</w:t>
      </w:r>
      <w:proofErr w:type="spellEnd"/>
      <w:r>
        <w:rPr>
          <w:rFonts w:ascii="Arial" w:eastAsia="Calibri" w:hAnsi="Arial" w:cs="Arial"/>
          <w:bCs/>
        </w:rPr>
        <w:t xml:space="preserve"> for a total consideration of N$20 492 704,61 (the contract).</w:t>
      </w:r>
    </w:p>
    <w:p w14:paraId="2CB1BDC4" w14:textId="77777777" w:rsidR="00722993" w:rsidRPr="00722993" w:rsidRDefault="00722993" w:rsidP="00722993">
      <w:pPr>
        <w:pStyle w:val="ListParagraph"/>
        <w:ind w:left="0"/>
        <w:rPr>
          <w:rFonts w:ascii="Arial" w:hAnsi="Arial" w:cs="Arial"/>
          <w:lang w:val="en-US"/>
        </w:rPr>
      </w:pPr>
    </w:p>
    <w:p w14:paraId="50644B0B" w14:textId="029A8616" w:rsidR="00722993" w:rsidRDefault="000C2791" w:rsidP="00722993">
      <w:pPr>
        <w:pStyle w:val="ListParagraph"/>
        <w:numPr>
          <w:ilvl w:val="0"/>
          <w:numId w:val="3"/>
        </w:numPr>
        <w:spacing w:line="360" w:lineRule="auto"/>
        <w:ind w:left="0" w:firstLine="0"/>
        <w:jc w:val="both"/>
        <w:rPr>
          <w:rFonts w:ascii="Arial" w:eastAsia="Calibri" w:hAnsi="Arial" w:cs="Arial"/>
          <w:bCs/>
        </w:rPr>
      </w:pPr>
      <w:r>
        <w:rPr>
          <w:rFonts w:ascii="Arial" w:eastAsia="Calibri" w:hAnsi="Arial" w:cs="Arial"/>
          <w:bCs/>
        </w:rPr>
        <w:t>Under clause 17.1, and prior to the commencement of the work</w:t>
      </w:r>
      <w:r w:rsidR="00F85F3C">
        <w:rPr>
          <w:rFonts w:ascii="Arial" w:eastAsia="Calibri" w:hAnsi="Arial" w:cs="Arial"/>
          <w:bCs/>
        </w:rPr>
        <w:t xml:space="preserve"> envisaged under the contract</w:t>
      </w:r>
      <w:r>
        <w:rPr>
          <w:rFonts w:ascii="Arial" w:eastAsia="Calibri" w:hAnsi="Arial" w:cs="Arial"/>
          <w:bCs/>
        </w:rPr>
        <w:t xml:space="preserve">, the plaintiff had to furnish the first defendant with a performance guarantee </w:t>
      </w:r>
      <w:r w:rsidR="00C94025">
        <w:rPr>
          <w:rFonts w:ascii="Arial" w:eastAsia="Calibri" w:hAnsi="Arial" w:cs="Arial"/>
          <w:bCs/>
        </w:rPr>
        <w:t>of</w:t>
      </w:r>
      <w:r>
        <w:rPr>
          <w:rFonts w:ascii="Arial" w:eastAsia="Calibri" w:hAnsi="Arial" w:cs="Arial"/>
          <w:bCs/>
        </w:rPr>
        <w:t xml:space="preserve"> N$</w:t>
      </w:r>
      <w:r w:rsidRPr="000C2791">
        <w:rPr>
          <w:rFonts w:ascii="Arial" w:hAnsi="Arial" w:cs="Arial"/>
          <w:lang w:val="en-US"/>
        </w:rPr>
        <w:t>2</w:t>
      </w:r>
      <w:r w:rsidR="000D761D">
        <w:rPr>
          <w:rFonts w:ascii="Arial" w:hAnsi="Arial" w:cs="Arial"/>
          <w:lang w:val="en-US"/>
        </w:rPr>
        <w:t xml:space="preserve"> </w:t>
      </w:r>
      <w:r w:rsidRPr="000C2791">
        <w:rPr>
          <w:rFonts w:ascii="Arial" w:hAnsi="Arial" w:cs="Arial"/>
          <w:lang w:val="en-US"/>
        </w:rPr>
        <w:t>049</w:t>
      </w:r>
      <w:r>
        <w:rPr>
          <w:rFonts w:ascii="Arial" w:hAnsi="Arial" w:cs="Arial"/>
          <w:lang w:val="en-US"/>
        </w:rPr>
        <w:t xml:space="preserve"> </w:t>
      </w:r>
      <w:r w:rsidRPr="000C2791">
        <w:rPr>
          <w:rFonts w:ascii="Arial" w:hAnsi="Arial" w:cs="Arial"/>
          <w:lang w:val="en-US"/>
        </w:rPr>
        <w:t>270</w:t>
      </w:r>
      <w:r>
        <w:rPr>
          <w:rFonts w:ascii="Arial" w:hAnsi="Arial" w:cs="Arial"/>
          <w:lang w:val="en-US"/>
        </w:rPr>
        <w:t>,</w:t>
      </w:r>
      <w:r w:rsidRPr="000C2791">
        <w:rPr>
          <w:rFonts w:ascii="Arial" w:hAnsi="Arial" w:cs="Arial"/>
          <w:lang w:val="en-US"/>
        </w:rPr>
        <w:t>4</w:t>
      </w:r>
      <w:r>
        <w:rPr>
          <w:rFonts w:ascii="Arial" w:hAnsi="Arial" w:cs="Arial"/>
          <w:lang w:val="en-US"/>
        </w:rPr>
        <w:t>6 (10</w:t>
      </w:r>
      <w:r w:rsidR="000D761D">
        <w:rPr>
          <w:rFonts w:ascii="Arial" w:hAnsi="Arial" w:cs="Arial"/>
          <w:lang w:val="en-US"/>
        </w:rPr>
        <w:t xml:space="preserve"> per cent</w:t>
      </w:r>
      <w:r>
        <w:rPr>
          <w:rFonts w:ascii="Arial" w:hAnsi="Arial" w:cs="Arial"/>
          <w:lang w:val="en-US"/>
        </w:rPr>
        <w:t xml:space="preserve"> of the project’s total consideration),</w:t>
      </w:r>
      <w:r w:rsidR="000D761D">
        <w:rPr>
          <w:rFonts w:ascii="Arial" w:eastAsia="Calibri" w:hAnsi="Arial" w:cs="Arial"/>
          <w:bCs/>
        </w:rPr>
        <w:t xml:space="preserve"> </w:t>
      </w:r>
      <w:r>
        <w:rPr>
          <w:rFonts w:ascii="Arial" w:eastAsia="Calibri" w:hAnsi="Arial" w:cs="Arial"/>
          <w:bCs/>
        </w:rPr>
        <w:t xml:space="preserve">which the plaintiff </w:t>
      </w:r>
      <w:r w:rsidR="00C94025">
        <w:rPr>
          <w:rFonts w:ascii="Arial" w:eastAsia="Calibri" w:hAnsi="Arial" w:cs="Arial"/>
          <w:bCs/>
        </w:rPr>
        <w:t xml:space="preserve">provided </w:t>
      </w:r>
      <w:r>
        <w:rPr>
          <w:rFonts w:ascii="Arial" w:eastAsia="Calibri" w:hAnsi="Arial" w:cs="Arial"/>
          <w:bCs/>
        </w:rPr>
        <w:t>on 23 September 2014. The performance guarantee was from Bank Windhoek.</w:t>
      </w:r>
    </w:p>
    <w:p w14:paraId="329FCB33" w14:textId="77777777" w:rsidR="00722993" w:rsidRPr="00722993" w:rsidRDefault="00722993" w:rsidP="00722993">
      <w:pPr>
        <w:pStyle w:val="ListParagraph"/>
        <w:ind w:left="0"/>
        <w:rPr>
          <w:rFonts w:ascii="Arial" w:hAnsi="Arial" w:cs="Arial"/>
          <w:lang w:val="en-US"/>
        </w:rPr>
      </w:pPr>
    </w:p>
    <w:p w14:paraId="3C2325E9" w14:textId="177E3365" w:rsidR="00722993" w:rsidRDefault="000C2791" w:rsidP="00722993">
      <w:pPr>
        <w:pStyle w:val="ListParagraph"/>
        <w:numPr>
          <w:ilvl w:val="0"/>
          <w:numId w:val="3"/>
        </w:numPr>
        <w:spacing w:line="360" w:lineRule="auto"/>
        <w:ind w:left="0" w:firstLine="0"/>
        <w:jc w:val="both"/>
        <w:rPr>
          <w:rFonts w:ascii="Arial" w:eastAsia="Calibri" w:hAnsi="Arial" w:cs="Arial"/>
          <w:bCs/>
        </w:rPr>
      </w:pPr>
      <w:r w:rsidRPr="00722993">
        <w:rPr>
          <w:rFonts w:ascii="Arial" w:hAnsi="Arial" w:cs="Arial"/>
          <w:lang w:val="en-US"/>
        </w:rPr>
        <w:lastRenderedPageBreak/>
        <w:t>It was in the</w:t>
      </w:r>
      <w:r w:rsidR="00722993" w:rsidRPr="00722993">
        <w:rPr>
          <w:rFonts w:ascii="Arial" w:hAnsi="Arial" w:cs="Arial"/>
          <w:lang w:val="en-US"/>
        </w:rPr>
        <w:t xml:space="preserve"> contemplation of the plaintiff and the first defendant that the plaintiff </w:t>
      </w:r>
      <w:r w:rsidR="001B2FCD">
        <w:rPr>
          <w:rFonts w:ascii="Arial" w:hAnsi="Arial" w:cs="Arial"/>
          <w:lang w:val="en-US"/>
        </w:rPr>
        <w:t xml:space="preserve">was to </w:t>
      </w:r>
      <w:r w:rsidR="00722993" w:rsidRPr="00722993">
        <w:rPr>
          <w:rFonts w:ascii="Arial" w:hAnsi="Arial" w:cs="Arial"/>
          <w:lang w:val="en-US"/>
        </w:rPr>
        <w:t>secure a performance guarantee.</w:t>
      </w:r>
    </w:p>
    <w:p w14:paraId="2B722B25" w14:textId="77777777" w:rsidR="00722993" w:rsidRPr="00722993" w:rsidRDefault="00722993" w:rsidP="00722993">
      <w:pPr>
        <w:pStyle w:val="ListParagraph"/>
        <w:ind w:left="0"/>
        <w:rPr>
          <w:rFonts w:ascii="Arial" w:hAnsi="Arial" w:cs="Arial"/>
          <w:lang w:val="en-US"/>
        </w:rPr>
      </w:pPr>
    </w:p>
    <w:p w14:paraId="13F3AC8C" w14:textId="4E81577F" w:rsidR="00722993" w:rsidRDefault="00722993" w:rsidP="00722993">
      <w:pPr>
        <w:pStyle w:val="ListParagraph"/>
        <w:numPr>
          <w:ilvl w:val="0"/>
          <w:numId w:val="3"/>
        </w:numPr>
        <w:spacing w:line="360" w:lineRule="auto"/>
        <w:ind w:left="0" w:firstLine="0"/>
        <w:jc w:val="both"/>
        <w:rPr>
          <w:rFonts w:ascii="Arial" w:eastAsia="Calibri" w:hAnsi="Arial" w:cs="Arial"/>
          <w:bCs/>
        </w:rPr>
      </w:pPr>
      <w:r w:rsidRPr="00722993">
        <w:rPr>
          <w:rFonts w:ascii="Arial" w:hAnsi="Arial" w:cs="Arial"/>
          <w:lang w:val="en-US"/>
        </w:rPr>
        <w:t xml:space="preserve">The plaintiff commenced the work envisaged </w:t>
      </w:r>
      <w:r w:rsidR="00DC4579">
        <w:rPr>
          <w:rFonts w:ascii="Arial" w:hAnsi="Arial" w:cs="Arial"/>
          <w:lang w:val="en-US"/>
        </w:rPr>
        <w:t>by</w:t>
      </w:r>
      <w:r w:rsidRPr="00722993">
        <w:rPr>
          <w:rFonts w:ascii="Arial" w:hAnsi="Arial" w:cs="Arial"/>
          <w:lang w:val="en-US"/>
        </w:rPr>
        <w:t xml:space="preserve"> the contract in early 2015. </w:t>
      </w:r>
    </w:p>
    <w:p w14:paraId="062F3953" w14:textId="77777777" w:rsidR="00722993" w:rsidRPr="00722993" w:rsidRDefault="00722993" w:rsidP="00722993">
      <w:pPr>
        <w:pStyle w:val="ListParagraph"/>
        <w:ind w:left="0"/>
        <w:rPr>
          <w:rFonts w:ascii="Arial" w:hAnsi="Arial" w:cs="Arial"/>
          <w:lang w:val="en-US"/>
        </w:rPr>
      </w:pPr>
    </w:p>
    <w:p w14:paraId="3D0A5310" w14:textId="77777777" w:rsidR="00F85F3C" w:rsidRDefault="00722993" w:rsidP="00F85F3C">
      <w:pPr>
        <w:pStyle w:val="ListParagraph"/>
        <w:numPr>
          <w:ilvl w:val="0"/>
          <w:numId w:val="3"/>
        </w:numPr>
        <w:spacing w:line="360" w:lineRule="auto"/>
        <w:ind w:left="0" w:firstLine="0"/>
        <w:jc w:val="both"/>
        <w:rPr>
          <w:rFonts w:ascii="Arial" w:eastAsia="Calibri" w:hAnsi="Arial" w:cs="Arial"/>
          <w:bCs/>
        </w:rPr>
      </w:pPr>
      <w:r w:rsidRPr="00722993">
        <w:rPr>
          <w:rFonts w:ascii="Arial" w:hAnsi="Arial" w:cs="Arial"/>
          <w:lang w:val="en-US"/>
        </w:rPr>
        <w:t>The plaintiff terminated the contract in August 2019.</w:t>
      </w:r>
    </w:p>
    <w:p w14:paraId="502173C3" w14:textId="77777777" w:rsidR="00F85F3C" w:rsidRPr="00F85F3C" w:rsidRDefault="00F85F3C" w:rsidP="00F85F3C">
      <w:pPr>
        <w:pStyle w:val="ListParagraph"/>
        <w:rPr>
          <w:rFonts w:ascii="Arial" w:hAnsi="Arial" w:cs="Arial"/>
          <w:lang w:val="en-US"/>
        </w:rPr>
      </w:pPr>
    </w:p>
    <w:p w14:paraId="5ADBB96C" w14:textId="61DB81AA" w:rsidR="00722993" w:rsidRPr="00F85F3C" w:rsidRDefault="00722993" w:rsidP="00F85F3C">
      <w:pPr>
        <w:pStyle w:val="ListParagraph"/>
        <w:numPr>
          <w:ilvl w:val="0"/>
          <w:numId w:val="3"/>
        </w:numPr>
        <w:spacing w:line="360" w:lineRule="auto"/>
        <w:ind w:left="0" w:firstLine="0"/>
        <w:jc w:val="both"/>
        <w:rPr>
          <w:rFonts w:ascii="Arial" w:eastAsia="Calibri" w:hAnsi="Arial" w:cs="Arial"/>
          <w:bCs/>
        </w:rPr>
      </w:pPr>
      <w:r w:rsidRPr="00F85F3C">
        <w:rPr>
          <w:rFonts w:ascii="Arial" w:hAnsi="Arial" w:cs="Arial"/>
          <w:lang w:val="en-US"/>
        </w:rPr>
        <w:t>The plaintiff sues for damages resulting from charges for securing the performance guarantee.</w:t>
      </w:r>
    </w:p>
    <w:p w14:paraId="20F41655" w14:textId="77777777" w:rsidR="00722993" w:rsidRPr="00722993" w:rsidRDefault="00722993" w:rsidP="00722993">
      <w:pPr>
        <w:pStyle w:val="ListParagraph"/>
        <w:rPr>
          <w:rFonts w:ascii="Arial" w:hAnsi="Arial" w:cs="Arial"/>
          <w:lang w:val="en-US"/>
        </w:rPr>
      </w:pPr>
    </w:p>
    <w:p w14:paraId="3D88E63C" w14:textId="454B05E9" w:rsidR="00722993" w:rsidRDefault="00722993"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According to the pre-trial order, the issue of law to be resolved is whether the plaintiff is entitled to payment of </w:t>
      </w:r>
      <w:r>
        <w:rPr>
          <w:rFonts w:ascii="Arial" w:eastAsia="Calibri" w:hAnsi="Arial" w:cs="Arial"/>
          <w:bCs/>
        </w:rPr>
        <w:t>N$</w:t>
      </w:r>
      <w:r w:rsidRPr="000C2791">
        <w:rPr>
          <w:rFonts w:ascii="Arial" w:hAnsi="Arial" w:cs="Arial"/>
          <w:lang w:val="en-US"/>
        </w:rPr>
        <w:t>2</w:t>
      </w:r>
      <w:r>
        <w:rPr>
          <w:rFonts w:ascii="Arial" w:hAnsi="Arial" w:cs="Arial"/>
          <w:lang w:val="en-US"/>
        </w:rPr>
        <w:t xml:space="preserve"> 490 631 for costs incurred in securing the performance guarantee,</w:t>
      </w:r>
      <w:r w:rsidR="001F21D6">
        <w:rPr>
          <w:rFonts w:ascii="Arial" w:hAnsi="Arial" w:cs="Arial"/>
          <w:lang w:val="en-US"/>
        </w:rPr>
        <w:t xml:space="preserve"> and</w:t>
      </w:r>
      <w:r>
        <w:rPr>
          <w:rFonts w:ascii="Arial" w:hAnsi="Arial" w:cs="Arial"/>
          <w:lang w:val="en-US"/>
        </w:rPr>
        <w:t xml:space="preserve"> the issues of fa</w:t>
      </w:r>
      <w:r w:rsidR="00476D33">
        <w:rPr>
          <w:rFonts w:ascii="Arial" w:hAnsi="Arial" w:cs="Arial"/>
          <w:lang w:val="en-US"/>
        </w:rPr>
        <w:t>ct</w:t>
      </w:r>
      <w:r>
        <w:rPr>
          <w:rFonts w:ascii="Arial" w:hAnsi="Arial" w:cs="Arial"/>
          <w:lang w:val="en-US"/>
        </w:rPr>
        <w:t xml:space="preserve"> to be resolved are </w:t>
      </w:r>
      <w:r w:rsidR="000929AB">
        <w:rPr>
          <w:rFonts w:ascii="Arial" w:hAnsi="Arial" w:cs="Arial"/>
          <w:lang w:val="en-US"/>
        </w:rPr>
        <w:t>as follows</w:t>
      </w:r>
      <w:r>
        <w:rPr>
          <w:rFonts w:ascii="Arial" w:hAnsi="Arial" w:cs="Arial"/>
          <w:lang w:val="en-US"/>
        </w:rPr>
        <w:t>:</w:t>
      </w:r>
    </w:p>
    <w:p w14:paraId="47F56B9F" w14:textId="77777777" w:rsidR="00722993" w:rsidRPr="00722993" w:rsidRDefault="00722993" w:rsidP="00722993">
      <w:pPr>
        <w:pStyle w:val="ListParagraph"/>
        <w:rPr>
          <w:rFonts w:ascii="Arial" w:hAnsi="Arial" w:cs="Arial"/>
          <w:lang w:val="en-US"/>
        </w:rPr>
      </w:pPr>
    </w:p>
    <w:p w14:paraId="4A63335D" w14:textId="02879021" w:rsidR="00722993" w:rsidRDefault="000929AB" w:rsidP="00722993">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Whether </w:t>
      </w:r>
      <w:r w:rsidR="00476D33">
        <w:rPr>
          <w:rFonts w:ascii="Arial" w:hAnsi="Arial" w:cs="Arial"/>
          <w:lang w:val="en-US"/>
        </w:rPr>
        <w:t>consequent to the termination of the contract</w:t>
      </w:r>
      <w:r w:rsidR="006F6E1C">
        <w:rPr>
          <w:rFonts w:ascii="Arial" w:hAnsi="Arial" w:cs="Arial"/>
          <w:lang w:val="en-US"/>
        </w:rPr>
        <w:t xml:space="preserve">, any further payments that would be due, </w:t>
      </w:r>
      <w:proofErr w:type="gramStart"/>
      <w:r w:rsidR="006F6E1C">
        <w:rPr>
          <w:rFonts w:ascii="Arial" w:hAnsi="Arial" w:cs="Arial"/>
          <w:lang w:val="en-US"/>
        </w:rPr>
        <w:t>owing</w:t>
      </w:r>
      <w:proofErr w:type="gramEnd"/>
      <w:r w:rsidR="006F6E1C">
        <w:rPr>
          <w:rFonts w:ascii="Arial" w:hAnsi="Arial" w:cs="Arial"/>
          <w:lang w:val="en-US"/>
        </w:rPr>
        <w:t xml:space="preserve"> and payable to the plaintiff were to be determined consequent to a joint quantification (final account), alternatively, under the contract.</w:t>
      </w:r>
      <w:r w:rsidR="00495221">
        <w:rPr>
          <w:rFonts w:ascii="Arial" w:hAnsi="Arial" w:cs="Arial"/>
          <w:lang w:val="en-US"/>
        </w:rPr>
        <w:t xml:space="preserve"> In the particulars of claim, the plaintiff relies on letters dated 7 October 2019 and 27 August 2020, and it alleges the alternative </w:t>
      </w:r>
      <w:r w:rsidR="00D738CC">
        <w:rPr>
          <w:rFonts w:ascii="Arial" w:hAnsi="Arial" w:cs="Arial"/>
          <w:lang w:val="en-US"/>
        </w:rPr>
        <w:t xml:space="preserve">determination would be </w:t>
      </w:r>
      <w:r w:rsidR="0067518B">
        <w:rPr>
          <w:rFonts w:ascii="Arial" w:hAnsi="Arial" w:cs="Arial"/>
          <w:lang w:val="en-US"/>
        </w:rPr>
        <w:t xml:space="preserve">done </w:t>
      </w:r>
      <w:r w:rsidR="00D738CC">
        <w:rPr>
          <w:rFonts w:ascii="Arial" w:hAnsi="Arial" w:cs="Arial"/>
          <w:lang w:val="en-US"/>
        </w:rPr>
        <w:t>by the second defendant. The first defendant plead</w:t>
      </w:r>
      <w:r w:rsidR="006D1F71">
        <w:rPr>
          <w:rFonts w:ascii="Arial" w:hAnsi="Arial" w:cs="Arial"/>
          <w:lang w:val="en-US"/>
        </w:rPr>
        <w:t>s</w:t>
      </w:r>
      <w:r w:rsidR="00D738CC">
        <w:rPr>
          <w:rFonts w:ascii="Arial" w:hAnsi="Arial" w:cs="Arial"/>
          <w:lang w:val="en-US"/>
        </w:rPr>
        <w:t xml:space="preserve"> as follows. The plaintiff was paid all money due to it</w:t>
      </w:r>
      <w:r w:rsidR="00166986">
        <w:rPr>
          <w:rFonts w:ascii="Arial" w:hAnsi="Arial" w:cs="Arial"/>
          <w:lang w:val="en-US"/>
        </w:rPr>
        <w:t>,</w:t>
      </w:r>
      <w:r w:rsidR="00D738CC">
        <w:rPr>
          <w:rFonts w:ascii="Arial" w:hAnsi="Arial" w:cs="Arial"/>
          <w:lang w:val="en-US"/>
        </w:rPr>
        <w:t xml:space="preserve"> and the first defendant is not indebted to it. A site meeting</w:t>
      </w:r>
      <w:r w:rsidR="00166986">
        <w:rPr>
          <w:rFonts w:ascii="Arial" w:hAnsi="Arial" w:cs="Arial"/>
          <w:lang w:val="en-US"/>
        </w:rPr>
        <w:t xml:space="preserve"> where the plaintiff and both defendants were represented</w:t>
      </w:r>
      <w:r w:rsidR="00D738CC">
        <w:rPr>
          <w:rFonts w:ascii="Arial" w:hAnsi="Arial" w:cs="Arial"/>
          <w:lang w:val="en-US"/>
        </w:rPr>
        <w:t xml:space="preserve"> took place on 26 November 2019 with the purpose of quantifying the work done for </w:t>
      </w:r>
      <w:r w:rsidR="00166986">
        <w:rPr>
          <w:rFonts w:ascii="Arial" w:hAnsi="Arial" w:cs="Arial"/>
          <w:lang w:val="en-US"/>
        </w:rPr>
        <w:t xml:space="preserve">the </w:t>
      </w:r>
      <w:r w:rsidR="00D738CC">
        <w:rPr>
          <w:rFonts w:ascii="Arial" w:hAnsi="Arial" w:cs="Arial"/>
          <w:lang w:val="en-US"/>
        </w:rPr>
        <w:t xml:space="preserve">compilation of the final account hence the reference in the </w:t>
      </w:r>
      <w:r w:rsidR="00166986">
        <w:rPr>
          <w:rFonts w:ascii="Arial" w:hAnsi="Arial" w:cs="Arial"/>
          <w:lang w:val="en-US"/>
        </w:rPr>
        <w:t xml:space="preserve">letter of </w:t>
      </w:r>
      <w:r w:rsidR="00D738CC">
        <w:rPr>
          <w:rFonts w:ascii="Arial" w:hAnsi="Arial" w:cs="Arial"/>
          <w:lang w:val="en-US"/>
        </w:rPr>
        <w:t>27 August 2020 to the final account</w:t>
      </w:r>
      <w:r w:rsidR="001F21D6">
        <w:rPr>
          <w:rFonts w:ascii="Arial" w:hAnsi="Arial" w:cs="Arial"/>
          <w:lang w:val="en-US"/>
        </w:rPr>
        <w:t>. By 27 August 2020 the final account</w:t>
      </w:r>
      <w:r w:rsidR="00D738CC">
        <w:rPr>
          <w:rFonts w:ascii="Arial" w:hAnsi="Arial" w:cs="Arial"/>
          <w:lang w:val="en-US"/>
        </w:rPr>
        <w:t xml:space="preserve"> </w:t>
      </w:r>
      <w:r w:rsidR="00166986">
        <w:rPr>
          <w:rFonts w:ascii="Arial" w:hAnsi="Arial" w:cs="Arial"/>
          <w:lang w:val="en-US"/>
        </w:rPr>
        <w:t>was compiled</w:t>
      </w:r>
      <w:r w:rsidR="00D738CC">
        <w:rPr>
          <w:rFonts w:ascii="Arial" w:hAnsi="Arial" w:cs="Arial"/>
          <w:lang w:val="en-US"/>
        </w:rPr>
        <w:t xml:space="preserve">, </w:t>
      </w:r>
      <w:proofErr w:type="spellStart"/>
      <w:proofErr w:type="gramStart"/>
      <w:r w:rsidR="00D738CC">
        <w:rPr>
          <w:rFonts w:ascii="Arial" w:hAnsi="Arial" w:cs="Arial"/>
          <w:lang w:val="en-US"/>
        </w:rPr>
        <w:t>finalised</w:t>
      </w:r>
      <w:proofErr w:type="spellEnd"/>
      <w:proofErr w:type="gramEnd"/>
      <w:r w:rsidR="00D738CC">
        <w:rPr>
          <w:rFonts w:ascii="Arial" w:hAnsi="Arial" w:cs="Arial"/>
          <w:lang w:val="en-US"/>
        </w:rPr>
        <w:t xml:space="preserve"> and forwarded to the plaintiff</w:t>
      </w:r>
      <w:r w:rsidR="00166986">
        <w:rPr>
          <w:rFonts w:ascii="Arial" w:hAnsi="Arial" w:cs="Arial"/>
          <w:lang w:val="en-US"/>
        </w:rPr>
        <w:t xml:space="preserve"> by email on 27 April 2020</w:t>
      </w:r>
      <w:r w:rsidR="00D738CC">
        <w:rPr>
          <w:rFonts w:ascii="Arial" w:hAnsi="Arial" w:cs="Arial"/>
          <w:lang w:val="en-US"/>
        </w:rPr>
        <w:t xml:space="preserve">, </w:t>
      </w:r>
      <w:r w:rsidR="00166986">
        <w:rPr>
          <w:rFonts w:ascii="Arial" w:hAnsi="Arial" w:cs="Arial"/>
          <w:lang w:val="en-US"/>
        </w:rPr>
        <w:t xml:space="preserve">and it was also forwarded to </w:t>
      </w:r>
      <w:r w:rsidR="00D738CC">
        <w:rPr>
          <w:rFonts w:ascii="Arial" w:hAnsi="Arial" w:cs="Arial"/>
          <w:lang w:val="en-US"/>
        </w:rPr>
        <w:t xml:space="preserve">the second defendant and the user </w:t>
      </w:r>
      <w:r w:rsidR="00166986">
        <w:rPr>
          <w:rFonts w:ascii="Arial" w:hAnsi="Arial" w:cs="Arial"/>
          <w:lang w:val="en-US"/>
        </w:rPr>
        <w:t>m</w:t>
      </w:r>
      <w:r w:rsidR="00D738CC">
        <w:rPr>
          <w:rFonts w:ascii="Arial" w:hAnsi="Arial" w:cs="Arial"/>
          <w:lang w:val="en-US"/>
        </w:rPr>
        <w:t>inistry. The final account, as compiled following th</w:t>
      </w:r>
      <w:r w:rsidR="001F21D6">
        <w:rPr>
          <w:rFonts w:ascii="Arial" w:hAnsi="Arial" w:cs="Arial"/>
          <w:lang w:val="en-US"/>
        </w:rPr>
        <w:t>at</w:t>
      </w:r>
      <w:r w:rsidR="00D738CC">
        <w:rPr>
          <w:rFonts w:ascii="Arial" w:hAnsi="Arial" w:cs="Arial"/>
          <w:lang w:val="en-US"/>
        </w:rPr>
        <w:t xml:space="preserve"> site meeting</w:t>
      </w:r>
      <w:r w:rsidR="00166986">
        <w:rPr>
          <w:rFonts w:ascii="Arial" w:hAnsi="Arial" w:cs="Arial"/>
          <w:lang w:val="en-US"/>
        </w:rPr>
        <w:t xml:space="preserve"> and the contract’s termination</w:t>
      </w:r>
      <w:r w:rsidR="00D738CC">
        <w:rPr>
          <w:rFonts w:ascii="Arial" w:hAnsi="Arial" w:cs="Arial"/>
          <w:lang w:val="en-US"/>
        </w:rPr>
        <w:t xml:space="preserve">, does not indicate any payments owed to the plaintiff. The </w:t>
      </w:r>
      <w:r w:rsidR="00166986">
        <w:rPr>
          <w:rFonts w:ascii="Arial" w:hAnsi="Arial" w:cs="Arial"/>
          <w:lang w:val="en-US"/>
        </w:rPr>
        <w:t xml:space="preserve">reconciliations by the </w:t>
      </w:r>
      <w:r w:rsidR="00D738CC">
        <w:rPr>
          <w:rFonts w:ascii="Arial" w:hAnsi="Arial" w:cs="Arial"/>
          <w:lang w:val="en-US"/>
        </w:rPr>
        <w:t>quantity surveyor</w:t>
      </w:r>
      <w:r w:rsidR="00166986">
        <w:rPr>
          <w:rFonts w:ascii="Arial" w:hAnsi="Arial" w:cs="Arial"/>
          <w:lang w:val="en-US"/>
        </w:rPr>
        <w:t xml:space="preserve"> and principal agent indicate </w:t>
      </w:r>
      <w:r w:rsidR="00D738CC">
        <w:rPr>
          <w:rFonts w:ascii="Arial" w:hAnsi="Arial" w:cs="Arial"/>
          <w:lang w:val="en-US"/>
        </w:rPr>
        <w:t>the plaintiff ow</w:t>
      </w:r>
      <w:r w:rsidR="005F3085">
        <w:rPr>
          <w:rFonts w:ascii="Arial" w:hAnsi="Arial" w:cs="Arial"/>
          <w:lang w:val="en-US"/>
        </w:rPr>
        <w:t>es</w:t>
      </w:r>
      <w:r w:rsidR="00D738CC">
        <w:rPr>
          <w:rFonts w:ascii="Arial" w:hAnsi="Arial" w:cs="Arial"/>
          <w:lang w:val="en-US"/>
        </w:rPr>
        <w:t xml:space="preserve"> the first defendant penalties and</w:t>
      </w:r>
      <w:r w:rsidR="005F3085">
        <w:rPr>
          <w:rFonts w:ascii="Arial" w:hAnsi="Arial" w:cs="Arial"/>
          <w:lang w:val="en-US"/>
        </w:rPr>
        <w:t xml:space="preserve"> </w:t>
      </w:r>
      <w:r w:rsidR="00D738CC">
        <w:rPr>
          <w:rFonts w:ascii="Arial" w:hAnsi="Arial" w:cs="Arial"/>
          <w:lang w:val="en-US"/>
        </w:rPr>
        <w:t>costs occasioned by delays in completing the work</w:t>
      </w:r>
      <w:r w:rsidR="005F3085">
        <w:rPr>
          <w:rFonts w:ascii="Arial" w:hAnsi="Arial" w:cs="Arial"/>
          <w:lang w:val="en-US"/>
        </w:rPr>
        <w:t>, the first defendant paid all payment certificates, and there are no outstanding amounts to which the plaintiff is entitled</w:t>
      </w:r>
      <w:r w:rsidR="00D738CC">
        <w:rPr>
          <w:rFonts w:ascii="Arial" w:hAnsi="Arial" w:cs="Arial"/>
          <w:lang w:val="en-US"/>
        </w:rPr>
        <w:t xml:space="preserve">.  </w:t>
      </w:r>
    </w:p>
    <w:p w14:paraId="5AB65F4F" w14:textId="77777777" w:rsidR="00722993" w:rsidRPr="00722993" w:rsidRDefault="00722993" w:rsidP="00722993">
      <w:pPr>
        <w:pStyle w:val="ListParagraph"/>
        <w:ind w:left="0"/>
        <w:rPr>
          <w:rFonts w:ascii="Arial" w:hAnsi="Arial" w:cs="Arial"/>
          <w:lang w:val="en-US"/>
        </w:rPr>
      </w:pPr>
    </w:p>
    <w:p w14:paraId="2CE5F743" w14:textId="0F55052E" w:rsidR="000929AB" w:rsidRPr="005F3085" w:rsidRDefault="000929AB" w:rsidP="000929AB">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Whether </w:t>
      </w:r>
      <w:r w:rsidR="006F6E1C">
        <w:rPr>
          <w:rFonts w:ascii="Arial" w:hAnsi="Arial" w:cs="Arial"/>
          <w:lang w:val="en-US"/>
        </w:rPr>
        <w:t>the plaintiff is entitled to any further payments</w:t>
      </w:r>
      <w:r w:rsidR="00166986">
        <w:rPr>
          <w:rFonts w:ascii="Arial" w:hAnsi="Arial" w:cs="Arial"/>
          <w:lang w:val="en-US"/>
        </w:rPr>
        <w:t xml:space="preserve"> or</w:t>
      </w:r>
      <w:r w:rsidR="00D738CC">
        <w:rPr>
          <w:rFonts w:ascii="Arial" w:hAnsi="Arial" w:cs="Arial"/>
          <w:lang w:val="en-US"/>
        </w:rPr>
        <w:t xml:space="preserve"> a joint quantification of a final account to determine any further payment</w:t>
      </w:r>
      <w:r w:rsidR="006F6E1C">
        <w:rPr>
          <w:rFonts w:ascii="Arial" w:hAnsi="Arial" w:cs="Arial"/>
          <w:lang w:val="en-US"/>
        </w:rPr>
        <w:t>.</w:t>
      </w:r>
      <w:r w:rsidR="00D738CC">
        <w:rPr>
          <w:rFonts w:ascii="Arial" w:hAnsi="Arial" w:cs="Arial"/>
          <w:lang w:val="en-US"/>
        </w:rPr>
        <w:t xml:space="preserve"> The plaintiff </w:t>
      </w:r>
      <w:r w:rsidR="00D738CC">
        <w:rPr>
          <w:rFonts w:ascii="Arial" w:hAnsi="Arial" w:cs="Arial"/>
          <w:lang w:val="en-US"/>
        </w:rPr>
        <w:lastRenderedPageBreak/>
        <w:t xml:space="preserve">alleges it is entitled to N$2 490 631 for costs incurred </w:t>
      </w:r>
      <w:r w:rsidR="00166986">
        <w:rPr>
          <w:rFonts w:ascii="Arial" w:hAnsi="Arial" w:cs="Arial"/>
          <w:lang w:val="en-US"/>
        </w:rPr>
        <w:t>in</w:t>
      </w:r>
      <w:r w:rsidR="00D738CC">
        <w:rPr>
          <w:rFonts w:ascii="Arial" w:hAnsi="Arial" w:cs="Arial"/>
          <w:lang w:val="en-US"/>
        </w:rPr>
        <w:t xml:space="preserve"> securing the performance guarantee. The first defendant </w:t>
      </w:r>
      <w:r w:rsidR="005F3085">
        <w:rPr>
          <w:rFonts w:ascii="Arial" w:hAnsi="Arial" w:cs="Arial"/>
          <w:lang w:val="en-US"/>
        </w:rPr>
        <w:t xml:space="preserve">denies liability for </w:t>
      </w:r>
      <w:r w:rsidR="006D1F71">
        <w:rPr>
          <w:rFonts w:ascii="Arial" w:hAnsi="Arial" w:cs="Arial"/>
          <w:lang w:val="en-US"/>
        </w:rPr>
        <w:t>that amount</w:t>
      </w:r>
      <w:r w:rsidR="005F3085">
        <w:rPr>
          <w:rFonts w:ascii="Arial" w:hAnsi="Arial" w:cs="Arial"/>
          <w:lang w:val="en-US"/>
        </w:rPr>
        <w:t xml:space="preserve"> and </w:t>
      </w:r>
      <w:r w:rsidR="00166986">
        <w:rPr>
          <w:rFonts w:ascii="Arial" w:hAnsi="Arial" w:cs="Arial"/>
          <w:lang w:val="en-US"/>
        </w:rPr>
        <w:t xml:space="preserve">further </w:t>
      </w:r>
      <w:r w:rsidR="00D738CC">
        <w:rPr>
          <w:rFonts w:ascii="Arial" w:hAnsi="Arial" w:cs="Arial"/>
          <w:lang w:val="en-US"/>
        </w:rPr>
        <w:t>pleads as follows.</w:t>
      </w:r>
    </w:p>
    <w:p w14:paraId="0D4B8914" w14:textId="77777777" w:rsidR="000929AB" w:rsidRPr="006F6E1C" w:rsidRDefault="000929AB" w:rsidP="000929AB">
      <w:pPr>
        <w:pStyle w:val="ListParagraph"/>
        <w:rPr>
          <w:rFonts w:ascii="Arial" w:hAnsi="Arial" w:cs="Arial"/>
          <w:lang w:val="en-US"/>
        </w:rPr>
      </w:pPr>
    </w:p>
    <w:p w14:paraId="6AC0FC3B" w14:textId="68130D7F" w:rsidR="000929AB" w:rsidRDefault="000929AB" w:rsidP="000929AB">
      <w:pPr>
        <w:pStyle w:val="ListParagraph"/>
        <w:spacing w:line="360" w:lineRule="auto"/>
        <w:ind w:left="0"/>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w:t>
      </w:r>
      <w:r>
        <w:rPr>
          <w:rFonts w:ascii="Arial" w:hAnsi="Arial" w:cs="Arial"/>
          <w:lang w:val="en-US"/>
        </w:rPr>
        <w:tab/>
      </w:r>
      <w:r w:rsidR="005F3085">
        <w:rPr>
          <w:rFonts w:ascii="Arial" w:hAnsi="Arial" w:cs="Arial"/>
          <w:lang w:val="en-US"/>
        </w:rPr>
        <w:t>Under</w:t>
      </w:r>
      <w:r w:rsidR="00F75162">
        <w:rPr>
          <w:rFonts w:ascii="Arial" w:hAnsi="Arial" w:cs="Arial"/>
          <w:lang w:val="en-US"/>
        </w:rPr>
        <w:t xml:space="preserve"> the bill</w:t>
      </w:r>
      <w:r w:rsidR="005F3085">
        <w:rPr>
          <w:rFonts w:ascii="Arial" w:hAnsi="Arial" w:cs="Arial"/>
          <w:lang w:val="en-US"/>
        </w:rPr>
        <w:t>s</w:t>
      </w:r>
      <w:r w:rsidR="00F75162">
        <w:rPr>
          <w:rFonts w:ascii="Arial" w:hAnsi="Arial" w:cs="Arial"/>
          <w:lang w:val="en-US"/>
        </w:rPr>
        <w:t xml:space="preserve"> of quantit</w:t>
      </w:r>
      <w:r w:rsidR="005166A8">
        <w:rPr>
          <w:rFonts w:ascii="Arial" w:hAnsi="Arial" w:cs="Arial"/>
          <w:lang w:val="en-US"/>
        </w:rPr>
        <w:t>ies</w:t>
      </w:r>
      <w:r w:rsidR="00F75162">
        <w:rPr>
          <w:rFonts w:ascii="Arial" w:hAnsi="Arial" w:cs="Arial"/>
          <w:lang w:val="en-US"/>
        </w:rPr>
        <w:t xml:space="preserve"> agreed by the plaintiff and the first defendant, the plaintiff priced the fee it would cost to obtain the performance guarantee at N$35</w:t>
      </w:r>
      <w:r w:rsidR="00C246C1">
        <w:rPr>
          <w:rFonts w:ascii="Arial" w:hAnsi="Arial" w:cs="Arial"/>
          <w:lang w:val="en-US"/>
        </w:rPr>
        <w:t xml:space="preserve"> </w:t>
      </w:r>
      <w:r w:rsidR="00F75162">
        <w:rPr>
          <w:rFonts w:ascii="Arial" w:hAnsi="Arial" w:cs="Arial"/>
          <w:lang w:val="en-US"/>
        </w:rPr>
        <w:t xml:space="preserve">000, </w:t>
      </w:r>
      <w:r w:rsidR="005F3085">
        <w:rPr>
          <w:rFonts w:ascii="Arial" w:hAnsi="Arial" w:cs="Arial"/>
          <w:lang w:val="en-US"/>
        </w:rPr>
        <w:t>which</w:t>
      </w:r>
      <w:r w:rsidR="00F75162">
        <w:rPr>
          <w:rFonts w:ascii="Arial" w:hAnsi="Arial" w:cs="Arial"/>
          <w:lang w:val="en-US"/>
        </w:rPr>
        <w:t xml:space="preserve"> was included in the total contract amount</w:t>
      </w:r>
      <w:r w:rsidR="005F3085">
        <w:rPr>
          <w:rFonts w:ascii="Arial" w:hAnsi="Arial" w:cs="Arial"/>
          <w:lang w:val="en-US"/>
        </w:rPr>
        <w:t xml:space="preserve"> </w:t>
      </w:r>
      <w:r w:rsidR="00F75162">
        <w:rPr>
          <w:rFonts w:ascii="Arial" w:hAnsi="Arial" w:cs="Arial"/>
          <w:lang w:val="en-US"/>
        </w:rPr>
        <w:t xml:space="preserve">awarded to the plaintiff. </w:t>
      </w:r>
    </w:p>
    <w:p w14:paraId="08995E3F" w14:textId="77777777" w:rsidR="000929AB" w:rsidRPr="006F6E1C" w:rsidRDefault="000929AB" w:rsidP="000929AB">
      <w:pPr>
        <w:pStyle w:val="ListParagraph"/>
        <w:rPr>
          <w:rFonts w:ascii="Arial" w:hAnsi="Arial" w:cs="Arial"/>
          <w:lang w:val="en-US"/>
        </w:rPr>
      </w:pPr>
    </w:p>
    <w:p w14:paraId="3AFCDBAF" w14:textId="3641E889" w:rsidR="000929AB" w:rsidRDefault="000929AB" w:rsidP="000929AB">
      <w:pPr>
        <w:pStyle w:val="ListParagraph"/>
        <w:spacing w:line="360" w:lineRule="auto"/>
        <w:ind w:left="0"/>
        <w:jc w:val="both"/>
        <w:rPr>
          <w:rFonts w:ascii="Arial" w:hAnsi="Arial" w:cs="Arial"/>
          <w:lang w:val="en-US"/>
        </w:rPr>
      </w:pPr>
      <w:r>
        <w:rPr>
          <w:rFonts w:ascii="Arial" w:hAnsi="Arial" w:cs="Arial"/>
          <w:lang w:val="en-US"/>
        </w:rPr>
        <w:t>(ii)</w:t>
      </w:r>
      <w:r>
        <w:rPr>
          <w:rFonts w:ascii="Arial" w:hAnsi="Arial" w:cs="Arial"/>
          <w:lang w:val="en-US"/>
        </w:rPr>
        <w:tab/>
      </w:r>
      <w:r w:rsidR="00F75162">
        <w:rPr>
          <w:rFonts w:ascii="Arial" w:hAnsi="Arial" w:cs="Arial"/>
          <w:lang w:val="en-US"/>
        </w:rPr>
        <w:t xml:space="preserve">The plaintiff fails to allege what </w:t>
      </w:r>
      <w:r w:rsidR="005F3085">
        <w:rPr>
          <w:rFonts w:ascii="Arial" w:hAnsi="Arial" w:cs="Arial"/>
          <w:lang w:val="en-US"/>
        </w:rPr>
        <w:t xml:space="preserve">the amount of </w:t>
      </w:r>
      <w:r w:rsidR="00F75162">
        <w:rPr>
          <w:rFonts w:ascii="Arial" w:hAnsi="Arial" w:cs="Arial"/>
          <w:lang w:val="en-US"/>
        </w:rPr>
        <w:t>N$2 490 631 is comprised of, how it is computed, and that it is claimable under the contract seeing it is not included in the bill</w:t>
      </w:r>
      <w:r w:rsidR="005F3085">
        <w:rPr>
          <w:rFonts w:ascii="Arial" w:hAnsi="Arial" w:cs="Arial"/>
          <w:lang w:val="en-US"/>
        </w:rPr>
        <w:t>s</w:t>
      </w:r>
      <w:r w:rsidR="00F75162">
        <w:rPr>
          <w:rFonts w:ascii="Arial" w:hAnsi="Arial" w:cs="Arial"/>
          <w:lang w:val="en-US"/>
        </w:rPr>
        <w:t xml:space="preserve"> of quantit</w:t>
      </w:r>
      <w:r w:rsidR="005166A8">
        <w:rPr>
          <w:rFonts w:ascii="Arial" w:hAnsi="Arial" w:cs="Arial"/>
          <w:lang w:val="en-US"/>
        </w:rPr>
        <w:t>ies</w:t>
      </w:r>
      <w:r w:rsidR="00F75162">
        <w:rPr>
          <w:rFonts w:ascii="Arial" w:hAnsi="Arial" w:cs="Arial"/>
          <w:lang w:val="en-US"/>
        </w:rPr>
        <w:t xml:space="preserve"> nor agreed to by the first defendant as part of the total contract amount. </w:t>
      </w:r>
    </w:p>
    <w:p w14:paraId="11849767" w14:textId="77777777" w:rsidR="000929AB" w:rsidRPr="006F6E1C" w:rsidRDefault="000929AB" w:rsidP="000929AB">
      <w:pPr>
        <w:pStyle w:val="ListParagraph"/>
        <w:rPr>
          <w:rFonts w:ascii="Arial" w:hAnsi="Arial" w:cs="Arial"/>
          <w:lang w:val="en-US"/>
        </w:rPr>
      </w:pPr>
    </w:p>
    <w:p w14:paraId="3D3329DD" w14:textId="47CB536D" w:rsidR="000929AB" w:rsidRDefault="000929AB" w:rsidP="000929AB">
      <w:pPr>
        <w:pStyle w:val="ListParagraph"/>
        <w:spacing w:line="360" w:lineRule="auto"/>
        <w:ind w:left="0"/>
        <w:jc w:val="both"/>
        <w:rPr>
          <w:rFonts w:ascii="Arial" w:hAnsi="Arial" w:cs="Arial"/>
          <w:lang w:val="en-US"/>
        </w:rPr>
      </w:pPr>
      <w:r>
        <w:rPr>
          <w:rFonts w:ascii="Arial" w:hAnsi="Arial" w:cs="Arial"/>
          <w:lang w:val="en-US"/>
        </w:rPr>
        <w:t>(i</w:t>
      </w:r>
      <w:r w:rsidR="005F3085">
        <w:rPr>
          <w:rFonts w:ascii="Arial" w:hAnsi="Arial" w:cs="Arial"/>
          <w:lang w:val="en-US"/>
        </w:rPr>
        <w:t>ii</w:t>
      </w:r>
      <w:r>
        <w:rPr>
          <w:rFonts w:ascii="Arial" w:hAnsi="Arial" w:cs="Arial"/>
          <w:lang w:val="en-US"/>
        </w:rPr>
        <w:t xml:space="preserve">) </w:t>
      </w:r>
      <w:r>
        <w:rPr>
          <w:rFonts w:ascii="Arial" w:hAnsi="Arial" w:cs="Arial"/>
          <w:lang w:val="en-US"/>
        </w:rPr>
        <w:tab/>
      </w:r>
      <w:r w:rsidR="005F3085">
        <w:rPr>
          <w:rFonts w:ascii="Arial" w:hAnsi="Arial" w:cs="Arial"/>
          <w:lang w:val="en-US"/>
        </w:rPr>
        <w:t>Under the contract, t</w:t>
      </w:r>
      <w:r w:rsidR="00F75162">
        <w:rPr>
          <w:rFonts w:ascii="Arial" w:hAnsi="Arial" w:cs="Arial"/>
          <w:lang w:val="en-US"/>
        </w:rPr>
        <w:t>he first defendant is not liab</w:t>
      </w:r>
      <w:r w:rsidR="005F3085">
        <w:rPr>
          <w:rFonts w:ascii="Arial" w:hAnsi="Arial" w:cs="Arial"/>
          <w:lang w:val="en-US"/>
        </w:rPr>
        <w:t>le</w:t>
      </w:r>
      <w:r w:rsidR="00F75162">
        <w:rPr>
          <w:rFonts w:ascii="Arial" w:hAnsi="Arial" w:cs="Arial"/>
          <w:lang w:val="en-US"/>
        </w:rPr>
        <w:t xml:space="preserve"> </w:t>
      </w:r>
      <w:r w:rsidR="005F3085">
        <w:rPr>
          <w:rFonts w:ascii="Arial" w:hAnsi="Arial" w:cs="Arial"/>
          <w:lang w:val="en-US"/>
        </w:rPr>
        <w:t xml:space="preserve">for </w:t>
      </w:r>
      <w:r w:rsidR="00F75162">
        <w:rPr>
          <w:rFonts w:ascii="Arial" w:hAnsi="Arial" w:cs="Arial"/>
          <w:lang w:val="en-US"/>
        </w:rPr>
        <w:t xml:space="preserve">the plaintiff’s obligations arising from separate arrangements or agreements with third parties who are not parties to the contract and which obligations the first defendant never had knowledge of nor gave </w:t>
      </w:r>
      <w:r w:rsidR="005F3085">
        <w:rPr>
          <w:rFonts w:ascii="Arial" w:hAnsi="Arial" w:cs="Arial"/>
          <w:lang w:val="en-US"/>
        </w:rPr>
        <w:t xml:space="preserve">its </w:t>
      </w:r>
      <w:r w:rsidR="00F75162">
        <w:rPr>
          <w:rFonts w:ascii="Arial" w:hAnsi="Arial" w:cs="Arial"/>
          <w:lang w:val="en-US"/>
        </w:rPr>
        <w:t xml:space="preserve">prior approval. </w:t>
      </w:r>
    </w:p>
    <w:p w14:paraId="6ED9E211" w14:textId="77777777" w:rsidR="000929AB" w:rsidRPr="006F6E1C" w:rsidRDefault="000929AB" w:rsidP="000929AB">
      <w:pPr>
        <w:pStyle w:val="ListParagraph"/>
        <w:rPr>
          <w:rFonts w:ascii="Arial" w:hAnsi="Arial" w:cs="Arial"/>
          <w:lang w:val="en-US"/>
        </w:rPr>
      </w:pPr>
    </w:p>
    <w:p w14:paraId="5A6D4F49" w14:textId="5E4C45E0" w:rsidR="006F6E1C" w:rsidRPr="00D738CC" w:rsidRDefault="000929AB" w:rsidP="000929AB">
      <w:pPr>
        <w:pStyle w:val="ListParagraph"/>
        <w:spacing w:line="360" w:lineRule="auto"/>
        <w:ind w:left="0"/>
        <w:jc w:val="both"/>
        <w:rPr>
          <w:rFonts w:ascii="Arial" w:hAnsi="Arial" w:cs="Arial"/>
          <w:lang w:val="en-US"/>
        </w:rPr>
      </w:pPr>
      <w:r>
        <w:rPr>
          <w:rFonts w:ascii="Arial" w:hAnsi="Arial" w:cs="Arial"/>
          <w:lang w:val="en-US"/>
        </w:rPr>
        <w:t>(</w:t>
      </w:r>
      <w:r w:rsidR="005F3085">
        <w:rPr>
          <w:rFonts w:ascii="Arial" w:hAnsi="Arial" w:cs="Arial"/>
          <w:lang w:val="en-US"/>
        </w:rPr>
        <w:t>i</w:t>
      </w:r>
      <w:r>
        <w:rPr>
          <w:rFonts w:ascii="Arial" w:hAnsi="Arial" w:cs="Arial"/>
          <w:lang w:val="en-US"/>
        </w:rPr>
        <w:t>v)</w:t>
      </w:r>
      <w:r>
        <w:rPr>
          <w:rFonts w:ascii="Arial" w:hAnsi="Arial" w:cs="Arial"/>
          <w:lang w:val="en-US"/>
        </w:rPr>
        <w:tab/>
      </w:r>
      <w:r w:rsidR="00F75162">
        <w:rPr>
          <w:rFonts w:ascii="Arial" w:hAnsi="Arial" w:cs="Arial"/>
          <w:lang w:val="en-US"/>
        </w:rPr>
        <w:t xml:space="preserve">The first defendant returned the performance guarantee to the plaintiff on 29 November 2019 despite the plaintiff not </w:t>
      </w:r>
      <w:r w:rsidR="008D51FB">
        <w:rPr>
          <w:rFonts w:ascii="Arial" w:hAnsi="Arial" w:cs="Arial"/>
          <w:lang w:val="en-US"/>
        </w:rPr>
        <w:t xml:space="preserve">having </w:t>
      </w:r>
      <w:r w:rsidR="00F75162">
        <w:rPr>
          <w:rFonts w:ascii="Arial" w:hAnsi="Arial" w:cs="Arial"/>
          <w:lang w:val="en-US"/>
        </w:rPr>
        <w:t>complet</w:t>
      </w:r>
      <w:r w:rsidR="008D51FB">
        <w:rPr>
          <w:rFonts w:ascii="Arial" w:hAnsi="Arial" w:cs="Arial"/>
          <w:lang w:val="en-US"/>
        </w:rPr>
        <w:t>ed</w:t>
      </w:r>
      <w:r w:rsidR="00F75162">
        <w:rPr>
          <w:rFonts w:ascii="Arial" w:hAnsi="Arial" w:cs="Arial"/>
          <w:lang w:val="en-US"/>
        </w:rPr>
        <w:t xml:space="preserve"> the works</w:t>
      </w:r>
      <w:r w:rsidR="008D51FB">
        <w:rPr>
          <w:rFonts w:ascii="Arial" w:hAnsi="Arial" w:cs="Arial"/>
          <w:lang w:val="en-US"/>
        </w:rPr>
        <w:t>,</w:t>
      </w:r>
      <w:r w:rsidR="00F75162">
        <w:rPr>
          <w:rFonts w:ascii="Arial" w:hAnsi="Arial" w:cs="Arial"/>
          <w:lang w:val="en-US"/>
        </w:rPr>
        <w:t xml:space="preserve"> a certificate of completion not </w:t>
      </w:r>
      <w:r w:rsidR="008D51FB">
        <w:rPr>
          <w:rFonts w:ascii="Arial" w:hAnsi="Arial" w:cs="Arial"/>
          <w:lang w:val="en-US"/>
        </w:rPr>
        <w:t xml:space="preserve">having </w:t>
      </w:r>
      <w:r w:rsidR="00F75162">
        <w:rPr>
          <w:rFonts w:ascii="Arial" w:hAnsi="Arial" w:cs="Arial"/>
          <w:lang w:val="en-US"/>
        </w:rPr>
        <w:t>be</w:t>
      </w:r>
      <w:r w:rsidR="008D51FB">
        <w:rPr>
          <w:rFonts w:ascii="Arial" w:hAnsi="Arial" w:cs="Arial"/>
          <w:lang w:val="en-US"/>
        </w:rPr>
        <w:t>en</w:t>
      </w:r>
      <w:r w:rsidR="00F75162">
        <w:rPr>
          <w:rFonts w:ascii="Arial" w:hAnsi="Arial" w:cs="Arial"/>
          <w:lang w:val="en-US"/>
        </w:rPr>
        <w:t xml:space="preserve"> issued</w:t>
      </w:r>
      <w:r w:rsidR="008D51FB">
        <w:rPr>
          <w:rFonts w:ascii="Arial" w:hAnsi="Arial" w:cs="Arial"/>
          <w:lang w:val="en-US"/>
        </w:rPr>
        <w:t>, and the plaintiff not having been entitled to the performance guarantee being returned to it. The first defendant alleges the returned performance guarantee sets off the plaintiff’s claim (if proved).</w:t>
      </w:r>
    </w:p>
    <w:p w14:paraId="4C47003D" w14:textId="77777777" w:rsidR="00722993" w:rsidRPr="00722993" w:rsidRDefault="00722993" w:rsidP="00722993">
      <w:pPr>
        <w:pStyle w:val="ListParagraph"/>
        <w:ind w:left="0"/>
        <w:rPr>
          <w:rFonts w:ascii="Arial" w:hAnsi="Arial" w:cs="Arial"/>
          <w:lang w:val="en-US"/>
        </w:rPr>
      </w:pPr>
    </w:p>
    <w:p w14:paraId="6ED3BEAE" w14:textId="5D4B6504" w:rsidR="00722993" w:rsidRDefault="000929AB" w:rsidP="00722993">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Whether </w:t>
      </w:r>
      <w:r w:rsidR="006F6E1C">
        <w:rPr>
          <w:rFonts w:ascii="Arial" w:hAnsi="Arial" w:cs="Arial"/>
          <w:lang w:val="en-US"/>
        </w:rPr>
        <w:t>there is any amount due and payable to the plaintiff for work not quantified.</w:t>
      </w:r>
    </w:p>
    <w:p w14:paraId="684DE1ED" w14:textId="77777777" w:rsidR="006F6E1C" w:rsidRPr="006F6E1C" w:rsidRDefault="006F6E1C" w:rsidP="006F6E1C">
      <w:pPr>
        <w:pStyle w:val="ListParagraph"/>
        <w:rPr>
          <w:rFonts w:ascii="Arial" w:hAnsi="Arial" w:cs="Arial"/>
          <w:lang w:val="en-US"/>
        </w:rPr>
      </w:pPr>
    </w:p>
    <w:p w14:paraId="1511D610" w14:textId="37A3990D" w:rsidR="006F6E1C" w:rsidRDefault="000929AB" w:rsidP="00722993">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Whether </w:t>
      </w:r>
      <w:r w:rsidR="006F6E1C">
        <w:rPr>
          <w:rFonts w:ascii="Arial" w:hAnsi="Arial" w:cs="Arial"/>
          <w:lang w:val="en-US"/>
        </w:rPr>
        <w:t>the first defendant paid all mon</w:t>
      </w:r>
      <w:r w:rsidR="001F21D6">
        <w:rPr>
          <w:rFonts w:ascii="Arial" w:hAnsi="Arial" w:cs="Arial"/>
          <w:lang w:val="en-US"/>
        </w:rPr>
        <w:t>ey</w:t>
      </w:r>
      <w:r w:rsidR="006F6E1C">
        <w:rPr>
          <w:rFonts w:ascii="Arial" w:hAnsi="Arial" w:cs="Arial"/>
          <w:lang w:val="en-US"/>
        </w:rPr>
        <w:t xml:space="preserve"> due for work completed under the contract. </w:t>
      </w:r>
    </w:p>
    <w:p w14:paraId="3A0D7C60" w14:textId="77777777" w:rsidR="006F6E1C" w:rsidRPr="006F6E1C" w:rsidRDefault="006F6E1C" w:rsidP="006F6E1C">
      <w:pPr>
        <w:pStyle w:val="ListParagraph"/>
        <w:rPr>
          <w:rFonts w:ascii="Arial" w:hAnsi="Arial" w:cs="Arial"/>
          <w:lang w:val="en-US"/>
        </w:rPr>
      </w:pPr>
    </w:p>
    <w:p w14:paraId="26197796" w14:textId="7F537A7D" w:rsidR="006F6E1C" w:rsidRDefault="000929AB" w:rsidP="00722993">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Whether </w:t>
      </w:r>
      <w:r w:rsidR="005F3085">
        <w:rPr>
          <w:rFonts w:ascii="Arial" w:hAnsi="Arial" w:cs="Arial"/>
          <w:lang w:val="en-US"/>
        </w:rPr>
        <w:t xml:space="preserve">the first defendant </w:t>
      </w:r>
      <w:proofErr w:type="spellStart"/>
      <w:r w:rsidR="005F3085">
        <w:rPr>
          <w:rFonts w:ascii="Arial" w:hAnsi="Arial" w:cs="Arial"/>
          <w:lang w:val="en-US"/>
        </w:rPr>
        <w:t>honoured</w:t>
      </w:r>
      <w:proofErr w:type="spellEnd"/>
      <w:r w:rsidR="005F3085">
        <w:rPr>
          <w:rFonts w:ascii="Arial" w:hAnsi="Arial" w:cs="Arial"/>
          <w:lang w:val="en-US"/>
        </w:rPr>
        <w:t xml:space="preserve"> </w:t>
      </w:r>
      <w:r w:rsidR="006F6E1C">
        <w:rPr>
          <w:rFonts w:ascii="Arial" w:hAnsi="Arial" w:cs="Arial"/>
          <w:lang w:val="en-US"/>
        </w:rPr>
        <w:t>payment certificate 24.</w:t>
      </w:r>
    </w:p>
    <w:p w14:paraId="7BA34B94" w14:textId="77777777" w:rsidR="006F6E1C" w:rsidRPr="006F6E1C" w:rsidRDefault="006F6E1C" w:rsidP="006F6E1C">
      <w:pPr>
        <w:pStyle w:val="ListParagraph"/>
        <w:rPr>
          <w:rFonts w:ascii="Arial" w:hAnsi="Arial" w:cs="Arial"/>
          <w:lang w:val="en-US"/>
        </w:rPr>
      </w:pPr>
    </w:p>
    <w:p w14:paraId="37ACD294" w14:textId="4F93D849" w:rsidR="006F6E1C" w:rsidRDefault="000929AB" w:rsidP="006F6E1C">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Whether </w:t>
      </w:r>
      <w:r w:rsidR="006F6E1C">
        <w:rPr>
          <w:rFonts w:ascii="Arial" w:hAnsi="Arial" w:cs="Arial"/>
          <w:lang w:val="en-US"/>
        </w:rPr>
        <w:t>a site meeting took place on 26 November 2019, and whether the parties were represented at th</w:t>
      </w:r>
      <w:r w:rsidR="005F3085">
        <w:rPr>
          <w:rFonts w:ascii="Arial" w:hAnsi="Arial" w:cs="Arial"/>
          <w:lang w:val="en-US"/>
        </w:rPr>
        <w:t>at</w:t>
      </w:r>
      <w:r w:rsidR="006F6E1C">
        <w:rPr>
          <w:rFonts w:ascii="Arial" w:hAnsi="Arial" w:cs="Arial"/>
          <w:lang w:val="en-US"/>
        </w:rPr>
        <w:t xml:space="preserve"> meeting.</w:t>
      </w:r>
    </w:p>
    <w:p w14:paraId="4B58A1EC" w14:textId="77777777" w:rsidR="006F6E1C" w:rsidRPr="006F6E1C" w:rsidRDefault="006F6E1C" w:rsidP="006F6E1C">
      <w:pPr>
        <w:pStyle w:val="ListParagraph"/>
        <w:rPr>
          <w:rFonts w:ascii="Arial" w:hAnsi="Arial" w:cs="Arial"/>
          <w:lang w:val="en-US"/>
        </w:rPr>
      </w:pPr>
    </w:p>
    <w:p w14:paraId="4C2BE763" w14:textId="2182B262" w:rsidR="006F6E1C" w:rsidRPr="006F6E1C" w:rsidRDefault="000929AB" w:rsidP="006F6E1C">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Whether </w:t>
      </w:r>
      <w:r w:rsidR="006F6E1C">
        <w:rPr>
          <w:rFonts w:ascii="Arial" w:hAnsi="Arial" w:cs="Arial"/>
          <w:lang w:val="en-US"/>
        </w:rPr>
        <w:t xml:space="preserve">a final account was compiled and </w:t>
      </w:r>
      <w:proofErr w:type="spellStart"/>
      <w:r w:rsidR="006F6E1C">
        <w:rPr>
          <w:rFonts w:ascii="Arial" w:hAnsi="Arial" w:cs="Arial"/>
          <w:lang w:val="en-US"/>
        </w:rPr>
        <w:t>finalised</w:t>
      </w:r>
      <w:proofErr w:type="spellEnd"/>
      <w:r w:rsidR="006F6E1C">
        <w:rPr>
          <w:rFonts w:ascii="Arial" w:hAnsi="Arial" w:cs="Arial"/>
          <w:lang w:val="en-US"/>
        </w:rPr>
        <w:t xml:space="preserve"> </w:t>
      </w:r>
      <w:r w:rsidR="005F3085">
        <w:rPr>
          <w:rFonts w:ascii="Arial" w:hAnsi="Arial" w:cs="Arial"/>
          <w:lang w:val="en-US"/>
        </w:rPr>
        <w:t>from the site meeting of</w:t>
      </w:r>
      <w:r w:rsidR="006F6E1C">
        <w:rPr>
          <w:rFonts w:ascii="Arial" w:hAnsi="Arial" w:cs="Arial"/>
          <w:lang w:val="en-US"/>
        </w:rPr>
        <w:t xml:space="preserve"> 26 November 2019. </w:t>
      </w:r>
    </w:p>
    <w:p w14:paraId="2883F995" w14:textId="77777777" w:rsidR="00722993" w:rsidRPr="00722993" w:rsidRDefault="00722993" w:rsidP="00722993">
      <w:pPr>
        <w:pStyle w:val="ListParagraph"/>
        <w:rPr>
          <w:rFonts w:ascii="Arial" w:hAnsi="Arial" w:cs="Arial"/>
          <w:lang w:val="en-US"/>
        </w:rPr>
      </w:pPr>
    </w:p>
    <w:p w14:paraId="64F032FF" w14:textId="173556AD" w:rsidR="00722993" w:rsidRDefault="001B2FCD"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plaintiff alleges the contract was terminated because of the first defendant’s unlawful (and breach of its obligations under clauses 23 and 25 of the contract) failure to satisfy payment certificate 24. The first defendant denies the </w:t>
      </w:r>
      <w:r w:rsidR="006D1F71">
        <w:rPr>
          <w:rFonts w:ascii="Arial" w:hAnsi="Arial" w:cs="Arial"/>
          <w:lang w:val="en-US"/>
        </w:rPr>
        <w:t xml:space="preserve">contract’s </w:t>
      </w:r>
      <w:r>
        <w:rPr>
          <w:rFonts w:ascii="Arial" w:hAnsi="Arial" w:cs="Arial"/>
          <w:lang w:val="en-US"/>
        </w:rPr>
        <w:t>termination was due to unlawful conduct on its part</w:t>
      </w:r>
      <w:r w:rsidR="006D1F71">
        <w:rPr>
          <w:rFonts w:ascii="Arial" w:hAnsi="Arial" w:cs="Arial"/>
          <w:lang w:val="en-US"/>
        </w:rPr>
        <w:t>,</w:t>
      </w:r>
      <w:r>
        <w:rPr>
          <w:rFonts w:ascii="Arial" w:hAnsi="Arial" w:cs="Arial"/>
          <w:lang w:val="en-US"/>
        </w:rPr>
        <w:t xml:space="preserve"> as the plaintiff’s claims were often for work the first defendant found unsatisfactory. It further pleads as follows. Payment certificate 24 was </w:t>
      </w:r>
      <w:proofErr w:type="spellStart"/>
      <w:r>
        <w:rPr>
          <w:rFonts w:ascii="Arial" w:hAnsi="Arial" w:cs="Arial"/>
          <w:lang w:val="en-US"/>
        </w:rPr>
        <w:t>honoured</w:t>
      </w:r>
      <w:proofErr w:type="spellEnd"/>
      <w:r>
        <w:rPr>
          <w:rFonts w:ascii="Arial" w:hAnsi="Arial" w:cs="Arial"/>
          <w:lang w:val="en-US"/>
        </w:rPr>
        <w:t>. There was an error</w:t>
      </w:r>
      <w:r w:rsidR="006D1F71">
        <w:rPr>
          <w:rFonts w:ascii="Arial" w:hAnsi="Arial" w:cs="Arial"/>
          <w:lang w:val="en-US"/>
        </w:rPr>
        <w:t xml:space="preserve"> in that t</w:t>
      </w:r>
      <w:r w:rsidR="00495221">
        <w:rPr>
          <w:rFonts w:ascii="Arial" w:hAnsi="Arial" w:cs="Arial"/>
          <w:lang w:val="en-US"/>
        </w:rPr>
        <w:t xml:space="preserve">wo payment certificates </w:t>
      </w:r>
      <w:r w:rsidR="006D1F71">
        <w:rPr>
          <w:rFonts w:ascii="Arial" w:hAnsi="Arial" w:cs="Arial"/>
          <w:lang w:val="en-US"/>
        </w:rPr>
        <w:t xml:space="preserve">numbered </w:t>
      </w:r>
      <w:r w:rsidR="00495221">
        <w:rPr>
          <w:rFonts w:ascii="Arial" w:hAnsi="Arial" w:cs="Arial"/>
          <w:lang w:val="en-US"/>
        </w:rPr>
        <w:t>23 were issued. Payment certificate 23A was for N$504</w:t>
      </w:r>
      <w:r w:rsidR="000D761D">
        <w:rPr>
          <w:rFonts w:ascii="Arial" w:hAnsi="Arial" w:cs="Arial"/>
          <w:lang w:val="en-US"/>
        </w:rPr>
        <w:t xml:space="preserve"> </w:t>
      </w:r>
      <w:r w:rsidR="00495221">
        <w:rPr>
          <w:rFonts w:ascii="Arial" w:hAnsi="Arial" w:cs="Arial"/>
          <w:lang w:val="en-US"/>
        </w:rPr>
        <w:t xml:space="preserve">167,82, which erroneously overpaid the plaintiff because </w:t>
      </w:r>
      <w:r w:rsidR="006D1F71">
        <w:rPr>
          <w:rFonts w:ascii="Arial" w:hAnsi="Arial" w:cs="Arial"/>
          <w:lang w:val="en-US"/>
        </w:rPr>
        <w:t>it</w:t>
      </w:r>
      <w:r w:rsidR="00495221">
        <w:rPr>
          <w:rFonts w:ascii="Arial" w:hAnsi="Arial" w:cs="Arial"/>
          <w:lang w:val="en-US"/>
        </w:rPr>
        <w:t xml:space="preserve"> inclu</w:t>
      </w:r>
      <w:r w:rsidR="006D1F71">
        <w:rPr>
          <w:rFonts w:ascii="Arial" w:hAnsi="Arial" w:cs="Arial"/>
          <w:lang w:val="en-US"/>
        </w:rPr>
        <w:t>ded</w:t>
      </w:r>
      <w:r w:rsidR="00495221">
        <w:rPr>
          <w:rFonts w:ascii="Arial" w:hAnsi="Arial" w:cs="Arial"/>
          <w:lang w:val="en-US"/>
        </w:rPr>
        <w:t xml:space="preserve"> </w:t>
      </w:r>
      <w:r w:rsidR="006D1F71">
        <w:rPr>
          <w:rFonts w:ascii="Arial" w:hAnsi="Arial" w:cs="Arial"/>
          <w:lang w:val="en-US"/>
        </w:rPr>
        <w:t xml:space="preserve">N$399 517,82 as </w:t>
      </w:r>
      <w:r w:rsidR="00495221">
        <w:rPr>
          <w:rFonts w:ascii="Arial" w:hAnsi="Arial" w:cs="Arial"/>
          <w:lang w:val="en-US"/>
        </w:rPr>
        <w:t>part of the retention money</w:t>
      </w:r>
      <w:r w:rsidR="006D1F71">
        <w:rPr>
          <w:rFonts w:ascii="Arial" w:hAnsi="Arial" w:cs="Arial"/>
          <w:lang w:val="en-US"/>
        </w:rPr>
        <w:t xml:space="preserve"> </w:t>
      </w:r>
      <w:r w:rsidR="00495221">
        <w:rPr>
          <w:rFonts w:ascii="Arial" w:hAnsi="Arial" w:cs="Arial"/>
          <w:lang w:val="en-US"/>
        </w:rPr>
        <w:t>in addition to N$104 650 for work done. Payment certificate 23B was for N$104 650, which was also paid to the plaintiff. The plaintiff was overpaid by N$504 167,82</w:t>
      </w:r>
      <w:r w:rsidR="006D1F71">
        <w:rPr>
          <w:rFonts w:ascii="Arial" w:hAnsi="Arial" w:cs="Arial"/>
          <w:lang w:val="en-US"/>
        </w:rPr>
        <w:t xml:space="preserve"> and t</w:t>
      </w:r>
      <w:r w:rsidR="00495221">
        <w:rPr>
          <w:rFonts w:ascii="Arial" w:hAnsi="Arial" w:cs="Arial"/>
          <w:lang w:val="en-US"/>
        </w:rPr>
        <w:t xml:space="preserve">he error </w:t>
      </w:r>
      <w:proofErr w:type="gramStart"/>
      <w:r w:rsidR="00495221">
        <w:rPr>
          <w:rFonts w:ascii="Arial" w:hAnsi="Arial" w:cs="Arial"/>
          <w:lang w:val="en-US"/>
        </w:rPr>
        <w:t>was</w:t>
      </w:r>
      <w:proofErr w:type="gramEnd"/>
      <w:r w:rsidR="00495221">
        <w:rPr>
          <w:rFonts w:ascii="Arial" w:hAnsi="Arial" w:cs="Arial"/>
          <w:lang w:val="en-US"/>
        </w:rPr>
        <w:t xml:space="preserve"> corrected by withholding that N$504 167,82, which the plaintiff was not entitled to, from the total amount of N$732 716,3</w:t>
      </w:r>
      <w:r w:rsidR="000D761D">
        <w:rPr>
          <w:rFonts w:ascii="Arial" w:hAnsi="Arial" w:cs="Arial"/>
          <w:lang w:val="en-US"/>
        </w:rPr>
        <w:t>9</w:t>
      </w:r>
      <w:r w:rsidR="00495221">
        <w:rPr>
          <w:rFonts w:ascii="Arial" w:hAnsi="Arial" w:cs="Arial"/>
          <w:lang w:val="en-US"/>
        </w:rPr>
        <w:t xml:space="preserve"> of payment certificate 24.</w:t>
      </w:r>
    </w:p>
    <w:p w14:paraId="6DE146E9" w14:textId="77777777" w:rsidR="00722993" w:rsidRPr="00722993" w:rsidRDefault="00722993" w:rsidP="00722993">
      <w:pPr>
        <w:pStyle w:val="ListParagraph"/>
        <w:rPr>
          <w:rFonts w:ascii="Arial" w:hAnsi="Arial" w:cs="Arial"/>
          <w:lang w:val="en-US"/>
        </w:rPr>
      </w:pPr>
    </w:p>
    <w:p w14:paraId="616B580E" w14:textId="26B5D478" w:rsidR="00722993" w:rsidRDefault="000929AB"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plaintiff </w:t>
      </w:r>
      <w:r w:rsidR="004E6B25">
        <w:rPr>
          <w:rFonts w:ascii="Arial" w:hAnsi="Arial" w:cs="Arial"/>
          <w:lang w:val="en-US"/>
        </w:rPr>
        <w:t xml:space="preserve">seeks the following relief against the first defendant: </w:t>
      </w:r>
    </w:p>
    <w:p w14:paraId="6E1DFEA1" w14:textId="77777777" w:rsidR="00722993" w:rsidRPr="00722993" w:rsidRDefault="00722993" w:rsidP="00722993">
      <w:pPr>
        <w:pStyle w:val="ListParagraph"/>
        <w:rPr>
          <w:rFonts w:ascii="Arial" w:hAnsi="Arial" w:cs="Arial"/>
          <w:lang w:val="en-US"/>
        </w:rPr>
      </w:pPr>
    </w:p>
    <w:p w14:paraId="3031B382" w14:textId="72026BCB" w:rsidR="004E6B25" w:rsidRDefault="004E6B25" w:rsidP="004E6B25">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The first defendant is ordered, within 21 days of the order</w:t>
      </w:r>
      <w:r w:rsidR="002B53F1">
        <w:rPr>
          <w:rFonts w:ascii="Arial" w:hAnsi="Arial" w:cs="Arial"/>
          <w:lang w:val="en-US"/>
        </w:rPr>
        <w:t>, to</w:t>
      </w:r>
      <w:r>
        <w:rPr>
          <w:rFonts w:ascii="Arial" w:hAnsi="Arial" w:cs="Arial"/>
          <w:lang w:val="en-US"/>
        </w:rPr>
        <w:t>:</w:t>
      </w:r>
    </w:p>
    <w:p w14:paraId="7DC0619B" w14:textId="77777777" w:rsidR="004E6B25" w:rsidRPr="004E6B25" w:rsidRDefault="004E6B25" w:rsidP="004E6B25">
      <w:pPr>
        <w:pStyle w:val="ListParagraph"/>
        <w:ind w:left="0"/>
        <w:rPr>
          <w:rFonts w:ascii="Arial" w:hAnsi="Arial" w:cs="Arial"/>
          <w:lang w:val="en-US"/>
        </w:rPr>
      </w:pPr>
    </w:p>
    <w:p w14:paraId="09BAA99C" w14:textId="4DBE6BCD" w:rsidR="004E6B25" w:rsidRDefault="004E6B25" w:rsidP="004E6B25">
      <w:pPr>
        <w:pStyle w:val="ListParagraph"/>
        <w:spacing w:line="360" w:lineRule="auto"/>
        <w:ind w:left="0"/>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sidR="002B53F1">
        <w:rPr>
          <w:rFonts w:ascii="Arial" w:hAnsi="Arial" w:cs="Arial"/>
          <w:lang w:val="en-US"/>
        </w:rPr>
        <w:t xml:space="preserve"> </w:t>
      </w:r>
      <w:r w:rsidR="005D6F08">
        <w:rPr>
          <w:rFonts w:ascii="Arial" w:hAnsi="Arial" w:cs="Arial"/>
          <w:lang w:val="en-US"/>
        </w:rPr>
        <w:tab/>
      </w:r>
      <w:r>
        <w:rPr>
          <w:rFonts w:ascii="Arial" w:hAnsi="Arial" w:cs="Arial"/>
          <w:lang w:val="en-US"/>
        </w:rPr>
        <w:t>place</w:t>
      </w:r>
      <w:r w:rsidR="002B53F1">
        <w:rPr>
          <w:rFonts w:ascii="Arial" w:hAnsi="Arial" w:cs="Arial"/>
          <w:lang w:val="en-US"/>
        </w:rPr>
        <w:t xml:space="preserve"> before the second defendant, together with the plaintiff, </w:t>
      </w:r>
      <w:r w:rsidR="002113C5">
        <w:rPr>
          <w:rFonts w:ascii="Arial" w:hAnsi="Arial" w:cs="Arial"/>
          <w:lang w:val="en-US"/>
        </w:rPr>
        <w:t xml:space="preserve">for purposes of quantification, </w:t>
      </w:r>
      <w:r>
        <w:rPr>
          <w:rFonts w:ascii="Arial" w:hAnsi="Arial" w:cs="Arial"/>
          <w:lang w:val="en-US"/>
        </w:rPr>
        <w:t xml:space="preserve">all material </w:t>
      </w:r>
      <w:r w:rsidR="002B53F1">
        <w:rPr>
          <w:rFonts w:ascii="Arial" w:hAnsi="Arial" w:cs="Arial"/>
          <w:lang w:val="en-US"/>
        </w:rPr>
        <w:t xml:space="preserve">related to the work done by the plaintiff under the contract </w:t>
      </w:r>
      <w:r>
        <w:rPr>
          <w:rFonts w:ascii="Arial" w:hAnsi="Arial" w:cs="Arial"/>
          <w:lang w:val="en-US"/>
        </w:rPr>
        <w:t>in their possession</w:t>
      </w:r>
      <w:r w:rsidR="002B53F1">
        <w:rPr>
          <w:rFonts w:ascii="Arial" w:hAnsi="Arial" w:cs="Arial"/>
          <w:lang w:val="en-US"/>
        </w:rPr>
        <w:t xml:space="preserve"> (</w:t>
      </w:r>
      <w:r>
        <w:rPr>
          <w:rFonts w:ascii="Arial" w:hAnsi="Arial" w:cs="Arial"/>
          <w:lang w:val="en-US"/>
        </w:rPr>
        <w:t>if any</w:t>
      </w:r>
      <w:r w:rsidR="002B53F1">
        <w:rPr>
          <w:rFonts w:ascii="Arial" w:hAnsi="Arial" w:cs="Arial"/>
          <w:lang w:val="en-US"/>
        </w:rPr>
        <w:t>)</w:t>
      </w:r>
      <w:r>
        <w:rPr>
          <w:rFonts w:ascii="Arial" w:hAnsi="Arial" w:cs="Arial"/>
          <w:lang w:val="en-US"/>
        </w:rPr>
        <w:t>;</w:t>
      </w:r>
      <w:r w:rsidR="008C76AA">
        <w:rPr>
          <w:rFonts w:ascii="Arial" w:hAnsi="Arial" w:cs="Arial"/>
          <w:lang w:val="en-US"/>
        </w:rPr>
        <w:t xml:space="preserve"> and</w:t>
      </w:r>
    </w:p>
    <w:p w14:paraId="59096E22" w14:textId="77777777" w:rsidR="004E6B25" w:rsidRPr="004E6B25" w:rsidRDefault="004E6B25" w:rsidP="004E6B25">
      <w:pPr>
        <w:pStyle w:val="ListParagraph"/>
        <w:rPr>
          <w:rFonts w:ascii="Arial" w:hAnsi="Arial" w:cs="Arial"/>
          <w:lang w:val="en-US"/>
        </w:rPr>
      </w:pPr>
    </w:p>
    <w:p w14:paraId="75E725B9" w14:textId="3CFF1D3F" w:rsidR="004E6B25" w:rsidRDefault="004E6B25" w:rsidP="004E6B25">
      <w:pPr>
        <w:pStyle w:val="ListParagraph"/>
        <w:spacing w:line="360" w:lineRule="auto"/>
        <w:ind w:left="0"/>
        <w:jc w:val="both"/>
        <w:rPr>
          <w:rFonts w:ascii="Arial" w:hAnsi="Arial" w:cs="Arial"/>
          <w:lang w:val="en-US"/>
        </w:rPr>
      </w:pPr>
      <w:r>
        <w:rPr>
          <w:rFonts w:ascii="Arial" w:hAnsi="Arial" w:cs="Arial"/>
          <w:lang w:val="en-US"/>
        </w:rPr>
        <w:t>(ii)</w:t>
      </w:r>
      <w:r>
        <w:rPr>
          <w:rFonts w:ascii="Arial" w:hAnsi="Arial" w:cs="Arial"/>
          <w:lang w:val="en-US"/>
        </w:rPr>
        <w:tab/>
      </w:r>
      <w:r w:rsidR="002113C5">
        <w:rPr>
          <w:rFonts w:ascii="Arial" w:hAnsi="Arial" w:cs="Arial"/>
          <w:lang w:val="en-US"/>
        </w:rPr>
        <w:t>a</w:t>
      </w:r>
      <w:r>
        <w:rPr>
          <w:rFonts w:ascii="Arial" w:hAnsi="Arial" w:cs="Arial"/>
          <w:lang w:val="en-US"/>
        </w:rPr>
        <w:t xml:space="preserve">ttend to </w:t>
      </w:r>
      <w:proofErr w:type="spellStart"/>
      <w:r>
        <w:rPr>
          <w:rFonts w:ascii="Arial" w:hAnsi="Arial" w:cs="Arial"/>
          <w:lang w:val="en-US"/>
        </w:rPr>
        <w:t>Fonteintjie</w:t>
      </w:r>
      <w:proofErr w:type="spellEnd"/>
      <w:r>
        <w:rPr>
          <w:rFonts w:ascii="Arial" w:hAnsi="Arial" w:cs="Arial"/>
          <w:lang w:val="en-US"/>
        </w:rPr>
        <w:t xml:space="preserve"> Fish Farm in the presence of the parties and/or their representatives </w:t>
      </w:r>
      <w:r w:rsidR="002113C5">
        <w:rPr>
          <w:rFonts w:ascii="Arial" w:hAnsi="Arial" w:cs="Arial"/>
          <w:lang w:val="en-US"/>
        </w:rPr>
        <w:t>to</w:t>
      </w:r>
      <w:r>
        <w:rPr>
          <w:rFonts w:ascii="Arial" w:hAnsi="Arial" w:cs="Arial"/>
          <w:lang w:val="en-US"/>
        </w:rPr>
        <w:t xml:space="preserve"> quantif</w:t>
      </w:r>
      <w:r w:rsidR="002113C5">
        <w:rPr>
          <w:rFonts w:ascii="Arial" w:hAnsi="Arial" w:cs="Arial"/>
          <w:lang w:val="en-US"/>
        </w:rPr>
        <w:t>y</w:t>
      </w:r>
      <w:r>
        <w:rPr>
          <w:rFonts w:ascii="Arial" w:hAnsi="Arial" w:cs="Arial"/>
          <w:lang w:val="en-US"/>
        </w:rPr>
        <w:t xml:space="preserve"> the work done by the plaintiff</w:t>
      </w:r>
      <w:r w:rsidR="002113C5">
        <w:rPr>
          <w:rFonts w:ascii="Arial" w:hAnsi="Arial" w:cs="Arial"/>
          <w:lang w:val="en-US"/>
        </w:rPr>
        <w:t xml:space="preserve"> </w:t>
      </w:r>
      <w:r>
        <w:rPr>
          <w:rFonts w:ascii="Arial" w:hAnsi="Arial" w:cs="Arial"/>
          <w:lang w:val="en-US"/>
        </w:rPr>
        <w:t>until November 2019.</w:t>
      </w:r>
      <w:r>
        <w:rPr>
          <w:rStyle w:val="FootnoteReference"/>
          <w:rFonts w:ascii="Arial" w:hAnsi="Arial" w:cs="Arial"/>
          <w:lang w:val="en-US"/>
        </w:rPr>
        <w:footnoteReference w:id="1"/>
      </w:r>
    </w:p>
    <w:p w14:paraId="621428F8" w14:textId="77777777" w:rsidR="004E6B25" w:rsidRPr="004E6B25" w:rsidRDefault="004E6B25" w:rsidP="004E6B25">
      <w:pPr>
        <w:pStyle w:val="ListParagraph"/>
        <w:ind w:left="0"/>
        <w:rPr>
          <w:rFonts w:ascii="Arial" w:hAnsi="Arial" w:cs="Arial"/>
          <w:lang w:val="en-US"/>
        </w:rPr>
      </w:pPr>
    </w:p>
    <w:p w14:paraId="48AAF8B6" w14:textId="4C43FBC2" w:rsidR="004E6B25" w:rsidRDefault="004E6B25" w:rsidP="004E6B25">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The first defendant shall pay the plaintiff the</w:t>
      </w:r>
      <w:r w:rsidR="002113C5">
        <w:rPr>
          <w:rFonts w:ascii="Arial" w:hAnsi="Arial" w:cs="Arial"/>
          <w:lang w:val="en-US"/>
        </w:rPr>
        <w:t xml:space="preserve"> </w:t>
      </w:r>
      <w:r>
        <w:rPr>
          <w:rFonts w:ascii="Arial" w:hAnsi="Arial" w:cs="Arial"/>
          <w:lang w:val="en-US"/>
        </w:rPr>
        <w:t xml:space="preserve">determined (quantified) amount within 21 days of the quantification. </w:t>
      </w:r>
    </w:p>
    <w:p w14:paraId="32869EA3" w14:textId="77777777" w:rsidR="004E6B25" w:rsidRPr="004E6B25" w:rsidRDefault="004E6B25" w:rsidP="004E6B25">
      <w:pPr>
        <w:pStyle w:val="ListParagraph"/>
        <w:rPr>
          <w:rFonts w:ascii="Arial" w:hAnsi="Arial" w:cs="Arial"/>
          <w:lang w:val="en-US"/>
        </w:rPr>
      </w:pPr>
    </w:p>
    <w:p w14:paraId="118B92AD" w14:textId="1FD16070" w:rsidR="004E6B25" w:rsidRDefault="004E6B25" w:rsidP="004E6B25">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lastRenderedPageBreak/>
        <w:t>The first defendant shall pay</w:t>
      </w:r>
      <w:r w:rsidR="002113C5">
        <w:rPr>
          <w:rFonts w:ascii="Arial" w:hAnsi="Arial" w:cs="Arial"/>
          <w:lang w:val="en-US"/>
        </w:rPr>
        <w:t xml:space="preserve"> the plaintiff</w:t>
      </w:r>
      <w:r>
        <w:rPr>
          <w:rFonts w:ascii="Arial" w:hAnsi="Arial" w:cs="Arial"/>
          <w:lang w:val="en-US"/>
        </w:rPr>
        <w:t xml:space="preserve"> interest on the amount in the preceding paragraph at the rate of 20</w:t>
      </w:r>
      <w:r w:rsidR="000D761D">
        <w:rPr>
          <w:rFonts w:ascii="Arial" w:hAnsi="Arial" w:cs="Arial"/>
          <w:lang w:val="en-US"/>
        </w:rPr>
        <w:t xml:space="preserve"> per cent</w:t>
      </w:r>
      <w:r>
        <w:rPr>
          <w:rFonts w:ascii="Arial" w:hAnsi="Arial" w:cs="Arial"/>
          <w:lang w:val="en-US"/>
        </w:rPr>
        <w:t xml:space="preserve"> per annum from the date of determination until the date of final payment. </w:t>
      </w:r>
    </w:p>
    <w:p w14:paraId="42AE2000" w14:textId="77777777" w:rsidR="004E6B25" w:rsidRPr="004E6B25" w:rsidRDefault="004E6B25" w:rsidP="004E6B25">
      <w:pPr>
        <w:pStyle w:val="ListParagraph"/>
        <w:rPr>
          <w:rFonts w:ascii="Arial" w:hAnsi="Arial" w:cs="Arial"/>
          <w:lang w:val="en-US"/>
        </w:rPr>
      </w:pPr>
    </w:p>
    <w:p w14:paraId="40E4932C" w14:textId="55804317" w:rsidR="004E6B25" w:rsidRPr="004E6B25" w:rsidRDefault="004E6B25" w:rsidP="004E6B25">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 xml:space="preserve">The first defendant shall pay </w:t>
      </w:r>
      <w:r w:rsidR="002113C5">
        <w:rPr>
          <w:rFonts w:ascii="Arial" w:hAnsi="Arial" w:cs="Arial"/>
          <w:lang w:val="en-US"/>
        </w:rPr>
        <w:t xml:space="preserve">the plaintiff </w:t>
      </w:r>
      <w:r>
        <w:rPr>
          <w:rFonts w:ascii="Arial" w:hAnsi="Arial" w:cs="Arial"/>
          <w:lang w:val="en-US"/>
        </w:rPr>
        <w:t xml:space="preserve">N$2 490 631. </w:t>
      </w:r>
    </w:p>
    <w:p w14:paraId="0AB9B24F" w14:textId="77777777" w:rsidR="004E6B25" w:rsidRPr="004E6B25" w:rsidRDefault="004E6B25" w:rsidP="004E6B25">
      <w:pPr>
        <w:pStyle w:val="ListParagraph"/>
        <w:rPr>
          <w:rFonts w:ascii="Arial" w:hAnsi="Arial" w:cs="Arial"/>
          <w:lang w:val="en-US"/>
        </w:rPr>
      </w:pPr>
    </w:p>
    <w:p w14:paraId="63067B6B" w14:textId="07BE7E74" w:rsidR="004E6B25" w:rsidRDefault="004E6B25" w:rsidP="004E6B25">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 xml:space="preserve">The first defendant shall pay </w:t>
      </w:r>
      <w:r w:rsidR="002113C5">
        <w:rPr>
          <w:rFonts w:ascii="Arial" w:hAnsi="Arial" w:cs="Arial"/>
          <w:lang w:val="en-US"/>
        </w:rPr>
        <w:t xml:space="preserve">the plaintiff </w:t>
      </w:r>
      <w:r>
        <w:rPr>
          <w:rFonts w:ascii="Arial" w:hAnsi="Arial" w:cs="Arial"/>
          <w:lang w:val="en-US"/>
        </w:rPr>
        <w:t>interest o</w:t>
      </w:r>
      <w:r w:rsidR="007A3EE5">
        <w:rPr>
          <w:rFonts w:ascii="Arial" w:hAnsi="Arial" w:cs="Arial"/>
          <w:lang w:val="en-US"/>
        </w:rPr>
        <w:t>n</w:t>
      </w:r>
      <w:r>
        <w:rPr>
          <w:rFonts w:ascii="Arial" w:hAnsi="Arial" w:cs="Arial"/>
          <w:lang w:val="en-US"/>
        </w:rPr>
        <w:t xml:space="preserve"> the amount in the preceding paragraph </w:t>
      </w:r>
      <w:r w:rsidR="007A3EE5">
        <w:rPr>
          <w:rFonts w:ascii="Arial" w:hAnsi="Arial" w:cs="Arial"/>
          <w:lang w:val="en-US"/>
        </w:rPr>
        <w:t>at the rate of 20</w:t>
      </w:r>
      <w:r w:rsidR="000D761D">
        <w:rPr>
          <w:rFonts w:ascii="Arial" w:hAnsi="Arial" w:cs="Arial"/>
          <w:lang w:val="en-US"/>
        </w:rPr>
        <w:t xml:space="preserve"> per cent</w:t>
      </w:r>
      <w:r w:rsidR="007A3EE5">
        <w:rPr>
          <w:rFonts w:ascii="Arial" w:hAnsi="Arial" w:cs="Arial"/>
          <w:lang w:val="en-US"/>
        </w:rPr>
        <w:t xml:space="preserve"> per annum from 31 August 2019 until the date of final payment. </w:t>
      </w:r>
    </w:p>
    <w:p w14:paraId="07F2B7B3" w14:textId="77777777" w:rsidR="007A3EE5" w:rsidRPr="007A3EE5" w:rsidRDefault="007A3EE5" w:rsidP="007A3EE5">
      <w:pPr>
        <w:pStyle w:val="ListParagraph"/>
        <w:rPr>
          <w:rFonts w:ascii="Arial" w:hAnsi="Arial" w:cs="Arial"/>
          <w:lang w:val="en-US"/>
        </w:rPr>
      </w:pPr>
    </w:p>
    <w:p w14:paraId="0D977F13" w14:textId="2318EC03" w:rsidR="007A3EE5" w:rsidRDefault="007A3EE5" w:rsidP="004E6B25">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 xml:space="preserve">The first defendant shall pay the </w:t>
      </w:r>
      <w:r w:rsidR="002113C5">
        <w:rPr>
          <w:rFonts w:ascii="Arial" w:hAnsi="Arial" w:cs="Arial"/>
          <w:lang w:val="en-US"/>
        </w:rPr>
        <w:t xml:space="preserve">plaintiff’s </w:t>
      </w:r>
      <w:r>
        <w:rPr>
          <w:rFonts w:ascii="Arial" w:hAnsi="Arial" w:cs="Arial"/>
          <w:lang w:val="en-US"/>
        </w:rPr>
        <w:t xml:space="preserve">costs, including the costs of one instructing and one instructed legal practitioner. </w:t>
      </w:r>
    </w:p>
    <w:p w14:paraId="7B23365C" w14:textId="77777777" w:rsidR="00722993" w:rsidRPr="00722993" w:rsidRDefault="00722993" w:rsidP="00722993">
      <w:pPr>
        <w:pStyle w:val="ListParagraph"/>
        <w:rPr>
          <w:rFonts w:ascii="Arial" w:hAnsi="Arial" w:cs="Arial"/>
          <w:lang w:val="en-US"/>
        </w:rPr>
      </w:pPr>
    </w:p>
    <w:p w14:paraId="569B0FFB" w14:textId="388E9DCF" w:rsidR="004E6B25" w:rsidRPr="008B3273" w:rsidRDefault="008B3273" w:rsidP="008B3273">
      <w:pPr>
        <w:pStyle w:val="ListParagraph"/>
        <w:spacing w:line="360" w:lineRule="auto"/>
        <w:ind w:left="0"/>
        <w:jc w:val="both"/>
        <w:rPr>
          <w:rFonts w:ascii="Arial" w:hAnsi="Arial" w:cs="Arial"/>
          <w:u w:val="single"/>
          <w:lang w:val="en-US"/>
        </w:rPr>
      </w:pPr>
      <w:r w:rsidRPr="008B3273">
        <w:rPr>
          <w:rFonts w:ascii="Arial" w:hAnsi="Arial" w:cs="Arial"/>
          <w:u w:val="single"/>
          <w:lang w:val="en-US"/>
        </w:rPr>
        <w:t>The evidence</w:t>
      </w:r>
    </w:p>
    <w:p w14:paraId="7FC27BFA" w14:textId="77777777" w:rsidR="004E6B25" w:rsidRPr="004E6B25" w:rsidRDefault="004E6B25" w:rsidP="004E6B25">
      <w:pPr>
        <w:pStyle w:val="ListParagraph"/>
        <w:rPr>
          <w:rFonts w:ascii="Arial" w:hAnsi="Arial" w:cs="Arial"/>
          <w:lang w:val="en-US"/>
        </w:rPr>
      </w:pPr>
    </w:p>
    <w:p w14:paraId="76DF66B9" w14:textId="55959840" w:rsidR="00BA0E75" w:rsidRDefault="00BA0E75" w:rsidP="00BA0E75">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Under the contract, the first defendant </w:t>
      </w:r>
      <w:r w:rsidR="00226E60">
        <w:rPr>
          <w:rFonts w:ascii="Arial" w:hAnsi="Arial" w:cs="Arial"/>
          <w:lang w:val="en-US"/>
        </w:rPr>
        <w:t>wa</w:t>
      </w:r>
      <w:r>
        <w:rPr>
          <w:rFonts w:ascii="Arial" w:hAnsi="Arial" w:cs="Arial"/>
          <w:lang w:val="en-US"/>
        </w:rPr>
        <w:t xml:space="preserve">s the employer, the plaintiff </w:t>
      </w:r>
      <w:r w:rsidR="00226E60">
        <w:rPr>
          <w:rFonts w:ascii="Arial" w:hAnsi="Arial" w:cs="Arial"/>
          <w:lang w:val="en-US"/>
        </w:rPr>
        <w:t>wa</w:t>
      </w:r>
      <w:r>
        <w:rPr>
          <w:rFonts w:ascii="Arial" w:hAnsi="Arial" w:cs="Arial"/>
          <w:lang w:val="en-US"/>
        </w:rPr>
        <w:t xml:space="preserve">s the contractor, and the second defendant </w:t>
      </w:r>
      <w:r w:rsidR="00226E60">
        <w:rPr>
          <w:rFonts w:ascii="Arial" w:hAnsi="Arial" w:cs="Arial"/>
          <w:lang w:val="en-US"/>
        </w:rPr>
        <w:t>wa</w:t>
      </w:r>
      <w:r>
        <w:rPr>
          <w:rFonts w:ascii="Arial" w:hAnsi="Arial" w:cs="Arial"/>
          <w:lang w:val="en-US"/>
        </w:rPr>
        <w:t xml:space="preserve">s the principal agent. </w:t>
      </w:r>
    </w:p>
    <w:p w14:paraId="7374CE4D" w14:textId="77777777" w:rsidR="00BA0E75" w:rsidRPr="004E6B25" w:rsidRDefault="00BA0E75" w:rsidP="00BA0E75">
      <w:pPr>
        <w:pStyle w:val="ListParagraph"/>
        <w:rPr>
          <w:rFonts w:ascii="Arial" w:hAnsi="Arial" w:cs="Arial"/>
          <w:lang w:val="en-US"/>
        </w:rPr>
      </w:pPr>
    </w:p>
    <w:p w14:paraId="6BCF0367" w14:textId="03DB0B7C" w:rsidR="004E6B25" w:rsidRDefault="008B3273" w:rsidP="004E6B25">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Edison </w:t>
      </w:r>
      <w:proofErr w:type="spellStart"/>
      <w:r>
        <w:rPr>
          <w:rFonts w:ascii="Arial" w:hAnsi="Arial" w:cs="Arial"/>
          <w:lang w:val="en-US"/>
        </w:rPr>
        <w:t>Kapuuo</w:t>
      </w:r>
      <w:proofErr w:type="spellEnd"/>
      <w:r>
        <w:rPr>
          <w:rFonts w:ascii="Arial" w:hAnsi="Arial" w:cs="Arial"/>
          <w:lang w:val="en-US"/>
        </w:rPr>
        <w:t xml:space="preserve"> (</w:t>
      </w:r>
      <w:proofErr w:type="spellStart"/>
      <w:r w:rsidR="00D069A7">
        <w:rPr>
          <w:rFonts w:ascii="Arial" w:hAnsi="Arial" w:cs="Arial"/>
          <w:lang w:val="en-US"/>
        </w:rPr>
        <w:t>Kapuuo</w:t>
      </w:r>
      <w:proofErr w:type="spellEnd"/>
      <w:r>
        <w:rPr>
          <w:rFonts w:ascii="Arial" w:hAnsi="Arial" w:cs="Arial"/>
          <w:lang w:val="en-US"/>
        </w:rPr>
        <w:t xml:space="preserve">), the </w:t>
      </w:r>
      <w:r w:rsidR="00BA0E75">
        <w:rPr>
          <w:rFonts w:ascii="Arial" w:hAnsi="Arial" w:cs="Arial"/>
          <w:lang w:val="en-US"/>
        </w:rPr>
        <w:t>plaintiff</w:t>
      </w:r>
      <w:r>
        <w:rPr>
          <w:rFonts w:ascii="Arial" w:hAnsi="Arial" w:cs="Arial"/>
          <w:lang w:val="en-US"/>
        </w:rPr>
        <w:t>’s ‘sole owner’, was its only witness.</w:t>
      </w:r>
      <w:r w:rsidR="005E4E15">
        <w:rPr>
          <w:rFonts w:ascii="Arial" w:hAnsi="Arial" w:cs="Arial"/>
          <w:lang w:val="en-US"/>
        </w:rPr>
        <w:t xml:space="preserve"> The firs</w:t>
      </w:r>
      <w:r w:rsidR="00BA0E75">
        <w:rPr>
          <w:rFonts w:ascii="Arial" w:hAnsi="Arial" w:cs="Arial"/>
          <w:lang w:val="en-US"/>
        </w:rPr>
        <w:t>t</w:t>
      </w:r>
      <w:r w:rsidR="005E4E15">
        <w:rPr>
          <w:rFonts w:ascii="Arial" w:hAnsi="Arial" w:cs="Arial"/>
          <w:lang w:val="en-US"/>
        </w:rPr>
        <w:t xml:space="preserve"> defendant</w:t>
      </w:r>
      <w:r w:rsidR="002113C5">
        <w:rPr>
          <w:rFonts w:ascii="Arial" w:hAnsi="Arial" w:cs="Arial"/>
          <w:lang w:val="en-US"/>
        </w:rPr>
        <w:t>’s witnesses were</w:t>
      </w:r>
      <w:r w:rsidR="005E4E15">
        <w:rPr>
          <w:rFonts w:ascii="Arial" w:hAnsi="Arial" w:cs="Arial"/>
          <w:lang w:val="en-US"/>
        </w:rPr>
        <w:t xml:space="preserve"> </w:t>
      </w:r>
      <w:proofErr w:type="spellStart"/>
      <w:r w:rsidR="005E4E15">
        <w:rPr>
          <w:rFonts w:ascii="Arial" w:hAnsi="Arial" w:cs="Arial"/>
          <w:lang w:val="en-US"/>
        </w:rPr>
        <w:t>Mr</w:t>
      </w:r>
      <w:proofErr w:type="spellEnd"/>
      <w:r w:rsidR="005E4E15">
        <w:rPr>
          <w:rFonts w:ascii="Arial" w:hAnsi="Arial" w:cs="Arial"/>
          <w:lang w:val="en-US"/>
        </w:rPr>
        <w:t xml:space="preserve"> </w:t>
      </w:r>
      <w:proofErr w:type="spellStart"/>
      <w:r w:rsidR="005E4E15">
        <w:rPr>
          <w:rFonts w:ascii="Arial" w:hAnsi="Arial" w:cs="Arial"/>
          <w:lang w:val="en-US"/>
        </w:rPr>
        <w:t>Dawid</w:t>
      </w:r>
      <w:proofErr w:type="spellEnd"/>
      <w:r w:rsidR="005E4E15">
        <w:rPr>
          <w:rFonts w:ascii="Arial" w:hAnsi="Arial" w:cs="Arial"/>
          <w:lang w:val="en-US"/>
        </w:rPr>
        <w:t xml:space="preserve"> Nel (Nel), the quantity surveyor</w:t>
      </w:r>
      <w:r w:rsidR="00BA0E75">
        <w:rPr>
          <w:rFonts w:ascii="Arial" w:hAnsi="Arial" w:cs="Arial"/>
          <w:lang w:val="en-US"/>
        </w:rPr>
        <w:t xml:space="preserve"> of </w:t>
      </w:r>
      <w:proofErr w:type="spellStart"/>
      <w:r w:rsidR="00BA0E75">
        <w:rPr>
          <w:rFonts w:ascii="Arial" w:hAnsi="Arial" w:cs="Arial"/>
          <w:lang w:val="en-US"/>
        </w:rPr>
        <w:t>Dawid</w:t>
      </w:r>
      <w:proofErr w:type="spellEnd"/>
      <w:r w:rsidR="00BA0E75">
        <w:rPr>
          <w:rFonts w:ascii="Arial" w:hAnsi="Arial" w:cs="Arial"/>
          <w:lang w:val="en-US"/>
        </w:rPr>
        <w:t xml:space="preserve"> Nel Quantity Surveyors Incorporated (DNQS)</w:t>
      </w:r>
      <w:r w:rsidR="005E4E15">
        <w:rPr>
          <w:rFonts w:ascii="Arial" w:hAnsi="Arial" w:cs="Arial"/>
          <w:lang w:val="en-US"/>
        </w:rPr>
        <w:t xml:space="preserve">, and </w:t>
      </w:r>
      <w:proofErr w:type="spellStart"/>
      <w:r w:rsidR="005E4E15">
        <w:rPr>
          <w:rFonts w:ascii="Arial" w:hAnsi="Arial" w:cs="Arial"/>
          <w:lang w:val="en-US"/>
        </w:rPr>
        <w:t>Ms</w:t>
      </w:r>
      <w:proofErr w:type="spellEnd"/>
      <w:r w:rsidR="005E4E15">
        <w:rPr>
          <w:rFonts w:ascii="Arial" w:hAnsi="Arial" w:cs="Arial"/>
          <w:lang w:val="en-US"/>
        </w:rPr>
        <w:t xml:space="preserve"> </w:t>
      </w:r>
      <w:proofErr w:type="spellStart"/>
      <w:r w:rsidR="005E4E15">
        <w:rPr>
          <w:rFonts w:ascii="Arial" w:hAnsi="Arial" w:cs="Arial"/>
          <w:lang w:val="en-US"/>
        </w:rPr>
        <w:t>Begoña</w:t>
      </w:r>
      <w:proofErr w:type="spellEnd"/>
      <w:r w:rsidR="005E4E15">
        <w:rPr>
          <w:rFonts w:ascii="Arial" w:hAnsi="Arial" w:cs="Arial"/>
          <w:lang w:val="en-US"/>
        </w:rPr>
        <w:t xml:space="preserve"> Garcia (Garcia), a civil engineer employed by the principal agent</w:t>
      </w:r>
      <w:r w:rsidR="00BA0E75">
        <w:rPr>
          <w:rFonts w:ascii="Arial" w:hAnsi="Arial" w:cs="Arial"/>
          <w:lang w:val="en-US"/>
        </w:rPr>
        <w:t xml:space="preserve"> (</w:t>
      </w:r>
      <w:r w:rsidR="005E4E15">
        <w:rPr>
          <w:rFonts w:ascii="Arial" w:hAnsi="Arial" w:cs="Arial"/>
          <w:lang w:val="en-US"/>
        </w:rPr>
        <w:t>the second defendant</w:t>
      </w:r>
      <w:r w:rsidR="00D069A7">
        <w:rPr>
          <w:rFonts w:ascii="Arial" w:hAnsi="Arial" w:cs="Arial"/>
          <w:lang w:val="en-US"/>
        </w:rPr>
        <w:t>, a firm of consulting engineers and project managers</w:t>
      </w:r>
      <w:r w:rsidR="00BA0E75">
        <w:rPr>
          <w:rFonts w:ascii="Arial" w:hAnsi="Arial" w:cs="Arial"/>
          <w:lang w:val="en-US"/>
        </w:rPr>
        <w:t>)</w:t>
      </w:r>
      <w:r w:rsidR="00D069A7">
        <w:rPr>
          <w:rFonts w:ascii="Arial" w:hAnsi="Arial" w:cs="Arial"/>
          <w:lang w:val="en-US"/>
        </w:rPr>
        <w:t xml:space="preserve"> in the capacity of project manager and associate director</w:t>
      </w:r>
      <w:r w:rsidR="005E4E15">
        <w:rPr>
          <w:rFonts w:ascii="Arial" w:hAnsi="Arial" w:cs="Arial"/>
          <w:lang w:val="en-US"/>
        </w:rPr>
        <w:t>.</w:t>
      </w:r>
      <w:r w:rsidR="005A4CF5">
        <w:rPr>
          <w:rFonts w:ascii="Arial" w:hAnsi="Arial" w:cs="Arial"/>
          <w:lang w:val="en-US"/>
        </w:rPr>
        <w:t xml:space="preserve"> Garcia was called in her capacity as project manager, no</w:t>
      </w:r>
      <w:r w:rsidR="00AB08C1">
        <w:rPr>
          <w:rFonts w:ascii="Arial" w:hAnsi="Arial" w:cs="Arial"/>
          <w:lang w:val="en-US"/>
        </w:rPr>
        <w:t>t</w:t>
      </w:r>
      <w:r w:rsidR="005A4CF5">
        <w:rPr>
          <w:rFonts w:ascii="Arial" w:hAnsi="Arial" w:cs="Arial"/>
          <w:lang w:val="en-US"/>
        </w:rPr>
        <w:t xml:space="preserve"> as an expert witness</w:t>
      </w:r>
      <w:r w:rsidR="00AB08C1">
        <w:rPr>
          <w:rFonts w:ascii="Arial" w:hAnsi="Arial" w:cs="Arial"/>
          <w:lang w:val="en-US"/>
        </w:rPr>
        <w:t xml:space="preserve">. </w:t>
      </w:r>
      <w:r w:rsidR="005E4E15">
        <w:rPr>
          <w:rFonts w:ascii="Arial" w:hAnsi="Arial" w:cs="Arial"/>
          <w:lang w:val="en-US"/>
        </w:rPr>
        <w:t xml:space="preserve"> </w:t>
      </w:r>
    </w:p>
    <w:p w14:paraId="72DEF0B3" w14:textId="77777777" w:rsidR="004E6B25" w:rsidRPr="004E6B25" w:rsidRDefault="004E6B25" w:rsidP="004E6B25">
      <w:pPr>
        <w:pStyle w:val="ListParagraph"/>
        <w:rPr>
          <w:rFonts w:ascii="Arial" w:hAnsi="Arial" w:cs="Arial"/>
          <w:lang w:val="en-US"/>
        </w:rPr>
      </w:pPr>
    </w:p>
    <w:p w14:paraId="60599135" w14:textId="0019AC64" w:rsidR="005166A8" w:rsidRDefault="005166A8" w:rsidP="005166A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evidence presented included the following. </w:t>
      </w:r>
    </w:p>
    <w:p w14:paraId="6724777E" w14:textId="77777777" w:rsidR="005166A8" w:rsidRPr="005166A8" w:rsidRDefault="005166A8" w:rsidP="005166A8">
      <w:pPr>
        <w:pStyle w:val="ListParagraph"/>
        <w:rPr>
          <w:rFonts w:ascii="Arial" w:hAnsi="Arial" w:cs="Arial"/>
          <w:lang w:val="en-US"/>
        </w:rPr>
      </w:pPr>
    </w:p>
    <w:p w14:paraId="3199DDF0" w14:textId="67CC1786" w:rsidR="005166A8" w:rsidRDefault="005166A8" w:rsidP="005166A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According to Nel, DNQS was appointed for the full scope of quantity surveying services on the project, namely preparing cost estimates and tender documents (including bills of quantities), contract administration and preparing and agreeing on the final account.</w:t>
      </w:r>
    </w:p>
    <w:p w14:paraId="76E40FD5" w14:textId="77777777" w:rsidR="005166A8" w:rsidRPr="005166A8" w:rsidRDefault="005166A8" w:rsidP="005166A8">
      <w:pPr>
        <w:pStyle w:val="ListParagraph"/>
        <w:rPr>
          <w:rFonts w:ascii="Arial" w:hAnsi="Arial" w:cs="Arial"/>
          <w:lang w:val="en-US"/>
        </w:rPr>
      </w:pPr>
    </w:p>
    <w:p w14:paraId="180E1CE0" w14:textId="7772F0B9" w:rsidR="00BA0E75" w:rsidRPr="005166A8" w:rsidRDefault="00D069A7" w:rsidP="005166A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Garcia sa</w:t>
      </w:r>
      <w:r w:rsidR="00B82B68">
        <w:rPr>
          <w:rFonts w:ascii="Arial" w:hAnsi="Arial" w:cs="Arial"/>
          <w:lang w:val="en-US"/>
        </w:rPr>
        <w:t>id</w:t>
      </w:r>
      <w:r>
        <w:rPr>
          <w:rFonts w:ascii="Arial" w:hAnsi="Arial" w:cs="Arial"/>
          <w:lang w:val="en-US"/>
        </w:rPr>
        <w:t xml:space="preserve"> the second defendant’s scope of work was principal agent and civil and structural engineers from designs and tender documentation to work construction supervision and it was required to monitor all quality and progress of the work. She and </w:t>
      </w:r>
      <w:proofErr w:type="spellStart"/>
      <w:r>
        <w:rPr>
          <w:rFonts w:ascii="Arial" w:hAnsi="Arial" w:cs="Arial"/>
          <w:lang w:val="en-US"/>
        </w:rPr>
        <w:t>Mr</w:t>
      </w:r>
      <w:proofErr w:type="spellEnd"/>
      <w:r>
        <w:rPr>
          <w:rFonts w:ascii="Arial" w:hAnsi="Arial" w:cs="Arial"/>
          <w:lang w:val="en-US"/>
        </w:rPr>
        <w:t xml:space="preserve"> Cronje </w:t>
      </w:r>
      <w:proofErr w:type="spellStart"/>
      <w:r>
        <w:rPr>
          <w:rFonts w:ascii="Arial" w:hAnsi="Arial" w:cs="Arial"/>
          <w:lang w:val="en-US"/>
        </w:rPr>
        <w:t>Loftie</w:t>
      </w:r>
      <w:proofErr w:type="spellEnd"/>
      <w:r>
        <w:rPr>
          <w:rFonts w:ascii="Arial" w:hAnsi="Arial" w:cs="Arial"/>
          <w:lang w:val="en-US"/>
        </w:rPr>
        <w:t>-Eaton</w:t>
      </w:r>
      <w:r w:rsidR="001F634D">
        <w:rPr>
          <w:rFonts w:ascii="Arial" w:hAnsi="Arial" w:cs="Arial"/>
          <w:lang w:val="en-US"/>
        </w:rPr>
        <w:t xml:space="preserve"> (</w:t>
      </w:r>
      <w:proofErr w:type="spellStart"/>
      <w:r w:rsidR="001F634D">
        <w:rPr>
          <w:rFonts w:ascii="Arial" w:hAnsi="Arial" w:cs="Arial"/>
          <w:lang w:val="en-US"/>
        </w:rPr>
        <w:t>Loftie</w:t>
      </w:r>
      <w:proofErr w:type="spellEnd"/>
      <w:r w:rsidR="001F634D">
        <w:rPr>
          <w:rFonts w:ascii="Arial" w:hAnsi="Arial" w:cs="Arial"/>
          <w:lang w:val="en-US"/>
        </w:rPr>
        <w:t>-Eaton)</w:t>
      </w:r>
      <w:r>
        <w:rPr>
          <w:rFonts w:ascii="Arial" w:hAnsi="Arial" w:cs="Arial"/>
          <w:lang w:val="en-US"/>
        </w:rPr>
        <w:t xml:space="preserve"> were the </w:t>
      </w:r>
      <w:proofErr w:type="spellStart"/>
      <w:r>
        <w:rPr>
          <w:rFonts w:ascii="Arial" w:hAnsi="Arial" w:cs="Arial"/>
          <w:lang w:val="en-US"/>
        </w:rPr>
        <w:t>authorised</w:t>
      </w:r>
      <w:proofErr w:type="spellEnd"/>
      <w:r>
        <w:rPr>
          <w:rFonts w:ascii="Arial" w:hAnsi="Arial" w:cs="Arial"/>
          <w:lang w:val="en-US"/>
        </w:rPr>
        <w:t xml:space="preserve"> </w:t>
      </w:r>
      <w:r>
        <w:rPr>
          <w:rFonts w:ascii="Arial" w:hAnsi="Arial" w:cs="Arial"/>
          <w:lang w:val="en-US"/>
        </w:rPr>
        <w:lastRenderedPageBreak/>
        <w:t>engineers to supervise the plaintiff’s work.</w:t>
      </w:r>
      <w:r w:rsidR="00AB08C1">
        <w:rPr>
          <w:rFonts w:ascii="Arial" w:hAnsi="Arial" w:cs="Arial"/>
          <w:lang w:val="en-US"/>
        </w:rPr>
        <w:t xml:space="preserve"> She explain</w:t>
      </w:r>
      <w:r w:rsidR="00B82B68">
        <w:rPr>
          <w:rFonts w:ascii="Arial" w:hAnsi="Arial" w:cs="Arial"/>
          <w:lang w:val="en-US"/>
        </w:rPr>
        <w:t>ed</w:t>
      </w:r>
      <w:r w:rsidR="00AB08C1">
        <w:rPr>
          <w:rFonts w:ascii="Arial" w:hAnsi="Arial" w:cs="Arial"/>
          <w:lang w:val="en-US"/>
        </w:rPr>
        <w:t xml:space="preserve"> that </w:t>
      </w:r>
      <w:proofErr w:type="spellStart"/>
      <w:r w:rsidR="005166A8">
        <w:rPr>
          <w:rFonts w:ascii="Arial" w:hAnsi="Arial" w:cs="Arial"/>
          <w:lang w:val="en-US"/>
        </w:rPr>
        <w:t>Loftie</w:t>
      </w:r>
      <w:proofErr w:type="spellEnd"/>
      <w:r w:rsidR="005166A8">
        <w:rPr>
          <w:rFonts w:ascii="Arial" w:hAnsi="Arial" w:cs="Arial"/>
          <w:lang w:val="en-US"/>
        </w:rPr>
        <w:t>-Eaton signed some letters she testified about,</w:t>
      </w:r>
      <w:r w:rsidR="00AB08C1">
        <w:rPr>
          <w:rFonts w:ascii="Arial" w:hAnsi="Arial" w:cs="Arial"/>
          <w:lang w:val="en-US"/>
        </w:rPr>
        <w:t xml:space="preserve"> but they </w:t>
      </w:r>
      <w:r w:rsidR="00DD124B">
        <w:rPr>
          <w:rFonts w:ascii="Arial" w:hAnsi="Arial" w:cs="Arial"/>
          <w:lang w:val="en-US"/>
        </w:rPr>
        <w:t>were</w:t>
      </w:r>
      <w:r w:rsidR="00AB08C1">
        <w:rPr>
          <w:rFonts w:ascii="Arial" w:hAnsi="Arial" w:cs="Arial"/>
          <w:lang w:val="en-US"/>
        </w:rPr>
        <w:t xml:space="preserve"> a team</w:t>
      </w:r>
      <w:r w:rsidR="00B82B68">
        <w:rPr>
          <w:rFonts w:ascii="Arial" w:hAnsi="Arial" w:cs="Arial"/>
          <w:lang w:val="en-US"/>
        </w:rPr>
        <w:t xml:space="preserve"> and they worked together, and she was aware of the letters signed by him</w:t>
      </w:r>
      <w:r w:rsidR="00AB08C1">
        <w:rPr>
          <w:rFonts w:ascii="Arial" w:hAnsi="Arial" w:cs="Arial"/>
          <w:lang w:val="en-US"/>
        </w:rPr>
        <w:t xml:space="preserve"> </w:t>
      </w:r>
      <w:proofErr w:type="gramStart"/>
      <w:r w:rsidR="00B82B68">
        <w:rPr>
          <w:rFonts w:ascii="Arial" w:hAnsi="Arial" w:cs="Arial"/>
          <w:lang w:val="en-US"/>
        </w:rPr>
        <w:t>and</w:t>
      </w:r>
      <w:r w:rsidR="00AB08C1">
        <w:rPr>
          <w:rFonts w:ascii="Arial" w:hAnsi="Arial" w:cs="Arial"/>
          <w:lang w:val="en-US"/>
        </w:rPr>
        <w:t xml:space="preserve"> </w:t>
      </w:r>
      <w:r w:rsidR="00226E60">
        <w:rPr>
          <w:rFonts w:ascii="Arial" w:hAnsi="Arial" w:cs="Arial"/>
          <w:lang w:val="en-US"/>
        </w:rPr>
        <w:t>also</w:t>
      </w:r>
      <w:proofErr w:type="gramEnd"/>
      <w:r w:rsidR="00226E60">
        <w:rPr>
          <w:rFonts w:ascii="Arial" w:hAnsi="Arial" w:cs="Arial"/>
          <w:lang w:val="en-US"/>
        </w:rPr>
        <w:t xml:space="preserve"> </w:t>
      </w:r>
      <w:r w:rsidR="00AB08C1">
        <w:rPr>
          <w:rFonts w:ascii="Arial" w:hAnsi="Arial" w:cs="Arial"/>
          <w:lang w:val="en-US"/>
        </w:rPr>
        <w:t xml:space="preserve">correspondence by the structural engineer, </w:t>
      </w:r>
      <w:proofErr w:type="spellStart"/>
      <w:r w:rsidR="00AB08C1">
        <w:rPr>
          <w:rFonts w:ascii="Arial" w:hAnsi="Arial" w:cs="Arial"/>
          <w:lang w:val="en-US"/>
        </w:rPr>
        <w:t>A</w:t>
      </w:r>
      <w:r w:rsidR="00FF1981">
        <w:rPr>
          <w:rFonts w:ascii="Arial" w:hAnsi="Arial" w:cs="Arial"/>
          <w:lang w:val="en-US"/>
        </w:rPr>
        <w:t>brie</w:t>
      </w:r>
      <w:proofErr w:type="spellEnd"/>
      <w:r w:rsidR="00AB08C1">
        <w:rPr>
          <w:rFonts w:ascii="Arial" w:hAnsi="Arial" w:cs="Arial"/>
          <w:lang w:val="en-US"/>
        </w:rPr>
        <w:t xml:space="preserve"> Swanepoel.</w:t>
      </w:r>
      <w:r w:rsidR="0069556A">
        <w:rPr>
          <w:rFonts w:ascii="Arial" w:hAnsi="Arial" w:cs="Arial"/>
          <w:lang w:val="en-US"/>
        </w:rPr>
        <w:t xml:space="preserve"> The plaintiff submit</w:t>
      </w:r>
      <w:r w:rsidR="00B82B68">
        <w:rPr>
          <w:rFonts w:ascii="Arial" w:hAnsi="Arial" w:cs="Arial"/>
          <w:lang w:val="en-US"/>
        </w:rPr>
        <w:t>ted</w:t>
      </w:r>
      <w:r w:rsidR="0069556A">
        <w:rPr>
          <w:rFonts w:ascii="Arial" w:hAnsi="Arial" w:cs="Arial"/>
          <w:lang w:val="en-US"/>
        </w:rPr>
        <w:t xml:space="preserve"> the contents of the letter</w:t>
      </w:r>
      <w:r w:rsidR="00B82B68">
        <w:rPr>
          <w:rFonts w:ascii="Arial" w:hAnsi="Arial" w:cs="Arial"/>
          <w:lang w:val="en-US"/>
        </w:rPr>
        <w:t>s</w:t>
      </w:r>
      <w:r w:rsidR="0069556A">
        <w:rPr>
          <w:rFonts w:ascii="Arial" w:hAnsi="Arial" w:cs="Arial"/>
          <w:lang w:val="en-US"/>
        </w:rPr>
        <w:t xml:space="preserve"> not authored by Garcia are inadmissible hearsay evidence. The first defendant d</w:t>
      </w:r>
      <w:r w:rsidR="00B82B68">
        <w:rPr>
          <w:rFonts w:ascii="Arial" w:hAnsi="Arial" w:cs="Arial"/>
          <w:lang w:val="en-US"/>
        </w:rPr>
        <w:t>id</w:t>
      </w:r>
      <w:r w:rsidR="0069556A">
        <w:rPr>
          <w:rFonts w:ascii="Arial" w:hAnsi="Arial" w:cs="Arial"/>
          <w:lang w:val="en-US"/>
        </w:rPr>
        <w:t xml:space="preserve"> not agree</w:t>
      </w:r>
      <w:r w:rsidR="00B82B68">
        <w:rPr>
          <w:rFonts w:ascii="Arial" w:hAnsi="Arial" w:cs="Arial"/>
          <w:lang w:val="en-US"/>
        </w:rPr>
        <w:t xml:space="preserve"> with that submission</w:t>
      </w:r>
      <w:r w:rsidR="0069556A">
        <w:rPr>
          <w:rFonts w:ascii="Arial" w:hAnsi="Arial" w:cs="Arial"/>
          <w:lang w:val="en-US"/>
        </w:rPr>
        <w:t xml:space="preserve">. </w:t>
      </w:r>
    </w:p>
    <w:p w14:paraId="70767ABD" w14:textId="77777777" w:rsidR="00BA0E75" w:rsidRPr="00BA0E75" w:rsidRDefault="00BA0E75" w:rsidP="00BA0E75">
      <w:pPr>
        <w:pStyle w:val="ListParagraph"/>
        <w:rPr>
          <w:rFonts w:ascii="Arial" w:hAnsi="Arial" w:cs="Arial"/>
          <w:lang w:val="en-US"/>
        </w:rPr>
      </w:pPr>
    </w:p>
    <w:p w14:paraId="57987CD4" w14:textId="3AA5603B" w:rsidR="00A4504D" w:rsidRDefault="00D069A7" w:rsidP="00B70F4A">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sidR="00C36E6D">
        <w:rPr>
          <w:rFonts w:ascii="Arial" w:hAnsi="Arial" w:cs="Arial"/>
          <w:lang w:val="en-US"/>
        </w:rPr>
        <w:t xml:space="preserve">, </w:t>
      </w:r>
      <w:r w:rsidR="00A4504D">
        <w:rPr>
          <w:rFonts w:ascii="Arial" w:hAnsi="Arial" w:cs="Arial"/>
          <w:lang w:val="en-US"/>
        </w:rPr>
        <w:t xml:space="preserve">Nel </w:t>
      </w:r>
      <w:r w:rsidR="00C36E6D">
        <w:rPr>
          <w:rFonts w:ascii="Arial" w:hAnsi="Arial" w:cs="Arial"/>
          <w:lang w:val="en-US"/>
        </w:rPr>
        <w:t xml:space="preserve">and Garcia </w:t>
      </w:r>
      <w:r w:rsidR="007C71E8">
        <w:rPr>
          <w:rFonts w:ascii="Arial" w:hAnsi="Arial" w:cs="Arial"/>
          <w:lang w:val="en-US"/>
        </w:rPr>
        <w:t>sa</w:t>
      </w:r>
      <w:r w:rsidR="00B82B68">
        <w:rPr>
          <w:rFonts w:ascii="Arial" w:hAnsi="Arial" w:cs="Arial"/>
          <w:lang w:val="en-US"/>
        </w:rPr>
        <w:t>id</w:t>
      </w:r>
      <w:r w:rsidR="007C71E8">
        <w:rPr>
          <w:rFonts w:ascii="Arial" w:hAnsi="Arial" w:cs="Arial"/>
          <w:lang w:val="en-US"/>
        </w:rPr>
        <w:t xml:space="preserve"> t</w:t>
      </w:r>
      <w:r w:rsidR="00FA715E">
        <w:rPr>
          <w:rFonts w:ascii="Arial" w:hAnsi="Arial" w:cs="Arial"/>
          <w:lang w:val="en-US"/>
        </w:rPr>
        <w:t>he performance guarantee wa</w:t>
      </w:r>
      <w:r w:rsidR="007C71E8">
        <w:rPr>
          <w:rFonts w:ascii="Arial" w:hAnsi="Arial" w:cs="Arial"/>
          <w:lang w:val="en-US"/>
        </w:rPr>
        <w:t>s</w:t>
      </w:r>
      <w:r w:rsidR="00FA715E">
        <w:rPr>
          <w:rFonts w:ascii="Arial" w:hAnsi="Arial" w:cs="Arial"/>
          <w:lang w:val="en-US"/>
        </w:rPr>
        <w:t xml:space="preserve"> a prerequisite to signing the contract</w:t>
      </w:r>
      <w:r w:rsidR="00A4504D">
        <w:rPr>
          <w:rFonts w:ascii="Arial" w:hAnsi="Arial" w:cs="Arial"/>
          <w:lang w:val="en-US"/>
        </w:rPr>
        <w:t>. Nel further sa</w:t>
      </w:r>
      <w:r w:rsidR="00B82B68">
        <w:rPr>
          <w:rFonts w:ascii="Arial" w:hAnsi="Arial" w:cs="Arial"/>
          <w:lang w:val="en-US"/>
        </w:rPr>
        <w:t>id</w:t>
      </w:r>
      <w:r w:rsidR="00A4504D">
        <w:rPr>
          <w:rFonts w:ascii="Arial" w:hAnsi="Arial" w:cs="Arial"/>
          <w:lang w:val="en-US"/>
        </w:rPr>
        <w:t xml:space="preserve"> the plaintiff was to maintain </w:t>
      </w:r>
      <w:r w:rsidR="00B82B68">
        <w:rPr>
          <w:rFonts w:ascii="Arial" w:hAnsi="Arial" w:cs="Arial"/>
          <w:lang w:val="en-US"/>
        </w:rPr>
        <w:t>it</w:t>
      </w:r>
      <w:r w:rsidR="00A4504D">
        <w:rPr>
          <w:rFonts w:ascii="Arial" w:hAnsi="Arial" w:cs="Arial"/>
          <w:lang w:val="en-US"/>
        </w:rPr>
        <w:t xml:space="preserve"> for the duration of the contract until 60 days after practical completion, and if it lapsed during the contract period, the first defendant could cancel the contract.</w:t>
      </w:r>
      <w:r w:rsidR="00B82B68">
        <w:rPr>
          <w:rFonts w:ascii="Arial" w:hAnsi="Arial" w:cs="Arial"/>
          <w:lang w:val="en-US"/>
        </w:rPr>
        <w:t xml:space="preserve"> Garcia added</w:t>
      </w:r>
      <w:r w:rsidR="00B82B68" w:rsidRPr="00B82B68">
        <w:rPr>
          <w:rFonts w:ascii="Arial" w:hAnsi="Arial" w:cs="Arial"/>
          <w:lang w:val="en-US"/>
        </w:rPr>
        <w:t xml:space="preserve"> </w:t>
      </w:r>
      <w:r w:rsidR="00B82B68">
        <w:rPr>
          <w:rFonts w:ascii="Arial" w:hAnsi="Arial" w:cs="Arial"/>
          <w:lang w:val="en-US"/>
        </w:rPr>
        <w:t xml:space="preserve">it was to remain in force for that period unless the first defendant, within that period, </w:t>
      </w:r>
      <w:r w:rsidR="00226E60">
        <w:rPr>
          <w:rFonts w:ascii="Arial" w:hAnsi="Arial" w:cs="Arial"/>
          <w:lang w:val="en-US"/>
        </w:rPr>
        <w:t xml:space="preserve">would </w:t>
      </w:r>
      <w:r w:rsidR="00B82B68">
        <w:rPr>
          <w:rFonts w:ascii="Arial" w:hAnsi="Arial" w:cs="Arial"/>
          <w:lang w:val="en-US"/>
        </w:rPr>
        <w:t>inform the bank of its intention to institute claims.</w:t>
      </w:r>
    </w:p>
    <w:p w14:paraId="0FF9A670" w14:textId="77777777" w:rsidR="00A4504D" w:rsidRPr="00A4504D" w:rsidRDefault="00A4504D" w:rsidP="00A4504D">
      <w:pPr>
        <w:pStyle w:val="ListParagraph"/>
        <w:rPr>
          <w:rFonts w:ascii="Arial" w:hAnsi="Arial" w:cs="Arial"/>
          <w:lang w:val="en-US"/>
        </w:rPr>
      </w:pPr>
    </w:p>
    <w:p w14:paraId="57F05020" w14:textId="2F0F225A" w:rsidR="00B70F4A" w:rsidRPr="00B70F4A" w:rsidRDefault="00D069A7" w:rsidP="00B70F4A">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sidR="00B82B68">
        <w:rPr>
          <w:rFonts w:ascii="Arial" w:hAnsi="Arial" w:cs="Arial"/>
          <w:lang w:val="en-US"/>
        </w:rPr>
        <w:t xml:space="preserve"> </w:t>
      </w:r>
      <w:r w:rsidR="00FA715E" w:rsidRPr="00B70F4A">
        <w:rPr>
          <w:rFonts w:ascii="Arial" w:hAnsi="Arial" w:cs="Arial"/>
          <w:lang w:val="en-US"/>
        </w:rPr>
        <w:t xml:space="preserve">applied for </w:t>
      </w:r>
      <w:r w:rsidR="00B82B68">
        <w:rPr>
          <w:rFonts w:ascii="Arial" w:hAnsi="Arial" w:cs="Arial"/>
          <w:lang w:val="en-US"/>
        </w:rPr>
        <w:t>a</w:t>
      </w:r>
      <w:r w:rsidR="00FA715E" w:rsidRPr="00B70F4A">
        <w:rPr>
          <w:rFonts w:ascii="Arial" w:hAnsi="Arial" w:cs="Arial"/>
          <w:lang w:val="en-US"/>
        </w:rPr>
        <w:t xml:space="preserve"> bank guarantee from Bank Windhoek Ltd, which was approved in </w:t>
      </w:r>
      <w:proofErr w:type="spellStart"/>
      <w:r w:rsidR="00FA715E" w:rsidRPr="00B70F4A">
        <w:rPr>
          <w:rFonts w:ascii="Arial" w:hAnsi="Arial" w:cs="Arial"/>
          <w:lang w:val="en-US"/>
        </w:rPr>
        <w:t>favour</w:t>
      </w:r>
      <w:proofErr w:type="spellEnd"/>
      <w:r w:rsidR="00FA715E" w:rsidRPr="00B70F4A">
        <w:rPr>
          <w:rFonts w:ascii="Arial" w:hAnsi="Arial" w:cs="Arial"/>
          <w:lang w:val="en-US"/>
        </w:rPr>
        <w:t xml:space="preserve"> of the plaintiff on 23 September 2014.</w:t>
      </w:r>
      <w:r w:rsidR="00CC117A">
        <w:rPr>
          <w:rFonts w:ascii="Arial" w:hAnsi="Arial" w:cs="Arial"/>
          <w:lang w:val="en-US"/>
        </w:rPr>
        <w:t xml:space="preserve"> Garcia sa</w:t>
      </w:r>
      <w:r w:rsidR="00B82B68">
        <w:rPr>
          <w:rFonts w:ascii="Arial" w:hAnsi="Arial" w:cs="Arial"/>
          <w:lang w:val="en-US"/>
        </w:rPr>
        <w:t>id</w:t>
      </w:r>
      <w:r w:rsidR="00CC117A">
        <w:rPr>
          <w:rFonts w:ascii="Arial" w:hAnsi="Arial" w:cs="Arial"/>
          <w:lang w:val="en-US"/>
        </w:rPr>
        <w:t xml:space="preserve"> the guarantee was for N$2 049 270,46, 10</w:t>
      </w:r>
      <w:r w:rsidR="000D761D">
        <w:rPr>
          <w:rFonts w:ascii="Arial" w:hAnsi="Arial" w:cs="Arial"/>
          <w:lang w:val="en-US"/>
        </w:rPr>
        <w:t xml:space="preserve"> per cent</w:t>
      </w:r>
      <w:r w:rsidR="00CC117A">
        <w:rPr>
          <w:rFonts w:ascii="Arial" w:hAnsi="Arial" w:cs="Arial"/>
          <w:lang w:val="en-US"/>
        </w:rPr>
        <w:t xml:space="preserve"> of the contract amount of N$20 492 704,61. She </w:t>
      </w:r>
      <w:r w:rsidR="00B82B68">
        <w:rPr>
          <w:rFonts w:ascii="Arial" w:hAnsi="Arial" w:cs="Arial"/>
          <w:lang w:val="en-US"/>
        </w:rPr>
        <w:t xml:space="preserve">further </w:t>
      </w:r>
      <w:r w:rsidR="00CC117A">
        <w:rPr>
          <w:rFonts w:ascii="Arial" w:hAnsi="Arial" w:cs="Arial"/>
          <w:lang w:val="en-US"/>
        </w:rPr>
        <w:t>sa</w:t>
      </w:r>
      <w:r w:rsidR="00B82B68">
        <w:rPr>
          <w:rFonts w:ascii="Arial" w:hAnsi="Arial" w:cs="Arial"/>
          <w:lang w:val="en-US"/>
        </w:rPr>
        <w:t>id</w:t>
      </w:r>
      <w:r w:rsidR="00DD124B">
        <w:rPr>
          <w:rFonts w:ascii="Arial" w:hAnsi="Arial" w:cs="Arial"/>
          <w:lang w:val="en-US"/>
        </w:rPr>
        <w:t xml:space="preserve"> that under the guarantee, the plaintiff was the applicant and, as such, liable for</w:t>
      </w:r>
      <w:r w:rsidR="00CC117A">
        <w:rPr>
          <w:rFonts w:ascii="Arial" w:hAnsi="Arial" w:cs="Arial"/>
          <w:lang w:val="en-US"/>
        </w:rPr>
        <w:t xml:space="preserve"> the payment of any charges thereto</w:t>
      </w:r>
      <w:r w:rsidR="00B82B68">
        <w:rPr>
          <w:rFonts w:ascii="Arial" w:hAnsi="Arial" w:cs="Arial"/>
          <w:lang w:val="en-US"/>
        </w:rPr>
        <w:t>.</w:t>
      </w:r>
    </w:p>
    <w:p w14:paraId="4E4C366E" w14:textId="77777777" w:rsidR="002267ED" w:rsidRPr="00C94025" w:rsidRDefault="002267ED" w:rsidP="00C94025">
      <w:pPr>
        <w:rPr>
          <w:rFonts w:ascii="Arial" w:hAnsi="Arial" w:cs="Arial"/>
          <w:lang w:val="en-US"/>
        </w:rPr>
      </w:pPr>
    </w:p>
    <w:p w14:paraId="13F14767" w14:textId="37FE0979" w:rsidR="00B82B68" w:rsidRDefault="00DD124B" w:rsidP="00B82B68">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sidR="00CC117A">
        <w:rPr>
          <w:rFonts w:ascii="Arial" w:hAnsi="Arial" w:cs="Arial"/>
          <w:lang w:val="en-US"/>
        </w:rPr>
        <w:t xml:space="preserve"> </w:t>
      </w:r>
      <w:r w:rsidR="00226E60">
        <w:rPr>
          <w:rFonts w:ascii="Arial" w:hAnsi="Arial" w:cs="Arial"/>
          <w:lang w:val="en-US"/>
        </w:rPr>
        <w:t>testified</w:t>
      </w:r>
      <w:r w:rsidR="00CC117A">
        <w:rPr>
          <w:rFonts w:ascii="Arial" w:hAnsi="Arial" w:cs="Arial"/>
          <w:lang w:val="en-US"/>
        </w:rPr>
        <w:t xml:space="preserve"> t</w:t>
      </w:r>
      <w:r w:rsidR="00FA715E">
        <w:rPr>
          <w:rFonts w:ascii="Arial" w:hAnsi="Arial" w:cs="Arial"/>
          <w:lang w:val="en-US"/>
        </w:rPr>
        <w:t>he construction site was handed over to the plaintiff after he fulfilled ‘the prerequisite’ and signed the contract.</w:t>
      </w:r>
      <w:r w:rsidR="00CC117A">
        <w:rPr>
          <w:rFonts w:ascii="Arial" w:hAnsi="Arial" w:cs="Arial"/>
          <w:lang w:val="en-US"/>
        </w:rPr>
        <w:t xml:space="preserve"> Garcia testifie</w:t>
      </w:r>
      <w:r w:rsidR="00B82B68">
        <w:rPr>
          <w:rFonts w:ascii="Arial" w:hAnsi="Arial" w:cs="Arial"/>
          <w:lang w:val="en-US"/>
        </w:rPr>
        <w:t>d</w:t>
      </w:r>
      <w:r w:rsidR="00CC117A">
        <w:rPr>
          <w:rFonts w:ascii="Arial" w:hAnsi="Arial" w:cs="Arial"/>
          <w:lang w:val="en-US"/>
        </w:rPr>
        <w:t xml:space="preserve"> the site was handed over on 21 October 2014, and the contractual completion date was 15 February 2016</w:t>
      </w:r>
      <w:r w:rsidR="00467D45">
        <w:rPr>
          <w:rFonts w:ascii="Arial" w:hAnsi="Arial" w:cs="Arial"/>
          <w:lang w:val="en-US"/>
        </w:rPr>
        <w:t>.</w:t>
      </w:r>
    </w:p>
    <w:p w14:paraId="2A4CFB28" w14:textId="77777777" w:rsidR="00B82B68" w:rsidRPr="00B82B68" w:rsidRDefault="00B82B68" w:rsidP="00B82B68">
      <w:pPr>
        <w:pStyle w:val="ListParagraph"/>
        <w:rPr>
          <w:rFonts w:ascii="Arial" w:hAnsi="Arial" w:cs="Arial"/>
          <w:lang w:val="en-US"/>
        </w:rPr>
      </w:pPr>
    </w:p>
    <w:p w14:paraId="71E5C1F9" w14:textId="4D23F4BD" w:rsidR="00FA715E" w:rsidRDefault="00C82399"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According to </w:t>
      </w:r>
      <w:proofErr w:type="spellStart"/>
      <w:r>
        <w:rPr>
          <w:rFonts w:ascii="Arial" w:hAnsi="Arial" w:cs="Arial"/>
          <w:lang w:val="en-US"/>
        </w:rPr>
        <w:t>Kapuuo</w:t>
      </w:r>
      <w:proofErr w:type="spellEnd"/>
      <w:r>
        <w:rPr>
          <w:rFonts w:ascii="Arial" w:hAnsi="Arial" w:cs="Arial"/>
          <w:lang w:val="en-US"/>
        </w:rPr>
        <w:t>, p</w:t>
      </w:r>
      <w:r w:rsidR="00FA715E">
        <w:rPr>
          <w:rFonts w:ascii="Arial" w:hAnsi="Arial" w:cs="Arial"/>
          <w:lang w:val="en-US"/>
        </w:rPr>
        <w:t>rogress payments were made to the plaintiff as follows</w:t>
      </w:r>
      <w:r>
        <w:rPr>
          <w:rFonts w:ascii="Arial" w:hAnsi="Arial" w:cs="Arial"/>
          <w:lang w:val="en-US"/>
        </w:rPr>
        <w:t>, and all transactions followed that process until the issuance of payment certificate 24 in October 2017</w:t>
      </w:r>
      <w:r w:rsidR="00FA715E">
        <w:rPr>
          <w:rFonts w:ascii="Arial" w:hAnsi="Arial" w:cs="Arial"/>
          <w:lang w:val="en-US"/>
        </w:rPr>
        <w:t>:</w:t>
      </w:r>
    </w:p>
    <w:p w14:paraId="24156940" w14:textId="77777777" w:rsidR="00FA715E" w:rsidRPr="00FA715E" w:rsidRDefault="00FA715E" w:rsidP="00FA715E">
      <w:pPr>
        <w:pStyle w:val="ListParagraph"/>
        <w:rPr>
          <w:rFonts w:ascii="Arial" w:hAnsi="Arial" w:cs="Arial"/>
          <w:lang w:val="en-US"/>
        </w:rPr>
      </w:pPr>
    </w:p>
    <w:p w14:paraId="133F49CE" w14:textId="7B207DBC" w:rsidR="00FA715E" w:rsidRDefault="00FA715E" w:rsidP="00FA715E">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The plaintiff submit</w:t>
      </w:r>
      <w:r w:rsidR="00DD124B">
        <w:rPr>
          <w:rFonts w:ascii="Arial" w:hAnsi="Arial" w:cs="Arial"/>
          <w:lang w:val="en-US"/>
        </w:rPr>
        <w:t>s</w:t>
      </w:r>
      <w:r>
        <w:rPr>
          <w:rFonts w:ascii="Arial" w:hAnsi="Arial" w:cs="Arial"/>
          <w:lang w:val="en-US"/>
        </w:rPr>
        <w:t xml:space="preserve"> its valuation report for work done and materials procured within the specified month to the quantity surveyor for verification and approval recommendation for the preparation of a payment certificate by the</w:t>
      </w:r>
      <w:r w:rsidR="00C82399">
        <w:rPr>
          <w:rFonts w:ascii="Arial" w:hAnsi="Arial" w:cs="Arial"/>
          <w:lang w:val="en-US"/>
        </w:rPr>
        <w:t xml:space="preserve"> </w:t>
      </w:r>
      <w:r>
        <w:rPr>
          <w:rFonts w:ascii="Arial" w:hAnsi="Arial" w:cs="Arial"/>
          <w:lang w:val="en-US"/>
        </w:rPr>
        <w:t>second defendant.</w:t>
      </w:r>
    </w:p>
    <w:p w14:paraId="7DFF1B94" w14:textId="77777777" w:rsidR="00FA715E" w:rsidRPr="00FA715E" w:rsidRDefault="00FA715E" w:rsidP="00FA715E">
      <w:pPr>
        <w:pStyle w:val="ListParagraph"/>
        <w:ind w:left="0"/>
        <w:rPr>
          <w:rFonts w:ascii="Arial" w:hAnsi="Arial" w:cs="Arial"/>
          <w:lang w:val="en-US"/>
        </w:rPr>
      </w:pPr>
    </w:p>
    <w:p w14:paraId="3C768FA1" w14:textId="14619999" w:rsidR="00FA715E" w:rsidRDefault="00FA715E" w:rsidP="00FA715E">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quantity surveyor verifies and evaluates the work done and materials procured for a specific month. </w:t>
      </w:r>
    </w:p>
    <w:p w14:paraId="02BEC74F" w14:textId="77777777" w:rsidR="00FA715E" w:rsidRPr="00FA715E" w:rsidRDefault="00FA715E" w:rsidP="00FA715E">
      <w:pPr>
        <w:pStyle w:val="ListParagraph"/>
        <w:rPr>
          <w:rFonts w:ascii="Arial" w:hAnsi="Arial" w:cs="Arial"/>
          <w:lang w:val="en-US"/>
        </w:rPr>
      </w:pPr>
    </w:p>
    <w:p w14:paraId="7790A2B4" w14:textId="2BB923BB" w:rsidR="00FA715E" w:rsidRDefault="004B2F5B" w:rsidP="00FA715E">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quantity surveyor sends the valuation report to the second defendant, who prepares the payment certificate from the valuation report. </w:t>
      </w:r>
    </w:p>
    <w:p w14:paraId="5944AAED" w14:textId="77777777" w:rsidR="00FA715E" w:rsidRPr="00FA715E" w:rsidRDefault="00FA715E" w:rsidP="00FA715E">
      <w:pPr>
        <w:pStyle w:val="ListParagraph"/>
        <w:ind w:left="0"/>
        <w:rPr>
          <w:rFonts w:ascii="Arial" w:hAnsi="Arial" w:cs="Arial"/>
          <w:lang w:val="en-US"/>
        </w:rPr>
      </w:pPr>
    </w:p>
    <w:p w14:paraId="06507FD4" w14:textId="50526B77" w:rsidR="00FA715E" w:rsidRDefault="004B2F5B" w:rsidP="00FA715E">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second defendant issues a payment certificate to the first defendant. </w:t>
      </w:r>
    </w:p>
    <w:p w14:paraId="431CFC93" w14:textId="77777777" w:rsidR="004B2F5B" w:rsidRPr="004B2F5B" w:rsidRDefault="004B2F5B" w:rsidP="004B2F5B">
      <w:pPr>
        <w:pStyle w:val="ListParagraph"/>
        <w:rPr>
          <w:rFonts w:ascii="Arial" w:hAnsi="Arial" w:cs="Arial"/>
          <w:lang w:val="en-US"/>
        </w:rPr>
      </w:pPr>
    </w:p>
    <w:p w14:paraId="435F8924" w14:textId="4F067513" w:rsidR="004B2F5B" w:rsidRDefault="004B2F5B" w:rsidP="00FA715E">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The first defendant confirms the payment certificate</w:t>
      </w:r>
      <w:r w:rsidR="00C82399">
        <w:rPr>
          <w:rFonts w:ascii="Arial" w:hAnsi="Arial" w:cs="Arial"/>
          <w:lang w:val="en-US"/>
        </w:rPr>
        <w:t>,</w:t>
      </w:r>
      <w:r>
        <w:rPr>
          <w:rFonts w:ascii="Arial" w:hAnsi="Arial" w:cs="Arial"/>
          <w:lang w:val="en-US"/>
        </w:rPr>
        <w:t xml:space="preserve"> and payment is made to the plaintiff. </w:t>
      </w:r>
    </w:p>
    <w:p w14:paraId="452ABE68" w14:textId="77777777" w:rsidR="004B2F5B" w:rsidRPr="004B2F5B" w:rsidRDefault="004B2F5B" w:rsidP="004B2F5B">
      <w:pPr>
        <w:pStyle w:val="ListParagraph"/>
        <w:rPr>
          <w:rFonts w:ascii="Arial" w:hAnsi="Arial" w:cs="Arial"/>
          <w:lang w:val="en-US"/>
        </w:rPr>
      </w:pPr>
    </w:p>
    <w:p w14:paraId="5EF05647" w14:textId="2DB3843F" w:rsidR="004B2F5B" w:rsidRDefault="004B2F5B" w:rsidP="00FA715E">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Upon receipt of payment, the plaintiff pays the subcontractors.</w:t>
      </w:r>
    </w:p>
    <w:p w14:paraId="12902D12" w14:textId="77777777" w:rsidR="00FA715E" w:rsidRPr="00FA715E" w:rsidRDefault="00FA715E" w:rsidP="00FA715E">
      <w:pPr>
        <w:pStyle w:val="ListParagraph"/>
        <w:rPr>
          <w:rFonts w:ascii="Arial" w:hAnsi="Arial" w:cs="Arial"/>
          <w:lang w:val="en-US"/>
        </w:rPr>
      </w:pPr>
    </w:p>
    <w:p w14:paraId="6E5CE545" w14:textId="7D0D2622" w:rsidR="00900AB6" w:rsidRPr="00D90C45" w:rsidRDefault="00D90C45" w:rsidP="00900AB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Garci</w:t>
      </w:r>
      <w:r w:rsidR="00C82399">
        <w:rPr>
          <w:rFonts w:ascii="Arial" w:hAnsi="Arial" w:cs="Arial"/>
          <w:lang w:val="en-US"/>
        </w:rPr>
        <w:t xml:space="preserve">a said </w:t>
      </w:r>
      <w:r w:rsidR="00900AB6">
        <w:rPr>
          <w:rFonts w:ascii="Arial" w:hAnsi="Arial" w:cs="Arial"/>
          <w:lang w:val="en-US"/>
        </w:rPr>
        <w:t>correspondence was exchanged about the lack of progress and the absence of realistic and feasible work programs since 3 March 2015</w:t>
      </w:r>
      <w:r>
        <w:rPr>
          <w:rFonts w:ascii="Arial" w:hAnsi="Arial" w:cs="Arial"/>
          <w:lang w:val="en-US"/>
        </w:rPr>
        <w:t xml:space="preserve">. </w:t>
      </w:r>
      <w:r w:rsidR="007D6D57">
        <w:rPr>
          <w:rFonts w:ascii="Arial" w:hAnsi="Arial" w:cs="Arial"/>
          <w:lang w:val="en-US"/>
        </w:rPr>
        <w:t>In a letter dated 12 March 2015, t</w:t>
      </w:r>
      <w:r>
        <w:rPr>
          <w:rFonts w:ascii="Arial" w:hAnsi="Arial" w:cs="Arial"/>
          <w:lang w:val="en-US"/>
        </w:rPr>
        <w:t xml:space="preserve">he second defendant recommended to the first defendant to terminate the contract. </w:t>
      </w:r>
      <w:r w:rsidR="00900AB6">
        <w:rPr>
          <w:rFonts w:ascii="Arial" w:hAnsi="Arial" w:cs="Arial"/>
          <w:lang w:val="en-US"/>
        </w:rPr>
        <w:t>Garcia signed both letters dated 3 and 12 March 2015.</w:t>
      </w:r>
    </w:p>
    <w:p w14:paraId="7CD47981" w14:textId="77777777" w:rsidR="00900AB6" w:rsidRPr="00D90C45" w:rsidRDefault="00900AB6" w:rsidP="00900AB6">
      <w:pPr>
        <w:pStyle w:val="ListParagraph"/>
        <w:rPr>
          <w:rFonts w:ascii="Arial" w:hAnsi="Arial" w:cs="Arial"/>
          <w:lang w:val="en-US"/>
        </w:rPr>
      </w:pPr>
    </w:p>
    <w:p w14:paraId="65C1E1B9" w14:textId="685BF1DD" w:rsidR="00FF1981" w:rsidRDefault="007D6D57" w:rsidP="00FF198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Garcia</w:t>
      </w:r>
      <w:r w:rsidR="00900AB6">
        <w:rPr>
          <w:rFonts w:ascii="Arial" w:hAnsi="Arial" w:cs="Arial"/>
          <w:lang w:val="en-US"/>
        </w:rPr>
        <w:t xml:space="preserve"> </w:t>
      </w:r>
      <w:r w:rsidR="00D90C45">
        <w:rPr>
          <w:rFonts w:ascii="Arial" w:hAnsi="Arial" w:cs="Arial"/>
          <w:lang w:val="en-US"/>
        </w:rPr>
        <w:t>testified about workmanship issues that resulted in certain work</w:t>
      </w:r>
      <w:r w:rsidR="00900AB6">
        <w:rPr>
          <w:rFonts w:ascii="Arial" w:hAnsi="Arial" w:cs="Arial"/>
          <w:lang w:val="en-US"/>
        </w:rPr>
        <w:t xml:space="preserve"> having</w:t>
      </w:r>
      <w:r w:rsidR="00D90C45">
        <w:rPr>
          <w:rFonts w:ascii="Arial" w:hAnsi="Arial" w:cs="Arial"/>
          <w:lang w:val="en-US"/>
        </w:rPr>
        <w:t xml:space="preserve"> to be redone, which affected </w:t>
      </w:r>
      <w:r w:rsidR="00C82399">
        <w:rPr>
          <w:rFonts w:ascii="Arial" w:hAnsi="Arial" w:cs="Arial"/>
          <w:lang w:val="en-US"/>
        </w:rPr>
        <w:t xml:space="preserve">the </w:t>
      </w:r>
      <w:r w:rsidR="00D90C45">
        <w:rPr>
          <w:rFonts w:ascii="Arial" w:hAnsi="Arial" w:cs="Arial"/>
          <w:lang w:val="en-US"/>
        </w:rPr>
        <w:t>project completion and cash flow</w:t>
      </w:r>
      <w:r w:rsidR="00900AB6">
        <w:rPr>
          <w:rFonts w:ascii="Arial" w:hAnsi="Arial" w:cs="Arial"/>
          <w:lang w:val="en-US"/>
        </w:rPr>
        <w:t>. That was recorded in a letter dated 24 August 2015, signed by Lofty-Eaton. Having regard to Garcia’s role in the project, the court accepts the aforesaid evidence presented by her</w:t>
      </w:r>
      <w:r w:rsidR="00FF1981">
        <w:rPr>
          <w:rFonts w:ascii="Arial" w:hAnsi="Arial" w:cs="Arial"/>
          <w:lang w:val="en-US"/>
        </w:rPr>
        <w:t>, but not that the entire contents of the letter of 24 August 2015 are correct</w:t>
      </w:r>
      <w:r w:rsidR="00900AB6">
        <w:rPr>
          <w:rFonts w:ascii="Arial" w:hAnsi="Arial" w:cs="Arial"/>
          <w:lang w:val="en-US"/>
        </w:rPr>
        <w:t>.</w:t>
      </w:r>
    </w:p>
    <w:p w14:paraId="59FD572A" w14:textId="77777777" w:rsidR="00FF1981" w:rsidRPr="00FF1981" w:rsidRDefault="00FF1981" w:rsidP="00FF1981">
      <w:pPr>
        <w:pStyle w:val="ListParagraph"/>
        <w:rPr>
          <w:rFonts w:ascii="Arial" w:hAnsi="Arial" w:cs="Arial"/>
          <w:lang w:val="en-US"/>
        </w:rPr>
      </w:pPr>
    </w:p>
    <w:p w14:paraId="21C3ADEA" w14:textId="29563137" w:rsidR="00D90C45" w:rsidRPr="00FF1981" w:rsidRDefault="00D90C45" w:rsidP="00FF1981">
      <w:pPr>
        <w:pStyle w:val="ListParagraph"/>
        <w:numPr>
          <w:ilvl w:val="0"/>
          <w:numId w:val="2"/>
        </w:numPr>
        <w:spacing w:line="360" w:lineRule="auto"/>
        <w:ind w:left="0" w:firstLine="0"/>
        <w:jc w:val="both"/>
        <w:rPr>
          <w:rFonts w:ascii="Arial" w:hAnsi="Arial" w:cs="Arial"/>
          <w:lang w:val="en-US"/>
        </w:rPr>
      </w:pPr>
      <w:r w:rsidRPr="00FF1981">
        <w:rPr>
          <w:rFonts w:ascii="Arial" w:hAnsi="Arial" w:cs="Arial"/>
          <w:lang w:val="en-US"/>
        </w:rPr>
        <w:t xml:space="preserve">On 26 May 2016, when the </w:t>
      </w:r>
      <w:r w:rsidR="00900AB6" w:rsidRPr="00FF1981">
        <w:rPr>
          <w:rFonts w:ascii="Arial" w:hAnsi="Arial" w:cs="Arial"/>
          <w:lang w:val="en-US"/>
        </w:rPr>
        <w:t xml:space="preserve">contract </w:t>
      </w:r>
      <w:r w:rsidRPr="00FF1981">
        <w:rPr>
          <w:rFonts w:ascii="Arial" w:hAnsi="Arial" w:cs="Arial"/>
          <w:lang w:val="en-US"/>
        </w:rPr>
        <w:t>completion date of 15 February 2016 had long lapsed, the second defendant reported to the first defendant that 58</w:t>
      </w:r>
      <w:r w:rsidR="000D761D">
        <w:rPr>
          <w:rFonts w:ascii="Arial" w:hAnsi="Arial" w:cs="Arial"/>
          <w:lang w:val="en-US"/>
        </w:rPr>
        <w:t xml:space="preserve"> per cent</w:t>
      </w:r>
      <w:r w:rsidRPr="00FF1981">
        <w:rPr>
          <w:rFonts w:ascii="Arial" w:hAnsi="Arial" w:cs="Arial"/>
          <w:lang w:val="en-US"/>
        </w:rPr>
        <w:t xml:space="preserve"> of the project was completed. On 30 May 2016, the plaintiff was advised to apply for an extension of time, and it was advised about the penalty deduction to which the first defendant was entitled</w:t>
      </w:r>
      <w:r w:rsidR="001F634D" w:rsidRPr="00FF1981">
        <w:rPr>
          <w:rFonts w:ascii="Arial" w:hAnsi="Arial" w:cs="Arial"/>
          <w:lang w:val="en-US"/>
        </w:rPr>
        <w:t xml:space="preserve"> at the time</w:t>
      </w:r>
      <w:r w:rsidRPr="00FF1981">
        <w:rPr>
          <w:rFonts w:ascii="Arial" w:hAnsi="Arial" w:cs="Arial"/>
          <w:lang w:val="en-US"/>
        </w:rPr>
        <w:t>.</w:t>
      </w:r>
      <w:r w:rsidR="00FF1981">
        <w:rPr>
          <w:rFonts w:ascii="Arial" w:hAnsi="Arial" w:cs="Arial"/>
          <w:lang w:val="en-US"/>
        </w:rPr>
        <w:t xml:space="preserve"> </w:t>
      </w:r>
      <w:proofErr w:type="spellStart"/>
      <w:r w:rsidR="001F634D" w:rsidRPr="00FF1981">
        <w:rPr>
          <w:rFonts w:ascii="Arial" w:hAnsi="Arial" w:cs="Arial"/>
          <w:lang w:val="en-US"/>
        </w:rPr>
        <w:t>Loftie</w:t>
      </w:r>
      <w:proofErr w:type="spellEnd"/>
      <w:r w:rsidR="001F634D" w:rsidRPr="00FF1981">
        <w:rPr>
          <w:rFonts w:ascii="Arial" w:hAnsi="Arial" w:cs="Arial"/>
          <w:lang w:val="en-US"/>
        </w:rPr>
        <w:t xml:space="preserve">-Eaton signed the letters of 26 </w:t>
      </w:r>
      <w:r w:rsidR="00FF1981">
        <w:rPr>
          <w:rFonts w:ascii="Arial" w:hAnsi="Arial" w:cs="Arial"/>
          <w:lang w:val="en-US"/>
        </w:rPr>
        <w:t xml:space="preserve">and 30 </w:t>
      </w:r>
      <w:r w:rsidR="001F634D" w:rsidRPr="00FF1981">
        <w:rPr>
          <w:rFonts w:ascii="Arial" w:hAnsi="Arial" w:cs="Arial"/>
          <w:lang w:val="en-US"/>
        </w:rPr>
        <w:t>May 2016.</w:t>
      </w:r>
      <w:r w:rsidR="00FF1981">
        <w:rPr>
          <w:rFonts w:ascii="Arial" w:hAnsi="Arial" w:cs="Arial"/>
          <w:lang w:val="en-US"/>
        </w:rPr>
        <w:t xml:space="preserve"> T</w:t>
      </w:r>
      <w:r w:rsidR="001F634D" w:rsidRPr="00FF1981">
        <w:rPr>
          <w:rFonts w:ascii="Arial" w:hAnsi="Arial" w:cs="Arial"/>
          <w:lang w:val="en-US"/>
        </w:rPr>
        <w:t xml:space="preserve">he court </w:t>
      </w:r>
      <w:r w:rsidR="00FF1981">
        <w:rPr>
          <w:rFonts w:ascii="Arial" w:hAnsi="Arial" w:cs="Arial"/>
          <w:lang w:val="en-US"/>
        </w:rPr>
        <w:t>does</w:t>
      </w:r>
      <w:r w:rsidR="001F634D" w:rsidRPr="00FF1981">
        <w:rPr>
          <w:rFonts w:ascii="Arial" w:hAnsi="Arial" w:cs="Arial"/>
          <w:lang w:val="en-US"/>
        </w:rPr>
        <w:t xml:space="preserve"> not </w:t>
      </w:r>
      <w:r w:rsidR="00FF1981">
        <w:rPr>
          <w:rFonts w:ascii="Arial" w:hAnsi="Arial" w:cs="Arial"/>
          <w:lang w:val="en-US"/>
        </w:rPr>
        <w:t>accept</w:t>
      </w:r>
      <w:r w:rsidR="001F634D" w:rsidRPr="00FF1981">
        <w:rPr>
          <w:rFonts w:ascii="Arial" w:hAnsi="Arial" w:cs="Arial"/>
          <w:lang w:val="en-US"/>
        </w:rPr>
        <w:t xml:space="preserve"> the </w:t>
      </w:r>
      <w:r w:rsidR="00FF1981">
        <w:rPr>
          <w:rFonts w:ascii="Arial" w:hAnsi="Arial" w:cs="Arial"/>
          <w:lang w:val="en-US"/>
        </w:rPr>
        <w:t xml:space="preserve">entire </w:t>
      </w:r>
      <w:r w:rsidR="001F634D" w:rsidRPr="00FF1981">
        <w:rPr>
          <w:rFonts w:ascii="Arial" w:hAnsi="Arial" w:cs="Arial"/>
          <w:lang w:val="en-US"/>
        </w:rPr>
        <w:t xml:space="preserve">contents of </w:t>
      </w:r>
      <w:r w:rsidR="00FF1981">
        <w:rPr>
          <w:rFonts w:ascii="Arial" w:hAnsi="Arial" w:cs="Arial"/>
          <w:lang w:val="en-US"/>
        </w:rPr>
        <w:t>those</w:t>
      </w:r>
      <w:r w:rsidR="007D6D57" w:rsidRPr="00FF1981">
        <w:rPr>
          <w:rFonts w:ascii="Arial" w:hAnsi="Arial" w:cs="Arial"/>
          <w:lang w:val="en-US"/>
        </w:rPr>
        <w:t xml:space="preserve"> </w:t>
      </w:r>
      <w:r w:rsidR="001F634D" w:rsidRPr="00FF1981">
        <w:rPr>
          <w:rFonts w:ascii="Arial" w:hAnsi="Arial" w:cs="Arial"/>
          <w:lang w:val="en-US"/>
        </w:rPr>
        <w:t xml:space="preserve">letters as correct, but </w:t>
      </w:r>
      <w:r w:rsidR="00FF1981">
        <w:rPr>
          <w:rFonts w:ascii="Arial" w:hAnsi="Arial" w:cs="Arial"/>
          <w:lang w:val="en-US"/>
        </w:rPr>
        <w:t xml:space="preserve">due to Garcia’s role in the project, the court accepts her testimony that, by 26 May 2016, when </w:t>
      </w:r>
      <w:r w:rsidR="001F634D" w:rsidRPr="00FF1981">
        <w:rPr>
          <w:rFonts w:ascii="Arial" w:hAnsi="Arial" w:cs="Arial"/>
          <w:lang w:val="en-US"/>
        </w:rPr>
        <w:t xml:space="preserve">the contract completion date </w:t>
      </w:r>
      <w:r w:rsidR="00FF1981">
        <w:rPr>
          <w:rFonts w:ascii="Arial" w:hAnsi="Arial" w:cs="Arial"/>
          <w:lang w:val="en-US"/>
        </w:rPr>
        <w:t>of</w:t>
      </w:r>
      <w:r w:rsidR="001F634D" w:rsidRPr="00FF1981">
        <w:rPr>
          <w:rFonts w:ascii="Arial" w:hAnsi="Arial" w:cs="Arial"/>
          <w:lang w:val="en-US"/>
        </w:rPr>
        <w:t xml:space="preserve"> 15 February 2016</w:t>
      </w:r>
      <w:r w:rsidR="00FF1981">
        <w:rPr>
          <w:rFonts w:ascii="Arial" w:hAnsi="Arial" w:cs="Arial"/>
          <w:lang w:val="en-US"/>
        </w:rPr>
        <w:t xml:space="preserve"> had long lapsed</w:t>
      </w:r>
      <w:r w:rsidR="001F634D" w:rsidRPr="00FF1981">
        <w:rPr>
          <w:rFonts w:ascii="Arial" w:hAnsi="Arial" w:cs="Arial"/>
          <w:lang w:val="en-US"/>
        </w:rPr>
        <w:t>,</w:t>
      </w:r>
      <w:r w:rsidR="00FF1981">
        <w:rPr>
          <w:rFonts w:ascii="Arial" w:hAnsi="Arial" w:cs="Arial"/>
          <w:lang w:val="en-US"/>
        </w:rPr>
        <w:t xml:space="preserve"> </w:t>
      </w:r>
      <w:r w:rsidR="001F634D" w:rsidRPr="00FF1981">
        <w:rPr>
          <w:rFonts w:ascii="Arial" w:hAnsi="Arial" w:cs="Arial"/>
          <w:lang w:val="en-US"/>
        </w:rPr>
        <w:t>the project was not near completion, the plaintiff was advised to apply for an extension of time, and</w:t>
      </w:r>
      <w:r w:rsidR="00FF1981">
        <w:rPr>
          <w:rFonts w:ascii="Arial" w:hAnsi="Arial" w:cs="Arial"/>
          <w:lang w:val="en-US"/>
        </w:rPr>
        <w:t xml:space="preserve"> th</w:t>
      </w:r>
      <w:r w:rsidR="00C07D7A">
        <w:rPr>
          <w:rFonts w:ascii="Arial" w:hAnsi="Arial" w:cs="Arial"/>
          <w:lang w:val="en-US"/>
        </w:rPr>
        <w:t>e first defendant was entitled to penalty deductions</w:t>
      </w:r>
      <w:r w:rsidR="00DD124B">
        <w:rPr>
          <w:rFonts w:ascii="Arial" w:hAnsi="Arial" w:cs="Arial"/>
          <w:lang w:val="en-US"/>
        </w:rPr>
        <w:t xml:space="preserve"> at the time</w:t>
      </w:r>
      <w:r w:rsidR="001F634D" w:rsidRPr="00FF1981">
        <w:rPr>
          <w:rFonts w:ascii="Arial" w:hAnsi="Arial" w:cs="Arial"/>
          <w:lang w:val="en-US"/>
        </w:rPr>
        <w:t xml:space="preserve">.  </w:t>
      </w:r>
    </w:p>
    <w:p w14:paraId="6AF3ABDE" w14:textId="77777777" w:rsidR="00D90C45" w:rsidRPr="00D90C45" w:rsidRDefault="00D90C45" w:rsidP="00D90C45">
      <w:pPr>
        <w:pStyle w:val="ListParagraph"/>
        <w:rPr>
          <w:rFonts w:ascii="Arial" w:hAnsi="Arial" w:cs="Arial"/>
          <w:lang w:val="en-US"/>
        </w:rPr>
      </w:pPr>
    </w:p>
    <w:p w14:paraId="515B98B6" w14:textId="661F0533" w:rsidR="00F70EF6" w:rsidRDefault="00F70EF6" w:rsidP="00D43E8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The dispute that led to the plaintiff terminating the contract, arose from payment certificate 24.</w:t>
      </w:r>
    </w:p>
    <w:p w14:paraId="41FE6ECF" w14:textId="77777777" w:rsidR="00F70EF6" w:rsidRPr="00F70EF6" w:rsidRDefault="00F70EF6" w:rsidP="00F70EF6">
      <w:pPr>
        <w:pStyle w:val="ListParagraph"/>
        <w:rPr>
          <w:rFonts w:ascii="Arial" w:hAnsi="Arial" w:cs="Arial"/>
          <w:lang w:val="en-US"/>
        </w:rPr>
      </w:pPr>
    </w:p>
    <w:p w14:paraId="65C51BD3" w14:textId="1D6D209A" w:rsidR="00D43E83" w:rsidRDefault="00D43E83" w:rsidP="00D43E83">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Pr>
          <w:rFonts w:ascii="Arial" w:hAnsi="Arial" w:cs="Arial"/>
          <w:lang w:val="en-US"/>
        </w:rPr>
        <w:t xml:space="preserve"> said</w:t>
      </w:r>
      <w:r w:rsidR="00F70EF6">
        <w:rPr>
          <w:rFonts w:ascii="Arial" w:hAnsi="Arial" w:cs="Arial"/>
          <w:lang w:val="en-US"/>
        </w:rPr>
        <w:t xml:space="preserve"> that </w:t>
      </w:r>
      <w:r>
        <w:rPr>
          <w:rFonts w:ascii="Arial" w:hAnsi="Arial" w:cs="Arial"/>
          <w:lang w:val="en-US"/>
        </w:rPr>
        <w:t>u</w:t>
      </w:r>
      <w:r w:rsidRPr="00D90C45">
        <w:rPr>
          <w:rFonts w:ascii="Arial" w:hAnsi="Arial" w:cs="Arial"/>
          <w:lang w:val="en-US"/>
        </w:rPr>
        <w:t>nder payment certificate 24</w:t>
      </w:r>
      <w:r w:rsidR="00F70EF6">
        <w:rPr>
          <w:rFonts w:ascii="Arial" w:hAnsi="Arial" w:cs="Arial"/>
          <w:lang w:val="en-US"/>
        </w:rPr>
        <w:t>,</w:t>
      </w:r>
      <w:r w:rsidRPr="00D90C45">
        <w:rPr>
          <w:rFonts w:ascii="Arial" w:hAnsi="Arial" w:cs="Arial"/>
          <w:lang w:val="en-US"/>
        </w:rPr>
        <w:t xml:space="preserve"> the amount due to the plaintiff was N$732 716,39</w:t>
      </w:r>
      <w:r w:rsidR="00F70EF6">
        <w:rPr>
          <w:rFonts w:ascii="Arial" w:hAnsi="Arial" w:cs="Arial"/>
          <w:lang w:val="en-US"/>
        </w:rPr>
        <w:t>,</w:t>
      </w:r>
      <w:r w:rsidRPr="00D90C45">
        <w:rPr>
          <w:rFonts w:ascii="Arial" w:hAnsi="Arial" w:cs="Arial"/>
          <w:lang w:val="en-US"/>
        </w:rPr>
        <w:t xml:space="preserve"> but the first defendant only paid the plaintiff N$228 548,57. Hence N$504 167,82 remains outstanding</w:t>
      </w:r>
      <w:r>
        <w:rPr>
          <w:rFonts w:ascii="Arial" w:hAnsi="Arial" w:cs="Arial"/>
          <w:lang w:val="en-US"/>
        </w:rPr>
        <w:t>, which</w:t>
      </w:r>
      <w:r w:rsidRPr="00D90C45">
        <w:rPr>
          <w:rFonts w:ascii="Arial" w:hAnsi="Arial" w:cs="Arial"/>
          <w:lang w:val="en-US"/>
        </w:rPr>
        <w:t xml:space="preserve"> was due to </w:t>
      </w:r>
      <w:r w:rsidR="00ED6095">
        <w:rPr>
          <w:rFonts w:ascii="Arial" w:hAnsi="Arial" w:cs="Arial"/>
          <w:lang w:val="en-US"/>
        </w:rPr>
        <w:t>a</w:t>
      </w:r>
      <w:r w:rsidRPr="00D90C45">
        <w:rPr>
          <w:rFonts w:ascii="Arial" w:hAnsi="Arial" w:cs="Arial"/>
          <w:lang w:val="en-US"/>
        </w:rPr>
        <w:t xml:space="preserve"> nominated subcontractor and materials on site.</w:t>
      </w:r>
      <w:r w:rsidR="00F70EF6">
        <w:rPr>
          <w:rFonts w:ascii="Arial" w:hAnsi="Arial" w:cs="Arial"/>
          <w:lang w:val="en-US"/>
        </w:rPr>
        <w:t xml:space="preserve"> </w:t>
      </w:r>
      <w:r>
        <w:rPr>
          <w:rFonts w:ascii="Arial" w:hAnsi="Arial" w:cs="Arial"/>
          <w:lang w:val="en-US"/>
        </w:rPr>
        <w:t xml:space="preserve">Garcia testified that </w:t>
      </w:r>
      <w:r w:rsidR="00F70EF6">
        <w:rPr>
          <w:rFonts w:ascii="Arial" w:hAnsi="Arial" w:cs="Arial"/>
          <w:lang w:val="en-US"/>
        </w:rPr>
        <w:t xml:space="preserve">that </w:t>
      </w:r>
      <w:r>
        <w:rPr>
          <w:rFonts w:ascii="Arial" w:hAnsi="Arial" w:cs="Arial"/>
          <w:lang w:val="en-US"/>
        </w:rPr>
        <w:t>amount was paid in the first payment certificate 23.</w:t>
      </w:r>
    </w:p>
    <w:p w14:paraId="55C94BFC" w14:textId="77777777" w:rsidR="00D43E83" w:rsidRPr="00D43E83" w:rsidRDefault="00D43E83" w:rsidP="00D43E83">
      <w:pPr>
        <w:pStyle w:val="ListParagraph"/>
        <w:rPr>
          <w:rFonts w:ascii="Arial" w:hAnsi="Arial" w:cs="Arial"/>
          <w:lang w:val="en-US"/>
        </w:rPr>
      </w:pPr>
    </w:p>
    <w:p w14:paraId="13D10136" w14:textId="02F96BD1" w:rsidR="00FA715E" w:rsidRPr="00D43E83" w:rsidRDefault="00D43E83" w:rsidP="00D43E8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following facts led to that dispute.</w:t>
      </w:r>
    </w:p>
    <w:p w14:paraId="4218E5BD" w14:textId="77777777" w:rsidR="00D43E83" w:rsidRPr="00D43E83" w:rsidRDefault="00D43E83" w:rsidP="00D43E83">
      <w:pPr>
        <w:pStyle w:val="ListParagraph"/>
        <w:rPr>
          <w:rFonts w:ascii="Arial" w:hAnsi="Arial" w:cs="Arial"/>
          <w:lang w:val="en-US"/>
        </w:rPr>
      </w:pPr>
    </w:p>
    <w:p w14:paraId="6CDBB669" w14:textId="0A05E939" w:rsidR="00D43E83" w:rsidRDefault="00D43E83" w:rsidP="00D43E83">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Pr>
          <w:rFonts w:ascii="Arial" w:hAnsi="Arial" w:cs="Arial"/>
          <w:lang w:val="en-US"/>
        </w:rPr>
        <w:t xml:space="preserve"> sa</w:t>
      </w:r>
      <w:r w:rsidR="00F70EF6">
        <w:rPr>
          <w:rFonts w:ascii="Arial" w:hAnsi="Arial" w:cs="Arial"/>
          <w:lang w:val="en-US"/>
        </w:rPr>
        <w:t>id</w:t>
      </w:r>
      <w:r w:rsidR="00ED6095">
        <w:rPr>
          <w:rFonts w:ascii="Arial" w:hAnsi="Arial" w:cs="Arial"/>
          <w:lang w:val="en-US"/>
        </w:rPr>
        <w:t xml:space="preserve"> since 2017 there was</w:t>
      </w:r>
      <w:r w:rsidR="00F70EF6">
        <w:rPr>
          <w:rFonts w:ascii="Arial" w:hAnsi="Arial" w:cs="Arial"/>
          <w:lang w:val="en-US"/>
        </w:rPr>
        <w:t xml:space="preserve"> an issue with the release of some of the retention money</w:t>
      </w:r>
      <w:r w:rsidR="00ED6095">
        <w:rPr>
          <w:rFonts w:ascii="Arial" w:hAnsi="Arial" w:cs="Arial"/>
          <w:lang w:val="en-US"/>
        </w:rPr>
        <w:t xml:space="preserve"> </w:t>
      </w:r>
      <w:r w:rsidR="00F70EF6">
        <w:rPr>
          <w:rFonts w:ascii="Arial" w:hAnsi="Arial" w:cs="Arial"/>
          <w:lang w:val="en-US"/>
        </w:rPr>
        <w:t>to facilitate completion of the work. Garcia said the plaintiff failed to understand that the retention money could not be released to facilitate completion of the work. She testified the work must be completed to have the retention money released,</w:t>
      </w:r>
      <w:r>
        <w:rPr>
          <w:rFonts w:ascii="Arial" w:hAnsi="Arial" w:cs="Arial"/>
          <w:lang w:val="en-US"/>
        </w:rPr>
        <w:t xml:space="preserve"> and all defective works must furthermore be rectified.</w:t>
      </w:r>
    </w:p>
    <w:p w14:paraId="43F1BC9A" w14:textId="77777777" w:rsidR="00D43E83" w:rsidRPr="00046203" w:rsidRDefault="00D43E83" w:rsidP="00D43E83">
      <w:pPr>
        <w:pStyle w:val="ListParagraph"/>
        <w:rPr>
          <w:rFonts w:ascii="Arial" w:hAnsi="Arial" w:cs="Arial"/>
          <w:lang w:val="en-US"/>
        </w:rPr>
      </w:pPr>
    </w:p>
    <w:p w14:paraId="2BDD2D7F" w14:textId="3A738732" w:rsidR="00D43E83" w:rsidRDefault="00F70EF6" w:rsidP="00D43E83">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Pr>
          <w:rFonts w:ascii="Arial" w:hAnsi="Arial" w:cs="Arial"/>
          <w:lang w:val="en-US"/>
        </w:rPr>
        <w:t xml:space="preserve"> testified t</w:t>
      </w:r>
      <w:r w:rsidR="00D43E83">
        <w:rPr>
          <w:rFonts w:ascii="Arial" w:hAnsi="Arial" w:cs="Arial"/>
          <w:lang w:val="en-US"/>
        </w:rPr>
        <w:t xml:space="preserve">he first defendant wrote to the Ministry of Fisheries and Marine Resources (the user </w:t>
      </w:r>
      <w:r>
        <w:rPr>
          <w:rFonts w:ascii="Arial" w:hAnsi="Arial" w:cs="Arial"/>
          <w:lang w:val="en-US"/>
        </w:rPr>
        <w:t>m</w:t>
      </w:r>
      <w:r w:rsidR="00D43E83">
        <w:rPr>
          <w:rFonts w:ascii="Arial" w:hAnsi="Arial" w:cs="Arial"/>
          <w:lang w:val="en-US"/>
        </w:rPr>
        <w:t xml:space="preserve">inistry) on 23 March 2017 that it resolved to release N$300 000 of the retention money to assist with completion of the work. </w:t>
      </w:r>
    </w:p>
    <w:p w14:paraId="5F273AE6" w14:textId="77777777" w:rsidR="00D43E83" w:rsidRPr="00D90C45" w:rsidRDefault="00D43E83" w:rsidP="00D43E83">
      <w:pPr>
        <w:pStyle w:val="ListParagraph"/>
        <w:rPr>
          <w:rFonts w:ascii="Arial" w:hAnsi="Arial" w:cs="Arial"/>
          <w:lang w:val="en-US"/>
        </w:rPr>
      </w:pPr>
    </w:p>
    <w:p w14:paraId="7F0B7A9E" w14:textId="79BD0451" w:rsidR="00D43E83" w:rsidRDefault="00D43E83" w:rsidP="00D43E8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Garcia sa</w:t>
      </w:r>
      <w:r w:rsidR="00F70EF6">
        <w:rPr>
          <w:rFonts w:ascii="Arial" w:hAnsi="Arial" w:cs="Arial"/>
          <w:lang w:val="en-US"/>
        </w:rPr>
        <w:t>id</w:t>
      </w:r>
      <w:r>
        <w:rPr>
          <w:rFonts w:ascii="Arial" w:hAnsi="Arial" w:cs="Arial"/>
          <w:lang w:val="en-US"/>
        </w:rPr>
        <w:t xml:space="preserve"> </w:t>
      </w:r>
      <w:r w:rsidR="003334C0">
        <w:rPr>
          <w:rFonts w:ascii="Arial" w:hAnsi="Arial" w:cs="Arial"/>
          <w:lang w:val="en-US"/>
        </w:rPr>
        <w:t xml:space="preserve">that </w:t>
      </w:r>
      <w:r>
        <w:rPr>
          <w:rFonts w:ascii="Arial" w:hAnsi="Arial" w:cs="Arial"/>
          <w:lang w:val="en-US"/>
        </w:rPr>
        <w:t>on 3 April 2017, the second defendant sent a letter to the first defendant confirming the release of payment certificate 23</w:t>
      </w:r>
      <w:r w:rsidR="00F70EF6">
        <w:rPr>
          <w:rFonts w:ascii="Arial" w:hAnsi="Arial" w:cs="Arial"/>
          <w:lang w:val="en-US"/>
        </w:rPr>
        <w:t xml:space="preserve"> </w:t>
      </w:r>
      <w:r>
        <w:rPr>
          <w:rFonts w:ascii="Arial" w:hAnsi="Arial" w:cs="Arial"/>
          <w:lang w:val="en-US"/>
        </w:rPr>
        <w:t>but explaining its reservations about issuing payment certificate 23</w:t>
      </w:r>
      <w:r w:rsidR="003334C0">
        <w:rPr>
          <w:rFonts w:ascii="Arial" w:hAnsi="Arial" w:cs="Arial"/>
          <w:lang w:val="en-US"/>
        </w:rPr>
        <w:t>,</w:t>
      </w:r>
      <w:r>
        <w:rPr>
          <w:rFonts w:ascii="Arial" w:hAnsi="Arial" w:cs="Arial"/>
          <w:lang w:val="en-US"/>
        </w:rPr>
        <w:t xml:space="preserve"> </w:t>
      </w:r>
      <w:r w:rsidR="003334C0">
        <w:rPr>
          <w:rFonts w:ascii="Arial" w:hAnsi="Arial" w:cs="Arial"/>
          <w:lang w:val="en-US"/>
        </w:rPr>
        <w:t xml:space="preserve">which included </w:t>
      </w:r>
      <w:r>
        <w:rPr>
          <w:rFonts w:ascii="Arial" w:hAnsi="Arial" w:cs="Arial"/>
          <w:lang w:val="en-US"/>
        </w:rPr>
        <w:t>the partial release of retention money and payment of non-compliant works</w:t>
      </w:r>
      <w:r w:rsidR="003334C0">
        <w:rPr>
          <w:rFonts w:ascii="Arial" w:hAnsi="Arial" w:cs="Arial"/>
          <w:lang w:val="en-US"/>
        </w:rPr>
        <w:t xml:space="preserve"> not approved by the second defendant</w:t>
      </w:r>
      <w:r>
        <w:rPr>
          <w:rFonts w:ascii="Arial" w:hAnsi="Arial" w:cs="Arial"/>
          <w:lang w:val="en-US"/>
        </w:rPr>
        <w:t xml:space="preserve">. </w:t>
      </w:r>
      <w:r w:rsidR="00CA12C1">
        <w:rPr>
          <w:rFonts w:ascii="Arial" w:hAnsi="Arial" w:cs="Arial"/>
          <w:lang w:val="en-US"/>
        </w:rPr>
        <w:t xml:space="preserve">She said at that stage, N$302 972,35 </w:t>
      </w:r>
      <w:r w:rsidR="00ED6095">
        <w:rPr>
          <w:rFonts w:ascii="Arial" w:hAnsi="Arial" w:cs="Arial"/>
          <w:lang w:val="en-US"/>
        </w:rPr>
        <w:t>was</w:t>
      </w:r>
      <w:r>
        <w:rPr>
          <w:rFonts w:ascii="Arial" w:hAnsi="Arial" w:cs="Arial"/>
          <w:lang w:val="en-US"/>
        </w:rPr>
        <w:t xml:space="preserve"> deducted as penalties due to late completion.</w:t>
      </w:r>
    </w:p>
    <w:p w14:paraId="766C0345" w14:textId="77777777" w:rsidR="00D43E83" w:rsidRPr="00046203" w:rsidRDefault="00D43E83" w:rsidP="00D43E83">
      <w:pPr>
        <w:pStyle w:val="ListParagraph"/>
        <w:rPr>
          <w:rFonts w:ascii="Arial" w:hAnsi="Arial" w:cs="Arial"/>
          <w:lang w:val="en-US"/>
        </w:rPr>
      </w:pPr>
    </w:p>
    <w:p w14:paraId="28C66248" w14:textId="3D27467E" w:rsidR="00D43E83" w:rsidRDefault="00CA12C1" w:rsidP="00D43E83">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Pr>
          <w:rFonts w:ascii="Arial" w:hAnsi="Arial" w:cs="Arial"/>
          <w:lang w:val="en-US"/>
        </w:rPr>
        <w:t xml:space="preserve"> testified that on</w:t>
      </w:r>
      <w:r w:rsidR="00D43E83">
        <w:rPr>
          <w:rFonts w:ascii="Arial" w:hAnsi="Arial" w:cs="Arial"/>
          <w:lang w:val="en-US"/>
        </w:rPr>
        <w:t xml:space="preserve"> 26 May 2017, the first defendant, in a letter to the second defendant, reversed its decision of 23 March 2017 and cancelled payment certificate 23 issued on 3 April 2017. </w:t>
      </w:r>
      <w:r w:rsidR="002604B5">
        <w:rPr>
          <w:rFonts w:ascii="Arial" w:hAnsi="Arial" w:cs="Arial"/>
          <w:lang w:val="en-US"/>
        </w:rPr>
        <w:t>The letter</w:t>
      </w:r>
      <w:r w:rsidR="00D43E83">
        <w:rPr>
          <w:rFonts w:ascii="Arial" w:hAnsi="Arial" w:cs="Arial"/>
          <w:lang w:val="en-US"/>
        </w:rPr>
        <w:t xml:space="preserve"> stated</w:t>
      </w:r>
      <w:r w:rsidR="002604B5">
        <w:rPr>
          <w:rFonts w:ascii="Arial" w:hAnsi="Arial" w:cs="Arial"/>
          <w:lang w:val="en-US"/>
        </w:rPr>
        <w:t xml:space="preserve"> </w:t>
      </w:r>
      <w:r w:rsidR="00D43E83">
        <w:rPr>
          <w:rFonts w:ascii="Arial" w:hAnsi="Arial" w:cs="Arial"/>
          <w:lang w:val="en-US"/>
        </w:rPr>
        <w:t>that the first defendant took the decision and instructed the second defendant to partially release the retention money without knowledge of the existence of a cession agreement between the user ministry and the plaintiff’s guarantor, Nam</w:t>
      </w:r>
      <w:r>
        <w:rPr>
          <w:rFonts w:ascii="Arial" w:hAnsi="Arial" w:cs="Arial"/>
          <w:lang w:val="en-US"/>
        </w:rPr>
        <w:t xml:space="preserve">ibia </w:t>
      </w:r>
      <w:r w:rsidR="00D43E83">
        <w:rPr>
          <w:rFonts w:ascii="Arial" w:hAnsi="Arial" w:cs="Arial"/>
          <w:lang w:val="en-US"/>
        </w:rPr>
        <w:t>Pro</w:t>
      </w:r>
      <w:r>
        <w:rPr>
          <w:rFonts w:ascii="Arial" w:hAnsi="Arial" w:cs="Arial"/>
          <w:lang w:val="en-US"/>
        </w:rPr>
        <w:t>curement</w:t>
      </w:r>
      <w:r w:rsidR="00D43E83">
        <w:rPr>
          <w:rFonts w:ascii="Arial" w:hAnsi="Arial" w:cs="Arial"/>
          <w:lang w:val="en-US"/>
        </w:rPr>
        <w:t xml:space="preserve"> Fund</w:t>
      </w:r>
      <w:r>
        <w:rPr>
          <w:rFonts w:ascii="Arial" w:hAnsi="Arial" w:cs="Arial"/>
          <w:lang w:val="en-US"/>
        </w:rPr>
        <w:t xml:space="preserve"> (</w:t>
      </w:r>
      <w:proofErr w:type="spellStart"/>
      <w:r>
        <w:rPr>
          <w:rFonts w:ascii="Arial" w:hAnsi="Arial" w:cs="Arial"/>
          <w:lang w:val="en-US"/>
        </w:rPr>
        <w:t>NamPro</w:t>
      </w:r>
      <w:proofErr w:type="spellEnd"/>
      <w:r>
        <w:rPr>
          <w:rFonts w:ascii="Arial" w:hAnsi="Arial" w:cs="Arial"/>
          <w:lang w:val="en-US"/>
        </w:rPr>
        <w:t xml:space="preserve"> Fund),</w:t>
      </w:r>
      <w:r w:rsidR="00D43E83">
        <w:rPr>
          <w:rFonts w:ascii="Arial" w:hAnsi="Arial" w:cs="Arial"/>
          <w:lang w:val="en-US"/>
        </w:rPr>
        <w:t xml:space="preserve"> and in light thereof the decision was reversed.  </w:t>
      </w:r>
    </w:p>
    <w:p w14:paraId="5DB53381" w14:textId="77777777" w:rsidR="00D43E83" w:rsidRPr="001F2F13" w:rsidRDefault="00D43E83" w:rsidP="00D43E83">
      <w:pPr>
        <w:pStyle w:val="ListParagraph"/>
        <w:rPr>
          <w:rFonts w:ascii="Arial" w:hAnsi="Arial" w:cs="Arial"/>
          <w:lang w:val="en-US"/>
        </w:rPr>
      </w:pPr>
    </w:p>
    <w:p w14:paraId="0297CD33" w14:textId="199BA2B1" w:rsidR="00D43E83" w:rsidRPr="003334C0" w:rsidRDefault="00CA12C1" w:rsidP="003334C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first payment certificate 23 (23A) was cancelled, and o</w:t>
      </w:r>
      <w:r w:rsidR="00D43E83" w:rsidRPr="00046203">
        <w:rPr>
          <w:rFonts w:ascii="Arial" w:hAnsi="Arial" w:cs="Arial"/>
          <w:lang w:val="en-US"/>
        </w:rPr>
        <w:t xml:space="preserve">n 22 June 2017, </w:t>
      </w:r>
      <w:r>
        <w:rPr>
          <w:rFonts w:ascii="Arial" w:hAnsi="Arial" w:cs="Arial"/>
          <w:lang w:val="en-US"/>
        </w:rPr>
        <w:t xml:space="preserve">a second </w:t>
      </w:r>
      <w:r w:rsidR="00D43E83" w:rsidRPr="00046203">
        <w:rPr>
          <w:rFonts w:ascii="Arial" w:hAnsi="Arial" w:cs="Arial"/>
          <w:lang w:val="en-US"/>
        </w:rPr>
        <w:t>payment certificate 2</w:t>
      </w:r>
      <w:r>
        <w:rPr>
          <w:rFonts w:ascii="Arial" w:hAnsi="Arial" w:cs="Arial"/>
          <w:lang w:val="en-US"/>
        </w:rPr>
        <w:t>3 (23B)</w:t>
      </w:r>
      <w:r w:rsidR="003334C0">
        <w:rPr>
          <w:rFonts w:ascii="Arial" w:hAnsi="Arial" w:cs="Arial"/>
          <w:lang w:val="en-US"/>
        </w:rPr>
        <w:t xml:space="preserve"> </w:t>
      </w:r>
      <w:r w:rsidR="00D43E83" w:rsidRPr="00046203">
        <w:rPr>
          <w:rFonts w:ascii="Arial" w:hAnsi="Arial" w:cs="Arial"/>
          <w:lang w:val="en-US"/>
        </w:rPr>
        <w:t>was issued.</w:t>
      </w:r>
      <w:r w:rsidR="00D43E83">
        <w:rPr>
          <w:rFonts w:ascii="Arial" w:hAnsi="Arial" w:cs="Arial"/>
          <w:lang w:val="en-US"/>
        </w:rPr>
        <w:t xml:space="preserve"> Garcia sa</w:t>
      </w:r>
      <w:r>
        <w:rPr>
          <w:rFonts w:ascii="Arial" w:hAnsi="Arial" w:cs="Arial"/>
          <w:lang w:val="en-US"/>
        </w:rPr>
        <w:t>id</w:t>
      </w:r>
      <w:r w:rsidR="003334C0">
        <w:rPr>
          <w:rFonts w:ascii="Arial" w:hAnsi="Arial" w:cs="Arial"/>
          <w:lang w:val="en-US"/>
        </w:rPr>
        <w:t xml:space="preserve"> payment certificate 23B</w:t>
      </w:r>
      <w:r w:rsidR="00D43E83">
        <w:rPr>
          <w:rFonts w:ascii="Arial" w:hAnsi="Arial" w:cs="Arial"/>
          <w:lang w:val="en-US"/>
        </w:rPr>
        <w:t xml:space="preserve"> was for N$104 650 without the partial release of retention money and non-compliant works but by then</w:t>
      </w:r>
      <w:r w:rsidR="003334C0">
        <w:rPr>
          <w:rFonts w:ascii="Arial" w:hAnsi="Arial" w:cs="Arial"/>
          <w:lang w:val="en-US"/>
        </w:rPr>
        <w:t>,</w:t>
      </w:r>
      <w:r w:rsidR="00D43E83">
        <w:rPr>
          <w:rFonts w:ascii="Arial" w:hAnsi="Arial" w:cs="Arial"/>
          <w:lang w:val="en-US"/>
        </w:rPr>
        <w:t xml:space="preserve"> payment certificate 23</w:t>
      </w:r>
      <w:r w:rsidR="003334C0">
        <w:rPr>
          <w:rFonts w:ascii="Arial" w:hAnsi="Arial" w:cs="Arial"/>
          <w:lang w:val="en-US"/>
        </w:rPr>
        <w:t>A</w:t>
      </w:r>
      <w:r w:rsidR="00D43E83">
        <w:rPr>
          <w:rFonts w:ascii="Arial" w:hAnsi="Arial" w:cs="Arial"/>
          <w:lang w:val="en-US"/>
        </w:rPr>
        <w:t xml:space="preserve"> for N$504 167,82 was already processed and both were paid </w:t>
      </w:r>
      <w:r w:rsidR="003334C0">
        <w:rPr>
          <w:rFonts w:ascii="Arial" w:hAnsi="Arial" w:cs="Arial"/>
          <w:lang w:val="en-US"/>
        </w:rPr>
        <w:t xml:space="preserve">to the plaintiff </w:t>
      </w:r>
      <w:r w:rsidR="00D43E83">
        <w:rPr>
          <w:rFonts w:ascii="Arial" w:hAnsi="Arial" w:cs="Arial"/>
          <w:lang w:val="en-US"/>
        </w:rPr>
        <w:t>and therefore</w:t>
      </w:r>
      <w:r w:rsidR="003334C0">
        <w:rPr>
          <w:rFonts w:ascii="Arial" w:hAnsi="Arial" w:cs="Arial"/>
          <w:lang w:val="en-US"/>
        </w:rPr>
        <w:t>,</w:t>
      </w:r>
      <w:r w:rsidR="00D43E83">
        <w:rPr>
          <w:rFonts w:ascii="Arial" w:hAnsi="Arial" w:cs="Arial"/>
          <w:lang w:val="en-US"/>
        </w:rPr>
        <w:t xml:space="preserve"> the first defendant reversed the payment with the next payment certificate 24 </w:t>
      </w:r>
      <w:r w:rsidR="003334C0">
        <w:rPr>
          <w:rFonts w:ascii="Arial" w:hAnsi="Arial" w:cs="Arial"/>
          <w:lang w:val="en-US"/>
        </w:rPr>
        <w:t>of</w:t>
      </w:r>
      <w:r w:rsidR="00D43E83">
        <w:rPr>
          <w:rFonts w:ascii="Arial" w:hAnsi="Arial" w:cs="Arial"/>
          <w:lang w:val="en-US"/>
        </w:rPr>
        <w:t xml:space="preserve"> N$732 716,39 and paid the plaintiff N$228 548.57</w:t>
      </w:r>
      <w:r w:rsidR="003334C0">
        <w:rPr>
          <w:rFonts w:ascii="Arial" w:hAnsi="Arial" w:cs="Arial"/>
          <w:lang w:val="en-US"/>
        </w:rPr>
        <w:t xml:space="preserve"> for it</w:t>
      </w:r>
      <w:r w:rsidR="00D43E83">
        <w:rPr>
          <w:rFonts w:ascii="Arial" w:hAnsi="Arial" w:cs="Arial"/>
          <w:lang w:val="en-US"/>
        </w:rPr>
        <w:t>, being the difference between payment certificate 24 and payment certificate 23</w:t>
      </w:r>
      <w:r w:rsidR="003334C0">
        <w:rPr>
          <w:rFonts w:ascii="Arial" w:hAnsi="Arial" w:cs="Arial"/>
          <w:lang w:val="en-US"/>
        </w:rPr>
        <w:t>A</w:t>
      </w:r>
      <w:r w:rsidR="00D43E83">
        <w:rPr>
          <w:rFonts w:ascii="Arial" w:hAnsi="Arial" w:cs="Arial"/>
          <w:lang w:val="en-US"/>
        </w:rPr>
        <w:t>.</w:t>
      </w:r>
      <w:r w:rsidR="003334C0">
        <w:rPr>
          <w:rFonts w:ascii="Arial" w:hAnsi="Arial" w:cs="Arial"/>
          <w:lang w:val="en-US"/>
        </w:rPr>
        <w:t xml:space="preserve"> Garcia said the user ministry made the payments, not the first defendant who </w:t>
      </w:r>
      <w:r w:rsidR="00267518">
        <w:rPr>
          <w:rFonts w:ascii="Arial" w:hAnsi="Arial" w:cs="Arial"/>
          <w:lang w:val="en-US"/>
        </w:rPr>
        <w:t>decided</w:t>
      </w:r>
      <w:r w:rsidR="003334C0">
        <w:rPr>
          <w:rFonts w:ascii="Arial" w:hAnsi="Arial" w:cs="Arial"/>
          <w:lang w:val="en-US"/>
        </w:rPr>
        <w:t xml:space="preserve"> to cancel payment certificate 23A, and due to a communication delay, both certificates were paid.</w:t>
      </w:r>
    </w:p>
    <w:p w14:paraId="2F074787" w14:textId="77777777" w:rsidR="00D43E83" w:rsidRPr="003334C0" w:rsidRDefault="00D43E83" w:rsidP="003334C0">
      <w:pPr>
        <w:rPr>
          <w:rFonts w:ascii="Arial" w:hAnsi="Arial" w:cs="Arial"/>
          <w:lang w:val="en-US"/>
        </w:rPr>
      </w:pPr>
    </w:p>
    <w:p w14:paraId="454FDB63" w14:textId="7A8541DC" w:rsidR="00D43E83" w:rsidRDefault="00D43E83" w:rsidP="00D43E8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Nel sa</w:t>
      </w:r>
      <w:r w:rsidR="002604B5">
        <w:rPr>
          <w:rFonts w:ascii="Arial" w:hAnsi="Arial" w:cs="Arial"/>
          <w:lang w:val="en-US"/>
        </w:rPr>
        <w:t>id</w:t>
      </w:r>
      <w:r>
        <w:rPr>
          <w:rFonts w:ascii="Arial" w:hAnsi="Arial" w:cs="Arial"/>
          <w:lang w:val="en-US"/>
        </w:rPr>
        <w:t xml:space="preserve"> payment certificate 23</w:t>
      </w:r>
      <w:r w:rsidR="002604B5">
        <w:rPr>
          <w:rFonts w:ascii="Arial" w:hAnsi="Arial" w:cs="Arial"/>
          <w:lang w:val="en-US"/>
        </w:rPr>
        <w:t>A</w:t>
      </w:r>
      <w:r>
        <w:rPr>
          <w:rFonts w:ascii="Arial" w:hAnsi="Arial" w:cs="Arial"/>
          <w:lang w:val="en-US"/>
        </w:rPr>
        <w:t xml:space="preserve"> </w:t>
      </w:r>
      <w:r w:rsidR="002604B5">
        <w:rPr>
          <w:rFonts w:ascii="Arial" w:hAnsi="Arial" w:cs="Arial"/>
          <w:lang w:val="en-US"/>
        </w:rPr>
        <w:t xml:space="preserve">for N$504 167,82 </w:t>
      </w:r>
      <w:r>
        <w:rPr>
          <w:rFonts w:ascii="Arial" w:hAnsi="Arial" w:cs="Arial"/>
          <w:lang w:val="en-US"/>
        </w:rPr>
        <w:t>was paid to the plaintiff on 22 August 2017</w:t>
      </w:r>
      <w:r w:rsidR="002604B5">
        <w:rPr>
          <w:rFonts w:ascii="Arial" w:hAnsi="Arial" w:cs="Arial"/>
          <w:lang w:val="en-US"/>
        </w:rPr>
        <w:t>,</w:t>
      </w:r>
      <w:r>
        <w:rPr>
          <w:rFonts w:ascii="Arial" w:hAnsi="Arial" w:cs="Arial"/>
          <w:lang w:val="en-US"/>
        </w:rPr>
        <w:t xml:space="preserve"> </w:t>
      </w:r>
      <w:r w:rsidR="002604B5">
        <w:rPr>
          <w:rFonts w:ascii="Arial" w:hAnsi="Arial" w:cs="Arial"/>
          <w:lang w:val="en-US"/>
        </w:rPr>
        <w:t>and it</w:t>
      </w:r>
      <w:r>
        <w:rPr>
          <w:rFonts w:ascii="Arial" w:hAnsi="Arial" w:cs="Arial"/>
          <w:lang w:val="en-US"/>
        </w:rPr>
        <w:t xml:space="preserve"> erroneously included N$399 517,82 for part of retention money requested by the plaintiff to assist its cash</w:t>
      </w:r>
      <w:r w:rsidR="002604B5">
        <w:rPr>
          <w:rFonts w:ascii="Arial" w:hAnsi="Arial" w:cs="Arial"/>
          <w:lang w:val="en-US"/>
        </w:rPr>
        <w:t xml:space="preserve"> </w:t>
      </w:r>
      <w:r>
        <w:rPr>
          <w:rFonts w:ascii="Arial" w:hAnsi="Arial" w:cs="Arial"/>
          <w:lang w:val="en-US"/>
        </w:rPr>
        <w:t>flow. At the same time, N$104 650 for work done</w:t>
      </w:r>
      <w:r w:rsidR="002604B5">
        <w:rPr>
          <w:rFonts w:ascii="Arial" w:hAnsi="Arial" w:cs="Arial"/>
          <w:lang w:val="en-US"/>
        </w:rPr>
        <w:t>,</w:t>
      </w:r>
      <w:r>
        <w:rPr>
          <w:rFonts w:ascii="Arial" w:hAnsi="Arial" w:cs="Arial"/>
          <w:lang w:val="en-US"/>
        </w:rPr>
        <w:t xml:space="preserve"> excluding the N$399 517,82 for retention money</w:t>
      </w:r>
      <w:r w:rsidR="002604B5">
        <w:rPr>
          <w:rFonts w:ascii="Arial" w:hAnsi="Arial" w:cs="Arial"/>
          <w:lang w:val="en-US"/>
        </w:rPr>
        <w:t>,</w:t>
      </w:r>
      <w:r>
        <w:rPr>
          <w:rFonts w:ascii="Arial" w:hAnsi="Arial" w:cs="Arial"/>
          <w:lang w:val="en-US"/>
        </w:rPr>
        <w:t xml:space="preserve"> was paid to the plaintiff under payment certificate 23</w:t>
      </w:r>
      <w:r w:rsidR="002604B5">
        <w:rPr>
          <w:rFonts w:ascii="Arial" w:hAnsi="Arial" w:cs="Arial"/>
          <w:lang w:val="en-US"/>
        </w:rPr>
        <w:t>B</w:t>
      </w:r>
      <w:r>
        <w:rPr>
          <w:rFonts w:ascii="Arial" w:hAnsi="Arial" w:cs="Arial"/>
          <w:lang w:val="en-US"/>
        </w:rPr>
        <w:t>. In total, he sa</w:t>
      </w:r>
      <w:r w:rsidR="006A5C74">
        <w:rPr>
          <w:rFonts w:ascii="Arial" w:hAnsi="Arial" w:cs="Arial"/>
          <w:lang w:val="en-US"/>
        </w:rPr>
        <w:t>id</w:t>
      </w:r>
      <w:r>
        <w:rPr>
          <w:rFonts w:ascii="Arial" w:hAnsi="Arial" w:cs="Arial"/>
          <w:lang w:val="en-US"/>
        </w:rPr>
        <w:t>, the plaintiff was paid N$608 817,82 while it was only entitl</w:t>
      </w:r>
      <w:r w:rsidR="002604B5">
        <w:rPr>
          <w:rFonts w:ascii="Arial" w:hAnsi="Arial" w:cs="Arial"/>
          <w:lang w:val="en-US"/>
        </w:rPr>
        <w:t>e</w:t>
      </w:r>
      <w:r>
        <w:rPr>
          <w:rFonts w:ascii="Arial" w:hAnsi="Arial" w:cs="Arial"/>
          <w:lang w:val="en-US"/>
        </w:rPr>
        <w:t>d to N$104 650. The erroneous payment was revised and corrected when payment certificate 24 was submitted for payment in the amount of N$732 716,39 and N$504 167,82 was withheld to reconcile the overpayment. Hence N$228 548,57 was paid for payment certificate 24.</w:t>
      </w:r>
      <w:r w:rsidR="006A5C74">
        <w:rPr>
          <w:rFonts w:ascii="Arial" w:hAnsi="Arial" w:cs="Arial"/>
          <w:lang w:val="en-US"/>
        </w:rPr>
        <w:t xml:space="preserve"> He explained the payment to Electro Blitz</w:t>
      </w:r>
      <w:r w:rsidR="00226E60">
        <w:rPr>
          <w:rFonts w:ascii="Arial" w:hAnsi="Arial" w:cs="Arial"/>
          <w:lang w:val="en-US"/>
        </w:rPr>
        <w:t>, a subcontractor,</w:t>
      </w:r>
      <w:r w:rsidR="006A5C74">
        <w:rPr>
          <w:rFonts w:ascii="Arial" w:hAnsi="Arial" w:cs="Arial"/>
          <w:lang w:val="en-US"/>
        </w:rPr>
        <w:t xml:space="preserve"> was repeated and the intention was that payment certificate 23B replaces 23A. The overpayment of N$504 167,82, consisting of N$104 650 for Electro Blitz and N$399 517,82 for retention money, occurred because both certificates were paid. Nel said a small amount of payment certificates 23</w:t>
      </w:r>
      <w:r w:rsidR="00517AE0">
        <w:rPr>
          <w:rFonts w:ascii="Arial" w:hAnsi="Arial" w:cs="Arial"/>
          <w:lang w:val="en-US"/>
        </w:rPr>
        <w:t>A and 23B</w:t>
      </w:r>
      <w:r w:rsidR="006A5C74">
        <w:rPr>
          <w:rFonts w:ascii="Arial" w:hAnsi="Arial" w:cs="Arial"/>
          <w:lang w:val="en-US"/>
        </w:rPr>
        <w:t xml:space="preserve"> was for work done, and under cross-examination, he agreed that N$47 </w:t>
      </w:r>
      <w:r w:rsidR="000D3252">
        <w:rPr>
          <w:rFonts w:ascii="Arial" w:hAnsi="Arial" w:cs="Arial"/>
          <w:lang w:val="en-US"/>
        </w:rPr>
        <w:t>406,80</w:t>
      </w:r>
      <w:r w:rsidR="006A5C74">
        <w:rPr>
          <w:rFonts w:ascii="Arial" w:hAnsi="Arial" w:cs="Arial"/>
          <w:lang w:val="en-US"/>
        </w:rPr>
        <w:t>, which was part of the amount of N$399 517,82, should not have been deducted as it was for work done. It also transpired that the quantity surveyor was not instructed to deduct the erroneous payment from payment certificate 24.</w:t>
      </w:r>
    </w:p>
    <w:p w14:paraId="23A0518A" w14:textId="77777777" w:rsidR="00D43E83" w:rsidRPr="0018355E" w:rsidRDefault="00D43E83" w:rsidP="00D43E83">
      <w:pPr>
        <w:pStyle w:val="ListParagraph"/>
        <w:rPr>
          <w:rFonts w:ascii="Arial" w:hAnsi="Arial" w:cs="Arial"/>
          <w:lang w:val="en-US"/>
        </w:rPr>
      </w:pPr>
    </w:p>
    <w:p w14:paraId="083DB36C" w14:textId="6D67F758" w:rsidR="00D43E83" w:rsidRPr="00D90C45" w:rsidRDefault="00D43E83" w:rsidP="00D43E8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Nel further sa</w:t>
      </w:r>
      <w:r w:rsidR="00267518">
        <w:rPr>
          <w:rFonts w:ascii="Arial" w:hAnsi="Arial" w:cs="Arial"/>
          <w:lang w:val="en-US"/>
        </w:rPr>
        <w:t>id</w:t>
      </w:r>
      <w:r>
        <w:rPr>
          <w:rFonts w:ascii="Arial" w:hAnsi="Arial" w:cs="Arial"/>
          <w:lang w:val="en-US"/>
        </w:rPr>
        <w:t xml:space="preserve"> money is retained from each payment as surety against defective workmanship and the use of wrong materials and to ensure the contractor returns to </w:t>
      </w:r>
      <w:r w:rsidR="002604B5">
        <w:rPr>
          <w:rFonts w:ascii="Arial" w:hAnsi="Arial" w:cs="Arial"/>
          <w:lang w:val="en-US"/>
        </w:rPr>
        <w:t xml:space="preserve">the </w:t>
      </w:r>
      <w:r>
        <w:rPr>
          <w:rFonts w:ascii="Arial" w:hAnsi="Arial" w:cs="Arial"/>
          <w:lang w:val="en-US"/>
        </w:rPr>
        <w:t>site to rectify defects that may become evident during the liability period</w:t>
      </w:r>
      <w:r w:rsidR="002604B5">
        <w:rPr>
          <w:rFonts w:ascii="Arial" w:hAnsi="Arial" w:cs="Arial"/>
          <w:lang w:val="en-US"/>
        </w:rPr>
        <w:t>,</w:t>
      </w:r>
      <w:r>
        <w:rPr>
          <w:rFonts w:ascii="Arial" w:hAnsi="Arial" w:cs="Arial"/>
          <w:lang w:val="en-US"/>
        </w:rPr>
        <w:t xml:space="preserve"> which was 12 months in the matter at hand. The maximum is </w:t>
      </w:r>
      <w:r>
        <w:rPr>
          <w:rFonts w:ascii="Arial" w:hAnsi="Arial" w:cs="Arial"/>
          <w:lang w:val="en-US"/>
        </w:rPr>
        <w:lastRenderedPageBreak/>
        <w:t>5</w:t>
      </w:r>
      <w:r w:rsidR="000D761D">
        <w:rPr>
          <w:rFonts w:ascii="Arial" w:hAnsi="Arial" w:cs="Arial"/>
          <w:lang w:val="en-US"/>
        </w:rPr>
        <w:t xml:space="preserve"> per cent</w:t>
      </w:r>
      <w:r>
        <w:rPr>
          <w:rFonts w:ascii="Arial" w:hAnsi="Arial" w:cs="Arial"/>
          <w:lang w:val="en-US"/>
        </w:rPr>
        <w:t xml:space="preserve"> of the contract value, which reduces to 2,5</w:t>
      </w:r>
      <w:r w:rsidR="000D761D">
        <w:rPr>
          <w:rFonts w:ascii="Arial" w:hAnsi="Arial" w:cs="Arial"/>
          <w:lang w:val="en-US"/>
        </w:rPr>
        <w:t xml:space="preserve"> per cent</w:t>
      </w:r>
      <w:r>
        <w:rPr>
          <w:rFonts w:ascii="Arial" w:hAnsi="Arial" w:cs="Arial"/>
          <w:lang w:val="en-US"/>
        </w:rPr>
        <w:t xml:space="preserve"> at practical completion</w:t>
      </w:r>
      <w:r w:rsidR="002604B5">
        <w:rPr>
          <w:rFonts w:ascii="Arial" w:hAnsi="Arial" w:cs="Arial"/>
          <w:lang w:val="en-US"/>
        </w:rPr>
        <w:t>,</w:t>
      </w:r>
      <w:r>
        <w:rPr>
          <w:rFonts w:ascii="Arial" w:hAnsi="Arial" w:cs="Arial"/>
          <w:lang w:val="en-US"/>
        </w:rPr>
        <w:t xml:space="preserve"> and the last 2,5</w:t>
      </w:r>
      <w:r w:rsidR="000D761D">
        <w:rPr>
          <w:rFonts w:ascii="Arial" w:hAnsi="Arial" w:cs="Arial"/>
          <w:lang w:val="en-US"/>
        </w:rPr>
        <w:t xml:space="preserve"> per cent</w:t>
      </w:r>
      <w:r>
        <w:rPr>
          <w:rFonts w:ascii="Arial" w:hAnsi="Arial" w:cs="Arial"/>
          <w:lang w:val="en-US"/>
        </w:rPr>
        <w:t xml:space="preserve"> is released at final completion.  Using </w:t>
      </w:r>
      <w:r w:rsidR="002604B5">
        <w:rPr>
          <w:rFonts w:ascii="Arial" w:hAnsi="Arial" w:cs="Arial"/>
          <w:lang w:val="en-US"/>
        </w:rPr>
        <w:t>retention money</w:t>
      </w:r>
      <w:r>
        <w:rPr>
          <w:rFonts w:ascii="Arial" w:hAnsi="Arial" w:cs="Arial"/>
          <w:lang w:val="en-US"/>
        </w:rPr>
        <w:t xml:space="preserve"> puts the employer at risk. As practical completion and final completion certificates were not issued, the first defendant is entitled to the retention money</w:t>
      </w:r>
      <w:r w:rsidR="002604B5">
        <w:rPr>
          <w:rFonts w:ascii="Arial" w:hAnsi="Arial" w:cs="Arial"/>
          <w:lang w:val="en-US"/>
        </w:rPr>
        <w:t>,</w:t>
      </w:r>
      <w:r>
        <w:rPr>
          <w:rFonts w:ascii="Arial" w:hAnsi="Arial" w:cs="Arial"/>
          <w:lang w:val="en-US"/>
        </w:rPr>
        <w:t xml:space="preserve"> and it was contractually incorrect for the first defendant to release part of it. </w:t>
      </w:r>
    </w:p>
    <w:p w14:paraId="66077738" w14:textId="77777777" w:rsidR="004B2F5B" w:rsidRPr="004B2F5B" w:rsidRDefault="004B2F5B" w:rsidP="004B2F5B">
      <w:pPr>
        <w:pStyle w:val="ListParagraph"/>
        <w:rPr>
          <w:rFonts w:ascii="Arial" w:hAnsi="Arial" w:cs="Arial"/>
          <w:lang w:val="en-US"/>
        </w:rPr>
      </w:pPr>
    </w:p>
    <w:p w14:paraId="17CE97EB" w14:textId="4E85F44A" w:rsidR="003334C0" w:rsidRDefault="003334C0"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According to </w:t>
      </w:r>
      <w:proofErr w:type="spellStart"/>
      <w:r>
        <w:rPr>
          <w:rFonts w:ascii="Arial" w:hAnsi="Arial" w:cs="Arial"/>
          <w:lang w:val="en-US"/>
        </w:rPr>
        <w:t>Kapuuo</w:t>
      </w:r>
      <w:proofErr w:type="spellEnd"/>
      <w:r>
        <w:rPr>
          <w:rFonts w:ascii="Arial" w:hAnsi="Arial" w:cs="Arial"/>
          <w:lang w:val="en-US"/>
        </w:rPr>
        <w:t>, the plaintiff carried out the work in payment certificates 23</w:t>
      </w:r>
      <w:r w:rsidR="00517AE0">
        <w:rPr>
          <w:rFonts w:ascii="Arial" w:hAnsi="Arial" w:cs="Arial"/>
          <w:lang w:val="en-US"/>
        </w:rPr>
        <w:t>A and 23B</w:t>
      </w:r>
      <w:r>
        <w:rPr>
          <w:rFonts w:ascii="Arial" w:hAnsi="Arial" w:cs="Arial"/>
          <w:lang w:val="en-US"/>
        </w:rPr>
        <w:t xml:space="preserve"> and it was valued and quantified under the contract. He sa</w:t>
      </w:r>
      <w:r w:rsidR="00267518">
        <w:rPr>
          <w:rFonts w:ascii="Arial" w:hAnsi="Arial" w:cs="Arial"/>
          <w:lang w:val="en-US"/>
        </w:rPr>
        <w:t>id</w:t>
      </w:r>
      <w:r>
        <w:rPr>
          <w:rFonts w:ascii="Arial" w:hAnsi="Arial" w:cs="Arial"/>
          <w:lang w:val="en-US"/>
        </w:rPr>
        <w:t xml:space="preserve"> no amounts were unduly paid in respect of those payment certificates.</w:t>
      </w:r>
    </w:p>
    <w:p w14:paraId="6BA6E2EB" w14:textId="77777777" w:rsidR="003334C0" w:rsidRPr="003334C0" w:rsidRDefault="003334C0" w:rsidP="003334C0">
      <w:pPr>
        <w:pStyle w:val="ListParagraph"/>
        <w:rPr>
          <w:rFonts w:ascii="Arial" w:hAnsi="Arial" w:cs="Arial"/>
          <w:lang w:val="en-US"/>
        </w:rPr>
      </w:pPr>
    </w:p>
    <w:p w14:paraId="0F26FEBE" w14:textId="00CA1D06" w:rsidR="004B2F5B" w:rsidRDefault="006865C1" w:rsidP="00FA715E">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Pr>
          <w:rFonts w:ascii="Arial" w:hAnsi="Arial" w:cs="Arial"/>
          <w:lang w:val="en-US"/>
        </w:rPr>
        <w:t xml:space="preserve"> testified t</w:t>
      </w:r>
      <w:r w:rsidR="004B2F5B">
        <w:rPr>
          <w:rFonts w:ascii="Arial" w:hAnsi="Arial" w:cs="Arial"/>
          <w:lang w:val="en-US"/>
        </w:rPr>
        <w:t>he plaintiff continued rendering services while correspondence was exchanged between the parties about payment certificate 24.</w:t>
      </w:r>
      <w:r w:rsidR="00603D18">
        <w:rPr>
          <w:rFonts w:ascii="Arial" w:hAnsi="Arial" w:cs="Arial"/>
          <w:lang w:val="en-US"/>
        </w:rPr>
        <w:t xml:space="preserve"> Garcia disagreed with th</w:t>
      </w:r>
      <w:r>
        <w:rPr>
          <w:rFonts w:ascii="Arial" w:hAnsi="Arial" w:cs="Arial"/>
          <w:lang w:val="en-US"/>
        </w:rPr>
        <w:t>at</w:t>
      </w:r>
      <w:r w:rsidR="00603D18">
        <w:rPr>
          <w:rFonts w:ascii="Arial" w:hAnsi="Arial" w:cs="Arial"/>
          <w:lang w:val="en-US"/>
        </w:rPr>
        <w:t xml:space="preserve"> statement. She sa</w:t>
      </w:r>
      <w:r>
        <w:rPr>
          <w:rFonts w:ascii="Arial" w:hAnsi="Arial" w:cs="Arial"/>
          <w:lang w:val="en-US"/>
        </w:rPr>
        <w:t>id</w:t>
      </w:r>
      <w:r w:rsidR="00603D18">
        <w:rPr>
          <w:rFonts w:ascii="Arial" w:hAnsi="Arial" w:cs="Arial"/>
          <w:lang w:val="en-US"/>
        </w:rPr>
        <w:t xml:space="preserve"> payment certificate 24 was issued on 17 October 2017, and the</w:t>
      </w:r>
      <w:r w:rsidR="006A5C74">
        <w:rPr>
          <w:rFonts w:ascii="Arial" w:hAnsi="Arial" w:cs="Arial"/>
          <w:lang w:val="en-US"/>
        </w:rPr>
        <w:t xml:space="preserve"> plaintiff made little progress on the project</w:t>
      </w:r>
      <w:r w:rsidR="00603D18">
        <w:rPr>
          <w:rFonts w:ascii="Arial" w:hAnsi="Arial" w:cs="Arial"/>
          <w:lang w:val="en-US"/>
        </w:rPr>
        <w:t xml:space="preserve">. </w:t>
      </w:r>
    </w:p>
    <w:p w14:paraId="082B6177" w14:textId="77777777" w:rsidR="004B2F5B" w:rsidRPr="004B2F5B" w:rsidRDefault="004B2F5B" w:rsidP="004B2F5B">
      <w:pPr>
        <w:pStyle w:val="ListParagraph"/>
        <w:rPr>
          <w:rFonts w:ascii="Arial" w:hAnsi="Arial" w:cs="Arial"/>
          <w:lang w:val="en-US"/>
        </w:rPr>
      </w:pPr>
    </w:p>
    <w:p w14:paraId="3A090C58" w14:textId="694177D5" w:rsidR="004B2F5B" w:rsidRDefault="006865C1"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Payment certificate 25 was issued for N$38 572,15 on 28 November 2017, and the first defendant </w:t>
      </w:r>
      <w:proofErr w:type="spellStart"/>
      <w:r>
        <w:rPr>
          <w:rFonts w:ascii="Arial" w:hAnsi="Arial" w:cs="Arial"/>
          <w:lang w:val="en-US"/>
        </w:rPr>
        <w:t>honoured</w:t>
      </w:r>
      <w:proofErr w:type="spellEnd"/>
      <w:r>
        <w:rPr>
          <w:rFonts w:ascii="Arial" w:hAnsi="Arial" w:cs="Arial"/>
          <w:lang w:val="en-US"/>
        </w:rPr>
        <w:t xml:space="preserve"> i</w:t>
      </w:r>
      <w:r w:rsidR="004B2F5B">
        <w:rPr>
          <w:rFonts w:ascii="Arial" w:hAnsi="Arial" w:cs="Arial"/>
          <w:lang w:val="en-US"/>
        </w:rPr>
        <w:t xml:space="preserve">t. </w:t>
      </w:r>
    </w:p>
    <w:p w14:paraId="124530B5" w14:textId="77777777" w:rsidR="004B2F5B" w:rsidRPr="004B2F5B" w:rsidRDefault="004B2F5B" w:rsidP="004B2F5B">
      <w:pPr>
        <w:pStyle w:val="ListParagraph"/>
        <w:rPr>
          <w:rFonts w:ascii="Arial" w:hAnsi="Arial" w:cs="Arial"/>
          <w:lang w:val="en-US"/>
        </w:rPr>
      </w:pPr>
    </w:p>
    <w:p w14:paraId="71A6422A" w14:textId="2DB53105" w:rsidR="004B2F5B" w:rsidRDefault="004B2F5B"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On 23 March 2018, </w:t>
      </w:r>
      <w:proofErr w:type="spellStart"/>
      <w:r w:rsidR="00D069A7">
        <w:rPr>
          <w:rFonts w:ascii="Arial" w:hAnsi="Arial" w:cs="Arial"/>
          <w:lang w:val="en-US"/>
        </w:rPr>
        <w:t>Kapuuo</w:t>
      </w:r>
      <w:proofErr w:type="spellEnd"/>
      <w:r>
        <w:rPr>
          <w:rFonts w:ascii="Arial" w:hAnsi="Arial" w:cs="Arial"/>
          <w:lang w:val="en-US"/>
        </w:rPr>
        <w:t xml:space="preserve"> wrote to the first defendant requesting </w:t>
      </w:r>
      <w:r w:rsidR="006A5C74">
        <w:rPr>
          <w:rFonts w:ascii="Arial" w:hAnsi="Arial" w:cs="Arial"/>
          <w:lang w:val="en-US"/>
        </w:rPr>
        <w:t xml:space="preserve">payment of </w:t>
      </w:r>
      <w:r>
        <w:rPr>
          <w:rFonts w:ascii="Arial" w:hAnsi="Arial" w:cs="Arial"/>
          <w:lang w:val="en-US"/>
        </w:rPr>
        <w:t>the outstanding amount for payment certificate 24. The first defendant did not heed the demand</w:t>
      </w:r>
      <w:r w:rsidR="00A34E70">
        <w:rPr>
          <w:rFonts w:ascii="Arial" w:hAnsi="Arial" w:cs="Arial"/>
          <w:lang w:val="en-US"/>
        </w:rPr>
        <w:t>. Garcia sa</w:t>
      </w:r>
      <w:r w:rsidR="006865C1">
        <w:rPr>
          <w:rFonts w:ascii="Arial" w:hAnsi="Arial" w:cs="Arial"/>
          <w:lang w:val="en-US"/>
        </w:rPr>
        <w:t>id</w:t>
      </w:r>
      <w:r w:rsidR="00A34E70">
        <w:rPr>
          <w:rFonts w:ascii="Arial" w:hAnsi="Arial" w:cs="Arial"/>
          <w:lang w:val="en-US"/>
        </w:rPr>
        <w:t>, in that letter</w:t>
      </w:r>
      <w:r w:rsidR="006865C1">
        <w:rPr>
          <w:rFonts w:ascii="Arial" w:hAnsi="Arial" w:cs="Arial"/>
          <w:lang w:val="en-US"/>
        </w:rPr>
        <w:t>,</w:t>
      </w:r>
      <w:r w:rsidR="00A34E70">
        <w:rPr>
          <w:rFonts w:ascii="Arial" w:hAnsi="Arial" w:cs="Arial"/>
          <w:lang w:val="en-US"/>
        </w:rPr>
        <w:t xml:space="preserve"> the plaintiff, unbeknown to the second defendant, requested the first defendant ‘for the retention money and penalties for the completed works’, and she, on behalf of the second defendant, responded </w:t>
      </w:r>
      <w:r w:rsidR="006865C1">
        <w:rPr>
          <w:rFonts w:ascii="Arial" w:hAnsi="Arial" w:cs="Arial"/>
          <w:lang w:val="en-US"/>
        </w:rPr>
        <w:t xml:space="preserve">to the first defendant </w:t>
      </w:r>
      <w:r w:rsidR="00A34E70">
        <w:rPr>
          <w:rFonts w:ascii="Arial" w:hAnsi="Arial" w:cs="Arial"/>
          <w:lang w:val="en-US"/>
        </w:rPr>
        <w:t>with a letter dated 27 March 2018</w:t>
      </w:r>
      <w:r w:rsidR="006865C1">
        <w:rPr>
          <w:rFonts w:ascii="Arial" w:hAnsi="Arial" w:cs="Arial"/>
          <w:lang w:val="en-US"/>
        </w:rPr>
        <w:t>, copying the plaintiff in via email,</w:t>
      </w:r>
      <w:r w:rsidR="00A34E70">
        <w:rPr>
          <w:rFonts w:ascii="Arial" w:hAnsi="Arial" w:cs="Arial"/>
          <w:lang w:val="en-US"/>
        </w:rPr>
        <w:t xml:space="preserve"> displacing some of the contents of the plaintiff’s letter of 23 March 2018</w:t>
      </w:r>
      <w:r w:rsidR="006865C1">
        <w:rPr>
          <w:rFonts w:ascii="Arial" w:hAnsi="Arial" w:cs="Arial"/>
          <w:lang w:val="en-US"/>
        </w:rPr>
        <w:t xml:space="preserve"> and </w:t>
      </w:r>
      <w:r w:rsidR="006810A3">
        <w:rPr>
          <w:rFonts w:ascii="Arial" w:hAnsi="Arial" w:cs="Arial"/>
          <w:lang w:val="en-US"/>
        </w:rPr>
        <w:t xml:space="preserve">providing clarity on payment certificate 24 and </w:t>
      </w:r>
      <w:r w:rsidR="000229D0">
        <w:rPr>
          <w:rFonts w:ascii="Arial" w:hAnsi="Arial" w:cs="Arial"/>
          <w:lang w:val="en-US"/>
        </w:rPr>
        <w:t xml:space="preserve">stating </w:t>
      </w:r>
      <w:r w:rsidR="006865C1">
        <w:rPr>
          <w:rFonts w:ascii="Arial" w:hAnsi="Arial" w:cs="Arial"/>
          <w:lang w:val="en-US"/>
        </w:rPr>
        <w:t xml:space="preserve">that </w:t>
      </w:r>
      <w:r w:rsidR="006810A3">
        <w:rPr>
          <w:rFonts w:ascii="Arial" w:hAnsi="Arial" w:cs="Arial"/>
          <w:lang w:val="en-US"/>
        </w:rPr>
        <w:t>no payment</w:t>
      </w:r>
      <w:r w:rsidR="006865C1">
        <w:rPr>
          <w:rFonts w:ascii="Arial" w:hAnsi="Arial" w:cs="Arial"/>
          <w:lang w:val="en-US"/>
        </w:rPr>
        <w:t xml:space="preserve"> was</w:t>
      </w:r>
      <w:r w:rsidR="006810A3">
        <w:rPr>
          <w:rFonts w:ascii="Arial" w:hAnsi="Arial" w:cs="Arial"/>
          <w:lang w:val="en-US"/>
        </w:rPr>
        <w:t xml:space="preserve"> due to the plaintiff. </w:t>
      </w:r>
    </w:p>
    <w:p w14:paraId="535DC0A0" w14:textId="77777777" w:rsidR="006D3A9A" w:rsidRPr="006D3A9A" w:rsidRDefault="006D3A9A" w:rsidP="006D3A9A">
      <w:pPr>
        <w:pStyle w:val="ListParagraph"/>
        <w:rPr>
          <w:rFonts w:ascii="Arial" w:hAnsi="Arial" w:cs="Arial"/>
          <w:lang w:val="en-US"/>
        </w:rPr>
      </w:pPr>
    </w:p>
    <w:p w14:paraId="1261F76D" w14:textId="532FABAD" w:rsidR="006D3A9A" w:rsidRDefault="006D3A9A"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Garcia sa</w:t>
      </w:r>
      <w:r w:rsidR="006865C1">
        <w:rPr>
          <w:rFonts w:ascii="Arial" w:hAnsi="Arial" w:cs="Arial"/>
          <w:lang w:val="en-US"/>
        </w:rPr>
        <w:t>id</w:t>
      </w:r>
      <w:r>
        <w:rPr>
          <w:rFonts w:ascii="Arial" w:hAnsi="Arial" w:cs="Arial"/>
          <w:lang w:val="en-US"/>
        </w:rPr>
        <w:t xml:space="preserve"> on 29 March 2018</w:t>
      </w:r>
      <w:r w:rsidR="006865C1">
        <w:rPr>
          <w:rFonts w:ascii="Arial" w:hAnsi="Arial" w:cs="Arial"/>
          <w:lang w:val="en-US"/>
        </w:rPr>
        <w:t>,</w:t>
      </w:r>
      <w:r>
        <w:rPr>
          <w:rFonts w:ascii="Arial" w:hAnsi="Arial" w:cs="Arial"/>
          <w:lang w:val="en-US"/>
        </w:rPr>
        <w:t xml:space="preserve"> the plaintiff sent a notice of dispute to the first defendant</w:t>
      </w:r>
      <w:r w:rsidR="006865C1">
        <w:rPr>
          <w:rFonts w:ascii="Arial" w:hAnsi="Arial" w:cs="Arial"/>
          <w:lang w:val="en-US"/>
        </w:rPr>
        <w:t>,</w:t>
      </w:r>
      <w:r>
        <w:rPr>
          <w:rFonts w:ascii="Arial" w:hAnsi="Arial" w:cs="Arial"/>
          <w:lang w:val="en-US"/>
        </w:rPr>
        <w:t xml:space="preserve"> and on 5 April 2018 the second defendant sent the first defendant a letter requesting a meeting with the plaintiff and the first defendant to solve the dispute. </w:t>
      </w:r>
    </w:p>
    <w:p w14:paraId="7179ABD1" w14:textId="77777777" w:rsidR="004B2F5B" w:rsidRPr="004B2F5B" w:rsidRDefault="004B2F5B" w:rsidP="004B2F5B">
      <w:pPr>
        <w:pStyle w:val="ListParagraph"/>
        <w:rPr>
          <w:rFonts w:ascii="Arial" w:hAnsi="Arial" w:cs="Arial"/>
          <w:lang w:val="en-US"/>
        </w:rPr>
      </w:pPr>
    </w:p>
    <w:p w14:paraId="5F935F2D" w14:textId="77777777" w:rsidR="006A5C74" w:rsidRDefault="0089433A"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Payment certificates 26, 27 and 28 were issued in May 2018, August 2018, and March 2019,</w:t>
      </w:r>
      <w:r w:rsidR="004B2F5B">
        <w:rPr>
          <w:rFonts w:ascii="Arial" w:hAnsi="Arial" w:cs="Arial"/>
          <w:lang w:val="en-US"/>
        </w:rPr>
        <w:t xml:space="preserve"> respectively, </w:t>
      </w:r>
      <w:r>
        <w:rPr>
          <w:rFonts w:ascii="Arial" w:hAnsi="Arial" w:cs="Arial"/>
          <w:lang w:val="en-US"/>
        </w:rPr>
        <w:t xml:space="preserve">and </w:t>
      </w:r>
      <w:r w:rsidR="00A4647C">
        <w:rPr>
          <w:rFonts w:ascii="Arial" w:hAnsi="Arial" w:cs="Arial"/>
          <w:lang w:val="en-US"/>
        </w:rPr>
        <w:t>they were</w:t>
      </w:r>
      <w:r>
        <w:rPr>
          <w:rFonts w:ascii="Arial" w:hAnsi="Arial" w:cs="Arial"/>
          <w:lang w:val="en-US"/>
        </w:rPr>
        <w:t xml:space="preserve"> all </w:t>
      </w:r>
      <w:proofErr w:type="spellStart"/>
      <w:r>
        <w:rPr>
          <w:rFonts w:ascii="Arial" w:hAnsi="Arial" w:cs="Arial"/>
          <w:lang w:val="en-US"/>
        </w:rPr>
        <w:t>honoured</w:t>
      </w:r>
      <w:proofErr w:type="spellEnd"/>
      <w:r>
        <w:rPr>
          <w:rFonts w:ascii="Arial" w:hAnsi="Arial" w:cs="Arial"/>
          <w:lang w:val="en-US"/>
        </w:rPr>
        <w:t xml:space="preserve"> by</w:t>
      </w:r>
      <w:r w:rsidR="004B2F5B">
        <w:rPr>
          <w:rFonts w:ascii="Arial" w:hAnsi="Arial" w:cs="Arial"/>
          <w:lang w:val="en-US"/>
        </w:rPr>
        <w:t xml:space="preserve"> the first defendant</w:t>
      </w:r>
      <w:r>
        <w:rPr>
          <w:rFonts w:ascii="Arial" w:hAnsi="Arial" w:cs="Arial"/>
          <w:lang w:val="en-US"/>
        </w:rPr>
        <w:t>.</w:t>
      </w:r>
      <w:r w:rsidR="005166A8">
        <w:rPr>
          <w:rFonts w:ascii="Arial" w:hAnsi="Arial" w:cs="Arial"/>
          <w:lang w:val="en-US"/>
        </w:rPr>
        <w:t xml:space="preserve"> </w:t>
      </w:r>
    </w:p>
    <w:p w14:paraId="33B735A3" w14:textId="77777777" w:rsidR="006A5C74" w:rsidRPr="006A5C74" w:rsidRDefault="006A5C74" w:rsidP="006A5C74">
      <w:pPr>
        <w:pStyle w:val="ListParagraph"/>
        <w:rPr>
          <w:rFonts w:ascii="Arial" w:hAnsi="Arial" w:cs="Arial"/>
          <w:lang w:val="en-US"/>
        </w:rPr>
      </w:pPr>
    </w:p>
    <w:p w14:paraId="668A08A1" w14:textId="69E80B50" w:rsidR="000B7BF1" w:rsidRDefault="000B7BF1" w:rsidP="000B7BF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On 5 March 2019, the user </w:t>
      </w:r>
      <w:r w:rsidR="00267518">
        <w:rPr>
          <w:rFonts w:ascii="Arial" w:hAnsi="Arial" w:cs="Arial"/>
          <w:lang w:val="en-US"/>
        </w:rPr>
        <w:t>m</w:t>
      </w:r>
      <w:r>
        <w:rPr>
          <w:rFonts w:ascii="Arial" w:hAnsi="Arial" w:cs="Arial"/>
          <w:lang w:val="en-US"/>
        </w:rPr>
        <w:t xml:space="preserve">inistry wrote to the first defendant, and its executive director informed the first defendant that its objection to releasing retention money </w:t>
      </w:r>
      <w:r w:rsidR="000229D0">
        <w:rPr>
          <w:rFonts w:ascii="Arial" w:hAnsi="Arial" w:cs="Arial"/>
          <w:lang w:val="en-US"/>
        </w:rPr>
        <w:t>was</w:t>
      </w:r>
      <w:r>
        <w:rPr>
          <w:rFonts w:ascii="Arial" w:hAnsi="Arial" w:cs="Arial"/>
          <w:lang w:val="en-US"/>
        </w:rPr>
        <w:t xml:space="preserve"> reversed. The first defendant was to proceed to issue a certificate for the partial release of the retention money. </w:t>
      </w:r>
    </w:p>
    <w:p w14:paraId="5879F668" w14:textId="77777777" w:rsidR="000B7BF1" w:rsidRPr="003E760A" w:rsidRDefault="000B7BF1" w:rsidP="000B7BF1">
      <w:pPr>
        <w:pStyle w:val="ListParagraph"/>
        <w:rPr>
          <w:rFonts w:ascii="Arial" w:hAnsi="Arial" w:cs="Arial"/>
          <w:lang w:val="en-US"/>
        </w:rPr>
      </w:pPr>
    </w:p>
    <w:p w14:paraId="59EEDF87" w14:textId="3C5EB946" w:rsidR="000B7BF1" w:rsidRDefault="000B7BF1" w:rsidP="000B7BF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In compliance with those instructions, the first defendant</w:t>
      </w:r>
      <w:r w:rsidR="00267518">
        <w:rPr>
          <w:rFonts w:ascii="Arial" w:hAnsi="Arial" w:cs="Arial"/>
          <w:lang w:val="en-US"/>
        </w:rPr>
        <w:t xml:space="preserve"> instructed the second defendant, on 8 March 2019, to release 50</w:t>
      </w:r>
      <w:r w:rsidR="000D761D">
        <w:rPr>
          <w:rFonts w:ascii="Arial" w:hAnsi="Arial" w:cs="Arial"/>
          <w:lang w:val="en-US"/>
        </w:rPr>
        <w:t xml:space="preserve"> per cent</w:t>
      </w:r>
      <w:r w:rsidR="00267518">
        <w:rPr>
          <w:rFonts w:ascii="Arial" w:hAnsi="Arial" w:cs="Arial"/>
          <w:lang w:val="en-US"/>
        </w:rPr>
        <w:t xml:space="preserve"> of the retention money to the plaintiff,</w:t>
      </w:r>
      <w:r>
        <w:rPr>
          <w:rFonts w:ascii="Arial" w:hAnsi="Arial" w:cs="Arial"/>
          <w:lang w:val="en-US"/>
        </w:rPr>
        <w:t xml:space="preserve"> to which the second defendant had reservations.</w:t>
      </w:r>
    </w:p>
    <w:p w14:paraId="3C021F86" w14:textId="77777777" w:rsidR="000B7BF1" w:rsidRPr="003E760A" w:rsidRDefault="000B7BF1" w:rsidP="000B7BF1">
      <w:pPr>
        <w:pStyle w:val="ListParagraph"/>
        <w:rPr>
          <w:rFonts w:ascii="Arial" w:hAnsi="Arial" w:cs="Arial"/>
          <w:lang w:val="en-US"/>
        </w:rPr>
      </w:pPr>
    </w:p>
    <w:p w14:paraId="07CD7394" w14:textId="79343FF5" w:rsidR="000B7BF1" w:rsidRDefault="000B7BF1" w:rsidP="000B7BF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On 11 March 2019, the first defendant mitigated the second defendant’s reservations by stating that the performance guarantee should suffice as leverage and security for the plaintiff to fulfil its obligations, and the plaintiff was aware the performance guarantee would be called up</w:t>
      </w:r>
      <w:r w:rsidR="00F665EB">
        <w:rPr>
          <w:rFonts w:ascii="Arial" w:hAnsi="Arial" w:cs="Arial"/>
          <w:lang w:val="en-US"/>
        </w:rPr>
        <w:t xml:space="preserve">. According to the plaintiff, </w:t>
      </w:r>
      <w:r>
        <w:rPr>
          <w:rFonts w:ascii="Arial" w:hAnsi="Arial" w:cs="Arial"/>
          <w:lang w:val="en-US"/>
        </w:rPr>
        <w:t xml:space="preserve">it was clear the first defendant required </w:t>
      </w:r>
      <w:r w:rsidR="00F665EB">
        <w:rPr>
          <w:rFonts w:ascii="Arial" w:hAnsi="Arial" w:cs="Arial"/>
          <w:lang w:val="en-US"/>
        </w:rPr>
        <w:t>it</w:t>
      </w:r>
      <w:r>
        <w:rPr>
          <w:rFonts w:ascii="Arial" w:hAnsi="Arial" w:cs="Arial"/>
          <w:lang w:val="en-US"/>
        </w:rPr>
        <w:t xml:space="preserve"> to obtain a performance guarantee of 10</w:t>
      </w:r>
      <w:r w:rsidR="000D761D">
        <w:rPr>
          <w:rFonts w:ascii="Arial" w:hAnsi="Arial" w:cs="Arial"/>
          <w:lang w:val="en-US"/>
        </w:rPr>
        <w:t xml:space="preserve"> per cent</w:t>
      </w:r>
      <w:r>
        <w:rPr>
          <w:rFonts w:ascii="Arial" w:hAnsi="Arial" w:cs="Arial"/>
          <w:lang w:val="en-US"/>
        </w:rPr>
        <w:t xml:space="preserve"> of the </w:t>
      </w:r>
      <w:r w:rsidR="00F665EB">
        <w:rPr>
          <w:rFonts w:ascii="Arial" w:hAnsi="Arial" w:cs="Arial"/>
          <w:lang w:val="en-US"/>
        </w:rPr>
        <w:t xml:space="preserve">contract </w:t>
      </w:r>
      <w:r>
        <w:rPr>
          <w:rFonts w:ascii="Arial" w:hAnsi="Arial" w:cs="Arial"/>
          <w:lang w:val="en-US"/>
        </w:rPr>
        <w:t xml:space="preserve">value, and the first defendant relied on it to make its decision to release </w:t>
      </w:r>
      <w:r w:rsidR="000229D0">
        <w:rPr>
          <w:rFonts w:ascii="Arial" w:hAnsi="Arial" w:cs="Arial"/>
          <w:lang w:val="en-US"/>
        </w:rPr>
        <w:t xml:space="preserve">some of </w:t>
      </w:r>
      <w:r>
        <w:rPr>
          <w:rFonts w:ascii="Arial" w:hAnsi="Arial" w:cs="Arial"/>
          <w:lang w:val="en-US"/>
        </w:rPr>
        <w:t xml:space="preserve">the retention money. </w:t>
      </w:r>
      <w:proofErr w:type="spellStart"/>
      <w:r>
        <w:rPr>
          <w:rFonts w:ascii="Arial" w:hAnsi="Arial" w:cs="Arial"/>
          <w:lang w:val="en-US"/>
        </w:rPr>
        <w:t>Kapuuo</w:t>
      </w:r>
      <w:proofErr w:type="spellEnd"/>
      <w:r>
        <w:rPr>
          <w:rFonts w:ascii="Arial" w:hAnsi="Arial" w:cs="Arial"/>
          <w:lang w:val="en-US"/>
        </w:rPr>
        <w:t xml:space="preserve"> said the first defendant would not have allowed the plaintiff to carry out the work with a performance guarantee to the value of N$35 000</w:t>
      </w:r>
      <w:r w:rsidR="00267518">
        <w:rPr>
          <w:rFonts w:ascii="Arial" w:hAnsi="Arial" w:cs="Arial"/>
          <w:lang w:val="en-US"/>
        </w:rPr>
        <w:t>,</w:t>
      </w:r>
      <w:r>
        <w:rPr>
          <w:rFonts w:ascii="Arial" w:hAnsi="Arial" w:cs="Arial"/>
          <w:lang w:val="en-US"/>
        </w:rPr>
        <w:t xml:space="preserve"> which is</w:t>
      </w:r>
      <w:r w:rsidR="00F665EB">
        <w:rPr>
          <w:rFonts w:ascii="Arial" w:hAnsi="Arial" w:cs="Arial"/>
          <w:lang w:val="en-US"/>
        </w:rPr>
        <w:t xml:space="preserve"> only</w:t>
      </w:r>
      <w:r>
        <w:rPr>
          <w:rFonts w:ascii="Arial" w:hAnsi="Arial" w:cs="Arial"/>
          <w:lang w:val="en-US"/>
        </w:rPr>
        <w:t xml:space="preserve"> 0,17</w:t>
      </w:r>
      <w:r w:rsidR="000D761D">
        <w:rPr>
          <w:rFonts w:ascii="Arial" w:hAnsi="Arial" w:cs="Arial"/>
          <w:lang w:val="en-US"/>
        </w:rPr>
        <w:t xml:space="preserve"> per cent</w:t>
      </w:r>
      <w:r>
        <w:rPr>
          <w:rFonts w:ascii="Arial" w:hAnsi="Arial" w:cs="Arial"/>
          <w:lang w:val="en-US"/>
        </w:rPr>
        <w:t xml:space="preserve"> of the contract value. Garcia said </w:t>
      </w:r>
      <w:proofErr w:type="spellStart"/>
      <w:r>
        <w:rPr>
          <w:rFonts w:ascii="Arial" w:hAnsi="Arial" w:cs="Arial"/>
          <w:lang w:val="en-US"/>
        </w:rPr>
        <w:t>Kapuuo</w:t>
      </w:r>
      <w:proofErr w:type="spellEnd"/>
      <w:r>
        <w:rPr>
          <w:rFonts w:ascii="Arial" w:hAnsi="Arial" w:cs="Arial"/>
          <w:lang w:val="en-US"/>
        </w:rPr>
        <w:t xml:space="preserve"> was conflating issues. She said the N$35 000 was the amount to be paid to the plaintiff to cover the cost of the guarantee, it was not the guarantee itself.</w:t>
      </w:r>
    </w:p>
    <w:p w14:paraId="6FD7ADDC" w14:textId="77777777" w:rsidR="000B7BF1" w:rsidRPr="000B7BF1" w:rsidRDefault="000B7BF1" w:rsidP="000B7BF1">
      <w:pPr>
        <w:pStyle w:val="ListParagraph"/>
        <w:rPr>
          <w:rFonts w:ascii="Arial" w:hAnsi="Arial" w:cs="Arial"/>
          <w:lang w:val="en-US"/>
        </w:rPr>
      </w:pPr>
    </w:p>
    <w:p w14:paraId="0DE3A690" w14:textId="316B98B0" w:rsidR="004B2F5B" w:rsidRDefault="005166A8"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Nel sa</w:t>
      </w:r>
      <w:r w:rsidR="00A4647C">
        <w:rPr>
          <w:rFonts w:ascii="Arial" w:hAnsi="Arial" w:cs="Arial"/>
          <w:lang w:val="en-US"/>
        </w:rPr>
        <w:t>id</w:t>
      </w:r>
      <w:r>
        <w:rPr>
          <w:rFonts w:ascii="Arial" w:hAnsi="Arial" w:cs="Arial"/>
          <w:lang w:val="en-US"/>
        </w:rPr>
        <w:t xml:space="preserve"> all payment certificates were paid to the plaintiff.</w:t>
      </w:r>
      <w:r w:rsidR="00467D45">
        <w:rPr>
          <w:rFonts w:ascii="Arial" w:hAnsi="Arial" w:cs="Arial"/>
          <w:lang w:val="en-US"/>
        </w:rPr>
        <w:t xml:space="preserve"> Garcia sa</w:t>
      </w:r>
      <w:r w:rsidR="00A4647C">
        <w:rPr>
          <w:rFonts w:ascii="Arial" w:hAnsi="Arial" w:cs="Arial"/>
          <w:lang w:val="en-US"/>
        </w:rPr>
        <w:t>id</w:t>
      </w:r>
      <w:r w:rsidR="00467D45">
        <w:rPr>
          <w:rFonts w:ascii="Arial" w:hAnsi="Arial" w:cs="Arial"/>
          <w:lang w:val="en-US"/>
        </w:rPr>
        <w:t xml:space="preserve"> the plaintiff was paid all money certified and due to it for work valu</w:t>
      </w:r>
      <w:r w:rsidR="00A4647C">
        <w:rPr>
          <w:rFonts w:ascii="Arial" w:hAnsi="Arial" w:cs="Arial"/>
          <w:lang w:val="en-US"/>
        </w:rPr>
        <w:t>ed</w:t>
      </w:r>
      <w:r w:rsidR="00467D45">
        <w:rPr>
          <w:rFonts w:ascii="Arial" w:hAnsi="Arial" w:cs="Arial"/>
          <w:lang w:val="en-US"/>
        </w:rPr>
        <w:t xml:space="preserve"> and completed as at </w:t>
      </w:r>
      <w:r w:rsidR="00A4647C">
        <w:rPr>
          <w:rFonts w:ascii="Arial" w:hAnsi="Arial" w:cs="Arial"/>
          <w:lang w:val="en-US"/>
        </w:rPr>
        <w:t xml:space="preserve">the </w:t>
      </w:r>
      <w:r w:rsidR="00467D45">
        <w:rPr>
          <w:rFonts w:ascii="Arial" w:hAnsi="Arial" w:cs="Arial"/>
          <w:lang w:val="en-US"/>
        </w:rPr>
        <w:t>termination of the contract</w:t>
      </w:r>
      <w:r w:rsidR="00A4647C">
        <w:rPr>
          <w:rFonts w:ascii="Arial" w:hAnsi="Arial" w:cs="Arial"/>
          <w:lang w:val="en-US"/>
        </w:rPr>
        <w:t>,</w:t>
      </w:r>
      <w:r w:rsidR="00356078">
        <w:rPr>
          <w:rFonts w:ascii="Arial" w:hAnsi="Arial" w:cs="Arial"/>
          <w:lang w:val="en-US"/>
        </w:rPr>
        <w:t xml:space="preserve"> and all works completed ha</w:t>
      </w:r>
      <w:r w:rsidR="00A4647C">
        <w:rPr>
          <w:rFonts w:ascii="Arial" w:hAnsi="Arial" w:cs="Arial"/>
          <w:lang w:val="en-US"/>
        </w:rPr>
        <w:t>ve</w:t>
      </w:r>
      <w:r w:rsidR="00356078">
        <w:rPr>
          <w:rFonts w:ascii="Arial" w:hAnsi="Arial" w:cs="Arial"/>
          <w:lang w:val="en-US"/>
        </w:rPr>
        <w:t xml:space="preserve"> been assessed and paid</w:t>
      </w:r>
      <w:r w:rsidR="00467D45">
        <w:rPr>
          <w:rFonts w:ascii="Arial" w:hAnsi="Arial" w:cs="Arial"/>
          <w:lang w:val="en-US"/>
        </w:rPr>
        <w:t>.</w:t>
      </w:r>
      <w:r w:rsidR="00356078">
        <w:rPr>
          <w:rFonts w:ascii="Arial" w:hAnsi="Arial" w:cs="Arial"/>
          <w:lang w:val="en-US"/>
        </w:rPr>
        <w:t xml:space="preserve"> She refer</w:t>
      </w:r>
      <w:r w:rsidR="00A4647C">
        <w:rPr>
          <w:rFonts w:ascii="Arial" w:hAnsi="Arial" w:cs="Arial"/>
          <w:lang w:val="en-US"/>
        </w:rPr>
        <w:t>red</w:t>
      </w:r>
      <w:r w:rsidR="00356078">
        <w:rPr>
          <w:rFonts w:ascii="Arial" w:hAnsi="Arial" w:cs="Arial"/>
          <w:lang w:val="en-US"/>
        </w:rPr>
        <w:t xml:space="preserve"> to the proof of payment provided by the user ministry of all payment certificates. She sa</w:t>
      </w:r>
      <w:r w:rsidR="00A4647C">
        <w:rPr>
          <w:rFonts w:ascii="Arial" w:hAnsi="Arial" w:cs="Arial"/>
          <w:lang w:val="en-US"/>
        </w:rPr>
        <w:t>id</w:t>
      </w:r>
      <w:r w:rsidR="00356078">
        <w:rPr>
          <w:rFonts w:ascii="Arial" w:hAnsi="Arial" w:cs="Arial"/>
          <w:lang w:val="en-US"/>
        </w:rPr>
        <w:t xml:space="preserve"> there is thus no need for a quantification and assessment. </w:t>
      </w:r>
    </w:p>
    <w:p w14:paraId="1853380D" w14:textId="77777777" w:rsidR="0089433A" w:rsidRPr="0089433A" w:rsidRDefault="0089433A" w:rsidP="0089433A">
      <w:pPr>
        <w:pStyle w:val="ListParagraph"/>
        <w:rPr>
          <w:rFonts w:ascii="Arial" w:hAnsi="Arial" w:cs="Arial"/>
          <w:lang w:val="en-US"/>
        </w:rPr>
      </w:pPr>
    </w:p>
    <w:p w14:paraId="3450BC43" w14:textId="197A9820" w:rsidR="0089433A" w:rsidRDefault="00A4647C" w:rsidP="00FA715E">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Pr>
          <w:rFonts w:ascii="Arial" w:hAnsi="Arial" w:cs="Arial"/>
          <w:lang w:val="en-US"/>
        </w:rPr>
        <w:t xml:space="preserve"> said that a</w:t>
      </w:r>
      <w:r w:rsidR="0089433A">
        <w:rPr>
          <w:rFonts w:ascii="Arial" w:hAnsi="Arial" w:cs="Arial"/>
          <w:lang w:val="en-US"/>
        </w:rPr>
        <w:t>fter payment certificate 28 was issued, the plaintiff continued to render services, but despite the plaintiff having carried out additional work, no other payment certificates were issued.</w:t>
      </w:r>
      <w:r w:rsidR="006810A3">
        <w:rPr>
          <w:rFonts w:ascii="Arial" w:hAnsi="Arial" w:cs="Arial"/>
          <w:lang w:val="en-US"/>
        </w:rPr>
        <w:t xml:space="preserve"> Garcia refer</w:t>
      </w:r>
      <w:r>
        <w:rPr>
          <w:rFonts w:ascii="Arial" w:hAnsi="Arial" w:cs="Arial"/>
          <w:lang w:val="en-US"/>
        </w:rPr>
        <w:t>red</w:t>
      </w:r>
      <w:r w:rsidR="006810A3">
        <w:rPr>
          <w:rFonts w:ascii="Arial" w:hAnsi="Arial" w:cs="Arial"/>
          <w:lang w:val="en-US"/>
        </w:rPr>
        <w:t xml:space="preserve"> to the second defendant’s letter </w:t>
      </w:r>
      <w:r w:rsidR="006810A3" w:rsidRPr="006A5C74">
        <w:rPr>
          <w:rFonts w:ascii="Arial" w:hAnsi="Arial" w:cs="Arial"/>
          <w:lang w:val="en-US"/>
        </w:rPr>
        <w:t>dated 15 April 2019</w:t>
      </w:r>
      <w:r w:rsidR="006A5C74">
        <w:rPr>
          <w:rFonts w:ascii="Arial" w:hAnsi="Arial" w:cs="Arial"/>
          <w:lang w:val="en-US"/>
        </w:rPr>
        <w:t xml:space="preserve"> (which </w:t>
      </w:r>
      <w:r w:rsidR="00F665EB">
        <w:rPr>
          <w:rFonts w:ascii="Arial" w:hAnsi="Arial" w:cs="Arial"/>
          <w:lang w:val="en-US"/>
        </w:rPr>
        <w:t>is not</w:t>
      </w:r>
      <w:r w:rsidR="006A5C74">
        <w:rPr>
          <w:rFonts w:ascii="Arial" w:hAnsi="Arial" w:cs="Arial"/>
          <w:lang w:val="en-US"/>
        </w:rPr>
        <w:t xml:space="preserve"> before the court)</w:t>
      </w:r>
      <w:r w:rsidRPr="006A5C74">
        <w:rPr>
          <w:rFonts w:ascii="Arial" w:hAnsi="Arial" w:cs="Arial"/>
          <w:lang w:val="en-US"/>
        </w:rPr>
        <w:t>,</w:t>
      </w:r>
      <w:r w:rsidR="006810A3" w:rsidRPr="006A5C74">
        <w:rPr>
          <w:rFonts w:ascii="Arial" w:hAnsi="Arial" w:cs="Arial"/>
          <w:lang w:val="en-US"/>
        </w:rPr>
        <w:t xml:space="preserve"> wherein</w:t>
      </w:r>
      <w:r w:rsidR="006810A3">
        <w:rPr>
          <w:rFonts w:ascii="Arial" w:hAnsi="Arial" w:cs="Arial"/>
          <w:lang w:val="en-US"/>
        </w:rPr>
        <w:t xml:space="preserve"> the first defendant was informed the bulk </w:t>
      </w:r>
      <w:r w:rsidR="006A5C74">
        <w:rPr>
          <w:rFonts w:ascii="Arial" w:hAnsi="Arial" w:cs="Arial"/>
          <w:lang w:val="en-US"/>
        </w:rPr>
        <w:t>of the</w:t>
      </w:r>
      <w:r w:rsidR="006810A3">
        <w:rPr>
          <w:rFonts w:ascii="Arial" w:hAnsi="Arial" w:cs="Arial"/>
          <w:lang w:val="en-US"/>
        </w:rPr>
        <w:t xml:space="preserve"> works to </w:t>
      </w:r>
      <w:r w:rsidR="006A5C74">
        <w:rPr>
          <w:rFonts w:ascii="Arial" w:hAnsi="Arial" w:cs="Arial"/>
          <w:lang w:val="en-US"/>
        </w:rPr>
        <w:t xml:space="preserve">be </w:t>
      </w:r>
      <w:r w:rsidR="006810A3">
        <w:rPr>
          <w:rFonts w:ascii="Arial" w:hAnsi="Arial" w:cs="Arial"/>
          <w:lang w:val="en-US"/>
        </w:rPr>
        <w:t>complete</w:t>
      </w:r>
      <w:r w:rsidR="006A5C74">
        <w:rPr>
          <w:rFonts w:ascii="Arial" w:hAnsi="Arial" w:cs="Arial"/>
          <w:lang w:val="en-US"/>
        </w:rPr>
        <w:t>d</w:t>
      </w:r>
      <w:r w:rsidR="006810A3">
        <w:rPr>
          <w:rFonts w:ascii="Arial" w:hAnsi="Arial" w:cs="Arial"/>
          <w:lang w:val="en-US"/>
        </w:rPr>
        <w:t xml:space="preserve"> rel</w:t>
      </w:r>
      <w:r w:rsidR="006A5C74">
        <w:rPr>
          <w:rFonts w:ascii="Arial" w:hAnsi="Arial" w:cs="Arial"/>
          <w:lang w:val="en-US"/>
        </w:rPr>
        <w:t>ied</w:t>
      </w:r>
      <w:r w:rsidR="006810A3">
        <w:rPr>
          <w:rFonts w:ascii="Arial" w:hAnsi="Arial" w:cs="Arial"/>
          <w:lang w:val="en-US"/>
        </w:rPr>
        <w:t xml:space="preserve"> on </w:t>
      </w:r>
      <w:r w:rsidR="006810A3">
        <w:rPr>
          <w:rFonts w:ascii="Arial" w:hAnsi="Arial" w:cs="Arial"/>
          <w:lang w:val="en-US"/>
        </w:rPr>
        <w:lastRenderedPageBreak/>
        <w:t>Electro Blitz</w:t>
      </w:r>
      <w:r>
        <w:rPr>
          <w:rFonts w:ascii="Arial" w:hAnsi="Arial" w:cs="Arial"/>
          <w:lang w:val="en-US"/>
        </w:rPr>
        <w:t>,</w:t>
      </w:r>
      <w:r w:rsidR="006810A3">
        <w:rPr>
          <w:rFonts w:ascii="Arial" w:hAnsi="Arial" w:cs="Arial"/>
          <w:lang w:val="en-US"/>
        </w:rPr>
        <w:t xml:space="preserve"> who </w:t>
      </w:r>
      <w:r w:rsidR="006A5C74">
        <w:rPr>
          <w:rFonts w:ascii="Arial" w:hAnsi="Arial" w:cs="Arial"/>
          <w:lang w:val="en-US"/>
        </w:rPr>
        <w:t>wa</w:t>
      </w:r>
      <w:r w:rsidR="006810A3">
        <w:rPr>
          <w:rFonts w:ascii="Arial" w:hAnsi="Arial" w:cs="Arial"/>
          <w:lang w:val="en-US"/>
        </w:rPr>
        <w:t xml:space="preserve">s not going back to </w:t>
      </w:r>
      <w:r>
        <w:rPr>
          <w:rFonts w:ascii="Arial" w:hAnsi="Arial" w:cs="Arial"/>
          <w:lang w:val="en-US"/>
        </w:rPr>
        <w:t xml:space="preserve">the </w:t>
      </w:r>
      <w:r w:rsidR="006810A3">
        <w:rPr>
          <w:rFonts w:ascii="Arial" w:hAnsi="Arial" w:cs="Arial"/>
          <w:lang w:val="en-US"/>
        </w:rPr>
        <w:t>site to complete the work unless it receive</w:t>
      </w:r>
      <w:r>
        <w:rPr>
          <w:rFonts w:ascii="Arial" w:hAnsi="Arial" w:cs="Arial"/>
          <w:lang w:val="en-US"/>
        </w:rPr>
        <w:t>d</w:t>
      </w:r>
      <w:r w:rsidR="006810A3">
        <w:rPr>
          <w:rFonts w:ascii="Arial" w:hAnsi="Arial" w:cs="Arial"/>
          <w:lang w:val="en-US"/>
        </w:rPr>
        <w:t xml:space="preserve"> payment and therefore there was no progress on </w:t>
      </w:r>
      <w:r>
        <w:rPr>
          <w:rFonts w:ascii="Arial" w:hAnsi="Arial" w:cs="Arial"/>
          <w:lang w:val="en-US"/>
        </w:rPr>
        <w:t xml:space="preserve">the </w:t>
      </w:r>
      <w:r w:rsidR="006810A3">
        <w:rPr>
          <w:rFonts w:ascii="Arial" w:hAnsi="Arial" w:cs="Arial"/>
          <w:lang w:val="en-US"/>
        </w:rPr>
        <w:t>site after payment certificate 28. Moreover, she sa</w:t>
      </w:r>
      <w:r>
        <w:rPr>
          <w:rFonts w:ascii="Arial" w:hAnsi="Arial" w:cs="Arial"/>
          <w:lang w:val="en-US"/>
        </w:rPr>
        <w:t>id</w:t>
      </w:r>
      <w:r w:rsidR="006810A3">
        <w:rPr>
          <w:rFonts w:ascii="Arial" w:hAnsi="Arial" w:cs="Arial"/>
          <w:lang w:val="en-US"/>
        </w:rPr>
        <w:t>, payment certificate 28 was the release of 50</w:t>
      </w:r>
      <w:r w:rsidR="000D761D">
        <w:rPr>
          <w:rFonts w:ascii="Arial" w:hAnsi="Arial" w:cs="Arial"/>
          <w:lang w:val="en-US"/>
        </w:rPr>
        <w:t xml:space="preserve"> per cent</w:t>
      </w:r>
      <w:r w:rsidR="006810A3">
        <w:rPr>
          <w:rFonts w:ascii="Arial" w:hAnsi="Arial" w:cs="Arial"/>
          <w:lang w:val="en-US"/>
        </w:rPr>
        <w:t xml:space="preserve"> of the retention money to assist the plaintiff with cash flow. </w:t>
      </w:r>
    </w:p>
    <w:p w14:paraId="5D56C111" w14:textId="77777777" w:rsidR="0089433A" w:rsidRPr="0089433A" w:rsidRDefault="0089433A" w:rsidP="0089433A">
      <w:pPr>
        <w:pStyle w:val="ListParagraph"/>
        <w:rPr>
          <w:rFonts w:ascii="Arial" w:hAnsi="Arial" w:cs="Arial"/>
          <w:lang w:val="en-US"/>
        </w:rPr>
      </w:pPr>
    </w:p>
    <w:p w14:paraId="04697915" w14:textId="17C67EB9" w:rsidR="0089433A" w:rsidRDefault="0089433A"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On 8 July 2019, </w:t>
      </w:r>
      <w:proofErr w:type="spellStart"/>
      <w:r w:rsidR="00D069A7">
        <w:rPr>
          <w:rFonts w:ascii="Arial" w:hAnsi="Arial" w:cs="Arial"/>
          <w:lang w:val="en-US"/>
        </w:rPr>
        <w:t>Kapuuo</w:t>
      </w:r>
      <w:proofErr w:type="spellEnd"/>
      <w:r>
        <w:rPr>
          <w:rFonts w:ascii="Arial" w:hAnsi="Arial" w:cs="Arial"/>
          <w:lang w:val="en-US"/>
        </w:rPr>
        <w:t xml:space="preserve"> addressed a registered notice of determination of the contract to the first defendant. He addressed the non-payment of payment certificate 24. He sa</w:t>
      </w:r>
      <w:r w:rsidR="00A4647C">
        <w:rPr>
          <w:rFonts w:ascii="Arial" w:hAnsi="Arial" w:cs="Arial"/>
          <w:lang w:val="en-US"/>
        </w:rPr>
        <w:t>id</w:t>
      </w:r>
      <w:r>
        <w:rPr>
          <w:rFonts w:ascii="Arial" w:hAnsi="Arial" w:cs="Arial"/>
          <w:lang w:val="en-US"/>
        </w:rPr>
        <w:t xml:space="preserve"> its purpose was to inform the first defendant that if the dispute about payment certificate 24 </w:t>
      </w:r>
      <w:r w:rsidR="006759DA">
        <w:rPr>
          <w:rFonts w:ascii="Arial" w:hAnsi="Arial" w:cs="Arial"/>
          <w:lang w:val="en-US"/>
        </w:rPr>
        <w:t>is not resolved, the plaintiff would proceed to terminate the contract. The first defendant did not respond.</w:t>
      </w:r>
      <w:r w:rsidR="006D3A9A">
        <w:rPr>
          <w:rFonts w:ascii="Arial" w:hAnsi="Arial" w:cs="Arial"/>
          <w:lang w:val="en-US"/>
        </w:rPr>
        <w:t xml:space="preserve"> Garcia sa</w:t>
      </w:r>
      <w:r w:rsidR="00A4647C">
        <w:rPr>
          <w:rFonts w:ascii="Arial" w:hAnsi="Arial" w:cs="Arial"/>
          <w:lang w:val="en-US"/>
        </w:rPr>
        <w:t>id</w:t>
      </w:r>
      <w:r w:rsidR="006D3A9A">
        <w:rPr>
          <w:rFonts w:ascii="Arial" w:hAnsi="Arial" w:cs="Arial"/>
          <w:lang w:val="en-US"/>
        </w:rPr>
        <w:t xml:space="preserve"> the date of the notice is 18 July 2019.</w:t>
      </w:r>
      <w:r w:rsidR="006810A3">
        <w:rPr>
          <w:rFonts w:ascii="Arial" w:hAnsi="Arial" w:cs="Arial"/>
          <w:lang w:val="en-US"/>
        </w:rPr>
        <w:t xml:space="preserve"> </w:t>
      </w:r>
      <w:r w:rsidR="0043572B">
        <w:rPr>
          <w:rFonts w:ascii="Arial" w:hAnsi="Arial" w:cs="Arial"/>
          <w:lang w:val="en-US"/>
        </w:rPr>
        <w:t>That</w:t>
      </w:r>
      <w:r w:rsidR="00A4647C">
        <w:rPr>
          <w:rFonts w:ascii="Arial" w:hAnsi="Arial" w:cs="Arial"/>
          <w:lang w:val="en-US"/>
        </w:rPr>
        <w:t xml:space="preserve"> is </w:t>
      </w:r>
      <w:r w:rsidR="00267518">
        <w:rPr>
          <w:rFonts w:ascii="Arial" w:hAnsi="Arial" w:cs="Arial"/>
          <w:lang w:val="en-US"/>
        </w:rPr>
        <w:t>in</w:t>
      </w:r>
      <w:r w:rsidR="00A4647C">
        <w:rPr>
          <w:rFonts w:ascii="Arial" w:hAnsi="Arial" w:cs="Arial"/>
          <w:lang w:val="en-US"/>
        </w:rPr>
        <w:t>correct</w:t>
      </w:r>
      <w:r w:rsidR="006A5C74">
        <w:rPr>
          <w:rFonts w:ascii="Arial" w:hAnsi="Arial" w:cs="Arial"/>
          <w:lang w:val="en-US"/>
        </w:rPr>
        <w:t>, the date is 8 July 2019</w:t>
      </w:r>
      <w:r w:rsidR="00F665EB">
        <w:rPr>
          <w:rFonts w:ascii="Arial" w:hAnsi="Arial" w:cs="Arial"/>
          <w:lang w:val="en-US"/>
        </w:rPr>
        <w:t xml:space="preserve">. </w:t>
      </w:r>
      <w:r w:rsidR="006810A3">
        <w:rPr>
          <w:rFonts w:ascii="Arial" w:hAnsi="Arial" w:cs="Arial"/>
          <w:lang w:val="en-US"/>
        </w:rPr>
        <w:t>Garcia sa</w:t>
      </w:r>
      <w:r w:rsidR="00A4647C">
        <w:rPr>
          <w:rFonts w:ascii="Arial" w:hAnsi="Arial" w:cs="Arial"/>
          <w:lang w:val="en-US"/>
        </w:rPr>
        <w:t>id</w:t>
      </w:r>
      <w:r w:rsidR="006810A3">
        <w:rPr>
          <w:rFonts w:ascii="Arial" w:hAnsi="Arial" w:cs="Arial"/>
          <w:lang w:val="en-US"/>
        </w:rPr>
        <w:t xml:space="preserve"> the second defendant responded to the </w:t>
      </w:r>
      <w:r w:rsidR="006A5C74">
        <w:rPr>
          <w:rFonts w:ascii="Arial" w:hAnsi="Arial" w:cs="Arial"/>
          <w:lang w:val="en-US"/>
        </w:rPr>
        <w:t xml:space="preserve">plaintiff’s </w:t>
      </w:r>
      <w:r w:rsidR="006810A3">
        <w:rPr>
          <w:rFonts w:ascii="Arial" w:hAnsi="Arial" w:cs="Arial"/>
          <w:lang w:val="en-US"/>
        </w:rPr>
        <w:t xml:space="preserve">notice </w:t>
      </w:r>
      <w:r w:rsidR="006A5C74">
        <w:rPr>
          <w:rFonts w:ascii="Arial" w:hAnsi="Arial" w:cs="Arial"/>
          <w:lang w:val="en-US"/>
        </w:rPr>
        <w:t>with</w:t>
      </w:r>
      <w:r w:rsidR="006810A3">
        <w:rPr>
          <w:rFonts w:ascii="Arial" w:hAnsi="Arial" w:cs="Arial"/>
          <w:lang w:val="en-US"/>
        </w:rPr>
        <w:t xml:space="preserve"> a letter dated 13 August 2019</w:t>
      </w:r>
      <w:r w:rsidR="00FF5286">
        <w:rPr>
          <w:rFonts w:ascii="Arial" w:hAnsi="Arial" w:cs="Arial"/>
          <w:lang w:val="en-US"/>
        </w:rPr>
        <w:t xml:space="preserve"> (which </w:t>
      </w:r>
      <w:r w:rsidR="00F665EB">
        <w:rPr>
          <w:rFonts w:ascii="Arial" w:hAnsi="Arial" w:cs="Arial"/>
          <w:lang w:val="en-US"/>
        </w:rPr>
        <w:t>is not</w:t>
      </w:r>
      <w:r w:rsidR="00FF5286">
        <w:rPr>
          <w:rFonts w:ascii="Arial" w:hAnsi="Arial" w:cs="Arial"/>
          <w:lang w:val="en-US"/>
        </w:rPr>
        <w:t xml:space="preserve"> before the court)</w:t>
      </w:r>
      <w:r w:rsidR="006A5C74">
        <w:rPr>
          <w:rFonts w:ascii="Arial" w:hAnsi="Arial" w:cs="Arial"/>
          <w:lang w:val="en-US"/>
        </w:rPr>
        <w:t xml:space="preserve"> by addressing</w:t>
      </w:r>
      <w:r w:rsidR="00A4647C">
        <w:rPr>
          <w:rFonts w:ascii="Arial" w:hAnsi="Arial" w:cs="Arial"/>
          <w:lang w:val="en-US"/>
        </w:rPr>
        <w:t xml:space="preserve"> </w:t>
      </w:r>
      <w:r w:rsidR="006810A3">
        <w:rPr>
          <w:rFonts w:ascii="Arial" w:hAnsi="Arial" w:cs="Arial"/>
          <w:lang w:val="en-US"/>
        </w:rPr>
        <w:t xml:space="preserve">the plaintiff’s allegations of breach of contract and </w:t>
      </w:r>
      <w:r w:rsidR="006A5C74">
        <w:rPr>
          <w:rFonts w:ascii="Arial" w:hAnsi="Arial" w:cs="Arial"/>
          <w:lang w:val="en-US"/>
        </w:rPr>
        <w:t xml:space="preserve">again </w:t>
      </w:r>
      <w:r w:rsidR="006810A3">
        <w:rPr>
          <w:rFonts w:ascii="Arial" w:hAnsi="Arial" w:cs="Arial"/>
          <w:lang w:val="en-US"/>
        </w:rPr>
        <w:t>recommend</w:t>
      </w:r>
      <w:r w:rsidR="006A5C74">
        <w:rPr>
          <w:rFonts w:ascii="Arial" w:hAnsi="Arial" w:cs="Arial"/>
          <w:lang w:val="en-US"/>
        </w:rPr>
        <w:t xml:space="preserve">ing </w:t>
      </w:r>
      <w:r w:rsidR="006810A3">
        <w:rPr>
          <w:rFonts w:ascii="Arial" w:hAnsi="Arial" w:cs="Arial"/>
          <w:lang w:val="en-US"/>
        </w:rPr>
        <w:t>to the first defendant to terminate the contract itself as</w:t>
      </w:r>
      <w:r w:rsidR="00A4647C">
        <w:rPr>
          <w:rFonts w:ascii="Arial" w:hAnsi="Arial" w:cs="Arial"/>
          <w:lang w:val="en-US"/>
        </w:rPr>
        <w:t>,</w:t>
      </w:r>
      <w:r w:rsidR="006810A3">
        <w:rPr>
          <w:rFonts w:ascii="Arial" w:hAnsi="Arial" w:cs="Arial"/>
          <w:lang w:val="en-US"/>
        </w:rPr>
        <w:t xml:space="preserve"> in </w:t>
      </w:r>
      <w:r w:rsidR="006A5C74">
        <w:rPr>
          <w:rFonts w:ascii="Arial" w:hAnsi="Arial" w:cs="Arial"/>
          <w:lang w:val="en-US"/>
        </w:rPr>
        <w:t>the second defendant’s</w:t>
      </w:r>
      <w:r w:rsidR="006810A3">
        <w:rPr>
          <w:rFonts w:ascii="Arial" w:hAnsi="Arial" w:cs="Arial"/>
          <w:lang w:val="en-US"/>
        </w:rPr>
        <w:t xml:space="preserve"> view</w:t>
      </w:r>
      <w:r w:rsidR="00A4647C">
        <w:rPr>
          <w:rFonts w:ascii="Arial" w:hAnsi="Arial" w:cs="Arial"/>
          <w:lang w:val="en-US"/>
        </w:rPr>
        <w:t>,</w:t>
      </w:r>
      <w:r w:rsidR="006810A3">
        <w:rPr>
          <w:rFonts w:ascii="Arial" w:hAnsi="Arial" w:cs="Arial"/>
          <w:lang w:val="en-US"/>
        </w:rPr>
        <w:t xml:space="preserve"> there were no grounds for the plaintiff’s termination. </w:t>
      </w:r>
    </w:p>
    <w:p w14:paraId="4BA291BB" w14:textId="77777777" w:rsidR="006759DA" w:rsidRPr="006759DA" w:rsidRDefault="006759DA" w:rsidP="006759DA">
      <w:pPr>
        <w:pStyle w:val="ListParagraph"/>
        <w:rPr>
          <w:rFonts w:ascii="Arial" w:hAnsi="Arial" w:cs="Arial"/>
          <w:lang w:val="en-US"/>
        </w:rPr>
      </w:pPr>
    </w:p>
    <w:p w14:paraId="3AC8FD1A" w14:textId="54C06463" w:rsidR="006759DA" w:rsidRDefault="006759DA"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On 29 August 2019, </w:t>
      </w:r>
      <w:proofErr w:type="spellStart"/>
      <w:r w:rsidR="00D069A7">
        <w:rPr>
          <w:rFonts w:ascii="Arial" w:hAnsi="Arial" w:cs="Arial"/>
          <w:lang w:val="en-US"/>
        </w:rPr>
        <w:t>Kapuuo</w:t>
      </w:r>
      <w:proofErr w:type="spellEnd"/>
      <w:r>
        <w:rPr>
          <w:rFonts w:ascii="Arial" w:hAnsi="Arial" w:cs="Arial"/>
          <w:lang w:val="en-US"/>
        </w:rPr>
        <w:t xml:space="preserve"> again wrote to the first defendant</w:t>
      </w:r>
      <w:r w:rsidR="00FF5286">
        <w:rPr>
          <w:rFonts w:ascii="Arial" w:hAnsi="Arial" w:cs="Arial"/>
          <w:lang w:val="en-US"/>
        </w:rPr>
        <w:t xml:space="preserve">, </w:t>
      </w:r>
      <w:r>
        <w:rPr>
          <w:rFonts w:ascii="Arial" w:hAnsi="Arial" w:cs="Arial"/>
          <w:lang w:val="en-US"/>
        </w:rPr>
        <w:t>terminat</w:t>
      </w:r>
      <w:r w:rsidR="00FF5286">
        <w:rPr>
          <w:rFonts w:ascii="Arial" w:hAnsi="Arial" w:cs="Arial"/>
          <w:lang w:val="en-US"/>
        </w:rPr>
        <w:t>ing</w:t>
      </w:r>
      <w:r>
        <w:rPr>
          <w:rFonts w:ascii="Arial" w:hAnsi="Arial" w:cs="Arial"/>
          <w:lang w:val="en-US"/>
        </w:rPr>
        <w:t xml:space="preserve"> the contract and propos</w:t>
      </w:r>
      <w:r w:rsidR="00FF5286">
        <w:rPr>
          <w:rFonts w:ascii="Arial" w:hAnsi="Arial" w:cs="Arial"/>
          <w:lang w:val="en-US"/>
        </w:rPr>
        <w:t>ing</w:t>
      </w:r>
      <w:r>
        <w:rPr>
          <w:rFonts w:ascii="Arial" w:hAnsi="Arial" w:cs="Arial"/>
          <w:lang w:val="en-US"/>
        </w:rPr>
        <w:t xml:space="preserve"> a site handover meeting at the construction site to determine the work completed and the material and equipment on site</w:t>
      </w:r>
      <w:r w:rsidR="00FF5286">
        <w:rPr>
          <w:rFonts w:ascii="Arial" w:hAnsi="Arial" w:cs="Arial"/>
          <w:lang w:val="en-US"/>
        </w:rPr>
        <w:t>. The plaintiff would thereafter</w:t>
      </w:r>
      <w:r>
        <w:rPr>
          <w:rFonts w:ascii="Arial" w:hAnsi="Arial" w:cs="Arial"/>
          <w:lang w:val="en-US"/>
        </w:rPr>
        <w:t xml:space="preserve"> have the site </w:t>
      </w:r>
      <w:r w:rsidR="00FF5286">
        <w:rPr>
          <w:rFonts w:ascii="Arial" w:hAnsi="Arial" w:cs="Arial"/>
          <w:lang w:val="en-US"/>
        </w:rPr>
        <w:t xml:space="preserve">handed </w:t>
      </w:r>
      <w:r>
        <w:rPr>
          <w:rFonts w:ascii="Arial" w:hAnsi="Arial" w:cs="Arial"/>
          <w:lang w:val="en-US"/>
        </w:rPr>
        <w:t>over to the first defendant. The first defendant was also requested to release the performance guarantee.</w:t>
      </w:r>
      <w:r w:rsidR="00CC117A">
        <w:rPr>
          <w:rFonts w:ascii="Arial" w:hAnsi="Arial" w:cs="Arial"/>
          <w:lang w:val="en-US"/>
        </w:rPr>
        <w:t xml:space="preserve"> Garcia sa</w:t>
      </w:r>
      <w:r w:rsidR="00FF5286">
        <w:rPr>
          <w:rFonts w:ascii="Arial" w:hAnsi="Arial" w:cs="Arial"/>
          <w:lang w:val="en-US"/>
        </w:rPr>
        <w:t>id</w:t>
      </w:r>
      <w:r w:rsidR="00CC117A">
        <w:rPr>
          <w:rFonts w:ascii="Arial" w:hAnsi="Arial" w:cs="Arial"/>
          <w:lang w:val="en-US"/>
        </w:rPr>
        <w:t xml:space="preserve"> it appears the main issue was the non-payment of payment certificate 24. </w:t>
      </w:r>
      <w:r>
        <w:rPr>
          <w:rFonts w:ascii="Arial" w:hAnsi="Arial" w:cs="Arial"/>
          <w:lang w:val="en-US"/>
        </w:rPr>
        <w:t xml:space="preserve">  </w:t>
      </w:r>
    </w:p>
    <w:p w14:paraId="4F98C36C" w14:textId="77777777" w:rsidR="006759DA" w:rsidRPr="006759DA" w:rsidRDefault="006759DA" w:rsidP="006759DA">
      <w:pPr>
        <w:pStyle w:val="ListParagraph"/>
        <w:rPr>
          <w:rFonts w:ascii="Arial" w:hAnsi="Arial" w:cs="Arial"/>
          <w:lang w:val="en-US"/>
        </w:rPr>
      </w:pPr>
    </w:p>
    <w:p w14:paraId="5D3B8637" w14:textId="767A9F35" w:rsidR="006759DA" w:rsidRDefault="006759DA"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first defendant responded on 1 October 2019 by declaring a dispute about the plaintiff’s termination of the contract and indicated the matter would be referred to the second defendant for resolution.</w:t>
      </w:r>
      <w:r w:rsidR="00FF5286">
        <w:rPr>
          <w:rFonts w:ascii="Arial" w:hAnsi="Arial" w:cs="Arial"/>
          <w:lang w:val="en-US"/>
        </w:rPr>
        <w:t xml:space="preserve"> On 16 October 2019, the plaintiff responded to the first defendant’s letter of 1 October 2019 by requesting that the performance guarantee be released and informing the first defendant that, should it not be released, the plaintiff would incur interest.</w:t>
      </w:r>
      <w:r>
        <w:rPr>
          <w:rFonts w:ascii="Arial" w:hAnsi="Arial" w:cs="Arial"/>
          <w:lang w:val="en-US"/>
        </w:rPr>
        <w:t xml:space="preserve"> </w:t>
      </w:r>
    </w:p>
    <w:p w14:paraId="6C77E71E" w14:textId="77777777" w:rsidR="006759DA" w:rsidRPr="006759DA" w:rsidRDefault="006759DA" w:rsidP="006759DA">
      <w:pPr>
        <w:pStyle w:val="ListParagraph"/>
        <w:rPr>
          <w:rFonts w:ascii="Arial" w:hAnsi="Arial" w:cs="Arial"/>
          <w:lang w:val="en-US"/>
        </w:rPr>
      </w:pPr>
    </w:p>
    <w:p w14:paraId="12CA0D96" w14:textId="7655833A" w:rsidR="006759DA" w:rsidRDefault="006759DA"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In a letter dated 7 October 2019, the plaintiff indicated to the first defendant it was no longer on the site and it deems the site to have been handed over by virtue of the proposed meeting in its letter of 29 August 2019. The plaintiff requested the immediate release of the performance guarantee and the </w:t>
      </w:r>
      <w:r>
        <w:rPr>
          <w:rFonts w:ascii="Arial" w:hAnsi="Arial" w:cs="Arial"/>
          <w:lang w:val="en-US"/>
        </w:rPr>
        <w:lastRenderedPageBreak/>
        <w:t>settlement of all outstanding accounts.</w:t>
      </w:r>
      <w:r w:rsidR="006810A3">
        <w:rPr>
          <w:rFonts w:ascii="Arial" w:hAnsi="Arial" w:cs="Arial"/>
          <w:lang w:val="en-US"/>
        </w:rPr>
        <w:t xml:space="preserve"> Garcia sa</w:t>
      </w:r>
      <w:r w:rsidR="00FF5286">
        <w:rPr>
          <w:rFonts w:ascii="Arial" w:hAnsi="Arial" w:cs="Arial"/>
          <w:lang w:val="en-US"/>
        </w:rPr>
        <w:t>id</w:t>
      </w:r>
      <w:r w:rsidR="006810A3">
        <w:rPr>
          <w:rFonts w:ascii="Arial" w:hAnsi="Arial" w:cs="Arial"/>
          <w:lang w:val="en-US"/>
        </w:rPr>
        <w:t xml:space="preserve"> the second defendant did not receive the plaintiff’s letter of 7 October 2019. </w:t>
      </w:r>
    </w:p>
    <w:p w14:paraId="619E2510" w14:textId="77777777" w:rsidR="006759DA" w:rsidRPr="006759DA" w:rsidRDefault="006759DA" w:rsidP="006759DA">
      <w:pPr>
        <w:pStyle w:val="ListParagraph"/>
        <w:rPr>
          <w:rFonts w:ascii="Arial" w:hAnsi="Arial" w:cs="Arial"/>
          <w:lang w:val="en-US"/>
        </w:rPr>
      </w:pPr>
    </w:p>
    <w:p w14:paraId="75D2D19F" w14:textId="78E0729A" w:rsidR="00831B29" w:rsidRPr="00FF5286" w:rsidRDefault="006759DA" w:rsidP="00FF528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On 15 October 2019</w:t>
      </w:r>
      <w:r w:rsidR="00831B29">
        <w:rPr>
          <w:rFonts w:ascii="Arial" w:hAnsi="Arial" w:cs="Arial"/>
          <w:lang w:val="en-US"/>
        </w:rPr>
        <w:t xml:space="preserve">, the second defendant wrote to the plaintiff and the first defendant in response to the dispute declared by the first defendant. It directed the first defendant to provide a formal submission elaborating </w:t>
      </w:r>
      <w:r w:rsidR="00FF5286">
        <w:rPr>
          <w:rFonts w:ascii="Arial" w:hAnsi="Arial" w:cs="Arial"/>
          <w:lang w:val="en-US"/>
        </w:rPr>
        <w:t xml:space="preserve">on </w:t>
      </w:r>
      <w:r w:rsidR="00831B29">
        <w:rPr>
          <w:rFonts w:ascii="Arial" w:hAnsi="Arial" w:cs="Arial"/>
          <w:lang w:val="en-US"/>
        </w:rPr>
        <w:t>the reasons for the dispute within seven days and the plaintiff to respond thereto within seven days.</w:t>
      </w:r>
      <w:r w:rsidR="00FF5286">
        <w:rPr>
          <w:rFonts w:ascii="Arial" w:hAnsi="Arial" w:cs="Arial"/>
          <w:lang w:val="en-US"/>
        </w:rPr>
        <w:t xml:space="preserve"> </w:t>
      </w:r>
      <w:r w:rsidR="00831B29" w:rsidRPr="00FF5286">
        <w:rPr>
          <w:rFonts w:ascii="Arial" w:hAnsi="Arial" w:cs="Arial"/>
          <w:lang w:val="en-US"/>
        </w:rPr>
        <w:t>On 25 October 2019, in response to the second defendant’s letter of 15 October 2019, the plaintiff sought clarity about the second defendant’s directions.</w:t>
      </w:r>
      <w:r w:rsidR="00FF5286">
        <w:rPr>
          <w:rFonts w:ascii="Arial" w:hAnsi="Arial" w:cs="Arial"/>
          <w:lang w:val="en-US"/>
        </w:rPr>
        <w:t xml:space="preserve"> </w:t>
      </w:r>
      <w:r w:rsidR="00831B29" w:rsidRPr="00FF5286">
        <w:rPr>
          <w:rFonts w:ascii="Arial" w:hAnsi="Arial" w:cs="Arial"/>
          <w:lang w:val="en-US"/>
        </w:rPr>
        <w:t xml:space="preserve">In a letter dated 1 November 2019 to the second defendant, the plaintiff stated the first defendant failed to submit its formal submission and requested the second defendant to direct the first defendant to release the performance guarantee and settle the outstanding claims. </w:t>
      </w:r>
    </w:p>
    <w:p w14:paraId="33C0C683" w14:textId="77777777" w:rsidR="00831B29" w:rsidRPr="00831B29" w:rsidRDefault="00831B29" w:rsidP="00831B29">
      <w:pPr>
        <w:pStyle w:val="ListParagraph"/>
        <w:rPr>
          <w:rFonts w:ascii="Arial" w:hAnsi="Arial" w:cs="Arial"/>
          <w:lang w:val="en-US"/>
        </w:rPr>
      </w:pPr>
    </w:p>
    <w:p w14:paraId="4BAD0351" w14:textId="77777777" w:rsidR="00831B29" w:rsidRDefault="00831B29"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first defendant finally responded to the plaintiff on 7 November 2019 that it would proceed to prepare the final account. </w:t>
      </w:r>
    </w:p>
    <w:p w14:paraId="47651623" w14:textId="77777777" w:rsidR="00831B29" w:rsidRPr="00831B29" w:rsidRDefault="00831B29" w:rsidP="00831B29">
      <w:pPr>
        <w:pStyle w:val="ListParagraph"/>
        <w:rPr>
          <w:rFonts w:ascii="Arial" w:hAnsi="Arial" w:cs="Arial"/>
          <w:lang w:val="en-US"/>
        </w:rPr>
      </w:pPr>
    </w:p>
    <w:p w14:paraId="7B52CD5B" w14:textId="273FAF54" w:rsidR="00831B29" w:rsidRDefault="00831B29"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In a letter dated 25 November 2019, the first defendant </w:t>
      </w:r>
      <w:r w:rsidR="007E38F6">
        <w:rPr>
          <w:rFonts w:ascii="Arial" w:hAnsi="Arial" w:cs="Arial"/>
          <w:lang w:val="en-US"/>
        </w:rPr>
        <w:t xml:space="preserve">informed the plaintiff that a site meeting would be held on 26 November 2019 to quantify the work done by the plaintiff and all subcontractors, and the second defendant would then prepare a final account. </w:t>
      </w:r>
    </w:p>
    <w:p w14:paraId="22405462" w14:textId="77777777" w:rsidR="007E38F6" w:rsidRPr="007E38F6" w:rsidRDefault="007E38F6" w:rsidP="007E38F6">
      <w:pPr>
        <w:pStyle w:val="ListParagraph"/>
        <w:rPr>
          <w:rFonts w:ascii="Arial" w:hAnsi="Arial" w:cs="Arial"/>
          <w:lang w:val="en-US"/>
        </w:rPr>
      </w:pPr>
    </w:p>
    <w:p w14:paraId="732D0C5E" w14:textId="2CE0A35E" w:rsidR="007E38F6" w:rsidRDefault="00D069A7" w:rsidP="00FA715E">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sidR="007E38F6">
        <w:rPr>
          <w:rFonts w:ascii="Arial" w:hAnsi="Arial" w:cs="Arial"/>
          <w:lang w:val="en-US"/>
        </w:rPr>
        <w:t xml:space="preserve"> sa</w:t>
      </w:r>
      <w:r w:rsidR="00FF5286">
        <w:rPr>
          <w:rFonts w:ascii="Arial" w:hAnsi="Arial" w:cs="Arial"/>
          <w:lang w:val="en-US"/>
        </w:rPr>
        <w:t>id</w:t>
      </w:r>
      <w:r w:rsidR="007E38F6">
        <w:rPr>
          <w:rFonts w:ascii="Arial" w:hAnsi="Arial" w:cs="Arial"/>
          <w:lang w:val="en-US"/>
        </w:rPr>
        <w:t xml:space="preserve"> that on 26 November 2019, he, on behalf of the plaintiff, and a representative of the second defendant attended the first defendant’s proposed site meeting, but the first defendant failed to attend. </w:t>
      </w:r>
      <w:r w:rsidR="00FF5286">
        <w:rPr>
          <w:rFonts w:ascii="Arial" w:hAnsi="Arial" w:cs="Arial"/>
          <w:lang w:val="en-US"/>
        </w:rPr>
        <w:t xml:space="preserve">According to </w:t>
      </w:r>
      <w:proofErr w:type="spellStart"/>
      <w:r w:rsidR="00FF5286">
        <w:rPr>
          <w:rFonts w:ascii="Arial" w:hAnsi="Arial" w:cs="Arial"/>
          <w:lang w:val="en-US"/>
        </w:rPr>
        <w:t>Kapuuo</w:t>
      </w:r>
      <w:proofErr w:type="spellEnd"/>
      <w:r w:rsidR="00FF5286">
        <w:rPr>
          <w:rFonts w:ascii="Arial" w:hAnsi="Arial" w:cs="Arial"/>
          <w:lang w:val="en-US"/>
        </w:rPr>
        <w:t>,</w:t>
      </w:r>
      <w:r w:rsidR="007E38F6">
        <w:rPr>
          <w:rFonts w:ascii="Arial" w:hAnsi="Arial" w:cs="Arial"/>
          <w:lang w:val="en-US"/>
        </w:rPr>
        <w:t xml:space="preserve"> in the absence of representation for the first defendant, the meeting and quantification could not </w:t>
      </w:r>
      <w:r w:rsidR="00FF5286">
        <w:rPr>
          <w:rFonts w:ascii="Arial" w:hAnsi="Arial" w:cs="Arial"/>
          <w:lang w:val="en-US"/>
        </w:rPr>
        <w:t xml:space="preserve">have </w:t>
      </w:r>
      <w:r w:rsidR="007E38F6">
        <w:rPr>
          <w:rFonts w:ascii="Arial" w:hAnsi="Arial" w:cs="Arial"/>
          <w:lang w:val="en-US"/>
        </w:rPr>
        <w:t>proceed</w:t>
      </w:r>
      <w:r w:rsidR="00FF5286">
        <w:rPr>
          <w:rFonts w:ascii="Arial" w:hAnsi="Arial" w:cs="Arial"/>
          <w:lang w:val="en-US"/>
        </w:rPr>
        <w:t>ed</w:t>
      </w:r>
      <w:r w:rsidR="007E38F6">
        <w:rPr>
          <w:rFonts w:ascii="Arial" w:hAnsi="Arial" w:cs="Arial"/>
          <w:lang w:val="en-US"/>
        </w:rPr>
        <w:t>.</w:t>
      </w:r>
      <w:r w:rsidR="006810A3">
        <w:rPr>
          <w:rFonts w:ascii="Arial" w:hAnsi="Arial" w:cs="Arial"/>
          <w:lang w:val="en-US"/>
        </w:rPr>
        <w:t xml:space="preserve"> </w:t>
      </w:r>
    </w:p>
    <w:p w14:paraId="49A6BB59" w14:textId="77777777" w:rsidR="00643E5F" w:rsidRPr="00643E5F" w:rsidRDefault="00643E5F" w:rsidP="00643E5F">
      <w:pPr>
        <w:pStyle w:val="ListParagraph"/>
        <w:rPr>
          <w:rFonts w:ascii="Arial" w:hAnsi="Arial" w:cs="Arial"/>
          <w:lang w:val="en-US"/>
        </w:rPr>
      </w:pPr>
    </w:p>
    <w:p w14:paraId="7D30868D" w14:textId="51D7E74E" w:rsidR="00643E5F" w:rsidRDefault="00643E5F"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Nel sa</w:t>
      </w:r>
      <w:r w:rsidR="00FF5286">
        <w:rPr>
          <w:rFonts w:ascii="Arial" w:hAnsi="Arial" w:cs="Arial"/>
          <w:lang w:val="en-US"/>
        </w:rPr>
        <w:t>id</w:t>
      </w:r>
      <w:r>
        <w:rPr>
          <w:rFonts w:ascii="Arial" w:hAnsi="Arial" w:cs="Arial"/>
          <w:lang w:val="en-US"/>
        </w:rPr>
        <w:t xml:space="preserve"> his firm was present at the 26 November 2019 site meeting together with other consultants </w:t>
      </w:r>
      <w:r w:rsidR="00891E15">
        <w:rPr>
          <w:rFonts w:ascii="Arial" w:hAnsi="Arial" w:cs="Arial"/>
          <w:lang w:val="en-US"/>
        </w:rPr>
        <w:t xml:space="preserve">on behalf of the first defendant </w:t>
      </w:r>
      <w:r>
        <w:rPr>
          <w:rFonts w:ascii="Arial" w:hAnsi="Arial" w:cs="Arial"/>
          <w:lang w:val="en-US"/>
        </w:rPr>
        <w:t>(architect</w:t>
      </w:r>
      <w:r w:rsidR="00F665EB">
        <w:rPr>
          <w:rFonts w:ascii="Arial" w:hAnsi="Arial" w:cs="Arial"/>
          <w:lang w:val="en-US"/>
        </w:rPr>
        <w:t>s</w:t>
      </w:r>
      <w:r>
        <w:rPr>
          <w:rFonts w:ascii="Arial" w:hAnsi="Arial" w:cs="Arial"/>
          <w:lang w:val="en-US"/>
        </w:rPr>
        <w:t xml:space="preserve">, the principal </w:t>
      </w:r>
      <w:proofErr w:type="gramStart"/>
      <w:r>
        <w:rPr>
          <w:rFonts w:ascii="Arial" w:hAnsi="Arial" w:cs="Arial"/>
          <w:lang w:val="en-US"/>
        </w:rPr>
        <w:t>agent</w:t>
      </w:r>
      <w:proofErr w:type="gramEnd"/>
      <w:r>
        <w:rPr>
          <w:rFonts w:ascii="Arial" w:hAnsi="Arial" w:cs="Arial"/>
          <w:lang w:val="en-US"/>
        </w:rPr>
        <w:t xml:space="preserve"> and the electrical engineer). H</w:t>
      </w:r>
      <w:r w:rsidR="00891E15">
        <w:rPr>
          <w:rFonts w:ascii="Arial" w:hAnsi="Arial" w:cs="Arial"/>
          <w:lang w:val="en-US"/>
        </w:rPr>
        <w:t>e said</w:t>
      </w:r>
      <w:r>
        <w:rPr>
          <w:rFonts w:ascii="Arial" w:hAnsi="Arial" w:cs="Arial"/>
          <w:lang w:val="en-US"/>
        </w:rPr>
        <w:t xml:space="preserve"> the architect</w:t>
      </w:r>
      <w:r w:rsidR="00F665EB">
        <w:rPr>
          <w:rFonts w:ascii="Arial" w:hAnsi="Arial" w:cs="Arial"/>
          <w:lang w:val="en-US"/>
        </w:rPr>
        <w:t>s</w:t>
      </w:r>
      <w:r>
        <w:rPr>
          <w:rFonts w:ascii="Arial" w:hAnsi="Arial" w:cs="Arial"/>
          <w:lang w:val="en-US"/>
        </w:rPr>
        <w:t xml:space="preserve"> provided a closeout report. </w:t>
      </w:r>
      <w:r w:rsidR="00891E15">
        <w:rPr>
          <w:rFonts w:ascii="Arial" w:hAnsi="Arial" w:cs="Arial"/>
          <w:lang w:val="en-US"/>
        </w:rPr>
        <w:t xml:space="preserve">When </w:t>
      </w:r>
      <w:proofErr w:type="spellStart"/>
      <w:r w:rsidR="00D069A7">
        <w:rPr>
          <w:rFonts w:ascii="Arial" w:hAnsi="Arial" w:cs="Arial"/>
          <w:lang w:val="en-US"/>
        </w:rPr>
        <w:t>Kapuuo</w:t>
      </w:r>
      <w:proofErr w:type="spellEnd"/>
      <w:r>
        <w:rPr>
          <w:rFonts w:ascii="Arial" w:hAnsi="Arial" w:cs="Arial"/>
          <w:lang w:val="en-US"/>
        </w:rPr>
        <w:t xml:space="preserve"> was referred to </w:t>
      </w:r>
      <w:r w:rsidR="00891E15">
        <w:rPr>
          <w:rFonts w:ascii="Arial" w:hAnsi="Arial" w:cs="Arial"/>
          <w:lang w:val="en-US"/>
        </w:rPr>
        <w:t>the</w:t>
      </w:r>
      <w:r>
        <w:rPr>
          <w:rFonts w:ascii="Arial" w:hAnsi="Arial" w:cs="Arial"/>
          <w:lang w:val="en-US"/>
        </w:rPr>
        <w:t xml:space="preserve"> closeout report</w:t>
      </w:r>
      <w:r w:rsidR="00891E15">
        <w:rPr>
          <w:rFonts w:ascii="Arial" w:hAnsi="Arial" w:cs="Arial"/>
          <w:lang w:val="en-US"/>
        </w:rPr>
        <w:t>,</w:t>
      </w:r>
      <w:r>
        <w:rPr>
          <w:rFonts w:ascii="Arial" w:hAnsi="Arial" w:cs="Arial"/>
          <w:lang w:val="en-US"/>
        </w:rPr>
        <w:t xml:space="preserve"> he sa</w:t>
      </w:r>
      <w:r w:rsidR="00891E15">
        <w:rPr>
          <w:rFonts w:ascii="Arial" w:hAnsi="Arial" w:cs="Arial"/>
          <w:lang w:val="en-US"/>
        </w:rPr>
        <w:t>id</w:t>
      </w:r>
      <w:r>
        <w:rPr>
          <w:rFonts w:ascii="Arial" w:hAnsi="Arial" w:cs="Arial"/>
          <w:lang w:val="en-US"/>
        </w:rPr>
        <w:t xml:space="preserve"> he never received</w:t>
      </w:r>
      <w:r w:rsidR="00891E15">
        <w:rPr>
          <w:rFonts w:ascii="Arial" w:hAnsi="Arial" w:cs="Arial"/>
          <w:lang w:val="en-US"/>
        </w:rPr>
        <w:t xml:space="preserve"> it</w:t>
      </w:r>
      <w:r>
        <w:rPr>
          <w:rFonts w:ascii="Arial" w:hAnsi="Arial" w:cs="Arial"/>
          <w:lang w:val="en-US"/>
        </w:rPr>
        <w:t xml:space="preserve">, and he </w:t>
      </w:r>
      <w:r w:rsidR="00891E15">
        <w:rPr>
          <w:rFonts w:ascii="Arial" w:hAnsi="Arial" w:cs="Arial"/>
          <w:lang w:val="en-US"/>
        </w:rPr>
        <w:t>pointed out</w:t>
      </w:r>
      <w:r>
        <w:rPr>
          <w:rFonts w:ascii="Arial" w:hAnsi="Arial" w:cs="Arial"/>
          <w:lang w:val="en-US"/>
        </w:rPr>
        <w:t xml:space="preserve"> only one individual comp</w:t>
      </w:r>
      <w:r w:rsidR="00F665EB">
        <w:rPr>
          <w:rFonts w:ascii="Arial" w:hAnsi="Arial" w:cs="Arial"/>
          <w:lang w:val="en-US"/>
        </w:rPr>
        <w:t>ile</w:t>
      </w:r>
      <w:r>
        <w:rPr>
          <w:rFonts w:ascii="Arial" w:hAnsi="Arial" w:cs="Arial"/>
          <w:lang w:val="en-US"/>
        </w:rPr>
        <w:t>d it</w:t>
      </w:r>
      <w:r w:rsidR="00891E15">
        <w:rPr>
          <w:rFonts w:ascii="Arial" w:hAnsi="Arial" w:cs="Arial"/>
          <w:lang w:val="en-US"/>
        </w:rPr>
        <w:t>,</w:t>
      </w:r>
      <w:r>
        <w:rPr>
          <w:rFonts w:ascii="Arial" w:hAnsi="Arial" w:cs="Arial"/>
          <w:lang w:val="en-US"/>
        </w:rPr>
        <w:t xml:space="preserve"> while such reports </w:t>
      </w:r>
      <w:r w:rsidR="00891E15">
        <w:rPr>
          <w:rFonts w:ascii="Arial" w:hAnsi="Arial" w:cs="Arial"/>
          <w:lang w:val="en-US"/>
        </w:rPr>
        <w:t>were</w:t>
      </w:r>
      <w:r>
        <w:rPr>
          <w:rFonts w:ascii="Arial" w:hAnsi="Arial" w:cs="Arial"/>
          <w:lang w:val="en-US"/>
        </w:rPr>
        <w:t xml:space="preserve"> usually signed by all who inspected the site.</w:t>
      </w:r>
    </w:p>
    <w:p w14:paraId="0644CC21" w14:textId="77777777" w:rsidR="006D3A9A" w:rsidRPr="006D3A9A" w:rsidRDefault="006D3A9A" w:rsidP="006D3A9A">
      <w:pPr>
        <w:pStyle w:val="ListParagraph"/>
        <w:rPr>
          <w:rFonts w:ascii="Arial" w:hAnsi="Arial" w:cs="Arial"/>
          <w:lang w:val="en-US"/>
        </w:rPr>
      </w:pPr>
    </w:p>
    <w:p w14:paraId="1255F280" w14:textId="2CFF0DD5" w:rsidR="006D3A9A" w:rsidRDefault="006D3A9A" w:rsidP="00FA715E">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Garcia sa</w:t>
      </w:r>
      <w:r w:rsidR="00891E15">
        <w:rPr>
          <w:rFonts w:ascii="Arial" w:hAnsi="Arial" w:cs="Arial"/>
          <w:lang w:val="en-US"/>
        </w:rPr>
        <w:t>id</w:t>
      </w:r>
      <w:r>
        <w:rPr>
          <w:rFonts w:ascii="Arial" w:hAnsi="Arial" w:cs="Arial"/>
          <w:lang w:val="en-US"/>
        </w:rPr>
        <w:t xml:space="preserve"> the </w:t>
      </w:r>
      <w:r w:rsidR="006810A3">
        <w:rPr>
          <w:rFonts w:ascii="Arial" w:hAnsi="Arial" w:cs="Arial"/>
          <w:lang w:val="en-US"/>
        </w:rPr>
        <w:t xml:space="preserve">whole </w:t>
      </w:r>
      <w:r>
        <w:rPr>
          <w:rFonts w:ascii="Arial" w:hAnsi="Arial" w:cs="Arial"/>
          <w:lang w:val="en-US"/>
        </w:rPr>
        <w:t>professional team</w:t>
      </w:r>
      <w:r w:rsidR="006810A3">
        <w:rPr>
          <w:rFonts w:ascii="Arial" w:hAnsi="Arial" w:cs="Arial"/>
          <w:lang w:val="en-US"/>
        </w:rPr>
        <w:t xml:space="preserve"> (architect</w:t>
      </w:r>
      <w:r w:rsidR="00F665EB">
        <w:rPr>
          <w:rFonts w:ascii="Arial" w:hAnsi="Arial" w:cs="Arial"/>
          <w:lang w:val="en-US"/>
        </w:rPr>
        <w:t>s</w:t>
      </w:r>
      <w:r w:rsidR="006810A3">
        <w:rPr>
          <w:rFonts w:ascii="Arial" w:hAnsi="Arial" w:cs="Arial"/>
          <w:lang w:val="en-US"/>
        </w:rPr>
        <w:t xml:space="preserve">, </w:t>
      </w:r>
      <w:proofErr w:type="gramStart"/>
      <w:r w:rsidR="006810A3">
        <w:rPr>
          <w:rFonts w:ascii="Arial" w:hAnsi="Arial" w:cs="Arial"/>
          <w:lang w:val="en-US"/>
        </w:rPr>
        <w:t>engineers</w:t>
      </w:r>
      <w:proofErr w:type="gramEnd"/>
      <w:r w:rsidR="006810A3">
        <w:rPr>
          <w:rFonts w:ascii="Arial" w:hAnsi="Arial" w:cs="Arial"/>
          <w:lang w:val="en-US"/>
        </w:rPr>
        <w:t xml:space="preserve"> and </w:t>
      </w:r>
      <w:r>
        <w:rPr>
          <w:rFonts w:ascii="Arial" w:hAnsi="Arial" w:cs="Arial"/>
          <w:lang w:val="en-US"/>
        </w:rPr>
        <w:t>quantity surveyor</w:t>
      </w:r>
      <w:r w:rsidR="006810A3">
        <w:rPr>
          <w:rFonts w:ascii="Arial" w:hAnsi="Arial" w:cs="Arial"/>
          <w:lang w:val="en-US"/>
        </w:rPr>
        <w:t>)</w:t>
      </w:r>
      <w:r>
        <w:rPr>
          <w:rFonts w:ascii="Arial" w:hAnsi="Arial" w:cs="Arial"/>
          <w:lang w:val="en-US"/>
        </w:rPr>
        <w:t xml:space="preserve">, </w:t>
      </w:r>
      <w:r w:rsidR="005A4CF5">
        <w:rPr>
          <w:rFonts w:ascii="Arial" w:hAnsi="Arial" w:cs="Arial"/>
          <w:lang w:val="en-US"/>
        </w:rPr>
        <w:t xml:space="preserve">of which she was a part, </w:t>
      </w:r>
      <w:r>
        <w:rPr>
          <w:rFonts w:ascii="Arial" w:hAnsi="Arial" w:cs="Arial"/>
          <w:lang w:val="en-US"/>
        </w:rPr>
        <w:t xml:space="preserve">the plaintiff, the second defendant and </w:t>
      </w:r>
      <w:r w:rsidR="003663BD">
        <w:rPr>
          <w:rFonts w:ascii="Arial" w:hAnsi="Arial" w:cs="Arial"/>
          <w:lang w:val="en-US"/>
        </w:rPr>
        <w:t>representatives of the</w:t>
      </w:r>
      <w:r>
        <w:rPr>
          <w:rFonts w:ascii="Arial" w:hAnsi="Arial" w:cs="Arial"/>
          <w:lang w:val="en-US"/>
        </w:rPr>
        <w:t xml:space="preserve"> user ministry w</w:t>
      </w:r>
      <w:r w:rsidR="003663BD">
        <w:rPr>
          <w:rFonts w:ascii="Arial" w:hAnsi="Arial" w:cs="Arial"/>
          <w:lang w:val="en-US"/>
        </w:rPr>
        <w:t>ere</w:t>
      </w:r>
      <w:r>
        <w:rPr>
          <w:rFonts w:ascii="Arial" w:hAnsi="Arial" w:cs="Arial"/>
          <w:lang w:val="en-US"/>
        </w:rPr>
        <w:t xml:space="preserve"> present at the 26 November 2019 </w:t>
      </w:r>
      <w:r w:rsidR="00891E15">
        <w:rPr>
          <w:rFonts w:ascii="Arial" w:hAnsi="Arial" w:cs="Arial"/>
          <w:lang w:val="en-US"/>
        </w:rPr>
        <w:t xml:space="preserve">site </w:t>
      </w:r>
      <w:r>
        <w:rPr>
          <w:rFonts w:ascii="Arial" w:hAnsi="Arial" w:cs="Arial"/>
          <w:lang w:val="en-US"/>
        </w:rPr>
        <w:t>meeting. She refer</w:t>
      </w:r>
      <w:r w:rsidR="00891E15">
        <w:rPr>
          <w:rFonts w:ascii="Arial" w:hAnsi="Arial" w:cs="Arial"/>
          <w:lang w:val="en-US"/>
        </w:rPr>
        <w:t>red</w:t>
      </w:r>
      <w:r>
        <w:rPr>
          <w:rFonts w:ascii="Arial" w:hAnsi="Arial" w:cs="Arial"/>
          <w:lang w:val="en-US"/>
        </w:rPr>
        <w:t xml:space="preserve"> to the closeout report</w:t>
      </w:r>
      <w:r w:rsidR="003663BD">
        <w:rPr>
          <w:rFonts w:ascii="Arial" w:hAnsi="Arial" w:cs="Arial"/>
          <w:lang w:val="en-US"/>
        </w:rPr>
        <w:t>,</w:t>
      </w:r>
      <w:r>
        <w:rPr>
          <w:rFonts w:ascii="Arial" w:hAnsi="Arial" w:cs="Arial"/>
          <w:lang w:val="en-US"/>
        </w:rPr>
        <w:t xml:space="preserve"> which reflect</w:t>
      </w:r>
      <w:r w:rsidR="00891E15">
        <w:rPr>
          <w:rFonts w:ascii="Arial" w:hAnsi="Arial" w:cs="Arial"/>
          <w:lang w:val="en-US"/>
        </w:rPr>
        <w:t>ed</w:t>
      </w:r>
      <w:r>
        <w:rPr>
          <w:rFonts w:ascii="Arial" w:hAnsi="Arial" w:cs="Arial"/>
          <w:lang w:val="en-US"/>
        </w:rPr>
        <w:t xml:space="preserve"> the progress of the work.</w:t>
      </w:r>
      <w:r w:rsidR="006810A3">
        <w:rPr>
          <w:rFonts w:ascii="Arial" w:hAnsi="Arial" w:cs="Arial"/>
          <w:lang w:val="en-US"/>
        </w:rPr>
        <w:t xml:space="preserve"> </w:t>
      </w:r>
      <w:r w:rsidR="005A4CF5">
        <w:rPr>
          <w:rFonts w:ascii="Arial" w:hAnsi="Arial" w:cs="Arial"/>
          <w:lang w:val="en-US"/>
        </w:rPr>
        <w:t>She explain</w:t>
      </w:r>
      <w:r w:rsidR="00891E15">
        <w:rPr>
          <w:rFonts w:ascii="Arial" w:hAnsi="Arial" w:cs="Arial"/>
          <w:lang w:val="en-US"/>
        </w:rPr>
        <w:t>ed</w:t>
      </w:r>
      <w:r w:rsidR="005A4CF5">
        <w:rPr>
          <w:rFonts w:ascii="Arial" w:hAnsi="Arial" w:cs="Arial"/>
          <w:lang w:val="en-US"/>
        </w:rPr>
        <w:t xml:space="preserve"> they went through the site, visiting the structures</w:t>
      </w:r>
      <w:r w:rsidR="00891E15">
        <w:rPr>
          <w:rFonts w:ascii="Arial" w:hAnsi="Arial" w:cs="Arial"/>
          <w:lang w:val="en-US"/>
        </w:rPr>
        <w:t>,</w:t>
      </w:r>
      <w:r w:rsidR="005A4CF5">
        <w:rPr>
          <w:rFonts w:ascii="Arial" w:hAnsi="Arial" w:cs="Arial"/>
          <w:lang w:val="en-US"/>
        </w:rPr>
        <w:t xml:space="preserve"> and each </w:t>
      </w:r>
      <w:r w:rsidR="00891E15">
        <w:rPr>
          <w:rFonts w:ascii="Arial" w:hAnsi="Arial" w:cs="Arial"/>
          <w:lang w:val="en-US"/>
        </w:rPr>
        <w:t xml:space="preserve">discipline </w:t>
      </w:r>
      <w:r w:rsidR="005A4CF5">
        <w:rPr>
          <w:rFonts w:ascii="Arial" w:hAnsi="Arial" w:cs="Arial"/>
          <w:lang w:val="en-US"/>
        </w:rPr>
        <w:t xml:space="preserve">took care of </w:t>
      </w:r>
      <w:r w:rsidR="00891E15">
        <w:rPr>
          <w:rFonts w:ascii="Arial" w:hAnsi="Arial" w:cs="Arial"/>
          <w:lang w:val="en-US"/>
        </w:rPr>
        <w:t>its</w:t>
      </w:r>
      <w:r w:rsidR="005A4CF5">
        <w:rPr>
          <w:rFonts w:ascii="Arial" w:hAnsi="Arial" w:cs="Arial"/>
          <w:lang w:val="en-US"/>
        </w:rPr>
        <w:t xml:space="preserve"> responsibility</w:t>
      </w:r>
      <w:r w:rsidR="00891E15">
        <w:rPr>
          <w:rFonts w:ascii="Arial" w:hAnsi="Arial" w:cs="Arial"/>
          <w:lang w:val="en-US"/>
        </w:rPr>
        <w:t>,</w:t>
      </w:r>
      <w:r w:rsidR="005A4CF5">
        <w:rPr>
          <w:rFonts w:ascii="Arial" w:hAnsi="Arial" w:cs="Arial"/>
          <w:lang w:val="en-US"/>
        </w:rPr>
        <w:t xml:space="preserve"> and so the final account was compiled. </w:t>
      </w:r>
      <w:r w:rsidR="006810A3">
        <w:rPr>
          <w:rFonts w:ascii="Arial" w:hAnsi="Arial" w:cs="Arial"/>
          <w:lang w:val="en-US"/>
        </w:rPr>
        <w:t>Garcia further sa</w:t>
      </w:r>
      <w:r w:rsidR="00891E15">
        <w:rPr>
          <w:rFonts w:ascii="Arial" w:hAnsi="Arial" w:cs="Arial"/>
          <w:lang w:val="en-US"/>
        </w:rPr>
        <w:t>id</w:t>
      </w:r>
      <w:r w:rsidR="006810A3">
        <w:rPr>
          <w:rFonts w:ascii="Arial" w:hAnsi="Arial" w:cs="Arial"/>
          <w:lang w:val="en-US"/>
        </w:rPr>
        <w:t xml:space="preserve"> the first defendant’s presence was not required for the </w:t>
      </w:r>
      <w:r w:rsidR="00891E15">
        <w:rPr>
          <w:rFonts w:ascii="Arial" w:hAnsi="Arial" w:cs="Arial"/>
          <w:lang w:val="en-US"/>
        </w:rPr>
        <w:t xml:space="preserve">site </w:t>
      </w:r>
      <w:r w:rsidR="006810A3">
        <w:rPr>
          <w:rFonts w:ascii="Arial" w:hAnsi="Arial" w:cs="Arial"/>
          <w:lang w:val="en-US"/>
        </w:rPr>
        <w:t>meeting.</w:t>
      </w:r>
      <w:r w:rsidR="003663BD">
        <w:rPr>
          <w:rFonts w:ascii="Arial" w:hAnsi="Arial" w:cs="Arial"/>
          <w:lang w:val="en-US"/>
        </w:rPr>
        <w:t xml:space="preserve"> She sa</w:t>
      </w:r>
      <w:r w:rsidR="00891E15">
        <w:rPr>
          <w:rFonts w:ascii="Arial" w:hAnsi="Arial" w:cs="Arial"/>
          <w:lang w:val="en-US"/>
        </w:rPr>
        <w:t>id</w:t>
      </w:r>
      <w:r w:rsidR="003663BD">
        <w:rPr>
          <w:rFonts w:ascii="Arial" w:hAnsi="Arial" w:cs="Arial"/>
          <w:lang w:val="en-US"/>
        </w:rPr>
        <w:t xml:space="preserve"> the final account is done by the technical team, not the first defendant.</w:t>
      </w:r>
      <w:r w:rsidR="0069556A">
        <w:rPr>
          <w:rFonts w:ascii="Arial" w:hAnsi="Arial" w:cs="Arial"/>
          <w:lang w:val="en-US"/>
        </w:rPr>
        <w:t xml:space="preserve"> Under cross-examination, Garcia sa</w:t>
      </w:r>
      <w:r w:rsidR="00891E15">
        <w:rPr>
          <w:rFonts w:ascii="Arial" w:hAnsi="Arial" w:cs="Arial"/>
          <w:lang w:val="en-US"/>
        </w:rPr>
        <w:t>id</w:t>
      </w:r>
      <w:r w:rsidR="0069556A">
        <w:rPr>
          <w:rFonts w:ascii="Arial" w:hAnsi="Arial" w:cs="Arial"/>
          <w:lang w:val="en-US"/>
        </w:rPr>
        <w:t xml:space="preserve"> </w:t>
      </w:r>
      <w:r w:rsidR="00753CC4">
        <w:rPr>
          <w:rFonts w:ascii="Arial" w:hAnsi="Arial" w:cs="Arial"/>
          <w:lang w:val="en-US"/>
        </w:rPr>
        <w:t>payment certificates are interim</w:t>
      </w:r>
      <w:r w:rsidR="00891E15">
        <w:rPr>
          <w:rFonts w:ascii="Arial" w:hAnsi="Arial" w:cs="Arial"/>
          <w:lang w:val="en-US"/>
        </w:rPr>
        <w:t>,</w:t>
      </w:r>
      <w:r w:rsidR="00753CC4">
        <w:rPr>
          <w:rFonts w:ascii="Arial" w:hAnsi="Arial" w:cs="Arial"/>
          <w:lang w:val="en-US"/>
        </w:rPr>
        <w:t xml:space="preserve"> and if there is an issue one day</w:t>
      </w:r>
      <w:r w:rsidR="00891E15">
        <w:rPr>
          <w:rFonts w:ascii="Arial" w:hAnsi="Arial" w:cs="Arial"/>
          <w:lang w:val="en-US"/>
        </w:rPr>
        <w:t>,</w:t>
      </w:r>
      <w:r w:rsidR="00753CC4">
        <w:rPr>
          <w:rFonts w:ascii="Arial" w:hAnsi="Arial" w:cs="Arial"/>
          <w:lang w:val="en-US"/>
        </w:rPr>
        <w:t xml:space="preserve"> it can be corrected the next day</w:t>
      </w:r>
      <w:r w:rsidR="00891E15">
        <w:rPr>
          <w:rFonts w:ascii="Arial" w:hAnsi="Arial" w:cs="Arial"/>
          <w:lang w:val="en-US"/>
        </w:rPr>
        <w:t>,</w:t>
      </w:r>
      <w:r w:rsidR="00753CC4">
        <w:rPr>
          <w:rFonts w:ascii="Arial" w:hAnsi="Arial" w:cs="Arial"/>
          <w:lang w:val="en-US"/>
        </w:rPr>
        <w:t xml:space="preserve"> and the final account regulate</w:t>
      </w:r>
      <w:r w:rsidR="00891E15">
        <w:rPr>
          <w:rFonts w:ascii="Arial" w:hAnsi="Arial" w:cs="Arial"/>
          <w:lang w:val="en-US"/>
        </w:rPr>
        <w:t>s</w:t>
      </w:r>
      <w:r w:rsidR="00753CC4">
        <w:rPr>
          <w:rFonts w:ascii="Arial" w:hAnsi="Arial" w:cs="Arial"/>
          <w:lang w:val="en-US"/>
        </w:rPr>
        <w:t xml:space="preserve"> those things. According to the plaintiff, the reversal </w:t>
      </w:r>
      <w:r w:rsidR="00891E15">
        <w:rPr>
          <w:rFonts w:ascii="Arial" w:hAnsi="Arial" w:cs="Arial"/>
          <w:lang w:val="en-US"/>
        </w:rPr>
        <w:t xml:space="preserve">of payment certificate 23 </w:t>
      </w:r>
      <w:r w:rsidR="00753CC4">
        <w:rPr>
          <w:rFonts w:ascii="Arial" w:hAnsi="Arial" w:cs="Arial"/>
          <w:lang w:val="en-US"/>
        </w:rPr>
        <w:t>had to be dealt with and recovered in the final account and should not have been taken from payment certificate</w:t>
      </w:r>
      <w:r w:rsidR="00891E15">
        <w:rPr>
          <w:rFonts w:ascii="Arial" w:hAnsi="Arial" w:cs="Arial"/>
          <w:lang w:val="en-US"/>
        </w:rPr>
        <w:t xml:space="preserve"> 24</w:t>
      </w:r>
      <w:r w:rsidR="00753CC4">
        <w:rPr>
          <w:rFonts w:ascii="Arial" w:hAnsi="Arial" w:cs="Arial"/>
          <w:lang w:val="en-US"/>
        </w:rPr>
        <w:t>. Garcia did not agree</w:t>
      </w:r>
      <w:r w:rsidR="00891E15">
        <w:rPr>
          <w:rFonts w:ascii="Arial" w:hAnsi="Arial" w:cs="Arial"/>
          <w:lang w:val="en-US"/>
        </w:rPr>
        <w:t>,</w:t>
      </w:r>
      <w:r w:rsidR="00753CC4">
        <w:rPr>
          <w:rFonts w:ascii="Arial" w:hAnsi="Arial" w:cs="Arial"/>
          <w:lang w:val="en-US"/>
        </w:rPr>
        <w:t xml:space="preserve"> but she also sa</w:t>
      </w:r>
      <w:r w:rsidR="00891E15">
        <w:rPr>
          <w:rFonts w:ascii="Arial" w:hAnsi="Arial" w:cs="Arial"/>
          <w:lang w:val="en-US"/>
        </w:rPr>
        <w:t>id</w:t>
      </w:r>
      <w:r w:rsidR="00753CC4">
        <w:rPr>
          <w:rFonts w:ascii="Arial" w:hAnsi="Arial" w:cs="Arial"/>
          <w:lang w:val="en-US"/>
        </w:rPr>
        <w:t xml:space="preserve"> there is nothing in the contract entitling deductions to </w:t>
      </w:r>
      <w:r w:rsidR="0045305C">
        <w:rPr>
          <w:rFonts w:ascii="Arial" w:hAnsi="Arial" w:cs="Arial"/>
          <w:lang w:val="en-US"/>
        </w:rPr>
        <w:t>be</w:t>
      </w:r>
      <w:r w:rsidR="00753CC4">
        <w:rPr>
          <w:rFonts w:ascii="Arial" w:hAnsi="Arial" w:cs="Arial"/>
          <w:lang w:val="en-US"/>
        </w:rPr>
        <w:t xml:space="preserve"> made from payment certificates</w:t>
      </w:r>
      <w:r w:rsidR="00891E15">
        <w:rPr>
          <w:rFonts w:ascii="Arial" w:hAnsi="Arial" w:cs="Arial"/>
          <w:lang w:val="en-US"/>
        </w:rPr>
        <w:t>,</w:t>
      </w:r>
      <w:r w:rsidR="00753CC4">
        <w:rPr>
          <w:rFonts w:ascii="Arial" w:hAnsi="Arial" w:cs="Arial"/>
          <w:lang w:val="en-US"/>
        </w:rPr>
        <w:t xml:space="preserve"> but she </w:t>
      </w:r>
      <w:r w:rsidR="00891E15">
        <w:rPr>
          <w:rFonts w:ascii="Arial" w:hAnsi="Arial" w:cs="Arial"/>
          <w:lang w:val="en-US"/>
        </w:rPr>
        <w:t>further</w:t>
      </w:r>
      <w:r w:rsidR="00753CC4">
        <w:rPr>
          <w:rFonts w:ascii="Arial" w:hAnsi="Arial" w:cs="Arial"/>
          <w:lang w:val="en-US"/>
        </w:rPr>
        <w:t xml:space="preserve"> sa</w:t>
      </w:r>
      <w:r w:rsidR="00891E15">
        <w:rPr>
          <w:rFonts w:ascii="Arial" w:hAnsi="Arial" w:cs="Arial"/>
          <w:lang w:val="en-US"/>
        </w:rPr>
        <w:t>id</w:t>
      </w:r>
      <w:r w:rsidR="00753CC4">
        <w:rPr>
          <w:rFonts w:ascii="Arial" w:hAnsi="Arial" w:cs="Arial"/>
          <w:lang w:val="en-US"/>
        </w:rPr>
        <w:t xml:space="preserve"> that </w:t>
      </w:r>
      <w:r w:rsidR="00891E15">
        <w:rPr>
          <w:rFonts w:ascii="Arial" w:hAnsi="Arial" w:cs="Arial"/>
          <w:lang w:val="en-US"/>
        </w:rPr>
        <w:t>is not what happened</w:t>
      </w:r>
      <w:r w:rsidR="007B7BF3">
        <w:rPr>
          <w:rFonts w:ascii="Arial" w:hAnsi="Arial" w:cs="Arial"/>
          <w:lang w:val="en-US"/>
        </w:rPr>
        <w:t xml:space="preserve">. She said </w:t>
      </w:r>
      <w:r w:rsidR="00753CC4">
        <w:rPr>
          <w:rFonts w:ascii="Arial" w:hAnsi="Arial" w:cs="Arial"/>
          <w:lang w:val="en-US"/>
        </w:rPr>
        <w:t xml:space="preserve">one payment certificate was issued and cancelled.  </w:t>
      </w:r>
    </w:p>
    <w:p w14:paraId="173EC453" w14:textId="77777777" w:rsidR="007E38F6" w:rsidRPr="007E38F6" w:rsidRDefault="007E38F6" w:rsidP="007E38F6">
      <w:pPr>
        <w:pStyle w:val="ListParagraph"/>
        <w:rPr>
          <w:rFonts w:ascii="Arial" w:hAnsi="Arial" w:cs="Arial"/>
          <w:lang w:val="en-US"/>
        </w:rPr>
      </w:pPr>
    </w:p>
    <w:p w14:paraId="31C057A6" w14:textId="1AA8775D" w:rsidR="000B7BF1" w:rsidRDefault="007E38F6" w:rsidP="000B7BF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first defendant released the performance guarantee on 29 November 2019, but </w:t>
      </w:r>
      <w:proofErr w:type="spellStart"/>
      <w:r w:rsidR="00D069A7">
        <w:rPr>
          <w:rFonts w:ascii="Arial" w:hAnsi="Arial" w:cs="Arial"/>
          <w:lang w:val="en-US"/>
        </w:rPr>
        <w:t>Kapuuo</w:t>
      </w:r>
      <w:proofErr w:type="spellEnd"/>
      <w:r>
        <w:rPr>
          <w:rFonts w:ascii="Arial" w:hAnsi="Arial" w:cs="Arial"/>
          <w:lang w:val="en-US"/>
        </w:rPr>
        <w:t xml:space="preserve"> sa</w:t>
      </w:r>
      <w:r w:rsidR="00891E15">
        <w:rPr>
          <w:rFonts w:ascii="Arial" w:hAnsi="Arial" w:cs="Arial"/>
          <w:lang w:val="en-US"/>
        </w:rPr>
        <w:t>id</w:t>
      </w:r>
      <w:r w:rsidR="0040752A">
        <w:rPr>
          <w:rFonts w:ascii="Arial" w:hAnsi="Arial" w:cs="Arial"/>
          <w:lang w:val="en-US"/>
        </w:rPr>
        <w:t xml:space="preserve"> that at that point, the plaintiff already suffered damages. The monetary claim for the performance guarantee is for interest accrued for the plaintiff’s failure to return it as demanded.</w:t>
      </w:r>
      <w:r w:rsidR="001C49D2">
        <w:rPr>
          <w:rFonts w:ascii="Arial" w:hAnsi="Arial" w:cs="Arial"/>
          <w:lang w:val="en-US"/>
        </w:rPr>
        <w:t xml:space="preserve"> The evidence presented was as follows.</w:t>
      </w:r>
    </w:p>
    <w:p w14:paraId="3AEF52E6" w14:textId="77777777" w:rsidR="000B7BF1" w:rsidRPr="000B7BF1" w:rsidRDefault="000B7BF1" w:rsidP="000B7BF1">
      <w:pPr>
        <w:pStyle w:val="ListParagraph"/>
        <w:rPr>
          <w:rFonts w:ascii="Arial" w:hAnsi="Arial" w:cs="Arial"/>
          <w:lang w:val="en-US"/>
        </w:rPr>
      </w:pPr>
    </w:p>
    <w:p w14:paraId="6A327E1C" w14:textId="77777777" w:rsidR="002365DB" w:rsidRDefault="000B7BF1" w:rsidP="0040752A">
      <w:pPr>
        <w:pStyle w:val="ListParagraph"/>
        <w:numPr>
          <w:ilvl w:val="0"/>
          <w:numId w:val="2"/>
        </w:numPr>
        <w:spacing w:line="360" w:lineRule="auto"/>
        <w:ind w:left="0" w:firstLine="0"/>
        <w:jc w:val="both"/>
        <w:rPr>
          <w:rFonts w:ascii="Arial" w:hAnsi="Arial" w:cs="Arial"/>
          <w:lang w:val="en-US"/>
        </w:rPr>
      </w:pPr>
      <w:proofErr w:type="spellStart"/>
      <w:r w:rsidRPr="000B7BF1">
        <w:rPr>
          <w:rFonts w:ascii="Arial" w:hAnsi="Arial" w:cs="Arial"/>
          <w:lang w:val="en-US"/>
        </w:rPr>
        <w:t>Kapuuo</w:t>
      </w:r>
      <w:proofErr w:type="spellEnd"/>
      <w:r w:rsidRPr="000B7BF1">
        <w:rPr>
          <w:rFonts w:ascii="Arial" w:hAnsi="Arial" w:cs="Arial"/>
          <w:lang w:val="en-US"/>
        </w:rPr>
        <w:t xml:space="preserve"> sa</w:t>
      </w:r>
      <w:r>
        <w:rPr>
          <w:rFonts w:ascii="Arial" w:hAnsi="Arial" w:cs="Arial"/>
          <w:lang w:val="en-US"/>
        </w:rPr>
        <w:t>id</w:t>
      </w:r>
      <w:r w:rsidRPr="000B7BF1">
        <w:rPr>
          <w:rFonts w:ascii="Arial" w:hAnsi="Arial" w:cs="Arial"/>
          <w:lang w:val="en-US"/>
        </w:rPr>
        <w:t xml:space="preserve"> because of the first defendant’s failure to timely </w:t>
      </w:r>
      <w:r>
        <w:rPr>
          <w:rFonts w:ascii="Arial" w:hAnsi="Arial" w:cs="Arial"/>
          <w:lang w:val="en-US"/>
        </w:rPr>
        <w:t>release</w:t>
      </w:r>
      <w:r w:rsidRPr="000B7BF1">
        <w:rPr>
          <w:rFonts w:ascii="Arial" w:hAnsi="Arial" w:cs="Arial"/>
          <w:lang w:val="en-US"/>
        </w:rPr>
        <w:t xml:space="preserve"> the performance guarantee to the plaintiff, the plaintiff suffered damages of N$2 490 631</w:t>
      </w:r>
      <w:r>
        <w:rPr>
          <w:rFonts w:ascii="Arial" w:hAnsi="Arial" w:cs="Arial"/>
          <w:lang w:val="en-US"/>
        </w:rPr>
        <w:t>,</w:t>
      </w:r>
      <w:r w:rsidRPr="000B7BF1">
        <w:rPr>
          <w:rFonts w:ascii="Arial" w:hAnsi="Arial" w:cs="Arial"/>
          <w:lang w:val="en-US"/>
        </w:rPr>
        <w:t xml:space="preserve"> which are the subject of pending litigation by </w:t>
      </w:r>
      <w:proofErr w:type="spellStart"/>
      <w:r w:rsidRPr="000B7BF1">
        <w:rPr>
          <w:rFonts w:ascii="Arial" w:hAnsi="Arial" w:cs="Arial"/>
          <w:lang w:val="en-US"/>
        </w:rPr>
        <w:t>NamPro</w:t>
      </w:r>
      <w:proofErr w:type="spellEnd"/>
      <w:r w:rsidRPr="000B7BF1">
        <w:rPr>
          <w:rFonts w:ascii="Arial" w:hAnsi="Arial" w:cs="Arial"/>
          <w:lang w:val="en-US"/>
        </w:rPr>
        <w:t xml:space="preserve"> Fund against the plaintiff </w:t>
      </w:r>
      <w:r w:rsidR="0040752A">
        <w:rPr>
          <w:rFonts w:ascii="Arial" w:hAnsi="Arial" w:cs="Arial"/>
          <w:lang w:val="en-US"/>
        </w:rPr>
        <w:t xml:space="preserve">and </w:t>
      </w:r>
      <w:proofErr w:type="spellStart"/>
      <w:r>
        <w:rPr>
          <w:rFonts w:ascii="Arial" w:hAnsi="Arial" w:cs="Arial"/>
          <w:lang w:val="en-US"/>
        </w:rPr>
        <w:t>Kapuuo</w:t>
      </w:r>
      <w:proofErr w:type="spellEnd"/>
      <w:r>
        <w:rPr>
          <w:rFonts w:ascii="Arial" w:hAnsi="Arial" w:cs="Arial"/>
          <w:lang w:val="en-US"/>
        </w:rPr>
        <w:t xml:space="preserve"> </w:t>
      </w:r>
      <w:r w:rsidRPr="000B7BF1">
        <w:rPr>
          <w:rFonts w:ascii="Arial" w:hAnsi="Arial" w:cs="Arial"/>
          <w:lang w:val="en-US"/>
        </w:rPr>
        <w:t>himself</w:t>
      </w:r>
      <w:r w:rsidR="0040752A">
        <w:rPr>
          <w:rFonts w:ascii="Arial" w:hAnsi="Arial" w:cs="Arial"/>
          <w:lang w:val="en-US"/>
        </w:rPr>
        <w:t>,</w:t>
      </w:r>
      <w:r w:rsidRPr="000B7BF1">
        <w:rPr>
          <w:rFonts w:ascii="Arial" w:hAnsi="Arial" w:cs="Arial"/>
          <w:lang w:val="en-US"/>
        </w:rPr>
        <w:t xml:space="preserve"> wherein the first defendant </w:t>
      </w:r>
      <w:r w:rsidR="001C49D2">
        <w:rPr>
          <w:rFonts w:ascii="Arial" w:hAnsi="Arial" w:cs="Arial"/>
          <w:lang w:val="en-US"/>
        </w:rPr>
        <w:t>i</w:t>
      </w:r>
      <w:r w:rsidRPr="000B7BF1">
        <w:rPr>
          <w:rFonts w:ascii="Arial" w:hAnsi="Arial" w:cs="Arial"/>
          <w:lang w:val="en-US"/>
        </w:rPr>
        <w:t xml:space="preserve">s also cited as a defendant </w:t>
      </w:r>
      <w:r w:rsidR="0040752A">
        <w:rPr>
          <w:rFonts w:ascii="Arial" w:hAnsi="Arial" w:cs="Arial"/>
          <w:lang w:val="en-US"/>
        </w:rPr>
        <w:t>while</w:t>
      </w:r>
      <w:r w:rsidRPr="000B7BF1">
        <w:rPr>
          <w:rFonts w:ascii="Arial" w:hAnsi="Arial" w:cs="Arial"/>
          <w:lang w:val="en-US"/>
        </w:rPr>
        <w:t xml:space="preserve"> no relief is sought against it.</w:t>
      </w:r>
      <w:r>
        <w:rPr>
          <w:rFonts w:ascii="Arial" w:hAnsi="Arial" w:cs="Arial"/>
          <w:lang w:val="en-US"/>
        </w:rPr>
        <w:t xml:space="preserve"> </w:t>
      </w:r>
      <w:proofErr w:type="spellStart"/>
      <w:r w:rsidRPr="000B7BF1">
        <w:rPr>
          <w:rFonts w:ascii="Arial" w:hAnsi="Arial" w:cs="Arial"/>
          <w:lang w:val="en-US"/>
        </w:rPr>
        <w:t>Kapuuo</w:t>
      </w:r>
      <w:proofErr w:type="spellEnd"/>
      <w:r w:rsidRPr="000B7BF1">
        <w:rPr>
          <w:rFonts w:ascii="Arial" w:hAnsi="Arial" w:cs="Arial"/>
          <w:lang w:val="en-US"/>
        </w:rPr>
        <w:t xml:space="preserve"> refer</w:t>
      </w:r>
      <w:r>
        <w:rPr>
          <w:rFonts w:ascii="Arial" w:hAnsi="Arial" w:cs="Arial"/>
          <w:lang w:val="en-US"/>
        </w:rPr>
        <w:t>red</w:t>
      </w:r>
      <w:r w:rsidRPr="000B7BF1">
        <w:rPr>
          <w:rFonts w:ascii="Arial" w:hAnsi="Arial" w:cs="Arial"/>
          <w:lang w:val="en-US"/>
        </w:rPr>
        <w:t xml:space="preserve"> to a performance guarantee issued by </w:t>
      </w:r>
      <w:proofErr w:type="spellStart"/>
      <w:r w:rsidRPr="000B7BF1">
        <w:rPr>
          <w:rFonts w:ascii="Arial" w:hAnsi="Arial" w:cs="Arial"/>
          <w:lang w:val="en-US"/>
        </w:rPr>
        <w:t>NamPro</w:t>
      </w:r>
      <w:proofErr w:type="spellEnd"/>
      <w:r w:rsidRPr="000B7BF1">
        <w:rPr>
          <w:rFonts w:ascii="Arial" w:hAnsi="Arial" w:cs="Arial"/>
          <w:lang w:val="en-US"/>
        </w:rPr>
        <w:t xml:space="preserve"> </w:t>
      </w:r>
      <w:r w:rsidR="001C49D2" w:rsidRPr="000B7BF1">
        <w:rPr>
          <w:rFonts w:ascii="Arial" w:hAnsi="Arial" w:cs="Arial"/>
          <w:lang w:val="en-US"/>
        </w:rPr>
        <w:t>Fund</w:t>
      </w:r>
      <w:r w:rsidR="001C49D2">
        <w:rPr>
          <w:rFonts w:ascii="Arial" w:hAnsi="Arial" w:cs="Arial"/>
          <w:lang w:val="en-US"/>
        </w:rPr>
        <w:t xml:space="preserve"> and</w:t>
      </w:r>
      <w:r>
        <w:rPr>
          <w:rFonts w:ascii="Arial" w:hAnsi="Arial" w:cs="Arial"/>
          <w:lang w:val="en-US"/>
        </w:rPr>
        <w:t xml:space="preserve"> </w:t>
      </w:r>
      <w:r w:rsidRPr="000B7BF1">
        <w:rPr>
          <w:rFonts w:ascii="Arial" w:hAnsi="Arial" w:cs="Arial"/>
          <w:lang w:val="en-US"/>
        </w:rPr>
        <w:t>sa</w:t>
      </w:r>
      <w:r>
        <w:rPr>
          <w:rFonts w:ascii="Arial" w:hAnsi="Arial" w:cs="Arial"/>
          <w:lang w:val="en-US"/>
        </w:rPr>
        <w:t>id</w:t>
      </w:r>
      <w:r w:rsidRPr="000B7BF1">
        <w:rPr>
          <w:rFonts w:ascii="Arial" w:hAnsi="Arial" w:cs="Arial"/>
          <w:lang w:val="en-US"/>
        </w:rPr>
        <w:t xml:space="preserve"> when the first defendant failed to release the performance guarantee, </w:t>
      </w:r>
      <w:proofErr w:type="spellStart"/>
      <w:r w:rsidRPr="000B7BF1">
        <w:rPr>
          <w:rFonts w:ascii="Arial" w:hAnsi="Arial" w:cs="Arial"/>
          <w:lang w:val="en-US"/>
        </w:rPr>
        <w:t>NamPro</w:t>
      </w:r>
      <w:proofErr w:type="spellEnd"/>
      <w:r w:rsidRPr="000B7BF1">
        <w:rPr>
          <w:rFonts w:ascii="Arial" w:hAnsi="Arial" w:cs="Arial"/>
          <w:lang w:val="en-US"/>
        </w:rPr>
        <w:t xml:space="preserve"> Fund charged him the amount of </w:t>
      </w:r>
      <w:r w:rsidRPr="0040752A">
        <w:rPr>
          <w:rFonts w:ascii="Arial" w:hAnsi="Arial" w:cs="Arial"/>
          <w:lang w:val="en-US"/>
        </w:rPr>
        <w:t>N$2 490 631,39.</w:t>
      </w:r>
      <w:r w:rsidR="002365DB">
        <w:rPr>
          <w:rFonts w:ascii="Arial" w:hAnsi="Arial" w:cs="Arial"/>
          <w:lang w:val="en-US"/>
        </w:rPr>
        <w:t xml:space="preserve"> </w:t>
      </w:r>
    </w:p>
    <w:p w14:paraId="2E1CD994" w14:textId="77777777" w:rsidR="002365DB" w:rsidRPr="002365DB" w:rsidRDefault="002365DB" w:rsidP="002365DB">
      <w:pPr>
        <w:pStyle w:val="ListParagraph"/>
        <w:rPr>
          <w:rFonts w:ascii="Arial" w:hAnsi="Arial" w:cs="Arial"/>
          <w:lang w:val="en-US"/>
        </w:rPr>
      </w:pPr>
    </w:p>
    <w:p w14:paraId="68C1D858" w14:textId="06D542E8" w:rsidR="001C49D2" w:rsidRDefault="002365DB" w:rsidP="0040752A">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During cross-examination, </w:t>
      </w:r>
      <w:proofErr w:type="spellStart"/>
      <w:r>
        <w:rPr>
          <w:rFonts w:ascii="Arial" w:hAnsi="Arial" w:cs="Arial"/>
          <w:lang w:val="en-US"/>
        </w:rPr>
        <w:t>Kapuuo</w:t>
      </w:r>
      <w:proofErr w:type="spellEnd"/>
      <w:r>
        <w:rPr>
          <w:rFonts w:ascii="Arial" w:hAnsi="Arial" w:cs="Arial"/>
          <w:lang w:val="en-US"/>
        </w:rPr>
        <w:t xml:space="preserve"> confirmed the performance guarantee by Bank Windhoek Ltd </w:t>
      </w:r>
      <w:r w:rsidR="007B7BF3">
        <w:rPr>
          <w:rFonts w:ascii="Arial" w:hAnsi="Arial" w:cs="Arial"/>
          <w:lang w:val="en-US"/>
        </w:rPr>
        <w:t>wa</w:t>
      </w:r>
      <w:r>
        <w:rPr>
          <w:rFonts w:ascii="Arial" w:hAnsi="Arial" w:cs="Arial"/>
          <w:lang w:val="en-US"/>
        </w:rPr>
        <w:t>s the one taken out by the plaintiff for the contract, it was issued by Bank Windhoek Ltd, the first defendant was the beneficiary, the plaintiff was the applicant</w:t>
      </w:r>
      <w:r w:rsidR="005F156B">
        <w:rPr>
          <w:rFonts w:ascii="Arial" w:hAnsi="Arial" w:cs="Arial"/>
          <w:lang w:val="en-US"/>
        </w:rPr>
        <w:t>,</w:t>
      </w:r>
      <w:r>
        <w:rPr>
          <w:rFonts w:ascii="Arial" w:hAnsi="Arial" w:cs="Arial"/>
          <w:lang w:val="en-US"/>
        </w:rPr>
        <w:t xml:space="preserve"> and the first defendant was not a party to the contract </w:t>
      </w:r>
      <w:r>
        <w:rPr>
          <w:rFonts w:ascii="Arial" w:hAnsi="Arial" w:cs="Arial"/>
          <w:lang w:val="en-US"/>
        </w:rPr>
        <w:lastRenderedPageBreak/>
        <w:t>between the plaintiff and Bank Windhoek Ltd for the performance guarantee.</w:t>
      </w:r>
      <w:r w:rsidR="00631CA0">
        <w:rPr>
          <w:rFonts w:ascii="Arial" w:hAnsi="Arial" w:cs="Arial"/>
          <w:lang w:val="en-US"/>
        </w:rPr>
        <w:t xml:space="preserve"> </w:t>
      </w:r>
      <w:proofErr w:type="spellStart"/>
      <w:r w:rsidR="00631CA0">
        <w:rPr>
          <w:rFonts w:ascii="Arial" w:hAnsi="Arial" w:cs="Arial"/>
          <w:lang w:val="en-US"/>
        </w:rPr>
        <w:t>Kapuuo</w:t>
      </w:r>
      <w:proofErr w:type="spellEnd"/>
      <w:r w:rsidR="00631CA0">
        <w:rPr>
          <w:rFonts w:ascii="Arial" w:hAnsi="Arial" w:cs="Arial"/>
          <w:lang w:val="en-US"/>
        </w:rPr>
        <w:t xml:space="preserve"> was asked to read out parts of the performance guarantee</w:t>
      </w:r>
      <w:r w:rsidR="005F156B">
        <w:rPr>
          <w:rFonts w:ascii="Arial" w:hAnsi="Arial" w:cs="Arial"/>
          <w:lang w:val="en-US"/>
        </w:rPr>
        <w:t>,</w:t>
      </w:r>
      <w:r w:rsidR="00631CA0">
        <w:rPr>
          <w:rFonts w:ascii="Arial" w:hAnsi="Arial" w:cs="Arial"/>
          <w:lang w:val="en-US"/>
        </w:rPr>
        <w:t xml:space="preserve"> including the part that the plaintiff was liable for the charges of the cost relating to the performance guarantee. </w:t>
      </w:r>
    </w:p>
    <w:p w14:paraId="6E85BD1A" w14:textId="77777777" w:rsidR="002365DB" w:rsidRPr="002365DB" w:rsidRDefault="002365DB" w:rsidP="002365DB">
      <w:pPr>
        <w:pStyle w:val="ListParagraph"/>
        <w:rPr>
          <w:rFonts w:ascii="Arial" w:hAnsi="Arial" w:cs="Arial"/>
          <w:lang w:val="en-US"/>
        </w:rPr>
      </w:pPr>
    </w:p>
    <w:p w14:paraId="46363EFE" w14:textId="075994F3" w:rsidR="002365DB" w:rsidRDefault="002365DB" w:rsidP="002365DB">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Under re-examination, </w:t>
      </w:r>
      <w:proofErr w:type="spellStart"/>
      <w:r>
        <w:rPr>
          <w:rFonts w:ascii="Arial" w:hAnsi="Arial" w:cs="Arial"/>
          <w:lang w:val="en-US"/>
        </w:rPr>
        <w:t>Kapuuo</w:t>
      </w:r>
      <w:proofErr w:type="spellEnd"/>
      <w:r>
        <w:rPr>
          <w:rFonts w:ascii="Arial" w:hAnsi="Arial" w:cs="Arial"/>
          <w:lang w:val="en-US"/>
        </w:rPr>
        <w:t xml:space="preserve"> clarified some issues pertaining to the performance guarantee. The tender was awarded on the condition that a performance guarantee be provided. The plaintiff approached </w:t>
      </w:r>
      <w:proofErr w:type="spellStart"/>
      <w:r>
        <w:rPr>
          <w:rFonts w:ascii="Arial" w:hAnsi="Arial" w:cs="Arial"/>
          <w:lang w:val="en-US"/>
        </w:rPr>
        <w:t>NamPro</w:t>
      </w:r>
      <w:proofErr w:type="spellEnd"/>
      <w:r>
        <w:rPr>
          <w:rFonts w:ascii="Arial" w:hAnsi="Arial" w:cs="Arial"/>
          <w:lang w:val="en-US"/>
        </w:rPr>
        <w:t xml:space="preserve"> Fund and applied for a facility to assist with the performance guarantee. </w:t>
      </w:r>
      <w:proofErr w:type="spellStart"/>
      <w:r>
        <w:rPr>
          <w:rFonts w:ascii="Arial" w:hAnsi="Arial" w:cs="Arial"/>
          <w:lang w:val="en-US"/>
        </w:rPr>
        <w:t>NamPro</w:t>
      </w:r>
      <w:proofErr w:type="spellEnd"/>
      <w:r>
        <w:rPr>
          <w:rFonts w:ascii="Arial" w:hAnsi="Arial" w:cs="Arial"/>
          <w:lang w:val="en-US"/>
        </w:rPr>
        <w:t xml:space="preserve"> Fund required security, </w:t>
      </w:r>
      <w:proofErr w:type="spellStart"/>
      <w:r>
        <w:rPr>
          <w:rFonts w:ascii="Arial" w:hAnsi="Arial" w:cs="Arial"/>
          <w:lang w:val="en-US"/>
        </w:rPr>
        <w:t>Kapuuo’s</w:t>
      </w:r>
      <w:proofErr w:type="spellEnd"/>
      <w:r>
        <w:rPr>
          <w:rFonts w:ascii="Arial" w:hAnsi="Arial" w:cs="Arial"/>
          <w:lang w:val="en-US"/>
        </w:rPr>
        <w:t xml:space="preserve"> uncle’s farm was given as security, and Bank Windhoek Ltd issued the performance guarantee. The project had challenges and </w:t>
      </w:r>
      <w:proofErr w:type="spellStart"/>
      <w:r>
        <w:rPr>
          <w:rFonts w:ascii="Arial" w:hAnsi="Arial" w:cs="Arial"/>
          <w:lang w:val="en-US"/>
        </w:rPr>
        <w:t>NamPro</w:t>
      </w:r>
      <w:proofErr w:type="spellEnd"/>
      <w:r>
        <w:rPr>
          <w:rFonts w:ascii="Arial" w:hAnsi="Arial" w:cs="Arial"/>
          <w:lang w:val="en-US"/>
        </w:rPr>
        <w:t xml:space="preserve"> Fund demanded the return of the performance guarantee. </w:t>
      </w:r>
      <w:proofErr w:type="spellStart"/>
      <w:r>
        <w:rPr>
          <w:rFonts w:ascii="Arial" w:hAnsi="Arial" w:cs="Arial"/>
          <w:lang w:val="en-US"/>
        </w:rPr>
        <w:t>NamPro</w:t>
      </w:r>
      <w:proofErr w:type="spellEnd"/>
      <w:r>
        <w:rPr>
          <w:rFonts w:ascii="Arial" w:hAnsi="Arial" w:cs="Arial"/>
          <w:lang w:val="en-US"/>
        </w:rPr>
        <w:t xml:space="preserve"> Fund took the plaintiff to court for money borrowed from it and not paid. </w:t>
      </w:r>
      <w:proofErr w:type="spellStart"/>
      <w:r>
        <w:rPr>
          <w:rFonts w:ascii="Arial" w:hAnsi="Arial" w:cs="Arial"/>
          <w:lang w:val="en-US"/>
        </w:rPr>
        <w:t>Kapuuo</w:t>
      </w:r>
      <w:proofErr w:type="spellEnd"/>
      <w:r>
        <w:rPr>
          <w:rFonts w:ascii="Arial" w:hAnsi="Arial" w:cs="Arial"/>
          <w:lang w:val="en-US"/>
        </w:rPr>
        <w:t xml:space="preserve"> was referred to paragraph 21 of the particulars of claim in that pending litigation which reads as follows:</w:t>
      </w:r>
    </w:p>
    <w:p w14:paraId="2A1B6BEB" w14:textId="77777777" w:rsidR="002365DB" w:rsidRPr="00347F04" w:rsidRDefault="002365DB" w:rsidP="002365DB">
      <w:pPr>
        <w:pStyle w:val="ListParagraph"/>
        <w:rPr>
          <w:rFonts w:ascii="Arial" w:hAnsi="Arial" w:cs="Arial"/>
          <w:lang w:val="en-US"/>
        </w:rPr>
      </w:pPr>
    </w:p>
    <w:p w14:paraId="11F7E7D6" w14:textId="7907E172" w:rsidR="002365DB" w:rsidRDefault="002365DB" w:rsidP="002365DB">
      <w:pPr>
        <w:pStyle w:val="ListParagraph"/>
        <w:spacing w:line="360" w:lineRule="auto"/>
        <w:ind w:left="0" w:firstLine="720"/>
        <w:jc w:val="both"/>
        <w:rPr>
          <w:rFonts w:ascii="Arial" w:hAnsi="Arial" w:cs="Arial"/>
          <w:lang w:val="en-US"/>
        </w:rPr>
      </w:pPr>
      <w:r w:rsidRPr="00347F04">
        <w:rPr>
          <w:rFonts w:ascii="Arial" w:hAnsi="Arial" w:cs="Arial"/>
          <w:sz w:val="22"/>
          <w:szCs w:val="22"/>
          <w:lang w:val="en-US"/>
        </w:rPr>
        <w:t xml:space="preserve">‘Whilst the judgment amount in 19.1 and 19.2 above have been settled in full (by the third defendant), the return of the performance guarantee as ordered by the court, was not complied with. In fact, the first defendant only returned the performance guarantee on 18 February 2020 whereby interest continued to accrue on the performance guarantee amount. Thus, leaving an outstanding amount of N$ 2 490 631.39 as </w:t>
      </w:r>
      <w:proofErr w:type="gramStart"/>
      <w:r w:rsidRPr="00347F04">
        <w:rPr>
          <w:rFonts w:ascii="Arial" w:hAnsi="Arial" w:cs="Arial"/>
          <w:sz w:val="22"/>
          <w:szCs w:val="22"/>
          <w:lang w:val="en-US"/>
        </w:rPr>
        <w:t>at</w:t>
      </w:r>
      <w:proofErr w:type="gramEnd"/>
      <w:r w:rsidRPr="00347F04">
        <w:rPr>
          <w:rFonts w:ascii="Arial" w:hAnsi="Arial" w:cs="Arial"/>
          <w:sz w:val="22"/>
          <w:szCs w:val="22"/>
          <w:lang w:val="en-US"/>
        </w:rPr>
        <w:t xml:space="preserve"> 21 November 2021.’</w:t>
      </w:r>
    </w:p>
    <w:p w14:paraId="4456189E" w14:textId="77777777" w:rsidR="001C49D2" w:rsidRPr="001C49D2" w:rsidRDefault="001C49D2" w:rsidP="001C49D2">
      <w:pPr>
        <w:pStyle w:val="ListParagraph"/>
        <w:rPr>
          <w:rFonts w:ascii="Arial" w:hAnsi="Arial" w:cs="Arial"/>
          <w:lang w:val="en-US"/>
        </w:rPr>
      </w:pPr>
    </w:p>
    <w:p w14:paraId="2968DC1A" w14:textId="0065DFBE" w:rsidR="001C49D2" w:rsidRPr="002365DB" w:rsidRDefault="001C49D2" w:rsidP="002365DB">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Pr>
          <w:rFonts w:ascii="Arial" w:hAnsi="Arial" w:cs="Arial"/>
          <w:lang w:val="en-US"/>
        </w:rPr>
        <w:t xml:space="preserve"> was cross-examined and re-examined on the pending litigation. The practical completion date should have been 15 February 2016</w:t>
      </w:r>
      <w:r w:rsidR="002365DB">
        <w:rPr>
          <w:rFonts w:ascii="Arial" w:hAnsi="Arial" w:cs="Arial"/>
          <w:lang w:val="en-US"/>
        </w:rPr>
        <w:t xml:space="preserve">, and </w:t>
      </w:r>
      <w:r w:rsidR="002365DB" w:rsidRPr="001C49D2">
        <w:rPr>
          <w:rFonts w:ascii="Arial" w:hAnsi="Arial" w:cs="Arial"/>
          <w:lang w:val="en-US"/>
        </w:rPr>
        <w:t>the performance guarantee was to be released 60 days after practical completion</w:t>
      </w:r>
      <w:r w:rsidR="002365DB">
        <w:rPr>
          <w:rFonts w:ascii="Arial" w:hAnsi="Arial" w:cs="Arial"/>
          <w:lang w:val="en-US"/>
        </w:rPr>
        <w:t>,</w:t>
      </w:r>
      <w:r w:rsidR="002365DB" w:rsidRPr="001C49D2">
        <w:rPr>
          <w:rFonts w:ascii="Arial" w:hAnsi="Arial" w:cs="Arial"/>
          <w:lang w:val="en-US"/>
        </w:rPr>
        <w:t xml:space="preserve"> </w:t>
      </w:r>
      <w:r w:rsidR="002365DB">
        <w:rPr>
          <w:rFonts w:ascii="Arial" w:hAnsi="Arial" w:cs="Arial"/>
          <w:lang w:val="en-US"/>
        </w:rPr>
        <w:t>but</w:t>
      </w:r>
      <w:r w:rsidR="002365DB" w:rsidRPr="001C49D2">
        <w:rPr>
          <w:rFonts w:ascii="Arial" w:hAnsi="Arial" w:cs="Arial"/>
          <w:lang w:val="en-US"/>
        </w:rPr>
        <w:t xml:space="preserve"> there was no date of practical completion.</w:t>
      </w:r>
      <w:r>
        <w:rPr>
          <w:rFonts w:ascii="Arial" w:hAnsi="Arial" w:cs="Arial"/>
          <w:lang w:val="en-US"/>
        </w:rPr>
        <w:t xml:space="preserve"> </w:t>
      </w:r>
      <w:proofErr w:type="spellStart"/>
      <w:r w:rsidR="002365DB" w:rsidRPr="001C49D2">
        <w:rPr>
          <w:rFonts w:ascii="Arial" w:hAnsi="Arial" w:cs="Arial"/>
          <w:lang w:val="en-US"/>
        </w:rPr>
        <w:t>Kapuuo</w:t>
      </w:r>
      <w:proofErr w:type="spellEnd"/>
      <w:r w:rsidR="002365DB" w:rsidRPr="001C49D2">
        <w:rPr>
          <w:rFonts w:ascii="Arial" w:hAnsi="Arial" w:cs="Arial"/>
          <w:lang w:val="en-US"/>
        </w:rPr>
        <w:t xml:space="preserve"> </w:t>
      </w:r>
      <w:r w:rsidR="002365DB">
        <w:rPr>
          <w:rFonts w:ascii="Arial" w:hAnsi="Arial" w:cs="Arial"/>
          <w:lang w:val="en-US"/>
        </w:rPr>
        <w:t>testified</w:t>
      </w:r>
      <w:r w:rsidR="002365DB" w:rsidRPr="001C49D2">
        <w:rPr>
          <w:rFonts w:ascii="Arial" w:hAnsi="Arial" w:cs="Arial"/>
          <w:lang w:val="en-US"/>
        </w:rPr>
        <w:t xml:space="preserve"> he asked for its release before the first letter of determination of 8 July 2019.</w:t>
      </w:r>
      <w:r w:rsidR="002365DB">
        <w:rPr>
          <w:rFonts w:ascii="Arial" w:hAnsi="Arial" w:cs="Arial"/>
          <w:lang w:val="en-US"/>
        </w:rPr>
        <w:t xml:space="preserve"> </w:t>
      </w:r>
      <w:proofErr w:type="spellStart"/>
      <w:r>
        <w:rPr>
          <w:rFonts w:ascii="Arial" w:hAnsi="Arial" w:cs="Arial"/>
          <w:lang w:val="en-US"/>
        </w:rPr>
        <w:t>Kapuuo</w:t>
      </w:r>
      <w:proofErr w:type="spellEnd"/>
      <w:r>
        <w:rPr>
          <w:rFonts w:ascii="Arial" w:hAnsi="Arial" w:cs="Arial"/>
          <w:lang w:val="en-US"/>
        </w:rPr>
        <w:t xml:space="preserve"> explained the project was supposed to run for fourteen months, but it was prolonged because of unforeseen circumstances, and the plaintiff had to keep the performance guarantee for about six years, while </w:t>
      </w:r>
      <w:proofErr w:type="spellStart"/>
      <w:r>
        <w:rPr>
          <w:rFonts w:ascii="Arial" w:hAnsi="Arial" w:cs="Arial"/>
          <w:lang w:val="en-US"/>
        </w:rPr>
        <w:t>NamPro</w:t>
      </w:r>
      <w:proofErr w:type="spellEnd"/>
      <w:r>
        <w:rPr>
          <w:rFonts w:ascii="Arial" w:hAnsi="Arial" w:cs="Arial"/>
          <w:lang w:val="en-US"/>
        </w:rPr>
        <w:t xml:space="preserve"> Fund continued charging the plaintiff for the performance guarantee and that accrued until there was a meeting with the first defendant. </w:t>
      </w:r>
      <w:proofErr w:type="spellStart"/>
      <w:r>
        <w:rPr>
          <w:rFonts w:ascii="Arial" w:hAnsi="Arial" w:cs="Arial"/>
          <w:lang w:val="en-US"/>
        </w:rPr>
        <w:t>NamPro</w:t>
      </w:r>
      <w:proofErr w:type="spellEnd"/>
      <w:r>
        <w:rPr>
          <w:rFonts w:ascii="Arial" w:hAnsi="Arial" w:cs="Arial"/>
          <w:lang w:val="en-US"/>
        </w:rPr>
        <w:t xml:space="preserve"> Fund wanted to change the performance guarantee</w:t>
      </w:r>
      <w:r w:rsidR="007B7BF3">
        <w:rPr>
          <w:rFonts w:ascii="Arial" w:hAnsi="Arial" w:cs="Arial"/>
          <w:lang w:val="en-US"/>
        </w:rPr>
        <w:t>,</w:t>
      </w:r>
      <w:r>
        <w:rPr>
          <w:rFonts w:ascii="Arial" w:hAnsi="Arial" w:cs="Arial"/>
          <w:lang w:val="en-US"/>
        </w:rPr>
        <w:t xml:space="preserve"> </w:t>
      </w:r>
      <w:r w:rsidR="007B7BF3">
        <w:rPr>
          <w:rFonts w:ascii="Arial" w:hAnsi="Arial" w:cs="Arial"/>
          <w:lang w:val="en-US"/>
        </w:rPr>
        <w:t>but</w:t>
      </w:r>
      <w:r>
        <w:rPr>
          <w:rFonts w:ascii="Arial" w:hAnsi="Arial" w:cs="Arial"/>
          <w:lang w:val="en-US"/>
        </w:rPr>
        <w:t xml:space="preserve"> the first defendant rejected that request, and </w:t>
      </w:r>
      <w:proofErr w:type="spellStart"/>
      <w:r>
        <w:rPr>
          <w:rFonts w:ascii="Arial" w:hAnsi="Arial" w:cs="Arial"/>
          <w:lang w:val="en-US"/>
        </w:rPr>
        <w:lastRenderedPageBreak/>
        <w:t>NamPro</w:t>
      </w:r>
      <w:proofErr w:type="spellEnd"/>
      <w:r>
        <w:rPr>
          <w:rFonts w:ascii="Arial" w:hAnsi="Arial" w:cs="Arial"/>
          <w:lang w:val="en-US"/>
        </w:rPr>
        <w:t xml:space="preserve"> Fund continued charging</w:t>
      </w:r>
      <w:r w:rsidR="002365DB">
        <w:rPr>
          <w:rFonts w:ascii="Arial" w:hAnsi="Arial" w:cs="Arial"/>
          <w:lang w:val="en-US"/>
        </w:rPr>
        <w:t xml:space="preserve"> the plaintiff. He said</w:t>
      </w:r>
      <w:r>
        <w:rPr>
          <w:rFonts w:ascii="Arial" w:hAnsi="Arial" w:cs="Arial"/>
          <w:lang w:val="en-US"/>
        </w:rPr>
        <w:t xml:space="preserve"> there was an agreement that the plaintiff would pay </w:t>
      </w:r>
      <w:proofErr w:type="spellStart"/>
      <w:r>
        <w:rPr>
          <w:rFonts w:ascii="Arial" w:hAnsi="Arial" w:cs="Arial"/>
          <w:lang w:val="en-US"/>
        </w:rPr>
        <w:t>NamPro</w:t>
      </w:r>
      <w:proofErr w:type="spellEnd"/>
      <w:r>
        <w:rPr>
          <w:rFonts w:ascii="Arial" w:hAnsi="Arial" w:cs="Arial"/>
          <w:lang w:val="en-US"/>
        </w:rPr>
        <w:t xml:space="preserve"> Fund monthly.</w:t>
      </w:r>
      <w:r w:rsidR="002365DB">
        <w:rPr>
          <w:rFonts w:ascii="Arial" w:hAnsi="Arial" w:cs="Arial"/>
          <w:lang w:val="en-US"/>
        </w:rPr>
        <w:t xml:space="preserve"> </w:t>
      </w:r>
    </w:p>
    <w:p w14:paraId="6F9598BC" w14:textId="77777777" w:rsidR="001C49D2" w:rsidRPr="001C49D2" w:rsidRDefault="001C49D2" w:rsidP="001C49D2">
      <w:pPr>
        <w:pStyle w:val="ListParagraph"/>
        <w:rPr>
          <w:rFonts w:ascii="Arial" w:hAnsi="Arial" w:cs="Arial"/>
          <w:lang w:val="en-US"/>
        </w:rPr>
      </w:pPr>
    </w:p>
    <w:p w14:paraId="5AD70A46" w14:textId="231FFE3E" w:rsidR="002365DB" w:rsidRDefault="002365DB" w:rsidP="0040752A">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Pr>
          <w:rFonts w:ascii="Arial" w:hAnsi="Arial" w:cs="Arial"/>
          <w:lang w:val="en-US"/>
        </w:rPr>
        <w:t xml:space="preserve"> testified</w:t>
      </w:r>
      <w:r w:rsidRPr="0040752A">
        <w:rPr>
          <w:rFonts w:ascii="Arial" w:hAnsi="Arial" w:cs="Arial"/>
          <w:lang w:val="en-US"/>
        </w:rPr>
        <w:t xml:space="preserve"> while the project was running, he serviced the performance guarantee at </w:t>
      </w:r>
      <w:proofErr w:type="spellStart"/>
      <w:r w:rsidRPr="0040752A">
        <w:rPr>
          <w:rFonts w:ascii="Arial" w:hAnsi="Arial" w:cs="Arial"/>
          <w:lang w:val="en-US"/>
        </w:rPr>
        <w:t>NamPro</w:t>
      </w:r>
      <w:proofErr w:type="spellEnd"/>
      <w:r w:rsidRPr="0040752A">
        <w:rPr>
          <w:rFonts w:ascii="Arial" w:hAnsi="Arial" w:cs="Arial"/>
          <w:lang w:val="en-US"/>
        </w:rPr>
        <w:t xml:space="preserve"> Fund until the employer stopped paying ‘P&amp;G’s’ for the years 2017, 2018 and 2019, and then he became indebted and unable to service the performance guarantee</w:t>
      </w:r>
      <w:r>
        <w:rPr>
          <w:rFonts w:ascii="Arial" w:hAnsi="Arial" w:cs="Arial"/>
          <w:lang w:val="en-US"/>
        </w:rPr>
        <w:t xml:space="preserve">. He further said </w:t>
      </w:r>
      <w:r w:rsidRPr="0040752A">
        <w:rPr>
          <w:rFonts w:ascii="Arial" w:hAnsi="Arial" w:cs="Arial"/>
          <w:lang w:val="en-US"/>
        </w:rPr>
        <w:t>once the court grants the prayer for quantification, P&amp;</w:t>
      </w:r>
      <w:proofErr w:type="gramStart"/>
      <w:r w:rsidRPr="0040752A">
        <w:rPr>
          <w:rFonts w:ascii="Arial" w:hAnsi="Arial" w:cs="Arial"/>
          <w:lang w:val="en-US"/>
        </w:rPr>
        <w:t>G’s</w:t>
      </w:r>
      <w:proofErr w:type="gramEnd"/>
      <w:r w:rsidRPr="0040752A">
        <w:rPr>
          <w:rFonts w:ascii="Arial" w:hAnsi="Arial" w:cs="Arial"/>
          <w:lang w:val="en-US"/>
        </w:rPr>
        <w:t xml:space="preserve"> w</w:t>
      </w:r>
      <w:r>
        <w:rPr>
          <w:rFonts w:ascii="Arial" w:hAnsi="Arial" w:cs="Arial"/>
          <w:lang w:val="en-US"/>
        </w:rPr>
        <w:t>ould</w:t>
      </w:r>
      <w:r w:rsidRPr="0040752A">
        <w:rPr>
          <w:rFonts w:ascii="Arial" w:hAnsi="Arial" w:cs="Arial"/>
          <w:lang w:val="en-US"/>
        </w:rPr>
        <w:t xml:space="preserve"> be calculated and cover the cost of the performance guarantee. Under re-examination, </w:t>
      </w:r>
      <w:proofErr w:type="spellStart"/>
      <w:r w:rsidRPr="0040752A">
        <w:rPr>
          <w:rFonts w:ascii="Arial" w:hAnsi="Arial" w:cs="Arial"/>
          <w:lang w:val="en-US"/>
        </w:rPr>
        <w:t>Kapuuo</w:t>
      </w:r>
      <w:proofErr w:type="spellEnd"/>
      <w:r w:rsidRPr="0040752A">
        <w:rPr>
          <w:rFonts w:ascii="Arial" w:hAnsi="Arial" w:cs="Arial"/>
          <w:lang w:val="en-US"/>
        </w:rPr>
        <w:t xml:space="preserve"> explained P&amp;</w:t>
      </w:r>
      <w:proofErr w:type="gramStart"/>
      <w:r w:rsidRPr="0040752A">
        <w:rPr>
          <w:rFonts w:ascii="Arial" w:hAnsi="Arial" w:cs="Arial"/>
          <w:lang w:val="en-US"/>
        </w:rPr>
        <w:t>G’s</w:t>
      </w:r>
      <w:proofErr w:type="gramEnd"/>
      <w:r w:rsidRPr="0040752A">
        <w:rPr>
          <w:rFonts w:ascii="Arial" w:hAnsi="Arial" w:cs="Arial"/>
          <w:lang w:val="en-US"/>
        </w:rPr>
        <w:t xml:space="preserve"> are payments made each month on a project and he used that to service the performance guarantee.</w:t>
      </w:r>
    </w:p>
    <w:p w14:paraId="06B20C61" w14:textId="77777777" w:rsidR="002365DB" w:rsidRPr="002365DB" w:rsidRDefault="002365DB" w:rsidP="002365DB">
      <w:pPr>
        <w:pStyle w:val="ListParagraph"/>
        <w:rPr>
          <w:rFonts w:ascii="Arial" w:hAnsi="Arial" w:cs="Arial"/>
          <w:lang w:val="en-US"/>
        </w:rPr>
      </w:pPr>
    </w:p>
    <w:p w14:paraId="14E60DF3" w14:textId="2681C108" w:rsidR="001C49D2" w:rsidRDefault="001C49D2" w:rsidP="0040752A">
      <w:pPr>
        <w:pStyle w:val="ListParagraph"/>
        <w:numPr>
          <w:ilvl w:val="0"/>
          <w:numId w:val="2"/>
        </w:numPr>
        <w:spacing w:line="360" w:lineRule="auto"/>
        <w:ind w:left="0" w:firstLine="0"/>
        <w:jc w:val="both"/>
        <w:rPr>
          <w:rFonts w:ascii="Arial" w:hAnsi="Arial" w:cs="Arial"/>
          <w:lang w:val="en-US"/>
        </w:rPr>
      </w:pPr>
      <w:proofErr w:type="spellStart"/>
      <w:r w:rsidRPr="0040752A">
        <w:rPr>
          <w:rFonts w:ascii="Arial" w:hAnsi="Arial" w:cs="Arial"/>
          <w:lang w:val="en-US"/>
        </w:rPr>
        <w:t>Kapuuo</w:t>
      </w:r>
      <w:proofErr w:type="spellEnd"/>
      <w:r w:rsidRPr="0040752A">
        <w:rPr>
          <w:rFonts w:ascii="Arial" w:hAnsi="Arial" w:cs="Arial"/>
          <w:lang w:val="en-US"/>
        </w:rPr>
        <w:t xml:space="preserve"> said the damages for the performance guarantee would fall under clause 23.2.5 of the contract as he was charged for keeping the performance guarantee longer than the time within which it was supposed to be released. </w:t>
      </w:r>
    </w:p>
    <w:p w14:paraId="428A6614" w14:textId="77777777" w:rsidR="001C49D2" w:rsidRPr="001C49D2" w:rsidRDefault="001C49D2" w:rsidP="001C49D2">
      <w:pPr>
        <w:pStyle w:val="ListParagraph"/>
        <w:rPr>
          <w:rFonts w:ascii="Arial" w:hAnsi="Arial" w:cs="Arial"/>
          <w:lang w:val="en-US"/>
        </w:rPr>
      </w:pPr>
    </w:p>
    <w:p w14:paraId="5353DC0F" w14:textId="5F453185" w:rsidR="00612E6B" w:rsidRDefault="001C49D2" w:rsidP="00612E6B">
      <w:pPr>
        <w:pStyle w:val="ListParagraph"/>
        <w:numPr>
          <w:ilvl w:val="0"/>
          <w:numId w:val="2"/>
        </w:numPr>
        <w:spacing w:line="360" w:lineRule="auto"/>
        <w:ind w:left="0" w:firstLine="0"/>
        <w:jc w:val="both"/>
        <w:rPr>
          <w:rFonts w:ascii="Arial" w:hAnsi="Arial" w:cs="Arial"/>
          <w:lang w:val="en-US"/>
        </w:rPr>
      </w:pPr>
      <w:r w:rsidRPr="0040752A">
        <w:rPr>
          <w:rFonts w:ascii="Arial" w:hAnsi="Arial" w:cs="Arial"/>
          <w:lang w:val="en-US"/>
        </w:rPr>
        <w:t xml:space="preserve">Under cross-examination, he confirmed that the plaintiff’s damages for the first defendant’s failure to release the performance guarantee appear on </w:t>
      </w:r>
      <w:proofErr w:type="spellStart"/>
      <w:r w:rsidRPr="0040752A">
        <w:rPr>
          <w:rFonts w:ascii="Arial" w:hAnsi="Arial" w:cs="Arial"/>
          <w:lang w:val="en-US"/>
        </w:rPr>
        <w:t>NamPro</w:t>
      </w:r>
      <w:proofErr w:type="spellEnd"/>
      <w:r w:rsidRPr="0040752A">
        <w:rPr>
          <w:rFonts w:ascii="Arial" w:hAnsi="Arial" w:cs="Arial"/>
          <w:lang w:val="en-US"/>
        </w:rPr>
        <w:t xml:space="preserve"> Fund’s statement </w:t>
      </w:r>
      <w:r>
        <w:rPr>
          <w:rFonts w:ascii="Arial" w:hAnsi="Arial" w:cs="Arial"/>
          <w:lang w:val="en-US"/>
        </w:rPr>
        <w:t xml:space="preserve">for </w:t>
      </w:r>
      <w:r w:rsidRPr="0040752A">
        <w:rPr>
          <w:rFonts w:ascii="Arial" w:hAnsi="Arial" w:cs="Arial"/>
          <w:lang w:val="en-US"/>
        </w:rPr>
        <w:t xml:space="preserve">charges by </w:t>
      </w:r>
      <w:proofErr w:type="spellStart"/>
      <w:r w:rsidRPr="0040752A">
        <w:rPr>
          <w:rFonts w:ascii="Arial" w:hAnsi="Arial" w:cs="Arial"/>
          <w:lang w:val="en-US"/>
        </w:rPr>
        <w:t>NamPro</w:t>
      </w:r>
      <w:proofErr w:type="spellEnd"/>
      <w:r w:rsidRPr="0040752A">
        <w:rPr>
          <w:rFonts w:ascii="Arial" w:hAnsi="Arial" w:cs="Arial"/>
          <w:lang w:val="en-US"/>
        </w:rPr>
        <w:t xml:space="preserve"> Fund from 31 July 2016 to 21 November 2021.</w:t>
      </w:r>
    </w:p>
    <w:p w14:paraId="7B6D7760" w14:textId="77777777" w:rsidR="005964C7" w:rsidRPr="005964C7" w:rsidRDefault="005964C7" w:rsidP="005964C7">
      <w:pPr>
        <w:pStyle w:val="ListParagraph"/>
        <w:rPr>
          <w:rFonts w:ascii="Arial" w:hAnsi="Arial" w:cs="Arial"/>
          <w:lang w:val="en-US"/>
        </w:rPr>
      </w:pPr>
    </w:p>
    <w:p w14:paraId="7BCB7B70" w14:textId="77777777" w:rsidR="005964C7" w:rsidRPr="00612E6B" w:rsidRDefault="005964C7" w:rsidP="005964C7">
      <w:pPr>
        <w:pStyle w:val="ListParagraph"/>
        <w:numPr>
          <w:ilvl w:val="0"/>
          <w:numId w:val="2"/>
        </w:numPr>
        <w:spacing w:line="360" w:lineRule="auto"/>
        <w:ind w:left="0" w:firstLine="0"/>
        <w:jc w:val="both"/>
        <w:rPr>
          <w:rFonts w:ascii="Arial" w:hAnsi="Arial" w:cs="Arial"/>
          <w:lang w:val="en-US"/>
        </w:rPr>
      </w:pPr>
      <w:r w:rsidRPr="00612E6B">
        <w:rPr>
          <w:rFonts w:ascii="Arial" w:hAnsi="Arial" w:cs="Arial"/>
          <w:lang w:val="en-US"/>
        </w:rPr>
        <w:t>Nel refer</w:t>
      </w:r>
      <w:r>
        <w:rPr>
          <w:rFonts w:ascii="Arial" w:hAnsi="Arial" w:cs="Arial"/>
          <w:lang w:val="en-US"/>
        </w:rPr>
        <w:t>red</w:t>
      </w:r>
      <w:r w:rsidRPr="00612E6B">
        <w:rPr>
          <w:rFonts w:ascii="Arial" w:hAnsi="Arial" w:cs="Arial"/>
          <w:lang w:val="en-US"/>
        </w:rPr>
        <w:t xml:space="preserve"> to clause B1.7 of the preliminaries in the final account</w:t>
      </w:r>
      <w:r>
        <w:rPr>
          <w:rFonts w:ascii="Arial" w:hAnsi="Arial" w:cs="Arial"/>
          <w:lang w:val="en-US"/>
        </w:rPr>
        <w:t>,</w:t>
      </w:r>
      <w:r w:rsidRPr="00612E6B">
        <w:rPr>
          <w:rFonts w:ascii="Arial" w:hAnsi="Arial" w:cs="Arial"/>
          <w:lang w:val="en-US"/>
        </w:rPr>
        <w:t xml:space="preserve"> which reads as follows:</w:t>
      </w:r>
    </w:p>
    <w:p w14:paraId="484B806E" w14:textId="77777777" w:rsidR="005964C7" w:rsidRPr="00B70F4A" w:rsidRDefault="005964C7" w:rsidP="005964C7">
      <w:pPr>
        <w:pStyle w:val="ListParagraph"/>
        <w:rPr>
          <w:rFonts w:ascii="Arial" w:hAnsi="Arial" w:cs="Arial"/>
          <w:lang w:val="en-US"/>
        </w:rPr>
      </w:pPr>
    </w:p>
    <w:p w14:paraId="138AE8D6" w14:textId="77777777" w:rsidR="005964C7" w:rsidRPr="00B70F4A" w:rsidRDefault="005964C7" w:rsidP="005964C7">
      <w:pPr>
        <w:pStyle w:val="ListParagraph"/>
        <w:spacing w:line="360" w:lineRule="auto"/>
        <w:ind w:left="0" w:firstLine="720"/>
        <w:jc w:val="both"/>
        <w:rPr>
          <w:rFonts w:ascii="Arial" w:hAnsi="Arial" w:cs="Arial"/>
          <w:sz w:val="22"/>
          <w:szCs w:val="22"/>
          <w:lang w:val="en-US"/>
        </w:rPr>
      </w:pPr>
      <w:r w:rsidRPr="00B70F4A">
        <w:rPr>
          <w:rFonts w:ascii="Arial" w:hAnsi="Arial" w:cs="Arial"/>
          <w:sz w:val="22"/>
          <w:szCs w:val="22"/>
          <w:lang w:val="en-US"/>
        </w:rPr>
        <w:t>‘CLAUSE B1.7 - Performance guarantee by the Contractor:</w:t>
      </w:r>
    </w:p>
    <w:p w14:paraId="53130A4B" w14:textId="77777777" w:rsidR="005964C7" w:rsidRPr="00B70F4A" w:rsidRDefault="005964C7" w:rsidP="005964C7">
      <w:pPr>
        <w:pStyle w:val="ListParagraph"/>
        <w:spacing w:line="360" w:lineRule="auto"/>
        <w:ind w:left="0"/>
        <w:jc w:val="both"/>
        <w:rPr>
          <w:rFonts w:ascii="Arial" w:hAnsi="Arial" w:cs="Arial"/>
          <w:sz w:val="22"/>
          <w:szCs w:val="22"/>
          <w:lang w:val="en-US"/>
        </w:rPr>
      </w:pPr>
      <w:r w:rsidRPr="00B70F4A">
        <w:rPr>
          <w:rFonts w:ascii="Arial" w:hAnsi="Arial" w:cs="Arial"/>
          <w:sz w:val="22"/>
          <w:szCs w:val="22"/>
          <w:lang w:val="en-US"/>
        </w:rPr>
        <w:t>The full security for the due fulfilment of all obligations under this contract is to remain in force for sixty days after practical completion.</w:t>
      </w:r>
    </w:p>
    <w:p w14:paraId="1C7ED410" w14:textId="77777777" w:rsidR="005964C7" w:rsidRPr="00B70F4A" w:rsidRDefault="005964C7" w:rsidP="005964C7">
      <w:pPr>
        <w:pStyle w:val="ListParagraph"/>
        <w:spacing w:line="360" w:lineRule="auto"/>
        <w:ind w:left="0"/>
        <w:jc w:val="both"/>
        <w:rPr>
          <w:rFonts w:ascii="Arial" w:hAnsi="Arial" w:cs="Arial"/>
          <w:sz w:val="22"/>
          <w:szCs w:val="22"/>
          <w:lang w:val="en-US"/>
        </w:rPr>
      </w:pPr>
      <w:r w:rsidRPr="00B70F4A">
        <w:rPr>
          <w:rFonts w:ascii="Arial" w:hAnsi="Arial" w:cs="Arial"/>
          <w:sz w:val="22"/>
          <w:szCs w:val="22"/>
          <w:lang w:val="en-US"/>
        </w:rPr>
        <w:t>No guarantee containing any clause that allows the financial institution providing such guarantee to either withdraw from their undertaking before sixty days after practical completion or that stipulates an expiry date is acceptable.</w:t>
      </w:r>
    </w:p>
    <w:p w14:paraId="489A241B" w14:textId="77777777" w:rsidR="005964C7" w:rsidRPr="00B70F4A" w:rsidRDefault="005964C7" w:rsidP="005964C7">
      <w:pPr>
        <w:pStyle w:val="ListParagraph"/>
        <w:spacing w:line="360" w:lineRule="auto"/>
        <w:ind w:left="0"/>
        <w:jc w:val="both"/>
        <w:rPr>
          <w:rFonts w:ascii="Arial" w:hAnsi="Arial" w:cs="Arial"/>
          <w:sz w:val="22"/>
          <w:szCs w:val="22"/>
          <w:lang w:val="en-US"/>
        </w:rPr>
      </w:pPr>
      <w:r w:rsidRPr="00B70F4A">
        <w:rPr>
          <w:rFonts w:ascii="Arial" w:hAnsi="Arial" w:cs="Arial"/>
          <w:sz w:val="22"/>
          <w:szCs w:val="22"/>
          <w:lang w:val="en-US"/>
        </w:rPr>
        <w:t>Said guarantee must be from the same Institution that has issued the letter of intent to provide a guarantee as referred to in Section C (Specific Preliminaries).</w:t>
      </w:r>
    </w:p>
    <w:p w14:paraId="5C6805C9" w14:textId="77777777" w:rsidR="005964C7" w:rsidRDefault="005964C7" w:rsidP="005964C7">
      <w:pPr>
        <w:pStyle w:val="ListParagraph"/>
        <w:spacing w:line="360" w:lineRule="auto"/>
        <w:ind w:left="0"/>
        <w:jc w:val="both"/>
        <w:rPr>
          <w:rFonts w:ascii="Arial" w:hAnsi="Arial" w:cs="Arial"/>
          <w:lang w:val="en-US"/>
        </w:rPr>
      </w:pPr>
      <w:r w:rsidRPr="00B70F4A">
        <w:rPr>
          <w:rFonts w:ascii="Arial" w:hAnsi="Arial" w:cs="Arial"/>
          <w:sz w:val="22"/>
          <w:szCs w:val="22"/>
          <w:lang w:val="en-US"/>
        </w:rPr>
        <w:t xml:space="preserve">Notwithstanding the above, the guarantee will only be returned to the contractor after receipt of satisfactory proof that the contractor has met all his obligations under </w:t>
      </w:r>
      <w:proofErr w:type="gramStart"/>
      <w:r w:rsidRPr="00B70F4A">
        <w:rPr>
          <w:rFonts w:ascii="Arial" w:hAnsi="Arial" w:cs="Arial"/>
          <w:sz w:val="22"/>
          <w:szCs w:val="22"/>
          <w:lang w:val="en-US"/>
        </w:rPr>
        <w:t>any and all</w:t>
      </w:r>
      <w:proofErr w:type="gramEnd"/>
      <w:r w:rsidRPr="00B70F4A">
        <w:rPr>
          <w:rFonts w:ascii="Arial" w:hAnsi="Arial" w:cs="Arial"/>
          <w:sz w:val="22"/>
          <w:szCs w:val="22"/>
          <w:lang w:val="en-US"/>
        </w:rPr>
        <w:t xml:space="preserve"> selected and nominated sub-contract agreements applicable to this contract.’</w:t>
      </w:r>
    </w:p>
    <w:p w14:paraId="1DB2D207" w14:textId="77777777" w:rsidR="005964C7" w:rsidRPr="00213135" w:rsidRDefault="005964C7" w:rsidP="005964C7">
      <w:pPr>
        <w:pStyle w:val="ListParagraph"/>
        <w:rPr>
          <w:rFonts w:ascii="Arial" w:hAnsi="Arial" w:cs="Arial"/>
          <w:lang w:val="en-US"/>
        </w:rPr>
      </w:pPr>
    </w:p>
    <w:p w14:paraId="7030207F" w14:textId="77777777" w:rsidR="005964C7" w:rsidRPr="006F100A" w:rsidRDefault="005964C7" w:rsidP="005964C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 xml:space="preserve">Under B1.7, an amount of N$35 000 was included. Nel said that in terms of the bills of quantities, the plaintiff priced the performance guarantee at N$35 000 as the fee it would cost the plaintiff to raise the performance guarantee. The N$35 000 is not the value of the guarantee itself which is never a cost to the project. He said the guarantee is like insurance, and the N$35 000 can be seen as the premium and not the actual </w:t>
      </w:r>
      <w:proofErr w:type="gramStart"/>
      <w:r>
        <w:rPr>
          <w:rFonts w:ascii="Arial" w:hAnsi="Arial" w:cs="Arial"/>
          <w:lang w:val="en-US"/>
        </w:rPr>
        <w:t>guarantee</w:t>
      </w:r>
      <w:proofErr w:type="gramEnd"/>
      <w:r>
        <w:rPr>
          <w:rFonts w:ascii="Arial" w:hAnsi="Arial" w:cs="Arial"/>
          <w:lang w:val="en-US"/>
        </w:rPr>
        <w:t xml:space="preserve"> value, and the amount of the guarantee is the insured value which the insurer (the contractor) should pay the insured (the employer) in case the contractor fails to complete the project to the required specifications and it guarantees compensation in such event. According to Nel, no other amount was proved for the performance guarantee, and it is unclear how the amount of N$2 490 631 is computed and what it comprises. He says the only payment due to the plaintiff would be the N$35 000 under clause B1.7.</w:t>
      </w:r>
    </w:p>
    <w:p w14:paraId="015B8CB2" w14:textId="77777777" w:rsidR="005964C7" w:rsidRPr="00213135" w:rsidRDefault="005964C7" w:rsidP="005964C7">
      <w:pPr>
        <w:pStyle w:val="ListParagraph"/>
        <w:rPr>
          <w:rFonts w:ascii="Arial" w:hAnsi="Arial" w:cs="Arial"/>
          <w:lang w:val="en-US"/>
        </w:rPr>
      </w:pPr>
    </w:p>
    <w:p w14:paraId="340D406D" w14:textId="30313326" w:rsidR="005964C7" w:rsidRDefault="005964C7" w:rsidP="005964C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Nel testified the contractor was only entitled to receive the performance guarantee back 60 days after practical completion in terms of clause B1.7, and in the matter at hand, the first defendant had every right to call up the guarantee as the plaintiff failed to perform under the contract. He said the first defendant was under no obligation to return the performance guarantee, and therefore, there could not have been a set date for its return, and it was up to the first defendant to decide when to return it if it chose to return it. He said the absence of a certificate of practical completion is proof that the plaintiff failed to perform under the contract. So, he said, the plaintiff cannot claim the guarantee was returned late. Nel agreed on the date when the performance guarantee was returned, but said it was returned despite there being no practical completion of the project on the plaintiff’s part.</w:t>
      </w:r>
    </w:p>
    <w:p w14:paraId="532DFA6C" w14:textId="77777777" w:rsidR="00612E6B" w:rsidRPr="00612E6B" w:rsidRDefault="00612E6B" w:rsidP="00612E6B">
      <w:pPr>
        <w:pStyle w:val="ListParagraph"/>
        <w:rPr>
          <w:rFonts w:ascii="Arial" w:hAnsi="Arial" w:cs="Arial"/>
          <w:lang w:val="en-US"/>
        </w:rPr>
      </w:pPr>
    </w:p>
    <w:p w14:paraId="49C149F3" w14:textId="6AD305F5" w:rsidR="007E38F6" w:rsidRPr="005964C7" w:rsidRDefault="000B7BF1" w:rsidP="005964C7">
      <w:pPr>
        <w:pStyle w:val="ListParagraph"/>
        <w:numPr>
          <w:ilvl w:val="0"/>
          <w:numId w:val="2"/>
        </w:numPr>
        <w:spacing w:line="360" w:lineRule="auto"/>
        <w:ind w:left="0" w:firstLine="0"/>
        <w:jc w:val="both"/>
        <w:rPr>
          <w:rFonts w:ascii="Arial" w:hAnsi="Arial" w:cs="Arial"/>
          <w:lang w:val="en-US"/>
        </w:rPr>
      </w:pPr>
      <w:r w:rsidRPr="00612E6B">
        <w:rPr>
          <w:rFonts w:ascii="Arial" w:hAnsi="Arial" w:cs="Arial"/>
          <w:lang w:val="en-US"/>
        </w:rPr>
        <w:t>Garcia sa</w:t>
      </w:r>
      <w:r w:rsidR="00612E6B">
        <w:rPr>
          <w:rFonts w:ascii="Arial" w:hAnsi="Arial" w:cs="Arial"/>
          <w:lang w:val="en-US"/>
        </w:rPr>
        <w:t>id</w:t>
      </w:r>
      <w:r w:rsidRPr="00612E6B">
        <w:rPr>
          <w:rFonts w:ascii="Arial" w:hAnsi="Arial" w:cs="Arial"/>
          <w:lang w:val="en-US"/>
        </w:rPr>
        <w:t xml:space="preserve"> the first defendant was never responsible for the performance guarantee payment to the plaintiff</w:t>
      </w:r>
      <w:r w:rsidR="00612E6B">
        <w:rPr>
          <w:rFonts w:ascii="Arial" w:hAnsi="Arial" w:cs="Arial"/>
          <w:lang w:val="en-US"/>
        </w:rPr>
        <w:t>, and t</w:t>
      </w:r>
      <w:r w:rsidRPr="00612E6B">
        <w:rPr>
          <w:rFonts w:ascii="Arial" w:hAnsi="Arial" w:cs="Arial"/>
          <w:lang w:val="en-US"/>
        </w:rPr>
        <w:t>hat was always the plaintiff’s responsibility.</w:t>
      </w:r>
      <w:r w:rsidR="00612E6B">
        <w:rPr>
          <w:rFonts w:ascii="Arial" w:hAnsi="Arial" w:cs="Arial"/>
          <w:lang w:val="en-US"/>
        </w:rPr>
        <w:t xml:space="preserve"> She said</w:t>
      </w:r>
      <w:r w:rsidRPr="00612E6B">
        <w:rPr>
          <w:rFonts w:ascii="Arial" w:hAnsi="Arial" w:cs="Arial"/>
          <w:lang w:val="en-US"/>
        </w:rPr>
        <w:t xml:space="preserve"> the contractual completion date was in 2016</w:t>
      </w:r>
      <w:r w:rsidR="00612E6B">
        <w:rPr>
          <w:rFonts w:ascii="Arial" w:hAnsi="Arial" w:cs="Arial"/>
          <w:lang w:val="en-US"/>
        </w:rPr>
        <w:t>,</w:t>
      </w:r>
      <w:r w:rsidRPr="00612E6B">
        <w:rPr>
          <w:rFonts w:ascii="Arial" w:hAnsi="Arial" w:cs="Arial"/>
          <w:lang w:val="en-US"/>
        </w:rPr>
        <w:t xml:space="preserve"> and P&amp;</w:t>
      </w:r>
      <w:proofErr w:type="gramStart"/>
      <w:r w:rsidRPr="00612E6B">
        <w:rPr>
          <w:rFonts w:ascii="Arial" w:hAnsi="Arial" w:cs="Arial"/>
          <w:lang w:val="en-US"/>
        </w:rPr>
        <w:t>G</w:t>
      </w:r>
      <w:r w:rsidR="00612E6B">
        <w:rPr>
          <w:rFonts w:ascii="Arial" w:hAnsi="Arial" w:cs="Arial"/>
          <w:lang w:val="en-US"/>
        </w:rPr>
        <w:t>’</w:t>
      </w:r>
      <w:r w:rsidRPr="00612E6B">
        <w:rPr>
          <w:rFonts w:ascii="Arial" w:hAnsi="Arial" w:cs="Arial"/>
          <w:lang w:val="en-US"/>
        </w:rPr>
        <w:t>s</w:t>
      </w:r>
      <w:proofErr w:type="gramEnd"/>
      <w:r w:rsidRPr="00612E6B">
        <w:rPr>
          <w:rFonts w:ascii="Arial" w:hAnsi="Arial" w:cs="Arial"/>
          <w:lang w:val="en-US"/>
        </w:rPr>
        <w:t xml:space="preserve"> were paid</w:t>
      </w:r>
      <w:r w:rsidR="00612E6B">
        <w:rPr>
          <w:rFonts w:ascii="Arial" w:hAnsi="Arial" w:cs="Arial"/>
          <w:lang w:val="en-US"/>
        </w:rPr>
        <w:t>,</w:t>
      </w:r>
      <w:r w:rsidRPr="00612E6B">
        <w:rPr>
          <w:rFonts w:ascii="Arial" w:hAnsi="Arial" w:cs="Arial"/>
          <w:lang w:val="en-US"/>
        </w:rPr>
        <w:t xml:space="preserve"> but </w:t>
      </w:r>
      <w:r w:rsidR="00612E6B">
        <w:rPr>
          <w:rFonts w:ascii="Arial" w:hAnsi="Arial" w:cs="Arial"/>
          <w:lang w:val="en-US"/>
        </w:rPr>
        <w:t xml:space="preserve">the plaintiff was responsible for the delays, </w:t>
      </w:r>
      <w:r w:rsidRPr="00612E6B">
        <w:rPr>
          <w:rFonts w:ascii="Arial" w:hAnsi="Arial" w:cs="Arial"/>
          <w:lang w:val="en-US"/>
        </w:rPr>
        <w:t xml:space="preserve">and the first defendant </w:t>
      </w:r>
      <w:r w:rsidR="00612E6B">
        <w:rPr>
          <w:rFonts w:ascii="Arial" w:hAnsi="Arial" w:cs="Arial"/>
          <w:lang w:val="en-US"/>
        </w:rPr>
        <w:t>wa</w:t>
      </w:r>
      <w:r w:rsidRPr="00612E6B">
        <w:rPr>
          <w:rFonts w:ascii="Arial" w:hAnsi="Arial" w:cs="Arial"/>
          <w:lang w:val="en-US"/>
        </w:rPr>
        <w:t xml:space="preserve">s not obliged to pay extra </w:t>
      </w:r>
      <w:r w:rsidR="00612E6B">
        <w:rPr>
          <w:rFonts w:ascii="Arial" w:hAnsi="Arial" w:cs="Arial"/>
          <w:lang w:val="en-US"/>
        </w:rPr>
        <w:t xml:space="preserve">P&amp;G’s </w:t>
      </w:r>
      <w:r w:rsidRPr="00612E6B">
        <w:rPr>
          <w:rFonts w:ascii="Arial" w:hAnsi="Arial" w:cs="Arial"/>
          <w:lang w:val="en-US"/>
        </w:rPr>
        <w:t>unless the plaintiff could prove the first defendant was responsible for the delays.</w:t>
      </w:r>
      <w:r w:rsidR="00612E6B">
        <w:rPr>
          <w:rFonts w:ascii="Arial" w:hAnsi="Arial" w:cs="Arial"/>
          <w:lang w:val="en-US"/>
        </w:rPr>
        <w:t xml:space="preserve"> She</w:t>
      </w:r>
      <w:r w:rsidR="00612E6B" w:rsidRPr="00612E6B">
        <w:rPr>
          <w:rFonts w:ascii="Arial" w:hAnsi="Arial" w:cs="Arial"/>
          <w:lang w:val="en-US"/>
        </w:rPr>
        <w:t xml:space="preserve"> said the </w:t>
      </w:r>
      <w:r w:rsidR="007B7BF3">
        <w:rPr>
          <w:rFonts w:ascii="Arial" w:hAnsi="Arial" w:cs="Arial"/>
          <w:lang w:val="en-US"/>
        </w:rPr>
        <w:t xml:space="preserve">first </w:t>
      </w:r>
      <w:r w:rsidR="00612E6B" w:rsidRPr="00612E6B">
        <w:rPr>
          <w:rFonts w:ascii="Arial" w:hAnsi="Arial" w:cs="Arial"/>
          <w:lang w:val="en-US"/>
        </w:rPr>
        <w:t>defendant</w:t>
      </w:r>
      <w:r w:rsidR="007B7BF3">
        <w:rPr>
          <w:rFonts w:ascii="Arial" w:hAnsi="Arial" w:cs="Arial"/>
          <w:lang w:val="en-US"/>
        </w:rPr>
        <w:t xml:space="preserve"> is</w:t>
      </w:r>
      <w:r w:rsidR="00612E6B" w:rsidRPr="00612E6B">
        <w:rPr>
          <w:rFonts w:ascii="Arial" w:hAnsi="Arial" w:cs="Arial"/>
          <w:lang w:val="en-US"/>
        </w:rPr>
        <w:t xml:space="preserve"> not liable for the plaintiff’s alleged damages. She </w:t>
      </w:r>
      <w:r w:rsidR="00612E6B">
        <w:rPr>
          <w:rFonts w:ascii="Arial" w:hAnsi="Arial" w:cs="Arial"/>
          <w:lang w:val="en-US"/>
        </w:rPr>
        <w:t>testified</w:t>
      </w:r>
      <w:r w:rsidR="00612E6B" w:rsidRPr="00612E6B">
        <w:rPr>
          <w:rFonts w:ascii="Arial" w:hAnsi="Arial" w:cs="Arial"/>
          <w:lang w:val="en-US"/>
        </w:rPr>
        <w:t xml:space="preserve"> </w:t>
      </w:r>
      <w:r w:rsidR="00656915">
        <w:rPr>
          <w:rFonts w:ascii="Arial" w:hAnsi="Arial" w:cs="Arial"/>
          <w:lang w:val="en-US"/>
        </w:rPr>
        <w:t>a</w:t>
      </w:r>
      <w:r w:rsidR="00612E6B" w:rsidRPr="00612E6B">
        <w:rPr>
          <w:rFonts w:ascii="Arial" w:hAnsi="Arial" w:cs="Arial"/>
          <w:lang w:val="en-US"/>
        </w:rPr>
        <w:t xml:space="preserve"> term of the guarantee w</w:t>
      </w:r>
      <w:r w:rsidR="00656915">
        <w:rPr>
          <w:rFonts w:ascii="Arial" w:hAnsi="Arial" w:cs="Arial"/>
          <w:lang w:val="en-US"/>
        </w:rPr>
        <w:t>as</w:t>
      </w:r>
      <w:r w:rsidR="00612E6B" w:rsidRPr="00612E6B">
        <w:rPr>
          <w:rFonts w:ascii="Arial" w:hAnsi="Arial" w:cs="Arial"/>
          <w:lang w:val="en-US"/>
        </w:rPr>
        <w:t xml:space="preserve"> that </w:t>
      </w:r>
      <w:r w:rsidR="00612E6B" w:rsidRPr="00612E6B">
        <w:rPr>
          <w:rFonts w:ascii="Arial" w:hAnsi="Arial" w:cs="Arial"/>
          <w:lang w:val="en-US"/>
        </w:rPr>
        <w:lastRenderedPageBreak/>
        <w:t>the plaintiff would be liable for all charges relating to it.</w:t>
      </w:r>
      <w:r w:rsidR="005964C7">
        <w:rPr>
          <w:rFonts w:ascii="Arial" w:hAnsi="Arial" w:cs="Arial"/>
          <w:lang w:val="en-US"/>
        </w:rPr>
        <w:t xml:space="preserve"> </w:t>
      </w:r>
      <w:r w:rsidR="00612E6B" w:rsidRPr="005964C7">
        <w:rPr>
          <w:rFonts w:ascii="Arial" w:hAnsi="Arial" w:cs="Arial"/>
          <w:lang w:val="en-US"/>
        </w:rPr>
        <w:t xml:space="preserve">Garcia said the plaintiff priced the N$35 000 when submitting its bid, and if, due to delays in the project completion attributable only to the plaintiff, the amount was insufficient to cover the cost of the guarantee, that was the plaintiff’s own doing and responsibility. </w:t>
      </w:r>
    </w:p>
    <w:p w14:paraId="04B7DF94" w14:textId="77777777" w:rsidR="007E38F6" w:rsidRPr="007E38F6" w:rsidRDefault="007E38F6" w:rsidP="007E38F6">
      <w:pPr>
        <w:pStyle w:val="ListParagraph"/>
        <w:rPr>
          <w:rFonts w:ascii="Arial" w:hAnsi="Arial" w:cs="Arial"/>
          <w:lang w:val="en-US"/>
        </w:rPr>
      </w:pPr>
    </w:p>
    <w:p w14:paraId="3ED7173B" w14:textId="51595010" w:rsidR="007B7BF3" w:rsidRDefault="007B7BF3" w:rsidP="005964C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court now continues to deal with the evidence on the final account. </w:t>
      </w:r>
    </w:p>
    <w:p w14:paraId="5CA308C0" w14:textId="77777777" w:rsidR="007B7BF3" w:rsidRPr="007B7BF3" w:rsidRDefault="007B7BF3" w:rsidP="007B7BF3">
      <w:pPr>
        <w:pStyle w:val="ListParagraph"/>
        <w:rPr>
          <w:rFonts w:ascii="Arial" w:hAnsi="Arial" w:cs="Arial"/>
          <w:lang w:val="en-US"/>
        </w:rPr>
      </w:pPr>
    </w:p>
    <w:p w14:paraId="0D294E92" w14:textId="3C986E95" w:rsidR="007E38F6" w:rsidRPr="005964C7" w:rsidRDefault="007E38F6" w:rsidP="005964C7">
      <w:pPr>
        <w:pStyle w:val="ListParagraph"/>
        <w:numPr>
          <w:ilvl w:val="0"/>
          <w:numId w:val="2"/>
        </w:numPr>
        <w:spacing w:line="360" w:lineRule="auto"/>
        <w:ind w:left="0" w:firstLine="0"/>
        <w:jc w:val="both"/>
        <w:rPr>
          <w:rFonts w:ascii="Arial" w:hAnsi="Arial" w:cs="Arial"/>
          <w:lang w:val="en-US"/>
        </w:rPr>
      </w:pPr>
      <w:r w:rsidRPr="005964C7">
        <w:rPr>
          <w:rFonts w:ascii="Arial" w:hAnsi="Arial" w:cs="Arial"/>
          <w:lang w:val="en-US"/>
        </w:rPr>
        <w:t xml:space="preserve">On 9 December 2019, the first defendant informed the plaintiff that the second defendant was busy with the costing of the final account and the plaintiff would be notified once the process was complete. </w:t>
      </w:r>
      <w:proofErr w:type="spellStart"/>
      <w:r w:rsidR="00D069A7" w:rsidRPr="005964C7">
        <w:rPr>
          <w:rFonts w:ascii="Arial" w:hAnsi="Arial" w:cs="Arial"/>
          <w:lang w:val="en-US"/>
        </w:rPr>
        <w:t>Kapuuo</w:t>
      </w:r>
      <w:proofErr w:type="spellEnd"/>
      <w:r w:rsidRPr="005964C7">
        <w:rPr>
          <w:rFonts w:ascii="Arial" w:hAnsi="Arial" w:cs="Arial"/>
          <w:lang w:val="en-US"/>
        </w:rPr>
        <w:t xml:space="preserve"> sa</w:t>
      </w:r>
      <w:r w:rsidR="005964C7">
        <w:rPr>
          <w:rFonts w:ascii="Arial" w:hAnsi="Arial" w:cs="Arial"/>
          <w:lang w:val="en-US"/>
        </w:rPr>
        <w:t>id</w:t>
      </w:r>
      <w:r w:rsidRPr="005964C7">
        <w:rPr>
          <w:rFonts w:ascii="Arial" w:hAnsi="Arial" w:cs="Arial"/>
          <w:lang w:val="en-US"/>
        </w:rPr>
        <w:t xml:space="preserve"> the plaintiff never received any feedback or final account from the first defendant. </w:t>
      </w:r>
    </w:p>
    <w:p w14:paraId="2C082F76" w14:textId="77777777" w:rsidR="007E38F6" w:rsidRPr="007E38F6" w:rsidRDefault="007E38F6" w:rsidP="007E38F6">
      <w:pPr>
        <w:pStyle w:val="ListParagraph"/>
        <w:rPr>
          <w:rFonts w:ascii="Arial" w:hAnsi="Arial" w:cs="Arial"/>
          <w:lang w:val="en-US"/>
        </w:rPr>
      </w:pPr>
    </w:p>
    <w:p w14:paraId="0D1BE948" w14:textId="77777777" w:rsidR="005964C7" w:rsidRDefault="007E38F6" w:rsidP="007E38F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In May 2020, the plaintiff, through its former legal representatives, requested a meeting to discuss the unresolved final account, but on 9 June 2020, the first defendant refused to have a meeting </w:t>
      </w:r>
      <w:r w:rsidR="0052518B">
        <w:rPr>
          <w:rFonts w:ascii="Arial" w:hAnsi="Arial" w:cs="Arial"/>
          <w:lang w:val="en-US"/>
        </w:rPr>
        <w:t>and indicated that</w:t>
      </w:r>
      <w:r>
        <w:rPr>
          <w:rFonts w:ascii="Arial" w:hAnsi="Arial" w:cs="Arial"/>
          <w:lang w:val="en-US"/>
        </w:rPr>
        <w:t xml:space="preserve"> the matter was to be handled by the Government Attorney.</w:t>
      </w:r>
      <w:r w:rsidR="003663BD">
        <w:rPr>
          <w:rFonts w:ascii="Arial" w:hAnsi="Arial" w:cs="Arial"/>
          <w:lang w:val="en-US"/>
        </w:rPr>
        <w:t xml:space="preserve"> </w:t>
      </w:r>
    </w:p>
    <w:p w14:paraId="2FABAFE3" w14:textId="77777777" w:rsidR="00005B93" w:rsidRPr="00005B93" w:rsidRDefault="00005B93" w:rsidP="00005B93">
      <w:pPr>
        <w:pStyle w:val="ListParagraph"/>
        <w:rPr>
          <w:rFonts w:ascii="Arial" w:hAnsi="Arial" w:cs="Arial"/>
          <w:lang w:val="en-US"/>
        </w:rPr>
      </w:pPr>
    </w:p>
    <w:p w14:paraId="1509AFD8" w14:textId="44DC0208" w:rsidR="00005B93" w:rsidRDefault="00005B93" w:rsidP="007E38F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Government Attorney wrote to the plaintiff’s former legal representatives on 27 August 2020 and requested a roundtable meeting to discuss the final account. That meeting never took place as the first defendant postponed it.</w:t>
      </w:r>
    </w:p>
    <w:p w14:paraId="02D12D33" w14:textId="77777777" w:rsidR="005964C7" w:rsidRPr="005964C7" w:rsidRDefault="005964C7" w:rsidP="005964C7">
      <w:pPr>
        <w:pStyle w:val="ListParagraph"/>
        <w:rPr>
          <w:rFonts w:ascii="Arial" w:hAnsi="Arial" w:cs="Arial"/>
          <w:lang w:val="en-US"/>
        </w:rPr>
      </w:pPr>
    </w:p>
    <w:p w14:paraId="7D966E09" w14:textId="20198C6F" w:rsidR="007E38F6" w:rsidRPr="00005B93" w:rsidRDefault="009325D3" w:rsidP="00005B9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Garcia said the professional team prepared the final account based on the work assessed during the last site visit in November 2019 (and no work w</w:t>
      </w:r>
      <w:r w:rsidR="00656915">
        <w:rPr>
          <w:rFonts w:ascii="Arial" w:hAnsi="Arial" w:cs="Arial"/>
          <w:lang w:val="en-US"/>
        </w:rPr>
        <w:t>as</w:t>
      </w:r>
      <w:r>
        <w:rPr>
          <w:rFonts w:ascii="Arial" w:hAnsi="Arial" w:cs="Arial"/>
          <w:lang w:val="en-US"/>
        </w:rPr>
        <w:t xml:space="preserve"> performed afterwards) for the two scenarios</w:t>
      </w:r>
      <w:r w:rsidR="00656915">
        <w:rPr>
          <w:rFonts w:ascii="Arial" w:hAnsi="Arial" w:cs="Arial"/>
          <w:lang w:val="en-US"/>
        </w:rPr>
        <w:t>, namely</w:t>
      </w:r>
      <w:r>
        <w:rPr>
          <w:rFonts w:ascii="Arial" w:hAnsi="Arial" w:cs="Arial"/>
          <w:lang w:val="en-US"/>
        </w:rPr>
        <w:t xml:space="preserve"> determination by the plaintiff and by the first defendant because, in its view, there were no grounds for the termination by the plaintiff. She said both calculations were sent to the first defendant for consideration in May 2020. T</w:t>
      </w:r>
      <w:r w:rsidR="003663BD">
        <w:rPr>
          <w:rFonts w:ascii="Arial" w:hAnsi="Arial" w:cs="Arial"/>
          <w:lang w:val="en-US"/>
        </w:rPr>
        <w:t xml:space="preserve">he second defendant received communication from the first defendant </w:t>
      </w:r>
      <w:r>
        <w:rPr>
          <w:rFonts w:ascii="Arial" w:hAnsi="Arial" w:cs="Arial"/>
          <w:lang w:val="en-US"/>
        </w:rPr>
        <w:t xml:space="preserve">that it accepted </w:t>
      </w:r>
      <w:r w:rsidR="003663BD">
        <w:rPr>
          <w:rFonts w:ascii="Arial" w:hAnsi="Arial" w:cs="Arial"/>
          <w:lang w:val="en-US"/>
        </w:rPr>
        <w:t xml:space="preserve">the </w:t>
      </w:r>
      <w:r w:rsidR="005964C7">
        <w:rPr>
          <w:rFonts w:ascii="Arial" w:hAnsi="Arial" w:cs="Arial"/>
          <w:lang w:val="en-US"/>
        </w:rPr>
        <w:t xml:space="preserve">plaintiff’s </w:t>
      </w:r>
      <w:r w:rsidR="003663BD">
        <w:rPr>
          <w:rFonts w:ascii="Arial" w:hAnsi="Arial" w:cs="Arial"/>
          <w:lang w:val="en-US"/>
        </w:rPr>
        <w:t>termination</w:t>
      </w:r>
      <w:r>
        <w:rPr>
          <w:rFonts w:ascii="Arial" w:hAnsi="Arial" w:cs="Arial"/>
          <w:lang w:val="en-US"/>
        </w:rPr>
        <w:t xml:space="preserve"> on 28 August 2020</w:t>
      </w:r>
      <w:r w:rsidR="005964C7">
        <w:rPr>
          <w:rFonts w:ascii="Arial" w:hAnsi="Arial" w:cs="Arial"/>
          <w:lang w:val="en-US"/>
        </w:rPr>
        <w:t>,</w:t>
      </w:r>
      <w:r w:rsidR="003663BD">
        <w:rPr>
          <w:rFonts w:ascii="Arial" w:hAnsi="Arial" w:cs="Arial"/>
          <w:lang w:val="en-US"/>
        </w:rPr>
        <w:t xml:space="preserve"> and thereafter the second defendant submitted the updated final account for the determination</w:t>
      </w:r>
      <w:r w:rsidR="005964C7">
        <w:rPr>
          <w:rFonts w:ascii="Arial" w:hAnsi="Arial" w:cs="Arial"/>
          <w:lang w:val="en-US"/>
        </w:rPr>
        <w:t xml:space="preserve"> of the contract</w:t>
      </w:r>
      <w:r w:rsidR="003663BD">
        <w:rPr>
          <w:rFonts w:ascii="Arial" w:hAnsi="Arial" w:cs="Arial"/>
          <w:lang w:val="en-US"/>
        </w:rPr>
        <w:t xml:space="preserve"> by the plaintiff</w:t>
      </w:r>
      <w:r>
        <w:rPr>
          <w:rFonts w:ascii="Arial" w:hAnsi="Arial" w:cs="Arial"/>
          <w:lang w:val="en-US"/>
        </w:rPr>
        <w:t xml:space="preserve"> with the inclusion of the penalties for the late completion for the first defendant to decide if it wanted to apply it or not</w:t>
      </w:r>
      <w:r w:rsidR="005964C7">
        <w:rPr>
          <w:rFonts w:ascii="Arial" w:hAnsi="Arial" w:cs="Arial"/>
          <w:lang w:val="en-US"/>
        </w:rPr>
        <w:t>. Garcia testified</w:t>
      </w:r>
      <w:r w:rsidR="003663BD">
        <w:rPr>
          <w:rFonts w:ascii="Arial" w:hAnsi="Arial" w:cs="Arial"/>
          <w:lang w:val="en-US"/>
        </w:rPr>
        <w:t xml:space="preserve"> the plaintiff was in debt to the first defendant </w:t>
      </w:r>
      <w:r w:rsidR="005964C7">
        <w:rPr>
          <w:rFonts w:ascii="Arial" w:hAnsi="Arial" w:cs="Arial"/>
          <w:lang w:val="en-US"/>
        </w:rPr>
        <w:t>for</w:t>
      </w:r>
      <w:r w:rsidR="003663BD">
        <w:rPr>
          <w:rFonts w:ascii="Arial" w:hAnsi="Arial" w:cs="Arial"/>
          <w:lang w:val="en-US"/>
        </w:rPr>
        <w:t xml:space="preserve"> N$2 044 465,33 as payments were done to the plaintiff for the special installations that the subcontractor never received</w:t>
      </w:r>
      <w:r w:rsidR="0040408D">
        <w:rPr>
          <w:rFonts w:ascii="Arial" w:hAnsi="Arial" w:cs="Arial"/>
          <w:lang w:val="en-US"/>
        </w:rPr>
        <w:t>. She said</w:t>
      </w:r>
      <w:r w:rsidR="003663BD">
        <w:rPr>
          <w:rFonts w:ascii="Arial" w:hAnsi="Arial" w:cs="Arial"/>
          <w:lang w:val="en-US"/>
        </w:rPr>
        <w:t xml:space="preserve"> those payments would have to </w:t>
      </w:r>
      <w:r w:rsidR="003663BD">
        <w:rPr>
          <w:rFonts w:ascii="Arial" w:hAnsi="Arial" w:cs="Arial"/>
          <w:lang w:val="en-US"/>
        </w:rPr>
        <w:lastRenderedPageBreak/>
        <w:t>be deducted from the plaintiff’s account and th</w:t>
      </w:r>
      <w:r w:rsidR="0040408D">
        <w:rPr>
          <w:rFonts w:ascii="Arial" w:hAnsi="Arial" w:cs="Arial"/>
          <w:lang w:val="en-US"/>
        </w:rPr>
        <w:t>e amount due was</w:t>
      </w:r>
      <w:r w:rsidR="003663BD">
        <w:rPr>
          <w:rFonts w:ascii="Arial" w:hAnsi="Arial" w:cs="Arial"/>
          <w:lang w:val="en-US"/>
        </w:rPr>
        <w:t xml:space="preserve"> without the penalties for late completion that amounted to N$9 682 500 at the time which the first defendant was entitled to apply.</w:t>
      </w:r>
      <w:r w:rsidR="00811582">
        <w:rPr>
          <w:rFonts w:ascii="Arial" w:hAnsi="Arial" w:cs="Arial"/>
          <w:lang w:val="en-US"/>
        </w:rPr>
        <w:t xml:space="preserve"> She sa</w:t>
      </w:r>
      <w:r w:rsidR="005964C7">
        <w:rPr>
          <w:rFonts w:ascii="Arial" w:hAnsi="Arial" w:cs="Arial"/>
          <w:lang w:val="en-US"/>
        </w:rPr>
        <w:t>id</w:t>
      </w:r>
      <w:r w:rsidR="00811582">
        <w:rPr>
          <w:rFonts w:ascii="Arial" w:hAnsi="Arial" w:cs="Arial"/>
          <w:lang w:val="en-US"/>
        </w:rPr>
        <w:t xml:space="preserve"> the second defendant’s termination as project consultant was contained in a letter dated 14 August 2020</w:t>
      </w:r>
      <w:r>
        <w:rPr>
          <w:rFonts w:ascii="Arial" w:hAnsi="Arial" w:cs="Arial"/>
          <w:lang w:val="en-US"/>
        </w:rPr>
        <w:t>, and a</w:t>
      </w:r>
      <w:r w:rsidRPr="009325D3">
        <w:rPr>
          <w:rFonts w:ascii="Arial" w:hAnsi="Arial" w:cs="Arial"/>
          <w:lang w:val="en-US"/>
        </w:rPr>
        <w:t>fter their services were terminated, they were no longer involved in and or responsible for the final account. According to Garcia</w:t>
      </w:r>
      <w:r>
        <w:rPr>
          <w:rFonts w:ascii="Arial" w:hAnsi="Arial" w:cs="Arial"/>
          <w:lang w:val="en-US"/>
        </w:rPr>
        <w:t>,</w:t>
      </w:r>
      <w:r w:rsidRPr="009325D3">
        <w:rPr>
          <w:rFonts w:ascii="Arial" w:hAnsi="Arial" w:cs="Arial"/>
          <w:lang w:val="en-US"/>
        </w:rPr>
        <w:t xml:space="preserve"> it is not necessary for the plaintiff to participate in the final account</w:t>
      </w:r>
      <w:r>
        <w:rPr>
          <w:rFonts w:ascii="Arial" w:hAnsi="Arial" w:cs="Arial"/>
          <w:lang w:val="en-US"/>
        </w:rPr>
        <w:t>,</w:t>
      </w:r>
      <w:r w:rsidRPr="009325D3">
        <w:rPr>
          <w:rFonts w:ascii="Arial" w:hAnsi="Arial" w:cs="Arial"/>
          <w:lang w:val="en-US"/>
        </w:rPr>
        <w:t xml:space="preserve"> but once prepared</w:t>
      </w:r>
      <w:r w:rsidR="00656915">
        <w:rPr>
          <w:rFonts w:ascii="Arial" w:hAnsi="Arial" w:cs="Arial"/>
          <w:lang w:val="en-US"/>
        </w:rPr>
        <w:t>,</w:t>
      </w:r>
      <w:r w:rsidRPr="009325D3">
        <w:rPr>
          <w:rFonts w:ascii="Arial" w:hAnsi="Arial" w:cs="Arial"/>
          <w:lang w:val="en-US"/>
        </w:rPr>
        <w:t xml:space="preserve"> it must be discussed with him.</w:t>
      </w:r>
    </w:p>
    <w:p w14:paraId="6BD85CEB" w14:textId="77777777" w:rsidR="00B1425C" w:rsidRPr="00B1425C" w:rsidRDefault="00B1425C" w:rsidP="00B1425C">
      <w:pPr>
        <w:pStyle w:val="ListParagraph"/>
        <w:rPr>
          <w:rFonts w:ascii="Arial" w:hAnsi="Arial" w:cs="Arial"/>
          <w:lang w:val="en-US"/>
        </w:rPr>
      </w:pPr>
    </w:p>
    <w:p w14:paraId="0AE08C31" w14:textId="5289783C" w:rsidR="0036043E" w:rsidRDefault="00643E5F" w:rsidP="007E38F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Nel sa</w:t>
      </w:r>
      <w:r w:rsidR="005964C7">
        <w:rPr>
          <w:rFonts w:ascii="Arial" w:hAnsi="Arial" w:cs="Arial"/>
          <w:lang w:val="en-US"/>
        </w:rPr>
        <w:t>id</w:t>
      </w:r>
      <w:r>
        <w:rPr>
          <w:rFonts w:ascii="Arial" w:hAnsi="Arial" w:cs="Arial"/>
          <w:lang w:val="en-US"/>
        </w:rPr>
        <w:t xml:space="preserve"> the final account was compiled</w:t>
      </w:r>
      <w:r w:rsidR="00A4504D">
        <w:rPr>
          <w:rFonts w:ascii="Arial" w:hAnsi="Arial" w:cs="Arial"/>
          <w:lang w:val="en-US"/>
        </w:rPr>
        <w:t xml:space="preserve"> by DNQS employees visiting the site and doing on-site remeasurements</w:t>
      </w:r>
      <w:r w:rsidR="008F4814">
        <w:rPr>
          <w:rFonts w:ascii="Arial" w:hAnsi="Arial" w:cs="Arial"/>
          <w:lang w:val="en-US"/>
        </w:rPr>
        <w:t>. He sa</w:t>
      </w:r>
      <w:r w:rsidR="005964C7">
        <w:rPr>
          <w:rFonts w:ascii="Arial" w:hAnsi="Arial" w:cs="Arial"/>
          <w:lang w:val="en-US"/>
        </w:rPr>
        <w:t>id</w:t>
      </w:r>
      <w:r w:rsidR="008F4814">
        <w:rPr>
          <w:rFonts w:ascii="Arial" w:hAnsi="Arial" w:cs="Arial"/>
          <w:lang w:val="en-US"/>
        </w:rPr>
        <w:t xml:space="preserve"> he sent his employees to go to the site</w:t>
      </w:r>
      <w:r w:rsidR="005964C7">
        <w:rPr>
          <w:rFonts w:ascii="Arial" w:hAnsi="Arial" w:cs="Arial"/>
          <w:lang w:val="en-US"/>
        </w:rPr>
        <w:t>,</w:t>
      </w:r>
      <w:r w:rsidR="008F4814">
        <w:rPr>
          <w:rFonts w:ascii="Arial" w:hAnsi="Arial" w:cs="Arial"/>
          <w:lang w:val="en-US"/>
        </w:rPr>
        <w:t xml:space="preserve"> and he </w:t>
      </w:r>
      <w:proofErr w:type="spellStart"/>
      <w:r w:rsidR="008F4814">
        <w:rPr>
          <w:rFonts w:ascii="Arial" w:hAnsi="Arial" w:cs="Arial"/>
          <w:lang w:val="en-US"/>
        </w:rPr>
        <w:t>finalised</w:t>
      </w:r>
      <w:proofErr w:type="spellEnd"/>
      <w:r w:rsidR="008F4814">
        <w:rPr>
          <w:rFonts w:ascii="Arial" w:hAnsi="Arial" w:cs="Arial"/>
          <w:lang w:val="en-US"/>
        </w:rPr>
        <w:t xml:space="preserve"> the final account. Under cross-examination, he sa</w:t>
      </w:r>
      <w:r w:rsidR="005964C7">
        <w:rPr>
          <w:rFonts w:ascii="Arial" w:hAnsi="Arial" w:cs="Arial"/>
          <w:lang w:val="en-US"/>
        </w:rPr>
        <w:t>id</w:t>
      </w:r>
      <w:r w:rsidR="008F4814">
        <w:rPr>
          <w:rFonts w:ascii="Arial" w:hAnsi="Arial" w:cs="Arial"/>
          <w:lang w:val="en-US"/>
        </w:rPr>
        <w:t xml:space="preserve"> </w:t>
      </w:r>
      <w:r w:rsidR="00656915">
        <w:rPr>
          <w:rFonts w:ascii="Arial" w:hAnsi="Arial" w:cs="Arial"/>
          <w:lang w:val="en-US"/>
        </w:rPr>
        <w:t>he did not take the measurements</w:t>
      </w:r>
      <w:r w:rsidR="008F4814">
        <w:rPr>
          <w:rFonts w:ascii="Arial" w:hAnsi="Arial" w:cs="Arial"/>
          <w:lang w:val="en-US"/>
        </w:rPr>
        <w:t>. Nel testifie</w:t>
      </w:r>
      <w:r w:rsidR="005964C7">
        <w:rPr>
          <w:rFonts w:ascii="Arial" w:hAnsi="Arial" w:cs="Arial"/>
          <w:lang w:val="en-US"/>
        </w:rPr>
        <w:t>d</w:t>
      </w:r>
      <w:r w:rsidR="008F4814">
        <w:rPr>
          <w:rFonts w:ascii="Arial" w:hAnsi="Arial" w:cs="Arial"/>
          <w:lang w:val="en-US"/>
        </w:rPr>
        <w:t xml:space="preserve"> the final account was </w:t>
      </w:r>
      <w:r>
        <w:rPr>
          <w:rFonts w:ascii="Arial" w:hAnsi="Arial" w:cs="Arial"/>
          <w:lang w:val="en-US"/>
        </w:rPr>
        <w:t>submitted to the first defendant</w:t>
      </w:r>
      <w:r w:rsidR="00A4504D">
        <w:rPr>
          <w:rFonts w:ascii="Arial" w:hAnsi="Arial" w:cs="Arial"/>
          <w:lang w:val="en-US"/>
        </w:rPr>
        <w:t xml:space="preserve"> in the form of a PDF document </w:t>
      </w:r>
      <w:r w:rsidR="005964C7">
        <w:rPr>
          <w:rFonts w:ascii="Arial" w:hAnsi="Arial" w:cs="Arial"/>
          <w:lang w:val="en-US"/>
        </w:rPr>
        <w:t xml:space="preserve">for verification, and it was </w:t>
      </w:r>
      <w:r w:rsidR="00B1425C">
        <w:rPr>
          <w:rFonts w:ascii="Arial" w:hAnsi="Arial" w:cs="Arial"/>
          <w:lang w:val="en-US"/>
        </w:rPr>
        <w:t xml:space="preserve">emailed to </w:t>
      </w:r>
      <w:proofErr w:type="spellStart"/>
      <w:r w:rsidR="00D069A7">
        <w:rPr>
          <w:rFonts w:ascii="Arial" w:hAnsi="Arial" w:cs="Arial"/>
          <w:lang w:val="en-US"/>
        </w:rPr>
        <w:t>Kapuuo</w:t>
      </w:r>
      <w:proofErr w:type="spellEnd"/>
      <w:r w:rsidR="00B1425C">
        <w:rPr>
          <w:rFonts w:ascii="Arial" w:hAnsi="Arial" w:cs="Arial"/>
          <w:lang w:val="en-US"/>
        </w:rPr>
        <w:t xml:space="preserve"> on 27 April 2020.</w:t>
      </w:r>
      <w:r w:rsidR="0036043E">
        <w:rPr>
          <w:rFonts w:ascii="Arial" w:hAnsi="Arial" w:cs="Arial"/>
          <w:lang w:val="en-US"/>
        </w:rPr>
        <w:t xml:space="preserve"> He sa</w:t>
      </w:r>
      <w:r w:rsidR="005964C7">
        <w:rPr>
          <w:rFonts w:ascii="Arial" w:hAnsi="Arial" w:cs="Arial"/>
          <w:lang w:val="en-US"/>
        </w:rPr>
        <w:t>id</w:t>
      </w:r>
      <w:r w:rsidR="0036043E">
        <w:rPr>
          <w:rFonts w:ascii="Arial" w:hAnsi="Arial" w:cs="Arial"/>
          <w:lang w:val="en-US"/>
        </w:rPr>
        <w:t xml:space="preserve"> there was no response</w:t>
      </w:r>
      <w:r w:rsidR="008F4814">
        <w:rPr>
          <w:rFonts w:ascii="Arial" w:hAnsi="Arial" w:cs="Arial"/>
          <w:lang w:val="en-US"/>
        </w:rPr>
        <w:t xml:space="preserve"> from the plaintiff</w:t>
      </w:r>
      <w:r w:rsidR="0036043E">
        <w:rPr>
          <w:rFonts w:ascii="Arial" w:hAnsi="Arial" w:cs="Arial"/>
          <w:lang w:val="en-US"/>
        </w:rPr>
        <w:t>.</w:t>
      </w:r>
      <w:r w:rsidR="00B1425C">
        <w:rPr>
          <w:rFonts w:ascii="Arial" w:hAnsi="Arial" w:cs="Arial"/>
          <w:lang w:val="en-US"/>
        </w:rPr>
        <w:t xml:space="preserve"> </w:t>
      </w:r>
      <w:r w:rsidR="0036043E">
        <w:rPr>
          <w:rFonts w:ascii="Arial" w:hAnsi="Arial" w:cs="Arial"/>
          <w:lang w:val="en-US"/>
        </w:rPr>
        <w:t xml:space="preserve">According to Nel, during </w:t>
      </w:r>
      <w:r w:rsidR="005964C7">
        <w:rPr>
          <w:rFonts w:ascii="Arial" w:hAnsi="Arial" w:cs="Arial"/>
          <w:lang w:val="en-US"/>
        </w:rPr>
        <w:t xml:space="preserve">the </w:t>
      </w:r>
      <w:r w:rsidR="0036043E">
        <w:rPr>
          <w:rFonts w:ascii="Arial" w:hAnsi="Arial" w:cs="Arial"/>
          <w:lang w:val="en-US"/>
        </w:rPr>
        <w:t xml:space="preserve">preparation of the final account, he had a few discussions with </w:t>
      </w:r>
      <w:proofErr w:type="spellStart"/>
      <w:r w:rsidR="00D069A7">
        <w:rPr>
          <w:rFonts w:ascii="Arial" w:hAnsi="Arial" w:cs="Arial"/>
          <w:lang w:val="en-US"/>
        </w:rPr>
        <w:t>Kapuuo</w:t>
      </w:r>
      <w:proofErr w:type="spellEnd"/>
      <w:r w:rsidR="005964C7">
        <w:rPr>
          <w:rFonts w:ascii="Arial" w:hAnsi="Arial" w:cs="Arial"/>
          <w:lang w:val="en-US"/>
        </w:rPr>
        <w:t>,</w:t>
      </w:r>
      <w:r w:rsidR="0036043E">
        <w:rPr>
          <w:rFonts w:ascii="Arial" w:hAnsi="Arial" w:cs="Arial"/>
          <w:lang w:val="en-US"/>
        </w:rPr>
        <w:t xml:space="preserve"> and their main difference was the claims the plaintiff submitted for additional preliminaries, which required proof that the </w:t>
      </w:r>
      <w:r w:rsidR="005964C7">
        <w:rPr>
          <w:rFonts w:ascii="Arial" w:hAnsi="Arial" w:cs="Arial"/>
          <w:lang w:val="en-US"/>
        </w:rPr>
        <w:t>first defendant</w:t>
      </w:r>
      <w:r w:rsidR="0036043E">
        <w:rPr>
          <w:rFonts w:ascii="Arial" w:hAnsi="Arial" w:cs="Arial"/>
          <w:lang w:val="en-US"/>
        </w:rPr>
        <w:t xml:space="preserve"> agreed to an extension of time based on claims submitted by the plaintiff which the plaintiff could not provide. He refer</w:t>
      </w:r>
      <w:r w:rsidR="005964C7">
        <w:rPr>
          <w:rFonts w:ascii="Arial" w:hAnsi="Arial" w:cs="Arial"/>
          <w:lang w:val="en-US"/>
        </w:rPr>
        <w:t>red</w:t>
      </w:r>
      <w:r w:rsidR="0036043E">
        <w:rPr>
          <w:rFonts w:ascii="Arial" w:hAnsi="Arial" w:cs="Arial"/>
          <w:lang w:val="en-US"/>
        </w:rPr>
        <w:t xml:space="preserve"> to an extract from the notes to tenders in the bills of quantities which provides that:</w:t>
      </w:r>
    </w:p>
    <w:p w14:paraId="350F2184" w14:textId="77777777" w:rsidR="0036043E" w:rsidRPr="0036043E" w:rsidRDefault="0036043E" w:rsidP="0036043E">
      <w:pPr>
        <w:pStyle w:val="ListParagraph"/>
        <w:rPr>
          <w:rFonts w:ascii="Arial" w:hAnsi="Arial" w:cs="Arial"/>
          <w:lang w:val="en-US"/>
        </w:rPr>
      </w:pPr>
    </w:p>
    <w:p w14:paraId="53265204" w14:textId="6A80E631" w:rsidR="0036043E" w:rsidRPr="0036043E" w:rsidRDefault="0036043E" w:rsidP="0036043E">
      <w:pPr>
        <w:pStyle w:val="ListParagraph"/>
        <w:spacing w:line="360" w:lineRule="auto"/>
        <w:ind w:left="0" w:firstLine="720"/>
        <w:jc w:val="both"/>
        <w:rPr>
          <w:rFonts w:ascii="Arial" w:hAnsi="Arial" w:cs="Arial"/>
          <w:sz w:val="22"/>
          <w:szCs w:val="22"/>
          <w:lang w:val="en-US"/>
        </w:rPr>
      </w:pPr>
      <w:r w:rsidRPr="0036043E">
        <w:rPr>
          <w:rFonts w:ascii="Arial" w:hAnsi="Arial" w:cs="Arial"/>
          <w:sz w:val="22"/>
          <w:szCs w:val="22"/>
          <w:lang w:val="en-US"/>
        </w:rPr>
        <w:t>‘13. FINAL ACCOUNT</w:t>
      </w:r>
    </w:p>
    <w:p w14:paraId="2CD516F1" w14:textId="538BDAC4" w:rsidR="0036043E" w:rsidRPr="0036043E" w:rsidRDefault="0036043E" w:rsidP="0036043E">
      <w:pPr>
        <w:pStyle w:val="ListParagraph"/>
        <w:spacing w:line="360" w:lineRule="auto"/>
        <w:ind w:left="0"/>
        <w:jc w:val="both"/>
        <w:rPr>
          <w:rFonts w:ascii="Arial" w:hAnsi="Arial" w:cs="Arial"/>
          <w:sz w:val="22"/>
          <w:szCs w:val="22"/>
          <w:lang w:val="en-US"/>
        </w:rPr>
      </w:pPr>
      <w:r w:rsidRPr="0036043E">
        <w:rPr>
          <w:rFonts w:ascii="Arial" w:hAnsi="Arial" w:cs="Arial"/>
          <w:sz w:val="22"/>
          <w:szCs w:val="22"/>
          <w:lang w:val="en-US"/>
        </w:rPr>
        <w:t>The Tenderer's attention is drawn to the fact that this is a Provisional Bills of Quantities and as such these Bills of Quantities are subject to variation and will</w:t>
      </w:r>
      <w:r w:rsidR="0040408D">
        <w:rPr>
          <w:rFonts w:ascii="Arial" w:hAnsi="Arial" w:cs="Arial"/>
          <w:sz w:val="22"/>
          <w:szCs w:val="22"/>
          <w:lang w:val="en-US"/>
        </w:rPr>
        <w:t xml:space="preserve"> </w:t>
      </w:r>
      <w:r w:rsidRPr="0036043E">
        <w:rPr>
          <w:rFonts w:ascii="Arial" w:hAnsi="Arial" w:cs="Arial"/>
          <w:sz w:val="22"/>
          <w:szCs w:val="22"/>
          <w:lang w:val="en-US"/>
        </w:rPr>
        <w:t>be remeasured and adjusted at Schedule rates during the preparation of the Final Account.</w:t>
      </w:r>
    </w:p>
    <w:p w14:paraId="69852CA8" w14:textId="33E75025" w:rsidR="0036043E" w:rsidRDefault="0036043E" w:rsidP="0036043E">
      <w:pPr>
        <w:pStyle w:val="ListParagraph"/>
        <w:spacing w:line="360" w:lineRule="auto"/>
        <w:ind w:left="0"/>
        <w:jc w:val="both"/>
        <w:rPr>
          <w:rFonts w:ascii="Arial" w:hAnsi="Arial" w:cs="Arial"/>
          <w:lang w:val="en-US"/>
        </w:rPr>
      </w:pPr>
      <w:r w:rsidRPr="0036043E">
        <w:rPr>
          <w:rFonts w:ascii="Arial" w:hAnsi="Arial" w:cs="Arial"/>
          <w:sz w:val="22"/>
          <w:szCs w:val="22"/>
          <w:lang w:val="en-US"/>
        </w:rPr>
        <w:t xml:space="preserve">Should the Tenderer not </w:t>
      </w:r>
      <w:proofErr w:type="spellStart"/>
      <w:r w:rsidRPr="0036043E">
        <w:rPr>
          <w:rFonts w:ascii="Arial" w:hAnsi="Arial" w:cs="Arial"/>
          <w:sz w:val="22"/>
          <w:szCs w:val="22"/>
          <w:lang w:val="en-US"/>
        </w:rPr>
        <w:t>endeavour</w:t>
      </w:r>
      <w:proofErr w:type="spellEnd"/>
      <w:r w:rsidRPr="0036043E">
        <w:rPr>
          <w:rFonts w:ascii="Arial" w:hAnsi="Arial" w:cs="Arial"/>
          <w:sz w:val="22"/>
          <w:szCs w:val="22"/>
          <w:lang w:val="en-US"/>
        </w:rPr>
        <w:t xml:space="preserve"> to </w:t>
      </w:r>
      <w:proofErr w:type="spellStart"/>
      <w:r w:rsidRPr="0036043E">
        <w:rPr>
          <w:rFonts w:ascii="Arial" w:hAnsi="Arial" w:cs="Arial"/>
          <w:sz w:val="22"/>
          <w:szCs w:val="22"/>
          <w:lang w:val="en-US"/>
        </w:rPr>
        <w:t>finalise</w:t>
      </w:r>
      <w:proofErr w:type="spellEnd"/>
      <w:r w:rsidRPr="0036043E">
        <w:rPr>
          <w:rFonts w:ascii="Arial" w:hAnsi="Arial" w:cs="Arial"/>
          <w:sz w:val="22"/>
          <w:szCs w:val="22"/>
          <w:lang w:val="en-US"/>
        </w:rPr>
        <w:t xml:space="preserve"> the Final Account with the Quantity Surveyor within three months after receipt of same, the final cost figures as reflected in the Quantity Surveyor's Final Account will be taken to be the final cost of the project and no further negotiations will be entertained by the Employer.’</w:t>
      </w:r>
    </w:p>
    <w:p w14:paraId="636EDB96" w14:textId="77777777" w:rsidR="0036043E" w:rsidRPr="0036043E" w:rsidRDefault="0036043E" w:rsidP="0036043E">
      <w:pPr>
        <w:pStyle w:val="ListParagraph"/>
        <w:rPr>
          <w:rFonts w:ascii="Arial" w:hAnsi="Arial" w:cs="Arial"/>
          <w:lang w:val="en-US"/>
        </w:rPr>
      </w:pPr>
    </w:p>
    <w:p w14:paraId="635D8C28" w14:textId="7C00B467" w:rsidR="00005B93" w:rsidRPr="009325D3" w:rsidRDefault="00005B93" w:rsidP="00005B9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While Nel was under cross-examination, it transpired the first defendant had an issue with the bulk earthworks in the final account. Nel said</w:t>
      </w:r>
      <w:r w:rsidRPr="009325D3">
        <w:rPr>
          <w:rFonts w:ascii="Arial" w:hAnsi="Arial" w:cs="Arial"/>
          <w:lang w:val="en-US"/>
        </w:rPr>
        <w:t xml:space="preserve"> the quantity surveyor had to certify it and include it in the final account, which was done, and Nel thought the corrected </w:t>
      </w:r>
      <w:r>
        <w:rPr>
          <w:rFonts w:ascii="Arial" w:hAnsi="Arial" w:cs="Arial"/>
          <w:lang w:val="en-US"/>
        </w:rPr>
        <w:t xml:space="preserve">final account </w:t>
      </w:r>
      <w:r w:rsidRPr="009325D3">
        <w:rPr>
          <w:rFonts w:ascii="Arial" w:hAnsi="Arial" w:cs="Arial"/>
          <w:lang w:val="en-US"/>
        </w:rPr>
        <w:t>was submitted</w:t>
      </w:r>
      <w:r>
        <w:rPr>
          <w:rFonts w:ascii="Arial" w:hAnsi="Arial" w:cs="Arial"/>
          <w:lang w:val="en-US"/>
        </w:rPr>
        <w:t xml:space="preserve"> to the plaintiff</w:t>
      </w:r>
      <w:r w:rsidRPr="009325D3">
        <w:rPr>
          <w:rFonts w:ascii="Arial" w:hAnsi="Arial" w:cs="Arial"/>
          <w:lang w:val="en-US"/>
        </w:rPr>
        <w:t xml:space="preserve">. Nel said there was a meeting on site whereafter the quantity surveyor was relieved of the </w:t>
      </w:r>
      <w:r w:rsidRPr="009325D3">
        <w:rPr>
          <w:rFonts w:ascii="Arial" w:hAnsi="Arial" w:cs="Arial"/>
          <w:lang w:val="en-US"/>
        </w:rPr>
        <w:lastRenderedPageBreak/>
        <w:t>project</w:t>
      </w:r>
      <w:r w:rsidR="0040408D">
        <w:rPr>
          <w:rFonts w:ascii="Arial" w:hAnsi="Arial" w:cs="Arial"/>
          <w:lang w:val="en-US"/>
        </w:rPr>
        <w:t>,</w:t>
      </w:r>
      <w:r w:rsidRPr="009325D3">
        <w:rPr>
          <w:rFonts w:ascii="Arial" w:hAnsi="Arial" w:cs="Arial"/>
          <w:lang w:val="en-US"/>
        </w:rPr>
        <w:t xml:space="preserve"> but the first defendant asked it to assist with the final account. H</w:t>
      </w:r>
      <w:r>
        <w:rPr>
          <w:rFonts w:ascii="Arial" w:hAnsi="Arial" w:cs="Arial"/>
          <w:lang w:val="en-US"/>
        </w:rPr>
        <w:t>e said h</w:t>
      </w:r>
      <w:r w:rsidRPr="009325D3">
        <w:rPr>
          <w:rFonts w:ascii="Arial" w:hAnsi="Arial" w:cs="Arial"/>
          <w:lang w:val="en-US"/>
        </w:rPr>
        <w:t>ard copies were delivered to the first defendant</w:t>
      </w:r>
      <w:r>
        <w:rPr>
          <w:rFonts w:ascii="Arial" w:hAnsi="Arial" w:cs="Arial"/>
          <w:lang w:val="en-US"/>
        </w:rPr>
        <w:t>,</w:t>
      </w:r>
      <w:r w:rsidRPr="009325D3">
        <w:rPr>
          <w:rFonts w:ascii="Arial" w:hAnsi="Arial" w:cs="Arial"/>
          <w:lang w:val="en-US"/>
        </w:rPr>
        <w:t xml:space="preserve"> and the first defendant</w:t>
      </w:r>
      <w:r>
        <w:rPr>
          <w:rFonts w:ascii="Arial" w:hAnsi="Arial" w:cs="Arial"/>
          <w:lang w:val="en-US"/>
        </w:rPr>
        <w:t>’</w:t>
      </w:r>
      <w:r w:rsidRPr="009325D3">
        <w:rPr>
          <w:rFonts w:ascii="Arial" w:hAnsi="Arial" w:cs="Arial"/>
          <w:lang w:val="en-US"/>
        </w:rPr>
        <w:t xml:space="preserve">s </w:t>
      </w:r>
      <w:r>
        <w:rPr>
          <w:rFonts w:ascii="Arial" w:hAnsi="Arial" w:cs="Arial"/>
          <w:lang w:val="en-US"/>
        </w:rPr>
        <w:t>representative</w:t>
      </w:r>
      <w:r w:rsidRPr="009325D3">
        <w:rPr>
          <w:rFonts w:ascii="Arial" w:hAnsi="Arial" w:cs="Arial"/>
          <w:lang w:val="en-US"/>
        </w:rPr>
        <w:t xml:space="preserve"> would get hold</w:t>
      </w:r>
      <w:r>
        <w:rPr>
          <w:rFonts w:ascii="Arial" w:hAnsi="Arial" w:cs="Arial"/>
          <w:lang w:val="en-US"/>
        </w:rPr>
        <w:t xml:space="preserve"> </w:t>
      </w:r>
      <w:r w:rsidRPr="009325D3">
        <w:rPr>
          <w:rFonts w:ascii="Arial" w:hAnsi="Arial" w:cs="Arial"/>
          <w:lang w:val="en-US"/>
        </w:rPr>
        <w:t xml:space="preserve">of </w:t>
      </w:r>
      <w:proofErr w:type="spellStart"/>
      <w:r w:rsidRPr="009325D3">
        <w:rPr>
          <w:rFonts w:ascii="Arial" w:hAnsi="Arial" w:cs="Arial"/>
          <w:lang w:val="en-US"/>
        </w:rPr>
        <w:t>Kapuuo</w:t>
      </w:r>
      <w:proofErr w:type="spellEnd"/>
      <w:r w:rsidRPr="009325D3">
        <w:rPr>
          <w:rFonts w:ascii="Arial" w:hAnsi="Arial" w:cs="Arial"/>
          <w:lang w:val="en-US"/>
        </w:rPr>
        <w:t xml:space="preserve"> to present the documents to him</w:t>
      </w:r>
      <w:r>
        <w:rPr>
          <w:rFonts w:ascii="Arial" w:hAnsi="Arial" w:cs="Arial"/>
          <w:lang w:val="en-US"/>
        </w:rPr>
        <w:t>,</w:t>
      </w:r>
      <w:r w:rsidRPr="009325D3">
        <w:rPr>
          <w:rFonts w:ascii="Arial" w:hAnsi="Arial" w:cs="Arial"/>
          <w:lang w:val="en-US"/>
        </w:rPr>
        <w:t xml:space="preserve"> and he </w:t>
      </w:r>
      <w:r>
        <w:rPr>
          <w:rFonts w:ascii="Arial" w:hAnsi="Arial" w:cs="Arial"/>
          <w:lang w:val="en-US"/>
        </w:rPr>
        <w:t>wa</w:t>
      </w:r>
      <w:r w:rsidRPr="009325D3">
        <w:rPr>
          <w:rFonts w:ascii="Arial" w:hAnsi="Arial" w:cs="Arial"/>
          <w:lang w:val="en-US"/>
        </w:rPr>
        <w:t>s not sure if they ever met. In re-examination, Nel sa</w:t>
      </w:r>
      <w:r>
        <w:rPr>
          <w:rFonts w:ascii="Arial" w:hAnsi="Arial" w:cs="Arial"/>
          <w:lang w:val="en-US"/>
        </w:rPr>
        <w:t>id</w:t>
      </w:r>
      <w:r w:rsidRPr="009325D3">
        <w:rPr>
          <w:rFonts w:ascii="Arial" w:hAnsi="Arial" w:cs="Arial"/>
          <w:lang w:val="en-US"/>
        </w:rPr>
        <w:t xml:space="preserve"> only the first defendant was involved in the revised final account; the plaintiff was not involved in it as</w:t>
      </w:r>
      <w:r>
        <w:rPr>
          <w:rFonts w:ascii="Arial" w:hAnsi="Arial" w:cs="Arial"/>
          <w:lang w:val="en-US"/>
        </w:rPr>
        <w:t>,</w:t>
      </w:r>
      <w:r w:rsidRPr="009325D3">
        <w:rPr>
          <w:rFonts w:ascii="Arial" w:hAnsi="Arial" w:cs="Arial"/>
          <w:lang w:val="en-US"/>
        </w:rPr>
        <w:t xml:space="preserve"> at that time</w:t>
      </w:r>
      <w:r>
        <w:rPr>
          <w:rFonts w:ascii="Arial" w:hAnsi="Arial" w:cs="Arial"/>
          <w:lang w:val="en-US"/>
        </w:rPr>
        <w:t>,</w:t>
      </w:r>
      <w:r w:rsidRPr="009325D3">
        <w:rPr>
          <w:rFonts w:ascii="Arial" w:hAnsi="Arial" w:cs="Arial"/>
          <w:lang w:val="en-US"/>
        </w:rPr>
        <w:t xml:space="preserve"> there was no discussion between him and </w:t>
      </w:r>
      <w:proofErr w:type="spellStart"/>
      <w:r w:rsidRPr="009325D3">
        <w:rPr>
          <w:rFonts w:ascii="Arial" w:hAnsi="Arial" w:cs="Arial"/>
          <w:lang w:val="en-US"/>
        </w:rPr>
        <w:t>Kapuuo</w:t>
      </w:r>
      <w:proofErr w:type="spellEnd"/>
      <w:r w:rsidRPr="009325D3">
        <w:rPr>
          <w:rFonts w:ascii="Arial" w:hAnsi="Arial" w:cs="Arial"/>
          <w:lang w:val="en-US"/>
        </w:rPr>
        <w:t>. He sa</w:t>
      </w:r>
      <w:r>
        <w:rPr>
          <w:rFonts w:ascii="Arial" w:hAnsi="Arial" w:cs="Arial"/>
          <w:lang w:val="en-US"/>
        </w:rPr>
        <w:t>id</w:t>
      </w:r>
      <w:r w:rsidRPr="009325D3">
        <w:rPr>
          <w:rFonts w:ascii="Arial" w:hAnsi="Arial" w:cs="Arial"/>
          <w:lang w:val="en-US"/>
        </w:rPr>
        <w:t xml:space="preserve"> the first defendant took its time and did not want a final account for less than what was paid out. He sa</w:t>
      </w:r>
      <w:r>
        <w:rPr>
          <w:rFonts w:ascii="Arial" w:hAnsi="Arial" w:cs="Arial"/>
          <w:lang w:val="en-US"/>
        </w:rPr>
        <w:t>id</w:t>
      </w:r>
      <w:r w:rsidRPr="009325D3">
        <w:rPr>
          <w:rFonts w:ascii="Arial" w:hAnsi="Arial" w:cs="Arial"/>
          <w:lang w:val="en-US"/>
        </w:rPr>
        <w:t xml:space="preserve"> </w:t>
      </w:r>
      <w:r w:rsidR="00656915" w:rsidRPr="009325D3">
        <w:rPr>
          <w:rFonts w:ascii="Arial" w:hAnsi="Arial" w:cs="Arial"/>
          <w:lang w:val="en-US"/>
        </w:rPr>
        <w:t xml:space="preserve">the plaintiff did not sign off </w:t>
      </w:r>
      <w:r w:rsidR="00656915">
        <w:rPr>
          <w:rFonts w:ascii="Arial" w:hAnsi="Arial" w:cs="Arial"/>
          <w:lang w:val="en-US"/>
        </w:rPr>
        <w:t xml:space="preserve">on </w:t>
      </w:r>
      <w:r w:rsidRPr="009325D3">
        <w:rPr>
          <w:rFonts w:ascii="Arial" w:hAnsi="Arial" w:cs="Arial"/>
          <w:lang w:val="en-US"/>
        </w:rPr>
        <w:t xml:space="preserve">the revised </w:t>
      </w:r>
      <w:r w:rsidR="00656915">
        <w:rPr>
          <w:rFonts w:ascii="Arial" w:hAnsi="Arial" w:cs="Arial"/>
          <w:lang w:val="en-US"/>
        </w:rPr>
        <w:t xml:space="preserve">final </w:t>
      </w:r>
      <w:r w:rsidRPr="009325D3">
        <w:rPr>
          <w:rFonts w:ascii="Arial" w:hAnsi="Arial" w:cs="Arial"/>
          <w:lang w:val="en-US"/>
        </w:rPr>
        <w:t xml:space="preserve">account in which the item </w:t>
      </w:r>
      <w:r>
        <w:rPr>
          <w:rFonts w:ascii="Arial" w:hAnsi="Arial" w:cs="Arial"/>
          <w:lang w:val="en-US"/>
        </w:rPr>
        <w:t xml:space="preserve">in question </w:t>
      </w:r>
      <w:r w:rsidRPr="009325D3">
        <w:rPr>
          <w:rFonts w:ascii="Arial" w:hAnsi="Arial" w:cs="Arial"/>
          <w:lang w:val="en-US"/>
        </w:rPr>
        <w:t>was included</w:t>
      </w:r>
      <w:r w:rsidR="00656915">
        <w:rPr>
          <w:rFonts w:ascii="Arial" w:hAnsi="Arial" w:cs="Arial"/>
          <w:lang w:val="en-US"/>
        </w:rPr>
        <w:t>,</w:t>
      </w:r>
      <w:r w:rsidRPr="009325D3">
        <w:rPr>
          <w:rFonts w:ascii="Arial" w:hAnsi="Arial" w:cs="Arial"/>
          <w:lang w:val="en-US"/>
        </w:rPr>
        <w:t xml:space="preserve"> with which </w:t>
      </w:r>
      <w:r w:rsidR="0040408D">
        <w:rPr>
          <w:rFonts w:ascii="Arial" w:hAnsi="Arial" w:cs="Arial"/>
          <w:lang w:val="en-US"/>
        </w:rPr>
        <w:t>Nel</w:t>
      </w:r>
      <w:r w:rsidRPr="009325D3">
        <w:rPr>
          <w:rFonts w:ascii="Arial" w:hAnsi="Arial" w:cs="Arial"/>
          <w:lang w:val="en-US"/>
        </w:rPr>
        <w:t xml:space="preserve"> did not agree.</w:t>
      </w:r>
    </w:p>
    <w:p w14:paraId="16D6CA54" w14:textId="77777777" w:rsidR="00005B93" w:rsidRPr="00C36E6D" w:rsidRDefault="00005B93" w:rsidP="00005B93">
      <w:pPr>
        <w:pStyle w:val="ListParagraph"/>
        <w:rPr>
          <w:rFonts w:ascii="Arial" w:hAnsi="Arial" w:cs="Arial"/>
          <w:lang w:val="en-US"/>
        </w:rPr>
      </w:pPr>
    </w:p>
    <w:p w14:paraId="622B11C1" w14:textId="77777777" w:rsidR="00005B93" w:rsidRDefault="00005B93" w:rsidP="00005B9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Nel said DNQS’s appointment ended in September 2020.</w:t>
      </w:r>
    </w:p>
    <w:p w14:paraId="295500F7" w14:textId="77777777" w:rsidR="00005B93" w:rsidRPr="00005B93" w:rsidRDefault="00005B93" w:rsidP="00005B93">
      <w:pPr>
        <w:pStyle w:val="ListParagraph"/>
        <w:rPr>
          <w:rFonts w:ascii="Arial" w:hAnsi="Arial" w:cs="Arial"/>
          <w:lang w:val="en-US"/>
        </w:rPr>
      </w:pPr>
    </w:p>
    <w:p w14:paraId="27122FEF" w14:textId="77777777" w:rsidR="00983786" w:rsidRDefault="00B1425C" w:rsidP="00983786">
      <w:pPr>
        <w:pStyle w:val="ListParagraph"/>
        <w:numPr>
          <w:ilvl w:val="0"/>
          <w:numId w:val="2"/>
        </w:numPr>
        <w:spacing w:line="360" w:lineRule="auto"/>
        <w:ind w:left="0" w:firstLine="0"/>
        <w:jc w:val="both"/>
        <w:rPr>
          <w:rFonts w:ascii="Arial" w:hAnsi="Arial" w:cs="Arial"/>
          <w:lang w:val="en-US"/>
        </w:rPr>
      </w:pPr>
      <w:r w:rsidRPr="00005B93">
        <w:rPr>
          <w:rFonts w:ascii="Arial" w:hAnsi="Arial" w:cs="Arial"/>
          <w:lang w:val="en-US"/>
        </w:rPr>
        <w:t>Under cross-examination about the email</w:t>
      </w:r>
      <w:r w:rsidR="005964C7" w:rsidRPr="00005B93">
        <w:rPr>
          <w:rFonts w:ascii="Arial" w:hAnsi="Arial" w:cs="Arial"/>
          <w:lang w:val="en-US"/>
        </w:rPr>
        <w:t xml:space="preserve"> of 27 April 2020</w:t>
      </w:r>
      <w:r w:rsidRPr="00005B93">
        <w:rPr>
          <w:rFonts w:ascii="Arial" w:hAnsi="Arial" w:cs="Arial"/>
          <w:lang w:val="en-US"/>
        </w:rPr>
        <w:t xml:space="preserve">, </w:t>
      </w:r>
      <w:proofErr w:type="spellStart"/>
      <w:r w:rsidR="00D069A7" w:rsidRPr="00005B93">
        <w:rPr>
          <w:rFonts w:ascii="Arial" w:hAnsi="Arial" w:cs="Arial"/>
          <w:lang w:val="en-US"/>
        </w:rPr>
        <w:t>Kapuuo</w:t>
      </w:r>
      <w:proofErr w:type="spellEnd"/>
      <w:r w:rsidRPr="00005B93">
        <w:rPr>
          <w:rFonts w:ascii="Arial" w:hAnsi="Arial" w:cs="Arial"/>
          <w:lang w:val="en-US"/>
        </w:rPr>
        <w:t xml:space="preserve"> tried to open his emails on his cell phone to show that he did not receive that email. He dispute</w:t>
      </w:r>
      <w:r w:rsidR="005964C7" w:rsidRPr="00005B93">
        <w:rPr>
          <w:rFonts w:ascii="Arial" w:hAnsi="Arial" w:cs="Arial"/>
          <w:lang w:val="en-US"/>
        </w:rPr>
        <w:t>d</w:t>
      </w:r>
      <w:r w:rsidRPr="00005B93">
        <w:rPr>
          <w:rFonts w:ascii="Arial" w:hAnsi="Arial" w:cs="Arial"/>
          <w:lang w:val="en-US"/>
        </w:rPr>
        <w:t xml:space="preserve"> having received that email and the final account.</w:t>
      </w:r>
      <w:r w:rsidR="00983786">
        <w:rPr>
          <w:rFonts w:ascii="Arial" w:hAnsi="Arial" w:cs="Arial"/>
          <w:lang w:val="en-US"/>
        </w:rPr>
        <w:t xml:space="preserve"> </w:t>
      </w:r>
    </w:p>
    <w:p w14:paraId="7FC5A229" w14:textId="77777777" w:rsidR="00983786" w:rsidRPr="00983786" w:rsidRDefault="00983786" w:rsidP="00983786">
      <w:pPr>
        <w:pStyle w:val="ListParagraph"/>
        <w:rPr>
          <w:rFonts w:ascii="Arial" w:hAnsi="Arial" w:cs="Arial"/>
          <w:lang w:val="en-US"/>
        </w:rPr>
      </w:pPr>
    </w:p>
    <w:p w14:paraId="30E38C7C" w14:textId="086D69EE" w:rsidR="002D2868" w:rsidRPr="00983786" w:rsidRDefault="00983786" w:rsidP="00983786">
      <w:pPr>
        <w:pStyle w:val="ListParagraph"/>
        <w:numPr>
          <w:ilvl w:val="0"/>
          <w:numId w:val="2"/>
        </w:numPr>
        <w:spacing w:line="360" w:lineRule="auto"/>
        <w:ind w:left="0" w:firstLine="0"/>
        <w:jc w:val="both"/>
        <w:rPr>
          <w:rFonts w:ascii="Arial" w:hAnsi="Arial" w:cs="Arial"/>
          <w:lang w:val="en-US"/>
        </w:rPr>
      </w:pPr>
      <w:r w:rsidRPr="00983786">
        <w:rPr>
          <w:rFonts w:ascii="Arial" w:hAnsi="Arial" w:cs="Arial"/>
          <w:lang w:val="en-US"/>
        </w:rPr>
        <w:t>Still under cros</w:t>
      </w:r>
      <w:r>
        <w:rPr>
          <w:rFonts w:ascii="Arial" w:hAnsi="Arial" w:cs="Arial"/>
          <w:lang w:val="en-US"/>
        </w:rPr>
        <w:t xml:space="preserve">s-examination, </w:t>
      </w:r>
      <w:proofErr w:type="spellStart"/>
      <w:r w:rsidR="005964C7" w:rsidRPr="00983786">
        <w:rPr>
          <w:rFonts w:ascii="Arial" w:hAnsi="Arial" w:cs="Arial"/>
          <w:lang w:val="en-US"/>
        </w:rPr>
        <w:t>Kapuuo</w:t>
      </w:r>
      <w:proofErr w:type="spellEnd"/>
      <w:r w:rsidR="005964C7" w:rsidRPr="00983786">
        <w:rPr>
          <w:rFonts w:ascii="Arial" w:hAnsi="Arial" w:cs="Arial"/>
          <w:lang w:val="en-US"/>
        </w:rPr>
        <w:t xml:space="preserve"> was referred</w:t>
      </w:r>
      <w:r w:rsidR="00B1425C" w:rsidRPr="00983786">
        <w:rPr>
          <w:rFonts w:ascii="Arial" w:hAnsi="Arial" w:cs="Arial"/>
          <w:lang w:val="en-US"/>
        </w:rPr>
        <w:t xml:space="preserve"> to </w:t>
      </w:r>
      <w:r>
        <w:rPr>
          <w:rFonts w:ascii="Arial" w:hAnsi="Arial" w:cs="Arial"/>
          <w:lang w:val="en-US"/>
        </w:rPr>
        <w:t>a</w:t>
      </w:r>
      <w:r w:rsidR="00B1425C" w:rsidRPr="00983786">
        <w:rPr>
          <w:rFonts w:ascii="Arial" w:hAnsi="Arial" w:cs="Arial"/>
          <w:lang w:val="en-US"/>
        </w:rPr>
        <w:t xml:space="preserve"> letter dated 2 September 2020</w:t>
      </w:r>
      <w:r w:rsidR="005964C7" w:rsidRPr="00983786">
        <w:rPr>
          <w:rFonts w:ascii="Arial" w:hAnsi="Arial" w:cs="Arial"/>
          <w:lang w:val="en-US"/>
        </w:rPr>
        <w:t xml:space="preserve"> from the second defendant to the first defendant</w:t>
      </w:r>
      <w:r>
        <w:rPr>
          <w:rFonts w:ascii="Arial" w:hAnsi="Arial" w:cs="Arial"/>
          <w:lang w:val="en-US"/>
        </w:rPr>
        <w:t xml:space="preserve"> </w:t>
      </w:r>
      <w:r w:rsidR="002D2868" w:rsidRPr="00983786">
        <w:rPr>
          <w:rFonts w:ascii="Arial" w:hAnsi="Arial" w:cs="Arial"/>
          <w:lang w:val="en-US"/>
        </w:rPr>
        <w:t xml:space="preserve">in response to </w:t>
      </w:r>
      <w:r>
        <w:rPr>
          <w:rFonts w:ascii="Arial" w:hAnsi="Arial" w:cs="Arial"/>
          <w:lang w:val="en-US"/>
        </w:rPr>
        <w:t xml:space="preserve">a letter by the </w:t>
      </w:r>
      <w:r w:rsidR="002D2868" w:rsidRPr="00983786">
        <w:rPr>
          <w:rFonts w:ascii="Arial" w:hAnsi="Arial" w:cs="Arial"/>
          <w:lang w:val="en-US"/>
        </w:rPr>
        <w:t>first defendant</w:t>
      </w:r>
      <w:r>
        <w:rPr>
          <w:rFonts w:ascii="Arial" w:hAnsi="Arial" w:cs="Arial"/>
          <w:lang w:val="en-US"/>
        </w:rPr>
        <w:t xml:space="preserve"> </w:t>
      </w:r>
      <w:r w:rsidR="002D2868" w:rsidRPr="00983786">
        <w:rPr>
          <w:rFonts w:ascii="Arial" w:hAnsi="Arial" w:cs="Arial"/>
          <w:lang w:val="en-US"/>
        </w:rPr>
        <w:t>dated 28 August 2020 requesting the second defendant</w:t>
      </w:r>
      <w:r w:rsidR="00656915" w:rsidRPr="00983786">
        <w:rPr>
          <w:rFonts w:ascii="Arial" w:hAnsi="Arial" w:cs="Arial"/>
          <w:lang w:val="en-US"/>
        </w:rPr>
        <w:t>’s</w:t>
      </w:r>
      <w:r w:rsidR="002D2868" w:rsidRPr="00983786">
        <w:rPr>
          <w:rFonts w:ascii="Arial" w:hAnsi="Arial" w:cs="Arial"/>
          <w:lang w:val="en-US"/>
        </w:rPr>
        <w:t xml:space="preserve"> submission of the final account for the determination by the plaintiff. The letter of 2 September 2020 referred to the second defendant’s letters dated 18 May 2020 and 11 August 2020</w:t>
      </w:r>
      <w:r w:rsidR="00183422" w:rsidRPr="00983786">
        <w:rPr>
          <w:rFonts w:ascii="Arial" w:hAnsi="Arial" w:cs="Arial"/>
          <w:lang w:val="en-US"/>
        </w:rPr>
        <w:t>,</w:t>
      </w:r>
      <w:r w:rsidR="002D2868" w:rsidRPr="00983786">
        <w:rPr>
          <w:rFonts w:ascii="Arial" w:hAnsi="Arial" w:cs="Arial"/>
          <w:lang w:val="en-US"/>
        </w:rPr>
        <w:t xml:space="preserve"> wherein the calculation</w:t>
      </w:r>
      <w:r>
        <w:rPr>
          <w:rFonts w:ascii="Arial" w:hAnsi="Arial" w:cs="Arial"/>
          <w:lang w:val="en-US"/>
        </w:rPr>
        <w:t>s</w:t>
      </w:r>
      <w:r w:rsidR="002D2868" w:rsidRPr="00983786">
        <w:rPr>
          <w:rFonts w:ascii="Arial" w:hAnsi="Arial" w:cs="Arial"/>
          <w:lang w:val="en-US"/>
        </w:rPr>
        <w:t xml:space="preserve"> for both determinations (by the plaintiff and the first defendant) w</w:t>
      </w:r>
      <w:r>
        <w:rPr>
          <w:rFonts w:ascii="Arial" w:hAnsi="Arial" w:cs="Arial"/>
          <w:lang w:val="en-US"/>
        </w:rPr>
        <w:t>ere</w:t>
      </w:r>
      <w:r w:rsidR="002D2868" w:rsidRPr="00983786">
        <w:rPr>
          <w:rFonts w:ascii="Arial" w:hAnsi="Arial" w:cs="Arial"/>
          <w:lang w:val="en-US"/>
        </w:rPr>
        <w:t xml:space="preserve"> included. </w:t>
      </w:r>
      <w:proofErr w:type="spellStart"/>
      <w:r w:rsidR="00D069A7" w:rsidRPr="00983786">
        <w:rPr>
          <w:rFonts w:ascii="Arial" w:hAnsi="Arial" w:cs="Arial"/>
          <w:lang w:val="en-US"/>
        </w:rPr>
        <w:t>Kapuuo</w:t>
      </w:r>
      <w:proofErr w:type="spellEnd"/>
      <w:r w:rsidR="00B1425C" w:rsidRPr="00983786">
        <w:rPr>
          <w:rFonts w:ascii="Arial" w:hAnsi="Arial" w:cs="Arial"/>
          <w:lang w:val="en-US"/>
        </w:rPr>
        <w:t xml:space="preserve"> sa</w:t>
      </w:r>
      <w:r w:rsidR="005964C7" w:rsidRPr="00983786">
        <w:rPr>
          <w:rFonts w:ascii="Arial" w:hAnsi="Arial" w:cs="Arial"/>
          <w:lang w:val="en-US"/>
        </w:rPr>
        <w:t>id</w:t>
      </w:r>
      <w:r w:rsidR="00B1425C" w:rsidRPr="00983786">
        <w:rPr>
          <w:rFonts w:ascii="Arial" w:hAnsi="Arial" w:cs="Arial"/>
          <w:lang w:val="en-US"/>
        </w:rPr>
        <w:t xml:space="preserve"> </w:t>
      </w:r>
      <w:r w:rsidR="002D2868" w:rsidRPr="00983786">
        <w:rPr>
          <w:rFonts w:ascii="Arial" w:hAnsi="Arial" w:cs="Arial"/>
          <w:lang w:val="en-US"/>
        </w:rPr>
        <w:t>the letter dated 2 September 2020</w:t>
      </w:r>
      <w:r w:rsidR="00B1425C" w:rsidRPr="00983786">
        <w:rPr>
          <w:rFonts w:ascii="Arial" w:hAnsi="Arial" w:cs="Arial"/>
          <w:lang w:val="en-US"/>
        </w:rPr>
        <w:t xml:space="preserve"> was never sent to him.</w:t>
      </w:r>
      <w:r w:rsidR="002D2868" w:rsidRPr="00983786">
        <w:rPr>
          <w:rFonts w:ascii="Arial" w:hAnsi="Arial" w:cs="Arial"/>
          <w:lang w:val="en-US"/>
        </w:rPr>
        <w:t xml:space="preserve"> </w:t>
      </w:r>
      <w:r>
        <w:rPr>
          <w:rFonts w:ascii="Arial" w:hAnsi="Arial" w:cs="Arial"/>
          <w:lang w:val="en-US"/>
        </w:rPr>
        <w:t>I</w:t>
      </w:r>
      <w:r w:rsidR="00B1425C" w:rsidRPr="00983786">
        <w:rPr>
          <w:rFonts w:ascii="Arial" w:hAnsi="Arial" w:cs="Arial"/>
          <w:lang w:val="en-US"/>
        </w:rPr>
        <w:t xml:space="preserve">t was put to </w:t>
      </w:r>
      <w:proofErr w:type="spellStart"/>
      <w:r w:rsidR="00D069A7" w:rsidRPr="00983786">
        <w:rPr>
          <w:rFonts w:ascii="Arial" w:hAnsi="Arial" w:cs="Arial"/>
          <w:lang w:val="en-US"/>
        </w:rPr>
        <w:t>Kapuuo</w:t>
      </w:r>
      <w:proofErr w:type="spellEnd"/>
      <w:r w:rsidR="002D2868" w:rsidRPr="00983786">
        <w:rPr>
          <w:rFonts w:ascii="Arial" w:hAnsi="Arial" w:cs="Arial"/>
          <w:lang w:val="en-US"/>
        </w:rPr>
        <w:t xml:space="preserve"> </w:t>
      </w:r>
      <w:r w:rsidR="00183422" w:rsidRPr="00983786">
        <w:rPr>
          <w:rFonts w:ascii="Arial" w:hAnsi="Arial" w:cs="Arial"/>
          <w:lang w:val="en-US"/>
        </w:rPr>
        <w:t xml:space="preserve">that </w:t>
      </w:r>
      <w:r w:rsidR="00B1425C" w:rsidRPr="00983786">
        <w:rPr>
          <w:rFonts w:ascii="Arial" w:hAnsi="Arial" w:cs="Arial"/>
          <w:lang w:val="en-US"/>
        </w:rPr>
        <w:t>it is the first defendant’s case that a quantification was done after the 26 November 2019 site meeting</w:t>
      </w:r>
      <w:r w:rsidR="002D2868" w:rsidRPr="00983786">
        <w:rPr>
          <w:rFonts w:ascii="Arial" w:hAnsi="Arial" w:cs="Arial"/>
          <w:lang w:val="en-US"/>
        </w:rPr>
        <w:t>,</w:t>
      </w:r>
      <w:r w:rsidR="00B1425C" w:rsidRPr="00983786">
        <w:rPr>
          <w:rFonts w:ascii="Arial" w:hAnsi="Arial" w:cs="Arial"/>
          <w:lang w:val="en-US"/>
        </w:rPr>
        <w:t xml:space="preserve"> which translated to the final account by the quantity surveyor. </w:t>
      </w:r>
      <w:proofErr w:type="spellStart"/>
      <w:r w:rsidR="00D069A7" w:rsidRPr="00983786">
        <w:rPr>
          <w:rFonts w:ascii="Arial" w:hAnsi="Arial" w:cs="Arial"/>
          <w:lang w:val="en-US"/>
        </w:rPr>
        <w:t>Kapuuo</w:t>
      </w:r>
      <w:proofErr w:type="spellEnd"/>
      <w:r w:rsidR="00B1425C" w:rsidRPr="00983786">
        <w:rPr>
          <w:rFonts w:ascii="Arial" w:hAnsi="Arial" w:cs="Arial"/>
          <w:lang w:val="en-US"/>
        </w:rPr>
        <w:t xml:space="preserve"> noticed a discrepancy between the work valued in the final account and that paid </w:t>
      </w:r>
      <w:r w:rsidR="002D2868" w:rsidRPr="00983786">
        <w:rPr>
          <w:rFonts w:ascii="Arial" w:hAnsi="Arial" w:cs="Arial"/>
          <w:lang w:val="en-US"/>
        </w:rPr>
        <w:t xml:space="preserve">to the plaintiff </w:t>
      </w:r>
      <w:r w:rsidR="00B1425C" w:rsidRPr="00983786">
        <w:rPr>
          <w:rFonts w:ascii="Arial" w:hAnsi="Arial" w:cs="Arial"/>
          <w:lang w:val="en-US"/>
        </w:rPr>
        <w:t xml:space="preserve">to date. </w:t>
      </w:r>
      <w:proofErr w:type="spellStart"/>
      <w:r w:rsidR="002D2868" w:rsidRPr="00983786">
        <w:rPr>
          <w:rFonts w:ascii="Arial" w:hAnsi="Arial" w:cs="Arial"/>
          <w:lang w:val="en-US"/>
        </w:rPr>
        <w:t>Kapuuo</w:t>
      </w:r>
      <w:proofErr w:type="spellEnd"/>
      <w:r w:rsidR="00B1425C" w:rsidRPr="00983786">
        <w:rPr>
          <w:rFonts w:ascii="Arial" w:hAnsi="Arial" w:cs="Arial"/>
          <w:lang w:val="en-US"/>
        </w:rPr>
        <w:t xml:space="preserve"> indicated that the plaintiff was paid more than the work valued in the final account.</w:t>
      </w:r>
      <w:r w:rsidR="0036043E" w:rsidRPr="00983786">
        <w:rPr>
          <w:rFonts w:ascii="Arial" w:hAnsi="Arial" w:cs="Arial"/>
          <w:lang w:val="en-US"/>
        </w:rPr>
        <w:t xml:space="preserve"> </w:t>
      </w:r>
      <w:proofErr w:type="spellStart"/>
      <w:r w:rsidR="00106393" w:rsidRPr="00983786">
        <w:rPr>
          <w:rFonts w:ascii="Arial" w:hAnsi="Arial" w:cs="Arial"/>
          <w:lang w:val="en-US"/>
        </w:rPr>
        <w:t>Kapuuo</w:t>
      </w:r>
      <w:proofErr w:type="spellEnd"/>
      <w:r w:rsidR="00106393" w:rsidRPr="00983786">
        <w:rPr>
          <w:rFonts w:ascii="Arial" w:hAnsi="Arial" w:cs="Arial"/>
          <w:lang w:val="en-US"/>
        </w:rPr>
        <w:t xml:space="preserve"> said Nel was not at the site at any point in time, and he is surprised that he prepared the final account.</w:t>
      </w:r>
    </w:p>
    <w:p w14:paraId="24913F59" w14:textId="77777777" w:rsidR="002D2868" w:rsidRPr="008F4814" w:rsidRDefault="002D2868" w:rsidP="002D2868">
      <w:pPr>
        <w:pStyle w:val="ListParagraph"/>
        <w:rPr>
          <w:rFonts w:ascii="Arial" w:hAnsi="Arial" w:cs="Arial"/>
          <w:lang w:val="en-US"/>
        </w:rPr>
      </w:pPr>
    </w:p>
    <w:p w14:paraId="1F915FE3" w14:textId="73380C0D" w:rsidR="00213135" w:rsidRDefault="00D069A7" w:rsidP="007E38F6">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sidR="00213135">
        <w:rPr>
          <w:rFonts w:ascii="Arial" w:hAnsi="Arial" w:cs="Arial"/>
          <w:lang w:val="en-US"/>
        </w:rPr>
        <w:t xml:space="preserve"> sa</w:t>
      </w:r>
      <w:r w:rsidR="002D2868">
        <w:rPr>
          <w:rFonts w:ascii="Arial" w:hAnsi="Arial" w:cs="Arial"/>
          <w:lang w:val="en-US"/>
        </w:rPr>
        <w:t>id</w:t>
      </w:r>
      <w:r w:rsidR="00213135">
        <w:rPr>
          <w:rFonts w:ascii="Arial" w:hAnsi="Arial" w:cs="Arial"/>
          <w:lang w:val="en-US"/>
        </w:rPr>
        <w:t xml:space="preserve"> he was not involved in the preparation of any final </w:t>
      </w:r>
      <w:proofErr w:type="gramStart"/>
      <w:r w:rsidR="00213135">
        <w:rPr>
          <w:rFonts w:ascii="Arial" w:hAnsi="Arial" w:cs="Arial"/>
          <w:lang w:val="en-US"/>
        </w:rPr>
        <w:t>account</w:t>
      </w:r>
      <w:proofErr w:type="gramEnd"/>
      <w:r w:rsidR="002D2868">
        <w:rPr>
          <w:rFonts w:ascii="Arial" w:hAnsi="Arial" w:cs="Arial"/>
          <w:lang w:val="en-US"/>
        </w:rPr>
        <w:t xml:space="preserve"> and it was done without the plaintiff’s input</w:t>
      </w:r>
      <w:r w:rsidR="00213135">
        <w:rPr>
          <w:rFonts w:ascii="Arial" w:hAnsi="Arial" w:cs="Arial"/>
          <w:lang w:val="en-US"/>
        </w:rPr>
        <w:t>. He sa</w:t>
      </w:r>
      <w:r w:rsidR="002D2868">
        <w:rPr>
          <w:rFonts w:ascii="Arial" w:hAnsi="Arial" w:cs="Arial"/>
          <w:lang w:val="en-US"/>
        </w:rPr>
        <w:t>id</w:t>
      </w:r>
      <w:r w:rsidR="00213135">
        <w:rPr>
          <w:rFonts w:ascii="Arial" w:hAnsi="Arial" w:cs="Arial"/>
          <w:lang w:val="en-US"/>
        </w:rPr>
        <w:t xml:space="preserve"> it was </w:t>
      </w:r>
      <w:r w:rsidR="002D2868">
        <w:rPr>
          <w:rFonts w:ascii="Arial" w:hAnsi="Arial" w:cs="Arial"/>
          <w:lang w:val="en-US"/>
        </w:rPr>
        <w:t xml:space="preserve">supposed </w:t>
      </w:r>
      <w:r w:rsidR="00213135">
        <w:rPr>
          <w:rFonts w:ascii="Arial" w:hAnsi="Arial" w:cs="Arial"/>
          <w:lang w:val="en-US"/>
        </w:rPr>
        <w:t xml:space="preserve">to be prepared in the same process as the payment certificates were prepared set out </w:t>
      </w:r>
      <w:r w:rsidR="00213135">
        <w:rPr>
          <w:rFonts w:ascii="Arial" w:hAnsi="Arial" w:cs="Arial"/>
          <w:lang w:val="en-US"/>
        </w:rPr>
        <w:lastRenderedPageBreak/>
        <w:t>above which process never took place in respect of the final account. If any final account was prepared, it was done without the plaintiff’s input or consideration, so he sa</w:t>
      </w:r>
      <w:r w:rsidR="002D2868">
        <w:rPr>
          <w:rFonts w:ascii="Arial" w:hAnsi="Arial" w:cs="Arial"/>
          <w:lang w:val="en-US"/>
        </w:rPr>
        <w:t>id</w:t>
      </w:r>
      <w:r w:rsidR="00213135">
        <w:rPr>
          <w:rFonts w:ascii="Arial" w:hAnsi="Arial" w:cs="Arial"/>
          <w:lang w:val="en-US"/>
        </w:rPr>
        <w:t xml:space="preserve">. The plaintiff seeks </w:t>
      </w:r>
      <w:r w:rsidR="002D2868">
        <w:rPr>
          <w:rFonts w:ascii="Arial" w:hAnsi="Arial" w:cs="Arial"/>
          <w:lang w:val="en-US"/>
        </w:rPr>
        <w:t>a</w:t>
      </w:r>
      <w:r w:rsidR="00213135">
        <w:rPr>
          <w:rFonts w:ascii="Arial" w:hAnsi="Arial" w:cs="Arial"/>
          <w:lang w:val="en-US"/>
        </w:rPr>
        <w:t xml:space="preserve"> quantification of the final account to be drawn up under the contract and established practice to resolve the dispute at hand. </w:t>
      </w:r>
    </w:p>
    <w:p w14:paraId="5E625E74" w14:textId="77777777" w:rsidR="008F4814" w:rsidRPr="008F4814" w:rsidRDefault="008F4814" w:rsidP="008F4814">
      <w:pPr>
        <w:pStyle w:val="ListParagraph"/>
        <w:rPr>
          <w:rFonts w:ascii="Arial" w:hAnsi="Arial" w:cs="Arial"/>
          <w:lang w:val="en-US"/>
        </w:rPr>
      </w:pPr>
    </w:p>
    <w:p w14:paraId="2F189D96" w14:textId="33C9BF78" w:rsidR="008F4814" w:rsidRDefault="008F4814" w:rsidP="007E38F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When Nel was asked under cross-examination whether </w:t>
      </w:r>
      <w:proofErr w:type="spellStart"/>
      <w:r w:rsidR="00D069A7">
        <w:rPr>
          <w:rFonts w:ascii="Arial" w:hAnsi="Arial" w:cs="Arial"/>
          <w:lang w:val="en-US"/>
        </w:rPr>
        <w:t>Kapuuo</w:t>
      </w:r>
      <w:proofErr w:type="spellEnd"/>
      <w:r>
        <w:rPr>
          <w:rFonts w:ascii="Arial" w:hAnsi="Arial" w:cs="Arial"/>
          <w:lang w:val="en-US"/>
        </w:rPr>
        <w:t xml:space="preserve"> participated in the preparation of the final account, he said no. When asked if </w:t>
      </w:r>
      <w:proofErr w:type="spellStart"/>
      <w:r w:rsidR="00D069A7">
        <w:rPr>
          <w:rFonts w:ascii="Arial" w:hAnsi="Arial" w:cs="Arial"/>
          <w:lang w:val="en-US"/>
        </w:rPr>
        <w:t>Kapuuo</w:t>
      </w:r>
      <w:proofErr w:type="spellEnd"/>
      <w:r>
        <w:rPr>
          <w:rFonts w:ascii="Arial" w:hAnsi="Arial" w:cs="Arial"/>
          <w:lang w:val="en-US"/>
        </w:rPr>
        <w:t xml:space="preserve"> participated in the measurements, he sa</w:t>
      </w:r>
      <w:r w:rsidR="002D2868">
        <w:rPr>
          <w:rFonts w:ascii="Arial" w:hAnsi="Arial" w:cs="Arial"/>
          <w:lang w:val="en-US"/>
        </w:rPr>
        <w:t>id</w:t>
      </w:r>
      <w:r>
        <w:rPr>
          <w:rFonts w:ascii="Arial" w:hAnsi="Arial" w:cs="Arial"/>
          <w:lang w:val="en-US"/>
        </w:rPr>
        <w:t xml:space="preserve"> the measurements for the final account were not done on 26 November 2019</w:t>
      </w:r>
      <w:r w:rsidR="00E826B3">
        <w:rPr>
          <w:rFonts w:ascii="Arial" w:hAnsi="Arial" w:cs="Arial"/>
          <w:lang w:val="en-US"/>
        </w:rPr>
        <w:t xml:space="preserve"> and the plaintiff was not present when the measurements were taken</w:t>
      </w:r>
      <w:r>
        <w:rPr>
          <w:rFonts w:ascii="Arial" w:hAnsi="Arial" w:cs="Arial"/>
          <w:lang w:val="en-US"/>
        </w:rPr>
        <w:t>. Nel, however, sa</w:t>
      </w:r>
      <w:r w:rsidR="002D2868">
        <w:rPr>
          <w:rFonts w:ascii="Arial" w:hAnsi="Arial" w:cs="Arial"/>
          <w:lang w:val="en-US"/>
        </w:rPr>
        <w:t>id</w:t>
      </w:r>
      <w:r>
        <w:rPr>
          <w:rFonts w:ascii="Arial" w:hAnsi="Arial" w:cs="Arial"/>
          <w:lang w:val="en-US"/>
        </w:rPr>
        <w:t xml:space="preserve"> the fact that the first defendant was absent on 26 November 2019, did not prevent the quantity surveyor </w:t>
      </w:r>
      <w:r w:rsidR="002D2868">
        <w:rPr>
          <w:rFonts w:ascii="Arial" w:hAnsi="Arial" w:cs="Arial"/>
          <w:lang w:val="en-US"/>
        </w:rPr>
        <w:t>from attending</w:t>
      </w:r>
      <w:r w:rsidR="0044221B">
        <w:rPr>
          <w:rFonts w:ascii="Arial" w:hAnsi="Arial" w:cs="Arial"/>
          <w:lang w:val="en-US"/>
        </w:rPr>
        <w:t xml:space="preserve"> to it</w:t>
      </w:r>
      <w:r w:rsidR="002D2868">
        <w:rPr>
          <w:rFonts w:ascii="Arial" w:hAnsi="Arial" w:cs="Arial"/>
          <w:lang w:val="en-US"/>
        </w:rPr>
        <w:t>,</w:t>
      </w:r>
      <w:r w:rsidR="0044221B">
        <w:rPr>
          <w:rFonts w:ascii="Arial" w:hAnsi="Arial" w:cs="Arial"/>
          <w:lang w:val="en-US"/>
        </w:rPr>
        <w:t xml:space="preserve"> and while the site </w:t>
      </w:r>
      <w:r w:rsidR="002D2868">
        <w:rPr>
          <w:rFonts w:ascii="Arial" w:hAnsi="Arial" w:cs="Arial"/>
          <w:lang w:val="en-US"/>
        </w:rPr>
        <w:t>wa</w:t>
      </w:r>
      <w:r w:rsidR="0044221B">
        <w:rPr>
          <w:rFonts w:ascii="Arial" w:hAnsi="Arial" w:cs="Arial"/>
          <w:lang w:val="en-US"/>
        </w:rPr>
        <w:t>s open</w:t>
      </w:r>
      <w:r w:rsidR="002D2868">
        <w:rPr>
          <w:rFonts w:ascii="Arial" w:hAnsi="Arial" w:cs="Arial"/>
          <w:lang w:val="en-US"/>
        </w:rPr>
        <w:t>,</w:t>
      </w:r>
      <w:r w:rsidR="0044221B">
        <w:rPr>
          <w:rFonts w:ascii="Arial" w:hAnsi="Arial" w:cs="Arial"/>
          <w:lang w:val="en-US"/>
        </w:rPr>
        <w:t xml:space="preserve"> the quantity surveyor c</w:t>
      </w:r>
      <w:r w:rsidR="002D2868">
        <w:rPr>
          <w:rFonts w:ascii="Arial" w:hAnsi="Arial" w:cs="Arial"/>
          <w:lang w:val="en-US"/>
        </w:rPr>
        <w:t>ould</w:t>
      </w:r>
      <w:r w:rsidR="0044221B">
        <w:rPr>
          <w:rFonts w:ascii="Arial" w:hAnsi="Arial" w:cs="Arial"/>
          <w:lang w:val="en-US"/>
        </w:rPr>
        <w:t xml:space="preserve"> arrange its own site meetings to verify the information on site and the final account c</w:t>
      </w:r>
      <w:r w:rsidR="002D2868">
        <w:rPr>
          <w:rFonts w:ascii="Arial" w:hAnsi="Arial" w:cs="Arial"/>
          <w:lang w:val="en-US"/>
        </w:rPr>
        <w:t>ould</w:t>
      </w:r>
      <w:r w:rsidR="0044221B">
        <w:rPr>
          <w:rFonts w:ascii="Arial" w:hAnsi="Arial" w:cs="Arial"/>
          <w:lang w:val="en-US"/>
        </w:rPr>
        <w:t xml:space="preserve"> always be presented and discrepancies c</w:t>
      </w:r>
      <w:r w:rsidR="002D2868">
        <w:rPr>
          <w:rFonts w:ascii="Arial" w:hAnsi="Arial" w:cs="Arial"/>
          <w:lang w:val="en-US"/>
        </w:rPr>
        <w:t>ould</w:t>
      </w:r>
      <w:r w:rsidR="0044221B">
        <w:rPr>
          <w:rFonts w:ascii="Arial" w:hAnsi="Arial" w:cs="Arial"/>
          <w:lang w:val="en-US"/>
        </w:rPr>
        <w:t xml:space="preserve"> be pointed out and if necessary, the site c</w:t>
      </w:r>
      <w:r w:rsidR="002D2868">
        <w:rPr>
          <w:rFonts w:ascii="Arial" w:hAnsi="Arial" w:cs="Arial"/>
          <w:lang w:val="en-US"/>
        </w:rPr>
        <w:t>ould</w:t>
      </w:r>
      <w:r w:rsidR="0044221B">
        <w:rPr>
          <w:rFonts w:ascii="Arial" w:hAnsi="Arial" w:cs="Arial"/>
          <w:lang w:val="en-US"/>
        </w:rPr>
        <w:t xml:space="preserve"> be revisited.</w:t>
      </w:r>
    </w:p>
    <w:p w14:paraId="0F597F38" w14:textId="77777777" w:rsidR="0044221B" w:rsidRPr="0044221B" w:rsidRDefault="0044221B" w:rsidP="0044221B">
      <w:pPr>
        <w:pStyle w:val="ListParagraph"/>
        <w:rPr>
          <w:rFonts w:ascii="Arial" w:hAnsi="Arial" w:cs="Arial"/>
          <w:lang w:val="en-US"/>
        </w:rPr>
      </w:pPr>
    </w:p>
    <w:p w14:paraId="20742A9B" w14:textId="22EC0EF8" w:rsidR="009325D3" w:rsidRDefault="0044221B" w:rsidP="007E38F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When asked about the purpose of the final account, Nel sa</w:t>
      </w:r>
      <w:r w:rsidR="002D2868">
        <w:rPr>
          <w:rFonts w:ascii="Arial" w:hAnsi="Arial" w:cs="Arial"/>
          <w:lang w:val="en-US"/>
        </w:rPr>
        <w:t>id</w:t>
      </w:r>
      <w:r>
        <w:rPr>
          <w:rFonts w:ascii="Arial" w:hAnsi="Arial" w:cs="Arial"/>
          <w:lang w:val="en-US"/>
        </w:rPr>
        <w:t xml:space="preserve"> it was to determine the final value of the contract, </w:t>
      </w:r>
      <w:r w:rsidR="002D2868">
        <w:rPr>
          <w:rFonts w:ascii="Arial" w:hAnsi="Arial" w:cs="Arial"/>
          <w:lang w:val="en-US"/>
        </w:rPr>
        <w:t xml:space="preserve">and </w:t>
      </w:r>
      <w:r>
        <w:rPr>
          <w:rFonts w:ascii="Arial" w:hAnsi="Arial" w:cs="Arial"/>
          <w:lang w:val="en-US"/>
        </w:rPr>
        <w:t>the items must be remeasured to be final. He sa</w:t>
      </w:r>
      <w:r w:rsidR="002D2868">
        <w:rPr>
          <w:rFonts w:ascii="Arial" w:hAnsi="Arial" w:cs="Arial"/>
          <w:lang w:val="en-US"/>
        </w:rPr>
        <w:t>id</w:t>
      </w:r>
      <w:r>
        <w:rPr>
          <w:rFonts w:ascii="Arial" w:hAnsi="Arial" w:cs="Arial"/>
          <w:lang w:val="en-US"/>
        </w:rPr>
        <w:t xml:space="preserve"> he had someone else manage the project. He also sa</w:t>
      </w:r>
      <w:r w:rsidR="002D2868">
        <w:rPr>
          <w:rFonts w:ascii="Arial" w:hAnsi="Arial" w:cs="Arial"/>
          <w:lang w:val="en-US"/>
        </w:rPr>
        <w:t>id</w:t>
      </w:r>
      <w:r>
        <w:rPr>
          <w:rFonts w:ascii="Arial" w:hAnsi="Arial" w:cs="Arial"/>
          <w:lang w:val="en-US"/>
        </w:rPr>
        <w:t xml:space="preserve"> </w:t>
      </w:r>
      <w:r w:rsidR="00183422">
        <w:rPr>
          <w:rFonts w:ascii="Arial" w:hAnsi="Arial" w:cs="Arial"/>
          <w:lang w:val="en-US"/>
        </w:rPr>
        <w:t>that for preparing the valuation reports, something was received from the contractor for most claims</w:t>
      </w:r>
      <w:r>
        <w:rPr>
          <w:rFonts w:ascii="Arial" w:hAnsi="Arial" w:cs="Arial"/>
          <w:lang w:val="en-US"/>
        </w:rPr>
        <w:t xml:space="preserve">. </w:t>
      </w:r>
    </w:p>
    <w:p w14:paraId="23933BDA" w14:textId="77777777" w:rsidR="009325D3" w:rsidRPr="009325D3" w:rsidRDefault="009325D3" w:rsidP="009325D3">
      <w:pPr>
        <w:pStyle w:val="ListParagraph"/>
        <w:rPr>
          <w:rFonts w:ascii="Arial" w:hAnsi="Arial" w:cs="Arial"/>
          <w:lang w:val="en-US"/>
        </w:rPr>
      </w:pPr>
    </w:p>
    <w:p w14:paraId="220558CC" w14:textId="0977092E" w:rsidR="0052518B" w:rsidRPr="0043572B" w:rsidRDefault="00183422" w:rsidP="0043572B">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On 8 October 2020, the plaintiff’s former legal representatives</w:t>
      </w:r>
      <w:r w:rsidR="0052518B" w:rsidRPr="0043572B">
        <w:rPr>
          <w:rFonts w:ascii="Arial" w:hAnsi="Arial" w:cs="Arial"/>
          <w:lang w:val="en-US"/>
        </w:rPr>
        <w:t xml:space="preserve"> wrote to the second defendant under clause 26 of the contract to resolve the dispute between the plaintiff and the first defendant. The second defendant responded that it was no longer obligated to act under the contract. </w:t>
      </w:r>
    </w:p>
    <w:p w14:paraId="45AAF91E" w14:textId="77777777" w:rsidR="00643E5F" w:rsidRPr="00643E5F" w:rsidRDefault="00643E5F" w:rsidP="00643E5F">
      <w:pPr>
        <w:pStyle w:val="ListParagraph"/>
        <w:rPr>
          <w:rFonts w:ascii="Arial" w:hAnsi="Arial" w:cs="Arial"/>
          <w:lang w:val="en-US"/>
        </w:rPr>
      </w:pPr>
    </w:p>
    <w:p w14:paraId="547A0E8B" w14:textId="6F03A3B2" w:rsidR="00005B93" w:rsidRDefault="00005B93" w:rsidP="007E38F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On 18 March 2022 and under clause 26 of the contract, the plaintiff’s legal representatives prepared a statement of claim and submitted it to the defendants. The defendants did not respond.</w:t>
      </w:r>
    </w:p>
    <w:p w14:paraId="698CD69E" w14:textId="77777777" w:rsidR="00005B93" w:rsidRPr="00005B93" w:rsidRDefault="00005B93" w:rsidP="00005B93">
      <w:pPr>
        <w:pStyle w:val="ListParagraph"/>
        <w:rPr>
          <w:rFonts w:ascii="Arial" w:hAnsi="Arial" w:cs="Arial"/>
          <w:lang w:val="en-US"/>
        </w:rPr>
      </w:pPr>
    </w:p>
    <w:p w14:paraId="33E7F766" w14:textId="349ADFBF" w:rsidR="00005B93" w:rsidRPr="00005B93" w:rsidRDefault="00643E5F" w:rsidP="00005B9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Nel, however, sa</w:t>
      </w:r>
      <w:r w:rsidR="00005B93">
        <w:rPr>
          <w:rFonts w:ascii="Arial" w:hAnsi="Arial" w:cs="Arial"/>
          <w:lang w:val="en-US"/>
        </w:rPr>
        <w:t>id</w:t>
      </w:r>
      <w:r>
        <w:rPr>
          <w:rFonts w:ascii="Arial" w:hAnsi="Arial" w:cs="Arial"/>
          <w:lang w:val="en-US"/>
        </w:rPr>
        <w:t xml:space="preserve"> the plaintiff failed to exhaust the dispute resolution mechanisms provided for in clause 26 of the contract. In the same v</w:t>
      </w:r>
      <w:r w:rsidR="00005B93">
        <w:rPr>
          <w:rFonts w:ascii="Arial" w:hAnsi="Arial" w:cs="Arial"/>
          <w:lang w:val="en-US"/>
        </w:rPr>
        <w:t>e</w:t>
      </w:r>
      <w:r>
        <w:rPr>
          <w:rFonts w:ascii="Arial" w:hAnsi="Arial" w:cs="Arial"/>
          <w:lang w:val="en-US"/>
        </w:rPr>
        <w:t>in, he sa</w:t>
      </w:r>
      <w:r w:rsidR="00005B93">
        <w:rPr>
          <w:rFonts w:ascii="Arial" w:hAnsi="Arial" w:cs="Arial"/>
          <w:lang w:val="en-US"/>
        </w:rPr>
        <w:t>id</w:t>
      </w:r>
      <w:r>
        <w:rPr>
          <w:rFonts w:ascii="Arial" w:hAnsi="Arial" w:cs="Arial"/>
          <w:lang w:val="en-US"/>
        </w:rPr>
        <w:t xml:space="preserve"> the second defendant ceased to be the principal agent by October 2020 when the plaintiff’s legal practitioner requested a written decision within three days and </w:t>
      </w:r>
      <w:r>
        <w:rPr>
          <w:rFonts w:ascii="Arial" w:hAnsi="Arial" w:cs="Arial"/>
          <w:lang w:val="en-US"/>
        </w:rPr>
        <w:lastRenderedPageBreak/>
        <w:t>submitted its statement of claim in March 2022. He sa</w:t>
      </w:r>
      <w:r w:rsidR="00005B93">
        <w:rPr>
          <w:rFonts w:ascii="Arial" w:hAnsi="Arial" w:cs="Arial"/>
          <w:lang w:val="en-US"/>
        </w:rPr>
        <w:t>id</w:t>
      </w:r>
      <w:r>
        <w:rPr>
          <w:rFonts w:ascii="Arial" w:hAnsi="Arial" w:cs="Arial"/>
          <w:lang w:val="en-US"/>
        </w:rPr>
        <w:t xml:space="preserve"> clause 26.2 provides that, in such an instance, the dispute is to be referred for adjudication by an adjudicator and thereafter arbitration under clause 26.4, if need be.</w:t>
      </w:r>
    </w:p>
    <w:p w14:paraId="650AD37A" w14:textId="77777777" w:rsidR="00005B93" w:rsidRPr="0052518B" w:rsidRDefault="00005B93" w:rsidP="00005B93">
      <w:pPr>
        <w:pStyle w:val="ListParagraph"/>
        <w:rPr>
          <w:rFonts w:ascii="Arial" w:hAnsi="Arial" w:cs="Arial"/>
          <w:lang w:val="en-US"/>
        </w:rPr>
      </w:pPr>
    </w:p>
    <w:p w14:paraId="7F9730C4" w14:textId="6B5FDDD6" w:rsidR="00005B93" w:rsidRDefault="00005B93" w:rsidP="00005B9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In a final notice issued on 22 July 2022, the defendants were informed that the plaintiff would institute legal proceedings.</w:t>
      </w:r>
    </w:p>
    <w:p w14:paraId="3AD6035E" w14:textId="77777777" w:rsidR="00A15EAE" w:rsidRPr="00A15EAE" w:rsidRDefault="00A15EAE" w:rsidP="00A15EAE">
      <w:pPr>
        <w:pStyle w:val="ListParagraph"/>
        <w:rPr>
          <w:rFonts w:ascii="Arial" w:hAnsi="Arial" w:cs="Arial"/>
          <w:lang w:val="en-US"/>
        </w:rPr>
      </w:pPr>
    </w:p>
    <w:p w14:paraId="5EB758C9" w14:textId="2215AA2B" w:rsidR="00A15EAE" w:rsidRDefault="00A15EAE" w:rsidP="007E38F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Under cross-examination, </w:t>
      </w:r>
      <w:proofErr w:type="spellStart"/>
      <w:r w:rsidR="00D069A7">
        <w:rPr>
          <w:rFonts w:ascii="Arial" w:hAnsi="Arial" w:cs="Arial"/>
          <w:lang w:val="en-US"/>
        </w:rPr>
        <w:t>Kapuuo</w:t>
      </w:r>
      <w:proofErr w:type="spellEnd"/>
      <w:r>
        <w:rPr>
          <w:rFonts w:ascii="Arial" w:hAnsi="Arial" w:cs="Arial"/>
          <w:lang w:val="en-US"/>
        </w:rPr>
        <w:t xml:space="preserve"> sa</w:t>
      </w:r>
      <w:r w:rsidR="0043572B">
        <w:rPr>
          <w:rFonts w:ascii="Arial" w:hAnsi="Arial" w:cs="Arial"/>
          <w:lang w:val="en-US"/>
        </w:rPr>
        <w:t xml:space="preserve">id </w:t>
      </w:r>
      <w:r>
        <w:rPr>
          <w:rFonts w:ascii="Arial" w:hAnsi="Arial" w:cs="Arial"/>
          <w:lang w:val="en-US"/>
        </w:rPr>
        <w:t xml:space="preserve">he is claiming </w:t>
      </w:r>
      <w:r w:rsidR="00183422">
        <w:rPr>
          <w:rFonts w:ascii="Arial" w:hAnsi="Arial" w:cs="Arial"/>
          <w:lang w:val="en-US"/>
        </w:rPr>
        <w:t xml:space="preserve">a </w:t>
      </w:r>
      <w:r>
        <w:rPr>
          <w:rFonts w:ascii="Arial" w:hAnsi="Arial" w:cs="Arial"/>
          <w:lang w:val="en-US"/>
        </w:rPr>
        <w:t xml:space="preserve">quantification from when payment </w:t>
      </w:r>
      <w:r w:rsidR="0043572B">
        <w:rPr>
          <w:rFonts w:ascii="Arial" w:hAnsi="Arial" w:cs="Arial"/>
          <w:lang w:val="en-US"/>
        </w:rPr>
        <w:t xml:space="preserve">certificate 28 </w:t>
      </w:r>
      <w:r>
        <w:rPr>
          <w:rFonts w:ascii="Arial" w:hAnsi="Arial" w:cs="Arial"/>
          <w:lang w:val="en-US"/>
        </w:rPr>
        <w:t xml:space="preserve">was issued (26 March 2019) until </w:t>
      </w:r>
      <w:r w:rsidR="00106393">
        <w:rPr>
          <w:rFonts w:ascii="Arial" w:hAnsi="Arial" w:cs="Arial"/>
          <w:lang w:val="en-US"/>
        </w:rPr>
        <w:t xml:space="preserve">the </w:t>
      </w:r>
      <w:r>
        <w:rPr>
          <w:rFonts w:ascii="Arial" w:hAnsi="Arial" w:cs="Arial"/>
          <w:lang w:val="en-US"/>
        </w:rPr>
        <w:t xml:space="preserve">termination of the </w:t>
      </w:r>
      <w:r w:rsidRPr="0043572B">
        <w:rPr>
          <w:rFonts w:ascii="Arial" w:hAnsi="Arial" w:cs="Arial"/>
          <w:lang w:val="en-US"/>
        </w:rPr>
        <w:t xml:space="preserve">contract </w:t>
      </w:r>
      <w:r w:rsidR="0043572B" w:rsidRPr="0043572B">
        <w:rPr>
          <w:rFonts w:ascii="Arial" w:hAnsi="Arial" w:cs="Arial"/>
          <w:lang w:val="en-US"/>
        </w:rPr>
        <w:t>(</w:t>
      </w:r>
      <w:r w:rsidRPr="0043572B">
        <w:rPr>
          <w:rFonts w:ascii="Arial" w:hAnsi="Arial" w:cs="Arial"/>
          <w:lang w:val="en-US"/>
        </w:rPr>
        <w:t>29 August 2019)</w:t>
      </w:r>
      <w:r w:rsidR="0043572B">
        <w:rPr>
          <w:rFonts w:ascii="Arial" w:hAnsi="Arial" w:cs="Arial"/>
          <w:lang w:val="en-US"/>
        </w:rPr>
        <w:t xml:space="preserve">, but </w:t>
      </w:r>
      <w:r w:rsidR="00602227">
        <w:rPr>
          <w:rFonts w:ascii="Arial" w:hAnsi="Arial" w:cs="Arial"/>
          <w:lang w:val="en-US"/>
        </w:rPr>
        <w:t>he</w:t>
      </w:r>
      <w:r w:rsidR="008C6A4B">
        <w:rPr>
          <w:rFonts w:ascii="Arial" w:hAnsi="Arial" w:cs="Arial"/>
          <w:lang w:val="en-US"/>
        </w:rPr>
        <w:t xml:space="preserve"> </w:t>
      </w:r>
      <w:r w:rsidR="00602227">
        <w:rPr>
          <w:rFonts w:ascii="Arial" w:hAnsi="Arial" w:cs="Arial"/>
          <w:lang w:val="en-US"/>
        </w:rPr>
        <w:t xml:space="preserve">also said that the plaintiff carried out work from June 2018 to November 2019 </w:t>
      </w:r>
      <w:r w:rsidR="00183422">
        <w:rPr>
          <w:rFonts w:ascii="Arial" w:hAnsi="Arial" w:cs="Arial"/>
          <w:lang w:val="en-US"/>
        </w:rPr>
        <w:t>t</w:t>
      </w:r>
      <w:r w:rsidR="00602227">
        <w:rPr>
          <w:rFonts w:ascii="Arial" w:hAnsi="Arial" w:cs="Arial"/>
          <w:lang w:val="en-US"/>
        </w:rPr>
        <w:t>hat was not quantified</w:t>
      </w:r>
      <w:r w:rsidR="008C6A4B">
        <w:rPr>
          <w:rFonts w:ascii="Arial" w:hAnsi="Arial" w:cs="Arial"/>
          <w:lang w:val="en-US"/>
        </w:rPr>
        <w:t>.</w:t>
      </w:r>
      <w:r w:rsidR="00753CC4">
        <w:rPr>
          <w:rFonts w:ascii="Arial" w:hAnsi="Arial" w:cs="Arial"/>
          <w:lang w:val="en-US"/>
        </w:rPr>
        <w:t xml:space="preserve"> According to Garcia</w:t>
      </w:r>
      <w:r w:rsidR="0043572B">
        <w:rPr>
          <w:rFonts w:ascii="Arial" w:hAnsi="Arial" w:cs="Arial"/>
          <w:lang w:val="en-US"/>
        </w:rPr>
        <w:t>,</w:t>
      </w:r>
      <w:r w:rsidR="00753CC4">
        <w:rPr>
          <w:rFonts w:ascii="Arial" w:hAnsi="Arial" w:cs="Arial"/>
          <w:lang w:val="en-US"/>
        </w:rPr>
        <w:t xml:space="preserve"> </w:t>
      </w:r>
      <w:r w:rsidR="0043572B">
        <w:rPr>
          <w:rFonts w:ascii="Arial" w:hAnsi="Arial" w:cs="Arial"/>
          <w:lang w:val="en-US"/>
        </w:rPr>
        <w:t>there is</w:t>
      </w:r>
      <w:r w:rsidR="00753CC4">
        <w:rPr>
          <w:rFonts w:ascii="Arial" w:hAnsi="Arial" w:cs="Arial"/>
          <w:lang w:val="en-US"/>
        </w:rPr>
        <w:t xml:space="preserve"> no proof of work conducted from March 201</w:t>
      </w:r>
      <w:r w:rsidR="00106393">
        <w:rPr>
          <w:rFonts w:ascii="Arial" w:hAnsi="Arial" w:cs="Arial"/>
          <w:lang w:val="en-US"/>
        </w:rPr>
        <w:t>9</w:t>
      </w:r>
      <w:r w:rsidR="00753CC4">
        <w:rPr>
          <w:rFonts w:ascii="Arial" w:hAnsi="Arial" w:cs="Arial"/>
          <w:lang w:val="en-US"/>
        </w:rPr>
        <w:t xml:space="preserve"> to November 2019. Under cross-examination, she sa</w:t>
      </w:r>
      <w:r w:rsidR="00106393">
        <w:rPr>
          <w:rFonts w:ascii="Arial" w:hAnsi="Arial" w:cs="Arial"/>
          <w:lang w:val="en-US"/>
        </w:rPr>
        <w:t>id</w:t>
      </w:r>
      <w:r w:rsidR="00753CC4">
        <w:rPr>
          <w:rFonts w:ascii="Arial" w:hAnsi="Arial" w:cs="Arial"/>
          <w:lang w:val="en-US"/>
        </w:rPr>
        <w:t xml:space="preserve"> the work w</w:t>
      </w:r>
      <w:r w:rsidR="00E826B3">
        <w:rPr>
          <w:rFonts w:ascii="Arial" w:hAnsi="Arial" w:cs="Arial"/>
          <w:lang w:val="en-US"/>
        </w:rPr>
        <w:t>as</w:t>
      </w:r>
      <w:r w:rsidR="00753CC4">
        <w:rPr>
          <w:rFonts w:ascii="Arial" w:hAnsi="Arial" w:cs="Arial"/>
          <w:lang w:val="en-US"/>
        </w:rPr>
        <w:t xml:space="preserve"> certified on 26 November 2019</w:t>
      </w:r>
      <w:r w:rsidR="00106393">
        <w:rPr>
          <w:rFonts w:ascii="Arial" w:hAnsi="Arial" w:cs="Arial"/>
          <w:lang w:val="en-US"/>
        </w:rPr>
        <w:t>,</w:t>
      </w:r>
      <w:r w:rsidR="00753CC4">
        <w:rPr>
          <w:rFonts w:ascii="Arial" w:hAnsi="Arial" w:cs="Arial"/>
          <w:lang w:val="en-US"/>
        </w:rPr>
        <w:t xml:space="preserve"> and </w:t>
      </w:r>
      <w:proofErr w:type="spellStart"/>
      <w:r w:rsidR="00753CC4">
        <w:rPr>
          <w:rFonts w:ascii="Arial" w:hAnsi="Arial" w:cs="Arial"/>
          <w:lang w:val="en-US"/>
        </w:rPr>
        <w:t>Mr</w:t>
      </w:r>
      <w:proofErr w:type="spellEnd"/>
      <w:r w:rsidR="00753CC4">
        <w:rPr>
          <w:rFonts w:ascii="Arial" w:hAnsi="Arial" w:cs="Arial"/>
          <w:lang w:val="en-US"/>
        </w:rPr>
        <w:t xml:space="preserve"> </w:t>
      </w:r>
      <w:proofErr w:type="spellStart"/>
      <w:r w:rsidR="00753CC4">
        <w:rPr>
          <w:rFonts w:ascii="Arial" w:hAnsi="Arial" w:cs="Arial"/>
          <w:lang w:val="en-US"/>
        </w:rPr>
        <w:t>Simasiku</w:t>
      </w:r>
      <w:proofErr w:type="spellEnd"/>
      <w:r w:rsidR="00106393">
        <w:rPr>
          <w:rFonts w:ascii="Arial" w:hAnsi="Arial" w:cs="Arial"/>
          <w:lang w:val="en-US"/>
        </w:rPr>
        <w:t>,</w:t>
      </w:r>
      <w:r w:rsidR="00753CC4">
        <w:rPr>
          <w:rFonts w:ascii="Arial" w:hAnsi="Arial" w:cs="Arial"/>
          <w:lang w:val="en-US"/>
        </w:rPr>
        <w:t xml:space="preserve"> who lives on the farm</w:t>
      </w:r>
      <w:r w:rsidR="00106393">
        <w:rPr>
          <w:rFonts w:ascii="Arial" w:hAnsi="Arial" w:cs="Arial"/>
          <w:lang w:val="en-US"/>
        </w:rPr>
        <w:t>,</w:t>
      </w:r>
      <w:r w:rsidR="00753CC4">
        <w:rPr>
          <w:rFonts w:ascii="Arial" w:hAnsi="Arial" w:cs="Arial"/>
          <w:lang w:val="en-US"/>
        </w:rPr>
        <w:t xml:space="preserve"> told her no one was there. Whereas that hearsay evidence was solicited under cross-examination, it is admissible.  </w:t>
      </w:r>
    </w:p>
    <w:p w14:paraId="78B10473" w14:textId="77777777" w:rsidR="008C6A4B" w:rsidRPr="008C6A4B" w:rsidRDefault="008C6A4B" w:rsidP="008C6A4B">
      <w:pPr>
        <w:pStyle w:val="ListParagraph"/>
        <w:rPr>
          <w:rFonts w:ascii="Arial" w:hAnsi="Arial" w:cs="Arial"/>
          <w:lang w:val="en-US"/>
        </w:rPr>
      </w:pPr>
    </w:p>
    <w:p w14:paraId="7AD644B8" w14:textId="58F758F8" w:rsidR="008C6A4B" w:rsidRPr="00106393" w:rsidRDefault="00D069A7" w:rsidP="00106393">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sidR="008C6A4B">
        <w:rPr>
          <w:rFonts w:ascii="Arial" w:hAnsi="Arial" w:cs="Arial"/>
          <w:lang w:val="en-US"/>
        </w:rPr>
        <w:t xml:space="preserve"> sa</w:t>
      </w:r>
      <w:r w:rsidR="00106393">
        <w:rPr>
          <w:rFonts w:ascii="Arial" w:hAnsi="Arial" w:cs="Arial"/>
          <w:lang w:val="en-US"/>
        </w:rPr>
        <w:t>id</w:t>
      </w:r>
      <w:r w:rsidR="008C6A4B">
        <w:rPr>
          <w:rFonts w:ascii="Arial" w:hAnsi="Arial" w:cs="Arial"/>
          <w:lang w:val="en-US"/>
        </w:rPr>
        <w:t xml:space="preserve"> quantification is an exercise between the contractor and the quantity surveyor</w:t>
      </w:r>
      <w:r w:rsidR="00106393">
        <w:rPr>
          <w:rFonts w:ascii="Arial" w:hAnsi="Arial" w:cs="Arial"/>
          <w:lang w:val="en-US"/>
        </w:rPr>
        <w:t>,</w:t>
      </w:r>
      <w:r w:rsidR="008C6A4B">
        <w:rPr>
          <w:rFonts w:ascii="Arial" w:hAnsi="Arial" w:cs="Arial"/>
          <w:lang w:val="en-US"/>
        </w:rPr>
        <w:t xml:space="preserve"> and both must be part of the verification.</w:t>
      </w:r>
      <w:r w:rsidR="00106393">
        <w:rPr>
          <w:rFonts w:ascii="Arial" w:hAnsi="Arial" w:cs="Arial"/>
          <w:lang w:val="en-US"/>
        </w:rPr>
        <w:t xml:space="preserve"> </w:t>
      </w:r>
      <w:r w:rsidR="00106393" w:rsidRPr="00106393">
        <w:rPr>
          <w:rFonts w:ascii="Arial" w:hAnsi="Arial" w:cs="Arial"/>
          <w:lang w:val="en-US"/>
        </w:rPr>
        <w:t>U</w:t>
      </w:r>
      <w:r w:rsidR="008C6A4B" w:rsidRPr="00106393">
        <w:rPr>
          <w:rFonts w:ascii="Arial" w:hAnsi="Arial" w:cs="Arial"/>
          <w:lang w:val="en-US"/>
        </w:rPr>
        <w:t>nder cross-examination</w:t>
      </w:r>
      <w:r w:rsidR="00106393">
        <w:rPr>
          <w:rFonts w:ascii="Arial" w:hAnsi="Arial" w:cs="Arial"/>
          <w:lang w:val="en-US"/>
        </w:rPr>
        <w:t>, he said</w:t>
      </w:r>
      <w:r w:rsidR="008C6A4B" w:rsidRPr="00106393">
        <w:rPr>
          <w:rFonts w:ascii="Arial" w:hAnsi="Arial" w:cs="Arial"/>
          <w:lang w:val="en-US"/>
        </w:rPr>
        <w:t xml:space="preserve"> that for work done from June 2018 to November 2019, he provided reports to the quantity surveyor</w:t>
      </w:r>
      <w:r w:rsidR="00EA53E2" w:rsidRPr="00106393">
        <w:rPr>
          <w:rFonts w:ascii="Arial" w:hAnsi="Arial" w:cs="Arial"/>
          <w:lang w:val="en-US"/>
        </w:rPr>
        <w:t>,</w:t>
      </w:r>
      <w:r w:rsidR="008C6A4B" w:rsidRPr="00106393">
        <w:rPr>
          <w:rFonts w:ascii="Arial" w:hAnsi="Arial" w:cs="Arial"/>
          <w:lang w:val="en-US"/>
        </w:rPr>
        <w:t xml:space="preserve"> but he could not provide any during the trial. He explain</w:t>
      </w:r>
      <w:r w:rsidR="00106393">
        <w:rPr>
          <w:rFonts w:ascii="Arial" w:hAnsi="Arial" w:cs="Arial"/>
          <w:lang w:val="en-US"/>
        </w:rPr>
        <w:t>ed</w:t>
      </w:r>
      <w:r w:rsidR="008C6A4B" w:rsidRPr="00106393">
        <w:rPr>
          <w:rFonts w:ascii="Arial" w:hAnsi="Arial" w:cs="Arial"/>
          <w:lang w:val="en-US"/>
        </w:rPr>
        <w:t xml:space="preserve"> they would go to the site, do an </w:t>
      </w:r>
      <w:r w:rsidR="00183422" w:rsidRPr="00106393">
        <w:rPr>
          <w:rFonts w:ascii="Arial" w:hAnsi="Arial" w:cs="Arial"/>
          <w:lang w:val="en-US"/>
        </w:rPr>
        <w:t>inspection,</w:t>
      </w:r>
      <w:r w:rsidR="008C6A4B" w:rsidRPr="00106393">
        <w:rPr>
          <w:rFonts w:ascii="Arial" w:hAnsi="Arial" w:cs="Arial"/>
          <w:lang w:val="en-US"/>
        </w:rPr>
        <w:t xml:space="preserve"> and based on the inspection</w:t>
      </w:r>
      <w:r w:rsidR="00106393">
        <w:rPr>
          <w:rFonts w:ascii="Arial" w:hAnsi="Arial" w:cs="Arial"/>
          <w:lang w:val="en-US"/>
        </w:rPr>
        <w:t>,</w:t>
      </w:r>
      <w:r w:rsidR="008C6A4B" w:rsidRPr="00106393">
        <w:rPr>
          <w:rFonts w:ascii="Arial" w:hAnsi="Arial" w:cs="Arial"/>
          <w:lang w:val="en-US"/>
        </w:rPr>
        <w:t xml:space="preserve"> the plaintiff would issue a valuation report through various communications, sometimes it sent photographs so that payment c</w:t>
      </w:r>
      <w:r w:rsidR="00106393">
        <w:rPr>
          <w:rFonts w:ascii="Arial" w:hAnsi="Arial" w:cs="Arial"/>
          <w:lang w:val="en-US"/>
        </w:rPr>
        <w:t>ould</w:t>
      </w:r>
      <w:r w:rsidR="008C6A4B" w:rsidRPr="00106393">
        <w:rPr>
          <w:rFonts w:ascii="Arial" w:hAnsi="Arial" w:cs="Arial"/>
          <w:lang w:val="en-US"/>
        </w:rPr>
        <w:t xml:space="preserve"> be made based on the photographs</w:t>
      </w:r>
      <w:r w:rsidR="00106393">
        <w:rPr>
          <w:rFonts w:ascii="Arial" w:hAnsi="Arial" w:cs="Arial"/>
          <w:lang w:val="en-US"/>
        </w:rPr>
        <w:t>,</w:t>
      </w:r>
      <w:r w:rsidR="008C6A4B" w:rsidRPr="00106393">
        <w:rPr>
          <w:rFonts w:ascii="Arial" w:hAnsi="Arial" w:cs="Arial"/>
          <w:lang w:val="en-US"/>
        </w:rPr>
        <w:t xml:space="preserve"> and it was a </w:t>
      </w:r>
      <w:r w:rsidR="00106393">
        <w:rPr>
          <w:rFonts w:ascii="Arial" w:hAnsi="Arial" w:cs="Arial"/>
          <w:lang w:val="en-US"/>
        </w:rPr>
        <w:t>‘</w:t>
      </w:r>
      <w:r w:rsidR="008C6A4B" w:rsidRPr="00106393">
        <w:rPr>
          <w:rFonts w:ascii="Arial" w:hAnsi="Arial" w:cs="Arial"/>
          <w:lang w:val="en-US"/>
        </w:rPr>
        <w:t>fight</w:t>
      </w:r>
      <w:r w:rsidR="00106393">
        <w:rPr>
          <w:rFonts w:ascii="Arial" w:hAnsi="Arial" w:cs="Arial"/>
          <w:lang w:val="en-US"/>
        </w:rPr>
        <w:t>’</w:t>
      </w:r>
      <w:r w:rsidR="008C6A4B" w:rsidRPr="00106393">
        <w:rPr>
          <w:rFonts w:ascii="Arial" w:hAnsi="Arial" w:cs="Arial"/>
          <w:lang w:val="en-US"/>
        </w:rPr>
        <w:t xml:space="preserve"> to do an inspection as some of the costs involved were challenging.</w:t>
      </w:r>
      <w:r w:rsidR="00CE29D6" w:rsidRPr="00106393">
        <w:rPr>
          <w:rFonts w:ascii="Arial" w:hAnsi="Arial" w:cs="Arial"/>
          <w:lang w:val="en-US"/>
        </w:rPr>
        <w:t xml:space="preserve"> During re-examination, </w:t>
      </w:r>
      <w:proofErr w:type="spellStart"/>
      <w:r w:rsidRPr="00106393">
        <w:rPr>
          <w:rFonts w:ascii="Arial" w:hAnsi="Arial" w:cs="Arial"/>
          <w:lang w:val="en-US"/>
        </w:rPr>
        <w:t>Kapuuo</w:t>
      </w:r>
      <w:proofErr w:type="spellEnd"/>
      <w:r w:rsidR="00CE29D6" w:rsidRPr="00106393">
        <w:rPr>
          <w:rFonts w:ascii="Arial" w:hAnsi="Arial" w:cs="Arial"/>
          <w:lang w:val="en-US"/>
        </w:rPr>
        <w:t xml:space="preserve"> was taken to an email dated 28 February 2018</w:t>
      </w:r>
      <w:r w:rsidR="00106393">
        <w:rPr>
          <w:rFonts w:ascii="Arial" w:hAnsi="Arial" w:cs="Arial"/>
          <w:lang w:val="en-US"/>
        </w:rPr>
        <w:t xml:space="preserve"> as an example of photographs sent. </w:t>
      </w:r>
      <w:r w:rsidR="005C6A26" w:rsidRPr="00106393">
        <w:rPr>
          <w:rFonts w:ascii="Arial" w:hAnsi="Arial" w:cs="Arial"/>
          <w:lang w:val="en-US"/>
        </w:rPr>
        <w:t>Garcia testified that on 28 February 2018, she requested a photo report of the outstanding works so that a decision c</w:t>
      </w:r>
      <w:r w:rsidR="00106393">
        <w:rPr>
          <w:rFonts w:ascii="Arial" w:hAnsi="Arial" w:cs="Arial"/>
          <w:lang w:val="en-US"/>
        </w:rPr>
        <w:t>ould</w:t>
      </w:r>
      <w:r w:rsidR="005C6A26" w:rsidRPr="00106393">
        <w:rPr>
          <w:rFonts w:ascii="Arial" w:hAnsi="Arial" w:cs="Arial"/>
          <w:lang w:val="en-US"/>
        </w:rPr>
        <w:t xml:space="preserve"> be made at the next site meeting. That</w:t>
      </w:r>
      <w:r w:rsidR="00106393">
        <w:rPr>
          <w:rFonts w:ascii="Arial" w:hAnsi="Arial" w:cs="Arial"/>
          <w:lang w:val="en-US"/>
        </w:rPr>
        <w:t>, she said,</w:t>
      </w:r>
      <w:r w:rsidR="005C6A26" w:rsidRPr="00106393">
        <w:rPr>
          <w:rFonts w:ascii="Arial" w:hAnsi="Arial" w:cs="Arial"/>
          <w:lang w:val="en-US"/>
        </w:rPr>
        <w:t xml:space="preserve"> follow</w:t>
      </w:r>
      <w:r w:rsidR="00106393">
        <w:rPr>
          <w:rFonts w:ascii="Arial" w:hAnsi="Arial" w:cs="Arial"/>
          <w:lang w:val="en-US"/>
        </w:rPr>
        <w:t>ed</w:t>
      </w:r>
      <w:r w:rsidR="005C6A26" w:rsidRPr="00106393">
        <w:rPr>
          <w:rFonts w:ascii="Arial" w:hAnsi="Arial" w:cs="Arial"/>
          <w:lang w:val="en-US"/>
        </w:rPr>
        <w:t xml:space="preserve"> a meeting held on 22 February 2018 wherein it was discussed that the plaintiff </w:t>
      </w:r>
      <w:r w:rsidR="00183422">
        <w:rPr>
          <w:rFonts w:ascii="Arial" w:hAnsi="Arial" w:cs="Arial"/>
          <w:lang w:val="en-US"/>
        </w:rPr>
        <w:t xml:space="preserve">would </w:t>
      </w:r>
      <w:r w:rsidR="005C6A26" w:rsidRPr="00106393">
        <w:rPr>
          <w:rFonts w:ascii="Arial" w:hAnsi="Arial" w:cs="Arial"/>
          <w:lang w:val="en-US"/>
        </w:rPr>
        <w:t>submit a proposal to the second defendant by 26 February 2018</w:t>
      </w:r>
      <w:r w:rsidR="00106393">
        <w:rPr>
          <w:rFonts w:ascii="Arial" w:hAnsi="Arial" w:cs="Arial"/>
          <w:lang w:val="en-US"/>
        </w:rPr>
        <w:t>,</w:t>
      </w:r>
      <w:r w:rsidR="005C6A26" w:rsidRPr="00106393">
        <w:rPr>
          <w:rFonts w:ascii="Arial" w:hAnsi="Arial" w:cs="Arial"/>
          <w:lang w:val="en-US"/>
        </w:rPr>
        <w:t xml:space="preserve"> which must include </w:t>
      </w:r>
      <w:r w:rsidR="00106393">
        <w:rPr>
          <w:rFonts w:ascii="Arial" w:hAnsi="Arial" w:cs="Arial"/>
          <w:lang w:val="en-US"/>
        </w:rPr>
        <w:t xml:space="preserve">a </w:t>
      </w:r>
      <w:r w:rsidR="005C6A26" w:rsidRPr="00106393">
        <w:rPr>
          <w:rFonts w:ascii="Arial" w:hAnsi="Arial" w:cs="Arial"/>
          <w:lang w:val="en-US"/>
        </w:rPr>
        <w:t xml:space="preserve">work program, </w:t>
      </w:r>
      <w:r w:rsidR="00106393">
        <w:rPr>
          <w:rFonts w:ascii="Arial" w:hAnsi="Arial" w:cs="Arial"/>
          <w:lang w:val="en-US"/>
        </w:rPr>
        <w:t xml:space="preserve">a </w:t>
      </w:r>
      <w:r w:rsidR="005C6A26" w:rsidRPr="00106393">
        <w:rPr>
          <w:rFonts w:ascii="Arial" w:hAnsi="Arial" w:cs="Arial"/>
          <w:lang w:val="en-US"/>
        </w:rPr>
        <w:t xml:space="preserve">cash flow </w:t>
      </w:r>
      <w:proofErr w:type="gramStart"/>
      <w:r w:rsidR="005C6A26" w:rsidRPr="00106393">
        <w:rPr>
          <w:rFonts w:ascii="Arial" w:hAnsi="Arial" w:cs="Arial"/>
          <w:lang w:val="en-US"/>
        </w:rPr>
        <w:t>plan</w:t>
      </w:r>
      <w:proofErr w:type="gramEnd"/>
      <w:r w:rsidR="005C6A26" w:rsidRPr="00106393">
        <w:rPr>
          <w:rFonts w:ascii="Arial" w:hAnsi="Arial" w:cs="Arial"/>
          <w:lang w:val="en-US"/>
        </w:rPr>
        <w:t xml:space="preserve"> and </w:t>
      </w:r>
      <w:r w:rsidR="00106393">
        <w:rPr>
          <w:rFonts w:ascii="Arial" w:hAnsi="Arial" w:cs="Arial"/>
          <w:lang w:val="en-US"/>
        </w:rPr>
        <w:t xml:space="preserve">a </w:t>
      </w:r>
      <w:r w:rsidR="005C6A26" w:rsidRPr="00106393">
        <w:rPr>
          <w:rFonts w:ascii="Arial" w:hAnsi="Arial" w:cs="Arial"/>
          <w:lang w:val="en-US"/>
        </w:rPr>
        <w:t>pla</w:t>
      </w:r>
      <w:r w:rsidR="00183422">
        <w:rPr>
          <w:rFonts w:ascii="Arial" w:hAnsi="Arial" w:cs="Arial"/>
          <w:lang w:val="en-US"/>
        </w:rPr>
        <w:t>n</w:t>
      </w:r>
      <w:r w:rsidR="005C6A26" w:rsidRPr="00106393">
        <w:rPr>
          <w:rFonts w:ascii="Arial" w:hAnsi="Arial" w:cs="Arial"/>
          <w:lang w:val="en-US"/>
        </w:rPr>
        <w:t xml:space="preserve"> to pay subcontractors. On 6 March 2018</w:t>
      </w:r>
      <w:r w:rsidR="00106393">
        <w:rPr>
          <w:rFonts w:ascii="Arial" w:hAnsi="Arial" w:cs="Arial"/>
          <w:lang w:val="en-US"/>
        </w:rPr>
        <w:t>,</w:t>
      </w:r>
      <w:r w:rsidR="005C6A26" w:rsidRPr="00106393">
        <w:rPr>
          <w:rFonts w:ascii="Arial" w:hAnsi="Arial" w:cs="Arial"/>
          <w:lang w:val="en-US"/>
        </w:rPr>
        <w:t xml:space="preserve"> Garcia requested proof of work done according to the minutes of the last site meeting to determine the next site meeting.</w:t>
      </w:r>
      <w:r w:rsidR="00EA53E2" w:rsidRPr="00106393">
        <w:rPr>
          <w:rFonts w:ascii="Arial" w:hAnsi="Arial" w:cs="Arial"/>
          <w:lang w:val="en-US"/>
        </w:rPr>
        <w:t xml:space="preserve"> </w:t>
      </w:r>
      <w:r w:rsidR="00106393">
        <w:rPr>
          <w:rFonts w:ascii="Arial" w:hAnsi="Arial" w:cs="Arial"/>
          <w:lang w:val="en-US"/>
        </w:rPr>
        <w:t>However</w:t>
      </w:r>
      <w:r w:rsidR="00EA53E2" w:rsidRPr="00106393">
        <w:rPr>
          <w:rFonts w:ascii="Arial" w:hAnsi="Arial" w:cs="Arial"/>
          <w:lang w:val="en-US"/>
        </w:rPr>
        <w:t xml:space="preserve">, according to </w:t>
      </w:r>
      <w:r w:rsidR="00106393">
        <w:rPr>
          <w:rFonts w:ascii="Arial" w:hAnsi="Arial" w:cs="Arial"/>
          <w:lang w:val="en-US"/>
        </w:rPr>
        <w:t xml:space="preserve">the </w:t>
      </w:r>
      <w:r w:rsidR="00EA53E2" w:rsidRPr="00106393">
        <w:rPr>
          <w:rFonts w:ascii="Arial" w:hAnsi="Arial" w:cs="Arial"/>
          <w:lang w:val="en-US"/>
        </w:rPr>
        <w:t xml:space="preserve">plaintiff’s counsel, </w:t>
      </w:r>
      <w:proofErr w:type="spellStart"/>
      <w:r w:rsidR="00106393">
        <w:rPr>
          <w:rFonts w:ascii="Arial" w:hAnsi="Arial" w:cs="Arial"/>
          <w:lang w:val="en-US"/>
        </w:rPr>
        <w:t>Kapuuo</w:t>
      </w:r>
      <w:proofErr w:type="spellEnd"/>
      <w:r w:rsidR="00EA53E2" w:rsidRPr="00106393">
        <w:rPr>
          <w:rFonts w:ascii="Arial" w:hAnsi="Arial" w:cs="Arial"/>
          <w:lang w:val="en-US"/>
        </w:rPr>
        <w:t xml:space="preserve"> was under the </w:t>
      </w:r>
      <w:r w:rsidR="00EA53E2" w:rsidRPr="00106393">
        <w:rPr>
          <w:rFonts w:ascii="Arial" w:hAnsi="Arial" w:cs="Arial"/>
          <w:lang w:val="en-US"/>
        </w:rPr>
        <w:lastRenderedPageBreak/>
        <w:t>impression that the work for March 2018 to November 2019 would be quantified in the final account.</w:t>
      </w:r>
    </w:p>
    <w:p w14:paraId="1084A157" w14:textId="77777777" w:rsidR="00D73371" w:rsidRPr="00D73371" w:rsidRDefault="00D73371" w:rsidP="00D73371">
      <w:pPr>
        <w:pStyle w:val="ListParagraph"/>
        <w:rPr>
          <w:rFonts w:ascii="Arial" w:hAnsi="Arial" w:cs="Arial"/>
          <w:lang w:val="en-US"/>
        </w:rPr>
      </w:pPr>
    </w:p>
    <w:p w14:paraId="4276317C" w14:textId="5085E296" w:rsidR="0052518B" w:rsidRPr="00213135" w:rsidRDefault="00D069A7" w:rsidP="00213135">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Kapuuo</w:t>
      </w:r>
      <w:proofErr w:type="spellEnd"/>
      <w:r w:rsidR="0052518B" w:rsidRPr="00213135">
        <w:rPr>
          <w:rFonts w:ascii="Arial" w:hAnsi="Arial" w:cs="Arial"/>
          <w:lang w:val="en-US"/>
        </w:rPr>
        <w:t xml:space="preserve"> sa</w:t>
      </w:r>
      <w:r w:rsidR="00106393">
        <w:rPr>
          <w:rFonts w:ascii="Arial" w:hAnsi="Arial" w:cs="Arial"/>
          <w:lang w:val="en-US"/>
        </w:rPr>
        <w:t>id</w:t>
      </w:r>
      <w:r w:rsidR="0052518B" w:rsidRPr="00213135">
        <w:rPr>
          <w:rFonts w:ascii="Arial" w:hAnsi="Arial" w:cs="Arial"/>
          <w:lang w:val="en-US"/>
        </w:rPr>
        <w:t xml:space="preserve"> the plaintiff made a case that a quantification of the amounts due to the plaintiff is required and that a final account be prepared</w:t>
      </w:r>
      <w:r w:rsidR="00183422">
        <w:rPr>
          <w:rFonts w:ascii="Arial" w:hAnsi="Arial" w:cs="Arial"/>
          <w:lang w:val="en-US"/>
        </w:rPr>
        <w:t xml:space="preserve"> and</w:t>
      </w:r>
      <w:r w:rsidR="00106393">
        <w:rPr>
          <w:rFonts w:ascii="Arial" w:hAnsi="Arial" w:cs="Arial"/>
          <w:lang w:val="en-US"/>
        </w:rPr>
        <w:t xml:space="preserve"> for payment of N$2 490 631 because of the performance guarantee secured by the plaintiff in </w:t>
      </w:r>
      <w:r w:rsidR="0052518B" w:rsidRPr="00213135">
        <w:rPr>
          <w:rFonts w:ascii="Arial" w:hAnsi="Arial" w:cs="Arial"/>
          <w:lang w:val="en-US"/>
        </w:rPr>
        <w:t>execution of the contract.</w:t>
      </w:r>
      <w:r w:rsidR="00811582">
        <w:rPr>
          <w:rFonts w:ascii="Arial" w:hAnsi="Arial" w:cs="Arial"/>
          <w:lang w:val="en-US"/>
        </w:rPr>
        <w:t xml:space="preserve"> According to Garcia, if the plaintiff i</w:t>
      </w:r>
      <w:r w:rsidR="00106393">
        <w:rPr>
          <w:rFonts w:ascii="Arial" w:hAnsi="Arial" w:cs="Arial"/>
          <w:lang w:val="en-US"/>
        </w:rPr>
        <w:t>s</w:t>
      </w:r>
      <w:r w:rsidR="00811582">
        <w:rPr>
          <w:rFonts w:ascii="Arial" w:hAnsi="Arial" w:cs="Arial"/>
          <w:lang w:val="en-US"/>
        </w:rPr>
        <w:t xml:space="preserve"> not in agreement with the quantification of the final account, the plaintiff must engage a third party at </w:t>
      </w:r>
      <w:r w:rsidR="00106393">
        <w:rPr>
          <w:rFonts w:ascii="Arial" w:hAnsi="Arial" w:cs="Arial"/>
          <w:lang w:val="en-US"/>
        </w:rPr>
        <w:t>its</w:t>
      </w:r>
      <w:r w:rsidR="00811582">
        <w:rPr>
          <w:rFonts w:ascii="Arial" w:hAnsi="Arial" w:cs="Arial"/>
          <w:lang w:val="en-US"/>
        </w:rPr>
        <w:t xml:space="preserve"> own cost</w:t>
      </w:r>
      <w:r w:rsidR="00106393">
        <w:rPr>
          <w:rFonts w:ascii="Arial" w:hAnsi="Arial" w:cs="Arial"/>
          <w:lang w:val="en-US"/>
        </w:rPr>
        <w:t xml:space="preserve">. She said </w:t>
      </w:r>
      <w:r w:rsidR="00811582">
        <w:rPr>
          <w:rFonts w:ascii="Arial" w:hAnsi="Arial" w:cs="Arial"/>
          <w:lang w:val="en-US"/>
        </w:rPr>
        <w:t>as the wor</w:t>
      </w:r>
      <w:r w:rsidR="00183422">
        <w:rPr>
          <w:rFonts w:ascii="Arial" w:hAnsi="Arial" w:cs="Arial"/>
          <w:lang w:val="en-US"/>
        </w:rPr>
        <w:t xml:space="preserve">k was </w:t>
      </w:r>
      <w:r w:rsidR="00811582">
        <w:rPr>
          <w:rFonts w:ascii="Arial" w:hAnsi="Arial" w:cs="Arial"/>
          <w:lang w:val="en-US"/>
        </w:rPr>
        <w:t>not completed and the performance guarantee was returned, she fail</w:t>
      </w:r>
      <w:r w:rsidR="00106393">
        <w:rPr>
          <w:rFonts w:ascii="Arial" w:hAnsi="Arial" w:cs="Arial"/>
          <w:lang w:val="en-US"/>
        </w:rPr>
        <w:t>ed</w:t>
      </w:r>
      <w:r w:rsidR="00811582">
        <w:rPr>
          <w:rFonts w:ascii="Arial" w:hAnsi="Arial" w:cs="Arial"/>
          <w:lang w:val="en-US"/>
        </w:rPr>
        <w:t xml:space="preserve"> to understand why the first defendant should be liable if the guarantee was returned before its due date and on which the first defendant ha</w:t>
      </w:r>
      <w:r w:rsidR="00247345">
        <w:rPr>
          <w:rFonts w:ascii="Arial" w:hAnsi="Arial" w:cs="Arial"/>
          <w:lang w:val="en-US"/>
        </w:rPr>
        <w:t>d</w:t>
      </w:r>
      <w:r w:rsidR="00811582">
        <w:rPr>
          <w:rFonts w:ascii="Arial" w:hAnsi="Arial" w:cs="Arial"/>
          <w:lang w:val="en-US"/>
        </w:rPr>
        <w:t xml:space="preserve"> a valid claim. </w:t>
      </w:r>
    </w:p>
    <w:p w14:paraId="4F3BB4E2" w14:textId="77777777" w:rsidR="004E5F07" w:rsidRPr="004E5F07" w:rsidRDefault="004E5F07" w:rsidP="004E5F07">
      <w:pPr>
        <w:pStyle w:val="ListParagraph"/>
        <w:rPr>
          <w:rFonts w:ascii="Arial" w:hAnsi="Arial" w:cs="Arial"/>
          <w:lang w:val="en-US"/>
        </w:rPr>
      </w:pPr>
    </w:p>
    <w:p w14:paraId="57B4D427" w14:textId="3003B390" w:rsidR="004E5F07" w:rsidRPr="004E5F07" w:rsidRDefault="00602227" w:rsidP="004E5F07">
      <w:pPr>
        <w:pStyle w:val="ListParagraph"/>
        <w:spacing w:line="360" w:lineRule="auto"/>
        <w:ind w:left="0"/>
        <w:jc w:val="both"/>
        <w:rPr>
          <w:rFonts w:ascii="Arial" w:hAnsi="Arial" w:cs="Arial"/>
          <w:u w:val="single"/>
          <w:lang w:val="en-US"/>
        </w:rPr>
      </w:pPr>
      <w:r>
        <w:rPr>
          <w:rFonts w:ascii="Arial" w:eastAsia="Calibri" w:hAnsi="Arial" w:cs="Arial"/>
          <w:bCs/>
          <w:u w:val="single"/>
        </w:rPr>
        <w:t xml:space="preserve">The </w:t>
      </w:r>
      <w:r w:rsidR="00A959F3">
        <w:rPr>
          <w:rFonts w:ascii="Arial" w:eastAsia="Calibri" w:hAnsi="Arial" w:cs="Arial"/>
          <w:bCs/>
          <w:u w:val="single"/>
        </w:rPr>
        <w:t xml:space="preserve">arguments and </w:t>
      </w:r>
      <w:r>
        <w:rPr>
          <w:rFonts w:ascii="Arial" w:eastAsia="Calibri" w:hAnsi="Arial" w:cs="Arial"/>
          <w:bCs/>
          <w:u w:val="single"/>
        </w:rPr>
        <w:t>determination</w:t>
      </w:r>
    </w:p>
    <w:p w14:paraId="334C25A7" w14:textId="77777777" w:rsidR="004E5F07" w:rsidRPr="004E5F07" w:rsidRDefault="004E5F07" w:rsidP="004E5F07">
      <w:pPr>
        <w:pStyle w:val="ListParagraph"/>
        <w:rPr>
          <w:rFonts w:ascii="Arial" w:hAnsi="Arial" w:cs="Arial"/>
          <w:lang w:val="en-US"/>
        </w:rPr>
      </w:pPr>
    </w:p>
    <w:p w14:paraId="030839FE" w14:textId="3BB9DC6C" w:rsidR="000C6C3B" w:rsidRPr="00106393" w:rsidRDefault="000C6C3B" w:rsidP="000C6C3B">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court now deals with the arguments and determines the issues</w:t>
      </w:r>
      <w:r w:rsidR="00E901F2">
        <w:rPr>
          <w:rFonts w:ascii="Arial" w:hAnsi="Arial" w:cs="Arial"/>
          <w:lang w:val="en-US"/>
        </w:rPr>
        <w:t xml:space="preserve"> </w:t>
      </w:r>
      <w:r>
        <w:rPr>
          <w:rFonts w:ascii="Arial" w:hAnsi="Arial" w:cs="Arial"/>
          <w:lang w:val="en-US"/>
        </w:rPr>
        <w:t>r</w:t>
      </w:r>
      <w:r w:rsidR="00E901F2">
        <w:rPr>
          <w:rFonts w:ascii="Arial" w:hAnsi="Arial" w:cs="Arial"/>
          <w:lang w:val="en-US"/>
        </w:rPr>
        <w:t>elevant to</w:t>
      </w:r>
      <w:r>
        <w:rPr>
          <w:rFonts w:ascii="Arial" w:hAnsi="Arial" w:cs="Arial"/>
          <w:lang w:val="en-US"/>
        </w:rPr>
        <w:t xml:space="preserve"> the relief sought. </w:t>
      </w:r>
    </w:p>
    <w:p w14:paraId="6DA575C0" w14:textId="77777777" w:rsidR="000C6C3B" w:rsidRPr="00D73371" w:rsidRDefault="000C6C3B" w:rsidP="000C6C3B">
      <w:pPr>
        <w:pStyle w:val="ListParagraph"/>
        <w:rPr>
          <w:rFonts w:ascii="Arial" w:hAnsi="Arial" w:cs="Arial"/>
          <w:lang w:val="en-US"/>
        </w:rPr>
      </w:pPr>
    </w:p>
    <w:p w14:paraId="019114F1" w14:textId="7FA33498" w:rsidR="00602227" w:rsidRPr="00EA53E2" w:rsidRDefault="00602227" w:rsidP="0060222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 relied on clauses 23 and 25 of the contract. Th</w:t>
      </w:r>
      <w:r w:rsidR="00B2779D">
        <w:rPr>
          <w:rFonts w:ascii="Arial" w:hAnsi="Arial" w:cs="Arial"/>
          <w:lang w:val="en-US"/>
        </w:rPr>
        <w:t>e relevant parts of those</w:t>
      </w:r>
      <w:r>
        <w:rPr>
          <w:rFonts w:ascii="Arial" w:hAnsi="Arial" w:cs="Arial"/>
          <w:lang w:val="en-US"/>
        </w:rPr>
        <w:t xml:space="preserve"> clauses</w:t>
      </w:r>
      <w:r w:rsidR="00B2779D">
        <w:rPr>
          <w:rFonts w:ascii="Arial" w:hAnsi="Arial" w:cs="Arial"/>
          <w:lang w:val="en-US"/>
        </w:rPr>
        <w:t xml:space="preserve"> </w:t>
      </w:r>
      <w:r>
        <w:rPr>
          <w:rFonts w:ascii="Arial" w:hAnsi="Arial" w:cs="Arial"/>
          <w:lang w:val="en-US"/>
        </w:rPr>
        <w:t>read as follows:</w:t>
      </w:r>
    </w:p>
    <w:p w14:paraId="35DD2284" w14:textId="77777777" w:rsidR="00602227" w:rsidRPr="004E5F07" w:rsidRDefault="00602227" w:rsidP="00602227">
      <w:pPr>
        <w:pStyle w:val="ListParagraph"/>
        <w:rPr>
          <w:rFonts w:ascii="Arial" w:hAnsi="Arial" w:cs="Arial"/>
          <w:lang w:val="en-US"/>
        </w:rPr>
      </w:pPr>
    </w:p>
    <w:p w14:paraId="04F723F5" w14:textId="4B1F2995" w:rsidR="00602227" w:rsidRPr="00B2779D" w:rsidRDefault="00602227" w:rsidP="00602227">
      <w:pPr>
        <w:spacing w:line="360" w:lineRule="auto"/>
        <w:ind w:left="720"/>
        <w:jc w:val="both"/>
        <w:rPr>
          <w:rFonts w:ascii="Arial" w:hAnsi="Arial" w:cs="Arial"/>
          <w:sz w:val="22"/>
          <w:szCs w:val="22"/>
          <w:lang w:val="en-US"/>
        </w:rPr>
      </w:pPr>
      <w:r w:rsidRPr="00B2779D">
        <w:rPr>
          <w:rFonts w:ascii="Arial" w:hAnsi="Arial" w:cs="Arial"/>
          <w:sz w:val="22"/>
          <w:szCs w:val="22"/>
          <w:lang w:val="en-US"/>
        </w:rPr>
        <w:t>’23. DETERMINATION BY CONTRACTOR</w:t>
      </w:r>
    </w:p>
    <w:p w14:paraId="3C9F07C6" w14:textId="77777777" w:rsidR="00660570" w:rsidRPr="00B2779D" w:rsidRDefault="00660570" w:rsidP="00602227">
      <w:pPr>
        <w:spacing w:line="360" w:lineRule="auto"/>
        <w:jc w:val="both"/>
        <w:rPr>
          <w:rFonts w:ascii="Arial" w:hAnsi="Arial" w:cs="Arial"/>
          <w:sz w:val="22"/>
          <w:szCs w:val="22"/>
          <w:lang w:val="en-US"/>
        </w:rPr>
      </w:pPr>
    </w:p>
    <w:p w14:paraId="24B996B2" w14:textId="77777777" w:rsidR="008222B8" w:rsidRDefault="00602227" w:rsidP="008222B8">
      <w:pPr>
        <w:spacing w:line="360" w:lineRule="auto"/>
        <w:jc w:val="both"/>
        <w:rPr>
          <w:rFonts w:ascii="Arial" w:hAnsi="Arial" w:cs="Arial"/>
          <w:sz w:val="22"/>
          <w:szCs w:val="22"/>
          <w:lang w:val="en-US"/>
        </w:rPr>
      </w:pPr>
      <w:r w:rsidRPr="00B2779D">
        <w:rPr>
          <w:rFonts w:ascii="Arial" w:hAnsi="Arial" w:cs="Arial"/>
          <w:sz w:val="22"/>
          <w:szCs w:val="22"/>
          <w:lang w:val="en-US"/>
        </w:rPr>
        <w:t>If the Employer does not pay the Contractor within the period stated in the Schedule, and thereafter for seven days after written notice from the Contractor fails to pay the amount due on any certificate of the Principal Agent, or if the Employer interferes with or obstructs the iss</w:t>
      </w:r>
      <w:r w:rsidR="00660570" w:rsidRPr="00B2779D">
        <w:rPr>
          <w:rFonts w:ascii="Arial" w:hAnsi="Arial" w:cs="Arial"/>
          <w:sz w:val="22"/>
          <w:szCs w:val="22"/>
          <w:lang w:val="en-US"/>
        </w:rPr>
        <w:t>u</w:t>
      </w:r>
      <w:r w:rsidRPr="00B2779D">
        <w:rPr>
          <w:rFonts w:ascii="Arial" w:hAnsi="Arial" w:cs="Arial"/>
          <w:sz w:val="22"/>
          <w:szCs w:val="22"/>
          <w:lang w:val="en-US"/>
        </w:rPr>
        <w:t>e of any such certificate, or</w:t>
      </w:r>
      <w:r w:rsidR="006F3627">
        <w:rPr>
          <w:rFonts w:ascii="Arial" w:hAnsi="Arial" w:cs="Arial"/>
          <w:sz w:val="22"/>
          <w:szCs w:val="22"/>
          <w:lang w:val="en-US"/>
        </w:rPr>
        <w:t xml:space="preserve"> if his estate is sequestrated as insolvent or, in the case of a company, it is placed under voluntary or compulsory liquidation </w:t>
      </w:r>
      <w:r w:rsidRPr="00B2779D">
        <w:rPr>
          <w:rFonts w:ascii="Arial" w:hAnsi="Arial" w:cs="Arial"/>
          <w:sz w:val="22"/>
          <w:szCs w:val="22"/>
          <w:lang w:val="en-US"/>
        </w:rPr>
        <w:t>the Contractor may by written and registered notice to the Employer or Principal Agent determine the employment of the Contractor under this contract, and thereupon without prejudice to the acc</w:t>
      </w:r>
      <w:r w:rsidR="00660570" w:rsidRPr="00B2779D">
        <w:rPr>
          <w:rFonts w:ascii="Arial" w:hAnsi="Arial" w:cs="Arial"/>
          <w:sz w:val="22"/>
          <w:szCs w:val="22"/>
          <w:lang w:val="en-US"/>
        </w:rPr>
        <w:t>ru</w:t>
      </w:r>
      <w:r w:rsidRPr="00B2779D">
        <w:rPr>
          <w:rFonts w:ascii="Arial" w:hAnsi="Arial" w:cs="Arial"/>
          <w:sz w:val="22"/>
          <w:szCs w:val="22"/>
          <w:lang w:val="en-US"/>
        </w:rPr>
        <w:t>ed rights of either party, their respective rights and liabilities shall be as follows:</w:t>
      </w:r>
    </w:p>
    <w:p w14:paraId="19A69C9B" w14:textId="77777777" w:rsidR="008222B8" w:rsidRDefault="008222B8" w:rsidP="008222B8">
      <w:pPr>
        <w:spacing w:line="360" w:lineRule="auto"/>
        <w:jc w:val="both"/>
        <w:rPr>
          <w:rFonts w:ascii="Arial" w:hAnsi="Arial" w:cs="Arial"/>
          <w:sz w:val="22"/>
          <w:szCs w:val="22"/>
          <w:lang w:val="en-US"/>
        </w:rPr>
      </w:pPr>
    </w:p>
    <w:p w14:paraId="60A35809" w14:textId="72B3448C" w:rsidR="00660570" w:rsidRPr="00B2779D" w:rsidRDefault="00C27E50" w:rsidP="008222B8">
      <w:pPr>
        <w:spacing w:line="360" w:lineRule="auto"/>
        <w:jc w:val="both"/>
        <w:rPr>
          <w:rFonts w:ascii="Arial" w:hAnsi="Arial" w:cs="Arial"/>
          <w:sz w:val="22"/>
          <w:szCs w:val="22"/>
          <w:lang w:val="en-US"/>
        </w:rPr>
      </w:pPr>
      <w:r>
        <w:rPr>
          <w:rFonts w:ascii="Arial" w:hAnsi="Arial" w:cs="Arial"/>
          <w:sz w:val="22"/>
          <w:szCs w:val="22"/>
          <w:lang w:val="en-US"/>
        </w:rPr>
        <w:t xml:space="preserve">. . . </w:t>
      </w:r>
    </w:p>
    <w:p w14:paraId="03FE70F7" w14:textId="77777777" w:rsidR="00660570" w:rsidRPr="00B2779D" w:rsidRDefault="00660570" w:rsidP="00602227">
      <w:pPr>
        <w:spacing w:line="360" w:lineRule="auto"/>
        <w:jc w:val="both"/>
        <w:rPr>
          <w:rFonts w:ascii="Arial" w:hAnsi="Arial" w:cs="Arial"/>
          <w:sz w:val="22"/>
          <w:szCs w:val="22"/>
          <w:lang w:val="en-US"/>
        </w:rPr>
      </w:pPr>
    </w:p>
    <w:p w14:paraId="69BE42AC" w14:textId="5D3FB093" w:rsidR="00660570" w:rsidRDefault="00660570" w:rsidP="00602227">
      <w:pPr>
        <w:spacing w:line="360" w:lineRule="auto"/>
        <w:jc w:val="both"/>
        <w:rPr>
          <w:rFonts w:ascii="Arial" w:hAnsi="Arial" w:cs="Arial"/>
          <w:sz w:val="22"/>
          <w:szCs w:val="22"/>
          <w:lang w:val="en-US"/>
        </w:rPr>
      </w:pPr>
      <w:r w:rsidRPr="00B2779D">
        <w:rPr>
          <w:rFonts w:ascii="Arial" w:hAnsi="Arial" w:cs="Arial"/>
          <w:sz w:val="22"/>
          <w:szCs w:val="22"/>
          <w:lang w:val="en-US"/>
        </w:rPr>
        <w:t xml:space="preserve">23.2 the Contractor shall be paid by the Employer: </w:t>
      </w:r>
    </w:p>
    <w:p w14:paraId="1FC1121E" w14:textId="77777777" w:rsidR="008222B8" w:rsidRDefault="008222B8" w:rsidP="00602227">
      <w:pPr>
        <w:spacing w:line="360" w:lineRule="auto"/>
        <w:jc w:val="both"/>
        <w:rPr>
          <w:rFonts w:ascii="Arial" w:hAnsi="Arial" w:cs="Arial"/>
          <w:sz w:val="22"/>
          <w:szCs w:val="22"/>
          <w:lang w:val="en-US"/>
        </w:rPr>
      </w:pPr>
    </w:p>
    <w:p w14:paraId="391D189B" w14:textId="2610C563" w:rsidR="00660570" w:rsidRPr="00B2779D" w:rsidRDefault="006F3627" w:rsidP="00602227">
      <w:pPr>
        <w:spacing w:line="360" w:lineRule="auto"/>
        <w:jc w:val="both"/>
        <w:rPr>
          <w:rFonts w:ascii="Arial" w:hAnsi="Arial" w:cs="Arial"/>
          <w:sz w:val="22"/>
          <w:szCs w:val="22"/>
          <w:lang w:val="en-US"/>
        </w:rPr>
      </w:pPr>
      <w:r>
        <w:rPr>
          <w:rFonts w:ascii="Arial" w:hAnsi="Arial" w:cs="Arial"/>
          <w:sz w:val="22"/>
          <w:szCs w:val="22"/>
          <w:lang w:val="en-US"/>
        </w:rPr>
        <w:t>. . .</w:t>
      </w:r>
    </w:p>
    <w:p w14:paraId="75E5554D" w14:textId="77777777" w:rsidR="00660570" w:rsidRPr="00B2779D" w:rsidRDefault="00660570" w:rsidP="00602227">
      <w:pPr>
        <w:spacing w:line="360" w:lineRule="auto"/>
        <w:jc w:val="both"/>
        <w:rPr>
          <w:rFonts w:ascii="Arial" w:hAnsi="Arial" w:cs="Arial"/>
          <w:sz w:val="22"/>
          <w:szCs w:val="22"/>
          <w:lang w:val="en-US"/>
        </w:rPr>
      </w:pPr>
    </w:p>
    <w:p w14:paraId="626FF8EC" w14:textId="65F35117" w:rsidR="00660570" w:rsidRPr="00B2779D" w:rsidRDefault="00660570" w:rsidP="00602227">
      <w:pPr>
        <w:spacing w:line="360" w:lineRule="auto"/>
        <w:jc w:val="both"/>
        <w:rPr>
          <w:rFonts w:ascii="Arial" w:hAnsi="Arial" w:cs="Arial"/>
          <w:sz w:val="22"/>
          <w:szCs w:val="22"/>
          <w:lang w:val="en-US"/>
        </w:rPr>
      </w:pPr>
      <w:r w:rsidRPr="00B2779D">
        <w:rPr>
          <w:rFonts w:ascii="Arial" w:hAnsi="Arial" w:cs="Arial"/>
          <w:sz w:val="22"/>
          <w:szCs w:val="22"/>
          <w:lang w:val="en-US"/>
        </w:rPr>
        <w:t xml:space="preserve">23.2.5 any loss or damage caused to the Contractor owing to such determination as aforesaid: </w:t>
      </w:r>
    </w:p>
    <w:p w14:paraId="79B8AAA9" w14:textId="77777777" w:rsidR="008222B8" w:rsidRDefault="008222B8" w:rsidP="00602227">
      <w:pPr>
        <w:spacing w:line="360" w:lineRule="auto"/>
        <w:jc w:val="both"/>
        <w:rPr>
          <w:rFonts w:ascii="Arial" w:hAnsi="Arial" w:cs="Arial"/>
          <w:sz w:val="22"/>
          <w:szCs w:val="22"/>
          <w:lang w:val="en-US"/>
        </w:rPr>
      </w:pPr>
    </w:p>
    <w:p w14:paraId="71DD14D8" w14:textId="4F1518EA" w:rsidR="00B2779D" w:rsidRDefault="00B2779D" w:rsidP="00602227">
      <w:pPr>
        <w:spacing w:line="360" w:lineRule="auto"/>
        <w:jc w:val="both"/>
        <w:rPr>
          <w:rFonts w:ascii="Arial" w:hAnsi="Arial" w:cs="Arial"/>
          <w:sz w:val="22"/>
          <w:szCs w:val="22"/>
          <w:lang w:val="en-US"/>
        </w:rPr>
      </w:pPr>
      <w:r w:rsidRPr="00B2779D">
        <w:rPr>
          <w:rFonts w:ascii="Arial" w:hAnsi="Arial" w:cs="Arial"/>
          <w:sz w:val="22"/>
          <w:szCs w:val="22"/>
          <w:lang w:val="en-US"/>
        </w:rPr>
        <w:t>. . .</w:t>
      </w:r>
    </w:p>
    <w:p w14:paraId="58F849C0" w14:textId="77777777" w:rsidR="00B2779D" w:rsidRPr="00B2779D" w:rsidRDefault="00B2779D" w:rsidP="00602227">
      <w:pPr>
        <w:spacing w:line="360" w:lineRule="auto"/>
        <w:jc w:val="both"/>
        <w:rPr>
          <w:rFonts w:ascii="Arial" w:hAnsi="Arial" w:cs="Arial"/>
          <w:sz w:val="22"/>
          <w:szCs w:val="22"/>
          <w:lang w:val="en-US"/>
        </w:rPr>
      </w:pPr>
    </w:p>
    <w:p w14:paraId="49AC4441" w14:textId="6A134868" w:rsidR="00B2779D" w:rsidRPr="00B2779D" w:rsidRDefault="00B2779D" w:rsidP="00602227">
      <w:pPr>
        <w:spacing w:line="360" w:lineRule="auto"/>
        <w:jc w:val="both"/>
        <w:rPr>
          <w:rFonts w:ascii="Arial" w:hAnsi="Arial" w:cs="Arial"/>
          <w:sz w:val="22"/>
          <w:szCs w:val="22"/>
          <w:lang w:val="en-US"/>
        </w:rPr>
      </w:pPr>
      <w:r w:rsidRPr="00B2779D">
        <w:rPr>
          <w:rFonts w:ascii="Arial" w:hAnsi="Arial" w:cs="Arial"/>
          <w:sz w:val="22"/>
          <w:szCs w:val="22"/>
          <w:lang w:val="en-US"/>
        </w:rPr>
        <w:t>25. CERTIFICATES AND PAYMENTS</w:t>
      </w:r>
    </w:p>
    <w:p w14:paraId="6E240A8F" w14:textId="77777777" w:rsidR="00B2779D" w:rsidRPr="00B2779D" w:rsidRDefault="00B2779D" w:rsidP="00602227">
      <w:pPr>
        <w:spacing w:line="360" w:lineRule="auto"/>
        <w:jc w:val="both"/>
        <w:rPr>
          <w:rFonts w:ascii="Arial" w:hAnsi="Arial" w:cs="Arial"/>
          <w:sz w:val="22"/>
          <w:szCs w:val="22"/>
          <w:lang w:val="en-US"/>
        </w:rPr>
      </w:pPr>
    </w:p>
    <w:p w14:paraId="1B94281E" w14:textId="0497E545" w:rsidR="00B2779D" w:rsidRPr="00B2779D" w:rsidRDefault="00B2779D" w:rsidP="00B2779D">
      <w:pPr>
        <w:spacing w:line="360" w:lineRule="auto"/>
        <w:jc w:val="both"/>
        <w:rPr>
          <w:rFonts w:ascii="Arial" w:hAnsi="Arial" w:cs="Arial"/>
          <w:sz w:val="22"/>
          <w:szCs w:val="22"/>
          <w:lang w:val="en-US"/>
        </w:rPr>
      </w:pPr>
      <w:r w:rsidRPr="00B2779D">
        <w:rPr>
          <w:rFonts w:ascii="Arial" w:hAnsi="Arial" w:cs="Arial"/>
          <w:sz w:val="22"/>
          <w:szCs w:val="22"/>
          <w:lang w:val="en-US"/>
        </w:rPr>
        <w:t xml:space="preserve">25.1 The Contractor shall be entitled to receive from the Principal Agent, interim certificates at intervals not greater than one calendar month, a penultimate </w:t>
      </w:r>
      <w:proofErr w:type="gramStart"/>
      <w:r w:rsidRPr="00B2779D">
        <w:rPr>
          <w:rFonts w:ascii="Arial" w:hAnsi="Arial" w:cs="Arial"/>
          <w:sz w:val="22"/>
          <w:szCs w:val="22"/>
          <w:lang w:val="en-US"/>
        </w:rPr>
        <w:t>certificate</w:t>
      </w:r>
      <w:proofErr w:type="gramEnd"/>
      <w:r w:rsidRPr="00B2779D">
        <w:rPr>
          <w:rFonts w:ascii="Arial" w:hAnsi="Arial" w:cs="Arial"/>
          <w:sz w:val="22"/>
          <w:szCs w:val="22"/>
          <w:lang w:val="en-US"/>
        </w:rPr>
        <w:t xml:space="preserve"> and a final certificate (as more fully set out hereunder), stating the amount due to him and to payment of such amount by the Employer within the period set out in the schedule.</w:t>
      </w:r>
    </w:p>
    <w:p w14:paraId="7311232C" w14:textId="77777777" w:rsidR="00B2779D" w:rsidRPr="00B2779D" w:rsidRDefault="00B2779D" w:rsidP="00B2779D">
      <w:pPr>
        <w:spacing w:line="360" w:lineRule="auto"/>
        <w:jc w:val="both"/>
        <w:rPr>
          <w:rFonts w:ascii="Arial" w:hAnsi="Arial" w:cs="Arial"/>
          <w:sz w:val="22"/>
          <w:szCs w:val="22"/>
          <w:lang w:val="en-US"/>
        </w:rPr>
      </w:pPr>
    </w:p>
    <w:p w14:paraId="75652F41" w14:textId="77777777" w:rsidR="00721996" w:rsidRPr="00EA53E2" w:rsidRDefault="00B2779D" w:rsidP="00721996">
      <w:pPr>
        <w:pStyle w:val="ListParagraph"/>
        <w:spacing w:line="360" w:lineRule="auto"/>
        <w:ind w:left="0"/>
        <w:jc w:val="both"/>
        <w:rPr>
          <w:rFonts w:ascii="Arial" w:hAnsi="Arial" w:cs="Arial"/>
          <w:lang w:val="en-US"/>
        </w:rPr>
      </w:pPr>
      <w:r w:rsidRPr="00B2779D">
        <w:rPr>
          <w:rFonts w:ascii="Arial" w:hAnsi="Arial" w:cs="Arial"/>
          <w:sz w:val="22"/>
          <w:szCs w:val="22"/>
          <w:lang w:val="en-US"/>
        </w:rPr>
        <w:t>The Principal Agent shall notify the Employer of the date and amount stipulated in each certificate at the time of issue thereof. If, after expiry of the aforementioned period, the amount so certified has not been paid to the Contractor, the Employer shall be liable, without prejudice to any right the Contractor may have to determine his employment under this contract, to pay the Contractor interest on the amount so due, calculated at a rate of 2 per cent greater than the minimum lending rate charged by the Contractor's bank, which interest</w:t>
      </w:r>
      <w:r>
        <w:rPr>
          <w:rFonts w:ascii="Arial" w:hAnsi="Arial" w:cs="Arial"/>
          <w:sz w:val="22"/>
          <w:szCs w:val="22"/>
          <w:lang w:val="en-US"/>
        </w:rPr>
        <w:t xml:space="preserve"> </w:t>
      </w:r>
      <w:r w:rsidRPr="00B2779D">
        <w:rPr>
          <w:rFonts w:ascii="Arial" w:hAnsi="Arial" w:cs="Arial"/>
          <w:sz w:val="22"/>
          <w:szCs w:val="22"/>
          <w:lang w:val="en-US"/>
        </w:rPr>
        <w:t>shall accrue as from the due date for payment if the Contractor has presented the certificate for payment within the period stipulated herein, or the date of presentation of the certificate by the Contractor, whichever date is the later.’</w:t>
      </w:r>
    </w:p>
    <w:p w14:paraId="45D2C6DA" w14:textId="77777777" w:rsidR="00721996" w:rsidRPr="004E5F07" w:rsidRDefault="00721996" w:rsidP="00721996">
      <w:pPr>
        <w:pStyle w:val="ListParagraph"/>
        <w:rPr>
          <w:rFonts w:ascii="Arial" w:hAnsi="Arial" w:cs="Arial"/>
          <w:lang w:val="en-US"/>
        </w:rPr>
      </w:pPr>
    </w:p>
    <w:p w14:paraId="0D5566AE" w14:textId="36FEFC36" w:rsidR="00721996" w:rsidRPr="00721996" w:rsidRDefault="00A959F3" w:rsidP="00721996">
      <w:pPr>
        <w:pStyle w:val="ListParagraph"/>
        <w:numPr>
          <w:ilvl w:val="0"/>
          <w:numId w:val="2"/>
        </w:numPr>
        <w:spacing w:line="360" w:lineRule="auto"/>
        <w:ind w:left="0" w:firstLine="0"/>
        <w:jc w:val="both"/>
        <w:rPr>
          <w:rFonts w:ascii="Arial" w:hAnsi="Arial" w:cs="Arial"/>
          <w:lang w:val="en-US"/>
        </w:rPr>
      </w:pPr>
      <w:r w:rsidRPr="00721996">
        <w:rPr>
          <w:rFonts w:ascii="Arial" w:hAnsi="Arial" w:cs="Arial"/>
          <w:lang w:val="en-US"/>
        </w:rPr>
        <w:t>The court first deals with the claim for quantification.</w:t>
      </w:r>
    </w:p>
    <w:p w14:paraId="5D96ED54" w14:textId="77777777" w:rsidR="00A959F3" w:rsidRPr="004E5F07" w:rsidRDefault="00A959F3" w:rsidP="00A959F3">
      <w:pPr>
        <w:pStyle w:val="ListParagraph"/>
        <w:rPr>
          <w:rFonts w:ascii="Arial" w:hAnsi="Arial" w:cs="Arial"/>
          <w:lang w:val="en-US"/>
        </w:rPr>
      </w:pPr>
    </w:p>
    <w:p w14:paraId="7F6A4E1E" w14:textId="03191487" w:rsidR="000C6C3B" w:rsidRPr="000C6C3B" w:rsidRDefault="00A959F3" w:rsidP="00351AE5">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The plaintiff’s version is that no measurements were taken at the site meeting o</w:t>
      </w:r>
      <w:r w:rsidR="00C9659D">
        <w:rPr>
          <w:rFonts w:ascii="Arial" w:eastAsia="Calibri" w:hAnsi="Arial" w:cs="Arial"/>
          <w:bCs/>
        </w:rPr>
        <w:t>n</w:t>
      </w:r>
      <w:r>
        <w:rPr>
          <w:rFonts w:ascii="Arial" w:eastAsia="Calibri" w:hAnsi="Arial" w:cs="Arial"/>
          <w:bCs/>
        </w:rPr>
        <w:t xml:space="preserve"> 26 November 2019</w:t>
      </w:r>
      <w:r w:rsidR="001C59A5">
        <w:rPr>
          <w:rFonts w:ascii="Arial" w:eastAsia="Calibri" w:hAnsi="Arial" w:cs="Arial"/>
          <w:bCs/>
        </w:rPr>
        <w:t>, and therefore,</w:t>
      </w:r>
      <w:r>
        <w:rPr>
          <w:rFonts w:ascii="Arial" w:eastAsia="Calibri" w:hAnsi="Arial" w:cs="Arial"/>
          <w:bCs/>
        </w:rPr>
        <w:t xml:space="preserve"> the final account could not have been prepared from that meeting. The plaintiff argue</w:t>
      </w:r>
      <w:r w:rsidR="00C27E50">
        <w:rPr>
          <w:rFonts w:ascii="Arial" w:eastAsia="Calibri" w:hAnsi="Arial" w:cs="Arial"/>
          <w:bCs/>
        </w:rPr>
        <w:t>d</w:t>
      </w:r>
      <w:r>
        <w:rPr>
          <w:rFonts w:ascii="Arial" w:eastAsia="Calibri" w:hAnsi="Arial" w:cs="Arial"/>
          <w:bCs/>
        </w:rPr>
        <w:t xml:space="preserve"> two mutually destructive versions </w:t>
      </w:r>
      <w:r w:rsidR="000C6C3B">
        <w:rPr>
          <w:rFonts w:ascii="Arial" w:eastAsia="Calibri" w:hAnsi="Arial" w:cs="Arial"/>
          <w:bCs/>
        </w:rPr>
        <w:t>emerge</w:t>
      </w:r>
      <w:r w:rsidR="00C27E50">
        <w:rPr>
          <w:rFonts w:ascii="Arial" w:eastAsia="Calibri" w:hAnsi="Arial" w:cs="Arial"/>
          <w:bCs/>
        </w:rPr>
        <w:t>d</w:t>
      </w:r>
      <w:r w:rsidR="000C6C3B">
        <w:rPr>
          <w:rFonts w:ascii="Arial" w:eastAsia="Calibri" w:hAnsi="Arial" w:cs="Arial"/>
          <w:bCs/>
        </w:rPr>
        <w:t xml:space="preserve"> </w:t>
      </w:r>
      <w:r>
        <w:rPr>
          <w:rFonts w:ascii="Arial" w:eastAsia="Calibri" w:hAnsi="Arial" w:cs="Arial"/>
          <w:bCs/>
        </w:rPr>
        <w:t xml:space="preserve">from the first defendant’s two witnesses on the final account in that Garcia said the professional team prepared the final account based on assessments made during the site meeting of 26 November 2019, while Nel said the measurements relied on </w:t>
      </w:r>
      <w:r w:rsidR="000C6C3B">
        <w:rPr>
          <w:rFonts w:ascii="Arial" w:eastAsia="Calibri" w:hAnsi="Arial" w:cs="Arial"/>
          <w:bCs/>
        </w:rPr>
        <w:t xml:space="preserve">for the final account </w:t>
      </w:r>
      <w:r>
        <w:rPr>
          <w:rFonts w:ascii="Arial" w:eastAsia="Calibri" w:hAnsi="Arial" w:cs="Arial"/>
          <w:bCs/>
        </w:rPr>
        <w:t xml:space="preserve">were taken by his team on a different </w:t>
      </w:r>
      <w:r w:rsidR="00C9404D">
        <w:rPr>
          <w:rFonts w:ascii="Arial" w:eastAsia="Calibri" w:hAnsi="Arial" w:cs="Arial"/>
          <w:bCs/>
        </w:rPr>
        <w:t>occasion</w:t>
      </w:r>
      <w:r>
        <w:rPr>
          <w:rFonts w:ascii="Arial" w:eastAsia="Calibri" w:hAnsi="Arial" w:cs="Arial"/>
          <w:bCs/>
        </w:rPr>
        <w:t>.</w:t>
      </w:r>
      <w:r w:rsidR="005376E3">
        <w:rPr>
          <w:rFonts w:ascii="Arial" w:eastAsia="Calibri" w:hAnsi="Arial" w:cs="Arial"/>
          <w:bCs/>
        </w:rPr>
        <w:t xml:space="preserve"> It also argue</w:t>
      </w:r>
      <w:r w:rsidR="00C27E50">
        <w:rPr>
          <w:rFonts w:ascii="Arial" w:eastAsia="Calibri" w:hAnsi="Arial" w:cs="Arial"/>
          <w:bCs/>
        </w:rPr>
        <w:t>d</w:t>
      </w:r>
      <w:r w:rsidR="005376E3">
        <w:rPr>
          <w:rFonts w:ascii="Arial" w:eastAsia="Calibri" w:hAnsi="Arial" w:cs="Arial"/>
          <w:bCs/>
        </w:rPr>
        <w:t xml:space="preserve"> that the author of the closeout report did not testify.</w:t>
      </w:r>
      <w:r w:rsidR="00C4109D">
        <w:rPr>
          <w:rFonts w:ascii="Arial" w:eastAsia="Calibri" w:hAnsi="Arial" w:cs="Arial"/>
          <w:bCs/>
        </w:rPr>
        <w:t xml:space="preserve"> </w:t>
      </w:r>
    </w:p>
    <w:p w14:paraId="2C43C7B1" w14:textId="77777777" w:rsidR="000C6C3B" w:rsidRPr="000C6C3B" w:rsidRDefault="000C6C3B" w:rsidP="000C6C3B">
      <w:pPr>
        <w:pStyle w:val="ListParagraph"/>
        <w:rPr>
          <w:rFonts w:ascii="Arial" w:eastAsia="Calibri" w:hAnsi="Arial" w:cs="Arial"/>
          <w:bCs/>
        </w:rPr>
      </w:pPr>
    </w:p>
    <w:p w14:paraId="1F5D99B8" w14:textId="35F79237" w:rsidR="001C59A5" w:rsidRPr="00C9659D" w:rsidRDefault="00C4109D" w:rsidP="00C9659D">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lastRenderedPageBreak/>
        <w:t>The plaintiff further argue</w:t>
      </w:r>
      <w:r w:rsidR="00C27E50">
        <w:rPr>
          <w:rFonts w:ascii="Arial" w:eastAsia="Calibri" w:hAnsi="Arial" w:cs="Arial"/>
          <w:bCs/>
        </w:rPr>
        <w:t>d</w:t>
      </w:r>
      <w:r>
        <w:rPr>
          <w:rFonts w:ascii="Arial" w:eastAsia="Calibri" w:hAnsi="Arial" w:cs="Arial"/>
          <w:bCs/>
        </w:rPr>
        <w:t xml:space="preserve"> there is no evidence that the</w:t>
      </w:r>
      <w:r w:rsidR="00EA53E2">
        <w:rPr>
          <w:rFonts w:ascii="Arial" w:eastAsia="Calibri" w:hAnsi="Arial" w:cs="Arial"/>
          <w:bCs/>
        </w:rPr>
        <w:t xml:space="preserve"> work completed </w:t>
      </w:r>
      <w:r>
        <w:rPr>
          <w:rFonts w:ascii="Arial" w:eastAsia="Calibri" w:hAnsi="Arial" w:cs="Arial"/>
          <w:bCs/>
        </w:rPr>
        <w:t xml:space="preserve">was </w:t>
      </w:r>
      <w:r w:rsidR="00EA53E2">
        <w:rPr>
          <w:rFonts w:ascii="Arial" w:eastAsia="Calibri" w:hAnsi="Arial" w:cs="Arial"/>
          <w:bCs/>
        </w:rPr>
        <w:t>fully quantified</w:t>
      </w:r>
      <w:r>
        <w:rPr>
          <w:rFonts w:ascii="Arial" w:eastAsia="Calibri" w:hAnsi="Arial" w:cs="Arial"/>
          <w:bCs/>
        </w:rPr>
        <w:t xml:space="preserve">, it was not proved that the </w:t>
      </w:r>
      <w:r w:rsidR="00EA53E2">
        <w:rPr>
          <w:rFonts w:ascii="Arial" w:eastAsia="Calibri" w:hAnsi="Arial" w:cs="Arial"/>
          <w:bCs/>
        </w:rPr>
        <w:t>final acc</w:t>
      </w:r>
      <w:r>
        <w:rPr>
          <w:rFonts w:ascii="Arial" w:eastAsia="Calibri" w:hAnsi="Arial" w:cs="Arial"/>
          <w:bCs/>
        </w:rPr>
        <w:t>ount was</w:t>
      </w:r>
      <w:r w:rsidR="00EA53E2">
        <w:rPr>
          <w:rFonts w:ascii="Arial" w:eastAsia="Calibri" w:hAnsi="Arial" w:cs="Arial"/>
          <w:bCs/>
        </w:rPr>
        <w:t xml:space="preserve"> shared with </w:t>
      </w:r>
      <w:r>
        <w:rPr>
          <w:rFonts w:ascii="Arial" w:eastAsia="Calibri" w:hAnsi="Arial" w:cs="Arial"/>
          <w:bCs/>
        </w:rPr>
        <w:t>the plaintiff</w:t>
      </w:r>
      <w:r w:rsidR="00EA53E2">
        <w:rPr>
          <w:rFonts w:ascii="Arial" w:eastAsia="Calibri" w:hAnsi="Arial" w:cs="Arial"/>
          <w:bCs/>
        </w:rPr>
        <w:t xml:space="preserve">, </w:t>
      </w:r>
      <w:r>
        <w:rPr>
          <w:rFonts w:ascii="Arial" w:eastAsia="Calibri" w:hAnsi="Arial" w:cs="Arial"/>
          <w:bCs/>
        </w:rPr>
        <w:t xml:space="preserve">and the </w:t>
      </w:r>
      <w:r w:rsidR="00EA53E2">
        <w:rPr>
          <w:rFonts w:ascii="Arial" w:eastAsia="Calibri" w:hAnsi="Arial" w:cs="Arial"/>
          <w:bCs/>
        </w:rPr>
        <w:t xml:space="preserve">revised final account </w:t>
      </w:r>
      <w:r>
        <w:rPr>
          <w:rFonts w:ascii="Arial" w:eastAsia="Calibri" w:hAnsi="Arial" w:cs="Arial"/>
          <w:bCs/>
        </w:rPr>
        <w:t xml:space="preserve">was </w:t>
      </w:r>
      <w:r w:rsidR="00EA53E2">
        <w:rPr>
          <w:rFonts w:ascii="Arial" w:eastAsia="Calibri" w:hAnsi="Arial" w:cs="Arial"/>
          <w:bCs/>
        </w:rPr>
        <w:t xml:space="preserve">never shared with </w:t>
      </w:r>
      <w:r>
        <w:rPr>
          <w:rFonts w:ascii="Arial" w:eastAsia="Calibri" w:hAnsi="Arial" w:cs="Arial"/>
          <w:bCs/>
        </w:rPr>
        <w:t>the plaintiff.</w:t>
      </w:r>
      <w:r w:rsidR="005376E3">
        <w:rPr>
          <w:rFonts w:ascii="Arial" w:eastAsia="Calibri" w:hAnsi="Arial" w:cs="Arial"/>
          <w:bCs/>
        </w:rPr>
        <w:t xml:space="preserve"> The plaintiff is aware that there is no documentary evidence of </w:t>
      </w:r>
      <w:r w:rsidR="005376E3">
        <w:rPr>
          <w:rFonts w:ascii="Arial" w:hAnsi="Arial" w:cs="Arial"/>
          <w:lang w:val="en-US"/>
        </w:rPr>
        <w:t>further work completed</w:t>
      </w:r>
      <w:r w:rsidR="00E901F2">
        <w:rPr>
          <w:rFonts w:ascii="Arial" w:hAnsi="Arial" w:cs="Arial"/>
          <w:lang w:val="en-US"/>
        </w:rPr>
        <w:t xml:space="preserve"> that</w:t>
      </w:r>
      <w:r w:rsidR="005376E3">
        <w:rPr>
          <w:rFonts w:ascii="Arial" w:hAnsi="Arial" w:cs="Arial"/>
          <w:lang w:val="en-US"/>
        </w:rPr>
        <w:t xml:space="preserve"> was not quantified but argue</w:t>
      </w:r>
      <w:r w:rsidR="00C9404D">
        <w:rPr>
          <w:rFonts w:ascii="Arial" w:hAnsi="Arial" w:cs="Arial"/>
          <w:lang w:val="en-US"/>
        </w:rPr>
        <w:t>d</w:t>
      </w:r>
      <w:r w:rsidR="005376E3">
        <w:rPr>
          <w:rFonts w:ascii="Arial" w:hAnsi="Arial" w:cs="Arial"/>
          <w:lang w:val="en-US"/>
        </w:rPr>
        <w:t xml:space="preserve"> </w:t>
      </w:r>
      <w:proofErr w:type="spellStart"/>
      <w:r w:rsidR="00E901F2">
        <w:rPr>
          <w:rFonts w:ascii="Arial" w:hAnsi="Arial" w:cs="Arial"/>
          <w:lang w:val="en-US"/>
        </w:rPr>
        <w:t>Kapuuo</w:t>
      </w:r>
      <w:proofErr w:type="spellEnd"/>
      <w:r w:rsidR="005376E3">
        <w:rPr>
          <w:rFonts w:ascii="Arial" w:hAnsi="Arial" w:cs="Arial"/>
          <w:lang w:val="en-US"/>
        </w:rPr>
        <w:t xml:space="preserve"> testi</w:t>
      </w:r>
      <w:r w:rsidR="00E901F2">
        <w:rPr>
          <w:rFonts w:ascii="Arial" w:hAnsi="Arial" w:cs="Arial"/>
          <w:lang w:val="en-US"/>
        </w:rPr>
        <w:t>fied</w:t>
      </w:r>
      <w:r w:rsidR="005376E3">
        <w:rPr>
          <w:rFonts w:ascii="Arial" w:hAnsi="Arial" w:cs="Arial"/>
          <w:lang w:val="en-US"/>
        </w:rPr>
        <w:t xml:space="preserve"> further work was completed that was not quantified and</w:t>
      </w:r>
      <w:r w:rsidR="00E901F2">
        <w:rPr>
          <w:rFonts w:ascii="Arial" w:hAnsi="Arial" w:cs="Arial"/>
          <w:lang w:val="en-US"/>
        </w:rPr>
        <w:t xml:space="preserve"> </w:t>
      </w:r>
      <w:r w:rsidR="005376E3">
        <w:rPr>
          <w:rFonts w:ascii="Arial" w:hAnsi="Arial" w:cs="Arial"/>
          <w:lang w:val="en-US"/>
        </w:rPr>
        <w:t>there is no evidence refuting that testimony.</w:t>
      </w:r>
    </w:p>
    <w:p w14:paraId="34B39E94" w14:textId="77777777" w:rsidR="005376E3" w:rsidRPr="005376E3" w:rsidRDefault="005376E3" w:rsidP="005376E3">
      <w:pPr>
        <w:pStyle w:val="ListParagraph"/>
        <w:rPr>
          <w:rFonts w:ascii="Arial" w:hAnsi="Arial" w:cs="Arial"/>
          <w:lang w:val="en-US"/>
        </w:rPr>
      </w:pPr>
    </w:p>
    <w:p w14:paraId="003963BB" w14:textId="696DE8D4" w:rsidR="005376E3" w:rsidRPr="005376E3" w:rsidRDefault="005376E3" w:rsidP="00351AE5">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According to the first defendant, the plaintiff did not prove the scope of work executed after payment certificate 28</w:t>
      </w:r>
      <w:r w:rsidR="00336A20">
        <w:rPr>
          <w:rFonts w:ascii="Arial" w:eastAsia="Calibri" w:hAnsi="Arial" w:cs="Arial"/>
          <w:bCs/>
        </w:rPr>
        <w:t>, which</w:t>
      </w:r>
      <w:r>
        <w:rPr>
          <w:rFonts w:ascii="Arial" w:eastAsia="Calibri" w:hAnsi="Arial" w:cs="Arial"/>
          <w:bCs/>
        </w:rPr>
        <w:t xml:space="preserve"> </w:t>
      </w:r>
      <w:r w:rsidR="00C246C1">
        <w:rPr>
          <w:rFonts w:ascii="Arial" w:eastAsia="Calibri" w:hAnsi="Arial" w:cs="Arial"/>
          <w:bCs/>
        </w:rPr>
        <w:t xml:space="preserve">work </w:t>
      </w:r>
      <w:r>
        <w:rPr>
          <w:rFonts w:ascii="Arial" w:eastAsia="Calibri" w:hAnsi="Arial" w:cs="Arial"/>
          <w:bCs/>
        </w:rPr>
        <w:t>was not quantified. The first defendant argue</w:t>
      </w:r>
      <w:r w:rsidR="00C27E50">
        <w:rPr>
          <w:rFonts w:ascii="Arial" w:eastAsia="Calibri" w:hAnsi="Arial" w:cs="Arial"/>
          <w:bCs/>
        </w:rPr>
        <w:t>d</w:t>
      </w:r>
      <w:r>
        <w:rPr>
          <w:rFonts w:ascii="Arial" w:eastAsia="Calibri" w:hAnsi="Arial" w:cs="Arial"/>
          <w:bCs/>
        </w:rPr>
        <w:t xml:space="preserve"> because the plaintiff did not prove that it performed work that was not quantified, the court c</w:t>
      </w:r>
      <w:r w:rsidR="00C9404D">
        <w:rPr>
          <w:rFonts w:ascii="Arial" w:eastAsia="Calibri" w:hAnsi="Arial" w:cs="Arial"/>
          <w:bCs/>
        </w:rPr>
        <w:t>an</w:t>
      </w:r>
      <w:r>
        <w:rPr>
          <w:rFonts w:ascii="Arial" w:eastAsia="Calibri" w:hAnsi="Arial" w:cs="Arial"/>
          <w:bCs/>
        </w:rPr>
        <w:t>not grant the relief sought for quantification, but the first defendant agree</w:t>
      </w:r>
      <w:r w:rsidR="00C27E50">
        <w:rPr>
          <w:rFonts w:ascii="Arial" w:eastAsia="Calibri" w:hAnsi="Arial" w:cs="Arial"/>
          <w:bCs/>
        </w:rPr>
        <w:t>d</w:t>
      </w:r>
      <w:r>
        <w:rPr>
          <w:rFonts w:ascii="Arial" w:eastAsia="Calibri" w:hAnsi="Arial" w:cs="Arial"/>
          <w:bCs/>
        </w:rPr>
        <w:t xml:space="preserve"> that the final account was not disclosed to the plaintiff.</w:t>
      </w:r>
    </w:p>
    <w:p w14:paraId="062C52EE" w14:textId="77777777" w:rsidR="005376E3" w:rsidRPr="005376E3" w:rsidRDefault="005376E3" w:rsidP="005376E3">
      <w:pPr>
        <w:pStyle w:val="ListParagraph"/>
        <w:rPr>
          <w:rFonts w:ascii="Arial" w:hAnsi="Arial" w:cs="Arial"/>
          <w:lang w:val="en-US"/>
        </w:rPr>
      </w:pPr>
    </w:p>
    <w:p w14:paraId="617E42EE" w14:textId="6B32B390" w:rsidR="005D6F08" w:rsidRDefault="005376E3" w:rsidP="0072199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first defendant misunderst</w:t>
      </w:r>
      <w:r w:rsidR="00B63A3D">
        <w:rPr>
          <w:rFonts w:ascii="Arial" w:hAnsi="Arial" w:cs="Arial"/>
          <w:lang w:val="en-US"/>
        </w:rPr>
        <w:t>ood</w:t>
      </w:r>
      <w:r>
        <w:rPr>
          <w:rFonts w:ascii="Arial" w:hAnsi="Arial" w:cs="Arial"/>
          <w:lang w:val="en-US"/>
        </w:rPr>
        <w:t xml:space="preserve"> the </w:t>
      </w:r>
      <w:r w:rsidR="00C9404D">
        <w:rPr>
          <w:rFonts w:ascii="Arial" w:hAnsi="Arial" w:cs="Arial"/>
          <w:lang w:val="en-US"/>
        </w:rPr>
        <w:t xml:space="preserve">plaintiff’s </w:t>
      </w:r>
      <w:r>
        <w:rPr>
          <w:rFonts w:ascii="Arial" w:hAnsi="Arial" w:cs="Arial"/>
          <w:lang w:val="en-US"/>
        </w:rPr>
        <w:t>prayer for placing ‘material’ before the second defendant for quantification. During oral argument</w:t>
      </w:r>
      <w:r w:rsidR="001C59A5">
        <w:rPr>
          <w:rFonts w:ascii="Arial" w:hAnsi="Arial" w:cs="Arial"/>
          <w:lang w:val="en-US"/>
        </w:rPr>
        <w:t>,</w:t>
      </w:r>
      <w:r>
        <w:rPr>
          <w:rFonts w:ascii="Arial" w:hAnsi="Arial" w:cs="Arial"/>
          <w:lang w:val="en-US"/>
        </w:rPr>
        <w:t xml:space="preserve"> the plaintiff’s counsel confirmed that the </w:t>
      </w:r>
      <w:r w:rsidR="00C9404D">
        <w:rPr>
          <w:rFonts w:ascii="Arial" w:hAnsi="Arial" w:cs="Arial"/>
          <w:lang w:val="en-US"/>
        </w:rPr>
        <w:t xml:space="preserve">reference to </w:t>
      </w:r>
      <w:r>
        <w:rPr>
          <w:rFonts w:ascii="Arial" w:hAnsi="Arial" w:cs="Arial"/>
          <w:lang w:val="en-US"/>
        </w:rPr>
        <w:t xml:space="preserve">‘material’ </w:t>
      </w:r>
      <w:r w:rsidR="00C9404D">
        <w:rPr>
          <w:rFonts w:ascii="Arial" w:hAnsi="Arial" w:cs="Arial"/>
          <w:lang w:val="en-US"/>
        </w:rPr>
        <w:t>in</w:t>
      </w:r>
      <w:r w:rsidR="00183599">
        <w:rPr>
          <w:rFonts w:ascii="Arial" w:hAnsi="Arial" w:cs="Arial"/>
          <w:lang w:val="en-US"/>
        </w:rPr>
        <w:t xml:space="preserve"> </w:t>
      </w:r>
      <w:r w:rsidR="00C9404D">
        <w:rPr>
          <w:rFonts w:ascii="Arial" w:hAnsi="Arial" w:cs="Arial"/>
          <w:lang w:val="en-US"/>
        </w:rPr>
        <w:t xml:space="preserve">prayer </w:t>
      </w:r>
      <w:r w:rsidR="00183599">
        <w:rPr>
          <w:rFonts w:ascii="Arial" w:hAnsi="Arial" w:cs="Arial"/>
          <w:lang w:val="en-US"/>
        </w:rPr>
        <w:t xml:space="preserve">1.1 of the particulars of claim </w:t>
      </w:r>
      <w:r>
        <w:rPr>
          <w:rFonts w:ascii="Arial" w:hAnsi="Arial" w:cs="Arial"/>
          <w:lang w:val="en-US"/>
        </w:rPr>
        <w:t>does not refer to a quantification of building material in the first defendant’s possession as understood by the first defendant.</w:t>
      </w:r>
    </w:p>
    <w:p w14:paraId="0FD87BAE" w14:textId="77777777" w:rsidR="008311C2" w:rsidRPr="008311C2" w:rsidRDefault="008311C2" w:rsidP="008311C2">
      <w:pPr>
        <w:pStyle w:val="ListParagraph"/>
        <w:rPr>
          <w:rFonts w:ascii="Arial" w:hAnsi="Arial" w:cs="Arial"/>
          <w:lang w:val="en-US"/>
        </w:rPr>
      </w:pPr>
    </w:p>
    <w:p w14:paraId="26D33657" w14:textId="2E29EFB5" w:rsidR="008311C2" w:rsidRPr="00721996" w:rsidRDefault="008311C2" w:rsidP="0072199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issue before the court is whether the first defendant should be ordered to </w:t>
      </w:r>
      <w:r w:rsidRPr="005D6F08">
        <w:rPr>
          <w:rFonts w:ascii="Arial" w:hAnsi="Arial" w:cs="Arial"/>
          <w:lang w:val="en-US"/>
        </w:rPr>
        <w:t>place before the second defendant, together with the plaintiff, for purposes of quantification, all material related to the work done by the plaintiff under the contract in their possession (if any)</w:t>
      </w:r>
      <w:r>
        <w:rPr>
          <w:rFonts w:ascii="Arial" w:hAnsi="Arial" w:cs="Arial"/>
          <w:lang w:val="en-US"/>
        </w:rPr>
        <w:t xml:space="preserve">, to </w:t>
      </w:r>
      <w:r w:rsidRPr="005D6F08">
        <w:rPr>
          <w:rFonts w:ascii="Arial" w:hAnsi="Arial" w:cs="Arial"/>
          <w:lang w:val="en-US"/>
        </w:rPr>
        <w:t xml:space="preserve">attend to </w:t>
      </w:r>
      <w:proofErr w:type="spellStart"/>
      <w:r w:rsidRPr="005D6F08">
        <w:rPr>
          <w:rFonts w:ascii="Arial" w:hAnsi="Arial" w:cs="Arial"/>
          <w:lang w:val="en-US"/>
        </w:rPr>
        <w:t>Fonteintjie</w:t>
      </w:r>
      <w:proofErr w:type="spellEnd"/>
      <w:r w:rsidRPr="005D6F08">
        <w:rPr>
          <w:rFonts w:ascii="Arial" w:hAnsi="Arial" w:cs="Arial"/>
          <w:lang w:val="en-US"/>
        </w:rPr>
        <w:t xml:space="preserve"> Fish Farm in the presence of the parties and/or their representatives to quantify the work done by the plaintiff until November 2019</w:t>
      </w:r>
      <w:r>
        <w:rPr>
          <w:rFonts w:ascii="Arial" w:hAnsi="Arial" w:cs="Arial"/>
          <w:lang w:val="en-US"/>
        </w:rPr>
        <w:t xml:space="preserve">, and to </w:t>
      </w:r>
      <w:r w:rsidRPr="005D6F08">
        <w:rPr>
          <w:rFonts w:ascii="Arial" w:hAnsi="Arial" w:cs="Arial"/>
          <w:lang w:val="en-US"/>
        </w:rPr>
        <w:t>pay the plaintiff the determined (quantified) amount</w:t>
      </w:r>
      <w:r>
        <w:rPr>
          <w:rFonts w:ascii="Arial" w:hAnsi="Arial" w:cs="Arial"/>
          <w:lang w:val="en-US"/>
        </w:rPr>
        <w:t xml:space="preserve">. </w:t>
      </w:r>
      <w:r w:rsidRPr="008311C2">
        <w:rPr>
          <w:rFonts w:ascii="Arial" w:hAnsi="Arial" w:cs="Arial"/>
          <w:lang w:val="en-US"/>
        </w:rPr>
        <w:t>The issue before the court is not the final account as such, nor whether</w:t>
      </w:r>
      <w:r w:rsidR="00C246C1">
        <w:rPr>
          <w:rFonts w:ascii="Arial" w:hAnsi="Arial" w:cs="Arial"/>
          <w:lang w:val="en-US"/>
        </w:rPr>
        <w:t>, on its own,</w:t>
      </w:r>
      <w:r w:rsidRPr="008311C2">
        <w:rPr>
          <w:rFonts w:ascii="Arial" w:hAnsi="Arial" w:cs="Arial"/>
          <w:lang w:val="en-US"/>
        </w:rPr>
        <w:t xml:space="preserve"> there is </w:t>
      </w:r>
      <w:r w:rsidR="00C246C1">
        <w:rPr>
          <w:rFonts w:ascii="Arial" w:hAnsi="Arial" w:cs="Arial"/>
          <w:lang w:val="en-US"/>
        </w:rPr>
        <w:t xml:space="preserve">indeed </w:t>
      </w:r>
      <w:r w:rsidRPr="008311C2">
        <w:rPr>
          <w:rFonts w:ascii="Arial" w:hAnsi="Arial" w:cs="Arial"/>
          <w:lang w:val="en-US"/>
        </w:rPr>
        <w:t>further work that was not quantified. The final account and the quantification of the work go hand in hand. The final account cannot be resolved if the work is not quantified</w:t>
      </w:r>
      <w:r w:rsidR="00C9404D">
        <w:rPr>
          <w:rFonts w:ascii="Arial" w:hAnsi="Arial" w:cs="Arial"/>
          <w:lang w:val="en-US"/>
        </w:rPr>
        <w:t>, and the plaintiff’s case is that the quantification had to be performed jointly</w:t>
      </w:r>
      <w:r w:rsidRPr="008311C2">
        <w:rPr>
          <w:rFonts w:ascii="Arial" w:hAnsi="Arial" w:cs="Arial"/>
          <w:lang w:val="en-US"/>
        </w:rPr>
        <w:t>.</w:t>
      </w:r>
      <w:r w:rsidR="00761761">
        <w:rPr>
          <w:rFonts w:ascii="Arial" w:hAnsi="Arial" w:cs="Arial"/>
          <w:lang w:val="en-US"/>
        </w:rPr>
        <w:t xml:space="preserve"> In other words, the issue before the court is whether the plaintiff is entitled to a </w:t>
      </w:r>
      <w:r w:rsidR="00B63A3D">
        <w:rPr>
          <w:rFonts w:ascii="Arial" w:hAnsi="Arial" w:cs="Arial"/>
          <w:lang w:val="en-US"/>
        </w:rPr>
        <w:t xml:space="preserve">joint </w:t>
      </w:r>
      <w:r w:rsidR="00761761">
        <w:rPr>
          <w:rFonts w:ascii="Arial" w:hAnsi="Arial" w:cs="Arial"/>
          <w:lang w:val="en-US"/>
        </w:rPr>
        <w:t xml:space="preserve">quantification of the amounts that are due, </w:t>
      </w:r>
      <w:proofErr w:type="gramStart"/>
      <w:r w:rsidR="00761761">
        <w:rPr>
          <w:rFonts w:ascii="Arial" w:hAnsi="Arial" w:cs="Arial"/>
          <w:lang w:val="en-US"/>
        </w:rPr>
        <w:t>owing</w:t>
      </w:r>
      <w:proofErr w:type="gramEnd"/>
      <w:r w:rsidR="00761761">
        <w:rPr>
          <w:rFonts w:ascii="Arial" w:hAnsi="Arial" w:cs="Arial"/>
          <w:lang w:val="en-US"/>
        </w:rPr>
        <w:t xml:space="preserve"> and payable to it for the work envisaged by the contract. </w:t>
      </w:r>
    </w:p>
    <w:p w14:paraId="43DAA231" w14:textId="77777777" w:rsidR="005D6F08" w:rsidRPr="00721996" w:rsidRDefault="005D6F08" w:rsidP="00721996">
      <w:pPr>
        <w:rPr>
          <w:rFonts w:ascii="Arial" w:hAnsi="Arial" w:cs="Arial"/>
          <w:lang w:val="en-US"/>
        </w:rPr>
      </w:pPr>
    </w:p>
    <w:p w14:paraId="34F3CEB5" w14:textId="77777777" w:rsidR="003E5D0A" w:rsidRDefault="008B1EFA" w:rsidP="0018359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 xml:space="preserve">Two dates emerged from </w:t>
      </w:r>
      <w:proofErr w:type="spellStart"/>
      <w:r>
        <w:rPr>
          <w:rFonts w:ascii="Arial" w:hAnsi="Arial" w:cs="Arial"/>
          <w:lang w:val="en-US"/>
        </w:rPr>
        <w:t>Kapuuo’s</w:t>
      </w:r>
      <w:proofErr w:type="spellEnd"/>
      <w:r>
        <w:rPr>
          <w:rFonts w:ascii="Arial" w:hAnsi="Arial" w:cs="Arial"/>
          <w:lang w:val="en-US"/>
        </w:rPr>
        <w:t xml:space="preserve"> evidence as to the period from when </w:t>
      </w:r>
      <w:r w:rsidR="00C9404D">
        <w:rPr>
          <w:rFonts w:ascii="Arial" w:hAnsi="Arial" w:cs="Arial"/>
          <w:lang w:val="en-US"/>
        </w:rPr>
        <w:t xml:space="preserve">a </w:t>
      </w:r>
      <w:r>
        <w:rPr>
          <w:rFonts w:ascii="Arial" w:hAnsi="Arial" w:cs="Arial"/>
          <w:lang w:val="en-US"/>
        </w:rPr>
        <w:t>quantification is sought, namely June 2018 and March 2019.</w:t>
      </w:r>
      <w:r w:rsidR="00183599">
        <w:rPr>
          <w:rFonts w:ascii="Arial" w:hAnsi="Arial" w:cs="Arial"/>
          <w:lang w:val="en-US"/>
        </w:rPr>
        <w:t xml:space="preserve"> </w:t>
      </w:r>
      <w:r w:rsidR="007431DD" w:rsidRPr="00183599">
        <w:rPr>
          <w:rFonts w:ascii="Arial" w:hAnsi="Arial" w:cs="Arial"/>
          <w:lang w:val="en-US"/>
        </w:rPr>
        <w:t>The plaintiff did not present</w:t>
      </w:r>
      <w:r w:rsidRPr="00183599">
        <w:rPr>
          <w:rFonts w:ascii="Arial" w:hAnsi="Arial" w:cs="Arial"/>
          <w:lang w:val="en-US"/>
        </w:rPr>
        <w:t xml:space="preserve"> </w:t>
      </w:r>
      <w:r w:rsidR="007431DD" w:rsidRPr="00183599">
        <w:rPr>
          <w:rFonts w:ascii="Arial" w:hAnsi="Arial" w:cs="Arial"/>
          <w:lang w:val="en-US"/>
        </w:rPr>
        <w:t xml:space="preserve">evidence as to the nature of the work that was not quantified. </w:t>
      </w:r>
      <w:proofErr w:type="spellStart"/>
      <w:r w:rsidR="007431DD" w:rsidRPr="00183599">
        <w:rPr>
          <w:rFonts w:ascii="Arial" w:hAnsi="Arial" w:cs="Arial"/>
          <w:lang w:val="en-US"/>
        </w:rPr>
        <w:t>Kapuuo</w:t>
      </w:r>
      <w:proofErr w:type="spellEnd"/>
      <w:r w:rsidR="007431DD" w:rsidRPr="00183599">
        <w:rPr>
          <w:rFonts w:ascii="Arial" w:hAnsi="Arial" w:cs="Arial"/>
          <w:lang w:val="en-US"/>
        </w:rPr>
        <w:t xml:space="preserve"> simply testified that </w:t>
      </w:r>
      <w:r w:rsidRPr="00183599">
        <w:rPr>
          <w:rFonts w:ascii="Arial" w:hAnsi="Arial" w:cs="Arial"/>
          <w:lang w:val="en-US"/>
        </w:rPr>
        <w:t>while correspondence was exchanged about payment certificate 24, the plaintiff continued to render construction services</w:t>
      </w:r>
      <w:r w:rsidR="00C9404D" w:rsidRPr="00183599">
        <w:rPr>
          <w:rFonts w:ascii="Arial" w:hAnsi="Arial" w:cs="Arial"/>
          <w:lang w:val="en-US"/>
        </w:rPr>
        <w:t>,</w:t>
      </w:r>
      <w:r w:rsidRPr="00183599">
        <w:rPr>
          <w:rFonts w:ascii="Arial" w:hAnsi="Arial" w:cs="Arial"/>
          <w:lang w:val="en-US"/>
        </w:rPr>
        <w:t xml:space="preserve"> and it continued to render construction services after payment certificate 28 was issue</w:t>
      </w:r>
      <w:r w:rsidR="00C9404D" w:rsidRPr="00183599">
        <w:rPr>
          <w:rFonts w:ascii="Arial" w:hAnsi="Arial" w:cs="Arial"/>
          <w:lang w:val="en-US"/>
        </w:rPr>
        <w:t>d,</w:t>
      </w:r>
      <w:r w:rsidRPr="00183599">
        <w:rPr>
          <w:rFonts w:ascii="Arial" w:hAnsi="Arial" w:cs="Arial"/>
          <w:lang w:val="en-US"/>
        </w:rPr>
        <w:t xml:space="preserve"> and despite it having carried out additional work beyond payment certificate 28, no other payment certificates were issued</w:t>
      </w:r>
      <w:r w:rsidR="007431DD" w:rsidRPr="00183599">
        <w:rPr>
          <w:rFonts w:ascii="Arial" w:hAnsi="Arial" w:cs="Arial"/>
          <w:lang w:val="en-US"/>
        </w:rPr>
        <w:t>.</w:t>
      </w:r>
      <w:r w:rsidRPr="00183599">
        <w:rPr>
          <w:rFonts w:ascii="Arial" w:hAnsi="Arial" w:cs="Arial"/>
          <w:lang w:val="en-US"/>
        </w:rPr>
        <w:t xml:space="preserve"> </w:t>
      </w:r>
      <w:r w:rsidR="00183599" w:rsidRPr="00183599">
        <w:rPr>
          <w:rFonts w:ascii="Arial" w:hAnsi="Arial" w:cs="Arial"/>
          <w:lang w:val="en-US"/>
        </w:rPr>
        <w:t xml:space="preserve">Payment certificate 28 was issued in March 2019. </w:t>
      </w:r>
    </w:p>
    <w:p w14:paraId="084DB6DF" w14:textId="77777777" w:rsidR="003E5D0A" w:rsidRPr="003E5D0A" w:rsidRDefault="003E5D0A" w:rsidP="003E5D0A">
      <w:pPr>
        <w:pStyle w:val="ListParagraph"/>
        <w:rPr>
          <w:rFonts w:ascii="Arial" w:hAnsi="Arial" w:cs="Arial"/>
          <w:lang w:val="en-US"/>
        </w:rPr>
      </w:pPr>
    </w:p>
    <w:p w14:paraId="6EFE8FBA" w14:textId="4018C375" w:rsidR="003E5D0A" w:rsidRDefault="007431DD" w:rsidP="00183599">
      <w:pPr>
        <w:pStyle w:val="ListParagraph"/>
        <w:numPr>
          <w:ilvl w:val="0"/>
          <w:numId w:val="2"/>
        </w:numPr>
        <w:spacing w:line="360" w:lineRule="auto"/>
        <w:ind w:left="0" w:firstLine="0"/>
        <w:jc w:val="both"/>
        <w:rPr>
          <w:rFonts w:ascii="Arial" w:hAnsi="Arial" w:cs="Arial"/>
          <w:lang w:val="en-US"/>
        </w:rPr>
      </w:pPr>
      <w:r w:rsidRPr="00183599">
        <w:rPr>
          <w:rFonts w:ascii="Arial" w:hAnsi="Arial" w:cs="Arial"/>
          <w:lang w:val="en-US"/>
        </w:rPr>
        <w:t xml:space="preserve">Under cross-examination, Garcia said that </w:t>
      </w:r>
      <w:proofErr w:type="spellStart"/>
      <w:r w:rsidRPr="00183599">
        <w:rPr>
          <w:rFonts w:ascii="Arial" w:hAnsi="Arial" w:cs="Arial"/>
          <w:lang w:val="en-US"/>
        </w:rPr>
        <w:t>Mr</w:t>
      </w:r>
      <w:proofErr w:type="spellEnd"/>
      <w:r w:rsidRPr="00183599">
        <w:rPr>
          <w:rFonts w:ascii="Arial" w:hAnsi="Arial" w:cs="Arial"/>
          <w:lang w:val="en-US"/>
        </w:rPr>
        <w:t xml:space="preserve"> </w:t>
      </w:r>
      <w:proofErr w:type="spellStart"/>
      <w:r w:rsidRPr="00183599">
        <w:rPr>
          <w:rFonts w:ascii="Arial" w:hAnsi="Arial" w:cs="Arial"/>
          <w:lang w:val="en-US"/>
        </w:rPr>
        <w:t>Simasiku</w:t>
      </w:r>
      <w:proofErr w:type="spellEnd"/>
      <w:r w:rsidRPr="00183599">
        <w:rPr>
          <w:rFonts w:ascii="Arial" w:hAnsi="Arial" w:cs="Arial"/>
          <w:lang w:val="en-US"/>
        </w:rPr>
        <w:t xml:space="preserve"> told her that there was no one at the site</w:t>
      </w:r>
      <w:r w:rsidR="008B1EFA" w:rsidRPr="00183599">
        <w:rPr>
          <w:rFonts w:ascii="Arial" w:hAnsi="Arial" w:cs="Arial"/>
          <w:lang w:val="en-US"/>
        </w:rPr>
        <w:t xml:space="preserve"> but she did not say which period </w:t>
      </w:r>
      <w:proofErr w:type="spellStart"/>
      <w:r w:rsidR="00183599" w:rsidRPr="00183599">
        <w:rPr>
          <w:rFonts w:ascii="Arial" w:hAnsi="Arial" w:cs="Arial"/>
          <w:lang w:val="en-US"/>
        </w:rPr>
        <w:t>Mr</w:t>
      </w:r>
      <w:proofErr w:type="spellEnd"/>
      <w:r w:rsidR="00183599" w:rsidRPr="00183599">
        <w:rPr>
          <w:rFonts w:ascii="Arial" w:hAnsi="Arial" w:cs="Arial"/>
          <w:lang w:val="en-US"/>
        </w:rPr>
        <w:t xml:space="preserve"> </w:t>
      </w:r>
      <w:proofErr w:type="spellStart"/>
      <w:r w:rsidR="00183599" w:rsidRPr="00183599">
        <w:rPr>
          <w:rFonts w:ascii="Arial" w:hAnsi="Arial" w:cs="Arial"/>
          <w:lang w:val="en-US"/>
        </w:rPr>
        <w:t>Simasiku</w:t>
      </w:r>
      <w:proofErr w:type="spellEnd"/>
      <w:r w:rsidR="00183599" w:rsidRPr="00183599">
        <w:rPr>
          <w:rFonts w:ascii="Arial" w:hAnsi="Arial" w:cs="Arial"/>
          <w:lang w:val="en-US"/>
        </w:rPr>
        <w:t xml:space="preserve"> refer</w:t>
      </w:r>
      <w:r w:rsidR="00B1278B">
        <w:rPr>
          <w:rFonts w:ascii="Arial" w:hAnsi="Arial" w:cs="Arial"/>
          <w:lang w:val="en-US"/>
        </w:rPr>
        <w:t>red</w:t>
      </w:r>
      <w:r w:rsidR="00183599" w:rsidRPr="00183599">
        <w:rPr>
          <w:rFonts w:ascii="Arial" w:hAnsi="Arial" w:cs="Arial"/>
          <w:lang w:val="en-US"/>
        </w:rPr>
        <w:t xml:space="preserve"> to</w:t>
      </w:r>
      <w:r w:rsidR="008B1EFA" w:rsidRPr="00183599">
        <w:rPr>
          <w:rFonts w:ascii="Arial" w:hAnsi="Arial" w:cs="Arial"/>
          <w:lang w:val="en-US"/>
        </w:rPr>
        <w:t xml:space="preserve">. </w:t>
      </w:r>
      <w:r w:rsidRPr="00183599">
        <w:rPr>
          <w:rFonts w:ascii="Arial" w:hAnsi="Arial" w:cs="Arial"/>
          <w:lang w:val="en-US"/>
        </w:rPr>
        <w:t xml:space="preserve">Garcia herself </w:t>
      </w:r>
      <w:r w:rsidR="00C246C1">
        <w:rPr>
          <w:rFonts w:ascii="Arial" w:hAnsi="Arial" w:cs="Arial"/>
          <w:lang w:val="en-US"/>
        </w:rPr>
        <w:t xml:space="preserve">also </w:t>
      </w:r>
      <w:r w:rsidRPr="00183599">
        <w:rPr>
          <w:rFonts w:ascii="Arial" w:hAnsi="Arial" w:cs="Arial"/>
          <w:lang w:val="en-US"/>
        </w:rPr>
        <w:t>said that all work was quantified.</w:t>
      </w:r>
      <w:r w:rsidR="008B1EFA" w:rsidRPr="00183599">
        <w:rPr>
          <w:rFonts w:ascii="Arial" w:hAnsi="Arial" w:cs="Arial"/>
          <w:lang w:val="en-US"/>
        </w:rPr>
        <w:t xml:space="preserve"> Garcia was, however, the principal agent, and</w:t>
      </w:r>
      <w:r w:rsidR="00B1278B">
        <w:rPr>
          <w:rFonts w:ascii="Arial" w:hAnsi="Arial" w:cs="Arial"/>
          <w:lang w:val="en-US"/>
        </w:rPr>
        <w:t xml:space="preserve"> </w:t>
      </w:r>
      <w:r w:rsidR="008B1EFA" w:rsidRPr="00183599">
        <w:rPr>
          <w:rFonts w:ascii="Arial" w:hAnsi="Arial" w:cs="Arial"/>
          <w:lang w:val="en-US"/>
        </w:rPr>
        <w:t>said that</w:t>
      </w:r>
      <w:r w:rsidR="00183599" w:rsidRPr="00183599">
        <w:rPr>
          <w:rFonts w:ascii="Arial" w:hAnsi="Arial" w:cs="Arial"/>
          <w:lang w:val="en-US"/>
        </w:rPr>
        <w:t>,</w:t>
      </w:r>
      <w:r w:rsidR="008B1EFA" w:rsidRPr="00183599">
        <w:rPr>
          <w:rFonts w:ascii="Arial" w:hAnsi="Arial" w:cs="Arial"/>
          <w:lang w:val="en-US"/>
        </w:rPr>
        <w:t xml:space="preserve"> at the site meeting o</w:t>
      </w:r>
      <w:r w:rsidR="00B1278B">
        <w:rPr>
          <w:rFonts w:ascii="Arial" w:hAnsi="Arial" w:cs="Arial"/>
          <w:lang w:val="en-US"/>
        </w:rPr>
        <w:t>f</w:t>
      </w:r>
      <w:r w:rsidR="008B1EFA" w:rsidRPr="00183599">
        <w:rPr>
          <w:rFonts w:ascii="Arial" w:hAnsi="Arial" w:cs="Arial"/>
          <w:lang w:val="en-US"/>
        </w:rPr>
        <w:t xml:space="preserve"> 26 November 2019, the professional team went through the site, and each attended to their </w:t>
      </w:r>
      <w:r w:rsidR="00B1278B">
        <w:rPr>
          <w:rFonts w:ascii="Arial" w:hAnsi="Arial" w:cs="Arial"/>
          <w:lang w:val="en-US"/>
        </w:rPr>
        <w:t xml:space="preserve">respective </w:t>
      </w:r>
      <w:r w:rsidR="008B1EFA" w:rsidRPr="00183599">
        <w:rPr>
          <w:rFonts w:ascii="Arial" w:hAnsi="Arial" w:cs="Arial"/>
          <w:lang w:val="en-US"/>
        </w:rPr>
        <w:t xml:space="preserve">discipline. Garcia’s testimony that all work was quantified </w:t>
      </w:r>
      <w:r w:rsidR="00F11656">
        <w:rPr>
          <w:rFonts w:ascii="Arial" w:hAnsi="Arial" w:cs="Arial"/>
          <w:lang w:val="en-US"/>
        </w:rPr>
        <w:t>is</w:t>
      </w:r>
      <w:r w:rsidR="008B1EFA" w:rsidRPr="00183599">
        <w:rPr>
          <w:rFonts w:ascii="Arial" w:hAnsi="Arial" w:cs="Arial"/>
          <w:lang w:val="en-US"/>
        </w:rPr>
        <w:t xml:space="preserve">, therefore, not accepted as evidence that all work was indeed quantified. </w:t>
      </w:r>
      <w:r w:rsidR="00183599" w:rsidRPr="00183599">
        <w:rPr>
          <w:rFonts w:ascii="Arial" w:hAnsi="Arial" w:cs="Arial"/>
          <w:lang w:val="en-US"/>
        </w:rPr>
        <w:t>Garcia cannot testify on behalf of the other disciplines and what th</w:t>
      </w:r>
      <w:r w:rsidR="00761761">
        <w:rPr>
          <w:rFonts w:ascii="Arial" w:hAnsi="Arial" w:cs="Arial"/>
          <w:lang w:val="en-US"/>
        </w:rPr>
        <w:t>e representatives of those disciplines</w:t>
      </w:r>
      <w:r w:rsidR="00183599" w:rsidRPr="00183599">
        <w:rPr>
          <w:rFonts w:ascii="Arial" w:hAnsi="Arial" w:cs="Arial"/>
          <w:lang w:val="en-US"/>
        </w:rPr>
        <w:t xml:space="preserve"> did or did not do at that site meeting</w:t>
      </w:r>
      <w:r w:rsidR="003E5D0A">
        <w:rPr>
          <w:rFonts w:ascii="Arial" w:hAnsi="Arial" w:cs="Arial"/>
          <w:lang w:val="en-US"/>
        </w:rPr>
        <w:t>, at least not by virtue of the evidence that she presented</w:t>
      </w:r>
      <w:r w:rsidR="00183599" w:rsidRPr="00183599">
        <w:rPr>
          <w:rFonts w:ascii="Arial" w:hAnsi="Arial" w:cs="Arial"/>
          <w:lang w:val="en-US"/>
        </w:rPr>
        <w:t xml:space="preserve">. </w:t>
      </w:r>
    </w:p>
    <w:p w14:paraId="36DCC151" w14:textId="77777777" w:rsidR="003E5D0A" w:rsidRPr="003E5D0A" w:rsidRDefault="003E5D0A" w:rsidP="003E5D0A">
      <w:pPr>
        <w:pStyle w:val="ListParagraph"/>
        <w:rPr>
          <w:rFonts w:ascii="Arial" w:hAnsi="Arial" w:cs="Arial"/>
          <w:lang w:val="en-US"/>
        </w:rPr>
      </w:pPr>
    </w:p>
    <w:p w14:paraId="44858E2B" w14:textId="0AAF77C5" w:rsidR="003E5D0A" w:rsidRDefault="00761761" w:rsidP="0018359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Nel himself was not present at the site meeting of 26 November 2019. Furthermore, </w:t>
      </w:r>
      <w:r w:rsidR="008B1EFA" w:rsidRPr="00183599">
        <w:rPr>
          <w:rFonts w:ascii="Arial" w:hAnsi="Arial" w:cs="Arial"/>
          <w:lang w:val="en-US"/>
        </w:rPr>
        <w:t xml:space="preserve">Nel did not take the </w:t>
      </w:r>
      <w:r w:rsidR="003E5D0A">
        <w:rPr>
          <w:rFonts w:ascii="Arial" w:hAnsi="Arial" w:cs="Arial"/>
          <w:lang w:val="en-US"/>
        </w:rPr>
        <w:t>re</w:t>
      </w:r>
      <w:r w:rsidR="008B1EFA" w:rsidRPr="00183599">
        <w:rPr>
          <w:rFonts w:ascii="Arial" w:hAnsi="Arial" w:cs="Arial"/>
          <w:lang w:val="en-US"/>
        </w:rPr>
        <w:t xml:space="preserve">measurements himself. His testimony </w:t>
      </w:r>
      <w:r w:rsidR="00F11656">
        <w:rPr>
          <w:rFonts w:ascii="Arial" w:hAnsi="Arial" w:cs="Arial"/>
          <w:lang w:val="en-US"/>
        </w:rPr>
        <w:t>is</w:t>
      </w:r>
      <w:r w:rsidR="008B1EFA" w:rsidRPr="00183599">
        <w:rPr>
          <w:rFonts w:ascii="Arial" w:hAnsi="Arial" w:cs="Arial"/>
          <w:lang w:val="en-US"/>
        </w:rPr>
        <w:t xml:space="preserve"> also not accepted as evidence that all work was indeed quantified.</w:t>
      </w:r>
      <w:r w:rsidR="00183599" w:rsidRPr="00183599">
        <w:rPr>
          <w:rFonts w:ascii="Arial" w:hAnsi="Arial" w:cs="Arial"/>
          <w:lang w:val="en-US"/>
        </w:rPr>
        <w:t xml:space="preserve"> Moreover, Nel testified that the measurements that resulted in the final account were not taken at th</w:t>
      </w:r>
      <w:r w:rsidR="003E5D0A">
        <w:rPr>
          <w:rFonts w:ascii="Arial" w:hAnsi="Arial" w:cs="Arial"/>
          <w:lang w:val="en-US"/>
        </w:rPr>
        <w:t>e</w:t>
      </w:r>
      <w:r w:rsidR="00183599" w:rsidRPr="00183599">
        <w:rPr>
          <w:rFonts w:ascii="Arial" w:hAnsi="Arial" w:cs="Arial"/>
          <w:lang w:val="en-US"/>
        </w:rPr>
        <w:t xml:space="preserve"> site meeting</w:t>
      </w:r>
      <w:r w:rsidR="003E5D0A">
        <w:rPr>
          <w:rFonts w:ascii="Arial" w:hAnsi="Arial" w:cs="Arial"/>
          <w:lang w:val="en-US"/>
        </w:rPr>
        <w:t xml:space="preserve"> of 26 November 2019</w:t>
      </w:r>
      <w:r w:rsidR="00183599" w:rsidRPr="00183599">
        <w:rPr>
          <w:rFonts w:ascii="Arial" w:hAnsi="Arial" w:cs="Arial"/>
          <w:lang w:val="en-US"/>
        </w:rPr>
        <w:t>.</w:t>
      </w:r>
      <w:r w:rsidR="008B1EFA" w:rsidRPr="00183599">
        <w:rPr>
          <w:rFonts w:ascii="Arial" w:hAnsi="Arial" w:cs="Arial"/>
          <w:lang w:val="en-US"/>
        </w:rPr>
        <w:t xml:space="preserve"> </w:t>
      </w:r>
      <w:r w:rsidR="003E5D0A">
        <w:rPr>
          <w:rFonts w:ascii="Arial" w:hAnsi="Arial" w:cs="Arial"/>
          <w:lang w:val="en-US"/>
        </w:rPr>
        <w:t>Nel’s</w:t>
      </w:r>
      <w:r w:rsidR="00183599" w:rsidRPr="00183599">
        <w:rPr>
          <w:rFonts w:ascii="Arial" w:hAnsi="Arial" w:cs="Arial"/>
          <w:lang w:val="en-US"/>
        </w:rPr>
        <w:t xml:space="preserve"> email of 27 April 2020 itself states that a separate site visit was undertaken to remeasure the work done. </w:t>
      </w:r>
    </w:p>
    <w:p w14:paraId="52ABDACA" w14:textId="77777777" w:rsidR="003E5D0A" w:rsidRPr="003E5D0A" w:rsidRDefault="003E5D0A" w:rsidP="003E5D0A">
      <w:pPr>
        <w:pStyle w:val="ListParagraph"/>
        <w:rPr>
          <w:rFonts w:ascii="Arial" w:hAnsi="Arial" w:cs="Arial"/>
          <w:lang w:val="en-US"/>
        </w:rPr>
      </w:pPr>
    </w:p>
    <w:p w14:paraId="1E44110F" w14:textId="10414064" w:rsidR="00B1278B" w:rsidRDefault="00B1278B" w:rsidP="00183599">
      <w:pPr>
        <w:pStyle w:val="ListParagraph"/>
        <w:numPr>
          <w:ilvl w:val="0"/>
          <w:numId w:val="2"/>
        </w:numPr>
        <w:spacing w:line="360" w:lineRule="auto"/>
        <w:ind w:left="0" w:firstLine="0"/>
        <w:jc w:val="both"/>
        <w:rPr>
          <w:rFonts w:ascii="Arial" w:hAnsi="Arial" w:cs="Arial"/>
          <w:lang w:val="en-US"/>
        </w:rPr>
      </w:pPr>
      <w:proofErr w:type="spellStart"/>
      <w:r w:rsidRPr="00183599">
        <w:rPr>
          <w:rFonts w:ascii="Arial" w:hAnsi="Arial" w:cs="Arial"/>
          <w:lang w:val="en-US"/>
        </w:rPr>
        <w:t>Kapuuo’s</w:t>
      </w:r>
      <w:proofErr w:type="spellEnd"/>
      <w:r w:rsidRPr="00183599">
        <w:rPr>
          <w:rFonts w:ascii="Arial" w:hAnsi="Arial" w:cs="Arial"/>
          <w:lang w:val="en-US"/>
        </w:rPr>
        <w:t xml:space="preserve"> testimony </w:t>
      </w:r>
      <w:r>
        <w:rPr>
          <w:rFonts w:ascii="Arial" w:hAnsi="Arial" w:cs="Arial"/>
          <w:lang w:val="en-US"/>
        </w:rPr>
        <w:t>is</w:t>
      </w:r>
      <w:r w:rsidRPr="00183599">
        <w:rPr>
          <w:rFonts w:ascii="Arial" w:hAnsi="Arial" w:cs="Arial"/>
          <w:lang w:val="en-US"/>
        </w:rPr>
        <w:t xml:space="preserve"> accepted as firsthand evidence of whether additional work was done</w:t>
      </w:r>
      <w:r>
        <w:rPr>
          <w:rFonts w:ascii="Arial" w:hAnsi="Arial" w:cs="Arial"/>
          <w:lang w:val="en-US"/>
        </w:rPr>
        <w:t xml:space="preserve"> that was not quantified at the last site meeting but his </w:t>
      </w:r>
      <w:r w:rsidRPr="00183599">
        <w:rPr>
          <w:rFonts w:ascii="Arial" w:hAnsi="Arial" w:cs="Arial"/>
          <w:lang w:val="en-US"/>
        </w:rPr>
        <w:t>evidence on the subject</w:t>
      </w:r>
      <w:r>
        <w:rPr>
          <w:rFonts w:ascii="Arial" w:hAnsi="Arial" w:cs="Arial"/>
          <w:lang w:val="en-US"/>
        </w:rPr>
        <w:t xml:space="preserve"> </w:t>
      </w:r>
      <w:r w:rsidRPr="00183599">
        <w:rPr>
          <w:rFonts w:ascii="Arial" w:hAnsi="Arial" w:cs="Arial"/>
          <w:lang w:val="en-US"/>
        </w:rPr>
        <w:t>lack</w:t>
      </w:r>
      <w:r>
        <w:rPr>
          <w:rFonts w:ascii="Arial" w:hAnsi="Arial" w:cs="Arial"/>
          <w:lang w:val="en-US"/>
        </w:rPr>
        <w:t>ed particularity</w:t>
      </w:r>
      <w:r w:rsidRPr="00183599">
        <w:rPr>
          <w:rFonts w:ascii="Arial" w:hAnsi="Arial" w:cs="Arial"/>
          <w:lang w:val="en-US"/>
        </w:rPr>
        <w:t>. Does that mean that the plaintiff’s quantification claim should not succeed? No.</w:t>
      </w:r>
      <w:r>
        <w:rPr>
          <w:rFonts w:ascii="Arial" w:hAnsi="Arial" w:cs="Arial"/>
          <w:lang w:val="en-US"/>
        </w:rPr>
        <w:t xml:space="preserve"> The court says so for the following reasons.</w:t>
      </w:r>
    </w:p>
    <w:p w14:paraId="344F3668" w14:textId="77777777" w:rsidR="00B1278B" w:rsidRPr="00B1278B" w:rsidRDefault="00B1278B" w:rsidP="00B1278B">
      <w:pPr>
        <w:pStyle w:val="ListParagraph"/>
        <w:rPr>
          <w:rFonts w:ascii="Arial" w:hAnsi="Arial" w:cs="Arial"/>
          <w:lang w:val="en-US"/>
        </w:rPr>
      </w:pPr>
    </w:p>
    <w:p w14:paraId="54372F69" w14:textId="234D47EE" w:rsidR="007431DD" w:rsidRPr="00183599" w:rsidRDefault="00183599" w:rsidP="00183599">
      <w:pPr>
        <w:pStyle w:val="ListParagraph"/>
        <w:numPr>
          <w:ilvl w:val="0"/>
          <w:numId w:val="2"/>
        </w:numPr>
        <w:spacing w:line="360" w:lineRule="auto"/>
        <w:ind w:left="0" w:firstLine="0"/>
        <w:jc w:val="both"/>
        <w:rPr>
          <w:rFonts w:ascii="Arial" w:hAnsi="Arial" w:cs="Arial"/>
          <w:lang w:val="en-US"/>
        </w:rPr>
      </w:pPr>
      <w:r w:rsidRPr="00183599">
        <w:rPr>
          <w:rFonts w:ascii="Arial" w:hAnsi="Arial" w:cs="Arial"/>
          <w:lang w:val="en-US"/>
        </w:rPr>
        <w:lastRenderedPageBreak/>
        <w:t xml:space="preserve">The final account was clearly not compiled </w:t>
      </w:r>
      <w:proofErr w:type="gramStart"/>
      <w:r w:rsidRPr="00183599">
        <w:rPr>
          <w:rFonts w:ascii="Arial" w:hAnsi="Arial" w:cs="Arial"/>
          <w:lang w:val="en-US"/>
        </w:rPr>
        <w:t>as a result of</w:t>
      </w:r>
      <w:proofErr w:type="gramEnd"/>
      <w:r w:rsidRPr="00183599">
        <w:rPr>
          <w:rFonts w:ascii="Arial" w:hAnsi="Arial" w:cs="Arial"/>
          <w:lang w:val="en-US"/>
        </w:rPr>
        <w:t xml:space="preserve"> the site meeting o</w:t>
      </w:r>
      <w:r w:rsidR="00B1278B">
        <w:rPr>
          <w:rFonts w:ascii="Arial" w:hAnsi="Arial" w:cs="Arial"/>
          <w:lang w:val="en-US"/>
        </w:rPr>
        <w:t>f</w:t>
      </w:r>
      <w:r w:rsidRPr="00183599">
        <w:rPr>
          <w:rFonts w:ascii="Arial" w:hAnsi="Arial" w:cs="Arial"/>
          <w:lang w:val="en-US"/>
        </w:rPr>
        <w:t xml:space="preserve"> 26 November 2019</w:t>
      </w:r>
      <w:r w:rsidR="00B1278B">
        <w:rPr>
          <w:rFonts w:ascii="Arial" w:hAnsi="Arial" w:cs="Arial"/>
          <w:lang w:val="en-US"/>
        </w:rPr>
        <w:t>, and t</w:t>
      </w:r>
      <w:r w:rsidR="00461314">
        <w:rPr>
          <w:rFonts w:ascii="Arial" w:hAnsi="Arial" w:cs="Arial"/>
          <w:lang w:val="en-US"/>
        </w:rPr>
        <w:t>he court finds that the work was not quantified for the purpose of the final account at th</w:t>
      </w:r>
      <w:r w:rsidR="00B1278B">
        <w:rPr>
          <w:rFonts w:ascii="Arial" w:hAnsi="Arial" w:cs="Arial"/>
          <w:lang w:val="en-US"/>
        </w:rPr>
        <w:t>at</w:t>
      </w:r>
      <w:r w:rsidR="00461314">
        <w:rPr>
          <w:rFonts w:ascii="Arial" w:hAnsi="Arial" w:cs="Arial"/>
          <w:lang w:val="en-US"/>
        </w:rPr>
        <w:t xml:space="preserve"> site meeting.</w:t>
      </w:r>
    </w:p>
    <w:p w14:paraId="6422A0AA" w14:textId="77777777" w:rsidR="007431DD" w:rsidRPr="007431DD" w:rsidRDefault="007431DD" w:rsidP="007431DD">
      <w:pPr>
        <w:pStyle w:val="ListParagraph"/>
        <w:rPr>
          <w:rFonts w:ascii="Arial" w:hAnsi="Arial" w:cs="Arial"/>
          <w:lang w:val="en-US"/>
        </w:rPr>
      </w:pPr>
    </w:p>
    <w:p w14:paraId="7530D9B8" w14:textId="460043F3" w:rsidR="00B1278B" w:rsidRDefault="00B1278B" w:rsidP="00B1278B">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Nel testified that he emailed the final account to </w:t>
      </w:r>
      <w:proofErr w:type="spellStart"/>
      <w:r>
        <w:rPr>
          <w:rFonts w:ascii="Arial" w:hAnsi="Arial" w:cs="Arial"/>
          <w:lang w:val="en-US"/>
        </w:rPr>
        <w:t>Kapuuo</w:t>
      </w:r>
      <w:proofErr w:type="spellEnd"/>
      <w:r>
        <w:rPr>
          <w:rFonts w:ascii="Arial" w:hAnsi="Arial" w:cs="Arial"/>
          <w:lang w:val="en-US"/>
        </w:rPr>
        <w:t xml:space="preserve"> on 27 April 2020, but </w:t>
      </w:r>
      <w:proofErr w:type="spellStart"/>
      <w:r>
        <w:rPr>
          <w:rFonts w:ascii="Arial" w:hAnsi="Arial" w:cs="Arial"/>
          <w:lang w:val="en-US"/>
        </w:rPr>
        <w:t>Kapuuo</w:t>
      </w:r>
      <w:proofErr w:type="spellEnd"/>
      <w:r>
        <w:rPr>
          <w:rFonts w:ascii="Arial" w:hAnsi="Arial" w:cs="Arial"/>
          <w:lang w:val="en-US"/>
        </w:rPr>
        <w:t xml:space="preserve"> said he did not receive it. There is no reason why the court should not believe </w:t>
      </w:r>
      <w:proofErr w:type="spellStart"/>
      <w:r>
        <w:rPr>
          <w:rFonts w:ascii="Arial" w:hAnsi="Arial" w:cs="Arial"/>
          <w:lang w:val="en-US"/>
        </w:rPr>
        <w:t>Kapuuo</w:t>
      </w:r>
      <w:proofErr w:type="spellEnd"/>
      <w:r>
        <w:rPr>
          <w:rFonts w:ascii="Arial" w:hAnsi="Arial" w:cs="Arial"/>
          <w:lang w:val="en-US"/>
        </w:rPr>
        <w:t xml:space="preserve"> in that regard. The first defendant failed to rebut </w:t>
      </w:r>
      <w:proofErr w:type="spellStart"/>
      <w:r>
        <w:rPr>
          <w:rFonts w:ascii="Arial" w:hAnsi="Arial" w:cs="Arial"/>
          <w:lang w:val="en-US"/>
        </w:rPr>
        <w:t>Kapuuo’s</w:t>
      </w:r>
      <w:proofErr w:type="spellEnd"/>
      <w:r>
        <w:rPr>
          <w:rFonts w:ascii="Arial" w:hAnsi="Arial" w:cs="Arial"/>
          <w:lang w:val="en-US"/>
        </w:rPr>
        <w:t xml:space="preserve"> evidence that the final account was not shared with the plaintiff. Moreover, it transpired there is a revised final account that was never shared with the plaintiff.</w:t>
      </w:r>
    </w:p>
    <w:p w14:paraId="6E1D64E6" w14:textId="77777777" w:rsidR="00B1278B" w:rsidRPr="00B1278B" w:rsidRDefault="00B1278B" w:rsidP="00B1278B">
      <w:pPr>
        <w:pStyle w:val="ListParagraph"/>
        <w:rPr>
          <w:rFonts w:ascii="Arial" w:hAnsi="Arial" w:cs="Arial"/>
          <w:lang w:val="en-US"/>
        </w:rPr>
      </w:pPr>
    </w:p>
    <w:p w14:paraId="6997781E" w14:textId="37ED69C1" w:rsidR="00721996" w:rsidRPr="00B1278B" w:rsidRDefault="00B1278B" w:rsidP="00B1278B">
      <w:pPr>
        <w:pStyle w:val="ListParagraph"/>
        <w:numPr>
          <w:ilvl w:val="0"/>
          <w:numId w:val="2"/>
        </w:numPr>
        <w:spacing w:line="360" w:lineRule="auto"/>
        <w:ind w:left="0" w:firstLine="0"/>
        <w:jc w:val="both"/>
        <w:rPr>
          <w:rFonts w:ascii="Arial" w:hAnsi="Arial" w:cs="Arial"/>
          <w:lang w:val="en-US"/>
        </w:rPr>
      </w:pPr>
      <w:proofErr w:type="spellStart"/>
      <w:r w:rsidRPr="007431DD">
        <w:rPr>
          <w:rFonts w:ascii="Arial" w:hAnsi="Arial" w:cs="Arial"/>
          <w:lang w:val="en-US"/>
        </w:rPr>
        <w:t>Kapuuo</w:t>
      </w:r>
      <w:proofErr w:type="spellEnd"/>
      <w:r w:rsidRPr="007431DD">
        <w:rPr>
          <w:rFonts w:ascii="Arial" w:hAnsi="Arial" w:cs="Arial"/>
          <w:lang w:val="en-US"/>
        </w:rPr>
        <w:t xml:space="preserve"> testified about the process </w:t>
      </w:r>
      <w:r>
        <w:rPr>
          <w:rFonts w:ascii="Arial" w:hAnsi="Arial" w:cs="Arial"/>
          <w:lang w:val="en-US"/>
        </w:rPr>
        <w:t xml:space="preserve">followed </w:t>
      </w:r>
      <w:r w:rsidRPr="007431DD">
        <w:rPr>
          <w:rFonts w:ascii="Arial" w:hAnsi="Arial" w:cs="Arial"/>
          <w:lang w:val="en-US"/>
        </w:rPr>
        <w:t xml:space="preserve">on the ground to determine whether payment was due to it. </w:t>
      </w:r>
      <w:r>
        <w:rPr>
          <w:rFonts w:ascii="Arial" w:hAnsi="Arial" w:cs="Arial"/>
          <w:lang w:val="en-US"/>
        </w:rPr>
        <w:t xml:space="preserve">The evidence presented showed that the process to determine whether further payments would be due to the plaintiff was a joint process and not a unilateral one by the professional team. </w:t>
      </w:r>
      <w:r w:rsidRPr="007431DD">
        <w:rPr>
          <w:rFonts w:ascii="Arial" w:hAnsi="Arial" w:cs="Arial"/>
          <w:lang w:val="en-US"/>
        </w:rPr>
        <w:t xml:space="preserve">That process </w:t>
      </w:r>
      <w:r>
        <w:rPr>
          <w:rFonts w:ascii="Arial" w:hAnsi="Arial" w:cs="Arial"/>
          <w:lang w:val="en-US"/>
        </w:rPr>
        <w:t>i</w:t>
      </w:r>
      <w:r w:rsidRPr="007431DD">
        <w:rPr>
          <w:rFonts w:ascii="Arial" w:hAnsi="Arial" w:cs="Arial"/>
          <w:lang w:val="en-US"/>
        </w:rPr>
        <w:t xml:space="preserve">s </w:t>
      </w:r>
      <w:r>
        <w:rPr>
          <w:rFonts w:ascii="Arial" w:hAnsi="Arial" w:cs="Arial"/>
          <w:lang w:val="en-US"/>
        </w:rPr>
        <w:t>un</w:t>
      </w:r>
      <w:r w:rsidRPr="007431DD">
        <w:rPr>
          <w:rFonts w:ascii="Arial" w:hAnsi="Arial" w:cs="Arial"/>
          <w:lang w:val="en-US"/>
        </w:rPr>
        <w:t>disputed.</w:t>
      </w:r>
      <w:r>
        <w:rPr>
          <w:rFonts w:ascii="Arial" w:hAnsi="Arial" w:cs="Arial"/>
          <w:lang w:val="en-US"/>
        </w:rPr>
        <w:t xml:space="preserve"> The evidence further showed that Nel wanted to meet with the plaintiff about the final account. The email dated 27 April 2020 makes that plan. Nel himself agreed it must have been discussed with the plaintiff. The correspondence showed the first defendant was of the view that the final account was unresolved, and through its lawyers, the first defendant wanted to discuss the final account with the plaintiff. That is undisputed. The second defendant was of the view that once the final account was prepared, it had to be discussed with the plaintiff. The final account was, however, not discussed with the plaintiff as envisaged in the correspondence that was exchanged and the evidence presented, and it clearly remains unresolved. Moreover, the revised final account was not even given to the plaintiff. According to clause 13 of the notes to tenders in the bills of quantities which Nel referred to in his testimony, the tenderer (the plaintiff) is to </w:t>
      </w:r>
      <w:proofErr w:type="spellStart"/>
      <w:r>
        <w:rPr>
          <w:rFonts w:ascii="Arial" w:hAnsi="Arial" w:cs="Arial"/>
          <w:lang w:val="en-US"/>
        </w:rPr>
        <w:t>finalise</w:t>
      </w:r>
      <w:proofErr w:type="spellEnd"/>
      <w:r>
        <w:rPr>
          <w:rFonts w:ascii="Arial" w:hAnsi="Arial" w:cs="Arial"/>
          <w:lang w:val="en-US"/>
        </w:rPr>
        <w:t xml:space="preserve"> the final account with the quantity surveyor (Nel).</w:t>
      </w:r>
    </w:p>
    <w:p w14:paraId="5258EF13" w14:textId="77777777" w:rsidR="00721996" w:rsidRPr="00721996" w:rsidRDefault="00721996" w:rsidP="00721996">
      <w:pPr>
        <w:pStyle w:val="ListParagraph"/>
        <w:rPr>
          <w:rFonts w:ascii="Arial" w:hAnsi="Arial" w:cs="Arial"/>
          <w:lang w:val="en-US"/>
        </w:rPr>
      </w:pPr>
    </w:p>
    <w:p w14:paraId="70F32C3E" w14:textId="54DDD961" w:rsidR="00D16A30" w:rsidRDefault="00D16A30" w:rsidP="00C4109D">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It clearly emerges a joint quantification did not take place and the final account remains unresolved.</w:t>
      </w:r>
    </w:p>
    <w:p w14:paraId="3BF53A70" w14:textId="77777777" w:rsidR="00D16A30" w:rsidRPr="00D16A30" w:rsidRDefault="00D16A30" w:rsidP="00D16A30">
      <w:pPr>
        <w:pStyle w:val="ListParagraph"/>
        <w:rPr>
          <w:rFonts w:ascii="Arial" w:hAnsi="Arial" w:cs="Arial"/>
          <w:lang w:val="en-US"/>
        </w:rPr>
      </w:pPr>
    </w:p>
    <w:p w14:paraId="0D36521F" w14:textId="21F5E231" w:rsidR="00C25381" w:rsidRDefault="00C25381" w:rsidP="00C4109D">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In those circumstances, the plaintiff’s claim for quantification should succeed.</w:t>
      </w:r>
    </w:p>
    <w:p w14:paraId="774F2349" w14:textId="77777777" w:rsidR="007431DD" w:rsidRPr="007431DD" w:rsidRDefault="007431DD" w:rsidP="007431DD">
      <w:pPr>
        <w:pStyle w:val="ListParagraph"/>
        <w:rPr>
          <w:rFonts w:ascii="Arial" w:hAnsi="Arial" w:cs="Arial"/>
          <w:lang w:val="en-US"/>
        </w:rPr>
      </w:pPr>
    </w:p>
    <w:p w14:paraId="7E5156C8" w14:textId="1AECF844" w:rsidR="00C4109D" w:rsidRPr="00C4109D" w:rsidRDefault="00C4109D" w:rsidP="00C4109D">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 xml:space="preserve">The court now deals with the claim for damages allegedly suffered because of the performance guarantee.  </w:t>
      </w:r>
    </w:p>
    <w:p w14:paraId="117B2C12" w14:textId="77777777" w:rsidR="00C4109D" w:rsidRPr="00C4109D" w:rsidRDefault="00C4109D" w:rsidP="00C4109D">
      <w:pPr>
        <w:pStyle w:val="ListParagraph"/>
        <w:rPr>
          <w:rFonts w:ascii="Arial" w:eastAsia="Calibri" w:hAnsi="Arial" w:cs="Arial"/>
          <w:bCs/>
        </w:rPr>
      </w:pPr>
    </w:p>
    <w:p w14:paraId="78F553B1" w14:textId="3DF7DD12" w:rsidR="00403325" w:rsidRDefault="007D1B11" w:rsidP="004E5F07">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 xml:space="preserve">The court asked the plaintiff’s counsel, with reference to the particulars of claim, what is the plaintiff’s cause of action for </w:t>
      </w:r>
      <w:r w:rsidR="00D74D66">
        <w:rPr>
          <w:rFonts w:ascii="Arial" w:eastAsia="Calibri" w:hAnsi="Arial" w:cs="Arial"/>
          <w:bCs/>
        </w:rPr>
        <w:t>its</w:t>
      </w:r>
      <w:r>
        <w:rPr>
          <w:rFonts w:ascii="Arial" w:eastAsia="Calibri" w:hAnsi="Arial" w:cs="Arial"/>
          <w:bCs/>
        </w:rPr>
        <w:t xml:space="preserve"> monetary claim. </w:t>
      </w:r>
      <w:r w:rsidR="00403325">
        <w:rPr>
          <w:rFonts w:ascii="Arial" w:hAnsi="Arial" w:cs="Arial"/>
          <w:lang w:val="en-US"/>
        </w:rPr>
        <w:t>Asking to ‘speak freely’, the</w:t>
      </w:r>
      <w:r w:rsidR="00AD6C87">
        <w:rPr>
          <w:rFonts w:ascii="Arial" w:hAnsi="Arial" w:cs="Arial"/>
          <w:lang w:val="en-US"/>
        </w:rPr>
        <w:t xml:space="preserve"> plaintiff’s counsel explained that </w:t>
      </w:r>
      <w:r w:rsidR="00403325">
        <w:rPr>
          <w:rFonts w:ascii="Arial" w:hAnsi="Arial" w:cs="Arial"/>
          <w:lang w:val="en-US"/>
        </w:rPr>
        <w:t xml:space="preserve">the monetary </w:t>
      </w:r>
      <w:r w:rsidR="00AD6C87">
        <w:rPr>
          <w:rFonts w:ascii="Arial" w:hAnsi="Arial" w:cs="Arial"/>
          <w:lang w:val="en-US"/>
        </w:rPr>
        <w:t xml:space="preserve">claim is for </w:t>
      </w:r>
      <w:r w:rsidR="00403325">
        <w:rPr>
          <w:rFonts w:ascii="Arial" w:hAnsi="Arial" w:cs="Arial"/>
          <w:lang w:val="en-US"/>
        </w:rPr>
        <w:t xml:space="preserve">the </w:t>
      </w:r>
      <w:r w:rsidR="00AD6C87">
        <w:rPr>
          <w:rFonts w:ascii="Arial" w:hAnsi="Arial" w:cs="Arial"/>
          <w:lang w:val="en-US"/>
        </w:rPr>
        <w:t xml:space="preserve">first defendant’s breach of contract for failing to pay </w:t>
      </w:r>
      <w:r w:rsidR="00403325">
        <w:rPr>
          <w:rFonts w:ascii="Arial" w:hAnsi="Arial" w:cs="Arial"/>
          <w:lang w:val="en-US"/>
        </w:rPr>
        <w:t>the P&amp;</w:t>
      </w:r>
      <w:proofErr w:type="gramStart"/>
      <w:r w:rsidR="00403325">
        <w:rPr>
          <w:rFonts w:ascii="Arial" w:hAnsi="Arial" w:cs="Arial"/>
          <w:lang w:val="en-US"/>
        </w:rPr>
        <w:t>G’s</w:t>
      </w:r>
      <w:proofErr w:type="gramEnd"/>
      <w:r w:rsidR="00403325">
        <w:rPr>
          <w:rFonts w:ascii="Arial" w:hAnsi="Arial" w:cs="Arial"/>
          <w:lang w:val="en-US"/>
        </w:rPr>
        <w:t xml:space="preserve"> </w:t>
      </w:r>
      <w:r w:rsidR="00AD6C87">
        <w:rPr>
          <w:rFonts w:ascii="Arial" w:hAnsi="Arial" w:cs="Arial"/>
          <w:lang w:val="en-US"/>
        </w:rPr>
        <w:t xml:space="preserve">for </w:t>
      </w:r>
      <w:r w:rsidR="00403325">
        <w:rPr>
          <w:rFonts w:ascii="Arial" w:hAnsi="Arial" w:cs="Arial"/>
          <w:lang w:val="en-US"/>
        </w:rPr>
        <w:t xml:space="preserve">the years </w:t>
      </w:r>
      <w:r w:rsidR="00AD6C87">
        <w:rPr>
          <w:rFonts w:ascii="Arial" w:hAnsi="Arial" w:cs="Arial"/>
          <w:lang w:val="en-US"/>
        </w:rPr>
        <w:t xml:space="preserve">2017 to 2019 and </w:t>
      </w:r>
      <w:r w:rsidR="00403325">
        <w:rPr>
          <w:rFonts w:ascii="Arial" w:hAnsi="Arial" w:cs="Arial"/>
          <w:lang w:val="en-US"/>
        </w:rPr>
        <w:t xml:space="preserve">as a result thereof, the plaintiff incurred interest charges because it could not service the performance guarantee. </w:t>
      </w:r>
    </w:p>
    <w:p w14:paraId="76989A18" w14:textId="77777777" w:rsidR="00403325" w:rsidRPr="00403325" w:rsidRDefault="00403325" w:rsidP="00403325">
      <w:pPr>
        <w:pStyle w:val="ListParagraph"/>
        <w:rPr>
          <w:rFonts w:ascii="Arial" w:hAnsi="Arial" w:cs="Arial"/>
          <w:lang w:val="en-US"/>
        </w:rPr>
      </w:pPr>
    </w:p>
    <w:p w14:paraId="6B8974A1" w14:textId="10019083" w:rsidR="007D1B11" w:rsidRDefault="007D1B11"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 relie</w:t>
      </w:r>
      <w:r w:rsidR="00D74D66">
        <w:rPr>
          <w:rFonts w:ascii="Arial" w:hAnsi="Arial" w:cs="Arial"/>
          <w:lang w:val="en-US"/>
        </w:rPr>
        <w:t>d</w:t>
      </w:r>
      <w:r>
        <w:rPr>
          <w:rFonts w:ascii="Arial" w:hAnsi="Arial" w:cs="Arial"/>
          <w:lang w:val="en-US"/>
        </w:rPr>
        <w:t xml:space="preserve"> on clause 23.2.5 </w:t>
      </w:r>
      <w:r w:rsidR="00D74D66">
        <w:rPr>
          <w:rFonts w:ascii="Arial" w:hAnsi="Arial" w:cs="Arial"/>
          <w:lang w:val="en-US"/>
        </w:rPr>
        <w:t xml:space="preserve">of the contract </w:t>
      </w:r>
      <w:r>
        <w:rPr>
          <w:rFonts w:ascii="Arial" w:hAnsi="Arial" w:cs="Arial"/>
          <w:lang w:val="en-US"/>
        </w:rPr>
        <w:t>and argue</w:t>
      </w:r>
      <w:r w:rsidR="00D74D66">
        <w:rPr>
          <w:rFonts w:ascii="Arial" w:hAnsi="Arial" w:cs="Arial"/>
          <w:lang w:val="en-US"/>
        </w:rPr>
        <w:t>d</w:t>
      </w:r>
      <w:r>
        <w:rPr>
          <w:rFonts w:ascii="Arial" w:hAnsi="Arial" w:cs="Arial"/>
          <w:lang w:val="en-US"/>
        </w:rPr>
        <w:t xml:space="preserve"> that by virtue of that provision, the plaintiff suffered damages when the first defendant refused to release the performance guarantee after the plaintiff was forced to terminate the contract owing to the first defendant’s failure to </w:t>
      </w:r>
      <w:r w:rsidR="00D74D66">
        <w:rPr>
          <w:rFonts w:ascii="Arial" w:hAnsi="Arial" w:cs="Arial"/>
          <w:lang w:val="en-US"/>
        </w:rPr>
        <w:t>satisfy</w:t>
      </w:r>
      <w:r>
        <w:rPr>
          <w:rFonts w:ascii="Arial" w:hAnsi="Arial" w:cs="Arial"/>
          <w:lang w:val="en-US"/>
        </w:rPr>
        <w:t xml:space="preserve"> payment certificate 24</w:t>
      </w:r>
      <w:r w:rsidRPr="006F3627">
        <w:rPr>
          <w:rFonts w:ascii="Arial" w:hAnsi="Arial" w:cs="Arial"/>
          <w:lang w:val="en-US"/>
        </w:rPr>
        <w:t>.</w:t>
      </w:r>
    </w:p>
    <w:p w14:paraId="134C46F1" w14:textId="77777777" w:rsidR="007D1B11" w:rsidRPr="007D1B11" w:rsidRDefault="007D1B11" w:rsidP="007D1B11">
      <w:pPr>
        <w:pStyle w:val="ListParagraph"/>
        <w:rPr>
          <w:rFonts w:ascii="Arial" w:hAnsi="Arial" w:cs="Arial"/>
          <w:lang w:val="en-US"/>
        </w:rPr>
      </w:pPr>
    </w:p>
    <w:p w14:paraId="5EF522B2" w14:textId="0A71C6F8" w:rsidR="00EF291D" w:rsidRPr="007D1B11" w:rsidRDefault="00403325" w:rsidP="007D1B1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w:t>
      </w:r>
      <w:r w:rsidR="006F3627">
        <w:rPr>
          <w:rFonts w:ascii="Arial" w:hAnsi="Arial" w:cs="Arial"/>
          <w:lang w:val="en-US"/>
        </w:rPr>
        <w:t xml:space="preserve"> further</w:t>
      </w:r>
      <w:r>
        <w:rPr>
          <w:rFonts w:ascii="Arial" w:hAnsi="Arial" w:cs="Arial"/>
          <w:lang w:val="en-US"/>
        </w:rPr>
        <w:t xml:space="preserve"> argue</w:t>
      </w:r>
      <w:r w:rsidR="00D74D66">
        <w:rPr>
          <w:rFonts w:ascii="Arial" w:hAnsi="Arial" w:cs="Arial"/>
          <w:lang w:val="en-US"/>
        </w:rPr>
        <w:t>d</w:t>
      </w:r>
      <w:r>
        <w:rPr>
          <w:rFonts w:ascii="Arial" w:hAnsi="Arial" w:cs="Arial"/>
          <w:lang w:val="en-US"/>
        </w:rPr>
        <w:t xml:space="preserve"> the damages suffered were in the contemplation of the parties. </w:t>
      </w:r>
      <w:r w:rsidR="00351AE5">
        <w:rPr>
          <w:rFonts w:ascii="Arial" w:hAnsi="Arial" w:cs="Arial"/>
          <w:lang w:val="en-US"/>
        </w:rPr>
        <w:t>It argue</w:t>
      </w:r>
      <w:r w:rsidR="00D74D66">
        <w:rPr>
          <w:rFonts w:ascii="Arial" w:hAnsi="Arial" w:cs="Arial"/>
          <w:lang w:val="en-US"/>
        </w:rPr>
        <w:t>d</w:t>
      </w:r>
      <w:r w:rsidR="00351AE5">
        <w:rPr>
          <w:rFonts w:ascii="Arial" w:hAnsi="Arial" w:cs="Arial"/>
          <w:lang w:val="en-US"/>
        </w:rPr>
        <w:t xml:space="preserve"> the contract contemplated </w:t>
      </w:r>
      <w:r w:rsidR="00A933F8">
        <w:rPr>
          <w:rFonts w:ascii="Arial" w:hAnsi="Arial" w:cs="Arial"/>
          <w:lang w:val="en-US"/>
        </w:rPr>
        <w:t>‘</w:t>
      </w:r>
      <w:r w:rsidR="00351AE5">
        <w:rPr>
          <w:rFonts w:ascii="Arial" w:hAnsi="Arial" w:cs="Arial"/>
          <w:lang w:val="en-US"/>
        </w:rPr>
        <w:t>any damages</w:t>
      </w:r>
      <w:r w:rsidR="00A933F8">
        <w:rPr>
          <w:rFonts w:ascii="Arial" w:hAnsi="Arial" w:cs="Arial"/>
          <w:lang w:val="en-US"/>
        </w:rPr>
        <w:t>’</w:t>
      </w:r>
      <w:r w:rsidR="00351AE5">
        <w:rPr>
          <w:rFonts w:ascii="Arial" w:hAnsi="Arial" w:cs="Arial"/>
          <w:lang w:val="en-US"/>
        </w:rPr>
        <w:t xml:space="preserve"> suffered by the plaintiff </w:t>
      </w:r>
      <w:r w:rsidR="007D1B11">
        <w:rPr>
          <w:rFonts w:ascii="Arial" w:hAnsi="Arial" w:cs="Arial"/>
          <w:lang w:val="en-US"/>
        </w:rPr>
        <w:t>because of</w:t>
      </w:r>
      <w:r w:rsidR="00351AE5">
        <w:rPr>
          <w:rFonts w:ascii="Arial" w:hAnsi="Arial" w:cs="Arial"/>
          <w:lang w:val="en-US"/>
        </w:rPr>
        <w:t xml:space="preserve"> a determination owing to a breach by the first defendant</w:t>
      </w:r>
      <w:r w:rsidR="007D1B11">
        <w:rPr>
          <w:rFonts w:ascii="Arial" w:hAnsi="Arial" w:cs="Arial"/>
          <w:lang w:val="en-US"/>
        </w:rPr>
        <w:t>,</w:t>
      </w:r>
      <w:r w:rsidR="00351AE5">
        <w:rPr>
          <w:rFonts w:ascii="Arial" w:hAnsi="Arial" w:cs="Arial"/>
          <w:lang w:val="en-US"/>
        </w:rPr>
        <w:t xml:space="preserve"> and</w:t>
      </w:r>
      <w:r w:rsidR="007D1B11">
        <w:rPr>
          <w:rFonts w:ascii="Arial" w:hAnsi="Arial" w:cs="Arial"/>
          <w:lang w:val="en-US"/>
        </w:rPr>
        <w:t>,</w:t>
      </w:r>
      <w:r w:rsidR="00351AE5">
        <w:rPr>
          <w:rFonts w:ascii="Arial" w:hAnsi="Arial" w:cs="Arial"/>
          <w:lang w:val="en-US"/>
        </w:rPr>
        <w:t xml:space="preserve"> once the contract was terminated, the first defendant was obliged to return the performance guarantee but failed to do so, resulting in the plaintiff incurring interest charges.</w:t>
      </w:r>
    </w:p>
    <w:p w14:paraId="72779BEA" w14:textId="77777777" w:rsidR="0034316F" w:rsidRPr="0034316F" w:rsidRDefault="0034316F" w:rsidP="0034316F">
      <w:pPr>
        <w:pStyle w:val="ListParagraph"/>
        <w:rPr>
          <w:rFonts w:ascii="Arial" w:hAnsi="Arial" w:cs="Arial"/>
          <w:lang w:val="en-US"/>
        </w:rPr>
      </w:pPr>
    </w:p>
    <w:p w14:paraId="7E5157B2" w14:textId="357C780F" w:rsidR="0034316F" w:rsidRDefault="0034316F" w:rsidP="007D1B1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In respect of the plaintiff’s reliance on clause 23.2.5 of the contract, the first defendant argue</w:t>
      </w:r>
      <w:r w:rsidR="00D74D66">
        <w:rPr>
          <w:rFonts w:ascii="Arial" w:hAnsi="Arial" w:cs="Arial"/>
          <w:lang w:val="en-US"/>
        </w:rPr>
        <w:t>d</w:t>
      </w:r>
      <w:r>
        <w:rPr>
          <w:rFonts w:ascii="Arial" w:hAnsi="Arial" w:cs="Arial"/>
          <w:lang w:val="en-US"/>
        </w:rPr>
        <w:t xml:space="preserve"> </w:t>
      </w:r>
      <w:r w:rsidR="00A933F8">
        <w:rPr>
          <w:rFonts w:ascii="Arial" w:hAnsi="Arial" w:cs="Arial"/>
          <w:lang w:val="en-US"/>
        </w:rPr>
        <w:t xml:space="preserve">that </w:t>
      </w:r>
      <w:r>
        <w:rPr>
          <w:rFonts w:ascii="Arial" w:hAnsi="Arial" w:cs="Arial"/>
          <w:lang w:val="en-US"/>
        </w:rPr>
        <w:t>the damages contemplated therein are restricted to the contract and the plaintiff failed to prove any of the three circumstances provided for in clause 23.</w:t>
      </w:r>
      <w:r w:rsidR="007D1B11">
        <w:rPr>
          <w:rFonts w:ascii="Arial" w:hAnsi="Arial" w:cs="Arial"/>
          <w:lang w:val="en-US"/>
        </w:rPr>
        <w:t xml:space="preserve"> </w:t>
      </w:r>
      <w:r w:rsidRPr="007D1B11">
        <w:rPr>
          <w:rFonts w:ascii="Arial" w:hAnsi="Arial" w:cs="Arial"/>
          <w:lang w:val="en-US"/>
        </w:rPr>
        <w:t>The first defendant also argue</w:t>
      </w:r>
      <w:r w:rsidR="00D74D66">
        <w:rPr>
          <w:rFonts w:ascii="Arial" w:hAnsi="Arial" w:cs="Arial"/>
          <w:lang w:val="en-US"/>
        </w:rPr>
        <w:t>d</w:t>
      </w:r>
      <w:r w:rsidRPr="007D1B11">
        <w:rPr>
          <w:rFonts w:ascii="Arial" w:hAnsi="Arial" w:cs="Arial"/>
          <w:lang w:val="en-US"/>
        </w:rPr>
        <w:t xml:space="preserve"> the plaintiff failed to prove the breach by the first defendant </w:t>
      </w:r>
      <w:r w:rsidR="007170F6" w:rsidRPr="007D1B11">
        <w:rPr>
          <w:rFonts w:ascii="Arial" w:hAnsi="Arial" w:cs="Arial"/>
          <w:lang w:val="en-US"/>
        </w:rPr>
        <w:t xml:space="preserve">to </w:t>
      </w:r>
      <w:r w:rsidR="00D74D66">
        <w:rPr>
          <w:rFonts w:ascii="Arial" w:hAnsi="Arial" w:cs="Arial"/>
          <w:lang w:val="en-US"/>
        </w:rPr>
        <w:t>satisfy</w:t>
      </w:r>
      <w:r w:rsidR="007170F6" w:rsidRPr="007D1B11">
        <w:rPr>
          <w:rFonts w:ascii="Arial" w:hAnsi="Arial" w:cs="Arial"/>
          <w:lang w:val="en-US"/>
        </w:rPr>
        <w:t xml:space="preserve"> payment certificate 24</w:t>
      </w:r>
      <w:r w:rsidR="008A52BE" w:rsidRPr="007D1B11">
        <w:rPr>
          <w:rFonts w:ascii="Arial" w:hAnsi="Arial" w:cs="Arial"/>
          <w:lang w:val="en-US"/>
        </w:rPr>
        <w:t>,</w:t>
      </w:r>
      <w:r w:rsidR="007170F6" w:rsidRPr="007D1B11">
        <w:rPr>
          <w:rFonts w:ascii="Arial" w:hAnsi="Arial" w:cs="Arial"/>
          <w:lang w:val="en-US"/>
        </w:rPr>
        <w:t xml:space="preserve"> so the question of damages does not arise. </w:t>
      </w:r>
    </w:p>
    <w:p w14:paraId="52EB22E7" w14:textId="77777777" w:rsidR="007D1B11" w:rsidRPr="007D1B11" w:rsidRDefault="007D1B11" w:rsidP="007D1B11">
      <w:pPr>
        <w:pStyle w:val="ListParagraph"/>
        <w:rPr>
          <w:rFonts w:ascii="Arial" w:hAnsi="Arial" w:cs="Arial"/>
          <w:lang w:val="en-US"/>
        </w:rPr>
      </w:pPr>
    </w:p>
    <w:p w14:paraId="423DAB8D" w14:textId="4AC686E0" w:rsidR="007D1B11" w:rsidRPr="007D1B11" w:rsidRDefault="007D1B11" w:rsidP="007D1B1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first defendant argue</w:t>
      </w:r>
      <w:r w:rsidR="00D74D66">
        <w:rPr>
          <w:rFonts w:ascii="Arial" w:hAnsi="Arial" w:cs="Arial"/>
          <w:lang w:val="en-US"/>
        </w:rPr>
        <w:t>d</w:t>
      </w:r>
      <w:r>
        <w:rPr>
          <w:rFonts w:ascii="Arial" w:hAnsi="Arial" w:cs="Arial"/>
          <w:lang w:val="en-US"/>
        </w:rPr>
        <w:t xml:space="preserve"> the cost for the performance guarantee agreed to by the parties was N$35 000, and the plaintiff was responsible for any other costs relating to the performance guarantee, and </w:t>
      </w:r>
      <w:r w:rsidR="00A933F8">
        <w:rPr>
          <w:rFonts w:ascii="Arial" w:hAnsi="Arial" w:cs="Arial"/>
          <w:lang w:val="en-US"/>
        </w:rPr>
        <w:t>the performance guarantee</w:t>
      </w:r>
      <w:r>
        <w:rPr>
          <w:rFonts w:ascii="Arial" w:hAnsi="Arial" w:cs="Arial"/>
          <w:lang w:val="en-US"/>
        </w:rPr>
        <w:t xml:space="preserve"> could not, and did not, create any obligations for the first defendant. The first defendant submit</w:t>
      </w:r>
      <w:r w:rsidR="00D74D66">
        <w:rPr>
          <w:rFonts w:ascii="Arial" w:hAnsi="Arial" w:cs="Arial"/>
          <w:lang w:val="en-US"/>
        </w:rPr>
        <w:t>ted</w:t>
      </w:r>
      <w:r>
        <w:rPr>
          <w:rFonts w:ascii="Arial" w:hAnsi="Arial" w:cs="Arial"/>
          <w:lang w:val="en-US"/>
        </w:rPr>
        <w:t xml:space="preserve"> that the plaintiff did not refute that position. It further argue</w:t>
      </w:r>
      <w:r w:rsidR="00D74D66">
        <w:rPr>
          <w:rFonts w:ascii="Arial" w:hAnsi="Arial" w:cs="Arial"/>
          <w:lang w:val="en-US"/>
        </w:rPr>
        <w:t>d</w:t>
      </w:r>
      <w:r>
        <w:rPr>
          <w:rFonts w:ascii="Arial" w:hAnsi="Arial" w:cs="Arial"/>
          <w:lang w:val="en-US"/>
        </w:rPr>
        <w:t xml:space="preserve"> </w:t>
      </w:r>
      <w:r>
        <w:rPr>
          <w:rFonts w:ascii="Arial" w:hAnsi="Arial" w:cs="Arial"/>
          <w:lang w:val="en-US"/>
        </w:rPr>
        <w:lastRenderedPageBreak/>
        <w:t>the first defendant had no obligation to return the performance guarantee when it did and there was no delay in returning it as it was returned three days after the 26 November 2019 site meeting.</w:t>
      </w:r>
    </w:p>
    <w:p w14:paraId="3C0003F7" w14:textId="77777777" w:rsidR="008A52BE" w:rsidRPr="008A52BE" w:rsidRDefault="008A52BE" w:rsidP="008A52BE">
      <w:pPr>
        <w:pStyle w:val="ListParagraph"/>
        <w:rPr>
          <w:rFonts w:ascii="Arial" w:hAnsi="Arial" w:cs="Arial"/>
          <w:lang w:val="en-US"/>
        </w:rPr>
      </w:pPr>
    </w:p>
    <w:p w14:paraId="6386D3AA" w14:textId="435C4CFD" w:rsidR="007D1B11" w:rsidRPr="007D1B11" w:rsidRDefault="008A52BE" w:rsidP="007D1B1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first defendant’s </w:t>
      </w:r>
      <w:r w:rsidR="006F3627">
        <w:rPr>
          <w:rFonts w:ascii="Arial" w:hAnsi="Arial" w:cs="Arial"/>
          <w:lang w:val="en-US"/>
        </w:rPr>
        <w:t xml:space="preserve">alleged </w:t>
      </w:r>
      <w:r>
        <w:rPr>
          <w:rFonts w:ascii="Arial" w:hAnsi="Arial" w:cs="Arial"/>
          <w:lang w:val="en-US"/>
        </w:rPr>
        <w:t>breach of contract to pay the P&amp;</w:t>
      </w:r>
      <w:proofErr w:type="gramStart"/>
      <w:r>
        <w:rPr>
          <w:rFonts w:ascii="Arial" w:hAnsi="Arial" w:cs="Arial"/>
          <w:lang w:val="en-US"/>
        </w:rPr>
        <w:t>G’s</w:t>
      </w:r>
      <w:proofErr w:type="gramEnd"/>
      <w:r>
        <w:rPr>
          <w:rFonts w:ascii="Arial" w:hAnsi="Arial" w:cs="Arial"/>
          <w:lang w:val="en-US"/>
        </w:rPr>
        <w:t xml:space="preserve"> for the years 2017 to 2019, was not pleaded</w:t>
      </w:r>
      <w:r w:rsidR="007D1B11">
        <w:rPr>
          <w:rFonts w:ascii="Arial" w:hAnsi="Arial" w:cs="Arial"/>
          <w:lang w:val="en-US"/>
        </w:rPr>
        <w:t>, nor was it included in the pre-trial order</w:t>
      </w:r>
      <w:r>
        <w:rPr>
          <w:rFonts w:ascii="Arial" w:hAnsi="Arial" w:cs="Arial"/>
          <w:lang w:val="en-US"/>
        </w:rPr>
        <w:t>.</w:t>
      </w:r>
      <w:r w:rsidR="00272231">
        <w:rPr>
          <w:rFonts w:ascii="Arial" w:hAnsi="Arial" w:cs="Arial"/>
          <w:lang w:val="en-US"/>
        </w:rPr>
        <w:t xml:space="preserve"> </w:t>
      </w:r>
      <w:r w:rsidR="00272231" w:rsidRPr="00272231">
        <w:rPr>
          <w:rFonts w:ascii="Arial" w:hAnsi="Arial" w:cs="Arial"/>
          <w:lang w:val="en-US"/>
        </w:rPr>
        <w:t>The only breach pleaded by the plaintiff is the first defendant’s failure to satisfy payment certificate 2</w:t>
      </w:r>
      <w:r w:rsidR="00272231">
        <w:rPr>
          <w:rFonts w:ascii="Arial" w:hAnsi="Arial" w:cs="Arial"/>
          <w:lang w:val="en-US"/>
        </w:rPr>
        <w:t>4.</w:t>
      </w:r>
      <w:r w:rsidR="007740D3">
        <w:rPr>
          <w:rFonts w:ascii="Arial" w:hAnsi="Arial" w:cs="Arial"/>
          <w:lang w:val="en-US"/>
        </w:rPr>
        <w:t xml:space="preserve"> </w:t>
      </w:r>
      <w:r w:rsidR="007740D3" w:rsidRPr="006F3627">
        <w:rPr>
          <w:rFonts w:ascii="Arial" w:hAnsi="Arial" w:cs="Arial"/>
          <w:lang w:val="en-US"/>
        </w:rPr>
        <w:t xml:space="preserve">The plaintiff pleaded it was in the parties’ contemplation that a performance guarantee would be provided. It was not </w:t>
      </w:r>
      <w:proofErr w:type="spellStart"/>
      <w:r w:rsidR="007740D3" w:rsidRPr="006F3627">
        <w:rPr>
          <w:rFonts w:ascii="Arial" w:hAnsi="Arial" w:cs="Arial"/>
          <w:lang w:val="en-US"/>
        </w:rPr>
        <w:t>pleaded</w:t>
      </w:r>
      <w:proofErr w:type="spellEnd"/>
      <w:r w:rsidR="007740D3" w:rsidRPr="006F3627">
        <w:rPr>
          <w:rFonts w:ascii="Arial" w:hAnsi="Arial" w:cs="Arial"/>
          <w:lang w:val="en-US"/>
        </w:rPr>
        <w:t xml:space="preserve"> that, in the event of a termination of the contract, the first defendant would be liable for damages in respect of costs incurred for the performance guarantee</w:t>
      </w:r>
      <w:r w:rsidR="007740D3">
        <w:rPr>
          <w:rFonts w:ascii="Arial" w:hAnsi="Arial" w:cs="Arial"/>
          <w:lang w:val="en-US"/>
        </w:rPr>
        <w:t xml:space="preserve">, nor that the contract contemplated </w:t>
      </w:r>
      <w:r w:rsidR="00D74D66">
        <w:rPr>
          <w:rFonts w:ascii="Arial" w:hAnsi="Arial" w:cs="Arial"/>
          <w:lang w:val="en-US"/>
        </w:rPr>
        <w:t>‘</w:t>
      </w:r>
      <w:r w:rsidR="007740D3">
        <w:rPr>
          <w:rFonts w:ascii="Arial" w:hAnsi="Arial" w:cs="Arial"/>
          <w:lang w:val="en-US"/>
        </w:rPr>
        <w:t>any damages</w:t>
      </w:r>
      <w:r w:rsidR="00D74D66">
        <w:rPr>
          <w:rFonts w:ascii="Arial" w:hAnsi="Arial" w:cs="Arial"/>
          <w:lang w:val="en-US"/>
        </w:rPr>
        <w:t>’</w:t>
      </w:r>
      <w:r w:rsidR="007740D3">
        <w:rPr>
          <w:rFonts w:ascii="Arial" w:hAnsi="Arial" w:cs="Arial"/>
          <w:lang w:val="en-US"/>
        </w:rPr>
        <w:t xml:space="preserve"> suffered by the plaintiff because of a termination owing to the first defendant’s breach</w:t>
      </w:r>
      <w:r w:rsidR="007740D3" w:rsidRPr="006F3627">
        <w:rPr>
          <w:rFonts w:ascii="Arial" w:hAnsi="Arial" w:cs="Arial"/>
          <w:lang w:val="en-US"/>
        </w:rPr>
        <w:t xml:space="preserve">. </w:t>
      </w:r>
      <w:r w:rsidR="007740D3">
        <w:rPr>
          <w:rFonts w:ascii="Arial" w:hAnsi="Arial" w:cs="Arial"/>
          <w:lang w:val="en-US"/>
        </w:rPr>
        <w:t xml:space="preserve">It was also not pleaded that </w:t>
      </w:r>
      <w:r w:rsidR="007740D3" w:rsidRPr="006F3627">
        <w:rPr>
          <w:rFonts w:ascii="Arial" w:hAnsi="Arial" w:cs="Arial"/>
          <w:lang w:val="en-US"/>
        </w:rPr>
        <w:t>once the contract was terminated, the first defendant was obliged to return the performance guarantee</w:t>
      </w:r>
      <w:r w:rsidR="007740D3">
        <w:rPr>
          <w:rFonts w:ascii="Arial" w:hAnsi="Arial" w:cs="Arial"/>
          <w:lang w:val="en-US"/>
        </w:rPr>
        <w:t xml:space="preserve">. </w:t>
      </w:r>
      <w:r w:rsidR="007740D3" w:rsidRPr="006F3627">
        <w:rPr>
          <w:rFonts w:ascii="Arial" w:hAnsi="Arial" w:cs="Arial"/>
          <w:lang w:val="en-US"/>
        </w:rPr>
        <w:t>The fact that the contract was annexed to the particulars of the claim and that there was some testimony on the subject cannot save the plaintiff</w:t>
      </w:r>
      <w:r w:rsidR="00D74D66">
        <w:rPr>
          <w:rFonts w:ascii="Arial" w:hAnsi="Arial" w:cs="Arial"/>
          <w:lang w:val="en-US"/>
        </w:rPr>
        <w:t xml:space="preserve"> as contended for on the plaintiff’s behalf</w:t>
      </w:r>
      <w:r w:rsidR="007740D3" w:rsidRPr="006F3627">
        <w:rPr>
          <w:rFonts w:ascii="Arial" w:hAnsi="Arial" w:cs="Arial"/>
          <w:lang w:val="en-US"/>
        </w:rPr>
        <w:t>.</w:t>
      </w:r>
    </w:p>
    <w:p w14:paraId="45262B94" w14:textId="77777777" w:rsidR="00272231" w:rsidRPr="00272231" w:rsidRDefault="00272231" w:rsidP="00272231">
      <w:pPr>
        <w:pStyle w:val="ListParagraph"/>
        <w:rPr>
          <w:rFonts w:ascii="Arial" w:hAnsi="Arial" w:cs="Arial"/>
          <w:lang w:val="en-US"/>
        </w:rPr>
      </w:pPr>
    </w:p>
    <w:p w14:paraId="4705D521" w14:textId="0C05E657" w:rsidR="00272231" w:rsidRDefault="00272231" w:rsidP="0027223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A party wishing to claim damages resulting from a breach of contract</w:t>
      </w:r>
      <w:r w:rsidR="00907BAD">
        <w:rPr>
          <w:rFonts w:ascii="Arial" w:hAnsi="Arial" w:cs="Arial"/>
          <w:lang w:val="en-US"/>
        </w:rPr>
        <w:t xml:space="preserve"> must allege and prove the contract, </w:t>
      </w:r>
      <w:r w:rsidR="00A933F8">
        <w:rPr>
          <w:rFonts w:ascii="Arial" w:hAnsi="Arial" w:cs="Arial"/>
          <w:lang w:val="en-US"/>
        </w:rPr>
        <w:t xml:space="preserve">the </w:t>
      </w:r>
      <w:r w:rsidR="00907BAD">
        <w:rPr>
          <w:rFonts w:ascii="Arial" w:hAnsi="Arial" w:cs="Arial"/>
          <w:lang w:val="en-US"/>
        </w:rPr>
        <w:t>breach of the contract, that it suffered damages, a causal link between the breach and damages and that the loss was not too remote. For the last-mentioned requirement, there are two principles. The first principle is that the damages must flow naturally and generally from the kind of breach in question in that because the law presumes that such damages fell within the parties’ contemplation as a probable result of the breach, they are not regarded as too remote. Such damages are general or intrinsic damages. The second principle is that if the damages do not fall within the first category, they are not regarded as too remote if, in the special circumstances in the conclusion of the contract, the parties actually or presumptively contemplated such damages would probably result from the breach. Such damages are special or extrinsic damages.</w:t>
      </w:r>
      <w:r w:rsidR="00907BAD">
        <w:rPr>
          <w:rStyle w:val="FootnoteReference"/>
          <w:rFonts w:ascii="Arial" w:hAnsi="Arial" w:cs="Arial"/>
          <w:lang w:val="en-US"/>
        </w:rPr>
        <w:footnoteReference w:id="2"/>
      </w:r>
      <w:r w:rsidR="00907BAD">
        <w:rPr>
          <w:rFonts w:ascii="Arial" w:hAnsi="Arial" w:cs="Arial"/>
          <w:lang w:val="en-US"/>
        </w:rPr>
        <w:t xml:space="preserve">  </w:t>
      </w:r>
    </w:p>
    <w:p w14:paraId="45CE27E2" w14:textId="77777777" w:rsidR="00272231" w:rsidRPr="00272231" w:rsidRDefault="00272231" w:rsidP="00272231">
      <w:pPr>
        <w:pStyle w:val="ListParagraph"/>
        <w:rPr>
          <w:rFonts w:ascii="Arial" w:hAnsi="Arial" w:cs="Arial"/>
          <w:lang w:val="en-US"/>
        </w:rPr>
      </w:pPr>
    </w:p>
    <w:p w14:paraId="23E5EC2C" w14:textId="77777777" w:rsidR="00432329" w:rsidRDefault="00272231" w:rsidP="00432329">
      <w:pPr>
        <w:pStyle w:val="ListParagraph"/>
        <w:numPr>
          <w:ilvl w:val="0"/>
          <w:numId w:val="2"/>
        </w:numPr>
        <w:spacing w:line="360" w:lineRule="auto"/>
        <w:ind w:left="0" w:firstLine="0"/>
        <w:jc w:val="both"/>
        <w:rPr>
          <w:rFonts w:ascii="Arial" w:hAnsi="Arial" w:cs="Arial"/>
          <w:lang w:val="en-US"/>
        </w:rPr>
      </w:pPr>
      <w:r w:rsidRPr="00272231">
        <w:rPr>
          <w:rFonts w:ascii="Arial" w:hAnsi="Arial" w:cs="Arial"/>
          <w:lang w:val="en-US"/>
        </w:rPr>
        <w:lastRenderedPageBreak/>
        <w:t xml:space="preserve"> </w:t>
      </w:r>
      <w:r w:rsidR="00907BAD">
        <w:rPr>
          <w:rFonts w:ascii="Arial" w:hAnsi="Arial" w:cs="Arial"/>
          <w:lang w:val="en-US"/>
        </w:rPr>
        <w:t>Assuming</w:t>
      </w:r>
      <w:r w:rsidR="00FF7E00">
        <w:rPr>
          <w:rFonts w:ascii="Arial" w:hAnsi="Arial" w:cs="Arial"/>
          <w:lang w:val="en-US"/>
        </w:rPr>
        <w:t>,</w:t>
      </w:r>
      <w:r w:rsidR="00907BAD">
        <w:rPr>
          <w:rFonts w:ascii="Arial" w:hAnsi="Arial" w:cs="Arial"/>
          <w:lang w:val="en-US"/>
        </w:rPr>
        <w:t xml:space="preserve"> for the moment, without deciding, that the plaintiff proved that the first defendant breached the contract in not </w:t>
      </w:r>
      <w:r w:rsidR="00FF7E00">
        <w:rPr>
          <w:rFonts w:ascii="Arial" w:hAnsi="Arial" w:cs="Arial"/>
          <w:lang w:val="en-US"/>
        </w:rPr>
        <w:t>satisfying payment certificate 24 and that it suffered damages, t</w:t>
      </w:r>
      <w:r>
        <w:rPr>
          <w:rFonts w:ascii="Arial" w:hAnsi="Arial" w:cs="Arial"/>
          <w:lang w:val="en-US"/>
        </w:rPr>
        <w:t xml:space="preserve">he plaintiff did not allege or prove a causal </w:t>
      </w:r>
      <w:r w:rsidR="00FF7E00">
        <w:rPr>
          <w:rFonts w:ascii="Arial" w:hAnsi="Arial" w:cs="Arial"/>
          <w:lang w:val="en-US"/>
        </w:rPr>
        <w:t>link</w:t>
      </w:r>
      <w:r>
        <w:rPr>
          <w:rFonts w:ascii="Arial" w:hAnsi="Arial" w:cs="Arial"/>
          <w:lang w:val="en-US"/>
        </w:rPr>
        <w:t xml:space="preserve"> between </w:t>
      </w:r>
      <w:r w:rsidR="00FF7E00">
        <w:rPr>
          <w:rFonts w:ascii="Arial" w:hAnsi="Arial" w:cs="Arial"/>
          <w:lang w:val="en-US"/>
        </w:rPr>
        <w:t>the breach</w:t>
      </w:r>
      <w:r w:rsidR="0041084F">
        <w:rPr>
          <w:rFonts w:ascii="Arial" w:hAnsi="Arial" w:cs="Arial"/>
          <w:lang w:val="en-US"/>
        </w:rPr>
        <w:t xml:space="preserve"> pleaded</w:t>
      </w:r>
      <w:r w:rsidR="00FF7E00">
        <w:rPr>
          <w:rFonts w:ascii="Arial" w:hAnsi="Arial" w:cs="Arial"/>
          <w:lang w:val="en-US"/>
        </w:rPr>
        <w:t xml:space="preserve"> and the damages</w:t>
      </w:r>
      <w:r w:rsidR="0041084F">
        <w:rPr>
          <w:rFonts w:ascii="Arial" w:hAnsi="Arial" w:cs="Arial"/>
          <w:lang w:val="en-US"/>
        </w:rPr>
        <w:t xml:space="preserve"> suffered</w:t>
      </w:r>
      <w:r w:rsidR="00D74D66">
        <w:rPr>
          <w:rFonts w:ascii="Arial" w:hAnsi="Arial" w:cs="Arial"/>
          <w:lang w:val="en-US"/>
        </w:rPr>
        <w:t>, nor that the loss was not too remote</w:t>
      </w:r>
      <w:r w:rsidR="00432329">
        <w:rPr>
          <w:rFonts w:ascii="Arial" w:hAnsi="Arial" w:cs="Arial"/>
          <w:lang w:val="en-US"/>
        </w:rPr>
        <w:t>.</w:t>
      </w:r>
    </w:p>
    <w:p w14:paraId="46A21DDD" w14:textId="77777777" w:rsidR="00432329" w:rsidRPr="00432329" w:rsidRDefault="00432329" w:rsidP="00432329">
      <w:pPr>
        <w:pStyle w:val="ListParagraph"/>
        <w:rPr>
          <w:rFonts w:ascii="Arial" w:hAnsi="Arial" w:cs="Arial"/>
          <w:lang w:val="en-US"/>
        </w:rPr>
      </w:pPr>
    </w:p>
    <w:p w14:paraId="41EE2974" w14:textId="2CDBCCEC" w:rsidR="00461314" w:rsidRPr="00461314" w:rsidRDefault="00432329" w:rsidP="0046131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w:t>
      </w:r>
      <w:r w:rsidRPr="00432329">
        <w:rPr>
          <w:rFonts w:ascii="Arial" w:hAnsi="Arial" w:cs="Arial"/>
          <w:lang w:val="en-US"/>
        </w:rPr>
        <w:t>he facts do</w:t>
      </w:r>
      <w:r w:rsidR="00A933F8">
        <w:rPr>
          <w:rFonts w:ascii="Arial" w:hAnsi="Arial" w:cs="Arial"/>
          <w:lang w:val="en-US"/>
        </w:rPr>
        <w:t xml:space="preserve"> furthermore</w:t>
      </w:r>
      <w:r w:rsidRPr="00432329">
        <w:rPr>
          <w:rFonts w:ascii="Arial" w:hAnsi="Arial" w:cs="Arial"/>
          <w:lang w:val="en-US"/>
        </w:rPr>
        <w:t xml:space="preserve"> not</w:t>
      </w:r>
      <w:r>
        <w:rPr>
          <w:rFonts w:ascii="Arial" w:hAnsi="Arial" w:cs="Arial"/>
          <w:lang w:val="en-US"/>
        </w:rPr>
        <w:t xml:space="preserve"> </w:t>
      </w:r>
      <w:r w:rsidRPr="00432329">
        <w:rPr>
          <w:rFonts w:ascii="Arial" w:hAnsi="Arial" w:cs="Arial"/>
          <w:lang w:val="en-US"/>
        </w:rPr>
        <w:t xml:space="preserve">support </w:t>
      </w:r>
      <w:r w:rsidR="000829A4">
        <w:rPr>
          <w:rFonts w:ascii="Arial" w:hAnsi="Arial" w:cs="Arial"/>
          <w:lang w:val="en-US"/>
        </w:rPr>
        <w:t xml:space="preserve">a causal link between the </w:t>
      </w:r>
      <w:r w:rsidR="00A933F8">
        <w:rPr>
          <w:rFonts w:ascii="Arial" w:hAnsi="Arial" w:cs="Arial"/>
          <w:lang w:val="en-US"/>
        </w:rPr>
        <w:t xml:space="preserve">pleaded </w:t>
      </w:r>
      <w:r w:rsidR="000829A4">
        <w:rPr>
          <w:rFonts w:ascii="Arial" w:hAnsi="Arial" w:cs="Arial"/>
          <w:lang w:val="en-US"/>
        </w:rPr>
        <w:t>breach and the damages</w:t>
      </w:r>
      <w:r w:rsidRPr="00432329">
        <w:rPr>
          <w:rFonts w:ascii="Arial" w:hAnsi="Arial" w:cs="Arial"/>
          <w:lang w:val="en-US"/>
        </w:rPr>
        <w:t xml:space="preserve">. </w:t>
      </w:r>
      <w:r w:rsidR="0041084F" w:rsidRPr="00432329">
        <w:rPr>
          <w:rFonts w:ascii="Arial" w:hAnsi="Arial" w:cs="Arial"/>
          <w:lang w:val="en-US"/>
        </w:rPr>
        <w:t>The breach pleaded</w:t>
      </w:r>
      <w:r>
        <w:rPr>
          <w:rFonts w:ascii="Arial" w:hAnsi="Arial" w:cs="Arial"/>
          <w:lang w:val="en-US"/>
        </w:rPr>
        <w:t xml:space="preserve"> (the first defendant’s failure to satisfy payment certificate 24)</w:t>
      </w:r>
      <w:r w:rsidR="0041084F" w:rsidRPr="00432329">
        <w:rPr>
          <w:rFonts w:ascii="Arial" w:hAnsi="Arial" w:cs="Arial"/>
          <w:lang w:val="en-US"/>
        </w:rPr>
        <w:t xml:space="preserve"> led to the plaintiff terminating the contract in August 2019</w:t>
      </w:r>
      <w:r>
        <w:rPr>
          <w:rFonts w:ascii="Arial" w:hAnsi="Arial" w:cs="Arial"/>
          <w:lang w:val="en-US"/>
        </w:rPr>
        <w:t xml:space="preserve">. </w:t>
      </w:r>
      <w:r w:rsidR="00EA618D">
        <w:rPr>
          <w:rFonts w:ascii="Arial" w:hAnsi="Arial" w:cs="Arial"/>
          <w:lang w:val="en-US"/>
        </w:rPr>
        <w:t>T</w:t>
      </w:r>
      <w:r w:rsidR="00EA618D" w:rsidRPr="00432329">
        <w:rPr>
          <w:rFonts w:ascii="Arial" w:hAnsi="Arial" w:cs="Arial"/>
          <w:lang w:val="en-US"/>
        </w:rPr>
        <w:t xml:space="preserve">he plaintiff claims damages incurred </w:t>
      </w:r>
      <w:r w:rsidR="00EA618D">
        <w:rPr>
          <w:rFonts w:ascii="Arial" w:hAnsi="Arial" w:cs="Arial"/>
          <w:lang w:val="en-US"/>
        </w:rPr>
        <w:t>from</w:t>
      </w:r>
      <w:r w:rsidR="00EA618D" w:rsidRPr="00432329">
        <w:rPr>
          <w:rFonts w:ascii="Arial" w:hAnsi="Arial" w:cs="Arial"/>
          <w:lang w:val="en-US"/>
        </w:rPr>
        <w:t xml:space="preserve"> 31 July 2016</w:t>
      </w:r>
      <w:r w:rsidR="00EA618D">
        <w:rPr>
          <w:rFonts w:ascii="Arial" w:hAnsi="Arial" w:cs="Arial"/>
          <w:lang w:val="en-US"/>
        </w:rPr>
        <w:t xml:space="preserve"> to 21 November 2021. The date of 31 July 2016 precedes the date when</w:t>
      </w:r>
      <w:r>
        <w:rPr>
          <w:rFonts w:ascii="Arial" w:hAnsi="Arial" w:cs="Arial"/>
          <w:lang w:val="en-US"/>
        </w:rPr>
        <w:t xml:space="preserve"> the</w:t>
      </w:r>
      <w:r w:rsidR="0041084F" w:rsidRPr="00432329">
        <w:rPr>
          <w:rFonts w:ascii="Arial" w:hAnsi="Arial" w:cs="Arial"/>
          <w:lang w:val="en-US"/>
        </w:rPr>
        <w:t xml:space="preserve"> payment issue arose around October 2017</w:t>
      </w:r>
      <w:r w:rsidR="00D74D66" w:rsidRPr="00432329">
        <w:rPr>
          <w:rFonts w:ascii="Arial" w:hAnsi="Arial" w:cs="Arial"/>
          <w:lang w:val="en-US"/>
        </w:rPr>
        <w:t xml:space="preserve"> when payment certificate 24 was issued</w:t>
      </w:r>
      <w:r w:rsidR="00EA618D">
        <w:rPr>
          <w:rFonts w:ascii="Arial" w:hAnsi="Arial" w:cs="Arial"/>
          <w:lang w:val="en-US"/>
        </w:rPr>
        <w:t xml:space="preserve">. </w:t>
      </w:r>
      <w:r w:rsidRPr="00432329">
        <w:rPr>
          <w:rFonts w:ascii="Arial" w:hAnsi="Arial" w:cs="Arial"/>
          <w:lang w:val="en-US"/>
        </w:rPr>
        <w:t xml:space="preserve">Furthermore, </w:t>
      </w:r>
      <w:r w:rsidR="00272231" w:rsidRPr="00432329">
        <w:rPr>
          <w:rFonts w:ascii="Arial" w:hAnsi="Arial" w:cs="Arial"/>
          <w:lang w:val="en-US"/>
        </w:rPr>
        <w:t xml:space="preserve">the contract was only </w:t>
      </w:r>
      <w:proofErr w:type="gramStart"/>
      <w:r w:rsidR="00272231" w:rsidRPr="00432329">
        <w:rPr>
          <w:rFonts w:ascii="Arial" w:hAnsi="Arial" w:cs="Arial"/>
          <w:lang w:val="en-US"/>
        </w:rPr>
        <w:t>terminated</w:t>
      </w:r>
      <w:proofErr w:type="gramEnd"/>
      <w:r w:rsidR="00272231" w:rsidRPr="00432329">
        <w:rPr>
          <w:rFonts w:ascii="Arial" w:hAnsi="Arial" w:cs="Arial"/>
          <w:lang w:val="en-US"/>
        </w:rPr>
        <w:t xml:space="preserve"> and the return of the performance guarantee was only demanded in August 2019</w:t>
      </w:r>
      <w:r w:rsidRPr="00432329">
        <w:rPr>
          <w:rFonts w:ascii="Arial" w:hAnsi="Arial" w:cs="Arial"/>
          <w:lang w:val="en-US"/>
        </w:rPr>
        <w:t xml:space="preserve">, and according to </w:t>
      </w:r>
      <w:r w:rsidR="00272231" w:rsidRPr="00432329">
        <w:rPr>
          <w:rFonts w:ascii="Arial" w:hAnsi="Arial" w:cs="Arial"/>
          <w:lang w:val="en-US"/>
        </w:rPr>
        <w:t>the plaintiff’s counsel</w:t>
      </w:r>
      <w:r w:rsidRPr="00432329">
        <w:rPr>
          <w:rFonts w:ascii="Arial" w:hAnsi="Arial" w:cs="Arial"/>
          <w:lang w:val="en-US"/>
        </w:rPr>
        <w:t>,</w:t>
      </w:r>
      <w:r w:rsidR="00272231" w:rsidRPr="00432329">
        <w:rPr>
          <w:rFonts w:ascii="Arial" w:hAnsi="Arial" w:cs="Arial"/>
          <w:lang w:val="en-US"/>
        </w:rPr>
        <w:t xml:space="preserve"> the first defendant was only liable to return the performance guarantee when the demand </w:t>
      </w:r>
      <w:r w:rsidRPr="00432329">
        <w:rPr>
          <w:rFonts w:ascii="Arial" w:hAnsi="Arial" w:cs="Arial"/>
          <w:lang w:val="en-US"/>
        </w:rPr>
        <w:t xml:space="preserve">for its return </w:t>
      </w:r>
      <w:r w:rsidR="00272231" w:rsidRPr="00432329">
        <w:rPr>
          <w:rFonts w:ascii="Arial" w:hAnsi="Arial" w:cs="Arial"/>
          <w:lang w:val="en-US"/>
        </w:rPr>
        <w:t>was made</w:t>
      </w:r>
      <w:r w:rsidR="000829A4">
        <w:rPr>
          <w:rFonts w:ascii="Arial" w:hAnsi="Arial" w:cs="Arial"/>
          <w:lang w:val="en-US"/>
        </w:rPr>
        <w:t xml:space="preserve"> in August 2019</w:t>
      </w:r>
      <w:r w:rsidR="00272231" w:rsidRPr="00432329">
        <w:rPr>
          <w:rFonts w:ascii="Arial" w:hAnsi="Arial" w:cs="Arial"/>
          <w:lang w:val="en-US"/>
        </w:rPr>
        <w:t>.</w:t>
      </w:r>
      <w:r w:rsidR="0041084F" w:rsidRPr="00432329">
        <w:rPr>
          <w:rFonts w:ascii="Arial" w:hAnsi="Arial" w:cs="Arial"/>
          <w:lang w:val="en-US"/>
        </w:rPr>
        <w:t xml:space="preserve"> </w:t>
      </w:r>
      <w:r w:rsidRPr="00432329">
        <w:rPr>
          <w:rFonts w:ascii="Arial" w:hAnsi="Arial" w:cs="Arial"/>
          <w:lang w:val="en-US"/>
        </w:rPr>
        <w:t>Also</w:t>
      </w:r>
      <w:r w:rsidR="007740D3" w:rsidRPr="00432329">
        <w:rPr>
          <w:rFonts w:ascii="Arial" w:hAnsi="Arial" w:cs="Arial"/>
          <w:lang w:val="en-US"/>
        </w:rPr>
        <w:t>, a</w:t>
      </w:r>
      <w:r w:rsidR="0041084F" w:rsidRPr="00432329">
        <w:rPr>
          <w:rFonts w:ascii="Arial" w:hAnsi="Arial" w:cs="Arial"/>
          <w:lang w:val="en-US"/>
        </w:rPr>
        <w:t>ccording to paragraph 21 of the particulars of claim in the pending litigation</w:t>
      </w:r>
      <w:r w:rsidR="00A23AD2" w:rsidRPr="00432329">
        <w:rPr>
          <w:rFonts w:ascii="Arial" w:hAnsi="Arial" w:cs="Arial"/>
          <w:lang w:val="en-US"/>
        </w:rPr>
        <w:t>, which is still pending</w:t>
      </w:r>
      <w:r w:rsidR="0041084F" w:rsidRPr="00432329">
        <w:rPr>
          <w:rFonts w:ascii="Arial" w:hAnsi="Arial" w:cs="Arial"/>
          <w:lang w:val="en-US"/>
        </w:rPr>
        <w:t>, the plaintiff only returned the performance guarantee on 18 February 2020</w:t>
      </w:r>
      <w:r w:rsidR="007740D3" w:rsidRPr="00432329">
        <w:rPr>
          <w:rFonts w:ascii="Arial" w:hAnsi="Arial" w:cs="Arial"/>
          <w:lang w:val="en-US"/>
        </w:rPr>
        <w:t>, whereby interest continued to accrue</w:t>
      </w:r>
      <w:r w:rsidR="00A23AD2" w:rsidRPr="00432329">
        <w:rPr>
          <w:rFonts w:ascii="Arial" w:hAnsi="Arial" w:cs="Arial"/>
          <w:lang w:val="en-US"/>
        </w:rPr>
        <w:t>,</w:t>
      </w:r>
      <w:r w:rsidR="007740D3" w:rsidRPr="00432329">
        <w:rPr>
          <w:rFonts w:ascii="Arial" w:hAnsi="Arial" w:cs="Arial"/>
          <w:lang w:val="en-US"/>
        </w:rPr>
        <w:t xml:space="preserve"> leaving an outstanding amount of N$2</w:t>
      </w:r>
      <w:r w:rsidR="00A23AD2" w:rsidRPr="00432329">
        <w:rPr>
          <w:rFonts w:ascii="Arial" w:hAnsi="Arial" w:cs="Arial"/>
          <w:lang w:val="en-US"/>
        </w:rPr>
        <w:t xml:space="preserve"> </w:t>
      </w:r>
      <w:r w:rsidR="007740D3" w:rsidRPr="00432329">
        <w:rPr>
          <w:rFonts w:ascii="Arial" w:hAnsi="Arial" w:cs="Arial"/>
          <w:lang w:val="en-US"/>
        </w:rPr>
        <w:t xml:space="preserve">490 631,39. The damages claimed by the plaintiff </w:t>
      </w:r>
      <w:r w:rsidR="00EA618D">
        <w:rPr>
          <w:rFonts w:ascii="Arial" w:hAnsi="Arial" w:cs="Arial"/>
          <w:lang w:val="en-US"/>
        </w:rPr>
        <w:t xml:space="preserve">from the first defendant </w:t>
      </w:r>
      <w:r w:rsidR="007740D3" w:rsidRPr="00432329">
        <w:rPr>
          <w:rFonts w:ascii="Arial" w:hAnsi="Arial" w:cs="Arial"/>
          <w:lang w:val="en-US"/>
        </w:rPr>
        <w:t>include charges which accrued</w:t>
      </w:r>
      <w:r w:rsidR="00EA618D">
        <w:rPr>
          <w:rFonts w:ascii="Arial" w:hAnsi="Arial" w:cs="Arial"/>
          <w:lang w:val="en-US"/>
        </w:rPr>
        <w:t xml:space="preserve"> from 31 July 2016, long before the first defendant’s liability, according to the plaintiff, arose (August 2019), and</w:t>
      </w:r>
      <w:r w:rsidR="007740D3" w:rsidRPr="00432329">
        <w:rPr>
          <w:rFonts w:ascii="Arial" w:hAnsi="Arial" w:cs="Arial"/>
          <w:lang w:val="en-US"/>
        </w:rPr>
        <w:t xml:space="preserve"> </w:t>
      </w:r>
      <w:r w:rsidR="00EA618D">
        <w:rPr>
          <w:rFonts w:ascii="Arial" w:hAnsi="Arial" w:cs="Arial"/>
          <w:lang w:val="en-US"/>
        </w:rPr>
        <w:t xml:space="preserve">the damages claimed further include charges which accrued until 21 November 2021, long </w:t>
      </w:r>
      <w:r w:rsidR="007740D3" w:rsidRPr="00432329">
        <w:rPr>
          <w:rFonts w:ascii="Arial" w:hAnsi="Arial" w:cs="Arial"/>
          <w:lang w:val="en-US"/>
        </w:rPr>
        <w:t>after the first defendant returned the performance guarantee to the plaintiff in November 201</w:t>
      </w:r>
      <w:r w:rsidR="00461314">
        <w:rPr>
          <w:rFonts w:ascii="Arial" w:hAnsi="Arial" w:cs="Arial"/>
          <w:lang w:val="en-US"/>
        </w:rPr>
        <w:t>9.</w:t>
      </w:r>
    </w:p>
    <w:p w14:paraId="68B9191C" w14:textId="77777777" w:rsidR="00461314" w:rsidRPr="00461314" w:rsidRDefault="00461314" w:rsidP="00461314">
      <w:pPr>
        <w:pStyle w:val="ListParagraph"/>
        <w:rPr>
          <w:rFonts w:ascii="Arial" w:hAnsi="Arial" w:cs="Arial"/>
          <w:lang w:val="en-US"/>
        </w:rPr>
      </w:pPr>
    </w:p>
    <w:p w14:paraId="095F4E3B" w14:textId="466A741E" w:rsidR="009567A2" w:rsidRDefault="00B83638" w:rsidP="006F362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On the issue of the first defendant’s failure to satisfy payment certificate 24, the following. According to </w:t>
      </w:r>
      <w:proofErr w:type="spellStart"/>
      <w:r>
        <w:rPr>
          <w:rFonts w:ascii="Arial" w:hAnsi="Arial" w:cs="Arial"/>
          <w:lang w:val="en-US"/>
        </w:rPr>
        <w:t>Kapuuo</w:t>
      </w:r>
      <w:proofErr w:type="spellEnd"/>
      <w:r>
        <w:rPr>
          <w:rFonts w:ascii="Arial" w:hAnsi="Arial" w:cs="Arial"/>
          <w:lang w:val="en-US"/>
        </w:rPr>
        <w:t>, there was no double payment. He said no amounts were unduly paid in respect of payment certificates 23</w:t>
      </w:r>
      <w:r w:rsidR="00517AE0">
        <w:rPr>
          <w:rFonts w:ascii="Arial" w:hAnsi="Arial" w:cs="Arial"/>
          <w:lang w:val="en-US"/>
        </w:rPr>
        <w:t>A and 23B</w:t>
      </w:r>
      <w:r>
        <w:rPr>
          <w:rFonts w:ascii="Arial" w:hAnsi="Arial" w:cs="Arial"/>
          <w:lang w:val="en-US"/>
        </w:rPr>
        <w:t>, and same was valued and quantified under the contract. According to the first defendant’s witnesses, a double payment resulted from payment certificates 23</w:t>
      </w:r>
      <w:r w:rsidR="00517AE0">
        <w:rPr>
          <w:rFonts w:ascii="Arial" w:hAnsi="Arial" w:cs="Arial"/>
          <w:lang w:val="en-US"/>
        </w:rPr>
        <w:t>A and 23B</w:t>
      </w:r>
      <w:r>
        <w:rPr>
          <w:rFonts w:ascii="Arial" w:hAnsi="Arial" w:cs="Arial"/>
          <w:lang w:val="en-US"/>
        </w:rPr>
        <w:t>. The plaintiff did not prove that payment certificate</w:t>
      </w:r>
      <w:r w:rsidR="00A933F8">
        <w:rPr>
          <w:rFonts w:ascii="Arial" w:hAnsi="Arial" w:cs="Arial"/>
          <w:lang w:val="en-US"/>
        </w:rPr>
        <w:t>s</w:t>
      </w:r>
      <w:r>
        <w:rPr>
          <w:rFonts w:ascii="Arial" w:hAnsi="Arial" w:cs="Arial"/>
          <w:lang w:val="en-US"/>
        </w:rPr>
        <w:t xml:space="preserve"> 23</w:t>
      </w:r>
      <w:r w:rsidR="00A933F8">
        <w:rPr>
          <w:rFonts w:ascii="Arial" w:hAnsi="Arial" w:cs="Arial"/>
          <w:lang w:val="en-US"/>
        </w:rPr>
        <w:t>A and 23B</w:t>
      </w:r>
      <w:r>
        <w:rPr>
          <w:rFonts w:ascii="Arial" w:hAnsi="Arial" w:cs="Arial"/>
          <w:lang w:val="en-US"/>
        </w:rPr>
        <w:t xml:space="preserve"> related to different work. Based on the evidence presented by Garcia and Nel, the court accepts that payment certificate</w:t>
      </w:r>
      <w:r w:rsidR="00A933F8">
        <w:rPr>
          <w:rFonts w:ascii="Arial" w:hAnsi="Arial" w:cs="Arial"/>
          <w:lang w:val="en-US"/>
        </w:rPr>
        <w:t>s</w:t>
      </w:r>
      <w:r>
        <w:rPr>
          <w:rFonts w:ascii="Arial" w:hAnsi="Arial" w:cs="Arial"/>
          <w:lang w:val="en-US"/>
        </w:rPr>
        <w:t xml:space="preserve"> 23</w:t>
      </w:r>
      <w:r w:rsidR="00A933F8">
        <w:rPr>
          <w:rFonts w:ascii="Arial" w:hAnsi="Arial" w:cs="Arial"/>
          <w:lang w:val="en-US"/>
        </w:rPr>
        <w:t>A and 23B</w:t>
      </w:r>
      <w:r>
        <w:rPr>
          <w:rFonts w:ascii="Arial" w:hAnsi="Arial" w:cs="Arial"/>
          <w:lang w:val="en-US"/>
        </w:rPr>
        <w:t xml:space="preserve"> related to the same work</w:t>
      </w:r>
      <w:r w:rsidR="00461314">
        <w:rPr>
          <w:rFonts w:ascii="Arial" w:hAnsi="Arial" w:cs="Arial"/>
          <w:lang w:val="en-US"/>
        </w:rPr>
        <w:t>, resulting in a double payment</w:t>
      </w:r>
      <w:r>
        <w:rPr>
          <w:rFonts w:ascii="Arial" w:hAnsi="Arial" w:cs="Arial"/>
          <w:lang w:val="en-US"/>
        </w:rPr>
        <w:t xml:space="preserve">. </w:t>
      </w:r>
      <w:r w:rsidR="009567A2">
        <w:rPr>
          <w:rFonts w:ascii="Arial" w:hAnsi="Arial" w:cs="Arial"/>
          <w:lang w:val="en-US"/>
        </w:rPr>
        <w:t>It is</w:t>
      </w:r>
      <w:r>
        <w:rPr>
          <w:rFonts w:ascii="Arial" w:hAnsi="Arial" w:cs="Arial"/>
          <w:lang w:val="en-US"/>
        </w:rPr>
        <w:t>, however,</w:t>
      </w:r>
      <w:r w:rsidR="009567A2">
        <w:rPr>
          <w:rFonts w:ascii="Arial" w:hAnsi="Arial" w:cs="Arial"/>
          <w:lang w:val="en-US"/>
        </w:rPr>
        <w:t xml:space="preserve"> unclear whether the first defendant was </w:t>
      </w:r>
      <w:r w:rsidR="009567A2">
        <w:rPr>
          <w:rFonts w:ascii="Arial" w:hAnsi="Arial" w:cs="Arial"/>
          <w:lang w:val="en-US"/>
        </w:rPr>
        <w:lastRenderedPageBreak/>
        <w:t xml:space="preserve">contractually allowed to set the double payment </w:t>
      </w:r>
      <w:r>
        <w:rPr>
          <w:rFonts w:ascii="Arial" w:hAnsi="Arial" w:cs="Arial"/>
          <w:lang w:val="en-US"/>
        </w:rPr>
        <w:t>off from payment certificate 24. That issue should, however, be resolved by the final account and it is not necessary for the court to make a finding on that issue.</w:t>
      </w:r>
    </w:p>
    <w:p w14:paraId="2848E495" w14:textId="77777777" w:rsidR="009567A2" w:rsidRPr="009567A2" w:rsidRDefault="009567A2" w:rsidP="009567A2">
      <w:pPr>
        <w:pStyle w:val="ListParagraph"/>
        <w:rPr>
          <w:rFonts w:ascii="Arial" w:hAnsi="Arial" w:cs="Arial"/>
          <w:lang w:val="en-US"/>
        </w:rPr>
      </w:pPr>
    </w:p>
    <w:p w14:paraId="0E0F263F" w14:textId="50A56B35" w:rsidR="006F3627" w:rsidRDefault="006F3627" w:rsidP="006F362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court finds the</w:t>
      </w:r>
      <w:r w:rsidR="004E2EAF">
        <w:rPr>
          <w:rFonts w:ascii="Arial" w:hAnsi="Arial" w:cs="Arial"/>
          <w:lang w:val="en-US"/>
        </w:rPr>
        <w:t xml:space="preserve"> </w:t>
      </w:r>
      <w:r w:rsidR="001737C4">
        <w:rPr>
          <w:rFonts w:ascii="Arial" w:hAnsi="Arial" w:cs="Arial"/>
          <w:lang w:val="en-US"/>
        </w:rPr>
        <w:t xml:space="preserve">plaintiff failed to make a case for its </w:t>
      </w:r>
      <w:r w:rsidR="004E2EAF">
        <w:rPr>
          <w:rFonts w:ascii="Arial" w:hAnsi="Arial" w:cs="Arial"/>
          <w:lang w:val="en-US"/>
        </w:rPr>
        <w:t>monetary claim.</w:t>
      </w:r>
      <w:r w:rsidR="00461314">
        <w:rPr>
          <w:rFonts w:ascii="Arial" w:hAnsi="Arial" w:cs="Arial"/>
          <w:lang w:val="en-US"/>
        </w:rPr>
        <w:t xml:space="preserve"> </w:t>
      </w:r>
      <w:r w:rsidR="009207B8">
        <w:rPr>
          <w:rFonts w:ascii="Arial" w:hAnsi="Arial" w:cs="Arial"/>
          <w:lang w:val="en-US"/>
        </w:rPr>
        <w:t>Therefore, it is unnecessary to deal with the first defendant’s case that the liability for costs in securing the performance guarantee was limited to N$3</w:t>
      </w:r>
      <w:r w:rsidR="0045305C">
        <w:rPr>
          <w:rFonts w:ascii="Arial" w:hAnsi="Arial" w:cs="Arial"/>
          <w:lang w:val="en-US"/>
        </w:rPr>
        <w:t xml:space="preserve">5 </w:t>
      </w:r>
      <w:r w:rsidR="009207B8">
        <w:rPr>
          <w:rFonts w:ascii="Arial" w:hAnsi="Arial" w:cs="Arial"/>
          <w:lang w:val="en-US"/>
        </w:rPr>
        <w:t>000,</w:t>
      </w:r>
      <w:r w:rsidR="00461314">
        <w:rPr>
          <w:rFonts w:ascii="Arial" w:hAnsi="Arial" w:cs="Arial"/>
          <w:lang w:val="en-US"/>
        </w:rPr>
        <w:t xml:space="preserve"> and </w:t>
      </w:r>
      <w:r w:rsidR="009207B8">
        <w:rPr>
          <w:rFonts w:ascii="Arial" w:hAnsi="Arial" w:cs="Arial"/>
          <w:lang w:val="en-US"/>
        </w:rPr>
        <w:t>the plaintiff was not entitled to have the performance guarantee returned to it.</w:t>
      </w:r>
      <w:r w:rsidR="004E2EAF">
        <w:rPr>
          <w:rFonts w:ascii="Arial" w:hAnsi="Arial" w:cs="Arial"/>
          <w:lang w:val="en-US"/>
        </w:rPr>
        <w:t xml:space="preserve"> </w:t>
      </w:r>
    </w:p>
    <w:p w14:paraId="4E48B9F8" w14:textId="77777777" w:rsidR="001737C4" w:rsidRPr="001737C4" w:rsidRDefault="001737C4" w:rsidP="001737C4">
      <w:pPr>
        <w:pStyle w:val="ListParagraph"/>
        <w:rPr>
          <w:rFonts w:ascii="Arial" w:hAnsi="Arial" w:cs="Arial"/>
          <w:lang w:val="en-US"/>
        </w:rPr>
      </w:pPr>
    </w:p>
    <w:p w14:paraId="3CDB90A4" w14:textId="32F847FA" w:rsidR="001737C4" w:rsidRDefault="00A23AD2" w:rsidP="006F362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basic rule is that costs are in the court’s discretion, and the general rule is that costs follow the event.</w:t>
      </w:r>
      <w:r w:rsidR="000829A4">
        <w:rPr>
          <w:rStyle w:val="FootnoteReference"/>
          <w:rFonts w:ascii="Arial" w:hAnsi="Arial" w:cs="Arial"/>
          <w:lang w:val="en-US"/>
        </w:rPr>
        <w:footnoteReference w:id="3"/>
      </w:r>
      <w:r>
        <w:rPr>
          <w:rFonts w:ascii="Arial" w:hAnsi="Arial" w:cs="Arial"/>
          <w:lang w:val="en-US"/>
        </w:rPr>
        <w:t xml:space="preserve"> Applying the general rule, and w</w:t>
      </w:r>
      <w:r w:rsidR="001737C4">
        <w:rPr>
          <w:rFonts w:ascii="Arial" w:hAnsi="Arial" w:cs="Arial"/>
          <w:lang w:val="en-US"/>
        </w:rPr>
        <w:t>hereas the plaintiff is only partially successful, the court</w:t>
      </w:r>
      <w:r>
        <w:rPr>
          <w:rFonts w:ascii="Arial" w:hAnsi="Arial" w:cs="Arial"/>
          <w:lang w:val="en-US"/>
        </w:rPr>
        <w:t xml:space="preserve"> exercises its discretion by awarding the plaintiff only part of its costs.</w:t>
      </w:r>
    </w:p>
    <w:p w14:paraId="09A23411" w14:textId="77777777" w:rsidR="004E2EAF" w:rsidRPr="004E2EAF" w:rsidRDefault="004E2EAF" w:rsidP="004E2EAF">
      <w:pPr>
        <w:pStyle w:val="ListParagraph"/>
        <w:rPr>
          <w:rFonts w:ascii="Arial" w:hAnsi="Arial" w:cs="Arial"/>
          <w:lang w:val="en-US"/>
        </w:rPr>
      </w:pPr>
    </w:p>
    <w:p w14:paraId="59616D12" w14:textId="75EC1C96" w:rsidR="004E2EAF" w:rsidRPr="004E2EAF" w:rsidRDefault="004E2EAF" w:rsidP="004E2EAF">
      <w:pPr>
        <w:pStyle w:val="ListParagraph"/>
        <w:spacing w:line="360" w:lineRule="auto"/>
        <w:ind w:left="0"/>
        <w:jc w:val="both"/>
        <w:rPr>
          <w:rFonts w:ascii="Arial" w:hAnsi="Arial" w:cs="Arial"/>
          <w:u w:val="single"/>
          <w:lang w:val="en-US"/>
        </w:rPr>
      </w:pPr>
      <w:r w:rsidRPr="004E2EAF">
        <w:rPr>
          <w:rFonts w:ascii="Arial" w:hAnsi="Arial" w:cs="Arial"/>
          <w:u w:val="single"/>
          <w:lang w:val="en-US"/>
        </w:rPr>
        <w:t>Conclusion</w:t>
      </w:r>
    </w:p>
    <w:p w14:paraId="457D7BB9" w14:textId="77777777" w:rsidR="004E2EAF" w:rsidRPr="004E2EAF" w:rsidRDefault="004E2EAF" w:rsidP="004E2EAF">
      <w:pPr>
        <w:pStyle w:val="ListParagraph"/>
        <w:rPr>
          <w:rFonts w:ascii="Arial" w:hAnsi="Arial" w:cs="Arial"/>
          <w:lang w:val="en-US"/>
        </w:rPr>
      </w:pPr>
    </w:p>
    <w:p w14:paraId="78DC8335" w14:textId="77777777" w:rsidR="004E2EAF" w:rsidRDefault="004E2EAF" w:rsidP="004E2EA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following order is made:</w:t>
      </w:r>
    </w:p>
    <w:p w14:paraId="3EA28862" w14:textId="77777777" w:rsidR="004E2EAF" w:rsidRPr="004E2EAF" w:rsidRDefault="004E2EAF" w:rsidP="004E2EAF">
      <w:pPr>
        <w:pStyle w:val="ListParagraph"/>
        <w:rPr>
          <w:rFonts w:ascii="Arial" w:hAnsi="Arial" w:cs="Arial"/>
          <w:lang w:val="en-US"/>
        </w:rPr>
      </w:pPr>
    </w:p>
    <w:p w14:paraId="5EC9266D" w14:textId="77777777" w:rsidR="001737C4" w:rsidRDefault="001737C4" w:rsidP="001737C4">
      <w:pPr>
        <w:pStyle w:val="ListParagraph"/>
        <w:numPr>
          <w:ilvl w:val="0"/>
          <w:numId w:val="7"/>
        </w:numPr>
        <w:spacing w:line="360" w:lineRule="auto"/>
        <w:ind w:left="0" w:firstLine="0"/>
        <w:jc w:val="both"/>
        <w:rPr>
          <w:rFonts w:ascii="Arial" w:hAnsi="Arial" w:cs="Arial"/>
          <w:lang w:val="en-US"/>
        </w:rPr>
      </w:pPr>
      <w:r w:rsidRPr="008311C2">
        <w:rPr>
          <w:rFonts w:ascii="Arial" w:hAnsi="Arial" w:cs="Arial"/>
          <w:lang w:val="en-US"/>
        </w:rPr>
        <w:t>The first defendant is ordered, within 21 days of th</w:t>
      </w:r>
      <w:r>
        <w:rPr>
          <w:rFonts w:ascii="Arial" w:hAnsi="Arial" w:cs="Arial"/>
          <w:lang w:val="en-US"/>
        </w:rPr>
        <w:t>is</w:t>
      </w:r>
      <w:r w:rsidRPr="008311C2">
        <w:rPr>
          <w:rFonts w:ascii="Arial" w:hAnsi="Arial" w:cs="Arial"/>
          <w:lang w:val="en-US"/>
        </w:rPr>
        <w:t xml:space="preserve"> order, to:</w:t>
      </w:r>
    </w:p>
    <w:p w14:paraId="65D4054D" w14:textId="77777777" w:rsidR="001737C4" w:rsidRPr="001737C4" w:rsidRDefault="001737C4" w:rsidP="001737C4">
      <w:pPr>
        <w:pStyle w:val="ListParagraph"/>
        <w:ind w:left="0"/>
        <w:rPr>
          <w:rFonts w:ascii="Arial" w:hAnsi="Arial" w:cs="Arial"/>
          <w:lang w:val="en-US"/>
        </w:rPr>
      </w:pPr>
    </w:p>
    <w:p w14:paraId="11DC55C9" w14:textId="77777777" w:rsidR="001737C4" w:rsidRDefault="001737C4" w:rsidP="001737C4">
      <w:pPr>
        <w:pStyle w:val="ListParagraph"/>
        <w:spacing w:line="360" w:lineRule="auto"/>
        <w:ind w:left="0"/>
        <w:jc w:val="both"/>
        <w:rPr>
          <w:rFonts w:ascii="Arial" w:hAnsi="Arial" w:cs="Arial"/>
          <w:lang w:val="en-US"/>
        </w:rPr>
      </w:pPr>
      <w:r>
        <w:rPr>
          <w:rFonts w:ascii="Arial" w:hAnsi="Arial" w:cs="Arial"/>
          <w:lang w:val="en-US"/>
        </w:rPr>
        <w:t xml:space="preserve">(a) </w:t>
      </w:r>
      <w:r w:rsidRPr="001737C4">
        <w:rPr>
          <w:rFonts w:ascii="Arial" w:hAnsi="Arial" w:cs="Arial"/>
          <w:lang w:val="en-US"/>
        </w:rPr>
        <w:t>place before the second defendant, together with the plaintiff, for purposes of quantification, all material related to the work done by the plaintiff under the contract in their possession (if any);</w:t>
      </w:r>
      <w:r>
        <w:rPr>
          <w:rFonts w:ascii="Arial" w:hAnsi="Arial" w:cs="Arial"/>
          <w:lang w:val="en-US"/>
        </w:rPr>
        <w:t xml:space="preserve"> and</w:t>
      </w:r>
    </w:p>
    <w:p w14:paraId="4CD3A855" w14:textId="77777777" w:rsidR="001737C4" w:rsidRPr="001737C4" w:rsidRDefault="001737C4" w:rsidP="001737C4">
      <w:pPr>
        <w:pStyle w:val="ListParagraph"/>
        <w:ind w:left="0"/>
        <w:rPr>
          <w:rFonts w:ascii="Arial" w:hAnsi="Arial" w:cs="Arial"/>
          <w:lang w:val="en-US"/>
        </w:rPr>
      </w:pPr>
    </w:p>
    <w:p w14:paraId="6EED9413" w14:textId="4F17261B" w:rsidR="001737C4" w:rsidRDefault="001737C4" w:rsidP="001737C4">
      <w:pPr>
        <w:pStyle w:val="ListParagraph"/>
        <w:spacing w:line="360" w:lineRule="auto"/>
        <w:ind w:left="0"/>
        <w:jc w:val="both"/>
        <w:rPr>
          <w:rFonts w:ascii="Arial" w:hAnsi="Arial" w:cs="Arial"/>
          <w:lang w:val="en-US"/>
        </w:rPr>
      </w:pPr>
      <w:r>
        <w:rPr>
          <w:rFonts w:ascii="Arial" w:hAnsi="Arial" w:cs="Arial"/>
          <w:lang w:val="en-US"/>
        </w:rPr>
        <w:t xml:space="preserve">(b) </w:t>
      </w:r>
      <w:r w:rsidRPr="001737C4">
        <w:rPr>
          <w:rFonts w:ascii="Arial" w:hAnsi="Arial" w:cs="Arial"/>
          <w:lang w:val="en-US"/>
        </w:rPr>
        <w:t xml:space="preserve">attend to </w:t>
      </w:r>
      <w:proofErr w:type="spellStart"/>
      <w:r w:rsidRPr="001737C4">
        <w:rPr>
          <w:rFonts w:ascii="Arial" w:hAnsi="Arial" w:cs="Arial"/>
          <w:lang w:val="en-US"/>
        </w:rPr>
        <w:t>Fonteintjie</w:t>
      </w:r>
      <w:proofErr w:type="spellEnd"/>
      <w:r w:rsidRPr="001737C4">
        <w:rPr>
          <w:rFonts w:ascii="Arial" w:hAnsi="Arial" w:cs="Arial"/>
          <w:lang w:val="en-US"/>
        </w:rPr>
        <w:t xml:space="preserve"> Fish Farm in the presence of the parties and/or their representatives to quantify the work done by the plaintiff until </w:t>
      </w:r>
      <w:r w:rsidR="00E826B3">
        <w:rPr>
          <w:rFonts w:ascii="Arial" w:hAnsi="Arial" w:cs="Arial"/>
          <w:lang w:val="en-US"/>
        </w:rPr>
        <w:t>November</w:t>
      </w:r>
      <w:r w:rsidRPr="001737C4">
        <w:rPr>
          <w:rFonts w:ascii="Arial" w:hAnsi="Arial" w:cs="Arial"/>
          <w:lang w:val="en-US"/>
        </w:rPr>
        <w:t xml:space="preserve"> 2019. </w:t>
      </w:r>
    </w:p>
    <w:p w14:paraId="2B569CE2" w14:textId="77777777" w:rsidR="001737C4" w:rsidRPr="001737C4" w:rsidRDefault="001737C4" w:rsidP="001737C4">
      <w:pPr>
        <w:pStyle w:val="ListParagraph"/>
        <w:ind w:left="0"/>
        <w:rPr>
          <w:rFonts w:ascii="Arial" w:hAnsi="Arial" w:cs="Arial"/>
          <w:lang w:val="en-US"/>
        </w:rPr>
      </w:pPr>
    </w:p>
    <w:p w14:paraId="34CD46DF" w14:textId="0672ED81" w:rsidR="001737C4" w:rsidRDefault="001737C4" w:rsidP="001737C4">
      <w:pPr>
        <w:pStyle w:val="ListParagraph"/>
        <w:numPr>
          <w:ilvl w:val="0"/>
          <w:numId w:val="7"/>
        </w:numPr>
        <w:spacing w:line="360" w:lineRule="auto"/>
        <w:ind w:left="0" w:firstLine="0"/>
        <w:jc w:val="both"/>
        <w:rPr>
          <w:rFonts w:ascii="Arial" w:hAnsi="Arial" w:cs="Arial"/>
          <w:lang w:val="en-US"/>
        </w:rPr>
      </w:pPr>
      <w:r w:rsidRPr="001737C4">
        <w:rPr>
          <w:rFonts w:ascii="Arial" w:hAnsi="Arial" w:cs="Arial"/>
          <w:lang w:val="en-US"/>
        </w:rPr>
        <w:t>The first defendant shall</w:t>
      </w:r>
      <w:r w:rsidR="00A23AD2">
        <w:rPr>
          <w:rFonts w:ascii="Arial" w:hAnsi="Arial" w:cs="Arial"/>
          <w:lang w:val="en-US"/>
        </w:rPr>
        <w:t xml:space="preserve">, </w:t>
      </w:r>
      <w:r w:rsidR="00A23AD2" w:rsidRPr="001737C4">
        <w:rPr>
          <w:rFonts w:ascii="Arial" w:hAnsi="Arial" w:cs="Arial"/>
          <w:lang w:val="en-US"/>
        </w:rPr>
        <w:t>within 21 days of the quantification</w:t>
      </w:r>
      <w:r w:rsidR="00A23AD2">
        <w:rPr>
          <w:rFonts w:ascii="Arial" w:hAnsi="Arial" w:cs="Arial"/>
          <w:lang w:val="en-US"/>
        </w:rPr>
        <w:t>,</w:t>
      </w:r>
      <w:r w:rsidRPr="001737C4">
        <w:rPr>
          <w:rFonts w:ascii="Arial" w:hAnsi="Arial" w:cs="Arial"/>
          <w:lang w:val="en-US"/>
        </w:rPr>
        <w:t xml:space="preserve"> pay the plaintiff the determined (quantified) amount</w:t>
      </w:r>
      <w:r w:rsidR="00A23AD2">
        <w:rPr>
          <w:rFonts w:ascii="Arial" w:hAnsi="Arial" w:cs="Arial"/>
          <w:lang w:val="en-US"/>
        </w:rPr>
        <w:t xml:space="preserve"> if it is more than what the plaintiff was already paid</w:t>
      </w:r>
      <w:r w:rsidRPr="001737C4">
        <w:rPr>
          <w:rFonts w:ascii="Arial" w:hAnsi="Arial" w:cs="Arial"/>
          <w:lang w:val="en-US"/>
        </w:rPr>
        <w:t xml:space="preserve">. </w:t>
      </w:r>
    </w:p>
    <w:p w14:paraId="42249867" w14:textId="77777777" w:rsidR="001737C4" w:rsidRPr="001737C4" w:rsidRDefault="001737C4" w:rsidP="001737C4">
      <w:pPr>
        <w:pStyle w:val="ListParagraph"/>
        <w:ind w:left="0"/>
        <w:rPr>
          <w:rFonts w:ascii="Arial" w:hAnsi="Arial" w:cs="Arial"/>
          <w:lang w:val="en-US"/>
        </w:rPr>
      </w:pPr>
    </w:p>
    <w:p w14:paraId="10F77486" w14:textId="5C72591F" w:rsidR="001737C4" w:rsidRDefault="001737C4" w:rsidP="001737C4">
      <w:pPr>
        <w:pStyle w:val="ListParagraph"/>
        <w:numPr>
          <w:ilvl w:val="0"/>
          <w:numId w:val="7"/>
        </w:numPr>
        <w:spacing w:line="360" w:lineRule="auto"/>
        <w:ind w:left="0" w:firstLine="0"/>
        <w:jc w:val="both"/>
        <w:rPr>
          <w:rFonts w:ascii="Arial" w:hAnsi="Arial" w:cs="Arial"/>
          <w:lang w:val="en-US"/>
        </w:rPr>
      </w:pPr>
      <w:r w:rsidRPr="001737C4">
        <w:rPr>
          <w:rFonts w:ascii="Arial" w:hAnsi="Arial" w:cs="Arial"/>
          <w:lang w:val="en-US"/>
        </w:rPr>
        <w:t>The first defendant shall pay the plaintiff interest on the amount in the preceding paragraph</w:t>
      </w:r>
      <w:r w:rsidR="00A23AD2">
        <w:rPr>
          <w:rFonts w:ascii="Arial" w:hAnsi="Arial" w:cs="Arial"/>
          <w:lang w:val="en-US"/>
        </w:rPr>
        <w:t>, if any,</w:t>
      </w:r>
      <w:r w:rsidRPr="001737C4">
        <w:rPr>
          <w:rFonts w:ascii="Arial" w:hAnsi="Arial" w:cs="Arial"/>
          <w:lang w:val="en-US"/>
        </w:rPr>
        <w:t xml:space="preserve"> at the rate of 20</w:t>
      </w:r>
      <w:r w:rsidR="000D761D">
        <w:rPr>
          <w:rFonts w:ascii="Arial" w:hAnsi="Arial" w:cs="Arial"/>
          <w:lang w:val="en-US"/>
        </w:rPr>
        <w:t xml:space="preserve"> per cent</w:t>
      </w:r>
      <w:r w:rsidRPr="001737C4">
        <w:rPr>
          <w:rFonts w:ascii="Arial" w:hAnsi="Arial" w:cs="Arial"/>
          <w:lang w:val="en-US"/>
        </w:rPr>
        <w:t xml:space="preserve"> per annum from the date of determination until the date of final payment.</w:t>
      </w:r>
    </w:p>
    <w:p w14:paraId="003DE8A3" w14:textId="77777777" w:rsidR="001737C4" w:rsidRPr="001737C4" w:rsidRDefault="001737C4" w:rsidP="001737C4">
      <w:pPr>
        <w:pStyle w:val="ListParagraph"/>
        <w:ind w:left="0"/>
        <w:rPr>
          <w:rFonts w:ascii="Arial" w:hAnsi="Arial" w:cs="Arial"/>
          <w:lang w:val="en-US"/>
        </w:rPr>
      </w:pPr>
    </w:p>
    <w:p w14:paraId="62127248" w14:textId="3CFB1B72" w:rsidR="001737C4" w:rsidRPr="001737C4" w:rsidRDefault="00551287" w:rsidP="001737C4">
      <w:pPr>
        <w:pStyle w:val="ListParagraph"/>
        <w:numPr>
          <w:ilvl w:val="0"/>
          <w:numId w:val="7"/>
        </w:numPr>
        <w:spacing w:line="360" w:lineRule="auto"/>
        <w:ind w:left="0" w:firstLine="0"/>
        <w:jc w:val="both"/>
        <w:rPr>
          <w:rFonts w:ascii="Arial" w:hAnsi="Arial" w:cs="Arial"/>
          <w:lang w:val="en-US"/>
        </w:rPr>
      </w:pPr>
      <w:r>
        <w:rPr>
          <w:rFonts w:ascii="Arial" w:hAnsi="Arial" w:cs="Arial"/>
          <w:lang w:val="en-US"/>
        </w:rPr>
        <w:lastRenderedPageBreak/>
        <w:t>T</w:t>
      </w:r>
      <w:r w:rsidR="001737C4" w:rsidRPr="001737C4">
        <w:rPr>
          <w:rFonts w:ascii="Arial" w:hAnsi="Arial" w:cs="Arial"/>
          <w:lang w:val="en-US"/>
        </w:rPr>
        <w:t>he plaintiff’s claim</w:t>
      </w:r>
      <w:r w:rsidR="001737C4">
        <w:rPr>
          <w:rFonts w:ascii="Arial" w:hAnsi="Arial" w:cs="Arial"/>
          <w:lang w:val="en-US"/>
        </w:rPr>
        <w:t xml:space="preserve"> for damages in prayers 4 and 5 of the particulars of claim</w:t>
      </w:r>
      <w:r>
        <w:rPr>
          <w:rFonts w:ascii="Arial" w:hAnsi="Arial" w:cs="Arial"/>
          <w:lang w:val="en-US"/>
        </w:rPr>
        <w:t xml:space="preserve"> is dismissed</w:t>
      </w:r>
      <w:r w:rsidR="001737C4" w:rsidRPr="001737C4">
        <w:rPr>
          <w:rFonts w:ascii="Arial" w:hAnsi="Arial" w:cs="Arial"/>
          <w:lang w:val="en-US"/>
        </w:rPr>
        <w:t>.</w:t>
      </w:r>
    </w:p>
    <w:p w14:paraId="78B70F6B" w14:textId="77777777" w:rsidR="001737C4" w:rsidRPr="004E2EAF" w:rsidRDefault="001737C4" w:rsidP="001737C4">
      <w:pPr>
        <w:pStyle w:val="ListParagraph"/>
        <w:ind w:left="0"/>
        <w:rPr>
          <w:rFonts w:ascii="Arial" w:hAnsi="Arial" w:cs="Arial"/>
          <w:lang w:val="en-US"/>
        </w:rPr>
      </w:pPr>
    </w:p>
    <w:p w14:paraId="21D76D3D" w14:textId="0D01A14B" w:rsidR="001737C4" w:rsidRDefault="001737C4" w:rsidP="001737C4">
      <w:pPr>
        <w:pStyle w:val="ListParagraph"/>
        <w:numPr>
          <w:ilvl w:val="0"/>
          <w:numId w:val="7"/>
        </w:numPr>
        <w:spacing w:line="360" w:lineRule="auto"/>
        <w:ind w:left="0" w:firstLine="0"/>
        <w:jc w:val="both"/>
        <w:rPr>
          <w:rFonts w:ascii="Arial" w:hAnsi="Arial" w:cs="Arial"/>
          <w:lang w:val="en-US"/>
        </w:rPr>
      </w:pPr>
      <w:r>
        <w:rPr>
          <w:rFonts w:ascii="Arial" w:hAnsi="Arial" w:cs="Arial"/>
          <w:lang w:val="en-US"/>
        </w:rPr>
        <w:t xml:space="preserve">The first defendant shall pay </w:t>
      </w:r>
      <w:r w:rsidR="00F01516">
        <w:rPr>
          <w:rFonts w:ascii="Arial" w:hAnsi="Arial" w:cs="Arial"/>
          <w:lang w:val="en-US"/>
        </w:rPr>
        <w:t xml:space="preserve">one </w:t>
      </w:r>
      <w:r>
        <w:rPr>
          <w:rFonts w:ascii="Arial" w:hAnsi="Arial" w:cs="Arial"/>
          <w:lang w:val="en-US"/>
        </w:rPr>
        <w:t>half of the plaintiff’s costs of suit, such cost</w:t>
      </w:r>
      <w:r w:rsidR="008C76AA">
        <w:rPr>
          <w:rFonts w:ascii="Arial" w:hAnsi="Arial" w:cs="Arial"/>
          <w:lang w:val="en-US"/>
        </w:rPr>
        <w:t>s</w:t>
      </w:r>
      <w:r>
        <w:rPr>
          <w:rFonts w:ascii="Arial" w:hAnsi="Arial" w:cs="Arial"/>
          <w:lang w:val="en-US"/>
        </w:rPr>
        <w:t xml:space="preserve"> to include the costs of one instructing and one instructed legal practitioner.</w:t>
      </w:r>
    </w:p>
    <w:p w14:paraId="60869041" w14:textId="77777777" w:rsidR="001737C4" w:rsidRPr="004E2EAF" w:rsidRDefault="001737C4" w:rsidP="001737C4">
      <w:pPr>
        <w:pStyle w:val="ListParagraph"/>
        <w:ind w:left="0"/>
        <w:rPr>
          <w:rFonts w:ascii="Arial" w:hAnsi="Arial" w:cs="Arial"/>
          <w:lang w:val="en-US"/>
        </w:rPr>
      </w:pPr>
    </w:p>
    <w:p w14:paraId="7A0B1218" w14:textId="2558F850" w:rsidR="004E2EAF" w:rsidRPr="004E2EAF" w:rsidRDefault="001737C4" w:rsidP="001737C4">
      <w:pPr>
        <w:pStyle w:val="ListParagraph"/>
        <w:numPr>
          <w:ilvl w:val="0"/>
          <w:numId w:val="7"/>
        </w:numPr>
        <w:spacing w:line="360" w:lineRule="auto"/>
        <w:ind w:left="0" w:firstLine="0"/>
        <w:jc w:val="both"/>
        <w:rPr>
          <w:rFonts w:ascii="Arial" w:hAnsi="Arial" w:cs="Arial"/>
          <w:lang w:val="en-US"/>
        </w:rPr>
      </w:pPr>
      <w:r>
        <w:rPr>
          <w:rFonts w:ascii="Arial" w:hAnsi="Arial" w:cs="Arial"/>
          <w:lang w:val="en-US"/>
        </w:rPr>
        <w:t xml:space="preserve">The matter is </w:t>
      </w:r>
      <w:proofErr w:type="spellStart"/>
      <w:r>
        <w:rPr>
          <w:rFonts w:ascii="Arial" w:hAnsi="Arial" w:cs="Arial"/>
          <w:lang w:val="en-US"/>
        </w:rPr>
        <w:t>finalised</w:t>
      </w:r>
      <w:proofErr w:type="spellEnd"/>
      <w:r>
        <w:rPr>
          <w:rFonts w:ascii="Arial" w:hAnsi="Arial" w:cs="Arial"/>
          <w:lang w:val="en-US"/>
        </w:rPr>
        <w:t xml:space="preserve"> and removed from the roll.</w:t>
      </w:r>
    </w:p>
    <w:p w14:paraId="39936968" w14:textId="564315B1" w:rsidR="00AD6C87" w:rsidRPr="00403325" w:rsidRDefault="00AD6C87" w:rsidP="004D30BC">
      <w:pPr>
        <w:pStyle w:val="ListParagraph"/>
        <w:spacing w:line="360" w:lineRule="auto"/>
        <w:ind w:left="0"/>
        <w:jc w:val="both"/>
        <w:rPr>
          <w:rFonts w:ascii="Arial" w:hAnsi="Arial" w:cs="Arial"/>
          <w:lang w:val="en-US"/>
        </w:rPr>
      </w:pPr>
    </w:p>
    <w:p w14:paraId="1B1E1FEF" w14:textId="77777777" w:rsidR="004E5F07" w:rsidRPr="004E5F07" w:rsidRDefault="004E5F07" w:rsidP="004E5F07">
      <w:pPr>
        <w:pStyle w:val="ListParagraph"/>
        <w:rPr>
          <w:rFonts w:ascii="Arial" w:hAnsi="Arial" w:cs="Arial"/>
          <w:lang w:val="en-US"/>
        </w:rPr>
      </w:pPr>
    </w:p>
    <w:p w14:paraId="4714D29C" w14:textId="77777777" w:rsidR="00B74401" w:rsidRDefault="00B74401" w:rsidP="00B74401">
      <w:pPr>
        <w:pStyle w:val="ListParagraph"/>
        <w:spacing w:line="360" w:lineRule="auto"/>
        <w:ind w:left="0"/>
        <w:jc w:val="both"/>
        <w:rPr>
          <w:rFonts w:ascii="Arial" w:hAnsi="Arial" w:cs="Arial"/>
          <w:lang w:val="en-US"/>
        </w:rPr>
      </w:pP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B062D" w:rsidRPr="00155B26" w14:paraId="1D905D4A" w14:textId="77777777" w:rsidTr="004B062D">
        <w:tc>
          <w:tcPr>
            <w:tcW w:w="8789" w:type="dxa"/>
          </w:tcPr>
          <w:p w14:paraId="3976CC82" w14:textId="3367F703" w:rsidR="004B062D" w:rsidRPr="004B062D" w:rsidRDefault="00D90021" w:rsidP="004B062D">
            <w:pPr>
              <w:spacing w:line="360" w:lineRule="auto"/>
              <w:jc w:val="right"/>
              <w:rPr>
                <w:rFonts w:ascii="Arial" w:hAnsi="Arial" w:cs="Arial"/>
                <w:lang w:val="en-US"/>
              </w:rPr>
            </w:pPr>
            <w:r>
              <w:rPr>
                <w:rFonts w:ascii="Arial" w:hAnsi="Arial" w:cs="Arial"/>
                <w:lang w:val="en-US"/>
              </w:rPr>
              <w:t>__________________</w:t>
            </w:r>
          </w:p>
        </w:tc>
      </w:tr>
      <w:tr w:rsidR="004B062D" w:rsidRPr="00155B26" w14:paraId="40BA4CAC" w14:textId="77777777" w:rsidTr="004B062D">
        <w:tc>
          <w:tcPr>
            <w:tcW w:w="8789" w:type="dxa"/>
          </w:tcPr>
          <w:p w14:paraId="2980794D" w14:textId="2C540341" w:rsidR="004B062D" w:rsidRPr="004B062D" w:rsidRDefault="004B062D" w:rsidP="004B062D">
            <w:pPr>
              <w:spacing w:line="360" w:lineRule="auto"/>
              <w:jc w:val="right"/>
              <w:rPr>
                <w:rFonts w:ascii="Arial" w:hAnsi="Arial" w:cs="Arial"/>
                <w:lang w:val="en-US"/>
              </w:rPr>
            </w:pPr>
            <w:r>
              <w:rPr>
                <w:rFonts w:ascii="Arial" w:hAnsi="Arial" w:cs="Arial"/>
                <w:lang w:val="en-US"/>
              </w:rPr>
              <w:t xml:space="preserve">B </w:t>
            </w:r>
            <w:r w:rsidR="0045305C">
              <w:rPr>
                <w:rFonts w:ascii="Arial" w:hAnsi="Arial" w:cs="Arial"/>
                <w:lang w:val="en-US"/>
              </w:rPr>
              <w:t>DE JAGER</w:t>
            </w:r>
          </w:p>
        </w:tc>
      </w:tr>
      <w:tr w:rsidR="004B062D" w:rsidRPr="00155B26" w14:paraId="56EFA0A1" w14:textId="77777777" w:rsidTr="004B062D">
        <w:tc>
          <w:tcPr>
            <w:tcW w:w="8789" w:type="dxa"/>
          </w:tcPr>
          <w:p w14:paraId="13DB1635" w14:textId="32C1FF40" w:rsidR="004B062D" w:rsidRPr="004B062D" w:rsidRDefault="004B062D" w:rsidP="004B062D">
            <w:pPr>
              <w:spacing w:line="360" w:lineRule="auto"/>
              <w:jc w:val="right"/>
              <w:rPr>
                <w:rFonts w:ascii="Arial" w:hAnsi="Arial" w:cs="Arial"/>
                <w:lang w:val="en-US"/>
              </w:rPr>
            </w:pPr>
            <w:r>
              <w:rPr>
                <w:rFonts w:ascii="Arial" w:hAnsi="Arial" w:cs="Arial"/>
                <w:lang w:val="en-US"/>
              </w:rPr>
              <w:t>Acting Judge</w:t>
            </w:r>
          </w:p>
        </w:tc>
      </w:tr>
    </w:tbl>
    <w:p w14:paraId="2C6A303A" w14:textId="77777777" w:rsidR="004B062D" w:rsidRDefault="004B062D" w:rsidP="00B74401">
      <w:pPr>
        <w:pStyle w:val="ListParagraph"/>
        <w:spacing w:line="360" w:lineRule="auto"/>
        <w:ind w:left="0"/>
        <w:jc w:val="both"/>
        <w:rPr>
          <w:rFonts w:ascii="Arial" w:hAnsi="Arial" w:cs="Arial"/>
          <w:lang w:val="en-US"/>
        </w:rPr>
      </w:pPr>
    </w:p>
    <w:p w14:paraId="1C4F6D72" w14:textId="0404C1F5" w:rsidR="004B062D" w:rsidRDefault="004B062D">
      <w:r>
        <w:br w:type="page"/>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0"/>
      </w:tblGrid>
      <w:tr w:rsidR="004B062D" w:rsidRPr="004B062D" w14:paraId="7F2E129A" w14:textId="77777777" w:rsidTr="00B14701">
        <w:tc>
          <w:tcPr>
            <w:tcW w:w="8789" w:type="dxa"/>
            <w:gridSpan w:val="2"/>
          </w:tcPr>
          <w:p w14:paraId="33CD2DCB" w14:textId="77777777" w:rsidR="004B062D" w:rsidRDefault="004B062D" w:rsidP="00761390">
            <w:pPr>
              <w:spacing w:line="360" w:lineRule="auto"/>
              <w:jc w:val="both"/>
              <w:rPr>
                <w:rFonts w:ascii="Arial" w:hAnsi="Arial" w:cs="Arial"/>
                <w:lang w:val="en-US"/>
              </w:rPr>
            </w:pPr>
            <w:r>
              <w:rPr>
                <w:rFonts w:ascii="Arial" w:hAnsi="Arial" w:cs="Arial"/>
                <w:lang w:val="en-US"/>
              </w:rPr>
              <w:lastRenderedPageBreak/>
              <w:t>APPEARANCES</w:t>
            </w:r>
          </w:p>
          <w:p w14:paraId="1AEC881A" w14:textId="7C9F633E" w:rsidR="004B062D" w:rsidRPr="004B062D" w:rsidRDefault="004B062D" w:rsidP="00761390">
            <w:pPr>
              <w:spacing w:line="360" w:lineRule="auto"/>
              <w:jc w:val="both"/>
              <w:rPr>
                <w:rFonts w:ascii="Arial" w:hAnsi="Arial" w:cs="Arial"/>
                <w:lang w:val="en-US"/>
              </w:rPr>
            </w:pPr>
          </w:p>
        </w:tc>
      </w:tr>
      <w:tr w:rsidR="004B062D" w:rsidRPr="00F97DE9" w14:paraId="1FAF4FCE" w14:textId="77777777" w:rsidTr="00B14701">
        <w:tc>
          <w:tcPr>
            <w:tcW w:w="3119" w:type="dxa"/>
          </w:tcPr>
          <w:p w14:paraId="258C90E3" w14:textId="48AD9802" w:rsidR="004B062D" w:rsidRPr="00F97DE9" w:rsidRDefault="004B062D" w:rsidP="004B062D">
            <w:pPr>
              <w:spacing w:line="360" w:lineRule="auto"/>
              <w:rPr>
                <w:rFonts w:ascii="Arial" w:hAnsi="Arial" w:cs="Arial"/>
                <w:lang w:val="en-US"/>
              </w:rPr>
            </w:pPr>
            <w:r w:rsidRPr="00F97DE9">
              <w:rPr>
                <w:rFonts w:ascii="Arial" w:hAnsi="Arial" w:cs="Arial"/>
                <w:lang w:val="en-US"/>
              </w:rPr>
              <w:t>PLAINTIFF</w:t>
            </w:r>
            <w:r w:rsidR="009D2854" w:rsidRPr="00F97DE9">
              <w:rPr>
                <w:rFonts w:ascii="Arial" w:hAnsi="Arial" w:cs="Arial"/>
                <w:lang w:val="en-US"/>
              </w:rPr>
              <w:t>:</w:t>
            </w:r>
          </w:p>
        </w:tc>
        <w:tc>
          <w:tcPr>
            <w:tcW w:w="5670" w:type="dxa"/>
          </w:tcPr>
          <w:p w14:paraId="46BAECB2" w14:textId="3317DD5D" w:rsidR="004B062D" w:rsidRPr="00F97DE9" w:rsidRDefault="00B14701" w:rsidP="004B062D">
            <w:pPr>
              <w:spacing w:line="360" w:lineRule="auto"/>
              <w:rPr>
                <w:rFonts w:ascii="Arial" w:hAnsi="Arial" w:cs="Arial"/>
                <w:lang w:val="en-US"/>
              </w:rPr>
            </w:pPr>
            <w:r>
              <w:rPr>
                <w:rFonts w:ascii="Arial" w:hAnsi="Arial" w:cs="Arial"/>
                <w:lang w:val="en-US"/>
              </w:rPr>
              <w:t xml:space="preserve">V </w:t>
            </w:r>
            <w:proofErr w:type="spellStart"/>
            <w:r>
              <w:rPr>
                <w:rFonts w:ascii="Arial" w:hAnsi="Arial" w:cs="Arial"/>
                <w:lang w:val="en-US"/>
              </w:rPr>
              <w:t>Kauta</w:t>
            </w:r>
            <w:proofErr w:type="spellEnd"/>
            <w:r>
              <w:rPr>
                <w:rFonts w:ascii="Arial" w:hAnsi="Arial" w:cs="Arial"/>
                <w:lang w:val="en-US"/>
              </w:rPr>
              <w:t xml:space="preserve"> </w:t>
            </w:r>
            <w:r w:rsidR="000D4441">
              <w:rPr>
                <w:rFonts w:ascii="Arial" w:hAnsi="Arial" w:cs="Arial"/>
                <w:lang w:val="en-US"/>
              </w:rPr>
              <w:t>(</w:t>
            </w:r>
            <w:r>
              <w:rPr>
                <w:rFonts w:ascii="Arial" w:hAnsi="Arial" w:cs="Arial"/>
                <w:lang w:val="en-US"/>
              </w:rPr>
              <w:t xml:space="preserve">assisted by N </w:t>
            </w:r>
            <w:proofErr w:type="spellStart"/>
            <w:r>
              <w:rPr>
                <w:rFonts w:ascii="Arial" w:hAnsi="Arial" w:cs="Arial"/>
                <w:lang w:val="en-US"/>
              </w:rPr>
              <w:t>Ndaitwah</w:t>
            </w:r>
            <w:proofErr w:type="spellEnd"/>
            <w:r w:rsidR="000D4441">
              <w:rPr>
                <w:rFonts w:ascii="Arial" w:hAnsi="Arial" w:cs="Arial"/>
                <w:lang w:val="en-US"/>
              </w:rPr>
              <w:t>)</w:t>
            </w:r>
          </w:p>
          <w:p w14:paraId="7A855C9F" w14:textId="1F4C970D" w:rsidR="00B14701" w:rsidRPr="00F97DE9" w:rsidRDefault="004B062D" w:rsidP="004B062D">
            <w:pPr>
              <w:spacing w:line="360" w:lineRule="auto"/>
              <w:rPr>
                <w:rFonts w:ascii="Arial" w:hAnsi="Arial" w:cs="Arial"/>
                <w:lang w:val="en-US"/>
              </w:rPr>
            </w:pPr>
            <w:r w:rsidRPr="00F97DE9">
              <w:rPr>
                <w:rFonts w:ascii="Arial" w:hAnsi="Arial" w:cs="Arial"/>
                <w:lang w:val="en-US"/>
              </w:rPr>
              <w:t xml:space="preserve">Instructed by </w:t>
            </w:r>
            <w:proofErr w:type="spellStart"/>
            <w:r w:rsidR="00B14701">
              <w:rPr>
                <w:rFonts w:ascii="Arial" w:hAnsi="Arial" w:cs="Arial"/>
                <w:lang w:val="en-US"/>
              </w:rPr>
              <w:t>Ndaitwah</w:t>
            </w:r>
            <w:proofErr w:type="spellEnd"/>
            <w:r w:rsidR="00B14701">
              <w:rPr>
                <w:rFonts w:ascii="Arial" w:hAnsi="Arial" w:cs="Arial"/>
                <w:lang w:val="en-US"/>
              </w:rPr>
              <w:t xml:space="preserve"> Legal Practitioner Windhoek</w:t>
            </w:r>
          </w:p>
          <w:p w14:paraId="1C9F2085" w14:textId="1A0B7961" w:rsidR="00607061" w:rsidRPr="00F97DE9" w:rsidRDefault="00607061" w:rsidP="004B062D">
            <w:pPr>
              <w:spacing w:line="360" w:lineRule="auto"/>
              <w:rPr>
                <w:rFonts w:ascii="Arial" w:hAnsi="Arial" w:cs="Arial"/>
                <w:lang w:val="en-US"/>
              </w:rPr>
            </w:pPr>
          </w:p>
        </w:tc>
      </w:tr>
      <w:tr w:rsidR="004B062D" w:rsidRPr="00F97DE9" w14:paraId="54D051F7" w14:textId="77777777" w:rsidTr="00B14701">
        <w:tc>
          <w:tcPr>
            <w:tcW w:w="3119" w:type="dxa"/>
          </w:tcPr>
          <w:p w14:paraId="7E23B9E0" w14:textId="284D21B0" w:rsidR="004B062D" w:rsidRPr="00F97DE9" w:rsidRDefault="004B062D" w:rsidP="004B062D">
            <w:pPr>
              <w:spacing w:line="360" w:lineRule="auto"/>
              <w:rPr>
                <w:rFonts w:ascii="Arial" w:hAnsi="Arial" w:cs="Arial"/>
                <w:lang w:val="en-US"/>
              </w:rPr>
            </w:pPr>
            <w:r w:rsidRPr="00F97DE9">
              <w:rPr>
                <w:rFonts w:ascii="Arial" w:hAnsi="Arial" w:cs="Arial"/>
                <w:lang w:val="en-US"/>
              </w:rPr>
              <w:t>FIRST DEFENDANT</w:t>
            </w:r>
            <w:r w:rsidR="009D2854" w:rsidRPr="00F97DE9">
              <w:rPr>
                <w:rFonts w:ascii="Arial" w:hAnsi="Arial" w:cs="Arial"/>
                <w:lang w:val="en-US"/>
              </w:rPr>
              <w:t>:</w:t>
            </w:r>
          </w:p>
        </w:tc>
        <w:tc>
          <w:tcPr>
            <w:tcW w:w="5670" w:type="dxa"/>
          </w:tcPr>
          <w:p w14:paraId="2E804C08" w14:textId="090EFEAB" w:rsidR="004B062D" w:rsidRPr="00F97DE9" w:rsidRDefault="00B14701" w:rsidP="004B062D">
            <w:pPr>
              <w:spacing w:line="360" w:lineRule="auto"/>
              <w:rPr>
                <w:rFonts w:ascii="Arial" w:hAnsi="Arial" w:cs="Arial"/>
                <w:lang w:val="en-US"/>
              </w:rPr>
            </w:pPr>
            <w:r>
              <w:rPr>
                <w:rFonts w:ascii="Arial" w:hAnsi="Arial" w:cs="Arial"/>
                <w:lang w:val="en-US"/>
              </w:rPr>
              <w:t xml:space="preserve">E </w:t>
            </w:r>
            <w:proofErr w:type="spellStart"/>
            <w:r>
              <w:rPr>
                <w:rFonts w:ascii="Arial" w:hAnsi="Arial" w:cs="Arial"/>
                <w:lang w:val="en-US"/>
              </w:rPr>
              <w:t>Shifotoka</w:t>
            </w:r>
            <w:proofErr w:type="spellEnd"/>
            <w:r>
              <w:rPr>
                <w:rFonts w:ascii="Arial" w:hAnsi="Arial" w:cs="Arial"/>
                <w:lang w:val="en-US"/>
              </w:rPr>
              <w:t xml:space="preserve"> </w:t>
            </w:r>
            <w:r w:rsidR="000D4441">
              <w:rPr>
                <w:rFonts w:ascii="Arial" w:hAnsi="Arial" w:cs="Arial"/>
                <w:lang w:val="en-US"/>
              </w:rPr>
              <w:t>(</w:t>
            </w:r>
            <w:r>
              <w:rPr>
                <w:rFonts w:ascii="Arial" w:hAnsi="Arial" w:cs="Arial"/>
                <w:lang w:val="en-US"/>
              </w:rPr>
              <w:t>assisted by C T van der Smit</w:t>
            </w:r>
            <w:r w:rsidR="000D4441">
              <w:rPr>
                <w:rFonts w:ascii="Arial" w:hAnsi="Arial" w:cs="Arial"/>
                <w:lang w:val="en-US"/>
              </w:rPr>
              <w:t>)</w:t>
            </w:r>
          </w:p>
          <w:p w14:paraId="6C9F479C" w14:textId="584B98A6" w:rsidR="004B062D" w:rsidRPr="00F97DE9" w:rsidRDefault="004B062D" w:rsidP="004B062D">
            <w:pPr>
              <w:spacing w:line="360" w:lineRule="auto"/>
              <w:rPr>
                <w:rFonts w:ascii="Arial" w:hAnsi="Arial" w:cs="Arial"/>
                <w:lang w:val="en-US"/>
              </w:rPr>
            </w:pPr>
            <w:r w:rsidRPr="00F97DE9">
              <w:rPr>
                <w:rFonts w:ascii="Arial" w:hAnsi="Arial" w:cs="Arial"/>
                <w:lang w:val="en-US"/>
              </w:rPr>
              <w:t xml:space="preserve">Instructed by </w:t>
            </w:r>
            <w:r w:rsidR="00B14701">
              <w:rPr>
                <w:rFonts w:ascii="Arial" w:hAnsi="Arial" w:cs="Arial"/>
                <w:lang w:val="en-US"/>
              </w:rPr>
              <w:t>Office of the Government Attorney Windhoek</w:t>
            </w:r>
          </w:p>
          <w:p w14:paraId="3B9EC3F5" w14:textId="0AF1A66D" w:rsidR="00607061" w:rsidRPr="00F97DE9" w:rsidRDefault="00607061" w:rsidP="004B062D">
            <w:pPr>
              <w:spacing w:line="360" w:lineRule="auto"/>
              <w:rPr>
                <w:rFonts w:ascii="Arial" w:hAnsi="Arial" w:cs="Arial"/>
                <w:lang w:val="en-US"/>
              </w:rPr>
            </w:pPr>
          </w:p>
        </w:tc>
      </w:tr>
    </w:tbl>
    <w:p w14:paraId="605C9C17" w14:textId="77777777" w:rsidR="004B062D" w:rsidRDefault="004B062D" w:rsidP="00B74401">
      <w:pPr>
        <w:pStyle w:val="ListParagraph"/>
        <w:spacing w:line="360" w:lineRule="auto"/>
        <w:ind w:left="0"/>
        <w:jc w:val="both"/>
        <w:rPr>
          <w:rFonts w:ascii="Arial" w:hAnsi="Arial" w:cs="Arial"/>
          <w:lang w:val="en-US"/>
        </w:rPr>
      </w:pPr>
    </w:p>
    <w:p w14:paraId="69813820" w14:textId="77777777" w:rsidR="00B74401" w:rsidRDefault="00B74401" w:rsidP="00B74401">
      <w:pPr>
        <w:pStyle w:val="ListParagraph"/>
        <w:spacing w:line="360" w:lineRule="auto"/>
        <w:ind w:left="0"/>
        <w:jc w:val="both"/>
        <w:rPr>
          <w:rFonts w:ascii="Arial" w:hAnsi="Arial" w:cs="Arial"/>
          <w:lang w:val="en-US"/>
        </w:rPr>
      </w:pPr>
    </w:p>
    <w:p w14:paraId="2E1C66F7" w14:textId="77777777" w:rsidR="004E5F07" w:rsidRPr="004E5F07" w:rsidRDefault="004E5F07" w:rsidP="004E5F07">
      <w:pPr>
        <w:pStyle w:val="ListParagraph"/>
        <w:spacing w:line="360" w:lineRule="auto"/>
        <w:ind w:left="0"/>
        <w:jc w:val="both"/>
        <w:rPr>
          <w:rFonts w:ascii="Arial" w:hAnsi="Arial" w:cs="Arial"/>
          <w:lang w:val="en-US"/>
        </w:rPr>
      </w:pPr>
    </w:p>
    <w:p w14:paraId="3D608657" w14:textId="77777777" w:rsidR="004E5F07" w:rsidRPr="004E5F07" w:rsidRDefault="004E5F07" w:rsidP="004E5F07">
      <w:pPr>
        <w:spacing w:line="360" w:lineRule="auto"/>
        <w:jc w:val="both"/>
        <w:rPr>
          <w:rFonts w:ascii="Arial" w:eastAsia="Calibri" w:hAnsi="Arial" w:cs="Arial"/>
          <w:bCs/>
        </w:rPr>
      </w:pPr>
    </w:p>
    <w:p w14:paraId="4BBA38E6" w14:textId="77777777" w:rsidR="004E5F07" w:rsidRPr="004E5F07" w:rsidRDefault="004E5F07" w:rsidP="00FE7F68">
      <w:pPr>
        <w:spacing w:line="360" w:lineRule="auto"/>
        <w:jc w:val="both"/>
        <w:rPr>
          <w:rFonts w:ascii="Arial" w:hAnsi="Arial" w:cs="Arial"/>
          <w:lang w:val="en-US"/>
        </w:rPr>
      </w:pPr>
    </w:p>
    <w:p w14:paraId="4A5088FD" w14:textId="77777777" w:rsidR="004E5F07" w:rsidRPr="004E5F07" w:rsidRDefault="004E5F07" w:rsidP="00FE7F68">
      <w:pPr>
        <w:spacing w:line="360" w:lineRule="auto"/>
        <w:jc w:val="both"/>
        <w:rPr>
          <w:rFonts w:ascii="Arial" w:hAnsi="Arial" w:cs="Arial"/>
          <w:lang w:val="en-US"/>
        </w:rPr>
      </w:pPr>
    </w:p>
    <w:p w14:paraId="1A84AE10" w14:textId="77777777" w:rsidR="004E5F07" w:rsidRPr="004E5F07" w:rsidRDefault="004E5F07" w:rsidP="00FE7F68">
      <w:pPr>
        <w:spacing w:line="360" w:lineRule="auto"/>
        <w:jc w:val="both"/>
        <w:rPr>
          <w:rFonts w:ascii="Arial" w:hAnsi="Arial" w:cs="Arial"/>
          <w:lang w:val="en-US"/>
        </w:rPr>
      </w:pPr>
    </w:p>
    <w:p w14:paraId="60C416EE" w14:textId="77777777" w:rsidR="00061C47" w:rsidRPr="004E5F07" w:rsidRDefault="00061C47" w:rsidP="00FE7F68">
      <w:pPr>
        <w:spacing w:line="360" w:lineRule="auto"/>
        <w:jc w:val="both"/>
        <w:rPr>
          <w:rFonts w:ascii="Arial" w:hAnsi="Arial" w:cs="Arial"/>
          <w:lang w:val="en-US"/>
        </w:rPr>
      </w:pPr>
    </w:p>
    <w:p w14:paraId="5BA5660D" w14:textId="77777777" w:rsidR="00061C47" w:rsidRPr="004E5F07" w:rsidRDefault="00061C47" w:rsidP="00FE7F68">
      <w:pPr>
        <w:spacing w:line="360" w:lineRule="auto"/>
        <w:jc w:val="both"/>
        <w:rPr>
          <w:rFonts w:ascii="Arial" w:hAnsi="Arial" w:cs="Arial"/>
          <w:lang w:val="en-US"/>
        </w:rPr>
      </w:pPr>
    </w:p>
    <w:p w14:paraId="4F9639B9" w14:textId="77777777" w:rsidR="00061C47" w:rsidRPr="004E5F07" w:rsidRDefault="00061C47" w:rsidP="00FE7F68">
      <w:pPr>
        <w:spacing w:line="360" w:lineRule="auto"/>
        <w:jc w:val="both"/>
        <w:rPr>
          <w:rFonts w:ascii="Arial" w:hAnsi="Arial" w:cs="Arial"/>
          <w:lang w:val="en-US"/>
        </w:rPr>
      </w:pPr>
    </w:p>
    <w:p w14:paraId="69CB4FDC" w14:textId="77777777" w:rsidR="00061C47" w:rsidRPr="004E5F07" w:rsidRDefault="00061C47" w:rsidP="00FE7F68">
      <w:pPr>
        <w:spacing w:line="360" w:lineRule="auto"/>
        <w:jc w:val="both"/>
        <w:rPr>
          <w:rFonts w:ascii="Arial" w:hAnsi="Arial" w:cs="Arial"/>
          <w:lang w:val="en-US"/>
        </w:rPr>
      </w:pPr>
    </w:p>
    <w:p w14:paraId="7579CAFB" w14:textId="554BE68D" w:rsidR="00061C47" w:rsidRPr="00A54A5B" w:rsidRDefault="00061C47" w:rsidP="00A54A5B">
      <w:pPr>
        <w:spacing w:line="360" w:lineRule="auto"/>
        <w:jc w:val="both"/>
        <w:rPr>
          <w:rFonts w:ascii="Arial" w:hAnsi="Arial" w:cs="Arial"/>
          <w:lang w:val="en-US"/>
        </w:rPr>
      </w:pPr>
    </w:p>
    <w:sectPr w:rsidR="00061C47" w:rsidRPr="00A54A5B" w:rsidSect="00477514">
      <w:headerReference w:type="even" r:id="rId8"/>
      <w:headerReference w:type="default" r:id="rId9"/>
      <w:headerReference w:type="first" r:id="rId10"/>
      <w:pgSz w:w="11900" w:h="16840"/>
      <w:pgMar w:top="1356" w:right="1671" w:bottom="1480" w:left="172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D129" w14:textId="77777777" w:rsidR="00477514" w:rsidRDefault="00477514" w:rsidP="00155B26">
      <w:r>
        <w:separator/>
      </w:r>
    </w:p>
  </w:endnote>
  <w:endnote w:type="continuationSeparator" w:id="0">
    <w:p w14:paraId="78626E8E" w14:textId="77777777" w:rsidR="00477514" w:rsidRDefault="00477514" w:rsidP="001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1FDB" w14:textId="77777777" w:rsidR="00477514" w:rsidRDefault="00477514" w:rsidP="00155B26">
      <w:r>
        <w:separator/>
      </w:r>
    </w:p>
  </w:footnote>
  <w:footnote w:type="continuationSeparator" w:id="0">
    <w:p w14:paraId="27D21248" w14:textId="77777777" w:rsidR="00477514" w:rsidRDefault="00477514" w:rsidP="00155B26">
      <w:r>
        <w:continuationSeparator/>
      </w:r>
    </w:p>
  </w:footnote>
  <w:footnote w:id="1">
    <w:p w14:paraId="5F3B3040" w14:textId="11E7CEF8" w:rsidR="004E6B25" w:rsidRPr="009207B8" w:rsidRDefault="004E6B25" w:rsidP="009207B8">
      <w:pPr>
        <w:pStyle w:val="FootnoteText"/>
        <w:jc w:val="both"/>
        <w:rPr>
          <w:rFonts w:ascii="Arial" w:hAnsi="Arial" w:cs="Arial"/>
          <w:lang w:val="en-US"/>
        </w:rPr>
      </w:pPr>
      <w:r w:rsidRPr="009207B8">
        <w:rPr>
          <w:rStyle w:val="FootnoteReference"/>
          <w:rFonts w:ascii="Arial" w:hAnsi="Arial" w:cs="Arial"/>
        </w:rPr>
        <w:footnoteRef/>
      </w:r>
      <w:r w:rsidRPr="009207B8">
        <w:rPr>
          <w:rFonts w:ascii="Arial" w:hAnsi="Arial" w:cs="Arial"/>
        </w:rPr>
        <w:t xml:space="preserve"> </w:t>
      </w:r>
      <w:r w:rsidR="002267ED" w:rsidRPr="009207B8">
        <w:rPr>
          <w:rFonts w:ascii="Arial" w:hAnsi="Arial" w:cs="Arial"/>
          <w:lang w:val="en-US"/>
        </w:rPr>
        <w:t>The plaintiff, during its opening statement, moved</w:t>
      </w:r>
      <w:r w:rsidR="005166A8" w:rsidRPr="009207B8">
        <w:rPr>
          <w:rFonts w:ascii="Arial" w:hAnsi="Arial" w:cs="Arial"/>
          <w:lang w:val="en-US"/>
        </w:rPr>
        <w:t xml:space="preserve"> </w:t>
      </w:r>
      <w:r w:rsidR="002267ED" w:rsidRPr="009207B8">
        <w:rPr>
          <w:rFonts w:ascii="Arial" w:hAnsi="Arial" w:cs="Arial"/>
          <w:lang w:val="en-US"/>
        </w:rPr>
        <w:t xml:space="preserve">an amendment </w:t>
      </w:r>
      <w:r w:rsidR="005166A8" w:rsidRPr="009207B8">
        <w:rPr>
          <w:rFonts w:ascii="Arial" w:hAnsi="Arial" w:cs="Arial"/>
          <w:lang w:val="en-US"/>
        </w:rPr>
        <w:t>for</w:t>
      </w:r>
      <w:r w:rsidR="002267ED" w:rsidRPr="009207B8">
        <w:rPr>
          <w:rFonts w:ascii="Arial" w:hAnsi="Arial" w:cs="Arial"/>
          <w:lang w:val="en-US"/>
        </w:rPr>
        <w:t xml:space="preserve"> the date ‘November 2017’ in prayer 1.2 of the particulars of claim to be substituted with ‘November 2019’. The first defendant had no objection to the amendment sought. The amendment sought was granted. </w:t>
      </w:r>
    </w:p>
  </w:footnote>
  <w:footnote w:id="2">
    <w:p w14:paraId="2675DAE1" w14:textId="4B34DCA8" w:rsidR="00907BAD" w:rsidRPr="009207B8" w:rsidRDefault="00907BAD" w:rsidP="009207B8">
      <w:pPr>
        <w:pStyle w:val="FootnoteText"/>
        <w:jc w:val="both"/>
        <w:rPr>
          <w:rFonts w:ascii="Arial" w:hAnsi="Arial" w:cs="Arial"/>
          <w:lang w:val="en-US"/>
        </w:rPr>
      </w:pPr>
      <w:r w:rsidRPr="009207B8">
        <w:rPr>
          <w:rStyle w:val="FootnoteReference"/>
          <w:rFonts w:ascii="Arial" w:hAnsi="Arial" w:cs="Arial"/>
        </w:rPr>
        <w:footnoteRef/>
      </w:r>
      <w:r w:rsidRPr="009207B8">
        <w:rPr>
          <w:rFonts w:ascii="Arial" w:hAnsi="Arial" w:cs="Arial"/>
        </w:rPr>
        <w:t xml:space="preserve"> </w:t>
      </w:r>
      <w:r w:rsidRPr="009207B8">
        <w:rPr>
          <w:rFonts w:ascii="Arial" w:hAnsi="Arial" w:cs="Arial"/>
          <w:lang w:val="en-US"/>
        </w:rPr>
        <w:t xml:space="preserve">Harms </w:t>
      </w:r>
      <w:r w:rsidRPr="009207B8">
        <w:rPr>
          <w:rFonts w:ascii="Arial" w:hAnsi="Arial" w:cs="Arial"/>
          <w:i/>
          <w:iCs/>
          <w:lang w:val="en-US"/>
        </w:rPr>
        <w:t>Amler’s Precedents of Pleadings</w:t>
      </w:r>
      <w:r w:rsidRPr="009207B8">
        <w:rPr>
          <w:rFonts w:ascii="Arial" w:hAnsi="Arial" w:cs="Arial"/>
          <w:lang w:val="en-US"/>
        </w:rPr>
        <w:t xml:space="preserve"> 6 ed at 101 and the authorities cited therein.</w:t>
      </w:r>
    </w:p>
  </w:footnote>
  <w:footnote w:id="3">
    <w:p w14:paraId="484505C9" w14:textId="398F7916" w:rsidR="000829A4" w:rsidRPr="009207B8" w:rsidRDefault="000829A4" w:rsidP="009207B8">
      <w:pPr>
        <w:pStyle w:val="FootnoteText"/>
        <w:jc w:val="both"/>
        <w:rPr>
          <w:rFonts w:ascii="Arial" w:hAnsi="Arial" w:cs="Arial"/>
          <w:lang w:val="en-US"/>
        </w:rPr>
      </w:pPr>
      <w:r w:rsidRPr="009207B8">
        <w:rPr>
          <w:rStyle w:val="FootnoteReference"/>
          <w:rFonts w:ascii="Arial" w:hAnsi="Arial" w:cs="Arial"/>
        </w:rPr>
        <w:footnoteRef/>
      </w:r>
      <w:r w:rsidRPr="009207B8">
        <w:rPr>
          <w:rFonts w:ascii="Arial" w:hAnsi="Arial" w:cs="Arial"/>
        </w:rPr>
        <w:t xml:space="preserve"> </w:t>
      </w:r>
      <w:r w:rsidRPr="009207B8">
        <w:rPr>
          <w:rFonts w:ascii="Arial" w:hAnsi="Arial" w:cs="Arial"/>
          <w:i/>
          <w:iCs/>
        </w:rPr>
        <w:t xml:space="preserve">Ayoub and Others v </w:t>
      </w:r>
      <w:r w:rsidRPr="009207B8">
        <w:rPr>
          <w:rFonts w:ascii="Arial" w:hAnsi="Arial" w:cs="Arial"/>
          <w:i/>
          <w:iCs/>
        </w:rPr>
        <w:t>Januarie and Others and a Similar Matter</w:t>
      </w:r>
      <w:r w:rsidRPr="009207B8">
        <w:rPr>
          <w:rFonts w:ascii="Arial" w:hAnsi="Arial" w:cs="Arial"/>
        </w:rPr>
        <w:t xml:space="preserve"> 2023 (4) NR 958 (HC) para 5</w:t>
      </w:r>
      <w:r w:rsidR="00EA618D" w:rsidRPr="009207B8">
        <w:rPr>
          <w:rFonts w:ascii="Arial" w:hAnsi="Arial" w:cs="Arial"/>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864961"/>
      <w:docPartObj>
        <w:docPartGallery w:val="Page Numbers (Top of Page)"/>
        <w:docPartUnique/>
      </w:docPartObj>
    </w:sdtPr>
    <w:sdtContent>
      <w:p w14:paraId="08CAA8E2" w14:textId="43042591" w:rsidR="004B062D" w:rsidRDefault="004B062D" w:rsidP="00D46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97AD" w14:textId="77777777" w:rsidR="004B062D" w:rsidRDefault="004B062D" w:rsidP="004B06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10668225"/>
      <w:docPartObj>
        <w:docPartGallery w:val="Page Numbers (Top of Page)"/>
        <w:docPartUnique/>
      </w:docPartObj>
    </w:sdtPr>
    <w:sdtContent>
      <w:p w14:paraId="48559976" w14:textId="2EB1D5D4" w:rsidR="004B062D" w:rsidRPr="004B062D" w:rsidRDefault="004B062D" w:rsidP="004B062D">
        <w:pPr>
          <w:pStyle w:val="Header"/>
          <w:framePr w:wrap="none" w:vAnchor="text" w:hAnchor="margin" w:xAlign="right" w:y="1"/>
          <w:jc w:val="both"/>
          <w:rPr>
            <w:rStyle w:val="PageNumber"/>
            <w:rFonts w:ascii="Arial" w:hAnsi="Arial" w:cs="Arial"/>
            <w:sz w:val="20"/>
            <w:szCs w:val="20"/>
          </w:rPr>
        </w:pPr>
        <w:r w:rsidRPr="004B062D">
          <w:rPr>
            <w:rStyle w:val="PageNumber"/>
            <w:rFonts w:ascii="Arial" w:hAnsi="Arial" w:cs="Arial"/>
            <w:sz w:val="20"/>
            <w:szCs w:val="20"/>
          </w:rPr>
          <w:fldChar w:fldCharType="begin"/>
        </w:r>
        <w:r w:rsidRPr="004B062D">
          <w:rPr>
            <w:rStyle w:val="PageNumber"/>
            <w:rFonts w:ascii="Arial" w:hAnsi="Arial" w:cs="Arial"/>
            <w:sz w:val="20"/>
            <w:szCs w:val="20"/>
          </w:rPr>
          <w:instrText xml:space="preserve"> PAGE </w:instrText>
        </w:r>
        <w:r w:rsidRPr="004B062D">
          <w:rPr>
            <w:rStyle w:val="PageNumber"/>
            <w:rFonts w:ascii="Arial" w:hAnsi="Arial" w:cs="Arial"/>
            <w:sz w:val="20"/>
            <w:szCs w:val="20"/>
          </w:rPr>
          <w:fldChar w:fldCharType="separate"/>
        </w:r>
        <w:r w:rsidRPr="004B062D">
          <w:rPr>
            <w:rStyle w:val="PageNumber"/>
            <w:rFonts w:ascii="Arial" w:hAnsi="Arial" w:cs="Arial"/>
            <w:noProof/>
            <w:sz w:val="20"/>
            <w:szCs w:val="20"/>
          </w:rPr>
          <w:t>2</w:t>
        </w:r>
        <w:r w:rsidRPr="004B062D">
          <w:rPr>
            <w:rStyle w:val="PageNumber"/>
            <w:rFonts w:ascii="Arial" w:hAnsi="Arial" w:cs="Arial"/>
            <w:sz w:val="20"/>
            <w:szCs w:val="20"/>
          </w:rPr>
          <w:fldChar w:fldCharType="end"/>
        </w:r>
      </w:p>
    </w:sdtContent>
  </w:sdt>
  <w:p w14:paraId="1333E144" w14:textId="77777777" w:rsidR="004B062D" w:rsidRPr="004B062D" w:rsidRDefault="004B062D" w:rsidP="004B062D">
    <w:pPr>
      <w:pStyle w:val="Header"/>
      <w:ind w:right="360"/>
      <w:jc w:val="both"/>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EB57" w14:textId="10531F06" w:rsidR="007C5671" w:rsidRPr="007C5671" w:rsidRDefault="007C5671" w:rsidP="007C5671">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2F0"/>
    <w:multiLevelType w:val="hybridMultilevel"/>
    <w:tmpl w:val="6CDEEBD0"/>
    <w:lvl w:ilvl="0" w:tplc="C658A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8325A"/>
    <w:multiLevelType w:val="hybridMultilevel"/>
    <w:tmpl w:val="D7F2EB28"/>
    <w:lvl w:ilvl="0" w:tplc="26CEEF74">
      <w:start w:val="1"/>
      <w:numFmt w:val="lowerLetter"/>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B2A5B"/>
    <w:multiLevelType w:val="hybridMultilevel"/>
    <w:tmpl w:val="E5F483B6"/>
    <w:lvl w:ilvl="0" w:tplc="BB3EE9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75551"/>
    <w:multiLevelType w:val="hybridMultilevel"/>
    <w:tmpl w:val="0F06C2C0"/>
    <w:lvl w:ilvl="0" w:tplc="DCCE6A8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60E46"/>
    <w:multiLevelType w:val="hybridMultilevel"/>
    <w:tmpl w:val="80B4DBCE"/>
    <w:lvl w:ilvl="0" w:tplc="1018CB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7617FE"/>
    <w:multiLevelType w:val="hybridMultilevel"/>
    <w:tmpl w:val="4BB4AFF0"/>
    <w:lvl w:ilvl="0" w:tplc="98C8BA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C4B90"/>
    <w:multiLevelType w:val="hybridMultilevel"/>
    <w:tmpl w:val="FD8A3646"/>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0C3292"/>
    <w:multiLevelType w:val="hybridMultilevel"/>
    <w:tmpl w:val="A5BA5B12"/>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70186"/>
    <w:multiLevelType w:val="hybridMultilevel"/>
    <w:tmpl w:val="10D2868C"/>
    <w:lvl w:ilvl="0" w:tplc="C18CC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20356"/>
    <w:multiLevelType w:val="hybridMultilevel"/>
    <w:tmpl w:val="3420095A"/>
    <w:lvl w:ilvl="0" w:tplc="43847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604038">
    <w:abstractNumId w:val="3"/>
  </w:num>
  <w:num w:numId="2" w16cid:durableId="1658530593">
    <w:abstractNumId w:val="6"/>
  </w:num>
  <w:num w:numId="3" w16cid:durableId="959191580">
    <w:abstractNumId w:val="2"/>
  </w:num>
  <w:num w:numId="4" w16cid:durableId="765417726">
    <w:abstractNumId w:val="0"/>
  </w:num>
  <w:num w:numId="5" w16cid:durableId="1365521698">
    <w:abstractNumId w:val="4"/>
  </w:num>
  <w:num w:numId="6" w16cid:durableId="1808012144">
    <w:abstractNumId w:val="8"/>
  </w:num>
  <w:num w:numId="7" w16cid:durableId="846753766">
    <w:abstractNumId w:val="9"/>
  </w:num>
  <w:num w:numId="8" w16cid:durableId="821695489">
    <w:abstractNumId w:val="1"/>
  </w:num>
  <w:num w:numId="9" w16cid:durableId="419641533">
    <w:abstractNumId w:val="7"/>
  </w:num>
  <w:num w:numId="10" w16cid:durableId="1510828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79"/>
    <w:rsid w:val="00005B93"/>
    <w:rsid w:val="00010077"/>
    <w:rsid w:val="000229D0"/>
    <w:rsid w:val="000329BD"/>
    <w:rsid w:val="000430C7"/>
    <w:rsid w:val="0004565F"/>
    <w:rsid w:val="00046203"/>
    <w:rsid w:val="00061C47"/>
    <w:rsid w:val="000829A4"/>
    <w:rsid w:val="000929AB"/>
    <w:rsid w:val="000B7561"/>
    <w:rsid w:val="000B7BF1"/>
    <w:rsid w:val="000C2791"/>
    <w:rsid w:val="000C6C3B"/>
    <w:rsid w:val="000D3252"/>
    <w:rsid w:val="000D4441"/>
    <w:rsid w:val="000D761D"/>
    <w:rsid w:val="000E11AE"/>
    <w:rsid w:val="00106393"/>
    <w:rsid w:val="00115659"/>
    <w:rsid w:val="00124114"/>
    <w:rsid w:val="00155B26"/>
    <w:rsid w:val="00166986"/>
    <w:rsid w:val="001737C4"/>
    <w:rsid w:val="00175F40"/>
    <w:rsid w:val="00183422"/>
    <w:rsid w:val="0018355E"/>
    <w:rsid w:val="00183599"/>
    <w:rsid w:val="001848DE"/>
    <w:rsid w:val="001B2FCD"/>
    <w:rsid w:val="001C49D2"/>
    <w:rsid w:val="001C59A5"/>
    <w:rsid w:val="001F21D6"/>
    <w:rsid w:val="001F2F13"/>
    <w:rsid w:val="001F634D"/>
    <w:rsid w:val="002113C5"/>
    <w:rsid w:val="00213135"/>
    <w:rsid w:val="00215D6F"/>
    <w:rsid w:val="002267ED"/>
    <w:rsid w:val="00226E60"/>
    <w:rsid w:val="002365DB"/>
    <w:rsid w:val="00247345"/>
    <w:rsid w:val="002604B5"/>
    <w:rsid w:val="00267518"/>
    <w:rsid w:val="00272231"/>
    <w:rsid w:val="00295C2F"/>
    <w:rsid w:val="002B53F1"/>
    <w:rsid w:val="002D2868"/>
    <w:rsid w:val="002E42C0"/>
    <w:rsid w:val="002F0868"/>
    <w:rsid w:val="002F26F2"/>
    <w:rsid w:val="003033DA"/>
    <w:rsid w:val="00305B3A"/>
    <w:rsid w:val="003334C0"/>
    <w:rsid w:val="00336A20"/>
    <w:rsid w:val="00340F70"/>
    <w:rsid w:val="0034316F"/>
    <w:rsid w:val="00347F04"/>
    <w:rsid w:val="00351AE5"/>
    <w:rsid w:val="00356078"/>
    <w:rsid w:val="0036043E"/>
    <w:rsid w:val="003663BD"/>
    <w:rsid w:val="00380BBC"/>
    <w:rsid w:val="00384419"/>
    <w:rsid w:val="00387FB0"/>
    <w:rsid w:val="003B6BE9"/>
    <w:rsid w:val="003C5294"/>
    <w:rsid w:val="003E5D0A"/>
    <w:rsid w:val="003E760A"/>
    <w:rsid w:val="00403325"/>
    <w:rsid w:val="0040408D"/>
    <w:rsid w:val="0040752A"/>
    <w:rsid w:val="0041084F"/>
    <w:rsid w:val="00432329"/>
    <w:rsid w:val="0043572B"/>
    <w:rsid w:val="0044221B"/>
    <w:rsid w:val="0045305C"/>
    <w:rsid w:val="00461314"/>
    <w:rsid w:val="00467D45"/>
    <w:rsid w:val="00476D33"/>
    <w:rsid w:val="00477514"/>
    <w:rsid w:val="00495221"/>
    <w:rsid w:val="004B062D"/>
    <w:rsid w:val="004B2F5B"/>
    <w:rsid w:val="004C146D"/>
    <w:rsid w:val="004D30BC"/>
    <w:rsid w:val="004D5A5F"/>
    <w:rsid w:val="004E2EAF"/>
    <w:rsid w:val="004E3586"/>
    <w:rsid w:val="004E5F07"/>
    <w:rsid w:val="004E6B25"/>
    <w:rsid w:val="0051380F"/>
    <w:rsid w:val="005166A8"/>
    <w:rsid w:val="00517AE0"/>
    <w:rsid w:val="0052518B"/>
    <w:rsid w:val="005376E3"/>
    <w:rsid w:val="00551287"/>
    <w:rsid w:val="00577615"/>
    <w:rsid w:val="005964C7"/>
    <w:rsid w:val="005A4CF5"/>
    <w:rsid w:val="005C1837"/>
    <w:rsid w:val="005C6A26"/>
    <w:rsid w:val="005D4ADE"/>
    <w:rsid w:val="005D6F08"/>
    <w:rsid w:val="005E4E15"/>
    <w:rsid w:val="005F156B"/>
    <w:rsid w:val="005F2E4B"/>
    <w:rsid w:val="005F3085"/>
    <w:rsid w:val="00602227"/>
    <w:rsid w:val="00603D18"/>
    <w:rsid w:val="00607061"/>
    <w:rsid w:val="00612E6B"/>
    <w:rsid w:val="00631CA0"/>
    <w:rsid w:val="00643E5F"/>
    <w:rsid w:val="00655495"/>
    <w:rsid w:val="00656915"/>
    <w:rsid w:val="00660570"/>
    <w:rsid w:val="00663A3C"/>
    <w:rsid w:val="0067518B"/>
    <w:rsid w:val="006759DA"/>
    <w:rsid w:val="006810A3"/>
    <w:rsid w:val="006865C1"/>
    <w:rsid w:val="00687ACA"/>
    <w:rsid w:val="006916BE"/>
    <w:rsid w:val="0069556A"/>
    <w:rsid w:val="006A5C74"/>
    <w:rsid w:val="006C150F"/>
    <w:rsid w:val="006C2815"/>
    <w:rsid w:val="006D1232"/>
    <w:rsid w:val="006D1F71"/>
    <w:rsid w:val="006D3A9A"/>
    <w:rsid w:val="006F100A"/>
    <w:rsid w:val="006F3627"/>
    <w:rsid w:val="006F6E1C"/>
    <w:rsid w:val="007170F6"/>
    <w:rsid w:val="00721996"/>
    <w:rsid w:val="00722993"/>
    <w:rsid w:val="00725279"/>
    <w:rsid w:val="007431DD"/>
    <w:rsid w:val="00753CC4"/>
    <w:rsid w:val="00761761"/>
    <w:rsid w:val="007740D3"/>
    <w:rsid w:val="007A3EE5"/>
    <w:rsid w:val="007B7BF3"/>
    <w:rsid w:val="007C5671"/>
    <w:rsid w:val="007C71E8"/>
    <w:rsid w:val="007D1B11"/>
    <w:rsid w:val="007D6D57"/>
    <w:rsid w:val="007E38F6"/>
    <w:rsid w:val="00811582"/>
    <w:rsid w:val="008222B8"/>
    <w:rsid w:val="008311C2"/>
    <w:rsid w:val="00831B29"/>
    <w:rsid w:val="0084651B"/>
    <w:rsid w:val="0085360F"/>
    <w:rsid w:val="008608CD"/>
    <w:rsid w:val="00891E15"/>
    <w:rsid w:val="0089433A"/>
    <w:rsid w:val="008A52BE"/>
    <w:rsid w:val="008B1EFA"/>
    <w:rsid w:val="008B3273"/>
    <w:rsid w:val="008C6A4B"/>
    <w:rsid w:val="008C76AA"/>
    <w:rsid w:val="008D51FB"/>
    <w:rsid w:val="008F4814"/>
    <w:rsid w:val="00900AB6"/>
    <w:rsid w:val="00907BAD"/>
    <w:rsid w:val="009179C5"/>
    <w:rsid w:val="009207B8"/>
    <w:rsid w:val="00923FCD"/>
    <w:rsid w:val="009325D3"/>
    <w:rsid w:val="009567A2"/>
    <w:rsid w:val="00972458"/>
    <w:rsid w:val="00983786"/>
    <w:rsid w:val="009946E9"/>
    <w:rsid w:val="009C56FC"/>
    <w:rsid w:val="009D2854"/>
    <w:rsid w:val="00A074F2"/>
    <w:rsid w:val="00A15EAE"/>
    <w:rsid w:val="00A23AD2"/>
    <w:rsid w:val="00A34E70"/>
    <w:rsid w:val="00A4504D"/>
    <w:rsid w:val="00A4647C"/>
    <w:rsid w:val="00A54A5B"/>
    <w:rsid w:val="00A81C32"/>
    <w:rsid w:val="00A933F8"/>
    <w:rsid w:val="00A959F3"/>
    <w:rsid w:val="00AB08C1"/>
    <w:rsid w:val="00AC0D92"/>
    <w:rsid w:val="00AC21C3"/>
    <w:rsid w:val="00AC331B"/>
    <w:rsid w:val="00AD6C87"/>
    <w:rsid w:val="00AF044A"/>
    <w:rsid w:val="00AF7D5F"/>
    <w:rsid w:val="00B1278B"/>
    <w:rsid w:val="00B1425C"/>
    <w:rsid w:val="00B14701"/>
    <w:rsid w:val="00B26FCD"/>
    <w:rsid w:val="00B2779D"/>
    <w:rsid w:val="00B3417A"/>
    <w:rsid w:val="00B3483C"/>
    <w:rsid w:val="00B41583"/>
    <w:rsid w:val="00B47201"/>
    <w:rsid w:val="00B54C81"/>
    <w:rsid w:val="00B54E63"/>
    <w:rsid w:val="00B615AC"/>
    <w:rsid w:val="00B63A3D"/>
    <w:rsid w:val="00B70F4A"/>
    <w:rsid w:val="00B74401"/>
    <w:rsid w:val="00B82B68"/>
    <w:rsid w:val="00B83638"/>
    <w:rsid w:val="00BA0E75"/>
    <w:rsid w:val="00C015ED"/>
    <w:rsid w:val="00C07D7A"/>
    <w:rsid w:val="00C246C1"/>
    <w:rsid w:val="00C25381"/>
    <w:rsid w:val="00C27E50"/>
    <w:rsid w:val="00C36E6D"/>
    <w:rsid w:val="00C4109D"/>
    <w:rsid w:val="00C57371"/>
    <w:rsid w:val="00C7765D"/>
    <w:rsid w:val="00C82399"/>
    <w:rsid w:val="00C94025"/>
    <w:rsid w:val="00C9404D"/>
    <w:rsid w:val="00C9659D"/>
    <w:rsid w:val="00CA12C1"/>
    <w:rsid w:val="00CC10A2"/>
    <w:rsid w:val="00CC117A"/>
    <w:rsid w:val="00CD605D"/>
    <w:rsid w:val="00CE29D6"/>
    <w:rsid w:val="00D069A7"/>
    <w:rsid w:val="00D12824"/>
    <w:rsid w:val="00D16A30"/>
    <w:rsid w:val="00D43E83"/>
    <w:rsid w:val="00D73371"/>
    <w:rsid w:val="00D738CC"/>
    <w:rsid w:val="00D74D66"/>
    <w:rsid w:val="00D90021"/>
    <w:rsid w:val="00D90C45"/>
    <w:rsid w:val="00DC4579"/>
    <w:rsid w:val="00DC6327"/>
    <w:rsid w:val="00DD124B"/>
    <w:rsid w:val="00E11A00"/>
    <w:rsid w:val="00E35AE7"/>
    <w:rsid w:val="00E469B6"/>
    <w:rsid w:val="00E826B3"/>
    <w:rsid w:val="00E901F2"/>
    <w:rsid w:val="00EA53E2"/>
    <w:rsid w:val="00EA618D"/>
    <w:rsid w:val="00ED6095"/>
    <w:rsid w:val="00EF291D"/>
    <w:rsid w:val="00F01516"/>
    <w:rsid w:val="00F11656"/>
    <w:rsid w:val="00F12412"/>
    <w:rsid w:val="00F665EB"/>
    <w:rsid w:val="00F70EF6"/>
    <w:rsid w:val="00F75162"/>
    <w:rsid w:val="00F8269A"/>
    <w:rsid w:val="00F8468E"/>
    <w:rsid w:val="00F85F3C"/>
    <w:rsid w:val="00F97DE9"/>
    <w:rsid w:val="00FA715E"/>
    <w:rsid w:val="00FC427C"/>
    <w:rsid w:val="00FD0452"/>
    <w:rsid w:val="00FE7F68"/>
    <w:rsid w:val="00FF1981"/>
    <w:rsid w:val="00FF3511"/>
    <w:rsid w:val="00FF5286"/>
    <w:rsid w:val="00FF7E00"/>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7613"/>
  <w15:chartTrackingRefBased/>
  <w15:docId w15:val="{AA3913D1-348A-9540-A121-AE5E80C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B26"/>
    <w:pPr>
      <w:tabs>
        <w:tab w:val="center" w:pos="4513"/>
        <w:tab w:val="right" w:pos="9026"/>
      </w:tabs>
    </w:pPr>
  </w:style>
  <w:style w:type="character" w:customStyle="1" w:styleId="HeaderChar">
    <w:name w:val="Header Char"/>
    <w:basedOn w:val="DefaultParagraphFont"/>
    <w:link w:val="Header"/>
    <w:uiPriority w:val="99"/>
    <w:rsid w:val="00155B26"/>
    <w:rPr>
      <w:lang w:val="en-GB"/>
    </w:rPr>
  </w:style>
  <w:style w:type="character" w:styleId="PageNumber">
    <w:name w:val="page number"/>
    <w:basedOn w:val="DefaultParagraphFont"/>
    <w:uiPriority w:val="99"/>
    <w:semiHidden/>
    <w:unhideWhenUsed/>
    <w:rsid w:val="00155B26"/>
  </w:style>
  <w:style w:type="paragraph" w:styleId="Footer">
    <w:name w:val="footer"/>
    <w:basedOn w:val="Normal"/>
    <w:link w:val="FooterChar"/>
    <w:uiPriority w:val="99"/>
    <w:unhideWhenUsed/>
    <w:rsid w:val="00155B26"/>
    <w:pPr>
      <w:tabs>
        <w:tab w:val="center" w:pos="4513"/>
        <w:tab w:val="right" w:pos="9026"/>
      </w:tabs>
    </w:pPr>
  </w:style>
  <w:style w:type="character" w:customStyle="1" w:styleId="FooterChar">
    <w:name w:val="Footer Char"/>
    <w:basedOn w:val="DefaultParagraphFont"/>
    <w:link w:val="Footer"/>
    <w:uiPriority w:val="99"/>
    <w:rsid w:val="00155B26"/>
    <w:rPr>
      <w:lang w:val="en-GB"/>
    </w:rPr>
  </w:style>
  <w:style w:type="paragraph" w:styleId="ListParagraph">
    <w:name w:val="List Paragraph"/>
    <w:basedOn w:val="Normal"/>
    <w:uiPriority w:val="34"/>
    <w:qFormat/>
    <w:rsid w:val="004E5F07"/>
    <w:pPr>
      <w:ind w:left="720"/>
      <w:contextualSpacing/>
    </w:pPr>
  </w:style>
  <w:style w:type="paragraph" w:styleId="FootnoteText">
    <w:name w:val="footnote text"/>
    <w:basedOn w:val="Normal"/>
    <w:link w:val="FootnoteTextChar"/>
    <w:uiPriority w:val="99"/>
    <w:semiHidden/>
    <w:unhideWhenUsed/>
    <w:rsid w:val="004E6B25"/>
    <w:rPr>
      <w:sz w:val="20"/>
      <w:szCs w:val="20"/>
    </w:rPr>
  </w:style>
  <w:style w:type="character" w:customStyle="1" w:styleId="FootnoteTextChar">
    <w:name w:val="Footnote Text Char"/>
    <w:basedOn w:val="DefaultParagraphFont"/>
    <w:link w:val="FootnoteText"/>
    <w:uiPriority w:val="99"/>
    <w:semiHidden/>
    <w:rsid w:val="004E6B25"/>
    <w:rPr>
      <w:sz w:val="20"/>
      <w:szCs w:val="20"/>
      <w:lang w:val="en-GB"/>
    </w:rPr>
  </w:style>
  <w:style w:type="character" w:styleId="FootnoteReference">
    <w:name w:val="footnote reference"/>
    <w:basedOn w:val="DefaultParagraphFont"/>
    <w:uiPriority w:val="99"/>
    <w:semiHidden/>
    <w:unhideWhenUsed/>
    <w:rsid w:val="004E6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2024-04-07T18:30:00+00:00</Judgment_x0020_Date>
    <Year xmlns="c1afb1bd-f2fb-40fd-9abb-aea55b4d7662">2024</Year>
  </documentManagement>
</p:properties>
</file>

<file path=customXml/itemProps1.xml><?xml version="1.0" encoding="utf-8"?>
<ds:datastoreItem xmlns:ds="http://schemas.openxmlformats.org/officeDocument/2006/customXml" ds:itemID="{6D60F82D-C4AF-4F4D-B072-A8110532F3DD}"/>
</file>

<file path=customXml/itemProps2.xml><?xml version="1.0" encoding="utf-8"?>
<ds:datastoreItem xmlns:ds="http://schemas.openxmlformats.org/officeDocument/2006/customXml" ds:itemID="{6A88AE27-F5EC-49BD-B5A1-AD7463195B68}"/>
</file>

<file path=customXml/itemProps3.xml><?xml version="1.0" encoding="utf-8"?>
<ds:datastoreItem xmlns:ds="http://schemas.openxmlformats.org/officeDocument/2006/customXml" ds:itemID="{77BE4D20-1B1E-4A9F-BC9D-18C141AAC498}"/>
</file>

<file path=docProps/app.xml><?xml version="1.0" encoding="utf-8"?>
<Properties xmlns="http://schemas.openxmlformats.org/officeDocument/2006/extended-properties" xmlns:vt="http://schemas.openxmlformats.org/officeDocument/2006/docPropsVTypes">
  <Template>Normal.dotm</Template>
  <TotalTime>1865</TotalTime>
  <Pages>39</Pages>
  <Words>11755</Words>
  <Characters>67004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Edison Building Enterprise CC v GRN (HC-MD-CIV-ACT-CON-2022-03243) [2024] NAHCMD 159  (8 April 2024)</dc:title>
  <dc:subject/>
  <dc:creator>Beatrix de Jager</dc:creator>
  <cp:keywords/>
  <dc:description/>
  <cp:lastModifiedBy>Beatrix de Jager</cp:lastModifiedBy>
  <cp:revision>29</cp:revision>
  <cp:lastPrinted>2024-04-08T06:53:00Z</cp:lastPrinted>
  <dcterms:created xsi:type="dcterms:W3CDTF">2024-03-27T17:26:00Z</dcterms:created>
  <dcterms:modified xsi:type="dcterms:W3CDTF">2024-04-08T06:54:00Z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