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C6" w:rsidRPr="00F35EC6" w:rsidRDefault="00F35EC6" w:rsidP="00F35EC6">
      <w:pPr>
        <w:spacing w:after="0" w:line="360" w:lineRule="auto"/>
        <w:jc w:val="center"/>
        <w:rPr>
          <w:rFonts w:ascii="Arial" w:eastAsia="Calibri" w:hAnsi="Arial" w:cs="Arial"/>
          <w:b/>
          <w:sz w:val="24"/>
          <w:szCs w:val="24"/>
        </w:rPr>
      </w:pPr>
      <w:r w:rsidRPr="00F35EC6">
        <w:rPr>
          <w:rFonts w:ascii="Arial" w:eastAsia="Calibri" w:hAnsi="Arial" w:cs="Arial"/>
          <w:b/>
          <w:sz w:val="24"/>
          <w:szCs w:val="24"/>
        </w:rPr>
        <w:t>REPUBLIC OF NAMIBIA</w:t>
      </w:r>
    </w:p>
    <w:p w:rsidR="00F35EC6" w:rsidRPr="00F35EC6" w:rsidRDefault="00F35EC6" w:rsidP="00F35EC6">
      <w:pPr>
        <w:spacing w:after="0" w:line="360" w:lineRule="auto"/>
        <w:rPr>
          <w:rFonts w:ascii="Arial" w:eastAsia="Calibri" w:hAnsi="Arial" w:cs="Arial"/>
          <w:sz w:val="24"/>
          <w:szCs w:val="24"/>
        </w:rPr>
      </w:pPr>
    </w:p>
    <w:p w:rsidR="00F35EC6" w:rsidRPr="00F35EC6" w:rsidRDefault="00F35EC6" w:rsidP="00F35EC6">
      <w:pPr>
        <w:spacing w:after="0" w:line="360" w:lineRule="auto"/>
        <w:rPr>
          <w:rFonts w:ascii="Arial" w:eastAsia="Calibri" w:hAnsi="Arial" w:cs="Arial"/>
          <w:sz w:val="24"/>
          <w:szCs w:val="24"/>
        </w:rPr>
      </w:pPr>
    </w:p>
    <w:p w:rsidR="00F35EC6" w:rsidRPr="00F35EC6" w:rsidRDefault="00F35EC6" w:rsidP="00F35EC6">
      <w:pPr>
        <w:spacing w:after="0" w:line="360" w:lineRule="auto"/>
        <w:rPr>
          <w:rFonts w:ascii="Arial" w:eastAsia="Calibri" w:hAnsi="Arial" w:cs="Arial"/>
          <w:sz w:val="24"/>
          <w:szCs w:val="24"/>
        </w:rPr>
      </w:pPr>
    </w:p>
    <w:p w:rsidR="00F35EC6" w:rsidRPr="00F35EC6" w:rsidRDefault="00F35EC6" w:rsidP="00F35EC6">
      <w:pPr>
        <w:spacing w:after="0" w:line="360" w:lineRule="auto"/>
        <w:rPr>
          <w:rFonts w:ascii="Arial" w:eastAsia="Calibri" w:hAnsi="Arial" w:cs="Arial"/>
          <w:sz w:val="24"/>
          <w:szCs w:val="24"/>
        </w:rPr>
      </w:pPr>
      <w:r w:rsidRPr="00F35EC6">
        <w:rPr>
          <w:rFonts w:ascii="Calibri" w:eastAsia="Calibri" w:hAnsi="Calibri" w:cs="Times New Roman"/>
          <w:noProof/>
          <w:lang w:val="en-US"/>
        </w:rPr>
        <w:drawing>
          <wp:anchor distT="0" distB="0" distL="114300" distR="114300" simplePos="0" relativeHeight="251659264" behindDoc="0" locked="0" layoutInCell="1" allowOverlap="1">
            <wp:simplePos x="0" y="0"/>
            <wp:positionH relativeFrom="column">
              <wp:posOffset>2219325</wp:posOffset>
            </wp:positionH>
            <wp:positionV relativeFrom="paragraph">
              <wp:posOffset>-723900</wp:posOffset>
            </wp:positionV>
            <wp:extent cx="1276350" cy="1323975"/>
            <wp:effectExtent l="0" t="0" r="0" b="9525"/>
            <wp:wrapSquare wrapText="right"/>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EC6" w:rsidRPr="00F35EC6" w:rsidRDefault="00F35EC6" w:rsidP="00F35EC6">
      <w:pPr>
        <w:spacing w:after="0" w:line="360" w:lineRule="auto"/>
        <w:jc w:val="center"/>
        <w:rPr>
          <w:rFonts w:ascii="Arial" w:eastAsia="Calibri" w:hAnsi="Arial" w:cs="Arial"/>
          <w:sz w:val="24"/>
          <w:szCs w:val="24"/>
        </w:rPr>
      </w:pPr>
    </w:p>
    <w:p w:rsidR="00F35EC6" w:rsidRPr="00F35EC6" w:rsidRDefault="00F35EC6" w:rsidP="00F35EC6">
      <w:pPr>
        <w:spacing w:after="0" w:line="360" w:lineRule="auto"/>
        <w:jc w:val="center"/>
        <w:rPr>
          <w:rFonts w:ascii="Arial" w:eastAsia="Calibri" w:hAnsi="Arial" w:cs="Arial"/>
          <w:sz w:val="24"/>
          <w:szCs w:val="24"/>
        </w:rPr>
      </w:pPr>
    </w:p>
    <w:p w:rsidR="00F35EC6" w:rsidRPr="00F35EC6" w:rsidRDefault="00F35EC6" w:rsidP="00F35EC6">
      <w:pPr>
        <w:spacing w:after="0" w:line="360" w:lineRule="auto"/>
        <w:jc w:val="center"/>
        <w:rPr>
          <w:rFonts w:ascii="Arial" w:eastAsia="Calibri" w:hAnsi="Arial" w:cs="Arial"/>
          <w:b/>
          <w:sz w:val="24"/>
          <w:szCs w:val="24"/>
        </w:rPr>
      </w:pPr>
      <w:r w:rsidRPr="00F35EC6">
        <w:rPr>
          <w:rFonts w:ascii="Arial" w:eastAsia="Calibri" w:hAnsi="Arial" w:cs="Arial"/>
          <w:b/>
          <w:sz w:val="24"/>
          <w:szCs w:val="24"/>
        </w:rPr>
        <w:t xml:space="preserve">IN THE HIGH COURT OF NAMIBIA, MAIN DIVISION, WINDHOEK </w:t>
      </w:r>
    </w:p>
    <w:p w:rsidR="00F35EC6" w:rsidRPr="00F35EC6" w:rsidRDefault="00F35EC6" w:rsidP="00F35EC6">
      <w:pPr>
        <w:spacing w:after="0" w:line="360" w:lineRule="auto"/>
        <w:jc w:val="center"/>
        <w:rPr>
          <w:rFonts w:ascii="Arial" w:eastAsia="Calibri" w:hAnsi="Arial" w:cs="Arial"/>
          <w:b/>
          <w:sz w:val="24"/>
          <w:szCs w:val="24"/>
        </w:rPr>
      </w:pPr>
    </w:p>
    <w:p w:rsidR="00F35EC6" w:rsidRPr="00F35EC6" w:rsidRDefault="00F35EC6" w:rsidP="00F35EC6">
      <w:pPr>
        <w:spacing w:after="0" w:line="360" w:lineRule="auto"/>
        <w:jc w:val="center"/>
        <w:rPr>
          <w:rFonts w:ascii="Arial" w:eastAsia="Calibri" w:hAnsi="Arial" w:cs="Arial"/>
          <w:b/>
          <w:sz w:val="24"/>
          <w:szCs w:val="24"/>
        </w:rPr>
      </w:pPr>
      <w:r w:rsidRPr="00F35EC6">
        <w:rPr>
          <w:rFonts w:ascii="Arial" w:eastAsia="Calibri" w:hAnsi="Arial" w:cs="Arial"/>
          <w:b/>
          <w:sz w:val="24"/>
          <w:szCs w:val="24"/>
        </w:rPr>
        <w:t>REVIEW JUDGMENT</w:t>
      </w:r>
    </w:p>
    <w:p w:rsidR="00F35EC6" w:rsidRPr="00F35EC6" w:rsidRDefault="00F35EC6" w:rsidP="00F35EC6">
      <w:pPr>
        <w:spacing w:after="0" w:line="360" w:lineRule="auto"/>
        <w:jc w:val="center"/>
        <w:rPr>
          <w:rFonts w:ascii="Arial" w:eastAsia="Calibri" w:hAnsi="Arial" w:cs="Arial"/>
          <w:b/>
          <w:sz w:val="24"/>
          <w:szCs w:val="24"/>
        </w:rPr>
      </w:pPr>
    </w:p>
    <w:p w:rsidR="00F35EC6" w:rsidRPr="00F35EC6" w:rsidRDefault="00CC71FF" w:rsidP="00F35EC6">
      <w:pPr>
        <w:spacing w:after="0" w:line="360" w:lineRule="auto"/>
        <w:jc w:val="center"/>
        <w:rPr>
          <w:rFonts w:ascii="Arial" w:eastAsia="Calibri" w:hAnsi="Arial" w:cs="Arial"/>
          <w:b/>
          <w:sz w:val="24"/>
          <w:szCs w:val="24"/>
        </w:rPr>
      </w:pPr>
      <w:r>
        <w:rPr>
          <w:rFonts w:ascii="Arial" w:eastAsia="Calibri" w:hAnsi="Arial" w:cs="Arial"/>
          <w:b/>
          <w:sz w:val="24"/>
          <w:szCs w:val="24"/>
        </w:rPr>
        <w:t>PRACTICE DIRECTION</w:t>
      </w:r>
      <w:r w:rsidR="00F35EC6" w:rsidRPr="00F35EC6">
        <w:rPr>
          <w:rFonts w:ascii="Arial" w:eastAsia="Calibri" w:hAnsi="Arial" w:cs="Arial"/>
          <w:b/>
          <w:sz w:val="24"/>
          <w:szCs w:val="24"/>
        </w:rPr>
        <w:t xml:space="preserve"> 61</w:t>
      </w:r>
    </w:p>
    <w:p w:rsidR="00F35EC6" w:rsidRPr="00F35EC6" w:rsidRDefault="00F35EC6" w:rsidP="00F35EC6">
      <w:pPr>
        <w:spacing w:after="0" w:line="360" w:lineRule="auto"/>
        <w:jc w:val="center"/>
        <w:rPr>
          <w:rFonts w:ascii="Arial" w:eastAsia="Calibri" w:hAnsi="Arial" w:cs="Arial"/>
          <w:sz w:val="16"/>
          <w:szCs w:val="16"/>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F35EC6" w:rsidRPr="00F35EC6" w:rsidTr="00613511">
        <w:trPr>
          <w:trHeight w:val="1385"/>
        </w:trPr>
        <w:tc>
          <w:tcPr>
            <w:tcW w:w="5397" w:type="dxa"/>
            <w:gridSpan w:val="2"/>
            <w:tcBorders>
              <w:top w:val="single" w:sz="4" w:space="0" w:color="auto"/>
              <w:left w:val="single" w:sz="4" w:space="0" w:color="auto"/>
              <w:bottom w:val="nil"/>
              <w:right w:val="single" w:sz="4" w:space="0" w:color="auto"/>
            </w:tcBorders>
            <w:shd w:val="clear" w:color="auto" w:fill="auto"/>
          </w:tcPr>
          <w:p w:rsidR="00F35EC6" w:rsidRPr="00F35EC6" w:rsidRDefault="00F35EC6" w:rsidP="00F35EC6">
            <w:pPr>
              <w:spacing w:after="0" w:line="360" w:lineRule="auto"/>
              <w:jc w:val="both"/>
              <w:rPr>
                <w:rFonts w:ascii="Arial" w:eastAsia="Calibri" w:hAnsi="Arial" w:cs="Arial"/>
                <w:b/>
                <w:sz w:val="24"/>
                <w:szCs w:val="24"/>
              </w:rPr>
            </w:pPr>
            <w:r w:rsidRPr="00F35EC6">
              <w:rPr>
                <w:rFonts w:ascii="Arial" w:eastAsia="Calibri" w:hAnsi="Arial" w:cs="Arial"/>
                <w:b/>
                <w:sz w:val="24"/>
                <w:szCs w:val="24"/>
              </w:rPr>
              <w:t>Case Title:</w:t>
            </w:r>
          </w:p>
          <w:p w:rsidR="00F35EC6" w:rsidRPr="00F35EC6" w:rsidRDefault="00F35EC6" w:rsidP="00F35EC6">
            <w:pPr>
              <w:spacing w:after="0" w:line="360" w:lineRule="auto"/>
              <w:rPr>
                <w:rFonts w:ascii="Arial" w:eastAsia="Calibri" w:hAnsi="Arial" w:cs="Arial"/>
                <w:i/>
                <w:sz w:val="24"/>
                <w:szCs w:val="24"/>
              </w:rPr>
            </w:pPr>
            <w:r w:rsidRPr="00F35EC6">
              <w:rPr>
                <w:rFonts w:ascii="Arial" w:eastAsia="Calibri" w:hAnsi="Arial" w:cs="Arial"/>
                <w:i/>
                <w:sz w:val="24"/>
                <w:szCs w:val="24"/>
              </w:rPr>
              <w:t>The State</w:t>
            </w:r>
            <w:r>
              <w:rPr>
                <w:rFonts w:ascii="Arial" w:eastAsia="Calibri" w:hAnsi="Arial" w:cs="Arial"/>
                <w:i/>
                <w:sz w:val="24"/>
                <w:szCs w:val="24"/>
              </w:rPr>
              <w:t xml:space="preserve"> v Riviaan Seibeb</w:t>
            </w:r>
          </w:p>
        </w:tc>
        <w:tc>
          <w:tcPr>
            <w:tcW w:w="4323" w:type="dxa"/>
            <w:tcBorders>
              <w:top w:val="single" w:sz="4" w:space="0" w:color="auto"/>
              <w:left w:val="single" w:sz="4" w:space="0" w:color="auto"/>
              <w:right w:val="single" w:sz="4" w:space="0" w:color="auto"/>
            </w:tcBorders>
            <w:shd w:val="clear" w:color="auto" w:fill="auto"/>
            <w:hideMark/>
          </w:tcPr>
          <w:p w:rsidR="00F35EC6" w:rsidRPr="00F35EC6" w:rsidRDefault="00537248" w:rsidP="00537248">
            <w:pPr>
              <w:spacing w:after="0" w:line="360" w:lineRule="auto"/>
              <w:jc w:val="both"/>
              <w:rPr>
                <w:rFonts w:ascii="Arial" w:eastAsia="Calibri" w:hAnsi="Arial" w:cs="Arial"/>
                <w:b/>
                <w:sz w:val="24"/>
                <w:szCs w:val="24"/>
              </w:rPr>
            </w:pPr>
            <w:r>
              <w:rPr>
                <w:rFonts w:ascii="Arial" w:eastAsia="Calibri" w:hAnsi="Arial" w:cs="Arial"/>
                <w:b/>
                <w:sz w:val="24"/>
                <w:szCs w:val="24"/>
              </w:rPr>
              <w:t>Case No: CR 1/2024</w:t>
            </w:r>
          </w:p>
        </w:tc>
      </w:tr>
      <w:tr w:rsidR="00F35EC6" w:rsidRPr="00F35EC6" w:rsidTr="00613511">
        <w:trPr>
          <w:trHeight w:val="1263"/>
        </w:trPr>
        <w:tc>
          <w:tcPr>
            <w:tcW w:w="0" w:type="auto"/>
            <w:gridSpan w:val="2"/>
            <w:tcBorders>
              <w:top w:val="single" w:sz="4" w:space="0" w:color="auto"/>
              <w:left w:val="single" w:sz="4" w:space="0" w:color="auto"/>
              <w:right w:val="single" w:sz="4" w:space="0" w:color="auto"/>
            </w:tcBorders>
            <w:shd w:val="clear" w:color="auto" w:fill="auto"/>
            <w:vAlign w:val="center"/>
          </w:tcPr>
          <w:p w:rsidR="00F35EC6" w:rsidRPr="00F35EC6" w:rsidRDefault="00F35EC6" w:rsidP="00F35EC6">
            <w:pPr>
              <w:spacing w:after="0" w:line="360" w:lineRule="auto"/>
              <w:jc w:val="both"/>
              <w:rPr>
                <w:rFonts w:ascii="Arial" w:eastAsia="Calibri" w:hAnsi="Arial" w:cs="Arial"/>
                <w:b/>
                <w:sz w:val="24"/>
                <w:szCs w:val="24"/>
              </w:rPr>
            </w:pPr>
            <w:r w:rsidRPr="00F35EC6">
              <w:rPr>
                <w:rFonts w:ascii="Arial" w:eastAsia="Calibri" w:hAnsi="Arial" w:cs="Arial"/>
                <w:b/>
                <w:sz w:val="24"/>
                <w:szCs w:val="24"/>
              </w:rPr>
              <w:t>High Court MD Review No:</w:t>
            </w:r>
          </w:p>
          <w:p w:rsidR="00F35EC6" w:rsidRPr="00F35EC6" w:rsidRDefault="00F35EC6" w:rsidP="00F35EC6">
            <w:pPr>
              <w:spacing w:after="0" w:line="360" w:lineRule="auto"/>
              <w:jc w:val="both"/>
              <w:rPr>
                <w:rFonts w:ascii="Arial" w:eastAsia="Calibri" w:hAnsi="Arial" w:cs="Arial"/>
                <w:b/>
                <w:sz w:val="24"/>
                <w:szCs w:val="24"/>
              </w:rPr>
            </w:pPr>
            <w:r>
              <w:rPr>
                <w:rFonts w:ascii="Arial" w:eastAsia="Calibri" w:hAnsi="Arial" w:cs="Arial"/>
                <w:sz w:val="24"/>
                <w:szCs w:val="24"/>
              </w:rPr>
              <w:t>1522</w:t>
            </w:r>
            <w:r w:rsidRPr="00F35EC6">
              <w:rPr>
                <w:rFonts w:ascii="Arial" w:eastAsia="Calibri" w:hAnsi="Arial" w:cs="Arial"/>
                <w:sz w:val="24"/>
                <w:szCs w:val="24"/>
              </w:rPr>
              <w:t>/2023</w:t>
            </w:r>
          </w:p>
          <w:p w:rsidR="00F35EC6" w:rsidRPr="00F35EC6" w:rsidRDefault="00F35EC6" w:rsidP="00F35EC6">
            <w:pPr>
              <w:spacing w:after="0" w:line="360" w:lineRule="auto"/>
              <w:rPr>
                <w:rFonts w:ascii="Arial" w:eastAsia="Calibri" w:hAnsi="Arial" w:cs="Arial"/>
                <w:sz w:val="24"/>
                <w:szCs w:val="24"/>
              </w:rPr>
            </w:pPr>
          </w:p>
        </w:tc>
        <w:tc>
          <w:tcPr>
            <w:tcW w:w="4323" w:type="dxa"/>
            <w:tcBorders>
              <w:top w:val="single" w:sz="4" w:space="0" w:color="auto"/>
              <w:left w:val="single" w:sz="4" w:space="0" w:color="auto"/>
              <w:right w:val="single" w:sz="4" w:space="0" w:color="auto"/>
            </w:tcBorders>
            <w:shd w:val="clear" w:color="auto" w:fill="auto"/>
          </w:tcPr>
          <w:p w:rsidR="00F35EC6" w:rsidRPr="00F35EC6" w:rsidRDefault="00F35EC6" w:rsidP="00F35EC6">
            <w:pPr>
              <w:spacing w:after="0" w:line="360" w:lineRule="auto"/>
              <w:jc w:val="both"/>
              <w:rPr>
                <w:rFonts w:ascii="Arial" w:eastAsia="Calibri" w:hAnsi="Arial" w:cs="Arial"/>
                <w:sz w:val="24"/>
                <w:szCs w:val="24"/>
              </w:rPr>
            </w:pPr>
            <w:r w:rsidRPr="00F35EC6">
              <w:rPr>
                <w:rFonts w:ascii="Arial" w:eastAsia="Calibri" w:hAnsi="Arial" w:cs="Arial"/>
                <w:b/>
                <w:sz w:val="24"/>
                <w:szCs w:val="24"/>
              </w:rPr>
              <w:t>Division of Court:</w:t>
            </w:r>
          </w:p>
          <w:p w:rsidR="00F35EC6" w:rsidRPr="00F35EC6" w:rsidRDefault="00F35EC6" w:rsidP="00F35EC6">
            <w:pPr>
              <w:spacing w:after="0" w:line="360" w:lineRule="auto"/>
              <w:jc w:val="both"/>
              <w:rPr>
                <w:rFonts w:ascii="Arial" w:eastAsia="Calibri" w:hAnsi="Arial" w:cs="Arial"/>
                <w:sz w:val="24"/>
                <w:szCs w:val="24"/>
              </w:rPr>
            </w:pPr>
            <w:r w:rsidRPr="00F35EC6">
              <w:rPr>
                <w:rFonts w:ascii="Arial" w:eastAsia="Calibri" w:hAnsi="Arial" w:cs="Arial"/>
                <w:sz w:val="24"/>
                <w:szCs w:val="24"/>
              </w:rPr>
              <w:t>High Court, Main Division</w:t>
            </w:r>
          </w:p>
        </w:tc>
      </w:tr>
      <w:tr w:rsidR="00F35EC6" w:rsidRPr="00F35EC6" w:rsidTr="00613511">
        <w:trPr>
          <w:trHeight w:val="588"/>
        </w:trPr>
        <w:tc>
          <w:tcPr>
            <w:tcW w:w="0" w:type="auto"/>
            <w:gridSpan w:val="2"/>
            <w:tcBorders>
              <w:top w:val="single" w:sz="4" w:space="0" w:color="auto"/>
              <w:left w:val="single" w:sz="4" w:space="0" w:color="auto"/>
              <w:bottom w:val="nil"/>
              <w:right w:val="single" w:sz="4" w:space="0" w:color="auto"/>
            </w:tcBorders>
            <w:shd w:val="clear" w:color="auto" w:fill="auto"/>
            <w:vAlign w:val="center"/>
          </w:tcPr>
          <w:p w:rsidR="00F35EC6" w:rsidRPr="00F35EC6" w:rsidRDefault="00F35EC6" w:rsidP="00F35EC6">
            <w:pPr>
              <w:spacing w:after="0" w:line="360" w:lineRule="auto"/>
              <w:rPr>
                <w:rFonts w:ascii="Arial" w:eastAsia="Calibri" w:hAnsi="Arial" w:cs="Arial"/>
                <w:sz w:val="24"/>
                <w:szCs w:val="24"/>
              </w:rPr>
            </w:pPr>
            <w:r w:rsidRPr="00F35EC6">
              <w:rPr>
                <w:rFonts w:ascii="Arial" w:eastAsia="Calibri" w:hAnsi="Arial" w:cs="Arial"/>
                <w:b/>
                <w:sz w:val="24"/>
                <w:szCs w:val="24"/>
              </w:rPr>
              <w:t>Coram:</w:t>
            </w:r>
            <w:r w:rsidRPr="00F35EC6">
              <w:rPr>
                <w:rFonts w:ascii="Arial" w:eastAsia="Calibri" w:hAnsi="Arial" w:cs="Arial"/>
                <w:sz w:val="24"/>
                <w:szCs w:val="24"/>
              </w:rPr>
              <w:t xml:space="preserve"> Shivute J </w:t>
            </w:r>
            <w:r w:rsidRPr="00F35EC6">
              <w:rPr>
                <w:rFonts w:ascii="Arial" w:eastAsia="Calibri" w:hAnsi="Arial" w:cs="Arial"/>
                <w:i/>
                <w:sz w:val="24"/>
                <w:szCs w:val="24"/>
              </w:rPr>
              <w:t>et</w:t>
            </w:r>
            <w:r>
              <w:rPr>
                <w:rFonts w:ascii="Arial" w:eastAsia="Calibri" w:hAnsi="Arial" w:cs="Arial"/>
                <w:sz w:val="24"/>
                <w:szCs w:val="24"/>
              </w:rPr>
              <w:t xml:space="preserve"> D Usiku J</w:t>
            </w:r>
          </w:p>
        </w:tc>
        <w:tc>
          <w:tcPr>
            <w:tcW w:w="4323" w:type="dxa"/>
            <w:tcBorders>
              <w:top w:val="single" w:sz="4" w:space="0" w:color="auto"/>
              <w:left w:val="single" w:sz="4" w:space="0" w:color="auto"/>
              <w:bottom w:val="single" w:sz="4" w:space="0" w:color="auto"/>
              <w:right w:val="single" w:sz="4" w:space="0" w:color="auto"/>
            </w:tcBorders>
            <w:shd w:val="clear" w:color="auto" w:fill="auto"/>
          </w:tcPr>
          <w:p w:rsidR="00F35EC6" w:rsidRPr="00F35EC6" w:rsidRDefault="00F35EC6" w:rsidP="00F35EC6">
            <w:pPr>
              <w:spacing w:after="0" w:line="360" w:lineRule="auto"/>
              <w:jc w:val="both"/>
              <w:rPr>
                <w:rFonts w:ascii="Arial" w:eastAsia="Calibri" w:hAnsi="Arial" w:cs="Arial"/>
                <w:b/>
                <w:sz w:val="24"/>
                <w:szCs w:val="24"/>
              </w:rPr>
            </w:pPr>
            <w:r w:rsidRPr="00F35EC6">
              <w:rPr>
                <w:rFonts w:ascii="Arial" w:eastAsia="Calibri" w:hAnsi="Arial" w:cs="Arial"/>
                <w:b/>
                <w:sz w:val="24"/>
                <w:szCs w:val="24"/>
              </w:rPr>
              <w:t>Delivered on:</w:t>
            </w:r>
          </w:p>
          <w:p w:rsidR="00F35EC6" w:rsidRPr="00F35EC6" w:rsidRDefault="00537248" w:rsidP="00F35EC6">
            <w:pPr>
              <w:spacing w:after="0" w:line="360" w:lineRule="auto"/>
              <w:jc w:val="both"/>
              <w:rPr>
                <w:rFonts w:ascii="Arial" w:eastAsia="Calibri" w:hAnsi="Arial" w:cs="Arial"/>
                <w:b/>
                <w:sz w:val="24"/>
                <w:szCs w:val="24"/>
              </w:rPr>
            </w:pPr>
            <w:r>
              <w:rPr>
                <w:rFonts w:ascii="Arial" w:eastAsia="Calibri" w:hAnsi="Arial" w:cs="Arial"/>
                <w:sz w:val="24"/>
                <w:szCs w:val="24"/>
              </w:rPr>
              <w:t>18</w:t>
            </w:r>
            <w:r w:rsidR="00F35EC6">
              <w:rPr>
                <w:rFonts w:ascii="Arial" w:eastAsia="Calibri" w:hAnsi="Arial" w:cs="Arial"/>
                <w:sz w:val="24"/>
                <w:szCs w:val="24"/>
              </w:rPr>
              <w:t xml:space="preserve"> January 2024</w:t>
            </w:r>
          </w:p>
        </w:tc>
      </w:tr>
      <w:tr w:rsidR="00F35EC6" w:rsidRPr="00F35EC6" w:rsidTr="00613511">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F35EC6" w:rsidRPr="00F35EC6" w:rsidRDefault="00F35EC6" w:rsidP="00EA489C">
            <w:pPr>
              <w:spacing w:before="240" w:after="0" w:line="360" w:lineRule="auto"/>
              <w:ind w:left="2160" w:hanging="2160"/>
              <w:jc w:val="both"/>
              <w:rPr>
                <w:rFonts w:ascii="Arial" w:eastAsia="Calibri" w:hAnsi="Arial" w:cs="Arial"/>
                <w:sz w:val="24"/>
                <w:szCs w:val="24"/>
                <w:lang w:val="en-US"/>
              </w:rPr>
            </w:pPr>
            <w:r w:rsidRPr="00F35EC6">
              <w:rPr>
                <w:rFonts w:ascii="Arial" w:eastAsia="Calibri" w:hAnsi="Arial" w:cs="Arial"/>
                <w:b/>
                <w:sz w:val="24"/>
                <w:szCs w:val="24"/>
              </w:rPr>
              <w:t xml:space="preserve">Neutral citation: </w:t>
            </w:r>
            <w:r>
              <w:rPr>
                <w:rFonts w:ascii="Arial" w:eastAsia="Calibri" w:hAnsi="Arial" w:cs="Arial"/>
                <w:i/>
                <w:sz w:val="24"/>
                <w:szCs w:val="24"/>
              </w:rPr>
              <w:t>S v Seibe</w:t>
            </w:r>
            <w:r w:rsidRPr="00F35EC6">
              <w:rPr>
                <w:rFonts w:ascii="Arial" w:eastAsia="Calibri" w:hAnsi="Arial" w:cs="Arial"/>
                <w:i/>
                <w:sz w:val="24"/>
                <w:szCs w:val="24"/>
              </w:rPr>
              <w:t xml:space="preserve">b </w:t>
            </w:r>
            <w:r w:rsidR="00537248">
              <w:rPr>
                <w:rFonts w:ascii="Arial" w:eastAsia="Calibri" w:hAnsi="Arial" w:cs="Arial"/>
                <w:sz w:val="24"/>
                <w:szCs w:val="24"/>
                <w:lang w:val="en-US"/>
              </w:rPr>
              <w:t>(CR 1/2024</w:t>
            </w:r>
            <w:r w:rsidRPr="00F35EC6">
              <w:rPr>
                <w:rFonts w:ascii="Arial" w:eastAsia="Calibri" w:hAnsi="Arial" w:cs="Arial"/>
                <w:sz w:val="24"/>
                <w:szCs w:val="24"/>
                <w:lang w:val="en-US"/>
              </w:rPr>
              <w:t xml:space="preserve">) [2023] NAHCMD </w:t>
            </w:r>
            <w:r w:rsidR="00EA489C">
              <w:rPr>
                <w:rFonts w:ascii="Arial" w:eastAsia="Calibri" w:hAnsi="Arial" w:cs="Arial"/>
                <w:sz w:val="24"/>
                <w:szCs w:val="24"/>
                <w:lang w:val="en-US"/>
              </w:rPr>
              <w:t>5</w:t>
            </w:r>
            <w:r w:rsidRPr="00F35EC6">
              <w:rPr>
                <w:rFonts w:ascii="Arial" w:eastAsia="Calibri" w:hAnsi="Arial" w:cs="Arial"/>
                <w:sz w:val="24"/>
                <w:szCs w:val="24"/>
                <w:lang w:val="en-US"/>
              </w:rPr>
              <w:t xml:space="preserve"> (</w:t>
            </w:r>
            <w:r w:rsidR="00537248">
              <w:rPr>
                <w:rFonts w:ascii="Arial" w:eastAsia="Calibri" w:hAnsi="Arial" w:cs="Arial"/>
                <w:sz w:val="24"/>
                <w:szCs w:val="24"/>
                <w:lang w:val="en-US"/>
              </w:rPr>
              <w:t>18</w:t>
            </w:r>
            <w:r>
              <w:rPr>
                <w:rFonts w:ascii="Arial" w:eastAsia="Calibri" w:hAnsi="Arial" w:cs="Arial"/>
                <w:sz w:val="24"/>
                <w:szCs w:val="24"/>
                <w:lang w:val="en-US"/>
              </w:rPr>
              <w:t xml:space="preserve"> January 2024</w:t>
            </w:r>
            <w:r w:rsidRPr="00F35EC6">
              <w:rPr>
                <w:rFonts w:ascii="Arial" w:eastAsia="Calibri" w:hAnsi="Arial" w:cs="Arial"/>
                <w:sz w:val="24"/>
                <w:szCs w:val="24"/>
                <w:lang w:val="en-US"/>
              </w:rPr>
              <w:t>)</w:t>
            </w:r>
          </w:p>
        </w:tc>
      </w:tr>
      <w:tr w:rsidR="00F35EC6" w:rsidRPr="00F35EC6" w:rsidTr="00613511">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F35EC6" w:rsidRPr="00F35EC6" w:rsidRDefault="00F35EC6" w:rsidP="00FC7539">
            <w:pPr>
              <w:spacing w:before="240" w:after="0" w:line="360" w:lineRule="auto"/>
              <w:jc w:val="both"/>
              <w:rPr>
                <w:rFonts w:ascii="Arial" w:eastAsia="Calibri" w:hAnsi="Arial" w:cs="Arial"/>
                <w:b/>
                <w:sz w:val="24"/>
                <w:szCs w:val="24"/>
              </w:rPr>
            </w:pPr>
            <w:r w:rsidRPr="00F35EC6">
              <w:rPr>
                <w:rFonts w:ascii="Arial" w:eastAsia="Calibri" w:hAnsi="Arial" w:cs="Arial"/>
                <w:b/>
                <w:sz w:val="24"/>
                <w:szCs w:val="24"/>
              </w:rPr>
              <w:t>ORDER:</w:t>
            </w:r>
          </w:p>
          <w:p w:rsidR="00C8227E" w:rsidRDefault="00C8227E" w:rsidP="00C8227E">
            <w:pPr>
              <w:numPr>
                <w:ilvl w:val="0"/>
                <w:numId w:val="2"/>
              </w:numPr>
              <w:spacing w:after="0" w:line="360" w:lineRule="auto"/>
              <w:jc w:val="both"/>
              <w:rPr>
                <w:rFonts w:ascii="Arial" w:eastAsia="Calibri" w:hAnsi="Arial" w:cs="Arial"/>
                <w:sz w:val="24"/>
                <w:szCs w:val="24"/>
              </w:rPr>
            </w:pPr>
            <w:r w:rsidRPr="00F35EC6">
              <w:rPr>
                <w:rFonts w:ascii="Arial" w:eastAsia="Calibri" w:hAnsi="Arial" w:cs="Arial"/>
                <w:sz w:val="24"/>
                <w:szCs w:val="24"/>
              </w:rPr>
              <w:t>The conviction</w:t>
            </w:r>
            <w:r w:rsidR="00466C02">
              <w:rPr>
                <w:rFonts w:ascii="Arial" w:eastAsia="Calibri" w:hAnsi="Arial" w:cs="Arial"/>
                <w:sz w:val="24"/>
                <w:szCs w:val="24"/>
              </w:rPr>
              <w:t xml:space="preserve"> on stock theft</w:t>
            </w:r>
            <w:r w:rsidRPr="00F35EC6">
              <w:rPr>
                <w:rFonts w:ascii="Arial" w:eastAsia="Calibri" w:hAnsi="Arial" w:cs="Arial"/>
                <w:sz w:val="24"/>
                <w:szCs w:val="24"/>
              </w:rPr>
              <w:t xml:space="preserve"> is confirmed</w:t>
            </w:r>
            <w:r>
              <w:rPr>
                <w:rFonts w:ascii="Arial" w:eastAsia="Calibri" w:hAnsi="Arial" w:cs="Arial"/>
                <w:sz w:val="24"/>
                <w:szCs w:val="24"/>
              </w:rPr>
              <w:t>.</w:t>
            </w:r>
            <w:bookmarkStart w:id="0" w:name="_GoBack"/>
            <w:bookmarkEnd w:id="0"/>
          </w:p>
          <w:p w:rsidR="00C8227E" w:rsidRPr="00F35EC6" w:rsidRDefault="00C8227E" w:rsidP="00C8227E">
            <w:pPr>
              <w:numPr>
                <w:ilvl w:val="0"/>
                <w:numId w:val="2"/>
              </w:numPr>
              <w:spacing w:after="0" w:line="360" w:lineRule="auto"/>
              <w:jc w:val="both"/>
              <w:rPr>
                <w:rFonts w:ascii="Arial" w:eastAsia="Calibri" w:hAnsi="Arial" w:cs="Arial"/>
                <w:sz w:val="24"/>
                <w:szCs w:val="24"/>
              </w:rPr>
            </w:pPr>
            <w:r>
              <w:rPr>
                <w:rFonts w:ascii="Arial" w:eastAsia="Calibri" w:hAnsi="Arial" w:cs="Arial"/>
                <w:sz w:val="24"/>
                <w:szCs w:val="24"/>
              </w:rPr>
              <w:t>The phrase ‘with common purpose’ is deleted from the conviction</w:t>
            </w:r>
            <w:r w:rsidRPr="00F35EC6">
              <w:rPr>
                <w:rFonts w:ascii="Arial" w:eastAsia="Calibri" w:hAnsi="Arial" w:cs="Arial"/>
                <w:sz w:val="24"/>
                <w:szCs w:val="24"/>
              </w:rPr>
              <w:t>.</w:t>
            </w:r>
          </w:p>
          <w:p w:rsidR="00FC7539" w:rsidRPr="00FC7539" w:rsidRDefault="00C8227E" w:rsidP="00FC7539">
            <w:pPr>
              <w:numPr>
                <w:ilvl w:val="0"/>
                <w:numId w:val="2"/>
              </w:numPr>
              <w:spacing w:after="0" w:line="360" w:lineRule="auto"/>
              <w:jc w:val="both"/>
              <w:rPr>
                <w:rFonts w:ascii="Arial" w:eastAsia="Calibri" w:hAnsi="Arial" w:cs="Arial"/>
                <w:sz w:val="24"/>
                <w:szCs w:val="24"/>
              </w:rPr>
            </w:pPr>
            <w:r w:rsidRPr="00F35EC6">
              <w:rPr>
                <w:rFonts w:ascii="Arial" w:eastAsia="Calibri" w:hAnsi="Arial" w:cs="Arial"/>
                <w:sz w:val="24"/>
                <w:szCs w:val="24"/>
              </w:rPr>
              <w:t xml:space="preserve">The sentence </w:t>
            </w:r>
            <w:r>
              <w:rPr>
                <w:rFonts w:ascii="Arial" w:eastAsia="Calibri" w:hAnsi="Arial" w:cs="Arial"/>
                <w:sz w:val="24"/>
                <w:szCs w:val="24"/>
              </w:rPr>
              <w:t xml:space="preserve">of four (4) years </w:t>
            </w:r>
            <w:r w:rsidRPr="00F35EC6">
              <w:rPr>
                <w:rFonts w:ascii="Arial" w:eastAsia="Calibri" w:hAnsi="Arial" w:cs="Arial"/>
                <w:sz w:val="24"/>
                <w:szCs w:val="24"/>
              </w:rPr>
              <w:t xml:space="preserve">is set aside and substituted with the following: </w:t>
            </w:r>
            <w:r>
              <w:rPr>
                <w:rFonts w:ascii="Arial" w:eastAsia="Calibri" w:hAnsi="Arial" w:cs="Arial"/>
                <w:sz w:val="24"/>
                <w:szCs w:val="24"/>
              </w:rPr>
              <w:t>30</w:t>
            </w:r>
            <w:r w:rsidRPr="00F35EC6">
              <w:rPr>
                <w:rFonts w:ascii="Arial" w:eastAsia="Calibri" w:hAnsi="Arial" w:cs="Arial"/>
                <w:sz w:val="24"/>
                <w:szCs w:val="24"/>
              </w:rPr>
              <w:t xml:space="preserve"> months’ imprisonment</w:t>
            </w:r>
            <w:r>
              <w:rPr>
                <w:rFonts w:ascii="Arial" w:eastAsia="Calibri" w:hAnsi="Arial" w:cs="Arial"/>
                <w:sz w:val="24"/>
                <w:szCs w:val="24"/>
              </w:rPr>
              <w:t xml:space="preserve"> of which six (6) months are suspended for five (5) years on condition that the accused is not convicted of stock theft read with the </w:t>
            </w:r>
            <w:r>
              <w:rPr>
                <w:rFonts w:ascii="Arial" w:eastAsia="Calibri" w:hAnsi="Arial" w:cs="Arial"/>
                <w:sz w:val="24"/>
                <w:szCs w:val="24"/>
              </w:rPr>
              <w:lastRenderedPageBreak/>
              <w:t>provisions of the Stock Theft Act 12 of 1990 as amended</w:t>
            </w:r>
            <w:r w:rsidR="00603EB0">
              <w:rPr>
                <w:rFonts w:ascii="Arial" w:eastAsia="Calibri" w:hAnsi="Arial" w:cs="Arial"/>
                <w:sz w:val="24"/>
                <w:szCs w:val="24"/>
              </w:rPr>
              <w:t>, committed during the period of suspension</w:t>
            </w:r>
            <w:r w:rsidRPr="00F35EC6">
              <w:rPr>
                <w:rFonts w:ascii="Arial" w:eastAsia="Calibri" w:hAnsi="Arial" w:cs="Arial"/>
                <w:sz w:val="24"/>
                <w:szCs w:val="24"/>
              </w:rPr>
              <w:t>.</w:t>
            </w:r>
          </w:p>
          <w:p w:rsidR="00F35EC6" w:rsidRPr="00F35EC6" w:rsidRDefault="00C8227E" w:rsidP="00C8227E">
            <w:pPr>
              <w:numPr>
                <w:ilvl w:val="0"/>
                <w:numId w:val="2"/>
              </w:numPr>
              <w:spacing w:after="0" w:line="360" w:lineRule="auto"/>
              <w:jc w:val="both"/>
              <w:rPr>
                <w:rFonts w:ascii="Arial" w:eastAsia="Calibri" w:hAnsi="Arial" w:cs="Arial"/>
                <w:sz w:val="24"/>
                <w:szCs w:val="24"/>
              </w:rPr>
            </w:pPr>
            <w:r>
              <w:rPr>
                <w:rFonts w:ascii="Arial" w:eastAsia="Calibri" w:hAnsi="Arial" w:cs="Arial"/>
                <w:sz w:val="24"/>
                <w:szCs w:val="24"/>
              </w:rPr>
              <w:t>The sentence is backdated to 23 August</w:t>
            </w:r>
            <w:r w:rsidRPr="00F35EC6">
              <w:rPr>
                <w:rFonts w:ascii="Arial" w:eastAsia="Calibri" w:hAnsi="Arial" w:cs="Arial"/>
                <w:sz w:val="24"/>
                <w:szCs w:val="24"/>
              </w:rPr>
              <w:t xml:space="preserve"> 2023.</w:t>
            </w:r>
          </w:p>
        </w:tc>
      </w:tr>
      <w:tr w:rsidR="00F35EC6" w:rsidRPr="00F35EC6" w:rsidTr="00613511">
        <w:tc>
          <w:tcPr>
            <w:tcW w:w="9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EC6" w:rsidRPr="00F35EC6" w:rsidRDefault="00F35EC6" w:rsidP="00FC7539">
            <w:pPr>
              <w:spacing w:before="240" w:after="0" w:line="360" w:lineRule="auto"/>
              <w:jc w:val="center"/>
              <w:rPr>
                <w:rFonts w:ascii="Arial" w:eastAsia="Calibri" w:hAnsi="Arial" w:cs="Arial"/>
                <w:b/>
                <w:sz w:val="24"/>
                <w:szCs w:val="24"/>
              </w:rPr>
            </w:pPr>
            <w:r w:rsidRPr="00F35EC6">
              <w:rPr>
                <w:rFonts w:ascii="Arial" w:eastAsia="Calibri" w:hAnsi="Arial" w:cs="Arial"/>
                <w:b/>
                <w:sz w:val="24"/>
                <w:szCs w:val="24"/>
              </w:rPr>
              <w:lastRenderedPageBreak/>
              <w:t>REASONS FOR ORDERS:</w:t>
            </w:r>
          </w:p>
        </w:tc>
      </w:tr>
      <w:tr w:rsidR="00F35EC6" w:rsidRPr="00F35EC6" w:rsidTr="00613511">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F35EC6" w:rsidRPr="00F35EC6" w:rsidRDefault="00F35EC6" w:rsidP="00F35EC6">
            <w:pPr>
              <w:spacing w:after="0" w:line="360" w:lineRule="auto"/>
              <w:jc w:val="both"/>
              <w:rPr>
                <w:rFonts w:ascii="Arial" w:eastAsia="Times New Roman" w:hAnsi="Arial" w:cs="Arial"/>
                <w:sz w:val="24"/>
                <w:szCs w:val="24"/>
                <w:lang w:val="en-GB"/>
              </w:rPr>
            </w:pPr>
          </w:p>
          <w:p w:rsidR="00F35EC6" w:rsidRPr="00F35EC6" w:rsidRDefault="00F35EC6" w:rsidP="00F35EC6">
            <w:pPr>
              <w:spacing w:after="0" w:line="360" w:lineRule="auto"/>
              <w:jc w:val="both"/>
              <w:rPr>
                <w:rFonts w:ascii="Arial" w:eastAsia="Times New Roman" w:hAnsi="Arial" w:cs="Arial"/>
                <w:sz w:val="24"/>
                <w:szCs w:val="24"/>
                <w:lang w:val="en-GB"/>
              </w:rPr>
            </w:pPr>
            <w:r w:rsidRPr="00F35EC6">
              <w:rPr>
                <w:rFonts w:ascii="Arial" w:eastAsia="Times New Roman" w:hAnsi="Arial" w:cs="Arial"/>
                <w:sz w:val="24"/>
                <w:szCs w:val="24"/>
                <w:lang w:val="en-GB"/>
              </w:rPr>
              <w:t>SHIVUTE J (</w:t>
            </w:r>
            <w:r>
              <w:rPr>
                <w:rFonts w:ascii="Arial" w:eastAsia="Times New Roman" w:hAnsi="Arial" w:cs="Arial"/>
                <w:sz w:val="24"/>
                <w:szCs w:val="24"/>
                <w:lang w:val="en-GB"/>
              </w:rPr>
              <w:t xml:space="preserve">USIKU </w:t>
            </w:r>
            <w:r w:rsidRPr="00F35EC6">
              <w:rPr>
                <w:rFonts w:ascii="Arial" w:eastAsia="Times New Roman" w:hAnsi="Arial" w:cs="Arial"/>
                <w:sz w:val="24"/>
                <w:szCs w:val="24"/>
                <w:lang w:val="en-GB"/>
              </w:rPr>
              <w:t>J concurring):</w:t>
            </w:r>
          </w:p>
          <w:p w:rsidR="00F35EC6" w:rsidRPr="00F35EC6" w:rsidRDefault="00F35EC6" w:rsidP="00F35EC6">
            <w:pPr>
              <w:spacing w:after="0" w:line="360" w:lineRule="auto"/>
              <w:jc w:val="both"/>
              <w:rPr>
                <w:rFonts w:ascii="Arial" w:eastAsia="Calibri" w:hAnsi="Arial" w:cs="Arial"/>
                <w:sz w:val="24"/>
                <w:szCs w:val="24"/>
              </w:rPr>
            </w:pPr>
          </w:p>
          <w:p w:rsidR="00F35EC6" w:rsidRPr="00F35EC6" w:rsidRDefault="00F35EC6" w:rsidP="00F35EC6">
            <w:pPr>
              <w:tabs>
                <w:tab w:val="left" w:pos="720"/>
                <w:tab w:val="left" w:pos="2268"/>
              </w:tabs>
              <w:spacing w:after="0" w:line="360" w:lineRule="auto"/>
              <w:jc w:val="both"/>
              <w:rPr>
                <w:rFonts w:ascii="Arial" w:eastAsia="Times New Roman" w:hAnsi="Arial" w:cs="Arial"/>
                <w:sz w:val="24"/>
                <w:szCs w:val="24"/>
                <w:lang w:val="en-GB"/>
              </w:rPr>
            </w:pPr>
            <w:r w:rsidRPr="00F35EC6">
              <w:rPr>
                <w:rFonts w:ascii="Arial" w:eastAsia="Times New Roman" w:hAnsi="Arial" w:cs="Arial"/>
                <w:sz w:val="24"/>
                <w:szCs w:val="24"/>
                <w:lang w:val="en-GB"/>
              </w:rPr>
              <w:t>[1]</w:t>
            </w:r>
            <w:r w:rsidRPr="00F35EC6">
              <w:rPr>
                <w:rFonts w:ascii="Arial" w:eastAsia="Times New Roman" w:hAnsi="Arial" w:cs="Arial"/>
                <w:sz w:val="24"/>
                <w:szCs w:val="24"/>
                <w:lang w:val="en-GB"/>
              </w:rPr>
              <w:tab/>
              <w:t>This is a review matter which came before me in terms o</w:t>
            </w:r>
            <w:r w:rsidR="003B6A35">
              <w:rPr>
                <w:rFonts w:ascii="Arial" w:eastAsia="Times New Roman" w:hAnsi="Arial" w:cs="Arial"/>
                <w:sz w:val="24"/>
                <w:szCs w:val="24"/>
                <w:lang w:val="en-GB"/>
              </w:rPr>
              <w:t>f s</w:t>
            </w:r>
            <w:r w:rsidRPr="00F35EC6">
              <w:rPr>
                <w:rFonts w:ascii="Arial" w:eastAsia="Times New Roman" w:hAnsi="Arial" w:cs="Arial"/>
                <w:sz w:val="24"/>
                <w:szCs w:val="24"/>
                <w:lang w:val="en-GB"/>
              </w:rPr>
              <w:t xml:space="preserve"> 302(1) of the Criminal Procedure Act 51 of 1977</w:t>
            </w:r>
            <w:r w:rsidR="003B6A35">
              <w:rPr>
                <w:rFonts w:ascii="Arial" w:eastAsia="Times New Roman" w:hAnsi="Arial" w:cs="Arial"/>
                <w:sz w:val="24"/>
                <w:szCs w:val="24"/>
                <w:lang w:val="en-GB"/>
              </w:rPr>
              <w:t xml:space="preserve"> as amended (the CPA)</w:t>
            </w:r>
            <w:r w:rsidRPr="00F35EC6">
              <w:rPr>
                <w:rFonts w:ascii="Arial" w:eastAsia="Times New Roman" w:hAnsi="Arial" w:cs="Arial"/>
                <w:sz w:val="24"/>
                <w:szCs w:val="24"/>
                <w:lang w:val="en-GB"/>
              </w:rPr>
              <w:t>.</w:t>
            </w:r>
          </w:p>
          <w:p w:rsidR="00F35EC6" w:rsidRPr="00F35EC6" w:rsidRDefault="00F35EC6" w:rsidP="00F35EC6">
            <w:pPr>
              <w:tabs>
                <w:tab w:val="left" w:pos="720"/>
                <w:tab w:val="left" w:pos="2268"/>
              </w:tabs>
              <w:spacing w:after="0" w:line="360" w:lineRule="auto"/>
              <w:jc w:val="both"/>
              <w:rPr>
                <w:rFonts w:ascii="Arial" w:eastAsia="Times New Roman" w:hAnsi="Arial" w:cs="Arial"/>
                <w:sz w:val="24"/>
                <w:szCs w:val="24"/>
                <w:lang w:val="en-GB"/>
              </w:rPr>
            </w:pPr>
          </w:p>
          <w:p w:rsidR="00BE29F5" w:rsidRDefault="00F35EC6" w:rsidP="00F35EC6">
            <w:pPr>
              <w:tabs>
                <w:tab w:val="left" w:pos="720"/>
                <w:tab w:val="left" w:pos="2268"/>
              </w:tabs>
              <w:spacing w:after="0" w:line="360" w:lineRule="auto"/>
              <w:jc w:val="both"/>
              <w:rPr>
                <w:rFonts w:ascii="Arial" w:eastAsia="Times New Roman" w:hAnsi="Arial" w:cs="Arial"/>
                <w:sz w:val="24"/>
                <w:szCs w:val="24"/>
                <w:lang w:val="en-GB"/>
              </w:rPr>
            </w:pPr>
            <w:r w:rsidRPr="00F35EC6">
              <w:rPr>
                <w:rFonts w:ascii="Arial" w:eastAsia="Times New Roman" w:hAnsi="Arial" w:cs="Arial"/>
                <w:sz w:val="24"/>
                <w:szCs w:val="24"/>
                <w:lang w:val="en-GB"/>
              </w:rPr>
              <w:t>[2]</w:t>
            </w:r>
            <w:r w:rsidRPr="00F35EC6">
              <w:rPr>
                <w:rFonts w:ascii="Arial" w:eastAsia="Times New Roman" w:hAnsi="Arial" w:cs="Arial"/>
                <w:sz w:val="24"/>
                <w:szCs w:val="24"/>
                <w:lang w:val="en-GB"/>
              </w:rPr>
              <w:tab/>
            </w:r>
            <w:r w:rsidR="00703100">
              <w:rPr>
                <w:rFonts w:ascii="Arial" w:eastAsia="Times New Roman" w:hAnsi="Arial" w:cs="Arial"/>
                <w:sz w:val="24"/>
                <w:szCs w:val="24"/>
                <w:lang w:val="en-GB"/>
              </w:rPr>
              <w:t>The court directed a quer</w:t>
            </w:r>
            <w:r w:rsidR="00984591">
              <w:rPr>
                <w:rFonts w:ascii="Arial" w:eastAsia="Times New Roman" w:hAnsi="Arial" w:cs="Arial"/>
                <w:sz w:val="24"/>
                <w:szCs w:val="24"/>
                <w:lang w:val="en-GB"/>
              </w:rPr>
              <w:t>y to the magi</w:t>
            </w:r>
            <w:r w:rsidR="00BE29F5">
              <w:rPr>
                <w:rFonts w:ascii="Arial" w:eastAsia="Times New Roman" w:hAnsi="Arial" w:cs="Arial"/>
                <w:sz w:val="24"/>
                <w:szCs w:val="24"/>
                <w:lang w:val="en-GB"/>
              </w:rPr>
              <w:t>strate dealing with two points</w:t>
            </w:r>
            <w:r w:rsidR="00984591">
              <w:rPr>
                <w:rFonts w:ascii="Arial" w:eastAsia="Times New Roman" w:hAnsi="Arial" w:cs="Arial"/>
                <w:sz w:val="24"/>
                <w:szCs w:val="24"/>
                <w:lang w:val="en-GB"/>
              </w:rPr>
              <w:t>.</w:t>
            </w:r>
            <w:r w:rsidR="00BE29F5">
              <w:rPr>
                <w:rFonts w:ascii="Arial" w:eastAsia="Times New Roman" w:hAnsi="Arial" w:cs="Arial"/>
                <w:sz w:val="24"/>
                <w:szCs w:val="24"/>
                <w:lang w:val="en-GB"/>
              </w:rPr>
              <w:t xml:space="preserve"> The first point</w:t>
            </w:r>
            <w:r w:rsidR="00984591">
              <w:rPr>
                <w:rFonts w:ascii="Arial" w:eastAsia="Times New Roman" w:hAnsi="Arial" w:cs="Arial"/>
                <w:sz w:val="24"/>
                <w:szCs w:val="24"/>
                <w:lang w:val="en-GB"/>
              </w:rPr>
              <w:t xml:space="preserve"> deals with the review</w:t>
            </w:r>
            <w:r w:rsidR="00FC7539">
              <w:rPr>
                <w:rFonts w:ascii="Arial" w:eastAsia="Times New Roman" w:hAnsi="Arial" w:cs="Arial"/>
                <w:sz w:val="24"/>
                <w:szCs w:val="24"/>
                <w:lang w:val="en-GB"/>
              </w:rPr>
              <w:t xml:space="preserve"> cover sheet reflecting that </w:t>
            </w:r>
            <w:r w:rsidR="00703100">
              <w:rPr>
                <w:rFonts w:ascii="Arial" w:eastAsia="Times New Roman" w:hAnsi="Arial" w:cs="Arial"/>
                <w:sz w:val="24"/>
                <w:szCs w:val="24"/>
                <w:lang w:val="en-GB"/>
              </w:rPr>
              <w:t>accused</w:t>
            </w:r>
            <w:r w:rsidR="00984591">
              <w:rPr>
                <w:rFonts w:ascii="Arial" w:eastAsia="Times New Roman" w:hAnsi="Arial" w:cs="Arial"/>
                <w:sz w:val="24"/>
                <w:szCs w:val="24"/>
                <w:lang w:val="en-GB"/>
              </w:rPr>
              <w:t xml:space="preserve"> 2 was convicted and sentenced, whilst the charge was withdrawn against him and the reviewing judge remarked that the review cover sheet has to be amended accordingly. </w:t>
            </w:r>
            <w:r w:rsidR="00BE29F5">
              <w:rPr>
                <w:rFonts w:ascii="Arial" w:eastAsia="Times New Roman" w:hAnsi="Arial" w:cs="Arial"/>
                <w:sz w:val="24"/>
                <w:szCs w:val="24"/>
                <w:lang w:val="en-GB"/>
              </w:rPr>
              <w:t>Such amendment has been effected on the record.</w:t>
            </w:r>
          </w:p>
          <w:p w:rsidR="00BE29F5" w:rsidRDefault="00BE29F5" w:rsidP="00F35EC6">
            <w:pPr>
              <w:tabs>
                <w:tab w:val="left" w:pos="720"/>
                <w:tab w:val="left" w:pos="2268"/>
              </w:tabs>
              <w:spacing w:after="0" w:line="360" w:lineRule="auto"/>
              <w:jc w:val="both"/>
              <w:rPr>
                <w:rFonts w:ascii="Arial" w:eastAsia="Times New Roman" w:hAnsi="Arial" w:cs="Arial"/>
                <w:sz w:val="24"/>
                <w:szCs w:val="24"/>
                <w:lang w:val="en-GB"/>
              </w:rPr>
            </w:pPr>
          </w:p>
          <w:p w:rsidR="00F35EC6" w:rsidRPr="00F35EC6" w:rsidRDefault="00BE29F5" w:rsidP="00F35EC6">
            <w:pPr>
              <w:tabs>
                <w:tab w:val="left" w:pos="720"/>
                <w:tab w:val="left" w:pos="2268"/>
              </w:tabs>
              <w:spacing w:after="0" w:line="360" w:lineRule="auto"/>
              <w:jc w:val="both"/>
              <w:rPr>
                <w:rFonts w:ascii="Arial" w:eastAsia="Times New Roman" w:hAnsi="Arial" w:cs="Arial"/>
                <w:sz w:val="24"/>
                <w:szCs w:val="24"/>
                <w:lang w:val="en-GB"/>
              </w:rPr>
            </w:pPr>
            <w:r w:rsidRPr="00F35EC6">
              <w:rPr>
                <w:rFonts w:ascii="Arial" w:eastAsia="Times New Roman" w:hAnsi="Arial" w:cs="Arial"/>
                <w:sz w:val="24"/>
                <w:szCs w:val="24"/>
                <w:lang w:val="en-GB"/>
              </w:rPr>
              <w:t>[3]</w:t>
            </w:r>
            <w:r w:rsidRPr="00F35EC6">
              <w:rPr>
                <w:rFonts w:ascii="Calibri" w:eastAsia="Calibri" w:hAnsi="Calibri" w:cs="Times New Roman"/>
              </w:rPr>
              <w:t xml:space="preserve"> </w:t>
            </w:r>
            <w:r w:rsidRPr="00F35EC6">
              <w:rPr>
                <w:rFonts w:ascii="Arial" w:eastAsia="Times New Roman" w:hAnsi="Arial" w:cs="Arial"/>
                <w:sz w:val="24"/>
                <w:szCs w:val="24"/>
                <w:lang w:val="en-GB"/>
              </w:rPr>
              <w:tab/>
              <w:t>Th</w:t>
            </w:r>
            <w:r>
              <w:rPr>
                <w:rFonts w:ascii="Arial" w:eastAsia="Times New Roman" w:hAnsi="Arial" w:cs="Arial"/>
                <w:sz w:val="24"/>
                <w:szCs w:val="24"/>
                <w:lang w:val="en-GB"/>
              </w:rPr>
              <w:t xml:space="preserve">e second point deals with whether or not the sentence imposed is too severe. </w:t>
            </w:r>
            <w:r w:rsidR="00703100">
              <w:rPr>
                <w:rFonts w:ascii="Arial" w:eastAsia="Times New Roman" w:hAnsi="Arial" w:cs="Arial"/>
                <w:sz w:val="24"/>
                <w:szCs w:val="24"/>
                <w:lang w:val="en-GB"/>
              </w:rPr>
              <w:t xml:space="preserve"> </w:t>
            </w:r>
            <w:r w:rsidR="00F35EC6" w:rsidRPr="00F35EC6">
              <w:rPr>
                <w:rFonts w:ascii="Arial" w:eastAsia="Times New Roman" w:hAnsi="Arial" w:cs="Arial"/>
                <w:sz w:val="24"/>
                <w:szCs w:val="24"/>
                <w:lang w:val="en-GB"/>
              </w:rPr>
              <w:t xml:space="preserve">The accused, unrepresented, appeared in the Magistrate’s Court </w:t>
            </w:r>
            <w:r w:rsidR="00DB4C0B">
              <w:rPr>
                <w:rFonts w:ascii="Arial" w:eastAsia="Times New Roman" w:hAnsi="Arial" w:cs="Arial"/>
                <w:sz w:val="24"/>
                <w:szCs w:val="24"/>
                <w:lang w:val="en-GB"/>
              </w:rPr>
              <w:t>for the district of Khorixas</w:t>
            </w:r>
            <w:r w:rsidR="00F35EC6" w:rsidRPr="00F35EC6">
              <w:rPr>
                <w:rFonts w:ascii="Arial" w:eastAsia="Times New Roman" w:hAnsi="Arial" w:cs="Arial"/>
                <w:sz w:val="24"/>
                <w:szCs w:val="24"/>
                <w:lang w:val="en-GB"/>
              </w:rPr>
              <w:t xml:space="preserve"> on a charge</w:t>
            </w:r>
            <w:r w:rsidR="00703100">
              <w:rPr>
                <w:rFonts w:ascii="Arial" w:eastAsia="Times New Roman" w:hAnsi="Arial" w:cs="Arial"/>
                <w:sz w:val="24"/>
                <w:szCs w:val="24"/>
                <w:lang w:val="en-GB"/>
              </w:rPr>
              <w:t xml:space="preserve"> of</w:t>
            </w:r>
            <w:r w:rsidR="00DB4C0B">
              <w:rPr>
                <w:rFonts w:ascii="Arial" w:eastAsia="Times New Roman" w:hAnsi="Arial" w:cs="Arial"/>
                <w:sz w:val="24"/>
                <w:szCs w:val="24"/>
                <w:lang w:val="en-GB"/>
              </w:rPr>
              <w:t xml:space="preserve"> stock theft. </w:t>
            </w:r>
            <w:r w:rsidR="003B6A35">
              <w:rPr>
                <w:rFonts w:ascii="Arial" w:eastAsia="Times New Roman" w:hAnsi="Arial" w:cs="Arial"/>
                <w:sz w:val="24"/>
                <w:szCs w:val="24"/>
                <w:lang w:val="en-GB"/>
              </w:rPr>
              <w:t>T</w:t>
            </w:r>
            <w:r w:rsidR="00F35EC6" w:rsidRPr="00F35EC6">
              <w:rPr>
                <w:rFonts w:ascii="Arial" w:eastAsia="Times New Roman" w:hAnsi="Arial" w:cs="Arial"/>
                <w:sz w:val="24"/>
                <w:szCs w:val="24"/>
                <w:lang w:val="en-GB"/>
              </w:rPr>
              <w:t>he accused tendered a plea of guilty and the magistrate proceeded to question him in terms of s 112(1)(</w:t>
            </w:r>
            <w:r w:rsidR="00F35EC6" w:rsidRPr="00F35EC6">
              <w:rPr>
                <w:rFonts w:ascii="Arial" w:eastAsia="Times New Roman" w:hAnsi="Arial" w:cs="Arial"/>
                <w:i/>
                <w:sz w:val="24"/>
                <w:szCs w:val="24"/>
                <w:lang w:val="en-GB"/>
              </w:rPr>
              <w:t>b</w:t>
            </w:r>
            <w:r w:rsidR="003B6A35">
              <w:rPr>
                <w:rFonts w:ascii="Arial" w:eastAsia="Times New Roman" w:hAnsi="Arial" w:cs="Arial"/>
                <w:sz w:val="24"/>
                <w:szCs w:val="24"/>
                <w:lang w:val="en-GB"/>
              </w:rPr>
              <w:t xml:space="preserve">) of </w:t>
            </w:r>
            <w:r w:rsidR="00F35EC6" w:rsidRPr="00F35EC6">
              <w:rPr>
                <w:rFonts w:ascii="Arial" w:eastAsia="Times New Roman" w:hAnsi="Arial" w:cs="Arial"/>
                <w:sz w:val="24"/>
                <w:szCs w:val="24"/>
                <w:lang w:val="en-GB"/>
              </w:rPr>
              <w:t xml:space="preserve">the </w:t>
            </w:r>
            <w:r w:rsidR="003B6A35">
              <w:rPr>
                <w:rFonts w:ascii="Arial" w:eastAsia="Times New Roman" w:hAnsi="Arial" w:cs="Arial"/>
                <w:sz w:val="24"/>
                <w:szCs w:val="24"/>
                <w:lang w:val="en-GB"/>
              </w:rPr>
              <w:t>CPA</w:t>
            </w:r>
            <w:r w:rsidR="00F35EC6" w:rsidRPr="00F35EC6">
              <w:rPr>
                <w:rFonts w:ascii="Arial" w:eastAsia="Times New Roman" w:hAnsi="Arial" w:cs="Arial"/>
                <w:sz w:val="24"/>
                <w:szCs w:val="24"/>
                <w:lang w:val="en-GB"/>
              </w:rPr>
              <w:t>. After questioning the accused, the court was satisfied that the accused admitted all the allegations set out in the charge. The accused was convicted as charged.</w:t>
            </w:r>
          </w:p>
          <w:p w:rsidR="00F35EC6" w:rsidRPr="00F35EC6" w:rsidRDefault="00F35EC6" w:rsidP="00F35EC6">
            <w:pPr>
              <w:tabs>
                <w:tab w:val="left" w:pos="720"/>
                <w:tab w:val="left" w:pos="2268"/>
              </w:tabs>
              <w:spacing w:after="0" w:line="360" w:lineRule="auto"/>
              <w:jc w:val="both"/>
              <w:rPr>
                <w:rFonts w:ascii="Arial" w:eastAsia="Times New Roman" w:hAnsi="Arial" w:cs="Arial"/>
                <w:sz w:val="24"/>
                <w:szCs w:val="24"/>
                <w:lang w:val="en-GB"/>
              </w:rPr>
            </w:pPr>
          </w:p>
          <w:p w:rsidR="00F35EC6" w:rsidRPr="00F35EC6" w:rsidRDefault="00F35EC6" w:rsidP="00F35EC6">
            <w:pPr>
              <w:tabs>
                <w:tab w:val="left" w:pos="720"/>
                <w:tab w:val="left" w:pos="2268"/>
              </w:tabs>
              <w:spacing w:after="0" w:line="360" w:lineRule="auto"/>
              <w:jc w:val="both"/>
              <w:rPr>
                <w:rFonts w:ascii="Arial" w:eastAsia="Times New Roman" w:hAnsi="Arial" w:cs="Arial"/>
                <w:sz w:val="24"/>
                <w:szCs w:val="24"/>
                <w:lang w:val="en-GB"/>
              </w:rPr>
            </w:pPr>
            <w:r w:rsidRPr="00F35EC6">
              <w:rPr>
                <w:rFonts w:ascii="Arial" w:eastAsia="Times New Roman" w:hAnsi="Arial" w:cs="Arial"/>
                <w:sz w:val="24"/>
                <w:szCs w:val="24"/>
                <w:lang w:val="en-GB"/>
              </w:rPr>
              <w:t>[4]</w:t>
            </w:r>
            <w:r w:rsidRPr="00F35EC6">
              <w:rPr>
                <w:rFonts w:ascii="Arial" w:eastAsia="Times New Roman" w:hAnsi="Arial" w:cs="Arial"/>
                <w:sz w:val="24"/>
                <w:szCs w:val="24"/>
                <w:lang w:val="en-GB"/>
              </w:rPr>
              <w:tab/>
              <w:t xml:space="preserve"> The court in the present matter, after mitigation and aggravation of senten</w:t>
            </w:r>
            <w:r w:rsidR="003B6A35">
              <w:rPr>
                <w:rFonts w:ascii="Arial" w:eastAsia="Times New Roman" w:hAnsi="Arial" w:cs="Arial"/>
                <w:sz w:val="24"/>
                <w:szCs w:val="24"/>
                <w:lang w:val="en-GB"/>
              </w:rPr>
              <w:t>ce, sentenced the accused to five (5) years</w:t>
            </w:r>
            <w:r w:rsidRPr="00F35EC6">
              <w:rPr>
                <w:rFonts w:ascii="Arial" w:eastAsia="Times New Roman" w:hAnsi="Arial" w:cs="Arial"/>
                <w:sz w:val="24"/>
                <w:szCs w:val="24"/>
                <w:lang w:val="en-GB"/>
              </w:rPr>
              <w:t>’ imprisonmen</w:t>
            </w:r>
            <w:r w:rsidR="003B6A35">
              <w:rPr>
                <w:rFonts w:ascii="Arial" w:eastAsia="Times New Roman" w:hAnsi="Arial" w:cs="Arial"/>
                <w:sz w:val="24"/>
                <w:szCs w:val="24"/>
                <w:lang w:val="en-GB"/>
              </w:rPr>
              <w:t>t of which 1 year is suspended on conditions.</w:t>
            </w:r>
          </w:p>
          <w:p w:rsidR="00F35EC6" w:rsidRPr="00F35EC6" w:rsidRDefault="00F35EC6" w:rsidP="00F35EC6">
            <w:pPr>
              <w:tabs>
                <w:tab w:val="left" w:pos="720"/>
                <w:tab w:val="left" w:pos="2268"/>
              </w:tabs>
              <w:spacing w:after="0" w:line="360" w:lineRule="auto"/>
              <w:jc w:val="both"/>
              <w:rPr>
                <w:rFonts w:ascii="Arial" w:eastAsia="Times New Roman" w:hAnsi="Arial" w:cs="Arial"/>
                <w:sz w:val="24"/>
                <w:szCs w:val="24"/>
                <w:lang w:val="en-GB"/>
              </w:rPr>
            </w:pPr>
          </w:p>
          <w:p w:rsidR="00CC71FF" w:rsidRDefault="00F35EC6" w:rsidP="00F35EC6">
            <w:pPr>
              <w:tabs>
                <w:tab w:val="left" w:pos="720"/>
                <w:tab w:val="left" w:pos="2268"/>
              </w:tabs>
              <w:spacing w:after="0" w:line="360" w:lineRule="auto"/>
              <w:jc w:val="both"/>
              <w:rPr>
                <w:rFonts w:ascii="Arial" w:eastAsia="Times New Roman" w:hAnsi="Arial" w:cs="Arial"/>
                <w:sz w:val="24"/>
                <w:szCs w:val="24"/>
                <w:lang w:val="en-GB"/>
              </w:rPr>
            </w:pPr>
            <w:r w:rsidRPr="00F35EC6">
              <w:rPr>
                <w:rFonts w:ascii="Arial" w:eastAsia="Times New Roman" w:hAnsi="Arial" w:cs="Arial"/>
                <w:sz w:val="24"/>
                <w:szCs w:val="24"/>
                <w:lang w:val="en-GB"/>
              </w:rPr>
              <w:t>[5]</w:t>
            </w:r>
            <w:r w:rsidRPr="00F35EC6">
              <w:rPr>
                <w:rFonts w:ascii="Arial" w:eastAsia="Times New Roman" w:hAnsi="Arial" w:cs="Arial"/>
                <w:sz w:val="24"/>
                <w:szCs w:val="24"/>
                <w:lang w:val="en-GB"/>
              </w:rPr>
              <w:tab/>
            </w:r>
            <w:r w:rsidR="001D1B2C">
              <w:rPr>
                <w:rFonts w:ascii="Arial" w:eastAsia="Times New Roman" w:hAnsi="Arial" w:cs="Arial"/>
                <w:sz w:val="24"/>
                <w:szCs w:val="24"/>
                <w:lang w:val="en-GB"/>
              </w:rPr>
              <w:t xml:space="preserve"> The reviewing judge</w:t>
            </w:r>
            <w:r w:rsidRPr="00F35EC6">
              <w:rPr>
                <w:rFonts w:ascii="Arial" w:eastAsia="Times New Roman" w:hAnsi="Arial" w:cs="Arial"/>
                <w:sz w:val="24"/>
                <w:szCs w:val="24"/>
                <w:lang w:val="en-GB"/>
              </w:rPr>
              <w:t xml:space="preserve"> queried the magistrate on w</w:t>
            </w:r>
            <w:r w:rsidR="001D1B2C">
              <w:rPr>
                <w:rFonts w:ascii="Arial" w:eastAsia="Times New Roman" w:hAnsi="Arial" w:cs="Arial"/>
                <w:sz w:val="24"/>
                <w:szCs w:val="24"/>
                <w:lang w:val="en-GB"/>
              </w:rPr>
              <w:t>hether the sentence of five (5) years</w:t>
            </w:r>
            <w:r w:rsidRPr="00F35EC6">
              <w:rPr>
                <w:rFonts w:ascii="Arial" w:eastAsia="Times New Roman" w:hAnsi="Arial" w:cs="Arial"/>
                <w:sz w:val="24"/>
                <w:szCs w:val="24"/>
                <w:lang w:val="en-GB"/>
              </w:rPr>
              <w:t>’ imprisonment is not shockingly inappropriate under the circumstances</w:t>
            </w:r>
            <w:r w:rsidR="00A27075">
              <w:rPr>
                <w:rFonts w:ascii="Arial" w:eastAsia="Times New Roman" w:hAnsi="Arial" w:cs="Arial"/>
                <w:sz w:val="24"/>
                <w:szCs w:val="24"/>
                <w:lang w:val="en-GB"/>
              </w:rPr>
              <w:t>. T</w:t>
            </w:r>
            <w:r w:rsidRPr="00F35EC6">
              <w:rPr>
                <w:rFonts w:ascii="Arial" w:eastAsia="Times New Roman" w:hAnsi="Arial" w:cs="Arial"/>
                <w:sz w:val="24"/>
                <w:szCs w:val="24"/>
                <w:lang w:val="en-GB"/>
              </w:rPr>
              <w:t>he magistrate responded</w:t>
            </w:r>
            <w:r w:rsidR="00A27075">
              <w:rPr>
                <w:rFonts w:ascii="Arial" w:eastAsia="Times New Roman" w:hAnsi="Arial" w:cs="Arial"/>
                <w:sz w:val="24"/>
                <w:szCs w:val="24"/>
                <w:lang w:val="en-GB"/>
              </w:rPr>
              <w:t xml:space="preserve"> </w:t>
            </w:r>
            <w:r w:rsidRPr="00F35EC6">
              <w:rPr>
                <w:rFonts w:ascii="Arial" w:eastAsia="Times New Roman" w:hAnsi="Arial" w:cs="Arial"/>
                <w:sz w:val="24"/>
                <w:szCs w:val="24"/>
                <w:lang w:val="en-GB"/>
              </w:rPr>
              <w:t xml:space="preserve">that he does not </w:t>
            </w:r>
            <w:r w:rsidR="001D1B2C">
              <w:rPr>
                <w:rFonts w:ascii="Arial" w:eastAsia="Times New Roman" w:hAnsi="Arial" w:cs="Arial"/>
                <w:sz w:val="24"/>
                <w:szCs w:val="24"/>
                <w:lang w:val="en-GB"/>
              </w:rPr>
              <w:t>consider the sentence to be</w:t>
            </w:r>
            <w:r w:rsidRPr="00F35EC6">
              <w:rPr>
                <w:rFonts w:ascii="Arial" w:eastAsia="Times New Roman" w:hAnsi="Arial" w:cs="Arial"/>
                <w:sz w:val="24"/>
                <w:szCs w:val="24"/>
                <w:lang w:val="en-GB"/>
              </w:rPr>
              <w:t xml:space="preserve"> shockingly </w:t>
            </w:r>
            <w:r w:rsidRPr="00F35EC6">
              <w:rPr>
                <w:rFonts w:ascii="Arial" w:eastAsia="Times New Roman" w:hAnsi="Arial" w:cs="Arial"/>
                <w:sz w:val="24"/>
                <w:szCs w:val="24"/>
                <w:lang w:val="en-GB"/>
              </w:rPr>
              <w:lastRenderedPageBreak/>
              <w:t xml:space="preserve">inappropriate because </w:t>
            </w:r>
            <w:r w:rsidR="001D1B2C">
              <w:rPr>
                <w:rFonts w:ascii="Arial" w:eastAsia="Times New Roman" w:hAnsi="Arial" w:cs="Arial"/>
                <w:sz w:val="24"/>
                <w:szCs w:val="24"/>
                <w:lang w:val="en-GB"/>
              </w:rPr>
              <w:t>it serves as deterrence</w:t>
            </w:r>
            <w:r w:rsidR="00A27075">
              <w:rPr>
                <w:rFonts w:ascii="Arial" w:eastAsia="Times New Roman" w:hAnsi="Arial" w:cs="Arial"/>
                <w:sz w:val="24"/>
                <w:szCs w:val="24"/>
                <w:lang w:val="en-GB"/>
              </w:rPr>
              <w:t xml:space="preserve"> to the accused and would-</w:t>
            </w:r>
            <w:r w:rsidR="001D1B2C">
              <w:rPr>
                <w:rFonts w:ascii="Arial" w:eastAsia="Times New Roman" w:hAnsi="Arial" w:cs="Arial"/>
                <w:sz w:val="24"/>
                <w:szCs w:val="24"/>
                <w:lang w:val="en-GB"/>
              </w:rPr>
              <w:t>be offender</w:t>
            </w:r>
            <w:r w:rsidR="004B3279">
              <w:rPr>
                <w:rFonts w:ascii="Arial" w:eastAsia="Times New Roman" w:hAnsi="Arial" w:cs="Arial"/>
                <w:sz w:val="24"/>
                <w:szCs w:val="24"/>
                <w:lang w:val="en-GB"/>
              </w:rPr>
              <w:t>s. He further reasoned that s 14 of the</w:t>
            </w:r>
            <w:r w:rsidR="001D1B2C">
              <w:rPr>
                <w:rFonts w:ascii="Arial" w:eastAsia="Times New Roman" w:hAnsi="Arial" w:cs="Arial"/>
                <w:sz w:val="24"/>
                <w:szCs w:val="24"/>
                <w:lang w:val="en-GB"/>
              </w:rPr>
              <w:t xml:space="preserve"> Stock</w:t>
            </w:r>
            <w:r w:rsidR="004B3279">
              <w:rPr>
                <w:rFonts w:ascii="Arial" w:eastAsia="Times New Roman" w:hAnsi="Arial" w:cs="Arial"/>
                <w:sz w:val="24"/>
                <w:szCs w:val="24"/>
                <w:lang w:val="en-GB"/>
              </w:rPr>
              <w:t xml:space="preserve"> Theft Act 12 of 1990</w:t>
            </w:r>
            <w:r w:rsidR="001D1B2C">
              <w:rPr>
                <w:rFonts w:ascii="Arial" w:eastAsia="Times New Roman" w:hAnsi="Arial" w:cs="Arial"/>
                <w:sz w:val="24"/>
                <w:szCs w:val="24"/>
                <w:lang w:val="en-GB"/>
              </w:rPr>
              <w:t xml:space="preserve"> sets a benchmark of two (2) years</w:t>
            </w:r>
            <w:r w:rsidR="004B3279">
              <w:rPr>
                <w:rFonts w:ascii="Arial" w:eastAsia="Times New Roman" w:hAnsi="Arial" w:cs="Arial"/>
                <w:sz w:val="24"/>
                <w:szCs w:val="24"/>
                <w:lang w:val="en-GB"/>
              </w:rPr>
              <w:t xml:space="preserve">’ </w:t>
            </w:r>
            <w:r w:rsidR="001D1B2C">
              <w:rPr>
                <w:rFonts w:ascii="Arial" w:eastAsia="Times New Roman" w:hAnsi="Arial" w:cs="Arial"/>
                <w:sz w:val="24"/>
                <w:szCs w:val="24"/>
                <w:lang w:val="en-GB"/>
              </w:rPr>
              <w:t xml:space="preserve">imprisonment without the option of a fine </w:t>
            </w:r>
            <w:r w:rsidR="00A27075">
              <w:rPr>
                <w:rFonts w:ascii="Arial" w:eastAsia="Times New Roman" w:hAnsi="Arial" w:cs="Arial"/>
                <w:sz w:val="24"/>
                <w:szCs w:val="24"/>
                <w:lang w:val="en-GB"/>
              </w:rPr>
              <w:t xml:space="preserve">where the value of the stock is less than </w:t>
            </w:r>
            <w:r w:rsidR="004B3279">
              <w:rPr>
                <w:rFonts w:ascii="Arial" w:eastAsia="Times New Roman" w:hAnsi="Arial" w:cs="Arial"/>
                <w:sz w:val="24"/>
                <w:szCs w:val="24"/>
                <w:lang w:val="en-GB"/>
              </w:rPr>
              <w:t xml:space="preserve">N$500 </w:t>
            </w:r>
            <w:r w:rsidR="00A27075">
              <w:rPr>
                <w:rFonts w:ascii="Arial" w:eastAsia="Times New Roman" w:hAnsi="Arial" w:cs="Arial"/>
                <w:sz w:val="24"/>
                <w:szCs w:val="24"/>
                <w:lang w:val="en-GB"/>
              </w:rPr>
              <w:t xml:space="preserve">and </w:t>
            </w:r>
            <w:r w:rsidR="004B3279">
              <w:rPr>
                <w:rFonts w:ascii="Arial" w:eastAsia="Times New Roman" w:hAnsi="Arial" w:cs="Arial"/>
                <w:sz w:val="24"/>
                <w:szCs w:val="24"/>
                <w:lang w:val="en-GB"/>
              </w:rPr>
              <w:t xml:space="preserve">therefore, it </w:t>
            </w:r>
            <w:r w:rsidR="00A27075">
              <w:rPr>
                <w:rFonts w:ascii="Arial" w:eastAsia="Times New Roman" w:hAnsi="Arial" w:cs="Arial"/>
                <w:sz w:val="24"/>
                <w:szCs w:val="24"/>
                <w:lang w:val="en-GB"/>
              </w:rPr>
              <w:t>follows that</w:t>
            </w:r>
            <w:r w:rsidR="004B3279">
              <w:rPr>
                <w:rFonts w:ascii="Arial" w:eastAsia="Times New Roman" w:hAnsi="Arial" w:cs="Arial"/>
                <w:sz w:val="24"/>
                <w:szCs w:val="24"/>
                <w:lang w:val="en-GB"/>
              </w:rPr>
              <w:t>,</w:t>
            </w:r>
            <w:r w:rsidR="00A27075">
              <w:rPr>
                <w:rFonts w:ascii="Arial" w:eastAsia="Times New Roman" w:hAnsi="Arial" w:cs="Arial"/>
                <w:sz w:val="24"/>
                <w:szCs w:val="24"/>
                <w:lang w:val="en-GB"/>
              </w:rPr>
              <w:t xml:space="preserve"> where the value of stolen stock is N$1000, four years’ imprisonment is justified considering the benchmark set by section 14. </w:t>
            </w:r>
          </w:p>
          <w:p w:rsidR="00CC71FF" w:rsidRDefault="00CC71FF" w:rsidP="00F35EC6">
            <w:pPr>
              <w:tabs>
                <w:tab w:val="left" w:pos="720"/>
                <w:tab w:val="left" w:pos="2268"/>
              </w:tabs>
              <w:spacing w:after="0" w:line="360" w:lineRule="auto"/>
              <w:jc w:val="both"/>
              <w:rPr>
                <w:rFonts w:ascii="Arial" w:eastAsia="Times New Roman" w:hAnsi="Arial" w:cs="Arial"/>
                <w:sz w:val="24"/>
                <w:szCs w:val="24"/>
                <w:lang w:val="en-GB"/>
              </w:rPr>
            </w:pPr>
          </w:p>
          <w:p w:rsidR="00A27075" w:rsidRDefault="007431F4" w:rsidP="00F35EC6">
            <w:pPr>
              <w:tabs>
                <w:tab w:val="left" w:pos="720"/>
                <w:tab w:val="left" w:pos="2268"/>
              </w:tabs>
              <w:spacing w:after="0" w:line="360" w:lineRule="auto"/>
              <w:jc w:val="both"/>
              <w:rPr>
                <w:rFonts w:ascii="Arial" w:eastAsia="Times New Roman" w:hAnsi="Arial" w:cs="Arial"/>
                <w:sz w:val="24"/>
                <w:szCs w:val="24"/>
                <w:lang w:val="en-GB"/>
              </w:rPr>
            </w:pPr>
            <w:r w:rsidRPr="00F35EC6">
              <w:rPr>
                <w:rFonts w:ascii="Arial" w:eastAsia="Times New Roman" w:hAnsi="Arial" w:cs="Arial"/>
                <w:sz w:val="24"/>
                <w:szCs w:val="24"/>
                <w:lang w:val="en-GB"/>
              </w:rPr>
              <w:t>[5]</w:t>
            </w:r>
            <w:r w:rsidRPr="00F35EC6">
              <w:rPr>
                <w:rFonts w:ascii="Arial" w:eastAsia="Times New Roman" w:hAnsi="Arial" w:cs="Arial"/>
                <w:sz w:val="24"/>
                <w:szCs w:val="24"/>
                <w:lang w:val="en-GB"/>
              </w:rPr>
              <w:tab/>
            </w:r>
            <w:r w:rsidR="004B3279">
              <w:rPr>
                <w:rFonts w:ascii="Arial" w:eastAsia="Times New Roman" w:hAnsi="Arial" w:cs="Arial"/>
                <w:sz w:val="24"/>
                <w:szCs w:val="24"/>
                <w:lang w:val="en-GB"/>
              </w:rPr>
              <w:t xml:space="preserve">Reference </w:t>
            </w:r>
            <w:r w:rsidR="00966AD6">
              <w:rPr>
                <w:rFonts w:ascii="Arial" w:eastAsia="Times New Roman" w:hAnsi="Arial" w:cs="Arial"/>
                <w:sz w:val="24"/>
                <w:szCs w:val="24"/>
                <w:lang w:val="en-GB"/>
              </w:rPr>
              <w:t xml:space="preserve">for comparison, </w:t>
            </w:r>
            <w:r w:rsidR="004B3279">
              <w:rPr>
                <w:rFonts w:ascii="Arial" w:eastAsia="Times New Roman" w:hAnsi="Arial" w:cs="Arial"/>
                <w:sz w:val="24"/>
                <w:szCs w:val="24"/>
                <w:lang w:val="en-GB"/>
              </w:rPr>
              <w:t xml:space="preserve">was also made by the magistrate to the </w:t>
            </w:r>
            <w:r w:rsidR="00966AD6">
              <w:rPr>
                <w:rFonts w:ascii="Arial" w:eastAsia="Times New Roman" w:hAnsi="Arial" w:cs="Arial"/>
                <w:sz w:val="24"/>
                <w:szCs w:val="24"/>
                <w:lang w:val="en-GB"/>
              </w:rPr>
              <w:t xml:space="preserve">case </w:t>
            </w:r>
            <w:r w:rsidR="00966AD6" w:rsidRPr="00CC71FF">
              <w:rPr>
                <w:rFonts w:ascii="Arial" w:eastAsia="Times New Roman" w:hAnsi="Arial" w:cs="Arial"/>
                <w:i/>
                <w:sz w:val="24"/>
                <w:szCs w:val="24"/>
                <w:lang w:val="en-GB"/>
              </w:rPr>
              <w:t>of Petrus Lwishi v The State</w:t>
            </w:r>
            <w:r w:rsidR="00FC7539">
              <w:rPr>
                <w:rStyle w:val="FootnoteReference"/>
                <w:rFonts w:ascii="Arial" w:eastAsia="Times New Roman" w:hAnsi="Arial" w:cs="Arial"/>
                <w:sz w:val="24"/>
                <w:szCs w:val="24"/>
                <w:lang w:val="en-GB"/>
              </w:rPr>
              <w:footnoteReference w:id="1"/>
            </w:r>
            <w:r w:rsidR="00FC7539">
              <w:rPr>
                <w:rFonts w:ascii="Arial" w:eastAsia="Times New Roman" w:hAnsi="Arial" w:cs="Arial"/>
                <w:i/>
                <w:sz w:val="24"/>
                <w:szCs w:val="24"/>
                <w:lang w:val="en-GB"/>
              </w:rPr>
              <w:t xml:space="preserve"> </w:t>
            </w:r>
            <w:r w:rsidR="00966AD6">
              <w:rPr>
                <w:rFonts w:ascii="Arial" w:eastAsia="Times New Roman" w:hAnsi="Arial" w:cs="Arial"/>
                <w:sz w:val="24"/>
                <w:szCs w:val="24"/>
                <w:lang w:val="en-GB"/>
              </w:rPr>
              <w:t>where the accused was sentenced to 10 years’ imprisonment for theft of stock</w:t>
            </w:r>
            <w:r w:rsidR="00CC71FF">
              <w:rPr>
                <w:rFonts w:ascii="Arial" w:eastAsia="Times New Roman" w:hAnsi="Arial" w:cs="Arial"/>
                <w:sz w:val="24"/>
                <w:szCs w:val="24"/>
                <w:lang w:val="en-GB"/>
              </w:rPr>
              <w:t xml:space="preserve"> (cattle)</w:t>
            </w:r>
            <w:r w:rsidR="00966AD6">
              <w:rPr>
                <w:rFonts w:ascii="Arial" w:eastAsia="Times New Roman" w:hAnsi="Arial" w:cs="Arial"/>
                <w:sz w:val="24"/>
                <w:szCs w:val="24"/>
                <w:lang w:val="en-GB"/>
              </w:rPr>
              <w:t xml:space="preserve"> valued at N$5400. </w:t>
            </w:r>
            <w:r w:rsidR="00CC71FF">
              <w:rPr>
                <w:rFonts w:ascii="Arial" w:eastAsia="Times New Roman" w:hAnsi="Arial" w:cs="Arial"/>
                <w:sz w:val="24"/>
                <w:szCs w:val="24"/>
                <w:lang w:val="en-GB"/>
              </w:rPr>
              <w:t xml:space="preserve">The circumstances of the case quoted is different in that the aggravating factors considered, included the manner in which and the purpose for which the cattle was stolen, namely that the accused acted cunningly when he sold the cattle to the complainant only to steal it back in order to resell that same cattle to other buyers, while slaughtering one cow for himself. </w:t>
            </w:r>
          </w:p>
          <w:p w:rsidR="00F35EC6" w:rsidRPr="00F35EC6" w:rsidRDefault="00F35EC6" w:rsidP="00F35EC6">
            <w:pPr>
              <w:tabs>
                <w:tab w:val="left" w:pos="720"/>
                <w:tab w:val="left" w:pos="2268"/>
              </w:tabs>
              <w:spacing w:after="0" w:line="360" w:lineRule="auto"/>
              <w:jc w:val="both"/>
              <w:rPr>
                <w:rFonts w:ascii="Arial" w:eastAsia="Times New Roman" w:hAnsi="Arial" w:cs="Arial"/>
                <w:sz w:val="24"/>
                <w:szCs w:val="24"/>
                <w:lang w:val="en-GB"/>
              </w:rPr>
            </w:pPr>
          </w:p>
          <w:p w:rsidR="00F35EC6" w:rsidRDefault="00F35EC6" w:rsidP="00F35EC6">
            <w:pPr>
              <w:spacing w:after="0" w:line="360" w:lineRule="auto"/>
              <w:jc w:val="both"/>
              <w:rPr>
                <w:rFonts w:ascii="Arial" w:eastAsia="Times New Roman" w:hAnsi="Arial" w:cs="Arial"/>
                <w:sz w:val="24"/>
                <w:szCs w:val="24"/>
                <w:lang w:val="en-US"/>
              </w:rPr>
            </w:pPr>
            <w:r w:rsidRPr="00F35EC6">
              <w:rPr>
                <w:rFonts w:ascii="Arial" w:eastAsia="Times New Roman" w:hAnsi="Arial" w:cs="Arial"/>
                <w:sz w:val="24"/>
                <w:szCs w:val="24"/>
                <w:lang w:val="en-GB"/>
              </w:rPr>
              <w:t>[6]</w:t>
            </w:r>
            <w:r w:rsidRPr="00F35EC6">
              <w:rPr>
                <w:rFonts w:ascii="Arial" w:eastAsia="Times New Roman" w:hAnsi="Arial" w:cs="Arial"/>
                <w:sz w:val="24"/>
                <w:szCs w:val="24"/>
                <w:lang w:val="en-GB"/>
              </w:rPr>
              <w:tab/>
              <w:t xml:space="preserve"> In</w:t>
            </w:r>
            <w:r w:rsidR="007431F4">
              <w:rPr>
                <w:rFonts w:ascii="Arial" w:eastAsia="Times New Roman" w:hAnsi="Arial" w:cs="Arial"/>
                <w:sz w:val="24"/>
                <w:szCs w:val="24"/>
                <w:lang w:val="en-GB"/>
              </w:rPr>
              <w:t xml:space="preserve"> the present matter, the accused is a first offender who pleaded guilty and the stock stolen was one goat</w:t>
            </w:r>
            <w:r w:rsidRPr="00F35EC6">
              <w:rPr>
                <w:rFonts w:ascii="Arial" w:eastAsia="Times New Roman" w:hAnsi="Arial" w:cs="Arial"/>
                <w:sz w:val="24"/>
                <w:szCs w:val="24"/>
                <w:lang w:val="en-GB"/>
              </w:rPr>
              <w:t xml:space="preserve"> </w:t>
            </w:r>
            <w:r w:rsidR="007431F4">
              <w:rPr>
                <w:rFonts w:ascii="Arial" w:eastAsia="Times New Roman" w:hAnsi="Arial" w:cs="Arial"/>
                <w:sz w:val="24"/>
                <w:szCs w:val="24"/>
                <w:lang w:val="en-GB"/>
              </w:rPr>
              <w:t xml:space="preserve">valued at N$2500. </w:t>
            </w:r>
            <w:r w:rsidR="00AA0D92">
              <w:rPr>
                <w:rFonts w:ascii="Arial" w:eastAsia="Times New Roman" w:hAnsi="Arial" w:cs="Arial"/>
                <w:sz w:val="24"/>
                <w:szCs w:val="24"/>
                <w:lang w:val="en-GB"/>
              </w:rPr>
              <w:t xml:space="preserve">In the </w:t>
            </w:r>
            <w:r w:rsidR="00AA0D92" w:rsidRPr="00266741">
              <w:rPr>
                <w:rFonts w:ascii="Arial" w:eastAsia="Times New Roman" w:hAnsi="Arial" w:cs="Arial"/>
                <w:i/>
                <w:sz w:val="24"/>
                <w:szCs w:val="24"/>
                <w:lang w:val="en-GB"/>
              </w:rPr>
              <w:t>Petrus Lwishi</w:t>
            </w:r>
            <w:r w:rsidR="00AA0D92">
              <w:rPr>
                <w:rFonts w:ascii="Arial" w:eastAsia="Times New Roman" w:hAnsi="Arial" w:cs="Arial"/>
                <w:sz w:val="24"/>
                <w:szCs w:val="24"/>
                <w:lang w:val="en-GB"/>
              </w:rPr>
              <w:t xml:space="preserve"> matter,</w:t>
            </w:r>
            <w:r w:rsidR="00220659">
              <w:rPr>
                <w:rFonts w:ascii="Arial" w:eastAsia="Times New Roman" w:hAnsi="Arial" w:cs="Arial"/>
                <w:sz w:val="24"/>
                <w:szCs w:val="24"/>
                <w:lang w:val="en-GB"/>
              </w:rPr>
              <w:t xml:space="preserve"> the court, although stating the need to impose deterrent sentences, also rehearsed the sentencing court’</w:t>
            </w:r>
            <w:r w:rsidR="00394A65">
              <w:rPr>
                <w:rFonts w:ascii="Arial" w:eastAsia="Times New Roman" w:hAnsi="Arial" w:cs="Arial"/>
                <w:sz w:val="24"/>
                <w:szCs w:val="24"/>
                <w:lang w:val="en-GB"/>
              </w:rPr>
              <w:t>s duty to consider the usual factors applicable to sentencing.</w:t>
            </w:r>
            <w:r w:rsidR="007431F4">
              <w:rPr>
                <w:rFonts w:ascii="Arial" w:eastAsia="Times New Roman" w:hAnsi="Arial" w:cs="Arial"/>
                <w:sz w:val="24"/>
                <w:szCs w:val="24"/>
                <w:lang w:val="en-US"/>
              </w:rPr>
              <w:t xml:space="preserve"> </w:t>
            </w:r>
          </w:p>
          <w:p w:rsidR="00394A65" w:rsidRDefault="00394A65" w:rsidP="00F35EC6">
            <w:pPr>
              <w:spacing w:after="0" w:line="360" w:lineRule="auto"/>
              <w:jc w:val="both"/>
              <w:rPr>
                <w:rFonts w:ascii="Arial" w:eastAsia="Times New Roman" w:hAnsi="Arial" w:cs="Arial"/>
                <w:sz w:val="24"/>
                <w:szCs w:val="24"/>
                <w:lang w:val="en-US"/>
              </w:rPr>
            </w:pPr>
          </w:p>
          <w:p w:rsidR="00394A65" w:rsidRPr="00F35EC6" w:rsidRDefault="00394A65" w:rsidP="00F35EC6">
            <w:pPr>
              <w:spacing w:after="0" w:line="360" w:lineRule="auto"/>
              <w:jc w:val="both"/>
              <w:rPr>
                <w:rFonts w:ascii="Arial" w:eastAsia="Times New Roman" w:hAnsi="Arial" w:cs="Arial"/>
                <w:sz w:val="24"/>
                <w:szCs w:val="24"/>
                <w:lang w:val="en-US"/>
              </w:rPr>
            </w:pPr>
            <w:r w:rsidRPr="00394A65">
              <w:rPr>
                <w:rFonts w:ascii="Arial" w:eastAsia="Times New Roman" w:hAnsi="Arial" w:cs="Arial"/>
                <w:sz w:val="24"/>
                <w:szCs w:val="24"/>
                <w:lang w:val="en-GB"/>
              </w:rPr>
              <w:t>[</w:t>
            </w:r>
            <w:r>
              <w:rPr>
                <w:rFonts w:ascii="Arial" w:eastAsia="Times New Roman" w:hAnsi="Arial" w:cs="Arial"/>
                <w:sz w:val="24"/>
                <w:szCs w:val="24"/>
                <w:lang w:val="en-GB"/>
              </w:rPr>
              <w:t>7</w:t>
            </w:r>
            <w:r w:rsidRPr="00394A65">
              <w:rPr>
                <w:rFonts w:ascii="Arial" w:eastAsia="Times New Roman" w:hAnsi="Arial" w:cs="Arial"/>
                <w:sz w:val="24"/>
                <w:szCs w:val="24"/>
                <w:lang w:val="en-GB"/>
              </w:rPr>
              <w:t>]</w:t>
            </w:r>
            <w:r w:rsidRPr="00394A65">
              <w:rPr>
                <w:rFonts w:ascii="Arial" w:eastAsia="Times New Roman" w:hAnsi="Arial" w:cs="Arial"/>
                <w:sz w:val="24"/>
                <w:szCs w:val="24"/>
              </w:rPr>
              <w:t xml:space="preserve"> </w:t>
            </w:r>
            <w:r w:rsidRPr="00394A65">
              <w:rPr>
                <w:rFonts w:ascii="Arial" w:eastAsia="Times New Roman" w:hAnsi="Arial" w:cs="Arial"/>
                <w:sz w:val="24"/>
                <w:szCs w:val="24"/>
                <w:lang w:val="en-GB"/>
              </w:rPr>
              <w:tab/>
              <w:t xml:space="preserve"> I</w:t>
            </w:r>
            <w:r w:rsidRPr="00394A65">
              <w:rPr>
                <w:rFonts w:ascii="Arial" w:eastAsia="Times New Roman" w:hAnsi="Arial" w:cs="Arial"/>
                <w:sz w:val="24"/>
                <w:szCs w:val="24"/>
              </w:rPr>
              <w:t>t has been held that one of the factors that may persuade a court to interfere with a sentence is where a trial court has failed to consider a m</w:t>
            </w:r>
            <w:r w:rsidR="00603EB0">
              <w:rPr>
                <w:rFonts w:ascii="Arial" w:eastAsia="Times New Roman" w:hAnsi="Arial" w:cs="Arial"/>
                <w:sz w:val="24"/>
                <w:szCs w:val="24"/>
              </w:rPr>
              <w:t>aterial fact or has overemphasis</w:t>
            </w:r>
            <w:r w:rsidRPr="00394A65">
              <w:rPr>
                <w:rFonts w:ascii="Arial" w:eastAsia="Times New Roman" w:hAnsi="Arial" w:cs="Arial"/>
                <w:sz w:val="24"/>
                <w:szCs w:val="24"/>
              </w:rPr>
              <w:t>ed the importance of one factor at the expense of another.</w:t>
            </w:r>
            <w:r w:rsidRPr="00394A65">
              <w:rPr>
                <w:rFonts w:ascii="Arial" w:eastAsia="Times New Roman" w:hAnsi="Arial" w:cs="Arial"/>
                <w:sz w:val="24"/>
                <w:szCs w:val="24"/>
                <w:vertAlign w:val="superscript"/>
              </w:rPr>
              <w:footnoteReference w:id="2"/>
            </w:r>
          </w:p>
          <w:p w:rsidR="00F35EC6" w:rsidRPr="00F35EC6" w:rsidRDefault="00F35EC6" w:rsidP="00F35EC6">
            <w:pPr>
              <w:spacing w:after="0" w:line="360" w:lineRule="auto"/>
              <w:jc w:val="both"/>
              <w:rPr>
                <w:rFonts w:ascii="Lato" w:eastAsia="Calibri" w:hAnsi="Lato" w:cs="Times New Roman"/>
                <w:color w:val="212529"/>
                <w:sz w:val="23"/>
                <w:szCs w:val="23"/>
                <w:shd w:val="clear" w:color="auto" w:fill="FFFFFF"/>
              </w:rPr>
            </w:pPr>
          </w:p>
          <w:p w:rsidR="00F35EC6" w:rsidRPr="00F35EC6" w:rsidRDefault="00F35EC6" w:rsidP="009C622F">
            <w:pPr>
              <w:spacing w:after="0" w:line="360" w:lineRule="auto"/>
              <w:jc w:val="both"/>
              <w:rPr>
                <w:rFonts w:ascii="Arial" w:eastAsia="Calibri" w:hAnsi="Arial" w:cs="Arial"/>
                <w:color w:val="212529"/>
                <w:sz w:val="24"/>
                <w:szCs w:val="24"/>
                <w:shd w:val="clear" w:color="auto" w:fill="FFFFFF"/>
                <w:lang w:val="en-GB"/>
              </w:rPr>
            </w:pPr>
            <w:r w:rsidRPr="00F35EC6">
              <w:rPr>
                <w:rFonts w:ascii="Arial" w:eastAsia="Calibri" w:hAnsi="Arial" w:cs="Arial"/>
                <w:color w:val="212529"/>
                <w:sz w:val="24"/>
                <w:szCs w:val="24"/>
                <w:shd w:val="clear" w:color="auto" w:fill="FFFFFF"/>
                <w:lang w:val="en-GB"/>
              </w:rPr>
              <w:t>[</w:t>
            </w:r>
            <w:r w:rsidR="00394A65">
              <w:rPr>
                <w:rFonts w:ascii="Arial" w:eastAsia="Calibri" w:hAnsi="Arial" w:cs="Arial"/>
                <w:color w:val="212529"/>
                <w:sz w:val="24"/>
                <w:szCs w:val="24"/>
                <w:shd w:val="clear" w:color="auto" w:fill="FFFFFF"/>
                <w:lang w:val="en-GB"/>
              </w:rPr>
              <w:t>8</w:t>
            </w:r>
            <w:r w:rsidRPr="00F35EC6">
              <w:rPr>
                <w:rFonts w:ascii="Arial" w:eastAsia="Calibri" w:hAnsi="Arial" w:cs="Arial"/>
                <w:color w:val="212529"/>
                <w:sz w:val="24"/>
                <w:szCs w:val="24"/>
                <w:shd w:val="clear" w:color="auto" w:fill="FFFFFF"/>
                <w:lang w:val="en-GB"/>
              </w:rPr>
              <w:t>]</w:t>
            </w:r>
            <w:r w:rsidRPr="00F35EC6">
              <w:rPr>
                <w:rFonts w:ascii="Arial" w:eastAsia="Calibri" w:hAnsi="Arial" w:cs="Arial"/>
                <w:color w:val="212529"/>
                <w:sz w:val="24"/>
                <w:szCs w:val="24"/>
                <w:shd w:val="clear" w:color="auto" w:fill="FFFFFF"/>
              </w:rPr>
              <w:t xml:space="preserve"> </w:t>
            </w:r>
            <w:r w:rsidRPr="00F35EC6">
              <w:rPr>
                <w:rFonts w:ascii="Arial" w:eastAsia="Calibri" w:hAnsi="Arial" w:cs="Arial"/>
                <w:color w:val="212529"/>
                <w:sz w:val="24"/>
                <w:szCs w:val="24"/>
                <w:shd w:val="clear" w:color="auto" w:fill="FFFFFF"/>
                <w:lang w:val="en-GB"/>
              </w:rPr>
              <w:tab/>
              <w:t xml:space="preserve"> </w:t>
            </w:r>
            <w:r w:rsidR="00364766">
              <w:rPr>
                <w:rFonts w:ascii="Arial" w:eastAsia="Calibri" w:hAnsi="Arial" w:cs="Arial"/>
                <w:color w:val="212529"/>
                <w:sz w:val="24"/>
                <w:szCs w:val="24"/>
                <w:shd w:val="clear" w:color="auto" w:fill="FFFFFF"/>
                <w:lang w:val="en-GB"/>
              </w:rPr>
              <w:t>It</w:t>
            </w:r>
            <w:r w:rsidRPr="00F35EC6">
              <w:rPr>
                <w:rFonts w:ascii="Arial" w:eastAsia="Calibri" w:hAnsi="Arial" w:cs="Arial"/>
                <w:color w:val="212529"/>
                <w:sz w:val="24"/>
                <w:szCs w:val="24"/>
                <w:shd w:val="clear" w:color="auto" w:fill="FFFFFF"/>
                <w:lang w:val="en-GB"/>
              </w:rPr>
              <w:t xml:space="preserve"> </w:t>
            </w:r>
            <w:r w:rsidR="00364766">
              <w:rPr>
                <w:rFonts w:ascii="Arial" w:eastAsia="Calibri" w:hAnsi="Arial" w:cs="Arial"/>
                <w:color w:val="212529"/>
                <w:sz w:val="24"/>
                <w:szCs w:val="24"/>
                <w:shd w:val="clear" w:color="auto" w:fill="FFFFFF"/>
                <w:lang w:val="en-GB"/>
              </w:rPr>
              <w:t xml:space="preserve">is apparent </w:t>
            </w:r>
            <w:r w:rsidRPr="00F35EC6">
              <w:rPr>
                <w:rFonts w:ascii="Arial" w:eastAsia="Calibri" w:hAnsi="Arial" w:cs="Arial"/>
                <w:color w:val="212529"/>
                <w:sz w:val="24"/>
                <w:szCs w:val="24"/>
                <w:shd w:val="clear" w:color="auto" w:fill="FFFFFF"/>
                <w:lang w:val="en-GB"/>
              </w:rPr>
              <w:t>from the mag</w:t>
            </w:r>
            <w:r w:rsidR="00364766">
              <w:rPr>
                <w:rFonts w:ascii="Arial" w:eastAsia="Calibri" w:hAnsi="Arial" w:cs="Arial"/>
                <w:color w:val="212529"/>
                <w:sz w:val="24"/>
                <w:szCs w:val="24"/>
                <w:shd w:val="clear" w:color="auto" w:fill="FFFFFF"/>
                <w:lang w:val="en-GB"/>
              </w:rPr>
              <w:t>istrate’s response to the query that,</w:t>
            </w:r>
            <w:r w:rsidRPr="00F35EC6">
              <w:rPr>
                <w:rFonts w:ascii="Arial" w:eastAsia="Calibri" w:hAnsi="Arial" w:cs="Arial"/>
                <w:color w:val="212529"/>
                <w:sz w:val="24"/>
                <w:szCs w:val="24"/>
                <w:shd w:val="clear" w:color="auto" w:fill="FFFFFF"/>
                <w:lang w:val="en-GB"/>
              </w:rPr>
              <w:t xml:space="preserve"> the magistrate in imposing t</w:t>
            </w:r>
            <w:r w:rsidR="00364766">
              <w:rPr>
                <w:rFonts w:ascii="Arial" w:eastAsia="Calibri" w:hAnsi="Arial" w:cs="Arial"/>
                <w:color w:val="212529"/>
                <w:sz w:val="24"/>
                <w:szCs w:val="24"/>
                <w:shd w:val="clear" w:color="auto" w:fill="FFFFFF"/>
                <w:lang w:val="en-GB"/>
              </w:rPr>
              <w:t>he sentence, took a rigid approach in interpreting</w:t>
            </w:r>
            <w:r w:rsidR="00220659">
              <w:rPr>
                <w:rFonts w:ascii="Arial" w:eastAsia="Calibri" w:hAnsi="Arial" w:cs="Arial"/>
                <w:color w:val="212529"/>
                <w:sz w:val="24"/>
                <w:szCs w:val="24"/>
                <w:shd w:val="clear" w:color="auto" w:fill="FFFFFF"/>
                <w:lang w:val="en-GB"/>
              </w:rPr>
              <w:t xml:space="preserve"> s</w:t>
            </w:r>
            <w:r w:rsidR="00364766">
              <w:rPr>
                <w:rFonts w:ascii="Arial" w:eastAsia="Calibri" w:hAnsi="Arial" w:cs="Arial"/>
                <w:color w:val="212529"/>
                <w:sz w:val="24"/>
                <w:szCs w:val="24"/>
                <w:shd w:val="clear" w:color="auto" w:fill="FFFFFF"/>
                <w:lang w:val="en-GB"/>
              </w:rPr>
              <w:t xml:space="preserve"> 14 of the Stock Theft Act</w:t>
            </w:r>
            <w:r w:rsidR="00220659">
              <w:rPr>
                <w:rFonts w:ascii="Arial" w:eastAsia="Calibri" w:hAnsi="Arial" w:cs="Arial"/>
                <w:color w:val="212529"/>
                <w:sz w:val="24"/>
                <w:szCs w:val="24"/>
                <w:shd w:val="clear" w:color="auto" w:fill="FFFFFF"/>
                <w:lang w:val="en-GB"/>
              </w:rPr>
              <w:t xml:space="preserve">, thereby overemphasising the crime. The magistrate also accorded too little weight, if any, to the personal circumstances of the accused. </w:t>
            </w:r>
          </w:p>
          <w:p w:rsidR="00F35EC6" w:rsidRPr="00F35EC6" w:rsidRDefault="00F35EC6" w:rsidP="00F35EC6">
            <w:pPr>
              <w:tabs>
                <w:tab w:val="left" w:pos="720"/>
                <w:tab w:val="left" w:pos="2268"/>
              </w:tabs>
              <w:spacing w:after="0" w:line="360" w:lineRule="auto"/>
              <w:jc w:val="both"/>
              <w:rPr>
                <w:rFonts w:ascii="Arial" w:eastAsia="Times New Roman" w:hAnsi="Arial" w:cs="Arial"/>
                <w:sz w:val="24"/>
                <w:szCs w:val="24"/>
                <w:lang w:val="en-GB"/>
              </w:rPr>
            </w:pPr>
          </w:p>
          <w:p w:rsidR="00F35EC6" w:rsidRDefault="00F35EC6" w:rsidP="00F35EC6">
            <w:pPr>
              <w:tabs>
                <w:tab w:val="left" w:pos="720"/>
                <w:tab w:val="left" w:pos="2268"/>
              </w:tabs>
              <w:spacing w:after="0" w:line="360" w:lineRule="auto"/>
              <w:jc w:val="both"/>
              <w:rPr>
                <w:rFonts w:ascii="Arial" w:eastAsia="Times New Roman" w:hAnsi="Arial" w:cs="Arial"/>
                <w:sz w:val="24"/>
                <w:szCs w:val="24"/>
                <w:lang w:val="en-GB"/>
              </w:rPr>
            </w:pPr>
            <w:r w:rsidRPr="00F35EC6">
              <w:rPr>
                <w:rFonts w:ascii="Arial" w:eastAsia="Times New Roman" w:hAnsi="Arial" w:cs="Arial"/>
                <w:sz w:val="24"/>
                <w:szCs w:val="24"/>
                <w:lang w:val="en-GB"/>
              </w:rPr>
              <w:lastRenderedPageBreak/>
              <w:t>[</w:t>
            </w:r>
            <w:r w:rsidR="009C622F">
              <w:rPr>
                <w:rFonts w:ascii="Arial" w:eastAsia="Times New Roman" w:hAnsi="Arial" w:cs="Arial"/>
                <w:sz w:val="24"/>
                <w:szCs w:val="24"/>
                <w:lang w:val="en-GB"/>
              </w:rPr>
              <w:t>9</w:t>
            </w:r>
            <w:r w:rsidRPr="00F35EC6">
              <w:rPr>
                <w:rFonts w:ascii="Arial" w:eastAsia="Times New Roman" w:hAnsi="Arial" w:cs="Arial"/>
                <w:sz w:val="24"/>
                <w:szCs w:val="24"/>
                <w:lang w:val="en-GB"/>
              </w:rPr>
              <w:t>]</w:t>
            </w:r>
            <w:r w:rsidRPr="00F35EC6">
              <w:rPr>
                <w:rFonts w:ascii="Calibri" w:eastAsia="Calibri" w:hAnsi="Calibri" w:cs="Times New Roman"/>
              </w:rPr>
              <w:t xml:space="preserve"> </w:t>
            </w:r>
            <w:r w:rsidRPr="00F35EC6">
              <w:rPr>
                <w:rFonts w:ascii="Arial" w:eastAsia="Times New Roman" w:hAnsi="Arial" w:cs="Arial"/>
                <w:sz w:val="24"/>
                <w:szCs w:val="24"/>
                <w:lang w:val="en-GB"/>
              </w:rPr>
              <w:tab/>
              <w:t>Considering</w:t>
            </w:r>
            <w:r w:rsidR="00394A65">
              <w:rPr>
                <w:rFonts w:ascii="Arial" w:eastAsia="Times New Roman" w:hAnsi="Arial" w:cs="Arial"/>
                <w:sz w:val="24"/>
                <w:szCs w:val="24"/>
                <w:lang w:val="en-GB"/>
              </w:rPr>
              <w:t xml:space="preserve"> the above,</w:t>
            </w:r>
            <w:r w:rsidRPr="00F35EC6">
              <w:rPr>
                <w:rFonts w:ascii="Arial" w:eastAsia="Times New Roman" w:hAnsi="Arial" w:cs="Arial"/>
                <w:sz w:val="24"/>
                <w:szCs w:val="24"/>
                <w:lang w:val="en-GB"/>
              </w:rPr>
              <w:t xml:space="preserve"> this court is of the opinion that the punishment is harsh and shockingly inappropriate b</w:t>
            </w:r>
            <w:r w:rsidR="009C622F">
              <w:rPr>
                <w:rFonts w:ascii="Arial" w:eastAsia="Times New Roman" w:hAnsi="Arial" w:cs="Arial"/>
                <w:sz w:val="24"/>
                <w:szCs w:val="24"/>
                <w:lang w:val="en-GB"/>
              </w:rPr>
              <w:t>ecause it does not fit the criminal nor the crime</w:t>
            </w:r>
            <w:r w:rsidRPr="00F35EC6">
              <w:rPr>
                <w:rFonts w:ascii="Arial" w:eastAsia="Times New Roman" w:hAnsi="Arial" w:cs="Arial"/>
                <w:sz w:val="24"/>
                <w:szCs w:val="24"/>
                <w:lang w:val="en-GB"/>
              </w:rPr>
              <w:t>.</w:t>
            </w:r>
            <w:r w:rsidR="000B6836">
              <w:rPr>
                <w:rFonts w:ascii="Arial" w:eastAsia="Times New Roman" w:hAnsi="Arial" w:cs="Arial"/>
                <w:sz w:val="24"/>
                <w:szCs w:val="24"/>
                <w:lang w:val="en-GB"/>
              </w:rPr>
              <w:t xml:space="preserve"> The sentence is thus, not in accordance with justice and falls to be set aside.</w:t>
            </w:r>
          </w:p>
          <w:p w:rsidR="009C622F" w:rsidRDefault="009C622F" w:rsidP="00F35EC6">
            <w:pPr>
              <w:tabs>
                <w:tab w:val="left" w:pos="720"/>
                <w:tab w:val="left" w:pos="2268"/>
              </w:tabs>
              <w:spacing w:after="0" w:line="360" w:lineRule="auto"/>
              <w:jc w:val="both"/>
              <w:rPr>
                <w:rFonts w:ascii="Arial" w:eastAsia="Times New Roman" w:hAnsi="Arial" w:cs="Arial"/>
                <w:sz w:val="24"/>
                <w:szCs w:val="24"/>
                <w:lang w:val="en-GB"/>
              </w:rPr>
            </w:pPr>
          </w:p>
          <w:p w:rsidR="00F35EC6" w:rsidRPr="00F35EC6" w:rsidRDefault="009C622F" w:rsidP="00F35EC6">
            <w:pPr>
              <w:tabs>
                <w:tab w:val="left" w:pos="720"/>
                <w:tab w:val="left" w:pos="2268"/>
              </w:tabs>
              <w:spacing w:after="0" w:line="360" w:lineRule="auto"/>
              <w:jc w:val="both"/>
              <w:rPr>
                <w:rFonts w:ascii="Arial" w:eastAsia="Times New Roman" w:hAnsi="Arial" w:cs="Arial"/>
                <w:sz w:val="24"/>
                <w:szCs w:val="24"/>
                <w:lang w:val="en-GB"/>
              </w:rPr>
            </w:pPr>
            <w:r w:rsidRPr="009C622F">
              <w:rPr>
                <w:rFonts w:ascii="Arial" w:eastAsia="Times New Roman" w:hAnsi="Arial" w:cs="Arial"/>
                <w:sz w:val="24"/>
                <w:szCs w:val="24"/>
                <w:lang w:val="en-GB"/>
              </w:rPr>
              <w:t>[</w:t>
            </w:r>
            <w:r w:rsidR="000B6836">
              <w:rPr>
                <w:rFonts w:ascii="Arial" w:eastAsia="Times New Roman" w:hAnsi="Arial" w:cs="Arial"/>
                <w:sz w:val="24"/>
                <w:szCs w:val="24"/>
                <w:lang w:val="en-GB"/>
              </w:rPr>
              <w:t>10</w:t>
            </w:r>
            <w:r w:rsidRPr="009C622F">
              <w:rPr>
                <w:rFonts w:ascii="Arial" w:eastAsia="Times New Roman" w:hAnsi="Arial" w:cs="Arial"/>
                <w:sz w:val="24"/>
                <w:szCs w:val="24"/>
                <w:lang w:val="en-GB"/>
              </w:rPr>
              <w:t>]</w:t>
            </w:r>
            <w:r w:rsidRPr="009C622F">
              <w:rPr>
                <w:rFonts w:ascii="Arial" w:eastAsia="Times New Roman" w:hAnsi="Arial" w:cs="Arial"/>
                <w:sz w:val="24"/>
                <w:szCs w:val="24"/>
              </w:rPr>
              <w:t xml:space="preserve"> </w:t>
            </w:r>
            <w:r w:rsidRPr="009C622F">
              <w:rPr>
                <w:rFonts w:ascii="Arial" w:eastAsia="Times New Roman" w:hAnsi="Arial" w:cs="Arial"/>
                <w:sz w:val="24"/>
                <w:szCs w:val="24"/>
                <w:lang w:val="en-GB"/>
              </w:rPr>
              <w:tab/>
            </w:r>
            <w:r w:rsidR="000B6836">
              <w:rPr>
                <w:rFonts w:ascii="Arial" w:eastAsia="Times New Roman" w:hAnsi="Arial" w:cs="Arial"/>
                <w:sz w:val="24"/>
                <w:szCs w:val="24"/>
                <w:lang w:val="en-GB"/>
              </w:rPr>
              <w:t>In addition, a</w:t>
            </w:r>
            <w:r>
              <w:rPr>
                <w:rFonts w:ascii="Arial" w:eastAsia="Times New Roman" w:hAnsi="Arial" w:cs="Arial"/>
                <w:sz w:val="24"/>
                <w:szCs w:val="24"/>
                <w:lang w:val="en-GB"/>
              </w:rPr>
              <w:t>lthough not queried, this court takes note that the amended review cover sheet, as well as the charge sheet</w:t>
            </w:r>
            <w:r w:rsidR="000B6836">
              <w:rPr>
                <w:rFonts w:ascii="Arial" w:eastAsia="Times New Roman" w:hAnsi="Arial" w:cs="Arial"/>
                <w:sz w:val="24"/>
                <w:szCs w:val="24"/>
                <w:lang w:val="en-GB"/>
              </w:rPr>
              <w:t xml:space="preserve"> of record</w:t>
            </w:r>
            <w:r>
              <w:rPr>
                <w:rFonts w:ascii="Arial" w:eastAsia="Times New Roman" w:hAnsi="Arial" w:cs="Arial"/>
                <w:sz w:val="24"/>
                <w:szCs w:val="24"/>
                <w:lang w:val="en-GB"/>
              </w:rPr>
              <w:t xml:space="preserve"> reflect that the accused was charged with and convicted of</w:t>
            </w:r>
            <w:r w:rsidR="000B6836">
              <w:rPr>
                <w:rFonts w:ascii="Arial" w:eastAsia="Times New Roman" w:hAnsi="Arial" w:cs="Arial"/>
                <w:sz w:val="24"/>
                <w:szCs w:val="24"/>
                <w:lang w:val="en-GB"/>
              </w:rPr>
              <w:t>,</w:t>
            </w:r>
            <w:r>
              <w:rPr>
                <w:rFonts w:ascii="Arial" w:eastAsia="Times New Roman" w:hAnsi="Arial" w:cs="Arial"/>
                <w:sz w:val="24"/>
                <w:szCs w:val="24"/>
                <w:lang w:val="en-GB"/>
              </w:rPr>
              <w:t xml:space="preserve"> s</w:t>
            </w:r>
            <w:r w:rsidR="000B6836">
              <w:rPr>
                <w:rFonts w:ascii="Arial" w:eastAsia="Times New Roman" w:hAnsi="Arial" w:cs="Arial"/>
                <w:sz w:val="24"/>
                <w:szCs w:val="24"/>
                <w:lang w:val="en-GB"/>
              </w:rPr>
              <w:t>tock theft with common purpose. T</w:t>
            </w:r>
            <w:r>
              <w:rPr>
                <w:rFonts w:ascii="Arial" w:eastAsia="Times New Roman" w:hAnsi="Arial" w:cs="Arial"/>
                <w:sz w:val="24"/>
                <w:szCs w:val="24"/>
                <w:lang w:val="en-GB"/>
              </w:rPr>
              <w:t xml:space="preserve">he accused was </w:t>
            </w:r>
            <w:r w:rsidR="000B6836">
              <w:rPr>
                <w:rFonts w:ascii="Arial" w:eastAsia="Times New Roman" w:hAnsi="Arial" w:cs="Arial"/>
                <w:sz w:val="24"/>
                <w:szCs w:val="24"/>
                <w:lang w:val="en-GB"/>
              </w:rPr>
              <w:t xml:space="preserve">the only person charged, therefore, the conviction ought to be amended to stock theft only. </w:t>
            </w:r>
          </w:p>
          <w:p w:rsidR="00F35EC6" w:rsidRPr="00F35EC6" w:rsidRDefault="00F35EC6" w:rsidP="00F35EC6">
            <w:pPr>
              <w:tabs>
                <w:tab w:val="left" w:pos="720"/>
                <w:tab w:val="left" w:pos="2268"/>
              </w:tabs>
              <w:spacing w:after="0" w:line="360" w:lineRule="auto"/>
              <w:jc w:val="both"/>
              <w:rPr>
                <w:rFonts w:ascii="Arial" w:eastAsia="Times New Roman" w:hAnsi="Arial" w:cs="Arial"/>
                <w:sz w:val="24"/>
                <w:szCs w:val="24"/>
                <w:lang w:val="en-GB"/>
              </w:rPr>
            </w:pPr>
          </w:p>
          <w:p w:rsidR="00F35EC6" w:rsidRPr="00F35EC6" w:rsidRDefault="00F35EC6" w:rsidP="00F35EC6">
            <w:pPr>
              <w:tabs>
                <w:tab w:val="left" w:pos="720"/>
                <w:tab w:val="left" w:pos="2268"/>
              </w:tabs>
              <w:spacing w:after="0" w:line="360" w:lineRule="auto"/>
              <w:jc w:val="both"/>
              <w:rPr>
                <w:rFonts w:ascii="Arial" w:eastAsia="Times New Roman" w:hAnsi="Arial" w:cs="Arial"/>
                <w:sz w:val="24"/>
                <w:szCs w:val="24"/>
                <w:lang w:val="en-GB"/>
              </w:rPr>
            </w:pPr>
            <w:r w:rsidRPr="00F35EC6">
              <w:rPr>
                <w:rFonts w:ascii="Arial" w:eastAsia="Times New Roman" w:hAnsi="Arial" w:cs="Arial"/>
                <w:sz w:val="24"/>
                <w:szCs w:val="24"/>
                <w:lang w:val="en-GB"/>
              </w:rPr>
              <w:t>[1</w:t>
            </w:r>
            <w:r w:rsidR="00C8227E">
              <w:rPr>
                <w:rFonts w:ascii="Arial" w:eastAsia="Times New Roman" w:hAnsi="Arial" w:cs="Arial"/>
                <w:sz w:val="24"/>
                <w:szCs w:val="24"/>
                <w:lang w:val="en-GB"/>
              </w:rPr>
              <w:t>1</w:t>
            </w:r>
            <w:r w:rsidRPr="00F35EC6">
              <w:rPr>
                <w:rFonts w:ascii="Arial" w:eastAsia="Times New Roman" w:hAnsi="Arial" w:cs="Arial"/>
                <w:sz w:val="24"/>
                <w:szCs w:val="24"/>
                <w:lang w:val="en-GB"/>
              </w:rPr>
              <w:t>]</w:t>
            </w:r>
            <w:r w:rsidRPr="00F35EC6">
              <w:rPr>
                <w:rFonts w:ascii="Arial" w:eastAsia="Times New Roman" w:hAnsi="Arial" w:cs="Arial"/>
                <w:sz w:val="24"/>
                <w:szCs w:val="24"/>
                <w:lang w:val="en-GB"/>
              </w:rPr>
              <w:tab/>
              <w:t>In the result, it is ordered:</w:t>
            </w:r>
          </w:p>
          <w:p w:rsidR="00F35EC6" w:rsidRPr="00F35EC6" w:rsidRDefault="00F35EC6" w:rsidP="00F35EC6">
            <w:pPr>
              <w:tabs>
                <w:tab w:val="left" w:pos="720"/>
                <w:tab w:val="left" w:pos="2268"/>
              </w:tabs>
              <w:spacing w:after="0" w:line="360" w:lineRule="auto"/>
              <w:jc w:val="both"/>
              <w:rPr>
                <w:rFonts w:ascii="Arial" w:eastAsia="Times New Roman" w:hAnsi="Arial" w:cs="Arial"/>
                <w:sz w:val="24"/>
                <w:szCs w:val="24"/>
                <w:lang w:val="en-GB"/>
              </w:rPr>
            </w:pPr>
          </w:p>
          <w:p w:rsidR="000B6836" w:rsidRDefault="00F35EC6" w:rsidP="00F35EC6">
            <w:pPr>
              <w:numPr>
                <w:ilvl w:val="0"/>
                <w:numId w:val="1"/>
              </w:numPr>
              <w:spacing w:after="0" w:line="360" w:lineRule="auto"/>
              <w:jc w:val="both"/>
              <w:rPr>
                <w:rFonts w:ascii="Arial" w:eastAsia="Calibri" w:hAnsi="Arial" w:cs="Arial"/>
                <w:sz w:val="24"/>
                <w:szCs w:val="24"/>
              </w:rPr>
            </w:pPr>
            <w:r w:rsidRPr="00F35EC6">
              <w:rPr>
                <w:rFonts w:ascii="Arial" w:eastAsia="Calibri" w:hAnsi="Arial" w:cs="Arial"/>
                <w:sz w:val="24"/>
                <w:szCs w:val="24"/>
              </w:rPr>
              <w:t>The conviction</w:t>
            </w:r>
            <w:r w:rsidR="007F78E5">
              <w:rPr>
                <w:rFonts w:ascii="Arial" w:eastAsia="Calibri" w:hAnsi="Arial" w:cs="Arial"/>
                <w:sz w:val="24"/>
                <w:szCs w:val="24"/>
              </w:rPr>
              <w:t xml:space="preserve"> on stock theft</w:t>
            </w:r>
            <w:r w:rsidRPr="00F35EC6">
              <w:rPr>
                <w:rFonts w:ascii="Arial" w:eastAsia="Calibri" w:hAnsi="Arial" w:cs="Arial"/>
                <w:sz w:val="24"/>
                <w:szCs w:val="24"/>
              </w:rPr>
              <w:t xml:space="preserve"> is confirmed</w:t>
            </w:r>
            <w:r w:rsidR="000B6836">
              <w:rPr>
                <w:rFonts w:ascii="Arial" w:eastAsia="Calibri" w:hAnsi="Arial" w:cs="Arial"/>
                <w:sz w:val="24"/>
                <w:szCs w:val="24"/>
              </w:rPr>
              <w:t>.</w:t>
            </w:r>
          </w:p>
          <w:p w:rsidR="00F35EC6" w:rsidRPr="00F35EC6" w:rsidRDefault="000B6836" w:rsidP="00F35EC6">
            <w:pPr>
              <w:numPr>
                <w:ilvl w:val="0"/>
                <w:numId w:val="1"/>
              </w:numPr>
              <w:spacing w:after="0" w:line="360" w:lineRule="auto"/>
              <w:jc w:val="both"/>
              <w:rPr>
                <w:rFonts w:ascii="Arial" w:eastAsia="Calibri" w:hAnsi="Arial" w:cs="Arial"/>
                <w:sz w:val="24"/>
                <w:szCs w:val="24"/>
              </w:rPr>
            </w:pPr>
            <w:r>
              <w:rPr>
                <w:rFonts w:ascii="Arial" w:eastAsia="Calibri" w:hAnsi="Arial" w:cs="Arial"/>
                <w:sz w:val="24"/>
                <w:szCs w:val="24"/>
              </w:rPr>
              <w:t>The phrase ‘</w:t>
            </w:r>
            <w:r w:rsidR="00C8227E">
              <w:rPr>
                <w:rFonts w:ascii="Arial" w:eastAsia="Calibri" w:hAnsi="Arial" w:cs="Arial"/>
                <w:sz w:val="24"/>
                <w:szCs w:val="24"/>
              </w:rPr>
              <w:t xml:space="preserve">with </w:t>
            </w:r>
            <w:r>
              <w:rPr>
                <w:rFonts w:ascii="Arial" w:eastAsia="Calibri" w:hAnsi="Arial" w:cs="Arial"/>
                <w:sz w:val="24"/>
                <w:szCs w:val="24"/>
              </w:rPr>
              <w:t>common purpose’</w:t>
            </w:r>
            <w:r w:rsidR="00C8227E">
              <w:rPr>
                <w:rFonts w:ascii="Arial" w:eastAsia="Calibri" w:hAnsi="Arial" w:cs="Arial"/>
                <w:sz w:val="24"/>
                <w:szCs w:val="24"/>
              </w:rPr>
              <w:t xml:space="preserve"> is deleted from the conviction</w:t>
            </w:r>
            <w:r w:rsidR="00F35EC6" w:rsidRPr="00F35EC6">
              <w:rPr>
                <w:rFonts w:ascii="Arial" w:eastAsia="Calibri" w:hAnsi="Arial" w:cs="Arial"/>
                <w:sz w:val="24"/>
                <w:szCs w:val="24"/>
              </w:rPr>
              <w:t>.</w:t>
            </w:r>
          </w:p>
          <w:p w:rsidR="00F35EC6" w:rsidRPr="00F35EC6" w:rsidRDefault="00F35EC6" w:rsidP="00F35EC6">
            <w:pPr>
              <w:numPr>
                <w:ilvl w:val="0"/>
                <w:numId w:val="1"/>
              </w:numPr>
              <w:spacing w:after="0" w:line="360" w:lineRule="auto"/>
              <w:jc w:val="both"/>
              <w:rPr>
                <w:rFonts w:ascii="Arial" w:eastAsia="Calibri" w:hAnsi="Arial" w:cs="Arial"/>
                <w:sz w:val="24"/>
                <w:szCs w:val="24"/>
              </w:rPr>
            </w:pPr>
            <w:r w:rsidRPr="00F35EC6">
              <w:rPr>
                <w:rFonts w:ascii="Arial" w:eastAsia="Calibri" w:hAnsi="Arial" w:cs="Arial"/>
                <w:sz w:val="24"/>
                <w:szCs w:val="24"/>
              </w:rPr>
              <w:t xml:space="preserve">The sentence </w:t>
            </w:r>
            <w:r w:rsidR="000B6836">
              <w:rPr>
                <w:rFonts w:ascii="Arial" w:eastAsia="Calibri" w:hAnsi="Arial" w:cs="Arial"/>
                <w:sz w:val="24"/>
                <w:szCs w:val="24"/>
              </w:rPr>
              <w:t>of four (4)</w:t>
            </w:r>
            <w:r w:rsidR="00C8227E">
              <w:rPr>
                <w:rFonts w:ascii="Arial" w:eastAsia="Calibri" w:hAnsi="Arial" w:cs="Arial"/>
                <w:sz w:val="24"/>
                <w:szCs w:val="24"/>
              </w:rPr>
              <w:t xml:space="preserve"> years </w:t>
            </w:r>
            <w:r w:rsidRPr="00F35EC6">
              <w:rPr>
                <w:rFonts w:ascii="Arial" w:eastAsia="Calibri" w:hAnsi="Arial" w:cs="Arial"/>
                <w:sz w:val="24"/>
                <w:szCs w:val="24"/>
              </w:rPr>
              <w:t xml:space="preserve">is set aside and substituted with the following: </w:t>
            </w:r>
            <w:r w:rsidR="000B6836">
              <w:rPr>
                <w:rFonts w:ascii="Arial" w:eastAsia="Calibri" w:hAnsi="Arial" w:cs="Arial"/>
                <w:sz w:val="24"/>
                <w:szCs w:val="24"/>
              </w:rPr>
              <w:t>30</w:t>
            </w:r>
            <w:r w:rsidRPr="00F35EC6">
              <w:rPr>
                <w:rFonts w:ascii="Arial" w:eastAsia="Calibri" w:hAnsi="Arial" w:cs="Arial"/>
                <w:sz w:val="24"/>
                <w:szCs w:val="24"/>
              </w:rPr>
              <w:t xml:space="preserve"> months’ imprisonment</w:t>
            </w:r>
            <w:r w:rsidR="00C8227E">
              <w:rPr>
                <w:rFonts w:ascii="Arial" w:eastAsia="Calibri" w:hAnsi="Arial" w:cs="Arial"/>
                <w:sz w:val="24"/>
                <w:szCs w:val="24"/>
              </w:rPr>
              <w:t xml:space="preserve"> of which six (6) months are suspended for</w:t>
            </w:r>
            <w:r w:rsidR="00FC7539">
              <w:rPr>
                <w:rFonts w:ascii="Arial" w:eastAsia="Calibri" w:hAnsi="Arial" w:cs="Arial"/>
                <w:sz w:val="24"/>
                <w:szCs w:val="24"/>
              </w:rPr>
              <w:t xml:space="preserve"> a period of</w:t>
            </w:r>
            <w:r w:rsidR="00C8227E">
              <w:rPr>
                <w:rFonts w:ascii="Arial" w:eastAsia="Calibri" w:hAnsi="Arial" w:cs="Arial"/>
                <w:sz w:val="24"/>
                <w:szCs w:val="24"/>
              </w:rPr>
              <w:t xml:space="preserve"> five (5) years on condition that the accused is not convicted of stock theft read with the provisions of the Stock Theft Act 12 of 1990 as amended</w:t>
            </w:r>
            <w:r w:rsidR="00FC7539">
              <w:rPr>
                <w:rFonts w:ascii="Arial" w:eastAsia="Calibri" w:hAnsi="Arial" w:cs="Arial"/>
                <w:sz w:val="24"/>
                <w:szCs w:val="24"/>
              </w:rPr>
              <w:t>, committed during the period of suspension</w:t>
            </w:r>
            <w:r w:rsidRPr="00F35EC6">
              <w:rPr>
                <w:rFonts w:ascii="Arial" w:eastAsia="Calibri" w:hAnsi="Arial" w:cs="Arial"/>
                <w:sz w:val="24"/>
                <w:szCs w:val="24"/>
              </w:rPr>
              <w:t>.</w:t>
            </w:r>
          </w:p>
          <w:p w:rsidR="00F35EC6" w:rsidRPr="00F35EC6" w:rsidRDefault="00C8227E" w:rsidP="00F35EC6">
            <w:pPr>
              <w:numPr>
                <w:ilvl w:val="0"/>
                <w:numId w:val="1"/>
              </w:numPr>
              <w:spacing w:after="0" w:line="360" w:lineRule="auto"/>
              <w:jc w:val="both"/>
              <w:rPr>
                <w:rFonts w:ascii="Arial" w:eastAsia="Calibri" w:hAnsi="Arial" w:cs="Arial"/>
                <w:sz w:val="24"/>
                <w:szCs w:val="24"/>
              </w:rPr>
            </w:pPr>
            <w:r>
              <w:rPr>
                <w:rFonts w:ascii="Arial" w:eastAsia="Calibri" w:hAnsi="Arial" w:cs="Arial"/>
                <w:sz w:val="24"/>
                <w:szCs w:val="24"/>
              </w:rPr>
              <w:t>The sentence is backdated to 23 August</w:t>
            </w:r>
            <w:r w:rsidR="00F35EC6" w:rsidRPr="00F35EC6">
              <w:rPr>
                <w:rFonts w:ascii="Arial" w:eastAsia="Calibri" w:hAnsi="Arial" w:cs="Arial"/>
                <w:sz w:val="24"/>
                <w:szCs w:val="24"/>
              </w:rPr>
              <w:t xml:space="preserve"> 2023.</w:t>
            </w:r>
          </w:p>
          <w:p w:rsidR="00F35EC6" w:rsidRPr="00F35EC6" w:rsidRDefault="00F35EC6" w:rsidP="00F35EC6">
            <w:pPr>
              <w:spacing w:after="0" w:line="360" w:lineRule="auto"/>
              <w:jc w:val="both"/>
              <w:rPr>
                <w:rFonts w:ascii="Arial" w:eastAsia="Calibri" w:hAnsi="Arial" w:cs="Arial"/>
                <w:sz w:val="24"/>
                <w:szCs w:val="24"/>
              </w:rPr>
            </w:pPr>
          </w:p>
        </w:tc>
      </w:tr>
      <w:tr w:rsidR="00F35EC6" w:rsidRPr="00F35EC6" w:rsidTr="00613511">
        <w:tc>
          <w:tcPr>
            <w:tcW w:w="9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EC6" w:rsidRPr="00F35EC6" w:rsidRDefault="00F35EC6" w:rsidP="00F35EC6">
            <w:pPr>
              <w:spacing w:after="0" w:line="360" w:lineRule="auto"/>
              <w:rPr>
                <w:rFonts w:ascii="Arial" w:eastAsia="Calibri" w:hAnsi="Arial" w:cs="Arial"/>
                <w:b/>
                <w:sz w:val="24"/>
                <w:szCs w:val="24"/>
              </w:rPr>
            </w:pPr>
          </w:p>
        </w:tc>
      </w:tr>
      <w:tr w:rsidR="00F35EC6" w:rsidRPr="00F35EC6" w:rsidTr="00613511">
        <w:tc>
          <w:tcPr>
            <w:tcW w:w="4770" w:type="dxa"/>
            <w:tcBorders>
              <w:top w:val="nil"/>
              <w:left w:val="single" w:sz="4" w:space="0" w:color="auto"/>
              <w:bottom w:val="single" w:sz="4" w:space="0" w:color="auto"/>
              <w:right w:val="single" w:sz="4" w:space="0" w:color="auto"/>
            </w:tcBorders>
            <w:shd w:val="clear" w:color="auto" w:fill="auto"/>
          </w:tcPr>
          <w:p w:rsidR="00F35EC6" w:rsidRPr="00F35EC6" w:rsidRDefault="00F35EC6" w:rsidP="00F35EC6">
            <w:pPr>
              <w:spacing w:after="0" w:line="360" w:lineRule="auto"/>
              <w:rPr>
                <w:rFonts w:ascii="Arial" w:eastAsia="Calibri" w:hAnsi="Arial" w:cs="Arial"/>
                <w:b/>
                <w:sz w:val="24"/>
                <w:szCs w:val="24"/>
              </w:rPr>
            </w:pPr>
          </w:p>
          <w:p w:rsidR="00F35EC6" w:rsidRPr="00F35EC6" w:rsidRDefault="00F35EC6" w:rsidP="00F35EC6">
            <w:pPr>
              <w:spacing w:after="0" w:line="360" w:lineRule="auto"/>
              <w:jc w:val="center"/>
              <w:rPr>
                <w:rFonts w:ascii="Arial" w:eastAsia="Calibri" w:hAnsi="Arial" w:cs="Arial"/>
                <w:b/>
                <w:sz w:val="24"/>
                <w:szCs w:val="24"/>
              </w:rPr>
            </w:pPr>
          </w:p>
          <w:p w:rsidR="00F35EC6" w:rsidRPr="00F35EC6" w:rsidRDefault="00F35EC6" w:rsidP="00F35EC6">
            <w:pPr>
              <w:spacing w:after="0" w:line="360" w:lineRule="auto"/>
              <w:jc w:val="center"/>
              <w:rPr>
                <w:rFonts w:ascii="Arial" w:eastAsia="Calibri"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auto"/>
          </w:tcPr>
          <w:p w:rsidR="00F35EC6" w:rsidRPr="00F35EC6" w:rsidRDefault="00F35EC6" w:rsidP="00F35EC6">
            <w:pPr>
              <w:spacing w:after="0" w:line="360" w:lineRule="auto"/>
              <w:jc w:val="center"/>
              <w:rPr>
                <w:rFonts w:ascii="Arial" w:eastAsia="Calibri" w:hAnsi="Arial" w:cs="Arial"/>
                <w:b/>
                <w:sz w:val="24"/>
                <w:szCs w:val="24"/>
              </w:rPr>
            </w:pPr>
          </w:p>
          <w:p w:rsidR="00F35EC6" w:rsidRPr="00F35EC6" w:rsidRDefault="00F35EC6" w:rsidP="00F35EC6">
            <w:pPr>
              <w:spacing w:after="0" w:line="360" w:lineRule="auto"/>
              <w:jc w:val="center"/>
              <w:rPr>
                <w:rFonts w:ascii="Arial" w:eastAsia="Calibri" w:hAnsi="Arial" w:cs="Arial"/>
                <w:b/>
                <w:sz w:val="24"/>
                <w:szCs w:val="24"/>
              </w:rPr>
            </w:pPr>
          </w:p>
        </w:tc>
      </w:tr>
      <w:tr w:rsidR="00F35EC6" w:rsidRPr="00F35EC6" w:rsidTr="00613511">
        <w:tc>
          <w:tcPr>
            <w:tcW w:w="4770" w:type="dxa"/>
            <w:tcBorders>
              <w:top w:val="single" w:sz="4" w:space="0" w:color="auto"/>
              <w:left w:val="single" w:sz="4" w:space="0" w:color="auto"/>
              <w:bottom w:val="single" w:sz="4" w:space="0" w:color="auto"/>
              <w:right w:val="single" w:sz="4" w:space="0" w:color="auto"/>
            </w:tcBorders>
            <w:shd w:val="clear" w:color="auto" w:fill="auto"/>
          </w:tcPr>
          <w:p w:rsidR="00F35EC6" w:rsidRPr="00F35EC6" w:rsidRDefault="00F35EC6" w:rsidP="00F35EC6">
            <w:pPr>
              <w:spacing w:after="0" w:line="360" w:lineRule="auto"/>
              <w:rPr>
                <w:rFonts w:ascii="Arial" w:eastAsia="Calibri" w:hAnsi="Arial" w:cs="Arial"/>
                <w:b/>
                <w:sz w:val="24"/>
                <w:szCs w:val="24"/>
              </w:rPr>
            </w:pPr>
          </w:p>
          <w:p w:rsidR="00F35EC6" w:rsidRPr="00F35EC6" w:rsidRDefault="00F35EC6" w:rsidP="00F35EC6">
            <w:pPr>
              <w:spacing w:after="0" w:line="360" w:lineRule="auto"/>
              <w:jc w:val="center"/>
              <w:rPr>
                <w:rFonts w:ascii="Arial" w:eastAsia="Calibri" w:hAnsi="Arial" w:cs="Arial"/>
                <w:b/>
                <w:sz w:val="24"/>
                <w:szCs w:val="24"/>
              </w:rPr>
            </w:pPr>
            <w:r w:rsidRPr="00F35EC6">
              <w:rPr>
                <w:rFonts w:ascii="Arial" w:eastAsia="Calibri" w:hAnsi="Arial" w:cs="Arial"/>
                <w:b/>
                <w:sz w:val="24"/>
                <w:szCs w:val="24"/>
              </w:rPr>
              <w:t xml:space="preserve">N N SHIVUTE </w:t>
            </w:r>
          </w:p>
          <w:p w:rsidR="00F35EC6" w:rsidRPr="00F35EC6" w:rsidRDefault="00F35EC6" w:rsidP="00F35EC6">
            <w:pPr>
              <w:spacing w:after="0" w:line="360" w:lineRule="auto"/>
              <w:jc w:val="center"/>
              <w:rPr>
                <w:rFonts w:ascii="Arial" w:eastAsia="Calibri" w:hAnsi="Arial" w:cs="Arial"/>
                <w:b/>
                <w:sz w:val="24"/>
                <w:szCs w:val="24"/>
              </w:rPr>
            </w:pPr>
            <w:r w:rsidRPr="00F35EC6">
              <w:rPr>
                <w:rFonts w:ascii="Arial" w:eastAsia="Calibri" w:hAnsi="Arial" w:cs="Arial"/>
                <w:b/>
                <w:sz w:val="24"/>
                <w:szCs w:val="24"/>
              </w:rPr>
              <w:t>JUDGE</w:t>
            </w:r>
          </w:p>
        </w:tc>
        <w:tc>
          <w:tcPr>
            <w:tcW w:w="4950" w:type="dxa"/>
            <w:gridSpan w:val="2"/>
            <w:tcBorders>
              <w:top w:val="single" w:sz="4" w:space="0" w:color="auto"/>
              <w:left w:val="single" w:sz="4" w:space="0" w:color="auto"/>
              <w:bottom w:val="single" w:sz="4" w:space="0" w:color="auto"/>
              <w:right w:val="single" w:sz="4" w:space="0" w:color="auto"/>
            </w:tcBorders>
            <w:shd w:val="clear" w:color="auto" w:fill="auto"/>
          </w:tcPr>
          <w:p w:rsidR="00F35EC6" w:rsidRPr="00F35EC6" w:rsidRDefault="00F35EC6" w:rsidP="00F35EC6">
            <w:pPr>
              <w:spacing w:after="0" w:line="360" w:lineRule="auto"/>
              <w:jc w:val="center"/>
              <w:rPr>
                <w:rFonts w:ascii="Arial" w:eastAsia="Calibri" w:hAnsi="Arial" w:cs="Arial"/>
                <w:b/>
                <w:sz w:val="24"/>
                <w:szCs w:val="24"/>
              </w:rPr>
            </w:pPr>
          </w:p>
          <w:p w:rsidR="00F35EC6" w:rsidRPr="00F35EC6" w:rsidRDefault="00C8227E" w:rsidP="00F35EC6">
            <w:pPr>
              <w:spacing w:after="0" w:line="360" w:lineRule="auto"/>
              <w:jc w:val="center"/>
              <w:rPr>
                <w:rFonts w:ascii="Arial" w:eastAsia="Calibri" w:hAnsi="Arial" w:cs="Arial"/>
                <w:b/>
                <w:sz w:val="24"/>
                <w:szCs w:val="24"/>
              </w:rPr>
            </w:pPr>
            <w:r>
              <w:rPr>
                <w:rFonts w:ascii="Arial" w:eastAsia="Calibri" w:hAnsi="Arial" w:cs="Arial"/>
                <w:b/>
                <w:sz w:val="24"/>
                <w:szCs w:val="24"/>
              </w:rPr>
              <w:t>D USIKU</w:t>
            </w:r>
          </w:p>
          <w:p w:rsidR="00F35EC6" w:rsidRPr="00F35EC6" w:rsidRDefault="00F35EC6" w:rsidP="00F35EC6">
            <w:pPr>
              <w:spacing w:after="0" w:line="360" w:lineRule="auto"/>
              <w:jc w:val="center"/>
              <w:rPr>
                <w:rFonts w:ascii="Arial" w:eastAsia="Calibri" w:hAnsi="Arial" w:cs="Arial"/>
                <w:b/>
                <w:sz w:val="24"/>
                <w:szCs w:val="24"/>
              </w:rPr>
            </w:pPr>
            <w:r w:rsidRPr="00F35EC6">
              <w:rPr>
                <w:rFonts w:ascii="Arial" w:eastAsia="Calibri" w:hAnsi="Arial" w:cs="Arial"/>
                <w:b/>
                <w:sz w:val="24"/>
                <w:szCs w:val="24"/>
              </w:rPr>
              <w:t>JUDGE</w:t>
            </w:r>
          </w:p>
        </w:tc>
      </w:tr>
    </w:tbl>
    <w:p w:rsidR="00F35EC6" w:rsidRPr="00F35EC6" w:rsidRDefault="00F35EC6" w:rsidP="00F35EC6">
      <w:pPr>
        <w:spacing w:line="256" w:lineRule="auto"/>
        <w:rPr>
          <w:rFonts w:ascii="Calibri" w:eastAsia="Calibri" w:hAnsi="Calibri" w:cs="Times New Roman"/>
        </w:rPr>
      </w:pPr>
    </w:p>
    <w:p w:rsidR="00C543B5" w:rsidRDefault="00C543B5"/>
    <w:sectPr w:rsidR="00C543B5" w:rsidSect="003D15A3">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A12" w:rsidRDefault="002B4A12" w:rsidP="00F35EC6">
      <w:pPr>
        <w:spacing w:after="0" w:line="240" w:lineRule="auto"/>
      </w:pPr>
      <w:r>
        <w:separator/>
      </w:r>
    </w:p>
  </w:endnote>
  <w:endnote w:type="continuationSeparator" w:id="0">
    <w:p w:rsidR="002B4A12" w:rsidRDefault="002B4A12" w:rsidP="00F3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A12" w:rsidRDefault="002B4A12" w:rsidP="00F35EC6">
      <w:pPr>
        <w:spacing w:after="0" w:line="240" w:lineRule="auto"/>
      </w:pPr>
      <w:r>
        <w:separator/>
      </w:r>
    </w:p>
  </w:footnote>
  <w:footnote w:type="continuationSeparator" w:id="0">
    <w:p w:rsidR="002B4A12" w:rsidRDefault="002B4A12" w:rsidP="00F35EC6">
      <w:pPr>
        <w:spacing w:after="0" w:line="240" w:lineRule="auto"/>
      </w:pPr>
      <w:r>
        <w:continuationSeparator/>
      </w:r>
    </w:p>
  </w:footnote>
  <w:footnote w:id="1">
    <w:p w:rsidR="00FC7539" w:rsidRDefault="00FC7539">
      <w:pPr>
        <w:pStyle w:val="FootnoteText"/>
      </w:pPr>
      <w:r>
        <w:rPr>
          <w:rStyle w:val="FootnoteReference"/>
        </w:rPr>
        <w:footnoteRef/>
      </w:r>
      <w:r>
        <w:t xml:space="preserve"> </w:t>
      </w:r>
      <w:r w:rsidRPr="00FC7539">
        <w:rPr>
          <w:i/>
          <w:lang w:val="en-GB"/>
        </w:rPr>
        <w:t>Petrus Lwishi v The State</w:t>
      </w:r>
      <w:r w:rsidRPr="00FC7539">
        <w:rPr>
          <w:lang w:val="en-GB"/>
        </w:rPr>
        <w:t xml:space="preserve"> 2012 (1) NR 325 HC</w:t>
      </w:r>
      <w:r>
        <w:rPr>
          <w:lang w:val="en-GB"/>
        </w:rPr>
        <w:t>.</w:t>
      </w:r>
    </w:p>
  </w:footnote>
  <w:footnote w:id="2">
    <w:p w:rsidR="00394A65" w:rsidRPr="0066566A" w:rsidRDefault="00394A65" w:rsidP="00394A65">
      <w:pPr>
        <w:pStyle w:val="FootnoteText"/>
        <w:rPr>
          <w:rFonts w:ascii="Arial" w:hAnsi="Arial" w:cs="Arial"/>
          <w:lang w:val="en-GB"/>
        </w:rPr>
      </w:pPr>
      <w:r w:rsidRPr="0066566A">
        <w:rPr>
          <w:rStyle w:val="FootnoteReference"/>
          <w:rFonts w:ascii="Arial" w:hAnsi="Arial" w:cs="Arial"/>
        </w:rPr>
        <w:footnoteRef/>
      </w:r>
      <w:r w:rsidRPr="0066566A">
        <w:rPr>
          <w:rFonts w:ascii="Arial" w:hAnsi="Arial" w:cs="Arial"/>
        </w:rPr>
        <w:t xml:space="preserve"> </w:t>
      </w:r>
      <w:r w:rsidRPr="0066566A">
        <w:rPr>
          <w:rFonts w:ascii="Arial" w:hAnsi="Arial" w:cs="Arial"/>
          <w:i/>
          <w:iCs/>
        </w:rPr>
        <w:t>S v Tjiho</w:t>
      </w:r>
      <w:r w:rsidRPr="0066566A">
        <w:rPr>
          <w:rFonts w:ascii="Arial" w:hAnsi="Arial" w:cs="Arial"/>
        </w:rPr>
        <w:t> 1991 NR 361 (H) at page 366A-B.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A3" w:rsidRDefault="004F1675">
    <w:pPr>
      <w:pStyle w:val="Header"/>
      <w:jc w:val="right"/>
    </w:pPr>
    <w:r>
      <w:fldChar w:fldCharType="begin"/>
    </w:r>
    <w:r>
      <w:instrText xml:space="preserve"> PAGE   \* MERGEFORMAT </w:instrText>
    </w:r>
    <w:r>
      <w:fldChar w:fldCharType="separate"/>
    </w:r>
    <w:r w:rsidR="00EA489C">
      <w:rPr>
        <w:noProof/>
      </w:rPr>
      <w:t>4</w:t>
    </w:r>
    <w:r>
      <w:rPr>
        <w:noProof/>
      </w:rPr>
      <w:fldChar w:fldCharType="end"/>
    </w:r>
  </w:p>
  <w:p w:rsidR="003D15A3" w:rsidRDefault="002B4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D0D96"/>
    <w:multiLevelType w:val="hybridMultilevel"/>
    <w:tmpl w:val="61567D66"/>
    <w:lvl w:ilvl="0" w:tplc="2660B8E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77E6FEC"/>
    <w:multiLevelType w:val="hybridMultilevel"/>
    <w:tmpl w:val="09F2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C6"/>
    <w:rsid w:val="000A30C5"/>
    <w:rsid w:val="000B6836"/>
    <w:rsid w:val="001D1B2C"/>
    <w:rsid w:val="00220659"/>
    <w:rsid w:val="00266741"/>
    <w:rsid w:val="002B4A12"/>
    <w:rsid w:val="00364766"/>
    <w:rsid w:val="00394A65"/>
    <w:rsid w:val="003B6A35"/>
    <w:rsid w:val="00466C02"/>
    <w:rsid w:val="004B3279"/>
    <w:rsid w:val="004F1675"/>
    <w:rsid w:val="00537248"/>
    <w:rsid w:val="00603EB0"/>
    <w:rsid w:val="00703100"/>
    <w:rsid w:val="007431F4"/>
    <w:rsid w:val="007F78E5"/>
    <w:rsid w:val="00953DFF"/>
    <w:rsid w:val="00966AD6"/>
    <w:rsid w:val="00984591"/>
    <w:rsid w:val="009C622F"/>
    <w:rsid w:val="009F2746"/>
    <w:rsid w:val="00A27075"/>
    <w:rsid w:val="00AA0D92"/>
    <w:rsid w:val="00BE29F5"/>
    <w:rsid w:val="00C543B5"/>
    <w:rsid w:val="00C8227E"/>
    <w:rsid w:val="00CC71FF"/>
    <w:rsid w:val="00DB4C0B"/>
    <w:rsid w:val="00EA489C"/>
    <w:rsid w:val="00F35EC6"/>
    <w:rsid w:val="00FC7539"/>
    <w:rsid w:val="00FD42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24ED6-09E3-481E-965A-FC611A2E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5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EC6"/>
    <w:rPr>
      <w:sz w:val="20"/>
      <w:szCs w:val="20"/>
    </w:rPr>
  </w:style>
  <w:style w:type="paragraph" w:styleId="Header">
    <w:name w:val="header"/>
    <w:basedOn w:val="Normal"/>
    <w:link w:val="HeaderChar"/>
    <w:uiPriority w:val="99"/>
    <w:semiHidden/>
    <w:unhideWhenUsed/>
    <w:rsid w:val="00F35E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5EC6"/>
  </w:style>
  <w:style w:type="character" w:styleId="FootnoteReference">
    <w:name w:val="footnote reference"/>
    <w:aliases w:val="Footnote Reference in text,Footnote Reference Superscript,4_G,Footnote Ref,16 Point,Superscript 6 Point,Footnotemark,FR,Footnotemark1,Footnotemark2,FR1,Footnotemark3,FR2,Footnotemark4,FR3,Footnotemark5,FR4,Footnotemark6,Footnotemark7"/>
    <w:unhideWhenUsed/>
    <w:qFormat/>
    <w:rsid w:val="00F35EC6"/>
    <w:rPr>
      <w:vertAlign w:val="superscript"/>
    </w:rPr>
  </w:style>
  <w:style w:type="paragraph" w:styleId="BalloonText">
    <w:name w:val="Balloon Text"/>
    <w:basedOn w:val="Normal"/>
    <w:link w:val="BalloonTextChar"/>
    <w:uiPriority w:val="99"/>
    <w:semiHidden/>
    <w:unhideWhenUsed/>
    <w:rsid w:val="00466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2024-01-17T18:30:00+00:00</Judgment_x0020_Date>
  </documentManagement>
</p:properties>
</file>

<file path=customXml/itemProps1.xml><?xml version="1.0" encoding="utf-8"?>
<ds:datastoreItem xmlns:ds="http://schemas.openxmlformats.org/officeDocument/2006/customXml" ds:itemID="{F3506A64-68D2-49E7-BF4D-251CAC72B446}"/>
</file>

<file path=customXml/itemProps2.xml><?xml version="1.0" encoding="utf-8"?>
<ds:datastoreItem xmlns:ds="http://schemas.openxmlformats.org/officeDocument/2006/customXml" ds:itemID="{A243384B-3807-4FCA-B4CB-27D9D7EAFAF5}"/>
</file>

<file path=customXml/itemProps3.xml><?xml version="1.0" encoding="utf-8"?>
<ds:datastoreItem xmlns:ds="http://schemas.openxmlformats.org/officeDocument/2006/customXml" ds:itemID="{3A252849-7183-4473-876A-6867C3B71D82}"/>
</file>

<file path=customXml/itemProps4.xml><?xml version="1.0" encoding="utf-8"?>
<ds:datastoreItem xmlns:ds="http://schemas.openxmlformats.org/officeDocument/2006/customXml" ds:itemID="{ED794449-567B-4A0D-9E91-025A8B353763}"/>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Seibeb (CR 1-2024) [2023] NAHCMD 5 (18 January 2024)</dc:title>
  <dc:subject/>
  <dc:creator>Patience Brendell</dc:creator>
  <cp:keywords/>
  <dc:description/>
  <cp:lastModifiedBy>Victoria Sem</cp:lastModifiedBy>
  <cp:revision>4</cp:revision>
  <cp:lastPrinted>2023-12-15T13:19:00Z</cp:lastPrinted>
  <dcterms:created xsi:type="dcterms:W3CDTF">2024-01-18T06:45:00Z</dcterms:created>
  <dcterms:modified xsi:type="dcterms:W3CDTF">2024-01-18T07:07:00Z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