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60" w:rsidRPr="002C3E72" w:rsidRDefault="00E82560" w:rsidP="00E82560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E82560" w:rsidRPr="002C3E72" w:rsidRDefault="00E40524" w:rsidP="00E40524">
      <w:pPr>
        <w:tabs>
          <w:tab w:val="center" w:pos="4680"/>
          <w:tab w:val="left" w:pos="8370"/>
        </w:tabs>
        <w:spacing w:after="20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E82560" w:rsidRPr="002C3E7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5264D" wp14:editId="1EFB1F15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60" w:rsidRPr="00BB5FC3" w:rsidRDefault="00E82560" w:rsidP="00E8256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2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26.55pt;width:1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:rsidR="00E82560" w:rsidRPr="00BB5FC3" w:rsidRDefault="00E82560" w:rsidP="00E8256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560" w:rsidRPr="002C3E72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22E42A91" wp14:editId="2641D086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E82560" w:rsidRPr="002C3E72" w:rsidRDefault="00E82560" w:rsidP="00E82560">
      <w:pPr>
        <w:tabs>
          <w:tab w:val="center" w:pos="4153"/>
          <w:tab w:val="right" w:pos="8306"/>
        </w:tabs>
        <w:spacing w:after="20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HIGH COURT OF NAMIBIA MAIN DIVISION, WINDHOEK</w:t>
      </w:r>
    </w:p>
    <w:p w:rsidR="00E82560" w:rsidRDefault="00F26340" w:rsidP="00E8256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26340">
        <w:rPr>
          <w:rFonts w:ascii="Arial" w:eastAsia="Calibri" w:hAnsi="Arial" w:cs="Arial"/>
          <w:b/>
          <w:i/>
          <w:sz w:val="24"/>
          <w:szCs w:val="24"/>
        </w:rPr>
        <w:t>EX TEMPORE</w:t>
      </w:r>
      <w:r w:rsidR="00E82560">
        <w:rPr>
          <w:rFonts w:ascii="Arial" w:eastAsia="Calibri" w:hAnsi="Arial" w:cs="Arial"/>
          <w:b/>
          <w:sz w:val="24"/>
          <w:szCs w:val="24"/>
        </w:rPr>
        <w:t xml:space="preserve"> JUDGMENT</w:t>
      </w:r>
    </w:p>
    <w:p w:rsidR="00E82560" w:rsidRPr="00B13EE6" w:rsidRDefault="00E82560" w:rsidP="00E82560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PRACTICE DIRECTIVE 61</w:t>
      </w:r>
    </w:p>
    <w:tbl>
      <w:tblPr>
        <w:tblStyle w:val="TableGrid"/>
        <w:tblW w:w="9923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526"/>
      </w:tblGrid>
      <w:tr w:rsidR="00E82560" w:rsidRPr="001B0FDD" w:rsidTr="008457E1">
        <w:trPr>
          <w:trHeight w:val="1088"/>
        </w:trPr>
        <w:tc>
          <w:tcPr>
            <w:tcW w:w="5397" w:type="dxa"/>
            <w:gridSpan w:val="2"/>
          </w:tcPr>
          <w:p w:rsidR="00E82560" w:rsidRPr="00044E4F" w:rsidRDefault="00E82560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E82560" w:rsidRPr="00044E4F" w:rsidRDefault="00F26340" w:rsidP="00F2634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Ibalelo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Eman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Musukubili</w:t>
            </w:r>
            <w:proofErr w:type="spellEnd"/>
            <w:r w:rsidR="00E82560" w:rsidRPr="00044E4F">
              <w:rPr>
                <w:rFonts w:ascii="Arial" w:hAnsi="Arial" w:cs="Arial"/>
                <w:i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 State</w:t>
            </w:r>
          </w:p>
        </w:tc>
        <w:tc>
          <w:tcPr>
            <w:tcW w:w="4526" w:type="dxa"/>
          </w:tcPr>
          <w:p w:rsidR="00E82560" w:rsidRPr="00044E4F" w:rsidRDefault="00E8256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E82560" w:rsidRPr="00044E4F" w:rsidRDefault="00E82560" w:rsidP="00F263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sz w:val="24"/>
                <w:szCs w:val="24"/>
              </w:rPr>
              <w:t>C</w:t>
            </w:r>
            <w:r w:rsidR="00F26340">
              <w:rPr>
                <w:rFonts w:ascii="Arial" w:hAnsi="Arial" w:cs="Arial"/>
                <w:sz w:val="24"/>
                <w:szCs w:val="24"/>
              </w:rPr>
              <w:t>C 03/2023</w:t>
            </w:r>
          </w:p>
        </w:tc>
      </w:tr>
      <w:tr w:rsidR="00F26340" w:rsidRPr="001B0FDD" w:rsidTr="008457E1">
        <w:trPr>
          <w:trHeight w:val="872"/>
        </w:trPr>
        <w:tc>
          <w:tcPr>
            <w:tcW w:w="5397" w:type="dxa"/>
            <w:gridSpan w:val="2"/>
            <w:vMerge w:val="restart"/>
          </w:tcPr>
          <w:p w:rsidR="00F26340" w:rsidRDefault="00F26340" w:rsidP="00F263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F26340" w:rsidRPr="00044E4F" w:rsidRDefault="00F26340" w:rsidP="00F263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Damaseb JP</w:t>
            </w:r>
          </w:p>
        </w:tc>
        <w:tc>
          <w:tcPr>
            <w:tcW w:w="4526" w:type="dxa"/>
          </w:tcPr>
          <w:p w:rsidR="00F26340" w:rsidRPr="00044E4F" w:rsidRDefault="00F26340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F26340" w:rsidRPr="00044E4F" w:rsidRDefault="00F26340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F26340" w:rsidRPr="001B0FDD" w:rsidTr="008457E1">
        <w:trPr>
          <w:trHeight w:val="881"/>
        </w:trPr>
        <w:tc>
          <w:tcPr>
            <w:tcW w:w="5397" w:type="dxa"/>
            <w:gridSpan w:val="2"/>
            <w:vMerge/>
          </w:tcPr>
          <w:p w:rsidR="00F26340" w:rsidRPr="0078025B" w:rsidRDefault="00F26340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</w:tcPr>
          <w:p w:rsidR="00F26340" w:rsidRDefault="00F2634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on: </w:t>
            </w:r>
            <w:r w:rsidR="00E7399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F26340">
              <w:rPr>
                <w:rFonts w:ascii="Arial" w:hAnsi="Arial" w:cs="Arial"/>
                <w:sz w:val="24"/>
                <w:szCs w:val="24"/>
              </w:rPr>
              <w:t>19 February 2023</w:t>
            </w:r>
          </w:p>
          <w:p w:rsidR="00F26340" w:rsidRDefault="00F2634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340" w:rsidRPr="00044E4F" w:rsidRDefault="00F26340" w:rsidP="00F263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  <w:r>
              <w:rPr>
                <w:rFonts w:ascii="Arial" w:hAnsi="Arial" w:cs="Arial"/>
                <w:sz w:val="24"/>
                <w:szCs w:val="24"/>
              </w:rPr>
              <w:t xml:space="preserve"> 19 February 2024</w:t>
            </w:r>
          </w:p>
        </w:tc>
      </w:tr>
      <w:tr w:rsidR="00E82560" w:rsidRPr="001B0FDD" w:rsidTr="008457E1">
        <w:tc>
          <w:tcPr>
            <w:tcW w:w="9923" w:type="dxa"/>
            <w:gridSpan w:val="3"/>
          </w:tcPr>
          <w:p w:rsidR="00E82560" w:rsidRPr="00044E4F" w:rsidRDefault="00E82560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E4F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proofErr w:type="spellStart"/>
            <w:r w:rsidR="00632DF3">
              <w:rPr>
                <w:rFonts w:ascii="Arial" w:hAnsi="Arial" w:cs="Arial"/>
                <w:i/>
                <w:sz w:val="24"/>
                <w:szCs w:val="24"/>
              </w:rPr>
              <w:t>Musukubili</w:t>
            </w:r>
            <w:proofErr w:type="spellEnd"/>
            <w:r w:rsidR="00632DF3">
              <w:rPr>
                <w:rFonts w:ascii="Arial" w:hAnsi="Arial" w:cs="Arial"/>
                <w:i/>
                <w:sz w:val="24"/>
                <w:szCs w:val="24"/>
              </w:rPr>
              <w:t xml:space="preserve"> v 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</w:t>
            </w:r>
            <w:r w:rsidR="00F2634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247C">
              <w:rPr>
                <w:rFonts w:ascii="Arial" w:hAnsi="Arial" w:cs="Arial"/>
                <w:sz w:val="24"/>
                <w:szCs w:val="24"/>
              </w:rPr>
              <w:t>0</w:t>
            </w:r>
            <w:r w:rsidR="00F26340">
              <w:rPr>
                <w:rFonts w:ascii="Arial" w:hAnsi="Arial" w:cs="Arial"/>
                <w:sz w:val="24"/>
                <w:szCs w:val="24"/>
              </w:rPr>
              <w:t>3</w:t>
            </w:r>
            <w:r w:rsidR="0067247C">
              <w:rPr>
                <w:rFonts w:ascii="Arial" w:hAnsi="Arial" w:cs="Arial"/>
                <w:sz w:val="24"/>
                <w:szCs w:val="24"/>
              </w:rPr>
              <w:t>/202</w:t>
            </w:r>
            <w:r w:rsidR="00F26340">
              <w:rPr>
                <w:rFonts w:ascii="Arial" w:hAnsi="Arial" w:cs="Arial"/>
                <w:sz w:val="24"/>
                <w:szCs w:val="24"/>
              </w:rPr>
              <w:t>3</w:t>
            </w:r>
            <w:r w:rsidRPr="00044E4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7247C">
              <w:rPr>
                <w:rFonts w:ascii="Arial" w:hAnsi="Arial" w:cs="Arial"/>
                <w:sz w:val="24"/>
                <w:szCs w:val="24"/>
              </w:rPr>
              <w:t>[2024</w:t>
            </w:r>
            <w:r>
              <w:rPr>
                <w:rFonts w:ascii="Arial" w:hAnsi="Arial" w:cs="Arial"/>
                <w:sz w:val="24"/>
                <w:szCs w:val="24"/>
              </w:rPr>
              <w:t xml:space="preserve">] NAHCMD </w:t>
            </w:r>
            <w:r w:rsidR="00063648">
              <w:rPr>
                <w:rFonts w:ascii="Arial" w:hAnsi="Arial" w:cs="Arial"/>
                <w:sz w:val="24"/>
                <w:szCs w:val="24"/>
              </w:rPr>
              <w:t>68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E4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26340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47C">
              <w:rPr>
                <w:rFonts w:ascii="Arial" w:hAnsi="Arial" w:cs="Arial"/>
                <w:sz w:val="24"/>
                <w:szCs w:val="24"/>
              </w:rPr>
              <w:t>February</w:t>
            </w:r>
            <w:r w:rsidR="005D029D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044E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82560" w:rsidRPr="00044E4F" w:rsidRDefault="00E8256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560" w:rsidRPr="00E41721" w:rsidTr="008457E1">
        <w:tc>
          <w:tcPr>
            <w:tcW w:w="9923" w:type="dxa"/>
            <w:gridSpan w:val="3"/>
          </w:tcPr>
          <w:p w:rsidR="00E82560" w:rsidRPr="00E41721" w:rsidRDefault="00E8256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560" w:rsidRDefault="00E8256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721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E82560" w:rsidRDefault="0089090A" w:rsidP="008909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90A">
              <w:rPr>
                <w:rFonts w:ascii="Arial" w:hAnsi="Arial" w:cs="Arial"/>
                <w:sz w:val="24"/>
                <w:szCs w:val="24"/>
              </w:rPr>
              <w:t>The application in terms of s 174 of the Criminal Procedure Act 51 of 1977 is refused.</w:t>
            </w:r>
          </w:p>
          <w:p w:rsidR="0089090A" w:rsidRPr="0089090A" w:rsidRDefault="0089090A" w:rsidP="008909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560" w:rsidRPr="001B0FDD" w:rsidTr="008457E1">
        <w:tc>
          <w:tcPr>
            <w:tcW w:w="9923" w:type="dxa"/>
            <w:gridSpan w:val="3"/>
          </w:tcPr>
          <w:p w:rsidR="00E82560" w:rsidRPr="00EF3FFF" w:rsidRDefault="00E82560" w:rsidP="008457E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3FFF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E82560" w:rsidRPr="00FE65E1" w:rsidTr="008457E1">
        <w:tc>
          <w:tcPr>
            <w:tcW w:w="9923" w:type="dxa"/>
            <w:gridSpan w:val="3"/>
          </w:tcPr>
          <w:p w:rsidR="00E82560" w:rsidRDefault="00632DF3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B6A87">
              <w:rPr>
                <w:rFonts w:ascii="Arial" w:hAnsi="Arial" w:cs="Arial"/>
                <w:sz w:val="24"/>
                <w:szCs w:val="24"/>
              </w:rPr>
              <w:t>AMASEB</w:t>
            </w:r>
            <w:r>
              <w:rPr>
                <w:rFonts w:ascii="Arial" w:hAnsi="Arial" w:cs="Arial"/>
                <w:sz w:val="24"/>
                <w:szCs w:val="24"/>
              </w:rPr>
              <w:t xml:space="preserve"> JP:</w:t>
            </w:r>
          </w:p>
          <w:p w:rsidR="00116A71" w:rsidRDefault="00116A71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6A71" w:rsidRDefault="00116A71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      I am dealing with an application in terms of s 174 of the Criminal Procedure A</w:t>
            </w:r>
            <w:r w:rsidR="006D1258">
              <w:rPr>
                <w:rFonts w:ascii="Arial" w:hAnsi="Arial" w:cs="Arial"/>
                <w:sz w:val="24"/>
                <w:szCs w:val="24"/>
              </w:rPr>
              <w:t>ct 51 of 1977 for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the discharge of an accused at the end of the State’s case. The issue that arises is whether the State failed at this stage of the proceedings to produce </w:t>
            </w:r>
            <w:r w:rsidR="008F3570" w:rsidRPr="008F3570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evidence </w:t>
            </w:r>
            <w:r w:rsidR="001A7F07">
              <w:rPr>
                <w:rFonts w:ascii="Arial" w:hAnsi="Arial" w:cs="Arial"/>
                <w:sz w:val="24"/>
                <w:szCs w:val="24"/>
              </w:rPr>
              <w:lastRenderedPageBreak/>
              <w:t xml:space="preserve">which, </w:t>
            </w:r>
            <w:r w:rsidR="006D1258">
              <w:rPr>
                <w:rFonts w:ascii="Arial" w:hAnsi="Arial" w:cs="Arial"/>
                <w:sz w:val="24"/>
                <w:szCs w:val="24"/>
              </w:rPr>
              <w:t>unless the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acc</w:t>
            </w:r>
            <w:r w:rsidR="001A7F07">
              <w:rPr>
                <w:rFonts w:ascii="Arial" w:hAnsi="Arial" w:cs="Arial"/>
                <w:sz w:val="24"/>
                <w:szCs w:val="24"/>
              </w:rPr>
              <w:t xml:space="preserve">used is placed on his defence, </w:t>
            </w:r>
            <w:r w:rsidR="006D1258">
              <w:rPr>
                <w:rFonts w:ascii="Arial" w:hAnsi="Arial" w:cs="Arial"/>
                <w:sz w:val="24"/>
                <w:szCs w:val="24"/>
              </w:rPr>
              <w:t>will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justify </w:t>
            </w:r>
            <w:r w:rsidR="001A7F07">
              <w:rPr>
                <w:rFonts w:ascii="Arial" w:hAnsi="Arial" w:cs="Arial"/>
                <w:sz w:val="24"/>
                <w:szCs w:val="24"/>
              </w:rPr>
              <w:t>him</w:t>
            </w:r>
            <w:r w:rsidR="006D12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570">
              <w:rPr>
                <w:rFonts w:ascii="Arial" w:hAnsi="Arial" w:cs="Arial"/>
                <w:sz w:val="24"/>
                <w:szCs w:val="24"/>
              </w:rPr>
              <w:t>bein</w:t>
            </w:r>
            <w:r w:rsidR="00FC2960">
              <w:rPr>
                <w:rFonts w:ascii="Arial" w:hAnsi="Arial" w:cs="Arial"/>
                <w:sz w:val="24"/>
                <w:szCs w:val="24"/>
              </w:rPr>
              <w:t>g convicted. Ha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s the State produced </w:t>
            </w:r>
            <w:r w:rsidR="008F3570" w:rsidRPr="008F3570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evidence as to th</w:t>
            </w:r>
            <w:r w:rsidR="00FC2960">
              <w:rPr>
                <w:rFonts w:ascii="Arial" w:hAnsi="Arial" w:cs="Arial"/>
                <w:sz w:val="24"/>
                <w:szCs w:val="24"/>
              </w:rPr>
              <w:t>e crimes that have been charged?</w:t>
            </w:r>
            <w:r w:rsidR="008F3570">
              <w:rPr>
                <w:rFonts w:ascii="Arial" w:hAnsi="Arial" w:cs="Arial"/>
                <w:sz w:val="24"/>
                <w:szCs w:val="24"/>
              </w:rPr>
              <w:t xml:space="preserve"> The victim named in the indictment was killed. There is no sugges</w:t>
            </w:r>
            <w:r w:rsidR="00FC2960">
              <w:rPr>
                <w:rFonts w:ascii="Arial" w:hAnsi="Arial" w:cs="Arial"/>
                <w:sz w:val="24"/>
                <w:szCs w:val="24"/>
              </w:rPr>
              <w:t>tion that she committed suicide. S</w:t>
            </w:r>
            <w:r w:rsidR="008F3570">
              <w:rPr>
                <w:rFonts w:ascii="Arial" w:hAnsi="Arial" w:cs="Arial"/>
                <w:sz w:val="24"/>
                <w:szCs w:val="24"/>
              </w:rPr>
              <w:t>omebody killed her and it was the most vicious assault that was perpetrated on</w:t>
            </w:r>
            <w:r w:rsidR="00103486">
              <w:rPr>
                <w:rFonts w:ascii="Arial" w:hAnsi="Arial" w:cs="Arial"/>
                <w:sz w:val="24"/>
                <w:szCs w:val="24"/>
              </w:rPr>
              <w:t xml:space="preserve"> her. The accused person was the last person to have been seen with the deceased, at the time she was </w:t>
            </w:r>
            <w:r w:rsidR="00950EA7">
              <w:rPr>
                <w:rFonts w:ascii="Arial" w:hAnsi="Arial" w:cs="Arial"/>
                <w:sz w:val="24"/>
                <w:szCs w:val="24"/>
              </w:rPr>
              <w:t>alive, by people that know her. H</w:t>
            </w:r>
            <w:r w:rsidR="002B6A87">
              <w:rPr>
                <w:rFonts w:ascii="Arial" w:hAnsi="Arial" w:cs="Arial"/>
                <w:sz w:val="24"/>
                <w:szCs w:val="24"/>
              </w:rPr>
              <w:t>er close relatives</w:t>
            </w:r>
            <w:r w:rsidR="00103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F07">
              <w:rPr>
                <w:rFonts w:ascii="Arial" w:hAnsi="Arial" w:cs="Arial"/>
                <w:sz w:val="24"/>
                <w:szCs w:val="24"/>
              </w:rPr>
              <w:t>had</w:t>
            </w:r>
            <w:r w:rsidR="002B6A87">
              <w:rPr>
                <w:rFonts w:ascii="Arial" w:hAnsi="Arial" w:cs="Arial"/>
                <w:sz w:val="24"/>
                <w:szCs w:val="24"/>
              </w:rPr>
              <w:t xml:space="preserve"> seen her with the accused at the time that he exhibited some violence towards her and left with her and that was the last time 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B6A87">
              <w:rPr>
                <w:rFonts w:ascii="Arial" w:hAnsi="Arial" w:cs="Arial"/>
                <w:sz w:val="24"/>
                <w:szCs w:val="24"/>
              </w:rPr>
              <w:t>they saw the deceased.</w:t>
            </w:r>
          </w:p>
          <w:p w:rsidR="00AB4AEA" w:rsidRDefault="00AB4AEA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560" w:rsidRDefault="00AB4AEA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     </w:t>
            </w:r>
            <w:r w:rsidR="002B6A87">
              <w:rPr>
                <w:rFonts w:ascii="Arial" w:hAnsi="Arial" w:cs="Arial"/>
                <w:sz w:val="24"/>
                <w:szCs w:val="24"/>
              </w:rPr>
              <w:t xml:space="preserve">The accused gave an </w:t>
            </w:r>
            <w:r w:rsidR="002B6A87" w:rsidRPr="002B6A87">
              <w:rPr>
                <w:rFonts w:ascii="Arial" w:hAnsi="Arial" w:cs="Arial"/>
                <w:i/>
                <w:sz w:val="24"/>
                <w:szCs w:val="24"/>
              </w:rPr>
              <w:t xml:space="preserve">alibi </w:t>
            </w:r>
            <w:r w:rsidR="002B6A87">
              <w:rPr>
                <w:rFonts w:ascii="Arial" w:hAnsi="Arial" w:cs="Arial"/>
                <w:sz w:val="24"/>
                <w:szCs w:val="24"/>
              </w:rPr>
              <w:t>defence with the most imprecise particulars</w:t>
            </w:r>
            <w:r w:rsidR="001A7F07">
              <w:rPr>
                <w:rFonts w:ascii="Arial" w:hAnsi="Arial" w:cs="Arial"/>
                <w:sz w:val="24"/>
                <w:szCs w:val="24"/>
              </w:rPr>
              <w:t xml:space="preserve">. I, </w:t>
            </w:r>
            <w:r w:rsidR="002B6A87">
              <w:rPr>
                <w:rFonts w:ascii="Arial" w:hAnsi="Arial" w:cs="Arial"/>
                <w:sz w:val="24"/>
                <w:szCs w:val="24"/>
              </w:rPr>
              <w:t>again at this sta</w:t>
            </w:r>
            <w:r w:rsidR="00B4507F">
              <w:rPr>
                <w:rFonts w:ascii="Arial" w:hAnsi="Arial" w:cs="Arial"/>
                <w:sz w:val="24"/>
                <w:szCs w:val="24"/>
              </w:rPr>
              <w:t>ge of</w:t>
            </w:r>
            <w:r w:rsidR="002B6A87">
              <w:rPr>
                <w:rFonts w:ascii="Arial" w:hAnsi="Arial" w:cs="Arial"/>
                <w:sz w:val="24"/>
                <w:szCs w:val="24"/>
              </w:rPr>
              <w:t xml:space="preserve"> the proceedings</w:t>
            </w:r>
            <w:r w:rsidR="001A7F07">
              <w:rPr>
                <w:rFonts w:ascii="Arial" w:hAnsi="Arial" w:cs="Arial"/>
                <w:sz w:val="24"/>
                <w:szCs w:val="24"/>
              </w:rPr>
              <w:t>,</w:t>
            </w:r>
            <w:r w:rsidR="002B6A87">
              <w:rPr>
                <w:rFonts w:ascii="Arial" w:hAnsi="Arial" w:cs="Arial"/>
                <w:sz w:val="24"/>
                <w:szCs w:val="24"/>
              </w:rPr>
              <w:t xml:space="preserve"> sympathise with the State</w:t>
            </w:r>
            <w:r w:rsidR="00B4507F">
              <w:rPr>
                <w:rFonts w:ascii="Arial" w:hAnsi="Arial" w:cs="Arial"/>
                <w:sz w:val="24"/>
                <w:szCs w:val="24"/>
              </w:rPr>
              <w:t>’s</w:t>
            </w:r>
            <w:r w:rsidR="002B6A87">
              <w:rPr>
                <w:rFonts w:ascii="Arial" w:hAnsi="Arial" w:cs="Arial"/>
                <w:sz w:val="24"/>
                <w:szCs w:val="24"/>
              </w:rPr>
              <w:t xml:space="preserve"> dilemma to call and reb</w:t>
            </w:r>
            <w:r w:rsidR="00422D5D">
              <w:rPr>
                <w:rFonts w:ascii="Arial" w:hAnsi="Arial" w:cs="Arial"/>
                <w:sz w:val="24"/>
                <w:szCs w:val="24"/>
              </w:rPr>
              <w:t>ut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evidence concerning the </w:t>
            </w:r>
            <w:r w:rsidR="00B4507F" w:rsidRPr="00B4507F">
              <w:rPr>
                <w:rFonts w:ascii="Arial" w:hAnsi="Arial" w:cs="Arial"/>
                <w:i/>
                <w:sz w:val="24"/>
                <w:szCs w:val="24"/>
              </w:rPr>
              <w:t xml:space="preserve">alibi </w:t>
            </w:r>
            <w:r w:rsidR="00FF0C06">
              <w:rPr>
                <w:rFonts w:ascii="Arial" w:hAnsi="Arial" w:cs="Arial"/>
                <w:sz w:val="24"/>
                <w:szCs w:val="24"/>
              </w:rPr>
              <w:t>witness – whose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identi</w:t>
            </w:r>
            <w:r w:rsidR="001A7F07">
              <w:rPr>
                <w:rFonts w:ascii="Arial" w:hAnsi="Arial" w:cs="Arial"/>
                <w:sz w:val="24"/>
                <w:szCs w:val="24"/>
              </w:rPr>
              <w:t>t</w:t>
            </w:r>
            <w:r w:rsidR="00B4507F">
              <w:rPr>
                <w:rFonts w:ascii="Arial" w:hAnsi="Arial" w:cs="Arial"/>
                <w:sz w:val="24"/>
                <w:szCs w:val="24"/>
              </w:rPr>
              <w:t>y</w:t>
            </w:r>
            <w:r w:rsidR="00FF0C06">
              <w:rPr>
                <w:rFonts w:ascii="Arial" w:hAnsi="Arial" w:cs="Arial"/>
                <w:sz w:val="24"/>
                <w:szCs w:val="24"/>
              </w:rPr>
              <w:t>,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I repeat, was given with the most imprecise particulars. All they know is that it is a James </w:t>
            </w:r>
            <w:proofErr w:type="spellStart"/>
            <w:r w:rsidR="00B4507F">
              <w:rPr>
                <w:rFonts w:ascii="Arial" w:hAnsi="Arial" w:cs="Arial"/>
                <w:sz w:val="24"/>
                <w:szCs w:val="24"/>
              </w:rPr>
              <w:t>Mushe</w:t>
            </w:r>
            <w:proofErr w:type="spellEnd"/>
            <w:r w:rsidR="001A7F07">
              <w:rPr>
                <w:rFonts w:ascii="Arial" w:hAnsi="Arial" w:cs="Arial"/>
                <w:sz w:val="24"/>
                <w:szCs w:val="24"/>
              </w:rPr>
              <w:t>.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F07">
              <w:rPr>
                <w:rFonts w:ascii="Arial" w:hAnsi="Arial" w:cs="Arial"/>
                <w:sz w:val="24"/>
                <w:szCs w:val="24"/>
              </w:rPr>
              <w:t>W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hether there are other people who know James </w:t>
            </w:r>
            <w:proofErr w:type="spellStart"/>
            <w:r w:rsidR="00B4507F">
              <w:rPr>
                <w:rFonts w:ascii="Arial" w:hAnsi="Arial" w:cs="Arial"/>
                <w:sz w:val="24"/>
                <w:szCs w:val="24"/>
              </w:rPr>
              <w:t>Mushe</w:t>
            </w:r>
            <w:proofErr w:type="spellEnd"/>
            <w:r w:rsidR="00B4507F">
              <w:rPr>
                <w:rFonts w:ascii="Arial" w:hAnsi="Arial" w:cs="Arial"/>
                <w:sz w:val="24"/>
                <w:szCs w:val="24"/>
              </w:rPr>
              <w:t xml:space="preserve"> apart from him</w:t>
            </w:r>
            <w:r w:rsidR="001A7F07">
              <w:rPr>
                <w:rFonts w:ascii="Arial" w:hAnsi="Arial" w:cs="Arial"/>
                <w:sz w:val="24"/>
                <w:szCs w:val="24"/>
              </w:rPr>
              <w:t xml:space="preserve"> (the accused)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from whom</w:t>
            </w:r>
            <w:r w:rsidR="00F302A7">
              <w:rPr>
                <w:rFonts w:ascii="Arial" w:hAnsi="Arial" w:cs="Arial"/>
                <w:sz w:val="24"/>
                <w:szCs w:val="24"/>
              </w:rPr>
              <w:t xml:space="preserve"> enquiries could be made</w:t>
            </w:r>
            <w:r w:rsidR="00FF0C0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302A7">
              <w:rPr>
                <w:rFonts w:ascii="Arial" w:hAnsi="Arial" w:cs="Arial"/>
                <w:sz w:val="24"/>
                <w:szCs w:val="24"/>
              </w:rPr>
              <w:t>that is</w:t>
            </w:r>
            <w:r w:rsidR="00B45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2A7">
              <w:rPr>
                <w:rFonts w:ascii="Arial" w:hAnsi="Arial" w:cs="Arial"/>
                <w:sz w:val="24"/>
                <w:szCs w:val="24"/>
              </w:rPr>
              <w:t xml:space="preserve">not established. I am not satisfied that the allegation can be made that the State has not done reasonable enquires to establish who this James </w:t>
            </w:r>
            <w:proofErr w:type="spellStart"/>
            <w:r w:rsidR="00F302A7">
              <w:rPr>
                <w:rFonts w:ascii="Arial" w:hAnsi="Arial" w:cs="Arial"/>
                <w:sz w:val="24"/>
                <w:szCs w:val="24"/>
              </w:rPr>
              <w:t>Mushe</w:t>
            </w:r>
            <w:proofErr w:type="spellEnd"/>
            <w:r w:rsidR="00F302A7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:rsidR="00F302A7" w:rsidRDefault="00F302A7" w:rsidP="008457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560" w:rsidRDefault="00F302A7" w:rsidP="008E6C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    I also have evidence before me</w:t>
            </w:r>
            <w:r w:rsidR="00B931DF">
              <w:rPr>
                <w:rFonts w:ascii="Arial" w:hAnsi="Arial" w:cs="Arial"/>
                <w:sz w:val="24"/>
                <w:szCs w:val="24"/>
              </w:rPr>
              <w:t xml:space="preserve"> at this stage</w:t>
            </w:r>
            <w:r w:rsidR="00FF0C06">
              <w:rPr>
                <w:rFonts w:ascii="Arial" w:hAnsi="Arial" w:cs="Arial"/>
                <w:sz w:val="24"/>
                <w:szCs w:val="24"/>
              </w:rPr>
              <w:t>,</w:t>
            </w:r>
            <w:r w:rsidR="00B931DF">
              <w:rPr>
                <w:rFonts w:ascii="Arial" w:hAnsi="Arial" w:cs="Arial"/>
                <w:sz w:val="24"/>
                <w:szCs w:val="24"/>
              </w:rPr>
              <w:t xml:space="preserve"> led into evidence with the agreement of the accused</w:t>
            </w:r>
            <w:r w:rsidR="00FF0C0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BE5">
              <w:rPr>
                <w:rFonts w:ascii="Arial" w:hAnsi="Arial" w:cs="Arial"/>
                <w:sz w:val="24"/>
                <w:szCs w:val="24"/>
              </w:rPr>
              <w:t xml:space="preserve">about very serious injuries to his </w:t>
            </w:r>
            <w:r w:rsidR="00281F69">
              <w:rPr>
                <w:rFonts w:ascii="Arial" w:hAnsi="Arial" w:cs="Arial"/>
                <w:sz w:val="24"/>
                <w:szCs w:val="24"/>
              </w:rPr>
              <w:t xml:space="preserve">right </w:t>
            </w:r>
            <w:r w:rsidR="00FF0C06">
              <w:rPr>
                <w:rFonts w:ascii="Arial" w:hAnsi="Arial" w:cs="Arial"/>
                <w:sz w:val="24"/>
                <w:szCs w:val="24"/>
              </w:rPr>
              <w:t>hand give</w:t>
            </w:r>
            <w:r w:rsidR="00A409EF">
              <w:rPr>
                <w:rFonts w:ascii="Arial" w:hAnsi="Arial" w:cs="Arial"/>
                <w:sz w:val="24"/>
                <w:szCs w:val="24"/>
              </w:rPr>
              <w:t>n</w:t>
            </w:r>
            <w:r w:rsidR="00D27BE5">
              <w:rPr>
                <w:rFonts w:ascii="Arial" w:hAnsi="Arial" w:cs="Arial"/>
                <w:sz w:val="24"/>
                <w:szCs w:val="24"/>
              </w:rPr>
              <w:t xml:space="preserve"> in his plea explanation and</w:t>
            </w:r>
            <w:r w:rsidR="00FF0C06">
              <w:rPr>
                <w:rFonts w:ascii="Arial" w:hAnsi="Arial" w:cs="Arial"/>
                <w:sz w:val="24"/>
                <w:szCs w:val="24"/>
              </w:rPr>
              <w:t xml:space="preserve"> through</w:t>
            </w:r>
            <w:r w:rsidR="00D27BE5">
              <w:rPr>
                <w:rFonts w:ascii="Arial" w:hAnsi="Arial" w:cs="Arial"/>
                <w:sz w:val="24"/>
                <w:szCs w:val="24"/>
              </w:rPr>
              <w:t xml:space="preserve"> questions put to witnesses </w:t>
            </w:r>
            <w:r w:rsidR="00E50D21">
              <w:rPr>
                <w:rFonts w:ascii="Arial" w:hAnsi="Arial" w:cs="Arial"/>
                <w:sz w:val="24"/>
                <w:szCs w:val="24"/>
              </w:rPr>
              <w:t>for the</w:t>
            </w:r>
            <w:r w:rsidR="00D27BE5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="00E50D21">
              <w:rPr>
                <w:rFonts w:ascii="Arial" w:hAnsi="Arial" w:cs="Arial"/>
                <w:sz w:val="24"/>
                <w:szCs w:val="24"/>
              </w:rPr>
              <w:t>,</w:t>
            </w:r>
            <w:r w:rsidR="00540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F69">
              <w:rPr>
                <w:rFonts w:ascii="Arial" w:hAnsi="Arial" w:cs="Arial"/>
                <w:sz w:val="24"/>
                <w:szCs w:val="24"/>
              </w:rPr>
              <w:t xml:space="preserve">the allegation is made </w:t>
            </w:r>
            <w:r w:rsidR="001A7F07">
              <w:rPr>
                <w:rFonts w:ascii="Arial" w:hAnsi="Arial" w:cs="Arial"/>
                <w:sz w:val="24"/>
                <w:szCs w:val="24"/>
              </w:rPr>
              <w:t>that</w:t>
            </w:r>
            <w:r w:rsidR="00A409EF">
              <w:rPr>
                <w:rFonts w:ascii="Arial" w:hAnsi="Arial" w:cs="Arial"/>
                <w:sz w:val="24"/>
                <w:szCs w:val="24"/>
              </w:rPr>
              <w:t>,</w:t>
            </w:r>
            <w:r w:rsidR="001A7F07">
              <w:rPr>
                <w:rFonts w:ascii="Arial" w:hAnsi="Arial" w:cs="Arial"/>
                <w:sz w:val="24"/>
                <w:szCs w:val="24"/>
              </w:rPr>
              <w:t xml:space="preserve"> amongst others</w:t>
            </w:r>
            <w:r w:rsidR="008E6C38">
              <w:rPr>
                <w:rFonts w:ascii="Arial" w:hAnsi="Arial" w:cs="Arial"/>
                <w:sz w:val="24"/>
                <w:szCs w:val="24"/>
              </w:rPr>
              <w:t xml:space="preserve"> the deceased had</w:t>
            </w:r>
            <w:r w:rsidR="00281F69">
              <w:rPr>
                <w:rFonts w:ascii="Arial" w:hAnsi="Arial" w:cs="Arial"/>
                <w:sz w:val="24"/>
                <w:szCs w:val="24"/>
              </w:rPr>
              <w:t xml:space="preserve"> assaulted him with a stone. </w:t>
            </w:r>
            <w:r w:rsidR="008E6C38">
              <w:rPr>
                <w:rFonts w:ascii="Arial" w:hAnsi="Arial" w:cs="Arial"/>
                <w:sz w:val="24"/>
                <w:szCs w:val="24"/>
              </w:rPr>
              <w:t>At this stage of the proceedings there is a very strong likelihood</w:t>
            </w:r>
            <w:r w:rsidR="00FF0C0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E6C38">
              <w:rPr>
                <w:rFonts w:ascii="Arial" w:hAnsi="Arial" w:cs="Arial"/>
                <w:sz w:val="24"/>
                <w:szCs w:val="24"/>
              </w:rPr>
              <w:t xml:space="preserve"> given the severity of the injuries to the hand</w:t>
            </w:r>
            <w:r w:rsidR="00FF0C0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E6C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E6C38">
              <w:rPr>
                <w:rFonts w:ascii="Arial" w:hAnsi="Arial" w:cs="Arial"/>
                <w:sz w:val="24"/>
                <w:szCs w:val="24"/>
              </w:rPr>
              <w:t>that</w:t>
            </w:r>
            <w:proofErr w:type="gramEnd"/>
            <w:r w:rsidR="008E6C38">
              <w:rPr>
                <w:rFonts w:ascii="Arial" w:hAnsi="Arial" w:cs="Arial"/>
                <w:sz w:val="24"/>
                <w:szCs w:val="24"/>
              </w:rPr>
              <w:t xml:space="preserve"> those where sustained during the assault on the deceased. </w:t>
            </w:r>
          </w:p>
          <w:p w:rsidR="008E6C38" w:rsidRDefault="008E6C38" w:rsidP="008E6C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6C38" w:rsidRDefault="00B9674E" w:rsidP="00C11D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[4]    </w:t>
            </w:r>
            <w:r w:rsidR="008E6C38">
              <w:rPr>
                <w:rFonts w:ascii="Arial" w:hAnsi="Arial" w:cs="Arial"/>
                <w:sz w:val="24"/>
                <w:szCs w:val="24"/>
              </w:rPr>
              <w:t>Accused</w:t>
            </w:r>
            <w:r w:rsidR="00FF0C06">
              <w:rPr>
                <w:rFonts w:ascii="Arial" w:hAnsi="Arial" w:cs="Arial"/>
                <w:sz w:val="24"/>
                <w:szCs w:val="24"/>
              </w:rPr>
              <w:t>’s</w:t>
            </w:r>
            <w:r w:rsidR="008E6C38">
              <w:rPr>
                <w:rFonts w:ascii="Arial" w:hAnsi="Arial" w:cs="Arial"/>
                <w:sz w:val="24"/>
                <w:szCs w:val="24"/>
              </w:rPr>
              <w:t xml:space="preserve"> counsel </w:t>
            </w:r>
            <w:r w:rsidR="00023549">
              <w:rPr>
                <w:rFonts w:ascii="Arial" w:hAnsi="Arial" w:cs="Arial"/>
                <w:sz w:val="24"/>
                <w:szCs w:val="24"/>
              </w:rPr>
              <w:t xml:space="preserve">elicited </w:t>
            </w:r>
            <w:r w:rsidR="008E6C38">
              <w:rPr>
                <w:rFonts w:ascii="Arial" w:hAnsi="Arial" w:cs="Arial"/>
                <w:sz w:val="24"/>
                <w:szCs w:val="24"/>
              </w:rPr>
              <w:t xml:space="preserve">evidence from one of the </w:t>
            </w:r>
            <w:r>
              <w:rPr>
                <w:rFonts w:ascii="Arial" w:hAnsi="Arial" w:cs="Arial"/>
                <w:sz w:val="24"/>
                <w:szCs w:val="24"/>
              </w:rPr>
              <w:t>cousins of the deceased that on the fateful day when the dec</w:t>
            </w:r>
            <w:r w:rsidR="0082571C">
              <w:rPr>
                <w:rFonts w:ascii="Arial" w:hAnsi="Arial" w:cs="Arial"/>
                <w:sz w:val="24"/>
                <w:szCs w:val="24"/>
              </w:rPr>
              <w:t>eased cried out for help saying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somebody was killing her, th</w:t>
            </w:r>
            <w:r w:rsidR="00FF0C06">
              <w:rPr>
                <w:rFonts w:ascii="Arial" w:hAnsi="Arial" w:cs="Arial"/>
                <w:sz w:val="24"/>
                <w:szCs w:val="24"/>
              </w:rPr>
              <w:t>e deceased was with the accused –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evidence was elicited by accused’s </w:t>
            </w:r>
            <w:r w:rsidR="0082571C">
              <w:rPr>
                <w:rFonts w:ascii="Arial" w:hAnsi="Arial" w:cs="Arial"/>
                <w:sz w:val="24"/>
                <w:szCs w:val="24"/>
              </w:rPr>
              <w:t>counsel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DFD">
              <w:rPr>
                <w:rFonts w:ascii="Arial" w:hAnsi="Arial" w:cs="Arial"/>
                <w:sz w:val="24"/>
                <w:szCs w:val="24"/>
              </w:rPr>
              <w:t>through cross</w:t>
            </w:r>
            <w:r>
              <w:rPr>
                <w:rFonts w:ascii="Arial" w:hAnsi="Arial" w:cs="Arial"/>
                <w:sz w:val="24"/>
                <w:szCs w:val="24"/>
              </w:rPr>
              <w:t xml:space="preserve"> examination. If</w:t>
            </w:r>
            <w:r w:rsidR="00C11DFD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evidence remains </w:t>
            </w:r>
            <w:proofErr w:type="spellStart"/>
            <w:r w:rsidR="00232DE1">
              <w:rPr>
                <w:rFonts w:ascii="Arial" w:hAnsi="Arial" w:cs="Arial"/>
                <w:sz w:val="24"/>
                <w:szCs w:val="24"/>
              </w:rPr>
              <w:t>uncontradicted</w:t>
            </w:r>
            <w:proofErr w:type="spellEnd"/>
            <w:r w:rsidR="00C11DFD">
              <w:rPr>
                <w:rFonts w:ascii="Arial" w:hAnsi="Arial" w:cs="Arial"/>
                <w:sz w:val="24"/>
                <w:szCs w:val="24"/>
              </w:rPr>
              <w:t xml:space="preserve">, it certainly undermines the </w:t>
            </w:r>
            <w:r w:rsidR="00C11DFD" w:rsidRPr="0082571C">
              <w:rPr>
                <w:rFonts w:ascii="Arial" w:hAnsi="Arial" w:cs="Arial"/>
                <w:i/>
                <w:sz w:val="24"/>
                <w:szCs w:val="24"/>
              </w:rPr>
              <w:t>alibi</w:t>
            </w:r>
            <w:r w:rsidR="0082571C">
              <w:rPr>
                <w:rFonts w:ascii="Arial" w:hAnsi="Arial" w:cs="Arial"/>
                <w:sz w:val="24"/>
                <w:szCs w:val="24"/>
              </w:rPr>
              <w:t xml:space="preserve"> defence of</w:t>
            </w:r>
            <w:r w:rsidR="00C11DFD">
              <w:rPr>
                <w:rFonts w:ascii="Arial" w:hAnsi="Arial" w:cs="Arial"/>
                <w:sz w:val="24"/>
                <w:szCs w:val="24"/>
              </w:rPr>
              <w:t xml:space="preserve"> the accused. </w:t>
            </w:r>
          </w:p>
          <w:p w:rsidR="00C11DFD" w:rsidRDefault="00C11DFD" w:rsidP="00C11D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1DFD" w:rsidRDefault="00C11DFD" w:rsidP="004714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[5]     </w:t>
            </w:r>
            <w:r w:rsidR="0082571C">
              <w:rPr>
                <w:rFonts w:ascii="Arial" w:hAnsi="Arial" w:cs="Arial"/>
                <w:sz w:val="24"/>
                <w:szCs w:val="24"/>
              </w:rPr>
              <w:t xml:space="preserve">There is also evidence </w:t>
            </w:r>
            <w:r w:rsidR="002B583A">
              <w:rPr>
                <w:rFonts w:ascii="Arial" w:hAnsi="Arial" w:cs="Arial"/>
                <w:sz w:val="24"/>
                <w:szCs w:val="24"/>
              </w:rPr>
              <w:t>to the effect that shoe</w:t>
            </w:r>
            <w:r w:rsidR="005A20B0">
              <w:rPr>
                <w:rFonts w:ascii="Arial" w:hAnsi="Arial" w:cs="Arial"/>
                <w:sz w:val="24"/>
                <w:szCs w:val="24"/>
              </w:rPr>
              <w:t>-</w:t>
            </w:r>
            <w:r w:rsidR="002B583A">
              <w:rPr>
                <w:rFonts w:ascii="Arial" w:hAnsi="Arial" w:cs="Arial"/>
                <w:sz w:val="24"/>
                <w:szCs w:val="24"/>
              </w:rPr>
              <w:t xml:space="preserve">prints resembling shoes which are ordinarily worn by the accused </w:t>
            </w:r>
            <w:r w:rsidR="00E66E7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B583A">
              <w:rPr>
                <w:rFonts w:ascii="Arial" w:hAnsi="Arial" w:cs="Arial"/>
                <w:sz w:val="24"/>
                <w:szCs w:val="24"/>
              </w:rPr>
              <w:t>as testified to by people that know the accused</w:t>
            </w:r>
            <w:r w:rsidR="005A20B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334D4D">
              <w:rPr>
                <w:rFonts w:ascii="Arial" w:hAnsi="Arial" w:cs="Arial"/>
                <w:sz w:val="24"/>
                <w:szCs w:val="24"/>
              </w:rPr>
              <w:t xml:space="preserve"> were seen soon after the death of the deceased</w:t>
            </w:r>
            <w:r w:rsidR="00667D02">
              <w:rPr>
                <w:rFonts w:ascii="Arial" w:hAnsi="Arial" w:cs="Arial"/>
                <w:sz w:val="24"/>
                <w:szCs w:val="24"/>
              </w:rPr>
              <w:t>,</w:t>
            </w:r>
            <w:r w:rsidR="00334D4D">
              <w:rPr>
                <w:rFonts w:ascii="Arial" w:hAnsi="Arial" w:cs="Arial"/>
                <w:sz w:val="24"/>
                <w:szCs w:val="24"/>
              </w:rPr>
              <w:t xml:space="preserve"> both at the scene of the crime and at the room that he share</w:t>
            </w:r>
            <w:r w:rsidR="00232DE1">
              <w:rPr>
                <w:rFonts w:ascii="Arial" w:hAnsi="Arial" w:cs="Arial"/>
                <w:sz w:val="24"/>
                <w:szCs w:val="24"/>
              </w:rPr>
              <w:t>d</w:t>
            </w:r>
            <w:r w:rsidR="00334D4D">
              <w:rPr>
                <w:rFonts w:ascii="Arial" w:hAnsi="Arial" w:cs="Arial"/>
                <w:sz w:val="24"/>
                <w:szCs w:val="24"/>
              </w:rPr>
              <w:t xml:space="preserve"> with the deceased. </w:t>
            </w:r>
            <w:r w:rsidR="00667D02">
              <w:rPr>
                <w:rFonts w:ascii="Arial" w:hAnsi="Arial" w:cs="Arial"/>
                <w:sz w:val="24"/>
                <w:szCs w:val="24"/>
              </w:rPr>
              <w:t xml:space="preserve">His suggestion is that the shoes produced by the </w:t>
            </w:r>
            <w:r w:rsidR="007C0B1F">
              <w:rPr>
                <w:rFonts w:ascii="Arial" w:hAnsi="Arial" w:cs="Arial"/>
                <w:sz w:val="24"/>
                <w:szCs w:val="24"/>
              </w:rPr>
              <w:t>investigating officer</w:t>
            </w:r>
            <w:r w:rsidR="00667D02">
              <w:rPr>
                <w:rFonts w:ascii="Arial" w:hAnsi="Arial" w:cs="Arial"/>
                <w:sz w:val="24"/>
                <w:szCs w:val="24"/>
              </w:rPr>
              <w:t xml:space="preserve"> were not his</w:t>
            </w:r>
            <w:r w:rsidR="00E66E7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667D02">
              <w:rPr>
                <w:rFonts w:ascii="Arial" w:hAnsi="Arial" w:cs="Arial"/>
                <w:sz w:val="24"/>
                <w:szCs w:val="24"/>
              </w:rPr>
              <w:t xml:space="preserve"> in other words he is suggesting fabrication. Therefore</w:t>
            </w:r>
            <w:r w:rsidR="00232DE1">
              <w:rPr>
                <w:rFonts w:ascii="Arial" w:hAnsi="Arial" w:cs="Arial"/>
                <w:sz w:val="24"/>
                <w:szCs w:val="24"/>
              </w:rPr>
              <w:t>,</w:t>
            </w:r>
            <w:r w:rsidR="00667D02">
              <w:rPr>
                <w:rFonts w:ascii="Arial" w:hAnsi="Arial" w:cs="Arial"/>
                <w:sz w:val="24"/>
                <w:szCs w:val="24"/>
              </w:rPr>
              <w:t xml:space="preserve"> there is </w:t>
            </w:r>
            <w:r w:rsidR="00667D02" w:rsidRPr="007C0B1F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667D02">
              <w:rPr>
                <w:rFonts w:ascii="Arial" w:hAnsi="Arial" w:cs="Arial"/>
                <w:sz w:val="24"/>
                <w:szCs w:val="24"/>
              </w:rPr>
              <w:t xml:space="preserve"> evidence that the shoes produced by the investigating officer </w:t>
            </w:r>
            <w:r w:rsidR="007C0B1F">
              <w:rPr>
                <w:rFonts w:ascii="Arial" w:hAnsi="Arial" w:cs="Arial"/>
                <w:sz w:val="24"/>
                <w:szCs w:val="24"/>
              </w:rPr>
              <w:t>are the ones that made the prints that were seen both a</w:t>
            </w:r>
            <w:r w:rsidR="002E61A3">
              <w:rPr>
                <w:rFonts w:ascii="Arial" w:hAnsi="Arial" w:cs="Arial"/>
                <w:sz w:val="24"/>
                <w:szCs w:val="24"/>
              </w:rPr>
              <w:t>t</w:t>
            </w:r>
            <w:r w:rsidR="00E66E7E">
              <w:rPr>
                <w:rFonts w:ascii="Arial" w:hAnsi="Arial" w:cs="Arial"/>
                <w:sz w:val="24"/>
                <w:szCs w:val="24"/>
              </w:rPr>
              <w:t xml:space="preserve"> the scene of the crime and in</w:t>
            </w:r>
            <w:r w:rsidR="007C0B1F">
              <w:rPr>
                <w:rFonts w:ascii="Arial" w:hAnsi="Arial" w:cs="Arial"/>
                <w:sz w:val="24"/>
                <w:szCs w:val="24"/>
              </w:rPr>
              <w:t xml:space="preserve"> the room he shared with the deceased. </w:t>
            </w:r>
            <w:r w:rsidR="002E61A3">
              <w:rPr>
                <w:rFonts w:ascii="Arial" w:hAnsi="Arial" w:cs="Arial"/>
                <w:sz w:val="24"/>
                <w:szCs w:val="24"/>
              </w:rPr>
              <w:t>I</w:t>
            </w:r>
            <w:r w:rsidR="007E3C6F">
              <w:rPr>
                <w:rFonts w:ascii="Arial" w:hAnsi="Arial" w:cs="Arial"/>
                <w:sz w:val="24"/>
                <w:szCs w:val="24"/>
              </w:rPr>
              <w:t xml:space="preserve">f it is established </w:t>
            </w:r>
            <w:r w:rsidR="005A20B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E3C6F">
              <w:rPr>
                <w:rFonts w:ascii="Arial" w:hAnsi="Arial" w:cs="Arial"/>
                <w:sz w:val="24"/>
                <w:szCs w:val="24"/>
              </w:rPr>
              <w:t>and the S</w:t>
            </w:r>
            <w:r w:rsidR="002E61A3">
              <w:rPr>
                <w:rFonts w:ascii="Arial" w:hAnsi="Arial" w:cs="Arial"/>
                <w:sz w:val="24"/>
                <w:szCs w:val="24"/>
              </w:rPr>
              <w:t>tate has clearly suggested that the shoes were received from him and no other person</w:t>
            </w:r>
            <w:r w:rsidR="002A22D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A7225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7E3C6F">
              <w:rPr>
                <w:rFonts w:ascii="Arial" w:hAnsi="Arial" w:cs="Arial"/>
                <w:sz w:val="24"/>
                <w:szCs w:val="24"/>
              </w:rPr>
              <w:t>those shoes belong to the accused</w:t>
            </w:r>
            <w:r w:rsidR="00232DE1">
              <w:rPr>
                <w:rFonts w:ascii="Arial" w:hAnsi="Arial" w:cs="Arial"/>
                <w:sz w:val="24"/>
                <w:szCs w:val="24"/>
              </w:rPr>
              <w:t>,</w:t>
            </w:r>
            <w:r w:rsidR="007E3C6F">
              <w:rPr>
                <w:rFonts w:ascii="Arial" w:hAnsi="Arial" w:cs="Arial"/>
                <w:sz w:val="24"/>
                <w:szCs w:val="24"/>
              </w:rPr>
              <w:t xml:space="preserve"> then there is a direct link between the </w:t>
            </w:r>
            <w:r w:rsidR="002A22D6">
              <w:rPr>
                <w:rFonts w:ascii="Arial" w:hAnsi="Arial" w:cs="Arial"/>
                <w:sz w:val="24"/>
                <w:szCs w:val="24"/>
              </w:rPr>
              <w:t>shoe</w:t>
            </w:r>
            <w:r w:rsidR="007E3C6F">
              <w:rPr>
                <w:rFonts w:ascii="Arial" w:hAnsi="Arial" w:cs="Arial"/>
                <w:sz w:val="24"/>
                <w:szCs w:val="24"/>
              </w:rPr>
              <w:t xml:space="preserve"> prints at the scene of crime </w:t>
            </w:r>
            <w:r w:rsidR="002A22D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3C6F">
              <w:rPr>
                <w:rFonts w:ascii="Arial" w:hAnsi="Arial" w:cs="Arial"/>
                <w:sz w:val="24"/>
                <w:szCs w:val="24"/>
              </w:rPr>
              <w:t xml:space="preserve">those </w:t>
            </w:r>
            <w:r w:rsidR="002A22D6">
              <w:rPr>
                <w:rFonts w:ascii="Arial" w:hAnsi="Arial" w:cs="Arial"/>
                <w:sz w:val="24"/>
                <w:szCs w:val="24"/>
              </w:rPr>
              <w:t xml:space="preserve">prints found </w:t>
            </w:r>
            <w:r w:rsidR="007E3C6F">
              <w:rPr>
                <w:rFonts w:ascii="Arial" w:hAnsi="Arial" w:cs="Arial"/>
                <w:sz w:val="24"/>
                <w:szCs w:val="24"/>
              </w:rPr>
              <w:t xml:space="preserve">at the room he shared with the deceased. </w:t>
            </w:r>
            <w:r w:rsidR="00EA7225">
              <w:rPr>
                <w:rFonts w:ascii="Arial" w:hAnsi="Arial" w:cs="Arial"/>
                <w:sz w:val="24"/>
                <w:szCs w:val="24"/>
              </w:rPr>
              <w:t xml:space="preserve">There is </w:t>
            </w:r>
            <w:r w:rsidR="00EA7225" w:rsidRPr="00EA7225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EA7225">
              <w:rPr>
                <w:rFonts w:ascii="Arial" w:hAnsi="Arial" w:cs="Arial"/>
                <w:sz w:val="24"/>
                <w:szCs w:val="24"/>
              </w:rPr>
              <w:t xml:space="preserve"> evidence linking the </w:t>
            </w:r>
            <w:r w:rsidR="001355ED">
              <w:rPr>
                <w:rFonts w:ascii="Arial" w:hAnsi="Arial" w:cs="Arial"/>
                <w:sz w:val="24"/>
                <w:szCs w:val="24"/>
              </w:rPr>
              <w:t>accused to those shoes.</w:t>
            </w:r>
            <w:r w:rsidR="00471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5ED">
              <w:rPr>
                <w:rFonts w:ascii="Arial" w:hAnsi="Arial" w:cs="Arial"/>
                <w:sz w:val="24"/>
                <w:szCs w:val="24"/>
              </w:rPr>
              <w:t xml:space="preserve">The accused’s </w:t>
            </w:r>
            <w:r w:rsidR="00CD0853">
              <w:rPr>
                <w:rFonts w:ascii="Arial" w:hAnsi="Arial" w:cs="Arial"/>
                <w:sz w:val="24"/>
                <w:szCs w:val="24"/>
              </w:rPr>
              <w:t xml:space="preserve">version is that his father also knows that those shoes </w:t>
            </w:r>
            <w:r w:rsidR="001355ED">
              <w:rPr>
                <w:rFonts w:ascii="Arial" w:hAnsi="Arial" w:cs="Arial"/>
                <w:sz w:val="24"/>
                <w:szCs w:val="24"/>
              </w:rPr>
              <w:t xml:space="preserve">do not belong to him. </w:t>
            </w:r>
          </w:p>
          <w:p w:rsidR="0047148A" w:rsidRDefault="0047148A" w:rsidP="004714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48A" w:rsidRDefault="000E2EC9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</w:t>
            </w:r>
            <w:r w:rsidR="0047148A">
              <w:rPr>
                <w:rFonts w:ascii="Arial" w:hAnsi="Arial" w:cs="Arial"/>
                <w:sz w:val="24"/>
                <w:szCs w:val="24"/>
              </w:rPr>
              <w:t xml:space="preserve">]     There is no suggestion </w:t>
            </w:r>
            <w:r w:rsidR="00985F51">
              <w:rPr>
                <w:rFonts w:ascii="Arial" w:hAnsi="Arial" w:cs="Arial"/>
                <w:sz w:val="24"/>
                <w:szCs w:val="24"/>
              </w:rPr>
              <w:t xml:space="preserve">that after the alleged assault on him by the deceased, the accused went to see a doctor or went to the police. The injuries </w:t>
            </w:r>
            <w:r w:rsidR="003375B9">
              <w:rPr>
                <w:rFonts w:ascii="Arial" w:hAnsi="Arial" w:cs="Arial"/>
                <w:sz w:val="24"/>
                <w:szCs w:val="24"/>
              </w:rPr>
              <w:t xml:space="preserve">that are </w:t>
            </w:r>
            <w:r w:rsidR="00985F51">
              <w:rPr>
                <w:rFonts w:ascii="Arial" w:hAnsi="Arial" w:cs="Arial"/>
                <w:sz w:val="24"/>
                <w:szCs w:val="24"/>
              </w:rPr>
              <w:t>described in the medical report</w:t>
            </w:r>
            <w:r w:rsidR="002B045D">
              <w:rPr>
                <w:rFonts w:ascii="Arial" w:hAnsi="Arial" w:cs="Arial"/>
                <w:sz w:val="24"/>
                <w:szCs w:val="24"/>
              </w:rPr>
              <w:t>s</w:t>
            </w:r>
            <w:r w:rsidR="00985F51">
              <w:rPr>
                <w:rFonts w:ascii="Arial" w:hAnsi="Arial" w:cs="Arial"/>
                <w:sz w:val="24"/>
                <w:szCs w:val="24"/>
              </w:rPr>
              <w:t xml:space="preserve"> are very severe. The accused’</w:t>
            </w:r>
            <w:r w:rsidR="002B045D">
              <w:rPr>
                <w:rFonts w:ascii="Arial" w:hAnsi="Arial" w:cs="Arial"/>
                <w:sz w:val="24"/>
                <w:szCs w:val="24"/>
              </w:rPr>
              <w:t>s version is</w:t>
            </w:r>
            <w:r w:rsidR="00985F51">
              <w:rPr>
                <w:rFonts w:ascii="Arial" w:hAnsi="Arial" w:cs="Arial"/>
                <w:sz w:val="24"/>
                <w:szCs w:val="24"/>
              </w:rPr>
              <w:t xml:space="preserve"> that he </w:t>
            </w:r>
            <w:r w:rsidR="002B045D">
              <w:rPr>
                <w:rFonts w:ascii="Arial" w:hAnsi="Arial" w:cs="Arial"/>
                <w:sz w:val="24"/>
                <w:szCs w:val="24"/>
              </w:rPr>
              <w:t xml:space="preserve">went on a drinking spree </w:t>
            </w:r>
            <w:r w:rsidR="003375B9">
              <w:rPr>
                <w:rFonts w:ascii="Arial" w:hAnsi="Arial" w:cs="Arial"/>
                <w:sz w:val="24"/>
                <w:szCs w:val="24"/>
              </w:rPr>
              <w:t>on the night that he was assaulted by the deceased. Is it probable</w:t>
            </w:r>
            <w:r w:rsidR="0072519E">
              <w:rPr>
                <w:rFonts w:ascii="Arial" w:hAnsi="Arial" w:cs="Arial"/>
                <w:sz w:val="24"/>
                <w:szCs w:val="24"/>
              </w:rPr>
              <w:t>?</w:t>
            </w:r>
            <w:r w:rsidR="00E8442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72519E">
              <w:rPr>
                <w:rFonts w:ascii="Arial" w:hAnsi="Arial" w:cs="Arial"/>
                <w:sz w:val="24"/>
                <w:szCs w:val="24"/>
              </w:rPr>
              <w:t>hat a person who</w:t>
            </w:r>
            <w:r w:rsidR="003375B9"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>
              <w:rPr>
                <w:rFonts w:ascii="Arial" w:hAnsi="Arial" w:cs="Arial"/>
                <w:sz w:val="24"/>
                <w:szCs w:val="24"/>
              </w:rPr>
              <w:t>so severely</w:t>
            </w:r>
            <w:r w:rsidR="0072519E">
              <w:rPr>
                <w:rFonts w:ascii="Arial" w:hAnsi="Arial" w:cs="Arial"/>
                <w:sz w:val="24"/>
                <w:szCs w:val="24"/>
              </w:rPr>
              <w:t xml:space="preserve"> injured</w:t>
            </w:r>
            <w:r w:rsidR="00497585">
              <w:rPr>
                <w:rFonts w:ascii="Arial" w:hAnsi="Arial" w:cs="Arial"/>
                <w:sz w:val="24"/>
                <w:szCs w:val="24"/>
              </w:rPr>
              <w:t>,</w:t>
            </w:r>
            <w:r w:rsidR="006C7E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19E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E84422">
              <w:rPr>
                <w:rFonts w:ascii="Arial" w:hAnsi="Arial" w:cs="Arial"/>
                <w:sz w:val="24"/>
                <w:szCs w:val="24"/>
              </w:rPr>
              <w:t xml:space="preserve">instead of either going to the police or the hospital would rather go on a drinking </w:t>
            </w:r>
            <w:r w:rsidR="004E18D2">
              <w:rPr>
                <w:rFonts w:ascii="Arial" w:hAnsi="Arial" w:cs="Arial"/>
                <w:sz w:val="24"/>
                <w:szCs w:val="24"/>
              </w:rPr>
              <w:t xml:space="preserve">binge instead of his </w:t>
            </w:r>
            <w:r w:rsidR="00E84422">
              <w:rPr>
                <w:rFonts w:ascii="Arial" w:hAnsi="Arial" w:cs="Arial"/>
                <w:sz w:val="24"/>
                <w:szCs w:val="24"/>
              </w:rPr>
              <w:t xml:space="preserve">wounds </w:t>
            </w:r>
            <w:r w:rsidR="004E18D2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E84422">
              <w:rPr>
                <w:rFonts w:ascii="Arial" w:hAnsi="Arial" w:cs="Arial"/>
                <w:sz w:val="24"/>
                <w:szCs w:val="24"/>
              </w:rPr>
              <w:t xml:space="preserve">attended to. </w:t>
            </w:r>
            <w:r w:rsidR="0088395C">
              <w:rPr>
                <w:rFonts w:ascii="Arial" w:hAnsi="Arial" w:cs="Arial"/>
                <w:sz w:val="24"/>
                <w:szCs w:val="24"/>
              </w:rPr>
              <w:t xml:space="preserve">There is </w:t>
            </w:r>
            <w:r w:rsidR="0088395C" w:rsidRPr="0088395C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88395C">
              <w:rPr>
                <w:rFonts w:ascii="Arial" w:hAnsi="Arial" w:cs="Arial"/>
                <w:sz w:val="24"/>
                <w:szCs w:val="24"/>
              </w:rPr>
              <w:t xml:space="preserve"> evidence to suggest that there is guilty knowledge here. </w:t>
            </w:r>
          </w:p>
          <w:p w:rsidR="0088395C" w:rsidRDefault="0088395C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95C" w:rsidRDefault="000E2EC9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</w:t>
            </w:r>
            <w:r w:rsidR="0088395C">
              <w:rPr>
                <w:rFonts w:ascii="Arial" w:hAnsi="Arial" w:cs="Arial"/>
                <w:sz w:val="24"/>
                <w:szCs w:val="24"/>
              </w:rPr>
              <w:t>]      By the tim</w:t>
            </w:r>
            <w:r>
              <w:rPr>
                <w:rFonts w:ascii="Arial" w:hAnsi="Arial" w:cs="Arial"/>
                <w:sz w:val="24"/>
                <w:szCs w:val="24"/>
              </w:rPr>
              <w:t xml:space="preserve">e the drinking was taking place, </w:t>
            </w:r>
            <w:r w:rsidR="0088395C">
              <w:rPr>
                <w:rFonts w:ascii="Arial" w:hAnsi="Arial" w:cs="Arial"/>
                <w:sz w:val="24"/>
                <w:szCs w:val="24"/>
              </w:rPr>
              <w:t>on his own version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8395C">
              <w:rPr>
                <w:rFonts w:ascii="Arial" w:hAnsi="Arial" w:cs="Arial"/>
                <w:sz w:val="24"/>
                <w:szCs w:val="24"/>
              </w:rPr>
              <w:t xml:space="preserve"> he left the deceased </w:t>
            </w:r>
            <w:r w:rsidR="00497585">
              <w:rPr>
                <w:rFonts w:ascii="Arial" w:hAnsi="Arial" w:cs="Arial"/>
                <w:sz w:val="24"/>
                <w:szCs w:val="24"/>
              </w:rPr>
              <w:t xml:space="preserve">alive – </w:t>
            </w:r>
            <w:r w:rsidR="00B02BAF">
              <w:rPr>
                <w:rFonts w:ascii="Arial" w:hAnsi="Arial" w:cs="Arial"/>
                <w:sz w:val="24"/>
                <w:szCs w:val="24"/>
              </w:rPr>
              <w:t>what would have prevented him from reporting</w:t>
            </w:r>
            <w:r w:rsidR="00385877">
              <w:rPr>
                <w:rFonts w:ascii="Arial" w:hAnsi="Arial" w:cs="Arial"/>
                <w:sz w:val="24"/>
                <w:szCs w:val="24"/>
              </w:rPr>
              <w:t xml:space="preserve"> that to the police to let the police know that his </w:t>
            </w:r>
            <w:r w:rsidR="00B02BAF">
              <w:rPr>
                <w:rFonts w:ascii="Arial" w:hAnsi="Arial" w:cs="Arial"/>
                <w:sz w:val="24"/>
                <w:szCs w:val="24"/>
              </w:rPr>
              <w:t>girlfriend</w:t>
            </w:r>
            <w:r w:rsidR="00385877">
              <w:rPr>
                <w:rFonts w:ascii="Arial" w:hAnsi="Arial" w:cs="Arial"/>
                <w:sz w:val="24"/>
                <w:szCs w:val="24"/>
              </w:rPr>
              <w:t xml:space="preserve"> had occasioned the injuries to him and more so that he </w:t>
            </w:r>
            <w:r>
              <w:rPr>
                <w:rFonts w:ascii="Arial" w:hAnsi="Arial" w:cs="Arial"/>
                <w:sz w:val="24"/>
                <w:szCs w:val="24"/>
              </w:rPr>
              <w:t>does not seek medical attention. T</w:t>
            </w:r>
            <w:r w:rsidR="00113D24">
              <w:rPr>
                <w:rFonts w:ascii="Arial" w:hAnsi="Arial" w:cs="Arial"/>
                <w:sz w:val="24"/>
                <w:szCs w:val="24"/>
              </w:rPr>
              <w:t>hat point</w:t>
            </w:r>
            <w:r w:rsidR="00B02BAF">
              <w:rPr>
                <w:rFonts w:ascii="Arial" w:hAnsi="Arial" w:cs="Arial"/>
                <w:sz w:val="24"/>
                <w:szCs w:val="24"/>
              </w:rPr>
              <w:t xml:space="preserve">s to a guilty mind. As properly </w:t>
            </w:r>
            <w:r w:rsidR="00113D24">
              <w:rPr>
                <w:rFonts w:ascii="Arial" w:hAnsi="Arial" w:cs="Arial"/>
                <w:sz w:val="24"/>
                <w:szCs w:val="24"/>
              </w:rPr>
              <w:t xml:space="preserve">suggested </w:t>
            </w:r>
            <w:r w:rsidR="00B02BAF">
              <w:rPr>
                <w:rFonts w:ascii="Arial" w:hAnsi="Arial" w:cs="Arial"/>
                <w:sz w:val="24"/>
                <w:szCs w:val="24"/>
              </w:rPr>
              <w:t>by Mr Pienaar for the State</w:t>
            </w:r>
            <w:r w:rsidR="00113D24">
              <w:rPr>
                <w:rFonts w:ascii="Arial" w:hAnsi="Arial" w:cs="Arial"/>
                <w:sz w:val="24"/>
                <w:szCs w:val="24"/>
              </w:rPr>
              <w:t>, he should have known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13D24">
              <w:rPr>
                <w:rFonts w:ascii="Arial" w:hAnsi="Arial" w:cs="Arial"/>
                <w:sz w:val="24"/>
                <w:szCs w:val="24"/>
              </w:rPr>
              <w:t xml:space="preserve"> on his own version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33A46">
              <w:rPr>
                <w:rFonts w:ascii="Arial" w:hAnsi="Arial" w:cs="Arial"/>
                <w:sz w:val="24"/>
                <w:szCs w:val="24"/>
              </w:rPr>
              <w:t>that the deceased was still alive, as he said he left her alive when he d</w:t>
            </w:r>
            <w:r>
              <w:rPr>
                <w:rFonts w:ascii="Arial" w:hAnsi="Arial" w:cs="Arial"/>
                <w:sz w:val="24"/>
                <w:szCs w:val="24"/>
              </w:rPr>
              <w:t>eparted from the drinking place. W</w:t>
            </w:r>
            <w:r w:rsidR="00133A46">
              <w:rPr>
                <w:rFonts w:ascii="Arial" w:hAnsi="Arial" w:cs="Arial"/>
                <w:sz w:val="24"/>
                <w:szCs w:val="24"/>
              </w:rPr>
              <w:t>hen he found out about the</w:t>
            </w:r>
            <w:r w:rsidR="000319FD">
              <w:rPr>
                <w:rFonts w:ascii="Arial" w:hAnsi="Arial" w:cs="Arial"/>
                <w:sz w:val="24"/>
                <w:szCs w:val="24"/>
              </w:rPr>
              <w:t xml:space="preserve"> missing</w:t>
            </w:r>
            <w:r w:rsidR="00133A46">
              <w:rPr>
                <w:rFonts w:ascii="Arial" w:hAnsi="Arial" w:cs="Arial"/>
                <w:sz w:val="24"/>
                <w:szCs w:val="24"/>
              </w:rPr>
              <w:t xml:space="preserve"> items from the house</w:t>
            </w:r>
            <w:r w:rsidR="00330DFF">
              <w:rPr>
                <w:rFonts w:ascii="Arial" w:hAnsi="Arial" w:cs="Arial"/>
                <w:sz w:val="24"/>
                <w:szCs w:val="24"/>
              </w:rPr>
              <w:t>,</w:t>
            </w:r>
            <w:r w:rsidR="00133A46">
              <w:rPr>
                <w:rFonts w:ascii="Arial" w:hAnsi="Arial" w:cs="Arial"/>
                <w:sz w:val="24"/>
                <w:szCs w:val="24"/>
              </w:rPr>
              <w:t xml:space="preserve"> why did he not report his property as stolen to the police</w:t>
            </w:r>
            <w:r w:rsidR="000319F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330DFF">
              <w:rPr>
                <w:rFonts w:ascii="Arial" w:hAnsi="Arial" w:cs="Arial"/>
                <w:sz w:val="24"/>
                <w:szCs w:val="24"/>
              </w:rPr>
              <w:t>hat also points to some guilty knowledge.</w:t>
            </w:r>
          </w:p>
          <w:p w:rsidR="009D2C62" w:rsidRDefault="009D2C62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2C62" w:rsidRDefault="00B620CB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[8</w:t>
            </w:r>
            <w:r w:rsidR="009D2C62">
              <w:rPr>
                <w:rFonts w:ascii="Arial" w:hAnsi="Arial" w:cs="Arial"/>
                <w:sz w:val="24"/>
                <w:szCs w:val="24"/>
              </w:rPr>
              <w:t xml:space="preserve">]    At this stage of the proceedings, I am not satisfied that the State has failed to produce </w:t>
            </w:r>
            <w:r w:rsidR="009D2C62" w:rsidRPr="009D2C62">
              <w:rPr>
                <w:rFonts w:ascii="Arial" w:hAnsi="Arial" w:cs="Arial"/>
                <w:i/>
                <w:sz w:val="24"/>
                <w:szCs w:val="24"/>
              </w:rPr>
              <w:t>prima facie</w:t>
            </w:r>
            <w:r w:rsidR="009D2C62">
              <w:rPr>
                <w:rFonts w:ascii="Arial" w:hAnsi="Arial" w:cs="Arial"/>
                <w:sz w:val="24"/>
                <w:szCs w:val="24"/>
              </w:rPr>
              <w:t xml:space="preserve"> evidence that would justify the acc</w:t>
            </w:r>
            <w:r w:rsidR="00B21C21">
              <w:rPr>
                <w:rFonts w:ascii="Arial" w:hAnsi="Arial" w:cs="Arial"/>
                <w:sz w:val="24"/>
                <w:szCs w:val="24"/>
              </w:rPr>
              <w:t>used not to be placed on his</w:t>
            </w:r>
            <w:r w:rsidR="009D2C62">
              <w:rPr>
                <w:rFonts w:ascii="Arial" w:hAnsi="Arial" w:cs="Arial"/>
                <w:sz w:val="24"/>
                <w:szCs w:val="24"/>
              </w:rPr>
              <w:t xml:space="preserve"> defence</w:t>
            </w:r>
            <w:r w:rsidR="00B21C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C21" w:rsidRDefault="00B21C21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0AD" w:rsidRPr="006630AD" w:rsidRDefault="006630AD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30AD">
              <w:rPr>
                <w:rFonts w:ascii="Arial" w:hAnsi="Arial" w:cs="Arial"/>
                <w:sz w:val="24"/>
                <w:szCs w:val="24"/>
                <w:u w:val="single"/>
              </w:rPr>
              <w:t>Order</w:t>
            </w:r>
          </w:p>
          <w:p w:rsidR="00B21C21" w:rsidRDefault="00B21C21" w:rsidP="004E1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B620C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]    </w:t>
            </w:r>
            <w:r w:rsidR="0036059E" w:rsidRPr="0036059E">
              <w:rPr>
                <w:rFonts w:ascii="Arial" w:hAnsi="Arial" w:cs="Arial"/>
                <w:sz w:val="24"/>
                <w:szCs w:val="24"/>
              </w:rPr>
              <w:t>The application in terms of s 174 of the Criminal Procedure Act 51 of 1977 is refused</w:t>
            </w:r>
            <w:r w:rsidR="003605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accused is placed on his own defence. </w:t>
            </w:r>
          </w:p>
          <w:p w:rsidR="00B02BAF" w:rsidRPr="009163B2" w:rsidRDefault="00B02BAF" w:rsidP="004E18D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32DF3" w:rsidRPr="001B0FDD" w:rsidTr="008457E1">
        <w:trPr>
          <w:trHeight w:val="827"/>
        </w:trPr>
        <w:tc>
          <w:tcPr>
            <w:tcW w:w="4770" w:type="dxa"/>
          </w:tcPr>
          <w:p w:rsidR="00632DF3" w:rsidRPr="008B1AB3" w:rsidRDefault="00632DF3" w:rsidP="00632DF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AB3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B1AB3">
              <w:rPr>
                <w:rFonts w:ascii="Arial" w:hAnsi="Arial" w:cs="Arial"/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5153" w:type="dxa"/>
            <w:gridSpan w:val="2"/>
          </w:tcPr>
          <w:p w:rsidR="00632DF3" w:rsidRPr="008B1AB3" w:rsidRDefault="00632DF3" w:rsidP="00632D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AB3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 w:rsidRPr="008B1AB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32DF3" w:rsidRPr="001B0FDD" w:rsidTr="008457E1">
        <w:trPr>
          <w:trHeight w:val="827"/>
        </w:trPr>
        <w:tc>
          <w:tcPr>
            <w:tcW w:w="4770" w:type="dxa"/>
          </w:tcPr>
          <w:p w:rsidR="00632DF3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DAMASEB JP</w:t>
            </w:r>
          </w:p>
          <w:p w:rsidR="00632DF3" w:rsidRPr="00BE7A2B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3" w:type="dxa"/>
            <w:gridSpan w:val="2"/>
          </w:tcPr>
          <w:p w:rsidR="00632DF3" w:rsidRPr="00BE7A2B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A2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32DF3" w:rsidRPr="001B0FDD" w:rsidTr="00CA4409">
        <w:trPr>
          <w:trHeight w:val="827"/>
        </w:trPr>
        <w:tc>
          <w:tcPr>
            <w:tcW w:w="9923" w:type="dxa"/>
            <w:gridSpan w:val="3"/>
          </w:tcPr>
          <w:p w:rsidR="00632DF3" w:rsidRDefault="00632DF3" w:rsidP="00632D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Counsel:</w:t>
            </w:r>
          </w:p>
        </w:tc>
      </w:tr>
      <w:tr w:rsidR="00632DF3" w:rsidRPr="001B0FDD" w:rsidTr="008457E1">
        <w:trPr>
          <w:trHeight w:val="827"/>
        </w:trPr>
        <w:tc>
          <w:tcPr>
            <w:tcW w:w="4770" w:type="dxa"/>
          </w:tcPr>
          <w:p w:rsidR="00632DF3" w:rsidRPr="00653F9C" w:rsidRDefault="00632DF3" w:rsidP="00632D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5153" w:type="dxa"/>
            <w:gridSpan w:val="2"/>
          </w:tcPr>
          <w:p w:rsidR="00632DF3" w:rsidRPr="00653F9C" w:rsidRDefault="00632DF3" w:rsidP="00632D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F9C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632DF3" w:rsidRPr="001B0FDD" w:rsidTr="008457E1">
        <w:trPr>
          <w:trHeight w:val="827"/>
        </w:trPr>
        <w:tc>
          <w:tcPr>
            <w:tcW w:w="4770" w:type="dxa"/>
          </w:tcPr>
          <w:p w:rsidR="00632DF3" w:rsidRPr="00562394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Muhinda</w:t>
            </w:r>
            <w:proofErr w:type="spellEnd"/>
          </w:p>
          <w:p w:rsidR="00632DF3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Directorate of Legal Aid, Katima Mulilo</w:t>
            </w:r>
          </w:p>
        </w:tc>
        <w:tc>
          <w:tcPr>
            <w:tcW w:w="5153" w:type="dxa"/>
            <w:gridSpan w:val="2"/>
          </w:tcPr>
          <w:p w:rsidR="00632DF3" w:rsidRPr="00562394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Pienaar</w:t>
            </w:r>
          </w:p>
          <w:p w:rsidR="00632DF3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394">
              <w:rPr>
                <w:rFonts w:ascii="Arial" w:hAnsi="Arial" w:cs="Arial"/>
                <w:sz w:val="24"/>
                <w:szCs w:val="24"/>
              </w:rPr>
              <w:t xml:space="preserve">Of the Office of the Prosecutor-General, </w:t>
            </w:r>
          </w:p>
          <w:p w:rsidR="00632DF3" w:rsidRPr="00BE7A2B" w:rsidRDefault="00632DF3" w:rsidP="00632D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Rundu</w:t>
            </w:r>
          </w:p>
        </w:tc>
      </w:tr>
    </w:tbl>
    <w:p w:rsidR="00ED1A6C" w:rsidRPr="00E82560" w:rsidRDefault="00ED1A6C">
      <w:pPr>
        <w:rPr>
          <w:rFonts w:ascii="Arial" w:hAnsi="Arial" w:cs="Arial"/>
          <w:sz w:val="24"/>
          <w:szCs w:val="24"/>
        </w:rPr>
      </w:pPr>
    </w:p>
    <w:sectPr w:rsidR="00ED1A6C" w:rsidRPr="00E82560" w:rsidSect="00A44961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86" w:rsidRDefault="00036986" w:rsidP="00E40524">
      <w:pPr>
        <w:spacing w:after="0" w:line="240" w:lineRule="auto"/>
      </w:pPr>
      <w:r>
        <w:separator/>
      </w:r>
    </w:p>
  </w:endnote>
  <w:endnote w:type="continuationSeparator" w:id="0">
    <w:p w:rsidR="00036986" w:rsidRDefault="00036986" w:rsidP="00E4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CC" w:rsidRDefault="005720CC">
    <w:pPr>
      <w:pStyle w:val="Footer"/>
      <w:jc w:val="right"/>
    </w:pPr>
  </w:p>
  <w:p w:rsidR="00E40524" w:rsidRDefault="00E40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86" w:rsidRDefault="00036986" w:rsidP="00E40524">
      <w:pPr>
        <w:spacing w:after="0" w:line="240" w:lineRule="auto"/>
      </w:pPr>
      <w:r>
        <w:separator/>
      </w:r>
    </w:p>
  </w:footnote>
  <w:footnote w:type="continuationSeparator" w:id="0">
    <w:p w:rsidR="00036986" w:rsidRDefault="00036986" w:rsidP="00E4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9277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961" w:rsidRDefault="00A449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6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4961" w:rsidRDefault="00A44961" w:rsidP="00A44961">
    <w:pPr>
      <w:pStyle w:val="Header"/>
      <w:tabs>
        <w:tab w:val="clear" w:pos="4680"/>
        <w:tab w:val="clear" w:pos="9360"/>
        <w:tab w:val="left" w:pos="64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24" w:rsidRDefault="00E40524">
    <w:pPr>
      <w:pStyle w:val="Header"/>
      <w:jc w:val="right"/>
    </w:pPr>
  </w:p>
  <w:p w:rsidR="00E40524" w:rsidRDefault="00E40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4E2B"/>
    <w:multiLevelType w:val="hybridMultilevel"/>
    <w:tmpl w:val="F57C3B3E"/>
    <w:lvl w:ilvl="0" w:tplc="FDE4B24A">
      <w:start w:val="1"/>
      <w:numFmt w:val="decimal"/>
      <w:lvlText w:val="[%1]"/>
      <w:lvlJc w:val="left"/>
      <w:pPr>
        <w:ind w:left="562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95" w:hanging="360"/>
      </w:pPr>
    </w:lvl>
    <w:lvl w:ilvl="2" w:tplc="1C09001B">
      <w:start w:val="1"/>
      <w:numFmt w:val="lowerRoman"/>
      <w:lvlText w:val="%3."/>
      <w:lvlJc w:val="right"/>
      <w:pPr>
        <w:ind w:left="2215" w:hanging="180"/>
      </w:pPr>
    </w:lvl>
    <w:lvl w:ilvl="3" w:tplc="1C09000F">
      <w:start w:val="1"/>
      <w:numFmt w:val="decimal"/>
      <w:lvlText w:val="%4."/>
      <w:lvlJc w:val="left"/>
      <w:pPr>
        <w:ind w:left="2935" w:hanging="360"/>
      </w:pPr>
    </w:lvl>
    <w:lvl w:ilvl="4" w:tplc="1C090019">
      <w:start w:val="1"/>
      <w:numFmt w:val="lowerLetter"/>
      <w:lvlText w:val="%5."/>
      <w:lvlJc w:val="left"/>
      <w:pPr>
        <w:ind w:left="3655" w:hanging="360"/>
      </w:pPr>
    </w:lvl>
    <w:lvl w:ilvl="5" w:tplc="1C09001B">
      <w:start w:val="1"/>
      <w:numFmt w:val="lowerRoman"/>
      <w:lvlText w:val="%6."/>
      <w:lvlJc w:val="right"/>
      <w:pPr>
        <w:ind w:left="4375" w:hanging="180"/>
      </w:pPr>
    </w:lvl>
    <w:lvl w:ilvl="6" w:tplc="1C09000F">
      <w:start w:val="1"/>
      <w:numFmt w:val="decimal"/>
      <w:lvlText w:val="%7."/>
      <w:lvlJc w:val="left"/>
      <w:pPr>
        <w:ind w:left="5095" w:hanging="360"/>
      </w:pPr>
    </w:lvl>
    <w:lvl w:ilvl="7" w:tplc="1C090019">
      <w:start w:val="1"/>
      <w:numFmt w:val="lowerLetter"/>
      <w:lvlText w:val="%8."/>
      <w:lvlJc w:val="left"/>
      <w:pPr>
        <w:ind w:left="5815" w:hanging="360"/>
      </w:pPr>
    </w:lvl>
    <w:lvl w:ilvl="8" w:tplc="1C09001B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0"/>
    <w:rsid w:val="00023549"/>
    <w:rsid w:val="000319FD"/>
    <w:rsid w:val="00036986"/>
    <w:rsid w:val="00063648"/>
    <w:rsid w:val="000C1C0B"/>
    <w:rsid w:val="000E2EC9"/>
    <w:rsid w:val="00103486"/>
    <w:rsid w:val="00113D24"/>
    <w:rsid w:val="00116A71"/>
    <w:rsid w:val="00133A46"/>
    <w:rsid w:val="001342C2"/>
    <w:rsid w:val="001355ED"/>
    <w:rsid w:val="001A7F07"/>
    <w:rsid w:val="001E21A2"/>
    <w:rsid w:val="002156C7"/>
    <w:rsid w:val="00232DE1"/>
    <w:rsid w:val="00281F69"/>
    <w:rsid w:val="002A22D6"/>
    <w:rsid w:val="002B045D"/>
    <w:rsid w:val="002B583A"/>
    <w:rsid w:val="002B6A87"/>
    <w:rsid w:val="002E61A3"/>
    <w:rsid w:val="00330DFF"/>
    <w:rsid w:val="00334D4D"/>
    <w:rsid w:val="003375B9"/>
    <w:rsid w:val="0036059E"/>
    <w:rsid w:val="00385877"/>
    <w:rsid w:val="003E454F"/>
    <w:rsid w:val="00422D5D"/>
    <w:rsid w:val="004557DB"/>
    <w:rsid w:val="0047148A"/>
    <w:rsid w:val="00485C2C"/>
    <w:rsid w:val="00497585"/>
    <w:rsid w:val="004E18D2"/>
    <w:rsid w:val="00535182"/>
    <w:rsid w:val="005400D2"/>
    <w:rsid w:val="005720CC"/>
    <w:rsid w:val="005A20B0"/>
    <w:rsid w:val="005D029D"/>
    <w:rsid w:val="005E07ED"/>
    <w:rsid w:val="005E1B8F"/>
    <w:rsid w:val="00632DF3"/>
    <w:rsid w:val="006630AD"/>
    <w:rsid w:val="00667D02"/>
    <w:rsid w:val="0067247C"/>
    <w:rsid w:val="006C7E03"/>
    <w:rsid w:val="006D1258"/>
    <w:rsid w:val="0072519E"/>
    <w:rsid w:val="00777EDC"/>
    <w:rsid w:val="007C0B1F"/>
    <w:rsid w:val="007E3C6F"/>
    <w:rsid w:val="007F23A0"/>
    <w:rsid w:val="00817150"/>
    <w:rsid w:val="0082571C"/>
    <w:rsid w:val="00825BF8"/>
    <w:rsid w:val="00850872"/>
    <w:rsid w:val="0088395C"/>
    <w:rsid w:val="0089090A"/>
    <w:rsid w:val="00897311"/>
    <w:rsid w:val="008B6B52"/>
    <w:rsid w:val="008E6C38"/>
    <w:rsid w:val="008F22CB"/>
    <w:rsid w:val="008F3570"/>
    <w:rsid w:val="008F560B"/>
    <w:rsid w:val="00950EA7"/>
    <w:rsid w:val="0098498C"/>
    <w:rsid w:val="00985F51"/>
    <w:rsid w:val="009D2C2A"/>
    <w:rsid w:val="009D2C62"/>
    <w:rsid w:val="009D2E80"/>
    <w:rsid w:val="009E2CF5"/>
    <w:rsid w:val="009F4DD2"/>
    <w:rsid w:val="00A409EF"/>
    <w:rsid w:val="00A44961"/>
    <w:rsid w:val="00AB4AEA"/>
    <w:rsid w:val="00AD2581"/>
    <w:rsid w:val="00AF393C"/>
    <w:rsid w:val="00B02BAF"/>
    <w:rsid w:val="00B21C21"/>
    <w:rsid w:val="00B4507F"/>
    <w:rsid w:val="00B620CB"/>
    <w:rsid w:val="00B931DF"/>
    <w:rsid w:val="00B9674E"/>
    <w:rsid w:val="00BB21C9"/>
    <w:rsid w:val="00BC5E35"/>
    <w:rsid w:val="00BE53C2"/>
    <w:rsid w:val="00C11DFD"/>
    <w:rsid w:val="00C4524F"/>
    <w:rsid w:val="00C46F55"/>
    <w:rsid w:val="00CC00F4"/>
    <w:rsid w:val="00CD0853"/>
    <w:rsid w:val="00CD26F7"/>
    <w:rsid w:val="00CE4E12"/>
    <w:rsid w:val="00D058A3"/>
    <w:rsid w:val="00D07655"/>
    <w:rsid w:val="00D27BE5"/>
    <w:rsid w:val="00DB5C44"/>
    <w:rsid w:val="00DE3630"/>
    <w:rsid w:val="00E235DA"/>
    <w:rsid w:val="00E40524"/>
    <w:rsid w:val="00E50D21"/>
    <w:rsid w:val="00E66E7E"/>
    <w:rsid w:val="00E7399C"/>
    <w:rsid w:val="00E82560"/>
    <w:rsid w:val="00E84422"/>
    <w:rsid w:val="00E9582F"/>
    <w:rsid w:val="00EA7225"/>
    <w:rsid w:val="00ED1A6C"/>
    <w:rsid w:val="00ED1BC0"/>
    <w:rsid w:val="00ED559A"/>
    <w:rsid w:val="00F26340"/>
    <w:rsid w:val="00F302A7"/>
    <w:rsid w:val="00F35DAB"/>
    <w:rsid w:val="00F50C5D"/>
    <w:rsid w:val="00F6208C"/>
    <w:rsid w:val="00F64CAC"/>
    <w:rsid w:val="00F80053"/>
    <w:rsid w:val="00FB2E97"/>
    <w:rsid w:val="00FC296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45DDF-DB3F-41D5-973B-CE2F241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60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24"/>
  </w:style>
  <w:style w:type="paragraph" w:styleId="Footer">
    <w:name w:val="footer"/>
    <w:basedOn w:val="Normal"/>
    <w:link w:val="FooterChar"/>
    <w:uiPriority w:val="99"/>
    <w:unhideWhenUsed/>
    <w:rsid w:val="00E4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24"/>
  </w:style>
  <w:style w:type="paragraph" w:styleId="BalloonText">
    <w:name w:val="Balloon Text"/>
    <w:basedOn w:val="Normal"/>
    <w:link w:val="BalloonTextChar"/>
    <w:uiPriority w:val="99"/>
    <w:semiHidden/>
    <w:unhideWhenUsed/>
    <w:rsid w:val="00E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2024-02-18T18:30:00+00:00</Judgment_x0020_Date>
  </documentManagement>
</p:properties>
</file>

<file path=customXml/itemProps1.xml><?xml version="1.0" encoding="utf-8"?>
<ds:datastoreItem xmlns:ds="http://schemas.openxmlformats.org/officeDocument/2006/customXml" ds:itemID="{B1245B29-4ABE-4D45-9B40-45AE5588A549}"/>
</file>

<file path=customXml/itemProps2.xml><?xml version="1.0" encoding="utf-8"?>
<ds:datastoreItem xmlns:ds="http://schemas.openxmlformats.org/officeDocument/2006/customXml" ds:itemID="{9E9C8632-79EA-47B2-8350-675D16A1A791}"/>
</file>

<file path=customXml/itemProps3.xml><?xml version="1.0" encoding="utf-8"?>
<ds:datastoreItem xmlns:ds="http://schemas.openxmlformats.org/officeDocument/2006/customXml" ds:itemID="{96C583B9-5B62-4E78-B914-632E60C68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v Shimmy (CR  06-2024) [2024] NAHCMD 34  (5 February 2024)</vt:lpstr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Musukubili v S (CC 03-2023) [2024] NAHCMD 68 (19 February 2024)</dc:title>
  <dc:subject/>
  <dc:creator>Herman C. January</dc:creator>
  <cp:keywords/>
  <dc:description/>
  <cp:lastModifiedBy>Helvi Hilifilwa</cp:lastModifiedBy>
  <cp:revision>210</cp:revision>
  <cp:lastPrinted>2024-02-22T07:26:00Z</cp:lastPrinted>
  <dcterms:created xsi:type="dcterms:W3CDTF">2024-02-20T05:55:00Z</dcterms:created>
  <dcterms:modified xsi:type="dcterms:W3CDTF">2024-02-22T07:27:00Z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