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E7DB" w14:textId="77777777" w:rsidR="00F102A7" w:rsidRPr="00222713" w:rsidRDefault="00F102A7" w:rsidP="00F102A7">
      <w:pPr>
        <w:spacing w:line="360" w:lineRule="auto"/>
        <w:jc w:val="center"/>
        <w:rPr>
          <w:rFonts w:ascii="Arial" w:eastAsia="Calibri" w:hAnsi="Arial" w:cs="Arial"/>
          <w:b/>
          <w:noProof/>
          <w:color w:val="000000" w:themeColor="text1"/>
          <w:lang w:val="en-US"/>
        </w:rPr>
      </w:pPr>
      <w:r w:rsidRPr="00222713">
        <w:rPr>
          <w:rFonts w:ascii="Arial" w:eastAsia="Calibri" w:hAnsi="Arial" w:cs="Arial"/>
          <w:b/>
          <w:noProof/>
          <w:color w:val="000000" w:themeColor="text1"/>
          <w:lang w:val="en-US"/>
        </w:rPr>
        <w:t>REPUBLIC OF NAMIBIA</w:t>
      </w:r>
    </w:p>
    <w:p w14:paraId="00628877" w14:textId="77777777" w:rsidR="00F102A7" w:rsidRPr="00222713" w:rsidRDefault="00F102A7" w:rsidP="00F102A7">
      <w:pPr>
        <w:spacing w:line="360" w:lineRule="auto"/>
        <w:jc w:val="center"/>
        <w:rPr>
          <w:rFonts w:ascii="Arial" w:hAnsi="Arial" w:cs="Arial"/>
          <w:b/>
          <w:color w:val="000000" w:themeColor="text1"/>
        </w:rPr>
      </w:pPr>
      <w:r w:rsidRPr="00222713">
        <w:rPr>
          <w:rFonts w:ascii="Arial" w:eastAsia="Calibri" w:hAnsi="Arial" w:cs="Arial"/>
          <w:b/>
          <w:noProof/>
          <w:color w:val="000000" w:themeColor="text1"/>
          <w:lang w:val="en-US"/>
        </w:rPr>
        <w:drawing>
          <wp:inline distT="0" distB="0" distL="0" distR="0" wp14:anchorId="5F19F0C8" wp14:editId="0137014D">
            <wp:extent cx="1266825" cy="1323975"/>
            <wp:effectExtent l="0" t="0" r="9525" b="9525"/>
            <wp:docPr id="1" name="Picture 1" descr="Coat of Arms.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23975"/>
                    </a:xfrm>
                    <a:prstGeom prst="rect">
                      <a:avLst/>
                    </a:prstGeom>
                    <a:noFill/>
                    <a:ln>
                      <a:noFill/>
                    </a:ln>
                  </pic:spPr>
                </pic:pic>
              </a:graphicData>
            </a:graphic>
          </wp:inline>
        </w:drawing>
      </w:r>
    </w:p>
    <w:p w14:paraId="34329B59" w14:textId="6B150442" w:rsidR="00386FDD" w:rsidRDefault="00386FDD" w:rsidP="00F102A7">
      <w:pPr>
        <w:spacing w:line="360" w:lineRule="auto"/>
        <w:jc w:val="center"/>
        <w:rPr>
          <w:rFonts w:ascii="Arial" w:hAnsi="Arial"/>
          <w:b/>
        </w:rPr>
      </w:pPr>
      <w:r>
        <w:rPr>
          <w:rFonts w:ascii="Arial" w:hAnsi="Arial"/>
          <w:b/>
        </w:rPr>
        <w:t>HIGH COURT OF NAMIBIA, MAIN DIVISION, WINDHOEK</w:t>
      </w:r>
    </w:p>
    <w:p w14:paraId="79669C3A" w14:textId="77777777" w:rsidR="002E7D33" w:rsidRDefault="002E7D33" w:rsidP="00F102A7">
      <w:pPr>
        <w:spacing w:line="360" w:lineRule="auto"/>
        <w:jc w:val="center"/>
        <w:rPr>
          <w:rFonts w:ascii="Arial" w:hAnsi="Arial"/>
          <w:b/>
        </w:rPr>
      </w:pPr>
    </w:p>
    <w:p w14:paraId="147E7A01" w14:textId="77777777" w:rsidR="00386FDD" w:rsidRDefault="00386FDD" w:rsidP="00F102A7">
      <w:pPr>
        <w:spacing w:line="360" w:lineRule="auto"/>
        <w:jc w:val="center"/>
        <w:rPr>
          <w:rFonts w:ascii="Arial" w:hAnsi="Arial"/>
          <w:b/>
        </w:rPr>
      </w:pPr>
      <w:r>
        <w:rPr>
          <w:rFonts w:ascii="Arial" w:hAnsi="Arial"/>
          <w:b/>
        </w:rPr>
        <w:t>JUDGMENT</w:t>
      </w:r>
    </w:p>
    <w:p w14:paraId="531B3594" w14:textId="77777777" w:rsidR="00386FDD" w:rsidRDefault="00386FDD" w:rsidP="00F102A7">
      <w:pPr>
        <w:spacing w:line="360" w:lineRule="auto"/>
        <w:jc w:val="center"/>
        <w:rPr>
          <w:rFonts w:ascii="Arial" w:hAnsi="Arial"/>
          <w:b/>
        </w:rPr>
      </w:pPr>
    </w:p>
    <w:p w14:paraId="55E357F7" w14:textId="12DB12A2" w:rsidR="00386FDD" w:rsidRDefault="002E7D33" w:rsidP="00F102A7">
      <w:pPr>
        <w:spacing w:line="360" w:lineRule="auto"/>
        <w:jc w:val="right"/>
        <w:rPr>
          <w:rFonts w:ascii="Arial" w:hAnsi="Arial"/>
        </w:rPr>
      </w:pPr>
      <w:r>
        <w:rPr>
          <w:rFonts w:ascii="Arial" w:hAnsi="Arial"/>
        </w:rPr>
        <w:t>Case n</w:t>
      </w:r>
      <w:r w:rsidR="00386FDD">
        <w:rPr>
          <w:rFonts w:ascii="Arial" w:hAnsi="Arial"/>
        </w:rPr>
        <w:t>o: HC-MD-CIV-MOT-POCA-2021/00443</w:t>
      </w:r>
    </w:p>
    <w:p w14:paraId="0DB27979" w14:textId="77777777" w:rsidR="00386FDD" w:rsidRDefault="00386FDD" w:rsidP="00F102A7">
      <w:pPr>
        <w:spacing w:line="360" w:lineRule="auto"/>
        <w:jc w:val="right"/>
        <w:rPr>
          <w:rFonts w:ascii="Arial" w:hAnsi="Arial"/>
        </w:rPr>
      </w:pPr>
    </w:p>
    <w:p w14:paraId="12EAC929" w14:textId="6673A246" w:rsidR="00386FDD" w:rsidRDefault="00386FDD" w:rsidP="00F102A7">
      <w:pPr>
        <w:spacing w:line="360" w:lineRule="auto"/>
        <w:rPr>
          <w:rFonts w:ascii="Arial" w:hAnsi="Arial"/>
        </w:rPr>
      </w:pPr>
      <w:r>
        <w:rPr>
          <w:rFonts w:ascii="Arial" w:hAnsi="Arial"/>
        </w:rPr>
        <w:t xml:space="preserve">In the </w:t>
      </w:r>
      <w:r w:rsidR="00F102A7" w:rsidRPr="00F102A7">
        <w:rPr>
          <w:rFonts w:ascii="Arial" w:hAnsi="Arial"/>
          <w:i/>
        </w:rPr>
        <w:t>ex parte</w:t>
      </w:r>
      <w:r w:rsidR="00F102A7">
        <w:rPr>
          <w:rFonts w:ascii="Arial" w:hAnsi="Arial"/>
        </w:rPr>
        <w:t xml:space="preserve"> </w:t>
      </w:r>
      <w:r>
        <w:rPr>
          <w:rFonts w:ascii="Arial" w:hAnsi="Arial"/>
        </w:rPr>
        <w:t>application of:</w:t>
      </w:r>
    </w:p>
    <w:p w14:paraId="5433F832" w14:textId="77777777" w:rsidR="00386FDD" w:rsidRDefault="00386FDD" w:rsidP="00F102A7">
      <w:pPr>
        <w:spacing w:line="360" w:lineRule="auto"/>
        <w:rPr>
          <w:rFonts w:ascii="Arial" w:hAnsi="Arial"/>
        </w:rPr>
      </w:pPr>
    </w:p>
    <w:p w14:paraId="78559451" w14:textId="20513DE2" w:rsidR="00386FDD" w:rsidRDefault="00386FDD" w:rsidP="00F102A7">
      <w:pPr>
        <w:tabs>
          <w:tab w:val="right" w:pos="8280"/>
        </w:tabs>
        <w:spacing w:line="360" w:lineRule="auto"/>
        <w:rPr>
          <w:rFonts w:ascii="Arial" w:hAnsi="Arial"/>
          <w:b/>
        </w:rPr>
      </w:pPr>
      <w:r>
        <w:rPr>
          <w:rFonts w:ascii="Arial" w:hAnsi="Arial"/>
          <w:b/>
        </w:rPr>
        <w:t xml:space="preserve">THE PROSECUTOR-GENERAL                                                   </w:t>
      </w:r>
      <w:r w:rsidR="00F102A7">
        <w:rPr>
          <w:rFonts w:ascii="Arial" w:hAnsi="Arial"/>
          <w:b/>
        </w:rPr>
        <w:tab/>
      </w:r>
      <w:r>
        <w:rPr>
          <w:rFonts w:ascii="Arial" w:hAnsi="Arial"/>
          <w:b/>
        </w:rPr>
        <w:t>APPLICANT</w:t>
      </w:r>
    </w:p>
    <w:p w14:paraId="637D70D7" w14:textId="77777777" w:rsidR="00F102A7" w:rsidRDefault="00F102A7" w:rsidP="00F102A7">
      <w:pPr>
        <w:spacing w:line="360" w:lineRule="auto"/>
        <w:ind w:left="2160" w:hanging="2160"/>
        <w:jc w:val="both"/>
        <w:rPr>
          <w:rFonts w:ascii="Arial" w:hAnsi="Arial" w:cs="Arial"/>
          <w:b/>
          <w:color w:val="000000" w:themeColor="text1"/>
        </w:rPr>
      </w:pPr>
    </w:p>
    <w:p w14:paraId="1036913D" w14:textId="3E5BEA41" w:rsidR="00F102A7" w:rsidRPr="00222713" w:rsidRDefault="00F102A7" w:rsidP="00F102A7">
      <w:pPr>
        <w:spacing w:line="360" w:lineRule="auto"/>
        <w:ind w:left="2160" w:hanging="2160"/>
        <w:jc w:val="both"/>
        <w:rPr>
          <w:rFonts w:ascii="Arial" w:hAnsi="Arial" w:cs="Arial"/>
          <w:color w:val="000000" w:themeColor="text1"/>
        </w:rPr>
      </w:pPr>
      <w:r w:rsidRPr="00222713">
        <w:rPr>
          <w:rFonts w:ascii="Arial" w:hAnsi="Arial" w:cs="Arial"/>
          <w:b/>
          <w:color w:val="000000" w:themeColor="text1"/>
        </w:rPr>
        <w:t>Neutral Citation:</w:t>
      </w:r>
      <w:r w:rsidRPr="00222713">
        <w:rPr>
          <w:rFonts w:ascii="Arial" w:hAnsi="Arial" w:cs="Arial"/>
          <w:b/>
          <w:color w:val="000000" w:themeColor="text1"/>
        </w:rPr>
        <w:tab/>
      </w:r>
      <w:r>
        <w:rPr>
          <w:rFonts w:ascii="Arial" w:hAnsi="Arial" w:cs="Arial"/>
          <w:i/>
          <w:color w:val="000000" w:themeColor="text1"/>
        </w:rPr>
        <w:t xml:space="preserve">The Prosecutor-General </w:t>
      </w:r>
      <w:r>
        <w:rPr>
          <w:rFonts w:ascii="Arial" w:hAnsi="Arial" w:cs="Arial"/>
        </w:rPr>
        <w:t>(</w:t>
      </w:r>
      <w:r>
        <w:rPr>
          <w:rFonts w:ascii="Arial" w:hAnsi="Arial"/>
        </w:rPr>
        <w:t>HC-MD-CIV-MOT-POCA-2021/00443</w:t>
      </w:r>
      <w:r w:rsidR="002E7D33">
        <w:rPr>
          <w:rFonts w:ascii="Arial" w:hAnsi="Arial" w:cs="Arial"/>
          <w:color w:val="000000" w:themeColor="text1"/>
        </w:rPr>
        <w:t xml:space="preserve">) [2024] NAHCMD </w:t>
      </w:r>
      <w:r w:rsidR="00495639">
        <w:rPr>
          <w:rFonts w:ascii="Arial" w:hAnsi="Arial" w:cs="Arial"/>
          <w:color w:val="000000" w:themeColor="text1"/>
        </w:rPr>
        <w:t>87 (7</w:t>
      </w:r>
      <w:r w:rsidR="002E7D33">
        <w:rPr>
          <w:rFonts w:ascii="Arial" w:hAnsi="Arial" w:cs="Arial"/>
          <w:color w:val="000000" w:themeColor="text1"/>
        </w:rPr>
        <w:t xml:space="preserve"> March</w:t>
      </w:r>
      <w:r>
        <w:rPr>
          <w:rFonts w:ascii="Arial" w:hAnsi="Arial" w:cs="Arial"/>
          <w:color w:val="000000" w:themeColor="text1"/>
        </w:rPr>
        <w:t xml:space="preserve"> 2024</w:t>
      </w:r>
      <w:r w:rsidRPr="00222713">
        <w:rPr>
          <w:rFonts w:ascii="Arial" w:hAnsi="Arial" w:cs="Arial"/>
          <w:color w:val="000000" w:themeColor="text1"/>
        </w:rPr>
        <w:t>)</w:t>
      </w:r>
    </w:p>
    <w:p w14:paraId="186E992B" w14:textId="77777777" w:rsidR="00F102A7" w:rsidRPr="00222713" w:rsidRDefault="00F102A7" w:rsidP="00F102A7">
      <w:pPr>
        <w:spacing w:line="360" w:lineRule="auto"/>
        <w:jc w:val="both"/>
        <w:rPr>
          <w:rFonts w:ascii="Arial" w:hAnsi="Arial" w:cs="Arial"/>
          <w:color w:val="000000" w:themeColor="text1"/>
        </w:rPr>
      </w:pPr>
    </w:p>
    <w:p w14:paraId="65F6CF73" w14:textId="77777777" w:rsidR="00F102A7" w:rsidRPr="00222713" w:rsidRDefault="00F102A7" w:rsidP="00F102A7">
      <w:pPr>
        <w:spacing w:line="360" w:lineRule="auto"/>
        <w:jc w:val="both"/>
        <w:rPr>
          <w:rFonts w:ascii="Arial" w:hAnsi="Arial" w:cs="Arial"/>
          <w:color w:val="000000" w:themeColor="text1"/>
        </w:rPr>
      </w:pPr>
      <w:r w:rsidRPr="00222713">
        <w:rPr>
          <w:rFonts w:ascii="Arial" w:hAnsi="Arial" w:cs="Arial"/>
          <w:b/>
          <w:color w:val="000000" w:themeColor="text1"/>
        </w:rPr>
        <w:t>Coram:</w:t>
      </w:r>
      <w:r w:rsidRPr="00222713">
        <w:rPr>
          <w:rFonts w:ascii="Arial" w:hAnsi="Arial" w:cs="Arial"/>
          <w:b/>
          <w:color w:val="000000" w:themeColor="text1"/>
        </w:rPr>
        <w:tab/>
      </w:r>
      <w:r w:rsidRPr="00222713">
        <w:rPr>
          <w:rFonts w:ascii="Arial" w:hAnsi="Arial" w:cs="Arial"/>
          <w:color w:val="000000" w:themeColor="text1"/>
        </w:rPr>
        <w:t>MASUKU J</w:t>
      </w:r>
    </w:p>
    <w:p w14:paraId="48815DE5" w14:textId="690CFCB8" w:rsidR="00F102A7" w:rsidRPr="00222713" w:rsidRDefault="00F102A7" w:rsidP="00F102A7">
      <w:pPr>
        <w:spacing w:line="360" w:lineRule="auto"/>
        <w:jc w:val="both"/>
        <w:rPr>
          <w:rFonts w:ascii="Arial" w:hAnsi="Arial" w:cs="Arial"/>
          <w:b/>
          <w:color w:val="000000" w:themeColor="text1"/>
        </w:rPr>
      </w:pPr>
      <w:r>
        <w:rPr>
          <w:rFonts w:ascii="Arial" w:hAnsi="Arial" w:cs="Arial"/>
          <w:b/>
          <w:color w:val="000000" w:themeColor="text1"/>
        </w:rPr>
        <w:t>Heard:</w:t>
      </w:r>
      <w:r>
        <w:rPr>
          <w:rFonts w:ascii="Arial" w:hAnsi="Arial" w:cs="Arial"/>
          <w:b/>
          <w:color w:val="000000" w:themeColor="text1"/>
        </w:rPr>
        <w:tab/>
      </w:r>
      <w:r w:rsidR="00C34C7C">
        <w:rPr>
          <w:rFonts w:ascii="Arial" w:hAnsi="Arial" w:cs="Arial"/>
          <w:b/>
          <w:color w:val="000000" w:themeColor="text1"/>
        </w:rPr>
        <w:t>1 November 2023</w:t>
      </w:r>
    </w:p>
    <w:p w14:paraId="25FC0258" w14:textId="3495A9B8" w:rsidR="00F102A7" w:rsidRDefault="00F102A7" w:rsidP="00F102A7">
      <w:pPr>
        <w:spacing w:line="360" w:lineRule="auto"/>
        <w:jc w:val="both"/>
        <w:rPr>
          <w:rFonts w:ascii="Arial" w:hAnsi="Arial" w:cs="Arial"/>
          <w:b/>
          <w:color w:val="000000" w:themeColor="text1"/>
        </w:rPr>
      </w:pPr>
      <w:r w:rsidRPr="00222713">
        <w:rPr>
          <w:rFonts w:ascii="Arial" w:hAnsi="Arial" w:cs="Arial"/>
          <w:b/>
          <w:color w:val="000000" w:themeColor="text1"/>
        </w:rPr>
        <w:t>Delivered:</w:t>
      </w:r>
      <w:r w:rsidRPr="00222713">
        <w:rPr>
          <w:rFonts w:ascii="Arial" w:hAnsi="Arial" w:cs="Arial"/>
          <w:b/>
          <w:color w:val="000000" w:themeColor="text1"/>
        </w:rPr>
        <w:tab/>
      </w:r>
      <w:r w:rsidR="00495639">
        <w:rPr>
          <w:rFonts w:ascii="Arial" w:hAnsi="Arial" w:cs="Arial"/>
          <w:b/>
          <w:color w:val="000000" w:themeColor="text1"/>
        </w:rPr>
        <w:t>7</w:t>
      </w:r>
      <w:r>
        <w:rPr>
          <w:rFonts w:ascii="Arial" w:hAnsi="Arial" w:cs="Arial"/>
          <w:b/>
          <w:color w:val="000000" w:themeColor="text1"/>
        </w:rPr>
        <w:t xml:space="preserve"> March 2024</w:t>
      </w:r>
    </w:p>
    <w:p w14:paraId="69CFCEB1" w14:textId="77777777" w:rsidR="00952DF3" w:rsidRDefault="00952DF3" w:rsidP="00F102A7">
      <w:pPr>
        <w:spacing w:line="360" w:lineRule="auto"/>
        <w:jc w:val="both"/>
        <w:rPr>
          <w:rFonts w:ascii="Arial" w:hAnsi="Arial" w:cs="Arial"/>
          <w:b/>
          <w:color w:val="000000" w:themeColor="text1"/>
        </w:rPr>
      </w:pPr>
    </w:p>
    <w:p w14:paraId="64394067" w14:textId="5D82B6FB" w:rsidR="00952DF3" w:rsidRDefault="00952DF3" w:rsidP="00F102A7">
      <w:pPr>
        <w:spacing w:line="360" w:lineRule="auto"/>
        <w:jc w:val="both"/>
        <w:rPr>
          <w:rFonts w:ascii="Arial" w:hAnsi="Arial" w:cs="Arial"/>
          <w:color w:val="000000" w:themeColor="text1"/>
        </w:rPr>
      </w:pPr>
      <w:r>
        <w:rPr>
          <w:rFonts w:ascii="Arial" w:hAnsi="Arial" w:cs="Arial"/>
          <w:b/>
          <w:color w:val="000000" w:themeColor="text1"/>
        </w:rPr>
        <w:t>Flynote:</w:t>
      </w:r>
      <w:r>
        <w:rPr>
          <w:rFonts w:ascii="Arial" w:hAnsi="Arial" w:cs="Arial"/>
          <w:b/>
          <w:color w:val="000000" w:themeColor="text1"/>
        </w:rPr>
        <w:tab/>
      </w:r>
      <w:r>
        <w:rPr>
          <w:rFonts w:ascii="Arial" w:hAnsi="Arial" w:cs="Arial"/>
          <w:color w:val="000000" w:themeColor="text1"/>
        </w:rPr>
        <w:t>Legislation – Prevention of Organised Crime Act 29 of 2004 (‘the Act’) – Forfeiture of property order</w:t>
      </w:r>
      <w:r w:rsidR="00C76379">
        <w:rPr>
          <w:rFonts w:ascii="Arial" w:hAnsi="Arial" w:cs="Arial"/>
          <w:color w:val="000000" w:themeColor="text1"/>
        </w:rPr>
        <w:t xml:space="preserve"> in terms of s 59</w:t>
      </w:r>
      <w:r>
        <w:rPr>
          <w:rFonts w:ascii="Arial" w:hAnsi="Arial" w:cs="Arial"/>
          <w:color w:val="000000" w:themeColor="text1"/>
        </w:rPr>
        <w:t xml:space="preserve"> – Issues to be taken into consideration by the court in deciding whether or not to grant a forfeiture of property order – Whether the fact that an application for forfeiture of property order relieves the court of carefully scrutinising the application.</w:t>
      </w:r>
    </w:p>
    <w:p w14:paraId="5759B22B" w14:textId="77777777" w:rsidR="00952DF3" w:rsidRDefault="00952DF3" w:rsidP="00F102A7">
      <w:pPr>
        <w:spacing w:line="360" w:lineRule="auto"/>
        <w:jc w:val="both"/>
        <w:rPr>
          <w:rFonts w:ascii="Arial" w:hAnsi="Arial" w:cs="Arial"/>
          <w:color w:val="000000" w:themeColor="text1"/>
        </w:rPr>
      </w:pPr>
    </w:p>
    <w:p w14:paraId="6BF98BF0" w14:textId="20B16778" w:rsidR="00952DF3" w:rsidRDefault="00952DF3" w:rsidP="00F102A7">
      <w:pPr>
        <w:spacing w:line="360" w:lineRule="auto"/>
        <w:jc w:val="both"/>
        <w:rPr>
          <w:rFonts w:ascii="Arial" w:hAnsi="Arial" w:cs="Arial"/>
          <w:color w:val="000000" w:themeColor="text1"/>
        </w:rPr>
      </w:pPr>
      <w:r>
        <w:rPr>
          <w:rFonts w:ascii="Arial" w:hAnsi="Arial" w:cs="Arial"/>
          <w:b/>
          <w:color w:val="000000" w:themeColor="text1"/>
        </w:rPr>
        <w:t>Summary:</w:t>
      </w:r>
      <w:r>
        <w:rPr>
          <w:rFonts w:ascii="Arial" w:hAnsi="Arial" w:cs="Arial"/>
          <w:b/>
          <w:color w:val="000000" w:themeColor="text1"/>
        </w:rPr>
        <w:tab/>
      </w:r>
      <w:r>
        <w:rPr>
          <w:rFonts w:ascii="Arial" w:hAnsi="Arial" w:cs="Arial"/>
          <w:color w:val="000000" w:themeColor="text1"/>
        </w:rPr>
        <w:t>The Prosecutor-General brought an application for forfeiture of</w:t>
      </w:r>
      <w:r w:rsidR="00C76379">
        <w:rPr>
          <w:rFonts w:ascii="Arial" w:hAnsi="Arial" w:cs="Arial"/>
          <w:color w:val="000000" w:themeColor="text1"/>
        </w:rPr>
        <w:t xml:space="preserve"> property order in terms of s 59</w:t>
      </w:r>
      <w:r>
        <w:rPr>
          <w:rFonts w:ascii="Arial" w:hAnsi="Arial" w:cs="Arial"/>
          <w:color w:val="000000" w:themeColor="text1"/>
        </w:rPr>
        <w:t xml:space="preserve"> of the Act. </w:t>
      </w:r>
      <w:r w:rsidR="006C66D1">
        <w:rPr>
          <w:rFonts w:ascii="Arial" w:hAnsi="Arial" w:cs="Arial"/>
          <w:color w:val="000000" w:themeColor="text1"/>
        </w:rPr>
        <w:t xml:space="preserve">The case commenced with Lycia Limited contacting Mr </w:t>
      </w:r>
      <w:proofErr w:type="spellStart"/>
      <w:r w:rsidR="006C66D1">
        <w:rPr>
          <w:rFonts w:ascii="Arial" w:hAnsi="Arial" w:cs="Arial"/>
          <w:color w:val="000000" w:themeColor="text1"/>
        </w:rPr>
        <w:t>Kangonga</w:t>
      </w:r>
      <w:proofErr w:type="spellEnd"/>
      <w:r w:rsidR="006C66D1">
        <w:rPr>
          <w:rFonts w:ascii="Arial" w:hAnsi="Arial" w:cs="Arial"/>
          <w:color w:val="000000" w:themeColor="text1"/>
        </w:rPr>
        <w:t xml:space="preserve"> and enquiring about the sale of diamonds</w:t>
      </w:r>
      <w:r w:rsidR="00300860">
        <w:rPr>
          <w:rFonts w:ascii="Arial" w:hAnsi="Arial" w:cs="Arial"/>
          <w:color w:val="000000" w:themeColor="text1"/>
        </w:rPr>
        <w:t xml:space="preserve">. A representative of Lycia came to Namibia and procured some diamonds and </w:t>
      </w:r>
      <w:r w:rsidR="00300860">
        <w:rPr>
          <w:rFonts w:ascii="Arial" w:hAnsi="Arial" w:cs="Arial"/>
          <w:color w:val="000000" w:themeColor="text1"/>
        </w:rPr>
        <w:lastRenderedPageBreak/>
        <w:t>paid for them the sum of N$860 855</w:t>
      </w:r>
      <w:r w:rsidR="00BC3FAD">
        <w:rPr>
          <w:rFonts w:ascii="Arial" w:hAnsi="Arial" w:cs="Arial"/>
          <w:color w:val="000000" w:themeColor="text1"/>
        </w:rPr>
        <w:t>, 70</w:t>
      </w:r>
      <w:r w:rsidR="00300860">
        <w:rPr>
          <w:rFonts w:ascii="Arial" w:hAnsi="Arial" w:cs="Arial"/>
          <w:color w:val="000000" w:themeColor="text1"/>
        </w:rPr>
        <w:t xml:space="preserve"> to the account of an entity called </w:t>
      </w:r>
      <w:proofErr w:type="spellStart"/>
      <w:r w:rsidR="00300860">
        <w:rPr>
          <w:rFonts w:ascii="Arial" w:hAnsi="Arial" w:cs="Arial"/>
          <w:color w:val="000000" w:themeColor="text1"/>
        </w:rPr>
        <w:t>Cabino</w:t>
      </w:r>
      <w:proofErr w:type="spellEnd"/>
      <w:r w:rsidR="00300860">
        <w:rPr>
          <w:rFonts w:ascii="Arial" w:hAnsi="Arial" w:cs="Arial"/>
          <w:color w:val="000000" w:themeColor="text1"/>
        </w:rPr>
        <w:t xml:space="preserve"> CC and N$4 094 457</w:t>
      </w:r>
      <w:r w:rsidR="00BC3FAD">
        <w:rPr>
          <w:rFonts w:ascii="Arial" w:hAnsi="Arial" w:cs="Arial"/>
          <w:color w:val="000000" w:themeColor="text1"/>
        </w:rPr>
        <w:t>, 56</w:t>
      </w:r>
      <w:r w:rsidR="00300860">
        <w:rPr>
          <w:rFonts w:ascii="Arial" w:hAnsi="Arial" w:cs="Arial"/>
          <w:color w:val="000000" w:themeColor="text1"/>
        </w:rPr>
        <w:t xml:space="preserve"> to the account of Mr </w:t>
      </w:r>
      <w:proofErr w:type="spellStart"/>
      <w:r w:rsidR="00300860">
        <w:rPr>
          <w:rFonts w:ascii="Arial" w:hAnsi="Arial" w:cs="Arial"/>
          <w:color w:val="000000" w:themeColor="text1"/>
        </w:rPr>
        <w:t>Kangonga</w:t>
      </w:r>
      <w:proofErr w:type="spellEnd"/>
      <w:r w:rsidR="00300860">
        <w:rPr>
          <w:rFonts w:ascii="Arial" w:hAnsi="Arial" w:cs="Arial"/>
          <w:color w:val="000000" w:themeColor="text1"/>
        </w:rPr>
        <w:t xml:space="preserve">. The diamonds were kept in a safe in Lycia’s representative’s hotel room as the necessary processes for </w:t>
      </w:r>
      <w:r w:rsidR="000B4013">
        <w:rPr>
          <w:rFonts w:ascii="Arial" w:hAnsi="Arial" w:cs="Arial"/>
          <w:color w:val="000000" w:themeColor="text1"/>
        </w:rPr>
        <w:t>the shipment of the diamonds were</w:t>
      </w:r>
      <w:r w:rsidR="00300860">
        <w:rPr>
          <w:rFonts w:ascii="Arial" w:hAnsi="Arial" w:cs="Arial"/>
          <w:color w:val="000000" w:themeColor="text1"/>
        </w:rPr>
        <w:t xml:space="preserve"> underway. During that time, a police officer came to the representative’s hotel room and informed him that the diamonds needed to be taken to the Ministry of Mines and Energy for some procedures to be effected. That was the last the diamonds were seen. The money paid as consideration for the diamonds, was thereafter paid to various indivi</w:t>
      </w:r>
      <w:r w:rsidR="00096F89">
        <w:rPr>
          <w:rFonts w:ascii="Arial" w:hAnsi="Arial" w:cs="Arial"/>
          <w:color w:val="000000" w:themeColor="text1"/>
        </w:rPr>
        <w:t xml:space="preserve">duals. A preservation of property order was obtained and served on the interested parties, including Lycia and Mr </w:t>
      </w:r>
      <w:proofErr w:type="spellStart"/>
      <w:r w:rsidR="00096F89">
        <w:rPr>
          <w:rFonts w:ascii="Arial" w:hAnsi="Arial" w:cs="Arial"/>
          <w:color w:val="000000" w:themeColor="text1"/>
        </w:rPr>
        <w:t>Kangonga</w:t>
      </w:r>
      <w:proofErr w:type="spellEnd"/>
      <w:r w:rsidR="00096F89">
        <w:rPr>
          <w:rFonts w:ascii="Arial" w:hAnsi="Arial" w:cs="Arial"/>
          <w:color w:val="000000" w:themeColor="text1"/>
        </w:rPr>
        <w:t xml:space="preserve">. They did not comply with the provisions of the Act. They later made </w:t>
      </w:r>
      <w:r w:rsidR="000B4013">
        <w:rPr>
          <w:rFonts w:ascii="Arial" w:hAnsi="Arial" w:cs="Arial"/>
          <w:color w:val="000000" w:themeColor="text1"/>
        </w:rPr>
        <w:t xml:space="preserve">separate </w:t>
      </w:r>
      <w:r w:rsidR="00096F89">
        <w:rPr>
          <w:rFonts w:ascii="Arial" w:hAnsi="Arial" w:cs="Arial"/>
          <w:color w:val="000000" w:themeColor="text1"/>
        </w:rPr>
        <w:t>a</w:t>
      </w:r>
      <w:r>
        <w:rPr>
          <w:rFonts w:ascii="Arial" w:hAnsi="Arial" w:cs="Arial"/>
          <w:color w:val="000000" w:themeColor="text1"/>
        </w:rPr>
        <w:t>pplications for condonation for non-compliance with the provisions of s 52 of the Act</w:t>
      </w:r>
      <w:r w:rsidR="00096F89">
        <w:rPr>
          <w:rFonts w:ascii="Arial" w:hAnsi="Arial" w:cs="Arial"/>
          <w:color w:val="000000" w:themeColor="text1"/>
        </w:rPr>
        <w:t>,</w:t>
      </w:r>
      <w:r w:rsidR="000B4013">
        <w:rPr>
          <w:rFonts w:ascii="Arial" w:hAnsi="Arial" w:cs="Arial"/>
          <w:color w:val="000000" w:themeColor="text1"/>
        </w:rPr>
        <w:t xml:space="preserve"> as persons with an interest in the properties and who intended to oppose the forfeiture application. Their respective</w:t>
      </w:r>
      <w:r w:rsidR="00096F89">
        <w:rPr>
          <w:rFonts w:ascii="Arial" w:hAnsi="Arial" w:cs="Arial"/>
          <w:color w:val="000000" w:themeColor="text1"/>
        </w:rPr>
        <w:t xml:space="preserve"> applications were dismissed.</w:t>
      </w:r>
      <w:r>
        <w:rPr>
          <w:rFonts w:ascii="Arial" w:hAnsi="Arial" w:cs="Arial"/>
          <w:color w:val="000000" w:themeColor="text1"/>
        </w:rPr>
        <w:t xml:space="preserve"> As such, the application for forfeiture of property order, was uncontested a</w:t>
      </w:r>
      <w:r w:rsidR="000B4013">
        <w:rPr>
          <w:rFonts w:ascii="Arial" w:hAnsi="Arial" w:cs="Arial"/>
          <w:color w:val="000000" w:themeColor="text1"/>
        </w:rPr>
        <w:t xml:space="preserve">s any possible opposition fell by the </w:t>
      </w:r>
      <w:r>
        <w:rPr>
          <w:rFonts w:ascii="Arial" w:hAnsi="Arial" w:cs="Arial"/>
          <w:color w:val="000000" w:themeColor="text1"/>
        </w:rPr>
        <w:t>way</w:t>
      </w:r>
      <w:r w:rsidR="000B4013">
        <w:rPr>
          <w:rFonts w:ascii="Arial" w:hAnsi="Arial" w:cs="Arial"/>
          <w:color w:val="000000" w:themeColor="text1"/>
        </w:rPr>
        <w:t>side</w:t>
      </w:r>
      <w:r>
        <w:rPr>
          <w:rFonts w:ascii="Arial" w:hAnsi="Arial" w:cs="Arial"/>
          <w:color w:val="000000" w:themeColor="text1"/>
        </w:rPr>
        <w:t>.</w:t>
      </w:r>
    </w:p>
    <w:p w14:paraId="57303FDA" w14:textId="77777777" w:rsidR="00952DF3" w:rsidRDefault="00952DF3" w:rsidP="00F102A7">
      <w:pPr>
        <w:spacing w:line="360" w:lineRule="auto"/>
        <w:jc w:val="both"/>
        <w:rPr>
          <w:rFonts w:ascii="Arial" w:hAnsi="Arial" w:cs="Arial"/>
          <w:color w:val="000000" w:themeColor="text1"/>
        </w:rPr>
      </w:pPr>
    </w:p>
    <w:p w14:paraId="710E6243" w14:textId="7AAC73F6" w:rsidR="00952DF3" w:rsidRDefault="00952DF3" w:rsidP="00F102A7">
      <w:pPr>
        <w:spacing w:line="360" w:lineRule="auto"/>
        <w:jc w:val="both"/>
        <w:rPr>
          <w:rFonts w:ascii="Arial" w:hAnsi="Arial" w:cs="Arial"/>
          <w:color w:val="000000" w:themeColor="text1"/>
        </w:rPr>
      </w:pPr>
      <w:r>
        <w:rPr>
          <w:rFonts w:ascii="Arial" w:hAnsi="Arial" w:cs="Arial"/>
          <w:i/>
          <w:color w:val="000000" w:themeColor="text1"/>
        </w:rPr>
        <w:t>Held</w:t>
      </w:r>
      <w:r>
        <w:rPr>
          <w:rFonts w:ascii="Arial" w:hAnsi="Arial" w:cs="Arial"/>
          <w:color w:val="000000" w:themeColor="text1"/>
        </w:rPr>
        <w:t xml:space="preserve">: That </w:t>
      </w:r>
      <w:r w:rsidR="006C66D1">
        <w:rPr>
          <w:rFonts w:ascii="Arial" w:hAnsi="Arial" w:cs="Arial"/>
          <w:color w:val="000000" w:themeColor="text1"/>
        </w:rPr>
        <w:t>in making the forfeiture order, the court is required to consider whether on a balance of probabilities, the property concerned was an instrumentality or intended  instrumentality of an offence referred to in Schedule 1; the proceeds of unlawful activities or is an unexplained asset.</w:t>
      </w:r>
    </w:p>
    <w:p w14:paraId="1F6B0CB7" w14:textId="77777777" w:rsidR="006C66D1" w:rsidRDefault="006C66D1" w:rsidP="00F102A7">
      <w:pPr>
        <w:spacing w:line="360" w:lineRule="auto"/>
        <w:jc w:val="both"/>
        <w:rPr>
          <w:rFonts w:ascii="Arial" w:hAnsi="Arial" w:cs="Arial"/>
          <w:color w:val="000000" w:themeColor="text1"/>
        </w:rPr>
      </w:pPr>
    </w:p>
    <w:p w14:paraId="68D37A88" w14:textId="5BF5E550" w:rsidR="006C66D1" w:rsidRPr="006C66D1" w:rsidRDefault="006C66D1" w:rsidP="00F102A7">
      <w:pPr>
        <w:spacing w:line="360" w:lineRule="auto"/>
        <w:jc w:val="both"/>
        <w:rPr>
          <w:rFonts w:ascii="Arial" w:hAnsi="Arial" w:cs="Arial"/>
          <w:color w:val="000000" w:themeColor="text1"/>
        </w:rPr>
      </w:pPr>
      <w:r>
        <w:rPr>
          <w:rFonts w:ascii="Arial" w:hAnsi="Arial" w:cs="Arial"/>
          <w:i/>
          <w:color w:val="000000" w:themeColor="text1"/>
        </w:rPr>
        <w:t>Held that</w:t>
      </w:r>
      <w:r>
        <w:rPr>
          <w:rFonts w:ascii="Arial" w:hAnsi="Arial" w:cs="Arial"/>
          <w:color w:val="000000" w:themeColor="text1"/>
        </w:rPr>
        <w:t>: The fact that the application is unopposed does not relieve the court from making a proper enquiry into whether a case has been made out by the PG on a balance of probabilities. In this regard, the court should ensure that the evidence relied on by the PG is credible, admissible and not in any way tainted or unreliable.</w:t>
      </w:r>
    </w:p>
    <w:p w14:paraId="2D38E4C0" w14:textId="77777777" w:rsidR="006C66D1" w:rsidRDefault="006C66D1" w:rsidP="00F102A7">
      <w:pPr>
        <w:spacing w:line="360" w:lineRule="auto"/>
        <w:jc w:val="both"/>
        <w:rPr>
          <w:rFonts w:ascii="Arial" w:hAnsi="Arial" w:cs="Arial"/>
          <w:color w:val="000000" w:themeColor="text1"/>
        </w:rPr>
      </w:pPr>
    </w:p>
    <w:p w14:paraId="44E998E1" w14:textId="4BB8A425" w:rsidR="006C66D1" w:rsidRDefault="006C66D1" w:rsidP="00F102A7">
      <w:pPr>
        <w:spacing w:line="360" w:lineRule="auto"/>
        <w:jc w:val="both"/>
        <w:rPr>
          <w:rFonts w:ascii="Arial" w:hAnsi="Arial" w:cs="Arial"/>
          <w:color w:val="000000" w:themeColor="text1"/>
        </w:rPr>
      </w:pPr>
      <w:r>
        <w:rPr>
          <w:rFonts w:ascii="Arial" w:hAnsi="Arial" w:cs="Arial"/>
          <w:i/>
          <w:color w:val="000000" w:themeColor="text1"/>
        </w:rPr>
        <w:t>Held further that</w:t>
      </w:r>
      <w:r>
        <w:rPr>
          <w:rFonts w:ascii="Arial" w:hAnsi="Arial" w:cs="Arial"/>
          <w:color w:val="000000" w:themeColor="text1"/>
        </w:rPr>
        <w:t>: In the instant case, the crimes that were on a balance of probab</w:t>
      </w:r>
      <w:r w:rsidR="00300860">
        <w:rPr>
          <w:rFonts w:ascii="Arial" w:hAnsi="Arial" w:cs="Arial"/>
          <w:color w:val="000000" w:themeColor="text1"/>
        </w:rPr>
        <w:t xml:space="preserve">ilities committed were theft, fraud and dealing in unpolished diamonds in violation of the Diamond Act </w:t>
      </w:r>
      <w:r w:rsidR="00B21D96">
        <w:rPr>
          <w:rFonts w:ascii="Arial" w:hAnsi="Arial" w:cs="Arial"/>
          <w:color w:val="000000" w:themeColor="text1"/>
        </w:rPr>
        <w:t xml:space="preserve">13 of </w:t>
      </w:r>
      <w:r w:rsidR="00300860">
        <w:rPr>
          <w:rFonts w:ascii="Arial" w:hAnsi="Arial" w:cs="Arial"/>
          <w:color w:val="000000" w:themeColor="text1"/>
        </w:rPr>
        <w:t>1999,</w:t>
      </w:r>
      <w:r>
        <w:rPr>
          <w:rFonts w:ascii="Arial" w:hAnsi="Arial" w:cs="Arial"/>
          <w:color w:val="000000" w:themeColor="text1"/>
        </w:rPr>
        <w:t xml:space="preserve"> thus qualifying the court to grant the forfeiture of property application.</w:t>
      </w:r>
    </w:p>
    <w:p w14:paraId="3F0C18B5" w14:textId="77777777" w:rsidR="006C66D1" w:rsidRDefault="006C66D1" w:rsidP="00F102A7">
      <w:pPr>
        <w:spacing w:line="360" w:lineRule="auto"/>
        <w:jc w:val="both"/>
        <w:rPr>
          <w:rFonts w:ascii="Arial" w:hAnsi="Arial" w:cs="Arial"/>
          <w:color w:val="000000" w:themeColor="text1"/>
        </w:rPr>
      </w:pPr>
    </w:p>
    <w:p w14:paraId="4E1CAB99" w14:textId="4C329D1A" w:rsidR="006C66D1" w:rsidRDefault="006C66D1" w:rsidP="00F102A7">
      <w:pPr>
        <w:spacing w:line="360" w:lineRule="auto"/>
        <w:jc w:val="both"/>
        <w:rPr>
          <w:rFonts w:ascii="Arial" w:hAnsi="Arial" w:cs="Arial"/>
          <w:color w:val="000000" w:themeColor="text1"/>
        </w:rPr>
      </w:pPr>
      <w:r>
        <w:rPr>
          <w:rFonts w:ascii="Arial" w:hAnsi="Arial" w:cs="Arial"/>
          <w:i/>
          <w:color w:val="000000" w:themeColor="text1"/>
        </w:rPr>
        <w:lastRenderedPageBreak/>
        <w:t>Held</w:t>
      </w:r>
      <w:r>
        <w:rPr>
          <w:rFonts w:ascii="Arial" w:hAnsi="Arial" w:cs="Arial"/>
          <w:color w:val="000000" w:themeColor="text1"/>
        </w:rPr>
        <w:t xml:space="preserve">: That the persons whose bank accounts were credited with the money from the sale of diamonds, knew or ought to have known that the money was proceeds of unlawful activity within the meaning of the Act. </w:t>
      </w:r>
    </w:p>
    <w:p w14:paraId="50DB290E" w14:textId="77777777" w:rsidR="000B4013" w:rsidRDefault="000B4013" w:rsidP="00F102A7">
      <w:pPr>
        <w:spacing w:line="360" w:lineRule="auto"/>
        <w:jc w:val="both"/>
        <w:rPr>
          <w:rFonts w:ascii="Arial" w:hAnsi="Arial" w:cs="Arial"/>
          <w:color w:val="000000" w:themeColor="text1"/>
        </w:rPr>
      </w:pPr>
    </w:p>
    <w:p w14:paraId="43F414C3" w14:textId="77777777" w:rsidR="00262E4B" w:rsidRDefault="00262E4B" w:rsidP="00262E4B">
      <w:pPr>
        <w:pBdr>
          <w:top w:val="single" w:sz="4" w:space="1" w:color="auto"/>
          <w:bottom w:val="single" w:sz="4" w:space="1" w:color="auto"/>
        </w:pBdr>
        <w:jc w:val="center"/>
        <w:rPr>
          <w:rFonts w:ascii="Arial" w:hAnsi="Arial" w:cs="Arial"/>
          <w:color w:val="000000" w:themeColor="text1"/>
        </w:rPr>
      </w:pPr>
    </w:p>
    <w:p w14:paraId="53210DC9" w14:textId="39B01063" w:rsidR="00262E4B" w:rsidRPr="00262E4B" w:rsidRDefault="00262E4B" w:rsidP="00262E4B">
      <w:pPr>
        <w:pBdr>
          <w:top w:val="single" w:sz="4" w:space="1" w:color="auto"/>
          <w:bottom w:val="single" w:sz="4" w:space="1" w:color="auto"/>
        </w:pBdr>
        <w:jc w:val="center"/>
        <w:rPr>
          <w:rFonts w:ascii="Arial" w:hAnsi="Arial" w:cs="Arial"/>
          <w:b/>
          <w:color w:val="000000" w:themeColor="text1"/>
        </w:rPr>
      </w:pPr>
      <w:r w:rsidRPr="00262E4B">
        <w:rPr>
          <w:rFonts w:ascii="Arial" w:hAnsi="Arial" w:cs="Arial"/>
          <w:b/>
          <w:color w:val="000000" w:themeColor="text1"/>
        </w:rPr>
        <w:t>ORDER</w:t>
      </w:r>
    </w:p>
    <w:p w14:paraId="05CD5615" w14:textId="77777777" w:rsidR="00262E4B" w:rsidRDefault="00262E4B" w:rsidP="00262E4B">
      <w:pPr>
        <w:pBdr>
          <w:top w:val="single" w:sz="4" w:space="1" w:color="auto"/>
          <w:bottom w:val="single" w:sz="4" w:space="1" w:color="auto"/>
        </w:pBdr>
        <w:jc w:val="center"/>
        <w:rPr>
          <w:rFonts w:ascii="Arial" w:hAnsi="Arial" w:cs="Arial"/>
          <w:color w:val="000000" w:themeColor="text1"/>
        </w:rPr>
      </w:pPr>
    </w:p>
    <w:p w14:paraId="361AB575" w14:textId="77777777" w:rsidR="00262E4B" w:rsidRDefault="00262E4B" w:rsidP="00F102A7">
      <w:pPr>
        <w:spacing w:line="360" w:lineRule="auto"/>
        <w:jc w:val="both"/>
        <w:rPr>
          <w:rFonts w:ascii="Arial" w:hAnsi="Arial" w:cs="Arial"/>
          <w:color w:val="000000" w:themeColor="text1"/>
        </w:rPr>
      </w:pPr>
    </w:p>
    <w:p w14:paraId="3271795C" w14:textId="77777777" w:rsidR="00262E4B" w:rsidRPr="006C66D1" w:rsidRDefault="00262E4B" w:rsidP="00F102A7">
      <w:pPr>
        <w:spacing w:line="360" w:lineRule="auto"/>
        <w:jc w:val="both"/>
        <w:rPr>
          <w:rFonts w:ascii="Arial" w:hAnsi="Arial" w:cs="Arial"/>
          <w:color w:val="000000" w:themeColor="text1"/>
        </w:rPr>
      </w:pPr>
    </w:p>
    <w:p w14:paraId="42AE1C8C" w14:textId="77777777" w:rsidR="00262E4B" w:rsidRPr="00701547" w:rsidRDefault="00262E4B" w:rsidP="00262E4B">
      <w:pPr>
        <w:pStyle w:val="ListParagraph"/>
        <w:numPr>
          <w:ilvl w:val="0"/>
          <w:numId w:val="6"/>
        </w:numPr>
        <w:spacing w:line="360" w:lineRule="auto"/>
        <w:ind w:left="561" w:hanging="561"/>
        <w:contextualSpacing w:val="0"/>
        <w:jc w:val="both"/>
        <w:rPr>
          <w:rFonts w:ascii="Arial" w:hAnsi="Arial" w:cs="Arial"/>
        </w:rPr>
      </w:pPr>
      <w:r w:rsidRPr="00701547">
        <w:rPr>
          <w:rFonts w:ascii="Arial" w:hAnsi="Arial" w:cs="Arial"/>
        </w:rPr>
        <w:t xml:space="preserve">The properties which are presently subject to a preservation of property order granted by this Honourable Court under the above case number, namely: </w:t>
      </w:r>
    </w:p>
    <w:p w14:paraId="2C8A020C" w14:textId="77777777" w:rsidR="00262E4B" w:rsidRPr="006D5481"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sidRPr="006D5481">
        <w:rPr>
          <w:rFonts w:ascii="Arial" w:hAnsi="Arial" w:cs="Arial"/>
          <w:iCs/>
          <w:sz w:val="24"/>
        </w:rPr>
        <w:t>The positive balance in the</w:t>
      </w:r>
      <w:r w:rsidRPr="006D5481">
        <w:rPr>
          <w:rFonts w:ascii="Arial" w:eastAsia="Calibri" w:hAnsi="Arial" w:cs="Arial"/>
          <w:color w:val="000000"/>
          <w:sz w:val="24"/>
        </w:rPr>
        <w:t xml:space="preserve"> positive balance in First National Bank account number 62245970802 held in the name of </w:t>
      </w:r>
      <w:proofErr w:type="spellStart"/>
      <w:r w:rsidRPr="006D5481">
        <w:rPr>
          <w:rFonts w:ascii="Arial" w:eastAsia="Calibri" w:hAnsi="Arial" w:cs="Arial"/>
          <w:color w:val="000000"/>
          <w:sz w:val="24"/>
        </w:rPr>
        <w:t>Heikki</w:t>
      </w:r>
      <w:proofErr w:type="spellEnd"/>
      <w:r w:rsidRPr="006D5481">
        <w:rPr>
          <w:rFonts w:ascii="Arial" w:eastAsia="Calibri" w:hAnsi="Arial" w:cs="Arial"/>
          <w:color w:val="000000"/>
          <w:sz w:val="24"/>
        </w:rPr>
        <w:t xml:space="preserve"> K. </w:t>
      </w:r>
      <w:proofErr w:type="spellStart"/>
      <w:r w:rsidRPr="006D5481">
        <w:rPr>
          <w:rFonts w:ascii="Arial" w:eastAsia="Calibri" w:hAnsi="Arial" w:cs="Arial"/>
          <w:color w:val="000000"/>
          <w:sz w:val="24"/>
        </w:rPr>
        <w:t>Kangonga</w:t>
      </w:r>
      <w:proofErr w:type="spellEnd"/>
      <w:r w:rsidRPr="006D5481">
        <w:rPr>
          <w:rFonts w:ascii="Arial" w:eastAsia="Calibri" w:hAnsi="Arial" w:cs="Arial"/>
          <w:color w:val="000000"/>
          <w:sz w:val="24"/>
        </w:rPr>
        <w:t xml:space="preserve">; </w:t>
      </w:r>
    </w:p>
    <w:p w14:paraId="457D625F" w14:textId="77777777" w:rsidR="00262E4B" w:rsidRPr="006D5481"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sidRPr="006D5481">
        <w:rPr>
          <w:rFonts w:ascii="Arial" w:eastAsia="Calibri" w:hAnsi="Arial" w:cs="Arial"/>
          <w:color w:val="000000"/>
          <w:sz w:val="24"/>
        </w:rPr>
        <w:t xml:space="preserve">The positive balance in First National Bank account number 62269544386 held in the name of </w:t>
      </w:r>
      <w:proofErr w:type="spellStart"/>
      <w:r w:rsidRPr="006D5481">
        <w:rPr>
          <w:rFonts w:ascii="Arial" w:eastAsia="Calibri" w:hAnsi="Arial" w:cs="Arial"/>
          <w:color w:val="000000"/>
          <w:sz w:val="24"/>
        </w:rPr>
        <w:t>Cabino</w:t>
      </w:r>
      <w:proofErr w:type="spellEnd"/>
      <w:r w:rsidRPr="006D5481">
        <w:rPr>
          <w:rFonts w:ascii="Arial" w:eastAsia="Calibri" w:hAnsi="Arial" w:cs="Arial"/>
          <w:color w:val="000000"/>
          <w:sz w:val="24"/>
        </w:rPr>
        <w:t xml:space="preserve"> Financial Services CC; </w:t>
      </w:r>
    </w:p>
    <w:p w14:paraId="7633B272" w14:textId="77777777" w:rsidR="00262E4B" w:rsidRPr="00A30DA2"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sidRPr="006D5481">
        <w:rPr>
          <w:rFonts w:ascii="Arial" w:eastAsia="Calibri" w:hAnsi="Arial" w:cs="Arial"/>
          <w:color w:val="000000"/>
          <w:sz w:val="24"/>
        </w:rPr>
        <w:t xml:space="preserve">The positive balance in First National Bank account number 62274169327 held in the name of </w:t>
      </w:r>
      <w:proofErr w:type="spellStart"/>
      <w:r w:rsidRPr="006D5481">
        <w:rPr>
          <w:rFonts w:ascii="Arial" w:eastAsia="Calibri" w:hAnsi="Arial" w:cs="Arial"/>
          <w:color w:val="000000"/>
          <w:sz w:val="24"/>
        </w:rPr>
        <w:t>Toini</w:t>
      </w:r>
      <w:proofErr w:type="spellEnd"/>
      <w:r w:rsidRPr="006D5481">
        <w:rPr>
          <w:rFonts w:ascii="Arial" w:eastAsia="Calibri" w:hAnsi="Arial" w:cs="Arial"/>
          <w:color w:val="000000"/>
          <w:sz w:val="24"/>
        </w:rPr>
        <w:t xml:space="preserve"> </w:t>
      </w:r>
      <w:proofErr w:type="spellStart"/>
      <w:r w:rsidRPr="006D5481">
        <w:rPr>
          <w:rFonts w:ascii="Arial" w:eastAsia="Calibri" w:hAnsi="Arial" w:cs="Arial"/>
          <w:color w:val="000000"/>
          <w:sz w:val="24"/>
        </w:rPr>
        <w:t>Shilunga</w:t>
      </w:r>
      <w:proofErr w:type="spellEnd"/>
      <w:r w:rsidRPr="006D5481">
        <w:rPr>
          <w:rFonts w:ascii="Arial" w:eastAsia="Calibri" w:hAnsi="Arial" w:cs="Arial"/>
          <w:color w:val="000000"/>
          <w:sz w:val="24"/>
        </w:rPr>
        <w:t>;</w:t>
      </w:r>
    </w:p>
    <w:p w14:paraId="3851BABF" w14:textId="77777777" w:rsidR="00262E4B" w:rsidRPr="006D5481"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Pr>
          <w:rFonts w:ascii="Arial" w:eastAsia="Calibri" w:hAnsi="Arial" w:cs="Arial"/>
          <w:color w:val="000000"/>
          <w:sz w:val="24"/>
        </w:rPr>
        <w:t xml:space="preserve">A sum of N$58 000.00 held in First National Bank internal office account number 62275725631 linked to FNB account number 62023483415 held in the name of </w:t>
      </w:r>
      <w:proofErr w:type="spellStart"/>
      <w:r>
        <w:rPr>
          <w:rFonts w:ascii="Arial" w:eastAsia="Calibri" w:hAnsi="Arial" w:cs="Arial"/>
          <w:color w:val="000000"/>
          <w:sz w:val="24"/>
        </w:rPr>
        <w:t>Leevi</w:t>
      </w:r>
      <w:proofErr w:type="spellEnd"/>
      <w:r>
        <w:rPr>
          <w:rFonts w:ascii="Arial" w:eastAsia="Calibri" w:hAnsi="Arial" w:cs="Arial"/>
          <w:color w:val="000000"/>
          <w:sz w:val="24"/>
        </w:rPr>
        <w:t xml:space="preserve"> </w:t>
      </w:r>
      <w:proofErr w:type="spellStart"/>
      <w:r>
        <w:rPr>
          <w:rFonts w:ascii="Arial" w:eastAsia="Calibri" w:hAnsi="Arial" w:cs="Arial"/>
          <w:color w:val="000000"/>
          <w:sz w:val="24"/>
        </w:rPr>
        <w:t>Nanyeni</w:t>
      </w:r>
      <w:proofErr w:type="spellEnd"/>
      <w:r>
        <w:rPr>
          <w:rFonts w:ascii="Arial" w:eastAsia="Calibri" w:hAnsi="Arial" w:cs="Arial"/>
          <w:color w:val="000000"/>
          <w:sz w:val="24"/>
        </w:rPr>
        <w:t>;</w:t>
      </w:r>
    </w:p>
    <w:p w14:paraId="32760AA1" w14:textId="77777777" w:rsidR="00262E4B" w:rsidRPr="00A30DA2"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Pr>
          <w:rFonts w:ascii="Arial" w:eastAsia="Calibri" w:hAnsi="Arial" w:cs="Arial"/>
          <w:color w:val="000000"/>
          <w:sz w:val="24"/>
        </w:rPr>
        <w:t>T</w:t>
      </w:r>
      <w:r w:rsidRPr="00A30DA2">
        <w:rPr>
          <w:rFonts w:ascii="Arial" w:eastAsia="Calibri" w:hAnsi="Arial" w:cs="Arial"/>
          <w:color w:val="000000"/>
          <w:sz w:val="24"/>
        </w:rPr>
        <w:t xml:space="preserve">he positive balance in First National Bank account number 62261180055 held in the name of Petrus </w:t>
      </w:r>
      <w:proofErr w:type="spellStart"/>
      <w:r w:rsidRPr="00A30DA2">
        <w:rPr>
          <w:rFonts w:ascii="Arial" w:eastAsia="Calibri" w:hAnsi="Arial" w:cs="Arial"/>
          <w:color w:val="000000"/>
          <w:sz w:val="24"/>
        </w:rPr>
        <w:t>Dawid</w:t>
      </w:r>
      <w:proofErr w:type="spellEnd"/>
      <w:r w:rsidRPr="00A30DA2">
        <w:rPr>
          <w:rFonts w:ascii="Arial" w:eastAsia="Calibri" w:hAnsi="Arial" w:cs="Arial"/>
          <w:color w:val="000000"/>
          <w:sz w:val="24"/>
        </w:rPr>
        <w:t>;</w:t>
      </w:r>
    </w:p>
    <w:p w14:paraId="758282C6" w14:textId="77777777" w:rsidR="00262E4B" w:rsidRPr="00A30DA2"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sidRPr="00A30DA2">
        <w:rPr>
          <w:rFonts w:ascii="Arial" w:eastAsia="Calibri" w:hAnsi="Arial" w:cs="Arial"/>
          <w:color w:val="000000"/>
          <w:sz w:val="24"/>
        </w:rPr>
        <w:t xml:space="preserve">The positive balance in </w:t>
      </w:r>
      <w:r w:rsidRPr="00A30DA2">
        <w:rPr>
          <w:rFonts w:ascii="Arial" w:hAnsi="Arial" w:cs="Arial"/>
          <w:sz w:val="24"/>
        </w:rPr>
        <w:t xml:space="preserve">Bank Windhoek account number CHK 8023444377 held in the name of </w:t>
      </w:r>
      <w:proofErr w:type="spellStart"/>
      <w:r w:rsidRPr="00A30DA2">
        <w:rPr>
          <w:rFonts w:ascii="Arial" w:hAnsi="Arial" w:cs="Arial"/>
          <w:sz w:val="24"/>
        </w:rPr>
        <w:t>Natangwe</w:t>
      </w:r>
      <w:proofErr w:type="spellEnd"/>
      <w:r w:rsidRPr="00A30DA2">
        <w:rPr>
          <w:rFonts w:ascii="Arial" w:hAnsi="Arial" w:cs="Arial"/>
          <w:sz w:val="24"/>
        </w:rPr>
        <w:t xml:space="preserve"> </w:t>
      </w:r>
      <w:proofErr w:type="spellStart"/>
      <w:r w:rsidRPr="00A30DA2">
        <w:rPr>
          <w:rFonts w:ascii="Arial" w:hAnsi="Arial" w:cs="Arial"/>
          <w:sz w:val="24"/>
        </w:rPr>
        <w:t>Kalambi</w:t>
      </w:r>
      <w:proofErr w:type="spellEnd"/>
      <w:r w:rsidRPr="00A30DA2">
        <w:rPr>
          <w:rFonts w:ascii="Arial" w:hAnsi="Arial" w:cs="Arial"/>
          <w:sz w:val="24"/>
        </w:rPr>
        <w:t>;</w:t>
      </w:r>
    </w:p>
    <w:p w14:paraId="2ADFE04A" w14:textId="77777777" w:rsidR="00262E4B" w:rsidRPr="00A30DA2"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sidRPr="00A30DA2">
        <w:rPr>
          <w:rFonts w:ascii="Arial" w:eastAsia="Calibri" w:hAnsi="Arial" w:cs="Arial"/>
          <w:color w:val="000000"/>
          <w:sz w:val="24"/>
        </w:rPr>
        <w:t xml:space="preserve">The positive balance in </w:t>
      </w:r>
      <w:proofErr w:type="spellStart"/>
      <w:r w:rsidRPr="00A30DA2">
        <w:rPr>
          <w:rFonts w:ascii="Arial" w:eastAsia="Calibri" w:hAnsi="Arial" w:cs="Arial"/>
          <w:color w:val="000000"/>
          <w:sz w:val="24"/>
        </w:rPr>
        <w:t>Nampost</w:t>
      </w:r>
      <w:proofErr w:type="spellEnd"/>
      <w:r w:rsidRPr="00A30DA2">
        <w:rPr>
          <w:rFonts w:ascii="Arial" w:eastAsia="Calibri" w:hAnsi="Arial" w:cs="Arial"/>
          <w:color w:val="000000"/>
          <w:sz w:val="24"/>
        </w:rPr>
        <w:t xml:space="preserve"> Limited account number 911824805588 held in the name of Erastus G. </w:t>
      </w:r>
      <w:proofErr w:type="spellStart"/>
      <w:r w:rsidRPr="00A30DA2">
        <w:rPr>
          <w:rFonts w:ascii="Arial" w:eastAsia="Calibri" w:hAnsi="Arial" w:cs="Arial"/>
          <w:color w:val="000000"/>
          <w:sz w:val="24"/>
        </w:rPr>
        <w:t>Heita</w:t>
      </w:r>
      <w:proofErr w:type="spellEnd"/>
      <w:r w:rsidRPr="00A30DA2">
        <w:rPr>
          <w:rFonts w:ascii="Arial" w:eastAsia="Calibri" w:hAnsi="Arial" w:cs="Arial"/>
          <w:color w:val="000000"/>
          <w:sz w:val="24"/>
        </w:rPr>
        <w:t xml:space="preserve">; and    </w:t>
      </w:r>
    </w:p>
    <w:p w14:paraId="69AC422F" w14:textId="51394889" w:rsidR="00262E4B" w:rsidRPr="00815559" w:rsidRDefault="00262E4B" w:rsidP="00262E4B">
      <w:pPr>
        <w:pStyle w:val="Level1"/>
        <w:widowControl/>
        <w:numPr>
          <w:ilvl w:val="1"/>
          <w:numId w:val="8"/>
        </w:numPr>
        <w:tabs>
          <w:tab w:val="left" w:pos="-1080"/>
          <w:tab w:val="left" w:pos="-720"/>
          <w:tab w:val="left" w:pos="0"/>
          <w:tab w:val="left" w:pos="567"/>
          <w:tab w:val="left" w:pos="2880"/>
          <w:tab w:val="left" w:pos="3600"/>
          <w:tab w:val="left" w:pos="4320"/>
          <w:tab w:val="left" w:pos="5040"/>
          <w:tab w:val="left" w:pos="5760"/>
          <w:tab w:val="left" w:pos="6480"/>
          <w:tab w:val="left" w:pos="7200"/>
          <w:tab w:val="right" w:pos="8640"/>
        </w:tabs>
        <w:spacing w:line="360" w:lineRule="auto"/>
        <w:jc w:val="both"/>
        <w:rPr>
          <w:rFonts w:ascii="Arial" w:hAnsi="Arial" w:cs="Arial"/>
          <w:b/>
          <w:bCs/>
          <w:sz w:val="24"/>
        </w:rPr>
      </w:pPr>
      <w:r w:rsidRPr="006D5481">
        <w:rPr>
          <w:rFonts w:ascii="Arial" w:eastAsia="Calibri" w:hAnsi="Arial" w:cs="Arial"/>
          <w:color w:val="000000"/>
          <w:sz w:val="24"/>
        </w:rPr>
        <w:t>The positive balance in First National Bank account number 62275675167 held in the n</w:t>
      </w:r>
      <w:r w:rsidR="00D752AF">
        <w:rPr>
          <w:rFonts w:ascii="Arial" w:eastAsia="Calibri" w:hAnsi="Arial" w:cs="Arial"/>
          <w:color w:val="000000"/>
          <w:sz w:val="24"/>
        </w:rPr>
        <w:t xml:space="preserve">ame of Erastus G. </w:t>
      </w:r>
      <w:proofErr w:type="spellStart"/>
      <w:r w:rsidR="00D752AF">
        <w:rPr>
          <w:rFonts w:ascii="Arial" w:eastAsia="Calibri" w:hAnsi="Arial" w:cs="Arial"/>
          <w:color w:val="000000"/>
          <w:sz w:val="24"/>
        </w:rPr>
        <w:t>Heita</w:t>
      </w:r>
      <w:proofErr w:type="spellEnd"/>
      <w:r w:rsidR="00D752AF">
        <w:rPr>
          <w:rFonts w:ascii="Arial" w:eastAsia="Calibri" w:hAnsi="Arial" w:cs="Arial"/>
          <w:color w:val="000000"/>
          <w:sz w:val="24"/>
        </w:rPr>
        <w:t>, herein</w:t>
      </w:r>
      <w:r w:rsidRPr="006D5481">
        <w:rPr>
          <w:rFonts w:ascii="Arial" w:eastAsia="Calibri" w:hAnsi="Arial" w:cs="Arial"/>
          <w:color w:val="000000"/>
          <w:sz w:val="24"/>
        </w:rPr>
        <w:t>after</w:t>
      </w:r>
      <w:r w:rsidR="00D752AF">
        <w:rPr>
          <w:rFonts w:ascii="Arial" w:eastAsia="Calibri" w:hAnsi="Arial" w:cs="Arial"/>
          <w:color w:val="000000"/>
          <w:sz w:val="24"/>
        </w:rPr>
        <w:t xml:space="preserve"> referred to as ‘the properties’</w:t>
      </w:r>
      <w:r>
        <w:rPr>
          <w:rFonts w:ascii="Arial" w:eastAsia="Calibri" w:hAnsi="Arial" w:cs="Arial"/>
          <w:color w:val="000000"/>
          <w:sz w:val="24"/>
        </w:rPr>
        <w:t xml:space="preserve">, </w:t>
      </w:r>
      <w:r w:rsidRPr="00815559">
        <w:rPr>
          <w:rFonts w:ascii="Arial" w:hAnsi="Arial" w:cs="Arial"/>
          <w:sz w:val="24"/>
        </w:rPr>
        <w:t>be forfeited to the State in terms of section 61 of the Prevention of Organis</w:t>
      </w:r>
      <w:r w:rsidR="00D752AF">
        <w:rPr>
          <w:rFonts w:ascii="Arial" w:hAnsi="Arial" w:cs="Arial"/>
          <w:sz w:val="24"/>
        </w:rPr>
        <w:t>ed Crime Act, 29 of 2004 (‘POCA’</w:t>
      </w:r>
      <w:r w:rsidRPr="00815559">
        <w:rPr>
          <w:rFonts w:ascii="Arial" w:hAnsi="Arial" w:cs="Arial"/>
          <w:sz w:val="24"/>
        </w:rPr>
        <w:t>).</w:t>
      </w:r>
    </w:p>
    <w:p w14:paraId="1073F3F9" w14:textId="781F6EFE" w:rsidR="00262E4B" w:rsidRPr="00FE6383" w:rsidRDefault="00262E4B" w:rsidP="00262E4B">
      <w:pPr>
        <w:pStyle w:val="ListParagraph"/>
        <w:numPr>
          <w:ilvl w:val="0"/>
          <w:numId w:val="6"/>
        </w:numPr>
        <w:spacing w:line="360" w:lineRule="auto"/>
        <w:ind w:left="561" w:hanging="561"/>
        <w:contextualSpacing w:val="0"/>
        <w:jc w:val="both"/>
        <w:rPr>
          <w:rFonts w:ascii="Arial" w:hAnsi="Arial" w:cs="Arial"/>
        </w:rPr>
      </w:pPr>
      <w:r w:rsidRPr="00701547">
        <w:rPr>
          <w:rFonts w:ascii="Arial" w:hAnsi="Arial" w:cs="Arial"/>
        </w:rPr>
        <w:lastRenderedPageBreak/>
        <w:t xml:space="preserve">The properties are to remain under the control and supervision of </w:t>
      </w:r>
      <w:r>
        <w:rPr>
          <w:rFonts w:ascii="Arial" w:hAnsi="Arial" w:cs="Arial"/>
        </w:rPr>
        <w:t>Detecti</w:t>
      </w:r>
      <w:r w:rsidR="00D752AF">
        <w:rPr>
          <w:rFonts w:ascii="Arial" w:hAnsi="Arial" w:cs="Arial"/>
        </w:rPr>
        <w:t xml:space="preserve">ve Inspector Johan </w:t>
      </w:r>
      <w:proofErr w:type="spellStart"/>
      <w:r w:rsidR="00D752AF">
        <w:rPr>
          <w:rFonts w:ascii="Arial" w:hAnsi="Arial" w:cs="Arial"/>
        </w:rPr>
        <w:t>Nico</w:t>
      </w:r>
      <w:proofErr w:type="spellEnd"/>
      <w:r w:rsidR="00D752AF">
        <w:rPr>
          <w:rFonts w:ascii="Arial" w:hAnsi="Arial" w:cs="Arial"/>
        </w:rPr>
        <w:t xml:space="preserve"> Green (‘</w:t>
      </w:r>
      <w:r>
        <w:rPr>
          <w:rFonts w:ascii="Arial" w:hAnsi="Arial" w:cs="Arial"/>
        </w:rPr>
        <w:t xml:space="preserve">D. </w:t>
      </w:r>
      <w:proofErr w:type="spellStart"/>
      <w:r>
        <w:rPr>
          <w:rFonts w:ascii="Arial" w:hAnsi="Arial" w:cs="Arial"/>
        </w:rPr>
        <w:t>Insp</w:t>
      </w:r>
      <w:proofErr w:type="spellEnd"/>
      <w:r>
        <w:rPr>
          <w:rFonts w:ascii="Arial" w:hAnsi="Arial" w:cs="Arial"/>
        </w:rPr>
        <w:t xml:space="preserve"> Green</w:t>
      </w:r>
      <w:r w:rsidR="00D752AF">
        <w:rPr>
          <w:rFonts w:ascii="Arial" w:hAnsi="Arial" w:cs="Arial"/>
        </w:rPr>
        <w:t>’</w:t>
      </w:r>
      <w:r>
        <w:rPr>
          <w:rFonts w:ascii="Arial" w:hAnsi="Arial" w:cs="Arial"/>
        </w:rPr>
        <w:t>) a member of the Anti-Money Laundering and Combating of Financing and Terrorism: Asset Recovery Sub-Division within the Namibian Police Force (“</w:t>
      </w:r>
      <w:proofErr w:type="spellStart"/>
      <w:r>
        <w:rPr>
          <w:rFonts w:ascii="Arial" w:hAnsi="Arial" w:cs="Arial"/>
        </w:rPr>
        <w:t>Nampol</w:t>
      </w:r>
      <w:proofErr w:type="spellEnd"/>
      <w:r>
        <w:rPr>
          <w:rFonts w:ascii="Arial" w:hAnsi="Arial" w:cs="Arial"/>
        </w:rPr>
        <w:t xml:space="preserve">”), stationed at </w:t>
      </w:r>
      <w:proofErr w:type="spellStart"/>
      <w:r>
        <w:rPr>
          <w:rFonts w:ascii="Arial" w:hAnsi="Arial" w:cs="Arial"/>
        </w:rPr>
        <w:t>Ausspanplatz</w:t>
      </w:r>
      <w:proofErr w:type="spellEnd"/>
      <w:r>
        <w:rPr>
          <w:rFonts w:ascii="Arial" w:hAnsi="Arial" w:cs="Arial"/>
        </w:rPr>
        <w:t xml:space="preserve">, Windhoek, </w:t>
      </w:r>
      <w:r w:rsidRPr="00FE6383">
        <w:rPr>
          <w:rFonts w:ascii="Arial" w:hAnsi="Arial" w:cs="Arial"/>
        </w:rPr>
        <w:t xml:space="preserve">and in </w:t>
      </w:r>
      <w:r>
        <w:rPr>
          <w:rFonts w:ascii="Arial" w:hAnsi="Arial" w:cs="Arial"/>
        </w:rPr>
        <w:t xml:space="preserve">D. </w:t>
      </w:r>
      <w:proofErr w:type="spellStart"/>
      <w:r>
        <w:rPr>
          <w:rFonts w:ascii="Arial" w:hAnsi="Arial" w:cs="Arial"/>
        </w:rPr>
        <w:t>Insp</w:t>
      </w:r>
      <w:proofErr w:type="spellEnd"/>
      <w:r>
        <w:rPr>
          <w:rFonts w:ascii="Arial" w:hAnsi="Arial" w:cs="Arial"/>
        </w:rPr>
        <w:t xml:space="preserve"> Green</w:t>
      </w:r>
      <w:r w:rsidRPr="00FE6383">
        <w:rPr>
          <w:rFonts w:ascii="Arial" w:hAnsi="Arial" w:cs="Arial"/>
        </w:rPr>
        <w:t>’s absence a</w:t>
      </w:r>
      <w:r>
        <w:rPr>
          <w:rFonts w:ascii="Arial" w:hAnsi="Arial" w:cs="Arial"/>
        </w:rPr>
        <w:t>n</w:t>
      </w:r>
      <w:r w:rsidRPr="00FE6383">
        <w:rPr>
          <w:rFonts w:ascii="Arial" w:hAnsi="Arial" w:cs="Arial"/>
        </w:rPr>
        <w:t>y other authorised member of</w:t>
      </w:r>
      <w:r w:rsidRPr="00FE6383">
        <w:rPr>
          <w:rFonts w:ascii="Arial" w:eastAsia="Times New Roman" w:hAnsi="Arial" w:cs="Arial"/>
        </w:rPr>
        <w:t xml:space="preserve"> </w:t>
      </w:r>
      <w:proofErr w:type="spellStart"/>
      <w:r>
        <w:rPr>
          <w:rFonts w:ascii="Arial" w:eastAsia="Times New Roman" w:hAnsi="Arial" w:cs="Arial"/>
        </w:rPr>
        <w:t>Nampol</w:t>
      </w:r>
      <w:proofErr w:type="spellEnd"/>
      <w:r>
        <w:rPr>
          <w:rFonts w:ascii="Arial" w:eastAsia="Times New Roman" w:hAnsi="Arial" w:cs="Arial"/>
        </w:rPr>
        <w:t xml:space="preserve">. </w:t>
      </w:r>
    </w:p>
    <w:p w14:paraId="4B634457" w14:textId="77777777" w:rsidR="00262E4B" w:rsidRPr="008836BD" w:rsidRDefault="00262E4B" w:rsidP="00262E4B">
      <w:pPr>
        <w:pStyle w:val="ListParagraph"/>
        <w:numPr>
          <w:ilvl w:val="0"/>
          <w:numId w:val="6"/>
        </w:numPr>
        <w:spacing w:line="360" w:lineRule="auto"/>
        <w:ind w:left="561" w:hanging="561"/>
        <w:contextualSpacing w:val="0"/>
        <w:jc w:val="both"/>
        <w:rPr>
          <w:rFonts w:ascii="Arial" w:hAnsi="Arial" w:cs="Arial"/>
        </w:rPr>
      </w:pPr>
      <w:r>
        <w:rPr>
          <w:rFonts w:ascii="Arial" w:hAnsi="Arial" w:cs="Arial"/>
        </w:rPr>
        <w:t xml:space="preserve">D. </w:t>
      </w:r>
      <w:proofErr w:type="spellStart"/>
      <w:r>
        <w:rPr>
          <w:rFonts w:ascii="Arial" w:hAnsi="Arial" w:cs="Arial"/>
        </w:rPr>
        <w:t>Insp</w:t>
      </w:r>
      <w:proofErr w:type="spellEnd"/>
      <w:r>
        <w:rPr>
          <w:rFonts w:ascii="Arial" w:hAnsi="Arial" w:cs="Arial"/>
        </w:rPr>
        <w:t xml:space="preserve"> Green</w:t>
      </w:r>
      <w:r w:rsidRPr="00701547">
        <w:rPr>
          <w:rFonts w:ascii="Arial" w:hAnsi="Arial" w:cs="Arial"/>
        </w:rPr>
        <w:t>, or in h</w:t>
      </w:r>
      <w:r>
        <w:rPr>
          <w:rFonts w:ascii="Arial" w:hAnsi="Arial" w:cs="Arial"/>
        </w:rPr>
        <w:t>is</w:t>
      </w:r>
      <w:r w:rsidRPr="00701547">
        <w:rPr>
          <w:rFonts w:ascii="Arial" w:hAnsi="Arial" w:cs="Arial"/>
        </w:rPr>
        <w:t xml:space="preserve"> absence</w:t>
      </w:r>
      <w:r>
        <w:rPr>
          <w:rFonts w:ascii="Arial" w:hAnsi="Arial" w:cs="Arial"/>
        </w:rPr>
        <w:t>,</w:t>
      </w:r>
      <w:r w:rsidRPr="00701547">
        <w:rPr>
          <w:rFonts w:ascii="Arial" w:hAnsi="Arial" w:cs="Arial"/>
        </w:rPr>
        <w:t xml:space="preserve"> any other authorised member of </w:t>
      </w:r>
      <w:proofErr w:type="spellStart"/>
      <w:r>
        <w:rPr>
          <w:rFonts w:ascii="Arial" w:eastAsia="Times New Roman" w:hAnsi="Arial" w:cs="Arial"/>
        </w:rPr>
        <w:t>Nampol</w:t>
      </w:r>
      <w:proofErr w:type="spellEnd"/>
      <w:r w:rsidRPr="00701547">
        <w:rPr>
          <w:rFonts w:ascii="Arial" w:eastAsia="Times New Roman" w:hAnsi="Arial" w:cs="Arial"/>
        </w:rPr>
        <w:t xml:space="preserve">, </w:t>
      </w:r>
      <w:r w:rsidRPr="00701547">
        <w:rPr>
          <w:rFonts w:ascii="Arial" w:hAnsi="Arial" w:cs="Arial"/>
        </w:rPr>
        <w:t xml:space="preserve">is directed to pay the </w:t>
      </w:r>
      <w:r>
        <w:rPr>
          <w:rFonts w:ascii="Arial" w:hAnsi="Arial" w:cs="Arial"/>
        </w:rPr>
        <w:t xml:space="preserve">properties </w:t>
      </w:r>
      <w:r w:rsidRPr="00701547">
        <w:rPr>
          <w:rFonts w:ascii="Arial" w:eastAsia="Calibri" w:hAnsi="Arial" w:cs="Arial"/>
          <w:iCs/>
        </w:rPr>
        <w:t>and the interest there</w:t>
      </w:r>
      <w:r>
        <w:rPr>
          <w:rFonts w:ascii="Arial" w:eastAsia="Calibri" w:hAnsi="Arial" w:cs="Arial"/>
          <w:iCs/>
        </w:rPr>
        <w:t xml:space="preserve">to, </w:t>
      </w:r>
      <w:r w:rsidRPr="00701547">
        <w:rPr>
          <w:rFonts w:ascii="Arial" w:hAnsi="Arial" w:cs="Arial"/>
        </w:rPr>
        <w:t>into the Asset Recovery Account:</w:t>
      </w:r>
    </w:p>
    <w:p w14:paraId="128C1E7D" w14:textId="77777777" w:rsidR="00262E4B" w:rsidRDefault="00262E4B" w:rsidP="00262E4B">
      <w:pPr>
        <w:pStyle w:val="ListParagraph"/>
        <w:spacing w:line="360" w:lineRule="auto"/>
        <w:ind w:left="567"/>
        <w:contextualSpacing w:val="0"/>
        <w:jc w:val="both"/>
        <w:rPr>
          <w:rFonts w:ascii="Arial" w:hAnsi="Arial" w:cs="Arial"/>
          <w:lang w:val="en-ZA"/>
        </w:rPr>
      </w:pPr>
    </w:p>
    <w:p w14:paraId="3A418FE1" w14:textId="77777777" w:rsidR="00262E4B" w:rsidRDefault="00262E4B" w:rsidP="00262E4B">
      <w:pPr>
        <w:pStyle w:val="ListParagraph"/>
        <w:spacing w:line="360" w:lineRule="auto"/>
        <w:ind w:left="567"/>
        <w:contextualSpacing w:val="0"/>
        <w:jc w:val="both"/>
        <w:rPr>
          <w:rFonts w:ascii="Arial" w:hAnsi="Arial" w:cs="Arial"/>
          <w:lang w:val="en-ZA"/>
        </w:rPr>
      </w:pPr>
      <w:r>
        <w:rPr>
          <w:rFonts w:ascii="Arial" w:hAnsi="Arial" w:cs="Arial"/>
          <w:lang w:val="en-ZA"/>
        </w:rPr>
        <w:t>Ministry of Justice –POCA</w:t>
      </w:r>
    </w:p>
    <w:p w14:paraId="00396F27" w14:textId="77777777" w:rsidR="00262E4B" w:rsidRDefault="00262E4B" w:rsidP="00262E4B">
      <w:pPr>
        <w:pStyle w:val="ListParagraph"/>
        <w:spacing w:line="360" w:lineRule="auto"/>
        <w:ind w:left="567"/>
        <w:contextualSpacing w:val="0"/>
        <w:jc w:val="both"/>
        <w:rPr>
          <w:rFonts w:ascii="Arial" w:hAnsi="Arial" w:cs="Arial"/>
          <w:lang w:val="en-ZA"/>
        </w:rPr>
      </w:pPr>
      <w:r>
        <w:rPr>
          <w:rFonts w:ascii="Arial" w:hAnsi="Arial" w:cs="Arial"/>
          <w:lang w:val="en-ZA"/>
        </w:rPr>
        <w:t>Standard Bank account number 589245309</w:t>
      </w:r>
    </w:p>
    <w:p w14:paraId="3669D86D" w14:textId="77777777" w:rsidR="00262E4B" w:rsidRDefault="00262E4B" w:rsidP="00262E4B">
      <w:pPr>
        <w:pStyle w:val="ListParagraph"/>
        <w:spacing w:line="360" w:lineRule="auto"/>
        <w:ind w:left="567"/>
        <w:contextualSpacing w:val="0"/>
        <w:jc w:val="both"/>
        <w:rPr>
          <w:rFonts w:ascii="Arial" w:hAnsi="Arial" w:cs="Arial"/>
          <w:lang w:val="en-ZA"/>
        </w:rPr>
      </w:pPr>
      <w:r>
        <w:rPr>
          <w:rFonts w:ascii="Arial" w:hAnsi="Arial" w:cs="Arial"/>
          <w:lang w:val="en-ZA"/>
        </w:rPr>
        <w:t>Branch Code: 08237200</w:t>
      </w:r>
    </w:p>
    <w:p w14:paraId="247A4AEC" w14:textId="77777777" w:rsidR="00262E4B" w:rsidRPr="004A6957" w:rsidRDefault="00262E4B" w:rsidP="00262E4B">
      <w:pPr>
        <w:pStyle w:val="ListParagraph"/>
        <w:spacing w:line="360" w:lineRule="auto"/>
        <w:ind w:left="567"/>
        <w:contextualSpacing w:val="0"/>
        <w:jc w:val="both"/>
        <w:rPr>
          <w:rFonts w:ascii="Arial" w:hAnsi="Arial" w:cs="Arial"/>
          <w:lang w:val="en-ZA"/>
        </w:rPr>
      </w:pPr>
    </w:p>
    <w:p w14:paraId="15A09C5A" w14:textId="77777777" w:rsidR="00262E4B" w:rsidRDefault="00262E4B" w:rsidP="00262E4B">
      <w:pPr>
        <w:numPr>
          <w:ilvl w:val="0"/>
          <w:numId w:val="6"/>
        </w:numPr>
        <w:spacing w:line="360" w:lineRule="auto"/>
        <w:jc w:val="both"/>
        <w:rPr>
          <w:rFonts w:ascii="Arial" w:hAnsi="Arial" w:cs="Arial"/>
          <w:lang w:val="en-ZA"/>
        </w:rPr>
      </w:pPr>
      <w:r>
        <w:rPr>
          <w:rFonts w:ascii="Arial" w:hAnsi="Arial" w:cs="Arial"/>
          <w:lang w:val="en-ZA"/>
        </w:rPr>
        <w:t xml:space="preserve">Any person whose interest in the properties concerned is affected by the forfeiture order, may within 15 days after he or she has become aware of the order apply to the High Court for a variation or rescission of the order. </w:t>
      </w:r>
    </w:p>
    <w:p w14:paraId="4D9AE6E3" w14:textId="77777777" w:rsidR="00262E4B" w:rsidRDefault="00262E4B" w:rsidP="00262E4B">
      <w:pPr>
        <w:pStyle w:val="ListParagraph"/>
        <w:numPr>
          <w:ilvl w:val="0"/>
          <w:numId w:val="6"/>
        </w:numPr>
        <w:spacing w:line="360" w:lineRule="auto"/>
        <w:ind w:left="561" w:hanging="561"/>
        <w:contextualSpacing w:val="0"/>
        <w:jc w:val="both"/>
        <w:rPr>
          <w:rFonts w:ascii="Arial" w:hAnsi="Arial" w:cs="Arial"/>
        </w:rPr>
      </w:pPr>
      <w:r>
        <w:rPr>
          <w:rFonts w:ascii="Arial" w:hAnsi="Arial" w:cs="Arial"/>
        </w:rPr>
        <w:t xml:space="preserve">The Registrar of this Honourable Court must publish notice of the forfeiture order in the Government Gazette as soon as practicable after it is made. </w:t>
      </w:r>
    </w:p>
    <w:p w14:paraId="4A98632A" w14:textId="77777777" w:rsidR="00262E4B" w:rsidRDefault="00262E4B" w:rsidP="00262E4B">
      <w:pPr>
        <w:pStyle w:val="ListParagraph"/>
        <w:numPr>
          <w:ilvl w:val="0"/>
          <w:numId w:val="6"/>
        </w:numPr>
        <w:spacing w:line="360" w:lineRule="auto"/>
        <w:jc w:val="both"/>
        <w:rPr>
          <w:rFonts w:ascii="Arial" w:hAnsi="Arial" w:cs="Arial"/>
        </w:rPr>
      </w:pPr>
      <w:r w:rsidRPr="00701547">
        <w:rPr>
          <w:rFonts w:ascii="Arial" w:hAnsi="Arial" w:cs="Arial"/>
        </w:rPr>
        <w:t xml:space="preserve">Prayers 1 and 3 will not take effect before 30 days after the notice of this order was published in the Government Gazette </w:t>
      </w:r>
      <w:r>
        <w:rPr>
          <w:rFonts w:ascii="Arial" w:hAnsi="Arial" w:cs="Arial"/>
        </w:rPr>
        <w:t xml:space="preserve">has expired </w:t>
      </w:r>
      <w:r w:rsidRPr="00701547">
        <w:rPr>
          <w:rFonts w:ascii="Arial" w:hAnsi="Arial" w:cs="Arial"/>
        </w:rPr>
        <w:t>or before an application in terms of section 65 of POCA or an appeal has been disposed of.</w:t>
      </w:r>
    </w:p>
    <w:p w14:paraId="2245BCE3" w14:textId="375230A3" w:rsidR="00C67A84" w:rsidRDefault="00C67A84" w:rsidP="00262E4B">
      <w:pPr>
        <w:pStyle w:val="ListParagraph"/>
        <w:numPr>
          <w:ilvl w:val="0"/>
          <w:numId w:val="6"/>
        </w:numPr>
        <w:spacing w:line="360" w:lineRule="auto"/>
        <w:jc w:val="both"/>
        <w:rPr>
          <w:rFonts w:ascii="Arial" w:hAnsi="Arial" w:cs="Arial"/>
        </w:rPr>
      </w:pPr>
      <w:proofErr w:type="gramStart"/>
      <w:r>
        <w:rPr>
          <w:rFonts w:ascii="Arial" w:hAnsi="Arial" w:cs="Arial"/>
        </w:rPr>
        <w:t>The  matter</w:t>
      </w:r>
      <w:proofErr w:type="gramEnd"/>
      <w:r>
        <w:rPr>
          <w:rFonts w:ascii="Arial" w:hAnsi="Arial" w:cs="Arial"/>
        </w:rPr>
        <w:t xml:space="preserve"> is removed from the roll and regarded as finalised. </w:t>
      </w:r>
    </w:p>
    <w:p w14:paraId="0627EF0D" w14:textId="77777777" w:rsidR="00386FDD" w:rsidRDefault="00386FDD" w:rsidP="00F102A7">
      <w:pPr>
        <w:pBdr>
          <w:bottom w:val="single" w:sz="6" w:space="1" w:color="auto"/>
        </w:pBdr>
        <w:spacing w:line="360" w:lineRule="auto"/>
        <w:rPr>
          <w:rFonts w:ascii="Arial" w:hAnsi="Arial"/>
          <w:b/>
        </w:rPr>
      </w:pPr>
    </w:p>
    <w:p w14:paraId="450A7082" w14:textId="77777777" w:rsidR="00386FDD" w:rsidRDefault="00386FDD" w:rsidP="00F102A7">
      <w:pPr>
        <w:rPr>
          <w:rFonts w:ascii="Arial" w:hAnsi="Arial"/>
        </w:rPr>
      </w:pPr>
    </w:p>
    <w:p w14:paraId="3C8AFA34" w14:textId="77777777" w:rsidR="00386FDD" w:rsidRDefault="00386FDD" w:rsidP="00F102A7">
      <w:pPr>
        <w:jc w:val="center"/>
        <w:rPr>
          <w:rFonts w:ascii="Arial" w:hAnsi="Arial"/>
          <w:b/>
        </w:rPr>
      </w:pPr>
      <w:r>
        <w:rPr>
          <w:rFonts w:ascii="Arial" w:hAnsi="Arial"/>
          <w:b/>
        </w:rPr>
        <w:t>JUDGMENT</w:t>
      </w:r>
    </w:p>
    <w:p w14:paraId="3AAD619A" w14:textId="77777777" w:rsidR="00386FDD" w:rsidRDefault="00386FDD" w:rsidP="00F102A7">
      <w:pPr>
        <w:pBdr>
          <w:bottom w:val="single" w:sz="6" w:space="1" w:color="auto"/>
        </w:pBdr>
        <w:jc w:val="center"/>
        <w:rPr>
          <w:rFonts w:ascii="Arial" w:hAnsi="Arial"/>
          <w:b/>
        </w:rPr>
      </w:pPr>
    </w:p>
    <w:p w14:paraId="3BA32F88" w14:textId="77777777" w:rsidR="00386FDD" w:rsidRDefault="00386FDD" w:rsidP="00F102A7">
      <w:pPr>
        <w:spacing w:line="360" w:lineRule="auto"/>
        <w:rPr>
          <w:rFonts w:ascii="Arial" w:hAnsi="Arial"/>
        </w:rPr>
      </w:pPr>
    </w:p>
    <w:p w14:paraId="41938F5E" w14:textId="6C38C669" w:rsidR="00F102A7" w:rsidRPr="00BC3FAD" w:rsidRDefault="00386FDD" w:rsidP="00F102A7">
      <w:pPr>
        <w:spacing w:line="360" w:lineRule="auto"/>
        <w:rPr>
          <w:rFonts w:ascii="Arial" w:hAnsi="Arial"/>
        </w:rPr>
      </w:pPr>
      <w:r w:rsidRPr="002E7D33">
        <w:rPr>
          <w:rFonts w:ascii="Arial" w:hAnsi="Arial"/>
        </w:rPr>
        <w:t>MASUKU J:</w:t>
      </w:r>
    </w:p>
    <w:p w14:paraId="68F1EB80" w14:textId="77777777" w:rsidR="00D752AF" w:rsidRDefault="00D752AF" w:rsidP="00F102A7">
      <w:pPr>
        <w:spacing w:line="360" w:lineRule="auto"/>
        <w:rPr>
          <w:rFonts w:ascii="Arial" w:hAnsi="Arial"/>
          <w:u w:val="single"/>
        </w:rPr>
      </w:pPr>
    </w:p>
    <w:p w14:paraId="00988097" w14:textId="77777777" w:rsidR="00386FDD" w:rsidRDefault="00386FDD" w:rsidP="00F102A7">
      <w:pPr>
        <w:spacing w:line="360" w:lineRule="auto"/>
        <w:rPr>
          <w:rFonts w:ascii="Arial" w:hAnsi="Arial"/>
          <w:u w:val="single"/>
        </w:rPr>
      </w:pPr>
      <w:r>
        <w:rPr>
          <w:rFonts w:ascii="Arial" w:hAnsi="Arial"/>
          <w:u w:val="single"/>
        </w:rPr>
        <w:t>Introduction</w:t>
      </w:r>
    </w:p>
    <w:p w14:paraId="41508D53" w14:textId="77777777" w:rsidR="00386FDD" w:rsidRDefault="00386FDD" w:rsidP="00F102A7">
      <w:pPr>
        <w:spacing w:line="360" w:lineRule="auto"/>
        <w:rPr>
          <w:rFonts w:ascii="Arial" w:hAnsi="Arial"/>
          <w:u w:val="single"/>
        </w:rPr>
      </w:pPr>
    </w:p>
    <w:p w14:paraId="5E8075B5" w14:textId="7CEAB163" w:rsidR="00B014A3" w:rsidRDefault="00386FDD" w:rsidP="00F102A7">
      <w:pPr>
        <w:pStyle w:val="ListParagraph"/>
        <w:numPr>
          <w:ilvl w:val="0"/>
          <w:numId w:val="5"/>
        </w:numPr>
        <w:spacing w:line="360" w:lineRule="auto"/>
        <w:ind w:left="0" w:firstLine="0"/>
        <w:jc w:val="both"/>
        <w:rPr>
          <w:rFonts w:ascii="Arial" w:hAnsi="Arial"/>
        </w:rPr>
      </w:pPr>
      <w:r w:rsidRPr="00B014A3">
        <w:rPr>
          <w:rFonts w:ascii="Arial" w:hAnsi="Arial"/>
        </w:rPr>
        <w:lastRenderedPageBreak/>
        <w:t xml:space="preserve">This is an application in terms of the provisions of 59 of the Prevention of Organised Crime Act, 29 of 2004, (‘the Act”). The applicant, the Prosecutor-General (PG) applies for the forfeiture of the positive balance in First National Bank account numbers </w:t>
      </w:r>
      <w:r w:rsidR="000B4013">
        <w:rPr>
          <w:rFonts w:ascii="Arial" w:hAnsi="Arial"/>
        </w:rPr>
        <w:t xml:space="preserve">held in the names of </w:t>
      </w:r>
      <w:proofErr w:type="spellStart"/>
      <w:r w:rsidR="000B4013">
        <w:rPr>
          <w:rFonts w:ascii="Arial" w:hAnsi="Arial"/>
        </w:rPr>
        <w:t>Heikki</w:t>
      </w:r>
      <w:proofErr w:type="spellEnd"/>
      <w:r w:rsidRPr="00B014A3">
        <w:rPr>
          <w:rFonts w:ascii="Arial" w:hAnsi="Arial"/>
        </w:rPr>
        <w:t xml:space="preserve"> </w:t>
      </w:r>
      <w:proofErr w:type="spellStart"/>
      <w:r w:rsidRPr="00B014A3">
        <w:rPr>
          <w:rFonts w:ascii="Arial" w:hAnsi="Arial"/>
        </w:rPr>
        <w:t>Kaushiwetu</w:t>
      </w:r>
      <w:proofErr w:type="spellEnd"/>
      <w:r w:rsidRPr="00B014A3">
        <w:rPr>
          <w:rFonts w:ascii="Arial" w:hAnsi="Arial"/>
        </w:rPr>
        <w:t xml:space="preserve"> </w:t>
      </w:r>
      <w:proofErr w:type="spellStart"/>
      <w:r w:rsidRPr="00B014A3">
        <w:rPr>
          <w:rFonts w:ascii="Arial" w:hAnsi="Arial"/>
        </w:rPr>
        <w:t>Kangonga</w:t>
      </w:r>
      <w:proofErr w:type="spellEnd"/>
      <w:r w:rsidRPr="00B014A3">
        <w:rPr>
          <w:rFonts w:ascii="Arial" w:hAnsi="Arial"/>
        </w:rPr>
        <w:t xml:space="preserve">, </w:t>
      </w:r>
      <w:proofErr w:type="spellStart"/>
      <w:r w:rsidR="006838B6" w:rsidRPr="00B014A3">
        <w:rPr>
          <w:rFonts w:ascii="Arial" w:hAnsi="Arial"/>
        </w:rPr>
        <w:t>Cabino</w:t>
      </w:r>
      <w:proofErr w:type="spellEnd"/>
      <w:r w:rsidR="006838B6" w:rsidRPr="00B014A3">
        <w:rPr>
          <w:rFonts w:ascii="Arial" w:hAnsi="Arial"/>
        </w:rPr>
        <w:t xml:space="preserve"> Financial Services CC, </w:t>
      </w:r>
      <w:proofErr w:type="spellStart"/>
      <w:r w:rsidR="006838B6" w:rsidRPr="00B014A3">
        <w:rPr>
          <w:rFonts w:ascii="Arial" w:hAnsi="Arial"/>
        </w:rPr>
        <w:t>Toini</w:t>
      </w:r>
      <w:proofErr w:type="spellEnd"/>
      <w:r w:rsidR="006838B6" w:rsidRPr="00B014A3">
        <w:rPr>
          <w:rFonts w:ascii="Arial" w:hAnsi="Arial"/>
        </w:rPr>
        <w:t xml:space="preserve"> </w:t>
      </w:r>
      <w:proofErr w:type="spellStart"/>
      <w:r w:rsidR="006838B6" w:rsidRPr="00B014A3">
        <w:rPr>
          <w:rFonts w:ascii="Arial" w:hAnsi="Arial"/>
        </w:rPr>
        <w:t>Shil</w:t>
      </w:r>
      <w:r w:rsidR="000B4013">
        <w:rPr>
          <w:rFonts w:ascii="Arial" w:hAnsi="Arial"/>
        </w:rPr>
        <w:t>unga</w:t>
      </w:r>
      <w:proofErr w:type="spellEnd"/>
      <w:r w:rsidR="000B4013">
        <w:rPr>
          <w:rFonts w:ascii="Arial" w:hAnsi="Arial"/>
        </w:rPr>
        <w:t xml:space="preserve">, Petrus </w:t>
      </w:r>
      <w:proofErr w:type="spellStart"/>
      <w:r w:rsidR="000B4013">
        <w:rPr>
          <w:rFonts w:ascii="Arial" w:hAnsi="Arial"/>
        </w:rPr>
        <w:t>Dawid</w:t>
      </w:r>
      <w:proofErr w:type="spellEnd"/>
      <w:r w:rsidR="000B4013">
        <w:rPr>
          <w:rFonts w:ascii="Arial" w:hAnsi="Arial"/>
        </w:rPr>
        <w:t>, a sum of N$</w:t>
      </w:r>
      <w:r w:rsidR="006838B6" w:rsidRPr="00B014A3">
        <w:rPr>
          <w:rFonts w:ascii="Arial" w:hAnsi="Arial"/>
        </w:rPr>
        <w:t>5</w:t>
      </w:r>
      <w:r w:rsidR="000B4013">
        <w:rPr>
          <w:rFonts w:ascii="Arial" w:hAnsi="Arial"/>
        </w:rPr>
        <w:t>8</w:t>
      </w:r>
      <w:r w:rsidR="006838B6" w:rsidRPr="00B014A3">
        <w:rPr>
          <w:rFonts w:ascii="Arial" w:hAnsi="Arial"/>
        </w:rPr>
        <w:t xml:space="preserve"> 000 held in the internal FNB account linked to an FNB account in the name of </w:t>
      </w:r>
      <w:proofErr w:type="spellStart"/>
      <w:r w:rsidR="006838B6" w:rsidRPr="00B014A3">
        <w:rPr>
          <w:rFonts w:ascii="Arial" w:hAnsi="Arial"/>
        </w:rPr>
        <w:t>Leevi</w:t>
      </w:r>
      <w:proofErr w:type="spellEnd"/>
      <w:r w:rsidR="006838B6" w:rsidRPr="00B014A3">
        <w:rPr>
          <w:rFonts w:ascii="Arial" w:hAnsi="Arial"/>
        </w:rPr>
        <w:t xml:space="preserve"> </w:t>
      </w:r>
      <w:proofErr w:type="spellStart"/>
      <w:r w:rsidR="006838B6" w:rsidRPr="00B014A3">
        <w:rPr>
          <w:rFonts w:ascii="Arial" w:hAnsi="Arial"/>
        </w:rPr>
        <w:t>Nanyeni</w:t>
      </w:r>
      <w:proofErr w:type="spellEnd"/>
      <w:r w:rsidR="006838B6" w:rsidRPr="00B014A3">
        <w:rPr>
          <w:rFonts w:ascii="Arial" w:hAnsi="Arial"/>
        </w:rPr>
        <w:t xml:space="preserve">, FNB account held in the name of Erastus G </w:t>
      </w:r>
      <w:proofErr w:type="spellStart"/>
      <w:r w:rsidR="006838B6" w:rsidRPr="00B014A3">
        <w:rPr>
          <w:rFonts w:ascii="Arial" w:hAnsi="Arial"/>
        </w:rPr>
        <w:t>Heita</w:t>
      </w:r>
      <w:proofErr w:type="spellEnd"/>
      <w:r w:rsidR="006838B6" w:rsidRPr="00B014A3">
        <w:rPr>
          <w:rFonts w:ascii="Arial" w:hAnsi="Arial"/>
        </w:rPr>
        <w:t xml:space="preserve">, positive balance in Bank Windhoek account held in the name of </w:t>
      </w:r>
      <w:proofErr w:type="spellStart"/>
      <w:r w:rsidR="006838B6" w:rsidRPr="00B014A3">
        <w:rPr>
          <w:rFonts w:ascii="Arial" w:hAnsi="Arial"/>
        </w:rPr>
        <w:t>Natangwe</w:t>
      </w:r>
      <w:proofErr w:type="spellEnd"/>
      <w:r w:rsidR="006838B6" w:rsidRPr="00B014A3">
        <w:rPr>
          <w:rFonts w:ascii="Arial" w:hAnsi="Arial"/>
        </w:rPr>
        <w:t xml:space="preserve"> </w:t>
      </w:r>
      <w:r w:rsidR="000E545C" w:rsidRPr="00B014A3">
        <w:rPr>
          <w:rFonts w:ascii="Arial" w:hAnsi="Arial"/>
        </w:rPr>
        <w:t xml:space="preserve">Daniel </w:t>
      </w:r>
      <w:proofErr w:type="spellStart"/>
      <w:r w:rsidR="000E545C" w:rsidRPr="00B014A3">
        <w:rPr>
          <w:rFonts w:ascii="Arial" w:hAnsi="Arial"/>
        </w:rPr>
        <w:t>Kalambi</w:t>
      </w:r>
      <w:proofErr w:type="spellEnd"/>
      <w:r w:rsidR="000E545C" w:rsidRPr="00B014A3">
        <w:rPr>
          <w:rFonts w:ascii="Arial" w:hAnsi="Arial"/>
        </w:rPr>
        <w:t xml:space="preserve"> and the positive balance in </w:t>
      </w:r>
      <w:proofErr w:type="spellStart"/>
      <w:r w:rsidR="000E545C" w:rsidRPr="00B014A3">
        <w:rPr>
          <w:rFonts w:ascii="Arial" w:hAnsi="Arial"/>
        </w:rPr>
        <w:t>Nampost</w:t>
      </w:r>
      <w:proofErr w:type="spellEnd"/>
      <w:r w:rsidR="000E545C" w:rsidRPr="00B014A3">
        <w:rPr>
          <w:rFonts w:ascii="Arial" w:hAnsi="Arial"/>
        </w:rPr>
        <w:t xml:space="preserve"> Limited held in the name of Erastus G </w:t>
      </w:r>
      <w:proofErr w:type="spellStart"/>
      <w:r w:rsidR="000E545C" w:rsidRPr="00B014A3">
        <w:rPr>
          <w:rFonts w:ascii="Arial" w:hAnsi="Arial"/>
        </w:rPr>
        <w:t>Heita</w:t>
      </w:r>
      <w:proofErr w:type="spellEnd"/>
      <w:r w:rsidR="000E545C" w:rsidRPr="00B014A3">
        <w:rPr>
          <w:rFonts w:ascii="Arial" w:hAnsi="Arial"/>
        </w:rPr>
        <w:t>.</w:t>
      </w:r>
    </w:p>
    <w:p w14:paraId="3F656227" w14:textId="4F8A6AED" w:rsidR="00B014A3" w:rsidRDefault="00B014A3" w:rsidP="00B014A3">
      <w:pPr>
        <w:pStyle w:val="ListParagraph"/>
        <w:spacing w:line="360" w:lineRule="auto"/>
        <w:ind w:left="0"/>
        <w:jc w:val="both"/>
        <w:rPr>
          <w:rFonts w:ascii="Arial" w:hAnsi="Arial"/>
        </w:rPr>
      </w:pPr>
    </w:p>
    <w:p w14:paraId="67EE8A9A" w14:textId="0807E1E5" w:rsidR="00B014A3" w:rsidRDefault="000E545C" w:rsidP="00F102A7">
      <w:pPr>
        <w:pStyle w:val="ListParagraph"/>
        <w:numPr>
          <w:ilvl w:val="0"/>
          <w:numId w:val="5"/>
        </w:numPr>
        <w:spacing w:line="360" w:lineRule="auto"/>
        <w:ind w:left="0" w:firstLine="0"/>
        <w:jc w:val="both"/>
        <w:rPr>
          <w:rFonts w:ascii="Arial" w:hAnsi="Arial"/>
        </w:rPr>
      </w:pPr>
      <w:r w:rsidRPr="00B014A3">
        <w:rPr>
          <w:rFonts w:ascii="Arial" w:hAnsi="Arial"/>
        </w:rPr>
        <w:t>It is important to mention that the application is factually unopposed</w:t>
      </w:r>
      <w:r w:rsidR="000B4013">
        <w:rPr>
          <w:rFonts w:ascii="Arial" w:hAnsi="Arial"/>
        </w:rPr>
        <w:t>. This is so because</w:t>
      </w:r>
      <w:r w:rsidR="00F102A7" w:rsidRPr="00B014A3">
        <w:rPr>
          <w:rFonts w:ascii="Arial" w:hAnsi="Arial"/>
        </w:rPr>
        <w:t xml:space="preserve"> attempts</w:t>
      </w:r>
      <w:r w:rsidRPr="00B014A3">
        <w:rPr>
          <w:rFonts w:ascii="Arial" w:hAnsi="Arial"/>
        </w:rPr>
        <w:t xml:space="preserve"> by some of the parties</w:t>
      </w:r>
      <w:r w:rsidR="000B4013">
        <w:rPr>
          <w:rFonts w:ascii="Arial" w:hAnsi="Arial"/>
        </w:rPr>
        <w:t xml:space="preserve"> with an interest in the preserved property, who intended to oppose the forfeiture application,</w:t>
      </w:r>
      <w:r w:rsidRPr="00B014A3">
        <w:rPr>
          <w:rFonts w:ascii="Arial" w:hAnsi="Arial"/>
        </w:rPr>
        <w:t xml:space="preserve"> to intervene and participate at this juncture of the proceedings, was dismissed by this court in judgment</w:t>
      </w:r>
      <w:r w:rsidR="000B5033" w:rsidRPr="00B014A3">
        <w:rPr>
          <w:rFonts w:ascii="Arial" w:hAnsi="Arial"/>
        </w:rPr>
        <w:t>s</w:t>
      </w:r>
      <w:r w:rsidRPr="00B014A3">
        <w:rPr>
          <w:rFonts w:ascii="Arial" w:hAnsi="Arial"/>
        </w:rPr>
        <w:t xml:space="preserve"> that were delivered in open court.</w:t>
      </w:r>
      <w:r w:rsidR="00C76379">
        <w:rPr>
          <w:rFonts w:ascii="Arial" w:hAnsi="Arial"/>
        </w:rPr>
        <w:t xml:space="preserve"> Reference will be made to these judgments as this judgment unfolds.</w:t>
      </w:r>
    </w:p>
    <w:p w14:paraId="7B780252" w14:textId="77777777" w:rsidR="00B014A3" w:rsidRDefault="00B014A3" w:rsidP="00B014A3">
      <w:pPr>
        <w:pStyle w:val="ListParagraph"/>
        <w:spacing w:line="360" w:lineRule="auto"/>
        <w:ind w:left="0"/>
        <w:jc w:val="both"/>
        <w:rPr>
          <w:rFonts w:ascii="Arial" w:hAnsi="Arial"/>
        </w:rPr>
      </w:pPr>
    </w:p>
    <w:p w14:paraId="45FE0E7B" w14:textId="40ABED0C" w:rsidR="00B014A3" w:rsidRDefault="00B014A3" w:rsidP="00C76379">
      <w:pPr>
        <w:spacing w:line="360" w:lineRule="auto"/>
        <w:jc w:val="both"/>
        <w:rPr>
          <w:rFonts w:ascii="Arial" w:hAnsi="Arial"/>
          <w:u w:val="single"/>
        </w:rPr>
      </w:pPr>
      <w:r>
        <w:rPr>
          <w:rFonts w:ascii="Arial" w:hAnsi="Arial"/>
          <w:u w:val="single"/>
        </w:rPr>
        <w:t>The law</w:t>
      </w:r>
      <w:r w:rsidR="00C76379">
        <w:rPr>
          <w:rFonts w:ascii="Arial" w:hAnsi="Arial"/>
          <w:u w:val="single"/>
        </w:rPr>
        <w:t xml:space="preserve"> applicable</w:t>
      </w:r>
    </w:p>
    <w:p w14:paraId="0B75C8FB" w14:textId="77777777" w:rsidR="00C76379" w:rsidRPr="00C76379" w:rsidRDefault="00C76379" w:rsidP="00C76379">
      <w:pPr>
        <w:spacing w:line="360" w:lineRule="auto"/>
        <w:jc w:val="both"/>
        <w:rPr>
          <w:rFonts w:ascii="Arial" w:hAnsi="Arial"/>
          <w:u w:val="single"/>
        </w:rPr>
      </w:pPr>
    </w:p>
    <w:p w14:paraId="28A7D6ED" w14:textId="092A58D6" w:rsidR="002F569D" w:rsidRPr="00142381" w:rsidRDefault="000E545C" w:rsidP="00F102A7">
      <w:pPr>
        <w:pStyle w:val="ListParagraph"/>
        <w:numPr>
          <w:ilvl w:val="0"/>
          <w:numId w:val="5"/>
        </w:numPr>
        <w:spacing w:line="360" w:lineRule="auto"/>
        <w:ind w:left="0" w:firstLine="0"/>
        <w:jc w:val="both"/>
        <w:rPr>
          <w:rFonts w:ascii="Arial" w:hAnsi="Arial"/>
        </w:rPr>
      </w:pPr>
      <w:r w:rsidRPr="00B014A3">
        <w:rPr>
          <w:rFonts w:ascii="Arial" w:hAnsi="Arial"/>
        </w:rPr>
        <w:t>The law applicable to applications for forfeiture of property order</w:t>
      </w:r>
      <w:r w:rsidR="002F569D" w:rsidRPr="00B014A3">
        <w:rPr>
          <w:rFonts w:ascii="Arial" w:hAnsi="Arial"/>
        </w:rPr>
        <w:t>s</w:t>
      </w:r>
      <w:r w:rsidRPr="00B014A3">
        <w:rPr>
          <w:rFonts w:ascii="Arial" w:hAnsi="Arial"/>
        </w:rPr>
        <w:t xml:space="preserve">, is to be found in s </w:t>
      </w:r>
      <w:r w:rsidR="00C76379">
        <w:rPr>
          <w:rFonts w:ascii="Arial" w:hAnsi="Arial"/>
        </w:rPr>
        <w:t>59, as read with s 61 of the Act.</w:t>
      </w:r>
      <w:r w:rsidR="004D2CB9">
        <w:rPr>
          <w:rFonts w:ascii="Arial" w:hAnsi="Arial"/>
        </w:rPr>
        <w:t xml:space="preserve"> Section 59, in my considered view, stipulates the procedural requirements for the bringing of a forfeiture application. Section 61, on the other hand, provides for the considerations the court must take into account, in making the preservation order. The latter</w:t>
      </w:r>
      <w:r w:rsidR="00C76379">
        <w:rPr>
          <w:rFonts w:ascii="Arial" w:hAnsi="Arial"/>
        </w:rPr>
        <w:t xml:space="preserve"> provision reads as follows: </w:t>
      </w:r>
      <w:r w:rsidRPr="00B014A3">
        <w:rPr>
          <w:rFonts w:ascii="Arial" w:hAnsi="Arial"/>
        </w:rPr>
        <w:t xml:space="preserve"> </w:t>
      </w:r>
    </w:p>
    <w:p w14:paraId="49ED1AF6" w14:textId="5B4F2BBF" w:rsidR="002F569D" w:rsidRDefault="002F569D" w:rsidP="00F102A7">
      <w:pPr>
        <w:spacing w:line="360" w:lineRule="auto"/>
        <w:jc w:val="both"/>
        <w:rPr>
          <w:rFonts w:ascii="Arial" w:hAnsi="Arial"/>
          <w:sz w:val="22"/>
          <w:szCs w:val="22"/>
        </w:rPr>
      </w:pPr>
      <w:r>
        <w:rPr>
          <w:rFonts w:ascii="Arial" w:hAnsi="Arial"/>
        </w:rPr>
        <w:tab/>
      </w:r>
      <w:r w:rsidR="00A3591E">
        <w:rPr>
          <w:rFonts w:ascii="Arial" w:hAnsi="Arial"/>
          <w:sz w:val="22"/>
          <w:szCs w:val="22"/>
        </w:rPr>
        <w:t>‘</w:t>
      </w:r>
      <w:r>
        <w:rPr>
          <w:rFonts w:ascii="Arial" w:hAnsi="Arial"/>
          <w:sz w:val="22"/>
          <w:szCs w:val="22"/>
        </w:rPr>
        <w:t xml:space="preserve">61. (1) The High Court must subject to section 63, make the forfeiture </w:t>
      </w:r>
      <w:r w:rsidR="00170411">
        <w:rPr>
          <w:rFonts w:ascii="Arial" w:hAnsi="Arial"/>
          <w:sz w:val="22"/>
          <w:szCs w:val="22"/>
        </w:rPr>
        <w:t>order applied for under section 59(1) if the court finds on a balance of probabilities that the property concerned –</w:t>
      </w:r>
    </w:p>
    <w:p w14:paraId="2830398B" w14:textId="77777777" w:rsidR="00170411" w:rsidRPr="00170411" w:rsidRDefault="00170411" w:rsidP="00F102A7">
      <w:pPr>
        <w:pStyle w:val="ListParagraph"/>
        <w:numPr>
          <w:ilvl w:val="0"/>
          <w:numId w:val="1"/>
        </w:numPr>
        <w:spacing w:line="360" w:lineRule="auto"/>
        <w:jc w:val="both"/>
        <w:rPr>
          <w:rFonts w:ascii="Arial" w:hAnsi="Arial"/>
          <w:sz w:val="22"/>
          <w:szCs w:val="22"/>
        </w:rPr>
      </w:pPr>
      <w:r w:rsidRPr="00170411">
        <w:rPr>
          <w:rFonts w:ascii="Arial" w:hAnsi="Arial"/>
          <w:sz w:val="22"/>
          <w:szCs w:val="22"/>
        </w:rPr>
        <w:t>is an instrumentality or intended  instrumentality of an offence referred to in Schedule 1;</w:t>
      </w:r>
    </w:p>
    <w:p w14:paraId="5D1C4BBB" w14:textId="77777777" w:rsidR="00170411" w:rsidRDefault="00170411" w:rsidP="00F102A7">
      <w:pPr>
        <w:pStyle w:val="ListParagraph"/>
        <w:numPr>
          <w:ilvl w:val="0"/>
          <w:numId w:val="1"/>
        </w:numPr>
        <w:spacing w:line="360" w:lineRule="auto"/>
        <w:jc w:val="both"/>
        <w:rPr>
          <w:rFonts w:ascii="Arial" w:hAnsi="Arial"/>
          <w:sz w:val="22"/>
          <w:szCs w:val="22"/>
        </w:rPr>
      </w:pPr>
      <w:r>
        <w:rPr>
          <w:rFonts w:ascii="Arial" w:hAnsi="Arial"/>
          <w:sz w:val="22"/>
          <w:szCs w:val="22"/>
        </w:rPr>
        <w:t>is the proceeds of unlawful activities; or</w:t>
      </w:r>
    </w:p>
    <w:p w14:paraId="219234A7" w14:textId="77777777" w:rsidR="00170411" w:rsidRDefault="00170411" w:rsidP="00F102A7">
      <w:pPr>
        <w:pStyle w:val="ListParagraph"/>
        <w:numPr>
          <w:ilvl w:val="0"/>
          <w:numId w:val="1"/>
        </w:numPr>
        <w:spacing w:line="360" w:lineRule="auto"/>
        <w:jc w:val="both"/>
        <w:rPr>
          <w:rFonts w:ascii="Arial" w:hAnsi="Arial"/>
          <w:sz w:val="22"/>
          <w:szCs w:val="22"/>
        </w:rPr>
      </w:pPr>
      <w:proofErr w:type="gramStart"/>
      <w:r>
        <w:rPr>
          <w:rFonts w:ascii="Arial" w:hAnsi="Arial"/>
          <w:sz w:val="22"/>
          <w:szCs w:val="22"/>
        </w:rPr>
        <w:t>is</w:t>
      </w:r>
      <w:proofErr w:type="gramEnd"/>
      <w:r>
        <w:rPr>
          <w:rFonts w:ascii="Arial" w:hAnsi="Arial"/>
          <w:sz w:val="22"/>
          <w:szCs w:val="22"/>
        </w:rPr>
        <w:t xml:space="preserve"> an unexplained asset.</w:t>
      </w:r>
    </w:p>
    <w:p w14:paraId="00FABDD8" w14:textId="77777777" w:rsidR="00170411" w:rsidRDefault="00170411" w:rsidP="00F102A7">
      <w:pPr>
        <w:spacing w:line="360" w:lineRule="auto"/>
        <w:jc w:val="both"/>
        <w:rPr>
          <w:rFonts w:ascii="Arial" w:hAnsi="Arial"/>
          <w:sz w:val="22"/>
          <w:szCs w:val="22"/>
        </w:rPr>
      </w:pPr>
      <w:r>
        <w:rPr>
          <w:rFonts w:ascii="Arial" w:hAnsi="Arial"/>
          <w:sz w:val="22"/>
          <w:szCs w:val="22"/>
        </w:rPr>
        <w:lastRenderedPageBreak/>
        <w:t>(2) The High Court may, when it makes a forfeiture order or at any time thereafter, make any ancillary orders that it considers appropriate, including orders for and with respect to facilitating the transfer to the State of property forfeited to the State under the order.</w:t>
      </w:r>
    </w:p>
    <w:p w14:paraId="2E51AC69" w14:textId="77777777" w:rsidR="00170411" w:rsidRDefault="00170411" w:rsidP="00F102A7">
      <w:pPr>
        <w:spacing w:line="360" w:lineRule="auto"/>
        <w:jc w:val="both"/>
        <w:rPr>
          <w:rFonts w:ascii="Arial" w:hAnsi="Arial"/>
          <w:sz w:val="22"/>
          <w:szCs w:val="22"/>
        </w:rPr>
      </w:pPr>
      <w:r>
        <w:rPr>
          <w:rFonts w:ascii="Arial" w:hAnsi="Arial"/>
          <w:sz w:val="22"/>
          <w:szCs w:val="22"/>
        </w:rPr>
        <w:t>(3) The absence of any person whose interest in property may be affected by the forfeiture order does not prevent the High Court from making the order.</w:t>
      </w:r>
    </w:p>
    <w:p w14:paraId="0E5000AE" w14:textId="77777777" w:rsidR="00170411" w:rsidRDefault="00170411" w:rsidP="00F102A7">
      <w:pPr>
        <w:spacing w:line="360" w:lineRule="auto"/>
        <w:jc w:val="both"/>
        <w:rPr>
          <w:rFonts w:ascii="Arial" w:hAnsi="Arial"/>
          <w:sz w:val="22"/>
          <w:szCs w:val="22"/>
        </w:rPr>
      </w:pPr>
      <w:r>
        <w:rPr>
          <w:rFonts w:ascii="Arial" w:hAnsi="Arial"/>
          <w:sz w:val="22"/>
          <w:szCs w:val="22"/>
        </w:rPr>
        <w:t xml:space="preserve">(4) Any person who has entered a notice in terms of section 52(3) and whose interest in the property concerned is affected by a forfeiture order made in his or her absence under </w:t>
      </w:r>
      <w:r w:rsidR="00F8222E">
        <w:rPr>
          <w:rFonts w:ascii="Arial" w:hAnsi="Arial"/>
          <w:sz w:val="22"/>
          <w:szCs w:val="22"/>
        </w:rPr>
        <w:t>sub</w:t>
      </w:r>
      <w:r>
        <w:rPr>
          <w:rFonts w:ascii="Arial" w:hAnsi="Arial"/>
          <w:sz w:val="22"/>
          <w:szCs w:val="22"/>
        </w:rPr>
        <w:t>section (3)</w:t>
      </w:r>
      <w:r w:rsidR="00F8222E">
        <w:rPr>
          <w:rFonts w:ascii="Arial" w:hAnsi="Arial"/>
          <w:sz w:val="22"/>
          <w:szCs w:val="22"/>
        </w:rPr>
        <w:t>, may within 20 days after he or she has acquired knowledge of that order, apply for variation of the order.</w:t>
      </w:r>
    </w:p>
    <w:p w14:paraId="2E36CB99" w14:textId="77777777" w:rsidR="00F8222E" w:rsidRDefault="00F8222E" w:rsidP="00F102A7">
      <w:pPr>
        <w:spacing w:line="360" w:lineRule="auto"/>
        <w:jc w:val="both"/>
        <w:rPr>
          <w:rFonts w:ascii="Arial" w:hAnsi="Arial"/>
          <w:sz w:val="22"/>
          <w:szCs w:val="22"/>
        </w:rPr>
      </w:pPr>
      <w:r>
        <w:rPr>
          <w:rFonts w:ascii="Arial" w:hAnsi="Arial"/>
          <w:sz w:val="22"/>
          <w:szCs w:val="22"/>
        </w:rPr>
        <w:t>(5) On good cause shown in an application referred to in subsection (4), the High Court may vary or rescind the order made under subsection (1) or make some other appropriate order.</w:t>
      </w:r>
    </w:p>
    <w:p w14:paraId="072D6724" w14:textId="77777777" w:rsidR="00F8222E" w:rsidRDefault="00F8222E" w:rsidP="00F102A7">
      <w:pPr>
        <w:spacing w:line="360" w:lineRule="auto"/>
        <w:jc w:val="both"/>
        <w:rPr>
          <w:rFonts w:ascii="Arial" w:hAnsi="Arial"/>
          <w:sz w:val="22"/>
          <w:szCs w:val="22"/>
        </w:rPr>
      </w:pPr>
      <w:r>
        <w:rPr>
          <w:rFonts w:ascii="Arial" w:hAnsi="Arial"/>
          <w:sz w:val="22"/>
          <w:szCs w:val="22"/>
        </w:rPr>
        <w:t>(6) The validity of an order under subsection (1) is not affected by the outcome of criminal proceedings, or of an investigation with a view to institute those proceedings, in respect of an offence with which the property concerned is in some way associated.</w:t>
      </w:r>
    </w:p>
    <w:p w14:paraId="73DA94E6" w14:textId="77777777" w:rsidR="00F8222E" w:rsidRDefault="00F8222E" w:rsidP="00F102A7">
      <w:pPr>
        <w:spacing w:line="360" w:lineRule="auto"/>
        <w:jc w:val="both"/>
        <w:rPr>
          <w:rFonts w:ascii="Arial" w:hAnsi="Arial"/>
          <w:sz w:val="22"/>
          <w:szCs w:val="22"/>
        </w:rPr>
      </w:pPr>
      <w:r>
        <w:rPr>
          <w:rFonts w:ascii="Arial" w:hAnsi="Arial"/>
          <w:sz w:val="22"/>
          <w:szCs w:val="22"/>
        </w:rPr>
        <w:t xml:space="preserve">(7) The registrar of the High Court must publish a notice of the forfeiture order in the </w:t>
      </w:r>
      <w:r>
        <w:rPr>
          <w:rFonts w:ascii="Arial" w:hAnsi="Arial"/>
          <w:i/>
          <w:sz w:val="22"/>
          <w:szCs w:val="22"/>
        </w:rPr>
        <w:t xml:space="preserve">Gazette </w:t>
      </w:r>
      <w:r>
        <w:rPr>
          <w:rFonts w:ascii="Arial" w:hAnsi="Arial"/>
          <w:sz w:val="22"/>
          <w:szCs w:val="22"/>
        </w:rPr>
        <w:t>as soon as practicable after it is made.</w:t>
      </w:r>
    </w:p>
    <w:p w14:paraId="238F2252" w14:textId="77777777" w:rsidR="00385307" w:rsidRDefault="00F8222E" w:rsidP="00F102A7">
      <w:pPr>
        <w:spacing w:line="360" w:lineRule="auto"/>
        <w:jc w:val="both"/>
        <w:rPr>
          <w:rFonts w:ascii="Arial" w:hAnsi="Arial"/>
          <w:sz w:val="22"/>
          <w:szCs w:val="22"/>
        </w:rPr>
      </w:pPr>
      <w:r>
        <w:rPr>
          <w:rFonts w:ascii="Arial" w:hAnsi="Arial"/>
          <w:sz w:val="22"/>
          <w:szCs w:val="22"/>
        </w:rPr>
        <w:t>(8) A forfeiture order under subsection</w:t>
      </w:r>
      <w:r w:rsidR="00385307">
        <w:rPr>
          <w:rFonts w:ascii="Arial" w:hAnsi="Arial"/>
          <w:sz w:val="22"/>
          <w:szCs w:val="22"/>
        </w:rPr>
        <w:t xml:space="preserve"> (1) does not take effect –</w:t>
      </w:r>
    </w:p>
    <w:p w14:paraId="45246F18" w14:textId="77777777" w:rsidR="00385307" w:rsidRDefault="00385307" w:rsidP="00F102A7">
      <w:pPr>
        <w:spacing w:line="360" w:lineRule="auto"/>
        <w:jc w:val="both"/>
        <w:rPr>
          <w:rFonts w:ascii="Arial" w:hAnsi="Arial"/>
          <w:sz w:val="22"/>
          <w:szCs w:val="22"/>
        </w:rPr>
      </w:pPr>
      <w:r>
        <w:rPr>
          <w:rFonts w:ascii="Arial" w:hAnsi="Arial"/>
          <w:sz w:val="22"/>
          <w:szCs w:val="22"/>
        </w:rPr>
        <w:t xml:space="preserve">(a) </w:t>
      </w:r>
      <w:proofErr w:type="gramStart"/>
      <w:r>
        <w:rPr>
          <w:rFonts w:ascii="Arial" w:hAnsi="Arial"/>
          <w:sz w:val="22"/>
          <w:szCs w:val="22"/>
        </w:rPr>
        <w:t>before</w:t>
      </w:r>
      <w:proofErr w:type="gramEnd"/>
      <w:r>
        <w:rPr>
          <w:rFonts w:ascii="Arial" w:hAnsi="Arial"/>
          <w:sz w:val="22"/>
          <w:szCs w:val="22"/>
        </w:rPr>
        <w:t xml:space="preserve"> the period allowed for an application under section 65 or an appeal under section 66 has expired; or</w:t>
      </w:r>
    </w:p>
    <w:p w14:paraId="21C6B440" w14:textId="77777777" w:rsidR="00F8222E" w:rsidRDefault="00385307" w:rsidP="00F102A7">
      <w:pPr>
        <w:spacing w:line="360" w:lineRule="auto"/>
        <w:jc w:val="both"/>
        <w:rPr>
          <w:rFonts w:ascii="Arial" w:hAnsi="Arial"/>
          <w:sz w:val="22"/>
          <w:szCs w:val="22"/>
        </w:rPr>
      </w:pPr>
      <w:r>
        <w:rPr>
          <w:rFonts w:ascii="Arial" w:hAnsi="Arial"/>
          <w:sz w:val="22"/>
          <w:szCs w:val="22"/>
        </w:rPr>
        <w:t>(</w:t>
      </w:r>
      <w:proofErr w:type="gramStart"/>
      <w:r>
        <w:rPr>
          <w:rFonts w:ascii="Arial" w:hAnsi="Arial"/>
          <w:sz w:val="22"/>
          <w:szCs w:val="22"/>
        </w:rPr>
        <w:t>b</w:t>
      </w:r>
      <w:proofErr w:type="gramEnd"/>
      <w:r>
        <w:rPr>
          <w:rFonts w:ascii="Arial" w:hAnsi="Arial"/>
          <w:sz w:val="22"/>
          <w:szCs w:val="22"/>
        </w:rPr>
        <w:t>) before an application or appeal referred to in paragraph (a) has been disposed of.’</w:t>
      </w:r>
      <w:r w:rsidR="00F8222E">
        <w:rPr>
          <w:rFonts w:ascii="Arial" w:hAnsi="Arial"/>
          <w:sz w:val="22"/>
          <w:szCs w:val="22"/>
        </w:rPr>
        <w:t xml:space="preserve"> </w:t>
      </w:r>
    </w:p>
    <w:p w14:paraId="5EFDCE7E" w14:textId="77777777" w:rsidR="000B5033" w:rsidRPr="00250660" w:rsidRDefault="000B5033" w:rsidP="00F102A7">
      <w:pPr>
        <w:spacing w:line="360" w:lineRule="auto"/>
        <w:jc w:val="both"/>
        <w:rPr>
          <w:rFonts w:ascii="Arial" w:hAnsi="Arial"/>
        </w:rPr>
      </w:pPr>
    </w:p>
    <w:p w14:paraId="49E7B068" w14:textId="414B98EE" w:rsidR="000B5033" w:rsidRPr="00B014A3" w:rsidRDefault="00C66FC9" w:rsidP="00B014A3">
      <w:pPr>
        <w:pStyle w:val="ListParagraph"/>
        <w:numPr>
          <w:ilvl w:val="0"/>
          <w:numId w:val="5"/>
        </w:numPr>
        <w:spacing w:line="360" w:lineRule="auto"/>
        <w:ind w:left="0" w:firstLine="0"/>
        <w:jc w:val="both"/>
        <w:rPr>
          <w:rFonts w:ascii="Arial" w:hAnsi="Arial"/>
        </w:rPr>
      </w:pPr>
      <w:r>
        <w:rPr>
          <w:rFonts w:ascii="Arial" w:hAnsi="Arial"/>
        </w:rPr>
        <w:t>A Full Bench of this court</w:t>
      </w:r>
      <w:r w:rsidR="000B5033" w:rsidRPr="00B014A3">
        <w:rPr>
          <w:rFonts w:ascii="Arial" w:hAnsi="Arial"/>
        </w:rPr>
        <w:t xml:space="preserve"> stated the purpo</w:t>
      </w:r>
      <w:r>
        <w:rPr>
          <w:rFonts w:ascii="Arial" w:hAnsi="Arial"/>
        </w:rPr>
        <w:t>se of the Act in the light of a challenge that it constitutes an infringement to property rights in</w:t>
      </w:r>
      <w:r w:rsidR="000B5033" w:rsidRPr="00B014A3">
        <w:rPr>
          <w:rFonts w:ascii="Arial" w:hAnsi="Arial"/>
        </w:rPr>
        <w:t xml:space="preserve"> the following </w:t>
      </w:r>
      <w:r>
        <w:rPr>
          <w:rFonts w:ascii="Arial" w:hAnsi="Arial"/>
        </w:rPr>
        <w:t xml:space="preserve">terms </w:t>
      </w:r>
      <w:r w:rsidR="000B5033" w:rsidRPr="00B014A3">
        <w:rPr>
          <w:rFonts w:ascii="Arial" w:hAnsi="Arial"/>
        </w:rPr>
        <w:t xml:space="preserve">in </w:t>
      </w:r>
      <w:proofErr w:type="spellStart"/>
      <w:r w:rsidR="004D2CB9">
        <w:rPr>
          <w:rFonts w:ascii="Arial" w:hAnsi="Arial"/>
          <w:i/>
        </w:rPr>
        <w:t>Shalli</w:t>
      </w:r>
      <w:proofErr w:type="spellEnd"/>
      <w:r w:rsidR="004D2CB9">
        <w:rPr>
          <w:rFonts w:ascii="Arial" w:hAnsi="Arial"/>
          <w:i/>
        </w:rPr>
        <w:t xml:space="preserve"> </w:t>
      </w:r>
      <w:r w:rsidR="000B5033" w:rsidRPr="00B014A3">
        <w:rPr>
          <w:rFonts w:ascii="Arial" w:hAnsi="Arial"/>
          <w:i/>
        </w:rPr>
        <w:t xml:space="preserve"> v </w:t>
      </w:r>
      <w:r w:rsidR="004D2CB9">
        <w:rPr>
          <w:rFonts w:ascii="Arial" w:hAnsi="Arial"/>
          <w:i/>
        </w:rPr>
        <w:t>Attorney-Genera</w:t>
      </w:r>
      <w:r w:rsidR="000B5033" w:rsidRPr="00B014A3">
        <w:rPr>
          <w:rFonts w:ascii="Arial" w:hAnsi="Arial"/>
          <w:i/>
        </w:rPr>
        <w:t>l</w:t>
      </w:r>
      <w:r w:rsidR="000B5033">
        <w:rPr>
          <w:rStyle w:val="FootnoteReference"/>
          <w:rFonts w:ascii="Arial" w:hAnsi="Arial"/>
        </w:rPr>
        <w:footnoteReference w:id="1"/>
      </w:r>
      <w:r w:rsidR="004D2CB9">
        <w:rPr>
          <w:rFonts w:ascii="Arial" w:hAnsi="Arial"/>
        </w:rPr>
        <w:t>:</w:t>
      </w:r>
    </w:p>
    <w:p w14:paraId="5867708E" w14:textId="77777777" w:rsidR="000B5033" w:rsidRDefault="000B5033" w:rsidP="00F102A7">
      <w:pPr>
        <w:spacing w:line="360" w:lineRule="auto"/>
        <w:jc w:val="both"/>
        <w:rPr>
          <w:rFonts w:ascii="Arial" w:hAnsi="Arial"/>
        </w:rPr>
      </w:pPr>
    </w:p>
    <w:p w14:paraId="1355CB35" w14:textId="1F70EEDF" w:rsidR="000B5033" w:rsidRPr="00C66FC9" w:rsidRDefault="00C66FC9" w:rsidP="00C66FC9">
      <w:pPr>
        <w:pStyle w:val="Title"/>
        <w:spacing w:line="360" w:lineRule="auto"/>
        <w:jc w:val="both"/>
        <w:rPr>
          <w:rFonts w:ascii="Arial" w:hAnsi="Arial" w:cs="Arial"/>
          <w:sz w:val="22"/>
          <w:szCs w:val="22"/>
        </w:rPr>
      </w:pPr>
      <w:r>
        <w:tab/>
      </w:r>
      <w:r>
        <w:rPr>
          <w:rFonts w:ascii="Arial" w:hAnsi="Arial" w:cs="Arial"/>
          <w:sz w:val="22"/>
          <w:szCs w:val="22"/>
        </w:rPr>
        <w:t>‘</w:t>
      </w:r>
      <w:r w:rsidRPr="00C66FC9">
        <w:rPr>
          <w:rFonts w:ascii="Arial" w:hAnsi="Arial" w:cs="Arial"/>
          <w:sz w:val="22"/>
          <w:szCs w:val="22"/>
        </w:rPr>
        <w:t>I accordingly conclude that chapter 6 does not violate</w:t>
      </w:r>
      <w:r>
        <w:rPr>
          <w:rFonts w:ascii="Arial" w:hAnsi="Arial" w:cs="Arial"/>
          <w:sz w:val="22"/>
          <w:szCs w:val="22"/>
        </w:rPr>
        <w:t xml:space="preserve"> the right to property under art 16 of the Constitution because art 17 does not protect the ownership or possession of the proceeds of crime. I further reiterate the approach of the court in </w:t>
      </w:r>
      <w:proofErr w:type="spellStart"/>
      <w:r>
        <w:rPr>
          <w:rFonts w:ascii="Arial" w:hAnsi="Arial" w:cs="Arial"/>
          <w:i/>
          <w:sz w:val="22"/>
          <w:szCs w:val="22"/>
        </w:rPr>
        <w:t>Lameck</w:t>
      </w:r>
      <w:proofErr w:type="spellEnd"/>
      <w:r>
        <w:rPr>
          <w:rFonts w:ascii="Arial" w:hAnsi="Arial" w:cs="Arial"/>
          <w:i/>
          <w:sz w:val="22"/>
          <w:szCs w:val="22"/>
        </w:rPr>
        <w:t xml:space="preserve"> </w:t>
      </w:r>
      <w:r>
        <w:rPr>
          <w:rFonts w:ascii="Arial" w:hAnsi="Arial" w:cs="Arial"/>
          <w:sz w:val="22"/>
          <w:szCs w:val="22"/>
        </w:rPr>
        <w:t xml:space="preserve">that even if </w:t>
      </w:r>
      <w:proofErr w:type="spellStart"/>
      <w:r>
        <w:rPr>
          <w:rFonts w:ascii="Arial" w:hAnsi="Arial" w:cs="Arial"/>
          <w:sz w:val="22"/>
          <w:szCs w:val="22"/>
        </w:rPr>
        <w:t>ch</w:t>
      </w:r>
      <w:proofErr w:type="spellEnd"/>
      <w:r>
        <w:rPr>
          <w:rFonts w:ascii="Arial" w:hAnsi="Arial" w:cs="Arial"/>
          <w:sz w:val="22"/>
          <w:szCs w:val="22"/>
        </w:rPr>
        <w:t xml:space="preserve"> 6 were to infringe upon art 16, then it would, in my view, be a proportionate response to the fundamental problem which it addresses, namely that no one should be allowed to benefit from their wrong doing and that a remedy of this kind is justified to induce members of the public to act with vigilance in </w:t>
      </w:r>
      <w:r>
        <w:rPr>
          <w:rFonts w:ascii="Arial" w:hAnsi="Arial" w:cs="Arial"/>
          <w:sz w:val="22"/>
          <w:szCs w:val="22"/>
        </w:rPr>
        <w:lastRenderedPageBreak/>
        <w:t>relation to goods they own or possess so as to inhibit crime. It thus serves a legitimate public purpose</w:t>
      </w:r>
      <w:r w:rsidR="000F2C21" w:rsidRPr="00C66FC9">
        <w:rPr>
          <w:rFonts w:ascii="Arial" w:hAnsi="Arial" w:cs="Arial"/>
          <w:sz w:val="22"/>
          <w:szCs w:val="22"/>
        </w:rPr>
        <w:t>.’</w:t>
      </w:r>
    </w:p>
    <w:p w14:paraId="5D617F01" w14:textId="77777777" w:rsidR="00250660" w:rsidRDefault="00250660" w:rsidP="00F102A7">
      <w:pPr>
        <w:spacing w:line="360" w:lineRule="auto"/>
        <w:jc w:val="both"/>
        <w:rPr>
          <w:rFonts w:ascii="Arial" w:hAnsi="Arial"/>
        </w:rPr>
      </w:pPr>
    </w:p>
    <w:p w14:paraId="07D1CCA6" w14:textId="76A94981" w:rsidR="00B014A3" w:rsidRPr="00EF588E" w:rsidRDefault="00250660" w:rsidP="00B014A3">
      <w:pPr>
        <w:pStyle w:val="ListParagraph"/>
        <w:numPr>
          <w:ilvl w:val="0"/>
          <w:numId w:val="5"/>
        </w:numPr>
        <w:spacing w:line="360" w:lineRule="auto"/>
        <w:ind w:left="0" w:firstLine="0"/>
        <w:jc w:val="both"/>
        <w:rPr>
          <w:rFonts w:ascii="Arial" w:hAnsi="Arial"/>
        </w:rPr>
      </w:pPr>
      <w:r w:rsidRPr="00B014A3">
        <w:rPr>
          <w:rFonts w:ascii="Arial" w:hAnsi="Arial"/>
        </w:rPr>
        <w:t>As indicated earlier, the purpose of this judgment, is to consider and decide whether this is an appropriate matter in which the court should grant a forfeiture order. In order to arrive at that conclusion, the court will consider the papers filed of record by the PG and the submissions made on her behalf and decide whether the threshold set out by the legislature, in s 61, has been met by the PG. The fact that the interested parties have not filed any papers in opposition</w:t>
      </w:r>
      <w:r w:rsidR="00C76379">
        <w:rPr>
          <w:rFonts w:ascii="Arial" w:hAnsi="Arial"/>
        </w:rPr>
        <w:t xml:space="preserve"> to this particular application</w:t>
      </w:r>
      <w:r w:rsidRPr="00B014A3">
        <w:rPr>
          <w:rFonts w:ascii="Arial" w:hAnsi="Arial"/>
        </w:rPr>
        <w:t>, counts for very little as the court must primarily have proper regard to the provisions of s 61</w:t>
      </w:r>
      <w:r w:rsidR="00875EE7" w:rsidRPr="00B014A3">
        <w:rPr>
          <w:rFonts w:ascii="Arial" w:hAnsi="Arial"/>
        </w:rPr>
        <w:t>. This is what I intend to do below.</w:t>
      </w:r>
    </w:p>
    <w:p w14:paraId="5775CF33" w14:textId="77777777" w:rsidR="00C76379" w:rsidRDefault="00C76379" w:rsidP="00B014A3">
      <w:pPr>
        <w:spacing w:line="360" w:lineRule="auto"/>
        <w:jc w:val="both"/>
        <w:rPr>
          <w:rFonts w:ascii="Arial" w:hAnsi="Arial"/>
          <w:u w:val="single"/>
        </w:rPr>
      </w:pPr>
    </w:p>
    <w:p w14:paraId="482ECF5C" w14:textId="77777777" w:rsidR="00B014A3" w:rsidRDefault="00B014A3" w:rsidP="00B014A3">
      <w:pPr>
        <w:spacing w:line="360" w:lineRule="auto"/>
        <w:jc w:val="both"/>
        <w:rPr>
          <w:rFonts w:ascii="Arial" w:hAnsi="Arial"/>
          <w:u w:val="single"/>
        </w:rPr>
      </w:pPr>
      <w:r>
        <w:rPr>
          <w:rFonts w:ascii="Arial" w:hAnsi="Arial"/>
          <w:u w:val="single"/>
        </w:rPr>
        <w:t>Background</w:t>
      </w:r>
    </w:p>
    <w:p w14:paraId="16A4B7E0" w14:textId="77777777" w:rsidR="00B014A3" w:rsidRDefault="00B014A3" w:rsidP="00B014A3">
      <w:pPr>
        <w:pStyle w:val="ListParagraph"/>
        <w:spacing w:line="360" w:lineRule="auto"/>
        <w:ind w:left="0"/>
        <w:jc w:val="both"/>
        <w:rPr>
          <w:rFonts w:ascii="Arial" w:hAnsi="Arial"/>
        </w:rPr>
      </w:pPr>
    </w:p>
    <w:p w14:paraId="11392CAE" w14:textId="77777777" w:rsidR="00B014A3" w:rsidRDefault="00875EE7"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On 11 November 2021, the PG approached this court on an </w:t>
      </w:r>
      <w:r w:rsidR="00F102A7" w:rsidRPr="00B014A3">
        <w:rPr>
          <w:rFonts w:ascii="Arial" w:hAnsi="Arial"/>
        </w:rPr>
        <w:t>urgent and</w:t>
      </w:r>
      <w:r w:rsidR="00DD26D4" w:rsidRPr="00B014A3">
        <w:rPr>
          <w:rFonts w:ascii="Arial" w:hAnsi="Arial"/>
        </w:rPr>
        <w:t xml:space="preserve"> </w:t>
      </w:r>
      <w:r w:rsidR="00DD26D4" w:rsidRPr="00B014A3">
        <w:rPr>
          <w:rFonts w:ascii="Arial" w:hAnsi="Arial"/>
          <w:i/>
        </w:rPr>
        <w:t xml:space="preserve">ex parte </w:t>
      </w:r>
      <w:r w:rsidRPr="00B014A3">
        <w:rPr>
          <w:rFonts w:ascii="Arial" w:hAnsi="Arial"/>
        </w:rPr>
        <w:t xml:space="preserve">basis, in terms of s 51(1) of the Act. The PG essentially sought an order for the preservation of the property mentioned in para 1 above. The application </w:t>
      </w:r>
      <w:r w:rsidR="008D4F68" w:rsidRPr="00B014A3">
        <w:rPr>
          <w:rFonts w:ascii="Arial" w:hAnsi="Arial"/>
        </w:rPr>
        <w:t xml:space="preserve">was predicated on the affidavits of the PG and Ms Emilia </w:t>
      </w:r>
      <w:proofErr w:type="spellStart"/>
      <w:r w:rsidR="008D4F68" w:rsidRPr="00B014A3">
        <w:rPr>
          <w:rFonts w:ascii="Arial" w:hAnsi="Arial"/>
        </w:rPr>
        <w:t>Naitsuwe</w:t>
      </w:r>
      <w:proofErr w:type="spellEnd"/>
      <w:r w:rsidR="008D4F68" w:rsidRPr="00B014A3">
        <w:rPr>
          <w:rFonts w:ascii="Arial" w:hAnsi="Arial"/>
        </w:rPr>
        <w:t xml:space="preserve"> </w:t>
      </w:r>
      <w:proofErr w:type="spellStart"/>
      <w:r w:rsidR="008D4F68" w:rsidRPr="00B014A3">
        <w:rPr>
          <w:rFonts w:ascii="Arial" w:hAnsi="Arial"/>
        </w:rPr>
        <w:t>Nambadi</w:t>
      </w:r>
      <w:proofErr w:type="spellEnd"/>
      <w:r w:rsidR="008D4F68" w:rsidRPr="00B014A3">
        <w:rPr>
          <w:rFonts w:ascii="Arial" w:hAnsi="Arial"/>
        </w:rPr>
        <w:t>. A reading of the founding affidavit of the PG paints a picture on the canvass that is described briefly below.</w:t>
      </w:r>
    </w:p>
    <w:p w14:paraId="49E0E186" w14:textId="77777777" w:rsidR="00B014A3" w:rsidRDefault="00B014A3" w:rsidP="00B014A3">
      <w:pPr>
        <w:pStyle w:val="ListParagraph"/>
        <w:spacing w:line="360" w:lineRule="auto"/>
        <w:ind w:left="0"/>
        <w:jc w:val="both"/>
        <w:rPr>
          <w:rFonts w:ascii="Arial" w:hAnsi="Arial"/>
        </w:rPr>
      </w:pPr>
    </w:p>
    <w:p w14:paraId="15C531B3" w14:textId="152E16D2" w:rsidR="00B014A3" w:rsidRDefault="00DD26D4" w:rsidP="00F102A7">
      <w:pPr>
        <w:pStyle w:val="ListParagraph"/>
        <w:numPr>
          <w:ilvl w:val="0"/>
          <w:numId w:val="5"/>
        </w:numPr>
        <w:spacing w:line="360" w:lineRule="auto"/>
        <w:ind w:left="0" w:firstLine="0"/>
        <w:jc w:val="both"/>
        <w:rPr>
          <w:rFonts w:ascii="Arial" w:hAnsi="Arial"/>
        </w:rPr>
      </w:pPr>
      <w:r w:rsidRPr="00B014A3">
        <w:rPr>
          <w:rFonts w:ascii="Arial" w:hAnsi="Arial"/>
        </w:rPr>
        <w:t>The PG deposed that the police had received information that three statutory interventions were due to expire in a matter of days in certain listed positive balances. These interventions had been made at the behest of the Financial Intelligence Centre (FIC). Had these interventions lapsed, the banks concerned would</w:t>
      </w:r>
      <w:r w:rsidR="00C76379">
        <w:rPr>
          <w:rFonts w:ascii="Arial" w:hAnsi="Arial"/>
        </w:rPr>
        <w:t xml:space="preserve"> have</w:t>
      </w:r>
      <w:r w:rsidRPr="00B014A3">
        <w:rPr>
          <w:rFonts w:ascii="Arial" w:hAnsi="Arial"/>
        </w:rPr>
        <w:t xml:space="preserve"> be</w:t>
      </w:r>
      <w:r w:rsidR="00C76379">
        <w:rPr>
          <w:rFonts w:ascii="Arial" w:hAnsi="Arial"/>
        </w:rPr>
        <w:t>en</w:t>
      </w:r>
      <w:r w:rsidRPr="00B014A3">
        <w:rPr>
          <w:rFonts w:ascii="Arial" w:hAnsi="Arial"/>
        </w:rPr>
        <w:t xml:space="preserve"> at liberty to allow the account holders to withdraw the effects.</w:t>
      </w:r>
    </w:p>
    <w:p w14:paraId="12604D8A" w14:textId="77777777" w:rsidR="00B014A3" w:rsidRDefault="00B014A3" w:rsidP="00B014A3">
      <w:pPr>
        <w:pStyle w:val="ListParagraph"/>
        <w:spacing w:line="360" w:lineRule="auto"/>
        <w:ind w:left="0"/>
        <w:jc w:val="both"/>
        <w:rPr>
          <w:rFonts w:ascii="Arial" w:hAnsi="Arial"/>
        </w:rPr>
      </w:pPr>
    </w:p>
    <w:p w14:paraId="7EAE7EE0" w14:textId="074E312E" w:rsidR="00B014A3" w:rsidRDefault="00822751"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 PG deposed </w:t>
      </w:r>
      <w:r w:rsidR="0071556F" w:rsidRPr="00B014A3">
        <w:rPr>
          <w:rFonts w:ascii="Arial" w:hAnsi="Arial"/>
        </w:rPr>
        <w:t xml:space="preserve">further </w:t>
      </w:r>
      <w:r w:rsidRPr="00B014A3">
        <w:rPr>
          <w:rFonts w:ascii="Arial" w:hAnsi="Arial"/>
        </w:rPr>
        <w:t>that she had appr</w:t>
      </w:r>
      <w:r w:rsidR="00C76379">
        <w:rPr>
          <w:rFonts w:ascii="Arial" w:hAnsi="Arial"/>
        </w:rPr>
        <w:t>oached the court in terms of s 5</w:t>
      </w:r>
      <w:r w:rsidRPr="00B014A3">
        <w:rPr>
          <w:rFonts w:ascii="Arial" w:hAnsi="Arial"/>
        </w:rPr>
        <w:t xml:space="preserve">1 of the Act, to preserve the property in question with immediate effect and </w:t>
      </w:r>
      <w:r w:rsidR="00A3591E">
        <w:rPr>
          <w:rFonts w:ascii="Arial" w:hAnsi="Arial"/>
        </w:rPr>
        <w:t xml:space="preserve">to </w:t>
      </w:r>
      <w:r w:rsidRPr="00B014A3">
        <w:rPr>
          <w:rFonts w:ascii="Arial" w:hAnsi="Arial"/>
        </w:rPr>
        <w:t xml:space="preserve">further grant a rule </w:t>
      </w:r>
      <w:r w:rsidRPr="00B014A3">
        <w:rPr>
          <w:rFonts w:ascii="Arial" w:hAnsi="Arial"/>
          <w:i/>
        </w:rPr>
        <w:t xml:space="preserve">nisi </w:t>
      </w:r>
      <w:r w:rsidRPr="00B014A3">
        <w:rPr>
          <w:rFonts w:ascii="Arial" w:hAnsi="Arial"/>
        </w:rPr>
        <w:t>calling upon interested persons against whom the order is made, to show cause on a date to be mentioned in the order, why the said order should not be made final.</w:t>
      </w:r>
    </w:p>
    <w:p w14:paraId="2E1F572B" w14:textId="77777777" w:rsidR="00B014A3" w:rsidRDefault="00B014A3" w:rsidP="00B014A3">
      <w:pPr>
        <w:pStyle w:val="ListParagraph"/>
        <w:spacing w:line="360" w:lineRule="auto"/>
        <w:ind w:left="0"/>
        <w:jc w:val="both"/>
        <w:rPr>
          <w:rFonts w:ascii="Arial" w:hAnsi="Arial"/>
        </w:rPr>
      </w:pPr>
    </w:p>
    <w:p w14:paraId="21CD3E79" w14:textId="5F8FC9BF" w:rsidR="00B014A3" w:rsidRDefault="00822751"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 PG further deposed that evidence had been obtained through investigations conducted by the police in terms of which </w:t>
      </w:r>
      <w:r w:rsidR="00B21D96">
        <w:rPr>
          <w:rFonts w:ascii="Arial" w:hAnsi="Arial"/>
        </w:rPr>
        <w:t>there we</w:t>
      </w:r>
      <w:r w:rsidR="00D008AA" w:rsidRPr="00B014A3">
        <w:rPr>
          <w:rFonts w:ascii="Arial" w:hAnsi="Arial"/>
        </w:rPr>
        <w:t xml:space="preserve">re reasonable grounds to suspect that the parties mentioned in para 1, acted in common purpose to defraud a foreign company known as Lycia Limited, situated in Unit 6 International Business </w:t>
      </w:r>
      <w:proofErr w:type="spellStart"/>
      <w:r w:rsidR="00D008AA" w:rsidRPr="00B014A3">
        <w:rPr>
          <w:rFonts w:ascii="Arial" w:hAnsi="Arial"/>
        </w:rPr>
        <w:t>Charflegts</w:t>
      </w:r>
      <w:proofErr w:type="spellEnd"/>
      <w:r w:rsidR="00D008AA" w:rsidRPr="00B014A3">
        <w:rPr>
          <w:rFonts w:ascii="Arial" w:hAnsi="Arial"/>
        </w:rPr>
        <w:t xml:space="preserve"> Road, </w:t>
      </w:r>
      <w:proofErr w:type="spellStart"/>
      <w:r w:rsidR="00D008AA" w:rsidRPr="00B014A3">
        <w:rPr>
          <w:rFonts w:ascii="Arial" w:hAnsi="Arial"/>
        </w:rPr>
        <w:t>Canvay</w:t>
      </w:r>
      <w:proofErr w:type="spellEnd"/>
      <w:r w:rsidR="00D008AA" w:rsidRPr="00B014A3">
        <w:rPr>
          <w:rFonts w:ascii="Arial" w:hAnsi="Arial"/>
        </w:rPr>
        <w:t xml:space="preserve"> Island SS8 OSG, United Kingdom. (‘Lycia’). In this regard, it was deposed that Messrs </w:t>
      </w:r>
      <w:proofErr w:type="spellStart"/>
      <w:r w:rsidR="00D008AA" w:rsidRPr="00B014A3">
        <w:rPr>
          <w:rFonts w:ascii="Arial" w:hAnsi="Arial"/>
        </w:rPr>
        <w:t>Heita</w:t>
      </w:r>
      <w:proofErr w:type="spellEnd"/>
      <w:r w:rsidR="00D008AA" w:rsidRPr="00B014A3">
        <w:rPr>
          <w:rFonts w:ascii="Arial" w:hAnsi="Arial"/>
        </w:rPr>
        <w:t xml:space="preserve"> and </w:t>
      </w:r>
      <w:proofErr w:type="spellStart"/>
      <w:r w:rsidR="00D008AA" w:rsidRPr="00B014A3">
        <w:rPr>
          <w:rFonts w:ascii="Arial" w:hAnsi="Arial"/>
        </w:rPr>
        <w:t>Hamupolo</w:t>
      </w:r>
      <w:proofErr w:type="spellEnd"/>
      <w:r w:rsidR="00D008AA" w:rsidRPr="00B014A3">
        <w:rPr>
          <w:rFonts w:ascii="Arial" w:hAnsi="Arial"/>
        </w:rPr>
        <w:t xml:space="preserve"> and/or their entities, had informed the Lycia and its representative, that they were selling some diamonds, which was a ploy to obtain money from Lycia.</w:t>
      </w:r>
    </w:p>
    <w:p w14:paraId="5FB476A3" w14:textId="77777777" w:rsidR="00B014A3" w:rsidRDefault="00B014A3" w:rsidP="00B014A3">
      <w:pPr>
        <w:pStyle w:val="ListParagraph"/>
        <w:spacing w:line="360" w:lineRule="auto"/>
        <w:ind w:left="0"/>
        <w:jc w:val="both"/>
        <w:rPr>
          <w:rFonts w:ascii="Arial" w:hAnsi="Arial"/>
        </w:rPr>
      </w:pPr>
    </w:p>
    <w:p w14:paraId="3B72D8F1" w14:textId="77777777" w:rsidR="00B014A3" w:rsidRDefault="00E433F5"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It was further deposed that on 13 October 2021, a Mr Bruno Manual Silva De Jesus laid a complaint with the police, alleging that he was deputed by Lycia, to come to Namibia, to liaise, inspect, negotiate and act on Lycia’s behalf. Contact had been established with Mr </w:t>
      </w:r>
      <w:proofErr w:type="spellStart"/>
      <w:r w:rsidRPr="00B014A3">
        <w:rPr>
          <w:rFonts w:ascii="Arial" w:hAnsi="Arial"/>
        </w:rPr>
        <w:t>Heita</w:t>
      </w:r>
      <w:proofErr w:type="spellEnd"/>
      <w:r w:rsidRPr="00B014A3">
        <w:rPr>
          <w:rFonts w:ascii="Arial" w:hAnsi="Arial"/>
        </w:rPr>
        <w:t>, who was informed that Lycia was interested in purchasing some diamonds.</w:t>
      </w:r>
    </w:p>
    <w:p w14:paraId="5E500B37" w14:textId="77777777" w:rsidR="00B014A3" w:rsidRDefault="00B014A3" w:rsidP="00B014A3">
      <w:pPr>
        <w:pStyle w:val="ListParagraph"/>
        <w:spacing w:line="360" w:lineRule="auto"/>
        <w:ind w:left="0"/>
        <w:jc w:val="both"/>
        <w:rPr>
          <w:rFonts w:ascii="Arial" w:hAnsi="Arial"/>
        </w:rPr>
      </w:pPr>
    </w:p>
    <w:p w14:paraId="0C84FEF3" w14:textId="77777777" w:rsidR="00B014A3" w:rsidRDefault="00167D2B"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To cut the long story short, contact was established and Mr De Jesus came to Namibia on 5 October 2021 and established contact with Mr </w:t>
      </w:r>
      <w:proofErr w:type="spellStart"/>
      <w:r w:rsidRPr="00B014A3">
        <w:rPr>
          <w:rFonts w:ascii="Arial" w:hAnsi="Arial"/>
        </w:rPr>
        <w:t>Kangonga</w:t>
      </w:r>
      <w:proofErr w:type="spellEnd"/>
      <w:r w:rsidRPr="00B014A3">
        <w:rPr>
          <w:rFonts w:ascii="Arial" w:hAnsi="Arial"/>
        </w:rPr>
        <w:t xml:space="preserve">. He was booked in at the </w:t>
      </w:r>
      <w:proofErr w:type="spellStart"/>
      <w:r w:rsidRPr="00B014A3">
        <w:rPr>
          <w:rFonts w:ascii="Arial" w:hAnsi="Arial"/>
        </w:rPr>
        <w:t>Heinitzburg</w:t>
      </w:r>
      <w:proofErr w:type="spellEnd"/>
      <w:r w:rsidRPr="00B014A3">
        <w:rPr>
          <w:rFonts w:ascii="Arial" w:hAnsi="Arial"/>
        </w:rPr>
        <w:t xml:space="preserve"> hotel. Eventually, Messrs </w:t>
      </w:r>
      <w:proofErr w:type="spellStart"/>
      <w:r w:rsidRPr="00B014A3">
        <w:rPr>
          <w:rFonts w:ascii="Arial" w:hAnsi="Arial"/>
        </w:rPr>
        <w:t>Hamupolo</w:t>
      </w:r>
      <w:proofErr w:type="spellEnd"/>
      <w:r w:rsidRPr="00B014A3">
        <w:rPr>
          <w:rFonts w:ascii="Arial" w:hAnsi="Arial"/>
        </w:rPr>
        <w:t xml:space="preserve">, De Jesus and  </w:t>
      </w:r>
      <w:proofErr w:type="spellStart"/>
      <w:r w:rsidR="008E13B3" w:rsidRPr="00B014A3">
        <w:rPr>
          <w:rFonts w:ascii="Arial" w:hAnsi="Arial"/>
        </w:rPr>
        <w:t>Kangonga</w:t>
      </w:r>
      <w:proofErr w:type="spellEnd"/>
      <w:r w:rsidR="008E13B3" w:rsidRPr="00B014A3">
        <w:rPr>
          <w:rFonts w:ascii="Arial" w:hAnsi="Arial"/>
        </w:rPr>
        <w:t xml:space="preserve"> attended at the latter’s office where Mr </w:t>
      </w:r>
      <w:proofErr w:type="spellStart"/>
      <w:r w:rsidR="008E13B3" w:rsidRPr="00B014A3">
        <w:rPr>
          <w:rFonts w:ascii="Arial" w:hAnsi="Arial"/>
        </w:rPr>
        <w:t>Hamupolo</w:t>
      </w:r>
      <w:proofErr w:type="spellEnd"/>
      <w:r w:rsidR="008E13B3" w:rsidRPr="00B014A3">
        <w:rPr>
          <w:rFonts w:ascii="Arial" w:hAnsi="Arial"/>
        </w:rPr>
        <w:t>, who had been introduced as a diamond seller, produced three plastic bags with diamonds which had already been pre-sorted.</w:t>
      </w:r>
      <w:r w:rsidR="000367D9" w:rsidRPr="00B014A3">
        <w:rPr>
          <w:rFonts w:ascii="Arial" w:hAnsi="Arial"/>
        </w:rPr>
        <w:t xml:space="preserve"> They were said to be 177ct.</w:t>
      </w:r>
      <w:r w:rsidR="008E13B3" w:rsidRPr="00B014A3">
        <w:rPr>
          <w:rFonts w:ascii="Arial" w:hAnsi="Arial"/>
        </w:rPr>
        <w:t xml:space="preserve"> </w:t>
      </w:r>
    </w:p>
    <w:p w14:paraId="4E01209C" w14:textId="77777777" w:rsidR="00B014A3" w:rsidRDefault="00B014A3" w:rsidP="00B014A3">
      <w:pPr>
        <w:pStyle w:val="ListParagraph"/>
        <w:spacing w:line="360" w:lineRule="auto"/>
        <w:ind w:left="0"/>
        <w:jc w:val="both"/>
        <w:rPr>
          <w:rFonts w:ascii="Arial" w:hAnsi="Arial"/>
        </w:rPr>
      </w:pPr>
    </w:p>
    <w:p w14:paraId="39663C14" w14:textId="2A3BA0EB" w:rsidR="00B014A3" w:rsidRDefault="008E13B3"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A safe was then purchased and in which to place the diamonds in safety. </w:t>
      </w:r>
      <w:proofErr w:type="spellStart"/>
      <w:r w:rsidRPr="00B014A3">
        <w:rPr>
          <w:rFonts w:ascii="Arial" w:hAnsi="Arial"/>
        </w:rPr>
        <w:t>Hamupolo</w:t>
      </w:r>
      <w:proofErr w:type="spellEnd"/>
      <w:r w:rsidRPr="00B014A3">
        <w:rPr>
          <w:rFonts w:ascii="Arial" w:hAnsi="Arial"/>
        </w:rPr>
        <w:t xml:space="preserve"> would keep the keys to the safe until such time that payment would have been made for the diamonds. These diamonds were inspected by </w:t>
      </w:r>
      <w:r w:rsidR="00B21D96">
        <w:rPr>
          <w:rFonts w:ascii="Arial" w:hAnsi="Arial"/>
        </w:rPr>
        <w:t xml:space="preserve">Mr </w:t>
      </w:r>
      <w:proofErr w:type="spellStart"/>
      <w:r w:rsidRPr="00B014A3">
        <w:rPr>
          <w:rFonts w:ascii="Arial" w:hAnsi="Arial"/>
        </w:rPr>
        <w:t>Kangonga</w:t>
      </w:r>
      <w:proofErr w:type="spellEnd"/>
      <w:r w:rsidRPr="00B014A3">
        <w:rPr>
          <w:rFonts w:ascii="Arial" w:hAnsi="Arial"/>
        </w:rPr>
        <w:t>, and kept in the safe deposit</w:t>
      </w:r>
      <w:r w:rsidR="000367D9" w:rsidRPr="00B014A3">
        <w:rPr>
          <w:rFonts w:ascii="Arial" w:hAnsi="Arial"/>
        </w:rPr>
        <w:t xml:space="preserve">, the keys of which were kept by Mr De Jesus and Mr </w:t>
      </w:r>
      <w:proofErr w:type="spellStart"/>
      <w:r w:rsidR="000367D9" w:rsidRPr="00B014A3">
        <w:rPr>
          <w:rFonts w:ascii="Arial" w:hAnsi="Arial"/>
        </w:rPr>
        <w:t>Hamupolo</w:t>
      </w:r>
      <w:proofErr w:type="spellEnd"/>
      <w:r w:rsidR="000367D9" w:rsidRPr="00B014A3">
        <w:rPr>
          <w:rFonts w:ascii="Arial" w:hAnsi="Arial"/>
        </w:rPr>
        <w:t>. Mr de Jesus took the diamonds in the safe and deposited them in his hotel room and kept the key to the safe.</w:t>
      </w:r>
    </w:p>
    <w:p w14:paraId="19940EBE" w14:textId="77777777" w:rsidR="00B014A3" w:rsidRDefault="00B014A3" w:rsidP="00B014A3">
      <w:pPr>
        <w:pStyle w:val="ListParagraph"/>
        <w:spacing w:line="360" w:lineRule="auto"/>
        <w:ind w:left="0"/>
        <w:jc w:val="both"/>
        <w:rPr>
          <w:rFonts w:ascii="Arial" w:hAnsi="Arial"/>
        </w:rPr>
      </w:pPr>
    </w:p>
    <w:p w14:paraId="6DF83946" w14:textId="4C992CDD" w:rsidR="00B014A3" w:rsidRDefault="000367D9"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Eventually, </w:t>
      </w:r>
      <w:r w:rsidR="00B21D96">
        <w:rPr>
          <w:rFonts w:ascii="Arial" w:hAnsi="Arial"/>
        </w:rPr>
        <w:t xml:space="preserve">Mr </w:t>
      </w:r>
      <w:proofErr w:type="spellStart"/>
      <w:r w:rsidR="007159A4" w:rsidRPr="00B014A3">
        <w:rPr>
          <w:rFonts w:ascii="Arial" w:hAnsi="Arial"/>
        </w:rPr>
        <w:t>Heita</w:t>
      </w:r>
      <w:proofErr w:type="spellEnd"/>
      <w:r w:rsidR="007159A4" w:rsidRPr="00B014A3">
        <w:rPr>
          <w:rFonts w:ascii="Arial" w:hAnsi="Arial"/>
        </w:rPr>
        <w:t xml:space="preserve"> told De Jesus that he could obtain all the necessary documents,</w:t>
      </w:r>
      <w:r w:rsidRPr="00B014A3">
        <w:rPr>
          <w:rFonts w:ascii="Arial" w:hAnsi="Arial"/>
        </w:rPr>
        <w:t xml:space="preserve"> together with all the other necessaries, such as the settlement of </w:t>
      </w:r>
      <w:r w:rsidRPr="00B014A3">
        <w:rPr>
          <w:rFonts w:ascii="Arial" w:hAnsi="Arial"/>
        </w:rPr>
        <w:lastRenderedPageBreak/>
        <w:t>taxes, certificate of origin, the Kimberley Process Certification</w:t>
      </w:r>
      <w:r w:rsidR="007159A4" w:rsidRPr="00B014A3">
        <w:rPr>
          <w:rFonts w:ascii="Arial" w:hAnsi="Arial"/>
        </w:rPr>
        <w:t xml:space="preserve"> within a period of 4 days from the Ministry of Mines and Energy. To </w:t>
      </w:r>
      <w:r w:rsidR="0071556F" w:rsidRPr="00B014A3">
        <w:rPr>
          <w:rFonts w:ascii="Arial" w:hAnsi="Arial"/>
        </w:rPr>
        <w:t>do so, he needed payment of USD</w:t>
      </w:r>
      <w:r w:rsidR="007159A4" w:rsidRPr="00B014A3">
        <w:rPr>
          <w:rFonts w:ascii="Arial" w:hAnsi="Arial"/>
        </w:rPr>
        <w:t xml:space="preserve"> 57 190 for the paperwork needed for the 177ct and 425ct diamonds. He further required USD950 for taxes and the KPC as per the </w:t>
      </w:r>
      <w:proofErr w:type="spellStart"/>
      <w:r w:rsidR="007159A4" w:rsidRPr="00B014A3">
        <w:rPr>
          <w:rFonts w:ascii="Arial" w:hAnsi="Arial"/>
        </w:rPr>
        <w:t>ct</w:t>
      </w:r>
      <w:proofErr w:type="spellEnd"/>
      <w:r w:rsidR="007159A4" w:rsidRPr="00B014A3">
        <w:rPr>
          <w:rFonts w:ascii="Arial" w:hAnsi="Arial"/>
        </w:rPr>
        <w:t xml:space="preserve"> so that people at the Ministry, would inspect the parcels and issue the necessary documents promptly. Mr De Jesus issued payment of the two amounts to the account of </w:t>
      </w:r>
      <w:proofErr w:type="spellStart"/>
      <w:r w:rsidR="007159A4" w:rsidRPr="00B014A3">
        <w:rPr>
          <w:rFonts w:ascii="Arial" w:hAnsi="Arial"/>
        </w:rPr>
        <w:t>Cabino</w:t>
      </w:r>
      <w:proofErr w:type="spellEnd"/>
      <w:r w:rsidR="007159A4" w:rsidRPr="00B014A3">
        <w:rPr>
          <w:rFonts w:ascii="Arial" w:hAnsi="Arial"/>
        </w:rPr>
        <w:t xml:space="preserve"> CC</w:t>
      </w:r>
      <w:r w:rsidR="002944BC" w:rsidRPr="00B014A3">
        <w:rPr>
          <w:rFonts w:ascii="Arial" w:hAnsi="Arial"/>
        </w:rPr>
        <w:t>. Clearance of the funds would take a few days.</w:t>
      </w:r>
      <w:r w:rsidR="007159A4" w:rsidRPr="00B014A3">
        <w:rPr>
          <w:rFonts w:ascii="Arial" w:hAnsi="Arial"/>
        </w:rPr>
        <w:t xml:space="preserve"> </w:t>
      </w:r>
      <w:r w:rsidR="002944BC" w:rsidRPr="00B014A3">
        <w:rPr>
          <w:rFonts w:ascii="Arial" w:hAnsi="Arial"/>
        </w:rPr>
        <w:t>Another 1000ct diamond was also made part of the bargain.</w:t>
      </w:r>
    </w:p>
    <w:p w14:paraId="10889EC7" w14:textId="77777777" w:rsidR="00B014A3" w:rsidRDefault="00B014A3" w:rsidP="00B014A3">
      <w:pPr>
        <w:pStyle w:val="ListParagraph"/>
        <w:spacing w:line="360" w:lineRule="auto"/>
        <w:ind w:left="0"/>
        <w:jc w:val="both"/>
        <w:rPr>
          <w:rFonts w:ascii="Arial" w:hAnsi="Arial"/>
        </w:rPr>
      </w:pPr>
    </w:p>
    <w:p w14:paraId="103FFFB5" w14:textId="19ADE2AC" w:rsidR="00B014A3" w:rsidRDefault="002944BC" w:rsidP="00F102A7">
      <w:pPr>
        <w:pStyle w:val="ListParagraph"/>
        <w:numPr>
          <w:ilvl w:val="0"/>
          <w:numId w:val="5"/>
        </w:numPr>
        <w:spacing w:line="360" w:lineRule="auto"/>
        <w:ind w:left="0" w:firstLine="0"/>
        <w:jc w:val="both"/>
        <w:rPr>
          <w:rFonts w:ascii="Arial" w:hAnsi="Arial"/>
        </w:rPr>
      </w:pPr>
      <w:r w:rsidRPr="00B014A3">
        <w:rPr>
          <w:rFonts w:ascii="Arial" w:hAnsi="Arial"/>
        </w:rPr>
        <w:t>After some days, a box was bought to keep the 1000ct of diamonds</w:t>
      </w:r>
      <w:r w:rsidR="00155544" w:rsidRPr="00B014A3">
        <w:rPr>
          <w:rFonts w:ascii="Arial" w:hAnsi="Arial"/>
        </w:rPr>
        <w:t xml:space="preserve">. Mr De Jesus would keep one set of keys to the safety box and Mr </w:t>
      </w:r>
      <w:proofErr w:type="spellStart"/>
      <w:r w:rsidR="00155544" w:rsidRPr="00B014A3">
        <w:rPr>
          <w:rFonts w:ascii="Arial" w:hAnsi="Arial"/>
        </w:rPr>
        <w:t>Heita</w:t>
      </w:r>
      <w:proofErr w:type="spellEnd"/>
      <w:r w:rsidR="00155544" w:rsidRPr="00B014A3">
        <w:rPr>
          <w:rFonts w:ascii="Arial" w:hAnsi="Arial"/>
        </w:rPr>
        <w:t xml:space="preserve"> would keep the other set. On 18 October 2021, whilst in his hotel room, Mr De Jesus was informed by a manager at the hotel that police were looking for</w:t>
      </w:r>
      <w:r w:rsidR="003579B4">
        <w:rPr>
          <w:rFonts w:ascii="Arial" w:hAnsi="Arial"/>
        </w:rPr>
        <w:t xml:space="preserve"> him and wanted to</w:t>
      </w:r>
      <w:r w:rsidR="00F102A7" w:rsidRPr="00B014A3">
        <w:rPr>
          <w:rFonts w:ascii="Arial" w:hAnsi="Arial"/>
        </w:rPr>
        <w:t xml:space="preserve"> speak</w:t>
      </w:r>
      <w:r w:rsidR="00155544" w:rsidRPr="00B014A3">
        <w:rPr>
          <w:rFonts w:ascii="Arial" w:hAnsi="Arial"/>
        </w:rPr>
        <w:t xml:space="preserve"> to him. Indeed, a police officer in official uniform presented himself to Mr De Jesus and produced his </w:t>
      </w:r>
      <w:r w:rsidR="00225E69" w:rsidRPr="00B014A3">
        <w:rPr>
          <w:rFonts w:ascii="Arial" w:hAnsi="Arial"/>
        </w:rPr>
        <w:t xml:space="preserve">appointment certificate. The officer </w:t>
      </w:r>
      <w:r w:rsidR="00155544" w:rsidRPr="00B014A3">
        <w:rPr>
          <w:rFonts w:ascii="Arial" w:hAnsi="Arial"/>
        </w:rPr>
        <w:t xml:space="preserve">informed him that </w:t>
      </w:r>
      <w:r w:rsidR="00225E69" w:rsidRPr="00B014A3">
        <w:rPr>
          <w:rFonts w:ascii="Arial" w:hAnsi="Arial"/>
        </w:rPr>
        <w:t>he was working for the Ministry of Mines and had come to collect the parcels for the protection of the buyer and the transaction as well.</w:t>
      </w:r>
    </w:p>
    <w:p w14:paraId="25FC949D" w14:textId="77777777" w:rsidR="00B014A3" w:rsidRDefault="00B014A3" w:rsidP="00B014A3">
      <w:pPr>
        <w:pStyle w:val="ListParagraph"/>
        <w:spacing w:line="360" w:lineRule="auto"/>
        <w:ind w:left="0"/>
        <w:jc w:val="both"/>
        <w:rPr>
          <w:rFonts w:ascii="Arial" w:hAnsi="Arial"/>
        </w:rPr>
      </w:pPr>
    </w:p>
    <w:p w14:paraId="65855B2E" w14:textId="5DC16FAD" w:rsidR="00B014A3" w:rsidRDefault="00225E69" w:rsidP="00B014A3">
      <w:pPr>
        <w:pStyle w:val="ListParagraph"/>
        <w:numPr>
          <w:ilvl w:val="0"/>
          <w:numId w:val="5"/>
        </w:numPr>
        <w:spacing w:line="360" w:lineRule="auto"/>
        <w:ind w:left="0" w:firstLine="0"/>
        <w:jc w:val="both"/>
        <w:rPr>
          <w:rFonts w:ascii="Arial" w:hAnsi="Arial"/>
        </w:rPr>
      </w:pPr>
      <w:r w:rsidRPr="00B014A3">
        <w:rPr>
          <w:rFonts w:ascii="Arial" w:hAnsi="Arial"/>
        </w:rPr>
        <w:t xml:space="preserve">The officer informed Mr De Jesus that the diamonds must be taken to the Ministry for evaluation as well as proper inspection before </w:t>
      </w:r>
      <w:r w:rsidR="00B21D96">
        <w:rPr>
          <w:rFonts w:ascii="Arial" w:hAnsi="Arial"/>
        </w:rPr>
        <w:t xml:space="preserve">Mr </w:t>
      </w:r>
      <w:r w:rsidRPr="00B014A3">
        <w:rPr>
          <w:rFonts w:ascii="Arial" w:hAnsi="Arial"/>
        </w:rPr>
        <w:t xml:space="preserve">De Jesus takes the diamonds to </w:t>
      </w:r>
      <w:r w:rsidR="00A3591E">
        <w:rPr>
          <w:rFonts w:ascii="Arial" w:hAnsi="Arial"/>
        </w:rPr>
        <w:t xml:space="preserve">a </w:t>
      </w:r>
      <w:r w:rsidRPr="00B014A3">
        <w:rPr>
          <w:rFonts w:ascii="Arial" w:hAnsi="Arial"/>
        </w:rPr>
        <w:t xml:space="preserve">company that will ship the diamonds to the final destination. The officer was driving an official police vehicle and told </w:t>
      </w:r>
      <w:r w:rsidR="00B21D96">
        <w:rPr>
          <w:rFonts w:ascii="Arial" w:hAnsi="Arial"/>
        </w:rPr>
        <w:t xml:space="preserve">Mr </w:t>
      </w:r>
      <w:r w:rsidRPr="00B014A3">
        <w:rPr>
          <w:rFonts w:ascii="Arial" w:hAnsi="Arial"/>
        </w:rPr>
        <w:t xml:space="preserve">De Jesus not to worry. He was also carrying a letter from </w:t>
      </w:r>
      <w:r w:rsidR="00B21D96">
        <w:rPr>
          <w:rFonts w:ascii="Arial" w:hAnsi="Arial"/>
        </w:rPr>
        <w:t xml:space="preserve">Mr </w:t>
      </w:r>
      <w:proofErr w:type="spellStart"/>
      <w:r w:rsidRPr="00B014A3">
        <w:rPr>
          <w:rFonts w:ascii="Arial" w:hAnsi="Arial"/>
        </w:rPr>
        <w:t>Heita</w:t>
      </w:r>
      <w:proofErr w:type="spellEnd"/>
      <w:r w:rsidRPr="00B014A3">
        <w:rPr>
          <w:rFonts w:ascii="Arial" w:hAnsi="Arial"/>
        </w:rPr>
        <w:t xml:space="preserve">, the seller. </w:t>
      </w:r>
      <w:r w:rsidR="00B21D96">
        <w:rPr>
          <w:rFonts w:ascii="Arial" w:hAnsi="Arial"/>
        </w:rPr>
        <w:t xml:space="preserve">Mr </w:t>
      </w:r>
      <w:r w:rsidRPr="00B014A3">
        <w:rPr>
          <w:rFonts w:ascii="Arial" w:hAnsi="Arial"/>
        </w:rPr>
        <w:t xml:space="preserve">De Jesus gave the officer the </w:t>
      </w:r>
      <w:r w:rsidR="00256F99" w:rsidRPr="00B014A3">
        <w:rPr>
          <w:rFonts w:ascii="Arial" w:hAnsi="Arial"/>
        </w:rPr>
        <w:t xml:space="preserve">boxes with the 177ct and 425 ct. The officer received the boxes and assured De Jesus that all was in order and that if he had any questions, Mr </w:t>
      </w:r>
      <w:proofErr w:type="spellStart"/>
      <w:r w:rsidR="00256F99" w:rsidRPr="00B014A3">
        <w:rPr>
          <w:rFonts w:ascii="Arial" w:hAnsi="Arial"/>
        </w:rPr>
        <w:t>Heita</w:t>
      </w:r>
      <w:proofErr w:type="spellEnd"/>
      <w:r w:rsidR="00256F99" w:rsidRPr="00B014A3">
        <w:rPr>
          <w:rFonts w:ascii="Arial" w:hAnsi="Arial"/>
        </w:rPr>
        <w:t xml:space="preserve"> would explain everything to him. That was the last he saw the diamonds, having paid the amounts mentioned earlier. He did not have proof of the payment he had effected for the diamonds.</w:t>
      </w:r>
    </w:p>
    <w:p w14:paraId="60E62201" w14:textId="77777777" w:rsidR="00A3591E" w:rsidRPr="00142381" w:rsidRDefault="00A3591E" w:rsidP="00A3591E">
      <w:pPr>
        <w:pStyle w:val="ListParagraph"/>
        <w:spacing w:line="360" w:lineRule="auto"/>
        <w:ind w:left="0"/>
        <w:jc w:val="both"/>
        <w:rPr>
          <w:rFonts w:ascii="Arial" w:hAnsi="Arial"/>
        </w:rPr>
      </w:pPr>
    </w:p>
    <w:p w14:paraId="5C14031E" w14:textId="4404606E" w:rsidR="00B014A3" w:rsidRDefault="00256F99" w:rsidP="00F102A7">
      <w:pPr>
        <w:pStyle w:val="ListParagraph"/>
        <w:numPr>
          <w:ilvl w:val="0"/>
          <w:numId w:val="5"/>
        </w:numPr>
        <w:spacing w:line="360" w:lineRule="auto"/>
        <w:ind w:left="0" w:firstLine="0"/>
        <w:jc w:val="both"/>
        <w:rPr>
          <w:rFonts w:ascii="Arial" w:hAnsi="Arial"/>
        </w:rPr>
      </w:pPr>
      <w:r w:rsidRPr="00B014A3">
        <w:rPr>
          <w:rFonts w:ascii="Arial" w:hAnsi="Arial"/>
        </w:rPr>
        <w:t>It was later confirmed that the following payments had been made from the account of Lycia, namely, of USD243 399</w:t>
      </w:r>
      <w:proofErr w:type="gramStart"/>
      <w:r w:rsidRPr="00B014A3">
        <w:rPr>
          <w:rFonts w:ascii="Arial" w:hAnsi="Arial"/>
        </w:rPr>
        <w:t>,10</w:t>
      </w:r>
      <w:proofErr w:type="gramEnd"/>
      <w:r w:rsidRPr="00B014A3">
        <w:rPr>
          <w:rFonts w:ascii="Arial" w:hAnsi="Arial"/>
        </w:rPr>
        <w:t xml:space="preserve"> on 6 October 2021</w:t>
      </w:r>
      <w:r w:rsidR="009F672D">
        <w:rPr>
          <w:rFonts w:ascii="Arial" w:hAnsi="Arial"/>
        </w:rPr>
        <w:t xml:space="preserve">. This was transferred to a Bank Windhoek account, namely 8020945809, in the name of </w:t>
      </w:r>
      <w:proofErr w:type="spellStart"/>
      <w:r w:rsidR="009F672D">
        <w:rPr>
          <w:rFonts w:ascii="Arial" w:hAnsi="Arial"/>
        </w:rPr>
        <w:t>Joat</w:t>
      </w:r>
      <w:proofErr w:type="spellEnd"/>
      <w:r w:rsidR="009F672D">
        <w:rPr>
          <w:rFonts w:ascii="Arial" w:hAnsi="Arial"/>
        </w:rPr>
        <w:t xml:space="preserve"> Trading</w:t>
      </w:r>
      <w:r w:rsidRPr="00B014A3">
        <w:rPr>
          <w:rFonts w:ascii="Arial" w:hAnsi="Arial"/>
        </w:rPr>
        <w:t xml:space="preserve">; USD40 375 on 8 October </w:t>
      </w:r>
      <w:r w:rsidR="00ED4610" w:rsidRPr="00B014A3">
        <w:rPr>
          <w:rFonts w:ascii="Arial" w:hAnsi="Arial"/>
        </w:rPr>
        <w:t xml:space="preserve">and transferred to </w:t>
      </w:r>
      <w:proofErr w:type="spellStart"/>
      <w:r w:rsidR="00ED4610" w:rsidRPr="00B014A3">
        <w:rPr>
          <w:rFonts w:ascii="Arial" w:hAnsi="Arial"/>
        </w:rPr>
        <w:t>Cabino’s</w:t>
      </w:r>
      <w:proofErr w:type="spellEnd"/>
      <w:r w:rsidR="00ED4610" w:rsidRPr="00B014A3">
        <w:rPr>
          <w:rFonts w:ascii="Arial" w:hAnsi="Arial"/>
        </w:rPr>
        <w:t xml:space="preserve"> account; USD17 815 to </w:t>
      </w:r>
      <w:proofErr w:type="spellStart"/>
      <w:r w:rsidR="00ED4610" w:rsidRPr="00B014A3">
        <w:rPr>
          <w:rFonts w:ascii="Arial" w:hAnsi="Arial"/>
        </w:rPr>
        <w:t>Cabino’s</w:t>
      </w:r>
      <w:proofErr w:type="spellEnd"/>
      <w:r w:rsidR="00ED4610" w:rsidRPr="00B014A3">
        <w:rPr>
          <w:rFonts w:ascii="Arial" w:hAnsi="Arial"/>
        </w:rPr>
        <w:t xml:space="preserve"> account on the same date; USD 255 000 for the 425ct </w:t>
      </w:r>
      <w:r w:rsidR="00ED4610" w:rsidRPr="00B014A3">
        <w:rPr>
          <w:rFonts w:ascii="Arial" w:hAnsi="Arial"/>
        </w:rPr>
        <w:lastRenderedPageBreak/>
        <w:t xml:space="preserve">to Mr </w:t>
      </w:r>
      <w:proofErr w:type="spellStart"/>
      <w:r w:rsidR="00ED4610" w:rsidRPr="00B014A3">
        <w:rPr>
          <w:rFonts w:ascii="Arial" w:hAnsi="Arial"/>
        </w:rPr>
        <w:t>Heita</w:t>
      </w:r>
      <w:proofErr w:type="spellEnd"/>
      <w:r w:rsidR="00ED4610" w:rsidRPr="00B014A3">
        <w:rPr>
          <w:rFonts w:ascii="Arial" w:hAnsi="Arial"/>
        </w:rPr>
        <w:t xml:space="preserve">; N$74 500 was transferred to Mr </w:t>
      </w:r>
      <w:proofErr w:type="spellStart"/>
      <w:r w:rsidR="00ED4610" w:rsidRPr="00B014A3">
        <w:rPr>
          <w:rFonts w:ascii="Arial" w:hAnsi="Arial"/>
        </w:rPr>
        <w:t>Heita’s</w:t>
      </w:r>
      <w:proofErr w:type="spellEnd"/>
      <w:r w:rsidR="00ED4610" w:rsidRPr="00B014A3">
        <w:rPr>
          <w:rFonts w:ascii="Arial" w:hAnsi="Arial"/>
        </w:rPr>
        <w:t xml:space="preserve"> account and this was for the activity Mr </w:t>
      </w:r>
      <w:proofErr w:type="spellStart"/>
      <w:r w:rsidR="00ED4610" w:rsidRPr="00B014A3">
        <w:rPr>
          <w:rFonts w:ascii="Arial" w:hAnsi="Arial"/>
        </w:rPr>
        <w:t>Heita</w:t>
      </w:r>
      <w:proofErr w:type="spellEnd"/>
      <w:r w:rsidR="00ED4610" w:rsidRPr="00B014A3">
        <w:rPr>
          <w:rFonts w:ascii="Arial" w:hAnsi="Arial"/>
        </w:rPr>
        <w:t xml:space="preserve"> would engage to source the diamonds; USD268 000 was transferred to Mr </w:t>
      </w:r>
      <w:proofErr w:type="spellStart"/>
      <w:r w:rsidR="00ED4610" w:rsidRPr="00B014A3">
        <w:rPr>
          <w:rFonts w:ascii="Arial" w:hAnsi="Arial"/>
        </w:rPr>
        <w:t>Kangonga’s</w:t>
      </w:r>
      <w:proofErr w:type="spellEnd"/>
      <w:r w:rsidR="00ED4610" w:rsidRPr="00B014A3">
        <w:rPr>
          <w:rFonts w:ascii="Arial" w:hAnsi="Arial"/>
        </w:rPr>
        <w:t xml:space="preserve"> </w:t>
      </w:r>
      <w:r w:rsidR="000D799A" w:rsidRPr="00B014A3">
        <w:rPr>
          <w:rFonts w:ascii="Arial" w:hAnsi="Arial"/>
        </w:rPr>
        <w:t xml:space="preserve">FNB </w:t>
      </w:r>
      <w:r w:rsidR="00ED4610" w:rsidRPr="00B014A3">
        <w:rPr>
          <w:rFonts w:ascii="Arial" w:hAnsi="Arial"/>
        </w:rPr>
        <w:t>account</w:t>
      </w:r>
      <w:r w:rsidR="000D799A" w:rsidRPr="00B014A3">
        <w:rPr>
          <w:rFonts w:ascii="Arial" w:hAnsi="Arial"/>
        </w:rPr>
        <w:t>.</w:t>
      </w:r>
    </w:p>
    <w:p w14:paraId="51AA4062" w14:textId="77777777" w:rsidR="00B014A3" w:rsidRDefault="00B014A3" w:rsidP="00B014A3">
      <w:pPr>
        <w:pStyle w:val="ListParagraph"/>
        <w:spacing w:line="360" w:lineRule="auto"/>
        <w:ind w:left="0"/>
        <w:jc w:val="both"/>
        <w:rPr>
          <w:rFonts w:ascii="Arial" w:hAnsi="Arial"/>
        </w:rPr>
      </w:pPr>
    </w:p>
    <w:p w14:paraId="25638022" w14:textId="2159F225" w:rsidR="00B014A3" w:rsidRDefault="000D799A"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 police also arrested Mr </w:t>
      </w:r>
      <w:proofErr w:type="spellStart"/>
      <w:r w:rsidRPr="00B014A3">
        <w:rPr>
          <w:rFonts w:ascii="Arial" w:hAnsi="Arial"/>
        </w:rPr>
        <w:t>Kangonga</w:t>
      </w:r>
      <w:proofErr w:type="spellEnd"/>
      <w:r w:rsidRPr="00B014A3">
        <w:rPr>
          <w:rFonts w:ascii="Arial" w:hAnsi="Arial"/>
        </w:rPr>
        <w:t xml:space="preserve"> on 27 October 2</w:t>
      </w:r>
      <w:r w:rsidR="002E7D33">
        <w:rPr>
          <w:rFonts w:ascii="Arial" w:hAnsi="Arial"/>
        </w:rPr>
        <w:t xml:space="preserve">021 and charged him with fraud, </w:t>
      </w:r>
      <w:r w:rsidRPr="00B014A3">
        <w:rPr>
          <w:rFonts w:ascii="Arial" w:hAnsi="Arial"/>
        </w:rPr>
        <w:t xml:space="preserve">theft under false pretences and money laundering in contravention of s 4 of the Act. The police further discovered that the funds </w:t>
      </w:r>
      <w:r w:rsidR="001B779C" w:rsidRPr="00B014A3">
        <w:rPr>
          <w:rFonts w:ascii="Arial" w:hAnsi="Arial"/>
        </w:rPr>
        <w:t xml:space="preserve">in the amount of N$3 377 810 </w:t>
      </w:r>
      <w:r w:rsidRPr="00B014A3">
        <w:rPr>
          <w:rFonts w:ascii="Arial" w:hAnsi="Arial"/>
        </w:rPr>
        <w:t>paid by Lycia were deposited int</w:t>
      </w:r>
      <w:r w:rsidR="00A3591E">
        <w:rPr>
          <w:rFonts w:ascii="Arial" w:hAnsi="Arial"/>
        </w:rPr>
        <w:t xml:space="preserve">o an account where Mr </w:t>
      </w:r>
      <w:proofErr w:type="spellStart"/>
      <w:r w:rsidR="00A3591E">
        <w:rPr>
          <w:rFonts w:ascii="Arial" w:hAnsi="Arial"/>
        </w:rPr>
        <w:t>Hamupolo</w:t>
      </w:r>
      <w:proofErr w:type="spellEnd"/>
      <w:r w:rsidRPr="00B014A3">
        <w:rPr>
          <w:rFonts w:ascii="Arial" w:hAnsi="Arial"/>
        </w:rPr>
        <w:t xml:space="preserve"> was a signatory </w:t>
      </w:r>
      <w:proofErr w:type="spellStart"/>
      <w:r w:rsidRPr="00B014A3">
        <w:rPr>
          <w:rFonts w:ascii="Arial" w:hAnsi="Arial"/>
        </w:rPr>
        <w:t>ie</w:t>
      </w:r>
      <w:proofErr w:type="spellEnd"/>
      <w:r w:rsidRPr="00B014A3">
        <w:rPr>
          <w:rFonts w:ascii="Arial" w:hAnsi="Arial"/>
        </w:rPr>
        <w:t xml:space="preserve"> </w:t>
      </w:r>
      <w:proofErr w:type="spellStart"/>
      <w:r w:rsidR="001B779C" w:rsidRPr="00B014A3">
        <w:rPr>
          <w:rFonts w:ascii="Arial" w:hAnsi="Arial"/>
        </w:rPr>
        <w:t>Joat</w:t>
      </w:r>
      <w:proofErr w:type="spellEnd"/>
      <w:r w:rsidR="001B779C" w:rsidRPr="00B014A3">
        <w:rPr>
          <w:rFonts w:ascii="Arial" w:hAnsi="Arial"/>
        </w:rPr>
        <w:t xml:space="preserve"> CC’s Bank Windhoek account.</w:t>
      </w:r>
      <w:r w:rsidR="00944964">
        <w:rPr>
          <w:rFonts w:ascii="Arial" w:hAnsi="Arial"/>
        </w:rPr>
        <w:t xml:space="preserve"> An amount of N$7 187 723</w:t>
      </w:r>
      <w:proofErr w:type="gramStart"/>
      <w:r w:rsidR="00944964">
        <w:rPr>
          <w:rFonts w:ascii="Arial" w:hAnsi="Arial"/>
        </w:rPr>
        <w:t>,90</w:t>
      </w:r>
      <w:proofErr w:type="gramEnd"/>
      <w:r w:rsidR="00944964">
        <w:rPr>
          <w:rFonts w:ascii="Arial" w:hAnsi="Arial"/>
        </w:rPr>
        <w:t xml:space="preserve"> was thus transferred from Lycia’s account. </w:t>
      </w:r>
    </w:p>
    <w:p w14:paraId="6564D5AF" w14:textId="77777777" w:rsidR="00B014A3" w:rsidRDefault="00B014A3" w:rsidP="00B014A3">
      <w:pPr>
        <w:pStyle w:val="ListParagraph"/>
        <w:spacing w:line="360" w:lineRule="auto"/>
        <w:ind w:left="0"/>
        <w:jc w:val="both"/>
        <w:rPr>
          <w:rFonts w:ascii="Arial" w:hAnsi="Arial"/>
        </w:rPr>
      </w:pPr>
    </w:p>
    <w:p w14:paraId="2A6554DB" w14:textId="7EACAEB5" w:rsidR="00B014A3" w:rsidRDefault="001B779C"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Mr </w:t>
      </w:r>
      <w:proofErr w:type="spellStart"/>
      <w:r w:rsidRPr="00B014A3">
        <w:rPr>
          <w:rFonts w:ascii="Arial" w:hAnsi="Arial"/>
        </w:rPr>
        <w:t>Kangonga’s</w:t>
      </w:r>
      <w:proofErr w:type="spellEnd"/>
      <w:r w:rsidRPr="00B014A3">
        <w:rPr>
          <w:rFonts w:ascii="Arial" w:hAnsi="Arial"/>
        </w:rPr>
        <w:t xml:space="preserve"> account, which previously had an amount of N$356</w:t>
      </w:r>
      <w:proofErr w:type="gramStart"/>
      <w:r w:rsidRPr="00B014A3">
        <w:rPr>
          <w:rFonts w:ascii="Arial" w:hAnsi="Arial"/>
        </w:rPr>
        <w:t>,48</w:t>
      </w:r>
      <w:proofErr w:type="gramEnd"/>
      <w:r w:rsidRPr="00B014A3">
        <w:rPr>
          <w:rFonts w:ascii="Arial" w:hAnsi="Arial"/>
        </w:rPr>
        <w:t xml:space="preserve"> received a windfall of N$4 119 457,56 during the time of the transactions with Lycia. Some deposits were made from this account, namely 28 September 2021</w:t>
      </w:r>
      <w:r w:rsidR="00870BB1" w:rsidRPr="00B014A3">
        <w:rPr>
          <w:rFonts w:ascii="Arial" w:hAnsi="Arial"/>
        </w:rPr>
        <w:t xml:space="preserve"> – N$74 500; 8 October – N$93 757</w:t>
      </w:r>
      <w:r w:rsidR="00EF588E" w:rsidRPr="00B014A3">
        <w:rPr>
          <w:rFonts w:ascii="Arial" w:hAnsi="Arial"/>
        </w:rPr>
        <w:t>, 56</w:t>
      </w:r>
      <w:r w:rsidR="00870BB1" w:rsidRPr="00B014A3">
        <w:rPr>
          <w:rFonts w:ascii="Arial" w:hAnsi="Arial"/>
        </w:rPr>
        <w:t>; 15 October 2021 – N$3 926 200 and some other lesser transfers.</w:t>
      </w:r>
    </w:p>
    <w:p w14:paraId="045AE83E" w14:textId="77777777" w:rsidR="00B014A3" w:rsidRDefault="00B014A3" w:rsidP="00B014A3">
      <w:pPr>
        <w:pStyle w:val="ListParagraph"/>
        <w:spacing w:line="360" w:lineRule="auto"/>
        <w:ind w:left="0"/>
        <w:jc w:val="both"/>
        <w:rPr>
          <w:rFonts w:ascii="Arial" w:hAnsi="Arial"/>
        </w:rPr>
      </w:pPr>
    </w:p>
    <w:p w14:paraId="6C5D2BF7" w14:textId="3845BB08" w:rsidR="00B014A3" w:rsidRDefault="00870BB1" w:rsidP="00F102A7">
      <w:pPr>
        <w:pStyle w:val="ListParagraph"/>
        <w:numPr>
          <w:ilvl w:val="0"/>
          <w:numId w:val="5"/>
        </w:numPr>
        <w:spacing w:line="360" w:lineRule="auto"/>
        <w:ind w:left="0" w:firstLine="0"/>
        <w:jc w:val="both"/>
        <w:rPr>
          <w:rFonts w:ascii="Arial" w:hAnsi="Arial"/>
        </w:rPr>
      </w:pPr>
      <w:proofErr w:type="spellStart"/>
      <w:r w:rsidRPr="00B014A3">
        <w:rPr>
          <w:rFonts w:ascii="Arial" w:hAnsi="Arial"/>
        </w:rPr>
        <w:t>Cabino</w:t>
      </w:r>
      <w:proofErr w:type="spellEnd"/>
      <w:r w:rsidRPr="00B014A3">
        <w:rPr>
          <w:rFonts w:ascii="Arial" w:hAnsi="Arial"/>
        </w:rPr>
        <w:t xml:space="preserve"> CC’s account was opened on 18 November 2010 with Mr </w:t>
      </w:r>
      <w:proofErr w:type="spellStart"/>
      <w:r w:rsidRPr="00B014A3">
        <w:rPr>
          <w:rFonts w:ascii="Arial" w:hAnsi="Arial"/>
        </w:rPr>
        <w:t>Heita</w:t>
      </w:r>
      <w:proofErr w:type="spellEnd"/>
      <w:r w:rsidR="002E7D33">
        <w:rPr>
          <w:rFonts w:ascii="Arial" w:hAnsi="Arial"/>
        </w:rPr>
        <w:t xml:space="preserve"> as the sole signatory thereto. </w:t>
      </w:r>
      <w:r w:rsidRPr="00B014A3">
        <w:rPr>
          <w:rFonts w:ascii="Arial" w:hAnsi="Arial"/>
        </w:rPr>
        <w:t xml:space="preserve">On 20 </w:t>
      </w:r>
      <w:r w:rsidR="003579B4" w:rsidRPr="00B014A3">
        <w:rPr>
          <w:rFonts w:ascii="Arial" w:hAnsi="Arial"/>
        </w:rPr>
        <w:t>September</w:t>
      </w:r>
      <w:r w:rsidRPr="00B014A3">
        <w:rPr>
          <w:rFonts w:ascii="Arial" w:hAnsi="Arial"/>
        </w:rPr>
        <w:t xml:space="preserve"> 2021, this account had a positive balance of N$50 239, 07. </w:t>
      </w:r>
      <w:proofErr w:type="spellStart"/>
      <w:r w:rsidR="00A3591E">
        <w:rPr>
          <w:rFonts w:ascii="Arial" w:hAnsi="Arial"/>
        </w:rPr>
        <w:t>Cabino</w:t>
      </w:r>
      <w:proofErr w:type="spellEnd"/>
      <w:r w:rsidR="00A3591E">
        <w:rPr>
          <w:rFonts w:ascii="Arial" w:hAnsi="Arial"/>
        </w:rPr>
        <w:t xml:space="preserve"> received a deposit of N$860 855</w:t>
      </w:r>
      <w:proofErr w:type="gramStart"/>
      <w:r w:rsidR="00A3591E">
        <w:rPr>
          <w:rFonts w:ascii="Arial" w:hAnsi="Arial"/>
        </w:rPr>
        <w:t>,70</w:t>
      </w:r>
      <w:proofErr w:type="gramEnd"/>
      <w:r w:rsidR="00A3591E">
        <w:rPr>
          <w:rFonts w:ascii="Arial" w:hAnsi="Arial"/>
        </w:rPr>
        <w:t xml:space="preserve"> from Lyci</w:t>
      </w:r>
      <w:r w:rsidR="004213D2">
        <w:rPr>
          <w:rFonts w:ascii="Arial" w:hAnsi="Arial"/>
        </w:rPr>
        <w:t>a. N$25 000 was transferred to Mr</w:t>
      </w:r>
      <w:r w:rsidR="00A3591E">
        <w:rPr>
          <w:rFonts w:ascii="Arial" w:hAnsi="Arial"/>
        </w:rPr>
        <w:t xml:space="preserve"> </w:t>
      </w:r>
      <w:proofErr w:type="spellStart"/>
      <w:r w:rsidR="00A3591E">
        <w:rPr>
          <w:rFonts w:ascii="Arial" w:hAnsi="Arial"/>
        </w:rPr>
        <w:t>Heita’</w:t>
      </w:r>
      <w:r w:rsidR="009F672D">
        <w:rPr>
          <w:rFonts w:ascii="Arial" w:hAnsi="Arial"/>
        </w:rPr>
        <w:t>s</w:t>
      </w:r>
      <w:proofErr w:type="spellEnd"/>
      <w:r w:rsidR="009F672D">
        <w:rPr>
          <w:rFonts w:ascii="Arial" w:hAnsi="Arial"/>
        </w:rPr>
        <w:t xml:space="preserve"> FN</w:t>
      </w:r>
      <w:r w:rsidR="00A3591E">
        <w:rPr>
          <w:rFonts w:ascii="Arial" w:hAnsi="Arial"/>
        </w:rPr>
        <w:t>B account and from which an amount of N$631 000 was withdrawn in a cash transaction. This left a residue of N$1 208</w:t>
      </w:r>
      <w:proofErr w:type="gramStart"/>
      <w:r w:rsidR="00A3591E">
        <w:rPr>
          <w:rFonts w:ascii="Arial" w:hAnsi="Arial"/>
        </w:rPr>
        <w:t>,90</w:t>
      </w:r>
      <w:proofErr w:type="gramEnd"/>
      <w:r w:rsidR="004213D2">
        <w:rPr>
          <w:rFonts w:ascii="Arial" w:hAnsi="Arial"/>
        </w:rPr>
        <w:t>.</w:t>
      </w:r>
      <w:r w:rsidR="00A3591E">
        <w:rPr>
          <w:rFonts w:ascii="Arial" w:hAnsi="Arial"/>
        </w:rPr>
        <w:t xml:space="preserve">  </w:t>
      </w:r>
      <w:r w:rsidRPr="00B014A3">
        <w:rPr>
          <w:rFonts w:ascii="Arial" w:hAnsi="Arial"/>
        </w:rPr>
        <w:t>On 11 October 2021, a deposit of N$597</w:t>
      </w:r>
      <w:r w:rsidR="00675485" w:rsidRPr="00B014A3">
        <w:rPr>
          <w:rFonts w:ascii="Arial" w:hAnsi="Arial"/>
        </w:rPr>
        <w:t xml:space="preserve"> 550 with Lycia’ reference was made; on 13 October 2021, N$236 305</w:t>
      </w:r>
      <w:r w:rsidR="00EF588E" w:rsidRPr="00B014A3">
        <w:rPr>
          <w:rFonts w:ascii="Arial" w:hAnsi="Arial"/>
        </w:rPr>
        <w:t>, 70</w:t>
      </w:r>
      <w:r w:rsidR="00675485" w:rsidRPr="00B014A3">
        <w:rPr>
          <w:rFonts w:ascii="Arial" w:hAnsi="Arial"/>
        </w:rPr>
        <w:t xml:space="preserve"> from Lycia, was deposited and on 13 October 2021, a deposit with Lycia’s reference for the amount of N$263 305</w:t>
      </w:r>
      <w:r w:rsidR="00EF588E" w:rsidRPr="00B014A3">
        <w:rPr>
          <w:rFonts w:ascii="Arial" w:hAnsi="Arial"/>
        </w:rPr>
        <w:t>, 70</w:t>
      </w:r>
      <w:r w:rsidR="00675485" w:rsidRPr="00B014A3">
        <w:rPr>
          <w:rFonts w:ascii="Arial" w:hAnsi="Arial"/>
        </w:rPr>
        <w:t xml:space="preserve"> was made.</w:t>
      </w:r>
      <w:r w:rsidRPr="00B014A3">
        <w:rPr>
          <w:rFonts w:ascii="Arial" w:hAnsi="Arial"/>
        </w:rPr>
        <w:t xml:space="preserve"> </w:t>
      </w:r>
      <w:r w:rsidR="00944964">
        <w:rPr>
          <w:rFonts w:ascii="Arial" w:hAnsi="Arial"/>
        </w:rPr>
        <w:t xml:space="preserve">An amount of </w:t>
      </w:r>
      <w:r w:rsidR="00675485" w:rsidRPr="00B014A3">
        <w:rPr>
          <w:rFonts w:ascii="Arial" w:hAnsi="Arial"/>
        </w:rPr>
        <w:t>N$794 496</w:t>
      </w:r>
      <w:r w:rsidR="00EF588E" w:rsidRPr="00B014A3">
        <w:rPr>
          <w:rFonts w:ascii="Arial" w:hAnsi="Arial"/>
        </w:rPr>
        <w:t>, 35</w:t>
      </w:r>
      <w:r w:rsidR="00944964">
        <w:rPr>
          <w:rFonts w:ascii="Arial" w:hAnsi="Arial"/>
        </w:rPr>
        <w:t xml:space="preserve"> was withdrawn. Significant withdrawals</w:t>
      </w:r>
      <w:r w:rsidR="00675485" w:rsidRPr="00B014A3">
        <w:rPr>
          <w:rFonts w:ascii="Arial" w:hAnsi="Arial"/>
        </w:rPr>
        <w:t xml:space="preserve"> included an amount of N$25 000 </w:t>
      </w:r>
      <w:proofErr w:type="spellStart"/>
      <w:r w:rsidR="00675485" w:rsidRPr="00B014A3">
        <w:rPr>
          <w:rFonts w:ascii="Arial" w:hAnsi="Arial"/>
        </w:rPr>
        <w:t>ie</w:t>
      </w:r>
      <w:proofErr w:type="spellEnd"/>
      <w:r w:rsidR="00675485" w:rsidRPr="00B014A3">
        <w:rPr>
          <w:rFonts w:ascii="Arial" w:hAnsi="Arial"/>
        </w:rPr>
        <w:t xml:space="preserve"> N$10 000 and N$15 000 to Mr </w:t>
      </w:r>
      <w:proofErr w:type="spellStart"/>
      <w:r w:rsidR="00675485" w:rsidRPr="00B014A3">
        <w:rPr>
          <w:rFonts w:ascii="Arial" w:hAnsi="Arial"/>
        </w:rPr>
        <w:t>Heita’s</w:t>
      </w:r>
      <w:proofErr w:type="spellEnd"/>
      <w:r w:rsidR="00675485" w:rsidRPr="00B014A3">
        <w:rPr>
          <w:rFonts w:ascii="Arial" w:hAnsi="Arial"/>
        </w:rPr>
        <w:t xml:space="preserve"> FNB account on 21 and 25 October 2021. N$691 000</w:t>
      </w:r>
      <w:r w:rsidR="001F1D77" w:rsidRPr="00B014A3">
        <w:rPr>
          <w:rFonts w:ascii="Arial" w:hAnsi="Arial"/>
        </w:rPr>
        <w:t xml:space="preserve"> teller cash withdrawals were made on 14 October 2021</w:t>
      </w:r>
      <w:r w:rsidR="00944964">
        <w:rPr>
          <w:rFonts w:ascii="Arial" w:hAnsi="Arial"/>
        </w:rPr>
        <w:t>, respectively</w:t>
      </w:r>
      <w:r w:rsidR="001F1D77" w:rsidRPr="00B014A3">
        <w:rPr>
          <w:rFonts w:ascii="Arial" w:hAnsi="Arial"/>
        </w:rPr>
        <w:t xml:space="preserve"> and</w:t>
      </w:r>
      <w:r w:rsidR="00944964">
        <w:rPr>
          <w:rFonts w:ascii="Arial" w:hAnsi="Arial"/>
        </w:rPr>
        <w:t xml:space="preserve"> an amount of</w:t>
      </w:r>
      <w:r w:rsidR="001F1D77" w:rsidRPr="00B014A3">
        <w:rPr>
          <w:rFonts w:ascii="Arial" w:hAnsi="Arial"/>
        </w:rPr>
        <w:t xml:space="preserve"> N$331 000 on 20 October 2021, to mention the large withdrawals. There were some other lesser transactions that need not be mentioned for the purpose of this judgment.</w:t>
      </w:r>
    </w:p>
    <w:p w14:paraId="590D1B17" w14:textId="77777777" w:rsidR="00B014A3" w:rsidRDefault="00B014A3" w:rsidP="00B014A3">
      <w:pPr>
        <w:pStyle w:val="ListParagraph"/>
        <w:spacing w:line="360" w:lineRule="auto"/>
        <w:ind w:left="0"/>
        <w:jc w:val="both"/>
        <w:rPr>
          <w:rFonts w:ascii="Arial" w:hAnsi="Arial"/>
        </w:rPr>
      </w:pPr>
    </w:p>
    <w:p w14:paraId="712C10D8" w14:textId="77777777" w:rsidR="00B014A3" w:rsidRDefault="001F1D77" w:rsidP="00F102A7">
      <w:pPr>
        <w:pStyle w:val="ListParagraph"/>
        <w:numPr>
          <w:ilvl w:val="0"/>
          <w:numId w:val="5"/>
        </w:numPr>
        <w:spacing w:line="360" w:lineRule="auto"/>
        <w:ind w:left="0" w:firstLine="0"/>
        <w:jc w:val="both"/>
        <w:rPr>
          <w:rFonts w:ascii="Arial" w:hAnsi="Arial"/>
        </w:rPr>
      </w:pPr>
      <w:r w:rsidRPr="00B014A3">
        <w:rPr>
          <w:rFonts w:ascii="Arial" w:hAnsi="Arial"/>
        </w:rPr>
        <w:lastRenderedPageBreak/>
        <w:t xml:space="preserve">The PG stated that there were reasonable grounds to believe that the properties sought to be preserved were proceeds of unlawful activities, namely fraud and alternatively, theft by false pretences and money laundering, in contravention of </w:t>
      </w:r>
      <w:proofErr w:type="spellStart"/>
      <w:r w:rsidRPr="00B014A3">
        <w:rPr>
          <w:rFonts w:ascii="Arial" w:hAnsi="Arial"/>
        </w:rPr>
        <w:t>s</w:t>
      </w:r>
      <w:r w:rsidR="001C434A" w:rsidRPr="00B014A3">
        <w:rPr>
          <w:rFonts w:ascii="Arial" w:hAnsi="Arial"/>
        </w:rPr>
        <w:t>s</w:t>
      </w:r>
      <w:proofErr w:type="spellEnd"/>
      <w:r w:rsidR="001C434A" w:rsidRPr="00B014A3">
        <w:rPr>
          <w:rFonts w:ascii="Arial" w:hAnsi="Arial"/>
        </w:rPr>
        <w:t xml:space="preserve"> 4(</w:t>
      </w:r>
      <w:r w:rsidR="001C434A" w:rsidRPr="00B014A3">
        <w:rPr>
          <w:rFonts w:ascii="Arial" w:hAnsi="Arial"/>
          <w:i/>
        </w:rPr>
        <w:t>a</w:t>
      </w:r>
      <w:proofErr w:type="gramStart"/>
      <w:r w:rsidR="001C434A" w:rsidRPr="00B014A3">
        <w:rPr>
          <w:rFonts w:ascii="Arial" w:hAnsi="Arial"/>
        </w:rPr>
        <w:t>)(</w:t>
      </w:r>
      <w:proofErr w:type="spellStart"/>
      <w:proofErr w:type="gramEnd"/>
      <w:r w:rsidR="001C434A" w:rsidRPr="00B014A3">
        <w:rPr>
          <w:rFonts w:ascii="Arial" w:hAnsi="Arial"/>
          <w:i/>
        </w:rPr>
        <w:t>i</w:t>
      </w:r>
      <w:proofErr w:type="spellEnd"/>
      <w:r w:rsidR="001C434A" w:rsidRPr="00B014A3">
        <w:rPr>
          <w:rFonts w:ascii="Arial" w:hAnsi="Arial"/>
        </w:rPr>
        <w:t>), and 6(</w:t>
      </w:r>
      <w:r w:rsidR="001C434A" w:rsidRPr="00B014A3">
        <w:rPr>
          <w:rFonts w:ascii="Arial" w:hAnsi="Arial"/>
          <w:i/>
        </w:rPr>
        <w:t>a</w:t>
      </w:r>
      <w:r w:rsidR="001C434A" w:rsidRPr="00B014A3">
        <w:rPr>
          <w:rFonts w:ascii="Arial" w:hAnsi="Arial"/>
        </w:rPr>
        <w:t>), (</w:t>
      </w:r>
      <w:r w:rsidR="001C434A" w:rsidRPr="00B014A3">
        <w:rPr>
          <w:rFonts w:ascii="Arial" w:hAnsi="Arial"/>
          <w:i/>
        </w:rPr>
        <w:t>b</w:t>
      </w:r>
      <w:r w:rsidR="001C434A" w:rsidRPr="00B014A3">
        <w:rPr>
          <w:rFonts w:ascii="Arial" w:hAnsi="Arial"/>
        </w:rPr>
        <w:t>), (</w:t>
      </w:r>
      <w:r w:rsidR="001C434A" w:rsidRPr="00B014A3">
        <w:rPr>
          <w:rFonts w:ascii="Arial" w:hAnsi="Arial"/>
          <w:i/>
        </w:rPr>
        <w:t>c</w:t>
      </w:r>
      <w:r w:rsidR="001C434A" w:rsidRPr="00B014A3">
        <w:rPr>
          <w:rFonts w:ascii="Arial" w:hAnsi="Arial"/>
        </w:rPr>
        <w:t>) of the Act. The PG pointed out further that there was no record of any dealings by the Ministry of Mines with any of the persons mentioned above and furthermore, none of the said persons was possessed of a licence to deal in diamonds, which is a legal requirement.</w:t>
      </w:r>
    </w:p>
    <w:p w14:paraId="0882DF4E" w14:textId="77777777" w:rsidR="00B014A3" w:rsidRDefault="00B014A3" w:rsidP="00B014A3">
      <w:pPr>
        <w:pStyle w:val="ListParagraph"/>
        <w:spacing w:line="360" w:lineRule="auto"/>
        <w:ind w:left="0"/>
        <w:jc w:val="both"/>
        <w:rPr>
          <w:rFonts w:ascii="Arial" w:hAnsi="Arial"/>
        </w:rPr>
      </w:pPr>
    </w:p>
    <w:p w14:paraId="1E7605E9" w14:textId="1530D21D" w:rsidR="00B014A3" w:rsidRDefault="001C434A" w:rsidP="00F102A7">
      <w:pPr>
        <w:pStyle w:val="ListParagraph"/>
        <w:numPr>
          <w:ilvl w:val="0"/>
          <w:numId w:val="5"/>
        </w:numPr>
        <w:spacing w:line="360" w:lineRule="auto"/>
        <w:ind w:left="0" w:firstLine="0"/>
        <w:jc w:val="both"/>
        <w:rPr>
          <w:rFonts w:ascii="Arial" w:hAnsi="Arial"/>
        </w:rPr>
      </w:pPr>
      <w:r w:rsidRPr="00B014A3">
        <w:rPr>
          <w:rFonts w:ascii="Arial" w:hAnsi="Arial"/>
        </w:rPr>
        <w:t>It was fu</w:t>
      </w:r>
      <w:r w:rsidR="004159F9" w:rsidRPr="00B014A3">
        <w:rPr>
          <w:rFonts w:ascii="Arial" w:hAnsi="Arial"/>
        </w:rPr>
        <w:t>rther stated</w:t>
      </w:r>
      <w:r w:rsidRPr="00B014A3">
        <w:rPr>
          <w:rFonts w:ascii="Arial" w:hAnsi="Arial"/>
        </w:rPr>
        <w:t xml:space="preserve"> that Mr </w:t>
      </w:r>
      <w:proofErr w:type="spellStart"/>
      <w:r w:rsidRPr="00B014A3">
        <w:rPr>
          <w:rFonts w:ascii="Arial" w:hAnsi="Arial"/>
        </w:rPr>
        <w:t>Kangonga</w:t>
      </w:r>
      <w:proofErr w:type="spellEnd"/>
      <w:r w:rsidR="004159F9" w:rsidRPr="00B014A3">
        <w:rPr>
          <w:rFonts w:ascii="Arial" w:hAnsi="Arial"/>
        </w:rPr>
        <w:t>, via h</w:t>
      </w:r>
      <w:r w:rsidR="0071556F" w:rsidRPr="00B014A3">
        <w:rPr>
          <w:rFonts w:ascii="Arial" w:hAnsi="Arial"/>
        </w:rPr>
        <w:t xml:space="preserve">is company Namibia </w:t>
      </w:r>
      <w:proofErr w:type="spellStart"/>
      <w:r w:rsidR="0071556F" w:rsidRPr="00B014A3">
        <w:rPr>
          <w:rFonts w:ascii="Arial" w:hAnsi="Arial"/>
        </w:rPr>
        <w:t>Gemologists</w:t>
      </w:r>
      <w:proofErr w:type="spellEnd"/>
      <w:r w:rsidR="0071556F" w:rsidRPr="00B014A3">
        <w:rPr>
          <w:rFonts w:ascii="Arial" w:hAnsi="Arial"/>
        </w:rPr>
        <w:t xml:space="preserve"> </w:t>
      </w:r>
      <w:r w:rsidR="004159F9" w:rsidRPr="00B014A3">
        <w:rPr>
          <w:rFonts w:ascii="Arial" w:hAnsi="Arial"/>
        </w:rPr>
        <w:t xml:space="preserve">and Mr </w:t>
      </w:r>
      <w:proofErr w:type="spellStart"/>
      <w:r w:rsidR="004159F9" w:rsidRPr="00B014A3">
        <w:rPr>
          <w:rFonts w:ascii="Arial" w:hAnsi="Arial"/>
        </w:rPr>
        <w:t>Heita</w:t>
      </w:r>
      <w:proofErr w:type="spellEnd"/>
      <w:r w:rsidR="004159F9" w:rsidRPr="00B014A3">
        <w:rPr>
          <w:rFonts w:ascii="Arial" w:hAnsi="Arial"/>
        </w:rPr>
        <w:t xml:space="preserve"> via </w:t>
      </w:r>
      <w:proofErr w:type="spellStart"/>
      <w:r w:rsidR="004159F9" w:rsidRPr="00B014A3">
        <w:rPr>
          <w:rFonts w:ascii="Arial" w:hAnsi="Arial"/>
        </w:rPr>
        <w:t>Cabino</w:t>
      </w:r>
      <w:proofErr w:type="spellEnd"/>
      <w:r w:rsidR="004159F9" w:rsidRPr="00B014A3">
        <w:rPr>
          <w:rFonts w:ascii="Arial" w:hAnsi="Arial"/>
        </w:rPr>
        <w:t xml:space="preserve"> CC, pretended to sell diamonds to Lycia Limited under </w:t>
      </w:r>
      <w:r w:rsidR="0071556F" w:rsidRPr="00B014A3">
        <w:rPr>
          <w:rFonts w:ascii="Arial" w:hAnsi="Arial"/>
        </w:rPr>
        <w:t xml:space="preserve">the pretences that Mr </w:t>
      </w:r>
      <w:proofErr w:type="spellStart"/>
      <w:r w:rsidR="0071556F" w:rsidRPr="00B014A3">
        <w:rPr>
          <w:rFonts w:ascii="Arial" w:hAnsi="Arial"/>
        </w:rPr>
        <w:t>Heita</w:t>
      </w:r>
      <w:proofErr w:type="spellEnd"/>
      <w:r w:rsidR="0071556F" w:rsidRPr="00B014A3">
        <w:rPr>
          <w:rFonts w:ascii="Arial" w:hAnsi="Arial"/>
        </w:rPr>
        <w:t xml:space="preserve"> a</w:t>
      </w:r>
      <w:r w:rsidR="004159F9" w:rsidRPr="00B014A3">
        <w:rPr>
          <w:rFonts w:ascii="Arial" w:hAnsi="Arial"/>
        </w:rPr>
        <w:t>n</w:t>
      </w:r>
      <w:r w:rsidR="0071556F" w:rsidRPr="00B014A3">
        <w:rPr>
          <w:rFonts w:ascii="Arial" w:hAnsi="Arial"/>
        </w:rPr>
        <w:t xml:space="preserve">d </w:t>
      </w:r>
      <w:r w:rsidR="003579B4" w:rsidRPr="00B014A3">
        <w:rPr>
          <w:rFonts w:ascii="Arial" w:hAnsi="Arial"/>
        </w:rPr>
        <w:t xml:space="preserve">Mr </w:t>
      </w:r>
      <w:proofErr w:type="spellStart"/>
      <w:r w:rsidR="003579B4" w:rsidRPr="00B014A3">
        <w:rPr>
          <w:rFonts w:ascii="Arial" w:hAnsi="Arial"/>
        </w:rPr>
        <w:t>Hamupolo</w:t>
      </w:r>
      <w:proofErr w:type="spellEnd"/>
      <w:r w:rsidR="004159F9" w:rsidRPr="00B014A3">
        <w:rPr>
          <w:rFonts w:ascii="Arial" w:hAnsi="Arial"/>
        </w:rPr>
        <w:t xml:space="preserve"> or their entities were entitled and authori</w:t>
      </w:r>
      <w:r w:rsidR="0071556F" w:rsidRPr="00B014A3">
        <w:rPr>
          <w:rFonts w:ascii="Arial" w:hAnsi="Arial"/>
        </w:rPr>
        <w:t>sed to deal in diamonds in term</w:t>
      </w:r>
      <w:r w:rsidR="004159F9" w:rsidRPr="00B014A3">
        <w:rPr>
          <w:rFonts w:ascii="Arial" w:hAnsi="Arial"/>
        </w:rPr>
        <w:t>s</w:t>
      </w:r>
      <w:r w:rsidR="0071556F" w:rsidRPr="00B014A3">
        <w:rPr>
          <w:rFonts w:ascii="Arial" w:hAnsi="Arial"/>
        </w:rPr>
        <w:t xml:space="preserve"> </w:t>
      </w:r>
      <w:r w:rsidR="004159F9" w:rsidRPr="00B014A3">
        <w:rPr>
          <w:rFonts w:ascii="Arial" w:hAnsi="Arial"/>
        </w:rPr>
        <w:t>of the laws of Namibia</w:t>
      </w:r>
      <w:r w:rsidR="0071556F" w:rsidRPr="00B014A3">
        <w:rPr>
          <w:rFonts w:ascii="Arial" w:hAnsi="Arial"/>
        </w:rPr>
        <w:t>. The PG alleged that the crimes mentioned above, had been committed.</w:t>
      </w:r>
    </w:p>
    <w:p w14:paraId="54AB443E" w14:textId="77777777" w:rsidR="00B014A3" w:rsidRDefault="00B014A3" w:rsidP="00B014A3">
      <w:pPr>
        <w:pStyle w:val="ListParagraph"/>
        <w:spacing w:line="360" w:lineRule="auto"/>
        <w:ind w:left="0"/>
        <w:jc w:val="both"/>
        <w:rPr>
          <w:rFonts w:ascii="Arial" w:hAnsi="Arial"/>
        </w:rPr>
      </w:pPr>
    </w:p>
    <w:p w14:paraId="5CF01109" w14:textId="77777777" w:rsidR="00B014A3" w:rsidRDefault="0071556F"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 court, satisfied with the depositions of the PG, granted the preservation order as prayed and ordered that it be served on the interested parties. The PG produced documents evidencing </w:t>
      </w:r>
      <w:r w:rsidR="00EE4BB1" w:rsidRPr="00B014A3">
        <w:rPr>
          <w:rFonts w:ascii="Arial" w:hAnsi="Arial"/>
        </w:rPr>
        <w:t xml:space="preserve">publication and </w:t>
      </w:r>
      <w:r w:rsidRPr="00B014A3">
        <w:rPr>
          <w:rFonts w:ascii="Arial" w:hAnsi="Arial"/>
        </w:rPr>
        <w:t>service of the preservation order on the said parties but that they had failed t</w:t>
      </w:r>
      <w:r w:rsidR="00EE4BB1" w:rsidRPr="00B014A3">
        <w:rPr>
          <w:rFonts w:ascii="Arial" w:hAnsi="Arial"/>
        </w:rPr>
        <w:t xml:space="preserve">o file the necessary papers in terms of s 53(2) of the Act, </w:t>
      </w:r>
      <w:proofErr w:type="spellStart"/>
      <w:r w:rsidR="00EE4BB1" w:rsidRPr="00B014A3">
        <w:rPr>
          <w:rFonts w:ascii="Arial" w:hAnsi="Arial"/>
        </w:rPr>
        <w:t>ie</w:t>
      </w:r>
      <w:proofErr w:type="spellEnd"/>
      <w:r w:rsidR="00EE4BB1" w:rsidRPr="00B014A3">
        <w:rPr>
          <w:rFonts w:ascii="Arial" w:hAnsi="Arial"/>
        </w:rPr>
        <w:t xml:space="preserve"> a notice to oppose the making of a forfeiture application or for the exclusion of their interests in the properties from operation of the forfeiture order.</w:t>
      </w:r>
    </w:p>
    <w:p w14:paraId="71D56150" w14:textId="77777777" w:rsidR="00B014A3" w:rsidRDefault="00B014A3" w:rsidP="00B014A3">
      <w:pPr>
        <w:pStyle w:val="ListParagraph"/>
        <w:spacing w:line="360" w:lineRule="auto"/>
        <w:ind w:left="0"/>
        <w:jc w:val="both"/>
        <w:rPr>
          <w:rFonts w:ascii="Arial" w:hAnsi="Arial"/>
        </w:rPr>
      </w:pPr>
    </w:p>
    <w:p w14:paraId="20611FCE" w14:textId="207EC305" w:rsidR="00B014A3" w:rsidRDefault="00EE4BB1"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It is necessary to point out that both Mr </w:t>
      </w:r>
      <w:proofErr w:type="spellStart"/>
      <w:r w:rsidRPr="00B014A3">
        <w:rPr>
          <w:rFonts w:ascii="Arial" w:hAnsi="Arial"/>
        </w:rPr>
        <w:t>Kangonga</w:t>
      </w:r>
      <w:proofErr w:type="spellEnd"/>
      <w:r w:rsidRPr="00B014A3">
        <w:rPr>
          <w:rFonts w:ascii="Arial" w:hAnsi="Arial"/>
        </w:rPr>
        <w:t xml:space="preserve"> and Lycia attempted to file applications in a bid to oppose the making of the forfeiture order but their respective applications were, for reasons pronounced by the court in two different judgments, dismissed. </w:t>
      </w:r>
      <w:r w:rsidR="00E6693D" w:rsidRPr="00B014A3">
        <w:rPr>
          <w:rFonts w:ascii="Arial" w:hAnsi="Arial"/>
        </w:rPr>
        <w:t xml:space="preserve">The application by Mr </w:t>
      </w:r>
      <w:proofErr w:type="spellStart"/>
      <w:r w:rsidR="00E6693D" w:rsidRPr="00B014A3">
        <w:rPr>
          <w:rFonts w:ascii="Arial" w:hAnsi="Arial"/>
        </w:rPr>
        <w:t>Kangonga</w:t>
      </w:r>
      <w:proofErr w:type="spellEnd"/>
      <w:r w:rsidR="00E6693D" w:rsidRPr="00B014A3">
        <w:rPr>
          <w:rFonts w:ascii="Arial" w:hAnsi="Arial"/>
        </w:rPr>
        <w:t xml:space="preserve"> for condonation for the late filing of his notice in terms of s 52(3) of the Act, was </w:t>
      </w:r>
      <w:r w:rsidR="00944964">
        <w:rPr>
          <w:rFonts w:ascii="Arial" w:hAnsi="Arial"/>
        </w:rPr>
        <w:t xml:space="preserve">dismissed by a ruling delivered by the court, as presently constituted, </w:t>
      </w:r>
      <w:r w:rsidR="00E6693D" w:rsidRPr="00B014A3">
        <w:rPr>
          <w:rFonts w:ascii="Arial" w:hAnsi="Arial"/>
        </w:rPr>
        <w:t>on 10 March 2023.</w:t>
      </w:r>
      <w:r w:rsidR="00223C9F" w:rsidRPr="00B014A3">
        <w:rPr>
          <w:rFonts w:ascii="Arial" w:hAnsi="Arial"/>
        </w:rPr>
        <w:t xml:space="preserve"> The court further held that he had failed to comply with the provisions of s 52(4) of the Act.</w:t>
      </w:r>
      <w:r w:rsidR="00223C9F">
        <w:rPr>
          <w:rStyle w:val="FootnoteReference"/>
          <w:rFonts w:ascii="Arial" w:hAnsi="Arial"/>
        </w:rPr>
        <w:footnoteReference w:id="2"/>
      </w:r>
    </w:p>
    <w:p w14:paraId="3507955A" w14:textId="77777777" w:rsidR="00B014A3" w:rsidRDefault="00B014A3" w:rsidP="00B014A3">
      <w:pPr>
        <w:pStyle w:val="ListParagraph"/>
        <w:spacing w:line="360" w:lineRule="auto"/>
        <w:ind w:left="0"/>
        <w:jc w:val="both"/>
        <w:rPr>
          <w:rFonts w:ascii="Arial" w:hAnsi="Arial"/>
        </w:rPr>
      </w:pPr>
    </w:p>
    <w:p w14:paraId="20B68E21" w14:textId="2823B34C" w:rsidR="00B014A3" w:rsidRDefault="00223C9F"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Lycia also approached this court for condonation of its failure to comply with the provisions of </w:t>
      </w:r>
      <w:r w:rsidR="003B7C3B" w:rsidRPr="00B014A3">
        <w:rPr>
          <w:rFonts w:ascii="Arial" w:hAnsi="Arial"/>
        </w:rPr>
        <w:t xml:space="preserve">s 60(1) of the Act. This application was dismissed by </w:t>
      </w:r>
      <w:proofErr w:type="spellStart"/>
      <w:r w:rsidR="003B7C3B" w:rsidRPr="00B014A3">
        <w:rPr>
          <w:rFonts w:ascii="Arial" w:hAnsi="Arial"/>
        </w:rPr>
        <w:t>Maasdorp</w:t>
      </w:r>
      <w:proofErr w:type="spellEnd"/>
      <w:r w:rsidR="003B7C3B" w:rsidRPr="00B014A3">
        <w:rPr>
          <w:rFonts w:ascii="Arial" w:hAnsi="Arial"/>
        </w:rPr>
        <w:t xml:space="preserve"> AJ in a judgment styled </w:t>
      </w:r>
      <w:r w:rsidR="003B7C3B" w:rsidRPr="00B014A3">
        <w:rPr>
          <w:rFonts w:ascii="Arial" w:hAnsi="Arial"/>
          <w:i/>
        </w:rPr>
        <w:t>Lycia Limited v Prosecutor-General</w:t>
      </w:r>
      <w:r w:rsidR="0068654A" w:rsidRPr="00B014A3">
        <w:rPr>
          <w:rFonts w:ascii="Arial" w:hAnsi="Arial"/>
        </w:rPr>
        <w:t>.</w:t>
      </w:r>
      <w:r w:rsidR="003B7C3B">
        <w:rPr>
          <w:rStyle w:val="FootnoteReference"/>
          <w:rFonts w:ascii="Arial" w:hAnsi="Arial"/>
          <w:i/>
        </w:rPr>
        <w:footnoteReference w:id="3"/>
      </w:r>
      <w:r w:rsidR="0068654A" w:rsidRPr="00B014A3">
        <w:rPr>
          <w:rFonts w:ascii="Arial" w:hAnsi="Arial"/>
        </w:rPr>
        <w:t xml:space="preserve"> The court found that the Lycia</w:t>
      </w:r>
      <w:r w:rsidR="0068654A" w:rsidRPr="00B014A3">
        <w:rPr>
          <w:rFonts w:ascii="Arial" w:hAnsi="Arial"/>
          <w:i/>
        </w:rPr>
        <w:t xml:space="preserve"> </w:t>
      </w:r>
      <w:r w:rsidR="00DC2E84" w:rsidRPr="00B014A3">
        <w:rPr>
          <w:rFonts w:ascii="Arial" w:hAnsi="Arial"/>
        </w:rPr>
        <w:t>had failed to demonstrate</w:t>
      </w:r>
      <w:r w:rsidR="0068654A" w:rsidRPr="00B014A3">
        <w:rPr>
          <w:rFonts w:ascii="Arial" w:hAnsi="Arial"/>
        </w:rPr>
        <w:t xml:space="preserve"> that it was impossible for it to comply with the provisions of s 52(3) and (4) of the Act. The court further found that the Lycia</w:t>
      </w:r>
      <w:r w:rsidR="00B21D96">
        <w:rPr>
          <w:rFonts w:ascii="Arial" w:hAnsi="Arial"/>
        </w:rPr>
        <w:t xml:space="preserve"> had</w:t>
      </w:r>
      <w:r w:rsidR="0068654A" w:rsidRPr="00B014A3">
        <w:rPr>
          <w:rFonts w:ascii="Arial" w:hAnsi="Arial"/>
        </w:rPr>
        <w:t xml:space="preserve"> failed to show that it had good cause in the ordinary sense, not to comply with the provisions of the Act</w:t>
      </w:r>
      <w:r w:rsidR="00DC2E84" w:rsidRPr="00B014A3">
        <w:rPr>
          <w:rFonts w:ascii="Arial" w:hAnsi="Arial"/>
        </w:rPr>
        <w:t>. It was for those reasons that the application was dismissed.</w:t>
      </w:r>
    </w:p>
    <w:p w14:paraId="7AF6EA72" w14:textId="77777777" w:rsidR="00B014A3" w:rsidRDefault="00B014A3" w:rsidP="00B014A3">
      <w:pPr>
        <w:pStyle w:val="ListParagraph"/>
        <w:spacing w:line="360" w:lineRule="auto"/>
        <w:ind w:left="0"/>
        <w:jc w:val="both"/>
        <w:rPr>
          <w:rFonts w:ascii="Arial" w:hAnsi="Arial"/>
        </w:rPr>
      </w:pPr>
    </w:p>
    <w:p w14:paraId="33FABE5B" w14:textId="556373F3" w:rsidR="00B014A3" w:rsidRDefault="00DC2E84"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 effect of the dismissal of the applications for condonation by both Mr </w:t>
      </w:r>
      <w:proofErr w:type="spellStart"/>
      <w:r w:rsidRPr="00B014A3">
        <w:rPr>
          <w:rFonts w:ascii="Arial" w:hAnsi="Arial"/>
        </w:rPr>
        <w:t>Kangonga</w:t>
      </w:r>
      <w:proofErr w:type="spellEnd"/>
      <w:r w:rsidRPr="00B014A3">
        <w:rPr>
          <w:rFonts w:ascii="Arial" w:hAnsi="Arial"/>
        </w:rPr>
        <w:t xml:space="preserve"> and Lycia, resulted in the PG approaching the court for an order for forfeiture of property, virtually unopposed. </w:t>
      </w:r>
      <w:r w:rsidR="0062663D" w:rsidRPr="00B014A3">
        <w:rPr>
          <w:rFonts w:ascii="Arial" w:hAnsi="Arial"/>
        </w:rPr>
        <w:t>I mention that I am not aware of any intention or manifestation thereof</w:t>
      </w:r>
      <w:r w:rsidR="00944964">
        <w:rPr>
          <w:rFonts w:ascii="Arial" w:hAnsi="Arial"/>
        </w:rPr>
        <w:t xml:space="preserve"> by Mr </w:t>
      </w:r>
      <w:proofErr w:type="spellStart"/>
      <w:r w:rsidR="00944964">
        <w:rPr>
          <w:rFonts w:ascii="Arial" w:hAnsi="Arial"/>
        </w:rPr>
        <w:t>K</w:t>
      </w:r>
      <w:r w:rsidR="00B21D96">
        <w:rPr>
          <w:rFonts w:ascii="Arial" w:hAnsi="Arial"/>
        </w:rPr>
        <w:t>a</w:t>
      </w:r>
      <w:r w:rsidR="00944964">
        <w:rPr>
          <w:rFonts w:ascii="Arial" w:hAnsi="Arial"/>
        </w:rPr>
        <w:t>n</w:t>
      </w:r>
      <w:r w:rsidR="00B21D96">
        <w:rPr>
          <w:rFonts w:ascii="Arial" w:hAnsi="Arial"/>
        </w:rPr>
        <w:t>gonga</w:t>
      </w:r>
      <w:proofErr w:type="spellEnd"/>
      <w:r w:rsidR="00B21D96">
        <w:rPr>
          <w:rFonts w:ascii="Arial" w:hAnsi="Arial"/>
        </w:rPr>
        <w:t xml:space="preserve"> or Lycia</w:t>
      </w:r>
      <w:r w:rsidR="0062663D" w:rsidRPr="00B014A3">
        <w:rPr>
          <w:rFonts w:ascii="Arial" w:hAnsi="Arial"/>
        </w:rPr>
        <w:t>, to apply for leave to appeal against either judgment delivered</w:t>
      </w:r>
      <w:r w:rsidR="00B21D96">
        <w:rPr>
          <w:rFonts w:ascii="Arial" w:hAnsi="Arial"/>
        </w:rPr>
        <w:t>. The period for doing so lapsed a long time ago.</w:t>
      </w:r>
      <w:r w:rsidR="0062663D" w:rsidRPr="00B014A3">
        <w:rPr>
          <w:rFonts w:ascii="Arial" w:hAnsi="Arial"/>
        </w:rPr>
        <w:t xml:space="preserve"> </w:t>
      </w:r>
      <w:r w:rsidR="005330F6" w:rsidRPr="00B014A3">
        <w:rPr>
          <w:rFonts w:ascii="Arial" w:hAnsi="Arial"/>
        </w:rPr>
        <w:t>To the extent that it may be argued that the orders issued by this court in either matter, were final in effect, I am not aware of the any appeal or in any</w:t>
      </w:r>
      <w:r w:rsidR="00F22EB6" w:rsidRPr="00B014A3">
        <w:rPr>
          <w:rFonts w:ascii="Arial" w:hAnsi="Arial"/>
        </w:rPr>
        <w:t xml:space="preserve"> event, any </w:t>
      </w:r>
      <w:r w:rsidR="005330F6" w:rsidRPr="00B014A3">
        <w:rPr>
          <w:rFonts w:ascii="Arial" w:hAnsi="Arial"/>
        </w:rPr>
        <w:t xml:space="preserve">application for stay of the forfeiture proceedings pending the appeal. </w:t>
      </w:r>
    </w:p>
    <w:p w14:paraId="0F67853E" w14:textId="77777777" w:rsidR="00B014A3" w:rsidRDefault="00B014A3" w:rsidP="00B014A3">
      <w:pPr>
        <w:pStyle w:val="ListParagraph"/>
        <w:spacing w:line="360" w:lineRule="auto"/>
        <w:ind w:left="0"/>
        <w:jc w:val="both"/>
        <w:rPr>
          <w:rFonts w:ascii="Arial" w:hAnsi="Arial"/>
        </w:rPr>
      </w:pPr>
    </w:p>
    <w:p w14:paraId="7B55DCA1" w14:textId="77777777" w:rsidR="00B014A3" w:rsidRDefault="00DC2E84" w:rsidP="00F102A7">
      <w:pPr>
        <w:pStyle w:val="ListParagraph"/>
        <w:numPr>
          <w:ilvl w:val="0"/>
          <w:numId w:val="5"/>
        </w:numPr>
        <w:spacing w:line="360" w:lineRule="auto"/>
        <w:ind w:left="0" w:firstLine="0"/>
        <w:jc w:val="both"/>
        <w:rPr>
          <w:rFonts w:ascii="Arial" w:hAnsi="Arial"/>
        </w:rPr>
      </w:pPr>
      <w:r w:rsidRPr="00B014A3">
        <w:rPr>
          <w:rFonts w:ascii="Arial" w:hAnsi="Arial"/>
        </w:rPr>
        <w:t>That being said, it does not necessarily mean that because the application for forfeiture is unopposed, the court must perforce grant it. The court has to be satisfied that the requirements of the relevant statutory provisions</w:t>
      </w:r>
      <w:r w:rsidR="00580EC4" w:rsidRPr="00B014A3">
        <w:rPr>
          <w:rFonts w:ascii="Arial" w:hAnsi="Arial"/>
        </w:rPr>
        <w:t xml:space="preserve"> for forfeiture of property,</w:t>
      </w:r>
      <w:r w:rsidRPr="00B014A3">
        <w:rPr>
          <w:rFonts w:ascii="Arial" w:hAnsi="Arial"/>
        </w:rPr>
        <w:t xml:space="preserve"> have been complied with</w:t>
      </w:r>
      <w:r w:rsidR="00580EC4" w:rsidRPr="00B014A3">
        <w:rPr>
          <w:rFonts w:ascii="Arial" w:hAnsi="Arial"/>
        </w:rPr>
        <w:t xml:space="preserve"> to the letter</w:t>
      </w:r>
      <w:r w:rsidRPr="00B014A3">
        <w:rPr>
          <w:rFonts w:ascii="Arial" w:hAnsi="Arial"/>
        </w:rPr>
        <w:t xml:space="preserve"> by the PG. It is to</w:t>
      </w:r>
      <w:r w:rsidR="00AF2077" w:rsidRPr="00B014A3">
        <w:rPr>
          <w:rFonts w:ascii="Arial" w:hAnsi="Arial"/>
        </w:rPr>
        <w:t xml:space="preserve"> that exercise that the court</w:t>
      </w:r>
      <w:r w:rsidRPr="00B014A3">
        <w:rPr>
          <w:rFonts w:ascii="Arial" w:hAnsi="Arial"/>
        </w:rPr>
        <w:t xml:space="preserve"> now turns.</w:t>
      </w:r>
    </w:p>
    <w:p w14:paraId="5739DFA2" w14:textId="77777777" w:rsidR="00B014A3" w:rsidRDefault="00B014A3" w:rsidP="00B014A3">
      <w:pPr>
        <w:pStyle w:val="ListParagraph"/>
        <w:spacing w:line="360" w:lineRule="auto"/>
        <w:ind w:left="0"/>
        <w:jc w:val="both"/>
        <w:rPr>
          <w:rFonts w:ascii="Arial" w:hAnsi="Arial"/>
        </w:rPr>
      </w:pPr>
    </w:p>
    <w:p w14:paraId="10F5B4CC" w14:textId="77777777" w:rsidR="00B014A3" w:rsidRDefault="00B014A3" w:rsidP="00B014A3">
      <w:pPr>
        <w:spacing w:line="360" w:lineRule="auto"/>
        <w:jc w:val="both"/>
        <w:rPr>
          <w:rFonts w:ascii="Arial" w:hAnsi="Arial"/>
          <w:u w:val="single"/>
        </w:rPr>
      </w:pPr>
      <w:r>
        <w:rPr>
          <w:rFonts w:ascii="Arial" w:hAnsi="Arial"/>
          <w:u w:val="single"/>
        </w:rPr>
        <w:t xml:space="preserve">The forfeiture application </w:t>
      </w:r>
    </w:p>
    <w:p w14:paraId="62452051" w14:textId="77777777" w:rsidR="00B014A3" w:rsidRDefault="00B014A3" w:rsidP="00B014A3">
      <w:pPr>
        <w:pStyle w:val="ListParagraph"/>
        <w:spacing w:line="360" w:lineRule="auto"/>
        <w:ind w:left="0"/>
        <w:jc w:val="both"/>
        <w:rPr>
          <w:rFonts w:ascii="Arial" w:hAnsi="Arial"/>
        </w:rPr>
      </w:pPr>
    </w:p>
    <w:p w14:paraId="0763E725" w14:textId="1495F138" w:rsidR="006E46B0" w:rsidRPr="00B014A3" w:rsidRDefault="00AF2077"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 </w:t>
      </w:r>
      <w:r w:rsidR="00944964">
        <w:rPr>
          <w:rFonts w:ascii="Arial" w:hAnsi="Arial"/>
        </w:rPr>
        <w:t xml:space="preserve">founding affidavit in support of the </w:t>
      </w:r>
      <w:r w:rsidRPr="00B014A3">
        <w:rPr>
          <w:rFonts w:ascii="Arial" w:hAnsi="Arial"/>
        </w:rPr>
        <w:t xml:space="preserve">forfeiture application was deposed to by the PG herself. In it, she lays down the background that led </w:t>
      </w:r>
      <w:r w:rsidR="00B21D96">
        <w:rPr>
          <w:rFonts w:ascii="Arial" w:hAnsi="Arial"/>
        </w:rPr>
        <w:t xml:space="preserve">to </w:t>
      </w:r>
      <w:r w:rsidRPr="00B014A3">
        <w:rPr>
          <w:rFonts w:ascii="Arial" w:hAnsi="Arial"/>
        </w:rPr>
        <w:lastRenderedPageBreak/>
        <w:t>the preservation order</w:t>
      </w:r>
      <w:r w:rsidR="00B21D96">
        <w:rPr>
          <w:rFonts w:ascii="Arial" w:hAnsi="Arial"/>
        </w:rPr>
        <w:t>. That has been captured above.</w:t>
      </w:r>
      <w:r w:rsidRPr="00B014A3">
        <w:rPr>
          <w:rFonts w:ascii="Arial" w:hAnsi="Arial"/>
        </w:rPr>
        <w:t xml:space="preserve"> In he</w:t>
      </w:r>
      <w:r w:rsidR="00944964">
        <w:rPr>
          <w:rFonts w:ascii="Arial" w:hAnsi="Arial"/>
        </w:rPr>
        <w:t>r said affidavit</w:t>
      </w:r>
      <w:r w:rsidR="00B21D96">
        <w:rPr>
          <w:rFonts w:ascii="Arial" w:hAnsi="Arial"/>
        </w:rPr>
        <w:t xml:space="preserve">, </w:t>
      </w:r>
      <w:r w:rsidR="00944964">
        <w:rPr>
          <w:rFonts w:ascii="Arial" w:hAnsi="Arial"/>
        </w:rPr>
        <w:t>t</w:t>
      </w:r>
      <w:r w:rsidRPr="00B014A3">
        <w:rPr>
          <w:rFonts w:ascii="Arial" w:hAnsi="Arial"/>
        </w:rPr>
        <w:t>he</w:t>
      </w:r>
      <w:r w:rsidR="00944964">
        <w:rPr>
          <w:rFonts w:ascii="Arial" w:hAnsi="Arial"/>
        </w:rPr>
        <w:t xml:space="preserve"> PG</w:t>
      </w:r>
      <w:r w:rsidRPr="00B014A3">
        <w:rPr>
          <w:rFonts w:ascii="Arial" w:hAnsi="Arial"/>
        </w:rPr>
        <w:t xml:space="preserve"> makes clear that the order for forfeiture relates to the following property </w:t>
      </w:r>
      <w:r w:rsidR="006E46B0" w:rsidRPr="00B014A3">
        <w:rPr>
          <w:rFonts w:ascii="Arial" w:hAnsi="Arial"/>
        </w:rPr>
        <w:t>–</w:t>
      </w:r>
    </w:p>
    <w:p w14:paraId="30230F46" w14:textId="77777777" w:rsidR="006E46B0" w:rsidRDefault="006E46B0" w:rsidP="00F102A7">
      <w:pPr>
        <w:spacing w:line="360" w:lineRule="auto"/>
        <w:jc w:val="both"/>
        <w:rPr>
          <w:rFonts w:ascii="Arial" w:hAnsi="Arial"/>
        </w:rPr>
      </w:pPr>
    </w:p>
    <w:p w14:paraId="03E45BA5" w14:textId="5A038926" w:rsidR="00AF2077" w:rsidRPr="006E46B0" w:rsidRDefault="006E46B0" w:rsidP="00F102A7">
      <w:pPr>
        <w:pStyle w:val="ListParagraph"/>
        <w:numPr>
          <w:ilvl w:val="0"/>
          <w:numId w:val="2"/>
        </w:numPr>
        <w:spacing w:line="360" w:lineRule="auto"/>
        <w:jc w:val="both"/>
        <w:rPr>
          <w:rFonts w:ascii="Arial" w:hAnsi="Arial"/>
        </w:rPr>
      </w:pPr>
      <w:r w:rsidRPr="006E46B0">
        <w:rPr>
          <w:rFonts w:ascii="Arial" w:hAnsi="Arial"/>
        </w:rPr>
        <w:t xml:space="preserve">the positive balance in FNB account number 62245970802 held in the name of Mr </w:t>
      </w:r>
      <w:proofErr w:type="spellStart"/>
      <w:r w:rsidRPr="006E46B0">
        <w:rPr>
          <w:rFonts w:ascii="Arial" w:hAnsi="Arial"/>
        </w:rPr>
        <w:t>Kangonga</w:t>
      </w:r>
      <w:proofErr w:type="spellEnd"/>
      <w:r w:rsidRPr="006E46B0">
        <w:rPr>
          <w:rFonts w:ascii="Arial" w:hAnsi="Arial"/>
        </w:rPr>
        <w:t>;</w:t>
      </w:r>
    </w:p>
    <w:p w14:paraId="7C618D05" w14:textId="1EE23F75" w:rsidR="006E46B0" w:rsidRDefault="009E6F21" w:rsidP="00F102A7">
      <w:pPr>
        <w:pStyle w:val="ListParagraph"/>
        <w:numPr>
          <w:ilvl w:val="0"/>
          <w:numId w:val="2"/>
        </w:numPr>
        <w:spacing w:line="360" w:lineRule="auto"/>
        <w:jc w:val="both"/>
        <w:rPr>
          <w:rFonts w:ascii="Arial" w:hAnsi="Arial"/>
        </w:rPr>
      </w:pPr>
      <w:r>
        <w:rPr>
          <w:rFonts w:ascii="Arial" w:hAnsi="Arial"/>
        </w:rPr>
        <w:t xml:space="preserve">the positive balance in FNB account number 62269544383 held in the name of </w:t>
      </w:r>
      <w:proofErr w:type="spellStart"/>
      <w:r>
        <w:rPr>
          <w:rFonts w:ascii="Arial" w:hAnsi="Arial"/>
        </w:rPr>
        <w:t>Cabino</w:t>
      </w:r>
      <w:proofErr w:type="spellEnd"/>
      <w:r>
        <w:rPr>
          <w:rFonts w:ascii="Arial" w:hAnsi="Arial"/>
        </w:rPr>
        <w:t xml:space="preserve"> Financial Services CC;</w:t>
      </w:r>
    </w:p>
    <w:p w14:paraId="0E5CF2FB" w14:textId="6A911CA2" w:rsidR="009E6F21" w:rsidRDefault="009E6F21" w:rsidP="00F102A7">
      <w:pPr>
        <w:pStyle w:val="ListParagraph"/>
        <w:numPr>
          <w:ilvl w:val="0"/>
          <w:numId w:val="2"/>
        </w:numPr>
        <w:spacing w:line="360" w:lineRule="auto"/>
        <w:jc w:val="both"/>
        <w:rPr>
          <w:rFonts w:ascii="Arial" w:hAnsi="Arial"/>
        </w:rPr>
      </w:pPr>
      <w:r>
        <w:rPr>
          <w:rFonts w:ascii="Arial" w:hAnsi="Arial"/>
        </w:rPr>
        <w:t xml:space="preserve">the positive balance in FNB account number 62274169327 held in the name of Ms </w:t>
      </w:r>
      <w:proofErr w:type="spellStart"/>
      <w:r>
        <w:rPr>
          <w:rFonts w:ascii="Arial" w:hAnsi="Arial"/>
        </w:rPr>
        <w:t>Toini</w:t>
      </w:r>
      <w:proofErr w:type="spellEnd"/>
      <w:r>
        <w:rPr>
          <w:rFonts w:ascii="Arial" w:hAnsi="Arial"/>
        </w:rPr>
        <w:t xml:space="preserve"> </w:t>
      </w:r>
      <w:proofErr w:type="spellStart"/>
      <w:r>
        <w:rPr>
          <w:rFonts w:ascii="Arial" w:hAnsi="Arial"/>
        </w:rPr>
        <w:t>Shilunga</w:t>
      </w:r>
      <w:proofErr w:type="spellEnd"/>
      <w:r>
        <w:rPr>
          <w:rFonts w:ascii="Arial" w:hAnsi="Arial"/>
        </w:rPr>
        <w:t>;</w:t>
      </w:r>
    </w:p>
    <w:p w14:paraId="794F1978" w14:textId="3CC6FC25" w:rsidR="009E6F21" w:rsidRDefault="009E6F21" w:rsidP="00F102A7">
      <w:pPr>
        <w:pStyle w:val="ListParagraph"/>
        <w:numPr>
          <w:ilvl w:val="0"/>
          <w:numId w:val="2"/>
        </w:numPr>
        <w:spacing w:line="360" w:lineRule="auto"/>
        <w:jc w:val="both"/>
        <w:rPr>
          <w:rFonts w:ascii="Arial" w:hAnsi="Arial"/>
        </w:rPr>
      </w:pPr>
      <w:r>
        <w:rPr>
          <w:rFonts w:ascii="Arial" w:hAnsi="Arial"/>
        </w:rPr>
        <w:t xml:space="preserve">a sum of N$58 000 held in FNB internal office account number 62275725631, linked to FNB account number 62023483415 held in the name of Mr </w:t>
      </w:r>
      <w:proofErr w:type="spellStart"/>
      <w:r>
        <w:rPr>
          <w:rFonts w:ascii="Arial" w:hAnsi="Arial"/>
        </w:rPr>
        <w:t>Leevi</w:t>
      </w:r>
      <w:proofErr w:type="spellEnd"/>
      <w:r>
        <w:rPr>
          <w:rFonts w:ascii="Arial" w:hAnsi="Arial"/>
        </w:rPr>
        <w:t xml:space="preserve"> </w:t>
      </w:r>
      <w:proofErr w:type="spellStart"/>
      <w:r>
        <w:rPr>
          <w:rFonts w:ascii="Arial" w:hAnsi="Arial"/>
        </w:rPr>
        <w:t>Nanyeni</w:t>
      </w:r>
      <w:proofErr w:type="spellEnd"/>
      <w:r w:rsidR="00957A63">
        <w:rPr>
          <w:rFonts w:ascii="Arial" w:hAnsi="Arial"/>
        </w:rPr>
        <w:t>;</w:t>
      </w:r>
    </w:p>
    <w:p w14:paraId="7AD4477A" w14:textId="5607F7D8" w:rsidR="00957A63" w:rsidRDefault="00957A63" w:rsidP="00F102A7">
      <w:pPr>
        <w:pStyle w:val="ListParagraph"/>
        <w:numPr>
          <w:ilvl w:val="0"/>
          <w:numId w:val="2"/>
        </w:numPr>
        <w:spacing w:line="360" w:lineRule="auto"/>
        <w:jc w:val="both"/>
        <w:rPr>
          <w:rFonts w:ascii="Arial" w:hAnsi="Arial"/>
        </w:rPr>
      </w:pPr>
      <w:r>
        <w:rPr>
          <w:rFonts w:ascii="Arial" w:hAnsi="Arial"/>
        </w:rPr>
        <w:t xml:space="preserve">the positive balance in FNB account number 62261180055 held in the name of Mr Petrus </w:t>
      </w:r>
      <w:proofErr w:type="spellStart"/>
      <w:r>
        <w:rPr>
          <w:rFonts w:ascii="Arial" w:hAnsi="Arial"/>
        </w:rPr>
        <w:t>Dawid</w:t>
      </w:r>
      <w:proofErr w:type="spellEnd"/>
      <w:r>
        <w:rPr>
          <w:rFonts w:ascii="Arial" w:hAnsi="Arial"/>
        </w:rPr>
        <w:t>;</w:t>
      </w:r>
    </w:p>
    <w:p w14:paraId="50B8A111" w14:textId="0EDAE30D" w:rsidR="00957A63" w:rsidRDefault="00957A63" w:rsidP="00F102A7">
      <w:pPr>
        <w:pStyle w:val="ListParagraph"/>
        <w:numPr>
          <w:ilvl w:val="0"/>
          <w:numId w:val="2"/>
        </w:numPr>
        <w:spacing w:line="360" w:lineRule="auto"/>
        <w:jc w:val="both"/>
        <w:rPr>
          <w:rFonts w:ascii="Arial" w:hAnsi="Arial"/>
        </w:rPr>
      </w:pPr>
      <w:r>
        <w:rPr>
          <w:rFonts w:ascii="Arial" w:hAnsi="Arial"/>
        </w:rPr>
        <w:t xml:space="preserve">the positive balance on Bank Windhoek account number CHK 8023444377 held in the name of Mr </w:t>
      </w:r>
      <w:proofErr w:type="spellStart"/>
      <w:r>
        <w:rPr>
          <w:rFonts w:ascii="Arial" w:hAnsi="Arial"/>
        </w:rPr>
        <w:t>Natangwe</w:t>
      </w:r>
      <w:proofErr w:type="spellEnd"/>
      <w:r>
        <w:rPr>
          <w:rFonts w:ascii="Arial" w:hAnsi="Arial"/>
        </w:rPr>
        <w:t xml:space="preserve"> </w:t>
      </w:r>
      <w:proofErr w:type="spellStart"/>
      <w:r>
        <w:rPr>
          <w:rFonts w:ascii="Arial" w:hAnsi="Arial"/>
        </w:rPr>
        <w:t>Kalambi</w:t>
      </w:r>
      <w:proofErr w:type="spellEnd"/>
      <w:r>
        <w:rPr>
          <w:rFonts w:ascii="Arial" w:hAnsi="Arial"/>
        </w:rPr>
        <w:t>;</w:t>
      </w:r>
    </w:p>
    <w:p w14:paraId="6912BC9E" w14:textId="3D24B7B3" w:rsidR="00957A63" w:rsidRDefault="00957A63" w:rsidP="00F102A7">
      <w:pPr>
        <w:pStyle w:val="ListParagraph"/>
        <w:numPr>
          <w:ilvl w:val="0"/>
          <w:numId w:val="2"/>
        </w:numPr>
        <w:spacing w:line="360" w:lineRule="auto"/>
        <w:jc w:val="both"/>
        <w:rPr>
          <w:rFonts w:ascii="Arial" w:hAnsi="Arial"/>
        </w:rPr>
      </w:pPr>
      <w:r>
        <w:rPr>
          <w:rFonts w:ascii="Arial" w:hAnsi="Arial"/>
        </w:rPr>
        <w:t xml:space="preserve">the positive balance in the </w:t>
      </w:r>
      <w:proofErr w:type="spellStart"/>
      <w:r>
        <w:rPr>
          <w:rFonts w:ascii="Arial" w:hAnsi="Arial"/>
        </w:rPr>
        <w:t>Nampost</w:t>
      </w:r>
      <w:proofErr w:type="spellEnd"/>
      <w:r>
        <w:rPr>
          <w:rFonts w:ascii="Arial" w:hAnsi="Arial"/>
        </w:rPr>
        <w:t xml:space="preserve"> Limited account number 911824805588 held in the name of Mr Erastus G </w:t>
      </w:r>
      <w:proofErr w:type="spellStart"/>
      <w:r>
        <w:rPr>
          <w:rFonts w:ascii="Arial" w:hAnsi="Arial"/>
        </w:rPr>
        <w:t>Heita</w:t>
      </w:r>
      <w:proofErr w:type="spellEnd"/>
      <w:r>
        <w:rPr>
          <w:rFonts w:ascii="Arial" w:hAnsi="Arial"/>
        </w:rPr>
        <w:t>; and</w:t>
      </w:r>
    </w:p>
    <w:p w14:paraId="7E45218A" w14:textId="5164B951" w:rsidR="00957A63" w:rsidRDefault="00957A63" w:rsidP="00F102A7">
      <w:pPr>
        <w:pStyle w:val="ListParagraph"/>
        <w:numPr>
          <w:ilvl w:val="0"/>
          <w:numId w:val="2"/>
        </w:numPr>
        <w:spacing w:line="360" w:lineRule="auto"/>
        <w:jc w:val="both"/>
        <w:rPr>
          <w:rFonts w:ascii="Arial" w:hAnsi="Arial"/>
        </w:rPr>
      </w:pPr>
      <w:proofErr w:type="gramStart"/>
      <w:r>
        <w:rPr>
          <w:rFonts w:ascii="Arial" w:hAnsi="Arial"/>
        </w:rPr>
        <w:t>the</w:t>
      </w:r>
      <w:proofErr w:type="gramEnd"/>
      <w:r>
        <w:rPr>
          <w:rFonts w:ascii="Arial" w:hAnsi="Arial"/>
        </w:rPr>
        <w:t xml:space="preserve"> positive balance in FNB account number 62275675167.</w:t>
      </w:r>
    </w:p>
    <w:p w14:paraId="5A7EE6AF" w14:textId="77777777" w:rsidR="00957A63" w:rsidRDefault="00957A63" w:rsidP="00F102A7">
      <w:pPr>
        <w:spacing w:line="360" w:lineRule="auto"/>
        <w:jc w:val="both"/>
        <w:rPr>
          <w:rFonts w:ascii="Arial" w:hAnsi="Arial"/>
        </w:rPr>
      </w:pPr>
    </w:p>
    <w:p w14:paraId="36136B7B" w14:textId="0680862E" w:rsidR="00B014A3" w:rsidRDefault="00580EC4"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It must be mentioned, in this regard, that because the applications for condonation filed by Mr </w:t>
      </w:r>
      <w:proofErr w:type="spellStart"/>
      <w:r w:rsidRPr="00B014A3">
        <w:rPr>
          <w:rFonts w:ascii="Arial" w:hAnsi="Arial"/>
        </w:rPr>
        <w:t>Kangonga</w:t>
      </w:r>
      <w:proofErr w:type="spellEnd"/>
      <w:r w:rsidRPr="00B014A3">
        <w:rPr>
          <w:rFonts w:ascii="Arial" w:hAnsi="Arial"/>
        </w:rPr>
        <w:t xml:space="preserve"> and Lycia were dismissed, the vers</w:t>
      </w:r>
      <w:r w:rsidR="00B21D96">
        <w:rPr>
          <w:rFonts w:ascii="Arial" w:hAnsi="Arial"/>
        </w:rPr>
        <w:t>ions of the said parties to the current</w:t>
      </w:r>
      <w:r w:rsidRPr="00B014A3">
        <w:rPr>
          <w:rFonts w:ascii="Arial" w:hAnsi="Arial"/>
        </w:rPr>
        <w:t xml:space="preserve"> application, are not before court. The court has largely to go by the allegations of the PG on oath to the extent that they are </w:t>
      </w:r>
      <w:r w:rsidR="00B66E39">
        <w:rPr>
          <w:rFonts w:ascii="Arial" w:hAnsi="Arial"/>
        </w:rPr>
        <w:t>credible and admissible and devoid of</w:t>
      </w:r>
      <w:r w:rsidRPr="00B014A3">
        <w:rPr>
          <w:rFonts w:ascii="Arial" w:hAnsi="Arial"/>
        </w:rPr>
        <w:t xml:space="preserve"> any element that would suggest their exclusion on legal grounds.</w:t>
      </w:r>
    </w:p>
    <w:p w14:paraId="37895297" w14:textId="77777777" w:rsidR="00B014A3" w:rsidRDefault="00B014A3" w:rsidP="00B014A3">
      <w:pPr>
        <w:pStyle w:val="ListParagraph"/>
        <w:spacing w:line="360" w:lineRule="auto"/>
        <w:ind w:left="0"/>
        <w:jc w:val="both"/>
        <w:rPr>
          <w:rFonts w:ascii="Arial" w:hAnsi="Arial"/>
        </w:rPr>
      </w:pPr>
    </w:p>
    <w:p w14:paraId="7C95EAEC" w14:textId="77777777" w:rsidR="00B014A3" w:rsidRDefault="00D55CC5" w:rsidP="00F102A7">
      <w:pPr>
        <w:pStyle w:val="ListParagraph"/>
        <w:numPr>
          <w:ilvl w:val="0"/>
          <w:numId w:val="5"/>
        </w:numPr>
        <w:spacing w:line="360" w:lineRule="auto"/>
        <w:ind w:left="0" w:firstLine="0"/>
        <w:jc w:val="both"/>
        <w:rPr>
          <w:rFonts w:ascii="Arial" w:hAnsi="Arial"/>
        </w:rPr>
      </w:pPr>
      <w:r w:rsidRPr="00B014A3">
        <w:rPr>
          <w:rFonts w:ascii="Arial" w:hAnsi="Arial"/>
        </w:rPr>
        <w:t>It is the PG’s assertion on oath</w:t>
      </w:r>
      <w:r w:rsidR="005D2092" w:rsidRPr="00B014A3">
        <w:rPr>
          <w:rFonts w:ascii="Arial" w:hAnsi="Arial"/>
        </w:rPr>
        <w:t>,</w:t>
      </w:r>
      <w:r w:rsidRPr="00B014A3">
        <w:rPr>
          <w:rFonts w:ascii="Arial" w:hAnsi="Arial"/>
        </w:rPr>
        <w:t xml:space="preserve"> that a careful analysis of the facts surrounding the matter, as described earlier, on reasonable grounds, depicts the perpetration of the crimes of theft by false pretences and illegal possession of or sale of or dealing in diamonds in contravention of the provisions of the </w:t>
      </w:r>
      <w:proofErr w:type="spellStart"/>
      <w:r w:rsidRPr="00B014A3">
        <w:rPr>
          <w:rFonts w:ascii="Arial" w:hAnsi="Arial"/>
        </w:rPr>
        <w:t>ss</w:t>
      </w:r>
      <w:proofErr w:type="spellEnd"/>
      <w:r w:rsidRPr="00B014A3">
        <w:rPr>
          <w:rFonts w:ascii="Arial" w:hAnsi="Arial"/>
        </w:rPr>
        <w:t xml:space="preserve"> 30, 31, 32 and 33 of the Diamond Act 13 of 1999, as amended, and money laundering</w:t>
      </w:r>
      <w:r w:rsidR="005D2092" w:rsidRPr="00B014A3">
        <w:rPr>
          <w:rFonts w:ascii="Arial" w:hAnsi="Arial"/>
        </w:rPr>
        <w:t xml:space="preserve"> as provided for in s 4(</w:t>
      </w:r>
      <w:r w:rsidR="005D2092" w:rsidRPr="00B014A3">
        <w:rPr>
          <w:rFonts w:ascii="Arial" w:hAnsi="Arial"/>
          <w:i/>
        </w:rPr>
        <w:t>a</w:t>
      </w:r>
      <w:proofErr w:type="gramStart"/>
      <w:r w:rsidR="005D2092" w:rsidRPr="00B014A3">
        <w:rPr>
          <w:rFonts w:ascii="Arial" w:hAnsi="Arial"/>
        </w:rPr>
        <w:t>)(</w:t>
      </w:r>
      <w:proofErr w:type="spellStart"/>
      <w:proofErr w:type="gramEnd"/>
      <w:r w:rsidR="005D2092" w:rsidRPr="00B014A3">
        <w:rPr>
          <w:rFonts w:ascii="Arial" w:hAnsi="Arial"/>
          <w:i/>
        </w:rPr>
        <w:t>i</w:t>
      </w:r>
      <w:proofErr w:type="spellEnd"/>
      <w:r w:rsidR="005D2092" w:rsidRPr="00B014A3">
        <w:rPr>
          <w:rFonts w:ascii="Arial" w:hAnsi="Arial"/>
        </w:rPr>
        <w:t>) and 6 of the Act.</w:t>
      </w:r>
    </w:p>
    <w:p w14:paraId="3DDF392E" w14:textId="77777777" w:rsidR="00B014A3" w:rsidRDefault="00B014A3" w:rsidP="00B014A3">
      <w:pPr>
        <w:pStyle w:val="ListParagraph"/>
        <w:spacing w:line="360" w:lineRule="auto"/>
        <w:ind w:left="0"/>
        <w:jc w:val="both"/>
        <w:rPr>
          <w:rFonts w:ascii="Arial" w:hAnsi="Arial"/>
        </w:rPr>
      </w:pPr>
    </w:p>
    <w:p w14:paraId="02FE67E6" w14:textId="77777777" w:rsidR="00B014A3" w:rsidRDefault="005D2092" w:rsidP="00F102A7">
      <w:pPr>
        <w:pStyle w:val="ListParagraph"/>
        <w:numPr>
          <w:ilvl w:val="0"/>
          <w:numId w:val="5"/>
        </w:numPr>
        <w:spacing w:line="360" w:lineRule="auto"/>
        <w:ind w:left="0" w:firstLine="0"/>
        <w:jc w:val="both"/>
        <w:rPr>
          <w:rFonts w:ascii="Arial" w:hAnsi="Arial"/>
        </w:rPr>
      </w:pPr>
      <w:r w:rsidRPr="00B014A3">
        <w:rPr>
          <w:rFonts w:ascii="Arial" w:hAnsi="Arial"/>
        </w:rPr>
        <w:lastRenderedPageBreak/>
        <w:t>The PG, in her affidavit, sets out the following material facts in relation to scheme leading to the present proceedings. She cites three individuals who appear to be at the centre of the entire enterprise. These are Mess</w:t>
      </w:r>
      <w:r w:rsidR="00AE0F22" w:rsidRPr="00B014A3">
        <w:rPr>
          <w:rFonts w:ascii="Arial" w:hAnsi="Arial"/>
        </w:rPr>
        <w:t xml:space="preserve">rs </w:t>
      </w:r>
      <w:proofErr w:type="spellStart"/>
      <w:r w:rsidR="00AE0F22" w:rsidRPr="00B014A3">
        <w:rPr>
          <w:rFonts w:ascii="Arial" w:hAnsi="Arial"/>
        </w:rPr>
        <w:t>Kangonga</w:t>
      </w:r>
      <w:proofErr w:type="spellEnd"/>
      <w:r w:rsidR="00AE0F22" w:rsidRPr="00B014A3">
        <w:rPr>
          <w:rFonts w:ascii="Arial" w:hAnsi="Arial"/>
        </w:rPr>
        <w:t xml:space="preserve">, </w:t>
      </w:r>
      <w:proofErr w:type="spellStart"/>
      <w:r w:rsidR="00AE0F22" w:rsidRPr="00B014A3">
        <w:rPr>
          <w:rFonts w:ascii="Arial" w:hAnsi="Arial"/>
        </w:rPr>
        <w:t>Heita</w:t>
      </w:r>
      <w:proofErr w:type="spellEnd"/>
      <w:r w:rsidR="00AE0F22" w:rsidRPr="00B014A3">
        <w:rPr>
          <w:rFonts w:ascii="Arial" w:hAnsi="Arial"/>
        </w:rPr>
        <w:t xml:space="preserve"> and </w:t>
      </w:r>
      <w:proofErr w:type="spellStart"/>
      <w:r w:rsidR="00AE0F22" w:rsidRPr="00B014A3">
        <w:rPr>
          <w:rFonts w:ascii="Arial" w:hAnsi="Arial"/>
        </w:rPr>
        <w:t>Hamupolo</w:t>
      </w:r>
      <w:proofErr w:type="spellEnd"/>
      <w:r w:rsidR="00AE0F22" w:rsidRPr="00B014A3">
        <w:rPr>
          <w:rFonts w:ascii="Arial" w:hAnsi="Arial"/>
        </w:rPr>
        <w:t xml:space="preserve">. In this connection, Lycia, through Mr De Jesus, sought to purchase diamonds. To this end, they surfed on the internet for a </w:t>
      </w:r>
      <w:proofErr w:type="spellStart"/>
      <w:r w:rsidR="00AE0F22" w:rsidRPr="00B014A3">
        <w:rPr>
          <w:rFonts w:ascii="Arial" w:hAnsi="Arial"/>
        </w:rPr>
        <w:t>gemologist</w:t>
      </w:r>
      <w:proofErr w:type="spellEnd"/>
      <w:r w:rsidR="00AE0F22" w:rsidRPr="00B014A3">
        <w:rPr>
          <w:rFonts w:ascii="Arial" w:hAnsi="Arial"/>
        </w:rPr>
        <w:t xml:space="preserve"> to inspect and evaluate the diamonds. They came through the name of Mr </w:t>
      </w:r>
      <w:proofErr w:type="spellStart"/>
      <w:r w:rsidR="00AE0F22" w:rsidRPr="00B014A3">
        <w:rPr>
          <w:rFonts w:ascii="Arial" w:hAnsi="Arial"/>
        </w:rPr>
        <w:t>Kangonga</w:t>
      </w:r>
      <w:proofErr w:type="spellEnd"/>
      <w:r w:rsidR="00AE0F22" w:rsidRPr="00B014A3">
        <w:rPr>
          <w:rFonts w:ascii="Arial" w:hAnsi="Arial"/>
        </w:rPr>
        <w:t xml:space="preserve">, who advertised himself as such, through his company called Namibia </w:t>
      </w:r>
      <w:proofErr w:type="spellStart"/>
      <w:r w:rsidR="00AE0F22" w:rsidRPr="00B014A3">
        <w:rPr>
          <w:rFonts w:ascii="Arial" w:hAnsi="Arial"/>
        </w:rPr>
        <w:t>Gemologist</w:t>
      </w:r>
      <w:proofErr w:type="spellEnd"/>
      <w:r w:rsidR="00AE0F22" w:rsidRPr="00B014A3">
        <w:rPr>
          <w:rFonts w:ascii="Arial" w:hAnsi="Arial"/>
        </w:rPr>
        <w:t xml:space="preserve"> CC. It was touted that the company ‘specifically deals in rough diamond evaluation/ and ‘help (</w:t>
      </w:r>
      <w:r w:rsidR="00AE0F22" w:rsidRPr="00B014A3">
        <w:rPr>
          <w:rFonts w:ascii="Arial" w:hAnsi="Arial"/>
          <w:i/>
        </w:rPr>
        <w:t>sic</w:t>
      </w:r>
      <w:r w:rsidR="00AE0F22" w:rsidRPr="00B014A3">
        <w:rPr>
          <w:rFonts w:ascii="Arial" w:hAnsi="Arial"/>
        </w:rPr>
        <w:t>)</w:t>
      </w:r>
      <w:r w:rsidR="0099581F" w:rsidRPr="00B014A3">
        <w:rPr>
          <w:rFonts w:ascii="Arial" w:hAnsi="Arial"/>
        </w:rPr>
        <w:t xml:space="preserve"> identify product(s) and determine the quality in terms of essay reports</w:t>
      </w:r>
      <w:r w:rsidR="0099581F" w:rsidRPr="00B014A3">
        <w:rPr>
          <w:rFonts w:ascii="Arial" w:hAnsi="Arial"/>
          <w:i/>
        </w:rPr>
        <w:t>.</w:t>
      </w:r>
      <w:r w:rsidR="0099581F" w:rsidRPr="00B014A3">
        <w:rPr>
          <w:rFonts w:ascii="Arial" w:hAnsi="Arial"/>
        </w:rPr>
        <w:t>’</w:t>
      </w:r>
    </w:p>
    <w:p w14:paraId="028D095E" w14:textId="77777777" w:rsidR="00B014A3" w:rsidRDefault="00B014A3" w:rsidP="00B014A3">
      <w:pPr>
        <w:pStyle w:val="ListParagraph"/>
        <w:spacing w:line="360" w:lineRule="auto"/>
        <w:ind w:left="0"/>
        <w:jc w:val="both"/>
        <w:rPr>
          <w:rFonts w:ascii="Arial" w:hAnsi="Arial"/>
        </w:rPr>
      </w:pPr>
    </w:p>
    <w:p w14:paraId="2A6A0CDE" w14:textId="77777777" w:rsidR="00B014A3" w:rsidRDefault="0099581F"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Mr </w:t>
      </w:r>
      <w:proofErr w:type="spellStart"/>
      <w:r w:rsidRPr="00B014A3">
        <w:rPr>
          <w:rFonts w:ascii="Arial" w:hAnsi="Arial"/>
        </w:rPr>
        <w:t>Kangonga</w:t>
      </w:r>
      <w:proofErr w:type="spellEnd"/>
      <w:r w:rsidRPr="00B014A3">
        <w:rPr>
          <w:rFonts w:ascii="Arial" w:hAnsi="Arial"/>
        </w:rPr>
        <w:t xml:space="preserve"> advertised himself as a chief </w:t>
      </w:r>
      <w:proofErr w:type="spellStart"/>
      <w:r w:rsidRPr="00B014A3">
        <w:rPr>
          <w:rFonts w:ascii="Arial" w:hAnsi="Arial"/>
        </w:rPr>
        <w:t>gemologist</w:t>
      </w:r>
      <w:proofErr w:type="spellEnd"/>
      <w:r w:rsidRPr="00B014A3">
        <w:rPr>
          <w:rFonts w:ascii="Arial" w:hAnsi="Arial"/>
        </w:rPr>
        <w:t xml:space="preserve"> at the company and who possesses experience as a diamond polisher. Lycia, on the strength of the advertisement, engaged the services of Mr </w:t>
      </w:r>
      <w:proofErr w:type="spellStart"/>
      <w:r w:rsidRPr="00B014A3">
        <w:rPr>
          <w:rFonts w:ascii="Arial" w:hAnsi="Arial"/>
        </w:rPr>
        <w:t>Heita</w:t>
      </w:r>
      <w:proofErr w:type="spellEnd"/>
      <w:r w:rsidRPr="00B014A3">
        <w:rPr>
          <w:rFonts w:ascii="Arial" w:hAnsi="Arial"/>
        </w:rPr>
        <w:t xml:space="preserve">, to purchase the diamonds and to also engage the services of Mr </w:t>
      </w:r>
      <w:proofErr w:type="spellStart"/>
      <w:r w:rsidRPr="00B014A3">
        <w:rPr>
          <w:rFonts w:ascii="Arial" w:hAnsi="Arial"/>
        </w:rPr>
        <w:t>Kangonga</w:t>
      </w:r>
      <w:proofErr w:type="spellEnd"/>
      <w:r w:rsidRPr="00B014A3">
        <w:rPr>
          <w:rFonts w:ascii="Arial" w:hAnsi="Arial"/>
        </w:rPr>
        <w:t xml:space="preserve"> to evaluate the diamonds. The duo, Mr </w:t>
      </w:r>
      <w:proofErr w:type="spellStart"/>
      <w:r w:rsidRPr="00B014A3">
        <w:rPr>
          <w:rFonts w:ascii="Arial" w:hAnsi="Arial"/>
        </w:rPr>
        <w:t>Kangonga</w:t>
      </w:r>
      <w:proofErr w:type="spellEnd"/>
      <w:r w:rsidRPr="00B014A3">
        <w:rPr>
          <w:rFonts w:ascii="Arial" w:hAnsi="Arial"/>
        </w:rPr>
        <w:t xml:space="preserve"> and </w:t>
      </w:r>
      <w:proofErr w:type="spellStart"/>
      <w:r w:rsidRPr="00B014A3">
        <w:rPr>
          <w:rFonts w:ascii="Arial" w:hAnsi="Arial"/>
        </w:rPr>
        <w:t>Heita</w:t>
      </w:r>
      <w:proofErr w:type="spellEnd"/>
      <w:r w:rsidRPr="00B014A3">
        <w:rPr>
          <w:rFonts w:ascii="Arial" w:hAnsi="Arial"/>
        </w:rPr>
        <w:t xml:space="preserve"> informed Mr De Jesus that they wer</w:t>
      </w:r>
      <w:r w:rsidR="00E102F1" w:rsidRPr="00B014A3">
        <w:rPr>
          <w:rFonts w:ascii="Arial" w:hAnsi="Arial"/>
        </w:rPr>
        <w:t>e</w:t>
      </w:r>
      <w:r w:rsidRPr="00B014A3">
        <w:rPr>
          <w:rFonts w:ascii="Arial" w:hAnsi="Arial"/>
        </w:rPr>
        <w:t xml:space="preserve"> legitimate diamond dealers.</w:t>
      </w:r>
    </w:p>
    <w:p w14:paraId="5E7F8A13" w14:textId="77777777" w:rsidR="00B014A3" w:rsidRDefault="00B014A3" w:rsidP="00B014A3">
      <w:pPr>
        <w:pStyle w:val="ListParagraph"/>
        <w:spacing w:line="360" w:lineRule="auto"/>
        <w:ind w:left="0"/>
        <w:jc w:val="both"/>
        <w:rPr>
          <w:rFonts w:ascii="Arial" w:hAnsi="Arial"/>
        </w:rPr>
      </w:pPr>
    </w:p>
    <w:p w14:paraId="1EC47774" w14:textId="67FAA5BF" w:rsidR="00B014A3" w:rsidRDefault="0086636A"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Mr </w:t>
      </w:r>
      <w:proofErr w:type="spellStart"/>
      <w:r w:rsidRPr="00B014A3">
        <w:rPr>
          <w:rFonts w:ascii="Arial" w:hAnsi="Arial"/>
        </w:rPr>
        <w:t>Kangonga</w:t>
      </w:r>
      <w:proofErr w:type="spellEnd"/>
      <w:r w:rsidRPr="00B014A3">
        <w:rPr>
          <w:rFonts w:ascii="Arial" w:hAnsi="Arial"/>
        </w:rPr>
        <w:t xml:space="preserve"> furnished Lycia with a tax invoice for an amount of </w:t>
      </w:r>
      <w:r w:rsidR="00766FF4" w:rsidRPr="00B014A3">
        <w:rPr>
          <w:rFonts w:ascii="Arial" w:hAnsi="Arial"/>
        </w:rPr>
        <w:t xml:space="preserve">USD268 000 on the letterheads of Namibia </w:t>
      </w:r>
      <w:proofErr w:type="spellStart"/>
      <w:r w:rsidR="00766FF4" w:rsidRPr="00B014A3">
        <w:rPr>
          <w:rFonts w:ascii="Arial" w:hAnsi="Arial"/>
        </w:rPr>
        <w:t>Gemologis</w:t>
      </w:r>
      <w:r w:rsidR="00D67EDA">
        <w:rPr>
          <w:rFonts w:ascii="Arial" w:hAnsi="Arial"/>
        </w:rPr>
        <w:t>t</w:t>
      </w:r>
      <w:proofErr w:type="spellEnd"/>
      <w:r w:rsidR="00351563" w:rsidRPr="00B014A3">
        <w:rPr>
          <w:rFonts w:ascii="Arial" w:hAnsi="Arial"/>
        </w:rPr>
        <w:t xml:space="preserve"> CC, which reflected that the said amount was payable for ‘Rough Diamond Lot4c.’ Th</w:t>
      </w:r>
      <w:r w:rsidR="00580EC4" w:rsidRPr="00B014A3">
        <w:rPr>
          <w:rFonts w:ascii="Arial" w:hAnsi="Arial"/>
        </w:rPr>
        <w:t>ereafter, Mr Patel made payment</w:t>
      </w:r>
      <w:r w:rsidR="00351563" w:rsidRPr="00B014A3">
        <w:rPr>
          <w:rFonts w:ascii="Arial" w:hAnsi="Arial"/>
        </w:rPr>
        <w:t xml:space="preserve"> on Lycia’s behalf for </w:t>
      </w:r>
      <w:r w:rsidR="00B014A3" w:rsidRPr="00B014A3">
        <w:rPr>
          <w:rFonts w:ascii="Arial" w:hAnsi="Arial"/>
        </w:rPr>
        <w:t>177ct and</w:t>
      </w:r>
      <w:r w:rsidR="00260756" w:rsidRPr="00B014A3">
        <w:rPr>
          <w:rFonts w:ascii="Arial" w:hAnsi="Arial"/>
        </w:rPr>
        <w:t xml:space="preserve"> 425ct of diamonds into </w:t>
      </w:r>
      <w:proofErr w:type="spellStart"/>
      <w:r w:rsidR="00260756" w:rsidRPr="00B014A3">
        <w:rPr>
          <w:rFonts w:ascii="Arial" w:hAnsi="Arial"/>
        </w:rPr>
        <w:t>Cabino’s</w:t>
      </w:r>
      <w:proofErr w:type="spellEnd"/>
      <w:r w:rsidR="00260756" w:rsidRPr="00B014A3">
        <w:rPr>
          <w:rFonts w:ascii="Arial" w:hAnsi="Arial"/>
        </w:rPr>
        <w:t xml:space="preserve"> account with FNB. This amount was described as being for taxes and </w:t>
      </w:r>
      <w:r w:rsidR="003579B4" w:rsidRPr="00B014A3">
        <w:rPr>
          <w:rFonts w:ascii="Arial" w:hAnsi="Arial"/>
        </w:rPr>
        <w:t>Kimberley</w:t>
      </w:r>
      <w:r w:rsidR="00260756" w:rsidRPr="00B014A3">
        <w:rPr>
          <w:rFonts w:ascii="Arial" w:hAnsi="Arial"/>
        </w:rPr>
        <w:t xml:space="preserve"> Process Certification (KPC).</w:t>
      </w:r>
    </w:p>
    <w:p w14:paraId="6BCD923A" w14:textId="77777777" w:rsidR="00B014A3" w:rsidRDefault="00B014A3" w:rsidP="00B014A3">
      <w:pPr>
        <w:pStyle w:val="ListParagraph"/>
        <w:spacing w:line="360" w:lineRule="auto"/>
        <w:ind w:left="0"/>
        <w:jc w:val="both"/>
        <w:rPr>
          <w:rFonts w:ascii="Arial" w:hAnsi="Arial"/>
        </w:rPr>
      </w:pPr>
    </w:p>
    <w:p w14:paraId="2C14F270" w14:textId="4672D344" w:rsidR="00B014A3" w:rsidRDefault="00260756" w:rsidP="00F102A7">
      <w:pPr>
        <w:pStyle w:val="ListParagraph"/>
        <w:numPr>
          <w:ilvl w:val="0"/>
          <w:numId w:val="5"/>
        </w:numPr>
        <w:spacing w:line="360" w:lineRule="auto"/>
        <w:ind w:left="0" w:firstLine="0"/>
        <w:jc w:val="both"/>
        <w:rPr>
          <w:rFonts w:ascii="Arial" w:hAnsi="Arial"/>
        </w:rPr>
      </w:pPr>
      <w:r w:rsidRPr="00B014A3">
        <w:rPr>
          <w:rFonts w:ascii="Arial" w:hAnsi="Arial"/>
        </w:rPr>
        <w:t>An amount of N$4 094 467</w:t>
      </w:r>
      <w:proofErr w:type="gramStart"/>
      <w:r w:rsidR="002E7D33">
        <w:rPr>
          <w:rFonts w:ascii="Arial" w:hAnsi="Arial"/>
        </w:rPr>
        <w:t>,</w:t>
      </w:r>
      <w:r w:rsidR="00B014A3" w:rsidRPr="00B014A3">
        <w:rPr>
          <w:rFonts w:ascii="Arial" w:hAnsi="Arial"/>
        </w:rPr>
        <w:t>56</w:t>
      </w:r>
      <w:proofErr w:type="gramEnd"/>
      <w:r w:rsidRPr="00B014A3">
        <w:rPr>
          <w:rFonts w:ascii="Arial" w:hAnsi="Arial"/>
        </w:rPr>
        <w:t xml:space="preserve"> was deposited into Mr </w:t>
      </w:r>
      <w:proofErr w:type="spellStart"/>
      <w:r w:rsidRPr="00B014A3">
        <w:rPr>
          <w:rFonts w:ascii="Arial" w:hAnsi="Arial"/>
        </w:rPr>
        <w:t>Kangonga’s</w:t>
      </w:r>
      <w:proofErr w:type="spellEnd"/>
      <w:r w:rsidRPr="00B014A3">
        <w:rPr>
          <w:rFonts w:ascii="Arial" w:hAnsi="Arial"/>
        </w:rPr>
        <w:t xml:space="preserve"> FNB account. It consisted of N$74 500</w:t>
      </w:r>
      <w:r w:rsidR="00DF7F84" w:rsidRPr="00B014A3">
        <w:rPr>
          <w:rFonts w:ascii="Arial" w:hAnsi="Arial"/>
        </w:rPr>
        <w:t>, N$93 757</w:t>
      </w:r>
      <w:proofErr w:type="gramStart"/>
      <w:r w:rsidR="002E7D33">
        <w:rPr>
          <w:rFonts w:ascii="Arial" w:hAnsi="Arial"/>
        </w:rPr>
        <w:t>,</w:t>
      </w:r>
      <w:r w:rsidR="00EF588E" w:rsidRPr="00B014A3">
        <w:rPr>
          <w:rFonts w:ascii="Arial" w:hAnsi="Arial"/>
        </w:rPr>
        <w:t>56</w:t>
      </w:r>
      <w:proofErr w:type="gramEnd"/>
      <w:r w:rsidR="00DF7F84" w:rsidRPr="00B014A3">
        <w:rPr>
          <w:rFonts w:ascii="Arial" w:hAnsi="Arial"/>
        </w:rPr>
        <w:t xml:space="preserve"> and N$263 305</w:t>
      </w:r>
      <w:r w:rsidR="002E7D33">
        <w:rPr>
          <w:rFonts w:ascii="Arial" w:hAnsi="Arial"/>
        </w:rPr>
        <w:t>,</w:t>
      </w:r>
      <w:r w:rsidR="00EF588E" w:rsidRPr="00B014A3">
        <w:rPr>
          <w:rFonts w:ascii="Arial" w:hAnsi="Arial"/>
        </w:rPr>
        <w:t>70</w:t>
      </w:r>
      <w:r w:rsidR="00DF7F84" w:rsidRPr="00B014A3">
        <w:rPr>
          <w:rFonts w:ascii="Arial" w:hAnsi="Arial"/>
        </w:rPr>
        <w:t xml:space="preserve">. The parties then agreed that the diamonds be kept in safe boxes, whose keys were kept by Mr </w:t>
      </w:r>
      <w:proofErr w:type="spellStart"/>
      <w:r w:rsidR="00DF7F84" w:rsidRPr="00B014A3">
        <w:rPr>
          <w:rFonts w:ascii="Arial" w:hAnsi="Arial"/>
        </w:rPr>
        <w:t>Heita</w:t>
      </w:r>
      <w:proofErr w:type="spellEnd"/>
      <w:r w:rsidR="00DF7F84" w:rsidRPr="00B014A3">
        <w:rPr>
          <w:rFonts w:ascii="Arial" w:hAnsi="Arial"/>
        </w:rPr>
        <w:t xml:space="preserve"> and Mr </w:t>
      </w:r>
      <w:proofErr w:type="spellStart"/>
      <w:r w:rsidR="00DF7F84" w:rsidRPr="00B014A3">
        <w:rPr>
          <w:rFonts w:ascii="Arial" w:hAnsi="Arial"/>
        </w:rPr>
        <w:t>Hamupolo</w:t>
      </w:r>
      <w:proofErr w:type="spellEnd"/>
      <w:r w:rsidR="00DF7F84" w:rsidRPr="00B014A3">
        <w:rPr>
          <w:rFonts w:ascii="Arial" w:hAnsi="Arial"/>
        </w:rPr>
        <w:t>. These safe boxes were kept by Mr De Jesus in his hotel room.</w:t>
      </w:r>
    </w:p>
    <w:p w14:paraId="7BFBA97D" w14:textId="77777777" w:rsidR="00B014A3" w:rsidRDefault="00B014A3" w:rsidP="00B014A3">
      <w:pPr>
        <w:pStyle w:val="ListParagraph"/>
        <w:spacing w:line="360" w:lineRule="auto"/>
        <w:ind w:left="0"/>
        <w:jc w:val="both"/>
        <w:rPr>
          <w:rFonts w:ascii="Arial" w:hAnsi="Arial"/>
        </w:rPr>
      </w:pPr>
    </w:p>
    <w:p w14:paraId="3B1867C2" w14:textId="49DB8573" w:rsidR="00B014A3" w:rsidRDefault="00DF7F84"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Thereafter, an </w:t>
      </w:r>
      <w:r w:rsidR="00F7436C">
        <w:rPr>
          <w:rFonts w:ascii="Arial" w:hAnsi="Arial"/>
        </w:rPr>
        <w:t>‘</w:t>
      </w:r>
      <w:r w:rsidRPr="00B014A3">
        <w:rPr>
          <w:rFonts w:ascii="Arial" w:hAnsi="Arial"/>
        </w:rPr>
        <w:t>unexpected</w:t>
      </w:r>
      <w:r w:rsidR="00F7436C">
        <w:rPr>
          <w:rFonts w:ascii="Arial" w:hAnsi="Arial"/>
        </w:rPr>
        <w:t>’</w:t>
      </w:r>
      <w:r w:rsidRPr="00B014A3">
        <w:rPr>
          <w:rFonts w:ascii="Arial" w:hAnsi="Arial"/>
        </w:rPr>
        <w:t xml:space="preserve"> event</w:t>
      </w:r>
      <w:r w:rsidR="00F7436C">
        <w:rPr>
          <w:rFonts w:ascii="Arial" w:hAnsi="Arial"/>
        </w:rPr>
        <w:t>, on the part of Lycia,</w:t>
      </w:r>
      <w:r w:rsidRPr="00B014A3">
        <w:rPr>
          <w:rFonts w:ascii="Arial" w:hAnsi="Arial"/>
        </w:rPr>
        <w:t xml:space="preserve"> occurred.</w:t>
      </w:r>
      <w:r w:rsidR="00B66E39">
        <w:rPr>
          <w:rFonts w:ascii="Arial" w:hAnsi="Arial"/>
        </w:rPr>
        <w:t xml:space="preserve"> I place the word unexpected in inverted commas for the reason that the event was unexpected by Lycia but it would seem not by those Lycia was dealing with.</w:t>
      </w:r>
      <w:r w:rsidRPr="00B014A3">
        <w:rPr>
          <w:rFonts w:ascii="Arial" w:hAnsi="Arial"/>
        </w:rPr>
        <w:t xml:space="preserve"> A </w:t>
      </w:r>
      <w:r w:rsidRPr="00B014A3">
        <w:rPr>
          <w:rFonts w:ascii="Arial" w:hAnsi="Arial"/>
        </w:rPr>
        <w:lastRenderedPageBreak/>
        <w:t>person who identified himself as a police officer, came to Mr De Jesus and collected the diamonds under the ruse that they were supposed to be presented to the Ministry of Mines and Energy, for inspection</w:t>
      </w:r>
      <w:r w:rsidR="006564E3" w:rsidRPr="00B014A3">
        <w:rPr>
          <w:rFonts w:ascii="Arial" w:hAnsi="Arial"/>
        </w:rPr>
        <w:t xml:space="preserve"> as per usual procedure. This was after Mr </w:t>
      </w:r>
      <w:proofErr w:type="spellStart"/>
      <w:r w:rsidR="006564E3" w:rsidRPr="00B014A3">
        <w:rPr>
          <w:rFonts w:ascii="Arial" w:hAnsi="Arial"/>
        </w:rPr>
        <w:t>Kangonga</w:t>
      </w:r>
      <w:proofErr w:type="spellEnd"/>
      <w:r w:rsidR="006564E3" w:rsidRPr="00B014A3">
        <w:rPr>
          <w:rFonts w:ascii="Arial" w:hAnsi="Arial"/>
        </w:rPr>
        <w:t xml:space="preserve"> </w:t>
      </w:r>
      <w:r w:rsidR="00F7436C">
        <w:rPr>
          <w:rFonts w:ascii="Arial" w:hAnsi="Arial"/>
        </w:rPr>
        <w:t xml:space="preserve">had </w:t>
      </w:r>
      <w:r w:rsidR="006564E3" w:rsidRPr="00B014A3">
        <w:rPr>
          <w:rFonts w:ascii="Arial" w:hAnsi="Arial"/>
        </w:rPr>
        <w:t xml:space="preserve">assured Mr De Jesus that there was nothing untoward with the collection of the diamonds and presenting them to the Ministry and that this was the normal procedure followed. </w:t>
      </w:r>
    </w:p>
    <w:p w14:paraId="754A9333" w14:textId="77777777" w:rsidR="00B014A3" w:rsidRDefault="00B014A3" w:rsidP="00B014A3">
      <w:pPr>
        <w:pStyle w:val="ListParagraph"/>
        <w:spacing w:line="360" w:lineRule="auto"/>
        <w:ind w:left="0"/>
        <w:jc w:val="both"/>
        <w:rPr>
          <w:rFonts w:ascii="Arial" w:hAnsi="Arial"/>
        </w:rPr>
      </w:pPr>
    </w:p>
    <w:p w14:paraId="73AEF42C" w14:textId="0F0A0DA4" w:rsidR="00B014A3" w:rsidRDefault="006564E3"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It is common </w:t>
      </w:r>
      <w:proofErr w:type="gramStart"/>
      <w:r w:rsidRPr="00B014A3">
        <w:rPr>
          <w:rFonts w:ascii="Arial" w:hAnsi="Arial"/>
        </w:rPr>
        <w:t>cause</w:t>
      </w:r>
      <w:proofErr w:type="gramEnd"/>
      <w:r w:rsidRPr="00B014A3">
        <w:rPr>
          <w:rFonts w:ascii="Arial" w:hAnsi="Arial"/>
        </w:rPr>
        <w:t>, however, that the Ministry never received the diamonds as touted to Mr De Jesus. Fu</w:t>
      </w:r>
      <w:r w:rsidR="00F7436C">
        <w:rPr>
          <w:rFonts w:ascii="Arial" w:hAnsi="Arial"/>
        </w:rPr>
        <w:t>rthermore, Lycia did not</w:t>
      </w:r>
      <w:r w:rsidRPr="00B014A3">
        <w:rPr>
          <w:rFonts w:ascii="Arial" w:hAnsi="Arial"/>
        </w:rPr>
        <w:t xml:space="preserve"> </w:t>
      </w:r>
      <w:r w:rsidR="00F7436C">
        <w:rPr>
          <w:rFonts w:ascii="Arial" w:hAnsi="Arial"/>
        </w:rPr>
        <w:t xml:space="preserve">eventually receive </w:t>
      </w:r>
      <w:r w:rsidRPr="00B014A3">
        <w:rPr>
          <w:rFonts w:ascii="Arial" w:hAnsi="Arial"/>
        </w:rPr>
        <w:t xml:space="preserve">the delivery of any diamonds, despite having made payment therefor and depositing funds into Mr </w:t>
      </w:r>
      <w:proofErr w:type="spellStart"/>
      <w:r w:rsidRPr="00B014A3">
        <w:rPr>
          <w:rFonts w:ascii="Arial" w:hAnsi="Arial"/>
        </w:rPr>
        <w:t>Kangonga’s</w:t>
      </w:r>
      <w:proofErr w:type="spellEnd"/>
      <w:r w:rsidRPr="00B014A3">
        <w:rPr>
          <w:rFonts w:ascii="Arial" w:hAnsi="Arial"/>
        </w:rPr>
        <w:t xml:space="preserve"> FNB account and </w:t>
      </w:r>
      <w:proofErr w:type="spellStart"/>
      <w:r w:rsidRPr="00B014A3">
        <w:rPr>
          <w:rFonts w:ascii="Arial" w:hAnsi="Arial"/>
        </w:rPr>
        <w:t>Cabino’s</w:t>
      </w:r>
      <w:proofErr w:type="spellEnd"/>
      <w:r w:rsidRPr="00B014A3">
        <w:rPr>
          <w:rFonts w:ascii="Arial" w:hAnsi="Arial"/>
        </w:rPr>
        <w:t xml:space="preserve"> FNB account as stated above.</w:t>
      </w:r>
      <w:r w:rsidR="00E8116A" w:rsidRPr="00B014A3">
        <w:rPr>
          <w:rFonts w:ascii="Arial" w:hAnsi="Arial"/>
        </w:rPr>
        <w:t xml:space="preserve"> It also became common cause that the Ministry does </w:t>
      </w:r>
      <w:r w:rsidR="00B66E39">
        <w:rPr>
          <w:rFonts w:ascii="Arial" w:hAnsi="Arial"/>
        </w:rPr>
        <w:t xml:space="preserve">not </w:t>
      </w:r>
      <w:r w:rsidR="00E8116A" w:rsidRPr="00B014A3">
        <w:rPr>
          <w:rFonts w:ascii="Arial" w:hAnsi="Arial"/>
        </w:rPr>
        <w:t xml:space="preserve">have any record of dealings with Mr </w:t>
      </w:r>
      <w:proofErr w:type="spellStart"/>
      <w:r w:rsidR="00E8116A" w:rsidRPr="00B014A3">
        <w:rPr>
          <w:rFonts w:ascii="Arial" w:hAnsi="Arial"/>
        </w:rPr>
        <w:t>Kangonga</w:t>
      </w:r>
      <w:proofErr w:type="spellEnd"/>
      <w:r w:rsidR="00E8116A" w:rsidRPr="00B014A3">
        <w:rPr>
          <w:rFonts w:ascii="Arial" w:hAnsi="Arial"/>
        </w:rPr>
        <w:t xml:space="preserve">, Mr </w:t>
      </w:r>
      <w:proofErr w:type="spellStart"/>
      <w:r w:rsidR="00E8116A" w:rsidRPr="00B014A3">
        <w:rPr>
          <w:rFonts w:ascii="Arial" w:hAnsi="Arial"/>
        </w:rPr>
        <w:t>Heita</w:t>
      </w:r>
      <w:proofErr w:type="spellEnd"/>
      <w:r w:rsidR="00E8116A" w:rsidRPr="00B014A3">
        <w:rPr>
          <w:rFonts w:ascii="Arial" w:hAnsi="Arial"/>
        </w:rPr>
        <w:t xml:space="preserve">, </w:t>
      </w:r>
      <w:proofErr w:type="spellStart"/>
      <w:r w:rsidR="00E8116A" w:rsidRPr="00B014A3">
        <w:rPr>
          <w:rFonts w:ascii="Arial" w:hAnsi="Arial"/>
        </w:rPr>
        <w:t>Cabino</w:t>
      </w:r>
      <w:proofErr w:type="spellEnd"/>
      <w:r w:rsidR="00E8116A" w:rsidRPr="00B014A3">
        <w:rPr>
          <w:rFonts w:ascii="Arial" w:hAnsi="Arial"/>
        </w:rPr>
        <w:t xml:space="preserve"> or Namibia </w:t>
      </w:r>
      <w:proofErr w:type="spellStart"/>
      <w:r w:rsidR="00E8116A" w:rsidRPr="00B014A3">
        <w:rPr>
          <w:rFonts w:ascii="Arial" w:hAnsi="Arial"/>
        </w:rPr>
        <w:t>Gemologist</w:t>
      </w:r>
      <w:proofErr w:type="spellEnd"/>
      <w:r w:rsidR="00E8116A" w:rsidRPr="00B014A3">
        <w:rPr>
          <w:rFonts w:ascii="Arial" w:hAnsi="Arial"/>
        </w:rPr>
        <w:t xml:space="preserve"> CC. It further </w:t>
      </w:r>
      <w:r w:rsidR="005F1117" w:rsidRPr="00B014A3">
        <w:rPr>
          <w:rFonts w:ascii="Arial" w:hAnsi="Arial"/>
        </w:rPr>
        <w:t>transpired</w:t>
      </w:r>
      <w:r w:rsidR="00E8116A" w:rsidRPr="00B014A3">
        <w:rPr>
          <w:rFonts w:ascii="Arial" w:hAnsi="Arial"/>
        </w:rPr>
        <w:t xml:space="preserve"> that Mr </w:t>
      </w:r>
      <w:proofErr w:type="spellStart"/>
      <w:r w:rsidR="00E8116A" w:rsidRPr="00B014A3">
        <w:rPr>
          <w:rFonts w:ascii="Arial" w:hAnsi="Arial"/>
        </w:rPr>
        <w:t>Kangonga</w:t>
      </w:r>
      <w:proofErr w:type="spellEnd"/>
      <w:r w:rsidR="00E8116A" w:rsidRPr="00B014A3">
        <w:rPr>
          <w:rFonts w:ascii="Arial" w:hAnsi="Arial"/>
        </w:rPr>
        <w:t>, is not a licensed diamond dealer in the terms of the relevant law</w:t>
      </w:r>
      <w:r w:rsidR="00B66E39">
        <w:rPr>
          <w:rFonts w:ascii="Arial" w:hAnsi="Arial"/>
        </w:rPr>
        <w:t xml:space="preserve"> of Namibia</w:t>
      </w:r>
      <w:r w:rsidR="00E8116A" w:rsidRPr="00B014A3">
        <w:rPr>
          <w:rFonts w:ascii="Arial" w:hAnsi="Arial"/>
        </w:rPr>
        <w:t>.</w:t>
      </w:r>
    </w:p>
    <w:p w14:paraId="6191EE39" w14:textId="77777777" w:rsidR="00B014A3" w:rsidRDefault="00B014A3" w:rsidP="00B014A3">
      <w:pPr>
        <w:pStyle w:val="ListParagraph"/>
        <w:spacing w:line="360" w:lineRule="auto"/>
        <w:ind w:left="0"/>
        <w:jc w:val="both"/>
        <w:rPr>
          <w:rFonts w:ascii="Arial" w:hAnsi="Arial"/>
        </w:rPr>
      </w:pPr>
    </w:p>
    <w:p w14:paraId="49197BC2" w14:textId="0FBA08AD" w:rsidR="00B014A3" w:rsidRDefault="00E8116A"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What did, however, transpire, was that Mr </w:t>
      </w:r>
      <w:proofErr w:type="spellStart"/>
      <w:r w:rsidRPr="00B014A3">
        <w:rPr>
          <w:rFonts w:ascii="Arial" w:hAnsi="Arial"/>
        </w:rPr>
        <w:t>Kangonga</w:t>
      </w:r>
      <w:proofErr w:type="spellEnd"/>
      <w:r w:rsidRPr="00B014A3">
        <w:rPr>
          <w:rFonts w:ascii="Arial" w:hAnsi="Arial"/>
        </w:rPr>
        <w:t xml:space="preserve"> did at some stage, apply for a diamond dealer’s licence via Namibia </w:t>
      </w:r>
      <w:proofErr w:type="spellStart"/>
      <w:r w:rsidRPr="00B014A3">
        <w:rPr>
          <w:rFonts w:ascii="Arial" w:hAnsi="Arial"/>
        </w:rPr>
        <w:t>Gemologist</w:t>
      </w:r>
      <w:proofErr w:type="spellEnd"/>
      <w:r w:rsidRPr="00B014A3">
        <w:rPr>
          <w:rFonts w:ascii="Arial" w:hAnsi="Arial"/>
        </w:rPr>
        <w:t xml:space="preserve"> CC. Pertinently, this was on</w:t>
      </w:r>
      <w:r w:rsidR="00B66E39">
        <w:rPr>
          <w:rFonts w:ascii="Arial" w:hAnsi="Arial"/>
        </w:rPr>
        <w:t>ly</w:t>
      </w:r>
      <w:r w:rsidRPr="00B014A3">
        <w:rPr>
          <w:rFonts w:ascii="Arial" w:hAnsi="Arial"/>
        </w:rPr>
        <w:t xml:space="preserve"> 17 December 2021</w:t>
      </w:r>
      <w:r w:rsidR="00580EC4" w:rsidRPr="00B014A3">
        <w:rPr>
          <w:rFonts w:ascii="Arial" w:hAnsi="Arial"/>
        </w:rPr>
        <w:t>, whic</w:t>
      </w:r>
      <w:r w:rsidR="00AF6B09" w:rsidRPr="00B014A3">
        <w:rPr>
          <w:rFonts w:ascii="Arial" w:hAnsi="Arial"/>
        </w:rPr>
        <w:t>h was after the preservation order was granted by this court on 11 November 2021.</w:t>
      </w:r>
    </w:p>
    <w:p w14:paraId="35C1BBF7" w14:textId="77777777" w:rsidR="00F7436C" w:rsidRPr="00F7436C" w:rsidRDefault="00F7436C" w:rsidP="00F7436C">
      <w:pPr>
        <w:pStyle w:val="ListParagraph"/>
        <w:rPr>
          <w:rFonts w:ascii="Arial" w:hAnsi="Arial"/>
        </w:rPr>
      </w:pPr>
    </w:p>
    <w:p w14:paraId="58CA9EFA" w14:textId="23AC3332" w:rsidR="00B014A3" w:rsidRPr="00F7436C" w:rsidRDefault="00580EC4" w:rsidP="00F7436C">
      <w:pPr>
        <w:pStyle w:val="ListParagraph"/>
        <w:numPr>
          <w:ilvl w:val="0"/>
          <w:numId w:val="5"/>
        </w:numPr>
        <w:spacing w:line="360" w:lineRule="auto"/>
        <w:ind w:left="0" w:firstLine="0"/>
        <w:jc w:val="both"/>
        <w:rPr>
          <w:rFonts w:ascii="Arial" w:hAnsi="Arial"/>
        </w:rPr>
      </w:pPr>
      <w:r w:rsidRPr="00F7436C">
        <w:rPr>
          <w:rFonts w:ascii="Arial" w:hAnsi="Arial"/>
        </w:rPr>
        <w:t>It must be recalled that s 61 of the Act, in terms of whic</w:t>
      </w:r>
      <w:r w:rsidR="00B66E39">
        <w:rPr>
          <w:rFonts w:ascii="Arial" w:hAnsi="Arial"/>
        </w:rPr>
        <w:t>h this application is must be decided</w:t>
      </w:r>
      <w:r w:rsidRPr="00F7436C">
        <w:rPr>
          <w:rFonts w:ascii="Arial" w:hAnsi="Arial"/>
        </w:rPr>
        <w:t>, states that this court ‘must’, subject to s 63, make a forfeiture of property order if the property concerned is, on a balance of probabilities (a) an instrumentality of an offence or intended instrumentality of an offence referred to in s 1 of the Act, or is (b) proceeds of unlawful activities or (c) is an unexplained asset.</w:t>
      </w:r>
    </w:p>
    <w:p w14:paraId="270300CC" w14:textId="77777777" w:rsidR="00B014A3" w:rsidRDefault="00B014A3" w:rsidP="00B014A3">
      <w:pPr>
        <w:pStyle w:val="ListParagraph"/>
        <w:spacing w:line="360" w:lineRule="auto"/>
        <w:ind w:left="0"/>
        <w:jc w:val="both"/>
        <w:rPr>
          <w:rFonts w:ascii="Arial" w:hAnsi="Arial"/>
        </w:rPr>
      </w:pPr>
    </w:p>
    <w:p w14:paraId="23B3308A" w14:textId="616C4D59" w:rsidR="00B014A3" w:rsidRDefault="00580EC4" w:rsidP="00F102A7">
      <w:pPr>
        <w:pStyle w:val="ListParagraph"/>
        <w:numPr>
          <w:ilvl w:val="0"/>
          <w:numId w:val="5"/>
        </w:numPr>
        <w:spacing w:line="360" w:lineRule="auto"/>
        <w:ind w:left="0" w:firstLine="0"/>
        <w:jc w:val="both"/>
        <w:rPr>
          <w:rFonts w:ascii="Arial" w:hAnsi="Arial"/>
        </w:rPr>
      </w:pPr>
      <w:r w:rsidRPr="00B014A3">
        <w:rPr>
          <w:rFonts w:ascii="Arial" w:hAnsi="Arial"/>
        </w:rPr>
        <w:t>It is the PG’s submission that on a proper analysis and consideration of the facts in this matter, as</w:t>
      </w:r>
      <w:r w:rsidR="002E7D33">
        <w:rPr>
          <w:rFonts w:ascii="Arial" w:hAnsi="Arial"/>
        </w:rPr>
        <w:t xml:space="preserve"> captured </w:t>
      </w:r>
      <w:proofErr w:type="gramStart"/>
      <w:r w:rsidR="002E7D33">
        <w:rPr>
          <w:rFonts w:ascii="Arial" w:hAnsi="Arial"/>
        </w:rPr>
        <w:t>in  para</w:t>
      </w:r>
      <w:proofErr w:type="gramEnd"/>
      <w:r w:rsidR="002E7D33">
        <w:rPr>
          <w:rFonts w:ascii="Arial" w:hAnsi="Arial"/>
        </w:rPr>
        <w:t xml:space="preserve"> 27 to</w:t>
      </w:r>
      <w:r w:rsidR="00B66E39">
        <w:rPr>
          <w:rFonts w:ascii="Arial" w:hAnsi="Arial"/>
        </w:rPr>
        <w:t xml:space="preserve"> 33,</w:t>
      </w:r>
      <w:r w:rsidRPr="00B014A3">
        <w:rPr>
          <w:rFonts w:ascii="Arial" w:hAnsi="Arial"/>
        </w:rPr>
        <w:t xml:space="preserve"> the property in </w:t>
      </w:r>
      <w:r w:rsidR="005B536F" w:rsidRPr="00B014A3">
        <w:rPr>
          <w:rFonts w:ascii="Arial" w:hAnsi="Arial"/>
        </w:rPr>
        <w:t xml:space="preserve">question in this matter, is, on a balance of probability, </w:t>
      </w:r>
      <w:r w:rsidRPr="00B014A3">
        <w:rPr>
          <w:rFonts w:ascii="Arial" w:hAnsi="Arial"/>
        </w:rPr>
        <w:t xml:space="preserve">either an instrumentality of an offence </w:t>
      </w:r>
      <w:r w:rsidR="005B536F" w:rsidRPr="00B014A3">
        <w:rPr>
          <w:rFonts w:ascii="Arial" w:hAnsi="Arial"/>
        </w:rPr>
        <w:t xml:space="preserve">as spelt out in s 1 </w:t>
      </w:r>
      <w:r w:rsidRPr="00B014A3">
        <w:rPr>
          <w:rFonts w:ascii="Arial" w:hAnsi="Arial"/>
        </w:rPr>
        <w:t>or is proceeds of unlawful activities.</w:t>
      </w:r>
    </w:p>
    <w:p w14:paraId="0DB9B49D" w14:textId="77777777" w:rsidR="00B014A3" w:rsidRDefault="00B014A3" w:rsidP="00B014A3">
      <w:pPr>
        <w:pStyle w:val="ListParagraph"/>
        <w:spacing w:line="360" w:lineRule="auto"/>
        <w:ind w:left="0"/>
        <w:jc w:val="both"/>
        <w:rPr>
          <w:rFonts w:ascii="Arial" w:hAnsi="Arial"/>
        </w:rPr>
      </w:pPr>
    </w:p>
    <w:p w14:paraId="2925B4C3" w14:textId="77777777" w:rsidR="00B014A3" w:rsidRDefault="005B536F" w:rsidP="00F102A7">
      <w:pPr>
        <w:pStyle w:val="ListParagraph"/>
        <w:numPr>
          <w:ilvl w:val="0"/>
          <w:numId w:val="5"/>
        </w:numPr>
        <w:spacing w:line="360" w:lineRule="auto"/>
        <w:ind w:left="0" w:firstLine="0"/>
        <w:jc w:val="both"/>
        <w:rPr>
          <w:rFonts w:ascii="Arial" w:hAnsi="Arial"/>
        </w:rPr>
      </w:pPr>
      <w:r w:rsidRPr="00B014A3">
        <w:rPr>
          <w:rFonts w:ascii="Arial" w:hAnsi="Arial"/>
        </w:rPr>
        <w:lastRenderedPageBreak/>
        <w:t>I am of the considered view that when proper regard is had to the facts stated in paras 27 to 33 above, the conclusion that the property in question is on the balance of probabilities the proceeds of unlawful activities or instrumentality of an offence, irresistible. In this regard, I choose to deal with the allegation that the property in question constitutes the proceeds of unlawful activities on a balance of probabilities.</w:t>
      </w:r>
    </w:p>
    <w:p w14:paraId="2740D267" w14:textId="77777777" w:rsidR="00B014A3" w:rsidRDefault="00B014A3" w:rsidP="00B014A3">
      <w:pPr>
        <w:pStyle w:val="ListParagraph"/>
        <w:spacing w:line="360" w:lineRule="auto"/>
        <w:ind w:left="0"/>
        <w:jc w:val="both"/>
        <w:rPr>
          <w:rFonts w:ascii="Arial" w:hAnsi="Arial"/>
        </w:rPr>
      </w:pPr>
    </w:p>
    <w:p w14:paraId="2EA1AD9D" w14:textId="03D95378" w:rsidR="00B014A3" w:rsidRDefault="005B536F"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First, it is clear that the whole scenario, as stated above, appears to show that Messrs </w:t>
      </w:r>
      <w:proofErr w:type="spellStart"/>
      <w:r w:rsidRPr="00B014A3">
        <w:rPr>
          <w:rFonts w:ascii="Arial" w:hAnsi="Arial"/>
        </w:rPr>
        <w:t>Kangonga</w:t>
      </w:r>
      <w:proofErr w:type="spellEnd"/>
      <w:r w:rsidRPr="00B014A3">
        <w:rPr>
          <w:rFonts w:ascii="Arial" w:hAnsi="Arial"/>
        </w:rPr>
        <w:t xml:space="preserve">, </w:t>
      </w:r>
      <w:proofErr w:type="spellStart"/>
      <w:r w:rsidR="003579B4" w:rsidRPr="00B014A3">
        <w:rPr>
          <w:rFonts w:ascii="Arial" w:hAnsi="Arial"/>
        </w:rPr>
        <w:t>Heita</w:t>
      </w:r>
      <w:proofErr w:type="spellEnd"/>
      <w:r w:rsidRPr="00B014A3">
        <w:rPr>
          <w:rFonts w:ascii="Arial" w:hAnsi="Arial"/>
        </w:rPr>
        <w:t xml:space="preserve"> and </w:t>
      </w:r>
      <w:proofErr w:type="spellStart"/>
      <w:r w:rsidRPr="00B014A3">
        <w:rPr>
          <w:rFonts w:ascii="Arial" w:hAnsi="Arial"/>
        </w:rPr>
        <w:t>Hamupolo</w:t>
      </w:r>
      <w:proofErr w:type="spellEnd"/>
      <w:r w:rsidRPr="00B014A3">
        <w:rPr>
          <w:rFonts w:ascii="Arial" w:hAnsi="Arial"/>
        </w:rPr>
        <w:t xml:space="preserve">, in a concerted effort, set out on an enterprise to lure unsuspecting individuals into believing that they were involved in legitimate business of selling diamonds in Namibia. Mr </w:t>
      </w:r>
      <w:proofErr w:type="spellStart"/>
      <w:r w:rsidRPr="00B014A3">
        <w:rPr>
          <w:rFonts w:ascii="Arial" w:hAnsi="Arial"/>
        </w:rPr>
        <w:t>Kangonga</w:t>
      </w:r>
      <w:proofErr w:type="spellEnd"/>
      <w:r w:rsidRPr="00B014A3">
        <w:rPr>
          <w:rFonts w:ascii="Arial" w:hAnsi="Arial"/>
        </w:rPr>
        <w:t xml:space="preserve">, was, in this connection, held out to have been a certified and qualified </w:t>
      </w:r>
      <w:proofErr w:type="spellStart"/>
      <w:r w:rsidRPr="005F1117">
        <w:rPr>
          <w:rFonts w:ascii="Arial" w:hAnsi="Arial"/>
          <w:color w:val="000000" w:themeColor="text1"/>
        </w:rPr>
        <w:t>gemologist</w:t>
      </w:r>
      <w:proofErr w:type="spellEnd"/>
      <w:r w:rsidRPr="005F1117">
        <w:rPr>
          <w:rFonts w:ascii="Arial" w:hAnsi="Arial"/>
          <w:color w:val="000000" w:themeColor="text1"/>
        </w:rPr>
        <w:t>.</w:t>
      </w:r>
    </w:p>
    <w:p w14:paraId="6691E31C" w14:textId="77777777" w:rsidR="00B014A3" w:rsidRDefault="00B014A3" w:rsidP="00B014A3">
      <w:pPr>
        <w:pStyle w:val="ListParagraph"/>
        <w:spacing w:line="360" w:lineRule="auto"/>
        <w:ind w:left="0"/>
        <w:jc w:val="both"/>
        <w:rPr>
          <w:rFonts w:ascii="Arial" w:hAnsi="Arial"/>
        </w:rPr>
      </w:pPr>
    </w:p>
    <w:p w14:paraId="5B951F74" w14:textId="6AA9D7FA" w:rsidR="00B014A3" w:rsidRDefault="005B536F"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Lycia, through its representatives, fell for the </w:t>
      </w:r>
      <w:r w:rsidR="00B014A3" w:rsidRPr="00B014A3">
        <w:rPr>
          <w:rFonts w:ascii="Arial" w:hAnsi="Arial"/>
        </w:rPr>
        <w:t>bait. In</w:t>
      </w:r>
      <w:r w:rsidRPr="00B014A3">
        <w:rPr>
          <w:rFonts w:ascii="Arial" w:hAnsi="Arial"/>
        </w:rPr>
        <w:t xml:space="preserve"> this regard, they parted with a substantial amount in the excess of N$7 million, believing that they were purchasing diamonds. It would appear that Mr De Jesus, Lycia’s representative, was shown the diamonds and they were kept in his custody, until a scheme of d</w:t>
      </w:r>
      <w:r w:rsidR="00B66E39">
        <w:rPr>
          <w:rFonts w:ascii="Arial" w:hAnsi="Arial"/>
        </w:rPr>
        <w:t>eception was perpetrated on him,</w:t>
      </w:r>
      <w:r w:rsidRPr="00B014A3">
        <w:rPr>
          <w:rFonts w:ascii="Arial" w:hAnsi="Arial"/>
        </w:rPr>
        <w:t xml:space="preserve"> after the money had been paid to the schemers, </w:t>
      </w:r>
      <w:r w:rsidR="004918A7" w:rsidRPr="00B014A3">
        <w:rPr>
          <w:rFonts w:ascii="Arial" w:hAnsi="Arial"/>
        </w:rPr>
        <w:t xml:space="preserve">to the effect that the diamonds were to be taken to the Ministry of Mines as a procedural requirement. This ‘standard requirement’ was confirmed by Mr </w:t>
      </w:r>
      <w:proofErr w:type="spellStart"/>
      <w:r w:rsidR="004918A7" w:rsidRPr="00B014A3">
        <w:rPr>
          <w:rFonts w:ascii="Arial" w:hAnsi="Arial"/>
        </w:rPr>
        <w:t>Hamupolo</w:t>
      </w:r>
      <w:proofErr w:type="spellEnd"/>
      <w:r w:rsidR="004918A7" w:rsidRPr="00B014A3">
        <w:rPr>
          <w:rFonts w:ascii="Arial" w:hAnsi="Arial"/>
        </w:rPr>
        <w:t xml:space="preserve"> and that is how Mr De Jesus</w:t>
      </w:r>
      <w:r w:rsidR="00B66E39">
        <w:rPr>
          <w:rFonts w:ascii="Arial" w:hAnsi="Arial"/>
        </w:rPr>
        <w:t xml:space="preserve"> in good faith, it would seem,</w:t>
      </w:r>
      <w:r w:rsidR="004918A7" w:rsidRPr="00B014A3">
        <w:rPr>
          <w:rFonts w:ascii="Arial" w:hAnsi="Arial"/>
        </w:rPr>
        <w:t xml:space="preserve"> parted with the diamonds, having previously parted with the money paid therefor.</w:t>
      </w:r>
    </w:p>
    <w:p w14:paraId="1749426C" w14:textId="77777777" w:rsidR="00B014A3" w:rsidRDefault="00B014A3" w:rsidP="00B014A3">
      <w:pPr>
        <w:pStyle w:val="ListParagraph"/>
        <w:spacing w:line="360" w:lineRule="auto"/>
        <w:ind w:left="0"/>
        <w:jc w:val="both"/>
        <w:rPr>
          <w:rFonts w:ascii="Arial" w:hAnsi="Arial"/>
        </w:rPr>
      </w:pPr>
    </w:p>
    <w:p w14:paraId="4889DABB" w14:textId="045B964A" w:rsidR="00B014A3" w:rsidRDefault="004918A7" w:rsidP="00F102A7">
      <w:pPr>
        <w:pStyle w:val="ListParagraph"/>
        <w:numPr>
          <w:ilvl w:val="0"/>
          <w:numId w:val="5"/>
        </w:numPr>
        <w:spacing w:line="360" w:lineRule="auto"/>
        <w:ind w:left="0" w:firstLine="0"/>
        <w:jc w:val="both"/>
        <w:rPr>
          <w:rFonts w:ascii="Arial" w:hAnsi="Arial"/>
        </w:rPr>
      </w:pPr>
      <w:r w:rsidRPr="00B014A3">
        <w:rPr>
          <w:rFonts w:ascii="Arial" w:hAnsi="Arial"/>
        </w:rPr>
        <w:t xml:space="preserve">I am of the considered opinion that on a balance of probabilities, the crime of theft, alternatively fraud, was perpetrated on Lycia, through its representative, Mr De Jesus. The diamonds in Mr De Jesus’ possession were spirited away from him under the pretext that they were being taken to the Ministry for some procedural requirements, when that was not the case. The Ministry, it is common </w:t>
      </w:r>
      <w:proofErr w:type="gramStart"/>
      <w:r w:rsidRPr="00B014A3">
        <w:rPr>
          <w:rFonts w:ascii="Arial" w:hAnsi="Arial"/>
        </w:rPr>
        <w:t>cause</w:t>
      </w:r>
      <w:proofErr w:type="gramEnd"/>
      <w:r w:rsidRPr="00B014A3">
        <w:rPr>
          <w:rFonts w:ascii="Arial" w:hAnsi="Arial"/>
        </w:rPr>
        <w:t>, never received or had any record or trail of these diamonds. The fact of the matter is that Lycia parted both with the money for the diamonds and also with the diamonds themselves, either through theft and/or fraud. I find this to be the case on a balance of probabil</w:t>
      </w:r>
      <w:r w:rsidR="00B66E39">
        <w:rPr>
          <w:rFonts w:ascii="Arial" w:hAnsi="Arial"/>
        </w:rPr>
        <w:t>ities</w:t>
      </w:r>
      <w:r w:rsidRPr="00B014A3">
        <w:rPr>
          <w:rFonts w:ascii="Arial" w:hAnsi="Arial"/>
        </w:rPr>
        <w:t>.</w:t>
      </w:r>
    </w:p>
    <w:p w14:paraId="6A73E8CA" w14:textId="77777777" w:rsidR="00B014A3" w:rsidRDefault="00B014A3" w:rsidP="00B014A3">
      <w:pPr>
        <w:pStyle w:val="ListParagraph"/>
        <w:spacing w:line="360" w:lineRule="auto"/>
        <w:ind w:left="0"/>
        <w:jc w:val="both"/>
        <w:rPr>
          <w:rFonts w:ascii="Arial" w:hAnsi="Arial"/>
        </w:rPr>
      </w:pPr>
    </w:p>
    <w:p w14:paraId="4931939D" w14:textId="15B57D56" w:rsidR="004918A7" w:rsidRPr="00B014A3" w:rsidRDefault="004918A7" w:rsidP="00F102A7">
      <w:pPr>
        <w:pStyle w:val="ListParagraph"/>
        <w:numPr>
          <w:ilvl w:val="0"/>
          <w:numId w:val="5"/>
        </w:numPr>
        <w:spacing w:line="360" w:lineRule="auto"/>
        <w:ind w:left="0" w:firstLine="0"/>
        <w:jc w:val="both"/>
        <w:rPr>
          <w:rFonts w:ascii="Arial" w:hAnsi="Arial"/>
        </w:rPr>
      </w:pPr>
      <w:r w:rsidRPr="00B014A3">
        <w:rPr>
          <w:rFonts w:ascii="Arial" w:hAnsi="Arial"/>
        </w:rPr>
        <w:t>Secondly, it appears to me, again o</w:t>
      </w:r>
      <w:r w:rsidR="00B66E39">
        <w:rPr>
          <w:rFonts w:ascii="Arial" w:hAnsi="Arial"/>
        </w:rPr>
        <w:t>n a preponderance of probabilities</w:t>
      </w:r>
      <w:r w:rsidRPr="00B014A3">
        <w:rPr>
          <w:rFonts w:ascii="Arial" w:hAnsi="Arial"/>
        </w:rPr>
        <w:t>, that the transaction recounted above, was committed in violation of the provisions of the Diamond Act. Section 30(1)(</w:t>
      </w:r>
      <w:r w:rsidRPr="00B014A3">
        <w:rPr>
          <w:rFonts w:ascii="Arial" w:hAnsi="Arial"/>
          <w:i/>
        </w:rPr>
        <w:t>c</w:t>
      </w:r>
      <w:r w:rsidRPr="00B014A3">
        <w:rPr>
          <w:rFonts w:ascii="Arial" w:hAnsi="Arial"/>
        </w:rPr>
        <w:t>)</w:t>
      </w:r>
      <w:r w:rsidR="00D67EDA">
        <w:rPr>
          <w:rFonts w:ascii="Arial" w:hAnsi="Arial"/>
        </w:rPr>
        <w:t xml:space="preserve"> and </w:t>
      </w:r>
      <w:r w:rsidRPr="00B014A3">
        <w:rPr>
          <w:rFonts w:ascii="Arial" w:hAnsi="Arial"/>
        </w:rPr>
        <w:t>(</w:t>
      </w:r>
      <w:r w:rsidRPr="00B014A3">
        <w:rPr>
          <w:rFonts w:ascii="Arial" w:hAnsi="Arial"/>
          <w:i/>
        </w:rPr>
        <w:t>d</w:t>
      </w:r>
      <w:r w:rsidRPr="00B014A3">
        <w:rPr>
          <w:rFonts w:ascii="Arial" w:hAnsi="Arial"/>
        </w:rPr>
        <w:t>) of the said Act, when read with s 30(2) thereof, provide the following:</w:t>
      </w:r>
    </w:p>
    <w:p w14:paraId="1C0D2E91" w14:textId="77777777" w:rsidR="004918A7" w:rsidRDefault="004918A7" w:rsidP="00F102A7">
      <w:pPr>
        <w:spacing w:line="360" w:lineRule="auto"/>
        <w:jc w:val="both"/>
        <w:rPr>
          <w:rFonts w:ascii="Arial" w:hAnsi="Arial"/>
        </w:rPr>
      </w:pPr>
    </w:p>
    <w:p w14:paraId="36C9A998" w14:textId="6CF537FA" w:rsidR="002F7FFC" w:rsidRDefault="004918A7" w:rsidP="00F102A7">
      <w:pPr>
        <w:spacing w:line="360" w:lineRule="auto"/>
        <w:jc w:val="both"/>
        <w:rPr>
          <w:rFonts w:ascii="Arial" w:hAnsi="Arial"/>
          <w:sz w:val="22"/>
          <w:szCs w:val="22"/>
        </w:rPr>
      </w:pPr>
      <w:r>
        <w:rPr>
          <w:rFonts w:ascii="Arial" w:hAnsi="Arial"/>
        </w:rPr>
        <w:tab/>
        <w:t>‘</w:t>
      </w:r>
      <w:r>
        <w:rPr>
          <w:rFonts w:ascii="Arial" w:hAnsi="Arial"/>
          <w:sz w:val="22"/>
          <w:szCs w:val="22"/>
        </w:rPr>
        <w:t xml:space="preserve">(1) Save as is otherwise provided in this Act, no person shall have any unpolished diamond in his or her possession unless such person is </w:t>
      </w:r>
      <w:r w:rsidR="002F7FFC">
        <w:rPr>
          <w:rFonts w:ascii="Arial" w:hAnsi="Arial"/>
          <w:sz w:val="22"/>
          <w:szCs w:val="22"/>
        </w:rPr>
        <w:t>–</w:t>
      </w:r>
    </w:p>
    <w:p w14:paraId="167159AC" w14:textId="77777777" w:rsidR="002F7FFC" w:rsidRDefault="002F7FFC" w:rsidP="00F102A7">
      <w:pPr>
        <w:spacing w:line="360" w:lineRule="auto"/>
        <w:jc w:val="both"/>
        <w:rPr>
          <w:rFonts w:ascii="Arial" w:hAnsi="Arial"/>
          <w:sz w:val="22"/>
          <w:szCs w:val="22"/>
        </w:rPr>
      </w:pPr>
      <w:r>
        <w:rPr>
          <w:rFonts w:ascii="Arial" w:hAnsi="Arial"/>
          <w:sz w:val="22"/>
          <w:szCs w:val="22"/>
        </w:rPr>
        <w:t>*</w:t>
      </w:r>
    </w:p>
    <w:p w14:paraId="6730D2DC" w14:textId="77777777" w:rsidR="002F7FFC" w:rsidRDefault="002F7FFC" w:rsidP="00F102A7">
      <w:pPr>
        <w:spacing w:line="360" w:lineRule="auto"/>
        <w:jc w:val="both"/>
        <w:rPr>
          <w:rFonts w:ascii="Arial" w:hAnsi="Arial"/>
          <w:sz w:val="22"/>
          <w:szCs w:val="22"/>
        </w:rPr>
      </w:pPr>
      <w:r>
        <w:rPr>
          <w:rFonts w:ascii="Arial" w:hAnsi="Arial"/>
          <w:sz w:val="22"/>
          <w:szCs w:val="22"/>
        </w:rPr>
        <w:t>*</w:t>
      </w:r>
    </w:p>
    <w:p w14:paraId="57B15A32" w14:textId="77777777" w:rsidR="002F7FFC" w:rsidRDefault="002F7FFC" w:rsidP="00F102A7">
      <w:pPr>
        <w:spacing w:line="360" w:lineRule="auto"/>
        <w:jc w:val="both"/>
        <w:rPr>
          <w:rFonts w:ascii="Arial" w:hAnsi="Arial"/>
          <w:sz w:val="22"/>
          <w:szCs w:val="22"/>
        </w:rPr>
      </w:pPr>
      <w:r>
        <w:rPr>
          <w:rFonts w:ascii="Arial" w:hAnsi="Arial"/>
          <w:sz w:val="22"/>
          <w:szCs w:val="22"/>
        </w:rPr>
        <w:t xml:space="preserve">(c) </w:t>
      </w:r>
      <w:proofErr w:type="gramStart"/>
      <w:r>
        <w:rPr>
          <w:rFonts w:ascii="Arial" w:hAnsi="Arial"/>
          <w:sz w:val="22"/>
          <w:szCs w:val="22"/>
        </w:rPr>
        <w:t>a</w:t>
      </w:r>
      <w:proofErr w:type="gramEnd"/>
      <w:r>
        <w:rPr>
          <w:rFonts w:ascii="Arial" w:hAnsi="Arial"/>
          <w:sz w:val="22"/>
          <w:szCs w:val="22"/>
        </w:rPr>
        <w:t xml:space="preserve"> licensee;</w:t>
      </w:r>
    </w:p>
    <w:p w14:paraId="4BFFF382" w14:textId="77777777" w:rsidR="002F7FFC" w:rsidRDefault="002F7FFC" w:rsidP="00F102A7">
      <w:pPr>
        <w:spacing w:line="360" w:lineRule="auto"/>
        <w:jc w:val="both"/>
        <w:rPr>
          <w:rFonts w:ascii="Arial" w:hAnsi="Arial"/>
          <w:sz w:val="22"/>
          <w:szCs w:val="22"/>
        </w:rPr>
      </w:pPr>
      <w:r>
        <w:rPr>
          <w:rFonts w:ascii="Arial" w:hAnsi="Arial"/>
          <w:sz w:val="22"/>
          <w:szCs w:val="22"/>
        </w:rPr>
        <w:t xml:space="preserve">(d) in respect of that diamond </w:t>
      </w:r>
      <w:r w:rsidR="004918A7">
        <w:rPr>
          <w:rFonts w:ascii="Arial" w:hAnsi="Arial"/>
          <w:sz w:val="22"/>
          <w:szCs w:val="22"/>
        </w:rPr>
        <w:t>the</w:t>
      </w:r>
      <w:r>
        <w:rPr>
          <w:rFonts w:ascii="Arial" w:hAnsi="Arial"/>
          <w:sz w:val="22"/>
          <w:szCs w:val="22"/>
        </w:rPr>
        <w:t xml:space="preserve"> holder of a permit referred to in section 27(</w:t>
      </w:r>
      <w:r>
        <w:rPr>
          <w:rFonts w:ascii="Arial" w:hAnsi="Arial"/>
          <w:i/>
          <w:sz w:val="22"/>
          <w:szCs w:val="22"/>
        </w:rPr>
        <w:t>a</w:t>
      </w:r>
      <w:r>
        <w:rPr>
          <w:rFonts w:ascii="Arial" w:hAnsi="Arial"/>
          <w:sz w:val="22"/>
          <w:szCs w:val="22"/>
        </w:rPr>
        <w:t>), (</w:t>
      </w:r>
      <w:r>
        <w:rPr>
          <w:rFonts w:ascii="Arial" w:hAnsi="Arial"/>
          <w:i/>
          <w:sz w:val="22"/>
          <w:szCs w:val="22"/>
        </w:rPr>
        <w:t>b</w:t>
      </w:r>
      <w:r>
        <w:rPr>
          <w:rFonts w:ascii="Arial" w:hAnsi="Arial"/>
          <w:sz w:val="22"/>
          <w:szCs w:val="22"/>
        </w:rPr>
        <w:t>), (</w:t>
      </w:r>
      <w:r>
        <w:rPr>
          <w:rFonts w:ascii="Arial" w:hAnsi="Arial"/>
          <w:i/>
          <w:sz w:val="22"/>
          <w:szCs w:val="22"/>
        </w:rPr>
        <w:t xml:space="preserve">c) </w:t>
      </w:r>
      <w:r>
        <w:rPr>
          <w:rFonts w:ascii="Arial" w:hAnsi="Arial"/>
          <w:sz w:val="22"/>
          <w:szCs w:val="22"/>
        </w:rPr>
        <w:t>(</w:t>
      </w:r>
      <w:r>
        <w:rPr>
          <w:rFonts w:ascii="Arial" w:hAnsi="Arial"/>
          <w:i/>
          <w:sz w:val="22"/>
          <w:szCs w:val="22"/>
        </w:rPr>
        <w:t>d</w:t>
      </w:r>
      <w:r>
        <w:rPr>
          <w:rFonts w:ascii="Arial" w:hAnsi="Arial"/>
          <w:sz w:val="22"/>
          <w:szCs w:val="22"/>
        </w:rPr>
        <w:t>), (</w:t>
      </w:r>
      <w:r>
        <w:rPr>
          <w:rFonts w:ascii="Arial" w:hAnsi="Arial"/>
          <w:i/>
          <w:sz w:val="22"/>
          <w:szCs w:val="22"/>
        </w:rPr>
        <w:t>e</w:t>
      </w:r>
      <w:r>
        <w:rPr>
          <w:rFonts w:ascii="Arial" w:hAnsi="Arial"/>
          <w:sz w:val="22"/>
          <w:szCs w:val="22"/>
        </w:rPr>
        <w:t>) or (f); or</w:t>
      </w:r>
    </w:p>
    <w:p w14:paraId="658E3CF8" w14:textId="77777777" w:rsidR="002F7FFC" w:rsidRDefault="002F7FFC" w:rsidP="00F102A7">
      <w:pPr>
        <w:spacing w:line="360" w:lineRule="auto"/>
        <w:jc w:val="both"/>
        <w:rPr>
          <w:rFonts w:ascii="Arial" w:hAnsi="Arial"/>
          <w:sz w:val="22"/>
          <w:szCs w:val="22"/>
        </w:rPr>
      </w:pPr>
      <w:r>
        <w:rPr>
          <w:rFonts w:ascii="Arial" w:hAnsi="Arial"/>
          <w:sz w:val="22"/>
          <w:szCs w:val="22"/>
        </w:rPr>
        <w:t>(e) in possession of that diamond while acting in the course and scope of or in the execution of a lawful agreement to which any person referred to in paragraph (a), (b), (c) or (d) is a party, proof of which shall be on such first mentioned person.’</w:t>
      </w:r>
    </w:p>
    <w:p w14:paraId="70C8DBD0" w14:textId="77777777" w:rsidR="002F7FFC" w:rsidRDefault="002F7FFC" w:rsidP="00F102A7">
      <w:pPr>
        <w:spacing w:line="360" w:lineRule="auto"/>
        <w:jc w:val="both"/>
        <w:rPr>
          <w:rFonts w:ascii="Arial" w:hAnsi="Arial"/>
          <w:sz w:val="22"/>
          <w:szCs w:val="22"/>
        </w:rPr>
      </w:pPr>
    </w:p>
    <w:p w14:paraId="4135F064" w14:textId="7BB679CD" w:rsidR="004918A7" w:rsidRPr="00B014A3" w:rsidRDefault="002F7FFC" w:rsidP="00B014A3">
      <w:pPr>
        <w:pStyle w:val="ListParagraph"/>
        <w:numPr>
          <w:ilvl w:val="0"/>
          <w:numId w:val="5"/>
        </w:numPr>
        <w:spacing w:line="360" w:lineRule="auto"/>
        <w:ind w:left="0" w:firstLine="0"/>
        <w:jc w:val="both"/>
        <w:rPr>
          <w:rFonts w:ascii="Arial" w:hAnsi="Arial"/>
        </w:rPr>
      </w:pPr>
      <w:r w:rsidRPr="00B014A3">
        <w:rPr>
          <w:rFonts w:ascii="Arial" w:hAnsi="Arial"/>
        </w:rPr>
        <w:t>Section 31(1)(</w:t>
      </w:r>
      <w:r w:rsidRPr="00B014A3">
        <w:rPr>
          <w:rFonts w:ascii="Arial" w:hAnsi="Arial"/>
          <w:i/>
        </w:rPr>
        <w:t>c</w:t>
      </w:r>
      <w:r w:rsidRPr="00B014A3">
        <w:rPr>
          <w:rFonts w:ascii="Arial" w:hAnsi="Arial"/>
        </w:rPr>
        <w:t>), (</w:t>
      </w:r>
      <w:r w:rsidRPr="00B014A3">
        <w:rPr>
          <w:rFonts w:ascii="Arial" w:hAnsi="Arial"/>
          <w:i/>
        </w:rPr>
        <w:t>d</w:t>
      </w:r>
      <w:r w:rsidRPr="00B014A3">
        <w:rPr>
          <w:rFonts w:ascii="Arial" w:hAnsi="Arial"/>
        </w:rPr>
        <w:t>)</w:t>
      </w:r>
      <w:r w:rsidR="004918A7" w:rsidRPr="00B014A3">
        <w:rPr>
          <w:rFonts w:ascii="Arial" w:hAnsi="Arial"/>
        </w:rPr>
        <w:t xml:space="preserve"> </w:t>
      </w:r>
      <w:r w:rsidRPr="00B014A3">
        <w:rPr>
          <w:rFonts w:ascii="Arial" w:hAnsi="Arial"/>
        </w:rPr>
        <w:t>and (</w:t>
      </w:r>
      <w:r w:rsidRPr="00B014A3">
        <w:rPr>
          <w:rFonts w:ascii="Arial" w:hAnsi="Arial"/>
          <w:i/>
        </w:rPr>
        <w:t>e</w:t>
      </w:r>
      <w:r w:rsidRPr="00B014A3">
        <w:rPr>
          <w:rFonts w:ascii="Arial" w:hAnsi="Arial"/>
        </w:rPr>
        <w:t xml:space="preserve">) of the Diamond Act, provides the following: </w:t>
      </w:r>
    </w:p>
    <w:p w14:paraId="7D68F255" w14:textId="77777777" w:rsidR="002F7FFC" w:rsidRDefault="002F7FFC" w:rsidP="00F102A7">
      <w:pPr>
        <w:spacing w:line="360" w:lineRule="auto"/>
        <w:jc w:val="both"/>
        <w:rPr>
          <w:rFonts w:ascii="Arial" w:hAnsi="Arial"/>
        </w:rPr>
      </w:pPr>
    </w:p>
    <w:p w14:paraId="3E2596D3" w14:textId="309D2B54" w:rsidR="002F7FFC" w:rsidRDefault="002F7FFC" w:rsidP="00F102A7">
      <w:pPr>
        <w:spacing w:line="360" w:lineRule="auto"/>
        <w:jc w:val="both"/>
        <w:rPr>
          <w:rFonts w:ascii="Arial" w:hAnsi="Arial"/>
          <w:sz w:val="22"/>
          <w:szCs w:val="22"/>
        </w:rPr>
      </w:pPr>
      <w:r>
        <w:rPr>
          <w:rFonts w:ascii="Arial" w:hAnsi="Arial"/>
        </w:rPr>
        <w:tab/>
        <w:t>‘</w:t>
      </w:r>
      <w:r>
        <w:rPr>
          <w:rFonts w:ascii="Arial" w:hAnsi="Arial"/>
          <w:sz w:val="22"/>
          <w:szCs w:val="22"/>
        </w:rPr>
        <w:t>Save as is otherwise provided in this Act. No person shall sell or otherwise dispose of any unpolished diamond unless such person is –</w:t>
      </w:r>
    </w:p>
    <w:p w14:paraId="60BCD707" w14:textId="77777777" w:rsidR="002F7FFC" w:rsidRDefault="002F7FFC" w:rsidP="00F102A7">
      <w:pPr>
        <w:spacing w:line="360" w:lineRule="auto"/>
        <w:jc w:val="both"/>
        <w:rPr>
          <w:rFonts w:ascii="Arial" w:hAnsi="Arial"/>
          <w:sz w:val="22"/>
          <w:szCs w:val="22"/>
        </w:rPr>
      </w:pPr>
    </w:p>
    <w:p w14:paraId="1893F2F6" w14:textId="6B1105C2" w:rsidR="002F7FFC" w:rsidRDefault="002F7FFC" w:rsidP="00F102A7">
      <w:pPr>
        <w:spacing w:line="360" w:lineRule="auto"/>
        <w:jc w:val="both"/>
        <w:rPr>
          <w:rFonts w:ascii="Arial" w:hAnsi="Arial"/>
          <w:sz w:val="22"/>
          <w:szCs w:val="22"/>
        </w:rPr>
      </w:pPr>
      <w:r>
        <w:rPr>
          <w:rFonts w:ascii="Arial" w:hAnsi="Arial"/>
          <w:sz w:val="22"/>
          <w:szCs w:val="22"/>
        </w:rPr>
        <w:t>*</w:t>
      </w:r>
    </w:p>
    <w:p w14:paraId="7EDC78BE" w14:textId="14295BF6" w:rsidR="002F7FFC" w:rsidRDefault="002F7FFC" w:rsidP="00F102A7">
      <w:pPr>
        <w:spacing w:line="360" w:lineRule="auto"/>
        <w:jc w:val="both"/>
        <w:rPr>
          <w:rFonts w:ascii="Arial" w:hAnsi="Arial"/>
          <w:sz w:val="22"/>
          <w:szCs w:val="22"/>
        </w:rPr>
      </w:pPr>
      <w:r>
        <w:rPr>
          <w:rFonts w:ascii="Arial" w:hAnsi="Arial"/>
          <w:sz w:val="22"/>
          <w:szCs w:val="22"/>
        </w:rPr>
        <w:t>*</w:t>
      </w:r>
    </w:p>
    <w:p w14:paraId="0716E3AF" w14:textId="3450A3AE" w:rsidR="002F7FFC" w:rsidRDefault="002F7FFC" w:rsidP="00F102A7">
      <w:pPr>
        <w:spacing w:line="360" w:lineRule="auto"/>
        <w:jc w:val="both"/>
        <w:rPr>
          <w:rFonts w:ascii="Arial" w:hAnsi="Arial"/>
          <w:sz w:val="22"/>
          <w:szCs w:val="22"/>
        </w:rPr>
      </w:pPr>
      <w:r>
        <w:rPr>
          <w:rFonts w:ascii="Arial" w:hAnsi="Arial"/>
          <w:sz w:val="22"/>
          <w:szCs w:val="22"/>
        </w:rPr>
        <w:t xml:space="preserve">(c) </w:t>
      </w:r>
      <w:proofErr w:type="gramStart"/>
      <w:r>
        <w:rPr>
          <w:rFonts w:ascii="Arial" w:hAnsi="Arial"/>
          <w:sz w:val="22"/>
          <w:szCs w:val="22"/>
        </w:rPr>
        <w:t>a</w:t>
      </w:r>
      <w:proofErr w:type="gramEnd"/>
      <w:r>
        <w:rPr>
          <w:rFonts w:ascii="Arial" w:hAnsi="Arial"/>
          <w:sz w:val="22"/>
          <w:szCs w:val="22"/>
        </w:rPr>
        <w:t xml:space="preserve"> dealer;</w:t>
      </w:r>
    </w:p>
    <w:p w14:paraId="1CD1B670" w14:textId="2FBF7B0E" w:rsidR="002F7FFC" w:rsidRDefault="002F7FFC" w:rsidP="00F102A7">
      <w:pPr>
        <w:spacing w:line="360" w:lineRule="auto"/>
        <w:jc w:val="both"/>
        <w:rPr>
          <w:rFonts w:ascii="Arial" w:hAnsi="Arial"/>
          <w:sz w:val="22"/>
          <w:szCs w:val="22"/>
        </w:rPr>
      </w:pPr>
      <w:r>
        <w:rPr>
          <w:rFonts w:ascii="Arial" w:hAnsi="Arial"/>
          <w:sz w:val="22"/>
          <w:szCs w:val="22"/>
        </w:rPr>
        <w:t>(d) the holder of a permit referred to in section 27(</w:t>
      </w:r>
      <w:r>
        <w:rPr>
          <w:rFonts w:ascii="Arial" w:hAnsi="Arial"/>
          <w:i/>
          <w:sz w:val="22"/>
          <w:szCs w:val="22"/>
        </w:rPr>
        <w:t>b</w:t>
      </w:r>
      <w:r>
        <w:rPr>
          <w:rFonts w:ascii="Arial" w:hAnsi="Arial"/>
          <w:sz w:val="22"/>
          <w:szCs w:val="22"/>
        </w:rPr>
        <w:t>); or (</w:t>
      </w:r>
      <w:r>
        <w:rPr>
          <w:rFonts w:ascii="Arial" w:hAnsi="Arial"/>
          <w:i/>
          <w:sz w:val="22"/>
          <w:szCs w:val="22"/>
        </w:rPr>
        <w:t>e</w:t>
      </w:r>
      <w:r>
        <w:rPr>
          <w:rFonts w:ascii="Arial" w:hAnsi="Arial"/>
          <w:sz w:val="22"/>
          <w:szCs w:val="22"/>
        </w:rPr>
        <w:t>) an authorised representative of any person referred to in paragraph (a), (b), (c) or (d) and acting</w:t>
      </w:r>
      <w:r w:rsidR="00590A26">
        <w:rPr>
          <w:rFonts w:ascii="Arial" w:hAnsi="Arial"/>
          <w:sz w:val="22"/>
          <w:szCs w:val="22"/>
        </w:rPr>
        <w:t xml:space="preserve"> within his or her scope of his or her duties as such an authorised representative.</w:t>
      </w:r>
      <w:r>
        <w:rPr>
          <w:rFonts w:ascii="Arial" w:hAnsi="Arial"/>
          <w:sz w:val="22"/>
          <w:szCs w:val="22"/>
        </w:rPr>
        <w:t xml:space="preserve">  </w:t>
      </w:r>
    </w:p>
    <w:p w14:paraId="5FE08A3F" w14:textId="77777777" w:rsidR="00590A26" w:rsidRDefault="00590A26" w:rsidP="00F102A7">
      <w:pPr>
        <w:spacing w:line="360" w:lineRule="auto"/>
        <w:jc w:val="both"/>
        <w:rPr>
          <w:rFonts w:ascii="Arial" w:hAnsi="Arial"/>
          <w:sz w:val="22"/>
          <w:szCs w:val="22"/>
        </w:rPr>
      </w:pPr>
    </w:p>
    <w:p w14:paraId="44247BA3" w14:textId="6706ABF4" w:rsidR="00590A26" w:rsidRDefault="00590A26" w:rsidP="00F102A7">
      <w:pPr>
        <w:spacing w:line="360" w:lineRule="auto"/>
        <w:jc w:val="both"/>
        <w:rPr>
          <w:rFonts w:ascii="Arial" w:hAnsi="Arial"/>
          <w:sz w:val="22"/>
          <w:szCs w:val="22"/>
        </w:rPr>
      </w:pPr>
      <w:r>
        <w:rPr>
          <w:rFonts w:ascii="Arial" w:hAnsi="Arial"/>
          <w:sz w:val="22"/>
          <w:szCs w:val="22"/>
        </w:rPr>
        <w:t xml:space="preserve">(2) The provisions of subsection (1) shall not be construed so </w:t>
      </w:r>
      <w:r w:rsidR="005F1117">
        <w:rPr>
          <w:rFonts w:ascii="Arial" w:hAnsi="Arial"/>
          <w:sz w:val="22"/>
          <w:szCs w:val="22"/>
        </w:rPr>
        <w:t>as to</w:t>
      </w:r>
      <w:r>
        <w:rPr>
          <w:rFonts w:ascii="Arial" w:hAnsi="Arial"/>
          <w:sz w:val="22"/>
          <w:szCs w:val="22"/>
        </w:rPr>
        <w:t xml:space="preserve"> authorise such producer, licence holder dealer, permit holder or authorised representative to sell any unpolished diamond which has come into his or her possession in an unlawful manner.</w:t>
      </w:r>
    </w:p>
    <w:p w14:paraId="643ED87D" w14:textId="77777777" w:rsidR="00590A26" w:rsidRDefault="00590A26" w:rsidP="00F102A7">
      <w:pPr>
        <w:spacing w:line="360" w:lineRule="auto"/>
        <w:jc w:val="both"/>
        <w:rPr>
          <w:rFonts w:ascii="Arial" w:hAnsi="Arial"/>
          <w:sz w:val="22"/>
          <w:szCs w:val="22"/>
        </w:rPr>
      </w:pPr>
    </w:p>
    <w:p w14:paraId="6D318BBB" w14:textId="1B9CD510" w:rsidR="00590A26" w:rsidRPr="0008101F" w:rsidRDefault="00590A26" w:rsidP="0008101F">
      <w:pPr>
        <w:pStyle w:val="ListParagraph"/>
        <w:numPr>
          <w:ilvl w:val="0"/>
          <w:numId w:val="5"/>
        </w:numPr>
        <w:spacing w:line="360" w:lineRule="auto"/>
        <w:ind w:left="0" w:firstLine="0"/>
        <w:jc w:val="both"/>
        <w:rPr>
          <w:rFonts w:ascii="Arial" w:hAnsi="Arial"/>
        </w:rPr>
      </w:pPr>
      <w:r w:rsidRPr="0008101F">
        <w:rPr>
          <w:rFonts w:ascii="Arial" w:hAnsi="Arial"/>
        </w:rPr>
        <w:t>Furthermore, s 32(1) of the same Act states the following:</w:t>
      </w:r>
    </w:p>
    <w:p w14:paraId="6EA74C1F" w14:textId="55CD20AA" w:rsidR="00590A26" w:rsidRDefault="00590A26" w:rsidP="00F102A7">
      <w:pPr>
        <w:pStyle w:val="ListParagraph"/>
        <w:numPr>
          <w:ilvl w:val="0"/>
          <w:numId w:val="3"/>
        </w:numPr>
        <w:spacing w:line="360" w:lineRule="auto"/>
        <w:jc w:val="both"/>
        <w:rPr>
          <w:rFonts w:ascii="Arial" w:hAnsi="Arial"/>
          <w:sz w:val="22"/>
          <w:szCs w:val="22"/>
        </w:rPr>
      </w:pPr>
      <w:r>
        <w:rPr>
          <w:rFonts w:ascii="Arial" w:hAnsi="Arial"/>
          <w:sz w:val="22"/>
          <w:szCs w:val="22"/>
        </w:rPr>
        <w:t>Save as is otherwise provided in this Act, no person shall receive or purchase any unpolished diamond unless such person is –</w:t>
      </w:r>
    </w:p>
    <w:p w14:paraId="6F6BD2E5" w14:textId="77777777" w:rsidR="00590A26" w:rsidRDefault="00590A26" w:rsidP="00F102A7">
      <w:pPr>
        <w:spacing w:line="360" w:lineRule="auto"/>
        <w:ind w:left="1080"/>
        <w:jc w:val="both"/>
        <w:rPr>
          <w:rFonts w:ascii="Arial" w:hAnsi="Arial"/>
          <w:sz w:val="22"/>
          <w:szCs w:val="22"/>
        </w:rPr>
      </w:pPr>
    </w:p>
    <w:p w14:paraId="40D3F299" w14:textId="0F95E6CF" w:rsidR="00590A26" w:rsidRDefault="00590A26" w:rsidP="00F102A7">
      <w:pPr>
        <w:pStyle w:val="ListParagraph"/>
        <w:numPr>
          <w:ilvl w:val="0"/>
          <w:numId w:val="4"/>
        </w:numPr>
        <w:spacing w:line="360" w:lineRule="auto"/>
        <w:jc w:val="both"/>
        <w:rPr>
          <w:rFonts w:ascii="Arial" w:hAnsi="Arial"/>
          <w:sz w:val="22"/>
          <w:szCs w:val="22"/>
        </w:rPr>
      </w:pPr>
      <w:r>
        <w:rPr>
          <w:rFonts w:ascii="Arial" w:hAnsi="Arial"/>
          <w:sz w:val="22"/>
          <w:szCs w:val="22"/>
        </w:rPr>
        <w:t>a licensee;</w:t>
      </w:r>
    </w:p>
    <w:p w14:paraId="79F037B4" w14:textId="7AF49434" w:rsidR="00590A26" w:rsidRDefault="00590A26" w:rsidP="00F102A7">
      <w:pPr>
        <w:pStyle w:val="ListParagraph"/>
        <w:numPr>
          <w:ilvl w:val="0"/>
          <w:numId w:val="4"/>
        </w:numPr>
        <w:spacing w:line="360" w:lineRule="auto"/>
        <w:jc w:val="both"/>
        <w:rPr>
          <w:rFonts w:ascii="Arial" w:hAnsi="Arial"/>
          <w:sz w:val="22"/>
          <w:szCs w:val="22"/>
        </w:rPr>
      </w:pPr>
      <w:r>
        <w:rPr>
          <w:rFonts w:ascii="Arial" w:hAnsi="Arial"/>
          <w:sz w:val="22"/>
          <w:szCs w:val="22"/>
        </w:rPr>
        <w:t>the holder of a permit referred to in section 27(c); or</w:t>
      </w:r>
    </w:p>
    <w:p w14:paraId="04C454C4" w14:textId="16D4EC62" w:rsidR="00590A26" w:rsidRDefault="00590A26" w:rsidP="00F102A7">
      <w:pPr>
        <w:pStyle w:val="ListParagraph"/>
        <w:numPr>
          <w:ilvl w:val="0"/>
          <w:numId w:val="4"/>
        </w:numPr>
        <w:spacing w:line="360" w:lineRule="auto"/>
        <w:jc w:val="both"/>
        <w:rPr>
          <w:rFonts w:ascii="Arial" w:hAnsi="Arial"/>
          <w:sz w:val="22"/>
          <w:szCs w:val="22"/>
        </w:rPr>
      </w:pPr>
      <w:r>
        <w:rPr>
          <w:rFonts w:ascii="Arial" w:hAnsi="Arial"/>
          <w:sz w:val="22"/>
          <w:szCs w:val="22"/>
        </w:rPr>
        <w:t>an authorised representative of any person referred to in paragraph (a) or (b) and acting within the scope of his or her duties as such an authorised representative.’</w:t>
      </w:r>
    </w:p>
    <w:p w14:paraId="017D31AA" w14:textId="77777777" w:rsidR="00590A26" w:rsidRDefault="00590A26" w:rsidP="00F102A7">
      <w:pPr>
        <w:spacing w:line="360" w:lineRule="auto"/>
        <w:jc w:val="both"/>
        <w:rPr>
          <w:rFonts w:ascii="Arial" w:hAnsi="Arial"/>
          <w:sz w:val="22"/>
          <w:szCs w:val="22"/>
        </w:rPr>
      </w:pPr>
    </w:p>
    <w:p w14:paraId="44656687" w14:textId="2578D756" w:rsidR="00590A26" w:rsidRPr="0008101F" w:rsidRDefault="00590A26" w:rsidP="0008101F">
      <w:pPr>
        <w:pStyle w:val="ListParagraph"/>
        <w:numPr>
          <w:ilvl w:val="0"/>
          <w:numId w:val="5"/>
        </w:numPr>
        <w:spacing w:line="360" w:lineRule="auto"/>
        <w:ind w:left="0" w:firstLine="0"/>
        <w:jc w:val="both"/>
        <w:rPr>
          <w:rFonts w:ascii="Arial" w:hAnsi="Arial"/>
        </w:rPr>
      </w:pPr>
      <w:r w:rsidRPr="0008101F">
        <w:rPr>
          <w:rFonts w:ascii="Arial" w:hAnsi="Arial"/>
        </w:rPr>
        <w:t>Section 33 of the same Act, on the other hand, provides that:</w:t>
      </w:r>
    </w:p>
    <w:p w14:paraId="17DB4EFB" w14:textId="77777777" w:rsidR="00590A26" w:rsidRDefault="00590A26" w:rsidP="00F102A7">
      <w:pPr>
        <w:spacing w:line="360" w:lineRule="auto"/>
        <w:jc w:val="both"/>
        <w:rPr>
          <w:rFonts w:ascii="Arial" w:hAnsi="Arial"/>
        </w:rPr>
      </w:pPr>
    </w:p>
    <w:p w14:paraId="5D2C1C50" w14:textId="00472167" w:rsidR="00444530" w:rsidRDefault="00590A26" w:rsidP="00F102A7">
      <w:pPr>
        <w:spacing w:line="360" w:lineRule="auto"/>
        <w:jc w:val="both"/>
        <w:rPr>
          <w:rFonts w:ascii="Arial" w:hAnsi="Arial"/>
          <w:sz w:val="22"/>
          <w:szCs w:val="22"/>
        </w:rPr>
      </w:pPr>
      <w:r>
        <w:rPr>
          <w:rFonts w:ascii="Arial" w:hAnsi="Arial"/>
        </w:rPr>
        <w:tab/>
      </w:r>
      <w:r>
        <w:rPr>
          <w:rFonts w:ascii="Arial" w:hAnsi="Arial"/>
          <w:sz w:val="22"/>
          <w:szCs w:val="22"/>
        </w:rPr>
        <w:t>Save as is otherwise provided in this Act, any person – (</w:t>
      </w:r>
      <w:r>
        <w:rPr>
          <w:rFonts w:ascii="Arial" w:hAnsi="Arial"/>
          <w:i/>
          <w:sz w:val="22"/>
          <w:szCs w:val="22"/>
        </w:rPr>
        <w:t>a</w:t>
      </w:r>
      <w:r>
        <w:rPr>
          <w:rFonts w:ascii="Arial" w:hAnsi="Arial"/>
          <w:sz w:val="22"/>
          <w:szCs w:val="22"/>
        </w:rPr>
        <w:t>) referred to in section 31(1) who sells or otherwise disposes of any unpolished diamond to any person other than a person referred to in section 32(1); (</w:t>
      </w:r>
      <w:r>
        <w:rPr>
          <w:rFonts w:ascii="Arial" w:hAnsi="Arial"/>
          <w:i/>
          <w:sz w:val="22"/>
          <w:szCs w:val="22"/>
        </w:rPr>
        <w:t>b</w:t>
      </w:r>
      <w:r>
        <w:rPr>
          <w:rFonts w:ascii="Arial" w:hAnsi="Arial"/>
          <w:sz w:val="22"/>
          <w:szCs w:val="22"/>
        </w:rPr>
        <w:t>)</w:t>
      </w:r>
      <w:r w:rsidR="00444530">
        <w:rPr>
          <w:rFonts w:ascii="Arial" w:hAnsi="Arial"/>
          <w:sz w:val="22"/>
          <w:szCs w:val="22"/>
        </w:rPr>
        <w:t xml:space="preserve"> referred to in section 32(1) who receives or purchases any unpolished diamond from any person other than a person referred to in section 31(1), shall be guilty of an offence and on conviction be liable to a fine not exceeding N$1 000 000 or to imprisonment for a period not exceeding twenty years or to both such fine and imprisonment.’</w:t>
      </w:r>
    </w:p>
    <w:p w14:paraId="43D914F4" w14:textId="77777777" w:rsidR="00444530" w:rsidRDefault="00444530" w:rsidP="00F102A7">
      <w:pPr>
        <w:spacing w:line="360" w:lineRule="auto"/>
        <w:jc w:val="both"/>
        <w:rPr>
          <w:rFonts w:ascii="Arial" w:hAnsi="Arial"/>
          <w:sz w:val="22"/>
          <w:szCs w:val="22"/>
        </w:rPr>
      </w:pPr>
    </w:p>
    <w:p w14:paraId="7A05B8BE" w14:textId="5D527DF5" w:rsidR="00444530" w:rsidRPr="0008101F" w:rsidRDefault="00444530" w:rsidP="0008101F">
      <w:pPr>
        <w:pStyle w:val="ListParagraph"/>
        <w:numPr>
          <w:ilvl w:val="0"/>
          <w:numId w:val="5"/>
        </w:numPr>
        <w:spacing w:line="360" w:lineRule="auto"/>
        <w:ind w:left="0" w:firstLine="0"/>
        <w:jc w:val="both"/>
        <w:rPr>
          <w:rFonts w:ascii="Arial" w:hAnsi="Arial"/>
        </w:rPr>
      </w:pPr>
      <w:r w:rsidRPr="0008101F">
        <w:rPr>
          <w:rFonts w:ascii="Arial" w:hAnsi="Arial"/>
        </w:rPr>
        <w:t>Last, but by no means least, s 52 of the same Act makes the following provision:</w:t>
      </w:r>
    </w:p>
    <w:p w14:paraId="4178FF83" w14:textId="77777777" w:rsidR="00444530" w:rsidRDefault="00444530" w:rsidP="00F102A7">
      <w:pPr>
        <w:spacing w:line="360" w:lineRule="auto"/>
        <w:jc w:val="both"/>
        <w:rPr>
          <w:rFonts w:ascii="Arial" w:hAnsi="Arial"/>
        </w:rPr>
      </w:pPr>
    </w:p>
    <w:p w14:paraId="59EF2818" w14:textId="7309B096" w:rsidR="00444530" w:rsidRDefault="00444530" w:rsidP="00F102A7">
      <w:pPr>
        <w:spacing w:line="360" w:lineRule="auto"/>
        <w:jc w:val="both"/>
        <w:rPr>
          <w:rFonts w:ascii="Arial" w:hAnsi="Arial"/>
          <w:sz w:val="22"/>
          <w:szCs w:val="22"/>
        </w:rPr>
      </w:pPr>
      <w:r>
        <w:rPr>
          <w:rFonts w:ascii="Arial" w:hAnsi="Arial"/>
        </w:rPr>
        <w:tab/>
        <w:t>‘</w:t>
      </w:r>
      <w:r>
        <w:rPr>
          <w:rFonts w:ascii="Arial" w:hAnsi="Arial"/>
          <w:sz w:val="22"/>
          <w:szCs w:val="22"/>
        </w:rPr>
        <w:t>(1) Save as is otherwise provided in this Act, no person shall receive or purchase any unpolished diamond unless such person is (a) a licensee; (b) the holder of a permit referred to in section 27(c); or an authorised representative of any person referred to in paragraph (a) or (b) and acting within the scope of his or her duties as such an authorised representative.’</w:t>
      </w:r>
    </w:p>
    <w:p w14:paraId="55C86034" w14:textId="77777777" w:rsidR="00444530" w:rsidRDefault="00444530" w:rsidP="00F102A7">
      <w:pPr>
        <w:spacing w:line="360" w:lineRule="auto"/>
        <w:jc w:val="both"/>
        <w:rPr>
          <w:rFonts w:ascii="Arial" w:hAnsi="Arial"/>
          <w:sz w:val="22"/>
          <w:szCs w:val="22"/>
        </w:rPr>
      </w:pPr>
    </w:p>
    <w:p w14:paraId="5126582B" w14:textId="51F652D9" w:rsidR="00C113A7" w:rsidRDefault="00C113A7" w:rsidP="00F102A7">
      <w:pPr>
        <w:pStyle w:val="ListParagraph"/>
        <w:numPr>
          <w:ilvl w:val="0"/>
          <w:numId w:val="5"/>
        </w:numPr>
        <w:spacing w:line="360" w:lineRule="auto"/>
        <w:ind w:left="0" w:firstLine="0"/>
        <w:jc w:val="both"/>
        <w:rPr>
          <w:rFonts w:ascii="Arial" w:hAnsi="Arial"/>
        </w:rPr>
      </w:pPr>
      <w:r>
        <w:rPr>
          <w:rFonts w:ascii="Arial" w:hAnsi="Arial"/>
        </w:rPr>
        <w:t>It is not necessary tha</w:t>
      </w:r>
      <w:r w:rsidR="00B66E39">
        <w:rPr>
          <w:rFonts w:ascii="Arial" w:hAnsi="Arial"/>
        </w:rPr>
        <w:t>t I comment on each of the</w:t>
      </w:r>
      <w:r>
        <w:rPr>
          <w:rFonts w:ascii="Arial" w:hAnsi="Arial"/>
        </w:rPr>
        <w:t xml:space="preserve"> provisions</w:t>
      </w:r>
      <w:r w:rsidR="00B66E39">
        <w:rPr>
          <w:rFonts w:ascii="Arial" w:hAnsi="Arial"/>
        </w:rPr>
        <w:t xml:space="preserve"> quoted immediately above</w:t>
      </w:r>
      <w:r>
        <w:rPr>
          <w:rFonts w:ascii="Arial" w:hAnsi="Arial"/>
        </w:rPr>
        <w:t xml:space="preserve">. </w:t>
      </w:r>
      <w:r w:rsidR="00444530" w:rsidRPr="0008101F">
        <w:rPr>
          <w:rFonts w:ascii="Arial" w:hAnsi="Arial"/>
        </w:rPr>
        <w:t>What becomes abundantly clear, from reading the above provisions</w:t>
      </w:r>
      <w:r>
        <w:rPr>
          <w:rFonts w:ascii="Arial" w:hAnsi="Arial"/>
        </w:rPr>
        <w:t xml:space="preserve"> though</w:t>
      </w:r>
      <w:r w:rsidR="00444530" w:rsidRPr="0008101F">
        <w:rPr>
          <w:rFonts w:ascii="Arial" w:hAnsi="Arial"/>
        </w:rPr>
        <w:t>, is that sale or dealing in unpolished diamonds is a highly regulated activity</w:t>
      </w:r>
      <w:r w:rsidR="00F7436C">
        <w:rPr>
          <w:rFonts w:ascii="Arial" w:hAnsi="Arial"/>
        </w:rPr>
        <w:t xml:space="preserve"> in terms of the law</w:t>
      </w:r>
      <w:r w:rsidR="00444530" w:rsidRPr="0008101F">
        <w:rPr>
          <w:rFonts w:ascii="Arial" w:hAnsi="Arial"/>
        </w:rPr>
        <w:t xml:space="preserve">. It is not every Tom, Dick and Harry that is allowed by law to deal in or with </w:t>
      </w:r>
      <w:r w:rsidR="00F7436C">
        <w:rPr>
          <w:rFonts w:ascii="Arial" w:hAnsi="Arial"/>
        </w:rPr>
        <w:t xml:space="preserve">or sell </w:t>
      </w:r>
      <w:r w:rsidR="00444530" w:rsidRPr="0008101F">
        <w:rPr>
          <w:rFonts w:ascii="Arial" w:hAnsi="Arial"/>
        </w:rPr>
        <w:t>diamonds, and unpolished ones in respect of this case. From the synopsis of the facts as uncovered by investigations, with no countervailing evidence to the contrary, it would seem to me, o</w:t>
      </w:r>
      <w:r w:rsidR="00A96A3D">
        <w:rPr>
          <w:rFonts w:ascii="Arial" w:hAnsi="Arial"/>
        </w:rPr>
        <w:t>n a preponderance of probabilities</w:t>
      </w:r>
      <w:r w:rsidR="00444530" w:rsidRPr="0008101F">
        <w:rPr>
          <w:rFonts w:ascii="Arial" w:hAnsi="Arial"/>
        </w:rPr>
        <w:t>, that various provisions of the Diamond Act were</w:t>
      </w:r>
      <w:r w:rsidR="00FB4215" w:rsidRPr="0008101F">
        <w:rPr>
          <w:rFonts w:ascii="Arial" w:hAnsi="Arial"/>
        </w:rPr>
        <w:t xml:space="preserve"> possibly contravened in this case. </w:t>
      </w:r>
    </w:p>
    <w:p w14:paraId="7B9DDFD0" w14:textId="77777777" w:rsidR="00C113A7" w:rsidRDefault="00C113A7" w:rsidP="00C113A7">
      <w:pPr>
        <w:pStyle w:val="ListParagraph"/>
        <w:spacing w:line="360" w:lineRule="auto"/>
        <w:ind w:left="0"/>
        <w:jc w:val="both"/>
        <w:rPr>
          <w:rFonts w:ascii="Arial" w:hAnsi="Arial"/>
        </w:rPr>
      </w:pPr>
    </w:p>
    <w:p w14:paraId="64104FE9" w14:textId="0C1B4089" w:rsidR="0008101F" w:rsidRDefault="00C113A7" w:rsidP="00F102A7">
      <w:pPr>
        <w:pStyle w:val="ListParagraph"/>
        <w:numPr>
          <w:ilvl w:val="0"/>
          <w:numId w:val="5"/>
        </w:numPr>
        <w:spacing w:line="360" w:lineRule="auto"/>
        <w:ind w:left="0" w:firstLine="0"/>
        <w:jc w:val="both"/>
        <w:rPr>
          <w:rFonts w:ascii="Arial" w:hAnsi="Arial"/>
        </w:rPr>
      </w:pPr>
      <w:r>
        <w:rPr>
          <w:rFonts w:ascii="Arial" w:hAnsi="Arial"/>
        </w:rPr>
        <w:t xml:space="preserve">In this connection, Mr </w:t>
      </w:r>
      <w:proofErr w:type="spellStart"/>
      <w:r>
        <w:rPr>
          <w:rFonts w:ascii="Arial" w:hAnsi="Arial"/>
        </w:rPr>
        <w:t>Kangonga</w:t>
      </w:r>
      <w:proofErr w:type="spellEnd"/>
      <w:r>
        <w:rPr>
          <w:rFonts w:ascii="Arial" w:hAnsi="Arial"/>
        </w:rPr>
        <w:t xml:space="preserve"> does</w:t>
      </w:r>
      <w:r w:rsidR="00FB4215" w:rsidRPr="0008101F">
        <w:rPr>
          <w:rFonts w:ascii="Arial" w:hAnsi="Arial"/>
        </w:rPr>
        <w:t xml:space="preserve"> not a</w:t>
      </w:r>
      <w:r>
        <w:rPr>
          <w:rFonts w:ascii="Arial" w:hAnsi="Arial"/>
        </w:rPr>
        <w:t>ppear to be a</w:t>
      </w:r>
      <w:r w:rsidR="00FB4215" w:rsidRPr="0008101F">
        <w:rPr>
          <w:rFonts w:ascii="Arial" w:hAnsi="Arial"/>
        </w:rPr>
        <w:t xml:space="preserve"> person entitled in terms of the law</w:t>
      </w:r>
      <w:r w:rsidR="00D67EDA">
        <w:rPr>
          <w:rFonts w:ascii="Arial" w:hAnsi="Arial"/>
        </w:rPr>
        <w:t>, at the time</w:t>
      </w:r>
      <w:r w:rsidR="00FB4215" w:rsidRPr="0008101F">
        <w:rPr>
          <w:rFonts w:ascii="Arial" w:hAnsi="Arial"/>
        </w:rPr>
        <w:t>, to deal with or in unpolished diamon</w:t>
      </w:r>
      <w:r w:rsidR="00A96A3D">
        <w:rPr>
          <w:rFonts w:ascii="Arial" w:hAnsi="Arial"/>
        </w:rPr>
        <w:t xml:space="preserve">ds. The same goes for Mr </w:t>
      </w:r>
      <w:proofErr w:type="spellStart"/>
      <w:r w:rsidR="00A96A3D">
        <w:rPr>
          <w:rFonts w:ascii="Arial" w:hAnsi="Arial"/>
        </w:rPr>
        <w:t>Heita</w:t>
      </w:r>
      <w:proofErr w:type="spellEnd"/>
      <w:r w:rsidR="00A96A3D">
        <w:rPr>
          <w:rFonts w:ascii="Arial" w:hAnsi="Arial"/>
        </w:rPr>
        <w:t xml:space="preserve"> and Mr </w:t>
      </w:r>
      <w:r w:rsidR="00FB4215" w:rsidRPr="0008101F">
        <w:rPr>
          <w:rFonts w:ascii="Arial" w:hAnsi="Arial"/>
        </w:rPr>
        <w:t xml:space="preserve">De Jesus, as far as the evidence is on the record suggest. None of these individuals appears to have had the requisite permit </w:t>
      </w:r>
      <w:r w:rsidR="00F7436C">
        <w:rPr>
          <w:rFonts w:ascii="Arial" w:hAnsi="Arial"/>
        </w:rPr>
        <w:t>n</w:t>
      </w:r>
      <w:r w:rsidR="00FB4215" w:rsidRPr="0008101F">
        <w:rPr>
          <w:rFonts w:ascii="Arial" w:hAnsi="Arial"/>
        </w:rPr>
        <w:t xml:space="preserve">or </w:t>
      </w:r>
      <w:r w:rsidR="00F7436C">
        <w:rPr>
          <w:rFonts w:ascii="Arial" w:hAnsi="Arial"/>
        </w:rPr>
        <w:t>did they fa</w:t>
      </w:r>
      <w:r w:rsidR="00FB4215" w:rsidRPr="0008101F">
        <w:rPr>
          <w:rFonts w:ascii="Arial" w:hAnsi="Arial"/>
        </w:rPr>
        <w:t xml:space="preserve">ll into the categories of individuals to whom some colour of right was extended </w:t>
      </w:r>
      <w:r w:rsidR="00A96A3D">
        <w:rPr>
          <w:rFonts w:ascii="Arial" w:hAnsi="Arial"/>
        </w:rPr>
        <w:t xml:space="preserve">by law, </w:t>
      </w:r>
      <w:r w:rsidR="00FB4215" w:rsidRPr="0008101F">
        <w:rPr>
          <w:rFonts w:ascii="Arial" w:hAnsi="Arial"/>
        </w:rPr>
        <w:t>to deal with or in diamonds.</w:t>
      </w:r>
    </w:p>
    <w:p w14:paraId="21DD3D40" w14:textId="77777777" w:rsidR="0008101F" w:rsidRDefault="0008101F" w:rsidP="0008101F">
      <w:pPr>
        <w:pStyle w:val="ListParagraph"/>
        <w:spacing w:line="360" w:lineRule="auto"/>
        <w:ind w:left="0"/>
        <w:jc w:val="both"/>
        <w:rPr>
          <w:rFonts w:ascii="Arial" w:hAnsi="Arial"/>
        </w:rPr>
      </w:pPr>
    </w:p>
    <w:p w14:paraId="1781F42F" w14:textId="45A3E525" w:rsidR="0008101F" w:rsidRDefault="00FB4215" w:rsidP="00F102A7">
      <w:pPr>
        <w:pStyle w:val="ListParagraph"/>
        <w:numPr>
          <w:ilvl w:val="0"/>
          <w:numId w:val="5"/>
        </w:numPr>
        <w:spacing w:line="360" w:lineRule="auto"/>
        <w:ind w:left="0" w:firstLine="0"/>
        <w:jc w:val="both"/>
        <w:rPr>
          <w:rFonts w:ascii="Arial" w:hAnsi="Arial"/>
        </w:rPr>
      </w:pPr>
      <w:r w:rsidRPr="0008101F">
        <w:rPr>
          <w:rFonts w:ascii="Arial" w:hAnsi="Arial"/>
        </w:rPr>
        <w:t>In the premises, it seems to me that there was, on the balance of probabilities, a contravention of some or other of the provisions of the Diamond Act in the respects referred to above. In particular, it does not appear that any</w:t>
      </w:r>
      <w:r w:rsidR="00D67EDA">
        <w:rPr>
          <w:rFonts w:ascii="Arial" w:hAnsi="Arial"/>
        </w:rPr>
        <w:t xml:space="preserve"> of the individuals who dealt with</w:t>
      </w:r>
      <w:r w:rsidRPr="0008101F">
        <w:rPr>
          <w:rFonts w:ascii="Arial" w:hAnsi="Arial"/>
        </w:rPr>
        <w:t xml:space="preserve"> the unpolished diamonds involved in this matter, had any licence or permit to deal with same, as mandatorily required by law. </w:t>
      </w:r>
    </w:p>
    <w:p w14:paraId="50CB771C" w14:textId="77777777" w:rsidR="0008101F" w:rsidRDefault="0008101F" w:rsidP="0008101F">
      <w:pPr>
        <w:pStyle w:val="ListParagraph"/>
        <w:spacing w:line="360" w:lineRule="auto"/>
        <w:ind w:left="0"/>
        <w:jc w:val="both"/>
        <w:rPr>
          <w:rFonts w:ascii="Arial" w:hAnsi="Arial"/>
        </w:rPr>
      </w:pPr>
    </w:p>
    <w:p w14:paraId="031F9285" w14:textId="780C1C65" w:rsidR="00444530" w:rsidRDefault="00FB4215" w:rsidP="00F102A7">
      <w:pPr>
        <w:pStyle w:val="ListParagraph"/>
        <w:numPr>
          <w:ilvl w:val="0"/>
          <w:numId w:val="5"/>
        </w:numPr>
        <w:spacing w:line="360" w:lineRule="auto"/>
        <w:ind w:left="0" w:firstLine="0"/>
        <w:jc w:val="both"/>
        <w:rPr>
          <w:rFonts w:ascii="Arial" w:hAnsi="Arial"/>
        </w:rPr>
      </w:pPr>
      <w:r w:rsidRPr="0008101F">
        <w:rPr>
          <w:rFonts w:ascii="Arial" w:hAnsi="Arial"/>
        </w:rPr>
        <w:t>On the basis of this conclusion, it would appear that over and above the conclusion that there might have been theft or fraud perpetrated on Lycia in this matter, as held earli</w:t>
      </w:r>
      <w:r w:rsidR="004611B4" w:rsidRPr="0008101F">
        <w:rPr>
          <w:rFonts w:ascii="Arial" w:hAnsi="Arial"/>
        </w:rPr>
        <w:t>er, there appears to have been</w:t>
      </w:r>
      <w:r w:rsidRPr="0008101F">
        <w:rPr>
          <w:rFonts w:ascii="Arial" w:hAnsi="Arial"/>
        </w:rPr>
        <w:t xml:space="preserve"> serious and multiple contraventions of the Diamond Act.</w:t>
      </w:r>
      <w:r w:rsidR="004E0C56" w:rsidRPr="0008101F">
        <w:rPr>
          <w:rFonts w:ascii="Arial" w:hAnsi="Arial"/>
        </w:rPr>
        <w:t xml:space="preserve"> This points inexorably</w:t>
      </w:r>
      <w:r w:rsidR="004611B4" w:rsidRPr="0008101F">
        <w:rPr>
          <w:rFonts w:ascii="Arial" w:hAnsi="Arial"/>
        </w:rPr>
        <w:t xml:space="preserve"> to the possibility of the payments made by Lycia</w:t>
      </w:r>
      <w:r w:rsidR="004E0C56" w:rsidRPr="0008101F">
        <w:rPr>
          <w:rFonts w:ascii="Arial" w:hAnsi="Arial"/>
        </w:rPr>
        <w:t xml:space="preserve"> to Mr </w:t>
      </w:r>
      <w:proofErr w:type="spellStart"/>
      <w:r w:rsidR="004E0C56" w:rsidRPr="0008101F">
        <w:rPr>
          <w:rFonts w:ascii="Arial" w:hAnsi="Arial"/>
        </w:rPr>
        <w:t>Kangonga</w:t>
      </w:r>
      <w:proofErr w:type="spellEnd"/>
      <w:r w:rsidR="004E0C56" w:rsidRPr="0008101F">
        <w:rPr>
          <w:rFonts w:ascii="Arial" w:hAnsi="Arial"/>
        </w:rPr>
        <w:t xml:space="preserve"> </w:t>
      </w:r>
      <w:r w:rsidR="004E0C56" w:rsidRPr="0008101F">
        <w:rPr>
          <w:rFonts w:ascii="Arial" w:hAnsi="Arial"/>
          <w:i/>
        </w:rPr>
        <w:t>et al</w:t>
      </w:r>
      <w:r w:rsidR="004611B4" w:rsidRPr="0008101F">
        <w:rPr>
          <w:rFonts w:ascii="Arial" w:hAnsi="Arial"/>
        </w:rPr>
        <w:t>, to have been proceeds of illegal sale or dealing in unpolished diamonds in contravention of s 30, 31, 32 and 33 of the Diamond Act</w:t>
      </w:r>
      <w:r w:rsidR="00F7436C">
        <w:rPr>
          <w:rFonts w:ascii="Arial" w:hAnsi="Arial"/>
        </w:rPr>
        <w:t xml:space="preserve"> and thus falling within the definition of proceeds of unlawful activities as defined in s 1 of the Act.</w:t>
      </w:r>
    </w:p>
    <w:p w14:paraId="5D007578" w14:textId="77777777" w:rsidR="00F7436C" w:rsidRDefault="00F7436C" w:rsidP="00F7436C">
      <w:pPr>
        <w:rPr>
          <w:rFonts w:ascii="Arial" w:hAnsi="Arial"/>
        </w:rPr>
      </w:pPr>
    </w:p>
    <w:p w14:paraId="5B232FEE" w14:textId="6FF29593" w:rsidR="00F7436C" w:rsidRDefault="00F7436C" w:rsidP="00F7436C">
      <w:pPr>
        <w:rPr>
          <w:rFonts w:ascii="Arial" w:hAnsi="Arial"/>
          <w:u w:val="single"/>
        </w:rPr>
      </w:pPr>
      <w:r>
        <w:rPr>
          <w:rFonts w:ascii="Arial" w:hAnsi="Arial"/>
          <w:u w:val="single"/>
        </w:rPr>
        <w:t>Money laundering</w:t>
      </w:r>
    </w:p>
    <w:p w14:paraId="4861199E" w14:textId="77777777" w:rsidR="00F7436C" w:rsidRPr="00F7436C" w:rsidRDefault="00F7436C" w:rsidP="00F7436C">
      <w:pPr>
        <w:rPr>
          <w:rFonts w:ascii="Arial" w:hAnsi="Arial"/>
          <w:u w:val="single"/>
        </w:rPr>
      </w:pPr>
    </w:p>
    <w:p w14:paraId="75A75887" w14:textId="77777777" w:rsidR="00F7436C" w:rsidRPr="00F7436C" w:rsidRDefault="00F7436C" w:rsidP="00F7436C">
      <w:pPr>
        <w:pStyle w:val="ListParagraph"/>
        <w:rPr>
          <w:rFonts w:ascii="Arial" w:hAnsi="Arial"/>
        </w:rPr>
      </w:pPr>
    </w:p>
    <w:p w14:paraId="60BC8435" w14:textId="3905EE6D" w:rsidR="00F7436C" w:rsidRDefault="00F7436C" w:rsidP="00F102A7">
      <w:pPr>
        <w:pStyle w:val="ListParagraph"/>
        <w:numPr>
          <w:ilvl w:val="0"/>
          <w:numId w:val="5"/>
        </w:numPr>
        <w:spacing w:line="360" w:lineRule="auto"/>
        <w:ind w:left="0" w:firstLine="0"/>
        <w:jc w:val="both"/>
        <w:rPr>
          <w:rFonts w:ascii="Arial" w:hAnsi="Arial"/>
        </w:rPr>
      </w:pPr>
      <w:r>
        <w:rPr>
          <w:rFonts w:ascii="Arial" w:hAnsi="Arial"/>
        </w:rPr>
        <w:t>I now turn to deal with the issue of money laundering, as submitted by the PG.</w:t>
      </w:r>
      <w:r w:rsidR="00C113A7">
        <w:rPr>
          <w:rFonts w:ascii="Arial" w:hAnsi="Arial"/>
        </w:rPr>
        <w:t xml:space="preserve"> Section 4(</w:t>
      </w:r>
      <w:r w:rsidR="00C113A7">
        <w:rPr>
          <w:rFonts w:ascii="Arial" w:hAnsi="Arial"/>
          <w:i/>
        </w:rPr>
        <w:t>a</w:t>
      </w:r>
      <w:r w:rsidR="00C113A7">
        <w:rPr>
          <w:rFonts w:ascii="Arial" w:hAnsi="Arial"/>
        </w:rPr>
        <w:t>)(</w:t>
      </w:r>
      <w:proofErr w:type="spellStart"/>
      <w:r w:rsidR="00C113A7">
        <w:rPr>
          <w:rFonts w:ascii="Arial" w:hAnsi="Arial"/>
          <w:i/>
        </w:rPr>
        <w:t>i</w:t>
      </w:r>
      <w:proofErr w:type="spellEnd"/>
      <w:r w:rsidR="00C113A7">
        <w:rPr>
          <w:rFonts w:ascii="Arial" w:hAnsi="Arial"/>
        </w:rPr>
        <w:t>) of the Act reads as follows:</w:t>
      </w:r>
    </w:p>
    <w:p w14:paraId="6B8DC686" w14:textId="77777777" w:rsidR="00C113A7" w:rsidRDefault="00C113A7" w:rsidP="00C113A7">
      <w:pPr>
        <w:spacing w:line="360" w:lineRule="auto"/>
        <w:jc w:val="both"/>
        <w:rPr>
          <w:rFonts w:ascii="Arial" w:hAnsi="Arial"/>
        </w:rPr>
      </w:pPr>
    </w:p>
    <w:p w14:paraId="7F4C3008" w14:textId="4982A967" w:rsidR="00C113A7" w:rsidRDefault="00C113A7" w:rsidP="00EF588E">
      <w:pPr>
        <w:spacing w:line="360" w:lineRule="auto"/>
        <w:ind w:firstLine="720"/>
        <w:jc w:val="both"/>
        <w:rPr>
          <w:rFonts w:ascii="Arial" w:hAnsi="Arial"/>
          <w:sz w:val="22"/>
          <w:szCs w:val="22"/>
        </w:rPr>
      </w:pPr>
      <w:r>
        <w:rPr>
          <w:rFonts w:ascii="Arial" w:hAnsi="Arial"/>
        </w:rPr>
        <w:t>‘</w:t>
      </w:r>
      <w:r>
        <w:rPr>
          <w:rFonts w:ascii="Arial" w:hAnsi="Arial"/>
          <w:sz w:val="22"/>
          <w:szCs w:val="22"/>
        </w:rPr>
        <w:t>Any person who knows or ought to reasonably have known that the property is or forms part of proceeds of unlawful activities and –</w:t>
      </w:r>
    </w:p>
    <w:p w14:paraId="16D618FA" w14:textId="77777777" w:rsidR="00C113A7" w:rsidRDefault="00C113A7" w:rsidP="00C113A7">
      <w:pPr>
        <w:spacing w:line="360" w:lineRule="auto"/>
        <w:ind w:left="720"/>
        <w:jc w:val="both"/>
        <w:rPr>
          <w:rFonts w:ascii="Arial" w:hAnsi="Arial"/>
          <w:sz w:val="22"/>
          <w:szCs w:val="22"/>
        </w:rPr>
      </w:pPr>
      <w:r>
        <w:rPr>
          <w:rFonts w:ascii="Arial" w:hAnsi="Arial"/>
          <w:sz w:val="22"/>
          <w:szCs w:val="22"/>
        </w:rPr>
        <w:t xml:space="preserve"> </w:t>
      </w:r>
    </w:p>
    <w:p w14:paraId="0AF51ABB" w14:textId="32A6EF4C" w:rsidR="00F7436C" w:rsidRPr="00C113A7" w:rsidRDefault="00D67EDA" w:rsidP="00EF588E">
      <w:pPr>
        <w:spacing w:line="360" w:lineRule="auto"/>
        <w:jc w:val="both"/>
        <w:rPr>
          <w:rFonts w:ascii="Arial" w:hAnsi="Arial"/>
          <w:sz w:val="22"/>
          <w:szCs w:val="22"/>
        </w:rPr>
      </w:pPr>
      <w:r>
        <w:rPr>
          <w:rFonts w:ascii="Arial" w:hAnsi="Arial"/>
          <w:sz w:val="22"/>
          <w:szCs w:val="22"/>
        </w:rPr>
        <w:t>e</w:t>
      </w:r>
      <w:r w:rsidR="00C113A7">
        <w:rPr>
          <w:rFonts w:ascii="Arial" w:hAnsi="Arial"/>
          <w:sz w:val="22"/>
          <w:szCs w:val="22"/>
        </w:rPr>
        <w:t xml:space="preserve">nters into any agreement or engages in any arrangement or transaction with anyone in connection with that property, whether that agreement, arrangement or transaction </w:t>
      </w:r>
      <w:r w:rsidR="00C113A7">
        <w:rPr>
          <w:rFonts w:ascii="Arial" w:hAnsi="Arial"/>
          <w:sz w:val="22"/>
          <w:szCs w:val="22"/>
        </w:rPr>
        <w:lastRenderedPageBreak/>
        <w:t>is legally enforceable or not . . . and that agreement, transaction or act has or is likely to have the effect of concealing or disguising the true nature, origin, source, location, disposition or movement of the property or its ownership, or any interest which anyone may have in respect of that property commits the offence of money laundering.’</w:t>
      </w:r>
    </w:p>
    <w:p w14:paraId="36B8A37D" w14:textId="77777777" w:rsidR="00F7436C" w:rsidRPr="00F7436C" w:rsidRDefault="00F7436C" w:rsidP="00F7436C">
      <w:pPr>
        <w:pStyle w:val="ListParagraph"/>
        <w:rPr>
          <w:rFonts w:ascii="Arial" w:hAnsi="Arial"/>
        </w:rPr>
      </w:pPr>
    </w:p>
    <w:p w14:paraId="03AA48D4" w14:textId="23384D99" w:rsidR="00F7436C" w:rsidRDefault="00C113A7" w:rsidP="00F102A7">
      <w:pPr>
        <w:pStyle w:val="ListParagraph"/>
        <w:numPr>
          <w:ilvl w:val="0"/>
          <w:numId w:val="5"/>
        </w:numPr>
        <w:spacing w:line="360" w:lineRule="auto"/>
        <w:ind w:left="0" w:firstLine="0"/>
        <w:jc w:val="both"/>
        <w:rPr>
          <w:rFonts w:ascii="Arial" w:hAnsi="Arial"/>
        </w:rPr>
      </w:pPr>
      <w:r>
        <w:rPr>
          <w:rFonts w:ascii="Arial" w:hAnsi="Arial"/>
        </w:rPr>
        <w:t>Section 6 of the Act, on the other hand, provides the following:</w:t>
      </w:r>
    </w:p>
    <w:p w14:paraId="75504371" w14:textId="77777777" w:rsidR="00C113A7" w:rsidRDefault="00C113A7" w:rsidP="00C113A7">
      <w:pPr>
        <w:spacing w:line="360" w:lineRule="auto"/>
        <w:jc w:val="both"/>
        <w:rPr>
          <w:rFonts w:ascii="Arial" w:hAnsi="Arial"/>
        </w:rPr>
      </w:pPr>
    </w:p>
    <w:p w14:paraId="75C9F086" w14:textId="0C9A7781" w:rsidR="00C113A7" w:rsidRDefault="00C113A7" w:rsidP="00EF588E">
      <w:pPr>
        <w:spacing w:line="360" w:lineRule="auto"/>
        <w:ind w:firstLine="720"/>
        <w:jc w:val="both"/>
        <w:rPr>
          <w:rFonts w:ascii="Arial" w:hAnsi="Arial"/>
          <w:sz w:val="22"/>
          <w:szCs w:val="22"/>
        </w:rPr>
      </w:pPr>
      <w:r>
        <w:rPr>
          <w:rFonts w:ascii="Arial" w:hAnsi="Arial"/>
          <w:sz w:val="22"/>
          <w:szCs w:val="22"/>
        </w:rPr>
        <w:t>‘Any person who acquires; uses; has possession of . . . property and knows or ought to reasonably have known</w:t>
      </w:r>
      <w:r w:rsidR="00053568">
        <w:rPr>
          <w:rFonts w:ascii="Arial" w:hAnsi="Arial"/>
          <w:sz w:val="22"/>
          <w:szCs w:val="22"/>
        </w:rPr>
        <w:t xml:space="preserve"> that it forms part of the proceeds of unlawful activities commits the offence of money laundering.’</w:t>
      </w:r>
    </w:p>
    <w:p w14:paraId="5EBC70C8" w14:textId="77777777" w:rsidR="00053568" w:rsidRDefault="00053568" w:rsidP="00053568">
      <w:pPr>
        <w:spacing w:line="360" w:lineRule="auto"/>
        <w:jc w:val="both"/>
        <w:rPr>
          <w:rFonts w:ascii="Arial" w:hAnsi="Arial"/>
          <w:sz w:val="22"/>
          <w:szCs w:val="22"/>
        </w:rPr>
      </w:pPr>
    </w:p>
    <w:p w14:paraId="7E3F8497" w14:textId="6F5ACDAC" w:rsidR="00053568" w:rsidRPr="00EF588E" w:rsidRDefault="00053568" w:rsidP="00053568">
      <w:pPr>
        <w:spacing w:line="360" w:lineRule="auto"/>
        <w:jc w:val="both"/>
        <w:rPr>
          <w:rFonts w:ascii="Arial" w:hAnsi="Arial"/>
        </w:rPr>
      </w:pPr>
      <w:r w:rsidRPr="00EF588E">
        <w:rPr>
          <w:rFonts w:ascii="Arial" w:hAnsi="Arial"/>
        </w:rPr>
        <w:t>[54]</w:t>
      </w:r>
      <w:r w:rsidRPr="00EF588E">
        <w:rPr>
          <w:rFonts w:ascii="Arial" w:hAnsi="Arial"/>
        </w:rPr>
        <w:tab/>
        <w:t>It becomes necessary, in this regard, with the above provisions in mind, to consider the movement and dealings with the amounts of money paid by Lycia in respect of the diamonds. Again, this information is not challenged. In point of fact, with electronic transactions being employed, the trail of the money and sometimes its use, is not difficult to detect. Footprints, as it were, of the money, become engraved in the tapestry of electronic information</w:t>
      </w:r>
      <w:r w:rsidR="00A96A3D">
        <w:rPr>
          <w:rFonts w:ascii="Arial" w:hAnsi="Arial"/>
        </w:rPr>
        <w:t xml:space="preserve"> maintained by the banks and other entities</w:t>
      </w:r>
      <w:r w:rsidRPr="00EF588E">
        <w:rPr>
          <w:rFonts w:ascii="Arial" w:hAnsi="Arial"/>
        </w:rPr>
        <w:t>.</w:t>
      </w:r>
      <w:r w:rsidR="002E7D33">
        <w:rPr>
          <w:rFonts w:ascii="Arial" w:hAnsi="Arial"/>
        </w:rPr>
        <w:t xml:space="preserve"> These are recorded and filed in evidence by the PG in her application. I shall, however, not make specific reference to the source of each transaction in the course of the judgment.</w:t>
      </w:r>
    </w:p>
    <w:p w14:paraId="7AA857E8" w14:textId="77777777" w:rsidR="00053568" w:rsidRPr="00EF588E" w:rsidRDefault="00053568" w:rsidP="00053568">
      <w:pPr>
        <w:spacing w:line="360" w:lineRule="auto"/>
        <w:jc w:val="both"/>
        <w:rPr>
          <w:rFonts w:ascii="Arial" w:hAnsi="Arial"/>
        </w:rPr>
      </w:pPr>
    </w:p>
    <w:p w14:paraId="0F83660B" w14:textId="2789D681" w:rsidR="00053568" w:rsidRPr="00EF588E" w:rsidRDefault="00053568" w:rsidP="00053568">
      <w:pPr>
        <w:spacing w:line="360" w:lineRule="auto"/>
        <w:jc w:val="both"/>
        <w:rPr>
          <w:rFonts w:ascii="Arial" w:hAnsi="Arial"/>
        </w:rPr>
      </w:pPr>
      <w:r w:rsidRPr="00EF588E">
        <w:rPr>
          <w:rFonts w:ascii="Arial" w:hAnsi="Arial"/>
        </w:rPr>
        <w:t>[55]</w:t>
      </w:r>
      <w:r w:rsidRPr="00EF588E">
        <w:rPr>
          <w:rFonts w:ascii="Arial" w:hAnsi="Arial"/>
        </w:rPr>
        <w:tab/>
        <w:t xml:space="preserve">In this connection, the money paid into </w:t>
      </w:r>
      <w:proofErr w:type="spellStart"/>
      <w:r w:rsidRPr="00EF588E">
        <w:rPr>
          <w:rFonts w:ascii="Arial" w:hAnsi="Arial"/>
        </w:rPr>
        <w:t>Cabino’s</w:t>
      </w:r>
      <w:proofErr w:type="spellEnd"/>
      <w:r w:rsidRPr="00EF588E">
        <w:rPr>
          <w:rFonts w:ascii="Arial" w:hAnsi="Arial"/>
        </w:rPr>
        <w:t xml:space="preserve"> FNB account, from the information availed, was N$860 866</w:t>
      </w:r>
      <w:proofErr w:type="gramStart"/>
      <w:r w:rsidRPr="00EF588E">
        <w:rPr>
          <w:rFonts w:ascii="Arial" w:hAnsi="Arial"/>
        </w:rPr>
        <w:t>,70</w:t>
      </w:r>
      <w:proofErr w:type="gramEnd"/>
      <w:r w:rsidRPr="00EF588E">
        <w:rPr>
          <w:rFonts w:ascii="Arial" w:hAnsi="Arial"/>
        </w:rPr>
        <w:t xml:space="preserve">. </w:t>
      </w:r>
      <w:proofErr w:type="spellStart"/>
      <w:r w:rsidRPr="00EF588E">
        <w:rPr>
          <w:rFonts w:ascii="Arial" w:hAnsi="Arial"/>
        </w:rPr>
        <w:t>Cabino</w:t>
      </w:r>
      <w:proofErr w:type="spellEnd"/>
      <w:r w:rsidRPr="00EF588E">
        <w:rPr>
          <w:rFonts w:ascii="Arial" w:hAnsi="Arial"/>
        </w:rPr>
        <w:t>, prior to this transfer, had a bala</w:t>
      </w:r>
      <w:r w:rsidR="00A96A3D">
        <w:rPr>
          <w:rFonts w:ascii="Arial" w:hAnsi="Arial"/>
        </w:rPr>
        <w:t>nce in that account of N$50 239</w:t>
      </w:r>
      <w:proofErr w:type="gramStart"/>
      <w:r w:rsidR="00A96A3D">
        <w:rPr>
          <w:rFonts w:ascii="Arial" w:hAnsi="Arial"/>
        </w:rPr>
        <w:t>,</w:t>
      </w:r>
      <w:r w:rsidRPr="00EF588E">
        <w:rPr>
          <w:rFonts w:ascii="Arial" w:hAnsi="Arial"/>
        </w:rPr>
        <w:t>07</w:t>
      </w:r>
      <w:proofErr w:type="gramEnd"/>
      <w:r w:rsidRPr="00EF588E">
        <w:rPr>
          <w:rFonts w:ascii="Arial" w:hAnsi="Arial"/>
        </w:rPr>
        <w:t xml:space="preserve">. Having had this windfall from Lycia, Mr </w:t>
      </w:r>
      <w:proofErr w:type="spellStart"/>
      <w:r w:rsidRPr="00EF588E">
        <w:rPr>
          <w:rFonts w:ascii="Arial" w:hAnsi="Arial"/>
        </w:rPr>
        <w:t>Hei</w:t>
      </w:r>
      <w:r w:rsidR="00A96A3D">
        <w:rPr>
          <w:rFonts w:ascii="Arial" w:hAnsi="Arial"/>
        </w:rPr>
        <w:t>ta</w:t>
      </w:r>
      <w:proofErr w:type="spellEnd"/>
      <w:r w:rsidR="00A96A3D">
        <w:rPr>
          <w:rFonts w:ascii="Arial" w:hAnsi="Arial"/>
        </w:rPr>
        <w:t xml:space="preserve"> transferred N$25 000 to his FNB account and also withdrew an</w:t>
      </w:r>
      <w:r w:rsidRPr="00EF588E">
        <w:rPr>
          <w:rFonts w:ascii="Arial" w:hAnsi="Arial"/>
        </w:rPr>
        <w:t xml:space="preserve"> amount of N$631 000 in cash, leaving the balance of N$1 208</w:t>
      </w:r>
      <w:proofErr w:type="gramStart"/>
      <w:r w:rsidRPr="00EF588E">
        <w:rPr>
          <w:rFonts w:ascii="Arial" w:hAnsi="Arial"/>
        </w:rPr>
        <w:t>,90</w:t>
      </w:r>
      <w:proofErr w:type="gramEnd"/>
      <w:r w:rsidRPr="00EF588E">
        <w:rPr>
          <w:rFonts w:ascii="Arial" w:hAnsi="Arial"/>
        </w:rPr>
        <w:t xml:space="preserve"> in the account.</w:t>
      </w:r>
    </w:p>
    <w:p w14:paraId="73C43498" w14:textId="77777777" w:rsidR="00053568" w:rsidRPr="00EF588E" w:rsidRDefault="00053568" w:rsidP="00053568">
      <w:pPr>
        <w:spacing w:line="360" w:lineRule="auto"/>
        <w:jc w:val="both"/>
        <w:rPr>
          <w:rFonts w:ascii="Arial" w:hAnsi="Arial"/>
        </w:rPr>
      </w:pPr>
    </w:p>
    <w:p w14:paraId="500BF785" w14:textId="5F766958" w:rsidR="00053568" w:rsidRPr="00EF588E" w:rsidRDefault="00053568" w:rsidP="00053568">
      <w:pPr>
        <w:spacing w:line="360" w:lineRule="auto"/>
        <w:jc w:val="both"/>
        <w:rPr>
          <w:rFonts w:ascii="Arial" w:hAnsi="Arial"/>
        </w:rPr>
      </w:pPr>
      <w:r w:rsidRPr="00EF588E">
        <w:rPr>
          <w:rFonts w:ascii="Arial" w:hAnsi="Arial"/>
        </w:rPr>
        <w:t>[56]</w:t>
      </w:r>
      <w:r w:rsidRPr="00EF588E">
        <w:rPr>
          <w:rFonts w:ascii="Arial" w:hAnsi="Arial"/>
        </w:rPr>
        <w:tab/>
        <w:t xml:space="preserve">Prior to the deposit mentioned above, Mr </w:t>
      </w:r>
      <w:proofErr w:type="spellStart"/>
      <w:r w:rsidRPr="00EF588E">
        <w:rPr>
          <w:rFonts w:ascii="Arial" w:hAnsi="Arial"/>
        </w:rPr>
        <w:t>Heita’s</w:t>
      </w:r>
      <w:proofErr w:type="spellEnd"/>
      <w:r w:rsidRPr="00EF588E">
        <w:rPr>
          <w:rFonts w:ascii="Arial" w:hAnsi="Arial"/>
        </w:rPr>
        <w:t xml:space="preserve"> FNB account had</w:t>
      </w:r>
      <w:r w:rsidR="00D67EDA">
        <w:rPr>
          <w:rFonts w:ascii="Arial" w:hAnsi="Arial"/>
        </w:rPr>
        <w:t xml:space="preserve"> a positive balance of N$995</w:t>
      </w:r>
      <w:r w:rsidRPr="00EF588E">
        <w:rPr>
          <w:rFonts w:ascii="Arial" w:hAnsi="Arial"/>
        </w:rPr>
        <w:t xml:space="preserve"> on 20 October 2021. As stated above, N$25 000 </w:t>
      </w:r>
      <w:r w:rsidR="00A96A3D">
        <w:rPr>
          <w:rFonts w:ascii="Arial" w:hAnsi="Arial"/>
        </w:rPr>
        <w:t>w</w:t>
      </w:r>
      <w:r w:rsidRPr="00EF588E">
        <w:rPr>
          <w:rFonts w:ascii="Arial" w:hAnsi="Arial"/>
        </w:rPr>
        <w:t>as deposited into the account. An amount of N$16 580 was withdrawn, leaving a balance of N$9 415</w:t>
      </w:r>
      <w:r w:rsidR="00994C25" w:rsidRPr="00EF588E">
        <w:rPr>
          <w:rFonts w:ascii="Arial" w:hAnsi="Arial"/>
        </w:rPr>
        <w:t xml:space="preserve">. His </w:t>
      </w:r>
      <w:proofErr w:type="spellStart"/>
      <w:r w:rsidR="00994C25" w:rsidRPr="00EF588E">
        <w:rPr>
          <w:rFonts w:ascii="Arial" w:hAnsi="Arial"/>
        </w:rPr>
        <w:t>Nampost</w:t>
      </w:r>
      <w:proofErr w:type="spellEnd"/>
      <w:r w:rsidR="00994C25" w:rsidRPr="00EF588E">
        <w:rPr>
          <w:rFonts w:ascii="Arial" w:hAnsi="Arial"/>
        </w:rPr>
        <w:t xml:space="preserve"> account only </w:t>
      </w:r>
      <w:r w:rsidR="002D4A28" w:rsidRPr="00EF588E">
        <w:rPr>
          <w:rFonts w:ascii="Arial" w:hAnsi="Arial"/>
        </w:rPr>
        <w:t>had one transaction since its inception, namely, receipt of an amount of N$61 000. T</w:t>
      </w:r>
      <w:r w:rsidR="00994C25" w:rsidRPr="00EF588E">
        <w:rPr>
          <w:rFonts w:ascii="Arial" w:hAnsi="Arial"/>
        </w:rPr>
        <w:t xml:space="preserve">his deposit appears to </w:t>
      </w:r>
      <w:r w:rsidR="002D4A28" w:rsidRPr="00EF588E">
        <w:rPr>
          <w:rFonts w:ascii="Arial" w:hAnsi="Arial"/>
        </w:rPr>
        <w:t xml:space="preserve">have </w:t>
      </w:r>
      <w:r w:rsidR="00994C25" w:rsidRPr="00EF588E">
        <w:rPr>
          <w:rFonts w:ascii="Arial" w:hAnsi="Arial"/>
        </w:rPr>
        <w:t>coincide</w:t>
      </w:r>
      <w:r w:rsidR="002D4A28" w:rsidRPr="00EF588E">
        <w:rPr>
          <w:rFonts w:ascii="Arial" w:hAnsi="Arial"/>
        </w:rPr>
        <w:t>d</w:t>
      </w:r>
      <w:r w:rsidR="00994C25" w:rsidRPr="00EF588E">
        <w:rPr>
          <w:rFonts w:ascii="Arial" w:hAnsi="Arial"/>
        </w:rPr>
        <w:t xml:space="preserve"> with the withdrawal of the amount of N$6</w:t>
      </w:r>
      <w:r w:rsidR="002D4A28" w:rsidRPr="00EF588E">
        <w:rPr>
          <w:rFonts w:ascii="Arial" w:hAnsi="Arial"/>
        </w:rPr>
        <w:t xml:space="preserve">31 000 from the FNB account. </w:t>
      </w:r>
    </w:p>
    <w:p w14:paraId="17362E29" w14:textId="77777777" w:rsidR="002D4A28" w:rsidRPr="00EF588E" w:rsidRDefault="002D4A28" w:rsidP="00053568">
      <w:pPr>
        <w:spacing w:line="360" w:lineRule="auto"/>
        <w:jc w:val="both"/>
        <w:rPr>
          <w:rFonts w:ascii="Arial" w:hAnsi="Arial"/>
        </w:rPr>
      </w:pPr>
    </w:p>
    <w:p w14:paraId="14959F88" w14:textId="5CB45039" w:rsidR="002D4A28" w:rsidRPr="00EF588E" w:rsidRDefault="002D4A28" w:rsidP="00053568">
      <w:pPr>
        <w:spacing w:line="360" w:lineRule="auto"/>
        <w:jc w:val="both"/>
        <w:rPr>
          <w:rFonts w:ascii="Arial" w:hAnsi="Arial"/>
        </w:rPr>
      </w:pPr>
      <w:r w:rsidRPr="00EF588E">
        <w:rPr>
          <w:rFonts w:ascii="Arial" w:hAnsi="Arial"/>
        </w:rPr>
        <w:lastRenderedPageBreak/>
        <w:t>[57]</w:t>
      </w:r>
      <w:r w:rsidRPr="00EF588E">
        <w:rPr>
          <w:rFonts w:ascii="Arial" w:hAnsi="Arial"/>
        </w:rPr>
        <w:tab/>
        <w:t xml:space="preserve">The activities on these accounts, appear to paint a picture on the canvass that suggests the conclusion, on a balance of probabilities, that Mr </w:t>
      </w:r>
      <w:proofErr w:type="spellStart"/>
      <w:r w:rsidRPr="00EF588E">
        <w:rPr>
          <w:rFonts w:ascii="Arial" w:hAnsi="Arial"/>
        </w:rPr>
        <w:t>Heita’s</w:t>
      </w:r>
      <w:proofErr w:type="spellEnd"/>
      <w:r w:rsidRPr="00EF588E">
        <w:rPr>
          <w:rFonts w:ascii="Arial" w:hAnsi="Arial"/>
        </w:rPr>
        <w:t xml:space="preserve"> accounts and </w:t>
      </w:r>
      <w:proofErr w:type="spellStart"/>
      <w:r w:rsidRPr="00EF588E">
        <w:rPr>
          <w:rFonts w:ascii="Arial" w:hAnsi="Arial"/>
        </w:rPr>
        <w:t>Cabino’s</w:t>
      </w:r>
      <w:proofErr w:type="spellEnd"/>
      <w:r w:rsidRPr="00EF588E">
        <w:rPr>
          <w:rFonts w:ascii="Arial" w:hAnsi="Arial"/>
        </w:rPr>
        <w:t xml:space="preserve"> account, had relatively low balances until the payment of the amount by Lycia, thus creating a link between the hive of activity after the deposit and the transfer of the money into </w:t>
      </w:r>
      <w:proofErr w:type="spellStart"/>
      <w:r w:rsidRPr="00EF588E">
        <w:rPr>
          <w:rFonts w:ascii="Arial" w:hAnsi="Arial"/>
        </w:rPr>
        <w:t>Cabino’s</w:t>
      </w:r>
      <w:proofErr w:type="spellEnd"/>
      <w:r w:rsidRPr="00EF588E">
        <w:rPr>
          <w:rFonts w:ascii="Arial" w:hAnsi="Arial"/>
        </w:rPr>
        <w:t xml:space="preserve"> account. It appears to me, having regard to the timing and movement of money in these related accounts that Mr </w:t>
      </w:r>
      <w:proofErr w:type="spellStart"/>
      <w:r w:rsidRPr="00EF588E">
        <w:rPr>
          <w:rFonts w:ascii="Arial" w:hAnsi="Arial"/>
        </w:rPr>
        <w:t>Heita</w:t>
      </w:r>
      <w:proofErr w:type="spellEnd"/>
      <w:r w:rsidRPr="00EF588E">
        <w:rPr>
          <w:rFonts w:ascii="Arial" w:hAnsi="Arial"/>
        </w:rPr>
        <w:t xml:space="preserve"> knew or ought </w:t>
      </w:r>
      <w:r w:rsidR="00D67EDA">
        <w:rPr>
          <w:rFonts w:ascii="Arial" w:hAnsi="Arial"/>
        </w:rPr>
        <w:t xml:space="preserve">reasonably </w:t>
      </w:r>
      <w:r w:rsidRPr="00EF588E">
        <w:rPr>
          <w:rFonts w:ascii="Arial" w:hAnsi="Arial"/>
        </w:rPr>
        <w:t xml:space="preserve">to have known that the amount of N$860 855,70 deposited in </w:t>
      </w:r>
      <w:proofErr w:type="spellStart"/>
      <w:r w:rsidRPr="00EF588E">
        <w:rPr>
          <w:rFonts w:ascii="Arial" w:hAnsi="Arial"/>
        </w:rPr>
        <w:t>Cabino’s</w:t>
      </w:r>
      <w:proofErr w:type="spellEnd"/>
      <w:r w:rsidRPr="00EF588E">
        <w:rPr>
          <w:rFonts w:ascii="Arial" w:hAnsi="Arial"/>
        </w:rPr>
        <w:t xml:space="preserve"> FNB account, was proceeds of unlawful activities. </w:t>
      </w:r>
    </w:p>
    <w:p w14:paraId="575B36BC" w14:textId="77777777" w:rsidR="002D4A28" w:rsidRDefault="002D4A28" w:rsidP="00053568">
      <w:pPr>
        <w:spacing w:line="360" w:lineRule="auto"/>
        <w:jc w:val="both"/>
        <w:rPr>
          <w:rFonts w:ascii="Arial" w:hAnsi="Arial"/>
          <w:sz w:val="22"/>
          <w:szCs w:val="22"/>
        </w:rPr>
      </w:pPr>
    </w:p>
    <w:p w14:paraId="4616B2DF" w14:textId="6CF0C817" w:rsidR="002D4A28" w:rsidRDefault="002D4A28" w:rsidP="00053568">
      <w:pPr>
        <w:spacing w:line="360" w:lineRule="auto"/>
        <w:jc w:val="both"/>
        <w:rPr>
          <w:rFonts w:ascii="Arial" w:hAnsi="Arial"/>
        </w:rPr>
      </w:pPr>
      <w:r w:rsidRPr="00A41EE3">
        <w:rPr>
          <w:rFonts w:ascii="Arial" w:hAnsi="Arial"/>
        </w:rPr>
        <w:t>[58]</w:t>
      </w:r>
      <w:r w:rsidRPr="00A41EE3">
        <w:rPr>
          <w:rFonts w:ascii="Arial" w:hAnsi="Arial"/>
        </w:rPr>
        <w:tab/>
        <w:t xml:space="preserve">It is also plain that the movement of the funds received fraudulently from Lycia, </w:t>
      </w:r>
      <w:proofErr w:type="spellStart"/>
      <w:r w:rsidRPr="00A41EE3">
        <w:rPr>
          <w:rFonts w:ascii="Arial" w:hAnsi="Arial"/>
        </w:rPr>
        <w:t>ie</w:t>
      </w:r>
      <w:proofErr w:type="spellEnd"/>
      <w:r w:rsidRPr="00A41EE3">
        <w:rPr>
          <w:rFonts w:ascii="Arial" w:hAnsi="Arial"/>
        </w:rPr>
        <w:t xml:space="preserve"> deposits and withdrawals, as indicated above, had the </w:t>
      </w:r>
      <w:r w:rsidR="00A41EE3" w:rsidRPr="00A41EE3">
        <w:rPr>
          <w:rFonts w:ascii="Arial" w:hAnsi="Arial"/>
        </w:rPr>
        <w:t xml:space="preserve">ominous </w:t>
      </w:r>
      <w:r w:rsidRPr="00A41EE3">
        <w:rPr>
          <w:rFonts w:ascii="Arial" w:hAnsi="Arial"/>
        </w:rPr>
        <w:t>effect of</w:t>
      </w:r>
      <w:r w:rsidR="00A41EE3" w:rsidRPr="00A41EE3">
        <w:rPr>
          <w:rFonts w:ascii="Arial" w:hAnsi="Arial"/>
        </w:rPr>
        <w:t xml:space="preserve"> concealing or disguising the true origin of the money received </w:t>
      </w:r>
      <w:r w:rsidR="00A41EE3" w:rsidRPr="00A41EE3">
        <w:rPr>
          <w:rStyle w:val="SubtleEmphasis"/>
          <w:rFonts w:ascii="Arial" w:hAnsi="Arial" w:cs="Arial"/>
          <w:i w:val="0"/>
        </w:rPr>
        <w:t>from Lycia</w:t>
      </w:r>
      <w:r w:rsidR="00A41EE3">
        <w:rPr>
          <w:rFonts w:ascii="Arial" w:hAnsi="Arial"/>
        </w:rPr>
        <w:t>. This, it seems to me, was in violation of the provisions s 4(</w:t>
      </w:r>
      <w:r w:rsidR="00A41EE3">
        <w:rPr>
          <w:rFonts w:ascii="Arial" w:hAnsi="Arial"/>
          <w:i/>
        </w:rPr>
        <w:t>a</w:t>
      </w:r>
      <w:proofErr w:type="gramStart"/>
      <w:r w:rsidR="00A41EE3">
        <w:rPr>
          <w:rFonts w:ascii="Arial" w:hAnsi="Arial"/>
        </w:rPr>
        <w:t>)(</w:t>
      </w:r>
      <w:proofErr w:type="spellStart"/>
      <w:proofErr w:type="gramEnd"/>
      <w:r w:rsidR="00A41EE3">
        <w:rPr>
          <w:rFonts w:ascii="Arial" w:hAnsi="Arial"/>
          <w:i/>
        </w:rPr>
        <w:t>i</w:t>
      </w:r>
      <w:proofErr w:type="spellEnd"/>
      <w:r w:rsidR="00A41EE3">
        <w:rPr>
          <w:rFonts w:ascii="Arial" w:hAnsi="Arial"/>
        </w:rPr>
        <w:t xml:space="preserve">), quoted above. Furthermore, it also </w:t>
      </w:r>
      <w:r w:rsidR="00A96A3D">
        <w:rPr>
          <w:rFonts w:ascii="Arial" w:hAnsi="Arial"/>
        </w:rPr>
        <w:t xml:space="preserve">seems on the balance, to have </w:t>
      </w:r>
      <w:r w:rsidR="00A41EE3">
        <w:rPr>
          <w:rFonts w:ascii="Arial" w:hAnsi="Arial"/>
        </w:rPr>
        <w:t>co</w:t>
      </w:r>
      <w:r w:rsidR="00AA5F59">
        <w:rPr>
          <w:rFonts w:ascii="Arial" w:hAnsi="Arial"/>
        </w:rPr>
        <w:t>ntravened the provisions of s 6</w:t>
      </w:r>
      <w:r w:rsidR="00A41EE3">
        <w:rPr>
          <w:rFonts w:ascii="Arial" w:hAnsi="Arial"/>
        </w:rPr>
        <w:t xml:space="preserve"> of the Act, also quoted above.</w:t>
      </w:r>
      <w:r w:rsidRPr="00A41EE3">
        <w:rPr>
          <w:rFonts w:ascii="Arial" w:hAnsi="Arial"/>
        </w:rPr>
        <w:t xml:space="preserve">  </w:t>
      </w:r>
    </w:p>
    <w:p w14:paraId="3F1D7262" w14:textId="77777777" w:rsidR="00AA5F59" w:rsidRDefault="00AA5F59" w:rsidP="00053568">
      <w:pPr>
        <w:spacing w:line="360" w:lineRule="auto"/>
        <w:jc w:val="both"/>
        <w:rPr>
          <w:rFonts w:ascii="Arial" w:hAnsi="Arial"/>
        </w:rPr>
      </w:pPr>
    </w:p>
    <w:p w14:paraId="67B9F1F1" w14:textId="179FEC22" w:rsidR="00AA5F59" w:rsidRDefault="00AA5F59" w:rsidP="00053568">
      <w:pPr>
        <w:spacing w:line="360" w:lineRule="auto"/>
        <w:jc w:val="both"/>
        <w:rPr>
          <w:rFonts w:ascii="Arial" w:hAnsi="Arial"/>
        </w:rPr>
      </w:pPr>
      <w:r>
        <w:rPr>
          <w:rFonts w:ascii="Arial" w:hAnsi="Arial"/>
        </w:rPr>
        <w:t>[59]</w:t>
      </w:r>
      <w:r>
        <w:rPr>
          <w:rFonts w:ascii="Arial" w:hAnsi="Arial"/>
        </w:rPr>
        <w:tab/>
        <w:t xml:space="preserve">I now turn to the activities on the </w:t>
      </w:r>
      <w:r w:rsidR="00E94CD3">
        <w:rPr>
          <w:rFonts w:ascii="Arial" w:hAnsi="Arial"/>
        </w:rPr>
        <w:t xml:space="preserve">movement of money in the </w:t>
      </w:r>
      <w:r w:rsidR="003579B4">
        <w:rPr>
          <w:rFonts w:ascii="Arial" w:hAnsi="Arial"/>
        </w:rPr>
        <w:t xml:space="preserve">accounts of Mr </w:t>
      </w:r>
      <w:proofErr w:type="spellStart"/>
      <w:r w:rsidR="003579B4">
        <w:rPr>
          <w:rFonts w:ascii="Arial" w:hAnsi="Arial"/>
        </w:rPr>
        <w:t>Ka</w:t>
      </w:r>
      <w:r>
        <w:rPr>
          <w:rFonts w:ascii="Arial" w:hAnsi="Arial"/>
        </w:rPr>
        <w:t>ngonga</w:t>
      </w:r>
      <w:proofErr w:type="spellEnd"/>
      <w:r>
        <w:rPr>
          <w:rFonts w:ascii="Arial" w:hAnsi="Arial"/>
        </w:rPr>
        <w:t xml:space="preserve">. Before receiving the amount of </w:t>
      </w:r>
      <w:r w:rsidR="003579B4">
        <w:rPr>
          <w:rFonts w:ascii="Arial" w:hAnsi="Arial"/>
        </w:rPr>
        <w:t>N$4 119 457</w:t>
      </w:r>
      <w:proofErr w:type="gramStart"/>
      <w:r w:rsidR="002E7D33">
        <w:rPr>
          <w:rFonts w:ascii="Arial" w:hAnsi="Arial"/>
        </w:rPr>
        <w:t>,</w:t>
      </w:r>
      <w:r w:rsidR="00EF588E">
        <w:rPr>
          <w:rFonts w:ascii="Arial" w:hAnsi="Arial"/>
        </w:rPr>
        <w:t>56</w:t>
      </w:r>
      <w:proofErr w:type="gramEnd"/>
      <w:r w:rsidR="003579B4">
        <w:rPr>
          <w:rFonts w:ascii="Arial" w:hAnsi="Arial"/>
        </w:rPr>
        <w:t xml:space="preserve"> from Lycia, Mr </w:t>
      </w:r>
      <w:proofErr w:type="spellStart"/>
      <w:r w:rsidR="003579B4">
        <w:rPr>
          <w:rFonts w:ascii="Arial" w:hAnsi="Arial"/>
        </w:rPr>
        <w:t>Ka</w:t>
      </w:r>
      <w:r>
        <w:rPr>
          <w:rFonts w:ascii="Arial" w:hAnsi="Arial"/>
        </w:rPr>
        <w:t>ngonga’s</w:t>
      </w:r>
      <w:proofErr w:type="spellEnd"/>
      <w:r>
        <w:rPr>
          <w:rFonts w:ascii="Arial" w:hAnsi="Arial"/>
        </w:rPr>
        <w:t xml:space="preserve"> FNB account had the paltry amount of N$ 356</w:t>
      </w:r>
      <w:r w:rsidR="002E7D33">
        <w:rPr>
          <w:rFonts w:ascii="Arial" w:hAnsi="Arial"/>
        </w:rPr>
        <w:t>,</w:t>
      </w:r>
      <w:r w:rsidR="00EF588E">
        <w:rPr>
          <w:rFonts w:ascii="Arial" w:hAnsi="Arial"/>
        </w:rPr>
        <w:t>48</w:t>
      </w:r>
      <w:r>
        <w:rPr>
          <w:rFonts w:ascii="Arial" w:hAnsi="Arial"/>
        </w:rPr>
        <w:t xml:space="preserve">. After the windfall, as it were, from Lycia, stated above, the following transactions were made on the said account: a transfer of N$58 000 was made to a Mr </w:t>
      </w:r>
      <w:proofErr w:type="spellStart"/>
      <w:r>
        <w:rPr>
          <w:rFonts w:ascii="Arial" w:hAnsi="Arial"/>
        </w:rPr>
        <w:t>Nanyeni’s</w:t>
      </w:r>
      <w:proofErr w:type="spellEnd"/>
      <w:r>
        <w:rPr>
          <w:rFonts w:ascii="Arial" w:hAnsi="Arial"/>
        </w:rPr>
        <w:t xml:space="preserve"> FNF account; a transfer of N$100 000 was made to a Ms </w:t>
      </w:r>
      <w:proofErr w:type="spellStart"/>
      <w:r>
        <w:rPr>
          <w:rFonts w:ascii="Arial" w:hAnsi="Arial"/>
        </w:rPr>
        <w:t>Shilunga’s</w:t>
      </w:r>
      <w:proofErr w:type="spellEnd"/>
      <w:r>
        <w:rPr>
          <w:rFonts w:ascii="Arial" w:hAnsi="Arial"/>
        </w:rPr>
        <w:t xml:space="preserve"> FNB account; N$46 000 was transferred to a Mr </w:t>
      </w:r>
      <w:proofErr w:type="spellStart"/>
      <w:r>
        <w:rPr>
          <w:rFonts w:ascii="Arial" w:hAnsi="Arial"/>
        </w:rPr>
        <w:t>Nepolo’s</w:t>
      </w:r>
      <w:proofErr w:type="spellEnd"/>
      <w:r>
        <w:rPr>
          <w:rFonts w:ascii="Arial" w:hAnsi="Arial"/>
        </w:rPr>
        <w:t xml:space="preserve"> FNB account and a cash withdrawal of N$63 730 was made from the said account. This left a balance of N$2 307 342</w:t>
      </w:r>
      <w:proofErr w:type="gramStart"/>
      <w:r w:rsidR="002E7D33">
        <w:rPr>
          <w:rFonts w:ascii="Arial" w:hAnsi="Arial"/>
        </w:rPr>
        <w:t>,</w:t>
      </w:r>
      <w:r w:rsidR="00EF588E">
        <w:rPr>
          <w:rFonts w:ascii="Arial" w:hAnsi="Arial"/>
        </w:rPr>
        <w:t>93</w:t>
      </w:r>
      <w:proofErr w:type="gramEnd"/>
      <w:r>
        <w:rPr>
          <w:rFonts w:ascii="Arial" w:hAnsi="Arial"/>
        </w:rPr>
        <w:t xml:space="preserve"> on the said account.</w:t>
      </w:r>
    </w:p>
    <w:p w14:paraId="0EDA326C" w14:textId="77777777" w:rsidR="003579B4" w:rsidRDefault="003579B4" w:rsidP="00053568">
      <w:pPr>
        <w:spacing w:line="360" w:lineRule="auto"/>
        <w:jc w:val="both"/>
        <w:rPr>
          <w:rFonts w:ascii="Arial" w:hAnsi="Arial"/>
        </w:rPr>
      </w:pPr>
    </w:p>
    <w:p w14:paraId="1DE69020" w14:textId="168B9E34" w:rsidR="00E94CD3" w:rsidRDefault="00E94CD3" w:rsidP="00053568">
      <w:pPr>
        <w:spacing w:line="360" w:lineRule="auto"/>
        <w:jc w:val="both"/>
        <w:rPr>
          <w:rFonts w:ascii="Arial" w:hAnsi="Arial"/>
        </w:rPr>
      </w:pPr>
      <w:r>
        <w:rPr>
          <w:rFonts w:ascii="Arial" w:hAnsi="Arial"/>
        </w:rPr>
        <w:t>[60]</w:t>
      </w:r>
      <w:r>
        <w:rPr>
          <w:rFonts w:ascii="Arial" w:hAnsi="Arial"/>
        </w:rPr>
        <w:tab/>
        <w:t>Having regard to the above factual matrix, it appears to me that the probabilities favour the conclusion that the transfers</w:t>
      </w:r>
      <w:r w:rsidR="003579B4">
        <w:rPr>
          <w:rFonts w:ascii="Arial" w:hAnsi="Arial"/>
        </w:rPr>
        <w:t xml:space="preserve"> and withdrawals from Mr </w:t>
      </w:r>
      <w:proofErr w:type="spellStart"/>
      <w:r w:rsidR="003579B4">
        <w:rPr>
          <w:rFonts w:ascii="Arial" w:hAnsi="Arial"/>
        </w:rPr>
        <w:t>Ka</w:t>
      </w:r>
      <w:r w:rsidR="00A96A3D">
        <w:rPr>
          <w:rFonts w:ascii="Arial" w:hAnsi="Arial"/>
        </w:rPr>
        <w:t>ngonga’s</w:t>
      </w:r>
      <w:proofErr w:type="spellEnd"/>
      <w:r w:rsidR="00A96A3D">
        <w:rPr>
          <w:rFonts w:ascii="Arial" w:hAnsi="Arial"/>
        </w:rPr>
        <w:t xml:space="preserve"> account were</w:t>
      </w:r>
      <w:r>
        <w:rPr>
          <w:rFonts w:ascii="Arial" w:hAnsi="Arial"/>
        </w:rPr>
        <w:t xml:space="preserve"> done with the object of concealing or disguising the true origin, source and disposition of the money received from Lycia. I am </w:t>
      </w:r>
      <w:r w:rsidR="00A96A3D">
        <w:rPr>
          <w:rFonts w:ascii="Arial" w:hAnsi="Arial"/>
        </w:rPr>
        <w:t>of the considered opinion on a</w:t>
      </w:r>
      <w:r>
        <w:rPr>
          <w:rFonts w:ascii="Arial" w:hAnsi="Arial"/>
        </w:rPr>
        <w:t xml:space="preserve"> preponderance of probabilities that this was done in violation of s 4(</w:t>
      </w:r>
      <w:r>
        <w:rPr>
          <w:rFonts w:ascii="Arial" w:hAnsi="Arial"/>
          <w:i/>
        </w:rPr>
        <w:t>a</w:t>
      </w:r>
      <w:proofErr w:type="gramStart"/>
      <w:r>
        <w:rPr>
          <w:rFonts w:ascii="Arial" w:hAnsi="Arial"/>
        </w:rPr>
        <w:t>)(</w:t>
      </w:r>
      <w:proofErr w:type="gramEnd"/>
      <w:r>
        <w:rPr>
          <w:rFonts w:ascii="Arial" w:hAnsi="Arial"/>
          <w:i/>
        </w:rPr>
        <w:t>ii</w:t>
      </w:r>
      <w:r>
        <w:rPr>
          <w:rFonts w:ascii="Arial" w:hAnsi="Arial"/>
        </w:rPr>
        <w:t xml:space="preserve">) of the Act. </w:t>
      </w:r>
    </w:p>
    <w:p w14:paraId="2ED5E501" w14:textId="77777777" w:rsidR="00E94CD3" w:rsidRDefault="00E94CD3" w:rsidP="00053568">
      <w:pPr>
        <w:spacing w:line="360" w:lineRule="auto"/>
        <w:jc w:val="both"/>
        <w:rPr>
          <w:rFonts w:ascii="Arial" w:hAnsi="Arial"/>
        </w:rPr>
      </w:pPr>
    </w:p>
    <w:p w14:paraId="58A08708" w14:textId="0540F933" w:rsidR="00036CB9" w:rsidRDefault="00E94CD3" w:rsidP="00053568">
      <w:pPr>
        <w:spacing w:line="360" w:lineRule="auto"/>
        <w:jc w:val="both"/>
        <w:rPr>
          <w:rFonts w:ascii="Arial" w:hAnsi="Arial"/>
        </w:rPr>
      </w:pPr>
      <w:r>
        <w:rPr>
          <w:rFonts w:ascii="Arial" w:hAnsi="Arial"/>
        </w:rPr>
        <w:lastRenderedPageBreak/>
        <w:t>[61]</w:t>
      </w:r>
      <w:r>
        <w:rPr>
          <w:rFonts w:ascii="Arial" w:hAnsi="Arial"/>
        </w:rPr>
        <w:tab/>
        <w:t>In like measure, it appears to me on a balance</w:t>
      </w:r>
      <w:r w:rsidR="00A96A3D">
        <w:rPr>
          <w:rFonts w:ascii="Arial" w:hAnsi="Arial"/>
        </w:rPr>
        <w:t xml:space="preserve"> of </w:t>
      </w:r>
      <w:proofErr w:type="spellStart"/>
      <w:r w:rsidR="00A96A3D">
        <w:rPr>
          <w:rFonts w:ascii="Arial" w:hAnsi="Arial"/>
        </w:rPr>
        <w:t>probabilites</w:t>
      </w:r>
      <w:proofErr w:type="spellEnd"/>
      <w:r>
        <w:rPr>
          <w:rFonts w:ascii="Arial" w:hAnsi="Arial"/>
        </w:rPr>
        <w:t xml:space="preserve">, that the amount of N$58 000 deposited into Mr </w:t>
      </w:r>
      <w:proofErr w:type="spellStart"/>
      <w:r>
        <w:rPr>
          <w:rFonts w:ascii="Arial" w:hAnsi="Arial"/>
        </w:rPr>
        <w:t>Nanyeni”s</w:t>
      </w:r>
      <w:proofErr w:type="spellEnd"/>
      <w:r>
        <w:rPr>
          <w:rFonts w:ascii="Arial" w:hAnsi="Arial"/>
        </w:rPr>
        <w:t xml:space="preserve"> FNB account was acquired by him and he had the money in his pos</w:t>
      </w:r>
      <w:r w:rsidR="00036CB9">
        <w:rPr>
          <w:rFonts w:ascii="Arial" w:hAnsi="Arial"/>
        </w:rPr>
        <w:t xml:space="preserve">session </w:t>
      </w:r>
      <w:r>
        <w:rPr>
          <w:rFonts w:ascii="Arial" w:hAnsi="Arial"/>
        </w:rPr>
        <w:t xml:space="preserve">when he knew or ought reasonably to have known that it was proceeds of unlawful activities in terms of the s 6 of the Act. A similar conclusion appears meet, in my considered view, in regard to the FNB account of Ms </w:t>
      </w:r>
      <w:proofErr w:type="spellStart"/>
      <w:r>
        <w:rPr>
          <w:rFonts w:ascii="Arial" w:hAnsi="Arial"/>
        </w:rPr>
        <w:t>Shilunga</w:t>
      </w:r>
      <w:proofErr w:type="spellEnd"/>
      <w:r w:rsidR="00036CB9">
        <w:rPr>
          <w:rFonts w:ascii="Arial" w:hAnsi="Arial"/>
        </w:rPr>
        <w:t>, which had a positive balance of N$35</w:t>
      </w:r>
      <w:r w:rsidR="00EF588E">
        <w:rPr>
          <w:rFonts w:ascii="Arial" w:hAnsi="Arial"/>
        </w:rPr>
        <w:t>, 31</w:t>
      </w:r>
      <w:r w:rsidR="00036CB9">
        <w:rPr>
          <w:rFonts w:ascii="Arial" w:hAnsi="Arial"/>
        </w:rPr>
        <w:t xml:space="preserve"> before the windfall. After receipt of the money in her account, she transferred N$20 000 to a Mr </w:t>
      </w:r>
      <w:proofErr w:type="spellStart"/>
      <w:r w:rsidR="00036CB9">
        <w:rPr>
          <w:rFonts w:ascii="Arial" w:hAnsi="Arial"/>
        </w:rPr>
        <w:t>Kalambi’s</w:t>
      </w:r>
      <w:proofErr w:type="spellEnd"/>
      <w:r w:rsidR="00036CB9">
        <w:rPr>
          <w:rFonts w:ascii="Arial" w:hAnsi="Arial"/>
        </w:rPr>
        <w:t xml:space="preserve"> Bank Windhoek account and N$50 000 to a Mr </w:t>
      </w:r>
      <w:proofErr w:type="spellStart"/>
      <w:r w:rsidR="00036CB9">
        <w:rPr>
          <w:rFonts w:ascii="Arial" w:hAnsi="Arial"/>
        </w:rPr>
        <w:t>Dawid’s</w:t>
      </w:r>
      <w:proofErr w:type="spellEnd"/>
      <w:r w:rsidR="00036CB9">
        <w:rPr>
          <w:rFonts w:ascii="Arial" w:hAnsi="Arial"/>
        </w:rPr>
        <w:t xml:space="preserve"> FNB account. </w:t>
      </w:r>
      <w:r>
        <w:rPr>
          <w:rFonts w:ascii="Arial" w:hAnsi="Arial"/>
        </w:rPr>
        <w:t xml:space="preserve"> </w:t>
      </w:r>
    </w:p>
    <w:p w14:paraId="4B2DCFA8" w14:textId="77777777" w:rsidR="00036CB9" w:rsidRDefault="00036CB9" w:rsidP="00053568">
      <w:pPr>
        <w:spacing w:line="360" w:lineRule="auto"/>
        <w:jc w:val="both"/>
        <w:rPr>
          <w:rFonts w:ascii="Arial" w:hAnsi="Arial"/>
        </w:rPr>
      </w:pPr>
    </w:p>
    <w:p w14:paraId="0C7D13D5" w14:textId="58015127" w:rsidR="006E4329" w:rsidRDefault="00142381" w:rsidP="00053568">
      <w:pPr>
        <w:spacing w:line="360" w:lineRule="auto"/>
        <w:jc w:val="both"/>
        <w:rPr>
          <w:rFonts w:ascii="Arial" w:hAnsi="Arial"/>
        </w:rPr>
      </w:pPr>
      <w:r>
        <w:rPr>
          <w:rFonts w:ascii="Arial" w:hAnsi="Arial"/>
        </w:rPr>
        <w:t>[62</w:t>
      </w:r>
      <w:r w:rsidR="00036CB9">
        <w:rPr>
          <w:rFonts w:ascii="Arial" w:hAnsi="Arial"/>
        </w:rPr>
        <w:t>]</w:t>
      </w:r>
      <w:r w:rsidR="00036CB9">
        <w:rPr>
          <w:rFonts w:ascii="Arial" w:hAnsi="Arial"/>
        </w:rPr>
        <w:tab/>
        <w:t xml:space="preserve">It is worth pointing out that before the transfer of N$50 000 by Ms </w:t>
      </w:r>
      <w:proofErr w:type="spellStart"/>
      <w:r w:rsidR="00036CB9">
        <w:rPr>
          <w:rFonts w:ascii="Arial" w:hAnsi="Arial"/>
        </w:rPr>
        <w:t>Shilunga</w:t>
      </w:r>
      <w:proofErr w:type="spellEnd"/>
      <w:r w:rsidR="00036CB9">
        <w:rPr>
          <w:rFonts w:ascii="Arial" w:hAnsi="Arial"/>
        </w:rPr>
        <w:t xml:space="preserve">, Mr </w:t>
      </w:r>
      <w:proofErr w:type="spellStart"/>
      <w:r w:rsidR="00036CB9">
        <w:rPr>
          <w:rFonts w:ascii="Arial" w:hAnsi="Arial"/>
        </w:rPr>
        <w:t>Dawid’s</w:t>
      </w:r>
      <w:proofErr w:type="spellEnd"/>
      <w:r w:rsidR="00036CB9">
        <w:rPr>
          <w:rFonts w:ascii="Arial" w:hAnsi="Arial"/>
        </w:rPr>
        <w:t xml:space="preserve"> </w:t>
      </w:r>
      <w:r w:rsidR="00A96A3D">
        <w:rPr>
          <w:rFonts w:ascii="Arial" w:hAnsi="Arial"/>
        </w:rPr>
        <w:t>account had a paltry sum of N$60</w:t>
      </w:r>
      <w:proofErr w:type="gramStart"/>
      <w:r w:rsidR="00A96A3D">
        <w:rPr>
          <w:rFonts w:ascii="Arial" w:hAnsi="Arial"/>
        </w:rPr>
        <w:t>,</w:t>
      </w:r>
      <w:r w:rsidR="00EF588E">
        <w:rPr>
          <w:rFonts w:ascii="Arial" w:hAnsi="Arial"/>
        </w:rPr>
        <w:t>72</w:t>
      </w:r>
      <w:proofErr w:type="gramEnd"/>
      <w:r w:rsidR="00036CB9">
        <w:rPr>
          <w:rFonts w:ascii="Arial" w:hAnsi="Arial"/>
        </w:rPr>
        <w:t xml:space="preserve">. </w:t>
      </w:r>
      <w:r w:rsidR="006E4329">
        <w:rPr>
          <w:rFonts w:ascii="Arial" w:hAnsi="Arial"/>
        </w:rPr>
        <w:t>He withdrew an amount of N$1 070, leaving a balance of N$48 869</w:t>
      </w:r>
      <w:r w:rsidR="00EF588E">
        <w:rPr>
          <w:rFonts w:ascii="Arial" w:hAnsi="Arial"/>
        </w:rPr>
        <w:t>, 28</w:t>
      </w:r>
      <w:r w:rsidR="006E4329">
        <w:rPr>
          <w:rFonts w:ascii="Arial" w:hAnsi="Arial"/>
        </w:rPr>
        <w:t xml:space="preserve">. Ms </w:t>
      </w:r>
      <w:proofErr w:type="spellStart"/>
      <w:r w:rsidR="006E4329">
        <w:rPr>
          <w:rFonts w:ascii="Arial" w:hAnsi="Arial"/>
        </w:rPr>
        <w:t>Shilunga</w:t>
      </w:r>
      <w:proofErr w:type="spellEnd"/>
      <w:r w:rsidR="006E4329">
        <w:rPr>
          <w:rFonts w:ascii="Arial" w:hAnsi="Arial"/>
        </w:rPr>
        <w:t>, for her part,</w:t>
      </w:r>
      <w:r w:rsidR="00036CB9">
        <w:rPr>
          <w:rFonts w:ascii="Arial" w:hAnsi="Arial"/>
        </w:rPr>
        <w:t xml:space="preserve"> </w:t>
      </w:r>
      <w:r w:rsidR="006E4329">
        <w:rPr>
          <w:rFonts w:ascii="Arial" w:hAnsi="Arial"/>
        </w:rPr>
        <w:t>after m</w:t>
      </w:r>
      <w:r w:rsidR="00A96A3D">
        <w:rPr>
          <w:rFonts w:ascii="Arial" w:hAnsi="Arial"/>
        </w:rPr>
        <w:t>aking a transfer of N$20 000 and N</w:t>
      </w:r>
      <w:r w:rsidR="006E4329">
        <w:rPr>
          <w:rFonts w:ascii="Arial" w:hAnsi="Arial"/>
        </w:rPr>
        <w:t xml:space="preserve">$50 000 to Messrs </w:t>
      </w:r>
      <w:proofErr w:type="spellStart"/>
      <w:r w:rsidR="006E4329">
        <w:rPr>
          <w:rFonts w:ascii="Arial" w:hAnsi="Arial"/>
        </w:rPr>
        <w:t>Kalambi</w:t>
      </w:r>
      <w:proofErr w:type="spellEnd"/>
      <w:r w:rsidR="006E4329">
        <w:rPr>
          <w:rFonts w:ascii="Arial" w:hAnsi="Arial"/>
        </w:rPr>
        <w:t xml:space="preserve"> and </w:t>
      </w:r>
      <w:proofErr w:type="spellStart"/>
      <w:r w:rsidR="006E4329">
        <w:rPr>
          <w:rFonts w:ascii="Arial" w:hAnsi="Arial"/>
        </w:rPr>
        <w:t>Daw</w:t>
      </w:r>
      <w:r w:rsidR="003579B4">
        <w:rPr>
          <w:rFonts w:ascii="Arial" w:hAnsi="Arial"/>
        </w:rPr>
        <w:t>i</w:t>
      </w:r>
      <w:r w:rsidR="006E4329">
        <w:rPr>
          <w:rFonts w:ascii="Arial" w:hAnsi="Arial"/>
        </w:rPr>
        <w:t>d</w:t>
      </w:r>
      <w:proofErr w:type="spellEnd"/>
      <w:r w:rsidR="00A96A3D">
        <w:rPr>
          <w:rFonts w:ascii="Arial" w:hAnsi="Arial"/>
        </w:rPr>
        <w:t>,</w:t>
      </w:r>
      <w:r w:rsidR="006E4329">
        <w:rPr>
          <w:rFonts w:ascii="Arial" w:hAnsi="Arial"/>
        </w:rPr>
        <w:t xml:space="preserve"> further </w:t>
      </w:r>
      <w:r w:rsidR="00036CB9">
        <w:rPr>
          <w:rFonts w:ascii="Arial" w:hAnsi="Arial"/>
        </w:rPr>
        <w:t>withdrew an amount of N$1 070, leaving a balance of N$48 869</w:t>
      </w:r>
      <w:r w:rsidR="00EF588E">
        <w:rPr>
          <w:rFonts w:ascii="Arial" w:hAnsi="Arial"/>
        </w:rPr>
        <w:t>, 28</w:t>
      </w:r>
      <w:r w:rsidR="006E4329">
        <w:rPr>
          <w:rFonts w:ascii="Arial" w:hAnsi="Arial"/>
        </w:rPr>
        <w:t xml:space="preserve">. </w:t>
      </w:r>
    </w:p>
    <w:p w14:paraId="6F031258" w14:textId="77777777" w:rsidR="006E4329" w:rsidRDefault="006E4329" w:rsidP="00053568">
      <w:pPr>
        <w:spacing w:line="360" w:lineRule="auto"/>
        <w:jc w:val="both"/>
        <w:rPr>
          <w:rFonts w:ascii="Arial" w:hAnsi="Arial"/>
        </w:rPr>
      </w:pPr>
    </w:p>
    <w:p w14:paraId="1CAFBD2B" w14:textId="3CA2AD27" w:rsidR="00E94CD3" w:rsidRDefault="00142381" w:rsidP="00053568">
      <w:pPr>
        <w:spacing w:line="360" w:lineRule="auto"/>
        <w:jc w:val="both"/>
        <w:rPr>
          <w:rFonts w:ascii="Arial" w:hAnsi="Arial"/>
        </w:rPr>
      </w:pPr>
      <w:r>
        <w:rPr>
          <w:rFonts w:ascii="Arial" w:hAnsi="Arial"/>
        </w:rPr>
        <w:t>[63</w:t>
      </w:r>
      <w:r w:rsidR="006E4329">
        <w:rPr>
          <w:rFonts w:ascii="Arial" w:hAnsi="Arial"/>
        </w:rPr>
        <w:t>]</w:t>
      </w:r>
      <w:r w:rsidR="006E4329">
        <w:rPr>
          <w:rFonts w:ascii="Arial" w:hAnsi="Arial"/>
        </w:rPr>
        <w:tab/>
        <w:t xml:space="preserve">With regard to Mr </w:t>
      </w:r>
      <w:proofErr w:type="spellStart"/>
      <w:r w:rsidR="006E4329">
        <w:rPr>
          <w:rFonts w:ascii="Arial" w:hAnsi="Arial"/>
        </w:rPr>
        <w:t>Nepolo</w:t>
      </w:r>
      <w:proofErr w:type="spellEnd"/>
      <w:r w:rsidR="006E4329">
        <w:rPr>
          <w:rFonts w:ascii="Arial" w:hAnsi="Arial"/>
        </w:rPr>
        <w:t>, his FNB account, before the windfall,</w:t>
      </w:r>
      <w:r w:rsidR="00036CB9">
        <w:rPr>
          <w:rFonts w:ascii="Arial" w:hAnsi="Arial"/>
        </w:rPr>
        <w:t xml:space="preserve"> had a measly positive balance of N$96</w:t>
      </w:r>
      <w:proofErr w:type="gramStart"/>
      <w:r w:rsidR="002E7D33">
        <w:rPr>
          <w:rFonts w:ascii="Arial" w:hAnsi="Arial"/>
        </w:rPr>
        <w:t>,</w:t>
      </w:r>
      <w:r w:rsidR="00EF588E">
        <w:rPr>
          <w:rFonts w:ascii="Arial" w:hAnsi="Arial"/>
        </w:rPr>
        <w:t>24</w:t>
      </w:r>
      <w:proofErr w:type="gramEnd"/>
      <w:r w:rsidR="00E94CD3">
        <w:rPr>
          <w:rFonts w:ascii="Arial" w:hAnsi="Arial"/>
        </w:rPr>
        <w:t>.</w:t>
      </w:r>
      <w:r w:rsidR="00036CB9">
        <w:rPr>
          <w:rFonts w:ascii="Arial" w:hAnsi="Arial"/>
        </w:rPr>
        <w:t xml:space="preserve"> Upon receipt of the N$46 000, Mr </w:t>
      </w:r>
      <w:proofErr w:type="spellStart"/>
      <w:r w:rsidR="00036CB9">
        <w:rPr>
          <w:rFonts w:ascii="Arial" w:hAnsi="Arial"/>
        </w:rPr>
        <w:t>Nepolo</w:t>
      </w:r>
      <w:proofErr w:type="spellEnd"/>
      <w:r w:rsidR="00036CB9">
        <w:rPr>
          <w:rFonts w:ascii="Arial" w:hAnsi="Arial"/>
        </w:rPr>
        <w:t xml:space="preserve"> transferred a sum of N$21 220 to Ms </w:t>
      </w:r>
      <w:proofErr w:type="spellStart"/>
      <w:r w:rsidR="00036CB9">
        <w:rPr>
          <w:rFonts w:ascii="Arial" w:hAnsi="Arial"/>
        </w:rPr>
        <w:t>Tresia</w:t>
      </w:r>
      <w:proofErr w:type="spellEnd"/>
      <w:r w:rsidR="00036CB9">
        <w:rPr>
          <w:rFonts w:ascii="Arial" w:hAnsi="Arial"/>
        </w:rPr>
        <w:t xml:space="preserve"> </w:t>
      </w:r>
      <w:proofErr w:type="spellStart"/>
      <w:r w:rsidR="00036CB9">
        <w:rPr>
          <w:rFonts w:ascii="Arial" w:hAnsi="Arial"/>
        </w:rPr>
        <w:t>Nakathingo’</w:t>
      </w:r>
      <w:r w:rsidR="00A96A3D">
        <w:rPr>
          <w:rFonts w:ascii="Arial" w:hAnsi="Arial"/>
        </w:rPr>
        <w:t>s</w:t>
      </w:r>
      <w:proofErr w:type="spellEnd"/>
      <w:r w:rsidR="00036CB9">
        <w:rPr>
          <w:rFonts w:ascii="Arial" w:hAnsi="Arial"/>
        </w:rPr>
        <w:t xml:space="preserve"> bank</w:t>
      </w:r>
      <w:r w:rsidR="00A96A3D">
        <w:rPr>
          <w:rFonts w:ascii="Arial" w:hAnsi="Arial"/>
        </w:rPr>
        <w:t xml:space="preserve"> account. On 3 November 2021, Mr</w:t>
      </w:r>
      <w:r w:rsidR="00036CB9">
        <w:rPr>
          <w:rFonts w:ascii="Arial" w:hAnsi="Arial"/>
        </w:rPr>
        <w:t xml:space="preserve"> </w:t>
      </w:r>
      <w:proofErr w:type="spellStart"/>
      <w:r w:rsidR="00036CB9">
        <w:rPr>
          <w:rFonts w:ascii="Arial" w:hAnsi="Arial"/>
        </w:rPr>
        <w:t>Nepolo’s</w:t>
      </w:r>
      <w:proofErr w:type="spellEnd"/>
      <w:r w:rsidR="00036CB9">
        <w:rPr>
          <w:rFonts w:ascii="Arial" w:hAnsi="Arial"/>
        </w:rPr>
        <w:t xml:space="preserve"> account had a positive balance of N$11 679</w:t>
      </w:r>
      <w:proofErr w:type="gramStart"/>
      <w:r w:rsidR="002E7D33">
        <w:rPr>
          <w:rFonts w:ascii="Arial" w:hAnsi="Arial"/>
        </w:rPr>
        <w:t>,</w:t>
      </w:r>
      <w:r w:rsidR="00EF588E">
        <w:rPr>
          <w:rFonts w:ascii="Arial" w:hAnsi="Arial"/>
        </w:rPr>
        <w:t>24</w:t>
      </w:r>
      <w:proofErr w:type="gramEnd"/>
      <w:r w:rsidR="00036CB9">
        <w:rPr>
          <w:rFonts w:ascii="Arial" w:hAnsi="Arial"/>
        </w:rPr>
        <w:t>.</w:t>
      </w:r>
    </w:p>
    <w:p w14:paraId="31840614" w14:textId="77777777" w:rsidR="006E4329" w:rsidRDefault="006E4329" w:rsidP="00053568">
      <w:pPr>
        <w:spacing w:line="360" w:lineRule="auto"/>
        <w:jc w:val="both"/>
        <w:rPr>
          <w:rFonts w:ascii="Arial" w:hAnsi="Arial"/>
        </w:rPr>
      </w:pPr>
    </w:p>
    <w:p w14:paraId="30E9FE0A" w14:textId="0C769332" w:rsidR="006E4329" w:rsidRDefault="00142381" w:rsidP="00053568">
      <w:pPr>
        <w:spacing w:line="360" w:lineRule="auto"/>
        <w:jc w:val="both"/>
        <w:rPr>
          <w:rFonts w:ascii="Arial" w:hAnsi="Arial"/>
        </w:rPr>
      </w:pPr>
      <w:r>
        <w:rPr>
          <w:rFonts w:ascii="Arial" w:hAnsi="Arial"/>
        </w:rPr>
        <w:t>[64</w:t>
      </w:r>
      <w:r w:rsidR="006E4329">
        <w:rPr>
          <w:rFonts w:ascii="Arial" w:hAnsi="Arial"/>
        </w:rPr>
        <w:t>]</w:t>
      </w:r>
      <w:r w:rsidR="006E4329">
        <w:rPr>
          <w:rFonts w:ascii="Arial" w:hAnsi="Arial"/>
        </w:rPr>
        <w:tab/>
        <w:t>From the above rendition of banking activities in the accounts mentioned, considering the measly amounts before the wi</w:t>
      </w:r>
      <w:r w:rsidR="00A96A3D">
        <w:rPr>
          <w:rFonts w:ascii="Arial" w:hAnsi="Arial"/>
        </w:rPr>
        <w:t>ndfall, the conclusion th</w:t>
      </w:r>
      <w:r w:rsidR="002E7D33">
        <w:rPr>
          <w:rFonts w:ascii="Arial" w:hAnsi="Arial"/>
        </w:rPr>
        <w:t>at the account hold</w:t>
      </w:r>
      <w:r w:rsidR="00A96A3D">
        <w:rPr>
          <w:rFonts w:ascii="Arial" w:hAnsi="Arial"/>
        </w:rPr>
        <w:t>e</w:t>
      </w:r>
      <w:r w:rsidR="002E7D33">
        <w:rPr>
          <w:rFonts w:ascii="Arial" w:hAnsi="Arial"/>
        </w:rPr>
        <w:t>r</w:t>
      </w:r>
      <w:r w:rsidR="00A96A3D">
        <w:rPr>
          <w:rFonts w:ascii="Arial" w:hAnsi="Arial"/>
        </w:rPr>
        <w:t>s</w:t>
      </w:r>
      <w:r w:rsidR="006E4329">
        <w:rPr>
          <w:rFonts w:ascii="Arial" w:hAnsi="Arial"/>
        </w:rPr>
        <w:t xml:space="preserve"> knew or ought </w:t>
      </w:r>
      <w:r w:rsidR="00D67EDA">
        <w:rPr>
          <w:rFonts w:ascii="Arial" w:hAnsi="Arial"/>
        </w:rPr>
        <w:t xml:space="preserve">reasonably </w:t>
      </w:r>
      <w:r w:rsidR="006E4329">
        <w:rPr>
          <w:rFonts w:ascii="Arial" w:hAnsi="Arial"/>
        </w:rPr>
        <w:t xml:space="preserve">to have known that the money paid into their respective accounts, was proceeds of unlawful activities, is irresistible on a balance of probabilities and I so find. The trio of Ms </w:t>
      </w:r>
      <w:proofErr w:type="spellStart"/>
      <w:r w:rsidR="006E4329">
        <w:rPr>
          <w:rFonts w:ascii="Arial" w:hAnsi="Arial"/>
        </w:rPr>
        <w:t>Shilunga</w:t>
      </w:r>
      <w:proofErr w:type="spellEnd"/>
      <w:r w:rsidR="006E4329">
        <w:rPr>
          <w:rFonts w:ascii="Arial" w:hAnsi="Arial"/>
        </w:rPr>
        <w:t xml:space="preserve">, and Messrs </w:t>
      </w:r>
      <w:proofErr w:type="spellStart"/>
      <w:r w:rsidR="006E4329">
        <w:rPr>
          <w:rFonts w:ascii="Arial" w:hAnsi="Arial"/>
        </w:rPr>
        <w:t>Kalambi</w:t>
      </w:r>
      <w:proofErr w:type="spellEnd"/>
      <w:r w:rsidR="006E4329">
        <w:rPr>
          <w:rFonts w:ascii="Arial" w:hAnsi="Arial"/>
        </w:rPr>
        <w:t xml:space="preserve"> and </w:t>
      </w:r>
      <w:proofErr w:type="spellStart"/>
      <w:r w:rsidR="006E4329">
        <w:rPr>
          <w:rFonts w:ascii="Arial" w:hAnsi="Arial"/>
        </w:rPr>
        <w:t>Dawid</w:t>
      </w:r>
      <w:proofErr w:type="spellEnd"/>
      <w:r w:rsidR="006E4329">
        <w:rPr>
          <w:rFonts w:ascii="Arial" w:hAnsi="Arial"/>
        </w:rPr>
        <w:t xml:space="preserve">, knew or ought to have reasonably known that the money deposited into their respective accounts, was part of money that </w:t>
      </w:r>
      <w:r w:rsidR="00E92535">
        <w:rPr>
          <w:rFonts w:ascii="Arial" w:hAnsi="Arial"/>
        </w:rPr>
        <w:t xml:space="preserve">formed </w:t>
      </w:r>
      <w:r w:rsidR="006E4329">
        <w:rPr>
          <w:rFonts w:ascii="Arial" w:hAnsi="Arial"/>
        </w:rPr>
        <w:t>proceeds of unlawful activities.</w:t>
      </w:r>
    </w:p>
    <w:p w14:paraId="7B6B5BEC" w14:textId="77777777" w:rsidR="006E4329" w:rsidRDefault="006E4329" w:rsidP="00053568">
      <w:pPr>
        <w:spacing w:line="360" w:lineRule="auto"/>
        <w:jc w:val="both"/>
        <w:rPr>
          <w:rFonts w:ascii="Arial" w:hAnsi="Arial"/>
        </w:rPr>
      </w:pPr>
    </w:p>
    <w:p w14:paraId="37212F7C" w14:textId="2B96A565" w:rsidR="006E4329" w:rsidRPr="00E94CD3" w:rsidRDefault="00142381" w:rsidP="00053568">
      <w:pPr>
        <w:spacing w:line="360" w:lineRule="auto"/>
        <w:jc w:val="both"/>
        <w:rPr>
          <w:rFonts w:ascii="Arial" w:hAnsi="Arial"/>
        </w:rPr>
      </w:pPr>
      <w:r>
        <w:rPr>
          <w:rFonts w:ascii="Arial" w:hAnsi="Arial"/>
        </w:rPr>
        <w:t>[65]</w:t>
      </w:r>
      <w:r w:rsidR="00622E8C">
        <w:rPr>
          <w:rFonts w:ascii="Arial" w:hAnsi="Arial"/>
        </w:rPr>
        <w:tab/>
        <w:t>T</w:t>
      </w:r>
      <w:r w:rsidR="006E4329">
        <w:rPr>
          <w:rFonts w:ascii="Arial" w:hAnsi="Arial"/>
        </w:rPr>
        <w:t>he manner in which the windfall from Lycia was dealt with by all those who received it directly or indirectly, and the manner in which it was secondarily dealt with, gives rise to an irresistible inference that</w:t>
      </w:r>
      <w:r w:rsidR="00622E8C">
        <w:rPr>
          <w:rFonts w:ascii="Arial" w:hAnsi="Arial"/>
        </w:rPr>
        <w:t xml:space="preserve"> they knew that </w:t>
      </w:r>
      <w:r w:rsidR="00E92535">
        <w:rPr>
          <w:rFonts w:ascii="Arial" w:hAnsi="Arial"/>
        </w:rPr>
        <w:t xml:space="preserve">the </w:t>
      </w:r>
      <w:r w:rsidR="00622E8C">
        <w:rPr>
          <w:rFonts w:ascii="Arial" w:hAnsi="Arial"/>
        </w:rPr>
        <w:t xml:space="preserve">source </w:t>
      </w:r>
      <w:r w:rsidR="00622E8C">
        <w:rPr>
          <w:rFonts w:ascii="Arial" w:hAnsi="Arial"/>
        </w:rPr>
        <w:lastRenderedPageBreak/>
        <w:t>of the money was unlawful and they, for the most part, parted with it, in some cases as if with both hands</w:t>
      </w:r>
      <w:r w:rsidR="00E92535">
        <w:rPr>
          <w:rFonts w:ascii="Arial" w:hAnsi="Arial"/>
        </w:rPr>
        <w:t>,</w:t>
      </w:r>
      <w:r w:rsidR="00622E8C">
        <w:rPr>
          <w:rFonts w:ascii="Arial" w:hAnsi="Arial"/>
        </w:rPr>
        <w:t xml:space="preserve"> simultaneously. There is accordingly a link between the properties mentioned in this case and the unlawful activity, as recounted above.</w:t>
      </w:r>
    </w:p>
    <w:p w14:paraId="726D8B7A" w14:textId="77777777" w:rsidR="00053568" w:rsidRPr="00A41EE3" w:rsidRDefault="00053568" w:rsidP="00053568">
      <w:pPr>
        <w:spacing w:line="360" w:lineRule="auto"/>
        <w:jc w:val="both"/>
        <w:rPr>
          <w:rFonts w:ascii="Arial" w:hAnsi="Arial"/>
        </w:rPr>
      </w:pPr>
    </w:p>
    <w:p w14:paraId="6F8CBE61" w14:textId="27760FF6" w:rsidR="00053568" w:rsidRDefault="00142381" w:rsidP="00053568">
      <w:pPr>
        <w:spacing w:line="360" w:lineRule="auto"/>
        <w:jc w:val="both"/>
        <w:rPr>
          <w:rFonts w:ascii="Arial" w:hAnsi="Arial"/>
        </w:rPr>
      </w:pPr>
      <w:r>
        <w:rPr>
          <w:rFonts w:ascii="Arial" w:hAnsi="Arial"/>
        </w:rPr>
        <w:t>[66</w:t>
      </w:r>
      <w:r w:rsidR="00622E8C">
        <w:rPr>
          <w:rFonts w:ascii="Arial" w:hAnsi="Arial"/>
        </w:rPr>
        <w:t>]</w:t>
      </w:r>
      <w:r w:rsidR="00622E8C">
        <w:rPr>
          <w:rFonts w:ascii="Arial" w:hAnsi="Arial"/>
        </w:rPr>
        <w:tab/>
        <w:t xml:space="preserve">The words that fell from the lips of the Supreme Court in </w:t>
      </w:r>
      <w:r w:rsidR="00622E8C">
        <w:rPr>
          <w:rFonts w:ascii="Arial" w:hAnsi="Arial"/>
          <w:i/>
        </w:rPr>
        <w:t>New Africa Dimension</w:t>
      </w:r>
      <w:r w:rsidR="00622E8C">
        <w:rPr>
          <w:rStyle w:val="FootnoteReference"/>
          <w:rFonts w:ascii="Arial" w:hAnsi="Arial"/>
          <w:i/>
        </w:rPr>
        <w:footnoteReference w:id="4"/>
      </w:r>
      <w:r w:rsidR="00622E8C">
        <w:rPr>
          <w:rFonts w:ascii="Arial" w:hAnsi="Arial"/>
          <w:i/>
        </w:rPr>
        <w:t xml:space="preserve"> </w:t>
      </w:r>
      <w:r w:rsidR="00622E8C">
        <w:rPr>
          <w:rFonts w:ascii="Arial" w:hAnsi="Arial"/>
        </w:rPr>
        <w:t>resonate powerfully</w:t>
      </w:r>
      <w:r>
        <w:rPr>
          <w:rFonts w:ascii="Arial" w:hAnsi="Arial"/>
        </w:rPr>
        <w:t xml:space="preserve"> as this judgment draws to a close</w:t>
      </w:r>
      <w:r w:rsidR="00622E8C">
        <w:rPr>
          <w:rFonts w:ascii="Arial" w:hAnsi="Arial"/>
        </w:rPr>
        <w:t>. The</w:t>
      </w:r>
      <w:r>
        <w:rPr>
          <w:rFonts w:ascii="Arial" w:hAnsi="Arial"/>
        </w:rPr>
        <w:t>y bear repeating</w:t>
      </w:r>
      <w:r w:rsidR="00E92535">
        <w:rPr>
          <w:rFonts w:ascii="Arial" w:hAnsi="Arial"/>
        </w:rPr>
        <w:t>. The</w:t>
      </w:r>
      <w:r w:rsidR="00622E8C">
        <w:rPr>
          <w:rFonts w:ascii="Arial" w:hAnsi="Arial"/>
        </w:rPr>
        <w:t xml:space="preserve"> court said:</w:t>
      </w:r>
    </w:p>
    <w:p w14:paraId="5D60DD99" w14:textId="77777777" w:rsidR="00622E8C" w:rsidRDefault="00622E8C" w:rsidP="00053568">
      <w:pPr>
        <w:spacing w:line="360" w:lineRule="auto"/>
        <w:jc w:val="both"/>
        <w:rPr>
          <w:rFonts w:ascii="Arial" w:hAnsi="Arial"/>
        </w:rPr>
      </w:pPr>
    </w:p>
    <w:p w14:paraId="23568AF0" w14:textId="71D49813" w:rsidR="00622E8C" w:rsidRDefault="00622E8C" w:rsidP="00053568">
      <w:pPr>
        <w:spacing w:line="360" w:lineRule="auto"/>
        <w:jc w:val="both"/>
        <w:rPr>
          <w:rFonts w:ascii="Arial" w:hAnsi="Arial"/>
          <w:sz w:val="22"/>
          <w:szCs w:val="22"/>
        </w:rPr>
      </w:pPr>
      <w:r>
        <w:rPr>
          <w:rFonts w:ascii="Arial" w:hAnsi="Arial"/>
        </w:rPr>
        <w:tab/>
        <w:t>‘</w:t>
      </w:r>
      <w:r>
        <w:rPr>
          <w:rFonts w:ascii="Arial" w:hAnsi="Arial"/>
          <w:sz w:val="22"/>
          <w:szCs w:val="22"/>
        </w:rPr>
        <w:t>It has become evident in recent times that the criminal justice system does not live up to the adage that crime does not pay. Criminals ar</w:t>
      </w:r>
      <w:r w:rsidR="00D67EDA">
        <w:rPr>
          <w:rFonts w:ascii="Arial" w:hAnsi="Arial"/>
          <w:sz w:val="22"/>
          <w:szCs w:val="22"/>
        </w:rPr>
        <w:t>e, for a variety of reasons,</w:t>
      </w:r>
      <w:r>
        <w:rPr>
          <w:rFonts w:ascii="Arial" w:hAnsi="Arial"/>
          <w:sz w:val="22"/>
          <w:szCs w:val="22"/>
        </w:rPr>
        <w:t xml:space="preserve"> able to keep and enjoy the spoils of their loot. This anomaly provided a powerful incentive for crime to thrive. The Namibian Legislature, in line with a similar trend worldwide, has taken steps to address the problem through POCA. The approach adopted in POCA is to hit the criminal where it hurts most; his or her pocket so as to remove the incentive for crime.’</w:t>
      </w:r>
    </w:p>
    <w:p w14:paraId="55ED9712" w14:textId="77777777" w:rsidR="00622E8C" w:rsidRDefault="00622E8C" w:rsidP="00053568">
      <w:pPr>
        <w:spacing w:line="360" w:lineRule="auto"/>
        <w:jc w:val="both"/>
        <w:rPr>
          <w:rFonts w:ascii="Arial" w:hAnsi="Arial"/>
          <w:sz w:val="22"/>
          <w:szCs w:val="22"/>
        </w:rPr>
      </w:pPr>
    </w:p>
    <w:p w14:paraId="16C96C7A" w14:textId="5651E8CF" w:rsidR="00622E8C" w:rsidRDefault="00142381" w:rsidP="00053568">
      <w:pPr>
        <w:spacing w:line="360" w:lineRule="auto"/>
        <w:jc w:val="both"/>
        <w:rPr>
          <w:rFonts w:ascii="Arial" w:hAnsi="Arial"/>
        </w:rPr>
      </w:pPr>
      <w:r>
        <w:rPr>
          <w:rFonts w:ascii="Arial" w:hAnsi="Arial"/>
        </w:rPr>
        <w:t>[67</w:t>
      </w:r>
      <w:r w:rsidR="00622E8C">
        <w:rPr>
          <w:rFonts w:ascii="Arial" w:hAnsi="Arial"/>
        </w:rPr>
        <w:t>]</w:t>
      </w:r>
      <w:r w:rsidR="00622E8C">
        <w:rPr>
          <w:rFonts w:ascii="Arial" w:hAnsi="Arial"/>
        </w:rPr>
        <w:tab/>
        <w:t>This, it seem</w:t>
      </w:r>
      <w:r w:rsidR="00900D9D">
        <w:rPr>
          <w:rFonts w:ascii="Arial" w:hAnsi="Arial"/>
        </w:rPr>
        <w:t>s to me, is an appropriate case in which</w:t>
      </w:r>
      <w:r w:rsidR="00622E8C">
        <w:rPr>
          <w:rFonts w:ascii="Arial" w:hAnsi="Arial"/>
        </w:rPr>
        <w:t xml:space="preserve"> to give effect to legislative solicitudes,</w:t>
      </w:r>
      <w:r w:rsidR="00900D9D">
        <w:rPr>
          <w:rFonts w:ascii="Arial" w:hAnsi="Arial"/>
        </w:rPr>
        <w:t xml:space="preserve"> </w:t>
      </w:r>
      <w:r>
        <w:rPr>
          <w:rFonts w:ascii="Arial" w:hAnsi="Arial"/>
        </w:rPr>
        <w:t xml:space="preserve">fully endorsed by the Supreme Court, </w:t>
      </w:r>
      <w:r w:rsidR="00900D9D">
        <w:rPr>
          <w:rFonts w:ascii="Arial" w:hAnsi="Arial"/>
        </w:rPr>
        <w:t>namely,</w:t>
      </w:r>
      <w:r w:rsidR="00D752AF">
        <w:rPr>
          <w:rFonts w:ascii="Arial" w:hAnsi="Arial"/>
        </w:rPr>
        <w:t xml:space="preserve"> that</w:t>
      </w:r>
      <w:r w:rsidR="00900D9D">
        <w:rPr>
          <w:rFonts w:ascii="Arial" w:hAnsi="Arial"/>
        </w:rPr>
        <w:t xml:space="preserve"> of hitting those who look to crime as being their paymaster</w:t>
      </w:r>
      <w:r w:rsidR="00D752AF">
        <w:rPr>
          <w:rFonts w:ascii="Arial" w:hAnsi="Arial"/>
        </w:rPr>
        <w:t>,</w:t>
      </w:r>
      <w:r w:rsidR="002E7D33">
        <w:rPr>
          <w:rFonts w:ascii="Arial" w:hAnsi="Arial"/>
        </w:rPr>
        <w:t xml:space="preserve"> hard and to force them pause and </w:t>
      </w:r>
      <w:r w:rsidR="00900D9D">
        <w:rPr>
          <w:rFonts w:ascii="Arial" w:hAnsi="Arial"/>
        </w:rPr>
        <w:t>to think twice</w:t>
      </w:r>
      <w:r w:rsidR="002E7D33">
        <w:rPr>
          <w:rFonts w:ascii="Arial" w:hAnsi="Arial"/>
        </w:rPr>
        <w:t xml:space="preserve"> before entangling themselves in such criminal enterprises</w:t>
      </w:r>
      <w:r>
        <w:rPr>
          <w:rFonts w:ascii="Arial" w:hAnsi="Arial"/>
        </w:rPr>
        <w:t>, whether in primary or secondary association therewith</w:t>
      </w:r>
      <w:r w:rsidR="00900D9D">
        <w:rPr>
          <w:rFonts w:ascii="Arial" w:hAnsi="Arial"/>
        </w:rPr>
        <w:t>. I am of the considered view that the PG has amply demonstrated</w:t>
      </w:r>
      <w:r w:rsidR="002E7D33">
        <w:rPr>
          <w:rFonts w:ascii="Arial" w:hAnsi="Arial"/>
        </w:rPr>
        <w:t>,</w:t>
      </w:r>
      <w:r w:rsidR="00900D9D">
        <w:rPr>
          <w:rFonts w:ascii="Arial" w:hAnsi="Arial"/>
        </w:rPr>
        <w:t xml:space="preserve"> by admissible evidence, which cannot be regarded as flimsy or inherently unreliable, that this is a proper case in which to grant the forfeiture of property order. </w:t>
      </w:r>
    </w:p>
    <w:p w14:paraId="6D1A8674" w14:textId="77777777" w:rsidR="00900D9D" w:rsidRDefault="00900D9D" w:rsidP="00053568">
      <w:pPr>
        <w:spacing w:line="360" w:lineRule="auto"/>
        <w:jc w:val="both"/>
        <w:rPr>
          <w:rFonts w:ascii="Arial" w:hAnsi="Arial"/>
        </w:rPr>
      </w:pPr>
    </w:p>
    <w:p w14:paraId="2DA4F67E" w14:textId="2C911E69" w:rsidR="00900D9D" w:rsidRPr="00900D9D" w:rsidRDefault="00900D9D" w:rsidP="00053568">
      <w:pPr>
        <w:spacing w:line="360" w:lineRule="auto"/>
        <w:jc w:val="both"/>
        <w:rPr>
          <w:rFonts w:ascii="Arial" w:hAnsi="Arial"/>
          <w:u w:val="single"/>
        </w:rPr>
      </w:pPr>
      <w:r>
        <w:rPr>
          <w:rFonts w:ascii="Arial" w:hAnsi="Arial"/>
          <w:u w:val="single"/>
        </w:rPr>
        <w:t>Conclusion</w:t>
      </w:r>
    </w:p>
    <w:p w14:paraId="3C5913CF" w14:textId="77777777" w:rsidR="00900D9D" w:rsidRDefault="00900D9D" w:rsidP="00053568">
      <w:pPr>
        <w:spacing w:line="360" w:lineRule="auto"/>
        <w:jc w:val="both"/>
        <w:rPr>
          <w:rFonts w:ascii="Arial" w:hAnsi="Arial"/>
        </w:rPr>
      </w:pPr>
    </w:p>
    <w:p w14:paraId="2A3FED0B" w14:textId="14F8A476" w:rsidR="00E92535" w:rsidRDefault="00142381" w:rsidP="00053568">
      <w:pPr>
        <w:spacing w:line="360" w:lineRule="auto"/>
        <w:jc w:val="both"/>
        <w:rPr>
          <w:rFonts w:ascii="Arial" w:hAnsi="Arial"/>
        </w:rPr>
      </w:pPr>
      <w:r>
        <w:rPr>
          <w:rFonts w:ascii="Arial" w:hAnsi="Arial"/>
        </w:rPr>
        <w:t>[68</w:t>
      </w:r>
      <w:r w:rsidR="00900D9D">
        <w:rPr>
          <w:rFonts w:ascii="Arial" w:hAnsi="Arial"/>
        </w:rPr>
        <w:t>]</w:t>
      </w:r>
      <w:r w:rsidR="00900D9D">
        <w:rPr>
          <w:rFonts w:ascii="Arial" w:hAnsi="Arial"/>
        </w:rPr>
        <w:tab/>
        <w:t>I am, on the balance of probabilities satisfied that the amount that was sourced from Lycia Limited and subsequently transferred to various individuals and entities mentioned above, was proceeds of crime. I am accordingly satisfied on the balance</w:t>
      </w:r>
      <w:r w:rsidR="00E92535">
        <w:rPr>
          <w:rFonts w:ascii="Arial" w:hAnsi="Arial"/>
        </w:rPr>
        <w:t xml:space="preserve"> of probabilities</w:t>
      </w:r>
      <w:r w:rsidR="00900D9D">
        <w:rPr>
          <w:rFonts w:ascii="Arial" w:hAnsi="Arial"/>
        </w:rPr>
        <w:t xml:space="preserve">, that the crimes of theft and fraud </w:t>
      </w:r>
      <w:r w:rsidR="00900D9D">
        <w:rPr>
          <w:rFonts w:ascii="Arial" w:hAnsi="Arial"/>
        </w:rPr>
        <w:lastRenderedPageBreak/>
        <w:t>appear to have been perpetrated in this matter.</w:t>
      </w:r>
      <w:r w:rsidR="00E92535">
        <w:rPr>
          <w:rFonts w:ascii="Arial" w:hAnsi="Arial"/>
        </w:rPr>
        <w:t xml:space="preserve"> Furthermore, it appears that there were contraventions of the Diamond Act.</w:t>
      </w:r>
    </w:p>
    <w:p w14:paraId="45BA6F55" w14:textId="77777777" w:rsidR="00E92535" w:rsidRDefault="00E92535" w:rsidP="00053568">
      <w:pPr>
        <w:spacing w:line="360" w:lineRule="auto"/>
        <w:jc w:val="both"/>
        <w:rPr>
          <w:rFonts w:ascii="Arial" w:hAnsi="Arial"/>
        </w:rPr>
      </w:pPr>
    </w:p>
    <w:p w14:paraId="1C852203" w14:textId="4B9D400A" w:rsidR="00900D9D" w:rsidRDefault="00142381" w:rsidP="00053568">
      <w:pPr>
        <w:spacing w:line="360" w:lineRule="auto"/>
        <w:jc w:val="both"/>
        <w:rPr>
          <w:rFonts w:ascii="Arial" w:hAnsi="Arial"/>
        </w:rPr>
      </w:pPr>
      <w:r>
        <w:rPr>
          <w:rFonts w:ascii="Arial" w:hAnsi="Arial"/>
        </w:rPr>
        <w:t>[69</w:t>
      </w:r>
      <w:r w:rsidR="00E92535">
        <w:rPr>
          <w:rFonts w:ascii="Arial" w:hAnsi="Arial"/>
        </w:rPr>
        <w:t>]</w:t>
      </w:r>
      <w:r w:rsidR="00E92535">
        <w:rPr>
          <w:rFonts w:ascii="Arial" w:hAnsi="Arial"/>
        </w:rPr>
        <w:tab/>
      </w:r>
      <w:r w:rsidR="00900D9D">
        <w:rPr>
          <w:rFonts w:ascii="Arial" w:hAnsi="Arial"/>
        </w:rPr>
        <w:t xml:space="preserve">There is </w:t>
      </w:r>
      <w:r w:rsidR="000C1BB9">
        <w:rPr>
          <w:rFonts w:ascii="Arial" w:hAnsi="Arial"/>
        </w:rPr>
        <w:t xml:space="preserve">therefor, </w:t>
      </w:r>
      <w:r w:rsidR="00900D9D">
        <w:rPr>
          <w:rFonts w:ascii="Arial" w:hAnsi="Arial"/>
        </w:rPr>
        <w:t xml:space="preserve">also reason to believe, for reasons advanced above, that the individuals who were beneficiaries of the windfall, knew or ought to have </w:t>
      </w:r>
      <w:r w:rsidR="002E7D33">
        <w:rPr>
          <w:rFonts w:ascii="Arial" w:hAnsi="Arial"/>
        </w:rPr>
        <w:t xml:space="preserve">reasonably </w:t>
      </w:r>
      <w:r w:rsidR="00900D9D">
        <w:rPr>
          <w:rFonts w:ascii="Arial" w:hAnsi="Arial"/>
        </w:rPr>
        <w:t>known that the money deposited into their accounts, was proceeds of unlawful activities and that they knowingly or should have reasonably known that the said amount was proceeds of unlawful activities.</w:t>
      </w:r>
    </w:p>
    <w:p w14:paraId="72EC4148" w14:textId="77777777" w:rsidR="00900D9D" w:rsidRDefault="00900D9D" w:rsidP="00053568">
      <w:pPr>
        <w:spacing w:line="360" w:lineRule="auto"/>
        <w:jc w:val="both"/>
        <w:rPr>
          <w:rFonts w:ascii="Arial" w:hAnsi="Arial"/>
        </w:rPr>
      </w:pPr>
    </w:p>
    <w:p w14:paraId="6C91494F" w14:textId="77777777" w:rsidR="00900D9D" w:rsidRDefault="00900D9D" w:rsidP="00053568">
      <w:pPr>
        <w:spacing w:line="360" w:lineRule="auto"/>
        <w:jc w:val="both"/>
        <w:rPr>
          <w:rFonts w:ascii="Arial" w:hAnsi="Arial"/>
          <w:u w:val="single"/>
        </w:rPr>
      </w:pPr>
      <w:r>
        <w:rPr>
          <w:rFonts w:ascii="Arial" w:hAnsi="Arial"/>
          <w:u w:val="single"/>
        </w:rPr>
        <w:t>Order</w:t>
      </w:r>
    </w:p>
    <w:p w14:paraId="1AAB81C5" w14:textId="77777777" w:rsidR="00900D9D" w:rsidRDefault="00900D9D" w:rsidP="00053568">
      <w:pPr>
        <w:spacing w:line="360" w:lineRule="auto"/>
        <w:jc w:val="both"/>
        <w:rPr>
          <w:rFonts w:ascii="Arial" w:hAnsi="Arial"/>
          <w:u w:val="single"/>
        </w:rPr>
      </w:pPr>
    </w:p>
    <w:p w14:paraId="6B81E50F" w14:textId="20DA5535" w:rsidR="00900D9D" w:rsidRDefault="00900D9D" w:rsidP="00053568">
      <w:pPr>
        <w:spacing w:line="360" w:lineRule="auto"/>
        <w:jc w:val="both"/>
        <w:rPr>
          <w:rFonts w:ascii="Arial" w:hAnsi="Arial"/>
        </w:rPr>
      </w:pPr>
      <w:r>
        <w:rPr>
          <w:rFonts w:ascii="Arial" w:hAnsi="Arial"/>
        </w:rPr>
        <w:t>[70]</w:t>
      </w:r>
      <w:r>
        <w:rPr>
          <w:rFonts w:ascii="Arial" w:hAnsi="Arial"/>
        </w:rPr>
        <w:tab/>
        <w:t>Having regard to the foregoing, I accordingly issue the following order and hopefully bring an end to this saga</w:t>
      </w:r>
      <w:r w:rsidR="007E7271">
        <w:rPr>
          <w:rFonts w:ascii="Arial" w:hAnsi="Arial"/>
        </w:rPr>
        <w:t>, namely</w:t>
      </w:r>
      <w:r>
        <w:rPr>
          <w:rFonts w:ascii="Arial" w:hAnsi="Arial"/>
        </w:rPr>
        <w:t xml:space="preserve">: </w:t>
      </w:r>
    </w:p>
    <w:p w14:paraId="41E51295" w14:textId="77777777" w:rsidR="00262E4B" w:rsidRDefault="00262E4B" w:rsidP="00053568">
      <w:pPr>
        <w:spacing w:line="360" w:lineRule="auto"/>
        <w:jc w:val="both"/>
        <w:rPr>
          <w:rFonts w:ascii="Arial" w:hAnsi="Arial"/>
        </w:rPr>
      </w:pPr>
    </w:p>
    <w:p w14:paraId="1FBEE3F0" w14:textId="77777777" w:rsidR="00262E4B" w:rsidRDefault="00262E4B" w:rsidP="00262E4B">
      <w:pPr>
        <w:pStyle w:val="ListParagraph"/>
        <w:numPr>
          <w:ilvl w:val="0"/>
          <w:numId w:val="9"/>
        </w:numPr>
        <w:spacing w:line="360" w:lineRule="auto"/>
        <w:jc w:val="both"/>
        <w:rPr>
          <w:rFonts w:ascii="Arial" w:hAnsi="Arial" w:cs="Arial"/>
        </w:rPr>
      </w:pPr>
      <w:r w:rsidRPr="00262E4B">
        <w:rPr>
          <w:rFonts w:ascii="Arial" w:hAnsi="Arial" w:cs="Arial"/>
        </w:rPr>
        <w:t xml:space="preserve">The properties which are presently subject to a preservation of property order granted by this Honourable Court under the above case number, namely: </w:t>
      </w:r>
    </w:p>
    <w:p w14:paraId="5659CF53" w14:textId="77777777"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hAnsi="Arial" w:cs="Arial"/>
          <w:iCs/>
        </w:rPr>
        <w:t>The positive balance in the</w:t>
      </w:r>
      <w:r w:rsidRPr="00262E4B">
        <w:rPr>
          <w:rFonts w:ascii="Arial" w:eastAsia="Calibri" w:hAnsi="Arial" w:cs="Arial"/>
          <w:color w:val="000000"/>
        </w:rPr>
        <w:t xml:space="preserve"> positive balance in First National Bank account number 62245970802 held in the name of </w:t>
      </w:r>
      <w:proofErr w:type="spellStart"/>
      <w:r w:rsidRPr="00262E4B">
        <w:rPr>
          <w:rFonts w:ascii="Arial" w:eastAsia="Calibri" w:hAnsi="Arial" w:cs="Arial"/>
          <w:color w:val="000000"/>
        </w:rPr>
        <w:t>Heikki</w:t>
      </w:r>
      <w:proofErr w:type="spellEnd"/>
      <w:r w:rsidRPr="00262E4B">
        <w:rPr>
          <w:rFonts w:ascii="Arial" w:eastAsia="Calibri" w:hAnsi="Arial" w:cs="Arial"/>
          <w:color w:val="000000"/>
        </w:rPr>
        <w:t xml:space="preserve"> K. </w:t>
      </w:r>
      <w:proofErr w:type="spellStart"/>
      <w:r w:rsidRPr="00262E4B">
        <w:rPr>
          <w:rFonts w:ascii="Arial" w:eastAsia="Calibri" w:hAnsi="Arial" w:cs="Arial"/>
          <w:color w:val="000000"/>
        </w:rPr>
        <w:t>Kangonga</w:t>
      </w:r>
      <w:proofErr w:type="spellEnd"/>
      <w:r w:rsidRPr="00262E4B">
        <w:rPr>
          <w:rFonts w:ascii="Arial" w:eastAsia="Calibri" w:hAnsi="Arial" w:cs="Arial"/>
          <w:color w:val="000000"/>
        </w:rPr>
        <w:t>;</w:t>
      </w:r>
    </w:p>
    <w:p w14:paraId="76459704" w14:textId="77777777"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 xml:space="preserve">The positive balance in First National Bank account number 62269544386 held in the name of </w:t>
      </w:r>
      <w:proofErr w:type="spellStart"/>
      <w:r w:rsidRPr="00262E4B">
        <w:rPr>
          <w:rFonts w:ascii="Arial" w:eastAsia="Calibri" w:hAnsi="Arial" w:cs="Arial"/>
          <w:color w:val="000000"/>
        </w:rPr>
        <w:t>Cabino</w:t>
      </w:r>
      <w:proofErr w:type="spellEnd"/>
      <w:r w:rsidRPr="00262E4B">
        <w:rPr>
          <w:rFonts w:ascii="Arial" w:eastAsia="Calibri" w:hAnsi="Arial" w:cs="Arial"/>
          <w:color w:val="000000"/>
        </w:rPr>
        <w:t xml:space="preserve"> Financial Services CC; </w:t>
      </w:r>
    </w:p>
    <w:p w14:paraId="5E054D5D" w14:textId="77777777"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 xml:space="preserve">The positive balance in First National Bank account number 62274169327 held in the name of </w:t>
      </w:r>
      <w:proofErr w:type="spellStart"/>
      <w:r w:rsidRPr="00262E4B">
        <w:rPr>
          <w:rFonts w:ascii="Arial" w:eastAsia="Calibri" w:hAnsi="Arial" w:cs="Arial"/>
          <w:color w:val="000000"/>
        </w:rPr>
        <w:t>Toini</w:t>
      </w:r>
      <w:proofErr w:type="spellEnd"/>
      <w:r w:rsidRPr="00262E4B">
        <w:rPr>
          <w:rFonts w:ascii="Arial" w:eastAsia="Calibri" w:hAnsi="Arial" w:cs="Arial"/>
          <w:color w:val="000000"/>
        </w:rPr>
        <w:t xml:space="preserve"> </w:t>
      </w:r>
      <w:proofErr w:type="spellStart"/>
      <w:r w:rsidRPr="00262E4B">
        <w:rPr>
          <w:rFonts w:ascii="Arial" w:eastAsia="Calibri" w:hAnsi="Arial" w:cs="Arial"/>
          <w:color w:val="000000"/>
        </w:rPr>
        <w:t>Shilunga</w:t>
      </w:r>
      <w:proofErr w:type="spellEnd"/>
      <w:r w:rsidRPr="00262E4B">
        <w:rPr>
          <w:rFonts w:ascii="Arial" w:eastAsia="Calibri" w:hAnsi="Arial" w:cs="Arial"/>
          <w:color w:val="000000"/>
        </w:rPr>
        <w:t>;</w:t>
      </w:r>
    </w:p>
    <w:p w14:paraId="19D13C60" w14:textId="77777777"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 xml:space="preserve">A sum of N$58 000.00 held in First National Bank internal office account number 62275725631 linked to FNB account number 62023483415 held in the name of </w:t>
      </w:r>
      <w:proofErr w:type="spellStart"/>
      <w:r w:rsidRPr="00262E4B">
        <w:rPr>
          <w:rFonts w:ascii="Arial" w:eastAsia="Calibri" w:hAnsi="Arial" w:cs="Arial"/>
          <w:color w:val="000000"/>
        </w:rPr>
        <w:t>Leevi</w:t>
      </w:r>
      <w:proofErr w:type="spellEnd"/>
      <w:r w:rsidRPr="00262E4B">
        <w:rPr>
          <w:rFonts w:ascii="Arial" w:eastAsia="Calibri" w:hAnsi="Arial" w:cs="Arial"/>
          <w:color w:val="000000"/>
        </w:rPr>
        <w:t xml:space="preserve"> </w:t>
      </w:r>
      <w:proofErr w:type="spellStart"/>
      <w:r w:rsidRPr="00262E4B">
        <w:rPr>
          <w:rFonts w:ascii="Arial" w:eastAsia="Calibri" w:hAnsi="Arial" w:cs="Arial"/>
          <w:color w:val="000000"/>
        </w:rPr>
        <w:t>Nanyeni</w:t>
      </w:r>
      <w:proofErr w:type="spellEnd"/>
      <w:r w:rsidRPr="00262E4B">
        <w:rPr>
          <w:rFonts w:ascii="Arial" w:eastAsia="Calibri" w:hAnsi="Arial" w:cs="Arial"/>
          <w:color w:val="000000"/>
        </w:rPr>
        <w:t>;</w:t>
      </w:r>
    </w:p>
    <w:p w14:paraId="3949FFDB" w14:textId="77777777"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 xml:space="preserve">The positive balance in First National Bank account number 62261180055 held in the name of Petrus </w:t>
      </w:r>
      <w:proofErr w:type="spellStart"/>
      <w:r w:rsidRPr="00262E4B">
        <w:rPr>
          <w:rFonts w:ascii="Arial" w:eastAsia="Calibri" w:hAnsi="Arial" w:cs="Arial"/>
          <w:color w:val="000000"/>
        </w:rPr>
        <w:t>Dawid</w:t>
      </w:r>
      <w:proofErr w:type="spellEnd"/>
      <w:r w:rsidRPr="00262E4B">
        <w:rPr>
          <w:rFonts w:ascii="Arial" w:eastAsia="Calibri" w:hAnsi="Arial" w:cs="Arial"/>
          <w:color w:val="000000"/>
        </w:rPr>
        <w:t>;</w:t>
      </w:r>
    </w:p>
    <w:p w14:paraId="04E4F8F8" w14:textId="77777777" w:rsid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 xml:space="preserve">The positive balance in </w:t>
      </w:r>
      <w:r w:rsidRPr="00262E4B">
        <w:rPr>
          <w:rFonts w:ascii="Arial" w:hAnsi="Arial" w:cs="Arial"/>
        </w:rPr>
        <w:t xml:space="preserve">Bank Windhoek account number CHK 8023444377 held in the name of </w:t>
      </w:r>
      <w:proofErr w:type="spellStart"/>
      <w:r w:rsidRPr="00262E4B">
        <w:rPr>
          <w:rFonts w:ascii="Arial" w:hAnsi="Arial" w:cs="Arial"/>
        </w:rPr>
        <w:t>Natangwe</w:t>
      </w:r>
      <w:proofErr w:type="spellEnd"/>
      <w:r w:rsidRPr="00262E4B">
        <w:rPr>
          <w:rFonts w:ascii="Arial" w:hAnsi="Arial" w:cs="Arial"/>
        </w:rPr>
        <w:t xml:space="preserve"> </w:t>
      </w:r>
      <w:proofErr w:type="spellStart"/>
      <w:r w:rsidRPr="00262E4B">
        <w:rPr>
          <w:rFonts w:ascii="Arial" w:hAnsi="Arial" w:cs="Arial"/>
        </w:rPr>
        <w:t>Kalambi</w:t>
      </w:r>
      <w:proofErr w:type="spellEnd"/>
      <w:r w:rsidRPr="00262E4B">
        <w:rPr>
          <w:rFonts w:ascii="Arial" w:hAnsi="Arial" w:cs="Arial"/>
        </w:rPr>
        <w:t>;</w:t>
      </w:r>
    </w:p>
    <w:p w14:paraId="28277F33" w14:textId="77777777"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 xml:space="preserve">The positive balance in </w:t>
      </w:r>
      <w:proofErr w:type="spellStart"/>
      <w:r w:rsidRPr="00262E4B">
        <w:rPr>
          <w:rFonts w:ascii="Arial" w:eastAsia="Calibri" w:hAnsi="Arial" w:cs="Arial"/>
          <w:color w:val="000000"/>
        </w:rPr>
        <w:t>Nampost</w:t>
      </w:r>
      <w:proofErr w:type="spellEnd"/>
      <w:r w:rsidRPr="00262E4B">
        <w:rPr>
          <w:rFonts w:ascii="Arial" w:eastAsia="Calibri" w:hAnsi="Arial" w:cs="Arial"/>
          <w:color w:val="000000"/>
        </w:rPr>
        <w:t xml:space="preserve"> Limited account number 911824805588 held in the name of Erastus G. </w:t>
      </w:r>
      <w:proofErr w:type="spellStart"/>
      <w:r w:rsidRPr="00262E4B">
        <w:rPr>
          <w:rFonts w:ascii="Arial" w:eastAsia="Calibri" w:hAnsi="Arial" w:cs="Arial"/>
          <w:color w:val="000000"/>
        </w:rPr>
        <w:t>Heita</w:t>
      </w:r>
      <w:proofErr w:type="spellEnd"/>
      <w:r w:rsidRPr="00262E4B">
        <w:rPr>
          <w:rFonts w:ascii="Arial" w:eastAsia="Calibri" w:hAnsi="Arial" w:cs="Arial"/>
          <w:color w:val="000000"/>
        </w:rPr>
        <w:t xml:space="preserve">; and    </w:t>
      </w:r>
    </w:p>
    <w:p w14:paraId="09AEC4A2" w14:textId="1522062B" w:rsidR="00262E4B" w:rsidRPr="00262E4B" w:rsidRDefault="00262E4B" w:rsidP="00262E4B">
      <w:pPr>
        <w:pStyle w:val="ListParagraph"/>
        <w:numPr>
          <w:ilvl w:val="1"/>
          <w:numId w:val="14"/>
        </w:numPr>
        <w:spacing w:line="360" w:lineRule="auto"/>
        <w:jc w:val="both"/>
        <w:rPr>
          <w:rFonts w:ascii="Arial" w:hAnsi="Arial" w:cs="Arial"/>
        </w:rPr>
      </w:pPr>
      <w:r w:rsidRPr="00262E4B">
        <w:rPr>
          <w:rFonts w:ascii="Arial" w:eastAsia="Calibri" w:hAnsi="Arial" w:cs="Arial"/>
          <w:color w:val="000000"/>
        </w:rPr>
        <w:t>The positive balance in First National Bank account number 62275675167 held in the n</w:t>
      </w:r>
      <w:r w:rsidR="00D752AF">
        <w:rPr>
          <w:rFonts w:ascii="Arial" w:eastAsia="Calibri" w:hAnsi="Arial" w:cs="Arial"/>
          <w:color w:val="000000"/>
        </w:rPr>
        <w:t xml:space="preserve">ame of Erastus G. </w:t>
      </w:r>
      <w:proofErr w:type="spellStart"/>
      <w:r w:rsidR="00D752AF">
        <w:rPr>
          <w:rFonts w:ascii="Arial" w:eastAsia="Calibri" w:hAnsi="Arial" w:cs="Arial"/>
          <w:color w:val="000000"/>
        </w:rPr>
        <w:t>Heita</w:t>
      </w:r>
      <w:proofErr w:type="spellEnd"/>
      <w:r w:rsidR="00D752AF">
        <w:rPr>
          <w:rFonts w:ascii="Arial" w:eastAsia="Calibri" w:hAnsi="Arial" w:cs="Arial"/>
          <w:color w:val="000000"/>
        </w:rPr>
        <w:t>, herein</w:t>
      </w:r>
      <w:r w:rsidRPr="00262E4B">
        <w:rPr>
          <w:rFonts w:ascii="Arial" w:eastAsia="Calibri" w:hAnsi="Arial" w:cs="Arial"/>
          <w:color w:val="000000"/>
        </w:rPr>
        <w:t xml:space="preserve">after referred </w:t>
      </w:r>
      <w:r w:rsidRPr="00262E4B">
        <w:rPr>
          <w:rFonts w:ascii="Arial" w:eastAsia="Calibri" w:hAnsi="Arial" w:cs="Arial"/>
          <w:color w:val="000000"/>
        </w:rPr>
        <w:lastRenderedPageBreak/>
        <w:t xml:space="preserve">to as </w:t>
      </w:r>
      <w:r w:rsidR="00D752AF">
        <w:rPr>
          <w:rFonts w:ascii="Arial" w:eastAsia="Calibri" w:hAnsi="Arial" w:cs="Arial"/>
          <w:color w:val="000000"/>
        </w:rPr>
        <w:t>‘the properties’</w:t>
      </w:r>
      <w:r w:rsidRPr="00262E4B">
        <w:rPr>
          <w:rFonts w:ascii="Arial" w:eastAsia="Calibri" w:hAnsi="Arial" w:cs="Arial"/>
          <w:color w:val="000000"/>
        </w:rPr>
        <w:t xml:space="preserve">, </w:t>
      </w:r>
      <w:r w:rsidRPr="00262E4B">
        <w:rPr>
          <w:rFonts w:ascii="Arial" w:hAnsi="Arial" w:cs="Arial"/>
        </w:rPr>
        <w:t>be forfeited to the State in terms of section 61 of the Prevention of Or</w:t>
      </w:r>
      <w:r w:rsidR="00D752AF">
        <w:rPr>
          <w:rFonts w:ascii="Arial" w:hAnsi="Arial" w:cs="Arial"/>
        </w:rPr>
        <w:t>ganised Crime Act, 29 of 2004 (‘POCA’</w:t>
      </w:r>
      <w:r w:rsidRPr="00262E4B">
        <w:rPr>
          <w:rFonts w:ascii="Arial" w:hAnsi="Arial" w:cs="Arial"/>
        </w:rPr>
        <w:t>).</w:t>
      </w:r>
    </w:p>
    <w:p w14:paraId="6D0F046E" w14:textId="77777777" w:rsidR="00262E4B" w:rsidRDefault="00262E4B" w:rsidP="00262E4B">
      <w:pPr>
        <w:pStyle w:val="ListParagraph"/>
        <w:spacing w:line="360" w:lineRule="auto"/>
        <w:ind w:left="561"/>
        <w:contextualSpacing w:val="0"/>
        <w:jc w:val="both"/>
        <w:rPr>
          <w:rFonts w:ascii="Arial" w:hAnsi="Arial" w:cs="Arial"/>
        </w:rPr>
      </w:pPr>
    </w:p>
    <w:p w14:paraId="4B9C68EA" w14:textId="59D3EF40" w:rsidR="00262E4B" w:rsidRPr="00262E4B" w:rsidRDefault="00262E4B" w:rsidP="00262E4B">
      <w:pPr>
        <w:pStyle w:val="ListParagraph"/>
        <w:numPr>
          <w:ilvl w:val="0"/>
          <w:numId w:val="9"/>
        </w:numPr>
        <w:spacing w:line="360" w:lineRule="auto"/>
        <w:contextualSpacing w:val="0"/>
        <w:jc w:val="both"/>
        <w:rPr>
          <w:rFonts w:ascii="Arial" w:hAnsi="Arial" w:cs="Arial"/>
        </w:rPr>
      </w:pPr>
      <w:r w:rsidRPr="00701547">
        <w:rPr>
          <w:rFonts w:ascii="Arial" w:hAnsi="Arial" w:cs="Arial"/>
        </w:rPr>
        <w:t xml:space="preserve">The properties are to remain under the control and supervision of </w:t>
      </w:r>
      <w:r>
        <w:rPr>
          <w:rFonts w:ascii="Arial" w:hAnsi="Arial" w:cs="Arial"/>
        </w:rPr>
        <w:t>Detecti</w:t>
      </w:r>
      <w:r w:rsidR="00D752AF">
        <w:rPr>
          <w:rFonts w:ascii="Arial" w:hAnsi="Arial" w:cs="Arial"/>
        </w:rPr>
        <w:t xml:space="preserve">ve Inspector Johan </w:t>
      </w:r>
      <w:proofErr w:type="spellStart"/>
      <w:r w:rsidR="00D752AF">
        <w:rPr>
          <w:rFonts w:ascii="Arial" w:hAnsi="Arial" w:cs="Arial"/>
        </w:rPr>
        <w:t>Nico</w:t>
      </w:r>
      <w:proofErr w:type="spellEnd"/>
      <w:r w:rsidR="00D752AF">
        <w:rPr>
          <w:rFonts w:ascii="Arial" w:hAnsi="Arial" w:cs="Arial"/>
        </w:rPr>
        <w:t xml:space="preserve"> Green (‘</w:t>
      </w:r>
      <w:r>
        <w:rPr>
          <w:rFonts w:ascii="Arial" w:hAnsi="Arial" w:cs="Arial"/>
        </w:rPr>
        <w:t xml:space="preserve">D. </w:t>
      </w:r>
      <w:proofErr w:type="spellStart"/>
      <w:r>
        <w:rPr>
          <w:rFonts w:ascii="Arial" w:hAnsi="Arial" w:cs="Arial"/>
        </w:rPr>
        <w:t>Insp</w:t>
      </w:r>
      <w:proofErr w:type="spellEnd"/>
      <w:r>
        <w:rPr>
          <w:rFonts w:ascii="Arial" w:hAnsi="Arial" w:cs="Arial"/>
        </w:rPr>
        <w:t xml:space="preserve"> Green</w:t>
      </w:r>
      <w:r w:rsidR="00D752AF">
        <w:rPr>
          <w:rFonts w:ascii="Arial" w:hAnsi="Arial" w:cs="Arial"/>
        </w:rPr>
        <w:t>’</w:t>
      </w:r>
      <w:r>
        <w:rPr>
          <w:rFonts w:ascii="Arial" w:hAnsi="Arial" w:cs="Arial"/>
        </w:rPr>
        <w:t>) a member of the Anti-Money Laundering and Combating of Financing and Terrorism: Asset Recovery Sub-Division within the Namibian Police Force (“</w:t>
      </w:r>
      <w:proofErr w:type="spellStart"/>
      <w:r>
        <w:rPr>
          <w:rFonts w:ascii="Arial" w:hAnsi="Arial" w:cs="Arial"/>
        </w:rPr>
        <w:t>Nampol</w:t>
      </w:r>
      <w:proofErr w:type="spellEnd"/>
      <w:r>
        <w:rPr>
          <w:rFonts w:ascii="Arial" w:hAnsi="Arial" w:cs="Arial"/>
        </w:rPr>
        <w:t xml:space="preserve">”), stationed at </w:t>
      </w:r>
      <w:proofErr w:type="spellStart"/>
      <w:r>
        <w:rPr>
          <w:rFonts w:ascii="Arial" w:hAnsi="Arial" w:cs="Arial"/>
        </w:rPr>
        <w:t>Ausspanplatz</w:t>
      </w:r>
      <w:proofErr w:type="spellEnd"/>
      <w:r>
        <w:rPr>
          <w:rFonts w:ascii="Arial" w:hAnsi="Arial" w:cs="Arial"/>
        </w:rPr>
        <w:t xml:space="preserve">, Windhoek, </w:t>
      </w:r>
      <w:r w:rsidRPr="00FE6383">
        <w:rPr>
          <w:rFonts w:ascii="Arial" w:hAnsi="Arial" w:cs="Arial"/>
        </w:rPr>
        <w:t xml:space="preserve">and in </w:t>
      </w:r>
      <w:r>
        <w:rPr>
          <w:rFonts w:ascii="Arial" w:hAnsi="Arial" w:cs="Arial"/>
        </w:rPr>
        <w:t xml:space="preserve">D. </w:t>
      </w:r>
      <w:proofErr w:type="spellStart"/>
      <w:r>
        <w:rPr>
          <w:rFonts w:ascii="Arial" w:hAnsi="Arial" w:cs="Arial"/>
        </w:rPr>
        <w:t>Insp</w:t>
      </w:r>
      <w:proofErr w:type="spellEnd"/>
      <w:r>
        <w:rPr>
          <w:rFonts w:ascii="Arial" w:hAnsi="Arial" w:cs="Arial"/>
        </w:rPr>
        <w:t xml:space="preserve"> Green</w:t>
      </w:r>
      <w:r w:rsidRPr="00FE6383">
        <w:rPr>
          <w:rFonts w:ascii="Arial" w:hAnsi="Arial" w:cs="Arial"/>
        </w:rPr>
        <w:t>’s absence a</w:t>
      </w:r>
      <w:r>
        <w:rPr>
          <w:rFonts w:ascii="Arial" w:hAnsi="Arial" w:cs="Arial"/>
        </w:rPr>
        <w:t>n</w:t>
      </w:r>
      <w:r w:rsidRPr="00FE6383">
        <w:rPr>
          <w:rFonts w:ascii="Arial" w:hAnsi="Arial" w:cs="Arial"/>
        </w:rPr>
        <w:t>y other authorised member of</w:t>
      </w:r>
      <w:r w:rsidRPr="00FE6383">
        <w:rPr>
          <w:rFonts w:ascii="Arial" w:eastAsia="Times New Roman" w:hAnsi="Arial" w:cs="Arial"/>
        </w:rPr>
        <w:t xml:space="preserve"> </w:t>
      </w:r>
      <w:proofErr w:type="spellStart"/>
      <w:r>
        <w:rPr>
          <w:rFonts w:ascii="Arial" w:eastAsia="Times New Roman" w:hAnsi="Arial" w:cs="Arial"/>
        </w:rPr>
        <w:t>Nampol</w:t>
      </w:r>
      <w:proofErr w:type="spellEnd"/>
      <w:r>
        <w:rPr>
          <w:rFonts w:ascii="Arial" w:eastAsia="Times New Roman" w:hAnsi="Arial" w:cs="Arial"/>
        </w:rPr>
        <w:t xml:space="preserve">. </w:t>
      </w:r>
    </w:p>
    <w:p w14:paraId="547B7C90" w14:textId="264BF901" w:rsidR="00262E4B" w:rsidRPr="00262E4B" w:rsidRDefault="00262E4B" w:rsidP="00262E4B">
      <w:pPr>
        <w:pStyle w:val="ListParagraph"/>
        <w:numPr>
          <w:ilvl w:val="0"/>
          <w:numId w:val="9"/>
        </w:numPr>
        <w:spacing w:line="360" w:lineRule="auto"/>
        <w:contextualSpacing w:val="0"/>
        <w:jc w:val="both"/>
        <w:rPr>
          <w:rFonts w:ascii="Arial" w:hAnsi="Arial" w:cs="Arial"/>
        </w:rPr>
      </w:pPr>
      <w:r w:rsidRPr="00262E4B">
        <w:rPr>
          <w:rFonts w:ascii="Arial" w:hAnsi="Arial" w:cs="Arial"/>
        </w:rPr>
        <w:t xml:space="preserve">D. </w:t>
      </w:r>
      <w:proofErr w:type="spellStart"/>
      <w:r w:rsidRPr="00262E4B">
        <w:rPr>
          <w:rFonts w:ascii="Arial" w:hAnsi="Arial" w:cs="Arial"/>
        </w:rPr>
        <w:t>Insp</w:t>
      </w:r>
      <w:proofErr w:type="spellEnd"/>
      <w:r w:rsidRPr="00262E4B">
        <w:rPr>
          <w:rFonts w:ascii="Arial" w:hAnsi="Arial" w:cs="Arial"/>
        </w:rPr>
        <w:t xml:space="preserve"> Green, or in his absence, any other authorised member of </w:t>
      </w:r>
      <w:proofErr w:type="spellStart"/>
      <w:r w:rsidRPr="00262E4B">
        <w:rPr>
          <w:rFonts w:ascii="Arial" w:eastAsia="Times New Roman" w:hAnsi="Arial" w:cs="Arial"/>
        </w:rPr>
        <w:t>Nampol</w:t>
      </w:r>
      <w:proofErr w:type="spellEnd"/>
      <w:r w:rsidRPr="00262E4B">
        <w:rPr>
          <w:rFonts w:ascii="Arial" w:eastAsia="Times New Roman" w:hAnsi="Arial" w:cs="Arial"/>
        </w:rPr>
        <w:t xml:space="preserve">, </w:t>
      </w:r>
      <w:r w:rsidRPr="00262E4B">
        <w:rPr>
          <w:rFonts w:ascii="Arial" w:hAnsi="Arial" w:cs="Arial"/>
        </w:rPr>
        <w:t xml:space="preserve">is directed to pay the properties </w:t>
      </w:r>
      <w:r w:rsidRPr="00262E4B">
        <w:rPr>
          <w:rFonts w:ascii="Arial" w:eastAsia="Calibri" w:hAnsi="Arial" w:cs="Arial"/>
          <w:iCs/>
        </w:rPr>
        <w:t xml:space="preserve">and the interest thereto, </w:t>
      </w:r>
      <w:r w:rsidRPr="00262E4B">
        <w:rPr>
          <w:rFonts w:ascii="Arial" w:hAnsi="Arial" w:cs="Arial"/>
        </w:rPr>
        <w:t>into the Asset Recovery Account:</w:t>
      </w:r>
    </w:p>
    <w:p w14:paraId="20667C67" w14:textId="77777777" w:rsidR="00262E4B" w:rsidRDefault="00262E4B" w:rsidP="00262E4B">
      <w:pPr>
        <w:pStyle w:val="ListParagraph"/>
        <w:spacing w:line="360" w:lineRule="auto"/>
        <w:ind w:left="567"/>
        <w:contextualSpacing w:val="0"/>
        <w:jc w:val="both"/>
        <w:rPr>
          <w:rFonts w:ascii="Arial" w:hAnsi="Arial" w:cs="Arial"/>
          <w:lang w:val="en-ZA"/>
        </w:rPr>
      </w:pPr>
    </w:p>
    <w:p w14:paraId="16BF37F6" w14:textId="77777777" w:rsidR="00262E4B" w:rsidRDefault="00262E4B" w:rsidP="00262E4B">
      <w:pPr>
        <w:pStyle w:val="ListParagraph"/>
        <w:spacing w:line="360" w:lineRule="auto"/>
        <w:ind w:left="567"/>
        <w:contextualSpacing w:val="0"/>
        <w:jc w:val="both"/>
        <w:rPr>
          <w:rFonts w:ascii="Arial" w:hAnsi="Arial" w:cs="Arial"/>
          <w:lang w:val="en-ZA"/>
        </w:rPr>
      </w:pPr>
      <w:r>
        <w:rPr>
          <w:rFonts w:ascii="Arial" w:hAnsi="Arial" w:cs="Arial"/>
          <w:lang w:val="en-ZA"/>
        </w:rPr>
        <w:t>Ministry of Justice –POCA</w:t>
      </w:r>
    </w:p>
    <w:p w14:paraId="40D2A937" w14:textId="77777777" w:rsidR="00262E4B" w:rsidRDefault="00262E4B" w:rsidP="00262E4B">
      <w:pPr>
        <w:pStyle w:val="ListParagraph"/>
        <w:spacing w:line="360" w:lineRule="auto"/>
        <w:ind w:left="567"/>
        <w:contextualSpacing w:val="0"/>
        <w:jc w:val="both"/>
        <w:rPr>
          <w:rFonts w:ascii="Arial" w:hAnsi="Arial" w:cs="Arial"/>
          <w:lang w:val="en-ZA"/>
        </w:rPr>
      </w:pPr>
      <w:r>
        <w:rPr>
          <w:rFonts w:ascii="Arial" w:hAnsi="Arial" w:cs="Arial"/>
          <w:lang w:val="en-ZA"/>
        </w:rPr>
        <w:t>Standard Bank account number 589245309</w:t>
      </w:r>
    </w:p>
    <w:p w14:paraId="6CB27C71" w14:textId="77777777" w:rsidR="00262E4B" w:rsidRDefault="00262E4B" w:rsidP="00262E4B">
      <w:pPr>
        <w:pStyle w:val="ListParagraph"/>
        <w:spacing w:line="360" w:lineRule="auto"/>
        <w:ind w:left="567"/>
        <w:contextualSpacing w:val="0"/>
        <w:jc w:val="both"/>
        <w:rPr>
          <w:rFonts w:ascii="Arial" w:hAnsi="Arial" w:cs="Arial"/>
          <w:lang w:val="en-ZA"/>
        </w:rPr>
      </w:pPr>
      <w:r>
        <w:rPr>
          <w:rFonts w:ascii="Arial" w:hAnsi="Arial" w:cs="Arial"/>
          <w:lang w:val="en-ZA"/>
        </w:rPr>
        <w:t>Branch Code: 08237200</w:t>
      </w:r>
    </w:p>
    <w:p w14:paraId="165CF69C" w14:textId="77777777" w:rsidR="00262E4B" w:rsidRPr="004A6957" w:rsidRDefault="00262E4B" w:rsidP="00262E4B">
      <w:pPr>
        <w:pStyle w:val="ListParagraph"/>
        <w:spacing w:line="360" w:lineRule="auto"/>
        <w:ind w:left="567"/>
        <w:contextualSpacing w:val="0"/>
        <w:jc w:val="both"/>
        <w:rPr>
          <w:rFonts w:ascii="Arial" w:hAnsi="Arial" w:cs="Arial"/>
          <w:lang w:val="en-ZA"/>
        </w:rPr>
      </w:pPr>
    </w:p>
    <w:p w14:paraId="0A552F4A" w14:textId="77777777" w:rsidR="00262E4B" w:rsidRDefault="00262E4B" w:rsidP="00262E4B">
      <w:pPr>
        <w:pStyle w:val="ListParagraph"/>
        <w:numPr>
          <w:ilvl w:val="0"/>
          <w:numId w:val="9"/>
        </w:numPr>
        <w:spacing w:line="360" w:lineRule="auto"/>
        <w:jc w:val="both"/>
        <w:rPr>
          <w:rFonts w:ascii="Arial" w:hAnsi="Arial" w:cs="Arial"/>
          <w:lang w:val="en-ZA"/>
        </w:rPr>
      </w:pPr>
      <w:r w:rsidRPr="00262E4B">
        <w:rPr>
          <w:rFonts w:ascii="Arial" w:hAnsi="Arial" w:cs="Arial"/>
          <w:lang w:val="en-ZA"/>
        </w:rPr>
        <w:t>Any person whose interest in the properties concerned is affected by the forfeiture order, may within 15 days after he or she has become aware of the order apply to the High Court for a variat</w:t>
      </w:r>
      <w:r>
        <w:rPr>
          <w:rFonts w:ascii="Arial" w:hAnsi="Arial" w:cs="Arial"/>
          <w:lang w:val="en-ZA"/>
        </w:rPr>
        <w:t>ion or rescission of the order.</w:t>
      </w:r>
    </w:p>
    <w:p w14:paraId="2EC6E8C5" w14:textId="77777777" w:rsidR="00262E4B" w:rsidRPr="00262E4B" w:rsidRDefault="00262E4B" w:rsidP="00262E4B">
      <w:pPr>
        <w:pStyle w:val="ListParagraph"/>
        <w:numPr>
          <w:ilvl w:val="0"/>
          <w:numId w:val="9"/>
        </w:numPr>
        <w:spacing w:line="360" w:lineRule="auto"/>
        <w:jc w:val="both"/>
        <w:rPr>
          <w:rFonts w:ascii="Arial" w:hAnsi="Arial" w:cs="Arial"/>
          <w:lang w:val="en-ZA"/>
        </w:rPr>
      </w:pPr>
      <w:r w:rsidRPr="00262E4B">
        <w:rPr>
          <w:rFonts w:ascii="Arial" w:hAnsi="Arial" w:cs="Arial"/>
        </w:rPr>
        <w:t xml:space="preserve">The Registrar of this Honourable Court must publish notice of the forfeiture order in the Government Gazette as soon as practicable after it is made. </w:t>
      </w:r>
    </w:p>
    <w:p w14:paraId="2EA6E931" w14:textId="1FDCA6CF" w:rsidR="00262E4B" w:rsidRPr="00C67A84" w:rsidRDefault="00262E4B" w:rsidP="00262E4B">
      <w:pPr>
        <w:pStyle w:val="ListParagraph"/>
        <w:numPr>
          <w:ilvl w:val="0"/>
          <w:numId w:val="9"/>
        </w:numPr>
        <w:spacing w:line="360" w:lineRule="auto"/>
        <w:jc w:val="both"/>
        <w:rPr>
          <w:rFonts w:ascii="Arial" w:hAnsi="Arial" w:cs="Arial"/>
          <w:lang w:val="en-ZA"/>
        </w:rPr>
      </w:pPr>
      <w:r w:rsidRPr="00262E4B">
        <w:rPr>
          <w:rFonts w:ascii="Arial" w:hAnsi="Arial" w:cs="Arial"/>
        </w:rPr>
        <w:t>Prayers 1 and 3 will not take effect before 30 days after the notice of this order was published in the Government Gazette has expired or before an application in terms of section 65 of POCA or an appeal has been disposed of.</w:t>
      </w:r>
    </w:p>
    <w:p w14:paraId="6720A18C" w14:textId="461EF03A" w:rsidR="00C67A84" w:rsidRPr="00262E4B" w:rsidRDefault="00C67A84" w:rsidP="00262E4B">
      <w:pPr>
        <w:pStyle w:val="ListParagraph"/>
        <w:numPr>
          <w:ilvl w:val="0"/>
          <w:numId w:val="9"/>
        </w:numPr>
        <w:spacing w:line="360" w:lineRule="auto"/>
        <w:jc w:val="both"/>
        <w:rPr>
          <w:rFonts w:ascii="Arial" w:hAnsi="Arial" w:cs="Arial"/>
          <w:lang w:val="en-ZA"/>
        </w:rPr>
      </w:pPr>
      <w:r>
        <w:rPr>
          <w:rFonts w:ascii="Arial" w:hAnsi="Arial" w:cs="Arial"/>
        </w:rPr>
        <w:t>The matter is removed from the roll and regarded as finalised.</w:t>
      </w:r>
    </w:p>
    <w:p w14:paraId="5062700B" w14:textId="6EF8137C" w:rsidR="00900D9D" w:rsidRPr="00622E8C" w:rsidRDefault="00900D9D" w:rsidP="00053568">
      <w:pPr>
        <w:spacing w:line="360" w:lineRule="auto"/>
        <w:jc w:val="both"/>
        <w:rPr>
          <w:rFonts w:ascii="Arial" w:hAnsi="Arial"/>
        </w:rPr>
      </w:pPr>
    </w:p>
    <w:p w14:paraId="3C4DCD96" w14:textId="77777777" w:rsidR="00F102A7" w:rsidRDefault="00F102A7" w:rsidP="00F102A7">
      <w:pPr>
        <w:spacing w:line="360" w:lineRule="auto"/>
        <w:jc w:val="both"/>
        <w:rPr>
          <w:rFonts w:ascii="Arial" w:hAnsi="Arial"/>
        </w:rPr>
      </w:pPr>
    </w:p>
    <w:p w14:paraId="71D6078C" w14:textId="77777777" w:rsidR="00F102A7" w:rsidRPr="0061040D" w:rsidRDefault="00F102A7" w:rsidP="00F102A7">
      <w:pPr>
        <w:spacing w:line="360" w:lineRule="auto"/>
        <w:jc w:val="right"/>
        <w:rPr>
          <w:rFonts w:ascii="Arial" w:hAnsi="Arial" w:cs="Arial"/>
          <w:color w:val="000000" w:themeColor="text1"/>
        </w:rPr>
      </w:pPr>
      <w:r w:rsidRPr="0061040D">
        <w:rPr>
          <w:rFonts w:ascii="Arial" w:hAnsi="Arial" w:cs="Arial"/>
          <w:color w:val="000000" w:themeColor="text1"/>
        </w:rPr>
        <w:t>___________</w:t>
      </w:r>
    </w:p>
    <w:p w14:paraId="3AEC859D" w14:textId="77777777" w:rsidR="00F102A7" w:rsidRPr="0061040D" w:rsidRDefault="00F102A7" w:rsidP="00F102A7">
      <w:pPr>
        <w:spacing w:line="360" w:lineRule="auto"/>
        <w:jc w:val="right"/>
        <w:rPr>
          <w:rFonts w:ascii="Arial" w:hAnsi="Arial" w:cs="Arial"/>
          <w:color w:val="000000" w:themeColor="text1"/>
        </w:rPr>
      </w:pPr>
      <w:r w:rsidRPr="0061040D">
        <w:rPr>
          <w:rFonts w:ascii="Arial" w:hAnsi="Arial" w:cs="Arial"/>
          <w:color w:val="000000" w:themeColor="text1"/>
        </w:rPr>
        <w:t>T S MASUKU</w:t>
      </w:r>
    </w:p>
    <w:p w14:paraId="1ECEA656" w14:textId="77777777" w:rsidR="00F102A7" w:rsidRPr="0061040D" w:rsidRDefault="00F102A7" w:rsidP="00F102A7">
      <w:pPr>
        <w:tabs>
          <w:tab w:val="left" w:pos="996"/>
          <w:tab w:val="right" w:pos="9360"/>
        </w:tabs>
        <w:spacing w:line="360" w:lineRule="auto"/>
        <w:jc w:val="right"/>
        <w:rPr>
          <w:rFonts w:ascii="Arial" w:hAnsi="Arial" w:cs="Arial"/>
          <w:color w:val="000000" w:themeColor="text1"/>
        </w:rPr>
      </w:pPr>
      <w:r w:rsidRPr="0061040D">
        <w:rPr>
          <w:rFonts w:ascii="Arial" w:hAnsi="Arial" w:cs="Arial"/>
          <w:color w:val="000000" w:themeColor="text1"/>
        </w:rPr>
        <w:t>Judge</w:t>
      </w:r>
    </w:p>
    <w:p w14:paraId="1668BAAF" w14:textId="7C3B97EA" w:rsidR="00F102A7" w:rsidRPr="0061040D" w:rsidRDefault="00F102A7" w:rsidP="00481DAB">
      <w:pPr>
        <w:rPr>
          <w:rFonts w:ascii="Arial" w:hAnsi="Arial" w:cs="Arial"/>
          <w:color w:val="000000" w:themeColor="text1"/>
        </w:rPr>
      </w:pPr>
      <w:bookmarkStart w:id="0" w:name="_GoBack"/>
      <w:bookmarkEnd w:id="0"/>
      <w:r>
        <w:rPr>
          <w:rFonts w:ascii="Arial" w:hAnsi="Arial"/>
        </w:rPr>
        <w:br w:type="page"/>
      </w:r>
      <w:r>
        <w:rPr>
          <w:rFonts w:ascii="Arial" w:hAnsi="Arial" w:cs="Arial"/>
          <w:color w:val="000000" w:themeColor="text1"/>
        </w:rPr>
        <w:lastRenderedPageBreak/>
        <w:t>PP</w:t>
      </w:r>
      <w:r w:rsidRPr="0061040D">
        <w:rPr>
          <w:rFonts w:ascii="Arial" w:hAnsi="Arial" w:cs="Arial"/>
          <w:color w:val="000000" w:themeColor="text1"/>
        </w:rPr>
        <w:t>EARANCES</w:t>
      </w:r>
    </w:p>
    <w:p w14:paraId="4ACE9B26" w14:textId="77777777" w:rsidR="00F102A7" w:rsidRPr="0061040D" w:rsidRDefault="00F102A7" w:rsidP="00F102A7">
      <w:pPr>
        <w:spacing w:line="360" w:lineRule="auto"/>
        <w:jc w:val="both"/>
        <w:rPr>
          <w:rFonts w:ascii="Arial" w:hAnsi="Arial" w:cs="Arial"/>
          <w:color w:val="000000" w:themeColor="text1"/>
        </w:rPr>
      </w:pPr>
    </w:p>
    <w:p w14:paraId="7322D6E5" w14:textId="45FDFB25" w:rsidR="00F102A7" w:rsidRDefault="00F102A7" w:rsidP="00F102A7">
      <w:pPr>
        <w:spacing w:line="360" w:lineRule="auto"/>
        <w:jc w:val="both"/>
        <w:rPr>
          <w:rFonts w:ascii="Arial" w:hAnsi="Arial" w:cs="Arial"/>
          <w:color w:val="000000" w:themeColor="text1"/>
        </w:rPr>
      </w:pPr>
      <w:r>
        <w:rPr>
          <w:rFonts w:ascii="Arial" w:hAnsi="Arial" w:cs="Arial"/>
          <w:color w:val="000000" w:themeColor="text1"/>
        </w:rPr>
        <w:t>APPLICANT: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3579B4">
        <w:rPr>
          <w:rFonts w:ascii="Arial" w:hAnsi="Arial" w:cs="Arial"/>
          <w:color w:val="000000" w:themeColor="text1"/>
        </w:rPr>
        <w:t xml:space="preserve">C </w:t>
      </w:r>
      <w:proofErr w:type="spellStart"/>
      <w:r w:rsidR="003579B4">
        <w:rPr>
          <w:rFonts w:ascii="Arial" w:hAnsi="Arial" w:cs="Arial"/>
          <w:color w:val="000000" w:themeColor="text1"/>
        </w:rPr>
        <w:t>P</w:t>
      </w:r>
      <w:r w:rsidR="0029601C">
        <w:rPr>
          <w:rFonts w:ascii="Arial" w:hAnsi="Arial" w:cs="Arial"/>
          <w:color w:val="000000" w:themeColor="text1"/>
        </w:rPr>
        <w:t>iccanin</w:t>
      </w:r>
      <w:proofErr w:type="spellEnd"/>
    </w:p>
    <w:p w14:paraId="35EDC555" w14:textId="66CAD159" w:rsidR="003579B4" w:rsidRPr="0061040D" w:rsidRDefault="003579B4" w:rsidP="00F102A7">
      <w:pPr>
        <w:spacing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Of the Office of the Prosecutor-General (Windhoek)</w:t>
      </w:r>
    </w:p>
    <w:p w14:paraId="1A9B0415" w14:textId="77777777" w:rsidR="00F102A7" w:rsidRDefault="00F102A7" w:rsidP="00F102A7">
      <w:pPr>
        <w:spacing w:line="360" w:lineRule="auto"/>
        <w:jc w:val="both"/>
        <w:rPr>
          <w:rFonts w:ascii="Arial" w:hAnsi="Arial" w:cs="Arial"/>
          <w:color w:val="000000" w:themeColor="text1"/>
        </w:rPr>
      </w:pPr>
    </w:p>
    <w:p w14:paraId="47F85AE4" w14:textId="77777777" w:rsidR="00F102A7" w:rsidRDefault="00F102A7" w:rsidP="00F102A7">
      <w:pPr>
        <w:spacing w:line="360" w:lineRule="auto"/>
        <w:jc w:val="both"/>
        <w:rPr>
          <w:rFonts w:ascii="Arial" w:hAnsi="Arial" w:cs="Arial"/>
          <w:color w:val="000000" w:themeColor="text1"/>
        </w:rPr>
      </w:pPr>
    </w:p>
    <w:p w14:paraId="797721F4" w14:textId="77777777" w:rsidR="00F102A7" w:rsidRPr="006846F3" w:rsidRDefault="00F102A7" w:rsidP="00F102A7">
      <w:pPr>
        <w:spacing w:line="360" w:lineRule="auto"/>
        <w:jc w:val="both"/>
        <w:rPr>
          <w:rFonts w:ascii="Arial" w:hAnsi="Arial"/>
        </w:rPr>
      </w:pPr>
    </w:p>
    <w:p w14:paraId="2D4A4C95" w14:textId="77777777" w:rsidR="000B5033" w:rsidRPr="000B5033" w:rsidRDefault="000B5033" w:rsidP="00F102A7">
      <w:pPr>
        <w:spacing w:line="360" w:lineRule="auto"/>
        <w:jc w:val="both"/>
        <w:rPr>
          <w:rFonts w:ascii="Arial" w:hAnsi="Arial"/>
        </w:rPr>
      </w:pPr>
    </w:p>
    <w:sectPr w:rsidR="000B5033" w:rsidRPr="000B5033" w:rsidSect="00EF588E">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9922B" w14:textId="77777777" w:rsidR="009F672D" w:rsidRDefault="009F672D" w:rsidP="000B5033">
      <w:r>
        <w:separator/>
      </w:r>
    </w:p>
  </w:endnote>
  <w:endnote w:type="continuationSeparator" w:id="0">
    <w:p w14:paraId="6EAC1B42" w14:textId="77777777" w:rsidR="009F672D" w:rsidRDefault="009F672D" w:rsidP="000B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17C1" w14:textId="77777777" w:rsidR="009F672D" w:rsidRDefault="009F672D" w:rsidP="000B5033">
      <w:r>
        <w:separator/>
      </w:r>
    </w:p>
  </w:footnote>
  <w:footnote w:type="continuationSeparator" w:id="0">
    <w:p w14:paraId="659ACB5D" w14:textId="77777777" w:rsidR="009F672D" w:rsidRDefault="009F672D" w:rsidP="000B5033">
      <w:r>
        <w:continuationSeparator/>
      </w:r>
    </w:p>
  </w:footnote>
  <w:footnote w:id="1">
    <w:p w14:paraId="2E3A26D1" w14:textId="37E7F77A" w:rsidR="009F672D" w:rsidRPr="00F102A7" w:rsidRDefault="009F672D">
      <w:pPr>
        <w:pStyle w:val="FootnoteText"/>
        <w:rPr>
          <w:rFonts w:ascii="Arial" w:hAnsi="Arial" w:cs="Arial"/>
          <w:sz w:val="20"/>
          <w:szCs w:val="20"/>
          <w:lang w:val="en-US"/>
        </w:rPr>
      </w:pPr>
      <w:r w:rsidRPr="00F102A7">
        <w:rPr>
          <w:rStyle w:val="FootnoteReference"/>
          <w:rFonts w:ascii="Arial" w:hAnsi="Arial" w:cs="Arial"/>
          <w:sz w:val="20"/>
          <w:szCs w:val="20"/>
        </w:rPr>
        <w:footnoteRef/>
      </w:r>
      <w:r w:rsidRPr="00F102A7">
        <w:rPr>
          <w:rFonts w:ascii="Arial" w:hAnsi="Arial" w:cs="Arial"/>
          <w:sz w:val="20"/>
          <w:szCs w:val="20"/>
        </w:rPr>
        <w:t xml:space="preserve"> </w:t>
      </w:r>
      <w:proofErr w:type="spellStart"/>
      <w:proofErr w:type="gramStart"/>
      <w:r>
        <w:rPr>
          <w:rFonts w:ascii="Arial" w:hAnsi="Arial" w:cs="Arial"/>
          <w:i/>
          <w:sz w:val="20"/>
          <w:szCs w:val="20"/>
          <w:lang w:val="en-US"/>
        </w:rPr>
        <w:t>Shalli</w:t>
      </w:r>
      <w:proofErr w:type="spellEnd"/>
      <w:r>
        <w:rPr>
          <w:rFonts w:ascii="Arial" w:hAnsi="Arial" w:cs="Arial"/>
          <w:i/>
          <w:sz w:val="20"/>
          <w:szCs w:val="20"/>
          <w:lang w:val="en-US"/>
        </w:rPr>
        <w:t xml:space="preserve">  v</w:t>
      </w:r>
      <w:proofErr w:type="gramEnd"/>
      <w:r>
        <w:rPr>
          <w:rFonts w:ascii="Arial" w:hAnsi="Arial" w:cs="Arial"/>
          <w:i/>
          <w:sz w:val="20"/>
          <w:szCs w:val="20"/>
          <w:lang w:val="en-US"/>
        </w:rPr>
        <w:t xml:space="preserve"> Attorney</w:t>
      </w:r>
      <w:r w:rsidRPr="00F102A7">
        <w:rPr>
          <w:rFonts w:ascii="Arial" w:hAnsi="Arial" w:cs="Arial"/>
          <w:i/>
          <w:sz w:val="20"/>
          <w:szCs w:val="20"/>
          <w:lang w:val="en-US"/>
        </w:rPr>
        <w:t>-Genera</w:t>
      </w:r>
      <w:r>
        <w:rPr>
          <w:rFonts w:ascii="Arial" w:hAnsi="Arial" w:cs="Arial"/>
          <w:i/>
          <w:sz w:val="20"/>
          <w:szCs w:val="20"/>
          <w:lang w:val="en-US"/>
        </w:rPr>
        <w:t>l and Another</w:t>
      </w:r>
      <w:r>
        <w:rPr>
          <w:rFonts w:ascii="Arial" w:hAnsi="Arial" w:cs="Arial"/>
          <w:sz w:val="20"/>
          <w:szCs w:val="20"/>
          <w:lang w:val="en-US"/>
        </w:rPr>
        <w:t xml:space="preserve"> 2013 (3) NR 613 (HC) </w:t>
      </w:r>
      <w:r w:rsidRPr="00F102A7">
        <w:rPr>
          <w:rFonts w:ascii="Arial" w:hAnsi="Arial" w:cs="Arial"/>
          <w:sz w:val="20"/>
          <w:szCs w:val="20"/>
          <w:lang w:val="en-US"/>
        </w:rPr>
        <w:t xml:space="preserve"> </w:t>
      </w:r>
      <w:r>
        <w:rPr>
          <w:rFonts w:ascii="Arial" w:hAnsi="Arial" w:cs="Arial"/>
          <w:sz w:val="20"/>
          <w:szCs w:val="20"/>
          <w:lang w:val="en-US"/>
        </w:rPr>
        <w:t>PARA 45</w:t>
      </w:r>
      <w:r w:rsidRPr="00F102A7">
        <w:rPr>
          <w:rFonts w:ascii="Arial" w:hAnsi="Arial" w:cs="Arial"/>
          <w:sz w:val="20"/>
          <w:szCs w:val="20"/>
          <w:lang w:val="en-US"/>
        </w:rPr>
        <w:t>.</w:t>
      </w:r>
    </w:p>
  </w:footnote>
  <w:footnote w:id="2">
    <w:p w14:paraId="7625884B" w14:textId="7DB07210" w:rsidR="009F672D" w:rsidRPr="00F102A7" w:rsidRDefault="009F672D">
      <w:pPr>
        <w:pStyle w:val="FootnoteText"/>
        <w:rPr>
          <w:rFonts w:ascii="Arial" w:hAnsi="Arial" w:cs="Arial"/>
          <w:sz w:val="20"/>
          <w:szCs w:val="20"/>
          <w:lang w:val="en-US"/>
        </w:rPr>
      </w:pPr>
      <w:r w:rsidRPr="00F102A7">
        <w:rPr>
          <w:rStyle w:val="FootnoteReference"/>
          <w:rFonts w:ascii="Arial" w:hAnsi="Arial" w:cs="Arial"/>
          <w:sz w:val="20"/>
          <w:szCs w:val="20"/>
        </w:rPr>
        <w:footnoteRef/>
      </w:r>
      <w:r w:rsidRPr="00F102A7">
        <w:rPr>
          <w:rFonts w:ascii="Arial" w:hAnsi="Arial" w:cs="Arial"/>
          <w:sz w:val="20"/>
          <w:szCs w:val="20"/>
        </w:rPr>
        <w:t xml:space="preserve"> </w:t>
      </w:r>
      <w:proofErr w:type="spellStart"/>
      <w:r w:rsidRPr="00F102A7">
        <w:rPr>
          <w:rFonts w:ascii="Arial" w:hAnsi="Arial" w:cs="Arial"/>
          <w:i/>
          <w:sz w:val="20"/>
          <w:szCs w:val="20"/>
          <w:lang w:val="en-US"/>
        </w:rPr>
        <w:t>Kangonga</w:t>
      </w:r>
      <w:proofErr w:type="spellEnd"/>
      <w:r w:rsidRPr="00F102A7">
        <w:rPr>
          <w:rFonts w:ascii="Arial" w:hAnsi="Arial" w:cs="Arial"/>
          <w:i/>
          <w:sz w:val="20"/>
          <w:szCs w:val="20"/>
          <w:lang w:val="en-US"/>
        </w:rPr>
        <w:t xml:space="preserve"> v Prosecutor-General</w:t>
      </w:r>
      <w:r w:rsidRPr="00F102A7">
        <w:rPr>
          <w:rFonts w:ascii="Arial" w:hAnsi="Arial" w:cs="Arial"/>
          <w:sz w:val="20"/>
          <w:szCs w:val="20"/>
          <w:lang w:val="en-US"/>
        </w:rPr>
        <w:t xml:space="preserve"> (HC-MD-CIV-MOT-POCA-2021/00443) [2023] NAHCMD 108 (10 March 2023).</w:t>
      </w:r>
    </w:p>
  </w:footnote>
  <w:footnote w:id="3">
    <w:p w14:paraId="50C0D2E5" w14:textId="6C3B7E49" w:rsidR="009F672D" w:rsidRPr="00F102A7" w:rsidRDefault="009F672D">
      <w:pPr>
        <w:pStyle w:val="FootnoteText"/>
        <w:rPr>
          <w:rFonts w:ascii="Arial" w:hAnsi="Arial" w:cs="Arial"/>
          <w:sz w:val="20"/>
          <w:szCs w:val="20"/>
          <w:lang w:val="en-US"/>
        </w:rPr>
      </w:pPr>
      <w:r w:rsidRPr="00F102A7">
        <w:rPr>
          <w:rStyle w:val="FootnoteReference"/>
          <w:rFonts w:ascii="Arial" w:hAnsi="Arial" w:cs="Arial"/>
          <w:sz w:val="20"/>
          <w:szCs w:val="20"/>
        </w:rPr>
        <w:footnoteRef/>
      </w:r>
      <w:r w:rsidRPr="00F102A7">
        <w:rPr>
          <w:rFonts w:ascii="Arial" w:hAnsi="Arial" w:cs="Arial"/>
          <w:sz w:val="20"/>
          <w:szCs w:val="20"/>
        </w:rPr>
        <w:t xml:space="preserve"> </w:t>
      </w:r>
      <w:r w:rsidRPr="00F102A7">
        <w:rPr>
          <w:rFonts w:ascii="Arial" w:hAnsi="Arial" w:cs="Arial"/>
          <w:i/>
          <w:sz w:val="20"/>
          <w:szCs w:val="20"/>
          <w:lang w:val="en-US"/>
        </w:rPr>
        <w:t xml:space="preserve">Lycia Limited v Prosecutor-General </w:t>
      </w:r>
      <w:r w:rsidRPr="00F102A7">
        <w:rPr>
          <w:rFonts w:ascii="Arial" w:hAnsi="Arial" w:cs="Arial"/>
          <w:sz w:val="20"/>
          <w:szCs w:val="20"/>
          <w:lang w:val="en-US"/>
        </w:rPr>
        <w:t>(HC0-MD-CIV-MOT-POCA-2021/00443) NAHCMD 423 (19 July 2023).</w:t>
      </w:r>
    </w:p>
  </w:footnote>
  <w:footnote w:id="4">
    <w:p w14:paraId="4CC80889" w14:textId="599BE1FD" w:rsidR="009F672D" w:rsidRPr="00622E8C" w:rsidRDefault="009F672D">
      <w:pPr>
        <w:pStyle w:val="FootnoteText"/>
        <w:rPr>
          <w:lang w:val="en-US"/>
        </w:rPr>
      </w:pPr>
      <w:r>
        <w:rPr>
          <w:rStyle w:val="FootnoteReference"/>
        </w:rPr>
        <w:footnoteRef/>
      </w:r>
      <w:r>
        <w:t xml:space="preserve"> </w:t>
      </w:r>
      <w:r w:rsidRPr="003579B4">
        <w:rPr>
          <w:rFonts w:ascii="Arial" w:hAnsi="Arial" w:cs="Arial"/>
          <w:i/>
          <w:sz w:val="20"/>
          <w:szCs w:val="20"/>
          <w:lang w:val="en-US"/>
        </w:rPr>
        <w:t>New Africa Dimensions CC v Prosecutor-General</w:t>
      </w:r>
      <w:r w:rsidR="00D67EDA">
        <w:rPr>
          <w:rFonts w:ascii="Arial" w:hAnsi="Arial" w:cs="Arial"/>
          <w:sz w:val="20"/>
          <w:szCs w:val="20"/>
          <w:lang w:val="en-US"/>
        </w:rPr>
        <w:t xml:space="preserve"> 2018 (2) NR 340 (SC)</w:t>
      </w:r>
      <w:r w:rsidR="00D752AF">
        <w:rPr>
          <w:rFonts w:ascii="Arial" w:hAnsi="Arial" w:cs="Arial"/>
          <w:sz w:val="20"/>
          <w:szCs w:val="20"/>
          <w:lang w:val="en-US"/>
        </w:rPr>
        <w:t>, p 345</w:t>
      </w:r>
      <w:r w:rsidRPr="003579B4">
        <w:rPr>
          <w:rFonts w:ascii="Arial" w:hAnsi="Arial" w:cs="Arial"/>
          <w:sz w:val="20"/>
          <w:szCs w:val="20"/>
          <w:lang w:val="en-US"/>
        </w:rPr>
        <w:t xml:space="preserve"> </w:t>
      </w:r>
      <w:r w:rsidR="00D67EDA">
        <w:rPr>
          <w:rFonts w:ascii="Arial" w:hAnsi="Arial" w:cs="Arial"/>
          <w:sz w:val="20"/>
          <w:szCs w:val="20"/>
          <w:lang w:val="en-US"/>
        </w:rPr>
        <w:t>para 13</w:t>
      </w:r>
      <w:r w:rsidRPr="003579B4">
        <w:rPr>
          <w:rFonts w:ascii="Arial" w:hAnsi="Arial" w:cs="Arial"/>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514565"/>
      <w:docPartObj>
        <w:docPartGallery w:val="Page Numbers (Top of Page)"/>
        <w:docPartUnique/>
      </w:docPartObj>
    </w:sdtPr>
    <w:sdtEndPr>
      <w:rPr>
        <w:rFonts w:ascii="Arial" w:hAnsi="Arial" w:cs="Arial"/>
        <w:noProof/>
      </w:rPr>
    </w:sdtEndPr>
    <w:sdtContent>
      <w:p w14:paraId="4E9F533C" w14:textId="783546B2" w:rsidR="009F672D" w:rsidRPr="00EF588E" w:rsidRDefault="009F672D">
        <w:pPr>
          <w:pStyle w:val="Header"/>
          <w:jc w:val="right"/>
          <w:rPr>
            <w:rFonts w:ascii="Arial" w:hAnsi="Arial" w:cs="Arial"/>
          </w:rPr>
        </w:pPr>
        <w:r w:rsidRPr="00EF588E">
          <w:rPr>
            <w:rFonts w:ascii="Arial" w:hAnsi="Arial" w:cs="Arial"/>
          </w:rPr>
          <w:fldChar w:fldCharType="begin"/>
        </w:r>
        <w:r w:rsidRPr="00EF588E">
          <w:rPr>
            <w:rFonts w:ascii="Arial" w:hAnsi="Arial" w:cs="Arial"/>
          </w:rPr>
          <w:instrText xml:space="preserve"> PAGE   \* MERGEFORMAT </w:instrText>
        </w:r>
        <w:r w:rsidRPr="00EF588E">
          <w:rPr>
            <w:rFonts w:ascii="Arial" w:hAnsi="Arial" w:cs="Arial"/>
          </w:rPr>
          <w:fldChar w:fldCharType="separate"/>
        </w:r>
        <w:r w:rsidR="00481DAB">
          <w:rPr>
            <w:rFonts w:ascii="Arial" w:hAnsi="Arial" w:cs="Arial"/>
            <w:noProof/>
          </w:rPr>
          <w:t>24</w:t>
        </w:r>
        <w:r w:rsidRPr="00EF588E">
          <w:rPr>
            <w:rFonts w:ascii="Arial" w:hAnsi="Arial" w:cs="Arial"/>
            <w:noProof/>
          </w:rPr>
          <w:fldChar w:fldCharType="end"/>
        </w:r>
      </w:p>
    </w:sdtContent>
  </w:sdt>
  <w:p w14:paraId="12DDA6B1" w14:textId="77777777" w:rsidR="009F672D" w:rsidRDefault="009F6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B5F61A70"/>
    <w:lvl w:ilvl="0">
      <w:start w:val="1"/>
      <w:numFmt w:val="decimal"/>
      <w:pStyle w:val="Level1"/>
      <w:lvlText w:val="%1."/>
      <w:lvlJc w:val="left"/>
      <w:pPr>
        <w:tabs>
          <w:tab w:val="num" w:pos="652"/>
        </w:tabs>
        <w:ind w:left="652" w:hanging="674"/>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E4D4354"/>
    <w:multiLevelType w:val="multilevel"/>
    <w:tmpl w:val="94D67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AB1468"/>
    <w:multiLevelType w:val="multilevel"/>
    <w:tmpl w:val="D1A2D58E"/>
    <w:lvl w:ilvl="0">
      <w:start w:val="1"/>
      <w:numFmt w:val="decimal"/>
      <w:lvlText w:val="%1."/>
      <w:lvlJc w:val="left"/>
      <w:pPr>
        <w:ind w:left="567" w:hanging="567"/>
      </w:pPr>
      <w:rPr>
        <w:rFonts w:ascii="Arial" w:eastAsia="Calibri" w:hAnsi="Arial" w:cs="Arial"/>
        <w:b w:val="0"/>
        <w:i w:val="0"/>
      </w:rPr>
    </w:lvl>
    <w:lvl w:ilvl="1">
      <w:start w:val="1"/>
      <w:numFmt w:val="decimal"/>
      <w:lvlText w:val="%1.%2."/>
      <w:lvlJc w:val="left"/>
      <w:pPr>
        <w:ind w:left="1418" w:hanging="851"/>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045CD1"/>
    <w:multiLevelType w:val="hybridMultilevel"/>
    <w:tmpl w:val="C2E09248"/>
    <w:lvl w:ilvl="0" w:tplc="A460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003AA"/>
    <w:multiLevelType w:val="hybridMultilevel"/>
    <w:tmpl w:val="784EB91E"/>
    <w:lvl w:ilvl="0" w:tplc="1A20C4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275855"/>
    <w:multiLevelType w:val="hybridMultilevel"/>
    <w:tmpl w:val="F7B0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C1A54"/>
    <w:multiLevelType w:val="hybridMultilevel"/>
    <w:tmpl w:val="96B0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F732D"/>
    <w:multiLevelType w:val="hybridMultilevel"/>
    <w:tmpl w:val="4472509C"/>
    <w:lvl w:ilvl="0" w:tplc="85B02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760C6A"/>
    <w:multiLevelType w:val="multilevel"/>
    <w:tmpl w:val="94D67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665EA3"/>
    <w:multiLevelType w:val="multilevel"/>
    <w:tmpl w:val="94D670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B03343"/>
    <w:multiLevelType w:val="hybridMultilevel"/>
    <w:tmpl w:val="85301DB2"/>
    <w:lvl w:ilvl="0" w:tplc="682495FC">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30523"/>
    <w:multiLevelType w:val="hybridMultilevel"/>
    <w:tmpl w:val="E326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D5EA6"/>
    <w:multiLevelType w:val="multilevel"/>
    <w:tmpl w:val="E9089E1E"/>
    <w:lvl w:ilvl="0">
      <w:start w:val="1"/>
      <w:numFmt w:val="decimal"/>
      <w:lvlText w:val="%1."/>
      <w:lvlJc w:val="left"/>
      <w:pPr>
        <w:ind w:left="562" w:hanging="562"/>
      </w:pPr>
      <w:rPr>
        <w:rFonts w:hint="default"/>
      </w:rPr>
    </w:lvl>
    <w:lvl w:ilvl="1">
      <w:start w:val="1"/>
      <w:numFmt w:val="decimal"/>
      <w:isLgl/>
      <w:lvlText w:val="%1.%2"/>
      <w:lvlJc w:val="left"/>
      <w:pPr>
        <w:ind w:left="1411" w:hanging="849"/>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B8A2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F9F3B41"/>
    <w:multiLevelType w:val="hybridMultilevel"/>
    <w:tmpl w:val="E390881C"/>
    <w:lvl w:ilvl="0" w:tplc="755E2C9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7"/>
  </w:num>
  <w:num w:numId="4">
    <w:abstractNumId w:val="4"/>
  </w:num>
  <w:num w:numId="5">
    <w:abstractNumId w:val="3"/>
  </w:num>
  <w:num w:numId="6">
    <w:abstractNumId w:val="12"/>
  </w:num>
  <w:num w:numId="7">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2"/>
  </w:num>
  <w:num w:numId="9">
    <w:abstractNumId w:val="6"/>
  </w:num>
  <w:num w:numId="10">
    <w:abstractNumId w:val="11"/>
  </w:num>
  <w:num w:numId="11">
    <w:abstractNumId w:val="13"/>
  </w:num>
  <w:num w:numId="12">
    <w:abstractNumId w:val="1"/>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DD"/>
    <w:rsid w:val="000367D9"/>
    <w:rsid w:val="00036CB9"/>
    <w:rsid w:val="00053568"/>
    <w:rsid w:val="0008101F"/>
    <w:rsid w:val="00096F89"/>
    <w:rsid w:val="000A6D46"/>
    <w:rsid w:val="000B2E43"/>
    <w:rsid w:val="000B4013"/>
    <w:rsid w:val="000B5033"/>
    <w:rsid w:val="000C1BB9"/>
    <w:rsid w:val="000D799A"/>
    <w:rsid w:val="000E545C"/>
    <w:rsid w:val="000F2C21"/>
    <w:rsid w:val="00142381"/>
    <w:rsid w:val="00155544"/>
    <w:rsid w:val="00167D2B"/>
    <w:rsid w:val="00170411"/>
    <w:rsid w:val="0017198B"/>
    <w:rsid w:val="001B2D6C"/>
    <w:rsid w:val="001B779C"/>
    <w:rsid w:val="001C434A"/>
    <w:rsid w:val="001F1D77"/>
    <w:rsid w:val="00223C9F"/>
    <w:rsid w:val="00225E69"/>
    <w:rsid w:val="00250660"/>
    <w:rsid w:val="00256F99"/>
    <w:rsid w:val="00260756"/>
    <w:rsid w:val="00262E4B"/>
    <w:rsid w:val="002944BC"/>
    <w:rsid w:val="0029601C"/>
    <w:rsid w:val="002C4482"/>
    <w:rsid w:val="002D4A28"/>
    <w:rsid w:val="002E7D33"/>
    <w:rsid w:val="002F569D"/>
    <w:rsid w:val="002F7FFC"/>
    <w:rsid w:val="00300860"/>
    <w:rsid w:val="003152E5"/>
    <w:rsid w:val="00351563"/>
    <w:rsid w:val="003579B4"/>
    <w:rsid w:val="00385307"/>
    <w:rsid w:val="00386FDD"/>
    <w:rsid w:val="003B7C3B"/>
    <w:rsid w:val="00403818"/>
    <w:rsid w:val="004159F9"/>
    <w:rsid w:val="004213D2"/>
    <w:rsid w:val="00444530"/>
    <w:rsid w:val="004611B4"/>
    <w:rsid w:val="00481DAB"/>
    <w:rsid w:val="004918A7"/>
    <w:rsid w:val="00495639"/>
    <w:rsid w:val="004D2CB9"/>
    <w:rsid w:val="004E0C56"/>
    <w:rsid w:val="004E3209"/>
    <w:rsid w:val="005330F6"/>
    <w:rsid w:val="00580EC4"/>
    <w:rsid w:val="00590A26"/>
    <w:rsid w:val="005B15F5"/>
    <w:rsid w:val="005B1ADE"/>
    <w:rsid w:val="005B536F"/>
    <w:rsid w:val="005D2092"/>
    <w:rsid w:val="005F1117"/>
    <w:rsid w:val="00622E8C"/>
    <w:rsid w:val="0062663D"/>
    <w:rsid w:val="006564E3"/>
    <w:rsid w:val="00675485"/>
    <w:rsid w:val="006838B6"/>
    <w:rsid w:val="0068654A"/>
    <w:rsid w:val="006C4A4C"/>
    <w:rsid w:val="006C66D1"/>
    <w:rsid w:val="006E4329"/>
    <w:rsid w:val="006E46B0"/>
    <w:rsid w:val="006E486A"/>
    <w:rsid w:val="0071556F"/>
    <w:rsid w:val="007159A4"/>
    <w:rsid w:val="00766FF4"/>
    <w:rsid w:val="007C50B0"/>
    <w:rsid w:val="007E7271"/>
    <w:rsid w:val="00822751"/>
    <w:rsid w:val="0086636A"/>
    <w:rsid w:val="00870BB1"/>
    <w:rsid w:val="008736D6"/>
    <w:rsid w:val="00875EE7"/>
    <w:rsid w:val="008918DC"/>
    <w:rsid w:val="008A3790"/>
    <w:rsid w:val="008D4F68"/>
    <w:rsid w:val="008E13B3"/>
    <w:rsid w:val="00900D9D"/>
    <w:rsid w:val="00944964"/>
    <w:rsid w:val="00952DF3"/>
    <w:rsid w:val="00957A63"/>
    <w:rsid w:val="00994C25"/>
    <w:rsid w:val="0099581F"/>
    <w:rsid w:val="009E6F21"/>
    <w:rsid w:val="009F672D"/>
    <w:rsid w:val="00A3591E"/>
    <w:rsid w:val="00A41EE3"/>
    <w:rsid w:val="00A96A3D"/>
    <w:rsid w:val="00AA5F59"/>
    <w:rsid w:val="00AE0F22"/>
    <w:rsid w:val="00AF2077"/>
    <w:rsid w:val="00AF6B09"/>
    <w:rsid w:val="00B014A3"/>
    <w:rsid w:val="00B21D96"/>
    <w:rsid w:val="00B66E39"/>
    <w:rsid w:val="00B87035"/>
    <w:rsid w:val="00BC3FAD"/>
    <w:rsid w:val="00C113A7"/>
    <w:rsid w:val="00C34C7C"/>
    <w:rsid w:val="00C66FC9"/>
    <w:rsid w:val="00C67A84"/>
    <w:rsid w:val="00C76379"/>
    <w:rsid w:val="00CC20BC"/>
    <w:rsid w:val="00CD3AAF"/>
    <w:rsid w:val="00D008AA"/>
    <w:rsid w:val="00D11D97"/>
    <w:rsid w:val="00D55CC5"/>
    <w:rsid w:val="00D67EDA"/>
    <w:rsid w:val="00D752AF"/>
    <w:rsid w:val="00DA1E9F"/>
    <w:rsid w:val="00DC2E84"/>
    <w:rsid w:val="00DD26D4"/>
    <w:rsid w:val="00DF7F84"/>
    <w:rsid w:val="00E102F1"/>
    <w:rsid w:val="00E433F5"/>
    <w:rsid w:val="00E6693D"/>
    <w:rsid w:val="00E8116A"/>
    <w:rsid w:val="00E92535"/>
    <w:rsid w:val="00E94CD3"/>
    <w:rsid w:val="00ED4610"/>
    <w:rsid w:val="00EE4BB1"/>
    <w:rsid w:val="00EF588E"/>
    <w:rsid w:val="00F102A7"/>
    <w:rsid w:val="00F22EB6"/>
    <w:rsid w:val="00F3119B"/>
    <w:rsid w:val="00F7436C"/>
    <w:rsid w:val="00F8222E"/>
    <w:rsid w:val="00FB42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E998C"/>
  <w14:defaultImageDpi w14:val="300"/>
  <w15:docId w15:val="{552B8A92-5F2B-4161-8FDD-8AFF9456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11"/>
    <w:pPr>
      <w:ind w:left="720"/>
      <w:contextualSpacing/>
    </w:pPr>
  </w:style>
  <w:style w:type="paragraph" w:styleId="FootnoteText">
    <w:name w:val="footnote text"/>
    <w:basedOn w:val="Normal"/>
    <w:link w:val="FootnoteTextChar"/>
    <w:uiPriority w:val="99"/>
    <w:unhideWhenUsed/>
    <w:rsid w:val="000B5033"/>
  </w:style>
  <w:style w:type="character" w:customStyle="1" w:styleId="FootnoteTextChar">
    <w:name w:val="Footnote Text Char"/>
    <w:basedOn w:val="DefaultParagraphFont"/>
    <w:link w:val="FootnoteText"/>
    <w:uiPriority w:val="99"/>
    <w:rsid w:val="000B5033"/>
  </w:style>
  <w:style w:type="character" w:styleId="FootnoteReference">
    <w:name w:val="footnote reference"/>
    <w:basedOn w:val="DefaultParagraphFont"/>
    <w:uiPriority w:val="99"/>
    <w:unhideWhenUsed/>
    <w:rsid w:val="000B5033"/>
    <w:rPr>
      <w:vertAlign w:val="superscript"/>
    </w:rPr>
  </w:style>
  <w:style w:type="character" w:styleId="SubtleEmphasis">
    <w:name w:val="Subtle Emphasis"/>
    <w:basedOn w:val="DefaultParagraphFont"/>
    <w:uiPriority w:val="19"/>
    <w:qFormat/>
    <w:rsid w:val="00A41EE3"/>
    <w:rPr>
      <w:i/>
      <w:iCs/>
      <w:color w:val="404040" w:themeColor="text1" w:themeTint="BF"/>
    </w:rPr>
  </w:style>
  <w:style w:type="paragraph" w:styleId="Header">
    <w:name w:val="header"/>
    <w:basedOn w:val="Normal"/>
    <w:link w:val="HeaderChar"/>
    <w:uiPriority w:val="99"/>
    <w:unhideWhenUsed/>
    <w:rsid w:val="003152E5"/>
    <w:pPr>
      <w:tabs>
        <w:tab w:val="center" w:pos="4680"/>
        <w:tab w:val="right" w:pos="9360"/>
      </w:tabs>
    </w:pPr>
  </w:style>
  <w:style w:type="character" w:customStyle="1" w:styleId="HeaderChar">
    <w:name w:val="Header Char"/>
    <w:basedOn w:val="DefaultParagraphFont"/>
    <w:link w:val="Header"/>
    <w:uiPriority w:val="99"/>
    <w:rsid w:val="003152E5"/>
  </w:style>
  <w:style w:type="paragraph" w:styleId="Footer">
    <w:name w:val="footer"/>
    <w:basedOn w:val="Normal"/>
    <w:link w:val="FooterChar"/>
    <w:uiPriority w:val="99"/>
    <w:unhideWhenUsed/>
    <w:rsid w:val="003152E5"/>
    <w:pPr>
      <w:tabs>
        <w:tab w:val="center" w:pos="4680"/>
        <w:tab w:val="right" w:pos="9360"/>
      </w:tabs>
    </w:pPr>
  </w:style>
  <w:style w:type="character" w:customStyle="1" w:styleId="FooterChar">
    <w:name w:val="Footer Char"/>
    <w:basedOn w:val="DefaultParagraphFont"/>
    <w:link w:val="Footer"/>
    <w:uiPriority w:val="99"/>
    <w:rsid w:val="003152E5"/>
  </w:style>
  <w:style w:type="paragraph" w:styleId="Title">
    <w:name w:val="Title"/>
    <w:basedOn w:val="Normal"/>
    <w:next w:val="Normal"/>
    <w:link w:val="TitleChar"/>
    <w:uiPriority w:val="10"/>
    <w:qFormat/>
    <w:rsid w:val="00C66F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FC9"/>
    <w:rPr>
      <w:rFonts w:asciiTheme="majorHAnsi" w:eastAsiaTheme="majorEastAsia" w:hAnsiTheme="majorHAnsi" w:cstheme="majorBidi"/>
      <w:spacing w:val="-10"/>
      <w:kern w:val="28"/>
      <w:sz w:val="56"/>
      <w:szCs w:val="56"/>
    </w:rPr>
  </w:style>
  <w:style w:type="paragraph" w:customStyle="1" w:styleId="Level1">
    <w:name w:val="Level 1"/>
    <w:basedOn w:val="Normal"/>
    <w:rsid w:val="00262E4B"/>
    <w:pPr>
      <w:widowControl w:val="0"/>
      <w:numPr>
        <w:numId w:val="7"/>
      </w:numPr>
      <w:autoSpaceDE w:val="0"/>
      <w:autoSpaceDN w:val="0"/>
      <w:adjustRightInd w:val="0"/>
      <w:ind w:left="652" w:hanging="674"/>
      <w:outlineLvl w:val="0"/>
    </w:pPr>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CD3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2024-03-06T18:30:00+00:00</Judgment_x0020_Date>
    <Year xmlns="c1afb1bd-f2fb-40fd-9abb-aea55b4d7662">2024</Year>
  </documentManagement>
</p:properties>
</file>

<file path=customXml/itemProps1.xml><?xml version="1.0" encoding="utf-8"?>
<ds:datastoreItem xmlns:ds="http://schemas.openxmlformats.org/officeDocument/2006/customXml" ds:itemID="{8EBCB67B-E94C-494C-A4C5-36EE65D8717D}"/>
</file>

<file path=customXml/itemProps2.xml><?xml version="1.0" encoding="utf-8"?>
<ds:datastoreItem xmlns:ds="http://schemas.openxmlformats.org/officeDocument/2006/customXml" ds:itemID="{CFF46CB1-B5B2-4DD9-8503-D36B7AAEFE95}"/>
</file>

<file path=customXml/itemProps3.xml><?xml version="1.0" encoding="utf-8"?>
<ds:datastoreItem xmlns:ds="http://schemas.openxmlformats.org/officeDocument/2006/customXml" ds:itemID="{C344A6A9-9A15-4B42-875D-EEBA1928F025}"/>
</file>

<file path=customXml/itemProps4.xml><?xml version="1.0" encoding="utf-8"?>
<ds:datastoreItem xmlns:ds="http://schemas.openxmlformats.org/officeDocument/2006/customXml" ds:itemID="{88837385-762F-408D-BF8C-DC823EC5D342}"/>
</file>

<file path=docProps/app.xml><?xml version="1.0" encoding="utf-8"?>
<Properties xmlns="http://schemas.openxmlformats.org/officeDocument/2006/extended-properties" xmlns:vt="http://schemas.openxmlformats.org/officeDocument/2006/docPropsVTypes">
  <Template>Normal</Template>
  <TotalTime>220</TotalTime>
  <Pages>26</Pages>
  <Words>7080</Words>
  <Characters>40356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Prosecutor-General (HC-MD-CIV-MOT-POCA-2021-00443) [2024] NAHCMD 87 (7 March 2024)</dc:title>
  <dc:subject/>
  <dc:creator>Thomas Masuku</dc:creator>
  <cp:keywords/>
  <dc:description/>
  <cp:lastModifiedBy>Aune Victor</cp:lastModifiedBy>
  <cp:revision>32</cp:revision>
  <cp:lastPrinted>2024-03-04T09:47:00Z</cp:lastPrinted>
  <dcterms:created xsi:type="dcterms:W3CDTF">2024-02-29T13:05:00Z</dcterms:created>
  <dcterms:modified xsi:type="dcterms:W3CDTF">2024-03-07T14:31:00Z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