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bookmarkStart w:id="0" w:name="_GoBack"/>
      <w:bookmarkEnd w:id="0"/>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AD5F0B">
        <w:rPr>
          <w:rFonts w:ascii="Arial" w:hAnsi="Arial" w:cs="Arial"/>
          <w:lang w:val="en-ZA"/>
        </w:rPr>
        <w:t>19/2015</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AD5F0B" w:rsidP="00176493">
      <w:pPr>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r>
      <w:r>
        <w:rPr>
          <w:rFonts w:ascii="Arial" w:hAnsi="Arial" w:cs="Arial"/>
          <w:b/>
          <w:lang w:val="en-ZA"/>
        </w:rPr>
        <w:tab/>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000DA0">
        <w:rPr>
          <w:rFonts w:ascii="Arial" w:hAnsi="Arial" w:cs="Arial"/>
          <w:b/>
          <w:lang w:val="en-ZA"/>
        </w:rPr>
        <w:tab/>
      </w:r>
      <w:r w:rsidR="00000DA0">
        <w:rPr>
          <w:rFonts w:ascii="Arial" w:hAnsi="Arial" w:cs="Arial"/>
          <w:b/>
          <w:lang w:val="en-ZA"/>
        </w:rPr>
        <w:tab/>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AD5F0B" w:rsidP="00176493">
      <w:pPr>
        <w:spacing w:line="360" w:lineRule="auto"/>
        <w:jc w:val="both"/>
        <w:rPr>
          <w:rFonts w:ascii="Arial" w:hAnsi="Arial" w:cs="Arial"/>
          <w:b/>
          <w:lang w:val="en-ZA"/>
        </w:rPr>
      </w:pPr>
      <w:r>
        <w:rPr>
          <w:rFonts w:ascii="Arial" w:hAnsi="Arial" w:cs="Arial"/>
          <w:b/>
          <w:lang w:val="en-ZA"/>
        </w:rPr>
        <w:t>LINEA SIMON</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635D4F" w:rsidRDefault="00E07C65" w:rsidP="003955C6">
      <w:pPr>
        <w:spacing w:line="360" w:lineRule="auto"/>
        <w:ind w:left="2250" w:hanging="2250"/>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r w:rsidR="003955C6">
        <w:rPr>
          <w:rFonts w:ascii="Arial" w:hAnsi="Arial" w:cs="Arial"/>
          <w:i/>
          <w:lang w:val="en-ZA"/>
        </w:rPr>
        <w:t xml:space="preserve">S </w:t>
      </w:r>
      <w:r w:rsidR="000002F0">
        <w:rPr>
          <w:rFonts w:ascii="Arial" w:hAnsi="Arial" w:cs="Arial"/>
          <w:i/>
          <w:lang w:val="en-ZA"/>
        </w:rPr>
        <w:t xml:space="preserve"> v </w:t>
      </w:r>
      <w:r w:rsidR="00AD5F0B">
        <w:rPr>
          <w:rFonts w:ascii="Arial" w:hAnsi="Arial" w:cs="Arial"/>
          <w:i/>
          <w:lang w:val="en-ZA"/>
        </w:rPr>
        <w:t xml:space="preserve">Simon </w:t>
      </w:r>
      <w:r w:rsidR="008250DF">
        <w:rPr>
          <w:rFonts w:ascii="Arial" w:hAnsi="Arial" w:cs="Arial"/>
          <w:lang w:val="en-ZA"/>
        </w:rPr>
        <w:t>(CA</w:t>
      </w:r>
      <w:r w:rsidR="00AD5F0B">
        <w:rPr>
          <w:rFonts w:ascii="Arial" w:hAnsi="Arial" w:cs="Arial"/>
          <w:lang w:val="en-ZA"/>
        </w:rPr>
        <w:t>19/2015</w:t>
      </w:r>
      <w:r w:rsidR="00210744">
        <w:rPr>
          <w:rFonts w:ascii="Arial" w:hAnsi="Arial" w:cs="Arial"/>
          <w:lang w:val="en-ZA"/>
        </w:rPr>
        <w:t>) [20</w:t>
      </w:r>
      <w:r w:rsidR="00CE0DD9">
        <w:rPr>
          <w:rFonts w:ascii="Arial" w:hAnsi="Arial" w:cs="Arial"/>
          <w:lang w:val="en-ZA"/>
        </w:rPr>
        <w:t>1</w:t>
      </w:r>
      <w:r w:rsidR="00AD5F0B">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D07FA6">
        <w:rPr>
          <w:rFonts w:ascii="Arial" w:hAnsi="Arial" w:cs="Arial"/>
          <w:lang w:val="en-ZA"/>
        </w:rPr>
        <w:t>18</w:t>
      </w:r>
      <w:r w:rsidR="003955C6">
        <w:rPr>
          <w:rFonts w:ascii="Arial" w:hAnsi="Arial" w:cs="Arial"/>
          <w:lang w:val="en-ZA"/>
        </w:rPr>
        <w:t xml:space="preserve"> </w:t>
      </w:r>
      <w:r w:rsidR="00AC7528">
        <w:rPr>
          <w:rFonts w:ascii="Arial" w:hAnsi="Arial" w:cs="Arial"/>
          <w:lang w:val="en-ZA"/>
        </w:rPr>
        <w:t>(</w:t>
      </w:r>
      <w:r w:rsidR="00AD5F0B">
        <w:rPr>
          <w:rFonts w:ascii="Arial" w:hAnsi="Arial" w:cs="Arial"/>
          <w:lang w:val="en-ZA"/>
        </w:rPr>
        <w:t xml:space="preserve">3 March </w:t>
      </w:r>
      <w:r w:rsidR="00CE0DD9">
        <w:rPr>
          <w:rFonts w:ascii="Arial" w:hAnsi="Arial" w:cs="Arial"/>
          <w:lang w:val="en-ZA"/>
        </w:rPr>
        <w:t>201</w:t>
      </w:r>
      <w:r w:rsidR="00AD5F0B">
        <w:rPr>
          <w:rFonts w:ascii="Arial" w:hAnsi="Arial" w:cs="Arial"/>
          <w:lang w:val="en-ZA"/>
        </w:rPr>
        <w:t>7</w:t>
      </w:r>
      <w:r w:rsidR="006E137F">
        <w:rPr>
          <w:rFonts w:ascii="Arial" w:hAnsi="Arial" w:cs="Arial"/>
          <w:lang w:val="en-ZA"/>
        </w:rPr>
        <w:t>)</w:t>
      </w:r>
    </w:p>
    <w:p w:rsidR="00000DA0" w:rsidRDefault="00000DA0" w:rsidP="00176493">
      <w:pPr>
        <w:spacing w:line="360" w:lineRule="auto"/>
        <w:jc w:val="both"/>
        <w:rPr>
          <w:rFonts w:ascii="Arial" w:hAnsi="Arial" w:cs="Arial"/>
          <w:b/>
          <w:lang w:val="en-ZA"/>
        </w:rPr>
      </w:pPr>
    </w:p>
    <w:p w:rsid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AD5F0B">
        <w:rPr>
          <w:rFonts w:ascii="Arial" w:hAnsi="Arial" w:cs="Arial"/>
          <w:lang w:val="en-ZA"/>
        </w:rPr>
        <w:t>TOMMASI 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AD5F0B">
        <w:rPr>
          <w:rFonts w:ascii="Arial" w:hAnsi="Arial" w:cs="Arial"/>
          <w:lang w:val="en-ZA"/>
        </w:rPr>
        <w:t xml:space="preserve">JANUARY </w:t>
      </w:r>
      <w:r w:rsidR="00635D4F" w:rsidRPr="00340732">
        <w:rPr>
          <w:rFonts w:ascii="Arial" w:hAnsi="Arial" w:cs="Arial"/>
          <w:lang w:val="en-ZA"/>
        </w:rPr>
        <w:t>J</w:t>
      </w:r>
    </w:p>
    <w:p w:rsidR="00000DA0" w:rsidRPr="00C97786" w:rsidRDefault="00000DA0"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AD5F0B">
        <w:rPr>
          <w:rFonts w:ascii="Arial" w:hAnsi="Arial" w:cs="Arial"/>
          <w:lang w:val="en-ZA"/>
        </w:rPr>
        <w:t>26 November 2016</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AD5F0B">
        <w:rPr>
          <w:rFonts w:ascii="Arial" w:hAnsi="Arial" w:cs="Arial"/>
          <w:lang w:val="en-ZA"/>
        </w:rPr>
        <w:t>03 March 2017</w:t>
      </w:r>
    </w:p>
    <w:p w:rsidR="00635D4F" w:rsidRDefault="00635D4F" w:rsidP="00CA4466">
      <w:pPr>
        <w:spacing w:line="360" w:lineRule="auto"/>
        <w:jc w:val="both"/>
        <w:rPr>
          <w:rFonts w:ascii="Arial" w:hAnsi="Arial" w:cs="Arial"/>
          <w:lang w:val="en-ZA"/>
        </w:rPr>
      </w:pPr>
    </w:p>
    <w:p w:rsidR="00F26546" w:rsidRDefault="00635D4F" w:rsidP="00AC7528">
      <w:pPr>
        <w:spacing w:line="360" w:lineRule="auto"/>
        <w:jc w:val="both"/>
        <w:rPr>
          <w:rFonts w:ascii="Arial" w:hAnsi="Arial" w:cs="Arial"/>
          <w:lang w:val="en-ZA"/>
        </w:rPr>
      </w:pPr>
      <w:r>
        <w:rPr>
          <w:rFonts w:ascii="Arial" w:hAnsi="Arial" w:cs="Arial"/>
          <w:b/>
          <w:lang w:val="en-ZA"/>
        </w:rPr>
        <w:t>Flynote:</w:t>
      </w:r>
      <w:r w:rsidR="00F26546">
        <w:rPr>
          <w:rFonts w:ascii="Arial" w:hAnsi="Arial" w:cs="Arial"/>
          <w:b/>
          <w:lang w:val="en-ZA"/>
        </w:rPr>
        <w:tab/>
      </w:r>
      <w:r w:rsidR="00F26546" w:rsidRPr="00F26546">
        <w:rPr>
          <w:rFonts w:ascii="Arial" w:hAnsi="Arial" w:cs="Arial"/>
          <w:lang w:val="en-ZA"/>
        </w:rPr>
        <w:t>Criminal Procedure</w:t>
      </w:r>
      <w:r w:rsidR="00E7044A">
        <w:rPr>
          <w:rFonts w:ascii="Arial" w:hAnsi="Arial" w:cs="Arial"/>
          <w:lang w:val="en-ZA"/>
        </w:rPr>
        <w:t xml:space="preserve"> ― </w:t>
      </w:r>
      <w:r w:rsidR="00F26546" w:rsidRPr="00F26546">
        <w:rPr>
          <w:rFonts w:ascii="Arial" w:hAnsi="Arial" w:cs="Arial"/>
          <w:lang w:val="en-ZA"/>
        </w:rPr>
        <w:t xml:space="preserve">Discharge of </w:t>
      </w:r>
      <w:r w:rsidR="00E7044A">
        <w:rPr>
          <w:rFonts w:ascii="Arial" w:hAnsi="Arial" w:cs="Arial"/>
          <w:lang w:val="en-ZA"/>
        </w:rPr>
        <w:t>accused at close of State case ―</w:t>
      </w:r>
      <w:r w:rsidR="00F26546" w:rsidRPr="00F26546">
        <w:rPr>
          <w:rFonts w:ascii="Arial" w:hAnsi="Arial" w:cs="Arial"/>
          <w:lang w:val="en-ZA"/>
        </w:rPr>
        <w:t xml:space="preserve"> In terms of s 174 of Criminal Procedure Act 51 of 1977 </w:t>
      </w:r>
      <w:r w:rsidR="00E7044A">
        <w:rPr>
          <w:rFonts w:ascii="Arial" w:hAnsi="Arial" w:cs="Arial"/>
          <w:lang w:val="en-ZA"/>
        </w:rPr>
        <w:t>―</w:t>
      </w:r>
      <w:r w:rsidR="00F26546">
        <w:rPr>
          <w:rFonts w:ascii="Arial" w:hAnsi="Arial" w:cs="Arial"/>
          <w:lang w:val="en-ZA"/>
        </w:rPr>
        <w:t xml:space="preserve"> Prosecution has the burden of </w:t>
      </w:r>
      <w:r w:rsidR="00E7044A">
        <w:rPr>
          <w:rFonts w:ascii="Arial" w:hAnsi="Arial" w:cs="Arial"/>
          <w:lang w:val="en-ZA"/>
        </w:rPr>
        <w:t>nega</w:t>
      </w:r>
      <w:r w:rsidR="00E2681A">
        <w:rPr>
          <w:rFonts w:ascii="Arial" w:hAnsi="Arial" w:cs="Arial"/>
          <w:lang w:val="en-ZA"/>
        </w:rPr>
        <w:t>tivity defences such as self-d</w:t>
      </w:r>
      <w:r w:rsidR="00F26546">
        <w:rPr>
          <w:rFonts w:ascii="Arial" w:hAnsi="Arial" w:cs="Arial"/>
          <w:lang w:val="en-ZA"/>
        </w:rPr>
        <w:t xml:space="preserve">efence when raised in plea </w:t>
      </w:r>
      <w:r w:rsidR="00E7044A">
        <w:rPr>
          <w:rFonts w:ascii="Arial" w:hAnsi="Arial" w:cs="Arial"/>
          <w:lang w:val="en-ZA"/>
        </w:rPr>
        <w:t>explanation in terms of section 115 ―</w:t>
      </w:r>
      <w:r w:rsidR="00F26546">
        <w:rPr>
          <w:rFonts w:ascii="Arial" w:hAnsi="Arial" w:cs="Arial"/>
          <w:lang w:val="en-ZA"/>
        </w:rPr>
        <w:t xml:space="preserve"> Role of credibility of state witnesses </w:t>
      </w:r>
    </w:p>
    <w:p w:rsidR="008C6C33" w:rsidRDefault="008C6C33" w:rsidP="00AC7528">
      <w:pPr>
        <w:spacing w:line="360" w:lineRule="auto"/>
        <w:jc w:val="both"/>
        <w:rPr>
          <w:rFonts w:ascii="Arial" w:hAnsi="Arial" w:cs="Arial"/>
          <w:lang w:val="en-ZA"/>
        </w:rPr>
      </w:pPr>
    </w:p>
    <w:p w:rsidR="000B0DFE" w:rsidRDefault="00D17A51" w:rsidP="000B0DFE">
      <w:pPr>
        <w:spacing w:line="360" w:lineRule="auto"/>
        <w:jc w:val="both"/>
        <w:rPr>
          <w:rFonts w:ascii="Arial" w:hAnsi="Arial" w:cs="Arial"/>
          <w:lang w:val="en-ZA"/>
        </w:rPr>
      </w:pPr>
      <w:r>
        <w:rPr>
          <w:rFonts w:ascii="Arial" w:hAnsi="Arial" w:cs="Arial"/>
          <w:b/>
          <w:lang w:val="en-ZA"/>
        </w:rPr>
        <w:t>Summary:</w:t>
      </w:r>
      <w:r w:rsidR="00635D4F">
        <w:rPr>
          <w:rFonts w:ascii="Arial" w:hAnsi="Arial" w:cs="Arial"/>
          <w:b/>
          <w:lang w:val="en-ZA"/>
        </w:rPr>
        <w:tab/>
      </w:r>
      <w:r w:rsidR="00F26546" w:rsidRPr="00F26546">
        <w:rPr>
          <w:rFonts w:ascii="Arial" w:hAnsi="Arial" w:cs="Arial"/>
          <w:lang w:val="en-ZA"/>
        </w:rPr>
        <w:t xml:space="preserve">The </w:t>
      </w:r>
      <w:r w:rsidR="00F26546">
        <w:rPr>
          <w:rFonts w:ascii="Arial" w:hAnsi="Arial" w:cs="Arial"/>
          <w:lang w:val="en-ZA"/>
        </w:rPr>
        <w:t xml:space="preserve">State appealed against the magistrate’s discharge of the respondent in terms of section 174 of the Criminal Procedure Act, 1977 (Act 51 of 1977). The respondent raised self- defence in her plea explanation in terms of section 115. The State adduced evidence that the respondent was a member of a committee who was responsible to oversee the payment of water at a communal tap and that she was lawfully entitled to </w:t>
      </w:r>
      <w:r w:rsidR="008C6C33">
        <w:rPr>
          <w:rFonts w:ascii="Arial" w:hAnsi="Arial" w:cs="Arial"/>
          <w:lang w:val="en-ZA"/>
        </w:rPr>
        <w:t xml:space="preserve">stop people from drawing water particularly those who failed to pay their accounts. </w:t>
      </w:r>
      <w:r w:rsidR="00F26546">
        <w:rPr>
          <w:rFonts w:ascii="Arial" w:hAnsi="Arial" w:cs="Arial"/>
          <w:lang w:val="en-ZA"/>
        </w:rPr>
        <w:t>A state witnes</w:t>
      </w:r>
      <w:r w:rsidR="00D07FA6">
        <w:rPr>
          <w:rFonts w:ascii="Arial" w:hAnsi="Arial" w:cs="Arial"/>
          <w:lang w:val="en-ZA"/>
        </w:rPr>
        <w:t>s</w:t>
      </w:r>
      <w:r w:rsidR="00F26546">
        <w:rPr>
          <w:rFonts w:ascii="Arial" w:hAnsi="Arial" w:cs="Arial"/>
          <w:lang w:val="en-ZA"/>
        </w:rPr>
        <w:t xml:space="preserve"> testified that the complainant was stopped from drawing water and she took it by force. The complainant denied that she had not paid her water bill or that the issue was raised with her. According to her she was beaten and bitten for no reason</w:t>
      </w:r>
      <w:r w:rsidR="000B0DFE">
        <w:rPr>
          <w:rFonts w:ascii="Arial" w:hAnsi="Arial" w:cs="Arial"/>
          <w:lang w:val="en-ZA"/>
        </w:rPr>
        <w:t xml:space="preserve"> and whilst being held by the respondent’s son. That court held that the state indeed led evidence to support the version by the respondent rather than negativing it; and that while the </w:t>
      </w:r>
      <w:r w:rsidR="000B0DFE" w:rsidRPr="00EB32C4">
        <w:rPr>
          <w:rFonts w:ascii="Arial" w:hAnsi="Arial" w:cs="Arial"/>
          <w:lang w:val="en-ZA"/>
        </w:rPr>
        <w:t xml:space="preserve">criticism </w:t>
      </w:r>
      <w:r w:rsidR="000B0DFE">
        <w:rPr>
          <w:rFonts w:ascii="Arial" w:hAnsi="Arial" w:cs="Arial"/>
          <w:lang w:val="en-ZA"/>
        </w:rPr>
        <w:t xml:space="preserve">of the magistrate’s formulation of her </w:t>
      </w:r>
      <w:r w:rsidR="000B0DFE" w:rsidRPr="00EB32C4">
        <w:rPr>
          <w:rFonts w:ascii="Arial" w:hAnsi="Arial" w:cs="Arial"/>
          <w:lang w:val="en-ZA"/>
        </w:rPr>
        <w:t xml:space="preserve">reasons for the ruling </w:t>
      </w:r>
      <w:r w:rsidR="000B0DFE">
        <w:rPr>
          <w:rFonts w:ascii="Arial" w:hAnsi="Arial" w:cs="Arial"/>
          <w:lang w:val="en-ZA"/>
        </w:rPr>
        <w:t xml:space="preserve">is justified, this court arrives at the same conclusion i.e that the State failed to adduce evidence upon which a reasonable court, acting carefully may convict. </w:t>
      </w: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Pr="00210744" w:rsidRDefault="00210744" w:rsidP="00210744">
      <w:pPr>
        <w:spacing w:line="360" w:lineRule="auto"/>
        <w:ind w:left="720"/>
        <w:jc w:val="both"/>
        <w:rPr>
          <w:rFonts w:ascii="Arial" w:hAnsi="Arial" w:cs="Arial"/>
          <w:b/>
          <w:u w:val="single"/>
          <w:lang w:val="en-ZA"/>
        </w:rPr>
      </w:pPr>
    </w:p>
    <w:p w:rsidR="00635D4F" w:rsidRDefault="001C64B4" w:rsidP="00176493">
      <w:pPr>
        <w:pBdr>
          <w:bottom w:val="single" w:sz="12" w:space="1" w:color="auto"/>
        </w:pBdr>
        <w:spacing w:line="360" w:lineRule="auto"/>
        <w:jc w:val="both"/>
        <w:rPr>
          <w:rFonts w:ascii="Arial" w:hAnsi="Arial" w:cs="Arial"/>
          <w:lang w:val="en-ZA"/>
        </w:rPr>
      </w:pPr>
      <w:r>
        <w:rPr>
          <w:rFonts w:ascii="Arial" w:hAnsi="Arial" w:cs="Arial"/>
          <w:lang w:val="en-ZA"/>
        </w:rPr>
        <w:t>The appeal is dismissed.</w:t>
      </w:r>
    </w:p>
    <w:p w:rsidR="001C64B4" w:rsidRDefault="001C64B4"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2B7659">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0002F0"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2B7659">
        <w:rPr>
          <w:rFonts w:ascii="Arial" w:hAnsi="Arial" w:cs="Arial"/>
          <w:lang w:val="en-ZA"/>
        </w:rPr>
        <w:t>Th</w:t>
      </w:r>
      <w:r w:rsidR="00183E3C">
        <w:rPr>
          <w:rFonts w:ascii="Arial" w:hAnsi="Arial" w:cs="Arial"/>
          <w:lang w:val="en-ZA"/>
        </w:rPr>
        <w:t xml:space="preserve">is is an appeal by the State. </w:t>
      </w:r>
      <w:r w:rsidR="002B7659">
        <w:rPr>
          <w:rFonts w:ascii="Arial" w:hAnsi="Arial" w:cs="Arial"/>
          <w:lang w:val="en-ZA"/>
        </w:rPr>
        <w:t xml:space="preserve">The respondent appeared in the district court on a charge of assault with the intent to do grievous bodily harm. </w:t>
      </w:r>
      <w:r w:rsidR="00183E3C">
        <w:rPr>
          <w:rFonts w:ascii="Arial" w:hAnsi="Arial" w:cs="Arial"/>
          <w:lang w:val="en-ZA"/>
        </w:rPr>
        <w:t>The respondent pleaded not</w:t>
      </w:r>
      <w:r w:rsidR="002B7659">
        <w:rPr>
          <w:rFonts w:ascii="Arial" w:hAnsi="Arial" w:cs="Arial"/>
          <w:lang w:val="en-ZA"/>
        </w:rPr>
        <w:t xml:space="preserve"> guilty and raised a defence of self-defence. The </w:t>
      </w:r>
      <w:r w:rsidR="00551AE8">
        <w:rPr>
          <w:rFonts w:ascii="Arial" w:hAnsi="Arial" w:cs="Arial"/>
          <w:lang w:val="en-ZA"/>
        </w:rPr>
        <w:t>learned magistrate d</w:t>
      </w:r>
      <w:r w:rsidR="002B7659">
        <w:rPr>
          <w:rFonts w:ascii="Arial" w:hAnsi="Arial" w:cs="Arial"/>
          <w:lang w:val="en-ZA"/>
        </w:rPr>
        <w:t xml:space="preserve">ischarged </w:t>
      </w:r>
      <w:r w:rsidR="00551AE8">
        <w:rPr>
          <w:rFonts w:ascii="Arial" w:hAnsi="Arial" w:cs="Arial"/>
          <w:lang w:val="en-ZA"/>
        </w:rPr>
        <w:t xml:space="preserve">the respondent </w:t>
      </w:r>
      <w:r w:rsidR="002B7659">
        <w:rPr>
          <w:rFonts w:ascii="Arial" w:hAnsi="Arial" w:cs="Arial"/>
          <w:lang w:val="en-ZA"/>
        </w:rPr>
        <w:t>in terms of section 174 of the Criminal Procedure Act, 51 of 1977</w:t>
      </w:r>
      <w:r w:rsidR="00183E3C">
        <w:rPr>
          <w:rFonts w:ascii="Arial" w:hAnsi="Arial" w:cs="Arial"/>
          <w:lang w:val="en-ZA"/>
        </w:rPr>
        <w:t xml:space="preserve">. The State’s appeal </w:t>
      </w:r>
      <w:r w:rsidR="00551AE8">
        <w:rPr>
          <w:rFonts w:ascii="Arial" w:hAnsi="Arial" w:cs="Arial"/>
          <w:lang w:val="en-ZA"/>
        </w:rPr>
        <w:t>lies</w:t>
      </w:r>
      <w:r w:rsidR="00183E3C">
        <w:rPr>
          <w:rFonts w:ascii="Arial" w:hAnsi="Arial" w:cs="Arial"/>
          <w:lang w:val="en-ZA"/>
        </w:rPr>
        <w:t xml:space="preserve"> against </w:t>
      </w:r>
      <w:r w:rsidR="00551AE8">
        <w:rPr>
          <w:rFonts w:ascii="Arial" w:hAnsi="Arial" w:cs="Arial"/>
          <w:lang w:val="en-ZA"/>
        </w:rPr>
        <w:t>discharge</w:t>
      </w:r>
      <w:r w:rsidR="002B7659">
        <w:rPr>
          <w:rFonts w:ascii="Arial" w:hAnsi="Arial" w:cs="Arial"/>
          <w:lang w:val="en-ZA"/>
        </w:rPr>
        <w:t xml:space="preserve">. </w:t>
      </w:r>
    </w:p>
    <w:p w:rsidR="000002F0" w:rsidRDefault="000002F0" w:rsidP="00176493">
      <w:pPr>
        <w:spacing w:line="360" w:lineRule="auto"/>
        <w:jc w:val="both"/>
        <w:rPr>
          <w:rFonts w:ascii="Arial" w:hAnsi="Arial" w:cs="Arial"/>
          <w:lang w:val="en-ZA"/>
        </w:rPr>
      </w:pPr>
    </w:p>
    <w:p w:rsidR="0015092B" w:rsidRDefault="0015092B" w:rsidP="00176493">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2</w:t>
      </w:r>
      <w:r>
        <w:rPr>
          <w:rFonts w:ascii="Arial" w:hAnsi="Arial" w:cs="Arial"/>
          <w:lang w:val="en-ZA"/>
        </w:rPr>
        <w:t xml:space="preserve">]   </w:t>
      </w:r>
      <w:r w:rsidR="00183E3C">
        <w:rPr>
          <w:rFonts w:ascii="Arial" w:hAnsi="Arial" w:cs="Arial"/>
          <w:lang w:val="en-ZA"/>
        </w:rPr>
        <w:tab/>
        <w:t xml:space="preserve">It is now established law that a court </w:t>
      </w:r>
      <w:r w:rsidR="00183E3C" w:rsidRPr="00183E3C">
        <w:rPr>
          <w:rFonts w:ascii="Arial" w:hAnsi="Arial" w:cs="Arial"/>
          <w:lang w:val="en-ZA"/>
        </w:rPr>
        <w:t>on appeal may interfere</w:t>
      </w:r>
      <w:r w:rsidR="00183E3C">
        <w:rPr>
          <w:rFonts w:ascii="Arial" w:hAnsi="Arial" w:cs="Arial"/>
          <w:lang w:val="en-ZA"/>
        </w:rPr>
        <w:t xml:space="preserve"> with an order discharging an accused in terms of section 174 of the Act,</w:t>
      </w:r>
      <w:r w:rsidR="00183E3C" w:rsidRPr="00183E3C">
        <w:rPr>
          <w:rFonts w:ascii="Arial" w:hAnsi="Arial" w:cs="Arial"/>
          <w:lang w:val="en-ZA"/>
        </w:rPr>
        <w:t xml:space="preserve"> if</w:t>
      </w:r>
      <w:r w:rsidR="00183E3C">
        <w:rPr>
          <w:rFonts w:ascii="Arial" w:hAnsi="Arial" w:cs="Arial"/>
          <w:lang w:val="en-ZA"/>
        </w:rPr>
        <w:t xml:space="preserve"> the</w:t>
      </w:r>
      <w:r w:rsidR="00183E3C" w:rsidRPr="00183E3C">
        <w:rPr>
          <w:rFonts w:ascii="Arial" w:hAnsi="Arial" w:cs="Arial"/>
          <w:lang w:val="en-ZA"/>
        </w:rPr>
        <w:t xml:space="preserve"> court a quo acted </w:t>
      </w:r>
      <w:r w:rsidR="00183E3C" w:rsidRPr="00183E3C">
        <w:rPr>
          <w:rFonts w:ascii="Arial" w:hAnsi="Arial" w:cs="Arial"/>
          <w:i/>
          <w:lang w:val="en-ZA"/>
        </w:rPr>
        <w:t>mala fide</w:t>
      </w:r>
      <w:r w:rsidR="00183E3C" w:rsidRPr="00183E3C">
        <w:rPr>
          <w:rFonts w:ascii="Arial" w:hAnsi="Arial" w:cs="Arial"/>
          <w:lang w:val="en-ZA"/>
        </w:rPr>
        <w:t xml:space="preserve"> or did not apply its mind</w:t>
      </w:r>
      <w:r w:rsidR="00183E3C">
        <w:rPr>
          <w:rFonts w:ascii="Arial" w:hAnsi="Arial" w:cs="Arial"/>
          <w:lang w:val="en-ZA"/>
        </w:rPr>
        <w:t>. (See</w:t>
      </w:r>
      <w:r w:rsidR="00183E3C" w:rsidRPr="00183E3C">
        <w:rPr>
          <w:rFonts w:ascii="Arial" w:hAnsi="Arial" w:cs="Arial"/>
          <w:lang w:val="en-ZA"/>
        </w:rPr>
        <w:t xml:space="preserve"> </w:t>
      </w:r>
      <w:r w:rsidR="00183E3C" w:rsidRPr="00183E3C">
        <w:rPr>
          <w:rFonts w:ascii="Arial" w:hAnsi="Arial" w:cs="Arial"/>
          <w:i/>
          <w:lang w:val="en-ZA"/>
        </w:rPr>
        <w:t>S v Teek</w:t>
      </w:r>
      <w:r w:rsidR="00183E3C" w:rsidRPr="00183E3C">
        <w:rPr>
          <w:rFonts w:ascii="Arial" w:hAnsi="Arial" w:cs="Arial"/>
          <w:lang w:val="en-ZA"/>
        </w:rPr>
        <w:t xml:space="preserve"> 2009 (1) NR 127 (SC)</w:t>
      </w:r>
      <w:r w:rsidR="00E1492C">
        <w:rPr>
          <w:rFonts w:ascii="Arial" w:hAnsi="Arial" w:cs="Arial"/>
          <w:lang w:val="en-ZA"/>
        </w:rPr>
        <w:t>.</w:t>
      </w:r>
      <w:r w:rsidR="00D17A51">
        <w:rPr>
          <w:rFonts w:ascii="Arial" w:hAnsi="Arial" w:cs="Arial"/>
          <w:lang w:val="en-ZA"/>
        </w:rPr>
        <w:t xml:space="preserve"> </w:t>
      </w:r>
      <w:r w:rsidR="00551AE8">
        <w:rPr>
          <w:rFonts w:ascii="Arial" w:hAnsi="Arial" w:cs="Arial"/>
          <w:lang w:val="en-ZA"/>
        </w:rPr>
        <w:t>The State’s ground intimate that the learned magistrate failed to apply her mind.</w:t>
      </w:r>
      <w:r w:rsidR="00D17A51">
        <w:rPr>
          <w:rFonts w:ascii="Arial" w:hAnsi="Arial" w:cs="Arial"/>
          <w:lang w:val="en-ZA"/>
        </w:rPr>
        <w:t xml:space="preserve">  </w:t>
      </w:r>
    </w:p>
    <w:p w:rsidR="00DC5021" w:rsidRDefault="00DC5021" w:rsidP="00176493">
      <w:pPr>
        <w:spacing w:line="360" w:lineRule="auto"/>
        <w:jc w:val="both"/>
        <w:rPr>
          <w:rFonts w:ascii="Arial" w:hAnsi="Arial" w:cs="Arial"/>
          <w:lang w:val="en-ZA"/>
        </w:rPr>
      </w:pPr>
    </w:p>
    <w:p w:rsidR="0090679E" w:rsidRDefault="00DC5021" w:rsidP="000002F0">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3</w:t>
      </w:r>
      <w:r>
        <w:rPr>
          <w:rFonts w:ascii="Arial" w:hAnsi="Arial" w:cs="Arial"/>
          <w:lang w:val="en-ZA"/>
        </w:rPr>
        <w:t xml:space="preserve">]   </w:t>
      </w:r>
      <w:r w:rsidR="00532AFC">
        <w:rPr>
          <w:rFonts w:ascii="Arial" w:hAnsi="Arial" w:cs="Arial"/>
          <w:lang w:val="en-ZA"/>
        </w:rPr>
        <w:t xml:space="preserve">The respondent in her plea explanation </w:t>
      </w:r>
      <w:r w:rsidR="00752183">
        <w:rPr>
          <w:rFonts w:ascii="Arial" w:hAnsi="Arial" w:cs="Arial"/>
          <w:lang w:val="en-ZA"/>
        </w:rPr>
        <w:t xml:space="preserve">in terms of section 115 </w:t>
      </w:r>
      <w:r w:rsidR="008C6C33">
        <w:rPr>
          <w:rFonts w:ascii="Arial" w:hAnsi="Arial" w:cs="Arial"/>
          <w:lang w:val="en-ZA"/>
        </w:rPr>
        <w:t xml:space="preserve">stated that; </w:t>
      </w:r>
      <w:r w:rsidR="00532AFC">
        <w:rPr>
          <w:rFonts w:ascii="Arial" w:hAnsi="Arial" w:cs="Arial"/>
          <w:lang w:val="en-ZA"/>
        </w:rPr>
        <w:t>the complainant wanted to draw water from a community tap but she was prohibited to do so as she did not pay her contribution</w:t>
      </w:r>
      <w:r w:rsidR="008C6C33">
        <w:rPr>
          <w:rFonts w:ascii="Arial" w:hAnsi="Arial" w:cs="Arial"/>
          <w:lang w:val="en-ZA"/>
        </w:rPr>
        <w:t xml:space="preserve">; the complainant </w:t>
      </w:r>
      <w:r w:rsidR="00532AFC">
        <w:rPr>
          <w:rFonts w:ascii="Arial" w:hAnsi="Arial" w:cs="Arial"/>
          <w:lang w:val="en-ZA"/>
        </w:rPr>
        <w:t>first strangled the respondent and left with her water container</w:t>
      </w:r>
      <w:r w:rsidR="008C6C33">
        <w:rPr>
          <w:rFonts w:ascii="Arial" w:hAnsi="Arial" w:cs="Arial"/>
          <w:lang w:val="en-ZA"/>
        </w:rPr>
        <w:t xml:space="preserve">; the complainant </w:t>
      </w:r>
      <w:r w:rsidR="00532AFC">
        <w:rPr>
          <w:rFonts w:ascii="Arial" w:hAnsi="Arial" w:cs="Arial"/>
          <w:lang w:val="en-ZA"/>
        </w:rPr>
        <w:t xml:space="preserve">returned for a second time and attacked the respondent who then defended herself.  </w:t>
      </w:r>
    </w:p>
    <w:p w:rsidR="00376D10" w:rsidRDefault="00376D10" w:rsidP="000002F0">
      <w:pPr>
        <w:spacing w:line="360" w:lineRule="auto"/>
        <w:jc w:val="both"/>
        <w:rPr>
          <w:rFonts w:ascii="Arial" w:hAnsi="Arial" w:cs="Arial"/>
          <w:lang w:val="en-ZA"/>
        </w:rPr>
      </w:pPr>
    </w:p>
    <w:p w:rsidR="00E1492C" w:rsidRDefault="0090679E" w:rsidP="00376D10">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4</w:t>
      </w:r>
      <w:r>
        <w:rPr>
          <w:rFonts w:ascii="Arial" w:hAnsi="Arial" w:cs="Arial"/>
          <w:lang w:val="en-ZA"/>
        </w:rPr>
        <w:t xml:space="preserve">] </w:t>
      </w:r>
      <w:r w:rsidR="00532AFC">
        <w:rPr>
          <w:rFonts w:ascii="Arial" w:hAnsi="Arial" w:cs="Arial"/>
          <w:lang w:val="en-ZA"/>
        </w:rPr>
        <w:tab/>
        <w:t xml:space="preserve">The </w:t>
      </w:r>
      <w:r w:rsidR="00E1492C">
        <w:rPr>
          <w:rFonts w:ascii="Arial" w:hAnsi="Arial" w:cs="Arial"/>
          <w:lang w:val="en-ZA"/>
        </w:rPr>
        <w:t xml:space="preserve">State called two witnesses namely the </w:t>
      </w:r>
      <w:r w:rsidR="00532AFC">
        <w:rPr>
          <w:rFonts w:ascii="Arial" w:hAnsi="Arial" w:cs="Arial"/>
          <w:lang w:val="en-ZA"/>
        </w:rPr>
        <w:t>complainant, a 44 year old female</w:t>
      </w:r>
      <w:r w:rsidR="00E1492C">
        <w:rPr>
          <w:rFonts w:ascii="Arial" w:hAnsi="Arial" w:cs="Arial"/>
          <w:lang w:val="en-ZA"/>
        </w:rPr>
        <w:t xml:space="preserve"> and another 54 year old female who was present when the incident occurred. It was common cause that</w:t>
      </w:r>
      <w:r w:rsidR="00752183">
        <w:rPr>
          <w:rFonts w:ascii="Arial" w:hAnsi="Arial" w:cs="Arial"/>
          <w:lang w:val="en-ZA"/>
        </w:rPr>
        <w:t xml:space="preserve">: </w:t>
      </w:r>
      <w:r w:rsidR="00E1492C">
        <w:rPr>
          <w:rFonts w:ascii="Arial" w:hAnsi="Arial" w:cs="Arial"/>
          <w:lang w:val="en-ZA"/>
        </w:rPr>
        <w:t xml:space="preserve">the respondent was responsible to monitor payments </w:t>
      </w:r>
      <w:r w:rsidR="00752183">
        <w:rPr>
          <w:rFonts w:ascii="Arial" w:hAnsi="Arial" w:cs="Arial"/>
          <w:lang w:val="en-ZA"/>
        </w:rPr>
        <w:t xml:space="preserve">for water usage from a communal tap; She was lawfully empowered to </w:t>
      </w:r>
      <w:r w:rsidR="00E1492C">
        <w:rPr>
          <w:rFonts w:ascii="Arial" w:hAnsi="Arial" w:cs="Arial"/>
          <w:lang w:val="en-ZA"/>
        </w:rPr>
        <w:t>stop those who had not paid to draw water</w:t>
      </w:r>
      <w:r w:rsidR="00752183">
        <w:rPr>
          <w:rFonts w:ascii="Arial" w:hAnsi="Arial" w:cs="Arial"/>
          <w:lang w:val="en-ZA"/>
        </w:rPr>
        <w:t xml:space="preserve">; that she was present at the tap in her official </w:t>
      </w:r>
      <w:r w:rsidR="00E1492C">
        <w:rPr>
          <w:rFonts w:ascii="Arial" w:hAnsi="Arial" w:cs="Arial"/>
          <w:lang w:val="en-ZA"/>
        </w:rPr>
        <w:t>capacity</w:t>
      </w:r>
      <w:r w:rsidR="00752183">
        <w:rPr>
          <w:rFonts w:ascii="Arial" w:hAnsi="Arial" w:cs="Arial"/>
          <w:lang w:val="en-ZA"/>
        </w:rPr>
        <w:t>;</w:t>
      </w:r>
      <w:r w:rsidR="00E1492C">
        <w:rPr>
          <w:rFonts w:ascii="Arial" w:hAnsi="Arial" w:cs="Arial"/>
          <w:lang w:val="en-ZA"/>
        </w:rPr>
        <w:t xml:space="preserve"> </w:t>
      </w:r>
      <w:r w:rsidR="00752183">
        <w:rPr>
          <w:rFonts w:ascii="Arial" w:hAnsi="Arial" w:cs="Arial"/>
          <w:lang w:val="en-ZA"/>
        </w:rPr>
        <w:t>t</w:t>
      </w:r>
      <w:r w:rsidR="00E1492C">
        <w:rPr>
          <w:rFonts w:ascii="Arial" w:hAnsi="Arial" w:cs="Arial"/>
          <w:lang w:val="en-ZA"/>
        </w:rPr>
        <w:t>here were other persons present at the tap</w:t>
      </w:r>
      <w:r w:rsidR="00752183">
        <w:rPr>
          <w:rFonts w:ascii="Arial" w:hAnsi="Arial" w:cs="Arial"/>
          <w:lang w:val="en-ZA"/>
        </w:rPr>
        <w:t xml:space="preserve"> when the incident occurred; the complainant drew water from the tap against the expressed alternatively tacit wishes of the respondent; that she left with the water and later returned; and that the complainant sustained two open deep wounds on both legs where the respondent had bitten her</w:t>
      </w:r>
      <w:r w:rsidR="00E1492C">
        <w:rPr>
          <w:rFonts w:ascii="Arial" w:hAnsi="Arial" w:cs="Arial"/>
          <w:lang w:val="en-ZA"/>
        </w:rPr>
        <w:t xml:space="preserve">. </w:t>
      </w:r>
    </w:p>
    <w:p w:rsidR="00752183" w:rsidRDefault="00752183" w:rsidP="000B0DFE">
      <w:pPr>
        <w:spacing w:line="360" w:lineRule="auto"/>
        <w:jc w:val="both"/>
        <w:rPr>
          <w:rFonts w:ascii="Arial" w:hAnsi="Arial" w:cs="Arial"/>
          <w:lang w:val="en-ZA"/>
        </w:rPr>
      </w:pPr>
    </w:p>
    <w:p w:rsidR="009002E1" w:rsidRDefault="00E1492C" w:rsidP="000B0DFE">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5</w:t>
      </w:r>
      <w:r>
        <w:rPr>
          <w:rFonts w:ascii="Arial" w:hAnsi="Arial" w:cs="Arial"/>
          <w:lang w:val="en-ZA"/>
        </w:rPr>
        <w:t>]</w:t>
      </w:r>
      <w:r>
        <w:rPr>
          <w:rFonts w:ascii="Arial" w:hAnsi="Arial" w:cs="Arial"/>
          <w:lang w:val="en-ZA"/>
        </w:rPr>
        <w:tab/>
      </w:r>
      <w:r w:rsidR="00752183">
        <w:rPr>
          <w:rFonts w:ascii="Arial" w:hAnsi="Arial" w:cs="Arial"/>
          <w:lang w:val="en-ZA"/>
        </w:rPr>
        <w:t xml:space="preserve">It appears from the evidence that the communal tap was encamped with a fence. </w:t>
      </w:r>
      <w:r>
        <w:rPr>
          <w:rFonts w:ascii="Arial" w:hAnsi="Arial" w:cs="Arial"/>
          <w:lang w:val="en-ZA"/>
        </w:rPr>
        <w:t>According to the complainant the respondent was sitting outside the fence when she arrived</w:t>
      </w:r>
      <w:r w:rsidR="00752183">
        <w:rPr>
          <w:rFonts w:ascii="Arial" w:hAnsi="Arial" w:cs="Arial"/>
          <w:lang w:val="en-ZA"/>
        </w:rPr>
        <w:t xml:space="preserve">. </w:t>
      </w:r>
      <w:r w:rsidR="00FC55EE">
        <w:rPr>
          <w:rFonts w:ascii="Arial" w:hAnsi="Arial" w:cs="Arial"/>
          <w:lang w:val="en-ZA"/>
        </w:rPr>
        <w:t>T</w:t>
      </w:r>
      <w:r>
        <w:rPr>
          <w:rFonts w:ascii="Arial" w:hAnsi="Arial" w:cs="Arial"/>
          <w:lang w:val="en-ZA"/>
        </w:rPr>
        <w:t>he respondent took her water container from her and put it outside the fence</w:t>
      </w:r>
      <w:r w:rsidR="00752183">
        <w:rPr>
          <w:rFonts w:ascii="Arial" w:hAnsi="Arial" w:cs="Arial"/>
          <w:lang w:val="en-ZA"/>
        </w:rPr>
        <w:t xml:space="preserve"> without saying anything</w:t>
      </w:r>
      <w:r>
        <w:rPr>
          <w:rFonts w:ascii="Arial" w:hAnsi="Arial" w:cs="Arial"/>
          <w:lang w:val="en-ZA"/>
        </w:rPr>
        <w:t>.</w:t>
      </w:r>
      <w:r w:rsidR="00752183">
        <w:rPr>
          <w:rFonts w:ascii="Arial" w:hAnsi="Arial" w:cs="Arial"/>
          <w:lang w:val="en-ZA"/>
        </w:rPr>
        <w:t xml:space="preserve"> The conta</w:t>
      </w:r>
      <w:r w:rsidR="009002E1">
        <w:rPr>
          <w:rFonts w:ascii="Arial" w:hAnsi="Arial" w:cs="Arial"/>
          <w:lang w:val="en-ZA"/>
        </w:rPr>
        <w:t>iner was returned to her</w:t>
      </w:r>
      <w:r w:rsidR="00227813">
        <w:rPr>
          <w:rFonts w:ascii="Arial" w:hAnsi="Arial" w:cs="Arial"/>
          <w:lang w:val="en-ZA"/>
        </w:rPr>
        <w:t xml:space="preserve"> by someone else but </w:t>
      </w:r>
      <w:r w:rsidR="009002E1">
        <w:rPr>
          <w:rFonts w:ascii="Arial" w:hAnsi="Arial" w:cs="Arial"/>
          <w:lang w:val="en-ZA"/>
        </w:rPr>
        <w:t>the respondent once again took it from her. They wrestled for it</w:t>
      </w:r>
      <w:r w:rsidR="00227813">
        <w:rPr>
          <w:rFonts w:ascii="Arial" w:hAnsi="Arial" w:cs="Arial"/>
          <w:lang w:val="en-ZA"/>
        </w:rPr>
        <w:t>. T</w:t>
      </w:r>
      <w:r w:rsidR="009002E1">
        <w:rPr>
          <w:rFonts w:ascii="Arial" w:hAnsi="Arial" w:cs="Arial"/>
          <w:lang w:val="en-ZA"/>
        </w:rPr>
        <w:t xml:space="preserve">he respondent managed to get hold of it and she </w:t>
      </w:r>
      <w:r w:rsidR="008C6C33">
        <w:rPr>
          <w:rFonts w:ascii="Arial" w:hAnsi="Arial" w:cs="Arial"/>
          <w:lang w:val="en-ZA"/>
        </w:rPr>
        <w:t xml:space="preserve">once again </w:t>
      </w:r>
      <w:r w:rsidR="009002E1">
        <w:rPr>
          <w:rFonts w:ascii="Arial" w:hAnsi="Arial" w:cs="Arial"/>
          <w:lang w:val="en-ZA"/>
        </w:rPr>
        <w:t>placed it outside the fence again. The complainant retrieved it once more and she collected water from the tap.</w:t>
      </w:r>
      <w:r>
        <w:rPr>
          <w:rFonts w:ascii="Arial" w:hAnsi="Arial" w:cs="Arial"/>
          <w:lang w:val="en-ZA"/>
        </w:rPr>
        <w:t xml:space="preserve"> </w:t>
      </w:r>
      <w:r w:rsidR="003A7CBC">
        <w:rPr>
          <w:rFonts w:ascii="Arial" w:hAnsi="Arial" w:cs="Arial"/>
          <w:lang w:val="en-ZA"/>
        </w:rPr>
        <w:t xml:space="preserve">The complainant </w:t>
      </w:r>
      <w:r w:rsidR="009002E1">
        <w:rPr>
          <w:rFonts w:ascii="Arial" w:hAnsi="Arial" w:cs="Arial"/>
          <w:lang w:val="en-ZA"/>
        </w:rPr>
        <w:t xml:space="preserve">left after she had filled her container with water. </w:t>
      </w:r>
    </w:p>
    <w:p w:rsidR="009002E1" w:rsidRDefault="009002E1" w:rsidP="000002F0">
      <w:pPr>
        <w:spacing w:line="480" w:lineRule="auto"/>
        <w:jc w:val="both"/>
        <w:rPr>
          <w:rFonts w:ascii="Arial" w:hAnsi="Arial" w:cs="Arial"/>
          <w:lang w:val="en-ZA"/>
        </w:rPr>
      </w:pPr>
    </w:p>
    <w:p w:rsidR="00903A90" w:rsidRDefault="009002E1" w:rsidP="000B0DFE">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6</w:t>
      </w:r>
      <w:r>
        <w:rPr>
          <w:rFonts w:ascii="Arial" w:hAnsi="Arial" w:cs="Arial"/>
          <w:lang w:val="en-ZA"/>
        </w:rPr>
        <w:t>]</w:t>
      </w:r>
      <w:r>
        <w:rPr>
          <w:rFonts w:ascii="Arial" w:hAnsi="Arial" w:cs="Arial"/>
          <w:lang w:val="en-ZA"/>
        </w:rPr>
        <w:tab/>
      </w:r>
      <w:r w:rsidR="00227813">
        <w:rPr>
          <w:rFonts w:ascii="Arial" w:hAnsi="Arial" w:cs="Arial"/>
          <w:lang w:val="en-ZA"/>
        </w:rPr>
        <w:t xml:space="preserve">The </w:t>
      </w:r>
      <w:r w:rsidR="006A0BB5">
        <w:rPr>
          <w:rFonts w:ascii="Arial" w:hAnsi="Arial" w:cs="Arial"/>
          <w:lang w:val="en-ZA"/>
        </w:rPr>
        <w:t xml:space="preserve">complainant </w:t>
      </w:r>
      <w:r w:rsidR="00227813">
        <w:rPr>
          <w:rFonts w:ascii="Arial" w:hAnsi="Arial" w:cs="Arial"/>
          <w:lang w:val="en-ZA"/>
        </w:rPr>
        <w:t xml:space="preserve">further testified that </w:t>
      </w:r>
      <w:r w:rsidR="006A0BB5">
        <w:rPr>
          <w:rFonts w:ascii="Arial" w:hAnsi="Arial" w:cs="Arial"/>
          <w:lang w:val="en-ZA"/>
        </w:rPr>
        <w:t xml:space="preserve">she returned </w:t>
      </w:r>
      <w:r w:rsidR="00227813">
        <w:rPr>
          <w:rFonts w:ascii="Arial" w:hAnsi="Arial" w:cs="Arial"/>
          <w:lang w:val="en-ZA"/>
        </w:rPr>
        <w:t xml:space="preserve">to the tap </w:t>
      </w:r>
      <w:r w:rsidR="006A0BB5">
        <w:rPr>
          <w:rFonts w:ascii="Arial" w:hAnsi="Arial" w:cs="Arial"/>
          <w:lang w:val="en-ZA"/>
        </w:rPr>
        <w:t xml:space="preserve">only to ask the respondent why she had </w:t>
      </w:r>
      <w:r>
        <w:rPr>
          <w:rFonts w:ascii="Arial" w:hAnsi="Arial" w:cs="Arial"/>
          <w:lang w:val="en-ZA"/>
        </w:rPr>
        <w:t>assaulted/</w:t>
      </w:r>
      <w:r w:rsidR="006A0BB5">
        <w:rPr>
          <w:rFonts w:ascii="Arial" w:hAnsi="Arial" w:cs="Arial"/>
          <w:lang w:val="en-ZA"/>
        </w:rPr>
        <w:t>bitten her</w:t>
      </w:r>
      <w:r>
        <w:rPr>
          <w:rFonts w:ascii="Arial" w:hAnsi="Arial" w:cs="Arial"/>
          <w:lang w:val="en-ZA"/>
        </w:rPr>
        <w:t xml:space="preserve">. The complainant described how her hands were held by the respondent’s son and how she was beaten with fists on the hip, bitten on the left arm and on both thighs. </w:t>
      </w:r>
      <w:r w:rsidR="0084775E">
        <w:rPr>
          <w:rFonts w:ascii="Arial" w:hAnsi="Arial" w:cs="Arial"/>
          <w:lang w:val="en-ZA"/>
        </w:rPr>
        <w:t>During her evidence in main the complainant gave the distinct impression that there was only one incident of assault</w:t>
      </w:r>
      <w:r w:rsidR="00227813">
        <w:rPr>
          <w:rFonts w:ascii="Arial" w:hAnsi="Arial" w:cs="Arial"/>
          <w:lang w:val="en-ZA"/>
        </w:rPr>
        <w:t>.</w:t>
      </w:r>
    </w:p>
    <w:p w:rsidR="00903A90" w:rsidRDefault="009002E1" w:rsidP="000B0DFE">
      <w:pPr>
        <w:spacing w:line="360" w:lineRule="auto"/>
        <w:jc w:val="both"/>
        <w:rPr>
          <w:rFonts w:ascii="Arial" w:hAnsi="Arial" w:cs="Arial"/>
          <w:lang w:val="en-ZA"/>
        </w:rPr>
      </w:pPr>
      <w:r>
        <w:rPr>
          <w:rFonts w:ascii="Arial" w:hAnsi="Arial" w:cs="Arial"/>
          <w:lang w:val="en-ZA"/>
        </w:rPr>
        <w:t xml:space="preserve"> </w:t>
      </w:r>
    </w:p>
    <w:p w:rsidR="00D6066C" w:rsidRDefault="00903A90" w:rsidP="000B0DFE">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7</w:t>
      </w:r>
      <w:r>
        <w:rPr>
          <w:rFonts w:ascii="Arial" w:hAnsi="Arial" w:cs="Arial"/>
          <w:lang w:val="en-ZA"/>
        </w:rPr>
        <w:t>]</w:t>
      </w:r>
      <w:r>
        <w:rPr>
          <w:rFonts w:ascii="Arial" w:hAnsi="Arial" w:cs="Arial"/>
          <w:lang w:val="en-ZA"/>
        </w:rPr>
        <w:tab/>
        <w:t>During cross-examination</w:t>
      </w:r>
      <w:r w:rsidR="0084775E">
        <w:rPr>
          <w:rFonts w:ascii="Arial" w:hAnsi="Arial" w:cs="Arial"/>
          <w:lang w:val="en-ZA"/>
        </w:rPr>
        <w:t xml:space="preserve"> however </w:t>
      </w:r>
      <w:r>
        <w:rPr>
          <w:rFonts w:ascii="Arial" w:hAnsi="Arial" w:cs="Arial"/>
          <w:lang w:val="en-ZA"/>
        </w:rPr>
        <w:t xml:space="preserve">it came to light that the complainant was </w:t>
      </w:r>
      <w:r w:rsidR="0084775E">
        <w:rPr>
          <w:rFonts w:ascii="Arial" w:hAnsi="Arial" w:cs="Arial"/>
          <w:lang w:val="en-ZA"/>
        </w:rPr>
        <w:t xml:space="preserve">assaulted twice; once </w:t>
      </w:r>
      <w:r>
        <w:rPr>
          <w:rFonts w:ascii="Arial" w:hAnsi="Arial" w:cs="Arial"/>
          <w:lang w:val="en-ZA"/>
        </w:rPr>
        <w:t>at the water tap</w:t>
      </w:r>
      <w:r w:rsidR="0084775E">
        <w:rPr>
          <w:rFonts w:ascii="Arial" w:hAnsi="Arial" w:cs="Arial"/>
          <w:lang w:val="en-ZA"/>
        </w:rPr>
        <w:t xml:space="preserve"> </w:t>
      </w:r>
      <w:r w:rsidR="00227813">
        <w:rPr>
          <w:rFonts w:ascii="Arial" w:hAnsi="Arial" w:cs="Arial"/>
          <w:lang w:val="en-ZA"/>
        </w:rPr>
        <w:t xml:space="preserve">and the second time when she returned. During the first assault </w:t>
      </w:r>
      <w:r w:rsidR="00D6066C">
        <w:rPr>
          <w:rFonts w:ascii="Arial" w:hAnsi="Arial" w:cs="Arial"/>
          <w:lang w:val="en-ZA"/>
        </w:rPr>
        <w:t xml:space="preserve">she was held by </w:t>
      </w:r>
      <w:r w:rsidR="00227813">
        <w:rPr>
          <w:rFonts w:ascii="Arial" w:hAnsi="Arial" w:cs="Arial"/>
          <w:lang w:val="en-ZA"/>
        </w:rPr>
        <w:t>respondent’s</w:t>
      </w:r>
      <w:r w:rsidR="00D6066C">
        <w:rPr>
          <w:rFonts w:ascii="Arial" w:hAnsi="Arial" w:cs="Arial"/>
          <w:lang w:val="en-ZA"/>
        </w:rPr>
        <w:t xml:space="preserve"> son whilst the </w:t>
      </w:r>
      <w:r w:rsidR="00227813">
        <w:rPr>
          <w:rFonts w:ascii="Arial" w:hAnsi="Arial" w:cs="Arial"/>
          <w:lang w:val="en-ZA"/>
        </w:rPr>
        <w:t xml:space="preserve">respondent </w:t>
      </w:r>
      <w:r w:rsidR="00D6066C">
        <w:rPr>
          <w:rFonts w:ascii="Arial" w:hAnsi="Arial" w:cs="Arial"/>
          <w:lang w:val="en-ZA"/>
        </w:rPr>
        <w:t>beat her with her f</w:t>
      </w:r>
      <w:r w:rsidR="0084775E">
        <w:rPr>
          <w:rFonts w:ascii="Arial" w:hAnsi="Arial" w:cs="Arial"/>
          <w:lang w:val="en-ZA"/>
        </w:rPr>
        <w:t>ist</w:t>
      </w:r>
      <w:r w:rsidR="00227813">
        <w:rPr>
          <w:rFonts w:ascii="Arial" w:hAnsi="Arial" w:cs="Arial"/>
          <w:lang w:val="en-ZA"/>
        </w:rPr>
        <w:t xml:space="preserve"> on her mouth. T</w:t>
      </w:r>
      <w:r w:rsidR="00D6066C">
        <w:rPr>
          <w:rFonts w:ascii="Arial" w:hAnsi="Arial" w:cs="Arial"/>
          <w:lang w:val="en-ZA"/>
        </w:rPr>
        <w:t xml:space="preserve">he second assault took place outside the fence </w:t>
      </w:r>
      <w:r w:rsidR="00227813">
        <w:rPr>
          <w:rFonts w:ascii="Arial" w:hAnsi="Arial" w:cs="Arial"/>
          <w:lang w:val="en-ZA"/>
        </w:rPr>
        <w:t xml:space="preserve">and </w:t>
      </w:r>
      <w:r w:rsidR="00D6066C">
        <w:rPr>
          <w:rFonts w:ascii="Arial" w:hAnsi="Arial" w:cs="Arial"/>
          <w:lang w:val="en-ZA"/>
        </w:rPr>
        <w:t>she was</w:t>
      </w:r>
      <w:r w:rsidR="00227813">
        <w:rPr>
          <w:rFonts w:ascii="Arial" w:hAnsi="Arial" w:cs="Arial"/>
          <w:lang w:val="en-ZA"/>
        </w:rPr>
        <w:t xml:space="preserve"> once again</w:t>
      </w:r>
      <w:r w:rsidR="00D6066C">
        <w:rPr>
          <w:rFonts w:ascii="Arial" w:hAnsi="Arial" w:cs="Arial"/>
          <w:lang w:val="en-ZA"/>
        </w:rPr>
        <w:t xml:space="preserve"> held again by the son of the </w:t>
      </w:r>
      <w:r w:rsidR="008C6C33">
        <w:rPr>
          <w:rFonts w:ascii="Arial" w:hAnsi="Arial" w:cs="Arial"/>
          <w:lang w:val="en-ZA"/>
        </w:rPr>
        <w:t xml:space="preserve">respondent </w:t>
      </w:r>
      <w:r w:rsidR="00D6066C">
        <w:rPr>
          <w:rFonts w:ascii="Arial" w:hAnsi="Arial" w:cs="Arial"/>
          <w:lang w:val="en-ZA"/>
        </w:rPr>
        <w:t>and bitten</w:t>
      </w:r>
      <w:r w:rsidR="00227813">
        <w:rPr>
          <w:rFonts w:ascii="Arial" w:hAnsi="Arial" w:cs="Arial"/>
          <w:lang w:val="en-ZA"/>
        </w:rPr>
        <w:t>.</w:t>
      </w:r>
      <w:r w:rsidR="00D6066C">
        <w:rPr>
          <w:rFonts w:ascii="Arial" w:hAnsi="Arial" w:cs="Arial"/>
          <w:lang w:val="en-ZA"/>
        </w:rPr>
        <w:t xml:space="preserve"> </w:t>
      </w:r>
    </w:p>
    <w:p w:rsidR="00D6066C" w:rsidRDefault="00D6066C" w:rsidP="000B0DFE">
      <w:pPr>
        <w:spacing w:line="360" w:lineRule="auto"/>
        <w:jc w:val="both"/>
        <w:rPr>
          <w:rFonts w:ascii="Arial" w:hAnsi="Arial" w:cs="Arial"/>
          <w:lang w:val="en-ZA"/>
        </w:rPr>
      </w:pPr>
    </w:p>
    <w:p w:rsidR="007871CA" w:rsidRDefault="00D6066C" w:rsidP="000B0DFE">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8</w:t>
      </w:r>
      <w:r>
        <w:rPr>
          <w:rFonts w:ascii="Arial" w:hAnsi="Arial" w:cs="Arial"/>
          <w:lang w:val="en-ZA"/>
        </w:rPr>
        <w:t>]</w:t>
      </w:r>
      <w:r>
        <w:rPr>
          <w:rFonts w:ascii="Arial" w:hAnsi="Arial" w:cs="Arial"/>
          <w:lang w:val="en-ZA"/>
        </w:rPr>
        <w:tab/>
      </w:r>
      <w:r w:rsidR="00227813">
        <w:rPr>
          <w:rFonts w:ascii="Arial" w:hAnsi="Arial" w:cs="Arial"/>
          <w:lang w:val="en-ZA"/>
        </w:rPr>
        <w:t>During cross-examination t</w:t>
      </w:r>
      <w:r>
        <w:rPr>
          <w:rFonts w:ascii="Arial" w:hAnsi="Arial" w:cs="Arial"/>
          <w:lang w:val="en-ZA"/>
        </w:rPr>
        <w:t>he complainant</w:t>
      </w:r>
      <w:r w:rsidR="00227813">
        <w:rPr>
          <w:rFonts w:ascii="Arial" w:hAnsi="Arial" w:cs="Arial"/>
          <w:lang w:val="en-ZA"/>
        </w:rPr>
        <w:t xml:space="preserve"> described how </w:t>
      </w:r>
      <w:r>
        <w:rPr>
          <w:rFonts w:ascii="Arial" w:hAnsi="Arial" w:cs="Arial"/>
          <w:lang w:val="en-ZA"/>
        </w:rPr>
        <w:t>h</w:t>
      </w:r>
      <w:r w:rsidR="00903A90">
        <w:rPr>
          <w:rFonts w:ascii="Arial" w:hAnsi="Arial" w:cs="Arial"/>
          <w:lang w:val="en-ZA"/>
        </w:rPr>
        <w:t xml:space="preserve">er </w:t>
      </w:r>
      <w:r>
        <w:rPr>
          <w:rFonts w:ascii="Arial" w:hAnsi="Arial" w:cs="Arial"/>
          <w:lang w:val="en-ZA"/>
        </w:rPr>
        <w:t>hands w</w:t>
      </w:r>
      <w:r w:rsidR="00227813">
        <w:rPr>
          <w:rFonts w:ascii="Arial" w:hAnsi="Arial" w:cs="Arial"/>
          <w:lang w:val="en-ZA"/>
        </w:rPr>
        <w:t>ere held behind her body;</w:t>
      </w:r>
      <w:r>
        <w:rPr>
          <w:rFonts w:ascii="Arial" w:hAnsi="Arial" w:cs="Arial"/>
          <w:lang w:val="en-ZA"/>
        </w:rPr>
        <w:t xml:space="preserve"> she was standing</w:t>
      </w:r>
      <w:r w:rsidR="00227813">
        <w:rPr>
          <w:rFonts w:ascii="Arial" w:hAnsi="Arial" w:cs="Arial"/>
          <w:lang w:val="en-ZA"/>
        </w:rPr>
        <w:t xml:space="preserve">; the respondent was seated; </w:t>
      </w:r>
      <w:r w:rsidR="00903A90">
        <w:rPr>
          <w:rFonts w:ascii="Arial" w:hAnsi="Arial" w:cs="Arial"/>
          <w:lang w:val="en-ZA"/>
        </w:rPr>
        <w:t xml:space="preserve">and the respondent bit her </w:t>
      </w:r>
      <w:r w:rsidR="005A6E94">
        <w:rPr>
          <w:rFonts w:ascii="Arial" w:hAnsi="Arial" w:cs="Arial"/>
          <w:lang w:val="en-ZA"/>
        </w:rPr>
        <w:t>on her thighs</w:t>
      </w:r>
      <w:r w:rsidR="00227813">
        <w:rPr>
          <w:rFonts w:ascii="Arial" w:hAnsi="Arial" w:cs="Arial"/>
          <w:lang w:val="en-ZA"/>
        </w:rPr>
        <w:t>.</w:t>
      </w:r>
      <w:r w:rsidR="005A6E94">
        <w:rPr>
          <w:rFonts w:ascii="Arial" w:hAnsi="Arial" w:cs="Arial"/>
          <w:lang w:val="en-ZA"/>
        </w:rPr>
        <w:t xml:space="preserve"> </w:t>
      </w:r>
      <w:r>
        <w:rPr>
          <w:rFonts w:ascii="Arial" w:hAnsi="Arial" w:cs="Arial"/>
          <w:lang w:val="en-ZA"/>
        </w:rPr>
        <w:t xml:space="preserve">She did nothing as she was being held. </w:t>
      </w:r>
      <w:r w:rsidR="003A7CBC">
        <w:rPr>
          <w:rFonts w:ascii="Arial" w:hAnsi="Arial" w:cs="Arial"/>
          <w:lang w:val="en-ZA"/>
        </w:rPr>
        <w:t xml:space="preserve">It is not clear from the record how the complainant sustained the bite wound on her left arm. </w:t>
      </w:r>
    </w:p>
    <w:p w:rsidR="003A7CBC" w:rsidRDefault="003A7CBC" w:rsidP="000B0DFE">
      <w:pPr>
        <w:spacing w:line="360" w:lineRule="auto"/>
        <w:jc w:val="both"/>
        <w:rPr>
          <w:rFonts w:ascii="Arial" w:hAnsi="Arial" w:cs="Arial"/>
          <w:lang w:val="en-ZA"/>
        </w:rPr>
      </w:pPr>
    </w:p>
    <w:p w:rsidR="002D2A47" w:rsidRDefault="007871CA" w:rsidP="000B0DFE">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9</w:t>
      </w:r>
      <w:r>
        <w:rPr>
          <w:rFonts w:ascii="Arial" w:hAnsi="Arial" w:cs="Arial"/>
          <w:lang w:val="en-ZA"/>
        </w:rPr>
        <w:t>]</w:t>
      </w:r>
      <w:r>
        <w:rPr>
          <w:rFonts w:ascii="Arial" w:hAnsi="Arial" w:cs="Arial"/>
          <w:lang w:val="en-ZA"/>
        </w:rPr>
        <w:tab/>
      </w:r>
      <w:r w:rsidR="003A7CBC">
        <w:rPr>
          <w:rFonts w:ascii="Arial" w:hAnsi="Arial" w:cs="Arial"/>
          <w:lang w:val="en-ZA"/>
        </w:rPr>
        <w:t>The 2</w:t>
      </w:r>
      <w:r w:rsidR="003A7CBC" w:rsidRPr="003A7CBC">
        <w:rPr>
          <w:rFonts w:ascii="Arial" w:hAnsi="Arial" w:cs="Arial"/>
          <w:vertAlign w:val="superscript"/>
          <w:lang w:val="en-ZA"/>
        </w:rPr>
        <w:t>nd</w:t>
      </w:r>
      <w:r w:rsidR="003A7CBC">
        <w:rPr>
          <w:rFonts w:ascii="Arial" w:hAnsi="Arial" w:cs="Arial"/>
          <w:lang w:val="en-ZA"/>
        </w:rPr>
        <w:t xml:space="preserve"> State witness testified that the respondent blocked the complainant because she did not pay her water bill </w:t>
      </w:r>
      <w:r w:rsidR="00227813">
        <w:rPr>
          <w:rFonts w:ascii="Arial" w:hAnsi="Arial" w:cs="Arial"/>
          <w:lang w:val="en-ZA"/>
        </w:rPr>
        <w:t xml:space="preserve">just </w:t>
      </w:r>
      <w:r w:rsidR="003A7CBC">
        <w:rPr>
          <w:rFonts w:ascii="Arial" w:hAnsi="Arial" w:cs="Arial"/>
          <w:lang w:val="en-ZA"/>
        </w:rPr>
        <w:t xml:space="preserve">like all others who failed to pay. The respondent took </w:t>
      </w:r>
      <w:r w:rsidR="00227813">
        <w:rPr>
          <w:rFonts w:ascii="Arial" w:hAnsi="Arial" w:cs="Arial"/>
          <w:lang w:val="en-ZA"/>
        </w:rPr>
        <w:t xml:space="preserve">the complainant’s </w:t>
      </w:r>
      <w:r w:rsidR="003A7CBC">
        <w:rPr>
          <w:rFonts w:ascii="Arial" w:hAnsi="Arial" w:cs="Arial"/>
          <w:lang w:val="en-ZA"/>
        </w:rPr>
        <w:t>container but the co</w:t>
      </w:r>
      <w:r w:rsidR="00D07FA6">
        <w:rPr>
          <w:rFonts w:ascii="Arial" w:hAnsi="Arial" w:cs="Arial"/>
          <w:lang w:val="en-ZA"/>
        </w:rPr>
        <w:t>mplainant took water ‘</w:t>
      </w:r>
      <w:r w:rsidR="00D07FA6" w:rsidRPr="00D07FA6">
        <w:rPr>
          <w:rFonts w:ascii="Arial" w:hAnsi="Arial" w:cs="Arial"/>
          <w:sz w:val="22"/>
          <w:szCs w:val="22"/>
          <w:lang w:val="en-ZA"/>
        </w:rPr>
        <w:t>by force.’</w:t>
      </w:r>
      <w:r w:rsidR="003A7CBC">
        <w:rPr>
          <w:rFonts w:ascii="Arial" w:hAnsi="Arial" w:cs="Arial"/>
          <w:lang w:val="en-ZA"/>
        </w:rPr>
        <w:t xml:space="preserve"> She does not explain the nature of the force which the complainant applied. Having forcefully obtained water</w:t>
      </w:r>
      <w:r w:rsidR="002D2A47">
        <w:rPr>
          <w:rFonts w:ascii="Arial" w:hAnsi="Arial" w:cs="Arial"/>
          <w:lang w:val="en-ZA"/>
        </w:rPr>
        <w:t xml:space="preserve"> she took it to a nearby </w:t>
      </w:r>
      <w:r w:rsidR="002D2A47" w:rsidRPr="00227813">
        <w:rPr>
          <w:rFonts w:ascii="Arial" w:hAnsi="Arial" w:cs="Arial"/>
          <w:i/>
          <w:lang w:val="en-ZA"/>
        </w:rPr>
        <w:t>cuca</w:t>
      </w:r>
      <w:r w:rsidR="002D2A47">
        <w:rPr>
          <w:rFonts w:ascii="Arial" w:hAnsi="Arial" w:cs="Arial"/>
          <w:lang w:val="en-ZA"/>
        </w:rPr>
        <w:t xml:space="preserve"> shop and returned.</w:t>
      </w:r>
    </w:p>
    <w:p w:rsidR="00FC55EE" w:rsidRDefault="00FC55EE" w:rsidP="000B0DFE">
      <w:pPr>
        <w:spacing w:line="360" w:lineRule="auto"/>
        <w:jc w:val="both"/>
        <w:rPr>
          <w:rFonts w:ascii="Arial" w:hAnsi="Arial" w:cs="Arial"/>
          <w:lang w:val="en-ZA"/>
        </w:rPr>
      </w:pPr>
    </w:p>
    <w:p w:rsidR="00FC55EE" w:rsidRDefault="002D2A47" w:rsidP="000B0DFE">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10</w:t>
      </w:r>
      <w:r>
        <w:rPr>
          <w:rFonts w:ascii="Arial" w:hAnsi="Arial" w:cs="Arial"/>
          <w:lang w:val="en-ZA"/>
        </w:rPr>
        <w:t>]</w:t>
      </w:r>
      <w:r>
        <w:rPr>
          <w:rFonts w:ascii="Arial" w:hAnsi="Arial" w:cs="Arial"/>
          <w:lang w:val="en-ZA"/>
        </w:rPr>
        <w:tab/>
        <w:t>It is at this point when her testimony becomes confusing. She testified that</w:t>
      </w:r>
      <w:r w:rsidR="00FC55EE">
        <w:rPr>
          <w:rFonts w:ascii="Arial" w:hAnsi="Arial" w:cs="Arial"/>
          <w:lang w:val="en-ZA"/>
        </w:rPr>
        <w:t xml:space="preserve">: </w:t>
      </w:r>
      <w:r>
        <w:rPr>
          <w:rFonts w:ascii="Arial" w:hAnsi="Arial" w:cs="Arial"/>
          <w:lang w:val="en-ZA"/>
        </w:rPr>
        <w:t xml:space="preserve"> </w:t>
      </w:r>
      <w:r w:rsidR="00FC55EE">
        <w:rPr>
          <w:rFonts w:ascii="Arial" w:hAnsi="Arial" w:cs="Arial"/>
          <w:lang w:val="en-ZA"/>
        </w:rPr>
        <w:t>t</w:t>
      </w:r>
      <w:r>
        <w:rPr>
          <w:rFonts w:ascii="Arial" w:hAnsi="Arial" w:cs="Arial"/>
          <w:lang w:val="en-ZA"/>
        </w:rPr>
        <w:t>he co</w:t>
      </w:r>
      <w:r w:rsidR="00FC55EE">
        <w:rPr>
          <w:rFonts w:ascii="Arial" w:hAnsi="Arial" w:cs="Arial"/>
          <w:lang w:val="en-ZA"/>
        </w:rPr>
        <w:t xml:space="preserve">mplainant came back inside the fence, </w:t>
      </w:r>
      <w:r>
        <w:rPr>
          <w:rFonts w:ascii="Arial" w:hAnsi="Arial" w:cs="Arial"/>
          <w:lang w:val="en-ZA"/>
        </w:rPr>
        <w:t>the respondent took her container, assaulted and bit her</w:t>
      </w:r>
      <w:r w:rsidR="00FC55EE">
        <w:rPr>
          <w:rFonts w:ascii="Arial" w:hAnsi="Arial" w:cs="Arial"/>
          <w:lang w:val="en-ZA"/>
        </w:rPr>
        <w:t>; t</w:t>
      </w:r>
      <w:r>
        <w:rPr>
          <w:rFonts w:ascii="Arial" w:hAnsi="Arial" w:cs="Arial"/>
          <w:lang w:val="en-ZA"/>
        </w:rPr>
        <w:t xml:space="preserve">he </w:t>
      </w:r>
      <w:r w:rsidR="00FC55EE">
        <w:rPr>
          <w:rFonts w:ascii="Arial" w:hAnsi="Arial" w:cs="Arial"/>
          <w:lang w:val="en-ZA"/>
        </w:rPr>
        <w:t>r</w:t>
      </w:r>
      <w:r>
        <w:rPr>
          <w:rFonts w:ascii="Arial" w:hAnsi="Arial" w:cs="Arial"/>
          <w:lang w:val="en-ZA"/>
        </w:rPr>
        <w:t>espondent’s children held the complainant</w:t>
      </w:r>
      <w:r w:rsidR="00FC55EE">
        <w:rPr>
          <w:rFonts w:ascii="Arial" w:hAnsi="Arial" w:cs="Arial"/>
          <w:lang w:val="en-ZA"/>
        </w:rPr>
        <w:t xml:space="preserve">’s hand while the </w:t>
      </w:r>
      <w:r>
        <w:rPr>
          <w:rFonts w:ascii="Arial" w:hAnsi="Arial" w:cs="Arial"/>
          <w:lang w:val="en-ZA"/>
        </w:rPr>
        <w:t xml:space="preserve">respondent hit </w:t>
      </w:r>
      <w:r w:rsidR="00FC55EE">
        <w:rPr>
          <w:rFonts w:ascii="Arial" w:hAnsi="Arial" w:cs="Arial"/>
          <w:lang w:val="en-ZA"/>
        </w:rPr>
        <w:t>and bit t</w:t>
      </w:r>
      <w:r>
        <w:rPr>
          <w:rFonts w:ascii="Arial" w:hAnsi="Arial" w:cs="Arial"/>
          <w:lang w:val="en-ZA"/>
        </w:rPr>
        <w:t>he complainant</w:t>
      </w:r>
      <w:r w:rsidR="00FC55EE">
        <w:rPr>
          <w:rFonts w:ascii="Arial" w:hAnsi="Arial" w:cs="Arial"/>
          <w:lang w:val="en-ZA"/>
        </w:rPr>
        <w:t xml:space="preserve">. At the same time she said she was standing outside the fence at a car and could not </w:t>
      </w:r>
      <w:r w:rsidR="00FC55EE">
        <w:rPr>
          <w:rFonts w:ascii="Arial" w:hAnsi="Arial" w:cs="Arial"/>
          <w:lang w:val="en-ZA"/>
        </w:rPr>
        <w:lastRenderedPageBreak/>
        <w:t>overhear what was said. She however heard the respondent sa</w:t>
      </w:r>
      <w:r w:rsidR="00D2207E">
        <w:rPr>
          <w:rFonts w:ascii="Arial" w:hAnsi="Arial" w:cs="Arial"/>
          <w:lang w:val="en-ZA"/>
        </w:rPr>
        <w:t xml:space="preserve">ying </w:t>
      </w:r>
      <w:r w:rsidR="00FC55EE">
        <w:rPr>
          <w:rFonts w:ascii="Arial" w:hAnsi="Arial" w:cs="Arial"/>
          <w:lang w:val="en-ZA"/>
        </w:rPr>
        <w:t xml:space="preserve">to the complainant </w:t>
      </w:r>
      <w:r w:rsidR="00D07FA6">
        <w:rPr>
          <w:rFonts w:ascii="Arial" w:hAnsi="Arial" w:cs="Arial"/>
          <w:lang w:val="en-ZA"/>
        </w:rPr>
        <w:t>‘</w:t>
      </w:r>
      <w:r w:rsidR="00FC55EE" w:rsidRPr="00D2207E">
        <w:rPr>
          <w:rFonts w:ascii="Arial" w:hAnsi="Arial" w:cs="Arial"/>
          <w:sz w:val="22"/>
          <w:szCs w:val="22"/>
          <w:lang w:val="en-ZA"/>
        </w:rPr>
        <w:t>you will not collect water here you do not pay</w:t>
      </w:r>
      <w:r w:rsidR="00D07FA6">
        <w:rPr>
          <w:rFonts w:ascii="Arial" w:hAnsi="Arial" w:cs="Arial"/>
          <w:lang w:val="en-ZA"/>
        </w:rPr>
        <w:t>.’</w:t>
      </w:r>
      <w:r w:rsidR="00D2207E">
        <w:rPr>
          <w:rFonts w:ascii="Arial" w:hAnsi="Arial" w:cs="Arial"/>
          <w:lang w:val="en-ZA"/>
        </w:rPr>
        <w:t>(sic)</w:t>
      </w:r>
    </w:p>
    <w:p w:rsidR="00FC55EE" w:rsidRDefault="00FC55EE" w:rsidP="000002F0">
      <w:pPr>
        <w:spacing w:line="480" w:lineRule="auto"/>
        <w:jc w:val="both"/>
        <w:rPr>
          <w:rFonts w:ascii="Arial" w:hAnsi="Arial" w:cs="Arial"/>
          <w:lang w:val="en-ZA"/>
        </w:rPr>
      </w:pPr>
    </w:p>
    <w:p w:rsidR="00DD11BC" w:rsidRDefault="00FC55EE" w:rsidP="000B0DFE">
      <w:pPr>
        <w:spacing w:line="360" w:lineRule="auto"/>
        <w:jc w:val="both"/>
        <w:rPr>
          <w:rFonts w:ascii="Arial" w:hAnsi="Arial" w:cs="Arial"/>
          <w:lang w:val="en-ZA"/>
        </w:rPr>
      </w:pPr>
      <w:r>
        <w:rPr>
          <w:rFonts w:ascii="Arial" w:hAnsi="Arial" w:cs="Arial"/>
          <w:lang w:val="en-ZA"/>
        </w:rPr>
        <w:t>[1</w:t>
      </w:r>
      <w:r w:rsidR="001F1480">
        <w:rPr>
          <w:rFonts w:ascii="Arial" w:hAnsi="Arial" w:cs="Arial"/>
          <w:lang w:val="en-ZA"/>
        </w:rPr>
        <w:t>1</w:t>
      </w:r>
      <w:r>
        <w:rPr>
          <w:rFonts w:ascii="Arial" w:hAnsi="Arial" w:cs="Arial"/>
          <w:lang w:val="en-ZA"/>
        </w:rPr>
        <w:t>]</w:t>
      </w:r>
      <w:r>
        <w:rPr>
          <w:rFonts w:ascii="Arial" w:hAnsi="Arial" w:cs="Arial"/>
          <w:lang w:val="en-ZA"/>
        </w:rPr>
        <w:tab/>
        <w:t xml:space="preserve">During cross-examination </w:t>
      </w:r>
      <w:r w:rsidR="00227813">
        <w:rPr>
          <w:rFonts w:ascii="Arial" w:hAnsi="Arial" w:cs="Arial"/>
          <w:lang w:val="en-ZA"/>
        </w:rPr>
        <w:t xml:space="preserve">she testified that </w:t>
      </w:r>
      <w:r>
        <w:rPr>
          <w:rFonts w:ascii="Arial" w:hAnsi="Arial" w:cs="Arial"/>
          <w:lang w:val="en-ZA"/>
        </w:rPr>
        <w:t>the complainant forcefully took water after the assault</w:t>
      </w:r>
      <w:r w:rsidR="00227813">
        <w:rPr>
          <w:rFonts w:ascii="Arial" w:hAnsi="Arial" w:cs="Arial"/>
          <w:lang w:val="en-ZA"/>
        </w:rPr>
        <w:t xml:space="preserve"> occurred and that she observed only one fight. </w:t>
      </w:r>
      <w:r w:rsidR="00DD11BC">
        <w:rPr>
          <w:rFonts w:ascii="Arial" w:hAnsi="Arial" w:cs="Arial"/>
          <w:lang w:val="en-ZA"/>
        </w:rPr>
        <w:t>She also admitted that she forgot th</w:t>
      </w:r>
      <w:r w:rsidR="00D07FA6">
        <w:rPr>
          <w:rFonts w:ascii="Arial" w:hAnsi="Arial" w:cs="Arial"/>
          <w:lang w:val="en-ZA"/>
        </w:rPr>
        <w:t>ings and that she was drinking ‘</w:t>
      </w:r>
      <w:r w:rsidR="00DD11BC" w:rsidRPr="00D07FA6">
        <w:rPr>
          <w:rFonts w:ascii="Arial" w:hAnsi="Arial" w:cs="Arial"/>
          <w:sz w:val="22"/>
          <w:szCs w:val="22"/>
          <w:lang w:val="en-ZA"/>
        </w:rPr>
        <w:t>tombo</w:t>
      </w:r>
      <w:r w:rsidR="00D07FA6">
        <w:rPr>
          <w:rFonts w:ascii="Arial" w:hAnsi="Arial" w:cs="Arial"/>
          <w:sz w:val="22"/>
          <w:szCs w:val="22"/>
          <w:lang w:val="en-ZA"/>
        </w:rPr>
        <w:t>’</w:t>
      </w:r>
      <w:r w:rsidR="00DD11BC">
        <w:rPr>
          <w:rFonts w:ascii="Arial" w:hAnsi="Arial" w:cs="Arial"/>
          <w:lang w:val="en-ZA"/>
        </w:rPr>
        <w:t xml:space="preserve"> that day when she was unable to explain why she contradicted herself by testifying that the complainant </w:t>
      </w:r>
      <w:r w:rsidR="00D2207E">
        <w:rPr>
          <w:rFonts w:ascii="Arial" w:hAnsi="Arial" w:cs="Arial"/>
          <w:lang w:val="en-ZA"/>
        </w:rPr>
        <w:t xml:space="preserve">first </w:t>
      </w:r>
      <w:r w:rsidR="00DD11BC">
        <w:rPr>
          <w:rFonts w:ascii="Arial" w:hAnsi="Arial" w:cs="Arial"/>
          <w:lang w:val="en-ZA"/>
        </w:rPr>
        <w:t>dropped</w:t>
      </w:r>
      <w:r w:rsidR="00D2207E">
        <w:rPr>
          <w:rFonts w:ascii="Arial" w:hAnsi="Arial" w:cs="Arial"/>
          <w:lang w:val="en-ZA"/>
        </w:rPr>
        <w:t xml:space="preserve"> the container filled with water and returned </w:t>
      </w:r>
      <w:r w:rsidR="00DD11BC">
        <w:rPr>
          <w:rFonts w:ascii="Arial" w:hAnsi="Arial" w:cs="Arial"/>
          <w:lang w:val="en-ZA"/>
        </w:rPr>
        <w:t xml:space="preserve">and later testifying that </w:t>
      </w:r>
      <w:r w:rsidR="00D2207E">
        <w:rPr>
          <w:rFonts w:ascii="Arial" w:hAnsi="Arial" w:cs="Arial"/>
          <w:lang w:val="en-ZA"/>
        </w:rPr>
        <w:t xml:space="preserve">the complainant </w:t>
      </w:r>
      <w:r w:rsidR="00DD11BC">
        <w:rPr>
          <w:rFonts w:ascii="Arial" w:hAnsi="Arial" w:cs="Arial"/>
          <w:lang w:val="en-ZA"/>
        </w:rPr>
        <w:t>took the container</w:t>
      </w:r>
      <w:r w:rsidR="00D2207E">
        <w:rPr>
          <w:rFonts w:ascii="Arial" w:hAnsi="Arial" w:cs="Arial"/>
          <w:lang w:val="en-ZA"/>
        </w:rPr>
        <w:t xml:space="preserve"> filled with water</w:t>
      </w:r>
      <w:r w:rsidR="00DD11BC">
        <w:rPr>
          <w:rFonts w:ascii="Arial" w:hAnsi="Arial" w:cs="Arial"/>
          <w:lang w:val="en-ZA"/>
        </w:rPr>
        <w:t xml:space="preserve"> after the fight and that she did not return.</w:t>
      </w:r>
    </w:p>
    <w:p w:rsidR="00DD11BC" w:rsidRDefault="00DD11BC" w:rsidP="000B0DFE">
      <w:pPr>
        <w:spacing w:line="360" w:lineRule="auto"/>
        <w:jc w:val="both"/>
        <w:rPr>
          <w:rFonts w:ascii="Arial" w:hAnsi="Arial" w:cs="Arial"/>
          <w:lang w:val="en-ZA"/>
        </w:rPr>
      </w:pPr>
    </w:p>
    <w:p w:rsidR="000957B8" w:rsidRDefault="009D580B" w:rsidP="000B0DFE">
      <w:pPr>
        <w:spacing w:line="360" w:lineRule="auto"/>
        <w:jc w:val="both"/>
        <w:rPr>
          <w:rFonts w:ascii="Arial" w:hAnsi="Arial" w:cs="Arial"/>
          <w:lang w:val="en-ZA"/>
        </w:rPr>
      </w:pPr>
      <w:r>
        <w:rPr>
          <w:rFonts w:ascii="Arial" w:hAnsi="Arial" w:cs="Arial"/>
          <w:lang w:val="en-ZA"/>
        </w:rPr>
        <w:t>[</w:t>
      </w:r>
      <w:r w:rsidR="001F1480">
        <w:rPr>
          <w:rFonts w:ascii="Arial" w:hAnsi="Arial" w:cs="Arial"/>
          <w:lang w:val="en-ZA"/>
        </w:rPr>
        <w:t>12</w:t>
      </w:r>
      <w:r>
        <w:rPr>
          <w:rFonts w:ascii="Arial" w:hAnsi="Arial" w:cs="Arial"/>
          <w:lang w:val="en-ZA"/>
        </w:rPr>
        <w:t>]</w:t>
      </w:r>
      <w:r>
        <w:rPr>
          <w:rFonts w:ascii="Arial" w:hAnsi="Arial" w:cs="Arial"/>
          <w:lang w:val="en-ZA"/>
        </w:rPr>
        <w:tab/>
      </w:r>
      <w:r w:rsidR="007D3122">
        <w:rPr>
          <w:rFonts w:ascii="Arial" w:hAnsi="Arial" w:cs="Arial"/>
          <w:lang w:val="en-ZA"/>
        </w:rPr>
        <w:t xml:space="preserve"> The learned magistrate gave the following reasons for her ruling to discharge the respondent: </w:t>
      </w:r>
    </w:p>
    <w:p w:rsidR="007D3122" w:rsidRDefault="00D07FA6" w:rsidP="00D2207E">
      <w:pPr>
        <w:spacing w:line="360" w:lineRule="auto"/>
        <w:ind w:left="720"/>
        <w:jc w:val="both"/>
        <w:rPr>
          <w:rFonts w:ascii="Arial" w:hAnsi="Arial" w:cs="Arial"/>
          <w:sz w:val="22"/>
          <w:szCs w:val="22"/>
          <w:lang w:val="en-ZA"/>
        </w:rPr>
      </w:pPr>
      <w:r>
        <w:rPr>
          <w:rFonts w:ascii="Arial" w:hAnsi="Arial" w:cs="Arial"/>
          <w:sz w:val="22"/>
          <w:szCs w:val="22"/>
          <w:lang w:val="en-ZA"/>
        </w:rPr>
        <w:t>‘</w:t>
      </w:r>
      <w:r w:rsidR="007D3122">
        <w:rPr>
          <w:rFonts w:ascii="Arial" w:hAnsi="Arial" w:cs="Arial"/>
          <w:sz w:val="22"/>
          <w:szCs w:val="22"/>
          <w:lang w:val="en-ZA"/>
        </w:rPr>
        <w:t>There is no prima face case made out against the accused. The complainant is not a credible witnesses (sic) she contradicted herself.</w:t>
      </w:r>
    </w:p>
    <w:p w:rsidR="007D3122" w:rsidRDefault="007D3122" w:rsidP="00D2207E">
      <w:pPr>
        <w:spacing w:line="360" w:lineRule="auto"/>
        <w:ind w:left="720"/>
        <w:jc w:val="both"/>
        <w:rPr>
          <w:rFonts w:ascii="Arial" w:hAnsi="Arial" w:cs="Arial"/>
          <w:lang w:val="en-ZA"/>
        </w:rPr>
      </w:pPr>
      <w:r>
        <w:rPr>
          <w:rFonts w:ascii="Arial" w:hAnsi="Arial" w:cs="Arial"/>
          <w:sz w:val="22"/>
          <w:szCs w:val="22"/>
          <w:lang w:val="en-ZA"/>
        </w:rPr>
        <w:t>The second state witness contradicted herself or she did not see all what happened at the scene or because she was drunk. It is trite law that an accused person cannot be expected to strengthen the state case. He who alleges ought to prove the allegation</w:t>
      </w:r>
      <w:r w:rsidR="00D07FA6">
        <w:rPr>
          <w:rFonts w:ascii="Arial" w:hAnsi="Arial" w:cs="Arial"/>
          <w:sz w:val="22"/>
          <w:szCs w:val="22"/>
          <w:lang w:val="en-ZA"/>
        </w:rPr>
        <w:t>’</w:t>
      </w:r>
      <w:r>
        <w:rPr>
          <w:rFonts w:ascii="Arial" w:hAnsi="Arial" w:cs="Arial"/>
          <w:sz w:val="22"/>
          <w:szCs w:val="22"/>
          <w:lang w:val="en-ZA"/>
        </w:rPr>
        <w:t>. (sic)</w:t>
      </w:r>
      <w:r>
        <w:rPr>
          <w:rFonts w:ascii="Arial" w:hAnsi="Arial" w:cs="Arial"/>
          <w:lang w:val="en-ZA"/>
        </w:rPr>
        <w:tab/>
      </w:r>
    </w:p>
    <w:p w:rsidR="00D2207E" w:rsidRDefault="00D2207E" w:rsidP="000B0DFE">
      <w:pPr>
        <w:spacing w:line="360" w:lineRule="auto"/>
        <w:jc w:val="both"/>
        <w:rPr>
          <w:rFonts w:ascii="Arial" w:hAnsi="Arial" w:cs="Arial"/>
          <w:lang w:val="en-ZA"/>
        </w:rPr>
      </w:pPr>
    </w:p>
    <w:p w:rsidR="00E874F2" w:rsidRDefault="007D3122" w:rsidP="000B0DFE">
      <w:pPr>
        <w:spacing w:line="360" w:lineRule="auto"/>
        <w:jc w:val="both"/>
        <w:rPr>
          <w:rFonts w:ascii="Arial" w:hAnsi="Arial" w:cs="Arial"/>
          <w:lang w:val="en-ZA"/>
        </w:rPr>
      </w:pPr>
      <w:r>
        <w:rPr>
          <w:rFonts w:ascii="Arial" w:hAnsi="Arial" w:cs="Arial"/>
          <w:lang w:val="en-ZA"/>
        </w:rPr>
        <w:t>[</w:t>
      </w:r>
      <w:r w:rsidR="009306D9">
        <w:rPr>
          <w:rFonts w:ascii="Arial" w:hAnsi="Arial" w:cs="Arial"/>
          <w:lang w:val="en-ZA"/>
        </w:rPr>
        <w:t>1</w:t>
      </w:r>
      <w:r w:rsidR="001F1480">
        <w:rPr>
          <w:rFonts w:ascii="Arial" w:hAnsi="Arial" w:cs="Arial"/>
          <w:lang w:val="en-ZA"/>
        </w:rPr>
        <w:t>3</w:t>
      </w:r>
      <w:r>
        <w:rPr>
          <w:rFonts w:ascii="Arial" w:hAnsi="Arial" w:cs="Arial"/>
          <w:lang w:val="en-ZA"/>
        </w:rPr>
        <w:t>]</w:t>
      </w:r>
      <w:r>
        <w:rPr>
          <w:rFonts w:ascii="Arial" w:hAnsi="Arial" w:cs="Arial"/>
          <w:lang w:val="en-ZA"/>
        </w:rPr>
        <w:tab/>
      </w:r>
      <w:r w:rsidR="00E874F2">
        <w:rPr>
          <w:rFonts w:ascii="Arial" w:hAnsi="Arial" w:cs="Arial"/>
          <w:lang w:val="en-ZA"/>
        </w:rPr>
        <w:t xml:space="preserve">The appellant’s grounds of appeal are that the magistrate misdirected herself alternatively erred in law/or facts by: </w:t>
      </w:r>
    </w:p>
    <w:p w:rsidR="007D3122" w:rsidRPr="002A79D0" w:rsidRDefault="00E874F2" w:rsidP="000B0DFE">
      <w:pPr>
        <w:spacing w:line="360" w:lineRule="auto"/>
        <w:ind w:left="1440" w:hanging="720"/>
        <w:jc w:val="both"/>
        <w:rPr>
          <w:rFonts w:ascii="Arial" w:hAnsi="Arial" w:cs="Arial"/>
          <w:sz w:val="22"/>
          <w:szCs w:val="22"/>
          <w:lang w:val="en-ZA"/>
        </w:rPr>
      </w:pPr>
      <w:r w:rsidRPr="002A79D0">
        <w:rPr>
          <w:rFonts w:ascii="Arial" w:hAnsi="Arial" w:cs="Arial"/>
          <w:sz w:val="22"/>
          <w:szCs w:val="22"/>
          <w:lang w:val="en-ZA"/>
        </w:rPr>
        <w:t>1.</w:t>
      </w:r>
      <w:r w:rsidRPr="002A79D0">
        <w:rPr>
          <w:rFonts w:ascii="Arial" w:hAnsi="Arial" w:cs="Arial"/>
          <w:sz w:val="22"/>
          <w:szCs w:val="22"/>
          <w:lang w:val="en-ZA"/>
        </w:rPr>
        <w:tab/>
      </w:r>
      <w:r w:rsidR="00D07FA6">
        <w:rPr>
          <w:rFonts w:ascii="Arial" w:hAnsi="Arial" w:cs="Arial"/>
          <w:sz w:val="22"/>
          <w:szCs w:val="22"/>
          <w:lang w:val="en-ZA"/>
        </w:rPr>
        <w:t>‘</w:t>
      </w:r>
      <w:r w:rsidRPr="002A79D0">
        <w:rPr>
          <w:rFonts w:ascii="Arial" w:hAnsi="Arial" w:cs="Arial"/>
          <w:sz w:val="22"/>
          <w:szCs w:val="22"/>
          <w:lang w:val="en-ZA"/>
        </w:rPr>
        <w:t>failing to apply the correct tests at the close of the state’s case namely, is there evidence upon which a reasonable man acting carefully may convict, in her assessment and evaluation of the evidence before her.</w:t>
      </w:r>
    </w:p>
    <w:p w:rsidR="00E874F2" w:rsidRPr="002A79D0" w:rsidRDefault="00E874F2" w:rsidP="000B0DFE">
      <w:pPr>
        <w:spacing w:line="360" w:lineRule="auto"/>
        <w:ind w:left="1440" w:hanging="720"/>
        <w:jc w:val="both"/>
        <w:rPr>
          <w:rFonts w:ascii="Arial" w:hAnsi="Arial" w:cs="Arial"/>
          <w:sz w:val="22"/>
          <w:szCs w:val="22"/>
          <w:lang w:val="en-ZA"/>
        </w:rPr>
      </w:pPr>
      <w:r w:rsidRPr="002A79D0">
        <w:rPr>
          <w:rFonts w:ascii="Arial" w:hAnsi="Arial" w:cs="Arial"/>
          <w:sz w:val="22"/>
          <w:szCs w:val="22"/>
          <w:lang w:val="en-ZA"/>
        </w:rPr>
        <w:t>2.</w:t>
      </w:r>
      <w:r w:rsidRPr="002A79D0">
        <w:rPr>
          <w:rFonts w:ascii="Arial" w:hAnsi="Arial" w:cs="Arial"/>
          <w:sz w:val="22"/>
          <w:szCs w:val="22"/>
          <w:lang w:val="en-ZA"/>
        </w:rPr>
        <w:tab/>
        <w:t>placing too much emphasis on the credibility of the state witnesses, whilst credibility of state witnesses at the stage of determining the application in terms of section 174 of the Act , credibility plays little or no role at all;</w:t>
      </w:r>
    </w:p>
    <w:p w:rsidR="00E874F2" w:rsidRPr="002A79D0" w:rsidRDefault="00E874F2" w:rsidP="000B0DFE">
      <w:pPr>
        <w:spacing w:line="360" w:lineRule="auto"/>
        <w:ind w:left="1440" w:hanging="720"/>
        <w:jc w:val="both"/>
        <w:rPr>
          <w:rFonts w:ascii="Arial" w:hAnsi="Arial" w:cs="Arial"/>
          <w:sz w:val="22"/>
          <w:szCs w:val="22"/>
          <w:lang w:val="en-ZA"/>
        </w:rPr>
      </w:pPr>
      <w:r w:rsidRPr="002A79D0">
        <w:rPr>
          <w:rFonts w:ascii="Arial" w:hAnsi="Arial" w:cs="Arial"/>
          <w:sz w:val="22"/>
          <w:szCs w:val="22"/>
          <w:lang w:val="en-ZA"/>
        </w:rPr>
        <w:t>3.</w:t>
      </w:r>
      <w:r w:rsidRPr="002A79D0">
        <w:rPr>
          <w:rFonts w:ascii="Arial" w:hAnsi="Arial" w:cs="Arial"/>
          <w:sz w:val="22"/>
          <w:szCs w:val="22"/>
          <w:lang w:val="en-ZA"/>
        </w:rPr>
        <w:tab/>
      </w:r>
      <w:r w:rsidR="002A79D0" w:rsidRPr="002A79D0">
        <w:rPr>
          <w:rFonts w:ascii="Arial" w:hAnsi="Arial" w:cs="Arial"/>
          <w:sz w:val="22"/>
          <w:szCs w:val="22"/>
          <w:lang w:val="en-ZA"/>
        </w:rPr>
        <w:t>Attaching</w:t>
      </w:r>
      <w:r w:rsidRPr="002A79D0">
        <w:rPr>
          <w:rFonts w:ascii="Arial" w:hAnsi="Arial" w:cs="Arial"/>
          <w:sz w:val="22"/>
          <w:szCs w:val="22"/>
          <w:lang w:val="en-ZA"/>
        </w:rPr>
        <w:t xml:space="preserve"> no weight and/or insufficient weight to the evidence of Elise Matheus (complainant) in light of the evidence of the other eye witness such as Selma Damel as well as the J88 medical report.</w:t>
      </w:r>
    </w:p>
    <w:p w:rsidR="002A79D0" w:rsidRPr="002A79D0" w:rsidRDefault="00E874F2" w:rsidP="000B0DFE">
      <w:pPr>
        <w:spacing w:line="360" w:lineRule="auto"/>
        <w:ind w:left="1440" w:hanging="720"/>
        <w:jc w:val="both"/>
        <w:rPr>
          <w:rFonts w:ascii="Arial" w:hAnsi="Arial" w:cs="Arial"/>
          <w:sz w:val="22"/>
          <w:szCs w:val="22"/>
          <w:lang w:val="en-ZA"/>
        </w:rPr>
      </w:pPr>
      <w:r w:rsidRPr="002A79D0">
        <w:rPr>
          <w:rFonts w:ascii="Arial" w:hAnsi="Arial" w:cs="Arial"/>
          <w:sz w:val="22"/>
          <w:szCs w:val="22"/>
          <w:lang w:val="en-ZA"/>
        </w:rPr>
        <w:t>4.</w:t>
      </w:r>
      <w:r w:rsidRPr="002A79D0">
        <w:rPr>
          <w:rFonts w:ascii="Arial" w:hAnsi="Arial" w:cs="Arial"/>
          <w:sz w:val="22"/>
          <w:szCs w:val="22"/>
          <w:lang w:val="en-ZA"/>
        </w:rPr>
        <w:tab/>
        <w:t xml:space="preserve">failing to apply a </w:t>
      </w:r>
      <w:r w:rsidR="002A79D0" w:rsidRPr="002A79D0">
        <w:rPr>
          <w:rFonts w:ascii="Arial" w:hAnsi="Arial" w:cs="Arial"/>
          <w:sz w:val="22"/>
          <w:szCs w:val="22"/>
          <w:lang w:val="en-ZA"/>
        </w:rPr>
        <w:t>well-established</w:t>
      </w:r>
      <w:r w:rsidRPr="002A79D0">
        <w:rPr>
          <w:rFonts w:ascii="Arial" w:hAnsi="Arial" w:cs="Arial"/>
          <w:sz w:val="22"/>
          <w:szCs w:val="22"/>
          <w:lang w:val="en-ZA"/>
        </w:rPr>
        <w:t xml:space="preserve"> principle of law that an assault of a human being </w:t>
      </w:r>
      <w:r w:rsidR="00D07FA6">
        <w:rPr>
          <w:rFonts w:ascii="Arial" w:hAnsi="Arial" w:cs="Arial"/>
          <w:sz w:val="22"/>
          <w:szCs w:val="22"/>
          <w:lang w:val="en-ZA"/>
        </w:rPr>
        <w:t>is an action which is prima faci</w:t>
      </w:r>
      <w:r w:rsidRPr="002A79D0">
        <w:rPr>
          <w:rFonts w:ascii="Arial" w:hAnsi="Arial" w:cs="Arial"/>
          <w:sz w:val="22"/>
          <w:szCs w:val="22"/>
          <w:lang w:val="en-ZA"/>
        </w:rPr>
        <w:t xml:space="preserve"> unlawful, to the extent </w:t>
      </w:r>
      <w:r w:rsidRPr="002A79D0">
        <w:rPr>
          <w:rFonts w:ascii="Arial" w:hAnsi="Arial" w:cs="Arial"/>
          <w:sz w:val="22"/>
          <w:szCs w:val="22"/>
          <w:lang w:val="en-ZA"/>
        </w:rPr>
        <w:lastRenderedPageBreak/>
        <w:t xml:space="preserve">that once it becomes common cause that </w:t>
      </w:r>
      <w:r w:rsidR="00114B13" w:rsidRPr="002A79D0">
        <w:rPr>
          <w:rFonts w:ascii="Arial" w:hAnsi="Arial" w:cs="Arial"/>
          <w:sz w:val="22"/>
          <w:szCs w:val="22"/>
          <w:lang w:val="en-ZA"/>
        </w:rPr>
        <w:t>t</w:t>
      </w:r>
      <w:r w:rsidR="00114B13">
        <w:rPr>
          <w:rFonts w:ascii="Arial" w:hAnsi="Arial" w:cs="Arial"/>
          <w:sz w:val="22"/>
          <w:szCs w:val="22"/>
          <w:lang w:val="en-ZA"/>
        </w:rPr>
        <w:t>h</w:t>
      </w:r>
      <w:r w:rsidR="00114B13" w:rsidRPr="002A79D0">
        <w:rPr>
          <w:rFonts w:ascii="Arial" w:hAnsi="Arial" w:cs="Arial"/>
          <w:sz w:val="22"/>
          <w:szCs w:val="22"/>
          <w:lang w:val="en-ZA"/>
        </w:rPr>
        <w:t>e</w:t>
      </w:r>
      <w:r w:rsidRPr="002A79D0">
        <w:rPr>
          <w:rFonts w:ascii="Arial" w:hAnsi="Arial" w:cs="Arial"/>
          <w:sz w:val="22"/>
          <w:szCs w:val="22"/>
          <w:lang w:val="en-ZA"/>
        </w:rPr>
        <w:t xml:space="preserve"> accused (respondent) has assaulted the victim in self-defence, an evidentiary burden is place on the accused to rebut the prima facie presumption of unlawfulness. </w:t>
      </w:r>
      <w:r w:rsidR="00D07FA6">
        <w:rPr>
          <w:rFonts w:ascii="Arial" w:hAnsi="Arial" w:cs="Arial"/>
          <w:sz w:val="22"/>
          <w:szCs w:val="22"/>
          <w:lang w:val="en-ZA"/>
        </w:rPr>
        <w:t>‘</w:t>
      </w:r>
    </w:p>
    <w:p w:rsidR="00402060" w:rsidRDefault="00402060" w:rsidP="000B0DFE">
      <w:pPr>
        <w:spacing w:line="360" w:lineRule="auto"/>
        <w:jc w:val="both"/>
        <w:rPr>
          <w:rFonts w:ascii="Arial" w:hAnsi="Arial" w:cs="Arial"/>
          <w:lang w:val="en-ZA"/>
        </w:rPr>
      </w:pPr>
    </w:p>
    <w:p w:rsidR="00402060" w:rsidRDefault="002A79D0" w:rsidP="000B0DFE">
      <w:pPr>
        <w:spacing w:line="360" w:lineRule="auto"/>
        <w:jc w:val="both"/>
        <w:rPr>
          <w:rFonts w:ascii="Arial" w:hAnsi="Arial" w:cs="Arial"/>
          <w:lang w:val="en-ZA"/>
        </w:rPr>
      </w:pPr>
      <w:r>
        <w:rPr>
          <w:rFonts w:ascii="Arial" w:hAnsi="Arial" w:cs="Arial"/>
          <w:lang w:val="en-ZA"/>
        </w:rPr>
        <w:t>[</w:t>
      </w:r>
      <w:r w:rsidR="009306D9">
        <w:rPr>
          <w:rFonts w:ascii="Arial" w:hAnsi="Arial" w:cs="Arial"/>
          <w:lang w:val="en-ZA"/>
        </w:rPr>
        <w:t>1</w:t>
      </w:r>
      <w:r w:rsidR="00F26546">
        <w:rPr>
          <w:rFonts w:ascii="Arial" w:hAnsi="Arial" w:cs="Arial"/>
          <w:lang w:val="en-ZA"/>
        </w:rPr>
        <w:t>4</w:t>
      </w:r>
      <w:r>
        <w:rPr>
          <w:rFonts w:ascii="Arial" w:hAnsi="Arial" w:cs="Arial"/>
          <w:lang w:val="en-ZA"/>
        </w:rPr>
        <w:t>]</w:t>
      </w:r>
      <w:r>
        <w:rPr>
          <w:rFonts w:ascii="Arial" w:hAnsi="Arial" w:cs="Arial"/>
          <w:lang w:val="en-ZA"/>
        </w:rPr>
        <w:tab/>
      </w:r>
      <w:r w:rsidR="00402060">
        <w:rPr>
          <w:rFonts w:ascii="Arial" w:hAnsi="Arial" w:cs="Arial"/>
          <w:lang w:val="en-ZA"/>
        </w:rPr>
        <w:t xml:space="preserve">In </w:t>
      </w:r>
      <w:r w:rsidR="00402060" w:rsidRPr="001F1480">
        <w:rPr>
          <w:rFonts w:ascii="Arial" w:hAnsi="Arial" w:cs="Arial"/>
          <w:i/>
          <w:lang w:val="en-ZA"/>
        </w:rPr>
        <w:t>S v Na</w:t>
      </w:r>
      <w:r w:rsidR="00D07FA6">
        <w:rPr>
          <w:rFonts w:ascii="Arial" w:hAnsi="Arial" w:cs="Arial"/>
          <w:i/>
          <w:lang w:val="en-ZA"/>
        </w:rPr>
        <w:t>kale &amp; o</w:t>
      </w:r>
      <w:r w:rsidR="001F1480" w:rsidRPr="001F1480">
        <w:rPr>
          <w:rFonts w:ascii="Arial" w:hAnsi="Arial" w:cs="Arial"/>
          <w:i/>
          <w:lang w:val="en-ZA"/>
        </w:rPr>
        <w:t>thers 2006</w:t>
      </w:r>
      <w:r w:rsidR="001F1480" w:rsidRPr="001F1480">
        <w:rPr>
          <w:rFonts w:ascii="Arial" w:hAnsi="Arial" w:cs="Arial"/>
          <w:lang w:val="en-ZA"/>
        </w:rPr>
        <w:t xml:space="preserve"> (2) NR 455 (HC)</w:t>
      </w:r>
      <w:r w:rsidR="001F1480">
        <w:rPr>
          <w:rFonts w:ascii="Arial" w:hAnsi="Arial" w:cs="Arial"/>
          <w:lang w:val="en-ZA"/>
        </w:rPr>
        <w:t xml:space="preserve"> at page 466, Muller J remarked that </w:t>
      </w:r>
      <w:r w:rsidR="00402060" w:rsidRPr="001F1480">
        <w:rPr>
          <w:rFonts w:ascii="Arial" w:hAnsi="Arial" w:cs="Arial"/>
          <w:lang w:val="en-ZA"/>
        </w:rPr>
        <w:t xml:space="preserve">there cannot be a single and all-inclusive formulation in respect of the discharge of an accused in terms of s 174, but </w:t>
      </w:r>
      <w:r w:rsidR="001F1480" w:rsidRPr="001F1480">
        <w:rPr>
          <w:rFonts w:ascii="Arial" w:hAnsi="Arial" w:cs="Arial"/>
          <w:lang w:val="en-ZA"/>
        </w:rPr>
        <w:t>it suggested certain guidelines.</w:t>
      </w:r>
      <w:r w:rsidR="001F1480">
        <w:rPr>
          <w:rFonts w:ascii="Arial" w:hAnsi="Arial" w:cs="Arial"/>
          <w:lang w:val="en-ZA"/>
        </w:rPr>
        <w:t xml:space="preserve"> I</w:t>
      </w:r>
      <w:r w:rsidR="00402060">
        <w:rPr>
          <w:rFonts w:ascii="Arial" w:hAnsi="Arial" w:cs="Arial"/>
          <w:lang w:val="en-ZA"/>
        </w:rPr>
        <w:t xml:space="preserve">n </w:t>
      </w:r>
      <w:r w:rsidR="002165BC" w:rsidRPr="002165BC">
        <w:rPr>
          <w:rFonts w:ascii="Arial" w:hAnsi="Arial" w:cs="Arial"/>
          <w:i/>
          <w:lang w:val="en-ZA"/>
        </w:rPr>
        <w:t>S v T</w:t>
      </w:r>
      <w:r w:rsidR="001F1480">
        <w:rPr>
          <w:rFonts w:ascii="Arial" w:hAnsi="Arial" w:cs="Arial"/>
          <w:i/>
          <w:lang w:val="en-ZA"/>
        </w:rPr>
        <w:t>eek</w:t>
      </w:r>
      <w:r w:rsidR="002165BC" w:rsidRPr="002165BC">
        <w:rPr>
          <w:rFonts w:ascii="Arial" w:hAnsi="Arial" w:cs="Arial"/>
          <w:lang w:val="en-ZA"/>
        </w:rPr>
        <w:t xml:space="preserve"> 2009 (1) NR 127 (SC)</w:t>
      </w:r>
      <w:r w:rsidR="00F26546">
        <w:rPr>
          <w:rFonts w:ascii="Arial" w:hAnsi="Arial" w:cs="Arial"/>
          <w:lang w:val="en-ZA"/>
        </w:rPr>
        <w:t xml:space="preserve"> </w:t>
      </w:r>
      <w:r w:rsidR="00402060">
        <w:rPr>
          <w:rFonts w:ascii="Arial" w:hAnsi="Arial" w:cs="Arial"/>
          <w:lang w:val="en-ZA"/>
        </w:rPr>
        <w:t>the</w:t>
      </w:r>
      <w:r w:rsidR="00F26546">
        <w:rPr>
          <w:rFonts w:ascii="Arial" w:hAnsi="Arial" w:cs="Arial"/>
          <w:lang w:val="en-ZA"/>
        </w:rPr>
        <w:t xml:space="preserve">se </w:t>
      </w:r>
      <w:r w:rsidR="00402060">
        <w:rPr>
          <w:rFonts w:ascii="Arial" w:hAnsi="Arial" w:cs="Arial"/>
          <w:lang w:val="en-ZA"/>
        </w:rPr>
        <w:t>guidelines were approved and the court furthermore stated the following in respect of the role credibility plays when considering a discharge in terms of section 174 of the act:</w:t>
      </w:r>
    </w:p>
    <w:p w:rsidR="00402060" w:rsidRPr="00402060" w:rsidRDefault="00D07FA6" w:rsidP="000B0DFE">
      <w:pPr>
        <w:spacing w:line="360" w:lineRule="auto"/>
        <w:ind w:left="720"/>
        <w:jc w:val="both"/>
        <w:rPr>
          <w:rFonts w:ascii="Arial" w:hAnsi="Arial" w:cs="Arial"/>
          <w:sz w:val="22"/>
          <w:szCs w:val="22"/>
          <w:lang w:val="en-ZA"/>
        </w:rPr>
      </w:pPr>
      <w:r>
        <w:rPr>
          <w:rFonts w:ascii="Arial" w:hAnsi="Arial" w:cs="Arial"/>
          <w:lang w:val="en-ZA"/>
        </w:rPr>
        <w:t>‘</w:t>
      </w:r>
      <w:r w:rsidR="00402060" w:rsidRPr="00402060">
        <w:rPr>
          <w:rFonts w:ascii="Arial" w:hAnsi="Arial" w:cs="Arial"/>
          <w:sz w:val="22"/>
          <w:szCs w:val="22"/>
          <w:lang w:val="en-ZA"/>
        </w:rPr>
        <w:t xml:space="preserve">Somewhat more controversial is the question whether credibility of the State witnesses has any role to play when a discharge is sought under the section. But the generally accepted view, both in Namibia and in South Africa, appears to be that, although credibility is a factor that can be considered at this stage, it plays a very limited role.  If there is evidence supporting a charge, an application for discharge can only be sustained if that evidence is of such poor quality that it cannot, in the opinion of the trial court, be accepted by any reasonable court (see eg </w:t>
      </w:r>
      <w:r w:rsidR="00402060" w:rsidRPr="00E7044A">
        <w:rPr>
          <w:rFonts w:ascii="Arial" w:hAnsi="Arial" w:cs="Arial"/>
          <w:i/>
          <w:sz w:val="22"/>
          <w:szCs w:val="22"/>
          <w:lang w:val="en-ZA"/>
        </w:rPr>
        <w:t>S v Mpetha</w:t>
      </w:r>
      <w:r w:rsidR="00402060" w:rsidRPr="00402060">
        <w:rPr>
          <w:rFonts w:ascii="Arial" w:hAnsi="Arial" w:cs="Arial"/>
          <w:sz w:val="22"/>
          <w:szCs w:val="22"/>
          <w:lang w:val="en-ZA"/>
        </w:rPr>
        <w:t xml:space="preserve"> and Others 1983 (4) SA 262 (C) at 265; </w:t>
      </w:r>
      <w:r w:rsidR="00402060" w:rsidRPr="00E7044A">
        <w:rPr>
          <w:rFonts w:ascii="Arial" w:hAnsi="Arial" w:cs="Arial"/>
          <w:i/>
          <w:sz w:val="22"/>
          <w:szCs w:val="22"/>
          <w:lang w:val="en-ZA"/>
        </w:rPr>
        <w:t>S v Nakale</w:t>
      </w:r>
      <w:r w:rsidR="00402060" w:rsidRPr="00402060">
        <w:rPr>
          <w:rFonts w:ascii="Arial" w:hAnsi="Arial" w:cs="Arial"/>
          <w:sz w:val="22"/>
          <w:szCs w:val="22"/>
          <w:lang w:val="en-ZA"/>
        </w:rPr>
        <w:t xml:space="preserve"> supra at 458). Put differently, </w:t>
      </w:r>
      <w:r w:rsidR="00402060" w:rsidRPr="002165BC">
        <w:rPr>
          <w:rFonts w:ascii="Arial" w:hAnsi="Arial" w:cs="Arial"/>
          <w:sz w:val="22"/>
          <w:szCs w:val="22"/>
          <w:u w:val="single"/>
          <w:lang w:val="en-ZA"/>
        </w:rPr>
        <w:t>the question remains: is there, having regard to the credibility of the witnesses, evidence</w:t>
      </w:r>
      <w:r w:rsidR="002165BC" w:rsidRPr="002165BC">
        <w:rPr>
          <w:rFonts w:ascii="Arial" w:hAnsi="Arial" w:cs="Arial"/>
          <w:sz w:val="22"/>
          <w:szCs w:val="22"/>
          <w:u w:val="single"/>
          <w:lang w:val="en-ZA"/>
        </w:rPr>
        <w:t xml:space="preserve"> upon which a reasonable court </w:t>
      </w:r>
      <w:r w:rsidR="00402060" w:rsidRPr="002165BC">
        <w:rPr>
          <w:rFonts w:ascii="Arial" w:hAnsi="Arial" w:cs="Arial"/>
          <w:sz w:val="22"/>
          <w:szCs w:val="22"/>
          <w:u w:val="single"/>
          <w:lang w:val="en-ZA"/>
        </w:rPr>
        <w:t>may convict?</w:t>
      </w:r>
      <w:r>
        <w:rPr>
          <w:rFonts w:ascii="Arial" w:hAnsi="Arial" w:cs="Arial"/>
          <w:sz w:val="22"/>
          <w:szCs w:val="22"/>
          <w:u w:val="single"/>
          <w:lang w:val="en-ZA"/>
        </w:rPr>
        <w:t>’</w:t>
      </w:r>
    </w:p>
    <w:p w:rsidR="00402060" w:rsidRDefault="00402060" w:rsidP="000B0DFE">
      <w:pPr>
        <w:spacing w:line="360" w:lineRule="auto"/>
        <w:jc w:val="both"/>
        <w:rPr>
          <w:rFonts w:ascii="Arial" w:hAnsi="Arial" w:cs="Arial"/>
          <w:lang w:val="en-ZA"/>
        </w:rPr>
      </w:pPr>
    </w:p>
    <w:p w:rsidR="00C87645" w:rsidRDefault="009306D9" w:rsidP="000B0DFE">
      <w:pPr>
        <w:spacing w:line="360" w:lineRule="auto"/>
        <w:jc w:val="both"/>
        <w:rPr>
          <w:rFonts w:ascii="Arial" w:hAnsi="Arial" w:cs="Arial"/>
          <w:lang w:val="en-ZA"/>
        </w:rPr>
      </w:pPr>
      <w:r>
        <w:rPr>
          <w:rFonts w:ascii="Arial" w:hAnsi="Arial" w:cs="Arial"/>
          <w:lang w:val="en-ZA"/>
        </w:rPr>
        <w:t>[1</w:t>
      </w:r>
      <w:r w:rsidR="00F26546">
        <w:rPr>
          <w:rFonts w:ascii="Arial" w:hAnsi="Arial" w:cs="Arial"/>
          <w:lang w:val="en-ZA"/>
        </w:rPr>
        <w:t>5</w:t>
      </w:r>
      <w:r>
        <w:rPr>
          <w:rFonts w:ascii="Arial" w:hAnsi="Arial" w:cs="Arial"/>
          <w:lang w:val="en-ZA"/>
        </w:rPr>
        <w:t>]</w:t>
      </w:r>
      <w:r w:rsidR="00402060">
        <w:rPr>
          <w:rFonts w:ascii="Arial" w:hAnsi="Arial" w:cs="Arial"/>
          <w:lang w:val="en-ZA"/>
        </w:rPr>
        <w:tab/>
      </w:r>
      <w:r w:rsidR="002A79D0">
        <w:rPr>
          <w:rFonts w:ascii="Arial" w:hAnsi="Arial" w:cs="Arial"/>
          <w:lang w:val="en-ZA"/>
        </w:rPr>
        <w:t xml:space="preserve">The magistrate in her additional reasons makes further reference to the defence </w:t>
      </w:r>
      <w:r w:rsidR="0039535C">
        <w:rPr>
          <w:rFonts w:ascii="Arial" w:hAnsi="Arial" w:cs="Arial"/>
          <w:lang w:val="en-ZA"/>
        </w:rPr>
        <w:t>raised by the respondent in her plea explanation</w:t>
      </w:r>
      <w:r w:rsidR="002A79D0">
        <w:rPr>
          <w:rFonts w:ascii="Arial" w:hAnsi="Arial" w:cs="Arial"/>
          <w:lang w:val="en-ZA"/>
        </w:rPr>
        <w:t xml:space="preserve">. </w:t>
      </w:r>
      <w:r w:rsidR="0039535C">
        <w:rPr>
          <w:rFonts w:ascii="Arial" w:hAnsi="Arial" w:cs="Arial"/>
          <w:lang w:val="en-ZA"/>
        </w:rPr>
        <w:t xml:space="preserve">In </w:t>
      </w:r>
      <w:r w:rsidR="0039535C" w:rsidRPr="0039535C">
        <w:rPr>
          <w:rFonts w:ascii="Arial" w:hAnsi="Arial" w:cs="Arial"/>
          <w:i/>
          <w:lang w:val="en-ZA"/>
        </w:rPr>
        <w:t>S v Shivute</w:t>
      </w:r>
      <w:r w:rsidR="0039535C" w:rsidRPr="0039535C">
        <w:rPr>
          <w:rFonts w:ascii="Arial" w:hAnsi="Arial" w:cs="Arial"/>
          <w:lang w:val="en-ZA"/>
        </w:rPr>
        <w:t> 1991 NR 123 (HC) (1991 (1) SACR 656</w:t>
      </w:r>
      <w:r w:rsidR="0039535C">
        <w:rPr>
          <w:rFonts w:ascii="Arial" w:hAnsi="Arial" w:cs="Arial"/>
          <w:lang w:val="en-ZA"/>
        </w:rPr>
        <w:t xml:space="preserve"> the court held that e</w:t>
      </w:r>
      <w:r w:rsidR="0039535C" w:rsidRPr="0039535C">
        <w:rPr>
          <w:rFonts w:ascii="Arial" w:hAnsi="Arial" w:cs="Arial"/>
          <w:lang w:val="en-ZA"/>
        </w:rPr>
        <w:t>xculpatory statements in such explanations of plea must, as a general rule, be repeated by the accused under oath in the witness-stand for them to have any value in favour of the accused. One possible exception to the general rule is that when a defence is raised in the exculpatory part of an explanation of plea, it may be necessary for the State to negativ</w:t>
      </w:r>
      <w:r w:rsidR="00DD11BC">
        <w:rPr>
          <w:rFonts w:ascii="Arial" w:hAnsi="Arial" w:cs="Arial"/>
          <w:lang w:val="en-ZA"/>
        </w:rPr>
        <w:t>ate</w:t>
      </w:r>
      <w:r w:rsidR="0039535C" w:rsidRPr="0039535C">
        <w:rPr>
          <w:rFonts w:ascii="Arial" w:hAnsi="Arial" w:cs="Arial"/>
          <w:lang w:val="en-ZA"/>
        </w:rPr>
        <w:t xml:space="preserve"> that defence to the extent of a prima facie case</w:t>
      </w:r>
      <w:r w:rsidR="00A437AA">
        <w:rPr>
          <w:rFonts w:ascii="Arial" w:hAnsi="Arial" w:cs="Arial"/>
          <w:lang w:val="en-ZA"/>
        </w:rPr>
        <w:t xml:space="preserve">. </w:t>
      </w:r>
      <w:r w:rsidR="00A437AA" w:rsidRPr="00A437AA">
        <w:rPr>
          <w:rFonts w:ascii="Arial" w:hAnsi="Arial" w:cs="Arial"/>
          <w:i/>
          <w:lang w:val="en-ZA"/>
        </w:rPr>
        <w:t xml:space="preserve">In S v </w:t>
      </w:r>
      <w:r w:rsidR="003B6937" w:rsidRPr="00A437AA">
        <w:rPr>
          <w:rFonts w:ascii="Arial" w:hAnsi="Arial" w:cs="Arial"/>
          <w:i/>
          <w:lang w:val="en-ZA"/>
        </w:rPr>
        <w:t>Ananias</w:t>
      </w:r>
      <w:r w:rsidR="003B6937" w:rsidRPr="00A437AA">
        <w:rPr>
          <w:rFonts w:ascii="Arial" w:hAnsi="Arial" w:cs="Arial"/>
          <w:lang w:val="en-ZA"/>
        </w:rPr>
        <w:t xml:space="preserve"> </w:t>
      </w:r>
      <w:r w:rsidR="00A437AA" w:rsidRPr="00A437AA">
        <w:rPr>
          <w:rFonts w:ascii="Arial" w:hAnsi="Arial" w:cs="Arial"/>
          <w:lang w:val="en-ZA"/>
        </w:rPr>
        <w:t>2014 (3) NR 665 (HC)</w:t>
      </w:r>
      <w:r w:rsidR="00A437AA">
        <w:rPr>
          <w:rFonts w:ascii="Arial" w:hAnsi="Arial" w:cs="Arial"/>
          <w:lang w:val="en-ZA"/>
        </w:rPr>
        <w:t xml:space="preserve"> the court held </w:t>
      </w:r>
      <w:r w:rsidR="00A437AA" w:rsidRPr="00A437AA">
        <w:rPr>
          <w:rFonts w:ascii="Arial" w:hAnsi="Arial" w:cs="Arial"/>
          <w:lang w:val="en-ZA"/>
        </w:rPr>
        <w:t xml:space="preserve">that exculpatory statements in explanation of plea in terms of s 115 did not form part of the evidential material before the magistrate and he was accordingly not entitled to treat them as evidential material carrying a great deal of weight </w:t>
      </w:r>
      <w:r w:rsidR="00A437AA" w:rsidRPr="00A437AA">
        <w:rPr>
          <w:rFonts w:ascii="Arial" w:hAnsi="Arial" w:cs="Arial"/>
          <w:lang w:val="en-ZA"/>
        </w:rPr>
        <w:lastRenderedPageBreak/>
        <w:t>unless he found that the state had not placed sufficient evidence before the court capable of negativ</w:t>
      </w:r>
      <w:r w:rsidR="00DD11BC">
        <w:rPr>
          <w:rFonts w:ascii="Arial" w:hAnsi="Arial" w:cs="Arial"/>
          <w:lang w:val="en-ZA"/>
        </w:rPr>
        <w:t>at</w:t>
      </w:r>
      <w:r w:rsidR="00A437AA" w:rsidRPr="00A437AA">
        <w:rPr>
          <w:rFonts w:ascii="Arial" w:hAnsi="Arial" w:cs="Arial"/>
          <w:lang w:val="en-ZA"/>
        </w:rPr>
        <w:t xml:space="preserve">ing the defence of self-defence. </w:t>
      </w:r>
    </w:p>
    <w:p w:rsidR="00C87645" w:rsidRDefault="00C87645" w:rsidP="000B0DFE">
      <w:pPr>
        <w:spacing w:line="360" w:lineRule="auto"/>
        <w:jc w:val="both"/>
        <w:rPr>
          <w:rFonts w:ascii="Arial" w:hAnsi="Arial" w:cs="Arial"/>
          <w:lang w:val="en-ZA"/>
        </w:rPr>
      </w:pPr>
    </w:p>
    <w:p w:rsidR="001F1480" w:rsidRDefault="00C87645" w:rsidP="000B0DFE">
      <w:pPr>
        <w:spacing w:line="360" w:lineRule="auto"/>
        <w:jc w:val="both"/>
        <w:rPr>
          <w:rFonts w:ascii="Arial" w:hAnsi="Arial" w:cs="Arial"/>
          <w:lang w:val="en-ZA"/>
        </w:rPr>
      </w:pPr>
      <w:r>
        <w:rPr>
          <w:rFonts w:ascii="Arial" w:hAnsi="Arial" w:cs="Arial"/>
          <w:lang w:val="en-ZA"/>
        </w:rPr>
        <w:t>[1</w:t>
      </w:r>
      <w:r w:rsidR="00F26546">
        <w:rPr>
          <w:rFonts w:ascii="Arial" w:hAnsi="Arial" w:cs="Arial"/>
          <w:lang w:val="en-ZA"/>
        </w:rPr>
        <w:t>6</w:t>
      </w:r>
      <w:r>
        <w:rPr>
          <w:rFonts w:ascii="Arial" w:hAnsi="Arial" w:cs="Arial"/>
          <w:lang w:val="en-ZA"/>
        </w:rPr>
        <w:t>]</w:t>
      </w:r>
      <w:r>
        <w:rPr>
          <w:rFonts w:ascii="Arial" w:hAnsi="Arial" w:cs="Arial"/>
          <w:lang w:val="en-ZA"/>
        </w:rPr>
        <w:tab/>
        <w:t xml:space="preserve">The above paragraphs sufficiently answers the last ground of appeal i.e that the learned magistrate failed to </w:t>
      </w:r>
      <w:r w:rsidRPr="00C87645">
        <w:rPr>
          <w:rFonts w:ascii="Arial" w:hAnsi="Arial" w:cs="Arial"/>
          <w:lang w:val="en-ZA"/>
        </w:rPr>
        <w:t xml:space="preserve">apply a well-established principle of law that an assault of a human being </w:t>
      </w:r>
      <w:r w:rsidR="00D07FA6">
        <w:rPr>
          <w:rFonts w:ascii="Arial" w:hAnsi="Arial" w:cs="Arial"/>
          <w:lang w:val="en-ZA"/>
        </w:rPr>
        <w:t>is an action which is prima faci</w:t>
      </w:r>
      <w:r w:rsidR="00E2681A">
        <w:rPr>
          <w:rFonts w:ascii="Arial" w:hAnsi="Arial" w:cs="Arial"/>
          <w:lang w:val="en-ZA"/>
        </w:rPr>
        <w:t>e</w:t>
      </w:r>
      <w:r w:rsidRPr="00C87645">
        <w:rPr>
          <w:rFonts w:ascii="Arial" w:hAnsi="Arial" w:cs="Arial"/>
          <w:lang w:val="en-ZA"/>
        </w:rPr>
        <w:t xml:space="preserve"> unlawful, to the extent that once it becomes common cause that t</w:t>
      </w:r>
      <w:r>
        <w:rPr>
          <w:rFonts w:ascii="Arial" w:hAnsi="Arial" w:cs="Arial"/>
          <w:lang w:val="en-ZA"/>
        </w:rPr>
        <w:t>h</w:t>
      </w:r>
      <w:r w:rsidRPr="00C87645">
        <w:rPr>
          <w:rFonts w:ascii="Arial" w:hAnsi="Arial" w:cs="Arial"/>
          <w:lang w:val="en-ZA"/>
        </w:rPr>
        <w:t>e accused (respondent) assaulted the victim in self-defence, an evidentiary burden is place</w:t>
      </w:r>
      <w:r w:rsidR="00D07FA6">
        <w:rPr>
          <w:rFonts w:ascii="Arial" w:hAnsi="Arial" w:cs="Arial"/>
          <w:lang w:val="en-ZA"/>
        </w:rPr>
        <w:t>d</w:t>
      </w:r>
      <w:r w:rsidRPr="00C87645">
        <w:rPr>
          <w:rFonts w:ascii="Arial" w:hAnsi="Arial" w:cs="Arial"/>
          <w:lang w:val="en-ZA"/>
        </w:rPr>
        <w:t xml:space="preserve"> on the accused to rebut the prima facie presumption of unlawfulness</w:t>
      </w:r>
      <w:r>
        <w:rPr>
          <w:rFonts w:ascii="Arial" w:hAnsi="Arial" w:cs="Arial"/>
          <w:lang w:val="en-ZA"/>
        </w:rPr>
        <w:t xml:space="preserve">. This “principle” was discussed at length in </w:t>
      </w:r>
      <w:r w:rsidRPr="001F1480">
        <w:rPr>
          <w:rFonts w:ascii="Arial" w:hAnsi="Arial" w:cs="Arial"/>
          <w:i/>
          <w:lang w:val="en-ZA"/>
        </w:rPr>
        <w:t>S v Ryno van Zyl</w:t>
      </w:r>
      <w:r>
        <w:rPr>
          <w:rFonts w:ascii="Arial" w:hAnsi="Arial" w:cs="Arial"/>
          <w:lang w:val="en-ZA"/>
        </w:rPr>
        <w:t>, an unreported judgment</w:t>
      </w:r>
      <w:r w:rsidR="001F1480">
        <w:rPr>
          <w:rStyle w:val="FootnoteReference"/>
          <w:rFonts w:ascii="Arial" w:hAnsi="Arial" w:cs="Arial"/>
          <w:lang w:val="en-ZA"/>
        </w:rPr>
        <w:footnoteReference w:id="1"/>
      </w:r>
      <w:r>
        <w:rPr>
          <w:rFonts w:ascii="Arial" w:hAnsi="Arial" w:cs="Arial"/>
          <w:lang w:val="en-ZA"/>
        </w:rPr>
        <w:t xml:space="preserve"> by Mainga J, as he then was</w:t>
      </w:r>
      <w:r w:rsidR="001F1480">
        <w:rPr>
          <w:rFonts w:ascii="Arial" w:hAnsi="Arial" w:cs="Arial"/>
          <w:lang w:val="en-ZA"/>
        </w:rPr>
        <w:t>. T</w:t>
      </w:r>
      <w:r>
        <w:rPr>
          <w:rFonts w:ascii="Arial" w:hAnsi="Arial" w:cs="Arial"/>
          <w:lang w:val="en-ZA"/>
        </w:rPr>
        <w:t>he court made the clear distinction between the case cited</w:t>
      </w:r>
      <w:r w:rsidR="001F1480">
        <w:rPr>
          <w:rStyle w:val="FootnoteReference"/>
          <w:rFonts w:ascii="Arial" w:hAnsi="Arial" w:cs="Arial"/>
          <w:lang w:val="en-ZA"/>
        </w:rPr>
        <w:footnoteReference w:id="2"/>
      </w:r>
      <w:r w:rsidR="001F1480">
        <w:rPr>
          <w:rFonts w:ascii="Arial" w:hAnsi="Arial" w:cs="Arial"/>
          <w:lang w:val="en-ZA"/>
        </w:rPr>
        <w:t xml:space="preserve"> </w:t>
      </w:r>
      <w:r>
        <w:rPr>
          <w:rFonts w:ascii="Arial" w:hAnsi="Arial" w:cs="Arial"/>
          <w:lang w:val="en-ZA"/>
        </w:rPr>
        <w:t xml:space="preserve">and the case at hand by stating the following: </w:t>
      </w:r>
    </w:p>
    <w:p w:rsidR="00C87645" w:rsidRDefault="00D07FA6" w:rsidP="000B0DFE">
      <w:pPr>
        <w:spacing w:line="360" w:lineRule="auto"/>
        <w:ind w:left="720"/>
        <w:jc w:val="both"/>
        <w:rPr>
          <w:rFonts w:ascii="Arial" w:hAnsi="Arial" w:cs="Arial"/>
          <w:lang w:val="en-ZA"/>
        </w:rPr>
      </w:pPr>
      <w:r>
        <w:rPr>
          <w:rFonts w:ascii="Arial" w:hAnsi="Arial" w:cs="Arial"/>
          <w:sz w:val="22"/>
          <w:szCs w:val="22"/>
          <w:lang w:val="en-ZA"/>
        </w:rPr>
        <w:t>‘</w:t>
      </w:r>
      <w:r w:rsidR="00C87645" w:rsidRPr="001F1480">
        <w:rPr>
          <w:rFonts w:ascii="Arial" w:hAnsi="Arial" w:cs="Arial"/>
          <w:sz w:val="22"/>
          <w:szCs w:val="22"/>
          <w:lang w:val="en-ZA"/>
        </w:rPr>
        <w:t xml:space="preserve">What is clear from the judgment above </w:t>
      </w:r>
      <w:r w:rsidR="001F1480" w:rsidRPr="001F1480">
        <w:rPr>
          <w:rFonts w:ascii="Arial" w:hAnsi="Arial" w:cs="Arial"/>
          <w:sz w:val="22"/>
          <w:szCs w:val="22"/>
          <w:lang w:val="en-ZA"/>
        </w:rPr>
        <w:t>is that in that matter accused did not offer a plea explanation in terms of s115, the State did not have a version at all of how the killing occurred save that the killing had occurred and that the prosecution has the burden of negativing defences such as self-defence</w:t>
      </w:r>
      <w:r>
        <w:rPr>
          <w:rFonts w:ascii="Arial" w:hAnsi="Arial" w:cs="Arial"/>
          <w:lang w:val="en-ZA"/>
        </w:rPr>
        <w:t>.’</w:t>
      </w:r>
    </w:p>
    <w:p w:rsidR="00D2207E" w:rsidRPr="007D53AA" w:rsidRDefault="00D2207E" w:rsidP="00D2207E">
      <w:pPr>
        <w:spacing w:line="360" w:lineRule="auto"/>
        <w:jc w:val="both"/>
        <w:rPr>
          <w:rFonts w:ascii="Arial" w:hAnsi="Arial" w:cs="Arial"/>
          <w:lang w:val="en-ZA"/>
        </w:rPr>
      </w:pPr>
      <w:r>
        <w:rPr>
          <w:rFonts w:ascii="Arial" w:hAnsi="Arial" w:cs="Arial"/>
          <w:lang w:val="en-ZA"/>
        </w:rPr>
        <w:t xml:space="preserve">In this case too, the respondent raised a plea of self- defence and </w:t>
      </w:r>
      <w:r w:rsidR="00E2681A">
        <w:rPr>
          <w:rFonts w:ascii="Arial" w:hAnsi="Arial" w:cs="Arial"/>
          <w:lang w:val="en-ZA"/>
        </w:rPr>
        <w:t xml:space="preserve">the </w:t>
      </w:r>
      <w:r>
        <w:rPr>
          <w:rFonts w:ascii="Arial" w:hAnsi="Arial" w:cs="Arial"/>
          <w:lang w:val="en-ZA"/>
        </w:rPr>
        <w:t xml:space="preserve">State had to muster a prima facie case negativing the defence so raised. </w:t>
      </w:r>
    </w:p>
    <w:p w:rsidR="00DD11BC" w:rsidRDefault="00DD11BC" w:rsidP="000B0DFE">
      <w:pPr>
        <w:spacing w:line="360" w:lineRule="auto"/>
        <w:jc w:val="both"/>
        <w:rPr>
          <w:rFonts w:ascii="Arial" w:hAnsi="Arial" w:cs="Arial"/>
          <w:lang w:val="en-ZA"/>
        </w:rPr>
      </w:pPr>
    </w:p>
    <w:p w:rsidR="002060AA" w:rsidRDefault="0039535C" w:rsidP="000B0DFE">
      <w:pPr>
        <w:spacing w:line="360" w:lineRule="auto"/>
        <w:jc w:val="both"/>
        <w:rPr>
          <w:rFonts w:ascii="Arial" w:hAnsi="Arial" w:cs="Arial"/>
          <w:lang w:val="en-ZA"/>
        </w:rPr>
      </w:pPr>
      <w:r>
        <w:rPr>
          <w:rFonts w:ascii="Arial" w:hAnsi="Arial" w:cs="Arial"/>
          <w:lang w:val="en-ZA"/>
        </w:rPr>
        <w:t>[1</w:t>
      </w:r>
      <w:r w:rsidR="00F26546">
        <w:rPr>
          <w:rFonts w:ascii="Arial" w:hAnsi="Arial" w:cs="Arial"/>
          <w:lang w:val="en-ZA"/>
        </w:rPr>
        <w:t>7</w:t>
      </w:r>
      <w:r>
        <w:rPr>
          <w:rFonts w:ascii="Arial" w:hAnsi="Arial" w:cs="Arial"/>
          <w:lang w:val="en-ZA"/>
        </w:rPr>
        <w:t>]</w:t>
      </w:r>
      <w:r>
        <w:rPr>
          <w:rFonts w:ascii="Arial" w:hAnsi="Arial" w:cs="Arial"/>
          <w:lang w:val="en-ZA"/>
        </w:rPr>
        <w:tab/>
      </w:r>
      <w:r w:rsidR="009E5B76">
        <w:rPr>
          <w:rFonts w:ascii="Arial" w:hAnsi="Arial" w:cs="Arial"/>
          <w:lang w:val="en-ZA"/>
        </w:rPr>
        <w:t xml:space="preserve">It appears that the magistrate considered </w:t>
      </w:r>
      <w:r w:rsidR="00DD11BC">
        <w:rPr>
          <w:rFonts w:ascii="Arial" w:hAnsi="Arial" w:cs="Arial"/>
          <w:lang w:val="en-ZA"/>
        </w:rPr>
        <w:t xml:space="preserve">the plea explanation </w:t>
      </w:r>
      <w:r w:rsidR="009E5B76">
        <w:rPr>
          <w:rFonts w:ascii="Arial" w:hAnsi="Arial" w:cs="Arial"/>
          <w:lang w:val="en-ZA"/>
        </w:rPr>
        <w:t xml:space="preserve">as part of the evidential </w:t>
      </w:r>
      <w:r w:rsidR="002060AA">
        <w:rPr>
          <w:rFonts w:ascii="Arial" w:hAnsi="Arial" w:cs="Arial"/>
          <w:lang w:val="en-ZA"/>
        </w:rPr>
        <w:t>material.</w:t>
      </w:r>
      <w:r w:rsidR="00D2207E">
        <w:rPr>
          <w:rFonts w:ascii="Arial" w:hAnsi="Arial" w:cs="Arial"/>
          <w:lang w:val="en-ZA"/>
        </w:rPr>
        <w:t xml:space="preserve"> </w:t>
      </w:r>
      <w:r w:rsidR="002060AA">
        <w:rPr>
          <w:rFonts w:ascii="Arial" w:hAnsi="Arial" w:cs="Arial"/>
          <w:lang w:val="en-ZA"/>
        </w:rPr>
        <w:t xml:space="preserve"> </w:t>
      </w:r>
      <w:r w:rsidR="002E2CCF">
        <w:rPr>
          <w:rFonts w:ascii="Arial" w:hAnsi="Arial" w:cs="Arial"/>
          <w:lang w:val="en-ZA"/>
        </w:rPr>
        <w:t xml:space="preserve">The </w:t>
      </w:r>
      <w:r w:rsidR="00D2207E">
        <w:rPr>
          <w:rFonts w:ascii="Arial" w:hAnsi="Arial" w:cs="Arial"/>
          <w:lang w:val="en-ZA"/>
        </w:rPr>
        <w:t>learned magistrate</w:t>
      </w:r>
      <w:r w:rsidR="002E2CCF">
        <w:rPr>
          <w:rFonts w:ascii="Arial" w:hAnsi="Arial" w:cs="Arial"/>
          <w:lang w:val="en-ZA"/>
        </w:rPr>
        <w:t>, at this stage, could not have had regard to the exculpatory remarks in the section 115 plea of the respondent and it</w:t>
      </w:r>
      <w:r w:rsidR="002060AA">
        <w:rPr>
          <w:rFonts w:ascii="Arial" w:hAnsi="Arial" w:cs="Arial"/>
          <w:lang w:val="en-ZA"/>
        </w:rPr>
        <w:t xml:space="preserve"> is </w:t>
      </w:r>
      <w:r w:rsidR="002E2CCF">
        <w:rPr>
          <w:rFonts w:ascii="Arial" w:hAnsi="Arial" w:cs="Arial"/>
          <w:lang w:val="en-ZA"/>
        </w:rPr>
        <w:t xml:space="preserve">clear that the learned magistrate </w:t>
      </w:r>
      <w:r w:rsidR="002060AA">
        <w:rPr>
          <w:rFonts w:ascii="Arial" w:hAnsi="Arial" w:cs="Arial"/>
          <w:lang w:val="en-ZA"/>
        </w:rPr>
        <w:t xml:space="preserve">misdirected herself </w:t>
      </w:r>
      <w:r w:rsidR="002E2CCF">
        <w:rPr>
          <w:rFonts w:ascii="Arial" w:hAnsi="Arial" w:cs="Arial"/>
          <w:lang w:val="en-ZA"/>
        </w:rPr>
        <w:t xml:space="preserve">in this regard. </w:t>
      </w:r>
    </w:p>
    <w:p w:rsidR="002060AA" w:rsidRDefault="002060AA" w:rsidP="000B0DFE">
      <w:pPr>
        <w:spacing w:line="360" w:lineRule="auto"/>
        <w:jc w:val="both"/>
        <w:rPr>
          <w:rFonts w:ascii="Arial" w:hAnsi="Arial" w:cs="Arial"/>
          <w:lang w:val="en-ZA"/>
        </w:rPr>
      </w:pPr>
    </w:p>
    <w:p w:rsidR="000D54B7" w:rsidRDefault="002E2CCF" w:rsidP="000B0DFE">
      <w:pPr>
        <w:spacing w:line="360" w:lineRule="auto"/>
        <w:jc w:val="both"/>
        <w:rPr>
          <w:rFonts w:ascii="Arial" w:hAnsi="Arial" w:cs="Arial"/>
          <w:lang w:val="en-ZA"/>
        </w:rPr>
      </w:pPr>
      <w:r>
        <w:rPr>
          <w:rFonts w:ascii="Arial" w:hAnsi="Arial" w:cs="Arial"/>
          <w:lang w:val="en-ZA"/>
        </w:rPr>
        <w:t>[1</w:t>
      </w:r>
      <w:r w:rsidR="00F26546">
        <w:rPr>
          <w:rFonts w:ascii="Arial" w:hAnsi="Arial" w:cs="Arial"/>
          <w:lang w:val="en-ZA"/>
        </w:rPr>
        <w:t>8</w:t>
      </w:r>
      <w:r>
        <w:rPr>
          <w:rFonts w:ascii="Arial" w:hAnsi="Arial" w:cs="Arial"/>
          <w:lang w:val="en-ZA"/>
        </w:rPr>
        <w:t>]</w:t>
      </w:r>
      <w:r>
        <w:rPr>
          <w:rFonts w:ascii="Arial" w:hAnsi="Arial" w:cs="Arial"/>
          <w:lang w:val="en-ZA"/>
        </w:rPr>
        <w:tab/>
      </w:r>
      <w:r w:rsidR="002060AA">
        <w:rPr>
          <w:rFonts w:ascii="Arial" w:hAnsi="Arial" w:cs="Arial"/>
          <w:lang w:val="en-ZA"/>
        </w:rPr>
        <w:t xml:space="preserve">Can it however be said that the learned magistrate overemphasised the credibility of the witnesses? In order for a court to arrive at a decision whether or not the </w:t>
      </w:r>
      <w:r w:rsidR="002165BC">
        <w:rPr>
          <w:rFonts w:ascii="Arial" w:hAnsi="Arial" w:cs="Arial"/>
          <w:lang w:val="en-ZA"/>
        </w:rPr>
        <w:t>state adduce</w:t>
      </w:r>
      <w:r w:rsidR="002060AA">
        <w:rPr>
          <w:rFonts w:ascii="Arial" w:hAnsi="Arial" w:cs="Arial"/>
          <w:lang w:val="en-ZA"/>
        </w:rPr>
        <w:t>d</w:t>
      </w:r>
      <w:r w:rsidR="002165BC">
        <w:rPr>
          <w:rFonts w:ascii="Arial" w:hAnsi="Arial" w:cs="Arial"/>
          <w:lang w:val="en-ZA"/>
        </w:rPr>
        <w:t xml:space="preserve"> evidence upon which a reasonable court, may convict</w:t>
      </w:r>
      <w:r w:rsidR="002060AA">
        <w:rPr>
          <w:rFonts w:ascii="Arial" w:hAnsi="Arial" w:cs="Arial"/>
          <w:lang w:val="en-ZA"/>
        </w:rPr>
        <w:t>, it must have regard to the cogency of the evidence adduced.</w:t>
      </w:r>
      <w:r w:rsidR="002060AA">
        <w:rPr>
          <w:rStyle w:val="FootnoteReference"/>
          <w:rFonts w:ascii="Arial" w:hAnsi="Arial" w:cs="Arial"/>
          <w:lang w:val="en-ZA"/>
        </w:rPr>
        <w:footnoteReference w:id="3"/>
      </w:r>
      <w:r w:rsidR="002060AA">
        <w:rPr>
          <w:rFonts w:ascii="Arial" w:hAnsi="Arial" w:cs="Arial"/>
          <w:lang w:val="en-ZA"/>
        </w:rPr>
        <w:t xml:space="preserve"> </w:t>
      </w:r>
      <w:r w:rsidR="000D54B7" w:rsidRPr="00EB32C4">
        <w:rPr>
          <w:rFonts w:ascii="Arial" w:hAnsi="Arial" w:cs="Arial"/>
          <w:lang w:val="en-ZA"/>
        </w:rPr>
        <w:t xml:space="preserve">In </w:t>
      </w:r>
      <w:r w:rsidR="002060AA">
        <w:rPr>
          <w:rFonts w:ascii="Arial" w:hAnsi="Arial" w:cs="Arial"/>
          <w:i/>
          <w:lang w:val="en-ZA"/>
        </w:rPr>
        <w:t>S v Le Roux</w:t>
      </w:r>
      <w:r w:rsidR="000D54B7" w:rsidRPr="00EB32C4">
        <w:rPr>
          <w:rFonts w:ascii="Arial" w:hAnsi="Arial" w:cs="Arial"/>
          <w:lang w:val="en-ZA"/>
        </w:rPr>
        <w:t xml:space="preserve"> 2000 NR 209 (HC) </w:t>
      </w:r>
      <w:r w:rsidR="00EB32C4" w:rsidRPr="00EB32C4">
        <w:rPr>
          <w:rFonts w:ascii="Arial" w:hAnsi="Arial" w:cs="Arial"/>
          <w:lang w:val="en-ZA"/>
        </w:rPr>
        <w:t>the court considered issues of credibility.</w:t>
      </w:r>
      <w:r w:rsidR="00EB32C4">
        <w:rPr>
          <w:rFonts w:ascii="Arial" w:hAnsi="Arial" w:cs="Arial"/>
          <w:lang w:val="en-ZA"/>
        </w:rPr>
        <w:t xml:space="preserve"> </w:t>
      </w:r>
      <w:r w:rsidR="00152495">
        <w:rPr>
          <w:rFonts w:ascii="Arial" w:hAnsi="Arial" w:cs="Arial"/>
          <w:lang w:val="en-ZA"/>
        </w:rPr>
        <w:t xml:space="preserve">In </w:t>
      </w:r>
      <w:r w:rsidR="00152495">
        <w:rPr>
          <w:rFonts w:ascii="Arial" w:hAnsi="Arial" w:cs="Arial"/>
          <w:lang w:val="en-ZA"/>
        </w:rPr>
        <w:lastRenderedPageBreak/>
        <w:t xml:space="preserve">that case the court concluded that the complainant </w:t>
      </w:r>
      <w:r w:rsidR="00152495" w:rsidRPr="00152495">
        <w:rPr>
          <w:rFonts w:ascii="Arial" w:hAnsi="Arial" w:cs="Arial"/>
          <w:lang w:val="en-ZA"/>
        </w:rPr>
        <w:t>completely destroyed her own credibility.</w:t>
      </w:r>
    </w:p>
    <w:p w:rsidR="007D53AA" w:rsidRPr="009306D9" w:rsidRDefault="007D53AA" w:rsidP="000B0DFE">
      <w:pPr>
        <w:spacing w:line="360" w:lineRule="auto"/>
        <w:jc w:val="both"/>
        <w:rPr>
          <w:rFonts w:ascii="Arial" w:hAnsi="Arial" w:cs="Arial"/>
          <w:sz w:val="22"/>
          <w:szCs w:val="22"/>
          <w:lang w:val="en-ZA"/>
        </w:rPr>
      </w:pPr>
    </w:p>
    <w:p w:rsidR="007D53AA" w:rsidRDefault="009E5B76" w:rsidP="000B0DFE">
      <w:pPr>
        <w:spacing w:line="360" w:lineRule="auto"/>
        <w:jc w:val="both"/>
        <w:rPr>
          <w:rFonts w:ascii="Arial" w:hAnsi="Arial" w:cs="Arial"/>
          <w:lang w:val="en-ZA"/>
        </w:rPr>
      </w:pPr>
      <w:r>
        <w:rPr>
          <w:rFonts w:ascii="Arial" w:hAnsi="Arial" w:cs="Arial"/>
          <w:lang w:val="en-ZA"/>
        </w:rPr>
        <w:t>[1</w:t>
      </w:r>
      <w:r w:rsidR="00F26546">
        <w:rPr>
          <w:rFonts w:ascii="Arial" w:hAnsi="Arial" w:cs="Arial"/>
          <w:lang w:val="en-ZA"/>
        </w:rPr>
        <w:t>9</w:t>
      </w:r>
      <w:r>
        <w:rPr>
          <w:rFonts w:ascii="Arial" w:hAnsi="Arial" w:cs="Arial"/>
          <w:lang w:val="en-ZA"/>
        </w:rPr>
        <w:t>]</w:t>
      </w:r>
      <w:r>
        <w:rPr>
          <w:rFonts w:ascii="Arial" w:hAnsi="Arial" w:cs="Arial"/>
          <w:lang w:val="en-ZA"/>
        </w:rPr>
        <w:tab/>
      </w:r>
      <w:r w:rsidR="0039535C">
        <w:rPr>
          <w:rFonts w:ascii="Arial" w:hAnsi="Arial" w:cs="Arial"/>
          <w:lang w:val="en-ZA"/>
        </w:rPr>
        <w:t xml:space="preserve">The </w:t>
      </w:r>
      <w:r>
        <w:rPr>
          <w:rFonts w:ascii="Arial" w:hAnsi="Arial" w:cs="Arial"/>
          <w:lang w:val="en-ZA"/>
        </w:rPr>
        <w:t>state’s evidence was that the complainant was assaulted and bitten</w:t>
      </w:r>
      <w:r w:rsidR="00A437AA">
        <w:rPr>
          <w:rFonts w:ascii="Arial" w:hAnsi="Arial" w:cs="Arial"/>
          <w:lang w:val="en-ZA"/>
        </w:rPr>
        <w:t>.</w:t>
      </w:r>
      <w:r>
        <w:rPr>
          <w:rFonts w:ascii="Arial" w:hAnsi="Arial" w:cs="Arial"/>
          <w:lang w:val="en-ZA"/>
        </w:rPr>
        <w:t xml:space="preserve"> </w:t>
      </w:r>
      <w:r w:rsidR="00EB32C4">
        <w:rPr>
          <w:rFonts w:ascii="Arial" w:hAnsi="Arial" w:cs="Arial"/>
          <w:lang w:val="en-ZA"/>
        </w:rPr>
        <w:t xml:space="preserve">This was common cause. </w:t>
      </w:r>
      <w:r w:rsidR="00152495">
        <w:rPr>
          <w:rFonts w:ascii="Arial" w:hAnsi="Arial" w:cs="Arial"/>
          <w:lang w:val="en-ZA"/>
        </w:rPr>
        <w:t>In view of the defence raised by the respondent</w:t>
      </w:r>
      <w:r w:rsidR="0084796E">
        <w:rPr>
          <w:rFonts w:ascii="Arial" w:hAnsi="Arial" w:cs="Arial"/>
          <w:lang w:val="en-ZA"/>
        </w:rPr>
        <w:t>, t</w:t>
      </w:r>
      <w:r w:rsidR="00EB32C4">
        <w:rPr>
          <w:rFonts w:ascii="Arial" w:hAnsi="Arial" w:cs="Arial"/>
          <w:lang w:val="en-ZA"/>
        </w:rPr>
        <w:t>he State w</w:t>
      </w:r>
      <w:r w:rsidR="00D07FA6">
        <w:rPr>
          <w:rFonts w:ascii="Arial" w:hAnsi="Arial" w:cs="Arial"/>
          <w:lang w:val="en-ZA"/>
        </w:rPr>
        <w:t>as required to adduce prima faci</w:t>
      </w:r>
      <w:r w:rsidR="00E2681A">
        <w:rPr>
          <w:rFonts w:ascii="Arial" w:hAnsi="Arial" w:cs="Arial"/>
          <w:lang w:val="en-ZA"/>
        </w:rPr>
        <w:t>e</w:t>
      </w:r>
      <w:r w:rsidR="00EB32C4">
        <w:rPr>
          <w:rFonts w:ascii="Arial" w:hAnsi="Arial" w:cs="Arial"/>
          <w:lang w:val="en-ZA"/>
        </w:rPr>
        <w:t xml:space="preserve"> evidence which showed that there was no unlawful attack on the respondent. </w:t>
      </w:r>
      <w:r w:rsidR="0084796E">
        <w:rPr>
          <w:rFonts w:ascii="Arial" w:hAnsi="Arial" w:cs="Arial"/>
          <w:lang w:val="en-ZA"/>
        </w:rPr>
        <w:t xml:space="preserve">The state adduced evidence to the effect that the respondent acted lawfully when she stopped the complainant from drawing water. </w:t>
      </w:r>
      <w:r>
        <w:rPr>
          <w:rFonts w:ascii="Arial" w:hAnsi="Arial" w:cs="Arial"/>
          <w:lang w:val="en-ZA"/>
        </w:rPr>
        <w:t>The 2</w:t>
      </w:r>
      <w:r w:rsidRPr="009E5B76">
        <w:rPr>
          <w:rFonts w:ascii="Arial" w:hAnsi="Arial" w:cs="Arial"/>
          <w:vertAlign w:val="superscript"/>
          <w:lang w:val="en-ZA"/>
        </w:rPr>
        <w:t>nd</w:t>
      </w:r>
      <w:r>
        <w:rPr>
          <w:rFonts w:ascii="Arial" w:hAnsi="Arial" w:cs="Arial"/>
          <w:lang w:val="en-ZA"/>
        </w:rPr>
        <w:t xml:space="preserve"> State witness contradict</w:t>
      </w:r>
      <w:r w:rsidR="00EB32C4">
        <w:rPr>
          <w:rFonts w:ascii="Arial" w:hAnsi="Arial" w:cs="Arial"/>
          <w:lang w:val="en-ZA"/>
        </w:rPr>
        <w:t xml:space="preserve">ed </w:t>
      </w:r>
      <w:r>
        <w:rPr>
          <w:rFonts w:ascii="Arial" w:hAnsi="Arial" w:cs="Arial"/>
          <w:lang w:val="en-ZA"/>
        </w:rPr>
        <w:t>the complainant’s version that she was assaulted merely for drawing water</w:t>
      </w:r>
      <w:r w:rsidR="00EB32C4">
        <w:rPr>
          <w:rFonts w:ascii="Arial" w:hAnsi="Arial" w:cs="Arial"/>
          <w:lang w:val="en-ZA"/>
        </w:rPr>
        <w:t xml:space="preserve">. She testified that the respondent was within her rights to refuse persons access to the communal tap and that the complainant </w:t>
      </w:r>
      <w:r w:rsidR="0084796E">
        <w:rPr>
          <w:rFonts w:ascii="Arial" w:hAnsi="Arial" w:cs="Arial"/>
          <w:lang w:val="en-ZA"/>
        </w:rPr>
        <w:t xml:space="preserve">took water </w:t>
      </w:r>
      <w:r w:rsidR="00EB32C4">
        <w:rPr>
          <w:rFonts w:ascii="Arial" w:hAnsi="Arial" w:cs="Arial"/>
          <w:lang w:val="en-ZA"/>
        </w:rPr>
        <w:t>“</w:t>
      </w:r>
      <w:r w:rsidR="0084796E" w:rsidRPr="00E7044A">
        <w:rPr>
          <w:rFonts w:ascii="Arial" w:hAnsi="Arial" w:cs="Arial"/>
          <w:sz w:val="22"/>
          <w:szCs w:val="22"/>
          <w:lang w:val="en-ZA"/>
        </w:rPr>
        <w:t xml:space="preserve">by </w:t>
      </w:r>
      <w:r w:rsidR="00EB32C4" w:rsidRPr="00E7044A">
        <w:rPr>
          <w:rFonts w:ascii="Arial" w:hAnsi="Arial" w:cs="Arial"/>
          <w:sz w:val="22"/>
          <w:szCs w:val="22"/>
          <w:lang w:val="en-ZA"/>
        </w:rPr>
        <w:t>force</w:t>
      </w:r>
      <w:r w:rsidR="0084796E" w:rsidRPr="00E7044A">
        <w:rPr>
          <w:rFonts w:ascii="Arial" w:hAnsi="Arial" w:cs="Arial"/>
          <w:sz w:val="22"/>
          <w:szCs w:val="22"/>
          <w:lang w:val="en-ZA"/>
        </w:rPr>
        <w:t>”.</w:t>
      </w:r>
      <w:r>
        <w:rPr>
          <w:rFonts w:ascii="Arial" w:hAnsi="Arial" w:cs="Arial"/>
          <w:lang w:val="en-ZA"/>
        </w:rPr>
        <w:t xml:space="preserve"> This evidence supports rather than negitiv</w:t>
      </w:r>
      <w:r w:rsidR="000B0DFE">
        <w:rPr>
          <w:rFonts w:ascii="Arial" w:hAnsi="Arial" w:cs="Arial"/>
          <w:lang w:val="en-ZA"/>
        </w:rPr>
        <w:t xml:space="preserve">ate </w:t>
      </w:r>
      <w:r>
        <w:rPr>
          <w:rFonts w:ascii="Arial" w:hAnsi="Arial" w:cs="Arial"/>
          <w:lang w:val="en-ZA"/>
        </w:rPr>
        <w:t>the defence raised by the respondent in her plea explanation.</w:t>
      </w:r>
      <w:r w:rsidR="009306D9">
        <w:rPr>
          <w:rFonts w:ascii="Arial" w:hAnsi="Arial" w:cs="Arial"/>
          <w:lang w:val="en-ZA"/>
        </w:rPr>
        <w:t xml:space="preserve"> </w:t>
      </w:r>
    </w:p>
    <w:p w:rsidR="00F26546" w:rsidRDefault="00F26546" w:rsidP="000B0DFE">
      <w:pPr>
        <w:spacing w:line="360" w:lineRule="auto"/>
        <w:jc w:val="both"/>
        <w:rPr>
          <w:rFonts w:ascii="Arial" w:hAnsi="Arial" w:cs="Arial"/>
          <w:lang w:val="en-ZA"/>
        </w:rPr>
      </w:pPr>
    </w:p>
    <w:p w:rsidR="00A437AA" w:rsidRDefault="007D53AA" w:rsidP="000B0DFE">
      <w:pPr>
        <w:spacing w:line="360" w:lineRule="auto"/>
        <w:jc w:val="both"/>
        <w:rPr>
          <w:rFonts w:ascii="Arial" w:hAnsi="Arial" w:cs="Arial"/>
          <w:lang w:val="en-ZA"/>
        </w:rPr>
      </w:pPr>
      <w:r>
        <w:rPr>
          <w:rFonts w:ascii="Arial" w:hAnsi="Arial" w:cs="Arial"/>
          <w:lang w:val="en-ZA"/>
        </w:rPr>
        <w:t>[</w:t>
      </w:r>
      <w:r w:rsidR="00F26546">
        <w:rPr>
          <w:rFonts w:ascii="Arial" w:hAnsi="Arial" w:cs="Arial"/>
          <w:lang w:val="en-ZA"/>
        </w:rPr>
        <w:t>20</w:t>
      </w:r>
      <w:r>
        <w:rPr>
          <w:rFonts w:ascii="Arial" w:hAnsi="Arial" w:cs="Arial"/>
          <w:lang w:val="en-ZA"/>
        </w:rPr>
        <w:t>]</w:t>
      </w:r>
      <w:r>
        <w:rPr>
          <w:rFonts w:ascii="Arial" w:hAnsi="Arial" w:cs="Arial"/>
          <w:lang w:val="en-ZA"/>
        </w:rPr>
        <w:tab/>
        <w:t>The State prosecutor did not argue that the 2</w:t>
      </w:r>
      <w:r w:rsidRPr="007D53AA">
        <w:rPr>
          <w:rFonts w:ascii="Arial" w:hAnsi="Arial" w:cs="Arial"/>
          <w:vertAlign w:val="superscript"/>
          <w:lang w:val="en-ZA"/>
        </w:rPr>
        <w:t>nd</w:t>
      </w:r>
      <w:r>
        <w:rPr>
          <w:rFonts w:ascii="Arial" w:hAnsi="Arial" w:cs="Arial"/>
          <w:lang w:val="en-ZA"/>
        </w:rPr>
        <w:t xml:space="preserve"> </w:t>
      </w:r>
      <w:r w:rsidR="0084796E">
        <w:rPr>
          <w:rFonts w:ascii="Arial" w:hAnsi="Arial" w:cs="Arial"/>
          <w:lang w:val="en-ZA"/>
        </w:rPr>
        <w:t xml:space="preserve">witness </w:t>
      </w:r>
      <w:r>
        <w:rPr>
          <w:rFonts w:ascii="Arial" w:hAnsi="Arial" w:cs="Arial"/>
          <w:lang w:val="en-ZA"/>
        </w:rPr>
        <w:t>was a poor witness but merely addressed the court on the strength of the evidence of the complainant.</w:t>
      </w:r>
      <w:r w:rsidR="0084796E">
        <w:rPr>
          <w:rFonts w:ascii="Arial" w:hAnsi="Arial" w:cs="Arial"/>
          <w:lang w:val="en-ZA"/>
        </w:rPr>
        <w:t xml:space="preserve"> This makes the complainant a single witness despite the many persons who were present at the scene. </w:t>
      </w:r>
      <w:r>
        <w:rPr>
          <w:rFonts w:ascii="Arial" w:hAnsi="Arial" w:cs="Arial"/>
          <w:lang w:val="en-ZA"/>
        </w:rPr>
        <w:t>The complainant however could not give a cogent account of what had happened. Her evidence in chief is completely different from her evidence under cross-examination. The evidence of the both witnesses reached the requisite degree of untrustworthiness that the learned magistrate was justified to take their credibility into consideration at the end of the s</w:t>
      </w:r>
      <w:r w:rsidR="00764EF9">
        <w:rPr>
          <w:rFonts w:ascii="Arial" w:hAnsi="Arial" w:cs="Arial"/>
          <w:lang w:val="en-ZA"/>
        </w:rPr>
        <w:t xml:space="preserve">tate’s case. </w:t>
      </w:r>
      <w:r>
        <w:rPr>
          <w:rFonts w:ascii="Arial" w:hAnsi="Arial" w:cs="Arial"/>
          <w:lang w:val="en-ZA"/>
        </w:rPr>
        <w:t xml:space="preserve">Furthermore it is indeed evident form the respondent’s plea explanation and the cross-examination of the state’s witnesses that </w:t>
      </w:r>
      <w:r w:rsidR="00C87645">
        <w:rPr>
          <w:rFonts w:ascii="Arial" w:hAnsi="Arial" w:cs="Arial"/>
          <w:lang w:val="en-ZA"/>
        </w:rPr>
        <w:t xml:space="preserve">there was no reason for the learned magistrate to believe that </w:t>
      </w:r>
      <w:r w:rsidR="00152495" w:rsidRPr="007D53AA">
        <w:rPr>
          <w:rFonts w:ascii="Arial" w:hAnsi="Arial" w:cs="Arial"/>
          <w:lang w:val="en-ZA"/>
        </w:rPr>
        <w:t>the defence evidence might supplement the State's case.</w:t>
      </w:r>
    </w:p>
    <w:p w:rsidR="00F26546" w:rsidRDefault="00F26546" w:rsidP="000B0DFE">
      <w:pPr>
        <w:spacing w:line="360" w:lineRule="auto"/>
        <w:jc w:val="both"/>
        <w:rPr>
          <w:rFonts w:ascii="Arial" w:hAnsi="Arial" w:cs="Arial"/>
          <w:lang w:val="en-ZA"/>
        </w:rPr>
      </w:pPr>
    </w:p>
    <w:p w:rsidR="00EB32C4" w:rsidRDefault="00EB32C4" w:rsidP="000B0DFE">
      <w:pPr>
        <w:spacing w:line="360" w:lineRule="auto"/>
        <w:jc w:val="both"/>
        <w:rPr>
          <w:rFonts w:ascii="Arial" w:hAnsi="Arial" w:cs="Arial"/>
          <w:lang w:val="en-ZA"/>
        </w:rPr>
      </w:pPr>
      <w:r>
        <w:rPr>
          <w:rFonts w:ascii="Arial" w:hAnsi="Arial" w:cs="Arial"/>
          <w:lang w:val="en-ZA"/>
        </w:rPr>
        <w:t>[</w:t>
      </w:r>
      <w:r w:rsidR="00F26546">
        <w:rPr>
          <w:rFonts w:ascii="Arial" w:hAnsi="Arial" w:cs="Arial"/>
          <w:lang w:val="en-ZA"/>
        </w:rPr>
        <w:t>21</w:t>
      </w:r>
      <w:r>
        <w:rPr>
          <w:rFonts w:ascii="Arial" w:hAnsi="Arial" w:cs="Arial"/>
          <w:lang w:val="en-ZA"/>
        </w:rPr>
        <w:t>]</w:t>
      </w:r>
      <w:r>
        <w:rPr>
          <w:rFonts w:ascii="Arial" w:hAnsi="Arial" w:cs="Arial"/>
          <w:lang w:val="en-ZA"/>
        </w:rPr>
        <w:tab/>
      </w:r>
      <w:r w:rsidR="009306D9">
        <w:rPr>
          <w:rFonts w:ascii="Arial" w:hAnsi="Arial" w:cs="Arial"/>
          <w:lang w:val="en-ZA"/>
        </w:rPr>
        <w:t xml:space="preserve">I do believe that the appellant’s </w:t>
      </w:r>
      <w:r w:rsidRPr="00EB32C4">
        <w:rPr>
          <w:rFonts w:ascii="Arial" w:hAnsi="Arial" w:cs="Arial"/>
          <w:lang w:val="en-ZA"/>
        </w:rPr>
        <w:t xml:space="preserve">criticism </w:t>
      </w:r>
      <w:r w:rsidR="000B0DFE">
        <w:rPr>
          <w:rFonts w:ascii="Arial" w:hAnsi="Arial" w:cs="Arial"/>
          <w:lang w:val="en-ZA"/>
        </w:rPr>
        <w:t>of the magistrate’s f</w:t>
      </w:r>
      <w:r w:rsidRPr="00EB32C4">
        <w:rPr>
          <w:rFonts w:ascii="Arial" w:hAnsi="Arial" w:cs="Arial"/>
          <w:lang w:val="en-ZA"/>
        </w:rPr>
        <w:t xml:space="preserve">ormulation of the reasons for the ruling in terms of s 174 </w:t>
      </w:r>
      <w:r w:rsidR="00764EF9">
        <w:rPr>
          <w:rFonts w:ascii="Arial" w:hAnsi="Arial" w:cs="Arial"/>
          <w:lang w:val="en-ZA"/>
        </w:rPr>
        <w:t>is justified.</w:t>
      </w:r>
      <w:r w:rsidR="000B0DFE">
        <w:rPr>
          <w:rFonts w:ascii="Arial" w:hAnsi="Arial" w:cs="Arial"/>
          <w:lang w:val="en-ZA"/>
        </w:rPr>
        <w:t xml:space="preserve"> This court however </w:t>
      </w:r>
      <w:r w:rsidR="009306D9">
        <w:rPr>
          <w:rFonts w:ascii="Arial" w:hAnsi="Arial" w:cs="Arial"/>
          <w:lang w:val="en-ZA"/>
        </w:rPr>
        <w:t>arrives at the same conclusion i.e that the State failed to adduce evidence upon which a reasonable court, acting carefully</w:t>
      </w:r>
      <w:r w:rsidR="0084796E">
        <w:rPr>
          <w:rFonts w:ascii="Arial" w:hAnsi="Arial" w:cs="Arial"/>
          <w:lang w:val="en-ZA"/>
        </w:rPr>
        <w:t>,</w:t>
      </w:r>
      <w:r w:rsidR="009306D9">
        <w:rPr>
          <w:rFonts w:ascii="Arial" w:hAnsi="Arial" w:cs="Arial"/>
          <w:lang w:val="en-ZA"/>
        </w:rPr>
        <w:t xml:space="preserve"> may convict. </w:t>
      </w:r>
    </w:p>
    <w:p w:rsidR="00764EF9" w:rsidRDefault="00764EF9" w:rsidP="000B0DFE">
      <w:pPr>
        <w:spacing w:line="360" w:lineRule="auto"/>
        <w:jc w:val="both"/>
        <w:rPr>
          <w:rFonts w:ascii="Arial" w:hAnsi="Arial" w:cs="Arial"/>
          <w:lang w:val="en-ZA"/>
        </w:rPr>
      </w:pPr>
    </w:p>
    <w:p w:rsidR="009306D9" w:rsidRDefault="009306D9" w:rsidP="000B0DFE">
      <w:pPr>
        <w:spacing w:line="360" w:lineRule="auto"/>
        <w:jc w:val="both"/>
        <w:rPr>
          <w:rFonts w:ascii="Arial" w:hAnsi="Arial" w:cs="Arial"/>
          <w:lang w:val="en-ZA"/>
        </w:rPr>
      </w:pPr>
      <w:r>
        <w:rPr>
          <w:rFonts w:ascii="Arial" w:hAnsi="Arial" w:cs="Arial"/>
          <w:lang w:val="en-ZA"/>
        </w:rPr>
        <w:lastRenderedPageBreak/>
        <w:t>[</w:t>
      </w:r>
      <w:r w:rsidR="00F26546">
        <w:rPr>
          <w:rFonts w:ascii="Arial" w:hAnsi="Arial" w:cs="Arial"/>
          <w:lang w:val="en-ZA"/>
        </w:rPr>
        <w:t>22</w:t>
      </w:r>
      <w:r>
        <w:rPr>
          <w:rFonts w:ascii="Arial" w:hAnsi="Arial" w:cs="Arial"/>
          <w:lang w:val="en-ZA"/>
        </w:rPr>
        <w:t>]</w:t>
      </w:r>
      <w:r>
        <w:rPr>
          <w:rFonts w:ascii="Arial" w:hAnsi="Arial" w:cs="Arial"/>
          <w:lang w:val="en-ZA"/>
        </w:rPr>
        <w:tab/>
        <w:t>In the result the following order is made:</w:t>
      </w:r>
    </w:p>
    <w:p w:rsidR="009306D9" w:rsidRPr="00EB32C4" w:rsidRDefault="009306D9" w:rsidP="000B0DFE">
      <w:pPr>
        <w:spacing w:line="360" w:lineRule="auto"/>
        <w:jc w:val="both"/>
        <w:rPr>
          <w:rFonts w:ascii="Arial" w:hAnsi="Arial" w:cs="Arial"/>
          <w:lang w:val="en-ZA"/>
        </w:rPr>
      </w:pPr>
      <w:r>
        <w:rPr>
          <w:rFonts w:ascii="Arial" w:hAnsi="Arial" w:cs="Arial"/>
          <w:lang w:val="en-ZA"/>
        </w:rPr>
        <w:tab/>
        <w:t>The appeal is dismissed.</w:t>
      </w:r>
    </w:p>
    <w:p w:rsidR="00176493" w:rsidRDefault="00176493" w:rsidP="000B0DFE">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650C37" w:rsidRDefault="00650C37" w:rsidP="00176493">
      <w:pPr>
        <w:spacing w:line="360" w:lineRule="auto"/>
        <w:jc w:val="both"/>
        <w:rPr>
          <w:rFonts w:ascii="Arial" w:hAnsi="Arial" w:cs="Arial"/>
          <w:lang w:val="en-ZA"/>
        </w:rPr>
      </w:pPr>
    </w:p>
    <w:p w:rsidR="00650C37" w:rsidRDefault="00650C37" w:rsidP="00176493">
      <w:pPr>
        <w:spacing w:line="360" w:lineRule="auto"/>
        <w:jc w:val="both"/>
        <w:rPr>
          <w:rFonts w:ascii="Arial" w:hAnsi="Arial" w:cs="Arial"/>
          <w:lang w:val="en-ZA"/>
        </w:rPr>
      </w:pPr>
    </w:p>
    <w:p w:rsidR="00650C37" w:rsidRDefault="00650C37" w:rsidP="00176493">
      <w:pPr>
        <w:spacing w:line="360" w:lineRule="auto"/>
        <w:jc w:val="both"/>
        <w:rPr>
          <w:rFonts w:ascii="Arial" w:hAnsi="Arial" w:cs="Arial"/>
          <w:lang w:val="en-ZA"/>
        </w:rPr>
      </w:pPr>
    </w:p>
    <w:p w:rsidR="00650C37" w:rsidRDefault="00650C37"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0A5912">
      <w:pPr>
        <w:spacing w:line="360" w:lineRule="auto"/>
        <w:jc w:val="right"/>
        <w:rPr>
          <w:rFonts w:ascii="Arial" w:hAnsi="Arial" w:cs="Arial"/>
          <w:lang w:val="en-ZA"/>
        </w:rPr>
      </w:pPr>
      <w:r>
        <w:rPr>
          <w:rFonts w:ascii="Arial" w:hAnsi="Arial" w:cs="Arial"/>
          <w:lang w:val="en-ZA"/>
        </w:rPr>
        <w:t>M A TOMMASI</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7E68BC" w:rsidRDefault="007E68BC" w:rsidP="000A5912">
      <w:pPr>
        <w:spacing w:line="360" w:lineRule="auto"/>
        <w:jc w:val="right"/>
        <w:rPr>
          <w:rFonts w:ascii="Arial" w:hAnsi="Arial" w:cs="Arial"/>
          <w:lang w:val="en-ZA"/>
        </w:rPr>
      </w:pPr>
    </w:p>
    <w:p w:rsidR="007E68BC" w:rsidRDefault="007E68BC" w:rsidP="000A5912">
      <w:pPr>
        <w:spacing w:line="360" w:lineRule="auto"/>
        <w:jc w:val="right"/>
        <w:rPr>
          <w:rFonts w:ascii="Arial" w:hAnsi="Arial" w:cs="Arial"/>
          <w:lang w:val="en-ZA"/>
        </w:rPr>
      </w:pPr>
    </w:p>
    <w:p w:rsidR="007E68BC" w:rsidRDefault="007E68BC" w:rsidP="000A5912">
      <w:pPr>
        <w:spacing w:line="360" w:lineRule="auto"/>
        <w:jc w:val="right"/>
        <w:rPr>
          <w:rFonts w:ascii="Arial" w:hAnsi="Arial" w:cs="Arial"/>
          <w:lang w:val="en-ZA"/>
        </w:rPr>
      </w:pPr>
    </w:p>
    <w:p w:rsidR="007E68BC" w:rsidRDefault="007E68BC" w:rsidP="000A5912">
      <w:pPr>
        <w:spacing w:line="360" w:lineRule="auto"/>
        <w:jc w:val="right"/>
        <w:rPr>
          <w:rFonts w:ascii="Arial" w:hAnsi="Arial" w:cs="Arial"/>
          <w:lang w:val="en-ZA"/>
        </w:rPr>
      </w:pPr>
    </w:p>
    <w:p w:rsidR="007E68BC" w:rsidRDefault="007E68BC" w:rsidP="000A5912">
      <w:pPr>
        <w:spacing w:line="360" w:lineRule="auto"/>
        <w:jc w:val="right"/>
        <w:rPr>
          <w:rFonts w:ascii="Arial" w:hAnsi="Arial" w:cs="Arial"/>
          <w:lang w:val="en-ZA"/>
        </w:rPr>
      </w:pPr>
    </w:p>
    <w:p w:rsidR="007E68BC" w:rsidRDefault="007E68BC" w:rsidP="000A5912">
      <w:pPr>
        <w:spacing w:line="360" w:lineRule="auto"/>
        <w:jc w:val="right"/>
        <w:rPr>
          <w:rFonts w:ascii="Arial" w:hAnsi="Arial" w:cs="Arial"/>
          <w:lang w:val="en-ZA"/>
        </w:rPr>
      </w:pPr>
    </w:p>
    <w:p w:rsidR="007E68BC" w:rsidRDefault="007E68BC" w:rsidP="000A5912">
      <w:pPr>
        <w:spacing w:line="360" w:lineRule="auto"/>
        <w:jc w:val="right"/>
        <w:rPr>
          <w:rFonts w:ascii="Arial" w:hAnsi="Arial" w:cs="Arial"/>
          <w:lang w:val="en-ZA"/>
        </w:rPr>
      </w:pPr>
    </w:p>
    <w:p w:rsidR="007E68BC" w:rsidRDefault="007E68BC"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E7044A" w:rsidRDefault="00E7044A" w:rsidP="000A5912">
      <w:pPr>
        <w:spacing w:line="360" w:lineRule="auto"/>
        <w:jc w:val="right"/>
        <w:rPr>
          <w:rFonts w:ascii="Arial" w:hAnsi="Arial" w:cs="Arial"/>
          <w:lang w:val="en-ZA"/>
        </w:rPr>
      </w:pPr>
      <w:r>
        <w:rPr>
          <w:rFonts w:ascii="Arial" w:hAnsi="Arial" w:cs="Arial"/>
          <w:lang w:val="en-ZA"/>
        </w:rPr>
        <w:lastRenderedPageBreak/>
        <w:t>HC JANUARY</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E7044A" w:rsidRDefault="00E7044A" w:rsidP="000A5912">
      <w:pPr>
        <w:spacing w:line="360" w:lineRule="auto"/>
        <w:jc w:val="right"/>
        <w:rPr>
          <w:rFonts w:ascii="Arial" w:hAnsi="Arial" w:cs="Arial"/>
          <w:lang w:val="en-ZA"/>
        </w:rPr>
      </w:pPr>
    </w:p>
    <w:p w:rsidR="00E7044A" w:rsidRDefault="00E7044A" w:rsidP="000A5912">
      <w:pPr>
        <w:spacing w:line="360" w:lineRule="auto"/>
        <w:jc w:val="right"/>
        <w:rPr>
          <w:rFonts w:ascii="Arial" w:hAnsi="Arial" w:cs="Arial"/>
          <w:lang w:val="en-ZA"/>
        </w:rPr>
      </w:pPr>
    </w:p>
    <w:p w:rsidR="00E7044A" w:rsidRDefault="00E7044A" w:rsidP="000A5912">
      <w:pPr>
        <w:spacing w:line="360" w:lineRule="auto"/>
        <w:jc w:val="right"/>
        <w:rPr>
          <w:rFonts w:ascii="Arial" w:hAnsi="Arial" w:cs="Arial"/>
          <w:lang w:val="en-ZA"/>
        </w:rPr>
      </w:pPr>
    </w:p>
    <w:p w:rsidR="000002F0" w:rsidRPr="000A5912" w:rsidRDefault="000002F0" w:rsidP="000A5912">
      <w:pPr>
        <w:spacing w:line="360" w:lineRule="auto"/>
        <w:jc w:val="right"/>
        <w:rPr>
          <w:rFonts w:ascii="Arial" w:hAnsi="Arial" w:cs="Arial"/>
          <w:lang w:val="en-ZA"/>
        </w:rPr>
      </w:pP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2A0D50" w:rsidRDefault="002A0D50" w:rsidP="00176493">
      <w:pPr>
        <w:spacing w:line="360" w:lineRule="auto"/>
        <w:jc w:val="both"/>
        <w:rPr>
          <w:rFonts w:ascii="Arial" w:hAnsi="Arial" w:cs="Arial"/>
          <w:lang w:val="en-ZA"/>
        </w:rPr>
      </w:pPr>
      <w:r w:rsidRPr="00D70426">
        <w:rPr>
          <w:rFonts w:ascii="Arial" w:hAnsi="Arial" w:cs="Arial"/>
          <w:lang w:val="en-ZA"/>
        </w:rPr>
        <w:t>APPEARANCES</w:t>
      </w:r>
    </w:p>
    <w:p w:rsidR="00E7044A" w:rsidRDefault="00E7044A" w:rsidP="00176493">
      <w:pPr>
        <w:spacing w:line="360" w:lineRule="auto"/>
        <w:jc w:val="both"/>
        <w:rPr>
          <w:rFonts w:ascii="Arial" w:hAnsi="Arial" w:cs="Arial"/>
          <w:lang w:val="en-ZA"/>
        </w:rPr>
      </w:pPr>
    </w:p>
    <w:p w:rsidR="00E7044A" w:rsidRDefault="00E7044A" w:rsidP="00176493">
      <w:pPr>
        <w:spacing w:line="360" w:lineRule="auto"/>
        <w:jc w:val="both"/>
        <w:rPr>
          <w:rFonts w:ascii="Arial" w:hAnsi="Arial" w:cs="Arial"/>
          <w:lang w:val="en-ZA"/>
        </w:rPr>
      </w:pPr>
    </w:p>
    <w:p w:rsidR="00650C37" w:rsidRDefault="00650C37" w:rsidP="00176493">
      <w:pPr>
        <w:spacing w:line="360" w:lineRule="auto"/>
        <w:jc w:val="both"/>
        <w:rPr>
          <w:rFonts w:ascii="Arial" w:hAnsi="Arial" w:cs="Arial"/>
          <w:lang w:val="en-ZA"/>
        </w:rPr>
      </w:pPr>
    </w:p>
    <w:p w:rsidR="00650C37" w:rsidRPr="00D70426" w:rsidRDefault="00650C37" w:rsidP="00176493">
      <w:pPr>
        <w:spacing w:line="360" w:lineRule="auto"/>
        <w:jc w:val="both"/>
        <w:rPr>
          <w:rFonts w:ascii="Arial" w:hAnsi="Arial" w:cs="Arial"/>
          <w:lang w:val="en-ZA"/>
        </w:rPr>
      </w:pPr>
    </w:p>
    <w:p w:rsidR="008365DA" w:rsidRPr="00D70426" w:rsidRDefault="008365DA" w:rsidP="002A0D50">
      <w:pPr>
        <w:spacing w:line="360" w:lineRule="auto"/>
        <w:jc w:val="both"/>
        <w:rPr>
          <w:rFonts w:ascii="Arial" w:hAnsi="Arial" w:cs="Arial"/>
          <w:lang w:val="en-ZA"/>
        </w:rPr>
      </w:pPr>
    </w:p>
    <w:p w:rsidR="00A20B00" w:rsidRDefault="00650C37" w:rsidP="00A20B00">
      <w:pPr>
        <w:spacing w:line="360" w:lineRule="auto"/>
        <w:jc w:val="both"/>
        <w:rPr>
          <w:rFonts w:ascii="Arial" w:hAnsi="Arial" w:cs="Arial"/>
          <w:lang w:val="en-ZA"/>
        </w:rPr>
      </w:pPr>
      <w:r>
        <w:rPr>
          <w:rFonts w:ascii="Arial" w:hAnsi="Arial" w:cs="Arial"/>
          <w:lang w:val="en-ZA"/>
        </w:rPr>
        <w:t xml:space="preserve">For The </w:t>
      </w:r>
      <w:r w:rsidRPr="00D70426">
        <w:rPr>
          <w:rFonts w:ascii="Arial" w:hAnsi="Arial" w:cs="Arial"/>
          <w:lang w:val="en-ZA"/>
        </w:rPr>
        <w:t>Appellant:</w:t>
      </w:r>
      <w:r w:rsidRPr="00D70426">
        <w:rPr>
          <w:rFonts w:ascii="Arial" w:hAnsi="Arial" w:cs="Arial"/>
          <w:lang w:val="en-ZA"/>
        </w:rPr>
        <w:tab/>
      </w:r>
      <w:r w:rsidRPr="00D70426">
        <w:rPr>
          <w:rFonts w:ascii="Arial" w:hAnsi="Arial" w:cs="Arial"/>
          <w:lang w:val="en-ZA"/>
        </w:rPr>
        <w:tab/>
      </w:r>
      <w:r w:rsidR="005B2F63">
        <w:rPr>
          <w:rFonts w:ascii="Arial" w:hAnsi="Arial" w:cs="Arial"/>
          <w:lang w:val="en-ZA"/>
        </w:rPr>
        <w:tab/>
      </w:r>
      <w:r w:rsidR="005B2F63">
        <w:rPr>
          <w:rFonts w:ascii="Arial" w:hAnsi="Arial" w:cs="Arial"/>
          <w:lang w:val="en-ZA"/>
        </w:rPr>
        <w:tab/>
      </w:r>
      <w:r>
        <w:rPr>
          <w:rFonts w:ascii="Arial" w:hAnsi="Arial" w:cs="Arial"/>
          <w:lang w:val="en-ZA"/>
        </w:rPr>
        <w:t>Mr Gaweseb</w:t>
      </w:r>
    </w:p>
    <w:p w:rsidR="00650C37" w:rsidRDefault="005B2F63" w:rsidP="00A20B0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Of the </w:t>
      </w:r>
      <w:r w:rsidR="00650C37">
        <w:rPr>
          <w:rFonts w:ascii="Arial" w:hAnsi="Arial" w:cs="Arial"/>
          <w:lang w:val="en-ZA"/>
        </w:rPr>
        <w:t>Prosecutor General –Oshakati</w:t>
      </w:r>
    </w:p>
    <w:p w:rsidR="00650C37" w:rsidRDefault="00650C37" w:rsidP="00A20B00">
      <w:pPr>
        <w:spacing w:line="360" w:lineRule="auto"/>
        <w:jc w:val="both"/>
        <w:rPr>
          <w:rFonts w:ascii="Arial" w:hAnsi="Arial" w:cs="Arial"/>
          <w:lang w:val="en-ZA"/>
        </w:rPr>
      </w:pPr>
    </w:p>
    <w:p w:rsidR="00F06B4D" w:rsidRDefault="00650C37" w:rsidP="008B0835">
      <w:pPr>
        <w:spacing w:line="360" w:lineRule="auto"/>
        <w:ind w:left="2160" w:firstLine="720"/>
        <w:jc w:val="both"/>
        <w:rPr>
          <w:rFonts w:ascii="Arial" w:hAnsi="Arial" w:cs="Arial"/>
          <w:lang w:val="en-ZA"/>
        </w:rPr>
      </w:pPr>
      <w:r w:rsidRPr="00D70426">
        <w:rPr>
          <w:rFonts w:ascii="Arial" w:hAnsi="Arial" w:cs="Arial"/>
          <w:lang w:val="en-ZA"/>
        </w:rPr>
        <w:t xml:space="preserve"> </w:t>
      </w:r>
    </w:p>
    <w:p w:rsidR="00E7044A" w:rsidRDefault="00E7044A" w:rsidP="008B0835">
      <w:pPr>
        <w:spacing w:line="360" w:lineRule="auto"/>
        <w:ind w:left="2160" w:firstLine="720"/>
        <w:jc w:val="both"/>
        <w:rPr>
          <w:rFonts w:ascii="Arial" w:hAnsi="Arial" w:cs="Arial"/>
          <w:lang w:val="en-ZA"/>
        </w:rPr>
      </w:pPr>
    </w:p>
    <w:p w:rsidR="00E7044A" w:rsidRDefault="00E7044A" w:rsidP="008B0835">
      <w:pPr>
        <w:spacing w:line="360" w:lineRule="auto"/>
        <w:ind w:left="2160" w:firstLine="720"/>
        <w:jc w:val="both"/>
        <w:rPr>
          <w:rFonts w:ascii="Arial" w:hAnsi="Arial" w:cs="Arial"/>
          <w:lang w:val="en-ZA"/>
        </w:rPr>
      </w:pPr>
    </w:p>
    <w:p w:rsidR="00650C37" w:rsidRDefault="00650C37" w:rsidP="008B0835">
      <w:pPr>
        <w:spacing w:line="360" w:lineRule="auto"/>
        <w:ind w:left="2160" w:firstLine="720"/>
        <w:jc w:val="both"/>
        <w:rPr>
          <w:rFonts w:ascii="Arial" w:hAnsi="Arial" w:cs="Arial"/>
          <w:lang w:val="en-ZA"/>
        </w:rPr>
      </w:pPr>
    </w:p>
    <w:p w:rsidR="00650C37" w:rsidRDefault="00650C37" w:rsidP="008B0835">
      <w:pPr>
        <w:spacing w:line="360" w:lineRule="auto"/>
        <w:ind w:left="2160" w:firstLine="720"/>
        <w:jc w:val="both"/>
        <w:rPr>
          <w:rFonts w:ascii="Arial" w:hAnsi="Arial" w:cs="Arial"/>
          <w:lang w:val="en-ZA"/>
        </w:rPr>
      </w:pPr>
    </w:p>
    <w:p w:rsidR="00E7044A" w:rsidRDefault="00E7044A" w:rsidP="008B0835">
      <w:pPr>
        <w:spacing w:line="360" w:lineRule="auto"/>
        <w:ind w:left="2160" w:firstLine="720"/>
        <w:jc w:val="both"/>
        <w:rPr>
          <w:rFonts w:ascii="Arial" w:hAnsi="Arial" w:cs="Arial"/>
          <w:lang w:val="en-ZA"/>
        </w:rPr>
      </w:pPr>
    </w:p>
    <w:p w:rsidR="00E7044A" w:rsidRPr="00D70426" w:rsidRDefault="00E7044A" w:rsidP="008B0835">
      <w:pPr>
        <w:spacing w:line="360" w:lineRule="auto"/>
        <w:ind w:left="2160" w:firstLine="720"/>
        <w:jc w:val="both"/>
        <w:rPr>
          <w:rFonts w:ascii="Arial" w:hAnsi="Arial" w:cs="Arial"/>
          <w:lang w:val="en-ZA"/>
        </w:rPr>
      </w:pPr>
    </w:p>
    <w:p w:rsidR="00F06B4D" w:rsidRPr="00D70426" w:rsidRDefault="00F06B4D" w:rsidP="002A0D50">
      <w:pPr>
        <w:spacing w:line="360" w:lineRule="auto"/>
        <w:jc w:val="both"/>
        <w:rPr>
          <w:rFonts w:ascii="Arial" w:hAnsi="Arial" w:cs="Arial"/>
          <w:lang w:val="en-ZA"/>
        </w:rPr>
      </w:pPr>
    </w:p>
    <w:p w:rsidR="00F06B4D" w:rsidRDefault="005B2F63" w:rsidP="000002F0">
      <w:pPr>
        <w:spacing w:line="360" w:lineRule="auto"/>
        <w:jc w:val="both"/>
        <w:rPr>
          <w:rFonts w:ascii="Arial" w:hAnsi="Arial" w:cs="Arial"/>
          <w:lang w:val="en-ZA"/>
        </w:rPr>
      </w:pPr>
      <w:r>
        <w:rPr>
          <w:rFonts w:ascii="Arial" w:hAnsi="Arial" w:cs="Arial"/>
          <w:lang w:val="en-ZA"/>
        </w:rPr>
        <w:t>For The Respondent:</w:t>
      </w:r>
      <w:r>
        <w:rPr>
          <w:rFonts w:ascii="Arial" w:hAnsi="Arial" w:cs="Arial"/>
          <w:lang w:val="en-ZA"/>
        </w:rPr>
        <w:tab/>
      </w:r>
      <w:r>
        <w:rPr>
          <w:rFonts w:ascii="Arial" w:hAnsi="Arial" w:cs="Arial"/>
          <w:lang w:val="en-ZA"/>
        </w:rPr>
        <w:tab/>
      </w:r>
      <w:r>
        <w:rPr>
          <w:rFonts w:ascii="Arial" w:hAnsi="Arial" w:cs="Arial"/>
          <w:lang w:val="en-ZA"/>
        </w:rPr>
        <w:tab/>
      </w:r>
      <w:r w:rsidR="00650C37">
        <w:rPr>
          <w:rFonts w:ascii="Arial" w:hAnsi="Arial" w:cs="Arial"/>
          <w:lang w:val="en-ZA"/>
        </w:rPr>
        <w:t xml:space="preserve">Mr Greyling </w:t>
      </w:r>
    </w:p>
    <w:p w:rsidR="00650C37" w:rsidRPr="00D70426" w:rsidRDefault="005B2F63" w:rsidP="000002F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650C37">
        <w:rPr>
          <w:rFonts w:ascii="Arial" w:hAnsi="Arial" w:cs="Arial"/>
          <w:lang w:val="en-ZA"/>
        </w:rPr>
        <w:t>Of Jan Greyling &amp; Associates</w:t>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12"/>
      <w:headerReference w:type="default" r:id="rId13"/>
      <w:headerReference w:type="first" r:id="rId14"/>
      <w:footerReference w:type="first" r:id="rId15"/>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14" w:rsidRDefault="00501114">
      <w:r>
        <w:separator/>
      </w:r>
    </w:p>
  </w:endnote>
  <w:endnote w:type="continuationSeparator" w:id="0">
    <w:p w:rsidR="00501114" w:rsidRDefault="0050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38911"/>
      <w:docPartObj>
        <w:docPartGallery w:val="Page Numbers (Bottom of Page)"/>
        <w:docPartUnique/>
      </w:docPartObj>
    </w:sdtPr>
    <w:sdtEndPr>
      <w:rPr>
        <w:noProof/>
      </w:rPr>
    </w:sdtEndPr>
    <w:sdtContent>
      <w:p w:rsidR="0051384D" w:rsidRDefault="0051384D">
        <w:pPr>
          <w:pStyle w:val="Footer"/>
          <w:jc w:val="right"/>
        </w:pPr>
        <w:r>
          <w:fldChar w:fldCharType="begin"/>
        </w:r>
        <w:r>
          <w:instrText xml:space="preserve"> PAGE   \* MERGEFORMAT </w:instrText>
        </w:r>
        <w:r>
          <w:fldChar w:fldCharType="separate"/>
        </w:r>
        <w:r w:rsidR="00A26700">
          <w:rPr>
            <w:noProof/>
          </w:rPr>
          <w:t>1</w:t>
        </w:r>
        <w:r>
          <w:rPr>
            <w:noProof/>
          </w:rPr>
          <w:fldChar w:fldCharType="end"/>
        </w:r>
      </w:p>
    </w:sdtContent>
  </w:sdt>
  <w:p w:rsidR="0051384D" w:rsidRDefault="0051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14" w:rsidRDefault="00501114">
      <w:r>
        <w:separator/>
      </w:r>
    </w:p>
  </w:footnote>
  <w:footnote w:type="continuationSeparator" w:id="0">
    <w:p w:rsidR="00501114" w:rsidRDefault="00501114">
      <w:r>
        <w:continuationSeparator/>
      </w:r>
    </w:p>
  </w:footnote>
  <w:footnote w:id="1">
    <w:p w:rsidR="001F1480" w:rsidRPr="001F1480" w:rsidRDefault="001F1480">
      <w:pPr>
        <w:pStyle w:val="FootnoteText"/>
        <w:rPr>
          <w:lang w:val="en-ZA"/>
        </w:rPr>
      </w:pPr>
      <w:r>
        <w:rPr>
          <w:rStyle w:val="FootnoteReference"/>
        </w:rPr>
        <w:footnoteRef/>
      </w:r>
      <w:r>
        <w:t xml:space="preserve"> </w:t>
      </w:r>
      <w:r>
        <w:rPr>
          <w:lang w:val="en-ZA"/>
        </w:rPr>
        <w:t>CC37/2008 Delivered on 22 January 2010</w:t>
      </w:r>
    </w:p>
  </w:footnote>
  <w:footnote w:id="2">
    <w:p w:rsidR="001F1480" w:rsidRPr="00C87645" w:rsidRDefault="001F1480" w:rsidP="001F1480">
      <w:pPr>
        <w:pStyle w:val="FootnoteText"/>
        <w:rPr>
          <w:lang w:val="en-ZA"/>
        </w:rPr>
      </w:pPr>
      <w:r w:rsidRPr="00E7044A">
        <w:rPr>
          <w:rStyle w:val="FootnoteReference"/>
          <w:i/>
        </w:rPr>
        <w:footnoteRef/>
      </w:r>
      <w:r w:rsidRPr="00E7044A">
        <w:rPr>
          <w:i/>
        </w:rPr>
        <w:t xml:space="preserve"> </w:t>
      </w:r>
      <w:r w:rsidR="00650C37">
        <w:rPr>
          <w:i/>
          <w:lang w:val="en-ZA"/>
        </w:rPr>
        <w:t>S</w:t>
      </w:r>
      <w:r w:rsidRPr="00E7044A">
        <w:rPr>
          <w:i/>
          <w:lang w:val="en-ZA"/>
        </w:rPr>
        <w:t xml:space="preserve"> v Manona</w:t>
      </w:r>
      <w:r>
        <w:rPr>
          <w:lang w:val="en-ZA"/>
        </w:rPr>
        <w:t>, 2001 (1) SACR 426 TDK p427F</w:t>
      </w:r>
    </w:p>
  </w:footnote>
  <w:footnote w:id="3">
    <w:p w:rsidR="002060AA" w:rsidRPr="002060AA" w:rsidRDefault="002060AA">
      <w:pPr>
        <w:pStyle w:val="FootnoteText"/>
        <w:rPr>
          <w:lang w:val="en-ZA"/>
        </w:rPr>
      </w:pPr>
      <w:r>
        <w:rPr>
          <w:rStyle w:val="FootnoteReference"/>
        </w:rPr>
        <w:footnoteRef/>
      </w:r>
      <w:r>
        <w:t xml:space="preserve"> </w:t>
      </w:r>
      <w:r w:rsidRPr="00E7044A">
        <w:rPr>
          <w:rFonts w:ascii="Arial" w:hAnsi="Arial" w:cs="Arial"/>
          <w:i/>
          <w:lang w:val="en-ZA"/>
        </w:rPr>
        <w:t>S v Mpetha</w:t>
      </w:r>
      <w:r>
        <w:rPr>
          <w:rFonts w:ascii="Arial" w:hAnsi="Arial" w:cs="Arial"/>
          <w:lang w:val="en-ZA"/>
        </w:rPr>
        <w:t xml:space="preserve"> and Others, supra</w:t>
      </w:r>
      <w:r w:rsidR="00152495">
        <w:rPr>
          <w:rFonts w:ascii="Arial" w:hAnsi="Arial" w:cs="Arial"/>
          <w:lang w:val="en-ZA"/>
        </w:rPr>
        <w:t xml:space="preserve"> at page 265 “</w:t>
      </w:r>
      <w:r w:rsidR="00152495" w:rsidRPr="00152495">
        <w:rPr>
          <w:rFonts w:ascii="Arial" w:hAnsi="Arial" w:cs="Arial"/>
          <w:lang w:val="en-ZA"/>
        </w:rPr>
        <w:t>Before credibility can play a role at all it is a very high degree of untrust</w:t>
      </w:r>
      <w:r w:rsidR="00152495">
        <w:rPr>
          <w:rFonts w:ascii="Arial" w:hAnsi="Arial" w:cs="Arial"/>
          <w:lang w:val="en-ZA"/>
        </w:rPr>
        <w:t>worthiness that has to be shown”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A26700">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0DA0"/>
    <w:rsid w:val="00006879"/>
    <w:rsid w:val="000122F4"/>
    <w:rsid w:val="00033F3F"/>
    <w:rsid w:val="00090F03"/>
    <w:rsid w:val="000957B8"/>
    <w:rsid w:val="000A5912"/>
    <w:rsid w:val="000B0DFE"/>
    <w:rsid w:val="000D54B7"/>
    <w:rsid w:val="001111F5"/>
    <w:rsid w:val="00114B13"/>
    <w:rsid w:val="0013137F"/>
    <w:rsid w:val="00143F36"/>
    <w:rsid w:val="0014662D"/>
    <w:rsid w:val="0015092B"/>
    <w:rsid w:val="00152495"/>
    <w:rsid w:val="00153845"/>
    <w:rsid w:val="00176493"/>
    <w:rsid w:val="00183E3C"/>
    <w:rsid w:val="0018649E"/>
    <w:rsid w:val="001961DF"/>
    <w:rsid w:val="001C64B4"/>
    <w:rsid w:val="001E4660"/>
    <w:rsid w:val="001F1480"/>
    <w:rsid w:val="002060AA"/>
    <w:rsid w:val="00210744"/>
    <w:rsid w:val="002165BC"/>
    <w:rsid w:val="0022612C"/>
    <w:rsid w:val="00227813"/>
    <w:rsid w:val="00227DE5"/>
    <w:rsid w:val="00250179"/>
    <w:rsid w:val="00275BF7"/>
    <w:rsid w:val="00291BBA"/>
    <w:rsid w:val="002A0D50"/>
    <w:rsid w:val="002A6422"/>
    <w:rsid w:val="002A79D0"/>
    <w:rsid w:val="002B7659"/>
    <w:rsid w:val="002D2A47"/>
    <w:rsid w:val="002E2CCF"/>
    <w:rsid w:val="002E76CF"/>
    <w:rsid w:val="003209A3"/>
    <w:rsid w:val="00323AAF"/>
    <w:rsid w:val="00340732"/>
    <w:rsid w:val="003442F2"/>
    <w:rsid w:val="00351D1B"/>
    <w:rsid w:val="00376D10"/>
    <w:rsid w:val="0039535C"/>
    <w:rsid w:val="003955C6"/>
    <w:rsid w:val="003A7CBC"/>
    <w:rsid w:val="003B0AE9"/>
    <w:rsid w:val="003B4A8D"/>
    <w:rsid w:val="003B6937"/>
    <w:rsid w:val="003C089D"/>
    <w:rsid w:val="003D3C07"/>
    <w:rsid w:val="003E7ADD"/>
    <w:rsid w:val="00402060"/>
    <w:rsid w:val="004126FE"/>
    <w:rsid w:val="004251BB"/>
    <w:rsid w:val="00484ACA"/>
    <w:rsid w:val="004C27B0"/>
    <w:rsid w:val="004C4EC1"/>
    <w:rsid w:val="004C62C8"/>
    <w:rsid w:val="004D7768"/>
    <w:rsid w:val="004F29C0"/>
    <w:rsid w:val="004F6EDD"/>
    <w:rsid w:val="00501114"/>
    <w:rsid w:val="0050251A"/>
    <w:rsid w:val="0051384D"/>
    <w:rsid w:val="005223B2"/>
    <w:rsid w:val="00532AFC"/>
    <w:rsid w:val="00535C53"/>
    <w:rsid w:val="00551AE8"/>
    <w:rsid w:val="005548FF"/>
    <w:rsid w:val="005632C1"/>
    <w:rsid w:val="005A6E59"/>
    <w:rsid w:val="005A6E94"/>
    <w:rsid w:val="005B2F63"/>
    <w:rsid w:val="005B46A4"/>
    <w:rsid w:val="005E14DB"/>
    <w:rsid w:val="0061029A"/>
    <w:rsid w:val="00610342"/>
    <w:rsid w:val="00612F96"/>
    <w:rsid w:val="00635D4F"/>
    <w:rsid w:val="00636BDA"/>
    <w:rsid w:val="00650C37"/>
    <w:rsid w:val="006516E3"/>
    <w:rsid w:val="006652E7"/>
    <w:rsid w:val="00685321"/>
    <w:rsid w:val="006A0BB5"/>
    <w:rsid w:val="006A2079"/>
    <w:rsid w:val="006C0FD3"/>
    <w:rsid w:val="006D037E"/>
    <w:rsid w:val="006E137F"/>
    <w:rsid w:val="006F1710"/>
    <w:rsid w:val="0070636C"/>
    <w:rsid w:val="00713627"/>
    <w:rsid w:val="00722E1F"/>
    <w:rsid w:val="00743690"/>
    <w:rsid w:val="00752183"/>
    <w:rsid w:val="00764EF9"/>
    <w:rsid w:val="00781FD1"/>
    <w:rsid w:val="007871CA"/>
    <w:rsid w:val="007A26BB"/>
    <w:rsid w:val="007A47F4"/>
    <w:rsid w:val="007A5167"/>
    <w:rsid w:val="007C5DB3"/>
    <w:rsid w:val="007D3122"/>
    <w:rsid w:val="007D53AA"/>
    <w:rsid w:val="007E68BC"/>
    <w:rsid w:val="007F1682"/>
    <w:rsid w:val="00811B5C"/>
    <w:rsid w:val="008250DF"/>
    <w:rsid w:val="008267BB"/>
    <w:rsid w:val="008365DA"/>
    <w:rsid w:val="0084775E"/>
    <w:rsid w:val="0084796E"/>
    <w:rsid w:val="00851D17"/>
    <w:rsid w:val="00882112"/>
    <w:rsid w:val="0089757C"/>
    <w:rsid w:val="008B0835"/>
    <w:rsid w:val="008C6C33"/>
    <w:rsid w:val="008C7108"/>
    <w:rsid w:val="008D1A9E"/>
    <w:rsid w:val="008E2430"/>
    <w:rsid w:val="008E5EE0"/>
    <w:rsid w:val="009002E1"/>
    <w:rsid w:val="00903A90"/>
    <w:rsid w:val="0090679E"/>
    <w:rsid w:val="009306D9"/>
    <w:rsid w:val="00947462"/>
    <w:rsid w:val="009659EE"/>
    <w:rsid w:val="009A4B5A"/>
    <w:rsid w:val="009C2CD3"/>
    <w:rsid w:val="009D3BE4"/>
    <w:rsid w:val="009D580B"/>
    <w:rsid w:val="009D5AD4"/>
    <w:rsid w:val="009D72A6"/>
    <w:rsid w:val="009E41C3"/>
    <w:rsid w:val="009E5B76"/>
    <w:rsid w:val="00A20B00"/>
    <w:rsid w:val="00A26700"/>
    <w:rsid w:val="00A31168"/>
    <w:rsid w:val="00A42045"/>
    <w:rsid w:val="00A437AA"/>
    <w:rsid w:val="00A74E48"/>
    <w:rsid w:val="00A75037"/>
    <w:rsid w:val="00A879B3"/>
    <w:rsid w:val="00A9073F"/>
    <w:rsid w:val="00AA385F"/>
    <w:rsid w:val="00AB5966"/>
    <w:rsid w:val="00AC7528"/>
    <w:rsid w:val="00AD5F0B"/>
    <w:rsid w:val="00AF0B28"/>
    <w:rsid w:val="00B05FB4"/>
    <w:rsid w:val="00B1228F"/>
    <w:rsid w:val="00B17592"/>
    <w:rsid w:val="00B35F5F"/>
    <w:rsid w:val="00B6056C"/>
    <w:rsid w:val="00B62CA9"/>
    <w:rsid w:val="00B90DCD"/>
    <w:rsid w:val="00BC4161"/>
    <w:rsid w:val="00BD74E9"/>
    <w:rsid w:val="00C05B05"/>
    <w:rsid w:val="00C06675"/>
    <w:rsid w:val="00C420C5"/>
    <w:rsid w:val="00C421EA"/>
    <w:rsid w:val="00C852D1"/>
    <w:rsid w:val="00C87645"/>
    <w:rsid w:val="00C90A10"/>
    <w:rsid w:val="00C97786"/>
    <w:rsid w:val="00CA4466"/>
    <w:rsid w:val="00CB465F"/>
    <w:rsid w:val="00CE0DD9"/>
    <w:rsid w:val="00D07FA6"/>
    <w:rsid w:val="00D17803"/>
    <w:rsid w:val="00D17A51"/>
    <w:rsid w:val="00D2207E"/>
    <w:rsid w:val="00D24A1F"/>
    <w:rsid w:val="00D531D2"/>
    <w:rsid w:val="00D6066C"/>
    <w:rsid w:val="00D70426"/>
    <w:rsid w:val="00D81B6E"/>
    <w:rsid w:val="00DC5021"/>
    <w:rsid w:val="00DD11BC"/>
    <w:rsid w:val="00DF2D40"/>
    <w:rsid w:val="00E06182"/>
    <w:rsid w:val="00E07C65"/>
    <w:rsid w:val="00E13B0E"/>
    <w:rsid w:val="00E1492C"/>
    <w:rsid w:val="00E2681A"/>
    <w:rsid w:val="00E7044A"/>
    <w:rsid w:val="00E7716C"/>
    <w:rsid w:val="00E8497C"/>
    <w:rsid w:val="00E874F2"/>
    <w:rsid w:val="00E91EFB"/>
    <w:rsid w:val="00EB32C4"/>
    <w:rsid w:val="00EC5C32"/>
    <w:rsid w:val="00EC5F8C"/>
    <w:rsid w:val="00EE7376"/>
    <w:rsid w:val="00EF50D2"/>
    <w:rsid w:val="00EF62F8"/>
    <w:rsid w:val="00F02BC4"/>
    <w:rsid w:val="00F06B4D"/>
    <w:rsid w:val="00F25730"/>
    <w:rsid w:val="00F26546"/>
    <w:rsid w:val="00F620C0"/>
    <w:rsid w:val="00F622A6"/>
    <w:rsid w:val="00F75C33"/>
    <w:rsid w:val="00FB5816"/>
    <w:rsid w:val="00FB6413"/>
    <w:rsid w:val="00FC2F75"/>
    <w:rsid w:val="00FC55EE"/>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0EDBA2-1115-4B78-B7E3-5A7A4356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uiPriority w:val="99"/>
    <w:rsid w:val="00C421EA"/>
    <w:pPr>
      <w:tabs>
        <w:tab w:val="center" w:pos="4513"/>
        <w:tab w:val="right" w:pos="9026"/>
      </w:tabs>
    </w:pPr>
  </w:style>
  <w:style w:type="character" w:customStyle="1" w:styleId="FooterChar">
    <w:name w:val="Footer Char"/>
    <w:link w:val="Footer"/>
    <w:uiPriority w:val="99"/>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2017-03-02T18:30:00+00:00</Judgment_x0020_Date>
    <Year xmlns="a036617c-f1b0-4353-ab0a-456b3885ee3b">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C7D3-10EF-4AE7-AAF5-DC1E059ED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7869F-3CD6-47CA-825A-9B267434B1B7}">
  <ds:schemaRefs>
    <ds:schemaRef ds:uri="http://schemas.microsoft.com/sharepoint/v3/contenttype/forms"/>
  </ds:schemaRefs>
</ds:datastoreItem>
</file>

<file path=customXml/itemProps3.xml><?xml version="1.0" encoding="utf-8"?>
<ds:datastoreItem xmlns:ds="http://schemas.openxmlformats.org/officeDocument/2006/customXml" ds:itemID="{71EF4C18-CACC-40D0-AC32-87368FBC0C87}">
  <ds:schemaRefs>
    <ds:schemaRef ds:uri="http://schemas.microsoft.com/office/2006/metadata/properties"/>
    <ds:schemaRef ds:uri="http://schemas.microsoft.com/office/infopath/2007/PartnerControls"/>
    <ds:schemaRef ds:uri="17a0f4bd-1162-49ac-b85f-dfe96a90bc01"/>
    <ds:schemaRef ds:uri="a036617c-f1b0-4353-ab0a-456b3885ee3b"/>
  </ds:schemaRefs>
</ds:datastoreItem>
</file>

<file path=customXml/itemProps4.xml><?xml version="1.0" encoding="utf-8"?>
<ds:datastoreItem xmlns:ds="http://schemas.openxmlformats.org/officeDocument/2006/customXml" ds:itemID="{98CB8320-AD2C-4C5F-8ECC-AE3A60DF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W P. Oosthuizen</cp:lastModifiedBy>
  <cp:revision>2</cp:revision>
  <cp:lastPrinted>2017-03-08T12:33:00Z</cp:lastPrinted>
  <dcterms:created xsi:type="dcterms:W3CDTF">2017-05-23T09:51:00Z</dcterms:created>
  <dcterms:modified xsi:type="dcterms:W3CDTF">2017-05-23T09:51:00Z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