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2A" w:rsidRPr="00B95415" w:rsidRDefault="0072052A" w:rsidP="0072052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415">
        <w:rPr>
          <w:rFonts w:ascii="Arial" w:hAnsi="Arial" w:cs="Arial"/>
          <w:b/>
          <w:sz w:val="24"/>
          <w:szCs w:val="24"/>
        </w:rPr>
        <w:t>REPUBLIC OF NAMIBIA</w:t>
      </w:r>
    </w:p>
    <w:p w:rsidR="0072052A" w:rsidRPr="00B876E9" w:rsidRDefault="0072052A" w:rsidP="0072052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B71D1C1" wp14:editId="6888C828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2A" w:rsidRPr="00B876E9" w:rsidRDefault="0072052A" w:rsidP="004E181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>IN THE HIGH COURT OF NAMIBIA, NORTHERN LOCAL DIVISION, OSHAKATI</w:t>
      </w:r>
    </w:p>
    <w:p w:rsidR="0072052A" w:rsidRDefault="0072052A" w:rsidP="0072052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 xml:space="preserve">REVIEW JUDGMENT </w:t>
      </w:r>
    </w:p>
    <w:p w:rsidR="00D4267B" w:rsidRPr="00B876E9" w:rsidRDefault="00D4267B" w:rsidP="0072052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“ANNEXURE 11”</w:t>
      </w:r>
      <w:bookmarkStart w:id="0" w:name="_GoBack"/>
      <w:bookmarkEnd w:id="0"/>
    </w:p>
    <w:p w:rsidR="0072052A" w:rsidRPr="00EA634B" w:rsidRDefault="0072052A" w:rsidP="0072052A">
      <w:pPr>
        <w:spacing w:line="254" w:lineRule="auto"/>
        <w:rPr>
          <w:lang w:val="en-ZA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76"/>
        <w:gridCol w:w="330"/>
        <w:gridCol w:w="5601"/>
      </w:tblGrid>
      <w:tr w:rsidR="0072052A" w:rsidRPr="00EA634B" w:rsidTr="00A06D87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72052A" w:rsidRPr="00EA634B" w:rsidRDefault="0072052A" w:rsidP="004E181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proofErr w:type="spellStart"/>
            <w:r w:rsidR="00416AD8">
              <w:rPr>
                <w:rFonts w:ascii="Arial" w:hAnsi="Arial" w:cs="Arial"/>
                <w:i/>
                <w:sz w:val="24"/>
                <w:szCs w:val="24"/>
                <w:lang w:val="en-ZA"/>
              </w:rPr>
              <w:t>Setson</w:t>
            </w:r>
            <w:proofErr w:type="spellEnd"/>
            <w:r w:rsidR="00416AD8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Jelly Abraham </w:t>
            </w:r>
            <w:r w:rsidR="004E181B">
              <w:rPr>
                <w:rFonts w:ascii="Arial" w:hAnsi="Arial" w:cs="Arial"/>
                <w:i/>
                <w:sz w:val="24"/>
                <w:szCs w:val="24"/>
                <w:lang w:val="en-ZA"/>
              </w:rPr>
              <w:t>&amp; 2 o</w:t>
            </w:r>
            <w:r w:rsidR="00416AD8">
              <w:rPr>
                <w:rFonts w:ascii="Arial" w:hAnsi="Arial" w:cs="Arial"/>
                <w:i/>
                <w:sz w:val="24"/>
                <w:szCs w:val="24"/>
                <w:lang w:val="en-ZA"/>
              </w:rPr>
              <w:t>thers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EA634B" w:rsidRDefault="0072052A" w:rsidP="00A06D87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0C80">
              <w:rPr>
                <w:rFonts w:ascii="Arial" w:hAnsi="Arial" w:cs="Arial"/>
                <w:b/>
                <w:sz w:val="24"/>
                <w:szCs w:val="24"/>
                <w:lang w:val="en-ZA"/>
              </w:rPr>
              <w:t>CR No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4E181B">
              <w:rPr>
                <w:rFonts w:ascii="Arial" w:hAnsi="Arial" w:cs="Arial"/>
                <w:sz w:val="24"/>
                <w:szCs w:val="24"/>
                <w:lang w:val="en-ZA"/>
              </w:rPr>
              <w:t>45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</w:p>
          <w:p w:rsidR="0072052A" w:rsidRPr="00EA634B" w:rsidRDefault="0072052A" w:rsidP="00A06D87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Case No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: </w:t>
            </w:r>
            <w:r w:rsidR="00416AD8">
              <w:rPr>
                <w:rFonts w:ascii="Arial" w:hAnsi="Arial" w:cs="Arial"/>
                <w:sz w:val="24"/>
                <w:szCs w:val="24"/>
                <w:lang w:val="en-ZA"/>
              </w:rPr>
              <w:t>OPU-CRM-1014/2020</w:t>
            </w:r>
          </w:p>
          <w:p w:rsidR="0072052A" w:rsidRPr="00EA634B" w:rsidRDefault="0072052A" w:rsidP="00A06D87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72052A" w:rsidRPr="00EA634B" w:rsidTr="00A06D87"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A" w:rsidRPr="00EA634B" w:rsidRDefault="0072052A" w:rsidP="00A06D87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72052A" w:rsidRPr="00EA634B" w:rsidTr="00A06D87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4E181B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Salionga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J</w:t>
            </w:r>
          </w:p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</w:p>
          <w:p w:rsidR="0072052A" w:rsidRPr="00EA634B" w:rsidRDefault="00343C79" w:rsidP="00A06D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25</w:t>
            </w:r>
            <w:r w:rsidR="00416AD8">
              <w:rPr>
                <w:rFonts w:ascii="Arial" w:hAnsi="Arial" w:cs="Arial"/>
                <w:sz w:val="24"/>
                <w:szCs w:val="24"/>
                <w:lang w:val="en-ZA"/>
              </w:rPr>
              <w:t xml:space="preserve"> August</w:t>
            </w:r>
            <w:r w:rsidR="0072052A">
              <w:rPr>
                <w:rFonts w:ascii="Arial" w:hAnsi="Arial" w:cs="Arial"/>
                <w:sz w:val="24"/>
                <w:szCs w:val="24"/>
                <w:lang w:val="en-ZA"/>
              </w:rPr>
              <w:t xml:space="preserve"> 2020</w:t>
            </w:r>
          </w:p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72052A" w:rsidRPr="00EA634B" w:rsidTr="00A06D8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</w:t>
            </w:r>
            <w:r w:rsidR="00416AD8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Abraham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(CR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4E181B">
              <w:rPr>
                <w:rFonts w:ascii="Arial" w:hAnsi="Arial" w:cs="Arial"/>
                <w:sz w:val="24"/>
                <w:szCs w:val="24"/>
                <w:lang w:val="en-ZA"/>
              </w:rPr>
              <w:t>45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 [20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  <w:r w:rsidR="00343C79">
              <w:rPr>
                <w:rFonts w:ascii="Arial" w:hAnsi="Arial" w:cs="Arial"/>
                <w:sz w:val="24"/>
                <w:szCs w:val="24"/>
                <w:lang w:val="en-ZA"/>
              </w:rPr>
              <w:t>114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 w:rsidR="00343C79">
              <w:rPr>
                <w:rFonts w:ascii="Arial" w:hAnsi="Arial" w:cs="Arial"/>
                <w:sz w:val="24"/>
                <w:szCs w:val="24"/>
                <w:lang w:val="en-ZA"/>
              </w:rPr>
              <w:t xml:space="preserve">25 </w:t>
            </w:r>
            <w:r w:rsidR="00416AD8">
              <w:rPr>
                <w:rFonts w:ascii="Arial" w:hAnsi="Arial" w:cs="Arial"/>
                <w:sz w:val="24"/>
                <w:szCs w:val="24"/>
                <w:lang w:val="en-ZA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2020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72052A" w:rsidRPr="00EA634B" w:rsidTr="00A06D8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EA634B" w:rsidRDefault="0072052A" w:rsidP="00A06D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72052A" w:rsidRDefault="0072052A" w:rsidP="004E181B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The conviction</w:t>
            </w:r>
            <w:r w:rsidR="00416AD8">
              <w:rPr>
                <w:rFonts w:ascii="Arial" w:hAnsi="Arial" w:cs="Arial"/>
                <w:sz w:val="24"/>
                <w:szCs w:val="24"/>
                <w:lang w:val="en-ZA"/>
              </w:rPr>
              <w:t xml:space="preserve"> and sentence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416AD8">
              <w:rPr>
                <w:rFonts w:ascii="Arial" w:hAnsi="Arial" w:cs="Arial"/>
                <w:sz w:val="24"/>
                <w:szCs w:val="24"/>
                <w:lang w:val="en-ZA"/>
              </w:rPr>
              <w:t>of housebreaking with intent to steal and theft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is set aside;</w:t>
            </w:r>
          </w:p>
          <w:p w:rsidR="004E181B" w:rsidRPr="004E181B" w:rsidRDefault="004E181B" w:rsidP="004E181B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9256D1" w:rsidRDefault="0072052A" w:rsidP="009256D1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256D1">
              <w:rPr>
                <w:rFonts w:ascii="Arial" w:hAnsi="Arial" w:cs="Arial"/>
                <w:sz w:val="24"/>
                <w:szCs w:val="24"/>
                <w:lang w:val="en-ZA"/>
              </w:rPr>
              <w:t xml:space="preserve">The </w:t>
            </w:r>
            <w:r w:rsidR="009256D1" w:rsidRPr="009256D1">
              <w:rPr>
                <w:rFonts w:ascii="Arial" w:hAnsi="Arial" w:cs="Arial"/>
                <w:sz w:val="24"/>
                <w:szCs w:val="24"/>
                <w:lang w:val="en-ZA"/>
              </w:rPr>
              <w:t>matter is remitted to the magistrate to enter a plea of not guilty in terms of section 113 of the Criminal Procedure Act, Act 51 of 1977</w:t>
            </w:r>
            <w:r w:rsidR="009256D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0363C5">
              <w:rPr>
                <w:rFonts w:ascii="Arial" w:hAnsi="Arial" w:cs="Arial"/>
                <w:sz w:val="24"/>
                <w:szCs w:val="24"/>
                <w:lang w:val="en-ZA"/>
              </w:rPr>
              <w:t>and proceed with the trial</w:t>
            </w:r>
            <w:r w:rsidR="004E181B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72052A" w:rsidRPr="00EA634B" w:rsidRDefault="0072052A" w:rsidP="004E181B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256D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</w:tc>
      </w:tr>
      <w:tr w:rsidR="0072052A" w:rsidRPr="00F07E31" w:rsidTr="00A06D87">
        <w:tc>
          <w:tcPr>
            <w:tcW w:w="10207" w:type="dxa"/>
            <w:gridSpan w:val="3"/>
          </w:tcPr>
          <w:p w:rsidR="0072052A" w:rsidRPr="0047521D" w:rsidRDefault="0072052A" w:rsidP="00A06D8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t>Reasons for the order</w:t>
            </w:r>
          </w:p>
        </w:tc>
      </w:tr>
      <w:tr w:rsidR="0072052A" w:rsidRPr="00EA634B" w:rsidTr="00A06D8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A" w:rsidRPr="004E181B" w:rsidRDefault="004E181B" w:rsidP="004E181B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 (SALIONGA J concurring):</w:t>
            </w:r>
          </w:p>
          <w:p w:rsidR="0072052A" w:rsidRDefault="0072052A" w:rsidP="009256D1">
            <w:pPr>
              <w:spacing w:line="360" w:lineRule="auto"/>
              <w:ind w:left="754" w:hanging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[1]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The</w:t>
            </w:r>
            <w:r w:rsidR="009256D1">
              <w:rPr>
                <w:rFonts w:ascii="Arial" w:hAnsi="Arial" w:cs="Arial"/>
                <w:sz w:val="24"/>
                <w:szCs w:val="24"/>
                <w:lang w:val="en-ZA"/>
              </w:rPr>
              <w:t xml:space="preserve"> three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accused </w:t>
            </w:r>
            <w:r w:rsidR="009256D1">
              <w:rPr>
                <w:rFonts w:ascii="Arial" w:hAnsi="Arial" w:cs="Arial"/>
                <w:sz w:val="24"/>
                <w:szCs w:val="24"/>
                <w:lang w:val="en-ZA"/>
              </w:rPr>
              <w:t>pleaded guilty to a charge of housebreaking with intent to steal and      theft. They were questi</w:t>
            </w:r>
            <w:r w:rsidR="004E181B">
              <w:rPr>
                <w:rFonts w:ascii="Arial" w:hAnsi="Arial" w:cs="Arial"/>
                <w:sz w:val="24"/>
                <w:szCs w:val="24"/>
                <w:lang w:val="en-ZA"/>
              </w:rPr>
              <w:t>oned in terms of section 112(1</w:t>
            </w:r>
            <w:proofErr w:type="gramStart"/>
            <w:r w:rsidR="004E181B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  <w:r w:rsidR="009256D1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proofErr w:type="gramEnd"/>
            <w:r w:rsidR="009256D1">
              <w:rPr>
                <w:rFonts w:ascii="Arial" w:hAnsi="Arial" w:cs="Arial"/>
                <w:sz w:val="24"/>
                <w:szCs w:val="24"/>
                <w:lang w:val="en-ZA"/>
              </w:rPr>
              <w:t>b) of the CPA. They admitted all the elements of the crime but for the element of unlawfulness.</w:t>
            </w:r>
          </w:p>
          <w:p w:rsidR="0072052A" w:rsidRDefault="0072052A" w:rsidP="00A06D8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9256D1">
              <w:rPr>
                <w:rFonts w:ascii="Arial" w:hAnsi="Arial" w:cs="Arial"/>
                <w:sz w:val="24"/>
                <w:szCs w:val="24"/>
                <w:lang w:val="en-ZA"/>
              </w:rPr>
              <w:t>The record of proceedings reflect amongst others as follows in this regard:</w:t>
            </w:r>
          </w:p>
          <w:p w:rsidR="00123BD3" w:rsidRPr="00123BD3" w:rsidRDefault="00123BD3" w:rsidP="00A06D87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</w:t>
            </w:r>
            <w:r w:rsidRPr="00123BD3">
              <w:rPr>
                <w:rFonts w:ascii="Arial" w:hAnsi="Arial" w:cs="Arial"/>
                <w:lang w:val="en-ZA"/>
              </w:rPr>
              <w:t>‘Q:   Did you knew (sic) at the time that your conduct was wrongful and unlawful?</w:t>
            </w:r>
          </w:p>
          <w:p w:rsidR="00123BD3" w:rsidRPr="00123BD3" w:rsidRDefault="00123BD3" w:rsidP="00A06D87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 w:rsidRPr="00123BD3">
              <w:rPr>
                <w:rFonts w:ascii="Arial" w:hAnsi="Arial" w:cs="Arial"/>
                <w:lang w:val="en-ZA"/>
              </w:rPr>
              <w:t xml:space="preserve">           </w:t>
            </w:r>
            <w:r>
              <w:rPr>
                <w:rFonts w:ascii="Arial" w:hAnsi="Arial" w:cs="Arial"/>
                <w:lang w:val="en-ZA"/>
              </w:rPr>
              <w:t xml:space="preserve">     </w:t>
            </w:r>
            <w:r w:rsidRPr="00123BD3">
              <w:rPr>
                <w:rFonts w:ascii="Arial" w:hAnsi="Arial" w:cs="Arial"/>
                <w:lang w:val="en-ZA"/>
              </w:rPr>
              <w:t xml:space="preserve"> A:   No.</w:t>
            </w:r>
          </w:p>
          <w:p w:rsidR="00123BD3" w:rsidRPr="00123BD3" w:rsidRDefault="00123BD3" w:rsidP="00A06D87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 w:rsidRPr="00123BD3">
              <w:rPr>
                <w:rFonts w:ascii="Arial" w:hAnsi="Arial" w:cs="Arial"/>
                <w:lang w:val="en-ZA"/>
              </w:rPr>
              <w:t xml:space="preserve">           </w:t>
            </w:r>
            <w:r>
              <w:rPr>
                <w:rFonts w:ascii="Arial" w:hAnsi="Arial" w:cs="Arial"/>
                <w:lang w:val="en-ZA"/>
              </w:rPr>
              <w:t xml:space="preserve">     </w:t>
            </w:r>
            <w:r w:rsidRPr="00123BD3">
              <w:rPr>
                <w:rFonts w:ascii="Arial" w:hAnsi="Arial" w:cs="Arial"/>
                <w:lang w:val="en-ZA"/>
              </w:rPr>
              <w:t xml:space="preserve"> Q:   Do you also knew (sic) that you could be punished for that if arrested by the police?</w:t>
            </w:r>
          </w:p>
          <w:p w:rsidR="00123BD3" w:rsidRPr="00123BD3" w:rsidRDefault="00123BD3" w:rsidP="00A06D87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 w:rsidRPr="00123BD3">
              <w:rPr>
                <w:rFonts w:ascii="Arial" w:hAnsi="Arial" w:cs="Arial"/>
                <w:lang w:val="en-ZA"/>
              </w:rPr>
              <w:t xml:space="preserve">           </w:t>
            </w:r>
            <w:r>
              <w:rPr>
                <w:rFonts w:ascii="Arial" w:hAnsi="Arial" w:cs="Arial"/>
                <w:lang w:val="en-ZA"/>
              </w:rPr>
              <w:t xml:space="preserve">     </w:t>
            </w:r>
            <w:r w:rsidRPr="00123BD3">
              <w:rPr>
                <w:rFonts w:ascii="Arial" w:hAnsi="Arial" w:cs="Arial"/>
                <w:lang w:val="en-ZA"/>
              </w:rPr>
              <w:t xml:space="preserve"> A:   No</w:t>
            </w:r>
            <w:r>
              <w:rPr>
                <w:rFonts w:ascii="Arial" w:hAnsi="Arial" w:cs="Arial"/>
                <w:lang w:val="en-ZA"/>
              </w:rPr>
              <w:t>.’</w:t>
            </w:r>
          </w:p>
          <w:p w:rsidR="0072052A" w:rsidRDefault="0072052A" w:rsidP="00A06D87">
            <w:pPr>
              <w:pStyle w:val="ListParagrap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56C1C" w:rsidRDefault="00123BD3" w:rsidP="00123BD3">
            <w:pPr>
              <w:spacing w:line="360" w:lineRule="auto"/>
              <w:ind w:left="844" w:hanging="84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23BD3">
              <w:rPr>
                <w:rFonts w:ascii="Arial" w:hAnsi="Arial" w:cs="Arial"/>
                <w:sz w:val="24"/>
                <w:szCs w:val="24"/>
                <w:lang w:val="en-ZA"/>
              </w:rPr>
              <w:t>[3]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The magistrate could not have been satisfied that the accused intended to plead guilty                  in view of the denial of wrongfulness and unlawfulness.</w:t>
            </w:r>
            <w:r w:rsidR="00356C1C">
              <w:rPr>
                <w:rFonts w:ascii="Arial" w:hAnsi="Arial" w:cs="Arial"/>
                <w:sz w:val="24"/>
                <w:szCs w:val="24"/>
                <w:lang w:val="en-ZA"/>
              </w:rPr>
              <w:t xml:space="preserve"> It seems that the magistrate convicted the accused persons on the acceptance of the plea by the public prosecutor</w:t>
            </w:r>
            <w:r w:rsidR="006A585D">
              <w:rPr>
                <w:rFonts w:ascii="Arial" w:hAnsi="Arial" w:cs="Arial"/>
                <w:sz w:val="24"/>
                <w:szCs w:val="24"/>
                <w:lang w:val="en-ZA"/>
              </w:rPr>
              <w:t xml:space="preserve"> who also ignored the denial of wrongfulness and unlawfulness</w:t>
            </w:r>
            <w:r w:rsidR="00356C1C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356C1C" w:rsidRDefault="00356C1C" w:rsidP="00123BD3">
            <w:pPr>
              <w:spacing w:line="360" w:lineRule="auto"/>
              <w:ind w:left="844" w:hanging="84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</w:t>
            </w:r>
            <w:r w:rsidR="006A585D"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  <w:r w:rsidR="004E181B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In this regard the record reflects:</w:t>
            </w:r>
          </w:p>
          <w:p w:rsidR="00356C1C" w:rsidRPr="00356C1C" w:rsidRDefault="004E181B" w:rsidP="004E181B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 w:rsidR="00343C7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 w:rsidR="00356C1C" w:rsidRPr="00356C1C">
              <w:rPr>
                <w:rFonts w:ascii="Arial" w:hAnsi="Arial" w:cs="Arial"/>
                <w:lang w:val="en-ZA"/>
              </w:rPr>
              <w:t>‘</w:t>
            </w:r>
            <w:proofErr w:type="spellStart"/>
            <w:r w:rsidR="00356C1C" w:rsidRPr="00356C1C">
              <w:rPr>
                <w:rFonts w:ascii="Arial" w:hAnsi="Arial" w:cs="Arial"/>
                <w:lang w:val="en-ZA"/>
              </w:rPr>
              <w:t>Crt</w:t>
            </w:r>
            <w:proofErr w:type="spellEnd"/>
            <w:r w:rsidR="00356C1C" w:rsidRPr="00356C1C">
              <w:rPr>
                <w:rFonts w:ascii="Arial" w:hAnsi="Arial" w:cs="Arial"/>
                <w:lang w:val="en-ZA"/>
              </w:rPr>
              <w:t>:   Does the state accept the plea of guilty as tendered by the accused person?(sic)</w:t>
            </w:r>
          </w:p>
          <w:p w:rsidR="004E181B" w:rsidRDefault="004E181B" w:rsidP="004E181B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  <w:t xml:space="preserve"> </w:t>
            </w:r>
            <w:r w:rsidR="00343C79">
              <w:rPr>
                <w:rFonts w:ascii="Arial" w:hAnsi="Arial" w:cs="Arial"/>
                <w:lang w:val="en-ZA"/>
              </w:rPr>
              <w:t xml:space="preserve"> </w:t>
            </w:r>
            <w:r w:rsidR="00356C1C" w:rsidRPr="00356C1C">
              <w:rPr>
                <w:rFonts w:ascii="Arial" w:hAnsi="Arial" w:cs="Arial"/>
                <w:lang w:val="en-ZA"/>
              </w:rPr>
              <w:t>PP:   State accepts the plea as tendered by the accused and pray for conviction.</w:t>
            </w:r>
          </w:p>
          <w:p w:rsidR="0072052A" w:rsidRPr="004E181B" w:rsidRDefault="004E181B" w:rsidP="004E181B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 w:rsidR="00343C79">
              <w:rPr>
                <w:rFonts w:ascii="Arial" w:hAnsi="Arial" w:cs="Arial"/>
                <w:lang w:val="en-ZA"/>
              </w:rPr>
              <w:t xml:space="preserve">  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proofErr w:type="spellStart"/>
            <w:r w:rsidR="00356C1C" w:rsidRPr="00356C1C">
              <w:rPr>
                <w:rFonts w:ascii="Arial" w:hAnsi="Arial" w:cs="Arial"/>
                <w:lang w:val="en-ZA"/>
              </w:rPr>
              <w:t>Crt</w:t>
            </w:r>
            <w:proofErr w:type="spellEnd"/>
            <w:r w:rsidR="00356C1C" w:rsidRPr="00356C1C">
              <w:rPr>
                <w:rFonts w:ascii="Arial" w:hAnsi="Arial" w:cs="Arial"/>
                <w:lang w:val="en-ZA"/>
              </w:rPr>
              <w:t>:   Satisfied that accused admitted all the allegations of the offence.</w:t>
            </w:r>
            <w:r w:rsidR="00356C1C">
              <w:rPr>
                <w:rFonts w:ascii="Arial" w:hAnsi="Arial" w:cs="Arial"/>
                <w:lang w:val="en-ZA"/>
              </w:rPr>
              <w:t>’</w:t>
            </w:r>
            <w:r w:rsidR="00356C1C">
              <w:rPr>
                <w:rFonts w:ascii="Arial" w:hAnsi="Arial" w:cs="Arial"/>
                <w:sz w:val="24"/>
                <w:szCs w:val="24"/>
                <w:lang w:val="en-ZA"/>
              </w:rPr>
              <w:t xml:space="preserve">     </w:t>
            </w:r>
          </w:p>
          <w:p w:rsidR="0072052A" w:rsidRPr="00EA634B" w:rsidRDefault="0072052A" w:rsidP="006A585D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</w:t>
            </w:r>
          </w:p>
        </w:tc>
      </w:tr>
      <w:tr w:rsidR="0072052A" w:rsidRPr="00B876E9" w:rsidTr="00A06D87">
        <w:trPr>
          <w:trHeight w:val="57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482EC8" w:rsidRDefault="0072052A" w:rsidP="00A06D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Judge(s) signature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482EC8" w:rsidRDefault="0072052A" w:rsidP="00A06D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2052A" w:rsidRPr="00B876E9" w:rsidTr="00A06D87">
        <w:trPr>
          <w:trHeight w:val="8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AC190B" w:rsidRDefault="004E181B" w:rsidP="00A06D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Default="0072052A" w:rsidP="00A06D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2052A" w:rsidRPr="00AC190B" w:rsidRDefault="0072052A" w:rsidP="00A06D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2A" w:rsidRPr="00B876E9" w:rsidTr="00A06D87">
        <w:trPr>
          <w:trHeight w:val="9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482EC8" w:rsidRDefault="0072052A" w:rsidP="00A06D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Salionga J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482EC8" w:rsidRDefault="0072052A" w:rsidP="00A06D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788" w:rsidRPr="0072052A" w:rsidRDefault="00933788">
      <w:pPr>
        <w:rPr>
          <w:rFonts w:ascii="Arial" w:hAnsi="Arial" w:cs="Arial"/>
          <w:sz w:val="24"/>
          <w:szCs w:val="24"/>
        </w:rPr>
      </w:pPr>
    </w:p>
    <w:sectPr w:rsidR="00933788" w:rsidRPr="0072052A" w:rsidSect="004E181B">
      <w:headerReference w:type="default" r:id="rId8"/>
      <w:pgSz w:w="12240" w:h="15840"/>
      <w:pgMar w:top="1440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6C" w:rsidRDefault="0061676C" w:rsidP="004E181B">
      <w:pPr>
        <w:spacing w:after="0" w:line="240" w:lineRule="auto"/>
      </w:pPr>
      <w:r>
        <w:separator/>
      </w:r>
    </w:p>
  </w:endnote>
  <w:endnote w:type="continuationSeparator" w:id="0">
    <w:p w:rsidR="0061676C" w:rsidRDefault="0061676C" w:rsidP="004E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6C" w:rsidRDefault="0061676C" w:rsidP="004E181B">
      <w:pPr>
        <w:spacing w:after="0" w:line="240" w:lineRule="auto"/>
      </w:pPr>
      <w:r>
        <w:separator/>
      </w:r>
    </w:p>
  </w:footnote>
  <w:footnote w:type="continuationSeparator" w:id="0">
    <w:p w:rsidR="0061676C" w:rsidRDefault="0061676C" w:rsidP="004E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11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181B" w:rsidRDefault="004E18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81B" w:rsidRDefault="004E1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2A"/>
    <w:rsid w:val="000363C5"/>
    <w:rsid w:val="00123BD3"/>
    <w:rsid w:val="00155BF2"/>
    <w:rsid w:val="00214698"/>
    <w:rsid w:val="00343C79"/>
    <w:rsid w:val="00356C1C"/>
    <w:rsid w:val="00416AD8"/>
    <w:rsid w:val="004E181B"/>
    <w:rsid w:val="0061676C"/>
    <w:rsid w:val="0066126E"/>
    <w:rsid w:val="006A585D"/>
    <w:rsid w:val="0072052A"/>
    <w:rsid w:val="009256D1"/>
    <w:rsid w:val="00932F31"/>
    <w:rsid w:val="00933788"/>
    <w:rsid w:val="00D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CE05A-6166-440B-B8A1-E763D0B4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5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1B"/>
  </w:style>
  <w:style w:type="paragraph" w:styleId="Footer">
    <w:name w:val="footer"/>
    <w:basedOn w:val="Normal"/>
    <w:link w:val="FooterChar"/>
    <w:uiPriority w:val="99"/>
    <w:unhideWhenUsed/>
    <w:rsid w:val="004E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2020-08-24T18:30:00+00:00</Judgment_x0020_Date>
  </documentManagement>
</p:properties>
</file>

<file path=customXml/itemProps1.xml><?xml version="1.0" encoding="utf-8"?>
<ds:datastoreItem xmlns:ds="http://schemas.openxmlformats.org/officeDocument/2006/customXml" ds:itemID="{59F1B133-0C2A-4931-8DE9-02C7A4A941A5}"/>
</file>

<file path=customXml/itemProps2.xml><?xml version="1.0" encoding="utf-8"?>
<ds:datastoreItem xmlns:ds="http://schemas.openxmlformats.org/officeDocument/2006/customXml" ds:itemID="{062A1C21-1EC2-48D9-A95D-A8138E0C3D5A}"/>
</file>

<file path=customXml/itemProps3.xml><?xml version="1.0" encoding="utf-8"?>
<ds:datastoreItem xmlns:ds="http://schemas.openxmlformats.org/officeDocument/2006/customXml" ds:itemID="{C661DEC4-774C-4356-BBB4-B7ABF7594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Abraham (CR 45-2020) [2020] NAHCNLD 114 (25 August 2020)</dc:title>
  <dc:subject/>
  <dc:creator>Herman C. January</dc:creator>
  <cp:keywords/>
  <dc:description/>
  <cp:lastModifiedBy>Administrator</cp:lastModifiedBy>
  <cp:revision>2</cp:revision>
  <cp:lastPrinted>2020-08-21T14:02:00Z</cp:lastPrinted>
  <dcterms:created xsi:type="dcterms:W3CDTF">2020-08-27T12:50:00Z</dcterms:created>
  <dcterms:modified xsi:type="dcterms:W3CDTF">2020-08-27T12:50:00Z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