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431F" w:rsidRPr="0095183E" w:rsidRDefault="005B431F" w:rsidP="005B43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5183E">
        <w:rPr>
          <w:rFonts w:ascii="Arial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D3E1" wp14:editId="38004CA9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1F" w:rsidRDefault="005B431F" w:rsidP="005B43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FD3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KSJQIAAFAEAAAOAAAAZHJzL2Uyb0RvYy54bWysVNtu2zAMfR+wfxD0vthxk7Q14hRdugwD&#10;ugvQ7gNkWbaFSaImKbG7ry8lp1nQvRXzgyCK0iF5Dun1zagVOQjnJZiKzmc5JcJwaKTpKvrzcffh&#10;ihIfmGmYAiMq+iQ8vdm8f7cebCkK6EE1whEEMb4cbEX7EGyZZZ73QjM/AysMOltwmgU0XZc1jg2I&#10;rlVW5PkqG8A11gEX3uPp3eSkm4TftoKH723rRSCqophbSKtLax3XbLNmZeeY7SU/psHekIVm0mDQ&#10;E9QdC4zsnfwHSkvuwEMbZhx0Bm0ruUg1YDXz/FU1Dz2zItWC5Hh7osn/P1j+7fDDEdlU9IISwzRK&#10;9CjGQD7CSC4iO4P1JV56sHgtjHiMKqdKvb0H/ssTA9uemU7cOgdDL1iD2c3jy+zs6YTjI0g9fIUG&#10;w7B9gAQ0tk5H6pAMguio0tNJmZgKjyGXq2Keo4ujr1hcrpZJuoyVL6+t8+GzAE3ipqIOlU/o7HDv&#10;Q8yGlS9XYjAPSjY7qVQyXFdvlSMHhl2yS18q4NU1ZchQ0etlsZwIeAOElgHbXUld0as8flMDRto+&#10;mSY1Y2BSTXtMWZkjj5G6icQw1uNRlxqaJ2TUwdTWOIa46cH9oWTAlq6o/71nTlCivhhU5Xq+WMQZ&#10;SMZieVmg4c499bmHGY5QFQ2UTNttmOZmb53seow09YGBW1SylYnkKPmU1TFvbNvE/XHE4lyc2+nW&#10;3x/B5hkAAP//AwBQSwMEFAAGAAgAAAAhAE+kcrHfAAAACQEAAA8AAABkcnMvZG93bnJldi54bWxM&#10;j0FvwjAMhe+T9h8iI+0yQUKRYHR1EUKbdgZ22S00pq1okrYJtOzXzzttJ9t6T8/fyzajbcSN+lB7&#10;hzCfKRDkCm9qVyJ8Ht+nLyBC1M7oxjtCuFOATf74kOnU+MHt6XaIpeAQF1KNUMXYplKGoiKrw8y3&#10;5Fg7+97qyGdfStPrgcNtIxOlltLq2vGHSre0q6i4HK4WwQ9vd+upU8nz17f92G27/TnpEJ8m4/YV&#10;RKQx/pnhF5/RIWemk786E0SDsJqvuEtEmK55smG9XPByQlgoBTLP5P8G+Q8AAAD//wMAUEsBAi0A&#10;FAAGAAgAAAAhALaDOJL+AAAA4QEAABMAAAAAAAAAAAAAAAAAAAAAAFtDb250ZW50X1R5cGVzXS54&#10;bWxQSwECLQAUAAYACAAAACEAOP0h/9YAAACUAQAACwAAAAAAAAAAAAAAAAAvAQAAX3JlbHMvLnJl&#10;bHNQSwECLQAUAAYACAAAACEAwH/SkiUCAABQBAAADgAAAAAAAAAAAAAAAAAuAgAAZHJzL2Uyb0Rv&#10;Yy54bWxQSwECLQAUAAYACAAAACEAT6Rysd8AAAAJAQAADwAAAAAAAAAAAAAAAAB/BAAAZHJzL2Rv&#10;d25yZXYueG1sUEsFBgAAAAAEAAQA8wAAAIsFAAAAAA==&#10;" strokecolor="white">
                <v:textbox>
                  <w:txbxContent>
                    <w:p w:rsidR="005B431F" w:rsidRDefault="005B431F" w:rsidP="005B43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183E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5B431F" w:rsidRDefault="005B431F" w:rsidP="005B431F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b/>
          <w:noProof/>
          <w:sz w:val="28"/>
          <w:szCs w:val="32"/>
          <w:lang w:eastAsia="en-ZA"/>
        </w:rPr>
        <w:drawing>
          <wp:inline distT="0" distB="0" distL="0" distR="0" wp14:anchorId="7E89B4C6" wp14:editId="03E917C7">
            <wp:extent cx="1286510" cy="13227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5B431F" w:rsidRDefault="005B431F" w:rsidP="005B43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B431F" w:rsidRPr="00A41663" w:rsidRDefault="005B431F" w:rsidP="005B431F">
      <w:pPr>
        <w:spacing w:after="0" w:line="360" w:lineRule="auto"/>
        <w:ind w:left="2880"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APPEAL </w:t>
      </w:r>
      <w:r w:rsidRPr="00A41663"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5B431F" w:rsidRDefault="005B431F" w:rsidP="005B431F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5B431F" w:rsidRPr="00A00EAC" w:rsidRDefault="005B431F" w:rsidP="005B431F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Pr="00A00EAC">
        <w:rPr>
          <w:rFonts w:ascii="Arial" w:hAnsi="Arial" w:cs="Arial"/>
          <w:sz w:val="24"/>
          <w:szCs w:val="24"/>
          <w:lang w:val="en-US"/>
        </w:rPr>
        <w:t>Case No.:</w:t>
      </w:r>
      <w:r w:rsidRPr="00A00EAC">
        <w:t xml:space="preserve"> </w:t>
      </w:r>
      <w:r w:rsidRPr="005B431F">
        <w:rPr>
          <w:rFonts w:ascii="Arial" w:hAnsi="Arial" w:cs="Arial"/>
          <w:sz w:val="24"/>
          <w:szCs w:val="24"/>
        </w:rPr>
        <w:t>HC-NLD-CRI-APP-CAL-2019/00033</w:t>
      </w:r>
    </w:p>
    <w:p w:rsidR="005B431F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52D4">
        <w:rPr>
          <w:rFonts w:ascii="Arial" w:hAnsi="Arial" w:cs="Arial"/>
          <w:sz w:val="24"/>
          <w:szCs w:val="24"/>
        </w:rPr>
        <w:t>In the matter between:</w:t>
      </w:r>
    </w:p>
    <w:p w:rsidR="005B431F" w:rsidRPr="00F752D4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431F">
        <w:rPr>
          <w:rFonts w:ascii="Arial" w:hAnsi="Arial" w:cs="Arial"/>
          <w:b/>
          <w:sz w:val="24"/>
          <w:szCs w:val="24"/>
        </w:rPr>
        <w:t>HILARIA NDIITODINO KALIMBO</w:t>
      </w:r>
      <w:r w:rsidRPr="00F752D4">
        <w:rPr>
          <w:rFonts w:ascii="Arial" w:hAnsi="Arial" w:cs="Arial"/>
          <w:b/>
          <w:sz w:val="24"/>
          <w:szCs w:val="24"/>
        </w:rPr>
        <w:tab/>
      </w:r>
      <w:r w:rsidRPr="00F752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752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752D4">
        <w:rPr>
          <w:rFonts w:ascii="Arial" w:hAnsi="Arial" w:cs="Arial"/>
          <w:b/>
          <w:sz w:val="24"/>
          <w:szCs w:val="24"/>
        </w:rPr>
        <w:t>APPELLANT</w:t>
      </w:r>
    </w:p>
    <w:p w:rsidR="005B431F" w:rsidRPr="00F752D4" w:rsidRDefault="005B431F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431F" w:rsidRDefault="00DA22E0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</w:p>
    <w:p w:rsidR="005B431F" w:rsidRPr="005C5CE1" w:rsidRDefault="005B431F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431F" w:rsidRPr="005C5CE1" w:rsidRDefault="005B431F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5CE1">
        <w:rPr>
          <w:rFonts w:ascii="Arial" w:hAnsi="Arial" w:cs="Arial"/>
          <w:b/>
          <w:sz w:val="24"/>
          <w:szCs w:val="24"/>
        </w:rPr>
        <w:t>THE STATE</w:t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C5CE1">
        <w:rPr>
          <w:rFonts w:ascii="Arial" w:hAnsi="Arial" w:cs="Arial"/>
          <w:b/>
          <w:sz w:val="24"/>
          <w:szCs w:val="24"/>
        </w:rPr>
        <w:t>RESPONDENT</w:t>
      </w:r>
    </w:p>
    <w:p w:rsidR="00973534" w:rsidRDefault="00973534" w:rsidP="005B431F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B431F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F57">
        <w:rPr>
          <w:rFonts w:ascii="Arial" w:hAnsi="Arial" w:cs="Arial"/>
          <w:b/>
          <w:sz w:val="24"/>
          <w:szCs w:val="24"/>
        </w:rPr>
        <w:t>Neutral citation</w:t>
      </w:r>
      <w:r w:rsidRPr="00BC7F57">
        <w:rPr>
          <w:rFonts w:ascii="Arial" w:hAnsi="Arial" w:cs="Arial"/>
          <w:sz w:val="24"/>
          <w:szCs w:val="24"/>
        </w:rPr>
        <w:t xml:space="preserve">: </w:t>
      </w:r>
      <w:r w:rsidRPr="005B431F">
        <w:rPr>
          <w:rFonts w:ascii="Arial" w:hAnsi="Arial" w:cs="Arial"/>
          <w:i/>
          <w:sz w:val="24"/>
          <w:szCs w:val="24"/>
        </w:rPr>
        <w:t>Kalimbo</w:t>
      </w:r>
      <w:r w:rsidRPr="00BC7F57">
        <w:rPr>
          <w:rFonts w:ascii="Arial" w:hAnsi="Arial" w:cs="Arial"/>
          <w:i/>
          <w:sz w:val="24"/>
          <w:szCs w:val="24"/>
        </w:rPr>
        <w:t xml:space="preserve"> v S</w:t>
      </w:r>
      <w:r w:rsidRPr="00BC7F57">
        <w:rPr>
          <w:rFonts w:ascii="Arial" w:hAnsi="Arial" w:cs="Arial"/>
          <w:sz w:val="24"/>
          <w:szCs w:val="24"/>
        </w:rPr>
        <w:t xml:space="preserve"> (</w:t>
      </w:r>
      <w:r w:rsidRPr="005B431F">
        <w:rPr>
          <w:rFonts w:ascii="Arial" w:hAnsi="Arial" w:cs="Arial"/>
          <w:sz w:val="24"/>
          <w:szCs w:val="24"/>
        </w:rPr>
        <w:t>HC-NLD-CRI-APP-CAL-2019/00033</w:t>
      </w:r>
      <w:r>
        <w:rPr>
          <w:rFonts w:ascii="Arial" w:hAnsi="Arial" w:cs="Arial"/>
          <w:sz w:val="24"/>
          <w:szCs w:val="24"/>
        </w:rPr>
        <w:t>) [2020</w:t>
      </w:r>
      <w:r w:rsidRPr="00BC7F57">
        <w:rPr>
          <w:rFonts w:ascii="Arial" w:hAnsi="Arial" w:cs="Arial"/>
          <w:sz w:val="24"/>
          <w:szCs w:val="24"/>
        </w:rPr>
        <w:t xml:space="preserve">] </w:t>
      </w:r>
      <w:r w:rsidR="00186421" w:rsidRPr="00BC7F57">
        <w:rPr>
          <w:rFonts w:ascii="Arial" w:hAnsi="Arial" w:cs="Arial"/>
          <w:sz w:val="24"/>
          <w:szCs w:val="24"/>
        </w:rPr>
        <w:t xml:space="preserve">NAHCNLD </w:t>
      </w:r>
      <w:r w:rsidR="003B2DAC">
        <w:rPr>
          <w:rFonts w:ascii="Arial" w:hAnsi="Arial" w:cs="Arial"/>
          <w:sz w:val="24"/>
          <w:szCs w:val="24"/>
        </w:rPr>
        <w:t>40</w:t>
      </w:r>
      <w:r w:rsidR="00973534">
        <w:rPr>
          <w:rFonts w:ascii="Arial" w:hAnsi="Arial" w:cs="Arial"/>
          <w:sz w:val="24"/>
          <w:szCs w:val="24"/>
        </w:rPr>
        <w:t xml:space="preserve"> </w:t>
      </w:r>
      <w:r w:rsidR="00186421" w:rsidRPr="00BC7F57">
        <w:rPr>
          <w:rFonts w:ascii="Arial" w:hAnsi="Arial" w:cs="Arial"/>
          <w:sz w:val="24"/>
          <w:szCs w:val="24"/>
        </w:rPr>
        <w:t>(</w:t>
      </w:r>
      <w:r w:rsidR="00625680">
        <w:rPr>
          <w:rFonts w:ascii="Arial" w:hAnsi="Arial" w:cs="Arial"/>
          <w:sz w:val="24"/>
          <w:szCs w:val="24"/>
        </w:rPr>
        <w:t>12 March</w:t>
      </w:r>
      <w:r>
        <w:rPr>
          <w:rFonts w:ascii="Arial" w:hAnsi="Arial" w:cs="Arial"/>
          <w:sz w:val="24"/>
          <w:szCs w:val="24"/>
        </w:rPr>
        <w:t xml:space="preserve"> 2020</w:t>
      </w:r>
      <w:r w:rsidRPr="00BC7F57">
        <w:rPr>
          <w:rFonts w:ascii="Arial" w:hAnsi="Arial" w:cs="Arial"/>
          <w:sz w:val="24"/>
          <w:szCs w:val="24"/>
        </w:rPr>
        <w:t>)</w:t>
      </w:r>
    </w:p>
    <w:p w:rsidR="005B431F" w:rsidRPr="00D23EF1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B431F" w:rsidRDefault="005B431F" w:rsidP="005B43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097C">
        <w:rPr>
          <w:rFonts w:ascii="Arial" w:hAnsi="Arial" w:cs="Arial"/>
          <w:b/>
          <w:sz w:val="24"/>
          <w:szCs w:val="24"/>
        </w:rPr>
        <w:t>Coram:</w:t>
      </w:r>
      <w:r w:rsidRPr="0079097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F94556">
        <w:rPr>
          <w:rFonts w:ascii="Arial" w:hAnsi="Arial" w:cs="Arial"/>
          <w:sz w:val="24"/>
          <w:szCs w:val="24"/>
        </w:rPr>
        <w:t xml:space="preserve">JANUARY J </w:t>
      </w:r>
      <w:r w:rsidR="00F94556" w:rsidRPr="00973534">
        <w:rPr>
          <w:rFonts w:ascii="Arial" w:hAnsi="Arial" w:cs="Arial"/>
          <w:i/>
          <w:sz w:val="24"/>
          <w:szCs w:val="24"/>
        </w:rPr>
        <w:t>et</w:t>
      </w:r>
      <w:r w:rsidR="00F94556">
        <w:rPr>
          <w:rFonts w:ascii="Arial" w:hAnsi="Arial" w:cs="Arial"/>
          <w:sz w:val="24"/>
          <w:szCs w:val="24"/>
        </w:rPr>
        <w:t xml:space="preserve"> </w:t>
      </w:r>
      <w:r w:rsidR="00E9197B">
        <w:rPr>
          <w:rFonts w:ascii="Arial" w:hAnsi="Arial" w:cs="Arial"/>
          <w:sz w:val="24"/>
          <w:szCs w:val="24"/>
        </w:rPr>
        <w:t>SALIONGA</w:t>
      </w:r>
      <w:r>
        <w:rPr>
          <w:rFonts w:ascii="Arial" w:hAnsi="Arial" w:cs="Arial"/>
          <w:sz w:val="24"/>
          <w:szCs w:val="24"/>
        </w:rPr>
        <w:t xml:space="preserve"> J</w:t>
      </w:r>
      <w:r w:rsidRPr="002B0BB4">
        <w:rPr>
          <w:rFonts w:ascii="Arial" w:hAnsi="Arial" w:cs="Arial"/>
          <w:sz w:val="24"/>
          <w:szCs w:val="24"/>
        </w:rPr>
        <w:t xml:space="preserve"> </w:t>
      </w:r>
    </w:p>
    <w:p w:rsidR="005B431F" w:rsidRPr="00B2312D" w:rsidRDefault="005B431F" w:rsidP="005B431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0BB4">
        <w:rPr>
          <w:rFonts w:ascii="Arial" w:hAnsi="Arial" w:cs="Arial"/>
          <w:b/>
          <w:sz w:val="24"/>
          <w:szCs w:val="24"/>
        </w:rPr>
        <w:t>Heard</w:t>
      </w:r>
      <w:r>
        <w:rPr>
          <w:rFonts w:ascii="Arial" w:hAnsi="Arial" w:cs="Arial"/>
          <w:b/>
          <w:sz w:val="24"/>
          <w:szCs w:val="24"/>
        </w:rPr>
        <w:t xml:space="preserve"> on</w:t>
      </w:r>
      <w:r w:rsidRPr="002B0BB4">
        <w:rPr>
          <w:rFonts w:ascii="Arial" w:hAnsi="Arial" w:cs="Arial"/>
          <w:b/>
          <w:sz w:val="24"/>
          <w:szCs w:val="24"/>
        </w:rPr>
        <w:t>:</w:t>
      </w:r>
      <w:r w:rsidRPr="002B0BB4">
        <w:rPr>
          <w:rFonts w:ascii="Arial" w:hAnsi="Arial" w:cs="Arial"/>
          <w:b/>
          <w:sz w:val="24"/>
          <w:szCs w:val="24"/>
        </w:rPr>
        <w:tab/>
      </w:r>
      <w:r w:rsidRPr="00C321C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Pr="00B2312D">
        <w:rPr>
          <w:rFonts w:ascii="Arial" w:hAnsi="Arial" w:cs="Arial"/>
          <w:b/>
          <w:sz w:val="24"/>
          <w:szCs w:val="24"/>
        </w:rPr>
        <w:t>28 January 2020</w:t>
      </w:r>
    </w:p>
    <w:p w:rsidR="005B431F" w:rsidRPr="00B2312D" w:rsidRDefault="005B431F" w:rsidP="005B431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312D">
        <w:rPr>
          <w:rFonts w:ascii="Arial" w:hAnsi="Arial" w:cs="Arial"/>
          <w:b/>
          <w:sz w:val="24"/>
          <w:szCs w:val="24"/>
        </w:rPr>
        <w:t xml:space="preserve">Delivered on: </w:t>
      </w:r>
      <w:r w:rsidR="003B2DAC" w:rsidRPr="00B2312D">
        <w:rPr>
          <w:rFonts w:ascii="Arial" w:hAnsi="Arial" w:cs="Arial"/>
          <w:b/>
          <w:sz w:val="24"/>
          <w:szCs w:val="24"/>
        </w:rPr>
        <w:tab/>
        <w:t>12 March</w:t>
      </w:r>
      <w:r w:rsidRPr="00B2312D">
        <w:rPr>
          <w:rFonts w:ascii="Arial" w:hAnsi="Arial" w:cs="Arial"/>
          <w:b/>
          <w:sz w:val="24"/>
          <w:szCs w:val="24"/>
        </w:rPr>
        <w:t xml:space="preserve"> 2020</w:t>
      </w:r>
    </w:p>
    <w:p w:rsidR="005B431F" w:rsidRPr="00B2312D" w:rsidRDefault="005B431F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682E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BD6">
        <w:rPr>
          <w:rFonts w:ascii="Arial" w:hAnsi="Arial" w:cs="Arial"/>
          <w:b/>
          <w:sz w:val="24"/>
          <w:szCs w:val="24"/>
        </w:rPr>
        <w:lastRenderedPageBreak/>
        <w:t>Flynote:</w:t>
      </w:r>
      <w:r>
        <w:rPr>
          <w:rFonts w:ascii="Arial" w:hAnsi="Arial" w:cs="Arial"/>
          <w:sz w:val="24"/>
          <w:szCs w:val="24"/>
        </w:rPr>
        <w:t xml:space="preserve">  </w:t>
      </w:r>
      <w:r w:rsidR="00071B35">
        <w:rPr>
          <w:rFonts w:ascii="Arial" w:hAnsi="Arial" w:cs="Arial"/>
          <w:sz w:val="24"/>
          <w:szCs w:val="24"/>
        </w:rPr>
        <w:t>Appeal- Point in limine</w:t>
      </w:r>
      <w:r w:rsidR="00D1030A">
        <w:rPr>
          <w:rFonts w:ascii="Arial" w:hAnsi="Arial" w:cs="Arial"/>
          <w:sz w:val="24"/>
          <w:szCs w:val="24"/>
        </w:rPr>
        <w:t xml:space="preserve"> -</w:t>
      </w:r>
      <w:r w:rsidR="00B926C2">
        <w:rPr>
          <w:rFonts w:ascii="Arial" w:hAnsi="Arial" w:cs="Arial"/>
          <w:sz w:val="24"/>
          <w:szCs w:val="24"/>
        </w:rPr>
        <w:t xml:space="preserve"> </w:t>
      </w:r>
      <w:r w:rsidR="00E9197B">
        <w:rPr>
          <w:rFonts w:ascii="Arial" w:hAnsi="Arial" w:cs="Arial"/>
          <w:sz w:val="24"/>
          <w:szCs w:val="24"/>
        </w:rPr>
        <w:t>T</w:t>
      </w:r>
      <w:r w:rsidR="00553A81">
        <w:rPr>
          <w:rFonts w:ascii="Arial" w:hAnsi="Arial" w:cs="Arial"/>
          <w:sz w:val="24"/>
          <w:szCs w:val="24"/>
        </w:rPr>
        <w:t>wo</w:t>
      </w:r>
      <w:r w:rsidR="00D1030A">
        <w:rPr>
          <w:rFonts w:ascii="Arial" w:hAnsi="Arial" w:cs="Arial"/>
          <w:sz w:val="24"/>
          <w:szCs w:val="24"/>
        </w:rPr>
        <w:t xml:space="preserve"> notices of appeal filed- W</w:t>
      </w:r>
      <w:r w:rsidR="0044682E">
        <w:rPr>
          <w:rFonts w:ascii="Arial" w:hAnsi="Arial" w:cs="Arial"/>
          <w:sz w:val="24"/>
          <w:szCs w:val="24"/>
        </w:rPr>
        <w:t>hich notice should</w:t>
      </w:r>
      <w:r w:rsidR="00B80ACE">
        <w:rPr>
          <w:rFonts w:ascii="Arial" w:hAnsi="Arial" w:cs="Arial"/>
          <w:sz w:val="24"/>
          <w:szCs w:val="24"/>
        </w:rPr>
        <w:t xml:space="preserve"> be used by the court</w:t>
      </w:r>
      <w:r w:rsidR="00E9197B">
        <w:rPr>
          <w:rFonts w:ascii="Arial" w:hAnsi="Arial" w:cs="Arial"/>
          <w:sz w:val="24"/>
          <w:szCs w:val="24"/>
        </w:rPr>
        <w:t xml:space="preserve"> </w:t>
      </w:r>
      <w:r w:rsidR="00B80ACE">
        <w:rPr>
          <w:rFonts w:ascii="Arial" w:hAnsi="Arial" w:cs="Arial"/>
          <w:sz w:val="24"/>
          <w:szCs w:val="24"/>
        </w:rPr>
        <w:t>- Notice to withdraw</w:t>
      </w:r>
      <w:r w:rsidR="0044682E">
        <w:rPr>
          <w:rFonts w:ascii="Arial" w:hAnsi="Arial" w:cs="Arial"/>
          <w:sz w:val="24"/>
          <w:szCs w:val="24"/>
        </w:rPr>
        <w:t xml:space="preserve"> th</w:t>
      </w:r>
      <w:r w:rsidR="00B80ACE">
        <w:rPr>
          <w:rFonts w:ascii="Arial" w:hAnsi="Arial" w:cs="Arial"/>
          <w:sz w:val="24"/>
          <w:szCs w:val="24"/>
        </w:rPr>
        <w:t>e first notice of appeal filed</w:t>
      </w:r>
      <w:r w:rsidR="00B926C2">
        <w:rPr>
          <w:rFonts w:ascii="Arial" w:hAnsi="Arial" w:cs="Arial"/>
          <w:sz w:val="24"/>
          <w:szCs w:val="24"/>
        </w:rPr>
        <w:t xml:space="preserve"> - </w:t>
      </w:r>
      <w:r w:rsidR="00D1030A">
        <w:rPr>
          <w:rFonts w:ascii="Arial" w:hAnsi="Arial" w:cs="Arial"/>
          <w:sz w:val="24"/>
          <w:szCs w:val="24"/>
        </w:rPr>
        <w:t>Second notic</w:t>
      </w:r>
      <w:r w:rsidR="00B926C2">
        <w:rPr>
          <w:rFonts w:ascii="Arial" w:hAnsi="Arial" w:cs="Arial"/>
          <w:sz w:val="24"/>
          <w:szCs w:val="24"/>
        </w:rPr>
        <w:t xml:space="preserve">e not served as required by law - </w:t>
      </w:r>
      <w:r w:rsidR="00B80ACE">
        <w:rPr>
          <w:rFonts w:ascii="Arial" w:hAnsi="Arial" w:cs="Arial"/>
          <w:sz w:val="24"/>
          <w:szCs w:val="24"/>
        </w:rPr>
        <w:t>C</w:t>
      </w:r>
      <w:r w:rsidR="0044682E">
        <w:rPr>
          <w:rFonts w:ascii="Arial" w:hAnsi="Arial" w:cs="Arial"/>
          <w:sz w:val="24"/>
          <w:szCs w:val="24"/>
        </w:rPr>
        <w:t xml:space="preserve">ourt </w:t>
      </w:r>
      <w:r w:rsidR="00B80ACE">
        <w:rPr>
          <w:rFonts w:ascii="Arial" w:hAnsi="Arial" w:cs="Arial"/>
          <w:sz w:val="24"/>
          <w:szCs w:val="24"/>
        </w:rPr>
        <w:t>rejects to uphold</w:t>
      </w:r>
      <w:r w:rsidR="0044682E">
        <w:rPr>
          <w:rFonts w:ascii="Arial" w:hAnsi="Arial" w:cs="Arial"/>
          <w:sz w:val="24"/>
          <w:szCs w:val="24"/>
        </w:rPr>
        <w:t xml:space="preserve"> the second </w:t>
      </w:r>
      <w:r w:rsidR="00B926C2">
        <w:rPr>
          <w:rFonts w:ascii="Arial" w:hAnsi="Arial" w:cs="Arial"/>
          <w:sz w:val="24"/>
          <w:szCs w:val="24"/>
        </w:rPr>
        <w:t xml:space="preserve">notice - </w:t>
      </w:r>
      <w:r w:rsidR="00B80ACE">
        <w:rPr>
          <w:rFonts w:ascii="Arial" w:hAnsi="Arial" w:cs="Arial"/>
          <w:sz w:val="24"/>
          <w:szCs w:val="24"/>
        </w:rPr>
        <w:t>Point in limine upheld</w:t>
      </w:r>
      <w:r w:rsidR="0044682E">
        <w:rPr>
          <w:rFonts w:ascii="Arial" w:hAnsi="Arial" w:cs="Arial"/>
          <w:sz w:val="24"/>
          <w:szCs w:val="24"/>
        </w:rPr>
        <w:t xml:space="preserve">. </w:t>
      </w:r>
    </w:p>
    <w:p w:rsidR="00725457" w:rsidRPr="00FE0BD6" w:rsidRDefault="00725457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BD6">
        <w:rPr>
          <w:rFonts w:ascii="Arial" w:hAnsi="Arial" w:cs="Arial"/>
          <w:b/>
          <w:sz w:val="24"/>
          <w:szCs w:val="24"/>
        </w:rPr>
        <w:t>Summary:</w:t>
      </w:r>
      <w:r w:rsidRPr="00FE0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1030A">
        <w:rPr>
          <w:rFonts w:ascii="Arial" w:hAnsi="Arial" w:cs="Arial"/>
          <w:sz w:val="24"/>
          <w:szCs w:val="24"/>
        </w:rPr>
        <w:t>Appellant appealed against</w:t>
      </w:r>
      <w:r w:rsidR="00553A81">
        <w:rPr>
          <w:rFonts w:ascii="Arial" w:hAnsi="Arial" w:cs="Arial"/>
          <w:sz w:val="24"/>
          <w:szCs w:val="24"/>
        </w:rPr>
        <w:t xml:space="preserve"> conviction and sentence</w:t>
      </w:r>
      <w:r w:rsidR="00977A96">
        <w:rPr>
          <w:rFonts w:ascii="Arial" w:hAnsi="Arial" w:cs="Arial"/>
          <w:sz w:val="24"/>
          <w:szCs w:val="24"/>
        </w:rPr>
        <w:t xml:space="preserve"> on </w:t>
      </w:r>
      <w:r w:rsidR="008E063D">
        <w:rPr>
          <w:rFonts w:ascii="Arial" w:hAnsi="Arial" w:cs="Arial"/>
          <w:sz w:val="24"/>
          <w:szCs w:val="24"/>
        </w:rPr>
        <w:t xml:space="preserve">a </w:t>
      </w:r>
      <w:r w:rsidR="00977A96">
        <w:rPr>
          <w:rFonts w:ascii="Arial" w:hAnsi="Arial" w:cs="Arial"/>
          <w:sz w:val="24"/>
          <w:szCs w:val="24"/>
        </w:rPr>
        <w:t>charge of murd</w:t>
      </w:r>
      <w:r w:rsidR="00553A81">
        <w:rPr>
          <w:rFonts w:ascii="Arial" w:hAnsi="Arial" w:cs="Arial"/>
          <w:sz w:val="24"/>
          <w:szCs w:val="24"/>
        </w:rPr>
        <w:t>er. She was charged and convicted of murder and concealment of birth</w:t>
      </w:r>
      <w:r w:rsidR="008E063D">
        <w:rPr>
          <w:rFonts w:ascii="Arial" w:hAnsi="Arial" w:cs="Arial"/>
          <w:sz w:val="24"/>
          <w:szCs w:val="24"/>
        </w:rPr>
        <w:t>. Her</w:t>
      </w:r>
      <w:r w:rsidR="00553A81">
        <w:rPr>
          <w:rFonts w:ascii="Arial" w:hAnsi="Arial" w:cs="Arial"/>
          <w:sz w:val="24"/>
          <w:szCs w:val="24"/>
        </w:rPr>
        <w:t xml:space="preserve"> first notice of </w:t>
      </w:r>
      <w:r w:rsidR="0080793D">
        <w:rPr>
          <w:rFonts w:ascii="Arial" w:hAnsi="Arial" w:cs="Arial"/>
          <w:sz w:val="24"/>
          <w:szCs w:val="24"/>
        </w:rPr>
        <w:t>appeal against</w:t>
      </w:r>
      <w:r w:rsidR="008E063D">
        <w:rPr>
          <w:rFonts w:ascii="Arial" w:hAnsi="Arial" w:cs="Arial"/>
          <w:sz w:val="24"/>
          <w:szCs w:val="24"/>
        </w:rPr>
        <w:t xml:space="preserve"> sentence</w:t>
      </w:r>
      <w:r w:rsidR="00553A81">
        <w:rPr>
          <w:rFonts w:ascii="Arial" w:hAnsi="Arial" w:cs="Arial"/>
          <w:sz w:val="24"/>
          <w:szCs w:val="24"/>
        </w:rPr>
        <w:t xml:space="preserve"> was withdrawn. </w:t>
      </w:r>
      <w:r w:rsidR="0080793D">
        <w:rPr>
          <w:rFonts w:ascii="Arial" w:hAnsi="Arial" w:cs="Arial"/>
          <w:sz w:val="24"/>
          <w:szCs w:val="24"/>
        </w:rPr>
        <w:t>She</w:t>
      </w:r>
      <w:r w:rsidR="00553A81">
        <w:rPr>
          <w:rFonts w:ascii="Arial" w:hAnsi="Arial" w:cs="Arial"/>
          <w:sz w:val="24"/>
          <w:szCs w:val="24"/>
        </w:rPr>
        <w:t xml:space="preserve"> </w:t>
      </w:r>
      <w:r w:rsidR="008E063D">
        <w:rPr>
          <w:rFonts w:ascii="Arial" w:hAnsi="Arial" w:cs="Arial"/>
          <w:sz w:val="24"/>
          <w:szCs w:val="24"/>
        </w:rPr>
        <w:t>thereafter f</w:t>
      </w:r>
      <w:r w:rsidR="00553A81">
        <w:rPr>
          <w:rFonts w:ascii="Arial" w:hAnsi="Arial" w:cs="Arial"/>
          <w:sz w:val="24"/>
          <w:szCs w:val="24"/>
        </w:rPr>
        <w:t xml:space="preserve">iled a second notice in which she was appealing against both </w:t>
      </w:r>
      <w:r w:rsidR="0080793D">
        <w:rPr>
          <w:rFonts w:ascii="Arial" w:hAnsi="Arial" w:cs="Arial"/>
          <w:sz w:val="24"/>
          <w:szCs w:val="24"/>
        </w:rPr>
        <w:t>conviction and sentence</w:t>
      </w:r>
      <w:r w:rsidR="00553A81">
        <w:rPr>
          <w:rFonts w:ascii="Arial" w:hAnsi="Arial" w:cs="Arial"/>
          <w:sz w:val="24"/>
          <w:szCs w:val="24"/>
        </w:rPr>
        <w:t xml:space="preserve">. Respondent objected to a second notice for the following reason. That on top of the initial notice of appeal against </w:t>
      </w:r>
      <w:r w:rsidR="0080793D">
        <w:rPr>
          <w:rFonts w:ascii="Arial" w:hAnsi="Arial" w:cs="Arial"/>
          <w:sz w:val="24"/>
          <w:szCs w:val="24"/>
        </w:rPr>
        <w:t>sentence</w:t>
      </w:r>
      <w:r w:rsidR="008E063D">
        <w:rPr>
          <w:rFonts w:ascii="Arial" w:hAnsi="Arial" w:cs="Arial"/>
          <w:sz w:val="24"/>
          <w:szCs w:val="24"/>
        </w:rPr>
        <w:t xml:space="preserve"> t</w:t>
      </w:r>
      <w:r w:rsidR="00553A81">
        <w:rPr>
          <w:rFonts w:ascii="Arial" w:hAnsi="Arial" w:cs="Arial"/>
          <w:sz w:val="24"/>
          <w:szCs w:val="24"/>
        </w:rPr>
        <w:t>here</w:t>
      </w:r>
      <w:r w:rsidR="008E063D">
        <w:rPr>
          <w:rFonts w:ascii="Arial" w:hAnsi="Arial" w:cs="Arial"/>
          <w:sz w:val="24"/>
          <w:szCs w:val="24"/>
        </w:rPr>
        <w:t xml:space="preserve"> was no indication</w:t>
      </w:r>
      <w:r w:rsidR="00426E38">
        <w:rPr>
          <w:rFonts w:ascii="Arial" w:hAnsi="Arial" w:cs="Arial"/>
          <w:sz w:val="24"/>
          <w:szCs w:val="24"/>
        </w:rPr>
        <w:t xml:space="preserve"> as to what wa</w:t>
      </w:r>
      <w:r w:rsidR="00553A81">
        <w:rPr>
          <w:rFonts w:ascii="Arial" w:hAnsi="Arial" w:cs="Arial"/>
          <w:sz w:val="24"/>
          <w:szCs w:val="24"/>
        </w:rPr>
        <w:t>s the</w:t>
      </w:r>
      <w:r w:rsidR="008E063D">
        <w:rPr>
          <w:rFonts w:ascii="Arial" w:hAnsi="Arial" w:cs="Arial"/>
          <w:sz w:val="24"/>
          <w:szCs w:val="24"/>
        </w:rPr>
        <w:t xml:space="preserve"> state of the initial notice</w:t>
      </w:r>
      <w:r w:rsidR="0080793D">
        <w:rPr>
          <w:rFonts w:ascii="Arial" w:hAnsi="Arial" w:cs="Arial"/>
          <w:sz w:val="24"/>
          <w:szCs w:val="24"/>
        </w:rPr>
        <w:t>. In</w:t>
      </w:r>
      <w:r w:rsidR="00553A81">
        <w:rPr>
          <w:rFonts w:ascii="Arial" w:hAnsi="Arial" w:cs="Arial"/>
          <w:sz w:val="24"/>
          <w:szCs w:val="24"/>
        </w:rPr>
        <w:t xml:space="preserve"> the absence of that proposition</w:t>
      </w:r>
      <w:r w:rsidR="0080793D">
        <w:rPr>
          <w:rFonts w:ascii="Arial" w:hAnsi="Arial" w:cs="Arial"/>
          <w:sz w:val="24"/>
          <w:szCs w:val="24"/>
        </w:rPr>
        <w:t>,</w:t>
      </w:r>
      <w:r w:rsidR="00553A81">
        <w:rPr>
          <w:rFonts w:ascii="Arial" w:hAnsi="Arial" w:cs="Arial"/>
          <w:sz w:val="24"/>
          <w:szCs w:val="24"/>
        </w:rPr>
        <w:t xml:space="preserve"> the initial notice of appeal still stands and</w:t>
      </w:r>
      <w:r w:rsidR="008E063D">
        <w:rPr>
          <w:rFonts w:ascii="Arial" w:hAnsi="Arial" w:cs="Arial"/>
          <w:sz w:val="24"/>
          <w:szCs w:val="24"/>
        </w:rPr>
        <w:t xml:space="preserve"> the second notice wa</w:t>
      </w:r>
      <w:r w:rsidR="00553A81">
        <w:rPr>
          <w:rFonts w:ascii="Arial" w:hAnsi="Arial" w:cs="Arial"/>
          <w:sz w:val="24"/>
          <w:szCs w:val="24"/>
        </w:rPr>
        <w:t xml:space="preserve">s a </w:t>
      </w:r>
      <w:r w:rsidR="008E063D">
        <w:rPr>
          <w:rFonts w:ascii="Arial" w:hAnsi="Arial" w:cs="Arial"/>
          <w:sz w:val="24"/>
          <w:szCs w:val="24"/>
        </w:rPr>
        <w:t>sham. This court upheld the point in limine.</w:t>
      </w:r>
    </w:p>
    <w:p w:rsidR="0044682E" w:rsidRDefault="0044682E" w:rsidP="00CB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CB606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31F" w:rsidRPr="00940DA6" w:rsidRDefault="005B431F" w:rsidP="00CB606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0DA6">
        <w:rPr>
          <w:rFonts w:ascii="Arial" w:hAnsi="Arial" w:cs="Arial"/>
          <w:b/>
          <w:sz w:val="24"/>
          <w:szCs w:val="24"/>
        </w:rPr>
        <w:t>ORDER</w:t>
      </w:r>
    </w:p>
    <w:p w:rsidR="00071B35" w:rsidRDefault="00071B35" w:rsidP="00071B35">
      <w:pPr>
        <w:pBdr>
          <w:top w:val="single" w:sz="12" w:space="1" w:color="auto"/>
          <w:bottom w:val="single" w:sz="12" w:space="1" w:color="auto"/>
        </w:pBd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B606D" w:rsidRDefault="00CB606D" w:rsidP="00CB606D">
      <w:pPr>
        <w:pStyle w:val="ListParagraph"/>
        <w:ind w:left="1080"/>
        <w:rPr>
          <w:rFonts w:ascii="Arial" w:hAnsi="Arial" w:cs="Arial"/>
          <w:iCs/>
          <w:sz w:val="24"/>
          <w:szCs w:val="24"/>
        </w:rPr>
      </w:pPr>
    </w:p>
    <w:p w:rsidR="0082394C" w:rsidRPr="00CB606D" w:rsidRDefault="00CB606D" w:rsidP="00CB606D">
      <w:pPr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1. </w:t>
      </w:r>
      <w:r w:rsidR="0082394C" w:rsidRPr="00CB606D">
        <w:rPr>
          <w:rFonts w:ascii="Arial" w:hAnsi="Arial" w:cs="Arial"/>
          <w:iCs/>
          <w:sz w:val="24"/>
          <w:szCs w:val="24"/>
        </w:rPr>
        <w:t>The point in limine is upheld;</w:t>
      </w:r>
    </w:p>
    <w:p w:rsidR="00977A96" w:rsidRDefault="00977A96" w:rsidP="0082394C">
      <w:pPr>
        <w:pStyle w:val="ListParagraph"/>
        <w:rPr>
          <w:rFonts w:ascii="Arial" w:hAnsi="Arial" w:cs="Arial"/>
          <w:iCs/>
          <w:sz w:val="24"/>
          <w:szCs w:val="24"/>
        </w:rPr>
      </w:pPr>
    </w:p>
    <w:p w:rsidR="0082394C" w:rsidRPr="0082394C" w:rsidRDefault="0082394C" w:rsidP="0082394C">
      <w:pPr>
        <w:pStyle w:val="ListParagraph"/>
        <w:rPr>
          <w:rFonts w:ascii="Arial" w:hAnsi="Arial" w:cs="Arial"/>
          <w:iCs/>
          <w:sz w:val="24"/>
          <w:szCs w:val="24"/>
        </w:rPr>
      </w:pPr>
      <w:r w:rsidRPr="0082394C">
        <w:rPr>
          <w:rFonts w:ascii="Arial" w:hAnsi="Arial" w:cs="Arial"/>
          <w:iCs/>
          <w:sz w:val="24"/>
          <w:szCs w:val="24"/>
        </w:rPr>
        <w:t xml:space="preserve">2. The appeal is hereby struck and considered finalised. </w:t>
      </w:r>
    </w:p>
    <w:p w:rsidR="00071B35" w:rsidRPr="00071B35" w:rsidRDefault="00071B35" w:rsidP="00CB606D">
      <w:pPr>
        <w:pStyle w:val="ListParagraph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B431F" w:rsidRDefault="005B431F" w:rsidP="00CB606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31F" w:rsidRDefault="005B431F" w:rsidP="00CB606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0DA6">
        <w:rPr>
          <w:rFonts w:ascii="Arial" w:hAnsi="Arial" w:cs="Arial"/>
          <w:b/>
          <w:sz w:val="24"/>
          <w:szCs w:val="24"/>
        </w:rPr>
        <w:t>JUDGMENT</w:t>
      </w:r>
    </w:p>
    <w:p w:rsidR="005B431F" w:rsidRPr="00175CD9" w:rsidRDefault="005B431F" w:rsidP="00CB606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606D" w:rsidRDefault="00CB606D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CE6C79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SALIONGA </w:t>
      </w:r>
      <w:r w:rsidR="00F94556">
        <w:rPr>
          <w:rFonts w:ascii="Arial" w:hAnsi="Arial" w:cs="Arial"/>
          <w:sz w:val="24"/>
          <w:szCs w:val="24"/>
        </w:rPr>
        <w:t>J (JANUARY J concurring)</w:t>
      </w:r>
    </w:p>
    <w:p w:rsidR="005B431F" w:rsidRPr="00175CD9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638A" w:rsidRDefault="005B431F" w:rsidP="00347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E22183" w:rsidRPr="00E22183">
        <w:rPr>
          <w:rFonts w:ascii="Arial" w:hAnsi="Arial" w:cs="Arial"/>
          <w:sz w:val="24"/>
          <w:szCs w:val="24"/>
        </w:rPr>
        <w:t xml:space="preserve">The appellant was arraigned in the regional court held at Eenhana on charges of murder read with the provisions of Combating of Domestic Violence Act, 4 of 2003 and concealment of birth in contravention of section 7(1) of Ordinance 13 of 1962, as amended. </w:t>
      </w:r>
      <w:r w:rsidR="0038638A">
        <w:rPr>
          <w:rFonts w:ascii="Arial" w:hAnsi="Arial" w:cs="Arial"/>
          <w:sz w:val="24"/>
          <w:szCs w:val="24"/>
        </w:rPr>
        <w:t>S</w:t>
      </w:r>
      <w:r w:rsidR="00E22183" w:rsidRPr="00E22183">
        <w:rPr>
          <w:rFonts w:ascii="Arial" w:hAnsi="Arial" w:cs="Arial"/>
          <w:sz w:val="24"/>
          <w:szCs w:val="24"/>
        </w:rPr>
        <w:t xml:space="preserve">he pleaded not guilty on count one and guilty on count </w:t>
      </w:r>
      <w:r w:rsidR="0038638A">
        <w:rPr>
          <w:rFonts w:ascii="Arial" w:hAnsi="Arial" w:cs="Arial"/>
          <w:sz w:val="24"/>
          <w:szCs w:val="24"/>
        </w:rPr>
        <w:t>two. S</w:t>
      </w:r>
      <w:r w:rsidR="00E22183" w:rsidRPr="00E22183">
        <w:rPr>
          <w:rFonts w:ascii="Arial" w:hAnsi="Arial" w:cs="Arial"/>
          <w:sz w:val="24"/>
          <w:szCs w:val="24"/>
        </w:rPr>
        <w:t>he was convicted as charged by the learned magistrate Hangalo</w:t>
      </w:r>
      <w:r w:rsidR="00B80ACE">
        <w:rPr>
          <w:rFonts w:ascii="Arial" w:hAnsi="Arial" w:cs="Arial"/>
          <w:sz w:val="24"/>
          <w:szCs w:val="24"/>
        </w:rPr>
        <w:t xml:space="preserve"> on both count</w:t>
      </w:r>
      <w:r w:rsidR="008E063D">
        <w:rPr>
          <w:rFonts w:ascii="Arial" w:hAnsi="Arial" w:cs="Arial"/>
          <w:sz w:val="24"/>
          <w:szCs w:val="24"/>
        </w:rPr>
        <w:t>s</w:t>
      </w:r>
      <w:r w:rsidR="00B80ACE">
        <w:rPr>
          <w:rFonts w:ascii="Arial" w:hAnsi="Arial" w:cs="Arial"/>
          <w:sz w:val="24"/>
          <w:szCs w:val="24"/>
        </w:rPr>
        <w:t>. She was sentenced</w:t>
      </w:r>
      <w:r w:rsidR="0038638A">
        <w:rPr>
          <w:rFonts w:ascii="Arial" w:hAnsi="Arial" w:cs="Arial"/>
          <w:sz w:val="24"/>
          <w:szCs w:val="24"/>
        </w:rPr>
        <w:t xml:space="preserve"> to</w:t>
      </w:r>
      <w:r w:rsidR="00E22183" w:rsidRPr="00E22183">
        <w:rPr>
          <w:rFonts w:ascii="Arial" w:hAnsi="Arial" w:cs="Arial"/>
          <w:sz w:val="24"/>
          <w:szCs w:val="24"/>
        </w:rPr>
        <w:t xml:space="preserve"> 15 years imprisonment on count </w:t>
      </w:r>
      <w:r w:rsidR="0038638A">
        <w:rPr>
          <w:rFonts w:ascii="Arial" w:hAnsi="Arial" w:cs="Arial"/>
          <w:sz w:val="24"/>
          <w:szCs w:val="24"/>
        </w:rPr>
        <w:t>one</w:t>
      </w:r>
      <w:r w:rsidR="00294F84">
        <w:rPr>
          <w:rFonts w:ascii="Arial" w:hAnsi="Arial" w:cs="Arial"/>
          <w:sz w:val="24"/>
          <w:szCs w:val="24"/>
        </w:rPr>
        <w:t xml:space="preserve"> to two hundred</w:t>
      </w:r>
      <w:r w:rsidR="00E22183" w:rsidRPr="00E22183">
        <w:rPr>
          <w:rFonts w:ascii="Arial" w:hAnsi="Arial" w:cs="Arial"/>
          <w:sz w:val="24"/>
          <w:szCs w:val="24"/>
        </w:rPr>
        <w:t xml:space="preserve"> or three months imprisonment</w:t>
      </w:r>
      <w:r w:rsidR="0038638A">
        <w:rPr>
          <w:rFonts w:ascii="Arial" w:hAnsi="Arial" w:cs="Arial"/>
          <w:sz w:val="24"/>
          <w:szCs w:val="24"/>
        </w:rPr>
        <w:t xml:space="preserve"> on count two</w:t>
      </w:r>
      <w:r w:rsidR="008E063D">
        <w:rPr>
          <w:rFonts w:ascii="Arial" w:hAnsi="Arial" w:cs="Arial"/>
          <w:sz w:val="24"/>
          <w:szCs w:val="24"/>
        </w:rPr>
        <w:t xml:space="preserve"> respectively</w:t>
      </w:r>
      <w:r w:rsidR="00E22183" w:rsidRPr="00E22183">
        <w:rPr>
          <w:rFonts w:ascii="Arial" w:hAnsi="Arial" w:cs="Arial"/>
          <w:sz w:val="24"/>
          <w:szCs w:val="24"/>
        </w:rPr>
        <w:t xml:space="preserve">. </w:t>
      </w:r>
    </w:p>
    <w:p w:rsidR="00977A96" w:rsidRDefault="00977A96" w:rsidP="00347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38638A" w:rsidP="002B7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610135">
        <w:rPr>
          <w:rFonts w:ascii="Arial" w:hAnsi="Arial" w:cs="Arial"/>
          <w:sz w:val="24"/>
          <w:szCs w:val="24"/>
        </w:rPr>
        <w:t>T</w:t>
      </w:r>
      <w:r w:rsidR="00E22183" w:rsidRPr="00E22183">
        <w:rPr>
          <w:rFonts w:ascii="Arial" w:hAnsi="Arial" w:cs="Arial"/>
          <w:sz w:val="24"/>
          <w:szCs w:val="24"/>
        </w:rPr>
        <w:t xml:space="preserve">he </w:t>
      </w:r>
      <w:r w:rsidR="00610135">
        <w:rPr>
          <w:rFonts w:ascii="Arial" w:hAnsi="Arial" w:cs="Arial"/>
          <w:sz w:val="24"/>
          <w:szCs w:val="24"/>
        </w:rPr>
        <w:t xml:space="preserve">Appellant </w:t>
      </w:r>
      <w:r w:rsidR="00C728A6">
        <w:rPr>
          <w:rFonts w:ascii="Arial" w:hAnsi="Arial" w:cs="Arial"/>
          <w:sz w:val="24"/>
          <w:szCs w:val="24"/>
        </w:rPr>
        <w:t>noted an appeal a</w:t>
      </w:r>
      <w:r w:rsidR="00E22183" w:rsidRPr="00E22183">
        <w:rPr>
          <w:rFonts w:ascii="Arial" w:hAnsi="Arial" w:cs="Arial"/>
          <w:sz w:val="24"/>
          <w:szCs w:val="24"/>
        </w:rPr>
        <w:t>gainst the s</w:t>
      </w:r>
      <w:r w:rsidR="007E3F73">
        <w:rPr>
          <w:rFonts w:ascii="Arial" w:hAnsi="Arial" w:cs="Arial"/>
          <w:sz w:val="24"/>
          <w:szCs w:val="24"/>
        </w:rPr>
        <w:t>entence of</w:t>
      </w:r>
      <w:r w:rsidR="00B80ACE">
        <w:rPr>
          <w:rFonts w:ascii="Arial" w:hAnsi="Arial" w:cs="Arial"/>
          <w:sz w:val="24"/>
          <w:szCs w:val="24"/>
        </w:rPr>
        <w:t xml:space="preserve"> 15 years imprisonment. She fil</w:t>
      </w:r>
      <w:r w:rsidR="007E3F73">
        <w:rPr>
          <w:rFonts w:ascii="Arial" w:hAnsi="Arial" w:cs="Arial"/>
          <w:sz w:val="24"/>
          <w:szCs w:val="24"/>
        </w:rPr>
        <w:t xml:space="preserve">ed her </w:t>
      </w:r>
      <w:r w:rsidR="008E063D">
        <w:rPr>
          <w:rFonts w:ascii="Arial" w:hAnsi="Arial" w:cs="Arial"/>
          <w:sz w:val="24"/>
          <w:szCs w:val="24"/>
        </w:rPr>
        <w:t xml:space="preserve">initial </w:t>
      </w:r>
      <w:r w:rsidR="00816071" w:rsidRPr="00816071">
        <w:rPr>
          <w:rFonts w:ascii="Arial" w:hAnsi="Arial" w:cs="Arial"/>
          <w:sz w:val="24"/>
          <w:szCs w:val="24"/>
        </w:rPr>
        <w:t>notice of appeal against the sentence</w:t>
      </w:r>
      <w:r w:rsidR="000C5781">
        <w:rPr>
          <w:rFonts w:ascii="Arial" w:hAnsi="Arial" w:cs="Arial"/>
          <w:sz w:val="24"/>
          <w:szCs w:val="24"/>
        </w:rPr>
        <w:t xml:space="preserve"> on 20 March 2018</w:t>
      </w:r>
      <w:r w:rsidR="00B80ACE">
        <w:rPr>
          <w:rFonts w:ascii="Arial" w:hAnsi="Arial" w:cs="Arial"/>
          <w:sz w:val="24"/>
          <w:szCs w:val="24"/>
        </w:rPr>
        <w:t xml:space="preserve"> in person. A</w:t>
      </w:r>
      <w:r w:rsidR="00816071" w:rsidRPr="00816071">
        <w:rPr>
          <w:rFonts w:ascii="Arial" w:hAnsi="Arial" w:cs="Arial"/>
          <w:sz w:val="24"/>
          <w:szCs w:val="24"/>
        </w:rPr>
        <w:t>nother notice of appeal</w:t>
      </w:r>
      <w:r w:rsidR="00275924">
        <w:rPr>
          <w:rFonts w:ascii="Arial" w:hAnsi="Arial" w:cs="Arial"/>
          <w:sz w:val="24"/>
          <w:szCs w:val="24"/>
        </w:rPr>
        <w:t xml:space="preserve"> was filed by her legal practitioner</w:t>
      </w:r>
      <w:r w:rsidR="000C5781">
        <w:rPr>
          <w:rFonts w:ascii="Arial" w:hAnsi="Arial" w:cs="Arial"/>
          <w:sz w:val="24"/>
          <w:szCs w:val="24"/>
        </w:rPr>
        <w:t xml:space="preserve"> on </w:t>
      </w:r>
      <w:r w:rsidR="002B79CE">
        <w:rPr>
          <w:rFonts w:ascii="Arial" w:hAnsi="Arial" w:cs="Arial"/>
          <w:sz w:val="24"/>
          <w:szCs w:val="24"/>
        </w:rPr>
        <w:t>5 September 2019</w:t>
      </w:r>
      <w:r w:rsidR="00B80ACE">
        <w:rPr>
          <w:rFonts w:ascii="Arial" w:hAnsi="Arial" w:cs="Arial"/>
          <w:sz w:val="24"/>
          <w:szCs w:val="24"/>
        </w:rPr>
        <w:t xml:space="preserve"> together with a notice of withdrawal dated 19 July 2019</w:t>
      </w:r>
      <w:r w:rsidR="00816071" w:rsidRPr="00816071">
        <w:rPr>
          <w:rFonts w:ascii="Arial" w:hAnsi="Arial" w:cs="Arial"/>
          <w:sz w:val="24"/>
          <w:szCs w:val="24"/>
        </w:rPr>
        <w:t xml:space="preserve">. </w:t>
      </w:r>
      <w:r w:rsidR="00B80ACE">
        <w:rPr>
          <w:rFonts w:ascii="Arial" w:hAnsi="Arial" w:cs="Arial"/>
          <w:sz w:val="24"/>
          <w:szCs w:val="24"/>
        </w:rPr>
        <w:t>Condonation application and affidavit was also filed</w:t>
      </w:r>
      <w:r w:rsidR="00C4726A">
        <w:rPr>
          <w:rFonts w:ascii="Arial" w:hAnsi="Arial" w:cs="Arial"/>
          <w:sz w:val="24"/>
          <w:szCs w:val="24"/>
        </w:rPr>
        <w:t>. I</w:t>
      </w:r>
      <w:r w:rsidR="00B80ACE">
        <w:rPr>
          <w:rFonts w:ascii="Arial" w:hAnsi="Arial" w:cs="Arial"/>
          <w:sz w:val="24"/>
          <w:szCs w:val="24"/>
        </w:rPr>
        <w:t xml:space="preserve">t is on </w:t>
      </w:r>
      <w:r w:rsidR="00C4726A">
        <w:rPr>
          <w:rFonts w:ascii="Arial" w:hAnsi="Arial" w:cs="Arial"/>
          <w:sz w:val="24"/>
          <w:szCs w:val="24"/>
        </w:rPr>
        <w:t>that basis</w:t>
      </w:r>
      <w:r w:rsidR="00B80ACE">
        <w:rPr>
          <w:rFonts w:ascii="Arial" w:hAnsi="Arial" w:cs="Arial"/>
          <w:sz w:val="24"/>
          <w:szCs w:val="24"/>
        </w:rPr>
        <w:t xml:space="preserve"> a point in limine was raised.</w:t>
      </w:r>
    </w:p>
    <w:p w:rsidR="00977A96" w:rsidRDefault="00977A96" w:rsidP="002B7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79CE" w:rsidRDefault="002B79CE" w:rsidP="002B7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court is now tasked to determine a point in limine raised by the Respondent which states and I quote:</w:t>
      </w:r>
    </w:p>
    <w:p w:rsidR="002B79CE" w:rsidRDefault="002B79CE" w:rsidP="002B79CE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>‘</w:t>
      </w:r>
      <w:r w:rsidRPr="004F41E5">
        <w:rPr>
          <w:rFonts w:ascii="Arial" w:hAnsi="Arial" w:cs="Arial"/>
        </w:rPr>
        <w:t>On top of the initial notice of appeal against the sentence, the appellant filed another notice of appeal. There is no indication from the appellant as to what is the state</w:t>
      </w:r>
      <w:r w:rsidR="004F41E5" w:rsidRPr="004F41E5">
        <w:rPr>
          <w:rFonts w:ascii="Arial" w:hAnsi="Arial" w:cs="Arial"/>
        </w:rPr>
        <w:t xml:space="preserve"> of</w:t>
      </w:r>
      <w:r w:rsidR="004F41E5">
        <w:rPr>
          <w:rFonts w:ascii="Arial" w:hAnsi="Arial" w:cs="Arial"/>
        </w:rPr>
        <w:t xml:space="preserve"> </w:t>
      </w:r>
      <w:r w:rsidR="004F41E5" w:rsidRPr="004F41E5">
        <w:rPr>
          <w:rFonts w:ascii="Arial" w:hAnsi="Arial" w:cs="Arial"/>
        </w:rPr>
        <w:t>the initial notice of appeal</w:t>
      </w:r>
      <w:r w:rsidRPr="004F41E5">
        <w:rPr>
          <w:rFonts w:ascii="Arial" w:hAnsi="Arial" w:cs="Arial"/>
        </w:rPr>
        <w:t>’</w:t>
      </w:r>
      <w:r w:rsidRPr="002B79CE">
        <w:rPr>
          <w:rFonts w:ascii="Arial" w:hAnsi="Arial" w:cs="Arial"/>
          <w:sz w:val="24"/>
          <w:szCs w:val="24"/>
        </w:rPr>
        <w:t>.</w:t>
      </w:r>
    </w:p>
    <w:p w:rsidR="005B431F" w:rsidRDefault="005B431F" w:rsidP="00DB3B31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  <w:lang w:val="en-US"/>
        </w:rPr>
      </w:pPr>
    </w:p>
    <w:p w:rsidR="00DB3B31" w:rsidRPr="00FD5A42" w:rsidRDefault="00DB3B31" w:rsidP="00DB3B31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[4]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D5A42">
        <w:rPr>
          <w:rFonts w:ascii="Arial" w:hAnsi="Arial" w:cs="Arial"/>
          <w:sz w:val="24"/>
          <w:szCs w:val="24"/>
        </w:rPr>
        <w:t>In </w:t>
      </w:r>
      <w:r w:rsidR="00B44DCA">
        <w:rPr>
          <w:rFonts w:ascii="Arial" w:hAnsi="Arial" w:cs="Arial"/>
          <w:i/>
          <w:iCs/>
          <w:sz w:val="24"/>
          <w:szCs w:val="24"/>
        </w:rPr>
        <w:t>Tuhafeni Kakolo</w:t>
      </w:r>
      <w:r w:rsidR="001A2928">
        <w:rPr>
          <w:rFonts w:ascii="Arial" w:hAnsi="Arial" w:cs="Arial"/>
          <w:i/>
          <w:iCs/>
          <w:sz w:val="24"/>
          <w:szCs w:val="24"/>
        </w:rPr>
        <w:t>lo</w:t>
      </w:r>
      <w:r w:rsidR="00B44DCA">
        <w:rPr>
          <w:rFonts w:ascii="Arial" w:hAnsi="Arial" w:cs="Arial"/>
          <w:i/>
          <w:iCs/>
          <w:sz w:val="24"/>
          <w:szCs w:val="24"/>
        </w:rPr>
        <w:t xml:space="preserve"> v The State </w:t>
      </w:r>
      <w:r w:rsidR="00B44DCA" w:rsidRPr="00CB606D">
        <w:rPr>
          <w:rFonts w:ascii="Arial" w:hAnsi="Arial" w:cs="Arial"/>
          <w:iCs/>
          <w:sz w:val="24"/>
          <w:szCs w:val="24"/>
        </w:rPr>
        <w:t>2004 NR 7 (HC)</w:t>
      </w:r>
      <w:r w:rsidR="00B44DCA" w:rsidRPr="00CB606D">
        <w:rPr>
          <w:rFonts w:ascii="Arial" w:hAnsi="Arial" w:cs="Arial"/>
          <w:iCs/>
          <w:sz w:val="24"/>
          <w:szCs w:val="24"/>
          <w:vertAlign w:val="superscript"/>
        </w:rPr>
        <w:t>.</w:t>
      </w:r>
      <w:r w:rsidR="00375DC1">
        <w:rPr>
          <w:rFonts w:ascii="Arial" w:hAnsi="Arial" w:cs="Arial"/>
          <w:sz w:val="24"/>
          <w:szCs w:val="24"/>
        </w:rPr>
        <w:t> Maritz, J as he then was stated</w:t>
      </w:r>
      <w:r w:rsidRPr="00FD5A42">
        <w:rPr>
          <w:rFonts w:ascii="Arial" w:hAnsi="Arial" w:cs="Arial"/>
          <w:sz w:val="24"/>
          <w:szCs w:val="24"/>
        </w:rPr>
        <w:t xml:space="preserve"> the following:</w:t>
      </w:r>
    </w:p>
    <w:p w:rsidR="00DB3B31" w:rsidRDefault="00DB3B31" w:rsidP="004E52AF">
      <w:pPr>
        <w:spacing w:line="360" w:lineRule="auto"/>
        <w:ind w:right="720"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B3B31">
        <w:rPr>
          <w:rFonts w:ascii="Arial" w:hAnsi="Arial" w:cs="Arial"/>
          <w:sz w:val="24"/>
          <w:szCs w:val="24"/>
        </w:rPr>
        <w:lastRenderedPageBreak/>
        <w:t>‘</w:t>
      </w:r>
      <w:r w:rsidR="005964D8" w:rsidRPr="005964D8">
        <w:rPr>
          <w:rFonts w:ascii="Arial" w:hAnsi="Arial" w:cs="Arial"/>
        </w:rPr>
        <w:t>Rule 67(1) of the Magistrates’ Courts rules requires that convicted persons desiring to appeal under section 309</w:t>
      </w:r>
      <w:r w:rsidR="00294F84">
        <w:rPr>
          <w:rFonts w:ascii="Arial" w:hAnsi="Arial" w:cs="Arial"/>
        </w:rPr>
        <w:t xml:space="preserve"> </w:t>
      </w:r>
      <w:r w:rsidR="005964D8" w:rsidRPr="005964D8">
        <w:rPr>
          <w:rFonts w:ascii="Arial" w:hAnsi="Arial" w:cs="Arial"/>
        </w:rPr>
        <w:t xml:space="preserve">(1) of the Criminal Procedure Act, </w:t>
      </w:r>
      <w:r w:rsidR="00294F84">
        <w:rPr>
          <w:rFonts w:ascii="Arial" w:hAnsi="Arial" w:cs="Arial"/>
        </w:rPr>
        <w:t xml:space="preserve">51 of </w:t>
      </w:r>
      <w:r w:rsidR="005964D8" w:rsidRPr="005964D8">
        <w:rPr>
          <w:rFonts w:ascii="Arial" w:hAnsi="Arial" w:cs="Arial"/>
        </w:rPr>
        <w:t xml:space="preserve">1977, “shall within 14 days after the date of conviction, sentence or order in question, </w:t>
      </w:r>
      <w:r w:rsidR="005964D8" w:rsidRPr="005964D8">
        <w:rPr>
          <w:rFonts w:ascii="Arial" w:hAnsi="Arial" w:cs="Arial"/>
          <w:u w:val="single"/>
        </w:rPr>
        <w:t>lodge with the clerk of the court a notice of appeal in writing in which he shall set out clearly and specifically the grounds, whether of fact or law or both fact and l</w:t>
      </w:r>
      <w:r w:rsidR="005964D8">
        <w:rPr>
          <w:rFonts w:ascii="Arial" w:hAnsi="Arial" w:cs="Arial"/>
          <w:u w:val="single"/>
        </w:rPr>
        <w:t>aw, on which the appeal is based.</w:t>
      </w:r>
      <w:r w:rsidRPr="00DB3B31">
        <w:rPr>
          <w:rFonts w:ascii="Arial" w:hAnsi="Arial" w:cs="Arial"/>
          <w:i/>
          <w:iCs/>
          <w:sz w:val="24"/>
          <w:szCs w:val="24"/>
        </w:rPr>
        <w:t>’</w:t>
      </w:r>
      <w:r w:rsidR="00A90EB2">
        <w:rPr>
          <w:rFonts w:ascii="Arial" w:hAnsi="Arial" w:cs="Arial"/>
          <w:i/>
          <w:iCs/>
          <w:sz w:val="24"/>
          <w:szCs w:val="24"/>
        </w:rPr>
        <w:t xml:space="preserve"> (underlined emphasis)</w:t>
      </w:r>
    </w:p>
    <w:p w:rsidR="00934A64" w:rsidRDefault="00934A64" w:rsidP="004E52AF">
      <w:pPr>
        <w:spacing w:line="360" w:lineRule="auto"/>
        <w:ind w:right="720"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:rsidR="00C4726A" w:rsidRDefault="00A90EB2" w:rsidP="00C4726A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[5]</w:t>
      </w:r>
      <w:r>
        <w:rPr>
          <w:rFonts w:ascii="Arial" w:hAnsi="Arial" w:cs="Arial"/>
          <w:iCs/>
          <w:sz w:val="24"/>
          <w:szCs w:val="24"/>
        </w:rPr>
        <w:tab/>
      </w:r>
      <w:r w:rsidR="00094EDC">
        <w:rPr>
          <w:rFonts w:ascii="Arial" w:hAnsi="Arial" w:cs="Arial"/>
          <w:iCs/>
          <w:sz w:val="24"/>
          <w:szCs w:val="24"/>
        </w:rPr>
        <w:t xml:space="preserve"> </w:t>
      </w:r>
      <w:r w:rsidR="00186421">
        <w:rPr>
          <w:rFonts w:ascii="Arial" w:hAnsi="Arial" w:cs="Arial"/>
          <w:iCs/>
          <w:sz w:val="24"/>
          <w:szCs w:val="24"/>
        </w:rPr>
        <w:t>Maritz J</w:t>
      </w:r>
      <w:r w:rsidR="00C4726A">
        <w:rPr>
          <w:rFonts w:ascii="Arial" w:hAnsi="Arial" w:cs="Arial"/>
          <w:iCs/>
          <w:sz w:val="24"/>
          <w:szCs w:val="24"/>
        </w:rPr>
        <w:t xml:space="preserve"> further stated that g</w:t>
      </w:r>
      <w:r w:rsidR="00C4726A" w:rsidRPr="007D26E5">
        <w:rPr>
          <w:rFonts w:ascii="Arial" w:hAnsi="Arial" w:cs="Arial"/>
          <w:iCs/>
          <w:sz w:val="24"/>
          <w:szCs w:val="24"/>
        </w:rPr>
        <w:t>iven the importance of its objectives, the rule is for good reason formulated in peremptory terms</w:t>
      </w:r>
      <w:r w:rsidR="00C4726A">
        <w:rPr>
          <w:rFonts w:ascii="Arial" w:hAnsi="Arial" w:cs="Arial"/>
          <w:iCs/>
          <w:sz w:val="24"/>
          <w:szCs w:val="24"/>
        </w:rPr>
        <w:t>.</w:t>
      </w:r>
      <w:r w:rsidR="00C4726A" w:rsidRPr="007D26E5">
        <w:rPr>
          <w:rFonts w:ascii="Arial" w:hAnsi="Arial" w:cs="Arial"/>
          <w:iCs/>
          <w:sz w:val="24"/>
          <w:szCs w:val="24"/>
        </w:rPr>
        <w:t xml:space="preserve"> As Broome JP pointed out in </w:t>
      </w:r>
      <w:r w:rsidR="00C4726A" w:rsidRPr="007D26E5">
        <w:rPr>
          <w:rFonts w:ascii="Arial" w:hAnsi="Arial" w:cs="Arial"/>
          <w:i/>
          <w:iCs/>
          <w:sz w:val="24"/>
          <w:szCs w:val="24"/>
        </w:rPr>
        <w:t>R v Hoosen</w:t>
      </w:r>
      <w:r w:rsidR="00C4726A">
        <w:rPr>
          <w:rFonts w:ascii="Arial" w:hAnsi="Arial" w:cs="Arial"/>
          <w:iCs/>
          <w:sz w:val="24"/>
          <w:szCs w:val="24"/>
        </w:rPr>
        <w:t>, 1953 (3) SA 823 (N) at 824 that:</w:t>
      </w:r>
    </w:p>
    <w:p w:rsidR="00406BAB" w:rsidRDefault="00CB606D" w:rsidP="00C4726A">
      <w:pPr>
        <w:spacing w:line="360" w:lineRule="auto"/>
        <w:ind w:right="720"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‘…</w:t>
      </w:r>
      <w:r w:rsidR="00C4726A" w:rsidRPr="004F4C45">
        <w:rPr>
          <w:rFonts w:ascii="Arial" w:hAnsi="Arial" w:cs="Arial"/>
          <w:iCs/>
        </w:rPr>
        <w:t>an attorney filing such a notice assumes the </w:t>
      </w:r>
      <w:r w:rsidR="00C4726A" w:rsidRPr="004F4C45">
        <w:rPr>
          <w:rFonts w:ascii="Arial" w:hAnsi="Arial" w:cs="Arial"/>
          <w:i/>
          <w:iCs/>
        </w:rPr>
        <w:t>onus</w:t>
      </w:r>
      <w:r w:rsidR="00C4726A" w:rsidRPr="004F4C45">
        <w:rPr>
          <w:rFonts w:ascii="Arial" w:hAnsi="Arial" w:cs="Arial"/>
          <w:iCs/>
        </w:rPr>
        <w:t> of satisfying this Court, when the case comes on for hearing, that the appeal has been properly noted” and that, if the notice “is not a proper notice, all the consequences of a failure to note an appeal properly in terms of the Rules necessarily follow.</w:t>
      </w:r>
      <w:r>
        <w:rPr>
          <w:rFonts w:ascii="Arial" w:hAnsi="Arial" w:cs="Arial"/>
          <w:iCs/>
          <w:sz w:val="24"/>
          <w:szCs w:val="24"/>
        </w:rPr>
        <w:t>’</w:t>
      </w:r>
      <w:r w:rsidR="008E063D">
        <w:rPr>
          <w:rFonts w:ascii="Arial" w:hAnsi="Arial" w:cs="Arial"/>
          <w:iCs/>
          <w:sz w:val="24"/>
          <w:szCs w:val="24"/>
        </w:rPr>
        <w:t xml:space="preserve"> I agree and endorse the sentiments expressed</w:t>
      </w:r>
      <w:r w:rsidR="00DD7B1F">
        <w:rPr>
          <w:rFonts w:ascii="Arial" w:hAnsi="Arial" w:cs="Arial"/>
          <w:iCs/>
          <w:sz w:val="24"/>
          <w:szCs w:val="24"/>
        </w:rPr>
        <w:t>.</w:t>
      </w:r>
      <w:r w:rsidR="00C4726A">
        <w:rPr>
          <w:rFonts w:ascii="Arial" w:hAnsi="Arial" w:cs="Arial"/>
          <w:iCs/>
          <w:sz w:val="24"/>
          <w:szCs w:val="24"/>
        </w:rPr>
        <w:t xml:space="preserve"> </w:t>
      </w:r>
    </w:p>
    <w:p w:rsidR="00F27CA6" w:rsidRDefault="00094EDC" w:rsidP="00F27CA6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  <w:r w:rsidRPr="004F4C45">
        <w:rPr>
          <w:rFonts w:ascii="Arial" w:hAnsi="Arial" w:cs="Arial"/>
          <w:sz w:val="24"/>
          <w:szCs w:val="24"/>
          <w:shd w:val="clear" w:color="auto" w:fill="FFFFFF"/>
        </w:rPr>
        <w:lastRenderedPageBreak/>
        <w:t>[6]</w:t>
      </w:r>
      <w:r>
        <w:rPr>
          <w:rFonts w:ascii="Bookman Old Style" w:hAnsi="Bookman Old Style"/>
          <w:color w:val="333333"/>
          <w:shd w:val="clear" w:color="auto" w:fill="FFFFFF"/>
        </w:rPr>
        <w:tab/>
      </w:r>
      <w:r w:rsidR="000A000D">
        <w:rPr>
          <w:rFonts w:ascii="Arial" w:hAnsi="Arial" w:cs="Arial"/>
          <w:iCs/>
          <w:sz w:val="24"/>
          <w:szCs w:val="24"/>
        </w:rPr>
        <w:t xml:space="preserve"> </w:t>
      </w:r>
      <w:r w:rsidR="00375DC1">
        <w:rPr>
          <w:rFonts w:ascii="Arial" w:hAnsi="Arial" w:cs="Arial"/>
          <w:iCs/>
          <w:sz w:val="24"/>
          <w:szCs w:val="24"/>
        </w:rPr>
        <w:t xml:space="preserve">In the instant </w:t>
      </w:r>
      <w:r w:rsidR="000A000D">
        <w:rPr>
          <w:rFonts w:ascii="Arial" w:hAnsi="Arial" w:cs="Arial"/>
          <w:iCs/>
          <w:sz w:val="24"/>
          <w:szCs w:val="24"/>
        </w:rPr>
        <w:t xml:space="preserve">case the </w:t>
      </w:r>
      <w:r w:rsidR="00AB1053">
        <w:rPr>
          <w:rFonts w:ascii="Arial" w:hAnsi="Arial" w:cs="Arial"/>
          <w:iCs/>
          <w:sz w:val="24"/>
          <w:szCs w:val="24"/>
        </w:rPr>
        <w:t>a</w:t>
      </w:r>
      <w:r w:rsidR="00375DC1">
        <w:rPr>
          <w:rFonts w:ascii="Arial" w:hAnsi="Arial" w:cs="Arial"/>
          <w:iCs/>
          <w:sz w:val="24"/>
          <w:szCs w:val="24"/>
        </w:rPr>
        <w:t>ppellant filed a</w:t>
      </w:r>
      <w:r w:rsidR="00AB1053">
        <w:rPr>
          <w:rFonts w:ascii="Arial" w:hAnsi="Arial" w:cs="Arial"/>
          <w:iCs/>
          <w:sz w:val="24"/>
          <w:szCs w:val="24"/>
        </w:rPr>
        <w:t xml:space="preserve"> </w:t>
      </w:r>
      <w:r w:rsidR="000A000D">
        <w:rPr>
          <w:rFonts w:ascii="Arial" w:hAnsi="Arial" w:cs="Arial"/>
          <w:iCs/>
          <w:sz w:val="24"/>
          <w:szCs w:val="24"/>
        </w:rPr>
        <w:t>new notice of appeal</w:t>
      </w:r>
      <w:r w:rsidR="005964D8">
        <w:rPr>
          <w:rFonts w:ascii="Arial" w:hAnsi="Arial" w:cs="Arial"/>
          <w:iCs/>
          <w:sz w:val="24"/>
          <w:szCs w:val="24"/>
        </w:rPr>
        <w:t xml:space="preserve"> on</w:t>
      </w:r>
      <w:r w:rsidR="00375DC1">
        <w:rPr>
          <w:rFonts w:ascii="Arial" w:hAnsi="Arial" w:cs="Arial"/>
          <w:iCs/>
          <w:sz w:val="24"/>
          <w:szCs w:val="24"/>
        </w:rPr>
        <w:t xml:space="preserve"> 5 September 2019.</w:t>
      </w:r>
      <w:r w:rsidR="00F27CA6" w:rsidRPr="00F27CA6">
        <w:rPr>
          <w:rFonts w:ascii="Arial" w:hAnsi="Arial" w:cs="Arial"/>
          <w:iCs/>
          <w:sz w:val="24"/>
          <w:szCs w:val="24"/>
        </w:rPr>
        <w:t xml:space="preserve"> </w:t>
      </w:r>
      <w:r w:rsidR="008C3F2C">
        <w:rPr>
          <w:rFonts w:ascii="Arial" w:hAnsi="Arial" w:cs="Arial"/>
          <w:iCs/>
          <w:sz w:val="24"/>
          <w:szCs w:val="24"/>
        </w:rPr>
        <w:t>The notice of withdrawal of the initial</w:t>
      </w:r>
      <w:r w:rsidR="00F27CA6">
        <w:rPr>
          <w:rFonts w:ascii="Arial" w:hAnsi="Arial" w:cs="Arial"/>
          <w:iCs/>
          <w:sz w:val="24"/>
          <w:szCs w:val="24"/>
        </w:rPr>
        <w:t xml:space="preserve"> notice of appeal</w:t>
      </w:r>
      <w:r w:rsidR="00F27CA6" w:rsidRPr="00094EDC">
        <w:rPr>
          <w:rFonts w:ascii="Arial" w:hAnsi="Arial" w:cs="Arial"/>
          <w:iCs/>
          <w:sz w:val="24"/>
          <w:szCs w:val="24"/>
        </w:rPr>
        <w:t xml:space="preserve"> </w:t>
      </w:r>
      <w:r w:rsidR="00F27CA6">
        <w:rPr>
          <w:rFonts w:ascii="Arial" w:hAnsi="Arial" w:cs="Arial"/>
          <w:iCs/>
          <w:sz w:val="24"/>
          <w:szCs w:val="24"/>
        </w:rPr>
        <w:t>dated 19 July 2019 wa</w:t>
      </w:r>
      <w:r w:rsidR="00186421">
        <w:rPr>
          <w:rFonts w:ascii="Arial" w:hAnsi="Arial" w:cs="Arial"/>
          <w:iCs/>
          <w:sz w:val="24"/>
          <w:szCs w:val="24"/>
        </w:rPr>
        <w:t>s indeed uploaded on e-justice.</w:t>
      </w:r>
      <w:r w:rsidR="00375DC1">
        <w:rPr>
          <w:rFonts w:ascii="Arial" w:hAnsi="Arial" w:cs="Arial"/>
          <w:iCs/>
          <w:sz w:val="24"/>
          <w:szCs w:val="24"/>
        </w:rPr>
        <w:t xml:space="preserve"> </w:t>
      </w:r>
      <w:r w:rsidR="001E7369">
        <w:rPr>
          <w:rFonts w:ascii="Arial" w:hAnsi="Arial" w:cs="Arial"/>
          <w:iCs/>
          <w:sz w:val="24"/>
          <w:szCs w:val="24"/>
        </w:rPr>
        <w:t xml:space="preserve">Counsel for the appellant explained from the bar that the date indicated </w:t>
      </w:r>
      <w:r w:rsidR="005427C5">
        <w:rPr>
          <w:rFonts w:ascii="Arial" w:hAnsi="Arial" w:cs="Arial"/>
          <w:iCs/>
          <w:sz w:val="24"/>
          <w:szCs w:val="24"/>
        </w:rPr>
        <w:t>on a notice was wrong because</w:t>
      </w:r>
      <w:r w:rsidR="001E7369">
        <w:rPr>
          <w:rFonts w:ascii="Arial" w:hAnsi="Arial" w:cs="Arial"/>
          <w:iCs/>
          <w:sz w:val="24"/>
          <w:szCs w:val="24"/>
        </w:rPr>
        <w:t xml:space="preserve"> she only got instruction</w:t>
      </w:r>
      <w:r w:rsidR="008C3F2C">
        <w:rPr>
          <w:rFonts w:ascii="Arial" w:hAnsi="Arial" w:cs="Arial"/>
          <w:iCs/>
          <w:sz w:val="24"/>
          <w:szCs w:val="24"/>
        </w:rPr>
        <w:t>s</w:t>
      </w:r>
      <w:r w:rsidR="001E7369">
        <w:rPr>
          <w:rFonts w:ascii="Arial" w:hAnsi="Arial" w:cs="Arial"/>
          <w:iCs/>
          <w:sz w:val="24"/>
          <w:szCs w:val="24"/>
        </w:rPr>
        <w:t xml:space="preserve"> from legal aid in August 2019</w:t>
      </w:r>
      <w:r w:rsidR="008C3F2C">
        <w:rPr>
          <w:rFonts w:ascii="Arial" w:hAnsi="Arial" w:cs="Arial"/>
          <w:iCs/>
          <w:sz w:val="24"/>
          <w:szCs w:val="24"/>
        </w:rPr>
        <w:t xml:space="preserve"> to represent the appellant. As if that wa</w:t>
      </w:r>
      <w:r w:rsidR="001E7369">
        <w:rPr>
          <w:rFonts w:ascii="Arial" w:hAnsi="Arial" w:cs="Arial"/>
          <w:iCs/>
          <w:sz w:val="24"/>
          <w:szCs w:val="24"/>
        </w:rPr>
        <w:t>s not enough</w:t>
      </w:r>
      <w:r w:rsidR="005427C5">
        <w:rPr>
          <w:rFonts w:ascii="Arial" w:hAnsi="Arial" w:cs="Arial"/>
          <w:iCs/>
          <w:sz w:val="24"/>
          <w:szCs w:val="24"/>
        </w:rPr>
        <w:t>,</w:t>
      </w:r>
      <w:r w:rsidR="001E7369">
        <w:rPr>
          <w:rFonts w:ascii="Arial" w:hAnsi="Arial" w:cs="Arial"/>
          <w:iCs/>
          <w:sz w:val="24"/>
          <w:szCs w:val="24"/>
        </w:rPr>
        <w:t xml:space="preserve"> a second</w:t>
      </w:r>
      <w:r w:rsidR="00206A8A">
        <w:rPr>
          <w:rFonts w:ascii="Arial" w:hAnsi="Arial" w:cs="Arial"/>
          <w:iCs/>
          <w:sz w:val="24"/>
          <w:szCs w:val="24"/>
        </w:rPr>
        <w:t xml:space="preserve"> notice of appeal wa</w:t>
      </w:r>
      <w:r w:rsidR="001E7369">
        <w:rPr>
          <w:rFonts w:ascii="Arial" w:hAnsi="Arial" w:cs="Arial"/>
          <w:iCs/>
          <w:sz w:val="24"/>
          <w:szCs w:val="24"/>
        </w:rPr>
        <w:t>s not</w:t>
      </w:r>
      <w:r w:rsidR="00DD7B1F">
        <w:rPr>
          <w:rFonts w:ascii="Arial" w:hAnsi="Arial" w:cs="Arial"/>
          <w:iCs/>
          <w:sz w:val="24"/>
          <w:szCs w:val="24"/>
        </w:rPr>
        <w:t xml:space="preserve"> lodged with the clerk of </w:t>
      </w:r>
      <w:r w:rsidR="001E7369">
        <w:rPr>
          <w:rFonts w:ascii="Arial" w:hAnsi="Arial" w:cs="Arial"/>
          <w:iCs/>
          <w:sz w:val="24"/>
          <w:szCs w:val="24"/>
        </w:rPr>
        <w:t xml:space="preserve">magistrate’s </w:t>
      </w:r>
      <w:r w:rsidR="00DD7B1F">
        <w:rPr>
          <w:rFonts w:ascii="Arial" w:hAnsi="Arial" w:cs="Arial"/>
          <w:iCs/>
          <w:sz w:val="24"/>
          <w:szCs w:val="24"/>
        </w:rPr>
        <w:t>court</w:t>
      </w:r>
      <w:r w:rsidR="001E7369">
        <w:rPr>
          <w:rFonts w:ascii="Arial" w:hAnsi="Arial" w:cs="Arial"/>
          <w:iCs/>
          <w:sz w:val="24"/>
          <w:szCs w:val="24"/>
        </w:rPr>
        <w:t xml:space="preserve"> of Eenhana</w:t>
      </w:r>
      <w:r w:rsidR="00DD7B1F">
        <w:rPr>
          <w:rFonts w:ascii="Arial" w:hAnsi="Arial" w:cs="Arial"/>
          <w:iCs/>
          <w:sz w:val="24"/>
          <w:szCs w:val="24"/>
        </w:rPr>
        <w:t xml:space="preserve"> where th</w:t>
      </w:r>
      <w:r w:rsidR="005427C5">
        <w:rPr>
          <w:rFonts w:ascii="Arial" w:hAnsi="Arial" w:cs="Arial"/>
          <w:iCs/>
          <w:sz w:val="24"/>
          <w:szCs w:val="24"/>
        </w:rPr>
        <w:t>e matter was</w:t>
      </w:r>
      <w:r w:rsidR="001E7369">
        <w:rPr>
          <w:rFonts w:ascii="Arial" w:hAnsi="Arial" w:cs="Arial"/>
          <w:iCs/>
          <w:sz w:val="24"/>
          <w:szCs w:val="24"/>
        </w:rPr>
        <w:t xml:space="preserve"> heard </w:t>
      </w:r>
      <w:r w:rsidR="008C3F2C">
        <w:rPr>
          <w:rFonts w:ascii="Arial" w:hAnsi="Arial" w:cs="Arial"/>
          <w:iCs/>
          <w:sz w:val="24"/>
          <w:szCs w:val="24"/>
        </w:rPr>
        <w:t xml:space="preserve">which </w:t>
      </w:r>
      <w:r w:rsidR="005427C5">
        <w:rPr>
          <w:rFonts w:ascii="Arial" w:hAnsi="Arial" w:cs="Arial"/>
          <w:iCs/>
          <w:sz w:val="24"/>
          <w:szCs w:val="24"/>
        </w:rPr>
        <w:t>a norm</w:t>
      </w:r>
      <w:r w:rsidR="001E7369">
        <w:rPr>
          <w:rFonts w:ascii="Arial" w:hAnsi="Arial" w:cs="Arial"/>
          <w:iCs/>
          <w:sz w:val="24"/>
          <w:szCs w:val="24"/>
        </w:rPr>
        <w:t xml:space="preserve"> </w:t>
      </w:r>
      <w:r w:rsidR="008C3F2C">
        <w:rPr>
          <w:rFonts w:ascii="Arial" w:hAnsi="Arial" w:cs="Arial"/>
          <w:iCs/>
          <w:sz w:val="24"/>
          <w:szCs w:val="24"/>
        </w:rPr>
        <w:t xml:space="preserve">but </w:t>
      </w:r>
      <w:r w:rsidR="005427C5">
        <w:rPr>
          <w:rFonts w:ascii="Arial" w:hAnsi="Arial" w:cs="Arial"/>
          <w:iCs/>
          <w:sz w:val="24"/>
          <w:szCs w:val="24"/>
        </w:rPr>
        <w:t xml:space="preserve">instead </w:t>
      </w:r>
      <w:r w:rsidR="008C3F2C">
        <w:rPr>
          <w:rFonts w:ascii="Arial" w:hAnsi="Arial" w:cs="Arial"/>
          <w:iCs/>
          <w:sz w:val="24"/>
          <w:szCs w:val="24"/>
        </w:rPr>
        <w:t>it bore</w:t>
      </w:r>
      <w:r w:rsidR="001E7369">
        <w:rPr>
          <w:rFonts w:ascii="Arial" w:hAnsi="Arial" w:cs="Arial"/>
          <w:iCs/>
          <w:sz w:val="24"/>
          <w:szCs w:val="24"/>
        </w:rPr>
        <w:t xml:space="preserve"> the registrar’s stamp</w:t>
      </w:r>
      <w:r w:rsidR="00DD7B1F">
        <w:rPr>
          <w:rFonts w:ascii="Arial" w:hAnsi="Arial" w:cs="Arial"/>
          <w:iCs/>
          <w:sz w:val="24"/>
          <w:szCs w:val="24"/>
        </w:rPr>
        <w:t xml:space="preserve">. </w:t>
      </w:r>
      <w:r w:rsidR="008C3F2C">
        <w:rPr>
          <w:rFonts w:ascii="Arial" w:hAnsi="Arial" w:cs="Arial"/>
          <w:iCs/>
          <w:sz w:val="24"/>
          <w:szCs w:val="24"/>
        </w:rPr>
        <w:t xml:space="preserve">Counsel </w:t>
      </w:r>
      <w:r w:rsidR="005427C5">
        <w:rPr>
          <w:rFonts w:ascii="Arial" w:hAnsi="Arial" w:cs="Arial"/>
          <w:iCs/>
          <w:sz w:val="24"/>
          <w:szCs w:val="24"/>
        </w:rPr>
        <w:t xml:space="preserve">in the heads of argument </w:t>
      </w:r>
      <w:r w:rsidR="008C3F2C">
        <w:rPr>
          <w:rFonts w:ascii="Arial" w:hAnsi="Arial" w:cs="Arial"/>
          <w:iCs/>
          <w:sz w:val="24"/>
          <w:szCs w:val="24"/>
        </w:rPr>
        <w:t>did not try to explain this anomalies</w:t>
      </w:r>
      <w:r w:rsidR="005427C5" w:rsidRPr="005427C5">
        <w:rPr>
          <w:rFonts w:ascii="Arial" w:hAnsi="Arial" w:cs="Arial"/>
          <w:iCs/>
          <w:sz w:val="24"/>
          <w:szCs w:val="24"/>
        </w:rPr>
        <w:t xml:space="preserve"> </w:t>
      </w:r>
      <w:r w:rsidR="005427C5">
        <w:rPr>
          <w:rFonts w:ascii="Arial" w:hAnsi="Arial" w:cs="Arial"/>
          <w:iCs/>
          <w:sz w:val="24"/>
          <w:szCs w:val="24"/>
        </w:rPr>
        <w:t>even though same was</w:t>
      </w:r>
      <w:r w:rsidR="008C3F2C">
        <w:rPr>
          <w:rFonts w:ascii="Arial" w:hAnsi="Arial" w:cs="Arial"/>
          <w:iCs/>
          <w:sz w:val="24"/>
          <w:szCs w:val="24"/>
        </w:rPr>
        <w:t xml:space="preserve"> filed a day after the respondent filed </w:t>
      </w:r>
      <w:r w:rsidR="005427C5">
        <w:rPr>
          <w:rFonts w:ascii="Arial" w:hAnsi="Arial" w:cs="Arial"/>
          <w:iCs/>
          <w:sz w:val="24"/>
          <w:szCs w:val="24"/>
        </w:rPr>
        <w:t>his. This</w:t>
      </w:r>
      <w:r w:rsidR="00977A96">
        <w:rPr>
          <w:rFonts w:ascii="Arial" w:hAnsi="Arial" w:cs="Arial"/>
          <w:iCs/>
          <w:sz w:val="24"/>
          <w:szCs w:val="24"/>
        </w:rPr>
        <w:t xml:space="preserve"> </w:t>
      </w:r>
      <w:r w:rsidR="008C3F2C">
        <w:rPr>
          <w:rFonts w:ascii="Arial" w:hAnsi="Arial" w:cs="Arial"/>
          <w:iCs/>
          <w:sz w:val="24"/>
          <w:szCs w:val="24"/>
        </w:rPr>
        <w:t>wa</w:t>
      </w:r>
      <w:r w:rsidR="00977A96">
        <w:rPr>
          <w:rFonts w:ascii="Arial" w:hAnsi="Arial" w:cs="Arial"/>
          <w:iCs/>
          <w:sz w:val="24"/>
          <w:szCs w:val="24"/>
        </w:rPr>
        <w:t xml:space="preserve">s </w:t>
      </w:r>
      <w:r w:rsidR="005427C5">
        <w:rPr>
          <w:rFonts w:ascii="Arial" w:hAnsi="Arial" w:cs="Arial"/>
          <w:iCs/>
          <w:sz w:val="24"/>
          <w:szCs w:val="24"/>
        </w:rPr>
        <w:t>inexplicable why</w:t>
      </w:r>
      <w:r w:rsidR="00C4726A">
        <w:rPr>
          <w:rFonts w:ascii="Arial" w:hAnsi="Arial" w:cs="Arial"/>
          <w:iCs/>
          <w:sz w:val="24"/>
          <w:szCs w:val="24"/>
        </w:rPr>
        <w:t xml:space="preserve"> </w:t>
      </w:r>
      <w:r w:rsidR="00977A96">
        <w:rPr>
          <w:rFonts w:ascii="Arial" w:hAnsi="Arial" w:cs="Arial"/>
          <w:iCs/>
          <w:sz w:val="24"/>
          <w:szCs w:val="24"/>
        </w:rPr>
        <w:t xml:space="preserve">a notice </w:t>
      </w:r>
      <w:r w:rsidR="00C4726A">
        <w:rPr>
          <w:rFonts w:ascii="Arial" w:hAnsi="Arial" w:cs="Arial"/>
          <w:iCs/>
          <w:sz w:val="24"/>
          <w:szCs w:val="24"/>
        </w:rPr>
        <w:t xml:space="preserve">of appeal was </w:t>
      </w:r>
      <w:r w:rsidR="00DD7B1F">
        <w:rPr>
          <w:rFonts w:ascii="Arial" w:hAnsi="Arial" w:cs="Arial"/>
          <w:iCs/>
          <w:sz w:val="24"/>
          <w:szCs w:val="24"/>
        </w:rPr>
        <w:t>not</w:t>
      </w:r>
      <w:r w:rsidR="00DD7B1F" w:rsidRPr="00DD7B1F">
        <w:rPr>
          <w:rFonts w:ascii="Arial" w:hAnsi="Arial" w:cs="Arial"/>
          <w:iCs/>
          <w:sz w:val="24"/>
          <w:szCs w:val="24"/>
        </w:rPr>
        <w:t xml:space="preserve"> </w:t>
      </w:r>
      <w:r w:rsidR="00DD7B1F">
        <w:rPr>
          <w:rFonts w:ascii="Arial" w:hAnsi="Arial" w:cs="Arial"/>
          <w:iCs/>
          <w:sz w:val="24"/>
          <w:szCs w:val="24"/>
        </w:rPr>
        <w:t>lodged</w:t>
      </w:r>
      <w:r w:rsidR="005427C5" w:rsidRPr="005427C5">
        <w:rPr>
          <w:rFonts w:ascii="Arial" w:hAnsi="Arial" w:cs="Arial"/>
          <w:iCs/>
          <w:sz w:val="24"/>
          <w:szCs w:val="24"/>
        </w:rPr>
        <w:t xml:space="preserve"> </w:t>
      </w:r>
      <w:r w:rsidR="005427C5">
        <w:rPr>
          <w:rFonts w:ascii="Arial" w:hAnsi="Arial" w:cs="Arial"/>
          <w:iCs/>
          <w:sz w:val="24"/>
          <w:szCs w:val="24"/>
        </w:rPr>
        <w:t>as required by law</w:t>
      </w:r>
      <w:r w:rsidR="00DD7B1F">
        <w:rPr>
          <w:rFonts w:ascii="Arial" w:hAnsi="Arial" w:cs="Arial"/>
          <w:iCs/>
          <w:sz w:val="24"/>
          <w:szCs w:val="24"/>
        </w:rPr>
        <w:t xml:space="preserve">. </w:t>
      </w:r>
      <w:r w:rsidR="008C3F2C">
        <w:rPr>
          <w:rFonts w:ascii="Arial" w:hAnsi="Arial" w:cs="Arial"/>
          <w:iCs/>
          <w:sz w:val="24"/>
          <w:szCs w:val="24"/>
        </w:rPr>
        <w:t>These</w:t>
      </w:r>
      <w:r w:rsidR="005427C5">
        <w:rPr>
          <w:rFonts w:ascii="Arial" w:hAnsi="Arial" w:cs="Arial"/>
          <w:iCs/>
          <w:sz w:val="24"/>
          <w:szCs w:val="24"/>
        </w:rPr>
        <w:t xml:space="preserve"> provisions were</w:t>
      </w:r>
      <w:r w:rsidR="00F27CA6">
        <w:rPr>
          <w:rFonts w:ascii="Arial" w:hAnsi="Arial" w:cs="Arial"/>
          <w:iCs/>
          <w:sz w:val="24"/>
          <w:szCs w:val="24"/>
        </w:rPr>
        <w:t xml:space="preserve"> crafted in peremptory language and </w:t>
      </w:r>
      <w:r w:rsidR="00DD7B1F">
        <w:rPr>
          <w:rFonts w:ascii="Arial" w:hAnsi="Arial" w:cs="Arial"/>
          <w:iCs/>
          <w:sz w:val="24"/>
          <w:szCs w:val="24"/>
        </w:rPr>
        <w:t xml:space="preserve">non-compliance </w:t>
      </w:r>
      <w:r w:rsidR="00DD7B1F" w:rsidRPr="008E063D">
        <w:rPr>
          <w:rFonts w:ascii="Arial" w:hAnsi="Arial" w:cs="Arial"/>
          <w:iCs/>
          <w:sz w:val="24"/>
          <w:szCs w:val="24"/>
        </w:rPr>
        <w:t>has</w:t>
      </w:r>
      <w:r w:rsidR="008E063D">
        <w:rPr>
          <w:rFonts w:ascii="Arial" w:hAnsi="Arial" w:cs="Arial"/>
          <w:iCs/>
        </w:rPr>
        <w:t xml:space="preserve"> a </w:t>
      </w:r>
      <w:r w:rsidR="00DD7B1F">
        <w:rPr>
          <w:rFonts w:ascii="Arial" w:hAnsi="Arial" w:cs="Arial"/>
          <w:iCs/>
        </w:rPr>
        <w:t>consequence</w:t>
      </w:r>
      <w:r w:rsidR="008E063D">
        <w:rPr>
          <w:rFonts w:ascii="Arial" w:hAnsi="Arial" w:cs="Arial"/>
          <w:iCs/>
          <w:sz w:val="24"/>
          <w:szCs w:val="24"/>
        </w:rPr>
        <w:t xml:space="preserve"> and </w:t>
      </w:r>
      <w:r w:rsidR="00973EE6">
        <w:rPr>
          <w:rFonts w:ascii="Arial" w:hAnsi="Arial" w:cs="Arial"/>
          <w:iCs/>
          <w:sz w:val="24"/>
          <w:szCs w:val="24"/>
        </w:rPr>
        <w:t>cannot be condoned</w:t>
      </w:r>
      <w:r w:rsidR="00F27CA6">
        <w:rPr>
          <w:rFonts w:ascii="Arial" w:hAnsi="Arial" w:cs="Arial"/>
          <w:iCs/>
        </w:rPr>
        <w:t>.</w:t>
      </w:r>
    </w:p>
    <w:p w:rsidR="004F4C45" w:rsidRPr="00CB606D" w:rsidRDefault="004F4C45" w:rsidP="00DB3B31">
      <w:pPr>
        <w:spacing w:line="360" w:lineRule="auto"/>
        <w:ind w:right="720"/>
        <w:jc w:val="both"/>
        <w:rPr>
          <w:rFonts w:ascii="Bookman Old Style" w:hAnsi="Bookman Old Style"/>
          <w:shd w:val="clear" w:color="auto" w:fill="FFFFFF"/>
        </w:rPr>
      </w:pPr>
    </w:p>
    <w:p w:rsidR="001D2859" w:rsidRPr="00CB606D" w:rsidRDefault="00934A64" w:rsidP="004F4C45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  <w:r w:rsidRPr="00CB606D">
        <w:rPr>
          <w:rFonts w:ascii="Arial" w:hAnsi="Arial" w:cs="Arial"/>
          <w:iCs/>
          <w:sz w:val="24"/>
          <w:szCs w:val="24"/>
        </w:rPr>
        <w:t>[7]</w:t>
      </w:r>
      <w:r w:rsidR="004F4C45" w:rsidRPr="00CB606D">
        <w:rPr>
          <w:rFonts w:ascii="Bookman Old Style" w:hAnsi="Bookman Old Style"/>
          <w:shd w:val="clear" w:color="auto" w:fill="FFFFFF"/>
        </w:rPr>
        <w:tab/>
      </w:r>
      <w:r w:rsidR="00F27CA6" w:rsidRPr="00CB606D">
        <w:rPr>
          <w:rFonts w:ascii="Arial" w:hAnsi="Arial" w:cs="Arial"/>
          <w:sz w:val="24"/>
          <w:szCs w:val="24"/>
          <w:shd w:val="clear" w:color="auto" w:fill="FFFFFF"/>
        </w:rPr>
        <w:t>Applying the law to the facts in this case it cannot be said the applicant complied with the rules</w:t>
      </w:r>
      <w:r w:rsidR="00F27CA6" w:rsidRPr="00CB606D">
        <w:rPr>
          <w:rFonts w:ascii="Bookman Old Style" w:hAnsi="Bookman Old Style"/>
          <w:shd w:val="clear" w:color="auto" w:fill="FFFFFF"/>
        </w:rPr>
        <w:t xml:space="preserve">. </w:t>
      </w:r>
      <w:r w:rsidRPr="00CB606D">
        <w:rPr>
          <w:rFonts w:ascii="Arial" w:hAnsi="Arial" w:cs="Arial"/>
          <w:iCs/>
          <w:sz w:val="24"/>
          <w:szCs w:val="24"/>
        </w:rPr>
        <w:t>In our view</w:t>
      </w:r>
      <w:r w:rsidR="004F4C45" w:rsidRPr="00CB606D">
        <w:rPr>
          <w:rFonts w:ascii="Arial" w:hAnsi="Arial" w:cs="Arial"/>
          <w:iCs/>
          <w:sz w:val="24"/>
          <w:szCs w:val="24"/>
        </w:rPr>
        <w:t xml:space="preserve"> the second notice of appeal is not properly before this court and stands to be disregarded.</w:t>
      </w:r>
    </w:p>
    <w:p w:rsidR="009C3027" w:rsidRPr="00CB606D" w:rsidRDefault="009C3027" w:rsidP="00DB3B31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</w:p>
    <w:p w:rsidR="003974C5" w:rsidRDefault="00F27CA6" w:rsidP="00DB3B31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[8</w:t>
      </w:r>
      <w:r w:rsidR="003974C5">
        <w:rPr>
          <w:rFonts w:ascii="Arial" w:hAnsi="Arial" w:cs="Arial"/>
          <w:iCs/>
          <w:sz w:val="24"/>
          <w:szCs w:val="24"/>
        </w:rPr>
        <w:t>]</w:t>
      </w:r>
      <w:r w:rsidR="003974C5">
        <w:rPr>
          <w:rFonts w:ascii="Arial" w:hAnsi="Arial" w:cs="Arial"/>
          <w:iCs/>
          <w:sz w:val="24"/>
          <w:szCs w:val="24"/>
        </w:rPr>
        <w:tab/>
        <w:t>In the result:</w:t>
      </w:r>
    </w:p>
    <w:p w:rsidR="003974C5" w:rsidRDefault="003974C5" w:rsidP="00DB3B31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 The point in limine is upheld;</w:t>
      </w:r>
    </w:p>
    <w:p w:rsidR="001D2859" w:rsidRDefault="003974C5" w:rsidP="00DB3B31">
      <w:pPr>
        <w:spacing w:line="360" w:lineRule="auto"/>
        <w:ind w:right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The appeal is hereby struck and considered finalised. </w:t>
      </w:r>
    </w:p>
    <w:p w:rsidR="00DB3B31" w:rsidRPr="00CD16FF" w:rsidRDefault="00DB3B31" w:rsidP="00DB3B31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  <w:lang w:val="en-US"/>
        </w:rPr>
      </w:pPr>
    </w:p>
    <w:p w:rsidR="005B431F" w:rsidRDefault="00DB3B31" w:rsidP="005B431F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9C3027" w:rsidRPr="00CD16FF" w:rsidRDefault="009C3027" w:rsidP="005B431F">
      <w:pPr>
        <w:spacing w:line="360" w:lineRule="auto"/>
        <w:ind w:right="720"/>
        <w:jc w:val="both"/>
        <w:rPr>
          <w:rFonts w:ascii="Arial" w:hAnsi="Arial" w:cs="Arial"/>
          <w:sz w:val="24"/>
          <w:szCs w:val="24"/>
          <w:lang w:val="en-US"/>
        </w:rPr>
      </w:pPr>
    </w:p>
    <w:p w:rsidR="009C3027" w:rsidRDefault="009C3027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9C3027" w:rsidRDefault="009C3027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9C3027" w:rsidRDefault="009C3027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  <w:t>________________</w:t>
      </w: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  <w:t xml:space="preserve">J T SALIONGA </w:t>
      </w: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E6B45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  <w:t>JUDGE</w:t>
      </w:r>
    </w:p>
    <w:p w:rsidR="00DE6B45" w:rsidRPr="00DE6B45" w:rsidRDefault="00DE6B45" w:rsidP="00DE6B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E6B45">
        <w:rPr>
          <w:rFonts w:ascii="Arial" w:eastAsia="Times New Roman" w:hAnsi="Arial" w:cs="Arial"/>
          <w:sz w:val="24"/>
          <w:szCs w:val="24"/>
          <w:lang w:val="en-US"/>
        </w:rPr>
        <w:t>I agree</w:t>
      </w: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E6B45" w:rsidRPr="00DE6B45" w:rsidRDefault="00DE6B45" w:rsidP="00DE6B4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E6B45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  <w:t>________________</w:t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  <w:t xml:space="preserve"> H C JANUARY</w:t>
      </w:r>
      <w:r w:rsidRPr="00DE6B45">
        <w:rPr>
          <w:rFonts w:ascii="Arial" w:eastAsia="Times New Roman" w:hAnsi="Arial" w:cs="Arial"/>
          <w:sz w:val="24"/>
          <w:szCs w:val="24"/>
          <w:lang w:val="en-US"/>
        </w:rPr>
        <w:tab/>
        <w:t>JUDGE</w:t>
      </w:r>
    </w:p>
    <w:p w:rsidR="00DE6B45" w:rsidRDefault="00DE6B45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0099" w:rsidRDefault="00390099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Pr="00A00EAC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00EAC">
        <w:rPr>
          <w:rFonts w:ascii="Arial" w:hAnsi="Arial" w:cs="Arial"/>
          <w:sz w:val="24"/>
          <w:szCs w:val="24"/>
          <w:u w:val="single"/>
        </w:rPr>
        <w:t>APPEARANCES:</w:t>
      </w:r>
    </w:p>
    <w:p w:rsidR="005B431F" w:rsidRDefault="005B431F" w:rsidP="005B431F">
      <w:pPr>
        <w:spacing w:line="360" w:lineRule="auto"/>
        <w:ind w:left="4950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APPELLANT: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C79">
        <w:rPr>
          <w:rFonts w:ascii="Arial" w:hAnsi="Arial" w:cs="Arial"/>
          <w:sz w:val="24"/>
          <w:szCs w:val="24"/>
        </w:rPr>
        <w:t>M Amupolo</w:t>
      </w:r>
    </w:p>
    <w:p w:rsidR="005B431F" w:rsidRDefault="005B431F" w:rsidP="005B431F">
      <w:pPr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CE6C79">
        <w:rPr>
          <w:rFonts w:ascii="Arial" w:hAnsi="Arial" w:cs="Arial"/>
          <w:sz w:val="24"/>
          <w:szCs w:val="24"/>
        </w:rPr>
        <w:t>Amupolo &amp; Co. Inc, Ongwediva</w:t>
      </w:r>
    </w:p>
    <w:p w:rsidR="00CE6C79" w:rsidRDefault="00CE6C79" w:rsidP="005B431F">
      <w:pPr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CE6C79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RESPONDENT: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 Shileka</w:t>
      </w:r>
      <w:r w:rsidR="005B431F">
        <w:rPr>
          <w:rFonts w:ascii="Arial" w:hAnsi="Arial" w:cs="Arial"/>
          <w:sz w:val="24"/>
          <w:szCs w:val="24"/>
        </w:rPr>
        <w:t xml:space="preserve"> </w:t>
      </w:r>
    </w:p>
    <w:p w:rsidR="005B431F" w:rsidRDefault="005B431F" w:rsidP="005B431F">
      <w:pPr>
        <w:spacing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Prosecutor-General, Oshakati</w:t>
      </w:r>
    </w:p>
    <w:p w:rsidR="005B431F" w:rsidRPr="00321E89" w:rsidRDefault="005B431F" w:rsidP="005B43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431F" w:rsidRPr="008059F7" w:rsidRDefault="005B431F" w:rsidP="005B4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431F" w:rsidRDefault="005B431F" w:rsidP="005B431F"/>
    <w:p w:rsidR="00F13D01" w:rsidRDefault="00F13D01"/>
    <w:sectPr w:rsidR="00F13D01" w:rsidSect="00940DA6">
      <w:headerReference w:type="default" r:id="rId9"/>
      <w:footerReference w:type="default" r:id="rId10"/>
      <w:pgSz w:w="12240" w:h="15840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9F" w:rsidRDefault="005D179F">
      <w:pPr>
        <w:spacing w:after="0" w:line="240" w:lineRule="auto"/>
      </w:pPr>
      <w:r>
        <w:separator/>
      </w:r>
    </w:p>
  </w:endnote>
  <w:endnote w:type="continuationSeparator" w:id="0">
    <w:p w:rsidR="005D179F" w:rsidRDefault="005D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BE" w:rsidRDefault="008E530D">
    <w:pPr>
      <w:pStyle w:val="Footer"/>
      <w:jc w:val="right"/>
    </w:pPr>
  </w:p>
  <w:p w:rsidR="007E6ABE" w:rsidRDefault="008E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9F" w:rsidRDefault="005D179F">
      <w:pPr>
        <w:spacing w:after="0" w:line="240" w:lineRule="auto"/>
      </w:pPr>
      <w:r>
        <w:separator/>
      </w:r>
    </w:p>
  </w:footnote>
  <w:footnote w:type="continuationSeparator" w:id="0">
    <w:p w:rsidR="005D179F" w:rsidRDefault="005D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1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DA6" w:rsidRDefault="00725457">
        <w:pPr>
          <w:pStyle w:val="Header"/>
          <w:jc w:val="right"/>
        </w:pPr>
        <w:r w:rsidRPr="001A02F2">
          <w:rPr>
            <w:rFonts w:ascii="Arial" w:hAnsi="Arial" w:cs="Arial"/>
            <w:sz w:val="24"/>
            <w:szCs w:val="24"/>
          </w:rPr>
          <w:fldChar w:fldCharType="begin"/>
        </w:r>
        <w:r w:rsidRPr="001A02F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02F2">
          <w:rPr>
            <w:rFonts w:ascii="Arial" w:hAnsi="Arial" w:cs="Arial"/>
            <w:sz w:val="24"/>
            <w:szCs w:val="24"/>
          </w:rPr>
          <w:fldChar w:fldCharType="separate"/>
        </w:r>
        <w:r w:rsidR="008E530D">
          <w:rPr>
            <w:rFonts w:ascii="Arial" w:hAnsi="Arial" w:cs="Arial"/>
            <w:noProof/>
            <w:sz w:val="24"/>
            <w:szCs w:val="24"/>
          </w:rPr>
          <w:t>2</w:t>
        </w:r>
        <w:r w:rsidRPr="001A02F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40DA6" w:rsidRDefault="008E5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7ACB"/>
    <w:multiLevelType w:val="hybridMultilevel"/>
    <w:tmpl w:val="028C15D8"/>
    <w:lvl w:ilvl="0" w:tplc="6318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6445C"/>
    <w:multiLevelType w:val="hybridMultilevel"/>
    <w:tmpl w:val="45ECE3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1F"/>
    <w:rsid w:val="00071B35"/>
    <w:rsid w:val="00081D94"/>
    <w:rsid w:val="00094EDC"/>
    <w:rsid w:val="000A000D"/>
    <w:rsid w:val="000A7FF4"/>
    <w:rsid w:val="000C5781"/>
    <w:rsid w:val="00186421"/>
    <w:rsid w:val="001A2928"/>
    <w:rsid w:val="001D2859"/>
    <w:rsid w:val="001E7369"/>
    <w:rsid w:val="00206A8A"/>
    <w:rsid w:val="00275924"/>
    <w:rsid w:val="00294F84"/>
    <w:rsid w:val="002B79CE"/>
    <w:rsid w:val="00320746"/>
    <w:rsid w:val="00347DC2"/>
    <w:rsid w:val="00375DC1"/>
    <w:rsid w:val="0038638A"/>
    <w:rsid w:val="00390099"/>
    <w:rsid w:val="003974C5"/>
    <w:rsid w:val="003B2DAC"/>
    <w:rsid w:val="003B522A"/>
    <w:rsid w:val="00406BAB"/>
    <w:rsid w:val="00426E38"/>
    <w:rsid w:val="00436576"/>
    <w:rsid w:val="0044682E"/>
    <w:rsid w:val="004E52AF"/>
    <w:rsid w:val="004F41E5"/>
    <w:rsid w:val="004F4C45"/>
    <w:rsid w:val="005427C5"/>
    <w:rsid w:val="00553A81"/>
    <w:rsid w:val="005964D8"/>
    <w:rsid w:val="005B431F"/>
    <w:rsid w:val="005D179F"/>
    <w:rsid w:val="00610135"/>
    <w:rsid w:val="00625680"/>
    <w:rsid w:val="006762F2"/>
    <w:rsid w:val="00725457"/>
    <w:rsid w:val="007D26E5"/>
    <w:rsid w:val="007E3F73"/>
    <w:rsid w:val="0080793D"/>
    <w:rsid w:val="00816071"/>
    <w:rsid w:val="0082394C"/>
    <w:rsid w:val="008C3F2C"/>
    <w:rsid w:val="008E063D"/>
    <w:rsid w:val="008E530D"/>
    <w:rsid w:val="00934A64"/>
    <w:rsid w:val="00973534"/>
    <w:rsid w:val="00973EE6"/>
    <w:rsid w:val="00977A96"/>
    <w:rsid w:val="009C3027"/>
    <w:rsid w:val="009E1086"/>
    <w:rsid w:val="00A90EB2"/>
    <w:rsid w:val="00AB1053"/>
    <w:rsid w:val="00B2312D"/>
    <w:rsid w:val="00B44DCA"/>
    <w:rsid w:val="00B80ACE"/>
    <w:rsid w:val="00B926C2"/>
    <w:rsid w:val="00C26207"/>
    <w:rsid w:val="00C321C4"/>
    <w:rsid w:val="00C4726A"/>
    <w:rsid w:val="00C728A6"/>
    <w:rsid w:val="00CB606D"/>
    <w:rsid w:val="00CE6C79"/>
    <w:rsid w:val="00D05A98"/>
    <w:rsid w:val="00D1030A"/>
    <w:rsid w:val="00D662A4"/>
    <w:rsid w:val="00D760BD"/>
    <w:rsid w:val="00D7671B"/>
    <w:rsid w:val="00DA22E0"/>
    <w:rsid w:val="00DB3B31"/>
    <w:rsid w:val="00DD7B1F"/>
    <w:rsid w:val="00DE6B45"/>
    <w:rsid w:val="00E22183"/>
    <w:rsid w:val="00E9197B"/>
    <w:rsid w:val="00E9287F"/>
    <w:rsid w:val="00EA1E36"/>
    <w:rsid w:val="00F13D01"/>
    <w:rsid w:val="00F27CA6"/>
    <w:rsid w:val="00F62AE4"/>
    <w:rsid w:val="00F63CD9"/>
    <w:rsid w:val="00F94556"/>
    <w:rsid w:val="00FD5A42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5CE9-9F00-4EDA-8E4A-0BD5143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1F"/>
  </w:style>
  <w:style w:type="paragraph" w:styleId="Footer">
    <w:name w:val="footer"/>
    <w:basedOn w:val="Normal"/>
    <w:link w:val="FooterChar"/>
    <w:uiPriority w:val="99"/>
    <w:unhideWhenUsed/>
    <w:rsid w:val="005B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1F"/>
  </w:style>
  <w:style w:type="paragraph" w:styleId="NormalWeb">
    <w:name w:val="Normal (Web)"/>
    <w:basedOn w:val="Normal"/>
    <w:uiPriority w:val="99"/>
    <w:semiHidden/>
    <w:unhideWhenUsed/>
    <w:rsid w:val="00DB3B3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B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2020-03-11T18:30:00+00:00</Judgment_x0020_Date>
  </documentManagement>
</p:properties>
</file>

<file path=customXml/itemProps1.xml><?xml version="1.0" encoding="utf-8"?>
<ds:datastoreItem xmlns:ds="http://schemas.openxmlformats.org/officeDocument/2006/customXml" ds:itemID="{C704B4E6-9331-4847-B432-E13D18268222}"/>
</file>

<file path=customXml/itemProps2.xml><?xml version="1.0" encoding="utf-8"?>
<ds:datastoreItem xmlns:ds="http://schemas.openxmlformats.org/officeDocument/2006/customXml" ds:itemID="{D63ADB87-F646-4A13-99F4-A62D0B25765C}"/>
</file>

<file path=customXml/itemProps3.xml><?xml version="1.0" encoding="utf-8"?>
<ds:datastoreItem xmlns:ds="http://schemas.openxmlformats.org/officeDocument/2006/customXml" ds:itemID="{7475F95C-185B-43F1-8009-A753B1DC67B5}"/>
</file>

<file path=customXml/itemProps4.xml><?xml version="1.0" encoding="utf-8"?>
<ds:datastoreItem xmlns:ds="http://schemas.openxmlformats.org/officeDocument/2006/customXml" ds:itemID="{5CBE386D-98FA-4589-92F0-944E71856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Helvi Hilifilwa</dc:creator>
  <cp:keywords/>
  <dc:description/>
  <cp:lastModifiedBy>Lotta N. Ambunda</cp:lastModifiedBy>
  <cp:revision>2</cp:revision>
  <cp:lastPrinted>2020-02-14T08:18:00Z</cp:lastPrinted>
  <dcterms:created xsi:type="dcterms:W3CDTF">2020-03-17T08:56:00Z</dcterms:created>
  <dcterms:modified xsi:type="dcterms:W3CDTF">2020-03-17T08:56:00Z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