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D7" w:rsidRDefault="00E327D7" w:rsidP="008505D1">
      <w:pPr>
        <w:spacing w:line="360" w:lineRule="auto"/>
        <w:jc w:val="center"/>
        <w:rPr>
          <w:rFonts w:ascii="Arial" w:hAnsi="Arial" w:cs="Arial"/>
          <w:b/>
        </w:rPr>
      </w:pPr>
    </w:p>
    <w:p w:rsidR="0013707D" w:rsidRPr="00D67BB3" w:rsidRDefault="0013707D" w:rsidP="008505D1">
      <w:pPr>
        <w:spacing w:line="360" w:lineRule="auto"/>
        <w:jc w:val="center"/>
        <w:rPr>
          <w:rFonts w:ascii="Arial" w:hAnsi="Arial" w:cs="Arial"/>
          <w:b/>
        </w:rPr>
      </w:pPr>
      <w:r w:rsidRPr="00D67BB3">
        <w:rPr>
          <w:rFonts w:ascii="Arial" w:hAnsi="Arial" w:cs="Arial"/>
          <w:b/>
        </w:rPr>
        <w:t>REPUBLIC OF NAMIBIA</w:t>
      </w:r>
    </w:p>
    <w:p w:rsidR="0013707D" w:rsidRPr="00D67BB3" w:rsidRDefault="0013707D" w:rsidP="008505D1">
      <w:pPr>
        <w:spacing w:line="360" w:lineRule="auto"/>
        <w:jc w:val="right"/>
        <w:rPr>
          <w:rFonts w:ascii="Arial" w:hAnsi="Arial" w:cs="Arial"/>
        </w:rPr>
      </w:pPr>
    </w:p>
    <w:p w:rsidR="0013707D" w:rsidRPr="00D67BB3" w:rsidRDefault="0013707D" w:rsidP="008505D1">
      <w:pPr>
        <w:spacing w:line="360" w:lineRule="auto"/>
        <w:jc w:val="center"/>
        <w:rPr>
          <w:rFonts w:ascii="Arial" w:hAnsi="Arial" w:cs="Arial"/>
        </w:rPr>
      </w:pPr>
      <w:r w:rsidRPr="00D67BB3">
        <w:rPr>
          <w:rFonts w:ascii="Arial" w:eastAsia="MS Mincho" w:hAnsi="Arial" w:cs="Arial"/>
          <w:b/>
          <w:noProof/>
          <w:sz w:val="32"/>
          <w:szCs w:val="32"/>
          <w:lang w:val="en-ZA" w:eastAsia="en-ZA"/>
        </w:rPr>
        <w:drawing>
          <wp:inline distT="0" distB="0" distL="0" distR="0">
            <wp:extent cx="1114425" cy="1156008"/>
            <wp:effectExtent l="0" t="0" r="0" b="6350"/>
            <wp:docPr id="1" name="Picture 1" descr="Coat of Arm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19" cy="116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07D" w:rsidRPr="00D67BB3" w:rsidRDefault="0013707D" w:rsidP="008505D1">
      <w:pPr>
        <w:spacing w:line="360" w:lineRule="auto"/>
        <w:jc w:val="center"/>
        <w:rPr>
          <w:rFonts w:ascii="Arial" w:hAnsi="Arial" w:cs="Arial"/>
          <w:b/>
        </w:rPr>
      </w:pPr>
      <w:r w:rsidRPr="00D67BB3">
        <w:rPr>
          <w:rFonts w:ascii="Arial" w:hAnsi="Arial" w:cs="Arial"/>
          <w:b/>
        </w:rPr>
        <w:t>HIGH COURT OF NAMIBIA NORTHERN LOCAL DIVISION, OSHAKATI</w:t>
      </w:r>
    </w:p>
    <w:p w:rsidR="0013707D" w:rsidRPr="00D67BB3" w:rsidRDefault="0013707D" w:rsidP="008505D1">
      <w:pPr>
        <w:spacing w:line="360" w:lineRule="auto"/>
        <w:jc w:val="center"/>
        <w:rPr>
          <w:rFonts w:ascii="Arial" w:hAnsi="Arial" w:cs="Arial"/>
          <w:b/>
        </w:rPr>
      </w:pPr>
    </w:p>
    <w:p w:rsidR="0013707D" w:rsidRPr="00D67BB3" w:rsidRDefault="0013707D" w:rsidP="008505D1">
      <w:pPr>
        <w:spacing w:line="360" w:lineRule="auto"/>
        <w:jc w:val="center"/>
        <w:rPr>
          <w:rFonts w:ascii="Arial" w:hAnsi="Arial" w:cs="Arial"/>
          <w:b/>
        </w:rPr>
      </w:pPr>
      <w:r w:rsidRPr="00D67BB3">
        <w:rPr>
          <w:rFonts w:ascii="Arial" w:hAnsi="Arial" w:cs="Arial"/>
          <w:b/>
        </w:rPr>
        <w:t>APPEAL JUDGMENT</w:t>
      </w:r>
    </w:p>
    <w:p w:rsidR="00E327D7" w:rsidRPr="00D67BB3" w:rsidRDefault="00E327D7" w:rsidP="008505D1">
      <w:pPr>
        <w:spacing w:line="360" w:lineRule="auto"/>
        <w:jc w:val="center"/>
        <w:rPr>
          <w:rFonts w:ascii="Arial" w:hAnsi="Arial" w:cs="Arial"/>
          <w:b/>
        </w:rPr>
      </w:pPr>
    </w:p>
    <w:p w:rsidR="0013707D" w:rsidRPr="00D67BB3" w:rsidRDefault="0013707D" w:rsidP="008505D1">
      <w:pPr>
        <w:spacing w:line="360" w:lineRule="auto"/>
        <w:jc w:val="right"/>
        <w:rPr>
          <w:rFonts w:ascii="Arial" w:hAnsi="Arial" w:cs="Arial"/>
        </w:rPr>
      </w:pPr>
      <w:r w:rsidRPr="00D67BB3">
        <w:rPr>
          <w:rFonts w:ascii="Arial" w:hAnsi="Arial" w:cs="Arial"/>
        </w:rPr>
        <w:t>Case no: HC-NLD-CRI-APP-CAL-202</w:t>
      </w:r>
      <w:r w:rsidR="00D66040">
        <w:rPr>
          <w:rFonts w:ascii="Arial" w:hAnsi="Arial" w:cs="Arial"/>
        </w:rPr>
        <w:t>1</w:t>
      </w:r>
      <w:r w:rsidRPr="00D67BB3">
        <w:rPr>
          <w:rFonts w:ascii="Arial" w:hAnsi="Arial" w:cs="Arial"/>
        </w:rPr>
        <w:t>/000</w:t>
      </w:r>
      <w:r w:rsidR="00D66040">
        <w:rPr>
          <w:rFonts w:ascii="Arial" w:hAnsi="Arial" w:cs="Arial"/>
        </w:rPr>
        <w:t>38</w:t>
      </w: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  <w:b/>
        </w:rPr>
      </w:pP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  <w:r w:rsidRPr="00D67BB3">
        <w:rPr>
          <w:rFonts w:ascii="Arial" w:hAnsi="Arial" w:cs="Arial"/>
        </w:rPr>
        <w:t>In the matter between:</w:t>
      </w: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</w:p>
    <w:p w:rsidR="0013707D" w:rsidRPr="00D67BB3" w:rsidRDefault="00D66040" w:rsidP="008505D1">
      <w:pPr>
        <w:tabs>
          <w:tab w:val="right" w:pos="830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RUBEN JOSUA</w:t>
      </w:r>
      <w:r w:rsidR="0013707D" w:rsidRPr="00D67BB3">
        <w:rPr>
          <w:rFonts w:ascii="Arial" w:hAnsi="Arial" w:cs="Arial"/>
          <w:b/>
        </w:rPr>
        <w:tab/>
      </w:r>
      <w:r w:rsidR="001C2948" w:rsidRPr="00D67BB3">
        <w:rPr>
          <w:rFonts w:ascii="Arial" w:hAnsi="Arial" w:cs="Arial"/>
          <w:b/>
        </w:rPr>
        <w:t xml:space="preserve">    </w:t>
      </w:r>
      <w:r w:rsidR="00FC7A92" w:rsidRPr="00D67BB3">
        <w:rPr>
          <w:rFonts w:ascii="Arial" w:hAnsi="Arial" w:cs="Arial"/>
          <w:b/>
        </w:rPr>
        <w:t xml:space="preserve">    </w:t>
      </w:r>
      <w:r w:rsidR="0013707D" w:rsidRPr="00D67BB3">
        <w:rPr>
          <w:rFonts w:ascii="Arial" w:hAnsi="Arial" w:cs="Arial"/>
          <w:b/>
        </w:rPr>
        <w:t>APPELLANT</w:t>
      </w: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  <w:proofErr w:type="gramStart"/>
      <w:r w:rsidRPr="00D67BB3">
        <w:rPr>
          <w:rFonts w:ascii="Arial" w:hAnsi="Arial" w:cs="Arial"/>
        </w:rPr>
        <w:t>and</w:t>
      </w:r>
      <w:proofErr w:type="gramEnd"/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  <w:b/>
        </w:rPr>
      </w:pPr>
    </w:p>
    <w:p w:rsidR="0013707D" w:rsidRPr="00D67BB3" w:rsidRDefault="0013707D" w:rsidP="008505D1">
      <w:pPr>
        <w:tabs>
          <w:tab w:val="right" w:pos="8306"/>
        </w:tabs>
        <w:spacing w:line="360" w:lineRule="auto"/>
        <w:jc w:val="both"/>
        <w:rPr>
          <w:rFonts w:ascii="Arial" w:hAnsi="Arial" w:cs="Arial"/>
          <w:b/>
        </w:rPr>
      </w:pPr>
      <w:r w:rsidRPr="00D67BB3">
        <w:rPr>
          <w:rFonts w:ascii="Arial" w:hAnsi="Arial" w:cs="Arial"/>
          <w:b/>
        </w:rPr>
        <w:t>THE STATE</w:t>
      </w:r>
      <w:r w:rsidRPr="00D67BB3">
        <w:rPr>
          <w:rFonts w:ascii="Arial" w:hAnsi="Arial" w:cs="Arial"/>
          <w:b/>
        </w:rPr>
        <w:tab/>
        <w:t>RESPONDENT</w:t>
      </w: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  <w:b/>
        </w:rPr>
      </w:pPr>
    </w:p>
    <w:p w:rsidR="0013707D" w:rsidRPr="00D67BB3" w:rsidRDefault="0013707D" w:rsidP="008505D1">
      <w:pPr>
        <w:spacing w:line="360" w:lineRule="auto"/>
        <w:ind w:left="2268" w:hanging="2268"/>
        <w:jc w:val="both"/>
        <w:rPr>
          <w:rFonts w:ascii="Arial" w:hAnsi="Arial" w:cs="Arial"/>
        </w:rPr>
      </w:pPr>
      <w:r w:rsidRPr="00D67BB3">
        <w:rPr>
          <w:rFonts w:ascii="Arial" w:hAnsi="Arial" w:cs="Arial"/>
          <w:b/>
        </w:rPr>
        <w:t>Neutral citation:</w:t>
      </w:r>
      <w:r w:rsidR="00E44C8F" w:rsidRPr="00D67BB3">
        <w:rPr>
          <w:rFonts w:ascii="Arial" w:hAnsi="Arial" w:cs="Arial"/>
        </w:rPr>
        <w:t xml:space="preserve"> </w:t>
      </w:r>
      <w:r w:rsidR="008505D1">
        <w:rPr>
          <w:rFonts w:ascii="Arial" w:hAnsi="Arial" w:cs="Arial"/>
        </w:rPr>
        <w:tab/>
      </w:r>
      <w:proofErr w:type="spellStart"/>
      <w:r w:rsidR="00D66040">
        <w:rPr>
          <w:rFonts w:ascii="Arial" w:hAnsi="Arial" w:cs="Arial"/>
          <w:i/>
        </w:rPr>
        <w:t>Josua</w:t>
      </w:r>
      <w:proofErr w:type="spellEnd"/>
      <w:r w:rsidRPr="00D67BB3">
        <w:rPr>
          <w:rFonts w:ascii="Arial" w:hAnsi="Arial" w:cs="Arial"/>
          <w:i/>
        </w:rPr>
        <w:t xml:space="preserve"> v S </w:t>
      </w:r>
      <w:r w:rsidRPr="00D67BB3">
        <w:rPr>
          <w:rFonts w:ascii="Arial" w:hAnsi="Arial" w:cs="Arial"/>
        </w:rPr>
        <w:t>(HC-NLD-CRI-APP</w:t>
      </w:r>
      <w:r w:rsidR="001C2948" w:rsidRPr="00D67BB3">
        <w:rPr>
          <w:rFonts w:ascii="Arial" w:hAnsi="Arial" w:cs="Arial"/>
        </w:rPr>
        <w:t>-CAL-202</w:t>
      </w:r>
      <w:r w:rsidR="00D66040">
        <w:rPr>
          <w:rFonts w:ascii="Arial" w:hAnsi="Arial" w:cs="Arial"/>
        </w:rPr>
        <w:t>1</w:t>
      </w:r>
      <w:r w:rsidR="001C2948" w:rsidRPr="00D67BB3">
        <w:rPr>
          <w:rFonts w:ascii="Arial" w:hAnsi="Arial" w:cs="Arial"/>
        </w:rPr>
        <w:t>/000</w:t>
      </w:r>
      <w:r w:rsidR="00D66040">
        <w:rPr>
          <w:rFonts w:ascii="Arial" w:hAnsi="Arial" w:cs="Arial"/>
        </w:rPr>
        <w:t>38</w:t>
      </w:r>
      <w:r w:rsidR="001C2948" w:rsidRPr="00D67BB3">
        <w:rPr>
          <w:rFonts w:ascii="Arial" w:hAnsi="Arial" w:cs="Arial"/>
        </w:rPr>
        <w:t>) [2023] NAHCNLD</w:t>
      </w:r>
      <w:r w:rsidR="00FC7A92" w:rsidRPr="00D67BB3">
        <w:rPr>
          <w:rFonts w:ascii="Arial" w:hAnsi="Arial" w:cs="Arial"/>
        </w:rPr>
        <w:t xml:space="preserve">   </w:t>
      </w:r>
      <w:r w:rsidR="005C4D37">
        <w:rPr>
          <w:rFonts w:ascii="Arial" w:hAnsi="Arial" w:cs="Arial"/>
        </w:rPr>
        <w:t>107</w:t>
      </w:r>
      <w:r w:rsidRPr="00D67BB3">
        <w:rPr>
          <w:rFonts w:ascii="Arial" w:hAnsi="Arial" w:cs="Arial"/>
        </w:rPr>
        <w:t xml:space="preserve"> (</w:t>
      </w:r>
      <w:r w:rsidR="00D66040">
        <w:rPr>
          <w:rFonts w:ascii="Arial" w:hAnsi="Arial" w:cs="Arial"/>
        </w:rPr>
        <w:t>13 October</w:t>
      </w:r>
      <w:r w:rsidRPr="00D67BB3">
        <w:rPr>
          <w:rFonts w:ascii="Arial" w:hAnsi="Arial" w:cs="Arial"/>
        </w:rPr>
        <w:t xml:space="preserve"> 2023)</w:t>
      </w: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  <w:b/>
        </w:rPr>
      </w:pP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  <w:r w:rsidRPr="00D67BB3">
        <w:rPr>
          <w:rFonts w:ascii="Arial" w:hAnsi="Arial" w:cs="Arial"/>
          <w:b/>
        </w:rPr>
        <w:t>Coram:</w:t>
      </w:r>
      <w:r w:rsidR="001855BC" w:rsidRPr="00D67BB3">
        <w:rPr>
          <w:rFonts w:ascii="Arial" w:hAnsi="Arial" w:cs="Arial"/>
        </w:rPr>
        <w:tab/>
        <w:t xml:space="preserve">SALIONGA J </w:t>
      </w:r>
      <w:proofErr w:type="gramStart"/>
      <w:r w:rsidR="001855BC" w:rsidRPr="00D67BB3">
        <w:rPr>
          <w:rFonts w:ascii="Arial" w:hAnsi="Arial" w:cs="Arial"/>
        </w:rPr>
        <w:t>et</w:t>
      </w:r>
      <w:proofErr w:type="gramEnd"/>
      <w:r w:rsidR="001855BC" w:rsidRPr="00D67BB3">
        <w:rPr>
          <w:rFonts w:ascii="Arial" w:hAnsi="Arial" w:cs="Arial"/>
        </w:rPr>
        <w:t xml:space="preserve"> KESSLAU </w:t>
      </w:r>
      <w:r w:rsidRPr="00D67BB3">
        <w:rPr>
          <w:rFonts w:ascii="Arial" w:hAnsi="Arial" w:cs="Arial"/>
        </w:rPr>
        <w:t>J</w:t>
      </w:r>
    </w:p>
    <w:p w:rsidR="0013707D" w:rsidRPr="00D67BB3" w:rsidRDefault="001855BC" w:rsidP="008505D1">
      <w:pPr>
        <w:spacing w:line="360" w:lineRule="auto"/>
        <w:jc w:val="both"/>
        <w:rPr>
          <w:rFonts w:ascii="Arial" w:hAnsi="Arial" w:cs="Arial"/>
          <w:b/>
        </w:rPr>
      </w:pPr>
      <w:r w:rsidRPr="00D67BB3">
        <w:rPr>
          <w:rFonts w:ascii="Arial" w:hAnsi="Arial" w:cs="Arial"/>
          <w:b/>
        </w:rPr>
        <w:t>Heard:</w:t>
      </w:r>
      <w:r w:rsidRPr="00D67BB3">
        <w:rPr>
          <w:rFonts w:ascii="Arial" w:hAnsi="Arial" w:cs="Arial"/>
          <w:b/>
        </w:rPr>
        <w:tab/>
      </w:r>
      <w:r w:rsidR="00D66040">
        <w:rPr>
          <w:rFonts w:ascii="Arial" w:hAnsi="Arial" w:cs="Arial"/>
          <w:b/>
        </w:rPr>
        <w:t>6 October 2023</w:t>
      </w: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  <w:b/>
        </w:rPr>
      </w:pPr>
      <w:r w:rsidRPr="00D67BB3">
        <w:rPr>
          <w:rFonts w:ascii="Arial" w:hAnsi="Arial" w:cs="Arial"/>
          <w:b/>
        </w:rPr>
        <w:t>Delivered:</w:t>
      </w:r>
      <w:r w:rsidRPr="00D67BB3">
        <w:rPr>
          <w:rFonts w:ascii="Arial" w:hAnsi="Arial" w:cs="Arial"/>
          <w:b/>
        </w:rPr>
        <w:tab/>
      </w:r>
      <w:r w:rsidR="00D66040">
        <w:rPr>
          <w:rFonts w:ascii="Arial" w:hAnsi="Arial" w:cs="Arial"/>
          <w:b/>
        </w:rPr>
        <w:t>13 October</w:t>
      </w:r>
      <w:r w:rsidRPr="00D67BB3">
        <w:rPr>
          <w:rFonts w:ascii="Arial" w:hAnsi="Arial" w:cs="Arial"/>
          <w:b/>
        </w:rPr>
        <w:t xml:space="preserve"> 2023</w:t>
      </w: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  <w:b/>
        </w:rPr>
      </w:pPr>
      <w:r w:rsidRPr="00D67BB3">
        <w:rPr>
          <w:rFonts w:ascii="Arial" w:hAnsi="Arial" w:cs="Arial"/>
        </w:rPr>
        <w:tab/>
      </w:r>
    </w:p>
    <w:p w:rsidR="0013707D" w:rsidRPr="00D67BB3" w:rsidRDefault="0013707D" w:rsidP="008505D1">
      <w:pPr>
        <w:spacing w:line="360" w:lineRule="auto"/>
        <w:contextualSpacing/>
        <w:jc w:val="both"/>
        <w:rPr>
          <w:rFonts w:ascii="Arial" w:hAnsi="Arial" w:cs="Arial"/>
        </w:rPr>
      </w:pPr>
      <w:proofErr w:type="spellStart"/>
      <w:r w:rsidRPr="00D67BB3">
        <w:rPr>
          <w:rFonts w:ascii="Arial" w:hAnsi="Arial" w:cs="Arial"/>
          <w:b/>
        </w:rPr>
        <w:t>Flynote</w:t>
      </w:r>
      <w:proofErr w:type="spellEnd"/>
      <w:r w:rsidR="001C2948" w:rsidRPr="00D67BB3">
        <w:rPr>
          <w:rFonts w:ascii="Arial" w:hAnsi="Arial" w:cs="Arial"/>
        </w:rPr>
        <w:t>:</w:t>
      </w:r>
      <w:r w:rsidR="001C2948" w:rsidRPr="00D67BB3">
        <w:rPr>
          <w:rFonts w:ascii="Arial" w:hAnsi="Arial" w:cs="Arial"/>
        </w:rPr>
        <w:tab/>
        <w:t xml:space="preserve">Criminal Appeal - Procedure – Notice of Appeal filed late - Condonation application – </w:t>
      </w:r>
      <w:r w:rsidR="00D66040">
        <w:rPr>
          <w:rFonts w:ascii="Arial" w:hAnsi="Arial" w:cs="Arial"/>
        </w:rPr>
        <w:t>R</w:t>
      </w:r>
      <w:r w:rsidRPr="00D67BB3">
        <w:rPr>
          <w:rFonts w:ascii="Arial" w:hAnsi="Arial" w:cs="Arial"/>
        </w:rPr>
        <w:t>easonable and acceptable expla</w:t>
      </w:r>
      <w:r w:rsidR="001C2948" w:rsidRPr="00D67BB3">
        <w:rPr>
          <w:rFonts w:ascii="Arial" w:hAnsi="Arial" w:cs="Arial"/>
        </w:rPr>
        <w:t xml:space="preserve">nation for delay </w:t>
      </w:r>
      <w:r w:rsidR="006A4BD6">
        <w:rPr>
          <w:rFonts w:ascii="Arial" w:hAnsi="Arial" w:cs="Arial"/>
        </w:rPr>
        <w:t>–</w:t>
      </w:r>
      <w:r w:rsidR="001C2948" w:rsidRPr="00D67BB3">
        <w:rPr>
          <w:rFonts w:ascii="Arial" w:hAnsi="Arial" w:cs="Arial"/>
        </w:rPr>
        <w:t xml:space="preserve"> </w:t>
      </w:r>
      <w:r w:rsidR="00042A73">
        <w:rPr>
          <w:rFonts w:ascii="Arial" w:hAnsi="Arial" w:cs="Arial"/>
        </w:rPr>
        <w:t>Inadequate</w:t>
      </w:r>
      <w:r w:rsidR="006A4BD6">
        <w:rPr>
          <w:rFonts w:ascii="Arial" w:hAnsi="Arial" w:cs="Arial"/>
        </w:rPr>
        <w:t xml:space="preserve"> court record to decide on grounds of appeal</w:t>
      </w:r>
      <w:r w:rsidR="001C2948" w:rsidRPr="00D67BB3">
        <w:rPr>
          <w:rFonts w:ascii="Arial" w:hAnsi="Arial" w:cs="Arial"/>
        </w:rPr>
        <w:t xml:space="preserve"> – A</w:t>
      </w:r>
      <w:r w:rsidRPr="00D67BB3">
        <w:rPr>
          <w:rFonts w:ascii="Arial" w:hAnsi="Arial" w:cs="Arial"/>
        </w:rPr>
        <w:t xml:space="preserve">ppeal </w:t>
      </w:r>
      <w:r w:rsidR="00D66040">
        <w:rPr>
          <w:rFonts w:ascii="Arial" w:hAnsi="Arial" w:cs="Arial"/>
        </w:rPr>
        <w:t>upheld</w:t>
      </w:r>
      <w:r w:rsidRPr="00D67BB3">
        <w:rPr>
          <w:rFonts w:ascii="Arial" w:hAnsi="Arial" w:cs="Arial"/>
        </w:rPr>
        <w:t>.</w:t>
      </w:r>
    </w:p>
    <w:p w:rsidR="0013707D" w:rsidRPr="00D67BB3" w:rsidRDefault="0013707D" w:rsidP="008505D1">
      <w:pPr>
        <w:spacing w:line="360" w:lineRule="auto"/>
        <w:contextualSpacing/>
        <w:jc w:val="both"/>
        <w:rPr>
          <w:rFonts w:ascii="Arial" w:hAnsi="Arial" w:cs="Arial"/>
        </w:rPr>
      </w:pPr>
    </w:p>
    <w:p w:rsidR="00042A73" w:rsidRPr="00042A73" w:rsidRDefault="0013707D" w:rsidP="008505D1">
      <w:pPr>
        <w:spacing w:line="360" w:lineRule="auto"/>
        <w:contextualSpacing/>
        <w:jc w:val="both"/>
        <w:rPr>
          <w:rFonts w:ascii="Arial" w:hAnsi="Arial" w:cs="Arial"/>
        </w:rPr>
      </w:pPr>
      <w:r w:rsidRPr="00D67BB3">
        <w:rPr>
          <w:rFonts w:ascii="Arial" w:hAnsi="Arial" w:cs="Arial"/>
          <w:b/>
        </w:rPr>
        <w:t>Summary:</w:t>
      </w:r>
      <w:r w:rsidRPr="00D67BB3">
        <w:rPr>
          <w:rFonts w:ascii="Arial" w:hAnsi="Arial" w:cs="Arial"/>
        </w:rPr>
        <w:tab/>
        <w:t xml:space="preserve">The appellant was convicted for </w:t>
      </w:r>
      <w:r w:rsidR="00D66040">
        <w:rPr>
          <w:rFonts w:ascii="Arial" w:hAnsi="Arial" w:cs="Arial"/>
        </w:rPr>
        <w:t xml:space="preserve">rape in </w:t>
      </w:r>
      <w:r w:rsidR="00BF6364">
        <w:rPr>
          <w:rFonts w:ascii="Arial" w:hAnsi="Arial" w:cs="Arial"/>
        </w:rPr>
        <w:t>c</w:t>
      </w:r>
      <w:r w:rsidR="00D66040">
        <w:rPr>
          <w:rFonts w:ascii="Arial" w:hAnsi="Arial" w:cs="Arial"/>
        </w:rPr>
        <w:t>ontravention of s 2 (1</w:t>
      </w:r>
      <w:proofErr w:type="gramStart"/>
      <w:r w:rsidR="00D66040">
        <w:rPr>
          <w:rFonts w:ascii="Arial" w:hAnsi="Arial" w:cs="Arial"/>
        </w:rPr>
        <w:t>)(</w:t>
      </w:r>
      <w:proofErr w:type="gramEnd"/>
      <w:r w:rsidR="00D66040">
        <w:rPr>
          <w:rFonts w:ascii="Arial" w:hAnsi="Arial" w:cs="Arial"/>
        </w:rPr>
        <w:t>a) of the Combating of Rape Act 8 of 2000</w:t>
      </w:r>
      <w:r w:rsidR="00321FDE" w:rsidRPr="00D67BB3">
        <w:rPr>
          <w:rFonts w:ascii="Arial" w:hAnsi="Arial" w:cs="Arial"/>
        </w:rPr>
        <w:t xml:space="preserve"> in the Regional Court sitting at </w:t>
      </w:r>
      <w:proofErr w:type="spellStart"/>
      <w:r w:rsidR="00D66040">
        <w:rPr>
          <w:rFonts w:ascii="Arial" w:hAnsi="Arial" w:cs="Arial"/>
        </w:rPr>
        <w:t>Outapi</w:t>
      </w:r>
      <w:proofErr w:type="spellEnd"/>
      <w:r w:rsidR="00321FDE" w:rsidRPr="00D67BB3">
        <w:rPr>
          <w:rFonts w:ascii="Arial" w:hAnsi="Arial" w:cs="Arial"/>
        </w:rPr>
        <w:t>.</w:t>
      </w:r>
      <w:r w:rsidR="006A4BD6">
        <w:rPr>
          <w:rFonts w:ascii="Arial" w:hAnsi="Arial" w:cs="Arial"/>
        </w:rPr>
        <w:t xml:space="preserve"> </w:t>
      </w:r>
      <w:r w:rsidR="00321FDE" w:rsidRPr="00D67BB3">
        <w:rPr>
          <w:rFonts w:ascii="Arial" w:hAnsi="Arial" w:cs="Arial"/>
        </w:rPr>
        <w:t>He pleaded not guilty</w:t>
      </w:r>
      <w:r w:rsidR="00BF6364">
        <w:rPr>
          <w:rFonts w:ascii="Arial" w:hAnsi="Arial" w:cs="Arial"/>
        </w:rPr>
        <w:t xml:space="preserve"> and claimed consent was given by the complainant,</w:t>
      </w:r>
      <w:r w:rsidR="00D66040">
        <w:rPr>
          <w:rFonts w:ascii="Arial" w:hAnsi="Arial" w:cs="Arial"/>
        </w:rPr>
        <w:t xml:space="preserve"> however</w:t>
      </w:r>
      <w:r w:rsidR="00321FDE" w:rsidRPr="00D67BB3">
        <w:rPr>
          <w:rFonts w:ascii="Arial" w:hAnsi="Arial" w:cs="Arial"/>
        </w:rPr>
        <w:t xml:space="preserve"> was convicted after the evidence was led. He was sentenced to 1</w:t>
      </w:r>
      <w:r w:rsidR="00D66040">
        <w:rPr>
          <w:rFonts w:ascii="Arial" w:hAnsi="Arial" w:cs="Arial"/>
        </w:rPr>
        <w:t>0</w:t>
      </w:r>
      <w:r w:rsidR="00321FDE" w:rsidRPr="00D67BB3">
        <w:rPr>
          <w:rFonts w:ascii="Arial" w:hAnsi="Arial" w:cs="Arial"/>
        </w:rPr>
        <w:t xml:space="preserve"> years imprisonment. </w:t>
      </w:r>
      <w:r w:rsidR="00042A73" w:rsidRPr="00042A73">
        <w:rPr>
          <w:rFonts w:ascii="Arial" w:hAnsi="Arial" w:cs="Arial"/>
          <w:i/>
        </w:rPr>
        <w:lastRenderedPageBreak/>
        <w:t>Held that</w:t>
      </w:r>
      <w:r w:rsidR="00042A73">
        <w:rPr>
          <w:rFonts w:ascii="Arial" w:hAnsi="Arial" w:cs="Arial"/>
        </w:rPr>
        <w:t xml:space="preserve"> t</w:t>
      </w:r>
      <w:r w:rsidR="00922300" w:rsidRPr="00922300">
        <w:rPr>
          <w:rFonts w:ascii="Arial" w:hAnsi="Arial" w:cs="Arial"/>
        </w:rPr>
        <w:t>he record of proceedings was kept by the Magistrate</w:t>
      </w:r>
      <w:r w:rsidR="00922300">
        <w:rPr>
          <w:rFonts w:ascii="Arial" w:hAnsi="Arial" w:cs="Arial"/>
        </w:rPr>
        <w:t xml:space="preserve"> in short hand</w:t>
      </w:r>
      <w:r w:rsidR="00922300" w:rsidRPr="00922300">
        <w:rPr>
          <w:rFonts w:ascii="Arial" w:hAnsi="Arial" w:cs="Arial"/>
        </w:rPr>
        <w:t xml:space="preserve"> and found to be inadequate</w:t>
      </w:r>
      <w:r w:rsidR="00042A73">
        <w:rPr>
          <w:rFonts w:ascii="Arial" w:hAnsi="Arial" w:cs="Arial"/>
        </w:rPr>
        <w:t xml:space="preserve"> </w:t>
      </w:r>
      <w:r w:rsidR="00042A73" w:rsidRPr="00042A73">
        <w:rPr>
          <w:rFonts w:ascii="Arial" w:hAnsi="Arial" w:cs="Arial"/>
        </w:rPr>
        <w:t>for the adjudication of the appeal</w:t>
      </w:r>
      <w:r w:rsidR="00042A73">
        <w:rPr>
          <w:rFonts w:ascii="Arial" w:hAnsi="Arial" w:cs="Arial"/>
        </w:rPr>
        <w:t>.</w:t>
      </w:r>
    </w:p>
    <w:p w:rsidR="00E646E8" w:rsidRPr="00D67BB3" w:rsidRDefault="00E646E8" w:rsidP="008505D1">
      <w:pPr>
        <w:spacing w:line="360" w:lineRule="auto"/>
        <w:contextualSpacing/>
        <w:jc w:val="both"/>
        <w:rPr>
          <w:rFonts w:ascii="Arial" w:hAnsi="Arial" w:cs="Arial"/>
        </w:rPr>
      </w:pPr>
    </w:p>
    <w:p w:rsidR="00E646E8" w:rsidRPr="00D67BB3" w:rsidRDefault="00E646E8" w:rsidP="008505D1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D67BB3">
        <w:rPr>
          <w:rFonts w:ascii="Arial" w:hAnsi="Arial" w:cs="Arial"/>
          <w:b/>
        </w:rPr>
        <w:t>__________________________________________________________________</w:t>
      </w: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</w:p>
    <w:p w:rsidR="0013707D" w:rsidRPr="00D67BB3" w:rsidRDefault="0013707D" w:rsidP="008505D1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D67BB3">
        <w:rPr>
          <w:rFonts w:ascii="Arial" w:hAnsi="Arial" w:cs="Arial"/>
          <w:b/>
        </w:rPr>
        <w:t>ORDER</w:t>
      </w:r>
    </w:p>
    <w:p w:rsidR="0013707D" w:rsidRPr="00D67BB3" w:rsidRDefault="0013707D" w:rsidP="008505D1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</w:p>
    <w:p w:rsidR="0013707D" w:rsidRPr="00D67BB3" w:rsidRDefault="005A78A6" w:rsidP="008505D1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 w:rsidRPr="00D67BB3">
        <w:rPr>
          <w:rFonts w:ascii="Arial" w:hAnsi="Arial" w:cs="Arial"/>
        </w:rPr>
        <w:t xml:space="preserve">The appellant’s application for condonation is hereby </w:t>
      </w:r>
      <w:r w:rsidR="00D66040">
        <w:rPr>
          <w:rFonts w:ascii="Arial" w:hAnsi="Arial" w:cs="Arial"/>
        </w:rPr>
        <w:t>granted</w:t>
      </w:r>
      <w:r w:rsidRPr="00D67BB3">
        <w:rPr>
          <w:rFonts w:ascii="Arial" w:hAnsi="Arial" w:cs="Arial"/>
        </w:rPr>
        <w:t>.</w:t>
      </w:r>
    </w:p>
    <w:p w:rsidR="0013707D" w:rsidRDefault="0013707D" w:rsidP="008505D1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 w:rsidRPr="00D67BB3">
        <w:rPr>
          <w:rFonts w:ascii="Arial" w:hAnsi="Arial" w:cs="Arial"/>
        </w:rPr>
        <w:t xml:space="preserve">The appeal is </w:t>
      </w:r>
      <w:r w:rsidR="00D66040">
        <w:rPr>
          <w:rFonts w:ascii="Arial" w:hAnsi="Arial" w:cs="Arial"/>
        </w:rPr>
        <w:t>upheld</w:t>
      </w:r>
      <w:r w:rsidRPr="00D67BB3">
        <w:rPr>
          <w:rFonts w:ascii="Arial" w:hAnsi="Arial" w:cs="Arial"/>
        </w:rPr>
        <w:t>.</w:t>
      </w:r>
    </w:p>
    <w:p w:rsidR="00042A73" w:rsidRPr="00D67BB3" w:rsidRDefault="00042A73" w:rsidP="008505D1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conviction and sentence </w:t>
      </w:r>
      <w:r w:rsidR="00551EB4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set aside. </w:t>
      </w:r>
    </w:p>
    <w:p w:rsidR="0013707D" w:rsidRPr="00D67BB3" w:rsidRDefault="0013707D" w:rsidP="008505D1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  <w:b/>
        </w:rPr>
      </w:pPr>
    </w:p>
    <w:p w:rsidR="0013707D" w:rsidRPr="00D67BB3" w:rsidRDefault="0013707D" w:rsidP="008505D1">
      <w:pPr>
        <w:spacing w:line="360" w:lineRule="auto"/>
        <w:jc w:val="center"/>
        <w:rPr>
          <w:rFonts w:ascii="Arial" w:hAnsi="Arial" w:cs="Arial"/>
          <w:b/>
        </w:rPr>
      </w:pPr>
      <w:r w:rsidRPr="00D67BB3">
        <w:rPr>
          <w:rFonts w:ascii="Arial" w:hAnsi="Arial" w:cs="Arial"/>
          <w:b/>
        </w:rPr>
        <w:t>JUDGEMENT</w:t>
      </w: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  <w:b/>
        </w:rPr>
      </w:pPr>
      <w:r w:rsidRPr="00D67BB3">
        <w:rPr>
          <w:rFonts w:ascii="Arial" w:hAnsi="Arial" w:cs="Arial"/>
          <w:b/>
        </w:rPr>
        <w:t>__________________________________________________________________</w:t>
      </w: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</w:p>
    <w:p w:rsidR="0013707D" w:rsidRPr="00D67BB3" w:rsidRDefault="00D66040" w:rsidP="00850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KESSLAU</w:t>
      </w:r>
      <w:r w:rsidR="00FD4D34" w:rsidRPr="00D67BB3">
        <w:rPr>
          <w:rFonts w:ascii="Arial" w:hAnsi="Arial" w:cs="Arial"/>
        </w:rPr>
        <w:t xml:space="preserve"> J</w:t>
      </w:r>
      <w:r w:rsidR="0013707D" w:rsidRPr="00D67BB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SALIONGA</w:t>
      </w:r>
      <w:r w:rsidR="0013707D" w:rsidRPr="00D67BB3">
        <w:rPr>
          <w:rFonts w:ascii="Arial" w:hAnsi="Arial" w:cs="Arial"/>
        </w:rPr>
        <w:t xml:space="preserve"> J concurring):</w:t>
      </w: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  <w:u w:val="single"/>
        </w:rPr>
      </w:pPr>
      <w:r w:rsidRPr="00D67BB3">
        <w:rPr>
          <w:rFonts w:ascii="Arial" w:hAnsi="Arial" w:cs="Arial"/>
          <w:u w:val="single"/>
        </w:rPr>
        <w:t>Introduction</w:t>
      </w: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</w:p>
    <w:p w:rsidR="00F13DFE" w:rsidRDefault="005C4D37" w:rsidP="008505D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[1]</w:t>
      </w:r>
      <w:r>
        <w:rPr>
          <w:rFonts w:ascii="Arial" w:eastAsia="Calibri" w:hAnsi="Arial" w:cs="Arial"/>
          <w:lang w:eastAsia="en-US"/>
        </w:rPr>
        <w:tab/>
      </w:r>
      <w:r w:rsidR="00A62FC2">
        <w:rPr>
          <w:rFonts w:ascii="Arial" w:eastAsia="Calibri" w:hAnsi="Arial" w:cs="Arial"/>
          <w:lang w:eastAsia="en-US"/>
        </w:rPr>
        <w:t xml:space="preserve">The appellant stood charged in the Regional Court </w:t>
      </w:r>
      <w:proofErr w:type="spellStart"/>
      <w:r w:rsidR="00A62FC2">
        <w:rPr>
          <w:rFonts w:ascii="Arial" w:eastAsia="Calibri" w:hAnsi="Arial" w:cs="Arial"/>
          <w:lang w:eastAsia="en-US"/>
        </w:rPr>
        <w:t>Outapi</w:t>
      </w:r>
      <w:proofErr w:type="spellEnd"/>
      <w:r w:rsidR="00A62FC2">
        <w:rPr>
          <w:rFonts w:ascii="Arial" w:eastAsia="Calibri" w:hAnsi="Arial" w:cs="Arial"/>
          <w:lang w:eastAsia="en-US"/>
        </w:rPr>
        <w:t xml:space="preserve"> with the offence of Rape in contravention of s 2 (1</w:t>
      </w:r>
      <w:r w:rsidR="00F533DB">
        <w:rPr>
          <w:rFonts w:ascii="Arial" w:eastAsia="Calibri" w:hAnsi="Arial" w:cs="Arial"/>
          <w:lang w:eastAsia="en-US"/>
        </w:rPr>
        <w:t>) (</w:t>
      </w:r>
      <w:r w:rsidR="00A62FC2">
        <w:rPr>
          <w:rFonts w:ascii="Arial" w:eastAsia="Calibri" w:hAnsi="Arial" w:cs="Arial"/>
          <w:lang w:eastAsia="en-US"/>
        </w:rPr>
        <w:t>a</w:t>
      </w:r>
      <w:r w:rsidR="00F533DB">
        <w:rPr>
          <w:rFonts w:ascii="Arial" w:eastAsia="Calibri" w:hAnsi="Arial" w:cs="Arial"/>
          <w:lang w:eastAsia="en-US"/>
        </w:rPr>
        <w:t>) of</w:t>
      </w:r>
      <w:r w:rsidR="00A62FC2">
        <w:rPr>
          <w:rFonts w:ascii="Arial" w:eastAsia="Calibri" w:hAnsi="Arial" w:cs="Arial"/>
          <w:lang w:eastAsia="en-US"/>
        </w:rPr>
        <w:t xml:space="preserve"> the Combating of Rape Act 8 of 2000. The appellant was unrepresented throughout the proceedings. </w:t>
      </w:r>
    </w:p>
    <w:p w:rsidR="00A62FC2" w:rsidRPr="00D67BB3" w:rsidRDefault="00A62FC2" w:rsidP="008505D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CA7D58" w:rsidRDefault="005C4D37" w:rsidP="008505D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[2]</w:t>
      </w:r>
      <w:r>
        <w:rPr>
          <w:rFonts w:ascii="Arial" w:eastAsia="Calibri" w:hAnsi="Arial" w:cs="Arial"/>
          <w:lang w:eastAsia="en-US"/>
        </w:rPr>
        <w:tab/>
      </w:r>
      <w:r w:rsidR="00A62FC2">
        <w:rPr>
          <w:rFonts w:ascii="Arial" w:eastAsia="Calibri" w:hAnsi="Arial" w:cs="Arial"/>
          <w:lang w:eastAsia="en-US"/>
        </w:rPr>
        <w:t>The appellant pleaded not guilty to the charge stating</w:t>
      </w:r>
      <w:r w:rsidR="00551EB4">
        <w:rPr>
          <w:rFonts w:ascii="Arial" w:eastAsia="Calibri" w:hAnsi="Arial" w:cs="Arial"/>
          <w:lang w:eastAsia="en-US"/>
        </w:rPr>
        <w:t xml:space="preserve"> that</w:t>
      </w:r>
      <w:r w:rsidR="00A62FC2">
        <w:rPr>
          <w:rFonts w:ascii="Arial" w:eastAsia="Calibri" w:hAnsi="Arial" w:cs="Arial"/>
          <w:lang w:eastAsia="en-US"/>
        </w:rPr>
        <w:t xml:space="preserve"> it was consensual sexual intercourse with the </w:t>
      </w:r>
      <w:r w:rsidR="00124A64">
        <w:rPr>
          <w:rFonts w:ascii="Arial" w:eastAsia="Calibri" w:hAnsi="Arial" w:cs="Arial"/>
          <w:lang w:eastAsia="en-US"/>
        </w:rPr>
        <w:t>complainant</w:t>
      </w:r>
      <w:r w:rsidR="00A62FC2">
        <w:rPr>
          <w:rFonts w:ascii="Arial" w:eastAsia="Calibri" w:hAnsi="Arial" w:cs="Arial"/>
          <w:lang w:eastAsia="en-US"/>
        </w:rPr>
        <w:t xml:space="preserve"> being his girlfriend. </w:t>
      </w:r>
      <w:r w:rsidR="00A62FC2" w:rsidRPr="00A62FC2">
        <w:rPr>
          <w:rFonts w:ascii="Arial" w:eastAsia="Calibri" w:hAnsi="Arial" w:cs="Arial"/>
          <w:lang w:eastAsia="en-US"/>
        </w:rPr>
        <w:t>On 30 May 2018 he was convicted and sente</w:t>
      </w:r>
      <w:r w:rsidR="00A62FC2">
        <w:rPr>
          <w:rFonts w:ascii="Arial" w:eastAsia="Calibri" w:hAnsi="Arial" w:cs="Arial"/>
          <w:lang w:eastAsia="en-US"/>
        </w:rPr>
        <w:t>nced to ten years imprisonment. This appeals lies against both conviction and sentence</w:t>
      </w:r>
      <w:r w:rsidR="00805912">
        <w:rPr>
          <w:rFonts w:ascii="Arial" w:eastAsia="Calibri" w:hAnsi="Arial" w:cs="Arial"/>
          <w:lang w:eastAsia="en-US"/>
        </w:rPr>
        <w:t xml:space="preserve"> and was filed with an application for condonation for the late filing</w:t>
      </w:r>
      <w:r w:rsidR="00A62FC2">
        <w:rPr>
          <w:rFonts w:ascii="Arial" w:eastAsia="Calibri" w:hAnsi="Arial" w:cs="Arial"/>
          <w:lang w:eastAsia="en-US"/>
        </w:rPr>
        <w:t>.</w:t>
      </w:r>
      <w:r w:rsidR="00CA7D58" w:rsidRPr="00CA7D58">
        <w:rPr>
          <w:rFonts w:ascii="Arial" w:eastAsia="Calibri" w:hAnsi="Arial" w:cs="Arial"/>
          <w:lang w:eastAsia="en-US"/>
        </w:rPr>
        <w:t xml:space="preserve"> </w:t>
      </w:r>
    </w:p>
    <w:p w:rsidR="00CA7D58" w:rsidRDefault="00CA7D58" w:rsidP="008505D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13707D" w:rsidRPr="00D67BB3" w:rsidRDefault="00CA7D58" w:rsidP="008505D1">
      <w:pPr>
        <w:spacing w:line="360" w:lineRule="auto"/>
        <w:jc w:val="both"/>
        <w:rPr>
          <w:rFonts w:ascii="Arial" w:eastAsia="Calibri" w:hAnsi="Arial" w:cs="Arial"/>
          <w:strike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[3]      </w:t>
      </w:r>
      <w:r w:rsidRPr="00CA7D58">
        <w:rPr>
          <w:rFonts w:ascii="Arial" w:eastAsia="Calibri" w:hAnsi="Arial" w:cs="Arial"/>
          <w:lang w:eastAsia="en-US"/>
        </w:rPr>
        <w:t>In considering the appellan</w:t>
      </w:r>
      <w:r>
        <w:rPr>
          <w:rFonts w:ascii="Arial" w:eastAsia="Calibri" w:hAnsi="Arial" w:cs="Arial"/>
          <w:lang w:eastAsia="en-US"/>
        </w:rPr>
        <w:t>t’s application for condonation</w:t>
      </w:r>
      <w:r w:rsidRPr="00CA7D58">
        <w:rPr>
          <w:rFonts w:ascii="Arial" w:eastAsia="Calibri" w:hAnsi="Arial" w:cs="Arial"/>
          <w:lang w:eastAsia="en-US"/>
        </w:rPr>
        <w:t xml:space="preserve">, I remind myself that an application for condonation should satisfy two requirements before it can succeed. These entail firstly establishing a reasonable and acceptable explanation for the </w:t>
      </w:r>
      <w:r w:rsidRPr="00CA7D58">
        <w:rPr>
          <w:rFonts w:ascii="Arial" w:eastAsia="Calibri" w:hAnsi="Arial" w:cs="Arial"/>
          <w:lang w:eastAsia="en-US"/>
        </w:rPr>
        <w:lastRenderedPageBreak/>
        <w:t>delay, and secondly, satisfying the court that there are reasonable prospects of success on appeal.</w:t>
      </w:r>
      <w:r w:rsidRPr="00CA7D58">
        <w:rPr>
          <w:rFonts w:ascii="Arial" w:eastAsia="Calibri" w:hAnsi="Arial" w:cs="Arial"/>
          <w:vertAlign w:val="superscript"/>
          <w:lang w:eastAsia="en-US"/>
        </w:rPr>
        <w:footnoteReference w:id="1"/>
      </w:r>
      <w:r w:rsidRPr="00CA7D58">
        <w:rPr>
          <w:rFonts w:ascii="Arial" w:eastAsia="Calibri" w:hAnsi="Arial" w:cs="Arial"/>
          <w:lang w:eastAsia="en-US"/>
        </w:rPr>
        <w:t xml:space="preserve">  </w:t>
      </w:r>
    </w:p>
    <w:p w:rsidR="00E0694B" w:rsidRPr="00D67BB3" w:rsidRDefault="00E0694B" w:rsidP="008505D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C91097" w:rsidRPr="00D67BB3" w:rsidRDefault="00124A64" w:rsidP="008505D1">
      <w:pPr>
        <w:spacing w:line="360" w:lineRule="auto"/>
        <w:jc w:val="both"/>
        <w:rPr>
          <w:rFonts w:ascii="Arial" w:eastAsia="Calibri" w:hAnsi="Arial" w:cs="Arial"/>
          <w:i/>
          <w:u w:val="single"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t>Appellant’s reasons for late filing</w:t>
      </w:r>
    </w:p>
    <w:p w:rsidR="0013707D" w:rsidRPr="00D67BB3" w:rsidRDefault="0013707D" w:rsidP="008505D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585ABB" w:rsidRPr="00D67BB3" w:rsidRDefault="00C91097" w:rsidP="008505D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D67BB3">
        <w:rPr>
          <w:rFonts w:ascii="Arial" w:eastAsia="Calibri" w:hAnsi="Arial" w:cs="Arial"/>
          <w:lang w:eastAsia="en-US"/>
        </w:rPr>
        <w:t>[</w:t>
      </w:r>
      <w:r w:rsidR="00A653D6">
        <w:rPr>
          <w:rFonts w:ascii="Arial" w:eastAsia="Calibri" w:hAnsi="Arial" w:cs="Arial"/>
          <w:lang w:eastAsia="en-US"/>
        </w:rPr>
        <w:t>4</w:t>
      </w:r>
      <w:r w:rsidRPr="00D67BB3">
        <w:rPr>
          <w:rFonts w:ascii="Arial" w:eastAsia="Calibri" w:hAnsi="Arial" w:cs="Arial"/>
          <w:lang w:eastAsia="en-US"/>
        </w:rPr>
        <w:t>]</w:t>
      </w:r>
      <w:r w:rsidRPr="00D67BB3">
        <w:rPr>
          <w:rFonts w:ascii="Arial" w:eastAsia="Calibri" w:hAnsi="Arial" w:cs="Arial"/>
          <w:lang w:eastAsia="en-US"/>
        </w:rPr>
        <w:tab/>
      </w:r>
      <w:r w:rsidR="00124A64">
        <w:rPr>
          <w:rFonts w:ascii="Arial" w:eastAsia="Calibri" w:hAnsi="Arial" w:cs="Arial"/>
          <w:lang w:eastAsia="en-US"/>
        </w:rPr>
        <w:t xml:space="preserve">Appellant presented a detailed explanation covering </w:t>
      </w:r>
      <w:r w:rsidR="00BF6364">
        <w:rPr>
          <w:rFonts w:ascii="Arial" w:eastAsia="Calibri" w:hAnsi="Arial" w:cs="Arial"/>
          <w:lang w:eastAsia="en-US"/>
        </w:rPr>
        <w:t>the</w:t>
      </w:r>
      <w:r w:rsidR="00124A64">
        <w:rPr>
          <w:rFonts w:ascii="Arial" w:eastAsia="Calibri" w:hAnsi="Arial" w:cs="Arial"/>
          <w:lang w:eastAsia="en-US"/>
        </w:rPr>
        <w:t xml:space="preserve"> </w:t>
      </w:r>
      <w:r w:rsidR="00BF6364">
        <w:rPr>
          <w:rFonts w:ascii="Arial" w:eastAsia="Calibri" w:hAnsi="Arial" w:cs="Arial"/>
          <w:lang w:eastAsia="en-US"/>
        </w:rPr>
        <w:t>obstacles he</w:t>
      </w:r>
      <w:r w:rsidR="00124A64">
        <w:rPr>
          <w:rFonts w:ascii="Arial" w:eastAsia="Calibri" w:hAnsi="Arial" w:cs="Arial"/>
          <w:lang w:eastAsia="en-US"/>
        </w:rPr>
        <w:t xml:space="preserve"> encountered in the process of noting his appeal. He blames the delay on various aspects starting with the </w:t>
      </w:r>
      <w:r w:rsidR="008B7C9A">
        <w:rPr>
          <w:rFonts w:ascii="Arial" w:eastAsia="Calibri" w:hAnsi="Arial" w:cs="Arial"/>
          <w:lang w:eastAsia="en-US"/>
        </w:rPr>
        <w:t>Magistrate’s</w:t>
      </w:r>
      <w:r w:rsidR="00124A64">
        <w:rPr>
          <w:rFonts w:ascii="Arial" w:eastAsia="Calibri" w:hAnsi="Arial" w:cs="Arial"/>
          <w:lang w:eastAsia="en-US"/>
        </w:rPr>
        <w:t xml:space="preserve"> </w:t>
      </w:r>
      <w:r w:rsidR="008B7C9A">
        <w:rPr>
          <w:rFonts w:ascii="Arial" w:eastAsia="Calibri" w:hAnsi="Arial" w:cs="Arial"/>
          <w:lang w:eastAsia="en-US"/>
        </w:rPr>
        <w:t>cryptic</w:t>
      </w:r>
      <w:r w:rsidR="00124A64">
        <w:rPr>
          <w:rFonts w:ascii="Arial" w:eastAsia="Calibri" w:hAnsi="Arial" w:cs="Arial"/>
          <w:lang w:eastAsia="en-US"/>
        </w:rPr>
        <w:t xml:space="preserve"> explanation of his right to appeal, the fact that he is </w:t>
      </w:r>
      <w:r w:rsidR="008B7C9A">
        <w:rPr>
          <w:rFonts w:ascii="Arial" w:eastAsia="Calibri" w:hAnsi="Arial" w:cs="Arial"/>
          <w:lang w:eastAsia="en-US"/>
        </w:rPr>
        <w:t>illiterate</w:t>
      </w:r>
      <w:r w:rsidR="00124A64">
        <w:rPr>
          <w:rFonts w:ascii="Arial" w:eastAsia="Calibri" w:hAnsi="Arial" w:cs="Arial"/>
          <w:lang w:eastAsia="en-US"/>
        </w:rPr>
        <w:t>, was in prison</w:t>
      </w:r>
      <w:r w:rsidR="008B7C9A">
        <w:rPr>
          <w:rFonts w:ascii="Arial" w:eastAsia="Calibri" w:hAnsi="Arial" w:cs="Arial"/>
          <w:lang w:eastAsia="en-US"/>
        </w:rPr>
        <w:t xml:space="preserve"> after being sentenced, the </w:t>
      </w:r>
      <w:proofErr w:type="spellStart"/>
      <w:r w:rsidR="008B7C9A">
        <w:rPr>
          <w:rFonts w:ascii="Arial" w:eastAsia="Calibri" w:hAnsi="Arial" w:cs="Arial"/>
          <w:lang w:eastAsia="en-US"/>
        </w:rPr>
        <w:t>Covid</w:t>
      </w:r>
      <w:proofErr w:type="spellEnd"/>
      <w:r w:rsidR="008B7C9A">
        <w:rPr>
          <w:rFonts w:ascii="Arial" w:eastAsia="Calibri" w:hAnsi="Arial" w:cs="Arial"/>
          <w:lang w:eastAsia="en-US"/>
        </w:rPr>
        <w:t xml:space="preserve"> epidemic</w:t>
      </w:r>
      <w:r w:rsidR="00124A64">
        <w:rPr>
          <w:rFonts w:ascii="Arial" w:eastAsia="Calibri" w:hAnsi="Arial" w:cs="Arial"/>
          <w:lang w:eastAsia="en-US"/>
        </w:rPr>
        <w:t xml:space="preserve"> and </w:t>
      </w:r>
      <w:r w:rsidR="008B7C9A">
        <w:rPr>
          <w:rFonts w:ascii="Arial" w:eastAsia="Calibri" w:hAnsi="Arial" w:cs="Arial"/>
          <w:lang w:eastAsia="en-US"/>
        </w:rPr>
        <w:t xml:space="preserve">that he initially </w:t>
      </w:r>
      <w:r w:rsidR="00BF6364">
        <w:rPr>
          <w:rFonts w:ascii="Arial" w:eastAsia="Calibri" w:hAnsi="Arial" w:cs="Arial"/>
          <w:lang w:eastAsia="en-US"/>
        </w:rPr>
        <w:t>sent his appeal to the wrong court</w:t>
      </w:r>
      <w:r w:rsidR="00124A64">
        <w:rPr>
          <w:rFonts w:ascii="Arial" w:eastAsia="Calibri" w:hAnsi="Arial" w:cs="Arial"/>
          <w:lang w:eastAsia="en-US"/>
        </w:rPr>
        <w:t xml:space="preserve">. </w:t>
      </w:r>
    </w:p>
    <w:p w:rsidR="007D60C1" w:rsidRPr="00D67BB3" w:rsidRDefault="007D60C1" w:rsidP="008505D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585ABB" w:rsidRPr="00D67BB3" w:rsidRDefault="00585ABB" w:rsidP="008505D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D67BB3">
        <w:rPr>
          <w:rFonts w:ascii="Arial" w:eastAsia="Calibri" w:hAnsi="Arial" w:cs="Arial"/>
          <w:lang w:eastAsia="en-US"/>
        </w:rPr>
        <w:t>[</w:t>
      </w:r>
      <w:r w:rsidR="00A653D6">
        <w:rPr>
          <w:rFonts w:ascii="Arial" w:eastAsia="Calibri" w:hAnsi="Arial" w:cs="Arial"/>
          <w:lang w:eastAsia="en-US"/>
        </w:rPr>
        <w:t>5</w:t>
      </w:r>
      <w:r w:rsidRPr="00D67BB3">
        <w:rPr>
          <w:rFonts w:ascii="Arial" w:eastAsia="Calibri" w:hAnsi="Arial" w:cs="Arial"/>
          <w:lang w:eastAsia="en-US"/>
        </w:rPr>
        <w:t>]</w:t>
      </w:r>
      <w:r w:rsidRPr="00D67BB3">
        <w:rPr>
          <w:rFonts w:ascii="Arial" w:eastAsia="Calibri" w:hAnsi="Arial" w:cs="Arial"/>
          <w:lang w:eastAsia="en-US"/>
        </w:rPr>
        <w:tab/>
      </w:r>
      <w:r w:rsidR="008B7C9A">
        <w:rPr>
          <w:rFonts w:ascii="Arial" w:eastAsia="Calibri" w:hAnsi="Arial" w:cs="Arial"/>
          <w:lang w:eastAsia="en-US"/>
        </w:rPr>
        <w:t>The appellant’s explanation appeared to be reasonabl</w:t>
      </w:r>
      <w:r w:rsidR="00CA7D58">
        <w:rPr>
          <w:rFonts w:ascii="Arial" w:eastAsia="Calibri" w:hAnsi="Arial" w:cs="Arial"/>
          <w:lang w:eastAsia="en-US"/>
        </w:rPr>
        <w:t>y acceptable and</w:t>
      </w:r>
      <w:r w:rsidR="008B7C9A">
        <w:rPr>
          <w:rFonts w:ascii="Arial" w:eastAsia="Calibri" w:hAnsi="Arial" w:cs="Arial"/>
          <w:lang w:eastAsia="en-US"/>
        </w:rPr>
        <w:t xml:space="preserve"> an indication that he was not in wilful default</w:t>
      </w:r>
      <w:r w:rsidR="00BF6364">
        <w:rPr>
          <w:rFonts w:ascii="Arial" w:eastAsia="Calibri" w:hAnsi="Arial" w:cs="Arial"/>
          <w:lang w:eastAsia="en-US"/>
        </w:rPr>
        <w:t>. C</w:t>
      </w:r>
      <w:r w:rsidR="008B7C9A">
        <w:rPr>
          <w:rFonts w:ascii="Arial" w:eastAsia="Calibri" w:hAnsi="Arial" w:cs="Arial"/>
          <w:lang w:eastAsia="en-US"/>
        </w:rPr>
        <w:t>ounsel for the respondent conced</w:t>
      </w:r>
      <w:r w:rsidR="00BF6364">
        <w:rPr>
          <w:rFonts w:ascii="Arial" w:eastAsia="Calibri" w:hAnsi="Arial" w:cs="Arial"/>
          <w:lang w:eastAsia="en-US"/>
        </w:rPr>
        <w:t>ed</w:t>
      </w:r>
      <w:r w:rsidR="008B7C9A">
        <w:rPr>
          <w:rFonts w:ascii="Arial" w:eastAsia="Calibri" w:hAnsi="Arial" w:cs="Arial"/>
          <w:lang w:eastAsia="en-US"/>
        </w:rPr>
        <w:t xml:space="preserve"> as much.</w:t>
      </w:r>
      <w:r w:rsidRPr="00D67BB3">
        <w:rPr>
          <w:rFonts w:ascii="Arial" w:eastAsia="Calibri" w:hAnsi="Arial" w:cs="Arial"/>
          <w:lang w:eastAsia="en-US"/>
        </w:rPr>
        <w:t xml:space="preserve"> </w:t>
      </w:r>
      <w:r w:rsidR="008B7C9A">
        <w:rPr>
          <w:rFonts w:ascii="Arial" w:eastAsia="Calibri" w:hAnsi="Arial" w:cs="Arial"/>
          <w:lang w:eastAsia="en-US"/>
        </w:rPr>
        <w:t>Having satisfied the first leg of the application we will no</w:t>
      </w:r>
      <w:r w:rsidR="00BF6364">
        <w:rPr>
          <w:rFonts w:ascii="Arial" w:eastAsia="Calibri" w:hAnsi="Arial" w:cs="Arial"/>
          <w:lang w:eastAsia="en-US"/>
        </w:rPr>
        <w:t>w</w:t>
      </w:r>
      <w:r w:rsidR="008B7C9A">
        <w:rPr>
          <w:rFonts w:ascii="Arial" w:eastAsia="Calibri" w:hAnsi="Arial" w:cs="Arial"/>
          <w:lang w:eastAsia="en-US"/>
        </w:rPr>
        <w:t xml:space="preserve"> consider the prospects of success. </w:t>
      </w:r>
    </w:p>
    <w:p w:rsidR="0029380E" w:rsidRPr="00D67BB3" w:rsidRDefault="0029380E" w:rsidP="008505D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C27E71" w:rsidRPr="00CA7D58" w:rsidRDefault="00CA7D58" w:rsidP="008505D1">
      <w:pPr>
        <w:spacing w:line="360" w:lineRule="auto"/>
        <w:jc w:val="both"/>
        <w:rPr>
          <w:rFonts w:ascii="Arial" w:hAnsi="Arial" w:cs="Arial"/>
          <w:u w:val="single"/>
        </w:rPr>
      </w:pPr>
      <w:r w:rsidRPr="00CA7D58">
        <w:rPr>
          <w:rFonts w:ascii="Arial" w:hAnsi="Arial" w:cs="Arial"/>
          <w:u w:val="single"/>
        </w:rPr>
        <w:t>Prospects of success</w:t>
      </w:r>
    </w:p>
    <w:p w:rsidR="008F2B43" w:rsidRDefault="008F2B43" w:rsidP="008505D1">
      <w:pPr>
        <w:spacing w:line="360" w:lineRule="auto"/>
        <w:jc w:val="both"/>
        <w:rPr>
          <w:rFonts w:ascii="Arial" w:hAnsi="Arial" w:cs="Arial"/>
        </w:rPr>
      </w:pPr>
    </w:p>
    <w:p w:rsidR="00CA7D58" w:rsidRPr="00CA7D58" w:rsidRDefault="00CA7D58" w:rsidP="008505D1">
      <w:pPr>
        <w:spacing w:line="360" w:lineRule="auto"/>
        <w:jc w:val="both"/>
        <w:rPr>
          <w:rFonts w:ascii="Arial" w:hAnsi="Arial" w:cs="Arial"/>
        </w:rPr>
      </w:pPr>
      <w:r w:rsidRPr="00CA7D58">
        <w:rPr>
          <w:rFonts w:ascii="Arial" w:hAnsi="Arial" w:cs="Arial"/>
        </w:rPr>
        <w:t>[6]</w:t>
      </w:r>
      <w:r w:rsidRPr="00CA7D58">
        <w:rPr>
          <w:rFonts w:ascii="Arial" w:hAnsi="Arial" w:cs="Arial"/>
        </w:rPr>
        <w:tab/>
      </w:r>
      <w:r w:rsidR="00A653D6">
        <w:rPr>
          <w:rFonts w:ascii="Arial" w:hAnsi="Arial" w:cs="Arial"/>
        </w:rPr>
        <w:t>Regarding</w:t>
      </w:r>
      <w:r w:rsidRPr="00CA7D58">
        <w:rPr>
          <w:rFonts w:ascii="Arial" w:hAnsi="Arial" w:cs="Arial"/>
        </w:rPr>
        <w:t xml:space="preserve"> the prospects of success, I am guided by the following </w:t>
      </w:r>
      <w:r w:rsidR="00551EB4">
        <w:rPr>
          <w:rFonts w:ascii="Arial" w:hAnsi="Arial" w:cs="Arial"/>
        </w:rPr>
        <w:t xml:space="preserve">as </w:t>
      </w:r>
      <w:r w:rsidR="00042A73">
        <w:rPr>
          <w:rFonts w:ascii="Arial" w:hAnsi="Arial" w:cs="Arial"/>
        </w:rPr>
        <w:t>stated by</w:t>
      </w:r>
      <w:r w:rsidRPr="00CA7D58">
        <w:rPr>
          <w:rFonts w:ascii="Arial" w:hAnsi="Arial" w:cs="Arial"/>
        </w:rPr>
        <w:t xml:space="preserve"> </w:t>
      </w:r>
      <w:proofErr w:type="spellStart"/>
      <w:r w:rsidRPr="00CA7D58">
        <w:rPr>
          <w:rFonts w:ascii="Arial" w:hAnsi="Arial" w:cs="Arial"/>
        </w:rPr>
        <w:t>Ndauendapo</w:t>
      </w:r>
      <w:proofErr w:type="spellEnd"/>
      <w:r w:rsidRPr="00CA7D58">
        <w:rPr>
          <w:rFonts w:ascii="Arial" w:hAnsi="Arial" w:cs="Arial"/>
        </w:rPr>
        <w:t xml:space="preserve"> J in </w:t>
      </w:r>
      <w:r w:rsidRPr="00CA7D58">
        <w:rPr>
          <w:rFonts w:ascii="Arial" w:hAnsi="Arial" w:cs="Arial"/>
          <w:i/>
        </w:rPr>
        <w:t xml:space="preserve">S v </w:t>
      </w:r>
      <w:proofErr w:type="spellStart"/>
      <w:r w:rsidRPr="00CA7D58">
        <w:rPr>
          <w:rFonts w:ascii="Arial" w:hAnsi="Arial" w:cs="Arial"/>
          <w:i/>
        </w:rPr>
        <w:t>Gowaseb</w:t>
      </w:r>
      <w:proofErr w:type="spellEnd"/>
      <w:r w:rsidRPr="00CA7D58">
        <w:rPr>
          <w:rFonts w:ascii="Arial" w:hAnsi="Arial" w:cs="Arial"/>
          <w:vertAlign w:val="superscript"/>
        </w:rPr>
        <w:footnoteReference w:id="2"/>
      </w:r>
      <w:r w:rsidRPr="00CA7D58">
        <w:rPr>
          <w:rFonts w:ascii="Arial" w:hAnsi="Arial" w:cs="Arial"/>
          <w:i/>
        </w:rPr>
        <w:t xml:space="preserve"> </w:t>
      </w:r>
      <w:r w:rsidRPr="00CA7D58">
        <w:rPr>
          <w:rFonts w:ascii="Arial" w:hAnsi="Arial" w:cs="Arial"/>
        </w:rPr>
        <w:t>that:</w:t>
      </w:r>
    </w:p>
    <w:p w:rsidR="008505D1" w:rsidRDefault="008505D1" w:rsidP="008505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29C1" w:rsidRDefault="00CA7D58" w:rsidP="008505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7D58">
        <w:rPr>
          <w:rFonts w:ascii="Arial" w:hAnsi="Arial" w:cs="Arial"/>
          <w:sz w:val="22"/>
          <w:szCs w:val="22"/>
        </w:rPr>
        <w:t>‘The appellant is not absolved from the second requirement regardless of whether a reasonable explanation was furnished or not. The prospect of success on appeal is imperative. If the prospect of success at appeal is non-existent, it matters not whether the first requirement was reasonabl</w:t>
      </w:r>
      <w:r w:rsidR="005A29C1">
        <w:rPr>
          <w:rFonts w:ascii="Arial" w:hAnsi="Arial" w:cs="Arial"/>
          <w:sz w:val="22"/>
          <w:szCs w:val="22"/>
        </w:rPr>
        <w:t>e or not, the appeal must fail.</w:t>
      </w:r>
    </w:p>
    <w:p w:rsidR="005A29C1" w:rsidRPr="005A29C1" w:rsidRDefault="005A29C1" w:rsidP="008505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7D58" w:rsidRDefault="00C23F01" w:rsidP="008505D1">
      <w:pPr>
        <w:spacing w:line="360" w:lineRule="auto"/>
        <w:jc w:val="both"/>
        <w:rPr>
          <w:rFonts w:ascii="Arial" w:hAnsi="Arial" w:cs="Arial"/>
        </w:rPr>
      </w:pPr>
      <w:r w:rsidRPr="00D67BB3">
        <w:rPr>
          <w:rFonts w:ascii="Arial" w:hAnsi="Arial" w:cs="Arial"/>
        </w:rPr>
        <w:t>[</w:t>
      </w:r>
      <w:r w:rsidR="00A653D6">
        <w:rPr>
          <w:rFonts w:ascii="Arial" w:hAnsi="Arial" w:cs="Arial"/>
        </w:rPr>
        <w:t>7</w:t>
      </w:r>
      <w:r w:rsidR="00994036" w:rsidRPr="00D67BB3">
        <w:rPr>
          <w:rFonts w:ascii="Arial" w:hAnsi="Arial" w:cs="Arial"/>
        </w:rPr>
        <w:t>]</w:t>
      </w:r>
      <w:r w:rsidR="00994036" w:rsidRPr="00D67BB3">
        <w:rPr>
          <w:rFonts w:ascii="Arial" w:hAnsi="Arial" w:cs="Arial"/>
        </w:rPr>
        <w:tab/>
      </w:r>
      <w:r w:rsidR="00CA7D58">
        <w:rPr>
          <w:rFonts w:ascii="Arial" w:hAnsi="Arial" w:cs="Arial"/>
        </w:rPr>
        <w:t xml:space="preserve">The </w:t>
      </w:r>
      <w:r w:rsidR="00F44350">
        <w:rPr>
          <w:rFonts w:ascii="Arial" w:hAnsi="Arial" w:cs="Arial"/>
        </w:rPr>
        <w:t>summari</w:t>
      </w:r>
      <w:r w:rsidR="00551EB4">
        <w:rPr>
          <w:rFonts w:ascii="Arial" w:hAnsi="Arial" w:cs="Arial"/>
        </w:rPr>
        <w:t>s</w:t>
      </w:r>
      <w:r w:rsidR="00F44350">
        <w:rPr>
          <w:rFonts w:ascii="Arial" w:hAnsi="Arial" w:cs="Arial"/>
        </w:rPr>
        <w:t xml:space="preserve">ed </w:t>
      </w:r>
      <w:r w:rsidR="00CA7D58">
        <w:rPr>
          <w:rFonts w:ascii="Arial" w:hAnsi="Arial" w:cs="Arial"/>
        </w:rPr>
        <w:t xml:space="preserve">amended grounds of appeal </w:t>
      </w:r>
      <w:r w:rsidR="00F44350">
        <w:rPr>
          <w:rFonts w:ascii="Arial" w:hAnsi="Arial" w:cs="Arial"/>
        </w:rPr>
        <w:t xml:space="preserve">ad conviction </w:t>
      </w:r>
      <w:r w:rsidR="00CA7D58">
        <w:rPr>
          <w:rFonts w:ascii="Arial" w:hAnsi="Arial" w:cs="Arial"/>
        </w:rPr>
        <w:t>are that:</w:t>
      </w:r>
    </w:p>
    <w:p w:rsidR="008505D1" w:rsidRDefault="008505D1" w:rsidP="008505D1">
      <w:pPr>
        <w:spacing w:line="360" w:lineRule="auto"/>
        <w:jc w:val="both"/>
        <w:rPr>
          <w:rFonts w:ascii="Arial" w:hAnsi="Arial" w:cs="Arial"/>
        </w:rPr>
      </w:pPr>
    </w:p>
    <w:p w:rsidR="00C009AE" w:rsidRDefault="00C009AE" w:rsidP="00850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(a) The learned Magistrate erred </w:t>
      </w:r>
      <w:r w:rsidR="00ED3DD4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failing to adequately assist the unrepresented accused in the conduct of his defence in that the magistrate failed to explain the purpose of cross-examination</w:t>
      </w:r>
      <w:r w:rsidR="00CD0B7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failed to assist the accused to put his version during cross-examination to the witnesses;</w:t>
      </w:r>
    </w:p>
    <w:p w:rsidR="008505D1" w:rsidRDefault="008505D1" w:rsidP="008505D1">
      <w:pPr>
        <w:spacing w:line="360" w:lineRule="auto"/>
        <w:jc w:val="both"/>
        <w:rPr>
          <w:rFonts w:ascii="Arial" w:hAnsi="Arial" w:cs="Arial"/>
        </w:rPr>
      </w:pPr>
    </w:p>
    <w:p w:rsidR="00C009AE" w:rsidRDefault="00C009AE" w:rsidP="00850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(b) The learned Magistrate erred </w:t>
      </w:r>
      <w:r w:rsidR="00CD0B74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finding the accused guilty without considering the merits and demerits of the case, without warning himself of the dangers when </w:t>
      </w:r>
      <w:r w:rsidR="00F44350">
        <w:rPr>
          <w:rFonts w:ascii="Arial" w:hAnsi="Arial" w:cs="Arial"/>
        </w:rPr>
        <w:t>dealing</w:t>
      </w:r>
      <w:r>
        <w:rPr>
          <w:rFonts w:ascii="Arial" w:hAnsi="Arial" w:cs="Arial"/>
        </w:rPr>
        <w:t xml:space="preserve"> with a single witness, </w:t>
      </w:r>
      <w:r w:rsidR="00551EB4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ignored the fact that the State failed to call an eye-witness of the alleged force being used</w:t>
      </w:r>
      <w:r w:rsidR="00D02195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>, failed to consider that the medical report did not support any evidence of injuries</w:t>
      </w:r>
      <w:r w:rsidR="00D02195">
        <w:rPr>
          <w:rFonts w:ascii="Arial" w:hAnsi="Arial" w:cs="Arial"/>
        </w:rPr>
        <w:t>;</w:t>
      </w:r>
    </w:p>
    <w:p w:rsidR="008505D1" w:rsidRDefault="008505D1" w:rsidP="008505D1">
      <w:pPr>
        <w:spacing w:line="360" w:lineRule="auto"/>
        <w:jc w:val="both"/>
        <w:rPr>
          <w:rFonts w:ascii="Arial" w:hAnsi="Arial" w:cs="Arial"/>
        </w:rPr>
      </w:pPr>
    </w:p>
    <w:p w:rsidR="00C009AE" w:rsidRDefault="00C009AE" w:rsidP="00850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(c)  The learned Magistrate failed to keep a</w:t>
      </w:r>
      <w:r w:rsidR="00F533DB">
        <w:rPr>
          <w:rFonts w:ascii="Arial" w:hAnsi="Arial" w:cs="Arial"/>
        </w:rPr>
        <w:t>n adequate</w:t>
      </w:r>
      <w:r>
        <w:rPr>
          <w:rFonts w:ascii="Arial" w:hAnsi="Arial" w:cs="Arial"/>
        </w:rPr>
        <w:t xml:space="preserve"> record of </w:t>
      </w:r>
      <w:r w:rsidR="00F44350">
        <w:rPr>
          <w:rFonts w:ascii="Arial" w:hAnsi="Arial" w:cs="Arial"/>
        </w:rPr>
        <w:t>proceedings</w:t>
      </w:r>
      <w:r w:rsidR="00D02195">
        <w:rPr>
          <w:rFonts w:ascii="Arial" w:hAnsi="Arial" w:cs="Arial"/>
        </w:rPr>
        <w:t>;</w:t>
      </w:r>
    </w:p>
    <w:p w:rsidR="008505D1" w:rsidRDefault="008505D1" w:rsidP="008505D1">
      <w:pPr>
        <w:spacing w:line="360" w:lineRule="auto"/>
        <w:jc w:val="both"/>
        <w:rPr>
          <w:rFonts w:ascii="Arial" w:hAnsi="Arial" w:cs="Arial"/>
        </w:rPr>
      </w:pPr>
    </w:p>
    <w:p w:rsidR="00C009AE" w:rsidRDefault="00C009AE" w:rsidP="00850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(d) The learned Magistrate erred</w:t>
      </w:r>
      <w:r w:rsidR="00CD0B74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not explaining “coercive circumstances” to the accused</w:t>
      </w:r>
      <w:r w:rsidR="00F533D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25072A" w:rsidRPr="00D67BB3" w:rsidRDefault="00CA7D58" w:rsidP="008505D1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 xml:space="preserve"> </w:t>
      </w:r>
    </w:p>
    <w:p w:rsidR="00042A73" w:rsidRDefault="00C23F01" w:rsidP="008505D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D67BB3">
        <w:rPr>
          <w:rFonts w:ascii="Arial" w:eastAsiaTheme="minorHAnsi" w:hAnsi="Arial" w:cs="Arial"/>
          <w:lang w:eastAsia="en-US"/>
        </w:rPr>
        <w:t>[</w:t>
      </w:r>
      <w:r w:rsidR="00F44350">
        <w:rPr>
          <w:rFonts w:ascii="Arial" w:eastAsiaTheme="minorHAnsi" w:hAnsi="Arial" w:cs="Arial"/>
          <w:lang w:eastAsia="en-US"/>
        </w:rPr>
        <w:t>8</w:t>
      </w:r>
      <w:r w:rsidR="0025072A" w:rsidRPr="00D67BB3">
        <w:rPr>
          <w:rFonts w:ascii="Arial" w:eastAsiaTheme="minorHAnsi" w:hAnsi="Arial" w:cs="Arial"/>
          <w:lang w:eastAsia="en-US"/>
        </w:rPr>
        <w:t>]</w:t>
      </w:r>
      <w:r w:rsidR="0025072A" w:rsidRPr="00D67BB3">
        <w:rPr>
          <w:rFonts w:ascii="Arial" w:eastAsiaTheme="minorHAnsi" w:hAnsi="Arial" w:cs="Arial"/>
          <w:lang w:eastAsia="en-US"/>
        </w:rPr>
        <w:tab/>
      </w:r>
      <w:r w:rsidR="00F44350" w:rsidRPr="00F44350">
        <w:rPr>
          <w:rFonts w:ascii="Arial" w:eastAsiaTheme="minorHAnsi" w:hAnsi="Arial" w:cs="Arial"/>
          <w:lang w:eastAsia="en-US"/>
        </w:rPr>
        <w:t xml:space="preserve">The </w:t>
      </w:r>
      <w:r w:rsidR="00F44350">
        <w:rPr>
          <w:rFonts w:ascii="Arial" w:eastAsiaTheme="minorHAnsi" w:hAnsi="Arial" w:cs="Arial"/>
          <w:lang w:eastAsia="en-US"/>
        </w:rPr>
        <w:t>summari</w:t>
      </w:r>
      <w:r w:rsidR="00551EB4">
        <w:rPr>
          <w:rFonts w:ascii="Arial" w:eastAsiaTheme="minorHAnsi" w:hAnsi="Arial" w:cs="Arial"/>
          <w:lang w:eastAsia="en-US"/>
        </w:rPr>
        <w:t>s</w:t>
      </w:r>
      <w:r w:rsidR="00F44350">
        <w:rPr>
          <w:rFonts w:ascii="Arial" w:eastAsiaTheme="minorHAnsi" w:hAnsi="Arial" w:cs="Arial"/>
          <w:lang w:eastAsia="en-US"/>
        </w:rPr>
        <w:t xml:space="preserve">ed </w:t>
      </w:r>
      <w:r w:rsidR="00F44350" w:rsidRPr="00F44350">
        <w:rPr>
          <w:rFonts w:ascii="Arial" w:eastAsiaTheme="minorHAnsi" w:hAnsi="Arial" w:cs="Arial"/>
          <w:lang w:eastAsia="en-US"/>
        </w:rPr>
        <w:t xml:space="preserve">amended grounds of appeal ad </w:t>
      </w:r>
      <w:r w:rsidR="00F44350">
        <w:rPr>
          <w:rFonts w:ascii="Arial" w:eastAsiaTheme="minorHAnsi" w:hAnsi="Arial" w:cs="Arial"/>
          <w:lang w:eastAsia="en-US"/>
        </w:rPr>
        <w:t>sentence</w:t>
      </w:r>
      <w:r w:rsidR="00F44350" w:rsidRPr="00F44350">
        <w:rPr>
          <w:rFonts w:ascii="Arial" w:eastAsiaTheme="minorHAnsi" w:hAnsi="Arial" w:cs="Arial"/>
          <w:lang w:eastAsia="en-US"/>
        </w:rPr>
        <w:t xml:space="preserve"> are that:</w:t>
      </w:r>
    </w:p>
    <w:p w:rsidR="008505D1" w:rsidRDefault="008505D1" w:rsidP="008505D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D0B74" w:rsidRDefault="00F44350" w:rsidP="008505D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44350">
        <w:rPr>
          <w:rFonts w:ascii="Arial" w:eastAsiaTheme="minorHAnsi" w:hAnsi="Arial" w:cs="Arial"/>
          <w:lang w:eastAsia="en-US"/>
        </w:rPr>
        <w:t xml:space="preserve">(a) The learned Magistrate erred by failing to </w:t>
      </w:r>
      <w:r>
        <w:rPr>
          <w:rFonts w:ascii="Arial" w:eastAsiaTheme="minorHAnsi" w:hAnsi="Arial" w:cs="Arial"/>
          <w:lang w:eastAsia="en-US"/>
        </w:rPr>
        <w:t>explain to the unrepresented accused as to which provision of the Act relating to the prescribed minimum sentence was applicable to him</w:t>
      </w:r>
      <w:r w:rsidRPr="00F44350">
        <w:rPr>
          <w:rFonts w:ascii="Arial" w:eastAsiaTheme="minorHAnsi" w:hAnsi="Arial" w:cs="Arial"/>
          <w:lang w:eastAsia="en-US"/>
        </w:rPr>
        <w:t>;</w:t>
      </w:r>
    </w:p>
    <w:p w:rsidR="008505D1" w:rsidRDefault="008505D1" w:rsidP="008505D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F533DB" w:rsidRDefault="00F44350" w:rsidP="008505D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44350">
        <w:rPr>
          <w:rFonts w:ascii="Arial" w:eastAsiaTheme="minorHAnsi" w:hAnsi="Arial" w:cs="Arial"/>
          <w:lang w:eastAsia="en-US"/>
        </w:rPr>
        <w:t xml:space="preserve">(b) The learned Magistrate erred </w:t>
      </w:r>
      <w:r>
        <w:rPr>
          <w:rFonts w:ascii="Arial" w:eastAsiaTheme="minorHAnsi" w:hAnsi="Arial" w:cs="Arial"/>
          <w:lang w:eastAsia="en-US"/>
        </w:rPr>
        <w:t>by failing to explain the effect and meaning of ‘</w:t>
      </w:r>
      <w:r w:rsidR="00D02195">
        <w:rPr>
          <w:rFonts w:ascii="Arial" w:eastAsiaTheme="minorHAnsi" w:hAnsi="Arial" w:cs="Arial"/>
          <w:lang w:eastAsia="en-US"/>
        </w:rPr>
        <w:t>substantial</w:t>
      </w:r>
      <w:r>
        <w:rPr>
          <w:rFonts w:ascii="Arial" w:eastAsiaTheme="minorHAnsi" w:hAnsi="Arial" w:cs="Arial"/>
          <w:lang w:eastAsia="en-US"/>
        </w:rPr>
        <w:t xml:space="preserve"> and compelling circumstances’ to the accused</w:t>
      </w:r>
      <w:r w:rsidR="008505D1">
        <w:rPr>
          <w:rFonts w:ascii="Arial" w:eastAsiaTheme="minorHAnsi" w:hAnsi="Arial" w:cs="Arial"/>
          <w:lang w:eastAsia="en-US"/>
        </w:rPr>
        <w:t>; and</w:t>
      </w:r>
    </w:p>
    <w:p w:rsidR="008505D1" w:rsidRDefault="008505D1" w:rsidP="008505D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F44350" w:rsidRDefault="00F44350" w:rsidP="008505D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F44350">
        <w:rPr>
          <w:rFonts w:ascii="Arial" w:eastAsiaTheme="minorHAnsi" w:hAnsi="Arial" w:cs="Arial"/>
          <w:lang w:eastAsia="en-US"/>
        </w:rPr>
        <w:t xml:space="preserve">(c)  The learned Magistrate </w:t>
      </w:r>
      <w:r>
        <w:rPr>
          <w:rFonts w:ascii="Arial" w:eastAsiaTheme="minorHAnsi" w:hAnsi="Arial" w:cs="Arial"/>
          <w:lang w:eastAsia="en-US"/>
        </w:rPr>
        <w:t xml:space="preserve">erred by failing to adequately assist the accused during mitigation proceedings before sentence. </w:t>
      </w:r>
    </w:p>
    <w:p w:rsidR="005A29C1" w:rsidRDefault="005A29C1" w:rsidP="008505D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042A73" w:rsidRDefault="00F44350" w:rsidP="008505D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[</w:t>
      </w:r>
      <w:r w:rsidR="00D02195">
        <w:rPr>
          <w:rFonts w:ascii="Arial" w:eastAsiaTheme="minorHAnsi" w:hAnsi="Arial" w:cs="Arial"/>
          <w:lang w:eastAsia="en-US"/>
        </w:rPr>
        <w:t>9</w:t>
      </w:r>
      <w:r w:rsidR="005A29C1">
        <w:rPr>
          <w:rFonts w:ascii="Arial" w:eastAsiaTheme="minorHAnsi" w:hAnsi="Arial" w:cs="Arial"/>
          <w:lang w:eastAsia="en-US"/>
        </w:rPr>
        <w:t>]</w:t>
      </w:r>
      <w:r w:rsidR="005A29C1">
        <w:rPr>
          <w:rFonts w:ascii="Arial" w:eastAsiaTheme="minorHAnsi" w:hAnsi="Arial" w:cs="Arial"/>
          <w:lang w:eastAsia="en-US"/>
        </w:rPr>
        <w:tab/>
      </w:r>
      <w:r w:rsidR="00D02195">
        <w:rPr>
          <w:rFonts w:ascii="Arial" w:eastAsiaTheme="minorHAnsi" w:hAnsi="Arial" w:cs="Arial"/>
          <w:lang w:eastAsia="en-US"/>
        </w:rPr>
        <w:t xml:space="preserve">The above grounds of appeal are extensive and cover </w:t>
      </w:r>
      <w:r w:rsidR="00CD0B74">
        <w:rPr>
          <w:rFonts w:ascii="Arial" w:eastAsiaTheme="minorHAnsi" w:hAnsi="Arial" w:cs="Arial"/>
          <w:lang w:eastAsia="en-US"/>
        </w:rPr>
        <w:t>almost</w:t>
      </w:r>
      <w:r w:rsidR="00D02195">
        <w:rPr>
          <w:rFonts w:ascii="Arial" w:eastAsiaTheme="minorHAnsi" w:hAnsi="Arial" w:cs="Arial"/>
          <w:lang w:eastAsia="en-US"/>
        </w:rPr>
        <w:t xml:space="preserve"> every aspect of the court proceedings</w:t>
      </w:r>
      <w:r w:rsidR="00042A73">
        <w:rPr>
          <w:rFonts w:ascii="Arial" w:eastAsiaTheme="minorHAnsi" w:hAnsi="Arial" w:cs="Arial"/>
          <w:lang w:eastAsia="en-US"/>
        </w:rPr>
        <w:t xml:space="preserve">. </w:t>
      </w:r>
      <w:r w:rsidR="006A4BD6" w:rsidRPr="006A4BD6">
        <w:rPr>
          <w:rFonts w:ascii="Arial" w:eastAsiaTheme="minorHAnsi" w:hAnsi="Arial" w:cs="Arial"/>
          <w:lang w:eastAsia="en-US"/>
        </w:rPr>
        <w:t>The poor state of the court record appears to be the cause for this line of attack</w:t>
      </w:r>
      <w:r w:rsidR="00D02195">
        <w:rPr>
          <w:rFonts w:ascii="Arial" w:eastAsiaTheme="minorHAnsi" w:hAnsi="Arial" w:cs="Arial"/>
          <w:lang w:eastAsia="en-US"/>
        </w:rPr>
        <w:t xml:space="preserve">. The record of proceedings was done manually by the Magistrate with no mechanical recordings available. </w:t>
      </w:r>
    </w:p>
    <w:p w:rsidR="00F533DB" w:rsidRDefault="00F533DB" w:rsidP="008505D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472BBC" w:rsidRPr="00D67BB3" w:rsidRDefault="005A29C1" w:rsidP="008505D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[10]</w:t>
      </w:r>
      <w:r>
        <w:rPr>
          <w:rFonts w:ascii="Arial" w:eastAsiaTheme="minorHAnsi" w:hAnsi="Arial" w:cs="Arial"/>
          <w:lang w:eastAsia="en-US"/>
        </w:rPr>
        <w:tab/>
      </w:r>
      <w:r w:rsidR="006A4BD6" w:rsidRPr="006A4BD6">
        <w:rPr>
          <w:rFonts w:ascii="Arial" w:eastAsiaTheme="minorHAnsi" w:hAnsi="Arial" w:cs="Arial"/>
          <w:lang w:eastAsia="en-US"/>
        </w:rPr>
        <w:t xml:space="preserve">Apart from the </w:t>
      </w:r>
      <w:r w:rsidR="00042A73">
        <w:rPr>
          <w:rFonts w:ascii="Arial" w:eastAsiaTheme="minorHAnsi" w:hAnsi="Arial" w:cs="Arial"/>
          <w:lang w:eastAsia="en-US"/>
        </w:rPr>
        <w:t>cryptic</w:t>
      </w:r>
      <w:r w:rsidR="006A4BD6" w:rsidRPr="006A4BD6">
        <w:rPr>
          <w:rFonts w:ascii="Arial" w:eastAsiaTheme="minorHAnsi" w:hAnsi="Arial" w:cs="Arial"/>
          <w:lang w:eastAsia="en-US"/>
        </w:rPr>
        <w:t xml:space="preserve"> record there are also obvious procedural errors. The rights that were explained </w:t>
      </w:r>
      <w:r w:rsidR="00C94040">
        <w:rPr>
          <w:rFonts w:ascii="Arial" w:eastAsiaTheme="minorHAnsi" w:hAnsi="Arial" w:cs="Arial"/>
          <w:lang w:eastAsia="en-US"/>
        </w:rPr>
        <w:t>were</w:t>
      </w:r>
      <w:r w:rsidR="006A4BD6" w:rsidRPr="006A4BD6">
        <w:rPr>
          <w:rFonts w:ascii="Arial" w:eastAsiaTheme="minorHAnsi" w:hAnsi="Arial" w:cs="Arial"/>
          <w:lang w:eastAsia="en-US"/>
        </w:rPr>
        <w:t xml:space="preserve"> indicated with a one sentence entry on the record. The terms in which these rights were explained were not recorded</w:t>
      </w:r>
      <w:r w:rsidR="006A4BD6">
        <w:rPr>
          <w:rFonts w:ascii="Arial" w:eastAsiaTheme="minorHAnsi" w:hAnsi="Arial" w:cs="Arial"/>
          <w:lang w:eastAsia="en-US"/>
        </w:rPr>
        <w:t>.</w:t>
      </w:r>
      <w:r w:rsidR="006A4BD6" w:rsidRPr="006A4BD6">
        <w:rPr>
          <w:rFonts w:ascii="Arial" w:eastAsiaTheme="minorHAnsi" w:hAnsi="Arial" w:cs="Arial"/>
          <w:lang w:eastAsia="en-US"/>
        </w:rPr>
        <w:t xml:space="preserve">  </w:t>
      </w:r>
    </w:p>
    <w:p w:rsidR="00CA7D58" w:rsidRDefault="00CA7D58" w:rsidP="008505D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94040" w:rsidRPr="00C94040" w:rsidRDefault="00C23F01" w:rsidP="008505D1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D67BB3">
        <w:rPr>
          <w:rFonts w:ascii="Arial" w:eastAsiaTheme="minorHAnsi" w:hAnsi="Arial" w:cs="Arial"/>
          <w:lang w:eastAsia="en-US"/>
        </w:rPr>
        <w:lastRenderedPageBreak/>
        <w:t>[</w:t>
      </w:r>
      <w:r w:rsidR="00D02195">
        <w:rPr>
          <w:rFonts w:ascii="Arial" w:eastAsiaTheme="minorHAnsi" w:hAnsi="Arial" w:cs="Arial"/>
          <w:lang w:eastAsia="en-US"/>
        </w:rPr>
        <w:t>1</w:t>
      </w:r>
      <w:r w:rsidR="00C94040">
        <w:rPr>
          <w:rFonts w:ascii="Arial" w:eastAsiaTheme="minorHAnsi" w:hAnsi="Arial" w:cs="Arial"/>
          <w:lang w:eastAsia="en-US"/>
        </w:rPr>
        <w:t>1</w:t>
      </w:r>
      <w:r w:rsidR="005A29C1">
        <w:rPr>
          <w:rFonts w:ascii="Arial" w:eastAsiaTheme="minorHAnsi" w:hAnsi="Arial" w:cs="Arial"/>
          <w:lang w:eastAsia="en-US"/>
        </w:rPr>
        <w:tab/>
      </w:r>
      <w:r w:rsidR="006A4BD6" w:rsidRPr="006A4BD6">
        <w:rPr>
          <w:rFonts w:ascii="Arial" w:eastAsiaTheme="minorHAnsi" w:hAnsi="Arial" w:cs="Arial"/>
          <w:lang w:eastAsia="en-US"/>
        </w:rPr>
        <w:t>On the record</w:t>
      </w:r>
      <w:r w:rsidR="00551EB4">
        <w:rPr>
          <w:rFonts w:ascii="Arial" w:eastAsiaTheme="minorHAnsi" w:hAnsi="Arial" w:cs="Arial"/>
          <w:lang w:eastAsia="en-US"/>
        </w:rPr>
        <w:t xml:space="preserve"> of the court </w:t>
      </w:r>
      <w:r w:rsidR="00551EB4" w:rsidRPr="00551EB4">
        <w:rPr>
          <w:rFonts w:ascii="Arial" w:eastAsiaTheme="minorHAnsi" w:hAnsi="Arial" w:cs="Arial"/>
          <w:i/>
          <w:lang w:eastAsia="en-US"/>
        </w:rPr>
        <w:t>a quo</w:t>
      </w:r>
      <w:r w:rsidR="006A4BD6" w:rsidRPr="006A4BD6">
        <w:rPr>
          <w:rFonts w:ascii="Arial" w:eastAsiaTheme="minorHAnsi" w:hAnsi="Arial" w:cs="Arial"/>
          <w:lang w:eastAsia="en-US"/>
        </w:rPr>
        <w:t xml:space="preserve"> no entr</w:t>
      </w:r>
      <w:r w:rsidR="00551EB4">
        <w:rPr>
          <w:rFonts w:ascii="Arial" w:eastAsiaTheme="minorHAnsi" w:hAnsi="Arial" w:cs="Arial"/>
          <w:lang w:eastAsia="en-US"/>
        </w:rPr>
        <w:t xml:space="preserve">ies </w:t>
      </w:r>
      <w:r w:rsidR="006A4BD6" w:rsidRPr="006A4BD6">
        <w:rPr>
          <w:rFonts w:ascii="Arial" w:eastAsiaTheme="minorHAnsi" w:hAnsi="Arial" w:cs="Arial"/>
          <w:lang w:eastAsia="en-US"/>
        </w:rPr>
        <w:t xml:space="preserve">could be found </w:t>
      </w:r>
      <w:r w:rsidR="00551EB4">
        <w:rPr>
          <w:rFonts w:ascii="Arial" w:eastAsiaTheme="minorHAnsi" w:hAnsi="Arial" w:cs="Arial"/>
          <w:lang w:eastAsia="en-US"/>
        </w:rPr>
        <w:t xml:space="preserve">reflecting the accused’s </w:t>
      </w:r>
      <w:r w:rsidR="000E1994">
        <w:rPr>
          <w:rFonts w:ascii="Arial" w:eastAsiaTheme="minorHAnsi" w:hAnsi="Arial" w:cs="Arial"/>
          <w:lang w:eastAsia="en-US"/>
        </w:rPr>
        <w:t>rights in terms of Section 11</w:t>
      </w:r>
      <w:bookmarkStart w:id="0" w:name="_GoBack"/>
      <w:bookmarkEnd w:id="0"/>
      <w:r w:rsidR="006A4BD6" w:rsidRPr="006A4BD6">
        <w:rPr>
          <w:rFonts w:ascii="Arial" w:eastAsiaTheme="minorHAnsi" w:hAnsi="Arial" w:cs="Arial"/>
          <w:vertAlign w:val="superscript"/>
          <w:lang w:eastAsia="en-US"/>
        </w:rPr>
        <w:footnoteReference w:id="3"/>
      </w:r>
      <w:r w:rsidR="006A4BD6" w:rsidRPr="006A4BD6">
        <w:rPr>
          <w:rFonts w:ascii="Arial" w:eastAsiaTheme="minorHAnsi" w:hAnsi="Arial" w:cs="Arial"/>
          <w:lang w:eastAsia="en-US"/>
        </w:rPr>
        <w:t xml:space="preserve"> disclosure</w:t>
      </w:r>
      <w:r w:rsidR="006A4BD6" w:rsidRPr="006A4BD6">
        <w:rPr>
          <w:rFonts w:ascii="Arial" w:eastAsiaTheme="minorHAnsi" w:hAnsi="Arial" w:cs="Arial"/>
          <w:vertAlign w:val="superscript"/>
          <w:lang w:eastAsia="en-US"/>
        </w:rPr>
        <w:footnoteReference w:id="4"/>
      </w:r>
      <w:r w:rsidR="006A4BD6" w:rsidRPr="006A4BD6">
        <w:rPr>
          <w:rFonts w:ascii="Arial" w:eastAsiaTheme="minorHAnsi" w:hAnsi="Arial" w:cs="Arial"/>
          <w:lang w:eastAsia="en-US"/>
        </w:rPr>
        <w:t xml:space="preserve"> or the right to present substantial and compelling circumstances before</w:t>
      </w:r>
      <w:r w:rsidR="00C94040">
        <w:rPr>
          <w:rFonts w:ascii="Arial" w:eastAsiaTheme="minorHAnsi" w:hAnsi="Arial" w:cs="Arial"/>
          <w:lang w:eastAsia="en-US"/>
        </w:rPr>
        <w:t xml:space="preserve"> sentencing</w:t>
      </w:r>
      <w:r w:rsidR="006A4BD6" w:rsidRPr="006A4BD6">
        <w:rPr>
          <w:rFonts w:ascii="Arial" w:eastAsiaTheme="minorHAnsi" w:hAnsi="Arial" w:cs="Arial"/>
          <w:lang w:eastAsia="en-US"/>
        </w:rPr>
        <w:t>.</w:t>
      </w:r>
      <w:r w:rsidR="00C94040" w:rsidRPr="00C94040">
        <w:rPr>
          <w:rFonts w:ascii="Arial" w:eastAsiaTheme="minorHAnsi" w:hAnsi="Arial" w:cs="Arial"/>
          <w:vertAlign w:val="superscript"/>
          <w:lang w:eastAsia="en-US"/>
        </w:rPr>
        <w:t xml:space="preserve"> </w:t>
      </w:r>
      <w:r w:rsidR="00C94040" w:rsidRPr="00C94040">
        <w:rPr>
          <w:rFonts w:ascii="Arial" w:eastAsiaTheme="minorHAnsi" w:hAnsi="Arial" w:cs="Arial"/>
          <w:vertAlign w:val="superscript"/>
          <w:lang w:eastAsia="en-US"/>
        </w:rPr>
        <w:footnoteReference w:id="5"/>
      </w:r>
      <w:r w:rsidR="006A4BD6" w:rsidRPr="006A4BD6">
        <w:rPr>
          <w:rFonts w:ascii="Arial" w:eastAsiaTheme="minorHAnsi" w:hAnsi="Arial" w:cs="Arial"/>
          <w:lang w:eastAsia="en-US"/>
        </w:rPr>
        <w:t xml:space="preserve"> </w:t>
      </w:r>
      <w:r w:rsidR="00CD0B74" w:rsidRPr="00CD0B74">
        <w:rPr>
          <w:rFonts w:ascii="Arial" w:eastAsiaTheme="minorHAnsi" w:hAnsi="Arial" w:cs="Arial"/>
          <w:lang w:eastAsia="en-US"/>
        </w:rPr>
        <w:t>The record is lacking</w:t>
      </w:r>
      <w:r w:rsidR="00ED3DD4">
        <w:rPr>
          <w:rFonts w:ascii="Arial" w:eastAsiaTheme="minorHAnsi" w:hAnsi="Arial" w:cs="Arial"/>
          <w:lang w:eastAsia="en-US"/>
        </w:rPr>
        <w:t xml:space="preserve"> </w:t>
      </w:r>
      <w:r w:rsidR="00CD0B74" w:rsidRPr="00CD0B74">
        <w:rPr>
          <w:rFonts w:ascii="Arial" w:eastAsiaTheme="minorHAnsi" w:hAnsi="Arial" w:cs="Arial"/>
          <w:lang w:eastAsia="en-US"/>
        </w:rPr>
        <w:t>detail</w:t>
      </w:r>
      <w:r w:rsidR="00ED3DD4">
        <w:rPr>
          <w:rFonts w:ascii="Arial" w:eastAsiaTheme="minorHAnsi" w:hAnsi="Arial" w:cs="Arial"/>
          <w:lang w:eastAsia="en-US"/>
        </w:rPr>
        <w:t>s</w:t>
      </w:r>
      <w:r w:rsidR="00CD0B74" w:rsidRPr="00CD0B74">
        <w:rPr>
          <w:rFonts w:ascii="Arial" w:eastAsiaTheme="minorHAnsi" w:hAnsi="Arial" w:cs="Arial"/>
          <w:lang w:eastAsia="en-US"/>
        </w:rPr>
        <w:t xml:space="preserve"> and content to such an extent that it is virtually impossible for a court of appeal to meaningfully decide on the grounds of appeal</w:t>
      </w:r>
      <w:r w:rsidR="00CD0B74">
        <w:rPr>
          <w:rFonts w:ascii="Arial" w:eastAsiaTheme="minorHAnsi" w:hAnsi="Arial" w:cs="Arial"/>
          <w:lang w:eastAsia="en-US"/>
        </w:rPr>
        <w:t xml:space="preserve"> and to properly adjudicate the appeal</w:t>
      </w:r>
      <w:r w:rsidR="00CD0B74" w:rsidRPr="00CD0B74">
        <w:rPr>
          <w:rFonts w:ascii="Arial" w:eastAsiaTheme="minorHAnsi" w:hAnsi="Arial" w:cs="Arial"/>
          <w:lang w:eastAsia="en-US"/>
        </w:rPr>
        <w:t>.</w:t>
      </w:r>
    </w:p>
    <w:p w:rsidR="00E646E8" w:rsidRPr="00D67BB3" w:rsidRDefault="00E646E8" w:rsidP="008505D1">
      <w:pPr>
        <w:spacing w:line="360" w:lineRule="auto"/>
        <w:jc w:val="both"/>
        <w:rPr>
          <w:rFonts w:ascii="Arial" w:hAnsi="Arial"/>
        </w:rPr>
      </w:pPr>
    </w:p>
    <w:p w:rsidR="00115C7C" w:rsidRDefault="008D6050" w:rsidP="008505D1">
      <w:pPr>
        <w:spacing w:line="360" w:lineRule="auto"/>
        <w:jc w:val="both"/>
        <w:rPr>
          <w:rFonts w:ascii="Arial" w:hAnsi="Arial"/>
        </w:rPr>
      </w:pPr>
      <w:r w:rsidRPr="00D67BB3">
        <w:rPr>
          <w:rFonts w:ascii="Arial" w:hAnsi="Arial"/>
        </w:rPr>
        <w:t>[</w:t>
      </w:r>
      <w:r w:rsidR="00115C7C">
        <w:rPr>
          <w:rFonts w:ascii="Arial" w:hAnsi="Arial"/>
        </w:rPr>
        <w:t>12</w:t>
      </w:r>
      <w:r w:rsidR="005A29C1">
        <w:rPr>
          <w:rFonts w:ascii="Arial" w:hAnsi="Arial"/>
        </w:rPr>
        <w:t>]</w:t>
      </w:r>
      <w:r w:rsidR="005A29C1">
        <w:rPr>
          <w:rFonts w:ascii="Arial" w:hAnsi="Arial"/>
        </w:rPr>
        <w:tab/>
      </w:r>
      <w:r w:rsidR="006A4BD6" w:rsidRPr="006A4BD6">
        <w:rPr>
          <w:rFonts w:ascii="Arial" w:hAnsi="Arial"/>
        </w:rPr>
        <w:t xml:space="preserve">In </w:t>
      </w:r>
      <w:proofErr w:type="spellStart"/>
      <w:r w:rsidR="006A4BD6" w:rsidRPr="006A4BD6">
        <w:rPr>
          <w:rFonts w:ascii="Arial" w:hAnsi="Arial"/>
          <w:i/>
        </w:rPr>
        <w:t>Soondaha</w:t>
      </w:r>
      <w:proofErr w:type="spellEnd"/>
      <w:r w:rsidR="006A4BD6" w:rsidRPr="006A4BD6">
        <w:rPr>
          <w:rFonts w:ascii="Arial" w:hAnsi="Arial"/>
          <w:i/>
        </w:rPr>
        <w:t xml:space="preserve"> v The State</w:t>
      </w:r>
      <w:r w:rsidR="006A4BD6" w:rsidRPr="006A4BD6">
        <w:rPr>
          <w:rFonts w:ascii="Arial" w:hAnsi="Arial"/>
          <w:vertAlign w:val="superscript"/>
        </w:rPr>
        <w:footnoteReference w:id="6"/>
      </w:r>
      <w:r w:rsidR="006A4BD6" w:rsidRPr="006A4BD6">
        <w:rPr>
          <w:rFonts w:ascii="Arial" w:hAnsi="Arial"/>
        </w:rPr>
        <w:t xml:space="preserve"> it was stated by January J that: </w:t>
      </w:r>
    </w:p>
    <w:p w:rsidR="008505D1" w:rsidRDefault="008505D1" w:rsidP="008505D1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A4BD6" w:rsidRPr="00115C7C" w:rsidRDefault="006A4BD6" w:rsidP="008505D1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115C7C">
        <w:rPr>
          <w:rFonts w:ascii="Arial" w:hAnsi="Arial"/>
          <w:sz w:val="22"/>
          <w:szCs w:val="22"/>
        </w:rPr>
        <w:t xml:space="preserve">‘Court of appeal is confined to decide the appeal within the four corners of the record’ </w:t>
      </w:r>
      <w:r w:rsidRPr="00115C7C">
        <w:rPr>
          <w:rFonts w:ascii="Arial" w:hAnsi="Arial"/>
        </w:rPr>
        <w:t>and</w:t>
      </w:r>
      <w:r w:rsidRPr="00115C7C">
        <w:rPr>
          <w:rFonts w:ascii="Arial" w:hAnsi="Arial"/>
          <w:sz w:val="22"/>
          <w:szCs w:val="22"/>
        </w:rPr>
        <w:t xml:space="preserve"> ‘</w:t>
      </w:r>
      <w:proofErr w:type="gramStart"/>
      <w:r w:rsidRPr="00115C7C">
        <w:rPr>
          <w:rFonts w:ascii="Arial" w:hAnsi="Arial"/>
          <w:sz w:val="22"/>
          <w:szCs w:val="22"/>
        </w:rPr>
        <w:t>It</w:t>
      </w:r>
      <w:proofErr w:type="gramEnd"/>
      <w:r w:rsidRPr="00115C7C">
        <w:rPr>
          <w:rFonts w:ascii="Arial" w:hAnsi="Arial"/>
          <w:sz w:val="22"/>
          <w:szCs w:val="22"/>
        </w:rPr>
        <w:t xml:space="preserve"> is not only difficult for this court to evaluate and make findings in relation to the grounds of appeal raised but impossible.’</w:t>
      </w:r>
    </w:p>
    <w:p w:rsidR="00115C7C" w:rsidRDefault="00115C7C" w:rsidP="008505D1">
      <w:pPr>
        <w:spacing w:line="360" w:lineRule="auto"/>
        <w:jc w:val="both"/>
        <w:rPr>
          <w:rFonts w:ascii="Arial" w:hAnsi="Arial"/>
        </w:rPr>
      </w:pPr>
    </w:p>
    <w:p w:rsidR="006A4BD6" w:rsidRPr="006A4BD6" w:rsidRDefault="005A29C1" w:rsidP="008505D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[13]</w:t>
      </w:r>
      <w:r>
        <w:rPr>
          <w:rFonts w:ascii="Arial" w:hAnsi="Arial"/>
        </w:rPr>
        <w:tab/>
      </w:r>
      <w:r w:rsidR="00115C7C">
        <w:rPr>
          <w:rFonts w:ascii="Arial" w:hAnsi="Arial"/>
        </w:rPr>
        <w:t>Similarly dealing</w:t>
      </w:r>
      <w:r w:rsidR="006A4BD6" w:rsidRPr="006A4BD6">
        <w:rPr>
          <w:rFonts w:ascii="Arial" w:hAnsi="Arial"/>
        </w:rPr>
        <w:t xml:space="preserve"> with an incomplete record, </w:t>
      </w:r>
      <w:proofErr w:type="spellStart"/>
      <w:r w:rsidR="006A4BD6" w:rsidRPr="006A4BD6">
        <w:rPr>
          <w:rFonts w:ascii="Arial" w:hAnsi="Arial"/>
        </w:rPr>
        <w:t>Claasen</w:t>
      </w:r>
      <w:proofErr w:type="spellEnd"/>
      <w:r w:rsidR="006A4BD6" w:rsidRPr="006A4BD6">
        <w:rPr>
          <w:rFonts w:ascii="Arial" w:hAnsi="Arial"/>
        </w:rPr>
        <w:t xml:space="preserve"> J found in the matter of </w:t>
      </w:r>
      <w:proofErr w:type="spellStart"/>
      <w:r w:rsidR="006A4BD6" w:rsidRPr="006A4BD6">
        <w:rPr>
          <w:rFonts w:ascii="Arial" w:hAnsi="Arial"/>
          <w:i/>
        </w:rPr>
        <w:t>Lizazi</w:t>
      </w:r>
      <w:proofErr w:type="spellEnd"/>
      <w:r w:rsidR="006A4BD6" w:rsidRPr="006A4BD6">
        <w:rPr>
          <w:rFonts w:ascii="Arial" w:hAnsi="Arial"/>
          <w:i/>
        </w:rPr>
        <w:t xml:space="preserve"> v S,</w:t>
      </w:r>
      <w:r w:rsidR="006A4BD6" w:rsidRPr="006A4BD6">
        <w:rPr>
          <w:rFonts w:ascii="Arial" w:hAnsi="Arial"/>
          <w:i/>
          <w:vertAlign w:val="superscript"/>
        </w:rPr>
        <w:footnoteReference w:id="7"/>
      </w:r>
      <w:r w:rsidR="006A4BD6" w:rsidRPr="006A4BD6">
        <w:rPr>
          <w:rFonts w:ascii="Arial" w:hAnsi="Arial"/>
        </w:rPr>
        <w:t xml:space="preserve"> that the court record should be </w:t>
      </w:r>
      <w:r w:rsidR="00115C7C">
        <w:rPr>
          <w:rFonts w:ascii="Arial" w:hAnsi="Arial"/>
        </w:rPr>
        <w:t>‘</w:t>
      </w:r>
      <w:r w:rsidR="006A4BD6" w:rsidRPr="006A4BD6">
        <w:rPr>
          <w:rFonts w:ascii="Arial" w:hAnsi="Arial"/>
        </w:rPr>
        <w:t xml:space="preserve">adequate for an objective assessment of the question of whether the convictions </w:t>
      </w:r>
      <w:r w:rsidR="00115C7C">
        <w:rPr>
          <w:rFonts w:ascii="Arial" w:hAnsi="Arial"/>
        </w:rPr>
        <w:t>of the appellants were correct.’</w:t>
      </w:r>
    </w:p>
    <w:p w:rsidR="006A4BD6" w:rsidRPr="006A4BD6" w:rsidRDefault="006A4BD6" w:rsidP="008505D1">
      <w:pPr>
        <w:spacing w:line="360" w:lineRule="auto"/>
        <w:jc w:val="both"/>
        <w:rPr>
          <w:rFonts w:ascii="Arial" w:hAnsi="Arial"/>
        </w:rPr>
      </w:pPr>
    </w:p>
    <w:p w:rsidR="006A4BD6" w:rsidRPr="006A4BD6" w:rsidRDefault="005A29C1" w:rsidP="008505D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[14]</w:t>
      </w:r>
      <w:r>
        <w:rPr>
          <w:rFonts w:ascii="Arial" w:hAnsi="Arial"/>
        </w:rPr>
        <w:tab/>
      </w:r>
      <w:r w:rsidR="006A4BD6" w:rsidRPr="006A4BD6">
        <w:rPr>
          <w:rFonts w:ascii="Arial" w:hAnsi="Arial"/>
        </w:rPr>
        <w:t xml:space="preserve">It is established law that if, through no fault on the part of the appellant, the appeal cannot be heard, it will be highly prejudicial to </w:t>
      </w:r>
      <w:r w:rsidR="00F533DB">
        <w:rPr>
          <w:rFonts w:ascii="Arial" w:hAnsi="Arial"/>
        </w:rPr>
        <w:t>his</w:t>
      </w:r>
      <w:r w:rsidR="006A4BD6" w:rsidRPr="006A4BD6">
        <w:rPr>
          <w:rFonts w:ascii="Arial" w:hAnsi="Arial"/>
        </w:rPr>
        <w:t xml:space="preserve"> appeal resulting in a failure of justice. Whenever the said failure of justice is impossible to rectify it will follow that the conviction cannot stand.</w:t>
      </w:r>
      <w:r w:rsidR="006A4BD6" w:rsidRPr="006A4BD6">
        <w:rPr>
          <w:rFonts w:ascii="Arial" w:hAnsi="Arial"/>
          <w:vertAlign w:val="superscript"/>
        </w:rPr>
        <w:footnoteReference w:id="8"/>
      </w:r>
      <w:r w:rsidR="006A4BD6" w:rsidRPr="006A4BD6">
        <w:rPr>
          <w:rFonts w:ascii="Arial" w:hAnsi="Arial"/>
        </w:rPr>
        <w:t xml:space="preserve">  In the matter of </w:t>
      </w:r>
      <w:r w:rsidR="006A4BD6" w:rsidRPr="006A4BD6">
        <w:rPr>
          <w:rFonts w:ascii="Arial" w:hAnsi="Arial"/>
          <w:i/>
        </w:rPr>
        <w:t>Jankowski</w:t>
      </w:r>
      <w:r w:rsidR="006A4BD6" w:rsidRPr="006A4BD6">
        <w:rPr>
          <w:rFonts w:ascii="Arial" w:hAnsi="Arial"/>
        </w:rPr>
        <w:t xml:space="preserve"> v S it was stated that: ’an </w:t>
      </w:r>
      <w:proofErr w:type="spellStart"/>
      <w:r w:rsidR="006A4BD6" w:rsidRPr="006A4BD6">
        <w:rPr>
          <w:rFonts w:ascii="Arial" w:hAnsi="Arial"/>
        </w:rPr>
        <w:t>unreconstructable</w:t>
      </w:r>
      <w:proofErr w:type="spellEnd"/>
      <w:r w:rsidR="006A4BD6" w:rsidRPr="006A4BD6">
        <w:rPr>
          <w:rFonts w:ascii="Arial" w:hAnsi="Arial"/>
        </w:rPr>
        <w:t xml:space="preserve"> record renders the proceedings in the trial out of place and of no force or effect’.</w:t>
      </w:r>
      <w:r w:rsidR="006A4BD6" w:rsidRPr="006A4BD6">
        <w:rPr>
          <w:rFonts w:ascii="Arial" w:hAnsi="Arial"/>
          <w:vertAlign w:val="superscript"/>
        </w:rPr>
        <w:footnoteReference w:id="9"/>
      </w:r>
      <w:r w:rsidR="006A4BD6" w:rsidRPr="006A4BD6">
        <w:rPr>
          <w:rFonts w:ascii="Arial" w:hAnsi="Arial"/>
        </w:rPr>
        <w:t xml:space="preserve"> The failure to keep a proper record by the court a quo renders the appellants’ right to appeal meaningless.</w:t>
      </w:r>
    </w:p>
    <w:p w:rsidR="006A4BD6" w:rsidRPr="006A4BD6" w:rsidRDefault="006A4BD6" w:rsidP="008505D1">
      <w:pPr>
        <w:spacing w:line="360" w:lineRule="auto"/>
        <w:jc w:val="both"/>
        <w:rPr>
          <w:rFonts w:ascii="Arial" w:hAnsi="Arial"/>
        </w:rPr>
      </w:pPr>
    </w:p>
    <w:p w:rsidR="006A4BD6" w:rsidRPr="006A4BD6" w:rsidRDefault="006A4BD6" w:rsidP="008505D1">
      <w:pPr>
        <w:spacing w:line="360" w:lineRule="auto"/>
        <w:jc w:val="both"/>
        <w:rPr>
          <w:rFonts w:ascii="Arial" w:hAnsi="Arial"/>
        </w:rPr>
      </w:pPr>
      <w:r w:rsidRPr="006A4BD6">
        <w:rPr>
          <w:rFonts w:ascii="Arial" w:hAnsi="Arial"/>
        </w:rPr>
        <w:t>[</w:t>
      </w:r>
      <w:r w:rsidR="00115C7C">
        <w:rPr>
          <w:rFonts w:ascii="Arial" w:hAnsi="Arial"/>
        </w:rPr>
        <w:t>15</w:t>
      </w:r>
      <w:r w:rsidR="005A29C1">
        <w:rPr>
          <w:rFonts w:ascii="Arial" w:hAnsi="Arial"/>
        </w:rPr>
        <w:t>]</w:t>
      </w:r>
      <w:r w:rsidR="005A29C1">
        <w:rPr>
          <w:rFonts w:ascii="Arial" w:hAnsi="Arial"/>
        </w:rPr>
        <w:tab/>
      </w:r>
      <w:r w:rsidRPr="006A4BD6">
        <w:rPr>
          <w:rFonts w:ascii="Arial" w:hAnsi="Arial"/>
        </w:rPr>
        <w:t>In light of the inadequate record of proceedings</w:t>
      </w:r>
      <w:r w:rsidR="00042A73">
        <w:rPr>
          <w:rFonts w:ascii="Arial" w:hAnsi="Arial"/>
        </w:rPr>
        <w:t xml:space="preserve"> of the court </w:t>
      </w:r>
      <w:r w:rsidR="00042A73" w:rsidRPr="00115C7C">
        <w:rPr>
          <w:rFonts w:ascii="Arial" w:hAnsi="Arial"/>
          <w:i/>
        </w:rPr>
        <w:t>a quo</w:t>
      </w:r>
      <w:r w:rsidR="00042A73">
        <w:rPr>
          <w:rFonts w:ascii="Arial" w:hAnsi="Arial"/>
        </w:rPr>
        <w:t>, the</w:t>
      </w:r>
      <w:r w:rsidRPr="006A4BD6">
        <w:rPr>
          <w:rFonts w:ascii="Arial" w:hAnsi="Arial"/>
        </w:rPr>
        <w:t xml:space="preserve"> highlighted irregularities,</w:t>
      </w:r>
      <w:r w:rsidR="00042A73" w:rsidRPr="00042A73">
        <w:rPr>
          <w:rFonts w:ascii="Arial" w:hAnsi="Arial"/>
        </w:rPr>
        <w:t xml:space="preserve"> and counsel for the Respondent’s concession in this regard</w:t>
      </w:r>
      <w:r w:rsidRPr="006A4BD6">
        <w:rPr>
          <w:rFonts w:ascii="Arial" w:hAnsi="Arial"/>
        </w:rPr>
        <w:t xml:space="preserve"> the appeal</w:t>
      </w:r>
      <w:r w:rsidR="00042A73">
        <w:rPr>
          <w:rFonts w:ascii="Arial" w:hAnsi="Arial"/>
        </w:rPr>
        <w:t xml:space="preserve"> is</w:t>
      </w:r>
      <w:r w:rsidRPr="006A4BD6">
        <w:rPr>
          <w:rFonts w:ascii="Arial" w:hAnsi="Arial"/>
        </w:rPr>
        <w:t xml:space="preserve"> bound to succeed.</w:t>
      </w:r>
    </w:p>
    <w:p w:rsidR="00D67BB3" w:rsidRPr="00D67BB3" w:rsidRDefault="00D67BB3" w:rsidP="008505D1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13707D" w:rsidRPr="00D67BB3" w:rsidRDefault="00C23F01" w:rsidP="008505D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D67BB3">
        <w:rPr>
          <w:rFonts w:ascii="Arial" w:eastAsia="Calibri" w:hAnsi="Arial" w:cs="Arial"/>
          <w:lang w:eastAsia="en-US"/>
        </w:rPr>
        <w:t>[</w:t>
      </w:r>
      <w:r w:rsidR="00F533DB">
        <w:rPr>
          <w:rFonts w:ascii="Arial" w:eastAsia="Calibri" w:hAnsi="Arial" w:cs="Arial"/>
          <w:lang w:eastAsia="en-US"/>
        </w:rPr>
        <w:t>16</w:t>
      </w:r>
      <w:r w:rsidR="005A29C1">
        <w:rPr>
          <w:rFonts w:ascii="Arial" w:eastAsia="Calibri" w:hAnsi="Arial" w:cs="Arial"/>
          <w:lang w:eastAsia="en-US"/>
        </w:rPr>
        <w:t>]</w:t>
      </w:r>
      <w:r w:rsidR="005A29C1">
        <w:rPr>
          <w:rFonts w:ascii="Arial" w:eastAsia="Calibri" w:hAnsi="Arial" w:cs="Arial"/>
          <w:lang w:eastAsia="en-US"/>
        </w:rPr>
        <w:tab/>
      </w:r>
      <w:r w:rsidR="00F81C79" w:rsidRPr="00D67BB3">
        <w:rPr>
          <w:rFonts w:ascii="Arial" w:eastAsia="Calibri" w:hAnsi="Arial" w:cs="Arial"/>
          <w:lang w:eastAsia="en-US"/>
        </w:rPr>
        <w:t>In the result, I made the following order:</w:t>
      </w:r>
    </w:p>
    <w:p w:rsidR="0049421B" w:rsidRPr="00D67BB3" w:rsidRDefault="0049421B" w:rsidP="008505D1">
      <w:pPr>
        <w:spacing w:line="360" w:lineRule="auto"/>
        <w:jc w:val="both"/>
        <w:rPr>
          <w:rFonts w:ascii="Arial" w:hAnsi="Arial"/>
        </w:rPr>
      </w:pPr>
    </w:p>
    <w:p w:rsidR="00042A73" w:rsidRPr="00042A73" w:rsidRDefault="00042A73" w:rsidP="008505D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042A73">
        <w:rPr>
          <w:rFonts w:ascii="Arial" w:eastAsia="Calibri" w:hAnsi="Arial" w:cs="Arial"/>
          <w:lang w:eastAsia="en-US"/>
        </w:rPr>
        <w:lastRenderedPageBreak/>
        <w:t>1.</w:t>
      </w:r>
      <w:r w:rsidRPr="00042A73">
        <w:rPr>
          <w:rFonts w:ascii="Arial" w:eastAsia="Calibri" w:hAnsi="Arial" w:cs="Arial"/>
          <w:lang w:eastAsia="en-US"/>
        </w:rPr>
        <w:tab/>
        <w:t>The appellant’s application for condonation is hereby granted.</w:t>
      </w:r>
    </w:p>
    <w:p w:rsidR="00042A73" w:rsidRPr="00042A73" w:rsidRDefault="00042A73" w:rsidP="008505D1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042A73">
        <w:rPr>
          <w:rFonts w:ascii="Arial" w:eastAsia="Calibri" w:hAnsi="Arial" w:cs="Arial"/>
          <w:lang w:eastAsia="en-US"/>
        </w:rPr>
        <w:t>2.</w:t>
      </w:r>
      <w:r w:rsidRPr="00042A73">
        <w:rPr>
          <w:rFonts w:ascii="Arial" w:eastAsia="Calibri" w:hAnsi="Arial" w:cs="Arial"/>
          <w:lang w:eastAsia="en-US"/>
        </w:rPr>
        <w:tab/>
        <w:t>The appeal is upheld.</w:t>
      </w:r>
    </w:p>
    <w:p w:rsidR="0013707D" w:rsidRPr="00D67BB3" w:rsidRDefault="00042A73" w:rsidP="008505D1">
      <w:pPr>
        <w:spacing w:line="360" w:lineRule="auto"/>
        <w:jc w:val="both"/>
        <w:rPr>
          <w:rFonts w:ascii="Arial" w:hAnsi="Arial" w:cs="Arial"/>
        </w:rPr>
      </w:pPr>
      <w:r w:rsidRPr="00042A73">
        <w:rPr>
          <w:rFonts w:ascii="Arial" w:eastAsia="Calibri" w:hAnsi="Arial" w:cs="Arial"/>
          <w:lang w:eastAsia="en-US"/>
        </w:rPr>
        <w:t>3.</w:t>
      </w:r>
      <w:r w:rsidRPr="00042A73">
        <w:rPr>
          <w:rFonts w:ascii="Arial" w:eastAsia="Calibri" w:hAnsi="Arial" w:cs="Arial"/>
          <w:lang w:eastAsia="en-US"/>
        </w:rPr>
        <w:tab/>
        <w:t xml:space="preserve">The conviction and sentence </w:t>
      </w:r>
      <w:r w:rsidR="00551EB4">
        <w:rPr>
          <w:rFonts w:ascii="Arial" w:eastAsia="Calibri" w:hAnsi="Arial" w:cs="Arial"/>
          <w:lang w:eastAsia="en-US"/>
        </w:rPr>
        <w:t>are</w:t>
      </w:r>
      <w:r w:rsidRPr="00042A73">
        <w:rPr>
          <w:rFonts w:ascii="Arial" w:eastAsia="Calibri" w:hAnsi="Arial" w:cs="Arial"/>
          <w:lang w:eastAsia="en-US"/>
        </w:rPr>
        <w:t xml:space="preserve"> set aside. </w:t>
      </w:r>
    </w:p>
    <w:p w:rsidR="0013707D" w:rsidRPr="00D67BB3" w:rsidRDefault="0013707D" w:rsidP="008505D1">
      <w:pPr>
        <w:spacing w:line="360" w:lineRule="auto"/>
        <w:jc w:val="right"/>
        <w:rPr>
          <w:rFonts w:ascii="Arial" w:hAnsi="Arial" w:cs="Arial"/>
        </w:rPr>
      </w:pPr>
    </w:p>
    <w:p w:rsidR="007A75A0" w:rsidRPr="00D67BB3" w:rsidRDefault="007A75A0" w:rsidP="008505D1">
      <w:pPr>
        <w:spacing w:line="360" w:lineRule="auto"/>
        <w:jc w:val="right"/>
        <w:rPr>
          <w:rFonts w:ascii="Arial" w:hAnsi="Arial" w:cs="Arial"/>
        </w:rPr>
      </w:pPr>
    </w:p>
    <w:p w:rsidR="007A75A0" w:rsidRPr="00D67BB3" w:rsidRDefault="007A75A0" w:rsidP="008505D1">
      <w:pPr>
        <w:spacing w:line="360" w:lineRule="auto"/>
        <w:jc w:val="right"/>
        <w:rPr>
          <w:rFonts w:ascii="Arial" w:hAnsi="Arial" w:cs="Arial"/>
        </w:rPr>
      </w:pPr>
    </w:p>
    <w:p w:rsidR="0013707D" w:rsidRPr="00D67BB3" w:rsidRDefault="0013707D" w:rsidP="008505D1">
      <w:pPr>
        <w:spacing w:line="360" w:lineRule="auto"/>
        <w:jc w:val="right"/>
        <w:rPr>
          <w:rFonts w:ascii="Arial" w:hAnsi="Arial" w:cs="Arial"/>
        </w:rPr>
      </w:pPr>
      <w:r w:rsidRPr="00D67BB3">
        <w:rPr>
          <w:rFonts w:ascii="Arial" w:hAnsi="Arial" w:cs="Arial"/>
        </w:rPr>
        <w:t>________________</w:t>
      </w:r>
    </w:p>
    <w:p w:rsidR="0013707D" w:rsidRPr="00D67BB3" w:rsidRDefault="008505D1" w:rsidP="008505D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 </w:t>
      </w:r>
      <w:proofErr w:type="spellStart"/>
      <w:r>
        <w:rPr>
          <w:rFonts w:ascii="Arial" w:hAnsi="Arial" w:cs="Arial"/>
        </w:rPr>
        <w:t>E</w:t>
      </w:r>
      <w:proofErr w:type="spellEnd"/>
      <w:r w:rsidR="00805912">
        <w:rPr>
          <w:rFonts w:ascii="Arial" w:hAnsi="Arial" w:cs="Arial"/>
        </w:rPr>
        <w:t xml:space="preserve"> KESSLAU</w:t>
      </w:r>
    </w:p>
    <w:p w:rsidR="0013707D" w:rsidRPr="00D67BB3" w:rsidRDefault="0013707D" w:rsidP="008505D1">
      <w:pPr>
        <w:spacing w:line="360" w:lineRule="auto"/>
        <w:jc w:val="right"/>
        <w:rPr>
          <w:rFonts w:ascii="Arial" w:hAnsi="Arial" w:cs="Arial"/>
        </w:rPr>
      </w:pPr>
      <w:r w:rsidRPr="00D67BB3">
        <w:rPr>
          <w:rFonts w:ascii="Arial" w:hAnsi="Arial" w:cs="Arial"/>
        </w:rPr>
        <w:t xml:space="preserve"> JUDGE</w:t>
      </w:r>
    </w:p>
    <w:p w:rsidR="002C22EF" w:rsidRPr="00D67BB3" w:rsidRDefault="002C22EF" w:rsidP="008505D1">
      <w:pPr>
        <w:spacing w:line="360" w:lineRule="auto"/>
        <w:jc w:val="right"/>
        <w:rPr>
          <w:rFonts w:ascii="Arial" w:hAnsi="Arial" w:cs="Arial"/>
        </w:rPr>
      </w:pPr>
    </w:p>
    <w:p w:rsidR="0013707D" w:rsidRPr="00D67BB3" w:rsidRDefault="0013707D" w:rsidP="008505D1">
      <w:pPr>
        <w:spacing w:line="360" w:lineRule="auto"/>
        <w:jc w:val="right"/>
        <w:rPr>
          <w:rFonts w:ascii="Arial" w:hAnsi="Arial" w:cs="Arial"/>
        </w:rPr>
      </w:pPr>
    </w:p>
    <w:p w:rsidR="002C22EF" w:rsidRPr="00D67BB3" w:rsidRDefault="002C22EF" w:rsidP="008505D1">
      <w:pPr>
        <w:spacing w:line="360" w:lineRule="auto"/>
        <w:jc w:val="right"/>
        <w:rPr>
          <w:rFonts w:ascii="Arial" w:hAnsi="Arial" w:cs="Arial"/>
        </w:rPr>
      </w:pPr>
    </w:p>
    <w:p w:rsidR="0049421B" w:rsidRPr="00D67BB3" w:rsidRDefault="0049421B" w:rsidP="008505D1">
      <w:pPr>
        <w:spacing w:line="360" w:lineRule="auto"/>
        <w:jc w:val="right"/>
        <w:rPr>
          <w:rFonts w:ascii="Arial" w:hAnsi="Arial" w:cs="Arial"/>
        </w:rPr>
      </w:pPr>
      <w:r w:rsidRPr="00D67BB3">
        <w:rPr>
          <w:rFonts w:ascii="Arial" w:hAnsi="Arial" w:cs="Arial"/>
        </w:rPr>
        <w:t>I concur</w:t>
      </w:r>
      <w:r w:rsidR="002C22EF" w:rsidRPr="00D67BB3">
        <w:rPr>
          <w:rFonts w:ascii="Arial" w:hAnsi="Arial" w:cs="Arial"/>
        </w:rPr>
        <w:t>.</w:t>
      </w:r>
    </w:p>
    <w:p w:rsidR="0049421B" w:rsidRPr="00D67BB3" w:rsidRDefault="0049421B" w:rsidP="008505D1">
      <w:pPr>
        <w:spacing w:line="360" w:lineRule="auto"/>
        <w:jc w:val="right"/>
        <w:rPr>
          <w:rFonts w:ascii="Arial" w:hAnsi="Arial" w:cs="Arial"/>
        </w:rPr>
      </w:pPr>
    </w:p>
    <w:p w:rsidR="002C22EF" w:rsidRPr="00D67BB3" w:rsidRDefault="002C22EF" w:rsidP="008505D1">
      <w:pPr>
        <w:spacing w:line="360" w:lineRule="auto"/>
        <w:jc w:val="right"/>
        <w:rPr>
          <w:rFonts w:ascii="Arial" w:hAnsi="Arial" w:cs="Arial"/>
        </w:rPr>
      </w:pPr>
    </w:p>
    <w:p w:rsidR="0013707D" w:rsidRPr="00D67BB3" w:rsidRDefault="0013707D" w:rsidP="008505D1">
      <w:pPr>
        <w:spacing w:line="360" w:lineRule="auto"/>
        <w:jc w:val="right"/>
        <w:rPr>
          <w:rFonts w:ascii="Arial" w:hAnsi="Arial" w:cs="Arial"/>
        </w:rPr>
      </w:pPr>
    </w:p>
    <w:p w:rsidR="0013707D" w:rsidRPr="00D67BB3" w:rsidRDefault="0013707D" w:rsidP="008505D1">
      <w:pPr>
        <w:spacing w:line="360" w:lineRule="auto"/>
        <w:jc w:val="right"/>
        <w:rPr>
          <w:rFonts w:ascii="Arial" w:hAnsi="Arial" w:cs="Arial"/>
        </w:rPr>
      </w:pPr>
      <w:r w:rsidRPr="00D67BB3">
        <w:rPr>
          <w:rFonts w:ascii="Arial" w:hAnsi="Arial" w:cs="Arial"/>
        </w:rPr>
        <w:t>________________</w:t>
      </w:r>
    </w:p>
    <w:p w:rsidR="0013707D" w:rsidRPr="00D67BB3" w:rsidRDefault="008505D1" w:rsidP="008505D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 T</w:t>
      </w:r>
      <w:r w:rsidR="00805912">
        <w:rPr>
          <w:rFonts w:ascii="Arial" w:hAnsi="Arial" w:cs="Arial"/>
        </w:rPr>
        <w:t xml:space="preserve"> SALIONGA</w:t>
      </w:r>
    </w:p>
    <w:p w:rsidR="0013707D" w:rsidRPr="00D67BB3" w:rsidRDefault="0013707D" w:rsidP="008505D1">
      <w:pPr>
        <w:spacing w:line="360" w:lineRule="auto"/>
        <w:jc w:val="right"/>
        <w:rPr>
          <w:rFonts w:ascii="Arial" w:hAnsi="Arial" w:cs="Arial"/>
        </w:rPr>
      </w:pPr>
      <w:r w:rsidRPr="00D67BB3">
        <w:rPr>
          <w:rFonts w:ascii="Arial" w:hAnsi="Arial" w:cs="Arial"/>
        </w:rPr>
        <w:t>JUDGE</w:t>
      </w:r>
    </w:p>
    <w:p w:rsidR="0013707D" w:rsidRPr="00D67BB3" w:rsidRDefault="0013707D" w:rsidP="008505D1">
      <w:pPr>
        <w:spacing w:line="360" w:lineRule="auto"/>
        <w:rPr>
          <w:rFonts w:ascii="Arial" w:hAnsi="Arial" w:cs="Arial"/>
        </w:rPr>
      </w:pPr>
      <w:r w:rsidRPr="00D67BB3">
        <w:rPr>
          <w:rFonts w:ascii="Arial" w:hAnsi="Arial" w:cs="Arial"/>
        </w:rPr>
        <w:br w:type="page"/>
      </w: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</w:p>
    <w:p w:rsidR="0013707D" w:rsidRPr="005A29C1" w:rsidRDefault="0013707D" w:rsidP="008505D1">
      <w:pPr>
        <w:spacing w:line="360" w:lineRule="auto"/>
        <w:jc w:val="both"/>
        <w:rPr>
          <w:rFonts w:ascii="Arial" w:hAnsi="Arial" w:cs="Arial"/>
        </w:rPr>
      </w:pPr>
      <w:r w:rsidRPr="005A29C1">
        <w:rPr>
          <w:rFonts w:ascii="Arial" w:hAnsi="Arial" w:cs="Arial"/>
        </w:rPr>
        <w:t>APPEARANCES</w:t>
      </w:r>
      <w:r w:rsidR="008505D1">
        <w:rPr>
          <w:rFonts w:ascii="Arial" w:hAnsi="Arial" w:cs="Arial"/>
        </w:rPr>
        <w:t>:</w:t>
      </w: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</w:p>
    <w:p w:rsidR="0038121A" w:rsidRPr="00D67BB3" w:rsidRDefault="0038121A" w:rsidP="008505D1">
      <w:pPr>
        <w:spacing w:line="360" w:lineRule="auto"/>
        <w:jc w:val="both"/>
        <w:rPr>
          <w:rFonts w:ascii="Arial" w:hAnsi="Arial" w:cs="Arial"/>
        </w:rPr>
      </w:pPr>
      <w:r w:rsidRPr="00D67BB3">
        <w:rPr>
          <w:rFonts w:ascii="Arial" w:hAnsi="Arial" w:cs="Arial"/>
        </w:rPr>
        <w:t xml:space="preserve">APPELLANT </w:t>
      </w:r>
      <w:r w:rsidRPr="00D67BB3">
        <w:rPr>
          <w:rFonts w:ascii="Arial" w:hAnsi="Arial" w:cs="Arial"/>
        </w:rPr>
        <w:tab/>
      </w:r>
      <w:r w:rsidRPr="00D67BB3">
        <w:rPr>
          <w:rFonts w:ascii="Arial" w:hAnsi="Arial" w:cs="Arial"/>
        </w:rPr>
        <w:tab/>
      </w:r>
      <w:r w:rsidR="00805912">
        <w:rPr>
          <w:rFonts w:ascii="Arial" w:hAnsi="Arial" w:cs="Arial"/>
        </w:rPr>
        <w:t xml:space="preserve">S </w:t>
      </w:r>
      <w:proofErr w:type="spellStart"/>
      <w:r w:rsidR="00805912">
        <w:rPr>
          <w:rFonts w:ascii="Arial" w:hAnsi="Arial" w:cs="Arial"/>
        </w:rPr>
        <w:t>Aingura</w:t>
      </w:r>
      <w:proofErr w:type="spellEnd"/>
    </w:p>
    <w:p w:rsidR="008C41AB" w:rsidRPr="00D67BB3" w:rsidRDefault="0038121A" w:rsidP="008505D1">
      <w:pPr>
        <w:spacing w:line="360" w:lineRule="auto"/>
        <w:jc w:val="both"/>
        <w:rPr>
          <w:rFonts w:ascii="Arial" w:hAnsi="Arial" w:cs="Arial"/>
        </w:rPr>
      </w:pPr>
      <w:r w:rsidRPr="00D67BB3">
        <w:rPr>
          <w:rFonts w:ascii="Arial" w:hAnsi="Arial" w:cs="Arial"/>
        </w:rPr>
        <w:tab/>
      </w:r>
      <w:r w:rsidRPr="00D67BB3">
        <w:rPr>
          <w:rFonts w:ascii="Arial" w:hAnsi="Arial" w:cs="Arial"/>
        </w:rPr>
        <w:tab/>
      </w:r>
      <w:r w:rsidRPr="00D67BB3">
        <w:rPr>
          <w:rFonts w:ascii="Arial" w:hAnsi="Arial" w:cs="Arial"/>
        </w:rPr>
        <w:tab/>
      </w:r>
      <w:r w:rsidRPr="00D67BB3">
        <w:rPr>
          <w:rFonts w:ascii="Arial" w:hAnsi="Arial" w:cs="Arial"/>
        </w:rPr>
        <w:tab/>
      </w:r>
      <w:proofErr w:type="spellStart"/>
      <w:r w:rsidR="00805912">
        <w:rPr>
          <w:rFonts w:ascii="Arial" w:hAnsi="Arial" w:cs="Arial"/>
        </w:rPr>
        <w:t>Aingura</w:t>
      </w:r>
      <w:proofErr w:type="spellEnd"/>
      <w:r w:rsidR="00805912">
        <w:rPr>
          <w:rFonts w:ascii="Arial" w:hAnsi="Arial" w:cs="Arial"/>
        </w:rPr>
        <w:t xml:space="preserve"> Attorneys</w:t>
      </w:r>
      <w:r w:rsidR="008505D1">
        <w:rPr>
          <w:rFonts w:ascii="Arial" w:hAnsi="Arial" w:cs="Arial"/>
        </w:rPr>
        <w:t xml:space="preserve">, </w:t>
      </w:r>
      <w:proofErr w:type="spellStart"/>
      <w:r w:rsidR="008505D1">
        <w:rPr>
          <w:rFonts w:ascii="Arial" w:hAnsi="Arial" w:cs="Arial"/>
        </w:rPr>
        <w:t>Oshakati</w:t>
      </w:r>
      <w:proofErr w:type="spellEnd"/>
    </w:p>
    <w:p w:rsidR="008C41AB" w:rsidRPr="00D67BB3" w:rsidRDefault="008C41AB" w:rsidP="008505D1">
      <w:pPr>
        <w:spacing w:line="360" w:lineRule="auto"/>
        <w:jc w:val="both"/>
        <w:rPr>
          <w:rFonts w:ascii="Arial" w:hAnsi="Arial" w:cs="Arial"/>
        </w:rPr>
      </w:pPr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</w:p>
    <w:p w:rsidR="0013707D" w:rsidRPr="00D67BB3" w:rsidRDefault="0038121A" w:rsidP="008505D1">
      <w:pPr>
        <w:spacing w:line="360" w:lineRule="auto"/>
        <w:jc w:val="both"/>
        <w:rPr>
          <w:rFonts w:ascii="Arial" w:hAnsi="Arial" w:cs="Arial"/>
        </w:rPr>
      </w:pPr>
      <w:r w:rsidRPr="00D67BB3">
        <w:rPr>
          <w:rFonts w:ascii="Arial" w:hAnsi="Arial" w:cs="Arial"/>
        </w:rPr>
        <w:t>RESPONDENT</w:t>
      </w:r>
      <w:r w:rsidRPr="00D67BB3">
        <w:rPr>
          <w:rFonts w:ascii="Arial" w:hAnsi="Arial" w:cs="Arial"/>
        </w:rPr>
        <w:tab/>
      </w:r>
      <w:r w:rsidRPr="00D67BB3">
        <w:rPr>
          <w:rFonts w:ascii="Arial" w:hAnsi="Arial" w:cs="Arial"/>
        </w:rPr>
        <w:tab/>
      </w:r>
      <w:r w:rsidR="00805912">
        <w:rPr>
          <w:rFonts w:ascii="Arial" w:hAnsi="Arial" w:cs="Arial"/>
        </w:rPr>
        <w:t xml:space="preserve">R </w:t>
      </w:r>
      <w:proofErr w:type="spellStart"/>
      <w:r w:rsidR="00805912">
        <w:rPr>
          <w:rFonts w:ascii="Arial" w:hAnsi="Arial" w:cs="Arial"/>
        </w:rPr>
        <w:t>Shileka</w:t>
      </w:r>
      <w:proofErr w:type="spellEnd"/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  <w:r w:rsidRPr="00D67BB3">
        <w:rPr>
          <w:rFonts w:ascii="Arial" w:hAnsi="Arial" w:cs="Arial"/>
        </w:rPr>
        <w:tab/>
      </w:r>
      <w:r w:rsidRPr="00D67BB3">
        <w:rPr>
          <w:rFonts w:ascii="Arial" w:hAnsi="Arial" w:cs="Arial"/>
        </w:rPr>
        <w:tab/>
      </w:r>
      <w:r w:rsidRPr="00D67BB3">
        <w:rPr>
          <w:rFonts w:ascii="Arial" w:hAnsi="Arial" w:cs="Arial"/>
        </w:rPr>
        <w:tab/>
      </w:r>
      <w:r w:rsidRPr="00D67BB3">
        <w:rPr>
          <w:rFonts w:ascii="Arial" w:hAnsi="Arial" w:cs="Arial"/>
        </w:rPr>
        <w:tab/>
        <w:t xml:space="preserve">Of the Office of the Prosecutor-General, </w:t>
      </w:r>
      <w:proofErr w:type="spellStart"/>
      <w:r w:rsidRPr="00D67BB3">
        <w:rPr>
          <w:rFonts w:ascii="Arial" w:hAnsi="Arial" w:cs="Arial"/>
        </w:rPr>
        <w:t>Oshakati</w:t>
      </w:r>
      <w:proofErr w:type="spellEnd"/>
    </w:p>
    <w:p w:rsidR="0013707D" w:rsidRPr="00D67BB3" w:rsidRDefault="0013707D" w:rsidP="008505D1">
      <w:pPr>
        <w:spacing w:line="360" w:lineRule="auto"/>
        <w:jc w:val="both"/>
        <w:rPr>
          <w:rFonts w:ascii="Arial" w:hAnsi="Arial" w:cs="Arial"/>
        </w:rPr>
      </w:pPr>
    </w:p>
    <w:p w:rsidR="00F05F73" w:rsidRPr="00D67BB3" w:rsidRDefault="00F05F73" w:rsidP="008505D1">
      <w:pPr>
        <w:spacing w:line="360" w:lineRule="auto"/>
      </w:pPr>
    </w:p>
    <w:sectPr w:rsidR="00F05F73" w:rsidRPr="00D67BB3" w:rsidSect="002D4BA7">
      <w:headerReference w:type="even" r:id="rId9"/>
      <w:headerReference w:type="default" r:id="rId10"/>
      <w:pgSz w:w="11906" w:h="16838"/>
      <w:pgMar w:top="709" w:right="1416" w:bottom="81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95" w:rsidRDefault="00340595" w:rsidP="0013707D">
      <w:r>
        <w:separator/>
      </w:r>
    </w:p>
  </w:endnote>
  <w:endnote w:type="continuationSeparator" w:id="0">
    <w:p w:rsidR="00340595" w:rsidRDefault="00340595" w:rsidP="0013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95" w:rsidRDefault="00340595" w:rsidP="0013707D">
      <w:r>
        <w:separator/>
      </w:r>
    </w:p>
  </w:footnote>
  <w:footnote w:type="continuationSeparator" w:id="0">
    <w:p w:rsidR="00340595" w:rsidRDefault="00340595" w:rsidP="0013707D">
      <w:r>
        <w:continuationSeparator/>
      </w:r>
    </w:p>
  </w:footnote>
  <w:footnote w:id="1">
    <w:p w:rsidR="00CA7D58" w:rsidRPr="00D67BB3" w:rsidRDefault="00CA7D58" w:rsidP="00CA7D58">
      <w:pPr>
        <w:pStyle w:val="FootnoteText"/>
        <w:rPr>
          <w:rFonts w:ascii="Arial" w:hAnsi="Arial" w:cs="Arial"/>
        </w:rPr>
      </w:pPr>
      <w:r w:rsidRPr="00D67BB3">
        <w:rPr>
          <w:rStyle w:val="FootnoteReference"/>
          <w:rFonts w:ascii="Arial" w:hAnsi="Arial" w:cs="Arial"/>
        </w:rPr>
        <w:footnoteRef/>
      </w:r>
      <w:r w:rsidRPr="00D67BB3">
        <w:rPr>
          <w:rFonts w:ascii="Arial" w:hAnsi="Arial" w:cs="Arial"/>
        </w:rPr>
        <w:t xml:space="preserve"> </w:t>
      </w:r>
      <w:proofErr w:type="spellStart"/>
      <w:r w:rsidRPr="00D67BB3">
        <w:rPr>
          <w:rFonts w:ascii="Arial" w:hAnsi="Arial" w:cs="Arial"/>
          <w:i/>
        </w:rPr>
        <w:t>Balzer</w:t>
      </w:r>
      <w:proofErr w:type="spellEnd"/>
      <w:r w:rsidRPr="00D67BB3">
        <w:rPr>
          <w:rFonts w:ascii="Arial" w:hAnsi="Arial" w:cs="Arial"/>
          <w:i/>
        </w:rPr>
        <w:t xml:space="preserve"> v </w:t>
      </w:r>
      <w:proofErr w:type="spellStart"/>
      <w:r w:rsidRPr="00D67BB3">
        <w:rPr>
          <w:rFonts w:ascii="Arial" w:hAnsi="Arial" w:cs="Arial"/>
          <w:i/>
        </w:rPr>
        <w:t>Vries</w:t>
      </w:r>
      <w:proofErr w:type="spellEnd"/>
      <w:r w:rsidRPr="00D67BB3">
        <w:rPr>
          <w:rFonts w:ascii="Arial" w:hAnsi="Arial" w:cs="Arial"/>
          <w:i/>
        </w:rPr>
        <w:t xml:space="preserve"> </w:t>
      </w:r>
      <w:r w:rsidRPr="00D67BB3">
        <w:rPr>
          <w:rFonts w:ascii="Arial" w:hAnsi="Arial" w:cs="Arial"/>
        </w:rPr>
        <w:t>2015 (2) NR 547 (SC)</w:t>
      </w:r>
      <w:r w:rsidR="005C4D37">
        <w:rPr>
          <w:rFonts w:ascii="Arial" w:hAnsi="Arial" w:cs="Arial"/>
        </w:rPr>
        <w:t>;</w:t>
      </w:r>
      <w:r w:rsidR="005C4D37" w:rsidRPr="00D67BB3">
        <w:rPr>
          <w:rFonts w:ascii="Arial" w:hAnsi="Arial" w:cs="Arial"/>
        </w:rPr>
        <w:t xml:space="preserve"> Leonard</w:t>
      </w:r>
      <w:r w:rsidRPr="00D67BB3">
        <w:rPr>
          <w:rFonts w:ascii="Arial" w:hAnsi="Arial" w:cs="Arial"/>
          <w:i/>
        </w:rPr>
        <w:t xml:space="preserve"> v Oshana Security Services CC</w:t>
      </w:r>
      <w:r w:rsidRPr="00D67BB3">
        <w:rPr>
          <w:rFonts w:ascii="Arial" w:hAnsi="Arial" w:cs="Arial"/>
        </w:rPr>
        <w:t xml:space="preserve"> (HC-NLD-LAB-APP-AAA-2021/00006) [2023] NAHCNLD 1 (17 April 2023)</w:t>
      </w:r>
      <w:r w:rsidR="00551EB4">
        <w:rPr>
          <w:rFonts w:ascii="Arial" w:hAnsi="Arial" w:cs="Arial"/>
        </w:rPr>
        <w:t>.</w:t>
      </w:r>
    </w:p>
  </w:footnote>
  <w:footnote w:id="2">
    <w:p w:rsidR="00CA7D58" w:rsidRPr="00D67BB3" w:rsidRDefault="00CA7D58" w:rsidP="00CA7D58">
      <w:pPr>
        <w:pStyle w:val="FootnoteText"/>
        <w:rPr>
          <w:rFonts w:ascii="Arial" w:hAnsi="Arial" w:cs="Arial"/>
          <w:i/>
        </w:rPr>
      </w:pPr>
      <w:r w:rsidRPr="00D67BB3">
        <w:rPr>
          <w:rStyle w:val="FootnoteReference"/>
          <w:rFonts w:ascii="Arial" w:hAnsi="Arial" w:cs="Arial"/>
          <w:i/>
        </w:rPr>
        <w:footnoteRef/>
      </w:r>
      <w:r w:rsidRPr="00D67BB3">
        <w:rPr>
          <w:rFonts w:ascii="Arial" w:hAnsi="Arial" w:cs="Arial"/>
          <w:i/>
        </w:rPr>
        <w:t xml:space="preserve"> S v </w:t>
      </w:r>
      <w:proofErr w:type="spellStart"/>
      <w:r w:rsidRPr="00D67BB3">
        <w:rPr>
          <w:rFonts w:ascii="Arial" w:hAnsi="Arial" w:cs="Arial"/>
          <w:i/>
        </w:rPr>
        <w:t>Gowaseb</w:t>
      </w:r>
      <w:proofErr w:type="spellEnd"/>
      <w:r w:rsidRPr="00D67BB3">
        <w:rPr>
          <w:rFonts w:ascii="Arial" w:hAnsi="Arial" w:cs="Arial"/>
          <w:i/>
        </w:rPr>
        <w:t xml:space="preserve"> </w:t>
      </w:r>
      <w:r w:rsidRPr="008505D1">
        <w:rPr>
          <w:rFonts w:ascii="Arial" w:hAnsi="Arial" w:cs="Arial"/>
        </w:rPr>
        <w:t>2019 (1) NR 110 at par 4 page 112</w:t>
      </w:r>
      <w:r w:rsidRPr="00D67BB3">
        <w:rPr>
          <w:rFonts w:ascii="Arial" w:hAnsi="Arial" w:cs="Arial"/>
          <w:i/>
        </w:rPr>
        <w:t xml:space="preserve">; See also S v </w:t>
      </w:r>
      <w:proofErr w:type="spellStart"/>
      <w:r w:rsidRPr="00D67BB3">
        <w:rPr>
          <w:rFonts w:ascii="Arial" w:hAnsi="Arial" w:cs="Arial"/>
          <w:i/>
        </w:rPr>
        <w:t>Umub</w:t>
      </w:r>
      <w:proofErr w:type="spellEnd"/>
      <w:r w:rsidRPr="00D67BB3">
        <w:rPr>
          <w:rFonts w:ascii="Arial" w:hAnsi="Arial" w:cs="Arial"/>
          <w:i/>
        </w:rPr>
        <w:t xml:space="preserve"> </w:t>
      </w:r>
      <w:r w:rsidRPr="008505D1">
        <w:rPr>
          <w:rFonts w:ascii="Arial" w:hAnsi="Arial" w:cs="Arial"/>
        </w:rPr>
        <w:t>2019(1) NR 201</w:t>
      </w:r>
      <w:r w:rsidRPr="00D67BB3">
        <w:rPr>
          <w:rFonts w:ascii="Arial" w:hAnsi="Arial" w:cs="Arial"/>
          <w:i/>
        </w:rPr>
        <w:t xml:space="preserve"> and S v </w:t>
      </w:r>
      <w:proofErr w:type="spellStart"/>
      <w:r w:rsidRPr="008505D1">
        <w:rPr>
          <w:rFonts w:ascii="Arial" w:hAnsi="Arial" w:cs="Arial"/>
        </w:rPr>
        <w:t>Murangi</w:t>
      </w:r>
      <w:proofErr w:type="spellEnd"/>
      <w:r w:rsidRPr="008505D1">
        <w:rPr>
          <w:rFonts w:ascii="Arial" w:hAnsi="Arial" w:cs="Arial"/>
        </w:rPr>
        <w:t xml:space="preserve"> [2013] NAHCMD 50 (CA 88/2013</w:t>
      </w:r>
      <w:r w:rsidRPr="00D67BB3">
        <w:rPr>
          <w:rFonts w:ascii="Arial" w:hAnsi="Arial" w:cs="Arial"/>
          <w:i/>
        </w:rPr>
        <w:t xml:space="preserve">; </w:t>
      </w:r>
      <w:r w:rsidRPr="008505D1">
        <w:rPr>
          <w:rFonts w:ascii="Arial" w:hAnsi="Arial" w:cs="Arial"/>
        </w:rPr>
        <w:t>14 February 2014) paras 7-9.</w:t>
      </w:r>
    </w:p>
  </w:footnote>
  <w:footnote w:id="3">
    <w:p w:rsidR="006A4BD6" w:rsidRPr="006A4BD6" w:rsidRDefault="006A4BD6" w:rsidP="006A4BD6">
      <w:pPr>
        <w:pStyle w:val="FootnoteText"/>
        <w:rPr>
          <w:rFonts w:ascii="Arial" w:hAnsi="Arial" w:cs="Arial"/>
        </w:rPr>
      </w:pPr>
      <w:r w:rsidRPr="006A4BD6">
        <w:rPr>
          <w:rStyle w:val="FootnoteReference"/>
          <w:rFonts w:ascii="Arial" w:hAnsi="Arial" w:cs="Arial"/>
        </w:rPr>
        <w:footnoteRef/>
      </w:r>
      <w:r w:rsidRPr="006A4BD6">
        <w:rPr>
          <w:rFonts w:ascii="Arial" w:hAnsi="Arial" w:cs="Arial"/>
        </w:rPr>
        <w:t xml:space="preserve"> Criminal Procedure Act 51 of 1977.</w:t>
      </w:r>
    </w:p>
  </w:footnote>
  <w:footnote w:id="4">
    <w:p w:rsidR="006A4BD6" w:rsidRPr="006A4BD6" w:rsidRDefault="006A4BD6" w:rsidP="006A4BD6">
      <w:pPr>
        <w:pStyle w:val="FootnoteText"/>
        <w:rPr>
          <w:rFonts w:ascii="Arial" w:hAnsi="Arial" w:cs="Arial"/>
        </w:rPr>
      </w:pPr>
      <w:r w:rsidRPr="006A4BD6">
        <w:rPr>
          <w:rStyle w:val="FootnoteReference"/>
          <w:rFonts w:ascii="Arial" w:hAnsi="Arial" w:cs="Arial"/>
        </w:rPr>
        <w:footnoteRef/>
      </w:r>
      <w:r w:rsidR="00ED3DD4">
        <w:rPr>
          <w:rFonts w:ascii="Arial" w:hAnsi="Arial" w:cs="Arial"/>
        </w:rPr>
        <w:t xml:space="preserve"> </w:t>
      </w:r>
      <w:proofErr w:type="spellStart"/>
      <w:r w:rsidRPr="006A4BD6">
        <w:rPr>
          <w:rFonts w:ascii="Arial" w:hAnsi="Arial" w:cs="Arial"/>
          <w:i/>
          <w:lang w:val="en-US"/>
        </w:rPr>
        <w:t>Aukalius</w:t>
      </w:r>
      <w:proofErr w:type="spellEnd"/>
      <w:r w:rsidRPr="006A4BD6">
        <w:rPr>
          <w:rFonts w:ascii="Arial" w:hAnsi="Arial" w:cs="Arial"/>
          <w:i/>
          <w:lang w:val="en-US"/>
        </w:rPr>
        <w:t xml:space="preserve"> v S</w:t>
      </w:r>
      <w:r w:rsidRPr="006A4BD6">
        <w:rPr>
          <w:rFonts w:ascii="Arial" w:hAnsi="Arial" w:cs="Arial"/>
          <w:lang w:val="en-US"/>
        </w:rPr>
        <w:t xml:space="preserve"> (CA 50-2014) [2017] NAHCNLD 10 (20 February 2017); </w:t>
      </w:r>
      <w:r w:rsidRPr="006A4BD6">
        <w:rPr>
          <w:rFonts w:ascii="Arial" w:hAnsi="Arial" w:cs="Arial"/>
          <w:i/>
          <w:lang w:val="en-US"/>
        </w:rPr>
        <w:t xml:space="preserve">S v </w:t>
      </w:r>
      <w:proofErr w:type="spellStart"/>
      <w:r w:rsidRPr="006A4BD6">
        <w:rPr>
          <w:rFonts w:ascii="Arial" w:hAnsi="Arial" w:cs="Arial"/>
          <w:i/>
          <w:lang w:val="en-US"/>
        </w:rPr>
        <w:t>Nassar</w:t>
      </w:r>
      <w:proofErr w:type="spellEnd"/>
      <w:r w:rsidRPr="006A4BD6">
        <w:rPr>
          <w:rFonts w:ascii="Arial" w:hAnsi="Arial" w:cs="Arial"/>
          <w:lang w:val="en-US"/>
        </w:rPr>
        <w:t xml:space="preserve"> 1994 NR 233 (HC)</w:t>
      </w:r>
      <w:r w:rsidR="00C94040">
        <w:rPr>
          <w:rFonts w:ascii="Arial" w:hAnsi="Arial" w:cs="Arial"/>
          <w:lang w:val="en-US"/>
        </w:rPr>
        <w:t>.</w:t>
      </w:r>
    </w:p>
  </w:footnote>
  <w:footnote w:id="5">
    <w:p w:rsidR="00C94040" w:rsidRPr="006A4BD6" w:rsidRDefault="00C94040" w:rsidP="00C94040">
      <w:pPr>
        <w:pStyle w:val="FootnoteText"/>
        <w:rPr>
          <w:rFonts w:ascii="Arial" w:hAnsi="Arial" w:cs="Arial"/>
        </w:rPr>
      </w:pPr>
      <w:r w:rsidRPr="006A4BD6">
        <w:rPr>
          <w:rStyle w:val="FootnoteReference"/>
          <w:rFonts w:ascii="Arial" w:hAnsi="Arial" w:cs="Arial"/>
        </w:rPr>
        <w:footnoteRef/>
      </w:r>
      <w:r w:rsidRPr="006A4BD6">
        <w:rPr>
          <w:rFonts w:ascii="Arial" w:hAnsi="Arial" w:cs="Arial"/>
        </w:rPr>
        <w:t xml:space="preserve"> See in this regard the mandatory provision in Section 3(2) of the Combating of Rape Act 8 of 2000.</w:t>
      </w:r>
    </w:p>
  </w:footnote>
  <w:footnote w:id="6">
    <w:p w:rsidR="006A4BD6" w:rsidRPr="00683ADC" w:rsidRDefault="006A4BD6" w:rsidP="006A4BD6">
      <w:pPr>
        <w:pStyle w:val="FootnoteText"/>
        <w:rPr>
          <w:rFonts w:ascii="Arial" w:hAnsi="Arial" w:cs="Arial"/>
        </w:rPr>
      </w:pPr>
      <w:r w:rsidRPr="00683ADC">
        <w:rPr>
          <w:rStyle w:val="FootnoteReference"/>
          <w:rFonts w:ascii="Arial" w:hAnsi="Arial" w:cs="Arial"/>
        </w:rPr>
        <w:footnoteRef/>
      </w:r>
      <w:r w:rsidRPr="00683ADC">
        <w:rPr>
          <w:rFonts w:ascii="Arial" w:hAnsi="Arial" w:cs="Arial"/>
        </w:rPr>
        <w:t xml:space="preserve"> </w:t>
      </w:r>
      <w:proofErr w:type="spellStart"/>
      <w:r w:rsidR="00551EB4" w:rsidRPr="00551EB4">
        <w:rPr>
          <w:rFonts w:ascii="Arial" w:hAnsi="Arial" w:cs="Arial"/>
          <w:i/>
        </w:rPr>
        <w:t>Soondaha</w:t>
      </w:r>
      <w:proofErr w:type="spellEnd"/>
      <w:r w:rsidR="00551EB4" w:rsidRPr="00551EB4">
        <w:rPr>
          <w:rFonts w:ascii="Arial" w:hAnsi="Arial" w:cs="Arial"/>
          <w:i/>
        </w:rPr>
        <w:t xml:space="preserve"> v The State</w:t>
      </w:r>
      <w:r w:rsidR="00551EB4" w:rsidRPr="00551EB4">
        <w:rPr>
          <w:rFonts w:ascii="Arial" w:hAnsi="Arial" w:cs="Arial"/>
        </w:rPr>
        <w:t xml:space="preserve"> </w:t>
      </w:r>
      <w:r w:rsidRPr="00683ADC">
        <w:rPr>
          <w:rFonts w:ascii="Arial" w:hAnsi="Arial" w:cs="Arial"/>
        </w:rPr>
        <w:t xml:space="preserve">(CA 28/2013) [2016] </w:t>
      </w:r>
      <w:r w:rsidR="005C4D37">
        <w:rPr>
          <w:rFonts w:ascii="Arial" w:hAnsi="Arial" w:cs="Arial"/>
        </w:rPr>
        <w:t>NAHCNLD 76 (22 August 2016) at</w:t>
      </w:r>
      <w:r w:rsidRPr="00683ADC">
        <w:rPr>
          <w:rFonts w:ascii="Arial" w:hAnsi="Arial" w:cs="Arial"/>
        </w:rPr>
        <w:t xml:space="preserve"> 8 par</w:t>
      </w:r>
      <w:r w:rsidR="005A29C1">
        <w:rPr>
          <w:rFonts w:ascii="Arial" w:hAnsi="Arial" w:cs="Arial"/>
        </w:rPr>
        <w:t>a</w:t>
      </w:r>
      <w:r w:rsidRPr="00683ADC">
        <w:rPr>
          <w:rFonts w:ascii="Arial" w:hAnsi="Arial" w:cs="Arial"/>
        </w:rPr>
        <w:t xml:space="preserve"> 19.</w:t>
      </w:r>
    </w:p>
  </w:footnote>
  <w:footnote w:id="7">
    <w:p w:rsidR="006A4BD6" w:rsidRPr="00BE1FEE" w:rsidRDefault="006A4BD6" w:rsidP="006A4BD6">
      <w:pPr>
        <w:pStyle w:val="FootnoteText"/>
        <w:rPr>
          <w:rFonts w:ascii="Arial" w:hAnsi="Arial" w:cs="Arial"/>
        </w:rPr>
      </w:pPr>
      <w:r w:rsidRPr="00BE1FEE">
        <w:rPr>
          <w:rStyle w:val="FootnoteReference"/>
          <w:rFonts w:ascii="Arial" w:hAnsi="Arial" w:cs="Arial"/>
        </w:rPr>
        <w:footnoteRef/>
      </w:r>
      <w:r w:rsidRPr="00BE1FEE">
        <w:rPr>
          <w:rFonts w:ascii="Arial" w:hAnsi="Arial" w:cs="Arial"/>
        </w:rPr>
        <w:t xml:space="preserve"> </w:t>
      </w:r>
      <w:proofErr w:type="spellStart"/>
      <w:r w:rsidRPr="007F3D42">
        <w:rPr>
          <w:rFonts w:ascii="Arial" w:hAnsi="Arial" w:cs="Arial"/>
          <w:i/>
        </w:rPr>
        <w:t>Lizazi</w:t>
      </w:r>
      <w:proofErr w:type="spellEnd"/>
      <w:r w:rsidRPr="007F3D42">
        <w:rPr>
          <w:rFonts w:ascii="Arial" w:hAnsi="Arial" w:cs="Arial"/>
          <w:i/>
        </w:rPr>
        <w:t xml:space="preserve"> v State</w:t>
      </w:r>
      <w:r w:rsidRPr="00BE1FEE">
        <w:rPr>
          <w:rFonts w:ascii="Arial" w:hAnsi="Arial" w:cs="Arial"/>
        </w:rPr>
        <w:t xml:space="preserve"> (CA 23/2015) [2020] NAHCMD 91 (13 March 2020).</w:t>
      </w:r>
    </w:p>
  </w:footnote>
  <w:footnote w:id="8">
    <w:p w:rsidR="006A4BD6" w:rsidRPr="00BE1FEE" w:rsidRDefault="006A4BD6" w:rsidP="006A4BD6">
      <w:pPr>
        <w:pStyle w:val="FootnoteText"/>
        <w:rPr>
          <w:rFonts w:ascii="Arial" w:hAnsi="Arial" w:cs="Arial"/>
        </w:rPr>
      </w:pPr>
      <w:r w:rsidRPr="00BE1FEE">
        <w:rPr>
          <w:rStyle w:val="FootnoteReference"/>
          <w:rFonts w:ascii="Arial" w:hAnsi="Arial" w:cs="Arial"/>
        </w:rPr>
        <w:footnoteRef/>
      </w:r>
      <w:r w:rsidRPr="00BE1FEE">
        <w:rPr>
          <w:rFonts w:ascii="Arial" w:hAnsi="Arial" w:cs="Arial"/>
        </w:rPr>
        <w:t xml:space="preserve"> </w:t>
      </w:r>
      <w:r w:rsidRPr="007F3D42">
        <w:rPr>
          <w:rFonts w:ascii="Arial" w:hAnsi="Arial" w:cs="Arial"/>
          <w:i/>
        </w:rPr>
        <w:t xml:space="preserve">S v </w:t>
      </w:r>
      <w:proofErr w:type="spellStart"/>
      <w:r w:rsidRPr="007F3D42">
        <w:rPr>
          <w:rFonts w:ascii="Arial" w:hAnsi="Arial" w:cs="Arial"/>
          <w:i/>
        </w:rPr>
        <w:t>Madema</w:t>
      </w:r>
      <w:proofErr w:type="spellEnd"/>
      <w:r w:rsidRPr="00BE1FEE">
        <w:rPr>
          <w:rFonts w:ascii="Arial" w:hAnsi="Arial" w:cs="Arial"/>
        </w:rPr>
        <w:t xml:space="preserve"> (CR 20/2020) [2020] NAHCMD 118 (27 March 2020); </w:t>
      </w:r>
      <w:proofErr w:type="spellStart"/>
      <w:r w:rsidRPr="007F3D42">
        <w:rPr>
          <w:rFonts w:ascii="Arial" w:hAnsi="Arial" w:cs="Arial"/>
          <w:i/>
        </w:rPr>
        <w:t>Katoteli</w:t>
      </w:r>
      <w:proofErr w:type="spellEnd"/>
      <w:r w:rsidRPr="007F3D42">
        <w:rPr>
          <w:rFonts w:ascii="Arial" w:hAnsi="Arial" w:cs="Arial"/>
          <w:i/>
        </w:rPr>
        <w:t xml:space="preserve"> v The State</w:t>
      </w:r>
      <w:r w:rsidRPr="00BE1FEE">
        <w:rPr>
          <w:rFonts w:ascii="Arial" w:hAnsi="Arial" w:cs="Arial"/>
        </w:rPr>
        <w:t xml:space="preserve"> (CA</w:t>
      </w:r>
      <w:r w:rsidR="005C4D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E1FEE">
        <w:rPr>
          <w:rFonts w:ascii="Arial" w:hAnsi="Arial" w:cs="Arial"/>
        </w:rPr>
        <w:t>201/2004) Unreported Judgment delivered 26 September 2008</w:t>
      </w:r>
      <w:r w:rsidR="00115C7C">
        <w:rPr>
          <w:rFonts w:ascii="Arial" w:hAnsi="Arial" w:cs="Arial"/>
        </w:rPr>
        <w:t>.</w:t>
      </w:r>
      <w:r w:rsidRPr="00BE1FEE">
        <w:rPr>
          <w:rFonts w:ascii="Arial" w:hAnsi="Arial" w:cs="Arial"/>
        </w:rPr>
        <w:t xml:space="preserve"> </w:t>
      </w:r>
    </w:p>
  </w:footnote>
  <w:footnote w:id="9">
    <w:p w:rsidR="006A4BD6" w:rsidRPr="00BE1FEE" w:rsidRDefault="006A4BD6" w:rsidP="006A4BD6">
      <w:pPr>
        <w:pStyle w:val="FootnoteText"/>
        <w:rPr>
          <w:rFonts w:ascii="Arial" w:hAnsi="Arial" w:cs="Arial"/>
        </w:rPr>
      </w:pPr>
      <w:r w:rsidRPr="00BE1FEE">
        <w:rPr>
          <w:rStyle w:val="FootnoteReference"/>
          <w:rFonts w:ascii="Arial" w:hAnsi="Arial" w:cs="Arial"/>
        </w:rPr>
        <w:footnoteRef/>
      </w:r>
      <w:r w:rsidRPr="00BE1FEE">
        <w:rPr>
          <w:rFonts w:ascii="Arial" w:hAnsi="Arial" w:cs="Arial"/>
        </w:rPr>
        <w:t xml:space="preserve"> </w:t>
      </w:r>
      <w:r w:rsidRPr="007F3D42">
        <w:rPr>
          <w:rFonts w:ascii="Arial" w:hAnsi="Arial" w:cs="Arial"/>
          <w:i/>
        </w:rPr>
        <w:t>Jankowski v S</w:t>
      </w:r>
      <w:r w:rsidRPr="00BE1FEE">
        <w:rPr>
          <w:rFonts w:ascii="Arial" w:hAnsi="Arial" w:cs="Arial"/>
        </w:rPr>
        <w:t xml:space="preserve"> (CA 60/2017) [2018] NAHCMD 158 (12 June 2018)</w:t>
      </w:r>
      <w:r w:rsidR="00115C7C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2E" w:rsidRDefault="0087712E" w:rsidP="008771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712E" w:rsidRDefault="00877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12E" w:rsidRPr="00472A1C" w:rsidRDefault="0087712E">
    <w:pPr>
      <w:pStyle w:val="Header"/>
      <w:jc w:val="right"/>
      <w:rPr>
        <w:rFonts w:ascii="Arial" w:hAnsi="Arial" w:cs="Arial"/>
        <w:sz w:val="22"/>
        <w:szCs w:val="22"/>
      </w:rPr>
    </w:pPr>
    <w:r w:rsidRPr="00472A1C">
      <w:rPr>
        <w:rFonts w:ascii="Arial" w:hAnsi="Arial" w:cs="Arial"/>
        <w:sz w:val="22"/>
        <w:szCs w:val="22"/>
      </w:rPr>
      <w:fldChar w:fldCharType="begin"/>
    </w:r>
    <w:r w:rsidRPr="00472A1C">
      <w:rPr>
        <w:rFonts w:ascii="Arial" w:hAnsi="Arial" w:cs="Arial"/>
        <w:sz w:val="22"/>
        <w:szCs w:val="22"/>
      </w:rPr>
      <w:instrText xml:space="preserve"> PAGE   \* MERGEFORMAT </w:instrText>
    </w:r>
    <w:r w:rsidRPr="00472A1C">
      <w:rPr>
        <w:rFonts w:ascii="Arial" w:hAnsi="Arial" w:cs="Arial"/>
        <w:sz w:val="22"/>
        <w:szCs w:val="22"/>
      </w:rPr>
      <w:fldChar w:fldCharType="separate"/>
    </w:r>
    <w:r w:rsidR="000E1994">
      <w:rPr>
        <w:rFonts w:ascii="Arial" w:hAnsi="Arial" w:cs="Arial"/>
        <w:noProof/>
        <w:sz w:val="22"/>
        <w:szCs w:val="22"/>
      </w:rPr>
      <w:t>5</w:t>
    </w:r>
    <w:r w:rsidRPr="00472A1C">
      <w:rPr>
        <w:rFonts w:ascii="Arial" w:hAnsi="Arial" w:cs="Arial"/>
        <w:noProof/>
        <w:sz w:val="22"/>
        <w:szCs w:val="22"/>
      </w:rPr>
      <w:fldChar w:fldCharType="end"/>
    </w:r>
  </w:p>
  <w:p w:rsidR="0087712E" w:rsidRPr="00472A1C" w:rsidRDefault="0087712E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7B5"/>
    <w:multiLevelType w:val="hybridMultilevel"/>
    <w:tmpl w:val="30AEECFE"/>
    <w:lvl w:ilvl="0" w:tplc="A434DD3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7F526FB"/>
    <w:multiLevelType w:val="hybridMultilevel"/>
    <w:tmpl w:val="083E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7D"/>
    <w:rsid w:val="0001406D"/>
    <w:rsid w:val="000204B6"/>
    <w:rsid w:val="00025134"/>
    <w:rsid w:val="00042A73"/>
    <w:rsid w:val="00053F75"/>
    <w:rsid w:val="000B3F88"/>
    <w:rsid w:val="000C2311"/>
    <w:rsid w:val="000E1994"/>
    <w:rsid w:val="00114177"/>
    <w:rsid w:val="00115C28"/>
    <w:rsid w:val="00115C7C"/>
    <w:rsid w:val="00117AD7"/>
    <w:rsid w:val="00124A64"/>
    <w:rsid w:val="0013707D"/>
    <w:rsid w:val="00146681"/>
    <w:rsid w:val="001855BC"/>
    <w:rsid w:val="00191023"/>
    <w:rsid w:val="001B0121"/>
    <w:rsid w:val="001C2948"/>
    <w:rsid w:val="001E7988"/>
    <w:rsid w:val="00213E29"/>
    <w:rsid w:val="002448B1"/>
    <w:rsid w:val="0025072A"/>
    <w:rsid w:val="00260DD2"/>
    <w:rsid w:val="0029380E"/>
    <w:rsid w:val="0029684D"/>
    <w:rsid w:val="002C22EF"/>
    <w:rsid w:val="002D4BA7"/>
    <w:rsid w:val="002E1894"/>
    <w:rsid w:val="00300050"/>
    <w:rsid w:val="00303497"/>
    <w:rsid w:val="00314417"/>
    <w:rsid w:val="00321FDE"/>
    <w:rsid w:val="00340595"/>
    <w:rsid w:val="00351852"/>
    <w:rsid w:val="00373F8E"/>
    <w:rsid w:val="0038121A"/>
    <w:rsid w:val="003C6297"/>
    <w:rsid w:val="003D29E5"/>
    <w:rsid w:val="003E290A"/>
    <w:rsid w:val="003E6038"/>
    <w:rsid w:val="004148C9"/>
    <w:rsid w:val="0044473C"/>
    <w:rsid w:val="00472A1C"/>
    <w:rsid w:val="00472BBC"/>
    <w:rsid w:val="0047765A"/>
    <w:rsid w:val="00484354"/>
    <w:rsid w:val="0049421B"/>
    <w:rsid w:val="004A04C0"/>
    <w:rsid w:val="004A08F5"/>
    <w:rsid w:val="004A103A"/>
    <w:rsid w:val="004B4B0F"/>
    <w:rsid w:val="004C3F4B"/>
    <w:rsid w:val="004C5D62"/>
    <w:rsid w:val="004E04CF"/>
    <w:rsid w:val="004F5017"/>
    <w:rsid w:val="004F6A90"/>
    <w:rsid w:val="00500460"/>
    <w:rsid w:val="00524465"/>
    <w:rsid w:val="005439C3"/>
    <w:rsid w:val="00551EB4"/>
    <w:rsid w:val="00573074"/>
    <w:rsid w:val="00585ABB"/>
    <w:rsid w:val="0059734D"/>
    <w:rsid w:val="005A29C1"/>
    <w:rsid w:val="005A78A6"/>
    <w:rsid w:val="005C4D37"/>
    <w:rsid w:val="005D4EBE"/>
    <w:rsid w:val="005E09AB"/>
    <w:rsid w:val="006161F0"/>
    <w:rsid w:val="006606C2"/>
    <w:rsid w:val="006622EF"/>
    <w:rsid w:val="006A4BD6"/>
    <w:rsid w:val="006B3B92"/>
    <w:rsid w:val="006B4A8D"/>
    <w:rsid w:val="006B7ACA"/>
    <w:rsid w:val="006F1FC6"/>
    <w:rsid w:val="007164CB"/>
    <w:rsid w:val="00735866"/>
    <w:rsid w:val="007462E1"/>
    <w:rsid w:val="007818A7"/>
    <w:rsid w:val="00785EAE"/>
    <w:rsid w:val="007A75A0"/>
    <w:rsid w:val="007B5E8D"/>
    <w:rsid w:val="007D0B31"/>
    <w:rsid w:val="007D60C1"/>
    <w:rsid w:val="008028F2"/>
    <w:rsid w:val="00805912"/>
    <w:rsid w:val="00814678"/>
    <w:rsid w:val="00823AB9"/>
    <w:rsid w:val="00827713"/>
    <w:rsid w:val="0084090A"/>
    <w:rsid w:val="008505D1"/>
    <w:rsid w:val="00860A3C"/>
    <w:rsid w:val="00863986"/>
    <w:rsid w:val="0087712E"/>
    <w:rsid w:val="008857B7"/>
    <w:rsid w:val="00894383"/>
    <w:rsid w:val="008B7C9A"/>
    <w:rsid w:val="008C1757"/>
    <w:rsid w:val="008C41AB"/>
    <w:rsid w:val="008C5EA9"/>
    <w:rsid w:val="008D594A"/>
    <w:rsid w:val="008D6050"/>
    <w:rsid w:val="008E5578"/>
    <w:rsid w:val="008E6006"/>
    <w:rsid w:val="008F2B43"/>
    <w:rsid w:val="009133D9"/>
    <w:rsid w:val="00916275"/>
    <w:rsid w:val="00922300"/>
    <w:rsid w:val="0096469B"/>
    <w:rsid w:val="00964EDA"/>
    <w:rsid w:val="00966ECB"/>
    <w:rsid w:val="00967E26"/>
    <w:rsid w:val="00984D2B"/>
    <w:rsid w:val="00994036"/>
    <w:rsid w:val="009A07FA"/>
    <w:rsid w:val="009A22B0"/>
    <w:rsid w:val="009B1213"/>
    <w:rsid w:val="009D3A87"/>
    <w:rsid w:val="009F190F"/>
    <w:rsid w:val="00A15145"/>
    <w:rsid w:val="00A461D2"/>
    <w:rsid w:val="00A52A49"/>
    <w:rsid w:val="00A62FC2"/>
    <w:rsid w:val="00A653D6"/>
    <w:rsid w:val="00AE405B"/>
    <w:rsid w:val="00B00A3B"/>
    <w:rsid w:val="00B14FC7"/>
    <w:rsid w:val="00B177A4"/>
    <w:rsid w:val="00B777A6"/>
    <w:rsid w:val="00B90D36"/>
    <w:rsid w:val="00BA6F6B"/>
    <w:rsid w:val="00BB57AF"/>
    <w:rsid w:val="00BD77D7"/>
    <w:rsid w:val="00BF4C9A"/>
    <w:rsid w:val="00BF6364"/>
    <w:rsid w:val="00C009AE"/>
    <w:rsid w:val="00C01C1C"/>
    <w:rsid w:val="00C23F01"/>
    <w:rsid w:val="00C27E71"/>
    <w:rsid w:val="00C62E11"/>
    <w:rsid w:val="00C75F66"/>
    <w:rsid w:val="00C850D3"/>
    <w:rsid w:val="00C91097"/>
    <w:rsid w:val="00C94040"/>
    <w:rsid w:val="00CA7D58"/>
    <w:rsid w:val="00CB582E"/>
    <w:rsid w:val="00CD0B74"/>
    <w:rsid w:val="00D02195"/>
    <w:rsid w:val="00D569CB"/>
    <w:rsid w:val="00D66040"/>
    <w:rsid w:val="00D67BB3"/>
    <w:rsid w:val="00DD6C13"/>
    <w:rsid w:val="00DE0C80"/>
    <w:rsid w:val="00E0473C"/>
    <w:rsid w:val="00E0694B"/>
    <w:rsid w:val="00E076AC"/>
    <w:rsid w:val="00E327D7"/>
    <w:rsid w:val="00E35D9D"/>
    <w:rsid w:val="00E44C8F"/>
    <w:rsid w:val="00E646E8"/>
    <w:rsid w:val="00E94A53"/>
    <w:rsid w:val="00EA0E28"/>
    <w:rsid w:val="00ED0E91"/>
    <w:rsid w:val="00ED3DD4"/>
    <w:rsid w:val="00F005E7"/>
    <w:rsid w:val="00F04F47"/>
    <w:rsid w:val="00F05F73"/>
    <w:rsid w:val="00F13DFE"/>
    <w:rsid w:val="00F44350"/>
    <w:rsid w:val="00F533DB"/>
    <w:rsid w:val="00F572A1"/>
    <w:rsid w:val="00F64D70"/>
    <w:rsid w:val="00F66D11"/>
    <w:rsid w:val="00F71DCA"/>
    <w:rsid w:val="00F81C79"/>
    <w:rsid w:val="00FA4A24"/>
    <w:rsid w:val="00FB0211"/>
    <w:rsid w:val="00FC7A92"/>
    <w:rsid w:val="00FC7D19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6E71C-28D2-4430-AC7A-5AEDE65C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70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0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13707D"/>
  </w:style>
  <w:style w:type="paragraph" w:styleId="FootnoteText">
    <w:name w:val="footnote text"/>
    <w:basedOn w:val="Normal"/>
    <w:link w:val="FootnoteTextChar"/>
    <w:uiPriority w:val="99"/>
    <w:unhideWhenUsed/>
    <w:rsid w:val="001370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707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Ref,de nota al pie,註腳內容,Heading 6 Char1,do not use4 Char1,Footnote symbol,(NECG) Footnote Reference,Style 12,Footnote,Footnotes refss,Footnote Reference1,Ref1,de nota al pie1,de nota al pie + (Asian) MS Mincho,11 pt,註?腳內—e,fr"/>
    <w:uiPriority w:val="99"/>
    <w:unhideWhenUsed/>
    <w:qFormat/>
    <w:rsid w:val="001370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61D2"/>
    <w:pPr>
      <w:ind w:left="720"/>
      <w:contextualSpacing/>
    </w:pPr>
  </w:style>
  <w:style w:type="character" w:customStyle="1" w:styleId="FontStyle18">
    <w:name w:val="Font Style18"/>
    <w:uiPriority w:val="99"/>
    <w:rsid w:val="0025072A"/>
    <w:rPr>
      <w:rFonts w:cs="Times New Roman"/>
      <w:i/>
      <w:iCs/>
      <w:sz w:val="20"/>
      <w:szCs w:val="20"/>
      <w:lang w:val="en-US" w:eastAsia="zh-CN" w:bidi="hi-IN"/>
    </w:rPr>
  </w:style>
  <w:style w:type="character" w:customStyle="1" w:styleId="FontStyle19">
    <w:name w:val="Font Style19"/>
    <w:uiPriority w:val="99"/>
    <w:rsid w:val="0025072A"/>
    <w:rPr>
      <w:rFonts w:cs="Times New Roman"/>
      <w:sz w:val="20"/>
      <w:szCs w:val="20"/>
      <w:lang w:val="en-US" w:eastAsia="zh-CN" w:bidi="hi-IN"/>
    </w:rPr>
  </w:style>
  <w:style w:type="character" w:customStyle="1" w:styleId="FontStyle20">
    <w:name w:val="Font Style20"/>
    <w:uiPriority w:val="99"/>
    <w:rsid w:val="0025072A"/>
    <w:rPr>
      <w:rFonts w:cs="Times New Roman"/>
      <w:sz w:val="22"/>
      <w:szCs w:val="22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81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72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A1C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2023</Year>
    <Judgment_x0020_Date xmlns="17a0f4bd-1162-49ac-b85f-dfe96a90bc01">2023-10-12T18:30:00+00:00</Judgment_x0020_Date>
  </documentManagement>
</p:properties>
</file>

<file path=customXml/itemProps1.xml><?xml version="1.0" encoding="utf-8"?>
<ds:datastoreItem xmlns:ds="http://schemas.openxmlformats.org/officeDocument/2006/customXml" ds:itemID="{0495AEA0-4A18-425F-9AB8-A323BCFCFAED}"/>
</file>

<file path=customXml/itemProps2.xml><?xml version="1.0" encoding="utf-8"?>
<ds:datastoreItem xmlns:ds="http://schemas.openxmlformats.org/officeDocument/2006/customXml" ds:itemID="{9001AD8E-BFC2-4E81-9423-70540A01662A}"/>
</file>

<file path=customXml/itemProps3.xml><?xml version="1.0" encoding="utf-8"?>
<ds:datastoreItem xmlns:ds="http://schemas.openxmlformats.org/officeDocument/2006/customXml" ds:itemID="{D042BEBE-8A4D-4A6E-815E-B693A335B8ED}"/>
</file>

<file path=customXml/itemProps4.xml><?xml version="1.0" encoding="utf-8"?>
<ds:datastoreItem xmlns:ds="http://schemas.openxmlformats.org/officeDocument/2006/customXml" ds:itemID="{89E11424-BC53-4251-AC7C-69043D7CD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JOSUA V S</vt:lpstr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Josua v S (HC-NLD-CRI-APP-CAL-2021-00038) 2023 NAHCNLD 107 (13 October 2023)</dc:title>
  <dc:subject/>
  <dc:creator>Lineekela Haimbili</dc:creator>
  <cp:keywords/>
  <dc:description/>
  <cp:lastModifiedBy>Hilma Shigwedha</cp:lastModifiedBy>
  <cp:revision>3</cp:revision>
  <cp:lastPrinted>2023-10-12T13:10:00Z</cp:lastPrinted>
  <dcterms:created xsi:type="dcterms:W3CDTF">2023-10-13T15:11:00Z</dcterms:created>
  <dcterms:modified xsi:type="dcterms:W3CDTF">2023-10-13T15:11:00Z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