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B06" w:rsidRPr="00530816" w:rsidRDefault="002E0B06" w:rsidP="002E0B06">
      <w:pPr>
        <w:spacing w:after="160" w:line="256" w:lineRule="auto"/>
        <w:jc w:val="center"/>
        <w:rPr>
          <w:rFonts w:ascii="Arial" w:eastAsia="Calibri" w:hAnsi="Arial" w:cs="Arial"/>
          <w:b/>
          <w:sz w:val="24"/>
          <w:szCs w:val="24"/>
        </w:rPr>
      </w:pPr>
      <w:r w:rsidRPr="00530816">
        <w:rPr>
          <w:rFonts w:ascii="Arial" w:eastAsia="Calibri" w:hAnsi="Arial" w:cs="Arial"/>
          <w:b/>
          <w:sz w:val="24"/>
          <w:szCs w:val="24"/>
        </w:rPr>
        <w:t>REPUBLIC OF NAMIBIA</w:t>
      </w:r>
    </w:p>
    <w:p w:rsidR="002E0B06" w:rsidRPr="00530816" w:rsidRDefault="002E0B06" w:rsidP="002E0B06">
      <w:pPr>
        <w:spacing w:after="160" w:line="256" w:lineRule="auto"/>
        <w:jc w:val="center"/>
        <w:rPr>
          <w:rFonts w:ascii="Arial" w:eastAsia="Calibri" w:hAnsi="Arial" w:cs="Arial"/>
          <w:b/>
          <w:sz w:val="24"/>
          <w:szCs w:val="24"/>
        </w:rPr>
      </w:pPr>
      <w:r w:rsidRPr="00530816">
        <w:rPr>
          <w:rFonts w:ascii="Arial" w:eastAsia="Calibri" w:hAnsi="Arial" w:cs="Arial"/>
          <w:b/>
          <w:noProof/>
          <w:sz w:val="24"/>
          <w:szCs w:val="24"/>
          <w:lang w:val="en-ZA" w:eastAsia="en-ZA"/>
        </w:rPr>
        <w:drawing>
          <wp:inline distT="0" distB="0" distL="0" distR="0" wp14:anchorId="131F4D1E" wp14:editId="32DE3B7C">
            <wp:extent cx="942975" cy="956234"/>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944584" cy="957866"/>
                    </a:xfrm>
                    <a:prstGeom prst="rect">
                      <a:avLst/>
                    </a:prstGeom>
                    <a:noFill/>
                    <a:ln w="9525">
                      <a:noFill/>
                      <a:miter lim="800000"/>
                      <a:headEnd/>
                      <a:tailEnd/>
                    </a:ln>
                  </pic:spPr>
                </pic:pic>
              </a:graphicData>
            </a:graphic>
          </wp:inline>
        </w:drawing>
      </w:r>
    </w:p>
    <w:p w:rsidR="002E0B06" w:rsidRPr="00530816" w:rsidRDefault="002E0B06" w:rsidP="002E0B06">
      <w:pPr>
        <w:spacing w:after="160" w:line="256" w:lineRule="auto"/>
        <w:jc w:val="center"/>
        <w:rPr>
          <w:rFonts w:ascii="Arial" w:eastAsia="Calibri" w:hAnsi="Arial" w:cs="Arial"/>
          <w:b/>
          <w:sz w:val="24"/>
          <w:szCs w:val="24"/>
        </w:rPr>
      </w:pPr>
    </w:p>
    <w:p w:rsidR="002E0B06" w:rsidRPr="00530816" w:rsidRDefault="002E0B06" w:rsidP="002E0B06">
      <w:pPr>
        <w:spacing w:after="160" w:line="256" w:lineRule="auto"/>
        <w:jc w:val="center"/>
        <w:rPr>
          <w:rFonts w:ascii="Arial" w:eastAsia="Calibri" w:hAnsi="Arial" w:cs="Arial"/>
          <w:b/>
          <w:sz w:val="24"/>
          <w:szCs w:val="24"/>
        </w:rPr>
      </w:pPr>
      <w:r w:rsidRPr="00530816">
        <w:rPr>
          <w:rFonts w:ascii="Arial" w:eastAsia="Calibri" w:hAnsi="Arial" w:cs="Arial"/>
          <w:b/>
          <w:sz w:val="24"/>
          <w:szCs w:val="24"/>
        </w:rPr>
        <w:t xml:space="preserve">IN THE HIGH COURT OF NAMIBIA, </w:t>
      </w:r>
      <w:r w:rsidR="00FE34E5" w:rsidRPr="00530816">
        <w:rPr>
          <w:rFonts w:ascii="Arial" w:eastAsia="Calibri" w:hAnsi="Arial" w:cs="Arial"/>
          <w:b/>
          <w:sz w:val="24"/>
          <w:szCs w:val="24"/>
        </w:rPr>
        <w:t>NORTHERN LOCAL</w:t>
      </w:r>
      <w:r w:rsidR="00C4057B" w:rsidRPr="00530816">
        <w:rPr>
          <w:rFonts w:ascii="Arial" w:eastAsia="Calibri" w:hAnsi="Arial" w:cs="Arial"/>
          <w:b/>
          <w:sz w:val="24"/>
          <w:szCs w:val="24"/>
        </w:rPr>
        <w:t xml:space="preserve"> DIVISION, OSHAKATI</w:t>
      </w:r>
    </w:p>
    <w:p w:rsidR="002E0B06" w:rsidRPr="00530816" w:rsidRDefault="002E0B06" w:rsidP="00FE34E5">
      <w:pPr>
        <w:spacing w:after="160" w:line="256" w:lineRule="auto"/>
        <w:jc w:val="center"/>
        <w:rPr>
          <w:rFonts w:ascii="Arial" w:eastAsia="Calibri" w:hAnsi="Arial" w:cs="Arial"/>
          <w:b/>
          <w:sz w:val="24"/>
          <w:szCs w:val="24"/>
        </w:rPr>
      </w:pPr>
      <w:r w:rsidRPr="00530816">
        <w:rPr>
          <w:rFonts w:ascii="Arial" w:eastAsia="Calibri" w:hAnsi="Arial" w:cs="Arial"/>
          <w:b/>
          <w:sz w:val="24"/>
          <w:szCs w:val="24"/>
        </w:rPr>
        <w:t>REVIEW JUDGMENT</w:t>
      </w:r>
    </w:p>
    <w:p w:rsidR="002E0B06" w:rsidRPr="002E0B06" w:rsidRDefault="002E0B06" w:rsidP="002E0B06">
      <w:pPr>
        <w:spacing w:after="160" w:line="256" w:lineRule="auto"/>
        <w:jc w:val="center"/>
        <w:rPr>
          <w:rFonts w:ascii="Calibri" w:eastAsia="Calibri" w:hAnsi="Calibri" w:cs="Times New Roman"/>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FE34E5" w:rsidRPr="002E0B06" w:rsidTr="009E7034">
        <w:tc>
          <w:tcPr>
            <w:tcW w:w="4655" w:type="dxa"/>
            <w:vMerge w:val="restart"/>
            <w:tcBorders>
              <w:top w:val="single" w:sz="4" w:space="0" w:color="auto"/>
              <w:left w:val="single" w:sz="4" w:space="0" w:color="auto"/>
              <w:right w:val="single" w:sz="4" w:space="0" w:color="auto"/>
            </w:tcBorders>
            <w:hideMark/>
          </w:tcPr>
          <w:p w:rsidR="00FE34E5" w:rsidRPr="002E0B06" w:rsidRDefault="00FE34E5" w:rsidP="002E0B06">
            <w:pPr>
              <w:spacing w:line="360" w:lineRule="auto"/>
              <w:jc w:val="both"/>
              <w:rPr>
                <w:rFonts w:ascii="Arial" w:eastAsia="Calibri" w:hAnsi="Arial" w:cs="Arial"/>
                <w:b/>
                <w:sz w:val="24"/>
                <w:szCs w:val="24"/>
                <w:lang w:val="en-ZA"/>
              </w:rPr>
            </w:pPr>
            <w:r w:rsidRPr="002E0B06">
              <w:rPr>
                <w:rFonts w:ascii="Arial" w:eastAsia="Calibri" w:hAnsi="Arial" w:cs="Arial"/>
                <w:b/>
                <w:sz w:val="24"/>
                <w:szCs w:val="24"/>
                <w:lang w:val="en-ZA"/>
              </w:rPr>
              <w:t>Case Title:</w:t>
            </w:r>
          </w:p>
          <w:p w:rsidR="00FE34E5" w:rsidRPr="002E0B06" w:rsidRDefault="00FE34E5" w:rsidP="002E0B06">
            <w:pPr>
              <w:spacing w:line="360" w:lineRule="auto"/>
              <w:jc w:val="both"/>
              <w:rPr>
                <w:rFonts w:ascii="Arial" w:eastAsia="Calibri" w:hAnsi="Arial" w:cs="Arial"/>
                <w:i/>
                <w:sz w:val="24"/>
                <w:szCs w:val="24"/>
                <w:lang w:val="en-ZA"/>
              </w:rPr>
            </w:pPr>
            <w:r w:rsidRPr="002E0B06">
              <w:rPr>
                <w:rFonts w:ascii="Arial" w:eastAsia="Calibri" w:hAnsi="Arial" w:cs="Arial"/>
                <w:i/>
                <w:sz w:val="24"/>
                <w:szCs w:val="24"/>
                <w:lang w:val="en-ZA"/>
              </w:rPr>
              <w:t xml:space="preserve">The State v </w:t>
            </w:r>
            <w:r>
              <w:rPr>
                <w:rFonts w:ascii="Arial" w:eastAsia="Calibri" w:hAnsi="Arial" w:cs="Arial"/>
                <w:i/>
                <w:sz w:val="24"/>
                <w:szCs w:val="24"/>
                <w:lang w:val="en-ZA"/>
              </w:rPr>
              <w:t>Frans Valombola Haiduwa</w:t>
            </w:r>
          </w:p>
          <w:p w:rsidR="00FE34E5" w:rsidRPr="002E0B06" w:rsidRDefault="00FE34E5" w:rsidP="002E0B06">
            <w:pPr>
              <w:rPr>
                <w:rFonts w:ascii="Arial" w:eastAsia="Calibri" w:hAnsi="Arial" w:cs="Arial"/>
                <w:b/>
                <w:sz w:val="24"/>
                <w:szCs w:val="24"/>
                <w:lang w:val="en-ZA"/>
              </w:rPr>
            </w:pPr>
          </w:p>
          <w:p w:rsidR="00FE34E5" w:rsidRPr="002E0B06" w:rsidRDefault="00FE34E5" w:rsidP="002E0B06">
            <w:pPr>
              <w:rPr>
                <w:rFonts w:ascii="Arial" w:eastAsia="Calibri" w:hAnsi="Arial" w:cs="Arial"/>
                <w:sz w:val="24"/>
                <w:szCs w:val="24"/>
                <w:lang w:val="en-ZA"/>
              </w:rPr>
            </w:pPr>
          </w:p>
          <w:p w:rsidR="00FE34E5" w:rsidRPr="002E0B06" w:rsidRDefault="00FE34E5" w:rsidP="002E0B06">
            <w:pPr>
              <w:rPr>
                <w:rFonts w:ascii="Arial" w:eastAsia="Calibri" w:hAnsi="Arial" w:cs="Arial"/>
                <w:i/>
                <w:sz w:val="24"/>
                <w:szCs w:val="24"/>
                <w:lang w:val="en-ZA"/>
              </w:rPr>
            </w:pPr>
          </w:p>
        </w:tc>
        <w:tc>
          <w:tcPr>
            <w:tcW w:w="5268" w:type="dxa"/>
            <w:gridSpan w:val="2"/>
            <w:tcBorders>
              <w:top w:val="single" w:sz="4" w:space="0" w:color="auto"/>
              <w:left w:val="single" w:sz="4" w:space="0" w:color="auto"/>
              <w:bottom w:val="single" w:sz="4" w:space="0" w:color="auto"/>
              <w:right w:val="single" w:sz="4" w:space="0" w:color="auto"/>
            </w:tcBorders>
          </w:tcPr>
          <w:p w:rsidR="00FE34E5" w:rsidRDefault="00530816" w:rsidP="00FE34E5">
            <w:pPr>
              <w:spacing w:line="360" w:lineRule="auto"/>
              <w:ind w:left="2183" w:hanging="2126"/>
              <w:jc w:val="both"/>
              <w:rPr>
                <w:rFonts w:ascii="Arial" w:eastAsia="Calibri" w:hAnsi="Arial" w:cs="Arial"/>
                <w:sz w:val="24"/>
                <w:szCs w:val="24"/>
                <w:lang w:val="en-ZA"/>
              </w:rPr>
            </w:pPr>
            <w:r>
              <w:rPr>
                <w:rFonts w:ascii="Arial" w:eastAsia="Calibri" w:hAnsi="Arial" w:cs="Arial"/>
                <w:b/>
                <w:sz w:val="24"/>
                <w:szCs w:val="24"/>
                <w:lang w:val="en-ZA"/>
              </w:rPr>
              <w:t>Case n</w:t>
            </w:r>
            <w:r w:rsidR="00FE34E5">
              <w:rPr>
                <w:rFonts w:ascii="Arial" w:eastAsia="Calibri" w:hAnsi="Arial" w:cs="Arial"/>
                <w:b/>
                <w:sz w:val="24"/>
                <w:szCs w:val="24"/>
                <w:lang w:val="en-ZA"/>
              </w:rPr>
              <w:t xml:space="preserve">o:  </w:t>
            </w:r>
            <w:r w:rsidR="00FE34E5" w:rsidRPr="002E0B06">
              <w:rPr>
                <w:rFonts w:ascii="Arial" w:eastAsia="Calibri" w:hAnsi="Arial" w:cs="Arial"/>
                <w:sz w:val="24"/>
                <w:szCs w:val="24"/>
                <w:lang w:val="en-ZA"/>
              </w:rPr>
              <w:t>CR</w:t>
            </w:r>
            <w:r w:rsidR="001E09CB">
              <w:rPr>
                <w:rFonts w:ascii="Arial" w:eastAsia="Calibri" w:hAnsi="Arial" w:cs="Arial"/>
                <w:sz w:val="24"/>
                <w:szCs w:val="24"/>
                <w:lang w:val="en-ZA"/>
              </w:rPr>
              <w:t xml:space="preserve"> 39</w:t>
            </w:r>
            <w:r w:rsidR="00FE34E5">
              <w:rPr>
                <w:rFonts w:ascii="Arial" w:eastAsia="Calibri" w:hAnsi="Arial" w:cs="Arial"/>
                <w:sz w:val="24"/>
                <w:szCs w:val="24"/>
                <w:lang w:val="en-ZA"/>
              </w:rPr>
              <w:t>/2023</w:t>
            </w:r>
          </w:p>
          <w:p w:rsidR="00FE34E5" w:rsidRPr="002E0B06" w:rsidRDefault="00FE34E5" w:rsidP="00FE34E5">
            <w:pPr>
              <w:spacing w:line="360" w:lineRule="auto"/>
              <w:ind w:left="2183" w:hanging="2126"/>
              <w:jc w:val="both"/>
              <w:rPr>
                <w:rFonts w:ascii="Arial" w:eastAsia="Calibri" w:hAnsi="Arial" w:cs="Arial"/>
                <w:sz w:val="24"/>
                <w:szCs w:val="24"/>
                <w:lang w:val="en-ZA"/>
              </w:rPr>
            </w:pPr>
          </w:p>
        </w:tc>
      </w:tr>
      <w:tr w:rsidR="00FE34E5" w:rsidRPr="002E0B06" w:rsidTr="009E7034">
        <w:tc>
          <w:tcPr>
            <w:tcW w:w="0" w:type="auto"/>
            <w:vMerge/>
            <w:tcBorders>
              <w:left w:val="single" w:sz="4" w:space="0" w:color="auto"/>
              <w:bottom w:val="single" w:sz="4" w:space="0" w:color="auto"/>
              <w:right w:val="single" w:sz="4" w:space="0" w:color="auto"/>
            </w:tcBorders>
            <w:vAlign w:val="center"/>
            <w:hideMark/>
          </w:tcPr>
          <w:p w:rsidR="00FE34E5" w:rsidRPr="002E0B06" w:rsidRDefault="00FE34E5" w:rsidP="002E0B06">
            <w:pPr>
              <w:rPr>
                <w:rFonts w:ascii="Arial" w:eastAsia="Calibri" w:hAnsi="Arial" w:cs="Arial"/>
                <w:sz w:val="24"/>
                <w:szCs w:val="24"/>
                <w:lang w:val="en-ZA"/>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FE34E5" w:rsidRPr="002E0B06" w:rsidRDefault="00FE34E5" w:rsidP="002E0B06">
            <w:pPr>
              <w:spacing w:line="360" w:lineRule="auto"/>
              <w:jc w:val="both"/>
              <w:rPr>
                <w:rFonts w:ascii="Arial" w:eastAsia="Calibri" w:hAnsi="Arial" w:cs="Arial"/>
                <w:b/>
                <w:sz w:val="24"/>
                <w:szCs w:val="24"/>
                <w:lang w:val="en-ZA"/>
              </w:rPr>
            </w:pPr>
            <w:r w:rsidRPr="002E0B06">
              <w:rPr>
                <w:rFonts w:ascii="Arial" w:eastAsia="Calibri" w:hAnsi="Arial" w:cs="Arial"/>
                <w:b/>
                <w:sz w:val="24"/>
                <w:szCs w:val="24"/>
                <w:lang w:val="en-ZA"/>
              </w:rPr>
              <w:t>Division of Court: High court</w:t>
            </w:r>
          </w:p>
          <w:p w:rsidR="00FE34E5" w:rsidRPr="002E0B06" w:rsidRDefault="00FE34E5" w:rsidP="002E0B06">
            <w:pPr>
              <w:spacing w:line="360" w:lineRule="auto"/>
              <w:jc w:val="both"/>
              <w:rPr>
                <w:rFonts w:ascii="Arial" w:eastAsia="Calibri" w:hAnsi="Arial" w:cs="Arial"/>
                <w:sz w:val="24"/>
                <w:szCs w:val="24"/>
                <w:lang w:val="en-ZA"/>
              </w:rPr>
            </w:pPr>
            <w:r>
              <w:rPr>
                <w:rFonts w:ascii="Arial" w:eastAsia="Calibri" w:hAnsi="Arial" w:cs="Arial"/>
                <w:sz w:val="24"/>
                <w:szCs w:val="24"/>
                <w:lang w:val="en-ZA"/>
              </w:rPr>
              <w:t>Northern Local</w:t>
            </w:r>
            <w:r w:rsidRPr="002E0B06">
              <w:rPr>
                <w:rFonts w:ascii="Arial" w:eastAsia="Calibri" w:hAnsi="Arial" w:cs="Arial"/>
                <w:sz w:val="24"/>
                <w:szCs w:val="24"/>
                <w:lang w:val="en-ZA"/>
              </w:rPr>
              <w:t xml:space="preserve"> Division</w:t>
            </w:r>
          </w:p>
        </w:tc>
      </w:tr>
      <w:tr w:rsidR="002E0B06" w:rsidRPr="002E0B06" w:rsidTr="009E7034">
        <w:tc>
          <w:tcPr>
            <w:tcW w:w="4655" w:type="dxa"/>
            <w:tcBorders>
              <w:top w:val="single" w:sz="4" w:space="0" w:color="auto"/>
              <w:left w:val="single" w:sz="4" w:space="0" w:color="auto"/>
              <w:bottom w:val="single" w:sz="4" w:space="0" w:color="auto"/>
              <w:right w:val="single" w:sz="4" w:space="0" w:color="auto"/>
            </w:tcBorders>
          </w:tcPr>
          <w:p w:rsidR="002E0B06" w:rsidRPr="002E0B06" w:rsidRDefault="002E0B06" w:rsidP="002E0B06">
            <w:pPr>
              <w:spacing w:line="360" w:lineRule="auto"/>
              <w:jc w:val="both"/>
              <w:rPr>
                <w:rFonts w:ascii="Arial" w:eastAsia="Calibri" w:hAnsi="Arial" w:cs="Arial"/>
                <w:b/>
                <w:sz w:val="24"/>
                <w:szCs w:val="24"/>
                <w:lang w:val="en-ZA"/>
              </w:rPr>
            </w:pPr>
            <w:r w:rsidRPr="002E0B06">
              <w:rPr>
                <w:rFonts w:ascii="Arial" w:eastAsia="Calibri" w:hAnsi="Arial" w:cs="Arial"/>
                <w:b/>
                <w:sz w:val="24"/>
                <w:szCs w:val="24"/>
                <w:lang w:val="en-ZA"/>
              </w:rPr>
              <w:t xml:space="preserve">Heard before:  </w:t>
            </w:r>
          </w:p>
          <w:p w:rsidR="002E0B06" w:rsidRPr="002E0B06" w:rsidRDefault="002E0B06" w:rsidP="002E0B06">
            <w:pPr>
              <w:spacing w:line="360" w:lineRule="auto"/>
              <w:jc w:val="both"/>
              <w:rPr>
                <w:rFonts w:ascii="Arial" w:eastAsia="Calibri" w:hAnsi="Arial" w:cs="Arial"/>
                <w:sz w:val="24"/>
                <w:szCs w:val="24"/>
                <w:lang w:val="en-ZA"/>
              </w:rPr>
            </w:pPr>
            <w:r w:rsidRPr="002E0B06">
              <w:rPr>
                <w:rFonts w:ascii="Arial" w:eastAsia="Calibri" w:hAnsi="Arial" w:cs="Arial"/>
                <w:sz w:val="24"/>
                <w:szCs w:val="24"/>
                <w:lang w:val="en-ZA"/>
              </w:rPr>
              <w:t xml:space="preserve">Honourable </w:t>
            </w:r>
            <w:r w:rsidR="00FE34E5">
              <w:rPr>
                <w:rFonts w:ascii="Arial" w:eastAsia="Calibri" w:hAnsi="Arial" w:cs="Arial"/>
                <w:sz w:val="24"/>
                <w:szCs w:val="24"/>
                <w:lang w:val="en-ZA"/>
              </w:rPr>
              <w:t xml:space="preserve">Lady </w:t>
            </w:r>
            <w:r w:rsidRPr="002E0B06">
              <w:rPr>
                <w:rFonts w:ascii="Arial" w:eastAsia="Calibri" w:hAnsi="Arial" w:cs="Arial"/>
                <w:sz w:val="24"/>
                <w:szCs w:val="24"/>
                <w:lang w:val="en-ZA"/>
              </w:rPr>
              <w:t xml:space="preserve">Justice </w:t>
            </w:r>
            <w:r w:rsidR="00FE34E5">
              <w:rPr>
                <w:rFonts w:ascii="Arial" w:eastAsia="Calibri" w:hAnsi="Arial" w:cs="Arial"/>
                <w:sz w:val="24"/>
                <w:szCs w:val="24"/>
                <w:lang w:val="en-ZA"/>
              </w:rPr>
              <w:t>Salionga</w:t>
            </w:r>
            <w:r w:rsidRPr="002E0B06">
              <w:rPr>
                <w:rFonts w:ascii="Arial" w:eastAsia="Calibri" w:hAnsi="Arial" w:cs="Arial"/>
                <w:sz w:val="24"/>
                <w:szCs w:val="24"/>
                <w:lang w:val="en-ZA"/>
              </w:rPr>
              <w:t xml:space="preserve"> </w:t>
            </w:r>
            <w:r w:rsidRPr="002E0B06">
              <w:rPr>
                <w:rFonts w:ascii="Arial" w:eastAsia="Calibri" w:hAnsi="Arial" w:cs="Arial"/>
                <w:i/>
                <w:sz w:val="24"/>
                <w:szCs w:val="24"/>
                <w:lang w:val="en-ZA"/>
              </w:rPr>
              <w:t>et</w:t>
            </w:r>
          </w:p>
          <w:p w:rsidR="002E0B06" w:rsidRPr="002E0B06" w:rsidRDefault="002E0B06" w:rsidP="00FE34E5">
            <w:pPr>
              <w:spacing w:line="360" w:lineRule="auto"/>
              <w:jc w:val="both"/>
              <w:rPr>
                <w:rFonts w:ascii="Arial" w:eastAsia="Calibri" w:hAnsi="Arial" w:cs="Arial"/>
                <w:sz w:val="24"/>
                <w:szCs w:val="24"/>
                <w:lang w:val="en-ZA"/>
              </w:rPr>
            </w:pPr>
            <w:r w:rsidRPr="002E0B06">
              <w:rPr>
                <w:rFonts w:ascii="Arial" w:eastAsia="Calibri" w:hAnsi="Arial" w:cs="Arial"/>
                <w:sz w:val="24"/>
                <w:szCs w:val="24"/>
                <w:lang w:val="en-ZA"/>
              </w:rPr>
              <w:t xml:space="preserve">Honourable </w:t>
            </w:r>
            <w:r w:rsidR="00FE34E5">
              <w:rPr>
                <w:rFonts w:ascii="Arial" w:eastAsia="Calibri" w:hAnsi="Arial" w:cs="Arial"/>
                <w:sz w:val="24"/>
                <w:szCs w:val="24"/>
                <w:lang w:val="en-ZA"/>
              </w:rPr>
              <w:t xml:space="preserve">Mr </w:t>
            </w:r>
            <w:r w:rsidRPr="002E0B06">
              <w:rPr>
                <w:rFonts w:ascii="Arial" w:eastAsia="Calibri" w:hAnsi="Arial" w:cs="Arial"/>
                <w:sz w:val="24"/>
                <w:szCs w:val="24"/>
                <w:lang w:val="en-ZA"/>
              </w:rPr>
              <w:t xml:space="preserve">Justice </w:t>
            </w:r>
            <w:r w:rsidR="00FE34E5">
              <w:rPr>
                <w:rFonts w:ascii="Arial" w:eastAsia="Calibri" w:hAnsi="Arial" w:cs="Arial"/>
                <w:sz w:val="24"/>
                <w:szCs w:val="24"/>
                <w:lang w:val="en-ZA"/>
              </w:rPr>
              <w:t>Kesslau</w:t>
            </w:r>
          </w:p>
        </w:tc>
        <w:tc>
          <w:tcPr>
            <w:tcW w:w="5268" w:type="dxa"/>
            <w:gridSpan w:val="2"/>
            <w:tcBorders>
              <w:top w:val="single" w:sz="4" w:space="0" w:color="auto"/>
              <w:left w:val="single" w:sz="4" w:space="0" w:color="auto"/>
              <w:bottom w:val="single" w:sz="4" w:space="0" w:color="auto"/>
              <w:right w:val="single" w:sz="4" w:space="0" w:color="auto"/>
            </w:tcBorders>
          </w:tcPr>
          <w:p w:rsidR="002E0B06" w:rsidRPr="002E0B06" w:rsidRDefault="002E0B06" w:rsidP="002E0B06">
            <w:pPr>
              <w:spacing w:line="360" w:lineRule="auto"/>
              <w:jc w:val="both"/>
              <w:rPr>
                <w:rFonts w:ascii="Arial" w:eastAsia="Calibri" w:hAnsi="Arial" w:cs="Arial"/>
                <w:b/>
                <w:sz w:val="24"/>
                <w:szCs w:val="24"/>
                <w:lang w:val="en-ZA"/>
              </w:rPr>
            </w:pPr>
            <w:r w:rsidRPr="002E0B06">
              <w:rPr>
                <w:rFonts w:ascii="Arial" w:eastAsia="Calibri" w:hAnsi="Arial" w:cs="Arial"/>
                <w:b/>
                <w:sz w:val="24"/>
                <w:szCs w:val="24"/>
                <w:lang w:val="en-ZA"/>
              </w:rPr>
              <w:t xml:space="preserve">Delivered on:  </w:t>
            </w:r>
          </w:p>
          <w:p w:rsidR="002E0B06" w:rsidRPr="002E0B06" w:rsidRDefault="001E09CB" w:rsidP="002E0B06">
            <w:pPr>
              <w:spacing w:line="360" w:lineRule="auto"/>
              <w:jc w:val="both"/>
              <w:rPr>
                <w:rFonts w:ascii="Arial" w:eastAsia="Calibri" w:hAnsi="Arial" w:cs="Arial"/>
                <w:b/>
                <w:sz w:val="24"/>
                <w:szCs w:val="24"/>
                <w:lang w:val="en-ZA"/>
              </w:rPr>
            </w:pPr>
            <w:r>
              <w:rPr>
                <w:rFonts w:ascii="Arial" w:eastAsia="Calibri" w:hAnsi="Arial" w:cs="Arial"/>
                <w:sz w:val="24"/>
                <w:szCs w:val="24"/>
                <w:lang w:val="en-ZA"/>
              </w:rPr>
              <w:t>2</w:t>
            </w:r>
            <w:r w:rsidR="00F34023">
              <w:rPr>
                <w:rFonts w:ascii="Arial" w:eastAsia="Calibri" w:hAnsi="Arial" w:cs="Arial"/>
                <w:sz w:val="24"/>
                <w:szCs w:val="24"/>
                <w:lang w:val="en-ZA"/>
              </w:rPr>
              <w:t xml:space="preserve"> November </w:t>
            </w:r>
            <w:r w:rsidR="00FE34E5">
              <w:rPr>
                <w:rFonts w:ascii="Arial" w:eastAsia="Calibri" w:hAnsi="Arial" w:cs="Arial"/>
                <w:sz w:val="24"/>
                <w:szCs w:val="24"/>
                <w:lang w:val="en-ZA"/>
              </w:rPr>
              <w:t xml:space="preserve"> 2023</w:t>
            </w:r>
          </w:p>
          <w:p w:rsidR="002E0B06" w:rsidRPr="002E0B06" w:rsidRDefault="002E0B06" w:rsidP="002E0B06">
            <w:pPr>
              <w:spacing w:line="360" w:lineRule="auto"/>
              <w:jc w:val="both"/>
              <w:rPr>
                <w:rFonts w:ascii="Arial" w:eastAsia="Calibri" w:hAnsi="Arial" w:cs="Arial"/>
                <w:sz w:val="24"/>
                <w:szCs w:val="24"/>
                <w:lang w:val="en-ZA"/>
              </w:rPr>
            </w:pPr>
          </w:p>
        </w:tc>
      </w:tr>
      <w:tr w:rsidR="002E0B06" w:rsidRPr="002E0B06" w:rsidTr="009E7034">
        <w:tc>
          <w:tcPr>
            <w:tcW w:w="9923" w:type="dxa"/>
            <w:gridSpan w:val="3"/>
            <w:tcBorders>
              <w:top w:val="single" w:sz="4" w:space="0" w:color="auto"/>
              <w:left w:val="single" w:sz="4" w:space="0" w:color="auto"/>
              <w:bottom w:val="single" w:sz="4" w:space="0" w:color="auto"/>
              <w:right w:val="single" w:sz="4" w:space="0" w:color="auto"/>
            </w:tcBorders>
          </w:tcPr>
          <w:p w:rsidR="0059302F" w:rsidRDefault="0059302F" w:rsidP="0059302F">
            <w:pPr>
              <w:jc w:val="both"/>
              <w:rPr>
                <w:rFonts w:ascii="Arial" w:eastAsia="Calibri" w:hAnsi="Arial" w:cs="Arial"/>
                <w:b/>
                <w:sz w:val="24"/>
                <w:szCs w:val="24"/>
                <w:lang w:val="en-ZA"/>
              </w:rPr>
            </w:pPr>
          </w:p>
          <w:p w:rsidR="0059302F" w:rsidRPr="0059302F" w:rsidRDefault="002E0B06" w:rsidP="0059302F">
            <w:pPr>
              <w:jc w:val="both"/>
              <w:rPr>
                <w:rFonts w:ascii="Arial" w:eastAsia="Calibri" w:hAnsi="Arial" w:cs="Arial"/>
                <w:sz w:val="24"/>
                <w:szCs w:val="24"/>
                <w:lang w:val="en-ZA"/>
              </w:rPr>
            </w:pPr>
            <w:r w:rsidRPr="002E0B06">
              <w:rPr>
                <w:rFonts w:ascii="Arial" w:eastAsia="Calibri" w:hAnsi="Arial" w:cs="Arial"/>
                <w:b/>
                <w:sz w:val="24"/>
                <w:szCs w:val="24"/>
                <w:lang w:val="en-ZA"/>
              </w:rPr>
              <w:t xml:space="preserve">Neutral citation: </w:t>
            </w:r>
            <w:r w:rsidRPr="002E0B06">
              <w:rPr>
                <w:rFonts w:ascii="Arial" w:eastAsia="Calibri" w:hAnsi="Arial" w:cs="Arial"/>
                <w:i/>
                <w:sz w:val="24"/>
                <w:szCs w:val="24"/>
                <w:lang w:val="en-ZA"/>
              </w:rPr>
              <w:t xml:space="preserve">S v </w:t>
            </w:r>
            <w:r w:rsidR="00FE34E5">
              <w:rPr>
                <w:rFonts w:ascii="Arial" w:eastAsia="Calibri" w:hAnsi="Arial" w:cs="Arial"/>
                <w:i/>
                <w:sz w:val="24"/>
                <w:szCs w:val="24"/>
                <w:lang w:val="en-ZA"/>
              </w:rPr>
              <w:t>Haiduwa</w:t>
            </w:r>
            <w:r w:rsidRPr="002E0B06">
              <w:rPr>
                <w:rFonts w:ascii="Arial" w:eastAsia="Calibri" w:hAnsi="Arial" w:cs="Arial"/>
                <w:i/>
                <w:sz w:val="24"/>
                <w:szCs w:val="24"/>
                <w:lang w:val="en-ZA"/>
              </w:rPr>
              <w:t xml:space="preserve"> </w:t>
            </w:r>
            <w:r w:rsidRPr="002E0B06">
              <w:rPr>
                <w:rFonts w:ascii="Arial" w:eastAsia="Calibri" w:hAnsi="Arial" w:cs="Arial"/>
                <w:sz w:val="24"/>
                <w:szCs w:val="24"/>
                <w:lang w:val="en-ZA"/>
              </w:rPr>
              <w:t xml:space="preserve">(CR </w:t>
            </w:r>
            <w:r w:rsidR="001E09CB">
              <w:rPr>
                <w:rFonts w:ascii="Arial" w:eastAsia="Calibri" w:hAnsi="Arial" w:cs="Arial"/>
                <w:sz w:val="24"/>
                <w:szCs w:val="24"/>
                <w:lang w:val="en-ZA"/>
              </w:rPr>
              <w:t>39</w:t>
            </w:r>
            <w:r w:rsidR="00F34023">
              <w:rPr>
                <w:rFonts w:ascii="Arial" w:eastAsia="Calibri" w:hAnsi="Arial" w:cs="Arial"/>
                <w:sz w:val="24"/>
                <w:szCs w:val="24"/>
                <w:lang w:val="en-ZA"/>
              </w:rPr>
              <w:t>/2023</w:t>
            </w:r>
            <w:r w:rsidRPr="002E0B06">
              <w:rPr>
                <w:rFonts w:ascii="Arial" w:eastAsia="Calibri" w:hAnsi="Arial" w:cs="Arial"/>
                <w:sz w:val="24"/>
                <w:szCs w:val="24"/>
                <w:lang w:val="en-ZA"/>
              </w:rPr>
              <w:t>) [20</w:t>
            </w:r>
            <w:r w:rsidR="00FE34E5">
              <w:rPr>
                <w:rFonts w:ascii="Arial" w:eastAsia="Calibri" w:hAnsi="Arial" w:cs="Arial"/>
                <w:sz w:val="24"/>
                <w:szCs w:val="24"/>
                <w:lang w:val="en-ZA"/>
              </w:rPr>
              <w:t>23] NAHCNLD</w:t>
            </w:r>
            <w:r w:rsidR="00F076A7">
              <w:rPr>
                <w:rFonts w:ascii="Arial" w:eastAsia="Calibri" w:hAnsi="Arial" w:cs="Arial"/>
                <w:sz w:val="24"/>
                <w:szCs w:val="24"/>
                <w:lang w:val="en-ZA"/>
              </w:rPr>
              <w:t xml:space="preserve"> 116</w:t>
            </w:r>
            <w:r w:rsidRPr="002E0B06">
              <w:rPr>
                <w:rFonts w:ascii="Arial" w:eastAsia="Calibri" w:hAnsi="Arial" w:cs="Arial"/>
                <w:sz w:val="24"/>
                <w:szCs w:val="24"/>
                <w:lang w:val="en-ZA"/>
              </w:rPr>
              <w:t xml:space="preserve"> (</w:t>
            </w:r>
            <w:r w:rsidR="001E09CB">
              <w:rPr>
                <w:rFonts w:ascii="Arial" w:eastAsia="Calibri" w:hAnsi="Arial" w:cs="Arial"/>
                <w:sz w:val="24"/>
                <w:szCs w:val="24"/>
                <w:lang w:val="en-ZA"/>
              </w:rPr>
              <w:t>2</w:t>
            </w:r>
            <w:r w:rsidR="00F34023">
              <w:rPr>
                <w:rFonts w:ascii="Arial" w:eastAsia="Calibri" w:hAnsi="Arial" w:cs="Arial"/>
                <w:sz w:val="24"/>
                <w:szCs w:val="24"/>
                <w:lang w:val="en-ZA"/>
              </w:rPr>
              <w:t xml:space="preserve"> November </w:t>
            </w:r>
            <w:r w:rsidR="00FE34E5">
              <w:rPr>
                <w:rFonts w:ascii="Arial" w:eastAsia="Calibri" w:hAnsi="Arial" w:cs="Arial"/>
                <w:sz w:val="24"/>
                <w:szCs w:val="24"/>
                <w:lang w:val="en-ZA"/>
              </w:rPr>
              <w:t xml:space="preserve"> 2023</w:t>
            </w:r>
            <w:r w:rsidRPr="002E0B06">
              <w:rPr>
                <w:rFonts w:ascii="Arial" w:eastAsia="Calibri" w:hAnsi="Arial" w:cs="Arial"/>
                <w:sz w:val="24"/>
                <w:szCs w:val="24"/>
                <w:lang w:val="en-ZA"/>
              </w:rPr>
              <w:t>)</w:t>
            </w:r>
          </w:p>
          <w:p w:rsidR="002E0B06" w:rsidRPr="002E0B06" w:rsidRDefault="002E0B06" w:rsidP="0059302F">
            <w:pPr>
              <w:jc w:val="both"/>
              <w:rPr>
                <w:rFonts w:ascii="Arial" w:eastAsia="Calibri" w:hAnsi="Arial" w:cs="Arial"/>
                <w:sz w:val="24"/>
                <w:szCs w:val="24"/>
                <w:lang w:val="en-ZA"/>
              </w:rPr>
            </w:pPr>
          </w:p>
        </w:tc>
      </w:tr>
      <w:tr w:rsidR="002E0B06" w:rsidRPr="002E0B06" w:rsidTr="009E7034">
        <w:trPr>
          <w:trHeight w:val="705"/>
        </w:trPr>
        <w:tc>
          <w:tcPr>
            <w:tcW w:w="9923" w:type="dxa"/>
            <w:gridSpan w:val="3"/>
            <w:tcBorders>
              <w:top w:val="single" w:sz="4" w:space="0" w:color="auto"/>
              <w:left w:val="single" w:sz="4" w:space="0" w:color="auto"/>
              <w:bottom w:val="single" w:sz="4" w:space="0" w:color="auto"/>
              <w:right w:val="single" w:sz="4" w:space="0" w:color="auto"/>
            </w:tcBorders>
          </w:tcPr>
          <w:p w:rsidR="00A315B1" w:rsidRDefault="00A315B1" w:rsidP="002E0B06">
            <w:pPr>
              <w:spacing w:line="360" w:lineRule="auto"/>
              <w:jc w:val="both"/>
              <w:rPr>
                <w:rFonts w:ascii="Arial" w:eastAsia="Calibri" w:hAnsi="Arial" w:cs="Arial"/>
                <w:b/>
                <w:sz w:val="24"/>
                <w:szCs w:val="24"/>
                <w:lang w:val="en-ZA"/>
              </w:rPr>
            </w:pPr>
          </w:p>
          <w:p w:rsidR="002E0B06" w:rsidRPr="002E0B06" w:rsidRDefault="002E0B06" w:rsidP="002E0B06">
            <w:pPr>
              <w:spacing w:line="360" w:lineRule="auto"/>
              <w:jc w:val="both"/>
              <w:rPr>
                <w:rFonts w:ascii="Arial" w:eastAsia="Calibri" w:hAnsi="Arial" w:cs="Arial"/>
                <w:b/>
                <w:sz w:val="24"/>
                <w:szCs w:val="24"/>
                <w:lang w:val="en-ZA"/>
              </w:rPr>
            </w:pPr>
            <w:r w:rsidRPr="002E0B06">
              <w:rPr>
                <w:rFonts w:ascii="Arial" w:eastAsia="Calibri" w:hAnsi="Arial" w:cs="Arial"/>
                <w:b/>
                <w:sz w:val="24"/>
                <w:szCs w:val="24"/>
                <w:lang w:val="en-ZA"/>
              </w:rPr>
              <w:t xml:space="preserve">The order: </w:t>
            </w:r>
          </w:p>
          <w:p w:rsidR="00A0765B" w:rsidRDefault="00A0765B" w:rsidP="00A0765B">
            <w:pPr>
              <w:numPr>
                <w:ilvl w:val="0"/>
                <w:numId w:val="1"/>
              </w:numPr>
              <w:spacing w:line="360" w:lineRule="auto"/>
              <w:jc w:val="both"/>
              <w:rPr>
                <w:rFonts w:ascii="Arial" w:eastAsia="Calibri" w:hAnsi="Arial" w:cs="Arial"/>
                <w:sz w:val="24"/>
                <w:szCs w:val="24"/>
                <w:lang w:val="en-ZA"/>
              </w:rPr>
            </w:pPr>
            <w:r>
              <w:rPr>
                <w:rFonts w:ascii="Arial" w:eastAsia="Calibri" w:hAnsi="Arial" w:cs="Arial"/>
                <w:sz w:val="24"/>
                <w:szCs w:val="24"/>
                <w:lang w:val="en-ZA"/>
              </w:rPr>
              <w:t xml:space="preserve">The conviction of </w:t>
            </w:r>
            <w:r>
              <w:rPr>
                <w:rFonts w:ascii="Arial" w:eastAsia="Calibri" w:hAnsi="Arial" w:cs="Arial"/>
                <w:sz w:val="24"/>
                <w:szCs w:val="24"/>
              </w:rPr>
              <w:t>housebreaking with intent to steal and theft</w:t>
            </w:r>
            <w:r w:rsidRPr="00502966">
              <w:rPr>
                <w:rFonts w:ascii="Arial" w:eastAsia="Calibri" w:hAnsi="Arial" w:cs="Arial"/>
                <w:sz w:val="24"/>
                <w:szCs w:val="24"/>
                <w:lang w:val="en-ZA"/>
              </w:rPr>
              <w:t xml:space="preserve"> </w:t>
            </w:r>
            <w:r>
              <w:rPr>
                <w:rFonts w:ascii="Arial" w:eastAsia="Calibri" w:hAnsi="Arial" w:cs="Arial"/>
                <w:sz w:val="24"/>
                <w:szCs w:val="24"/>
                <w:lang w:val="en-ZA"/>
              </w:rPr>
              <w:t xml:space="preserve">is </w:t>
            </w:r>
            <w:r w:rsidRPr="00502966">
              <w:rPr>
                <w:rFonts w:ascii="Arial" w:eastAsia="Calibri" w:hAnsi="Arial" w:cs="Arial"/>
                <w:sz w:val="24"/>
                <w:szCs w:val="24"/>
                <w:lang w:val="en-ZA"/>
              </w:rPr>
              <w:t>set aside</w:t>
            </w:r>
            <w:r>
              <w:rPr>
                <w:rFonts w:ascii="Arial" w:eastAsia="Calibri" w:hAnsi="Arial" w:cs="Arial"/>
                <w:sz w:val="24"/>
                <w:szCs w:val="24"/>
                <w:lang w:val="en-ZA"/>
              </w:rPr>
              <w:t xml:space="preserve"> and is substituted with a conviction of theft</w:t>
            </w:r>
            <w:r w:rsidRPr="00502966">
              <w:rPr>
                <w:rFonts w:ascii="Arial" w:eastAsia="Calibri" w:hAnsi="Arial" w:cs="Arial"/>
                <w:sz w:val="24"/>
                <w:szCs w:val="24"/>
                <w:lang w:val="en-ZA"/>
              </w:rPr>
              <w:t>.</w:t>
            </w:r>
          </w:p>
          <w:p w:rsidR="00A0765B" w:rsidRPr="00502966" w:rsidRDefault="00A0765B" w:rsidP="00A0765B">
            <w:pPr>
              <w:numPr>
                <w:ilvl w:val="0"/>
                <w:numId w:val="1"/>
              </w:numPr>
              <w:spacing w:line="360" w:lineRule="auto"/>
              <w:jc w:val="both"/>
              <w:rPr>
                <w:rFonts w:ascii="Arial" w:eastAsia="Calibri" w:hAnsi="Arial" w:cs="Arial"/>
                <w:sz w:val="24"/>
                <w:szCs w:val="24"/>
                <w:lang w:val="en-ZA"/>
              </w:rPr>
            </w:pPr>
            <w:r>
              <w:rPr>
                <w:rFonts w:ascii="Arial" w:eastAsia="Calibri" w:hAnsi="Arial" w:cs="Arial"/>
                <w:sz w:val="24"/>
                <w:szCs w:val="24"/>
                <w:lang w:val="en-ZA"/>
              </w:rPr>
              <w:t>The sentence is confirmed</w:t>
            </w:r>
            <w:r w:rsidR="009B7112">
              <w:rPr>
                <w:rFonts w:ascii="Arial" w:eastAsia="Calibri" w:hAnsi="Arial" w:cs="Arial"/>
                <w:sz w:val="24"/>
                <w:szCs w:val="24"/>
                <w:lang w:val="en-ZA"/>
              </w:rPr>
              <w:t>.</w:t>
            </w:r>
          </w:p>
          <w:p w:rsidR="00552325" w:rsidRPr="00552325" w:rsidRDefault="00552325" w:rsidP="00552325">
            <w:pPr>
              <w:spacing w:line="360" w:lineRule="auto"/>
              <w:ind w:left="1080"/>
              <w:contextualSpacing/>
              <w:jc w:val="both"/>
              <w:rPr>
                <w:rFonts w:ascii="Arial" w:eastAsia="Calibri" w:hAnsi="Arial" w:cs="Arial"/>
                <w:sz w:val="24"/>
                <w:szCs w:val="24"/>
                <w:lang w:val="en-ZA"/>
              </w:rPr>
            </w:pPr>
          </w:p>
        </w:tc>
      </w:tr>
      <w:tr w:rsidR="002E0B06" w:rsidRPr="00B243B0" w:rsidTr="009E7034">
        <w:trPr>
          <w:trHeight w:val="705"/>
        </w:trPr>
        <w:tc>
          <w:tcPr>
            <w:tcW w:w="9923" w:type="dxa"/>
            <w:gridSpan w:val="3"/>
            <w:tcBorders>
              <w:top w:val="single" w:sz="4" w:space="0" w:color="auto"/>
              <w:left w:val="single" w:sz="4" w:space="0" w:color="auto"/>
              <w:bottom w:val="single" w:sz="4" w:space="0" w:color="auto"/>
              <w:right w:val="single" w:sz="4" w:space="0" w:color="auto"/>
            </w:tcBorders>
          </w:tcPr>
          <w:p w:rsidR="00530816" w:rsidRDefault="00530816" w:rsidP="002E0B06">
            <w:pPr>
              <w:spacing w:line="360" w:lineRule="auto"/>
              <w:jc w:val="both"/>
              <w:rPr>
                <w:rFonts w:ascii="Arial" w:eastAsia="Calibri" w:hAnsi="Arial" w:cs="Arial"/>
                <w:sz w:val="24"/>
                <w:szCs w:val="24"/>
              </w:rPr>
            </w:pPr>
          </w:p>
          <w:p w:rsidR="002E0B06" w:rsidRPr="009A055A" w:rsidRDefault="00C4057B" w:rsidP="002E0B06">
            <w:pPr>
              <w:spacing w:line="360" w:lineRule="auto"/>
              <w:jc w:val="both"/>
              <w:rPr>
                <w:rFonts w:ascii="Arial" w:eastAsia="Calibri" w:hAnsi="Arial" w:cs="Arial"/>
                <w:b/>
                <w:sz w:val="24"/>
                <w:szCs w:val="24"/>
              </w:rPr>
            </w:pPr>
            <w:r w:rsidRPr="00502966">
              <w:rPr>
                <w:rFonts w:ascii="Arial" w:eastAsia="Calibri" w:hAnsi="Arial" w:cs="Arial"/>
                <w:sz w:val="24"/>
                <w:szCs w:val="24"/>
              </w:rPr>
              <w:t>SALIONGA, J and KESSLAU</w:t>
            </w:r>
            <w:r w:rsidR="002E0B06" w:rsidRPr="00502966">
              <w:rPr>
                <w:rFonts w:ascii="Arial" w:eastAsia="Calibri" w:hAnsi="Arial" w:cs="Arial"/>
                <w:sz w:val="24"/>
                <w:szCs w:val="24"/>
              </w:rPr>
              <w:t>, J (concurring)</w:t>
            </w:r>
          </w:p>
          <w:p w:rsidR="00552325" w:rsidRPr="00502966" w:rsidRDefault="00552325" w:rsidP="002E0B06">
            <w:pPr>
              <w:spacing w:line="360" w:lineRule="auto"/>
              <w:jc w:val="both"/>
              <w:rPr>
                <w:rFonts w:ascii="Arial" w:eastAsia="Calibri" w:hAnsi="Arial" w:cs="Arial"/>
                <w:sz w:val="24"/>
                <w:szCs w:val="24"/>
              </w:rPr>
            </w:pPr>
          </w:p>
          <w:p w:rsidR="002E0B06" w:rsidRPr="00502966" w:rsidRDefault="002E0B06" w:rsidP="002E0B06">
            <w:pPr>
              <w:spacing w:line="360" w:lineRule="auto"/>
              <w:jc w:val="both"/>
              <w:rPr>
                <w:rFonts w:ascii="Arial" w:eastAsia="Calibri" w:hAnsi="Arial" w:cs="Arial"/>
                <w:sz w:val="24"/>
                <w:szCs w:val="24"/>
              </w:rPr>
            </w:pPr>
            <w:r w:rsidRPr="00502966">
              <w:rPr>
                <w:rFonts w:ascii="Arial" w:eastAsia="Calibri" w:hAnsi="Arial" w:cs="Arial"/>
                <w:sz w:val="24"/>
                <w:szCs w:val="24"/>
              </w:rPr>
              <w:t xml:space="preserve">[1]     This </w:t>
            </w:r>
            <w:r w:rsidR="00FE34E5" w:rsidRPr="00502966">
              <w:rPr>
                <w:rFonts w:ascii="Arial" w:eastAsia="Calibri" w:hAnsi="Arial" w:cs="Arial"/>
                <w:sz w:val="24"/>
                <w:szCs w:val="24"/>
              </w:rPr>
              <w:t>matter came on review</w:t>
            </w:r>
            <w:r w:rsidRPr="00502966">
              <w:rPr>
                <w:rFonts w:ascii="Arial" w:eastAsia="Calibri" w:hAnsi="Arial" w:cs="Arial"/>
                <w:sz w:val="24"/>
                <w:szCs w:val="24"/>
              </w:rPr>
              <w:t xml:space="preserve"> in terms of s 302(1) of the Criminal Procedure Act 51 of 1977 (the CPA).</w:t>
            </w:r>
            <w:r w:rsidR="00552325" w:rsidRPr="00502966">
              <w:rPr>
                <w:rFonts w:ascii="Arial" w:eastAsia="Calibri" w:hAnsi="Arial" w:cs="Arial"/>
                <w:sz w:val="24"/>
                <w:szCs w:val="24"/>
              </w:rPr>
              <w:t xml:space="preserve"> The Magistrate did not explain why it took him/her more than a year and 2 months</w:t>
            </w:r>
            <w:r w:rsidR="008929DB" w:rsidRPr="00502966">
              <w:rPr>
                <w:rFonts w:ascii="Arial" w:eastAsia="Calibri" w:hAnsi="Arial" w:cs="Arial"/>
                <w:sz w:val="24"/>
                <w:szCs w:val="24"/>
              </w:rPr>
              <w:t>’</w:t>
            </w:r>
            <w:r w:rsidR="00552325" w:rsidRPr="00502966">
              <w:rPr>
                <w:rFonts w:ascii="Arial" w:eastAsia="Calibri" w:hAnsi="Arial" w:cs="Arial"/>
                <w:sz w:val="24"/>
                <w:szCs w:val="24"/>
              </w:rPr>
              <w:t xml:space="preserve"> to reply to my query. </w:t>
            </w:r>
          </w:p>
          <w:p w:rsidR="00FE34E5" w:rsidRPr="00502966" w:rsidRDefault="00FE34E5" w:rsidP="002E0B06">
            <w:pPr>
              <w:spacing w:line="360" w:lineRule="auto"/>
              <w:jc w:val="both"/>
              <w:rPr>
                <w:rFonts w:ascii="Arial" w:eastAsia="Calibri" w:hAnsi="Arial" w:cs="Arial"/>
                <w:sz w:val="24"/>
                <w:szCs w:val="24"/>
              </w:rPr>
            </w:pPr>
          </w:p>
          <w:p w:rsidR="00552325" w:rsidRPr="00502966" w:rsidRDefault="002E0B06" w:rsidP="00C4057B">
            <w:pPr>
              <w:spacing w:line="360" w:lineRule="auto"/>
              <w:jc w:val="both"/>
              <w:rPr>
                <w:rFonts w:ascii="Arial" w:eastAsia="Calibri" w:hAnsi="Arial" w:cs="Arial"/>
                <w:sz w:val="24"/>
                <w:szCs w:val="24"/>
              </w:rPr>
            </w:pPr>
            <w:r w:rsidRPr="00502966">
              <w:rPr>
                <w:rFonts w:ascii="Arial" w:eastAsia="Calibri" w:hAnsi="Arial" w:cs="Arial"/>
                <w:sz w:val="24"/>
                <w:szCs w:val="24"/>
              </w:rPr>
              <w:t>[2]     The accused appeared in the magistrate’s cou</w:t>
            </w:r>
            <w:r w:rsidR="00C4057B" w:rsidRPr="00502966">
              <w:rPr>
                <w:rFonts w:ascii="Arial" w:eastAsia="Calibri" w:hAnsi="Arial" w:cs="Arial"/>
                <w:sz w:val="24"/>
                <w:szCs w:val="24"/>
              </w:rPr>
              <w:t>rt for the district of Eenhana</w:t>
            </w:r>
            <w:r w:rsidRPr="00502966">
              <w:rPr>
                <w:rFonts w:ascii="Arial" w:eastAsia="Calibri" w:hAnsi="Arial" w:cs="Arial"/>
                <w:sz w:val="24"/>
                <w:szCs w:val="24"/>
              </w:rPr>
              <w:t xml:space="preserve"> charged with the offence of housebreaking with intent to steal and theft</w:t>
            </w:r>
            <w:r w:rsidR="00552325" w:rsidRPr="00502966">
              <w:rPr>
                <w:rFonts w:ascii="Arial" w:eastAsia="Calibri" w:hAnsi="Arial" w:cs="Arial"/>
                <w:sz w:val="24"/>
                <w:szCs w:val="24"/>
              </w:rPr>
              <w:t xml:space="preserve"> as follows:</w:t>
            </w:r>
          </w:p>
          <w:p w:rsidR="001E09CB" w:rsidRDefault="001E09CB" w:rsidP="00C4057B">
            <w:pPr>
              <w:spacing w:line="360" w:lineRule="auto"/>
              <w:jc w:val="both"/>
              <w:rPr>
                <w:rFonts w:ascii="Arial" w:eastAsia="Calibri" w:hAnsi="Arial" w:cs="Arial"/>
              </w:rPr>
            </w:pPr>
          </w:p>
          <w:p w:rsidR="002E0B06" w:rsidRPr="00502966" w:rsidRDefault="002E0B06" w:rsidP="00C4057B">
            <w:pPr>
              <w:spacing w:line="360" w:lineRule="auto"/>
              <w:jc w:val="both"/>
              <w:rPr>
                <w:rFonts w:ascii="Arial" w:eastAsia="Calibri" w:hAnsi="Arial" w:cs="Arial"/>
                <w:sz w:val="24"/>
                <w:szCs w:val="24"/>
              </w:rPr>
            </w:pPr>
            <w:r w:rsidRPr="00502966">
              <w:rPr>
                <w:rFonts w:ascii="Arial" w:eastAsia="Calibri" w:hAnsi="Arial" w:cs="Arial"/>
              </w:rPr>
              <w:t>‘</w:t>
            </w:r>
            <w:r w:rsidR="00C4057B" w:rsidRPr="00502966">
              <w:rPr>
                <w:rFonts w:ascii="Arial" w:eastAsia="Calibri" w:hAnsi="Arial" w:cs="Arial"/>
                <w:iCs/>
              </w:rPr>
              <w:t>In that upon or about the 20</w:t>
            </w:r>
            <w:r w:rsidRPr="00502966">
              <w:rPr>
                <w:rFonts w:ascii="Arial" w:eastAsia="Calibri" w:hAnsi="Arial" w:cs="Arial"/>
                <w:iCs/>
                <w:vertAlign w:val="superscript"/>
              </w:rPr>
              <w:t>th</w:t>
            </w:r>
            <w:r w:rsidR="00C4057B" w:rsidRPr="00502966">
              <w:rPr>
                <w:rFonts w:ascii="Arial" w:eastAsia="Calibri" w:hAnsi="Arial" w:cs="Arial"/>
                <w:iCs/>
              </w:rPr>
              <w:t xml:space="preserve"> day of November 2021</w:t>
            </w:r>
            <w:r w:rsidRPr="00502966">
              <w:rPr>
                <w:rFonts w:ascii="Arial" w:eastAsia="Calibri" w:hAnsi="Arial" w:cs="Arial"/>
                <w:iCs/>
              </w:rPr>
              <w:t xml:space="preserve"> at </w:t>
            </w:r>
            <w:r w:rsidR="00C4057B" w:rsidRPr="00502966">
              <w:rPr>
                <w:rFonts w:ascii="Arial" w:eastAsia="Calibri" w:hAnsi="Arial" w:cs="Arial"/>
                <w:iCs/>
              </w:rPr>
              <w:t xml:space="preserve">Eenyika village in the district of Eenhana, the </w:t>
            </w:r>
            <w:r w:rsidRPr="00502966">
              <w:rPr>
                <w:rFonts w:ascii="Arial" w:eastAsia="Calibri" w:hAnsi="Arial" w:cs="Arial"/>
                <w:iCs/>
              </w:rPr>
              <w:t xml:space="preserve">said accused </w:t>
            </w:r>
            <w:r w:rsidR="00C4057B" w:rsidRPr="00502966">
              <w:rPr>
                <w:rFonts w:ascii="Arial" w:eastAsia="Calibri" w:hAnsi="Arial" w:cs="Arial"/>
                <w:iCs/>
              </w:rPr>
              <w:t xml:space="preserve">intentionally and unlawfully broke into and entered Ndinelao Fillemon’s sleeping </w:t>
            </w:r>
            <w:r w:rsidR="00373F78" w:rsidRPr="00502966">
              <w:rPr>
                <w:rFonts w:ascii="Arial" w:eastAsia="Calibri" w:hAnsi="Arial" w:cs="Arial"/>
                <w:iCs/>
              </w:rPr>
              <w:t>room</w:t>
            </w:r>
            <w:r w:rsidR="00C4057B" w:rsidRPr="00502966">
              <w:rPr>
                <w:rFonts w:ascii="Arial" w:eastAsia="Calibri" w:hAnsi="Arial" w:cs="Arial"/>
                <w:iCs/>
              </w:rPr>
              <w:t>, with intent to steal and intentionally and unlawfully stole property of or in the lawful possession of Ndinelao Fillemon to wit: a mattress, 2 pillows and 2 blankets. The total value of the property is N$ 800.00.</w:t>
            </w:r>
            <w:r w:rsidR="00C4057B" w:rsidRPr="00502966">
              <w:rPr>
                <w:rFonts w:ascii="Arial" w:eastAsia="Calibri" w:hAnsi="Arial" w:cs="Arial"/>
                <w:iCs/>
                <w:sz w:val="24"/>
                <w:szCs w:val="24"/>
              </w:rPr>
              <w:t xml:space="preserve"> (SIC)</w:t>
            </w:r>
          </w:p>
          <w:p w:rsidR="002E0B06" w:rsidRPr="00502966" w:rsidRDefault="002E0B06" w:rsidP="002E0B06">
            <w:pPr>
              <w:spacing w:line="360" w:lineRule="auto"/>
              <w:jc w:val="both"/>
              <w:rPr>
                <w:rFonts w:ascii="Arial" w:eastAsia="Calibri" w:hAnsi="Arial" w:cs="Arial"/>
                <w:sz w:val="24"/>
                <w:szCs w:val="24"/>
              </w:rPr>
            </w:pPr>
          </w:p>
          <w:p w:rsidR="002E0B06" w:rsidRPr="00502966" w:rsidRDefault="002E0B06" w:rsidP="002E0B06">
            <w:pPr>
              <w:spacing w:line="360" w:lineRule="auto"/>
              <w:jc w:val="both"/>
              <w:rPr>
                <w:rFonts w:ascii="Arial" w:eastAsia="Calibri" w:hAnsi="Arial" w:cs="Arial"/>
                <w:sz w:val="24"/>
                <w:szCs w:val="24"/>
              </w:rPr>
            </w:pPr>
            <w:r w:rsidRPr="00502966">
              <w:rPr>
                <w:rFonts w:ascii="Arial" w:eastAsia="Calibri" w:hAnsi="Arial" w:cs="Arial"/>
                <w:sz w:val="24"/>
                <w:szCs w:val="24"/>
              </w:rPr>
              <w:t>[3]   The accused pleaded guilty to the charge and after</w:t>
            </w:r>
            <w:r w:rsidR="00C4057B" w:rsidRPr="00502966">
              <w:rPr>
                <w:rFonts w:ascii="Arial" w:eastAsia="Calibri" w:hAnsi="Arial" w:cs="Arial"/>
                <w:sz w:val="24"/>
                <w:szCs w:val="24"/>
              </w:rPr>
              <w:t xml:space="preserve"> questioning in terms of s</w:t>
            </w:r>
            <w:r w:rsidRPr="00502966">
              <w:rPr>
                <w:rFonts w:ascii="Arial" w:eastAsia="Calibri" w:hAnsi="Arial" w:cs="Arial"/>
                <w:sz w:val="24"/>
                <w:szCs w:val="24"/>
              </w:rPr>
              <w:t xml:space="preserve"> 112(1</w:t>
            </w:r>
            <w:r w:rsidR="00B262FD" w:rsidRPr="00502966">
              <w:rPr>
                <w:rFonts w:ascii="Arial" w:eastAsia="Calibri" w:hAnsi="Arial" w:cs="Arial"/>
                <w:sz w:val="24"/>
                <w:szCs w:val="24"/>
              </w:rPr>
              <w:t>) (</w:t>
            </w:r>
            <w:r w:rsidRPr="00502966">
              <w:rPr>
                <w:rFonts w:ascii="Arial" w:eastAsia="Calibri" w:hAnsi="Arial" w:cs="Arial"/>
                <w:sz w:val="24"/>
                <w:szCs w:val="24"/>
              </w:rPr>
              <w:t>b) of the CPA, he was convicted as charged and se</w:t>
            </w:r>
            <w:r w:rsidR="00C112D9" w:rsidRPr="00502966">
              <w:rPr>
                <w:rFonts w:ascii="Arial" w:eastAsia="Calibri" w:hAnsi="Arial" w:cs="Arial"/>
                <w:sz w:val="24"/>
                <w:szCs w:val="24"/>
              </w:rPr>
              <w:t>ntenced to 12 Months’ imprisonment</w:t>
            </w:r>
            <w:r w:rsidRPr="00502966">
              <w:rPr>
                <w:rFonts w:ascii="Arial" w:eastAsia="Calibri" w:hAnsi="Arial" w:cs="Arial"/>
                <w:sz w:val="24"/>
                <w:szCs w:val="24"/>
              </w:rPr>
              <w:t xml:space="preserve">.    </w:t>
            </w:r>
          </w:p>
          <w:p w:rsidR="002E0B06" w:rsidRPr="00502966" w:rsidRDefault="002E0B06" w:rsidP="002E0B06">
            <w:pPr>
              <w:spacing w:line="360" w:lineRule="auto"/>
              <w:jc w:val="both"/>
              <w:rPr>
                <w:rFonts w:ascii="Arial" w:eastAsia="Calibri" w:hAnsi="Arial" w:cs="Arial"/>
                <w:sz w:val="24"/>
                <w:szCs w:val="24"/>
              </w:rPr>
            </w:pPr>
          </w:p>
          <w:p w:rsidR="002E0B06" w:rsidRPr="00502966" w:rsidRDefault="002E0B06" w:rsidP="002E0B06">
            <w:pPr>
              <w:spacing w:line="360" w:lineRule="auto"/>
              <w:jc w:val="both"/>
              <w:rPr>
                <w:rFonts w:ascii="Arial" w:eastAsia="Calibri" w:hAnsi="Arial" w:cs="Arial"/>
                <w:iCs/>
                <w:sz w:val="24"/>
                <w:szCs w:val="24"/>
              </w:rPr>
            </w:pPr>
            <w:r w:rsidRPr="00502966">
              <w:rPr>
                <w:rFonts w:ascii="Arial" w:eastAsia="Calibri" w:hAnsi="Arial" w:cs="Arial"/>
                <w:sz w:val="24"/>
                <w:szCs w:val="24"/>
                <w:lang w:val="en-ZA"/>
              </w:rPr>
              <w:t xml:space="preserve">[4]     </w:t>
            </w:r>
            <w:r w:rsidRPr="00502966">
              <w:rPr>
                <w:rFonts w:ascii="Arial" w:eastAsia="Calibri" w:hAnsi="Arial" w:cs="Arial"/>
                <w:iCs/>
                <w:sz w:val="24"/>
                <w:szCs w:val="24"/>
              </w:rPr>
              <w:t>During the que</w:t>
            </w:r>
            <w:r w:rsidR="00C112D9" w:rsidRPr="00502966">
              <w:rPr>
                <w:rFonts w:ascii="Arial" w:eastAsia="Calibri" w:hAnsi="Arial" w:cs="Arial"/>
                <w:iCs/>
                <w:sz w:val="24"/>
                <w:szCs w:val="24"/>
              </w:rPr>
              <w:t>stioning, the magistrate failed to</w:t>
            </w:r>
            <w:r w:rsidRPr="00502966">
              <w:rPr>
                <w:rFonts w:ascii="Arial" w:eastAsia="Calibri" w:hAnsi="Arial" w:cs="Arial"/>
                <w:iCs/>
                <w:sz w:val="24"/>
                <w:szCs w:val="24"/>
              </w:rPr>
              <w:t xml:space="preserve"> ask the accused </w:t>
            </w:r>
            <w:r w:rsidR="00C112D9" w:rsidRPr="00502966">
              <w:rPr>
                <w:rFonts w:ascii="Arial" w:eastAsia="Calibri" w:hAnsi="Arial" w:cs="Arial"/>
                <w:iCs/>
                <w:sz w:val="24"/>
                <w:szCs w:val="24"/>
              </w:rPr>
              <w:t xml:space="preserve">person </w:t>
            </w:r>
            <w:r w:rsidRPr="00502966">
              <w:rPr>
                <w:rFonts w:ascii="Arial" w:eastAsia="Calibri" w:hAnsi="Arial" w:cs="Arial"/>
                <w:iCs/>
                <w:sz w:val="24"/>
                <w:szCs w:val="24"/>
              </w:rPr>
              <w:t>to explain how</w:t>
            </w:r>
            <w:r w:rsidR="00C112D9" w:rsidRPr="00502966">
              <w:rPr>
                <w:rFonts w:ascii="Arial" w:eastAsia="Calibri" w:hAnsi="Arial" w:cs="Arial"/>
                <w:iCs/>
                <w:sz w:val="24"/>
                <w:szCs w:val="24"/>
              </w:rPr>
              <w:t xml:space="preserve"> or in what </w:t>
            </w:r>
            <w:r w:rsidR="00552325" w:rsidRPr="00502966">
              <w:rPr>
                <w:rFonts w:ascii="Arial" w:eastAsia="Calibri" w:hAnsi="Arial" w:cs="Arial"/>
                <w:iCs/>
                <w:sz w:val="24"/>
                <w:szCs w:val="24"/>
              </w:rPr>
              <w:t>manner he</w:t>
            </w:r>
            <w:r w:rsidR="00C112D9" w:rsidRPr="00502966">
              <w:rPr>
                <w:rFonts w:ascii="Arial" w:eastAsia="Calibri" w:hAnsi="Arial" w:cs="Arial"/>
                <w:iCs/>
                <w:sz w:val="24"/>
                <w:szCs w:val="24"/>
              </w:rPr>
              <w:t xml:space="preserve"> broke into the compla</w:t>
            </w:r>
            <w:r w:rsidR="00552325" w:rsidRPr="00502966">
              <w:rPr>
                <w:rFonts w:ascii="Arial" w:eastAsia="Calibri" w:hAnsi="Arial" w:cs="Arial"/>
                <w:iCs/>
                <w:sz w:val="24"/>
                <w:szCs w:val="24"/>
              </w:rPr>
              <w:t>inant’s room as</w:t>
            </w:r>
            <w:r w:rsidR="00C112D9" w:rsidRPr="00502966">
              <w:rPr>
                <w:rFonts w:ascii="Arial" w:eastAsia="Calibri" w:hAnsi="Arial" w:cs="Arial"/>
                <w:iCs/>
                <w:sz w:val="24"/>
                <w:szCs w:val="24"/>
              </w:rPr>
              <w:t xml:space="preserve"> alleged in </w:t>
            </w:r>
            <w:r w:rsidR="00552325" w:rsidRPr="00502966">
              <w:rPr>
                <w:rFonts w:ascii="Arial" w:eastAsia="Calibri" w:hAnsi="Arial" w:cs="Arial"/>
                <w:iCs/>
                <w:sz w:val="24"/>
                <w:szCs w:val="24"/>
              </w:rPr>
              <w:t>the annexure</w:t>
            </w:r>
            <w:r w:rsidR="00C112D9" w:rsidRPr="00502966">
              <w:rPr>
                <w:rFonts w:ascii="Arial" w:eastAsia="Calibri" w:hAnsi="Arial" w:cs="Arial"/>
                <w:iCs/>
                <w:sz w:val="24"/>
                <w:szCs w:val="24"/>
              </w:rPr>
              <w:t xml:space="preserve"> to the </w:t>
            </w:r>
            <w:r w:rsidRPr="00502966">
              <w:rPr>
                <w:rFonts w:ascii="Arial" w:eastAsia="Calibri" w:hAnsi="Arial" w:cs="Arial"/>
                <w:iCs/>
                <w:sz w:val="24"/>
                <w:szCs w:val="24"/>
              </w:rPr>
              <w:t>charge</w:t>
            </w:r>
            <w:r w:rsidR="00B262FD">
              <w:rPr>
                <w:rFonts w:ascii="Arial" w:eastAsia="Calibri" w:hAnsi="Arial" w:cs="Arial"/>
                <w:iCs/>
                <w:sz w:val="24"/>
                <w:szCs w:val="24"/>
              </w:rPr>
              <w:t>. That was necessary</w:t>
            </w:r>
            <w:r w:rsidRPr="00502966">
              <w:rPr>
                <w:rFonts w:ascii="Arial" w:eastAsia="Calibri" w:hAnsi="Arial" w:cs="Arial"/>
                <w:iCs/>
                <w:sz w:val="24"/>
                <w:szCs w:val="24"/>
              </w:rPr>
              <w:t xml:space="preserve"> in order to clearly establish that there was a breaking in. </w:t>
            </w:r>
          </w:p>
          <w:p w:rsidR="002E0B06" w:rsidRPr="00502966" w:rsidRDefault="002E0B06" w:rsidP="002E0B06">
            <w:pPr>
              <w:spacing w:line="360" w:lineRule="auto"/>
              <w:jc w:val="both"/>
              <w:rPr>
                <w:rFonts w:ascii="Arial" w:eastAsia="Calibri" w:hAnsi="Arial" w:cs="Arial"/>
                <w:sz w:val="24"/>
                <w:szCs w:val="24"/>
              </w:rPr>
            </w:pPr>
          </w:p>
          <w:p w:rsidR="001E09CB" w:rsidRDefault="002E0B06" w:rsidP="002E0B06">
            <w:pPr>
              <w:spacing w:line="360" w:lineRule="auto"/>
              <w:jc w:val="both"/>
              <w:rPr>
                <w:rFonts w:ascii="Arial" w:eastAsia="Calibri" w:hAnsi="Arial" w:cs="Arial"/>
                <w:sz w:val="24"/>
                <w:szCs w:val="24"/>
                <w:lang w:val="en-ZA"/>
              </w:rPr>
            </w:pPr>
            <w:r w:rsidRPr="00502966">
              <w:rPr>
                <w:rFonts w:ascii="Arial" w:eastAsia="Calibri" w:hAnsi="Arial" w:cs="Arial"/>
                <w:sz w:val="24"/>
                <w:szCs w:val="24"/>
                <w:lang w:val="en-ZA"/>
              </w:rPr>
              <w:t xml:space="preserve">[5]    </w:t>
            </w:r>
            <w:r w:rsidR="00C112D9" w:rsidRPr="00502966">
              <w:rPr>
                <w:rFonts w:ascii="Arial" w:eastAsia="Calibri" w:hAnsi="Arial" w:cs="Arial"/>
                <w:sz w:val="24"/>
                <w:szCs w:val="24"/>
                <w:lang w:val="en-ZA"/>
              </w:rPr>
              <w:t>Consequent to the above, a query was directed to the presiding magistrate in the following terms:</w:t>
            </w:r>
          </w:p>
          <w:p w:rsidR="001E09CB" w:rsidRPr="00502966" w:rsidRDefault="001E09CB" w:rsidP="002E0B06">
            <w:pPr>
              <w:spacing w:line="360" w:lineRule="auto"/>
              <w:jc w:val="both"/>
              <w:rPr>
                <w:rFonts w:ascii="Arial" w:eastAsia="Calibri" w:hAnsi="Arial" w:cs="Arial"/>
                <w:sz w:val="24"/>
                <w:szCs w:val="24"/>
                <w:lang w:val="en-ZA"/>
              </w:rPr>
            </w:pPr>
          </w:p>
          <w:p w:rsidR="002E0B06" w:rsidRPr="00502966" w:rsidRDefault="00C112D9" w:rsidP="002E0B06">
            <w:pPr>
              <w:spacing w:line="360" w:lineRule="auto"/>
              <w:jc w:val="both"/>
              <w:rPr>
                <w:rFonts w:ascii="Arial" w:eastAsia="Calibri" w:hAnsi="Arial" w:cs="Arial"/>
              </w:rPr>
            </w:pPr>
            <w:r w:rsidRPr="00502966">
              <w:rPr>
                <w:rFonts w:ascii="Arial" w:eastAsia="Calibri" w:hAnsi="Arial" w:cs="Arial"/>
                <w:lang w:val="en-ZA"/>
              </w:rPr>
              <w:t xml:space="preserve">‘The manner in which the undefended accused broke in was not established during questioning in terms of section 112((1)(b) of Act 51 of 1977 as amended </w:t>
            </w:r>
            <w:r w:rsidR="00904D4A" w:rsidRPr="00502966">
              <w:rPr>
                <w:rFonts w:ascii="Arial" w:eastAsia="Calibri" w:hAnsi="Arial" w:cs="Arial"/>
                <w:lang w:val="en-ZA"/>
              </w:rPr>
              <w:t xml:space="preserve">apart from a leading and compound question asked; how was the Magistrate satisfied that all the elements of the offence charged </w:t>
            </w:r>
            <w:r w:rsidR="00B243B0" w:rsidRPr="00502966">
              <w:rPr>
                <w:rFonts w:ascii="Arial" w:eastAsia="Calibri" w:hAnsi="Arial" w:cs="Arial"/>
                <w:lang w:val="en-ZA"/>
              </w:rPr>
              <w:t>including break in were admitted?’.</w:t>
            </w:r>
            <w:r w:rsidR="002E0B06" w:rsidRPr="00502966">
              <w:rPr>
                <w:rFonts w:ascii="Arial" w:eastAsia="Calibri" w:hAnsi="Arial" w:cs="Arial"/>
                <w:lang w:val="en-ZA"/>
              </w:rPr>
              <w:t xml:space="preserve">  </w:t>
            </w:r>
          </w:p>
          <w:p w:rsidR="002E0B06" w:rsidRPr="00502966" w:rsidRDefault="002E0B06" w:rsidP="002E0B06">
            <w:pPr>
              <w:spacing w:after="160" w:line="360" w:lineRule="auto"/>
              <w:jc w:val="both"/>
              <w:rPr>
                <w:rFonts w:ascii="Arial" w:eastAsia="Calibri" w:hAnsi="Arial" w:cs="Arial"/>
                <w:lang w:val="en-ZA"/>
              </w:rPr>
            </w:pPr>
          </w:p>
          <w:p w:rsidR="001E09CB" w:rsidRDefault="002E0B06" w:rsidP="001E09CB">
            <w:pPr>
              <w:spacing w:line="360" w:lineRule="auto"/>
              <w:jc w:val="both"/>
              <w:rPr>
                <w:rFonts w:ascii="Arial" w:eastAsia="Calibri" w:hAnsi="Arial" w:cs="Arial"/>
                <w:sz w:val="24"/>
                <w:szCs w:val="24"/>
                <w:lang w:val="en-ZA"/>
              </w:rPr>
            </w:pPr>
            <w:r w:rsidRPr="00502966">
              <w:rPr>
                <w:rFonts w:ascii="Arial" w:eastAsia="Calibri" w:hAnsi="Arial" w:cs="Arial"/>
                <w:sz w:val="24"/>
                <w:szCs w:val="24"/>
                <w:lang w:val="en-ZA"/>
              </w:rPr>
              <w:t xml:space="preserve">[6]     The magistrate responded to the query as follows:  </w:t>
            </w:r>
          </w:p>
          <w:p w:rsidR="001E09CB" w:rsidRDefault="001E09CB" w:rsidP="001E09CB">
            <w:pPr>
              <w:spacing w:line="360" w:lineRule="auto"/>
              <w:jc w:val="both"/>
              <w:rPr>
                <w:rFonts w:ascii="Arial" w:eastAsia="Calibri" w:hAnsi="Arial" w:cs="Arial"/>
                <w:sz w:val="24"/>
                <w:szCs w:val="24"/>
                <w:lang w:val="en-ZA"/>
              </w:rPr>
            </w:pPr>
          </w:p>
          <w:p w:rsidR="002E0B06" w:rsidRPr="001E09CB" w:rsidRDefault="002E0B06" w:rsidP="001E09CB">
            <w:pPr>
              <w:spacing w:line="360" w:lineRule="auto"/>
              <w:jc w:val="both"/>
              <w:rPr>
                <w:rFonts w:ascii="Arial" w:eastAsia="Calibri" w:hAnsi="Arial" w:cs="Arial"/>
                <w:sz w:val="24"/>
                <w:szCs w:val="24"/>
                <w:lang w:val="en-ZA"/>
              </w:rPr>
            </w:pPr>
            <w:r w:rsidRPr="00502966">
              <w:rPr>
                <w:rFonts w:ascii="Arial" w:eastAsia="Calibri" w:hAnsi="Arial" w:cs="Arial"/>
                <w:lang w:val="en-ZA"/>
              </w:rPr>
              <w:t>‘</w:t>
            </w:r>
            <w:r w:rsidR="00B243B0" w:rsidRPr="00502966">
              <w:rPr>
                <w:rFonts w:ascii="Arial" w:eastAsia="Calibri" w:hAnsi="Arial" w:cs="Arial"/>
                <w:lang w:val="en-ZA"/>
              </w:rPr>
              <w:t>The fifth question accused responded to the state’s allegations that he did broke into sleeping room of the complainant and further confirmed that he was not permitted by the owner.’</w:t>
            </w:r>
          </w:p>
          <w:p w:rsidR="00B243B0" w:rsidRDefault="00B243B0" w:rsidP="001E09CB">
            <w:pPr>
              <w:spacing w:before="240" w:line="360" w:lineRule="auto"/>
              <w:jc w:val="both"/>
              <w:rPr>
                <w:rFonts w:ascii="Arial" w:eastAsia="Calibri" w:hAnsi="Arial" w:cs="Arial"/>
                <w:sz w:val="24"/>
                <w:szCs w:val="24"/>
                <w:lang w:val="en-ZA"/>
              </w:rPr>
            </w:pPr>
            <w:r w:rsidRPr="00502966">
              <w:rPr>
                <w:rFonts w:ascii="Arial" w:eastAsia="Calibri" w:hAnsi="Arial" w:cs="Arial"/>
                <w:sz w:val="24"/>
                <w:szCs w:val="24"/>
                <w:lang w:val="en-ZA"/>
              </w:rPr>
              <w:t xml:space="preserve">[7]    From the above reply by the presiding officer, it is clear that he/she does not appreciate the importance of a court having to satisfy itself with one of the very important </w:t>
            </w:r>
            <w:r w:rsidRPr="00502966">
              <w:rPr>
                <w:rFonts w:ascii="Arial" w:eastAsia="Calibri" w:hAnsi="Arial" w:cs="Arial"/>
                <w:sz w:val="24"/>
                <w:szCs w:val="24"/>
                <w:lang w:val="en-ZA"/>
              </w:rPr>
              <w:lastRenderedPageBreak/>
              <w:t xml:space="preserve">components that constitutes the offence charged i.e. </w:t>
            </w:r>
            <w:r w:rsidRPr="00502966">
              <w:rPr>
                <w:rFonts w:ascii="Arial" w:eastAsia="Calibri" w:hAnsi="Arial" w:cs="Arial"/>
                <w:sz w:val="24"/>
                <w:szCs w:val="24"/>
                <w:u w:val="single"/>
                <w:lang w:val="en-ZA"/>
              </w:rPr>
              <w:t>break-in</w:t>
            </w:r>
            <w:r w:rsidRPr="00502966">
              <w:rPr>
                <w:rFonts w:ascii="Arial" w:eastAsia="Calibri" w:hAnsi="Arial" w:cs="Arial"/>
                <w:sz w:val="24"/>
                <w:szCs w:val="24"/>
                <w:lang w:val="en-ZA"/>
              </w:rPr>
              <w:t xml:space="preserve">.  It is trite that </w:t>
            </w:r>
            <w:r w:rsidRPr="00502966">
              <w:rPr>
                <w:rFonts w:ascii="Arial" w:eastAsia="Calibri" w:hAnsi="Arial" w:cs="Arial"/>
                <w:sz w:val="24"/>
                <w:szCs w:val="24"/>
                <w:u w:val="single"/>
                <w:lang w:val="en-ZA"/>
              </w:rPr>
              <w:t>a mere admission of breaking-in without establishing how or in what manner such break-in occurred is insufficient proof of the offence involving housebreaking</w:t>
            </w:r>
            <w:r w:rsidRPr="00502966">
              <w:rPr>
                <w:rFonts w:ascii="Arial" w:eastAsia="Calibri" w:hAnsi="Arial" w:cs="Arial"/>
                <w:sz w:val="24"/>
                <w:szCs w:val="24"/>
                <w:lang w:val="en-ZA"/>
              </w:rPr>
              <w:t xml:space="preserve">. This is so especially where legal terminologies/jargon such as this are used and where an accused </w:t>
            </w:r>
            <w:r w:rsidR="009B7112">
              <w:rPr>
                <w:rFonts w:ascii="Arial" w:eastAsia="Calibri" w:hAnsi="Arial" w:cs="Arial"/>
                <w:sz w:val="24"/>
                <w:szCs w:val="24"/>
                <w:lang w:val="en-ZA"/>
              </w:rPr>
              <w:t xml:space="preserve">is unrepresented. It should </w:t>
            </w:r>
            <w:r w:rsidRPr="00502966">
              <w:rPr>
                <w:rFonts w:ascii="Arial" w:eastAsia="Calibri" w:hAnsi="Arial" w:cs="Arial"/>
                <w:sz w:val="24"/>
                <w:szCs w:val="24"/>
                <w:lang w:val="en-ZA"/>
              </w:rPr>
              <w:t xml:space="preserve"> be mentioned here that an accused person needs to admit facts (in terms of s 112 (1) (b) of the CPA) that constitutes the offence which the court needs to rely on in order to satisfy itself that he/she is in fact guilty before convicting him on his own guilty plea. The purpose here is also to protect an accused from an ill-conceived plea of guilty.</w:t>
            </w:r>
            <w:r w:rsidR="00FC6993">
              <w:rPr>
                <w:rFonts w:ascii="Arial" w:eastAsia="Calibri" w:hAnsi="Arial" w:cs="Arial"/>
                <w:sz w:val="24"/>
                <w:szCs w:val="24"/>
                <w:lang w:val="en-ZA"/>
              </w:rPr>
              <w:t xml:space="preserve"> (own e</w:t>
            </w:r>
            <w:r w:rsidR="00552325" w:rsidRPr="00502966">
              <w:rPr>
                <w:rFonts w:ascii="Arial" w:eastAsia="Calibri" w:hAnsi="Arial" w:cs="Arial"/>
                <w:sz w:val="24"/>
                <w:szCs w:val="24"/>
                <w:lang w:val="en-ZA"/>
              </w:rPr>
              <w:t>mphasis)</w:t>
            </w:r>
          </w:p>
          <w:p w:rsidR="00A315B1" w:rsidRPr="00502966" w:rsidRDefault="00A315B1" w:rsidP="00A315B1">
            <w:pPr>
              <w:spacing w:line="360" w:lineRule="auto"/>
              <w:jc w:val="both"/>
              <w:rPr>
                <w:rFonts w:ascii="Arial" w:eastAsia="Calibri" w:hAnsi="Arial" w:cs="Arial"/>
                <w:sz w:val="24"/>
                <w:szCs w:val="24"/>
                <w:lang w:val="en-ZA"/>
              </w:rPr>
            </w:pPr>
          </w:p>
          <w:p w:rsidR="001E09CB" w:rsidRDefault="00B243B0" w:rsidP="002E0B06">
            <w:pPr>
              <w:spacing w:line="360" w:lineRule="auto"/>
              <w:jc w:val="both"/>
              <w:rPr>
                <w:rFonts w:ascii="Arial" w:eastAsia="Calibri" w:hAnsi="Arial" w:cs="Arial"/>
                <w:sz w:val="24"/>
                <w:szCs w:val="24"/>
                <w:lang w:val="en-ZA"/>
              </w:rPr>
            </w:pPr>
            <w:r w:rsidRPr="00502966">
              <w:rPr>
                <w:rFonts w:ascii="Arial" w:eastAsia="Calibri" w:hAnsi="Arial" w:cs="Arial"/>
                <w:sz w:val="24"/>
                <w:szCs w:val="24"/>
                <w:lang w:val="en-ZA"/>
              </w:rPr>
              <w:t>[8</w:t>
            </w:r>
            <w:r w:rsidR="002E0B06" w:rsidRPr="00502966">
              <w:rPr>
                <w:rFonts w:ascii="Arial" w:eastAsia="Calibri" w:hAnsi="Arial" w:cs="Arial"/>
                <w:sz w:val="24"/>
                <w:szCs w:val="24"/>
                <w:lang w:val="en-ZA"/>
              </w:rPr>
              <w:t xml:space="preserve">]  </w:t>
            </w:r>
            <w:r w:rsidRPr="00502966">
              <w:rPr>
                <w:rFonts w:ascii="Arial" w:eastAsia="Calibri" w:hAnsi="Arial" w:cs="Arial"/>
                <w:sz w:val="24"/>
                <w:szCs w:val="24"/>
                <w:lang w:val="en-ZA"/>
              </w:rPr>
              <w:t xml:space="preserve"> The importance of establishing how an accused broke-in was highlighted in </w:t>
            </w:r>
            <w:r w:rsidRPr="00502966">
              <w:rPr>
                <w:rFonts w:ascii="Arial" w:eastAsia="Calibri" w:hAnsi="Arial" w:cs="Arial"/>
                <w:i/>
                <w:sz w:val="24"/>
                <w:szCs w:val="24"/>
                <w:lang w:val="en-ZA"/>
              </w:rPr>
              <w:t>S v Snyders</w:t>
            </w:r>
            <w:r w:rsidRPr="00502966">
              <w:rPr>
                <w:rStyle w:val="FootnoteReference"/>
                <w:rFonts w:ascii="Arial" w:eastAsia="Calibri" w:hAnsi="Arial" w:cs="Arial"/>
                <w:sz w:val="24"/>
                <w:szCs w:val="24"/>
                <w:lang w:val="en-ZA"/>
              </w:rPr>
              <w:footnoteReference w:id="1"/>
            </w:r>
            <w:r w:rsidR="00D538C4">
              <w:rPr>
                <w:rFonts w:ascii="Arial" w:eastAsia="Calibri" w:hAnsi="Arial" w:cs="Arial"/>
                <w:i/>
                <w:sz w:val="24"/>
                <w:szCs w:val="24"/>
                <w:lang w:val="en-ZA"/>
              </w:rPr>
              <w:t xml:space="preserve"> </w:t>
            </w:r>
            <w:r w:rsidRPr="00502966">
              <w:rPr>
                <w:rFonts w:ascii="Arial" w:eastAsia="Calibri" w:hAnsi="Arial" w:cs="Arial"/>
                <w:sz w:val="24"/>
                <w:szCs w:val="24"/>
                <w:lang w:val="en-ZA"/>
              </w:rPr>
              <w:t>where the following was stated:</w:t>
            </w:r>
          </w:p>
          <w:p w:rsidR="001E09CB" w:rsidRDefault="001E09CB" w:rsidP="002E0B06">
            <w:pPr>
              <w:spacing w:line="360" w:lineRule="auto"/>
              <w:jc w:val="both"/>
              <w:rPr>
                <w:rFonts w:ascii="Arial" w:eastAsia="Calibri" w:hAnsi="Arial" w:cs="Arial"/>
                <w:sz w:val="24"/>
                <w:szCs w:val="24"/>
                <w:lang w:val="en-ZA"/>
              </w:rPr>
            </w:pPr>
          </w:p>
          <w:p w:rsidR="002E0B06" w:rsidRPr="001E09CB" w:rsidRDefault="00B243B0" w:rsidP="002E0B06">
            <w:pPr>
              <w:spacing w:line="360" w:lineRule="auto"/>
              <w:jc w:val="both"/>
              <w:rPr>
                <w:rFonts w:ascii="Arial" w:eastAsia="Calibri" w:hAnsi="Arial" w:cs="Arial"/>
                <w:sz w:val="24"/>
                <w:szCs w:val="24"/>
                <w:lang w:val="en-ZA"/>
              </w:rPr>
            </w:pPr>
            <w:r w:rsidRPr="00502966">
              <w:rPr>
                <w:rFonts w:ascii="Arial" w:eastAsia="Calibri" w:hAnsi="Arial" w:cs="Arial"/>
                <w:lang w:val="en-ZA"/>
              </w:rPr>
              <w:t>‘</w:t>
            </w:r>
            <w:r w:rsidR="002E0B06" w:rsidRPr="00502966">
              <w:rPr>
                <w:rFonts w:ascii="Arial" w:eastAsia="Calibri" w:hAnsi="Arial" w:cs="Arial"/>
                <w:lang w:val="en-ZA"/>
              </w:rPr>
              <w:t xml:space="preserve">It is trite law that a charge of housebreaking with intent to steal and theft has a component of a ‘breaking’ consisting of the removal or displacement of some obstacle which prevents the offender from entering the house or structure and which forms part of the house or structure itself. For the said offence to be committed, it should be clear that there was a breaking in. The manner in which the breaking occurred should be apparent from the record as that is the process in which it will be ascertained that indeed there was a breaking. As opposed to whether for example the entry is gained through a broken window pane or an open door, which act falls short of breaking in </w:t>
            </w:r>
            <w:r w:rsidR="002E0B06" w:rsidRPr="00502966">
              <w:rPr>
                <w:rFonts w:ascii="Arial" w:eastAsia="Calibri" w:hAnsi="Arial" w:cs="Arial"/>
                <w:i/>
                <w:iCs/>
                <w:lang w:val="en-ZA"/>
              </w:rPr>
              <w:t>legalis sensu</w:t>
            </w:r>
            <w:r w:rsidR="002E0B06" w:rsidRPr="00502966">
              <w:rPr>
                <w:rFonts w:ascii="Arial" w:eastAsia="Calibri" w:hAnsi="Arial" w:cs="Arial"/>
                <w:lang w:val="en-ZA"/>
              </w:rPr>
              <w:t xml:space="preserve">. See: </w:t>
            </w:r>
            <w:r w:rsidR="002E0B06" w:rsidRPr="00502966">
              <w:rPr>
                <w:rFonts w:ascii="Arial" w:eastAsia="Calibri" w:hAnsi="Arial" w:cs="Arial"/>
                <w:i/>
                <w:lang w:val="en-ZA"/>
              </w:rPr>
              <w:t>S v David</w:t>
            </w:r>
            <w:r w:rsidR="002E0B06" w:rsidRPr="00502966">
              <w:rPr>
                <w:rFonts w:ascii="Arial" w:eastAsia="Calibri" w:hAnsi="Arial" w:cs="Arial"/>
                <w:i/>
                <w:vertAlign w:val="superscript"/>
                <w:lang w:val="en-ZA"/>
              </w:rPr>
              <w:footnoteReference w:id="2"/>
            </w:r>
            <w:r w:rsidR="002E0B06" w:rsidRPr="00502966">
              <w:rPr>
                <w:rFonts w:ascii="Arial" w:eastAsia="Calibri" w:hAnsi="Arial" w:cs="Arial"/>
                <w:lang w:val="en-ZA"/>
              </w:rPr>
              <w:t xml:space="preserve"> and </w:t>
            </w:r>
            <w:r w:rsidR="002E0B06" w:rsidRPr="00502966">
              <w:rPr>
                <w:rFonts w:ascii="Arial" w:eastAsia="Calibri" w:hAnsi="Arial" w:cs="Arial"/>
                <w:i/>
                <w:lang w:val="en-ZA"/>
              </w:rPr>
              <w:t>S v Markus and Others.</w:t>
            </w:r>
            <w:r w:rsidR="002E0B06" w:rsidRPr="00502966">
              <w:rPr>
                <w:rFonts w:ascii="Arial" w:eastAsia="Calibri" w:hAnsi="Arial" w:cs="Arial"/>
                <w:i/>
                <w:vertAlign w:val="superscript"/>
                <w:lang w:val="en-ZA"/>
              </w:rPr>
              <w:footnoteReference w:id="3"/>
            </w:r>
            <w:r w:rsidRPr="00502966">
              <w:rPr>
                <w:rFonts w:ascii="Arial" w:eastAsia="Calibri" w:hAnsi="Arial" w:cs="Arial"/>
                <w:lang w:val="en-ZA"/>
              </w:rPr>
              <w:t>’</w:t>
            </w:r>
          </w:p>
          <w:p w:rsidR="002E0B06" w:rsidRPr="00502966" w:rsidRDefault="002E0B06" w:rsidP="002E0B06">
            <w:pPr>
              <w:spacing w:line="360" w:lineRule="auto"/>
              <w:jc w:val="both"/>
              <w:rPr>
                <w:rFonts w:ascii="Arial" w:eastAsia="Calibri" w:hAnsi="Arial" w:cs="Arial"/>
                <w:sz w:val="24"/>
                <w:szCs w:val="24"/>
                <w:lang w:val="en-ZA"/>
              </w:rPr>
            </w:pPr>
          </w:p>
          <w:p w:rsidR="002E0B06" w:rsidRDefault="00B243B0" w:rsidP="002E0B06">
            <w:pPr>
              <w:spacing w:line="360" w:lineRule="auto"/>
              <w:jc w:val="both"/>
              <w:rPr>
                <w:rFonts w:ascii="Arial" w:eastAsia="Calibri" w:hAnsi="Arial" w:cs="Arial"/>
                <w:sz w:val="24"/>
                <w:szCs w:val="24"/>
                <w:lang w:val="en-ZA"/>
              </w:rPr>
            </w:pPr>
            <w:r w:rsidRPr="00502966">
              <w:rPr>
                <w:rFonts w:ascii="Arial" w:eastAsia="Calibri" w:hAnsi="Arial" w:cs="Arial"/>
                <w:sz w:val="24"/>
                <w:szCs w:val="24"/>
                <w:lang w:val="en-ZA"/>
              </w:rPr>
              <w:t>[9</w:t>
            </w:r>
            <w:r w:rsidR="002E0B06" w:rsidRPr="00502966">
              <w:rPr>
                <w:rFonts w:ascii="Arial" w:eastAsia="Calibri" w:hAnsi="Arial" w:cs="Arial"/>
                <w:sz w:val="24"/>
                <w:szCs w:val="24"/>
                <w:lang w:val="en-ZA"/>
              </w:rPr>
              <w:t xml:space="preserve">]   </w:t>
            </w:r>
            <w:r w:rsidRPr="00502966">
              <w:rPr>
                <w:rFonts w:ascii="Arial" w:eastAsia="Calibri" w:hAnsi="Arial" w:cs="Arial"/>
                <w:sz w:val="24"/>
                <w:szCs w:val="24"/>
                <w:lang w:val="en-ZA"/>
              </w:rPr>
              <w:t xml:space="preserve">We therefore find that it was incumbent upon the Magistrate in this matter to determine not only how the complainant’s room was broken-into but also whether there was an obstacle fixed to the house which had to be moved or broken in order to enable the accused to gain entry </w:t>
            </w:r>
            <w:r w:rsidR="002E0B06" w:rsidRPr="00502966">
              <w:rPr>
                <w:rFonts w:ascii="Arial" w:eastAsia="Calibri" w:hAnsi="Arial" w:cs="Arial"/>
                <w:sz w:val="24"/>
                <w:szCs w:val="24"/>
                <w:lang w:val="en-ZA"/>
              </w:rPr>
              <w:t xml:space="preserve">to the house or whether the accused could enter the house without embarking on any of the aforesaid acts. </w:t>
            </w:r>
          </w:p>
          <w:p w:rsidR="00B262FD" w:rsidRPr="00502966" w:rsidRDefault="00B262FD" w:rsidP="002E0B06">
            <w:pPr>
              <w:spacing w:line="360" w:lineRule="auto"/>
              <w:jc w:val="both"/>
              <w:rPr>
                <w:rFonts w:ascii="Arial" w:eastAsia="Calibri" w:hAnsi="Arial" w:cs="Arial"/>
                <w:sz w:val="24"/>
                <w:szCs w:val="24"/>
                <w:lang w:val="en-ZA"/>
              </w:rPr>
            </w:pPr>
          </w:p>
          <w:p w:rsidR="00211290" w:rsidRDefault="00B243B0" w:rsidP="00B262FD">
            <w:pPr>
              <w:spacing w:line="360" w:lineRule="auto"/>
              <w:jc w:val="both"/>
              <w:rPr>
                <w:rFonts w:ascii="Arial" w:eastAsia="Calibri" w:hAnsi="Arial" w:cs="Arial"/>
                <w:sz w:val="24"/>
                <w:szCs w:val="24"/>
              </w:rPr>
            </w:pPr>
            <w:r w:rsidRPr="00502966">
              <w:rPr>
                <w:rFonts w:ascii="Arial" w:eastAsia="Calibri" w:hAnsi="Arial" w:cs="Arial"/>
                <w:sz w:val="24"/>
                <w:szCs w:val="24"/>
                <w:lang w:val="en-ZA"/>
              </w:rPr>
              <w:t>[10</w:t>
            </w:r>
            <w:r w:rsidR="002E0B06" w:rsidRPr="00502966">
              <w:rPr>
                <w:rFonts w:ascii="Arial" w:eastAsia="Calibri" w:hAnsi="Arial" w:cs="Arial"/>
                <w:sz w:val="24"/>
                <w:szCs w:val="24"/>
                <w:lang w:val="en-ZA"/>
              </w:rPr>
              <w:t xml:space="preserve">]   </w:t>
            </w:r>
            <w:r w:rsidR="00B262FD">
              <w:rPr>
                <w:rFonts w:ascii="Arial" w:eastAsia="Calibri" w:hAnsi="Arial" w:cs="Arial"/>
                <w:sz w:val="24"/>
                <w:szCs w:val="24"/>
              </w:rPr>
              <w:t>It should be noted that a</w:t>
            </w:r>
            <w:r w:rsidR="008929DB" w:rsidRPr="00502966">
              <w:rPr>
                <w:rFonts w:ascii="Arial" w:eastAsia="Calibri" w:hAnsi="Arial" w:cs="Arial"/>
                <w:sz w:val="24"/>
                <w:szCs w:val="24"/>
              </w:rPr>
              <w:t xml:space="preserve">ccused </w:t>
            </w:r>
            <w:r w:rsidR="00B262FD">
              <w:rPr>
                <w:rFonts w:ascii="Arial" w:eastAsia="Calibri" w:hAnsi="Arial" w:cs="Arial"/>
                <w:sz w:val="24"/>
                <w:szCs w:val="24"/>
              </w:rPr>
              <w:t xml:space="preserve">in this matter </w:t>
            </w:r>
            <w:r w:rsidR="008929DB" w:rsidRPr="00502966">
              <w:rPr>
                <w:rFonts w:ascii="Arial" w:eastAsia="Calibri" w:hAnsi="Arial" w:cs="Arial"/>
                <w:sz w:val="24"/>
                <w:szCs w:val="24"/>
              </w:rPr>
              <w:t>was sentenced on 10 F</w:t>
            </w:r>
            <w:r w:rsidR="002A4309">
              <w:rPr>
                <w:rFonts w:ascii="Arial" w:eastAsia="Calibri" w:hAnsi="Arial" w:cs="Arial"/>
                <w:sz w:val="24"/>
                <w:szCs w:val="24"/>
              </w:rPr>
              <w:t xml:space="preserve">ebruary 2022, a </w:t>
            </w:r>
            <w:r w:rsidR="002A4309">
              <w:rPr>
                <w:rFonts w:ascii="Arial" w:eastAsia="Calibri" w:hAnsi="Arial" w:cs="Arial"/>
                <w:sz w:val="24"/>
                <w:szCs w:val="24"/>
              </w:rPr>
              <w:lastRenderedPageBreak/>
              <w:t xml:space="preserve">query was sent to the Magistrate on 14 June 2022. However without explanation, the Magistrate only responded to the query after a year and 2 months’. </w:t>
            </w:r>
            <w:r w:rsidR="009B7112">
              <w:rPr>
                <w:rFonts w:ascii="Arial" w:eastAsia="Calibri" w:hAnsi="Arial" w:cs="Arial"/>
                <w:sz w:val="24"/>
                <w:szCs w:val="24"/>
              </w:rPr>
              <w:t xml:space="preserve">  </w:t>
            </w:r>
            <w:r w:rsidR="002A4309">
              <w:rPr>
                <w:rFonts w:ascii="Arial" w:eastAsia="Calibri" w:hAnsi="Arial" w:cs="Arial"/>
                <w:sz w:val="24"/>
                <w:szCs w:val="24"/>
              </w:rPr>
              <w:t>Tha</w:t>
            </w:r>
            <w:r w:rsidR="00B262FD">
              <w:rPr>
                <w:rFonts w:ascii="Arial" w:eastAsia="Calibri" w:hAnsi="Arial" w:cs="Arial"/>
                <w:sz w:val="24"/>
                <w:szCs w:val="24"/>
              </w:rPr>
              <w:t xml:space="preserve">t defeats the purpose of review and </w:t>
            </w:r>
            <w:r w:rsidR="00211290">
              <w:rPr>
                <w:rFonts w:ascii="Arial" w:eastAsia="Calibri" w:hAnsi="Arial" w:cs="Arial"/>
                <w:sz w:val="24"/>
                <w:szCs w:val="24"/>
              </w:rPr>
              <w:t>magistrates are sternly cautioned to</w:t>
            </w:r>
            <w:r w:rsidR="009B7112">
              <w:rPr>
                <w:rFonts w:ascii="Arial" w:eastAsia="Calibri" w:hAnsi="Arial" w:cs="Arial"/>
                <w:sz w:val="24"/>
                <w:szCs w:val="24"/>
              </w:rPr>
              <w:t xml:space="preserve"> desist from not complying with </w:t>
            </w:r>
            <w:r w:rsidR="00211290">
              <w:rPr>
                <w:rFonts w:ascii="Arial" w:eastAsia="Calibri" w:hAnsi="Arial" w:cs="Arial"/>
                <w:sz w:val="24"/>
                <w:szCs w:val="24"/>
              </w:rPr>
              <w:t>the provisions of the law. S</w:t>
            </w:r>
            <w:r w:rsidRPr="00502966">
              <w:rPr>
                <w:rFonts w:ascii="Arial" w:eastAsia="Calibri" w:hAnsi="Arial" w:cs="Arial"/>
                <w:sz w:val="24"/>
                <w:szCs w:val="24"/>
              </w:rPr>
              <w:t>ince the accused has alre</w:t>
            </w:r>
            <w:r w:rsidR="00B262FD">
              <w:rPr>
                <w:rFonts w:ascii="Arial" w:eastAsia="Calibri" w:hAnsi="Arial" w:cs="Arial"/>
                <w:sz w:val="24"/>
                <w:szCs w:val="24"/>
              </w:rPr>
              <w:t>ady served his sentence,</w:t>
            </w:r>
            <w:r w:rsidRPr="00502966">
              <w:rPr>
                <w:rFonts w:ascii="Arial" w:eastAsia="Calibri" w:hAnsi="Arial" w:cs="Arial"/>
                <w:sz w:val="24"/>
                <w:szCs w:val="24"/>
              </w:rPr>
              <w:t xml:space="preserve"> there is no need to remit this matter in terms of s 31</w:t>
            </w:r>
            <w:r w:rsidR="00A315B1">
              <w:rPr>
                <w:rFonts w:ascii="Arial" w:eastAsia="Calibri" w:hAnsi="Arial" w:cs="Arial"/>
                <w:sz w:val="24"/>
                <w:szCs w:val="24"/>
              </w:rPr>
              <w:t>2(1) of the Criminal Procedure Act</w:t>
            </w:r>
            <w:r w:rsidRPr="00502966">
              <w:rPr>
                <w:rFonts w:ascii="Arial" w:eastAsia="Calibri" w:hAnsi="Arial" w:cs="Arial"/>
                <w:sz w:val="24"/>
                <w:szCs w:val="24"/>
              </w:rPr>
              <w:t>.</w:t>
            </w:r>
            <w:r w:rsidR="00B262FD">
              <w:rPr>
                <w:rFonts w:ascii="Arial" w:eastAsia="Calibri" w:hAnsi="Arial" w:cs="Arial"/>
                <w:sz w:val="24"/>
                <w:szCs w:val="24"/>
              </w:rPr>
              <w:t xml:space="preserve"> </w:t>
            </w:r>
          </w:p>
          <w:p w:rsidR="00211290" w:rsidRDefault="00211290" w:rsidP="00B262FD">
            <w:pPr>
              <w:spacing w:line="360" w:lineRule="auto"/>
              <w:jc w:val="both"/>
              <w:rPr>
                <w:rFonts w:ascii="Arial" w:eastAsia="Calibri" w:hAnsi="Arial" w:cs="Arial"/>
                <w:sz w:val="24"/>
                <w:szCs w:val="24"/>
              </w:rPr>
            </w:pPr>
          </w:p>
          <w:p w:rsidR="00B262FD" w:rsidRPr="00502966" w:rsidRDefault="00211290" w:rsidP="00B262FD">
            <w:pPr>
              <w:spacing w:line="360" w:lineRule="auto"/>
              <w:jc w:val="both"/>
              <w:rPr>
                <w:rFonts w:ascii="Arial" w:eastAsia="Calibri" w:hAnsi="Arial" w:cs="Arial"/>
                <w:sz w:val="24"/>
                <w:szCs w:val="24"/>
                <w:lang w:val="en-ZA"/>
              </w:rPr>
            </w:pPr>
            <w:r>
              <w:rPr>
                <w:rFonts w:ascii="Arial" w:eastAsia="Calibri" w:hAnsi="Arial" w:cs="Arial"/>
                <w:sz w:val="24"/>
                <w:szCs w:val="24"/>
              </w:rPr>
              <w:t xml:space="preserve">[11]    </w:t>
            </w:r>
            <w:r w:rsidR="00B262FD">
              <w:rPr>
                <w:rFonts w:ascii="Arial" w:eastAsia="Calibri" w:hAnsi="Arial" w:cs="Arial"/>
                <w:sz w:val="24"/>
                <w:szCs w:val="24"/>
              </w:rPr>
              <w:t>With the aforesaid</w:t>
            </w:r>
            <w:r w:rsidR="00B262FD" w:rsidRPr="00502966">
              <w:rPr>
                <w:rFonts w:ascii="Arial" w:eastAsia="Calibri" w:hAnsi="Arial" w:cs="Arial"/>
                <w:sz w:val="24"/>
                <w:szCs w:val="24"/>
              </w:rPr>
              <w:t xml:space="preserve"> not having been determined by the Magistrate, the co</w:t>
            </w:r>
            <w:r w:rsidR="00A0765B">
              <w:rPr>
                <w:rFonts w:ascii="Arial" w:eastAsia="Calibri" w:hAnsi="Arial" w:cs="Arial"/>
                <w:sz w:val="24"/>
                <w:szCs w:val="24"/>
              </w:rPr>
              <w:t>nviction of</w:t>
            </w:r>
            <w:r w:rsidR="00B262FD" w:rsidRPr="00502966">
              <w:rPr>
                <w:rFonts w:ascii="Arial" w:eastAsia="Calibri" w:hAnsi="Arial" w:cs="Arial"/>
                <w:sz w:val="24"/>
                <w:szCs w:val="24"/>
              </w:rPr>
              <w:t xml:space="preserve"> the accused</w:t>
            </w:r>
            <w:r w:rsidR="00A0765B">
              <w:rPr>
                <w:rFonts w:ascii="Arial" w:eastAsia="Calibri" w:hAnsi="Arial" w:cs="Arial"/>
                <w:sz w:val="24"/>
                <w:szCs w:val="24"/>
              </w:rPr>
              <w:t xml:space="preserve"> on a charge of housebreaking with intent to steal and theft</w:t>
            </w:r>
            <w:r w:rsidR="004E2FAC">
              <w:rPr>
                <w:rFonts w:ascii="Arial" w:eastAsia="Calibri" w:hAnsi="Arial" w:cs="Arial"/>
                <w:sz w:val="24"/>
                <w:szCs w:val="24"/>
              </w:rPr>
              <w:t xml:space="preserve"> cannot be allowed to stand. It</w:t>
            </w:r>
            <w:r w:rsidR="004E2FAC" w:rsidRPr="00502966">
              <w:rPr>
                <w:rFonts w:ascii="Arial" w:eastAsia="Calibri" w:hAnsi="Arial" w:cs="Arial"/>
                <w:sz w:val="24"/>
                <w:szCs w:val="24"/>
              </w:rPr>
              <w:t xml:space="preserve"> </w:t>
            </w:r>
            <w:r w:rsidR="004E2FAC">
              <w:rPr>
                <w:rFonts w:ascii="Arial" w:eastAsia="Calibri" w:hAnsi="Arial" w:cs="Arial"/>
                <w:sz w:val="24"/>
                <w:szCs w:val="24"/>
              </w:rPr>
              <w:t>has</w:t>
            </w:r>
            <w:r w:rsidR="004E2FAC" w:rsidRPr="00502966">
              <w:rPr>
                <w:rFonts w:ascii="Arial" w:eastAsia="Calibri" w:hAnsi="Arial" w:cs="Arial"/>
                <w:sz w:val="24"/>
                <w:szCs w:val="24"/>
              </w:rPr>
              <w:t xml:space="preserve"> to be set aside</w:t>
            </w:r>
            <w:r w:rsidR="00B262FD" w:rsidRPr="00502966">
              <w:rPr>
                <w:rFonts w:ascii="Arial" w:eastAsia="Calibri" w:hAnsi="Arial" w:cs="Arial"/>
                <w:sz w:val="24"/>
                <w:szCs w:val="24"/>
              </w:rPr>
              <w:t xml:space="preserve"> </w:t>
            </w:r>
            <w:r w:rsidR="004E2FAC">
              <w:rPr>
                <w:rFonts w:ascii="Arial" w:eastAsia="Calibri" w:hAnsi="Arial" w:cs="Arial"/>
                <w:sz w:val="24"/>
                <w:szCs w:val="24"/>
              </w:rPr>
              <w:t>and be substituted with a conviction on a competent verdict of theft</w:t>
            </w:r>
            <w:r w:rsidR="00A0765B">
              <w:rPr>
                <w:rFonts w:ascii="Arial" w:eastAsia="Calibri" w:hAnsi="Arial" w:cs="Arial"/>
                <w:sz w:val="24"/>
                <w:szCs w:val="24"/>
              </w:rPr>
              <w:t xml:space="preserve">. </w:t>
            </w:r>
            <w:r>
              <w:rPr>
                <w:rFonts w:ascii="Arial" w:eastAsia="Calibri" w:hAnsi="Arial" w:cs="Arial"/>
                <w:sz w:val="24"/>
                <w:szCs w:val="24"/>
              </w:rPr>
              <w:t>However w</w:t>
            </w:r>
            <w:r w:rsidR="004E2FAC">
              <w:rPr>
                <w:rFonts w:ascii="Arial" w:eastAsia="Calibri" w:hAnsi="Arial" w:cs="Arial"/>
                <w:sz w:val="24"/>
                <w:szCs w:val="24"/>
              </w:rPr>
              <w:t xml:space="preserve">hen regard is had </w:t>
            </w:r>
            <w:r w:rsidR="00A0765B">
              <w:rPr>
                <w:rFonts w:ascii="Arial" w:eastAsia="Calibri" w:hAnsi="Arial" w:cs="Arial"/>
                <w:sz w:val="24"/>
                <w:szCs w:val="24"/>
              </w:rPr>
              <w:t>that</w:t>
            </w:r>
            <w:r w:rsidR="004E2FAC">
              <w:rPr>
                <w:rFonts w:ascii="Arial" w:eastAsia="Calibri" w:hAnsi="Arial" w:cs="Arial"/>
                <w:sz w:val="24"/>
                <w:szCs w:val="24"/>
              </w:rPr>
              <w:t xml:space="preserve"> accused had</w:t>
            </w:r>
            <w:r w:rsidR="00A0765B">
              <w:rPr>
                <w:rFonts w:ascii="Arial" w:eastAsia="Calibri" w:hAnsi="Arial" w:cs="Arial"/>
                <w:sz w:val="24"/>
                <w:szCs w:val="24"/>
              </w:rPr>
              <w:t xml:space="preserve"> </w:t>
            </w:r>
            <w:r w:rsidR="004E2FAC">
              <w:rPr>
                <w:rFonts w:ascii="Arial" w:eastAsia="Calibri" w:hAnsi="Arial" w:cs="Arial"/>
                <w:sz w:val="24"/>
                <w:szCs w:val="24"/>
              </w:rPr>
              <w:t xml:space="preserve">previous conviction, </w:t>
            </w:r>
            <w:r>
              <w:rPr>
                <w:rFonts w:ascii="Arial" w:eastAsia="Calibri" w:hAnsi="Arial" w:cs="Arial"/>
                <w:sz w:val="24"/>
                <w:szCs w:val="24"/>
              </w:rPr>
              <w:t>in our view the</w:t>
            </w:r>
            <w:r w:rsidR="004E2FAC">
              <w:rPr>
                <w:rFonts w:ascii="Arial" w:eastAsia="Calibri" w:hAnsi="Arial" w:cs="Arial"/>
                <w:sz w:val="24"/>
                <w:szCs w:val="24"/>
              </w:rPr>
              <w:t xml:space="preserve"> sentence imposed is in order and has to</w:t>
            </w:r>
            <w:r w:rsidR="00A0765B">
              <w:rPr>
                <w:rFonts w:ascii="Arial" w:eastAsia="Calibri" w:hAnsi="Arial" w:cs="Arial"/>
                <w:sz w:val="24"/>
                <w:szCs w:val="24"/>
              </w:rPr>
              <w:t xml:space="preserve"> be confirmed</w:t>
            </w:r>
            <w:r>
              <w:rPr>
                <w:rFonts w:ascii="Arial" w:eastAsia="Calibri" w:hAnsi="Arial" w:cs="Arial"/>
                <w:sz w:val="24"/>
                <w:szCs w:val="24"/>
              </w:rPr>
              <w:t>.</w:t>
            </w:r>
          </w:p>
          <w:p w:rsidR="00B243B0" w:rsidRPr="00502966" w:rsidRDefault="00B243B0" w:rsidP="002E0B06">
            <w:pPr>
              <w:spacing w:line="360" w:lineRule="auto"/>
              <w:jc w:val="both"/>
              <w:rPr>
                <w:rFonts w:ascii="Arial" w:eastAsia="Calibri" w:hAnsi="Arial" w:cs="Arial"/>
                <w:sz w:val="24"/>
                <w:szCs w:val="24"/>
                <w:u w:val="single"/>
              </w:rPr>
            </w:pPr>
          </w:p>
          <w:p w:rsidR="002E0B06" w:rsidRPr="00502966" w:rsidRDefault="00C864A6" w:rsidP="009B7112">
            <w:pPr>
              <w:spacing w:line="360" w:lineRule="auto"/>
              <w:jc w:val="both"/>
              <w:rPr>
                <w:rFonts w:ascii="Arial" w:eastAsia="Calibri" w:hAnsi="Arial" w:cs="Arial"/>
                <w:sz w:val="24"/>
                <w:szCs w:val="24"/>
              </w:rPr>
            </w:pPr>
            <w:r>
              <w:rPr>
                <w:rFonts w:ascii="Arial" w:eastAsia="Calibri" w:hAnsi="Arial" w:cs="Arial"/>
                <w:sz w:val="24"/>
                <w:szCs w:val="24"/>
                <w:lang w:val="en-ZA"/>
              </w:rPr>
              <w:t>[12</w:t>
            </w:r>
            <w:r w:rsidR="002E0B06" w:rsidRPr="00502966">
              <w:rPr>
                <w:rFonts w:ascii="Arial" w:eastAsia="Calibri" w:hAnsi="Arial" w:cs="Arial"/>
                <w:sz w:val="24"/>
                <w:szCs w:val="24"/>
                <w:lang w:val="en-ZA"/>
              </w:rPr>
              <w:t>]   In the result, it is ordered</w:t>
            </w:r>
            <w:r w:rsidR="00B243B0" w:rsidRPr="00502966">
              <w:rPr>
                <w:rFonts w:ascii="Arial" w:eastAsia="Calibri" w:hAnsi="Arial" w:cs="Arial"/>
                <w:sz w:val="24"/>
                <w:szCs w:val="24"/>
                <w:lang w:val="en-ZA"/>
              </w:rPr>
              <w:t xml:space="preserve"> that</w:t>
            </w:r>
            <w:r w:rsidR="002E0B06" w:rsidRPr="00502966">
              <w:rPr>
                <w:rFonts w:ascii="Arial" w:eastAsia="Calibri" w:hAnsi="Arial" w:cs="Arial"/>
                <w:sz w:val="24"/>
                <w:szCs w:val="24"/>
                <w:lang w:val="en-ZA"/>
              </w:rPr>
              <w:t>:</w:t>
            </w:r>
          </w:p>
          <w:p w:rsidR="002E0B06" w:rsidRPr="00502966" w:rsidRDefault="002E0B06" w:rsidP="002E0B06">
            <w:pPr>
              <w:spacing w:line="360" w:lineRule="auto"/>
              <w:jc w:val="both"/>
              <w:rPr>
                <w:rFonts w:ascii="Arial" w:eastAsia="Calibri" w:hAnsi="Arial" w:cs="Arial"/>
                <w:sz w:val="24"/>
                <w:szCs w:val="24"/>
                <w:lang w:val="en-ZA"/>
              </w:rPr>
            </w:pPr>
          </w:p>
          <w:p w:rsidR="002E0B06" w:rsidRDefault="00A0765B" w:rsidP="002E0B06">
            <w:pPr>
              <w:numPr>
                <w:ilvl w:val="0"/>
                <w:numId w:val="2"/>
              </w:numPr>
              <w:spacing w:line="360" w:lineRule="auto"/>
              <w:jc w:val="both"/>
              <w:rPr>
                <w:rFonts w:ascii="Arial" w:eastAsia="Calibri" w:hAnsi="Arial" w:cs="Arial"/>
                <w:sz w:val="24"/>
                <w:szCs w:val="24"/>
                <w:lang w:val="en-ZA"/>
              </w:rPr>
            </w:pPr>
            <w:r>
              <w:rPr>
                <w:rFonts w:ascii="Arial" w:eastAsia="Calibri" w:hAnsi="Arial" w:cs="Arial"/>
                <w:sz w:val="24"/>
                <w:szCs w:val="24"/>
                <w:lang w:val="en-ZA"/>
              </w:rPr>
              <w:t xml:space="preserve">The conviction of </w:t>
            </w:r>
            <w:r>
              <w:rPr>
                <w:rFonts w:ascii="Arial" w:eastAsia="Calibri" w:hAnsi="Arial" w:cs="Arial"/>
                <w:sz w:val="24"/>
                <w:szCs w:val="24"/>
              </w:rPr>
              <w:t>housebreaking with intent to steal and theft</w:t>
            </w:r>
            <w:r w:rsidR="002E0B06" w:rsidRPr="00502966">
              <w:rPr>
                <w:rFonts w:ascii="Arial" w:eastAsia="Calibri" w:hAnsi="Arial" w:cs="Arial"/>
                <w:sz w:val="24"/>
                <w:szCs w:val="24"/>
                <w:lang w:val="en-ZA"/>
              </w:rPr>
              <w:t xml:space="preserve"> </w:t>
            </w:r>
            <w:r w:rsidR="004E2FAC">
              <w:rPr>
                <w:rFonts w:ascii="Arial" w:eastAsia="Calibri" w:hAnsi="Arial" w:cs="Arial"/>
                <w:sz w:val="24"/>
                <w:szCs w:val="24"/>
                <w:lang w:val="en-ZA"/>
              </w:rPr>
              <w:t xml:space="preserve">is </w:t>
            </w:r>
            <w:r w:rsidR="002E0B06" w:rsidRPr="00502966">
              <w:rPr>
                <w:rFonts w:ascii="Arial" w:eastAsia="Calibri" w:hAnsi="Arial" w:cs="Arial"/>
                <w:sz w:val="24"/>
                <w:szCs w:val="24"/>
                <w:lang w:val="en-ZA"/>
              </w:rPr>
              <w:t>set aside</w:t>
            </w:r>
            <w:r>
              <w:rPr>
                <w:rFonts w:ascii="Arial" w:eastAsia="Calibri" w:hAnsi="Arial" w:cs="Arial"/>
                <w:sz w:val="24"/>
                <w:szCs w:val="24"/>
                <w:lang w:val="en-ZA"/>
              </w:rPr>
              <w:t xml:space="preserve"> and is substituted with a conviction o</w:t>
            </w:r>
            <w:bookmarkStart w:id="0" w:name="_GoBack"/>
            <w:bookmarkEnd w:id="0"/>
            <w:r>
              <w:rPr>
                <w:rFonts w:ascii="Arial" w:eastAsia="Calibri" w:hAnsi="Arial" w:cs="Arial"/>
                <w:sz w:val="24"/>
                <w:szCs w:val="24"/>
                <w:lang w:val="en-ZA"/>
              </w:rPr>
              <w:t>f theft</w:t>
            </w:r>
            <w:r w:rsidR="002E0B06" w:rsidRPr="00502966">
              <w:rPr>
                <w:rFonts w:ascii="Arial" w:eastAsia="Calibri" w:hAnsi="Arial" w:cs="Arial"/>
                <w:sz w:val="24"/>
                <w:szCs w:val="24"/>
                <w:lang w:val="en-ZA"/>
              </w:rPr>
              <w:t>.</w:t>
            </w:r>
          </w:p>
          <w:p w:rsidR="00A0765B" w:rsidRPr="00502966" w:rsidRDefault="00A0765B" w:rsidP="002E0B06">
            <w:pPr>
              <w:numPr>
                <w:ilvl w:val="0"/>
                <w:numId w:val="2"/>
              </w:numPr>
              <w:spacing w:line="360" w:lineRule="auto"/>
              <w:jc w:val="both"/>
              <w:rPr>
                <w:rFonts w:ascii="Arial" w:eastAsia="Calibri" w:hAnsi="Arial" w:cs="Arial"/>
                <w:sz w:val="24"/>
                <w:szCs w:val="24"/>
                <w:lang w:val="en-ZA"/>
              </w:rPr>
            </w:pPr>
            <w:r>
              <w:rPr>
                <w:rFonts w:ascii="Arial" w:eastAsia="Calibri" w:hAnsi="Arial" w:cs="Arial"/>
                <w:sz w:val="24"/>
                <w:szCs w:val="24"/>
                <w:lang w:val="en-ZA"/>
              </w:rPr>
              <w:t>The sentence is confirmed</w:t>
            </w:r>
            <w:r w:rsidR="009B7112">
              <w:rPr>
                <w:rFonts w:ascii="Arial" w:eastAsia="Calibri" w:hAnsi="Arial" w:cs="Arial"/>
                <w:sz w:val="24"/>
                <w:szCs w:val="24"/>
                <w:lang w:val="en-ZA"/>
              </w:rPr>
              <w:t>.</w:t>
            </w:r>
          </w:p>
          <w:p w:rsidR="00B243B0" w:rsidRPr="00502966" w:rsidRDefault="00B243B0" w:rsidP="00B243B0">
            <w:pPr>
              <w:spacing w:line="360" w:lineRule="auto"/>
              <w:jc w:val="both"/>
              <w:rPr>
                <w:rFonts w:ascii="Arial" w:eastAsia="Calibri" w:hAnsi="Arial" w:cs="Arial"/>
                <w:color w:val="FF0000"/>
                <w:sz w:val="24"/>
                <w:szCs w:val="24"/>
                <w:lang w:val="en-ZA"/>
              </w:rPr>
            </w:pPr>
          </w:p>
        </w:tc>
      </w:tr>
      <w:tr w:rsidR="002E0B06" w:rsidRPr="00B243B0" w:rsidTr="009E7034">
        <w:tc>
          <w:tcPr>
            <w:tcW w:w="9923" w:type="dxa"/>
            <w:gridSpan w:val="3"/>
            <w:tcBorders>
              <w:top w:val="single" w:sz="4" w:space="0" w:color="auto"/>
              <w:left w:val="single" w:sz="4" w:space="0" w:color="auto"/>
              <w:bottom w:val="single" w:sz="4" w:space="0" w:color="auto"/>
              <w:right w:val="single" w:sz="4" w:space="0" w:color="auto"/>
            </w:tcBorders>
            <w:hideMark/>
          </w:tcPr>
          <w:p w:rsidR="002E0B06" w:rsidRPr="00502966" w:rsidRDefault="002E0B06" w:rsidP="002E0B06">
            <w:pPr>
              <w:spacing w:line="360" w:lineRule="auto"/>
              <w:ind w:left="601"/>
              <w:contextualSpacing/>
              <w:rPr>
                <w:rFonts w:ascii="Arial" w:eastAsia="Calibri" w:hAnsi="Arial" w:cs="Arial"/>
                <w:color w:val="FF0000"/>
                <w:sz w:val="24"/>
                <w:szCs w:val="24"/>
                <w:lang w:val="en-ZA"/>
              </w:rPr>
            </w:pPr>
          </w:p>
        </w:tc>
      </w:tr>
      <w:tr w:rsidR="002E0B06" w:rsidRPr="00B243B0" w:rsidTr="009E7034">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2E0B06" w:rsidRPr="00502966" w:rsidRDefault="002E0B06" w:rsidP="002E0B06">
            <w:pPr>
              <w:spacing w:line="360" w:lineRule="auto"/>
              <w:jc w:val="both"/>
              <w:rPr>
                <w:rFonts w:ascii="Arial" w:eastAsia="Calibri" w:hAnsi="Arial" w:cs="Arial"/>
                <w:sz w:val="24"/>
                <w:szCs w:val="24"/>
                <w:lang w:val="en-ZA"/>
              </w:rPr>
            </w:pPr>
          </w:p>
        </w:tc>
        <w:tc>
          <w:tcPr>
            <w:tcW w:w="4962" w:type="dxa"/>
            <w:tcBorders>
              <w:top w:val="single" w:sz="4" w:space="0" w:color="auto"/>
              <w:left w:val="single" w:sz="4" w:space="0" w:color="auto"/>
              <w:bottom w:val="single" w:sz="4" w:space="0" w:color="auto"/>
              <w:right w:val="single" w:sz="4" w:space="0" w:color="auto"/>
            </w:tcBorders>
          </w:tcPr>
          <w:p w:rsidR="002E0B06" w:rsidRPr="00B243B0" w:rsidRDefault="002E0B06" w:rsidP="002E0B06">
            <w:pPr>
              <w:spacing w:line="360" w:lineRule="auto"/>
              <w:jc w:val="both"/>
              <w:rPr>
                <w:rFonts w:ascii="Arial" w:eastAsia="Calibri" w:hAnsi="Arial" w:cs="Arial"/>
                <w:sz w:val="24"/>
                <w:szCs w:val="24"/>
                <w:lang w:val="en-ZA"/>
              </w:rPr>
            </w:pPr>
          </w:p>
        </w:tc>
      </w:tr>
      <w:tr w:rsidR="002E0B06" w:rsidRPr="00B243B0" w:rsidTr="009E703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2E0B06" w:rsidRPr="00B243B0" w:rsidRDefault="002E0B06" w:rsidP="002E0B06">
            <w:pPr>
              <w:spacing w:line="360" w:lineRule="auto"/>
              <w:jc w:val="both"/>
              <w:rPr>
                <w:rFonts w:ascii="Arial" w:eastAsia="Calibri" w:hAnsi="Arial" w:cs="Arial"/>
                <w:sz w:val="24"/>
                <w:szCs w:val="24"/>
                <w:lang w:val="en-ZA"/>
              </w:rPr>
            </w:pPr>
            <w:r w:rsidRPr="00B243B0">
              <w:rPr>
                <w:rFonts w:ascii="Arial" w:eastAsia="Calibri" w:hAnsi="Arial" w:cs="Arial"/>
                <w:sz w:val="24"/>
                <w:szCs w:val="24"/>
                <w:lang w:val="en-ZA"/>
              </w:rPr>
              <w:t xml:space="preserve"> </w:t>
            </w:r>
            <w:r w:rsidR="00B243B0">
              <w:rPr>
                <w:rFonts w:ascii="Arial" w:eastAsia="Calibri" w:hAnsi="Arial" w:cs="Arial"/>
                <w:sz w:val="24"/>
                <w:szCs w:val="24"/>
                <w:lang w:val="en-ZA"/>
              </w:rPr>
              <w:t xml:space="preserve">                      J</w:t>
            </w:r>
            <w:r w:rsidR="00E27A7F">
              <w:rPr>
                <w:rFonts w:ascii="Arial" w:eastAsia="Calibri" w:hAnsi="Arial" w:cs="Arial"/>
                <w:sz w:val="24"/>
                <w:szCs w:val="24"/>
                <w:lang w:val="en-ZA"/>
              </w:rPr>
              <w:t>.</w:t>
            </w:r>
            <w:r w:rsidR="00B243B0">
              <w:rPr>
                <w:rFonts w:ascii="Arial" w:eastAsia="Calibri" w:hAnsi="Arial" w:cs="Arial"/>
                <w:sz w:val="24"/>
                <w:szCs w:val="24"/>
                <w:lang w:val="en-ZA"/>
              </w:rPr>
              <w:t xml:space="preserve"> T</w:t>
            </w:r>
            <w:r w:rsidR="00E27A7F">
              <w:rPr>
                <w:rFonts w:ascii="Arial" w:eastAsia="Calibri" w:hAnsi="Arial" w:cs="Arial"/>
                <w:sz w:val="24"/>
                <w:szCs w:val="24"/>
                <w:lang w:val="en-ZA"/>
              </w:rPr>
              <w:t>.</w:t>
            </w:r>
            <w:r w:rsidR="00B243B0">
              <w:rPr>
                <w:rFonts w:ascii="Arial" w:eastAsia="Calibri" w:hAnsi="Arial" w:cs="Arial"/>
                <w:sz w:val="24"/>
                <w:szCs w:val="24"/>
                <w:lang w:val="en-ZA"/>
              </w:rPr>
              <w:t xml:space="preserve"> SALIONGA</w:t>
            </w:r>
            <w:r w:rsidRPr="00B243B0">
              <w:rPr>
                <w:rFonts w:ascii="Arial" w:eastAsia="Calibri" w:hAnsi="Arial" w:cs="Arial"/>
                <w:sz w:val="24"/>
                <w:szCs w:val="24"/>
                <w:lang w:val="en-ZA"/>
              </w:rPr>
              <w:t xml:space="preserve">      </w:t>
            </w:r>
          </w:p>
          <w:p w:rsidR="002E0B06" w:rsidRPr="00B243B0" w:rsidRDefault="00B243B0" w:rsidP="002E0B06">
            <w:pPr>
              <w:spacing w:line="360" w:lineRule="auto"/>
              <w:jc w:val="both"/>
              <w:rPr>
                <w:rFonts w:ascii="Arial" w:eastAsia="Calibri" w:hAnsi="Arial" w:cs="Arial"/>
                <w:sz w:val="24"/>
                <w:szCs w:val="24"/>
                <w:lang w:val="en-ZA"/>
              </w:rPr>
            </w:pPr>
            <w:r>
              <w:rPr>
                <w:rFonts w:ascii="Arial" w:eastAsia="Calibri" w:hAnsi="Arial" w:cs="Arial"/>
                <w:sz w:val="24"/>
                <w:szCs w:val="24"/>
                <w:lang w:val="en-ZA"/>
              </w:rPr>
              <w:t xml:space="preserve">                          </w:t>
            </w:r>
            <w:r w:rsidR="002E0B06" w:rsidRPr="00B243B0">
              <w:rPr>
                <w:rFonts w:ascii="Arial" w:eastAsia="Calibri" w:hAnsi="Arial" w:cs="Arial"/>
                <w:sz w:val="24"/>
                <w:szCs w:val="24"/>
                <w:lang w:val="en-ZA"/>
              </w:rPr>
              <w:t xml:space="preserve">JUDGE                          </w:t>
            </w:r>
          </w:p>
        </w:tc>
        <w:tc>
          <w:tcPr>
            <w:tcW w:w="4962" w:type="dxa"/>
            <w:tcBorders>
              <w:top w:val="single" w:sz="4" w:space="0" w:color="auto"/>
              <w:left w:val="single" w:sz="4" w:space="0" w:color="auto"/>
              <w:bottom w:val="single" w:sz="4" w:space="0" w:color="auto"/>
              <w:right w:val="single" w:sz="4" w:space="0" w:color="auto"/>
            </w:tcBorders>
            <w:hideMark/>
          </w:tcPr>
          <w:p w:rsidR="002E0B06" w:rsidRPr="00B243B0" w:rsidRDefault="00B243B0" w:rsidP="002E0B06">
            <w:pPr>
              <w:spacing w:line="360" w:lineRule="auto"/>
              <w:jc w:val="both"/>
              <w:rPr>
                <w:rFonts w:ascii="Arial" w:eastAsia="Calibri" w:hAnsi="Arial" w:cs="Arial"/>
                <w:sz w:val="24"/>
                <w:szCs w:val="24"/>
                <w:lang w:val="en-ZA"/>
              </w:rPr>
            </w:pPr>
            <w:r>
              <w:rPr>
                <w:rFonts w:ascii="Arial" w:eastAsia="Calibri" w:hAnsi="Arial" w:cs="Arial"/>
                <w:sz w:val="24"/>
                <w:szCs w:val="24"/>
                <w:lang w:val="en-ZA"/>
              </w:rPr>
              <w:t xml:space="preserve">                          E</w:t>
            </w:r>
            <w:r w:rsidR="00E27A7F">
              <w:rPr>
                <w:rFonts w:ascii="Arial" w:eastAsia="Calibri" w:hAnsi="Arial" w:cs="Arial"/>
                <w:sz w:val="24"/>
                <w:szCs w:val="24"/>
                <w:lang w:val="en-ZA"/>
              </w:rPr>
              <w:t>.</w:t>
            </w:r>
            <w:r>
              <w:rPr>
                <w:rFonts w:ascii="Arial" w:eastAsia="Calibri" w:hAnsi="Arial" w:cs="Arial"/>
                <w:sz w:val="24"/>
                <w:szCs w:val="24"/>
                <w:lang w:val="en-ZA"/>
              </w:rPr>
              <w:t xml:space="preserve"> E</w:t>
            </w:r>
            <w:r w:rsidR="00E27A7F">
              <w:rPr>
                <w:rFonts w:ascii="Arial" w:eastAsia="Calibri" w:hAnsi="Arial" w:cs="Arial"/>
                <w:sz w:val="24"/>
                <w:szCs w:val="24"/>
                <w:lang w:val="en-ZA"/>
              </w:rPr>
              <w:t>.</w:t>
            </w:r>
            <w:r>
              <w:rPr>
                <w:rFonts w:ascii="Arial" w:eastAsia="Calibri" w:hAnsi="Arial" w:cs="Arial"/>
                <w:sz w:val="24"/>
                <w:szCs w:val="24"/>
                <w:lang w:val="en-ZA"/>
              </w:rPr>
              <w:t xml:space="preserve"> KESSLAU</w:t>
            </w:r>
            <w:r w:rsidR="002E0B06" w:rsidRPr="00B243B0">
              <w:rPr>
                <w:rFonts w:ascii="Arial" w:eastAsia="Calibri" w:hAnsi="Arial" w:cs="Arial"/>
                <w:sz w:val="24"/>
                <w:szCs w:val="24"/>
                <w:lang w:val="en-ZA"/>
              </w:rPr>
              <w:t xml:space="preserve">                       </w:t>
            </w:r>
          </w:p>
          <w:p w:rsidR="002E0B06" w:rsidRPr="00B243B0" w:rsidRDefault="002E0B06" w:rsidP="002E0B06">
            <w:pPr>
              <w:spacing w:line="360" w:lineRule="auto"/>
              <w:jc w:val="both"/>
              <w:rPr>
                <w:rFonts w:ascii="Arial" w:eastAsia="Calibri" w:hAnsi="Arial" w:cs="Arial"/>
                <w:sz w:val="24"/>
                <w:szCs w:val="24"/>
                <w:lang w:val="en-ZA"/>
              </w:rPr>
            </w:pPr>
            <w:r w:rsidRPr="00B243B0">
              <w:rPr>
                <w:rFonts w:ascii="Arial" w:eastAsia="Calibri" w:hAnsi="Arial" w:cs="Arial"/>
                <w:sz w:val="24"/>
                <w:szCs w:val="24"/>
                <w:lang w:val="en-ZA"/>
              </w:rPr>
              <w:t xml:space="preserve">                              JUDGE</w:t>
            </w:r>
          </w:p>
        </w:tc>
      </w:tr>
    </w:tbl>
    <w:p w:rsidR="002E0B06" w:rsidRPr="00B243B0" w:rsidRDefault="002E0B06" w:rsidP="002E0B06">
      <w:pPr>
        <w:spacing w:after="160" w:line="254" w:lineRule="auto"/>
        <w:rPr>
          <w:rFonts w:ascii="Arial" w:eastAsia="Calibri" w:hAnsi="Arial" w:cs="Arial"/>
          <w:sz w:val="24"/>
          <w:szCs w:val="24"/>
          <w:lang w:val="en-ZA"/>
        </w:rPr>
      </w:pPr>
    </w:p>
    <w:p w:rsidR="00D105CC" w:rsidRPr="00B243B0" w:rsidRDefault="00D105CC">
      <w:pPr>
        <w:rPr>
          <w:sz w:val="24"/>
          <w:szCs w:val="24"/>
        </w:rPr>
      </w:pPr>
    </w:p>
    <w:sectPr w:rsidR="00D105CC" w:rsidRPr="00B243B0" w:rsidSect="009E703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A1A" w:rsidRDefault="005E1A1A" w:rsidP="002E0B06">
      <w:pPr>
        <w:spacing w:after="0" w:line="240" w:lineRule="auto"/>
      </w:pPr>
      <w:r>
        <w:separator/>
      </w:r>
    </w:p>
  </w:endnote>
  <w:endnote w:type="continuationSeparator" w:id="0">
    <w:p w:rsidR="005E1A1A" w:rsidRDefault="005E1A1A" w:rsidP="002E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A1A" w:rsidRDefault="005E1A1A" w:rsidP="002E0B06">
      <w:pPr>
        <w:spacing w:after="0" w:line="240" w:lineRule="auto"/>
      </w:pPr>
      <w:r>
        <w:separator/>
      </w:r>
    </w:p>
  </w:footnote>
  <w:footnote w:type="continuationSeparator" w:id="0">
    <w:p w:rsidR="005E1A1A" w:rsidRDefault="005E1A1A" w:rsidP="002E0B06">
      <w:pPr>
        <w:spacing w:after="0" w:line="240" w:lineRule="auto"/>
      </w:pPr>
      <w:r>
        <w:continuationSeparator/>
      </w:r>
    </w:p>
  </w:footnote>
  <w:footnote w:id="1">
    <w:p w:rsidR="00B243B0" w:rsidRPr="00B243B0" w:rsidRDefault="00B243B0">
      <w:pPr>
        <w:pStyle w:val="FootnoteText"/>
        <w:rPr>
          <w:rFonts w:ascii="Arial" w:hAnsi="Arial" w:cs="Arial"/>
          <w:lang w:val="en-US"/>
        </w:rPr>
      </w:pPr>
      <w:r w:rsidRPr="00B243B0">
        <w:rPr>
          <w:rStyle w:val="FootnoteReference"/>
          <w:rFonts w:ascii="Arial" w:hAnsi="Arial" w:cs="Arial"/>
        </w:rPr>
        <w:footnoteRef/>
      </w:r>
      <w:r w:rsidRPr="00B243B0">
        <w:rPr>
          <w:rFonts w:ascii="Arial" w:hAnsi="Arial" w:cs="Arial"/>
        </w:rPr>
        <w:t xml:space="preserve"> </w:t>
      </w:r>
      <w:r w:rsidRPr="00B243B0">
        <w:rPr>
          <w:rFonts w:ascii="Arial" w:hAnsi="Arial" w:cs="Arial"/>
          <w:i/>
          <w:lang w:val="en-US"/>
        </w:rPr>
        <w:t xml:space="preserve">S v Snyders </w:t>
      </w:r>
      <w:r w:rsidRPr="00B243B0">
        <w:rPr>
          <w:rFonts w:ascii="Arial" w:hAnsi="Arial" w:cs="Arial"/>
          <w:lang w:val="en-US"/>
        </w:rPr>
        <w:t>(CR 32/2020) [2020] NAHCMD  173 (12 May 2020)</w:t>
      </w:r>
      <w:r w:rsidR="00530816">
        <w:rPr>
          <w:rFonts w:ascii="Arial" w:hAnsi="Arial" w:cs="Arial"/>
          <w:lang w:val="en-US"/>
        </w:rPr>
        <w:t>.</w:t>
      </w:r>
    </w:p>
  </w:footnote>
  <w:footnote w:id="2">
    <w:p w:rsidR="002E0B06" w:rsidRPr="00B243B0" w:rsidRDefault="002E0B06" w:rsidP="002E0B06">
      <w:pPr>
        <w:pStyle w:val="FootnoteText"/>
        <w:rPr>
          <w:rFonts w:ascii="Arial" w:hAnsi="Arial" w:cs="Arial"/>
          <w:lang w:val="en-GB"/>
        </w:rPr>
      </w:pPr>
      <w:r w:rsidRPr="00B243B0">
        <w:rPr>
          <w:rStyle w:val="FootnoteReference"/>
          <w:rFonts w:ascii="Arial" w:hAnsi="Arial" w:cs="Arial"/>
        </w:rPr>
        <w:footnoteRef/>
      </w:r>
      <w:r w:rsidRPr="00B243B0">
        <w:rPr>
          <w:rFonts w:ascii="Arial" w:hAnsi="Arial" w:cs="Arial"/>
        </w:rPr>
        <w:t xml:space="preserve"> </w:t>
      </w:r>
      <w:r w:rsidR="00B243B0" w:rsidRPr="00B243B0">
        <w:rPr>
          <w:rFonts w:ascii="Arial" w:hAnsi="Arial" w:cs="Arial"/>
          <w:i/>
        </w:rPr>
        <w:t>S v David</w:t>
      </w:r>
      <w:r w:rsidR="00B243B0" w:rsidRPr="00B243B0">
        <w:rPr>
          <w:rFonts w:ascii="Arial" w:hAnsi="Arial" w:cs="Arial"/>
        </w:rPr>
        <w:t xml:space="preserve"> </w:t>
      </w:r>
      <w:r w:rsidRPr="00B243B0">
        <w:rPr>
          <w:rFonts w:ascii="Arial" w:hAnsi="Arial" w:cs="Arial"/>
          <w:lang w:val="en-GB"/>
        </w:rPr>
        <w:t>1994 NR 39 (HC).</w:t>
      </w:r>
    </w:p>
  </w:footnote>
  <w:footnote w:id="3">
    <w:p w:rsidR="002E0B06" w:rsidRPr="00B243B0" w:rsidRDefault="002E0B06" w:rsidP="002E0B06">
      <w:pPr>
        <w:pStyle w:val="FootnoteText"/>
        <w:rPr>
          <w:rFonts w:ascii="Arial" w:hAnsi="Arial" w:cs="Arial"/>
          <w:lang w:val="en-GB"/>
        </w:rPr>
      </w:pPr>
      <w:r w:rsidRPr="00B243B0">
        <w:rPr>
          <w:rStyle w:val="FootnoteReference"/>
          <w:rFonts w:ascii="Arial" w:hAnsi="Arial" w:cs="Arial"/>
        </w:rPr>
        <w:footnoteRef/>
      </w:r>
      <w:r w:rsidRPr="00B243B0">
        <w:rPr>
          <w:rFonts w:ascii="Arial" w:hAnsi="Arial" w:cs="Arial"/>
        </w:rPr>
        <w:t xml:space="preserve"> </w:t>
      </w:r>
      <w:r w:rsidR="00B243B0" w:rsidRPr="00A315B1">
        <w:rPr>
          <w:rFonts w:ascii="Arial" w:hAnsi="Arial" w:cs="Arial"/>
          <w:i/>
        </w:rPr>
        <w:t>S v Markus and Others</w:t>
      </w:r>
      <w:r w:rsidR="00B243B0" w:rsidRPr="00B243B0">
        <w:rPr>
          <w:rFonts w:ascii="Arial" w:hAnsi="Arial" w:cs="Arial"/>
        </w:rPr>
        <w:t xml:space="preserve"> </w:t>
      </w:r>
      <w:r w:rsidRPr="00B243B0">
        <w:rPr>
          <w:rFonts w:ascii="Arial" w:hAnsi="Arial" w:cs="Arial"/>
          <w:lang w:val="en-GB"/>
        </w:rPr>
        <w:t>1992 NR 230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027680"/>
      <w:docPartObj>
        <w:docPartGallery w:val="Page Numbers (Top of Page)"/>
        <w:docPartUnique/>
      </w:docPartObj>
    </w:sdtPr>
    <w:sdtEndPr>
      <w:rPr>
        <w:noProof/>
      </w:rPr>
    </w:sdtEndPr>
    <w:sdtContent>
      <w:p w:rsidR="009E7034" w:rsidRDefault="00874E50">
        <w:pPr>
          <w:pStyle w:val="Header"/>
          <w:jc w:val="right"/>
        </w:pPr>
        <w:r>
          <w:fldChar w:fldCharType="begin"/>
        </w:r>
        <w:r>
          <w:instrText xml:space="preserve"> PAGE   \* MERGEFORMAT </w:instrText>
        </w:r>
        <w:r>
          <w:fldChar w:fldCharType="separate"/>
        </w:r>
        <w:r w:rsidR="00530816">
          <w:rPr>
            <w:noProof/>
          </w:rPr>
          <w:t>4</w:t>
        </w:r>
        <w:r>
          <w:rPr>
            <w:noProof/>
          </w:rPr>
          <w:fldChar w:fldCharType="end"/>
        </w:r>
      </w:p>
    </w:sdtContent>
  </w:sdt>
  <w:p w:rsidR="009E7034" w:rsidRDefault="009E7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119D"/>
    <w:multiLevelType w:val="hybridMultilevel"/>
    <w:tmpl w:val="569C00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6037FA0"/>
    <w:multiLevelType w:val="hybridMultilevel"/>
    <w:tmpl w:val="CEF044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04911D0"/>
    <w:multiLevelType w:val="hybridMultilevel"/>
    <w:tmpl w:val="FDC8902C"/>
    <w:lvl w:ilvl="0" w:tplc="0FFC90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06"/>
    <w:rsid w:val="00021118"/>
    <w:rsid w:val="001A6889"/>
    <w:rsid w:val="001E09CB"/>
    <w:rsid w:val="00211290"/>
    <w:rsid w:val="00214BBC"/>
    <w:rsid w:val="002909B2"/>
    <w:rsid w:val="002A4309"/>
    <w:rsid w:val="002E0B06"/>
    <w:rsid w:val="002E4AE5"/>
    <w:rsid w:val="00302B39"/>
    <w:rsid w:val="00310814"/>
    <w:rsid w:val="00373F78"/>
    <w:rsid w:val="004A163C"/>
    <w:rsid w:val="004E2FAC"/>
    <w:rsid w:val="00502966"/>
    <w:rsid w:val="00530816"/>
    <w:rsid w:val="00552325"/>
    <w:rsid w:val="0059302F"/>
    <w:rsid w:val="005C1AF3"/>
    <w:rsid w:val="005E1A1A"/>
    <w:rsid w:val="00620643"/>
    <w:rsid w:val="00656D10"/>
    <w:rsid w:val="00666530"/>
    <w:rsid w:val="006A4635"/>
    <w:rsid w:val="00730D76"/>
    <w:rsid w:val="00874E50"/>
    <w:rsid w:val="0088376E"/>
    <w:rsid w:val="008929DB"/>
    <w:rsid w:val="008F3467"/>
    <w:rsid w:val="00904D4A"/>
    <w:rsid w:val="009446F2"/>
    <w:rsid w:val="009A055A"/>
    <w:rsid w:val="009B7112"/>
    <w:rsid w:val="009E7034"/>
    <w:rsid w:val="00A0765B"/>
    <w:rsid w:val="00A315B1"/>
    <w:rsid w:val="00A62EF5"/>
    <w:rsid w:val="00B243B0"/>
    <w:rsid w:val="00B262FD"/>
    <w:rsid w:val="00C112D9"/>
    <w:rsid w:val="00C4057B"/>
    <w:rsid w:val="00C864A6"/>
    <w:rsid w:val="00D105CC"/>
    <w:rsid w:val="00D538C4"/>
    <w:rsid w:val="00D54166"/>
    <w:rsid w:val="00DA08D0"/>
    <w:rsid w:val="00E27A7F"/>
    <w:rsid w:val="00EB7A1A"/>
    <w:rsid w:val="00EC22A3"/>
    <w:rsid w:val="00EF40D2"/>
    <w:rsid w:val="00F076A7"/>
    <w:rsid w:val="00F34023"/>
    <w:rsid w:val="00FB4C63"/>
    <w:rsid w:val="00FC6993"/>
    <w:rsid w:val="00FE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73182-13F1-4567-BE40-F64FF17E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0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0B06"/>
  </w:style>
  <w:style w:type="table" w:styleId="TableGrid">
    <w:name w:val="Table Grid"/>
    <w:basedOn w:val="TableNormal"/>
    <w:uiPriority w:val="39"/>
    <w:rsid w:val="002E0B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0B06"/>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2E0B06"/>
    <w:rPr>
      <w:sz w:val="20"/>
      <w:szCs w:val="20"/>
      <w:lang w:val="en-ZA"/>
    </w:rPr>
  </w:style>
  <w:style w:type="character" w:styleId="FootnoteReference">
    <w:name w:val="footnote reference"/>
    <w:basedOn w:val="DefaultParagraphFont"/>
    <w:uiPriority w:val="99"/>
    <w:semiHidden/>
    <w:unhideWhenUsed/>
    <w:rsid w:val="002E0B06"/>
    <w:rPr>
      <w:vertAlign w:val="superscript"/>
    </w:rPr>
  </w:style>
  <w:style w:type="paragraph" w:styleId="BalloonText">
    <w:name w:val="Balloon Text"/>
    <w:basedOn w:val="Normal"/>
    <w:link w:val="BalloonTextChar"/>
    <w:uiPriority w:val="99"/>
    <w:semiHidden/>
    <w:unhideWhenUsed/>
    <w:rsid w:val="002E0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2023-11-01T18:30:00+00:00</Judgment_x0020_Date>
  </documentManagement>
</p:properties>
</file>

<file path=customXml/itemProps1.xml><?xml version="1.0" encoding="utf-8"?>
<ds:datastoreItem xmlns:ds="http://schemas.openxmlformats.org/officeDocument/2006/customXml" ds:itemID="{56210F09-A7BC-4A4F-8F89-4DC00F97C51A}"/>
</file>

<file path=customXml/itemProps2.xml><?xml version="1.0" encoding="utf-8"?>
<ds:datastoreItem xmlns:ds="http://schemas.openxmlformats.org/officeDocument/2006/customXml" ds:itemID="{5C3EE689-C0CF-49B9-9390-A08DBB261CDA}"/>
</file>

<file path=customXml/itemProps3.xml><?xml version="1.0" encoding="utf-8"?>
<ds:datastoreItem xmlns:ds="http://schemas.openxmlformats.org/officeDocument/2006/customXml" ds:itemID="{9F8CD08E-2A17-4211-B854-CECDD7406E83}"/>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Haiduwa (CR 39-2023) [2023] NAHCNLD 116 (2 November  2023)</dc:title>
  <dc:creator>Billy M. Lutaka</dc:creator>
  <cp:lastModifiedBy>Hilma Shigwedha</cp:lastModifiedBy>
  <cp:revision>2</cp:revision>
  <cp:lastPrinted>2023-10-26T11:27:00Z</cp:lastPrinted>
  <dcterms:created xsi:type="dcterms:W3CDTF">2023-11-02T13:47:00Z</dcterms:created>
  <dcterms:modified xsi:type="dcterms:W3CDTF">2023-11-02T13:47:00Z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