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bookmarkStart w:id="0" w:name="_GoBack"/>
      <w:bookmarkEnd w:id="0"/>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3CC9390C" w:rsidR="005E2973" w:rsidRPr="0087185D" w:rsidRDefault="00B16FB3">
            <w:pPr>
              <w:spacing w:line="240" w:lineRule="auto"/>
              <w:jc w:val="both"/>
              <w:rPr>
                <w:rFonts w:ascii="Arial" w:hAnsi="Arial" w:cs="Arial"/>
                <w:b/>
                <w:sz w:val="24"/>
                <w:szCs w:val="24"/>
              </w:rPr>
            </w:pPr>
            <w:r w:rsidRPr="0087185D">
              <w:rPr>
                <w:rFonts w:ascii="Arial" w:hAnsi="Arial" w:cs="Arial"/>
                <w:i/>
                <w:sz w:val="24"/>
                <w:szCs w:val="24"/>
              </w:rPr>
              <w:t xml:space="preserve"> </w:t>
            </w:r>
            <w:r w:rsidR="008F21EB">
              <w:rPr>
                <w:rFonts w:ascii="Arial" w:hAnsi="Arial" w:cs="Arial"/>
                <w:i/>
                <w:sz w:val="24"/>
                <w:szCs w:val="24"/>
              </w:rPr>
              <w:t xml:space="preserve">The State v </w:t>
            </w:r>
            <w:r w:rsidR="006F03F7">
              <w:rPr>
                <w:rFonts w:ascii="Arial" w:hAnsi="Arial" w:cs="Arial"/>
                <w:i/>
                <w:sz w:val="24"/>
                <w:szCs w:val="24"/>
              </w:rPr>
              <w:t>Kamaariurika Ngueezeta</w:t>
            </w:r>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55988ABB" w:rsidR="005E2973" w:rsidRPr="0087185D" w:rsidRDefault="005E2973">
            <w:pPr>
              <w:spacing w:line="240" w:lineRule="auto"/>
              <w:jc w:val="both"/>
              <w:rPr>
                <w:rFonts w:ascii="Arial" w:hAnsi="Arial" w:cs="Arial"/>
                <w:bCs/>
                <w:sz w:val="24"/>
                <w:szCs w:val="24"/>
              </w:rPr>
            </w:pPr>
            <w:r w:rsidRPr="0087185D">
              <w:rPr>
                <w:rFonts w:ascii="Arial" w:hAnsi="Arial" w:cs="Arial"/>
                <w:bCs/>
                <w:sz w:val="24"/>
                <w:szCs w:val="24"/>
              </w:rPr>
              <w:t>C</w:t>
            </w:r>
            <w:r w:rsidR="001F3AE3">
              <w:rPr>
                <w:rFonts w:ascii="Arial" w:hAnsi="Arial" w:cs="Arial"/>
                <w:bCs/>
                <w:sz w:val="24"/>
                <w:szCs w:val="24"/>
              </w:rPr>
              <w:t>ase No.</w:t>
            </w:r>
            <w:r w:rsidRPr="0087185D">
              <w:rPr>
                <w:rFonts w:ascii="Arial" w:hAnsi="Arial" w:cs="Arial"/>
                <w:bCs/>
                <w:sz w:val="24"/>
                <w:szCs w:val="24"/>
              </w:rPr>
              <w:t xml:space="preserve">: </w:t>
            </w:r>
            <w:r w:rsidR="00387859">
              <w:rPr>
                <w:rFonts w:ascii="Arial" w:hAnsi="Arial" w:cs="Arial"/>
                <w:bCs/>
                <w:sz w:val="24"/>
                <w:szCs w:val="24"/>
              </w:rPr>
              <w:t>25</w:t>
            </w:r>
            <w:r w:rsidR="00A87D90">
              <w:rPr>
                <w:rFonts w:ascii="Arial" w:hAnsi="Arial" w:cs="Arial"/>
                <w:bCs/>
                <w:sz w:val="24"/>
                <w:szCs w:val="24"/>
              </w:rPr>
              <w:t>/2023</w:t>
            </w:r>
          </w:p>
          <w:p w14:paraId="1F6162C3" w14:textId="14503BD0" w:rsidR="005E2973" w:rsidRPr="001F3AE3" w:rsidRDefault="001F3AE3">
            <w:pPr>
              <w:spacing w:line="240" w:lineRule="auto"/>
              <w:jc w:val="both"/>
              <w:rPr>
                <w:rFonts w:ascii="Arial" w:hAnsi="Arial" w:cs="Arial"/>
                <w:sz w:val="24"/>
                <w:szCs w:val="24"/>
              </w:rPr>
            </w:pPr>
            <w:r>
              <w:rPr>
                <w:rFonts w:ascii="Arial" w:hAnsi="Arial" w:cs="Arial"/>
                <w:b/>
                <w:sz w:val="24"/>
                <w:szCs w:val="24"/>
              </w:rPr>
              <w:t>O</w:t>
            </w:r>
            <w:r w:rsidR="00A240AE">
              <w:rPr>
                <w:rFonts w:ascii="Arial" w:hAnsi="Arial" w:cs="Arial"/>
                <w:b/>
                <w:sz w:val="24"/>
                <w:szCs w:val="24"/>
              </w:rPr>
              <w:t>puwo</w:t>
            </w:r>
            <w:r>
              <w:rPr>
                <w:rFonts w:ascii="Arial" w:hAnsi="Arial" w:cs="Arial"/>
                <w:sz w:val="24"/>
                <w:szCs w:val="24"/>
              </w:rPr>
              <w:t xml:space="preserve">: </w:t>
            </w:r>
            <w:r w:rsidR="002732A3">
              <w:rPr>
                <w:rFonts w:ascii="Arial" w:hAnsi="Arial" w:cs="Arial"/>
                <w:sz w:val="24"/>
                <w:szCs w:val="24"/>
              </w:rPr>
              <w:t>OPU-CRM-</w:t>
            </w:r>
            <w:r w:rsidR="000546D4">
              <w:rPr>
                <w:rFonts w:ascii="Arial" w:hAnsi="Arial" w:cs="Arial"/>
                <w:sz w:val="24"/>
                <w:szCs w:val="24"/>
              </w:rPr>
              <w:t>1</w:t>
            </w:r>
            <w:r w:rsidR="00C0139C">
              <w:rPr>
                <w:rFonts w:ascii="Arial" w:hAnsi="Arial" w:cs="Arial"/>
                <w:sz w:val="24"/>
                <w:szCs w:val="24"/>
              </w:rPr>
              <w:t>303</w:t>
            </w:r>
            <w:r w:rsidR="002732A3">
              <w:rPr>
                <w:rFonts w:ascii="Arial" w:hAnsi="Arial" w:cs="Arial"/>
                <w:sz w:val="24"/>
                <w:szCs w:val="24"/>
              </w:rPr>
              <w:t>/2021</w:t>
            </w:r>
          </w:p>
          <w:p w14:paraId="7616839D" w14:textId="77777777" w:rsidR="005E2973" w:rsidRPr="0087185D" w:rsidRDefault="005E2973">
            <w:pPr>
              <w:spacing w:line="240" w:lineRule="auto"/>
              <w:jc w:val="both"/>
              <w:rPr>
                <w:rFonts w:ascii="Arial" w:hAnsi="Arial" w:cs="Arial"/>
                <w:b/>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08549AA6" w:rsidR="00876019" w:rsidRPr="0087185D" w:rsidRDefault="002900F7" w:rsidP="00A10DCB">
            <w:pPr>
              <w:spacing w:line="240" w:lineRule="auto"/>
              <w:jc w:val="both"/>
              <w:rPr>
                <w:rFonts w:ascii="Arial" w:hAnsi="Arial" w:cs="Arial"/>
                <w:b/>
                <w:sz w:val="24"/>
                <w:szCs w:val="24"/>
              </w:rPr>
            </w:pPr>
            <w:r>
              <w:rPr>
                <w:rFonts w:ascii="Arial" w:hAnsi="Arial" w:cs="Arial"/>
                <w:sz w:val="24"/>
                <w:szCs w:val="24"/>
              </w:rPr>
              <w:t xml:space="preserve"> </w:t>
            </w:r>
            <w:r w:rsidR="00100402">
              <w:rPr>
                <w:rFonts w:ascii="Arial" w:hAnsi="Arial" w:cs="Arial"/>
                <w:sz w:val="24"/>
                <w:szCs w:val="24"/>
              </w:rPr>
              <w:t xml:space="preserve"> </w:t>
            </w:r>
            <w:r w:rsidR="00126F69">
              <w:rPr>
                <w:rFonts w:ascii="Arial" w:hAnsi="Arial" w:cs="Arial"/>
                <w:sz w:val="24"/>
                <w:szCs w:val="24"/>
              </w:rPr>
              <w:t>06 July</w:t>
            </w:r>
            <w:r w:rsidR="006F03F7">
              <w:rPr>
                <w:rFonts w:ascii="Arial" w:hAnsi="Arial" w:cs="Arial"/>
                <w:sz w:val="24"/>
                <w:szCs w:val="24"/>
              </w:rPr>
              <w:t xml:space="preserve"> 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70D76AC5"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 xml:space="preserve">S v </w:t>
            </w:r>
            <w:r w:rsidR="00C0139C">
              <w:rPr>
                <w:rFonts w:ascii="Arial" w:hAnsi="Arial" w:cs="Arial"/>
                <w:i/>
                <w:sz w:val="24"/>
                <w:szCs w:val="24"/>
              </w:rPr>
              <w:t>Ngueezeta</w:t>
            </w:r>
            <w:r w:rsidR="007F6EE0" w:rsidRPr="00F0097B">
              <w:rPr>
                <w:rFonts w:ascii="Arial" w:hAnsi="Arial" w:cs="Arial"/>
                <w:i/>
                <w:sz w:val="24"/>
                <w:szCs w:val="24"/>
              </w:rPr>
              <w:t xml:space="preserve"> </w:t>
            </w:r>
            <w:r w:rsidRPr="00F0097B">
              <w:rPr>
                <w:rFonts w:ascii="Arial" w:hAnsi="Arial" w:cs="Arial"/>
                <w:i/>
                <w:sz w:val="24"/>
                <w:szCs w:val="24"/>
              </w:rPr>
              <w:t xml:space="preserve"> </w:t>
            </w:r>
            <w:r w:rsidR="00326F81" w:rsidRPr="00F0097B">
              <w:rPr>
                <w:rFonts w:ascii="Arial" w:hAnsi="Arial" w:cs="Arial"/>
                <w:sz w:val="24"/>
                <w:szCs w:val="24"/>
              </w:rPr>
              <w:t>(CR</w:t>
            </w:r>
            <w:r w:rsidR="005E2973" w:rsidRPr="00F0097B">
              <w:rPr>
                <w:rFonts w:ascii="Arial" w:hAnsi="Arial" w:cs="Arial"/>
                <w:sz w:val="24"/>
                <w:szCs w:val="24"/>
              </w:rPr>
              <w:t xml:space="preserve"> </w:t>
            </w:r>
            <w:r w:rsidR="00387859">
              <w:rPr>
                <w:rFonts w:ascii="Arial" w:hAnsi="Arial" w:cs="Arial"/>
                <w:sz w:val="24"/>
                <w:szCs w:val="24"/>
              </w:rPr>
              <w:t>25</w:t>
            </w:r>
            <w:r w:rsidR="00A87D90">
              <w:rPr>
                <w:rFonts w:ascii="Arial" w:hAnsi="Arial" w:cs="Arial"/>
                <w:sz w:val="24"/>
                <w:szCs w:val="24"/>
              </w:rPr>
              <w:t>/2023</w:t>
            </w:r>
            <w:r w:rsidRPr="0087185D">
              <w:rPr>
                <w:rFonts w:ascii="Arial" w:hAnsi="Arial" w:cs="Arial"/>
                <w:sz w:val="24"/>
                <w:szCs w:val="24"/>
              </w:rPr>
              <w:t>) [202</w:t>
            </w:r>
            <w:r w:rsidR="00A87D90">
              <w:rPr>
                <w:rFonts w:ascii="Arial" w:hAnsi="Arial" w:cs="Arial"/>
                <w:sz w:val="24"/>
                <w:szCs w:val="24"/>
              </w:rPr>
              <w:t>3</w:t>
            </w:r>
            <w:r w:rsidRPr="0087185D">
              <w:rPr>
                <w:rFonts w:ascii="Arial" w:hAnsi="Arial" w:cs="Arial"/>
                <w:sz w:val="24"/>
                <w:szCs w:val="24"/>
              </w:rPr>
              <w:t xml:space="preserve">] </w:t>
            </w:r>
            <w:r w:rsidR="00126F69">
              <w:rPr>
                <w:rFonts w:ascii="Arial" w:hAnsi="Arial" w:cs="Arial"/>
                <w:sz w:val="24"/>
                <w:szCs w:val="24"/>
              </w:rPr>
              <w:t xml:space="preserve">NAHCNLD 60 </w:t>
            </w:r>
            <w:r w:rsidRPr="0087185D">
              <w:rPr>
                <w:rFonts w:ascii="Arial" w:hAnsi="Arial" w:cs="Arial"/>
                <w:sz w:val="24"/>
                <w:szCs w:val="24"/>
              </w:rPr>
              <w:t>(</w:t>
            </w:r>
            <w:r w:rsidR="00387859">
              <w:rPr>
                <w:rFonts w:ascii="Arial" w:hAnsi="Arial" w:cs="Arial"/>
                <w:sz w:val="24"/>
                <w:szCs w:val="24"/>
              </w:rPr>
              <w:t>06 July</w:t>
            </w:r>
            <w:r w:rsidR="006F03F7">
              <w:rPr>
                <w:rFonts w:ascii="Arial" w:hAnsi="Arial" w:cs="Arial"/>
                <w:sz w:val="24"/>
                <w:szCs w:val="24"/>
              </w:rPr>
              <w:t xml:space="preserve"> 2023</w:t>
            </w:r>
            <w:r w:rsidRPr="0087185D">
              <w:rPr>
                <w:rFonts w:ascii="Arial" w:hAnsi="Arial" w:cs="Arial"/>
                <w:sz w:val="24"/>
                <w:szCs w:val="24"/>
              </w:rPr>
              <w:t>)</w:t>
            </w:r>
          </w:p>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3E919C9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4A811C63" w14:textId="7E392699" w:rsidR="006760F9" w:rsidRPr="006760F9" w:rsidRDefault="006760F9" w:rsidP="006760F9">
            <w:pPr>
              <w:pStyle w:val="ListParagraph"/>
              <w:numPr>
                <w:ilvl w:val="0"/>
                <w:numId w:val="13"/>
              </w:numPr>
              <w:spacing w:before="240" w:after="0" w:line="360" w:lineRule="auto"/>
              <w:jc w:val="both"/>
              <w:rPr>
                <w:color w:val="000000"/>
                <w:sz w:val="24"/>
                <w:szCs w:val="24"/>
              </w:rPr>
            </w:pPr>
            <w:r w:rsidRPr="006760F9">
              <w:rPr>
                <w:color w:val="000000"/>
                <w:sz w:val="24"/>
                <w:szCs w:val="24"/>
              </w:rPr>
              <w:t>The sentence is set aside.</w:t>
            </w:r>
          </w:p>
          <w:p w14:paraId="562AE791" w14:textId="77777777" w:rsidR="006760F9" w:rsidRPr="006760F9" w:rsidRDefault="006760F9" w:rsidP="006760F9">
            <w:pPr>
              <w:pStyle w:val="ListParagraph"/>
              <w:numPr>
                <w:ilvl w:val="0"/>
                <w:numId w:val="13"/>
              </w:numPr>
              <w:spacing w:before="240" w:after="0" w:line="360" w:lineRule="auto"/>
              <w:jc w:val="both"/>
              <w:rPr>
                <w:color w:val="000000"/>
                <w:sz w:val="24"/>
                <w:szCs w:val="24"/>
              </w:rPr>
            </w:pPr>
            <w:r w:rsidRPr="006760F9">
              <w:rPr>
                <w:color w:val="000000"/>
                <w:sz w:val="24"/>
                <w:szCs w:val="24"/>
              </w:rPr>
              <w:t>The matter is remitted to the Magistrate or, if no longer available, any other Magistrate in terms of section 275 of the CPA, to comply with the guidelines in this judgment.</w:t>
            </w:r>
          </w:p>
          <w:p w14:paraId="477C3777" w14:textId="730A0CFB" w:rsidR="00C572BC" w:rsidRPr="00440690" w:rsidRDefault="006760F9" w:rsidP="00853C76">
            <w:pPr>
              <w:pStyle w:val="ListParagraph"/>
              <w:numPr>
                <w:ilvl w:val="0"/>
                <w:numId w:val="13"/>
              </w:numPr>
              <w:spacing w:before="240" w:after="0" w:line="360" w:lineRule="auto"/>
              <w:jc w:val="both"/>
              <w:rPr>
                <w:color w:val="000000"/>
                <w:sz w:val="24"/>
                <w:szCs w:val="24"/>
              </w:rPr>
            </w:pPr>
            <w:r w:rsidRPr="006760F9">
              <w:rPr>
                <w:color w:val="000000"/>
                <w:sz w:val="24"/>
                <w:szCs w:val="24"/>
              </w:rPr>
              <w:t xml:space="preserve">Upon sentencing </w:t>
            </w:r>
            <w:r w:rsidR="00853C76">
              <w:rPr>
                <w:color w:val="000000"/>
                <w:sz w:val="24"/>
                <w:szCs w:val="24"/>
              </w:rPr>
              <w:t xml:space="preserve">the </w:t>
            </w:r>
            <w:r w:rsidRPr="006760F9">
              <w:rPr>
                <w:color w:val="000000"/>
                <w:sz w:val="24"/>
                <w:szCs w:val="24"/>
              </w:rPr>
              <w:t>accused afresh, the court must take into account the period</w:t>
            </w:r>
            <w:r w:rsidR="00605130">
              <w:rPr>
                <w:color w:val="000000"/>
                <w:sz w:val="24"/>
                <w:szCs w:val="24"/>
              </w:rPr>
              <w:t xml:space="preserve"> of imprisonment</w:t>
            </w:r>
            <w:r w:rsidRPr="006760F9">
              <w:rPr>
                <w:color w:val="000000"/>
                <w:sz w:val="24"/>
                <w:szCs w:val="24"/>
              </w:rPr>
              <w:t xml:space="preserve"> </w:t>
            </w:r>
            <w:r w:rsidR="00853C76">
              <w:rPr>
                <w:color w:val="000000"/>
                <w:sz w:val="24"/>
                <w:szCs w:val="24"/>
              </w:rPr>
              <w:t xml:space="preserve">already </w:t>
            </w:r>
            <w:r w:rsidRPr="006760F9">
              <w:rPr>
                <w:color w:val="000000"/>
                <w:sz w:val="24"/>
                <w:szCs w:val="24"/>
              </w:rPr>
              <w:t>served by the accused</w:t>
            </w:r>
            <w:r w:rsidR="00853C76">
              <w:rPr>
                <w:color w:val="000000"/>
                <w:sz w:val="24"/>
                <w:szCs w:val="24"/>
              </w:rPr>
              <w:t xml:space="preserve"> in the matter</w:t>
            </w:r>
            <w:r w:rsidRPr="006760F9">
              <w:rPr>
                <w:color w:val="000000"/>
                <w:sz w:val="24"/>
                <w:szCs w:val="24"/>
              </w:rPr>
              <w:t xml:space="preserve">.    </w:t>
            </w:r>
            <w:r w:rsidR="00A237F2" w:rsidRPr="00A237F2">
              <w:rPr>
                <w:color w:val="000000"/>
                <w:sz w:val="24"/>
                <w:szCs w:val="24"/>
              </w:rPr>
              <w:t xml:space="preserve"> </w:t>
            </w:r>
            <w:r w:rsidR="00C572BC" w:rsidRPr="00440690">
              <w:rPr>
                <w:color w:val="000000"/>
                <w:sz w:val="24"/>
                <w:szCs w:val="24"/>
              </w:rPr>
              <w:t xml:space="preserve"> </w:t>
            </w:r>
            <w:r w:rsidR="00C572BC" w:rsidRPr="00440690">
              <w:rPr>
                <w:sz w:val="24"/>
                <w:szCs w:val="24"/>
              </w:rPr>
              <w:t xml:space="preserve">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73DC48C6" w:rsidR="00876019" w:rsidRPr="0087185D" w:rsidRDefault="00B16FB3" w:rsidP="00B937C1">
            <w:pPr>
              <w:pStyle w:val="ListParagraph"/>
              <w:tabs>
                <w:tab w:val="left" w:pos="851"/>
              </w:tabs>
              <w:spacing w:after="0" w:line="360" w:lineRule="auto"/>
              <w:ind w:left="0"/>
              <w:jc w:val="both"/>
              <w:rPr>
                <w:bCs/>
                <w:sz w:val="24"/>
                <w:szCs w:val="24"/>
              </w:rPr>
            </w:pPr>
            <w:r w:rsidRPr="0087185D">
              <w:rPr>
                <w:bCs/>
                <w:sz w:val="24"/>
                <w:szCs w:val="24"/>
              </w:rPr>
              <w:t xml:space="preserve"> </w:t>
            </w:r>
            <w:r w:rsidR="00B234F7"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39540B14" w14:textId="1DD4B9D6" w:rsidR="005B45AB" w:rsidRPr="0087185D" w:rsidRDefault="008C13E4" w:rsidP="00B937C1">
            <w:pPr>
              <w:tabs>
                <w:tab w:val="left" w:pos="851"/>
              </w:tabs>
              <w:spacing w:after="0" w:line="360" w:lineRule="auto"/>
              <w:jc w:val="both"/>
              <w:rPr>
                <w:rFonts w:ascii="Arial" w:hAnsi="Arial" w:cs="Arial"/>
                <w:bCs/>
                <w:sz w:val="24"/>
                <w:szCs w:val="24"/>
              </w:rPr>
            </w:pPr>
            <w:r w:rsidRPr="0087185D">
              <w:rPr>
                <w:rFonts w:ascii="Arial" w:hAnsi="Arial" w:cs="Arial"/>
                <w:bCs/>
                <w:sz w:val="24"/>
                <w:szCs w:val="24"/>
              </w:rPr>
              <w:lastRenderedPageBreak/>
              <w:t>[1]</w:t>
            </w:r>
            <w:r w:rsidR="00A45709">
              <w:rPr>
                <w:rFonts w:ascii="Arial" w:hAnsi="Arial" w:cs="Arial"/>
                <w:bCs/>
                <w:sz w:val="24"/>
                <w:szCs w:val="24"/>
              </w:rPr>
              <w:tab/>
            </w:r>
            <w:r w:rsidR="009D0858" w:rsidRPr="0087185D">
              <w:rPr>
                <w:rFonts w:ascii="Arial" w:hAnsi="Arial" w:cs="Arial"/>
                <w:bCs/>
                <w:sz w:val="24"/>
                <w:szCs w:val="24"/>
              </w:rPr>
              <w:t xml:space="preserve">The matter </w:t>
            </w:r>
            <w:r w:rsidR="008B3F3D">
              <w:rPr>
                <w:rFonts w:ascii="Arial" w:hAnsi="Arial" w:cs="Arial"/>
                <w:bCs/>
                <w:sz w:val="24"/>
                <w:szCs w:val="24"/>
              </w:rPr>
              <w:t>is making a second appearance</w:t>
            </w:r>
            <w:r w:rsidR="009D0858" w:rsidRPr="0087185D">
              <w:rPr>
                <w:rFonts w:ascii="Arial" w:hAnsi="Arial" w:cs="Arial"/>
                <w:bCs/>
                <w:sz w:val="24"/>
                <w:szCs w:val="24"/>
              </w:rPr>
              <w:t xml:space="preserve"> before this court</w:t>
            </w:r>
            <w:r w:rsidR="00093637" w:rsidRPr="0087185D">
              <w:rPr>
                <w:rFonts w:ascii="Arial" w:hAnsi="Arial" w:cs="Arial"/>
                <w:bCs/>
                <w:sz w:val="24"/>
                <w:szCs w:val="24"/>
              </w:rPr>
              <w:t xml:space="preserve"> </w:t>
            </w:r>
            <w:r w:rsidR="00AA57B2" w:rsidRPr="0087185D">
              <w:rPr>
                <w:rFonts w:ascii="Arial" w:hAnsi="Arial" w:cs="Arial"/>
                <w:bCs/>
                <w:sz w:val="24"/>
                <w:szCs w:val="24"/>
              </w:rPr>
              <w:t>on</w:t>
            </w:r>
            <w:r w:rsidR="00093637" w:rsidRPr="0087185D">
              <w:rPr>
                <w:rFonts w:ascii="Arial" w:hAnsi="Arial" w:cs="Arial"/>
                <w:bCs/>
                <w:sz w:val="24"/>
                <w:szCs w:val="24"/>
              </w:rPr>
              <w:t xml:space="preserve"> review</w:t>
            </w:r>
            <w:r w:rsidR="009D0858" w:rsidRPr="0087185D">
              <w:rPr>
                <w:rFonts w:ascii="Arial" w:hAnsi="Arial" w:cs="Arial"/>
                <w:bCs/>
                <w:sz w:val="24"/>
                <w:szCs w:val="24"/>
              </w:rPr>
              <w:t xml:space="preserve"> </w:t>
            </w:r>
            <w:r w:rsidR="005B45AB" w:rsidRPr="0087185D">
              <w:rPr>
                <w:rFonts w:ascii="Arial" w:hAnsi="Arial" w:cs="Arial"/>
                <w:bCs/>
                <w:sz w:val="24"/>
                <w:szCs w:val="24"/>
              </w:rPr>
              <w:t xml:space="preserve">in terms of </w:t>
            </w:r>
            <w:r w:rsidR="0087185D" w:rsidRPr="0087185D">
              <w:rPr>
                <w:rFonts w:ascii="Arial" w:hAnsi="Arial" w:cs="Arial"/>
                <w:bCs/>
                <w:sz w:val="24"/>
                <w:szCs w:val="24"/>
              </w:rPr>
              <w:t xml:space="preserve">Section 302 of </w:t>
            </w:r>
            <w:r w:rsidR="005B45AB" w:rsidRPr="0087185D">
              <w:rPr>
                <w:rFonts w:ascii="Arial" w:hAnsi="Arial" w:cs="Arial"/>
                <w:bCs/>
                <w:sz w:val="24"/>
                <w:szCs w:val="24"/>
              </w:rPr>
              <w:t>the Criminal Procedure Act 51 of 1977</w:t>
            </w:r>
            <w:r w:rsidR="00737813">
              <w:rPr>
                <w:rFonts w:ascii="Arial" w:hAnsi="Arial" w:cs="Arial"/>
                <w:bCs/>
                <w:sz w:val="24"/>
                <w:szCs w:val="24"/>
              </w:rPr>
              <w:t>,</w:t>
            </w:r>
            <w:r w:rsidR="005B45AB" w:rsidRPr="0087185D">
              <w:rPr>
                <w:rFonts w:ascii="Arial" w:hAnsi="Arial" w:cs="Arial"/>
                <w:bCs/>
                <w:sz w:val="24"/>
                <w:szCs w:val="24"/>
              </w:rPr>
              <w:t xml:space="preserve"> as amended (the CPA).</w:t>
            </w:r>
            <w:r w:rsidR="00411CF7">
              <w:rPr>
                <w:rFonts w:ascii="Arial" w:hAnsi="Arial" w:cs="Arial"/>
                <w:bCs/>
                <w:sz w:val="24"/>
                <w:szCs w:val="24"/>
              </w:rPr>
              <w:t xml:space="preserve"> </w:t>
            </w:r>
            <w:r w:rsidR="008B3F3D" w:rsidRPr="008B3F3D">
              <w:rPr>
                <w:rFonts w:ascii="Arial" w:hAnsi="Arial" w:cs="Arial"/>
                <w:bCs/>
                <w:sz w:val="24"/>
                <w:szCs w:val="24"/>
              </w:rPr>
              <w:t>T</w:t>
            </w:r>
            <w:r w:rsidR="004D1D0F">
              <w:rPr>
                <w:rFonts w:ascii="Arial" w:hAnsi="Arial" w:cs="Arial"/>
                <w:bCs/>
                <w:sz w:val="24"/>
                <w:szCs w:val="24"/>
              </w:rPr>
              <w:t>wo</w:t>
            </w:r>
            <w:r w:rsidR="008B3F3D" w:rsidRPr="008B3F3D">
              <w:rPr>
                <w:rFonts w:ascii="Arial" w:hAnsi="Arial" w:cs="Arial"/>
                <w:bCs/>
                <w:sz w:val="24"/>
                <w:szCs w:val="24"/>
              </w:rPr>
              <w:t xml:space="preserve"> accused w</w:t>
            </w:r>
            <w:r w:rsidR="004D1D0F">
              <w:rPr>
                <w:rFonts w:ascii="Arial" w:hAnsi="Arial" w:cs="Arial"/>
                <w:bCs/>
                <w:sz w:val="24"/>
                <w:szCs w:val="24"/>
              </w:rPr>
              <w:t>ere</w:t>
            </w:r>
            <w:r w:rsidR="008B3F3D" w:rsidRPr="008B3F3D">
              <w:rPr>
                <w:rFonts w:ascii="Arial" w:hAnsi="Arial" w:cs="Arial"/>
                <w:bCs/>
                <w:sz w:val="24"/>
                <w:szCs w:val="24"/>
              </w:rPr>
              <w:t xml:space="preserve"> charged in the Magistrates Court of Opuwo with stock theft read with the provisions of the Stock theft Act 12 of 1990 as amended (The Act). The accused </w:t>
            </w:r>
            <w:r w:rsidR="008B3F3D">
              <w:rPr>
                <w:rFonts w:ascii="Arial" w:hAnsi="Arial" w:cs="Arial"/>
                <w:bCs/>
                <w:sz w:val="24"/>
                <w:szCs w:val="24"/>
              </w:rPr>
              <w:t>p</w:t>
            </w:r>
            <w:r w:rsidR="008B3F3D" w:rsidRPr="008B3F3D">
              <w:rPr>
                <w:rFonts w:ascii="Arial" w:hAnsi="Arial" w:cs="Arial"/>
                <w:bCs/>
                <w:sz w:val="24"/>
                <w:szCs w:val="24"/>
              </w:rPr>
              <w:t>lead</w:t>
            </w:r>
            <w:r w:rsidR="008B3F3D">
              <w:rPr>
                <w:rFonts w:ascii="Arial" w:hAnsi="Arial" w:cs="Arial"/>
                <w:bCs/>
                <w:sz w:val="24"/>
                <w:szCs w:val="24"/>
              </w:rPr>
              <w:t>ed</w:t>
            </w:r>
            <w:r w:rsidR="008B3F3D" w:rsidRPr="008B3F3D">
              <w:rPr>
                <w:rFonts w:ascii="Arial" w:hAnsi="Arial" w:cs="Arial"/>
                <w:bCs/>
                <w:sz w:val="24"/>
                <w:szCs w:val="24"/>
              </w:rPr>
              <w:t xml:space="preserve"> guilty, w</w:t>
            </w:r>
            <w:r w:rsidR="004D1D0F">
              <w:rPr>
                <w:rFonts w:ascii="Arial" w:hAnsi="Arial" w:cs="Arial"/>
                <w:bCs/>
                <w:sz w:val="24"/>
                <w:szCs w:val="24"/>
              </w:rPr>
              <w:t>ere</w:t>
            </w:r>
            <w:r w:rsidR="008B3F3D">
              <w:rPr>
                <w:rFonts w:ascii="Arial" w:hAnsi="Arial" w:cs="Arial"/>
                <w:bCs/>
                <w:sz w:val="24"/>
                <w:szCs w:val="24"/>
              </w:rPr>
              <w:t xml:space="preserve"> </w:t>
            </w:r>
            <w:r w:rsidR="008B3F3D" w:rsidRPr="008B3F3D">
              <w:rPr>
                <w:rFonts w:ascii="Arial" w:hAnsi="Arial" w:cs="Arial"/>
                <w:bCs/>
                <w:sz w:val="24"/>
                <w:szCs w:val="24"/>
              </w:rPr>
              <w:t>questioned in terms of section 112(1) (b) of the CPA and subsequently convicted on the theft of one goat with a value of N$ 200</w:t>
            </w:r>
            <w:r w:rsidR="008B3F3D">
              <w:rPr>
                <w:rFonts w:ascii="Arial" w:hAnsi="Arial" w:cs="Arial"/>
                <w:bCs/>
                <w:sz w:val="24"/>
                <w:szCs w:val="24"/>
              </w:rPr>
              <w:t>.</w:t>
            </w:r>
          </w:p>
          <w:p w14:paraId="6839CAD7" w14:textId="77777777" w:rsidR="005B45AB" w:rsidRPr="0087185D" w:rsidRDefault="005B45AB" w:rsidP="00B937C1">
            <w:pPr>
              <w:pStyle w:val="ListParagraph"/>
              <w:tabs>
                <w:tab w:val="left" w:pos="851"/>
              </w:tabs>
              <w:spacing w:after="0" w:line="360" w:lineRule="auto"/>
              <w:ind w:left="0"/>
              <w:jc w:val="both"/>
              <w:rPr>
                <w:bCs/>
                <w:sz w:val="24"/>
                <w:szCs w:val="24"/>
              </w:rPr>
            </w:pPr>
          </w:p>
          <w:p w14:paraId="53B6E913" w14:textId="48942B0A" w:rsidR="00572E1C" w:rsidRDefault="008C13E4" w:rsidP="00572E1C">
            <w:pPr>
              <w:tabs>
                <w:tab w:val="left" w:pos="851"/>
              </w:tabs>
              <w:spacing w:after="0" w:line="360" w:lineRule="auto"/>
              <w:jc w:val="both"/>
              <w:rPr>
                <w:rFonts w:ascii="Arial" w:hAnsi="Arial" w:cs="Arial"/>
                <w:bCs/>
                <w:sz w:val="24"/>
                <w:szCs w:val="24"/>
              </w:rPr>
            </w:pPr>
            <w:r w:rsidRPr="0087185D">
              <w:rPr>
                <w:rFonts w:ascii="Arial" w:hAnsi="Arial" w:cs="Arial"/>
                <w:bCs/>
                <w:sz w:val="24"/>
                <w:szCs w:val="24"/>
              </w:rPr>
              <w:t>[2]</w:t>
            </w:r>
            <w:r w:rsidR="00A45709">
              <w:rPr>
                <w:rFonts w:ascii="Arial" w:hAnsi="Arial" w:cs="Arial"/>
                <w:bCs/>
                <w:sz w:val="24"/>
                <w:szCs w:val="24"/>
              </w:rPr>
              <w:tab/>
            </w:r>
            <w:r w:rsidR="008B3F3D">
              <w:rPr>
                <w:rFonts w:ascii="Arial" w:hAnsi="Arial" w:cs="Arial"/>
                <w:bCs/>
                <w:sz w:val="24"/>
                <w:szCs w:val="24"/>
              </w:rPr>
              <w:t>When the matter came on review previously the sentence imposed for accused 1 was set aside</w:t>
            </w:r>
            <w:r w:rsidR="004D1D0F">
              <w:rPr>
                <w:rFonts w:ascii="Arial" w:hAnsi="Arial" w:cs="Arial"/>
                <w:bCs/>
                <w:sz w:val="24"/>
                <w:szCs w:val="24"/>
              </w:rPr>
              <w:t xml:space="preserve"> while the sentence for accused 2, who had a relevant previous conviction was confirmed. Directions were</w:t>
            </w:r>
            <w:r w:rsidR="008B3F3D">
              <w:rPr>
                <w:rFonts w:ascii="Arial" w:hAnsi="Arial" w:cs="Arial"/>
                <w:bCs/>
                <w:sz w:val="24"/>
                <w:szCs w:val="24"/>
              </w:rPr>
              <w:t xml:space="preserve"> given that considering the value involved on a charge of stock</w:t>
            </w:r>
            <w:r w:rsidR="00EA4FE6">
              <w:rPr>
                <w:rFonts w:ascii="Arial" w:hAnsi="Arial" w:cs="Arial"/>
                <w:bCs/>
                <w:sz w:val="24"/>
                <w:szCs w:val="24"/>
              </w:rPr>
              <w:t xml:space="preserve"> </w:t>
            </w:r>
            <w:r w:rsidR="008B3F3D">
              <w:rPr>
                <w:rFonts w:ascii="Arial" w:hAnsi="Arial" w:cs="Arial"/>
                <w:bCs/>
                <w:sz w:val="24"/>
                <w:szCs w:val="24"/>
              </w:rPr>
              <w:t>theft of less than N$ 500 the magistrate should comply with the Stock Theft Act by explaining the provision</w:t>
            </w:r>
            <w:r w:rsidR="004D1D0F">
              <w:rPr>
                <w:rStyle w:val="FootnoteReference"/>
                <w:rFonts w:ascii="Arial" w:hAnsi="Arial" w:cs="Arial"/>
                <w:bCs/>
                <w:sz w:val="24"/>
                <w:szCs w:val="24"/>
              </w:rPr>
              <w:footnoteReference w:id="1"/>
            </w:r>
            <w:r w:rsidR="008B3F3D">
              <w:rPr>
                <w:rFonts w:ascii="Arial" w:hAnsi="Arial" w:cs="Arial"/>
                <w:bCs/>
                <w:sz w:val="24"/>
                <w:szCs w:val="24"/>
              </w:rPr>
              <w:t xml:space="preserve"> of substantial and compelling circumstances to the accused, give him the opportunity to address the court on such and thereafter make a decision if substantial and compelling circumstances are present, note these on the record and sentence </w:t>
            </w:r>
            <w:r w:rsidR="00EA4FE6">
              <w:rPr>
                <w:rFonts w:ascii="Arial" w:hAnsi="Arial" w:cs="Arial"/>
                <w:bCs/>
                <w:sz w:val="24"/>
                <w:szCs w:val="24"/>
              </w:rPr>
              <w:t xml:space="preserve">him </w:t>
            </w:r>
            <w:r w:rsidR="008B3F3D">
              <w:rPr>
                <w:rFonts w:ascii="Arial" w:hAnsi="Arial" w:cs="Arial"/>
                <w:bCs/>
                <w:sz w:val="24"/>
                <w:szCs w:val="24"/>
              </w:rPr>
              <w:t>accordingly.</w:t>
            </w:r>
            <w:r w:rsidR="008B3F3D">
              <w:rPr>
                <w:rStyle w:val="FootnoteReference"/>
                <w:rFonts w:ascii="Arial" w:hAnsi="Arial" w:cs="Arial"/>
                <w:bCs/>
                <w:sz w:val="24"/>
                <w:szCs w:val="24"/>
              </w:rPr>
              <w:footnoteReference w:id="2"/>
            </w:r>
            <w:r w:rsidR="004573C3">
              <w:rPr>
                <w:rFonts w:ascii="Arial" w:hAnsi="Arial" w:cs="Arial"/>
                <w:bCs/>
                <w:sz w:val="24"/>
                <w:szCs w:val="24"/>
              </w:rPr>
              <w:t xml:space="preserve">  </w:t>
            </w:r>
          </w:p>
          <w:p w14:paraId="7BA06D2A" w14:textId="77777777" w:rsidR="00F0097B" w:rsidRDefault="00F0097B" w:rsidP="00853C76">
            <w:pPr>
              <w:tabs>
                <w:tab w:val="left" w:pos="851"/>
              </w:tabs>
              <w:spacing w:after="0" w:line="360" w:lineRule="auto"/>
              <w:jc w:val="both"/>
              <w:rPr>
                <w:rFonts w:ascii="Arial" w:hAnsi="Arial" w:cs="Arial"/>
                <w:bCs/>
                <w:sz w:val="24"/>
                <w:szCs w:val="24"/>
              </w:rPr>
            </w:pPr>
          </w:p>
          <w:p w14:paraId="7FC93702" w14:textId="77777777" w:rsidR="004D1D0F" w:rsidRDefault="008C13E4" w:rsidP="00853C76">
            <w:pPr>
              <w:spacing w:after="0" w:line="360" w:lineRule="auto"/>
              <w:jc w:val="both"/>
              <w:rPr>
                <w:rFonts w:ascii="Arial" w:hAnsi="Arial" w:cs="Arial"/>
                <w:bCs/>
                <w:sz w:val="24"/>
                <w:szCs w:val="24"/>
              </w:rPr>
            </w:pPr>
            <w:r w:rsidRPr="00572E1C">
              <w:rPr>
                <w:rFonts w:ascii="Arial" w:hAnsi="Arial" w:cs="Arial"/>
                <w:bCs/>
                <w:sz w:val="24"/>
                <w:szCs w:val="24"/>
              </w:rPr>
              <w:t>[</w:t>
            </w:r>
            <w:r w:rsidR="00E818B3">
              <w:rPr>
                <w:rFonts w:ascii="Arial" w:hAnsi="Arial" w:cs="Arial"/>
                <w:bCs/>
                <w:sz w:val="24"/>
                <w:szCs w:val="24"/>
              </w:rPr>
              <w:t>3</w:t>
            </w:r>
            <w:r w:rsidRPr="00572E1C">
              <w:rPr>
                <w:rFonts w:ascii="Arial" w:hAnsi="Arial" w:cs="Arial"/>
                <w:bCs/>
                <w:sz w:val="24"/>
                <w:szCs w:val="24"/>
              </w:rPr>
              <w:t>]</w:t>
            </w:r>
            <w:r w:rsidR="00A45709">
              <w:rPr>
                <w:rFonts w:ascii="Arial" w:hAnsi="Arial" w:cs="Arial"/>
                <w:bCs/>
                <w:sz w:val="24"/>
                <w:szCs w:val="24"/>
              </w:rPr>
              <w:tab/>
            </w:r>
            <w:r w:rsidR="00851F22">
              <w:rPr>
                <w:rFonts w:ascii="Arial" w:hAnsi="Arial" w:cs="Arial"/>
                <w:bCs/>
                <w:sz w:val="24"/>
                <w:szCs w:val="24"/>
              </w:rPr>
              <w:t xml:space="preserve">  </w:t>
            </w:r>
            <w:r w:rsidR="004D1D0F">
              <w:rPr>
                <w:rFonts w:ascii="Arial" w:hAnsi="Arial" w:cs="Arial"/>
                <w:bCs/>
                <w:sz w:val="24"/>
                <w:szCs w:val="24"/>
              </w:rPr>
              <w:t>Upon receiving the matter this time and noticing that there was no compliance with the direction the</w:t>
            </w:r>
            <w:r w:rsidR="00FB0E2C">
              <w:rPr>
                <w:rFonts w:ascii="Arial" w:hAnsi="Arial" w:cs="Arial"/>
                <w:bCs/>
                <w:sz w:val="24"/>
                <w:szCs w:val="24"/>
              </w:rPr>
              <w:t xml:space="preserve"> magistrate was queried</w:t>
            </w:r>
            <w:r w:rsidR="004D1D0F">
              <w:rPr>
                <w:rFonts w:ascii="Arial" w:hAnsi="Arial" w:cs="Arial"/>
                <w:bCs/>
                <w:sz w:val="24"/>
                <w:szCs w:val="24"/>
              </w:rPr>
              <w:t xml:space="preserve"> </w:t>
            </w:r>
            <w:r w:rsidR="00FB0E2C">
              <w:rPr>
                <w:rFonts w:ascii="Arial" w:hAnsi="Arial" w:cs="Arial"/>
                <w:bCs/>
                <w:sz w:val="24"/>
                <w:szCs w:val="24"/>
              </w:rPr>
              <w:t>as follows:</w:t>
            </w:r>
          </w:p>
          <w:p w14:paraId="214426F0" w14:textId="77777777" w:rsidR="004D1D0F" w:rsidRDefault="00737813" w:rsidP="00853C76">
            <w:pPr>
              <w:spacing w:after="0" w:line="360" w:lineRule="auto"/>
              <w:jc w:val="both"/>
              <w:rPr>
                <w:rFonts w:ascii="Arial" w:hAnsi="Arial" w:cs="Arial"/>
                <w:bCs/>
              </w:rPr>
            </w:pPr>
            <w:r w:rsidRPr="003E543D">
              <w:rPr>
                <w:rFonts w:ascii="Arial" w:hAnsi="Arial" w:cs="Arial"/>
                <w:bCs/>
              </w:rPr>
              <w:t xml:space="preserve"> </w:t>
            </w:r>
            <w:r w:rsidR="004D1D0F" w:rsidRPr="004D1D0F">
              <w:rPr>
                <w:rFonts w:ascii="Arial" w:hAnsi="Arial" w:cs="Arial"/>
                <w:bCs/>
              </w:rPr>
              <w:t xml:space="preserve">‘1. </w:t>
            </w:r>
            <w:r w:rsidR="00A6571A" w:rsidRPr="004D1D0F">
              <w:rPr>
                <w:rFonts w:ascii="Arial" w:hAnsi="Arial" w:cs="Arial"/>
                <w:bCs/>
              </w:rPr>
              <w:t>Can Magistrate Amutenya explain why the sentence was imposed without following the guidelines as per the review judgement delivered previously in this matter i.e. to explain ‘substantial and compelling circumstances and proceed accordingly?</w:t>
            </w:r>
            <w:r w:rsidR="004D1D0F">
              <w:rPr>
                <w:rFonts w:ascii="Arial" w:hAnsi="Arial" w:cs="Arial"/>
                <w:bCs/>
              </w:rPr>
              <w:t xml:space="preserve"> </w:t>
            </w:r>
          </w:p>
          <w:p w14:paraId="0070F77D" w14:textId="0575B0B7" w:rsidR="00A6571A" w:rsidRPr="004D1D0F" w:rsidRDefault="004D1D0F" w:rsidP="00853C76">
            <w:pPr>
              <w:spacing w:after="0" w:line="360" w:lineRule="auto"/>
              <w:jc w:val="both"/>
              <w:rPr>
                <w:rFonts w:ascii="Arial" w:hAnsi="Arial" w:cs="Arial"/>
                <w:bCs/>
              </w:rPr>
            </w:pPr>
            <w:r>
              <w:rPr>
                <w:rFonts w:ascii="Arial" w:hAnsi="Arial" w:cs="Arial"/>
                <w:bCs/>
              </w:rPr>
              <w:t xml:space="preserve">2. </w:t>
            </w:r>
            <w:r w:rsidR="00A6571A" w:rsidRPr="004D1D0F">
              <w:rPr>
                <w:rFonts w:ascii="Arial" w:hAnsi="Arial" w:cs="Arial"/>
                <w:bCs/>
              </w:rPr>
              <w:t xml:space="preserve">The sentence reads: ‘Twelve (12) months direct imprisonment </w:t>
            </w:r>
            <w:r w:rsidR="00A6571A" w:rsidRPr="004D1D0F">
              <w:rPr>
                <w:rFonts w:ascii="Arial" w:hAnsi="Arial" w:cs="Arial"/>
                <w:bCs/>
                <w:u w:val="single"/>
              </w:rPr>
              <w:t>of which</w:t>
            </w:r>
            <w:r w:rsidR="00A6571A" w:rsidRPr="004D1D0F">
              <w:rPr>
                <w:rFonts w:ascii="Arial" w:hAnsi="Arial" w:cs="Arial"/>
                <w:bCs/>
              </w:rPr>
              <w:t xml:space="preserve"> is wholly suspended for a period . . .’  Is the magistrate satisfied that this is a competent sentence?</w:t>
            </w:r>
            <w:r>
              <w:rPr>
                <w:rFonts w:ascii="Arial" w:hAnsi="Arial" w:cs="Arial"/>
                <w:bCs/>
              </w:rPr>
              <w:t>’</w:t>
            </w:r>
          </w:p>
          <w:p w14:paraId="45A1DDC1" w14:textId="77777777" w:rsidR="003E543D" w:rsidRPr="003E543D" w:rsidRDefault="003E543D" w:rsidP="003E543D">
            <w:pPr>
              <w:spacing w:after="0" w:line="360" w:lineRule="auto"/>
              <w:ind w:left="810"/>
              <w:jc w:val="both"/>
              <w:rPr>
                <w:rFonts w:ascii="Arial" w:hAnsi="Arial" w:cs="Arial"/>
                <w:bCs/>
                <w:sz w:val="24"/>
                <w:szCs w:val="24"/>
              </w:rPr>
            </w:pPr>
          </w:p>
          <w:p w14:paraId="54C7CDA3" w14:textId="2A58D866" w:rsidR="006760F9" w:rsidRDefault="00747B17" w:rsidP="00572E1C">
            <w:pPr>
              <w:tabs>
                <w:tab w:val="left" w:pos="851"/>
              </w:tabs>
              <w:spacing w:after="0" w:line="360" w:lineRule="auto"/>
              <w:jc w:val="both"/>
              <w:rPr>
                <w:rFonts w:ascii="Arial" w:hAnsi="Arial" w:cs="Arial"/>
                <w:bCs/>
                <w:sz w:val="24"/>
                <w:szCs w:val="24"/>
              </w:rPr>
            </w:pPr>
            <w:r w:rsidRPr="00C572BC">
              <w:rPr>
                <w:rFonts w:ascii="Arial" w:hAnsi="Arial" w:cs="Arial"/>
                <w:bCs/>
                <w:sz w:val="24"/>
                <w:szCs w:val="24"/>
              </w:rPr>
              <w:t>[</w:t>
            </w:r>
            <w:r w:rsidR="00E818B3">
              <w:rPr>
                <w:rFonts w:ascii="Arial" w:hAnsi="Arial" w:cs="Arial"/>
                <w:bCs/>
                <w:sz w:val="24"/>
                <w:szCs w:val="24"/>
              </w:rPr>
              <w:t>4</w:t>
            </w:r>
            <w:r w:rsidRPr="00C572BC">
              <w:rPr>
                <w:rFonts w:ascii="Arial" w:hAnsi="Arial" w:cs="Arial"/>
                <w:bCs/>
                <w:sz w:val="24"/>
                <w:szCs w:val="24"/>
              </w:rPr>
              <w:t>]</w:t>
            </w:r>
            <w:r w:rsidR="00A45709" w:rsidRPr="00C572BC">
              <w:rPr>
                <w:rFonts w:ascii="Arial" w:hAnsi="Arial" w:cs="Arial"/>
                <w:bCs/>
                <w:sz w:val="24"/>
                <w:szCs w:val="24"/>
              </w:rPr>
              <w:tab/>
            </w:r>
            <w:r w:rsidR="004573C3">
              <w:rPr>
                <w:rFonts w:ascii="Arial" w:hAnsi="Arial" w:cs="Arial"/>
                <w:bCs/>
                <w:sz w:val="24"/>
                <w:szCs w:val="24"/>
              </w:rPr>
              <w:t xml:space="preserve"> </w:t>
            </w:r>
            <w:r w:rsidR="00274978" w:rsidRPr="00C572BC">
              <w:rPr>
                <w:rFonts w:ascii="Arial" w:hAnsi="Arial" w:cs="Arial"/>
                <w:bCs/>
                <w:sz w:val="24"/>
                <w:szCs w:val="24"/>
              </w:rPr>
              <w:t>T</w:t>
            </w:r>
            <w:r w:rsidR="00D2153A" w:rsidRPr="00C572BC">
              <w:rPr>
                <w:rFonts w:ascii="Arial" w:hAnsi="Arial" w:cs="Arial"/>
                <w:bCs/>
                <w:sz w:val="24"/>
                <w:szCs w:val="24"/>
              </w:rPr>
              <w:t>he</w:t>
            </w:r>
            <w:r w:rsidR="00C572BC">
              <w:rPr>
                <w:rFonts w:ascii="Arial" w:hAnsi="Arial" w:cs="Arial"/>
                <w:bCs/>
                <w:sz w:val="24"/>
                <w:szCs w:val="24"/>
              </w:rPr>
              <w:t xml:space="preserve"> magistrate </w:t>
            </w:r>
            <w:r w:rsidR="009B3FF1">
              <w:rPr>
                <w:rFonts w:ascii="Arial" w:hAnsi="Arial" w:cs="Arial"/>
                <w:bCs/>
                <w:sz w:val="24"/>
                <w:szCs w:val="24"/>
              </w:rPr>
              <w:t>in reply stated</w:t>
            </w:r>
            <w:r w:rsidR="004573C3">
              <w:rPr>
                <w:rFonts w:ascii="Arial" w:hAnsi="Arial" w:cs="Arial"/>
                <w:bCs/>
                <w:sz w:val="24"/>
                <w:szCs w:val="24"/>
              </w:rPr>
              <w:t xml:space="preserve"> that:</w:t>
            </w:r>
          </w:p>
          <w:p w14:paraId="200ED3B3" w14:textId="77777777" w:rsidR="00A6571A" w:rsidRDefault="004573C3" w:rsidP="00572E1C">
            <w:pPr>
              <w:tabs>
                <w:tab w:val="left" w:pos="851"/>
              </w:tabs>
              <w:spacing w:after="0" w:line="360" w:lineRule="auto"/>
              <w:jc w:val="both"/>
              <w:rPr>
                <w:rFonts w:ascii="Arial" w:hAnsi="Arial" w:cs="Arial"/>
                <w:bCs/>
              </w:rPr>
            </w:pPr>
            <w:r w:rsidRPr="004573C3">
              <w:rPr>
                <w:rFonts w:ascii="Arial" w:hAnsi="Arial" w:cs="Arial"/>
                <w:bCs/>
              </w:rPr>
              <w:t>‘</w:t>
            </w:r>
            <w:r w:rsidRPr="00EA4FE6">
              <w:rPr>
                <w:rFonts w:ascii="Arial" w:hAnsi="Arial" w:cs="Arial"/>
                <w:bCs/>
              </w:rPr>
              <w:t xml:space="preserve">The </w:t>
            </w:r>
            <w:r w:rsidR="00A6571A" w:rsidRPr="00EA4FE6">
              <w:rPr>
                <w:rFonts w:ascii="Arial" w:hAnsi="Arial" w:cs="Arial"/>
                <w:bCs/>
              </w:rPr>
              <w:t>learned</w:t>
            </w:r>
            <w:r w:rsidR="00A6571A">
              <w:rPr>
                <w:rFonts w:ascii="Arial" w:hAnsi="Arial" w:cs="Arial"/>
                <w:bCs/>
              </w:rPr>
              <w:t xml:space="preserve"> </w:t>
            </w:r>
            <w:r w:rsidRPr="004573C3">
              <w:rPr>
                <w:rFonts w:ascii="Arial" w:hAnsi="Arial" w:cs="Arial"/>
                <w:bCs/>
              </w:rPr>
              <w:t>Magistrate</w:t>
            </w:r>
            <w:r w:rsidR="00A6571A">
              <w:rPr>
                <w:rFonts w:ascii="Arial" w:hAnsi="Arial" w:cs="Arial"/>
                <w:bCs/>
              </w:rPr>
              <w:t xml:space="preserve"> made an omission to explain the substantial and compelling circumstances to the accused person.</w:t>
            </w:r>
          </w:p>
          <w:p w14:paraId="5F5412F8" w14:textId="02ADD55F" w:rsidR="00C572BC" w:rsidRDefault="00A6571A" w:rsidP="00572E1C">
            <w:pPr>
              <w:tabs>
                <w:tab w:val="left" w:pos="851"/>
              </w:tabs>
              <w:spacing w:after="0" w:line="360" w:lineRule="auto"/>
              <w:jc w:val="both"/>
              <w:rPr>
                <w:rFonts w:ascii="Arial" w:hAnsi="Arial" w:cs="Arial"/>
                <w:bCs/>
                <w:sz w:val="24"/>
                <w:szCs w:val="24"/>
              </w:rPr>
            </w:pPr>
            <w:r w:rsidRPr="00EA4FE6">
              <w:rPr>
                <w:rFonts w:ascii="Arial" w:hAnsi="Arial" w:cs="Arial"/>
                <w:bCs/>
              </w:rPr>
              <w:t>The learned Magistrate</w:t>
            </w:r>
            <w:r>
              <w:rPr>
                <w:rFonts w:ascii="Arial" w:hAnsi="Arial" w:cs="Arial"/>
                <w:bCs/>
              </w:rPr>
              <w:t xml:space="preserve"> acknowledges that a wording of which as part of the sentence renders the sentence imposed incomplete. The wording of the sentence was supposed to read: Count 1- Contravening Section 11(1)(a) of the 12 of 1990-Stock Theft- 12 months imprisonment wholly suspended for a period of three years on the condition accused is not convicted of Contravening Section 11 (1)(a) of the 12 of 1990-Stock Theft committed during the period of suspension.</w:t>
            </w:r>
            <w:r w:rsidR="004573C3">
              <w:rPr>
                <w:rFonts w:ascii="Arial" w:hAnsi="Arial" w:cs="Arial"/>
                <w:bCs/>
                <w:sz w:val="24"/>
                <w:szCs w:val="24"/>
              </w:rPr>
              <w:t>’</w:t>
            </w:r>
            <w:r w:rsidR="006760F9">
              <w:rPr>
                <w:rFonts w:ascii="Arial" w:hAnsi="Arial" w:cs="Arial"/>
                <w:bCs/>
                <w:sz w:val="24"/>
                <w:szCs w:val="24"/>
              </w:rPr>
              <w:t xml:space="preserve"> </w:t>
            </w:r>
            <w:r w:rsidR="003E543D">
              <w:rPr>
                <w:rFonts w:ascii="Arial" w:hAnsi="Arial" w:cs="Arial"/>
                <w:bCs/>
                <w:sz w:val="24"/>
                <w:szCs w:val="24"/>
              </w:rPr>
              <w:t xml:space="preserve"> </w:t>
            </w:r>
          </w:p>
          <w:p w14:paraId="1EDAD867" w14:textId="77777777" w:rsidR="003E543D" w:rsidRDefault="003E543D" w:rsidP="00572E1C">
            <w:pPr>
              <w:tabs>
                <w:tab w:val="left" w:pos="851"/>
              </w:tabs>
              <w:spacing w:after="0" w:line="360" w:lineRule="auto"/>
              <w:jc w:val="both"/>
              <w:rPr>
                <w:rFonts w:ascii="Arial" w:hAnsi="Arial" w:cs="Arial"/>
                <w:bCs/>
                <w:iCs/>
                <w:sz w:val="24"/>
                <w:szCs w:val="24"/>
              </w:rPr>
            </w:pPr>
          </w:p>
          <w:p w14:paraId="2FDAD243" w14:textId="519A6A8C" w:rsidR="009B3FF1" w:rsidRDefault="00BA73CD" w:rsidP="009B3FF1">
            <w:pPr>
              <w:tabs>
                <w:tab w:val="left" w:pos="851"/>
              </w:tabs>
              <w:spacing w:after="0" w:line="360" w:lineRule="auto"/>
              <w:jc w:val="both"/>
              <w:rPr>
                <w:rFonts w:ascii="Arial" w:hAnsi="Arial" w:cs="Arial"/>
                <w:bCs/>
                <w:sz w:val="24"/>
                <w:szCs w:val="24"/>
              </w:rPr>
            </w:pPr>
            <w:r>
              <w:rPr>
                <w:rFonts w:ascii="Arial" w:hAnsi="Arial" w:cs="Arial"/>
                <w:bCs/>
                <w:iCs/>
                <w:sz w:val="24"/>
                <w:szCs w:val="24"/>
              </w:rPr>
              <w:t>[</w:t>
            </w:r>
            <w:r w:rsidR="00E818B3">
              <w:rPr>
                <w:rFonts w:ascii="Arial" w:hAnsi="Arial" w:cs="Arial"/>
                <w:bCs/>
                <w:iCs/>
                <w:sz w:val="24"/>
                <w:szCs w:val="24"/>
              </w:rPr>
              <w:t>5</w:t>
            </w:r>
            <w:r>
              <w:rPr>
                <w:rFonts w:ascii="Arial" w:hAnsi="Arial" w:cs="Arial"/>
                <w:bCs/>
                <w:iCs/>
                <w:sz w:val="24"/>
                <w:szCs w:val="24"/>
              </w:rPr>
              <w:t xml:space="preserve">]         </w:t>
            </w:r>
            <w:r w:rsidR="00E818B3">
              <w:rPr>
                <w:rFonts w:ascii="Arial" w:hAnsi="Arial" w:cs="Arial"/>
                <w:bCs/>
                <w:iCs/>
                <w:sz w:val="24"/>
                <w:szCs w:val="24"/>
              </w:rPr>
              <w:t xml:space="preserve"> </w:t>
            </w:r>
            <w:r w:rsidR="00716BCD" w:rsidRPr="00716BCD">
              <w:rPr>
                <w:rFonts w:ascii="Arial" w:hAnsi="Arial" w:cs="Arial"/>
                <w:bCs/>
                <w:sz w:val="24"/>
                <w:szCs w:val="24"/>
              </w:rPr>
              <w:t xml:space="preserve"> </w:t>
            </w:r>
            <w:r w:rsidR="00853C76">
              <w:rPr>
                <w:rFonts w:ascii="Arial" w:hAnsi="Arial" w:cs="Arial"/>
                <w:bCs/>
                <w:sz w:val="24"/>
                <w:szCs w:val="24"/>
              </w:rPr>
              <w:t>When the matter appeared in the lower court for re-sentencing,</w:t>
            </w:r>
            <w:r w:rsidR="000F3FC2">
              <w:rPr>
                <w:rFonts w:ascii="Arial" w:hAnsi="Arial" w:cs="Arial"/>
                <w:bCs/>
                <w:sz w:val="24"/>
                <w:szCs w:val="24"/>
              </w:rPr>
              <w:t xml:space="preserve"> </w:t>
            </w:r>
            <w:r w:rsidR="00EA4FE6">
              <w:rPr>
                <w:rFonts w:ascii="Arial" w:hAnsi="Arial" w:cs="Arial"/>
                <w:bCs/>
                <w:sz w:val="24"/>
                <w:szCs w:val="24"/>
              </w:rPr>
              <w:t>after the initial review</w:t>
            </w:r>
            <w:r w:rsidR="00853C76">
              <w:rPr>
                <w:rFonts w:ascii="Arial" w:hAnsi="Arial" w:cs="Arial"/>
                <w:bCs/>
                <w:sz w:val="24"/>
                <w:szCs w:val="24"/>
              </w:rPr>
              <w:t xml:space="preserve">, </w:t>
            </w:r>
            <w:r w:rsidR="000F3FC2">
              <w:rPr>
                <w:rFonts w:ascii="Arial" w:hAnsi="Arial" w:cs="Arial"/>
                <w:bCs/>
                <w:sz w:val="24"/>
                <w:szCs w:val="24"/>
              </w:rPr>
              <w:t xml:space="preserve">the </w:t>
            </w:r>
            <w:r w:rsidR="00CC73B9">
              <w:rPr>
                <w:rFonts w:ascii="Arial" w:hAnsi="Arial" w:cs="Arial"/>
                <w:bCs/>
                <w:sz w:val="24"/>
                <w:szCs w:val="24"/>
              </w:rPr>
              <w:t>State indicated that the sentence ‘should be revisited looking at the value of the stock involved and the imprisonment the accused person was given.’ Neither the prosecutor nor the magistrate bothered to read the review judgment and</w:t>
            </w:r>
            <w:r w:rsidR="00D01490">
              <w:rPr>
                <w:rFonts w:ascii="Arial" w:hAnsi="Arial" w:cs="Arial"/>
                <w:bCs/>
                <w:sz w:val="24"/>
                <w:szCs w:val="24"/>
              </w:rPr>
              <w:t xml:space="preserve"> ignorantly </w:t>
            </w:r>
            <w:r w:rsidR="00CC73B9">
              <w:rPr>
                <w:rFonts w:ascii="Arial" w:hAnsi="Arial" w:cs="Arial"/>
                <w:bCs/>
                <w:sz w:val="24"/>
                <w:szCs w:val="24"/>
              </w:rPr>
              <w:t>proceeded with sentencing afresh while mentioning ‘his personal circumstances, the time he spends in custody awaiting review judgment and the values of the stock involved’. (sic)</w:t>
            </w:r>
            <w:r w:rsidR="004573C3">
              <w:rPr>
                <w:rFonts w:ascii="Arial" w:hAnsi="Arial" w:cs="Arial"/>
                <w:bCs/>
                <w:sz w:val="24"/>
                <w:szCs w:val="24"/>
              </w:rPr>
              <w:t xml:space="preserve"> </w:t>
            </w:r>
          </w:p>
          <w:p w14:paraId="22B7132F" w14:textId="77777777" w:rsidR="009B3FF1" w:rsidRDefault="009B3FF1" w:rsidP="009B3FF1">
            <w:pPr>
              <w:tabs>
                <w:tab w:val="left" w:pos="851"/>
              </w:tabs>
              <w:spacing w:after="0" w:line="360" w:lineRule="auto"/>
              <w:jc w:val="both"/>
              <w:rPr>
                <w:rFonts w:ascii="Arial" w:hAnsi="Arial" w:cs="Arial"/>
                <w:bCs/>
                <w:sz w:val="24"/>
                <w:szCs w:val="24"/>
              </w:rPr>
            </w:pPr>
          </w:p>
          <w:p w14:paraId="531BC978" w14:textId="75E0CE93" w:rsidR="00AF77F2" w:rsidRDefault="009B3FF1" w:rsidP="00716BCD">
            <w:pPr>
              <w:tabs>
                <w:tab w:val="left" w:pos="851"/>
              </w:tabs>
              <w:spacing w:after="0" w:line="360" w:lineRule="auto"/>
              <w:jc w:val="both"/>
              <w:rPr>
                <w:rFonts w:ascii="Arial" w:hAnsi="Arial" w:cs="Arial"/>
                <w:bCs/>
                <w:iCs/>
                <w:sz w:val="24"/>
                <w:szCs w:val="24"/>
              </w:rPr>
            </w:pPr>
            <w:r w:rsidRPr="009B3FF1">
              <w:rPr>
                <w:rFonts w:ascii="Arial" w:hAnsi="Arial" w:cs="Arial"/>
                <w:bCs/>
                <w:iCs/>
                <w:sz w:val="24"/>
                <w:szCs w:val="24"/>
              </w:rPr>
              <w:t>[</w:t>
            </w:r>
            <w:r w:rsidR="00AF77F2">
              <w:rPr>
                <w:rFonts w:ascii="Arial" w:hAnsi="Arial" w:cs="Arial"/>
                <w:bCs/>
                <w:iCs/>
                <w:sz w:val="24"/>
                <w:szCs w:val="24"/>
              </w:rPr>
              <w:t>6</w:t>
            </w:r>
            <w:r w:rsidRPr="009B3FF1">
              <w:rPr>
                <w:rFonts w:ascii="Arial" w:hAnsi="Arial" w:cs="Arial"/>
                <w:bCs/>
                <w:iCs/>
                <w:sz w:val="24"/>
                <w:szCs w:val="24"/>
              </w:rPr>
              <w:t xml:space="preserve">]      </w:t>
            </w:r>
            <w:r w:rsidRPr="009B3FF1">
              <w:rPr>
                <w:rFonts w:ascii="Arial" w:hAnsi="Arial" w:cs="Arial"/>
                <w:bCs/>
                <w:iCs/>
                <w:sz w:val="24"/>
                <w:szCs w:val="24"/>
                <w:lang w:val="en-ZA"/>
              </w:rPr>
              <w:t xml:space="preserve"> </w:t>
            </w:r>
            <w:r w:rsidR="000F3FC2">
              <w:rPr>
                <w:rFonts w:ascii="Arial" w:hAnsi="Arial" w:cs="Arial"/>
                <w:bCs/>
                <w:iCs/>
                <w:sz w:val="24"/>
                <w:szCs w:val="24"/>
                <w:lang w:val="en-ZA"/>
              </w:rPr>
              <w:t xml:space="preserve">    </w:t>
            </w:r>
            <w:r w:rsidR="004573C3">
              <w:rPr>
                <w:rFonts w:ascii="Arial" w:hAnsi="Arial" w:cs="Arial"/>
                <w:bCs/>
                <w:sz w:val="24"/>
                <w:szCs w:val="24"/>
              </w:rPr>
              <w:t>In</w:t>
            </w:r>
            <w:r w:rsidR="00716BCD" w:rsidRPr="00716BCD">
              <w:rPr>
                <w:rFonts w:ascii="Arial" w:hAnsi="Arial" w:cs="Arial"/>
                <w:bCs/>
                <w:iCs/>
                <w:sz w:val="24"/>
                <w:szCs w:val="24"/>
              </w:rPr>
              <w:t xml:space="preserve"> </w:t>
            </w:r>
            <w:r w:rsidR="00716BCD" w:rsidRPr="00716BCD">
              <w:rPr>
                <w:rFonts w:ascii="Arial" w:hAnsi="Arial" w:cs="Arial"/>
                <w:bCs/>
                <w:i/>
                <w:iCs/>
                <w:sz w:val="24"/>
                <w:szCs w:val="24"/>
              </w:rPr>
              <w:t>S v Tjiveze</w:t>
            </w:r>
            <w:r w:rsidR="00716BCD" w:rsidRPr="00716BCD">
              <w:rPr>
                <w:rFonts w:ascii="Arial" w:hAnsi="Arial" w:cs="Arial"/>
                <w:bCs/>
                <w:i/>
                <w:iCs/>
                <w:sz w:val="24"/>
                <w:szCs w:val="24"/>
                <w:vertAlign w:val="superscript"/>
              </w:rPr>
              <w:footnoteReference w:id="3"/>
            </w:r>
            <w:r w:rsidR="004573C3">
              <w:rPr>
                <w:rFonts w:ascii="Arial" w:hAnsi="Arial" w:cs="Arial"/>
                <w:bCs/>
                <w:i/>
                <w:iCs/>
                <w:sz w:val="24"/>
                <w:szCs w:val="24"/>
              </w:rPr>
              <w:t xml:space="preserve"> </w:t>
            </w:r>
            <w:r w:rsidR="004573C3">
              <w:rPr>
                <w:rFonts w:ascii="Arial" w:hAnsi="Arial" w:cs="Arial"/>
                <w:bCs/>
                <w:iCs/>
                <w:sz w:val="24"/>
                <w:szCs w:val="24"/>
              </w:rPr>
              <w:t xml:space="preserve">the </w:t>
            </w:r>
            <w:r w:rsidR="00212D99">
              <w:rPr>
                <w:rFonts w:ascii="Arial" w:hAnsi="Arial" w:cs="Arial"/>
                <w:bCs/>
                <w:iCs/>
                <w:sz w:val="24"/>
                <w:szCs w:val="24"/>
              </w:rPr>
              <w:t>current sentencing position</w:t>
            </w:r>
            <w:r w:rsidR="008508FA">
              <w:rPr>
                <w:rFonts w:ascii="Arial" w:hAnsi="Arial" w:cs="Arial"/>
                <w:bCs/>
                <w:iCs/>
                <w:sz w:val="24"/>
                <w:szCs w:val="24"/>
              </w:rPr>
              <w:t>, when the value is less than N$ 500,</w:t>
            </w:r>
            <w:r w:rsidR="00212D99">
              <w:rPr>
                <w:rFonts w:ascii="Arial" w:hAnsi="Arial" w:cs="Arial"/>
                <w:bCs/>
                <w:iCs/>
                <w:sz w:val="24"/>
                <w:szCs w:val="24"/>
              </w:rPr>
              <w:t xml:space="preserve"> was described in the following terms: </w:t>
            </w:r>
          </w:p>
          <w:p w14:paraId="0785414F" w14:textId="6C0CE538" w:rsidR="00716BCD" w:rsidRPr="00E97957" w:rsidRDefault="00212D99" w:rsidP="00716BCD">
            <w:pPr>
              <w:tabs>
                <w:tab w:val="left" w:pos="851"/>
              </w:tabs>
              <w:spacing w:after="0" w:line="360" w:lineRule="auto"/>
              <w:jc w:val="both"/>
              <w:rPr>
                <w:rFonts w:ascii="Arial" w:hAnsi="Arial" w:cs="Arial"/>
                <w:bCs/>
                <w:iCs/>
              </w:rPr>
            </w:pPr>
            <w:r>
              <w:rPr>
                <w:rFonts w:ascii="Arial" w:hAnsi="Arial" w:cs="Arial"/>
                <w:bCs/>
                <w:iCs/>
                <w:sz w:val="24"/>
                <w:szCs w:val="24"/>
              </w:rPr>
              <w:t>‘</w:t>
            </w:r>
            <w:r w:rsidR="00716BCD" w:rsidRPr="00E97957">
              <w:rPr>
                <w:rFonts w:ascii="Arial" w:hAnsi="Arial" w:cs="Arial"/>
                <w:bCs/>
                <w:iCs/>
              </w:rPr>
              <w:t>To sum up, the position in relation to sentence for first offenders in terms of section 14 of the Stock Theft Act is as follows:</w:t>
            </w:r>
          </w:p>
          <w:p w14:paraId="1E272095" w14:textId="77777777" w:rsidR="00716BCD" w:rsidRPr="00E97957" w:rsidRDefault="00716BCD" w:rsidP="00716BCD">
            <w:pPr>
              <w:tabs>
                <w:tab w:val="left" w:pos="851"/>
              </w:tabs>
              <w:spacing w:after="0" w:line="360" w:lineRule="auto"/>
              <w:jc w:val="both"/>
              <w:rPr>
                <w:rFonts w:ascii="Arial" w:hAnsi="Arial" w:cs="Arial"/>
                <w:bCs/>
                <w:iCs/>
              </w:rPr>
            </w:pPr>
            <w:r w:rsidRPr="00E97957">
              <w:rPr>
                <w:rFonts w:ascii="Arial" w:hAnsi="Arial" w:cs="Arial"/>
                <w:bCs/>
                <w:iCs/>
              </w:rPr>
              <w:t>1.</w:t>
            </w:r>
            <w:r w:rsidRPr="00E97957">
              <w:rPr>
                <w:rFonts w:ascii="Arial" w:hAnsi="Arial" w:cs="Arial"/>
                <w:bCs/>
                <w:iCs/>
              </w:rPr>
              <w:tab/>
            </w:r>
            <w:r w:rsidRPr="00E97957">
              <w:rPr>
                <w:rFonts w:ascii="Arial" w:hAnsi="Arial" w:cs="Arial"/>
                <w:bCs/>
                <w:iCs/>
                <w:u w:val="single"/>
              </w:rPr>
              <w:t xml:space="preserve">Cases where the value of the stock is less than N$500, i.e. ‘section 14(1)(a)(i) cases’ and the accused is a first offender </w:t>
            </w:r>
          </w:p>
          <w:p w14:paraId="5E19C666" w14:textId="77777777" w:rsidR="00716BCD" w:rsidRPr="00E97957" w:rsidRDefault="00716BCD" w:rsidP="00716BCD">
            <w:pPr>
              <w:numPr>
                <w:ilvl w:val="1"/>
                <w:numId w:val="19"/>
              </w:numPr>
              <w:tabs>
                <w:tab w:val="left" w:pos="851"/>
              </w:tabs>
              <w:spacing w:after="0" w:line="360" w:lineRule="auto"/>
              <w:jc w:val="both"/>
              <w:rPr>
                <w:rFonts w:ascii="Arial" w:hAnsi="Arial" w:cs="Arial"/>
                <w:bCs/>
                <w:iCs/>
              </w:rPr>
            </w:pPr>
            <w:r w:rsidRPr="00E97957">
              <w:rPr>
                <w:rFonts w:ascii="Arial" w:hAnsi="Arial" w:cs="Arial"/>
                <w:bCs/>
                <w:iCs/>
              </w:rPr>
              <w:t>The prescribed sentence is any period of imprisonment for a period of not less than two years without the option of a fine, but not exceeding the normal sentence jurisdiction of the magistrate.</w:t>
            </w:r>
          </w:p>
          <w:p w14:paraId="1DDD21D4" w14:textId="77777777" w:rsidR="00716BCD" w:rsidRPr="00E97957" w:rsidRDefault="00716BCD" w:rsidP="00716BCD">
            <w:pPr>
              <w:numPr>
                <w:ilvl w:val="1"/>
                <w:numId w:val="19"/>
              </w:numPr>
              <w:tabs>
                <w:tab w:val="left" w:pos="851"/>
              </w:tabs>
              <w:spacing w:after="0" w:line="360" w:lineRule="auto"/>
              <w:jc w:val="both"/>
              <w:rPr>
                <w:rFonts w:ascii="Arial" w:hAnsi="Arial" w:cs="Arial"/>
                <w:bCs/>
                <w:iCs/>
              </w:rPr>
            </w:pPr>
            <w:r w:rsidRPr="00E97957">
              <w:rPr>
                <w:rFonts w:ascii="Arial" w:hAnsi="Arial" w:cs="Arial"/>
                <w:bCs/>
                <w:iCs/>
              </w:rPr>
              <w:t xml:space="preserve">The court must explain section 14(2) to the accused and if satisfied that substantial and compelling circumstances exist, enter those circumstances on the record and may impose a lesser sentence than two years imprisonment, which must still be a period of imprisonment.  </w:t>
            </w:r>
          </w:p>
          <w:p w14:paraId="476795A3" w14:textId="632A6DDB" w:rsidR="00716BCD" w:rsidRPr="00E97957" w:rsidRDefault="00716BCD" w:rsidP="00716BCD">
            <w:pPr>
              <w:numPr>
                <w:ilvl w:val="1"/>
                <w:numId w:val="19"/>
              </w:numPr>
              <w:tabs>
                <w:tab w:val="left" w:pos="851"/>
              </w:tabs>
              <w:spacing w:after="0" w:line="360" w:lineRule="auto"/>
              <w:jc w:val="both"/>
              <w:rPr>
                <w:rFonts w:ascii="Arial" w:hAnsi="Arial" w:cs="Arial"/>
                <w:bCs/>
                <w:iCs/>
              </w:rPr>
            </w:pPr>
            <w:r w:rsidRPr="00E97957">
              <w:rPr>
                <w:rFonts w:ascii="Arial" w:hAnsi="Arial" w:cs="Arial"/>
                <w:bCs/>
                <w:iCs/>
              </w:rPr>
              <w:t>If the court finds that there are substantial and compelling circumstances it may impose a shorter period of imprisonment. The court may in its discretion also wholly or partly suspend any period of imprisonment imposed (see section 297(1</w:t>
            </w:r>
            <w:r w:rsidR="00D66F84" w:rsidRPr="00E97957">
              <w:rPr>
                <w:rFonts w:ascii="Arial" w:hAnsi="Arial" w:cs="Arial"/>
                <w:bCs/>
                <w:iCs/>
              </w:rPr>
              <w:t>) (</w:t>
            </w:r>
            <w:r w:rsidRPr="00E97957">
              <w:rPr>
                <w:rFonts w:ascii="Arial" w:hAnsi="Arial" w:cs="Arial"/>
                <w:bCs/>
                <w:iCs/>
              </w:rPr>
              <w:t xml:space="preserve">b) of the CPA, read with paragraph [7] of the </w:t>
            </w:r>
            <w:r w:rsidRPr="00E97957">
              <w:rPr>
                <w:rFonts w:ascii="Arial" w:hAnsi="Arial" w:cs="Arial"/>
                <w:bCs/>
                <w:i/>
                <w:iCs/>
              </w:rPr>
              <w:t>Tjambiru</w:t>
            </w:r>
            <w:r w:rsidRPr="00E97957">
              <w:rPr>
                <w:rFonts w:ascii="Arial" w:hAnsi="Arial" w:cs="Arial"/>
                <w:bCs/>
                <w:i/>
                <w:iCs/>
                <w:vertAlign w:val="superscript"/>
              </w:rPr>
              <w:footnoteReference w:id="4"/>
            </w:r>
            <w:r w:rsidRPr="00E97957">
              <w:rPr>
                <w:rFonts w:ascii="Arial" w:hAnsi="Arial" w:cs="Arial"/>
                <w:bCs/>
                <w:iCs/>
              </w:rPr>
              <w:t xml:space="preserve"> judgment).  </w:t>
            </w:r>
          </w:p>
          <w:p w14:paraId="7BFB354B" w14:textId="03B647BC" w:rsidR="00716BCD" w:rsidRPr="008508FA" w:rsidRDefault="00716BCD" w:rsidP="005937C8">
            <w:pPr>
              <w:numPr>
                <w:ilvl w:val="1"/>
                <w:numId w:val="20"/>
              </w:numPr>
              <w:tabs>
                <w:tab w:val="left" w:pos="851"/>
              </w:tabs>
              <w:spacing w:after="0" w:line="360" w:lineRule="auto"/>
              <w:jc w:val="both"/>
              <w:rPr>
                <w:rFonts w:ascii="Arial" w:hAnsi="Arial" w:cs="Arial"/>
                <w:bCs/>
                <w:iCs/>
                <w:sz w:val="24"/>
                <w:szCs w:val="24"/>
              </w:rPr>
            </w:pPr>
            <w:r w:rsidRPr="008508FA">
              <w:rPr>
                <w:rFonts w:ascii="Arial" w:hAnsi="Arial" w:cs="Arial"/>
                <w:bCs/>
                <w:iCs/>
              </w:rPr>
              <w:t xml:space="preserve"> If the court is not satisfied that there are substantial and compelling circumstances, it must impose a sentence of at least two years imprisonment without the option of a fine, but it may suspend part of the sentence (see section 297(4) of the CPA, read with paragraph [3] &amp; [6] of the </w:t>
            </w:r>
            <w:r w:rsidRPr="008508FA">
              <w:rPr>
                <w:rFonts w:ascii="Arial" w:hAnsi="Arial" w:cs="Arial"/>
                <w:bCs/>
                <w:i/>
                <w:iCs/>
              </w:rPr>
              <w:t>Tjambiru</w:t>
            </w:r>
            <w:r w:rsidRPr="008508FA">
              <w:rPr>
                <w:rFonts w:ascii="Arial" w:hAnsi="Arial" w:cs="Arial"/>
                <w:bCs/>
                <w:iCs/>
              </w:rPr>
              <w:t xml:space="preserve"> judgment).’</w:t>
            </w:r>
          </w:p>
          <w:p w14:paraId="4CACB4D2" w14:textId="77777777" w:rsidR="003E543D" w:rsidRDefault="003E543D" w:rsidP="00C572BC">
            <w:pPr>
              <w:tabs>
                <w:tab w:val="left" w:pos="851"/>
              </w:tabs>
              <w:spacing w:after="0" w:line="360" w:lineRule="auto"/>
              <w:jc w:val="both"/>
              <w:rPr>
                <w:rFonts w:ascii="Arial" w:hAnsi="Arial" w:cs="Arial"/>
                <w:bCs/>
                <w:iCs/>
                <w:sz w:val="24"/>
                <w:szCs w:val="24"/>
              </w:rPr>
            </w:pPr>
          </w:p>
          <w:p w14:paraId="572A70BB" w14:textId="4A128FFD" w:rsidR="00E818B3" w:rsidRDefault="00E818B3" w:rsidP="00C572BC">
            <w:pPr>
              <w:tabs>
                <w:tab w:val="left" w:pos="851"/>
              </w:tabs>
              <w:spacing w:after="0" w:line="360" w:lineRule="auto"/>
              <w:jc w:val="both"/>
              <w:rPr>
                <w:rFonts w:ascii="Arial" w:hAnsi="Arial" w:cs="Arial"/>
                <w:bCs/>
                <w:sz w:val="24"/>
                <w:szCs w:val="24"/>
                <w:lang w:val="en-ZA"/>
              </w:rPr>
            </w:pPr>
            <w:r>
              <w:rPr>
                <w:rFonts w:ascii="Arial" w:hAnsi="Arial" w:cs="Arial"/>
                <w:bCs/>
                <w:sz w:val="24"/>
                <w:szCs w:val="24"/>
                <w:lang w:val="en-ZA"/>
              </w:rPr>
              <w:t>[</w:t>
            </w:r>
            <w:r w:rsidR="00EA4FE6">
              <w:rPr>
                <w:rFonts w:ascii="Arial" w:hAnsi="Arial" w:cs="Arial"/>
                <w:bCs/>
                <w:sz w:val="24"/>
                <w:szCs w:val="24"/>
                <w:lang w:val="en-ZA"/>
              </w:rPr>
              <w:t>7</w:t>
            </w:r>
            <w:r>
              <w:rPr>
                <w:rFonts w:ascii="Arial" w:hAnsi="Arial" w:cs="Arial"/>
                <w:bCs/>
                <w:sz w:val="24"/>
                <w:szCs w:val="24"/>
                <w:lang w:val="en-ZA"/>
              </w:rPr>
              <w:t xml:space="preserve">]      </w:t>
            </w:r>
            <w:r w:rsidR="00AA1358">
              <w:rPr>
                <w:rFonts w:ascii="Arial" w:hAnsi="Arial" w:cs="Arial"/>
                <w:bCs/>
                <w:sz w:val="24"/>
                <w:szCs w:val="24"/>
                <w:lang w:val="en-ZA"/>
              </w:rPr>
              <w:t xml:space="preserve">  </w:t>
            </w:r>
            <w:r w:rsidR="00713C13">
              <w:rPr>
                <w:rFonts w:ascii="Arial" w:hAnsi="Arial" w:cs="Arial"/>
                <w:bCs/>
                <w:sz w:val="24"/>
                <w:szCs w:val="24"/>
                <w:lang w:val="en-ZA"/>
              </w:rPr>
              <w:t xml:space="preserve">   </w:t>
            </w:r>
            <w:r w:rsidR="00EA4FE6">
              <w:rPr>
                <w:rFonts w:ascii="Arial" w:hAnsi="Arial" w:cs="Arial"/>
                <w:bCs/>
                <w:sz w:val="24"/>
                <w:szCs w:val="24"/>
                <w:lang w:val="en-ZA"/>
              </w:rPr>
              <w:t>The sentence imposed, as conceded by the magistrate, is confusing in that the word</w:t>
            </w:r>
            <w:r w:rsidR="00853C76">
              <w:rPr>
                <w:rFonts w:ascii="Arial" w:hAnsi="Arial" w:cs="Arial"/>
                <w:bCs/>
                <w:sz w:val="24"/>
                <w:szCs w:val="24"/>
                <w:lang w:val="en-ZA"/>
              </w:rPr>
              <w:t>s</w:t>
            </w:r>
            <w:r w:rsidR="00EA4FE6">
              <w:rPr>
                <w:rFonts w:ascii="Arial" w:hAnsi="Arial" w:cs="Arial"/>
                <w:bCs/>
                <w:sz w:val="24"/>
                <w:szCs w:val="24"/>
                <w:lang w:val="en-ZA"/>
              </w:rPr>
              <w:t xml:space="preserve"> ‘of which’ </w:t>
            </w:r>
            <w:r w:rsidR="00853C76">
              <w:rPr>
                <w:rFonts w:ascii="Arial" w:hAnsi="Arial" w:cs="Arial"/>
                <w:bCs/>
                <w:sz w:val="24"/>
                <w:szCs w:val="24"/>
                <w:lang w:val="en-ZA"/>
              </w:rPr>
              <w:t>are</w:t>
            </w:r>
            <w:r w:rsidR="00EA4FE6">
              <w:rPr>
                <w:rFonts w:ascii="Arial" w:hAnsi="Arial" w:cs="Arial"/>
                <w:bCs/>
                <w:sz w:val="24"/>
                <w:szCs w:val="24"/>
                <w:lang w:val="en-ZA"/>
              </w:rPr>
              <w:t xml:space="preserve"> included before it is stated that it is wholly suspended. Furthermore, </w:t>
            </w:r>
            <w:r w:rsidR="00EA4FE6">
              <w:rPr>
                <w:rFonts w:ascii="Arial" w:hAnsi="Arial" w:cs="Arial"/>
                <w:bCs/>
                <w:sz w:val="24"/>
                <w:szCs w:val="24"/>
                <w:lang w:val="en-ZA"/>
              </w:rPr>
              <w:lastRenderedPageBreak/>
              <w:t>without finding substantial and compelling circumstances, the sentence does not comply with the penalty clause. T</w:t>
            </w:r>
            <w:r w:rsidR="00AA1358">
              <w:rPr>
                <w:rFonts w:ascii="Arial" w:hAnsi="Arial" w:cs="Arial"/>
                <w:bCs/>
                <w:sz w:val="24"/>
                <w:szCs w:val="24"/>
                <w:lang w:val="en-ZA"/>
              </w:rPr>
              <w:t xml:space="preserve">he magistrate needs to comply with the provisions of section </w:t>
            </w:r>
            <w:r w:rsidR="00212D99">
              <w:rPr>
                <w:rFonts w:ascii="Arial" w:hAnsi="Arial" w:cs="Arial"/>
                <w:bCs/>
                <w:sz w:val="24"/>
                <w:szCs w:val="24"/>
                <w:lang w:val="en-ZA"/>
              </w:rPr>
              <w:t>14(2) of the Act</w:t>
            </w:r>
            <w:r w:rsidR="009B3FF1">
              <w:rPr>
                <w:rFonts w:ascii="Arial" w:hAnsi="Arial" w:cs="Arial"/>
                <w:bCs/>
                <w:sz w:val="24"/>
                <w:szCs w:val="24"/>
                <w:lang w:val="en-ZA"/>
              </w:rPr>
              <w:t xml:space="preserve"> in respect of </w:t>
            </w:r>
            <w:r w:rsidR="00853C76">
              <w:rPr>
                <w:rFonts w:ascii="Arial" w:hAnsi="Arial" w:cs="Arial"/>
                <w:bCs/>
                <w:sz w:val="24"/>
                <w:szCs w:val="24"/>
                <w:lang w:val="en-ZA"/>
              </w:rPr>
              <w:t xml:space="preserve">the </w:t>
            </w:r>
            <w:r w:rsidR="009B3FF1">
              <w:rPr>
                <w:rFonts w:ascii="Arial" w:hAnsi="Arial" w:cs="Arial"/>
                <w:bCs/>
                <w:sz w:val="24"/>
                <w:szCs w:val="24"/>
                <w:lang w:val="en-ZA"/>
              </w:rPr>
              <w:t xml:space="preserve">accused </w:t>
            </w:r>
            <w:r w:rsidR="00212D99">
              <w:rPr>
                <w:rFonts w:ascii="Arial" w:hAnsi="Arial" w:cs="Arial"/>
                <w:bCs/>
                <w:sz w:val="24"/>
                <w:szCs w:val="24"/>
                <w:lang w:val="en-ZA"/>
              </w:rPr>
              <w:t xml:space="preserve">before sentencing </w:t>
            </w:r>
            <w:r w:rsidR="00B052B7">
              <w:rPr>
                <w:rFonts w:ascii="Arial" w:hAnsi="Arial" w:cs="Arial"/>
                <w:bCs/>
                <w:sz w:val="24"/>
                <w:szCs w:val="24"/>
                <w:lang w:val="en-ZA"/>
              </w:rPr>
              <w:t>him</w:t>
            </w:r>
            <w:r w:rsidR="00212D99">
              <w:rPr>
                <w:rFonts w:ascii="Arial" w:hAnsi="Arial" w:cs="Arial"/>
                <w:bCs/>
                <w:sz w:val="24"/>
                <w:szCs w:val="24"/>
                <w:lang w:val="en-ZA"/>
              </w:rPr>
              <w:t xml:space="preserve"> afresh.</w:t>
            </w:r>
            <w:r>
              <w:rPr>
                <w:rFonts w:ascii="Arial" w:hAnsi="Arial" w:cs="Arial"/>
                <w:bCs/>
                <w:sz w:val="24"/>
                <w:szCs w:val="24"/>
                <w:lang w:val="en-ZA"/>
              </w:rPr>
              <w:t xml:space="preserve"> </w:t>
            </w:r>
          </w:p>
          <w:p w14:paraId="0C3619F7" w14:textId="77777777" w:rsidR="004B1D02" w:rsidRDefault="004B1D02" w:rsidP="00C572BC">
            <w:pPr>
              <w:tabs>
                <w:tab w:val="left" w:pos="851"/>
              </w:tabs>
              <w:spacing w:after="0" w:line="360" w:lineRule="auto"/>
              <w:jc w:val="both"/>
              <w:rPr>
                <w:rFonts w:ascii="Arial" w:hAnsi="Arial" w:cs="Arial"/>
                <w:bCs/>
                <w:sz w:val="24"/>
                <w:szCs w:val="24"/>
                <w:lang w:val="en-ZA"/>
              </w:rPr>
            </w:pPr>
          </w:p>
          <w:p w14:paraId="128EC5D7" w14:textId="6FBA862B" w:rsidR="004B1D02" w:rsidRPr="00C572BC" w:rsidRDefault="004B1D02" w:rsidP="00C572BC">
            <w:pPr>
              <w:tabs>
                <w:tab w:val="left" w:pos="851"/>
              </w:tabs>
              <w:spacing w:after="0" w:line="360" w:lineRule="auto"/>
              <w:jc w:val="both"/>
              <w:rPr>
                <w:rFonts w:ascii="Arial" w:hAnsi="Arial" w:cs="Arial"/>
                <w:bCs/>
                <w:sz w:val="24"/>
                <w:szCs w:val="24"/>
                <w:lang w:val="en-ZA"/>
              </w:rPr>
            </w:pPr>
            <w:r>
              <w:rPr>
                <w:rFonts w:ascii="Arial" w:hAnsi="Arial" w:cs="Arial"/>
                <w:bCs/>
                <w:sz w:val="24"/>
                <w:szCs w:val="24"/>
                <w:lang w:val="en-ZA"/>
              </w:rPr>
              <w:t xml:space="preserve">[8]       Another misdirection by the magistrate was suspending the sentence on the condition that the accused is not convicted of contravening section 11 (1) (a) of the Stock theft Act 12 of 1990. Section 11 refers to </w:t>
            </w:r>
            <w:r w:rsidR="006330E2">
              <w:rPr>
                <w:rFonts w:ascii="Arial" w:hAnsi="Arial" w:cs="Arial"/>
                <w:bCs/>
                <w:sz w:val="24"/>
                <w:szCs w:val="24"/>
                <w:lang w:val="en-ZA"/>
              </w:rPr>
              <w:t>the possible</w:t>
            </w:r>
            <w:r>
              <w:rPr>
                <w:rFonts w:ascii="Arial" w:hAnsi="Arial" w:cs="Arial"/>
                <w:bCs/>
                <w:sz w:val="24"/>
                <w:szCs w:val="24"/>
                <w:lang w:val="en-ZA"/>
              </w:rPr>
              <w:t xml:space="preserve"> verdicts</w:t>
            </w:r>
            <w:r w:rsidR="006330E2">
              <w:rPr>
                <w:rFonts w:ascii="Arial" w:hAnsi="Arial" w:cs="Arial"/>
                <w:bCs/>
                <w:sz w:val="24"/>
                <w:szCs w:val="24"/>
                <w:lang w:val="en-ZA"/>
              </w:rPr>
              <w:t xml:space="preserve"> on a charge of </w:t>
            </w:r>
            <w:r w:rsidR="00D01490">
              <w:rPr>
                <w:rFonts w:ascii="Arial" w:hAnsi="Arial" w:cs="Arial"/>
                <w:bCs/>
                <w:sz w:val="24"/>
                <w:szCs w:val="24"/>
                <w:lang w:val="en-ZA"/>
              </w:rPr>
              <w:t xml:space="preserve">theft of stock </w:t>
            </w:r>
            <w:r>
              <w:rPr>
                <w:rFonts w:ascii="Arial" w:hAnsi="Arial" w:cs="Arial"/>
                <w:bCs/>
                <w:sz w:val="24"/>
                <w:szCs w:val="24"/>
                <w:lang w:val="en-ZA"/>
              </w:rPr>
              <w:t xml:space="preserve">and does not create </w:t>
            </w:r>
            <w:r w:rsidR="00A10DCB">
              <w:rPr>
                <w:rFonts w:ascii="Arial" w:hAnsi="Arial" w:cs="Arial"/>
                <w:bCs/>
                <w:sz w:val="24"/>
                <w:szCs w:val="24"/>
                <w:lang w:val="en-ZA"/>
              </w:rPr>
              <w:t>the</w:t>
            </w:r>
            <w:r>
              <w:rPr>
                <w:rFonts w:ascii="Arial" w:hAnsi="Arial" w:cs="Arial"/>
                <w:bCs/>
                <w:sz w:val="24"/>
                <w:szCs w:val="24"/>
                <w:lang w:val="en-ZA"/>
              </w:rPr>
              <w:t xml:space="preserve"> offense. The correct citation of the charge would be </w:t>
            </w:r>
            <w:r w:rsidR="00A10DCB">
              <w:rPr>
                <w:rFonts w:ascii="Arial" w:hAnsi="Arial" w:cs="Arial"/>
                <w:bCs/>
                <w:sz w:val="24"/>
                <w:szCs w:val="24"/>
                <w:lang w:val="en-ZA"/>
              </w:rPr>
              <w:t>‘</w:t>
            </w:r>
            <w:r w:rsidR="00D01490">
              <w:rPr>
                <w:rFonts w:ascii="Arial" w:hAnsi="Arial" w:cs="Arial"/>
                <w:bCs/>
                <w:sz w:val="24"/>
                <w:szCs w:val="24"/>
                <w:lang w:val="en-ZA"/>
              </w:rPr>
              <w:t>Theft of stock (</w:t>
            </w:r>
            <w:r>
              <w:rPr>
                <w:rFonts w:ascii="Arial" w:hAnsi="Arial" w:cs="Arial"/>
                <w:bCs/>
                <w:sz w:val="24"/>
                <w:szCs w:val="24"/>
                <w:lang w:val="en-ZA"/>
              </w:rPr>
              <w:t xml:space="preserve">read with the provisions of </w:t>
            </w:r>
            <w:r w:rsidR="00A10DCB">
              <w:rPr>
                <w:rFonts w:ascii="Arial" w:hAnsi="Arial" w:cs="Arial"/>
                <w:bCs/>
                <w:sz w:val="24"/>
                <w:szCs w:val="24"/>
                <w:lang w:val="en-ZA"/>
              </w:rPr>
              <w:t>T</w:t>
            </w:r>
            <w:r>
              <w:rPr>
                <w:rFonts w:ascii="Arial" w:hAnsi="Arial" w:cs="Arial"/>
                <w:bCs/>
                <w:sz w:val="24"/>
                <w:szCs w:val="24"/>
                <w:lang w:val="en-ZA"/>
              </w:rPr>
              <w:t xml:space="preserve">he </w:t>
            </w:r>
            <w:r w:rsidR="00A10DCB">
              <w:rPr>
                <w:rFonts w:ascii="Arial" w:hAnsi="Arial" w:cs="Arial"/>
                <w:bCs/>
                <w:sz w:val="24"/>
                <w:szCs w:val="24"/>
                <w:lang w:val="en-ZA"/>
              </w:rPr>
              <w:t>S</w:t>
            </w:r>
            <w:r>
              <w:rPr>
                <w:rFonts w:ascii="Arial" w:hAnsi="Arial" w:cs="Arial"/>
                <w:bCs/>
                <w:sz w:val="24"/>
                <w:szCs w:val="24"/>
                <w:lang w:val="en-ZA"/>
              </w:rPr>
              <w:t xml:space="preserve">tock </w:t>
            </w:r>
            <w:r w:rsidR="00A10DCB">
              <w:rPr>
                <w:rFonts w:ascii="Arial" w:hAnsi="Arial" w:cs="Arial"/>
                <w:bCs/>
                <w:sz w:val="24"/>
                <w:szCs w:val="24"/>
                <w:lang w:val="en-ZA"/>
              </w:rPr>
              <w:t>T</w:t>
            </w:r>
            <w:r>
              <w:rPr>
                <w:rFonts w:ascii="Arial" w:hAnsi="Arial" w:cs="Arial"/>
                <w:bCs/>
                <w:sz w:val="24"/>
                <w:szCs w:val="24"/>
                <w:lang w:val="en-ZA"/>
              </w:rPr>
              <w:t xml:space="preserve">heft </w:t>
            </w:r>
            <w:r w:rsidR="00A10DCB">
              <w:rPr>
                <w:rFonts w:ascii="Arial" w:hAnsi="Arial" w:cs="Arial"/>
                <w:bCs/>
                <w:sz w:val="24"/>
                <w:szCs w:val="24"/>
                <w:lang w:val="en-ZA"/>
              </w:rPr>
              <w:t>A</w:t>
            </w:r>
            <w:r>
              <w:rPr>
                <w:rFonts w:ascii="Arial" w:hAnsi="Arial" w:cs="Arial"/>
                <w:bCs/>
                <w:sz w:val="24"/>
                <w:szCs w:val="24"/>
                <w:lang w:val="en-ZA"/>
              </w:rPr>
              <w:t>ct 12 of 1990</w:t>
            </w:r>
            <w:r w:rsidR="00A10DCB">
              <w:rPr>
                <w:rFonts w:ascii="Arial" w:hAnsi="Arial" w:cs="Arial"/>
                <w:bCs/>
                <w:sz w:val="24"/>
                <w:szCs w:val="24"/>
                <w:lang w:val="en-ZA"/>
              </w:rPr>
              <w:t>,</w:t>
            </w:r>
            <w:r w:rsidR="006330E2">
              <w:rPr>
                <w:rFonts w:ascii="Arial" w:hAnsi="Arial" w:cs="Arial"/>
                <w:bCs/>
                <w:sz w:val="24"/>
                <w:szCs w:val="24"/>
                <w:lang w:val="en-ZA"/>
              </w:rPr>
              <w:t xml:space="preserve"> as amended)</w:t>
            </w:r>
            <w:r w:rsidR="00A10DCB">
              <w:rPr>
                <w:rFonts w:ascii="Arial" w:hAnsi="Arial" w:cs="Arial"/>
                <w:bCs/>
                <w:sz w:val="24"/>
                <w:szCs w:val="24"/>
                <w:lang w:val="en-ZA"/>
              </w:rPr>
              <w:t>’</w:t>
            </w:r>
            <w:r>
              <w:rPr>
                <w:rFonts w:ascii="Arial" w:hAnsi="Arial" w:cs="Arial"/>
                <w:bCs/>
                <w:sz w:val="24"/>
                <w:szCs w:val="24"/>
                <w:lang w:val="en-ZA"/>
              </w:rPr>
              <w:t>.</w:t>
            </w:r>
            <w:r w:rsidR="006330E2">
              <w:rPr>
                <w:rStyle w:val="FootnoteReference"/>
                <w:rFonts w:ascii="Arial" w:hAnsi="Arial" w:cs="Arial"/>
                <w:bCs/>
                <w:sz w:val="24"/>
                <w:szCs w:val="24"/>
                <w:lang w:val="en-ZA"/>
              </w:rPr>
              <w:footnoteReference w:id="5"/>
            </w:r>
            <w:r w:rsidR="006330E2" w:rsidRPr="006330E2">
              <w:rPr>
                <w:rFonts w:ascii="Arial" w:hAnsi="Arial" w:cs="Arial"/>
                <w:bCs/>
                <w:sz w:val="24"/>
                <w:szCs w:val="24"/>
                <w:lang w:val="en-ZA"/>
              </w:rPr>
              <w:t xml:space="preserve"> </w:t>
            </w:r>
          </w:p>
          <w:p w14:paraId="09FC4C64" w14:textId="77777777" w:rsidR="00BA73CD" w:rsidRDefault="00BA73CD" w:rsidP="00B937C1">
            <w:pPr>
              <w:pStyle w:val="ListParagraph"/>
              <w:tabs>
                <w:tab w:val="left" w:pos="851"/>
              </w:tabs>
              <w:spacing w:after="0" w:line="360" w:lineRule="auto"/>
              <w:ind w:left="0"/>
              <w:jc w:val="both"/>
              <w:rPr>
                <w:rFonts w:eastAsia="Calibri"/>
                <w:bCs/>
                <w:sz w:val="24"/>
                <w:szCs w:val="24"/>
              </w:rPr>
            </w:pPr>
          </w:p>
          <w:p w14:paraId="6842429D" w14:textId="25EB2E21" w:rsidR="0051537A" w:rsidRDefault="00BA73CD" w:rsidP="00B937C1">
            <w:pPr>
              <w:pStyle w:val="ListParagraph"/>
              <w:tabs>
                <w:tab w:val="left" w:pos="851"/>
              </w:tabs>
              <w:spacing w:after="0" w:line="360" w:lineRule="auto"/>
              <w:ind w:left="0"/>
              <w:jc w:val="both"/>
              <w:rPr>
                <w:bCs/>
                <w:sz w:val="24"/>
                <w:szCs w:val="24"/>
              </w:rPr>
            </w:pPr>
            <w:r>
              <w:rPr>
                <w:rFonts w:eastAsia="Calibri"/>
                <w:bCs/>
                <w:sz w:val="24"/>
                <w:szCs w:val="24"/>
              </w:rPr>
              <w:t>[</w:t>
            </w:r>
            <w:r w:rsidR="00EA4FE6">
              <w:rPr>
                <w:rFonts w:eastAsia="Calibri"/>
                <w:bCs/>
                <w:sz w:val="24"/>
                <w:szCs w:val="24"/>
              </w:rPr>
              <w:t>8</w:t>
            </w:r>
            <w:r w:rsidR="009F3B5D" w:rsidRPr="00F47AEF">
              <w:rPr>
                <w:bCs/>
                <w:sz w:val="24"/>
                <w:szCs w:val="24"/>
              </w:rPr>
              <w:t>]</w:t>
            </w:r>
            <w:r w:rsidR="00A45709">
              <w:rPr>
                <w:bCs/>
                <w:sz w:val="24"/>
                <w:szCs w:val="24"/>
              </w:rPr>
              <w:tab/>
            </w:r>
            <w:r w:rsidR="00491407" w:rsidRPr="00F47AEF">
              <w:rPr>
                <w:bCs/>
                <w:sz w:val="24"/>
                <w:szCs w:val="24"/>
              </w:rPr>
              <w:t>I</w:t>
            </w:r>
            <w:r w:rsidR="009F3B5D" w:rsidRPr="00F47AEF">
              <w:rPr>
                <w:bCs/>
                <w:sz w:val="24"/>
                <w:szCs w:val="24"/>
              </w:rPr>
              <w:t>n the result the following order is made:</w:t>
            </w:r>
          </w:p>
          <w:p w14:paraId="355398E2" w14:textId="77777777" w:rsidR="00AF6513" w:rsidRDefault="00AF6513" w:rsidP="00B937C1">
            <w:pPr>
              <w:pStyle w:val="ListParagraph"/>
              <w:tabs>
                <w:tab w:val="left" w:pos="851"/>
              </w:tabs>
              <w:spacing w:after="0" w:line="360" w:lineRule="auto"/>
              <w:ind w:left="0"/>
              <w:jc w:val="both"/>
              <w:rPr>
                <w:bCs/>
                <w:sz w:val="24"/>
                <w:szCs w:val="24"/>
              </w:rPr>
            </w:pPr>
          </w:p>
          <w:p w14:paraId="1B6DE565" w14:textId="4DBD1E0F" w:rsidR="00C25630" w:rsidRPr="00C25630" w:rsidRDefault="006760F9" w:rsidP="00C25630">
            <w:pPr>
              <w:pStyle w:val="ListParagraph"/>
              <w:numPr>
                <w:ilvl w:val="0"/>
                <w:numId w:val="33"/>
              </w:numPr>
              <w:spacing w:before="240" w:after="0" w:line="360" w:lineRule="auto"/>
              <w:jc w:val="both"/>
              <w:rPr>
                <w:color w:val="000000"/>
                <w:sz w:val="24"/>
                <w:szCs w:val="24"/>
              </w:rPr>
            </w:pPr>
            <w:r>
              <w:rPr>
                <w:color w:val="000000"/>
                <w:sz w:val="24"/>
                <w:szCs w:val="24"/>
              </w:rPr>
              <w:t>The sentence</w:t>
            </w:r>
            <w:r w:rsidR="00C25630" w:rsidRPr="00C25630">
              <w:rPr>
                <w:color w:val="000000"/>
                <w:sz w:val="24"/>
                <w:szCs w:val="24"/>
              </w:rPr>
              <w:t xml:space="preserve"> i</w:t>
            </w:r>
            <w:r>
              <w:rPr>
                <w:color w:val="000000"/>
                <w:sz w:val="24"/>
                <w:szCs w:val="24"/>
              </w:rPr>
              <w:t>s</w:t>
            </w:r>
            <w:r w:rsidR="00C25630" w:rsidRPr="00C25630">
              <w:rPr>
                <w:color w:val="000000"/>
                <w:sz w:val="24"/>
                <w:szCs w:val="24"/>
              </w:rPr>
              <w:t xml:space="preserve"> set aside.</w:t>
            </w:r>
          </w:p>
          <w:p w14:paraId="6206097D" w14:textId="18D045EA" w:rsidR="00C25630" w:rsidRPr="00C25630" w:rsidRDefault="00C25630" w:rsidP="00C25630">
            <w:pPr>
              <w:pStyle w:val="ListParagraph"/>
              <w:numPr>
                <w:ilvl w:val="0"/>
                <w:numId w:val="33"/>
              </w:numPr>
              <w:spacing w:before="240" w:after="0" w:line="360" w:lineRule="auto"/>
              <w:jc w:val="both"/>
              <w:rPr>
                <w:color w:val="000000"/>
                <w:sz w:val="24"/>
                <w:szCs w:val="24"/>
              </w:rPr>
            </w:pPr>
            <w:r w:rsidRPr="00C25630">
              <w:rPr>
                <w:color w:val="000000"/>
                <w:sz w:val="24"/>
                <w:szCs w:val="24"/>
              </w:rPr>
              <w:t>The matter is remitted to the Magistrate or</w:t>
            </w:r>
            <w:r>
              <w:rPr>
                <w:color w:val="000000"/>
                <w:sz w:val="24"/>
                <w:szCs w:val="24"/>
              </w:rPr>
              <w:t>,</w:t>
            </w:r>
            <w:r w:rsidRPr="00C25630">
              <w:rPr>
                <w:color w:val="000000"/>
                <w:sz w:val="24"/>
                <w:szCs w:val="24"/>
              </w:rPr>
              <w:t xml:space="preserve"> if no longer available, any other Magistrate in terms of section 275 of the CPA, to comply with the guidelines in this judgment.</w:t>
            </w:r>
          </w:p>
          <w:p w14:paraId="2923D11B" w14:textId="111543FC" w:rsidR="00DA70A9" w:rsidRPr="00AF6513" w:rsidRDefault="00C25630" w:rsidP="00853C76">
            <w:pPr>
              <w:pStyle w:val="ListParagraph"/>
              <w:numPr>
                <w:ilvl w:val="0"/>
                <w:numId w:val="33"/>
              </w:numPr>
              <w:spacing w:before="240" w:after="0" w:line="360" w:lineRule="auto"/>
              <w:jc w:val="both"/>
              <w:rPr>
                <w:color w:val="000000"/>
                <w:sz w:val="24"/>
                <w:szCs w:val="24"/>
              </w:rPr>
            </w:pPr>
            <w:r w:rsidRPr="00C25630">
              <w:rPr>
                <w:color w:val="000000"/>
                <w:sz w:val="24"/>
                <w:szCs w:val="24"/>
              </w:rPr>
              <w:t xml:space="preserve">Upon sentencing </w:t>
            </w:r>
            <w:r w:rsidR="00853C76">
              <w:rPr>
                <w:color w:val="000000"/>
                <w:sz w:val="24"/>
                <w:szCs w:val="24"/>
              </w:rPr>
              <w:t xml:space="preserve">the </w:t>
            </w:r>
            <w:r w:rsidRPr="00C25630">
              <w:rPr>
                <w:color w:val="000000"/>
                <w:sz w:val="24"/>
                <w:szCs w:val="24"/>
              </w:rPr>
              <w:t>accused</w:t>
            </w:r>
            <w:r w:rsidR="006760F9">
              <w:rPr>
                <w:color w:val="000000"/>
                <w:sz w:val="24"/>
                <w:szCs w:val="24"/>
              </w:rPr>
              <w:t xml:space="preserve"> </w:t>
            </w:r>
            <w:r w:rsidRPr="00C25630">
              <w:rPr>
                <w:color w:val="000000"/>
                <w:sz w:val="24"/>
                <w:szCs w:val="24"/>
              </w:rPr>
              <w:t>afresh, the court must take into account the period</w:t>
            </w:r>
            <w:r w:rsidR="00605130">
              <w:rPr>
                <w:color w:val="000000"/>
                <w:sz w:val="24"/>
                <w:szCs w:val="24"/>
              </w:rPr>
              <w:t xml:space="preserve"> of imprisonment</w:t>
            </w:r>
            <w:r w:rsidRPr="00C25630">
              <w:rPr>
                <w:color w:val="000000"/>
                <w:sz w:val="24"/>
                <w:szCs w:val="24"/>
              </w:rPr>
              <w:t xml:space="preserve"> </w:t>
            </w:r>
            <w:r w:rsidR="00853C76">
              <w:rPr>
                <w:color w:val="000000"/>
                <w:sz w:val="24"/>
                <w:szCs w:val="24"/>
              </w:rPr>
              <w:t xml:space="preserve">already </w:t>
            </w:r>
            <w:r w:rsidRPr="00C25630">
              <w:rPr>
                <w:color w:val="000000"/>
                <w:sz w:val="24"/>
                <w:szCs w:val="24"/>
              </w:rPr>
              <w:t>served by the accused</w:t>
            </w:r>
            <w:r w:rsidR="00853C76">
              <w:rPr>
                <w:color w:val="000000"/>
                <w:sz w:val="24"/>
                <w:szCs w:val="24"/>
              </w:rPr>
              <w:t xml:space="preserve"> in this matter</w:t>
            </w:r>
            <w:r w:rsidRPr="00C25630">
              <w:rPr>
                <w:color w:val="000000"/>
                <w:sz w:val="24"/>
                <w:szCs w:val="24"/>
              </w:rPr>
              <w:t xml:space="preserve">.   </w:t>
            </w:r>
            <w:r w:rsidR="00AF6513" w:rsidRPr="00AF6513">
              <w:rPr>
                <w:color w:val="000000"/>
                <w:sz w:val="24"/>
                <w:szCs w:val="24"/>
              </w:rPr>
              <w:t xml:space="preserve">  </w:t>
            </w:r>
            <w:r w:rsidR="00AF6513" w:rsidRPr="00AF6513">
              <w:rPr>
                <w:sz w:val="24"/>
                <w:szCs w:val="24"/>
              </w:rPr>
              <w:t xml:space="preserve"> </w:t>
            </w:r>
            <w:r w:rsidR="006B629D" w:rsidRPr="00AF6513">
              <w:rPr>
                <w:color w:val="000000"/>
                <w:sz w:val="24"/>
                <w:szCs w:val="24"/>
              </w:rPr>
              <w:t xml:space="preserve">  </w:t>
            </w:r>
            <w:r w:rsidR="00AA1358" w:rsidRPr="00AF6513">
              <w:rPr>
                <w:color w:val="000000"/>
                <w:sz w:val="24"/>
                <w:szCs w:val="24"/>
              </w:rPr>
              <w:t xml:space="preserve"> </w:t>
            </w:r>
            <w:r w:rsidR="00AA1358" w:rsidRPr="00AF6513">
              <w:rPr>
                <w:sz w:val="24"/>
                <w:szCs w:val="24"/>
              </w:rPr>
              <w:t xml:space="preserve"> </w:t>
            </w:r>
            <w:r w:rsidR="00E818B3" w:rsidRPr="00AF6513">
              <w:rPr>
                <w:color w:val="000000"/>
                <w:sz w:val="24"/>
                <w:szCs w:val="24"/>
              </w:rPr>
              <w:t xml:space="preserve"> </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5CB937BB" w14:textId="630C20ED" w:rsidR="0010569A" w:rsidRPr="0087185D" w:rsidRDefault="007421C8" w:rsidP="006F03F7">
            <w:pPr>
              <w:spacing w:line="240" w:lineRule="auto"/>
              <w:jc w:val="both"/>
              <w:rPr>
                <w:rFonts w:ascii="Arial" w:hAnsi="Arial" w:cs="Arial"/>
                <w:b/>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61369C46" w14:textId="4B791AAB" w:rsidR="0010569A" w:rsidRPr="0087185D" w:rsidRDefault="00DE60AF" w:rsidP="00DE60AF">
            <w:pPr>
              <w:spacing w:line="240" w:lineRule="auto"/>
              <w:jc w:val="both"/>
              <w:rPr>
                <w:rFonts w:ascii="Arial" w:hAnsi="Arial" w:cs="Arial"/>
                <w:b/>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4A2F43"/>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25D8E" w14:textId="77777777" w:rsidR="00E270BD" w:rsidRDefault="00E270BD" w:rsidP="00876019">
      <w:pPr>
        <w:spacing w:after="0" w:line="240" w:lineRule="auto"/>
      </w:pPr>
      <w:r>
        <w:separator/>
      </w:r>
    </w:p>
  </w:endnote>
  <w:endnote w:type="continuationSeparator" w:id="0">
    <w:p w14:paraId="49859D5F" w14:textId="77777777" w:rsidR="00E270BD" w:rsidRDefault="00E270BD"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6E58" w14:textId="77777777" w:rsidR="00E270BD" w:rsidRDefault="00E270BD" w:rsidP="00876019">
      <w:pPr>
        <w:spacing w:after="0" w:line="240" w:lineRule="auto"/>
      </w:pPr>
      <w:r>
        <w:separator/>
      </w:r>
    </w:p>
  </w:footnote>
  <w:footnote w:type="continuationSeparator" w:id="0">
    <w:p w14:paraId="60518752" w14:textId="77777777" w:rsidR="00E270BD" w:rsidRDefault="00E270BD" w:rsidP="00876019">
      <w:pPr>
        <w:spacing w:after="0" w:line="240" w:lineRule="auto"/>
      </w:pPr>
      <w:r>
        <w:continuationSeparator/>
      </w:r>
    </w:p>
  </w:footnote>
  <w:footnote w:id="1">
    <w:p w14:paraId="0E262CA6" w14:textId="264FC931" w:rsidR="004D1D0F" w:rsidRPr="004D1D0F" w:rsidRDefault="004D1D0F">
      <w:pPr>
        <w:pStyle w:val="FootnoteText"/>
        <w:rPr>
          <w:sz w:val="20"/>
          <w:szCs w:val="20"/>
          <w:lang w:val="en-US"/>
        </w:rPr>
      </w:pPr>
      <w:r w:rsidRPr="004D1D0F">
        <w:rPr>
          <w:rStyle w:val="FootnoteReference"/>
          <w:sz w:val="20"/>
          <w:szCs w:val="20"/>
        </w:rPr>
        <w:footnoteRef/>
      </w:r>
      <w:r w:rsidRPr="004D1D0F">
        <w:rPr>
          <w:sz w:val="20"/>
          <w:szCs w:val="20"/>
        </w:rPr>
        <w:t xml:space="preserve"> See </w:t>
      </w:r>
      <w:r w:rsidRPr="004D1D0F">
        <w:rPr>
          <w:bCs/>
          <w:sz w:val="20"/>
          <w:szCs w:val="20"/>
        </w:rPr>
        <w:t>Section 14(2) of the Stock theft Act 12 of 1990</w:t>
      </w:r>
    </w:p>
  </w:footnote>
  <w:footnote w:id="2">
    <w:p w14:paraId="488AC4A0" w14:textId="7B4FCDCB" w:rsidR="008B3F3D" w:rsidRPr="004D1D0F" w:rsidRDefault="008B3F3D">
      <w:pPr>
        <w:pStyle w:val="FootnoteText"/>
        <w:rPr>
          <w:sz w:val="20"/>
          <w:szCs w:val="20"/>
          <w:lang w:val="en-US"/>
        </w:rPr>
      </w:pPr>
      <w:r w:rsidRPr="004D1D0F">
        <w:rPr>
          <w:rStyle w:val="FootnoteReference"/>
          <w:sz w:val="20"/>
          <w:szCs w:val="20"/>
        </w:rPr>
        <w:footnoteRef/>
      </w:r>
      <w:r w:rsidRPr="004D1D0F">
        <w:rPr>
          <w:sz w:val="20"/>
          <w:szCs w:val="20"/>
        </w:rPr>
        <w:t xml:space="preserve"> </w:t>
      </w:r>
      <w:r w:rsidRPr="004D1D0F">
        <w:rPr>
          <w:i/>
          <w:sz w:val="20"/>
          <w:szCs w:val="20"/>
        </w:rPr>
        <w:t>S v Ngueezeta</w:t>
      </w:r>
      <w:r w:rsidRPr="004D1D0F">
        <w:rPr>
          <w:sz w:val="20"/>
          <w:szCs w:val="20"/>
        </w:rPr>
        <w:t xml:space="preserve"> (CR 56-2022) [2022] NAHCNLD 113 (17 October 2022)</w:t>
      </w:r>
    </w:p>
  </w:footnote>
  <w:footnote w:id="3">
    <w:p w14:paraId="6F388437" w14:textId="0E34A2E7" w:rsidR="00716BCD" w:rsidRPr="0099757D" w:rsidRDefault="00716BCD" w:rsidP="00716BCD">
      <w:pPr>
        <w:pStyle w:val="FootnoteText"/>
        <w:rPr>
          <w:sz w:val="20"/>
          <w:szCs w:val="20"/>
          <w:lang w:val="en-US"/>
        </w:rPr>
      </w:pPr>
      <w:r w:rsidRPr="0099757D">
        <w:rPr>
          <w:rStyle w:val="FootnoteReference"/>
          <w:sz w:val="20"/>
          <w:szCs w:val="20"/>
        </w:rPr>
        <w:footnoteRef/>
      </w:r>
      <w:r w:rsidRPr="0099757D">
        <w:rPr>
          <w:sz w:val="20"/>
          <w:szCs w:val="20"/>
        </w:rPr>
        <w:t xml:space="preserve"> </w:t>
      </w:r>
      <w:r w:rsidRPr="0099757D">
        <w:rPr>
          <w:i/>
          <w:sz w:val="20"/>
          <w:szCs w:val="20"/>
          <w:lang w:val="en-ZW"/>
        </w:rPr>
        <w:t xml:space="preserve">S v Tjiveze </w:t>
      </w:r>
      <w:r w:rsidRPr="0099757D">
        <w:rPr>
          <w:sz w:val="20"/>
          <w:szCs w:val="20"/>
          <w:lang w:val="en-ZW"/>
        </w:rPr>
        <w:t>(CR 27-2013) [2013] NAHCMD 110 (24 April 2013) par 13</w:t>
      </w:r>
      <w:r w:rsidR="00EA4FE6">
        <w:rPr>
          <w:sz w:val="20"/>
          <w:szCs w:val="20"/>
          <w:lang w:val="en-ZW"/>
        </w:rPr>
        <w:t xml:space="preserve">; </w:t>
      </w:r>
      <w:r w:rsidR="00EA4FE6" w:rsidRPr="00EA4FE6">
        <w:rPr>
          <w:bCs/>
          <w:i/>
          <w:sz w:val="20"/>
          <w:szCs w:val="20"/>
          <w:lang w:val="en-ZA"/>
        </w:rPr>
        <w:t>S v Lwishi</w:t>
      </w:r>
      <w:r w:rsidR="00EA4FE6" w:rsidRPr="00EA4FE6">
        <w:rPr>
          <w:bCs/>
          <w:sz w:val="20"/>
          <w:szCs w:val="20"/>
          <w:lang w:val="en-ZA"/>
        </w:rPr>
        <w:t xml:space="preserve"> 2012 (1) NR 325 (HC)</w:t>
      </w:r>
    </w:p>
  </w:footnote>
  <w:footnote w:id="4">
    <w:p w14:paraId="6635297D" w14:textId="77777777" w:rsidR="00716BCD" w:rsidRPr="008508FA" w:rsidRDefault="00716BCD" w:rsidP="00716BCD">
      <w:pPr>
        <w:pStyle w:val="FootnoteText"/>
        <w:rPr>
          <w:sz w:val="20"/>
          <w:szCs w:val="20"/>
          <w:lang w:val="en-US"/>
        </w:rPr>
      </w:pPr>
      <w:r w:rsidRPr="008508FA">
        <w:rPr>
          <w:rStyle w:val="FootnoteReference"/>
          <w:sz w:val="20"/>
          <w:szCs w:val="20"/>
        </w:rPr>
        <w:footnoteRef/>
      </w:r>
      <w:r w:rsidRPr="008508FA">
        <w:rPr>
          <w:sz w:val="20"/>
          <w:szCs w:val="20"/>
        </w:rPr>
        <w:t xml:space="preserve"> </w:t>
      </w:r>
      <w:r w:rsidRPr="008508FA">
        <w:rPr>
          <w:i/>
          <w:sz w:val="20"/>
          <w:szCs w:val="20"/>
          <w:lang w:val="en-ZW"/>
        </w:rPr>
        <w:t>State v Mbahuma Tjambiru and two other cases</w:t>
      </w:r>
      <w:r w:rsidRPr="008508FA">
        <w:rPr>
          <w:sz w:val="20"/>
          <w:szCs w:val="20"/>
          <w:lang w:val="en-ZW"/>
        </w:rPr>
        <w:t xml:space="preserve"> (Case No’s CR47/2008; CR48/2008 &amp; CR 49/2008) delivered on 21 July 2008</w:t>
      </w:r>
    </w:p>
  </w:footnote>
  <w:footnote w:id="5">
    <w:p w14:paraId="2BA632AC" w14:textId="45B7FA75" w:rsidR="006330E2" w:rsidRPr="006330E2" w:rsidRDefault="006330E2">
      <w:pPr>
        <w:pStyle w:val="FootnoteText"/>
        <w:rPr>
          <w:sz w:val="20"/>
          <w:szCs w:val="20"/>
          <w:lang w:val="en-US"/>
        </w:rPr>
      </w:pPr>
      <w:r w:rsidRPr="006330E2">
        <w:rPr>
          <w:rStyle w:val="FootnoteReference"/>
          <w:sz w:val="20"/>
          <w:szCs w:val="20"/>
        </w:rPr>
        <w:footnoteRef/>
      </w:r>
      <w:r w:rsidRPr="006330E2">
        <w:rPr>
          <w:sz w:val="20"/>
          <w:szCs w:val="20"/>
        </w:rPr>
        <w:t xml:space="preserve"> </w:t>
      </w:r>
      <w:r w:rsidRPr="006330E2">
        <w:rPr>
          <w:i/>
          <w:sz w:val="20"/>
          <w:szCs w:val="20"/>
          <w:lang w:val="en-ZA"/>
        </w:rPr>
        <w:t>S v Katzoa</w:t>
      </w:r>
      <w:r>
        <w:rPr>
          <w:i/>
          <w:sz w:val="20"/>
          <w:szCs w:val="20"/>
          <w:lang w:val="en-ZA"/>
        </w:rPr>
        <w:t xml:space="preserve"> </w:t>
      </w:r>
      <w:r w:rsidRPr="006330E2">
        <w:rPr>
          <w:sz w:val="20"/>
          <w:szCs w:val="20"/>
          <w:lang w:val="en-ZA"/>
        </w:rPr>
        <w:t xml:space="preserve">(CR 99/2021) [2021] NAHCMD 503 (29 October 2021); </w:t>
      </w:r>
      <w:r w:rsidRPr="006330E2">
        <w:rPr>
          <w:i/>
          <w:sz w:val="20"/>
          <w:szCs w:val="20"/>
          <w:lang w:val="en-ZA"/>
        </w:rPr>
        <w:t xml:space="preserve">S v Kamavei </w:t>
      </w:r>
      <w:r w:rsidRPr="006330E2">
        <w:rPr>
          <w:sz w:val="20"/>
          <w:szCs w:val="20"/>
          <w:lang w:val="en-ZA"/>
        </w:rPr>
        <w:t>(CR 32/2014) [2014] NAHCMD 198 (25 June 2014)</w:t>
      </w:r>
      <w:r>
        <w:rPr>
          <w:sz w:val="20"/>
          <w:szCs w:val="20"/>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E2725E">
          <w:rPr>
            <w:noProof/>
          </w:rPr>
          <w:t>4</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2"/>
  </w:num>
  <w:num w:numId="12">
    <w:abstractNumId w:val="30"/>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1"/>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41B7"/>
    <w:rsid w:val="00050D5A"/>
    <w:rsid w:val="000546D4"/>
    <w:rsid w:val="00055B59"/>
    <w:rsid w:val="00061DC1"/>
    <w:rsid w:val="000662E4"/>
    <w:rsid w:val="0007338E"/>
    <w:rsid w:val="0008318E"/>
    <w:rsid w:val="00084106"/>
    <w:rsid w:val="00085DD1"/>
    <w:rsid w:val="00092F94"/>
    <w:rsid w:val="00093637"/>
    <w:rsid w:val="000A0C52"/>
    <w:rsid w:val="000A0FB1"/>
    <w:rsid w:val="000A6FBE"/>
    <w:rsid w:val="000D1F2A"/>
    <w:rsid w:val="000D1F51"/>
    <w:rsid w:val="000E433C"/>
    <w:rsid w:val="000E50E5"/>
    <w:rsid w:val="000E7ABD"/>
    <w:rsid w:val="000F16F0"/>
    <w:rsid w:val="000F3FC2"/>
    <w:rsid w:val="000F697C"/>
    <w:rsid w:val="00100402"/>
    <w:rsid w:val="00102576"/>
    <w:rsid w:val="0010569A"/>
    <w:rsid w:val="0010717A"/>
    <w:rsid w:val="00107B33"/>
    <w:rsid w:val="001176A1"/>
    <w:rsid w:val="00126937"/>
    <w:rsid w:val="00126F69"/>
    <w:rsid w:val="0015187E"/>
    <w:rsid w:val="001634D4"/>
    <w:rsid w:val="00180CD5"/>
    <w:rsid w:val="00196CE0"/>
    <w:rsid w:val="001A2FF7"/>
    <w:rsid w:val="001A6E95"/>
    <w:rsid w:val="001B5D99"/>
    <w:rsid w:val="001C4126"/>
    <w:rsid w:val="001C74D7"/>
    <w:rsid w:val="001D2DB9"/>
    <w:rsid w:val="001D44D5"/>
    <w:rsid w:val="001E2262"/>
    <w:rsid w:val="001E4348"/>
    <w:rsid w:val="001E64D0"/>
    <w:rsid w:val="001E7A41"/>
    <w:rsid w:val="001F3AE3"/>
    <w:rsid w:val="001F6BD0"/>
    <w:rsid w:val="0020451B"/>
    <w:rsid w:val="002045FA"/>
    <w:rsid w:val="00212D99"/>
    <w:rsid w:val="002171BD"/>
    <w:rsid w:val="00221E6B"/>
    <w:rsid w:val="0024682C"/>
    <w:rsid w:val="00254F50"/>
    <w:rsid w:val="0027137B"/>
    <w:rsid w:val="002724A4"/>
    <w:rsid w:val="002732A3"/>
    <w:rsid w:val="00274978"/>
    <w:rsid w:val="00275979"/>
    <w:rsid w:val="00275B6C"/>
    <w:rsid w:val="00277042"/>
    <w:rsid w:val="002900F7"/>
    <w:rsid w:val="002A0F53"/>
    <w:rsid w:val="002D187D"/>
    <w:rsid w:val="002D2A94"/>
    <w:rsid w:val="002D32B8"/>
    <w:rsid w:val="002D675B"/>
    <w:rsid w:val="002D6E8E"/>
    <w:rsid w:val="002E0203"/>
    <w:rsid w:val="002E5FC5"/>
    <w:rsid w:val="002F091E"/>
    <w:rsid w:val="002F3921"/>
    <w:rsid w:val="00326F81"/>
    <w:rsid w:val="00332203"/>
    <w:rsid w:val="00333F97"/>
    <w:rsid w:val="00337804"/>
    <w:rsid w:val="003411DF"/>
    <w:rsid w:val="00346761"/>
    <w:rsid w:val="0035126E"/>
    <w:rsid w:val="00355CDB"/>
    <w:rsid w:val="003665FC"/>
    <w:rsid w:val="00380C6B"/>
    <w:rsid w:val="003826D4"/>
    <w:rsid w:val="00387859"/>
    <w:rsid w:val="00394538"/>
    <w:rsid w:val="003A1E9F"/>
    <w:rsid w:val="003A5C9F"/>
    <w:rsid w:val="003B627B"/>
    <w:rsid w:val="003B7528"/>
    <w:rsid w:val="003C39E4"/>
    <w:rsid w:val="003C5DF6"/>
    <w:rsid w:val="003E0008"/>
    <w:rsid w:val="003E2FF8"/>
    <w:rsid w:val="003E3A6E"/>
    <w:rsid w:val="003E5030"/>
    <w:rsid w:val="003E543D"/>
    <w:rsid w:val="003E7EE2"/>
    <w:rsid w:val="003F4F9D"/>
    <w:rsid w:val="00407B93"/>
    <w:rsid w:val="00411CF7"/>
    <w:rsid w:val="0041490E"/>
    <w:rsid w:val="00415971"/>
    <w:rsid w:val="00426A0B"/>
    <w:rsid w:val="00434D26"/>
    <w:rsid w:val="00440690"/>
    <w:rsid w:val="004573C3"/>
    <w:rsid w:val="004577DF"/>
    <w:rsid w:val="004626A7"/>
    <w:rsid w:val="00470725"/>
    <w:rsid w:val="004773B9"/>
    <w:rsid w:val="0048572B"/>
    <w:rsid w:val="00491407"/>
    <w:rsid w:val="00491BC9"/>
    <w:rsid w:val="00497471"/>
    <w:rsid w:val="004A2F43"/>
    <w:rsid w:val="004A3E9E"/>
    <w:rsid w:val="004A6667"/>
    <w:rsid w:val="004B1D02"/>
    <w:rsid w:val="004C25B7"/>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267F8"/>
    <w:rsid w:val="00531286"/>
    <w:rsid w:val="005323F3"/>
    <w:rsid w:val="00561530"/>
    <w:rsid w:val="005626FF"/>
    <w:rsid w:val="00566D3F"/>
    <w:rsid w:val="00566E7D"/>
    <w:rsid w:val="0057079A"/>
    <w:rsid w:val="00572E1C"/>
    <w:rsid w:val="00580316"/>
    <w:rsid w:val="005955A2"/>
    <w:rsid w:val="005976C2"/>
    <w:rsid w:val="005A086B"/>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51E"/>
    <w:rsid w:val="00627CE3"/>
    <w:rsid w:val="006330E2"/>
    <w:rsid w:val="00633BFE"/>
    <w:rsid w:val="006342A1"/>
    <w:rsid w:val="006360E1"/>
    <w:rsid w:val="00640897"/>
    <w:rsid w:val="006426FF"/>
    <w:rsid w:val="00644069"/>
    <w:rsid w:val="00651295"/>
    <w:rsid w:val="00663A71"/>
    <w:rsid w:val="00663F05"/>
    <w:rsid w:val="006678C3"/>
    <w:rsid w:val="00674F05"/>
    <w:rsid w:val="006760F9"/>
    <w:rsid w:val="0068394D"/>
    <w:rsid w:val="00683A44"/>
    <w:rsid w:val="006879BC"/>
    <w:rsid w:val="006915BD"/>
    <w:rsid w:val="006A0772"/>
    <w:rsid w:val="006A4D53"/>
    <w:rsid w:val="006A671A"/>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941E4"/>
    <w:rsid w:val="00794521"/>
    <w:rsid w:val="00795070"/>
    <w:rsid w:val="007A17D4"/>
    <w:rsid w:val="007A3213"/>
    <w:rsid w:val="007A683E"/>
    <w:rsid w:val="007B3C94"/>
    <w:rsid w:val="007C2B5B"/>
    <w:rsid w:val="007C3924"/>
    <w:rsid w:val="007E0A86"/>
    <w:rsid w:val="007F6EE0"/>
    <w:rsid w:val="00801CEF"/>
    <w:rsid w:val="0080315A"/>
    <w:rsid w:val="00811E7C"/>
    <w:rsid w:val="008159B3"/>
    <w:rsid w:val="00825611"/>
    <w:rsid w:val="00831375"/>
    <w:rsid w:val="0083610E"/>
    <w:rsid w:val="008458A4"/>
    <w:rsid w:val="008506D9"/>
    <w:rsid w:val="008508FA"/>
    <w:rsid w:val="00851DC4"/>
    <w:rsid w:val="00851F22"/>
    <w:rsid w:val="00853C76"/>
    <w:rsid w:val="0085452C"/>
    <w:rsid w:val="00855E71"/>
    <w:rsid w:val="0087185D"/>
    <w:rsid w:val="008737DF"/>
    <w:rsid w:val="00876019"/>
    <w:rsid w:val="00887281"/>
    <w:rsid w:val="00887A9F"/>
    <w:rsid w:val="00887F88"/>
    <w:rsid w:val="00893C1D"/>
    <w:rsid w:val="00897BF0"/>
    <w:rsid w:val="008A1AAD"/>
    <w:rsid w:val="008A21A4"/>
    <w:rsid w:val="008A7E59"/>
    <w:rsid w:val="008B3F3D"/>
    <w:rsid w:val="008C13E4"/>
    <w:rsid w:val="008C42F1"/>
    <w:rsid w:val="008D35F4"/>
    <w:rsid w:val="008D367F"/>
    <w:rsid w:val="008D7303"/>
    <w:rsid w:val="008D7C2F"/>
    <w:rsid w:val="008E077C"/>
    <w:rsid w:val="008E2A5A"/>
    <w:rsid w:val="008E2C81"/>
    <w:rsid w:val="008F03B8"/>
    <w:rsid w:val="008F21EB"/>
    <w:rsid w:val="008F6EEA"/>
    <w:rsid w:val="00900D1C"/>
    <w:rsid w:val="009019B4"/>
    <w:rsid w:val="00905C0B"/>
    <w:rsid w:val="00911083"/>
    <w:rsid w:val="00930AE1"/>
    <w:rsid w:val="009360C9"/>
    <w:rsid w:val="009428E5"/>
    <w:rsid w:val="00955002"/>
    <w:rsid w:val="009665B7"/>
    <w:rsid w:val="00973519"/>
    <w:rsid w:val="00975DC4"/>
    <w:rsid w:val="00976D05"/>
    <w:rsid w:val="009907FA"/>
    <w:rsid w:val="0099114F"/>
    <w:rsid w:val="0099757D"/>
    <w:rsid w:val="009A46D8"/>
    <w:rsid w:val="009B3B6A"/>
    <w:rsid w:val="009B3FF1"/>
    <w:rsid w:val="009D0858"/>
    <w:rsid w:val="009E04C2"/>
    <w:rsid w:val="009F302B"/>
    <w:rsid w:val="009F3B5D"/>
    <w:rsid w:val="00A10DCB"/>
    <w:rsid w:val="00A17821"/>
    <w:rsid w:val="00A237F2"/>
    <w:rsid w:val="00A240AE"/>
    <w:rsid w:val="00A32C04"/>
    <w:rsid w:val="00A34420"/>
    <w:rsid w:val="00A45709"/>
    <w:rsid w:val="00A45A27"/>
    <w:rsid w:val="00A620C9"/>
    <w:rsid w:val="00A6571A"/>
    <w:rsid w:val="00A87D90"/>
    <w:rsid w:val="00A907B5"/>
    <w:rsid w:val="00AA1358"/>
    <w:rsid w:val="00AA3578"/>
    <w:rsid w:val="00AA42C7"/>
    <w:rsid w:val="00AA57B2"/>
    <w:rsid w:val="00AB335C"/>
    <w:rsid w:val="00AD17BC"/>
    <w:rsid w:val="00AD6E06"/>
    <w:rsid w:val="00AE46D1"/>
    <w:rsid w:val="00AF6513"/>
    <w:rsid w:val="00AF77F2"/>
    <w:rsid w:val="00AF7806"/>
    <w:rsid w:val="00B052B7"/>
    <w:rsid w:val="00B068C5"/>
    <w:rsid w:val="00B1317F"/>
    <w:rsid w:val="00B16FB3"/>
    <w:rsid w:val="00B234F7"/>
    <w:rsid w:val="00B348F5"/>
    <w:rsid w:val="00B349EF"/>
    <w:rsid w:val="00B47CB9"/>
    <w:rsid w:val="00B54F0E"/>
    <w:rsid w:val="00B5501A"/>
    <w:rsid w:val="00B70F72"/>
    <w:rsid w:val="00B8243F"/>
    <w:rsid w:val="00B83F16"/>
    <w:rsid w:val="00B93071"/>
    <w:rsid w:val="00B937C1"/>
    <w:rsid w:val="00B9528A"/>
    <w:rsid w:val="00BA400F"/>
    <w:rsid w:val="00BA7226"/>
    <w:rsid w:val="00BA73CD"/>
    <w:rsid w:val="00BB50F4"/>
    <w:rsid w:val="00BC07EE"/>
    <w:rsid w:val="00BC3CAD"/>
    <w:rsid w:val="00BE4E1E"/>
    <w:rsid w:val="00C0139C"/>
    <w:rsid w:val="00C03258"/>
    <w:rsid w:val="00C03CAA"/>
    <w:rsid w:val="00C10467"/>
    <w:rsid w:val="00C1102E"/>
    <w:rsid w:val="00C15951"/>
    <w:rsid w:val="00C202FB"/>
    <w:rsid w:val="00C23CEB"/>
    <w:rsid w:val="00C23DE0"/>
    <w:rsid w:val="00C25630"/>
    <w:rsid w:val="00C27C03"/>
    <w:rsid w:val="00C4322E"/>
    <w:rsid w:val="00C47395"/>
    <w:rsid w:val="00C509C6"/>
    <w:rsid w:val="00C52878"/>
    <w:rsid w:val="00C53E4D"/>
    <w:rsid w:val="00C572BC"/>
    <w:rsid w:val="00C653CD"/>
    <w:rsid w:val="00C66043"/>
    <w:rsid w:val="00C73D72"/>
    <w:rsid w:val="00C74CB6"/>
    <w:rsid w:val="00CA1392"/>
    <w:rsid w:val="00CB3319"/>
    <w:rsid w:val="00CC1D8A"/>
    <w:rsid w:val="00CC6BA2"/>
    <w:rsid w:val="00CC73B9"/>
    <w:rsid w:val="00CD137B"/>
    <w:rsid w:val="00CD3DD8"/>
    <w:rsid w:val="00CE35D5"/>
    <w:rsid w:val="00CE41E2"/>
    <w:rsid w:val="00CF6D5C"/>
    <w:rsid w:val="00CF6E24"/>
    <w:rsid w:val="00D007A5"/>
    <w:rsid w:val="00D01490"/>
    <w:rsid w:val="00D2153A"/>
    <w:rsid w:val="00D30CC8"/>
    <w:rsid w:val="00D3124B"/>
    <w:rsid w:val="00D5003F"/>
    <w:rsid w:val="00D539A5"/>
    <w:rsid w:val="00D55377"/>
    <w:rsid w:val="00D61011"/>
    <w:rsid w:val="00D66F84"/>
    <w:rsid w:val="00D711C1"/>
    <w:rsid w:val="00D74BC9"/>
    <w:rsid w:val="00D83FDF"/>
    <w:rsid w:val="00D9357E"/>
    <w:rsid w:val="00D95D2B"/>
    <w:rsid w:val="00DA19CE"/>
    <w:rsid w:val="00DA70A9"/>
    <w:rsid w:val="00DB0961"/>
    <w:rsid w:val="00DB6D7C"/>
    <w:rsid w:val="00DD40D5"/>
    <w:rsid w:val="00DD65B0"/>
    <w:rsid w:val="00DE1B0C"/>
    <w:rsid w:val="00DE51A8"/>
    <w:rsid w:val="00DE60AF"/>
    <w:rsid w:val="00DF259F"/>
    <w:rsid w:val="00DF466A"/>
    <w:rsid w:val="00DF6857"/>
    <w:rsid w:val="00E07622"/>
    <w:rsid w:val="00E179A7"/>
    <w:rsid w:val="00E23169"/>
    <w:rsid w:val="00E239FA"/>
    <w:rsid w:val="00E270BD"/>
    <w:rsid w:val="00E2725E"/>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3B3B"/>
    <w:rsid w:val="00EB4D8A"/>
    <w:rsid w:val="00ED2788"/>
    <w:rsid w:val="00EE67CB"/>
    <w:rsid w:val="00EF1996"/>
    <w:rsid w:val="00EF52CC"/>
    <w:rsid w:val="00EF55C3"/>
    <w:rsid w:val="00F0097B"/>
    <w:rsid w:val="00F079A1"/>
    <w:rsid w:val="00F232B3"/>
    <w:rsid w:val="00F243D4"/>
    <w:rsid w:val="00F30966"/>
    <w:rsid w:val="00F328DE"/>
    <w:rsid w:val="00F3365D"/>
    <w:rsid w:val="00F37426"/>
    <w:rsid w:val="00F40042"/>
    <w:rsid w:val="00F47AEF"/>
    <w:rsid w:val="00F520C5"/>
    <w:rsid w:val="00F723FD"/>
    <w:rsid w:val="00F82004"/>
    <w:rsid w:val="00F8219E"/>
    <w:rsid w:val="00F827E7"/>
    <w:rsid w:val="00F86668"/>
    <w:rsid w:val="00F913E1"/>
    <w:rsid w:val="00F91DEC"/>
    <w:rsid w:val="00FA5269"/>
    <w:rsid w:val="00FB0E2C"/>
    <w:rsid w:val="00FD3AA1"/>
    <w:rsid w:val="00FD42E6"/>
    <w:rsid w:val="00FD5E7D"/>
    <w:rsid w:val="00FE1836"/>
    <w:rsid w:val="00F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2023-07-05T18:30:00+00:00</Judgment_x0020_Date>
  </documentManagement>
</p:properties>
</file>

<file path=customXml/itemProps1.xml><?xml version="1.0" encoding="utf-8"?>
<ds:datastoreItem xmlns:ds="http://schemas.openxmlformats.org/officeDocument/2006/customXml" ds:itemID="{C7ED3841-5EE0-4E12-8583-957F5611AE02}"/>
</file>

<file path=customXml/itemProps2.xml><?xml version="1.0" encoding="utf-8"?>
<ds:datastoreItem xmlns:ds="http://schemas.openxmlformats.org/officeDocument/2006/customXml" ds:itemID="{81039378-FF55-4BC7-9D4F-F145CE92C925}"/>
</file>

<file path=customXml/itemProps3.xml><?xml version="1.0" encoding="utf-8"?>
<ds:datastoreItem xmlns:ds="http://schemas.openxmlformats.org/officeDocument/2006/customXml" ds:itemID="{40D506AE-FB91-4040-8D79-DEA46DE16B81}"/>
</file>

<file path=customXml/itemProps4.xml><?xml version="1.0" encoding="utf-8"?>
<ds:datastoreItem xmlns:ds="http://schemas.openxmlformats.org/officeDocument/2006/customXml" ds:itemID="{11168885-4B6C-4590-840B-485D35DC0098}"/>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 v K Nguweezeta</vt:lpstr>
    </vt:vector>
  </TitlesOfParts>
  <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Ngueezeta  (CR 25 2023) [2023] NAHCNLD 60 (6 July 2023)</dc:title>
  <dc:creator>Erich.Kesslau@jud.gov.na</dc:creator>
  <cp:keywords/>
  <cp:lastModifiedBy>Hilma Shigwedha</cp:lastModifiedBy>
  <cp:revision>2</cp:revision>
  <cp:lastPrinted>2023-07-07T13:51:00Z</cp:lastPrinted>
  <dcterms:created xsi:type="dcterms:W3CDTF">2023-07-10T08:37:00Z</dcterms:created>
  <dcterms:modified xsi:type="dcterms:W3CDTF">2023-07-10T08:37:00Z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