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ZA" w:eastAsia="en-ZA"/>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ZA" w:eastAsia="en-ZA"/>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pPr>
              <w:spacing w:line="24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10CDAFAF" w:rsidR="005E2973" w:rsidRDefault="00B16FB3">
            <w:pPr>
              <w:spacing w:line="240" w:lineRule="auto"/>
              <w:jc w:val="both"/>
              <w:rPr>
                <w:rFonts w:ascii="Arial" w:hAnsi="Arial" w:cs="Arial"/>
                <w:i/>
                <w:sz w:val="24"/>
                <w:szCs w:val="24"/>
              </w:rPr>
            </w:pPr>
            <w:r w:rsidRPr="0087185D">
              <w:rPr>
                <w:rFonts w:ascii="Arial" w:hAnsi="Arial" w:cs="Arial"/>
                <w:i/>
                <w:sz w:val="24"/>
                <w:szCs w:val="24"/>
              </w:rPr>
              <w:t xml:space="preserve"> </w:t>
            </w:r>
            <w:r w:rsidR="008F21EB">
              <w:rPr>
                <w:rFonts w:ascii="Arial" w:hAnsi="Arial" w:cs="Arial"/>
                <w:i/>
                <w:sz w:val="24"/>
                <w:szCs w:val="24"/>
              </w:rPr>
              <w:t xml:space="preserve">The State v </w:t>
            </w:r>
            <w:r w:rsidR="00AC24A8" w:rsidRPr="00AC24A8">
              <w:rPr>
                <w:rFonts w:ascii="Arial" w:hAnsi="Arial" w:cs="Arial"/>
                <w:i/>
                <w:sz w:val="24"/>
                <w:szCs w:val="24"/>
              </w:rPr>
              <w:t>Jonas Nghidini Ndhidipaa</w:t>
            </w:r>
          </w:p>
          <w:p w14:paraId="099FBAE1" w14:textId="7AE196CA" w:rsidR="005B654F" w:rsidRDefault="005B654F">
            <w:pPr>
              <w:spacing w:line="240" w:lineRule="auto"/>
              <w:jc w:val="both"/>
              <w:rPr>
                <w:rFonts w:ascii="Arial" w:hAnsi="Arial" w:cs="Arial"/>
                <w:i/>
                <w:sz w:val="24"/>
                <w:szCs w:val="24"/>
              </w:rPr>
            </w:pPr>
            <w:r>
              <w:rPr>
                <w:rFonts w:ascii="Arial" w:hAnsi="Arial" w:cs="Arial"/>
                <w:i/>
                <w:sz w:val="24"/>
                <w:szCs w:val="24"/>
              </w:rPr>
              <w:t>The State v Michael Tomas Nailenge</w:t>
            </w:r>
          </w:p>
          <w:p w14:paraId="7AE558D2" w14:textId="41115418" w:rsidR="00E81983" w:rsidRPr="0087185D" w:rsidRDefault="00E81983">
            <w:pPr>
              <w:spacing w:line="240" w:lineRule="auto"/>
              <w:jc w:val="both"/>
              <w:rPr>
                <w:rFonts w:ascii="Arial" w:hAnsi="Arial" w:cs="Arial"/>
                <w:b/>
                <w:sz w:val="24"/>
                <w:szCs w:val="24"/>
              </w:rPr>
            </w:pPr>
            <w:r>
              <w:rPr>
                <w:rFonts w:ascii="Arial" w:hAnsi="Arial" w:cs="Arial"/>
                <w:i/>
                <w:sz w:val="24"/>
                <w:szCs w:val="24"/>
              </w:rPr>
              <w:t>The State v Keendjele Moses Martin</w:t>
            </w:r>
          </w:p>
          <w:p w14:paraId="55F831C8" w14:textId="6BABE8B4" w:rsidR="005E2973" w:rsidRPr="0087185D" w:rsidRDefault="005E2973" w:rsidP="004C69C8">
            <w:pPr>
              <w:spacing w:line="24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4F7650EE" w:rsidR="005E2973" w:rsidRPr="0087185D" w:rsidRDefault="005E2973">
            <w:pPr>
              <w:spacing w:line="240" w:lineRule="auto"/>
              <w:jc w:val="both"/>
              <w:rPr>
                <w:rFonts w:ascii="Arial" w:hAnsi="Arial" w:cs="Arial"/>
                <w:bCs/>
                <w:sz w:val="24"/>
                <w:szCs w:val="24"/>
              </w:rPr>
            </w:pPr>
            <w:r w:rsidRPr="0087185D">
              <w:rPr>
                <w:rFonts w:ascii="Arial" w:hAnsi="Arial" w:cs="Arial"/>
                <w:bCs/>
                <w:sz w:val="24"/>
                <w:szCs w:val="24"/>
              </w:rPr>
              <w:t>C</w:t>
            </w:r>
            <w:r w:rsidR="008B76DA">
              <w:rPr>
                <w:rFonts w:ascii="Arial" w:hAnsi="Arial" w:cs="Arial"/>
                <w:bCs/>
                <w:sz w:val="24"/>
                <w:szCs w:val="24"/>
              </w:rPr>
              <w:t>ase No</w:t>
            </w:r>
            <w:r w:rsidRPr="0087185D">
              <w:rPr>
                <w:rFonts w:ascii="Arial" w:hAnsi="Arial" w:cs="Arial"/>
                <w:bCs/>
                <w:sz w:val="24"/>
                <w:szCs w:val="24"/>
              </w:rPr>
              <w:t xml:space="preserve">: </w:t>
            </w:r>
            <w:r w:rsidR="008B76DA">
              <w:rPr>
                <w:rFonts w:ascii="Arial" w:hAnsi="Arial" w:cs="Arial"/>
                <w:bCs/>
                <w:sz w:val="24"/>
                <w:szCs w:val="24"/>
              </w:rPr>
              <w:t>31</w:t>
            </w:r>
            <w:r w:rsidRPr="0087185D">
              <w:rPr>
                <w:rFonts w:ascii="Arial" w:hAnsi="Arial" w:cs="Arial"/>
                <w:bCs/>
                <w:sz w:val="24"/>
                <w:szCs w:val="24"/>
              </w:rPr>
              <w:t>/202</w:t>
            </w:r>
            <w:r w:rsidR="00937202">
              <w:rPr>
                <w:rFonts w:ascii="Arial" w:hAnsi="Arial" w:cs="Arial"/>
                <w:bCs/>
                <w:sz w:val="24"/>
                <w:szCs w:val="24"/>
              </w:rPr>
              <w:t>3</w:t>
            </w:r>
          </w:p>
          <w:p w14:paraId="1F6162C3" w14:textId="323D310B" w:rsidR="005E2973" w:rsidRPr="001F3AE3" w:rsidRDefault="00AC24A8">
            <w:pPr>
              <w:spacing w:line="240" w:lineRule="auto"/>
              <w:jc w:val="both"/>
              <w:rPr>
                <w:rFonts w:ascii="Arial" w:hAnsi="Arial" w:cs="Arial"/>
                <w:sz w:val="24"/>
                <w:szCs w:val="24"/>
              </w:rPr>
            </w:pPr>
            <w:r>
              <w:rPr>
                <w:rFonts w:ascii="Arial" w:hAnsi="Arial" w:cs="Arial"/>
                <w:b/>
                <w:sz w:val="24"/>
                <w:szCs w:val="24"/>
              </w:rPr>
              <w:t>Outapi</w:t>
            </w:r>
            <w:r w:rsidR="001F3AE3">
              <w:rPr>
                <w:rFonts w:ascii="Arial" w:hAnsi="Arial" w:cs="Arial"/>
                <w:sz w:val="24"/>
                <w:szCs w:val="24"/>
              </w:rPr>
              <w:t xml:space="preserve">: </w:t>
            </w:r>
            <w:r>
              <w:rPr>
                <w:rFonts w:ascii="Arial" w:hAnsi="Arial" w:cs="Arial"/>
                <w:sz w:val="24"/>
                <w:szCs w:val="24"/>
              </w:rPr>
              <w:t>395/2019</w:t>
            </w:r>
            <w:r w:rsidR="005B654F">
              <w:rPr>
                <w:rFonts w:ascii="Arial" w:hAnsi="Arial" w:cs="Arial"/>
                <w:sz w:val="24"/>
                <w:szCs w:val="24"/>
              </w:rPr>
              <w:t>; 92/2023</w:t>
            </w:r>
            <w:r w:rsidR="00E81983">
              <w:rPr>
                <w:rFonts w:ascii="Arial" w:hAnsi="Arial" w:cs="Arial"/>
                <w:sz w:val="24"/>
                <w:szCs w:val="24"/>
              </w:rPr>
              <w:t>; 184/2023</w:t>
            </w:r>
          </w:p>
          <w:p w14:paraId="7616839D" w14:textId="77777777" w:rsidR="005E2973" w:rsidRPr="0087185D" w:rsidRDefault="005E2973">
            <w:pPr>
              <w:spacing w:line="240" w:lineRule="auto"/>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pPr>
              <w:spacing w:line="24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pPr>
              <w:spacing w:line="24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pPr>
              <w:spacing w:line="24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pPr>
              <w:spacing w:line="24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6F03F7">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8F21EB">
            <w:pPr>
              <w:spacing w:line="240" w:lineRule="auto"/>
              <w:jc w:val="both"/>
              <w:rPr>
                <w:rFonts w:ascii="Arial" w:hAnsi="Arial" w:cs="Arial"/>
                <w:b/>
                <w:sz w:val="24"/>
                <w:szCs w:val="24"/>
              </w:rPr>
            </w:pPr>
            <w:r w:rsidRPr="0087185D">
              <w:rPr>
                <w:rFonts w:ascii="Arial" w:hAnsi="Arial" w:cs="Arial"/>
                <w:b/>
                <w:sz w:val="24"/>
                <w:szCs w:val="24"/>
              </w:rPr>
              <w:t>Delivered on:</w:t>
            </w:r>
          </w:p>
          <w:p w14:paraId="54AA9858" w14:textId="740F816D" w:rsidR="00876019" w:rsidRPr="0087185D" w:rsidRDefault="002900F7" w:rsidP="0007074B">
            <w:pPr>
              <w:spacing w:line="240" w:lineRule="auto"/>
              <w:jc w:val="both"/>
              <w:rPr>
                <w:rFonts w:ascii="Arial" w:hAnsi="Arial" w:cs="Arial"/>
                <w:b/>
                <w:sz w:val="24"/>
                <w:szCs w:val="24"/>
              </w:rPr>
            </w:pPr>
            <w:r>
              <w:rPr>
                <w:rFonts w:ascii="Arial" w:hAnsi="Arial" w:cs="Arial"/>
                <w:sz w:val="24"/>
                <w:szCs w:val="24"/>
              </w:rPr>
              <w:t xml:space="preserve"> </w:t>
            </w:r>
            <w:r w:rsidR="00100402">
              <w:rPr>
                <w:rFonts w:ascii="Arial" w:hAnsi="Arial" w:cs="Arial"/>
                <w:sz w:val="24"/>
                <w:szCs w:val="24"/>
              </w:rPr>
              <w:t xml:space="preserve"> </w:t>
            </w:r>
            <w:r w:rsidR="0007074B">
              <w:rPr>
                <w:rFonts w:ascii="Arial" w:hAnsi="Arial" w:cs="Arial"/>
                <w:sz w:val="24"/>
                <w:szCs w:val="24"/>
              </w:rPr>
              <w:t>4 September</w:t>
            </w:r>
            <w:r w:rsidR="006F03F7">
              <w:rPr>
                <w:rFonts w:ascii="Arial" w:hAnsi="Arial" w:cs="Arial"/>
                <w:sz w:val="24"/>
                <w:szCs w:val="24"/>
              </w:rPr>
              <w:t xml:space="preserve"> 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2D6885D8"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 xml:space="preserve">S v </w:t>
            </w:r>
            <w:r w:rsidR="00AC24A8" w:rsidRPr="00AC24A8">
              <w:rPr>
                <w:rFonts w:ascii="Arial" w:hAnsi="Arial" w:cs="Arial"/>
                <w:i/>
                <w:sz w:val="24"/>
                <w:szCs w:val="24"/>
              </w:rPr>
              <w:t>Ndhidipaa</w:t>
            </w:r>
            <w:r w:rsidR="005B654F">
              <w:rPr>
                <w:rFonts w:ascii="Arial" w:hAnsi="Arial" w:cs="Arial"/>
                <w:i/>
                <w:sz w:val="24"/>
                <w:szCs w:val="24"/>
              </w:rPr>
              <w:t>; S v Nailenge</w:t>
            </w:r>
            <w:r w:rsidR="00E81983">
              <w:rPr>
                <w:rFonts w:ascii="Arial" w:hAnsi="Arial" w:cs="Arial"/>
                <w:i/>
                <w:sz w:val="24"/>
                <w:szCs w:val="24"/>
              </w:rPr>
              <w:t>; S v Martin</w:t>
            </w:r>
            <w:r w:rsidR="00AC24A8">
              <w:rPr>
                <w:rFonts w:ascii="Arial" w:hAnsi="Arial" w:cs="Arial"/>
                <w:i/>
                <w:sz w:val="24"/>
                <w:szCs w:val="24"/>
              </w:rPr>
              <w:t xml:space="preserve"> </w:t>
            </w:r>
            <w:r w:rsidR="00326F81" w:rsidRPr="00F0097B">
              <w:rPr>
                <w:rFonts w:ascii="Arial" w:hAnsi="Arial" w:cs="Arial"/>
                <w:sz w:val="24"/>
                <w:szCs w:val="24"/>
              </w:rPr>
              <w:t>(CR</w:t>
            </w:r>
            <w:r w:rsidR="005E2973" w:rsidRPr="00F0097B">
              <w:rPr>
                <w:rFonts w:ascii="Arial" w:hAnsi="Arial" w:cs="Arial"/>
                <w:sz w:val="24"/>
                <w:szCs w:val="24"/>
              </w:rPr>
              <w:t xml:space="preserve"> </w:t>
            </w:r>
            <w:r w:rsidR="008B76DA">
              <w:rPr>
                <w:rFonts w:ascii="Arial" w:hAnsi="Arial" w:cs="Arial"/>
                <w:sz w:val="24"/>
                <w:szCs w:val="24"/>
              </w:rPr>
              <w:t>31</w:t>
            </w:r>
            <w:r w:rsidR="00326F81" w:rsidRPr="0087185D">
              <w:rPr>
                <w:rFonts w:ascii="Arial" w:hAnsi="Arial" w:cs="Arial"/>
                <w:sz w:val="24"/>
                <w:szCs w:val="24"/>
              </w:rPr>
              <w:t>/202</w:t>
            </w:r>
            <w:r w:rsidR="00937202">
              <w:rPr>
                <w:rFonts w:ascii="Arial" w:hAnsi="Arial" w:cs="Arial"/>
                <w:sz w:val="24"/>
                <w:szCs w:val="24"/>
              </w:rPr>
              <w:t>3</w:t>
            </w:r>
            <w:r w:rsidRPr="0087185D">
              <w:rPr>
                <w:rFonts w:ascii="Arial" w:hAnsi="Arial" w:cs="Arial"/>
                <w:sz w:val="24"/>
                <w:szCs w:val="24"/>
              </w:rPr>
              <w:t>) [202</w:t>
            </w:r>
            <w:r w:rsidR="00937202">
              <w:rPr>
                <w:rFonts w:ascii="Arial" w:hAnsi="Arial" w:cs="Arial"/>
                <w:sz w:val="24"/>
                <w:szCs w:val="24"/>
              </w:rPr>
              <w:t>3</w:t>
            </w:r>
            <w:r w:rsidRPr="0087185D">
              <w:rPr>
                <w:rFonts w:ascii="Arial" w:hAnsi="Arial" w:cs="Arial"/>
                <w:sz w:val="24"/>
                <w:szCs w:val="24"/>
              </w:rPr>
              <w:t xml:space="preserve">] </w:t>
            </w:r>
            <w:r w:rsidR="0075335A" w:rsidRPr="0087185D">
              <w:rPr>
                <w:rFonts w:ascii="Arial" w:hAnsi="Arial" w:cs="Arial"/>
                <w:sz w:val="24"/>
                <w:szCs w:val="24"/>
              </w:rPr>
              <w:t xml:space="preserve">NAHCNLD </w:t>
            </w:r>
            <w:r w:rsidR="008B76DA">
              <w:rPr>
                <w:rFonts w:ascii="Arial" w:hAnsi="Arial" w:cs="Arial"/>
                <w:sz w:val="24"/>
                <w:szCs w:val="24"/>
              </w:rPr>
              <w:t>92</w:t>
            </w:r>
            <w:r w:rsidR="001C3121">
              <w:rPr>
                <w:rFonts w:ascii="Arial" w:hAnsi="Arial" w:cs="Arial"/>
                <w:sz w:val="24"/>
                <w:szCs w:val="24"/>
              </w:rPr>
              <w:t xml:space="preserve"> </w:t>
            </w:r>
            <w:r w:rsidRPr="0087185D">
              <w:rPr>
                <w:rFonts w:ascii="Arial" w:hAnsi="Arial" w:cs="Arial"/>
                <w:sz w:val="24"/>
                <w:szCs w:val="24"/>
              </w:rPr>
              <w:t>(</w:t>
            </w:r>
            <w:r w:rsidR="0007074B">
              <w:rPr>
                <w:rFonts w:ascii="Arial" w:hAnsi="Arial" w:cs="Arial"/>
                <w:sz w:val="24"/>
                <w:szCs w:val="24"/>
              </w:rPr>
              <w:t>4 September</w:t>
            </w:r>
            <w:r w:rsidR="006F03F7">
              <w:rPr>
                <w:rFonts w:ascii="Arial" w:hAnsi="Arial" w:cs="Arial"/>
                <w:sz w:val="24"/>
                <w:szCs w:val="24"/>
              </w:rPr>
              <w:t xml:space="preserve"> 2023</w:t>
            </w:r>
            <w:r w:rsidRPr="0087185D">
              <w:rPr>
                <w:rFonts w:ascii="Arial" w:hAnsi="Arial" w:cs="Arial"/>
                <w:sz w:val="24"/>
                <w:szCs w:val="24"/>
              </w:rPr>
              <w:t>)</w:t>
            </w:r>
          </w:p>
          <w:p w14:paraId="479CE05A" w14:textId="77777777" w:rsidR="00876019" w:rsidRPr="0087185D" w:rsidRDefault="00876019">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7DAC2AD0"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It is hereby ordered that:</w:t>
            </w:r>
          </w:p>
          <w:p w14:paraId="1EB02BD2" w14:textId="2352F146" w:rsidR="005B654F" w:rsidRPr="005B654F" w:rsidRDefault="006760F9" w:rsidP="00764562">
            <w:pPr>
              <w:pStyle w:val="ListParagraph"/>
              <w:numPr>
                <w:ilvl w:val="0"/>
                <w:numId w:val="13"/>
              </w:numPr>
              <w:spacing w:before="240" w:after="0" w:line="360" w:lineRule="auto"/>
              <w:rPr>
                <w:color w:val="000000"/>
                <w:sz w:val="24"/>
                <w:szCs w:val="24"/>
                <w:lang w:val="en-US"/>
              </w:rPr>
            </w:pPr>
            <w:r w:rsidRPr="006760F9">
              <w:rPr>
                <w:color w:val="000000"/>
                <w:sz w:val="24"/>
                <w:szCs w:val="24"/>
              </w:rPr>
              <w:t xml:space="preserve">The </w:t>
            </w:r>
            <w:r w:rsidR="005B654F" w:rsidRPr="005B654F">
              <w:rPr>
                <w:color w:val="000000"/>
                <w:sz w:val="24"/>
                <w:szCs w:val="24"/>
                <w:lang w:val="en-US"/>
              </w:rPr>
              <w:t xml:space="preserve">convictions in </w:t>
            </w:r>
            <w:r w:rsidR="005B654F">
              <w:rPr>
                <w:color w:val="000000"/>
                <w:sz w:val="24"/>
                <w:szCs w:val="24"/>
                <w:lang w:val="en-US"/>
              </w:rPr>
              <w:t>all three</w:t>
            </w:r>
            <w:r w:rsidR="005B654F" w:rsidRPr="005B654F">
              <w:rPr>
                <w:color w:val="000000"/>
                <w:sz w:val="24"/>
                <w:szCs w:val="24"/>
                <w:lang w:val="en-US"/>
              </w:rPr>
              <w:t xml:space="preserve"> matters are confirmed.</w:t>
            </w:r>
          </w:p>
          <w:p w14:paraId="678DD840" w14:textId="2400232C" w:rsidR="005B654F" w:rsidRDefault="005B654F" w:rsidP="00764562">
            <w:pPr>
              <w:pStyle w:val="ListParagraph"/>
              <w:numPr>
                <w:ilvl w:val="0"/>
                <w:numId w:val="13"/>
              </w:numPr>
              <w:spacing w:before="240" w:after="0" w:line="360" w:lineRule="auto"/>
              <w:rPr>
                <w:color w:val="000000"/>
                <w:sz w:val="24"/>
                <w:szCs w:val="24"/>
                <w:lang w:val="en-US"/>
              </w:rPr>
            </w:pPr>
            <w:r w:rsidRPr="005B654F">
              <w:rPr>
                <w:color w:val="000000"/>
                <w:sz w:val="24"/>
                <w:szCs w:val="24"/>
                <w:lang w:val="en-US"/>
              </w:rPr>
              <w:t xml:space="preserve">The sentences in </w:t>
            </w:r>
            <w:r>
              <w:rPr>
                <w:color w:val="000000"/>
                <w:sz w:val="24"/>
                <w:szCs w:val="24"/>
                <w:lang w:val="en-US"/>
              </w:rPr>
              <w:t>all three</w:t>
            </w:r>
            <w:r w:rsidRPr="005B654F">
              <w:rPr>
                <w:color w:val="000000"/>
                <w:sz w:val="24"/>
                <w:szCs w:val="24"/>
                <w:lang w:val="en-US"/>
              </w:rPr>
              <w:t xml:space="preserve"> matters are confirmed</w:t>
            </w:r>
            <w:r w:rsidR="0033706E">
              <w:rPr>
                <w:color w:val="000000"/>
                <w:sz w:val="24"/>
                <w:szCs w:val="24"/>
                <w:lang w:val="en-US"/>
              </w:rPr>
              <w:t>,</w:t>
            </w:r>
            <w:r w:rsidRPr="005B654F">
              <w:rPr>
                <w:color w:val="000000"/>
                <w:sz w:val="24"/>
                <w:szCs w:val="24"/>
                <w:lang w:val="en-US"/>
              </w:rPr>
              <w:t xml:space="preserve"> </w:t>
            </w:r>
            <w:r w:rsidR="00E81983">
              <w:rPr>
                <w:color w:val="000000"/>
                <w:sz w:val="24"/>
                <w:szCs w:val="24"/>
                <w:lang w:val="en-US"/>
              </w:rPr>
              <w:t>however</w:t>
            </w:r>
            <w:r w:rsidRPr="005B654F">
              <w:rPr>
                <w:color w:val="000000"/>
                <w:sz w:val="24"/>
                <w:szCs w:val="24"/>
                <w:lang w:val="en-US"/>
              </w:rPr>
              <w:t xml:space="preserve"> the conditions of suspension are amended as follows:</w:t>
            </w:r>
          </w:p>
          <w:p w14:paraId="0FDF4CCF" w14:textId="77777777" w:rsidR="00E81983" w:rsidRPr="005B654F" w:rsidRDefault="00E81983" w:rsidP="00764562">
            <w:pPr>
              <w:pStyle w:val="ListParagraph"/>
              <w:spacing w:before="240" w:after="0" w:line="360" w:lineRule="auto"/>
              <w:ind w:left="1080"/>
              <w:rPr>
                <w:color w:val="000000"/>
                <w:sz w:val="24"/>
                <w:szCs w:val="24"/>
                <w:lang w:val="en-US"/>
              </w:rPr>
            </w:pPr>
          </w:p>
          <w:p w14:paraId="7899E915" w14:textId="1DAF3DA5" w:rsidR="005B654F" w:rsidRPr="005B654F" w:rsidRDefault="005B654F" w:rsidP="00764562">
            <w:pPr>
              <w:pStyle w:val="ListParagraph"/>
              <w:spacing w:before="240" w:after="0" w:line="360" w:lineRule="auto"/>
              <w:ind w:left="1080"/>
              <w:rPr>
                <w:color w:val="000000"/>
                <w:sz w:val="24"/>
                <w:szCs w:val="24"/>
                <w:u w:val="single"/>
                <w:lang w:val="en-US"/>
              </w:rPr>
            </w:pPr>
            <w:r w:rsidRPr="005B654F">
              <w:rPr>
                <w:color w:val="000000"/>
                <w:sz w:val="24"/>
                <w:szCs w:val="24"/>
                <w:lang w:val="en-US"/>
              </w:rPr>
              <w:t xml:space="preserve"> </w:t>
            </w:r>
            <w:r w:rsidRPr="005B654F">
              <w:rPr>
                <w:color w:val="000000"/>
                <w:sz w:val="24"/>
                <w:szCs w:val="24"/>
                <w:u w:val="single"/>
                <w:lang w:val="en-US"/>
              </w:rPr>
              <w:t xml:space="preserve">In respect of case number </w:t>
            </w:r>
            <w:r>
              <w:rPr>
                <w:color w:val="000000"/>
                <w:sz w:val="24"/>
                <w:szCs w:val="24"/>
                <w:u w:val="single"/>
                <w:lang w:val="en-US"/>
              </w:rPr>
              <w:t>395/2019</w:t>
            </w:r>
          </w:p>
          <w:p w14:paraId="0FD63157" w14:textId="194AC679" w:rsidR="005B654F" w:rsidRDefault="005B654F" w:rsidP="00764562">
            <w:pPr>
              <w:pStyle w:val="ListParagraph"/>
              <w:spacing w:before="240" w:after="0" w:line="360" w:lineRule="auto"/>
              <w:ind w:left="1080"/>
              <w:rPr>
                <w:color w:val="000000"/>
                <w:sz w:val="24"/>
                <w:szCs w:val="24"/>
                <w:lang w:val="en-US"/>
              </w:rPr>
            </w:pPr>
            <w:r>
              <w:rPr>
                <w:color w:val="000000"/>
                <w:sz w:val="24"/>
                <w:szCs w:val="24"/>
                <w:lang w:val="en-US"/>
              </w:rPr>
              <w:t>‘</w:t>
            </w:r>
            <w:r w:rsidRPr="005B654F">
              <w:rPr>
                <w:color w:val="000000"/>
                <w:sz w:val="24"/>
                <w:szCs w:val="24"/>
                <w:lang w:val="en-US"/>
              </w:rPr>
              <w:t xml:space="preserve">The </w:t>
            </w:r>
            <w:r w:rsidRPr="005B654F">
              <w:rPr>
                <w:color w:val="000000"/>
                <w:sz w:val="24"/>
                <w:szCs w:val="24"/>
              </w:rPr>
              <w:t xml:space="preserve">Accused is sentenced to 9 (nine) </w:t>
            </w:r>
            <w:r w:rsidR="0033706E" w:rsidRPr="005B654F">
              <w:rPr>
                <w:color w:val="000000"/>
                <w:sz w:val="24"/>
                <w:szCs w:val="24"/>
              </w:rPr>
              <w:t>month</w:t>
            </w:r>
            <w:r w:rsidR="0033706E">
              <w:rPr>
                <w:color w:val="000000"/>
                <w:sz w:val="24"/>
                <w:szCs w:val="24"/>
              </w:rPr>
              <w:t>’s</w:t>
            </w:r>
            <w:r w:rsidRPr="005B654F">
              <w:rPr>
                <w:color w:val="000000"/>
                <w:sz w:val="24"/>
                <w:szCs w:val="24"/>
              </w:rPr>
              <w:t xml:space="preserve"> imprisonment suspended in total for a period of 3 (three) years on the condition that the accused is not convicted of </w:t>
            </w:r>
            <w:r w:rsidR="0033706E" w:rsidRPr="005B654F">
              <w:rPr>
                <w:color w:val="000000"/>
                <w:sz w:val="24"/>
                <w:szCs w:val="24"/>
              </w:rPr>
              <w:t>contravenin</w:t>
            </w:r>
            <w:r w:rsidR="0033706E">
              <w:rPr>
                <w:color w:val="000000"/>
                <w:sz w:val="24"/>
                <w:szCs w:val="24"/>
              </w:rPr>
              <w:t>g</w:t>
            </w:r>
            <w:r w:rsidRPr="005B654F">
              <w:rPr>
                <w:color w:val="000000"/>
                <w:sz w:val="24"/>
                <w:szCs w:val="24"/>
              </w:rPr>
              <w:t xml:space="preserve"> section 16 (1) of the Combating of Domestic </w:t>
            </w:r>
            <w:r w:rsidRPr="005B654F">
              <w:rPr>
                <w:color w:val="000000"/>
                <w:sz w:val="24"/>
                <w:szCs w:val="24"/>
              </w:rPr>
              <w:lastRenderedPageBreak/>
              <w:t>Violence Act 4 of 2003: Breaching of a protection order, committed during the period of suspension</w:t>
            </w:r>
            <w:r w:rsidR="000F0D9B">
              <w:rPr>
                <w:color w:val="000000"/>
                <w:sz w:val="24"/>
                <w:szCs w:val="24"/>
              </w:rPr>
              <w:t>’</w:t>
            </w:r>
            <w:r>
              <w:rPr>
                <w:color w:val="000000"/>
                <w:sz w:val="24"/>
                <w:szCs w:val="24"/>
                <w:lang w:val="en-US"/>
              </w:rPr>
              <w:t>.</w:t>
            </w:r>
          </w:p>
          <w:p w14:paraId="04926922" w14:textId="77777777" w:rsidR="00E81983" w:rsidRPr="005B654F" w:rsidRDefault="00E81983" w:rsidP="00764562">
            <w:pPr>
              <w:pStyle w:val="ListParagraph"/>
              <w:spacing w:before="240" w:after="0" w:line="360" w:lineRule="auto"/>
              <w:ind w:left="1080"/>
              <w:rPr>
                <w:color w:val="000000"/>
                <w:sz w:val="24"/>
                <w:szCs w:val="24"/>
                <w:lang w:val="en-US"/>
              </w:rPr>
            </w:pPr>
          </w:p>
          <w:p w14:paraId="272FA163" w14:textId="2F0F1AB8" w:rsidR="005B654F" w:rsidRPr="005B654F" w:rsidRDefault="005B654F" w:rsidP="00764562">
            <w:pPr>
              <w:pStyle w:val="ListParagraph"/>
              <w:spacing w:before="240" w:after="0" w:line="360" w:lineRule="auto"/>
              <w:ind w:left="1080"/>
              <w:rPr>
                <w:color w:val="000000"/>
                <w:sz w:val="24"/>
                <w:szCs w:val="24"/>
                <w:u w:val="single"/>
                <w:lang w:val="en-US"/>
              </w:rPr>
            </w:pPr>
            <w:r w:rsidRPr="005B654F">
              <w:rPr>
                <w:color w:val="000000"/>
                <w:sz w:val="24"/>
                <w:szCs w:val="24"/>
                <w:u w:val="single"/>
                <w:lang w:val="en-US"/>
              </w:rPr>
              <w:t xml:space="preserve">In </w:t>
            </w:r>
            <w:r>
              <w:rPr>
                <w:color w:val="000000"/>
                <w:sz w:val="24"/>
                <w:szCs w:val="24"/>
                <w:u w:val="single"/>
                <w:lang w:val="en-US"/>
              </w:rPr>
              <w:t xml:space="preserve">respect of </w:t>
            </w:r>
            <w:r w:rsidRPr="005B654F">
              <w:rPr>
                <w:color w:val="000000"/>
                <w:sz w:val="24"/>
                <w:szCs w:val="24"/>
                <w:u w:val="single"/>
                <w:lang w:val="en-US"/>
              </w:rPr>
              <w:t xml:space="preserve">case number </w:t>
            </w:r>
            <w:r>
              <w:rPr>
                <w:color w:val="000000"/>
                <w:sz w:val="24"/>
                <w:szCs w:val="24"/>
                <w:u w:val="single"/>
                <w:lang w:val="en-US"/>
              </w:rPr>
              <w:t>92/2023</w:t>
            </w:r>
          </w:p>
          <w:p w14:paraId="694F1114" w14:textId="3A7D42C4" w:rsidR="005B654F" w:rsidRDefault="000F0D9B" w:rsidP="00764562">
            <w:pPr>
              <w:pStyle w:val="ListParagraph"/>
              <w:spacing w:before="240" w:after="0" w:line="360" w:lineRule="auto"/>
              <w:ind w:left="1080"/>
              <w:rPr>
                <w:color w:val="000000"/>
                <w:sz w:val="24"/>
                <w:szCs w:val="24"/>
                <w:lang w:val="en-US"/>
              </w:rPr>
            </w:pPr>
            <w:r>
              <w:rPr>
                <w:color w:val="000000"/>
                <w:sz w:val="24"/>
                <w:szCs w:val="24"/>
                <w:lang w:val="en-US"/>
              </w:rPr>
              <w:t>‘The accused is sentenced to 24 (twenty-four) months imprisonment of which 12 (twelve) months are suspended for a period of 3 (three) years on the condition that the accused is not convicted of theft of stock (read with the provisions of the Stock Theft Act 12 of 1990, as amended</w:t>
            </w:r>
            <w:r w:rsidR="00E81983">
              <w:rPr>
                <w:color w:val="000000"/>
                <w:sz w:val="24"/>
                <w:szCs w:val="24"/>
                <w:lang w:val="en-US"/>
              </w:rPr>
              <w:t>)</w:t>
            </w:r>
            <w:r>
              <w:rPr>
                <w:color w:val="000000"/>
                <w:sz w:val="24"/>
                <w:szCs w:val="24"/>
                <w:lang w:val="en-US"/>
              </w:rPr>
              <w:t>, committed during the period of suspension’.</w:t>
            </w:r>
          </w:p>
          <w:p w14:paraId="7FD7FF36" w14:textId="77777777" w:rsidR="00E81983" w:rsidRPr="005B654F" w:rsidRDefault="00E81983" w:rsidP="00764562">
            <w:pPr>
              <w:pStyle w:val="ListParagraph"/>
              <w:spacing w:before="240" w:after="0" w:line="360" w:lineRule="auto"/>
              <w:ind w:left="1080"/>
              <w:rPr>
                <w:color w:val="000000"/>
                <w:sz w:val="24"/>
                <w:szCs w:val="24"/>
                <w:lang w:val="en-US"/>
              </w:rPr>
            </w:pPr>
          </w:p>
          <w:p w14:paraId="3C3AA1BB" w14:textId="0F7700C2" w:rsidR="000F0D9B" w:rsidRPr="000F0D9B" w:rsidRDefault="0045126C" w:rsidP="00764562">
            <w:pPr>
              <w:pStyle w:val="ListParagraph"/>
              <w:spacing w:before="240" w:after="0" w:line="360" w:lineRule="auto"/>
              <w:ind w:left="1080"/>
              <w:jc w:val="both"/>
              <w:rPr>
                <w:color w:val="000000"/>
                <w:sz w:val="24"/>
                <w:szCs w:val="24"/>
                <w:u w:val="single"/>
              </w:rPr>
            </w:pPr>
            <w:r>
              <w:rPr>
                <w:color w:val="000000"/>
                <w:sz w:val="24"/>
                <w:szCs w:val="24"/>
              </w:rPr>
              <w:t xml:space="preserve"> </w:t>
            </w:r>
            <w:r w:rsidR="000F0D9B" w:rsidRPr="000F0D9B">
              <w:rPr>
                <w:color w:val="000000"/>
                <w:sz w:val="24"/>
                <w:szCs w:val="24"/>
                <w:u w:val="single"/>
              </w:rPr>
              <w:t xml:space="preserve">In respect of case number </w:t>
            </w:r>
            <w:r w:rsidR="000F0D9B">
              <w:rPr>
                <w:color w:val="000000"/>
                <w:sz w:val="24"/>
                <w:szCs w:val="24"/>
                <w:u w:val="single"/>
              </w:rPr>
              <w:t>184</w:t>
            </w:r>
            <w:r w:rsidR="000F0D9B" w:rsidRPr="000F0D9B">
              <w:rPr>
                <w:color w:val="000000"/>
                <w:sz w:val="24"/>
                <w:szCs w:val="24"/>
                <w:u w:val="single"/>
              </w:rPr>
              <w:t>/2023</w:t>
            </w:r>
          </w:p>
          <w:p w14:paraId="477C3777" w14:textId="54EA1F7B" w:rsidR="00C572BC" w:rsidRPr="000F0D9B" w:rsidRDefault="000F0D9B" w:rsidP="00764562">
            <w:pPr>
              <w:pStyle w:val="ListParagraph"/>
              <w:spacing w:before="240" w:after="0" w:line="360" w:lineRule="auto"/>
              <w:ind w:left="1080"/>
              <w:jc w:val="both"/>
              <w:rPr>
                <w:color w:val="000000"/>
                <w:sz w:val="24"/>
                <w:szCs w:val="24"/>
              </w:rPr>
            </w:pPr>
            <w:r w:rsidRPr="000F0D9B">
              <w:rPr>
                <w:color w:val="000000"/>
                <w:sz w:val="24"/>
                <w:szCs w:val="24"/>
              </w:rPr>
              <w:t xml:space="preserve">‘The accused is sentenced to 24 (twenty-four) months imprisonment of which 12 (twelve) months are suspended for a period of </w:t>
            </w:r>
            <w:r>
              <w:rPr>
                <w:color w:val="000000"/>
                <w:sz w:val="24"/>
                <w:szCs w:val="24"/>
              </w:rPr>
              <w:t>2</w:t>
            </w:r>
            <w:r w:rsidRPr="000F0D9B">
              <w:rPr>
                <w:color w:val="000000"/>
                <w:sz w:val="24"/>
                <w:szCs w:val="24"/>
              </w:rPr>
              <w:t xml:space="preserve"> (</w:t>
            </w:r>
            <w:r>
              <w:rPr>
                <w:color w:val="000000"/>
                <w:sz w:val="24"/>
                <w:szCs w:val="24"/>
              </w:rPr>
              <w:t>two</w:t>
            </w:r>
            <w:r w:rsidRPr="000F0D9B">
              <w:rPr>
                <w:color w:val="000000"/>
                <w:sz w:val="24"/>
                <w:szCs w:val="24"/>
              </w:rPr>
              <w:t xml:space="preserve">) years on the condition that the accused is not convicted of </w:t>
            </w:r>
            <w:r>
              <w:rPr>
                <w:color w:val="000000"/>
                <w:sz w:val="24"/>
                <w:szCs w:val="24"/>
              </w:rPr>
              <w:t>robbery</w:t>
            </w:r>
            <w:r w:rsidRPr="000F0D9B">
              <w:rPr>
                <w:color w:val="000000"/>
                <w:sz w:val="24"/>
                <w:szCs w:val="24"/>
              </w:rPr>
              <w:t xml:space="preserve"> committed during the period of suspension</w:t>
            </w:r>
            <w:r>
              <w:rPr>
                <w:color w:val="000000"/>
                <w:sz w:val="24"/>
                <w:szCs w:val="24"/>
              </w:rPr>
              <w:t>’.</w:t>
            </w:r>
            <w:r w:rsidR="00C572BC" w:rsidRPr="000F0D9B">
              <w:rPr>
                <w:color w:val="000000"/>
                <w:sz w:val="24"/>
                <w:szCs w:val="24"/>
              </w:rPr>
              <w:t xml:space="preserve"> </w:t>
            </w:r>
            <w:r w:rsidR="00C572BC" w:rsidRPr="000F0D9B">
              <w:rPr>
                <w:sz w:val="24"/>
                <w:szCs w:val="24"/>
              </w:rPr>
              <w:t xml:space="preserve">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lastRenderedPageBreak/>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C5A774" w14:textId="77777777" w:rsidR="00B91B8A" w:rsidRDefault="00B91B8A" w:rsidP="00B937C1">
            <w:pPr>
              <w:pStyle w:val="ListParagraph"/>
              <w:tabs>
                <w:tab w:val="left" w:pos="851"/>
              </w:tabs>
              <w:spacing w:after="0" w:line="360" w:lineRule="auto"/>
              <w:ind w:left="0"/>
              <w:jc w:val="both"/>
              <w:rPr>
                <w:bCs/>
                <w:sz w:val="24"/>
                <w:szCs w:val="24"/>
              </w:rPr>
            </w:pPr>
          </w:p>
          <w:p w14:paraId="0C629FAC" w14:textId="6F9D9E0F" w:rsidR="00876019" w:rsidRPr="0087185D" w:rsidRDefault="00B234F7" w:rsidP="00B937C1">
            <w:pPr>
              <w:pStyle w:val="ListParagraph"/>
              <w:tabs>
                <w:tab w:val="left" w:pos="851"/>
              </w:tabs>
              <w:spacing w:after="0" w:line="360" w:lineRule="auto"/>
              <w:ind w:left="0"/>
              <w:jc w:val="both"/>
              <w:rPr>
                <w:bCs/>
                <w:sz w:val="24"/>
                <w:szCs w:val="24"/>
              </w:rPr>
            </w:pPr>
            <w:r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B937C1">
            <w:pPr>
              <w:pStyle w:val="ListParagraph"/>
              <w:tabs>
                <w:tab w:val="left" w:pos="851"/>
              </w:tabs>
              <w:spacing w:after="0" w:line="360" w:lineRule="auto"/>
              <w:ind w:left="0"/>
              <w:jc w:val="both"/>
              <w:rPr>
                <w:bCs/>
                <w:sz w:val="24"/>
                <w:szCs w:val="24"/>
              </w:rPr>
            </w:pPr>
          </w:p>
          <w:p w14:paraId="51B4C9C2" w14:textId="29FE8D9C" w:rsidR="002E69E8" w:rsidRPr="0087185D" w:rsidRDefault="008C13E4" w:rsidP="00B937C1">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[1]</w:t>
            </w:r>
            <w:r w:rsidR="00A45709">
              <w:rPr>
                <w:rFonts w:ascii="Arial" w:hAnsi="Arial" w:cs="Arial"/>
                <w:bCs/>
                <w:sz w:val="24"/>
                <w:szCs w:val="24"/>
              </w:rPr>
              <w:tab/>
            </w:r>
            <w:r w:rsidR="009D0858" w:rsidRPr="0087185D">
              <w:rPr>
                <w:rFonts w:ascii="Arial" w:hAnsi="Arial" w:cs="Arial"/>
                <w:bCs/>
                <w:sz w:val="24"/>
                <w:szCs w:val="24"/>
              </w:rPr>
              <w:t>The matter</w:t>
            </w:r>
            <w:r w:rsidR="000F0D9B">
              <w:rPr>
                <w:rFonts w:ascii="Arial" w:hAnsi="Arial" w:cs="Arial"/>
                <w:bCs/>
                <w:sz w:val="24"/>
                <w:szCs w:val="24"/>
              </w:rPr>
              <w:t>s</w:t>
            </w:r>
            <w:r w:rsidR="009D0858" w:rsidRPr="0087185D">
              <w:rPr>
                <w:rFonts w:ascii="Arial" w:hAnsi="Arial" w:cs="Arial"/>
                <w:bCs/>
                <w:sz w:val="24"/>
                <w:szCs w:val="24"/>
              </w:rPr>
              <w:t xml:space="preserve"> </w:t>
            </w:r>
            <w:r w:rsidR="007C6CD3">
              <w:rPr>
                <w:rFonts w:ascii="Arial" w:hAnsi="Arial" w:cs="Arial"/>
                <w:bCs/>
                <w:sz w:val="24"/>
                <w:szCs w:val="24"/>
              </w:rPr>
              <w:t>came to</w:t>
            </w:r>
            <w:r w:rsidR="008B3F3D">
              <w:rPr>
                <w:rFonts w:ascii="Arial" w:hAnsi="Arial" w:cs="Arial"/>
                <w:bCs/>
                <w:sz w:val="24"/>
                <w:szCs w:val="24"/>
              </w:rPr>
              <w:t xml:space="preserve"> </w:t>
            </w:r>
            <w:r w:rsidR="009D0858" w:rsidRPr="0087185D">
              <w:rPr>
                <w:rFonts w:ascii="Arial" w:hAnsi="Arial" w:cs="Arial"/>
                <w:bCs/>
                <w:sz w:val="24"/>
                <w:szCs w:val="24"/>
              </w:rPr>
              <w:t>this court</w:t>
            </w:r>
            <w:r w:rsidR="00093637" w:rsidRPr="0087185D">
              <w:rPr>
                <w:rFonts w:ascii="Arial" w:hAnsi="Arial" w:cs="Arial"/>
                <w:bCs/>
                <w:sz w:val="24"/>
                <w:szCs w:val="24"/>
              </w:rPr>
              <w:t xml:space="preserve"> </w:t>
            </w:r>
            <w:r w:rsidR="00AA57B2" w:rsidRPr="0087185D">
              <w:rPr>
                <w:rFonts w:ascii="Arial" w:hAnsi="Arial" w:cs="Arial"/>
                <w:bCs/>
                <w:sz w:val="24"/>
                <w:szCs w:val="24"/>
              </w:rPr>
              <w:t>on</w:t>
            </w:r>
            <w:r w:rsidR="00093637" w:rsidRPr="0087185D">
              <w:rPr>
                <w:rFonts w:ascii="Arial" w:hAnsi="Arial" w:cs="Arial"/>
                <w:bCs/>
                <w:sz w:val="24"/>
                <w:szCs w:val="24"/>
              </w:rPr>
              <w:t xml:space="preserve"> review</w:t>
            </w:r>
            <w:r w:rsidR="009D0858" w:rsidRPr="0087185D">
              <w:rPr>
                <w:rFonts w:ascii="Arial" w:hAnsi="Arial" w:cs="Arial"/>
                <w:bCs/>
                <w:sz w:val="24"/>
                <w:szCs w:val="24"/>
              </w:rPr>
              <w:t xml:space="preserve"> </w:t>
            </w:r>
            <w:r w:rsidR="005B45AB" w:rsidRPr="0087185D">
              <w:rPr>
                <w:rFonts w:ascii="Arial" w:hAnsi="Arial" w:cs="Arial"/>
                <w:bCs/>
                <w:sz w:val="24"/>
                <w:szCs w:val="24"/>
              </w:rPr>
              <w:t xml:space="preserve">in terms of </w:t>
            </w:r>
            <w:r w:rsidR="0087185D" w:rsidRPr="0087185D">
              <w:rPr>
                <w:rFonts w:ascii="Arial" w:hAnsi="Arial" w:cs="Arial"/>
                <w:bCs/>
                <w:sz w:val="24"/>
                <w:szCs w:val="24"/>
              </w:rPr>
              <w:t xml:space="preserve">Section 302 of </w:t>
            </w:r>
            <w:r w:rsidR="005B45AB" w:rsidRPr="0087185D">
              <w:rPr>
                <w:rFonts w:ascii="Arial" w:hAnsi="Arial" w:cs="Arial"/>
                <w:bCs/>
                <w:sz w:val="24"/>
                <w:szCs w:val="24"/>
              </w:rPr>
              <w:t>the Criminal Procedure Act 51 of 1977</w:t>
            </w:r>
            <w:r w:rsidR="00737813">
              <w:rPr>
                <w:rFonts w:ascii="Arial" w:hAnsi="Arial" w:cs="Arial"/>
                <w:bCs/>
                <w:sz w:val="24"/>
                <w:szCs w:val="24"/>
              </w:rPr>
              <w:t>,</w:t>
            </w:r>
            <w:r w:rsidR="005B45AB" w:rsidRPr="0087185D">
              <w:rPr>
                <w:rFonts w:ascii="Arial" w:hAnsi="Arial" w:cs="Arial"/>
                <w:bCs/>
                <w:sz w:val="24"/>
                <w:szCs w:val="24"/>
              </w:rPr>
              <w:t xml:space="preserve"> as amended (the CPA).</w:t>
            </w:r>
            <w:r w:rsidR="00411CF7">
              <w:rPr>
                <w:rFonts w:ascii="Arial" w:hAnsi="Arial" w:cs="Arial"/>
                <w:bCs/>
                <w:sz w:val="24"/>
                <w:szCs w:val="24"/>
              </w:rPr>
              <w:t xml:space="preserve"> </w:t>
            </w:r>
            <w:r w:rsidR="008B3F3D" w:rsidRPr="008B3F3D">
              <w:rPr>
                <w:rFonts w:ascii="Arial" w:hAnsi="Arial" w:cs="Arial"/>
                <w:bCs/>
                <w:sz w:val="24"/>
                <w:szCs w:val="24"/>
              </w:rPr>
              <w:t>T</w:t>
            </w:r>
            <w:r w:rsidR="00F52CA9">
              <w:rPr>
                <w:rFonts w:ascii="Arial" w:hAnsi="Arial" w:cs="Arial"/>
                <w:bCs/>
                <w:sz w:val="24"/>
                <w:szCs w:val="24"/>
              </w:rPr>
              <w:t>he</w:t>
            </w:r>
            <w:r w:rsidR="008B3F3D" w:rsidRPr="008B3F3D">
              <w:rPr>
                <w:rFonts w:ascii="Arial" w:hAnsi="Arial" w:cs="Arial"/>
                <w:bCs/>
                <w:sz w:val="24"/>
                <w:szCs w:val="24"/>
              </w:rPr>
              <w:t xml:space="preserve"> </w:t>
            </w:r>
            <w:r w:rsidR="000F0D9B">
              <w:rPr>
                <w:rFonts w:ascii="Arial" w:hAnsi="Arial" w:cs="Arial"/>
                <w:bCs/>
                <w:sz w:val="24"/>
                <w:szCs w:val="24"/>
              </w:rPr>
              <w:t>cases all emanated from the Magistrates Court of Outapi</w:t>
            </w:r>
            <w:r w:rsidR="009D16DD">
              <w:rPr>
                <w:rFonts w:ascii="Arial" w:hAnsi="Arial" w:cs="Arial"/>
                <w:bCs/>
                <w:sz w:val="24"/>
                <w:szCs w:val="24"/>
              </w:rPr>
              <w:t>,</w:t>
            </w:r>
            <w:r w:rsidR="000F0D9B">
              <w:rPr>
                <w:rFonts w:ascii="Arial" w:hAnsi="Arial" w:cs="Arial"/>
                <w:bCs/>
                <w:sz w:val="24"/>
                <w:szCs w:val="24"/>
              </w:rPr>
              <w:t xml:space="preserve"> finalised by the same magistrate. </w:t>
            </w:r>
            <w:r w:rsidR="00AC24A8">
              <w:rPr>
                <w:rFonts w:ascii="Arial" w:hAnsi="Arial" w:cs="Arial"/>
                <w:bCs/>
                <w:sz w:val="24"/>
                <w:szCs w:val="24"/>
              </w:rPr>
              <w:t>The conviction</w:t>
            </w:r>
            <w:r w:rsidR="000F0D9B">
              <w:rPr>
                <w:rFonts w:ascii="Arial" w:hAnsi="Arial" w:cs="Arial"/>
                <w:bCs/>
                <w:sz w:val="24"/>
                <w:szCs w:val="24"/>
              </w:rPr>
              <w:t>s</w:t>
            </w:r>
            <w:r w:rsidR="00AC24A8">
              <w:rPr>
                <w:rFonts w:ascii="Arial" w:hAnsi="Arial" w:cs="Arial"/>
                <w:bCs/>
                <w:sz w:val="24"/>
                <w:szCs w:val="24"/>
              </w:rPr>
              <w:t xml:space="preserve"> appear to be in accordance with justice and will be confirmed.</w:t>
            </w:r>
            <w:r w:rsidR="0045126C">
              <w:rPr>
                <w:rFonts w:ascii="Arial" w:hAnsi="Arial" w:cs="Arial"/>
                <w:bCs/>
                <w:sz w:val="24"/>
                <w:szCs w:val="24"/>
              </w:rPr>
              <w:t xml:space="preserve"> </w:t>
            </w:r>
          </w:p>
          <w:p w14:paraId="6839CAD7" w14:textId="77777777" w:rsidR="005B45AB" w:rsidRPr="0087185D" w:rsidRDefault="005B45AB" w:rsidP="00B937C1">
            <w:pPr>
              <w:pStyle w:val="ListParagraph"/>
              <w:tabs>
                <w:tab w:val="left" w:pos="851"/>
              </w:tabs>
              <w:spacing w:after="0" w:line="360" w:lineRule="auto"/>
              <w:ind w:left="0"/>
              <w:jc w:val="both"/>
              <w:rPr>
                <w:bCs/>
                <w:sz w:val="24"/>
                <w:szCs w:val="24"/>
              </w:rPr>
            </w:pPr>
          </w:p>
          <w:p w14:paraId="7BA06D2A" w14:textId="05A0D22F" w:rsidR="00F0097B" w:rsidRDefault="008C13E4" w:rsidP="00853C76">
            <w:pPr>
              <w:tabs>
                <w:tab w:val="left" w:pos="851"/>
              </w:tabs>
              <w:spacing w:after="0" w:line="360" w:lineRule="auto"/>
              <w:jc w:val="both"/>
              <w:rPr>
                <w:rFonts w:ascii="Arial" w:hAnsi="Arial" w:cs="Arial"/>
                <w:bCs/>
                <w:sz w:val="24"/>
                <w:szCs w:val="24"/>
              </w:rPr>
            </w:pPr>
            <w:r w:rsidRPr="00A845E0">
              <w:rPr>
                <w:rFonts w:ascii="Arial" w:hAnsi="Arial" w:cs="Arial"/>
                <w:bCs/>
                <w:sz w:val="24"/>
                <w:szCs w:val="24"/>
              </w:rPr>
              <w:t>[2]</w:t>
            </w:r>
            <w:r w:rsidR="00A45709" w:rsidRPr="00A845E0">
              <w:rPr>
                <w:rFonts w:ascii="Arial" w:hAnsi="Arial" w:cs="Arial"/>
                <w:bCs/>
                <w:sz w:val="24"/>
                <w:szCs w:val="24"/>
              </w:rPr>
              <w:tab/>
            </w:r>
            <w:r w:rsidR="00794E00" w:rsidRPr="00A845E0">
              <w:rPr>
                <w:rFonts w:ascii="Arial" w:hAnsi="Arial" w:cs="Arial"/>
                <w:bCs/>
                <w:sz w:val="24"/>
                <w:szCs w:val="24"/>
              </w:rPr>
              <w:t>The</w:t>
            </w:r>
            <w:r w:rsidR="000F0D9B">
              <w:rPr>
                <w:rFonts w:ascii="Arial" w:hAnsi="Arial" w:cs="Arial"/>
                <w:bCs/>
                <w:sz w:val="24"/>
                <w:szCs w:val="24"/>
              </w:rPr>
              <w:t>se</w:t>
            </w:r>
            <w:r w:rsidR="00794E00" w:rsidRPr="00A845E0">
              <w:rPr>
                <w:rFonts w:ascii="Arial" w:hAnsi="Arial" w:cs="Arial"/>
                <w:bCs/>
                <w:sz w:val="24"/>
                <w:szCs w:val="24"/>
              </w:rPr>
              <w:t xml:space="preserve"> </w:t>
            </w:r>
            <w:r w:rsidR="00AC24A8" w:rsidRPr="00A845E0">
              <w:rPr>
                <w:rFonts w:ascii="Arial" w:hAnsi="Arial" w:cs="Arial"/>
                <w:bCs/>
                <w:sz w:val="24"/>
                <w:szCs w:val="24"/>
              </w:rPr>
              <w:t>accused</w:t>
            </w:r>
            <w:r w:rsidR="000F0D9B">
              <w:rPr>
                <w:rFonts w:ascii="Arial" w:hAnsi="Arial" w:cs="Arial"/>
                <w:bCs/>
                <w:sz w:val="24"/>
                <w:szCs w:val="24"/>
              </w:rPr>
              <w:t xml:space="preserve"> person</w:t>
            </w:r>
            <w:r w:rsidR="00E81983">
              <w:rPr>
                <w:rFonts w:ascii="Arial" w:hAnsi="Arial" w:cs="Arial"/>
                <w:bCs/>
                <w:sz w:val="24"/>
                <w:szCs w:val="24"/>
              </w:rPr>
              <w:t>s</w:t>
            </w:r>
            <w:r w:rsidR="000F0D9B">
              <w:rPr>
                <w:rFonts w:ascii="Arial" w:hAnsi="Arial" w:cs="Arial"/>
                <w:bCs/>
                <w:sz w:val="24"/>
                <w:szCs w:val="24"/>
              </w:rPr>
              <w:t xml:space="preserve"> were all sentenced </w:t>
            </w:r>
            <w:r w:rsidR="009D16DD">
              <w:rPr>
                <w:rFonts w:ascii="Arial" w:hAnsi="Arial" w:cs="Arial"/>
                <w:bCs/>
                <w:sz w:val="24"/>
                <w:szCs w:val="24"/>
              </w:rPr>
              <w:t xml:space="preserve">to </w:t>
            </w:r>
            <w:r w:rsidR="00E81983">
              <w:rPr>
                <w:rFonts w:ascii="Arial" w:hAnsi="Arial" w:cs="Arial"/>
                <w:bCs/>
                <w:sz w:val="24"/>
                <w:szCs w:val="24"/>
              </w:rPr>
              <w:t xml:space="preserve">partially or totally suspended sentences </w:t>
            </w:r>
            <w:r w:rsidR="0033706E">
              <w:rPr>
                <w:rFonts w:ascii="Arial" w:hAnsi="Arial" w:cs="Arial"/>
                <w:bCs/>
                <w:sz w:val="24"/>
                <w:szCs w:val="24"/>
              </w:rPr>
              <w:t xml:space="preserve">in </w:t>
            </w:r>
            <w:r w:rsidR="00E81983">
              <w:rPr>
                <w:rFonts w:ascii="Arial" w:hAnsi="Arial" w:cs="Arial"/>
                <w:bCs/>
                <w:sz w:val="24"/>
                <w:szCs w:val="24"/>
              </w:rPr>
              <w:t xml:space="preserve">which </w:t>
            </w:r>
            <w:r w:rsidR="0033706E">
              <w:rPr>
                <w:rFonts w:ascii="Arial" w:hAnsi="Arial" w:cs="Arial"/>
                <w:bCs/>
                <w:sz w:val="24"/>
                <w:szCs w:val="24"/>
              </w:rPr>
              <w:t xml:space="preserve">the word ‘committed’ was not included as part of the sentencing condition. The magistrate was </w:t>
            </w:r>
            <w:r w:rsidR="00A845E0" w:rsidRPr="00A845E0">
              <w:rPr>
                <w:rFonts w:ascii="Arial" w:hAnsi="Arial" w:cs="Arial"/>
                <w:bCs/>
                <w:i/>
                <w:sz w:val="24"/>
                <w:szCs w:val="24"/>
              </w:rPr>
              <w:t>inter alia</w:t>
            </w:r>
            <w:r w:rsidR="00A845E0" w:rsidRPr="00A845E0">
              <w:rPr>
                <w:rFonts w:ascii="Arial" w:hAnsi="Arial" w:cs="Arial"/>
                <w:bCs/>
                <w:sz w:val="24"/>
                <w:szCs w:val="24"/>
              </w:rPr>
              <w:t xml:space="preserve"> </w:t>
            </w:r>
            <w:r w:rsidR="0033706E">
              <w:rPr>
                <w:rFonts w:ascii="Arial" w:hAnsi="Arial" w:cs="Arial"/>
                <w:bCs/>
                <w:sz w:val="24"/>
                <w:szCs w:val="24"/>
              </w:rPr>
              <w:t xml:space="preserve">queried in that regard. </w:t>
            </w:r>
          </w:p>
          <w:p w14:paraId="258B61E8" w14:textId="77777777" w:rsidR="002E69E8" w:rsidRDefault="002E69E8" w:rsidP="00853C76">
            <w:pPr>
              <w:tabs>
                <w:tab w:val="left" w:pos="851"/>
              </w:tabs>
              <w:spacing w:after="0" w:line="360" w:lineRule="auto"/>
              <w:jc w:val="both"/>
              <w:rPr>
                <w:rFonts w:ascii="Arial" w:hAnsi="Arial" w:cs="Arial"/>
                <w:bCs/>
                <w:sz w:val="24"/>
                <w:szCs w:val="24"/>
              </w:rPr>
            </w:pPr>
          </w:p>
          <w:p w14:paraId="6F37B8A7" w14:textId="4EB49D4A" w:rsidR="002E69E8" w:rsidRDefault="002E69E8" w:rsidP="00853C76">
            <w:pPr>
              <w:tabs>
                <w:tab w:val="left" w:pos="851"/>
              </w:tabs>
              <w:spacing w:after="0" w:line="360" w:lineRule="auto"/>
              <w:jc w:val="both"/>
              <w:rPr>
                <w:rFonts w:ascii="Arial" w:hAnsi="Arial" w:cs="Arial"/>
                <w:bCs/>
                <w:sz w:val="24"/>
                <w:szCs w:val="24"/>
              </w:rPr>
            </w:pPr>
            <w:r>
              <w:rPr>
                <w:rFonts w:ascii="Arial" w:hAnsi="Arial" w:cs="Arial"/>
                <w:bCs/>
                <w:sz w:val="24"/>
                <w:szCs w:val="24"/>
              </w:rPr>
              <w:t xml:space="preserve">[3]        Other queries to the magistrate were mostly in respect of errors on the review cover sheet, including errors regarding the names of the accused and the sentences imposed. As the review cover sheet is certified by the magistrate as being a reflection of the </w:t>
            </w:r>
            <w:r>
              <w:rPr>
                <w:rFonts w:ascii="Arial" w:hAnsi="Arial" w:cs="Arial"/>
                <w:bCs/>
                <w:sz w:val="24"/>
                <w:szCs w:val="24"/>
              </w:rPr>
              <w:lastRenderedPageBreak/>
              <w:t>proceedings recorded, it is imperative that it should be correct in every aspect.</w:t>
            </w:r>
            <w:r w:rsidR="00A73D25">
              <w:rPr>
                <w:rStyle w:val="FootnoteReference"/>
                <w:rFonts w:ascii="Arial" w:hAnsi="Arial" w:cs="Arial"/>
                <w:bCs/>
                <w:sz w:val="24"/>
                <w:szCs w:val="24"/>
              </w:rPr>
              <w:footnoteReference w:id="1"/>
            </w:r>
            <w:r>
              <w:rPr>
                <w:rFonts w:ascii="Arial" w:hAnsi="Arial" w:cs="Arial"/>
                <w:bCs/>
                <w:sz w:val="24"/>
                <w:szCs w:val="24"/>
              </w:rPr>
              <w:t xml:space="preserve"> The document is used to inform the Correctional Facility of the outcome of the review and incorrect information can thus be prejudicial to a convicted person.  </w:t>
            </w:r>
          </w:p>
          <w:p w14:paraId="05ABFBAB" w14:textId="77777777" w:rsidR="0033706E" w:rsidRDefault="0033706E" w:rsidP="00853C76">
            <w:pPr>
              <w:tabs>
                <w:tab w:val="left" w:pos="851"/>
              </w:tabs>
              <w:spacing w:after="0" w:line="360" w:lineRule="auto"/>
              <w:jc w:val="both"/>
              <w:rPr>
                <w:rFonts w:ascii="Arial" w:hAnsi="Arial" w:cs="Arial"/>
                <w:bCs/>
                <w:sz w:val="24"/>
                <w:szCs w:val="24"/>
              </w:rPr>
            </w:pPr>
          </w:p>
          <w:p w14:paraId="45A1DDC1" w14:textId="45B61232" w:rsidR="003E543D" w:rsidRDefault="008C13E4" w:rsidP="007C6CD3">
            <w:pPr>
              <w:spacing w:after="0" w:line="360" w:lineRule="auto"/>
              <w:jc w:val="both"/>
              <w:rPr>
                <w:rFonts w:ascii="Arial" w:hAnsi="Arial" w:cs="Arial"/>
                <w:bCs/>
                <w:sz w:val="24"/>
                <w:szCs w:val="24"/>
              </w:rPr>
            </w:pPr>
            <w:r w:rsidRPr="00572E1C">
              <w:rPr>
                <w:rFonts w:ascii="Arial" w:hAnsi="Arial" w:cs="Arial"/>
                <w:bCs/>
                <w:sz w:val="24"/>
                <w:szCs w:val="24"/>
              </w:rPr>
              <w:t>[</w:t>
            </w:r>
            <w:r w:rsidR="002E69E8">
              <w:rPr>
                <w:rFonts w:ascii="Arial" w:hAnsi="Arial" w:cs="Arial"/>
                <w:bCs/>
                <w:sz w:val="24"/>
                <w:szCs w:val="24"/>
              </w:rPr>
              <w:t>4</w:t>
            </w:r>
            <w:r w:rsidRPr="00572E1C">
              <w:rPr>
                <w:rFonts w:ascii="Arial" w:hAnsi="Arial" w:cs="Arial"/>
                <w:bCs/>
                <w:sz w:val="24"/>
                <w:szCs w:val="24"/>
              </w:rPr>
              <w:t>]</w:t>
            </w:r>
            <w:r w:rsidR="00A45709">
              <w:rPr>
                <w:rFonts w:ascii="Arial" w:hAnsi="Arial" w:cs="Arial"/>
                <w:bCs/>
                <w:sz w:val="24"/>
                <w:szCs w:val="24"/>
              </w:rPr>
              <w:tab/>
            </w:r>
            <w:r w:rsidR="00851F22">
              <w:rPr>
                <w:rFonts w:ascii="Arial" w:hAnsi="Arial" w:cs="Arial"/>
                <w:bCs/>
                <w:sz w:val="24"/>
                <w:szCs w:val="24"/>
              </w:rPr>
              <w:t xml:space="preserve">  </w:t>
            </w:r>
            <w:r w:rsidR="007C6CD3">
              <w:rPr>
                <w:rFonts w:ascii="Arial" w:hAnsi="Arial" w:cs="Arial"/>
                <w:bCs/>
                <w:sz w:val="24"/>
                <w:szCs w:val="24"/>
              </w:rPr>
              <w:t xml:space="preserve">The </w:t>
            </w:r>
            <w:r w:rsidR="00A845E0">
              <w:rPr>
                <w:rFonts w:ascii="Arial" w:hAnsi="Arial" w:cs="Arial"/>
                <w:bCs/>
                <w:sz w:val="24"/>
                <w:szCs w:val="24"/>
              </w:rPr>
              <w:t xml:space="preserve">recently appointed </w:t>
            </w:r>
            <w:r w:rsidR="007C6CD3">
              <w:rPr>
                <w:rFonts w:ascii="Arial" w:hAnsi="Arial" w:cs="Arial"/>
                <w:bCs/>
                <w:sz w:val="24"/>
                <w:szCs w:val="24"/>
              </w:rPr>
              <w:t>magistrate</w:t>
            </w:r>
            <w:r w:rsidR="00A845E0">
              <w:rPr>
                <w:rFonts w:ascii="Arial" w:hAnsi="Arial" w:cs="Arial"/>
                <w:bCs/>
                <w:sz w:val="24"/>
                <w:szCs w:val="24"/>
              </w:rPr>
              <w:t>,</w:t>
            </w:r>
            <w:r w:rsidR="007C6CD3">
              <w:rPr>
                <w:rFonts w:ascii="Arial" w:hAnsi="Arial" w:cs="Arial"/>
                <w:bCs/>
                <w:sz w:val="24"/>
                <w:szCs w:val="24"/>
              </w:rPr>
              <w:t xml:space="preserve"> in</w:t>
            </w:r>
            <w:r w:rsidR="00A845E0">
              <w:rPr>
                <w:rFonts w:ascii="Arial" w:hAnsi="Arial" w:cs="Arial"/>
                <w:bCs/>
                <w:sz w:val="24"/>
                <w:szCs w:val="24"/>
              </w:rPr>
              <w:t>stead of offering an explanation to the quer</w:t>
            </w:r>
            <w:r w:rsidR="005A3219">
              <w:rPr>
                <w:rFonts w:ascii="Arial" w:hAnsi="Arial" w:cs="Arial"/>
                <w:bCs/>
                <w:sz w:val="24"/>
                <w:szCs w:val="24"/>
              </w:rPr>
              <w:t>ies</w:t>
            </w:r>
            <w:r w:rsidR="00A845E0">
              <w:rPr>
                <w:rFonts w:ascii="Arial" w:hAnsi="Arial" w:cs="Arial"/>
                <w:bCs/>
                <w:sz w:val="24"/>
                <w:szCs w:val="24"/>
              </w:rPr>
              <w:t>, altered the court record</w:t>
            </w:r>
            <w:r w:rsidR="000F0D9B">
              <w:rPr>
                <w:rFonts w:ascii="Arial" w:hAnsi="Arial" w:cs="Arial"/>
                <w:bCs/>
                <w:sz w:val="24"/>
                <w:szCs w:val="24"/>
              </w:rPr>
              <w:t>s</w:t>
            </w:r>
            <w:r w:rsidR="00A845E0">
              <w:rPr>
                <w:rFonts w:ascii="Arial" w:hAnsi="Arial" w:cs="Arial"/>
                <w:bCs/>
                <w:sz w:val="24"/>
                <w:szCs w:val="24"/>
              </w:rPr>
              <w:t xml:space="preserve"> to reflect the word ‘committed’ as part of the sentence imposed</w:t>
            </w:r>
            <w:r w:rsidR="00764562">
              <w:rPr>
                <w:rFonts w:ascii="Arial" w:hAnsi="Arial" w:cs="Arial"/>
                <w:bCs/>
                <w:sz w:val="24"/>
                <w:szCs w:val="24"/>
              </w:rPr>
              <w:t xml:space="preserve"> and returned them for review</w:t>
            </w:r>
            <w:r w:rsidR="00A845E0">
              <w:rPr>
                <w:rFonts w:ascii="Arial" w:hAnsi="Arial" w:cs="Arial"/>
                <w:bCs/>
                <w:sz w:val="24"/>
                <w:szCs w:val="24"/>
              </w:rPr>
              <w:t xml:space="preserve">. </w:t>
            </w:r>
            <w:r w:rsidR="0033706E">
              <w:rPr>
                <w:rFonts w:ascii="Arial" w:hAnsi="Arial" w:cs="Arial"/>
                <w:bCs/>
                <w:sz w:val="24"/>
                <w:szCs w:val="24"/>
              </w:rPr>
              <w:t xml:space="preserve">Once sentence is pronounced the court is </w:t>
            </w:r>
            <w:r w:rsidR="0033706E" w:rsidRPr="0033706E">
              <w:rPr>
                <w:rFonts w:ascii="Arial" w:hAnsi="Arial" w:cs="Arial"/>
                <w:bCs/>
                <w:i/>
                <w:sz w:val="24"/>
                <w:szCs w:val="24"/>
              </w:rPr>
              <w:t>functus officio</w:t>
            </w:r>
            <w:r w:rsidR="0033706E">
              <w:rPr>
                <w:rFonts w:ascii="Arial" w:hAnsi="Arial" w:cs="Arial"/>
                <w:bCs/>
                <w:sz w:val="24"/>
                <w:szCs w:val="24"/>
              </w:rPr>
              <w:t xml:space="preserve"> and thus t</w:t>
            </w:r>
            <w:r w:rsidR="00A845E0">
              <w:rPr>
                <w:rFonts w:ascii="Arial" w:hAnsi="Arial" w:cs="Arial"/>
                <w:bCs/>
                <w:sz w:val="24"/>
                <w:szCs w:val="24"/>
              </w:rPr>
              <w:t>he changing of a record in these circumstances is not allowed</w:t>
            </w:r>
            <w:r w:rsidR="0033706E">
              <w:rPr>
                <w:rFonts w:ascii="Arial" w:hAnsi="Arial" w:cs="Arial"/>
                <w:bCs/>
                <w:sz w:val="24"/>
                <w:szCs w:val="24"/>
              </w:rPr>
              <w:t xml:space="preserve"> and</w:t>
            </w:r>
            <w:r w:rsidR="000A5467">
              <w:rPr>
                <w:rFonts w:ascii="Arial" w:hAnsi="Arial" w:cs="Arial"/>
                <w:bCs/>
                <w:sz w:val="24"/>
                <w:szCs w:val="24"/>
              </w:rPr>
              <w:t xml:space="preserve"> furthermore it</w:t>
            </w:r>
            <w:r w:rsidR="0033706E">
              <w:rPr>
                <w:rFonts w:ascii="Arial" w:hAnsi="Arial" w:cs="Arial"/>
                <w:bCs/>
                <w:sz w:val="24"/>
                <w:szCs w:val="24"/>
              </w:rPr>
              <w:t xml:space="preserve"> might be seen as a </w:t>
            </w:r>
            <w:r w:rsidR="000A5467">
              <w:rPr>
                <w:rFonts w:ascii="Arial" w:hAnsi="Arial" w:cs="Arial"/>
                <w:bCs/>
                <w:sz w:val="24"/>
                <w:szCs w:val="24"/>
              </w:rPr>
              <w:t>misrepresentation</w:t>
            </w:r>
            <w:r w:rsidR="00A845E0">
              <w:rPr>
                <w:rFonts w:ascii="Arial" w:hAnsi="Arial" w:cs="Arial"/>
                <w:bCs/>
                <w:sz w:val="24"/>
                <w:szCs w:val="24"/>
              </w:rPr>
              <w:t xml:space="preserve">. </w:t>
            </w:r>
            <w:r w:rsidR="007C6CD3">
              <w:rPr>
                <w:rFonts w:ascii="Arial" w:hAnsi="Arial" w:cs="Arial"/>
                <w:bCs/>
                <w:sz w:val="24"/>
                <w:szCs w:val="24"/>
              </w:rPr>
              <w:t xml:space="preserve"> </w:t>
            </w:r>
          </w:p>
          <w:p w14:paraId="3C23CBB5" w14:textId="77777777" w:rsidR="007C6CD3" w:rsidRPr="003E543D" w:rsidRDefault="007C6CD3" w:rsidP="007C6CD3">
            <w:pPr>
              <w:spacing w:after="0" w:line="360" w:lineRule="auto"/>
              <w:jc w:val="both"/>
              <w:rPr>
                <w:rFonts w:ascii="Arial" w:hAnsi="Arial" w:cs="Arial"/>
                <w:bCs/>
                <w:sz w:val="24"/>
                <w:szCs w:val="24"/>
              </w:rPr>
            </w:pPr>
          </w:p>
          <w:p w14:paraId="7A9D7DD3" w14:textId="4B89BFF9" w:rsidR="000A5467" w:rsidRDefault="00747B17" w:rsidP="00C572BC">
            <w:pPr>
              <w:tabs>
                <w:tab w:val="left" w:pos="851"/>
              </w:tabs>
              <w:spacing w:after="0" w:line="360" w:lineRule="auto"/>
              <w:jc w:val="both"/>
              <w:rPr>
                <w:rFonts w:ascii="Arial" w:hAnsi="Arial" w:cs="Arial"/>
                <w:bCs/>
                <w:sz w:val="24"/>
                <w:szCs w:val="24"/>
              </w:rPr>
            </w:pPr>
            <w:r w:rsidRPr="00C572BC">
              <w:rPr>
                <w:rFonts w:ascii="Arial" w:hAnsi="Arial" w:cs="Arial"/>
                <w:bCs/>
                <w:sz w:val="24"/>
                <w:szCs w:val="24"/>
              </w:rPr>
              <w:t>[</w:t>
            </w:r>
            <w:r w:rsidR="002E69E8">
              <w:rPr>
                <w:rFonts w:ascii="Arial" w:hAnsi="Arial" w:cs="Arial"/>
                <w:bCs/>
                <w:sz w:val="24"/>
                <w:szCs w:val="24"/>
              </w:rPr>
              <w:t>5</w:t>
            </w:r>
            <w:r w:rsidRPr="00C572BC">
              <w:rPr>
                <w:rFonts w:ascii="Arial" w:hAnsi="Arial" w:cs="Arial"/>
                <w:bCs/>
                <w:sz w:val="24"/>
                <w:szCs w:val="24"/>
              </w:rPr>
              <w:t>]</w:t>
            </w:r>
            <w:r w:rsidR="00A45709" w:rsidRPr="00C572BC">
              <w:rPr>
                <w:rFonts w:ascii="Arial" w:hAnsi="Arial" w:cs="Arial"/>
                <w:bCs/>
                <w:sz w:val="24"/>
                <w:szCs w:val="24"/>
              </w:rPr>
              <w:tab/>
            </w:r>
            <w:r w:rsidR="000A5467">
              <w:rPr>
                <w:rFonts w:ascii="Arial" w:hAnsi="Arial" w:cs="Arial"/>
                <w:bCs/>
                <w:sz w:val="24"/>
                <w:szCs w:val="24"/>
              </w:rPr>
              <w:t xml:space="preserve">Suspended sentences are a popular form of punishment and imposed </w:t>
            </w:r>
            <w:r w:rsidR="000A5467" w:rsidRPr="000A5467">
              <w:rPr>
                <w:rFonts w:ascii="Arial" w:hAnsi="Arial" w:cs="Arial"/>
                <w:bCs/>
                <w:i/>
                <w:sz w:val="24"/>
                <w:szCs w:val="24"/>
              </w:rPr>
              <w:t>ad nauseam</w:t>
            </w:r>
            <w:r w:rsidR="000A5467">
              <w:rPr>
                <w:rFonts w:ascii="Arial" w:hAnsi="Arial" w:cs="Arial"/>
                <w:bCs/>
                <w:sz w:val="24"/>
                <w:szCs w:val="24"/>
              </w:rPr>
              <w:t xml:space="preserve">. These sentences are hardly put into operation either because of the </w:t>
            </w:r>
            <w:r w:rsidR="00C70413">
              <w:rPr>
                <w:rFonts w:ascii="Arial" w:hAnsi="Arial" w:cs="Arial"/>
                <w:bCs/>
                <w:sz w:val="24"/>
                <w:szCs w:val="24"/>
              </w:rPr>
              <w:t>deterrent effect it has or, possibly,</w:t>
            </w:r>
            <w:r w:rsidR="000A5467">
              <w:rPr>
                <w:rFonts w:ascii="Arial" w:hAnsi="Arial" w:cs="Arial"/>
                <w:bCs/>
                <w:sz w:val="24"/>
                <w:szCs w:val="24"/>
              </w:rPr>
              <w:t xml:space="preserve"> that due to improper record keeping or a lack of time</w:t>
            </w:r>
            <w:r w:rsidR="00764562">
              <w:rPr>
                <w:rFonts w:ascii="Arial" w:hAnsi="Arial" w:cs="Arial"/>
                <w:bCs/>
                <w:sz w:val="24"/>
                <w:szCs w:val="24"/>
              </w:rPr>
              <w:t>,</w:t>
            </w:r>
            <w:r w:rsidR="000A5467">
              <w:rPr>
                <w:rFonts w:ascii="Arial" w:hAnsi="Arial" w:cs="Arial"/>
                <w:bCs/>
                <w:sz w:val="24"/>
                <w:szCs w:val="24"/>
              </w:rPr>
              <w:t xml:space="preserve"> the State </w:t>
            </w:r>
            <w:r w:rsidR="00C70413">
              <w:rPr>
                <w:rFonts w:ascii="Arial" w:hAnsi="Arial" w:cs="Arial"/>
                <w:bCs/>
                <w:sz w:val="24"/>
                <w:szCs w:val="24"/>
              </w:rPr>
              <w:t>does not</w:t>
            </w:r>
            <w:r w:rsidR="000A5467">
              <w:rPr>
                <w:rFonts w:ascii="Arial" w:hAnsi="Arial" w:cs="Arial"/>
                <w:bCs/>
                <w:sz w:val="24"/>
                <w:szCs w:val="24"/>
              </w:rPr>
              <w:t xml:space="preserve"> apply for these to be put into operation. </w:t>
            </w:r>
          </w:p>
          <w:p w14:paraId="687F2607" w14:textId="77777777" w:rsidR="000A5467" w:rsidRDefault="000A5467" w:rsidP="00C572BC">
            <w:pPr>
              <w:tabs>
                <w:tab w:val="left" w:pos="851"/>
              </w:tabs>
              <w:spacing w:after="0" w:line="360" w:lineRule="auto"/>
              <w:jc w:val="both"/>
              <w:rPr>
                <w:rFonts w:ascii="Arial" w:hAnsi="Arial" w:cs="Arial"/>
                <w:bCs/>
                <w:sz w:val="24"/>
                <w:szCs w:val="24"/>
              </w:rPr>
            </w:pPr>
          </w:p>
          <w:p w14:paraId="128EC5D7" w14:textId="6E7B6804" w:rsidR="004B1D02" w:rsidRPr="007C6CD3" w:rsidRDefault="000A5467" w:rsidP="00C572BC">
            <w:pPr>
              <w:tabs>
                <w:tab w:val="left" w:pos="851"/>
              </w:tabs>
              <w:spacing w:after="0" w:line="360" w:lineRule="auto"/>
              <w:jc w:val="both"/>
              <w:rPr>
                <w:rFonts w:ascii="Arial" w:hAnsi="Arial" w:cs="Arial"/>
                <w:bCs/>
                <w:sz w:val="24"/>
                <w:szCs w:val="24"/>
              </w:rPr>
            </w:pPr>
            <w:r>
              <w:rPr>
                <w:rFonts w:ascii="Arial" w:hAnsi="Arial" w:cs="Arial"/>
                <w:bCs/>
                <w:sz w:val="24"/>
                <w:szCs w:val="24"/>
              </w:rPr>
              <w:t>[</w:t>
            </w:r>
            <w:r w:rsidR="002E69E8">
              <w:rPr>
                <w:rFonts w:ascii="Arial" w:hAnsi="Arial" w:cs="Arial"/>
                <w:bCs/>
                <w:sz w:val="24"/>
                <w:szCs w:val="24"/>
              </w:rPr>
              <w:t>6</w:t>
            </w:r>
            <w:r>
              <w:rPr>
                <w:rFonts w:ascii="Arial" w:hAnsi="Arial" w:cs="Arial"/>
                <w:bCs/>
                <w:sz w:val="24"/>
                <w:szCs w:val="24"/>
              </w:rPr>
              <w:t>]      Be that as it may, i</w:t>
            </w:r>
            <w:r w:rsidR="00DB6E85">
              <w:rPr>
                <w:rFonts w:ascii="Arial" w:hAnsi="Arial" w:cs="Arial"/>
                <w:bCs/>
                <w:sz w:val="24"/>
                <w:szCs w:val="24"/>
              </w:rPr>
              <w:t>t is trite law</w:t>
            </w:r>
            <w:r w:rsidR="007C6CD3">
              <w:rPr>
                <w:rFonts w:ascii="Arial" w:hAnsi="Arial" w:cs="Arial"/>
                <w:bCs/>
                <w:sz w:val="24"/>
                <w:szCs w:val="24"/>
              </w:rPr>
              <w:t xml:space="preserve"> that the condition of suspension attached to any sentence should not be </w:t>
            </w:r>
            <w:r w:rsidR="00DB6E85">
              <w:rPr>
                <w:rFonts w:ascii="Arial" w:hAnsi="Arial" w:cs="Arial"/>
                <w:bCs/>
                <w:sz w:val="24"/>
                <w:szCs w:val="24"/>
              </w:rPr>
              <w:t>ambiguous</w:t>
            </w:r>
            <w:r w:rsidR="007C6CD3">
              <w:rPr>
                <w:rFonts w:ascii="Arial" w:hAnsi="Arial" w:cs="Arial"/>
                <w:bCs/>
                <w:sz w:val="24"/>
                <w:szCs w:val="24"/>
              </w:rPr>
              <w:t xml:space="preserve"> or vague</w:t>
            </w:r>
            <w:r w:rsidR="00DB6E85">
              <w:rPr>
                <w:rFonts w:ascii="Arial" w:hAnsi="Arial" w:cs="Arial"/>
                <w:bCs/>
                <w:sz w:val="24"/>
                <w:szCs w:val="24"/>
              </w:rPr>
              <w:t xml:space="preserve"> to ensure that the accused person knows which conduct will bring about the imposition of such suspended part.</w:t>
            </w:r>
            <w:r w:rsidR="001C3121">
              <w:rPr>
                <w:rStyle w:val="FootnoteReference"/>
                <w:rFonts w:ascii="Arial" w:hAnsi="Arial" w:cs="Arial"/>
                <w:bCs/>
                <w:sz w:val="24"/>
                <w:szCs w:val="24"/>
              </w:rPr>
              <w:footnoteReference w:id="2"/>
            </w:r>
            <w:r w:rsidR="00DB6E85">
              <w:rPr>
                <w:rFonts w:ascii="Arial" w:hAnsi="Arial" w:cs="Arial"/>
                <w:bCs/>
                <w:sz w:val="24"/>
                <w:szCs w:val="24"/>
              </w:rPr>
              <w:t xml:space="preserve"> </w:t>
            </w:r>
            <w:r>
              <w:rPr>
                <w:rFonts w:ascii="Arial" w:hAnsi="Arial" w:cs="Arial"/>
                <w:bCs/>
                <w:sz w:val="24"/>
                <w:szCs w:val="24"/>
              </w:rPr>
              <w:t>Magistrates are urged to familiarise themselves with the correct formulation of a suspended sentence.</w:t>
            </w:r>
            <w:r w:rsidR="00C70413">
              <w:rPr>
                <w:rStyle w:val="FootnoteReference"/>
                <w:rFonts w:ascii="Arial" w:hAnsi="Arial" w:cs="Arial"/>
                <w:bCs/>
                <w:sz w:val="24"/>
                <w:szCs w:val="24"/>
              </w:rPr>
              <w:footnoteReference w:id="3"/>
            </w:r>
            <w:r>
              <w:rPr>
                <w:rFonts w:ascii="Arial" w:hAnsi="Arial" w:cs="Arial"/>
                <w:bCs/>
                <w:sz w:val="24"/>
                <w:szCs w:val="24"/>
              </w:rPr>
              <w:t xml:space="preserve"> </w:t>
            </w:r>
            <w:r w:rsidR="00DB6E85">
              <w:rPr>
                <w:rFonts w:ascii="Arial" w:hAnsi="Arial" w:cs="Arial"/>
                <w:bCs/>
                <w:sz w:val="24"/>
                <w:szCs w:val="24"/>
              </w:rPr>
              <w:t>T</w:t>
            </w:r>
            <w:r w:rsidR="007C6CD3">
              <w:rPr>
                <w:rFonts w:ascii="Arial" w:hAnsi="Arial" w:cs="Arial"/>
                <w:bCs/>
                <w:sz w:val="24"/>
                <w:szCs w:val="24"/>
              </w:rPr>
              <w:t>he sentence</w:t>
            </w:r>
            <w:r w:rsidR="00E81983">
              <w:rPr>
                <w:rFonts w:ascii="Arial" w:hAnsi="Arial" w:cs="Arial"/>
                <w:bCs/>
                <w:sz w:val="24"/>
                <w:szCs w:val="24"/>
              </w:rPr>
              <w:t>s</w:t>
            </w:r>
            <w:r w:rsidR="00DB6E85">
              <w:rPr>
                <w:rFonts w:ascii="Arial" w:hAnsi="Arial" w:cs="Arial"/>
                <w:bCs/>
                <w:sz w:val="24"/>
                <w:szCs w:val="24"/>
              </w:rPr>
              <w:t>, in its current form, is not clear and</w:t>
            </w:r>
            <w:r w:rsidR="007C6CD3">
              <w:rPr>
                <w:rFonts w:ascii="Arial" w:hAnsi="Arial" w:cs="Arial"/>
                <w:bCs/>
                <w:sz w:val="24"/>
                <w:szCs w:val="24"/>
              </w:rPr>
              <w:t xml:space="preserve"> will be amended accordingly.</w:t>
            </w:r>
            <w:r w:rsidR="00716BCD" w:rsidRPr="00716BCD">
              <w:rPr>
                <w:rFonts w:ascii="Arial" w:hAnsi="Arial" w:cs="Arial"/>
                <w:bCs/>
                <w:sz w:val="24"/>
                <w:szCs w:val="24"/>
              </w:rPr>
              <w:t xml:space="preserve"> </w:t>
            </w:r>
          </w:p>
          <w:p w14:paraId="09FC4C64" w14:textId="77777777" w:rsidR="00BA73CD" w:rsidRDefault="00BA73CD" w:rsidP="00B937C1">
            <w:pPr>
              <w:pStyle w:val="ListParagraph"/>
              <w:tabs>
                <w:tab w:val="left" w:pos="851"/>
              </w:tabs>
              <w:spacing w:after="0" w:line="360" w:lineRule="auto"/>
              <w:ind w:left="0"/>
              <w:jc w:val="both"/>
              <w:rPr>
                <w:rFonts w:eastAsia="Calibri"/>
                <w:bCs/>
                <w:sz w:val="24"/>
                <w:szCs w:val="24"/>
              </w:rPr>
            </w:pPr>
          </w:p>
          <w:p w14:paraId="6842429D" w14:textId="62D5E5AE" w:rsidR="0051537A" w:rsidRDefault="00BA73CD" w:rsidP="00764562">
            <w:pPr>
              <w:pStyle w:val="ListParagraph"/>
              <w:tabs>
                <w:tab w:val="left" w:pos="851"/>
              </w:tabs>
              <w:spacing w:after="0" w:line="360" w:lineRule="auto"/>
              <w:ind w:left="0"/>
              <w:jc w:val="both"/>
              <w:rPr>
                <w:bCs/>
                <w:sz w:val="24"/>
                <w:szCs w:val="24"/>
              </w:rPr>
            </w:pPr>
            <w:r>
              <w:rPr>
                <w:rFonts w:eastAsia="Calibri"/>
                <w:bCs/>
                <w:sz w:val="24"/>
                <w:szCs w:val="24"/>
              </w:rPr>
              <w:t>[</w:t>
            </w:r>
            <w:r w:rsidR="002E69E8">
              <w:rPr>
                <w:rFonts w:eastAsia="Calibri"/>
                <w:bCs/>
                <w:sz w:val="24"/>
                <w:szCs w:val="24"/>
              </w:rPr>
              <w:t>7</w:t>
            </w:r>
            <w:r w:rsidR="009F3B5D" w:rsidRPr="00F47AEF">
              <w:rPr>
                <w:bCs/>
                <w:sz w:val="24"/>
                <w:szCs w:val="24"/>
              </w:rPr>
              <w:t>]</w:t>
            </w:r>
            <w:r w:rsidR="00A45709">
              <w:rPr>
                <w:bCs/>
                <w:sz w:val="24"/>
                <w:szCs w:val="24"/>
              </w:rPr>
              <w:tab/>
            </w:r>
            <w:r w:rsidR="00491407" w:rsidRPr="00F47AEF">
              <w:rPr>
                <w:bCs/>
                <w:sz w:val="24"/>
                <w:szCs w:val="24"/>
              </w:rPr>
              <w:t>I</w:t>
            </w:r>
            <w:r w:rsidR="009F3B5D" w:rsidRPr="00F47AEF">
              <w:rPr>
                <w:bCs/>
                <w:sz w:val="24"/>
                <w:szCs w:val="24"/>
              </w:rPr>
              <w:t>n the result the following order is made:</w:t>
            </w:r>
          </w:p>
          <w:p w14:paraId="5C1678E8" w14:textId="48216C8C" w:rsidR="00E81983" w:rsidRPr="005B654F" w:rsidRDefault="00E81983" w:rsidP="00764562">
            <w:pPr>
              <w:pStyle w:val="ListParagraph"/>
              <w:numPr>
                <w:ilvl w:val="0"/>
                <w:numId w:val="39"/>
              </w:numPr>
              <w:spacing w:before="240" w:after="0" w:line="360" w:lineRule="auto"/>
              <w:rPr>
                <w:color w:val="000000"/>
                <w:sz w:val="24"/>
                <w:szCs w:val="24"/>
                <w:lang w:val="en-US"/>
              </w:rPr>
            </w:pPr>
            <w:r w:rsidRPr="006760F9">
              <w:rPr>
                <w:color w:val="000000"/>
                <w:sz w:val="24"/>
                <w:szCs w:val="24"/>
              </w:rPr>
              <w:t xml:space="preserve">The </w:t>
            </w:r>
            <w:r w:rsidRPr="005B654F">
              <w:rPr>
                <w:color w:val="000000"/>
                <w:sz w:val="24"/>
                <w:szCs w:val="24"/>
                <w:lang w:val="en-US"/>
              </w:rPr>
              <w:t xml:space="preserve">convictions in </w:t>
            </w:r>
            <w:r>
              <w:rPr>
                <w:color w:val="000000"/>
                <w:sz w:val="24"/>
                <w:szCs w:val="24"/>
                <w:lang w:val="en-US"/>
              </w:rPr>
              <w:t>all three</w:t>
            </w:r>
            <w:r w:rsidRPr="005B654F">
              <w:rPr>
                <w:color w:val="000000"/>
                <w:sz w:val="24"/>
                <w:szCs w:val="24"/>
                <w:lang w:val="en-US"/>
              </w:rPr>
              <w:t xml:space="preserve"> matters are confirmed.</w:t>
            </w:r>
          </w:p>
          <w:p w14:paraId="65293957" w14:textId="77777777" w:rsidR="00E81983" w:rsidRDefault="00E81983" w:rsidP="00764562">
            <w:pPr>
              <w:pStyle w:val="ListParagraph"/>
              <w:numPr>
                <w:ilvl w:val="0"/>
                <w:numId w:val="39"/>
              </w:numPr>
              <w:spacing w:before="240" w:after="0" w:line="360" w:lineRule="auto"/>
              <w:rPr>
                <w:color w:val="000000"/>
                <w:sz w:val="24"/>
                <w:szCs w:val="24"/>
                <w:lang w:val="en-US"/>
              </w:rPr>
            </w:pPr>
            <w:r w:rsidRPr="005B654F">
              <w:rPr>
                <w:color w:val="000000"/>
                <w:sz w:val="24"/>
                <w:szCs w:val="24"/>
                <w:lang w:val="en-US"/>
              </w:rPr>
              <w:t xml:space="preserve">The sentences in </w:t>
            </w:r>
            <w:r>
              <w:rPr>
                <w:color w:val="000000"/>
                <w:sz w:val="24"/>
                <w:szCs w:val="24"/>
                <w:lang w:val="en-US"/>
              </w:rPr>
              <w:t>all three</w:t>
            </w:r>
            <w:r w:rsidRPr="005B654F">
              <w:rPr>
                <w:color w:val="000000"/>
                <w:sz w:val="24"/>
                <w:szCs w:val="24"/>
                <w:lang w:val="en-US"/>
              </w:rPr>
              <w:t xml:space="preserve"> matters are confirmed </w:t>
            </w:r>
            <w:r>
              <w:rPr>
                <w:color w:val="000000"/>
                <w:sz w:val="24"/>
                <w:szCs w:val="24"/>
                <w:lang w:val="en-US"/>
              </w:rPr>
              <w:t>however</w:t>
            </w:r>
            <w:r w:rsidRPr="005B654F">
              <w:rPr>
                <w:color w:val="000000"/>
                <w:sz w:val="24"/>
                <w:szCs w:val="24"/>
                <w:lang w:val="en-US"/>
              </w:rPr>
              <w:t xml:space="preserve"> the conditions of suspension are amended as follows:</w:t>
            </w:r>
          </w:p>
          <w:p w14:paraId="454E0935" w14:textId="77777777" w:rsidR="00E81983" w:rsidRPr="005B654F" w:rsidRDefault="00E81983" w:rsidP="00764562">
            <w:pPr>
              <w:pStyle w:val="ListParagraph"/>
              <w:spacing w:before="240" w:after="0" w:line="360" w:lineRule="auto"/>
              <w:ind w:left="1080"/>
              <w:rPr>
                <w:color w:val="000000"/>
                <w:sz w:val="24"/>
                <w:szCs w:val="24"/>
                <w:lang w:val="en-US"/>
              </w:rPr>
            </w:pPr>
          </w:p>
          <w:p w14:paraId="7989AF5F" w14:textId="1353C5FE" w:rsidR="00E81983" w:rsidRPr="005B654F" w:rsidRDefault="00E81983" w:rsidP="00764562">
            <w:pPr>
              <w:pStyle w:val="ListParagraph"/>
              <w:spacing w:before="240" w:after="0" w:line="360" w:lineRule="auto"/>
              <w:ind w:left="1080"/>
              <w:rPr>
                <w:color w:val="000000"/>
                <w:sz w:val="24"/>
                <w:szCs w:val="24"/>
                <w:u w:val="single"/>
                <w:lang w:val="en-US"/>
              </w:rPr>
            </w:pPr>
            <w:r w:rsidRPr="005B654F">
              <w:rPr>
                <w:color w:val="000000"/>
                <w:sz w:val="24"/>
                <w:szCs w:val="24"/>
                <w:lang w:val="en-US"/>
              </w:rPr>
              <w:t xml:space="preserve"> </w:t>
            </w:r>
            <w:r w:rsidRPr="005B654F">
              <w:rPr>
                <w:color w:val="000000"/>
                <w:sz w:val="24"/>
                <w:szCs w:val="24"/>
                <w:u w:val="single"/>
                <w:lang w:val="en-US"/>
              </w:rPr>
              <w:t xml:space="preserve">In respect of case number </w:t>
            </w:r>
            <w:r>
              <w:rPr>
                <w:color w:val="000000"/>
                <w:sz w:val="24"/>
                <w:szCs w:val="24"/>
                <w:u w:val="single"/>
                <w:lang w:val="en-US"/>
              </w:rPr>
              <w:t>395/2019:</w:t>
            </w:r>
          </w:p>
          <w:p w14:paraId="3219B783" w14:textId="4B4C16F9" w:rsidR="00E81983" w:rsidRDefault="00E81983" w:rsidP="00764562">
            <w:pPr>
              <w:pStyle w:val="ListParagraph"/>
              <w:spacing w:before="240" w:after="0" w:line="360" w:lineRule="auto"/>
              <w:ind w:left="1080"/>
              <w:rPr>
                <w:color w:val="000000"/>
                <w:sz w:val="24"/>
                <w:szCs w:val="24"/>
                <w:lang w:val="en-US"/>
              </w:rPr>
            </w:pPr>
            <w:r>
              <w:rPr>
                <w:color w:val="000000"/>
                <w:sz w:val="24"/>
                <w:szCs w:val="24"/>
                <w:lang w:val="en-US"/>
              </w:rPr>
              <w:t>‘</w:t>
            </w:r>
            <w:r w:rsidRPr="005B654F">
              <w:rPr>
                <w:color w:val="000000"/>
                <w:sz w:val="24"/>
                <w:szCs w:val="24"/>
                <w:lang w:val="en-US"/>
              </w:rPr>
              <w:t xml:space="preserve">The </w:t>
            </w:r>
            <w:r w:rsidRPr="005B654F">
              <w:rPr>
                <w:color w:val="000000"/>
                <w:sz w:val="24"/>
                <w:szCs w:val="24"/>
              </w:rPr>
              <w:t xml:space="preserve">Accused is sentenced to 9 (nine) </w:t>
            </w:r>
            <w:r w:rsidR="00764562" w:rsidRPr="005B654F">
              <w:rPr>
                <w:color w:val="000000"/>
                <w:sz w:val="24"/>
                <w:szCs w:val="24"/>
              </w:rPr>
              <w:t>month</w:t>
            </w:r>
            <w:r w:rsidR="00764562">
              <w:rPr>
                <w:color w:val="000000"/>
                <w:sz w:val="24"/>
                <w:szCs w:val="24"/>
              </w:rPr>
              <w:t>’s</w:t>
            </w:r>
            <w:r w:rsidRPr="005B654F">
              <w:rPr>
                <w:color w:val="000000"/>
                <w:sz w:val="24"/>
                <w:szCs w:val="24"/>
              </w:rPr>
              <w:t xml:space="preserve"> imprisonment suspended in total for a period of 3 (three) years on the condition that the accused is not </w:t>
            </w:r>
            <w:r w:rsidRPr="005B654F">
              <w:rPr>
                <w:color w:val="000000"/>
                <w:sz w:val="24"/>
                <w:szCs w:val="24"/>
              </w:rPr>
              <w:lastRenderedPageBreak/>
              <w:t xml:space="preserve">convicted of </w:t>
            </w:r>
            <w:r w:rsidR="00764562">
              <w:rPr>
                <w:color w:val="000000"/>
                <w:sz w:val="24"/>
                <w:szCs w:val="24"/>
              </w:rPr>
              <w:t>contravening</w:t>
            </w:r>
            <w:r w:rsidRPr="005B654F">
              <w:rPr>
                <w:color w:val="000000"/>
                <w:sz w:val="24"/>
                <w:szCs w:val="24"/>
              </w:rPr>
              <w:t xml:space="preserve"> section 16 (1) of the Combating of Domestic</w:t>
            </w:r>
            <w:r w:rsidR="00764562">
              <w:rPr>
                <w:color w:val="000000"/>
                <w:sz w:val="24"/>
                <w:szCs w:val="24"/>
              </w:rPr>
              <w:t xml:space="preserve"> </w:t>
            </w:r>
            <w:r w:rsidRPr="005B654F">
              <w:rPr>
                <w:color w:val="000000"/>
                <w:sz w:val="24"/>
                <w:szCs w:val="24"/>
              </w:rPr>
              <w:t>Violence Act 4 of 2003: Breaching of a protection order, committed during the period of suspension</w:t>
            </w:r>
            <w:r>
              <w:rPr>
                <w:color w:val="000000"/>
                <w:sz w:val="24"/>
                <w:szCs w:val="24"/>
              </w:rPr>
              <w:t>’</w:t>
            </w:r>
            <w:r>
              <w:rPr>
                <w:color w:val="000000"/>
                <w:sz w:val="24"/>
                <w:szCs w:val="24"/>
                <w:lang w:val="en-US"/>
              </w:rPr>
              <w:t>.</w:t>
            </w:r>
          </w:p>
          <w:p w14:paraId="5DC401A1" w14:textId="77777777" w:rsidR="00E81983" w:rsidRPr="005B654F" w:rsidRDefault="00E81983" w:rsidP="00764562">
            <w:pPr>
              <w:pStyle w:val="ListParagraph"/>
              <w:spacing w:before="240" w:after="0" w:line="360" w:lineRule="auto"/>
              <w:ind w:left="1080"/>
              <w:rPr>
                <w:color w:val="000000"/>
                <w:sz w:val="24"/>
                <w:szCs w:val="24"/>
                <w:lang w:val="en-US"/>
              </w:rPr>
            </w:pPr>
          </w:p>
          <w:p w14:paraId="1FA1FAED" w14:textId="7B76B03B" w:rsidR="00E81983" w:rsidRPr="00E81983" w:rsidRDefault="00E81983" w:rsidP="00764562">
            <w:pPr>
              <w:pStyle w:val="ListParagraph"/>
              <w:spacing w:before="240" w:after="0" w:line="360" w:lineRule="auto"/>
              <w:ind w:left="1080"/>
              <w:jc w:val="both"/>
              <w:rPr>
                <w:color w:val="000000"/>
                <w:sz w:val="24"/>
                <w:szCs w:val="24"/>
                <w:u w:val="single"/>
                <w:lang w:val="en-US"/>
              </w:rPr>
            </w:pPr>
            <w:r w:rsidRPr="00E81983">
              <w:rPr>
                <w:color w:val="000000"/>
                <w:sz w:val="24"/>
                <w:szCs w:val="24"/>
                <w:u w:val="single"/>
                <w:lang w:val="en-US"/>
              </w:rPr>
              <w:t>In respect of case number 92/2023</w:t>
            </w:r>
            <w:r>
              <w:rPr>
                <w:color w:val="000000"/>
                <w:sz w:val="24"/>
                <w:szCs w:val="24"/>
                <w:u w:val="single"/>
                <w:lang w:val="en-US"/>
              </w:rPr>
              <w:t>:</w:t>
            </w:r>
          </w:p>
          <w:p w14:paraId="242423E0" w14:textId="77777777" w:rsidR="00E81983" w:rsidRDefault="00E81983" w:rsidP="00764562">
            <w:pPr>
              <w:pStyle w:val="ListParagraph"/>
              <w:spacing w:before="240" w:after="0" w:line="360" w:lineRule="auto"/>
              <w:ind w:left="1080"/>
              <w:jc w:val="both"/>
              <w:rPr>
                <w:color w:val="000000"/>
                <w:sz w:val="24"/>
                <w:szCs w:val="24"/>
                <w:lang w:val="en-US"/>
              </w:rPr>
            </w:pPr>
            <w:r w:rsidRPr="00E81983">
              <w:rPr>
                <w:color w:val="000000"/>
                <w:sz w:val="24"/>
                <w:szCs w:val="24"/>
                <w:lang w:val="en-US"/>
              </w:rPr>
              <w:t>‘The accused is sentenced to 24 (twenty-four) months imprisonment of which 12 (twelve) months are suspended for a period of 3 (three) years on the condition that the accused is not convicted of theft of stock (read with the provisions of the Stock Theft Act 12 of 1990, as amended), committed during the period of suspension’.</w:t>
            </w:r>
          </w:p>
          <w:p w14:paraId="72BB48A3" w14:textId="77777777" w:rsidR="00E81983" w:rsidRPr="00E81983" w:rsidRDefault="00E81983" w:rsidP="00764562">
            <w:pPr>
              <w:pStyle w:val="ListParagraph"/>
              <w:spacing w:before="240" w:after="0" w:line="360" w:lineRule="auto"/>
              <w:ind w:left="1080"/>
              <w:jc w:val="both"/>
              <w:rPr>
                <w:color w:val="000000"/>
                <w:sz w:val="24"/>
                <w:szCs w:val="24"/>
                <w:lang w:val="en-US"/>
              </w:rPr>
            </w:pPr>
          </w:p>
          <w:p w14:paraId="16A9C089" w14:textId="446540E0" w:rsidR="00E81983" w:rsidRDefault="00E81983" w:rsidP="00764562">
            <w:pPr>
              <w:pStyle w:val="ListParagraph"/>
              <w:spacing w:before="240" w:after="0" w:line="360" w:lineRule="auto"/>
              <w:ind w:left="1080"/>
              <w:jc w:val="both"/>
              <w:rPr>
                <w:color w:val="000000"/>
                <w:sz w:val="24"/>
                <w:szCs w:val="24"/>
                <w:u w:val="single"/>
              </w:rPr>
            </w:pPr>
            <w:r w:rsidRPr="00E81983">
              <w:rPr>
                <w:color w:val="000000"/>
                <w:sz w:val="24"/>
                <w:szCs w:val="24"/>
              </w:rPr>
              <w:t xml:space="preserve"> </w:t>
            </w:r>
            <w:r w:rsidRPr="00E81983">
              <w:rPr>
                <w:color w:val="000000"/>
                <w:sz w:val="24"/>
                <w:szCs w:val="24"/>
                <w:u w:val="single"/>
              </w:rPr>
              <w:t>In respect of case number 184/2023</w:t>
            </w:r>
            <w:r>
              <w:rPr>
                <w:color w:val="000000"/>
                <w:sz w:val="24"/>
                <w:szCs w:val="24"/>
                <w:u w:val="single"/>
              </w:rPr>
              <w:t>:</w:t>
            </w:r>
          </w:p>
          <w:p w14:paraId="2923D11B" w14:textId="094C04EA" w:rsidR="00DA70A9" w:rsidRPr="00E81983" w:rsidRDefault="00E81983" w:rsidP="00764562">
            <w:pPr>
              <w:pStyle w:val="ListParagraph"/>
              <w:spacing w:before="240" w:after="0" w:line="360" w:lineRule="auto"/>
              <w:ind w:left="1080"/>
              <w:jc w:val="both"/>
              <w:rPr>
                <w:color w:val="000000"/>
                <w:sz w:val="24"/>
                <w:szCs w:val="24"/>
                <w:u w:val="single"/>
              </w:rPr>
            </w:pPr>
            <w:r w:rsidRPr="00E81983">
              <w:rPr>
                <w:color w:val="000000"/>
                <w:sz w:val="24"/>
                <w:szCs w:val="24"/>
              </w:rPr>
              <w:t>‘The accused is sentenced to 24 (twenty-four) months imprisonment of which 12 (twelve) months are suspended for a period of 2 (two) years on the condition that the accused is not convicted of robbery committed during the period of suspension’.</w:t>
            </w:r>
            <w:r w:rsidRPr="000F0D9B">
              <w:rPr>
                <w:color w:val="000000"/>
                <w:sz w:val="24"/>
                <w:szCs w:val="24"/>
              </w:rPr>
              <w:t xml:space="preserve"> </w:t>
            </w:r>
            <w:r w:rsidRPr="000F0D9B">
              <w:rPr>
                <w:sz w:val="24"/>
                <w:szCs w:val="24"/>
              </w:rPr>
              <w:t xml:space="preserve"> </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6F03F7">
            <w:pPr>
              <w:spacing w:line="240" w:lineRule="auto"/>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764562" w:rsidRPr="0087185D" w:rsidRDefault="00764562" w:rsidP="006F03F7">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10569A">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10569A">
            <w:pPr>
              <w:spacing w:line="24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DE60AF">
            <w:pPr>
              <w:spacing w:line="240" w:lineRule="auto"/>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764562" w:rsidRPr="0087185D" w:rsidRDefault="00764562" w:rsidP="00DE60AF">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10569A">
            <w:pPr>
              <w:spacing w:line="24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4A2F43"/>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DDE4C" w14:textId="77777777" w:rsidR="00187E9D" w:rsidRDefault="00187E9D" w:rsidP="00876019">
      <w:pPr>
        <w:spacing w:after="0" w:line="240" w:lineRule="auto"/>
      </w:pPr>
      <w:r>
        <w:separator/>
      </w:r>
    </w:p>
  </w:endnote>
  <w:endnote w:type="continuationSeparator" w:id="0">
    <w:p w14:paraId="170E55E5" w14:textId="77777777" w:rsidR="00187E9D" w:rsidRDefault="00187E9D"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1E9E5" w14:textId="77777777" w:rsidR="00187E9D" w:rsidRDefault="00187E9D" w:rsidP="00876019">
      <w:pPr>
        <w:spacing w:after="0" w:line="240" w:lineRule="auto"/>
      </w:pPr>
      <w:r>
        <w:separator/>
      </w:r>
    </w:p>
  </w:footnote>
  <w:footnote w:type="continuationSeparator" w:id="0">
    <w:p w14:paraId="3DDD85FB" w14:textId="77777777" w:rsidR="00187E9D" w:rsidRDefault="00187E9D" w:rsidP="00876019">
      <w:pPr>
        <w:spacing w:after="0" w:line="240" w:lineRule="auto"/>
      </w:pPr>
      <w:r>
        <w:continuationSeparator/>
      </w:r>
    </w:p>
  </w:footnote>
  <w:footnote w:id="1">
    <w:p w14:paraId="67FD5C74" w14:textId="15B5C650" w:rsidR="00A73D25" w:rsidRPr="00B91B8A" w:rsidRDefault="00A73D25">
      <w:pPr>
        <w:pStyle w:val="FootnoteText"/>
        <w:rPr>
          <w:sz w:val="20"/>
          <w:szCs w:val="20"/>
          <w:lang w:val="en-US"/>
        </w:rPr>
      </w:pPr>
      <w:r w:rsidRPr="00A73D25">
        <w:rPr>
          <w:rStyle w:val="FootnoteReference"/>
          <w:sz w:val="20"/>
          <w:szCs w:val="20"/>
        </w:rPr>
        <w:footnoteRef/>
      </w:r>
      <w:r w:rsidRPr="00A73D25">
        <w:rPr>
          <w:sz w:val="20"/>
          <w:szCs w:val="20"/>
        </w:rPr>
        <w:t xml:space="preserve"> </w:t>
      </w:r>
      <w:r w:rsidRPr="00A73D25">
        <w:rPr>
          <w:i/>
          <w:sz w:val="20"/>
          <w:szCs w:val="20"/>
          <w:lang w:val="en-US"/>
        </w:rPr>
        <w:t xml:space="preserve">S v Omar </w:t>
      </w:r>
      <w:r w:rsidRPr="00A73D25">
        <w:rPr>
          <w:sz w:val="20"/>
          <w:szCs w:val="20"/>
          <w:lang w:val="en-US"/>
        </w:rPr>
        <w:t>(CR 50/2020) [2020] NAHCMD 297 (17 July 2020) par</w:t>
      </w:r>
      <w:r>
        <w:rPr>
          <w:sz w:val="20"/>
          <w:szCs w:val="20"/>
          <w:lang w:val="en-US"/>
        </w:rPr>
        <w:t xml:space="preserve"> 3; </w:t>
      </w:r>
      <w:r w:rsidRPr="00A73D25">
        <w:rPr>
          <w:i/>
          <w:sz w:val="20"/>
          <w:szCs w:val="20"/>
          <w:lang w:val="en-US"/>
        </w:rPr>
        <w:t xml:space="preserve">S v Steenkamp and 2 Others </w:t>
      </w:r>
      <w:r w:rsidRPr="00A73D25">
        <w:rPr>
          <w:sz w:val="20"/>
          <w:szCs w:val="20"/>
          <w:lang w:val="en-US"/>
        </w:rPr>
        <w:t>(CR</w:t>
      </w:r>
      <w:r w:rsidR="000251B0">
        <w:rPr>
          <w:sz w:val="20"/>
          <w:szCs w:val="20"/>
          <w:lang w:val="en-US"/>
        </w:rPr>
        <w:t xml:space="preserve"> </w:t>
      </w:r>
      <w:r w:rsidRPr="00A73D25">
        <w:rPr>
          <w:sz w:val="20"/>
          <w:szCs w:val="20"/>
          <w:lang w:val="en-US"/>
        </w:rPr>
        <w:t>113/2022) [2022] NAHCMD 575 (21 October 2022)</w:t>
      </w:r>
      <w:r w:rsidR="000251B0">
        <w:rPr>
          <w:sz w:val="20"/>
          <w:szCs w:val="20"/>
          <w:lang w:val="en-US"/>
        </w:rPr>
        <w:t>.</w:t>
      </w:r>
      <w:bookmarkStart w:id="0" w:name="_GoBack"/>
      <w:bookmarkEnd w:id="0"/>
    </w:p>
  </w:footnote>
  <w:footnote w:id="2">
    <w:p w14:paraId="4469512A" w14:textId="6C5B1374" w:rsidR="001C3121" w:rsidRPr="001C3121" w:rsidRDefault="001C3121">
      <w:pPr>
        <w:pStyle w:val="FootnoteText"/>
        <w:rPr>
          <w:lang w:val="en-US"/>
        </w:rPr>
      </w:pPr>
      <w:r w:rsidRPr="001C3121">
        <w:rPr>
          <w:rStyle w:val="FootnoteReference"/>
          <w:sz w:val="20"/>
          <w:szCs w:val="20"/>
        </w:rPr>
        <w:footnoteRef/>
      </w:r>
      <w:r w:rsidRPr="001C3121">
        <w:rPr>
          <w:sz w:val="20"/>
          <w:szCs w:val="20"/>
        </w:rPr>
        <w:t xml:space="preserve"> </w:t>
      </w:r>
      <w:r w:rsidRPr="001C3121">
        <w:rPr>
          <w:i/>
          <w:sz w:val="20"/>
          <w:szCs w:val="20"/>
          <w:lang w:val="en-US"/>
        </w:rPr>
        <w:t>S v</w:t>
      </w:r>
      <w:r w:rsidRPr="001C3121">
        <w:rPr>
          <w:sz w:val="20"/>
          <w:szCs w:val="20"/>
          <w:lang w:val="en-US"/>
        </w:rPr>
        <w:t xml:space="preserve"> </w:t>
      </w:r>
      <w:r w:rsidRPr="001C3121">
        <w:rPr>
          <w:i/>
          <w:sz w:val="20"/>
          <w:szCs w:val="20"/>
          <w:lang w:val="en-US"/>
        </w:rPr>
        <w:t>Shapange</w:t>
      </w:r>
      <w:r w:rsidRPr="001C3121">
        <w:rPr>
          <w:sz w:val="20"/>
          <w:szCs w:val="20"/>
          <w:lang w:val="en-US"/>
        </w:rPr>
        <w:t xml:space="preserve"> (CR 5/2021) [2021] NAHCNLD 06 (29 January 2021); </w:t>
      </w:r>
      <w:r w:rsidRPr="001C3121">
        <w:rPr>
          <w:i/>
          <w:sz w:val="20"/>
          <w:szCs w:val="20"/>
          <w:lang w:val="en-US"/>
        </w:rPr>
        <w:t>S v Negongo</w:t>
      </w:r>
      <w:r w:rsidRPr="001C3121">
        <w:rPr>
          <w:sz w:val="20"/>
          <w:szCs w:val="20"/>
          <w:lang w:val="en-US"/>
        </w:rPr>
        <w:t xml:space="preserve"> (CR 10/2019) [2020] NAHCNLD 19 (4 February 2020); </w:t>
      </w:r>
      <w:r w:rsidRPr="001C3121">
        <w:rPr>
          <w:i/>
          <w:sz w:val="20"/>
          <w:szCs w:val="20"/>
          <w:lang w:val="en-US"/>
        </w:rPr>
        <w:t>S v Mashuna; S Mupopya</w:t>
      </w:r>
      <w:r w:rsidRPr="001C3121">
        <w:rPr>
          <w:sz w:val="20"/>
          <w:szCs w:val="20"/>
          <w:lang w:val="en-US"/>
        </w:rPr>
        <w:t xml:space="preserve"> (CR 6/2021) [2021] NAHCNLD 07</w:t>
      </w:r>
      <w:r>
        <w:rPr>
          <w:sz w:val="20"/>
          <w:szCs w:val="20"/>
          <w:lang w:val="en-US"/>
        </w:rPr>
        <w:t>(</w:t>
      </w:r>
      <w:r w:rsidRPr="001C3121">
        <w:rPr>
          <w:sz w:val="20"/>
          <w:szCs w:val="20"/>
          <w:lang w:val="en-US"/>
        </w:rPr>
        <w:t xml:space="preserve">29 January 2021); </w:t>
      </w:r>
      <w:r w:rsidRPr="001C3121">
        <w:rPr>
          <w:i/>
          <w:sz w:val="20"/>
          <w:szCs w:val="20"/>
          <w:lang w:val="en-ZA"/>
        </w:rPr>
        <w:t xml:space="preserve">S v Lukeiko </w:t>
      </w:r>
      <w:r w:rsidRPr="001C3121">
        <w:rPr>
          <w:sz w:val="20"/>
          <w:szCs w:val="20"/>
          <w:lang w:val="en-ZA"/>
        </w:rPr>
        <w:t>(</w:t>
      </w:r>
      <w:r w:rsidRPr="001C3121">
        <w:rPr>
          <w:sz w:val="20"/>
          <w:szCs w:val="20"/>
          <w:lang w:val="en-US"/>
        </w:rPr>
        <w:t>CR 25/2021</w:t>
      </w:r>
      <w:r w:rsidRPr="001C3121">
        <w:rPr>
          <w:sz w:val="20"/>
          <w:szCs w:val="20"/>
          <w:lang w:val="en-ZA"/>
        </w:rPr>
        <w:t>) [2021] NAHCNLD 104 (3 November 2021)</w:t>
      </w:r>
      <w:r>
        <w:rPr>
          <w:sz w:val="20"/>
          <w:szCs w:val="20"/>
          <w:lang w:val="en-ZA"/>
        </w:rPr>
        <w:t>.</w:t>
      </w:r>
    </w:p>
  </w:footnote>
  <w:footnote w:id="3">
    <w:p w14:paraId="5D9E0515" w14:textId="327E2871" w:rsidR="00C70413" w:rsidRPr="00C70413" w:rsidRDefault="00C70413">
      <w:pPr>
        <w:pStyle w:val="FootnoteText"/>
        <w:rPr>
          <w:sz w:val="20"/>
          <w:szCs w:val="20"/>
          <w:lang w:val="en-US"/>
        </w:rPr>
      </w:pPr>
      <w:r w:rsidRPr="00C70413">
        <w:rPr>
          <w:rStyle w:val="FootnoteReference"/>
          <w:sz w:val="20"/>
          <w:szCs w:val="20"/>
        </w:rPr>
        <w:footnoteRef/>
      </w:r>
      <w:r w:rsidRPr="00C70413">
        <w:rPr>
          <w:sz w:val="20"/>
          <w:szCs w:val="20"/>
        </w:rPr>
        <w:t xml:space="preserve"> </w:t>
      </w:r>
      <w:r w:rsidRPr="00C70413">
        <w:rPr>
          <w:i/>
          <w:sz w:val="20"/>
          <w:szCs w:val="20"/>
          <w:lang w:val="en-US"/>
        </w:rPr>
        <w:t>S v Louw and Another</w:t>
      </w:r>
      <w:r w:rsidRPr="00C70413">
        <w:rPr>
          <w:sz w:val="20"/>
          <w:szCs w:val="20"/>
          <w:lang w:val="en-US"/>
        </w:rPr>
        <w:t xml:space="preserve"> 1999 NR 11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B91B8A">
          <w:rPr>
            <w:noProof/>
          </w:rPr>
          <w:t>4</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3C132A"/>
    <w:multiLevelType w:val="hybridMultilevel"/>
    <w:tmpl w:val="4A76ED8A"/>
    <w:lvl w:ilvl="0" w:tplc="20CC9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9F13101"/>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C0062D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5"/>
  </w:num>
  <w:num w:numId="6">
    <w:abstractNumId w:val="13"/>
  </w:num>
  <w:num w:numId="7">
    <w:abstractNumId w:val="2"/>
  </w:num>
  <w:num w:numId="8">
    <w:abstractNumId w:val="11"/>
  </w:num>
  <w:num w:numId="9">
    <w:abstractNumId w:val="8"/>
  </w:num>
  <w:num w:numId="10">
    <w:abstractNumId w:val="23"/>
  </w:num>
  <w:num w:numId="11">
    <w:abstractNumId w:val="36"/>
  </w:num>
  <w:num w:numId="12">
    <w:abstractNumId w:val="33"/>
  </w:num>
  <w:num w:numId="13">
    <w:abstractNumId w:val="30"/>
  </w:num>
  <w:num w:numId="14">
    <w:abstractNumId w:val="10"/>
  </w:num>
  <w:num w:numId="15">
    <w:abstractNumId w:val="16"/>
  </w:num>
  <w:num w:numId="16">
    <w:abstractNumId w:val="19"/>
  </w:num>
  <w:num w:numId="17">
    <w:abstractNumId w:val="4"/>
  </w:num>
  <w:num w:numId="18">
    <w:abstractNumId w:val="7"/>
  </w:num>
  <w:num w:numId="19">
    <w:abstractNumId w:val="15"/>
  </w:num>
  <w:num w:numId="20">
    <w:abstractNumId w:val="29"/>
  </w:num>
  <w:num w:numId="21">
    <w:abstractNumId w:val="22"/>
  </w:num>
  <w:num w:numId="22">
    <w:abstractNumId w:val="18"/>
  </w:num>
  <w:num w:numId="23">
    <w:abstractNumId w:val="26"/>
  </w:num>
  <w:num w:numId="24">
    <w:abstractNumId w:val="1"/>
  </w:num>
  <w:num w:numId="25">
    <w:abstractNumId w:val="27"/>
  </w:num>
  <w:num w:numId="26">
    <w:abstractNumId w:val="0"/>
  </w:num>
  <w:num w:numId="27">
    <w:abstractNumId w:val="35"/>
  </w:num>
  <w:num w:numId="28">
    <w:abstractNumId w:val="9"/>
  </w:num>
  <w:num w:numId="29">
    <w:abstractNumId w:val="6"/>
  </w:num>
  <w:num w:numId="30">
    <w:abstractNumId w:val="21"/>
  </w:num>
  <w:num w:numId="31">
    <w:abstractNumId w:val="31"/>
  </w:num>
  <w:num w:numId="32">
    <w:abstractNumId w:val="24"/>
  </w:num>
  <w:num w:numId="33">
    <w:abstractNumId w:val="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7"/>
  </w:num>
  <w:num w:numId="38">
    <w:abstractNumId w:val="3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251B0"/>
    <w:rsid w:val="000319DA"/>
    <w:rsid w:val="0003455F"/>
    <w:rsid w:val="0003623D"/>
    <w:rsid w:val="000441B7"/>
    <w:rsid w:val="00050D5A"/>
    <w:rsid w:val="000546D4"/>
    <w:rsid w:val="00055B59"/>
    <w:rsid w:val="00061DC1"/>
    <w:rsid w:val="000662E4"/>
    <w:rsid w:val="0007074B"/>
    <w:rsid w:val="0007338E"/>
    <w:rsid w:val="0008318E"/>
    <w:rsid w:val="00084106"/>
    <w:rsid w:val="00085DD1"/>
    <w:rsid w:val="00092F94"/>
    <w:rsid w:val="00093637"/>
    <w:rsid w:val="000A0C52"/>
    <w:rsid w:val="000A0FB1"/>
    <w:rsid w:val="000A5467"/>
    <w:rsid w:val="000A6FBE"/>
    <w:rsid w:val="000D1F2A"/>
    <w:rsid w:val="000D1F51"/>
    <w:rsid w:val="000E433C"/>
    <w:rsid w:val="000E50E5"/>
    <w:rsid w:val="000E7ABD"/>
    <w:rsid w:val="000F0D9B"/>
    <w:rsid w:val="000F16F0"/>
    <w:rsid w:val="000F3FC2"/>
    <w:rsid w:val="000F697C"/>
    <w:rsid w:val="00100402"/>
    <w:rsid w:val="00102576"/>
    <w:rsid w:val="0010569A"/>
    <w:rsid w:val="0010717A"/>
    <w:rsid w:val="00107B33"/>
    <w:rsid w:val="00116769"/>
    <w:rsid w:val="001176A1"/>
    <w:rsid w:val="00126937"/>
    <w:rsid w:val="0015187E"/>
    <w:rsid w:val="001634D4"/>
    <w:rsid w:val="00180CD5"/>
    <w:rsid w:val="00187E9D"/>
    <w:rsid w:val="00196CE0"/>
    <w:rsid w:val="001A2FF7"/>
    <w:rsid w:val="001A6E95"/>
    <w:rsid w:val="001B5D99"/>
    <w:rsid w:val="001C3121"/>
    <w:rsid w:val="001C4126"/>
    <w:rsid w:val="001C74D7"/>
    <w:rsid w:val="001D0890"/>
    <w:rsid w:val="001D2DB9"/>
    <w:rsid w:val="001D44D5"/>
    <w:rsid w:val="001E2262"/>
    <w:rsid w:val="001E4348"/>
    <w:rsid w:val="001E64D0"/>
    <w:rsid w:val="001E7A41"/>
    <w:rsid w:val="001F3AE3"/>
    <w:rsid w:val="001F6BD0"/>
    <w:rsid w:val="0020451B"/>
    <w:rsid w:val="002045FA"/>
    <w:rsid w:val="00212D99"/>
    <w:rsid w:val="002171BD"/>
    <w:rsid w:val="00221E6B"/>
    <w:rsid w:val="0024682C"/>
    <w:rsid w:val="00254F50"/>
    <w:rsid w:val="0027137B"/>
    <w:rsid w:val="002724A4"/>
    <w:rsid w:val="002732A3"/>
    <w:rsid w:val="00274978"/>
    <w:rsid w:val="00275979"/>
    <w:rsid w:val="00275B6C"/>
    <w:rsid w:val="00277042"/>
    <w:rsid w:val="002900F7"/>
    <w:rsid w:val="002A0F53"/>
    <w:rsid w:val="002D187D"/>
    <w:rsid w:val="002D2A94"/>
    <w:rsid w:val="002D32B8"/>
    <w:rsid w:val="002D675B"/>
    <w:rsid w:val="002D6E8E"/>
    <w:rsid w:val="002E01BA"/>
    <w:rsid w:val="002E0203"/>
    <w:rsid w:val="002E5FC5"/>
    <w:rsid w:val="002E69E8"/>
    <w:rsid w:val="002F091E"/>
    <w:rsid w:val="002F3921"/>
    <w:rsid w:val="00326F81"/>
    <w:rsid w:val="00332203"/>
    <w:rsid w:val="00333F97"/>
    <w:rsid w:val="0033706E"/>
    <w:rsid w:val="00337804"/>
    <w:rsid w:val="003411DF"/>
    <w:rsid w:val="00346761"/>
    <w:rsid w:val="0035126E"/>
    <w:rsid w:val="00355CDB"/>
    <w:rsid w:val="003665FC"/>
    <w:rsid w:val="00380C6B"/>
    <w:rsid w:val="003826D4"/>
    <w:rsid w:val="00394538"/>
    <w:rsid w:val="003A1E9F"/>
    <w:rsid w:val="003A5C9F"/>
    <w:rsid w:val="003B627B"/>
    <w:rsid w:val="003B7528"/>
    <w:rsid w:val="003C39E4"/>
    <w:rsid w:val="003C5DF6"/>
    <w:rsid w:val="003E0008"/>
    <w:rsid w:val="003E2FF8"/>
    <w:rsid w:val="003E3A6E"/>
    <w:rsid w:val="003E5030"/>
    <w:rsid w:val="003E543D"/>
    <w:rsid w:val="003E7EE2"/>
    <w:rsid w:val="003F4F9D"/>
    <w:rsid w:val="00407B93"/>
    <w:rsid w:val="00411CF7"/>
    <w:rsid w:val="0041490E"/>
    <w:rsid w:val="00415971"/>
    <w:rsid w:val="00426A0B"/>
    <w:rsid w:val="00434D26"/>
    <w:rsid w:val="00440690"/>
    <w:rsid w:val="0045126C"/>
    <w:rsid w:val="004573C3"/>
    <w:rsid w:val="004577DF"/>
    <w:rsid w:val="00460BAB"/>
    <w:rsid w:val="004626A7"/>
    <w:rsid w:val="00470725"/>
    <w:rsid w:val="004773B9"/>
    <w:rsid w:val="0048572B"/>
    <w:rsid w:val="00491407"/>
    <w:rsid w:val="00491BC9"/>
    <w:rsid w:val="00495B76"/>
    <w:rsid w:val="00497471"/>
    <w:rsid w:val="004A2F43"/>
    <w:rsid w:val="004A3E9E"/>
    <w:rsid w:val="004A6667"/>
    <w:rsid w:val="004B1D02"/>
    <w:rsid w:val="004C25B7"/>
    <w:rsid w:val="004C7308"/>
    <w:rsid w:val="004D1AB8"/>
    <w:rsid w:val="004D1D0F"/>
    <w:rsid w:val="004D23E1"/>
    <w:rsid w:val="004D5DE1"/>
    <w:rsid w:val="004E357B"/>
    <w:rsid w:val="004E3F7F"/>
    <w:rsid w:val="004E6D48"/>
    <w:rsid w:val="004F1F31"/>
    <w:rsid w:val="00503479"/>
    <w:rsid w:val="00504376"/>
    <w:rsid w:val="00506331"/>
    <w:rsid w:val="00512CDD"/>
    <w:rsid w:val="005134CF"/>
    <w:rsid w:val="0051537A"/>
    <w:rsid w:val="005267F8"/>
    <w:rsid w:val="00531286"/>
    <w:rsid w:val="005323F3"/>
    <w:rsid w:val="00561530"/>
    <w:rsid w:val="005626FF"/>
    <w:rsid w:val="00566D3F"/>
    <w:rsid w:val="00566E7D"/>
    <w:rsid w:val="0057079A"/>
    <w:rsid w:val="00572E1C"/>
    <w:rsid w:val="00580316"/>
    <w:rsid w:val="005955A2"/>
    <w:rsid w:val="005976C2"/>
    <w:rsid w:val="005A086B"/>
    <w:rsid w:val="005A3219"/>
    <w:rsid w:val="005B45AB"/>
    <w:rsid w:val="005B654F"/>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30E2"/>
    <w:rsid w:val="00633BFE"/>
    <w:rsid w:val="006342A1"/>
    <w:rsid w:val="006360E1"/>
    <w:rsid w:val="00640897"/>
    <w:rsid w:val="006426FF"/>
    <w:rsid w:val="00644069"/>
    <w:rsid w:val="00651295"/>
    <w:rsid w:val="00663A71"/>
    <w:rsid w:val="00663F05"/>
    <w:rsid w:val="006678C3"/>
    <w:rsid w:val="00674F05"/>
    <w:rsid w:val="006760F9"/>
    <w:rsid w:val="0068394D"/>
    <w:rsid w:val="00683A44"/>
    <w:rsid w:val="006879BC"/>
    <w:rsid w:val="006915BD"/>
    <w:rsid w:val="006A0772"/>
    <w:rsid w:val="006A4D53"/>
    <w:rsid w:val="006A671A"/>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7B17"/>
    <w:rsid w:val="0075335A"/>
    <w:rsid w:val="00753890"/>
    <w:rsid w:val="00754ACA"/>
    <w:rsid w:val="0076094C"/>
    <w:rsid w:val="00764562"/>
    <w:rsid w:val="00764FDE"/>
    <w:rsid w:val="00767B99"/>
    <w:rsid w:val="0077005B"/>
    <w:rsid w:val="007941E4"/>
    <w:rsid w:val="00794521"/>
    <w:rsid w:val="00794E00"/>
    <w:rsid w:val="00795070"/>
    <w:rsid w:val="007A17D4"/>
    <w:rsid w:val="007A3213"/>
    <w:rsid w:val="007A683E"/>
    <w:rsid w:val="007B3C94"/>
    <w:rsid w:val="007C2B5B"/>
    <w:rsid w:val="007C3924"/>
    <w:rsid w:val="007C6CD3"/>
    <w:rsid w:val="007E0A86"/>
    <w:rsid w:val="007E13D2"/>
    <w:rsid w:val="007F6EE0"/>
    <w:rsid w:val="00801CEF"/>
    <w:rsid w:val="0080315A"/>
    <w:rsid w:val="00811E7C"/>
    <w:rsid w:val="008159B3"/>
    <w:rsid w:val="00825611"/>
    <w:rsid w:val="00831375"/>
    <w:rsid w:val="0083610E"/>
    <w:rsid w:val="008458A4"/>
    <w:rsid w:val="008506D9"/>
    <w:rsid w:val="008508FA"/>
    <w:rsid w:val="00851DC4"/>
    <w:rsid w:val="00851F22"/>
    <w:rsid w:val="00853C76"/>
    <w:rsid w:val="00855E71"/>
    <w:rsid w:val="0087185D"/>
    <w:rsid w:val="008737DF"/>
    <w:rsid w:val="00876019"/>
    <w:rsid w:val="00887281"/>
    <w:rsid w:val="00887A9F"/>
    <w:rsid w:val="00887F88"/>
    <w:rsid w:val="00893C1D"/>
    <w:rsid w:val="00897BF0"/>
    <w:rsid w:val="008A1AAD"/>
    <w:rsid w:val="008A21A4"/>
    <w:rsid w:val="008A7E59"/>
    <w:rsid w:val="008B3F3D"/>
    <w:rsid w:val="008B76DA"/>
    <w:rsid w:val="008C13E4"/>
    <w:rsid w:val="008C42F1"/>
    <w:rsid w:val="008D35F4"/>
    <w:rsid w:val="008D367F"/>
    <w:rsid w:val="008D7303"/>
    <w:rsid w:val="008D7C2F"/>
    <w:rsid w:val="008E077C"/>
    <w:rsid w:val="008E2A5A"/>
    <w:rsid w:val="008E2C81"/>
    <w:rsid w:val="008F03B8"/>
    <w:rsid w:val="008F21EB"/>
    <w:rsid w:val="008F460E"/>
    <w:rsid w:val="008F6EEA"/>
    <w:rsid w:val="00900D1C"/>
    <w:rsid w:val="009019B4"/>
    <w:rsid w:val="00905C0B"/>
    <w:rsid w:val="00911083"/>
    <w:rsid w:val="00930AE1"/>
    <w:rsid w:val="009360C9"/>
    <w:rsid w:val="00937202"/>
    <w:rsid w:val="009428E5"/>
    <w:rsid w:val="00955002"/>
    <w:rsid w:val="009665B7"/>
    <w:rsid w:val="00973519"/>
    <w:rsid w:val="00975DC4"/>
    <w:rsid w:val="00976D05"/>
    <w:rsid w:val="0098694B"/>
    <w:rsid w:val="009907FA"/>
    <w:rsid w:val="0099114F"/>
    <w:rsid w:val="0099757D"/>
    <w:rsid w:val="009A46D8"/>
    <w:rsid w:val="009B3B6A"/>
    <w:rsid w:val="009B3FF1"/>
    <w:rsid w:val="009C16F5"/>
    <w:rsid w:val="009D0858"/>
    <w:rsid w:val="009D16DD"/>
    <w:rsid w:val="009E04C2"/>
    <w:rsid w:val="009F302B"/>
    <w:rsid w:val="009F3B5D"/>
    <w:rsid w:val="00A10DCB"/>
    <w:rsid w:val="00A17821"/>
    <w:rsid w:val="00A237F2"/>
    <w:rsid w:val="00A240AE"/>
    <w:rsid w:val="00A32C04"/>
    <w:rsid w:val="00A34420"/>
    <w:rsid w:val="00A45709"/>
    <w:rsid w:val="00A45A27"/>
    <w:rsid w:val="00A620C9"/>
    <w:rsid w:val="00A6571A"/>
    <w:rsid w:val="00A73D25"/>
    <w:rsid w:val="00A845E0"/>
    <w:rsid w:val="00A907B5"/>
    <w:rsid w:val="00AA1358"/>
    <w:rsid w:val="00AA3578"/>
    <w:rsid w:val="00AA42C7"/>
    <w:rsid w:val="00AA57B2"/>
    <w:rsid w:val="00AB335C"/>
    <w:rsid w:val="00AC24A8"/>
    <w:rsid w:val="00AD17BC"/>
    <w:rsid w:val="00AD6E06"/>
    <w:rsid w:val="00AE2721"/>
    <w:rsid w:val="00AE46D1"/>
    <w:rsid w:val="00AF0665"/>
    <w:rsid w:val="00AF6513"/>
    <w:rsid w:val="00AF77F2"/>
    <w:rsid w:val="00AF7806"/>
    <w:rsid w:val="00B052B7"/>
    <w:rsid w:val="00B068C5"/>
    <w:rsid w:val="00B1317F"/>
    <w:rsid w:val="00B16FB3"/>
    <w:rsid w:val="00B234F7"/>
    <w:rsid w:val="00B348F5"/>
    <w:rsid w:val="00B349EF"/>
    <w:rsid w:val="00B47CB9"/>
    <w:rsid w:val="00B54F0E"/>
    <w:rsid w:val="00B5501A"/>
    <w:rsid w:val="00B70F72"/>
    <w:rsid w:val="00B8243F"/>
    <w:rsid w:val="00B83F16"/>
    <w:rsid w:val="00B91B8A"/>
    <w:rsid w:val="00B922CE"/>
    <w:rsid w:val="00B93071"/>
    <w:rsid w:val="00B937C1"/>
    <w:rsid w:val="00B9528A"/>
    <w:rsid w:val="00BA400F"/>
    <w:rsid w:val="00BA7226"/>
    <w:rsid w:val="00BA73CD"/>
    <w:rsid w:val="00BB50F4"/>
    <w:rsid w:val="00BC07EE"/>
    <w:rsid w:val="00BC3CAD"/>
    <w:rsid w:val="00BE4E1E"/>
    <w:rsid w:val="00C0139C"/>
    <w:rsid w:val="00C03258"/>
    <w:rsid w:val="00C03CAA"/>
    <w:rsid w:val="00C10467"/>
    <w:rsid w:val="00C1102E"/>
    <w:rsid w:val="00C15951"/>
    <w:rsid w:val="00C202FB"/>
    <w:rsid w:val="00C23CEB"/>
    <w:rsid w:val="00C23DE0"/>
    <w:rsid w:val="00C25630"/>
    <w:rsid w:val="00C27C03"/>
    <w:rsid w:val="00C4322E"/>
    <w:rsid w:val="00C47395"/>
    <w:rsid w:val="00C509C6"/>
    <w:rsid w:val="00C52878"/>
    <w:rsid w:val="00C53E4D"/>
    <w:rsid w:val="00C572BC"/>
    <w:rsid w:val="00C653CD"/>
    <w:rsid w:val="00C66043"/>
    <w:rsid w:val="00C70413"/>
    <w:rsid w:val="00C73D72"/>
    <w:rsid w:val="00C74CB6"/>
    <w:rsid w:val="00CA1392"/>
    <w:rsid w:val="00CB3319"/>
    <w:rsid w:val="00CC1D8A"/>
    <w:rsid w:val="00CC6BA2"/>
    <w:rsid w:val="00CC73B9"/>
    <w:rsid w:val="00CD137B"/>
    <w:rsid w:val="00CD3DD8"/>
    <w:rsid w:val="00CE35D5"/>
    <w:rsid w:val="00CE41E2"/>
    <w:rsid w:val="00CF079B"/>
    <w:rsid w:val="00CF6D5C"/>
    <w:rsid w:val="00CF6E24"/>
    <w:rsid w:val="00D007A5"/>
    <w:rsid w:val="00D01490"/>
    <w:rsid w:val="00D16B4D"/>
    <w:rsid w:val="00D2153A"/>
    <w:rsid w:val="00D30CC8"/>
    <w:rsid w:val="00D3124B"/>
    <w:rsid w:val="00D5003F"/>
    <w:rsid w:val="00D539A5"/>
    <w:rsid w:val="00D55377"/>
    <w:rsid w:val="00D61011"/>
    <w:rsid w:val="00D62E3D"/>
    <w:rsid w:val="00D66F84"/>
    <w:rsid w:val="00D711C1"/>
    <w:rsid w:val="00D74BC9"/>
    <w:rsid w:val="00D83FDF"/>
    <w:rsid w:val="00D854FB"/>
    <w:rsid w:val="00D9357E"/>
    <w:rsid w:val="00D95D2B"/>
    <w:rsid w:val="00DA19CE"/>
    <w:rsid w:val="00DA70A9"/>
    <w:rsid w:val="00DB0961"/>
    <w:rsid w:val="00DB6D7C"/>
    <w:rsid w:val="00DB6E85"/>
    <w:rsid w:val="00DD40D5"/>
    <w:rsid w:val="00DD65B0"/>
    <w:rsid w:val="00DE1B0C"/>
    <w:rsid w:val="00DE51A8"/>
    <w:rsid w:val="00DE60AF"/>
    <w:rsid w:val="00DF259F"/>
    <w:rsid w:val="00DF466A"/>
    <w:rsid w:val="00DF6857"/>
    <w:rsid w:val="00E07622"/>
    <w:rsid w:val="00E179A7"/>
    <w:rsid w:val="00E23169"/>
    <w:rsid w:val="00E239FA"/>
    <w:rsid w:val="00E410B7"/>
    <w:rsid w:val="00E54207"/>
    <w:rsid w:val="00E56544"/>
    <w:rsid w:val="00E60A64"/>
    <w:rsid w:val="00E62762"/>
    <w:rsid w:val="00E6642D"/>
    <w:rsid w:val="00E672F9"/>
    <w:rsid w:val="00E713AA"/>
    <w:rsid w:val="00E818B3"/>
    <w:rsid w:val="00E81983"/>
    <w:rsid w:val="00E833F7"/>
    <w:rsid w:val="00E90C27"/>
    <w:rsid w:val="00E97957"/>
    <w:rsid w:val="00EA4FE6"/>
    <w:rsid w:val="00EA7F94"/>
    <w:rsid w:val="00EB3B3B"/>
    <w:rsid w:val="00EB4D8A"/>
    <w:rsid w:val="00ED2788"/>
    <w:rsid w:val="00EE67CB"/>
    <w:rsid w:val="00EF1996"/>
    <w:rsid w:val="00EF52CC"/>
    <w:rsid w:val="00EF55C3"/>
    <w:rsid w:val="00F0097B"/>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A5269"/>
    <w:rsid w:val="00FB0E2C"/>
    <w:rsid w:val="00FC42C6"/>
    <w:rsid w:val="00FD3AA1"/>
    <w:rsid w:val="00FD42E6"/>
    <w:rsid w:val="00FD5E7D"/>
    <w:rsid w:val="00FE1836"/>
    <w:rsid w:val="00FF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983"/>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2023-09-03T18:30:00+00:00</Judgment_x0020_Date>
  </documentManagement>
</p:properties>
</file>

<file path=customXml/itemProps1.xml><?xml version="1.0" encoding="utf-8"?>
<ds:datastoreItem xmlns:ds="http://schemas.openxmlformats.org/officeDocument/2006/customXml" ds:itemID="{E96AB490-E171-4C97-896F-75C308D73E79}"/>
</file>

<file path=customXml/itemProps2.xml><?xml version="1.0" encoding="utf-8"?>
<ds:datastoreItem xmlns:ds="http://schemas.openxmlformats.org/officeDocument/2006/customXml" ds:itemID="{07DDDF5D-C72B-493E-8A57-35D50FE5A8EC}"/>
</file>

<file path=customXml/itemProps3.xml><?xml version="1.0" encoding="utf-8"?>
<ds:datastoreItem xmlns:ds="http://schemas.openxmlformats.org/officeDocument/2006/customXml" ds:itemID="{9C1CA353-A783-4023-A6A8-722605241AFC}"/>
</file>

<file path=customXml/itemProps4.xml><?xml version="1.0" encoding="utf-8"?>
<ds:datastoreItem xmlns:ds="http://schemas.openxmlformats.org/officeDocument/2006/customXml" ds:itemID="{17CF1692-6420-4758-B7FA-17E716F496F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 v Ndhidipaa</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Ndhidipaa; S v Nailenge; S v Martin ( CR 31 2023) [2023] NAHCNLD 92 (4 September 2023)</dc:title>
  <dc:creator>Erich.Kesslau@jud.gov.na</dc:creator>
  <cp:keywords/>
  <cp:lastModifiedBy>Hilma Shigwedha</cp:lastModifiedBy>
  <cp:revision>2</cp:revision>
  <cp:lastPrinted>2023-09-04T06:20:00Z</cp:lastPrinted>
  <dcterms:created xsi:type="dcterms:W3CDTF">2023-09-05T14:52:00Z</dcterms:created>
  <dcterms:modified xsi:type="dcterms:W3CDTF">2023-09-05T14:52:00Z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