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US"/>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US"/>
        </w:rPr>
        <w:drawing>
          <wp:inline distT="0" distB="0" distL="0" distR="0" wp14:anchorId="1C1630D7" wp14:editId="12F6E4A6">
            <wp:extent cx="1123950" cy="1168683"/>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167" cy="1195944"/>
                    </a:xfrm>
                    <a:prstGeom prst="rect">
                      <a:avLst/>
                    </a:prstGeom>
                    <a:noFill/>
                    <a:ln>
                      <a:noFill/>
                    </a:ln>
                  </pic:spPr>
                </pic:pic>
              </a:graphicData>
            </a:graphic>
          </wp:inline>
        </w:drawing>
      </w:r>
    </w:p>
    <w:p w14:paraId="1DC6986B" w14:textId="77777777" w:rsidR="00876019" w:rsidRPr="00FA2BFF" w:rsidRDefault="00876019" w:rsidP="00876019">
      <w:pPr>
        <w:tabs>
          <w:tab w:val="center" w:pos="4153"/>
          <w:tab w:val="right" w:pos="8306"/>
        </w:tabs>
        <w:spacing w:after="200"/>
        <w:jc w:val="center"/>
        <w:rPr>
          <w:rFonts w:ascii="Arial" w:hAnsi="Arial" w:cs="Arial"/>
          <w:bCs/>
          <w:sz w:val="24"/>
          <w:szCs w:val="24"/>
        </w:rPr>
      </w:pPr>
      <w:r w:rsidRPr="00FA2BFF">
        <w:rPr>
          <w:rFonts w:ascii="Arial" w:hAnsi="Arial" w:cs="Arial"/>
          <w:b/>
          <w:sz w:val="24"/>
          <w:szCs w:val="24"/>
        </w:rPr>
        <w:t>IN THE HIGH COURT OF NAMIBIA NORTHERN LOCAL DIVISION, OSHAKATI</w:t>
      </w:r>
    </w:p>
    <w:p w14:paraId="0FF71DE4" w14:textId="164274CB" w:rsidR="00F26B97" w:rsidRDefault="00876019" w:rsidP="00F26B97">
      <w:pPr>
        <w:spacing w:after="200"/>
        <w:jc w:val="center"/>
        <w:rPr>
          <w:rFonts w:ascii="Arial" w:hAnsi="Arial" w:cs="Arial"/>
          <w:b/>
          <w:sz w:val="24"/>
          <w:szCs w:val="24"/>
        </w:rPr>
      </w:pPr>
      <w:r w:rsidRPr="00FA2BFF">
        <w:rPr>
          <w:rFonts w:ascii="Arial" w:hAnsi="Arial" w:cs="Arial"/>
          <w:b/>
          <w:sz w:val="24"/>
          <w:szCs w:val="24"/>
        </w:rPr>
        <w:t>REVIEW JUDGMENT</w:t>
      </w:r>
    </w:p>
    <w:p w14:paraId="6CE712E4" w14:textId="245013B1" w:rsidR="00167CEB" w:rsidRPr="00167CEB" w:rsidRDefault="00167CEB" w:rsidP="00167CEB">
      <w:pPr>
        <w:spacing w:after="200"/>
        <w:jc w:val="center"/>
        <w:rPr>
          <w:rFonts w:ascii="Arial" w:hAnsi="Arial" w:cs="Arial"/>
          <w:b/>
          <w:sz w:val="24"/>
          <w:szCs w:val="24"/>
        </w:rPr>
      </w:pPr>
      <w:r>
        <w:rPr>
          <w:rFonts w:ascii="Arial" w:hAnsi="Arial" w:cs="Arial"/>
          <w:b/>
          <w:sz w:val="24"/>
          <w:szCs w:val="24"/>
        </w:rPr>
        <w:t>PRACTICE DIRECTIVE 61</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167CEB" w:rsidRPr="00FA2BFF" w14:paraId="591FBF95" w14:textId="77777777" w:rsidTr="004D6582">
        <w:trPr>
          <w:trHeight w:val="542"/>
        </w:trPr>
        <w:tc>
          <w:tcPr>
            <w:tcW w:w="5397" w:type="dxa"/>
            <w:gridSpan w:val="2"/>
            <w:vMerge w:val="restart"/>
            <w:tcBorders>
              <w:top w:val="single" w:sz="4" w:space="0" w:color="auto"/>
              <w:left w:val="single" w:sz="4" w:space="0" w:color="auto"/>
              <w:right w:val="single" w:sz="4" w:space="0" w:color="auto"/>
            </w:tcBorders>
            <w:hideMark/>
          </w:tcPr>
          <w:p w14:paraId="2721EDFA" w14:textId="77777777" w:rsidR="00167CEB" w:rsidRPr="00FA2BFF" w:rsidRDefault="00167CEB" w:rsidP="004D6582">
            <w:pPr>
              <w:jc w:val="both"/>
              <w:rPr>
                <w:rFonts w:ascii="Arial" w:hAnsi="Arial" w:cs="Arial"/>
                <w:sz w:val="24"/>
                <w:szCs w:val="24"/>
              </w:rPr>
            </w:pPr>
            <w:r w:rsidRPr="00FA2BFF">
              <w:rPr>
                <w:rFonts w:ascii="Arial" w:hAnsi="Arial" w:cs="Arial"/>
                <w:b/>
                <w:sz w:val="24"/>
                <w:szCs w:val="24"/>
              </w:rPr>
              <w:t>Case Title:</w:t>
            </w:r>
          </w:p>
          <w:p w14:paraId="5BB368C2" w14:textId="77777777" w:rsidR="00167CEB" w:rsidRPr="00F26B97" w:rsidRDefault="00167CEB" w:rsidP="004D6582">
            <w:pPr>
              <w:jc w:val="both"/>
              <w:rPr>
                <w:rFonts w:ascii="Arial" w:hAnsi="Arial" w:cs="Arial"/>
                <w:b/>
                <w:sz w:val="24"/>
                <w:szCs w:val="24"/>
              </w:rPr>
            </w:pPr>
            <w:r w:rsidRPr="00F26B97">
              <w:rPr>
                <w:rFonts w:ascii="Arial" w:hAnsi="Arial" w:cs="Arial"/>
                <w:sz w:val="24"/>
                <w:szCs w:val="24"/>
              </w:rPr>
              <w:t xml:space="preserve"> The State v </w:t>
            </w:r>
            <w:proofErr w:type="spellStart"/>
            <w:r>
              <w:rPr>
                <w:rFonts w:ascii="Arial" w:hAnsi="Arial" w:cs="Arial"/>
                <w:sz w:val="24"/>
                <w:szCs w:val="24"/>
              </w:rPr>
              <w:t>Petrus</w:t>
            </w:r>
            <w:proofErr w:type="spellEnd"/>
            <w:r>
              <w:rPr>
                <w:rFonts w:ascii="Arial" w:hAnsi="Arial" w:cs="Arial"/>
                <w:sz w:val="24"/>
                <w:szCs w:val="24"/>
              </w:rPr>
              <w:t xml:space="preserve"> </w:t>
            </w:r>
            <w:proofErr w:type="spellStart"/>
            <w:r>
              <w:rPr>
                <w:rFonts w:ascii="Arial" w:hAnsi="Arial" w:cs="Arial"/>
                <w:sz w:val="24"/>
                <w:szCs w:val="24"/>
              </w:rPr>
              <w:t>Phillipus</w:t>
            </w:r>
            <w:proofErr w:type="spellEnd"/>
          </w:p>
          <w:p w14:paraId="0CC6CB9F" w14:textId="77777777" w:rsidR="00167CEB" w:rsidRPr="00FA2BFF" w:rsidRDefault="00167CEB" w:rsidP="004D6582">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417E50E1" w14:textId="6CF83D66" w:rsidR="00167CEB" w:rsidRPr="00FA2BFF" w:rsidRDefault="00167CEB" w:rsidP="004D6582">
            <w:pPr>
              <w:jc w:val="both"/>
              <w:rPr>
                <w:rFonts w:ascii="Arial" w:hAnsi="Arial" w:cs="Arial"/>
                <w:bCs/>
                <w:sz w:val="24"/>
                <w:szCs w:val="24"/>
              </w:rPr>
            </w:pPr>
            <w:r w:rsidRPr="00FA2BFF">
              <w:rPr>
                <w:rFonts w:ascii="Arial" w:hAnsi="Arial" w:cs="Arial"/>
                <w:b/>
                <w:bCs/>
                <w:sz w:val="24"/>
                <w:szCs w:val="24"/>
              </w:rPr>
              <w:t>CR</w:t>
            </w:r>
            <w:r w:rsidRPr="00FA2BFF">
              <w:rPr>
                <w:rFonts w:ascii="Arial" w:hAnsi="Arial" w:cs="Arial"/>
                <w:bCs/>
                <w:sz w:val="24"/>
                <w:szCs w:val="24"/>
              </w:rPr>
              <w:t xml:space="preserve">: </w:t>
            </w:r>
            <w:r w:rsidR="0026141D">
              <w:rPr>
                <w:rFonts w:ascii="Arial" w:hAnsi="Arial" w:cs="Arial"/>
                <w:bCs/>
                <w:sz w:val="24"/>
                <w:szCs w:val="24"/>
              </w:rPr>
              <w:t>13</w:t>
            </w:r>
            <w:r w:rsidRPr="00FA2BFF">
              <w:rPr>
                <w:rFonts w:ascii="Arial" w:hAnsi="Arial" w:cs="Arial"/>
                <w:bCs/>
                <w:sz w:val="24"/>
                <w:szCs w:val="24"/>
              </w:rPr>
              <w:t>/202</w:t>
            </w:r>
            <w:r>
              <w:rPr>
                <w:rFonts w:ascii="Arial" w:hAnsi="Arial" w:cs="Arial"/>
                <w:bCs/>
                <w:sz w:val="24"/>
                <w:szCs w:val="24"/>
              </w:rPr>
              <w:t>4</w:t>
            </w:r>
          </w:p>
          <w:p w14:paraId="25F19178" w14:textId="77777777" w:rsidR="00167CEB" w:rsidRPr="00FA2BFF" w:rsidRDefault="00167CEB" w:rsidP="004D6582">
            <w:pPr>
              <w:jc w:val="both"/>
              <w:rPr>
                <w:rFonts w:ascii="Arial" w:hAnsi="Arial" w:cs="Arial"/>
                <w:sz w:val="24"/>
                <w:szCs w:val="24"/>
              </w:rPr>
            </w:pPr>
          </w:p>
          <w:p w14:paraId="3F66783E" w14:textId="77777777" w:rsidR="00167CEB" w:rsidRPr="00FA2BFF" w:rsidRDefault="00167CEB" w:rsidP="004D6582">
            <w:pPr>
              <w:jc w:val="both"/>
              <w:rPr>
                <w:rFonts w:ascii="Arial" w:hAnsi="Arial" w:cs="Arial"/>
                <w:b/>
                <w:sz w:val="24"/>
                <w:szCs w:val="24"/>
              </w:rPr>
            </w:pPr>
          </w:p>
        </w:tc>
      </w:tr>
      <w:tr w:rsidR="00167CEB" w:rsidRPr="00FA2BFF" w14:paraId="372AAE7E" w14:textId="77777777" w:rsidTr="004D6582">
        <w:trPr>
          <w:trHeight w:val="615"/>
        </w:trPr>
        <w:tc>
          <w:tcPr>
            <w:tcW w:w="5397" w:type="dxa"/>
            <w:gridSpan w:val="2"/>
            <w:vMerge/>
            <w:tcBorders>
              <w:left w:val="single" w:sz="4" w:space="0" w:color="auto"/>
              <w:bottom w:val="single" w:sz="4" w:space="0" w:color="auto"/>
              <w:right w:val="single" w:sz="4" w:space="0" w:color="auto"/>
            </w:tcBorders>
          </w:tcPr>
          <w:p w14:paraId="3205A7E6" w14:textId="77777777" w:rsidR="00167CEB" w:rsidRPr="00FA2BFF" w:rsidRDefault="00167CEB" w:rsidP="004D6582">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1E06E432" w14:textId="77777777" w:rsidR="00167CEB" w:rsidRPr="00FA2BFF" w:rsidRDefault="00167CEB" w:rsidP="004D6582">
            <w:pPr>
              <w:jc w:val="both"/>
              <w:rPr>
                <w:rFonts w:ascii="Arial" w:hAnsi="Arial" w:cs="Arial"/>
                <w:sz w:val="24"/>
                <w:szCs w:val="24"/>
              </w:rPr>
            </w:pPr>
            <w:r w:rsidRPr="00FA2BFF">
              <w:rPr>
                <w:rFonts w:ascii="Arial" w:hAnsi="Arial" w:cs="Arial"/>
                <w:b/>
                <w:sz w:val="24"/>
                <w:szCs w:val="24"/>
              </w:rPr>
              <w:t>Division of Court:</w:t>
            </w:r>
          </w:p>
          <w:p w14:paraId="096D0A24"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Northern Local Division</w:t>
            </w:r>
          </w:p>
        </w:tc>
      </w:tr>
      <w:tr w:rsidR="00167CEB" w:rsidRPr="00FA2BFF" w14:paraId="231EDE88" w14:textId="77777777" w:rsidTr="004D6582">
        <w:trPr>
          <w:trHeight w:val="1211"/>
        </w:trPr>
        <w:tc>
          <w:tcPr>
            <w:tcW w:w="5397" w:type="dxa"/>
            <w:gridSpan w:val="2"/>
            <w:tcBorders>
              <w:top w:val="single" w:sz="4" w:space="0" w:color="auto"/>
              <w:left w:val="single" w:sz="4" w:space="0" w:color="auto"/>
              <w:bottom w:val="single" w:sz="4" w:space="0" w:color="auto"/>
              <w:right w:val="single" w:sz="4" w:space="0" w:color="auto"/>
            </w:tcBorders>
            <w:hideMark/>
          </w:tcPr>
          <w:p w14:paraId="7B74E013"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 xml:space="preserve"> Heard before:</w:t>
            </w:r>
          </w:p>
          <w:p w14:paraId="4DC543F8"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 xml:space="preserve"> Salionga J</w:t>
            </w:r>
            <w:r w:rsidRPr="00FA2BFF">
              <w:rPr>
                <w:rFonts w:ascii="Arial" w:hAnsi="Arial" w:cs="Arial"/>
                <w:i/>
                <w:sz w:val="24"/>
                <w:szCs w:val="24"/>
              </w:rPr>
              <w:t xml:space="preserve"> et</w:t>
            </w:r>
            <w:r w:rsidRPr="00FA2BFF">
              <w:rPr>
                <w:rFonts w:ascii="Arial" w:hAnsi="Arial" w:cs="Arial"/>
                <w:sz w:val="24"/>
                <w:szCs w:val="24"/>
              </w:rPr>
              <w:t xml:space="preserve"> Kesslau J</w:t>
            </w:r>
          </w:p>
        </w:tc>
        <w:tc>
          <w:tcPr>
            <w:tcW w:w="4323" w:type="dxa"/>
            <w:tcBorders>
              <w:top w:val="single" w:sz="4" w:space="0" w:color="auto"/>
              <w:left w:val="single" w:sz="4" w:space="0" w:color="auto"/>
              <w:bottom w:val="single" w:sz="4" w:space="0" w:color="auto"/>
              <w:right w:val="single" w:sz="4" w:space="0" w:color="auto"/>
            </w:tcBorders>
            <w:hideMark/>
          </w:tcPr>
          <w:p w14:paraId="23CD5FBB"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Delivered on:</w:t>
            </w:r>
          </w:p>
          <w:p w14:paraId="18DE4C39" w14:textId="0C2FEB27" w:rsidR="00167CEB" w:rsidRPr="00FA2BFF" w:rsidRDefault="00167CEB" w:rsidP="0026141D">
            <w:pPr>
              <w:jc w:val="both"/>
              <w:rPr>
                <w:rFonts w:ascii="Arial" w:hAnsi="Arial" w:cs="Arial"/>
                <w:b/>
                <w:sz w:val="24"/>
                <w:szCs w:val="24"/>
              </w:rPr>
            </w:pPr>
            <w:r>
              <w:rPr>
                <w:rFonts w:ascii="Arial" w:hAnsi="Arial" w:cs="Arial"/>
                <w:sz w:val="24"/>
                <w:szCs w:val="24"/>
              </w:rPr>
              <w:t>1</w:t>
            </w:r>
            <w:r w:rsidR="0026141D">
              <w:rPr>
                <w:rFonts w:ascii="Arial" w:hAnsi="Arial" w:cs="Arial"/>
                <w:sz w:val="24"/>
                <w:szCs w:val="24"/>
              </w:rPr>
              <w:t>5</w:t>
            </w:r>
            <w:r>
              <w:rPr>
                <w:rFonts w:ascii="Arial" w:hAnsi="Arial" w:cs="Arial"/>
                <w:sz w:val="24"/>
                <w:szCs w:val="24"/>
              </w:rPr>
              <w:t xml:space="preserve"> April</w:t>
            </w:r>
            <w:r w:rsidRPr="00FA2BFF">
              <w:rPr>
                <w:rFonts w:ascii="Arial" w:hAnsi="Arial" w:cs="Arial"/>
                <w:sz w:val="24"/>
                <w:szCs w:val="24"/>
              </w:rPr>
              <w:t xml:space="preserve"> 2024</w:t>
            </w:r>
          </w:p>
        </w:tc>
      </w:tr>
      <w:tr w:rsidR="00167CEB" w:rsidRPr="00FA2BFF" w14:paraId="6843625A" w14:textId="77777777" w:rsidTr="004D6582">
        <w:trPr>
          <w:trHeight w:val="393"/>
        </w:trPr>
        <w:tc>
          <w:tcPr>
            <w:tcW w:w="9720" w:type="dxa"/>
            <w:gridSpan w:val="3"/>
            <w:tcBorders>
              <w:top w:val="single" w:sz="4" w:space="0" w:color="auto"/>
              <w:left w:val="single" w:sz="4" w:space="0" w:color="auto"/>
              <w:bottom w:val="single" w:sz="4" w:space="0" w:color="auto"/>
              <w:right w:val="single" w:sz="4" w:space="0" w:color="auto"/>
            </w:tcBorders>
          </w:tcPr>
          <w:p w14:paraId="724BC73E" w14:textId="7AB375D0" w:rsidR="00167CEB" w:rsidRPr="00FA2BFF" w:rsidRDefault="00167CEB" w:rsidP="004D6582">
            <w:pPr>
              <w:spacing w:line="240" w:lineRule="auto"/>
              <w:jc w:val="both"/>
              <w:rPr>
                <w:rFonts w:ascii="Arial" w:hAnsi="Arial" w:cs="Arial"/>
                <w:sz w:val="24"/>
                <w:szCs w:val="24"/>
              </w:rPr>
            </w:pPr>
            <w:r w:rsidRPr="00FA2BFF">
              <w:rPr>
                <w:rFonts w:ascii="Arial" w:hAnsi="Arial" w:cs="Arial"/>
                <w:b/>
                <w:sz w:val="24"/>
                <w:szCs w:val="24"/>
              </w:rPr>
              <w:t xml:space="preserve">Neutral citation: </w:t>
            </w:r>
            <w:r w:rsidRPr="00FA2BFF">
              <w:rPr>
                <w:rFonts w:ascii="Arial" w:hAnsi="Arial" w:cs="Arial"/>
                <w:i/>
                <w:sz w:val="24"/>
                <w:szCs w:val="24"/>
              </w:rPr>
              <w:t xml:space="preserve">S v </w:t>
            </w:r>
            <w:proofErr w:type="spellStart"/>
            <w:r>
              <w:rPr>
                <w:rFonts w:ascii="Arial" w:hAnsi="Arial" w:cs="Arial"/>
                <w:i/>
                <w:sz w:val="24"/>
                <w:szCs w:val="24"/>
              </w:rPr>
              <w:t>Phillipus</w:t>
            </w:r>
            <w:proofErr w:type="spellEnd"/>
            <w:r w:rsidRPr="00C40951">
              <w:rPr>
                <w:rFonts w:ascii="Arial" w:hAnsi="Arial" w:cs="Arial"/>
                <w:sz w:val="24"/>
                <w:szCs w:val="24"/>
              </w:rPr>
              <w:t xml:space="preserve"> (</w:t>
            </w:r>
            <w:r w:rsidRPr="00FA2BFF">
              <w:rPr>
                <w:rFonts w:ascii="Arial" w:hAnsi="Arial" w:cs="Arial"/>
                <w:sz w:val="24"/>
                <w:szCs w:val="24"/>
              </w:rPr>
              <w:t xml:space="preserve">CR </w:t>
            </w:r>
            <w:r w:rsidR="0026141D">
              <w:rPr>
                <w:rFonts w:ascii="Arial" w:hAnsi="Arial" w:cs="Arial"/>
                <w:sz w:val="24"/>
                <w:szCs w:val="24"/>
              </w:rPr>
              <w:t>13</w:t>
            </w:r>
            <w:r w:rsidRPr="00FA2BFF">
              <w:rPr>
                <w:rFonts w:ascii="Arial" w:hAnsi="Arial" w:cs="Arial"/>
                <w:sz w:val="24"/>
                <w:szCs w:val="24"/>
              </w:rPr>
              <w:t>/202</w:t>
            </w:r>
            <w:r>
              <w:rPr>
                <w:rFonts w:ascii="Arial" w:hAnsi="Arial" w:cs="Arial"/>
                <w:sz w:val="24"/>
                <w:szCs w:val="24"/>
              </w:rPr>
              <w:t>4</w:t>
            </w:r>
            <w:r w:rsidRPr="00FA2BFF">
              <w:rPr>
                <w:rFonts w:ascii="Arial" w:hAnsi="Arial" w:cs="Arial"/>
                <w:sz w:val="24"/>
                <w:szCs w:val="24"/>
              </w:rPr>
              <w:t>) [202</w:t>
            </w:r>
            <w:r>
              <w:rPr>
                <w:rFonts w:ascii="Arial" w:hAnsi="Arial" w:cs="Arial"/>
                <w:sz w:val="24"/>
                <w:szCs w:val="24"/>
              </w:rPr>
              <w:t>4</w:t>
            </w:r>
            <w:r w:rsidRPr="00FA2BFF">
              <w:rPr>
                <w:rFonts w:ascii="Arial" w:hAnsi="Arial" w:cs="Arial"/>
                <w:sz w:val="24"/>
                <w:szCs w:val="24"/>
              </w:rPr>
              <w:t xml:space="preserve">] NAHCNLD </w:t>
            </w:r>
            <w:r w:rsidR="0026141D">
              <w:rPr>
                <w:rFonts w:ascii="Arial" w:hAnsi="Arial" w:cs="Arial"/>
                <w:sz w:val="24"/>
                <w:szCs w:val="24"/>
              </w:rPr>
              <w:t>38</w:t>
            </w:r>
            <w:r w:rsidRPr="00FA2BFF">
              <w:rPr>
                <w:rFonts w:ascii="Arial" w:hAnsi="Arial" w:cs="Arial"/>
                <w:sz w:val="24"/>
                <w:szCs w:val="24"/>
              </w:rPr>
              <w:t xml:space="preserve"> (</w:t>
            </w:r>
            <w:r>
              <w:rPr>
                <w:rFonts w:ascii="Arial" w:hAnsi="Arial" w:cs="Arial"/>
                <w:sz w:val="24"/>
                <w:szCs w:val="24"/>
              </w:rPr>
              <w:t>1</w:t>
            </w:r>
            <w:r w:rsidR="0026141D">
              <w:rPr>
                <w:rFonts w:ascii="Arial" w:hAnsi="Arial" w:cs="Arial"/>
                <w:sz w:val="24"/>
                <w:szCs w:val="24"/>
              </w:rPr>
              <w:t>5</w:t>
            </w:r>
            <w:r>
              <w:rPr>
                <w:rFonts w:ascii="Arial" w:hAnsi="Arial" w:cs="Arial"/>
                <w:sz w:val="24"/>
                <w:szCs w:val="24"/>
              </w:rPr>
              <w:t xml:space="preserve"> April</w:t>
            </w:r>
            <w:r w:rsidRPr="00FA2BFF">
              <w:rPr>
                <w:rFonts w:ascii="Arial" w:hAnsi="Arial" w:cs="Arial"/>
                <w:sz w:val="24"/>
                <w:szCs w:val="24"/>
              </w:rPr>
              <w:t xml:space="preserve"> 2024)</w:t>
            </w:r>
          </w:p>
          <w:p w14:paraId="60278C6F" w14:textId="77777777" w:rsidR="00167CEB" w:rsidRPr="00FA2BFF" w:rsidRDefault="00167CEB" w:rsidP="004D6582">
            <w:pPr>
              <w:spacing w:line="240" w:lineRule="auto"/>
              <w:jc w:val="both"/>
              <w:rPr>
                <w:rFonts w:ascii="Arial" w:hAnsi="Arial" w:cs="Arial"/>
                <w:sz w:val="24"/>
                <w:szCs w:val="24"/>
              </w:rPr>
            </w:pPr>
          </w:p>
        </w:tc>
      </w:tr>
      <w:tr w:rsidR="00167CEB" w:rsidRPr="00FA2BFF" w14:paraId="5399610E" w14:textId="77777777" w:rsidTr="004D6582">
        <w:trPr>
          <w:trHeight w:val="1377"/>
        </w:trPr>
        <w:tc>
          <w:tcPr>
            <w:tcW w:w="9720" w:type="dxa"/>
            <w:gridSpan w:val="3"/>
            <w:tcBorders>
              <w:top w:val="single" w:sz="4" w:space="0" w:color="auto"/>
              <w:left w:val="single" w:sz="4" w:space="0" w:color="auto"/>
              <w:bottom w:val="single" w:sz="4" w:space="0" w:color="auto"/>
              <w:right w:val="single" w:sz="4" w:space="0" w:color="auto"/>
            </w:tcBorders>
          </w:tcPr>
          <w:p w14:paraId="7C210357"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It is hereby ordered that:</w:t>
            </w:r>
          </w:p>
          <w:p w14:paraId="198A08FC" w14:textId="77777777" w:rsidR="00167CEB" w:rsidRPr="00153E65" w:rsidRDefault="00167CEB" w:rsidP="004D6582">
            <w:pPr>
              <w:pStyle w:val="ListParagraph"/>
              <w:numPr>
                <w:ilvl w:val="0"/>
                <w:numId w:val="13"/>
              </w:numPr>
              <w:spacing w:before="240"/>
              <w:ind w:left="517" w:hanging="540"/>
              <w:jc w:val="both"/>
              <w:rPr>
                <w:color w:val="000000"/>
                <w:sz w:val="24"/>
                <w:szCs w:val="24"/>
              </w:rPr>
            </w:pPr>
            <w:r w:rsidRPr="00153E65">
              <w:rPr>
                <w:color w:val="000000"/>
                <w:sz w:val="24"/>
                <w:szCs w:val="24"/>
              </w:rPr>
              <w:t>The conviction and sentence in respect of count 1 are confirmed.</w:t>
            </w:r>
          </w:p>
          <w:p w14:paraId="5F876012" w14:textId="77777777" w:rsidR="00167CEB" w:rsidRPr="000F50AD" w:rsidRDefault="00167CEB" w:rsidP="004D6582">
            <w:pPr>
              <w:pStyle w:val="ListParagraph"/>
              <w:numPr>
                <w:ilvl w:val="0"/>
                <w:numId w:val="13"/>
              </w:numPr>
              <w:spacing w:before="240"/>
              <w:ind w:left="517" w:hanging="540"/>
              <w:jc w:val="both"/>
              <w:rPr>
                <w:color w:val="000000"/>
                <w:sz w:val="24"/>
                <w:szCs w:val="24"/>
              </w:rPr>
            </w:pPr>
            <w:r w:rsidRPr="00FA2BFF">
              <w:rPr>
                <w:color w:val="000000"/>
                <w:sz w:val="24"/>
                <w:szCs w:val="24"/>
              </w:rPr>
              <w:t xml:space="preserve">The </w:t>
            </w:r>
            <w:r>
              <w:rPr>
                <w:color w:val="000000"/>
                <w:sz w:val="24"/>
                <w:szCs w:val="24"/>
              </w:rPr>
              <w:t>conviction and sentence in res</w:t>
            </w:r>
            <w:bookmarkStart w:id="0" w:name="_GoBack"/>
            <w:bookmarkEnd w:id="0"/>
            <w:r>
              <w:rPr>
                <w:color w:val="000000"/>
                <w:sz w:val="24"/>
                <w:szCs w:val="24"/>
              </w:rPr>
              <w:t>pect of count 2 are set aside.</w:t>
            </w:r>
            <w:r w:rsidRPr="000F50AD">
              <w:rPr>
                <w:color w:val="000000"/>
                <w:sz w:val="24"/>
                <w:szCs w:val="24"/>
              </w:rPr>
              <w:t xml:space="preserve"> </w:t>
            </w:r>
          </w:p>
          <w:p w14:paraId="677D790A" w14:textId="77777777" w:rsidR="00167CEB" w:rsidRPr="00FA2BFF" w:rsidRDefault="00167CEB" w:rsidP="004D6582">
            <w:pPr>
              <w:pStyle w:val="ListParagraph"/>
              <w:spacing w:before="240"/>
              <w:ind w:left="517"/>
              <w:jc w:val="both"/>
              <w:rPr>
                <w:color w:val="000000"/>
                <w:sz w:val="24"/>
                <w:szCs w:val="24"/>
              </w:rPr>
            </w:pPr>
          </w:p>
        </w:tc>
      </w:tr>
      <w:tr w:rsidR="00167CEB" w:rsidRPr="00FA2BFF" w14:paraId="65A013C3" w14:textId="77777777" w:rsidTr="004D6582">
        <w:trPr>
          <w:trHeight w:val="306"/>
        </w:trPr>
        <w:tc>
          <w:tcPr>
            <w:tcW w:w="9720" w:type="dxa"/>
            <w:gridSpan w:val="3"/>
            <w:tcBorders>
              <w:top w:val="single" w:sz="4" w:space="0" w:color="auto"/>
              <w:left w:val="single" w:sz="4" w:space="0" w:color="auto"/>
              <w:bottom w:val="single" w:sz="4" w:space="0" w:color="auto"/>
              <w:right w:val="single" w:sz="4" w:space="0" w:color="auto"/>
            </w:tcBorders>
          </w:tcPr>
          <w:p w14:paraId="3E2D298E"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t>Reasons for the order:</w:t>
            </w:r>
          </w:p>
        </w:tc>
      </w:tr>
      <w:tr w:rsidR="00167CEB" w:rsidRPr="00FA2BFF" w14:paraId="3D884FA2" w14:textId="77777777" w:rsidTr="004D6582">
        <w:trPr>
          <w:trHeight w:val="3619"/>
        </w:trPr>
        <w:tc>
          <w:tcPr>
            <w:tcW w:w="9720" w:type="dxa"/>
            <w:gridSpan w:val="3"/>
            <w:tcBorders>
              <w:top w:val="single" w:sz="4" w:space="0" w:color="auto"/>
              <w:left w:val="single" w:sz="4" w:space="0" w:color="auto"/>
              <w:bottom w:val="single" w:sz="4" w:space="0" w:color="auto"/>
              <w:right w:val="single" w:sz="4" w:space="0" w:color="auto"/>
            </w:tcBorders>
          </w:tcPr>
          <w:p w14:paraId="4922FE40" w14:textId="77777777" w:rsidR="00167CEB" w:rsidRDefault="00167CEB" w:rsidP="004D6582">
            <w:pPr>
              <w:pStyle w:val="ListParagraph"/>
              <w:tabs>
                <w:tab w:val="left" w:pos="851"/>
              </w:tabs>
              <w:ind w:left="0"/>
              <w:jc w:val="both"/>
              <w:rPr>
                <w:bCs/>
                <w:sz w:val="24"/>
                <w:szCs w:val="24"/>
              </w:rPr>
            </w:pPr>
            <w:r w:rsidRPr="00FA2BFF">
              <w:rPr>
                <w:bCs/>
                <w:sz w:val="24"/>
                <w:szCs w:val="24"/>
              </w:rPr>
              <w:t xml:space="preserve"> </w:t>
            </w:r>
          </w:p>
          <w:p w14:paraId="5E80B1FE" w14:textId="77777777" w:rsidR="00167CEB" w:rsidRPr="00FA2BFF" w:rsidRDefault="00167CEB" w:rsidP="004D6582">
            <w:pPr>
              <w:pStyle w:val="ListParagraph"/>
              <w:tabs>
                <w:tab w:val="left" w:pos="851"/>
              </w:tabs>
              <w:ind w:left="0"/>
              <w:jc w:val="both"/>
              <w:rPr>
                <w:bCs/>
                <w:sz w:val="24"/>
                <w:szCs w:val="24"/>
              </w:rPr>
            </w:pPr>
            <w:r w:rsidRPr="00FA2BFF">
              <w:rPr>
                <w:bCs/>
                <w:sz w:val="24"/>
                <w:szCs w:val="24"/>
              </w:rPr>
              <w:t>KESSLAU J  (SALIONGA J concurring)</w:t>
            </w:r>
          </w:p>
          <w:p w14:paraId="0A3947D3" w14:textId="77777777" w:rsidR="00167CEB" w:rsidRPr="00FA2BFF" w:rsidRDefault="00167CEB" w:rsidP="00C5119C">
            <w:pPr>
              <w:pStyle w:val="ListParagraph"/>
              <w:tabs>
                <w:tab w:val="left" w:pos="851"/>
              </w:tabs>
              <w:spacing w:line="240" w:lineRule="auto"/>
              <w:ind w:left="0"/>
              <w:jc w:val="both"/>
              <w:rPr>
                <w:bCs/>
                <w:sz w:val="24"/>
                <w:szCs w:val="24"/>
              </w:rPr>
            </w:pPr>
          </w:p>
          <w:p w14:paraId="5285285E" w14:textId="253AEB01" w:rsidR="00167CEB" w:rsidRPr="00FA2BFF" w:rsidRDefault="00167CEB" w:rsidP="004D6582">
            <w:pPr>
              <w:jc w:val="both"/>
              <w:rPr>
                <w:rFonts w:ascii="Arial" w:hAnsi="Arial" w:cs="Arial"/>
                <w:bCs/>
                <w:sz w:val="24"/>
                <w:szCs w:val="24"/>
              </w:rPr>
            </w:pPr>
            <w:r w:rsidRPr="00FA2BFF">
              <w:rPr>
                <w:rFonts w:ascii="Arial" w:hAnsi="Arial" w:cs="Arial"/>
                <w:bCs/>
                <w:sz w:val="24"/>
                <w:szCs w:val="24"/>
              </w:rPr>
              <w:t>[1]</w:t>
            </w:r>
            <w:r w:rsidR="00C5119C">
              <w:rPr>
                <w:rFonts w:ascii="Arial" w:hAnsi="Arial" w:cs="Arial"/>
                <w:bCs/>
                <w:sz w:val="24"/>
                <w:szCs w:val="24"/>
              </w:rPr>
              <w:tab/>
            </w:r>
            <w:r w:rsidRPr="00FA2BFF">
              <w:rPr>
                <w:rFonts w:ascii="Arial" w:hAnsi="Arial" w:cs="Arial"/>
                <w:bCs/>
                <w:sz w:val="24"/>
                <w:szCs w:val="24"/>
              </w:rPr>
              <w:t xml:space="preserve">The matter from the Magistrate’s court of </w:t>
            </w:r>
            <w:proofErr w:type="spellStart"/>
            <w:r w:rsidRPr="00FA2BFF">
              <w:rPr>
                <w:rFonts w:ascii="Arial" w:hAnsi="Arial" w:cs="Arial"/>
                <w:bCs/>
                <w:sz w:val="24"/>
                <w:szCs w:val="24"/>
              </w:rPr>
              <w:t>O</w:t>
            </w:r>
            <w:r>
              <w:rPr>
                <w:rFonts w:ascii="Arial" w:hAnsi="Arial" w:cs="Arial"/>
                <w:bCs/>
                <w:sz w:val="24"/>
                <w:szCs w:val="24"/>
              </w:rPr>
              <w:t>ndangwa</w:t>
            </w:r>
            <w:proofErr w:type="spellEnd"/>
            <w:r>
              <w:rPr>
                <w:rFonts w:ascii="Arial" w:hAnsi="Arial" w:cs="Arial"/>
                <w:bCs/>
                <w:sz w:val="24"/>
                <w:szCs w:val="24"/>
              </w:rPr>
              <w:t>,</w:t>
            </w:r>
            <w:r w:rsidRPr="00FA2BFF">
              <w:rPr>
                <w:rFonts w:ascii="Arial" w:hAnsi="Arial" w:cs="Arial"/>
                <w:bCs/>
                <w:sz w:val="24"/>
                <w:szCs w:val="24"/>
              </w:rPr>
              <w:t xml:space="preserve"> is before this court for review in terms of s 302 of the Criminal Procedure Act 51 of 1977</w:t>
            </w:r>
            <w:r>
              <w:rPr>
                <w:rFonts w:ascii="Arial" w:hAnsi="Arial" w:cs="Arial"/>
                <w:bCs/>
                <w:sz w:val="24"/>
                <w:szCs w:val="24"/>
              </w:rPr>
              <w:t>, as amended</w:t>
            </w:r>
            <w:r w:rsidRPr="00FA2BFF">
              <w:rPr>
                <w:rFonts w:ascii="Arial" w:hAnsi="Arial" w:cs="Arial"/>
                <w:bCs/>
                <w:sz w:val="24"/>
                <w:szCs w:val="24"/>
              </w:rPr>
              <w:t xml:space="preserve"> (the CPA).  </w:t>
            </w:r>
          </w:p>
          <w:p w14:paraId="596A7943" w14:textId="77777777" w:rsidR="00167CEB" w:rsidRPr="00FA2BFF" w:rsidRDefault="00167CEB" w:rsidP="00C5119C">
            <w:pPr>
              <w:spacing w:line="240" w:lineRule="auto"/>
              <w:jc w:val="both"/>
              <w:rPr>
                <w:rFonts w:ascii="Arial" w:hAnsi="Arial" w:cs="Arial"/>
                <w:bCs/>
                <w:sz w:val="24"/>
                <w:szCs w:val="24"/>
              </w:rPr>
            </w:pPr>
          </w:p>
          <w:p w14:paraId="64BAD462" w14:textId="715693E6" w:rsidR="00167CEB" w:rsidRPr="00FA2BFF" w:rsidRDefault="00167CEB" w:rsidP="004D6582">
            <w:pPr>
              <w:jc w:val="both"/>
              <w:rPr>
                <w:rFonts w:ascii="Arial" w:hAnsi="Arial" w:cs="Arial"/>
                <w:sz w:val="24"/>
                <w:szCs w:val="24"/>
              </w:rPr>
            </w:pPr>
            <w:r w:rsidRPr="00FA2BFF">
              <w:rPr>
                <w:rFonts w:ascii="Arial" w:hAnsi="Arial" w:cs="Arial"/>
                <w:bCs/>
                <w:sz w:val="24"/>
                <w:szCs w:val="24"/>
              </w:rPr>
              <w:t>[2]</w:t>
            </w:r>
            <w:r w:rsidR="00C5119C">
              <w:rPr>
                <w:rFonts w:ascii="Arial" w:hAnsi="Arial" w:cs="Arial"/>
                <w:bCs/>
                <w:sz w:val="24"/>
                <w:szCs w:val="24"/>
              </w:rPr>
              <w:tab/>
            </w:r>
            <w:r w:rsidRPr="00FA2BFF">
              <w:rPr>
                <w:rFonts w:ascii="Arial" w:hAnsi="Arial" w:cs="Arial"/>
                <w:bCs/>
                <w:sz w:val="24"/>
                <w:szCs w:val="24"/>
              </w:rPr>
              <w:t xml:space="preserve">The accused was charged with </w:t>
            </w:r>
            <w:r>
              <w:rPr>
                <w:rFonts w:ascii="Arial" w:hAnsi="Arial" w:cs="Arial"/>
                <w:bCs/>
                <w:sz w:val="24"/>
                <w:szCs w:val="24"/>
              </w:rPr>
              <w:t xml:space="preserve">count 1: Assault by threat and, count 2: </w:t>
            </w:r>
            <w:proofErr w:type="spellStart"/>
            <w:r w:rsidRPr="003D38D4">
              <w:rPr>
                <w:rFonts w:ascii="Arial" w:hAnsi="Arial" w:cs="Arial"/>
                <w:bCs/>
                <w:i/>
                <w:sz w:val="24"/>
                <w:szCs w:val="24"/>
              </w:rPr>
              <w:t>Crimen</w:t>
            </w:r>
            <w:proofErr w:type="spellEnd"/>
            <w:r w:rsidRPr="003D38D4">
              <w:rPr>
                <w:rFonts w:ascii="Arial" w:hAnsi="Arial" w:cs="Arial"/>
                <w:bCs/>
                <w:i/>
                <w:sz w:val="24"/>
                <w:szCs w:val="24"/>
              </w:rPr>
              <w:t xml:space="preserve"> </w:t>
            </w:r>
            <w:proofErr w:type="spellStart"/>
            <w:r w:rsidRPr="003D38D4">
              <w:rPr>
                <w:rFonts w:ascii="Arial" w:hAnsi="Arial" w:cs="Arial"/>
                <w:bCs/>
                <w:i/>
                <w:sz w:val="24"/>
                <w:szCs w:val="24"/>
              </w:rPr>
              <w:t>Injuria</w:t>
            </w:r>
            <w:proofErr w:type="spellEnd"/>
            <w:r>
              <w:rPr>
                <w:rFonts w:ascii="Arial" w:hAnsi="Arial" w:cs="Arial"/>
                <w:bCs/>
                <w:sz w:val="24"/>
                <w:szCs w:val="24"/>
              </w:rPr>
              <w:t xml:space="preserve">. </w:t>
            </w:r>
            <w:r w:rsidRPr="00FA2BFF">
              <w:rPr>
                <w:rFonts w:ascii="Arial" w:hAnsi="Arial" w:cs="Arial"/>
                <w:sz w:val="24"/>
                <w:szCs w:val="24"/>
              </w:rPr>
              <w:t>He</w:t>
            </w:r>
            <w:r>
              <w:rPr>
                <w:rFonts w:ascii="Arial" w:hAnsi="Arial" w:cs="Arial"/>
                <w:sz w:val="24"/>
                <w:szCs w:val="24"/>
              </w:rPr>
              <w:t xml:space="preserve"> pleaded guilty and, after the application of s 112(1</w:t>
            </w:r>
            <w:proofErr w:type="gramStart"/>
            <w:r>
              <w:rPr>
                <w:rFonts w:ascii="Arial" w:hAnsi="Arial" w:cs="Arial"/>
                <w:sz w:val="24"/>
                <w:szCs w:val="24"/>
              </w:rPr>
              <w:t>)(</w:t>
            </w:r>
            <w:proofErr w:type="gramEnd"/>
            <w:r w:rsidRPr="005D3634">
              <w:rPr>
                <w:rFonts w:ascii="Arial" w:hAnsi="Arial" w:cs="Arial"/>
                <w:i/>
                <w:sz w:val="24"/>
                <w:szCs w:val="24"/>
              </w:rPr>
              <w:t>a</w:t>
            </w:r>
            <w:r>
              <w:rPr>
                <w:rFonts w:ascii="Arial" w:hAnsi="Arial" w:cs="Arial"/>
                <w:sz w:val="24"/>
                <w:szCs w:val="24"/>
              </w:rPr>
              <w:t xml:space="preserve">) of the CPA, was </w:t>
            </w:r>
            <w:r w:rsidRPr="00FA2BFF">
              <w:rPr>
                <w:rFonts w:ascii="Arial" w:hAnsi="Arial" w:cs="Arial"/>
                <w:sz w:val="24"/>
                <w:szCs w:val="24"/>
              </w:rPr>
              <w:t xml:space="preserve">convicted </w:t>
            </w:r>
            <w:r>
              <w:rPr>
                <w:rFonts w:ascii="Arial" w:hAnsi="Arial" w:cs="Arial"/>
                <w:sz w:val="24"/>
                <w:szCs w:val="24"/>
              </w:rPr>
              <w:t>on his pleas of guilty and sentenced</w:t>
            </w:r>
            <w:r w:rsidRPr="00FA2BFF">
              <w:rPr>
                <w:rFonts w:ascii="Arial" w:hAnsi="Arial" w:cs="Arial"/>
                <w:sz w:val="24"/>
                <w:szCs w:val="24"/>
              </w:rPr>
              <w:t>.</w:t>
            </w:r>
            <w:r>
              <w:rPr>
                <w:rFonts w:ascii="Arial" w:hAnsi="Arial" w:cs="Arial"/>
                <w:sz w:val="24"/>
                <w:szCs w:val="24"/>
              </w:rPr>
              <w:t xml:space="preserve"> </w:t>
            </w:r>
            <w:r w:rsidRPr="00FA2BFF">
              <w:rPr>
                <w:rFonts w:ascii="Arial" w:hAnsi="Arial" w:cs="Arial"/>
                <w:sz w:val="24"/>
                <w:szCs w:val="24"/>
              </w:rPr>
              <w:t xml:space="preserve">    </w:t>
            </w:r>
          </w:p>
          <w:p w14:paraId="6E7293A8" w14:textId="77777777" w:rsidR="00167CEB" w:rsidRPr="00FA2BFF" w:rsidRDefault="00167CEB" w:rsidP="004D6582">
            <w:pPr>
              <w:jc w:val="both"/>
              <w:rPr>
                <w:rFonts w:ascii="Arial" w:hAnsi="Arial" w:cs="Arial"/>
                <w:sz w:val="24"/>
                <w:szCs w:val="24"/>
              </w:rPr>
            </w:pPr>
          </w:p>
          <w:p w14:paraId="3C978EFD" w14:textId="05E59174" w:rsidR="00167CEB" w:rsidRDefault="00167CEB" w:rsidP="004D6582">
            <w:pPr>
              <w:jc w:val="both"/>
              <w:rPr>
                <w:rFonts w:ascii="Arial" w:hAnsi="Arial" w:cs="Arial"/>
                <w:sz w:val="24"/>
                <w:szCs w:val="24"/>
              </w:rPr>
            </w:pPr>
            <w:r w:rsidRPr="00FA2BFF">
              <w:rPr>
                <w:rFonts w:ascii="Arial" w:hAnsi="Arial" w:cs="Arial"/>
                <w:sz w:val="24"/>
                <w:szCs w:val="24"/>
              </w:rPr>
              <w:t>[3</w:t>
            </w:r>
            <w:r w:rsidR="00C5119C">
              <w:rPr>
                <w:rFonts w:ascii="Arial" w:hAnsi="Arial" w:cs="Arial"/>
                <w:sz w:val="24"/>
                <w:szCs w:val="24"/>
              </w:rPr>
              <w:t>]</w:t>
            </w:r>
            <w:r w:rsidR="00C5119C">
              <w:rPr>
                <w:rFonts w:ascii="Arial" w:hAnsi="Arial" w:cs="Arial"/>
                <w:sz w:val="24"/>
                <w:szCs w:val="24"/>
              </w:rPr>
              <w:tab/>
            </w:r>
            <w:r>
              <w:rPr>
                <w:rFonts w:ascii="Arial" w:hAnsi="Arial" w:cs="Arial"/>
                <w:sz w:val="24"/>
                <w:szCs w:val="24"/>
              </w:rPr>
              <w:t xml:space="preserve">The following queries were sent to the Magistrate: </w:t>
            </w:r>
          </w:p>
          <w:p w14:paraId="2DBD5DE7" w14:textId="77777777" w:rsidR="00C5119C" w:rsidRDefault="00C5119C" w:rsidP="00C5119C">
            <w:pPr>
              <w:spacing w:line="240" w:lineRule="auto"/>
              <w:jc w:val="both"/>
              <w:rPr>
                <w:rFonts w:ascii="Arial" w:hAnsi="Arial" w:cs="Arial"/>
                <w:sz w:val="24"/>
                <w:szCs w:val="24"/>
              </w:rPr>
            </w:pPr>
          </w:p>
          <w:p w14:paraId="6ECE2781" w14:textId="3EFEE056" w:rsidR="00167CEB" w:rsidRDefault="00C5119C" w:rsidP="004D6582">
            <w:pPr>
              <w:jc w:val="both"/>
              <w:rPr>
                <w:rFonts w:ascii="Arial" w:hAnsi="Arial" w:cs="Arial"/>
              </w:rPr>
            </w:pPr>
            <w:r>
              <w:rPr>
                <w:rFonts w:ascii="Arial" w:hAnsi="Arial" w:cs="Arial"/>
                <w:sz w:val="24"/>
                <w:szCs w:val="24"/>
              </w:rPr>
              <w:tab/>
            </w:r>
            <w:r w:rsidR="00167CEB" w:rsidRPr="00C71075">
              <w:rPr>
                <w:rFonts w:ascii="Arial" w:hAnsi="Arial" w:cs="Arial"/>
              </w:rPr>
              <w:t>‘</w:t>
            </w:r>
            <w:r w:rsidR="00167CEB">
              <w:rPr>
                <w:rFonts w:ascii="Arial" w:hAnsi="Arial" w:cs="Arial"/>
              </w:rPr>
              <w:t>1.</w:t>
            </w:r>
            <w:r w:rsidR="00167CEB" w:rsidRPr="00C71075">
              <w:rPr>
                <w:rFonts w:ascii="Arial" w:eastAsiaTheme="minorHAnsi" w:hAnsi="Arial" w:cs="Arial"/>
                <w:sz w:val="24"/>
                <w:szCs w:val="24"/>
              </w:rPr>
              <w:t xml:space="preserve"> </w:t>
            </w:r>
            <w:r w:rsidR="00167CEB" w:rsidRPr="00C71075">
              <w:rPr>
                <w:rFonts w:ascii="Arial" w:hAnsi="Arial" w:cs="Arial"/>
              </w:rPr>
              <w:t>The Magistrate applied s 112(1</w:t>
            </w:r>
            <w:proofErr w:type="gramStart"/>
            <w:r w:rsidR="00167CEB" w:rsidRPr="00C71075">
              <w:rPr>
                <w:rFonts w:ascii="Arial" w:hAnsi="Arial" w:cs="Arial"/>
              </w:rPr>
              <w:t>)(</w:t>
            </w:r>
            <w:proofErr w:type="gramEnd"/>
            <w:r w:rsidR="00167CEB" w:rsidRPr="00ED499D">
              <w:rPr>
                <w:rFonts w:ascii="Arial" w:hAnsi="Arial" w:cs="Arial"/>
                <w:i/>
              </w:rPr>
              <w:t>a</w:t>
            </w:r>
            <w:r w:rsidR="00167CEB" w:rsidRPr="00C71075">
              <w:rPr>
                <w:rFonts w:ascii="Arial" w:hAnsi="Arial" w:cs="Arial"/>
              </w:rPr>
              <w:t>) of the CPA and convicted the accused on both counts. This section is normally utilised for minor offences</w:t>
            </w:r>
            <w:r w:rsidR="00167CEB">
              <w:rPr>
                <w:rFonts w:ascii="Arial" w:hAnsi="Arial" w:cs="Arial"/>
              </w:rPr>
              <w:t>,</w:t>
            </w:r>
            <w:r w:rsidR="00167CEB" w:rsidRPr="00C71075">
              <w:rPr>
                <w:rFonts w:ascii="Arial" w:hAnsi="Arial" w:cs="Arial"/>
              </w:rPr>
              <w:t xml:space="preserve"> however</w:t>
            </w:r>
            <w:r w:rsidR="00167CEB">
              <w:rPr>
                <w:rFonts w:ascii="Arial" w:hAnsi="Arial" w:cs="Arial"/>
              </w:rPr>
              <w:t>,</w:t>
            </w:r>
            <w:r w:rsidR="00167CEB" w:rsidRPr="00C71075">
              <w:rPr>
                <w:rFonts w:ascii="Arial" w:hAnsi="Arial" w:cs="Arial"/>
              </w:rPr>
              <w:t xml:space="preserve"> in sentenci</w:t>
            </w:r>
            <w:r w:rsidR="00167CEB">
              <w:rPr>
                <w:rFonts w:ascii="Arial" w:hAnsi="Arial" w:cs="Arial"/>
              </w:rPr>
              <w:t>ng the Magistrate stated that: “</w:t>
            </w:r>
            <w:r w:rsidR="00167CEB" w:rsidRPr="00C71075">
              <w:rPr>
                <w:rFonts w:ascii="Arial" w:hAnsi="Arial" w:cs="Arial"/>
              </w:rPr>
              <w:t xml:space="preserve">The offence is </w:t>
            </w:r>
            <w:r w:rsidR="00167CEB" w:rsidRPr="00C71075">
              <w:rPr>
                <w:rFonts w:ascii="Arial" w:hAnsi="Arial" w:cs="Arial"/>
                <w:u w:val="single"/>
              </w:rPr>
              <w:t>very serious</w:t>
            </w:r>
            <w:r w:rsidR="00167CEB">
              <w:rPr>
                <w:rFonts w:ascii="Arial" w:hAnsi="Arial" w:cs="Arial"/>
                <w:u w:val="single"/>
              </w:rPr>
              <w:t xml:space="preserve"> . . </w:t>
            </w:r>
            <w:r w:rsidR="00167CEB" w:rsidRPr="00C71075">
              <w:rPr>
                <w:rFonts w:ascii="Arial" w:hAnsi="Arial" w:cs="Arial"/>
              </w:rPr>
              <w:t>.</w:t>
            </w:r>
            <w:r w:rsidR="00167CEB">
              <w:rPr>
                <w:rFonts w:ascii="Arial" w:hAnsi="Arial" w:cs="Arial"/>
              </w:rPr>
              <w:t>”</w:t>
            </w:r>
            <w:r w:rsidR="00167CEB" w:rsidRPr="00C71075">
              <w:rPr>
                <w:rFonts w:ascii="Arial" w:hAnsi="Arial" w:cs="Arial"/>
              </w:rPr>
              <w:t xml:space="preserve"> </w:t>
            </w:r>
            <w:r w:rsidR="00167CEB">
              <w:rPr>
                <w:rFonts w:ascii="Arial" w:hAnsi="Arial" w:cs="Arial"/>
              </w:rPr>
              <w:t xml:space="preserve"> </w:t>
            </w:r>
          </w:p>
          <w:p w14:paraId="75CE7C77" w14:textId="77777777" w:rsidR="00167CEB" w:rsidRDefault="00167CEB" w:rsidP="004D6582">
            <w:pPr>
              <w:jc w:val="both"/>
              <w:rPr>
                <w:rFonts w:ascii="Arial" w:hAnsi="Arial" w:cs="Arial"/>
              </w:rPr>
            </w:pPr>
            <w:r>
              <w:rPr>
                <w:rFonts w:ascii="Arial" w:hAnsi="Arial" w:cs="Arial"/>
              </w:rPr>
              <w:t xml:space="preserve">2. </w:t>
            </w:r>
            <w:r w:rsidRPr="00C71075">
              <w:rPr>
                <w:rFonts w:ascii="Arial" w:hAnsi="Arial" w:cs="Arial"/>
              </w:rPr>
              <w:t xml:space="preserve">The annexures of charges are incomplete in that the heading of count 1 read </w:t>
            </w:r>
            <w:r>
              <w:rPr>
                <w:rFonts w:ascii="Arial" w:hAnsi="Arial" w:cs="Arial"/>
              </w:rPr>
              <w:t>“Assault- Assault by”</w:t>
            </w:r>
            <w:r w:rsidRPr="00C71075">
              <w:rPr>
                <w:rFonts w:ascii="Arial" w:hAnsi="Arial" w:cs="Arial"/>
              </w:rPr>
              <w:t xml:space="preserve"> whilst the heading for count 2 only states </w:t>
            </w:r>
            <w:r>
              <w:rPr>
                <w:rFonts w:ascii="Arial" w:hAnsi="Arial" w:cs="Arial"/>
              </w:rPr>
              <w:t>“</w:t>
            </w:r>
            <w:proofErr w:type="spellStart"/>
            <w:r w:rsidRPr="00C71075">
              <w:rPr>
                <w:rFonts w:ascii="Arial" w:hAnsi="Arial" w:cs="Arial"/>
              </w:rPr>
              <w:t>Crimen</w:t>
            </w:r>
            <w:proofErr w:type="spellEnd"/>
            <w:r>
              <w:rPr>
                <w:rFonts w:ascii="Arial" w:hAnsi="Arial" w:cs="Arial"/>
              </w:rPr>
              <w:t>”</w:t>
            </w:r>
            <w:r w:rsidRPr="00C71075">
              <w:rPr>
                <w:rFonts w:ascii="Arial" w:hAnsi="Arial" w:cs="Arial"/>
              </w:rPr>
              <w:t>. Does the Magistrate agree that such offences does not exist?</w:t>
            </w:r>
            <w:r>
              <w:rPr>
                <w:rFonts w:ascii="Arial" w:hAnsi="Arial" w:cs="Arial"/>
              </w:rPr>
              <w:t xml:space="preserve"> </w:t>
            </w:r>
          </w:p>
          <w:p w14:paraId="0D89E422" w14:textId="77777777" w:rsidR="00167CEB" w:rsidRPr="00C71075" w:rsidRDefault="00167CEB" w:rsidP="004D6582">
            <w:pPr>
              <w:jc w:val="both"/>
              <w:rPr>
                <w:rFonts w:ascii="Arial" w:hAnsi="Arial" w:cs="Arial"/>
              </w:rPr>
            </w:pPr>
            <w:r>
              <w:rPr>
                <w:rFonts w:ascii="Arial" w:hAnsi="Arial" w:cs="Arial"/>
              </w:rPr>
              <w:t xml:space="preserve">3. </w:t>
            </w:r>
            <w:r w:rsidRPr="00C71075">
              <w:rPr>
                <w:rFonts w:ascii="Arial" w:hAnsi="Arial" w:cs="Arial"/>
              </w:rPr>
              <w:t>The details in count 2</w:t>
            </w:r>
            <w:r>
              <w:rPr>
                <w:rFonts w:ascii="Arial" w:hAnsi="Arial" w:cs="Arial"/>
              </w:rPr>
              <w:t>:</w:t>
            </w:r>
            <w:r w:rsidRPr="00C71075">
              <w:rPr>
                <w:rFonts w:ascii="Arial" w:hAnsi="Arial" w:cs="Arial"/>
              </w:rPr>
              <w:t xml:space="preserve"> </w:t>
            </w:r>
            <w:proofErr w:type="spellStart"/>
            <w:r w:rsidRPr="00C71075">
              <w:rPr>
                <w:rFonts w:ascii="Arial" w:hAnsi="Arial" w:cs="Arial"/>
                <w:i/>
              </w:rPr>
              <w:t>Crimen</w:t>
            </w:r>
            <w:proofErr w:type="spellEnd"/>
            <w:r w:rsidRPr="00C71075">
              <w:rPr>
                <w:rFonts w:ascii="Arial" w:hAnsi="Arial" w:cs="Arial"/>
                <w:i/>
              </w:rPr>
              <w:t xml:space="preserve"> </w:t>
            </w:r>
            <w:proofErr w:type="spellStart"/>
            <w:r w:rsidRPr="00C71075">
              <w:rPr>
                <w:rFonts w:ascii="Arial" w:hAnsi="Arial" w:cs="Arial"/>
                <w:i/>
              </w:rPr>
              <w:t>injuria</w:t>
            </w:r>
            <w:proofErr w:type="spellEnd"/>
            <w:r>
              <w:rPr>
                <w:rFonts w:ascii="Arial" w:hAnsi="Arial" w:cs="Arial"/>
                <w:i/>
              </w:rPr>
              <w:t>,</w:t>
            </w:r>
            <w:r w:rsidRPr="00C71075">
              <w:rPr>
                <w:rFonts w:ascii="Arial" w:hAnsi="Arial" w:cs="Arial"/>
              </w:rPr>
              <w:t xml:space="preserve"> is vague in that it listed what appears to be all possible options without detailing the so called ‘swearing’ or obscene language that was used. Lacking that detail, how was the Magistrate satisfied that an offense was committed?’</w:t>
            </w:r>
          </w:p>
          <w:p w14:paraId="7E01AC69" w14:textId="77777777" w:rsidR="00167CEB" w:rsidRPr="00FA2BFF" w:rsidRDefault="00167CEB" w:rsidP="00C5119C">
            <w:pPr>
              <w:spacing w:line="240" w:lineRule="auto"/>
              <w:jc w:val="both"/>
              <w:rPr>
                <w:rFonts w:ascii="Arial" w:hAnsi="Arial" w:cs="Arial"/>
                <w:sz w:val="24"/>
                <w:szCs w:val="24"/>
              </w:rPr>
            </w:pPr>
          </w:p>
          <w:p w14:paraId="214043F7" w14:textId="19C01274" w:rsidR="00167CEB" w:rsidRDefault="00C5119C" w:rsidP="004D6582">
            <w:pPr>
              <w:jc w:val="both"/>
              <w:rPr>
                <w:rFonts w:ascii="Arial" w:hAnsi="Arial" w:cs="Arial"/>
                <w:sz w:val="24"/>
                <w:szCs w:val="24"/>
              </w:rPr>
            </w:pPr>
            <w:r>
              <w:rPr>
                <w:rFonts w:ascii="Arial" w:hAnsi="Arial" w:cs="Arial"/>
                <w:sz w:val="24"/>
                <w:szCs w:val="24"/>
              </w:rPr>
              <w:t>[4]</w:t>
            </w:r>
            <w:r>
              <w:rPr>
                <w:rFonts w:ascii="Arial" w:hAnsi="Arial" w:cs="Arial"/>
                <w:sz w:val="24"/>
                <w:szCs w:val="24"/>
              </w:rPr>
              <w:tab/>
            </w:r>
            <w:r w:rsidR="00167CEB" w:rsidRPr="00FA2BFF">
              <w:rPr>
                <w:rFonts w:ascii="Arial" w:hAnsi="Arial" w:cs="Arial"/>
                <w:sz w:val="24"/>
                <w:szCs w:val="24"/>
              </w:rPr>
              <w:t>The Magistrate</w:t>
            </w:r>
            <w:r w:rsidR="00167CEB">
              <w:rPr>
                <w:rFonts w:ascii="Arial" w:hAnsi="Arial" w:cs="Arial"/>
                <w:sz w:val="24"/>
                <w:szCs w:val="24"/>
              </w:rPr>
              <w:t>,</w:t>
            </w:r>
            <w:r w:rsidR="00167CEB" w:rsidRPr="00FA2BFF">
              <w:rPr>
                <w:rFonts w:ascii="Arial" w:hAnsi="Arial" w:cs="Arial"/>
                <w:sz w:val="24"/>
                <w:szCs w:val="24"/>
              </w:rPr>
              <w:t xml:space="preserve"> in</w:t>
            </w:r>
            <w:r w:rsidR="00167CEB">
              <w:rPr>
                <w:rFonts w:ascii="Arial" w:hAnsi="Arial" w:cs="Arial"/>
                <w:sz w:val="24"/>
                <w:szCs w:val="24"/>
              </w:rPr>
              <w:t xml:space="preserve"> reply, conceded that the application of s 112(1</w:t>
            </w:r>
            <w:proofErr w:type="gramStart"/>
            <w:r w:rsidR="00167CEB">
              <w:rPr>
                <w:rFonts w:ascii="Arial" w:hAnsi="Arial" w:cs="Arial"/>
                <w:sz w:val="24"/>
                <w:szCs w:val="24"/>
              </w:rPr>
              <w:t>)(</w:t>
            </w:r>
            <w:proofErr w:type="gramEnd"/>
            <w:r w:rsidR="00167CEB" w:rsidRPr="00E63350">
              <w:rPr>
                <w:rFonts w:ascii="Arial" w:hAnsi="Arial" w:cs="Arial"/>
                <w:i/>
                <w:sz w:val="24"/>
                <w:szCs w:val="24"/>
              </w:rPr>
              <w:t>a</w:t>
            </w:r>
            <w:r w:rsidR="00167CEB">
              <w:rPr>
                <w:rFonts w:ascii="Arial" w:hAnsi="Arial" w:cs="Arial"/>
                <w:sz w:val="24"/>
                <w:szCs w:val="24"/>
              </w:rPr>
              <w:t xml:space="preserve">) of the CPA should be utilised for minor offences and that her remark during sentencing, of the offences being ‘very serious’, was a misdirection on her part. Furthermore, that the headings of the charges were defective and lastly, that the charge of </w:t>
            </w:r>
            <w:proofErr w:type="spellStart"/>
            <w:r w:rsidR="00167CEB" w:rsidRPr="00957346">
              <w:rPr>
                <w:rFonts w:ascii="Arial" w:hAnsi="Arial" w:cs="Arial"/>
                <w:i/>
                <w:sz w:val="24"/>
                <w:szCs w:val="24"/>
              </w:rPr>
              <w:t>crimen</w:t>
            </w:r>
            <w:proofErr w:type="spellEnd"/>
            <w:r w:rsidR="00167CEB" w:rsidRPr="00957346">
              <w:rPr>
                <w:rFonts w:ascii="Arial" w:hAnsi="Arial" w:cs="Arial"/>
                <w:i/>
                <w:sz w:val="24"/>
                <w:szCs w:val="24"/>
              </w:rPr>
              <w:t xml:space="preserve"> </w:t>
            </w:r>
            <w:proofErr w:type="spellStart"/>
            <w:r w:rsidR="00167CEB" w:rsidRPr="00957346">
              <w:rPr>
                <w:rFonts w:ascii="Arial" w:hAnsi="Arial" w:cs="Arial"/>
                <w:i/>
                <w:sz w:val="24"/>
                <w:szCs w:val="24"/>
              </w:rPr>
              <w:t>injuria</w:t>
            </w:r>
            <w:proofErr w:type="spellEnd"/>
            <w:r w:rsidR="00167CEB">
              <w:rPr>
                <w:rFonts w:ascii="Arial" w:hAnsi="Arial" w:cs="Arial"/>
                <w:sz w:val="24"/>
                <w:szCs w:val="24"/>
              </w:rPr>
              <w:t xml:space="preserve"> lacked the essential details required. </w:t>
            </w:r>
          </w:p>
          <w:p w14:paraId="397C0C1C" w14:textId="77777777" w:rsidR="00167CEB" w:rsidRPr="00FA2BFF" w:rsidRDefault="00167CEB" w:rsidP="00C5119C">
            <w:pPr>
              <w:spacing w:line="240" w:lineRule="auto"/>
              <w:jc w:val="both"/>
              <w:rPr>
                <w:rFonts w:ascii="Arial" w:hAnsi="Arial" w:cs="Arial"/>
                <w:sz w:val="24"/>
                <w:szCs w:val="24"/>
              </w:rPr>
            </w:pPr>
          </w:p>
          <w:p w14:paraId="66E95C8B" w14:textId="5073D3F8" w:rsidR="00167CEB" w:rsidRDefault="00C5119C" w:rsidP="004D6582">
            <w:pPr>
              <w:jc w:val="both"/>
              <w:rPr>
                <w:rFonts w:ascii="Arial" w:hAnsi="Arial" w:cs="Arial"/>
                <w:sz w:val="24"/>
                <w:szCs w:val="24"/>
                <w:lang w:val="en-ZA"/>
              </w:rPr>
            </w:pPr>
            <w:r>
              <w:rPr>
                <w:rFonts w:ascii="Arial" w:hAnsi="Arial" w:cs="Arial"/>
                <w:sz w:val="24"/>
                <w:szCs w:val="24"/>
              </w:rPr>
              <w:t>[5]</w:t>
            </w:r>
            <w:r>
              <w:rPr>
                <w:rFonts w:ascii="Arial" w:hAnsi="Arial" w:cs="Arial"/>
                <w:sz w:val="24"/>
                <w:szCs w:val="24"/>
              </w:rPr>
              <w:tab/>
            </w:r>
            <w:r w:rsidR="00167CEB">
              <w:rPr>
                <w:rFonts w:ascii="Arial" w:hAnsi="Arial" w:cs="Arial"/>
                <w:sz w:val="24"/>
                <w:szCs w:val="24"/>
              </w:rPr>
              <w:t>I wish to echo what was said by January J in</w:t>
            </w:r>
            <w:r w:rsidR="00167CEB" w:rsidRPr="00957346">
              <w:rPr>
                <w:rFonts w:ascii="Arial" w:hAnsi="Arial" w:cs="Arial"/>
                <w:i/>
                <w:color w:val="0D0D0D"/>
                <w:sz w:val="24"/>
                <w:szCs w:val="24"/>
                <w:lang w:val="en-ZA"/>
              </w:rPr>
              <w:t xml:space="preserve"> </w:t>
            </w:r>
            <w:r w:rsidR="00167CEB" w:rsidRPr="00957346">
              <w:rPr>
                <w:rFonts w:ascii="Arial" w:hAnsi="Arial" w:cs="Arial"/>
                <w:i/>
                <w:sz w:val="24"/>
                <w:szCs w:val="24"/>
                <w:lang w:val="en-ZA"/>
              </w:rPr>
              <w:t xml:space="preserve">S v </w:t>
            </w:r>
            <w:proofErr w:type="spellStart"/>
            <w:r w:rsidR="00167CEB" w:rsidRPr="00957346">
              <w:rPr>
                <w:rFonts w:ascii="Arial" w:hAnsi="Arial" w:cs="Arial"/>
                <w:i/>
                <w:sz w:val="24"/>
                <w:szCs w:val="24"/>
                <w:lang w:val="en-ZA"/>
              </w:rPr>
              <w:t>Dembenge</w:t>
            </w:r>
            <w:proofErr w:type="spellEnd"/>
            <w:r w:rsidR="00167CEB" w:rsidRPr="005B7A91">
              <w:rPr>
                <w:rStyle w:val="FootnoteReference"/>
                <w:rFonts w:ascii="Arial" w:hAnsi="Arial" w:cs="Arial"/>
                <w:sz w:val="24"/>
                <w:szCs w:val="24"/>
                <w:lang w:val="en-ZA"/>
              </w:rPr>
              <w:footnoteReference w:id="1"/>
            </w:r>
            <w:r w:rsidR="00167CEB" w:rsidRPr="005B7A91">
              <w:rPr>
                <w:rFonts w:ascii="Arial" w:hAnsi="Arial" w:cs="Arial"/>
                <w:sz w:val="24"/>
                <w:szCs w:val="24"/>
                <w:lang w:val="en-ZA"/>
              </w:rPr>
              <w:t>:</w:t>
            </w:r>
          </w:p>
          <w:p w14:paraId="0739F9D3" w14:textId="77777777" w:rsidR="00C5119C" w:rsidRDefault="00C5119C" w:rsidP="00C5119C">
            <w:pPr>
              <w:spacing w:line="240" w:lineRule="auto"/>
              <w:jc w:val="both"/>
              <w:rPr>
                <w:rFonts w:ascii="Arial" w:hAnsi="Arial" w:cs="Arial"/>
                <w:sz w:val="24"/>
                <w:szCs w:val="24"/>
                <w:lang w:val="en-ZA"/>
              </w:rPr>
            </w:pPr>
          </w:p>
          <w:p w14:paraId="360924F5" w14:textId="5631B572" w:rsidR="00167CEB" w:rsidRPr="005B7A91" w:rsidRDefault="00C5119C" w:rsidP="004D6582">
            <w:pPr>
              <w:jc w:val="both"/>
              <w:rPr>
                <w:rFonts w:ascii="Arial" w:hAnsi="Arial" w:cs="Arial"/>
              </w:rPr>
            </w:pPr>
            <w:r>
              <w:rPr>
                <w:rFonts w:ascii="Arial" w:hAnsi="Arial" w:cs="Arial"/>
                <w:sz w:val="24"/>
                <w:szCs w:val="24"/>
                <w:lang w:val="en-ZA"/>
              </w:rPr>
              <w:tab/>
            </w:r>
            <w:r w:rsidR="00167CEB" w:rsidRPr="005B7A91">
              <w:rPr>
                <w:rFonts w:ascii="Arial" w:hAnsi="Arial" w:cs="Arial"/>
                <w:lang w:val="en-ZA"/>
              </w:rPr>
              <w:t>‘The wording of s 112(1)</w:t>
            </w:r>
            <w:r w:rsidR="00167CEB" w:rsidRPr="005B7A91">
              <w:rPr>
                <w:rFonts w:ascii="Arial" w:hAnsi="Arial" w:cs="Arial"/>
                <w:i/>
                <w:lang w:val="en-ZA"/>
              </w:rPr>
              <w:t xml:space="preserve"> (a)</w:t>
            </w:r>
            <w:r w:rsidR="00167CEB" w:rsidRPr="005B7A91">
              <w:rPr>
                <w:rFonts w:ascii="Arial" w:hAnsi="Arial" w:cs="Arial"/>
                <w:lang w:val="en-ZA"/>
              </w:rPr>
              <w:t xml:space="preserve"> of the Criminal Procedure Act 51 of 1977 makes it clear that this provision should only be applied for minor offences.  It should only be applied where the crimes are ‘trivial’, ‘minor’ and not ‘serious’.</w:t>
            </w:r>
          </w:p>
          <w:p w14:paraId="17DBACA3" w14:textId="77777777" w:rsidR="00167CEB" w:rsidRDefault="00167CEB" w:rsidP="00C5119C">
            <w:pPr>
              <w:spacing w:line="240" w:lineRule="auto"/>
              <w:jc w:val="both"/>
              <w:rPr>
                <w:rFonts w:ascii="Arial" w:hAnsi="Arial" w:cs="Arial"/>
                <w:sz w:val="24"/>
                <w:szCs w:val="24"/>
              </w:rPr>
            </w:pPr>
          </w:p>
          <w:p w14:paraId="617AB6B0" w14:textId="766F9C8E" w:rsidR="00167CEB" w:rsidRDefault="00C5119C" w:rsidP="004D6582">
            <w:pPr>
              <w:jc w:val="both"/>
            </w:pPr>
            <w:r>
              <w:rPr>
                <w:rFonts w:ascii="Arial" w:hAnsi="Arial" w:cs="Arial"/>
                <w:sz w:val="24"/>
                <w:szCs w:val="24"/>
              </w:rPr>
              <w:t>[6]</w:t>
            </w:r>
            <w:r>
              <w:rPr>
                <w:rFonts w:ascii="Arial" w:hAnsi="Arial" w:cs="Arial"/>
                <w:sz w:val="24"/>
                <w:szCs w:val="24"/>
              </w:rPr>
              <w:tab/>
            </w:r>
            <w:r w:rsidR="00167CEB">
              <w:rPr>
                <w:rFonts w:ascii="Arial" w:hAnsi="Arial" w:cs="Arial"/>
                <w:sz w:val="24"/>
                <w:szCs w:val="24"/>
              </w:rPr>
              <w:t>Section 84(1) of the CPA provides for the essentials of a charge and reads:</w:t>
            </w:r>
            <w:r w:rsidR="00167CEB" w:rsidRPr="00957346">
              <w:t xml:space="preserve"> </w:t>
            </w:r>
          </w:p>
          <w:p w14:paraId="3BBF7719" w14:textId="77777777" w:rsidR="00167CEB" w:rsidRDefault="00167CEB" w:rsidP="00C5119C">
            <w:pPr>
              <w:spacing w:line="240" w:lineRule="auto"/>
              <w:jc w:val="both"/>
            </w:pPr>
          </w:p>
          <w:p w14:paraId="3B48C8E8" w14:textId="43BED3AC" w:rsidR="00167CEB" w:rsidRPr="005B7A91" w:rsidRDefault="00C5119C" w:rsidP="004D6582">
            <w:pPr>
              <w:jc w:val="both"/>
              <w:rPr>
                <w:rFonts w:ascii="Arial" w:hAnsi="Arial" w:cs="Arial"/>
              </w:rPr>
            </w:pPr>
            <w:r>
              <w:rPr>
                <w:rFonts w:ascii="Arial" w:hAnsi="Arial" w:cs="Arial"/>
              </w:rPr>
              <w:tab/>
            </w:r>
            <w:r w:rsidR="00167CEB" w:rsidRPr="005B7A91">
              <w:rPr>
                <w:rFonts w:ascii="Arial" w:hAnsi="Arial" w:cs="Arial"/>
              </w:rPr>
              <w:t>‘Subject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whom and the property, if any, in respect of which the offence is alleged to have been committed, as may be reasonably sufficient to inform the accused of the nature of the charge.’</w:t>
            </w:r>
          </w:p>
          <w:p w14:paraId="7250496A" w14:textId="77777777" w:rsidR="00167CEB" w:rsidRDefault="00167CEB" w:rsidP="00C5119C">
            <w:pPr>
              <w:spacing w:line="240" w:lineRule="auto"/>
              <w:jc w:val="both"/>
              <w:rPr>
                <w:rFonts w:ascii="Arial" w:hAnsi="Arial" w:cs="Arial"/>
                <w:sz w:val="24"/>
                <w:szCs w:val="24"/>
              </w:rPr>
            </w:pPr>
          </w:p>
          <w:p w14:paraId="0D1D5F3F" w14:textId="32CB1AA0" w:rsidR="00167CEB" w:rsidRDefault="00167CEB" w:rsidP="004D6582">
            <w:pPr>
              <w:jc w:val="both"/>
              <w:rPr>
                <w:rFonts w:ascii="Arial" w:hAnsi="Arial" w:cs="Arial"/>
                <w:sz w:val="24"/>
                <w:szCs w:val="24"/>
              </w:rPr>
            </w:pPr>
            <w:r>
              <w:rPr>
                <w:rFonts w:ascii="Arial" w:hAnsi="Arial" w:cs="Arial"/>
                <w:sz w:val="24"/>
                <w:szCs w:val="24"/>
              </w:rPr>
              <w:t>[7</w:t>
            </w:r>
            <w:r w:rsidR="00C5119C">
              <w:rPr>
                <w:rFonts w:ascii="Arial" w:hAnsi="Arial" w:cs="Arial"/>
                <w:sz w:val="24"/>
                <w:szCs w:val="24"/>
              </w:rPr>
              <w:t>]</w:t>
            </w:r>
            <w:r w:rsidR="00C5119C">
              <w:rPr>
                <w:rFonts w:ascii="Arial" w:hAnsi="Arial" w:cs="Arial"/>
                <w:sz w:val="24"/>
                <w:szCs w:val="24"/>
              </w:rPr>
              <w:tab/>
            </w:r>
            <w:r>
              <w:rPr>
                <w:rFonts w:ascii="Arial" w:hAnsi="Arial" w:cs="Arial"/>
                <w:sz w:val="24"/>
                <w:szCs w:val="24"/>
              </w:rPr>
              <w:t>Upon a closer perusal of the record it appears that, even though the heading of the charge annexures were lacking, the computer generated cover page</w:t>
            </w:r>
            <w:r>
              <w:rPr>
                <w:rStyle w:val="FootnoteReference"/>
                <w:rFonts w:ascii="Arial" w:hAnsi="Arial" w:cs="Arial"/>
                <w:sz w:val="24"/>
                <w:szCs w:val="24"/>
              </w:rPr>
              <w:footnoteReference w:id="2"/>
            </w:r>
            <w:r>
              <w:rPr>
                <w:rFonts w:ascii="Arial" w:hAnsi="Arial" w:cs="Arial"/>
                <w:sz w:val="24"/>
                <w:szCs w:val="24"/>
              </w:rPr>
              <w:t xml:space="preserve"> listed the offences by their proper description. I am thus satisfied that the accused was aware of the charges </w:t>
            </w:r>
            <w:r w:rsidR="005D3634">
              <w:rPr>
                <w:rFonts w:ascii="Arial" w:hAnsi="Arial" w:cs="Arial"/>
                <w:sz w:val="24"/>
                <w:szCs w:val="24"/>
              </w:rPr>
              <w:t>against</w:t>
            </w:r>
            <w:r>
              <w:rPr>
                <w:rFonts w:ascii="Arial" w:hAnsi="Arial" w:cs="Arial"/>
                <w:sz w:val="24"/>
                <w:szCs w:val="24"/>
              </w:rPr>
              <w:t xml:space="preserve"> him. </w:t>
            </w:r>
          </w:p>
          <w:p w14:paraId="3ADBB18E" w14:textId="77777777" w:rsidR="00167CEB" w:rsidRDefault="00167CEB" w:rsidP="00C5119C">
            <w:pPr>
              <w:spacing w:line="240" w:lineRule="auto"/>
              <w:jc w:val="both"/>
              <w:rPr>
                <w:rFonts w:ascii="Arial" w:hAnsi="Arial" w:cs="Arial"/>
                <w:sz w:val="24"/>
                <w:szCs w:val="24"/>
              </w:rPr>
            </w:pPr>
          </w:p>
          <w:p w14:paraId="19375ADF" w14:textId="2B9B1955" w:rsidR="00167CEB" w:rsidRDefault="00167CEB" w:rsidP="004D6582">
            <w:pPr>
              <w:jc w:val="both"/>
              <w:rPr>
                <w:rFonts w:ascii="Arial" w:hAnsi="Arial" w:cs="Arial"/>
                <w:sz w:val="24"/>
                <w:szCs w:val="24"/>
              </w:rPr>
            </w:pPr>
            <w:r>
              <w:rPr>
                <w:rFonts w:ascii="Arial" w:hAnsi="Arial" w:cs="Arial"/>
                <w:sz w:val="24"/>
                <w:szCs w:val="24"/>
              </w:rPr>
              <w:t>[8</w:t>
            </w:r>
            <w:r w:rsidR="00C5119C">
              <w:rPr>
                <w:rFonts w:ascii="Arial" w:hAnsi="Arial" w:cs="Arial"/>
                <w:sz w:val="24"/>
                <w:szCs w:val="24"/>
              </w:rPr>
              <w:t>]</w:t>
            </w:r>
            <w:r w:rsidR="00C5119C">
              <w:rPr>
                <w:rFonts w:ascii="Arial" w:hAnsi="Arial" w:cs="Arial"/>
                <w:sz w:val="24"/>
                <w:szCs w:val="24"/>
              </w:rPr>
              <w:tab/>
            </w:r>
            <w:r>
              <w:rPr>
                <w:rFonts w:ascii="Arial" w:hAnsi="Arial" w:cs="Arial"/>
                <w:sz w:val="24"/>
                <w:szCs w:val="24"/>
              </w:rPr>
              <w:t xml:space="preserve">The count of assault by threat alleged that </w:t>
            </w:r>
            <w:r w:rsidR="005D3634">
              <w:rPr>
                <w:rFonts w:ascii="Arial" w:hAnsi="Arial" w:cs="Arial"/>
                <w:sz w:val="24"/>
                <w:szCs w:val="24"/>
              </w:rPr>
              <w:t>t</w:t>
            </w:r>
            <w:r>
              <w:rPr>
                <w:rFonts w:ascii="Arial" w:hAnsi="Arial" w:cs="Arial"/>
                <w:sz w:val="24"/>
                <w:szCs w:val="24"/>
              </w:rPr>
              <w:t>he accused threatened to kill the complainant. These threats often escalates and</w:t>
            </w:r>
            <w:r w:rsidR="005D3634">
              <w:rPr>
                <w:rFonts w:ascii="Arial" w:hAnsi="Arial" w:cs="Arial"/>
                <w:sz w:val="24"/>
                <w:szCs w:val="24"/>
              </w:rPr>
              <w:t>, depending on the circumstances of each case, should not</w:t>
            </w:r>
            <w:r>
              <w:rPr>
                <w:rFonts w:ascii="Arial" w:hAnsi="Arial" w:cs="Arial"/>
                <w:sz w:val="24"/>
                <w:szCs w:val="24"/>
              </w:rPr>
              <w:t xml:space="preserve"> be </w:t>
            </w:r>
            <w:r w:rsidR="005D3634">
              <w:rPr>
                <w:rFonts w:ascii="Arial" w:hAnsi="Arial" w:cs="Arial"/>
                <w:sz w:val="24"/>
                <w:szCs w:val="24"/>
              </w:rPr>
              <w:t>regarded as</w:t>
            </w:r>
            <w:r>
              <w:rPr>
                <w:rFonts w:ascii="Arial" w:hAnsi="Arial" w:cs="Arial"/>
                <w:sz w:val="24"/>
                <w:szCs w:val="24"/>
              </w:rPr>
              <w:t xml:space="preserve"> minor or trivial. For that reason</w:t>
            </w:r>
            <w:r w:rsidR="005D3634">
              <w:rPr>
                <w:rFonts w:ascii="Arial" w:hAnsi="Arial" w:cs="Arial"/>
                <w:sz w:val="24"/>
                <w:szCs w:val="24"/>
              </w:rPr>
              <w:t>,</w:t>
            </w:r>
            <w:r>
              <w:rPr>
                <w:rFonts w:ascii="Arial" w:hAnsi="Arial" w:cs="Arial"/>
                <w:sz w:val="24"/>
                <w:szCs w:val="24"/>
              </w:rPr>
              <w:t xml:space="preserve"> I have considered remitting the matter back for questioning in terms of s 112(1</w:t>
            </w:r>
            <w:proofErr w:type="gramStart"/>
            <w:r>
              <w:rPr>
                <w:rFonts w:ascii="Arial" w:hAnsi="Arial" w:cs="Arial"/>
                <w:sz w:val="24"/>
                <w:szCs w:val="24"/>
              </w:rPr>
              <w:t>)(</w:t>
            </w:r>
            <w:proofErr w:type="gramEnd"/>
            <w:r w:rsidRPr="0086332A">
              <w:rPr>
                <w:rFonts w:ascii="Arial" w:hAnsi="Arial" w:cs="Arial"/>
                <w:i/>
                <w:sz w:val="24"/>
                <w:szCs w:val="24"/>
              </w:rPr>
              <w:t>b</w:t>
            </w:r>
            <w:r>
              <w:rPr>
                <w:rFonts w:ascii="Arial" w:hAnsi="Arial" w:cs="Arial"/>
                <w:sz w:val="24"/>
                <w:szCs w:val="24"/>
              </w:rPr>
              <w:t>) of the CPA, however,</w:t>
            </w:r>
            <w:r w:rsidR="005D3634">
              <w:rPr>
                <w:rFonts w:ascii="Arial" w:hAnsi="Arial" w:cs="Arial"/>
                <w:sz w:val="24"/>
                <w:szCs w:val="24"/>
              </w:rPr>
              <w:t xml:space="preserve"> </w:t>
            </w:r>
            <w:r>
              <w:rPr>
                <w:rFonts w:ascii="Arial" w:hAnsi="Arial" w:cs="Arial"/>
                <w:sz w:val="24"/>
                <w:szCs w:val="24"/>
              </w:rPr>
              <w:t>the accused had since served his sentence</w:t>
            </w:r>
            <w:r w:rsidR="005D3634">
              <w:rPr>
                <w:rFonts w:ascii="Arial" w:hAnsi="Arial" w:cs="Arial"/>
                <w:sz w:val="24"/>
                <w:szCs w:val="24"/>
              </w:rPr>
              <w:t>. Remitting the matter</w:t>
            </w:r>
            <w:r>
              <w:rPr>
                <w:rFonts w:ascii="Arial" w:hAnsi="Arial" w:cs="Arial"/>
                <w:sz w:val="24"/>
                <w:szCs w:val="24"/>
              </w:rPr>
              <w:t xml:space="preserve"> will severely prejudice</w:t>
            </w:r>
            <w:r w:rsidR="005D3634">
              <w:rPr>
                <w:rFonts w:ascii="Arial" w:hAnsi="Arial" w:cs="Arial"/>
                <w:sz w:val="24"/>
                <w:szCs w:val="24"/>
              </w:rPr>
              <w:t xml:space="preserve"> the accused</w:t>
            </w:r>
            <w:r>
              <w:rPr>
                <w:rFonts w:ascii="Arial" w:hAnsi="Arial" w:cs="Arial"/>
                <w:sz w:val="24"/>
                <w:szCs w:val="24"/>
              </w:rPr>
              <w:t>. In the result</w:t>
            </w:r>
            <w:r w:rsidR="005D3634">
              <w:rPr>
                <w:rFonts w:ascii="Arial" w:hAnsi="Arial" w:cs="Arial"/>
                <w:sz w:val="24"/>
                <w:szCs w:val="24"/>
              </w:rPr>
              <w:t>,</w:t>
            </w:r>
            <w:r>
              <w:rPr>
                <w:rFonts w:ascii="Arial" w:hAnsi="Arial" w:cs="Arial"/>
                <w:sz w:val="24"/>
                <w:szCs w:val="24"/>
              </w:rPr>
              <w:t xml:space="preserve"> this count will be confirmed without condoning th</w:t>
            </w:r>
            <w:r w:rsidR="005D3634">
              <w:rPr>
                <w:rFonts w:ascii="Arial" w:hAnsi="Arial" w:cs="Arial"/>
                <w:sz w:val="24"/>
                <w:szCs w:val="24"/>
              </w:rPr>
              <w:t xml:space="preserve">e failure to </w:t>
            </w:r>
            <w:r w:rsidR="00EA649B">
              <w:rPr>
                <w:rFonts w:ascii="Arial" w:hAnsi="Arial" w:cs="Arial"/>
                <w:sz w:val="24"/>
                <w:szCs w:val="24"/>
              </w:rPr>
              <w:t>apply s 112(1</w:t>
            </w:r>
            <w:proofErr w:type="gramStart"/>
            <w:r w:rsidR="00EA649B">
              <w:rPr>
                <w:rFonts w:ascii="Arial" w:hAnsi="Arial" w:cs="Arial"/>
                <w:sz w:val="24"/>
                <w:szCs w:val="24"/>
              </w:rPr>
              <w:t>)(</w:t>
            </w:r>
            <w:proofErr w:type="gramEnd"/>
            <w:r w:rsidR="00EA649B" w:rsidRPr="00EA649B">
              <w:rPr>
                <w:rFonts w:ascii="Arial" w:hAnsi="Arial" w:cs="Arial"/>
                <w:i/>
                <w:sz w:val="24"/>
                <w:szCs w:val="24"/>
              </w:rPr>
              <w:t>b</w:t>
            </w:r>
            <w:r w:rsidR="00EA649B">
              <w:rPr>
                <w:rFonts w:ascii="Arial" w:hAnsi="Arial" w:cs="Arial"/>
                <w:sz w:val="24"/>
                <w:szCs w:val="24"/>
              </w:rPr>
              <w:t>) of the CPA.</w:t>
            </w:r>
          </w:p>
          <w:p w14:paraId="7BA5DF05" w14:textId="77777777" w:rsidR="00167CEB" w:rsidRDefault="00167CEB" w:rsidP="00C5119C">
            <w:pPr>
              <w:spacing w:line="240" w:lineRule="auto"/>
              <w:jc w:val="both"/>
              <w:rPr>
                <w:rFonts w:ascii="Arial" w:hAnsi="Arial" w:cs="Arial"/>
                <w:sz w:val="24"/>
                <w:szCs w:val="24"/>
              </w:rPr>
            </w:pPr>
          </w:p>
          <w:p w14:paraId="2569C3FF" w14:textId="678C6F8E" w:rsidR="00167CEB" w:rsidRDefault="00167CEB" w:rsidP="004D6582">
            <w:pPr>
              <w:jc w:val="both"/>
              <w:rPr>
                <w:rFonts w:ascii="Arial" w:hAnsi="Arial" w:cs="Arial"/>
                <w:sz w:val="24"/>
                <w:szCs w:val="24"/>
              </w:rPr>
            </w:pPr>
            <w:r>
              <w:rPr>
                <w:rFonts w:ascii="Arial" w:hAnsi="Arial" w:cs="Arial"/>
                <w:sz w:val="24"/>
                <w:szCs w:val="24"/>
              </w:rPr>
              <w:t>[9</w:t>
            </w:r>
            <w:r w:rsidR="00C5119C">
              <w:rPr>
                <w:rFonts w:ascii="Arial" w:hAnsi="Arial" w:cs="Arial"/>
                <w:sz w:val="24"/>
                <w:szCs w:val="24"/>
              </w:rPr>
              <w:t>]</w:t>
            </w:r>
            <w:r w:rsidR="00C5119C">
              <w:rPr>
                <w:rFonts w:ascii="Arial" w:hAnsi="Arial" w:cs="Arial"/>
                <w:sz w:val="24"/>
                <w:szCs w:val="24"/>
              </w:rPr>
              <w:tab/>
            </w:r>
            <w:r>
              <w:rPr>
                <w:rFonts w:ascii="Arial" w:hAnsi="Arial" w:cs="Arial"/>
                <w:sz w:val="24"/>
                <w:szCs w:val="24"/>
              </w:rPr>
              <w:t xml:space="preserve">In regards to count 2, the definition of the crime of </w:t>
            </w:r>
            <w:proofErr w:type="spellStart"/>
            <w:r w:rsidRPr="008659C8">
              <w:rPr>
                <w:rFonts w:ascii="Arial" w:hAnsi="Arial" w:cs="Arial"/>
                <w:i/>
                <w:sz w:val="24"/>
                <w:szCs w:val="24"/>
              </w:rPr>
              <w:t>crimen</w:t>
            </w:r>
            <w:proofErr w:type="spellEnd"/>
            <w:r w:rsidRPr="008659C8">
              <w:rPr>
                <w:rFonts w:ascii="Arial" w:hAnsi="Arial" w:cs="Arial"/>
                <w:i/>
                <w:sz w:val="24"/>
                <w:szCs w:val="24"/>
              </w:rPr>
              <w:t xml:space="preserve"> </w:t>
            </w:r>
            <w:proofErr w:type="spellStart"/>
            <w:r w:rsidRPr="008659C8">
              <w:rPr>
                <w:rFonts w:ascii="Arial" w:hAnsi="Arial" w:cs="Arial"/>
                <w:i/>
                <w:sz w:val="24"/>
                <w:szCs w:val="24"/>
              </w:rPr>
              <w:t>injuria</w:t>
            </w:r>
            <w:proofErr w:type="spellEnd"/>
            <w:r>
              <w:rPr>
                <w:rFonts w:ascii="Arial" w:hAnsi="Arial" w:cs="Arial"/>
                <w:sz w:val="24"/>
                <w:szCs w:val="24"/>
              </w:rPr>
              <w:t xml:space="preserve"> is given by C R </w:t>
            </w:r>
            <w:proofErr w:type="spellStart"/>
            <w:r>
              <w:rPr>
                <w:rFonts w:ascii="Arial" w:hAnsi="Arial" w:cs="Arial"/>
                <w:sz w:val="24"/>
                <w:szCs w:val="24"/>
              </w:rPr>
              <w:t>Snyman</w:t>
            </w:r>
            <w:proofErr w:type="spellEnd"/>
            <w:r>
              <w:rPr>
                <w:rFonts w:ascii="Arial" w:hAnsi="Arial" w:cs="Arial"/>
                <w:sz w:val="24"/>
                <w:szCs w:val="24"/>
              </w:rPr>
              <w:t xml:space="preserve"> as </w:t>
            </w:r>
            <w:r w:rsidRPr="00CF3242">
              <w:rPr>
                <w:rFonts w:ascii="Arial" w:hAnsi="Arial" w:cs="Arial"/>
                <w:sz w:val="24"/>
                <w:szCs w:val="24"/>
              </w:rPr>
              <w:t xml:space="preserve">the </w:t>
            </w:r>
            <w:r>
              <w:rPr>
                <w:rFonts w:ascii="Arial" w:hAnsi="Arial" w:cs="Arial"/>
                <w:sz w:val="24"/>
                <w:szCs w:val="24"/>
              </w:rPr>
              <w:t>‘</w:t>
            </w:r>
            <w:r w:rsidRPr="00CF3242">
              <w:rPr>
                <w:rFonts w:ascii="Arial" w:hAnsi="Arial" w:cs="Arial"/>
                <w:sz w:val="24"/>
                <w:szCs w:val="24"/>
              </w:rPr>
              <w:t>unlawful, intentional and serious violation of the dignity or privacy of another</w:t>
            </w:r>
            <w:r>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In the matter at hand, the details of the charge were drafted in general terms without specifying the swearing words that was allegedly uttered. Without these details, the Magistrate could not have been satisfied that there was a serious violation of the dignity of the complainant. </w:t>
            </w:r>
          </w:p>
          <w:p w14:paraId="6590C6CE" w14:textId="77777777" w:rsidR="00167CEB" w:rsidRDefault="00167CEB" w:rsidP="00C5119C">
            <w:pPr>
              <w:spacing w:line="240" w:lineRule="auto"/>
              <w:jc w:val="both"/>
              <w:rPr>
                <w:rFonts w:ascii="Arial" w:hAnsi="Arial" w:cs="Arial"/>
                <w:sz w:val="24"/>
                <w:szCs w:val="24"/>
              </w:rPr>
            </w:pPr>
          </w:p>
          <w:p w14:paraId="7E27BD60" w14:textId="46176AE9" w:rsidR="00167CEB" w:rsidRPr="008B38D0" w:rsidRDefault="00167CEB" w:rsidP="004D6582">
            <w:pPr>
              <w:jc w:val="both"/>
              <w:rPr>
                <w:rFonts w:ascii="Arial" w:hAnsi="Arial" w:cs="Arial"/>
                <w:sz w:val="24"/>
                <w:szCs w:val="24"/>
              </w:rPr>
            </w:pPr>
            <w:r w:rsidRPr="008B38D0">
              <w:rPr>
                <w:rFonts w:ascii="Arial" w:hAnsi="Arial" w:cs="Arial"/>
                <w:sz w:val="24"/>
                <w:szCs w:val="24"/>
              </w:rPr>
              <w:t>[</w:t>
            </w:r>
            <w:r>
              <w:rPr>
                <w:rFonts w:ascii="Arial" w:hAnsi="Arial" w:cs="Arial"/>
                <w:sz w:val="24"/>
                <w:szCs w:val="24"/>
              </w:rPr>
              <w:t>10</w:t>
            </w:r>
            <w:r w:rsidR="00C5119C">
              <w:rPr>
                <w:rFonts w:ascii="Arial" w:hAnsi="Arial" w:cs="Arial"/>
                <w:sz w:val="24"/>
                <w:szCs w:val="24"/>
              </w:rPr>
              <w:t>]</w:t>
            </w:r>
            <w:r w:rsidR="00C5119C">
              <w:rPr>
                <w:rFonts w:ascii="Arial" w:hAnsi="Arial" w:cs="Arial"/>
                <w:sz w:val="24"/>
                <w:szCs w:val="24"/>
              </w:rPr>
              <w:tab/>
            </w:r>
            <w:r w:rsidRPr="008B38D0">
              <w:rPr>
                <w:rFonts w:ascii="Arial" w:hAnsi="Arial" w:cs="Arial"/>
                <w:sz w:val="24"/>
                <w:szCs w:val="24"/>
              </w:rPr>
              <w:t>In the result</w:t>
            </w:r>
            <w:r w:rsidR="00EA649B">
              <w:rPr>
                <w:rFonts w:ascii="Arial" w:hAnsi="Arial" w:cs="Arial"/>
                <w:sz w:val="24"/>
                <w:szCs w:val="24"/>
              </w:rPr>
              <w:t>,</w:t>
            </w:r>
            <w:r w:rsidRPr="008B38D0">
              <w:rPr>
                <w:rFonts w:ascii="Arial" w:hAnsi="Arial" w:cs="Arial"/>
                <w:sz w:val="24"/>
                <w:szCs w:val="24"/>
              </w:rPr>
              <w:t xml:space="preserve"> the following order</w:t>
            </w:r>
            <w:r>
              <w:rPr>
                <w:rFonts w:ascii="Arial" w:hAnsi="Arial" w:cs="Arial"/>
                <w:sz w:val="24"/>
                <w:szCs w:val="24"/>
              </w:rPr>
              <w:t>s</w:t>
            </w:r>
            <w:r w:rsidRPr="008B38D0">
              <w:rPr>
                <w:rFonts w:ascii="Arial" w:hAnsi="Arial" w:cs="Arial"/>
                <w:sz w:val="24"/>
                <w:szCs w:val="24"/>
              </w:rPr>
              <w:t xml:space="preserve"> </w:t>
            </w:r>
            <w:r>
              <w:rPr>
                <w:rFonts w:ascii="Arial" w:hAnsi="Arial" w:cs="Arial"/>
                <w:sz w:val="24"/>
                <w:szCs w:val="24"/>
              </w:rPr>
              <w:t>are</w:t>
            </w:r>
            <w:r w:rsidRPr="008B38D0">
              <w:rPr>
                <w:rFonts w:ascii="Arial" w:hAnsi="Arial" w:cs="Arial"/>
                <w:sz w:val="24"/>
                <w:szCs w:val="24"/>
              </w:rPr>
              <w:t xml:space="preserve"> made</w:t>
            </w:r>
            <w:r>
              <w:rPr>
                <w:rFonts w:ascii="Arial" w:hAnsi="Arial" w:cs="Arial"/>
                <w:sz w:val="24"/>
                <w:szCs w:val="24"/>
              </w:rPr>
              <w:t>:</w:t>
            </w:r>
          </w:p>
          <w:p w14:paraId="55990555" w14:textId="77777777" w:rsidR="00167CEB" w:rsidRPr="00153E65" w:rsidRDefault="00167CEB" w:rsidP="00C5119C">
            <w:pPr>
              <w:pStyle w:val="ListParagraph"/>
              <w:numPr>
                <w:ilvl w:val="0"/>
                <w:numId w:val="44"/>
              </w:numPr>
              <w:spacing w:before="240"/>
              <w:ind w:left="1237" w:hanging="540"/>
              <w:rPr>
                <w:color w:val="000000"/>
                <w:sz w:val="24"/>
                <w:szCs w:val="24"/>
              </w:rPr>
            </w:pPr>
            <w:r w:rsidRPr="00153E65">
              <w:rPr>
                <w:color w:val="000000"/>
                <w:sz w:val="24"/>
                <w:szCs w:val="24"/>
              </w:rPr>
              <w:t>The conviction and sentence in respect of count 1 are confirmed.</w:t>
            </w:r>
          </w:p>
          <w:p w14:paraId="6A6E78A6" w14:textId="77777777" w:rsidR="00167CEB" w:rsidRPr="00153E65" w:rsidRDefault="00167CEB" w:rsidP="00C5119C">
            <w:pPr>
              <w:pStyle w:val="ListParagraph"/>
              <w:numPr>
                <w:ilvl w:val="0"/>
                <w:numId w:val="44"/>
              </w:numPr>
              <w:ind w:left="1237" w:hanging="540"/>
              <w:rPr>
                <w:color w:val="000000"/>
                <w:sz w:val="24"/>
                <w:szCs w:val="24"/>
              </w:rPr>
            </w:pPr>
            <w:r w:rsidRPr="00153E65">
              <w:rPr>
                <w:color w:val="000000"/>
                <w:sz w:val="24"/>
                <w:szCs w:val="24"/>
              </w:rPr>
              <w:t xml:space="preserve">The conviction and sentence in respect of count 2 are set aside. </w:t>
            </w:r>
          </w:p>
          <w:p w14:paraId="2B17724A" w14:textId="77777777" w:rsidR="00167CEB" w:rsidRPr="00FA2BFF" w:rsidRDefault="00167CEB" w:rsidP="004D6582">
            <w:pPr>
              <w:pStyle w:val="NoSpacing"/>
              <w:spacing w:line="360" w:lineRule="auto"/>
            </w:pPr>
          </w:p>
        </w:tc>
      </w:tr>
      <w:tr w:rsidR="00167CEB" w:rsidRPr="0087185D" w14:paraId="1B142B35" w14:textId="77777777" w:rsidTr="004D6582">
        <w:trPr>
          <w:trHeight w:val="306"/>
        </w:trPr>
        <w:tc>
          <w:tcPr>
            <w:tcW w:w="4770" w:type="dxa"/>
            <w:tcBorders>
              <w:top w:val="single" w:sz="4" w:space="0" w:color="auto"/>
              <w:left w:val="single" w:sz="4" w:space="0" w:color="auto"/>
              <w:bottom w:val="single" w:sz="4" w:space="0" w:color="auto"/>
              <w:right w:val="single" w:sz="4" w:space="0" w:color="auto"/>
            </w:tcBorders>
          </w:tcPr>
          <w:p w14:paraId="3163D005" w14:textId="77777777" w:rsidR="00167CEB" w:rsidRPr="00FA2BFF" w:rsidRDefault="00167CEB" w:rsidP="004D6582">
            <w:pPr>
              <w:jc w:val="both"/>
              <w:rPr>
                <w:rFonts w:ascii="Arial" w:hAnsi="Arial" w:cs="Arial"/>
                <w:b/>
                <w:sz w:val="24"/>
                <w:szCs w:val="24"/>
              </w:rPr>
            </w:pPr>
            <w:r w:rsidRPr="00FA2BFF">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5D30254F" w14:textId="77777777" w:rsidR="00167CEB" w:rsidRPr="0087185D" w:rsidRDefault="00167CEB" w:rsidP="004D6582">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67CEB" w:rsidRPr="0087185D" w14:paraId="6580E479" w14:textId="77777777" w:rsidTr="004D6582">
        <w:trPr>
          <w:trHeight w:val="602"/>
        </w:trPr>
        <w:tc>
          <w:tcPr>
            <w:tcW w:w="4770" w:type="dxa"/>
            <w:tcBorders>
              <w:top w:val="single" w:sz="4" w:space="0" w:color="auto"/>
              <w:left w:val="single" w:sz="4" w:space="0" w:color="auto"/>
              <w:bottom w:val="single" w:sz="4" w:space="0" w:color="auto"/>
              <w:right w:val="single" w:sz="4" w:space="0" w:color="auto"/>
            </w:tcBorders>
            <w:hideMark/>
          </w:tcPr>
          <w:p w14:paraId="6FCA4C1E"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KESSLAU J:</w:t>
            </w:r>
          </w:p>
          <w:p w14:paraId="3ED7201F" w14:textId="77777777" w:rsidR="00167CEB" w:rsidRPr="00FA2BFF" w:rsidRDefault="00167CEB" w:rsidP="004D6582">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5DF81D9A" w14:textId="77777777" w:rsidR="00167CEB" w:rsidRPr="0087185D" w:rsidRDefault="00167CEB" w:rsidP="004D6582">
            <w:pPr>
              <w:jc w:val="both"/>
              <w:rPr>
                <w:rFonts w:ascii="Arial" w:hAnsi="Arial" w:cs="Arial"/>
                <w:sz w:val="24"/>
                <w:szCs w:val="24"/>
              </w:rPr>
            </w:pPr>
            <w:r w:rsidRPr="0087185D">
              <w:rPr>
                <w:rFonts w:ascii="Arial" w:hAnsi="Arial" w:cs="Arial"/>
                <w:sz w:val="24"/>
                <w:szCs w:val="24"/>
              </w:rPr>
              <w:t>None</w:t>
            </w:r>
          </w:p>
          <w:p w14:paraId="12947CB5" w14:textId="77777777" w:rsidR="00167CEB" w:rsidRPr="0087185D" w:rsidRDefault="00167CEB" w:rsidP="004D6582">
            <w:pPr>
              <w:jc w:val="both"/>
              <w:rPr>
                <w:rFonts w:ascii="Arial" w:hAnsi="Arial" w:cs="Arial"/>
                <w:b/>
                <w:sz w:val="24"/>
                <w:szCs w:val="24"/>
              </w:rPr>
            </w:pPr>
          </w:p>
        </w:tc>
      </w:tr>
      <w:tr w:rsidR="00167CEB" w:rsidRPr="0087185D" w14:paraId="35362EB2" w14:textId="77777777" w:rsidTr="004D6582">
        <w:trPr>
          <w:trHeight w:val="602"/>
        </w:trPr>
        <w:tc>
          <w:tcPr>
            <w:tcW w:w="4770" w:type="dxa"/>
            <w:tcBorders>
              <w:top w:val="single" w:sz="4" w:space="0" w:color="auto"/>
              <w:left w:val="single" w:sz="4" w:space="0" w:color="auto"/>
              <w:bottom w:val="single" w:sz="4" w:space="0" w:color="auto"/>
              <w:right w:val="single" w:sz="4" w:space="0" w:color="auto"/>
            </w:tcBorders>
          </w:tcPr>
          <w:p w14:paraId="1CC9E30E" w14:textId="77777777" w:rsidR="00167CEB" w:rsidRPr="00FA2BFF" w:rsidRDefault="00167CEB" w:rsidP="004D6582">
            <w:pPr>
              <w:jc w:val="both"/>
              <w:rPr>
                <w:rFonts w:ascii="Arial" w:hAnsi="Arial" w:cs="Arial"/>
                <w:sz w:val="24"/>
                <w:szCs w:val="24"/>
              </w:rPr>
            </w:pPr>
            <w:r w:rsidRPr="00FA2BFF">
              <w:rPr>
                <w:rFonts w:ascii="Arial" w:hAnsi="Arial" w:cs="Arial"/>
                <w:sz w:val="24"/>
                <w:szCs w:val="24"/>
              </w:rPr>
              <w:t xml:space="preserve">SALIONGA J: </w:t>
            </w:r>
          </w:p>
          <w:p w14:paraId="0818558C" w14:textId="77777777" w:rsidR="00167CEB" w:rsidRPr="00FA2BFF" w:rsidRDefault="00167CEB" w:rsidP="004D6582">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28969DF3" w14:textId="77777777" w:rsidR="00167CEB" w:rsidRPr="0087185D" w:rsidRDefault="00167CEB" w:rsidP="004D6582">
            <w:pPr>
              <w:jc w:val="both"/>
              <w:rPr>
                <w:rFonts w:ascii="Arial" w:hAnsi="Arial" w:cs="Arial"/>
                <w:sz w:val="24"/>
                <w:szCs w:val="24"/>
              </w:rPr>
            </w:pPr>
            <w:r w:rsidRPr="0087185D">
              <w:rPr>
                <w:rFonts w:ascii="Arial" w:hAnsi="Arial" w:cs="Arial"/>
                <w:sz w:val="24"/>
                <w:szCs w:val="24"/>
              </w:rPr>
              <w:t>None</w:t>
            </w:r>
          </w:p>
        </w:tc>
      </w:tr>
    </w:tbl>
    <w:p w14:paraId="5CF354DF" w14:textId="77777777" w:rsidR="00167CEB" w:rsidRDefault="00167CEB" w:rsidP="00F26B97">
      <w:pPr>
        <w:spacing w:after="200"/>
        <w:jc w:val="center"/>
        <w:rPr>
          <w:rFonts w:ascii="Arial" w:hAnsi="Arial" w:cs="Arial"/>
          <w:b/>
          <w:sz w:val="24"/>
          <w:szCs w:val="24"/>
        </w:rPr>
      </w:pPr>
    </w:p>
    <w:p w14:paraId="4846084F" w14:textId="77777777" w:rsidR="00167CEB" w:rsidRPr="00FA2BFF" w:rsidRDefault="00167CEB" w:rsidP="00F26B97">
      <w:pPr>
        <w:spacing w:after="200"/>
        <w:jc w:val="center"/>
        <w:rPr>
          <w:rFonts w:ascii="Arial" w:hAnsi="Arial" w:cs="Arial"/>
          <w:b/>
          <w:sz w:val="24"/>
          <w:szCs w:val="24"/>
        </w:rPr>
      </w:pPr>
    </w:p>
    <w:p w14:paraId="0E181046" w14:textId="77777777" w:rsidR="00876019" w:rsidRPr="0087185D" w:rsidRDefault="00876019" w:rsidP="00075C5F"/>
    <w:sectPr w:rsidR="00876019" w:rsidRPr="0087185D" w:rsidSect="00C5119C">
      <w:headerReference w:type="default" r:id="rId9"/>
      <w:pgSz w:w="11906" w:h="16838"/>
      <w:pgMar w:top="126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B73F" w14:textId="77777777" w:rsidR="008669ED" w:rsidRDefault="008669ED" w:rsidP="00876019">
      <w:pPr>
        <w:spacing w:line="240" w:lineRule="auto"/>
      </w:pPr>
      <w:r>
        <w:separator/>
      </w:r>
    </w:p>
  </w:endnote>
  <w:endnote w:type="continuationSeparator" w:id="0">
    <w:p w14:paraId="2E2DF47A" w14:textId="77777777" w:rsidR="008669ED" w:rsidRDefault="008669ED"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7A6D6" w14:textId="77777777" w:rsidR="008669ED" w:rsidRDefault="008669ED" w:rsidP="00876019">
      <w:pPr>
        <w:spacing w:line="240" w:lineRule="auto"/>
      </w:pPr>
      <w:r>
        <w:separator/>
      </w:r>
    </w:p>
  </w:footnote>
  <w:footnote w:type="continuationSeparator" w:id="0">
    <w:p w14:paraId="63F2575E" w14:textId="77777777" w:rsidR="008669ED" w:rsidRDefault="008669ED" w:rsidP="00876019">
      <w:pPr>
        <w:spacing w:line="240" w:lineRule="auto"/>
      </w:pPr>
      <w:r>
        <w:continuationSeparator/>
      </w:r>
    </w:p>
  </w:footnote>
  <w:footnote w:id="1">
    <w:p w14:paraId="7AAA3E13" w14:textId="2C26E05D" w:rsidR="00167CEB" w:rsidRPr="00E63350" w:rsidRDefault="00167CEB" w:rsidP="00C5119C">
      <w:pPr>
        <w:pStyle w:val="FootnoteText"/>
        <w:tabs>
          <w:tab w:val="right" w:pos="9026"/>
        </w:tabs>
        <w:rPr>
          <w:sz w:val="20"/>
          <w:szCs w:val="20"/>
          <w:lang w:val="en-US"/>
        </w:rPr>
      </w:pPr>
      <w:r w:rsidRPr="00E63350">
        <w:rPr>
          <w:rStyle w:val="FootnoteReference"/>
          <w:sz w:val="20"/>
          <w:szCs w:val="20"/>
        </w:rPr>
        <w:footnoteRef/>
      </w:r>
      <w:r w:rsidRPr="00E63350">
        <w:rPr>
          <w:sz w:val="20"/>
          <w:szCs w:val="20"/>
        </w:rPr>
        <w:t xml:space="preserve"> </w:t>
      </w:r>
      <w:r w:rsidRPr="00E63350">
        <w:rPr>
          <w:i/>
          <w:sz w:val="20"/>
          <w:szCs w:val="20"/>
          <w:lang w:val="en-ZA"/>
        </w:rPr>
        <w:t xml:space="preserve">S v </w:t>
      </w:r>
      <w:proofErr w:type="spellStart"/>
      <w:r w:rsidRPr="00E63350">
        <w:rPr>
          <w:i/>
          <w:sz w:val="20"/>
          <w:szCs w:val="20"/>
          <w:lang w:val="en-ZA"/>
        </w:rPr>
        <w:t>Dembenge</w:t>
      </w:r>
      <w:proofErr w:type="spellEnd"/>
      <w:r w:rsidRPr="00E63350">
        <w:rPr>
          <w:i/>
          <w:sz w:val="20"/>
          <w:szCs w:val="20"/>
          <w:lang w:val="en-ZA"/>
        </w:rPr>
        <w:t xml:space="preserve"> </w:t>
      </w:r>
      <w:r w:rsidRPr="00E63350">
        <w:rPr>
          <w:sz w:val="20"/>
          <w:szCs w:val="20"/>
          <w:lang w:val="en-ZA"/>
        </w:rPr>
        <w:t>(CR 109/2021) [2021] NAHCMD 529 (17 November 2021)</w:t>
      </w:r>
      <w:r>
        <w:rPr>
          <w:sz w:val="20"/>
          <w:szCs w:val="20"/>
          <w:lang w:val="en-ZA"/>
        </w:rPr>
        <w:t>.</w:t>
      </w:r>
      <w:r w:rsidR="00C5119C">
        <w:rPr>
          <w:sz w:val="20"/>
          <w:szCs w:val="20"/>
          <w:lang w:val="en-ZA"/>
        </w:rPr>
        <w:tab/>
      </w:r>
    </w:p>
  </w:footnote>
  <w:footnote w:id="2">
    <w:p w14:paraId="701C4FD1" w14:textId="77777777" w:rsidR="00167CEB" w:rsidRPr="0086332A" w:rsidRDefault="00167CEB" w:rsidP="00167CEB">
      <w:pPr>
        <w:pStyle w:val="FootnoteText"/>
        <w:rPr>
          <w:sz w:val="22"/>
          <w:szCs w:val="22"/>
          <w:lang w:val="en-US"/>
        </w:rPr>
      </w:pPr>
      <w:r w:rsidRPr="0086332A">
        <w:rPr>
          <w:rStyle w:val="FootnoteReference"/>
          <w:sz w:val="22"/>
          <w:szCs w:val="22"/>
        </w:rPr>
        <w:footnoteRef/>
      </w:r>
      <w:r w:rsidRPr="0086332A">
        <w:rPr>
          <w:sz w:val="22"/>
          <w:szCs w:val="22"/>
        </w:rPr>
        <w:t xml:space="preserve"> </w:t>
      </w:r>
      <w:r w:rsidRPr="0086332A">
        <w:rPr>
          <w:sz w:val="22"/>
          <w:szCs w:val="22"/>
          <w:lang w:val="en-US"/>
        </w:rPr>
        <w:t>NAMCIS</w:t>
      </w:r>
      <w:r>
        <w:rPr>
          <w:sz w:val="22"/>
          <w:szCs w:val="22"/>
          <w:lang w:val="en-US"/>
        </w:rPr>
        <w:t>.</w:t>
      </w:r>
    </w:p>
  </w:footnote>
  <w:footnote w:id="3">
    <w:p w14:paraId="092EFAF1" w14:textId="77777777" w:rsidR="00167CEB" w:rsidRPr="0086332A" w:rsidRDefault="00167CEB" w:rsidP="00167CEB">
      <w:pPr>
        <w:pStyle w:val="FootnoteText"/>
        <w:rPr>
          <w:sz w:val="22"/>
          <w:szCs w:val="22"/>
          <w:lang w:val="en-US"/>
        </w:rPr>
      </w:pPr>
      <w:r w:rsidRPr="0086332A">
        <w:rPr>
          <w:rStyle w:val="FootnoteReference"/>
          <w:sz w:val="22"/>
          <w:szCs w:val="22"/>
        </w:rPr>
        <w:footnoteRef/>
      </w:r>
      <w:r w:rsidRPr="0086332A">
        <w:rPr>
          <w:sz w:val="22"/>
          <w:szCs w:val="22"/>
        </w:rPr>
        <w:t xml:space="preserve"> C R </w:t>
      </w:r>
      <w:proofErr w:type="spellStart"/>
      <w:r w:rsidRPr="0086332A">
        <w:rPr>
          <w:sz w:val="22"/>
          <w:szCs w:val="22"/>
          <w:lang w:val="en-US"/>
        </w:rPr>
        <w:t>Snyman</w:t>
      </w:r>
      <w:proofErr w:type="spellEnd"/>
      <w:r w:rsidRPr="0086332A">
        <w:rPr>
          <w:sz w:val="22"/>
          <w:szCs w:val="22"/>
          <w:lang w:val="en-US"/>
        </w:rPr>
        <w:t xml:space="preserve"> </w:t>
      </w:r>
      <w:r w:rsidRPr="0086332A">
        <w:rPr>
          <w:i/>
          <w:sz w:val="22"/>
          <w:szCs w:val="22"/>
          <w:lang w:val="en-US"/>
        </w:rPr>
        <w:t>Criminal Law</w:t>
      </w:r>
      <w:r w:rsidRPr="0086332A">
        <w:rPr>
          <w:sz w:val="22"/>
          <w:szCs w:val="22"/>
          <w:lang w:val="en-US"/>
        </w:rPr>
        <w:t xml:space="preserve"> 7 </w:t>
      </w:r>
      <w:proofErr w:type="spellStart"/>
      <w:proofErr w:type="gramStart"/>
      <w:r w:rsidRPr="0086332A">
        <w:rPr>
          <w:sz w:val="22"/>
          <w:szCs w:val="22"/>
          <w:lang w:val="en-US"/>
        </w:rPr>
        <w:t>ed</w:t>
      </w:r>
      <w:proofErr w:type="spellEnd"/>
      <w:proofErr w:type="gramEnd"/>
      <w:r w:rsidRPr="0086332A">
        <w:rPr>
          <w:sz w:val="22"/>
          <w:szCs w:val="22"/>
          <w:lang w:val="en-US"/>
        </w:rPr>
        <w:t xml:space="preserve"> (2020) at 407.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206009"/>
      <w:docPartObj>
        <w:docPartGallery w:val="Page Numbers (Top of Page)"/>
        <w:docPartUnique/>
      </w:docPartObj>
    </w:sdtPr>
    <w:sdtEndPr>
      <w:rPr>
        <w:rFonts w:ascii="Arial" w:hAnsi="Arial" w:cs="Arial"/>
        <w:noProof/>
        <w:sz w:val="24"/>
        <w:szCs w:val="24"/>
      </w:rPr>
    </w:sdtEndPr>
    <w:sdtContent>
      <w:p w14:paraId="11DE8777" w14:textId="06E0E34B" w:rsidR="006D09FF" w:rsidRPr="00C5119C" w:rsidRDefault="006D09FF">
        <w:pPr>
          <w:pStyle w:val="Header"/>
          <w:jc w:val="right"/>
          <w:rPr>
            <w:rFonts w:ascii="Arial" w:hAnsi="Arial" w:cs="Arial"/>
            <w:sz w:val="24"/>
            <w:szCs w:val="24"/>
          </w:rPr>
        </w:pPr>
        <w:r w:rsidRPr="00C5119C">
          <w:rPr>
            <w:rFonts w:ascii="Arial" w:hAnsi="Arial" w:cs="Arial"/>
            <w:sz w:val="24"/>
            <w:szCs w:val="24"/>
          </w:rPr>
          <w:fldChar w:fldCharType="begin"/>
        </w:r>
        <w:r w:rsidRPr="00C5119C">
          <w:rPr>
            <w:rFonts w:ascii="Arial" w:hAnsi="Arial" w:cs="Arial"/>
            <w:sz w:val="24"/>
            <w:szCs w:val="24"/>
          </w:rPr>
          <w:instrText xml:space="preserve"> PAGE   \* MERGEFORMAT </w:instrText>
        </w:r>
        <w:r w:rsidRPr="00C5119C">
          <w:rPr>
            <w:rFonts w:ascii="Arial" w:hAnsi="Arial" w:cs="Arial"/>
            <w:sz w:val="24"/>
            <w:szCs w:val="24"/>
          </w:rPr>
          <w:fldChar w:fldCharType="separate"/>
        </w:r>
        <w:r w:rsidR="00C40951">
          <w:rPr>
            <w:rFonts w:ascii="Arial" w:hAnsi="Arial" w:cs="Arial"/>
            <w:noProof/>
            <w:sz w:val="24"/>
            <w:szCs w:val="24"/>
          </w:rPr>
          <w:t>3</w:t>
        </w:r>
        <w:r w:rsidRPr="00C5119C">
          <w:rPr>
            <w:rFonts w:ascii="Arial" w:hAnsi="Arial" w:cs="Arial"/>
            <w:noProof/>
            <w:sz w:val="24"/>
            <w:szCs w:val="24"/>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9D0BE7"/>
    <w:multiLevelType w:val="hybridMultilevel"/>
    <w:tmpl w:val="34D4009A"/>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A30775"/>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7">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2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nsid w:val="3C612425"/>
    <w:multiLevelType w:val="hybridMultilevel"/>
    <w:tmpl w:val="D3DC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800663B"/>
    <w:multiLevelType w:val="hybridMultilevel"/>
    <w:tmpl w:val="57B0854A"/>
    <w:lvl w:ilvl="0" w:tplc="F940A308">
      <w:start w:val="3"/>
      <w:numFmt w:val="decimal"/>
      <w:lvlText w:val="%1."/>
      <w:lvlJc w:val="left"/>
      <w:pPr>
        <w:ind w:left="8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357274"/>
    <w:multiLevelType w:val="hybridMultilevel"/>
    <w:tmpl w:val="9DFE89B2"/>
    <w:lvl w:ilvl="0" w:tplc="1D1AF5B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FA01DB7"/>
    <w:multiLevelType w:val="hybridMultilevel"/>
    <w:tmpl w:val="0E4CB800"/>
    <w:lvl w:ilvl="0" w:tplc="F940A308">
      <w:start w:val="2"/>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36">
    <w:nsid w:val="71AA49F6"/>
    <w:multiLevelType w:val="hybridMultilevel"/>
    <w:tmpl w:val="4C2807D8"/>
    <w:lvl w:ilvl="0" w:tplc="34DC3C3C">
      <w:start w:val="1"/>
      <w:numFmt w:val="decimal"/>
      <w:lvlText w:val="%1."/>
      <w:lvlJc w:val="left"/>
      <w:pPr>
        <w:ind w:left="830" w:hanging="4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0"/>
  </w:num>
  <w:num w:numId="6">
    <w:abstractNumId w:val="15"/>
  </w:num>
  <w:num w:numId="7">
    <w:abstractNumId w:val="2"/>
  </w:num>
  <w:num w:numId="8">
    <w:abstractNumId w:val="11"/>
  </w:num>
  <w:num w:numId="9">
    <w:abstractNumId w:val="8"/>
  </w:num>
  <w:num w:numId="10">
    <w:abstractNumId w:val="27"/>
  </w:num>
  <w:num w:numId="11">
    <w:abstractNumId w:val="41"/>
  </w:num>
  <w:num w:numId="12">
    <w:abstractNumId w:val="39"/>
  </w:num>
  <w:num w:numId="13">
    <w:abstractNumId w:val="34"/>
  </w:num>
  <w:num w:numId="14">
    <w:abstractNumId w:val="10"/>
  </w:num>
  <w:num w:numId="15">
    <w:abstractNumId w:val="18"/>
  </w:num>
  <w:num w:numId="16">
    <w:abstractNumId w:val="22"/>
  </w:num>
  <w:num w:numId="17">
    <w:abstractNumId w:val="4"/>
  </w:num>
  <w:num w:numId="18">
    <w:abstractNumId w:val="7"/>
  </w:num>
  <w:num w:numId="19">
    <w:abstractNumId w:val="17"/>
  </w:num>
  <w:num w:numId="20">
    <w:abstractNumId w:val="33"/>
  </w:num>
  <w:num w:numId="21">
    <w:abstractNumId w:val="26"/>
  </w:num>
  <w:num w:numId="22">
    <w:abstractNumId w:val="20"/>
  </w:num>
  <w:num w:numId="23">
    <w:abstractNumId w:val="31"/>
  </w:num>
  <w:num w:numId="24">
    <w:abstractNumId w:val="1"/>
  </w:num>
  <w:num w:numId="25">
    <w:abstractNumId w:val="32"/>
  </w:num>
  <w:num w:numId="26">
    <w:abstractNumId w:val="0"/>
  </w:num>
  <w:num w:numId="27">
    <w:abstractNumId w:val="40"/>
  </w:num>
  <w:num w:numId="28">
    <w:abstractNumId w:val="9"/>
  </w:num>
  <w:num w:numId="29">
    <w:abstractNumId w:val="6"/>
  </w:num>
  <w:num w:numId="30">
    <w:abstractNumId w:val="24"/>
  </w:num>
  <w:num w:numId="31">
    <w:abstractNumId w:val="37"/>
  </w:num>
  <w:num w:numId="32">
    <w:abstractNumId w:val="28"/>
  </w:num>
  <w:num w:numId="33">
    <w:abstractNumId w:val="3"/>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19"/>
  </w:num>
  <w:num w:numId="38">
    <w:abstractNumId w:val="29"/>
  </w:num>
  <w:num w:numId="39">
    <w:abstractNumId w:val="12"/>
  </w:num>
  <w:num w:numId="40">
    <w:abstractNumId w:val="14"/>
  </w:num>
  <w:num w:numId="41">
    <w:abstractNumId w:val="35"/>
  </w:num>
  <w:num w:numId="42">
    <w:abstractNumId w:val="25"/>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5FCD"/>
    <w:rsid w:val="00007F50"/>
    <w:rsid w:val="000319DA"/>
    <w:rsid w:val="0003455F"/>
    <w:rsid w:val="0003623D"/>
    <w:rsid w:val="00042FA1"/>
    <w:rsid w:val="000441B7"/>
    <w:rsid w:val="00050D5A"/>
    <w:rsid w:val="00051326"/>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B3B3F"/>
    <w:rsid w:val="000C7DA6"/>
    <w:rsid w:val="000D1F2A"/>
    <w:rsid w:val="000D1F51"/>
    <w:rsid w:val="000E4249"/>
    <w:rsid w:val="000E433C"/>
    <w:rsid w:val="000E50E5"/>
    <w:rsid w:val="000E7ABD"/>
    <w:rsid w:val="000F16F0"/>
    <w:rsid w:val="000F17B0"/>
    <w:rsid w:val="000F3FC2"/>
    <w:rsid w:val="000F50AD"/>
    <w:rsid w:val="000F697C"/>
    <w:rsid w:val="00100402"/>
    <w:rsid w:val="00101198"/>
    <w:rsid w:val="00101984"/>
    <w:rsid w:val="00102576"/>
    <w:rsid w:val="0010569A"/>
    <w:rsid w:val="0010717A"/>
    <w:rsid w:val="00107B33"/>
    <w:rsid w:val="001176A1"/>
    <w:rsid w:val="0012390C"/>
    <w:rsid w:val="00123E8B"/>
    <w:rsid w:val="00126937"/>
    <w:rsid w:val="0015187E"/>
    <w:rsid w:val="00153E65"/>
    <w:rsid w:val="001634D4"/>
    <w:rsid w:val="00167CEB"/>
    <w:rsid w:val="00173490"/>
    <w:rsid w:val="00180CD5"/>
    <w:rsid w:val="00184049"/>
    <w:rsid w:val="00196CE0"/>
    <w:rsid w:val="001A1035"/>
    <w:rsid w:val="001A2FF7"/>
    <w:rsid w:val="001A5A28"/>
    <w:rsid w:val="001A6E95"/>
    <w:rsid w:val="001B5D99"/>
    <w:rsid w:val="001B7405"/>
    <w:rsid w:val="001C4126"/>
    <w:rsid w:val="001C74D7"/>
    <w:rsid w:val="001D2DB9"/>
    <w:rsid w:val="001D44D5"/>
    <w:rsid w:val="001D60FB"/>
    <w:rsid w:val="001E2262"/>
    <w:rsid w:val="001E4348"/>
    <w:rsid w:val="001E64D0"/>
    <w:rsid w:val="001E7A41"/>
    <w:rsid w:val="001F3AE3"/>
    <w:rsid w:val="001F6BD0"/>
    <w:rsid w:val="0020451B"/>
    <w:rsid w:val="002045FA"/>
    <w:rsid w:val="002108CF"/>
    <w:rsid w:val="00212D99"/>
    <w:rsid w:val="002171BD"/>
    <w:rsid w:val="00221E6B"/>
    <w:rsid w:val="00222B82"/>
    <w:rsid w:val="00233447"/>
    <w:rsid w:val="00242F84"/>
    <w:rsid w:val="00244C22"/>
    <w:rsid w:val="00246195"/>
    <w:rsid w:val="0024682C"/>
    <w:rsid w:val="00254F50"/>
    <w:rsid w:val="0026141D"/>
    <w:rsid w:val="0027137B"/>
    <w:rsid w:val="002724A4"/>
    <w:rsid w:val="002732A3"/>
    <w:rsid w:val="00274978"/>
    <w:rsid w:val="0027555E"/>
    <w:rsid w:val="00275979"/>
    <w:rsid w:val="00275B6C"/>
    <w:rsid w:val="00277042"/>
    <w:rsid w:val="002900F7"/>
    <w:rsid w:val="002A0F53"/>
    <w:rsid w:val="002B086C"/>
    <w:rsid w:val="002B0F0A"/>
    <w:rsid w:val="002D187D"/>
    <w:rsid w:val="002D2A94"/>
    <w:rsid w:val="002D32B8"/>
    <w:rsid w:val="002D5B60"/>
    <w:rsid w:val="002D675B"/>
    <w:rsid w:val="002D6E8E"/>
    <w:rsid w:val="002E0203"/>
    <w:rsid w:val="002E4FDC"/>
    <w:rsid w:val="002E5C54"/>
    <w:rsid w:val="002E5FC5"/>
    <w:rsid w:val="002F091E"/>
    <w:rsid w:val="002F3921"/>
    <w:rsid w:val="00326F81"/>
    <w:rsid w:val="00332203"/>
    <w:rsid w:val="00333F97"/>
    <w:rsid w:val="00337804"/>
    <w:rsid w:val="003411DF"/>
    <w:rsid w:val="00341751"/>
    <w:rsid w:val="00346761"/>
    <w:rsid w:val="0035126E"/>
    <w:rsid w:val="00355CDB"/>
    <w:rsid w:val="00357A07"/>
    <w:rsid w:val="00364EB4"/>
    <w:rsid w:val="003665FC"/>
    <w:rsid w:val="00380C6B"/>
    <w:rsid w:val="00381227"/>
    <w:rsid w:val="003826D4"/>
    <w:rsid w:val="00385906"/>
    <w:rsid w:val="00393169"/>
    <w:rsid w:val="00394538"/>
    <w:rsid w:val="003A1E9F"/>
    <w:rsid w:val="003A5C9F"/>
    <w:rsid w:val="003A6950"/>
    <w:rsid w:val="003B627B"/>
    <w:rsid w:val="003B7528"/>
    <w:rsid w:val="003C39E4"/>
    <w:rsid w:val="003C5DF6"/>
    <w:rsid w:val="003D38D4"/>
    <w:rsid w:val="003D502A"/>
    <w:rsid w:val="003E0008"/>
    <w:rsid w:val="003E2FF8"/>
    <w:rsid w:val="003E3A6E"/>
    <w:rsid w:val="003E5030"/>
    <w:rsid w:val="003E543D"/>
    <w:rsid w:val="003E7EE2"/>
    <w:rsid w:val="003F4F9D"/>
    <w:rsid w:val="004024AF"/>
    <w:rsid w:val="00407B93"/>
    <w:rsid w:val="00411CF7"/>
    <w:rsid w:val="00412188"/>
    <w:rsid w:val="0041490E"/>
    <w:rsid w:val="00415971"/>
    <w:rsid w:val="00420556"/>
    <w:rsid w:val="00426A0B"/>
    <w:rsid w:val="00434D26"/>
    <w:rsid w:val="00440690"/>
    <w:rsid w:val="00444392"/>
    <w:rsid w:val="0045126C"/>
    <w:rsid w:val="004573C3"/>
    <w:rsid w:val="004577DF"/>
    <w:rsid w:val="004626A7"/>
    <w:rsid w:val="00462F61"/>
    <w:rsid w:val="00464AB2"/>
    <w:rsid w:val="00470725"/>
    <w:rsid w:val="00474F16"/>
    <w:rsid w:val="004773B9"/>
    <w:rsid w:val="00480407"/>
    <w:rsid w:val="0048572B"/>
    <w:rsid w:val="00491407"/>
    <w:rsid w:val="00491BC9"/>
    <w:rsid w:val="00497471"/>
    <w:rsid w:val="004A2F43"/>
    <w:rsid w:val="004A3E9E"/>
    <w:rsid w:val="004A4BD0"/>
    <w:rsid w:val="004A6667"/>
    <w:rsid w:val="004B047B"/>
    <w:rsid w:val="004B1D02"/>
    <w:rsid w:val="004C25B7"/>
    <w:rsid w:val="004C68D1"/>
    <w:rsid w:val="004C7308"/>
    <w:rsid w:val="004D1AB8"/>
    <w:rsid w:val="004D1D0F"/>
    <w:rsid w:val="004D23E1"/>
    <w:rsid w:val="004D5DE1"/>
    <w:rsid w:val="004E357B"/>
    <w:rsid w:val="004E41C8"/>
    <w:rsid w:val="004E6D48"/>
    <w:rsid w:val="004F1F31"/>
    <w:rsid w:val="005031E9"/>
    <w:rsid w:val="00503479"/>
    <w:rsid w:val="00504376"/>
    <w:rsid w:val="00506331"/>
    <w:rsid w:val="00512CDD"/>
    <w:rsid w:val="00512EB2"/>
    <w:rsid w:val="005134CF"/>
    <w:rsid w:val="0051537A"/>
    <w:rsid w:val="00516131"/>
    <w:rsid w:val="005267F8"/>
    <w:rsid w:val="00531286"/>
    <w:rsid w:val="005323F3"/>
    <w:rsid w:val="00536292"/>
    <w:rsid w:val="00540393"/>
    <w:rsid w:val="00561530"/>
    <w:rsid w:val="005626FF"/>
    <w:rsid w:val="0056499D"/>
    <w:rsid w:val="00564A70"/>
    <w:rsid w:val="00566D3F"/>
    <w:rsid w:val="00566E7D"/>
    <w:rsid w:val="0057079A"/>
    <w:rsid w:val="00572E1C"/>
    <w:rsid w:val="00580316"/>
    <w:rsid w:val="00584CA4"/>
    <w:rsid w:val="00593D41"/>
    <w:rsid w:val="005955A2"/>
    <w:rsid w:val="005976C2"/>
    <w:rsid w:val="005A086B"/>
    <w:rsid w:val="005B4476"/>
    <w:rsid w:val="005B45AB"/>
    <w:rsid w:val="005B7A91"/>
    <w:rsid w:val="005B7C77"/>
    <w:rsid w:val="005C227F"/>
    <w:rsid w:val="005C2EB1"/>
    <w:rsid w:val="005C529A"/>
    <w:rsid w:val="005C61B3"/>
    <w:rsid w:val="005C6A0A"/>
    <w:rsid w:val="005D0BC0"/>
    <w:rsid w:val="005D32ED"/>
    <w:rsid w:val="005D3634"/>
    <w:rsid w:val="005D45B5"/>
    <w:rsid w:val="005E2973"/>
    <w:rsid w:val="005E2BFC"/>
    <w:rsid w:val="005E4757"/>
    <w:rsid w:val="005F6CA9"/>
    <w:rsid w:val="00600657"/>
    <w:rsid w:val="0060123E"/>
    <w:rsid w:val="00602C83"/>
    <w:rsid w:val="00605130"/>
    <w:rsid w:val="00606AA7"/>
    <w:rsid w:val="00606AF7"/>
    <w:rsid w:val="00611645"/>
    <w:rsid w:val="0061223F"/>
    <w:rsid w:val="00613CB5"/>
    <w:rsid w:val="006179E6"/>
    <w:rsid w:val="00617D1A"/>
    <w:rsid w:val="00620458"/>
    <w:rsid w:val="00625306"/>
    <w:rsid w:val="006258E2"/>
    <w:rsid w:val="00627CE3"/>
    <w:rsid w:val="006330E2"/>
    <w:rsid w:val="00633751"/>
    <w:rsid w:val="00633BFE"/>
    <w:rsid w:val="006342A1"/>
    <w:rsid w:val="006360E1"/>
    <w:rsid w:val="00640897"/>
    <w:rsid w:val="00641C54"/>
    <w:rsid w:val="006426FF"/>
    <w:rsid w:val="0064324F"/>
    <w:rsid w:val="00644069"/>
    <w:rsid w:val="00647D42"/>
    <w:rsid w:val="00651295"/>
    <w:rsid w:val="00663A71"/>
    <w:rsid w:val="00663F05"/>
    <w:rsid w:val="006678C3"/>
    <w:rsid w:val="00674F05"/>
    <w:rsid w:val="006760F9"/>
    <w:rsid w:val="0068394D"/>
    <w:rsid w:val="00683A44"/>
    <w:rsid w:val="0068571C"/>
    <w:rsid w:val="006879BC"/>
    <w:rsid w:val="006915BD"/>
    <w:rsid w:val="006A0772"/>
    <w:rsid w:val="006A207C"/>
    <w:rsid w:val="006A4D53"/>
    <w:rsid w:val="006A654A"/>
    <w:rsid w:val="006A671A"/>
    <w:rsid w:val="006B10A5"/>
    <w:rsid w:val="006B629D"/>
    <w:rsid w:val="006C0510"/>
    <w:rsid w:val="006C5436"/>
    <w:rsid w:val="006C680A"/>
    <w:rsid w:val="006D09FF"/>
    <w:rsid w:val="006D1A86"/>
    <w:rsid w:val="006D1DBA"/>
    <w:rsid w:val="006D3855"/>
    <w:rsid w:val="006D71D2"/>
    <w:rsid w:val="006E7375"/>
    <w:rsid w:val="006F03F7"/>
    <w:rsid w:val="006F67D1"/>
    <w:rsid w:val="006F796D"/>
    <w:rsid w:val="006F7BDC"/>
    <w:rsid w:val="00712FE3"/>
    <w:rsid w:val="00713C13"/>
    <w:rsid w:val="00713CA0"/>
    <w:rsid w:val="00716BCD"/>
    <w:rsid w:val="00717AE5"/>
    <w:rsid w:val="00723B7F"/>
    <w:rsid w:val="00726B2B"/>
    <w:rsid w:val="007272B2"/>
    <w:rsid w:val="007358D6"/>
    <w:rsid w:val="00737813"/>
    <w:rsid w:val="007421C8"/>
    <w:rsid w:val="00742496"/>
    <w:rsid w:val="00744542"/>
    <w:rsid w:val="00747B17"/>
    <w:rsid w:val="0075335A"/>
    <w:rsid w:val="00754ACA"/>
    <w:rsid w:val="0076094C"/>
    <w:rsid w:val="00764FDE"/>
    <w:rsid w:val="00767B99"/>
    <w:rsid w:val="0077005B"/>
    <w:rsid w:val="00770E14"/>
    <w:rsid w:val="007754E9"/>
    <w:rsid w:val="00792756"/>
    <w:rsid w:val="007941E4"/>
    <w:rsid w:val="00794521"/>
    <w:rsid w:val="00794E00"/>
    <w:rsid w:val="00794ED2"/>
    <w:rsid w:val="00795070"/>
    <w:rsid w:val="007A17D4"/>
    <w:rsid w:val="007A3213"/>
    <w:rsid w:val="007A556C"/>
    <w:rsid w:val="007A683E"/>
    <w:rsid w:val="007B3C94"/>
    <w:rsid w:val="007B505C"/>
    <w:rsid w:val="007B5C18"/>
    <w:rsid w:val="007C2B5B"/>
    <w:rsid w:val="007C3924"/>
    <w:rsid w:val="007C6CD3"/>
    <w:rsid w:val="007D6D44"/>
    <w:rsid w:val="007D71F2"/>
    <w:rsid w:val="007E026A"/>
    <w:rsid w:val="007E0A86"/>
    <w:rsid w:val="007E7BFE"/>
    <w:rsid w:val="007F4D63"/>
    <w:rsid w:val="007F6EE0"/>
    <w:rsid w:val="00801CEF"/>
    <w:rsid w:val="0080315A"/>
    <w:rsid w:val="00806719"/>
    <w:rsid w:val="00807FCB"/>
    <w:rsid w:val="008105FB"/>
    <w:rsid w:val="00811E7C"/>
    <w:rsid w:val="008159B3"/>
    <w:rsid w:val="008165B8"/>
    <w:rsid w:val="0082401A"/>
    <w:rsid w:val="00825611"/>
    <w:rsid w:val="00831375"/>
    <w:rsid w:val="0083610E"/>
    <w:rsid w:val="00843AB7"/>
    <w:rsid w:val="008458A4"/>
    <w:rsid w:val="008506D9"/>
    <w:rsid w:val="008508FA"/>
    <w:rsid w:val="00851DC4"/>
    <w:rsid w:val="00851F22"/>
    <w:rsid w:val="00853C76"/>
    <w:rsid w:val="00855E71"/>
    <w:rsid w:val="0086332A"/>
    <w:rsid w:val="008659C8"/>
    <w:rsid w:val="008669ED"/>
    <w:rsid w:val="0087185D"/>
    <w:rsid w:val="008737DF"/>
    <w:rsid w:val="008757E5"/>
    <w:rsid w:val="00876019"/>
    <w:rsid w:val="00887281"/>
    <w:rsid w:val="00887A9F"/>
    <w:rsid w:val="00887F88"/>
    <w:rsid w:val="00893C1D"/>
    <w:rsid w:val="00897BF0"/>
    <w:rsid w:val="008A1AAD"/>
    <w:rsid w:val="008A21A4"/>
    <w:rsid w:val="008A7E59"/>
    <w:rsid w:val="008B2C0F"/>
    <w:rsid w:val="008B38D0"/>
    <w:rsid w:val="008B3F3D"/>
    <w:rsid w:val="008B512A"/>
    <w:rsid w:val="008C13E4"/>
    <w:rsid w:val="008C42F1"/>
    <w:rsid w:val="008D0DC9"/>
    <w:rsid w:val="008D3476"/>
    <w:rsid w:val="008D35F4"/>
    <w:rsid w:val="008D367F"/>
    <w:rsid w:val="008D7303"/>
    <w:rsid w:val="008D7C2F"/>
    <w:rsid w:val="008E077C"/>
    <w:rsid w:val="008E2A5A"/>
    <w:rsid w:val="008E2C81"/>
    <w:rsid w:val="008F03B8"/>
    <w:rsid w:val="008F21EB"/>
    <w:rsid w:val="008F5A50"/>
    <w:rsid w:val="008F6EEA"/>
    <w:rsid w:val="00900D1C"/>
    <w:rsid w:val="009019B4"/>
    <w:rsid w:val="00905C0B"/>
    <w:rsid w:val="00911083"/>
    <w:rsid w:val="00930A1B"/>
    <w:rsid w:val="00930AE1"/>
    <w:rsid w:val="009360C9"/>
    <w:rsid w:val="00937202"/>
    <w:rsid w:val="00940E3A"/>
    <w:rsid w:val="009428E5"/>
    <w:rsid w:val="009507CC"/>
    <w:rsid w:val="00952BB3"/>
    <w:rsid w:val="00952DAA"/>
    <w:rsid w:val="00955002"/>
    <w:rsid w:val="00957346"/>
    <w:rsid w:val="009665B7"/>
    <w:rsid w:val="00973519"/>
    <w:rsid w:val="00975DC4"/>
    <w:rsid w:val="00975F27"/>
    <w:rsid w:val="00976D05"/>
    <w:rsid w:val="009860E7"/>
    <w:rsid w:val="0098694B"/>
    <w:rsid w:val="009907FA"/>
    <w:rsid w:val="0099114F"/>
    <w:rsid w:val="009928BC"/>
    <w:rsid w:val="0099757D"/>
    <w:rsid w:val="009A2CF0"/>
    <w:rsid w:val="009A46D8"/>
    <w:rsid w:val="009B3B6A"/>
    <w:rsid w:val="009B3FF1"/>
    <w:rsid w:val="009C0363"/>
    <w:rsid w:val="009C16F5"/>
    <w:rsid w:val="009D0858"/>
    <w:rsid w:val="009D2A5B"/>
    <w:rsid w:val="009E04C2"/>
    <w:rsid w:val="009E24D4"/>
    <w:rsid w:val="009F302B"/>
    <w:rsid w:val="009F3B5D"/>
    <w:rsid w:val="00A10DCB"/>
    <w:rsid w:val="00A17821"/>
    <w:rsid w:val="00A237F2"/>
    <w:rsid w:val="00A240AE"/>
    <w:rsid w:val="00A32C04"/>
    <w:rsid w:val="00A34420"/>
    <w:rsid w:val="00A40B34"/>
    <w:rsid w:val="00A4443B"/>
    <w:rsid w:val="00A45709"/>
    <w:rsid w:val="00A45A27"/>
    <w:rsid w:val="00A55C26"/>
    <w:rsid w:val="00A620C9"/>
    <w:rsid w:val="00A6571A"/>
    <w:rsid w:val="00A75224"/>
    <w:rsid w:val="00A907B5"/>
    <w:rsid w:val="00A938A6"/>
    <w:rsid w:val="00AA1358"/>
    <w:rsid w:val="00AA3578"/>
    <w:rsid w:val="00AA42C7"/>
    <w:rsid w:val="00AA57B2"/>
    <w:rsid w:val="00AB335C"/>
    <w:rsid w:val="00AD17BC"/>
    <w:rsid w:val="00AD6E06"/>
    <w:rsid w:val="00AE2721"/>
    <w:rsid w:val="00AE46D1"/>
    <w:rsid w:val="00AF379A"/>
    <w:rsid w:val="00AF6513"/>
    <w:rsid w:val="00AF6EAB"/>
    <w:rsid w:val="00AF77F2"/>
    <w:rsid w:val="00AF7806"/>
    <w:rsid w:val="00B0493E"/>
    <w:rsid w:val="00B052B7"/>
    <w:rsid w:val="00B068C5"/>
    <w:rsid w:val="00B07F5F"/>
    <w:rsid w:val="00B1317F"/>
    <w:rsid w:val="00B16FB3"/>
    <w:rsid w:val="00B234F7"/>
    <w:rsid w:val="00B348F5"/>
    <w:rsid w:val="00B349EF"/>
    <w:rsid w:val="00B43C42"/>
    <w:rsid w:val="00B47CB9"/>
    <w:rsid w:val="00B54F0E"/>
    <w:rsid w:val="00B5501A"/>
    <w:rsid w:val="00B70F72"/>
    <w:rsid w:val="00B72169"/>
    <w:rsid w:val="00B8243F"/>
    <w:rsid w:val="00B83F16"/>
    <w:rsid w:val="00B922CE"/>
    <w:rsid w:val="00B93071"/>
    <w:rsid w:val="00B937C1"/>
    <w:rsid w:val="00B9528A"/>
    <w:rsid w:val="00B955D3"/>
    <w:rsid w:val="00BA3613"/>
    <w:rsid w:val="00BA400F"/>
    <w:rsid w:val="00BA7226"/>
    <w:rsid w:val="00BA73CD"/>
    <w:rsid w:val="00BB50F4"/>
    <w:rsid w:val="00BC07EE"/>
    <w:rsid w:val="00BC3CAD"/>
    <w:rsid w:val="00BD6028"/>
    <w:rsid w:val="00BE1E22"/>
    <w:rsid w:val="00BE4E1E"/>
    <w:rsid w:val="00C0139C"/>
    <w:rsid w:val="00C03258"/>
    <w:rsid w:val="00C03CAA"/>
    <w:rsid w:val="00C10467"/>
    <w:rsid w:val="00C1102E"/>
    <w:rsid w:val="00C13C91"/>
    <w:rsid w:val="00C15951"/>
    <w:rsid w:val="00C202FB"/>
    <w:rsid w:val="00C23CEB"/>
    <w:rsid w:val="00C23DE0"/>
    <w:rsid w:val="00C25630"/>
    <w:rsid w:val="00C263C4"/>
    <w:rsid w:val="00C27C03"/>
    <w:rsid w:val="00C40382"/>
    <w:rsid w:val="00C40951"/>
    <w:rsid w:val="00C41AC1"/>
    <w:rsid w:val="00C4322E"/>
    <w:rsid w:val="00C4554F"/>
    <w:rsid w:val="00C459ED"/>
    <w:rsid w:val="00C47395"/>
    <w:rsid w:val="00C509C6"/>
    <w:rsid w:val="00C5119C"/>
    <w:rsid w:val="00C52878"/>
    <w:rsid w:val="00C53E4D"/>
    <w:rsid w:val="00C572BC"/>
    <w:rsid w:val="00C653CD"/>
    <w:rsid w:val="00C66043"/>
    <w:rsid w:val="00C71075"/>
    <w:rsid w:val="00C73D72"/>
    <w:rsid w:val="00C74CB6"/>
    <w:rsid w:val="00CA1392"/>
    <w:rsid w:val="00CA68F9"/>
    <w:rsid w:val="00CB0CC6"/>
    <w:rsid w:val="00CB156F"/>
    <w:rsid w:val="00CB3319"/>
    <w:rsid w:val="00CB741D"/>
    <w:rsid w:val="00CC1D8A"/>
    <w:rsid w:val="00CC6BA2"/>
    <w:rsid w:val="00CC73B9"/>
    <w:rsid w:val="00CD137B"/>
    <w:rsid w:val="00CD3DD8"/>
    <w:rsid w:val="00CE35D5"/>
    <w:rsid w:val="00CE41E2"/>
    <w:rsid w:val="00CF079B"/>
    <w:rsid w:val="00CF3242"/>
    <w:rsid w:val="00CF5D4B"/>
    <w:rsid w:val="00CF6D5C"/>
    <w:rsid w:val="00CF6E24"/>
    <w:rsid w:val="00D007A5"/>
    <w:rsid w:val="00D01490"/>
    <w:rsid w:val="00D02240"/>
    <w:rsid w:val="00D2153A"/>
    <w:rsid w:val="00D30CC8"/>
    <w:rsid w:val="00D3124B"/>
    <w:rsid w:val="00D441EF"/>
    <w:rsid w:val="00D45A14"/>
    <w:rsid w:val="00D5003F"/>
    <w:rsid w:val="00D50BF3"/>
    <w:rsid w:val="00D539A5"/>
    <w:rsid w:val="00D55377"/>
    <w:rsid w:val="00D61011"/>
    <w:rsid w:val="00D62E3D"/>
    <w:rsid w:val="00D66F84"/>
    <w:rsid w:val="00D711C1"/>
    <w:rsid w:val="00D7333D"/>
    <w:rsid w:val="00D74BC9"/>
    <w:rsid w:val="00D83FDF"/>
    <w:rsid w:val="00D91709"/>
    <w:rsid w:val="00D9357E"/>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7622"/>
    <w:rsid w:val="00E179A7"/>
    <w:rsid w:val="00E23169"/>
    <w:rsid w:val="00E239FA"/>
    <w:rsid w:val="00E35E89"/>
    <w:rsid w:val="00E40C84"/>
    <w:rsid w:val="00E410B7"/>
    <w:rsid w:val="00E50981"/>
    <w:rsid w:val="00E54207"/>
    <w:rsid w:val="00E56544"/>
    <w:rsid w:val="00E60A64"/>
    <w:rsid w:val="00E62762"/>
    <w:rsid w:val="00E63295"/>
    <w:rsid w:val="00E63350"/>
    <w:rsid w:val="00E6642D"/>
    <w:rsid w:val="00E672F9"/>
    <w:rsid w:val="00E713AA"/>
    <w:rsid w:val="00E818B3"/>
    <w:rsid w:val="00E8196C"/>
    <w:rsid w:val="00E833F7"/>
    <w:rsid w:val="00E90C27"/>
    <w:rsid w:val="00E92F1E"/>
    <w:rsid w:val="00E97957"/>
    <w:rsid w:val="00EA4FE6"/>
    <w:rsid w:val="00EA649B"/>
    <w:rsid w:val="00EA7F94"/>
    <w:rsid w:val="00EB3B3B"/>
    <w:rsid w:val="00EB4D8A"/>
    <w:rsid w:val="00ED2788"/>
    <w:rsid w:val="00ED499D"/>
    <w:rsid w:val="00EE4439"/>
    <w:rsid w:val="00EE67CB"/>
    <w:rsid w:val="00EF1996"/>
    <w:rsid w:val="00EF52CC"/>
    <w:rsid w:val="00EF55C3"/>
    <w:rsid w:val="00F0097B"/>
    <w:rsid w:val="00F01003"/>
    <w:rsid w:val="00F03AD8"/>
    <w:rsid w:val="00F079A1"/>
    <w:rsid w:val="00F20B73"/>
    <w:rsid w:val="00F232B3"/>
    <w:rsid w:val="00F24313"/>
    <w:rsid w:val="00F243D4"/>
    <w:rsid w:val="00F26B97"/>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2BFF"/>
    <w:rsid w:val="00FA5269"/>
    <w:rsid w:val="00FB0E2C"/>
    <w:rsid w:val="00FB60BD"/>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 w:type="character" w:styleId="Hyperlink">
    <w:name w:val="Hyperlink"/>
    <w:basedOn w:val="DefaultParagraphFont"/>
    <w:uiPriority w:val="99"/>
    <w:unhideWhenUsed/>
    <w:rsid w:val="00C45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779">
      <w:bodyDiv w:val="1"/>
      <w:marLeft w:val="0"/>
      <w:marRight w:val="0"/>
      <w:marTop w:val="0"/>
      <w:marBottom w:val="0"/>
      <w:divBdr>
        <w:top w:val="none" w:sz="0" w:space="0" w:color="auto"/>
        <w:left w:val="none" w:sz="0" w:space="0" w:color="auto"/>
        <w:bottom w:val="none" w:sz="0" w:space="0" w:color="auto"/>
        <w:right w:val="none" w:sz="0" w:space="0" w:color="auto"/>
      </w:divBdr>
    </w:div>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2024</Year>
    <Judgment_x0020_Date xmlns="17a0f4bd-1162-49ac-b85f-dfe96a90bc01">2024-04-14T18:30:00+00:00</Judgment_x0020_Date>
  </documentManagement>
</p:properties>
</file>

<file path=customXml/itemProps1.xml><?xml version="1.0" encoding="utf-8"?>
<ds:datastoreItem xmlns:ds="http://schemas.openxmlformats.org/officeDocument/2006/customXml" ds:itemID="{D17D9C69-85E2-48E8-8618-64E1743FC927}"/>
</file>

<file path=customXml/itemProps2.xml><?xml version="1.0" encoding="utf-8"?>
<ds:datastoreItem xmlns:ds="http://schemas.openxmlformats.org/officeDocument/2006/customXml" ds:itemID="{8E26D853-F3B9-478A-9E7F-A0B96987EA79}"/>
</file>

<file path=customXml/itemProps3.xml><?xml version="1.0" encoding="utf-8"?>
<ds:datastoreItem xmlns:ds="http://schemas.openxmlformats.org/officeDocument/2006/customXml" ds:itemID="{29223A64-4E3B-4338-96E0-B938DA1EB847}"/>
</file>

<file path=customXml/itemProps4.xml><?xml version="1.0" encoding="utf-8"?>
<ds:datastoreItem xmlns:ds="http://schemas.openxmlformats.org/officeDocument/2006/customXml" ds:itemID="{4BBCCE7E-EA9C-4568-A05E-367D9722358C}"/>
</file>

<file path=docProps/app.xml><?xml version="1.0" encoding="utf-8"?>
<Properties xmlns="http://schemas.openxmlformats.org/officeDocument/2006/extended-properties" xmlns:vt="http://schemas.openxmlformats.org/officeDocument/2006/docPropsVTypes">
  <Template>Normal</Template>
  <TotalTime>6</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 v Petrus Phillipus Ondangwa Review</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Phillipus (CR 13-2024) [2024] NAHCNLD 38 (15 April 2024)</dc:title>
  <dc:creator>Erich.Kesslau@jud.gov.na</dc:creator>
  <cp:keywords/>
  <cp:lastModifiedBy>Bregitha Coetzee</cp:lastModifiedBy>
  <cp:revision>4</cp:revision>
  <cp:lastPrinted>2024-03-04T08:02:00Z</cp:lastPrinted>
  <dcterms:created xsi:type="dcterms:W3CDTF">2024-04-15T07:23:00Z</dcterms:created>
  <dcterms:modified xsi:type="dcterms:W3CDTF">2024-04-15T11:49:00Z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