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65BE2E7" w14:textId="75DD85E4" w:rsidR="00C66F95" w:rsidRPr="003D3397" w:rsidRDefault="00C66F95" w:rsidP="00C66F95">
      <w:pPr>
        <w:spacing w:after="0" w:line="360" w:lineRule="auto"/>
        <w:jc w:val="center"/>
        <w:rPr>
          <w:rFonts w:ascii="Arial" w:eastAsia="Times New Roman" w:hAnsi="Arial" w:cs="Arial"/>
          <w:b/>
          <w:sz w:val="24"/>
          <w:szCs w:val="24"/>
          <w:lang w:eastAsia="en-ZA"/>
        </w:rPr>
      </w:pPr>
      <w:r>
        <w:rPr>
          <w:noProof/>
          <w:lang w:val="en-US"/>
        </w:rPr>
        <mc:AlternateContent>
          <mc:Choice Requires="wps">
            <w:drawing>
              <wp:anchor distT="0" distB="0" distL="114300" distR="114300" simplePos="0" relativeHeight="251659264" behindDoc="0" locked="0" layoutInCell="1" allowOverlap="1" wp14:anchorId="37ED6175" wp14:editId="23B51B1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7F7D1258" w14:textId="77777777" w:rsidR="00C66F95" w:rsidRDefault="00C66F95" w:rsidP="00C66F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ED6175"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" strokecolor="white">
                <v:textbox>
                  <w:txbxContent>
                    <w:p w14:paraId="7F7D1258" w14:textId="77777777" w:rsidR="00C66F95" w:rsidRDefault="00C66F95" w:rsidP="00C66F95"/>
                  </w:txbxContent>
                </v:textbox>
              </v:shape>
            </w:pict>
          </mc:Fallback>
        </mc:AlternateContent>
      </w:r>
      <w:r w:rsidRPr="003D3397">
        <w:rPr>
          <w:rFonts w:ascii="Arial" w:eastAsia="Times New Roman" w:hAnsi="Arial" w:cs="Arial"/>
          <w:b/>
          <w:sz w:val="24"/>
          <w:szCs w:val="24"/>
          <w:lang w:eastAsia="en-ZA"/>
        </w:rPr>
        <w:t>REPUBLIC OF NAMIBIA</w:t>
      </w:r>
    </w:p>
    <w:p w14:paraId="7E1C805F" w14:textId="2A0CAC7A" w:rsidR="00C66F95" w:rsidRPr="003D3397" w:rsidRDefault="00C66F95" w:rsidP="00C66F95">
      <w:pPr>
        <w:spacing w:after="0" w:line="360" w:lineRule="auto"/>
        <w:jc w:val="center"/>
        <w:rPr>
          <w:rFonts w:ascii="Arial" w:eastAsia="Times New Roman" w:hAnsi="Arial" w:cs="Arial"/>
          <w:b/>
          <w:sz w:val="28"/>
          <w:szCs w:val="32"/>
          <w:lang w:eastAsia="en-ZA"/>
        </w:rPr>
      </w:pPr>
      <w:r w:rsidRPr="003D3397">
        <w:rPr>
          <w:rFonts w:ascii="Arial" w:eastAsia="Times New Roman" w:hAnsi="Arial" w:cs="Arial"/>
          <w:b/>
          <w:noProof/>
          <w:sz w:val="32"/>
          <w:szCs w:val="32"/>
          <w:lang w:val="en-US"/>
        </w:rPr>
        <w:drawing>
          <wp:inline distT="0" distB="0" distL="0" distR="0" wp14:anchorId="28C09767" wp14:editId="59CB7F54">
            <wp:extent cx="1035050" cy="1047750"/>
            <wp:effectExtent l="0" t="0" r="0" b="0"/>
            <wp:docPr id="623519779"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47750"/>
                    </a:xfrm>
                    <a:prstGeom prst="rect">
                      <a:avLst/>
                    </a:prstGeom>
                    <a:noFill/>
                    <a:ln>
                      <a:noFill/>
                    </a:ln>
                  </pic:spPr>
                </pic:pic>
              </a:graphicData>
            </a:graphic>
          </wp:inline>
        </w:drawing>
      </w:r>
    </w:p>
    <w:p w14:paraId="2675AF27" w14:textId="77777777" w:rsidR="00C66F95" w:rsidRPr="003D3397" w:rsidRDefault="00C66F95" w:rsidP="00C66F95">
      <w:pPr>
        <w:spacing w:after="0" w:line="360" w:lineRule="auto"/>
        <w:ind w:left="-4989" w:right="-4422"/>
        <w:jc w:val="center"/>
        <w:rPr>
          <w:rFonts w:ascii="Arial" w:eastAsia="Times New Roman" w:hAnsi="Arial" w:cs="Arial"/>
          <w:b/>
          <w:sz w:val="28"/>
          <w:szCs w:val="32"/>
          <w:lang w:eastAsia="en-ZA"/>
        </w:rPr>
      </w:pPr>
      <w:r w:rsidRPr="003D3397">
        <w:rPr>
          <w:rFonts w:ascii="Arial" w:hAnsi="Arial" w:cs="Arial"/>
          <w:b/>
          <w:sz w:val="24"/>
          <w:szCs w:val="24"/>
          <w:lang w:val="en-US"/>
        </w:rPr>
        <w:t>IN THE HIGH COURT OF NAMIBIA NORTHERN LOCAL DIVISION, OSHAKATI</w:t>
      </w:r>
    </w:p>
    <w:p w14:paraId="0BCD41B7" w14:textId="77777777" w:rsidR="00C66F95" w:rsidRPr="003D3397" w:rsidRDefault="00C66F95" w:rsidP="00C66F95">
      <w:pPr>
        <w:spacing w:after="0" w:line="360" w:lineRule="auto"/>
        <w:jc w:val="center"/>
        <w:rPr>
          <w:rFonts w:ascii="Arial" w:eastAsia="Times New Roman" w:hAnsi="Arial" w:cs="Arial"/>
          <w:b/>
          <w:sz w:val="24"/>
          <w:szCs w:val="24"/>
          <w:lang w:eastAsia="en-ZA"/>
        </w:rPr>
      </w:pPr>
    </w:p>
    <w:p w14:paraId="5C5EB516" w14:textId="073EC486" w:rsidR="00C66F95" w:rsidRPr="003D3397" w:rsidRDefault="00C66F95" w:rsidP="00C66F95">
      <w:pPr>
        <w:spacing w:after="0" w:line="360" w:lineRule="auto"/>
        <w:jc w:val="center"/>
        <w:rPr>
          <w:rFonts w:ascii="Arial" w:eastAsia="Times New Roman" w:hAnsi="Arial" w:cs="Arial"/>
          <w:b/>
          <w:sz w:val="24"/>
          <w:szCs w:val="24"/>
          <w:lang w:eastAsia="en-ZA"/>
        </w:rPr>
      </w:pPr>
      <w:r>
        <w:rPr>
          <w:rFonts w:ascii="Arial" w:eastAsia="Times New Roman" w:hAnsi="Arial" w:cs="Arial"/>
          <w:b/>
          <w:sz w:val="24"/>
          <w:szCs w:val="24"/>
          <w:lang w:eastAsia="en-ZA"/>
        </w:rPr>
        <w:t xml:space="preserve">APPLICATION FOR LEAVE TO APPEAL </w:t>
      </w:r>
      <w:r w:rsidR="0017669E">
        <w:rPr>
          <w:rFonts w:ascii="Arial" w:eastAsia="Times New Roman" w:hAnsi="Arial" w:cs="Arial"/>
          <w:b/>
          <w:sz w:val="24"/>
          <w:szCs w:val="24"/>
          <w:lang w:eastAsia="en-ZA"/>
        </w:rPr>
        <w:t>RULING</w:t>
      </w:r>
    </w:p>
    <w:p w14:paraId="38560241" w14:textId="77777777" w:rsidR="00C66F95" w:rsidRDefault="00C66F95" w:rsidP="00C66F95">
      <w:pPr>
        <w:spacing w:after="0" w:line="360" w:lineRule="auto"/>
        <w:jc w:val="center"/>
        <w:rPr>
          <w:rFonts w:ascii="Arial" w:eastAsia="Times New Roman" w:hAnsi="Arial" w:cs="Arial"/>
          <w:b/>
          <w:sz w:val="24"/>
          <w:szCs w:val="24"/>
          <w:lang w:eastAsia="en-ZA"/>
        </w:rPr>
      </w:pPr>
    </w:p>
    <w:p w14:paraId="434743B4" w14:textId="77777777" w:rsidR="00D31854" w:rsidRPr="003D3397" w:rsidRDefault="00D31854" w:rsidP="00C66F95">
      <w:pPr>
        <w:spacing w:after="0" w:line="360" w:lineRule="auto"/>
        <w:jc w:val="center"/>
        <w:rPr>
          <w:rFonts w:ascii="Arial" w:eastAsia="Times New Roman" w:hAnsi="Arial" w:cs="Arial"/>
          <w:b/>
          <w:sz w:val="24"/>
          <w:szCs w:val="24"/>
          <w:lang w:eastAsia="en-ZA"/>
        </w:rPr>
      </w:pPr>
    </w:p>
    <w:p w14:paraId="56A15BB7" w14:textId="77777777" w:rsidR="00C66F95" w:rsidRPr="003D3397" w:rsidRDefault="00C66F95" w:rsidP="00C66F95">
      <w:pPr>
        <w:tabs>
          <w:tab w:val="right" w:pos="9360"/>
        </w:tabs>
        <w:spacing w:after="0" w:line="360" w:lineRule="auto"/>
        <w:jc w:val="center"/>
        <w:rPr>
          <w:rFonts w:ascii="Arial" w:eastAsia="Times New Roman" w:hAnsi="Arial" w:cs="Arial"/>
          <w:sz w:val="24"/>
          <w:szCs w:val="24"/>
          <w:lang w:eastAsia="en-ZA"/>
        </w:rPr>
      </w:pPr>
      <w:r w:rsidRPr="003D3397">
        <w:rPr>
          <w:rFonts w:ascii="Arial" w:eastAsia="Times New Roman" w:hAnsi="Arial" w:cs="Arial"/>
          <w:b/>
          <w:sz w:val="24"/>
          <w:szCs w:val="24"/>
          <w:lang w:eastAsia="en-ZA"/>
        </w:rPr>
        <w:tab/>
      </w:r>
      <w:r w:rsidRPr="003D3397">
        <w:rPr>
          <w:rFonts w:ascii="Arial" w:eastAsia="Times New Roman" w:hAnsi="Arial" w:cs="Arial"/>
          <w:sz w:val="24"/>
          <w:szCs w:val="24"/>
          <w:lang w:eastAsia="en-ZA"/>
        </w:rPr>
        <w:t>Case No: CC 5/2021</w:t>
      </w:r>
    </w:p>
    <w:p w14:paraId="07486F19" w14:textId="77777777" w:rsidR="00C66F95" w:rsidRPr="003D3397" w:rsidRDefault="00C66F95" w:rsidP="00C66F95">
      <w:pPr>
        <w:spacing w:after="0" w:line="360" w:lineRule="auto"/>
        <w:rPr>
          <w:rFonts w:ascii="Arial" w:eastAsia="Times New Roman" w:hAnsi="Arial" w:cs="Arial"/>
          <w:sz w:val="24"/>
          <w:szCs w:val="24"/>
          <w:lang w:eastAsia="en-ZA"/>
        </w:rPr>
      </w:pPr>
      <w:r w:rsidRPr="003D3397">
        <w:rPr>
          <w:rFonts w:ascii="Arial" w:eastAsia="Times New Roman" w:hAnsi="Arial" w:cs="Arial"/>
          <w:sz w:val="24"/>
          <w:szCs w:val="24"/>
          <w:lang w:eastAsia="en-ZA"/>
        </w:rPr>
        <w:t>In the matter between:</w:t>
      </w:r>
    </w:p>
    <w:p w14:paraId="0D2A5203" w14:textId="77777777" w:rsidR="00C66F95" w:rsidRDefault="00C66F95" w:rsidP="00C66F95">
      <w:pPr>
        <w:tabs>
          <w:tab w:val="right" w:pos="9360"/>
        </w:tabs>
        <w:spacing w:after="0" w:line="360" w:lineRule="auto"/>
        <w:jc w:val="both"/>
        <w:rPr>
          <w:rFonts w:ascii="Arial" w:eastAsia="Times New Roman" w:hAnsi="Arial" w:cs="Arial"/>
          <w:b/>
          <w:sz w:val="24"/>
          <w:szCs w:val="24"/>
          <w:lang w:eastAsia="en-ZA"/>
        </w:rPr>
      </w:pPr>
    </w:p>
    <w:p w14:paraId="0A8164B8" w14:textId="77777777" w:rsidR="00C66F95" w:rsidRDefault="00C66F95" w:rsidP="00C66F95">
      <w:pPr>
        <w:tabs>
          <w:tab w:val="right" w:pos="9360"/>
        </w:tabs>
        <w:spacing w:after="0" w:line="360" w:lineRule="auto"/>
        <w:jc w:val="both"/>
        <w:rPr>
          <w:rFonts w:ascii="Arial" w:eastAsia="Times New Roman" w:hAnsi="Arial" w:cs="Arial"/>
          <w:b/>
          <w:sz w:val="24"/>
          <w:szCs w:val="24"/>
          <w:lang w:eastAsia="en-ZA"/>
        </w:rPr>
      </w:pPr>
    </w:p>
    <w:p w14:paraId="7B649F28" w14:textId="7E6080DE" w:rsidR="00C66F95" w:rsidRPr="003D3397" w:rsidRDefault="00C66F95" w:rsidP="001A4B03">
      <w:pPr>
        <w:spacing w:after="0" w:line="360" w:lineRule="auto"/>
        <w:jc w:val="both"/>
        <w:rPr>
          <w:rFonts w:ascii="Arial" w:eastAsia="Times New Roman" w:hAnsi="Arial" w:cs="Arial"/>
          <w:b/>
          <w:sz w:val="24"/>
          <w:szCs w:val="24"/>
          <w:lang w:eastAsia="en-ZA"/>
        </w:rPr>
      </w:pPr>
      <w:r w:rsidRPr="003D3397">
        <w:rPr>
          <w:rFonts w:ascii="Arial" w:eastAsia="Times New Roman" w:hAnsi="Arial" w:cs="Arial"/>
          <w:b/>
          <w:sz w:val="24"/>
          <w:szCs w:val="24"/>
          <w:lang w:eastAsia="en-ZA"/>
        </w:rPr>
        <w:t>PAULINU MATEUS KATALE</w:t>
      </w:r>
      <w:r w:rsidRPr="003D3397">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Pr>
          <w:rFonts w:ascii="Arial" w:eastAsia="Times New Roman" w:hAnsi="Arial" w:cs="Arial"/>
          <w:b/>
          <w:sz w:val="24"/>
          <w:szCs w:val="24"/>
          <w:lang w:eastAsia="en-ZA"/>
        </w:rPr>
        <w:t>APPLICANT</w:t>
      </w:r>
    </w:p>
    <w:p w14:paraId="00DACFFA" w14:textId="77777777" w:rsidR="00C66F95" w:rsidRPr="003D3397" w:rsidRDefault="00C66F95" w:rsidP="00C66F95">
      <w:pPr>
        <w:keepNext/>
        <w:tabs>
          <w:tab w:val="right" w:pos="9360"/>
        </w:tabs>
        <w:spacing w:after="0" w:line="360" w:lineRule="auto"/>
        <w:jc w:val="both"/>
        <w:outlineLvl w:val="3"/>
        <w:rPr>
          <w:rFonts w:ascii="Arial" w:eastAsia="Times New Roman" w:hAnsi="Arial" w:cs="Arial"/>
          <w:sz w:val="24"/>
          <w:szCs w:val="24"/>
          <w:lang w:eastAsia="en-ZA"/>
        </w:rPr>
      </w:pPr>
    </w:p>
    <w:p w14:paraId="408F3A86" w14:textId="77777777" w:rsidR="00C66F95" w:rsidRPr="003D3397" w:rsidRDefault="00C66F95" w:rsidP="00C66F95">
      <w:pPr>
        <w:spacing w:after="0" w:line="360" w:lineRule="auto"/>
        <w:jc w:val="both"/>
        <w:rPr>
          <w:rFonts w:ascii="Arial" w:eastAsia="Times New Roman" w:hAnsi="Arial" w:cs="Arial"/>
          <w:sz w:val="24"/>
          <w:szCs w:val="24"/>
          <w:lang w:eastAsia="en-ZA"/>
        </w:rPr>
      </w:pPr>
      <w:r w:rsidRPr="003D3397">
        <w:rPr>
          <w:rFonts w:ascii="Arial" w:eastAsia="Times New Roman" w:hAnsi="Arial" w:cs="Arial"/>
          <w:sz w:val="24"/>
          <w:szCs w:val="24"/>
          <w:lang w:eastAsia="en-ZA"/>
        </w:rPr>
        <w:t>v</w:t>
      </w:r>
    </w:p>
    <w:p w14:paraId="2545A200" w14:textId="77777777" w:rsidR="00C66F95" w:rsidRDefault="00C66F95" w:rsidP="00C66F95">
      <w:pPr>
        <w:keepNext/>
        <w:tabs>
          <w:tab w:val="right" w:pos="9360"/>
        </w:tabs>
        <w:spacing w:after="0" w:line="360" w:lineRule="auto"/>
        <w:jc w:val="both"/>
        <w:outlineLvl w:val="3"/>
        <w:rPr>
          <w:rFonts w:ascii="Arial" w:eastAsia="Times New Roman" w:hAnsi="Arial" w:cs="Arial"/>
          <w:b/>
          <w:sz w:val="24"/>
          <w:szCs w:val="24"/>
          <w:lang w:eastAsia="en-ZA"/>
        </w:rPr>
      </w:pPr>
    </w:p>
    <w:p w14:paraId="65DFC7B4" w14:textId="7491AA7D" w:rsidR="00C66F95" w:rsidRPr="00C66F95" w:rsidRDefault="00C66F95" w:rsidP="001A4B03">
      <w:pPr>
        <w:keepNext/>
        <w:spacing w:after="0" w:line="360" w:lineRule="auto"/>
        <w:jc w:val="both"/>
        <w:outlineLvl w:val="3"/>
        <w:rPr>
          <w:rFonts w:ascii="Arial" w:eastAsia="Times New Roman" w:hAnsi="Arial" w:cs="Arial"/>
          <w:b/>
          <w:sz w:val="24"/>
          <w:szCs w:val="24"/>
          <w:lang w:val="en-GB"/>
        </w:rPr>
      </w:pPr>
      <w:r w:rsidRPr="003D3397">
        <w:rPr>
          <w:rFonts w:ascii="Arial" w:eastAsia="Times New Roman" w:hAnsi="Arial" w:cs="Arial"/>
          <w:b/>
          <w:sz w:val="24"/>
          <w:szCs w:val="24"/>
          <w:lang w:eastAsia="en-ZA"/>
        </w:rPr>
        <w:t>THE STATE</w:t>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r>
      <w:r w:rsidR="001A4B03">
        <w:rPr>
          <w:rFonts w:ascii="Arial" w:eastAsia="Times New Roman" w:hAnsi="Arial" w:cs="Arial"/>
          <w:b/>
          <w:sz w:val="24"/>
          <w:szCs w:val="24"/>
          <w:lang w:eastAsia="en-ZA"/>
        </w:rPr>
        <w:tab/>
        <w:t>RESPONDENT</w:t>
      </w:r>
      <w:r w:rsidRPr="003D3397">
        <w:rPr>
          <w:rFonts w:ascii="Arial" w:eastAsia="Times New Roman" w:hAnsi="Arial" w:cs="Arial"/>
          <w:b/>
          <w:sz w:val="24"/>
          <w:szCs w:val="24"/>
          <w:lang w:val="en-GB"/>
        </w:rPr>
        <w:tab/>
      </w:r>
      <w:r w:rsidRPr="003D3397">
        <w:rPr>
          <w:rFonts w:ascii="Arial" w:eastAsia="Times New Roman" w:hAnsi="Arial" w:cs="Arial"/>
          <w:b/>
          <w:sz w:val="24"/>
          <w:szCs w:val="24"/>
          <w:lang w:val="en-GB"/>
        </w:rPr>
        <w:tab/>
      </w:r>
    </w:p>
    <w:p w14:paraId="54FD1EE7" w14:textId="2479A86E" w:rsidR="00C66F95" w:rsidRPr="003D3397" w:rsidRDefault="00C66F95" w:rsidP="00C66F95">
      <w:pPr>
        <w:spacing w:after="0" w:line="360" w:lineRule="auto"/>
        <w:jc w:val="both"/>
        <w:rPr>
          <w:rFonts w:ascii="Arial" w:eastAsia="Times New Roman" w:hAnsi="Arial" w:cs="Arial"/>
          <w:sz w:val="24"/>
          <w:szCs w:val="24"/>
          <w:lang w:eastAsia="en-ZA"/>
        </w:rPr>
      </w:pPr>
      <w:r w:rsidRPr="003D3397">
        <w:rPr>
          <w:rFonts w:ascii="Arial" w:eastAsia="Times New Roman" w:hAnsi="Arial" w:cs="Arial"/>
          <w:b/>
          <w:sz w:val="24"/>
          <w:szCs w:val="24"/>
          <w:lang w:eastAsia="en-ZA"/>
        </w:rPr>
        <w:t>Neutral citation</w:t>
      </w:r>
      <w:r w:rsidRPr="003D3397">
        <w:rPr>
          <w:rFonts w:ascii="Arial" w:eastAsia="Times New Roman" w:hAnsi="Arial" w:cs="Arial"/>
          <w:i/>
          <w:sz w:val="24"/>
          <w:szCs w:val="24"/>
          <w:lang w:eastAsia="en-ZA"/>
        </w:rPr>
        <w:t xml:space="preserve">: </w:t>
      </w:r>
      <w:r w:rsidR="001A4B03" w:rsidRPr="001A4B03">
        <w:rPr>
          <w:rFonts w:ascii="Arial" w:eastAsia="Times New Roman" w:hAnsi="Arial" w:cs="Arial"/>
          <w:sz w:val="24"/>
          <w:szCs w:val="24"/>
          <w:lang w:eastAsia="en-ZA"/>
        </w:rPr>
        <w:t>Katale v S</w:t>
      </w:r>
      <w:r w:rsidRPr="003D3397">
        <w:rPr>
          <w:rFonts w:ascii="Arial" w:eastAsia="Times New Roman" w:hAnsi="Arial" w:cs="Arial"/>
          <w:i/>
          <w:sz w:val="24"/>
          <w:szCs w:val="24"/>
          <w:lang w:eastAsia="en-ZA"/>
        </w:rPr>
        <w:t xml:space="preserve"> </w:t>
      </w:r>
      <w:r w:rsidRPr="003D3397">
        <w:rPr>
          <w:rFonts w:ascii="Arial" w:eastAsia="Times New Roman" w:hAnsi="Arial" w:cs="Arial"/>
          <w:sz w:val="24"/>
          <w:szCs w:val="24"/>
          <w:lang w:eastAsia="en-ZA"/>
        </w:rPr>
        <w:t>(CC 5/2021) [202</w:t>
      </w:r>
      <w:r w:rsidR="0017669E">
        <w:rPr>
          <w:rFonts w:ascii="Arial" w:eastAsia="Times New Roman" w:hAnsi="Arial" w:cs="Arial"/>
          <w:sz w:val="24"/>
          <w:szCs w:val="24"/>
          <w:lang w:eastAsia="en-ZA"/>
        </w:rPr>
        <w:t>4</w:t>
      </w:r>
      <w:r w:rsidRPr="003D3397">
        <w:rPr>
          <w:rFonts w:ascii="Arial" w:eastAsia="Times New Roman" w:hAnsi="Arial" w:cs="Arial"/>
          <w:sz w:val="24"/>
          <w:szCs w:val="24"/>
          <w:lang w:eastAsia="en-ZA"/>
        </w:rPr>
        <w:t xml:space="preserve">] NAHCNLD </w:t>
      </w:r>
      <w:r w:rsidR="00B0336E">
        <w:rPr>
          <w:rFonts w:ascii="Arial" w:eastAsia="Times New Roman" w:hAnsi="Arial" w:cs="Arial"/>
          <w:sz w:val="24"/>
          <w:szCs w:val="24"/>
          <w:lang w:eastAsia="en-ZA"/>
        </w:rPr>
        <w:t>09</w:t>
      </w:r>
      <w:r w:rsidRPr="003D3397">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26 January </w:t>
      </w:r>
      <w:r w:rsidRPr="003D3397">
        <w:rPr>
          <w:rFonts w:ascii="Arial" w:eastAsia="Times New Roman" w:hAnsi="Arial" w:cs="Arial"/>
          <w:sz w:val="24"/>
          <w:szCs w:val="24"/>
          <w:lang w:eastAsia="en-ZA"/>
        </w:rPr>
        <w:t>202</w:t>
      </w:r>
      <w:r>
        <w:rPr>
          <w:rFonts w:ascii="Arial" w:eastAsia="Times New Roman" w:hAnsi="Arial" w:cs="Arial"/>
          <w:sz w:val="24"/>
          <w:szCs w:val="24"/>
          <w:lang w:eastAsia="en-ZA"/>
        </w:rPr>
        <w:t>4</w:t>
      </w:r>
      <w:r w:rsidRPr="003D3397">
        <w:rPr>
          <w:rFonts w:ascii="Arial" w:eastAsia="Times New Roman" w:hAnsi="Arial" w:cs="Arial"/>
          <w:sz w:val="24"/>
          <w:szCs w:val="24"/>
          <w:lang w:eastAsia="en-ZA"/>
        </w:rPr>
        <w:t>)</w:t>
      </w:r>
    </w:p>
    <w:p w14:paraId="0D976DF2" w14:textId="77777777" w:rsidR="00C66F95" w:rsidRPr="003D3397" w:rsidRDefault="00C66F95" w:rsidP="00C66F95">
      <w:pPr>
        <w:spacing w:after="0" w:line="360" w:lineRule="auto"/>
        <w:ind w:left="2160" w:hanging="2160"/>
        <w:jc w:val="both"/>
        <w:rPr>
          <w:rFonts w:ascii="Arial" w:eastAsia="Times New Roman" w:hAnsi="Arial" w:cs="Arial"/>
          <w:sz w:val="24"/>
          <w:szCs w:val="24"/>
          <w:lang w:eastAsia="en-ZA"/>
        </w:rPr>
      </w:pPr>
    </w:p>
    <w:p w14:paraId="05619138" w14:textId="77777777" w:rsidR="00C66F95" w:rsidRPr="003D3397" w:rsidRDefault="00C66F95" w:rsidP="00C66F95">
      <w:pPr>
        <w:spacing w:after="0" w:line="360" w:lineRule="auto"/>
        <w:ind w:left="1440" w:hanging="1440"/>
        <w:jc w:val="both"/>
        <w:rPr>
          <w:rFonts w:ascii="Arial" w:eastAsia="Times New Roman" w:hAnsi="Arial" w:cs="Arial"/>
          <w:b/>
          <w:sz w:val="24"/>
          <w:szCs w:val="24"/>
          <w:lang w:eastAsia="en-ZA"/>
        </w:rPr>
      </w:pPr>
      <w:r w:rsidRPr="003D3397">
        <w:rPr>
          <w:rFonts w:ascii="Arial" w:eastAsia="Times New Roman" w:hAnsi="Arial" w:cs="Arial"/>
          <w:b/>
          <w:sz w:val="24"/>
          <w:szCs w:val="24"/>
          <w:lang w:eastAsia="en-ZA"/>
        </w:rPr>
        <w:t>Coram:</w:t>
      </w:r>
      <w:r w:rsidRPr="003D3397">
        <w:rPr>
          <w:rFonts w:ascii="Arial" w:eastAsia="Times New Roman" w:hAnsi="Arial" w:cs="Arial"/>
          <w:b/>
          <w:sz w:val="24"/>
          <w:szCs w:val="24"/>
          <w:lang w:eastAsia="en-ZA"/>
        </w:rPr>
        <w:tab/>
      </w:r>
      <w:r w:rsidRPr="003D3397">
        <w:rPr>
          <w:rFonts w:ascii="Arial" w:eastAsia="Times New Roman" w:hAnsi="Arial" w:cs="Arial"/>
          <w:b/>
          <w:sz w:val="24"/>
          <w:szCs w:val="24"/>
          <w:lang w:eastAsia="en-ZA"/>
        </w:rPr>
        <w:tab/>
      </w:r>
      <w:r w:rsidRPr="003D3397">
        <w:rPr>
          <w:rFonts w:ascii="Arial" w:eastAsia="Times New Roman" w:hAnsi="Arial" w:cs="Arial"/>
          <w:sz w:val="24"/>
          <w:szCs w:val="24"/>
          <w:lang w:eastAsia="en-ZA"/>
        </w:rPr>
        <w:t>SMALL, AJ</w:t>
      </w:r>
    </w:p>
    <w:p w14:paraId="0B0CBC95" w14:textId="2B09260F" w:rsidR="00C66F95" w:rsidRPr="003D3397" w:rsidRDefault="00C66F95" w:rsidP="00C66F95">
      <w:pPr>
        <w:spacing w:after="0" w:line="360" w:lineRule="auto"/>
        <w:ind w:left="2160" w:hanging="2160"/>
        <w:rPr>
          <w:rFonts w:ascii="Arial" w:eastAsia="Times New Roman" w:hAnsi="Arial" w:cs="Arial"/>
          <w:b/>
          <w:sz w:val="24"/>
          <w:szCs w:val="24"/>
          <w:lang w:eastAsia="en-ZA"/>
        </w:rPr>
      </w:pPr>
      <w:r w:rsidRPr="003D3397">
        <w:rPr>
          <w:rFonts w:ascii="Arial" w:eastAsia="Times New Roman" w:hAnsi="Arial" w:cs="Arial"/>
          <w:b/>
          <w:bCs/>
          <w:sz w:val="24"/>
          <w:szCs w:val="24"/>
          <w:lang w:eastAsia="en-ZA"/>
        </w:rPr>
        <w:t>Heard</w:t>
      </w:r>
      <w:r w:rsidRPr="003D3397">
        <w:rPr>
          <w:rFonts w:ascii="Arial" w:eastAsia="Times New Roman" w:hAnsi="Arial" w:cs="Arial"/>
          <w:b/>
          <w:sz w:val="24"/>
          <w:szCs w:val="24"/>
          <w:lang w:eastAsia="en-ZA"/>
        </w:rPr>
        <w:t>:</w:t>
      </w:r>
      <w:r w:rsidRPr="003D3397">
        <w:rPr>
          <w:rFonts w:ascii="Arial" w:eastAsia="Times New Roman" w:hAnsi="Arial" w:cs="Arial"/>
          <w:b/>
          <w:sz w:val="24"/>
          <w:szCs w:val="24"/>
          <w:lang w:eastAsia="en-ZA"/>
        </w:rPr>
        <w:tab/>
      </w:r>
      <w:r>
        <w:rPr>
          <w:rFonts w:ascii="Arial" w:eastAsia="Times New Roman" w:hAnsi="Arial" w:cs="Arial"/>
          <w:b/>
          <w:sz w:val="24"/>
          <w:szCs w:val="24"/>
          <w:lang w:eastAsia="en-ZA"/>
        </w:rPr>
        <w:t>23 October 2023, and 22-23 January 2024</w:t>
      </w:r>
    </w:p>
    <w:p w14:paraId="02AB4C31" w14:textId="3D10DF27" w:rsidR="00C66F95" w:rsidRPr="003D3397" w:rsidRDefault="00C66F95" w:rsidP="00C66F95">
      <w:pPr>
        <w:spacing w:after="0" w:line="360" w:lineRule="auto"/>
        <w:rPr>
          <w:rFonts w:ascii="Arial" w:eastAsia="Times New Roman" w:hAnsi="Arial" w:cs="Arial"/>
          <w:b/>
          <w:sz w:val="24"/>
          <w:szCs w:val="24"/>
          <w:lang w:eastAsia="en-ZA"/>
        </w:rPr>
      </w:pPr>
      <w:r w:rsidRPr="003D3397">
        <w:rPr>
          <w:rFonts w:ascii="Arial" w:eastAsia="Times New Roman" w:hAnsi="Arial" w:cs="Arial"/>
          <w:b/>
          <w:bCs/>
          <w:sz w:val="24"/>
          <w:szCs w:val="24"/>
          <w:lang w:eastAsia="en-ZA"/>
        </w:rPr>
        <w:t>Delivered</w:t>
      </w:r>
      <w:r w:rsidRPr="003D3397">
        <w:rPr>
          <w:rFonts w:ascii="Arial" w:eastAsia="Times New Roman" w:hAnsi="Arial" w:cs="Arial"/>
          <w:b/>
          <w:sz w:val="24"/>
          <w:szCs w:val="24"/>
          <w:lang w:eastAsia="en-ZA"/>
        </w:rPr>
        <w:t>:</w:t>
      </w:r>
      <w:r w:rsidRPr="003D3397">
        <w:rPr>
          <w:rFonts w:ascii="Arial" w:eastAsia="Times New Roman" w:hAnsi="Arial" w:cs="Arial"/>
          <w:b/>
          <w:sz w:val="24"/>
          <w:szCs w:val="24"/>
          <w:lang w:eastAsia="en-ZA"/>
        </w:rPr>
        <w:tab/>
      </w:r>
      <w:r w:rsidRPr="003D3397">
        <w:rPr>
          <w:rFonts w:ascii="Arial" w:eastAsia="Times New Roman" w:hAnsi="Arial" w:cs="Arial"/>
          <w:b/>
          <w:sz w:val="24"/>
          <w:szCs w:val="24"/>
          <w:lang w:eastAsia="en-ZA"/>
        </w:rPr>
        <w:tab/>
      </w:r>
      <w:r w:rsidRPr="00C66F95">
        <w:rPr>
          <w:rFonts w:ascii="Arial" w:eastAsia="Times New Roman" w:hAnsi="Arial" w:cs="Arial"/>
          <w:b/>
          <w:bCs/>
          <w:sz w:val="24"/>
          <w:szCs w:val="24"/>
          <w:lang w:eastAsia="en-ZA"/>
        </w:rPr>
        <w:t>26 January 2024</w:t>
      </w:r>
    </w:p>
    <w:p w14:paraId="00969FCA" w14:textId="77777777" w:rsidR="00C66F95" w:rsidRPr="003D3397" w:rsidRDefault="00C66F95" w:rsidP="00C66F95">
      <w:pPr>
        <w:spacing w:after="0" w:line="360" w:lineRule="auto"/>
        <w:rPr>
          <w:rFonts w:ascii="Arial" w:eastAsia="Times New Roman" w:hAnsi="Arial" w:cs="Arial"/>
          <w:sz w:val="24"/>
          <w:szCs w:val="24"/>
          <w:lang w:eastAsia="en-ZA"/>
        </w:rPr>
      </w:pPr>
    </w:p>
    <w:p w14:paraId="2D7CAD67" w14:textId="69D8DBA3" w:rsidR="00C66F95" w:rsidRPr="003D3397" w:rsidRDefault="00C66F95" w:rsidP="00C66F95">
      <w:pPr>
        <w:spacing w:after="0" w:line="360" w:lineRule="auto"/>
        <w:jc w:val="both"/>
        <w:rPr>
          <w:rFonts w:ascii="Arial" w:hAnsi="Arial" w:cs="Arial"/>
          <w:sz w:val="24"/>
          <w:szCs w:val="24"/>
        </w:rPr>
      </w:pPr>
      <w:r w:rsidRPr="003D3397">
        <w:rPr>
          <w:rFonts w:ascii="Arial" w:hAnsi="Arial" w:cs="Arial"/>
          <w:b/>
          <w:sz w:val="24"/>
          <w:szCs w:val="24"/>
        </w:rPr>
        <w:t>Flynote:</w:t>
      </w:r>
      <w:r w:rsidRPr="003D3397">
        <w:rPr>
          <w:rFonts w:ascii="Arial" w:hAnsi="Arial" w:cs="Arial"/>
          <w:sz w:val="24"/>
          <w:szCs w:val="24"/>
        </w:rPr>
        <w:tab/>
      </w:r>
      <w:bookmarkStart w:id="1" w:name="_Hlk157158727"/>
      <w:r w:rsidR="00AD5BDE">
        <w:rPr>
          <w:rFonts w:ascii="Arial" w:hAnsi="Arial" w:cs="Arial"/>
          <w:sz w:val="24"/>
          <w:szCs w:val="24"/>
        </w:rPr>
        <w:t xml:space="preserve">Criminal Procedure-Application for leave to appeal in terms of section 316(1) of the Criminal Procedure Act 51 of 1977- </w:t>
      </w:r>
      <w:bookmarkEnd w:id="1"/>
      <w:r w:rsidR="00AD5BDE" w:rsidRPr="000B0569">
        <w:rPr>
          <w:rFonts w:ascii="Arial" w:hAnsi="Arial" w:cs="Arial"/>
          <w:sz w:val="24"/>
          <w:szCs w:val="24"/>
        </w:rPr>
        <w:t>Reasonable prospect of success means the Judge dealing with an application for leave to appeal must be satisfied that, on the facts or conclusions of law involved, the Court of Appeal may take a different view and come to a different conclusion</w:t>
      </w:r>
      <w:r w:rsidR="00AD5BDE">
        <w:rPr>
          <w:rFonts w:ascii="Arial" w:hAnsi="Arial" w:cs="Arial"/>
          <w:sz w:val="24"/>
          <w:szCs w:val="24"/>
        </w:rPr>
        <w:t>.</w:t>
      </w:r>
    </w:p>
    <w:p w14:paraId="0BFF1F75" w14:textId="77777777" w:rsidR="00C66F95" w:rsidRPr="003D3397" w:rsidRDefault="00C66F95" w:rsidP="00C66F95">
      <w:pPr>
        <w:widowControl w:val="0"/>
        <w:autoSpaceDE w:val="0"/>
        <w:autoSpaceDN w:val="0"/>
        <w:spacing w:after="0" w:line="240" w:lineRule="auto"/>
        <w:ind w:right="96"/>
        <w:jc w:val="both"/>
        <w:rPr>
          <w:rFonts w:ascii="Arial" w:hAnsi="Arial" w:cs="Arial"/>
          <w:sz w:val="24"/>
          <w:szCs w:val="24"/>
          <w:lang w:val="en-GB"/>
        </w:rPr>
      </w:pPr>
    </w:p>
    <w:p w14:paraId="76926D52" w14:textId="36B7D37E" w:rsidR="00C66F95" w:rsidRDefault="00AD5BDE" w:rsidP="00C66F95">
      <w:pPr>
        <w:spacing w:after="0" w:line="360" w:lineRule="auto"/>
        <w:jc w:val="both"/>
        <w:rPr>
          <w:rFonts w:ascii="Arial" w:hAnsi="Arial" w:cs="Arial"/>
        </w:rPr>
      </w:pPr>
      <w:r>
        <w:rPr>
          <w:rFonts w:ascii="Arial" w:hAnsi="Arial" w:cs="Arial"/>
          <w:sz w:val="24"/>
          <w:szCs w:val="24"/>
        </w:rPr>
        <w:t>Criminal Procedure-Application for leave to appeal in terms of section 316(1) of the Criminal Procedure Act 51 of 1977-T</w:t>
      </w:r>
      <w:r w:rsidRPr="00B80455">
        <w:rPr>
          <w:rFonts w:ascii="Arial" w:hAnsi="Arial" w:cs="Arial"/>
        </w:rPr>
        <w:t xml:space="preserve">he trial judge, </w:t>
      </w:r>
      <w:r w:rsidR="00D31854">
        <w:rPr>
          <w:rFonts w:ascii="Arial" w:hAnsi="Arial" w:cs="Arial"/>
        </w:rPr>
        <w:t xml:space="preserve">hearing the application </w:t>
      </w:r>
      <w:r w:rsidRPr="00B80455">
        <w:rPr>
          <w:rFonts w:ascii="Arial" w:hAnsi="Arial" w:cs="Arial"/>
        </w:rPr>
        <w:t xml:space="preserve">must disabuse his mind of the fact that he himself has no reasonable doubt as to the guilt of the accused: he </w:t>
      </w:r>
      <w:r w:rsidRPr="00B80455">
        <w:rPr>
          <w:rFonts w:ascii="Arial" w:hAnsi="Arial" w:cs="Arial"/>
        </w:rPr>
        <w:lastRenderedPageBreak/>
        <w:t>must ask himself whether there is a reasonable prospect that the judges of appeal will take a different view</w:t>
      </w:r>
      <w:r w:rsidR="00D31854">
        <w:rPr>
          <w:rFonts w:ascii="Arial" w:hAnsi="Arial" w:cs="Arial"/>
        </w:rPr>
        <w:t>.</w:t>
      </w:r>
    </w:p>
    <w:p w14:paraId="04DF7C24" w14:textId="77777777" w:rsidR="00D31854" w:rsidRPr="003D3397" w:rsidRDefault="00D31854" w:rsidP="00C66F95">
      <w:pPr>
        <w:spacing w:after="0" w:line="360" w:lineRule="auto"/>
        <w:jc w:val="both"/>
        <w:rPr>
          <w:rFonts w:ascii="Arial" w:hAnsi="Arial" w:cs="Arial"/>
          <w:b/>
          <w:sz w:val="24"/>
          <w:szCs w:val="24"/>
        </w:rPr>
      </w:pPr>
    </w:p>
    <w:p w14:paraId="6A78D6B3" w14:textId="676CB22C" w:rsidR="00C66F95" w:rsidRPr="003D3397" w:rsidRDefault="00C66F95" w:rsidP="00C66F95">
      <w:pPr>
        <w:spacing w:after="0" w:line="360" w:lineRule="auto"/>
        <w:jc w:val="both"/>
        <w:rPr>
          <w:rFonts w:ascii="Arial" w:hAnsi="Arial" w:cs="Arial"/>
          <w:sz w:val="24"/>
          <w:szCs w:val="24"/>
        </w:rPr>
      </w:pPr>
      <w:r w:rsidRPr="003D3397">
        <w:rPr>
          <w:rFonts w:ascii="Arial" w:hAnsi="Arial" w:cs="Arial"/>
          <w:b/>
          <w:sz w:val="24"/>
          <w:szCs w:val="24"/>
        </w:rPr>
        <w:t>Summary:</w:t>
      </w:r>
      <w:r w:rsidRPr="003D3397">
        <w:rPr>
          <w:rFonts w:ascii="Arial" w:hAnsi="Arial" w:cs="Arial"/>
          <w:sz w:val="24"/>
          <w:szCs w:val="24"/>
        </w:rPr>
        <w:t xml:space="preserve"> </w:t>
      </w:r>
      <w:r w:rsidRPr="003D3397">
        <w:rPr>
          <w:rFonts w:ascii="Arial" w:hAnsi="Arial" w:cs="Arial"/>
          <w:sz w:val="24"/>
          <w:szCs w:val="24"/>
        </w:rPr>
        <w:tab/>
        <w:t xml:space="preserve"> </w:t>
      </w:r>
      <w:r w:rsidR="007F3E81">
        <w:rPr>
          <w:rFonts w:ascii="Arial" w:hAnsi="Arial" w:cs="Arial"/>
          <w:sz w:val="24"/>
          <w:szCs w:val="24"/>
        </w:rPr>
        <w:t>T</w:t>
      </w:r>
      <w:r w:rsidR="007F3E81" w:rsidRPr="000255AD">
        <w:rPr>
          <w:rFonts w:ascii="Arial" w:eastAsia="Times New Roman" w:hAnsi="Arial" w:cs="Arial"/>
          <w:sz w:val="24"/>
          <w:szCs w:val="24"/>
          <w:lang w:eastAsia="en-ZA"/>
        </w:rPr>
        <w:t xml:space="preserve">he Applicant </w:t>
      </w:r>
      <w:r w:rsidR="00D31854">
        <w:rPr>
          <w:rFonts w:ascii="Arial" w:eastAsia="Times New Roman" w:hAnsi="Arial" w:cs="Arial"/>
          <w:sz w:val="24"/>
          <w:szCs w:val="24"/>
          <w:lang w:eastAsia="en-ZA"/>
        </w:rPr>
        <w:t>were arraigned on</w:t>
      </w:r>
      <w:r w:rsidR="007F3E81" w:rsidRPr="000255AD">
        <w:rPr>
          <w:rFonts w:ascii="Arial" w:eastAsia="Times New Roman" w:hAnsi="Arial" w:cs="Arial"/>
          <w:sz w:val="24"/>
          <w:szCs w:val="24"/>
          <w:lang w:eastAsia="en-ZA"/>
        </w:rPr>
        <w:t xml:space="preserve"> charges of Arson and Murder read with the Combating of Domestic Violence Act, 4 of 2003. During the trial, the Applicant pleaded not guilty to both counts, raised an alibi, and denied involvement in committing the two crimes.</w:t>
      </w:r>
      <w:r w:rsidR="00AD5BDE" w:rsidRPr="00AD5BDE">
        <w:rPr>
          <w:rFonts w:ascii="Arial" w:eastAsia="Times New Roman" w:hAnsi="Arial" w:cs="Arial"/>
          <w:sz w:val="24"/>
          <w:szCs w:val="24"/>
          <w:lang w:eastAsia="en-ZA"/>
        </w:rPr>
        <w:t xml:space="preserve"> </w:t>
      </w:r>
      <w:r w:rsidR="00AD5BDE" w:rsidRPr="000255AD">
        <w:rPr>
          <w:rFonts w:ascii="Arial" w:eastAsia="Times New Roman" w:hAnsi="Arial" w:cs="Arial"/>
          <w:sz w:val="24"/>
          <w:szCs w:val="24"/>
          <w:lang w:eastAsia="en-ZA"/>
        </w:rPr>
        <w:t xml:space="preserve">The Court found that two witnesses recognised and correctly identified the </w:t>
      </w:r>
      <w:r w:rsidR="00D31854" w:rsidRPr="000255AD">
        <w:rPr>
          <w:rFonts w:ascii="Arial" w:eastAsia="Times New Roman" w:hAnsi="Arial" w:cs="Arial"/>
          <w:sz w:val="24"/>
          <w:szCs w:val="24"/>
          <w:lang w:eastAsia="en-ZA"/>
        </w:rPr>
        <w:t>Applicant,</w:t>
      </w:r>
      <w:r w:rsidR="00AD5BDE" w:rsidRPr="000255AD">
        <w:rPr>
          <w:rFonts w:ascii="Arial" w:eastAsia="Times New Roman" w:hAnsi="Arial" w:cs="Arial"/>
          <w:sz w:val="24"/>
          <w:szCs w:val="24"/>
          <w:lang w:eastAsia="en-ZA"/>
        </w:rPr>
        <w:t xml:space="preserve"> and that corroborating evidence strengthened </w:t>
      </w:r>
      <w:r w:rsidR="00AD5BDE">
        <w:rPr>
          <w:rFonts w:ascii="Arial" w:eastAsia="Times New Roman" w:hAnsi="Arial" w:cs="Arial"/>
          <w:sz w:val="24"/>
          <w:szCs w:val="24"/>
          <w:lang w:eastAsia="en-ZA"/>
        </w:rPr>
        <w:t xml:space="preserve">the </w:t>
      </w:r>
      <w:r w:rsidR="00AD5BDE" w:rsidRPr="000255AD">
        <w:rPr>
          <w:rFonts w:ascii="Arial" w:eastAsia="Times New Roman" w:hAnsi="Arial" w:cs="Arial"/>
          <w:sz w:val="24"/>
          <w:szCs w:val="24"/>
          <w:lang w:eastAsia="en-ZA"/>
        </w:rPr>
        <w:t>evidence of these witnesses’ identification. The Court concluded that the Applicant’s denial of being the arsonist and the deceased’s assailant was false beyond reasonable doubt and convicted him</w:t>
      </w:r>
      <w:r w:rsidR="00AD5BDE" w:rsidRPr="003D3397">
        <w:rPr>
          <w:rFonts w:ascii="Arial" w:hAnsi="Arial" w:cs="Arial"/>
          <w:sz w:val="24"/>
          <w:szCs w:val="24"/>
        </w:rPr>
        <w:t>.</w:t>
      </w:r>
    </w:p>
    <w:p w14:paraId="01DA81F2" w14:textId="77777777" w:rsidR="00D31854" w:rsidRDefault="00D31854" w:rsidP="00C66F95">
      <w:pPr>
        <w:spacing w:after="0" w:line="360" w:lineRule="auto"/>
        <w:jc w:val="both"/>
        <w:rPr>
          <w:rFonts w:ascii="Arial" w:hAnsi="Arial" w:cs="Arial"/>
          <w:sz w:val="24"/>
          <w:szCs w:val="24"/>
        </w:rPr>
      </w:pPr>
      <w:r w:rsidRPr="00D31854">
        <w:rPr>
          <w:rFonts w:ascii="Arial" w:hAnsi="Arial" w:cs="Arial"/>
          <w:sz w:val="24"/>
          <w:szCs w:val="24"/>
        </w:rPr>
        <w:t xml:space="preserve">In the application for leave to appeal, Applicant’s counsel argued that there are reasonable prospects that another Court might apply the cautionary rule on identification differently and find no credible evidence identifying the Applicant or that there was inadequate corroboration to accept the evidence of the identifying witnesses. </w:t>
      </w:r>
    </w:p>
    <w:p w14:paraId="5ABD561B" w14:textId="6CAE9D6E" w:rsidR="00C66F95" w:rsidRPr="003D3397" w:rsidRDefault="00D31854" w:rsidP="00C66F95">
      <w:pPr>
        <w:spacing w:after="0" w:line="360" w:lineRule="auto"/>
        <w:jc w:val="both"/>
        <w:rPr>
          <w:rFonts w:ascii="Arial" w:hAnsi="Arial" w:cs="Arial"/>
          <w:sz w:val="24"/>
          <w:szCs w:val="24"/>
        </w:rPr>
      </w:pPr>
      <w:r w:rsidRPr="00D31854">
        <w:rPr>
          <w:rFonts w:ascii="Arial" w:hAnsi="Arial" w:cs="Arial"/>
          <w:sz w:val="24"/>
          <w:szCs w:val="24"/>
        </w:rPr>
        <w:t>The Court granted the Applicant leave to appeal against both convictions.</w:t>
      </w:r>
    </w:p>
    <w:p w14:paraId="2C9D2333" w14:textId="77777777" w:rsidR="00C66F95" w:rsidRPr="003D3397" w:rsidRDefault="00C66F95" w:rsidP="00C66F95">
      <w:pPr>
        <w:pBdr>
          <w:bottom w:val="single" w:sz="12" w:space="1" w:color="auto"/>
        </w:pBdr>
        <w:spacing w:after="0" w:line="240" w:lineRule="auto"/>
        <w:jc w:val="both"/>
        <w:rPr>
          <w:rFonts w:ascii="Arial" w:hAnsi="Arial" w:cs="Arial"/>
          <w:sz w:val="24"/>
          <w:szCs w:val="24"/>
        </w:rPr>
      </w:pPr>
    </w:p>
    <w:p w14:paraId="235C29C1" w14:textId="77777777" w:rsidR="00C66F95" w:rsidRPr="003D3397" w:rsidRDefault="00C66F95" w:rsidP="00C66F95">
      <w:pPr>
        <w:tabs>
          <w:tab w:val="left" w:pos="510"/>
          <w:tab w:val="center" w:pos="4680"/>
        </w:tabs>
        <w:spacing w:after="0" w:line="240" w:lineRule="auto"/>
        <w:jc w:val="both"/>
        <w:rPr>
          <w:rFonts w:ascii="Arial" w:eastAsia="Times New Roman" w:hAnsi="Arial" w:cs="Arial"/>
          <w:bCs/>
          <w:sz w:val="24"/>
          <w:szCs w:val="24"/>
          <w:lang w:eastAsia="en-ZA"/>
        </w:rPr>
      </w:pPr>
    </w:p>
    <w:p w14:paraId="21BA9CDE" w14:textId="77777777" w:rsidR="00C66F95" w:rsidRPr="003D3397" w:rsidRDefault="00C66F95" w:rsidP="00C66F95">
      <w:pPr>
        <w:pBdr>
          <w:bottom w:val="single" w:sz="12" w:space="1" w:color="auto"/>
        </w:pBdr>
        <w:tabs>
          <w:tab w:val="left" w:pos="510"/>
          <w:tab w:val="center" w:pos="4680"/>
        </w:tabs>
        <w:spacing w:after="0" w:line="240" w:lineRule="auto"/>
        <w:jc w:val="center"/>
        <w:rPr>
          <w:rFonts w:ascii="Arial" w:eastAsia="Times New Roman" w:hAnsi="Arial" w:cs="Arial"/>
          <w:b/>
          <w:bCs/>
          <w:sz w:val="24"/>
          <w:szCs w:val="24"/>
          <w:lang w:eastAsia="en-ZA"/>
        </w:rPr>
      </w:pPr>
      <w:r w:rsidRPr="003D3397">
        <w:rPr>
          <w:rFonts w:ascii="Arial" w:eastAsia="Times New Roman" w:hAnsi="Arial" w:cs="Arial"/>
          <w:b/>
          <w:bCs/>
          <w:sz w:val="24"/>
          <w:szCs w:val="24"/>
          <w:lang w:eastAsia="en-ZA"/>
        </w:rPr>
        <w:t>ORDER</w:t>
      </w:r>
    </w:p>
    <w:p w14:paraId="0F20BCA1" w14:textId="77777777" w:rsidR="00C66F95" w:rsidRPr="003D3397" w:rsidRDefault="00C66F95" w:rsidP="00C66F95">
      <w:pPr>
        <w:pBdr>
          <w:bottom w:val="single" w:sz="12" w:space="1" w:color="auto"/>
        </w:pBdr>
        <w:tabs>
          <w:tab w:val="left" w:pos="510"/>
          <w:tab w:val="center" w:pos="4680"/>
        </w:tabs>
        <w:spacing w:after="0" w:line="240" w:lineRule="auto"/>
        <w:jc w:val="center"/>
        <w:rPr>
          <w:rFonts w:ascii="Arial" w:eastAsia="Times New Roman" w:hAnsi="Arial" w:cs="Arial"/>
          <w:b/>
          <w:bCs/>
          <w:sz w:val="24"/>
          <w:szCs w:val="24"/>
          <w:lang w:eastAsia="en-ZA"/>
        </w:rPr>
      </w:pPr>
    </w:p>
    <w:p w14:paraId="75F12701" w14:textId="77777777" w:rsidR="00C66F95" w:rsidRPr="003D3397" w:rsidRDefault="00C66F95" w:rsidP="00C66F95">
      <w:pPr>
        <w:spacing w:after="0" w:line="360" w:lineRule="auto"/>
        <w:jc w:val="both"/>
        <w:rPr>
          <w:rFonts w:ascii="Arial" w:eastAsia="Times New Roman" w:hAnsi="Arial" w:cs="Arial"/>
          <w:bCs/>
          <w:sz w:val="24"/>
          <w:szCs w:val="24"/>
          <w:lang w:val="en-GB" w:eastAsia="en-ZA"/>
        </w:rPr>
      </w:pPr>
    </w:p>
    <w:p w14:paraId="312FAE68" w14:textId="22E79CFF" w:rsidR="00D31854" w:rsidRPr="00D31854" w:rsidRDefault="00D31854" w:rsidP="001A4B03">
      <w:pPr>
        <w:pStyle w:val="ListParagraph"/>
        <w:numPr>
          <w:ilvl w:val="0"/>
          <w:numId w:val="5"/>
        </w:numPr>
        <w:spacing w:line="360" w:lineRule="auto"/>
        <w:ind w:left="540" w:hanging="540"/>
        <w:jc w:val="both"/>
      </w:pPr>
      <w:r w:rsidRPr="00D31854">
        <w:t xml:space="preserve">The Respondent’s Point </w:t>
      </w:r>
      <w:r w:rsidRPr="001A4B03">
        <w:rPr>
          <w:i/>
        </w:rPr>
        <w:t>in Limine</w:t>
      </w:r>
      <w:r w:rsidRPr="00D31854">
        <w:t xml:space="preserve"> is dismissed.</w:t>
      </w:r>
    </w:p>
    <w:p w14:paraId="4D046289" w14:textId="58E9B2AA" w:rsidR="00D31854" w:rsidRPr="00D31854" w:rsidRDefault="00D31854" w:rsidP="001A4B03">
      <w:pPr>
        <w:pStyle w:val="ListParagraph"/>
        <w:numPr>
          <w:ilvl w:val="0"/>
          <w:numId w:val="5"/>
        </w:numPr>
        <w:spacing w:line="360" w:lineRule="auto"/>
        <w:ind w:left="540" w:hanging="540"/>
        <w:jc w:val="both"/>
      </w:pPr>
      <w:r w:rsidRPr="00D31854">
        <w:t xml:space="preserve">The Applicant’s Application for the late filing of his leave to appeal is condoned, and </w:t>
      </w:r>
    </w:p>
    <w:p w14:paraId="4AA4F83A" w14:textId="3A0D7EAF" w:rsidR="001A4B03" w:rsidRPr="00D31854" w:rsidRDefault="00D31854" w:rsidP="001A4B03">
      <w:pPr>
        <w:pStyle w:val="ListParagraph"/>
        <w:numPr>
          <w:ilvl w:val="0"/>
          <w:numId w:val="5"/>
        </w:numPr>
        <w:spacing w:line="360" w:lineRule="auto"/>
        <w:ind w:left="540" w:hanging="540"/>
        <w:jc w:val="both"/>
      </w:pPr>
      <w:r w:rsidRPr="00D31854">
        <w:t>In terms of Section 316(1) of the Criminal Procedure Act, 51 of 1977 the Applicant is granted leave to appeal to the Supreme Court against his convictions of Arson and of Murder with direct intent to kill read with the provisions of the Combating of Domestic Violence Act, 4 of 2003.</w:t>
      </w:r>
    </w:p>
    <w:p w14:paraId="7F7ADD08" w14:textId="77777777" w:rsidR="00C66F95" w:rsidRPr="003D3397" w:rsidRDefault="00C66F95" w:rsidP="00C66F95">
      <w:pPr>
        <w:spacing w:after="0" w:line="240" w:lineRule="auto"/>
        <w:jc w:val="both"/>
        <w:rPr>
          <w:rFonts w:ascii="Arial" w:eastAsia="Times New Roman" w:hAnsi="Arial" w:cs="Arial"/>
          <w:bCs/>
          <w:sz w:val="24"/>
          <w:szCs w:val="24"/>
          <w:lang w:val="en-GB" w:eastAsia="en-ZA"/>
        </w:rPr>
      </w:pPr>
    </w:p>
    <w:p w14:paraId="277E81E1" w14:textId="77777777" w:rsidR="00C66F95" w:rsidRPr="003D3397" w:rsidRDefault="00C66F95" w:rsidP="00C66F95">
      <w:pPr>
        <w:pBdr>
          <w:top w:val="single" w:sz="12" w:space="1" w:color="auto"/>
          <w:bottom w:val="single" w:sz="12" w:space="1" w:color="auto"/>
        </w:pBdr>
        <w:tabs>
          <w:tab w:val="left" w:pos="510"/>
          <w:tab w:val="center" w:pos="4680"/>
        </w:tabs>
        <w:spacing w:after="0" w:line="240" w:lineRule="auto"/>
        <w:jc w:val="center"/>
        <w:rPr>
          <w:rFonts w:ascii="Arial" w:eastAsia="Times New Roman" w:hAnsi="Arial" w:cs="Arial"/>
          <w:b/>
          <w:bCs/>
          <w:sz w:val="24"/>
          <w:szCs w:val="24"/>
          <w:lang w:eastAsia="en-ZA"/>
        </w:rPr>
      </w:pPr>
    </w:p>
    <w:p w14:paraId="3B4965E3" w14:textId="77777777" w:rsidR="00C66F95" w:rsidRPr="003D3397" w:rsidRDefault="00C66F95" w:rsidP="00C66F95">
      <w:pPr>
        <w:pBdr>
          <w:top w:val="single" w:sz="12" w:space="1" w:color="auto"/>
          <w:bottom w:val="single" w:sz="12" w:space="1" w:color="auto"/>
        </w:pBdr>
        <w:tabs>
          <w:tab w:val="left" w:pos="510"/>
          <w:tab w:val="center" w:pos="4680"/>
        </w:tabs>
        <w:spacing w:after="0" w:line="480" w:lineRule="auto"/>
        <w:jc w:val="center"/>
        <w:rPr>
          <w:rFonts w:ascii="Arial" w:eastAsia="Times New Roman" w:hAnsi="Arial" w:cs="Arial"/>
          <w:b/>
          <w:bCs/>
          <w:sz w:val="24"/>
          <w:szCs w:val="24"/>
          <w:lang w:eastAsia="en-ZA"/>
        </w:rPr>
      </w:pPr>
      <w:r w:rsidRPr="003D3397">
        <w:rPr>
          <w:rFonts w:ascii="Arial" w:eastAsia="Times New Roman" w:hAnsi="Arial" w:cs="Arial"/>
          <w:b/>
          <w:bCs/>
          <w:sz w:val="24"/>
          <w:szCs w:val="24"/>
          <w:lang w:eastAsia="en-ZA"/>
        </w:rPr>
        <w:t>JUDGEMENT</w:t>
      </w:r>
    </w:p>
    <w:p w14:paraId="09D68471" w14:textId="77777777" w:rsidR="00C66F95" w:rsidRPr="003D3397" w:rsidRDefault="00C66F95" w:rsidP="00C66F95">
      <w:pPr>
        <w:widowControl w:val="0"/>
        <w:autoSpaceDE w:val="0"/>
        <w:autoSpaceDN w:val="0"/>
        <w:adjustRightInd w:val="0"/>
        <w:spacing w:after="0" w:line="360" w:lineRule="auto"/>
        <w:jc w:val="both"/>
        <w:rPr>
          <w:rFonts w:ascii="Arial" w:eastAsia="Times New Roman" w:hAnsi="Arial" w:cs="Arial"/>
          <w:sz w:val="24"/>
          <w:szCs w:val="24"/>
          <w:lang w:eastAsia="en-ZA"/>
        </w:rPr>
      </w:pPr>
    </w:p>
    <w:p w14:paraId="05A3A7C4" w14:textId="77777777" w:rsidR="00C66F95" w:rsidRPr="003D3397" w:rsidRDefault="00C66F95" w:rsidP="00C66F95">
      <w:pPr>
        <w:widowControl w:val="0"/>
        <w:autoSpaceDE w:val="0"/>
        <w:autoSpaceDN w:val="0"/>
        <w:adjustRightInd w:val="0"/>
        <w:spacing w:after="0" w:line="360" w:lineRule="auto"/>
        <w:jc w:val="both"/>
        <w:rPr>
          <w:rFonts w:ascii="Arial" w:eastAsia="Times New Roman" w:hAnsi="Arial" w:cs="Arial"/>
          <w:sz w:val="24"/>
          <w:szCs w:val="24"/>
          <w:lang w:eastAsia="en-ZA"/>
        </w:rPr>
      </w:pPr>
      <w:r w:rsidRPr="003D3397">
        <w:rPr>
          <w:rFonts w:ascii="Arial" w:eastAsia="Times New Roman" w:hAnsi="Arial" w:cs="Arial"/>
          <w:sz w:val="24"/>
          <w:szCs w:val="24"/>
          <w:lang w:eastAsia="en-ZA"/>
        </w:rPr>
        <w:t>SMALL AJ:</w:t>
      </w:r>
    </w:p>
    <w:p w14:paraId="7267ACF8" w14:textId="77777777" w:rsidR="00C66F95" w:rsidRPr="003D3397" w:rsidRDefault="00C66F95" w:rsidP="00C66F95">
      <w:pPr>
        <w:widowControl w:val="0"/>
        <w:autoSpaceDE w:val="0"/>
        <w:autoSpaceDN w:val="0"/>
        <w:adjustRightInd w:val="0"/>
        <w:spacing w:after="0" w:line="360" w:lineRule="auto"/>
        <w:jc w:val="both"/>
        <w:rPr>
          <w:rFonts w:ascii="Arial" w:eastAsia="Times New Roman" w:hAnsi="Arial" w:cs="Arial"/>
          <w:sz w:val="24"/>
          <w:szCs w:val="24"/>
          <w:lang w:eastAsia="en-ZA"/>
        </w:rPr>
      </w:pPr>
    </w:p>
    <w:p w14:paraId="0E638ABA" w14:textId="77777777" w:rsidR="00C66F95" w:rsidRPr="003D3397" w:rsidRDefault="00C66F95" w:rsidP="00C66F95">
      <w:pPr>
        <w:spacing w:after="0" w:line="360" w:lineRule="auto"/>
        <w:jc w:val="both"/>
        <w:rPr>
          <w:rFonts w:ascii="Arial" w:eastAsia="Times New Roman" w:hAnsi="Arial" w:cs="Arial"/>
          <w:sz w:val="24"/>
          <w:szCs w:val="24"/>
          <w:u w:val="single"/>
          <w:lang w:eastAsia="en-ZA"/>
        </w:rPr>
      </w:pPr>
      <w:r w:rsidRPr="003D3397">
        <w:rPr>
          <w:rFonts w:ascii="Arial" w:eastAsia="Times New Roman" w:hAnsi="Arial" w:cs="Arial"/>
          <w:sz w:val="24"/>
          <w:szCs w:val="24"/>
          <w:u w:val="single"/>
          <w:lang w:eastAsia="en-ZA"/>
        </w:rPr>
        <w:t>Introduction</w:t>
      </w:r>
    </w:p>
    <w:p w14:paraId="1BCDB2F3" w14:textId="77777777" w:rsidR="00C66F95" w:rsidRPr="003D3397" w:rsidRDefault="00C66F95" w:rsidP="00C66F95">
      <w:pPr>
        <w:spacing w:after="0" w:line="360" w:lineRule="auto"/>
        <w:jc w:val="both"/>
        <w:rPr>
          <w:rFonts w:ascii="Arial" w:eastAsia="Times New Roman" w:hAnsi="Arial" w:cs="Arial"/>
          <w:sz w:val="24"/>
          <w:szCs w:val="24"/>
          <w:u w:val="single"/>
          <w:lang w:eastAsia="en-ZA"/>
        </w:rPr>
      </w:pPr>
    </w:p>
    <w:p w14:paraId="099B7ACE" w14:textId="1B5305BF" w:rsidR="004F0588" w:rsidRDefault="00C66F95" w:rsidP="004F0588">
      <w:pPr>
        <w:spacing w:after="0" w:line="360" w:lineRule="auto"/>
        <w:jc w:val="both"/>
        <w:rPr>
          <w:rFonts w:ascii="Arial" w:hAnsi="Arial" w:cs="Arial"/>
          <w:sz w:val="24"/>
          <w:szCs w:val="24"/>
        </w:rPr>
      </w:pPr>
      <w:r w:rsidRPr="003D3397">
        <w:rPr>
          <w:rFonts w:ascii="Arial" w:eastAsia="Times New Roman" w:hAnsi="Arial" w:cs="Arial"/>
          <w:sz w:val="24"/>
          <w:szCs w:val="24"/>
          <w:lang w:eastAsia="en-ZA"/>
        </w:rPr>
        <w:t>[1]</w:t>
      </w:r>
      <w:r w:rsidRPr="003D3397">
        <w:rPr>
          <w:rFonts w:ascii="Arial" w:eastAsia="Times New Roman" w:hAnsi="Arial" w:cs="Arial"/>
          <w:sz w:val="24"/>
          <w:szCs w:val="24"/>
          <w:lang w:eastAsia="en-ZA"/>
        </w:rPr>
        <w:tab/>
      </w:r>
      <w:bookmarkStart w:id="2" w:name="_Hlk157157950"/>
      <w:r w:rsidR="000255AD" w:rsidRPr="000255AD">
        <w:rPr>
          <w:rFonts w:ascii="Arial" w:eastAsia="Times New Roman" w:hAnsi="Arial" w:cs="Arial"/>
          <w:sz w:val="24"/>
          <w:szCs w:val="24"/>
          <w:lang w:eastAsia="en-ZA"/>
        </w:rPr>
        <w:t xml:space="preserve">On 25 August 2022, the Court convicted the Applicant on charges of Arson and Murder read with the Combating of Domestic Violence Act, 4 of 2003. During the trial, the Applicant pleaded not guilty to both counts, raised an alibi, and denied involvement in committing the two crimes. </w:t>
      </w:r>
      <w:bookmarkStart w:id="3" w:name="_Hlk157158223"/>
      <w:bookmarkEnd w:id="2"/>
      <w:r w:rsidR="000255AD" w:rsidRPr="000255AD">
        <w:rPr>
          <w:rFonts w:ascii="Arial" w:eastAsia="Times New Roman" w:hAnsi="Arial" w:cs="Arial"/>
          <w:sz w:val="24"/>
          <w:szCs w:val="24"/>
          <w:lang w:eastAsia="en-ZA"/>
        </w:rPr>
        <w:t>The Court found that two witnesses recognised and correctly identified the Applicant and that corroborating evidence strengthened evidence of these witnesses’ identification. The Court concluded that the Applicant’s denial of being the arsonist and the deceased’s assailant was false beyond reasonable doubt and convicted him</w:t>
      </w:r>
      <w:r w:rsidR="004F0588" w:rsidRPr="003D3397">
        <w:rPr>
          <w:rFonts w:ascii="Arial" w:hAnsi="Arial" w:cs="Arial"/>
          <w:sz w:val="24"/>
          <w:szCs w:val="24"/>
        </w:rPr>
        <w:t>.</w:t>
      </w:r>
      <w:bookmarkEnd w:id="3"/>
      <w:r w:rsidR="00643905">
        <w:rPr>
          <w:rStyle w:val="FootnoteReference"/>
          <w:rFonts w:ascii="Arial" w:hAnsi="Arial" w:cs="Arial"/>
          <w:sz w:val="24"/>
          <w:szCs w:val="24"/>
        </w:rPr>
        <w:footnoteReference w:id="1"/>
      </w:r>
      <w:r w:rsidR="00643905">
        <w:rPr>
          <w:rFonts w:ascii="Arial" w:hAnsi="Arial" w:cs="Arial"/>
          <w:sz w:val="24"/>
          <w:szCs w:val="24"/>
        </w:rPr>
        <w:t xml:space="preserve"> </w:t>
      </w:r>
      <w:r w:rsidR="000255AD" w:rsidRPr="000255AD">
        <w:rPr>
          <w:rFonts w:ascii="Arial" w:hAnsi="Arial" w:cs="Arial"/>
          <w:sz w:val="24"/>
          <w:szCs w:val="24"/>
        </w:rPr>
        <w:t xml:space="preserve">He was subsequently sentenced on </w:t>
      </w:r>
      <w:bookmarkStart w:id="4" w:name="_Hlk156994124"/>
      <w:r w:rsidR="000255AD" w:rsidRPr="000255AD">
        <w:rPr>
          <w:rFonts w:ascii="Arial" w:hAnsi="Arial" w:cs="Arial"/>
          <w:sz w:val="24"/>
          <w:szCs w:val="24"/>
        </w:rPr>
        <w:t>2 September 2022</w:t>
      </w:r>
      <w:bookmarkEnd w:id="4"/>
      <w:r w:rsidR="00643905">
        <w:rPr>
          <w:rFonts w:ascii="Arial" w:hAnsi="Arial" w:cs="Arial"/>
          <w:sz w:val="24"/>
          <w:szCs w:val="24"/>
        </w:rPr>
        <w:t>.</w:t>
      </w:r>
      <w:r w:rsidR="00643905">
        <w:rPr>
          <w:rStyle w:val="FootnoteReference"/>
          <w:rFonts w:ascii="Arial" w:hAnsi="Arial" w:cs="Arial"/>
          <w:sz w:val="24"/>
          <w:szCs w:val="24"/>
        </w:rPr>
        <w:footnoteReference w:id="2"/>
      </w:r>
    </w:p>
    <w:p w14:paraId="7A649D32" w14:textId="77777777" w:rsidR="00643905" w:rsidRDefault="00643905" w:rsidP="004F0588">
      <w:pPr>
        <w:spacing w:after="0" w:line="360" w:lineRule="auto"/>
        <w:jc w:val="both"/>
        <w:rPr>
          <w:rFonts w:ascii="Arial" w:hAnsi="Arial" w:cs="Arial"/>
          <w:sz w:val="24"/>
          <w:szCs w:val="24"/>
        </w:rPr>
      </w:pPr>
    </w:p>
    <w:p w14:paraId="45CC7ED3" w14:textId="77777777" w:rsidR="00C75CD8" w:rsidRDefault="004F0588" w:rsidP="00C75CD8">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75CD8" w:rsidRPr="000255AD">
        <w:rPr>
          <w:rFonts w:ascii="Arial" w:hAnsi="Arial" w:cs="Arial"/>
          <w:sz w:val="24"/>
          <w:szCs w:val="24"/>
        </w:rPr>
        <w:t xml:space="preserve">He is </w:t>
      </w:r>
      <w:r w:rsidR="00C75CD8">
        <w:rPr>
          <w:rFonts w:ascii="Arial" w:hAnsi="Arial" w:cs="Arial"/>
          <w:sz w:val="24"/>
          <w:szCs w:val="24"/>
        </w:rPr>
        <w:t xml:space="preserve">now </w:t>
      </w:r>
      <w:r w:rsidR="00C75CD8" w:rsidRPr="000255AD">
        <w:rPr>
          <w:rFonts w:ascii="Arial" w:hAnsi="Arial" w:cs="Arial"/>
          <w:sz w:val="24"/>
          <w:szCs w:val="24"/>
        </w:rPr>
        <w:t>represented by Ms Nghifewa from the Directorate of Legal Aid Outapi, while Ms Shigwedha from the Office of the Prosecutor-General, Oshakati, represents the State. Both Counsels also appeared during the trial.</w:t>
      </w:r>
    </w:p>
    <w:p w14:paraId="12CDD949" w14:textId="77777777" w:rsidR="00C75CD8" w:rsidRDefault="00C75CD8" w:rsidP="00C75CD8">
      <w:pPr>
        <w:spacing w:after="0" w:line="360" w:lineRule="auto"/>
        <w:jc w:val="both"/>
        <w:rPr>
          <w:rFonts w:ascii="Arial" w:hAnsi="Arial" w:cs="Arial"/>
          <w:sz w:val="24"/>
          <w:szCs w:val="24"/>
        </w:rPr>
      </w:pPr>
    </w:p>
    <w:p w14:paraId="5BBCE561" w14:textId="38319C39" w:rsidR="000B0569" w:rsidRDefault="00C75CD8" w:rsidP="004F0588">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255AD" w:rsidRPr="000255AD">
        <w:rPr>
          <w:rFonts w:ascii="Arial" w:hAnsi="Arial" w:cs="Arial"/>
          <w:sz w:val="24"/>
          <w:szCs w:val="24"/>
        </w:rPr>
        <w:t xml:space="preserve">The Applicant now applies for leave to appeal </w:t>
      </w:r>
      <w:r w:rsidR="000B0569">
        <w:rPr>
          <w:rFonts w:ascii="Arial" w:hAnsi="Arial" w:cs="Arial"/>
          <w:sz w:val="24"/>
          <w:szCs w:val="24"/>
        </w:rPr>
        <w:t xml:space="preserve">on an amended application for leave to appeal filed on 12 January 2024 </w:t>
      </w:r>
      <w:r w:rsidR="000255AD" w:rsidRPr="000255AD">
        <w:rPr>
          <w:rFonts w:ascii="Arial" w:hAnsi="Arial" w:cs="Arial"/>
          <w:sz w:val="24"/>
          <w:szCs w:val="24"/>
        </w:rPr>
        <w:t xml:space="preserve">against the convictions mentioned above. </w:t>
      </w:r>
      <w:r w:rsidR="000B0569">
        <w:rPr>
          <w:rFonts w:ascii="Arial" w:hAnsi="Arial" w:cs="Arial"/>
          <w:sz w:val="24"/>
          <w:szCs w:val="24"/>
        </w:rPr>
        <w:t xml:space="preserve">This application is accompanied by a founding affidavit of the Applicant and a confirmatory affidavit by his counsel seeking for condonation for the late filing of his notice of appeal.  </w:t>
      </w:r>
    </w:p>
    <w:p w14:paraId="605D6069" w14:textId="77777777" w:rsidR="005B4B68" w:rsidRDefault="005B4B68" w:rsidP="004F0588">
      <w:pPr>
        <w:spacing w:after="0" w:line="360" w:lineRule="auto"/>
        <w:jc w:val="both"/>
        <w:rPr>
          <w:rFonts w:ascii="Arial" w:hAnsi="Arial" w:cs="Arial"/>
          <w:sz w:val="24"/>
          <w:szCs w:val="24"/>
        </w:rPr>
      </w:pPr>
    </w:p>
    <w:p w14:paraId="0128CE59" w14:textId="6171C2D8" w:rsidR="00C75CD8" w:rsidRDefault="00C75CD8" w:rsidP="004F0588">
      <w:pPr>
        <w:spacing w:after="0" w:line="360" w:lineRule="auto"/>
        <w:jc w:val="both"/>
        <w:rPr>
          <w:rFonts w:ascii="Arial" w:hAnsi="Arial" w:cs="Arial"/>
          <w:sz w:val="24"/>
          <w:szCs w:val="24"/>
          <w:lang w:val="en-US"/>
        </w:rPr>
      </w:pPr>
      <w:r>
        <w:rPr>
          <w:rFonts w:ascii="Arial" w:hAnsi="Arial" w:cs="Arial"/>
          <w:sz w:val="24"/>
          <w:szCs w:val="24"/>
        </w:rPr>
        <w:t>[4]</w:t>
      </w:r>
      <w:r>
        <w:rPr>
          <w:rFonts w:ascii="Arial" w:hAnsi="Arial" w:cs="Arial"/>
          <w:sz w:val="24"/>
          <w:szCs w:val="24"/>
        </w:rPr>
        <w:tab/>
      </w:r>
      <w:r w:rsidRPr="000B0569">
        <w:rPr>
          <w:rFonts w:ascii="Arial" w:hAnsi="Arial" w:cs="Arial"/>
          <w:sz w:val="24"/>
          <w:szCs w:val="24"/>
          <w:lang w:val="en-US"/>
        </w:rPr>
        <w:t xml:space="preserve">The </w:t>
      </w:r>
      <w:r>
        <w:rPr>
          <w:rFonts w:ascii="Arial" w:hAnsi="Arial" w:cs="Arial"/>
          <w:sz w:val="24"/>
          <w:szCs w:val="24"/>
          <w:lang w:val="en-US"/>
        </w:rPr>
        <w:t>Applicant had to file</w:t>
      </w:r>
      <w:r w:rsidRPr="000B0569">
        <w:rPr>
          <w:rFonts w:ascii="Arial" w:hAnsi="Arial" w:cs="Arial"/>
          <w:sz w:val="24"/>
          <w:szCs w:val="24"/>
          <w:lang w:val="en-US"/>
        </w:rPr>
        <w:t xml:space="preserve"> application for leave to appeal </w:t>
      </w:r>
      <w:r>
        <w:rPr>
          <w:rFonts w:ascii="Arial" w:hAnsi="Arial" w:cs="Arial"/>
          <w:sz w:val="24"/>
          <w:szCs w:val="24"/>
          <w:lang w:val="en-US"/>
        </w:rPr>
        <w:t xml:space="preserve">and notice of appeal </w:t>
      </w:r>
      <w:r w:rsidRPr="000B0569">
        <w:rPr>
          <w:rFonts w:ascii="Arial" w:hAnsi="Arial" w:cs="Arial"/>
          <w:sz w:val="24"/>
          <w:szCs w:val="24"/>
          <w:lang w:val="en-US"/>
        </w:rPr>
        <w:t xml:space="preserve">within </w:t>
      </w:r>
      <w:r w:rsidR="00E15E3B">
        <w:rPr>
          <w:rFonts w:ascii="Arial" w:hAnsi="Arial" w:cs="Arial"/>
          <w:sz w:val="24"/>
          <w:szCs w:val="24"/>
          <w:lang w:val="en-US"/>
        </w:rPr>
        <w:t>14</w:t>
      </w:r>
      <w:r w:rsidRPr="000B0569">
        <w:rPr>
          <w:rFonts w:ascii="Arial" w:hAnsi="Arial" w:cs="Arial"/>
          <w:sz w:val="24"/>
          <w:szCs w:val="24"/>
          <w:lang w:val="en-US"/>
        </w:rPr>
        <w:t xml:space="preserve"> days of the passing sentence following such conviction. The application for leave </w:t>
      </w:r>
      <w:r>
        <w:rPr>
          <w:rFonts w:ascii="Arial" w:hAnsi="Arial" w:cs="Arial"/>
          <w:sz w:val="24"/>
          <w:szCs w:val="24"/>
          <w:lang w:val="en-US"/>
        </w:rPr>
        <w:t xml:space="preserve">and notice of appeal </w:t>
      </w:r>
      <w:r w:rsidRPr="000B0569">
        <w:rPr>
          <w:rFonts w:ascii="Arial" w:hAnsi="Arial" w:cs="Arial"/>
          <w:sz w:val="24"/>
          <w:szCs w:val="24"/>
          <w:lang w:val="en-US"/>
        </w:rPr>
        <w:t>to appeal should clearly and precisely set out the grounds upon which the accused desires to appeal.</w:t>
      </w:r>
      <w:r w:rsidRPr="000B0569">
        <w:rPr>
          <w:rStyle w:val="FootnoteReference"/>
          <w:rFonts w:ascii="Arial" w:hAnsi="Arial" w:cs="Arial"/>
          <w:sz w:val="24"/>
          <w:szCs w:val="24"/>
          <w:lang w:val="en-US"/>
        </w:rPr>
        <w:footnoteReference w:id="3"/>
      </w:r>
      <w:r>
        <w:rPr>
          <w:rFonts w:ascii="Arial" w:hAnsi="Arial" w:cs="Arial"/>
          <w:sz w:val="24"/>
          <w:szCs w:val="24"/>
          <w:lang w:val="en-US"/>
        </w:rPr>
        <w:t xml:space="preserve"> </w:t>
      </w:r>
    </w:p>
    <w:p w14:paraId="52219602" w14:textId="77777777" w:rsidR="00B80455" w:rsidRDefault="00B80455" w:rsidP="004F0588">
      <w:pPr>
        <w:spacing w:after="0" w:line="360" w:lineRule="auto"/>
        <w:jc w:val="both"/>
        <w:rPr>
          <w:rFonts w:ascii="Arial" w:hAnsi="Arial" w:cs="Arial"/>
          <w:sz w:val="24"/>
          <w:szCs w:val="24"/>
          <w:lang w:val="en-US"/>
        </w:rPr>
      </w:pPr>
    </w:p>
    <w:p w14:paraId="35788A69" w14:textId="77777777" w:rsidR="001A4B03" w:rsidRDefault="00B80455" w:rsidP="001A4B03">
      <w:pPr>
        <w:spacing w:after="0" w:line="360" w:lineRule="auto"/>
        <w:jc w:val="both"/>
        <w:rPr>
          <w:rFonts w:ascii="Arial" w:eastAsiaTheme="minorHAnsi" w:hAnsi="Arial" w:cs="Arial"/>
          <w:kern w:val="2"/>
          <w:sz w:val="24"/>
          <w:szCs w:val="24"/>
          <w:lang w:val="en-GB"/>
          <w14:ligatures w14:val="standardContextual"/>
        </w:rPr>
      </w:pPr>
      <w:r>
        <w:rPr>
          <w:rFonts w:ascii="Arial" w:hAnsi="Arial" w:cs="Arial"/>
          <w:sz w:val="24"/>
          <w:szCs w:val="24"/>
          <w:lang w:val="en-US"/>
        </w:rPr>
        <w:t>[5]</w:t>
      </w:r>
      <w:r>
        <w:rPr>
          <w:rFonts w:ascii="Arial" w:hAnsi="Arial" w:cs="Arial"/>
          <w:sz w:val="24"/>
          <w:szCs w:val="24"/>
          <w:lang w:val="en-US"/>
        </w:rPr>
        <w:tab/>
      </w:r>
      <w:r w:rsidRPr="00DB5BAD">
        <w:rPr>
          <w:rFonts w:ascii="Arial" w:eastAsiaTheme="minorHAnsi" w:hAnsi="Arial" w:cs="Arial"/>
          <w:kern w:val="2"/>
          <w:sz w:val="24"/>
          <w:szCs w:val="24"/>
          <w:lang w:val="en-GB"/>
          <w14:ligatures w14:val="standardContextual"/>
        </w:rPr>
        <w:t xml:space="preserve">It is settled law that an </w:t>
      </w:r>
      <w:r>
        <w:rPr>
          <w:rFonts w:ascii="Arial" w:eastAsiaTheme="minorHAnsi" w:hAnsi="Arial" w:cs="Arial"/>
          <w:kern w:val="2"/>
          <w:sz w:val="24"/>
          <w:szCs w:val="24"/>
          <w:lang w:val="en-GB"/>
          <w14:ligatures w14:val="standardContextual"/>
        </w:rPr>
        <w:t>A</w:t>
      </w:r>
      <w:r w:rsidRPr="00DB5BAD">
        <w:rPr>
          <w:rFonts w:ascii="Arial" w:eastAsiaTheme="minorHAnsi" w:hAnsi="Arial" w:cs="Arial"/>
          <w:kern w:val="2"/>
          <w:sz w:val="24"/>
          <w:szCs w:val="24"/>
          <w:lang w:val="en-GB"/>
          <w14:ligatures w14:val="standardContextual"/>
        </w:rPr>
        <w:t xml:space="preserve">pplicant must meet two requirements to succeed in an application for condonation. Firstly, the </w:t>
      </w:r>
      <w:r w:rsidR="0017669E">
        <w:rPr>
          <w:rFonts w:ascii="Arial" w:eastAsiaTheme="minorHAnsi" w:hAnsi="Arial" w:cs="Arial"/>
          <w:kern w:val="2"/>
          <w:sz w:val="24"/>
          <w:szCs w:val="24"/>
          <w:lang w:val="en-GB"/>
          <w14:ligatures w14:val="standardContextual"/>
        </w:rPr>
        <w:t>A</w:t>
      </w:r>
      <w:r w:rsidRPr="00DB5BAD">
        <w:rPr>
          <w:rFonts w:ascii="Arial" w:eastAsiaTheme="minorHAnsi" w:hAnsi="Arial" w:cs="Arial"/>
          <w:kern w:val="2"/>
          <w:sz w:val="24"/>
          <w:szCs w:val="24"/>
          <w:lang w:val="en-GB"/>
          <w14:ligatures w14:val="standardContextual"/>
        </w:rPr>
        <w:t xml:space="preserve">pplicant must reasonably explain why he did not file the notice of appeal on time. Secondly, the </w:t>
      </w:r>
      <w:r>
        <w:rPr>
          <w:rFonts w:ascii="Arial" w:eastAsiaTheme="minorHAnsi" w:hAnsi="Arial" w:cs="Arial"/>
          <w:kern w:val="2"/>
          <w:sz w:val="24"/>
          <w:szCs w:val="24"/>
          <w:lang w:val="en-GB"/>
          <w14:ligatures w14:val="standardContextual"/>
        </w:rPr>
        <w:t>A</w:t>
      </w:r>
      <w:r w:rsidRPr="00DB5BAD">
        <w:rPr>
          <w:rFonts w:ascii="Arial" w:eastAsiaTheme="minorHAnsi" w:hAnsi="Arial" w:cs="Arial"/>
          <w:kern w:val="2"/>
          <w:sz w:val="24"/>
          <w:szCs w:val="24"/>
          <w:lang w:val="en-GB"/>
          <w14:ligatures w14:val="standardContextual"/>
        </w:rPr>
        <w:t xml:space="preserve">pplicant must show that he has reasonable prospects of success on appeal. The </w:t>
      </w:r>
      <w:r w:rsidR="005B4B68">
        <w:rPr>
          <w:rFonts w:ascii="Arial" w:eastAsiaTheme="minorHAnsi" w:hAnsi="Arial" w:cs="Arial"/>
          <w:kern w:val="2"/>
          <w:sz w:val="24"/>
          <w:szCs w:val="24"/>
          <w:lang w:val="en-GB"/>
          <w14:ligatures w14:val="standardContextual"/>
        </w:rPr>
        <w:t>Applicant</w:t>
      </w:r>
      <w:r w:rsidRPr="00DB5BAD">
        <w:rPr>
          <w:rFonts w:ascii="Arial" w:eastAsiaTheme="minorHAnsi" w:hAnsi="Arial" w:cs="Arial"/>
          <w:kern w:val="2"/>
          <w:sz w:val="24"/>
          <w:szCs w:val="24"/>
          <w:lang w:val="en-GB"/>
          <w14:ligatures w14:val="standardContextual"/>
        </w:rPr>
        <w:t xml:space="preserve"> is not absolved from the second requirement, regardless of whether he furnished a reasonable explanation. The prospect of success on appeal is imperative. If the prospect of success at appeal </w:t>
      </w:r>
      <w:r w:rsidRPr="00DB5BAD">
        <w:rPr>
          <w:rFonts w:ascii="Arial" w:eastAsiaTheme="minorHAnsi" w:hAnsi="Arial" w:cs="Arial"/>
          <w:kern w:val="2"/>
          <w:sz w:val="24"/>
          <w:szCs w:val="24"/>
          <w:lang w:val="en-GB"/>
          <w14:ligatures w14:val="standardContextual"/>
        </w:rPr>
        <w:lastRenderedPageBreak/>
        <w:t xml:space="preserve">is non-existent, it matters not whether the </w:t>
      </w:r>
      <w:r>
        <w:rPr>
          <w:rFonts w:ascii="Arial" w:eastAsiaTheme="minorHAnsi" w:hAnsi="Arial" w:cs="Arial"/>
          <w:kern w:val="2"/>
          <w:sz w:val="24"/>
          <w:szCs w:val="24"/>
          <w:lang w:val="en-GB"/>
          <w14:ligatures w14:val="standardContextual"/>
        </w:rPr>
        <w:t>A</w:t>
      </w:r>
      <w:r w:rsidRPr="00DB5BAD">
        <w:rPr>
          <w:rFonts w:ascii="Arial" w:eastAsiaTheme="minorHAnsi" w:hAnsi="Arial" w:cs="Arial"/>
          <w:kern w:val="2"/>
          <w:sz w:val="24"/>
          <w:szCs w:val="24"/>
          <w:lang w:val="en-GB"/>
          <w14:ligatures w14:val="standardContextual"/>
        </w:rPr>
        <w:t>pplicant satisfied the first requirement; the appeal must fail.</w:t>
      </w:r>
      <w:r w:rsidRPr="00DB5BAD">
        <w:rPr>
          <w:rFonts w:ascii="Arial" w:eastAsiaTheme="minorHAnsi" w:hAnsi="Arial" w:cs="Arial"/>
          <w:kern w:val="2"/>
          <w:sz w:val="24"/>
          <w:szCs w:val="24"/>
          <w:vertAlign w:val="superscript"/>
          <w:lang w:val="en-GB"/>
          <w14:ligatures w14:val="standardContextual"/>
        </w:rPr>
        <w:footnoteReference w:id="4"/>
      </w:r>
    </w:p>
    <w:p w14:paraId="1F33D302" w14:textId="77777777" w:rsidR="001A4B03" w:rsidRDefault="001A4B03" w:rsidP="001A4B03">
      <w:pPr>
        <w:spacing w:after="0" w:line="360" w:lineRule="auto"/>
        <w:jc w:val="both"/>
        <w:rPr>
          <w:rFonts w:ascii="Arial" w:eastAsiaTheme="minorHAnsi" w:hAnsi="Arial" w:cs="Arial"/>
          <w:kern w:val="2"/>
          <w:sz w:val="24"/>
          <w:szCs w:val="24"/>
          <w:lang w:val="en-GB"/>
          <w14:ligatures w14:val="standardContextual"/>
        </w:rPr>
      </w:pPr>
    </w:p>
    <w:p w14:paraId="172B4316" w14:textId="6C62A3D3" w:rsidR="000B0569" w:rsidRPr="001A4B03" w:rsidRDefault="00B80455" w:rsidP="001A4B03">
      <w:pPr>
        <w:spacing w:after="0" w:line="360" w:lineRule="auto"/>
        <w:jc w:val="both"/>
        <w:rPr>
          <w:rFonts w:ascii="Arial" w:eastAsiaTheme="minorHAnsi" w:hAnsi="Arial" w:cs="Arial"/>
          <w:kern w:val="2"/>
          <w:sz w:val="24"/>
          <w:szCs w:val="24"/>
          <w:lang w:val="en-GB"/>
          <w14:ligatures w14:val="standardContextual"/>
        </w:rPr>
      </w:pPr>
      <w:r>
        <w:rPr>
          <w:rFonts w:ascii="Arial" w:eastAsiaTheme="minorHAnsi" w:hAnsi="Arial" w:cs="Arial"/>
          <w:kern w:val="2"/>
          <w:sz w:val="24"/>
          <w:szCs w:val="24"/>
          <w:lang w:val="en-GB"/>
          <w14:ligatures w14:val="standardContextual"/>
        </w:rPr>
        <w:t>[6]</w:t>
      </w:r>
      <w:r>
        <w:rPr>
          <w:rFonts w:ascii="Arial" w:eastAsiaTheme="minorHAnsi" w:hAnsi="Arial" w:cs="Arial"/>
          <w:kern w:val="2"/>
          <w:sz w:val="24"/>
          <w:szCs w:val="24"/>
          <w:lang w:val="en-GB"/>
          <w14:ligatures w14:val="standardContextual"/>
        </w:rPr>
        <w:tab/>
      </w:r>
      <w:r w:rsidR="000B0569" w:rsidRPr="000B0569">
        <w:rPr>
          <w:rFonts w:ascii="Arial" w:hAnsi="Arial" w:cs="Arial"/>
          <w:sz w:val="24"/>
          <w:szCs w:val="24"/>
        </w:rPr>
        <w:t xml:space="preserve">In considering the application for leave to appeal the Court must decide whether there exist reasonable prospects of success on appeal. It was described as follows in </w:t>
      </w:r>
      <w:r w:rsidR="000B0569" w:rsidRPr="000B0569">
        <w:rPr>
          <w:rFonts w:ascii="Arial" w:hAnsi="Arial" w:cs="Arial"/>
          <w:i/>
          <w:iCs/>
          <w:sz w:val="24"/>
          <w:szCs w:val="24"/>
        </w:rPr>
        <w:t>Rex v Kuzwayo</w:t>
      </w:r>
      <w:r>
        <w:rPr>
          <w:rFonts w:ascii="Arial" w:hAnsi="Arial" w:cs="Arial"/>
          <w:i/>
          <w:iCs/>
          <w:sz w:val="24"/>
          <w:szCs w:val="24"/>
        </w:rPr>
        <w:t xml:space="preserve"> </w:t>
      </w:r>
      <w:r w:rsidR="000B0569" w:rsidRPr="000B0569">
        <w:rPr>
          <w:rFonts w:ascii="Arial" w:hAnsi="Arial" w:cs="Arial"/>
          <w:sz w:val="24"/>
          <w:szCs w:val="24"/>
          <w:vertAlign w:val="superscript"/>
        </w:rPr>
        <w:footnoteReference w:id="5"/>
      </w:r>
    </w:p>
    <w:p w14:paraId="71B9598A" w14:textId="73CB2E6E" w:rsidR="000B0569" w:rsidRPr="00B80455" w:rsidRDefault="000B0569" w:rsidP="00B80455">
      <w:pPr>
        <w:widowControl w:val="0"/>
        <w:autoSpaceDE w:val="0"/>
        <w:autoSpaceDN w:val="0"/>
        <w:spacing w:before="240" w:after="0" w:line="360" w:lineRule="auto"/>
        <w:ind w:right="95" w:firstLine="709"/>
        <w:jc w:val="both"/>
        <w:rPr>
          <w:rFonts w:ascii="Arial" w:hAnsi="Arial" w:cs="Arial"/>
          <w:sz w:val="24"/>
          <w:szCs w:val="24"/>
        </w:rPr>
      </w:pPr>
      <w:r w:rsidRPr="000B0569">
        <w:rPr>
          <w:rFonts w:ascii="Arial" w:hAnsi="Arial" w:cs="Arial"/>
          <w:sz w:val="24"/>
          <w:szCs w:val="24"/>
        </w:rPr>
        <w:t>‘</w:t>
      </w:r>
      <w:r w:rsidRPr="00B80455">
        <w:rPr>
          <w:rFonts w:ascii="Arial" w:hAnsi="Arial" w:cs="Arial"/>
        </w:rPr>
        <w:t>That test must, to the best of the ability of the trial judge, be applied objectively.</w:t>
      </w:r>
      <w:r w:rsidR="00B80455" w:rsidRPr="00B80455">
        <w:rPr>
          <w:rFonts w:ascii="Arial" w:hAnsi="Arial" w:cs="Arial"/>
        </w:rPr>
        <w:t xml:space="preserve"> </w:t>
      </w:r>
      <w:r w:rsidRPr="00B80455">
        <w:rPr>
          <w:rFonts w:ascii="Arial" w:hAnsi="Arial" w:cs="Arial"/>
        </w:rPr>
        <w:t>By that is meant that he must disabuse his mind of the fact that he himself has no reasonable doubt as to the guilt of the accused: he must ask himself whether there is a reasonable prospect that the judges of appeal will take a different view. This applies to questions both of fact and of law: there is, in this respect, no distinction between a question of fact and a question of law</w:t>
      </w:r>
      <w:r w:rsidRPr="000B0569">
        <w:rPr>
          <w:rFonts w:ascii="Arial" w:hAnsi="Arial" w:cs="Arial"/>
          <w:sz w:val="24"/>
          <w:szCs w:val="24"/>
        </w:rPr>
        <w:t>.’</w:t>
      </w:r>
    </w:p>
    <w:p w14:paraId="6EACE5F6" w14:textId="77777777" w:rsidR="000B0569" w:rsidRPr="000B0569" w:rsidRDefault="000B0569" w:rsidP="000B0569">
      <w:pPr>
        <w:widowControl w:val="0"/>
        <w:autoSpaceDE w:val="0"/>
        <w:autoSpaceDN w:val="0"/>
        <w:spacing w:after="0" w:line="360" w:lineRule="auto"/>
        <w:ind w:right="95"/>
        <w:jc w:val="both"/>
        <w:rPr>
          <w:rFonts w:ascii="Arial" w:eastAsia="Times New Roman" w:hAnsi="Arial" w:cs="Arial"/>
          <w:iCs/>
          <w:sz w:val="24"/>
          <w:szCs w:val="24"/>
          <w:lang w:eastAsia="en-ZA"/>
        </w:rPr>
      </w:pPr>
    </w:p>
    <w:p w14:paraId="467D6434" w14:textId="219E930E" w:rsidR="000B0569" w:rsidRDefault="000B0569" w:rsidP="000B0569">
      <w:pPr>
        <w:spacing w:line="360" w:lineRule="auto"/>
        <w:contextualSpacing/>
        <w:jc w:val="both"/>
        <w:rPr>
          <w:rFonts w:ascii="Arial" w:hAnsi="Arial" w:cs="Arial"/>
          <w:sz w:val="24"/>
          <w:szCs w:val="24"/>
        </w:rPr>
      </w:pPr>
      <w:r w:rsidRPr="000B0569">
        <w:rPr>
          <w:rFonts w:ascii="Arial" w:hAnsi="Arial" w:cs="Arial"/>
          <w:sz w:val="24"/>
          <w:szCs w:val="24"/>
        </w:rPr>
        <w:t>[</w:t>
      </w:r>
      <w:r w:rsidR="00674706">
        <w:rPr>
          <w:rFonts w:ascii="Arial" w:hAnsi="Arial" w:cs="Arial"/>
          <w:sz w:val="24"/>
          <w:szCs w:val="24"/>
        </w:rPr>
        <w:t>7</w:t>
      </w:r>
      <w:r w:rsidRPr="000B0569">
        <w:rPr>
          <w:rFonts w:ascii="Arial" w:hAnsi="Arial" w:cs="Arial"/>
          <w:sz w:val="24"/>
          <w:szCs w:val="24"/>
        </w:rPr>
        <w:t>]</w:t>
      </w:r>
      <w:r w:rsidRPr="000B0569">
        <w:rPr>
          <w:rFonts w:ascii="Arial" w:hAnsi="Arial" w:cs="Arial"/>
          <w:sz w:val="24"/>
          <w:szCs w:val="24"/>
        </w:rPr>
        <w:tab/>
        <w:t>The mere fact that a case is arguable on appeal is insufficient. There must be substance in the argument advanced on behalf of the applicant.</w:t>
      </w:r>
      <w:r w:rsidRPr="000B0569">
        <w:rPr>
          <w:rFonts w:ascii="Arial" w:hAnsi="Arial" w:cs="Arial"/>
          <w:sz w:val="24"/>
          <w:szCs w:val="24"/>
          <w:vertAlign w:val="superscript"/>
        </w:rPr>
        <w:footnoteReference w:id="6"/>
      </w:r>
      <w:r w:rsidRPr="000B0569">
        <w:rPr>
          <w:rFonts w:ascii="Arial" w:hAnsi="Arial" w:cs="Arial"/>
          <w:sz w:val="24"/>
          <w:szCs w:val="24"/>
        </w:rPr>
        <w:t xml:space="preserve"> The mere possibility that another court might come to a different conclusion is not enough to justify the granting of leave to appeal.</w:t>
      </w:r>
      <w:r w:rsidRPr="000B0569">
        <w:rPr>
          <w:rFonts w:ascii="Arial" w:hAnsi="Arial" w:cs="Arial"/>
          <w:sz w:val="24"/>
          <w:szCs w:val="24"/>
          <w:vertAlign w:val="superscript"/>
        </w:rPr>
        <w:footnoteReference w:id="7"/>
      </w:r>
      <w:r w:rsidRPr="000B0569">
        <w:rPr>
          <w:rFonts w:ascii="Arial" w:hAnsi="Arial" w:cs="Arial"/>
          <w:sz w:val="24"/>
          <w:szCs w:val="24"/>
        </w:rPr>
        <w:t xml:space="preserve">  </w:t>
      </w:r>
      <w:bookmarkStart w:id="5" w:name="_Hlk114564809"/>
      <w:r w:rsidRPr="000B0569">
        <w:rPr>
          <w:rFonts w:ascii="Arial" w:hAnsi="Arial" w:cs="Arial"/>
          <w:sz w:val="24"/>
          <w:szCs w:val="24"/>
        </w:rPr>
        <w:t>Reasonable prospect of success means the Judge dealing with an application for leave to appeal must be satisfied that, on the facts or conclusions of law involved, the Court of Appeal may take a different view and come to a different conclusion.</w:t>
      </w:r>
      <w:r w:rsidRPr="000B0569">
        <w:rPr>
          <w:rFonts w:ascii="Arial" w:hAnsi="Arial" w:cs="Arial"/>
          <w:sz w:val="24"/>
          <w:szCs w:val="24"/>
          <w:vertAlign w:val="superscript"/>
        </w:rPr>
        <w:footnoteReference w:id="8"/>
      </w:r>
      <w:r w:rsidRPr="000B0569">
        <w:rPr>
          <w:rFonts w:ascii="Arial" w:hAnsi="Arial" w:cs="Arial"/>
          <w:sz w:val="24"/>
          <w:szCs w:val="24"/>
        </w:rPr>
        <w:t xml:space="preserve"> </w:t>
      </w:r>
      <w:bookmarkEnd w:id="5"/>
    </w:p>
    <w:p w14:paraId="718EA242" w14:textId="77777777" w:rsidR="00E15E3B" w:rsidRPr="001A4B03" w:rsidRDefault="00E15E3B" w:rsidP="000B0569">
      <w:pPr>
        <w:spacing w:line="360" w:lineRule="auto"/>
        <w:contextualSpacing/>
        <w:jc w:val="both"/>
        <w:rPr>
          <w:rFonts w:ascii="Arial" w:eastAsiaTheme="minorHAnsi" w:hAnsi="Arial" w:cs="Arial"/>
          <w:sz w:val="24"/>
          <w:szCs w:val="24"/>
          <w:lang w:val="en-GB"/>
        </w:rPr>
      </w:pPr>
    </w:p>
    <w:p w14:paraId="4C195A62" w14:textId="7FD8C26B" w:rsidR="005B4B68" w:rsidRDefault="000B0569" w:rsidP="000B0569">
      <w:pPr>
        <w:spacing w:line="360" w:lineRule="auto"/>
        <w:jc w:val="both"/>
        <w:rPr>
          <w:rFonts w:ascii="Arial" w:hAnsi="Arial" w:cs="Arial"/>
          <w:sz w:val="24"/>
          <w:szCs w:val="24"/>
        </w:rPr>
      </w:pPr>
      <w:r w:rsidRPr="000B0569">
        <w:rPr>
          <w:rFonts w:ascii="Arial" w:hAnsi="Arial" w:cs="Arial"/>
          <w:sz w:val="24"/>
          <w:szCs w:val="24"/>
        </w:rPr>
        <w:t>[</w:t>
      </w:r>
      <w:r w:rsidR="00674706">
        <w:rPr>
          <w:rFonts w:ascii="Arial" w:hAnsi="Arial" w:cs="Arial"/>
          <w:sz w:val="24"/>
          <w:szCs w:val="24"/>
        </w:rPr>
        <w:t>8</w:t>
      </w:r>
      <w:r w:rsidRPr="000B0569">
        <w:rPr>
          <w:rFonts w:ascii="Arial" w:hAnsi="Arial" w:cs="Arial"/>
          <w:sz w:val="24"/>
          <w:szCs w:val="24"/>
        </w:rPr>
        <w:t>]</w:t>
      </w:r>
      <w:r w:rsidRPr="000B0569">
        <w:rPr>
          <w:rFonts w:ascii="Arial" w:hAnsi="Arial" w:cs="Arial"/>
          <w:sz w:val="24"/>
          <w:szCs w:val="24"/>
        </w:rPr>
        <w:tab/>
      </w:r>
      <w:r w:rsidR="005B4B68" w:rsidRPr="005B4B68">
        <w:rPr>
          <w:rFonts w:ascii="Arial" w:hAnsi="Arial" w:cs="Arial"/>
          <w:sz w:val="24"/>
          <w:szCs w:val="24"/>
        </w:rPr>
        <w:t xml:space="preserve">A judge considering if his judgment might be regarded as wrong by a higher court is in an invidious position as he essentially is required to reconsider his own decision. That, however, is a duty imposed by the legislature upon judges in criminal matters. But as difficult as it might be, I must free my mind of the fact that I found that the evidence presented proved the Applicant's guilt on the two charges beyond reasonable doubt. My original decision should not cloud the enquiry whether there is </w:t>
      </w:r>
      <w:r w:rsidR="005B4B68" w:rsidRPr="005B4B68">
        <w:rPr>
          <w:rFonts w:ascii="Arial" w:hAnsi="Arial" w:cs="Arial"/>
          <w:sz w:val="24"/>
          <w:szCs w:val="24"/>
        </w:rPr>
        <w:lastRenderedPageBreak/>
        <w:t>a reasonable prospect that the Judges of Appeal will take a different view of the facts and the law.</w:t>
      </w:r>
      <w:r w:rsidRPr="000B0569">
        <w:rPr>
          <w:rFonts w:ascii="Arial" w:hAnsi="Arial" w:cs="Arial"/>
          <w:sz w:val="24"/>
          <w:szCs w:val="24"/>
          <w:vertAlign w:val="superscript"/>
        </w:rPr>
        <w:footnoteReference w:id="9"/>
      </w:r>
      <w:r w:rsidRPr="000B0569">
        <w:rPr>
          <w:rFonts w:ascii="Arial" w:hAnsi="Arial" w:cs="Arial"/>
          <w:sz w:val="24"/>
          <w:szCs w:val="24"/>
        </w:rPr>
        <w:t xml:space="preserve">  </w:t>
      </w:r>
    </w:p>
    <w:p w14:paraId="1A26F396" w14:textId="77777777" w:rsidR="001A4B03" w:rsidRDefault="000B0569" w:rsidP="001A4B03">
      <w:pPr>
        <w:spacing w:after="0" w:line="360" w:lineRule="auto"/>
        <w:jc w:val="both"/>
        <w:rPr>
          <w:rFonts w:ascii="Arial" w:hAnsi="Arial" w:cs="Arial"/>
          <w:i/>
          <w:iCs/>
          <w:sz w:val="24"/>
          <w:szCs w:val="24"/>
          <w:u w:val="single"/>
        </w:rPr>
      </w:pPr>
      <w:r w:rsidRPr="009C1FF0">
        <w:rPr>
          <w:rFonts w:ascii="Arial" w:hAnsi="Arial" w:cs="Arial"/>
          <w:i/>
          <w:iCs/>
          <w:sz w:val="24"/>
          <w:szCs w:val="24"/>
          <w:u w:val="single"/>
        </w:rPr>
        <w:t>History of the Application for Leave to Appeal</w:t>
      </w:r>
    </w:p>
    <w:p w14:paraId="46EAFC88" w14:textId="77777777" w:rsidR="001A4B03" w:rsidRDefault="001A4B03" w:rsidP="001A4B03">
      <w:pPr>
        <w:spacing w:after="0" w:line="360" w:lineRule="auto"/>
        <w:jc w:val="both"/>
        <w:rPr>
          <w:rFonts w:ascii="Arial" w:hAnsi="Arial" w:cs="Arial"/>
          <w:i/>
          <w:iCs/>
          <w:sz w:val="24"/>
          <w:szCs w:val="24"/>
          <w:u w:val="single"/>
        </w:rPr>
      </w:pPr>
    </w:p>
    <w:p w14:paraId="421130D4" w14:textId="77777777" w:rsidR="001A4B03" w:rsidRDefault="009C1FF0" w:rsidP="001A4B03">
      <w:pPr>
        <w:spacing w:after="0" w:line="360" w:lineRule="auto"/>
        <w:jc w:val="both"/>
        <w:rPr>
          <w:rFonts w:ascii="Arial" w:hAnsi="Arial" w:cs="Arial"/>
          <w:i/>
          <w:iCs/>
          <w:sz w:val="24"/>
          <w:szCs w:val="24"/>
          <w:u w:val="single"/>
        </w:rPr>
      </w:pPr>
      <w:r>
        <w:rPr>
          <w:rFonts w:ascii="Arial" w:hAnsi="Arial" w:cs="Arial"/>
          <w:sz w:val="24"/>
          <w:szCs w:val="24"/>
        </w:rPr>
        <w:t>[9]</w:t>
      </w:r>
      <w:r>
        <w:rPr>
          <w:rFonts w:ascii="Arial" w:hAnsi="Arial" w:cs="Arial"/>
          <w:sz w:val="24"/>
          <w:szCs w:val="24"/>
        </w:rPr>
        <w:tab/>
      </w:r>
      <w:r w:rsidR="005F6FF1" w:rsidRPr="005F6FF1">
        <w:rPr>
          <w:rFonts w:ascii="Arial" w:hAnsi="Arial" w:cs="Arial"/>
          <w:sz w:val="24"/>
          <w:szCs w:val="24"/>
        </w:rPr>
        <w:t>Although the Notice on Appeal on which this application for leave to appeal was only filed on 12 January 2024 in respect of a matter finalized on 2 September 2022, the background to such late filing and the fact that this is an amended notice of appeal is essential as it assists in the proper evaluation of the explanations given by the Applicant.</w:t>
      </w:r>
    </w:p>
    <w:p w14:paraId="7858A9A7" w14:textId="77777777" w:rsidR="001A4B03" w:rsidRDefault="001A4B03" w:rsidP="001A4B03">
      <w:pPr>
        <w:spacing w:after="0" w:line="360" w:lineRule="auto"/>
        <w:jc w:val="both"/>
        <w:rPr>
          <w:rFonts w:ascii="Arial" w:hAnsi="Arial" w:cs="Arial"/>
          <w:i/>
          <w:iCs/>
          <w:sz w:val="24"/>
          <w:szCs w:val="24"/>
          <w:u w:val="single"/>
        </w:rPr>
      </w:pPr>
    </w:p>
    <w:p w14:paraId="6B353013" w14:textId="77777777" w:rsidR="001A4B03" w:rsidRDefault="009C1FF0" w:rsidP="001A4B03">
      <w:pPr>
        <w:spacing w:after="0" w:line="360" w:lineRule="auto"/>
        <w:jc w:val="both"/>
        <w:rPr>
          <w:rFonts w:ascii="Arial" w:hAnsi="Arial" w:cs="Arial"/>
          <w:iCs/>
          <w:sz w:val="24"/>
          <w:szCs w:val="24"/>
        </w:rPr>
      </w:pPr>
      <w:r>
        <w:rPr>
          <w:rFonts w:ascii="Arial" w:hAnsi="Arial" w:cs="Arial"/>
          <w:sz w:val="24"/>
          <w:szCs w:val="24"/>
        </w:rPr>
        <w:t>[10]</w:t>
      </w:r>
      <w:r>
        <w:rPr>
          <w:rFonts w:ascii="Arial" w:hAnsi="Arial" w:cs="Arial"/>
          <w:sz w:val="24"/>
          <w:szCs w:val="24"/>
        </w:rPr>
        <w:tab/>
      </w:r>
      <w:r w:rsidR="005F6FF1" w:rsidRPr="005F6FF1">
        <w:rPr>
          <w:rFonts w:ascii="Arial" w:hAnsi="Arial" w:cs="Arial"/>
          <w:sz w:val="24"/>
          <w:szCs w:val="24"/>
        </w:rPr>
        <w:t>The Registrar of the High Court Northern Local Division enrolled the application for leave to appeal on 22 November 2022 for a status hearing on 15 February 2023. The Oluno Correctional Facility received this Notice of Set Down on 28 November 2022. A Notice of Appeal filed with the Registr</w:t>
      </w:r>
      <w:r w:rsidR="0017669E">
        <w:rPr>
          <w:rFonts w:ascii="Arial" w:hAnsi="Arial" w:cs="Arial"/>
          <w:sz w:val="24"/>
          <w:szCs w:val="24"/>
        </w:rPr>
        <w:t>ar</w:t>
      </w:r>
      <w:r w:rsidR="005F6FF1" w:rsidRPr="005F6FF1">
        <w:rPr>
          <w:rFonts w:ascii="Arial" w:hAnsi="Arial" w:cs="Arial"/>
          <w:sz w:val="24"/>
          <w:szCs w:val="24"/>
        </w:rPr>
        <w:t xml:space="preserve"> of the Northern Local Division must have prompted her to enrol this matter for a status hearing</w:t>
      </w:r>
      <w:r w:rsidR="000B0569" w:rsidRPr="000B0569">
        <w:rPr>
          <w:rFonts w:ascii="Arial" w:hAnsi="Arial" w:cs="Arial"/>
          <w:sz w:val="24"/>
          <w:szCs w:val="24"/>
        </w:rPr>
        <w:t>.</w:t>
      </w:r>
      <w:r w:rsidR="00F11836">
        <w:rPr>
          <w:rStyle w:val="FootnoteReference"/>
          <w:rFonts w:ascii="Arial" w:hAnsi="Arial" w:cs="Arial"/>
          <w:sz w:val="24"/>
          <w:szCs w:val="24"/>
        </w:rPr>
        <w:footnoteReference w:id="10"/>
      </w:r>
      <w:r w:rsidR="000B0569" w:rsidRPr="000B0569">
        <w:rPr>
          <w:rFonts w:ascii="Arial" w:hAnsi="Arial" w:cs="Arial"/>
          <w:sz w:val="24"/>
          <w:szCs w:val="24"/>
        </w:rPr>
        <w:t xml:space="preserve"> Such Notice of Appeal is unfortunately not in the court file. </w:t>
      </w:r>
    </w:p>
    <w:p w14:paraId="0A04F087" w14:textId="77777777" w:rsidR="001A4B03" w:rsidRDefault="001A4B03" w:rsidP="001A4B03">
      <w:pPr>
        <w:spacing w:after="0" w:line="360" w:lineRule="auto"/>
        <w:jc w:val="both"/>
        <w:rPr>
          <w:rFonts w:ascii="Arial" w:hAnsi="Arial" w:cs="Arial"/>
          <w:iCs/>
          <w:sz w:val="24"/>
          <w:szCs w:val="24"/>
        </w:rPr>
      </w:pPr>
    </w:p>
    <w:p w14:paraId="5C06F6AC" w14:textId="77777777" w:rsidR="001A4B03" w:rsidRDefault="009C1FF0" w:rsidP="001A4B03">
      <w:pPr>
        <w:spacing w:after="0" w:line="360" w:lineRule="auto"/>
        <w:jc w:val="both"/>
        <w:rPr>
          <w:rFonts w:ascii="Arial" w:hAnsi="Arial" w:cs="Arial"/>
          <w:i/>
          <w:iCs/>
          <w:sz w:val="24"/>
          <w:szCs w:val="24"/>
          <w:u w:val="single"/>
        </w:rPr>
      </w:pPr>
      <w:r>
        <w:rPr>
          <w:rFonts w:ascii="Arial" w:hAnsi="Arial" w:cs="Arial"/>
          <w:sz w:val="24"/>
          <w:szCs w:val="24"/>
        </w:rPr>
        <w:t>[11]</w:t>
      </w:r>
      <w:r>
        <w:rPr>
          <w:rFonts w:ascii="Arial" w:hAnsi="Arial" w:cs="Arial"/>
          <w:sz w:val="24"/>
          <w:szCs w:val="24"/>
        </w:rPr>
        <w:tab/>
      </w:r>
      <w:r w:rsidR="00B2203D" w:rsidRPr="00B2203D">
        <w:rPr>
          <w:rFonts w:ascii="Arial" w:hAnsi="Arial" w:cs="Arial"/>
          <w:sz w:val="24"/>
          <w:szCs w:val="24"/>
        </w:rPr>
        <w:t xml:space="preserve">The Court file, however, contains a Notice of Appeal (PMK-2) of </w:t>
      </w:r>
      <w:r w:rsidR="0017669E">
        <w:rPr>
          <w:rFonts w:ascii="Arial" w:hAnsi="Arial" w:cs="Arial"/>
          <w:sz w:val="24"/>
          <w:szCs w:val="24"/>
        </w:rPr>
        <w:t>17</w:t>
      </w:r>
      <w:r w:rsidR="00B2203D" w:rsidRPr="00B2203D">
        <w:rPr>
          <w:rFonts w:ascii="Arial" w:hAnsi="Arial" w:cs="Arial"/>
          <w:sz w:val="24"/>
          <w:szCs w:val="24"/>
        </w:rPr>
        <w:t xml:space="preserve"> pages signed on 15 September 2022. A letter was addressed to the judge in the status hearing indicating that the Applicant intended to substitute his appeal grounds dated 14 September 2022 with the attached PMK-2 dated 15 September 2022. All these documents are attached to a letter from the Oluno Correctional Facility dated 16 January 2023. The High Court of Namibia Northen Local Division received it on 18 January 2023.</w:t>
      </w:r>
    </w:p>
    <w:p w14:paraId="24A5B46D" w14:textId="77777777" w:rsidR="001A4B03" w:rsidRDefault="001A4B03" w:rsidP="001A4B03">
      <w:pPr>
        <w:spacing w:after="0" w:line="360" w:lineRule="auto"/>
        <w:jc w:val="both"/>
        <w:rPr>
          <w:rFonts w:ascii="Arial" w:hAnsi="Arial" w:cs="Arial"/>
          <w:i/>
          <w:iCs/>
          <w:sz w:val="24"/>
          <w:szCs w:val="24"/>
          <w:u w:val="single"/>
        </w:rPr>
      </w:pPr>
    </w:p>
    <w:p w14:paraId="30F809A3" w14:textId="77777777" w:rsidR="001A4B03" w:rsidRDefault="005D06AE" w:rsidP="001A4B03">
      <w:pPr>
        <w:spacing w:after="0" w:line="360" w:lineRule="auto"/>
        <w:jc w:val="both"/>
        <w:rPr>
          <w:rFonts w:ascii="Arial" w:hAnsi="Arial" w:cs="Arial"/>
          <w:iCs/>
          <w:sz w:val="24"/>
          <w:szCs w:val="24"/>
        </w:rPr>
      </w:pPr>
      <w:r>
        <w:rPr>
          <w:rFonts w:ascii="Arial" w:hAnsi="Arial" w:cs="Arial"/>
          <w:sz w:val="24"/>
          <w:szCs w:val="24"/>
        </w:rPr>
        <w:t>[12]</w:t>
      </w:r>
      <w:r>
        <w:rPr>
          <w:rFonts w:ascii="Arial" w:hAnsi="Arial" w:cs="Arial"/>
          <w:sz w:val="24"/>
          <w:szCs w:val="24"/>
        </w:rPr>
        <w:tab/>
      </w:r>
      <w:r w:rsidR="00B2203D" w:rsidRPr="00B2203D">
        <w:rPr>
          <w:rFonts w:ascii="Arial" w:hAnsi="Arial" w:cs="Arial"/>
          <w:sz w:val="24"/>
          <w:szCs w:val="24"/>
        </w:rPr>
        <w:t>The Applicant further applied for legal aid on 16 January 2023 before he appeared before the High Court on 15 February 2023. On the latter date, the Court instructed that he re-appl</w:t>
      </w:r>
      <w:r w:rsidR="0017669E">
        <w:rPr>
          <w:rFonts w:ascii="Arial" w:hAnsi="Arial" w:cs="Arial"/>
          <w:sz w:val="24"/>
          <w:szCs w:val="24"/>
        </w:rPr>
        <w:t>y</w:t>
      </w:r>
      <w:r w:rsidR="00B2203D" w:rsidRPr="00B2203D">
        <w:rPr>
          <w:rFonts w:ascii="Arial" w:hAnsi="Arial" w:cs="Arial"/>
          <w:sz w:val="24"/>
          <w:szCs w:val="24"/>
        </w:rPr>
        <w:t xml:space="preserve"> as the outcome of the first application was not forthcoming. No reply was received from the Directorate of Legal Aid before appearances of 11 April 2023, 18 April 2023, 25 April 2023, 9 May 2023,13 June 2023 and 31 July 2023. </w:t>
      </w:r>
      <w:r w:rsidR="00B2203D" w:rsidRPr="00B2203D">
        <w:rPr>
          <w:rFonts w:ascii="Arial" w:hAnsi="Arial" w:cs="Arial"/>
          <w:sz w:val="24"/>
          <w:szCs w:val="24"/>
        </w:rPr>
        <w:lastRenderedPageBreak/>
        <w:t>On 5 September 2023, Ms Nghifewa came on record on behalf of the Applicant after the Director of Legal Aid reappointed her.</w:t>
      </w:r>
    </w:p>
    <w:p w14:paraId="47BE8FCF" w14:textId="77777777" w:rsidR="001A4B03" w:rsidRDefault="001A4B03" w:rsidP="001A4B03">
      <w:pPr>
        <w:spacing w:after="0" w:line="360" w:lineRule="auto"/>
        <w:jc w:val="both"/>
        <w:rPr>
          <w:rFonts w:ascii="Arial" w:hAnsi="Arial" w:cs="Arial"/>
          <w:iCs/>
          <w:sz w:val="24"/>
          <w:szCs w:val="24"/>
        </w:rPr>
      </w:pPr>
    </w:p>
    <w:p w14:paraId="0ED15459" w14:textId="77777777" w:rsidR="001A4B03" w:rsidRDefault="005D06AE" w:rsidP="001A4B03">
      <w:pPr>
        <w:spacing w:after="0" w:line="360" w:lineRule="auto"/>
        <w:jc w:val="both"/>
        <w:rPr>
          <w:rFonts w:ascii="Arial" w:hAnsi="Arial" w:cs="Arial"/>
          <w:iCs/>
          <w:sz w:val="24"/>
          <w:szCs w:val="24"/>
        </w:rPr>
      </w:pPr>
      <w:r>
        <w:rPr>
          <w:rFonts w:ascii="Arial" w:hAnsi="Arial" w:cs="Arial"/>
          <w:sz w:val="24"/>
          <w:szCs w:val="24"/>
        </w:rPr>
        <w:t>[13]</w:t>
      </w:r>
      <w:r>
        <w:rPr>
          <w:rFonts w:ascii="Arial" w:hAnsi="Arial" w:cs="Arial"/>
          <w:sz w:val="24"/>
          <w:szCs w:val="24"/>
        </w:rPr>
        <w:tab/>
      </w:r>
      <w:r w:rsidR="007F3E81" w:rsidRPr="00B2203D">
        <w:rPr>
          <w:rFonts w:ascii="Arial" w:hAnsi="Arial" w:cs="Arial"/>
          <w:sz w:val="24"/>
          <w:szCs w:val="24"/>
        </w:rPr>
        <w:t>Amende</w:t>
      </w:r>
      <w:r w:rsidR="007F3E81">
        <w:rPr>
          <w:rFonts w:ascii="Arial" w:hAnsi="Arial" w:cs="Arial"/>
          <w:sz w:val="24"/>
          <w:szCs w:val="24"/>
        </w:rPr>
        <w:t>d</w:t>
      </w:r>
      <w:r w:rsidR="00B2203D" w:rsidRPr="00B2203D">
        <w:rPr>
          <w:rFonts w:ascii="Arial" w:hAnsi="Arial" w:cs="Arial"/>
          <w:sz w:val="24"/>
          <w:szCs w:val="24"/>
        </w:rPr>
        <w:t xml:space="preserve"> notices of appeal were filed on 2 October 2023, 16 October 2023 and finally on 12 January 2024. The latter contains only two grounds of appeal, repealing all previous notices containing possible grounds of appeal by the Applicant and his legal representative.</w:t>
      </w:r>
    </w:p>
    <w:p w14:paraId="2895A40C" w14:textId="77777777" w:rsidR="001A4B03" w:rsidRDefault="001A4B03" w:rsidP="001A4B03">
      <w:pPr>
        <w:spacing w:after="0" w:line="360" w:lineRule="auto"/>
        <w:jc w:val="both"/>
        <w:rPr>
          <w:rFonts w:ascii="Arial" w:hAnsi="Arial" w:cs="Arial"/>
          <w:iCs/>
          <w:sz w:val="24"/>
          <w:szCs w:val="24"/>
        </w:rPr>
      </w:pPr>
    </w:p>
    <w:p w14:paraId="11925063" w14:textId="77777777" w:rsidR="001A4B03" w:rsidRDefault="00F86BD0" w:rsidP="001A4B03">
      <w:pPr>
        <w:spacing w:after="0" w:line="360" w:lineRule="auto"/>
        <w:jc w:val="both"/>
        <w:rPr>
          <w:rFonts w:ascii="Arial" w:hAnsi="Arial" w:cs="Arial"/>
          <w:iCs/>
          <w:sz w:val="24"/>
          <w:szCs w:val="24"/>
        </w:rPr>
      </w:pPr>
      <w:r>
        <w:rPr>
          <w:rFonts w:ascii="Arial" w:hAnsi="Arial" w:cs="Arial"/>
          <w:sz w:val="24"/>
          <w:szCs w:val="24"/>
        </w:rPr>
        <w:t xml:space="preserve">[14] </w:t>
      </w:r>
      <w:r>
        <w:rPr>
          <w:rFonts w:ascii="Arial" w:hAnsi="Arial" w:cs="Arial"/>
          <w:sz w:val="24"/>
          <w:szCs w:val="24"/>
        </w:rPr>
        <w:tab/>
      </w:r>
      <w:r w:rsidR="00B2203D">
        <w:rPr>
          <w:rFonts w:ascii="Arial" w:hAnsi="Arial" w:cs="Arial"/>
          <w:sz w:val="24"/>
          <w:szCs w:val="24"/>
        </w:rPr>
        <w:t>The Court</w:t>
      </w:r>
      <w:r w:rsidR="00B2203D" w:rsidRPr="00B2203D">
        <w:rPr>
          <w:rFonts w:ascii="Arial" w:hAnsi="Arial" w:cs="Arial"/>
          <w:sz w:val="24"/>
          <w:szCs w:val="24"/>
        </w:rPr>
        <w:t xml:space="preserve"> </w:t>
      </w:r>
      <w:r w:rsidR="00B2203D">
        <w:rPr>
          <w:rFonts w:ascii="Arial" w:hAnsi="Arial" w:cs="Arial"/>
          <w:sz w:val="24"/>
          <w:szCs w:val="24"/>
        </w:rPr>
        <w:t>considered</w:t>
      </w:r>
      <w:r w:rsidR="00B2203D" w:rsidRPr="00B2203D">
        <w:rPr>
          <w:rFonts w:ascii="Arial" w:hAnsi="Arial" w:cs="Arial"/>
          <w:sz w:val="24"/>
          <w:szCs w:val="24"/>
        </w:rPr>
        <w:t xml:space="preserve"> the history of the application for leave to appeal above to show that the Applicant clearly intended to launch an appeal against his conviction from 15 September 2022 and possibly from 14 September 2022. If these notices were filed on the same date they were completed, they would have complied with the 14-day requirement prescribed by section 316(1) of the Criminal Procedure Act 51 of 1977, as amended.  </w:t>
      </w:r>
    </w:p>
    <w:p w14:paraId="0A73E097" w14:textId="77777777" w:rsidR="001A4B03" w:rsidRDefault="001A4B03" w:rsidP="001A4B03">
      <w:pPr>
        <w:spacing w:after="0" w:line="360" w:lineRule="auto"/>
        <w:jc w:val="both"/>
        <w:rPr>
          <w:rFonts w:ascii="Arial" w:hAnsi="Arial" w:cs="Arial"/>
          <w:iCs/>
          <w:sz w:val="24"/>
          <w:szCs w:val="24"/>
        </w:rPr>
      </w:pPr>
    </w:p>
    <w:p w14:paraId="7ED7F924" w14:textId="35229326" w:rsidR="007F3E81" w:rsidRDefault="00621AD1" w:rsidP="001A4B03">
      <w:pPr>
        <w:spacing w:after="0" w:line="360" w:lineRule="auto"/>
        <w:jc w:val="both"/>
        <w:rPr>
          <w:rFonts w:ascii="Arial" w:eastAsiaTheme="minorHAnsi" w:hAnsi="Arial" w:cs="Arial"/>
          <w:kern w:val="2"/>
          <w:sz w:val="24"/>
          <w:szCs w:val="24"/>
          <w:lang w:val="en-GB"/>
          <w14:ligatures w14:val="standardContextual"/>
        </w:rPr>
      </w:pPr>
      <w:r>
        <w:rPr>
          <w:rFonts w:ascii="Arial" w:hAnsi="Arial" w:cs="Arial"/>
          <w:sz w:val="24"/>
          <w:szCs w:val="24"/>
        </w:rPr>
        <w:t>[15]</w:t>
      </w:r>
      <w:r>
        <w:rPr>
          <w:rFonts w:ascii="Arial" w:hAnsi="Arial" w:cs="Arial"/>
          <w:sz w:val="24"/>
          <w:szCs w:val="24"/>
        </w:rPr>
        <w:tab/>
      </w:r>
      <w:r w:rsidR="003A2D9B" w:rsidRPr="003A2D9B">
        <w:rPr>
          <w:rFonts w:ascii="Arial" w:hAnsi="Arial" w:cs="Arial"/>
          <w:sz w:val="24"/>
          <w:szCs w:val="24"/>
        </w:rPr>
        <w:t>The aforesaid gives credence to his explanation of why he did not file his application for leave to appeal and appeal grounds within the prescribed time. It is abundantly clear that he intended to appeal from the onset. He states that he was overwhelmed by the prison situation and procedures and had to adjust to his new conditions, coupled with the fact that he, as a layperson, needed assistance in drafting a Notice of Appeal. He received assistance eventually, but this caused the late filing of his Notice of Appeal.</w:t>
      </w:r>
      <w:r w:rsidR="003A2D9B" w:rsidRPr="003A2D9B">
        <w:rPr>
          <w:rStyle w:val="Emphasis"/>
          <w:rFonts w:ascii="Arial" w:hAnsi="Arial" w:cs="Arial"/>
          <w:color w:val="0E101A"/>
          <w:sz w:val="24"/>
          <w:szCs w:val="24"/>
        </w:rPr>
        <w:t> </w:t>
      </w:r>
      <w:r w:rsidR="003A2D9B" w:rsidRPr="003A2D9B">
        <w:rPr>
          <w:rFonts w:ascii="Arial" w:hAnsi="Arial" w:cs="Arial"/>
          <w:sz w:val="24"/>
          <w:szCs w:val="24"/>
        </w:rPr>
        <w:t>Although the Respondent raised a point in limine, disputing that the explanation is reasonable and acceptable, the Applicant's explanation stands uncontradicted.</w:t>
      </w:r>
      <w:r w:rsidR="003A2D9B">
        <w:t> </w:t>
      </w:r>
      <w:r w:rsidR="0017669E">
        <w:rPr>
          <w:rFonts w:ascii="Arial" w:eastAsiaTheme="minorHAnsi" w:hAnsi="Arial" w:cs="Arial"/>
          <w:kern w:val="2"/>
          <w:sz w:val="24"/>
          <w:szCs w:val="24"/>
          <w:lang w:val="en-GB"/>
          <w14:ligatures w14:val="standardContextual"/>
        </w:rPr>
        <w:t>The Court finds that the Applicant has provided</w:t>
      </w:r>
      <w:r w:rsidR="0017669E" w:rsidRPr="00DB5BAD">
        <w:rPr>
          <w:rFonts w:ascii="Arial" w:eastAsiaTheme="minorHAnsi" w:hAnsi="Arial" w:cs="Arial"/>
          <w:kern w:val="2"/>
          <w:sz w:val="24"/>
          <w:szCs w:val="24"/>
          <w:lang w:val="en-GB"/>
          <w14:ligatures w14:val="standardContextual"/>
        </w:rPr>
        <w:t xml:space="preserve"> a reasonable explanation</w:t>
      </w:r>
      <w:r w:rsidR="0017669E">
        <w:rPr>
          <w:rFonts w:ascii="Arial" w:eastAsiaTheme="minorHAnsi" w:hAnsi="Arial" w:cs="Arial"/>
          <w:kern w:val="2"/>
          <w:sz w:val="24"/>
          <w:szCs w:val="24"/>
          <w:lang w:val="en-GB"/>
          <w14:ligatures w14:val="standardContextual"/>
        </w:rPr>
        <w:t xml:space="preserve"> for the late filing of his Notice of Appeal.</w:t>
      </w:r>
    </w:p>
    <w:p w14:paraId="2CFBFAA6" w14:textId="77777777" w:rsidR="00E15E3B" w:rsidRPr="001A4B03" w:rsidRDefault="00E15E3B" w:rsidP="001A4B03">
      <w:pPr>
        <w:spacing w:after="0" w:line="360" w:lineRule="auto"/>
        <w:jc w:val="both"/>
        <w:rPr>
          <w:rFonts w:ascii="Arial" w:hAnsi="Arial" w:cs="Arial"/>
          <w:i/>
          <w:iCs/>
          <w:sz w:val="24"/>
          <w:szCs w:val="24"/>
          <w:u w:val="single"/>
        </w:rPr>
      </w:pPr>
    </w:p>
    <w:p w14:paraId="5325A508" w14:textId="77777777" w:rsidR="001A4B03" w:rsidRDefault="007F3E81" w:rsidP="001A4B03">
      <w:pPr>
        <w:spacing w:after="0" w:line="360" w:lineRule="auto"/>
        <w:jc w:val="both"/>
        <w:rPr>
          <w:rFonts w:ascii="Arial" w:hAnsi="Arial" w:cs="Arial"/>
          <w:iCs/>
          <w:sz w:val="24"/>
          <w:szCs w:val="24"/>
        </w:rPr>
      </w:pPr>
      <w:r w:rsidRPr="007F3E81">
        <w:rPr>
          <w:rFonts w:ascii="Arial" w:hAnsi="Arial" w:cs="Arial"/>
          <w:i/>
          <w:iCs/>
          <w:sz w:val="24"/>
          <w:szCs w:val="24"/>
          <w:u w:val="single"/>
        </w:rPr>
        <w:t>Reasonable prospects of success on appeal</w:t>
      </w:r>
    </w:p>
    <w:p w14:paraId="34C44A8A" w14:textId="77777777" w:rsidR="001A4B03" w:rsidRDefault="001A4B03" w:rsidP="001A4B03">
      <w:pPr>
        <w:spacing w:after="0" w:line="360" w:lineRule="auto"/>
        <w:jc w:val="both"/>
        <w:rPr>
          <w:rFonts w:ascii="Arial" w:hAnsi="Arial" w:cs="Arial"/>
          <w:iCs/>
          <w:sz w:val="24"/>
          <w:szCs w:val="24"/>
        </w:rPr>
      </w:pPr>
    </w:p>
    <w:p w14:paraId="670A67BC" w14:textId="77777777" w:rsidR="001A4B03" w:rsidRDefault="003A2D9B" w:rsidP="001A4B03">
      <w:pPr>
        <w:spacing w:after="0" w:line="360" w:lineRule="auto"/>
        <w:jc w:val="both"/>
        <w:rPr>
          <w:rFonts w:ascii="Arial" w:hAnsi="Arial" w:cs="Arial"/>
          <w:iCs/>
          <w:sz w:val="24"/>
          <w:szCs w:val="24"/>
        </w:rPr>
      </w:pPr>
      <w:r w:rsidRPr="003A2D9B">
        <w:rPr>
          <w:rFonts w:ascii="Arial" w:hAnsi="Arial" w:cs="Arial"/>
          <w:sz w:val="24"/>
          <w:szCs w:val="24"/>
        </w:rPr>
        <w:t>[16]</w:t>
      </w:r>
      <w:r w:rsidRPr="003A2D9B">
        <w:rPr>
          <w:rFonts w:ascii="Arial" w:hAnsi="Arial" w:cs="Arial"/>
          <w:sz w:val="24"/>
          <w:szCs w:val="24"/>
        </w:rPr>
        <w:tab/>
      </w:r>
      <w:r w:rsidR="0068512D" w:rsidRPr="0068512D">
        <w:rPr>
          <w:rFonts w:ascii="Arial" w:hAnsi="Arial" w:cs="Arial"/>
          <w:sz w:val="24"/>
          <w:szCs w:val="24"/>
        </w:rPr>
        <w:t xml:space="preserve">The </w:t>
      </w:r>
      <w:bookmarkStart w:id="6" w:name="_Hlk157157725"/>
      <w:r w:rsidR="0068512D" w:rsidRPr="0068512D">
        <w:rPr>
          <w:rFonts w:ascii="Arial" w:hAnsi="Arial" w:cs="Arial"/>
          <w:sz w:val="24"/>
          <w:szCs w:val="24"/>
        </w:rPr>
        <w:t xml:space="preserve">reasonable prospects of success on appeal </w:t>
      </w:r>
      <w:bookmarkEnd w:id="6"/>
      <w:r w:rsidR="0068512D" w:rsidRPr="0068512D">
        <w:rPr>
          <w:rFonts w:ascii="Arial" w:hAnsi="Arial" w:cs="Arial"/>
          <w:sz w:val="24"/>
          <w:szCs w:val="24"/>
        </w:rPr>
        <w:t xml:space="preserve">are vital to both the application for condonation and leave to appeal, so the Court will now consider such prospects against the two grounds raised.  </w:t>
      </w:r>
    </w:p>
    <w:p w14:paraId="01B9535C" w14:textId="77777777" w:rsidR="001A4B03" w:rsidRDefault="001A4B03" w:rsidP="001A4B03">
      <w:pPr>
        <w:spacing w:after="0" w:line="360" w:lineRule="auto"/>
        <w:jc w:val="both"/>
        <w:rPr>
          <w:rFonts w:ascii="Arial" w:hAnsi="Arial" w:cs="Arial"/>
          <w:iCs/>
          <w:sz w:val="24"/>
          <w:szCs w:val="24"/>
        </w:rPr>
      </w:pPr>
    </w:p>
    <w:p w14:paraId="4B77D7B1" w14:textId="153A897E" w:rsidR="000B0569" w:rsidRPr="001A4B03" w:rsidRDefault="0068512D" w:rsidP="001A4B03">
      <w:pPr>
        <w:spacing w:after="0" w:line="360" w:lineRule="auto"/>
        <w:jc w:val="both"/>
        <w:rPr>
          <w:rFonts w:ascii="Arial" w:hAnsi="Arial" w:cs="Arial"/>
          <w:iCs/>
          <w:sz w:val="24"/>
          <w:szCs w:val="24"/>
        </w:rPr>
      </w:pPr>
      <w:r>
        <w:rPr>
          <w:rFonts w:ascii="Arial" w:hAnsi="Arial" w:cs="Arial"/>
          <w:sz w:val="24"/>
          <w:szCs w:val="24"/>
        </w:rPr>
        <w:t>[17]</w:t>
      </w:r>
      <w:r>
        <w:rPr>
          <w:rFonts w:ascii="Arial" w:hAnsi="Arial" w:cs="Arial"/>
          <w:sz w:val="24"/>
          <w:szCs w:val="24"/>
        </w:rPr>
        <w:tab/>
      </w:r>
      <w:r w:rsidR="005D06AE">
        <w:rPr>
          <w:rFonts w:ascii="Arial" w:hAnsi="Arial" w:cs="Arial"/>
          <w:sz w:val="24"/>
          <w:szCs w:val="24"/>
        </w:rPr>
        <w:t xml:space="preserve">The two grounds </w:t>
      </w:r>
      <w:r w:rsidR="008827ED">
        <w:rPr>
          <w:rFonts w:ascii="Arial" w:hAnsi="Arial" w:cs="Arial"/>
          <w:sz w:val="24"/>
          <w:szCs w:val="24"/>
        </w:rPr>
        <w:t xml:space="preserve">of appeal </w:t>
      </w:r>
      <w:r w:rsidR="005D06AE">
        <w:rPr>
          <w:rFonts w:ascii="Arial" w:hAnsi="Arial" w:cs="Arial"/>
          <w:sz w:val="24"/>
          <w:szCs w:val="24"/>
        </w:rPr>
        <w:t xml:space="preserve">were formulated as follows: </w:t>
      </w:r>
    </w:p>
    <w:p w14:paraId="60C0E93D" w14:textId="5FB3D39F" w:rsidR="005D06AE" w:rsidRDefault="005D06AE" w:rsidP="005D06AE">
      <w:pPr>
        <w:pStyle w:val="ListParagraph"/>
        <w:widowControl w:val="0"/>
        <w:numPr>
          <w:ilvl w:val="0"/>
          <w:numId w:val="3"/>
        </w:numPr>
        <w:tabs>
          <w:tab w:val="left" w:pos="836"/>
        </w:tabs>
        <w:autoSpaceDE w:val="0"/>
        <w:autoSpaceDN w:val="0"/>
        <w:spacing w:after="0" w:line="352" w:lineRule="auto"/>
        <w:ind w:right="526"/>
        <w:jc w:val="both"/>
        <w:rPr>
          <w:sz w:val="22"/>
          <w:szCs w:val="22"/>
        </w:rPr>
      </w:pPr>
      <w:r w:rsidRPr="005D06AE">
        <w:rPr>
          <w:sz w:val="22"/>
          <w:szCs w:val="22"/>
        </w:rPr>
        <w:t>The</w:t>
      </w:r>
      <w:r w:rsidRPr="005D06AE">
        <w:rPr>
          <w:spacing w:val="-13"/>
          <w:sz w:val="22"/>
          <w:szCs w:val="22"/>
        </w:rPr>
        <w:t xml:space="preserve"> </w:t>
      </w:r>
      <w:r w:rsidRPr="005D06AE">
        <w:rPr>
          <w:sz w:val="22"/>
          <w:szCs w:val="22"/>
        </w:rPr>
        <w:t>learned</w:t>
      </w:r>
      <w:r w:rsidRPr="005D06AE">
        <w:rPr>
          <w:spacing w:val="-6"/>
          <w:sz w:val="22"/>
          <w:szCs w:val="22"/>
        </w:rPr>
        <w:t xml:space="preserve"> </w:t>
      </w:r>
      <w:r w:rsidRPr="005D06AE">
        <w:rPr>
          <w:sz w:val="22"/>
          <w:szCs w:val="22"/>
        </w:rPr>
        <w:t>judge</w:t>
      </w:r>
      <w:r w:rsidRPr="005D06AE">
        <w:rPr>
          <w:spacing w:val="-12"/>
          <w:sz w:val="22"/>
          <w:szCs w:val="22"/>
        </w:rPr>
        <w:t xml:space="preserve"> </w:t>
      </w:r>
      <w:r w:rsidRPr="005D06AE">
        <w:rPr>
          <w:sz w:val="22"/>
          <w:szCs w:val="22"/>
        </w:rPr>
        <w:t>erred</w:t>
      </w:r>
      <w:r w:rsidRPr="005D06AE">
        <w:rPr>
          <w:spacing w:val="-6"/>
          <w:sz w:val="22"/>
          <w:szCs w:val="22"/>
        </w:rPr>
        <w:t xml:space="preserve"> </w:t>
      </w:r>
      <w:r w:rsidRPr="005D06AE">
        <w:rPr>
          <w:sz w:val="22"/>
          <w:szCs w:val="22"/>
        </w:rPr>
        <w:t>and</w:t>
      </w:r>
      <w:r w:rsidRPr="005D06AE">
        <w:rPr>
          <w:spacing w:val="-13"/>
          <w:sz w:val="22"/>
          <w:szCs w:val="22"/>
        </w:rPr>
        <w:t xml:space="preserve"> </w:t>
      </w:r>
      <w:r w:rsidRPr="005D06AE">
        <w:rPr>
          <w:sz w:val="22"/>
          <w:szCs w:val="22"/>
        </w:rPr>
        <w:t>misdirected</w:t>
      </w:r>
      <w:r w:rsidRPr="005D06AE">
        <w:rPr>
          <w:spacing w:val="-6"/>
          <w:sz w:val="22"/>
          <w:szCs w:val="22"/>
        </w:rPr>
        <w:t xml:space="preserve"> </w:t>
      </w:r>
      <w:r w:rsidRPr="005D06AE">
        <w:rPr>
          <w:sz w:val="22"/>
          <w:szCs w:val="22"/>
        </w:rPr>
        <w:t>himself</w:t>
      </w:r>
      <w:r w:rsidRPr="005D06AE">
        <w:rPr>
          <w:spacing w:val="-7"/>
          <w:sz w:val="22"/>
          <w:szCs w:val="22"/>
        </w:rPr>
        <w:t xml:space="preserve"> </w:t>
      </w:r>
      <w:r w:rsidRPr="005D06AE">
        <w:rPr>
          <w:sz w:val="22"/>
          <w:szCs w:val="22"/>
        </w:rPr>
        <w:t>by</w:t>
      </w:r>
      <w:r w:rsidRPr="005D06AE">
        <w:rPr>
          <w:spacing w:val="-12"/>
          <w:sz w:val="22"/>
          <w:szCs w:val="22"/>
        </w:rPr>
        <w:t xml:space="preserve"> </w:t>
      </w:r>
      <w:r w:rsidRPr="005D06AE">
        <w:rPr>
          <w:sz w:val="22"/>
          <w:szCs w:val="22"/>
        </w:rPr>
        <w:t>finding</w:t>
      </w:r>
      <w:r w:rsidRPr="005D06AE">
        <w:rPr>
          <w:spacing w:val="-11"/>
          <w:sz w:val="22"/>
          <w:szCs w:val="22"/>
        </w:rPr>
        <w:t xml:space="preserve"> </w:t>
      </w:r>
      <w:r w:rsidRPr="005D06AE">
        <w:rPr>
          <w:sz w:val="22"/>
          <w:szCs w:val="22"/>
        </w:rPr>
        <w:t>that</w:t>
      </w:r>
      <w:r w:rsidRPr="005D06AE">
        <w:rPr>
          <w:spacing w:val="-16"/>
          <w:sz w:val="22"/>
          <w:szCs w:val="22"/>
        </w:rPr>
        <w:t xml:space="preserve"> </w:t>
      </w:r>
      <w:r w:rsidRPr="005D06AE">
        <w:rPr>
          <w:sz w:val="22"/>
          <w:szCs w:val="22"/>
        </w:rPr>
        <w:t>there</w:t>
      </w:r>
      <w:r w:rsidRPr="005D06AE">
        <w:rPr>
          <w:spacing w:val="-11"/>
          <w:sz w:val="22"/>
          <w:szCs w:val="22"/>
        </w:rPr>
        <w:t xml:space="preserve"> </w:t>
      </w:r>
      <w:r w:rsidRPr="005D06AE">
        <w:rPr>
          <w:sz w:val="22"/>
          <w:szCs w:val="22"/>
        </w:rPr>
        <w:t xml:space="preserve">was </w:t>
      </w:r>
      <w:r w:rsidRPr="005D06AE">
        <w:rPr>
          <w:spacing w:val="-2"/>
          <w:sz w:val="22"/>
          <w:szCs w:val="22"/>
        </w:rPr>
        <w:t>sufficient</w:t>
      </w:r>
      <w:r w:rsidRPr="005D06AE">
        <w:rPr>
          <w:spacing w:val="-13"/>
          <w:sz w:val="22"/>
          <w:szCs w:val="22"/>
        </w:rPr>
        <w:t xml:space="preserve"> </w:t>
      </w:r>
      <w:r w:rsidRPr="005D06AE">
        <w:rPr>
          <w:spacing w:val="-2"/>
          <w:sz w:val="22"/>
          <w:szCs w:val="22"/>
        </w:rPr>
        <w:t>evidence</w:t>
      </w:r>
      <w:r w:rsidRPr="005D06AE">
        <w:rPr>
          <w:spacing w:val="-4"/>
          <w:sz w:val="22"/>
          <w:szCs w:val="22"/>
        </w:rPr>
        <w:t xml:space="preserve"> </w:t>
      </w:r>
      <w:r w:rsidRPr="005D06AE">
        <w:rPr>
          <w:spacing w:val="-2"/>
          <w:sz w:val="22"/>
          <w:szCs w:val="22"/>
        </w:rPr>
        <w:t>which</w:t>
      </w:r>
      <w:r w:rsidRPr="005D06AE">
        <w:rPr>
          <w:spacing w:val="-13"/>
          <w:sz w:val="22"/>
          <w:szCs w:val="22"/>
        </w:rPr>
        <w:t xml:space="preserve"> </w:t>
      </w:r>
      <w:r w:rsidRPr="005D06AE">
        <w:rPr>
          <w:spacing w:val="-2"/>
          <w:sz w:val="22"/>
          <w:szCs w:val="22"/>
        </w:rPr>
        <w:t>positively</w:t>
      </w:r>
      <w:r w:rsidRPr="005D06AE">
        <w:rPr>
          <w:spacing w:val="-10"/>
          <w:sz w:val="22"/>
          <w:szCs w:val="22"/>
        </w:rPr>
        <w:t xml:space="preserve"> </w:t>
      </w:r>
      <w:r w:rsidRPr="005D06AE">
        <w:rPr>
          <w:spacing w:val="-2"/>
          <w:sz w:val="22"/>
          <w:szCs w:val="22"/>
        </w:rPr>
        <w:t>identifies</w:t>
      </w:r>
      <w:r w:rsidRPr="005D06AE">
        <w:rPr>
          <w:spacing w:val="-7"/>
          <w:sz w:val="22"/>
          <w:szCs w:val="22"/>
        </w:rPr>
        <w:t xml:space="preserve"> </w:t>
      </w:r>
      <w:r w:rsidRPr="005D06AE">
        <w:rPr>
          <w:spacing w:val="-2"/>
          <w:sz w:val="22"/>
          <w:szCs w:val="22"/>
        </w:rPr>
        <w:t>the</w:t>
      </w:r>
      <w:r w:rsidRPr="005D06AE">
        <w:rPr>
          <w:spacing w:val="-14"/>
          <w:sz w:val="22"/>
          <w:szCs w:val="22"/>
        </w:rPr>
        <w:t xml:space="preserve"> </w:t>
      </w:r>
      <w:r w:rsidRPr="005D06AE">
        <w:rPr>
          <w:spacing w:val="-2"/>
          <w:sz w:val="22"/>
          <w:szCs w:val="22"/>
        </w:rPr>
        <w:t>accused</w:t>
      </w:r>
      <w:r w:rsidRPr="005D06AE">
        <w:rPr>
          <w:spacing w:val="-10"/>
          <w:sz w:val="22"/>
          <w:szCs w:val="22"/>
        </w:rPr>
        <w:t xml:space="preserve"> </w:t>
      </w:r>
      <w:r w:rsidRPr="005D06AE">
        <w:rPr>
          <w:spacing w:val="-2"/>
          <w:sz w:val="22"/>
          <w:szCs w:val="22"/>
        </w:rPr>
        <w:t>as</w:t>
      </w:r>
      <w:r w:rsidRPr="005D06AE">
        <w:rPr>
          <w:spacing w:val="-14"/>
          <w:sz w:val="22"/>
          <w:szCs w:val="22"/>
        </w:rPr>
        <w:t xml:space="preserve"> </w:t>
      </w:r>
      <w:r w:rsidRPr="005D06AE">
        <w:rPr>
          <w:spacing w:val="-2"/>
          <w:sz w:val="22"/>
          <w:szCs w:val="22"/>
        </w:rPr>
        <w:t>having</w:t>
      </w:r>
      <w:r w:rsidRPr="005D06AE">
        <w:rPr>
          <w:spacing w:val="-12"/>
          <w:sz w:val="22"/>
          <w:szCs w:val="22"/>
        </w:rPr>
        <w:t xml:space="preserve"> </w:t>
      </w:r>
      <w:r w:rsidRPr="005D06AE">
        <w:rPr>
          <w:spacing w:val="-2"/>
          <w:sz w:val="22"/>
          <w:szCs w:val="22"/>
        </w:rPr>
        <w:t>being</w:t>
      </w:r>
      <w:r w:rsidRPr="005D06AE">
        <w:rPr>
          <w:spacing w:val="-8"/>
          <w:sz w:val="22"/>
          <w:szCs w:val="22"/>
        </w:rPr>
        <w:t xml:space="preserve"> </w:t>
      </w:r>
      <w:r w:rsidRPr="005D06AE">
        <w:rPr>
          <w:spacing w:val="-2"/>
          <w:sz w:val="22"/>
          <w:szCs w:val="22"/>
        </w:rPr>
        <w:t xml:space="preserve">the </w:t>
      </w:r>
      <w:r w:rsidRPr="005D06AE">
        <w:rPr>
          <w:sz w:val="22"/>
          <w:szCs w:val="22"/>
        </w:rPr>
        <w:lastRenderedPageBreak/>
        <w:t>person</w:t>
      </w:r>
      <w:r w:rsidRPr="005D06AE">
        <w:rPr>
          <w:spacing w:val="-5"/>
          <w:sz w:val="22"/>
          <w:szCs w:val="22"/>
        </w:rPr>
        <w:t xml:space="preserve"> </w:t>
      </w:r>
      <w:r w:rsidRPr="005D06AE">
        <w:rPr>
          <w:sz w:val="22"/>
          <w:szCs w:val="22"/>
        </w:rPr>
        <w:t>who committed the offences.</w:t>
      </w:r>
    </w:p>
    <w:p w14:paraId="795E36E9" w14:textId="090304C9" w:rsidR="005D06AE" w:rsidRPr="008827ED" w:rsidRDefault="005D06AE" w:rsidP="005D06AE">
      <w:pPr>
        <w:pStyle w:val="ListParagraph"/>
        <w:widowControl w:val="0"/>
        <w:numPr>
          <w:ilvl w:val="0"/>
          <w:numId w:val="3"/>
        </w:numPr>
        <w:autoSpaceDE w:val="0"/>
        <w:autoSpaceDN w:val="0"/>
        <w:spacing w:after="0" w:line="352" w:lineRule="auto"/>
        <w:ind w:right="526"/>
        <w:jc w:val="both"/>
      </w:pPr>
      <w:r w:rsidRPr="005D06AE">
        <w:rPr>
          <w:sz w:val="23"/>
        </w:rPr>
        <w:t>The</w:t>
      </w:r>
      <w:r w:rsidRPr="005D06AE">
        <w:rPr>
          <w:spacing w:val="-16"/>
          <w:sz w:val="23"/>
        </w:rPr>
        <w:t xml:space="preserve"> </w:t>
      </w:r>
      <w:r w:rsidRPr="005D06AE">
        <w:rPr>
          <w:sz w:val="23"/>
        </w:rPr>
        <w:t>learned</w:t>
      </w:r>
      <w:r w:rsidRPr="005D06AE">
        <w:rPr>
          <w:spacing w:val="-16"/>
          <w:sz w:val="23"/>
        </w:rPr>
        <w:t xml:space="preserve"> </w:t>
      </w:r>
      <w:r w:rsidRPr="005D06AE">
        <w:rPr>
          <w:sz w:val="23"/>
        </w:rPr>
        <w:t>judge</w:t>
      </w:r>
      <w:r w:rsidRPr="005D06AE">
        <w:rPr>
          <w:spacing w:val="-16"/>
          <w:sz w:val="23"/>
        </w:rPr>
        <w:t xml:space="preserve"> </w:t>
      </w:r>
      <w:r w:rsidRPr="005D06AE">
        <w:rPr>
          <w:sz w:val="23"/>
        </w:rPr>
        <w:t>erred</w:t>
      </w:r>
      <w:r w:rsidRPr="005D06AE">
        <w:rPr>
          <w:spacing w:val="-10"/>
          <w:sz w:val="23"/>
        </w:rPr>
        <w:t xml:space="preserve"> </w:t>
      </w:r>
      <w:r w:rsidRPr="005D06AE">
        <w:rPr>
          <w:sz w:val="23"/>
        </w:rPr>
        <w:t>and</w:t>
      </w:r>
      <w:r w:rsidRPr="005D06AE">
        <w:rPr>
          <w:spacing w:val="-16"/>
          <w:sz w:val="23"/>
        </w:rPr>
        <w:t xml:space="preserve"> </w:t>
      </w:r>
      <w:r w:rsidRPr="005D06AE">
        <w:rPr>
          <w:sz w:val="23"/>
        </w:rPr>
        <w:t>misdirected</w:t>
      </w:r>
      <w:r w:rsidRPr="005D06AE">
        <w:rPr>
          <w:spacing w:val="-7"/>
          <w:sz w:val="23"/>
        </w:rPr>
        <w:t xml:space="preserve"> </w:t>
      </w:r>
      <w:r w:rsidRPr="005D06AE">
        <w:rPr>
          <w:sz w:val="23"/>
        </w:rPr>
        <w:t>himself</w:t>
      </w:r>
      <w:r w:rsidRPr="005D06AE">
        <w:rPr>
          <w:spacing w:val="-11"/>
          <w:sz w:val="23"/>
        </w:rPr>
        <w:t xml:space="preserve"> </w:t>
      </w:r>
      <w:r w:rsidRPr="005D06AE">
        <w:rPr>
          <w:sz w:val="23"/>
        </w:rPr>
        <w:t>by</w:t>
      </w:r>
      <w:r w:rsidRPr="005D06AE">
        <w:rPr>
          <w:spacing w:val="-16"/>
          <w:sz w:val="23"/>
        </w:rPr>
        <w:t xml:space="preserve"> </w:t>
      </w:r>
      <w:r w:rsidRPr="005D06AE">
        <w:rPr>
          <w:sz w:val="23"/>
        </w:rPr>
        <w:t>finding</w:t>
      </w:r>
      <w:r w:rsidRPr="005D06AE">
        <w:rPr>
          <w:spacing w:val="-9"/>
          <w:sz w:val="23"/>
        </w:rPr>
        <w:t xml:space="preserve"> </w:t>
      </w:r>
      <w:r w:rsidRPr="005D06AE">
        <w:rPr>
          <w:sz w:val="23"/>
        </w:rPr>
        <w:t>that</w:t>
      </w:r>
      <w:r w:rsidRPr="005D06AE">
        <w:rPr>
          <w:spacing w:val="-16"/>
          <w:sz w:val="23"/>
        </w:rPr>
        <w:t xml:space="preserve"> </w:t>
      </w:r>
      <w:r w:rsidRPr="005D06AE">
        <w:rPr>
          <w:sz w:val="23"/>
        </w:rPr>
        <w:t>there</w:t>
      </w:r>
      <w:r w:rsidRPr="005D06AE">
        <w:rPr>
          <w:spacing w:val="-16"/>
          <w:sz w:val="23"/>
        </w:rPr>
        <w:t xml:space="preserve"> </w:t>
      </w:r>
      <w:r w:rsidRPr="005D06AE">
        <w:rPr>
          <w:sz w:val="23"/>
        </w:rPr>
        <w:t xml:space="preserve">existed </w:t>
      </w:r>
      <w:r w:rsidRPr="005D06AE">
        <w:rPr>
          <w:spacing w:val="-2"/>
          <w:sz w:val="23"/>
        </w:rPr>
        <w:t>sufficient</w:t>
      </w:r>
      <w:r w:rsidRPr="005D06AE">
        <w:rPr>
          <w:spacing w:val="-14"/>
          <w:sz w:val="23"/>
        </w:rPr>
        <w:t xml:space="preserve"> </w:t>
      </w:r>
      <w:r w:rsidRPr="005D06AE">
        <w:rPr>
          <w:spacing w:val="-2"/>
          <w:sz w:val="23"/>
        </w:rPr>
        <w:t>evidence</w:t>
      </w:r>
      <w:r w:rsidRPr="005D06AE">
        <w:rPr>
          <w:spacing w:val="-5"/>
          <w:sz w:val="23"/>
        </w:rPr>
        <w:t xml:space="preserve"> </w:t>
      </w:r>
      <w:r w:rsidRPr="005D06AE">
        <w:rPr>
          <w:spacing w:val="-2"/>
          <w:sz w:val="23"/>
        </w:rPr>
        <w:t>before</w:t>
      </w:r>
      <w:r w:rsidRPr="005D06AE">
        <w:rPr>
          <w:spacing w:val="-14"/>
          <w:sz w:val="23"/>
        </w:rPr>
        <w:t xml:space="preserve"> </w:t>
      </w:r>
      <w:r w:rsidRPr="005D06AE">
        <w:rPr>
          <w:spacing w:val="-2"/>
          <w:sz w:val="23"/>
        </w:rPr>
        <w:t>him</w:t>
      </w:r>
      <w:r w:rsidRPr="005D06AE">
        <w:rPr>
          <w:spacing w:val="-14"/>
          <w:sz w:val="23"/>
        </w:rPr>
        <w:t xml:space="preserve"> </w:t>
      </w:r>
      <w:r w:rsidRPr="005D06AE">
        <w:rPr>
          <w:spacing w:val="-2"/>
          <w:sz w:val="23"/>
        </w:rPr>
        <w:t>to</w:t>
      </w:r>
      <w:r w:rsidRPr="005D06AE">
        <w:rPr>
          <w:spacing w:val="-14"/>
          <w:sz w:val="23"/>
        </w:rPr>
        <w:t xml:space="preserve"> </w:t>
      </w:r>
      <w:r w:rsidRPr="005D06AE">
        <w:rPr>
          <w:spacing w:val="-2"/>
          <w:sz w:val="23"/>
        </w:rPr>
        <w:t>identify</w:t>
      </w:r>
      <w:r w:rsidRPr="005D06AE">
        <w:rPr>
          <w:spacing w:val="-11"/>
          <w:sz w:val="23"/>
        </w:rPr>
        <w:t xml:space="preserve"> </w:t>
      </w:r>
      <w:r w:rsidRPr="005D06AE">
        <w:rPr>
          <w:spacing w:val="-2"/>
          <w:sz w:val="23"/>
        </w:rPr>
        <w:t>the</w:t>
      </w:r>
      <w:r w:rsidRPr="005D06AE">
        <w:rPr>
          <w:spacing w:val="-14"/>
          <w:sz w:val="23"/>
        </w:rPr>
        <w:t xml:space="preserve"> </w:t>
      </w:r>
      <w:r w:rsidRPr="005D06AE">
        <w:rPr>
          <w:spacing w:val="-2"/>
          <w:sz w:val="23"/>
        </w:rPr>
        <w:t>accused</w:t>
      </w:r>
      <w:r w:rsidRPr="005D06AE">
        <w:rPr>
          <w:spacing w:val="-8"/>
          <w:sz w:val="23"/>
        </w:rPr>
        <w:t xml:space="preserve"> </w:t>
      </w:r>
      <w:r w:rsidRPr="005D06AE">
        <w:rPr>
          <w:spacing w:val="-2"/>
          <w:sz w:val="23"/>
        </w:rPr>
        <w:t>as</w:t>
      </w:r>
      <w:r w:rsidRPr="005D06AE">
        <w:rPr>
          <w:spacing w:val="-14"/>
          <w:sz w:val="23"/>
        </w:rPr>
        <w:t xml:space="preserve"> </w:t>
      </w:r>
      <w:r w:rsidRPr="005D06AE">
        <w:rPr>
          <w:spacing w:val="-2"/>
          <w:sz w:val="23"/>
        </w:rPr>
        <w:t>having</w:t>
      </w:r>
      <w:r w:rsidRPr="005D06AE">
        <w:rPr>
          <w:spacing w:val="-12"/>
          <w:sz w:val="23"/>
        </w:rPr>
        <w:t xml:space="preserve"> </w:t>
      </w:r>
      <w:r w:rsidRPr="005D06AE">
        <w:rPr>
          <w:spacing w:val="-2"/>
          <w:sz w:val="23"/>
        </w:rPr>
        <w:t>made</w:t>
      </w:r>
      <w:r w:rsidRPr="005D06AE">
        <w:rPr>
          <w:spacing w:val="-13"/>
          <w:sz w:val="23"/>
        </w:rPr>
        <w:t xml:space="preserve"> </w:t>
      </w:r>
      <w:r w:rsidRPr="005D06AE">
        <w:rPr>
          <w:spacing w:val="-2"/>
          <w:sz w:val="23"/>
        </w:rPr>
        <w:t>a</w:t>
      </w:r>
      <w:r w:rsidRPr="005D06AE">
        <w:rPr>
          <w:spacing w:val="-10"/>
          <w:sz w:val="23"/>
        </w:rPr>
        <w:t xml:space="preserve"> </w:t>
      </w:r>
      <w:r w:rsidRPr="005D06AE">
        <w:rPr>
          <w:spacing w:val="-2"/>
          <w:sz w:val="23"/>
        </w:rPr>
        <w:t xml:space="preserve">phone </w:t>
      </w:r>
      <w:r w:rsidRPr="005D06AE">
        <w:rPr>
          <w:sz w:val="23"/>
        </w:rPr>
        <w:t>call</w:t>
      </w:r>
      <w:r w:rsidRPr="005D06AE">
        <w:rPr>
          <w:spacing w:val="-7"/>
          <w:sz w:val="23"/>
        </w:rPr>
        <w:t xml:space="preserve"> </w:t>
      </w:r>
      <w:r w:rsidRPr="005D06AE">
        <w:rPr>
          <w:sz w:val="23"/>
        </w:rPr>
        <w:t>to</w:t>
      </w:r>
      <w:r w:rsidRPr="005D06AE">
        <w:rPr>
          <w:spacing w:val="-8"/>
          <w:sz w:val="23"/>
        </w:rPr>
        <w:t xml:space="preserve"> </w:t>
      </w:r>
      <w:r w:rsidRPr="005D06AE">
        <w:rPr>
          <w:sz w:val="23"/>
        </w:rPr>
        <w:t>Ms</w:t>
      </w:r>
      <w:r w:rsidRPr="005D06AE">
        <w:rPr>
          <w:spacing w:val="-9"/>
          <w:sz w:val="23"/>
        </w:rPr>
        <w:t xml:space="preserve"> </w:t>
      </w:r>
      <w:r w:rsidRPr="005D06AE">
        <w:rPr>
          <w:sz w:val="23"/>
        </w:rPr>
        <w:t>Aili</w:t>
      </w:r>
      <w:r w:rsidRPr="005D06AE">
        <w:rPr>
          <w:spacing w:val="-4"/>
          <w:sz w:val="23"/>
        </w:rPr>
        <w:t xml:space="preserve"> </w:t>
      </w:r>
      <w:r w:rsidRPr="005D06AE">
        <w:rPr>
          <w:sz w:val="23"/>
        </w:rPr>
        <w:t>and</w:t>
      </w:r>
      <w:r w:rsidRPr="005D06AE">
        <w:rPr>
          <w:spacing w:val="-14"/>
          <w:sz w:val="23"/>
        </w:rPr>
        <w:t xml:space="preserve"> </w:t>
      </w:r>
      <w:r w:rsidRPr="005D06AE">
        <w:rPr>
          <w:sz w:val="23"/>
        </w:rPr>
        <w:t>making</w:t>
      </w:r>
      <w:r w:rsidRPr="005D06AE">
        <w:rPr>
          <w:spacing w:val="-1"/>
          <w:sz w:val="23"/>
        </w:rPr>
        <w:t xml:space="preserve"> </w:t>
      </w:r>
      <w:r w:rsidRPr="005D06AE">
        <w:rPr>
          <w:sz w:val="23"/>
        </w:rPr>
        <w:t>admissions through</w:t>
      </w:r>
      <w:r w:rsidRPr="005D06AE">
        <w:rPr>
          <w:spacing w:val="-8"/>
          <w:sz w:val="23"/>
        </w:rPr>
        <w:t xml:space="preserve"> </w:t>
      </w:r>
      <w:r w:rsidRPr="005D06AE">
        <w:rPr>
          <w:sz w:val="23"/>
        </w:rPr>
        <w:t>that</w:t>
      </w:r>
      <w:r w:rsidRPr="005D06AE">
        <w:rPr>
          <w:spacing w:val="-15"/>
          <w:sz w:val="23"/>
        </w:rPr>
        <w:t xml:space="preserve"> </w:t>
      </w:r>
      <w:r w:rsidRPr="005D06AE">
        <w:rPr>
          <w:sz w:val="23"/>
        </w:rPr>
        <w:t>phone</w:t>
      </w:r>
      <w:r w:rsidRPr="005D06AE">
        <w:rPr>
          <w:spacing w:val="-5"/>
          <w:sz w:val="23"/>
        </w:rPr>
        <w:t xml:space="preserve"> </w:t>
      </w:r>
      <w:r w:rsidRPr="005D06AE">
        <w:rPr>
          <w:sz w:val="23"/>
        </w:rPr>
        <w:t>call.</w:t>
      </w:r>
    </w:p>
    <w:p w14:paraId="560F8A16" w14:textId="77777777" w:rsidR="008827ED" w:rsidRPr="008827ED" w:rsidRDefault="008827ED" w:rsidP="008827ED">
      <w:pPr>
        <w:widowControl w:val="0"/>
        <w:autoSpaceDE w:val="0"/>
        <w:autoSpaceDN w:val="0"/>
        <w:spacing w:after="0" w:line="352" w:lineRule="auto"/>
        <w:ind w:right="526"/>
        <w:jc w:val="both"/>
        <w:rPr>
          <w:rFonts w:ascii="Arial" w:hAnsi="Arial" w:cs="Arial"/>
          <w:sz w:val="24"/>
          <w:szCs w:val="24"/>
        </w:rPr>
      </w:pPr>
    </w:p>
    <w:p w14:paraId="5AD2AA00" w14:textId="1AEDE315" w:rsidR="008827ED" w:rsidRDefault="008827ED" w:rsidP="008827ED">
      <w:pPr>
        <w:widowControl w:val="0"/>
        <w:autoSpaceDE w:val="0"/>
        <w:autoSpaceDN w:val="0"/>
        <w:spacing w:after="0" w:line="352" w:lineRule="auto"/>
        <w:ind w:right="526"/>
        <w:jc w:val="both"/>
        <w:rPr>
          <w:rFonts w:ascii="Arial" w:hAnsi="Arial" w:cs="Arial"/>
          <w:sz w:val="24"/>
          <w:szCs w:val="24"/>
        </w:rPr>
      </w:pPr>
      <w:r w:rsidRPr="008827ED">
        <w:rPr>
          <w:rFonts w:ascii="Arial" w:hAnsi="Arial" w:cs="Arial"/>
          <w:sz w:val="24"/>
          <w:szCs w:val="24"/>
        </w:rPr>
        <w:t>[18]</w:t>
      </w:r>
      <w:r w:rsidRPr="008827ED">
        <w:rPr>
          <w:rFonts w:ascii="Arial" w:hAnsi="Arial" w:cs="Arial"/>
          <w:sz w:val="24"/>
          <w:szCs w:val="24"/>
        </w:rPr>
        <w:tab/>
        <w:t xml:space="preserve">The two grounds of appeal essentially aver that the Court erred or misdirected itself when it found sufficient evidence identifying the </w:t>
      </w:r>
      <w:r w:rsidR="0017669E">
        <w:rPr>
          <w:rFonts w:ascii="Arial" w:hAnsi="Arial" w:cs="Arial"/>
          <w:sz w:val="24"/>
          <w:szCs w:val="24"/>
        </w:rPr>
        <w:t>Applicant</w:t>
      </w:r>
      <w:r w:rsidRPr="008827ED">
        <w:rPr>
          <w:rFonts w:ascii="Arial" w:hAnsi="Arial" w:cs="Arial"/>
          <w:sz w:val="24"/>
          <w:szCs w:val="24"/>
        </w:rPr>
        <w:t xml:space="preserve"> as the person who committed the offences and to determine that it was the </w:t>
      </w:r>
      <w:r w:rsidR="0017669E">
        <w:rPr>
          <w:rFonts w:ascii="Arial" w:hAnsi="Arial" w:cs="Arial"/>
          <w:sz w:val="24"/>
          <w:szCs w:val="24"/>
        </w:rPr>
        <w:t xml:space="preserve">Applicant </w:t>
      </w:r>
      <w:r w:rsidRPr="008827ED">
        <w:rPr>
          <w:rFonts w:ascii="Arial" w:hAnsi="Arial" w:cs="Arial"/>
          <w:sz w:val="24"/>
          <w:szCs w:val="24"/>
        </w:rPr>
        <w:t>who made admissions to Ms Aili during that phone call.</w:t>
      </w:r>
      <w:r>
        <w:rPr>
          <w:rFonts w:ascii="Arial" w:hAnsi="Arial" w:cs="Arial"/>
          <w:sz w:val="24"/>
          <w:szCs w:val="24"/>
        </w:rPr>
        <w:t xml:space="preserve"> </w:t>
      </w:r>
    </w:p>
    <w:p w14:paraId="7CFD6078" w14:textId="77777777" w:rsidR="00DF2491" w:rsidRDefault="00DF2491" w:rsidP="008827ED">
      <w:pPr>
        <w:widowControl w:val="0"/>
        <w:autoSpaceDE w:val="0"/>
        <w:autoSpaceDN w:val="0"/>
        <w:spacing w:after="0" w:line="352" w:lineRule="auto"/>
        <w:ind w:right="526"/>
        <w:jc w:val="both"/>
        <w:rPr>
          <w:rFonts w:ascii="Arial" w:hAnsi="Arial" w:cs="Arial"/>
          <w:sz w:val="24"/>
          <w:szCs w:val="24"/>
        </w:rPr>
      </w:pPr>
    </w:p>
    <w:p w14:paraId="527AC281" w14:textId="23FFF7FF" w:rsidR="00387D67" w:rsidRDefault="00DF2491" w:rsidP="007E52FA">
      <w:pPr>
        <w:widowControl w:val="0"/>
        <w:autoSpaceDE w:val="0"/>
        <w:autoSpaceDN w:val="0"/>
        <w:spacing w:after="0" w:line="352" w:lineRule="auto"/>
        <w:ind w:right="-46"/>
        <w:jc w:val="both"/>
        <w:rPr>
          <w:rFonts w:ascii="Arial" w:hAnsi="Arial" w:cs="Arial"/>
          <w:sz w:val="24"/>
          <w:szCs w:val="24"/>
        </w:rPr>
      </w:pPr>
      <w:r>
        <w:rPr>
          <w:rFonts w:ascii="Arial" w:hAnsi="Arial" w:cs="Arial"/>
          <w:sz w:val="24"/>
          <w:szCs w:val="24"/>
        </w:rPr>
        <w:t>[19]</w:t>
      </w:r>
      <w:r>
        <w:rPr>
          <w:rFonts w:ascii="Arial" w:hAnsi="Arial" w:cs="Arial"/>
          <w:sz w:val="24"/>
          <w:szCs w:val="24"/>
        </w:rPr>
        <w:tab/>
      </w:r>
      <w:r w:rsidR="00E53F7C" w:rsidRPr="00E53F7C">
        <w:rPr>
          <w:rFonts w:ascii="Arial" w:hAnsi="Arial" w:cs="Arial"/>
          <w:sz w:val="24"/>
          <w:szCs w:val="24"/>
        </w:rPr>
        <w:t xml:space="preserve">In arguing, Ms Nghifewa submitted </w:t>
      </w:r>
      <w:r w:rsidR="0017669E">
        <w:rPr>
          <w:rFonts w:ascii="Arial" w:hAnsi="Arial" w:cs="Arial"/>
          <w:sz w:val="24"/>
          <w:szCs w:val="24"/>
        </w:rPr>
        <w:t xml:space="preserve">that </w:t>
      </w:r>
      <w:r w:rsidR="00E53F7C" w:rsidRPr="00E53F7C">
        <w:rPr>
          <w:rFonts w:ascii="Arial" w:hAnsi="Arial" w:cs="Arial"/>
          <w:sz w:val="24"/>
          <w:szCs w:val="24"/>
        </w:rPr>
        <w:t xml:space="preserve">it is trite that a Court should exercise caution when evaluating evidence on identification. </w:t>
      </w:r>
      <w:bookmarkStart w:id="7" w:name="_Hlk157158153"/>
      <w:r w:rsidR="00E53F7C" w:rsidRPr="00E53F7C">
        <w:rPr>
          <w:rFonts w:ascii="Arial" w:hAnsi="Arial" w:cs="Arial"/>
          <w:sz w:val="24"/>
          <w:szCs w:val="24"/>
        </w:rPr>
        <w:t xml:space="preserve">Therefore, she proposed that there are reasonable prospects that another Court might find no credible evidence identifying the Applicant or that there was inadequate corroboration to accept the evidence of the identifying witnesses.  </w:t>
      </w:r>
    </w:p>
    <w:bookmarkEnd w:id="7"/>
    <w:p w14:paraId="35A9F5C9" w14:textId="77777777" w:rsidR="00E53F7C" w:rsidRDefault="00E53F7C" w:rsidP="008827ED">
      <w:pPr>
        <w:widowControl w:val="0"/>
        <w:autoSpaceDE w:val="0"/>
        <w:autoSpaceDN w:val="0"/>
        <w:spacing w:after="0" w:line="352" w:lineRule="auto"/>
        <w:ind w:right="526"/>
        <w:jc w:val="both"/>
        <w:rPr>
          <w:rFonts w:ascii="Arial" w:hAnsi="Arial" w:cs="Arial"/>
          <w:sz w:val="24"/>
          <w:szCs w:val="24"/>
        </w:rPr>
      </w:pPr>
    </w:p>
    <w:p w14:paraId="7AD6626C" w14:textId="77777777" w:rsidR="001A4B03" w:rsidRDefault="00387D67" w:rsidP="001A4B03">
      <w:pPr>
        <w:spacing w:after="0" w:line="360" w:lineRule="auto"/>
        <w:jc w:val="both"/>
        <w:rPr>
          <w:rFonts w:ascii="Arial" w:eastAsiaTheme="minorHAnsi" w:hAnsi="Arial" w:cs="Arial"/>
          <w:kern w:val="2"/>
          <w:sz w:val="24"/>
          <w:szCs w:val="24"/>
          <w:lang w:val="en-GB"/>
          <w14:ligatures w14:val="standardContextual"/>
        </w:rPr>
      </w:pPr>
      <w:r>
        <w:rPr>
          <w:rFonts w:ascii="Arial" w:hAnsi="Arial" w:cs="Arial"/>
          <w:sz w:val="24"/>
          <w:szCs w:val="24"/>
        </w:rPr>
        <w:t>[20]</w:t>
      </w:r>
      <w:r>
        <w:rPr>
          <w:rFonts w:ascii="Arial" w:hAnsi="Arial" w:cs="Arial"/>
          <w:sz w:val="24"/>
          <w:szCs w:val="24"/>
        </w:rPr>
        <w:tab/>
      </w:r>
      <w:r w:rsidR="007F3E81" w:rsidRPr="007F3E81">
        <w:rPr>
          <w:rFonts w:ascii="Arial" w:eastAsiaTheme="minorHAnsi" w:hAnsi="Arial" w:cs="Arial"/>
          <w:kern w:val="2"/>
          <w:sz w:val="24"/>
          <w:szCs w:val="24"/>
          <w:lang w:val="en-GB"/>
          <w14:ligatures w14:val="standardContextual"/>
        </w:rPr>
        <w:t>She further submitted that the Court did not adequately evaluate that the identifying witnesses did not mention the Applicant by name in their original statements and only did so in additional statements after the Applicant was arrested and appeared in Court. She also pointed out that the police initially did not obtain cell phone printouts verifying calls between numbers from MTC. According to her, this is aggravated by the fact that the station commander had the witnesses’ phone in his possession until the next day. When the police eventually requested the records, they were no longer available. Such documents could have provided either additional corroboration of the evidence of the witnesses or contradicted whether the calls were made at the time and whether this was done to and from the accused’s phone.</w:t>
      </w:r>
    </w:p>
    <w:p w14:paraId="1FE304EC" w14:textId="77777777" w:rsidR="001A4B03" w:rsidRDefault="001A4B03" w:rsidP="001A4B03">
      <w:pPr>
        <w:spacing w:after="0" w:line="360" w:lineRule="auto"/>
        <w:jc w:val="both"/>
        <w:rPr>
          <w:rFonts w:ascii="Arial" w:eastAsiaTheme="minorHAnsi" w:hAnsi="Arial" w:cs="Arial"/>
          <w:kern w:val="2"/>
          <w:sz w:val="24"/>
          <w:szCs w:val="24"/>
          <w:lang w:val="en-GB"/>
          <w14:ligatures w14:val="standardContextual"/>
        </w:rPr>
      </w:pPr>
    </w:p>
    <w:p w14:paraId="56DA37E6" w14:textId="77777777" w:rsidR="001A4B03" w:rsidRDefault="00E53F7C" w:rsidP="001A4B03">
      <w:pPr>
        <w:spacing w:after="0" w:line="360" w:lineRule="auto"/>
        <w:jc w:val="both"/>
        <w:rPr>
          <w:rFonts w:ascii="Arial" w:eastAsiaTheme="minorHAnsi" w:hAnsi="Arial" w:cs="Arial"/>
          <w:kern w:val="2"/>
          <w:sz w:val="24"/>
          <w:szCs w:val="24"/>
          <w:lang w:val="en-GB"/>
          <w14:ligatures w14:val="standardContextual"/>
        </w:rPr>
      </w:pPr>
      <w:r>
        <w:rPr>
          <w:rFonts w:ascii="Arial" w:eastAsiaTheme="minorHAnsi" w:hAnsi="Arial" w:cs="Arial"/>
          <w:kern w:val="2"/>
          <w:sz w:val="24"/>
          <w:szCs w:val="24"/>
          <w:lang w:val="en-GB"/>
          <w14:ligatures w14:val="standardContextual"/>
        </w:rPr>
        <w:t>[21]</w:t>
      </w:r>
      <w:r>
        <w:rPr>
          <w:rFonts w:ascii="Arial" w:eastAsiaTheme="minorHAnsi" w:hAnsi="Arial" w:cs="Arial"/>
          <w:kern w:val="2"/>
          <w:sz w:val="24"/>
          <w:szCs w:val="24"/>
          <w:lang w:val="en-GB"/>
          <w14:ligatures w14:val="standardContextual"/>
        </w:rPr>
        <w:tab/>
      </w:r>
      <w:r w:rsidRPr="00E53F7C">
        <w:rPr>
          <w:rFonts w:ascii="Arial" w:eastAsiaTheme="minorHAnsi" w:hAnsi="Arial" w:cs="Arial"/>
          <w:kern w:val="2"/>
          <w:sz w:val="24"/>
          <w:szCs w:val="24"/>
          <w:lang w:val="en-GB"/>
          <w14:ligatures w14:val="standardContextual"/>
        </w:rPr>
        <w:t>Ms Shigwedha, on the other hand, submitted that the Court did not misdirect itself and that there exist no reasonable prospects of success on appeal. She requested the Court to make such a finding, refuse to condone the late filing of the notice of appeal and strike the matter from the roll.</w:t>
      </w:r>
    </w:p>
    <w:p w14:paraId="5864B7CA" w14:textId="77777777" w:rsidR="001A4B03" w:rsidRDefault="001A4B03" w:rsidP="001A4B03">
      <w:pPr>
        <w:spacing w:after="0" w:line="360" w:lineRule="auto"/>
        <w:jc w:val="both"/>
        <w:rPr>
          <w:rFonts w:ascii="Arial" w:eastAsiaTheme="minorHAnsi" w:hAnsi="Arial" w:cs="Arial"/>
          <w:kern w:val="2"/>
          <w:sz w:val="24"/>
          <w:szCs w:val="24"/>
          <w:lang w:val="en-GB"/>
          <w14:ligatures w14:val="standardContextual"/>
        </w:rPr>
      </w:pPr>
    </w:p>
    <w:p w14:paraId="2EDB281A" w14:textId="77777777" w:rsidR="001A4B03" w:rsidRDefault="007E52FA" w:rsidP="001A4B03">
      <w:pPr>
        <w:spacing w:after="0" w:line="360" w:lineRule="auto"/>
        <w:jc w:val="both"/>
        <w:rPr>
          <w:rFonts w:ascii="Arial" w:eastAsiaTheme="minorHAnsi" w:hAnsi="Arial" w:cs="Arial"/>
          <w:kern w:val="2"/>
          <w:sz w:val="24"/>
          <w:szCs w:val="24"/>
          <w:lang w:val="en-GB"/>
          <w14:ligatures w14:val="standardContextual"/>
        </w:rPr>
      </w:pPr>
      <w:r>
        <w:rPr>
          <w:rFonts w:ascii="Arial" w:eastAsiaTheme="minorHAnsi" w:hAnsi="Arial" w:cs="Arial"/>
          <w:kern w:val="2"/>
          <w:sz w:val="24"/>
          <w:szCs w:val="24"/>
          <w:lang w:val="en-GB"/>
          <w14:ligatures w14:val="standardContextual"/>
        </w:rPr>
        <w:t>[22]</w:t>
      </w:r>
      <w:r>
        <w:rPr>
          <w:rFonts w:ascii="Arial" w:eastAsiaTheme="minorHAnsi" w:hAnsi="Arial" w:cs="Arial"/>
          <w:kern w:val="2"/>
          <w:sz w:val="24"/>
          <w:szCs w:val="24"/>
          <w:lang w:val="en-GB"/>
          <w14:ligatures w14:val="standardContextual"/>
        </w:rPr>
        <w:tab/>
      </w:r>
      <w:r w:rsidR="001B7ADB" w:rsidRPr="001B7ADB">
        <w:rPr>
          <w:rFonts w:ascii="Arial" w:eastAsiaTheme="minorHAnsi" w:hAnsi="Arial" w:cs="Arial"/>
          <w:kern w:val="2"/>
          <w:sz w:val="24"/>
          <w:szCs w:val="24"/>
          <w:lang w:val="en-GB"/>
          <w14:ligatures w14:val="standardContextual"/>
        </w:rPr>
        <w:t xml:space="preserve">As I have mentioned in the judgement on the merits, it is apparent that the investigation left much to be desired. Not obtaining the MTC printouts of the witness' phone and that of the accused is one of them. This can be added to the fact that the </w:t>
      </w:r>
      <w:r w:rsidR="001B7ADB" w:rsidRPr="001B7ADB">
        <w:rPr>
          <w:rFonts w:ascii="Arial" w:eastAsiaTheme="minorHAnsi" w:hAnsi="Arial" w:cs="Arial"/>
          <w:kern w:val="2"/>
          <w:sz w:val="24"/>
          <w:szCs w:val="24"/>
          <w:lang w:val="en-GB"/>
          <w14:ligatures w14:val="standardContextual"/>
        </w:rPr>
        <w:lastRenderedPageBreak/>
        <w:t>police officers who were following the tracks of the assailant were called off once the Applicant was arrested. Furthermore, the DNA examination was not done on the Applicant's T-shirt to establish whether the dark spots were blood and, if blood, whether it was that of the Applicant, deceased or both.</w:t>
      </w:r>
    </w:p>
    <w:p w14:paraId="567B82BB" w14:textId="77777777" w:rsidR="001A4B03" w:rsidRDefault="001A4B03" w:rsidP="001A4B03">
      <w:pPr>
        <w:spacing w:after="0" w:line="360" w:lineRule="auto"/>
        <w:jc w:val="both"/>
        <w:rPr>
          <w:rFonts w:ascii="Arial" w:eastAsiaTheme="minorHAnsi" w:hAnsi="Arial" w:cs="Arial"/>
          <w:kern w:val="2"/>
          <w:sz w:val="24"/>
          <w:szCs w:val="24"/>
          <w:lang w:val="en-GB"/>
          <w14:ligatures w14:val="standardContextual"/>
        </w:rPr>
      </w:pPr>
    </w:p>
    <w:p w14:paraId="20B6F415" w14:textId="77777777" w:rsidR="001A4B03" w:rsidRDefault="00B13757" w:rsidP="001A4B03">
      <w:pPr>
        <w:spacing w:after="0" w:line="360" w:lineRule="auto"/>
        <w:jc w:val="both"/>
        <w:rPr>
          <w:rFonts w:ascii="Arial" w:eastAsiaTheme="minorHAnsi" w:hAnsi="Arial" w:cs="Arial"/>
          <w:kern w:val="2"/>
          <w:sz w:val="24"/>
          <w:szCs w:val="24"/>
          <w:lang w:val="en-GB"/>
          <w14:ligatures w14:val="standardContextual"/>
        </w:rPr>
      </w:pPr>
      <w:r>
        <w:rPr>
          <w:rFonts w:ascii="Arial" w:eastAsiaTheme="minorHAnsi" w:hAnsi="Arial" w:cs="Arial"/>
          <w:kern w:val="2"/>
          <w:sz w:val="24"/>
          <w:szCs w:val="24"/>
          <w:lang w:val="en-GB"/>
          <w14:ligatures w14:val="standardContextual"/>
        </w:rPr>
        <w:t>[23]</w:t>
      </w:r>
      <w:r>
        <w:rPr>
          <w:rFonts w:ascii="Arial" w:eastAsiaTheme="minorHAnsi" w:hAnsi="Arial" w:cs="Arial"/>
          <w:kern w:val="2"/>
          <w:sz w:val="24"/>
          <w:szCs w:val="24"/>
          <w:lang w:val="en-GB"/>
          <w14:ligatures w14:val="standardContextual"/>
        </w:rPr>
        <w:tab/>
      </w:r>
      <w:r w:rsidR="00280382" w:rsidRPr="00280382">
        <w:rPr>
          <w:rFonts w:ascii="Arial" w:eastAsiaTheme="minorHAnsi" w:hAnsi="Arial" w:cs="Arial"/>
          <w:kern w:val="2"/>
          <w:sz w:val="24"/>
          <w:szCs w:val="24"/>
          <w:lang w:val="en-GB"/>
          <w14:ligatures w14:val="standardContextual"/>
        </w:rPr>
        <w:t xml:space="preserve">The Court is convinced that the convictions of the Applicant were correct. However, divorcing myself for that finding given the principles mentioned above, I’m satisfied that the Applicant has shown that there exist reasonable prospects of success on appeal insofar that another Court might find the Applicant’s identification inadequate or at least require more corroborating evidence before accepting the evidence of the witnesses identifying the Applicant on the scene and as the one using the cell phone beyond a reasonable </w:t>
      </w:r>
      <w:r w:rsidR="007F3E81" w:rsidRPr="00280382">
        <w:rPr>
          <w:rFonts w:ascii="Arial" w:eastAsiaTheme="minorHAnsi" w:hAnsi="Arial" w:cs="Arial"/>
          <w:kern w:val="2"/>
          <w:sz w:val="24"/>
          <w:szCs w:val="24"/>
          <w:lang w:val="en-GB"/>
          <w14:ligatures w14:val="standardContextual"/>
        </w:rPr>
        <w:t>doubt.</w:t>
      </w:r>
    </w:p>
    <w:p w14:paraId="1B7B5C53" w14:textId="77777777" w:rsidR="001A4B03" w:rsidRDefault="001A4B03" w:rsidP="001A4B03">
      <w:pPr>
        <w:spacing w:after="0" w:line="360" w:lineRule="auto"/>
        <w:jc w:val="both"/>
        <w:rPr>
          <w:rFonts w:ascii="Arial" w:eastAsiaTheme="minorHAnsi" w:hAnsi="Arial" w:cs="Arial"/>
          <w:kern w:val="2"/>
          <w:sz w:val="24"/>
          <w:szCs w:val="24"/>
          <w:lang w:val="en-GB"/>
          <w14:ligatures w14:val="standardContextual"/>
        </w:rPr>
      </w:pPr>
    </w:p>
    <w:p w14:paraId="07DF9EA3" w14:textId="25BE9588" w:rsidR="0021137F" w:rsidRDefault="0021137F" w:rsidP="001A4B03">
      <w:pPr>
        <w:spacing w:after="0" w:line="360" w:lineRule="auto"/>
        <w:jc w:val="both"/>
        <w:rPr>
          <w:rFonts w:ascii="Arial" w:eastAsiaTheme="minorHAnsi" w:hAnsi="Arial" w:cs="Arial"/>
          <w:kern w:val="2"/>
          <w:sz w:val="24"/>
          <w:szCs w:val="24"/>
          <w:lang w:val="en-GB"/>
          <w14:ligatures w14:val="standardContextual"/>
        </w:rPr>
      </w:pPr>
      <w:r>
        <w:rPr>
          <w:rFonts w:ascii="Arial" w:eastAsiaTheme="minorHAnsi" w:hAnsi="Arial" w:cs="Arial"/>
          <w:kern w:val="2"/>
          <w:sz w:val="24"/>
          <w:szCs w:val="24"/>
          <w:lang w:val="en-GB"/>
          <w14:ligatures w14:val="standardContextual"/>
        </w:rPr>
        <w:t>[24]</w:t>
      </w:r>
      <w:r>
        <w:rPr>
          <w:rFonts w:ascii="Arial" w:eastAsiaTheme="minorHAnsi" w:hAnsi="Arial" w:cs="Arial"/>
          <w:kern w:val="2"/>
          <w:sz w:val="24"/>
          <w:szCs w:val="24"/>
          <w:lang w:val="en-GB"/>
          <w14:ligatures w14:val="standardContextual"/>
        </w:rPr>
        <w:tab/>
        <w:t>In the result:</w:t>
      </w:r>
    </w:p>
    <w:p w14:paraId="0B244EE9" w14:textId="77777777" w:rsidR="001A4B03" w:rsidRDefault="0021137F" w:rsidP="001A4B03">
      <w:pPr>
        <w:spacing w:after="0" w:line="360" w:lineRule="auto"/>
        <w:jc w:val="both"/>
        <w:rPr>
          <w:rFonts w:ascii="Arial" w:eastAsiaTheme="minorHAnsi" w:hAnsi="Arial" w:cs="Arial"/>
          <w:kern w:val="2"/>
          <w:sz w:val="24"/>
          <w:szCs w:val="24"/>
          <w:lang w:val="en-GB"/>
          <w14:ligatures w14:val="standardContextual"/>
        </w:rPr>
      </w:pPr>
      <w:r>
        <w:rPr>
          <w:rFonts w:ascii="Arial" w:eastAsiaTheme="minorHAnsi" w:hAnsi="Arial" w:cs="Arial"/>
          <w:kern w:val="2"/>
          <w:sz w:val="24"/>
          <w:szCs w:val="24"/>
          <w:lang w:val="en-GB"/>
          <w14:ligatures w14:val="standardContextual"/>
        </w:rPr>
        <w:tab/>
        <w:t>(</w:t>
      </w:r>
      <w:r w:rsidR="001A4B03">
        <w:rPr>
          <w:rFonts w:ascii="Arial" w:eastAsiaTheme="minorHAnsi" w:hAnsi="Arial" w:cs="Arial"/>
          <w:kern w:val="2"/>
          <w:sz w:val="24"/>
          <w:szCs w:val="24"/>
          <w:lang w:val="en-GB"/>
          <w14:ligatures w14:val="standardContextual"/>
        </w:rPr>
        <w:t>1</w:t>
      </w:r>
      <w:r>
        <w:rPr>
          <w:rFonts w:ascii="Arial" w:eastAsiaTheme="minorHAnsi" w:hAnsi="Arial" w:cs="Arial"/>
          <w:kern w:val="2"/>
          <w:sz w:val="24"/>
          <w:szCs w:val="24"/>
          <w:lang w:val="en-GB"/>
          <w14:ligatures w14:val="standardContextual"/>
        </w:rPr>
        <w:t>)</w:t>
      </w:r>
      <w:r>
        <w:rPr>
          <w:rFonts w:ascii="Arial" w:eastAsiaTheme="minorHAnsi" w:hAnsi="Arial" w:cs="Arial"/>
          <w:kern w:val="2"/>
          <w:sz w:val="24"/>
          <w:szCs w:val="24"/>
          <w:lang w:val="en-GB"/>
          <w14:ligatures w14:val="standardContextual"/>
        </w:rPr>
        <w:tab/>
        <w:t xml:space="preserve">The Respondent’s Point </w:t>
      </w:r>
      <w:r w:rsidRPr="001A4B03">
        <w:rPr>
          <w:rFonts w:ascii="Arial" w:eastAsiaTheme="minorHAnsi" w:hAnsi="Arial" w:cs="Arial"/>
          <w:i/>
          <w:kern w:val="2"/>
          <w:sz w:val="24"/>
          <w:szCs w:val="24"/>
          <w:lang w:val="en-GB"/>
          <w14:ligatures w14:val="standardContextual"/>
        </w:rPr>
        <w:t xml:space="preserve">in </w:t>
      </w:r>
      <w:r w:rsidR="00622A76" w:rsidRPr="001A4B03">
        <w:rPr>
          <w:rFonts w:ascii="Arial" w:eastAsiaTheme="minorHAnsi" w:hAnsi="Arial" w:cs="Arial"/>
          <w:i/>
          <w:kern w:val="2"/>
          <w:sz w:val="24"/>
          <w:szCs w:val="24"/>
          <w:lang w:val="en-GB"/>
          <w14:ligatures w14:val="standardContextual"/>
        </w:rPr>
        <w:t>L</w:t>
      </w:r>
      <w:r w:rsidRPr="001A4B03">
        <w:rPr>
          <w:rFonts w:ascii="Arial" w:eastAsiaTheme="minorHAnsi" w:hAnsi="Arial" w:cs="Arial"/>
          <w:i/>
          <w:kern w:val="2"/>
          <w:sz w:val="24"/>
          <w:szCs w:val="24"/>
          <w:lang w:val="en-GB"/>
          <w14:ligatures w14:val="standardContextual"/>
        </w:rPr>
        <w:t>imine</w:t>
      </w:r>
      <w:r>
        <w:rPr>
          <w:rFonts w:ascii="Arial" w:eastAsiaTheme="minorHAnsi" w:hAnsi="Arial" w:cs="Arial"/>
          <w:kern w:val="2"/>
          <w:sz w:val="24"/>
          <w:szCs w:val="24"/>
          <w:lang w:val="en-GB"/>
          <w14:ligatures w14:val="standardContextual"/>
        </w:rPr>
        <w:t xml:space="preserve"> is dismissed.</w:t>
      </w:r>
    </w:p>
    <w:p w14:paraId="4DC64577" w14:textId="77777777" w:rsidR="001A4B03" w:rsidRDefault="001A4B03" w:rsidP="001A4B03">
      <w:pPr>
        <w:spacing w:after="0" w:line="360" w:lineRule="auto"/>
        <w:jc w:val="both"/>
        <w:rPr>
          <w:rFonts w:ascii="Arial" w:eastAsiaTheme="minorHAnsi" w:hAnsi="Arial" w:cs="Arial"/>
          <w:kern w:val="2"/>
          <w:sz w:val="24"/>
          <w:szCs w:val="24"/>
          <w:lang w:val="en-GB"/>
          <w14:ligatures w14:val="standardContextual"/>
        </w:rPr>
      </w:pPr>
    </w:p>
    <w:p w14:paraId="21656075" w14:textId="0AF40090" w:rsidR="00280382" w:rsidRPr="001A4B03" w:rsidRDefault="0021137F" w:rsidP="001A4B03">
      <w:pPr>
        <w:spacing w:after="0" w:line="360" w:lineRule="auto"/>
        <w:ind w:firstLine="709"/>
        <w:jc w:val="both"/>
        <w:rPr>
          <w:rFonts w:ascii="Arial" w:eastAsiaTheme="minorHAnsi" w:hAnsi="Arial" w:cs="Arial"/>
          <w:kern w:val="2"/>
          <w:sz w:val="24"/>
          <w:szCs w:val="24"/>
          <w:lang w:val="en-GB"/>
          <w14:ligatures w14:val="standardContextual"/>
        </w:rPr>
      </w:pPr>
      <w:r w:rsidRPr="001A4B03">
        <w:rPr>
          <w:rFonts w:ascii="Arial" w:hAnsi="Arial" w:cs="Arial"/>
          <w:sz w:val="24"/>
          <w:szCs w:val="24"/>
          <w:lang w:val="en-GB"/>
        </w:rPr>
        <w:t>(</w:t>
      </w:r>
      <w:r w:rsidR="001A4B03" w:rsidRPr="001A4B03">
        <w:rPr>
          <w:rFonts w:ascii="Arial" w:hAnsi="Arial" w:cs="Arial"/>
          <w:sz w:val="24"/>
          <w:szCs w:val="24"/>
          <w:lang w:val="en-GB"/>
        </w:rPr>
        <w:t>2</w:t>
      </w:r>
      <w:r w:rsidRPr="001A4B03">
        <w:rPr>
          <w:rFonts w:ascii="Arial" w:hAnsi="Arial" w:cs="Arial"/>
          <w:sz w:val="24"/>
          <w:szCs w:val="24"/>
          <w:lang w:val="en-GB"/>
        </w:rPr>
        <w:t>)</w:t>
      </w:r>
      <w:r>
        <w:rPr>
          <w:lang w:val="en-GB"/>
        </w:rPr>
        <w:t xml:space="preserve"> </w:t>
      </w:r>
      <w:r>
        <w:rPr>
          <w:lang w:val="en-GB"/>
        </w:rPr>
        <w:tab/>
      </w:r>
      <w:r w:rsidRPr="001A4B03">
        <w:rPr>
          <w:rFonts w:ascii="Arial" w:hAnsi="Arial" w:cs="Arial"/>
          <w:sz w:val="24"/>
          <w:szCs w:val="24"/>
          <w:lang w:val="en-GB"/>
        </w:rPr>
        <w:t xml:space="preserve">The Applicant’s Application for the late filing of his leave to appeal is </w:t>
      </w:r>
    </w:p>
    <w:p w14:paraId="5CDF9B51" w14:textId="1ACC0EED" w:rsidR="0021137F" w:rsidRDefault="0021137F" w:rsidP="001A4B03">
      <w:pPr>
        <w:pStyle w:val="NoSpacing"/>
        <w:spacing w:line="360" w:lineRule="auto"/>
        <w:ind w:left="709" w:firstLine="720"/>
        <w:rPr>
          <w:rFonts w:ascii="Arial" w:hAnsi="Arial" w:cs="Arial"/>
          <w:sz w:val="24"/>
          <w:szCs w:val="24"/>
          <w:lang w:val="en-GB"/>
        </w:rPr>
      </w:pPr>
      <w:r w:rsidRPr="001A4B03">
        <w:rPr>
          <w:rFonts w:ascii="Arial" w:hAnsi="Arial" w:cs="Arial"/>
          <w:sz w:val="24"/>
          <w:szCs w:val="24"/>
          <w:lang w:val="en-GB"/>
        </w:rPr>
        <w:t xml:space="preserve">condoned, and </w:t>
      </w:r>
    </w:p>
    <w:p w14:paraId="43414580" w14:textId="77777777" w:rsidR="001A4B03" w:rsidRPr="001A4B03" w:rsidRDefault="001A4B03" w:rsidP="001A4B03">
      <w:pPr>
        <w:pStyle w:val="NoSpacing"/>
        <w:spacing w:line="360" w:lineRule="auto"/>
        <w:ind w:left="709" w:firstLine="720"/>
        <w:rPr>
          <w:rFonts w:ascii="Arial" w:hAnsi="Arial" w:cs="Arial"/>
          <w:sz w:val="24"/>
          <w:szCs w:val="24"/>
          <w:lang w:val="en-GB"/>
        </w:rPr>
      </w:pPr>
    </w:p>
    <w:p w14:paraId="221EFC64" w14:textId="7056A7A2" w:rsidR="00622A76" w:rsidRPr="003D3397" w:rsidRDefault="0021137F" w:rsidP="00280382">
      <w:pPr>
        <w:spacing w:after="0" w:line="360" w:lineRule="auto"/>
        <w:ind w:left="1429" w:hanging="709"/>
        <w:contextualSpacing/>
        <w:jc w:val="both"/>
        <w:rPr>
          <w:rFonts w:ascii="Arial" w:hAnsi="Arial" w:cs="Arial"/>
          <w:sz w:val="24"/>
          <w:szCs w:val="24"/>
        </w:rPr>
      </w:pPr>
      <w:r>
        <w:rPr>
          <w:rFonts w:ascii="Arial" w:eastAsiaTheme="minorHAnsi" w:hAnsi="Arial" w:cs="Arial"/>
          <w:kern w:val="2"/>
          <w:sz w:val="24"/>
          <w:szCs w:val="24"/>
          <w:lang w:val="en-GB"/>
          <w14:ligatures w14:val="standardContextual"/>
        </w:rPr>
        <w:t>(</w:t>
      </w:r>
      <w:r w:rsidR="001A4B03">
        <w:rPr>
          <w:rFonts w:ascii="Arial" w:eastAsiaTheme="minorHAnsi" w:hAnsi="Arial" w:cs="Arial"/>
          <w:kern w:val="2"/>
          <w:sz w:val="24"/>
          <w:szCs w:val="24"/>
          <w:lang w:val="en-GB"/>
          <w14:ligatures w14:val="standardContextual"/>
        </w:rPr>
        <w:t>3</w:t>
      </w:r>
      <w:r>
        <w:rPr>
          <w:rFonts w:ascii="Arial" w:eastAsiaTheme="minorHAnsi" w:hAnsi="Arial" w:cs="Arial"/>
          <w:kern w:val="2"/>
          <w:sz w:val="24"/>
          <w:szCs w:val="24"/>
          <w:lang w:val="en-GB"/>
          <w14:ligatures w14:val="standardContextual"/>
        </w:rPr>
        <w:t>)</w:t>
      </w:r>
      <w:r>
        <w:rPr>
          <w:rFonts w:ascii="Arial" w:eastAsiaTheme="minorHAnsi" w:hAnsi="Arial" w:cs="Arial"/>
          <w:kern w:val="2"/>
          <w:sz w:val="24"/>
          <w:szCs w:val="24"/>
          <w:lang w:val="en-GB"/>
          <w14:ligatures w14:val="standardContextual"/>
        </w:rPr>
        <w:tab/>
      </w:r>
      <w:r w:rsidR="00CE6801">
        <w:rPr>
          <w:rFonts w:ascii="Arial" w:eastAsiaTheme="minorHAnsi" w:hAnsi="Arial" w:cs="Arial"/>
          <w:kern w:val="2"/>
          <w:sz w:val="24"/>
          <w:szCs w:val="24"/>
          <w:lang w:val="en-GB"/>
          <w14:ligatures w14:val="standardContextual"/>
        </w:rPr>
        <w:t xml:space="preserve">In terms of Section 316(1) of the Criminal Procedure Act, 51 of 1977 the Applicant is </w:t>
      </w:r>
      <w:r>
        <w:rPr>
          <w:rFonts w:ascii="Arial" w:eastAsiaTheme="minorHAnsi" w:hAnsi="Arial" w:cs="Arial"/>
          <w:kern w:val="2"/>
          <w:sz w:val="24"/>
          <w:szCs w:val="24"/>
          <w:lang w:val="en-GB"/>
          <w14:ligatures w14:val="standardContextual"/>
        </w:rPr>
        <w:t xml:space="preserve">granted leave to appeal </w:t>
      </w:r>
      <w:r w:rsidR="00CE6801">
        <w:rPr>
          <w:rFonts w:ascii="Arial" w:eastAsiaTheme="minorHAnsi" w:hAnsi="Arial" w:cs="Arial"/>
          <w:kern w:val="2"/>
          <w:sz w:val="24"/>
          <w:szCs w:val="24"/>
          <w:lang w:val="en-GB"/>
          <w14:ligatures w14:val="standardContextual"/>
        </w:rPr>
        <w:t xml:space="preserve">to the Supreme Court </w:t>
      </w:r>
      <w:r>
        <w:rPr>
          <w:rFonts w:ascii="Arial" w:eastAsiaTheme="minorHAnsi" w:hAnsi="Arial" w:cs="Arial"/>
          <w:kern w:val="2"/>
          <w:sz w:val="24"/>
          <w:szCs w:val="24"/>
          <w:lang w:val="en-GB"/>
          <w14:ligatures w14:val="standardContextual"/>
        </w:rPr>
        <w:t xml:space="preserve">against his convictions of Arson </w:t>
      </w:r>
      <w:r w:rsidR="00622A76">
        <w:rPr>
          <w:rFonts w:ascii="Arial" w:eastAsiaTheme="minorHAnsi" w:hAnsi="Arial" w:cs="Arial"/>
          <w:kern w:val="2"/>
          <w:sz w:val="24"/>
          <w:szCs w:val="24"/>
          <w:lang w:val="en-GB"/>
          <w14:ligatures w14:val="standardContextual"/>
        </w:rPr>
        <w:t>and of</w:t>
      </w:r>
      <w:r w:rsidR="00622A76" w:rsidRPr="003D3397">
        <w:rPr>
          <w:rFonts w:ascii="Arial" w:hAnsi="Arial" w:cs="Arial"/>
          <w:sz w:val="24"/>
          <w:szCs w:val="24"/>
        </w:rPr>
        <w:t xml:space="preserve"> </w:t>
      </w:r>
      <w:r w:rsidR="00570EB1">
        <w:rPr>
          <w:rFonts w:ascii="Arial" w:hAnsi="Arial" w:cs="Arial"/>
          <w:sz w:val="24"/>
          <w:szCs w:val="24"/>
        </w:rPr>
        <w:t>M</w:t>
      </w:r>
      <w:r w:rsidR="00622A76" w:rsidRPr="003D3397">
        <w:rPr>
          <w:rFonts w:ascii="Arial" w:hAnsi="Arial" w:cs="Arial"/>
          <w:sz w:val="24"/>
          <w:szCs w:val="24"/>
        </w:rPr>
        <w:t>urder with direct intent to kill read with the provisions of the Combating of Domestic Violence Act, 4 of 2003.</w:t>
      </w:r>
    </w:p>
    <w:p w14:paraId="6E4BC82C" w14:textId="77777777" w:rsidR="00C66F95" w:rsidRDefault="00C66F95"/>
    <w:p w14:paraId="1DCAA489" w14:textId="77777777" w:rsidR="00C66F95" w:rsidRDefault="00C66F95"/>
    <w:p w14:paraId="13F42EB9" w14:textId="77777777" w:rsidR="00C66F95" w:rsidRPr="003D3397" w:rsidRDefault="00C66F95" w:rsidP="00C66F95">
      <w:pPr>
        <w:spacing w:after="0" w:line="360" w:lineRule="auto"/>
        <w:contextualSpacing/>
        <w:jc w:val="both"/>
        <w:rPr>
          <w:rFonts w:ascii="Arial" w:hAnsi="Arial" w:cs="Arial"/>
          <w:sz w:val="24"/>
          <w:szCs w:val="24"/>
        </w:rPr>
      </w:pPr>
    </w:p>
    <w:p w14:paraId="19B128AE" w14:textId="77777777" w:rsidR="00C66F95" w:rsidRPr="003D3397" w:rsidRDefault="00C66F95" w:rsidP="00C66F95">
      <w:pPr>
        <w:spacing w:after="0" w:line="360" w:lineRule="auto"/>
        <w:jc w:val="right"/>
        <w:rPr>
          <w:rFonts w:ascii="Arial" w:hAnsi="Arial" w:cs="Arial"/>
          <w:sz w:val="24"/>
          <w:szCs w:val="24"/>
        </w:rPr>
      </w:pPr>
      <w:r w:rsidRPr="003D3397">
        <w:rPr>
          <w:rFonts w:ascii="Arial" w:hAnsi="Arial" w:cs="Arial"/>
          <w:sz w:val="24"/>
          <w:szCs w:val="24"/>
        </w:rPr>
        <w:t>_______________</w:t>
      </w:r>
    </w:p>
    <w:p w14:paraId="3C725AE7" w14:textId="77777777" w:rsidR="00C66F95" w:rsidRPr="003D3397" w:rsidRDefault="00C66F95" w:rsidP="00C66F95">
      <w:pPr>
        <w:spacing w:after="0" w:line="360" w:lineRule="auto"/>
        <w:jc w:val="right"/>
        <w:rPr>
          <w:rFonts w:ascii="Arial" w:hAnsi="Arial" w:cs="Arial"/>
          <w:sz w:val="24"/>
          <w:szCs w:val="24"/>
        </w:rPr>
      </w:pPr>
      <w:r w:rsidRPr="003D3397">
        <w:rPr>
          <w:rFonts w:ascii="Arial" w:hAnsi="Arial" w:cs="Arial"/>
          <w:sz w:val="24"/>
          <w:szCs w:val="24"/>
        </w:rPr>
        <w:t>D F Small</w:t>
      </w:r>
    </w:p>
    <w:p w14:paraId="0A161288" w14:textId="77777777" w:rsidR="00C66F95" w:rsidRPr="003D3397" w:rsidRDefault="00C66F95" w:rsidP="00C66F95">
      <w:pPr>
        <w:spacing w:after="0" w:line="360" w:lineRule="auto"/>
        <w:jc w:val="right"/>
        <w:rPr>
          <w:rFonts w:ascii="Arial" w:hAnsi="Arial" w:cs="Arial"/>
          <w:sz w:val="24"/>
          <w:szCs w:val="24"/>
        </w:rPr>
      </w:pPr>
      <w:r w:rsidRPr="003D3397">
        <w:rPr>
          <w:rFonts w:ascii="Arial" w:hAnsi="Arial" w:cs="Arial"/>
          <w:sz w:val="24"/>
          <w:szCs w:val="24"/>
        </w:rPr>
        <w:t>Acting Judge</w:t>
      </w:r>
      <w:r w:rsidRPr="003D3397">
        <w:rPr>
          <w:rFonts w:ascii="Arial" w:hAnsi="Arial" w:cs="Arial"/>
          <w:sz w:val="24"/>
          <w:szCs w:val="24"/>
        </w:rPr>
        <w:br w:type="page"/>
      </w:r>
    </w:p>
    <w:p w14:paraId="0BD1B13E" w14:textId="77777777" w:rsidR="00C66F95" w:rsidRPr="003D3397" w:rsidRDefault="00C66F95" w:rsidP="00C66F95">
      <w:pPr>
        <w:spacing w:after="0" w:line="360" w:lineRule="auto"/>
        <w:rPr>
          <w:rFonts w:ascii="Arial" w:eastAsia="Times New Roman" w:hAnsi="Arial" w:cs="Arial"/>
          <w:sz w:val="24"/>
          <w:szCs w:val="24"/>
          <w:lang w:val="en-GB"/>
        </w:rPr>
      </w:pPr>
      <w:r w:rsidRPr="003D3397">
        <w:rPr>
          <w:rFonts w:ascii="Arial" w:eastAsia="Times New Roman" w:hAnsi="Arial" w:cs="Arial"/>
          <w:sz w:val="24"/>
          <w:szCs w:val="24"/>
          <w:lang w:val="en-GB"/>
        </w:rPr>
        <w:lastRenderedPageBreak/>
        <w:t>APPEARANCES:</w:t>
      </w:r>
    </w:p>
    <w:p w14:paraId="06895618" w14:textId="77777777" w:rsidR="00C66F95" w:rsidRPr="003D3397" w:rsidRDefault="00C66F95" w:rsidP="00C66F95">
      <w:pPr>
        <w:tabs>
          <w:tab w:val="left" w:pos="1394"/>
          <w:tab w:val="left" w:pos="2528"/>
          <w:tab w:val="left" w:pos="3780"/>
        </w:tabs>
        <w:spacing w:after="0" w:line="360" w:lineRule="auto"/>
        <w:jc w:val="both"/>
        <w:rPr>
          <w:rFonts w:ascii="Arial" w:hAnsi="Arial" w:cs="Arial"/>
          <w:sz w:val="24"/>
          <w:szCs w:val="24"/>
          <w:lang w:val="en-US"/>
        </w:rPr>
      </w:pPr>
    </w:p>
    <w:p w14:paraId="5DB87D88" w14:textId="77777777" w:rsidR="00C66F95" w:rsidRPr="003D3397" w:rsidRDefault="00C66F95" w:rsidP="00C66F95">
      <w:pPr>
        <w:tabs>
          <w:tab w:val="left" w:pos="1394"/>
          <w:tab w:val="left" w:pos="2528"/>
          <w:tab w:val="left" w:pos="3780"/>
        </w:tabs>
        <w:spacing w:after="0" w:line="360" w:lineRule="auto"/>
        <w:jc w:val="both"/>
        <w:rPr>
          <w:rFonts w:ascii="Arial" w:hAnsi="Arial" w:cs="Arial"/>
          <w:sz w:val="24"/>
          <w:szCs w:val="24"/>
          <w:lang w:val="en-US"/>
        </w:rPr>
      </w:pPr>
    </w:p>
    <w:p w14:paraId="75BF69B3" w14:textId="623D2260" w:rsidR="00362895" w:rsidRPr="003D3397" w:rsidRDefault="00362895" w:rsidP="00362895">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 xml:space="preserve">APPLICANT: </w:t>
      </w:r>
      <w:r>
        <w:rPr>
          <w:rFonts w:ascii="Arial" w:hAnsi="Arial" w:cs="Arial"/>
          <w:sz w:val="24"/>
          <w:szCs w:val="24"/>
        </w:rPr>
        <w:tab/>
      </w:r>
      <w:r w:rsidRPr="003D3397">
        <w:rPr>
          <w:rFonts w:ascii="Arial" w:hAnsi="Arial" w:cs="Arial"/>
          <w:sz w:val="24"/>
          <w:szCs w:val="24"/>
        </w:rPr>
        <w:t>N. Nghifewa</w:t>
      </w:r>
    </w:p>
    <w:p w14:paraId="4B46E905" w14:textId="5E5C96CA" w:rsidR="00362895" w:rsidRPr="003D3397" w:rsidRDefault="00362895" w:rsidP="00362895">
      <w:pPr>
        <w:autoSpaceDE w:val="0"/>
        <w:autoSpaceDN w:val="0"/>
        <w:adjustRightInd w:val="0"/>
        <w:spacing w:after="0" w:line="360" w:lineRule="auto"/>
        <w:ind w:left="3780" w:hanging="3780"/>
        <w:jc w:val="both"/>
        <w:rPr>
          <w:rFonts w:ascii="Arial" w:hAnsi="Arial" w:cs="Arial"/>
          <w:sz w:val="24"/>
          <w:szCs w:val="24"/>
        </w:rPr>
      </w:pPr>
      <w:r w:rsidRPr="003D3397">
        <w:rPr>
          <w:rFonts w:ascii="Arial" w:hAnsi="Arial" w:cs="Arial"/>
          <w:sz w:val="24"/>
          <w:szCs w:val="24"/>
        </w:rPr>
        <w:tab/>
      </w:r>
      <w:r>
        <w:rPr>
          <w:rFonts w:ascii="Arial" w:hAnsi="Arial" w:cs="Arial"/>
          <w:sz w:val="24"/>
          <w:szCs w:val="24"/>
        </w:rPr>
        <w:t xml:space="preserve">Of </w:t>
      </w:r>
      <w:r w:rsidRPr="003D3397">
        <w:rPr>
          <w:rFonts w:ascii="Arial" w:hAnsi="Arial" w:cs="Arial"/>
          <w:sz w:val="24"/>
          <w:szCs w:val="24"/>
        </w:rPr>
        <w:t>Directorate of Legal Aid, Outapi</w:t>
      </w:r>
    </w:p>
    <w:p w14:paraId="7292109B" w14:textId="36ACDB6E" w:rsidR="00C66F95" w:rsidRPr="003D3397" w:rsidRDefault="00C66F95" w:rsidP="00362895">
      <w:pPr>
        <w:tabs>
          <w:tab w:val="left" w:pos="1394"/>
          <w:tab w:val="left" w:pos="2528"/>
          <w:tab w:val="left" w:pos="3780"/>
        </w:tabs>
        <w:spacing w:after="0" w:line="360" w:lineRule="auto"/>
        <w:jc w:val="both"/>
        <w:rPr>
          <w:rFonts w:ascii="Arial" w:hAnsi="Arial" w:cs="Arial"/>
          <w:sz w:val="24"/>
          <w:szCs w:val="24"/>
        </w:rPr>
      </w:pPr>
    </w:p>
    <w:p w14:paraId="68940C4F" w14:textId="77777777" w:rsidR="00C66F95" w:rsidRPr="003D3397" w:rsidRDefault="00C66F95" w:rsidP="00C66F95">
      <w:pPr>
        <w:spacing w:after="0" w:line="360" w:lineRule="auto"/>
        <w:jc w:val="both"/>
        <w:rPr>
          <w:rFonts w:ascii="Arial" w:hAnsi="Arial" w:cs="Arial"/>
          <w:sz w:val="24"/>
          <w:szCs w:val="24"/>
        </w:rPr>
      </w:pPr>
    </w:p>
    <w:p w14:paraId="206AE9E6" w14:textId="53DC7560" w:rsidR="00362895" w:rsidRPr="003D3397" w:rsidRDefault="00362895" w:rsidP="00362895">
      <w:pPr>
        <w:tabs>
          <w:tab w:val="left" w:pos="2528"/>
          <w:tab w:val="left" w:pos="3780"/>
        </w:tabs>
        <w:spacing w:after="0" w:line="360" w:lineRule="auto"/>
        <w:jc w:val="both"/>
        <w:rPr>
          <w:rFonts w:ascii="Arial" w:hAnsi="Arial" w:cs="Arial"/>
          <w:sz w:val="24"/>
          <w:szCs w:val="24"/>
        </w:rPr>
      </w:pPr>
      <w:r>
        <w:rPr>
          <w:rFonts w:ascii="Arial" w:hAnsi="Arial" w:cs="Arial"/>
          <w:sz w:val="24"/>
          <w:szCs w:val="24"/>
        </w:rPr>
        <w:t>RESPONDENT</w:t>
      </w:r>
      <w:r w:rsidR="00C66F95" w:rsidRPr="003D3397">
        <w:rPr>
          <w:rFonts w:ascii="Arial" w:hAnsi="Arial" w:cs="Arial"/>
          <w:sz w:val="24"/>
          <w:szCs w:val="24"/>
        </w:rPr>
        <w:t>:</w:t>
      </w:r>
      <w:r w:rsidR="00C66F95" w:rsidRPr="003D3397">
        <w:rPr>
          <w:rFonts w:ascii="Arial" w:hAnsi="Arial" w:cs="Arial"/>
          <w:sz w:val="24"/>
          <w:szCs w:val="24"/>
        </w:rPr>
        <w:tab/>
      </w:r>
      <w:r>
        <w:rPr>
          <w:rFonts w:ascii="Arial" w:hAnsi="Arial" w:cs="Arial"/>
          <w:sz w:val="24"/>
          <w:szCs w:val="24"/>
        </w:rPr>
        <w:tab/>
      </w:r>
      <w:r w:rsidRPr="003D3397">
        <w:rPr>
          <w:rFonts w:ascii="Arial" w:hAnsi="Arial" w:cs="Arial"/>
          <w:sz w:val="24"/>
          <w:szCs w:val="24"/>
        </w:rPr>
        <w:t>V. Shigwedha</w:t>
      </w:r>
    </w:p>
    <w:p w14:paraId="409BD55A" w14:textId="21119C06" w:rsidR="00362895" w:rsidRPr="003D3397" w:rsidRDefault="00362895" w:rsidP="00362895">
      <w:pPr>
        <w:tabs>
          <w:tab w:val="left" w:pos="1394"/>
          <w:tab w:val="left" w:pos="2528"/>
          <w:tab w:val="left" w:pos="3780"/>
        </w:tabs>
        <w:spacing w:after="0" w:line="360" w:lineRule="auto"/>
        <w:jc w:val="both"/>
        <w:rPr>
          <w:rFonts w:ascii="Arial" w:hAnsi="Arial" w:cs="Arial"/>
          <w:sz w:val="24"/>
          <w:szCs w:val="24"/>
        </w:rPr>
      </w:pPr>
      <w:r w:rsidRPr="003D3397">
        <w:rPr>
          <w:rFonts w:ascii="Arial" w:hAnsi="Arial" w:cs="Arial"/>
          <w:sz w:val="24"/>
          <w:szCs w:val="24"/>
        </w:rPr>
        <w:tab/>
      </w:r>
      <w:r w:rsidRPr="003D3397">
        <w:rPr>
          <w:rFonts w:ascii="Arial" w:hAnsi="Arial" w:cs="Arial"/>
          <w:sz w:val="24"/>
          <w:szCs w:val="24"/>
        </w:rPr>
        <w:tab/>
      </w:r>
      <w:r w:rsidRPr="003D3397">
        <w:rPr>
          <w:rFonts w:ascii="Arial" w:hAnsi="Arial" w:cs="Arial"/>
          <w:sz w:val="24"/>
          <w:szCs w:val="24"/>
        </w:rPr>
        <w:tab/>
      </w:r>
      <w:r>
        <w:rPr>
          <w:rFonts w:ascii="Arial" w:hAnsi="Arial" w:cs="Arial"/>
          <w:sz w:val="24"/>
          <w:szCs w:val="24"/>
        </w:rPr>
        <w:t xml:space="preserve">Of </w:t>
      </w:r>
      <w:r w:rsidRPr="003D3397">
        <w:rPr>
          <w:rFonts w:ascii="Arial" w:hAnsi="Arial" w:cs="Arial"/>
          <w:sz w:val="24"/>
          <w:szCs w:val="24"/>
        </w:rPr>
        <w:t>Office of the Prosecutor-General, Oshakati</w:t>
      </w:r>
    </w:p>
    <w:p w14:paraId="14AEB6EB" w14:textId="77777777" w:rsidR="00C66F95" w:rsidRPr="003D3397" w:rsidRDefault="00C66F95" w:rsidP="00C66F95">
      <w:pPr>
        <w:spacing w:after="0" w:line="360" w:lineRule="auto"/>
        <w:jc w:val="both"/>
        <w:rPr>
          <w:rFonts w:ascii="Arial" w:hAnsi="Arial" w:cs="Arial"/>
          <w:sz w:val="24"/>
          <w:szCs w:val="24"/>
        </w:rPr>
      </w:pPr>
      <w:r w:rsidRPr="003D3397">
        <w:rPr>
          <w:rFonts w:ascii="Arial" w:eastAsia="Times New Roman" w:hAnsi="Arial" w:cs="Arial"/>
          <w:sz w:val="24"/>
          <w:szCs w:val="24"/>
          <w:lang w:val="en-US" w:eastAsia="en-GB"/>
        </w:rPr>
        <w:tab/>
      </w:r>
      <w:r w:rsidRPr="003D3397">
        <w:rPr>
          <w:rFonts w:ascii="Arial" w:eastAsia="Times New Roman" w:hAnsi="Arial" w:cs="Arial"/>
          <w:sz w:val="24"/>
          <w:szCs w:val="24"/>
          <w:lang w:val="en-US" w:eastAsia="en-GB"/>
        </w:rPr>
        <w:tab/>
      </w:r>
      <w:r w:rsidRPr="003D3397">
        <w:rPr>
          <w:rFonts w:ascii="Arial" w:eastAsia="Times New Roman" w:hAnsi="Arial" w:cs="Arial"/>
          <w:sz w:val="24"/>
          <w:szCs w:val="24"/>
          <w:lang w:val="en-US" w:eastAsia="en-GB"/>
        </w:rPr>
        <w:tab/>
      </w:r>
      <w:r w:rsidRPr="003D3397">
        <w:rPr>
          <w:rFonts w:ascii="Arial" w:eastAsia="Times New Roman" w:hAnsi="Arial" w:cs="Arial"/>
          <w:sz w:val="24"/>
          <w:szCs w:val="24"/>
          <w:lang w:val="en-US" w:eastAsia="en-GB"/>
        </w:rPr>
        <w:tab/>
      </w:r>
      <w:r w:rsidRPr="003D3397">
        <w:rPr>
          <w:rFonts w:ascii="Arial" w:eastAsia="Times New Roman" w:hAnsi="Arial" w:cs="Arial"/>
          <w:sz w:val="24"/>
          <w:szCs w:val="24"/>
          <w:lang w:val="en-US" w:eastAsia="en-GB"/>
        </w:rPr>
        <w:tab/>
        <w:t xml:space="preserve">  </w:t>
      </w:r>
    </w:p>
    <w:p w14:paraId="5D75AF20" w14:textId="77777777" w:rsidR="00DB5BAD" w:rsidRPr="00DB5BAD" w:rsidRDefault="00DB5BAD" w:rsidP="00DB5BAD">
      <w:pPr>
        <w:rPr>
          <w:rFonts w:ascii="Arial" w:eastAsiaTheme="minorHAnsi" w:hAnsi="Arial" w:cs="Arial"/>
          <w:kern w:val="2"/>
          <w:sz w:val="24"/>
          <w:szCs w:val="24"/>
          <w:lang w:val="en-GB"/>
          <w14:ligatures w14:val="standardContextual"/>
        </w:rPr>
      </w:pPr>
    </w:p>
    <w:p w14:paraId="06CC3878" w14:textId="77777777" w:rsidR="00DB5BAD" w:rsidRPr="00DB5BAD" w:rsidRDefault="00DB5BAD" w:rsidP="00DB5BAD">
      <w:pPr>
        <w:rPr>
          <w:rFonts w:ascii="Arial" w:eastAsiaTheme="minorHAnsi" w:hAnsi="Arial" w:cs="Arial"/>
          <w:kern w:val="2"/>
          <w:sz w:val="24"/>
          <w:szCs w:val="24"/>
          <w:lang w:val="en-GB"/>
          <w14:ligatures w14:val="standardContextual"/>
        </w:rPr>
      </w:pPr>
    </w:p>
    <w:p w14:paraId="639EFEE7" w14:textId="77777777" w:rsidR="00DB5BAD" w:rsidRPr="00DB5BAD" w:rsidRDefault="00DB5BAD" w:rsidP="00DB5BAD">
      <w:pPr>
        <w:spacing w:line="360" w:lineRule="auto"/>
        <w:contextualSpacing/>
        <w:jc w:val="both"/>
        <w:rPr>
          <w:rFonts w:ascii="Arial" w:eastAsiaTheme="minorHAnsi" w:hAnsi="Arial" w:cs="Arial"/>
          <w:kern w:val="2"/>
          <w:sz w:val="24"/>
          <w:szCs w:val="24"/>
          <w:lang w:val="en-GB"/>
          <w14:ligatures w14:val="standardContextual"/>
        </w:rPr>
      </w:pPr>
    </w:p>
    <w:p w14:paraId="41166A2E" w14:textId="77777777" w:rsidR="00C66F95" w:rsidRDefault="00C66F95"/>
    <w:sectPr w:rsidR="00C66F95" w:rsidSect="00B30F83">
      <w:headerReference w:type="default" r:id="rId9"/>
      <w:pgSz w:w="11906" w:h="16838"/>
      <w:pgMar w:top="144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0FA0D" w14:textId="77777777" w:rsidR="00CB7F5F" w:rsidRDefault="00CB7F5F" w:rsidP="00C66F95">
      <w:pPr>
        <w:spacing w:after="0" w:line="240" w:lineRule="auto"/>
      </w:pPr>
      <w:r>
        <w:separator/>
      </w:r>
    </w:p>
  </w:endnote>
  <w:endnote w:type="continuationSeparator" w:id="0">
    <w:p w14:paraId="377E7F33" w14:textId="77777777" w:rsidR="00CB7F5F" w:rsidRDefault="00CB7F5F" w:rsidP="00C6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6844" w14:textId="77777777" w:rsidR="00CB7F5F" w:rsidRDefault="00CB7F5F" w:rsidP="00C66F95">
      <w:pPr>
        <w:spacing w:after="0" w:line="240" w:lineRule="auto"/>
      </w:pPr>
      <w:r>
        <w:separator/>
      </w:r>
    </w:p>
  </w:footnote>
  <w:footnote w:type="continuationSeparator" w:id="0">
    <w:p w14:paraId="314EE9F6" w14:textId="77777777" w:rsidR="00CB7F5F" w:rsidRDefault="00CB7F5F" w:rsidP="00C66F95">
      <w:pPr>
        <w:spacing w:after="0" w:line="240" w:lineRule="auto"/>
      </w:pPr>
      <w:r>
        <w:continuationSeparator/>
      </w:r>
    </w:p>
  </w:footnote>
  <w:footnote w:id="1">
    <w:p w14:paraId="16F81E0F" w14:textId="6E1A91C3" w:rsidR="00643905" w:rsidRPr="001A4B03" w:rsidRDefault="00643905" w:rsidP="00643905">
      <w:pPr>
        <w:spacing w:after="0" w:line="360" w:lineRule="auto"/>
        <w:jc w:val="both"/>
        <w:rPr>
          <w:rFonts w:ascii="Arial" w:hAnsi="Arial" w:cs="Arial"/>
          <w:sz w:val="20"/>
          <w:szCs w:val="20"/>
        </w:rPr>
      </w:pPr>
      <w:r w:rsidRPr="001A4B03">
        <w:rPr>
          <w:rStyle w:val="FootnoteReference"/>
          <w:rFonts w:ascii="Arial" w:hAnsi="Arial" w:cs="Arial"/>
          <w:sz w:val="20"/>
          <w:szCs w:val="20"/>
        </w:rPr>
        <w:footnoteRef/>
      </w:r>
      <w:r w:rsidRPr="001A4B03">
        <w:rPr>
          <w:rFonts w:ascii="Arial" w:hAnsi="Arial" w:cs="Arial"/>
          <w:sz w:val="20"/>
          <w:szCs w:val="20"/>
        </w:rPr>
        <w:t xml:space="preserve"> </w:t>
      </w:r>
      <w:r w:rsidRPr="001A4B03">
        <w:rPr>
          <w:rFonts w:ascii="Arial" w:eastAsia="Times New Roman" w:hAnsi="Arial" w:cs="Arial"/>
          <w:i/>
          <w:sz w:val="20"/>
          <w:szCs w:val="20"/>
          <w:lang w:eastAsia="en-ZA"/>
        </w:rPr>
        <w:t xml:space="preserve">S v Katale </w:t>
      </w:r>
      <w:r w:rsidRPr="001A4B03">
        <w:rPr>
          <w:rFonts w:ascii="Arial" w:eastAsia="Times New Roman" w:hAnsi="Arial" w:cs="Arial"/>
          <w:sz w:val="20"/>
          <w:szCs w:val="20"/>
          <w:lang w:eastAsia="en-ZA"/>
        </w:rPr>
        <w:t>(CC 5/2021) [2022] NAHCNLD 79 (25 August 2022)</w:t>
      </w:r>
    </w:p>
  </w:footnote>
  <w:footnote w:id="2">
    <w:p w14:paraId="166C091A" w14:textId="48729067" w:rsidR="00643905" w:rsidRPr="001A4B03" w:rsidRDefault="00643905">
      <w:pPr>
        <w:pStyle w:val="FootnoteText"/>
        <w:rPr>
          <w:rFonts w:ascii="Arial" w:hAnsi="Arial" w:cs="Arial"/>
          <w:lang w:val="en-US"/>
        </w:rPr>
      </w:pPr>
      <w:r w:rsidRPr="001A4B03">
        <w:rPr>
          <w:rStyle w:val="FootnoteReference"/>
          <w:rFonts w:ascii="Arial" w:hAnsi="Arial" w:cs="Arial"/>
        </w:rPr>
        <w:footnoteRef/>
      </w:r>
      <w:r w:rsidRPr="001A4B03">
        <w:rPr>
          <w:rFonts w:ascii="Arial" w:hAnsi="Arial" w:cs="Arial"/>
        </w:rPr>
        <w:t xml:space="preserve"> </w:t>
      </w:r>
      <w:r w:rsidRPr="001A4B03">
        <w:rPr>
          <w:rFonts w:ascii="Arial" w:eastAsia="Times New Roman" w:hAnsi="Arial" w:cs="Arial"/>
          <w:i/>
          <w:lang w:eastAsia="en-ZA"/>
        </w:rPr>
        <w:t xml:space="preserve">S v Katale </w:t>
      </w:r>
      <w:r w:rsidRPr="001A4B03">
        <w:rPr>
          <w:rFonts w:ascii="Arial" w:eastAsia="Times New Roman" w:hAnsi="Arial" w:cs="Arial"/>
          <w:lang w:eastAsia="en-ZA"/>
        </w:rPr>
        <w:t>(CC 5/2021) [2022] NAHCNLD 80 (2 September 2022)</w:t>
      </w:r>
    </w:p>
  </w:footnote>
  <w:footnote w:id="3">
    <w:p w14:paraId="38DEA904" w14:textId="77777777" w:rsidR="00C75CD8" w:rsidRPr="001A4B03" w:rsidRDefault="00C75CD8" w:rsidP="00B80455">
      <w:pPr>
        <w:pStyle w:val="FootnoteText"/>
        <w:jc w:val="both"/>
        <w:rPr>
          <w:rFonts w:ascii="Arial" w:hAnsi="Arial" w:cs="Arial"/>
          <w:lang w:val="en-US"/>
        </w:rPr>
      </w:pPr>
      <w:r w:rsidRPr="001A4B03">
        <w:rPr>
          <w:rStyle w:val="FootnoteReference"/>
          <w:rFonts w:ascii="Arial" w:hAnsi="Arial" w:cs="Arial"/>
        </w:rPr>
        <w:footnoteRef/>
      </w:r>
      <w:r w:rsidRPr="001A4B03">
        <w:rPr>
          <w:rFonts w:ascii="Arial" w:hAnsi="Arial" w:cs="Arial"/>
        </w:rPr>
        <w:t xml:space="preserve"> </w:t>
      </w:r>
      <w:r w:rsidRPr="001A4B03">
        <w:rPr>
          <w:rFonts w:ascii="Arial" w:hAnsi="Arial" w:cs="Arial"/>
          <w:lang w:val="en-US"/>
        </w:rPr>
        <w:t>See section 316(1) and 316(2) of the Criminal Procedure Act 51 of 1977</w:t>
      </w:r>
    </w:p>
  </w:footnote>
  <w:footnote w:id="4">
    <w:p w14:paraId="4D88C919" w14:textId="77777777" w:rsidR="00B80455" w:rsidRPr="001A4B03" w:rsidRDefault="00B80455" w:rsidP="00B80455">
      <w:pPr>
        <w:spacing w:line="240" w:lineRule="auto"/>
        <w:jc w:val="both"/>
        <w:rPr>
          <w:rFonts w:ascii="Arial" w:hAnsi="Arial" w:cs="Arial"/>
          <w:sz w:val="20"/>
          <w:szCs w:val="20"/>
          <w:lang w:val="en-GB"/>
        </w:rPr>
      </w:pPr>
      <w:r w:rsidRPr="001A4B03">
        <w:rPr>
          <w:rStyle w:val="FootnoteReference"/>
          <w:rFonts w:ascii="Arial" w:hAnsi="Arial" w:cs="Arial"/>
          <w:sz w:val="20"/>
          <w:szCs w:val="20"/>
        </w:rPr>
        <w:footnoteRef/>
      </w:r>
      <w:r w:rsidRPr="001A4B03">
        <w:rPr>
          <w:rFonts w:ascii="Arial" w:hAnsi="Arial" w:cs="Arial"/>
          <w:sz w:val="20"/>
          <w:szCs w:val="20"/>
        </w:rPr>
        <w:t xml:space="preserve"> </w:t>
      </w:r>
      <w:r w:rsidRPr="001A4B03">
        <w:rPr>
          <w:rFonts w:ascii="Arial" w:hAnsi="Arial" w:cs="Arial"/>
          <w:i/>
          <w:iCs/>
          <w:sz w:val="20"/>
          <w:szCs w:val="20"/>
        </w:rPr>
        <w:t>S v Gowaseb</w:t>
      </w:r>
      <w:r w:rsidRPr="001A4B03">
        <w:rPr>
          <w:rFonts w:ascii="Arial" w:hAnsi="Arial" w:cs="Arial"/>
          <w:sz w:val="20"/>
          <w:szCs w:val="20"/>
        </w:rPr>
        <w:t xml:space="preserve"> 2019 (1) NR 110 (HC) paragraphs 3-4, </w:t>
      </w:r>
      <w:r w:rsidRPr="001A4B03">
        <w:rPr>
          <w:rFonts w:ascii="Arial" w:hAnsi="Arial" w:cs="Arial"/>
          <w:i/>
          <w:iCs/>
          <w:sz w:val="20"/>
          <w:szCs w:val="20"/>
        </w:rPr>
        <w:t>S v Murangi</w:t>
      </w:r>
      <w:r w:rsidRPr="001A4B03">
        <w:rPr>
          <w:rFonts w:ascii="Arial" w:hAnsi="Arial" w:cs="Arial"/>
          <w:sz w:val="20"/>
          <w:szCs w:val="20"/>
        </w:rPr>
        <w:t xml:space="preserve"> [2013] NAHCMD 50 (CA 88/2013; 14 February 2014) paras 7 – 9, </w:t>
      </w:r>
      <w:r w:rsidRPr="001A4B03">
        <w:rPr>
          <w:rFonts w:ascii="Arial" w:hAnsi="Arial" w:cs="Arial"/>
          <w:i/>
          <w:iCs/>
          <w:sz w:val="20"/>
          <w:szCs w:val="20"/>
        </w:rPr>
        <w:t>S v Ngombe</w:t>
      </w:r>
      <w:r w:rsidRPr="001A4B03">
        <w:rPr>
          <w:rFonts w:ascii="Arial" w:hAnsi="Arial" w:cs="Arial"/>
          <w:sz w:val="20"/>
          <w:szCs w:val="20"/>
        </w:rPr>
        <w:t xml:space="preserve"> 1990 NR 165 (HC) at 165 H-J and </w:t>
      </w:r>
      <w:r w:rsidRPr="001A4B03">
        <w:rPr>
          <w:rFonts w:ascii="Arial" w:hAnsi="Arial" w:cs="Arial"/>
          <w:i/>
          <w:iCs/>
          <w:sz w:val="20"/>
          <w:szCs w:val="20"/>
        </w:rPr>
        <w:t>S v Nakale</w:t>
      </w:r>
      <w:r w:rsidRPr="001A4B03">
        <w:rPr>
          <w:rFonts w:ascii="Arial" w:hAnsi="Arial" w:cs="Arial"/>
          <w:sz w:val="20"/>
          <w:szCs w:val="20"/>
        </w:rPr>
        <w:t xml:space="preserve"> 2011 (2) NR 599 (SC) paragraph 7</w:t>
      </w:r>
    </w:p>
  </w:footnote>
  <w:footnote w:id="5">
    <w:p w14:paraId="215E4F9E" w14:textId="77777777" w:rsidR="000B0569" w:rsidRPr="001A4B03" w:rsidRDefault="000B0569" w:rsidP="00B80455">
      <w:pPr>
        <w:spacing w:after="0" w:line="240" w:lineRule="auto"/>
        <w:jc w:val="both"/>
        <w:rPr>
          <w:rFonts w:ascii="Arial" w:hAnsi="Arial" w:cs="Arial"/>
          <w:sz w:val="20"/>
          <w:szCs w:val="20"/>
          <w:lang w:val="en-GB"/>
        </w:rPr>
      </w:pPr>
      <w:r w:rsidRPr="001A4B03">
        <w:rPr>
          <w:rStyle w:val="FootnoteReference"/>
          <w:rFonts w:ascii="Arial" w:hAnsi="Arial" w:cs="Arial"/>
          <w:sz w:val="20"/>
          <w:szCs w:val="20"/>
        </w:rPr>
        <w:footnoteRef/>
      </w:r>
      <w:r w:rsidRPr="001A4B03">
        <w:rPr>
          <w:rFonts w:ascii="Arial" w:hAnsi="Arial" w:cs="Arial"/>
          <w:sz w:val="20"/>
          <w:szCs w:val="20"/>
        </w:rPr>
        <w:t xml:space="preserve"> </w:t>
      </w:r>
      <w:r w:rsidRPr="001A4B03">
        <w:rPr>
          <w:rFonts w:ascii="Arial" w:hAnsi="Arial" w:cs="Arial"/>
          <w:i/>
          <w:iCs/>
          <w:sz w:val="20"/>
          <w:szCs w:val="20"/>
        </w:rPr>
        <w:t>Rex v Kuzwayo</w:t>
      </w:r>
      <w:r w:rsidRPr="001A4B03">
        <w:rPr>
          <w:rFonts w:ascii="Arial" w:hAnsi="Arial" w:cs="Arial"/>
          <w:sz w:val="20"/>
          <w:szCs w:val="20"/>
        </w:rPr>
        <w:t xml:space="preserve"> 1949 (3) SA 761 (AD) at 765; See also </w:t>
      </w:r>
      <w:r w:rsidRPr="001A4B03">
        <w:rPr>
          <w:rFonts w:ascii="Arial" w:hAnsi="Arial" w:cs="Arial"/>
          <w:i/>
          <w:sz w:val="20"/>
          <w:szCs w:val="20"/>
        </w:rPr>
        <w:t xml:space="preserve">Rex v Baloi </w:t>
      </w:r>
      <w:r w:rsidRPr="001A4B03">
        <w:rPr>
          <w:rFonts w:ascii="Arial" w:hAnsi="Arial" w:cs="Arial"/>
          <w:sz w:val="20"/>
          <w:szCs w:val="20"/>
        </w:rPr>
        <w:t>1949 (1) SA 523 (A) at 524-525</w:t>
      </w:r>
    </w:p>
  </w:footnote>
  <w:footnote w:id="6">
    <w:p w14:paraId="3A21202A" w14:textId="77777777" w:rsidR="000B0569" w:rsidRPr="001A4B03" w:rsidRDefault="000B0569" w:rsidP="00B80455">
      <w:pPr>
        <w:spacing w:after="0" w:line="240" w:lineRule="auto"/>
        <w:jc w:val="both"/>
        <w:rPr>
          <w:rFonts w:ascii="Arial" w:hAnsi="Arial" w:cs="Arial"/>
          <w:sz w:val="20"/>
          <w:szCs w:val="20"/>
        </w:rPr>
      </w:pPr>
      <w:r w:rsidRPr="001A4B03">
        <w:rPr>
          <w:rStyle w:val="FootnoteReference"/>
          <w:rFonts w:ascii="Arial" w:hAnsi="Arial" w:cs="Arial"/>
          <w:sz w:val="20"/>
          <w:szCs w:val="20"/>
        </w:rPr>
        <w:footnoteRef/>
      </w:r>
      <w:r w:rsidRPr="001A4B03">
        <w:rPr>
          <w:rFonts w:ascii="Arial" w:hAnsi="Arial" w:cs="Arial"/>
          <w:sz w:val="20"/>
          <w:szCs w:val="20"/>
        </w:rPr>
        <w:t xml:space="preserve"> </w:t>
      </w:r>
      <w:r w:rsidRPr="001A4B03">
        <w:rPr>
          <w:rFonts w:ascii="Arial" w:hAnsi="Arial" w:cs="Arial"/>
          <w:i/>
          <w:iCs/>
          <w:sz w:val="20"/>
          <w:szCs w:val="20"/>
        </w:rPr>
        <w:t>R v Muller</w:t>
      </w:r>
      <w:r w:rsidRPr="001A4B03">
        <w:rPr>
          <w:rFonts w:ascii="Arial" w:hAnsi="Arial" w:cs="Arial"/>
          <w:sz w:val="20"/>
          <w:szCs w:val="20"/>
        </w:rPr>
        <w:t xml:space="preserve"> 1957 (4) SA 642 (A) at 645D-E</w:t>
      </w:r>
    </w:p>
  </w:footnote>
  <w:footnote w:id="7">
    <w:p w14:paraId="23DBB4D7" w14:textId="77777777" w:rsidR="000B0569" w:rsidRPr="001A4B03" w:rsidRDefault="000B0569" w:rsidP="000B0569">
      <w:pPr>
        <w:spacing w:line="240" w:lineRule="auto"/>
        <w:contextualSpacing/>
        <w:jc w:val="both"/>
        <w:rPr>
          <w:rFonts w:ascii="Arial" w:hAnsi="Arial" w:cs="Arial"/>
          <w:sz w:val="20"/>
          <w:szCs w:val="20"/>
        </w:rPr>
      </w:pPr>
      <w:r w:rsidRPr="001A4B03">
        <w:rPr>
          <w:rStyle w:val="FootnoteReference"/>
          <w:rFonts w:ascii="Arial" w:hAnsi="Arial" w:cs="Arial"/>
          <w:sz w:val="20"/>
          <w:szCs w:val="20"/>
        </w:rPr>
        <w:footnoteRef/>
      </w:r>
      <w:r w:rsidRPr="001A4B03">
        <w:rPr>
          <w:rFonts w:ascii="Arial" w:hAnsi="Arial" w:cs="Arial"/>
          <w:sz w:val="20"/>
          <w:szCs w:val="20"/>
        </w:rPr>
        <w:t xml:space="preserve"> S v Ceaser 1977 (2) SA 348 (A) at 350E and </w:t>
      </w:r>
      <w:r w:rsidRPr="001A4B03">
        <w:rPr>
          <w:rFonts w:ascii="Arial" w:hAnsi="Arial" w:cs="Arial"/>
          <w:i/>
          <w:sz w:val="20"/>
          <w:szCs w:val="20"/>
        </w:rPr>
        <w:t>S v Nowaseb</w:t>
      </w:r>
      <w:r w:rsidRPr="001A4B03">
        <w:rPr>
          <w:rFonts w:ascii="Arial" w:hAnsi="Arial" w:cs="Arial"/>
          <w:sz w:val="20"/>
          <w:szCs w:val="20"/>
        </w:rPr>
        <w:t xml:space="preserve"> 2007 (2) NR 640 (HC) paragraph 2</w:t>
      </w:r>
    </w:p>
  </w:footnote>
  <w:footnote w:id="8">
    <w:p w14:paraId="3EB55DD1" w14:textId="77777777" w:rsidR="000B0569" w:rsidRPr="001A4B03" w:rsidRDefault="000B0569" w:rsidP="000B0569">
      <w:pPr>
        <w:widowControl w:val="0"/>
        <w:tabs>
          <w:tab w:val="left" w:pos="1637"/>
        </w:tabs>
        <w:autoSpaceDE w:val="0"/>
        <w:autoSpaceDN w:val="0"/>
        <w:spacing w:after="0" w:line="240" w:lineRule="auto"/>
        <w:ind w:right="95"/>
        <w:jc w:val="both"/>
        <w:rPr>
          <w:rFonts w:ascii="Arial" w:hAnsi="Arial" w:cs="Arial"/>
          <w:sz w:val="20"/>
          <w:szCs w:val="20"/>
        </w:rPr>
      </w:pPr>
      <w:r w:rsidRPr="001A4B03">
        <w:rPr>
          <w:rStyle w:val="FootnoteReference"/>
          <w:rFonts w:ascii="Arial" w:hAnsi="Arial" w:cs="Arial"/>
          <w:sz w:val="20"/>
          <w:szCs w:val="20"/>
        </w:rPr>
        <w:footnoteRef/>
      </w:r>
      <w:r w:rsidRPr="001A4B03">
        <w:rPr>
          <w:rFonts w:ascii="Arial" w:hAnsi="Arial" w:cs="Arial"/>
          <w:sz w:val="20"/>
          <w:szCs w:val="20"/>
        </w:rPr>
        <w:t xml:space="preserve"> </w:t>
      </w:r>
      <w:r w:rsidRPr="001A4B03">
        <w:rPr>
          <w:rFonts w:ascii="Arial" w:hAnsi="Arial" w:cs="Arial"/>
          <w:i/>
          <w:iCs/>
          <w:sz w:val="20"/>
          <w:szCs w:val="20"/>
        </w:rPr>
        <w:t xml:space="preserve">S v Ningisa and Others </w:t>
      </w:r>
      <w:r w:rsidRPr="001A4B03">
        <w:rPr>
          <w:rFonts w:ascii="Arial" w:hAnsi="Arial" w:cs="Arial"/>
          <w:sz w:val="20"/>
          <w:szCs w:val="20"/>
        </w:rPr>
        <w:t xml:space="preserve">2013 (2) NR 504 (SC) in paragraph 6 the Supreme Court approved and applied the test as laid down in </w:t>
      </w:r>
      <w:r w:rsidRPr="001A4B03">
        <w:rPr>
          <w:rFonts w:ascii="Arial" w:hAnsi="Arial" w:cs="Arial"/>
          <w:i/>
          <w:iCs/>
          <w:sz w:val="20"/>
          <w:szCs w:val="20"/>
        </w:rPr>
        <w:t xml:space="preserve">R v Boya </w:t>
      </w:r>
      <w:r w:rsidRPr="001A4B03">
        <w:rPr>
          <w:rFonts w:ascii="Arial" w:hAnsi="Arial" w:cs="Arial"/>
          <w:sz w:val="20"/>
          <w:szCs w:val="20"/>
        </w:rPr>
        <w:t xml:space="preserve">1952 (3) SA 574 (C) at 577B – C and </w:t>
      </w:r>
      <w:r w:rsidRPr="001A4B03">
        <w:rPr>
          <w:rFonts w:ascii="Arial" w:hAnsi="Arial" w:cs="Arial"/>
          <w:i/>
          <w:iCs/>
          <w:sz w:val="20"/>
          <w:szCs w:val="20"/>
        </w:rPr>
        <w:t>S v Ackerman en 'n Ander</w:t>
      </w:r>
      <w:r w:rsidRPr="001A4B03">
        <w:rPr>
          <w:rFonts w:ascii="Arial" w:hAnsi="Arial" w:cs="Arial"/>
          <w:sz w:val="20"/>
          <w:szCs w:val="20"/>
        </w:rPr>
        <w:t xml:space="preserve"> 1973 (1) SA 765 (A) at 766H. See also stating In </w:t>
      </w:r>
      <w:r w:rsidRPr="001A4B03">
        <w:rPr>
          <w:rFonts w:ascii="Arial" w:hAnsi="Arial" w:cs="Arial"/>
          <w:i/>
          <w:iCs/>
          <w:sz w:val="20"/>
          <w:szCs w:val="20"/>
        </w:rPr>
        <w:t>S v Tcoeib</w:t>
      </w:r>
      <w:r w:rsidRPr="001A4B03">
        <w:rPr>
          <w:rFonts w:ascii="Arial" w:hAnsi="Arial" w:cs="Arial"/>
          <w:sz w:val="20"/>
          <w:szCs w:val="20"/>
        </w:rPr>
        <w:t xml:space="preserve"> 1992 NR 198 (HC) at 199H and </w:t>
      </w:r>
      <w:r w:rsidRPr="001A4B03">
        <w:rPr>
          <w:rFonts w:ascii="Arial" w:hAnsi="Arial" w:cs="Arial"/>
          <w:i/>
          <w:iCs/>
          <w:sz w:val="20"/>
          <w:szCs w:val="20"/>
        </w:rPr>
        <w:t>R</w:t>
      </w:r>
      <w:r w:rsidRPr="005F6FF1">
        <w:rPr>
          <w:rFonts w:ascii="Arial" w:hAnsi="Arial" w:cs="Arial"/>
          <w:i/>
          <w:iCs/>
          <w:sz w:val="20"/>
          <w:szCs w:val="20"/>
        </w:rPr>
        <w:t xml:space="preserve"> </w:t>
      </w:r>
      <w:r w:rsidRPr="001A4B03">
        <w:rPr>
          <w:rFonts w:ascii="Arial" w:hAnsi="Arial" w:cs="Arial"/>
          <w:i/>
          <w:iCs/>
          <w:sz w:val="20"/>
          <w:szCs w:val="20"/>
        </w:rPr>
        <w:t>v Ngubane and Others</w:t>
      </w:r>
      <w:r w:rsidRPr="001A4B03">
        <w:rPr>
          <w:rFonts w:ascii="Arial" w:hAnsi="Arial" w:cs="Arial"/>
          <w:sz w:val="20"/>
          <w:szCs w:val="20"/>
        </w:rPr>
        <w:t xml:space="preserve"> 1945 AD 185 at 187, See also </w:t>
      </w:r>
      <w:r w:rsidRPr="001A4B03">
        <w:rPr>
          <w:rFonts w:ascii="Arial" w:hAnsi="Arial" w:cs="Arial"/>
          <w:i/>
          <w:sz w:val="20"/>
          <w:szCs w:val="20"/>
        </w:rPr>
        <w:t xml:space="preserve">Ndovai v S </w:t>
      </w:r>
      <w:r w:rsidRPr="001A4B03">
        <w:rPr>
          <w:rFonts w:ascii="Arial" w:hAnsi="Arial" w:cs="Arial"/>
          <w:sz w:val="20"/>
          <w:szCs w:val="20"/>
        </w:rPr>
        <w:t>(CC 10/2019) [2021] NAHCNLD 85 (11 October 2021) paragraph 6.</w:t>
      </w:r>
    </w:p>
  </w:footnote>
  <w:footnote w:id="9">
    <w:p w14:paraId="4EDD003A" w14:textId="77777777" w:rsidR="000B0569" w:rsidRPr="001A4B03" w:rsidRDefault="000B0569" w:rsidP="000B0569">
      <w:pPr>
        <w:spacing w:line="240" w:lineRule="auto"/>
        <w:jc w:val="both"/>
        <w:rPr>
          <w:rFonts w:ascii="Arial" w:hAnsi="Arial" w:cs="Arial"/>
          <w:sz w:val="20"/>
          <w:szCs w:val="20"/>
        </w:rPr>
      </w:pPr>
      <w:r w:rsidRPr="001A4B03">
        <w:rPr>
          <w:rStyle w:val="FootnoteReference"/>
          <w:rFonts w:ascii="Arial" w:hAnsi="Arial" w:cs="Arial"/>
          <w:sz w:val="20"/>
          <w:szCs w:val="20"/>
        </w:rPr>
        <w:footnoteRef/>
      </w:r>
      <w:r w:rsidRPr="001A4B03">
        <w:rPr>
          <w:rFonts w:ascii="Arial" w:hAnsi="Arial" w:cs="Arial"/>
          <w:sz w:val="20"/>
          <w:szCs w:val="20"/>
        </w:rPr>
        <w:t xml:space="preserve"> </w:t>
      </w:r>
      <w:r w:rsidRPr="001A4B03">
        <w:rPr>
          <w:rFonts w:ascii="Arial" w:hAnsi="Arial" w:cs="Arial"/>
          <w:i/>
          <w:iCs/>
          <w:sz w:val="20"/>
          <w:szCs w:val="20"/>
        </w:rPr>
        <w:t>R v Muller</w:t>
      </w:r>
      <w:r w:rsidRPr="001A4B03">
        <w:rPr>
          <w:rFonts w:ascii="Arial" w:hAnsi="Arial" w:cs="Arial"/>
          <w:sz w:val="20"/>
          <w:szCs w:val="20"/>
        </w:rPr>
        <w:t xml:space="preserve"> 1957 (4) SA 642 (A) at 645E-F and 645G. and </w:t>
      </w:r>
      <w:r w:rsidRPr="001A4B03">
        <w:rPr>
          <w:rFonts w:ascii="Arial" w:eastAsia="Times New Roman" w:hAnsi="Arial" w:cs="Arial"/>
          <w:i/>
          <w:sz w:val="20"/>
          <w:szCs w:val="20"/>
          <w:lang w:eastAsia="en-ZA"/>
        </w:rPr>
        <w:t xml:space="preserve">S v Ningisa and Others </w:t>
      </w:r>
      <w:r w:rsidRPr="001A4B03">
        <w:rPr>
          <w:rFonts w:ascii="Arial" w:eastAsia="Times New Roman" w:hAnsi="Arial" w:cs="Arial"/>
          <w:iCs/>
          <w:sz w:val="20"/>
          <w:szCs w:val="20"/>
          <w:lang w:eastAsia="en-ZA"/>
        </w:rPr>
        <w:t>2013 (2) NR 504 (SC) paragraph 5</w:t>
      </w:r>
      <w:r w:rsidRPr="001A4B03">
        <w:rPr>
          <w:rFonts w:ascii="Arial" w:hAnsi="Arial" w:cs="Arial"/>
          <w:sz w:val="20"/>
          <w:szCs w:val="20"/>
        </w:rPr>
        <w:t xml:space="preserve"> </w:t>
      </w:r>
    </w:p>
  </w:footnote>
  <w:footnote w:id="10">
    <w:p w14:paraId="3A8526A7" w14:textId="2196DB09" w:rsidR="00F11836" w:rsidRPr="001A4B03" w:rsidRDefault="00F11836" w:rsidP="00F11836">
      <w:pPr>
        <w:spacing w:line="240" w:lineRule="auto"/>
        <w:jc w:val="both"/>
        <w:rPr>
          <w:rFonts w:ascii="Arial" w:hAnsi="Arial" w:cs="Arial"/>
          <w:sz w:val="20"/>
          <w:szCs w:val="20"/>
        </w:rPr>
      </w:pPr>
      <w:r w:rsidRPr="001A4B03">
        <w:rPr>
          <w:rStyle w:val="FootnoteReference"/>
          <w:rFonts w:ascii="Arial" w:hAnsi="Arial" w:cs="Arial"/>
          <w:sz w:val="20"/>
          <w:szCs w:val="20"/>
        </w:rPr>
        <w:footnoteRef/>
      </w:r>
      <w:r w:rsidRPr="001A4B03">
        <w:rPr>
          <w:rFonts w:ascii="Arial" w:hAnsi="Arial" w:cs="Arial"/>
          <w:sz w:val="20"/>
          <w:szCs w:val="20"/>
        </w:rPr>
        <w:t xml:space="preserve"> Practice Directive 38(1) promulgated under Government notice No. 67 High Court Practice Directions: Rules of High Court of Namibia, 2014 and published in Government Gazette 5461 dated 9 May 2014</w:t>
      </w:r>
    </w:p>
    <w:p w14:paraId="392AB1BE" w14:textId="2128B10F" w:rsidR="00F11836" w:rsidRPr="00F11836" w:rsidRDefault="00F1183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868394"/>
      <w:docPartObj>
        <w:docPartGallery w:val="Page Numbers (Top of Page)"/>
        <w:docPartUnique/>
      </w:docPartObj>
    </w:sdtPr>
    <w:sdtEndPr>
      <w:rPr>
        <w:noProof/>
      </w:rPr>
    </w:sdtEndPr>
    <w:sdtContent>
      <w:p w14:paraId="59B00E01" w14:textId="38412DD1" w:rsidR="00C66F95" w:rsidRDefault="00C66F95">
        <w:pPr>
          <w:pStyle w:val="Header"/>
          <w:jc w:val="right"/>
        </w:pPr>
        <w:r>
          <w:fldChar w:fldCharType="begin"/>
        </w:r>
        <w:r>
          <w:instrText xml:space="preserve"> PAGE   \* MERGEFORMAT </w:instrText>
        </w:r>
        <w:r>
          <w:fldChar w:fldCharType="separate"/>
        </w:r>
        <w:r w:rsidR="00667AA6">
          <w:rPr>
            <w:noProof/>
          </w:rPr>
          <w:t>4</w:t>
        </w:r>
        <w:r>
          <w:rPr>
            <w:noProof/>
          </w:rPr>
          <w:fldChar w:fldCharType="end"/>
        </w:r>
      </w:p>
    </w:sdtContent>
  </w:sdt>
  <w:p w14:paraId="5BEB4038" w14:textId="77777777" w:rsidR="00C66F95" w:rsidRDefault="00C6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979"/>
    <w:multiLevelType w:val="hybridMultilevel"/>
    <w:tmpl w:val="A6AED118"/>
    <w:lvl w:ilvl="0" w:tplc="3EBAF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02C88"/>
    <w:multiLevelType w:val="hybridMultilevel"/>
    <w:tmpl w:val="4E4AD1BC"/>
    <w:lvl w:ilvl="0" w:tplc="C9602538">
      <w:start w:val="4"/>
      <w:numFmt w:val="decimal"/>
      <w:lvlText w:val="%1."/>
      <w:lvlJc w:val="left"/>
      <w:pPr>
        <w:ind w:left="836" w:hanging="336"/>
      </w:pPr>
      <w:rPr>
        <w:rFonts w:ascii="Arial" w:eastAsia="Arial" w:hAnsi="Arial" w:cs="Arial" w:hint="default"/>
        <w:b w:val="0"/>
        <w:bCs w:val="0"/>
        <w:i w:val="0"/>
        <w:iCs w:val="0"/>
        <w:spacing w:val="-1"/>
        <w:w w:val="92"/>
        <w:sz w:val="23"/>
        <w:szCs w:val="23"/>
        <w:lang w:val="en-US" w:eastAsia="en-US" w:bidi="ar-SA"/>
      </w:rPr>
    </w:lvl>
    <w:lvl w:ilvl="1" w:tplc="3050F5E6">
      <w:numFmt w:val="bullet"/>
      <w:lvlText w:val="•"/>
      <w:lvlJc w:val="left"/>
      <w:pPr>
        <w:ind w:left="1660" w:hanging="336"/>
      </w:pPr>
      <w:rPr>
        <w:rFonts w:hint="default"/>
        <w:lang w:val="en-US" w:eastAsia="en-US" w:bidi="ar-SA"/>
      </w:rPr>
    </w:lvl>
    <w:lvl w:ilvl="2" w:tplc="1A6C0910">
      <w:numFmt w:val="bullet"/>
      <w:lvlText w:val="•"/>
      <w:lvlJc w:val="left"/>
      <w:pPr>
        <w:ind w:left="2480" w:hanging="336"/>
      </w:pPr>
      <w:rPr>
        <w:rFonts w:hint="default"/>
        <w:lang w:val="en-US" w:eastAsia="en-US" w:bidi="ar-SA"/>
      </w:rPr>
    </w:lvl>
    <w:lvl w:ilvl="3" w:tplc="067E5D72">
      <w:numFmt w:val="bullet"/>
      <w:lvlText w:val="•"/>
      <w:lvlJc w:val="left"/>
      <w:pPr>
        <w:ind w:left="3300" w:hanging="336"/>
      </w:pPr>
      <w:rPr>
        <w:rFonts w:hint="default"/>
        <w:lang w:val="en-US" w:eastAsia="en-US" w:bidi="ar-SA"/>
      </w:rPr>
    </w:lvl>
    <w:lvl w:ilvl="4" w:tplc="6E481DD0">
      <w:numFmt w:val="bullet"/>
      <w:lvlText w:val="•"/>
      <w:lvlJc w:val="left"/>
      <w:pPr>
        <w:ind w:left="4121" w:hanging="336"/>
      </w:pPr>
      <w:rPr>
        <w:rFonts w:hint="default"/>
        <w:lang w:val="en-US" w:eastAsia="en-US" w:bidi="ar-SA"/>
      </w:rPr>
    </w:lvl>
    <w:lvl w:ilvl="5" w:tplc="3782E94E">
      <w:numFmt w:val="bullet"/>
      <w:lvlText w:val="•"/>
      <w:lvlJc w:val="left"/>
      <w:pPr>
        <w:ind w:left="4941" w:hanging="336"/>
      </w:pPr>
      <w:rPr>
        <w:rFonts w:hint="default"/>
        <w:lang w:val="en-US" w:eastAsia="en-US" w:bidi="ar-SA"/>
      </w:rPr>
    </w:lvl>
    <w:lvl w:ilvl="6" w:tplc="DFE87F5A">
      <w:numFmt w:val="bullet"/>
      <w:lvlText w:val="•"/>
      <w:lvlJc w:val="left"/>
      <w:pPr>
        <w:ind w:left="5761" w:hanging="336"/>
      </w:pPr>
      <w:rPr>
        <w:rFonts w:hint="default"/>
        <w:lang w:val="en-US" w:eastAsia="en-US" w:bidi="ar-SA"/>
      </w:rPr>
    </w:lvl>
    <w:lvl w:ilvl="7" w:tplc="0DA60500">
      <w:numFmt w:val="bullet"/>
      <w:lvlText w:val="•"/>
      <w:lvlJc w:val="left"/>
      <w:pPr>
        <w:ind w:left="6582" w:hanging="336"/>
      </w:pPr>
      <w:rPr>
        <w:rFonts w:hint="default"/>
        <w:lang w:val="en-US" w:eastAsia="en-US" w:bidi="ar-SA"/>
      </w:rPr>
    </w:lvl>
    <w:lvl w:ilvl="8" w:tplc="41EA377E">
      <w:numFmt w:val="bullet"/>
      <w:lvlText w:val="•"/>
      <w:lvlJc w:val="left"/>
      <w:pPr>
        <w:ind w:left="7402" w:hanging="336"/>
      </w:pPr>
      <w:rPr>
        <w:rFonts w:hint="default"/>
        <w:lang w:val="en-US" w:eastAsia="en-US" w:bidi="ar-SA"/>
      </w:rPr>
    </w:lvl>
  </w:abstractNum>
  <w:abstractNum w:abstractNumId="2" w15:restartNumberingAfterBreak="0">
    <w:nsid w:val="345845E5"/>
    <w:multiLevelType w:val="hybridMultilevel"/>
    <w:tmpl w:val="BD76F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0267E5"/>
    <w:multiLevelType w:val="hybridMultilevel"/>
    <w:tmpl w:val="F1B0741C"/>
    <w:lvl w:ilvl="0" w:tplc="08FE3224">
      <w:start w:val="1"/>
      <w:numFmt w:val="decimal"/>
      <w:lvlText w:val="(%1)"/>
      <w:lvlJc w:val="left"/>
      <w:pPr>
        <w:ind w:left="1080" w:hanging="7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A6933"/>
    <w:multiLevelType w:val="hybridMultilevel"/>
    <w:tmpl w:val="2C006826"/>
    <w:lvl w:ilvl="0" w:tplc="049E9C48">
      <w:start w:val="1"/>
      <w:numFmt w:val="decimal"/>
      <w:lvlText w:val="%1."/>
      <w:lvlJc w:val="left"/>
      <w:pPr>
        <w:ind w:left="1114" w:hanging="263"/>
      </w:pPr>
      <w:rPr>
        <w:rFonts w:hint="default"/>
        <w:spacing w:val="-1"/>
        <w:w w:val="92"/>
        <w:lang w:val="en-US" w:eastAsia="en-US" w:bidi="ar-SA"/>
      </w:rPr>
    </w:lvl>
    <w:lvl w:ilvl="1" w:tplc="ED547466">
      <w:numFmt w:val="bullet"/>
      <w:lvlText w:val="•"/>
      <w:lvlJc w:val="left"/>
      <w:pPr>
        <w:ind w:left="2078" w:hanging="263"/>
      </w:pPr>
      <w:rPr>
        <w:rFonts w:hint="default"/>
        <w:lang w:val="en-US" w:eastAsia="en-US" w:bidi="ar-SA"/>
      </w:rPr>
    </w:lvl>
    <w:lvl w:ilvl="2" w:tplc="FD5AEBDC">
      <w:numFmt w:val="bullet"/>
      <w:lvlText w:val="•"/>
      <w:lvlJc w:val="left"/>
      <w:pPr>
        <w:ind w:left="3036" w:hanging="263"/>
      </w:pPr>
      <w:rPr>
        <w:rFonts w:hint="default"/>
        <w:lang w:val="en-US" w:eastAsia="en-US" w:bidi="ar-SA"/>
      </w:rPr>
    </w:lvl>
    <w:lvl w:ilvl="3" w:tplc="FBF0A872">
      <w:numFmt w:val="bullet"/>
      <w:lvlText w:val="•"/>
      <w:lvlJc w:val="left"/>
      <w:pPr>
        <w:ind w:left="3994" w:hanging="263"/>
      </w:pPr>
      <w:rPr>
        <w:rFonts w:hint="default"/>
        <w:lang w:val="en-US" w:eastAsia="en-US" w:bidi="ar-SA"/>
      </w:rPr>
    </w:lvl>
    <w:lvl w:ilvl="4" w:tplc="9BF6D416">
      <w:numFmt w:val="bullet"/>
      <w:lvlText w:val="•"/>
      <w:lvlJc w:val="left"/>
      <w:pPr>
        <w:ind w:left="4953" w:hanging="263"/>
      </w:pPr>
      <w:rPr>
        <w:rFonts w:hint="default"/>
        <w:lang w:val="en-US" w:eastAsia="en-US" w:bidi="ar-SA"/>
      </w:rPr>
    </w:lvl>
    <w:lvl w:ilvl="5" w:tplc="CB506798">
      <w:numFmt w:val="bullet"/>
      <w:lvlText w:val="•"/>
      <w:lvlJc w:val="left"/>
      <w:pPr>
        <w:ind w:left="5911" w:hanging="263"/>
      </w:pPr>
      <w:rPr>
        <w:rFonts w:hint="default"/>
        <w:lang w:val="en-US" w:eastAsia="en-US" w:bidi="ar-SA"/>
      </w:rPr>
    </w:lvl>
    <w:lvl w:ilvl="6" w:tplc="D3EC91A6">
      <w:numFmt w:val="bullet"/>
      <w:lvlText w:val="•"/>
      <w:lvlJc w:val="left"/>
      <w:pPr>
        <w:ind w:left="6869" w:hanging="263"/>
      </w:pPr>
      <w:rPr>
        <w:rFonts w:hint="default"/>
        <w:lang w:val="en-US" w:eastAsia="en-US" w:bidi="ar-SA"/>
      </w:rPr>
    </w:lvl>
    <w:lvl w:ilvl="7" w:tplc="1226A81A">
      <w:numFmt w:val="bullet"/>
      <w:lvlText w:val="•"/>
      <w:lvlJc w:val="left"/>
      <w:pPr>
        <w:ind w:left="7828" w:hanging="263"/>
      </w:pPr>
      <w:rPr>
        <w:rFonts w:hint="default"/>
        <w:lang w:val="en-US" w:eastAsia="en-US" w:bidi="ar-SA"/>
      </w:rPr>
    </w:lvl>
    <w:lvl w:ilvl="8" w:tplc="8A1A8686">
      <w:numFmt w:val="bullet"/>
      <w:lvlText w:val="•"/>
      <w:lvlJc w:val="left"/>
      <w:pPr>
        <w:ind w:left="8786" w:hanging="263"/>
      </w:pPr>
      <w:rPr>
        <w:rFonts w:hint="default"/>
        <w:lang w:val="en-US" w:eastAsia="en-US" w:bidi="ar-S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95"/>
    <w:rsid w:val="000255AD"/>
    <w:rsid w:val="000B0569"/>
    <w:rsid w:val="000E6E62"/>
    <w:rsid w:val="0017669E"/>
    <w:rsid w:val="001A4B03"/>
    <w:rsid w:val="001B7ADB"/>
    <w:rsid w:val="0021137F"/>
    <w:rsid w:val="00264FAF"/>
    <w:rsid w:val="00280382"/>
    <w:rsid w:val="002B250B"/>
    <w:rsid w:val="002C7F85"/>
    <w:rsid w:val="00362895"/>
    <w:rsid w:val="0036369D"/>
    <w:rsid w:val="00387D67"/>
    <w:rsid w:val="003A2D9B"/>
    <w:rsid w:val="004B3725"/>
    <w:rsid w:val="004F0588"/>
    <w:rsid w:val="00510CD0"/>
    <w:rsid w:val="00570C83"/>
    <w:rsid w:val="00570EB1"/>
    <w:rsid w:val="005B4B68"/>
    <w:rsid w:val="005D06AE"/>
    <w:rsid w:val="005F6FF1"/>
    <w:rsid w:val="00621AD1"/>
    <w:rsid w:val="00622A76"/>
    <w:rsid w:val="00643905"/>
    <w:rsid w:val="00667AA6"/>
    <w:rsid w:val="00674706"/>
    <w:rsid w:val="0068512D"/>
    <w:rsid w:val="0079570A"/>
    <w:rsid w:val="007A683E"/>
    <w:rsid w:val="007E52FA"/>
    <w:rsid w:val="007F3E81"/>
    <w:rsid w:val="007F7D47"/>
    <w:rsid w:val="008827ED"/>
    <w:rsid w:val="00945DFB"/>
    <w:rsid w:val="00951C35"/>
    <w:rsid w:val="009C1FF0"/>
    <w:rsid w:val="009E4B76"/>
    <w:rsid w:val="00AD5BDE"/>
    <w:rsid w:val="00B0336E"/>
    <w:rsid w:val="00B13757"/>
    <w:rsid w:val="00B2203D"/>
    <w:rsid w:val="00B30F83"/>
    <w:rsid w:val="00B80455"/>
    <w:rsid w:val="00BB6D10"/>
    <w:rsid w:val="00C10467"/>
    <w:rsid w:val="00C66F95"/>
    <w:rsid w:val="00C75CD8"/>
    <w:rsid w:val="00CB7F5F"/>
    <w:rsid w:val="00CC6552"/>
    <w:rsid w:val="00CE6801"/>
    <w:rsid w:val="00D31854"/>
    <w:rsid w:val="00D67C44"/>
    <w:rsid w:val="00D922E5"/>
    <w:rsid w:val="00DB5BAD"/>
    <w:rsid w:val="00DF2491"/>
    <w:rsid w:val="00E15E3B"/>
    <w:rsid w:val="00E53F7C"/>
    <w:rsid w:val="00EA1604"/>
    <w:rsid w:val="00EA2F53"/>
    <w:rsid w:val="00F11836"/>
    <w:rsid w:val="00F30EA1"/>
    <w:rsid w:val="00F37D6D"/>
    <w:rsid w:val="00F52E9E"/>
    <w:rsid w:val="00F86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CF6A"/>
  <w15:chartTrackingRefBased/>
  <w15:docId w15:val="{F9CBD994-2C7E-4910-9E84-D5E3676B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95"/>
    <w:rPr>
      <w:rFonts w:ascii="Calibri" w:eastAsia="Calibri" w:hAnsi="Calibri" w:cs="Times New Roman"/>
      <w:kern w:val="0"/>
      <w:sz w:val="22"/>
      <w:szCs w:val="22"/>
      <w:lang w:val="en-ZA"/>
      <w14:ligatures w14:val="none"/>
    </w:rPr>
  </w:style>
  <w:style w:type="paragraph" w:styleId="Heading1">
    <w:name w:val="heading 1"/>
    <w:basedOn w:val="Normal"/>
    <w:next w:val="Normal"/>
    <w:link w:val="Heading1Char"/>
    <w:uiPriority w:val="9"/>
    <w:qFormat/>
    <w:rsid w:val="00C66F95"/>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C66F95"/>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C66F95"/>
    <w:pPr>
      <w:keepNext/>
      <w:keepLines/>
      <w:spacing w:before="160" w:after="80"/>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C66F95"/>
    <w:pPr>
      <w:keepNext/>
      <w:keepLines/>
      <w:spacing w:before="80" w:after="40"/>
      <w:outlineLvl w:val="3"/>
    </w:pPr>
    <w:rPr>
      <w:rFonts w:asciiTheme="minorHAnsi" w:eastAsiaTheme="majorEastAsia" w:hAnsiTheme="minorHAnsi" w:cstheme="majorBidi"/>
      <w:i/>
      <w:iCs/>
      <w:color w:val="0F4761" w:themeColor="accent1" w:themeShade="BF"/>
      <w:kern w:val="2"/>
      <w:sz w:val="24"/>
      <w:szCs w:val="24"/>
      <w:lang w:val="en-GB"/>
      <w14:ligatures w14:val="standardContextual"/>
    </w:rPr>
  </w:style>
  <w:style w:type="paragraph" w:styleId="Heading5">
    <w:name w:val="heading 5"/>
    <w:basedOn w:val="Normal"/>
    <w:next w:val="Normal"/>
    <w:link w:val="Heading5Char"/>
    <w:uiPriority w:val="9"/>
    <w:semiHidden/>
    <w:unhideWhenUsed/>
    <w:qFormat/>
    <w:rsid w:val="00C66F95"/>
    <w:pPr>
      <w:keepNext/>
      <w:keepLines/>
      <w:spacing w:before="80" w:after="40"/>
      <w:outlineLvl w:val="4"/>
    </w:pPr>
    <w:rPr>
      <w:rFonts w:asciiTheme="minorHAnsi" w:eastAsiaTheme="majorEastAsia" w:hAnsiTheme="minorHAnsi" w:cstheme="majorBidi"/>
      <w:color w:val="0F4761" w:themeColor="accent1" w:themeShade="BF"/>
      <w:kern w:val="2"/>
      <w:sz w:val="24"/>
      <w:szCs w:val="24"/>
      <w:lang w:val="en-GB"/>
      <w14:ligatures w14:val="standardContextual"/>
    </w:rPr>
  </w:style>
  <w:style w:type="paragraph" w:styleId="Heading6">
    <w:name w:val="heading 6"/>
    <w:basedOn w:val="Normal"/>
    <w:next w:val="Normal"/>
    <w:link w:val="Heading6Char"/>
    <w:uiPriority w:val="9"/>
    <w:semiHidden/>
    <w:unhideWhenUsed/>
    <w:qFormat/>
    <w:rsid w:val="00C66F95"/>
    <w:pPr>
      <w:keepNext/>
      <w:keepLines/>
      <w:spacing w:before="40" w:after="0"/>
      <w:outlineLvl w:val="5"/>
    </w:pPr>
    <w:rPr>
      <w:rFonts w:asciiTheme="minorHAnsi" w:eastAsiaTheme="majorEastAsia" w:hAnsiTheme="minorHAnsi" w:cstheme="majorBidi"/>
      <w:i/>
      <w:iCs/>
      <w:color w:val="595959" w:themeColor="text1" w:themeTint="A6"/>
      <w:kern w:val="2"/>
      <w:sz w:val="24"/>
      <w:szCs w:val="24"/>
      <w:lang w:val="en-GB"/>
      <w14:ligatures w14:val="standardContextual"/>
    </w:rPr>
  </w:style>
  <w:style w:type="paragraph" w:styleId="Heading7">
    <w:name w:val="heading 7"/>
    <w:basedOn w:val="Normal"/>
    <w:next w:val="Normal"/>
    <w:link w:val="Heading7Char"/>
    <w:uiPriority w:val="9"/>
    <w:semiHidden/>
    <w:unhideWhenUsed/>
    <w:qFormat/>
    <w:rsid w:val="00C66F95"/>
    <w:pPr>
      <w:keepNext/>
      <w:keepLines/>
      <w:spacing w:before="40" w:after="0"/>
      <w:outlineLvl w:val="6"/>
    </w:pPr>
    <w:rPr>
      <w:rFonts w:asciiTheme="minorHAnsi" w:eastAsiaTheme="majorEastAsia" w:hAnsiTheme="minorHAnsi" w:cstheme="majorBidi"/>
      <w:color w:val="595959" w:themeColor="text1" w:themeTint="A6"/>
      <w:kern w:val="2"/>
      <w:sz w:val="24"/>
      <w:szCs w:val="24"/>
      <w:lang w:val="en-GB"/>
      <w14:ligatures w14:val="standardContextual"/>
    </w:rPr>
  </w:style>
  <w:style w:type="paragraph" w:styleId="Heading8">
    <w:name w:val="heading 8"/>
    <w:basedOn w:val="Normal"/>
    <w:next w:val="Normal"/>
    <w:link w:val="Heading8Char"/>
    <w:uiPriority w:val="9"/>
    <w:semiHidden/>
    <w:unhideWhenUsed/>
    <w:qFormat/>
    <w:rsid w:val="00C66F95"/>
    <w:pPr>
      <w:keepNext/>
      <w:keepLines/>
      <w:spacing w:after="0"/>
      <w:outlineLvl w:val="7"/>
    </w:pPr>
    <w:rPr>
      <w:rFonts w:asciiTheme="minorHAnsi" w:eastAsiaTheme="majorEastAsia" w:hAnsiTheme="minorHAnsi" w:cstheme="majorBidi"/>
      <w:i/>
      <w:iCs/>
      <w:color w:val="272727" w:themeColor="text1" w:themeTint="D8"/>
      <w:kern w:val="2"/>
      <w:sz w:val="24"/>
      <w:szCs w:val="24"/>
      <w:lang w:val="en-GB"/>
      <w14:ligatures w14:val="standardContextual"/>
    </w:rPr>
  </w:style>
  <w:style w:type="paragraph" w:styleId="Heading9">
    <w:name w:val="heading 9"/>
    <w:basedOn w:val="Normal"/>
    <w:next w:val="Normal"/>
    <w:link w:val="Heading9Char"/>
    <w:uiPriority w:val="9"/>
    <w:semiHidden/>
    <w:unhideWhenUsed/>
    <w:qFormat/>
    <w:rsid w:val="00C66F95"/>
    <w:pPr>
      <w:keepNext/>
      <w:keepLines/>
      <w:spacing w:after="0"/>
      <w:outlineLvl w:val="8"/>
    </w:pPr>
    <w:rPr>
      <w:rFonts w:asciiTheme="minorHAnsi" w:eastAsiaTheme="majorEastAsia" w:hAnsiTheme="minorHAnsi" w:cstheme="majorBidi"/>
      <w:color w:val="272727" w:themeColor="text1" w:themeTint="D8"/>
      <w:kern w:val="2"/>
      <w:sz w:val="24"/>
      <w:szCs w:val="24"/>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F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6F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6F9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6F9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66F9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66F9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66F9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66F9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66F9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66F95"/>
    <w:pPr>
      <w:spacing w:after="80" w:line="240" w:lineRule="auto"/>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C66F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6F95"/>
    <w:pPr>
      <w:numPr>
        <w:ilvl w:val="1"/>
      </w:numPr>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C66F9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66F95"/>
    <w:pPr>
      <w:spacing w:before="160"/>
      <w:jc w:val="center"/>
    </w:pPr>
    <w:rPr>
      <w:rFonts w:ascii="Arial" w:eastAsiaTheme="minorHAnsi" w:hAnsi="Arial" w:cs="Arial"/>
      <w:i/>
      <w:iCs/>
      <w:color w:val="404040" w:themeColor="text1" w:themeTint="BF"/>
      <w:kern w:val="2"/>
      <w:sz w:val="24"/>
      <w:szCs w:val="24"/>
      <w:lang w:val="en-GB"/>
      <w14:ligatures w14:val="standardContextual"/>
    </w:rPr>
  </w:style>
  <w:style w:type="character" w:customStyle="1" w:styleId="QuoteChar">
    <w:name w:val="Quote Char"/>
    <w:basedOn w:val="DefaultParagraphFont"/>
    <w:link w:val="Quote"/>
    <w:uiPriority w:val="29"/>
    <w:rsid w:val="00C66F95"/>
    <w:rPr>
      <w:i/>
      <w:iCs/>
      <w:color w:val="404040" w:themeColor="text1" w:themeTint="BF"/>
    </w:rPr>
  </w:style>
  <w:style w:type="paragraph" w:styleId="ListParagraph">
    <w:name w:val="List Paragraph"/>
    <w:basedOn w:val="Normal"/>
    <w:uiPriority w:val="1"/>
    <w:qFormat/>
    <w:rsid w:val="00C66F95"/>
    <w:pPr>
      <w:ind w:left="720"/>
      <w:contextualSpacing/>
    </w:pPr>
    <w:rPr>
      <w:rFonts w:ascii="Arial" w:eastAsiaTheme="minorHAnsi" w:hAnsi="Arial" w:cs="Arial"/>
      <w:kern w:val="2"/>
      <w:sz w:val="24"/>
      <w:szCs w:val="24"/>
      <w:lang w:val="en-GB"/>
      <w14:ligatures w14:val="standardContextual"/>
    </w:rPr>
  </w:style>
  <w:style w:type="character" w:styleId="IntenseEmphasis">
    <w:name w:val="Intense Emphasis"/>
    <w:basedOn w:val="DefaultParagraphFont"/>
    <w:uiPriority w:val="21"/>
    <w:qFormat/>
    <w:rsid w:val="00C66F95"/>
    <w:rPr>
      <w:i/>
      <w:iCs/>
      <w:color w:val="0F4761" w:themeColor="accent1" w:themeShade="BF"/>
    </w:rPr>
  </w:style>
  <w:style w:type="paragraph" w:styleId="IntenseQuote">
    <w:name w:val="Intense Quote"/>
    <w:basedOn w:val="Normal"/>
    <w:next w:val="Normal"/>
    <w:link w:val="IntenseQuoteChar"/>
    <w:uiPriority w:val="30"/>
    <w:qFormat/>
    <w:rsid w:val="00C66F95"/>
    <w:pPr>
      <w:pBdr>
        <w:top w:val="single" w:sz="4" w:space="10" w:color="0F4761" w:themeColor="accent1" w:themeShade="BF"/>
        <w:bottom w:val="single" w:sz="4" w:space="10" w:color="0F4761" w:themeColor="accent1" w:themeShade="BF"/>
      </w:pBdr>
      <w:spacing w:before="360" w:after="360"/>
      <w:ind w:left="864" w:right="864"/>
      <w:jc w:val="center"/>
    </w:pPr>
    <w:rPr>
      <w:rFonts w:ascii="Arial" w:eastAsiaTheme="minorHAnsi" w:hAnsi="Arial" w:cs="Arial"/>
      <w:i/>
      <w:iCs/>
      <w:color w:val="0F4761" w:themeColor="accent1" w:themeShade="BF"/>
      <w:kern w:val="2"/>
      <w:sz w:val="24"/>
      <w:szCs w:val="24"/>
      <w:lang w:val="en-GB"/>
      <w14:ligatures w14:val="standardContextual"/>
    </w:rPr>
  </w:style>
  <w:style w:type="character" w:customStyle="1" w:styleId="IntenseQuoteChar">
    <w:name w:val="Intense Quote Char"/>
    <w:basedOn w:val="DefaultParagraphFont"/>
    <w:link w:val="IntenseQuote"/>
    <w:uiPriority w:val="30"/>
    <w:rsid w:val="00C66F95"/>
    <w:rPr>
      <w:i/>
      <w:iCs/>
      <w:color w:val="0F4761" w:themeColor="accent1" w:themeShade="BF"/>
    </w:rPr>
  </w:style>
  <w:style w:type="character" w:styleId="IntenseReference">
    <w:name w:val="Intense Reference"/>
    <w:basedOn w:val="DefaultParagraphFont"/>
    <w:uiPriority w:val="32"/>
    <w:qFormat/>
    <w:rsid w:val="00C66F95"/>
    <w:rPr>
      <w:b/>
      <w:bCs/>
      <w:smallCaps/>
      <w:color w:val="0F4761" w:themeColor="accent1" w:themeShade="BF"/>
      <w:spacing w:val="5"/>
    </w:rPr>
  </w:style>
  <w:style w:type="paragraph" w:styleId="BodyText">
    <w:name w:val="Body Text"/>
    <w:basedOn w:val="Normal"/>
    <w:link w:val="BodyTextChar"/>
    <w:uiPriority w:val="1"/>
    <w:qFormat/>
    <w:rsid w:val="00C66F95"/>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66F95"/>
    <w:rPr>
      <w:rFonts w:eastAsia="Arial"/>
      <w:kern w:val="0"/>
      <w:lang w:val="en-US"/>
      <w14:ligatures w14:val="none"/>
    </w:rPr>
  </w:style>
  <w:style w:type="paragraph" w:styleId="Header">
    <w:name w:val="header"/>
    <w:basedOn w:val="Normal"/>
    <w:link w:val="HeaderChar"/>
    <w:uiPriority w:val="99"/>
    <w:unhideWhenUsed/>
    <w:rsid w:val="00C6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F95"/>
    <w:rPr>
      <w:rFonts w:ascii="Calibri" w:eastAsia="Calibri" w:hAnsi="Calibri" w:cs="Times New Roman"/>
      <w:kern w:val="0"/>
      <w:sz w:val="22"/>
      <w:szCs w:val="22"/>
      <w:lang w:val="en-ZA"/>
      <w14:ligatures w14:val="none"/>
    </w:rPr>
  </w:style>
  <w:style w:type="paragraph" w:styleId="Footer">
    <w:name w:val="footer"/>
    <w:basedOn w:val="Normal"/>
    <w:link w:val="FooterChar"/>
    <w:uiPriority w:val="99"/>
    <w:unhideWhenUsed/>
    <w:rsid w:val="00C6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F95"/>
    <w:rPr>
      <w:rFonts w:ascii="Calibri" w:eastAsia="Calibri" w:hAnsi="Calibri" w:cs="Times New Roman"/>
      <w:kern w:val="0"/>
      <w:sz w:val="22"/>
      <w:szCs w:val="22"/>
      <w:lang w:val="en-ZA"/>
      <w14:ligatures w14:val="none"/>
    </w:rPr>
  </w:style>
  <w:style w:type="paragraph" w:styleId="FootnoteText">
    <w:name w:val="footnote text"/>
    <w:basedOn w:val="Normal"/>
    <w:link w:val="FootnoteTextChar"/>
    <w:uiPriority w:val="99"/>
    <w:semiHidden/>
    <w:unhideWhenUsed/>
    <w:rsid w:val="00643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905"/>
    <w:rPr>
      <w:rFonts w:ascii="Calibri" w:eastAsia="Calibri" w:hAnsi="Calibri" w:cs="Times New Roman"/>
      <w:kern w:val="0"/>
      <w:sz w:val="20"/>
      <w:szCs w:val="20"/>
      <w:lang w:val="en-ZA"/>
      <w14:ligatures w14:val="none"/>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semiHidden/>
    <w:unhideWhenUsed/>
    <w:qFormat/>
    <w:rsid w:val="00643905"/>
    <w:rPr>
      <w:vertAlign w:val="superscript"/>
    </w:rPr>
  </w:style>
  <w:style w:type="character" w:styleId="Emphasis">
    <w:name w:val="Emphasis"/>
    <w:basedOn w:val="DefaultParagraphFont"/>
    <w:uiPriority w:val="20"/>
    <w:qFormat/>
    <w:rsid w:val="00510CD0"/>
    <w:rPr>
      <w:i/>
      <w:iCs/>
    </w:rPr>
  </w:style>
  <w:style w:type="paragraph" w:styleId="NoSpacing">
    <w:name w:val="No Spacing"/>
    <w:uiPriority w:val="1"/>
    <w:qFormat/>
    <w:rsid w:val="001A4B03"/>
    <w:pPr>
      <w:spacing w:after="0" w:line="240" w:lineRule="auto"/>
    </w:pPr>
    <w:rPr>
      <w:rFonts w:ascii="Calibri" w:eastAsia="Calibri" w:hAnsi="Calibri" w:cs="Times New Roman"/>
      <w:kern w:val="0"/>
      <w:sz w:val="22"/>
      <w:szCs w:val="22"/>
      <w:lang w:val="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74072">
      <w:bodyDiv w:val="1"/>
      <w:marLeft w:val="0"/>
      <w:marRight w:val="0"/>
      <w:marTop w:val="0"/>
      <w:marBottom w:val="0"/>
      <w:divBdr>
        <w:top w:val="none" w:sz="0" w:space="0" w:color="auto"/>
        <w:left w:val="none" w:sz="0" w:space="0" w:color="auto"/>
        <w:bottom w:val="none" w:sz="0" w:space="0" w:color="auto"/>
        <w:right w:val="none" w:sz="0" w:space="0" w:color="auto"/>
      </w:divBdr>
    </w:div>
    <w:div w:id="18306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2024-01-25T18:30:00+00:00</Judgment_x0020_Date>
  </documentManagement>
</p:properties>
</file>

<file path=customXml/itemProps1.xml><?xml version="1.0" encoding="utf-8"?>
<ds:datastoreItem xmlns:ds="http://schemas.openxmlformats.org/officeDocument/2006/customXml" ds:itemID="{BB2BD249-8102-42EF-BBD5-8C3E4D7B6198}"/>
</file>

<file path=customXml/itemProps2.xml><?xml version="1.0" encoding="utf-8"?>
<ds:datastoreItem xmlns:ds="http://schemas.openxmlformats.org/officeDocument/2006/customXml" ds:itemID="{A3BE502D-88EB-44B5-BF9C-7CE56B16107C}"/>
</file>

<file path=customXml/itemProps3.xml><?xml version="1.0" encoding="utf-8"?>
<ds:datastoreItem xmlns:ds="http://schemas.openxmlformats.org/officeDocument/2006/customXml" ds:itemID="{BDFC479D-97A9-4D59-B1B9-ABE5C9404E7A}"/>
</file>

<file path=customXml/itemProps4.xml><?xml version="1.0" encoding="utf-8"?>
<ds:datastoreItem xmlns:ds="http://schemas.openxmlformats.org/officeDocument/2006/customXml" ds:itemID="{C658F4F1-6CCC-455B-9DD2-7A1C305C90CF}"/>
</file>

<file path=docProps/app.xml><?xml version="1.0" encoding="utf-8"?>
<Properties xmlns="http://schemas.openxmlformats.org/officeDocument/2006/extended-properties" xmlns:vt="http://schemas.openxmlformats.org/officeDocument/2006/docPropsVTypes">
  <Template>Normal</Template>
  <TotalTime>0</TotalTime>
  <Pages>9</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Katale v S (CC 5-2021) [2024] NAHCNLD 09 (26 January 2024)</dc:title>
  <dc:subject/>
  <dc:creator>Daniel F Small</dc:creator>
  <cp:keywords/>
  <dc:description/>
  <cp:lastModifiedBy>Lineekela Haimbili</cp:lastModifiedBy>
  <cp:revision>2</cp:revision>
  <dcterms:created xsi:type="dcterms:W3CDTF">2024-01-26T11:29:00Z</dcterms:created>
  <dcterms:modified xsi:type="dcterms:W3CDTF">2024-01-26T11:29:00Z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