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81" w:rsidRPr="005F5BA0" w:rsidRDefault="002D047B" w:rsidP="00491281">
      <w:pPr>
        <w:spacing w:line="360" w:lineRule="auto"/>
        <w:jc w:val="center"/>
        <w:rPr>
          <w:rFonts w:ascii="Courier New" w:hAnsi="Courier New" w:cs="Courier New"/>
          <w:sz w:val="24"/>
          <w:szCs w:val="24"/>
        </w:rPr>
      </w:pPr>
      <w:bookmarkStart w:id="0" w:name="_GoBack"/>
      <w:bookmarkEnd w:id="0"/>
      <w:r>
        <w:rPr>
          <w:rFonts w:ascii="Courier New" w:hAnsi="Courier New" w:cs="Courier New"/>
          <w:noProof/>
          <w:sz w:val="24"/>
          <w:szCs w:val="24"/>
        </w:rPr>
        <w:drawing>
          <wp:inline distT="0" distB="0" distL="0" distR="0">
            <wp:extent cx="1647825" cy="1350645"/>
            <wp:effectExtent l="0" t="0" r="9525" b="190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350645"/>
                    </a:xfrm>
                    <a:prstGeom prst="rect">
                      <a:avLst/>
                    </a:prstGeom>
                    <a:noFill/>
                    <a:ln>
                      <a:noFill/>
                    </a:ln>
                  </pic:spPr>
                </pic:pic>
              </a:graphicData>
            </a:graphic>
          </wp:inline>
        </w:drawing>
      </w:r>
    </w:p>
    <w:p w:rsidR="00491281" w:rsidRPr="005F5BA0" w:rsidRDefault="00491281" w:rsidP="00491281">
      <w:pPr>
        <w:spacing w:line="360" w:lineRule="auto"/>
        <w:jc w:val="center"/>
        <w:rPr>
          <w:rFonts w:ascii="Courier New" w:hAnsi="Courier New" w:cs="Courier New"/>
          <w:b/>
          <w:sz w:val="24"/>
          <w:szCs w:val="24"/>
        </w:rPr>
      </w:pPr>
      <w:r w:rsidRPr="005F5BA0">
        <w:rPr>
          <w:rFonts w:ascii="Courier New" w:hAnsi="Courier New" w:cs="Courier New"/>
          <w:b/>
          <w:sz w:val="24"/>
          <w:szCs w:val="24"/>
        </w:rPr>
        <w:t>REPUBLIC OF NAMIBIA</w:t>
      </w:r>
    </w:p>
    <w:p w:rsidR="00491281" w:rsidRPr="005F5BA0" w:rsidRDefault="00491281" w:rsidP="00491281">
      <w:pPr>
        <w:spacing w:line="240" w:lineRule="auto"/>
        <w:jc w:val="both"/>
        <w:rPr>
          <w:rFonts w:ascii="Courier New" w:hAnsi="Courier New" w:cs="Courier New"/>
          <w:b/>
          <w:sz w:val="24"/>
          <w:szCs w:val="24"/>
        </w:rPr>
      </w:pPr>
      <w:r w:rsidRPr="005F5BA0">
        <w:rPr>
          <w:rFonts w:ascii="Courier New" w:hAnsi="Courier New" w:cs="Courier New"/>
          <w:b/>
          <w:sz w:val="24"/>
          <w:szCs w:val="24"/>
        </w:rPr>
        <w:t>IN THE HIGH COURT OF NAMIBIA, MAIN DIVISION</w:t>
      </w:r>
    </w:p>
    <w:p w:rsidR="00491281" w:rsidRPr="005F5BA0" w:rsidRDefault="00491281" w:rsidP="00491281">
      <w:pPr>
        <w:spacing w:line="240" w:lineRule="auto"/>
        <w:jc w:val="right"/>
        <w:rPr>
          <w:rFonts w:ascii="Courier New" w:hAnsi="Courier New" w:cs="Courier New"/>
          <w:sz w:val="24"/>
          <w:szCs w:val="24"/>
        </w:rPr>
      </w:pPr>
      <w:r w:rsidRPr="005F5BA0">
        <w:rPr>
          <w:rFonts w:ascii="Courier New" w:hAnsi="Courier New" w:cs="Courier New"/>
          <w:sz w:val="24"/>
          <w:szCs w:val="24"/>
        </w:rPr>
        <w:t>Case No: LC 33 / 2009</w:t>
      </w:r>
    </w:p>
    <w:p w:rsidR="00491281" w:rsidRPr="005F5BA0" w:rsidRDefault="00491281" w:rsidP="00491281">
      <w:pPr>
        <w:spacing w:line="240" w:lineRule="auto"/>
        <w:jc w:val="right"/>
        <w:rPr>
          <w:rFonts w:ascii="Courier New" w:hAnsi="Courier New" w:cs="Courier New"/>
          <w:sz w:val="24"/>
          <w:szCs w:val="24"/>
        </w:rPr>
      </w:pPr>
    </w:p>
    <w:p w:rsidR="00491281" w:rsidRDefault="00491281" w:rsidP="00491281">
      <w:pPr>
        <w:spacing w:line="240" w:lineRule="auto"/>
        <w:jc w:val="both"/>
        <w:rPr>
          <w:rFonts w:ascii="Courier New" w:hAnsi="Courier New" w:cs="Courier New"/>
          <w:sz w:val="24"/>
          <w:szCs w:val="24"/>
        </w:rPr>
      </w:pPr>
      <w:r w:rsidRPr="005F5BA0">
        <w:rPr>
          <w:rFonts w:ascii="Courier New" w:hAnsi="Courier New" w:cs="Courier New"/>
          <w:sz w:val="24"/>
          <w:szCs w:val="24"/>
        </w:rPr>
        <w:t>In the matter between:</w:t>
      </w:r>
    </w:p>
    <w:p w:rsidR="00BD4970" w:rsidRPr="005F5BA0" w:rsidRDefault="00BD4970" w:rsidP="00491281">
      <w:pPr>
        <w:spacing w:line="240" w:lineRule="auto"/>
        <w:jc w:val="both"/>
        <w:rPr>
          <w:rFonts w:ascii="Courier New" w:hAnsi="Courier New" w:cs="Courier New"/>
          <w:b/>
          <w:sz w:val="24"/>
          <w:szCs w:val="24"/>
        </w:rPr>
      </w:pPr>
    </w:p>
    <w:p w:rsidR="00491281" w:rsidRPr="005F5BA0" w:rsidRDefault="00491281" w:rsidP="00491281">
      <w:pPr>
        <w:spacing w:line="240" w:lineRule="auto"/>
        <w:jc w:val="both"/>
        <w:rPr>
          <w:rFonts w:ascii="Courier New" w:hAnsi="Courier New" w:cs="Courier New"/>
          <w:b/>
          <w:sz w:val="24"/>
          <w:szCs w:val="24"/>
        </w:rPr>
      </w:pPr>
      <w:r w:rsidRPr="005F5BA0">
        <w:rPr>
          <w:rFonts w:ascii="Courier New" w:hAnsi="Courier New" w:cs="Courier New"/>
          <w:b/>
          <w:sz w:val="24"/>
          <w:szCs w:val="24"/>
        </w:rPr>
        <w:t xml:space="preserve">TELECOM NAMIBIA LIMITED </w:t>
      </w:r>
      <w:r w:rsidRPr="005F5BA0">
        <w:rPr>
          <w:rFonts w:ascii="Courier New" w:hAnsi="Courier New" w:cs="Courier New"/>
          <w:b/>
          <w:sz w:val="24"/>
          <w:szCs w:val="24"/>
        </w:rPr>
        <w:tab/>
        <w:t xml:space="preserve"> </w:t>
      </w:r>
      <w:r w:rsidRPr="005F5BA0">
        <w:rPr>
          <w:rFonts w:ascii="Courier New" w:hAnsi="Courier New" w:cs="Courier New"/>
          <w:b/>
          <w:sz w:val="24"/>
          <w:szCs w:val="24"/>
        </w:rPr>
        <w:tab/>
      </w:r>
      <w:r w:rsidRPr="005F5BA0">
        <w:rPr>
          <w:rFonts w:ascii="Courier New" w:hAnsi="Courier New" w:cs="Courier New"/>
          <w:b/>
          <w:sz w:val="24"/>
          <w:szCs w:val="24"/>
        </w:rPr>
        <w:tab/>
      </w:r>
      <w:r w:rsidRPr="005F5BA0">
        <w:rPr>
          <w:rFonts w:ascii="Courier New" w:hAnsi="Courier New" w:cs="Courier New"/>
          <w:b/>
          <w:sz w:val="24"/>
          <w:szCs w:val="24"/>
        </w:rPr>
        <w:tab/>
      </w:r>
      <w:r w:rsidRPr="005F5BA0">
        <w:rPr>
          <w:rFonts w:ascii="Courier New" w:hAnsi="Courier New" w:cs="Courier New"/>
          <w:b/>
          <w:sz w:val="24"/>
          <w:szCs w:val="24"/>
        </w:rPr>
        <w:tab/>
        <w:t xml:space="preserve">    </w:t>
      </w:r>
      <w:r w:rsidR="00132BA9" w:rsidRPr="005F5BA0">
        <w:rPr>
          <w:rFonts w:ascii="Courier New" w:hAnsi="Courier New" w:cs="Courier New"/>
          <w:b/>
          <w:sz w:val="24"/>
          <w:szCs w:val="24"/>
        </w:rPr>
        <w:tab/>
        <w:t xml:space="preserve"> </w:t>
      </w:r>
      <w:r w:rsidRPr="005F5BA0">
        <w:rPr>
          <w:rFonts w:ascii="Courier New" w:hAnsi="Courier New" w:cs="Courier New"/>
          <w:b/>
          <w:sz w:val="24"/>
          <w:szCs w:val="24"/>
        </w:rPr>
        <w:tab/>
      </w:r>
      <w:r w:rsidR="00132BA9" w:rsidRPr="005F5BA0">
        <w:rPr>
          <w:rFonts w:ascii="Courier New" w:hAnsi="Courier New" w:cs="Courier New"/>
          <w:b/>
          <w:sz w:val="24"/>
          <w:szCs w:val="24"/>
        </w:rPr>
        <w:t>APPLICANT</w:t>
      </w:r>
    </w:p>
    <w:p w:rsidR="00491281" w:rsidRPr="005F5BA0" w:rsidRDefault="00491281" w:rsidP="00491281">
      <w:pPr>
        <w:spacing w:line="240" w:lineRule="auto"/>
        <w:jc w:val="both"/>
        <w:rPr>
          <w:rFonts w:ascii="Courier New" w:hAnsi="Courier New" w:cs="Courier New"/>
          <w:b/>
          <w:sz w:val="24"/>
          <w:szCs w:val="24"/>
        </w:rPr>
      </w:pPr>
    </w:p>
    <w:p w:rsidR="00491281" w:rsidRPr="005F5BA0" w:rsidRDefault="00491281" w:rsidP="00491281">
      <w:pPr>
        <w:spacing w:line="240" w:lineRule="auto"/>
        <w:jc w:val="both"/>
        <w:rPr>
          <w:rFonts w:ascii="Courier New" w:hAnsi="Courier New" w:cs="Courier New"/>
          <w:sz w:val="24"/>
          <w:szCs w:val="24"/>
        </w:rPr>
      </w:pPr>
      <w:r w:rsidRPr="005F5BA0">
        <w:rPr>
          <w:rFonts w:ascii="Courier New" w:hAnsi="Courier New" w:cs="Courier New"/>
          <w:sz w:val="24"/>
          <w:szCs w:val="24"/>
        </w:rPr>
        <w:t>and</w:t>
      </w:r>
    </w:p>
    <w:p w:rsidR="00491281" w:rsidRPr="005F5BA0" w:rsidRDefault="00491281" w:rsidP="00491281">
      <w:pPr>
        <w:spacing w:line="240" w:lineRule="auto"/>
        <w:jc w:val="both"/>
        <w:rPr>
          <w:rFonts w:ascii="Courier New" w:hAnsi="Courier New" w:cs="Courier New"/>
          <w:b/>
          <w:sz w:val="24"/>
          <w:szCs w:val="24"/>
        </w:rPr>
      </w:pPr>
    </w:p>
    <w:p w:rsidR="00491281" w:rsidRPr="005F5BA0" w:rsidRDefault="00132BA9" w:rsidP="00491281">
      <w:pPr>
        <w:spacing w:line="240" w:lineRule="auto"/>
        <w:jc w:val="both"/>
        <w:rPr>
          <w:rFonts w:ascii="Courier New" w:hAnsi="Courier New" w:cs="Courier New"/>
          <w:b/>
          <w:sz w:val="24"/>
          <w:szCs w:val="24"/>
        </w:rPr>
      </w:pPr>
      <w:r w:rsidRPr="005F5BA0">
        <w:rPr>
          <w:rFonts w:ascii="Courier New" w:hAnsi="Courier New" w:cs="Courier New"/>
          <w:b/>
          <w:sz w:val="24"/>
          <w:szCs w:val="24"/>
        </w:rPr>
        <w:t xml:space="preserve">MICHAEL NANGOLO AND 34 OTHERS </w:t>
      </w:r>
      <w:r w:rsidRPr="005F5BA0">
        <w:rPr>
          <w:rFonts w:ascii="Courier New" w:hAnsi="Courier New" w:cs="Courier New"/>
          <w:b/>
          <w:sz w:val="24"/>
          <w:szCs w:val="24"/>
        </w:rPr>
        <w:tab/>
      </w:r>
      <w:r w:rsidRPr="005F5BA0">
        <w:rPr>
          <w:rFonts w:ascii="Courier New" w:hAnsi="Courier New" w:cs="Courier New"/>
          <w:b/>
          <w:sz w:val="24"/>
          <w:szCs w:val="24"/>
        </w:rPr>
        <w:tab/>
      </w:r>
      <w:r w:rsidRPr="005F5BA0">
        <w:rPr>
          <w:rFonts w:ascii="Courier New" w:hAnsi="Courier New" w:cs="Courier New"/>
          <w:b/>
          <w:sz w:val="24"/>
          <w:szCs w:val="24"/>
        </w:rPr>
        <w:tab/>
      </w:r>
      <w:r w:rsidRPr="005F5BA0">
        <w:rPr>
          <w:rFonts w:ascii="Courier New" w:hAnsi="Courier New" w:cs="Courier New"/>
          <w:b/>
          <w:sz w:val="24"/>
          <w:szCs w:val="24"/>
        </w:rPr>
        <w:tab/>
        <w:t xml:space="preserve">   RESPONDENTS</w:t>
      </w:r>
    </w:p>
    <w:p w:rsidR="00491281" w:rsidRPr="005F5BA0" w:rsidRDefault="00491281" w:rsidP="00491281">
      <w:pPr>
        <w:tabs>
          <w:tab w:val="right" w:pos="7825"/>
        </w:tabs>
        <w:spacing w:line="240" w:lineRule="auto"/>
        <w:ind w:left="1995" w:hanging="1995"/>
        <w:jc w:val="both"/>
        <w:rPr>
          <w:rFonts w:ascii="Courier New" w:hAnsi="Courier New" w:cs="Courier New"/>
          <w:b/>
          <w:bCs/>
          <w:sz w:val="24"/>
          <w:szCs w:val="24"/>
        </w:rPr>
      </w:pPr>
    </w:p>
    <w:p w:rsidR="00132BA9" w:rsidRPr="005F5BA0" w:rsidRDefault="00491281" w:rsidP="00491281">
      <w:pPr>
        <w:tabs>
          <w:tab w:val="right" w:pos="7825"/>
        </w:tabs>
        <w:spacing w:line="240" w:lineRule="auto"/>
        <w:ind w:left="1995" w:hanging="1995"/>
        <w:jc w:val="both"/>
        <w:rPr>
          <w:rFonts w:ascii="Courier New" w:hAnsi="Courier New" w:cs="Courier New"/>
          <w:b/>
          <w:bCs/>
          <w:sz w:val="24"/>
          <w:szCs w:val="24"/>
        </w:rPr>
      </w:pPr>
      <w:r w:rsidRPr="005F5BA0">
        <w:rPr>
          <w:rFonts w:ascii="Courier New" w:hAnsi="Courier New" w:cs="Courier New"/>
          <w:b/>
          <w:bCs/>
          <w:sz w:val="24"/>
          <w:szCs w:val="24"/>
        </w:rPr>
        <w:t xml:space="preserve">CORAM:  </w:t>
      </w:r>
      <w:r w:rsidRPr="005F5BA0">
        <w:rPr>
          <w:rFonts w:ascii="Courier New" w:hAnsi="Courier New" w:cs="Courier New"/>
          <w:b/>
          <w:bCs/>
          <w:sz w:val="24"/>
          <w:szCs w:val="24"/>
        </w:rPr>
        <w:tab/>
        <w:t>DAMASEB, JP</w:t>
      </w:r>
    </w:p>
    <w:p w:rsidR="00491281" w:rsidRPr="005F5BA0" w:rsidRDefault="00491281" w:rsidP="00491281">
      <w:pPr>
        <w:tabs>
          <w:tab w:val="right" w:pos="7825"/>
        </w:tabs>
        <w:spacing w:line="240" w:lineRule="auto"/>
        <w:ind w:left="1995" w:hanging="1995"/>
        <w:jc w:val="both"/>
        <w:rPr>
          <w:rFonts w:ascii="Courier New" w:hAnsi="Courier New" w:cs="Courier New"/>
          <w:b/>
          <w:bCs/>
          <w:sz w:val="24"/>
          <w:szCs w:val="24"/>
        </w:rPr>
      </w:pPr>
      <w:r w:rsidRPr="005F5BA0">
        <w:rPr>
          <w:rFonts w:ascii="Courier New" w:hAnsi="Courier New" w:cs="Courier New"/>
          <w:b/>
          <w:bCs/>
          <w:sz w:val="24"/>
          <w:szCs w:val="24"/>
        </w:rPr>
        <w:t xml:space="preserve">  </w:t>
      </w:r>
    </w:p>
    <w:p w:rsidR="00491281" w:rsidRPr="005F5BA0" w:rsidRDefault="00132BA9" w:rsidP="00491281">
      <w:pPr>
        <w:tabs>
          <w:tab w:val="right" w:pos="7825"/>
        </w:tabs>
        <w:spacing w:line="240" w:lineRule="auto"/>
        <w:ind w:left="1995" w:hanging="1995"/>
        <w:jc w:val="both"/>
        <w:rPr>
          <w:rFonts w:ascii="Courier New" w:hAnsi="Courier New" w:cs="Courier New"/>
          <w:sz w:val="24"/>
          <w:szCs w:val="24"/>
        </w:rPr>
      </w:pPr>
      <w:r w:rsidRPr="005F5BA0">
        <w:rPr>
          <w:rFonts w:ascii="Courier New" w:hAnsi="Courier New" w:cs="Courier New"/>
          <w:sz w:val="24"/>
          <w:szCs w:val="24"/>
        </w:rPr>
        <w:t xml:space="preserve">HEARD ON: </w:t>
      </w:r>
      <w:r w:rsidRPr="005F5BA0">
        <w:rPr>
          <w:rFonts w:ascii="Courier New" w:hAnsi="Courier New" w:cs="Courier New"/>
          <w:sz w:val="24"/>
          <w:szCs w:val="24"/>
        </w:rPr>
        <w:tab/>
        <w:t>28 NOVEMBER 2011</w:t>
      </w:r>
    </w:p>
    <w:p w:rsidR="00132BA9" w:rsidRPr="005F5BA0" w:rsidRDefault="00132BA9" w:rsidP="00491281">
      <w:pPr>
        <w:tabs>
          <w:tab w:val="right" w:pos="7825"/>
        </w:tabs>
        <w:spacing w:line="240" w:lineRule="auto"/>
        <w:ind w:left="1995" w:hanging="1995"/>
        <w:jc w:val="both"/>
        <w:rPr>
          <w:rFonts w:ascii="Courier New" w:hAnsi="Courier New" w:cs="Courier New"/>
          <w:sz w:val="24"/>
          <w:szCs w:val="24"/>
        </w:rPr>
      </w:pPr>
      <w:r w:rsidRPr="005F5BA0">
        <w:rPr>
          <w:rFonts w:ascii="Courier New" w:hAnsi="Courier New" w:cs="Courier New"/>
          <w:sz w:val="24"/>
          <w:szCs w:val="24"/>
        </w:rPr>
        <w:t>DELIVERED ON:</w:t>
      </w:r>
      <w:r w:rsidRPr="005F5BA0">
        <w:rPr>
          <w:rFonts w:ascii="Courier New" w:hAnsi="Courier New" w:cs="Courier New"/>
          <w:sz w:val="24"/>
          <w:szCs w:val="24"/>
        </w:rPr>
        <w:tab/>
      </w:r>
      <w:r w:rsidR="00676748">
        <w:rPr>
          <w:rFonts w:ascii="Courier New" w:hAnsi="Courier New" w:cs="Courier New"/>
          <w:sz w:val="24"/>
          <w:szCs w:val="24"/>
        </w:rPr>
        <w:t>28 MAY 2012</w:t>
      </w:r>
    </w:p>
    <w:p w:rsidR="00491281" w:rsidRPr="005F5BA0" w:rsidRDefault="00491281" w:rsidP="00491281">
      <w:pPr>
        <w:pBdr>
          <w:top w:val="single" w:sz="12" w:space="1" w:color="auto"/>
          <w:bottom w:val="single" w:sz="12" w:space="1" w:color="auto"/>
        </w:pBdr>
        <w:spacing w:line="240" w:lineRule="auto"/>
        <w:jc w:val="center"/>
        <w:rPr>
          <w:rFonts w:ascii="Courier New" w:hAnsi="Courier New" w:cs="Courier New"/>
          <w:b/>
          <w:sz w:val="24"/>
          <w:szCs w:val="24"/>
        </w:rPr>
      </w:pPr>
    </w:p>
    <w:p w:rsidR="00491281" w:rsidRPr="005F5BA0" w:rsidRDefault="00815761" w:rsidP="00491281">
      <w:pPr>
        <w:pBdr>
          <w:top w:val="single" w:sz="12" w:space="1" w:color="auto"/>
          <w:bottom w:val="single" w:sz="12" w:space="1" w:color="auto"/>
        </w:pBdr>
        <w:spacing w:line="240" w:lineRule="auto"/>
        <w:jc w:val="center"/>
        <w:rPr>
          <w:rFonts w:ascii="Courier New" w:hAnsi="Courier New" w:cs="Courier New"/>
          <w:b/>
          <w:sz w:val="24"/>
          <w:szCs w:val="24"/>
        </w:rPr>
      </w:pPr>
      <w:r>
        <w:rPr>
          <w:rFonts w:ascii="Courier New" w:hAnsi="Courier New" w:cs="Courier New"/>
          <w:b/>
          <w:sz w:val="24"/>
          <w:szCs w:val="24"/>
        </w:rPr>
        <w:t>APPLICATION FOR CONDONATION</w:t>
      </w:r>
    </w:p>
    <w:p w:rsidR="00491281" w:rsidRPr="005F5BA0" w:rsidRDefault="00491281" w:rsidP="00491281">
      <w:pPr>
        <w:pBdr>
          <w:top w:val="single" w:sz="12" w:space="1" w:color="auto"/>
          <w:bottom w:val="single" w:sz="12" w:space="1" w:color="auto"/>
        </w:pBdr>
        <w:spacing w:line="240" w:lineRule="auto"/>
        <w:jc w:val="center"/>
        <w:rPr>
          <w:rFonts w:ascii="Courier New" w:hAnsi="Courier New" w:cs="Courier New"/>
          <w:b/>
          <w:sz w:val="24"/>
          <w:szCs w:val="24"/>
        </w:rPr>
      </w:pPr>
    </w:p>
    <w:p w:rsidR="00F34C9D" w:rsidRDefault="00491281" w:rsidP="00132BA9">
      <w:pPr>
        <w:spacing w:line="480" w:lineRule="auto"/>
        <w:jc w:val="both"/>
        <w:rPr>
          <w:rFonts w:ascii="Courier New" w:hAnsi="Courier New" w:cs="Courier New"/>
          <w:sz w:val="24"/>
          <w:szCs w:val="24"/>
        </w:rPr>
      </w:pPr>
      <w:r w:rsidRPr="005F5BA0">
        <w:rPr>
          <w:rFonts w:ascii="Courier New" w:hAnsi="Courier New" w:cs="Courier New"/>
          <w:b/>
          <w:sz w:val="24"/>
          <w:szCs w:val="24"/>
        </w:rPr>
        <w:t>DAMASEB, JP</w:t>
      </w:r>
      <w:r w:rsidR="00132BA9" w:rsidRPr="005F5BA0">
        <w:rPr>
          <w:rFonts w:ascii="Courier New" w:hAnsi="Courier New" w:cs="Courier New"/>
          <w:b/>
          <w:sz w:val="24"/>
          <w:szCs w:val="24"/>
        </w:rPr>
        <w:t xml:space="preserve">: </w:t>
      </w:r>
      <w:r w:rsidR="00132BA9" w:rsidRPr="000100F3">
        <w:rPr>
          <w:rFonts w:ascii="Courier New" w:hAnsi="Courier New" w:cs="Courier New"/>
          <w:sz w:val="24"/>
          <w:szCs w:val="24"/>
        </w:rPr>
        <w:t>[1]</w:t>
      </w:r>
      <w:r w:rsidR="00132BA9" w:rsidRPr="005F5BA0">
        <w:rPr>
          <w:rFonts w:ascii="Courier New" w:hAnsi="Courier New" w:cs="Courier New"/>
          <w:sz w:val="24"/>
          <w:szCs w:val="24"/>
        </w:rPr>
        <w:t xml:space="preserve"> </w:t>
      </w:r>
      <w:r w:rsidR="00F34C9D">
        <w:rPr>
          <w:rFonts w:ascii="Courier New" w:hAnsi="Courier New" w:cs="Courier New"/>
          <w:sz w:val="24"/>
          <w:szCs w:val="24"/>
        </w:rPr>
        <w:t>The arbitrator gave a ruling on 13 March 2009 in the following terms:</w:t>
      </w:r>
    </w:p>
    <w:p w:rsidR="00F34C9D" w:rsidRPr="004115F1" w:rsidRDefault="00F34C9D" w:rsidP="004115F1">
      <w:pPr>
        <w:spacing w:line="240" w:lineRule="auto"/>
        <w:ind w:left="720"/>
        <w:jc w:val="both"/>
        <w:rPr>
          <w:rFonts w:ascii="Courier New" w:hAnsi="Courier New" w:cs="Courier New"/>
        </w:rPr>
      </w:pPr>
      <w:r>
        <w:rPr>
          <w:rFonts w:ascii="Courier New" w:hAnsi="Courier New" w:cs="Courier New"/>
          <w:sz w:val="24"/>
          <w:szCs w:val="24"/>
        </w:rPr>
        <w:lastRenderedPageBreak/>
        <w:t>“</w:t>
      </w:r>
      <w:r w:rsidRPr="004115F1">
        <w:rPr>
          <w:rFonts w:ascii="Courier New" w:hAnsi="Courier New" w:cs="Courier New"/>
        </w:rPr>
        <w:t>That the respondent pays each of the applicants an amount made up as follows:</w:t>
      </w:r>
    </w:p>
    <w:p w:rsidR="00F34C9D" w:rsidRPr="004115F1" w:rsidRDefault="00F34C9D" w:rsidP="004115F1">
      <w:pPr>
        <w:numPr>
          <w:ilvl w:val="0"/>
          <w:numId w:val="6"/>
        </w:numPr>
        <w:spacing w:line="240" w:lineRule="auto"/>
        <w:jc w:val="both"/>
        <w:rPr>
          <w:rFonts w:ascii="Courier New" w:hAnsi="Courier New" w:cs="Courier New"/>
        </w:rPr>
      </w:pPr>
      <w:r w:rsidRPr="004115F1">
        <w:rPr>
          <w:rFonts w:ascii="Courier New" w:hAnsi="Courier New" w:cs="Courier New"/>
        </w:rPr>
        <w:t>Severance payment: 10 weeks × N$1038.21=N$ 10 382.00</w:t>
      </w:r>
    </w:p>
    <w:p w:rsidR="00F34C9D" w:rsidRPr="004115F1" w:rsidRDefault="00F34C9D" w:rsidP="004115F1">
      <w:pPr>
        <w:spacing w:line="240" w:lineRule="auto"/>
        <w:ind w:left="720"/>
        <w:jc w:val="both"/>
        <w:rPr>
          <w:rFonts w:ascii="Courier New" w:hAnsi="Courier New" w:cs="Courier New"/>
        </w:rPr>
      </w:pPr>
      <w:r w:rsidRPr="004115F1">
        <w:rPr>
          <w:rFonts w:ascii="Courier New" w:hAnsi="Courier New" w:cs="Courier New"/>
        </w:rPr>
        <w:t>Being one week of each completed year as per the Labour Act( Act 11 of 2007),section 35(1)(a)</w:t>
      </w:r>
    </w:p>
    <w:p w:rsidR="00F34C9D" w:rsidRPr="004115F1" w:rsidRDefault="00F34C9D" w:rsidP="004115F1">
      <w:pPr>
        <w:numPr>
          <w:ilvl w:val="0"/>
          <w:numId w:val="6"/>
        </w:numPr>
        <w:spacing w:line="240" w:lineRule="auto"/>
        <w:jc w:val="both"/>
        <w:rPr>
          <w:rFonts w:ascii="Courier New" w:hAnsi="Courier New" w:cs="Courier New"/>
        </w:rPr>
      </w:pPr>
      <w:r w:rsidRPr="004115F1">
        <w:rPr>
          <w:rFonts w:ascii="Courier New" w:hAnsi="Courier New" w:cs="Courier New"/>
        </w:rPr>
        <w:t>Leave days: 70 days each ( Based on the balance of probabilities).</w:t>
      </w:r>
    </w:p>
    <w:p w:rsidR="00F34C9D" w:rsidRPr="004115F1" w:rsidRDefault="00F34C9D" w:rsidP="004115F1">
      <w:pPr>
        <w:spacing w:line="240" w:lineRule="auto"/>
        <w:ind w:left="1440" w:firstLine="720"/>
        <w:jc w:val="both"/>
        <w:rPr>
          <w:rFonts w:ascii="Courier New" w:hAnsi="Courier New" w:cs="Courier New"/>
        </w:rPr>
      </w:pPr>
      <w:r w:rsidRPr="004115F1">
        <w:rPr>
          <w:rFonts w:ascii="Courier New" w:hAnsi="Courier New" w:cs="Courier New"/>
        </w:rPr>
        <w:t xml:space="preserve">N$ 10 382.00 ×30 employees </w:t>
      </w:r>
      <w:r w:rsidR="004115F1">
        <w:rPr>
          <w:rFonts w:ascii="Courier New" w:hAnsi="Courier New" w:cs="Courier New"/>
        </w:rPr>
        <w:tab/>
      </w:r>
      <w:r w:rsidRPr="004115F1">
        <w:rPr>
          <w:rFonts w:ascii="Courier New" w:hAnsi="Courier New" w:cs="Courier New"/>
        </w:rPr>
        <w:tab/>
        <w:t>= N$ 311 460.00</w:t>
      </w:r>
    </w:p>
    <w:p w:rsidR="00F34C9D" w:rsidRPr="004115F1" w:rsidRDefault="00F34C9D" w:rsidP="004115F1">
      <w:pPr>
        <w:spacing w:line="240" w:lineRule="auto"/>
        <w:ind w:firstLine="720"/>
        <w:jc w:val="both"/>
        <w:rPr>
          <w:rFonts w:ascii="Courier New" w:hAnsi="Courier New" w:cs="Courier New"/>
          <w:u w:val="single"/>
        </w:rPr>
      </w:pPr>
      <w:r w:rsidRPr="004115F1">
        <w:rPr>
          <w:rFonts w:ascii="Courier New" w:hAnsi="Courier New" w:cs="Courier New"/>
        </w:rPr>
        <w:t>Thus:</w:t>
      </w:r>
      <w:r w:rsidR="004115F1" w:rsidRPr="004115F1">
        <w:rPr>
          <w:rFonts w:ascii="Courier New" w:hAnsi="Courier New" w:cs="Courier New"/>
        </w:rPr>
        <w:tab/>
      </w:r>
      <w:r w:rsidRPr="004115F1">
        <w:rPr>
          <w:rFonts w:ascii="Courier New" w:hAnsi="Courier New" w:cs="Courier New"/>
        </w:rPr>
        <w:t xml:space="preserve"> </w:t>
      </w:r>
      <w:r w:rsidR="004115F1">
        <w:rPr>
          <w:rFonts w:ascii="Courier New" w:hAnsi="Courier New" w:cs="Courier New"/>
        </w:rPr>
        <w:tab/>
      </w:r>
      <w:r w:rsidRPr="004115F1">
        <w:rPr>
          <w:rFonts w:ascii="Courier New" w:hAnsi="Courier New" w:cs="Courier New"/>
        </w:rPr>
        <w:t xml:space="preserve">N$ 12 110.00 × 30 employees </w:t>
      </w:r>
      <w:r w:rsidRPr="004115F1">
        <w:rPr>
          <w:rFonts w:ascii="Courier New" w:hAnsi="Courier New" w:cs="Courier New"/>
        </w:rPr>
        <w:tab/>
        <w:t xml:space="preserve">= </w:t>
      </w:r>
      <w:r w:rsidRPr="004115F1">
        <w:rPr>
          <w:rFonts w:ascii="Courier New" w:hAnsi="Courier New" w:cs="Courier New"/>
          <w:u w:val="single"/>
        </w:rPr>
        <w:t>N$ 363 300.00</w:t>
      </w:r>
    </w:p>
    <w:p w:rsidR="00F34C9D" w:rsidRPr="004115F1" w:rsidRDefault="004115F1" w:rsidP="004115F1">
      <w:pPr>
        <w:spacing w:line="240" w:lineRule="auto"/>
        <w:ind w:firstLine="720"/>
        <w:jc w:val="both"/>
        <w:rPr>
          <w:rFonts w:ascii="Courier New" w:hAnsi="Courier New" w:cs="Courier New"/>
          <w:u w:val="single"/>
        </w:rPr>
      </w:pPr>
      <w:r w:rsidRPr="004115F1">
        <w:rPr>
          <w:rFonts w:ascii="Courier New" w:hAnsi="Courier New" w:cs="Courier New"/>
        </w:rPr>
        <w:t xml:space="preserve">Total amount to be paid: </w:t>
      </w:r>
      <w:r w:rsidRPr="004115F1">
        <w:rPr>
          <w:rFonts w:ascii="Courier New" w:hAnsi="Courier New" w:cs="Courier New"/>
        </w:rPr>
        <w:tab/>
      </w:r>
      <w:r w:rsidRPr="004115F1">
        <w:rPr>
          <w:rFonts w:ascii="Courier New" w:hAnsi="Courier New" w:cs="Courier New"/>
        </w:rPr>
        <w:tab/>
      </w:r>
      <w:r w:rsidRPr="004115F1">
        <w:rPr>
          <w:rFonts w:ascii="Courier New" w:hAnsi="Courier New" w:cs="Courier New"/>
        </w:rPr>
        <w:tab/>
        <w:t xml:space="preserve">  </w:t>
      </w:r>
      <w:r>
        <w:rPr>
          <w:rFonts w:ascii="Courier New" w:hAnsi="Courier New" w:cs="Courier New"/>
        </w:rPr>
        <w:tab/>
        <w:t xml:space="preserve">  </w:t>
      </w:r>
      <w:r w:rsidRPr="004115F1">
        <w:rPr>
          <w:rFonts w:ascii="Courier New" w:hAnsi="Courier New" w:cs="Courier New"/>
          <w:u w:val="single"/>
        </w:rPr>
        <w:t>N$ 674 760.00</w:t>
      </w:r>
    </w:p>
    <w:p w:rsidR="004115F1" w:rsidRPr="004115F1" w:rsidRDefault="004115F1" w:rsidP="004115F1">
      <w:pPr>
        <w:spacing w:line="240" w:lineRule="auto"/>
        <w:ind w:left="720"/>
        <w:jc w:val="both"/>
        <w:rPr>
          <w:rFonts w:ascii="Courier New" w:hAnsi="Courier New" w:cs="Courier New"/>
        </w:rPr>
      </w:pPr>
      <w:r w:rsidRPr="004115F1">
        <w:rPr>
          <w:rFonts w:ascii="Courier New" w:hAnsi="Courier New" w:cs="Courier New"/>
        </w:rPr>
        <w:t>The said amount to be paid at the office of the Labour Commissioner on or before the 30</w:t>
      </w:r>
      <w:r w:rsidRPr="004115F1">
        <w:rPr>
          <w:rFonts w:ascii="Courier New" w:hAnsi="Courier New" w:cs="Courier New"/>
          <w:vertAlign w:val="superscript"/>
        </w:rPr>
        <w:t>th</w:t>
      </w:r>
      <w:r w:rsidRPr="004115F1">
        <w:rPr>
          <w:rFonts w:ascii="Courier New" w:hAnsi="Courier New" w:cs="Courier New"/>
        </w:rPr>
        <w:t xml:space="preserve"> of April 2009.</w:t>
      </w:r>
    </w:p>
    <w:p w:rsidR="004115F1" w:rsidRPr="004115F1" w:rsidRDefault="004115F1" w:rsidP="004115F1">
      <w:pPr>
        <w:spacing w:line="240" w:lineRule="auto"/>
        <w:ind w:left="720"/>
        <w:jc w:val="both"/>
        <w:rPr>
          <w:rFonts w:ascii="Courier New" w:hAnsi="Courier New" w:cs="Courier New"/>
        </w:rPr>
      </w:pPr>
      <w:r w:rsidRPr="004115F1">
        <w:rPr>
          <w:rFonts w:ascii="Courier New" w:hAnsi="Courier New" w:cs="Courier New"/>
        </w:rPr>
        <w:t>Interest at a rate of 20% per year to accrue on outstanding amount.</w:t>
      </w:r>
    </w:p>
    <w:p w:rsidR="00F34C9D" w:rsidRDefault="004115F1" w:rsidP="0083633B">
      <w:pPr>
        <w:spacing w:line="240" w:lineRule="auto"/>
        <w:ind w:firstLine="720"/>
        <w:jc w:val="both"/>
        <w:rPr>
          <w:rFonts w:ascii="Courier New" w:hAnsi="Courier New" w:cs="Courier New"/>
          <w:sz w:val="24"/>
          <w:szCs w:val="24"/>
        </w:rPr>
      </w:pPr>
      <w:r w:rsidRPr="004115F1">
        <w:rPr>
          <w:rFonts w:ascii="Courier New" w:hAnsi="Courier New" w:cs="Courier New"/>
        </w:rPr>
        <w:t>This award is final and is binding on both parties.”</w:t>
      </w:r>
    </w:p>
    <w:p w:rsidR="00F34C9D" w:rsidRDefault="00F34C9D" w:rsidP="00132BA9">
      <w:pPr>
        <w:spacing w:line="480" w:lineRule="auto"/>
        <w:jc w:val="both"/>
        <w:rPr>
          <w:rFonts w:ascii="Courier New" w:hAnsi="Courier New" w:cs="Courier New"/>
          <w:sz w:val="24"/>
          <w:szCs w:val="24"/>
        </w:rPr>
      </w:pPr>
    </w:p>
    <w:p w:rsidR="0083633B" w:rsidRDefault="0083633B" w:rsidP="00132BA9">
      <w:pPr>
        <w:spacing w:line="480" w:lineRule="auto"/>
        <w:jc w:val="both"/>
        <w:rPr>
          <w:rFonts w:ascii="Courier New" w:hAnsi="Courier New" w:cs="Courier New"/>
          <w:sz w:val="24"/>
          <w:szCs w:val="24"/>
        </w:rPr>
      </w:pPr>
      <w:r>
        <w:rPr>
          <w:rFonts w:ascii="Courier New" w:hAnsi="Courier New" w:cs="Courier New"/>
          <w:sz w:val="24"/>
          <w:szCs w:val="24"/>
        </w:rPr>
        <w:t>[2]</w:t>
      </w:r>
      <w:r w:rsidR="00132BA9" w:rsidRPr="005F5BA0">
        <w:rPr>
          <w:rFonts w:ascii="Courier New" w:hAnsi="Courier New" w:cs="Courier New"/>
          <w:sz w:val="24"/>
          <w:szCs w:val="24"/>
        </w:rPr>
        <w:t>The applicant seeks condonation</w:t>
      </w:r>
      <w:r w:rsidR="000100F3">
        <w:rPr>
          <w:rStyle w:val="FootnoteReference"/>
          <w:rFonts w:ascii="Courier New" w:hAnsi="Courier New" w:cs="Courier New"/>
          <w:sz w:val="24"/>
          <w:szCs w:val="24"/>
        </w:rPr>
        <w:footnoteReference w:id="1"/>
      </w:r>
      <w:r w:rsidR="00132BA9" w:rsidRPr="005F5BA0">
        <w:rPr>
          <w:rFonts w:ascii="Courier New" w:hAnsi="Courier New" w:cs="Courier New"/>
          <w:sz w:val="24"/>
          <w:szCs w:val="24"/>
        </w:rPr>
        <w:t xml:space="preserve"> to pursue an appeal out of time</w:t>
      </w:r>
      <w:r w:rsidR="00C14708" w:rsidRPr="005F5BA0">
        <w:rPr>
          <w:rFonts w:ascii="Courier New" w:hAnsi="Courier New" w:cs="Courier New"/>
          <w:sz w:val="24"/>
          <w:szCs w:val="24"/>
        </w:rPr>
        <w:t xml:space="preserve"> in terms of section 89(3) of the Labour Act of 2007 (Act 11 of 2007) (hereinafter referred to as the Labour Act). </w:t>
      </w:r>
      <w:r w:rsidR="00132BA9" w:rsidRPr="005F5BA0">
        <w:rPr>
          <w:rFonts w:ascii="Courier New" w:hAnsi="Courier New" w:cs="Courier New"/>
          <w:sz w:val="24"/>
          <w:szCs w:val="24"/>
        </w:rPr>
        <w:t xml:space="preserve">Being a request for an indulgence, </w:t>
      </w:r>
      <w:r w:rsidR="0097265D">
        <w:rPr>
          <w:rFonts w:ascii="Courier New" w:hAnsi="Courier New" w:cs="Courier New"/>
          <w:sz w:val="24"/>
          <w:szCs w:val="24"/>
        </w:rPr>
        <w:t>applicant</w:t>
      </w:r>
      <w:r w:rsidR="00132BA9" w:rsidRPr="005F5BA0">
        <w:rPr>
          <w:rFonts w:ascii="Courier New" w:hAnsi="Courier New" w:cs="Courier New"/>
          <w:sz w:val="24"/>
          <w:szCs w:val="24"/>
        </w:rPr>
        <w:t xml:space="preserve"> needs to show </w:t>
      </w:r>
      <w:r w:rsidR="00C71654" w:rsidRPr="005F5BA0">
        <w:rPr>
          <w:rFonts w:ascii="Courier New" w:hAnsi="Courier New" w:cs="Courier New"/>
          <w:sz w:val="24"/>
          <w:szCs w:val="24"/>
        </w:rPr>
        <w:t>‘</w:t>
      </w:r>
      <w:r w:rsidR="00132BA9" w:rsidRPr="005F5BA0">
        <w:rPr>
          <w:rFonts w:ascii="Courier New" w:hAnsi="Courier New" w:cs="Courier New"/>
          <w:sz w:val="24"/>
          <w:szCs w:val="24"/>
        </w:rPr>
        <w:t>good cause</w:t>
      </w:r>
      <w:r w:rsidR="00C71654" w:rsidRPr="005F5BA0">
        <w:rPr>
          <w:rFonts w:ascii="Courier New" w:hAnsi="Courier New" w:cs="Courier New"/>
          <w:sz w:val="24"/>
          <w:szCs w:val="24"/>
        </w:rPr>
        <w:t>’</w:t>
      </w:r>
      <w:r w:rsidR="0069719F" w:rsidRPr="005F5BA0">
        <w:rPr>
          <w:rFonts w:ascii="Courier New" w:hAnsi="Courier New" w:cs="Courier New"/>
          <w:sz w:val="24"/>
          <w:szCs w:val="24"/>
        </w:rPr>
        <w:t xml:space="preserve"> </w:t>
      </w:r>
      <w:r w:rsidR="00C71654" w:rsidRPr="005F5BA0">
        <w:rPr>
          <w:rFonts w:ascii="Courier New" w:hAnsi="Courier New" w:cs="Courier New"/>
          <w:sz w:val="24"/>
          <w:szCs w:val="24"/>
        </w:rPr>
        <w:t xml:space="preserve">i.e. </w:t>
      </w:r>
      <w:r w:rsidR="00AE0EAB">
        <w:rPr>
          <w:rFonts w:ascii="Courier New" w:hAnsi="Courier New" w:cs="Courier New"/>
          <w:sz w:val="24"/>
          <w:szCs w:val="24"/>
        </w:rPr>
        <w:t xml:space="preserve">it </w:t>
      </w:r>
      <w:r w:rsidR="00C71654" w:rsidRPr="005F5BA0">
        <w:rPr>
          <w:rFonts w:ascii="Courier New" w:hAnsi="Courier New" w:cs="Courier New"/>
          <w:sz w:val="24"/>
          <w:szCs w:val="24"/>
        </w:rPr>
        <w:t xml:space="preserve">must advance reasonable and acceptable reasons for the delay </w:t>
      </w:r>
      <w:r w:rsidR="00132BA9" w:rsidRPr="005F5BA0">
        <w:rPr>
          <w:rFonts w:ascii="Courier New" w:hAnsi="Courier New" w:cs="Courier New"/>
          <w:sz w:val="24"/>
          <w:szCs w:val="24"/>
        </w:rPr>
        <w:t>and</w:t>
      </w:r>
      <w:r w:rsidR="00C71654" w:rsidRPr="005F5BA0">
        <w:rPr>
          <w:rFonts w:ascii="Courier New" w:hAnsi="Courier New" w:cs="Courier New"/>
          <w:sz w:val="24"/>
          <w:szCs w:val="24"/>
        </w:rPr>
        <w:t xml:space="preserve"> must satisfy the court that it has </w:t>
      </w:r>
      <w:r w:rsidR="00132BA9" w:rsidRPr="005F5BA0">
        <w:rPr>
          <w:rFonts w:ascii="Courier New" w:hAnsi="Courier New" w:cs="Courier New"/>
          <w:sz w:val="24"/>
          <w:szCs w:val="24"/>
        </w:rPr>
        <w:t>good prospects of success on appeal. The appeal is against an award made by the arbitrator</w:t>
      </w:r>
      <w:r>
        <w:rPr>
          <w:rFonts w:ascii="Courier New" w:hAnsi="Courier New" w:cs="Courier New"/>
          <w:sz w:val="24"/>
          <w:szCs w:val="24"/>
        </w:rPr>
        <w:t>, Mr. Phillip Mwandingi dated</w:t>
      </w:r>
      <w:r w:rsidR="007D4190" w:rsidRPr="005F5BA0">
        <w:rPr>
          <w:rFonts w:ascii="Courier New" w:hAnsi="Courier New" w:cs="Courier New"/>
          <w:sz w:val="24"/>
          <w:szCs w:val="24"/>
        </w:rPr>
        <w:t xml:space="preserve"> 13 March 2009</w:t>
      </w:r>
      <w:r w:rsidR="001D7D84">
        <w:rPr>
          <w:rFonts w:ascii="Courier New" w:hAnsi="Courier New" w:cs="Courier New"/>
          <w:sz w:val="24"/>
          <w:szCs w:val="24"/>
        </w:rPr>
        <w:t>.</w:t>
      </w:r>
      <w:r w:rsidR="00132BA9" w:rsidRPr="005F5BA0">
        <w:rPr>
          <w:rFonts w:ascii="Courier New" w:hAnsi="Courier New" w:cs="Courier New"/>
          <w:sz w:val="24"/>
          <w:szCs w:val="24"/>
        </w:rPr>
        <w:t xml:space="preserve"> </w:t>
      </w:r>
    </w:p>
    <w:p w:rsidR="00102729" w:rsidRPr="0083633B" w:rsidRDefault="00102729" w:rsidP="00132BA9">
      <w:pPr>
        <w:spacing w:line="480" w:lineRule="auto"/>
        <w:jc w:val="both"/>
        <w:rPr>
          <w:rFonts w:ascii="Courier New" w:hAnsi="Courier New" w:cs="Courier New"/>
          <w:sz w:val="24"/>
          <w:szCs w:val="24"/>
        </w:rPr>
      </w:pPr>
      <w:r w:rsidRPr="00102729">
        <w:rPr>
          <w:rFonts w:ascii="Courier New" w:hAnsi="Courier New" w:cs="Courier New"/>
          <w:b/>
          <w:sz w:val="24"/>
          <w:szCs w:val="24"/>
        </w:rPr>
        <w:lastRenderedPageBreak/>
        <w:t>The law</w:t>
      </w:r>
    </w:p>
    <w:p w:rsidR="00360F54" w:rsidRPr="005F5BA0" w:rsidRDefault="00E276E2" w:rsidP="00132BA9">
      <w:pPr>
        <w:spacing w:line="480" w:lineRule="auto"/>
        <w:jc w:val="both"/>
        <w:rPr>
          <w:rFonts w:ascii="Courier New" w:hAnsi="Courier New" w:cs="Courier New"/>
          <w:sz w:val="24"/>
          <w:szCs w:val="24"/>
        </w:rPr>
      </w:pPr>
      <w:r w:rsidRPr="005F5BA0">
        <w:rPr>
          <w:rFonts w:ascii="Courier New" w:hAnsi="Courier New" w:cs="Courier New"/>
          <w:sz w:val="24"/>
          <w:szCs w:val="24"/>
        </w:rPr>
        <w:t>[</w:t>
      </w:r>
      <w:r w:rsidR="0083633B">
        <w:rPr>
          <w:rFonts w:ascii="Courier New" w:hAnsi="Courier New" w:cs="Courier New"/>
          <w:sz w:val="24"/>
          <w:szCs w:val="24"/>
        </w:rPr>
        <w:t>3</w:t>
      </w:r>
      <w:r w:rsidR="000918C0" w:rsidRPr="005F5BA0">
        <w:rPr>
          <w:rFonts w:ascii="Courier New" w:hAnsi="Courier New" w:cs="Courier New"/>
          <w:sz w:val="24"/>
          <w:szCs w:val="24"/>
        </w:rPr>
        <w:t xml:space="preserve">] </w:t>
      </w:r>
      <w:r w:rsidR="00897E8C">
        <w:rPr>
          <w:rFonts w:ascii="Courier New" w:hAnsi="Courier New" w:cs="Courier New"/>
          <w:sz w:val="24"/>
          <w:szCs w:val="24"/>
        </w:rPr>
        <w:t>It is common cause that in terms of sec</w:t>
      </w:r>
      <w:r w:rsidR="000918C0" w:rsidRPr="005F5BA0">
        <w:rPr>
          <w:rFonts w:ascii="Courier New" w:hAnsi="Courier New" w:cs="Courier New"/>
          <w:sz w:val="24"/>
          <w:szCs w:val="24"/>
        </w:rPr>
        <w:t xml:space="preserve"> 89(2)</w:t>
      </w:r>
      <w:r w:rsidR="00B66242" w:rsidRPr="005F5BA0">
        <w:rPr>
          <w:rFonts w:ascii="Courier New" w:hAnsi="Courier New" w:cs="Courier New"/>
          <w:sz w:val="24"/>
          <w:szCs w:val="24"/>
        </w:rPr>
        <w:t xml:space="preserve"> </w:t>
      </w:r>
      <w:r w:rsidR="00360F54" w:rsidRPr="005F5BA0">
        <w:rPr>
          <w:rFonts w:ascii="Courier New" w:hAnsi="Courier New" w:cs="Courier New"/>
          <w:sz w:val="24"/>
          <w:szCs w:val="24"/>
        </w:rPr>
        <w:t xml:space="preserve">of the Labour Act, </w:t>
      </w:r>
      <w:r w:rsidR="00062DD1">
        <w:rPr>
          <w:rFonts w:ascii="Courier New" w:hAnsi="Courier New" w:cs="Courier New"/>
          <w:sz w:val="24"/>
          <w:szCs w:val="24"/>
        </w:rPr>
        <w:t>th</w:t>
      </w:r>
      <w:r w:rsidR="00897E8C">
        <w:rPr>
          <w:rFonts w:ascii="Courier New" w:hAnsi="Courier New" w:cs="Courier New"/>
          <w:sz w:val="24"/>
          <w:szCs w:val="24"/>
        </w:rPr>
        <w:t xml:space="preserve">e </w:t>
      </w:r>
      <w:r w:rsidR="00062DD1">
        <w:rPr>
          <w:rFonts w:ascii="Courier New" w:hAnsi="Courier New" w:cs="Courier New"/>
          <w:sz w:val="24"/>
          <w:szCs w:val="24"/>
        </w:rPr>
        <w:t>award ou</w:t>
      </w:r>
      <w:r w:rsidR="00360F54" w:rsidRPr="005F5BA0">
        <w:rPr>
          <w:rFonts w:ascii="Courier New" w:hAnsi="Courier New" w:cs="Courier New"/>
          <w:sz w:val="24"/>
          <w:szCs w:val="24"/>
        </w:rPr>
        <w:t xml:space="preserve">ght to have been appealed </w:t>
      </w:r>
      <w:r w:rsidR="001F25A1" w:rsidRPr="005F5BA0">
        <w:rPr>
          <w:rFonts w:ascii="Courier New" w:hAnsi="Courier New" w:cs="Courier New"/>
          <w:sz w:val="24"/>
          <w:szCs w:val="24"/>
        </w:rPr>
        <w:t xml:space="preserve">on 06 May 2012. </w:t>
      </w:r>
      <w:r w:rsidR="00360F54" w:rsidRPr="005F5BA0">
        <w:rPr>
          <w:rFonts w:ascii="Courier New" w:hAnsi="Courier New" w:cs="Courier New"/>
          <w:sz w:val="24"/>
          <w:szCs w:val="24"/>
        </w:rPr>
        <w:t>However, the not</w:t>
      </w:r>
      <w:r w:rsidR="001F25A1" w:rsidRPr="005F5BA0">
        <w:rPr>
          <w:rFonts w:ascii="Courier New" w:hAnsi="Courier New" w:cs="Courier New"/>
          <w:sz w:val="24"/>
          <w:szCs w:val="24"/>
        </w:rPr>
        <w:t xml:space="preserve">ice </w:t>
      </w:r>
      <w:r w:rsidR="0083633B">
        <w:rPr>
          <w:rFonts w:ascii="Courier New" w:hAnsi="Courier New" w:cs="Courier New"/>
          <w:sz w:val="24"/>
          <w:szCs w:val="24"/>
        </w:rPr>
        <w:t>of</w:t>
      </w:r>
      <w:r w:rsidR="001F25A1" w:rsidRPr="005F5BA0">
        <w:rPr>
          <w:rFonts w:ascii="Courier New" w:hAnsi="Courier New" w:cs="Courier New"/>
          <w:sz w:val="24"/>
          <w:szCs w:val="24"/>
        </w:rPr>
        <w:t xml:space="preserve"> appeal was</w:t>
      </w:r>
      <w:r w:rsidR="00C14708" w:rsidRPr="005F5BA0">
        <w:rPr>
          <w:rFonts w:ascii="Courier New" w:hAnsi="Courier New" w:cs="Courier New"/>
          <w:sz w:val="24"/>
          <w:szCs w:val="24"/>
        </w:rPr>
        <w:t xml:space="preserve"> o</w:t>
      </w:r>
      <w:r w:rsidR="001F25A1" w:rsidRPr="005F5BA0">
        <w:rPr>
          <w:rFonts w:ascii="Courier New" w:hAnsi="Courier New" w:cs="Courier New"/>
          <w:sz w:val="24"/>
          <w:szCs w:val="24"/>
        </w:rPr>
        <w:t>nly filed on 13 May 2009</w:t>
      </w:r>
      <w:r w:rsidR="0083633B">
        <w:rPr>
          <w:rFonts w:ascii="Courier New" w:hAnsi="Courier New" w:cs="Courier New"/>
          <w:sz w:val="24"/>
          <w:szCs w:val="24"/>
        </w:rPr>
        <w:t>.</w:t>
      </w:r>
      <w:r w:rsidR="00897E8C">
        <w:rPr>
          <w:rFonts w:ascii="Courier New" w:hAnsi="Courier New" w:cs="Courier New"/>
          <w:sz w:val="24"/>
          <w:szCs w:val="24"/>
        </w:rPr>
        <w:t xml:space="preserve"> </w:t>
      </w:r>
      <w:r w:rsidR="00062DD1">
        <w:rPr>
          <w:rFonts w:ascii="Courier New" w:hAnsi="Courier New" w:cs="Courier New"/>
          <w:sz w:val="24"/>
          <w:szCs w:val="24"/>
        </w:rPr>
        <w:t>The application for condonation was th</w:t>
      </w:r>
      <w:r w:rsidR="0083633B">
        <w:rPr>
          <w:rFonts w:ascii="Courier New" w:hAnsi="Courier New" w:cs="Courier New"/>
          <w:sz w:val="24"/>
          <w:szCs w:val="24"/>
        </w:rPr>
        <w:t>en brought only on 25 June 2009 i.e.</w:t>
      </w:r>
      <w:r w:rsidR="00062DD1">
        <w:rPr>
          <w:rFonts w:ascii="Courier New" w:hAnsi="Courier New" w:cs="Courier New"/>
          <w:sz w:val="24"/>
          <w:szCs w:val="24"/>
        </w:rPr>
        <w:t xml:space="preserve"> </w:t>
      </w:r>
      <w:r w:rsidR="0083633B">
        <w:rPr>
          <w:rFonts w:ascii="Courier New" w:hAnsi="Courier New" w:cs="Courier New"/>
          <w:sz w:val="24"/>
          <w:szCs w:val="24"/>
        </w:rPr>
        <w:t xml:space="preserve">more than a month after the late filing of the notice to appeal. </w:t>
      </w:r>
      <w:r w:rsidR="00360F54" w:rsidRPr="005F5BA0">
        <w:rPr>
          <w:rFonts w:ascii="Courier New" w:hAnsi="Courier New" w:cs="Courier New"/>
          <w:sz w:val="24"/>
          <w:szCs w:val="24"/>
        </w:rPr>
        <w:t>The applicant seeks the following relief:</w:t>
      </w:r>
    </w:p>
    <w:p w:rsidR="00360F54" w:rsidRPr="000100F3" w:rsidRDefault="00360F54" w:rsidP="00E276E2">
      <w:pPr>
        <w:spacing w:line="240" w:lineRule="auto"/>
        <w:ind w:left="720"/>
        <w:jc w:val="both"/>
        <w:rPr>
          <w:rFonts w:ascii="Courier New" w:hAnsi="Courier New" w:cs="Courier New"/>
        </w:rPr>
      </w:pPr>
      <w:r w:rsidRPr="000100F3">
        <w:rPr>
          <w:rFonts w:ascii="Courier New" w:hAnsi="Courier New" w:cs="Courier New"/>
        </w:rPr>
        <w:t xml:space="preserve">1. Condoning the appellant’s late filling of its notice of </w:t>
      </w:r>
      <w:r w:rsidR="00E276E2" w:rsidRPr="000100F3">
        <w:rPr>
          <w:rFonts w:ascii="Courier New" w:hAnsi="Courier New" w:cs="Courier New"/>
        </w:rPr>
        <w:t>appeal, inso</w:t>
      </w:r>
      <w:r w:rsidRPr="000100F3">
        <w:rPr>
          <w:rFonts w:ascii="Courier New" w:hAnsi="Courier New" w:cs="Courier New"/>
        </w:rPr>
        <w:t>far as this may be necessary.</w:t>
      </w:r>
    </w:p>
    <w:p w:rsidR="00E276E2" w:rsidRPr="000100F3" w:rsidRDefault="00E276E2" w:rsidP="00E276E2">
      <w:pPr>
        <w:spacing w:line="240" w:lineRule="auto"/>
        <w:ind w:left="720"/>
        <w:jc w:val="both"/>
        <w:rPr>
          <w:rFonts w:ascii="Courier New" w:hAnsi="Courier New" w:cs="Courier New"/>
        </w:rPr>
      </w:pPr>
      <w:r w:rsidRPr="000100F3">
        <w:rPr>
          <w:rFonts w:ascii="Courier New" w:hAnsi="Courier New" w:cs="Courier New"/>
        </w:rPr>
        <w:t>2. Costs of suit (only in the event of opposition to this application)</w:t>
      </w:r>
    </w:p>
    <w:p w:rsidR="00E276E2" w:rsidRDefault="00E276E2" w:rsidP="00E276E2">
      <w:pPr>
        <w:spacing w:line="240" w:lineRule="auto"/>
        <w:ind w:left="720"/>
        <w:jc w:val="both"/>
        <w:rPr>
          <w:rFonts w:ascii="Courier New" w:hAnsi="Courier New" w:cs="Courier New"/>
        </w:rPr>
      </w:pPr>
      <w:r w:rsidRPr="000100F3">
        <w:rPr>
          <w:rFonts w:ascii="Courier New" w:hAnsi="Courier New" w:cs="Courier New"/>
        </w:rPr>
        <w:t>3. Further and/or alternative relief.</w:t>
      </w:r>
    </w:p>
    <w:p w:rsidR="000100F3" w:rsidRPr="000100F3" w:rsidRDefault="000100F3" w:rsidP="00E276E2">
      <w:pPr>
        <w:spacing w:line="240" w:lineRule="auto"/>
        <w:ind w:left="720"/>
        <w:jc w:val="both"/>
        <w:rPr>
          <w:rFonts w:ascii="Courier New" w:hAnsi="Courier New" w:cs="Courier New"/>
        </w:rPr>
      </w:pPr>
    </w:p>
    <w:p w:rsidR="001D7D84" w:rsidRDefault="001D7D84" w:rsidP="001D7D84">
      <w:pPr>
        <w:spacing w:line="480" w:lineRule="auto"/>
        <w:jc w:val="both"/>
        <w:rPr>
          <w:rFonts w:ascii="Courier New" w:hAnsi="Courier New" w:cs="Courier New"/>
          <w:b/>
          <w:sz w:val="24"/>
          <w:szCs w:val="24"/>
        </w:rPr>
      </w:pPr>
      <w:r>
        <w:rPr>
          <w:rFonts w:ascii="Courier New" w:hAnsi="Courier New" w:cs="Courier New"/>
          <w:sz w:val="24"/>
          <w:szCs w:val="24"/>
        </w:rPr>
        <w:t xml:space="preserve">Section </w:t>
      </w:r>
      <w:r w:rsidRPr="00CD57D9">
        <w:rPr>
          <w:rFonts w:ascii="Courier New" w:hAnsi="Courier New" w:cs="Courier New"/>
          <w:sz w:val="24"/>
          <w:szCs w:val="24"/>
        </w:rPr>
        <w:t>89 of the Labour Act</w:t>
      </w:r>
      <w:r>
        <w:rPr>
          <w:rFonts w:ascii="Courier New" w:hAnsi="Courier New" w:cs="Courier New"/>
          <w:sz w:val="24"/>
          <w:szCs w:val="24"/>
        </w:rPr>
        <w:t>, 2007 (Act 11 of 2007)</w:t>
      </w:r>
      <w:r w:rsidRPr="00CD57D9">
        <w:rPr>
          <w:rFonts w:ascii="Courier New" w:hAnsi="Courier New" w:cs="Courier New"/>
          <w:sz w:val="24"/>
          <w:szCs w:val="24"/>
        </w:rPr>
        <w:t xml:space="preserve"> reads:</w:t>
      </w:r>
    </w:p>
    <w:p w:rsidR="001D7D84" w:rsidRPr="006F2A3C" w:rsidRDefault="001D7D84" w:rsidP="001D7D84">
      <w:pPr>
        <w:spacing w:line="240" w:lineRule="auto"/>
        <w:ind w:firstLine="720"/>
        <w:jc w:val="both"/>
        <w:rPr>
          <w:rFonts w:ascii="Courier New" w:hAnsi="Courier New" w:cs="Courier New"/>
        </w:rPr>
      </w:pPr>
      <w:r w:rsidRPr="006F2A3C">
        <w:rPr>
          <w:rFonts w:ascii="Courier New" w:hAnsi="Courier New" w:cs="Courier New"/>
        </w:rPr>
        <w:t>‘89 Appeals or reviews of arbitration awards</w:t>
      </w:r>
    </w:p>
    <w:p w:rsidR="001D7D84" w:rsidRPr="006F2A3C" w:rsidRDefault="001D7D84" w:rsidP="001D7D84">
      <w:pPr>
        <w:spacing w:line="240" w:lineRule="auto"/>
        <w:ind w:left="1440"/>
        <w:jc w:val="both"/>
        <w:rPr>
          <w:rFonts w:ascii="Courier New" w:hAnsi="Courier New" w:cs="Courier New"/>
        </w:rPr>
      </w:pPr>
      <w:r w:rsidRPr="006F2A3C">
        <w:rPr>
          <w:rFonts w:ascii="Courier New" w:hAnsi="Courier New" w:cs="Courier New"/>
        </w:rPr>
        <w:t>(1) A party to a dispute may appeal to the Labour Court against an arbitrator's award made in terms of section 86-</w:t>
      </w:r>
    </w:p>
    <w:p w:rsidR="001D7D84" w:rsidRPr="006F2A3C" w:rsidRDefault="001D7D84" w:rsidP="001D7D84">
      <w:pPr>
        <w:spacing w:line="240" w:lineRule="auto"/>
        <w:jc w:val="both"/>
        <w:rPr>
          <w:rFonts w:ascii="Courier New" w:hAnsi="Courier New" w:cs="Courier New"/>
        </w:rPr>
      </w:pPr>
      <w:r w:rsidRPr="006F2A3C">
        <w:rPr>
          <w:rFonts w:ascii="Courier New" w:hAnsi="Courier New" w:cs="Courier New"/>
        </w:rPr>
        <w:tab/>
      </w:r>
      <w:r w:rsidRPr="006F2A3C">
        <w:rPr>
          <w:rFonts w:ascii="Courier New" w:hAnsi="Courier New" w:cs="Courier New"/>
        </w:rPr>
        <w:tab/>
      </w:r>
      <w:r w:rsidRPr="006F2A3C">
        <w:rPr>
          <w:rFonts w:ascii="Courier New" w:hAnsi="Courier New" w:cs="Courier New"/>
        </w:rPr>
        <w:tab/>
        <w:t>(a)</w:t>
      </w:r>
      <w:r w:rsidRPr="006F2A3C">
        <w:rPr>
          <w:rFonts w:ascii="Courier New" w:hAnsi="Courier New" w:cs="Courier New"/>
        </w:rPr>
        <w:tab/>
        <w:t>on any question of law alone; or</w:t>
      </w:r>
    </w:p>
    <w:p w:rsidR="001D7D84" w:rsidRPr="006F2A3C" w:rsidRDefault="001D7D84" w:rsidP="001D7D84">
      <w:pPr>
        <w:spacing w:line="240" w:lineRule="auto"/>
        <w:ind w:left="2160"/>
        <w:jc w:val="both"/>
        <w:rPr>
          <w:rFonts w:ascii="Courier New" w:hAnsi="Courier New" w:cs="Courier New"/>
        </w:rPr>
      </w:pPr>
      <w:r w:rsidRPr="006F2A3C">
        <w:rPr>
          <w:rFonts w:ascii="Courier New" w:hAnsi="Courier New" w:cs="Courier New"/>
        </w:rPr>
        <w:t>(b)</w:t>
      </w:r>
      <w:r w:rsidRPr="006F2A3C">
        <w:rPr>
          <w:rFonts w:ascii="Courier New" w:hAnsi="Courier New" w:cs="Courier New"/>
        </w:rPr>
        <w:tab/>
        <w:t>in the case of an award in a dispute initially referred to the Labour Commissioner in terms of section 7(1)(a), on a question of fact, law or mixed fact and law.</w:t>
      </w:r>
    </w:p>
    <w:p w:rsidR="001D7D84" w:rsidRPr="006F2A3C" w:rsidRDefault="001D7D84" w:rsidP="001D7D84">
      <w:pPr>
        <w:spacing w:line="240" w:lineRule="auto"/>
        <w:ind w:left="1440"/>
        <w:jc w:val="both"/>
        <w:rPr>
          <w:rFonts w:ascii="Courier New" w:hAnsi="Courier New" w:cs="Courier New"/>
        </w:rPr>
      </w:pPr>
      <w:r w:rsidRPr="006F2A3C">
        <w:rPr>
          <w:rFonts w:ascii="Courier New" w:hAnsi="Courier New" w:cs="Courier New"/>
        </w:rPr>
        <w:t>(2) A party to a dispute who wishes to appeal against an arbitrator's award in terms of subsection (1) must note an appeal in accordance with the Rules of the High Court, within 30 days after the award being served on the party.</w:t>
      </w:r>
      <w:r w:rsidRPr="006F2A3C">
        <w:rPr>
          <w:rStyle w:val="FootnoteReference"/>
          <w:rFonts w:ascii="Courier New" w:hAnsi="Courier New" w:cs="Courier New"/>
        </w:rPr>
        <w:footnoteReference w:id="2"/>
      </w:r>
    </w:p>
    <w:p w:rsidR="001D7D84" w:rsidRPr="00897E8C" w:rsidRDefault="001D7D84" w:rsidP="001D7D84">
      <w:pPr>
        <w:spacing w:line="240" w:lineRule="auto"/>
        <w:ind w:left="1440"/>
        <w:jc w:val="both"/>
        <w:rPr>
          <w:rFonts w:ascii="Courier New" w:hAnsi="Courier New" w:cs="Courier New"/>
          <w:sz w:val="24"/>
          <w:szCs w:val="24"/>
        </w:rPr>
      </w:pPr>
    </w:p>
    <w:p w:rsidR="00D529A1" w:rsidRDefault="008668E5" w:rsidP="006F2A3C">
      <w:pPr>
        <w:spacing w:after="0" w:line="480" w:lineRule="auto"/>
        <w:jc w:val="both"/>
        <w:rPr>
          <w:rFonts w:ascii="Courier New" w:hAnsi="Courier New" w:cs="Courier New"/>
          <w:sz w:val="24"/>
          <w:szCs w:val="24"/>
        </w:rPr>
      </w:pPr>
      <w:r>
        <w:rPr>
          <w:rFonts w:ascii="Courier New" w:hAnsi="Courier New" w:cs="Courier New"/>
          <w:sz w:val="24"/>
          <w:szCs w:val="24"/>
        </w:rPr>
        <w:lastRenderedPageBreak/>
        <w:t>[</w:t>
      </w:r>
      <w:r w:rsidR="001D4B37">
        <w:rPr>
          <w:rFonts w:ascii="Courier New" w:hAnsi="Courier New" w:cs="Courier New"/>
          <w:sz w:val="24"/>
          <w:szCs w:val="24"/>
        </w:rPr>
        <w:t>4</w:t>
      </w:r>
      <w:r>
        <w:rPr>
          <w:rFonts w:ascii="Courier New" w:hAnsi="Courier New" w:cs="Courier New"/>
          <w:sz w:val="24"/>
          <w:szCs w:val="24"/>
        </w:rPr>
        <w:t xml:space="preserve">] </w:t>
      </w:r>
      <w:r w:rsidR="00D529A1">
        <w:rPr>
          <w:rFonts w:ascii="Courier New" w:hAnsi="Courier New" w:cs="Courier New"/>
          <w:sz w:val="24"/>
          <w:szCs w:val="24"/>
        </w:rPr>
        <w:t>The importance of the rules of court has been explained in the following terms by the Full Bench of the High Court:</w:t>
      </w:r>
      <w:r w:rsidR="00D529A1">
        <w:rPr>
          <w:rStyle w:val="FootnoteReference"/>
          <w:rFonts w:ascii="Courier New" w:hAnsi="Courier New" w:cs="Courier New"/>
          <w:sz w:val="24"/>
          <w:szCs w:val="24"/>
        </w:rPr>
        <w:footnoteReference w:id="3"/>
      </w:r>
    </w:p>
    <w:p w:rsidR="00D529A1" w:rsidRDefault="00D529A1" w:rsidP="00D529A1">
      <w:pPr>
        <w:spacing w:after="0" w:line="360" w:lineRule="auto"/>
        <w:jc w:val="both"/>
        <w:rPr>
          <w:rFonts w:ascii="Courier New" w:hAnsi="Courier New" w:cs="Courier New"/>
        </w:rPr>
      </w:pPr>
    </w:p>
    <w:p w:rsidR="00D529A1" w:rsidRDefault="00AF5795" w:rsidP="00104EEC">
      <w:pPr>
        <w:spacing w:after="0" w:line="240" w:lineRule="auto"/>
        <w:ind w:left="720"/>
        <w:jc w:val="both"/>
        <w:rPr>
          <w:rFonts w:ascii="Courier New" w:hAnsi="Courier New" w:cs="Courier New"/>
          <w:color w:val="000000"/>
          <w:sz w:val="24"/>
          <w:szCs w:val="24"/>
        </w:rPr>
      </w:pPr>
      <w:r>
        <w:rPr>
          <w:rFonts w:ascii="Courier New" w:hAnsi="Courier New" w:cs="Courier New"/>
        </w:rPr>
        <w:t xml:space="preserve">“ </w:t>
      </w:r>
      <w:r w:rsidR="00D529A1" w:rsidRPr="00CA4172">
        <w:rPr>
          <w:rFonts w:ascii="Courier New" w:hAnsi="Courier New" w:cs="Courier New"/>
        </w:rPr>
        <w:t>The Rules of Court are an important element in the machinery of justice. Failure to observe such Rules can lead not only to the inconvenience of immediate litigants and of the Courts but also to the inconvenience of other litigants whose cases are delayed thereby.</w:t>
      </w:r>
      <w:r w:rsidR="00D529A1">
        <w:rPr>
          <w:rFonts w:ascii="Courier New" w:hAnsi="Courier New" w:cs="Courier New"/>
        </w:rPr>
        <w:t xml:space="preserve"> </w:t>
      </w:r>
      <w:r w:rsidR="00D529A1" w:rsidRPr="00CA4172">
        <w:rPr>
          <w:rFonts w:ascii="Courier New" w:hAnsi="Courier New" w:cs="Courier New"/>
        </w:rPr>
        <w:t>It is essential for the proper application of the law that the Rules of Court, which have been designed for that purpose, be complied with. Practice and procedure in the Courts can be completely dislocated by non-compliance.</w:t>
      </w:r>
      <w:r>
        <w:rPr>
          <w:rFonts w:ascii="Courier New" w:hAnsi="Courier New" w:cs="Courier New"/>
          <w:sz w:val="24"/>
          <w:szCs w:val="24"/>
        </w:rPr>
        <w:t>”</w:t>
      </w:r>
    </w:p>
    <w:p w:rsidR="00D529A1" w:rsidRPr="00B800E3" w:rsidRDefault="00D529A1" w:rsidP="00D529A1">
      <w:pPr>
        <w:spacing w:after="0" w:line="360" w:lineRule="auto"/>
        <w:jc w:val="both"/>
        <w:rPr>
          <w:rFonts w:ascii="Courier New" w:hAnsi="Courier New" w:cs="Courier New"/>
          <w:sz w:val="24"/>
          <w:szCs w:val="24"/>
        </w:rPr>
      </w:pPr>
    </w:p>
    <w:p w:rsidR="00D529A1" w:rsidRDefault="001D4B37" w:rsidP="006F2A3C">
      <w:pPr>
        <w:spacing w:after="0" w:line="480" w:lineRule="auto"/>
        <w:jc w:val="both"/>
        <w:rPr>
          <w:rFonts w:ascii="Courier New" w:hAnsi="Courier New" w:cs="Courier New"/>
          <w:sz w:val="24"/>
          <w:szCs w:val="24"/>
        </w:rPr>
      </w:pPr>
      <w:r>
        <w:rPr>
          <w:rFonts w:ascii="Courier New" w:hAnsi="Courier New" w:cs="Courier New"/>
          <w:sz w:val="24"/>
          <w:szCs w:val="24"/>
        </w:rPr>
        <w:t>[5</w:t>
      </w:r>
      <w:r w:rsidR="008668E5">
        <w:rPr>
          <w:rFonts w:ascii="Courier New" w:hAnsi="Courier New" w:cs="Courier New"/>
          <w:sz w:val="24"/>
          <w:szCs w:val="24"/>
        </w:rPr>
        <w:t xml:space="preserve">] </w:t>
      </w:r>
      <w:r w:rsidR="00D529A1">
        <w:rPr>
          <w:rFonts w:ascii="Courier New" w:hAnsi="Courier New" w:cs="Courier New"/>
          <w:sz w:val="24"/>
          <w:szCs w:val="24"/>
        </w:rPr>
        <w:t>The following principles can be distilled from the judgments of the Courts as regards applications for condonation:</w:t>
      </w:r>
    </w:p>
    <w:p w:rsidR="00AF5795" w:rsidRDefault="00AF5795" w:rsidP="00D529A1">
      <w:pPr>
        <w:spacing w:after="0" w:line="360" w:lineRule="auto"/>
        <w:jc w:val="both"/>
        <w:rPr>
          <w:rFonts w:ascii="Courier New" w:hAnsi="Courier New" w:cs="Courier New"/>
          <w:sz w:val="24"/>
          <w:szCs w:val="24"/>
        </w:rPr>
      </w:pPr>
    </w:p>
    <w:p w:rsidR="00D529A1" w:rsidRDefault="00D529A1" w:rsidP="00D529A1">
      <w:pPr>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It is not a mere formality and will not be had for the asking.</w:t>
      </w:r>
      <w:r>
        <w:rPr>
          <w:rStyle w:val="FootnoteReference"/>
          <w:rFonts w:ascii="Courier New" w:hAnsi="Courier New" w:cs="Courier New"/>
          <w:sz w:val="24"/>
          <w:szCs w:val="24"/>
        </w:rPr>
        <w:footnoteReference w:id="4"/>
      </w:r>
      <w:r>
        <w:rPr>
          <w:rFonts w:ascii="Courier New" w:hAnsi="Courier New" w:cs="Courier New"/>
          <w:sz w:val="24"/>
          <w:szCs w:val="24"/>
        </w:rPr>
        <w:t xml:space="preserve"> The party seeking condonation bears the onus to satisfy the court that there is sufficient cause to warrant the grant of condonation.</w:t>
      </w:r>
      <w:r>
        <w:rPr>
          <w:rStyle w:val="FootnoteReference"/>
          <w:rFonts w:ascii="Courier New" w:hAnsi="Courier New" w:cs="Courier New"/>
          <w:sz w:val="24"/>
          <w:szCs w:val="24"/>
        </w:rPr>
        <w:footnoteReference w:id="5"/>
      </w:r>
    </w:p>
    <w:p w:rsidR="00D529A1" w:rsidRDefault="00D529A1" w:rsidP="00D529A1">
      <w:pPr>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There must be an acceptable explanation for the delay or non-compliance. The explanation must be full, detailed and accurate.</w:t>
      </w:r>
      <w:r>
        <w:rPr>
          <w:rStyle w:val="FootnoteReference"/>
          <w:rFonts w:ascii="Courier New" w:hAnsi="Courier New" w:cs="Courier New"/>
          <w:sz w:val="24"/>
          <w:szCs w:val="24"/>
        </w:rPr>
        <w:footnoteReference w:id="6"/>
      </w:r>
    </w:p>
    <w:p w:rsidR="00D529A1" w:rsidRDefault="00D529A1" w:rsidP="00D529A1">
      <w:pPr>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It must be sought as soon as the non-compliance has come to the fore. An application for condonation must be made without delay.</w:t>
      </w:r>
      <w:r>
        <w:rPr>
          <w:rStyle w:val="FootnoteReference"/>
          <w:rFonts w:ascii="Courier New" w:hAnsi="Courier New" w:cs="Courier New"/>
          <w:sz w:val="24"/>
          <w:szCs w:val="24"/>
        </w:rPr>
        <w:footnoteReference w:id="7"/>
      </w:r>
    </w:p>
    <w:p w:rsidR="00D529A1" w:rsidRDefault="00897E8C" w:rsidP="00D529A1">
      <w:pPr>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degree of delay</w:t>
      </w:r>
      <w:r w:rsidR="001D4B37">
        <w:rPr>
          <w:rFonts w:ascii="Courier New" w:hAnsi="Courier New" w:cs="Courier New"/>
          <w:sz w:val="24"/>
          <w:szCs w:val="24"/>
        </w:rPr>
        <w:t xml:space="preserve"> is a relevant consideration</w:t>
      </w:r>
      <w:r w:rsidR="00D529A1">
        <w:rPr>
          <w:rFonts w:ascii="Courier New" w:hAnsi="Courier New" w:cs="Courier New"/>
          <w:sz w:val="24"/>
          <w:szCs w:val="24"/>
        </w:rPr>
        <w:t>;</w:t>
      </w:r>
      <w:r>
        <w:rPr>
          <w:rStyle w:val="FootnoteReference"/>
          <w:rFonts w:ascii="Courier New" w:hAnsi="Courier New" w:cs="Courier New"/>
          <w:sz w:val="24"/>
          <w:szCs w:val="24"/>
        </w:rPr>
        <w:footnoteReference w:id="8"/>
      </w:r>
    </w:p>
    <w:p w:rsidR="00D529A1" w:rsidRDefault="00D529A1" w:rsidP="00D529A1">
      <w:pPr>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entire period during which the delay had occurred and continued must be fully explained;</w:t>
      </w:r>
      <w:r>
        <w:rPr>
          <w:rStyle w:val="FootnoteReference"/>
          <w:rFonts w:ascii="Courier New" w:hAnsi="Courier New" w:cs="Courier New"/>
          <w:sz w:val="24"/>
          <w:szCs w:val="24"/>
        </w:rPr>
        <w:footnoteReference w:id="9"/>
      </w:r>
    </w:p>
    <w:p w:rsidR="00D529A1" w:rsidRPr="00897E8C" w:rsidRDefault="00D529A1" w:rsidP="00D529A1">
      <w:pPr>
        <w:numPr>
          <w:ilvl w:val="0"/>
          <w:numId w:val="3"/>
        </w:numPr>
        <w:spacing w:after="0" w:line="360" w:lineRule="auto"/>
        <w:jc w:val="both"/>
        <w:rPr>
          <w:rFonts w:ascii="Courier New" w:hAnsi="Courier New" w:cs="Courier New"/>
          <w:sz w:val="24"/>
          <w:szCs w:val="24"/>
        </w:rPr>
      </w:pPr>
      <w:r w:rsidRPr="00897E8C">
        <w:rPr>
          <w:rFonts w:ascii="Courier New" w:hAnsi="Courier New" w:cs="Courier New"/>
          <w:sz w:val="24"/>
          <w:szCs w:val="24"/>
        </w:rPr>
        <w:lastRenderedPageBreak/>
        <w:t>There is a point beyond which the negligence of the legal practitioner will not avail the client that is legally</w:t>
      </w:r>
      <w:r w:rsidR="00897E8C" w:rsidRPr="00897E8C">
        <w:rPr>
          <w:rFonts w:ascii="Courier New" w:hAnsi="Courier New" w:cs="Courier New"/>
          <w:sz w:val="24"/>
          <w:szCs w:val="24"/>
        </w:rPr>
        <w:t xml:space="preserve"> </w:t>
      </w:r>
      <w:r w:rsidRPr="00897E8C">
        <w:rPr>
          <w:rFonts w:ascii="Courier New" w:hAnsi="Courier New" w:cs="Courier New"/>
          <w:sz w:val="24"/>
          <w:szCs w:val="24"/>
        </w:rPr>
        <w:t>represented.</w:t>
      </w:r>
      <w:r>
        <w:rPr>
          <w:rStyle w:val="FootnoteReference"/>
          <w:rFonts w:ascii="Courier New" w:hAnsi="Courier New" w:cs="Courier New"/>
          <w:sz w:val="24"/>
          <w:szCs w:val="24"/>
        </w:rPr>
        <w:footnoteReference w:id="10"/>
      </w:r>
      <w:r w:rsidRPr="00897E8C">
        <w:rPr>
          <w:rFonts w:ascii="Courier New" w:hAnsi="Courier New" w:cs="Courier New"/>
          <w:sz w:val="24"/>
          <w:szCs w:val="24"/>
        </w:rPr>
        <w:t xml:space="preserve"> (Legal practitioners are expected to familiarize themselves with the rules of court).</w:t>
      </w:r>
      <w:r>
        <w:rPr>
          <w:rStyle w:val="FootnoteReference"/>
          <w:rFonts w:ascii="Courier New" w:hAnsi="Courier New" w:cs="Courier New"/>
          <w:sz w:val="24"/>
          <w:szCs w:val="24"/>
        </w:rPr>
        <w:footnoteReference w:id="11"/>
      </w:r>
    </w:p>
    <w:p w:rsidR="00D529A1" w:rsidRDefault="00D529A1" w:rsidP="00D529A1">
      <w:pPr>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The applicant for condonation must demonstrate good prospects of success on the merits. But where the non-compliance with the rules of Court </w:t>
      </w:r>
      <w:r w:rsidR="00B36B9C">
        <w:rPr>
          <w:rFonts w:ascii="Courier New" w:hAnsi="Courier New" w:cs="Courier New"/>
          <w:sz w:val="24"/>
          <w:szCs w:val="24"/>
        </w:rPr>
        <w:t>is</w:t>
      </w:r>
      <w:r>
        <w:rPr>
          <w:rFonts w:ascii="Courier New" w:hAnsi="Courier New" w:cs="Courier New"/>
          <w:sz w:val="24"/>
          <w:szCs w:val="24"/>
        </w:rPr>
        <w:t xml:space="preserve"> flagrant and gross, prospects of success are not decisive.</w:t>
      </w:r>
      <w:r>
        <w:rPr>
          <w:rStyle w:val="FootnoteReference"/>
          <w:rFonts w:ascii="Courier New" w:hAnsi="Courier New" w:cs="Courier New"/>
          <w:sz w:val="24"/>
          <w:szCs w:val="24"/>
        </w:rPr>
        <w:footnoteReference w:id="12"/>
      </w:r>
      <w:r>
        <w:rPr>
          <w:rFonts w:ascii="Courier New" w:hAnsi="Courier New" w:cs="Courier New"/>
          <w:sz w:val="24"/>
          <w:szCs w:val="24"/>
        </w:rPr>
        <w:t xml:space="preserve"> </w:t>
      </w:r>
    </w:p>
    <w:p w:rsidR="00D529A1" w:rsidRDefault="00D529A1" w:rsidP="00D529A1">
      <w:pPr>
        <w:pStyle w:val="ListParagraph"/>
        <w:numPr>
          <w:ilvl w:val="0"/>
          <w:numId w:val="3"/>
        </w:numPr>
        <w:spacing w:line="480" w:lineRule="auto"/>
        <w:jc w:val="both"/>
        <w:rPr>
          <w:rFonts w:ascii="Courier New" w:hAnsi="Courier New" w:cs="Courier New"/>
          <w:color w:val="000000"/>
          <w:sz w:val="24"/>
          <w:szCs w:val="24"/>
        </w:rPr>
      </w:pPr>
      <w:r w:rsidRPr="001A587B">
        <w:rPr>
          <w:rFonts w:ascii="Courier New" w:hAnsi="Courier New" w:cs="Courier New"/>
          <w:color w:val="000000"/>
          <w:sz w:val="24"/>
          <w:szCs w:val="24"/>
        </w:rPr>
        <w:t>The applicant’s prospect</w:t>
      </w:r>
      <w:r w:rsidR="001D4B37">
        <w:rPr>
          <w:rFonts w:ascii="Courier New" w:hAnsi="Courier New" w:cs="Courier New"/>
          <w:color w:val="000000"/>
          <w:sz w:val="24"/>
          <w:szCs w:val="24"/>
        </w:rPr>
        <w:t>s</w:t>
      </w:r>
      <w:r w:rsidRPr="001A587B">
        <w:rPr>
          <w:rFonts w:ascii="Courier New" w:hAnsi="Courier New" w:cs="Courier New"/>
          <w:color w:val="000000"/>
          <w:sz w:val="24"/>
          <w:szCs w:val="24"/>
        </w:rPr>
        <w:t xml:space="preserve"> of success is in general an important though not a decisive consideration. In the case of </w:t>
      </w:r>
      <w:r w:rsidRPr="001A587B">
        <w:rPr>
          <w:rFonts w:ascii="Courier New" w:hAnsi="Courier New" w:cs="Courier New"/>
          <w:i/>
          <w:color w:val="000000"/>
          <w:sz w:val="24"/>
          <w:szCs w:val="24"/>
        </w:rPr>
        <w:t>Finbro Furnishers (Pty) Ltd v Registrar of Deeds, Bloemfontein and Others</w:t>
      </w:r>
      <w:r w:rsidRPr="001A587B">
        <w:rPr>
          <w:rStyle w:val="FootnoteReference"/>
          <w:rFonts w:ascii="Courier New" w:hAnsi="Courier New" w:cs="Courier New"/>
          <w:i/>
          <w:color w:val="000000"/>
          <w:sz w:val="24"/>
          <w:szCs w:val="24"/>
        </w:rPr>
        <w:footnoteReference w:id="13"/>
      </w:r>
      <w:r w:rsidRPr="001A587B">
        <w:rPr>
          <w:rFonts w:ascii="Courier New" w:hAnsi="Courier New" w:cs="Courier New"/>
          <w:color w:val="000000"/>
          <w:sz w:val="24"/>
          <w:szCs w:val="24"/>
        </w:rPr>
        <w:t xml:space="preserve">, Hoexter JA pointed out at 789I-J that the factor of prospects of success on appeal in an application for condonation for the late notice of appeal can never, standing alone, be conclusive, but the cumulative effect of all the factors, including the explanation tendered for non-compliance with the rules, should be considered. </w:t>
      </w:r>
    </w:p>
    <w:p w:rsidR="00D529A1" w:rsidRPr="00104EEC" w:rsidRDefault="00897E8C" w:rsidP="00D529A1">
      <w:pPr>
        <w:pStyle w:val="ListParagraph"/>
        <w:numPr>
          <w:ilvl w:val="0"/>
          <w:numId w:val="3"/>
        </w:numPr>
        <w:spacing w:after="0" w:line="360" w:lineRule="auto"/>
        <w:jc w:val="both"/>
        <w:rPr>
          <w:rFonts w:ascii="Courier New" w:hAnsi="Courier New" w:cs="Courier New"/>
          <w:sz w:val="24"/>
          <w:szCs w:val="24"/>
        </w:rPr>
      </w:pPr>
      <w:r w:rsidRPr="00104EEC">
        <w:rPr>
          <w:rFonts w:ascii="Courier New" w:hAnsi="Courier New" w:cs="Courier New"/>
          <w:color w:val="000000"/>
          <w:sz w:val="24"/>
          <w:szCs w:val="24"/>
        </w:rPr>
        <w:t xml:space="preserve">If there are no prospects of </w:t>
      </w:r>
      <w:r w:rsidR="00AF5795" w:rsidRPr="00104EEC">
        <w:rPr>
          <w:rFonts w:ascii="Courier New" w:hAnsi="Courier New" w:cs="Courier New"/>
          <w:color w:val="000000"/>
          <w:sz w:val="24"/>
          <w:szCs w:val="24"/>
        </w:rPr>
        <w:t>success,</w:t>
      </w:r>
      <w:r w:rsidRPr="00104EEC">
        <w:rPr>
          <w:rFonts w:ascii="Courier New" w:hAnsi="Courier New" w:cs="Courier New"/>
          <w:color w:val="000000"/>
          <w:sz w:val="24"/>
          <w:szCs w:val="24"/>
        </w:rPr>
        <w:t xml:space="preserve"> there is no point in granting condonation.</w:t>
      </w:r>
      <w:r>
        <w:rPr>
          <w:rStyle w:val="FootnoteReference"/>
          <w:rFonts w:ascii="Courier New" w:hAnsi="Courier New" w:cs="Courier New"/>
          <w:color w:val="000000"/>
          <w:sz w:val="24"/>
          <w:szCs w:val="24"/>
        </w:rPr>
        <w:footnoteReference w:id="14"/>
      </w:r>
      <w:r w:rsidRPr="00104EEC">
        <w:rPr>
          <w:rFonts w:ascii="Courier New" w:hAnsi="Courier New" w:cs="Courier New"/>
          <w:color w:val="000000"/>
          <w:sz w:val="24"/>
          <w:szCs w:val="24"/>
        </w:rPr>
        <w:t xml:space="preserve"> </w:t>
      </w:r>
    </w:p>
    <w:p w:rsidR="00D529A1" w:rsidRPr="008668E5" w:rsidRDefault="00D529A1" w:rsidP="00D529A1">
      <w:pPr>
        <w:spacing w:after="0" w:line="360" w:lineRule="auto"/>
        <w:jc w:val="both"/>
        <w:rPr>
          <w:rFonts w:ascii="Courier New" w:hAnsi="Courier New" w:cs="Courier New"/>
          <w:b/>
          <w:sz w:val="24"/>
          <w:szCs w:val="24"/>
        </w:rPr>
      </w:pPr>
      <w:r w:rsidRPr="008668E5">
        <w:rPr>
          <w:rFonts w:ascii="Courier New" w:hAnsi="Courier New" w:cs="Courier New"/>
          <w:b/>
          <w:sz w:val="24"/>
          <w:szCs w:val="24"/>
        </w:rPr>
        <w:lastRenderedPageBreak/>
        <w:t>Factors taken into account whether or not to grant condonation</w:t>
      </w:r>
    </w:p>
    <w:p w:rsidR="008668E5" w:rsidRDefault="008668E5" w:rsidP="00D529A1">
      <w:pPr>
        <w:spacing w:after="0" w:line="360" w:lineRule="auto"/>
        <w:jc w:val="both"/>
        <w:rPr>
          <w:rFonts w:ascii="Courier New" w:hAnsi="Courier New" w:cs="Courier New"/>
          <w:sz w:val="24"/>
          <w:szCs w:val="24"/>
        </w:rPr>
      </w:pPr>
    </w:p>
    <w:p w:rsidR="00D529A1" w:rsidRDefault="001D4B37" w:rsidP="00AC72A8">
      <w:pPr>
        <w:spacing w:after="0" w:line="480" w:lineRule="auto"/>
        <w:jc w:val="both"/>
        <w:rPr>
          <w:rFonts w:ascii="Courier New" w:hAnsi="Courier New" w:cs="Courier New"/>
          <w:sz w:val="24"/>
          <w:szCs w:val="24"/>
        </w:rPr>
      </w:pPr>
      <w:r>
        <w:rPr>
          <w:rFonts w:ascii="Courier New" w:hAnsi="Courier New" w:cs="Courier New"/>
          <w:sz w:val="24"/>
          <w:szCs w:val="24"/>
        </w:rPr>
        <w:t>[6</w:t>
      </w:r>
      <w:r w:rsidR="008668E5">
        <w:rPr>
          <w:rFonts w:ascii="Courier New" w:hAnsi="Courier New" w:cs="Courier New"/>
          <w:sz w:val="24"/>
          <w:szCs w:val="24"/>
        </w:rPr>
        <w:t xml:space="preserve">] </w:t>
      </w:r>
      <w:r w:rsidR="00D529A1">
        <w:rPr>
          <w:rFonts w:ascii="Courier New" w:hAnsi="Courier New" w:cs="Courier New"/>
          <w:sz w:val="24"/>
          <w:szCs w:val="24"/>
        </w:rPr>
        <w:t xml:space="preserve">These factors are stated in </w:t>
      </w:r>
      <w:r w:rsidR="00D529A1" w:rsidRPr="0051019D">
        <w:rPr>
          <w:rFonts w:ascii="Courier New" w:hAnsi="Courier New" w:cs="Courier New"/>
          <w:i/>
          <w:sz w:val="24"/>
          <w:szCs w:val="24"/>
        </w:rPr>
        <w:t>Channel Life Namibia (Pty) Ltd v Otto</w:t>
      </w:r>
      <w:r w:rsidR="00D529A1">
        <w:rPr>
          <w:rFonts w:ascii="Courier New" w:hAnsi="Courier New" w:cs="Courier New"/>
          <w:sz w:val="24"/>
          <w:szCs w:val="24"/>
        </w:rPr>
        <w:t xml:space="preserve"> 2008(2) NR 432(SC) at 445, para 45 as follows:</w:t>
      </w:r>
    </w:p>
    <w:p w:rsidR="00D529A1" w:rsidRDefault="00D529A1" w:rsidP="00D529A1">
      <w:pPr>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The importance of the case</w:t>
      </w:r>
      <w:r w:rsidR="00AF5795">
        <w:rPr>
          <w:rFonts w:ascii="Courier New" w:hAnsi="Courier New" w:cs="Courier New"/>
          <w:sz w:val="24"/>
          <w:szCs w:val="24"/>
        </w:rPr>
        <w:t>;</w:t>
      </w:r>
    </w:p>
    <w:p w:rsidR="00D529A1" w:rsidRDefault="00D529A1" w:rsidP="00D529A1">
      <w:pPr>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The prospects of success</w:t>
      </w:r>
      <w:r w:rsidR="00AF5795">
        <w:rPr>
          <w:rFonts w:ascii="Courier New" w:hAnsi="Courier New" w:cs="Courier New"/>
          <w:sz w:val="24"/>
          <w:szCs w:val="24"/>
        </w:rPr>
        <w:t>;</w:t>
      </w:r>
    </w:p>
    <w:p w:rsidR="00D529A1" w:rsidRDefault="00D529A1" w:rsidP="00D529A1">
      <w:pPr>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The respondent’s interest in the finality of the case</w:t>
      </w:r>
      <w:r w:rsidR="00AF5795">
        <w:rPr>
          <w:rFonts w:ascii="Courier New" w:hAnsi="Courier New" w:cs="Courier New"/>
          <w:sz w:val="24"/>
          <w:szCs w:val="24"/>
        </w:rPr>
        <w:t>;</w:t>
      </w:r>
    </w:p>
    <w:p w:rsidR="00D529A1" w:rsidRDefault="00D529A1" w:rsidP="00D529A1">
      <w:pPr>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The convenience of the court</w:t>
      </w:r>
      <w:r w:rsidR="00AF5795">
        <w:rPr>
          <w:rFonts w:ascii="Courier New" w:hAnsi="Courier New" w:cs="Courier New"/>
          <w:sz w:val="24"/>
          <w:szCs w:val="24"/>
        </w:rPr>
        <w:t>;</w:t>
      </w:r>
    </w:p>
    <w:p w:rsidR="00D529A1" w:rsidRPr="00BD4970" w:rsidRDefault="00D529A1" w:rsidP="00D529A1">
      <w:pPr>
        <w:pStyle w:val="ListParagraph"/>
        <w:numPr>
          <w:ilvl w:val="0"/>
          <w:numId w:val="4"/>
        </w:numPr>
        <w:spacing w:line="480" w:lineRule="auto"/>
        <w:jc w:val="both"/>
        <w:rPr>
          <w:rFonts w:ascii="Courier New" w:hAnsi="Courier New" w:cs="Courier New"/>
          <w:color w:val="000000"/>
          <w:sz w:val="24"/>
          <w:szCs w:val="24"/>
        </w:rPr>
      </w:pPr>
      <w:r w:rsidRPr="001D4B37">
        <w:rPr>
          <w:rFonts w:ascii="Courier New" w:hAnsi="Courier New" w:cs="Courier New"/>
          <w:sz w:val="24"/>
          <w:szCs w:val="24"/>
        </w:rPr>
        <w:t>The avoidance of unnecessary delay.</w:t>
      </w:r>
    </w:p>
    <w:p w:rsidR="00BD4970" w:rsidRPr="001D4B37" w:rsidRDefault="00BD4970" w:rsidP="00BD4970">
      <w:pPr>
        <w:pStyle w:val="ListParagraph"/>
        <w:spacing w:line="480" w:lineRule="auto"/>
        <w:jc w:val="both"/>
        <w:rPr>
          <w:rFonts w:ascii="Courier New" w:hAnsi="Courier New" w:cs="Courier New"/>
          <w:color w:val="000000"/>
          <w:sz w:val="24"/>
          <w:szCs w:val="24"/>
        </w:rPr>
      </w:pPr>
    </w:p>
    <w:p w:rsidR="001D7D84" w:rsidRDefault="00BD4970" w:rsidP="001D7D84">
      <w:pPr>
        <w:spacing w:line="480" w:lineRule="auto"/>
        <w:jc w:val="both"/>
        <w:rPr>
          <w:rFonts w:ascii="Courier New" w:hAnsi="Courier New" w:cs="Courier New"/>
          <w:color w:val="000000"/>
          <w:sz w:val="24"/>
          <w:szCs w:val="24"/>
        </w:rPr>
      </w:pPr>
      <w:r>
        <w:rPr>
          <w:rFonts w:ascii="Courier New" w:hAnsi="Courier New" w:cs="Courier New"/>
          <w:color w:val="000000"/>
          <w:sz w:val="24"/>
          <w:szCs w:val="24"/>
        </w:rPr>
        <w:t>[7</w:t>
      </w:r>
      <w:r w:rsidR="008668E5">
        <w:rPr>
          <w:rFonts w:ascii="Courier New" w:hAnsi="Courier New" w:cs="Courier New"/>
          <w:color w:val="000000"/>
          <w:sz w:val="24"/>
          <w:szCs w:val="24"/>
        </w:rPr>
        <w:t xml:space="preserve">] </w:t>
      </w:r>
      <w:r w:rsidR="001D7D84">
        <w:rPr>
          <w:rFonts w:ascii="Courier New" w:hAnsi="Courier New" w:cs="Courier New"/>
          <w:color w:val="000000"/>
          <w:sz w:val="24"/>
          <w:szCs w:val="24"/>
        </w:rPr>
        <w:t xml:space="preserve">In </w:t>
      </w:r>
      <w:r w:rsidR="001D7D84" w:rsidRPr="005F5BA0">
        <w:rPr>
          <w:rFonts w:ascii="Courier New" w:hAnsi="Courier New" w:cs="Courier New"/>
          <w:color w:val="000000"/>
          <w:sz w:val="24"/>
          <w:szCs w:val="24"/>
        </w:rPr>
        <w:t xml:space="preserve">the case of </w:t>
      </w:r>
      <w:r w:rsidR="001D7D84" w:rsidRPr="003320DD">
        <w:rPr>
          <w:rFonts w:ascii="Courier New" w:hAnsi="Courier New" w:cs="Courier New"/>
          <w:i/>
          <w:color w:val="000000"/>
          <w:sz w:val="24"/>
          <w:szCs w:val="24"/>
        </w:rPr>
        <w:t>Darries v Sherriff, Magistrate’s Court, Wynberg and Another</w:t>
      </w:r>
      <w:r w:rsidR="001D7D84">
        <w:rPr>
          <w:rStyle w:val="FootnoteReference"/>
          <w:rFonts w:ascii="Courier New" w:hAnsi="Courier New" w:cs="Courier New"/>
          <w:i/>
          <w:color w:val="000000"/>
          <w:sz w:val="24"/>
          <w:szCs w:val="24"/>
        </w:rPr>
        <w:footnoteReference w:id="15"/>
      </w:r>
      <w:r w:rsidR="001D7D84" w:rsidRPr="005F5BA0">
        <w:rPr>
          <w:rFonts w:ascii="Courier New" w:hAnsi="Courier New" w:cs="Courier New"/>
          <w:color w:val="000000"/>
          <w:sz w:val="24"/>
          <w:szCs w:val="24"/>
        </w:rPr>
        <w:t>, the South African Supreme Court of Appeal stated</w:t>
      </w:r>
      <w:r w:rsidR="001D7D84">
        <w:rPr>
          <w:rFonts w:ascii="Courier New" w:hAnsi="Courier New" w:cs="Courier New"/>
          <w:color w:val="000000"/>
          <w:sz w:val="24"/>
          <w:szCs w:val="24"/>
        </w:rPr>
        <w:t>:</w:t>
      </w:r>
      <w:r w:rsidR="001D7D84" w:rsidRPr="005F5BA0">
        <w:rPr>
          <w:rFonts w:ascii="Courier New" w:hAnsi="Courier New" w:cs="Courier New"/>
          <w:color w:val="000000"/>
          <w:sz w:val="24"/>
          <w:szCs w:val="24"/>
        </w:rPr>
        <w:t xml:space="preserve"> </w:t>
      </w:r>
    </w:p>
    <w:p w:rsidR="001D7D84" w:rsidRDefault="001D7D84" w:rsidP="001D7D84">
      <w:pPr>
        <w:spacing w:line="240" w:lineRule="auto"/>
        <w:ind w:left="720"/>
        <w:jc w:val="both"/>
        <w:rPr>
          <w:rFonts w:ascii="Courier New" w:hAnsi="Courier New" w:cs="Courier New"/>
          <w:color w:val="000000"/>
          <w:sz w:val="24"/>
          <w:szCs w:val="24"/>
        </w:rPr>
      </w:pPr>
      <w:r w:rsidRPr="00AF5795">
        <w:rPr>
          <w:rFonts w:ascii="Courier New" w:hAnsi="Courier New" w:cs="Courier New"/>
          <w:color w:val="000000"/>
        </w:rPr>
        <w:t>‘that an application for condonation for non-compliance with the law is not a mere formality but an application which should be accompanied with an acceptable explanation, not only, for example, the delay in noting an appeal but also any delay in seeking condonation</w:t>
      </w:r>
      <w:r w:rsidRPr="005F5BA0">
        <w:rPr>
          <w:rFonts w:ascii="Courier New" w:hAnsi="Courier New" w:cs="Courier New"/>
          <w:color w:val="000000"/>
          <w:sz w:val="24"/>
          <w:szCs w:val="24"/>
        </w:rPr>
        <w:t>.</w:t>
      </w:r>
      <w:r>
        <w:rPr>
          <w:rFonts w:ascii="Courier New" w:hAnsi="Courier New" w:cs="Courier New"/>
          <w:color w:val="000000"/>
          <w:sz w:val="24"/>
          <w:szCs w:val="24"/>
        </w:rPr>
        <w:t>’</w:t>
      </w:r>
    </w:p>
    <w:p w:rsidR="008668E5" w:rsidRDefault="008668E5" w:rsidP="00293A55">
      <w:pPr>
        <w:spacing w:line="240" w:lineRule="auto"/>
        <w:jc w:val="both"/>
        <w:rPr>
          <w:rFonts w:ascii="Courier New" w:hAnsi="Courier New" w:cs="Courier New"/>
          <w:color w:val="000000"/>
          <w:sz w:val="24"/>
          <w:szCs w:val="24"/>
        </w:rPr>
      </w:pPr>
    </w:p>
    <w:p w:rsidR="00293A55" w:rsidRDefault="00BD4970" w:rsidP="00AF5795">
      <w:pPr>
        <w:spacing w:line="480" w:lineRule="auto"/>
        <w:jc w:val="both"/>
        <w:rPr>
          <w:rFonts w:ascii="Courier New" w:hAnsi="Courier New" w:cs="Courier New"/>
          <w:color w:val="000000"/>
          <w:sz w:val="24"/>
          <w:szCs w:val="24"/>
        </w:rPr>
      </w:pPr>
      <w:r>
        <w:rPr>
          <w:rFonts w:ascii="Courier New" w:hAnsi="Courier New" w:cs="Courier New"/>
          <w:color w:val="000000"/>
          <w:sz w:val="24"/>
          <w:szCs w:val="24"/>
        </w:rPr>
        <w:t>[8</w:t>
      </w:r>
      <w:r w:rsidR="008668E5">
        <w:rPr>
          <w:rFonts w:ascii="Courier New" w:hAnsi="Courier New" w:cs="Courier New"/>
          <w:color w:val="000000"/>
          <w:sz w:val="24"/>
          <w:szCs w:val="24"/>
        </w:rPr>
        <w:t xml:space="preserve">] </w:t>
      </w:r>
      <w:r w:rsidR="00293A55">
        <w:rPr>
          <w:rFonts w:ascii="Courier New" w:hAnsi="Courier New" w:cs="Courier New"/>
          <w:color w:val="000000"/>
          <w:sz w:val="24"/>
          <w:szCs w:val="24"/>
        </w:rPr>
        <w:t>Based on the authorities, before considering the prospects of success in the present case, I must be satisfied as to the following:</w:t>
      </w:r>
    </w:p>
    <w:p w:rsidR="00293A55" w:rsidRPr="00AF5795" w:rsidRDefault="00293A55" w:rsidP="00293A55">
      <w:pPr>
        <w:pStyle w:val="ListParagraph"/>
        <w:numPr>
          <w:ilvl w:val="0"/>
          <w:numId w:val="5"/>
        </w:numPr>
        <w:spacing w:line="240" w:lineRule="auto"/>
        <w:jc w:val="both"/>
        <w:rPr>
          <w:rFonts w:ascii="Courier New" w:hAnsi="Courier New" w:cs="Courier New"/>
          <w:color w:val="000000"/>
        </w:rPr>
      </w:pPr>
      <w:r w:rsidRPr="00AF5795">
        <w:rPr>
          <w:rFonts w:ascii="Courier New" w:hAnsi="Courier New" w:cs="Courier New"/>
          <w:color w:val="000000"/>
        </w:rPr>
        <w:t>That the applicant /appellant has offered an acceptable and reasonable explanation for the delay</w:t>
      </w:r>
      <w:r w:rsidR="00A45F91" w:rsidRPr="00AF5795">
        <w:rPr>
          <w:rFonts w:ascii="Courier New" w:hAnsi="Courier New" w:cs="Courier New"/>
          <w:color w:val="000000"/>
        </w:rPr>
        <w:t>.</w:t>
      </w:r>
    </w:p>
    <w:p w:rsidR="00AF5795" w:rsidRPr="00AC72A8" w:rsidRDefault="00293A55" w:rsidP="00AC72A8">
      <w:pPr>
        <w:pStyle w:val="ListParagraph"/>
        <w:numPr>
          <w:ilvl w:val="0"/>
          <w:numId w:val="5"/>
        </w:numPr>
        <w:spacing w:line="240" w:lineRule="auto"/>
        <w:jc w:val="both"/>
        <w:rPr>
          <w:rFonts w:ascii="Courier New" w:hAnsi="Courier New" w:cs="Courier New"/>
          <w:color w:val="000000"/>
        </w:rPr>
      </w:pPr>
      <w:r w:rsidRPr="00AC72A8">
        <w:rPr>
          <w:rFonts w:ascii="Courier New" w:hAnsi="Courier New" w:cs="Courier New"/>
          <w:color w:val="000000"/>
        </w:rPr>
        <w:t>That it has given a full, detailed and accurate explanation for the entire period of the delay, including the tim</w:t>
      </w:r>
      <w:r w:rsidR="00A45F91" w:rsidRPr="00AC72A8">
        <w:rPr>
          <w:rFonts w:ascii="Courier New" w:hAnsi="Courier New" w:cs="Courier New"/>
          <w:color w:val="000000"/>
        </w:rPr>
        <w:t>i</w:t>
      </w:r>
      <w:r w:rsidRPr="00AC72A8">
        <w:rPr>
          <w:rFonts w:ascii="Courier New" w:hAnsi="Courier New" w:cs="Courier New"/>
          <w:color w:val="000000"/>
        </w:rPr>
        <w:t>ng of the application for condonation</w:t>
      </w:r>
      <w:r w:rsidR="00A45F91" w:rsidRPr="00AC72A8">
        <w:rPr>
          <w:rFonts w:ascii="Courier New" w:hAnsi="Courier New" w:cs="Courier New"/>
          <w:color w:val="000000"/>
        </w:rPr>
        <w:t>.</w:t>
      </w:r>
    </w:p>
    <w:p w:rsidR="00AF5795" w:rsidRDefault="00AF5795" w:rsidP="001D7D84">
      <w:pPr>
        <w:spacing w:line="240" w:lineRule="auto"/>
        <w:ind w:left="720"/>
        <w:jc w:val="both"/>
        <w:rPr>
          <w:rFonts w:ascii="Courier New" w:hAnsi="Courier New" w:cs="Courier New"/>
          <w:color w:val="000000"/>
        </w:rPr>
      </w:pPr>
    </w:p>
    <w:p w:rsidR="001D7D84" w:rsidRDefault="001D7D84" w:rsidP="001D7D84">
      <w:pPr>
        <w:spacing w:line="240" w:lineRule="auto"/>
        <w:jc w:val="both"/>
        <w:rPr>
          <w:rFonts w:ascii="Courier New" w:hAnsi="Courier New" w:cs="Courier New"/>
          <w:color w:val="000000"/>
        </w:rPr>
      </w:pPr>
    </w:p>
    <w:p w:rsidR="001D7D84" w:rsidRPr="001D7D84" w:rsidRDefault="001D7D84" w:rsidP="001D7D84">
      <w:pPr>
        <w:spacing w:line="240" w:lineRule="auto"/>
        <w:jc w:val="both"/>
        <w:rPr>
          <w:rFonts w:ascii="Courier New" w:hAnsi="Courier New" w:cs="Courier New"/>
          <w:b/>
          <w:i/>
          <w:color w:val="000000"/>
        </w:rPr>
      </w:pPr>
      <w:r w:rsidRPr="001D7D84">
        <w:rPr>
          <w:rFonts w:ascii="Courier New" w:hAnsi="Courier New" w:cs="Courier New"/>
          <w:b/>
          <w:i/>
          <w:color w:val="000000"/>
        </w:rPr>
        <w:t>Evidence a</w:t>
      </w:r>
      <w:r w:rsidR="001D4B37">
        <w:rPr>
          <w:rFonts w:ascii="Courier New" w:hAnsi="Courier New" w:cs="Courier New"/>
          <w:b/>
          <w:i/>
          <w:color w:val="000000"/>
        </w:rPr>
        <w:t>dduced</w:t>
      </w:r>
      <w:r w:rsidRPr="001D7D84">
        <w:rPr>
          <w:rFonts w:ascii="Courier New" w:hAnsi="Courier New" w:cs="Courier New"/>
          <w:b/>
          <w:i/>
          <w:color w:val="000000"/>
        </w:rPr>
        <w:t xml:space="preserve"> in support of </w:t>
      </w:r>
      <w:r w:rsidR="00AF5795">
        <w:rPr>
          <w:rFonts w:ascii="Courier New" w:hAnsi="Courier New" w:cs="Courier New"/>
          <w:b/>
          <w:i/>
          <w:color w:val="000000"/>
        </w:rPr>
        <w:t xml:space="preserve"> the </w:t>
      </w:r>
      <w:r w:rsidRPr="001D7D84">
        <w:rPr>
          <w:rFonts w:ascii="Courier New" w:hAnsi="Courier New" w:cs="Courier New"/>
          <w:b/>
          <w:i/>
          <w:color w:val="000000"/>
        </w:rPr>
        <w:t>application</w:t>
      </w:r>
    </w:p>
    <w:p w:rsidR="00E276E2" w:rsidRPr="005F5BA0" w:rsidRDefault="00E276E2" w:rsidP="00E276E2">
      <w:pPr>
        <w:spacing w:line="240" w:lineRule="auto"/>
        <w:ind w:left="720"/>
        <w:jc w:val="both"/>
        <w:rPr>
          <w:rFonts w:ascii="Courier New" w:hAnsi="Courier New" w:cs="Courier New"/>
          <w:b/>
          <w:sz w:val="24"/>
          <w:szCs w:val="24"/>
        </w:rPr>
      </w:pPr>
    </w:p>
    <w:p w:rsidR="00AF5795"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[9</w:t>
      </w:r>
      <w:r w:rsidR="008668E5">
        <w:rPr>
          <w:rFonts w:ascii="Courier New" w:hAnsi="Courier New" w:cs="Courier New"/>
          <w:sz w:val="24"/>
          <w:szCs w:val="24"/>
        </w:rPr>
        <w:t xml:space="preserve">] </w:t>
      </w:r>
      <w:r w:rsidR="00E276E2" w:rsidRPr="005F5BA0">
        <w:rPr>
          <w:rFonts w:ascii="Courier New" w:hAnsi="Courier New" w:cs="Courier New"/>
          <w:sz w:val="24"/>
          <w:szCs w:val="24"/>
        </w:rPr>
        <w:t xml:space="preserve">The supporting affidavit </w:t>
      </w:r>
      <w:r w:rsidR="00090D71" w:rsidRPr="005F5BA0">
        <w:rPr>
          <w:rFonts w:ascii="Courier New" w:hAnsi="Courier New" w:cs="Courier New"/>
          <w:sz w:val="24"/>
          <w:szCs w:val="24"/>
        </w:rPr>
        <w:t>to</w:t>
      </w:r>
      <w:r w:rsidR="00E276E2" w:rsidRPr="005F5BA0">
        <w:rPr>
          <w:rFonts w:ascii="Courier New" w:hAnsi="Courier New" w:cs="Courier New"/>
          <w:sz w:val="24"/>
          <w:szCs w:val="24"/>
        </w:rPr>
        <w:t xml:space="preserve"> the notice of motion was</w:t>
      </w:r>
      <w:r w:rsidR="00090D71" w:rsidRPr="005F5BA0">
        <w:rPr>
          <w:rFonts w:ascii="Courier New" w:hAnsi="Courier New" w:cs="Courier New"/>
          <w:sz w:val="24"/>
          <w:szCs w:val="24"/>
        </w:rPr>
        <w:t xml:space="preserve"> </w:t>
      </w:r>
      <w:r w:rsidR="00E276E2" w:rsidRPr="005F5BA0">
        <w:rPr>
          <w:rFonts w:ascii="Courier New" w:hAnsi="Courier New" w:cs="Courier New"/>
          <w:sz w:val="24"/>
          <w:szCs w:val="24"/>
        </w:rPr>
        <w:t>deposed to by</w:t>
      </w:r>
      <w:r w:rsidR="00090D71" w:rsidRPr="005F5BA0">
        <w:rPr>
          <w:rFonts w:ascii="Courier New" w:hAnsi="Courier New" w:cs="Courier New"/>
          <w:sz w:val="24"/>
          <w:szCs w:val="24"/>
        </w:rPr>
        <w:t xml:space="preserve"> </w:t>
      </w:r>
      <w:r w:rsidR="00C14708" w:rsidRPr="005F5BA0">
        <w:rPr>
          <w:rFonts w:ascii="Courier New" w:hAnsi="Courier New" w:cs="Courier New"/>
          <w:sz w:val="24"/>
          <w:szCs w:val="24"/>
        </w:rPr>
        <w:t xml:space="preserve">one, </w:t>
      </w:r>
      <w:r w:rsidR="001D4B37">
        <w:rPr>
          <w:rFonts w:ascii="Courier New" w:hAnsi="Courier New" w:cs="Courier New"/>
          <w:sz w:val="24"/>
          <w:szCs w:val="24"/>
        </w:rPr>
        <w:t xml:space="preserve">Ms. </w:t>
      </w:r>
      <w:r w:rsidR="00E276E2" w:rsidRPr="005F5BA0">
        <w:rPr>
          <w:rFonts w:ascii="Courier New" w:hAnsi="Courier New" w:cs="Courier New"/>
          <w:sz w:val="24"/>
          <w:szCs w:val="24"/>
        </w:rPr>
        <w:t>Yvette Zoe Aspara</w:t>
      </w:r>
      <w:r w:rsidR="001D7D84">
        <w:rPr>
          <w:rFonts w:ascii="Courier New" w:hAnsi="Courier New" w:cs="Courier New"/>
          <w:sz w:val="24"/>
          <w:szCs w:val="24"/>
        </w:rPr>
        <w:t xml:space="preserve">, who is the assistant legal advisor of the applicant/ appellant. </w:t>
      </w:r>
    </w:p>
    <w:p w:rsidR="00BD4970" w:rsidRDefault="00BD4970" w:rsidP="00C91CF4">
      <w:pPr>
        <w:spacing w:line="480" w:lineRule="auto"/>
        <w:jc w:val="both"/>
        <w:rPr>
          <w:rFonts w:ascii="Courier New" w:hAnsi="Courier New" w:cs="Courier New"/>
          <w:sz w:val="24"/>
          <w:szCs w:val="24"/>
        </w:rPr>
      </w:pPr>
    </w:p>
    <w:p w:rsidR="008668E5"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[10</w:t>
      </w:r>
      <w:r w:rsidR="008668E5">
        <w:rPr>
          <w:rFonts w:ascii="Courier New" w:hAnsi="Courier New" w:cs="Courier New"/>
          <w:sz w:val="24"/>
          <w:szCs w:val="24"/>
        </w:rPr>
        <w:t>]</w:t>
      </w:r>
      <w:r w:rsidR="00AF5795">
        <w:rPr>
          <w:rFonts w:ascii="Courier New" w:hAnsi="Courier New" w:cs="Courier New"/>
          <w:sz w:val="24"/>
          <w:szCs w:val="24"/>
        </w:rPr>
        <w:t xml:space="preserve"> </w:t>
      </w:r>
      <w:r w:rsidR="00DF7EA2">
        <w:rPr>
          <w:rFonts w:ascii="Courier New" w:hAnsi="Courier New" w:cs="Courier New"/>
          <w:sz w:val="24"/>
          <w:szCs w:val="24"/>
        </w:rPr>
        <w:t xml:space="preserve">According to Aspara, the 34 respondents were previously contracted on fixed term contract by the applicant/appellant. The applicant is however uncertain of the exact identities of the 30 respondents in whose favour the arbitrator made the award and that the referral to the arbitrator refers only to Michael Nangolo as complainant. </w:t>
      </w:r>
      <w:r w:rsidR="00AF5795">
        <w:rPr>
          <w:rFonts w:ascii="Courier New" w:hAnsi="Courier New" w:cs="Courier New"/>
          <w:sz w:val="24"/>
          <w:szCs w:val="24"/>
        </w:rPr>
        <w:t>O</w:t>
      </w:r>
      <w:r w:rsidR="00DF7EA2">
        <w:rPr>
          <w:rFonts w:ascii="Courier New" w:hAnsi="Courier New" w:cs="Courier New"/>
          <w:sz w:val="24"/>
          <w:szCs w:val="24"/>
        </w:rPr>
        <w:t>f the respondents</w:t>
      </w:r>
      <w:r w:rsidR="001D4B37">
        <w:rPr>
          <w:rFonts w:ascii="Courier New" w:hAnsi="Courier New" w:cs="Courier New"/>
          <w:sz w:val="24"/>
          <w:szCs w:val="24"/>
        </w:rPr>
        <w:t>,</w:t>
      </w:r>
      <w:r w:rsidR="00DF7EA2">
        <w:rPr>
          <w:rFonts w:ascii="Courier New" w:hAnsi="Courier New" w:cs="Courier New"/>
          <w:sz w:val="24"/>
          <w:szCs w:val="24"/>
        </w:rPr>
        <w:t xml:space="preserve"> only Michael Nangolo, Merves Kalipi and Solomon Kutondokwa were identified at the conciliation meeting although several others were at the venue of the conciliation on 9 February 2009. The arbitration award handed down on 13 March</w:t>
      </w:r>
      <w:r w:rsidR="005629A9">
        <w:rPr>
          <w:rFonts w:ascii="Courier New" w:hAnsi="Courier New" w:cs="Courier New"/>
          <w:sz w:val="24"/>
          <w:szCs w:val="24"/>
        </w:rPr>
        <w:t xml:space="preserve"> 2009 refers to Michael Nangolo and 29 Others who are not named. All the respondents were represented at the hearing by 2 trade union officials.</w:t>
      </w:r>
    </w:p>
    <w:p w:rsidR="00AF5795" w:rsidRDefault="00AF5795" w:rsidP="00C91CF4">
      <w:pPr>
        <w:spacing w:line="480" w:lineRule="auto"/>
        <w:jc w:val="both"/>
        <w:rPr>
          <w:rFonts w:ascii="Courier New" w:hAnsi="Courier New" w:cs="Courier New"/>
          <w:sz w:val="24"/>
          <w:szCs w:val="24"/>
        </w:rPr>
      </w:pPr>
    </w:p>
    <w:p w:rsidR="008668E5" w:rsidRDefault="008668E5" w:rsidP="00C91CF4">
      <w:pPr>
        <w:spacing w:line="480" w:lineRule="auto"/>
        <w:jc w:val="both"/>
        <w:rPr>
          <w:rFonts w:ascii="Courier New" w:hAnsi="Courier New" w:cs="Courier New"/>
          <w:sz w:val="24"/>
          <w:szCs w:val="24"/>
        </w:rPr>
      </w:pPr>
      <w:r>
        <w:rPr>
          <w:rFonts w:ascii="Courier New" w:hAnsi="Courier New" w:cs="Courier New"/>
          <w:sz w:val="24"/>
          <w:szCs w:val="24"/>
        </w:rPr>
        <w:t>[1</w:t>
      </w:r>
      <w:r w:rsidR="00BD4970">
        <w:rPr>
          <w:rFonts w:ascii="Courier New" w:hAnsi="Courier New" w:cs="Courier New"/>
          <w:sz w:val="24"/>
          <w:szCs w:val="24"/>
        </w:rPr>
        <w:t>1</w:t>
      </w:r>
      <w:r>
        <w:rPr>
          <w:rFonts w:ascii="Courier New" w:hAnsi="Courier New" w:cs="Courier New"/>
          <w:sz w:val="24"/>
          <w:szCs w:val="24"/>
        </w:rPr>
        <w:t>]</w:t>
      </w:r>
      <w:r w:rsidR="005629A9">
        <w:rPr>
          <w:rFonts w:ascii="Courier New" w:hAnsi="Courier New" w:cs="Courier New"/>
          <w:sz w:val="24"/>
          <w:szCs w:val="24"/>
        </w:rPr>
        <w:t xml:space="preserve"> Aspara also states that all the respondents here cited had their fixed term contracts terminated in December 2008 by mutual </w:t>
      </w:r>
      <w:r w:rsidR="005629A9">
        <w:rPr>
          <w:rFonts w:ascii="Courier New" w:hAnsi="Courier New" w:cs="Courier New"/>
          <w:sz w:val="24"/>
          <w:szCs w:val="24"/>
        </w:rPr>
        <w:lastRenderedPageBreak/>
        <w:t>agreement and that they were consequently paid their accrued leave in the same month.</w:t>
      </w:r>
    </w:p>
    <w:p w:rsidR="0062751C" w:rsidRDefault="0062751C" w:rsidP="00C91CF4">
      <w:pPr>
        <w:spacing w:line="480" w:lineRule="auto"/>
        <w:jc w:val="both"/>
        <w:rPr>
          <w:rFonts w:ascii="Courier New" w:hAnsi="Courier New" w:cs="Courier New"/>
          <w:sz w:val="24"/>
          <w:szCs w:val="24"/>
        </w:rPr>
      </w:pPr>
    </w:p>
    <w:p w:rsidR="006426D5"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[12</w:t>
      </w:r>
      <w:r w:rsidR="008668E5">
        <w:rPr>
          <w:rFonts w:ascii="Courier New" w:hAnsi="Courier New" w:cs="Courier New"/>
          <w:sz w:val="24"/>
          <w:szCs w:val="24"/>
        </w:rPr>
        <w:t>]</w:t>
      </w:r>
      <w:r w:rsidR="006426D5">
        <w:rPr>
          <w:rFonts w:ascii="Courier New" w:hAnsi="Courier New" w:cs="Courier New"/>
          <w:sz w:val="24"/>
          <w:szCs w:val="24"/>
        </w:rPr>
        <w:t xml:space="preserve"> </w:t>
      </w:r>
      <w:r w:rsidR="005629A9">
        <w:rPr>
          <w:rFonts w:ascii="Courier New" w:hAnsi="Courier New" w:cs="Courier New"/>
          <w:sz w:val="24"/>
          <w:szCs w:val="24"/>
        </w:rPr>
        <w:t>Aspara states that the arbitration hearing was held on 16 February 2009 and the arbitration award since received</w:t>
      </w:r>
      <w:r w:rsidR="001D4B37">
        <w:rPr>
          <w:rFonts w:ascii="Courier New" w:hAnsi="Courier New" w:cs="Courier New"/>
          <w:sz w:val="24"/>
          <w:szCs w:val="24"/>
        </w:rPr>
        <w:t>,</w:t>
      </w:r>
      <w:r w:rsidR="005629A9">
        <w:rPr>
          <w:rFonts w:ascii="Courier New" w:hAnsi="Courier New" w:cs="Courier New"/>
          <w:sz w:val="24"/>
          <w:szCs w:val="24"/>
        </w:rPr>
        <w:t xml:space="preserve"> </w:t>
      </w:r>
      <w:r w:rsidR="00B60DA8">
        <w:rPr>
          <w:rFonts w:ascii="Courier New" w:hAnsi="Courier New" w:cs="Courier New"/>
          <w:sz w:val="24"/>
          <w:szCs w:val="24"/>
        </w:rPr>
        <w:t xml:space="preserve">is </w:t>
      </w:r>
      <w:r w:rsidR="005629A9">
        <w:rPr>
          <w:rFonts w:ascii="Courier New" w:hAnsi="Courier New" w:cs="Courier New"/>
          <w:sz w:val="24"/>
          <w:szCs w:val="24"/>
        </w:rPr>
        <w:t xml:space="preserve">dated 13 March 2009. She deposes that the applicant’s senior manager for Human Resources (who had attended the hearing of 16 February) was then called on 7 April 2009 </w:t>
      </w:r>
      <w:r w:rsidR="00B60DA8">
        <w:rPr>
          <w:rFonts w:ascii="Courier New" w:hAnsi="Courier New" w:cs="Courier New"/>
          <w:sz w:val="24"/>
          <w:szCs w:val="24"/>
        </w:rPr>
        <w:t xml:space="preserve">by </w:t>
      </w:r>
      <w:r w:rsidR="005629A9">
        <w:rPr>
          <w:rFonts w:ascii="Courier New" w:hAnsi="Courier New" w:cs="Courier New"/>
          <w:sz w:val="24"/>
          <w:szCs w:val="24"/>
        </w:rPr>
        <w:t>an official at the Labour Commissioner’s office to collect a copy of the award. This</w:t>
      </w:r>
      <w:r w:rsidR="001D4B37">
        <w:rPr>
          <w:rFonts w:ascii="Courier New" w:hAnsi="Courier New" w:cs="Courier New"/>
          <w:sz w:val="24"/>
          <w:szCs w:val="24"/>
        </w:rPr>
        <w:t>,</w:t>
      </w:r>
      <w:r w:rsidR="005629A9">
        <w:rPr>
          <w:rFonts w:ascii="Courier New" w:hAnsi="Courier New" w:cs="Courier New"/>
          <w:sz w:val="24"/>
          <w:szCs w:val="24"/>
        </w:rPr>
        <w:t xml:space="preserve"> she says</w:t>
      </w:r>
      <w:r w:rsidR="001D4B37">
        <w:rPr>
          <w:rFonts w:ascii="Courier New" w:hAnsi="Courier New" w:cs="Courier New"/>
          <w:sz w:val="24"/>
          <w:szCs w:val="24"/>
        </w:rPr>
        <w:t>,</w:t>
      </w:r>
      <w:r w:rsidR="005629A9">
        <w:rPr>
          <w:rFonts w:ascii="Courier New" w:hAnsi="Courier New" w:cs="Courier New"/>
          <w:sz w:val="24"/>
          <w:szCs w:val="24"/>
        </w:rPr>
        <w:t xml:space="preserve"> was improper service in terms of the rules. Aspara also states that the award collected does not include the peremptory no</w:t>
      </w:r>
      <w:r w:rsidR="00DB519D">
        <w:rPr>
          <w:rFonts w:ascii="Courier New" w:hAnsi="Courier New" w:cs="Courier New"/>
          <w:sz w:val="24"/>
          <w:szCs w:val="24"/>
        </w:rPr>
        <w:t>tice informing the parties of their right of appeal or review.</w:t>
      </w:r>
      <w:r w:rsidR="005629A9">
        <w:rPr>
          <w:rFonts w:ascii="Courier New" w:hAnsi="Courier New" w:cs="Courier New"/>
          <w:sz w:val="24"/>
          <w:szCs w:val="24"/>
        </w:rPr>
        <w:t xml:space="preserve"> </w:t>
      </w:r>
    </w:p>
    <w:p w:rsidR="00BD4970" w:rsidRDefault="00BD4970" w:rsidP="00C91CF4">
      <w:pPr>
        <w:spacing w:line="480" w:lineRule="auto"/>
        <w:jc w:val="both"/>
        <w:rPr>
          <w:rFonts w:ascii="Courier New" w:hAnsi="Courier New" w:cs="Courier New"/>
          <w:sz w:val="24"/>
          <w:szCs w:val="24"/>
        </w:rPr>
      </w:pPr>
    </w:p>
    <w:p w:rsidR="006426D5"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[13</w:t>
      </w:r>
      <w:r w:rsidR="008668E5">
        <w:rPr>
          <w:rFonts w:ascii="Courier New" w:hAnsi="Courier New" w:cs="Courier New"/>
          <w:sz w:val="24"/>
          <w:szCs w:val="24"/>
        </w:rPr>
        <w:t>]</w:t>
      </w:r>
      <w:r w:rsidR="00DB519D">
        <w:rPr>
          <w:rFonts w:ascii="Courier New" w:hAnsi="Courier New" w:cs="Courier New"/>
          <w:sz w:val="24"/>
          <w:szCs w:val="24"/>
        </w:rPr>
        <w:t xml:space="preserve"> According to Aspara, the senior manager Human Resources who received the award then waited for the arrival of her superior ( one Reverend Gertze) who was then on leave and only returned on 14 April. Gertze was then given a copy of the award on 14 April and in turn handed it to the acting general manager for Human Resources (one Mushariwa) and advised the latter to </w:t>
      </w:r>
      <w:r w:rsidR="003D7910">
        <w:rPr>
          <w:rFonts w:ascii="Courier New" w:hAnsi="Courier New" w:cs="Courier New"/>
          <w:sz w:val="24"/>
          <w:szCs w:val="24"/>
        </w:rPr>
        <w:t xml:space="preserve">bring the award to </w:t>
      </w:r>
      <w:r w:rsidR="00DB519D">
        <w:rPr>
          <w:rFonts w:ascii="Courier New" w:hAnsi="Courier New" w:cs="Courier New"/>
          <w:sz w:val="24"/>
          <w:szCs w:val="24"/>
        </w:rPr>
        <w:t>the attention of the applicant’s legal department.</w:t>
      </w:r>
      <w:r w:rsidR="003D7910">
        <w:rPr>
          <w:rFonts w:ascii="Courier New" w:hAnsi="Courier New" w:cs="Courier New"/>
          <w:sz w:val="24"/>
          <w:szCs w:val="24"/>
        </w:rPr>
        <w:t xml:space="preserve"> It is worthy of note that it is conceded by Aspara that Gertze too </w:t>
      </w:r>
      <w:r w:rsidR="003D7910">
        <w:rPr>
          <w:rFonts w:ascii="Courier New" w:hAnsi="Courier New" w:cs="Courier New"/>
          <w:sz w:val="24"/>
          <w:szCs w:val="24"/>
        </w:rPr>
        <w:lastRenderedPageBreak/>
        <w:t>had attended the arbitration hearing on 16 February as the representative of the applicant.</w:t>
      </w:r>
    </w:p>
    <w:p w:rsidR="00BD4970" w:rsidRDefault="00BD4970" w:rsidP="00C91CF4">
      <w:pPr>
        <w:spacing w:line="480" w:lineRule="auto"/>
        <w:jc w:val="both"/>
        <w:rPr>
          <w:rFonts w:ascii="Courier New" w:hAnsi="Courier New" w:cs="Courier New"/>
          <w:sz w:val="24"/>
          <w:szCs w:val="24"/>
        </w:rPr>
      </w:pPr>
    </w:p>
    <w:p w:rsidR="008668E5"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[14</w:t>
      </w:r>
      <w:r w:rsidR="008668E5">
        <w:rPr>
          <w:rFonts w:ascii="Courier New" w:hAnsi="Courier New" w:cs="Courier New"/>
          <w:sz w:val="24"/>
          <w:szCs w:val="24"/>
        </w:rPr>
        <w:t>]</w:t>
      </w:r>
      <w:r w:rsidR="006426D5">
        <w:rPr>
          <w:rFonts w:ascii="Courier New" w:hAnsi="Courier New" w:cs="Courier New"/>
          <w:sz w:val="24"/>
          <w:szCs w:val="24"/>
        </w:rPr>
        <w:t xml:space="preserve"> </w:t>
      </w:r>
      <w:r w:rsidR="003D7910">
        <w:rPr>
          <w:rFonts w:ascii="Courier New" w:hAnsi="Courier New" w:cs="Courier New"/>
          <w:sz w:val="24"/>
          <w:szCs w:val="24"/>
        </w:rPr>
        <w:t>According to Aspara (and this is confirmed by Gertze</w:t>
      </w:r>
      <w:r w:rsidR="000565CF">
        <w:rPr>
          <w:rFonts w:ascii="Courier New" w:hAnsi="Courier New" w:cs="Courier New"/>
          <w:sz w:val="24"/>
          <w:szCs w:val="24"/>
        </w:rPr>
        <w:t>) Gertze</w:t>
      </w:r>
      <w:r w:rsidR="003D7910">
        <w:rPr>
          <w:rFonts w:ascii="Courier New" w:hAnsi="Courier New" w:cs="Courier New"/>
          <w:sz w:val="24"/>
          <w:szCs w:val="24"/>
        </w:rPr>
        <w:t xml:space="preserve"> gave a full briefing to Mushariwa about the </w:t>
      </w:r>
      <w:r w:rsidR="000565CF">
        <w:rPr>
          <w:rFonts w:ascii="Courier New" w:hAnsi="Courier New" w:cs="Courier New"/>
          <w:sz w:val="24"/>
          <w:szCs w:val="24"/>
        </w:rPr>
        <w:t>case,</w:t>
      </w:r>
      <w:r w:rsidR="003D7910">
        <w:rPr>
          <w:rFonts w:ascii="Courier New" w:hAnsi="Courier New" w:cs="Courier New"/>
          <w:sz w:val="24"/>
          <w:szCs w:val="24"/>
        </w:rPr>
        <w:t xml:space="preserve"> including the </w:t>
      </w:r>
      <w:r w:rsidR="00D91610">
        <w:rPr>
          <w:rFonts w:ascii="Courier New" w:hAnsi="Courier New" w:cs="Courier New"/>
          <w:sz w:val="24"/>
          <w:szCs w:val="24"/>
        </w:rPr>
        <w:t>indication that the matter could be appealed against or reviewed. Mushariwa then briefed the managing director of the applicant on the same day (14 April) and asked his secretary to pass on the award to the secretary of the legal department who in her confirmatory affidavit confirms that she cannot remember receiving it or passing it on to the responsible person in the legal department. The award</w:t>
      </w:r>
      <w:r w:rsidR="001D4B37">
        <w:rPr>
          <w:rFonts w:ascii="Courier New" w:hAnsi="Courier New" w:cs="Courier New"/>
          <w:sz w:val="24"/>
          <w:szCs w:val="24"/>
        </w:rPr>
        <w:t>,</w:t>
      </w:r>
      <w:r w:rsidR="00D91610">
        <w:rPr>
          <w:rFonts w:ascii="Courier New" w:hAnsi="Courier New" w:cs="Courier New"/>
          <w:sz w:val="24"/>
          <w:szCs w:val="24"/>
        </w:rPr>
        <w:t xml:space="preserve"> therefore</w:t>
      </w:r>
      <w:r w:rsidR="001D4B37">
        <w:rPr>
          <w:rFonts w:ascii="Courier New" w:hAnsi="Courier New" w:cs="Courier New"/>
          <w:sz w:val="24"/>
          <w:szCs w:val="24"/>
        </w:rPr>
        <w:t>,</w:t>
      </w:r>
      <w:r w:rsidR="00D91610">
        <w:rPr>
          <w:rFonts w:ascii="Courier New" w:hAnsi="Courier New" w:cs="Courier New"/>
          <w:sz w:val="24"/>
          <w:szCs w:val="24"/>
        </w:rPr>
        <w:t xml:space="preserve"> never reached Aspara as was intended. Aspara was acting head of the legal department at the time. The consequence was that Aspara only received the award on 7 May 2009. She does not say from whom and in what circumstances. She also does not explain if any senior official of the applicant, especially the managing director, Gertze or Mushariwa had at any stage made inquiries if the matter was being attended to appropriately in view of the impending deadline for payment directed in the arbitration award. </w:t>
      </w:r>
    </w:p>
    <w:p w:rsidR="006426D5" w:rsidRDefault="006426D5" w:rsidP="00C91CF4">
      <w:pPr>
        <w:spacing w:line="480" w:lineRule="auto"/>
        <w:jc w:val="both"/>
        <w:rPr>
          <w:rFonts w:ascii="Courier New" w:hAnsi="Courier New" w:cs="Courier New"/>
          <w:sz w:val="24"/>
          <w:szCs w:val="24"/>
        </w:rPr>
      </w:pPr>
    </w:p>
    <w:p w:rsidR="006426D5"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lastRenderedPageBreak/>
        <w:t>[15</w:t>
      </w:r>
      <w:r w:rsidR="008668E5">
        <w:rPr>
          <w:rFonts w:ascii="Courier New" w:hAnsi="Courier New" w:cs="Courier New"/>
          <w:sz w:val="24"/>
          <w:szCs w:val="24"/>
        </w:rPr>
        <w:t>]</w:t>
      </w:r>
      <w:r w:rsidR="00D91610">
        <w:rPr>
          <w:rFonts w:ascii="Courier New" w:hAnsi="Courier New" w:cs="Courier New"/>
          <w:sz w:val="24"/>
          <w:szCs w:val="24"/>
        </w:rPr>
        <w:t xml:space="preserve"> Aspara states that on 7 May the respondents then demanded payment in terms of the award and she then on that date briefed their legal practitioners of record to attend to the matter. She does not tell the court what exactly was the instruction given</w:t>
      </w:r>
      <w:r w:rsidR="00DF4346">
        <w:rPr>
          <w:rFonts w:ascii="Courier New" w:hAnsi="Courier New" w:cs="Courier New"/>
          <w:sz w:val="24"/>
          <w:szCs w:val="24"/>
        </w:rPr>
        <w:t>,</w:t>
      </w:r>
      <w:r w:rsidR="006426D5">
        <w:rPr>
          <w:rFonts w:ascii="Courier New" w:hAnsi="Courier New" w:cs="Courier New"/>
          <w:sz w:val="24"/>
          <w:szCs w:val="24"/>
        </w:rPr>
        <w:t xml:space="preserve"> </w:t>
      </w:r>
      <w:r w:rsidR="00D91610">
        <w:rPr>
          <w:rFonts w:ascii="Courier New" w:hAnsi="Courier New" w:cs="Courier New"/>
          <w:sz w:val="24"/>
          <w:szCs w:val="24"/>
        </w:rPr>
        <w:t xml:space="preserve"> a circumstance that is significant in view of the deadline that was imposed in the award.</w:t>
      </w:r>
      <w:r w:rsidR="00F0173F">
        <w:rPr>
          <w:rFonts w:ascii="Courier New" w:hAnsi="Courier New" w:cs="Courier New"/>
          <w:sz w:val="24"/>
          <w:szCs w:val="24"/>
        </w:rPr>
        <w:t xml:space="preserve"> What she does tell us is that a certain </w:t>
      </w:r>
      <w:r w:rsidR="00DF4346">
        <w:rPr>
          <w:rFonts w:ascii="Courier New" w:hAnsi="Courier New" w:cs="Courier New"/>
          <w:sz w:val="24"/>
          <w:szCs w:val="24"/>
        </w:rPr>
        <w:t xml:space="preserve">Mr. </w:t>
      </w:r>
      <w:r w:rsidR="00F0173F">
        <w:rPr>
          <w:rFonts w:ascii="Courier New" w:hAnsi="Courier New" w:cs="Courier New"/>
          <w:sz w:val="24"/>
          <w:szCs w:val="24"/>
        </w:rPr>
        <w:t>Hough who in a confirmatory affidavit states that he is the office administrator for the legal practitioners of record</w:t>
      </w:r>
      <w:r w:rsidR="00DF4346">
        <w:rPr>
          <w:rFonts w:ascii="Courier New" w:hAnsi="Courier New" w:cs="Courier New"/>
          <w:sz w:val="24"/>
          <w:szCs w:val="24"/>
        </w:rPr>
        <w:t>,</w:t>
      </w:r>
      <w:r w:rsidR="00F0173F">
        <w:rPr>
          <w:rFonts w:ascii="Courier New" w:hAnsi="Courier New" w:cs="Courier New"/>
          <w:sz w:val="24"/>
          <w:szCs w:val="24"/>
        </w:rPr>
        <w:t xml:space="preserve"> received the instruction.</w:t>
      </w:r>
    </w:p>
    <w:p w:rsidR="008668E5"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[16</w:t>
      </w:r>
      <w:r w:rsidR="008668E5">
        <w:rPr>
          <w:rFonts w:ascii="Courier New" w:hAnsi="Courier New" w:cs="Courier New"/>
          <w:sz w:val="24"/>
          <w:szCs w:val="24"/>
        </w:rPr>
        <w:t>]</w:t>
      </w:r>
      <w:r w:rsidR="006426D5">
        <w:rPr>
          <w:rFonts w:ascii="Courier New" w:hAnsi="Courier New" w:cs="Courier New"/>
          <w:sz w:val="24"/>
          <w:szCs w:val="24"/>
        </w:rPr>
        <w:t xml:space="preserve"> </w:t>
      </w:r>
      <w:r w:rsidR="00F0173F">
        <w:rPr>
          <w:rFonts w:ascii="Courier New" w:hAnsi="Courier New" w:cs="Courier New"/>
          <w:sz w:val="24"/>
          <w:szCs w:val="24"/>
        </w:rPr>
        <w:t>What Hough does not tell the court is significant</w:t>
      </w:r>
      <w:r w:rsidR="00DF4346">
        <w:rPr>
          <w:rFonts w:ascii="Courier New" w:hAnsi="Courier New" w:cs="Courier New"/>
          <w:sz w:val="24"/>
          <w:szCs w:val="24"/>
        </w:rPr>
        <w:t>:</w:t>
      </w:r>
      <w:r w:rsidR="00F0173F">
        <w:rPr>
          <w:rFonts w:ascii="Courier New" w:hAnsi="Courier New" w:cs="Courier New"/>
          <w:sz w:val="24"/>
          <w:szCs w:val="24"/>
        </w:rPr>
        <w:t xml:space="preserve"> It appears from his affidavit that he is not an admitted legal practitioner. He fails to tell us why the matter was not handed to an admitted legal practitioner in the firm. It is implied in what is said about his handling of the matter that he took the decision to brief counsel practicing without a fidelity fund certificate. It appears therefore that no-one in the firm brought their professional mind to bear on the matter. Had they done so</w:t>
      </w:r>
      <w:r w:rsidR="00DF4346">
        <w:rPr>
          <w:rFonts w:ascii="Courier New" w:hAnsi="Courier New" w:cs="Courier New"/>
          <w:sz w:val="24"/>
          <w:szCs w:val="24"/>
        </w:rPr>
        <w:t>,</w:t>
      </w:r>
      <w:r w:rsidR="00F0173F">
        <w:rPr>
          <w:rFonts w:ascii="Courier New" w:hAnsi="Courier New" w:cs="Courier New"/>
          <w:sz w:val="24"/>
          <w:szCs w:val="24"/>
        </w:rPr>
        <w:t xml:space="preserve"> they would have noticed that the matter was the subject of a deadline. </w:t>
      </w:r>
    </w:p>
    <w:p w:rsidR="006426D5" w:rsidRDefault="006426D5" w:rsidP="00C91CF4">
      <w:pPr>
        <w:spacing w:line="480" w:lineRule="auto"/>
        <w:jc w:val="both"/>
        <w:rPr>
          <w:rFonts w:ascii="Courier New" w:hAnsi="Courier New" w:cs="Courier New"/>
          <w:sz w:val="24"/>
          <w:szCs w:val="24"/>
        </w:rPr>
      </w:pPr>
    </w:p>
    <w:p w:rsidR="008668E5"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[17</w:t>
      </w:r>
      <w:r w:rsidR="008668E5">
        <w:rPr>
          <w:rFonts w:ascii="Courier New" w:hAnsi="Courier New" w:cs="Courier New"/>
          <w:sz w:val="24"/>
          <w:szCs w:val="24"/>
        </w:rPr>
        <w:t>]</w:t>
      </w:r>
      <w:r w:rsidR="006426D5">
        <w:rPr>
          <w:rFonts w:ascii="Courier New" w:hAnsi="Courier New" w:cs="Courier New"/>
          <w:sz w:val="24"/>
          <w:szCs w:val="24"/>
        </w:rPr>
        <w:t xml:space="preserve"> </w:t>
      </w:r>
      <w:r w:rsidR="00F0173F">
        <w:rPr>
          <w:rFonts w:ascii="Courier New" w:hAnsi="Courier New" w:cs="Courier New"/>
          <w:sz w:val="24"/>
          <w:szCs w:val="24"/>
        </w:rPr>
        <w:t xml:space="preserve">Neither Aspara nor Hough tells the court what further inquiries were received in the meantime from the applicant by the legal practitioners of record in view of the deadline that </w:t>
      </w:r>
      <w:r w:rsidR="00F0173F">
        <w:rPr>
          <w:rFonts w:ascii="Courier New" w:hAnsi="Courier New" w:cs="Courier New"/>
          <w:sz w:val="24"/>
          <w:szCs w:val="24"/>
        </w:rPr>
        <w:lastRenderedPageBreak/>
        <w:t>was imposed in the award and considering that</w:t>
      </w:r>
      <w:r w:rsidR="00DF4346">
        <w:rPr>
          <w:rFonts w:ascii="Courier New" w:hAnsi="Courier New" w:cs="Courier New"/>
          <w:sz w:val="24"/>
          <w:szCs w:val="24"/>
        </w:rPr>
        <w:t>,</w:t>
      </w:r>
      <w:r w:rsidR="00F0173F">
        <w:rPr>
          <w:rFonts w:ascii="Courier New" w:hAnsi="Courier New" w:cs="Courier New"/>
          <w:sz w:val="24"/>
          <w:szCs w:val="24"/>
        </w:rPr>
        <w:t xml:space="preserve"> on Aspara’s own admission</w:t>
      </w:r>
      <w:r w:rsidR="00DF4346">
        <w:rPr>
          <w:rFonts w:ascii="Courier New" w:hAnsi="Courier New" w:cs="Courier New"/>
          <w:sz w:val="24"/>
          <w:szCs w:val="24"/>
        </w:rPr>
        <w:t>,</w:t>
      </w:r>
      <w:r w:rsidR="00F0173F">
        <w:rPr>
          <w:rFonts w:ascii="Courier New" w:hAnsi="Courier New" w:cs="Courier New"/>
          <w:sz w:val="24"/>
          <w:szCs w:val="24"/>
        </w:rPr>
        <w:t xml:space="preserve"> the respondents had already demanded payment in terms thereof. What </w:t>
      </w:r>
      <w:r w:rsidR="006426D5">
        <w:rPr>
          <w:rFonts w:ascii="Courier New" w:hAnsi="Courier New" w:cs="Courier New"/>
          <w:sz w:val="24"/>
          <w:szCs w:val="24"/>
        </w:rPr>
        <w:t>the court was</w:t>
      </w:r>
      <w:r w:rsidR="00F0173F">
        <w:rPr>
          <w:rFonts w:ascii="Courier New" w:hAnsi="Courier New" w:cs="Courier New"/>
          <w:sz w:val="24"/>
          <w:szCs w:val="24"/>
        </w:rPr>
        <w:t xml:space="preserve"> told however is that Hough allegedly did not secure ‘available counsel</w:t>
      </w:r>
      <w:r w:rsidR="006426D5">
        <w:rPr>
          <w:rFonts w:ascii="Courier New" w:hAnsi="Courier New" w:cs="Courier New"/>
          <w:sz w:val="24"/>
          <w:szCs w:val="24"/>
        </w:rPr>
        <w:t>’</w:t>
      </w:r>
      <w:r w:rsidR="00F0173F">
        <w:rPr>
          <w:rFonts w:ascii="Courier New" w:hAnsi="Courier New" w:cs="Courier New"/>
          <w:sz w:val="24"/>
          <w:szCs w:val="24"/>
        </w:rPr>
        <w:t>. Just whom he tried to contact we are not told. It was only on 12 May that Hough allegedly secured counsel.</w:t>
      </w:r>
      <w:r w:rsidR="00B11C3B">
        <w:rPr>
          <w:rFonts w:ascii="Courier New" w:hAnsi="Courier New" w:cs="Courier New"/>
          <w:sz w:val="24"/>
          <w:szCs w:val="24"/>
        </w:rPr>
        <w:t xml:space="preserve"> It is implied that Hough, an office administrator, briefed instructed counsel in the matter. We are not told whether anyone from the applicant was present at the briefing and what role if any an admitted legal practitioner in the firm played in the briefing of counsel. This entire handling of this matter by the applicant’s legal practitioner of record raises serious issues of professional ethics. A copy of the judgment will therefore be sent to the Law Society for study.</w:t>
      </w:r>
      <w:r w:rsidR="00B11C3B" w:rsidRPr="00B11C3B">
        <w:rPr>
          <w:rFonts w:ascii="Courier New" w:hAnsi="Courier New" w:cs="Courier New"/>
          <w:sz w:val="24"/>
          <w:szCs w:val="24"/>
        </w:rPr>
        <w:t xml:space="preserve"> </w:t>
      </w:r>
      <w:r w:rsidR="00B11C3B">
        <w:rPr>
          <w:rFonts w:ascii="Courier New" w:hAnsi="Courier New" w:cs="Courier New"/>
          <w:sz w:val="24"/>
          <w:szCs w:val="24"/>
        </w:rPr>
        <w:t>The notice of appeal was then prepared and filed on 13 May 2009.</w:t>
      </w:r>
    </w:p>
    <w:p w:rsidR="006426D5" w:rsidRDefault="006426D5" w:rsidP="00C91CF4">
      <w:pPr>
        <w:spacing w:line="480" w:lineRule="auto"/>
        <w:jc w:val="both"/>
        <w:rPr>
          <w:rFonts w:ascii="Courier New" w:hAnsi="Courier New" w:cs="Courier New"/>
          <w:sz w:val="24"/>
          <w:szCs w:val="24"/>
        </w:rPr>
      </w:pPr>
    </w:p>
    <w:p w:rsidR="00B2341D"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[18</w:t>
      </w:r>
      <w:r w:rsidR="00B11C3B">
        <w:rPr>
          <w:rFonts w:ascii="Courier New" w:hAnsi="Courier New" w:cs="Courier New"/>
          <w:sz w:val="24"/>
          <w:szCs w:val="24"/>
        </w:rPr>
        <w:t>] Aspara then makes the following critical allegation:</w:t>
      </w:r>
    </w:p>
    <w:p w:rsidR="00B11C3B" w:rsidRDefault="0062751C" w:rsidP="00043550">
      <w:pPr>
        <w:spacing w:line="240" w:lineRule="auto"/>
        <w:ind w:left="720"/>
        <w:jc w:val="both"/>
        <w:rPr>
          <w:rFonts w:ascii="Courier New" w:hAnsi="Courier New" w:cs="Courier New"/>
        </w:rPr>
      </w:pPr>
      <w:r>
        <w:rPr>
          <w:rFonts w:ascii="Courier New" w:hAnsi="Courier New" w:cs="Courier New"/>
          <w:sz w:val="24"/>
          <w:szCs w:val="24"/>
        </w:rPr>
        <w:t>“</w:t>
      </w:r>
      <w:r w:rsidRPr="00043550">
        <w:rPr>
          <w:rFonts w:ascii="Courier New" w:hAnsi="Courier New" w:cs="Courier New"/>
        </w:rPr>
        <w:t xml:space="preserve">I confirm that 7 May was the first time any employee in the appellant’s legal department became aware of the arbitration award. The Appellant’s general manager for Human Resource, along with all other managers who had knowledge of the award, was under the impression that the legal Department would take the steps required to prosecute the necessary appeal or review of the award as this department is responsible for </w:t>
      </w:r>
      <w:r w:rsidR="00043550" w:rsidRPr="00043550">
        <w:rPr>
          <w:rFonts w:ascii="Courier New" w:hAnsi="Courier New" w:cs="Courier New"/>
        </w:rPr>
        <w:t>ensuring that</w:t>
      </w:r>
      <w:r w:rsidRPr="00043550">
        <w:rPr>
          <w:rFonts w:ascii="Courier New" w:hAnsi="Courier New" w:cs="Courier New"/>
        </w:rPr>
        <w:t xml:space="preserve"> all relevant steps are timeously taken.</w:t>
      </w:r>
      <w:r w:rsidR="00043550" w:rsidRPr="00043550">
        <w:rPr>
          <w:rFonts w:ascii="Courier New" w:hAnsi="Courier New" w:cs="Courier New"/>
        </w:rPr>
        <w:t>”</w:t>
      </w:r>
    </w:p>
    <w:p w:rsidR="00043550" w:rsidRDefault="00043550" w:rsidP="00043550">
      <w:pPr>
        <w:spacing w:line="240" w:lineRule="auto"/>
        <w:ind w:left="720"/>
        <w:jc w:val="both"/>
        <w:rPr>
          <w:rFonts w:ascii="Courier New" w:hAnsi="Courier New" w:cs="Courier New"/>
          <w:sz w:val="24"/>
          <w:szCs w:val="24"/>
        </w:rPr>
      </w:pPr>
    </w:p>
    <w:p w:rsidR="00AF006E"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[19</w:t>
      </w:r>
      <w:r w:rsidR="00B11C3B">
        <w:rPr>
          <w:rFonts w:ascii="Courier New" w:hAnsi="Courier New" w:cs="Courier New"/>
          <w:sz w:val="24"/>
          <w:szCs w:val="24"/>
        </w:rPr>
        <w:t xml:space="preserve">] It can be inferred from the above allegation that it was general knowledge amongst officials of the applicant </w:t>
      </w:r>
      <w:r w:rsidR="007C6272">
        <w:rPr>
          <w:rFonts w:ascii="Courier New" w:hAnsi="Courier New" w:cs="Courier New"/>
          <w:sz w:val="24"/>
          <w:szCs w:val="24"/>
        </w:rPr>
        <w:t xml:space="preserve">that the </w:t>
      </w:r>
      <w:r w:rsidR="007C6272">
        <w:rPr>
          <w:rFonts w:ascii="Courier New" w:hAnsi="Courier New" w:cs="Courier New"/>
          <w:sz w:val="24"/>
          <w:szCs w:val="24"/>
        </w:rPr>
        <w:lastRenderedPageBreak/>
        <w:t>legal department was the one responsible for protecting the legal interests of the applicant in matters such as the present. That reality stands in sharp contradiction with the conduct of all the officials who handled the matter after the award was received on 7 April 2009. It clearly shows a measure of disrespect for the legal process envisaged under the Labour Act. One sadly and regrettably gets the impression that applicant’s officials took the attitude that since they did not agree with the arbitrator’s award they could simply ignore the consequences that were attendant on it and instead have recourse to the court when it suited their convenience. That bodes ill for the rule of law and the intent of the legislature that intended labour disputes to be handled in a way that promotes speed and</w:t>
      </w:r>
      <w:r w:rsidR="00DF4346">
        <w:rPr>
          <w:rFonts w:ascii="Courier New" w:hAnsi="Courier New" w:cs="Courier New"/>
          <w:sz w:val="24"/>
          <w:szCs w:val="24"/>
        </w:rPr>
        <w:t>, as far as</w:t>
      </w:r>
      <w:r w:rsidR="007C6272">
        <w:rPr>
          <w:rFonts w:ascii="Courier New" w:hAnsi="Courier New" w:cs="Courier New"/>
          <w:sz w:val="24"/>
          <w:szCs w:val="24"/>
        </w:rPr>
        <w:t xml:space="preserve"> possible without recourse to court. There is not even any attempt at an explanation why </w:t>
      </w:r>
      <w:r w:rsidR="000565CF">
        <w:rPr>
          <w:rFonts w:ascii="Courier New" w:hAnsi="Courier New" w:cs="Courier New"/>
          <w:sz w:val="24"/>
          <w:szCs w:val="24"/>
        </w:rPr>
        <w:t>Gertze</w:t>
      </w:r>
      <w:r w:rsidR="007C6272">
        <w:rPr>
          <w:rFonts w:ascii="Courier New" w:hAnsi="Courier New" w:cs="Courier New"/>
          <w:sz w:val="24"/>
          <w:szCs w:val="24"/>
        </w:rPr>
        <w:t xml:space="preserve"> or the person before him, or Mushariwa or indeed the managing director did not immediately engage the responsible person in the legal department or indeed their chosen legal practitioner to attend to the matter without fail.</w:t>
      </w:r>
    </w:p>
    <w:p w:rsidR="00BD4970" w:rsidRDefault="00BD4970" w:rsidP="00C91CF4">
      <w:pPr>
        <w:spacing w:line="480" w:lineRule="auto"/>
        <w:jc w:val="both"/>
        <w:rPr>
          <w:rFonts w:ascii="Courier New" w:hAnsi="Courier New" w:cs="Courier New"/>
          <w:sz w:val="24"/>
          <w:szCs w:val="24"/>
        </w:rPr>
      </w:pPr>
    </w:p>
    <w:p w:rsidR="00B11C3B"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[20</w:t>
      </w:r>
      <w:r w:rsidR="007C6272">
        <w:rPr>
          <w:rFonts w:ascii="Courier New" w:hAnsi="Courier New" w:cs="Courier New"/>
          <w:sz w:val="24"/>
          <w:szCs w:val="24"/>
        </w:rPr>
        <w:t>]</w:t>
      </w:r>
      <w:r w:rsidR="00717745">
        <w:rPr>
          <w:rFonts w:ascii="Courier New" w:hAnsi="Courier New" w:cs="Courier New"/>
          <w:sz w:val="24"/>
          <w:szCs w:val="24"/>
        </w:rPr>
        <w:t xml:space="preserve"> Mushariwa’s action is even more troubling and speaks to the attitude I referred to earlier. He handed the award to his secretary and asked her to pass it on to another secretary in </w:t>
      </w:r>
      <w:r w:rsidR="00717745">
        <w:rPr>
          <w:rFonts w:ascii="Courier New" w:hAnsi="Courier New" w:cs="Courier New"/>
          <w:sz w:val="24"/>
          <w:szCs w:val="24"/>
        </w:rPr>
        <w:lastRenderedPageBreak/>
        <w:t>the legal department. Why did he not deal directly with the responsible person in the legal department? More so, as head of Human Resources, ought he not to have known that the head of legal department was, as stated by Aspara, out of the country at the time Gertze passed on the award to him?</w:t>
      </w:r>
    </w:p>
    <w:p w:rsidR="00BD4970" w:rsidRDefault="00BD4970" w:rsidP="00C91CF4">
      <w:pPr>
        <w:spacing w:line="480" w:lineRule="auto"/>
        <w:jc w:val="both"/>
        <w:rPr>
          <w:rFonts w:ascii="Courier New" w:hAnsi="Courier New" w:cs="Courier New"/>
          <w:sz w:val="24"/>
          <w:szCs w:val="24"/>
        </w:rPr>
      </w:pPr>
    </w:p>
    <w:p w:rsidR="00BD040A" w:rsidRDefault="00BD4970" w:rsidP="00C91CF4">
      <w:pPr>
        <w:spacing w:line="480" w:lineRule="auto"/>
        <w:jc w:val="both"/>
        <w:rPr>
          <w:rFonts w:ascii="Courier New" w:hAnsi="Courier New" w:cs="Courier New"/>
          <w:sz w:val="24"/>
          <w:szCs w:val="24"/>
        </w:rPr>
      </w:pPr>
      <w:r>
        <w:rPr>
          <w:rFonts w:ascii="Courier New" w:hAnsi="Courier New" w:cs="Courier New"/>
          <w:sz w:val="24"/>
          <w:szCs w:val="24"/>
        </w:rPr>
        <w:t>[21</w:t>
      </w:r>
      <w:r w:rsidR="00717745">
        <w:rPr>
          <w:rFonts w:ascii="Courier New" w:hAnsi="Courier New" w:cs="Courier New"/>
          <w:sz w:val="24"/>
          <w:szCs w:val="24"/>
        </w:rPr>
        <w:t xml:space="preserve">] The action by the legal practitioners of record in delaying what was otherwise an urgent and serious matter is just as, if not even more, troubling and probably is attributable to the fact that the instruction was sadly attended to by a person not subject to the discipline of the </w:t>
      </w:r>
      <w:r w:rsidR="00BD040A">
        <w:rPr>
          <w:rFonts w:ascii="Courier New" w:hAnsi="Courier New" w:cs="Courier New"/>
          <w:sz w:val="24"/>
          <w:szCs w:val="24"/>
        </w:rPr>
        <w:t xml:space="preserve">legal profession. The legal practitioners of record after receiving the instruction and without, it seems, any request by the applicant’s officials to act urgently in the matter, </w:t>
      </w:r>
      <w:r w:rsidR="00104EEC">
        <w:rPr>
          <w:rFonts w:ascii="Courier New" w:hAnsi="Courier New" w:cs="Courier New"/>
          <w:sz w:val="24"/>
          <w:szCs w:val="24"/>
        </w:rPr>
        <w:t>took</w:t>
      </w:r>
      <w:r w:rsidR="00BD040A">
        <w:rPr>
          <w:rFonts w:ascii="Courier New" w:hAnsi="Courier New" w:cs="Courier New"/>
          <w:sz w:val="24"/>
          <w:szCs w:val="24"/>
        </w:rPr>
        <w:t xml:space="preserve"> another 7</w:t>
      </w:r>
      <w:r w:rsidR="00AF006E">
        <w:rPr>
          <w:rFonts w:ascii="Courier New" w:hAnsi="Courier New" w:cs="Courier New"/>
          <w:sz w:val="24"/>
          <w:szCs w:val="24"/>
        </w:rPr>
        <w:t xml:space="preserve"> days to act </w:t>
      </w:r>
      <w:r w:rsidR="00BD040A">
        <w:rPr>
          <w:rFonts w:ascii="Courier New" w:hAnsi="Courier New" w:cs="Courier New"/>
          <w:sz w:val="24"/>
          <w:szCs w:val="24"/>
        </w:rPr>
        <w:t>on the suspect , and certainly unreasonable basis</w:t>
      </w:r>
      <w:r w:rsidR="00AF006E">
        <w:rPr>
          <w:rFonts w:ascii="Courier New" w:hAnsi="Courier New" w:cs="Courier New"/>
          <w:sz w:val="24"/>
          <w:szCs w:val="24"/>
        </w:rPr>
        <w:t>,</w:t>
      </w:r>
      <w:r w:rsidR="00BD040A">
        <w:rPr>
          <w:rFonts w:ascii="Courier New" w:hAnsi="Courier New" w:cs="Courier New"/>
          <w:sz w:val="24"/>
          <w:szCs w:val="24"/>
        </w:rPr>
        <w:t xml:space="preserve"> that they could not find instructed counsel who are not identified.</w:t>
      </w:r>
    </w:p>
    <w:p w:rsidR="00104EEC" w:rsidRDefault="00104EEC" w:rsidP="00C91CF4">
      <w:pPr>
        <w:spacing w:line="480" w:lineRule="auto"/>
        <w:jc w:val="both"/>
        <w:rPr>
          <w:rFonts w:ascii="Courier New" w:hAnsi="Courier New" w:cs="Courier New"/>
          <w:b/>
          <w:sz w:val="24"/>
          <w:szCs w:val="24"/>
        </w:rPr>
      </w:pPr>
    </w:p>
    <w:p w:rsidR="00B2341D" w:rsidRPr="00B2341D" w:rsidRDefault="00B2341D" w:rsidP="00C91CF4">
      <w:pPr>
        <w:spacing w:line="480" w:lineRule="auto"/>
        <w:jc w:val="both"/>
        <w:rPr>
          <w:rFonts w:ascii="Courier New" w:hAnsi="Courier New" w:cs="Courier New"/>
          <w:b/>
          <w:sz w:val="24"/>
          <w:szCs w:val="24"/>
        </w:rPr>
      </w:pPr>
      <w:r w:rsidRPr="00B2341D">
        <w:rPr>
          <w:rFonts w:ascii="Courier New" w:hAnsi="Courier New" w:cs="Courier New"/>
          <w:b/>
          <w:sz w:val="24"/>
          <w:szCs w:val="24"/>
        </w:rPr>
        <w:t>Application opposed</w:t>
      </w:r>
    </w:p>
    <w:p w:rsidR="00B2341D" w:rsidRDefault="008668E5" w:rsidP="00C91CF4">
      <w:pPr>
        <w:spacing w:line="480" w:lineRule="auto"/>
        <w:jc w:val="both"/>
        <w:rPr>
          <w:rFonts w:ascii="Courier New" w:hAnsi="Courier New" w:cs="Courier New"/>
          <w:sz w:val="24"/>
          <w:szCs w:val="24"/>
        </w:rPr>
      </w:pPr>
      <w:r>
        <w:rPr>
          <w:rFonts w:ascii="Courier New" w:hAnsi="Courier New" w:cs="Courier New"/>
          <w:sz w:val="24"/>
          <w:szCs w:val="24"/>
        </w:rPr>
        <w:t>[</w:t>
      </w:r>
      <w:r w:rsidR="00B04168">
        <w:rPr>
          <w:rFonts w:ascii="Courier New" w:hAnsi="Courier New" w:cs="Courier New"/>
          <w:sz w:val="24"/>
          <w:szCs w:val="24"/>
        </w:rPr>
        <w:t>2</w:t>
      </w:r>
      <w:r w:rsidR="00BD4970">
        <w:rPr>
          <w:rFonts w:ascii="Courier New" w:hAnsi="Courier New" w:cs="Courier New"/>
          <w:sz w:val="24"/>
          <w:szCs w:val="24"/>
        </w:rPr>
        <w:t>2</w:t>
      </w:r>
      <w:r>
        <w:rPr>
          <w:rFonts w:ascii="Courier New" w:hAnsi="Courier New" w:cs="Courier New"/>
          <w:sz w:val="24"/>
          <w:szCs w:val="24"/>
        </w:rPr>
        <w:t xml:space="preserve">] </w:t>
      </w:r>
      <w:r w:rsidR="00B2341D" w:rsidRPr="005F5BA0">
        <w:rPr>
          <w:rFonts w:ascii="Courier New" w:hAnsi="Courier New" w:cs="Courier New"/>
          <w:sz w:val="24"/>
          <w:szCs w:val="24"/>
        </w:rPr>
        <w:t xml:space="preserve">The respondents oppose the application for condonation. </w:t>
      </w:r>
      <w:r w:rsidR="00B2341D" w:rsidRPr="00104EEC">
        <w:rPr>
          <w:rFonts w:ascii="Courier New" w:hAnsi="Courier New" w:cs="Courier New"/>
          <w:i/>
          <w:sz w:val="24"/>
          <w:szCs w:val="24"/>
        </w:rPr>
        <w:t xml:space="preserve">A propos </w:t>
      </w:r>
      <w:r w:rsidR="00B2341D" w:rsidRPr="005F5BA0">
        <w:rPr>
          <w:rFonts w:ascii="Courier New" w:hAnsi="Courier New" w:cs="Courier New"/>
          <w:sz w:val="24"/>
          <w:szCs w:val="24"/>
        </w:rPr>
        <w:t>the absence of a willful def</w:t>
      </w:r>
      <w:r w:rsidR="00B2341D">
        <w:rPr>
          <w:rFonts w:ascii="Courier New" w:hAnsi="Courier New" w:cs="Courier New"/>
          <w:sz w:val="24"/>
          <w:szCs w:val="24"/>
        </w:rPr>
        <w:t xml:space="preserve">ault </w:t>
      </w:r>
      <w:r w:rsidR="00B2341D" w:rsidRPr="005F5BA0">
        <w:rPr>
          <w:rFonts w:ascii="Courier New" w:hAnsi="Courier New" w:cs="Courier New"/>
          <w:sz w:val="24"/>
          <w:szCs w:val="24"/>
        </w:rPr>
        <w:t xml:space="preserve">they rely on the allegations </w:t>
      </w:r>
      <w:r w:rsidR="00104EEC">
        <w:rPr>
          <w:rFonts w:ascii="Courier New" w:hAnsi="Courier New" w:cs="Courier New"/>
          <w:sz w:val="24"/>
          <w:szCs w:val="24"/>
        </w:rPr>
        <w:t>of</w:t>
      </w:r>
      <w:r w:rsidR="00B2341D" w:rsidRPr="005F5BA0">
        <w:rPr>
          <w:rFonts w:ascii="Courier New" w:hAnsi="Courier New" w:cs="Courier New"/>
          <w:sz w:val="24"/>
          <w:szCs w:val="24"/>
        </w:rPr>
        <w:t xml:space="preserve"> Gabriel Andumba</w:t>
      </w:r>
      <w:r w:rsidR="00B2341D">
        <w:rPr>
          <w:rFonts w:ascii="Courier New" w:hAnsi="Courier New" w:cs="Courier New"/>
          <w:sz w:val="24"/>
          <w:szCs w:val="24"/>
        </w:rPr>
        <w:t>, an official of the registered trade union representing the interest of the respondents.</w:t>
      </w:r>
      <w:r w:rsidR="00B2341D" w:rsidRPr="005F5BA0">
        <w:rPr>
          <w:rFonts w:ascii="Courier New" w:hAnsi="Courier New" w:cs="Courier New"/>
          <w:sz w:val="24"/>
          <w:szCs w:val="24"/>
        </w:rPr>
        <w:t xml:space="preserve"> </w:t>
      </w:r>
      <w:r w:rsidR="00B2341D">
        <w:rPr>
          <w:rFonts w:ascii="Courier New" w:hAnsi="Courier New" w:cs="Courier New"/>
          <w:sz w:val="24"/>
          <w:szCs w:val="24"/>
        </w:rPr>
        <w:t xml:space="preserve"> As </w:t>
      </w:r>
      <w:r w:rsidR="00B2341D">
        <w:rPr>
          <w:rFonts w:ascii="Courier New" w:hAnsi="Courier New" w:cs="Courier New"/>
          <w:sz w:val="24"/>
          <w:szCs w:val="24"/>
        </w:rPr>
        <w:lastRenderedPageBreak/>
        <w:t>regards the delay</w:t>
      </w:r>
      <w:r w:rsidR="00AF006E">
        <w:rPr>
          <w:rFonts w:ascii="Courier New" w:hAnsi="Courier New" w:cs="Courier New"/>
          <w:sz w:val="24"/>
          <w:szCs w:val="24"/>
        </w:rPr>
        <w:t>,</w:t>
      </w:r>
      <w:r w:rsidR="00B2341D">
        <w:rPr>
          <w:rFonts w:ascii="Courier New" w:hAnsi="Courier New" w:cs="Courier New"/>
          <w:sz w:val="24"/>
          <w:szCs w:val="24"/>
        </w:rPr>
        <w:t xml:space="preserve"> he states that they do not have knowledge of the i</w:t>
      </w:r>
      <w:r w:rsidR="00B2341D" w:rsidRPr="005F5BA0">
        <w:rPr>
          <w:rFonts w:ascii="Courier New" w:hAnsi="Courier New" w:cs="Courier New"/>
          <w:sz w:val="24"/>
          <w:szCs w:val="24"/>
        </w:rPr>
        <w:t xml:space="preserve">nternal procedures of the </w:t>
      </w:r>
      <w:r w:rsidR="00B2341D">
        <w:rPr>
          <w:rFonts w:ascii="Courier New" w:hAnsi="Courier New" w:cs="Courier New"/>
          <w:sz w:val="24"/>
          <w:szCs w:val="24"/>
        </w:rPr>
        <w:t>applicant</w:t>
      </w:r>
      <w:r w:rsidR="00B2341D" w:rsidRPr="005F5BA0">
        <w:rPr>
          <w:rFonts w:ascii="Courier New" w:hAnsi="Courier New" w:cs="Courier New"/>
          <w:sz w:val="24"/>
          <w:szCs w:val="24"/>
        </w:rPr>
        <w:t xml:space="preserve"> and that the latter knew that the notice of appeal should have been hand</w:t>
      </w:r>
      <w:r w:rsidR="00104EEC">
        <w:rPr>
          <w:rFonts w:ascii="Courier New" w:hAnsi="Courier New" w:cs="Courier New"/>
          <w:sz w:val="24"/>
          <w:szCs w:val="24"/>
        </w:rPr>
        <w:t>led by the Legal Department but applicant’s officials were</w:t>
      </w:r>
      <w:r w:rsidR="00B2341D" w:rsidRPr="005F5BA0">
        <w:rPr>
          <w:rFonts w:ascii="Courier New" w:hAnsi="Courier New" w:cs="Courier New"/>
          <w:sz w:val="24"/>
          <w:szCs w:val="24"/>
        </w:rPr>
        <w:t xml:space="preserve"> circulating the award from one department to another until the prescribed time lapsed. With regard to the prospects of success, the r</w:t>
      </w:r>
      <w:r w:rsidR="00B2341D">
        <w:rPr>
          <w:rFonts w:ascii="Courier New" w:hAnsi="Courier New" w:cs="Courier New"/>
          <w:sz w:val="24"/>
          <w:szCs w:val="24"/>
        </w:rPr>
        <w:t xml:space="preserve">espondents deny, without elaborating, that </w:t>
      </w:r>
      <w:r w:rsidR="00B2341D" w:rsidRPr="005F5BA0">
        <w:rPr>
          <w:rFonts w:ascii="Courier New" w:hAnsi="Courier New" w:cs="Courier New"/>
          <w:sz w:val="24"/>
          <w:szCs w:val="24"/>
        </w:rPr>
        <w:t>the appellant has good prospects of success</w:t>
      </w:r>
      <w:r w:rsidR="00B2341D">
        <w:rPr>
          <w:rFonts w:ascii="Courier New" w:hAnsi="Courier New" w:cs="Courier New"/>
          <w:sz w:val="24"/>
          <w:szCs w:val="24"/>
        </w:rPr>
        <w:t xml:space="preserve"> on appeal.</w:t>
      </w:r>
    </w:p>
    <w:p w:rsidR="00A45F91" w:rsidRDefault="00A45F91" w:rsidP="00C91CF4">
      <w:pPr>
        <w:spacing w:line="480" w:lineRule="auto"/>
        <w:jc w:val="both"/>
        <w:rPr>
          <w:rFonts w:ascii="Courier New" w:hAnsi="Courier New" w:cs="Courier New"/>
          <w:sz w:val="24"/>
          <w:szCs w:val="24"/>
        </w:rPr>
      </w:pPr>
    </w:p>
    <w:p w:rsidR="00A45F91" w:rsidRPr="00A45F91" w:rsidRDefault="00A45F91" w:rsidP="00C91CF4">
      <w:pPr>
        <w:spacing w:line="480" w:lineRule="auto"/>
        <w:jc w:val="both"/>
        <w:rPr>
          <w:rFonts w:ascii="Courier New" w:hAnsi="Courier New" w:cs="Courier New"/>
          <w:b/>
          <w:sz w:val="24"/>
          <w:szCs w:val="24"/>
        </w:rPr>
      </w:pPr>
      <w:r w:rsidRPr="00A45F91">
        <w:rPr>
          <w:rFonts w:ascii="Courier New" w:hAnsi="Courier New" w:cs="Courier New"/>
          <w:b/>
          <w:sz w:val="24"/>
          <w:szCs w:val="24"/>
        </w:rPr>
        <w:t>Finding on reasonableness of delay</w:t>
      </w:r>
    </w:p>
    <w:p w:rsidR="00AF006E" w:rsidRDefault="008668E5" w:rsidP="00C91CF4">
      <w:pPr>
        <w:spacing w:line="480" w:lineRule="auto"/>
        <w:jc w:val="both"/>
        <w:rPr>
          <w:rFonts w:ascii="Courier New" w:hAnsi="Courier New" w:cs="Courier New"/>
          <w:sz w:val="24"/>
          <w:szCs w:val="24"/>
        </w:rPr>
      </w:pPr>
      <w:r>
        <w:rPr>
          <w:rFonts w:ascii="Courier New" w:hAnsi="Courier New" w:cs="Courier New"/>
          <w:sz w:val="24"/>
          <w:szCs w:val="24"/>
        </w:rPr>
        <w:t>[</w:t>
      </w:r>
      <w:r w:rsidR="00BD4970">
        <w:rPr>
          <w:rFonts w:ascii="Courier New" w:hAnsi="Courier New" w:cs="Courier New"/>
          <w:sz w:val="24"/>
          <w:szCs w:val="24"/>
        </w:rPr>
        <w:t>23</w:t>
      </w:r>
      <w:r>
        <w:rPr>
          <w:rFonts w:ascii="Courier New" w:hAnsi="Courier New" w:cs="Courier New"/>
          <w:sz w:val="24"/>
          <w:szCs w:val="24"/>
        </w:rPr>
        <w:t xml:space="preserve">] </w:t>
      </w:r>
      <w:r w:rsidR="00A45F91">
        <w:rPr>
          <w:rFonts w:ascii="Courier New" w:hAnsi="Courier New" w:cs="Courier New"/>
          <w:sz w:val="24"/>
          <w:szCs w:val="24"/>
        </w:rPr>
        <w:t xml:space="preserve">Neither in the contemporaneous conduct of the applicant’s senior officials, nor the explanation now offered in support of the application for condonation now before me, do I find any acceptable (in the sense of being satisfactory) or reasonable explanation for the failure to timeously prosecute the appeal against the arbitrator’s award. There is equally no explanation at all, either by the applicant or its legal practitioner, why the application for condonation was only brought as late as 25 June when the notice to appeal was already filed on 13 May 2009. The law as I have shown is settled that the application for condonation must be brought as soon as the delay has become apparent and to the extent it was not so brought, there must be an acceptable, full and accurate explanation for the delay in </w:t>
      </w:r>
      <w:r w:rsidR="00A45F91">
        <w:rPr>
          <w:rFonts w:ascii="Courier New" w:hAnsi="Courier New" w:cs="Courier New"/>
          <w:sz w:val="24"/>
          <w:szCs w:val="24"/>
        </w:rPr>
        <w:lastRenderedPageBreak/>
        <w:t>the bringing of the application for condonation. The application is singularly and demonstrably lacking in that regard</w:t>
      </w:r>
      <w:r w:rsidR="00B2341D">
        <w:rPr>
          <w:rFonts w:ascii="Courier New" w:hAnsi="Courier New" w:cs="Courier New"/>
          <w:sz w:val="24"/>
          <w:szCs w:val="24"/>
        </w:rPr>
        <w:t xml:space="preserve"> too</w:t>
      </w:r>
      <w:r w:rsidR="00A45F91">
        <w:rPr>
          <w:rFonts w:ascii="Courier New" w:hAnsi="Courier New" w:cs="Courier New"/>
          <w:sz w:val="24"/>
          <w:szCs w:val="24"/>
        </w:rPr>
        <w:t xml:space="preserve">. </w:t>
      </w:r>
    </w:p>
    <w:p w:rsidR="00BD4970" w:rsidRDefault="00BD4970" w:rsidP="00C91CF4">
      <w:pPr>
        <w:spacing w:line="480" w:lineRule="auto"/>
        <w:jc w:val="both"/>
        <w:rPr>
          <w:rFonts w:ascii="Courier New" w:hAnsi="Courier New" w:cs="Courier New"/>
          <w:sz w:val="24"/>
          <w:szCs w:val="24"/>
        </w:rPr>
      </w:pPr>
    </w:p>
    <w:p w:rsidR="00AC5711" w:rsidRDefault="008668E5" w:rsidP="00C91CF4">
      <w:pPr>
        <w:spacing w:line="480" w:lineRule="auto"/>
        <w:jc w:val="both"/>
        <w:rPr>
          <w:rFonts w:ascii="Courier New" w:hAnsi="Courier New" w:cs="Courier New"/>
          <w:sz w:val="24"/>
          <w:szCs w:val="24"/>
        </w:rPr>
      </w:pPr>
      <w:r>
        <w:rPr>
          <w:rFonts w:ascii="Courier New" w:hAnsi="Courier New" w:cs="Courier New"/>
          <w:sz w:val="24"/>
          <w:szCs w:val="24"/>
        </w:rPr>
        <w:t>[</w:t>
      </w:r>
      <w:r w:rsidR="00BD4970">
        <w:rPr>
          <w:rFonts w:ascii="Courier New" w:hAnsi="Courier New" w:cs="Courier New"/>
          <w:sz w:val="24"/>
          <w:szCs w:val="24"/>
        </w:rPr>
        <w:t>24</w:t>
      </w:r>
      <w:r>
        <w:rPr>
          <w:rFonts w:ascii="Courier New" w:hAnsi="Courier New" w:cs="Courier New"/>
          <w:sz w:val="24"/>
          <w:szCs w:val="24"/>
        </w:rPr>
        <w:t xml:space="preserve">] </w:t>
      </w:r>
      <w:r w:rsidR="00AC5711">
        <w:rPr>
          <w:rFonts w:ascii="Courier New" w:hAnsi="Courier New" w:cs="Courier New"/>
          <w:sz w:val="24"/>
          <w:szCs w:val="24"/>
        </w:rPr>
        <w:t>Even if I were to accept that the award was not served on the applicant in terms of the rules of court, I am satisfied that it did not suffer any prejudice as they, by their own admission, received the award.</w:t>
      </w:r>
    </w:p>
    <w:p w:rsidR="001D7D84" w:rsidRDefault="008668E5" w:rsidP="00C91CF4">
      <w:pPr>
        <w:spacing w:line="480" w:lineRule="auto"/>
        <w:jc w:val="both"/>
        <w:rPr>
          <w:rFonts w:ascii="Courier New" w:hAnsi="Courier New" w:cs="Courier New"/>
          <w:sz w:val="24"/>
          <w:szCs w:val="24"/>
        </w:rPr>
      </w:pPr>
      <w:r>
        <w:rPr>
          <w:rFonts w:ascii="Courier New" w:hAnsi="Courier New" w:cs="Courier New"/>
          <w:sz w:val="24"/>
          <w:szCs w:val="24"/>
        </w:rPr>
        <w:t>[</w:t>
      </w:r>
      <w:r w:rsidR="00BD4970">
        <w:rPr>
          <w:rFonts w:ascii="Courier New" w:hAnsi="Courier New" w:cs="Courier New"/>
          <w:sz w:val="24"/>
          <w:szCs w:val="24"/>
        </w:rPr>
        <w:t>25</w:t>
      </w:r>
      <w:r>
        <w:rPr>
          <w:rFonts w:ascii="Courier New" w:hAnsi="Courier New" w:cs="Courier New"/>
          <w:sz w:val="24"/>
          <w:szCs w:val="24"/>
        </w:rPr>
        <w:t xml:space="preserve">] </w:t>
      </w:r>
      <w:r w:rsidR="00AC5711">
        <w:rPr>
          <w:rFonts w:ascii="Courier New" w:hAnsi="Courier New" w:cs="Courier New"/>
          <w:sz w:val="24"/>
          <w:szCs w:val="24"/>
        </w:rPr>
        <w:t>In my view</w:t>
      </w:r>
      <w:r w:rsidR="00B2341D">
        <w:rPr>
          <w:rFonts w:ascii="Courier New" w:hAnsi="Courier New" w:cs="Courier New"/>
          <w:sz w:val="24"/>
          <w:szCs w:val="24"/>
        </w:rPr>
        <w:t>,</w:t>
      </w:r>
      <w:r w:rsidR="00AC5711">
        <w:rPr>
          <w:rFonts w:ascii="Courier New" w:hAnsi="Courier New" w:cs="Courier New"/>
          <w:sz w:val="24"/>
          <w:szCs w:val="24"/>
        </w:rPr>
        <w:t xml:space="preserve"> there was substantial compliance in that the Labour Commissioner’s office called the very person who attended the arbitration hearing to collect the award</w:t>
      </w:r>
      <w:r w:rsidR="00B2341D">
        <w:rPr>
          <w:rFonts w:ascii="Courier New" w:hAnsi="Courier New" w:cs="Courier New"/>
          <w:sz w:val="24"/>
          <w:szCs w:val="24"/>
        </w:rPr>
        <w:t xml:space="preserve"> </w:t>
      </w:r>
      <w:r w:rsidR="00AC5711">
        <w:rPr>
          <w:rFonts w:ascii="Courier New" w:hAnsi="Courier New" w:cs="Courier New"/>
          <w:sz w:val="24"/>
          <w:szCs w:val="24"/>
        </w:rPr>
        <w:t>-</w:t>
      </w:r>
      <w:r w:rsidR="00B2341D">
        <w:rPr>
          <w:rFonts w:ascii="Courier New" w:hAnsi="Courier New" w:cs="Courier New"/>
          <w:sz w:val="24"/>
          <w:szCs w:val="24"/>
        </w:rPr>
        <w:t xml:space="preserve"> </w:t>
      </w:r>
      <w:r w:rsidR="00AC5711">
        <w:rPr>
          <w:rFonts w:ascii="Courier New" w:hAnsi="Courier New" w:cs="Courier New"/>
          <w:sz w:val="24"/>
          <w:szCs w:val="24"/>
        </w:rPr>
        <w:t>which she did. Similarly, although the award did not spell out the right to appeal, there was no prejudice in the applicant’s ca</w:t>
      </w:r>
      <w:r w:rsidR="00B23968">
        <w:rPr>
          <w:rFonts w:ascii="Courier New" w:hAnsi="Courier New" w:cs="Courier New"/>
          <w:sz w:val="24"/>
          <w:szCs w:val="24"/>
        </w:rPr>
        <w:t>se – a large company with an in-</w:t>
      </w:r>
      <w:r w:rsidR="00AC5711">
        <w:rPr>
          <w:rFonts w:ascii="Courier New" w:hAnsi="Courier New" w:cs="Courier New"/>
          <w:sz w:val="24"/>
          <w:szCs w:val="24"/>
        </w:rPr>
        <w:t>house legal department</w:t>
      </w:r>
      <w:r w:rsidR="00B2341D">
        <w:rPr>
          <w:rFonts w:ascii="Courier New" w:hAnsi="Courier New" w:cs="Courier New"/>
          <w:sz w:val="24"/>
          <w:szCs w:val="24"/>
        </w:rPr>
        <w:t xml:space="preserve"> </w:t>
      </w:r>
      <w:r w:rsidR="00AC5711">
        <w:rPr>
          <w:rFonts w:ascii="Courier New" w:hAnsi="Courier New" w:cs="Courier New"/>
          <w:sz w:val="24"/>
          <w:szCs w:val="24"/>
        </w:rPr>
        <w:t>-</w:t>
      </w:r>
      <w:r w:rsidR="00B2341D">
        <w:rPr>
          <w:rFonts w:ascii="Courier New" w:hAnsi="Courier New" w:cs="Courier New"/>
          <w:sz w:val="24"/>
          <w:szCs w:val="24"/>
        </w:rPr>
        <w:t xml:space="preserve"> </w:t>
      </w:r>
      <w:r w:rsidR="00AC5711">
        <w:rPr>
          <w:rFonts w:ascii="Courier New" w:hAnsi="Courier New" w:cs="Courier New"/>
          <w:sz w:val="24"/>
          <w:szCs w:val="24"/>
        </w:rPr>
        <w:t>in that its officials who received the award well within the p</w:t>
      </w:r>
      <w:r w:rsidR="00B23968">
        <w:rPr>
          <w:rFonts w:ascii="Courier New" w:hAnsi="Courier New" w:cs="Courier New"/>
          <w:sz w:val="24"/>
          <w:szCs w:val="24"/>
        </w:rPr>
        <w:t xml:space="preserve">eriod for launching the appeal, </w:t>
      </w:r>
      <w:r w:rsidR="00AC5711">
        <w:rPr>
          <w:rFonts w:ascii="Courier New" w:hAnsi="Courier New" w:cs="Courier New"/>
          <w:sz w:val="24"/>
          <w:szCs w:val="24"/>
        </w:rPr>
        <w:t>knew of the right of appeal, as evidenced by the testimony of Gertze, particularly his intimation to other colleagues of poss</w:t>
      </w:r>
      <w:r w:rsidR="00B2341D">
        <w:rPr>
          <w:rFonts w:ascii="Courier New" w:hAnsi="Courier New" w:cs="Courier New"/>
          <w:sz w:val="24"/>
          <w:szCs w:val="24"/>
        </w:rPr>
        <w:t>ible bases of appeal or review</w:t>
      </w:r>
      <w:r w:rsidR="00104EEC">
        <w:rPr>
          <w:rFonts w:ascii="Courier New" w:hAnsi="Courier New" w:cs="Courier New"/>
          <w:sz w:val="24"/>
          <w:szCs w:val="24"/>
        </w:rPr>
        <w:t>,</w:t>
      </w:r>
      <w:r w:rsidR="00B2341D">
        <w:rPr>
          <w:rFonts w:ascii="Courier New" w:hAnsi="Courier New" w:cs="Courier New"/>
          <w:sz w:val="24"/>
          <w:szCs w:val="24"/>
        </w:rPr>
        <w:t xml:space="preserve"> even before the period within which to appeal ran out.</w:t>
      </w:r>
    </w:p>
    <w:p w:rsidR="00BD4970" w:rsidRDefault="00BD4970" w:rsidP="00C91CF4">
      <w:pPr>
        <w:spacing w:line="480" w:lineRule="auto"/>
        <w:jc w:val="both"/>
        <w:rPr>
          <w:rFonts w:ascii="Courier New" w:hAnsi="Courier New" w:cs="Courier New"/>
          <w:sz w:val="24"/>
          <w:szCs w:val="24"/>
        </w:rPr>
      </w:pPr>
    </w:p>
    <w:p w:rsidR="00F909B4" w:rsidRPr="005F5BA0" w:rsidRDefault="001D7D84" w:rsidP="00E276E2">
      <w:pPr>
        <w:spacing w:line="480" w:lineRule="auto"/>
        <w:jc w:val="both"/>
        <w:rPr>
          <w:rFonts w:ascii="Courier New" w:hAnsi="Courier New" w:cs="Courier New"/>
          <w:sz w:val="24"/>
          <w:szCs w:val="24"/>
        </w:rPr>
      </w:pPr>
      <w:r w:rsidRPr="001D7D84">
        <w:rPr>
          <w:rFonts w:ascii="Courier New" w:hAnsi="Courier New" w:cs="Courier New"/>
          <w:b/>
          <w:i/>
          <w:sz w:val="24"/>
          <w:szCs w:val="24"/>
        </w:rPr>
        <w:t>Prospects of success on appeal</w:t>
      </w:r>
    </w:p>
    <w:p w:rsidR="008668E5" w:rsidRPr="005F5BA0" w:rsidRDefault="008668E5" w:rsidP="008668E5">
      <w:pPr>
        <w:spacing w:line="480" w:lineRule="auto"/>
        <w:jc w:val="both"/>
        <w:rPr>
          <w:rFonts w:ascii="Courier New" w:hAnsi="Courier New" w:cs="Courier New"/>
          <w:sz w:val="24"/>
          <w:szCs w:val="24"/>
        </w:rPr>
      </w:pPr>
      <w:r>
        <w:rPr>
          <w:rFonts w:ascii="Courier New" w:hAnsi="Courier New" w:cs="Courier New"/>
          <w:sz w:val="24"/>
          <w:szCs w:val="24"/>
        </w:rPr>
        <w:t>[</w:t>
      </w:r>
      <w:r w:rsidR="00717745">
        <w:rPr>
          <w:rFonts w:ascii="Courier New" w:hAnsi="Courier New" w:cs="Courier New"/>
          <w:sz w:val="24"/>
          <w:szCs w:val="24"/>
        </w:rPr>
        <w:t>2</w:t>
      </w:r>
      <w:r w:rsidR="00BD4970">
        <w:rPr>
          <w:rFonts w:ascii="Courier New" w:hAnsi="Courier New" w:cs="Courier New"/>
          <w:sz w:val="24"/>
          <w:szCs w:val="24"/>
        </w:rPr>
        <w:t>6</w:t>
      </w:r>
      <w:r>
        <w:rPr>
          <w:rFonts w:ascii="Courier New" w:hAnsi="Courier New" w:cs="Courier New"/>
          <w:sz w:val="24"/>
          <w:szCs w:val="24"/>
        </w:rPr>
        <w:t xml:space="preserve">] </w:t>
      </w:r>
      <w:r w:rsidRPr="005F5BA0">
        <w:rPr>
          <w:rFonts w:ascii="Courier New" w:hAnsi="Courier New" w:cs="Courier New"/>
          <w:sz w:val="24"/>
          <w:szCs w:val="24"/>
        </w:rPr>
        <w:t>The part of the Arbitrator’s award sought to be impugned on appeal reads:</w:t>
      </w:r>
    </w:p>
    <w:p w:rsidR="00E72E8D" w:rsidRDefault="008668E5" w:rsidP="008668E5">
      <w:pPr>
        <w:spacing w:line="240" w:lineRule="auto"/>
        <w:ind w:left="720"/>
        <w:jc w:val="both"/>
        <w:rPr>
          <w:rFonts w:ascii="Courier New" w:hAnsi="Courier New" w:cs="Courier New"/>
        </w:rPr>
      </w:pPr>
      <w:r w:rsidRPr="005F5BA0">
        <w:rPr>
          <w:rFonts w:ascii="Courier New" w:hAnsi="Courier New" w:cs="Courier New"/>
          <w:sz w:val="24"/>
          <w:szCs w:val="24"/>
        </w:rPr>
        <w:lastRenderedPageBreak/>
        <w:t>“</w:t>
      </w:r>
      <w:r w:rsidRPr="00B23968">
        <w:rPr>
          <w:rFonts w:ascii="Courier New" w:hAnsi="Courier New" w:cs="Courier New"/>
          <w:i/>
        </w:rPr>
        <w:t>that Telecom shall pay to each of the respondents an amount in respect of severance and accrued leave pay</w:t>
      </w:r>
      <w:r w:rsidRPr="00B23968">
        <w:rPr>
          <w:rFonts w:ascii="Courier New" w:hAnsi="Courier New" w:cs="Courier New"/>
        </w:rPr>
        <w:t>”.</w:t>
      </w:r>
    </w:p>
    <w:p w:rsidR="00E72E8D" w:rsidRPr="00B23968" w:rsidRDefault="00E72E8D" w:rsidP="008668E5">
      <w:pPr>
        <w:spacing w:line="240" w:lineRule="auto"/>
        <w:ind w:left="720"/>
        <w:jc w:val="both"/>
        <w:rPr>
          <w:rFonts w:ascii="Courier New" w:hAnsi="Courier New" w:cs="Courier New"/>
        </w:rPr>
      </w:pPr>
    </w:p>
    <w:p w:rsidR="008668E5" w:rsidRDefault="008668E5" w:rsidP="00E72E8D">
      <w:pPr>
        <w:spacing w:line="480" w:lineRule="auto"/>
        <w:jc w:val="both"/>
        <w:rPr>
          <w:rFonts w:ascii="Courier New" w:hAnsi="Courier New" w:cs="Courier New"/>
          <w:sz w:val="24"/>
          <w:szCs w:val="24"/>
        </w:rPr>
      </w:pPr>
      <w:r w:rsidRPr="00293A55">
        <w:rPr>
          <w:rFonts w:ascii="Courier New" w:hAnsi="Courier New" w:cs="Courier New"/>
          <w:sz w:val="24"/>
          <w:szCs w:val="24"/>
        </w:rPr>
        <w:t>The award includes an order in the following terms:</w:t>
      </w:r>
    </w:p>
    <w:p w:rsidR="008A65FE" w:rsidRDefault="00B23968" w:rsidP="00104EEC">
      <w:pPr>
        <w:spacing w:line="240" w:lineRule="auto"/>
        <w:jc w:val="both"/>
        <w:rPr>
          <w:rFonts w:ascii="Courier New" w:hAnsi="Courier New" w:cs="Courier New"/>
          <w:sz w:val="24"/>
          <w:szCs w:val="24"/>
        </w:rPr>
      </w:pPr>
      <w:r>
        <w:rPr>
          <w:rFonts w:ascii="Courier New" w:hAnsi="Courier New" w:cs="Courier New"/>
          <w:sz w:val="24"/>
          <w:szCs w:val="24"/>
        </w:rPr>
        <w:t>“</w:t>
      </w:r>
      <w:r w:rsidR="008668E5" w:rsidRPr="00293A55">
        <w:rPr>
          <w:rFonts w:ascii="Courier New" w:hAnsi="Courier New" w:cs="Courier New"/>
          <w:i/>
          <w:sz w:val="24"/>
          <w:szCs w:val="24"/>
        </w:rPr>
        <w:t>The said amount to be paid at the office of the Labour Commissioner on or before the 30</w:t>
      </w:r>
      <w:r w:rsidR="008668E5" w:rsidRPr="00293A55">
        <w:rPr>
          <w:rFonts w:ascii="Courier New" w:hAnsi="Courier New" w:cs="Courier New"/>
          <w:i/>
          <w:sz w:val="24"/>
          <w:szCs w:val="24"/>
          <w:vertAlign w:val="superscript"/>
        </w:rPr>
        <w:t>th</w:t>
      </w:r>
      <w:r w:rsidR="008668E5" w:rsidRPr="00293A55">
        <w:rPr>
          <w:rFonts w:ascii="Courier New" w:hAnsi="Courier New" w:cs="Courier New"/>
          <w:i/>
          <w:sz w:val="24"/>
          <w:szCs w:val="24"/>
        </w:rPr>
        <w:t xml:space="preserve"> of April 2009</w:t>
      </w:r>
      <w:r>
        <w:rPr>
          <w:rFonts w:ascii="Courier New" w:hAnsi="Courier New" w:cs="Courier New"/>
          <w:sz w:val="24"/>
          <w:szCs w:val="24"/>
        </w:rPr>
        <w:t>.”</w:t>
      </w:r>
    </w:p>
    <w:p w:rsidR="00104EEC" w:rsidRPr="005F5BA0" w:rsidRDefault="00104EEC" w:rsidP="00104EEC">
      <w:pPr>
        <w:spacing w:line="240" w:lineRule="auto"/>
        <w:jc w:val="both"/>
        <w:rPr>
          <w:rFonts w:ascii="Courier New" w:hAnsi="Courier New" w:cs="Courier New"/>
          <w:sz w:val="24"/>
          <w:szCs w:val="24"/>
        </w:rPr>
      </w:pPr>
    </w:p>
    <w:p w:rsidR="00874292" w:rsidRPr="005F5BA0" w:rsidRDefault="00B23968" w:rsidP="00874292">
      <w:pPr>
        <w:spacing w:line="480" w:lineRule="auto"/>
        <w:jc w:val="both"/>
        <w:rPr>
          <w:rFonts w:ascii="Courier New" w:hAnsi="Courier New" w:cs="Courier New"/>
          <w:sz w:val="24"/>
          <w:szCs w:val="24"/>
        </w:rPr>
      </w:pPr>
      <w:r>
        <w:rPr>
          <w:rFonts w:ascii="Courier New" w:hAnsi="Courier New" w:cs="Courier New"/>
          <w:sz w:val="24"/>
          <w:szCs w:val="24"/>
        </w:rPr>
        <w:t>[</w:t>
      </w:r>
      <w:r w:rsidR="00B04168">
        <w:rPr>
          <w:rFonts w:ascii="Courier New" w:hAnsi="Courier New" w:cs="Courier New"/>
          <w:sz w:val="24"/>
          <w:szCs w:val="24"/>
        </w:rPr>
        <w:t>2</w:t>
      </w:r>
      <w:r w:rsidR="00BD4970">
        <w:rPr>
          <w:rFonts w:ascii="Courier New" w:hAnsi="Courier New" w:cs="Courier New"/>
          <w:sz w:val="24"/>
          <w:szCs w:val="24"/>
        </w:rPr>
        <w:t>7</w:t>
      </w:r>
      <w:r w:rsidR="008668E5">
        <w:rPr>
          <w:rFonts w:ascii="Courier New" w:hAnsi="Courier New" w:cs="Courier New"/>
          <w:sz w:val="24"/>
          <w:szCs w:val="24"/>
        </w:rPr>
        <w:t xml:space="preserve">] </w:t>
      </w:r>
      <w:r w:rsidR="00874292" w:rsidRPr="005F5BA0">
        <w:rPr>
          <w:rFonts w:ascii="Courier New" w:hAnsi="Courier New" w:cs="Courier New"/>
          <w:sz w:val="24"/>
          <w:szCs w:val="24"/>
        </w:rPr>
        <w:t xml:space="preserve">The respondent’s case before the arbitrator was that they were employed as technical assistants since 2000 on ‘fixed term renewable contracts’ for the period 2000-2008 and were, upon their services with the applicant being terminated, entitled to severance on account of their services to the applicant. Since </w:t>
      </w:r>
      <w:r w:rsidR="003320DD">
        <w:rPr>
          <w:rFonts w:ascii="Courier New" w:hAnsi="Courier New" w:cs="Courier New"/>
          <w:sz w:val="24"/>
          <w:szCs w:val="24"/>
        </w:rPr>
        <w:t>T</w:t>
      </w:r>
      <w:r w:rsidR="00874292" w:rsidRPr="005F5BA0">
        <w:rPr>
          <w:rFonts w:ascii="Courier New" w:hAnsi="Courier New" w:cs="Courier New"/>
          <w:sz w:val="24"/>
          <w:szCs w:val="24"/>
        </w:rPr>
        <w:t>elecom ha</w:t>
      </w:r>
      <w:r w:rsidR="003320DD">
        <w:rPr>
          <w:rFonts w:ascii="Courier New" w:hAnsi="Courier New" w:cs="Courier New"/>
          <w:sz w:val="24"/>
          <w:szCs w:val="24"/>
        </w:rPr>
        <w:t>d</w:t>
      </w:r>
      <w:r w:rsidR="00874292" w:rsidRPr="005F5BA0">
        <w:rPr>
          <w:rFonts w:ascii="Courier New" w:hAnsi="Courier New" w:cs="Courier New"/>
          <w:sz w:val="24"/>
          <w:szCs w:val="24"/>
        </w:rPr>
        <w:t xml:space="preserve"> made clear to them that it was no longer going to employ them, the respondents claimed severance</w:t>
      </w:r>
      <w:r w:rsidR="00104EEC">
        <w:rPr>
          <w:rFonts w:ascii="Courier New" w:hAnsi="Courier New" w:cs="Courier New"/>
          <w:sz w:val="24"/>
          <w:szCs w:val="24"/>
        </w:rPr>
        <w:t xml:space="preserve"> pay of 10 years from 2000-2008:</w:t>
      </w:r>
      <w:r w:rsidR="00874292" w:rsidRPr="005F5BA0">
        <w:rPr>
          <w:rFonts w:ascii="Courier New" w:hAnsi="Courier New" w:cs="Courier New"/>
          <w:sz w:val="24"/>
          <w:szCs w:val="24"/>
        </w:rPr>
        <w:t xml:space="preserve"> 2 weeks for each year worked.</w:t>
      </w:r>
    </w:p>
    <w:p w:rsidR="008F59E7" w:rsidRPr="005F5BA0" w:rsidRDefault="008668E5" w:rsidP="00874292">
      <w:pPr>
        <w:spacing w:line="480" w:lineRule="auto"/>
        <w:jc w:val="both"/>
        <w:rPr>
          <w:rFonts w:ascii="Courier New" w:hAnsi="Courier New" w:cs="Courier New"/>
          <w:sz w:val="24"/>
          <w:szCs w:val="24"/>
        </w:rPr>
      </w:pPr>
      <w:r>
        <w:rPr>
          <w:rFonts w:ascii="Courier New" w:hAnsi="Courier New" w:cs="Courier New"/>
          <w:sz w:val="24"/>
          <w:szCs w:val="24"/>
        </w:rPr>
        <w:t>[</w:t>
      </w:r>
      <w:r w:rsidR="00B04168">
        <w:rPr>
          <w:rFonts w:ascii="Courier New" w:hAnsi="Courier New" w:cs="Courier New"/>
          <w:sz w:val="24"/>
          <w:szCs w:val="24"/>
        </w:rPr>
        <w:t>2</w:t>
      </w:r>
      <w:r w:rsidR="00BD4970">
        <w:rPr>
          <w:rFonts w:ascii="Courier New" w:hAnsi="Courier New" w:cs="Courier New"/>
          <w:sz w:val="24"/>
          <w:szCs w:val="24"/>
        </w:rPr>
        <w:t>8</w:t>
      </w:r>
      <w:r>
        <w:rPr>
          <w:rFonts w:ascii="Courier New" w:hAnsi="Courier New" w:cs="Courier New"/>
          <w:sz w:val="24"/>
          <w:szCs w:val="24"/>
        </w:rPr>
        <w:t xml:space="preserve">] </w:t>
      </w:r>
      <w:r w:rsidR="00874292" w:rsidRPr="005F5BA0">
        <w:rPr>
          <w:rFonts w:ascii="Courier New" w:hAnsi="Courier New" w:cs="Courier New"/>
          <w:sz w:val="24"/>
          <w:szCs w:val="24"/>
        </w:rPr>
        <w:t xml:space="preserve">On the contrary, the applicant’s case was, and remains, that for the years that the respondents rendered services to </w:t>
      </w:r>
      <w:r w:rsidR="000565CF" w:rsidRPr="005F5BA0">
        <w:rPr>
          <w:rFonts w:ascii="Courier New" w:hAnsi="Courier New" w:cs="Courier New"/>
          <w:sz w:val="24"/>
          <w:szCs w:val="24"/>
        </w:rPr>
        <w:t>it;</w:t>
      </w:r>
      <w:r w:rsidR="00874292" w:rsidRPr="005F5BA0">
        <w:rPr>
          <w:rFonts w:ascii="Courier New" w:hAnsi="Courier New" w:cs="Courier New"/>
          <w:sz w:val="24"/>
          <w:szCs w:val="24"/>
        </w:rPr>
        <w:t xml:space="preserve"> they did so as employees of </w:t>
      </w:r>
      <w:r w:rsidR="003320DD">
        <w:rPr>
          <w:rFonts w:ascii="Courier New" w:hAnsi="Courier New" w:cs="Courier New"/>
          <w:sz w:val="24"/>
          <w:szCs w:val="24"/>
        </w:rPr>
        <w:t>Africa Personnel Services (</w:t>
      </w:r>
      <w:r w:rsidR="00874292" w:rsidRPr="005F5BA0">
        <w:rPr>
          <w:rFonts w:ascii="Courier New" w:hAnsi="Courier New" w:cs="Courier New"/>
          <w:sz w:val="24"/>
          <w:szCs w:val="24"/>
        </w:rPr>
        <w:t>APS</w:t>
      </w:r>
      <w:r w:rsidR="003320DD">
        <w:rPr>
          <w:rFonts w:ascii="Courier New" w:hAnsi="Courier New" w:cs="Courier New"/>
          <w:sz w:val="24"/>
          <w:szCs w:val="24"/>
        </w:rPr>
        <w:t>)</w:t>
      </w:r>
      <w:r w:rsidR="00874292" w:rsidRPr="005F5BA0">
        <w:rPr>
          <w:rFonts w:ascii="Courier New" w:hAnsi="Courier New" w:cs="Courier New"/>
          <w:sz w:val="24"/>
          <w:szCs w:val="24"/>
        </w:rPr>
        <w:t xml:space="preserve"> until later directly </w:t>
      </w:r>
      <w:r w:rsidR="003320DD">
        <w:rPr>
          <w:rFonts w:ascii="Courier New" w:hAnsi="Courier New" w:cs="Courier New"/>
          <w:sz w:val="24"/>
          <w:szCs w:val="24"/>
        </w:rPr>
        <w:t xml:space="preserve">engaged </w:t>
      </w:r>
      <w:r w:rsidR="00104EEC">
        <w:rPr>
          <w:rFonts w:ascii="Courier New" w:hAnsi="Courier New" w:cs="Courier New"/>
          <w:sz w:val="24"/>
          <w:szCs w:val="24"/>
        </w:rPr>
        <w:t>by T</w:t>
      </w:r>
      <w:r w:rsidR="00874292" w:rsidRPr="005F5BA0">
        <w:rPr>
          <w:rFonts w:ascii="Courier New" w:hAnsi="Courier New" w:cs="Courier New"/>
          <w:sz w:val="24"/>
          <w:szCs w:val="24"/>
        </w:rPr>
        <w:t xml:space="preserve">elecom. It maintains that there was no promise of their permanent employment. </w:t>
      </w:r>
      <w:r w:rsidR="003320DD">
        <w:rPr>
          <w:rFonts w:ascii="Courier New" w:hAnsi="Courier New" w:cs="Courier New"/>
          <w:sz w:val="24"/>
          <w:szCs w:val="24"/>
        </w:rPr>
        <w:t xml:space="preserve">The applicant/ appellant </w:t>
      </w:r>
      <w:r w:rsidR="00874292" w:rsidRPr="005F5BA0">
        <w:rPr>
          <w:rFonts w:ascii="Courier New" w:hAnsi="Courier New" w:cs="Courier New"/>
          <w:sz w:val="24"/>
          <w:szCs w:val="24"/>
        </w:rPr>
        <w:t xml:space="preserve">maintains further that it had no </w:t>
      </w:r>
      <w:r w:rsidR="00062872" w:rsidRPr="005F5BA0">
        <w:rPr>
          <w:rFonts w:ascii="Courier New" w:hAnsi="Courier New" w:cs="Courier New"/>
          <w:sz w:val="24"/>
          <w:szCs w:val="24"/>
        </w:rPr>
        <w:t>difficulty</w:t>
      </w:r>
      <w:r w:rsidR="00874292" w:rsidRPr="005F5BA0">
        <w:rPr>
          <w:rFonts w:ascii="Courier New" w:hAnsi="Courier New" w:cs="Courier New"/>
          <w:sz w:val="24"/>
          <w:szCs w:val="24"/>
        </w:rPr>
        <w:t xml:space="preserve"> paying for accrued leave, except that the employees could not</w:t>
      </w:r>
      <w:r w:rsidR="00062872" w:rsidRPr="005F5BA0">
        <w:rPr>
          <w:rFonts w:ascii="Courier New" w:hAnsi="Courier New" w:cs="Courier New"/>
          <w:sz w:val="24"/>
          <w:szCs w:val="24"/>
        </w:rPr>
        <w:t xml:space="preserve"> tell how much accrued days each was owed.</w:t>
      </w:r>
    </w:p>
    <w:p w:rsidR="00C45B17" w:rsidRDefault="008668E5" w:rsidP="006E1AF7">
      <w:pPr>
        <w:spacing w:line="480" w:lineRule="auto"/>
        <w:jc w:val="both"/>
        <w:rPr>
          <w:rFonts w:ascii="Courier New" w:hAnsi="Courier New" w:cs="Courier New"/>
          <w:sz w:val="24"/>
          <w:szCs w:val="24"/>
        </w:rPr>
      </w:pPr>
      <w:r>
        <w:rPr>
          <w:rFonts w:ascii="Courier New" w:hAnsi="Courier New" w:cs="Courier New"/>
          <w:sz w:val="24"/>
          <w:szCs w:val="24"/>
        </w:rPr>
        <w:lastRenderedPageBreak/>
        <w:t>[</w:t>
      </w:r>
      <w:r w:rsidR="00B04168">
        <w:rPr>
          <w:rFonts w:ascii="Courier New" w:hAnsi="Courier New" w:cs="Courier New"/>
          <w:sz w:val="24"/>
          <w:szCs w:val="24"/>
        </w:rPr>
        <w:t>2</w:t>
      </w:r>
      <w:r w:rsidR="00BD4970">
        <w:rPr>
          <w:rFonts w:ascii="Courier New" w:hAnsi="Courier New" w:cs="Courier New"/>
          <w:sz w:val="24"/>
          <w:szCs w:val="24"/>
        </w:rPr>
        <w:t>9</w:t>
      </w:r>
      <w:r>
        <w:rPr>
          <w:rFonts w:ascii="Courier New" w:hAnsi="Courier New" w:cs="Courier New"/>
          <w:sz w:val="24"/>
          <w:szCs w:val="24"/>
        </w:rPr>
        <w:t xml:space="preserve">] </w:t>
      </w:r>
      <w:r w:rsidR="00B2341D">
        <w:rPr>
          <w:rFonts w:ascii="Courier New" w:hAnsi="Courier New" w:cs="Courier New"/>
          <w:sz w:val="24"/>
          <w:szCs w:val="24"/>
        </w:rPr>
        <w:t xml:space="preserve">The applicant / appellant </w:t>
      </w:r>
      <w:r w:rsidR="00062872" w:rsidRPr="005F5BA0">
        <w:rPr>
          <w:rFonts w:ascii="Courier New" w:hAnsi="Courier New" w:cs="Courier New"/>
          <w:sz w:val="24"/>
          <w:szCs w:val="24"/>
        </w:rPr>
        <w:t>further maintains that already in September 2008, the respondents knew that their service</w:t>
      </w:r>
      <w:r w:rsidR="00336050" w:rsidRPr="005F5BA0">
        <w:rPr>
          <w:rFonts w:ascii="Courier New" w:hAnsi="Courier New" w:cs="Courier New"/>
          <w:sz w:val="24"/>
          <w:szCs w:val="24"/>
        </w:rPr>
        <w:t xml:space="preserve">s were required </w:t>
      </w:r>
      <w:r w:rsidR="00B2341D">
        <w:rPr>
          <w:rFonts w:ascii="Courier New" w:hAnsi="Courier New" w:cs="Courier New"/>
          <w:sz w:val="24"/>
          <w:szCs w:val="24"/>
        </w:rPr>
        <w:t>only until December 2008</w:t>
      </w:r>
      <w:r w:rsidR="003320DD">
        <w:rPr>
          <w:rFonts w:ascii="Courier New" w:hAnsi="Courier New" w:cs="Courier New"/>
          <w:sz w:val="24"/>
          <w:szCs w:val="24"/>
        </w:rPr>
        <w:t xml:space="preserve"> and </w:t>
      </w:r>
      <w:r w:rsidR="00B2341D">
        <w:rPr>
          <w:rFonts w:ascii="Courier New" w:hAnsi="Courier New" w:cs="Courier New"/>
          <w:sz w:val="24"/>
          <w:szCs w:val="24"/>
        </w:rPr>
        <w:t xml:space="preserve">that </w:t>
      </w:r>
      <w:r w:rsidR="00336050" w:rsidRPr="005F5BA0">
        <w:rPr>
          <w:rFonts w:ascii="Courier New" w:hAnsi="Courier New" w:cs="Courier New"/>
          <w:sz w:val="24"/>
          <w:szCs w:val="24"/>
        </w:rPr>
        <w:t>the accrued leave claimed was already paid out to the applicants, together with their bonuses, in December 2008.</w:t>
      </w:r>
      <w:r w:rsidR="00AD5948">
        <w:rPr>
          <w:rFonts w:ascii="Courier New" w:hAnsi="Courier New" w:cs="Courier New"/>
          <w:sz w:val="24"/>
          <w:szCs w:val="24"/>
        </w:rPr>
        <w:t xml:space="preserve"> </w:t>
      </w:r>
      <w:r w:rsidR="00336050" w:rsidRPr="005F5BA0">
        <w:rPr>
          <w:rFonts w:ascii="Courier New" w:hAnsi="Courier New" w:cs="Courier New"/>
          <w:sz w:val="24"/>
          <w:szCs w:val="24"/>
        </w:rPr>
        <w:t xml:space="preserve">As regards severance pay, </w:t>
      </w:r>
      <w:r w:rsidR="003320DD">
        <w:rPr>
          <w:rFonts w:ascii="Courier New" w:hAnsi="Courier New" w:cs="Courier New"/>
          <w:sz w:val="24"/>
          <w:szCs w:val="24"/>
        </w:rPr>
        <w:t xml:space="preserve">the applicant/ appellant </w:t>
      </w:r>
      <w:r w:rsidR="00336050" w:rsidRPr="005F5BA0">
        <w:rPr>
          <w:rFonts w:ascii="Courier New" w:hAnsi="Courier New" w:cs="Courier New"/>
          <w:sz w:val="24"/>
          <w:szCs w:val="24"/>
        </w:rPr>
        <w:t>maintains that the respondents were not entitled thereto because they were on fixed term contracts and were not employed continuously for 12 months</w:t>
      </w:r>
      <w:r w:rsidR="003320DD">
        <w:rPr>
          <w:rFonts w:ascii="Courier New" w:hAnsi="Courier New" w:cs="Courier New"/>
          <w:sz w:val="24"/>
          <w:szCs w:val="24"/>
        </w:rPr>
        <w:t xml:space="preserve"> or more</w:t>
      </w:r>
      <w:r w:rsidR="00336050" w:rsidRPr="005F5BA0">
        <w:rPr>
          <w:rFonts w:ascii="Courier New" w:hAnsi="Courier New" w:cs="Courier New"/>
          <w:sz w:val="24"/>
          <w:szCs w:val="24"/>
        </w:rPr>
        <w:t xml:space="preserve"> </w:t>
      </w:r>
      <w:r w:rsidR="003320DD">
        <w:rPr>
          <w:rFonts w:ascii="Courier New" w:hAnsi="Courier New" w:cs="Courier New"/>
          <w:sz w:val="24"/>
          <w:szCs w:val="24"/>
        </w:rPr>
        <w:t xml:space="preserve">on </w:t>
      </w:r>
      <w:r w:rsidR="00336050" w:rsidRPr="005F5BA0">
        <w:rPr>
          <w:rFonts w:ascii="Courier New" w:hAnsi="Courier New" w:cs="Courier New"/>
          <w:sz w:val="24"/>
          <w:szCs w:val="24"/>
        </w:rPr>
        <w:t>any given extended contract.</w:t>
      </w:r>
    </w:p>
    <w:p w:rsidR="00B23968" w:rsidRDefault="00B23968" w:rsidP="006E1AF7">
      <w:pPr>
        <w:spacing w:line="480" w:lineRule="auto"/>
        <w:jc w:val="both"/>
        <w:rPr>
          <w:rFonts w:ascii="Courier New" w:hAnsi="Courier New" w:cs="Courier New"/>
          <w:sz w:val="24"/>
          <w:szCs w:val="24"/>
        </w:rPr>
      </w:pPr>
    </w:p>
    <w:p w:rsidR="00B2341D" w:rsidRDefault="008668E5" w:rsidP="006E1AF7">
      <w:pPr>
        <w:spacing w:line="480" w:lineRule="auto"/>
        <w:jc w:val="both"/>
        <w:rPr>
          <w:rFonts w:ascii="Courier New" w:hAnsi="Courier New" w:cs="Courier New"/>
          <w:sz w:val="24"/>
          <w:szCs w:val="24"/>
        </w:rPr>
      </w:pPr>
      <w:r>
        <w:rPr>
          <w:rFonts w:ascii="Courier New" w:hAnsi="Courier New" w:cs="Courier New"/>
          <w:sz w:val="24"/>
          <w:szCs w:val="24"/>
        </w:rPr>
        <w:t>[</w:t>
      </w:r>
      <w:r w:rsidR="00BD4970">
        <w:rPr>
          <w:rFonts w:ascii="Courier New" w:hAnsi="Courier New" w:cs="Courier New"/>
          <w:sz w:val="24"/>
          <w:szCs w:val="24"/>
        </w:rPr>
        <w:t>30</w:t>
      </w:r>
      <w:r>
        <w:rPr>
          <w:rFonts w:ascii="Courier New" w:hAnsi="Courier New" w:cs="Courier New"/>
          <w:sz w:val="24"/>
          <w:szCs w:val="24"/>
        </w:rPr>
        <w:t xml:space="preserve">] </w:t>
      </w:r>
      <w:r w:rsidR="003320DD">
        <w:rPr>
          <w:rFonts w:ascii="Courier New" w:hAnsi="Courier New" w:cs="Courier New"/>
          <w:sz w:val="24"/>
          <w:szCs w:val="24"/>
        </w:rPr>
        <w:t xml:space="preserve">The </w:t>
      </w:r>
      <w:r w:rsidR="00B2341D">
        <w:rPr>
          <w:rFonts w:ascii="Courier New" w:hAnsi="Courier New" w:cs="Courier New"/>
          <w:sz w:val="24"/>
          <w:szCs w:val="24"/>
        </w:rPr>
        <w:t xml:space="preserve">arbitrator </w:t>
      </w:r>
      <w:r w:rsidR="001D1AAC">
        <w:rPr>
          <w:rFonts w:ascii="Courier New" w:hAnsi="Courier New" w:cs="Courier New"/>
          <w:sz w:val="24"/>
          <w:szCs w:val="24"/>
        </w:rPr>
        <w:t xml:space="preserve">found as </w:t>
      </w:r>
      <w:r w:rsidR="00B2341D">
        <w:rPr>
          <w:rFonts w:ascii="Courier New" w:hAnsi="Courier New" w:cs="Courier New"/>
          <w:sz w:val="24"/>
          <w:szCs w:val="24"/>
        </w:rPr>
        <w:t>follow</w:t>
      </w:r>
      <w:r w:rsidR="001D1AAC">
        <w:rPr>
          <w:rFonts w:ascii="Courier New" w:hAnsi="Courier New" w:cs="Courier New"/>
          <w:sz w:val="24"/>
          <w:szCs w:val="24"/>
        </w:rPr>
        <w:t>s</w:t>
      </w:r>
      <w:r w:rsidR="00B2341D">
        <w:rPr>
          <w:rFonts w:ascii="Courier New" w:hAnsi="Courier New" w:cs="Courier New"/>
          <w:sz w:val="24"/>
          <w:szCs w:val="24"/>
        </w:rPr>
        <w:t>:</w:t>
      </w:r>
    </w:p>
    <w:p w:rsidR="001D1AAC" w:rsidRDefault="00B23968" w:rsidP="00B23968">
      <w:pPr>
        <w:spacing w:line="240" w:lineRule="auto"/>
        <w:ind w:left="720"/>
        <w:jc w:val="both"/>
        <w:rPr>
          <w:rFonts w:ascii="Courier New" w:hAnsi="Courier New" w:cs="Courier New"/>
        </w:rPr>
      </w:pPr>
      <w:r>
        <w:rPr>
          <w:rFonts w:ascii="Courier New" w:hAnsi="Courier New" w:cs="Courier New"/>
        </w:rPr>
        <w:t>“</w:t>
      </w:r>
      <w:r w:rsidR="001D1AAC" w:rsidRPr="00B23968">
        <w:rPr>
          <w:rFonts w:ascii="Courier New" w:hAnsi="Courier New" w:cs="Courier New"/>
        </w:rPr>
        <w:t>The claim by the respondent that the applicants were for many years not Telecom employees, but that of the Africa Personnel Services, was discounted by documentary evidence, in form of pay slips, submitted by the applicants as evidence. By 2000 already they were receiving salaries from (Telecom) respondent, as the pay slip borne Telecom emblem (sic). One question one would ask is if these contract employees were not employees of Telecom Namibia, by 2000, why did Telecom Namibia bothered to pay employ</w:t>
      </w:r>
      <w:r w:rsidRPr="00B23968">
        <w:rPr>
          <w:rFonts w:ascii="Courier New" w:hAnsi="Courier New" w:cs="Courier New"/>
        </w:rPr>
        <w:t>ees employed by somebody else?”</w:t>
      </w:r>
    </w:p>
    <w:p w:rsidR="00B23968" w:rsidRPr="008668E5" w:rsidRDefault="00B23968" w:rsidP="00B23968">
      <w:pPr>
        <w:spacing w:line="240" w:lineRule="auto"/>
        <w:ind w:left="720"/>
        <w:jc w:val="both"/>
        <w:rPr>
          <w:rFonts w:ascii="Courier New" w:hAnsi="Courier New" w:cs="Courier New"/>
        </w:rPr>
      </w:pPr>
    </w:p>
    <w:p w:rsidR="001D1AAC" w:rsidRDefault="008668E5" w:rsidP="006E1AF7">
      <w:pPr>
        <w:spacing w:line="480" w:lineRule="auto"/>
        <w:jc w:val="both"/>
        <w:rPr>
          <w:rFonts w:ascii="Courier New" w:hAnsi="Courier New" w:cs="Courier New"/>
          <w:sz w:val="24"/>
          <w:szCs w:val="24"/>
        </w:rPr>
      </w:pPr>
      <w:r>
        <w:rPr>
          <w:rFonts w:ascii="Courier New" w:hAnsi="Courier New" w:cs="Courier New"/>
          <w:sz w:val="24"/>
          <w:szCs w:val="24"/>
        </w:rPr>
        <w:t>[</w:t>
      </w:r>
      <w:r w:rsidR="00BD4970">
        <w:rPr>
          <w:rFonts w:ascii="Courier New" w:hAnsi="Courier New" w:cs="Courier New"/>
          <w:sz w:val="24"/>
          <w:szCs w:val="24"/>
        </w:rPr>
        <w:t>31</w:t>
      </w:r>
      <w:r>
        <w:rPr>
          <w:rFonts w:ascii="Courier New" w:hAnsi="Courier New" w:cs="Courier New"/>
          <w:sz w:val="24"/>
          <w:szCs w:val="24"/>
        </w:rPr>
        <w:t xml:space="preserve">] </w:t>
      </w:r>
      <w:r w:rsidR="001D1AAC">
        <w:rPr>
          <w:rFonts w:ascii="Courier New" w:hAnsi="Courier New" w:cs="Courier New"/>
          <w:sz w:val="24"/>
          <w:szCs w:val="24"/>
        </w:rPr>
        <w:t>Th</w:t>
      </w:r>
      <w:r>
        <w:rPr>
          <w:rFonts w:ascii="Courier New" w:hAnsi="Courier New" w:cs="Courier New"/>
          <w:sz w:val="24"/>
          <w:szCs w:val="24"/>
        </w:rPr>
        <w:t xml:space="preserve">is </w:t>
      </w:r>
      <w:r w:rsidR="001D1AAC">
        <w:rPr>
          <w:rFonts w:ascii="Courier New" w:hAnsi="Courier New" w:cs="Courier New"/>
          <w:sz w:val="24"/>
          <w:szCs w:val="24"/>
        </w:rPr>
        <w:t>logic and reasoning is difficult to fault, particularly if regard is had to the following factual finding by the arbitrator:</w:t>
      </w:r>
    </w:p>
    <w:p w:rsidR="00AD5948" w:rsidRPr="005F5BA0" w:rsidRDefault="00DF3B8A" w:rsidP="00104EEC">
      <w:pPr>
        <w:spacing w:line="480" w:lineRule="auto"/>
        <w:ind w:left="720"/>
        <w:jc w:val="both"/>
        <w:rPr>
          <w:rFonts w:ascii="Courier New" w:hAnsi="Courier New" w:cs="Courier New"/>
          <w:sz w:val="24"/>
          <w:szCs w:val="24"/>
        </w:rPr>
      </w:pPr>
      <w:r>
        <w:rPr>
          <w:rFonts w:ascii="Courier New" w:hAnsi="Courier New" w:cs="Courier New"/>
        </w:rPr>
        <w:t>“</w:t>
      </w:r>
      <w:r w:rsidR="001D1AAC" w:rsidRPr="008668E5">
        <w:rPr>
          <w:rFonts w:ascii="Courier New" w:hAnsi="Courier New" w:cs="Courier New"/>
        </w:rPr>
        <w:t>What makes this case difficult is the absence of clear records</w:t>
      </w:r>
      <w:r w:rsidR="00093D6A" w:rsidRPr="008668E5">
        <w:rPr>
          <w:rFonts w:ascii="Courier New" w:hAnsi="Courier New" w:cs="Courier New"/>
        </w:rPr>
        <w:t>. Such records could be useful, especially when it come to issues as accrued leave days and severance allowance.</w:t>
      </w:r>
      <w:r>
        <w:rPr>
          <w:rFonts w:ascii="Courier New" w:hAnsi="Courier New" w:cs="Courier New"/>
        </w:rPr>
        <w:t>”</w:t>
      </w:r>
    </w:p>
    <w:p w:rsidR="005F5BA0" w:rsidRDefault="008668E5" w:rsidP="005F5BA0">
      <w:pPr>
        <w:spacing w:line="480" w:lineRule="auto"/>
        <w:jc w:val="both"/>
        <w:rPr>
          <w:rFonts w:ascii="Courier New" w:hAnsi="Courier New" w:cs="Courier New"/>
          <w:sz w:val="24"/>
          <w:szCs w:val="24"/>
        </w:rPr>
      </w:pPr>
      <w:r>
        <w:rPr>
          <w:rFonts w:ascii="Courier New" w:hAnsi="Courier New" w:cs="Courier New"/>
          <w:sz w:val="24"/>
          <w:szCs w:val="24"/>
        </w:rPr>
        <w:lastRenderedPageBreak/>
        <w:t>[</w:t>
      </w:r>
      <w:r w:rsidR="00717745">
        <w:rPr>
          <w:rFonts w:ascii="Courier New" w:hAnsi="Courier New" w:cs="Courier New"/>
          <w:sz w:val="24"/>
          <w:szCs w:val="24"/>
        </w:rPr>
        <w:t>3</w:t>
      </w:r>
      <w:r w:rsidR="00BD4970">
        <w:rPr>
          <w:rFonts w:ascii="Courier New" w:hAnsi="Courier New" w:cs="Courier New"/>
          <w:sz w:val="24"/>
          <w:szCs w:val="24"/>
        </w:rPr>
        <w:t>2</w:t>
      </w:r>
      <w:r>
        <w:rPr>
          <w:rFonts w:ascii="Courier New" w:hAnsi="Courier New" w:cs="Courier New"/>
          <w:sz w:val="24"/>
          <w:szCs w:val="24"/>
        </w:rPr>
        <w:t xml:space="preserve">] </w:t>
      </w:r>
      <w:r w:rsidR="00093D6A" w:rsidRPr="00093D6A">
        <w:rPr>
          <w:rFonts w:ascii="Courier New" w:hAnsi="Courier New" w:cs="Courier New"/>
          <w:sz w:val="24"/>
          <w:szCs w:val="24"/>
        </w:rPr>
        <w:t>The applicant’s conduct and admission of liability in respect of accrued</w:t>
      </w:r>
      <w:r w:rsidR="00104EEC">
        <w:rPr>
          <w:rFonts w:ascii="Courier New" w:hAnsi="Courier New" w:cs="Courier New"/>
          <w:sz w:val="24"/>
          <w:szCs w:val="24"/>
        </w:rPr>
        <w:t xml:space="preserve"> leave</w:t>
      </w:r>
      <w:r w:rsidR="00093D6A" w:rsidRPr="00093D6A">
        <w:rPr>
          <w:rFonts w:ascii="Courier New" w:hAnsi="Courier New" w:cs="Courier New"/>
          <w:sz w:val="24"/>
          <w:szCs w:val="24"/>
        </w:rPr>
        <w:t xml:space="preserve"> </w:t>
      </w:r>
      <w:r w:rsidR="003320DD">
        <w:rPr>
          <w:rFonts w:ascii="Courier New" w:hAnsi="Courier New" w:cs="Courier New"/>
          <w:sz w:val="24"/>
          <w:szCs w:val="24"/>
        </w:rPr>
        <w:t xml:space="preserve">corroborates the respondents’ version </w:t>
      </w:r>
      <w:r w:rsidR="00093D6A">
        <w:rPr>
          <w:rFonts w:ascii="Courier New" w:hAnsi="Courier New" w:cs="Courier New"/>
          <w:sz w:val="24"/>
          <w:szCs w:val="24"/>
        </w:rPr>
        <w:t xml:space="preserve">that the </w:t>
      </w:r>
      <w:r w:rsidR="003320DD">
        <w:rPr>
          <w:rFonts w:ascii="Courier New" w:hAnsi="Courier New" w:cs="Courier New"/>
          <w:sz w:val="24"/>
          <w:szCs w:val="24"/>
        </w:rPr>
        <w:t xml:space="preserve">applicant/appellant had treated them as its employees or that they had the reasonable expectation to be so treated and </w:t>
      </w:r>
      <w:r w:rsidR="00093D6A">
        <w:rPr>
          <w:rFonts w:ascii="Courier New" w:hAnsi="Courier New" w:cs="Courier New"/>
          <w:sz w:val="24"/>
          <w:szCs w:val="24"/>
        </w:rPr>
        <w:t xml:space="preserve">therefore entitled to severance pay on termination. The </w:t>
      </w:r>
      <w:r w:rsidR="00A17546">
        <w:rPr>
          <w:rFonts w:ascii="Courier New" w:hAnsi="Courier New" w:cs="Courier New"/>
          <w:sz w:val="24"/>
          <w:szCs w:val="24"/>
        </w:rPr>
        <w:t>basis of challenge on appeal as regards the arbitrator’s factual finding that the applicant’s conduct over the years amounted to establishing an employer/employee relationship between it and the respondents, has no reasonable prospect of success on appeal; to say the least. The broad grounds seeking to impugn quantum awarded by the arbitrator are also undermined by</w:t>
      </w:r>
      <w:r w:rsidR="00104EEC">
        <w:rPr>
          <w:rFonts w:ascii="Courier New" w:hAnsi="Courier New" w:cs="Courier New"/>
          <w:sz w:val="24"/>
          <w:szCs w:val="24"/>
        </w:rPr>
        <w:t xml:space="preserve"> what appears to be</w:t>
      </w:r>
      <w:r w:rsidR="00A17546">
        <w:rPr>
          <w:rFonts w:ascii="Courier New" w:hAnsi="Courier New" w:cs="Courier New"/>
          <w:sz w:val="24"/>
          <w:szCs w:val="24"/>
        </w:rPr>
        <w:t xml:space="preserve"> admissions made at the hearing by the applicant</w:t>
      </w:r>
      <w:r w:rsidR="00104EEC">
        <w:rPr>
          <w:rFonts w:ascii="Courier New" w:hAnsi="Courier New" w:cs="Courier New"/>
          <w:sz w:val="24"/>
          <w:szCs w:val="24"/>
        </w:rPr>
        <w:t>,</w:t>
      </w:r>
      <w:r w:rsidR="00A17546">
        <w:rPr>
          <w:rFonts w:ascii="Courier New" w:hAnsi="Courier New" w:cs="Courier New"/>
          <w:sz w:val="24"/>
          <w:szCs w:val="24"/>
        </w:rPr>
        <w:t xml:space="preserve"> and recorded in the following terms by the arbitrator:</w:t>
      </w:r>
    </w:p>
    <w:p w:rsidR="00D529A1" w:rsidRDefault="00DF3B8A" w:rsidP="00DF3B8A">
      <w:pPr>
        <w:spacing w:line="240" w:lineRule="auto"/>
        <w:ind w:left="720"/>
        <w:jc w:val="both"/>
        <w:rPr>
          <w:rFonts w:ascii="Courier New" w:hAnsi="Courier New" w:cs="Courier New"/>
        </w:rPr>
      </w:pPr>
      <w:r>
        <w:rPr>
          <w:rFonts w:ascii="Courier New" w:hAnsi="Courier New" w:cs="Courier New"/>
        </w:rPr>
        <w:t>“</w:t>
      </w:r>
      <w:r w:rsidR="00A17546" w:rsidRPr="008668E5">
        <w:rPr>
          <w:rFonts w:ascii="Courier New" w:hAnsi="Courier New" w:cs="Courier New"/>
        </w:rPr>
        <w:t>What made this case difficult is the absence of clear records. Such records could be useful, especially when it come to issues such as accrued leave days and severance allowance.</w:t>
      </w:r>
      <w:r w:rsidR="00D529A1" w:rsidRPr="008668E5">
        <w:rPr>
          <w:rFonts w:ascii="Courier New" w:hAnsi="Courier New" w:cs="Courier New"/>
        </w:rPr>
        <w:t xml:space="preserve"> The parties appeared to have reached consensus that all leave due to employees, if not paid out, should be paid out in full. What intensified the mystery is the lack of credible records or data to indicate outstanding leave days for each applicant. It is also a mystery as the respondent has a sophisticated payment system and this has resulted in it not being able to say with certainty whether, indeed leave days of all empl</w:t>
      </w:r>
      <w:r>
        <w:rPr>
          <w:rFonts w:ascii="Courier New" w:hAnsi="Courier New" w:cs="Courier New"/>
        </w:rPr>
        <w:t>oyees were paid out in December</w:t>
      </w:r>
      <w:r w:rsidR="00D529A1" w:rsidRPr="008668E5">
        <w:rPr>
          <w:rFonts w:ascii="Courier New" w:hAnsi="Courier New" w:cs="Courier New"/>
        </w:rPr>
        <w:t>.</w:t>
      </w:r>
      <w:r>
        <w:rPr>
          <w:rFonts w:ascii="Courier New" w:hAnsi="Courier New" w:cs="Courier New"/>
        </w:rPr>
        <w:t>”</w:t>
      </w:r>
      <w:r w:rsidR="00A17546" w:rsidRPr="008668E5">
        <w:rPr>
          <w:rFonts w:ascii="Courier New" w:hAnsi="Courier New" w:cs="Courier New"/>
        </w:rPr>
        <w:t xml:space="preserve"> </w:t>
      </w:r>
    </w:p>
    <w:p w:rsidR="00DF3B8A" w:rsidRPr="008668E5" w:rsidRDefault="00DF3B8A" w:rsidP="00DF3B8A">
      <w:pPr>
        <w:spacing w:line="240" w:lineRule="auto"/>
        <w:ind w:left="720"/>
        <w:jc w:val="both"/>
        <w:rPr>
          <w:rFonts w:ascii="Courier New" w:hAnsi="Courier New" w:cs="Courier New"/>
        </w:rPr>
      </w:pPr>
    </w:p>
    <w:p w:rsidR="00A17546" w:rsidRDefault="00BD4970" w:rsidP="005F5BA0">
      <w:pPr>
        <w:spacing w:line="480" w:lineRule="auto"/>
        <w:jc w:val="both"/>
        <w:rPr>
          <w:rFonts w:ascii="Courier New" w:hAnsi="Courier New" w:cs="Courier New"/>
          <w:sz w:val="24"/>
          <w:szCs w:val="24"/>
        </w:rPr>
      </w:pPr>
      <w:r>
        <w:rPr>
          <w:rFonts w:ascii="Courier New" w:hAnsi="Courier New" w:cs="Courier New"/>
          <w:sz w:val="24"/>
          <w:szCs w:val="24"/>
        </w:rPr>
        <w:t>[33</w:t>
      </w:r>
      <w:r w:rsidR="006A34BB">
        <w:rPr>
          <w:rFonts w:ascii="Courier New" w:hAnsi="Courier New" w:cs="Courier New"/>
          <w:sz w:val="24"/>
          <w:szCs w:val="24"/>
        </w:rPr>
        <w:t xml:space="preserve">] </w:t>
      </w:r>
      <w:r w:rsidR="00A17546">
        <w:rPr>
          <w:rFonts w:ascii="Courier New" w:hAnsi="Courier New" w:cs="Courier New"/>
          <w:sz w:val="24"/>
          <w:szCs w:val="24"/>
        </w:rPr>
        <w:t>And very crucially the arbitrator found:</w:t>
      </w:r>
    </w:p>
    <w:p w:rsidR="00AD5948" w:rsidRDefault="00DF3B8A" w:rsidP="00104EEC">
      <w:pPr>
        <w:spacing w:line="240" w:lineRule="auto"/>
        <w:ind w:left="720"/>
        <w:jc w:val="both"/>
        <w:rPr>
          <w:rFonts w:ascii="Courier New" w:hAnsi="Courier New" w:cs="Courier New"/>
          <w:color w:val="000000"/>
          <w:sz w:val="24"/>
          <w:szCs w:val="24"/>
        </w:rPr>
      </w:pPr>
      <w:r>
        <w:rPr>
          <w:rFonts w:ascii="Courier New" w:hAnsi="Courier New" w:cs="Courier New"/>
        </w:rPr>
        <w:t>“</w:t>
      </w:r>
      <w:r w:rsidR="00A17546" w:rsidRPr="008668E5">
        <w:rPr>
          <w:rFonts w:ascii="Courier New" w:hAnsi="Courier New" w:cs="Courier New"/>
        </w:rPr>
        <w:t xml:space="preserve">The above arguments also applied to the calculations of severance payments if any, </w:t>
      </w:r>
      <w:r w:rsidR="00A17546" w:rsidRPr="00104EEC">
        <w:rPr>
          <w:rFonts w:ascii="Courier New" w:hAnsi="Courier New" w:cs="Courier New"/>
          <w:u w:val="single"/>
        </w:rPr>
        <w:t>as there are no records to show exactly when each of the applicants commenced working for the respondent.</w:t>
      </w:r>
      <w:r w:rsidRPr="00104EEC">
        <w:rPr>
          <w:rFonts w:ascii="Courier New" w:hAnsi="Courier New" w:cs="Courier New"/>
          <w:u w:val="single"/>
        </w:rPr>
        <w:t>”</w:t>
      </w:r>
      <w:r w:rsidR="00104EEC">
        <w:rPr>
          <w:rFonts w:ascii="Courier New" w:hAnsi="Courier New" w:cs="Courier New"/>
          <w:u w:val="single"/>
        </w:rPr>
        <w:t>(</w:t>
      </w:r>
      <w:r w:rsidR="00104EEC">
        <w:rPr>
          <w:rFonts w:ascii="Courier New" w:hAnsi="Courier New" w:cs="Courier New"/>
        </w:rPr>
        <w:t xml:space="preserve"> My underlying for my emphasis)</w:t>
      </w:r>
    </w:p>
    <w:p w:rsidR="00DF3B8A" w:rsidRDefault="00DF3B8A" w:rsidP="00AD5948">
      <w:pPr>
        <w:spacing w:line="480" w:lineRule="auto"/>
        <w:jc w:val="both"/>
        <w:rPr>
          <w:rFonts w:ascii="Courier New" w:hAnsi="Courier New" w:cs="Courier New"/>
          <w:sz w:val="24"/>
          <w:szCs w:val="24"/>
        </w:rPr>
      </w:pPr>
      <w:r>
        <w:rPr>
          <w:rFonts w:ascii="Courier New" w:hAnsi="Courier New" w:cs="Courier New"/>
          <w:sz w:val="24"/>
          <w:szCs w:val="24"/>
        </w:rPr>
        <w:lastRenderedPageBreak/>
        <w:t>[</w:t>
      </w:r>
      <w:r w:rsidR="00B04168">
        <w:rPr>
          <w:rFonts w:ascii="Courier New" w:hAnsi="Courier New" w:cs="Courier New"/>
          <w:sz w:val="24"/>
          <w:szCs w:val="24"/>
        </w:rPr>
        <w:t>3</w:t>
      </w:r>
      <w:r w:rsidR="00BD4970">
        <w:rPr>
          <w:rFonts w:ascii="Courier New" w:hAnsi="Courier New" w:cs="Courier New"/>
          <w:sz w:val="24"/>
          <w:szCs w:val="24"/>
        </w:rPr>
        <w:t>4</w:t>
      </w:r>
      <w:r w:rsidR="00AD5948" w:rsidRPr="005F5BA0">
        <w:rPr>
          <w:rFonts w:ascii="Courier New" w:hAnsi="Courier New" w:cs="Courier New"/>
          <w:sz w:val="24"/>
          <w:szCs w:val="24"/>
        </w:rPr>
        <w:t xml:space="preserve">] The arbitrator found the case difficult because of the absence of records. The parties appear to be </w:t>
      </w:r>
      <w:r w:rsidR="00AD5948" w:rsidRPr="0019363B">
        <w:rPr>
          <w:rFonts w:ascii="Courier New" w:hAnsi="Courier New" w:cs="Courier New"/>
          <w:i/>
          <w:sz w:val="24"/>
          <w:szCs w:val="24"/>
        </w:rPr>
        <w:t>ad idem</w:t>
      </w:r>
      <w:r w:rsidR="00AD5948" w:rsidRPr="005F5BA0">
        <w:rPr>
          <w:rFonts w:ascii="Courier New" w:hAnsi="Courier New" w:cs="Courier New"/>
          <w:sz w:val="24"/>
          <w:szCs w:val="24"/>
        </w:rPr>
        <w:t xml:space="preserve"> that all leave days due should be paid for but were </w:t>
      </w:r>
      <w:r w:rsidR="00B36B9C" w:rsidRPr="005F5BA0">
        <w:rPr>
          <w:rFonts w:ascii="Courier New" w:hAnsi="Courier New" w:cs="Courier New"/>
          <w:sz w:val="24"/>
          <w:szCs w:val="24"/>
        </w:rPr>
        <w:t>hamstrung</w:t>
      </w:r>
      <w:r w:rsidR="00AD5948" w:rsidRPr="005F5BA0">
        <w:rPr>
          <w:rFonts w:ascii="Courier New" w:hAnsi="Courier New" w:cs="Courier New"/>
          <w:sz w:val="24"/>
          <w:szCs w:val="24"/>
        </w:rPr>
        <w:t xml:space="preserve"> by the absence of clear records.</w:t>
      </w:r>
      <w:r w:rsidR="008668E5">
        <w:rPr>
          <w:rFonts w:ascii="Courier New" w:hAnsi="Courier New" w:cs="Courier New"/>
          <w:sz w:val="24"/>
          <w:szCs w:val="24"/>
        </w:rPr>
        <w:t xml:space="preserve"> </w:t>
      </w:r>
      <w:r w:rsidR="00AD5948" w:rsidRPr="005F5BA0">
        <w:rPr>
          <w:rFonts w:ascii="Courier New" w:hAnsi="Courier New" w:cs="Courier New"/>
          <w:sz w:val="24"/>
          <w:szCs w:val="24"/>
        </w:rPr>
        <w:t xml:space="preserve">In my view, the common cause fact of the records being in a poor state militates against the suggestion that the arbitrator was wrong in so far as he made a finding based on the poor state of the records. The employer should have kept those records but did not. It would be to place too onerous an obligation on the employee to have kept such records. After all, on what basis did Telecom account to the Board of Directors and the revenue </w:t>
      </w:r>
      <w:r w:rsidR="001A587B">
        <w:rPr>
          <w:rFonts w:ascii="Courier New" w:hAnsi="Courier New" w:cs="Courier New"/>
          <w:sz w:val="24"/>
          <w:szCs w:val="24"/>
        </w:rPr>
        <w:t>a</w:t>
      </w:r>
      <w:r w:rsidR="00AD5948" w:rsidRPr="005F5BA0">
        <w:rPr>
          <w:rFonts w:ascii="Courier New" w:hAnsi="Courier New" w:cs="Courier New"/>
          <w:sz w:val="24"/>
          <w:szCs w:val="24"/>
        </w:rPr>
        <w:t xml:space="preserve">uthorities in respect of the expenditure incurred </w:t>
      </w:r>
      <w:r w:rsidR="0001670A">
        <w:rPr>
          <w:rFonts w:ascii="Courier New" w:hAnsi="Courier New" w:cs="Courier New"/>
          <w:sz w:val="24"/>
          <w:szCs w:val="24"/>
        </w:rPr>
        <w:t>on t</w:t>
      </w:r>
      <w:r w:rsidR="00AD5948" w:rsidRPr="005F5BA0">
        <w:rPr>
          <w:rFonts w:ascii="Courier New" w:hAnsi="Courier New" w:cs="Courier New"/>
          <w:sz w:val="24"/>
          <w:szCs w:val="24"/>
        </w:rPr>
        <w:t>hese employees</w:t>
      </w:r>
      <w:r w:rsidR="00A77CFD">
        <w:rPr>
          <w:rFonts w:ascii="Courier New" w:hAnsi="Courier New" w:cs="Courier New"/>
          <w:sz w:val="24"/>
          <w:szCs w:val="24"/>
        </w:rPr>
        <w:t>?</w:t>
      </w:r>
      <w:r w:rsidR="00AD5948">
        <w:rPr>
          <w:rFonts w:ascii="Courier New" w:hAnsi="Courier New" w:cs="Courier New"/>
          <w:sz w:val="24"/>
          <w:szCs w:val="24"/>
        </w:rPr>
        <w:t xml:space="preserve"> </w:t>
      </w:r>
      <w:r w:rsidR="0019363B">
        <w:rPr>
          <w:rFonts w:ascii="Courier New" w:hAnsi="Courier New" w:cs="Courier New"/>
          <w:sz w:val="24"/>
          <w:szCs w:val="24"/>
        </w:rPr>
        <w:t>I am satisfied therefore that there are no reasonable prospects of success on appeal.</w:t>
      </w:r>
      <w:r w:rsidR="003677D0">
        <w:rPr>
          <w:rFonts w:ascii="Courier New" w:hAnsi="Courier New" w:cs="Courier New"/>
          <w:sz w:val="24"/>
          <w:szCs w:val="24"/>
        </w:rPr>
        <w:t xml:space="preserve"> </w:t>
      </w:r>
    </w:p>
    <w:p w:rsidR="003677D0" w:rsidRDefault="00BD4970" w:rsidP="003677D0">
      <w:pPr>
        <w:spacing w:line="480" w:lineRule="auto"/>
        <w:jc w:val="both"/>
        <w:rPr>
          <w:rFonts w:ascii="Courier New" w:hAnsi="Courier New" w:cs="Courier New"/>
          <w:sz w:val="24"/>
          <w:szCs w:val="24"/>
        </w:rPr>
      </w:pPr>
      <w:r>
        <w:rPr>
          <w:rFonts w:ascii="Courier New" w:hAnsi="Courier New" w:cs="Courier New"/>
          <w:sz w:val="24"/>
          <w:szCs w:val="24"/>
        </w:rPr>
        <w:t>[35</w:t>
      </w:r>
      <w:r w:rsidR="006A34BB">
        <w:rPr>
          <w:rFonts w:ascii="Courier New" w:hAnsi="Courier New" w:cs="Courier New"/>
          <w:sz w:val="24"/>
          <w:szCs w:val="24"/>
        </w:rPr>
        <w:t>] The arbitrator’s findings on the crucial issues which he had to resolve were compounded by the applicant’s ambivalent conduct towards the respondents, and th</w:t>
      </w:r>
      <w:r w:rsidR="00DF3B8A">
        <w:rPr>
          <w:rFonts w:ascii="Courier New" w:hAnsi="Courier New" w:cs="Courier New"/>
          <w:sz w:val="24"/>
          <w:szCs w:val="24"/>
        </w:rPr>
        <w:t xml:space="preserve">e failure on applicant’s part (a </w:t>
      </w:r>
      <w:r w:rsidR="006A34BB">
        <w:rPr>
          <w:rFonts w:ascii="Courier New" w:hAnsi="Courier New" w:cs="Courier New"/>
          <w:sz w:val="24"/>
          <w:szCs w:val="24"/>
        </w:rPr>
        <w:t>large corporation with substantial resources at its command and holding a stronger bargaining position compared to the respondents) to keep decent records – to the respondents’ potential detriment – which could with great ease have conclusively settled the legal issues which were in dispute before the arbitrator.</w:t>
      </w:r>
    </w:p>
    <w:p w:rsidR="00DF3B8A" w:rsidRDefault="003677D0" w:rsidP="003677D0">
      <w:pPr>
        <w:spacing w:line="480" w:lineRule="auto"/>
        <w:jc w:val="both"/>
        <w:rPr>
          <w:rFonts w:ascii="Courier New" w:hAnsi="Courier New" w:cs="Courier New"/>
          <w:sz w:val="24"/>
          <w:szCs w:val="24"/>
        </w:rPr>
      </w:pPr>
      <w:r>
        <w:rPr>
          <w:rFonts w:ascii="Courier New" w:hAnsi="Courier New" w:cs="Courier New"/>
          <w:sz w:val="24"/>
          <w:szCs w:val="24"/>
        </w:rPr>
        <w:lastRenderedPageBreak/>
        <w:t>[</w:t>
      </w:r>
      <w:r w:rsidR="00BD4970">
        <w:rPr>
          <w:rFonts w:ascii="Courier New" w:hAnsi="Courier New" w:cs="Courier New"/>
          <w:sz w:val="24"/>
          <w:szCs w:val="24"/>
        </w:rPr>
        <w:t>36</w:t>
      </w:r>
      <w:r>
        <w:rPr>
          <w:rFonts w:ascii="Courier New" w:hAnsi="Courier New" w:cs="Courier New"/>
          <w:sz w:val="24"/>
          <w:szCs w:val="24"/>
        </w:rPr>
        <w:t xml:space="preserve">] One issue that exercised my mind is whether the appeal also raises the question that the arbitrator strayed in making an award in favour of persons who were not claimants </w:t>
      </w:r>
      <w:r w:rsidR="000565CF">
        <w:rPr>
          <w:rFonts w:ascii="Courier New" w:hAnsi="Courier New" w:cs="Courier New"/>
          <w:sz w:val="24"/>
          <w:szCs w:val="24"/>
        </w:rPr>
        <w:t>(or</w:t>
      </w:r>
      <w:r>
        <w:rPr>
          <w:rFonts w:ascii="Courier New" w:hAnsi="Courier New" w:cs="Courier New"/>
          <w:sz w:val="24"/>
          <w:szCs w:val="24"/>
        </w:rPr>
        <w:t xml:space="preserve"> were not identified) in the proceedings before him. It appears common ground that the arbitrator had represented before him 30 individuals by the trade union. The record does not show the identities of these persons. The applicant’s affidavit shows that there were 34 individuals who fell in this class of worker and that barring the 3 specifically mentioned in the complaint, the referral and the conciliation, it is not clear who, of the 34, form part of the 30 persons in respect of whom the award is made. This allegation is admitted by Andumba on behalf of the respondents but sadly he does not enlighten the court just who the individuals are who form part of the 30 claimants in respect of whom the award has been made.</w:t>
      </w:r>
      <w:r w:rsidR="0001670A">
        <w:rPr>
          <w:rFonts w:ascii="Courier New" w:hAnsi="Courier New" w:cs="Courier New"/>
          <w:sz w:val="24"/>
          <w:szCs w:val="24"/>
        </w:rPr>
        <w:t xml:space="preserve"> </w:t>
      </w:r>
      <w:r w:rsidR="00337960">
        <w:rPr>
          <w:rFonts w:ascii="Courier New" w:hAnsi="Courier New" w:cs="Courier New"/>
          <w:sz w:val="24"/>
          <w:szCs w:val="24"/>
        </w:rPr>
        <w:t>How then</w:t>
      </w:r>
      <w:r w:rsidR="00E41A25">
        <w:rPr>
          <w:rFonts w:ascii="Courier New" w:hAnsi="Courier New" w:cs="Courier New"/>
          <w:sz w:val="24"/>
          <w:szCs w:val="24"/>
        </w:rPr>
        <w:t>, it may be asked,</w:t>
      </w:r>
      <w:r w:rsidR="00337960">
        <w:rPr>
          <w:rFonts w:ascii="Courier New" w:hAnsi="Courier New" w:cs="Courier New"/>
          <w:sz w:val="24"/>
          <w:szCs w:val="24"/>
        </w:rPr>
        <w:t xml:space="preserve"> can the applicant know to whom to effect payment in addition to the </w:t>
      </w:r>
      <w:r w:rsidR="006A34BB">
        <w:rPr>
          <w:rFonts w:ascii="Courier New" w:hAnsi="Courier New" w:cs="Courier New"/>
          <w:sz w:val="24"/>
          <w:szCs w:val="24"/>
        </w:rPr>
        <w:t>three</w:t>
      </w:r>
      <w:r w:rsidR="00337960">
        <w:rPr>
          <w:rFonts w:ascii="Courier New" w:hAnsi="Courier New" w:cs="Courier New"/>
          <w:sz w:val="24"/>
          <w:szCs w:val="24"/>
        </w:rPr>
        <w:t xml:space="preserve"> named individuals? </w:t>
      </w:r>
    </w:p>
    <w:p w:rsidR="003677D0" w:rsidRDefault="00BD4970" w:rsidP="003677D0">
      <w:pPr>
        <w:spacing w:line="480" w:lineRule="auto"/>
        <w:jc w:val="both"/>
        <w:rPr>
          <w:rFonts w:ascii="Courier New" w:hAnsi="Courier New" w:cs="Courier New"/>
          <w:sz w:val="24"/>
          <w:szCs w:val="24"/>
        </w:rPr>
      </w:pPr>
      <w:r>
        <w:rPr>
          <w:rFonts w:ascii="Courier New" w:hAnsi="Courier New" w:cs="Courier New"/>
          <w:sz w:val="24"/>
          <w:szCs w:val="24"/>
        </w:rPr>
        <w:t>[37</w:t>
      </w:r>
      <w:r w:rsidR="006A34BB">
        <w:rPr>
          <w:rFonts w:ascii="Courier New" w:hAnsi="Courier New" w:cs="Courier New"/>
          <w:sz w:val="24"/>
          <w:szCs w:val="24"/>
        </w:rPr>
        <w:t xml:space="preserve">] </w:t>
      </w:r>
      <w:r w:rsidR="003677D0">
        <w:rPr>
          <w:rFonts w:ascii="Courier New" w:hAnsi="Courier New" w:cs="Courier New"/>
          <w:sz w:val="24"/>
          <w:szCs w:val="24"/>
        </w:rPr>
        <w:t>The notice of appeal reads in relevant part:</w:t>
      </w:r>
    </w:p>
    <w:p w:rsidR="003677D0" w:rsidRDefault="00DF3B8A" w:rsidP="00DF3B8A">
      <w:pPr>
        <w:spacing w:line="240" w:lineRule="auto"/>
        <w:ind w:left="720"/>
        <w:jc w:val="both"/>
        <w:rPr>
          <w:rFonts w:ascii="Courier New" w:hAnsi="Courier New" w:cs="Courier New"/>
        </w:rPr>
      </w:pPr>
      <w:r>
        <w:rPr>
          <w:rFonts w:ascii="Courier New" w:hAnsi="Courier New" w:cs="Courier New"/>
        </w:rPr>
        <w:t>“</w:t>
      </w:r>
      <w:r w:rsidR="003677D0" w:rsidRPr="00B60DA8">
        <w:rPr>
          <w:rFonts w:ascii="Courier New" w:hAnsi="Courier New" w:cs="Courier New"/>
        </w:rPr>
        <w:t xml:space="preserve">The arbitrator erred in law in concluding that all respondents and not just the particular respondents in respect of whom evidence was presented at the hearing, were entitled to severance payments and payments in lieu of accrued leave days, based on 10 completed years of service in the employment of the appellant, or were </w:t>
      </w:r>
      <w:r>
        <w:rPr>
          <w:rFonts w:ascii="Courier New" w:hAnsi="Courier New" w:cs="Courier New"/>
        </w:rPr>
        <w:t>entitled to any relief at all.”</w:t>
      </w:r>
    </w:p>
    <w:p w:rsidR="00DF3B8A" w:rsidRPr="00B60DA8" w:rsidRDefault="00DF3B8A" w:rsidP="00B60DA8">
      <w:pPr>
        <w:spacing w:line="480" w:lineRule="auto"/>
        <w:ind w:left="720"/>
        <w:jc w:val="both"/>
        <w:rPr>
          <w:rFonts w:ascii="Courier New" w:hAnsi="Courier New" w:cs="Courier New"/>
        </w:rPr>
      </w:pPr>
    </w:p>
    <w:p w:rsidR="003677D0" w:rsidRDefault="00BD4970" w:rsidP="003677D0">
      <w:pPr>
        <w:spacing w:line="480" w:lineRule="auto"/>
        <w:jc w:val="both"/>
        <w:rPr>
          <w:rFonts w:ascii="Courier New" w:hAnsi="Courier New" w:cs="Courier New"/>
          <w:sz w:val="24"/>
          <w:szCs w:val="24"/>
        </w:rPr>
      </w:pPr>
      <w:r>
        <w:rPr>
          <w:rFonts w:ascii="Courier New" w:hAnsi="Courier New" w:cs="Courier New"/>
          <w:sz w:val="24"/>
          <w:szCs w:val="24"/>
        </w:rPr>
        <w:lastRenderedPageBreak/>
        <w:t>[38</w:t>
      </w:r>
      <w:r w:rsidR="006A34BB">
        <w:rPr>
          <w:rFonts w:ascii="Courier New" w:hAnsi="Courier New" w:cs="Courier New"/>
          <w:sz w:val="24"/>
          <w:szCs w:val="24"/>
        </w:rPr>
        <w:t xml:space="preserve">] </w:t>
      </w:r>
      <w:r w:rsidR="003677D0">
        <w:rPr>
          <w:rFonts w:ascii="Courier New" w:hAnsi="Courier New" w:cs="Courier New"/>
          <w:sz w:val="24"/>
          <w:szCs w:val="24"/>
        </w:rPr>
        <w:t>Arising there</w:t>
      </w:r>
      <w:r w:rsidR="00104EEC">
        <w:rPr>
          <w:rFonts w:ascii="Courier New" w:hAnsi="Courier New" w:cs="Courier New"/>
          <w:sz w:val="24"/>
          <w:szCs w:val="24"/>
        </w:rPr>
        <w:t xml:space="preserve"> </w:t>
      </w:r>
      <w:r w:rsidR="003677D0">
        <w:rPr>
          <w:rFonts w:ascii="Courier New" w:hAnsi="Courier New" w:cs="Courier New"/>
          <w:sz w:val="24"/>
          <w:szCs w:val="24"/>
        </w:rPr>
        <w:t>from the question of law is then stated to be:</w:t>
      </w:r>
    </w:p>
    <w:p w:rsidR="003677D0" w:rsidRDefault="00DF3B8A" w:rsidP="00DF3B8A">
      <w:pPr>
        <w:spacing w:line="240" w:lineRule="auto"/>
        <w:ind w:left="720"/>
        <w:jc w:val="both"/>
        <w:rPr>
          <w:rFonts w:ascii="Courier New" w:hAnsi="Courier New" w:cs="Courier New"/>
        </w:rPr>
      </w:pPr>
      <w:r>
        <w:rPr>
          <w:rFonts w:ascii="Courier New" w:hAnsi="Courier New" w:cs="Courier New"/>
        </w:rPr>
        <w:t>“</w:t>
      </w:r>
      <w:r w:rsidR="003677D0" w:rsidRPr="00B60DA8">
        <w:rPr>
          <w:rFonts w:ascii="Courier New" w:hAnsi="Courier New" w:cs="Courier New"/>
        </w:rPr>
        <w:t>The finding that all of the respondents had been in the continuous employment of the appellant at the termination of their respective contracts in December 2008: was never alleged or proven by the respondents; does not appear from any of the documents handed up and/or accepted into evidence by the arbitrator; cannot be reasonably drawn from any other facts present</w:t>
      </w:r>
      <w:r>
        <w:rPr>
          <w:rFonts w:ascii="Courier New" w:hAnsi="Courier New" w:cs="Courier New"/>
        </w:rPr>
        <w:t>ed at the arbitration hearing.”</w:t>
      </w:r>
    </w:p>
    <w:p w:rsidR="00DF3B8A" w:rsidRPr="00B60DA8" w:rsidRDefault="00DF3B8A" w:rsidP="00DF3B8A">
      <w:pPr>
        <w:spacing w:line="240" w:lineRule="auto"/>
        <w:ind w:left="720"/>
        <w:jc w:val="both"/>
        <w:rPr>
          <w:rFonts w:ascii="Courier New" w:hAnsi="Courier New" w:cs="Courier New"/>
        </w:rPr>
      </w:pPr>
    </w:p>
    <w:p w:rsidR="00DF3B8A" w:rsidRDefault="00D1128D" w:rsidP="003677D0">
      <w:pPr>
        <w:spacing w:line="480" w:lineRule="auto"/>
        <w:jc w:val="both"/>
        <w:rPr>
          <w:rFonts w:ascii="Courier New" w:hAnsi="Courier New" w:cs="Courier New"/>
          <w:sz w:val="24"/>
          <w:szCs w:val="24"/>
        </w:rPr>
      </w:pPr>
      <w:r>
        <w:rPr>
          <w:rFonts w:ascii="Courier New" w:hAnsi="Courier New" w:cs="Courier New"/>
          <w:sz w:val="24"/>
          <w:szCs w:val="24"/>
        </w:rPr>
        <w:t>[3</w:t>
      </w:r>
      <w:r w:rsidR="00BD4970">
        <w:rPr>
          <w:rFonts w:ascii="Courier New" w:hAnsi="Courier New" w:cs="Courier New"/>
          <w:sz w:val="24"/>
          <w:szCs w:val="24"/>
        </w:rPr>
        <w:t>9</w:t>
      </w:r>
      <w:r w:rsidR="006A34BB">
        <w:rPr>
          <w:rFonts w:ascii="Courier New" w:hAnsi="Courier New" w:cs="Courier New"/>
          <w:sz w:val="24"/>
          <w:szCs w:val="24"/>
        </w:rPr>
        <w:t xml:space="preserve">] </w:t>
      </w:r>
      <w:r w:rsidR="003677D0">
        <w:rPr>
          <w:rFonts w:ascii="Courier New" w:hAnsi="Courier New" w:cs="Courier New"/>
          <w:sz w:val="24"/>
          <w:szCs w:val="24"/>
        </w:rPr>
        <w:t xml:space="preserve">Properly construed, this ground of appeal is directed at impugning a finding that it was proved that more than just the three individuals about whom evidence had been led were entitled to the relief that the arbitrator granted. It certainly does </w:t>
      </w:r>
      <w:r w:rsidR="00337960">
        <w:rPr>
          <w:rFonts w:ascii="Courier New" w:hAnsi="Courier New" w:cs="Courier New"/>
          <w:sz w:val="24"/>
          <w:szCs w:val="24"/>
        </w:rPr>
        <w:t xml:space="preserve">raise </w:t>
      </w:r>
      <w:r w:rsidR="003677D0">
        <w:rPr>
          <w:rFonts w:ascii="Courier New" w:hAnsi="Courier New" w:cs="Courier New"/>
          <w:sz w:val="24"/>
          <w:szCs w:val="24"/>
        </w:rPr>
        <w:t xml:space="preserve">the issue that people who were not claimants were granted relief by the arbitrator, as suggested by Aspara in her founding affidavit. </w:t>
      </w:r>
    </w:p>
    <w:p w:rsidR="00E41A25" w:rsidRDefault="00BD4970" w:rsidP="00E41A25">
      <w:pPr>
        <w:spacing w:line="480" w:lineRule="auto"/>
        <w:jc w:val="both"/>
        <w:rPr>
          <w:rFonts w:ascii="Courier New" w:hAnsi="Courier New" w:cs="Courier New"/>
          <w:sz w:val="24"/>
          <w:szCs w:val="24"/>
        </w:rPr>
      </w:pPr>
      <w:r>
        <w:rPr>
          <w:rFonts w:ascii="Courier New" w:hAnsi="Courier New" w:cs="Courier New"/>
          <w:sz w:val="24"/>
          <w:szCs w:val="24"/>
        </w:rPr>
        <w:t>[40</w:t>
      </w:r>
      <w:r w:rsidR="00E41A25">
        <w:rPr>
          <w:rFonts w:ascii="Courier New" w:hAnsi="Courier New" w:cs="Courier New"/>
          <w:sz w:val="24"/>
          <w:szCs w:val="24"/>
        </w:rPr>
        <w:t>] The problem thus stated is not irresoluble. The arbitrator had given an award sounding in money in respect of severance pay. To quantify what that amount should be in respect of a particular claimant should not present insurmountable difficulty. Additionally, if of the 34 people cited as respondents, the applicant feels a particular individual seeking payment is not</w:t>
      </w:r>
      <w:r w:rsidR="00104EEC">
        <w:rPr>
          <w:rFonts w:ascii="Courier New" w:hAnsi="Courier New" w:cs="Courier New"/>
          <w:sz w:val="24"/>
          <w:szCs w:val="24"/>
        </w:rPr>
        <w:t xml:space="preserve"> one of the 30 and is, in any way, not</w:t>
      </w:r>
      <w:r w:rsidR="00E41A25">
        <w:rPr>
          <w:rFonts w:ascii="Courier New" w:hAnsi="Courier New" w:cs="Courier New"/>
          <w:sz w:val="24"/>
          <w:szCs w:val="24"/>
        </w:rPr>
        <w:t xml:space="preserve"> entitled it is not without relief. On that score, I am in respectful </w:t>
      </w:r>
      <w:r w:rsidR="00E41A25">
        <w:rPr>
          <w:rFonts w:ascii="Courier New" w:hAnsi="Courier New" w:cs="Courier New"/>
          <w:sz w:val="24"/>
          <w:szCs w:val="24"/>
        </w:rPr>
        <w:lastRenderedPageBreak/>
        <w:t xml:space="preserve">agreement with and duly apply the following dictum of Wunsch J in </w:t>
      </w:r>
      <w:r w:rsidR="00E41A25" w:rsidRPr="002E758F">
        <w:rPr>
          <w:rFonts w:ascii="Courier New" w:hAnsi="Courier New" w:cs="Courier New"/>
          <w:i/>
          <w:sz w:val="24"/>
          <w:szCs w:val="24"/>
        </w:rPr>
        <w:t>Butchard v Butchard</w:t>
      </w:r>
      <w:r w:rsidR="00E41A25">
        <w:rPr>
          <w:rStyle w:val="FootnoteReference"/>
          <w:rFonts w:ascii="Courier New" w:hAnsi="Courier New" w:cs="Courier New"/>
          <w:i/>
          <w:sz w:val="24"/>
          <w:szCs w:val="24"/>
        </w:rPr>
        <w:footnoteReference w:id="16"/>
      </w:r>
      <w:r w:rsidR="00E41A25">
        <w:rPr>
          <w:rFonts w:ascii="Courier New" w:hAnsi="Courier New" w:cs="Courier New"/>
          <w:sz w:val="24"/>
          <w:szCs w:val="24"/>
        </w:rPr>
        <w:t>:</w:t>
      </w:r>
    </w:p>
    <w:p w:rsidR="00E41A25" w:rsidRPr="00E72E8D" w:rsidRDefault="00DF3B8A" w:rsidP="00DF3B8A">
      <w:pPr>
        <w:spacing w:line="240" w:lineRule="auto"/>
        <w:ind w:left="720"/>
        <w:jc w:val="both"/>
        <w:rPr>
          <w:rFonts w:ascii="Courier New" w:hAnsi="Courier New" w:cs="Courier New"/>
        </w:rPr>
      </w:pPr>
      <w:r w:rsidRPr="00E72E8D">
        <w:rPr>
          <w:rFonts w:ascii="Courier New" w:hAnsi="Courier New" w:cs="Courier New"/>
        </w:rPr>
        <w:t>“</w:t>
      </w:r>
      <w:r w:rsidR="00E41A25" w:rsidRPr="00E72E8D">
        <w:rPr>
          <w:rFonts w:ascii="Courier New" w:hAnsi="Courier New" w:cs="Courier New"/>
        </w:rPr>
        <w:t xml:space="preserve">…there is no reason in principle or practice why a judgment for payment of a category of expenses which can be quantified without difficulty should not be able to sustain a writ, if the accrual and the and the amount of the expenses , on the basis of which liability therefor is established in a judgment, are proved, for example , by and affidavit of the </w:t>
      </w:r>
      <w:r w:rsidR="00E72E8D" w:rsidRPr="00E72E8D">
        <w:rPr>
          <w:rFonts w:ascii="Courier New" w:hAnsi="Courier New" w:cs="Courier New"/>
        </w:rPr>
        <w:t>judgment</w:t>
      </w:r>
      <w:r w:rsidR="00E41A25" w:rsidRPr="00E72E8D">
        <w:rPr>
          <w:rFonts w:ascii="Courier New" w:hAnsi="Courier New" w:cs="Courier New"/>
        </w:rPr>
        <w:t xml:space="preserve"> creditor. A writ is issued at the judgment creditor’s risk. </w:t>
      </w:r>
      <w:r w:rsidR="00E41A25" w:rsidRPr="00E72E8D">
        <w:rPr>
          <w:rFonts w:ascii="Courier New" w:hAnsi="Courier New" w:cs="Courier New"/>
          <w:u w:val="single"/>
        </w:rPr>
        <w:t>If the debtor disputes liability for the amounts reflected therein, for example because he says he has paid them or because he has been released from his obligation or because he contends that he is not liable for them on the ground that they are not within the scope of the judgment , he can apply to the court for relief</w:t>
      </w:r>
      <w:r w:rsidRPr="00E72E8D">
        <w:rPr>
          <w:rFonts w:ascii="Courier New" w:hAnsi="Courier New" w:cs="Courier New"/>
        </w:rPr>
        <w:t>”</w:t>
      </w:r>
      <w:r w:rsidR="00E41A25" w:rsidRPr="00E72E8D">
        <w:rPr>
          <w:rFonts w:ascii="Courier New" w:hAnsi="Courier New" w:cs="Courier New"/>
        </w:rPr>
        <w:t>. (Underlining supplied for emphasis)</w:t>
      </w:r>
    </w:p>
    <w:p w:rsidR="00DF3B8A" w:rsidRDefault="00DF3B8A" w:rsidP="00DF3B8A">
      <w:pPr>
        <w:spacing w:line="240" w:lineRule="auto"/>
        <w:ind w:left="720"/>
        <w:jc w:val="both"/>
        <w:rPr>
          <w:rFonts w:ascii="Courier New" w:hAnsi="Courier New" w:cs="Courier New"/>
          <w:sz w:val="24"/>
          <w:szCs w:val="24"/>
        </w:rPr>
      </w:pPr>
    </w:p>
    <w:p w:rsidR="00BD4970" w:rsidRDefault="00BD4970" w:rsidP="00DF3B8A">
      <w:pPr>
        <w:spacing w:line="240" w:lineRule="auto"/>
        <w:ind w:left="720"/>
        <w:jc w:val="both"/>
        <w:rPr>
          <w:rFonts w:ascii="Courier New" w:hAnsi="Courier New" w:cs="Courier New"/>
          <w:sz w:val="24"/>
          <w:szCs w:val="24"/>
        </w:rPr>
      </w:pPr>
    </w:p>
    <w:p w:rsidR="00BD4970" w:rsidRDefault="00BD4970" w:rsidP="00DF3B8A">
      <w:pPr>
        <w:spacing w:line="240" w:lineRule="auto"/>
        <w:ind w:left="720"/>
        <w:jc w:val="both"/>
        <w:rPr>
          <w:rFonts w:ascii="Courier New" w:hAnsi="Courier New" w:cs="Courier New"/>
          <w:sz w:val="24"/>
          <w:szCs w:val="24"/>
        </w:rPr>
      </w:pPr>
    </w:p>
    <w:p w:rsidR="00BD4970" w:rsidRDefault="00BD4970" w:rsidP="00DF3B8A">
      <w:pPr>
        <w:spacing w:line="240" w:lineRule="auto"/>
        <w:ind w:left="720"/>
        <w:jc w:val="both"/>
        <w:rPr>
          <w:rFonts w:ascii="Courier New" w:hAnsi="Courier New" w:cs="Courier New"/>
          <w:sz w:val="24"/>
          <w:szCs w:val="24"/>
        </w:rPr>
      </w:pPr>
    </w:p>
    <w:p w:rsidR="00E41A25" w:rsidRDefault="00D1128D" w:rsidP="00E41A25">
      <w:pPr>
        <w:spacing w:line="480" w:lineRule="auto"/>
        <w:jc w:val="both"/>
        <w:rPr>
          <w:rFonts w:ascii="Courier New" w:hAnsi="Courier New" w:cs="Courier New"/>
          <w:sz w:val="24"/>
          <w:szCs w:val="24"/>
        </w:rPr>
      </w:pPr>
      <w:r>
        <w:rPr>
          <w:rFonts w:ascii="Courier New" w:hAnsi="Courier New" w:cs="Courier New"/>
          <w:sz w:val="24"/>
          <w:szCs w:val="24"/>
        </w:rPr>
        <w:t>[4</w:t>
      </w:r>
      <w:r w:rsidR="00BD4970">
        <w:rPr>
          <w:rFonts w:ascii="Courier New" w:hAnsi="Courier New" w:cs="Courier New"/>
          <w:sz w:val="24"/>
          <w:szCs w:val="24"/>
        </w:rPr>
        <w:t>1</w:t>
      </w:r>
      <w:r w:rsidR="0001670A">
        <w:rPr>
          <w:rFonts w:ascii="Courier New" w:hAnsi="Courier New" w:cs="Courier New"/>
          <w:sz w:val="24"/>
          <w:szCs w:val="24"/>
        </w:rPr>
        <w:t xml:space="preserve">] </w:t>
      </w:r>
      <w:r w:rsidR="00E41A25">
        <w:rPr>
          <w:rFonts w:ascii="Courier New" w:hAnsi="Courier New" w:cs="Courier New"/>
          <w:sz w:val="24"/>
          <w:szCs w:val="24"/>
        </w:rPr>
        <w:t>Although the judgment was written in a somewhat different context than the present in respect of especially the portions that are not underlined, the principle enunciated in especially the underlined p</w:t>
      </w:r>
      <w:r w:rsidR="0001670A">
        <w:rPr>
          <w:rFonts w:ascii="Courier New" w:hAnsi="Courier New" w:cs="Courier New"/>
          <w:sz w:val="24"/>
          <w:szCs w:val="24"/>
        </w:rPr>
        <w:t xml:space="preserve">art </w:t>
      </w:r>
      <w:r w:rsidR="00E41A25">
        <w:rPr>
          <w:rFonts w:ascii="Courier New" w:hAnsi="Courier New" w:cs="Courier New"/>
          <w:sz w:val="24"/>
          <w:szCs w:val="24"/>
        </w:rPr>
        <w:t>applies with equal force to the facts before me.</w:t>
      </w:r>
      <w:r w:rsidR="00E41A25" w:rsidRPr="00E41A25">
        <w:rPr>
          <w:rFonts w:ascii="Courier New" w:hAnsi="Courier New" w:cs="Courier New"/>
          <w:sz w:val="24"/>
          <w:szCs w:val="24"/>
        </w:rPr>
        <w:t xml:space="preserve"> </w:t>
      </w:r>
      <w:r w:rsidR="00E41A25">
        <w:rPr>
          <w:rFonts w:ascii="Courier New" w:hAnsi="Courier New" w:cs="Courier New"/>
          <w:sz w:val="24"/>
          <w:szCs w:val="24"/>
        </w:rPr>
        <w:t xml:space="preserve">The failure to specifically name the persons entitled to the relief is for that reason not fatal. I am satisfied therefore that in respect of the legal issue that I have said exercised my mind, there is also no prospect of success. </w:t>
      </w:r>
    </w:p>
    <w:p w:rsidR="00E41A25" w:rsidRDefault="00E41A25" w:rsidP="00E41A25">
      <w:pPr>
        <w:spacing w:line="480" w:lineRule="auto"/>
        <w:jc w:val="both"/>
        <w:rPr>
          <w:rFonts w:ascii="Courier New" w:hAnsi="Courier New" w:cs="Courier New"/>
          <w:sz w:val="24"/>
          <w:szCs w:val="24"/>
        </w:rPr>
      </w:pPr>
    </w:p>
    <w:p w:rsidR="00E41A25" w:rsidRDefault="00E41A25" w:rsidP="00E41A25">
      <w:pPr>
        <w:spacing w:line="480" w:lineRule="auto"/>
        <w:jc w:val="both"/>
        <w:rPr>
          <w:rFonts w:ascii="Courier New" w:hAnsi="Courier New" w:cs="Courier New"/>
          <w:sz w:val="24"/>
          <w:szCs w:val="24"/>
        </w:rPr>
      </w:pPr>
      <w:r>
        <w:rPr>
          <w:rFonts w:ascii="Courier New" w:hAnsi="Courier New" w:cs="Courier New"/>
          <w:sz w:val="24"/>
          <w:szCs w:val="24"/>
        </w:rPr>
        <w:lastRenderedPageBreak/>
        <w:t>[</w:t>
      </w:r>
      <w:r w:rsidR="00E74B1B">
        <w:rPr>
          <w:rFonts w:ascii="Courier New" w:hAnsi="Courier New" w:cs="Courier New"/>
          <w:sz w:val="24"/>
          <w:szCs w:val="24"/>
        </w:rPr>
        <w:t>4</w:t>
      </w:r>
      <w:r w:rsidR="00BD4970">
        <w:rPr>
          <w:rFonts w:ascii="Courier New" w:hAnsi="Courier New" w:cs="Courier New"/>
          <w:sz w:val="24"/>
          <w:szCs w:val="24"/>
        </w:rPr>
        <w:t>2</w:t>
      </w:r>
      <w:r>
        <w:rPr>
          <w:rFonts w:ascii="Courier New" w:hAnsi="Courier New" w:cs="Courier New"/>
          <w:sz w:val="24"/>
          <w:szCs w:val="24"/>
        </w:rPr>
        <w:t xml:space="preserve">] Even if I am wrong and it be found that there are reasonable prospects of success, this is the sort of case where in view of the gross failure to properly explain a delay for the prosecution of an appeal and the lateness of the condonation application, </w:t>
      </w:r>
      <w:r w:rsidR="0001670A">
        <w:rPr>
          <w:rFonts w:ascii="Courier New" w:hAnsi="Courier New" w:cs="Courier New"/>
          <w:sz w:val="24"/>
          <w:szCs w:val="24"/>
        </w:rPr>
        <w:t xml:space="preserve">prospects of success </w:t>
      </w:r>
      <w:r>
        <w:rPr>
          <w:rFonts w:ascii="Courier New" w:hAnsi="Courier New" w:cs="Courier New"/>
          <w:sz w:val="24"/>
          <w:szCs w:val="24"/>
        </w:rPr>
        <w:t xml:space="preserve">ought not to be decisive.  </w:t>
      </w:r>
    </w:p>
    <w:p w:rsidR="00B60DA8" w:rsidRDefault="00B60DA8" w:rsidP="003677D0">
      <w:pPr>
        <w:spacing w:line="480" w:lineRule="auto"/>
        <w:jc w:val="both"/>
        <w:rPr>
          <w:rFonts w:ascii="Courier New" w:hAnsi="Courier New" w:cs="Courier New"/>
          <w:sz w:val="24"/>
          <w:szCs w:val="24"/>
        </w:rPr>
      </w:pPr>
    </w:p>
    <w:p w:rsidR="0019363B" w:rsidRPr="00D529A1" w:rsidRDefault="0019363B" w:rsidP="0019363B">
      <w:pPr>
        <w:spacing w:line="480" w:lineRule="auto"/>
        <w:jc w:val="both"/>
        <w:rPr>
          <w:rFonts w:ascii="Courier New" w:hAnsi="Courier New" w:cs="Courier New"/>
          <w:b/>
          <w:sz w:val="24"/>
          <w:szCs w:val="24"/>
        </w:rPr>
      </w:pPr>
      <w:r w:rsidRPr="00D529A1">
        <w:rPr>
          <w:rFonts w:ascii="Courier New" w:hAnsi="Courier New" w:cs="Courier New"/>
          <w:b/>
          <w:sz w:val="24"/>
          <w:szCs w:val="24"/>
        </w:rPr>
        <w:t>Order</w:t>
      </w:r>
    </w:p>
    <w:p w:rsidR="00D529A1" w:rsidRDefault="008668E5" w:rsidP="00D04B05">
      <w:pPr>
        <w:spacing w:line="480" w:lineRule="auto"/>
        <w:jc w:val="both"/>
        <w:rPr>
          <w:rFonts w:ascii="Courier New" w:hAnsi="Courier New" w:cs="Courier New"/>
          <w:sz w:val="24"/>
          <w:szCs w:val="24"/>
        </w:rPr>
      </w:pPr>
      <w:r>
        <w:rPr>
          <w:rFonts w:ascii="Courier New" w:hAnsi="Courier New" w:cs="Courier New"/>
          <w:sz w:val="24"/>
          <w:szCs w:val="24"/>
        </w:rPr>
        <w:t>[</w:t>
      </w:r>
      <w:r w:rsidR="00BD4970">
        <w:rPr>
          <w:rFonts w:ascii="Courier New" w:hAnsi="Courier New" w:cs="Courier New"/>
          <w:sz w:val="24"/>
          <w:szCs w:val="24"/>
        </w:rPr>
        <w:t>43</w:t>
      </w:r>
      <w:r>
        <w:rPr>
          <w:rFonts w:ascii="Courier New" w:hAnsi="Courier New" w:cs="Courier New"/>
          <w:sz w:val="24"/>
          <w:szCs w:val="24"/>
        </w:rPr>
        <w:t>]</w:t>
      </w:r>
      <w:r w:rsidR="0019363B">
        <w:rPr>
          <w:rFonts w:ascii="Courier New" w:hAnsi="Courier New" w:cs="Courier New"/>
          <w:sz w:val="24"/>
          <w:szCs w:val="24"/>
        </w:rPr>
        <w:t xml:space="preserve"> I therefore make the following order:</w:t>
      </w:r>
      <w:r>
        <w:rPr>
          <w:rFonts w:ascii="Courier New" w:hAnsi="Courier New" w:cs="Courier New"/>
          <w:sz w:val="24"/>
          <w:szCs w:val="24"/>
        </w:rPr>
        <w:t xml:space="preserve"> </w:t>
      </w:r>
    </w:p>
    <w:p w:rsidR="00D529A1" w:rsidRDefault="00B60DA8" w:rsidP="00D04B05">
      <w:pPr>
        <w:spacing w:line="480" w:lineRule="auto"/>
        <w:ind w:left="720"/>
        <w:jc w:val="both"/>
        <w:rPr>
          <w:rFonts w:ascii="Courier New" w:hAnsi="Courier New" w:cs="Courier New"/>
          <w:sz w:val="24"/>
          <w:szCs w:val="24"/>
        </w:rPr>
      </w:pPr>
      <w:r>
        <w:rPr>
          <w:rFonts w:ascii="Courier New" w:hAnsi="Courier New" w:cs="Courier New"/>
          <w:sz w:val="24"/>
          <w:szCs w:val="24"/>
        </w:rPr>
        <w:t xml:space="preserve">(i) </w:t>
      </w:r>
      <w:r w:rsidR="00D529A1">
        <w:rPr>
          <w:rFonts w:ascii="Courier New" w:hAnsi="Courier New" w:cs="Courier New"/>
          <w:sz w:val="24"/>
          <w:szCs w:val="24"/>
        </w:rPr>
        <w:t xml:space="preserve">The application for condonation to </w:t>
      </w:r>
      <w:r w:rsidR="0019363B">
        <w:rPr>
          <w:rFonts w:ascii="Courier New" w:hAnsi="Courier New" w:cs="Courier New"/>
          <w:sz w:val="24"/>
          <w:szCs w:val="24"/>
        </w:rPr>
        <w:t xml:space="preserve">prosecute </w:t>
      </w:r>
      <w:r w:rsidR="00D529A1">
        <w:rPr>
          <w:rFonts w:ascii="Courier New" w:hAnsi="Courier New" w:cs="Courier New"/>
          <w:sz w:val="24"/>
          <w:szCs w:val="24"/>
        </w:rPr>
        <w:t>the appeal against the arbitration award of Mr Mwandingi dated 13 March 2009</w:t>
      </w:r>
      <w:r w:rsidR="0019363B">
        <w:rPr>
          <w:rFonts w:ascii="Courier New" w:hAnsi="Courier New" w:cs="Courier New"/>
          <w:sz w:val="24"/>
          <w:szCs w:val="24"/>
        </w:rPr>
        <w:t>,</w:t>
      </w:r>
      <w:r w:rsidR="00D529A1">
        <w:rPr>
          <w:rFonts w:ascii="Courier New" w:hAnsi="Courier New" w:cs="Courier New"/>
          <w:sz w:val="24"/>
          <w:szCs w:val="24"/>
        </w:rPr>
        <w:t xml:space="preserve"> is </w:t>
      </w:r>
      <w:r w:rsidR="00E41A25">
        <w:rPr>
          <w:rFonts w:ascii="Courier New" w:hAnsi="Courier New" w:cs="Courier New"/>
          <w:sz w:val="24"/>
          <w:szCs w:val="24"/>
        </w:rPr>
        <w:t>dismissed.</w:t>
      </w:r>
    </w:p>
    <w:p w:rsidR="00BB65A3" w:rsidRDefault="00B60DA8" w:rsidP="00D04B05">
      <w:pPr>
        <w:spacing w:line="480" w:lineRule="auto"/>
        <w:ind w:left="720"/>
        <w:jc w:val="both"/>
        <w:rPr>
          <w:rFonts w:ascii="Courier New" w:hAnsi="Courier New" w:cs="Courier New"/>
          <w:sz w:val="24"/>
          <w:szCs w:val="24"/>
        </w:rPr>
      </w:pPr>
      <w:r>
        <w:rPr>
          <w:rFonts w:ascii="Courier New" w:hAnsi="Courier New" w:cs="Courier New"/>
          <w:sz w:val="24"/>
          <w:szCs w:val="24"/>
        </w:rPr>
        <w:t xml:space="preserve">(ii) The registrar is directed to forward </w:t>
      </w:r>
      <w:r w:rsidR="00E41A25">
        <w:rPr>
          <w:rFonts w:ascii="Courier New" w:hAnsi="Courier New" w:cs="Courier New"/>
          <w:sz w:val="24"/>
          <w:szCs w:val="24"/>
        </w:rPr>
        <w:t xml:space="preserve">a </w:t>
      </w:r>
      <w:r>
        <w:rPr>
          <w:rFonts w:ascii="Courier New" w:hAnsi="Courier New" w:cs="Courier New"/>
          <w:sz w:val="24"/>
          <w:szCs w:val="24"/>
        </w:rPr>
        <w:t>cop</w:t>
      </w:r>
      <w:r w:rsidR="00E41A25">
        <w:rPr>
          <w:rFonts w:ascii="Courier New" w:hAnsi="Courier New" w:cs="Courier New"/>
          <w:sz w:val="24"/>
          <w:szCs w:val="24"/>
        </w:rPr>
        <w:t>y</w:t>
      </w:r>
      <w:r>
        <w:rPr>
          <w:rFonts w:ascii="Courier New" w:hAnsi="Courier New" w:cs="Courier New"/>
          <w:sz w:val="24"/>
          <w:szCs w:val="24"/>
        </w:rPr>
        <w:t xml:space="preserve"> of the judgment to the Law Society of Namibia</w:t>
      </w:r>
      <w:r w:rsidR="0001670A">
        <w:rPr>
          <w:rFonts w:ascii="Courier New" w:hAnsi="Courier New" w:cs="Courier New"/>
          <w:sz w:val="24"/>
          <w:szCs w:val="24"/>
        </w:rPr>
        <w:t>.</w:t>
      </w:r>
    </w:p>
    <w:p w:rsidR="00BB65A3" w:rsidRDefault="00BB65A3" w:rsidP="00D04B05">
      <w:pPr>
        <w:spacing w:line="480" w:lineRule="auto"/>
        <w:ind w:left="720"/>
        <w:jc w:val="both"/>
        <w:rPr>
          <w:rFonts w:ascii="Courier New" w:hAnsi="Courier New" w:cs="Courier New"/>
          <w:sz w:val="24"/>
          <w:szCs w:val="24"/>
        </w:rPr>
      </w:pPr>
    </w:p>
    <w:p w:rsidR="00DD3C7F" w:rsidRDefault="0001670A" w:rsidP="00D04B05">
      <w:pPr>
        <w:spacing w:line="480" w:lineRule="auto"/>
        <w:ind w:left="720"/>
        <w:jc w:val="both"/>
        <w:rPr>
          <w:rFonts w:ascii="Courier New" w:hAnsi="Courier New" w:cs="Courier New"/>
          <w:b/>
          <w:sz w:val="24"/>
          <w:szCs w:val="24"/>
        </w:rPr>
      </w:pPr>
      <w:r>
        <w:rPr>
          <w:rFonts w:ascii="Courier New" w:hAnsi="Courier New" w:cs="Courier New"/>
          <w:sz w:val="24"/>
          <w:szCs w:val="24"/>
        </w:rPr>
        <w:t xml:space="preserve"> </w:t>
      </w:r>
    </w:p>
    <w:p w:rsidR="00DD3C7F" w:rsidRDefault="00BB65A3" w:rsidP="00AD5948">
      <w:pPr>
        <w:spacing w:line="480" w:lineRule="auto"/>
        <w:jc w:val="both"/>
        <w:rPr>
          <w:rFonts w:ascii="Courier New" w:hAnsi="Courier New" w:cs="Courier New"/>
          <w:b/>
          <w:sz w:val="24"/>
          <w:szCs w:val="24"/>
        </w:rPr>
      </w:pPr>
      <w:r>
        <w:rPr>
          <w:rFonts w:ascii="Courier New" w:hAnsi="Courier New" w:cs="Courier New"/>
          <w:b/>
          <w:sz w:val="24"/>
          <w:szCs w:val="24"/>
        </w:rPr>
        <w:t>_______________________</w:t>
      </w:r>
    </w:p>
    <w:p w:rsidR="00BC23B5" w:rsidRPr="006A34BB" w:rsidRDefault="006A34BB" w:rsidP="00AD5948">
      <w:pPr>
        <w:spacing w:line="480" w:lineRule="auto"/>
        <w:jc w:val="both"/>
        <w:rPr>
          <w:rFonts w:ascii="Courier New" w:hAnsi="Courier New" w:cs="Courier New"/>
          <w:b/>
          <w:sz w:val="24"/>
          <w:szCs w:val="24"/>
        </w:rPr>
      </w:pPr>
      <w:r w:rsidRPr="006A34BB">
        <w:rPr>
          <w:rFonts w:ascii="Courier New" w:hAnsi="Courier New" w:cs="Courier New"/>
          <w:b/>
          <w:sz w:val="24"/>
          <w:szCs w:val="24"/>
        </w:rPr>
        <w:t>DAMASEB, JP</w:t>
      </w:r>
    </w:p>
    <w:p w:rsidR="00B005C3" w:rsidRDefault="00B005C3" w:rsidP="00B005C3">
      <w:pPr>
        <w:pStyle w:val="ListParagraph"/>
        <w:spacing w:line="480" w:lineRule="auto"/>
        <w:ind w:left="1080"/>
        <w:jc w:val="both"/>
        <w:rPr>
          <w:rFonts w:ascii="Courier New" w:hAnsi="Courier New" w:cs="Courier New"/>
          <w:sz w:val="24"/>
          <w:szCs w:val="24"/>
        </w:rPr>
      </w:pPr>
    </w:p>
    <w:p w:rsidR="00B005C3" w:rsidRDefault="00B005C3" w:rsidP="00B005C3">
      <w:pPr>
        <w:pStyle w:val="ListParagraph"/>
        <w:spacing w:line="480" w:lineRule="auto"/>
        <w:ind w:left="1080"/>
        <w:jc w:val="both"/>
        <w:rPr>
          <w:rFonts w:ascii="Courier New" w:hAnsi="Courier New" w:cs="Courier New"/>
          <w:sz w:val="24"/>
          <w:szCs w:val="24"/>
        </w:rPr>
      </w:pPr>
    </w:p>
    <w:p w:rsidR="00B005C3" w:rsidRDefault="00B005C3" w:rsidP="00B005C3">
      <w:pPr>
        <w:spacing w:after="0" w:line="360" w:lineRule="auto"/>
        <w:jc w:val="both"/>
        <w:rPr>
          <w:rFonts w:ascii="Courier New" w:hAnsi="Courier New" w:cs="Courier New"/>
          <w:sz w:val="24"/>
          <w:szCs w:val="24"/>
        </w:rPr>
      </w:pPr>
    </w:p>
    <w:p w:rsidR="00F91EBD" w:rsidRPr="00234A9B" w:rsidRDefault="00F91EBD" w:rsidP="00F91EBD">
      <w:pPr>
        <w:spacing w:line="480" w:lineRule="auto"/>
        <w:jc w:val="both"/>
        <w:rPr>
          <w:rFonts w:ascii="Courier New" w:hAnsi="Courier New" w:cs="Courier New"/>
          <w:sz w:val="28"/>
          <w:szCs w:val="28"/>
        </w:rPr>
      </w:pPr>
      <w:r w:rsidRPr="005265B7">
        <w:rPr>
          <w:rFonts w:ascii="Courier New" w:hAnsi="Courier New" w:cs="Courier New"/>
          <w:sz w:val="28"/>
          <w:szCs w:val="28"/>
        </w:rPr>
        <w:lastRenderedPageBreak/>
        <w:t xml:space="preserve">COUNSEL ON BEHALF OF THE APPLICANT: </w:t>
      </w:r>
      <w:r w:rsidRPr="005265B7">
        <w:rPr>
          <w:rFonts w:ascii="Courier New" w:hAnsi="Courier New" w:cs="Courier New"/>
          <w:sz w:val="28"/>
          <w:szCs w:val="28"/>
        </w:rPr>
        <w:tab/>
        <w:t xml:space="preserve">   </w:t>
      </w:r>
      <w:r w:rsidR="00234A9B">
        <w:rPr>
          <w:rFonts w:ascii="Courier New" w:hAnsi="Courier New" w:cs="Courier New"/>
          <w:sz w:val="28"/>
          <w:szCs w:val="28"/>
        </w:rPr>
        <w:t>Mr</w:t>
      </w:r>
      <w:r w:rsidRPr="005265B7">
        <w:rPr>
          <w:rFonts w:ascii="Courier New" w:hAnsi="Courier New" w:cs="Courier New"/>
          <w:b/>
          <w:sz w:val="28"/>
          <w:szCs w:val="28"/>
        </w:rPr>
        <w:t xml:space="preserve">. </w:t>
      </w:r>
      <w:r w:rsidRPr="00234A9B">
        <w:rPr>
          <w:rFonts w:ascii="Courier New" w:hAnsi="Courier New" w:cs="Courier New"/>
          <w:sz w:val="28"/>
          <w:szCs w:val="28"/>
        </w:rPr>
        <w:t>MAASDORP</w:t>
      </w:r>
    </w:p>
    <w:p w:rsidR="00F91EBD" w:rsidRPr="005265B7" w:rsidRDefault="00F91EBD" w:rsidP="00F91EBD">
      <w:pPr>
        <w:spacing w:line="480" w:lineRule="auto"/>
        <w:jc w:val="both"/>
        <w:rPr>
          <w:rFonts w:ascii="Courier New" w:hAnsi="Courier New" w:cs="Courier New"/>
          <w:sz w:val="28"/>
          <w:szCs w:val="28"/>
        </w:rPr>
      </w:pPr>
      <w:r w:rsidRPr="005265B7">
        <w:rPr>
          <w:rFonts w:ascii="Courier New" w:hAnsi="Courier New" w:cs="Courier New"/>
          <w:sz w:val="28"/>
          <w:szCs w:val="28"/>
        </w:rPr>
        <w:t xml:space="preserve">INSTRUCTED BY: </w:t>
      </w:r>
      <w:r w:rsidRPr="005265B7">
        <w:rPr>
          <w:rFonts w:ascii="Courier New" w:hAnsi="Courier New" w:cs="Courier New"/>
          <w:sz w:val="28"/>
          <w:szCs w:val="28"/>
        </w:rPr>
        <w:tab/>
      </w:r>
      <w:r w:rsidRPr="005265B7">
        <w:rPr>
          <w:rFonts w:ascii="Courier New" w:hAnsi="Courier New" w:cs="Courier New"/>
          <w:sz w:val="28"/>
          <w:szCs w:val="28"/>
        </w:rPr>
        <w:tab/>
        <w:t>GF KOPPLINGER LEGAL PRACTITIONERS</w:t>
      </w:r>
    </w:p>
    <w:p w:rsidR="00F91EBD" w:rsidRPr="005265B7" w:rsidRDefault="00F91EBD" w:rsidP="00F91EBD">
      <w:pPr>
        <w:spacing w:line="480" w:lineRule="auto"/>
        <w:jc w:val="both"/>
        <w:rPr>
          <w:rFonts w:ascii="Courier New" w:hAnsi="Courier New" w:cs="Courier New"/>
          <w:sz w:val="28"/>
          <w:szCs w:val="28"/>
        </w:rPr>
      </w:pPr>
    </w:p>
    <w:p w:rsidR="00F91EBD" w:rsidRPr="00234A9B" w:rsidRDefault="00F91EBD" w:rsidP="00F91EBD">
      <w:pPr>
        <w:spacing w:line="480" w:lineRule="auto"/>
        <w:jc w:val="both"/>
        <w:rPr>
          <w:rFonts w:ascii="Courier New" w:hAnsi="Courier New" w:cs="Courier New"/>
          <w:sz w:val="28"/>
          <w:szCs w:val="28"/>
        </w:rPr>
      </w:pPr>
      <w:r w:rsidRPr="005265B7">
        <w:rPr>
          <w:rFonts w:ascii="Courier New" w:hAnsi="Courier New" w:cs="Courier New"/>
          <w:sz w:val="28"/>
          <w:szCs w:val="28"/>
        </w:rPr>
        <w:t xml:space="preserve">COUNSEL ON BEHALF OF THE RESPONDENTS: </w:t>
      </w:r>
      <w:r w:rsidRPr="005265B7">
        <w:rPr>
          <w:rFonts w:ascii="Courier New" w:hAnsi="Courier New" w:cs="Courier New"/>
          <w:sz w:val="28"/>
          <w:szCs w:val="28"/>
        </w:rPr>
        <w:tab/>
      </w:r>
      <w:r w:rsidRPr="005265B7">
        <w:rPr>
          <w:rFonts w:ascii="Courier New" w:hAnsi="Courier New" w:cs="Courier New"/>
          <w:sz w:val="28"/>
          <w:szCs w:val="28"/>
        </w:rPr>
        <w:tab/>
        <w:t xml:space="preserve"> </w:t>
      </w:r>
      <w:r w:rsidRPr="00234A9B">
        <w:rPr>
          <w:rFonts w:ascii="Courier New" w:hAnsi="Courier New" w:cs="Courier New"/>
          <w:sz w:val="28"/>
          <w:szCs w:val="28"/>
        </w:rPr>
        <w:t>MR. IIPUMBU</w:t>
      </w:r>
    </w:p>
    <w:p w:rsidR="00F91EBD" w:rsidRPr="005265B7" w:rsidRDefault="00234A9B" w:rsidP="00F91EBD">
      <w:pPr>
        <w:spacing w:line="480" w:lineRule="auto"/>
        <w:jc w:val="both"/>
        <w:rPr>
          <w:rFonts w:ascii="Courier New" w:hAnsi="Courier New" w:cs="Courier New"/>
          <w:sz w:val="28"/>
          <w:szCs w:val="28"/>
        </w:rPr>
      </w:pPr>
      <w:r>
        <w:rPr>
          <w:rFonts w:ascii="Courier New" w:hAnsi="Courier New" w:cs="Courier New"/>
          <w:sz w:val="28"/>
          <w:szCs w:val="28"/>
        </w:rPr>
        <w:t>OF</w:t>
      </w:r>
      <w:r w:rsidR="00F91EBD" w:rsidRPr="005265B7">
        <w:rPr>
          <w:rFonts w:ascii="Courier New" w:hAnsi="Courier New" w:cs="Courier New"/>
          <w:sz w:val="28"/>
          <w:szCs w:val="28"/>
        </w:rPr>
        <w:t xml:space="preserve">: </w:t>
      </w:r>
      <w:r w:rsidR="00F91EBD" w:rsidRPr="005265B7">
        <w:rPr>
          <w:rFonts w:ascii="Courier New" w:hAnsi="Courier New" w:cs="Courier New"/>
          <w:sz w:val="28"/>
          <w:szCs w:val="28"/>
        </w:rPr>
        <w:tab/>
      </w:r>
      <w:r w:rsidR="00F91EBD" w:rsidRPr="005265B7">
        <w:rPr>
          <w:rFonts w:ascii="Courier New" w:hAnsi="Courier New" w:cs="Courier New"/>
          <w:sz w:val="28"/>
          <w:szCs w:val="28"/>
        </w:rPr>
        <w:tab/>
        <w:t xml:space="preserve"> </w:t>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sidR="00F91EBD" w:rsidRPr="005265B7">
        <w:rPr>
          <w:rFonts w:ascii="Courier New" w:hAnsi="Courier New" w:cs="Courier New"/>
          <w:sz w:val="28"/>
          <w:szCs w:val="28"/>
        </w:rPr>
        <w:t>TITUS IIPUMBU LEGAL PRACTITIONERS</w:t>
      </w:r>
    </w:p>
    <w:p w:rsidR="00F91EBD" w:rsidRPr="005265B7" w:rsidRDefault="00F91EBD" w:rsidP="00F91EBD">
      <w:pPr>
        <w:spacing w:line="480" w:lineRule="auto"/>
        <w:ind w:left="720"/>
        <w:jc w:val="both"/>
        <w:rPr>
          <w:rFonts w:ascii="Courier New" w:hAnsi="Courier New" w:cs="Courier New"/>
          <w:sz w:val="28"/>
          <w:szCs w:val="28"/>
        </w:rPr>
      </w:pPr>
    </w:p>
    <w:sectPr w:rsidR="00F91EBD" w:rsidRPr="005265B7" w:rsidSect="008F76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21" w:rsidRDefault="00FD0B21" w:rsidP="00F909B4">
      <w:pPr>
        <w:spacing w:after="0" w:line="240" w:lineRule="auto"/>
      </w:pPr>
      <w:r>
        <w:separator/>
      </w:r>
    </w:p>
  </w:endnote>
  <w:endnote w:type="continuationSeparator" w:id="0">
    <w:p w:rsidR="00FD0B21" w:rsidRDefault="00FD0B21" w:rsidP="00F9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9B" w:rsidRDefault="00074CC5">
    <w:pPr>
      <w:pStyle w:val="Footer"/>
      <w:jc w:val="center"/>
    </w:pPr>
    <w:r>
      <w:fldChar w:fldCharType="begin"/>
    </w:r>
    <w:r>
      <w:instrText xml:space="preserve"> PAGE   \* MERGEFORMAT </w:instrText>
    </w:r>
    <w:r>
      <w:fldChar w:fldCharType="separate"/>
    </w:r>
    <w:r w:rsidR="002D047B">
      <w:rPr>
        <w:noProof/>
      </w:rPr>
      <w:t>1</w:t>
    </w:r>
    <w:r>
      <w:fldChar w:fldCharType="end"/>
    </w:r>
  </w:p>
  <w:p w:rsidR="00234A9B" w:rsidRDefault="00234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21" w:rsidRDefault="00FD0B21" w:rsidP="00F909B4">
      <w:pPr>
        <w:spacing w:after="0" w:line="240" w:lineRule="auto"/>
      </w:pPr>
      <w:r>
        <w:separator/>
      </w:r>
    </w:p>
  </w:footnote>
  <w:footnote w:type="continuationSeparator" w:id="0">
    <w:p w:rsidR="00FD0B21" w:rsidRDefault="00FD0B21" w:rsidP="00F909B4">
      <w:pPr>
        <w:spacing w:after="0" w:line="240" w:lineRule="auto"/>
      </w:pPr>
      <w:r>
        <w:continuationSeparator/>
      </w:r>
    </w:p>
  </w:footnote>
  <w:footnote w:id="1">
    <w:p w:rsidR="000100F3" w:rsidRPr="00AF5795" w:rsidRDefault="000100F3" w:rsidP="00AF5795">
      <w:pPr>
        <w:spacing w:line="240" w:lineRule="auto"/>
        <w:jc w:val="both"/>
        <w:rPr>
          <w:rFonts w:ascii="Courier New" w:hAnsi="Courier New" w:cs="Courier New"/>
          <w:sz w:val="20"/>
          <w:szCs w:val="20"/>
        </w:rPr>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sz w:val="20"/>
          <w:szCs w:val="20"/>
        </w:rPr>
        <w:t>Sub rule (3)</w:t>
      </w:r>
      <w:r w:rsidR="00F83B4B" w:rsidRPr="00AF5795">
        <w:rPr>
          <w:rFonts w:ascii="Courier New" w:hAnsi="Courier New" w:cs="Courier New"/>
          <w:sz w:val="20"/>
          <w:szCs w:val="20"/>
        </w:rPr>
        <w:t xml:space="preserve"> of rule 89</w:t>
      </w:r>
      <w:r w:rsidRPr="00AF5795">
        <w:rPr>
          <w:rFonts w:ascii="Courier New" w:hAnsi="Courier New" w:cs="Courier New"/>
          <w:sz w:val="20"/>
          <w:szCs w:val="20"/>
        </w:rPr>
        <w:t xml:space="preserve"> reads:</w:t>
      </w:r>
    </w:p>
    <w:p w:rsidR="000100F3" w:rsidRPr="00AF5795" w:rsidRDefault="000100F3" w:rsidP="00AF5795">
      <w:pPr>
        <w:spacing w:line="240" w:lineRule="auto"/>
        <w:ind w:left="720"/>
        <w:jc w:val="both"/>
        <w:rPr>
          <w:rFonts w:ascii="Courier New" w:hAnsi="Courier New" w:cs="Courier New"/>
          <w:sz w:val="20"/>
          <w:szCs w:val="20"/>
        </w:rPr>
      </w:pPr>
      <w:r w:rsidRPr="00AF5795">
        <w:rPr>
          <w:rFonts w:ascii="Courier New" w:hAnsi="Courier New" w:cs="Courier New"/>
          <w:sz w:val="20"/>
          <w:szCs w:val="20"/>
        </w:rPr>
        <w:t>“(3) The Labour Court may condone the late noting of an appeal on good cause shown.”</w:t>
      </w:r>
    </w:p>
    <w:p w:rsidR="00000000" w:rsidRDefault="00B66242" w:rsidP="00AF5795">
      <w:pPr>
        <w:spacing w:line="240" w:lineRule="auto"/>
        <w:jc w:val="both"/>
      </w:pPr>
      <w:r w:rsidRPr="00AF5795">
        <w:rPr>
          <w:rFonts w:ascii="Courier New" w:hAnsi="Courier New" w:cs="Courier New"/>
          <w:sz w:val="20"/>
          <w:szCs w:val="20"/>
        </w:rPr>
        <w:t>(This</w:t>
      </w:r>
      <w:r w:rsidR="007F7B66" w:rsidRPr="00AF5795">
        <w:rPr>
          <w:rFonts w:ascii="Courier New" w:hAnsi="Courier New" w:cs="Courier New"/>
          <w:sz w:val="20"/>
          <w:szCs w:val="20"/>
        </w:rPr>
        <w:t xml:space="preserve"> subrule</w:t>
      </w:r>
      <w:r w:rsidRPr="00AF5795">
        <w:rPr>
          <w:rFonts w:ascii="Courier New" w:hAnsi="Courier New" w:cs="Courier New"/>
          <w:sz w:val="20"/>
          <w:szCs w:val="20"/>
        </w:rPr>
        <w:t xml:space="preserve"> should be read with rule 15)</w:t>
      </w:r>
    </w:p>
  </w:footnote>
  <w:footnote w:id="2">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Rule 17 of the Labour Court rules also prescribes the same period within which an appeal or review should be noted.</w:t>
      </w:r>
    </w:p>
  </w:footnote>
  <w:footnote w:id="3">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i/>
        </w:rPr>
        <w:t>Swanepoel v Marais and Others</w:t>
      </w:r>
      <w:r w:rsidRPr="00AF5795">
        <w:rPr>
          <w:rFonts w:ascii="Courier New" w:hAnsi="Courier New" w:cs="Courier New"/>
        </w:rPr>
        <w:t xml:space="preserve"> 1992 NR</w:t>
      </w:r>
      <w:r w:rsidR="006F2A3C">
        <w:rPr>
          <w:rFonts w:ascii="Courier New" w:hAnsi="Courier New" w:cs="Courier New"/>
        </w:rPr>
        <w:t xml:space="preserve"> </w:t>
      </w:r>
      <w:r w:rsidRPr="00AF5795">
        <w:rPr>
          <w:rFonts w:ascii="Courier New" w:hAnsi="Courier New" w:cs="Courier New"/>
        </w:rPr>
        <w:t>1 at 2J-3A.</w:t>
      </w:r>
    </w:p>
  </w:footnote>
  <w:footnote w:id="4">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Beukes and Another v Swabou and Others [2010] NASC 14 (5 </w:t>
      </w:r>
      <w:r w:rsidR="00B36B9C" w:rsidRPr="00AF5795">
        <w:rPr>
          <w:rFonts w:ascii="Courier New" w:hAnsi="Courier New" w:cs="Courier New"/>
        </w:rPr>
        <w:t>November</w:t>
      </w:r>
      <w:r w:rsidRPr="00AF5795">
        <w:rPr>
          <w:rFonts w:ascii="Courier New" w:hAnsi="Courier New" w:cs="Courier New"/>
        </w:rPr>
        <w:t xml:space="preserve"> 2010), para 12.</w:t>
      </w:r>
    </w:p>
  </w:footnote>
  <w:footnote w:id="5">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i/>
        </w:rPr>
        <w:t xml:space="preserve">Father  Gert Dominic Petrus v Roman Catholic </w:t>
      </w:r>
      <w:r w:rsidR="00B36B9C" w:rsidRPr="00AF5795">
        <w:rPr>
          <w:rFonts w:ascii="Courier New" w:hAnsi="Courier New" w:cs="Courier New"/>
          <w:i/>
        </w:rPr>
        <w:t>Archdiocese</w:t>
      </w:r>
      <w:r w:rsidRPr="00AF5795">
        <w:rPr>
          <w:rFonts w:ascii="Courier New" w:hAnsi="Courier New" w:cs="Courier New"/>
          <w:i/>
        </w:rPr>
        <w:t xml:space="preserve"> </w:t>
      </w:r>
      <w:r w:rsidR="00AF5795" w:rsidRPr="00AF5795">
        <w:rPr>
          <w:rFonts w:ascii="Courier New" w:hAnsi="Courier New" w:cs="Courier New"/>
        </w:rPr>
        <w:t>, SA 32/2009, delivered on 09 June 2011, para 9.</w:t>
      </w:r>
    </w:p>
  </w:footnote>
  <w:footnote w:id="6">
    <w:p w:rsidR="00000000" w:rsidRDefault="00234A9B" w:rsidP="00AF5795">
      <w:pPr>
        <w:pStyle w:val="FootnoteText"/>
        <w:jc w:val="both"/>
      </w:pPr>
      <w:r w:rsidRPr="00AF5795">
        <w:rPr>
          <w:rStyle w:val="FootnoteReference"/>
          <w:rFonts w:ascii="Courier New" w:hAnsi="Courier New" w:cs="Courier New"/>
          <w:i/>
        </w:rPr>
        <w:footnoteRef/>
      </w:r>
      <w:r w:rsidRPr="00AF5795">
        <w:rPr>
          <w:rFonts w:ascii="Courier New" w:hAnsi="Courier New" w:cs="Courier New"/>
          <w:i/>
        </w:rPr>
        <w:t xml:space="preserve"> Beukes and Another v Swabou and Others</w:t>
      </w:r>
      <w:r w:rsidRPr="00AF5795">
        <w:rPr>
          <w:rFonts w:ascii="Courier New" w:hAnsi="Courier New" w:cs="Courier New"/>
        </w:rPr>
        <w:t xml:space="preserve"> [2010] NASC 14(5 November 2010), para 13.</w:t>
      </w:r>
    </w:p>
  </w:footnote>
  <w:footnote w:id="7">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i/>
        </w:rPr>
        <w:t xml:space="preserve">Ondjava Construction CC v HAW Retailers </w:t>
      </w:r>
      <w:r w:rsidRPr="00AF5795">
        <w:rPr>
          <w:rFonts w:ascii="Courier New" w:hAnsi="Courier New" w:cs="Courier New"/>
        </w:rPr>
        <w:t>2010 (1) NR 286(SC) at 288B, para 5.</w:t>
      </w:r>
    </w:p>
  </w:footnote>
  <w:footnote w:id="8">
    <w:p w:rsidR="00000000" w:rsidRDefault="00897E8C"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Pitersen-Diergaardt v Fischer 2008(1) NR 307C-D(HC)</w:t>
      </w:r>
    </w:p>
  </w:footnote>
  <w:footnote w:id="9">
    <w:p w:rsidR="00000000" w:rsidRDefault="00234A9B" w:rsidP="00AF5795">
      <w:pPr>
        <w:pStyle w:val="FootnoteText"/>
        <w:jc w:val="both"/>
      </w:pPr>
      <w:r w:rsidRPr="00AF5795">
        <w:rPr>
          <w:rStyle w:val="FootnoteReference"/>
          <w:rFonts w:ascii="Courier New" w:hAnsi="Courier New" w:cs="Courier New"/>
          <w:i/>
        </w:rPr>
        <w:footnoteRef/>
      </w:r>
      <w:r w:rsidRPr="00AF5795">
        <w:rPr>
          <w:rFonts w:ascii="Courier New" w:hAnsi="Courier New" w:cs="Courier New"/>
          <w:i/>
        </w:rPr>
        <w:t xml:space="preserve"> Unitrans Fuel and Chemical (Pty) Ltd v Gove –Co carriers CC </w:t>
      </w:r>
      <w:r w:rsidRPr="00AF5795">
        <w:rPr>
          <w:rFonts w:ascii="Courier New" w:hAnsi="Courier New" w:cs="Courier New"/>
        </w:rPr>
        <w:t>2010</w:t>
      </w:r>
      <w:r w:rsidR="00AF5795" w:rsidRPr="00AF5795">
        <w:rPr>
          <w:rFonts w:ascii="Courier New" w:hAnsi="Courier New" w:cs="Courier New"/>
        </w:rPr>
        <w:t xml:space="preserve"> </w:t>
      </w:r>
      <w:r w:rsidRPr="00AF5795">
        <w:rPr>
          <w:rFonts w:ascii="Courier New" w:hAnsi="Courier New" w:cs="Courier New"/>
        </w:rPr>
        <w:t>(5) SA 340,  para 28</w:t>
      </w:r>
    </w:p>
  </w:footnote>
  <w:footnote w:id="10">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i/>
        </w:rPr>
        <w:t>Salojee and Another NNO v Minister of Community Development</w:t>
      </w:r>
      <w:r w:rsidRPr="00AF5795">
        <w:rPr>
          <w:rFonts w:ascii="Courier New" w:hAnsi="Courier New" w:cs="Courier New"/>
        </w:rPr>
        <w:t xml:space="preserve"> 1965 (2) SA 135(A) at 141B</w:t>
      </w:r>
      <w:r w:rsidRPr="00AF5795">
        <w:rPr>
          <w:rFonts w:ascii="Courier New" w:hAnsi="Courier New" w:cs="Courier New"/>
          <w:i/>
        </w:rPr>
        <w:t xml:space="preserve">; Moraliswani v Mamili </w:t>
      </w:r>
      <w:r w:rsidRPr="00AF5795">
        <w:rPr>
          <w:rFonts w:ascii="Courier New" w:hAnsi="Courier New" w:cs="Courier New"/>
        </w:rPr>
        <w:t xml:space="preserve">1989(4) SA 1 (AD) at p.10; </w:t>
      </w:r>
      <w:r w:rsidRPr="00AF5795">
        <w:rPr>
          <w:rFonts w:ascii="Courier New" w:hAnsi="Courier New" w:cs="Courier New"/>
          <w:i/>
        </w:rPr>
        <w:t>Maia v Total Namibia (Pty) Ltd</w:t>
      </w:r>
      <w:r w:rsidRPr="00AF5795">
        <w:rPr>
          <w:rFonts w:ascii="Courier New" w:hAnsi="Courier New" w:cs="Courier New"/>
        </w:rPr>
        <w:t xml:space="preserve">  1998 NR 303</w:t>
      </w:r>
      <w:r w:rsidR="00AF5795" w:rsidRPr="00AF5795">
        <w:rPr>
          <w:rFonts w:ascii="Courier New" w:hAnsi="Courier New" w:cs="Courier New"/>
        </w:rPr>
        <w:t xml:space="preserve"> </w:t>
      </w:r>
      <w:r w:rsidRPr="00AF5795">
        <w:rPr>
          <w:rFonts w:ascii="Courier New" w:hAnsi="Courier New" w:cs="Courier New"/>
        </w:rPr>
        <w:t xml:space="preserve">(HC) at 304; </w:t>
      </w:r>
      <w:r w:rsidRPr="00AF5795">
        <w:rPr>
          <w:rFonts w:ascii="Courier New" w:hAnsi="Courier New" w:cs="Courier New"/>
          <w:i/>
        </w:rPr>
        <w:t>Ark Trading v Meredien Financial Services Namibia (Pty) Ltd</w:t>
      </w:r>
      <w:r w:rsidRPr="00AF5795">
        <w:rPr>
          <w:rFonts w:ascii="Courier New" w:hAnsi="Courier New" w:cs="Courier New"/>
        </w:rPr>
        <w:t xml:space="preserve"> 1999 NR 230 at 238D-I.</w:t>
      </w:r>
    </w:p>
  </w:footnote>
  <w:footnote w:id="11">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i/>
        </w:rPr>
        <w:t>Swanepoel, supra</w:t>
      </w:r>
      <w:r w:rsidRPr="00AF5795">
        <w:rPr>
          <w:rFonts w:ascii="Courier New" w:hAnsi="Courier New" w:cs="Courier New"/>
        </w:rPr>
        <w:t xml:space="preserve"> at 3C; </w:t>
      </w:r>
      <w:r w:rsidRPr="00AF5795">
        <w:rPr>
          <w:rFonts w:ascii="Courier New" w:hAnsi="Courier New" w:cs="Courier New"/>
          <w:i/>
        </w:rPr>
        <w:t>Channel Life Namibia (Pty) Ltd v Otto</w:t>
      </w:r>
      <w:r w:rsidRPr="00AF5795">
        <w:rPr>
          <w:rFonts w:ascii="Courier New" w:hAnsi="Courier New" w:cs="Courier New"/>
        </w:rPr>
        <w:t xml:space="preserve"> 2008</w:t>
      </w:r>
      <w:r w:rsidR="00AF5795" w:rsidRPr="00AF5795">
        <w:rPr>
          <w:rFonts w:ascii="Courier New" w:hAnsi="Courier New" w:cs="Courier New"/>
        </w:rPr>
        <w:t xml:space="preserve"> </w:t>
      </w:r>
      <w:r w:rsidRPr="00AF5795">
        <w:rPr>
          <w:rFonts w:ascii="Courier New" w:hAnsi="Courier New" w:cs="Courier New"/>
        </w:rPr>
        <w:t xml:space="preserve">(2) NR 432(SC) at </w:t>
      </w:r>
      <w:r w:rsidR="00B36B9C" w:rsidRPr="00AF5795">
        <w:rPr>
          <w:rFonts w:ascii="Courier New" w:hAnsi="Courier New" w:cs="Courier New"/>
        </w:rPr>
        <w:t>445,</w:t>
      </w:r>
      <w:r w:rsidRPr="00AF5795">
        <w:rPr>
          <w:rFonts w:ascii="Courier New" w:hAnsi="Courier New" w:cs="Courier New"/>
        </w:rPr>
        <w:t xml:space="preserve"> para 47.</w:t>
      </w:r>
    </w:p>
  </w:footnote>
  <w:footnote w:id="12">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i/>
        </w:rPr>
        <w:t>Swanepoel, supra</w:t>
      </w:r>
      <w:r w:rsidRPr="00AF5795">
        <w:rPr>
          <w:rFonts w:ascii="Courier New" w:hAnsi="Courier New" w:cs="Courier New"/>
        </w:rPr>
        <w:t xml:space="preserve"> at 5A-C; Vaatz: </w:t>
      </w:r>
      <w:r w:rsidRPr="00AF5795">
        <w:rPr>
          <w:rFonts w:ascii="Courier New" w:hAnsi="Courier New" w:cs="Courier New"/>
          <w:i/>
        </w:rPr>
        <w:t>In re Schweiger v Gamikub (Pty) Ltd</w:t>
      </w:r>
      <w:r w:rsidRPr="00AF5795">
        <w:rPr>
          <w:rFonts w:ascii="Courier New" w:hAnsi="Courier New" w:cs="Courier New"/>
        </w:rPr>
        <w:t xml:space="preserve"> 2006 (Pty) Ltd 2006 (1) NR 161 (HC</w:t>
      </w:r>
      <w:r w:rsidR="00B36B9C" w:rsidRPr="00AF5795">
        <w:rPr>
          <w:rFonts w:ascii="Courier New" w:hAnsi="Courier New" w:cs="Courier New"/>
        </w:rPr>
        <w:t>),</w:t>
      </w:r>
      <w:r w:rsidRPr="00AF5795">
        <w:rPr>
          <w:rFonts w:ascii="Courier New" w:hAnsi="Courier New" w:cs="Courier New"/>
        </w:rPr>
        <w:t xml:space="preserve"> para</w:t>
      </w:r>
      <w:r w:rsidR="000565CF" w:rsidRPr="00AF5795">
        <w:rPr>
          <w:rFonts w:ascii="Courier New" w:hAnsi="Courier New" w:cs="Courier New"/>
        </w:rPr>
        <w:t>; Father</w:t>
      </w:r>
      <w:r w:rsidR="003320DD" w:rsidRPr="00AF5795">
        <w:rPr>
          <w:rFonts w:ascii="Courier New" w:hAnsi="Courier New" w:cs="Courier New"/>
        </w:rPr>
        <w:t xml:space="preserve"> Gert Dominic Petrus </w:t>
      </w:r>
      <w:r w:rsidR="000565CF" w:rsidRPr="00AF5795">
        <w:rPr>
          <w:rFonts w:ascii="Courier New" w:hAnsi="Courier New" w:cs="Courier New"/>
        </w:rPr>
        <w:t>v Roman</w:t>
      </w:r>
      <w:r w:rsidR="003320DD" w:rsidRPr="00AF5795">
        <w:rPr>
          <w:rFonts w:ascii="Courier New" w:hAnsi="Courier New" w:cs="Courier New"/>
        </w:rPr>
        <w:t xml:space="preserve"> Catholic </w:t>
      </w:r>
      <w:r w:rsidR="000565CF" w:rsidRPr="00AF5795">
        <w:rPr>
          <w:rFonts w:ascii="Courier New" w:hAnsi="Courier New" w:cs="Courier New"/>
        </w:rPr>
        <w:t>Diocese</w:t>
      </w:r>
      <w:r w:rsidR="00AC72A8">
        <w:rPr>
          <w:rFonts w:ascii="Courier New" w:hAnsi="Courier New" w:cs="Courier New"/>
        </w:rPr>
        <w:t>,</w:t>
      </w:r>
      <w:r w:rsidR="000565CF" w:rsidRPr="00AF5795">
        <w:rPr>
          <w:rFonts w:ascii="Courier New" w:hAnsi="Courier New" w:cs="Courier New"/>
        </w:rPr>
        <w:t xml:space="preserve"> case</w:t>
      </w:r>
      <w:r w:rsidR="003320DD" w:rsidRPr="00AF5795">
        <w:rPr>
          <w:rFonts w:ascii="Courier New" w:hAnsi="Courier New" w:cs="Courier New"/>
        </w:rPr>
        <w:t xml:space="preserve"> No. </w:t>
      </w:r>
      <w:r w:rsidR="000565CF" w:rsidRPr="00AF5795">
        <w:rPr>
          <w:rFonts w:ascii="Courier New" w:hAnsi="Courier New" w:cs="Courier New"/>
        </w:rPr>
        <w:t>SA 32/2009, delivered on 9 June 2011, page 5 at paragraph 10.</w:t>
      </w:r>
    </w:p>
  </w:footnote>
  <w:footnote w:id="13">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color w:val="000000"/>
        </w:rPr>
        <w:t>1985 (4) SA 773 (A)</w:t>
      </w:r>
    </w:p>
  </w:footnote>
  <w:footnote w:id="14">
    <w:p w:rsidR="00000000" w:rsidRDefault="00897E8C"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Melane v Santam Insurance Co Ltd 1962 (4) SA 531 (A).</w:t>
      </w:r>
    </w:p>
  </w:footnote>
  <w:footnote w:id="15">
    <w:p w:rsidR="00000000" w:rsidRDefault="00234A9B"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color w:val="000000"/>
        </w:rPr>
        <w:t>1998 (3) SA 34 (SCA) at 40I-41D</w:t>
      </w:r>
    </w:p>
  </w:footnote>
  <w:footnote w:id="16">
    <w:p w:rsidR="00000000" w:rsidRDefault="00E41A25" w:rsidP="00AF5795">
      <w:pPr>
        <w:pStyle w:val="FootnoteText"/>
        <w:jc w:val="both"/>
      </w:pPr>
      <w:r w:rsidRPr="00AF5795">
        <w:rPr>
          <w:rStyle w:val="FootnoteReference"/>
          <w:rFonts w:ascii="Courier New" w:hAnsi="Courier New" w:cs="Courier New"/>
        </w:rPr>
        <w:footnoteRef/>
      </w:r>
      <w:r w:rsidRPr="00AF5795">
        <w:rPr>
          <w:rFonts w:ascii="Courier New" w:hAnsi="Courier New" w:cs="Courier New"/>
        </w:rPr>
        <w:t xml:space="preserve"> </w:t>
      </w:r>
      <w:r w:rsidRPr="00AF5795">
        <w:rPr>
          <w:rFonts w:ascii="Courier New" w:hAnsi="Courier New" w:cs="Courier New"/>
          <w:sz w:val="24"/>
          <w:szCs w:val="24"/>
        </w:rPr>
        <w:t>1996 (2) SA 581(W) at 587.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0"/>
    <w:multiLevelType w:val="hybridMultilevel"/>
    <w:tmpl w:val="E0F248E0"/>
    <w:lvl w:ilvl="0" w:tplc="AABEE74C">
      <w:start w:val="1"/>
      <w:numFmt w:val="decimal"/>
      <w:lvlText w:val="[%1]"/>
      <w:lvlJc w:val="left"/>
      <w:pPr>
        <w:ind w:left="720" w:hanging="360"/>
      </w:pPr>
      <w:rPr>
        <w:rFonts w:ascii="Arial" w:hAnsi="Arial" w:cs="Times New Roman" w:hint="default"/>
        <w:b w:val="0"/>
        <w:i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E0D1FED"/>
    <w:multiLevelType w:val="hybridMultilevel"/>
    <w:tmpl w:val="2D58F02C"/>
    <w:lvl w:ilvl="0" w:tplc="94B44F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BB402C4"/>
    <w:multiLevelType w:val="hybridMultilevel"/>
    <w:tmpl w:val="92508E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6664458"/>
    <w:multiLevelType w:val="hybridMultilevel"/>
    <w:tmpl w:val="CB74AB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373AC2"/>
    <w:multiLevelType w:val="hybridMultilevel"/>
    <w:tmpl w:val="39B6674C"/>
    <w:lvl w:ilvl="0" w:tplc="A330F972">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74559CC"/>
    <w:multiLevelType w:val="hybridMultilevel"/>
    <w:tmpl w:val="47061466"/>
    <w:lvl w:ilvl="0" w:tplc="4318690C">
      <w:start w:val="1"/>
      <w:numFmt w:val="lowerRoman"/>
      <w:lvlText w:val="(%1)"/>
      <w:lvlJc w:val="left"/>
      <w:pPr>
        <w:ind w:left="1800" w:hanging="108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81"/>
    <w:rsid w:val="00003FDA"/>
    <w:rsid w:val="000100F3"/>
    <w:rsid w:val="00010859"/>
    <w:rsid w:val="0001440D"/>
    <w:rsid w:val="0001670A"/>
    <w:rsid w:val="00043550"/>
    <w:rsid w:val="00044C17"/>
    <w:rsid w:val="000565CF"/>
    <w:rsid w:val="00062872"/>
    <w:rsid w:val="00062DD1"/>
    <w:rsid w:val="00066A82"/>
    <w:rsid w:val="00074CC5"/>
    <w:rsid w:val="00090D71"/>
    <w:rsid w:val="000918C0"/>
    <w:rsid w:val="00093D6A"/>
    <w:rsid w:val="000A3ECC"/>
    <w:rsid w:val="000B1A46"/>
    <w:rsid w:val="000B6807"/>
    <w:rsid w:val="000D1A46"/>
    <w:rsid w:val="00102729"/>
    <w:rsid w:val="00104EEC"/>
    <w:rsid w:val="00110394"/>
    <w:rsid w:val="00111250"/>
    <w:rsid w:val="00132BA9"/>
    <w:rsid w:val="001579D3"/>
    <w:rsid w:val="0017546A"/>
    <w:rsid w:val="0019363B"/>
    <w:rsid w:val="001A0DFE"/>
    <w:rsid w:val="001A587B"/>
    <w:rsid w:val="001D1AAC"/>
    <w:rsid w:val="001D2BC3"/>
    <w:rsid w:val="001D4B37"/>
    <w:rsid w:val="001D7D84"/>
    <w:rsid w:val="001E2A5B"/>
    <w:rsid w:val="001E69A2"/>
    <w:rsid w:val="001F25A1"/>
    <w:rsid w:val="001F4604"/>
    <w:rsid w:val="002008F8"/>
    <w:rsid w:val="00201716"/>
    <w:rsid w:val="002309D5"/>
    <w:rsid w:val="00234A9B"/>
    <w:rsid w:val="00235F1D"/>
    <w:rsid w:val="00237835"/>
    <w:rsid w:val="00293A55"/>
    <w:rsid w:val="002975BA"/>
    <w:rsid w:val="002B3C99"/>
    <w:rsid w:val="002C54A9"/>
    <w:rsid w:val="002D047B"/>
    <w:rsid w:val="002D73A1"/>
    <w:rsid w:val="002E758F"/>
    <w:rsid w:val="002F0D05"/>
    <w:rsid w:val="0032208B"/>
    <w:rsid w:val="003320DD"/>
    <w:rsid w:val="00336050"/>
    <w:rsid w:val="00337960"/>
    <w:rsid w:val="00360F54"/>
    <w:rsid w:val="003677D0"/>
    <w:rsid w:val="003826E5"/>
    <w:rsid w:val="003A505D"/>
    <w:rsid w:val="003D7910"/>
    <w:rsid w:val="003E5AA6"/>
    <w:rsid w:val="004115F1"/>
    <w:rsid w:val="00462F04"/>
    <w:rsid w:val="0046442C"/>
    <w:rsid w:val="004668A4"/>
    <w:rsid w:val="00480C15"/>
    <w:rsid w:val="00491281"/>
    <w:rsid w:val="00493587"/>
    <w:rsid w:val="004A27B5"/>
    <w:rsid w:val="004A4FE5"/>
    <w:rsid w:val="004A7E97"/>
    <w:rsid w:val="0051019D"/>
    <w:rsid w:val="00510527"/>
    <w:rsid w:val="00515719"/>
    <w:rsid w:val="005265B7"/>
    <w:rsid w:val="0053424E"/>
    <w:rsid w:val="00560E8E"/>
    <w:rsid w:val="00561E05"/>
    <w:rsid w:val="005629A9"/>
    <w:rsid w:val="005648EB"/>
    <w:rsid w:val="00571721"/>
    <w:rsid w:val="00573669"/>
    <w:rsid w:val="005764F9"/>
    <w:rsid w:val="005841BE"/>
    <w:rsid w:val="005A10F0"/>
    <w:rsid w:val="005B1870"/>
    <w:rsid w:val="005E18EA"/>
    <w:rsid w:val="005F5BA0"/>
    <w:rsid w:val="005F6CDE"/>
    <w:rsid w:val="00610B7D"/>
    <w:rsid w:val="00615EBF"/>
    <w:rsid w:val="006200F6"/>
    <w:rsid w:val="0062751C"/>
    <w:rsid w:val="006426D5"/>
    <w:rsid w:val="00643573"/>
    <w:rsid w:val="006723CF"/>
    <w:rsid w:val="00676748"/>
    <w:rsid w:val="00684734"/>
    <w:rsid w:val="00687B2A"/>
    <w:rsid w:val="0069719F"/>
    <w:rsid w:val="006A34BB"/>
    <w:rsid w:val="006B5538"/>
    <w:rsid w:val="006E1AF7"/>
    <w:rsid w:val="006F2A3C"/>
    <w:rsid w:val="007029A5"/>
    <w:rsid w:val="007078C0"/>
    <w:rsid w:val="00707B48"/>
    <w:rsid w:val="00717745"/>
    <w:rsid w:val="00743151"/>
    <w:rsid w:val="00750BCC"/>
    <w:rsid w:val="0078123A"/>
    <w:rsid w:val="0079766B"/>
    <w:rsid w:val="007C6272"/>
    <w:rsid w:val="007D4190"/>
    <w:rsid w:val="007D4A6E"/>
    <w:rsid w:val="007F7B66"/>
    <w:rsid w:val="00815761"/>
    <w:rsid w:val="0081628F"/>
    <w:rsid w:val="0083633B"/>
    <w:rsid w:val="00851FEF"/>
    <w:rsid w:val="008533EE"/>
    <w:rsid w:val="008668E5"/>
    <w:rsid w:val="00874292"/>
    <w:rsid w:val="00890E80"/>
    <w:rsid w:val="00897E8C"/>
    <w:rsid w:val="008A5AD7"/>
    <w:rsid w:val="008A65FE"/>
    <w:rsid w:val="008F59E7"/>
    <w:rsid w:val="008F765E"/>
    <w:rsid w:val="00903BB5"/>
    <w:rsid w:val="00943D59"/>
    <w:rsid w:val="00955A80"/>
    <w:rsid w:val="0097265D"/>
    <w:rsid w:val="009A0850"/>
    <w:rsid w:val="009A27C6"/>
    <w:rsid w:val="009A4E93"/>
    <w:rsid w:val="009B5204"/>
    <w:rsid w:val="009C3156"/>
    <w:rsid w:val="009D4742"/>
    <w:rsid w:val="009D7BBE"/>
    <w:rsid w:val="009E1167"/>
    <w:rsid w:val="009F477A"/>
    <w:rsid w:val="00A14B11"/>
    <w:rsid w:val="00A17546"/>
    <w:rsid w:val="00A26BBC"/>
    <w:rsid w:val="00A45F91"/>
    <w:rsid w:val="00A62B81"/>
    <w:rsid w:val="00A77B03"/>
    <w:rsid w:val="00A77CFD"/>
    <w:rsid w:val="00A814CC"/>
    <w:rsid w:val="00A82DBA"/>
    <w:rsid w:val="00A97FAB"/>
    <w:rsid w:val="00AC5711"/>
    <w:rsid w:val="00AC60CC"/>
    <w:rsid w:val="00AC6C86"/>
    <w:rsid w:val="00AC72A8"/>
    <w:rsid w:val="00AD5948"/>
    <w:rsid w:val="00AE0EAB"/>
    <w:rsid w:val="00AF006E"/>
    <w:rsid w:val="00AF5795"/>
    <w:rsid w:val="00B005C3"/>
    <w:rsid w:val="00B04168"/>
    <w:rsid w:val="00B04543"/>
    <w:rsid w:val="00B11C3B"/>
    <w:rsid w:val="00B2341D"/>
    <w:rsid w:val="00B23968"/>
    <w:rsid w:val="00B2427D"/>
    <w:rsid w:val="00B36B9C"/>
    <w:rsid w:val="00B4754C"/>
    <w:rsid w:val="00B60DA8"/>
    <w:rsid w:val="00B6314C"/>
    <w:rsid w:val="00B66242"/>
    <w:rsid w:val="00B73963"/>
    <w:rsid w:val="00B800E3"/>
    <w:rsid w:val="00BB65A3"/>
    <w:rsid w:val="00BC23B5"/>
    <w:rsid w:val="00BD040A"/>
    <w:rsid w:val="00BD4970"/>
    <w:rsid w:val="00C14708"/>
    <w:rsid w:val="00C24C29"/>
    <w:rsid w:val="00C267BA"/>
    <w:rsid w:val="00C37E23"/>
    <w:rsid w:val="00C44EA6"/>
    <w:rsid w:val="00C45B17"/>
    <w:rsid w:val="00C5051A"/>
    <w:rsid w:val="00C60E3A"/>
    <w:rsid w:val="00C709F4"/>
    <w:rsid w:val="00C71654"/>
    <w:rsid w:val="00C75E50"/>
    <w:rsid w:val="00C861F3"/>
    <w:rsid w:val="00C91CF4"/>
    <w:rsid w:val="00C951D3"/>
    <w:rsid w:val="00CA3796"/>
    <w:rsid w:val="00CA4172"/>
    <w:rsid w:val="00CA6BBE"/>
    <w:rsid w:val="00CD57D9"/>
    <w:rsid w:val="00CF06C2"/>
    <w:rsid w:val="00CF6BA6"/>
    <w:rsid w:val="00D04B05"/>
    <w:rsid w:val="00D1128D"/>
    <w:rsid w:val="00D2204F"/>
    <w:rsid w:val="00D529A1"/>
    <w:rsid w:val="00D91610"/>
    <w:rsid w:val="00D920F1"/>
    <w:rsid w:val="00DB519D"/>
    <w:rsid w:val="00DD3C7F"/>
    <w:rsid w:val="00DF3B8A"/>
    <w:rsid w:val="00DF4346"/>
    <w:rsid w:val="00DF7EA2"/>
    <w:rsid w:val="00E276E2"/>
    <w:rsid w:val="00E41A25"/>
    <w:rsid w:val="00E42F73"/>
    <w:rsid w:val="00E65CBA"/>
    <w:rsid w:val="00E72E8D"/>
    <w:rsid w:val="00E74B1B"/>
    <w:rsid w:val="00E76784"/>
    <w:rsid w:val="00E7705F"/>
    <w:rsid w:val="00E85690"/>
    <w:rsid w:val="00E94A24"/>
    <w:rsid w:val="00EA176E"/>
    <w:rsid w:val="00EB2036"/>
    <w:rsid w:val="00ED6CC5"/>
    <w:rsid w:val="00EF4D77"/>
    <w:rsid w:val="00F0173F"/>
    <w:rsid w:val="00F01DAB"/>
    <w:rsid w:val="00F11507"/>
    <w:rsid w:val="00F34C9D"/>
    <w:rsid w:val="00F35A6B"/>
    <w:rsid w:val="00F47C5B"/>
    <w:rsid w:val="00F665BB"/>
    <w:rsid w:val="00F83B4B"/>
    <w:rsid w:val="00F909B4"/>
    <w:rsid w:val="00F91EBD"/>
    <w:rsid w:val="00FA493F"/>
    <w:rsid w:val="00FB5EA9"/>
    <w:rsid w:val="00FC5EE9"/>
    <w:rsid w:val="00FD0B21"/>
    <w:rsid w:val="00FE4E64"/>
    <w:rsid w:val="00FF0FE2"/>
    <w:rsid w:val="00FF3B35"/>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5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281"/>
    <w:rPr>
      <w:rFonts w:ascii="Tahoma" w:hAnsi="Tahoma" w:cs="Tahoma"/>
      <w:sz w:val="16"/>
      <w:szCs w:val="16"/>
    </w:rPr>
  </w:style>
  <w:style w:type="paragraph" w:styleId="Header">
    <w:name w:val="header"/>
    <w:basedOn w:val="Normal"/>
    <w:link w:val="HeaderChar"/>
    <w:uiPriority w:val="99"/>
    <w:semiHidden/>
    <w:unhideWhenUsed/>
    <w:rsid w:val="00F909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09B4"/>
    <w:rPr>
      <w:rFonts w:cs="Times New Roman"/>
    </w:rPr>
  </w:style>
  <w:style w:type="paragraph" w:styleId="Footer">
    <w:name w:val="footer"/>
    <w:basedOn w:val="Normal"/>
    <w:link w:val="FooterChar"/>
    <w:uiPriority w:val="99"/>
    <w:unhideWhenUsed/>
    <w:rsid w:val="00F909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09B4"/>
    <w:rPr>
      <w:rFonts w:cs="Times New Roman"/>
    </w:rPr>
  </w:style>
  <w:style w:type="paragraph" w:styleId="ListParagraph">
    <w:name w:val="List Paragraph"/>
    <w:basedOn w:val="Normal"/>
    <w:uiPriority w:val="34"/>
    <w:qFormat/>
    <w:rsid w:val="005F5BA0"/>
    <w:pPr>
      <w:ind w:left="720"/>
      <w:contextualSpacing/>
    </w:pPr>
  </w:style>
  <w:style w:type="paragraph" w:styleId="FootnoteText">
    <w:name w:val="footnote text"/>
    <w:basedOn w:val="Normal"/>
    <w:link w:val="FootnoteTextChar"/>
    <w:uiPriority w:val="99"/>
    <w:semiHidden/>
    <w:unhideWhenUsed/>
    <w:rsid w:val="009A4E9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4E93"/>
    <w:rPr>
      <w:rFonts w:cs="Times New Roman"/>
      <w:sz w:val="20"/>
      <w:szCs w:val="20"/>
    </w:rPr>
  </w:style>
  <w:style w:type="character" w:styleId="FootnoteReference">
    <w:name w:val="footnote reference"/>
    <w:basedOn w:val="DefaultParagraphFont"/>
    <w:uiPriority w:val="99"/>
    <w:semiHidden/>
    <w:unhideWhenUsed/>
    <w:rsid w:val="009A4E9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5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281"/>
    <w:rPr>
      <w:rFonts w:ascii="Tahoma" w:hAnsi="Tahoma" w:cs="Tahoma"/>
      <w:sz w:val="16"/>
      <w:szCs w:val="16"/>
    </w:rPr>
  </w:style>
  <w:style w:type="paragraph" w:styleId="Header">
    <w:name w:val="header"/>
    <w:basedOn w:val="Normal"/>
    <w:link w:val="HeaderChar"/>
    <w:uiPriority w:val="99"/>
    <w:semiHidden/>
    <w:unhideWhenUsed/>
    <w:rsid w:val="00F909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909B4"/>
    <w:rPr>
      <w:rFonts w:cs="Times New Roman"/>
    </w:rPr>
  </w:style>
  <w:style w:type="paragraph" w:styleId="Footer">
    <w:name w:val="footer"/>
    <w:basedOn w:val="Normal"/>
    <w:link w:val="FooterChar"/>
    <w:uiPriority w:val="99"/>
    <w:unhideWhenUsed/>
    <w:rsid w:val="00F909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09B4"/>
    <w:rPr>
      <w:rFonts w:cs="Times New Roman"/>
    </w:rPr>
  </w:style>
  <w:style w:type="paragraph" w:styleId="ListParagraph">
    <w:name w:val="List Paragraph"/>
    <w:basedOn w:val="Normal"/>
    <w:uiPriority w:val="34"/>
    <w:qFormat/>
    <w:rsid w:val="005F5BA0"/>
    <w:pPr>
      <w:ind w:left="720"/>
      <w:contextualSpacing/>
    </w:pPr>
  </w:style>
  <w:style w:type="paragraph" w:styleId="FootnoteText">
    <w:name w:val="footnote text"/>
    <w:basedOn w:val="Normal"/>
    <w:link w:val="FootnoteTextChar"/>
    <w:uiPriority w:val="99"/>
    <w:semiHidden/>
    <w:unhideWhenUsed/>
    <w:rsid w:val="009A4E9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4E93"/>
    <w:rPr>
      <w:rFonts w:cs="Times New Roman"/>
      <w:sz w:val="20"/>
      <w:szCs w:val="20"/>
    </w:rPr>
  </w:style>
  <w:style w:type="character" w:styleId="FootnoteReference">
    <w:name w:val="footnote reference"/>
    <w:basedOn w:val="DefaultParagraphFont"/>
    <w:uiPriority w:val="99"/>
    <w:semiHidden/>
    <w:unhideWhenUsed/>
    <w:rsid w:val="009A4E9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2012-05-27T18:30:00+00:00</Judgment_x0020_Date>
    <Year xmlns="aec0a7e9-5f5c-4ba9-87b2-85cfc8a38b86">2012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4CFE1-FA0D-4674-8C7B-93F13A5235DA}"/>
</file>

<file path=customXml/itemProps2.xml><?xml version="1.0" encoding="utf-8"?>
<ds:datastoreItem xmlns:ds="http://schemas.openxmlformats.org/officeDocument/2006/customXml" ds:itemID="{042F686D-73F3-4EA0-9EB8-A0EE2B900DD8}"/>
</file>

<file path=customXml/itemProps3.xml><?xml version="1.0" encoding="utf-8"?>
<ds:datastoreItem xmlns:ds="http://schemas.openxmlformats.org/officeDocument/2006/customXml" ds:itemID="{3374F2C4-9BE4-4EFB-96F7-923336B942B3}"/>
</file>

<file path=customXml/itemProps4.xml><?xml version="1.0" encoding="utf-8"?>
<ds:datastoreItem xmlns:ds="http://schemas.openxmlformats.org/officeDocument/2006/customXml" ds:itemID="{25262725-ED9F-4853-9663-EB09A69816D8}"/>
</file>

<file path=docProps/app.xml><?xml version="1.0" encoding="utf-8"?>
<Properties xmlns="http://schemas.openxmlformats.org/officeDocument/2006/extended-properties" xmlns:vt="http://schemas.openxmlformats.org/officeDocument/2006/docPropsVTypes">
  <Template>Normal</Template>
  <TotalTime>0</TotalTime>
  <Pages>24</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lambunda</dc:creator>
  <cp:lastModifiedBy>sikongo</cp:lastModifiedBy>
  <cp:revision>2</cp:revision>
  <dcterms:created xsi:type="dcterms:W3CDTF">2013-11-07T09:09:00Z</dcterms:created>
  <dcterms:modified xsi:type="dcterms:W3CDTF">2013-11-07T09:09:00Z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27000</vt:r8>
  </property>
  <property fmtid="{D5CDD505-2E9C-101B-9397-08002B2CF9AE}" pid="3" name="WorkflowChangePath">
    <vt:lpwstr>51234616-b7fe-46f9-8258-192439289d77,5;51234616-b7fe-46f9-8258-192439289d77,8;</vt:lpwstr>
  </property>
  <property fmtid="{D5CDD505-2E9C-101B-9397-08002B2CF9AE}" pid="4" name="ContentTypeId">
    <vt:lpwstr>0x0101008CCF6D66F229EE4D8B714E6AF2A2557D</vt:lpwstr>
  </property>
</Properties>
</file>