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69" w:rsidRDefault="001F3569" w:rsidP="001F3569">
      <w:pPr>
        <w:tabs>
          <w:tab w:val="right" w:pos="9000"/>
        </w:tabs>
        <w:spacing w:line="360" w:lineRule="auto"/>
        <w:rPr>
          <w:rFonts w:ascii="Arial" w:eastAsia="Calibri" w:hAnsi="Arial" w:cs="Arial"/>
          <w:b/>
        </w:rPr>
      </w:pPr>
    </w:p>
    <w:p w:rsidR="001F3569" w:rsidRDefault="001F3569" w:rsidP="005D55C3">
      <w:pPr>
        <w:tabs>
          <w:tab w:val="right" w:pos="9000"/>
        </w:tabs>
        <w:spacing w:line="360" w:lineRule="auto"/>
        <w:ind w:left="7480" w:hanging="4503"/>
        <w:jc w:val="center"/>
        <w:rPr>
          <w:rFonts w:ascii="Arial" w:eastAsia="Calibri" w:hAnsi="Arial" w:cs="Arial"/>
          <w:b/>
        </w:rPr>
      </w:pPr>
      <w:r>
        <w:rPr>
          <w:rFonts w:ascii="Arial" w:eastAsia="Calibri" w:hAnsi="Arial" w:cs="Arial"/>
          <w:b/>
        </w:rPr>
        <w:t xml:space="preserve">REPUBLIC OF NAMIBIA               </w:t>
      </w:r>
      <w:r w:rsidRPr="005D55C3">
        <w:rPr>
          <w:rFonts w:ascii="Arial" w:eastAsia="Calibri" w:hAnsi="Arial" w:cs="Arial"/>
          <w:b/>
          <w:sz w:val="20"/>
          <w:szCs w:val="20"/>
        </w:rPr>
        <w:t xml:space="preserve"> </w:t>
      </w:r>
      <w:r w:rsidRPr="005D55C3">
        <w:rPr>
          <w:rFonts w:ascii="Arial" w:eastAsia="Calibri" w:hAnsi="Arial" w:cs="Arial"/>
          <w:sz w:val="20"/>
          <w:szCs w:val="20"/>
        </w:rPr>
        <w:t>REPORTABLE</w:t>
      </w:r>
    </w:p>
    <w:p w:rsidR="00BA4218" w:rsidRDefault="001F3569" w:rsidP="001F3569">
      <w:pPr>
        <w:tabs>
          <w:tab w:val="right" w:pos="9000"/>
        </w:tabs>
        <w:spacing w:line="360" w:lineRule="auto"/>
        <w:jc w:val="center"/>
        <w:rPr>
          <w:rFonts w:ascii="Arial" w:eastAsia="Calibri" w:hAnsi="Arial" w:cs="Arial"/>
          <w:b/>
        </w:rPr>
      </w:pPr>
      <w:r w:rsidRPr="00665023">
        <w:rPr>
          <w:rFonts w:ascii="Arial" w:hAnsi="Arial" w:cs="Arial"/>
          <w:b/>
          <w:noProof/>
          <w:sz w:val="32"/>
          <w:szCs w:val="32"/>
          <w:lang w:val="en-ZA" w:eastAsia="en-ZA"/>
        </w:rPr>
        <w:drawing>
          <wp:inline distT="0" distB="0" distL="0" distR="0" wp14:anchorId="029C26F4" wp14:editId="3B8F0C3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F3569" w:rsidRPr="005D55C3" w:rsidRDefault="001F3569" w:rsidP="001F3569">
      <w:pPr>
        <w:tabs>
          <w:tab w:val="right" w:pos="9000"/>
        </w:tabs>
        <w:spacing w:line="360" w:lineRule="auto"/>
        <w:jc w:val="right"/>
        <w:rPr>
          <w:rFonts w:ascii="Arial" w:eastAsia="Calibri" w:hAnsi="Arial" w:cs="Arial"/>
          <w:b/>
        </w:rPr>
      </w:pPr>
      <w:r>
        <w:rPr>
          <w:rFonts w:ascii="Arial" w:eastAsia="Calibri" w:hAnsi="Arial" w:cs="Arial"/>
          <w:b/>
        </w:rPr>
        <w:tab/>
      </w:r>
      <w:r w:rsidRPr="005D55C3">
        <w:rPr>
          <w:rFonts w:ascii="Arial" w:eastAsia="Calibri" w:hAnsi="Arial" w:cs="Arial"/>
          <w:b/>
        </w:rPr>
        <w:t>Case no: LCA 24/2016</w:t>
      </w:r>
    </w:p>
    <w:p w:rsidR="001F3569" w:rsidRPr="00BA4218" w:rsidRDefault="001F3569" w:rsidP="001F3569">
      <w:pPr>
        <w:tabs>
          <w:tab w:val="right" w:pos="9000"/>
        </w:tabs>
        <w:spacing w:line="360" w:lineRule="auto"/>
        <w:jc w:val="center"/>
        <w:rPr>
          <w:rFonts w:ascii="Arial" w:eastAsia="Calibri" w:hAnsi="Arial" w:cs="Arial"/>
          <w:b/>
        </w:rPr>
      </w:pPr>
    </w:p>
    <w:p w:rsidR="00BA4218" w:rsidRPr="001F3569" w:rsidRDefault="001F3569" w:rsidP="001F3569">
      <w:pPr>
        <w:spacing w:line="360" w:lineRule="auto"/>
        <w:jc w:val="center"/>
        <w:rPr>
          <w:rFonts w:ascii="Arial" w:eastAsia="Calibri" w:hAnsi="Arial" w:cs="Arial"/>
          <w:b/>
        </w:rPr>
      </w:pPr>
      <w:r w:rsidRPr="001F3569">
        <w:rPr>
          <w:rFonts w:ascii="Arial" w:eastAsia="Calibri" w:hAnsi="Arial" w:cs="Arial"/>
          <w:b/>
        </w:rPr>
        <w:t>HIGH COURT OF NAMIBIA MAIN DIVISION, WINDHOEK</w:t>
      </w:r>
    </w:p>
    <w:p w:rsidR="001F3569" w:rsidRDefault="001F3569" w:rsidP="001F3569">
      <w:pPr>
        <w:spacing w:line="360" w:lineRule="auto"/>
        <w:jc w:val="center"/>
        <w:rPr>
          <w:rFonts w:ascii="Arial" w:eastAsia="Calibri" w:hAnsi="Arial" w:cs="Arial"/>
          <w:b/>
        </w:rPr>
      </w:pPr>
      <w:r w:rsidRPr="001F3569">
        <w:rPr>
          <w:rFonts w:ascii="Arial" w:eastAsia="Calibri" w:hAnsi="Arial" w:cs="Arial"/>
          <w:b/>
        </w:rPr>
        <w:t>JUDGMENT</w:t>
      </w:r>
    </w:p>
    <w:p w:rsidR="001F3569" w:rsidRPr="001F3569" w:rsidRDefault="001F3569" w:rsidP="001F3569">
      <w:pPr>
        <w:spacing w:line="360" w:lineRule="auto"/>
        <w:jc w:val="center"/>
        <w:rPr>
          <w:rFonts w:ascii="Arial" w:eastAsia="Calibri" w:hAnsi="Arial" w:cs="Arial"/>
          <w:b/>
        </w:rPr>
      </w:pPr>
      <w:bookmarkStart w:id="0" w:name="_GoBack"/>
      <w:bookmarkEnd w:id="0"/>
    </w:p>
    <w:p w:rsidR="00BA4218" w:rsidRPr="00BA4218" w:rsidRDefault="00BA4218" w:rsidP="00BA4218">
      <w:pPr>
        <w:spacing w:line="360" w:lineRule="auto"/>
        <w:jc w:val="both"/>
        <w:rPr>
          <w:rFonts w:ascii="Arial" w:eastAsia="Calibri" w:hAnsi="Arial" w:cs="Arial"/>
        </w:rPr>
      </w:pPr>
      <w:r w:rsidRPr="00BA4218">
        <w:rPr>
          <w:rFonts w:ascii="Arial" w:eastAsia="Calibri" w:hAnsi="Arial" w:cs="Arial"/>
        </w:rPr>
        <w:t>In the matter between:</w:t>
      </w:r>
    </w:p>
    <w:p w:rsidR="00BA4218" w:rsidRPr="00BA4218" w:rsidRDefault="00BA4218" w:rsidP="00BA4218">
      <w:pPr>
        <w:spacing w:line="360" w:lineRule="auto"/>
        <w:jc w:val="both"/>
        <w:rPr>
          <w:rFonts w:ascii="Arial" w:eastAsia="Calibri" w:hAnsi="Arial" w:cs="Arial"/>
        </w:rPr>
      </w:pPr>
    </w:p>
    <w:p w:rsidR="00BA4218" w:rsidRPr="00BA4218" w:rsidRDefault="003860E4" w:rsidP="00BA4218">
      <w:pPr>
        <w:tabs>
          <w:tab w:val="right" w:pos="9360"/>
        </w:tabs>
        <w:spacing w:after="200" w:line="276" w:lineRule="auto"/>
        <w:rPr>
          <w:rFonts w:ascii="Arial" w:eastAsia="Calibri" w:hAnsi="Arial" w:cs="Arial"/>
          <w:b/>
        </w:rPr>
      </w:pPr>
      <w:r>
        <w:rPr>
          <w:rFonts w:ascii="Arial" w:eastAsia="Calibri" w:hAnsi="Arial" w:cs="Arial"/>
          <w:b/>
        </w:rPr>
        <w:t>ERONGO MARINE ENTERPRISE</w:t>
      </w:r>
      <w:r w:rsidR="00B0314E">
        <w:rPr>
          <w:rFonts w:ascii="Arial" w:eastAsia="Calibri" w:hAnsi="Arial" w:cs="Arial"/>
          <w:b/>
        </w:rPr>
        <w:t>S</w:t>
      </w:r>
      <w:r w:rsidR="00BA4218" w:rsidRPr="00BA4218">
        <w:rPr>
          <w:rFonts w:ascii="Arial" w:eastAsia="Calibri" w:hAnsi="Arial" w:cs="Arial"/>
          <w:b/>
        </w:rPr>
        <w:t xml:space="preserve"> (PTY) LTD</w:t>
      </w:r>
      <w:r w:rsidR="00BA4218" w:rsidRPr="00BA4218">
        <w:rPr>
          <w:rFonts w:ascii="Arial" w:eastAsia="Calibri" w:hAnsi="Arial" w:cs="Arial"/>
          <w:b/>
        </w:rPr>
        <w:tab/>
        <w:t>APPELLANT</w:t>
      </w:r>
    </w:p>
    <w:p w:rsidR="00BA4218" w:rsidRPr="00BA4218" w:rsidRDefault="00BA4218" w:rsidP="00BA4218">
      <w:pPr>
        <w:spacing w:after="200" w:line="276" w:lineRule="auto"/>
        <w:jc w:val="both"/>
        <w:rPr>
          <w:rFonts w:ascii="Arial" w:eastAsia="Calibri" w:hAnsi="Arial" w:cs="Arial"/>
        </w:rPr>
      </w:pPr>
    </w:p>
    <w:p w:rsidR="00BA4218" w:rsidRPr="00BA4218" w:rsidRDefault="00BA4218" w:rsidP="00BA4218">
      <w:pPr>
        <w:spacing w:after="200" w:line="276" w:lineRule="auto"/>
        <w:jc w:val="both"/>
        <w:rPr>
          <w:rFonts w:ascii="Arial" w:eastAsia="Calibri" w:hAnsi="Arial" w:cs="Arial"/>
        </w:rPr>
      </w:pPr>
      <w:r w:rsidRPr="00BA4218">
        <w:rPr>
          <w:rFonts w:ascii="Arial" w:eastAsia="Calibri" w:hAnsi="Arial" w:cs="Arial"/>
        </w:rPr>
        <w:t>and</w:t>
      </w:r>
    </w:p>
    <w:p w:rsidR="00BA4218" w:rsidRDefault="00BA4218" w:rsidP="00BA4218">
      <w:pPr>
        <w:tabs>
          <w:tab w:val="right" w:pos="9360"/>
        </w:tabs>
        <w:spacing w:after="200" w:line="276" w:lineRule="auto"/>
        <w:jc w:val="both"/>
        <w:rPr>
          <w:rFonts w:ascii="Arial" w:eastAsia="Calibri" w:hAnsi="Arial" w:cs="Arial"/>
          <w:b/>
        </w:rPr>
      </w:pPr>
    </w:p>
    <w:p w:rsidR="00BA4218" w:rsidRDefault="004600AB" w:rsidP="00BA4218">
      <w:pPr>
        <w:tabs>
          <w:tab w:val="right" w:pos="9360"/>
        </w:tabs>
        <w:spacing w:after="200" w:line="276" w:lineRule="auto"/>
        <w:jc w:val="both"/>
        <w:rPr>
          <w:rFonts w:ascii="Arial" w:eastAsia="Calibri" w:hAnsi="Arial" w:cs="Arial"/>
          <w:b/>
        </w:rPr>
      </w:pPr>
      <w:r w:rsidRPr="004600AB">
        <w:rPr>
          <w:rFonts w:ascii="Arial" w:eastAsia="Calibri" w:hAnsi="Arial" w:cs="Arial"/>
          <w:b/>
        </w:rPr>
        <w:t xml:space="preserve">IPINGE </w:t>
      </w:r>
      <w:r w:rsidR="00BA4218">
        <w:rPr>
          <w:rFonts w:ascii="Arial" w:eastAsia="Calibri" w:hAnsi="Arial" w:cs="Arial"/>
          <w:b/>
        </w:rPr>
        <w:t>PETRUS AND</w:t>
      </w:r>
      <w:r w:rsidR="00BE623D">
        <w:rPr>
          <w:rFonts w:ascii="Arial" w:eastAsia="Calibri" w:hAnsi="Arial" w:cs="Arial"/>
          <w:b/>
        </w:rPr>
        <w:t xml:space="preserve"> 47 </w:t>
      </w:r>
      <w:r w:rsidR="00BA4218">
        <w:rPr>
          <w:rFonts w:ascii="Arial" w:eastAsia="Calibri" w:hAnsi="Arial" w:cs="Arial"/>
          <w:b/>
        </w:rPr>
        <w:t>OTHERS</w:t>
      </w:r>
      <w:r w:rsidR="00BA4218">
        <w:rPr>
          <w:rFonts w:ascii="Arial" w:eastAsia="Calibri" w:hAnsi="Arial" w:cs="Arial"/>
          <w:b/>
        </w:rPr>
        <w:tab/>
      </w:r>
      <w:r w:rsidR="005D55C3">
        <w:rPr>
          <w:rFonts w:ascii="Arial" w:eastAsia="Calibri" w:hAnsi="Arial" w:cs="Arial"/>
          <w:b/>
        </w:rPr>
        <w:t xml:space="preserve">  </w:t>
      </w:r>
      <w:r w:rsidR="00BA4218">
        <w:rPr>
          <w:rFonts w:ascii="Arial" w:eastAsia="Calibri" w:hAnsi="Arial" w:cs="Arial"/>
          <w:b/>
        </w:rPr>
        <w:t>RE</w:t>
      </w:r>
      <w:r w:rsidR="00BA4218" w:rsidRPr="00BA4218">
        <w:rPr>
          <w:rFonts w:ascii="Arial" w:eastAsia="Calibri" w:hAnsi="Arial" w:cs="Arial"/>
          <w:b/>
        </w:rPr>
        <w:t>SPONDENT</w:t>
      </w:r>
      <w:r w:rsidR="00BA4218">
        <w:rPr>
          <w:rFonts w:ascii="Arial" w:eastAsia="Calibri" w:hAnsi="Arial" w:cs="Arial"/>
          <w:b/>
        </w:rPr>
        <w:t>S</w:t>
      </w:r>
    </w:p>
    <w:p w:rsidR="00BA4218" w:rsidRPr="00BA4218" w:rsidRDefault="00BA4218" w:rsidP="00BA4218">
      <w:pPr>
        <w:tabs>
          <w:tab w:val="right" w:pos="9360"/>
        </w:tabs>
        <w:spacing w:after="200" w:line="276" w:lineRule="auto"/>
        <w:jc w:val="both"/>
        <w:rPr>
          <w:rFonts w:ascii="Arial" w:eastAsia="Calibri" w:hAnsi="Arial" w:cs="Arial"/>
          <w:b/>
        </w:rPr>
      </w:pPr>
    </w:p>
    <w:p w:rsidR="00BA4218" w:rsidRPr="00BA4218" w:rsidRDefault="00BA4218" w:rsidP="00BA4218">
      <w:pPr>
        <w:spacing w:line="360" w:lineRule="auto"/>
        <w:ind w:hanging="33"/>
        <w:jc w:val="both"/>
        <w:rPr>
          <w:rFonts w:ascii="Arial" w:eastAsia="Calibri" w:hAnsi="Arial" w:cs="Arial"/>
        </w:rPr>
      </w:pPr>
      <w:r w:rsidRPr="00BA4218">
        <w:rPr>
          <w:rFonts w:ascii="Arial" w:eastAsia="Calibri" w:hAnsi="Arial" w:cs="Arial"/>
          <w:b/>
        </w:rPr>
        <w:t>Neutral citation:</w:t>
      </w:r>
      <w:r w:rsidRPr="00BA4218">
        <w:rPr>
          <w:rFonts w:ascii="Arial" w:eastAsia="Calibri" w:hAnsi="Arial" w:cs="Arial"/>
          <w:b/>
        </w:rPr>
        <w:tab/>
      </w:r>
      <w:r w:rsidR="003860E4">
        <w:rPr>
          <w:rFonts w:ascii="Arial" w:eastAsia="Calibri" w:hAnsi="Arial" w:cs="Arial"/>
          <w:i/>
        </w:rPr>
        <w:t>Erongo Marine Enterprise</w:t>
      </w:r>
      <w:r w:rsidR="004600AB">
        <w:rPr>
          <w:rFonts w:ascii="Arial" w:eastAsia="Calibri" w:hAnsi="Arial" w:cs="Arial"/>
          <w:i/>
        </w:rPr>
        <w:t>s</w:t>
      </w:r>
      <w:r w:rsidR="003860E4">
        <w:rPr>
          <w:rFonts w:ascii="Arial" w:eastAsia="Calibri" w:hAnsi="Arial" w:cs="Arial"/>
          <w:i/>
        </w:rPr>
        <w:t xml:space="preserve"> </w:t>
      </w:r>
      <w:r w:rsidRPr="00BA4218">
        <w:rPr>
          <w:rFonts w:ascii="Arial" w:eastAsia="Calibri" w:hAnsi="Arial" w:cs="Arial"/>
          <w:i/>
        </w:rPr>
        <w:t xml:space="preserve">(Pty) Ltd v </w:t>
      </w:r>
      <w:r w:rsidR="004600AB">
        <w:rPr>
          <w:rFonts w:ascii="Arial" w:eastAsia="Calibri" w:hAnsi="Arial" w:cs="Arial"/>
          <w:i/>
        </w:rPr>
        <w:t xml:space="preserve">Ipinge </w:t>
      </w:r>
      <w:r w:rsidR="004600AB" w:rsidRPr="004600AB">
        <w:rPr>
          <w:rFonts w:ascii="Arial" w:eastAsia="Calibri" w:hAnsi="Arial" w:cs="Arial"/>
          <w:i/>
        </w:rPr>
        <w:t xml:space="preserve">Petrus </w:t>
      </w:r>
      <w:r w:rsidR="004600AB">
        <w:rPr>
          <w:rFonts w:ascii="Arial" w:eastAsia="Calibri" w:hAnsi="Arial" w:cs="Arial"/>
          <w:i/>
        </w:rPr>
        <w:t>&amp; 47</w:t>
      </w:r>
      <w:r>
        <w:rPr>
          <w:rFonts w:ascii="Arial" w:eastAsia="Calibri" w:hAnsi="Arial" w:cs="Arial"/>
          <w:i/>
        </w:rPr>
        <w:t xml:space="preserve"> Others</w:t>
      </w:r>
      <w:r w:rsidRPr="00BA4218">
        <w:rPr>
          <w:rFonts w:ascii="Arial" w:eastAsia="Calibri" w:hAnsi="Arial" w:cs="Arial"/>
          <w:i/>
        </w:rPr>
        <w:t xml:space="preserve"> </w:t>
      </w:r>
      <w:r w:rsidRPr="00BA4218">
        <w:rPr>
          <w:rFonts w:ascii="Arial" w:eastAsia="Calibri" w:hAnsi="Arial" w:cs="Arial"/>
        </w:rPr>
        <w:t xml:space="preserve">(LCA </w:t>
      </w:r>
      <w:r>
        <w:rPr>
          <w:rFonts w:ascii="Arial" w:eastAsia="Calibri" w:hAnsi="Arial" w:cs="Arial"/>
        </w:rPr>
        <w:t>24/2016</w:t>
      </w:r>
      <w:r w:rsidRPr="00BA4218">
        <w:rPr>
          <w:rFonts w:ascii="Arial" w:eastAsia="Calibri" w:hAnsi="Arial" w:cs="Arial"/>
        </w:rPr>
        <w:t>) [20</w:t>
      </w:r>
      <w:r>
        <w:rPr>
          <w:rFonts w:ascii="Arial" w:eastAsia="Calibri" w:hAnsi="Arial" w:cs="Arial"/>
        </w:rPr>
        <w:t>16</w:t>
      </w:r>
      <w:r w:rsidR="004600AB">
        <w:rPr>
          <w:rFonts w:ascii="Arial" w:eastAsia="Calibri" w:hAnsi="Arial" w:cs="Arial"/>
        </w:rPr>
        <w:t>] NALCMD 40</w:t>
      </w:r>
      <w:r w:rsidRPr="00BA4218">
        <w:rPr>
          <w:rFonts w:ascii="Arial" w:eastAsia="Calibri" w:hAnsi="Arial" w:cs="Arial"/>
        </w:rPr>
        <w:t xml:space="preserve"> (</w:t>
      </w:r>
      <w:r>
        <w:rPr>
          <w:rFonts w:ascii="Arial" w:eastAsia="Calibri" w:hAnsi="Arial" w:cs="Arial"/>
        </w:rPr>
        <w:t>7 October</w:t>
      </w:r>
      <w:r w:rsidRPr="00BA4218">
        <w:rPr>
          <w:rFonts w:ascii="Arial" w:eastAsia="Calibri" w:hAnsi="Arial" w:cs="Arial"/>
        </w:rPr>
        <w:t xml:space="preserve"> </w:t>
      </w:r>
      <w:r>
        <w:rPr>
          <w:rFonts w:ascii="Arial" w:eastAsia="Calibri" w:hAnsi="Arial" w:cs="Arial"/>
        </w:rPr>
        <w:t>2016</w:t>
      </w:r>
      <w:r w:rsidRPr="00BA4218">
        <w:rPr>
          <w:rFonts w:ascii="Arial" w:eastAsia="Calibri" w:hAnsi="Arial" w:cs="Arial"/>
        </w:rPr>
        <w:t>)</w:t>
      </w:r>
    </w:p>
    <w:p w:rsidR="00BA4218" w:rsidRPr="00BA4218" w:rsidRDefault="00BA4218" w:rsidP="00BA4218">
      <w:pPr>
        <w:spacing w:line="360" w:lineRule="auto"/>
        <w:ind w:left="2160" w:hanging="2160"/>
        <w:jc w:val="both"/>
        <w:rPr>
          <w:rFonts w:ascii="Arial" w:eastAsia="Calibri" w:hAnsi="Arial" w:cs="Arial"/>
        </w:rPr>
      </w:pPr>
    </w:p>
    <w:p w:rsidR="00BA4218" w:rsidRPr="00BA4218" w:rsidRDefault="00BA4218" w:rsidP="00BA4218">
      <w:pPr>
        <w:spacing w:line="480" w:lineRule="auto"/>
        <w:ind w:left="1440" w:hanging="1440"/>
        <w:jc w:val="both"/>
        <w:rPr>
          <w:rFonts w:ascii="Arial" w:eastAsia="Calibri" w:hAnsi="Arial" w:cs="Arial"/>
          <w:b/>
          <w:i/>
        </w:rPr>
      </w:pPr>
      <w:r w:rsidRPr="00BA4218">
        <w:rPr>
          <w:rFonts w:ascii="Arial" w:eastAsia="Calibri" w:hAnsi="Arial" w:cs="Arial"/>
          <w:b/>
        </w:rPr>
        <w:t>Coram:</w:t>
      </w:r>
      <w:r w:rsidRPr="00BA4218">
        <w:rPr>
          <w:rFonts w:ascii="Arial" w:eastAsia="Calibri" w:hAnsi="Arial" w:cs="Arial"/>
          <w:b/>
        </w:rPr>
        <w:tab/>
      </w:r>
      <w:r>
        <w:rPr>
          <w:rFonts w:ascii="Arial" w:eastAsia="Calibri" w:hAnsi="Arial" w:cs="Arial"/>
          <w:b/>
        </w:rPr>
        <w:t>ANGULA</w:t>
      </w:r>
      <w:r w:rsidRPr="00BA4218">
        <w:rPr>
          <w:rFonts w:ascii="Arial" w:eastAsia="Calibri" w:hAnsi="Arial" w:cs="Arial"/>
          <w:b/>
        </w:rPr>
        <w:t xml:space="preserve">, </w:t>
      </w:r>
      <w:r>
        <w:rPr>
          <w:rFonts w:ascii="Arial" w:eastAsia="Calibri" w:hAnsi="Arial" w:cs="Arial"/>
          <w:b/>
        </w:rPr>
        <w:t>A</w:t>
      </w:r>
      <w:r w:rsidRPr="00BA4218">
        <w:rPr>
          <w:rFonts w:ascii="Arial" w:eastAsia="Calibri" w:hAnsi="Arial" w:cs="Arial"/>
          <w:b/>
        </w:rPr>
        <w:t>J</w:t>
      </w:r>
    </w:p>
    <w:p w:rsidR="00BA4218" w:rsidRPr="00BA4218" w:rsidRDefault="00BA4218" w:rsidP="00BA4218">
      <w:pPr>
        <w:spacing w:line="480" w:lineRule="auto"/>
        <w:ind w:left="1440" w:hanging="1440"/>
        <w:rPr>
          <w:rFonts w:ascii="Arial" w:eastAsia="Calibri" w:hAnsi="Arial" w:cs="Arial"/>
          <w:b/>
        </w:rPr>
      </w:pPr>
      <w:r w:rsidRPr="00BA4218">
        <w:rPr>
          <w:rFonts w:ascii="Arial" w:eastAsia="Calibri" w:hAnsi="Arial" w:cs="Arial"/>
          <w:b/>
          <w:bCs/>
        </w:rPr>
        <w:t>Heard</w:t>
      </w:r>
      <w:r w:rsidR="00944DE2">
        <w:rPr>
          <w:rFonts w:ascii="Arial" w:eastAsia="Calibri" w:hAnsi="Arial" w:cs="Arial"/>
          <w:b/>
        </w:rPr>
        <w:t>:</w:t>
      </w:r>
      <w:r w:rsidR="00944DE2">
        <w:rPr>
          <w:rFonts w:ascii="Arial" w:eastAsia="Calibri" w:hAnsi="Arial" w:cs="Arial"/>
          <w:b/>
        </w:rPr>
        <w:tab/>
        <w:t>23 September 2016</w:t>
      </w:r>
    </w:p>
    <w:p w:rsidR="00BA4218" w:rsidRPr="00BA4218" w:rsidRDefault="00BA4218" w:rsidP="00BA4218">
      <w:pPr>
        <w:spacing w:line="480" w:lineRule="auto"/>
        <w:jc w:val="both"/>
        <w:rPr>
          <w:rFonts w:ascii="Arial" w:eastAsia="Calibri" w:hAnsi="Arial" w:cs="Arial"/>
          <w:b/>
        </w:rPr>
      </w:pPr>
      <w:r w:rsidRPr="00BA4218">
        <w:rPr>
          <w:rFonts w:ascii="Arial" w:eastAsia="Calibri" w:hAnsi="Arial" w:cs="Arial"/>
          <w:b/>
          <w:bCs/>
        </w:rPr>
        <w:t>Delivered</w:t>
      </w:r>
      <w:r w:rsidRPr="00BA4218">
        <w:rPr>
          <w:rFonts w:ascii="Arial" w:eastAsia="Calibri" w:hAnsi="Arial" w:cs="Arial"/>
          <w:b/>
        </w:rPr>
        <w:t>:</w:t>
      </w:r>
      <w:r w:rsidRPr="00BA4218">
        <w:rPr>
          <w:rFonts w:ascii="Arial" w:eastAsia="Calibri" w:hAnsi="Arial" w:cs="Arial"/>
          <w:b/>
        </w:rPr>
        <w:tab/>
      </w:r>
      <w:r w:rsidR="00944DE2">
        <w:rPr>
          <w:rFonts w:ascii="Arial" w:eastAsia="Calibri" w:hAnsi="Arial" w:cs="Arial"/>
          <w:b/>
        </w:rPr>
        <w:t>7 October 2016</w:t>
      </w:r>
    </w:p>
    <w:p w:rsidR="00944DE2" w:rsidRDefault="00944DE2" w:rsidP="00BA4218">
      <w:pPr>
        <w:spacing w:line="360" w:lineRule="auto"/>
        <w:jc w:val="both"/>
        <w:rPr>
          <w:rFonts w:ascii="Arial" w:eastAsia="Calibri" w:hAnsi="Arial" w:cs="Arial"/>
          <w:b/>
          <w:bCs/>
        </w:rPr>
      </w:pPr>
    </w:p>
    <w:p w:rsidR="003F4846" w:rsidRDefault="00BA4218" w:rsidP="00BA4218">
      <w:pPr>
        <w:spacing w:line="360" w:lineRule="auto"/>
        <w:jc w:val="both"/>
        <w:rPr>
          <w:rFonts w:ascii="Arial" w:eastAsia="Calibri" w:hAnsi="Arial" w:cs="Arial"/>
          <w:bCs/>
        </w:rPr>
      </w:pPr>
      <w:r w:rsidRPr="00BA4218">
        <w:rPr>
          <w:rFonts w:ascii="Arial" w:eastAsia="Calibri" w:hAnsi="Arial" w:cs="Arial"/>
          <w:b/>
          <w:bCs/>
        </w:rPr>
        <w:t>Flynote:</w:t>
      </w:r>
      <w:r w:rsidRPr="00BA4218">
        <w:rPr>
          <w:rFonts w:ascii="Arial" w:eastAsia="Calibri" w:hAnsi="Arial" w:cs="Arial"/>
          <w:bCs/>
        </w:rPr>
        <w:tab/>
      </w:r>
      <w:r w:rsidR="00C663C6" w:rsidRPr="009802F0">
        <w:rPr>
          <w:rFonts w:ascii="Arial" w:eastAsia="Calibri" w:hAnsi="Arial" w:cs="Arial"/>
          <w:bCs/>
          <w:i/>
        </w:rPr>
        <w:t>Labour Law</w:t>
      </w:r>
      <w:r w:rsidR="00BE623D">
        <w:rPr>
          <w:rFonts w:ascii="Arial" w:eastAsia="Calibri" w:hAnsi="Arial" w:cs="Arial"/>
          <w:bCs/>
        </w:rPr>
        <w:t xml:space="preserve"> – Conciliatio</w:t>
      </w:r>
      <w:r w:rsidR="00C663C6">
        <w:rPr>
          <w:rFonts w:ascii="Arial" w:eastAsia="Calibri" w:hAnsi="Arial" w:cs="Arial"/>
          <w:bCs/>
        </w:rPr>
        <w:t xml:space="preserve">n and Arbitration- Referral for- Compliance with rules </w:t>
      </w:r>
      <w:r w:rsidR="00BE623D">
        <w:rPr>
          <w:rFonts w:ascii="Arial" w:eastAsia="Calibri" w:hAnsi="Arial" w:cs="Arial"/>
          <w:bCs/>
        </w:rPr>
        <w:t>5 (11) 2 and 14 (2</w:t>
      </w:r>
      <w:r w:rsidR="00C663C6">
        <w:rPr>
          <w:rFonts w:ascii="Arial" w:eastAsia="Calibri" w:hAnsi="Arial" w:cs="Arial"/>
          <w:bCs/>
        </w:rPr>
        <w:t>) (a) of Rules relating to Conduct of C</w:t>
      </w:r>
      <w:r w:rsidR="00BE623D">
        <w:rPr>
          <w:rFonts w:ascii="Arial" w:eastAsia="Calibri" w:hAnsi="Arial" w:cs="Arial"/>
          <w:bCs/>
        </w:rPr>
        <w:t>onciliation and Arbitration</w:t>
      </w:r>
      <w:r w:rsidR="00C663C6">
        <w:rPr>
          <w:rFonts w:ascii="Arial" w:eastAsia="Calibri" w:hAnsi="Arial" w:cs="Arial"/>
          <w:bCs/>
        </w:rPr>
        <w:t xml:space="preserve"> before Labour Commissioner</w:t>
      </w:r>
      <w:r w:rsidR="00BE623D">
        <w:rPr>
          <w:rFonts w:ascii="Arial" w:eastAsia="Calibri" w:hAnsi="Arial" w:cs="Arial"/>
          <w:bCs/>
        </w:rPr>
        <w:t xml:space="preserve"> requiring referral do</w:t>
      </w:r>
      <w:r w:rsidR="00C663C6">
        <w:rPr>
          <w:rFonts w:ascii="Arial" w:eastAsia="Calibri" w:hAnsi="Arial" w:cs="Arial"/>
          <w:bCs/>
        </w:rPr>
        <w:t>cuments to be signed by referring</w:t>
      </w:r>
      <w:r w:rsidR="00BE623D">
        <w:rPr>
          <w:rFonts w:ascii="Arial" w:eastAsia="Calibri" w:hAnsi="Arial" w:cs="Arial"/>
          <w:bCs/>
        </w:rPr>
        <w:t xml:space="preserve"> party- Form LC21 signed by the union representative- Rule 5 (2) and (3)</w:t>
      </w:r>
      <w:r w:rsidR="00C663C6">
        <w:rPr>
          <w:rFonts w:ascii="Arial" w:eastAsia="Calibri" w:hAnsi="Arial" w:cs="Arial"/>
          <w:bCs/>
        </w:rPr>
        <w:t xml:space="preserve"> applicable to joint referral- mandate by employees</w:t>
      </w:r>
      <w:r w:rsidR="00BE623D">
        <w:rPr>
          <w:rFonts w:ascii="Arial" w:eastAsia="Calibri" w:hAnsi="Arial" w:cs="Arial"/>
          <w:bCs/>
        </w:rPr>
        <w:t xml:space="preserve"> </w:t>
      </w:r>
      <w:r w:rsidR="00C663C6">
        <w:rPr>
          <w:rFonts w:ascii="Arial" w:eastAsia="Calibri" w:hAnsi="Arial" w:cs="Arial"/>
          <w:bCs/>
        </w:rPr>
        <w:t xml:space="preserve">to co-employees to sign Form LC21- statement to be signed by all </w:t>
      </w:r>
      <w:r w:rsidR="00C663C6">
        <w:rPr>
          <w:rFonts w:ascii="Arial" w:eastAsia="Calibri" w:hAnsi="Arial" w:cs="Arial"/>
          <w:bCs/>
        </w:rPr>
        <w:lastRenderedPageBreak/>
        <w:t xml:space="preserve">employees and attaching thereto a list providing names and </w:t>
      </w:r>
      <w:r w:rsidR="00663BA1">
        <w:rPr>
          <w:rFonts w:ascii="Arial" w:eastAsia="Calibri" w:hAnsi="Arial" w:cs="Arial"/>
          <w:bCs/>
        </w:rPr>
        <w:t>addresses</w:t>
      </w:r>
      <w:r w:rsidR="00C663C6">
        <w:rPr>
          <w:rFonts w:ascii="Arial" w:eastAsia="Calibri" w:hAnsi="Arial" w:cs="Arial"/>
          <w:bCs/>
        </w:rPr>
        <w:t xml:space="preserve"> of all employees</w:t>
      </w:r>
      <w:r w:rsidR="00BE623D">
        <w:rPr>
          <w:rFonts w:ascii="Arial" w:eastAsia="Calibri" w:hAnsi="Arial" w:cs="Arial"/>
          <w:bCs/>
        </w:rPr>
        <w:t>.</w:t>
      </w:r>
    </w:p>
    <w:p w:rsidR="00663BA1" w:rsidRDefault="00663BA1" w:rsidP="00BA4218">
      <w:pPr>
        <w:spacing w:line="360" w:lineRule="auto"/>
        <w:jc w:val="both"/>
        <w:rPr>
          <w:rFonts w:ascii="Arial" w:eastAsia="Calibri" w:hAnsi="Arial" w:cs="Arial"/>
          <w:bCs/>
          <w:i/>
        </w:rPr>
      </w:pPr>
    </w:p>
    <w:p w:rsidR="00BE623D" w:rsidRDefault="00BE623D" w:rsidP="00BA4218">
      <w:pPr>
        <w:spacing w:line="360" w:lineRule="auto"/>
        <w:jc w:val="both"/>
        <w:rPr>
          <w:rFonts w:ascii="Arial" w:eastAsia="Calibri" w:hAnsi="Arial" w:cs="Arial"/>
          <w:bCs/>
        </w:rPr>
      </w:pPr>
      <w:r w:rsidRPr="009802F0">
        <w:rPr>
          <w:rFonts w:ascii="Arial" w:eastAsia="Calibri" w:hAnsi="Arial" w:cs="Arial"/>
          <w:bCs/>
          <w:i/>
        </w:rPr>
        <w:t xml:space="preserve">Labour </w:t>
      </w:r>
      <w:r w:rsidR="00C663C6" w:rsidRPr="009802F0">
        <w:rPr>
          <w:rFonts w:ascii="Arial" w:eastAsia="Calibri" w:hAnsi="Arial" w:cs="Arial"/>
          <w:bCs/>
          <w:i/>
        </w:rPr>
        <w:t>Law</w:t>
      </w:r>
      <w:r w:rsidRPr="009802F0">
        <w:rPr>
          <w:rFonts w:ascii="Arial" w:eastAsia="Calibri" w:hAnsi="Arial" w:cs="Arial"/>
          <w:bCs/>
          <w:i/>
        </w:rPr>
        <w:t>-</w:t>
      </w:r>
      <w:r>
        <w:rPr>
          <w:rFonts w:ascii="Arial" w:eastAsia="Calibri" w:hAnsi="Arial" w:cs="Arial"/>
          <w:bCs/>
        </w:rPr>
        <w:t xml:space="preserve"> Ru</w:t>
      </w:r>
      <w:r w:rsidR="00C663C6">
        <w:rPr>
          <w:rFonts w:ascii="Arial" w:eastAsia="Calibri" w:hAnsi="Arial" w:cs="Arial"/>
          <w:bCs/>
        </w:rPr>
        <w:t>le requires an A</w:t>
      </w:r>
      <w:r>
        <w:rPr>
          <w:rFonts w:ascii="Arial" w:eastAsia="Calibri" w:hAnsi="Arial" w:cs="Arial"/>
          <w:bCs/>
        </w:rPr>
        <w:t xml:space="preserve">rbitrator to give 14 days’ notice of the </w:t>
      </w:r>
      <w:r w:rsidR="00C663C6">
        <w:rPr>
          <w:rFonts w:ascii="Arial" w:eastAsia="Calibri" w:hAnsi="Arial" w:cs="Arial"/>
          <w:bCs/>
        </w:rPr>
        <w:t>arbitration hearing – N</w:t>
      </w:r>
      <w:r>
        <w:rPr>
          <w:rFonts w:ascii="Arial" w:eastAsia="Calibri" w:hAnsi="Arial" w:cs="Arial"/>
          <w:bCs/>
        </w:rPr>
        <w:t>on-compliance of Rule 15 aft</w:t>
      </w:r>
      <w:r w:rsidR="00C663C6">
        <w:rPr>
          <w:rFonts w:ascii="Arial" w:eastAsia="Calibri" w:hAnsi="Arial" w:cs="Arial"/>
          <w:bCs/>
        </w:rPr>
        <w:t>er initial arbitration hearing-C</w:t>
      </w:r>
      <w:r>
        <w:rPr>
          <w:rFonts w:ascii="Arial" w:eastAsia="Calibri" w:hAnsi="Arial" w:cs="Arial"/>
          <w:bCs/>
        </w:rPr>
        <w:t>onsent by parties to shorter notice</w:t>
      </w:r>
      <w:r w:rsidR="00C663C6">
        <w:rPr>
          <w:rFonts w:ascii="Arial" w:eastAsia="Calibri" w:hAnsi="Arial" w:cs="Arial"/>
          <w:bCs/>
        </w:rPr>
        <w:t>.</w:t>
      </w:r>
    </w:p>
    <w:p w:rsidR="00663BA1" w:rsidRDefault="00663BA1" w:rsidP="00BA4218">
      <w:pPr>
        <w:spacing w:line="360" w:lineRule="auto"/>
        <w:jc w:val="both"/>
        <w:rPr>
          <w:rFonts w:ascii="Arial" w:eastAsia="Calibri" w:hAnsi="Arial" w:cs="Arial"/>
          <w:i/>
        </w:rPr>
      </w:pPr>
    </w:p>
    <w:p w:rsidR="00BA4218" w:rsidRPr="00BA4218" w:rsidRDefault="00BA4218" w:rsidP="00BA4218">
      <w:pPr>
        <w:spacing w:line="360" w:lineRule="auto"/>
        <w:jc w:val="both"/>
        <w:rPr>
          <w:rFonts w:ascii="Arial" w:eastAsia="Calibri" w:hAnsi="Arial" w:cs="Arial"/>
        </w:rPr>
      </w:pPr>
      <w:r w:rsidRPr="00BA4218">
        <w:rPr>
          <w:rFonts w:ascii="Arial" w:eastAsia="Calibri" w:hAnsi="Arial" w:cs="Arial"/>
          <w:i/>
        </w:rPr>
        <w:t>Labour Law</w:t>
      </w:r>
      <w:r w:rsidR="009802F0">
        <w:rPr>
          <w:rFonts w:ascii="Arial" w:eastAsia="Calibri" w:hAnsi="Arial" w:cs="Arial"/>
        </w:rPr>
        <w:t xml:space="preserve"> – </w:t>
      </w:r>
      <w:r w:rsidRPr="00BA4218">
        <w:rPr>
          <w:rFonts w:ascii="Arial" w:eastAsia="Calibri" w:hAnsi="Arial" w:cs="Arial"/>
        </w:rPr>
        <w:t xml:space="preserve">Application for rescission </w:t>
      </w:r>
      <w:r w:rsidR="009802F0">
        <w:rPr>
          <w:rFonts w:ascii="Arial" w:eastAsia="Calibri" w:hAnsi="Arial" w:cs="Arial"/>
        </w:rPr>
        <w:t>–</w:t>
      </w:r>
      <w:r w:rsidRPr="00BA4218">
        <w:rPr>
          <w:rFonts w:ascii="Arial" w:eastAsia="Calibri" w:hAnsi="Arial" w:cs="Arial"/>
        </w:rPr>
        <w:t xml:space="preserve"> </w:t>
      </w:r>
      <w:r w:rsidR="009802F0">
        <w:rPr>
          <w:rFonts w:ascii="Arial" w:eastAsia="Calibri" w:hAnsi="Arial" w:cs="Arial"/>
        </w:rPr>
        <w:t>Refusal by Arbitrator to hear and conside</w:t>
      </w:r>
      <w:r w:rsidR="00663BA1">
        <w:rPr>
          <w:rFonts w:ascii="Arial" w:eastAsia="Calibri" w:hAnsi="Arial" w:cs="Arial"/>
        </w:rPr>
        <w:t>r an application for rescission-</w:t>
      </w:r>
      <w:r w:rsidR="009802F0">
        <w:rPr>
          <w:rFonts w:ascii="Arial" w:eastAsia="Calibri" w:hAnsi="Arial" w:cs="Arial"/>
        </w:rPr>
        <w:t>Application for rescission was not placed before arbitrator</w:t>
      </w:r>
      <w:r w:rsidRPr="00BA4218">
        <w:rPr>
          <w:rFonts w:ascii="Arial" w:eastAsia="Calibri" w:hAnsi="Arial" w:cs="Arial"/>
        </w:rPr>
        <w:t xml:space="preserve"> - Applicability of </w:t>
      </w:r>
      <w:r w:rsidRPr="00BA4218">
        <w:rPr>
          <w:rFonts w:ascii="Arial" w:eastAsia="Calibri" w:hAnsi="Arial" w:cs="Arial"/>
          <w:i/>
        </w:rPr>
        <w:t>audi alteram partem</w:t>
      </w:r>
      <w:r w:rsidR="00BE623D">
        <w:rPr>
          <w:rFonts w:ascii="Arial" w:eastAsia="Calibri" w:hAnsi="Arial" w:cs="Arial"/>
        </w:rPr>
        <w:t xml:space="preserve"> principle and article 12 (1) (a) of the Namibian Constitution.</w:t>
      </w:r>
    </w:p>
    <w:p w:rsidR="00BA4218" w:rsidRPr="00BA4218" w:rsidRDefault="00BA4218" w:rsidP="00BA4218">
      <w:pPr>
        <w:spacing w:line="360" w:lineRule="auto"/>
        <w:jc w:val="both"/>
        <w:rPr>
          <w:rFonts w:ascii="Arial" w:eastAsia="Calibri" w:hAnsi="Arial" w:cs="Arial"/>
          <w:bCs/>
        </w:rPr>
      </w:pPr>
    </w:p>
    <w:p w:rsidR="00BA4218" w:rsidRPr="00BA4218" w:rsidRDefault="00BA4218" w:rsidP="00BA4218">
      <w:pPr>
        <w:spacing w:line="360" w:lineRule="auto"/>
        <w:jc w:val="both"/>
        <w:rPr>
          <w:rFonts w:ascii="Arial" w:eastAsia="Calibri" w:hAnsi="Arial" w:cs="Arial"/>
        </w:rPr>
      </w:pPr>
      <w:r w:rsidRPr="00BA4218">
        <w:rPr>
          <w:rFonts w:ascii="Arial" w:eastAsia="Calibri" w:hAnsi="Arial" w:cs="Arial"/>
          <w:b/>
          <w:bCs/>
        </w:rPr>
        <w:t>Summary:</w:t>
      </w:r>
      <w:r w:rsidRPr="00BA4218">
        <w:rPr>
          <w:rFonts w:ascii="Arial" w:eastAsia="Calibri" w:hAnsi="Arial" w:cs="Arial"/>
          <w:bCs/>
        </w:rPr>
        <w:tab/>
      </w:r>
      <w:r w:rsidR="000346D6">
        <w:rPr>
          <w:rFonts w:ascii="Arial" w:hAnsi="Arial" w:cs="Arial"/>
        </w:rPr>
        <w:t>This is an appeal</w:t>
      </w:r>
      <w:r w:rsidR="00663BA1">
        <w:rPr>
          <w:rFonts w:ascii="Arial" w:hAnsi="Arial" w:cs="Arial"/>
        </w:rPr>
        <w:t xml:space="preserve"> in terms of section 89 of the L</w:t>
      </w:r>
      <w:r w:rsidR="000346D6">
        <w:rPr>
          <w:rFonts w:ascii="Arial" w:hAnsi="Arial" w:cs="Arial"/>
        </w:rPr>
        <w:t>abour Act, 11 of 2007 (‘the Act”) against the award of the arbitrator of 24 March 2016. The appeal includes review grounds</w:t>
      </w:r>
      <w:r w:rsidR="00596198">
        <w:rPr>
          <w:rFonts w:ascii="Arial" w:hAnsi="Arial" w:cs="Arial"/>
        </w:rPr>
        <w:t xml:space="preserve">. In this matter, the appellant raised three points </w:t>
      </w:r>
      <w:r w:rsidR="00596198" w:rsidRPr="00596198">
        <w:rPr>
          <w:rFonts w:ascii="Arial" w:hAnsi="Arial" w:cs="Arial"/>
          <w:i/>
        </w:rPr>
        <w:t>in limine</w:t>
      </w:r>
      <w:r w:rsidR="00596198">
        <w:rPr>
          <w:rFonts w:ascii="Arial" w:hAnsi="Arial" w:cs="Arial"/>
        </w:rPr>
        <w:t>.</w:t>
      </w:r>
    </w:p>
    <w:p w:rsidR="00101E0D" w:rsidRDefault="00101E0D" w:rsidP="00BA4218">
      <w:pPr>
        <w:tabs>
          <w:tab w:val="left" w:pos="720"/>
        </w:tabs>
        <w:spacing w:line="360" w:lineRule="auto"/>
        <w:contextualSpacing/>
        <w:jc w:val="both"/>
        <w:rPr>
          <w:rFonts w:ascii="Arial" w:eastAsia="Calibri" w:hAnsi="Arial" w:cs="Arial"/>
        </w:rPr>
      </w:pPr>
    </w:p>
    <w:p w:rsidR="000346D6" w:rsidRDefault="00BE623D" w:rsidP="00BA4218">
      <w:pPr>
        <w:tabs>
          <w:tab w:val="left" w:pos="720"/>
        </w:tabs>
        <w:spacing w:line="360" w:lineRule="auto"/>
        <w:contextualSpacing/>
        <w:jc w:val="both"/>
        <w:rPr>
          <w:rFonts w:ascii="Arial" w:eastAsia="Calibri" w:hAnsi="Arial" w:cs="Arial"/>
        </w:rPr>
      </w:pPr>
      <w:r w:rsidRPr="00D671C7">
        <w:rPr>
          <w:rFonts w:ascii="Arial" w:eastAsia="Calibri" w:hAnsi="Arial" w:cs="Arial"/>
        </w:rPr>
        <w:t xml:space="preserve">The </w:t>
      </w:r>
      <w:r w:rsidR="00101E0D">
        <w:rPr>
          <w:rFonts w:ascii="Arial" w:eastAsia="Calibri" w:hAnsi="Arial" w:cs="Arial"/>
        </w:rPr>
        <w:t xml:space="preserve">first point </w:t>
      </w:r>
      <w:r w:rsidR="00101E0D" w:rsidRPr="00101E0D">
        <w:rPr>
          <w:rFonts w:ascii="Arial" w:eastAsia="Calibri" w:hAnsi="Arial" w:cs="Arial"/>
          <w:i/>
        </w:rPr>
        <w:t xml:space="preserve">in limine </w:t>
      </w:r>
      <w:r w:rsidR="00101E0D">
        <w:rPr>
          <w:rFonts w:ascii="Arial" w:eastAsia="Calibri" w:hAnsi="Arial" w:cs="Arial"/>
        </w:rPr>
        <w:t xml:space="preserve">deals </w:t>
      </w:r>
      <w:r w:rsidR="000A50EA">
        <w:rPr>
          <w:rFonts w:ascii="Arial" w:eastAsia="Calibri" w:hAnsi="Arial" w:cs="Arial"/>
        </w:rPr>
        <w:t xml:space="preserve">essentially </w:t>
      </w:r>
      <w:r w:rsidR="00742F1F">
        <w:rPr>
          <w:rFonts w:ascii="Arial" w:eastAsia="Calibri" w:hAnsi="Arial" w:cs="Arial"/>
        </w:rPr>
        <w:t>with the non-compliance of</w:t>
      </w:r>
      <w:r w:rsidR="00101E0D">
        <w:rPr>
          <w:rFonts w:ascii="Arial" w:eastAsia="Calibri" w:hAnsi="Arial" w:cs="Arial"/>
        </w:rPr>
        <w:t xml:space="preserve"> </w:t>
      </w:r>
      <w:r w:rsidR="000A50EA">
        <w:rPr>
          <w:rFonts w:ascii="Arial" w:eastAsia="Calibri" w:hAnsi="Arial" w:cs="Arial"/>
        </w:rPr>
        <w:t>rule</w:t>
      </w:r>
      <w:r w:rsidR="00101E0D">
        <w:rPr>
          <w:rFonts w:ascii="Arial" w:eastAsia="Calibri" w:hAnsi="Arial" w:cs="Arial"/>
        </w:rPr>
        <w:t xml:space="preserve"> 14 (2), 5 and 11 of the </w:t>
      </w:r>
      <w:r w:rsidR="000A50EA">
        <w:rPr>
          <w:rFonts w:ascii="Arial" w:eastAsia="Calibri" w:hAnsi="Arial" w:cs="Arial"/>
        </w:rPr>
        <w:t>r</w:t>
      </w:r>
      <w:r w:rsidR="00101E0D">
        <w:rPr>
          <w:rFonts w:ascii="Arial" w:eastAsia="Calibri" w:hAnsi="Arial" w:cs="Arial"/>
        </w:rPr>
        <w:t>ules relating to the Conduct of Conciliation and Arbitration</w:t>
      </w:r>
      <w:r w:rsidR="00663BA1">
        <w:rPr>
          <w:rFonts w:ascii="Arial" w:eastAsia="Calibri" w:hAnsi="Arial" w:cs="Arial"/>
        </w:rPr>
        <w:t xml:space="preserve"> before the Labour Commissioner (“the Rules”). </w:t>
      </w:r>
      <w:r w:rsidR="00101E0D">
        <w:rPr>
          <w:rFonts w:ascii="Arial" w:eastAsia="Calibri" w:hAnsi="Arial" w:cs="Arial"/>
        </w:rPr>
        <w:t>Rule 14 (2) (a) requires</w:t>
      </w:r>
      <w:r w:rsidR="00663BA1">
        <w:rPr>
          <w:rFonts w:ascii="Arial" w:eastAsia="Calibri" w:hAnsi="Arial" w:cs="Arial"/>
        </w:rPr>
        <w:t xml:space="preserve"> that </w:t>
      </w:r>
      <w:r w:rsidR="00101E0D">
        <w:rPr>
          <w:rFonts w:ascii="Arial" w:eastAsia="Calibri" w:hAnsi="Arial" w:cs="Arial"/>
        </w:rPr>
        <w:t xml:space="preserve">the referral </w:t>
      </w:r>
      <w:r w:rsidR="000A50EA">
        <w:rPr>
          <w:rFonts w:ascii="Arial" w:eastAsia="Calibri" w:hAnsi="Arial" w:cs="Arial"/>
        </w:rPr>
        <w:t>document referring a</w:t>
      </w:r>
      <w:r w:rsidR="00101E0D">
        <w:rPr>
          <w:rFonts w:ascii="Arial" w:eastAsia="Calibri" w:hAnsi="Arial" w:cs="Arial"/>
        </w:rPr>
        <w:t xml:space="preserve"> dispute </w:t>
      </w:r>
      <w:r w:rsidR="000A50EA">
        <w:rPr>
          <w:rFonts w:ascii="Arial" w:eastAsia="Calibri" w:hAnsi="Arial" w:cs="Arial"/>
        </w:rPr>
        <w:t xml:space="preserve">must </w:t>
      </w:r>
      <w:r w:rsidR="00101E0D">
        <w:rPr>
          <w:rFonts w:ascii="Arial" w:eastAsia="Calibri" w:hAnsi="Arial" w:cs="Arial"/>
        </w:rPr>
        <w:t xml:space="preserve">be signed by the referral party </w:t>
      </w:r>
      <w:r w:rsidR="000A50EA">
        <w:rPr>
          <w:rFonts w:ascii="Arial" w:eastAsia="Calibri" w:hAnsi="Arial" w:cs="Arial"/>
        </w:rPr>
        <w:t>as provided for in rule 5. Rule 5(1) permit</w:t>
      </w:r>
      <w:r w:rsidR="00663BA1">
        <w:rPr>
          <w:rFonts w:ascii="Arial" w:eastAsia="Calibri" w:hAnsi="Arial" w:cs="Arial"/>
        </w:rPr>
        <w:t>s</w:t>
      </w:r>
      <w:r w:rsidR="000A50EA">
        <w:rPr>
          <w:rFonts w:ascii="Arial" w:eastAsia="Calibri" w:hAnsi="Arial" w:cs="Arial"/>
        </w:rPr>
        <w:t xml:space="preserve"> a party and a </w:t>
      </w:r>
      <w:r w:rsidR="000A50EA" w:rsidRPr="000A50EA">
        <w:rPr>
          <w:rFonts w:ascii="Arial" w:eastAsia="Calibri" w:hAnsi="Arial" w:cs="Arial"/>
          <w:i/>
        </w:rPr>
        <w:t>person ‘entitled’</w:t>
      </w:r>
      <w:r w:rsidR="00101E0D" w:rsidRPr="000A50EA">
        <w:rPr>
          <w:rFonts w:ascii="Arial" w:eastAsia="Calibri" w:hAnsi="Arial" w:cs="Arial"/>
          <w:i/>
        </w:rPr>
        <w:t xml:space="preserve"> </w:t>
      </w:r>
      <w:r w:rsidR="000A50EA">
        <w:rPr>
          <w:rFonts w:ascii="Arial" w:eastAsia="Calibri" w:hAnsi="Arial" w:cs="Arial"/>
        </w:rPr>
        <w:t xml:space="preserve">in terms of the Act or rules to represent a party to the proceedings to sign form LC21. Appellant took the </w:t>
      </w:r>
      <w:r w:rsidR="00330C50">
        <w:rPr>
          <w:rFonts w:ascii="Arial" w:eastAsia="Calibri" w:hAnsi="Arial" w:cs="Arial"/>
        </w:rPr>
        <w:t>point that the joint referral document referring the dispute did not comply with Rule 5(2) and (3), and a result the joint dispute was not properly referred, resulting in the proceeding being irregular and thus a nullity.</w:t>
      </w:r>
    </w:p>
    <w:p w:rsidR="00330C50" w:rsidRDefault="00330C50" w:rsidP="00BA4218">
      <w:pPr>
        <w:tabs>
          <w:tab w:val="left" w:pos="720"/>
        </w:tabs>
        <w:spacing w:line="360" w:lineRule="auto"/>
        <w:contextualSpacing/>
        <w:jc w:val="both"/>
        <w:rPr>
          <w:rFonts w:ascii="Arial" w:eastAsia="Calibri" w:hAnsi="Arial" w:cs="Arial"/>
        </w:rPr>
      </w:pPr>
    </w:p>
    <w:p w:rsidR="00330C50" w:rsidRDefault="00330C50" w:rsidP="00BA4218">
      <w:pPr>
        <w:tabs>
          <w:tab w:val="left" w:pos="720"/>
        </w:tabs>
        <w:spacing w:line="360" w:lineRule="auto"/>
        <w:contextualSpacing/>
        <w:jc w:val="both"/>
        <w:rPr>
          <w:rFonts w:ascii="Arial" w:eastAsia="Calibri" w:hAnsi="Arial" w:cs="Arial"/>
        </w:rPr>
      </w:pPr>
      <w:r>
        <w:rPr>
          <w:rFonts w:ascii="Arial" w:eastAsia="Calibri" w:hAnsi="Arial" w:cs="Arial"/>
        </w:rPr>
        <w:t xml:space="preserve">Rule 5(2) and (3) require a joint referral by employees to be accompanied by a statement signed by all employees, authorizing one of them to sign the referral document on their behalf. The sub-rules further require a list of all employees’ names and addresses to be attached to the statement. No such Statement accompanied the referral document and the list attached was </w:t>
      </w:r>
      <w:r w:rsidR="00920785">
        <w:rPr>
          <w:rFonts w:ascii="Arial" w:eastAsia="Calibri" w:hAnsi="Arial" w:cs="Arial"/>
        </w:rPr>
        <w:t xml:space="preserve">a crew list of some 54 odd employees, more than the 47 employees alleged to have referred the dispute. Although the referral documents state that there are </w:t>
      </w:r>
      <w:r w:rsidR="00920785">
        <w:rPr>
          <w:rFonts w:ascii="Arial" w:eastAsia="Calibri" w:hAnsi="Arial" w:cs="Arial"/>
        </w:rPr>
        <w:lastRenderedPageBreak/>
        <w:t>47 other respondents, only 19 of them attended the arbitration hearing. The referral document was signed by the union representative on behalf of the employees.</w:t>
      </w:r>
    </w:p>
    <w:p w:rsidR="00920785" w:rsidRDefault="00920785" w:rsidP="00BA4218">
      <w:pPr>
        <w:tabs>
          <w:tab w:val="left" w:pos="720"/>
        </w:tabs>
        <w:spacing w:line="360" w:lineRule="auto"/>
        <w:contextualSpacing/>
        <w:jc w:val="both"/>
        <w:rPr>
          <w:rFonts w:ascii="Arial" w:eastAsia="Calibri" w:hAnsi="Arial" w:cs="Arial"/>
        </w:rPr>
      </w:pPr>
    </w:p>
    <w:p w:rsidR="00B76A4C" w:rsidRDefault="00920785" w:rsidP="00BA4218">
      <w:pPr>
        <w:tabs>
          <w:tab w:val="left" w:pos="720"/>
        </w:tabs>
        <w:spacing w:line="360" w:lineRule="auto"/>
        <w:contextualSpacing/>
        <w:jc w:val="both"/>
        <w:rPr>
          <w:rFonts w:ascii="Arial" w:eastAsia="Calibri" w:hAnsi="Arial" w:cs="Arial"/>
        </w:rPr>
      </w:pPr>
      <w:r>
        <w:rPr>
          <w:rFonts w:ascii="Arial" w:eastAsia="Calibri" w:hAnsi="Arial" w:cs="Arial"/>
        </w:rPr>
        <w:t xml:space="preserve">The second point </w:t>
      </w:r>
      <w:r w:rsidRPr="00920785">
        <w:rPr>
          <w:rFonts w:ascii="Arial" w:eastAsia="Calibri" w:hAnsi="Arial" w:cs="Arial"/>
          <w:i/>
        </w:rPr>
        <w:t>in limine</w:t>
      </w:r>
      <w:r>
        <w:rPr>
          <w:rFonts w:ascii="Arial" w:eastAsia="Calibri" w:hAnsi="Arial" w:cs="Arial"/>
        </w:rPr>
        <w:t xml:space="preserve"> raise</w:t>
      </w:r>
      <w:r w:rsidR="00663BA1">
        <w:rPr>
          <w:rFonts w:ascii="Arial" w:eastAsia="Calibri" w:hAnsi="Arial" w:cs="Arial"/>
        </w:rPr>
        <w:t>s</w:t>
      </w:r>
      <w:r>
        <w:rPr>
          <w:rFonts w:ascii="Arial" w:eastAsia="Calibri" w:hAnsi="Arial" w:cs="Arial"/>
        </w:rPr>
        <w:t xml:space="preserve"> the short notice of the arbitration hearing in contravention of rule 15. Rule 15 require the arbitrator to gi</w:t>
      </w:r>
      <w:r w:rsidR="00663BA1">
        <w:rPr>
          <w:rFonts w:ascii="Arial" w:eastAsia="Calibri" w:hAnsi="Arial" w:cs="Arial"/>
        </w:rPr>
        <w:t>ve the parties at least 14 days’ notice</w:t>
      </w:r>
      <w:r>
        <w:rPr>
          <w:rFonts w:ascii="Arial" w:eastAsia="Calibri" w:hAnsi="Arial" w:cs="Arial"/>
        </w:rPr>
        <w:t xml:space="preserve"> of the arbitration hearing, unless the parties have agreed to a shorter period.</w:t>
      </w:r>
      <w:r w:rsidR="00B76A4C">
        <w:rPr>
          <w:rFonts w:ascii="Arial" w:eastAsia="Calibri" w:hAnsi="Arial" w:cs="Arial"/>
        </w:rPr>
        <w:t xml:space="preserve"> On 8 March 2016 the appellant received a notice of set down informing the parties that the arbitration heari</w:t>
      </w:r>
      <w:r w:rsidR="00663BA1">
        <w:rPr>
          <w:rFonts w:ascii="Arial" w:eastAsia="Calibri" w:hAnsi="Arial" w:cs="Arial"/>
        </w:rPr>
        <w:t>ng will take place on 15 March 2016.</w:t>
      </w:r>
    </w:p>
    <w:p w:rsidR="00B76A4C" w:rsidRDefault="00B76A4C" w:rsidP="00BA4218">
      <w:pPr>
        <w:tabs>
          <w:tab w:val="left" w:pos="720"/>
        </w:tabs>
        <w:spacing w:line="360" w:lineRule="auto"/>
        <w:contextualSpacing/>
        <w:jc w:val="both"/>
        <w:rPr>
          <w:rFonts w:ascii="Arial" w:eastAsia="Calibri" w:hAnsi="Arial" w:cs="Arial"/>
        </w:rPr>
      </w:pPr>
    </w:p>
    <w:p w:rsidR="00920785" w:rsidRDefault="00B76A4C" w:rsidP="00BA4218">
      <w:pPr>
        <w:tabs>
          <w:tab w:val="left" w:pos="720"/>
        </w:tabs>
        <w:spacing w:line="360" w:lineRule="auto"/>
        <w:contextualSpacing/>
        <w:jc w:val="both"/>
        <w:rPr>
          <w:rFonts w:ascii="Arial" w:eastAsia="Calibri" w:hAnsi="Arial" w:cs="Arial"/>
        </w:rPr>
      </w:pPr>
      <w:r>
        <w:rPr>
          <w:rFonts w:ascii="Arial" w:eastAsia="Calibri" w:hAnsi="Arial" w:cs="Arial"/>
        </w:rPr>
        <w:t>On 10 March 2016, appellant communicated to the arbitrator that its representative has to attend a meeting in Cape Town schedule</w:t>
      </w:r>
      <w:r w:rsidR="008607C4">
        <w:rPr>
          <w:rFonts w:ascii="Arial" w:eastAsia="Calibri" w:hAnsi="Arial" w:cs="Arial"/>
        </w:rPr>
        <w:t>d</w:t>
      </w:r>
      <w:r>
        <w:rPr>
          <w:rFonts w:ascii="Arial" w:eastAsia="Calibri" w:hAnsi="Arial" w:cs="Arial"/>
        </w:rPr>
        <w:t xml:space="preserve"> on the same day as the arbitration hearing. The parties were advised to agree to a postponement or apply </w:t>
      </w:r>
      <w:r w:rsidR="008607C4">
        <w:rPr>
          <w:rFonts w:ascii="Arial" w:eastAsia="Calibri" w:hAnsi="Arial" w:cs="Arial"/>
        </w:rPr>
        <w:t>for</w:t>
      </w:r>
      <w:r>
        <w:rPr>
          <w:rFonts w:ascii="Arial" w:eastAsia="Calibri" w:hAnsi="Arial" w:cs="Arial"/>
        </w:rPr>
        <w:t xml:space="preserve"> a postponement. Although the party initially agreed to a postponement, the respondent</w:t>
      </w:r>
      <w:r w:rsidR="008607C4">
        <w:rPr>
          <w:rFonts w:ascii="Arial" w:eastAsia="Calibri" w:hAnsi="Arial" w:cs="Arial"/>
        </w:rPr>
        <w:t>s’</w:t>
      </w:r>
      <w:r>
        <w:rPr>
          <w:rFonts w:ascii="Arial" w:eastAsia="Calibri" w:hAnsi="Arial" w:cs="Arial"/>
        </w:rPr>
        <w:t xml:space="preserve"> representative rescinded from the agreement at </w:t>
      </w:r>
      <w:r w:rsidR="008607C4">
        <w:rPr>
          <w:rFonts w:ascii="Arial" w:eastAsia="Calibri" w:hAnsi="Arial" w:cs="Arial"/>
        </w:rPr>
        <w:t xml:space="preserve">such an </w:t>
      </w:r>
      <w:r>
        <w:rPr>
          <w:rFonts w:ascii="Arial" w:eastAsia="Calibri" w:hAnsi="Arial" w:cs="Arial"/>
        </w:rPr>
        <w:t xml:space="preserve">advanced stage. The appellant, as a result did not attend the arbitration hearing. </w:t>
      </w:r>
      <w:r w:rsidR="008607C4">
        <w:rPr>
          <w:rFonts w:ascii="Arial" w:eastAsia="Calibri" w:hAnsi="Arial" w:cs="Arial"/>
        </w:rPr>
        <w:t>I</w:t>
      </w:r>
      <w:r>
        <w:rPr>
          <w:rFonts w:ascii="Arial" w:eastAsia="Calibri" w:hAnsi="Arial" w:cs="Arial"/>
        </w:rPr>
        <w:t>t was contended that the appellant did not agree to a short notice</w:t>
      </w:r>
      <w:r w:rsidR="008607C4">
        <w:rPr>
          <w:rFonts w:ascii="Arial" w:eastAsia="Calibri" w:hAnsi="Arial" w:cs="Arial"/>
        </w:rPr>
        <w:t xml:space="preserve"> period resulting </w:t>
      </w:r>
      <w:r w:rsidR="008D0270">
        <w:rPr>
          <w:rFonts w:ascii="Arial" w:eastAsia="Calibri" w:hAnsi="Arial" w:cs="Arial"/>
        </w:rPr>
        <w:t xml:space="preserve">in the proceeding </w:t>
      </w:r>
      <w:r w:rsidR="00AB47DB">
        <w:rPr>
          <w:rFonts w:ascii="Arial" w:eastAsia="Calibri" w:hAnsi="Arial" w:cs="Arial"/>
        </w:rPr>
        <w:t>being irregular</w:t>
      </w:r>
      <w:r w:rsidR="008607C4">
        <w:rPr>
          <w:rFonts w:ascii="Arial" w:eastAsia="Calibri" w:hAnsi="Arial" w:cs="Arial"/>
        </w:rPr>
        <w:t>.</w:t>
      </w:r>
    </w:p>
    <w:p w:rsidR="00B76A4C" w:rsidRDefault="00B76A4C" w:rsidP="00BA4218">
      <w:pPr>
        <w:tabs>
          <w:tab w:val="left" w:pos="720"/>
        </w:tabs>
        <w:spacing w:line="360" w:lineRule="auto"/>
        <w:contextualSpacing/>
        <w:jc w:val="both"/>
        <w:rPr>
          <w:rFonts w:ascii="Arial" w:eastAsia="Calibri" w:hAnsi="Arial" w:cs="Arial"/>
        </w:rPr>
      </w:pPr>
    </w:p>
    <w:p w:rsidR="00D671C7" w:rsidRDefault="00B76A4C" w:rsidP="00BA4218">
      <w:pPr>
        <w:tabs>
          <w:tab w:val="left" w:pos="720"/>
        </w:tabs>
        <w:spacing w:line="360" w:lineRule="auto"/>
        <w:contextualSpacing/>
        <w:jc w:val="both"/>
        <w:rPr>
          <w:rFonts w:ascii="Arial" w:eastAsia="Calibri" w:hAnsi="Arial" w:cs="Arial"/>
        </w:rPr>
      </w:pPr>
      <w:r>
        <w:rPr>
          <w:rFonts w:ascii="Arial" w:eastAsia="Calibri" w:hAnsi="Arial" w:cs="Arial"/>
        </w:rPr>
        <w:t xml:space="preserve">The third point </w:t>
      </w:r>
      <w:r w:rsidRPr="008607C4">
        <w:rPr>
          <w:rFonts w:ascii="Arial" w:eastAsia="Calibri" w:hAnsi="Arial" w:cs="Arial"/>
          <w:i/>
        </w:rPr>
        <w:t>in limine</w:t>
      </w:r>
      <w:r w:rsidR="008607C4">
        <w:rPr>
          <w:rFonts w:ascii="Arial" w:eastAsia="Calibri" w:hAnsi="Arial" w:cs="Arial"/>
        </w:rPr>
        <w:t xml:space="preserve"> is a climax of the appellant’s argument based on the fact that its application for rescission of the award granted in its absence was never heard and its rights to a fair trial as set out in article 12 (1) (a) of the Namibian Constitution was violated.  Although the application for rescission of judgment was properly delivered and served</w:t>
      </w:r>
      <w:r w:rsidR="00684398">
        <w:rPr>
          <w:rFonts w:ascii="Arial" w:eastAsia="Calibri" w:hAnsi="Arial" w:cs="Arial"/>
        </w:rPr>
        <w:t xml:space="preserve"> on all the parties</w:t>
      </w:r>
      <w:r w:rsidR="008607C4">
        <w:rPr>
          <w:rFonts w:ascii="Arial" w:eastAsia="Calibri" w:hAnsi="Arial" w:cs="Arial"/>
        </w:rPr>
        <w:t>,</w:t>
      </w:r>
      <w:r w:rsidR="00684398">
        <w:rPr>
          <w:rFonts w:ascii="Arial" w:eastAsia="Calibri" w:hAnsi="Arial" w:cs="Arial"/>
        </w:rPr>
        <w:t xml:space="preserve"> for some confusing reasons,</w:t>
      </w:r>
      <w:r w:rsidR="008607C4">
        <w:rPr>
          <w:rFonts w:ascii="Arial" w:eastAsia="Calibri" w:hAnsi="Arial" w:cs="Arial"/>
        </w:rPr>
        <w:t xml:space="preserve"> it never reac</w:t>
      </w:r>
      <w:r w:rsidR="00684398">
        <w:rPr>
          <w:rFonts w:ascii="Arial" w:eastAsia="Calibri" w:hAnsi="Arial" w:cs="Arial"/>
        </w:rPr>
        <w:t>hed the arbitrator. T</w:t>
      </w:r>
      <w:r w:rsidR="008607C4">
        <w:rPr>
          <w:rFonts w:ascii="Arial" w:eastAsia="Calibri" w:hAnsi="Arial" w:cs="Arial"/>
        </w:rPr>
        <w:t xml:space="preserve">he arbitrator nevertheless </w:t>
      </w:r>
      <w:r w:rsidR="00684398">
        <w:rPr>
          <w:rFonts w:ascii="Arial" w:eastAsia="Calibri" w:hAnsi="Arial" w:cs="Arial"/>
        </w:rPr>
        <w:t>decided that</w:t>
      </w:r>
      <w:r w:rsidR="008607C4">
        <w:rPr>
          <w:rFonts w:ascii="Arial" w:eastAsia="Calibri" w:hAnsi="Arial" w:cs="Arial"/>
        </w:rPr>
        <w:t xml:space="preserve"> it was not necessary to hear the application because appellant failed to </w:t>
      </w:r>
      <w:r w:rsidR="00663BA1">
        <w:rPr>
          <w:rFonts w:ascii="Arial" w:eastAsia="Calibri" w:hAnsi="Arial" w:cs="Arial"/>
        </w:rPr>
        <w:t xml:space="preserve">apply </w:t>
      </w:r>
      <w:r w:rsidR="00AC36E4">
        <w:rPr>
          <w:rFonts w:ascii="Arial" w:eastAsia="Calibri" w:hAnsi="Arial" w:cs="Arial"/>
        </w:rPr>
        <w:t xml:space="preserve">for a </w:t>
      </w:r>
      <w:r w:rsidR="00684398">
        <w:rPr>
          <w:rFonts w:ascii="Arial" w:eastAsia="Calibri" w:hAnsi="Arial" w:cs="Arial"/>
        </w:rPr>
        <w:t>postpone</w:t>
      </w:r>
      <w:r w:rsidR="00AC36E4">
        <w:rPr>
          <w:rFonts w:ascii="Arial" w:eastAsia="Calibri" w:hAnsi="Arial" w:cs="Arial"/>
        </w:rPr>
        <w:t>ment of</w:t>
      </w:r>
      <w:r w:rsidR="008607C4">
        <w:rPr>
          <w:rFonts w:ascii="Arial" w:eastAsia="Calibri" w:hAnsi="Arial" w:cs="Arial"/>
        </w:rPr>
        <w:t xml:space="preserve"> the arbitration </w:t>
      </w:r>
      <w:r w:rsidR="00AC36E4">
        <w:rPr>
          <w:rFonts w:ascii="Arial" w:eastAsia="Calibri" w:hAnsi="Arial" w:cs="Arial"/>
        </w:rPr>
        <w:t xml:space="preserve">hearing held on 15 March 2016. </w:t>
      </w:r>
    </w:p>
    <w:p w:rsidR="00684398" w:rsidRDefault="00684398" w:rsidP="00BA4218">
      <w:pPr>
        <w:tabs>
          <w:tab w:val="left" w:pos="720"/>
        </w:tabs>
        <w:spacing w:line="360" w:lineRule="auto"/>
        <w:contextualSpacing/>
        <w:jc w:val="both"/>
        <w:rPr>
          <w:rFonts w:ascii="Arial" w:eastAsia="Calibri" w:hAnsi="Arial" w:cs="Arial"/>
        </w:rPr>
      </w:pPr>
    </w:p>
    <w:p w:rsidR="008D0270" w:rsidRDefault="00684398" w:rsidP="00BA4218">
      <w:pPr>
        <w:tabs>
          <w:tab w:val="left" w:pos="720"/>
        </w:tabs>
        <w:spacing w:line="360" w:lineRule="auto"/>
        <w:contextualSpacing/>
        <w:jc w:val="both"/>
        <w:rPr>
          <w:rFonts w:ascii="Arial" w:eastAsia="Calibri" w:hAnsi="Arial" w:cs="Arial"/>
        </w:rPr>
      </w:pPr>
      <w:r w:rsidRPr="00684398">
        <w:rPr>
          <w:rFonts w:ascii="Arial" w:eastAsia="Calibri" w:hAnsi="Arial" w:cs="Arial"/>
          <w:i/>
        </w:rPr>
        <w:t>Held</w:t>
      </w:r>
      <w:r w:rsidR="00AC36E4">
        <w:rPr>
          <w:rFonts w:ascii="Arial" w:eastAsia="Calibri" w:hAnsi="Arial" w:cs="Arial"/>
        </w:rPr>
        <w:t xml:space="preserve"> </w:t>
      </w:r>
      <w:r w:rsidR="00AC36E4" w:rsidRPr="00AC36E4">
        <w:rPr>
          <w:rFonts w:ascii="Arial" w:eastAsia="Calibri" w:hAnsi="Arial" w:cs="Arial"/>
          <w:i/>
        </w:rPr>
        <w:t>that</w:t>
      </w:r>
      <w:r w:rsidR="00AC36E4">
        <w:rPr>
          <w:rFonts w:ascii="Arial" w:eastAsia="Calibri" w:hAnsi="Arial" w:cs="Arial"/>
        </w:rPr>
        <w:t xml:space="preserve"> </w:t>
      </w:r>
      <w:r w:rsidR="008D0270">
        <w:rPr>
          <w:rFonts w:ascii="Arial" w:eastAsia="Calibri" w:hAnsi="Arial" w:cs="Arial"/>
        </w:rPr>
        <w:t>Rule 5(2) and (3) are intended to regulate a situation where a group of individual employees refer a dispute to the Labour Commission</w:t>
      </w:r>
      <w:r w:rsidR="00AC36E4">
        <w:rPr>
          <w:rFonts w:ascii="Arial" w:eastAsia="Calibri" w:hAnsi="Arial" w:cs="Arial"/>
        </w:rPr>
        <w:t>er</w:t>
      </w:r>
      <w:r w:rsidR="008D0270">
        <w:rPr>
          <w:rFonts w:ascii="Arial" w:eastAsia="Calibri" w:hAnsi="Arial" w:cs="Arial"/>
        </w:rPr>
        <w:t>. Where a Union representative act on behalf of its members, as in this case, rule 5(1) applies.</w:t>
      </w:r>
    </w:p>
    <w:p w:rsidR="008D0270" w:rsidRDefault="00AC36E4" w:rsidP="00BA4218">
      <w:pPr>
        <w:tabs>
          <w:tab w:val="left" w:pos="720"/>
        </w:tabs>
        <w:spacing w:line="360" w:lineRule="auto"/>
        <w:contextualSpacing/>
        <w:jc w:val="both"/>
        <w:rPr>
          <w:rFonts w:ascii="Arial" w:eastAsia="Calibri" w:hAnsi="Arial" w:cs="Arial"/>
        </w:rPr>
      </w:pPr>
      <w:r>
        <w:rPr>
          <w:rFonts w:ascii="Arial" w:eastAsia="Calibri" w:hAnsi="Arial" w:cs="Arial"/>
          <w:i/>
        </w:rPr>
        <w:lastRenderedPageBreak/>
        <w:t xml:space="preserve">Held </w:t>
      </w:r>
      <w:r w:rsidR="008D0270">
        <w:rPr>
          <w:rFonts w:ascii="Arial" w:eastAsia="Calibri" w:hAnsi="Arial" w:cs="Arial"/>
        </w:rPr>
        <w:t xml:space="preserve">further that a union representative is </w:t>
      </w:r>
      <w:r w:rsidR="008D0270" w:rsidRPr="00286867">
        <w:rPr>
          <w:rFonts w:ascii="Arial" w:eastAsia="Calibri" w:hAnsi="Arial" w:cs="Arial"/>
        </w:rPr>
        <w:t>a</w:t>
      </w:r>
      <w:r w:rsidR="008D0270" w:rsidRPr="00286867">
        <w:rPr>
          <w:rFonts w:ascii="Arial" w:eastAsia="Calibri" w:hAnsi="Arial" w:cs="Arial"/>
          <w:i/>
        </w:rPr>
        <w:t xml:space="preserve"> ‘person </w:t>
      </w:r>
      <w:r w:rsidR="00286867" w:rsidRPr="00286867">
        <w:rPr>
          <w:rFonts w:ascii="Arial" w:eastAsia="Calibri" w:hAnsi="Arial" w:cs="Arial"/>
          <w:i/>
        </w:rPr>
        <w:t>entitled’</w:t>
      </w:r>
      <w:r w:rsidR="00286867">
        <w:rPr>
          <w:rFonts w:ascii="Arial" w:eastAsia="Calibri" w:hAnsi="Arial" w:cs="Arial"/>
        </w:rPr>
        <w:t xml:space="preserve"> in</w:t>
      </w:r>
      <w:r w:rsidR="008D0270">
        <w:rPr>
          <w:rFonts w:ascii="Arial" w:eastAsia="Calibri" w:hAnsi="Arial" w:cs="Arial"/>
        </w:rPr>
        <w:t xml:space="preserve"> terms o</w:t>
      </w:r>
      <w:r w:rsidR="00286867">
        <w:rPr>
          <w:rFonts w:ascii="Arial" w:eastAsia="Calibri" w:hAnsi="Arial" w:cs="Arial"/>
        </w:rPr>
        <w:t>f r</w:t>
      </w:r>
      <w:r w:rsidR="008D0270">
        <w:rPr>
          <w:rFonts w:ascii="Arial" w:eastAsia="Calibri" w:hAnsi="Arial" w:cs="Arial"/>
        </w:rPr>
        <w:t>ule 5(1) to sign a referral document on behalf of all it</w:t>
      </w:r>
      <w:r w:rsidR="00286867">
        <w:rPr>
          <w:rFonts w:ascii="Arial" w:eastAsia="Calibri" w:hAnsi="Arial" w:cs="Arial"/>
        </w:rPr>
        <w:t>s</w:t>
      </w:r>
      <w:r w:rsidR="008D0270">
        <w:rPr>
          <w:rFonts w:ascii="Arial" w:eastAsia="Calibri" w:hAnsi="Arial" w:cs="Arial"/>
        </w:rPr>
        <w:t xml:space="preserve"> members and who</w:t>
      </w:r>
      <w:r w:rsidR="00286867">
        <w:rPr>
          <w:rFonts w:ascii="Arial" w:eastAsia="Calibri" w:hAnsi="Arial" w:cs="Arial"/>
        </w:rPr>
        <w:t>m</w:t>
      </w:r>
      <w:r w:rsidR="008D0270">
        <w:rPr>
          <w:rFonts w:ascii="Arial" w:eastAsia="Calibri" w:hAnsi="Arial" w:cs="Arial"/>
        </w:rPr>
        <w:t xml:space="preserve"> it may represent</w:t>
      </w:r>
      <w:r w:rsidR="00286867">
        <w:rPr>
          <w:rFonts w:ascii="Arial" w:eastAsia="Calibri" w:hAnsi="Arial" w:cs="Arial"/>
        </w:rPr>
        <w:t xml:space="preserve"> at </w:t>
      </w:r>
      <w:r>
        <w:rPr>
          <w:rFonts w:ascii="Arial" w:eastAsia="Calibri" w:hAnsi="Arial" w:cs="Arial"/>
        </w:rPr>
        <w:t xml:space="preserve">an </w:t>
      </w:r>
      <w:r w:rsidR="00286867">
        <w:rPr>
          <w:rFonts w:ascii="Arial" w:eastAsia="Calibri" w:hAnsi="Arial" w:cs="Arial"/>
        </w:rPr>
        <w:t>arbitration hearing</w:t>
      </w:r>
      <w:r w:rsidR="008D0270">
        <w:rPr>
          <w:rFonts w:ascii="Arial" w:eastAsia="Calibri" w:hAnsi="Arial" w:cs="Arial"/>
        </w:rPr>
        <w:t xml:space="preserve">, and such </w:t>
      </w:r>
      <w:r w:rsidR="00286867">
        <w:rPr>
          <w:rFonts w:ascii="Arial" w:eastAsia="Calibri" w:hAnsi="Arial" w:cs="Arial"/>
        </w:rPr>
        <w:t xml:space="preserve">a </w:t>
      </w:r>
      <w:r w:rsidR="008D0270">
        <w:rPr>
          <w:rFonts w:ascii="Arial" w:eastAsia="Calibri" w:hAnsi="Arial" w:cs="Arial"/>
        </w:rPr>
        <w:t>mandate is derived from</w:t>
      </w:r>
      <w:r w:rsidR="00286867">
        <w:rPr>
          <w:rFonts w:ascii="Arial" w:eastAsia="Calibri" w:hAnsi="Arial" w:cs="Arial"/>
        </w:rPr>
        <w:t xml:space="preserve"> the provisions of </w:t>
      </w:r>
      <w:r w:rsidR="008D0270">
        <w:rPr>
          <w:rFonts w:ascii="Arial" w:eastAsia="Calibri" w:hAnsi="Arial" w:cs="Arial"/>
        </w:rPr>
        <w:t>s</w:t>
      </w:r>
      <w:r w:rsidR="00286867">
        <w:rPr>
          <w:rFonts w:ascii="Arial" w:eastAsia="Calibri" w:hAnsi="Arial" w:cs="Arial"/>
        </w:rPr>
        <w:t>ection 59 and 86</w:t>
      </w:r>
      <w:r w:rsidR="008D0270">
        <w:rPr>
          <w:rFonts w:ascii="Arial" w:eastAsia="Calibri" w:hAnsi="Arial" w:cs="Arial"/>
        </w:rPr>
        <w:t xml:space="preserve"> </w:t>
      </w:r>
      <w:r w:rsidR="00286867">
        <w:rPr>
          <w:rFonts w:ascii="Arial" w:eastAsia="Calibri" w:hAnsi="Arial" w:cs="Arial"/>
        </w:rPr>
        <w:t>of</w:t>
      </w:r>
      <w:r w:rsidR="008D0270">
        <w:rPr>
          <w:rFonts w:ascii="Arial" w:eastAsia="Calibri" w:hAnsi="Arial" w:cs="Arial"/>
        </w:rPr>
        <w:t xml:space="preserve"> the Act and not from rule 5(2) and (3).</w:t>
      </w:r>
      <w:r w:rsidR="00286867">
        <w:rPr>
          <w:rFonts w:ascii="Arial" w:eastAsia="Calibri" w:hAnsi="Arial" w:cs="Arial"/>
        </w:rPr>
        <w:t xml:space="preserve"> Therefore, Rule 5(2) and (3) does not apply when the joint referral is signed by the union representative on behalf of the employees.</w:t>
      </w:r>
    </w:p>
    <w:p w:rsidR="00AC36E4" w:rsidRDefault="00AC36E4" w:rsidP="00BA4218">
      <w:pPr>
        <w:tabs>
          <w:tab w:val="left" w:pos="720"/>
        </w:tabs>
        <w:spacing w:line="360" w:lineRule="auto"/>
        <w:contextualSpacing/>
        <w:jc w:val="both"/>
        <w:rPr>
          <w:rFonts w:ascii="Arial" w:eastAsia="Calibri" w:hAnsi="Arial" w:cs="Arial"/>
          <w:i/>
        </w:rPr>
      </w:pPr>
    </w:p>
    <w:p w:rsidR="00286867" w:rsidRDefault="00286867" w:rsidP="00BA4218">
      <w:pPr>
        <w:tabs>
          <w:tab w:val="left" w:pos="720"/>
        </w:tabs>
        <w:spacing w:line="360" w:lineRule="auto"/>
        <w:contextualSpacing/>
        <w:jc w:val="both"/>
        <w:rPr>
          <w:rFonts w:ascii="Arial" w:eastAsia="Calibri" w:hAnsi="Arial" w:cs="Arial"/>
        </w:rPr>
      </w:pPr>
      <w:r w:rsidRPr="00440A2A">
        <w:rPr>
          <w:rFonts w:ascii="Arial" w:eastAsia="Calibri" w:hAnsi="Arial" w:cs="Arial"/>
          <w:i/>
        </w:rPr>
        <w:t>Held</w:t>
      </w:r>
      <w:r w:rsidR="00AC36E4" w:rsidRPr="00440A2A">
        <w:rPr>
          <w:rFonts w:ascii="Arial" w:eastAsia="Calibri" w:hAnsi="Arial" w:cs="Arial"/>
        </w:rPr>
        <w:t xml:space="preserve"> further</w:t>
      </w:r>
      <w:r w:rsidR="00AC36E4" w:rsidRPr="00AC36E4">
        <w:rPr>
          <w:rFonts w:ascii="Arial" w:eastAsia="Calibri" w:hAnsi="Arial" w:cs="Arial"/>
          <w:color w:val="FF0000"/>
        </w:rPr>
        <w:t xml:space="preserve"> </w:t>
      </w:r>
      <w:r w:rsidR="00AC36E4">
        <w:rPr>
          <w:rFonts w:ascii="Arial" w:eastAsia="Calibri" w:hAnsi="Arial" w:cs="Arial"/>
        </w:rPr>
        <w:t>that</w:t>
      </w:r>
      <w:r>
        <w:rPr>
          <w:rFonts w:ascii="Arial" w:eastAsia="Calibri" w:hAnsi="Arial" w:cs="Arial"/>
        </w:rPr>
        <w:t xml:space="preserve"> </w:t>
      </w:r>
      <w:r w:rsidR="00AC36E4">
        <w:rPr>
          <w:rFonts w:ascii="Arial" w:eastAsia="Calibri" w:hAnsi="Arial" w:cs="Arial"/>
        </w:rPr>
        <w:t xml:space="preserve">there had </w:t>
      </w:r>
      <w:r>
        <w:rPr>
          <w:rFonts w:ascii="Arial" w:eastAsia="Calibri" w:hAnsi="Arial" w:cs="Arial"/>
        </w:rPr>
        <w:t>been ratification on the part of the employees, if at all, of the failure to comply with the rules through participation of the employees at conciliation and arbitration proceedings.</w:t>
      </w:r>
    </w:p>
    <w:p w:rsidR="00AC36E4" w:rsidRDefault="00AC36E4" w:rsidP="00BA4218">
      <w:pPr>
        <w:tabs>
          <w:tab w:val="left" w:pos="720"/>
        </w:tabs>
        <w:spacing w:line="360" w:lineRule="auto"/>
        <w:contextualSpacing/>
        <w:jc w:val="both"/>
        <w:rPr>
          <w:rFonts w:ascii="Arial" w:eastAsia="Calibri" w:hAnsi="Arial" w:cs="Arial"/>
          <w:i/>
        </w:rPr>
      </w:pPr>
    </w:p>
    <w:p w:rsidR="00286867" w:rsidRDefault="00286867" w:rsidP="00BA4218">
      <w:pPr>
        <w:tabs>
          <w:tab w:val="left" w:pos="720"/>
        </w:tabs>
        <w:spacing w:line="360" w:lineRule="auto"/>
        <w:contextualSpacing/>
        <w:jc w:val="both"/>
        <w:rPr>
          <w:rFonts w:ascii="Arial" w:eastAsia="Calibri" w:hAnsi="Arial" w:cs="Arial"/>
        </w:rPr>
      </w:pPr>
      <w:r w:rsidRPr="00286867">
        <w:rPr>
          <w:rFonts w:ascii="Arial" w:eastAsia="Calibri" w:hAnsi="Arial" w:cs="Arial"/>
          <w:i/>
        </w:rPr>
        <w:t>Held t</w:t>
      </w:r>
      <w:r>
        <w:rPr>
          <w:rFonts w:ascii="Arial" w:eastAsia="Calibri" w:hAnsi="Arial" w:cs="Arial"/>
        </w:rPr>
        <w:t>hat there was compliance with rule 15 when the arbitration hearing was set down as the parties have agreed to a shorter period.</w:t>
      </w:r>
    </w:p>
    <w:p w:rsidR="00AC36E4" w:rsidRDefault="00AC36E4" w:rsidP="00BA4218">
      <w:pPr>
        <w:tabs>
          <w:tab w:val="left" w:pos="720"/>
        </w:tabs>
        <w:spacing w:line="360" w:lineRule="auto"/>
        <w:contextualSpacing/>
        <w:jc w:val="both"/>
        <w:rPr>
          <w:rFonts w:ascii="Arial" w:eastAsia="Calibri" w:hAnsi="Arial" w:cs="Arial"/>
          <w:i/>
        </w:rPr>
      </w:pPr>
    </w:p>
    <w:p w:rsidR="00AB47DB" w:rsidRDefault="000E7AC9" w:rsidP="00BA4218">
      <w:pPr>
        <w:tabs>
          <w:tab w:val="left" w:pos="720"/>
        </w:tabs>
        <w:spacing w:line="360" w:lineRule="auto"/>
        <w:contextualSpacing/>
        <w:jc w:val="both"/>
        <w:rPr>
          <w:rFonts w:ascii="Arial" w:eastAsia="Calibri" w:hAnsi="Arial" w:cs="Arial"/>
        </w:rPr>
      </w:pPr>
      <w:r>
        <w:rPr>
          <w:rFonts w:ascii="Arial" w:eastAsia="Calibri" w:hAnsi="Arial" w:cs="Arial"/>
          <w:i/>
        </w:rPr>
        <w:t>Held</w:t>
      </w:r>
      <w:r w:rsidR="00AB47DB">
        <w:rPr>
          <w:rFonts w:ascii="Arial" w:eastAsia="Calibri" w:hAnsi="Arial" w:cs="Arial"/>
        </w:rPr>
        <w:t xml:space="preserve"> further that </w:t>
      </w:r>
      <w:r w:rsidR="0098019A">
        <w:rPr>
          <w:rFonts w:ascii="Arial" w:eastAsia="Calibri" w:hAnsi="Arial" w:cs="Arial"/>
        </w:rPr>
        <w:t>the</w:t>
      </w:r>
      <w:r w:rsidR="0098019A" w:rsidRPr="0098019A">
        <w:rPr>
          <w:rFonts w:ascii="Arial" w:eastAsia="Calibri" w:hAnsi="Arial" w:cs="Arial"/>
        </w:rPr>
        <w:t xml:space="preserve"> Arbitration tribunal </w:t>
      </w:r>
      <w:r w:rsidR="00AC36E4">
        <w:rPr>
          <w:rFonts w:ascii="Arial" w:eastAsia="Calibri" w:hAnsi="Arial" w:cs="Arial"/>
        </w:rPr>
        <w:t xml:space="preserve">which is </w:t>
      </w:r>
      <w:r w:rsidR="0098019A" w:rsidRPr="0098019A">
        <w:rPr>
          <w:rFonts w:ascii="Arial" w:eastAsia="Calibri" w:hAnsi="Arial" w:cs="Arial"/>
        </w:rPr>
        <w:t>empowered to hear and resolve disputes abdicated its responsibilities when it took a decision to not hear and consider the application for rescission of the default award</w:t>
      </w:r>
      <w:r w:rsidR="0098019A">
        <w:rPr>
          <w:rFonts w:ascii="Arial" w:eastAsia="Calibri" w:hAnsi="Arial" w:cs="Arial"/>
        </w:rPr>
        <w:t xml:space="preserve"> and as such violated the appellant’s right to a fair trial as set out in article 12(1)(a) of the Constitution</w:t>
      </w:r>
      <w:r w:rsidR="00AC36E4">
        <w:rPr>
          <w:rFonts w:ascii="Arial" w:eastAsia="Calibri" w:hAnsi="Arial" w:cs="Arial"/>
        </w:rPr>
        <w:t>.</w:t>
      </w:r>
    </w:p>
    <w:p w:rsidR="00D671C7" w:rsidRDefault="00D671C7" w:rsidP="00BA4218">
      <w:pPr>
        <w:tabs>
          <w:tab w:val="left" w:pos="720"/>
        </w:tabs>
        <w:spacing w:line="360" w:lineRule="auto"/>
        <w:contextualSpacing/>
        <w:jc w:val="both"/>
        <w:rPr>
          <w:rFonts w:ascii="Arial" w:eastAsia="Calibri" w:hAnsi="Arial" w:cs="Arial"/>
        </w:rPr>
      </w:pPr>
    </w:p>
    <w:p w:rsidR="00BA4218" w:rsidRPr="00BA4218" w:rsidRDefault="00C0687A" w:rsidP="00BA4218">
      <w:pPr>
        <w:spacing w:line="360" w:lineRule="auto"/>
        <w:jc w:val="both"/>
        <w:rPr>
          <w:rFonts w:ascii="Arial" w:eastAsia="Calibri" w:hAnsi="Arial" w:cs="Arial"/>
          <w:bCs/>
        </w:rPr>
      </w:pPr>
      <w:r>
        <w:rPr>
          <w:rFonts w:ascii="Arial" w:eastAsia="Calibri" w:hAnsi="Arial" w:cs="Arial"/>
          <w:bCs/>
        </w:rPr>
        <w:pict>
          <v:rect id="_x0000_i1025" style="width:0;height:1.5pt" o:hralign="center" o:hrstd="t" o:hr="t" fillcolor="#a0a0a0" stroked="f"/>
        </w:pict>
      </w:r>
    </w:p>
    <w:p w:rsidR="00BA4218" w:rsidRPr="00BA4218" w:rsidRDefault="00BA4218" w:rsidP="00BA4218">
      <w:pPr>
        <w:spacing w:line="360" w:lineRule="auto"/>
        <w:jc w:val="center"/>
        <w:rPr>
          <w:rFonts w:ascii="Arial" w:eastAsia="Calibri" w:hAnsi="Arial" w:cs="Arial"/>
          <w:b/>
          <w:bCs/>
        </w:rPr>
      </w:pPr>
      <w:r w:rsidRPr="00BA4218">
        <w:rPr>
          <w:rFonts w:ascii="Arial" w:eastAsia="Calibri" w:hAnsi="Arial" w:cs="Arial"/>
          <w:b/>
          <w:bCs/>
        </w:rPr>
        <w:t>ORDER</w:t>
      </w:r>
    </w:p>
    <w:p w:rsidR="00BA4218" w:rsidRPr="00BA4218" w:rsidRDefault="00C0687A" w:rsidP="00BA4218">
      <w:pPr>
        <w:spacing w:line="360" w:lineRule="auto"/>
        <w:jc w:val="center"/>
        <w:rPr>
          <w:rFonts w:ascii="Arial" w:eastAsia="Calibri" w:hAnsi="Arial" w:cs="Arial"/>
          <w:bCs/>
        </w:rPr>
      </w:pPr>
      <w:r>
        <w:rPr>
          <w:rFonts w:ascii="Arial" w:eastAsia="Calibri" w:hAnsi="Arial" w:cs="Arial"/>
          <w:bCs/>
        </w:rPr>
        <w:pict>
          <v:rect id="_x0000_i1026" style="width:0;height:1.5pt" o:hralign="center" o:hrstd="t" o:hr="t" fillcolor="#a0a0a0" stroked="f"/>
        </w:pict>
      </w:r>
    </w:p>
    <w:p w:rsidR="00BA4218" w:rsidRPr="00BA4218" w:rsidRDefault="00BA4218" w:rsidP="00BA4218">
      <w:pPr>
        <w:spacing w:line="360" w:lineRule="auto"/>
        <w:jc w:val="center"/>
        <w:rPr>
          <w:rFonts w:ascii="Arial" w:eastAsia="Calibri" w:hAnsi="Arial" w:cs="Arial"/>
          <w:b/>
          <w:bCs/>
        </w:rPr>
      </w:pPr>
    </w:p>
    <w:p w:rsidR="007F050C" w:rsidRPr="00D062FA" w:rsidRDefault="00D062FA" w:rsidP="00D062FA">
      <w:pPr>
        <w:spacing w:before="240" w:after="240" w:line="360" w:lineRule="auto"/>
        <w:ind w:left="720" w:hanging="720"/>
        <w:jc w:val="both"/>
        <w:rPr>
          <w:rFonts w:ascii="Arial" w:eastAsia="Calibri" w:hAnsi="Arial" w:cs="Arial"/>
        </w:rPr>
      </w:pPr>
      <w:r>
        <w:rPr>
          <w:rFonts w:ascii="Arial" w:eastAsia="Calibri" w:hAnsi="Arial" w:cs="Arial"/>
        </w:rPr>
        <w:t>1.</w:t>
      </w:r>
      <w:r>
        <w:rPr>
          <w:rFonts w:ascii="Arial" w:eastAsia="Calibri" w:hAnsi="Arial" w:cs="Arial"/>
        </w:rPr>
        <w:tab/>
      </w:r>
      <w:r w:rsidR="007F050C" w:rsidRPr="00D062FA">
        <w:rPr>
          <w:rFonts w:ascii="Arial" w:eastAsia="Calibri" w:hAnsi="Arial" w:cs="Arial"/>
        </w:rPr>
        <w:t>The decision by</w:t>
      </w:r>
      <w:r w:rsidR="00AC36E4" w:rsidRPr="00D062FA">
        <w:rPr>
          <w:rFonts w:ascii="Arial" w:eastAsia="Calibri" w:hAnsi="Arial" w:cs="Arial"/>
        </w:rPr>
        <w:t xml:space="preserve"> the</w:t>
      </w:r>
      <w:r w:rsidR="007F050C" w:rsidRPr="00D062FA">
        <w:rPr>
          <w:rFonts w:ascii="Arial" w:eastAsia="Calibri" w:hAnsi="Arial" w:cs="Arial"/>
        </w:rPr>
        <w:t xml:space="preserve"> arbitrator </w:t>
      </w:r>
      <w:r w:rsidR="007F050C" w:rsidRPr="00D062FA">
        <w:rPr>
          <w:rFonts w:ascii="Arial" w:hAnsi="Arial" w:cs="Arial"/>
        </w:rPr>
        <w:t>Ms. Gertrude Usiku</w:t>
      </w:r>
      <w:r w:rsidR="007F050C" w:rsidRPr="00D062FA">
        <w:rPr>
          <w:rFonts w:ascii="Arial" w:eastAsia="Calibri" w:hAnsi="Arial" w:cs="Arial"/>
        </w:rPr>
        <w:t xml:space="preserve"> not to hear and consider appellant’s application for rescission of the default award lodged by the appellant on 25 April 2016 under case number CRWB 01/16 is set aside.</w:t>
      </w:r>
    </w:p>
    <w:p w:rsidR="006D128A" w:rsidRDefault="006D128A" w:rsidP="006D128A">
      <w:pPr>
        <w:pStyle w:val="ListParagraph"/>
        <w:spacing w:before="240" w:after="240" w:line="360" w:lineRule="auto"/>
        <w:jc w:val="both"/>
        <w:rPr>
          <w:rFonts w:ascii="Arial" w:eastAsia="Calibri" w:hAnsi="Arial" w:cs="Arial"/>
        </w:rPr>
      </w:pPr>
    </w:p>
    <w:p w:rsidR="007F050C" w:rsidRPr="00D062FA" w:rsidRDefault="00D062FA" w:rsidP="00D062FA">
      <w:pPr>
        <w:spacing w:before="240" w:after="240" w:line="360" w:lineRule="auto"/>
        <w:ind w:left="720" w:hanging="720"/>
        <w:jc w:val="both"/>
        <w:rPr>
          <w:rFonts w:ascii="Arial" w:eastAsia="Calibri" w:hAnsi="Arial" w:cs="Arial"/>
        </w:rPr>
      </w:pPr>
      <w:r w:rsidRPr="007F050C">
        <w:rPr>
          <w:rFonts w:ascii="Arial" w:eastAsia="Calibri" w:hAnsi="Arial" w:cs="Arial"/>
        </w:rPr>
        <w:t>2.</w:t>
      </w:r>
      <w:r w:rsidRPr="007F050C">
        <w:rPr>
          <w:rFonts w:ascii="Arial" w:eastAsia="Calibri" w:hAnsi="Arial" w:cs="Arial"/>
        </w:rPr>
        <w:tab/>
      </w:r>
      <w:r w:rsidR="007F050C" w:rsidRPr="00D062FA">
        <w:rPr>
          <w:rFonts w:ascii="Arial" w:eastAsia="Calibri" w:hAnsi="Arial" w:cs="Arial"/>
        </w:rPr>
        <w:t xml:space="preserve">The matter is remitted to the Labour Commissioner and the Labour Commissioner is directed to refer the appellant’s application to rescind the default award made on 25 April 2016, for hearing and consideration by an arbitrator other than </w:t>
      </w:r>
      <w:r w:rsidR="007F050C" w:rsidRPr="00D062FA">
        <w:rPr>
          <w:rFonts w:ascii="Arial" w:hAnsi="Arial" w:cs="Arial"/>
        </w:rPr>
        <w:t>Ms. Gertrude Usiku.</w:t>
      </w:r>
    </w:p>
    <w:p w:rsidR="007F050C" w:rsidRDefault="007F050C" w:rsidP="007F050C">
      <w:pPr>
        <w:pStyle w:val="ListParagraph"/>
        <w:spacing w:before="240" w:after="240" w:line="360" w:lineRule="auto"/>
        <w:jc w:val="both"/>
        <w:rPr>
          <w:rFonts w:ascii="Arial" w:eastAsia="Calibri" w:hAnsi="Arial" w:cs="Arial"/>
        </w:rPr>
      </w:pPr>
    </w:p>
    <w:p w:rsidR="0098019A" w:rsidRPr="00D062FA" w:rsidRDefault="00D062FA" w:rsidP="00D062FA">
      <w:pPr>
        <w:spacing w:before="240" w:after="240" w:line="360" w:lineRule="auto"/>
        <w:ind w:left="720" w:hanging="720"/>
        <w:jc w:val="both"/>
        <w:rPr>
          <w:rFonts w:ascii="Arial" w:eastAsia="Calibri" w:hAnsi="Arial" w:cs="Arial"/>
        </w:rPr>
      </w:pPr>
      <w:r w:rsidRPr="00AC36E4">
        <w:rPr>
          <w:rFonts w:ascii="Arial" w:eastAsia="Calibri" w:hAnsi="Arial" w:cs="Arial"/>
        </w:rPr>
        <w:t>3.</w:t>
      </w:r>
      <w:r w:rsidRPr="00AC36E4">
        <w:rPr>
          <w:rFonts w:ascii="Arial" w:eastAsia="Calibri" w:hAnsi="Arial" w:cs="Arial"/>
        </w:rPr>
        <w:tab/>
      </w:r>
      <w:r w:rsidR="000F2A51" w:rsidRPr="00D062FA">
        <w:rPr>
          <w:rFonts w:ascii="Arial" w:eastAsia="Calibri" w:hAnsi="Arial" w:cs="Arial"/>
        </w:rPr>
        <w:t>There is no order as to costs.</w:t>
      </w:r>
    </w:p>
    <w:p w:rsidR="00BA4218" w:rsidRPr="00BA4218" w:rsidRDefault="00C0687A" w:rsidP="00BA4218">
      <w:pPr>
        <w:spacing w:line="360" w:lineRule="auto"/>
        <w:jc w:val="both"/>
        <w:rPr>
          <w:rFonts w:ascii="Arial" w:eastAsia="Calibri" w:hAnsi="Arial" w:cs="Arial"/>
          <w:bCs/>
        </w:rPr>
      </w:pPr>
      <w:r>
        <w:rPr>
          <w:rFonts w:ascii="Arial" w:eastAsia="Calibri" w:hAnsi="Arial" w:cs="Arial"/>
          <w:bCs/>
        </w:rPr>
        <w:pict>
          <v:rect id="_x0000_i1027" style="width:0;height:1.5pt" o:hralign="center" o:hrstd="t" o:hr="t" fillcolor="#a0a0a0" stroked="f"/>
        </w:pict>
      </w:r>
    </w:p>
    <w:p w:rsidR="00BA4218" w:rsidRPr="00BA4218" w:rsidRDefault="00BA4218" w:rsidP="00BA4218">
      <w:pPr>
        <w:spacing w:line="360" w:lineRule="auto"/>
        <w:jc w:val="center"/>
        <w:rPr>
          <w:rFonts w:ascii="Arial" w:eastAsia="Calibri" w:hAnsi="Arial" w:cs="Arial"/>
          <w:b/>
        </w:rPr>
      </w:pPr>
      <w:r w:rsidRPr="00BA4218">
        <w:rPr>
          <w:rFonts w:ascii="Arial" w:eastAsia="Calibri" w:hAnsi="Arial" w:cs="Arial"/>
          <w:b/>
        </w:rPr>
        <w:t>JUDGMENT</w:t>
      </w:r>
    </w:p>
    <w:p w:rsidR="00BA4218" w:rsidRPr="00BA4218" w:rsidRDefault="00C0687A" w:rsidP="00BA4218">
      <w:pPr>
        <w:spacing w:line="360" w:lineRule="auto"/>
        <w:jc w:val="center"/>
        <w:rPr>
          <w:rFonts w:ascii="Arial" w:eastAsia="Calibri" w:hAnsi="Arial" w:cs="Arial"/>
          <w:b/>
        </w:rPr>
      </w:pPr>
      <w:r>
        <w:rPr>
          <w:rFonts w:ascii="Arial" w:eastAsia="Calibri" w:hAnsi="Arial" w:cs="Arial"/>
          <w:bCs/>
        </w:rPr>
        <w:pict>
          <v:rect id="_x0000_i1028" style="width:0;height:1.5pt" o:hralign="center" o:hrstd="t" o:hr="t" fillcolor="#a0a0a0" stroked="f"/>
        </w:pict>
      </w:r>
    </w:p>
    <w:p w:rsidR="00BA4218" w:rsidRPr="00BA4218" w:rsidRDefault="00944DE2" w:rsidP="00BA4218">
      <w:pPr>
        <w:spacing w:line="360" w:lineRule="auto"/>
        <w:ind w:left="1440" w:hanging="1440"/>
        <w:jc w:val="both"/>
        <w:rPr>
          <w:rFonts w:ascii="Arial" w:eastAsia="Calibri" w:hAnsi="Arial" w:cs="Arial"/>
          <w:b/>
        </w:rPr>
      </w:pPr>
      <w:r>
        <w:rPr>
          <w:rFonts w:ascii="Arial" w:eastAsia="Calibri" w:hAnsi="Arial" w:cs="Arial"/>
          <w:b/>
        </w:rPr>
        <w:t>ANGULA</w:t>
      </w:r>
      <w:r w:rsidR="00BA4218" w:rsidRPr="00BA4218">
        <w:rPr>
          <w:rFonts w:ascii="Arial" w:eastAsia="Calibri" w:hAnsi="Arial" w:cs="Arial"/>
          <w:b/>
        </w:rPr>
        <w:t xml:space="preserve">, </w:t>
      </w:r>
      <w:r>
        <w:rPr>
          <w:rFonts w:ascii="Arial" w:eastAsia="Calibri" w:hAnsi="Arial" w:cs="Arial"/>
          <w:b/>
        </w:rPr>
        <w:t>A</w:t>
      </w:r>
      <w:r w:rsidR="00BA4218" w:rsidRPr="00BA4218">
        <w:rPr>
          <w:rFonts w:ascii="Arial" w:eastAsia="Calibri" w:hAnsi="Arial" w:cs="Arial"/>
          <w:b/>
        </w:rPr>
        <w:t>J</w:t>
      </w:r>
    </w:p>
    <w:p w:rsidR="003F4846" w:rsidRDefault="003F4846" w:rsidP="00BF0D83">
      <w:pPr>
        <w:spacing w:line="360" w:lineRule="auto"/>
        <w:ind w:left="357" w:hanging="357"/>
        <w:jc w:val="both"/>
        <w:rPr>
          <w:rFonts w:ascii="Arial" w:hAnsi="Arial" w:cs="Arial"/>
          <w:b/>
          <w:u w:val="single"/>
        </w:rPr>
      </w:pPr>
    </w:p>
    <w:p w:rsidR="007354D6" w:rsidRPr="00436F0A" w:rsidRDefault="00436F0A" w:rsidP="00BF0D83">
      <w:pPr>
        <w:spacing w:line="360" w:lineRule="auto"/>
        <w:ind w:left="357" w:hanging="357"/>
        <w:jc w:val="both"/>
        <w:rPr>
          <w:rFonts w:ascii="Arial" w:hAnsi="Arial" w:cs="Arial"/>
          <w:b/>
          <w:u w:val="single"/>
        </w:rPr>
      </w:pPr>
      <w:r w:rsidRPr="00436F0A">
        <w:rPr>
          <w:rFonts w:ascii="Arial" w:hAnsi="Arial" w:cs="Arial"/>
          <w:b/>
          <w:u w:val="single"/>
        </w:rPr>
        <w:t>Introduction</w:t>
      </w:r>
    </w:p>
    <w:p w:rsidR="001137B1" w:rsidRDefault="001137B1" w:rsidP="00BF0D83">
      <w:pPr>
        <w:spacing w:line="360" w:lineRule="auto"/>
        <w:ind w:left="357"/>
        <w:jc w:val="both"/>
        <w:rPr>
          <w:rFonts w:ascii="Arial" w:hAnsi="Arial" w:cs="Arial"/>
        </w:rPr>
      </w:pPr>
    </w:p>
    <w:p w:rsidR="00944DE2" w:rsidRDefault="00DB14C1" w:rsidP="00BF0D83">
      <w:pPr>
        <w:tabs>
          <w:tab w:val="left" w:pos="567"/>
        </w:tabs>
        <w:spacing w:line="360" w:lineRule="auto"/>
        <w:jc w:val="both"/>
        <w:rPr>
          <w:rFonts w:ascii="Arial" w:hAnsi="Arial" w:cs="Arial"/>
        </w:rPr>
      </w:pPr>
      <w:r>
        <w:rPr>
          <w:rFonts w:ascii="Arial" w:hAnsi="Arial" w:cs="Arial"/>
        </w:rPr>
        <w:t>[1</w:t>
      </w:r>
      <w:r w:rsidR="00482C1F">
        <w:rPr>
          <w:rFonts w:ascii="Arial" w:hAnsi="Arial" w:cs="Arial"/>
        </w:rPr>
        <w:t>]</w:t>
      </w:r>
      <w:r w:rsidR="00482C1F">
        <w:rPr>
          <w:rFonts w:ascii="Arial" w:hAnsi="Arial" w:cs="Arial"/>
        </w:rPr>
        <w:tab/>
      </w:r>
      <w:r w:rsidR="00944DE2">
        <w:rPr>
          <w:rFonts w:ascii="Arial" w:hAnsi="Arial" w:cs="Arial"/>
        </w:rPr>
        <w:t>This is an appeal</w:t>
      </w:r>
      <w:r w:rsidR="00AC36E4">
        <w:rPr>
          <w:rFonts w:ascii="Arial" w:hAnsi="Arial" w:cs="Arial"/>
        </w:rPr>
        <w:t xml:space="preserve"> in terms of section 89 of the L</w:t>
      </w:r>
      <w:r w:rsidR="00944DE2">
        <w:rPr>
          <w:rFonts w:ascii="Arial" w:hAnsi="Arial" w:cs="Arial"/>
        </w:rPr>
        <w:t>abour Act, 11 of 2007 (‘the Act”) against the award of the arbitrator of 24 March 2</w:t>
      </w:r>
      <w:r w:rsidR="00D671C7">
        <w:rPr>
          <w:rFonts w:ascii="Arial" w:hAnsi="Arial" w:cs="Arial"/>
        </w:rPr>
        <w:t xml:space="preserve">016. The appeal includes </w:t>
      </w:r>
      <w:r w:rsidR="00944DE2">
        <w:rPr>
          <w:rFonts w:ascii="Arial" w:hAnsi="Arial" w:cs="Arial"/>
        </w:rPr>
        <w:t>grounds</w:t>
      </w:r>
      <w:r w:rsidR="00363A32">
        <w:rPr>
          <w:rFonts w:ascii="Arial" w:hAnsi="Arial" w:cs="Arial"/>
        </w:rPr>
        <w:t xml:space="preserve"> of review</w:t>
      </w:r>
      <w:r w:rsidR="00944DE2">
        <w:rPr>
          <w:rFonts w:ascii="Arial" w:hAnsi="Arial" w:cs="Arial"/>
        </w:rPr>
        <w:t>.</w:t>
      </w:r>
    </w:p>
    <w:p w:rsidR="003F4846" w:rsidRDefault="003F4846" w:rsidP="00BF0D83">
      <w:pPr>
        <w:tabs>
          <w:tab w:val="left" w:pos="567"/>
        </w:tabs>
        <w:spacing w:line="360" w:lineRule="auto"/>
        <w:jc w:val="both"/>
        <w:rPr>
          <w:rFonts w:ascii="Arial" w:hAnsi="Arial" w:cs="Arial"/>
        </w:rPr>
      </w:pPr>
    </w:p>
    <w:p w:rsidR="00DB14C1" w:rsidRDefault="00944DE2" w:rsidP="00BF0D83">
      <w:pPr>
        <w:tabs>
          <w:tab w:val="left" w:pos="567"/>
        </w:tabs>
        <w:spacing w:line="360" w:lineRule="auto"/>
        <w:jc w:val="both"/>
        <w:rPr>
          <w:rFonts w:ascii="Arial" w:hAnsi="Arial" w:cs="Arial"/>
        </w:rPr>
      </w:pPr>
      <w:r>
        <w:rPr>
          <w:rFonts w:ascii="Arial" w:hAnsi="Arial" w:cs="Arial"/>
        </w:rPr>
        <w:t>[2]</w:t>
      </w:r>
      <w:r>
        <w:rPr>
          <w:rFonts w:ascii="Arial" w:hAnsi="Arial" w:cs="Arial"/>
        </w:rPr>
        <w:tab/>
      </w:r>
      <w:r w:rsidR="00482C1F">
        <w:rPr>
          <w:rFonts w:ascii="Arial" w:hAnsi="Arial" w:cs="Arial"/>
        </w:rPr>
        <w:t>Ms. Gertrude Usiku, (“the arbitrator”</w:t>
      </w:r>
      <w:r w:rsidR="001F67A5">
        <w:rPr>
          <w:rFonts w:ascii="Arial" w:hAnsi="Arial" w:cs="Arial"/>
        </w:rPr>
        <w:t xml:space="preserve">) issued </w:t>
      </w:r>
      <w:r w:rsidR="00482C1F">
        <w:rPr>
          <w:rFonts w:ascii="Arial" w:hAnsi="Arial" w:cs="Arial"/>
        </w:rPr>
        <w:t>a</w:t>
      </w:r>
      <w:r w:rsidR="00354835">
        <w:rPr>
          <w:rFonts w:ascii="Arial" w:hAnsi="Arial" w:cs="Arial"/>
        </w:rPr>
        <w:t xml:space="preserve"> default arbitration</w:t>
      </w:r>
      <w:r w:rsidR="00482C1F">
        <w:rPr>
          <w:rFonts w:ascii="Arial" w:hAnsi="Arial" w:cs="Arial"/>
        </w:rPr>
        <w:t xml:space="preserve"> award </w:t>
      </w:r>
      <w:r w:rsidR="00D671C7">
        <w:rPr>
          <w:rFonts w:ascii="Arial" w:hAnsi="Arial" w:cs="Arial"/>
        </w:rPr>
        <w:t xml:space="preserve">(“the award”) </w:t>
      </w:r>
      <w:r w:rsidR="00482C1F">
        <w:rPr>
          <w:rFonts w:ascii="Arial" w:hAnsi="Arial" w:cs="Arial"/>
        </w:rPr>
        <w:t>in favour of the respondents</w:t>
      </w:r>
      <w:r w:rsidR="003E7A8A">
        <w:rPr>
          <w:rFonts w:ascii="Arial" w:hAnsi="Arial" w:cs="Arial"/>
        </w:rPr>
        <w:t xml:space="preserve"> </w:t>
      </w:r>
      <w:r w:rsidR="00AE6E84">
        <w:rPr>
          <w:rFonts w:ascii="Arial" w:hAnsi="Arial" w:cs="Arial"/>
        </w:rPr>
        <w:t xml:space="preserve">ordering Erongo Marine </w:t>
      </w:r>
      <w:r w:rsidR="00DB14C1" w:rsidRPr="00DB14C1">
        <w:rPr>
          <w:rFonts w:ascii="Arial" w:hAnsi="Arial" w:cs="Arial"/>
        </w:rPr>
        <w:t>Enterprises (Pty) Ltd (“</w:t>
      </w:r>
      <w:r>
        <w:rPr>
          <w:rFonts w:ascii="Arial" w:hAnsi="Arial" w:cs="Arial"/>
        </w:rPr>
        <w:t>appellant</w:t>
      </w:r>
      <w:r w:rsidR="00DB14C1" w:rsidRPr="00DB14C1">
        <w:rPr>
          <w:rFonts w:ascii="Arial" w:hAnsi="Arial" w:cs="Arial"/>
        </w:rPr>
        <w:t>”)</w:t>
      </w:r>
      <w:r w:rsidR="00DB14C1">
        <w:rPr>
          <w:rFonts w:ascii="Arial" w:hAnsi="Arial" w:cs="Arial"/>
        </w:rPr>
        <w:t xml:space="preserve"> to, </w:t>
      </w:r>
      <w:r w:rsidR="00DB14C1" w:rsidRPr="00DB14C1">
        <w:rPr>
          <w:rFonts w:ascii="Arial" w:hAnsi="Arial" w:cs="Arial"/>
          <w:i/>
        </w:rPr>
        <w:t xml:space="preserve">inter alia </w:t>
      </w:r>
      <w:r w:rsidR="00DB14C1">
        <w:rPr>
          <w:rFonts w:ascii="Arial" w:hAnsi="Arial" w:cs="Arial"/>
        </w:rPr>
        <w:t>reinstate the respondents to the positions they previously</w:t>
      </w:r>
      <w:r w:rsidR="00277173">
        <w:rPr>
          <w:rFonts w:ascii="Arial" w:hAnsi="Arial" w:cs="Arial"/>
        </w:rPr>
        <w:t xml:space="preserve"> held</w:t>
      </w:r>
      <w:r w:rsidR="00DB14C1">
        <w:rPr>
          <w:rFonts w:ascii="Arial" w:hAnsi="Arial" w:cs="Arial"/>
        </w:rPr>
        <w:t xml:space="preserve"> in the company </w:t>
      </w:r>
      <w:r w:rsidR="00277173">
        <w:rPr>
          <w:rFonts w:ascii="Arial" w:hAnsi="Arial" w:cs="Arial"/>
        </w:rPr>
        <w:t xml:space="preserve">and to </w:t>
      </w:r>
      <w:r w:rsidR="00924616">
        <w:rPr>
          <w:rFonts w:ascii="Arial" w:hAnsi="Arial" w:cs="Arial"/>
        </w:rPr>
        <w:t>compensate</w:t>
      </w:r>
      <w:r w:rsidR="00277173">
        <w:rPr>
          <w:rFonts w:ascii="Arial" w:hAnsi="Arial" w:cs="Arial"/>
        </w:rPr>
        <w:t xml:space="preserve"> each of the respondents</w:t>
      </w:r>
      <w:r w:rsidR="00924616">
        <w:rPr>
          <w:rFonts w:ascii="Arial" w:hAnsi="Arial" w:cs="Arial"/>
        </w:rPr>
        <w:t xml:space="preserve"> for losses incurred from the date of termination of their services by the appellant.</w:t>
      </w:r>
    </w:p>
    <w:p w:rsidR="000346D6" w:rsidRDefault="000346D6" w:rsidP="00BF0D83">
      <w:pPr>
        <w:tabs>
          <w:tab w:val="left" w:pos="567"/>
        </w:tabs>
        <w:spacing w:line="360" w:lineRule="auto"/>
        <w:jc w:val="both"/>
        <w:rPr>
          <w:rFonts w:ascii="Arial" w:hAnsi="Arial" w:cs="Arial"/>
        </w:rPr>
      </w:pPr>
    </w:p>
    <w:p w:rsidR="003E4A60" w:rsidRDefault="00944DE2" w:rsidP="00BF0D83">
      <w:pPr>
        <w:tabs>
          <w:tab w:val="left" w:pos="567"/>
        </w:tabs>
        <w:spacing w:line="360" w:lineRule="auto"/>
        <w:jc w:val="both"/>
        <w:rPr>
          <w:rFonts w:ascii="Arial" w:hAnsi="Arial" w:cs="Arial"/>
        </w:rPr>
      </w:pPr>
      <w:r>
        <w:rPr>
          <w:rFonts w:ascii="Arial" w:hAnsi="Arial" w:cs="Arial"/>
        </w:rPr>
        <w:t>[3</w:t>
      </w:r>
      <w:r w:rsidR="003E7A8A">
        <w:rPr>
          <w:rFonts w:ascii="Arial" w:hAnsi="Arial" w:cs="Arial"/>
        </w:rPr>
        <w:t>]</w:t>
      </w:r>
      <w:r w:rsidR="003E7A8A">
        <w:rPr>
          <w:rFonts w:ascii="Arial" w:hAnsi="Arial" w:cs="Arial"/>
        </w:rPr>
        <w:tab/>
      </w:r>
      <w:r w:rsidR="000346D6">
        <w:rPr>
          <w:rFonts w:ascii="Arial" w:hAnsi="Arial" w:cs="Arial"/>
        </w:rPr>
        <w:t>Appellant</w:t>
      </w:r>
      <w:r w:rsidR="0057283F">
        <w:rPr>
          <w:rFonts w:ascii="Arial" w:hAnsi="Arial" w:cs="Arial"/>
        </w:rPr>
        <w:t>,</w:t>
      </w:r>
      <w:r w:rsidR="003E7A8A" w:rsidRPr="003E7A8A">
        <w:rPr>
          <w:rFonts w:ascii="Arial" w:hAnsi="Arial" w:cs="Arial"/>
        </w:rPr>
        <w:t xml:space="preserve"> pursuant to section 89 of the</w:t>
      </w:r>
      <w:r w:rsidR="000346D6">
        <w:rPr>
          <w:rFonts w:ascii="Arial" w:hAnsi="Arial" w:cs="Arial"/>
        </w:rPr>
        <w:t xml:space="preserve"> Act</w:t>
      </w:r>
      <w:r w:rsidR="003E7A8A">
        <w:rPr>
          <w:rFonts w:ascii="Arial" w:hAnsi="Arial" w:cs="Arial"/>
        </w:rPr>
        <w:t>,</w:t>
      </w:r>
      <w:r w:rsidR="009765AD">
        <w:rPr>
          <w:rFonts w:ascii="Arial" w:hAnsi="Arial" w:cs="Arial"/>
        </w:rPr>
        <w:t xml:space="preserve"> </w:t>
      </w:r>
      <w:r w:rsidR="00C66F18">
        <w:rPr>
          <w:rFonts w:ascii="Arial" w:hAnsi="Arial" w:cs="Arial"/>
        </w:rPr>
        <w:t>approached this Court</w:t>
      </w:r>
      <w:r w:rsidR="002F3CB2">
        <w:rPr>
          <w:rFonts w:ascii="Arial" w:hAnsi="Arial" w:cs="Arial"/>
        </w:rPr>
        <w:t xml:space="preserve"> seeking an order</w:t>
      </w:r>
      <w:r w:rsidR="001F67A5">
        <w:rPr>
          <w:rFonts w:ascii="Arial" w:hAnsi="Arial" w:cs="Arial"/>
        </w:rPr>
        <w:t xml:space="preserve"> for the</w:t>
      </w:r>
      <w:r w:rsidR="003E7A8A">
        <w:rPr>
          <w:rFonts w:ascii="Arial" w:hAnsi="Arial" w:cs="Arial"/>
        </w:rPr>
        <w:t xml:space="preserve"> </w:t>
      </w:r>
      <w:r w:rsidR="009765AD">
        <w:rPr>
          <w:rFonts w:ascii="Arial" w:hAnsi="Arial" w:cs="Arial"/>
        </w:rPr>
        <w:t xml:space="preserve">setting aside </w:t>
      </w:r>
      <w:r w:rsidR="001F67A5">
        <w:rPr>
          <w:rFonts w:ascii="Arial" w:hAnsi="Arial" w:cs="Arial"/>
        </w:rPr>
        <w:t xml:space="preserve">of </w:t>
      </w:r>
      <w:r w:rsidR="00924616">
        <w:rPr>
          <w:rFonts w:ascii="Arial" w:hAnsi="Arial" w:cs="Arial"/>
        </w:rPr>
        <w:t>the</w:t>
      </w:r>
      <w:r w:rsidR="009765AD">
        <w:rPr>
          <w:rFonts w:ascii="Arial" w:hAnsi="Arial" w:cs="Arial"/>
        </w:rPr>
        <w:t xml:space="preserve"> </w:t>
      </w:r>
      <w:r w:rsidR="007A2083">
        <w:rPr>
          <w:rFonts w:ascii="Arial" w:hAnsi="Arial" w:cs="Arial"/>
        </w:rPr>
        <w:t>award</w:t>
      </w:r>
      <w:r w:rsidR="003E7A8A">
        <w:rPr>
          <w:rFonts w:ascii="Arial" w:hAnsi="Arial" w:cs="Arial"/>
        </w:rPr>
        <w:t>.</w:t>
      </w:r>
      <w:r w:rsidR="00AE6E84">
        <w:rPr>
          <w:rFonts w:ascii="Arial" w:hAnsi="Arial" w:cs="Arial"/>
        </w:rPr>
        <w:t xml:space="preserve"> </w:t>
      </w:r>
      <w:r w:rsidR="000346D6">
        <w:rPr>
          <w:rFonts w:ascii="Arial" w:hAnsi="Arial" w:cs="Arial"/>
        </w:rPr>
        <w:t>Appellant</w:t>
      </w:r>
      <w:r w:rsidR="00AC36E4">
        <w:rPr>
          <w:rFonts w:ascii="Arial" w:hAnsi="Arial" w:cs="Arial"/>
        </w:rPr>
        <w:t>’s</w:t>
      </w:r>
      <w:r w:rsidR="003E7A8A">
        <w:rPr>
          <w:rFonts w:ascii="Arial" w:hAnsi="Arial" w:cs="Arial"/>
        </w:rPr>
        <w:t xml:space="preserve"> </w:t>
      </w:r>
      <w:r w:rsidR="000E7AC9" w:rsidRPr="000E7AC9">
        <w:rPr>
          <w:rFonts w:ascii="Arial" w:hAnsi="Arial" w:cs="Arial"/>
        </w:rPr>
        <w:t>appeal</w:t>
      </w:r>
      <w:r w:rsidR="003E7A8A" w:rsidRPr="000E7AC9">
        <w:rPr>
          <w:rFonts w:ascii="Arial" w:hAnsi="Arial" w:cs="Arial"/>
        </w:rPr>
        <w:t xml:space="preserve"> include</w:t>
      </w:r>
      <w:r w:rsidR="000E7AC9" w:rsidRPr="000E7AC9">
        <w:rPr>
          <w:rFonts w:ascii="Arial" w:hAnsi="Arial" w:cs="Arial"/>
        </w:rPr>
        <w:t>s</w:t>
      </w:r>
      <w:r w:rsidR="00EB6649" w:rsidRPr="000E7AC9">
        <w:rPr>
          <w:rFonts w:ascii="Arial" w:hAnsi="Arial" w:cs="Arial"/>
        </w:rPr>
        <w:t xml:space="preserve"> </w:t>
      </w:r>
      <w:r w:rsidR="00C052FC" w:rsidRPr="000E7AC9">
        <w:rPr>
          <w:rFonts w:ascii="Arial" w:hAnsi="Arial" w:cs="Arial"/>
        </w:rPr>
        <w:t>review grounds</w:t>
      </w:r>
      <w:r w:rsidR="00EB6649" w:rsidRPr="000E7AC9">
        <w:rPr>
          <w:rFonts w:ascii="Arial" w:hAnsi="Arial" w:cs="Arial"/>
        </w:rPr>
        <w:t xml:space="preserve"> </w:t>
      </w:r>
      <w:r w:rsidR="003E7A8A" w:rsidRPr="000E7AC9">
        <w:rPr>
          <w:rFonts w:ascii="Arial" w:hAnsi="Arial" w:cs="Arial"/>
        </w:rPr>
        <w:t>constituted by</w:t>
      </w:r>
      <w:r w:rsidR="00EB6649" w:rsidRPr="000E7AC9">
        <w:rPr>
          <w:rFonts w:ascii="Arial" w:hAnsi="Arial" w:cs="Arial"/>
        </w:rPr>
        <w:t xml:space="preserve"> </w:t>
      </w:r>
      <w:r w:rsidR="00675D65" w:rsidRPr="000E7AC9">
        <w:rPr>
          <w:rFonts w:ascii="Arial" w:hAnsi="Arial" w:cs="Arial"/>
        </w:rPr>
        <w:t xml:space="preserve">alleged </w:t>
      </w:r>
      <w:r w:rsidR="00EB6649" w:rsidRPr="000E7AC9">
        <w:rPr>
          <w:rFonts w:ascii="Arial" w:hAnsi="Arial" w:cs="Arial"/>
        </w:rPr>
        <w:t>defects i</w:t>
      </w:r>
      <w:r w:rsidR="0087350C" w:rsidRPr="000E7AC9">
        <w:rPr>
          <w:rFonts w:ascii="Arial" w:hAnsi="Arial" w:cs="Arial"/>
        </w:rPr>
        <w:t>n the arbitration</w:t>
      </w:r>
      <w:r w:rsidR="00FB3B9A" w:rsidRPr="000E7AC9">
        <w:rPr>
          <w:rFonts w:ascii="Arial" w:hAnsi="Arial" w:cs="Arial"/>
        </w:rPr>
        <w:t xml:space="preserve"> </w:t>
      </w:r>
      <w:r w:rsidR="00FB3B9A">
        <w:rPr>
          <w:rFonts w:ascii="Arial" w:hAnsi="Arial" w:cs="Arial"/>
        </w:rPr>
        <w:t>proceedings</w:t>
      </w:r>
      <w:r w:rsidR="00675D65">
        <w:rPr>
          <w:rFonts w:ascii="Arial" w:hAnsi="Arial" w:cs="Arial"/>
        </w:rPr>
        <w:t xml:space="preserve"> </w:t>
      </w:r>
      <w:r w:rsidR="00FB3B9A">
        <w:rPr>
          <w:rFonts w:ascii="Arial" w:hAnsi="Arial" w:cs="Arial"/>
        </w:rPr>
        <w:t>apparent from the record</w:t>
      </w:r>
      <w:r w:rsidR="003E7A8A">
        <w:rPr>
          <w:rFonts w:ascii="Arial" w:hAnsi="Arial" w:cs="Arial"/>
        </w:rPr>
        <w:t>.</w:t>
      </w:r>
      <w:r w:rsidR="00330343">
        <w:rPr>
          <w:rFonts w:ascii="Arial" w:hAnsi="Arial" w:cs="Arial"/>
        </w:rPr>
        <w:t xml:space="preserve"> </w:t>
      </w:r>
      <w:r w:rsidR="003E7A8A">
        <w:rPr>
          <w:rFonts w:ascii="Arial" w:hAnsi="Arial" w:cs="Arial"/>
        </w:rPr>
        <w:t>T</w:t>
      </w:r>
      <w:r w:rsidR="00330343">
        <w:rPr>
          <w:rFonts w:ascii="Arial" w:hAnsi="Arial" w:cs="Arial"/>
        </w:rPr>
        <w:t>he appellant is</w:t>
      </w:r>
      <w:r w:rsidR="006E1976">
        <w:rPr>
          <w:rFonts w:ascii="Arial" w:hAnsi="Arial" w:cs="Arial"/>
        </w:rPr>
        <w:t xml:space="preserve"> </w:t>
      </w:r>
      <w:r w:rsidR="00AE6E84">
        <w:rPr>
          <w:rFonts w:ascii="Arial" w:hAnsi="Arial" w:cs="Arial"/>
        </w:rPr>
        <w:t xml:space="preserve">therefore </w:t>
      </w:r>
      <w:r w:rsidR="006E1976">
        <w:rPr>
          <w:rFonts w:ascii="Arial" w:hAnsi="Arial" w:cs="Arial"/>
        </w:rPr>
        <w:t>entitled to bring the matter before this Court</w:t>
      </w:r>
      <w:r w:rsidR="00330343">
        <w:rPr>
          <w:rFonts w:ascii="Arial" w:hAnsi="Arial" w:cs="Arial"/>
        </w:rPr>
        <w:t xml:space="preserve"> </w:t>
      </w:r>
      <w:r w:rsidR="006E1976">
        <w:rPr>
          <w:rFonts w:ascii="Arial" w:hAnsi="Arial" w:cs="Arial"/>
        </w:rPr>
        <w:t>by way of appeal.</w:t>
      </w:r>
      <w:r w:rsidR="006E1976">
        <w:rPr>
          <w:rStyle w:val="FootnoteReference"/>
          <w:rFonts w:ascii="Arial" w:hAnsi="Arial" w:cs="Arial"/>
        </w:rPr>
        <w:footnoteReference w:id="1"/>
      </w:r>
      <w:r w:rsidR="00FB3B9A">
        <w:rPr>
          <w:rFonts w:ascii="Arial" w:hAnsi="Arial" w:cs="Arial"/>
        </w:rPr>
        <w:t xml:space="preserve"> </w:t>
      </w:r>
    </w:p>
    <w:p w:rsidR="000346D6" w:rsidRDefault="000346D6" w:rsidP="00BF0D83">
      <w:pPr>
        <w:tabs>
          <w:tab w:val="left" w:pos="567"/>
        </w:tabs>
        <w:spacing w:line="360" w:lineRule="auto"/>
        <w:jc w:val="both"/>
        <w:rPr>
          <w:rFonts w:ascii="Arial" w:hAnsi="Arial" w:cs="Arial"/>
        </w:rPr>
      </w:pPr>
    </w:p>
    <w:p w:rsidR="00436F0A" w:rsidRDefault="007B2128" w:rsidP="00BF0D83">
      <w:pPr>
        <w:spacing w:line="360" w:lineRule="auto"/>
        <w:ind w:left="357" w:hanging="357"/>
        <w:jc w:val="both"/>
        <w:rPr>
          <w:rFonts w:ascii="Arial" w:hAnsi="Arial" w:cs="Arial"/>
        </w:rPr>
      </w:pPr>
      <w:r>
        <w:rPr>
          <w:rFonts w:ascii="Arial" w:hAnsi="Arial" w:cs="Arial"/>
        </w:rPr>
        <w:t>[4</w:t>
      </w:r>
      <w:r w:rsidR="00AC36E4">
        <w:rPr>
          <w:rFonts w:ascii="Arial" w:hAnsi="Arial" w:cs="Arial"/>
        </w:rPr>
        <w:t>]</w:t>
      </w:r>
      <w:r w:rsidR="00AC36E4">
        <w:rPr>
          <w:rFonts w:ascii="Arial" w:hAnsi="Arial" w:cs="Arial"/>
        </w:rPr>
        <w:tab/>
      </w:r>
      <w:r w:rsidR="00AC36E4">
        <w:rPr>
          <w:rFonts w:ascii="Arial" w:hAnsi="Arial" w:cs="Arial"/>
        </w:rPr>
        <w:tab/>
      </w:r>
      <w:r w:rsidR="00436F0A">
        <w:rPr>
          <w:rFonts w:ascii="Arial" w:hAnsi="Arial" w:cs="Arial"/>
        </w:rPr>
        <w:t xml:space="preserve">In the appellant’s heads of argument, </w:t>
      </w:r>
      <w:r w:rsidR="00436F0A" w:rsidRPr="00AE6E84">
        <w:rPr>
          <w:rFonts w:ascii="Arial" w:hAnsi="Arial" w:cs="Arial"/>
          <w:i/>
        </w:rPr>
        <w:t>Mr. Dicks</w:t>
      </w:r>
      <w:r w:rsidR="00436F0A">
        <w:rPr>
          <w:rFonts w:ascii="Arial" w:hAnsi="Arial" w:cs="Arial"/>
        </w:rPr>
        <w:t xml:space="preserve"> </w:t>
      </w:r>
      <w:r w:rsidR="00D20881">
        <w:rPr>
          <w:rFonts w:ascii="Arial" w:hAnsi="Arial" w:cs="Arial"/>
        </w:rPr>
        <w:t xml:space="preserve">casts </w:t>
      </w:r>
      <w:r w:rsidR="00436F0A">
        <w:rPr>
          <w:rFonts w:ascii="Arial" w:hAnsi="Arial" w:cs="Arial"/>
        </w:rPr>
        <w:t>the crisp iss</w:t>
      </w:r>
      <w:r w:rsidR="00AC2541">
        <w:rPr>
          <w:rFonts w:ascii="Arial" w:hAnsi="Arial" w:cs="Arial"/>
        </w:rPr>
        <w:t>ues for</w:t>
      </w:r>
      <w:r w:rsidR="00436F0A">
        <w:rPr>
          <w:rFonts w:ascii="Arial" w:hAnsi="Arial" w:cs="Arial"/>
        </w:rPr>
        <w:t xml:space="preserve"> preliminary determination</w:t>
      </w:r>
      <w:r w:rsidR="00335C57">
        <w:rPr>
          <w:rFonts w:ascii="Arial" w:hAnsi="Arial" w:cs="Arial"/>
        </w:rPr>
        <w:t xml:space="preserve"> </w:t>
      </w:r>
      <w:r w:rsidR="00D20881">
        <w:rPr>
          <w:rFonts w:ascii="Arial" w:hAnsi="Arial" w:cs="Arial"/>
        </w:rPr>
        <w:t>in the following terms:</w:t>
      </w:r>
    </w:p>
    <w:p w:rsidR="00A70EBE" w:rsidRDefault="00A70EBE" w:rsidP="00BF0D83">
      <w:pPr>
        <w:spacing w:line="360" w:lineRule="auto"/>
        <w:ind w:left="357"/>
        <w:jc w:val="both"/>
        <w:rPr>
          <w:rFonts w:ascii="Arial" w:hAnsi="Arial" w:cs="Arial"/>
        </w:rPr>
      </w:pPr>
    </w:p>
    <w:p w:rsidR="00AE6E84" w:rsidRPr="00D062FA" w:rsidRDefault="00D062FA" w:rsidP="00D062FA">
      <w:pPr>
        <w:spacing w:line="360" w:lineRule="auto"/>
        <w:ind w:left="1437" w:hanging="717"/>
        <w:jc w:val="both"/>
        <w:rPr>
          <w:rFonts w:ascii="Arial" w:hAnsi="Arial" w:cs="Arial"/>
        </w:rPr>
      </w:pPr>
      <w:r>
        <w:rPr>
          <w:rFonts w:ascii="Arial" w:hAnsi="Arial" w:cs="Arial"/>
        </w:rPr>
        <w:t>1.</w:t>
      </w:r>
      <w:r>
        <w:rPr>
          <w:rFonts w:ascii="Arial" w:hAnsi="Arial" w:cs="Arial"/>
        </w:rPr>
        <w:tab/>
      </w:r>
      <w:r w:rsidR="00335C57" w:rsidRPr="00D062FA">
        <w:rPr>
          <w:rFonts w:ascii="Arial" w:hAnsi="Arial" w:cs="Arial"/>
        </w:rPr>
        <w:t>whether</w:t>
      </w:r>
      <w:r w:rsidR="00A45F8F" w:rsidRPr="00D062FA">
        <w:rPr>
          <w:rFonts w:ascii="Arial" w:hAnsi="Arial" w:cs="Arial"/>
        </w:rPr>
        <w:t xml:space="preserve"> the</w:t>
      </w:r>
      <w:r w:rsidR="00335C57" w:rsidRPr="00D062FA">
        <w:rPr>
          <w:rFonts w:ascii="Arial" w:hAnsi="Arial" w:cs="Arial"/>
        </w:rPr>
        <w:t xml:space="preserve"> respondents acted in</w:t>
      </w:r>
      <w:r w:rsidR="00D20881" w:rsidRPr="00D062FA">
        <w:rPr>
          <w:rFonts w:ascii="Arial" w:hAnsi="Arial" w:cs="Arial"/>
        </w:rPr>
        <w:t xml:space="preserve"> compliance</w:t>
      </w:r>
      <w:r w:rsidR="00A70EBE" w:rsidRPr="00D062FA">
        <w:rPr>
          <w:rFonts w:ascii="Arial" w:hAnsi="Arial" w:cs="Arial"/>
        </w:rPr>
        <w:t xml:space="preserve"> with</w:t>
      </w:r>
      <w:r w:rsidR="00FB0D48" w:rsidRPr="00D062FA">
        <w:rPr>
          <w:rFonts w:ascii="Arial" w:hAnsi="Arial" w:cs="Arial"/>
        </w:rPr>
        <w:t xml:space="preserve"> the</w:t>
      </w:r>
      <w:r w:rsidR="00A70EBE" w:rsidRPr="00D062FA">
        <w:rPr>
          <w:rFonts w:ascii="Arial" w:hAnsi="Arial" w:cs="Arial"/>
        </w:rPr>
        <w:t xml:space="preserve"> requirements</w:t>
      </w:r>
      <w:r w:rsidR="00D20881" w:rsidRPr="00D062FA">
        <w:rPr>
          <w:rFonts w:ascii="Arial" w:hAnsi="Arial" w:cs="Arial"/>
        </w:rPr>
        <w:t xml:space="preserve"> </w:t>
      </w:r>
      <w:r w:rsidR="00A70EBE" w:rsidRPr="00D062FA">
        <w:rPr>
          <w:rFonts w:ascii="Arial" w:hAnsi="Arial" w:cs="Arial"/>
        </w:rPr>
        <w:t xml:space="preserve">of Rules 5, 11, and 14 of the Rules Relating to the Conduct of Conciliation and Arbitration before the Labour </w:t>
      </w:r>
      <w:r w:rsidR="00A70EBE" w:rsidRPr="00D062FA">
        <w:rPr>
          <w:rFonts w:ascii="Arial" w:hAnsi="Arial" w:cs="Arial"/>
        </w:rPr>
        <w:lastRenderedPageBreak/>
        <w:t>Commissioner (“the rules”)</w:t>
      </w:r>
      <w:r w:rsidR="00335C57" w:rsidRPr="00D062FA">
        <w:rPr>
          <w:rFonts w:ascii="Arial" w:hAnsi="Arial" w:cs="Arial"/>
        </w:rPr>
        <w:t xml:space="preserve"> when the joint referral was lodged; and</w:t>
      </w:r>
      <w:r w:rsidR="00AE6E84" w:rsidRPr="00D062FA">
        <w:rPr>
          <w:rFonts w:ascii="Arial" w:hAnsi="Arial" w:cs="Arial"/>
        </w:rPr>
        <w:t>;</w:t>
      </w:r>
    </w:p>
    <w:p w:rsidR="00AE6E84" w:rsidRPr="00D062FA" w:rsidRDefault="00D062FA" w:rsidP="00D062FA">
      <w:pPr>
        <w:spacing w:line="360" w:lineRule="auto"/>
        <w:ind w:left="1437" w:hanging="717"/>
        <w:jc w:val="both"/>
        <w:rPr>
          <w:rFonts w:ascii="Arial" w:hAnsi="Arial" w:cs="Arial"/>
        </w:rPr>
      </w:pPr>
      <w:r>
        <w:rPr>
          <w:rFonts w:ascii="Arial" w:hAnsi="Arial" w:cs="Arial"/>
        </w:rPr>
        <w:t>2.</w:t>
      </w:r>
      <w:r>
        <w:rPr>
          <w:rFonts w:ascii="Arial" w:hAnsi="Arial" w:cs="Arial"/>
        </w:rPr>
        <w:tab/>
      </w:r>
      <w:r w:rsidR="00335C57" w:rsidRPr="00D062FA">
        <w:rPr>
          <w:rFonts w:ascii="Arial" w:hAnsi="Arial" w:cs="Arial"/>
        </w:rPr>
        <w:t xml:space="preserve">whether the </w:t>
      </w:r>
      <w:r w:rsidR="00F648C9" w:rsidRPr="00D062FA">
        <w:rPr>
          <w:rFonts w:ascii="Arial" w:hAnsi="Arial" w:cs="Arial"/>
        </w:rPr>
        <w:t>arbitrator</w:t>
      </w:r>
      <w:r w:rsidR="0057757F" w:rsidRPr="00D062FA">
        <w:rPr>
          <w:rFonts w:ascii="Arial" w:hAnsi="Arial" w:cs="Arial"/>
        </w:rPr>
        <w:t xml:space="preserve"> </w:t>
      </w:r>
      <w:r w:rsidR="00335C57" w:rsidRPr="00D062FA">
        <w:rPr>
          <w:rFonts w:ascii="Arial" w:hAnsi="Arial" w:cs="Arial"/>
        </w:rPr>
        <w:t xml:space="preserve">acted in </w:t>
      </w:r>
      <w:r w:rsidR="00F648C9" w:rsidRPr="00D062FA">
        <w:rPr>
          <w:rFonts w:ascii="Arial" w:hAnsi="Arial" w:cs="Arial"/>
        </w:rPr>
        <w:t>compliance with rule 15 of</w:t>
      </w:r>
      <w:r w:rsidR="00A45F8F" w:rsidRPr="00D062FA">
        <w:rPr>
          <w:rFonts w:ascii="Arial" w:hAnsi="Arial" w:cs="Arial"/>
        </w:rPr>
        <w:t xml:space="preserve"> the</w:t>
      </w:r>
      <w:r w:rsidR="00F648C9" w:rsidRPr="00D062FA">
        <w:rPr>
          <w:rFonts w:ascii="Arial" w:hAnsi="Arial" w:cs="Arial"/>
        </w:rPr>
        <w:t xml:space="preserve"> rules</w:t>
      </w:r>
      <w:r w:rsidR="00335C57" w:rsidRPr="00D062FA">
        <w:rPr>
          <w:rFonts w:ascii="Arial" w:hAnsi="Arial" w:cs="Arial"/>
        </w:rPr>
        <w:t xml:space="preserve"> when she, on 8 March 2016</w:t>
      </w:r>
      <w:r w:rsidR="0057757F" w:rsidRPr="00D062FA">
        <w:rPr>
          <w:rFonts w:ascii="Arial" w:hAnsi="Arial" w:cs="Arial"/>
        </w:rPr>
        <w:t>,</w:t>
      </w:r>
      <w:r w:rsidR="00335C57" w:rsidRPr="00D062FA">
        <w:rPr>
          <w:rFonts w:ascii="Arial" w:hAnsi="Arial" w:cs="Arial"/>
        </w:rPr>
        <w:t xml:space="preserve"> set down the arbitration hearing for 15 March 2016</w:t>
      </w:r>
      <w:r w:rsidR="00F648C9" w:rsidRPr="00D062FA">
        <w:rPr>
          <w:rFonts w:ascii="Arial" w:hAnsi="Arial" w:cs="Arial"/>
        </w:rPr>
        <w:t>; and</w:t>
      </w:r>
    </w:p>
    <w:p w:rsidR="00AC36E4" w:rsidRDefault="00AC36E4" w:rsidP="00AC36E4">
      <w:pPr>
        <w:pStyle w:val="ListParagraph"/>
        <w:spacing w:line="360" w:lineRule="auto"/>
        <w:ind w:left="1437"/>
        <w:jc w:val="both"/>
        <w:rPr>
          <w:rFonts w:ascii="Arial" w:hAnsi="Arial" w:cs="Arial"/>
        </w:rPr>
      </w:pPr>
    </w:p>
    <w:p w:rsidR="006D128A" w:rsidRPr="00D062FA" w:rsidRDefault="00D062FA" w:rsidP="00D062FA">
      <w:pPr>
        <w:spacing w:line="360" w:lineRule="auto"/>
        <w:ind w:left="1437" w:hanging="717"/>
        <w:jc w:val="both"/>
        <w:rPr>
          <w:rFonts w:ascii="Arial" w:hAnsi="Arial" w:cs="Arial"/>
        </w:rPr>
      </w:pPr>
      <w:r>
        <w:rPr>
          <w:rFonts w:ascii="Arial" w:hAnsi="Arial" w:cs="Arial"/>
        </w:rPr>
        <w:t>3.</w:t>
      </w:r>
      <w:r>
        <w:rPr>
          <w:rFonts w:ascii="Arial" w:hAnsi="Arial" w:cs="Arial"/>
        </w:rPr>
        <w:tab/>
      </w:r>
      <w:r w:rsidR="00335C57" w:rsidRPr="00D062FA">
        <w:rPr>
          <w:rFonts w:ascii="Arial" w:hAnsi="Arial" w:cs="Arial"/>
        </w:rPr>
        <w:t xml:space="preserve">whether </w:t>
      </w:r>
      <w:r w:rsidR="004125AB" w:rsidRPr="00D062FA">
        <w:rPr>
          <w:rFonts w:ascii="Arial" w:hAnsi="Arial" w:cs="Arial"/>
        </w:rPr>
        <w:t xml:space="preserve">the arbitrator’s refusal to hear </w:t>
      </w:r>
      <w:r w:rsidR="00BE6606" w:rsidRPr="00D062FA">
        <w:rPr>
          <w:rFonts w:ascii="Arial" w:hAnsi="Arial" w:cs="Arial"/>
        </w:rPr>
        <w:t>appellant’s rescission</w:t>
      </w:r>
      <w:r w:rsidR="0057757F" w:rsidRPr="00D062FA">
        <w:rPr>
          <w:rFonts w:ascii="Arial" w:hAnsi="Arial" w:cs="Arial"/>
        </w:rPr>
        <w:t xml:space="preserve"> application </w:t>
      </w:r>
      <w:r w:rsidR="00AC2541" w:rsidRPr="00D062FA">
        <w:rPr>
          <w:rFonts w:ascii="Arial" w:hAnsi="Arial" w:cs="Arial"/>
        </w:rPr>
        <w:t>subsequent</w:t>
      </w:r>
      <w:r w:rsidR="0057757F" w:rsidRPr="00D062FA">
        <w:rPr>
          <w:rFonts w:ascii="Arial" w:hAnsi="Arial" w:cs="Arial"/>
        </w:rPr>
        <w:t xml:space="preserve"> to</w:t>
      </w:r>
      <w:r w:rsidR="00AC2541" w:rsidRPr="00D062FA">
        <w:rPr>
          <w:rFonts w:ascii="Arial" w:hAnsi="Arial" w:cs="Arial"/>
        </w:rPr>
        <w:t xml:space="preserve"> the issuing of the award </w:t>
      </w:r>
      <w:r w:rsidR="00335C57" w:rsidRPr="00D062FA">
        <w:rPr>
          <w:rFonts w:ascii="Arial" w:hAnsi="Arial" w:cs="Arial"/>
        </w:rPr>
        <w:t xml:space="preserve">by her, </w:t>
      </w:r>
      <w:r w:rsidR="00A45F8F" w:rsidRPr="00D062FA">
        <w:rPr>
          <w:rFonts w:ascii="Arial" w:hAnsi="Arial" w:cs="Arial"/>
        </w:rPr>
        <w:t>infringed</w:t>
      </w:r>
      <w:r w:rsidR="00335C57" w:rsidRPr="00D062FA">
        <w:rPr>
          <w:rFonts w:ascii="Arial" w:hAnsi="Arial" w:cs="Arial"/>
        </w:rPr>
        <w:t xml:space="preserve"> upon </w:t>
      </w:r>
      <w:r w:rsidR="000346D6" w:rsidRPr="00D062FA">
        <w:rPr>
          <w:rFonts w:ascii="Arial" w:hAnsi="Arial" w:cs="Arial"/>
        </w:rPr>
        <w:t>Appellant</w:t>
      </w:r>
      <w:r w:rsidR="0087350C" w:rsidRPr="00D062FA">
        <w:rPr>
          <w:rFonts w:ascii="Arial" w:hAnsi="Arial" w:cs="Arial"/>
        </w:rPr>
        <w:t>’s rights</w:t>
      </w:r>
      <w:r w:rsidR="00335C57" w:rsidRPr="00D062FA">
        <w:rPr>
          <w:rFonts w:ascii="Arial" w:hAnsi="Arial" w:cs="Arial"/>
        </w:rPr>
        <w:t xml:space="preserve"> in terms of section 12 of the Namibian Constitution.</w:t>
      </w:r>
    </w:p>
    <w:p w:rsidR="00B0314E" w:rsidRPr="00B0314E" w:rsidRDefault="00B0314E" w:rsidP="00B0314E">
      <w:pPr>
        <w:spacing w:line="360" w:lineRule="auto"/>
        <w:jc w:val="both"/>
        <w:rPr>
          <w:rFonts w:ascii="Arial" w:hAnsi="Arial" w:cs="Arial"/>
        </w:rPr>
      </w:pPr>
    </w:p>
    <w:p w:rsidR="00C958B9" w:rsidRDefault="00C958B9" w:rsidP="00BF0D83">
      <w:pPr>
        <w:spacing w:line="360" w:lineRule="auto"/>
        <w:jc w:val="both"/>
        <w:rPr>
          <w:rFonts w:ascii="Arial" w:hAnsi="Arial" w:cs="Arial"/>
          <w:b/>
          <w:u w:val="single"/>
        </w:rPr>
      </w:pPr>
      <w:r w:rsidRPr="00C958B9">
        <w:rPr>
          <w:rFonts w:ascii="Arial" w:hAnsi="Arial" w:cs="Arial"/>
          <w:b/>
          <w:u w:val="single"/>
        </w:rPr>
        <w:t>Background</w:t>
      </w:r>
    </w:p>
    <w:p w:rsidR="00675D65" w:rsidRPr="00C958B9" w:rsidRDefault="00675D65" w:rsidP="00BF0D83">
      <w:pPr>
        <w:spacing w:line="360" w:lineRule="auto"/>
        <w:ind w:left="360"/>
        <w:jc w:val="both"/>
        <w:rPr>
          <w:rFonts w:ascii="Arial" w:hAnsi="Arial" w:cs="Arial"/>
          <w:b/>
          <w:u w:val="single"/>
        </w:rPr>
      </w:pPr>
    </w:p>
    <w:p w:rsidR="00044035" w:rsidRDefault="007B2128" w:rsidP="00BF0D83">
      <w:pPr>
        <w:tabs>
          <w:tab w:val="left" w:pos="567"/>
        </w:tabs>
        <w:spacing w:line="360" w:lineRule="auto"/>
        <w:jc w:val="both"/>
        <w:rPr>
          <w:rFonts w:ascii="Arial" w:hAnsi="Arial" w:cs="Arial"/>
        </w:rPr>
      </w:pPr>
      <w:r>
        <w:rPr>
          <w:rFonts w:ascii="Arial" w:hAnsi="Arial" w:cs="Arial"/>
        </w:rPr>
        <w:t>[5</w:t>
      </w:r>
      <w:r w:rsidR="001F67A5">
        <w:rPr>
          <w:rFonts w:ascii="Arial" w:hAnsi="Arial" w:cs="Arial"/>
        </w:rPr>
        <w:t>]</w:t>
      </w:r>
      <w:r w:rsidR="001F67A5">
        <w:rPr>
          <w:rFonts w:ascii="Arial" w:hAnsi="Arial" w:cs="Arial"/>
        </w:rPr>
        <w:tab/>
      </w:r>
      <w:r w:rsidR="00E25F1F">
        <w:rPr>
          <w:rFonts w:ascii="Arial" w:hAnsi="Arial" w:cs="Arial"/>
        </w:rPr>
        <w:t xml:space="preserve">On </w:t>
      </w:r>
      <w:r w:rsidR="001F67A5">
        <w:rPr>
          <w:rFonts w:ascii="Arial" w:hAnsi="Arial" w:cs="Arial"/>
        </w:rPr>
        <w:t>6 October 2015, Ipinge Petrus and 47 Others</w:t>
      </w:r>
      <w:r w:rsidR="0087350C">
        <w:rPr>
          <w:rFonts w:ascii="Arial" w:hAnsi="Arial" w:cs="Arial"/>
        </w:rPr>
        <w:t xml:space="preserve"> (</w:t>
      </w:r>
      <w:r w:rsidR="00AE6E84">
        <w:rPr>
          <w:rFonts w:ascii="Arial" w:hAnsi="Arial" w:cs="Arial"/>
        </w:rPr>
        <w:t xml:space="preserve">respondents in this appeal but </w:t>
      </w:r>
      <w:r w:rsidR="0087350C">
        <w:rPr>
          <w:rFonts w:ascii="Arial" w:hAnsi="Arial" w:cs="Arial"/>
        </w:rPr>
        <w:t xml:space="preserve">complainants in </w:t>
      </w:r>
      <w:r w:rsidR="00AE6E84">
        <w:rPr>
          <w:rFonts w:ascii="Arial" w:hAnsi="Arial" w:cs="Arial"/>
        </w:rPr>
        <w:t xml:space="preserve">the </w:t>
      </w:r>
      <w:r w:rsidR="0087350C">
        <w:rPr>
          <w:rFonts w:ascii="Arial" w:hAnsi="Arial" w:cs="Arial"/>
        </w:rPr>
        <w:t>arbitration case)</w:t>
      </w:r>
      <w:r w:rsidR="001F67A5">
        <w:rPr>
          <w:rFonts w:ascii="Arial" w:hAnsi="Arial" w:cs="Arial"/>
        </w:rPr>
        <w:t xml:space="preserve"> referred a dispute of unfair dismissal to </w:t>
      </w:r>
      <w:r w:rsidR="0087350C">
        <w:rPr>
          <w:rFonts w:ascii="Arial" w:hAnsi="Arial" w:cs="Arial"/>
        </w:rPr>
        <w:t xml:space="preserve">the </w:t>
      </w:r>
      <w:r w:rsidR="001F67A5">
        <w:rPr>
          <w:rFonts w:ascii="Arial" w:hAnsi="Arial" w:cs="Arial"/>
        </w:rPr>
        <w:t xml:space="preserve">Labour Commissioner </w:t>
      </w:r>
      <w:r w:rsidR="00044035">
        <w:rPr>
          <w:rFonts w:ascii="Arial" w:hAnsi="Arial" w:cs="Arial"/>
        </w:rPr>
        <w:t>by delivering F</w:t>
      </w:r>
      <w:r w:rsidR="001F67A5" w:rsidRPr="001F67A5">
        <w:rPr>
          <w:rFonts w:ascii="Arial" w:hAnsi="Arial" w:cs="Arial"/>
        </w:rPr>
        <w:t>orm</w:t>
      </w:r>
      <w:r w:rsidR="00044035">
        <w:rPr>
          <w:rFonts w:ascii="Arial" w:hAnsi="Arial" w:cs="Arial"/>
        </w:rPr>
        <w:t>s</w:t>
      </w:r>
      <w:r w:rsidR="001F67A5" w:rsidRPr="001F67A5">
        <w:rPr>
          <w:rFonts w:ascii="Arial" w:hAnsi="Arial" w:cs="Arial"/>
        </w:rPr>
        <w:t xml:space="preserve"> LC 21, LG 36, </w:t>
      </w:r>
      <w:r w:rsidR="00044035">
        <w:rPr>
          <w:rFonts w:ascii="Arial" w:hAnsi="Arial" w:cs="Arial"/>
        </w:rPr>
        <w:t xml:space="preserve">a </w:t>
      </w:r>
      <w:r w:rsidR="001F67A5" w:rsidRPr="001F67A5">
        <w:rPr>
          <w:rFonts w:ascii="Arial" w:hAnsi="Arial" w:cs="Arial"/>
        </w:rPr>
        <w:t xml:space="preserve">summary of dispute, </w:t>
      </w:r>
      <w:r w:rsidR="00044035">
        <w:rPr>
          <w:rFonts w:ascii="Arial" w:hAnsi="Arial" w:cs="Arial"/>
        </w:rPr>
        <w:t xml:space="preserve">a </w:t>
      </w:r>
      <w:r w:rsidR="001F67A5" w:rsidRPr="001F67A5">
        <w:rPr>
          <w:rFonts w:ascii="Arial" w:hAnsi="Arial" w:cs="Arial"/>
        </w:rPr>
        <w:t xml:space="preserve">crew list and </w:t>
      </w:r>
      <w:r w:rsidR="00044035">
        <w:rPr>
          <w:rFonts w:ascii="Arial" w:hAnsi="Arial" w:cs="Arial"/>
        </w:rPr>
        <w:t>a</w:t>
      </w:r>
      <w:r w:rsidR="001F67A5" w:rsidRPr="001F67A5">
        <w:rPr>
          <w:rFonts w:ascii="Arial" w:hAnsi="Arial" w:cs="Arial"/>
        </w:rPr>
        <w:t xml:space="preserve"> request for </w:t>
      </w:r>
      <w:r w:rsidR="00044035">
        <w:rPr>
          <w:rFonts w:ascii="Arial" w:hAnsi="Arial" w:cs="Arial"/>
        </w:rPr>
        <w:t xml:space="preserve">a </w:t>
      </w:r>
      <w:r w:rsidR="001F67A5" w:rsidRPr="001F67A5">
        <w:rPr>
          <w:rFonts w:ascii="Arial" w:hAnsi="Arial" w:cs="Arial"/>
        </w:rPr>
        <w:t>meeting</w:t>
      </w:r>
      <w:r w:rsidR="00044035">
        <w:rPr>
          <w:rFonts w:ascii="Arial" w:hAnsi="Arial" w:cs="Arial"/>
        </w:rPr>
        <w:t xml:space="preserve"> with</w:t>
      </w:r>
      <w:r w:rsidR="00AC36E4">
        <w:rPr>
          <w:rFonts w:ascii="Arial" w:hAnsi="Arial" w:cs="Arial"/>
        </w:rPr>
        <w:t xml:space="preserve"> the</w:t>
      </w:r>
      <w:r w:rsidR="001F67A5" w:rsidRPr="001F67A5">
        <w:rPr>
          <w:rFonts w:ascii="Arial" w:hAnsi="Arial" w:cs="Arial"/>
        </w:rPr>
        <w:t xml:space="preserve"> </w:t>
      </w:r>
      <w:r w:rsidR="000346D6">
        <w:rPr>
          <w:rFonts w:ascii="Arial" w:hAnsi="Arial" w:cs="Arial"/>
        </w:rPr>
        <w:t>Appellant</w:t>
      </w:r>
      <w:r w:rsidR="001F67A5" w:rsidRPr="001F67A5">
        <w:rPr>
          <w:rFonts w:ascii="Arial" w:hAnsi="Arial" w:cs="Arial"/>
        </w:rPr>
        <w:t>.</w:t>
      </w:r>
    </w:p>
    <w:p w:rsidR="003F4846" w:rsidRDefault="003F4846" w:rsidP="00BF0D83">
      <w:pPr>
        <w:tabs>
          <w:tab w:val="left" w:pos="567"/>
        </w:tabs>
        <w:spacing w:line="360" w:lineRule="auto"/>
        <w:jc w:val="both"/>
        <w:rPr>
          <w:rFonts w:ascii="Arial" w:hAnsi="Arial" w:cs="Arial"/>
        </w:rPr>
      </w:pPr>
    </w:p>
    <w:p w:rsidR="00044035" w:rsidRDefault="007B2128" w:rsidP="00BF0D83">
      <w:pPr>
        <w:tabs>
          <w:tab w:val="left" w:pos="567"/>
        </w:tabs>
        <w:spacing w:line="360" w:lineRule="auto"/>
        <w:jc w:val="both"/>
        <w:rPr>
          <w:rFonts w:ascii="Arial" w:hAnsi="Arial" w:cs="Arial"/>
        </w:rPr>
      </w:pPr>
      <w:r>
        <w:rPr>
          <w:rFonts w:ascii="Arial" w:hAnsi="Arial" w:cs="Arial"/>
        </w:rPr>
        <w:t>[6</w:t>
      </w:r>
      <w:r w:rsidR="00044035">
        <w:rPr>
          <w:rFonts w:ascii="Arial" w:hAnsi="Arial" w:cs="Arial"/>
        </w:rPr>
        <w:t>]</w:t>
      </w:r>
      <w:r w:rsidR="00044035">
        <w:rPr>
          <w:rFonts w:ascii="Arial" w:hAnsi="Arial" w:cs="Arial"/>
        </w:rPr>
        <w:tab/>
      </w:r>
      <w:r w:rsidR="00044035" w:rsidRPr="00044035">
        <w:rPr>
          <w:rFonts w:ascii="Arial" w:hAnsi="Arial" w:cs="Arial"/>
        </w:rPr>
        <w:t>Form LC 21 was not signed by any of the respondents but</w:t>
      </w:r>
      <w:r w:rsidR="00044035">
        <w:rPr>
          <w:rFonts w:ascii="Arial" w:hAnsi="Arial" w:cs="Arial"/>
        </w:rPr>
        <w:t xml:space="preserve"> was instead</w:t>
      </w:r>
      <w:r w:rsidR="00044035" w:rsidRPr="00044035">
        <w:rPr>
          <w:rFonts w:ascii="Arial" w:hAnsi="Arial" w:cs="Arial"/>
        </w:rPr>
        <w:t xml:space="preserve"> </w:t>
      </w:r>
      <w:r w:rsidR="00044035">
        <w:rPr>
          <w:rFonts w:ascii="Arial" w:hAnsi="Arial" w:cs="Arial"/>
        </w:rPr>
        <w:t xml:space="preserve">signed </w:t>
      </w:r>
      <w:r w:rsidR="00AE6E84">
        <w:rPr>
          <w:rFonts w:ascii="Arial" w:hAnsi="Arial" w:cs="Arial"/>
        </w:rPr>
        <w:t xml:space="preserve">by the Branch </w:t>
      </w:r>
      <w:r w:rsidR="000E7AC9">
        <w:rPr>
          <w:rFonts w:ascii="Arial" w:hAnsi="Arial" w:cs="Arial"/>
        </w:rPr>
        <w:t>O</w:t>
      </w:r>
      <w:r w:rsidR="000E7AC9" w:rsidRPr="00044035">
        <w:rPr>
          <w:rFonts w:ascii="Arial" w:hAnsi="Arial" w:cs="Arial"/>
        </w:rPr>
        <w:t>rganizer</w:t>
      </w:r>
      <w:r w:rsidR="00044035" w:rsidRPr="00044035">
        <w:rPr>
          <w:rFonts w:ascii="Arial" w:hAnsi="Arial" w:cs="Arial"/>
        </w:rPr>
        <w:t xml:space="preserve"> of the Namibian Food and Allied Workers Union (NAFAU), the respondents’ </w:t>
      </w:r>
      <w:r w:rsidR="00D671C7">
        <w:rPr>
          <w:rFonts w:ascii="Arial" w:hAnsi="Arial" w:cs="Arial"/>
        </w:rPr>
        <w:t>Trade U</w:t>
      </w:r>
      <w:r w:rsidR="00044035" w:rsidRPr="00044035">
        <w:rPr>
          <w:rFonts w:ascii="Arial" w:hAnsi="Arial" w:cs="Arial"/>
        </w:rPr>
        <w:t>nion</w:t>
      </w:r>
      <w:r w:rsidR="00AE6E84">
        <w:rPr>
          <w:rFonts w:ascii="Arial" w:hAnsi="Arial" w:cs="Arial"/>
        </w:rPr>
        <w:t xml:space="preserve"> and such respondents’ representative</w:t>
      </w:r>
      <w:r w:rsidR="00044035" w:rsidRPr="00044035">
        <w:rPr>
          <w:rFonts w:ascii="Arial" w:hAnsi="Arial" w:cs="Arial"/>
        </w:rPr>
        <w:t>.</w:t>
      </w:r>
    </w:p>
    <w:p w:rsidR="00AE6E84" w:rsidRDefault="00AE6E84" w:rsidP="00BF0D83">
      <w:pPr>
        <w:tabs>
          <w:tab w:val="left" w:pos="567"/>
        </w:tabs>
        <w:spacing w:line="360" w:lineRule="auto"/>
        <w:jc w:val="both"/>
        <w:rPr>
          <w:rFonts w:ascii="Arial" w:hAnsi="Arial" w:cs="Arial"/>
        </w:rPr>
      </w:pPr>
    </w:p>
    <w:p w:rsidR="00786907" w:rsidRDefault="007B2128" w:rsidP="00BF0D83">
      <w:pPr>
        <w:tabs>
          <w:tab w:val="left" w:pos="567"/>
        </w:tabs>
        <w:spacing w:line="360" w:lineRule="auto"/>
        <w:jc w:val="both"/>
        <w:rPr>
          <w:rFonts w:ascii="Arial" w:hAnsi="Arial" w:cs="Arial"/>
        </w:rPr>
      </w:pPr>
      <w:r>
        <w:rPr>
          <w:rFonts w:ascii="Arial" w:hAnsi="Arial" w:cs="Arial"/>
        </w:rPr>
        <w:t>[7</w:t>
      </w:r>
      <w:r w:rsidR="00044035">
        <w:rPr>
          <w:rFonts w:ascii="Arial" w:hAnsi="Arial" w:cs="Arial"/>
        </w:rPr>
        <w:t>]</w:t>
      </w:r>
      <w:r w:rsidR="00044035">
        <w:rPr>
          <w:rFonts w:ascii="Arial" w:hAnsi="Arial" w:cs="Arial"/>
        </w:rPr>
        <w:tab/>
        <w:t>On 18 January 2016, the arbitrator informed the parties that an</w:t>
      </w:r>
      <w:r w:rsidR="00044035" w:rsidRPr="00044035">
        <w:rPr>
          <w:rFonts w:ascii="Arial" w:hAnsi="Arial" w:cs="Arial"/>
        </w:rPr>
        <w:t xml:space="preserve"> arbitration hearing </w:t>
      </w:r>
      <w:r w:rsidR="00363A32">
        <w:rPr>
          <w:rFonts w:ascii="Arial" w:hAnsi="Arial" w:cs="Arial"/>
        </w:rPr>
        <w:t xml:space="preserve">was </w:t>
      </w:r>
      <w:r w:rsidR="006D128A">
        <w:rPr>
          <w:rFonts w:ascii="Arial" w:hAnsi="Arial" w:cs="Arial"/>
        </w:rPr>
        <w:t>set</w:t>
      </w:r>
      <w:r w:rsidR="00044035">
        <w:rPr>
          <w:rFonts w:ascii="Arial" w:hAnsi="Arial" w:cs="Arial"/>
        </w:rPr>
        <w:t xml:space="preserve"> down for</w:t>
      </w:r>
      <w:r w:rsidR="00044035" w:rsidRPr="00044035">
        <w:rPr>
          <w:rFonts w:ascii="Arial" w:hAnsi="Arial" w:cs="Arial"/>
        </w:rPr>
        <w:t xml:space="preserve"> 12 February 2016</w:t>
      </w:r>
      <w:r w:rsidR="00786907">
        <w:rPr>
          <w:rFonts w:ascii="Arial" w:hAnsi="Arial" w:cs="Arial"/>
        </w:rPr>
        <w:t xml:space="preserve">, but was </w:t>
      </w:r>
      <w:r w:rsidR="00363A32">
        <w:rPr>
          <w:rFonts w:ascii="Arial" w:hAnsi="Arial" w:cs="Arial"/>
        </w:rPr>
        <w:t xml:space="preserve">subsequently </w:t>
      </w:r>
      <w:r w:rsidR="00786907">
        <w:rPr>
          <w:rFonts w:ascii="Arial" w:hAnsi="Arial" w:cs="Arial"/>
        </w:rPr>
        <w:t xml:space="preserve">postponed to 15 February 2016. </w:t>
      </w:r>
    </w:p>
    <w:p w:rsidR="00AE6E84" w:rsidRDefault="00AE6E84" w:rsidP="00BF0D83">
      <w:pPr>
        <w:tabs>
          <w:tab w:val="left" w:pos="567"/>
        </w:tabs>
        <w:spacing w:line="360" w:lineRule="auto"/>
        <w:jc w:val="both"/>
        <w:rPr>
          <w:rFonts w:ascii="Arial" w:hAnsi="Arial" w:cs="Arial"/>
        </w:rPr>
      </w:pPr>
    </w:p>
    <w:p w:rsidR="00A54955" w:rsidRDefault="007B2128" w:rsidP="00BF0D83">
      <w:pPr>
        <w:tabs>
          <w:tab w:val="left" w:pos="567"/>
        </w:tabs>
        <w:spacing w:line="360" w:lineRule="auto"/>
        <w:jc w:val="both"/>
        <w:rPr>
          <w:rFonts w:ascii="Arial" w:hAnsi="Arial" w:cs="Arial"/>
        </w:rPr>
      </w:pPr>
      <w:r>
        <w:rPr>
          <w:rFonts w:ascii="Arial" w:hAnsi="Arial" w:cs="Arial"/>
        </w:rPr>
        <w:t>[8</w:t>
      </w:r>
      <w:r w:rsidR="00786907">
        <w:rPr>
          <w:rFonts w:ascii="Arial" w:hAnsi="Arial" w:cs="Arial"/>
        </w:rPr>
        <w:t>]</w:t>
      </w:r>
      <w:r w:rsidR="00786907">
        <w:rPr>
          <w:rFonts w:ascii="Arial" w:hAnsi="Arial" w:cs="Arial"/>
        </w:rPr>
        <w:tab/>
        <w:t xml:space="preserve"> On 15 February 2016, the parties unsuccessfully attempted to reach a settlement. </w:t>
      </w:r>
      <w:r w:rsidR="00786907" w:rsidRPr="00786907">
        <w:rPr>
          <w:rFonts w:ascii="Arial" w:hAnsi="Arial" w:cs="Arial"/>
        </w:rPr>
        <w:t>It is c</w:t>
      </w:r>
      <w:r w:rsidR="00D671C7">
        <w:rPr>
          <w:rFonts w:ascii="Arial" w:hAnsi="Arial" w:cs="Arial"/>
        </w:rPr>
        <w:t>ommon cause that Ms Arendse (who</w:t>
      </w:r>
      <w:r w:rsidR="00786907" w:rsidRPr="00786907">
        <w:rPr>
          <w:rFonts w:ascii="Arial" w:hAnsi="Arial" w:cs="Arial"/>
        </w:rPr>
        <w:t xml:space="preserve"> represented </w:t>
      </w:r>
      <w:r w:rsidR="00AE6E84">
        <w:rPr>
          <w:rFonts w:ascii="Arial" w:hAnsi="Arial" w:cs="Arial"/>
        </w:rPr>
        <w:t>a</w:t>
      </w:r>
      <w:r w:rsidR="000346D6">
        <w:rPr>
          <w:rFonts w:ascii="Arial" w:hAnsi="Arial" w:cs="Arial"/>
        </w:rPr>
        <w:t>ppellant</w:t>
      </w:r>
      <w:r w:rsidR="00786907" w:rsidRPr="00786907">
        <w:rPr>
          <w:rFonts w:ascii="Arial" w:hAnsi="Arial" w:cs="Arial"/>
        </w:rPr>
        <w:t xml:space="preserve"> at conciliation) required more time to obtain a</w:t>
      </w:r>
      <w:r w:rsidR="00AE6E84">
        <w:rPr>
          <w:rFonts w:ascii="Arial" w:hAnsi="Arial" w:cs="Arial"/>
        </w:rPr>
        <w:t xml:space="preserve"> firm mandate from the Director or Management of a</w:t>
      </w:r>
      <w:r w:rsidR="000346D6">
        <w:rPr>
          <w:rFonts w:ascii="Arial" w:hAnsi="Arial" w:cs="Arial"/>
        </w:rPr>
        <w:t>ppellant</w:t>
      </w:r>
      <w:r w:rsidR="00786907" w:rsidRPr="00786907">
        <w:rPr>
          <w:rFonts w:ascii="Arial" w:hAnsi="Arial" w:cs="Arial"/>
        </w:rPr>
        <w:t xml:space="preserve">.  As a result thereof, </w:t>
      </w:r>
      <w:r w:rsidR="00AE6E84">
        <w:rPr>
          <w:rFonts w:ascii="Arial" w:hAnsi="Arial" w:cs="Arial"/>
        </w:rPr>
        <w:t>a</w:t>
      </w:r>
      <w:r w:rsidR="000346D6">
        <w:rPr>
          <w:rFonts w:ascii="Arial" w:hAnsi="Arial" w:cs="Arial"/>
        </w:rPr>
        <w:t>ppellant</w:t>
      </w:r>
      <w:r w:rsidR="00786907" w:rsidRPr="00786907">
        <w:rPr>
          <w:rFonts w:ascii="Arial" w:hAnsi="Arial" w:cs="Arial"/>
        </w:rPr>
        <w:t xml:space="preserve"> was afforded more time to revert with its settlement proposals, which proposals never materialized. </w:t>
      </w:r>
    </w:p>
    <w:p w:rsidR="00AE6E84" w:rsidRDefault="00AE6E84" w:rsidP="00BF0D83">
      <w:pPr>
        <w:tabs>
          <w:tab w:val="left" w:pos="567"/>
        </w:tabs>
        <w:spacing w:line="360" w:lineRule="auto"/>
        <w:jc w:val="both"/>
        <w:rPr>
          <w:rFonts w:ascii="Arial" w:hAnsi="Arial" w:cs="Arial"/>
        </w:rPr>
      </w:pPr>
    </w:p>
    <w:p w:rsidR="003F4846" w:rsidRDefault="007B2128" w:rsidP="003F4846">
      <w:pPr>
        <w:tabs>
          <w:tab w:val="left" w:pos="567"/>
        </w:tabs>
        <w:spacing w:line="360" w:lineRule="auto"/>
        <w:jc w:val="both"/>
        <w:rPr>
          <w:rFonts w:ascii="Arial" w:hAnsi="Arial" w:cs="Arial"/>
        </w:rPr>
      </w:pPr>
      <w:r>
        <w:rPr>
          <w:rFonts w:ascii="Arial" w:hAnsi="Arial" w:cs="Arial"/>
        </w:rPr>
        <w:lastRenderedPageBreak/>
        <w:t>[9</w:t>
      </w:r>
      <w:r w:rsidR="00A54955">
        <w:rPr>
          <w:rFonts w:ascii="Arial" w:hAnsi="Arial" w:cs="Arial"/>
        </w:rPr>
        <w:t>]</w:t>
      </w:r>
      <w:r w:rsidR="00A54955">
        <w:rPr>
          <w:rFonts w:ascii="Arial" w:hAnsi="Arial" w:cs="Arial"/>
        </w:rPr>
        <w:tab/>
      </w:r>
      <w:r w:rsidR="00A54955" w:rsidRPr="00A54955">
        <w:rPr>
          <w:rFonts w:ascii="Arial" w:hAnsi="Arial" w:cs="Arial"/>
        </w:rPr>
        <w:t xml:space="preserve">On 8 March 2016, the Arbitrator, frustrated by the delay on the part of </w:t>
      </w:r>
      <w:r w:rsidR="003F4846">
        <w:rPr>
          <w:rFonts w:ascii="Arial" w:hAnsi="Arial" w:cs="Arial"/>
        </w:rPr>
        <w:t>appe</w:t>
      </w:r>
      <w:r w:rsidR="000346D6">
        <w:rPr>
          <w:rFonts w:ascii="Arial" w:hAnsi="Arial" w:cs="Arial"/>
        </w:rPr>
        <w:t>llant</w:t>
      </w:r>
      <w:r w:rsidR="00A54955" w:rsidRPr="00A54955">
        <w:rPr>
          <w:rFonts w:ascii="Arial" w:hAnsi="Arial" w:cs="Arial"/>
        </w:rPr>
        <w:t xml:space="preserve">, decided to set down the arbitration hearing for 15 March 2016. </w:t>
      </w:r>
      <w:r w:rsidR="00D40768">
        <w:rPr>
          <w:rFonts w:ascii="Arial" w:hAnsi="Arial" w:cs="Arial"/>
        </w:rPr>
        <w:t>It appears that this</w:t>
      </w:r>
      <w:r w:rsidR="003F4846" w:rsidRPr="003F4846">
        <w:rPr>
          <w:rFonts w:ascii="Arial" w:hAnsi="Arial" w:cs="Arial"/>
        </w:rPr>
        <w:t xml:space="preserve"> date of 15 March 2016 initially suited the parties. However Ms Arendse subsequently learnt of an important meeting taking place in Cape Town on the same day for which the hearing was scheduled.</w:t>
      </w:r>
    </w:p>
    <w:p w:rsidR="003F4846" w:rsidRPr="003F4846" w:rsidRDefault="003F4846" w:rsidP="003F4846">
      <w:pPr>
        <w:tabs>
          <w:tab w:val="left" w:pos="567"/>
        </w:tabs>
        <w:spacing w:line="360" w:lineRule="auto"/>
        <w:jc w:val="both"/>
        <w:rPr>
          <w:rFonts w:ascii="Arial" w:hAnsi="Arial" w:cs="Arial"/>
        </w:rPr>
      </w:pPr>
    </w:p>
    <w:p w:rsidR="003F4846" w:rsidRDefault="003F4846" w:rsidP="003F4846">
      <w:pPr>
        <w:tabs>
          <w:tab w:val="left" w:pos="567"/>
        </w:tabs>
        <w:spacing w:line="360" w:lineRule="auto"/>
        <w:jc w:val="both"/>
        <w:rPr>
          <w:rFonts w:ascii="Arial" w:hAnsi="Arial" w:cs="Arial"/>
        </w:rPr>
      </w:pPr>
      <w:r w:rsidRPr="003F4846">
        <w:rPr>
          <w:rFonts w:ascii="Arial" w:hAnsi="Arial" w:cs="Arial"/>
        </w:rPr>
        <w:t>[1</w:t>
      </w:r>
      <w:r>
        <w:rPr>
          <w:rFonts w:ascii="Arial" w:hAnsi="Arial" w:cs="Arial"/>
        </w:rPr>
        <w:t>0</w:t>
      </w:r>
      <w:r w:rsidRPr="003F4846">
        <w:rPr>
          <w:rFonts w:ascii="Arial" w:hAnsi="Arial" w:cs="Arial"/>
        </w:rPr>
        <w:t>]</w:t>
      </w:r>
      <w:r w:rsidRPr="003F4846">
        <w:rPr>
          <w:rFonts w:ascii="Arial" w:hAnsi="Arial" w:cs="Arial"/>
        </w:rPr>
        <w:tab/>
        <w:t xml:space="preserve">The arbitrator advised Ms Arendse </w:t>
      </w:r>
      <w:r>
        <w:rPr>
          <w:rFonts w:ascii="Arial" w:hAnsi="Arial" w:cs="Arial"/>
        </w:rPr>
        <w:t xml:space="preserve">that the matter may be postponed if the parties agree thereto or if an application for postponement is brought by either party. </w:t>
      </w:r>
      <w:r w:rsidRPr="003F4846">
        <w:rPr>
          <w:rFonts w:ascii="Arial" w:hAnsi="Arial" w:cs="Arial"/>
        </w:rPr>
        <w:t>Ms Arendse did not consider that a formal application for postponement was necessary (presumably because she was of the view that the initial postponement</w:t>
      </w:r>
      <w:r>
        <w:rPr>
          <w:rFonts w:ascii="Arial" w:hAnsi="Arial" w:cs="Arial"/>
        </w:rPr>
        <w:t xml:space="preserve"> (from 12 February to 15 February 2016)</w:t>
      </w:r>
      <w:r w:rsidRPr="003F4846">
        <w:rPr>
          <w:rFonts w:ascii="Arial" w:hAnsi="Arial" w:cs="Arial"/>
        </w:rPr>
        <w:t xml:space="preserve"> was </w:t>
      </w:r>
      <w:r>
        <w:rPr>
          <w:rFonts w:ascii="Arial" w:hAnsi="Arial" w:cs="Arial"/>
        </w:rPr>
        <w:t xml:space="preserve">made </w:t>
      </w:r>
      <w:r w:rsidRPr="003F4846">
        <w:rPr>
          <w:rFonts w:ascii="Arial" w:hAnsi="Arial" w:cs="Arial"/>
        </w:rPr>
        <w:t xml:space="preserve">without a formal application for a postponement).  </w:t>
      </w:r>
    </w:p>
    <w:p w:rsidR="003F4846" w:rsidRPr="003F4846" w:rsidRDefault="003F4846" w:rsidP="003F4846">
      <w:pPr>
        <w:tabs>
          <w:tab w:val="left" w:pos="567"/>
        </w:tabs>
        <w:spacing w:line="360" w:lineRule="auto"/>
        <w:jc w:val="both"/>
        <w:rPr>
          <w:rFonts w:ascii="Arial" w:hAnsi="Arial" w:cs="Arial"/>
        </w:rPr>
      </w:pPr>
    </w:p>
    <w:p w:rsidR="003F4846" w:rsidRDefault="003F4846" w:rsidP="003F4846">
      <w:pPr>
        <w:tabs>
          <w:tab w:val="left" w:pos="567"/>
        </w:tabs>
        <w:spacing w:line="360" w:lineRule="auto"/>
        <w:jc w:val="both"/>
        <w:rPr>
          <w:rFonts w:ascii="Arial" w:hAnsi="Arial" w:cs="Arial"/>
        </w:rPr>
      </w:pPr>
      <w:r>
        <w:rPr>
          <w:rFonts w:ascii="Arial" w:hAnsi="Arial" w:cs="Arial"/>
        </w:rPr>
        <w:t>[11</w:t>
      </w:r>
      <w:r w:rsidRPr="003F4846">
        <w:rPr>
          <w:rFonts w:ascii="Arial" w:hAnsi="Arial" w:cs="Arial"/>
        </w:rPr>
        <w:t>]</w:t>
      </w:r>
      <w:r w:rsidRPr="003F4846">
        <w:rPr>
          <w:rFonts w:ascii="Arial" w:hAnsi="Arial" w:cs="Arial"/>
        </w:rPr>
        <w:tab/>
        <w:t>Ms Arendse instead sought the hearing to be postponed by seeking the respondents’ representative’s consent thereto.</w:t>
      </w:r>
      <w:r>
        <w:rPr>
          <w:rFonts w:ascii="Arial" w:hAnsi="Arial" w:cs="Arial"/>
        </w:rPr>
        <w:t xml:space="preserve"> </w:t>
      </w:r>
      <w:r w:rsidRPr="003F4846">
        <w:rPr>
          <w:rFonts w:ascii="Arial" w:hAnsi="Arial" w:cs="Arial"/>
        </w:rPr>
        <w:t xml:space="preserve">The parties agreed amongst themselves to postpone the hearing to 22 March 2016. This date appears not to have suited the arbitrator and the </w:t>
      </w:r>
      <w:r w:rsidR="00D40768">
        <w:rPr>
          <w:rFonts w:ascii="Arial" w:hAnsi="Arial" w:cs="Arial"/>
        </w:rPr>
        <w:t>subsequent</w:t>
      </w:r>
      <w:r w:rsidRPr="003F4846">
        <w:rPr>
          <w:rFonts w:ascii="Arial" w:hAnsi="Arial" w:cs="Arial"/>
        </w:rPr>
        <w:t xml:space="preserve"> date appears not to have suited the respondents. In the face of this dilemma, the </w:t>
      </w:r>
      <w:r>
        <w:rPr>
          <w:rFonts w:ascii="Arial" w:hAnsi="Arial" w:cs="Arial"/>
        </w:rPr>
        <w:t>respondents’ representative</w:t>
      </w:r>
      <w:r w:rsidRPr="003F4846">
        <w:rPr>
          <w:rFonts w:ascii="Arial" w:hAnsi="Arial" w:cs="Arial"/>
        </w:rPr>
        <w:t xml:space="preserve"> reneged on the initial agreement with </w:t>
      </w:r>
      <w:r>
        <w:rPr>
          <w:rFonts w:ascii="Arial" w:hAnsi="Arial" w:cs="Arial"/>
        </w:rPr>
        <w:t>appellant</w:t>
      </w:r>
      <w:r w:rsidRPr="003F4846">
        <w:rPr>
          <w:rFonts w:ascii="Arial" w:hAnsi="Arial" w:cs="Arial"/>
        </w:rPr>
        <w:t xml:space="preserve"> to have the matter postponed to 22 March 2016.  </w:t>
      </w:r>
    </w:p>
    <w:p w:rsidR="003F4846" w:rsidRPr="003F4846" w:rsidRDefault="003F4846" w:rsidP="003F4846">
      <w:pPr>
        <w:tabs>
          <w:tab w:val="left" w:pos="567"/>
        </w:tabs>
        <w:spacing w:line="360" w:lineRule="auto"/>
        <w:jc w:val="both"/>
        <w:rPr>
          <w:rFonts w:ascii="Arial" w:hAnsi="Arial" w:cs="Arial"/>
        </w:rPr>
      </w:pPr>
    </w:p>
    <w:p w:rsidR="003F4846" w:rsidRDefault="003F4846" w:rsidP="003F4846">
      <w:pPr>
        <w:tabs>
          <w:tab w:val="left" w:pos="567"/>
        </w:tabs>
        <w:spacing w:line="360" w:lineRule="auto"/>
        <w:jc w:val="both"/>
        <w:rPr>
          <w:rFonts w:ascii="Arial" w:hAnsi="Arial" w:cs="Arial"/>
        </w:rPr>
      </w:pPr>
      <w:r w:rsidRPr="003F4846">
        <w:rPr>
          <w:rFonts w:ascii="Arial" w:hAnsi="Arial" w:cs="Arial"/>
        </w:rPr>
        <w:t>[1</w:t>
      </w:r>
      <w:r>
        <w:rPr>
          <w:rFonts w:ascii="Arial" w:hAnsi="Arial" w:cs="Arial"/>
        </w:rPr>
        <w:t>2</w:t>
      </w:r>
      <w:r w:rsidRPr="003F4846">
        <w:rPr>
          <w:rFonts w:ascii="Arial" w:hAnsi="Arial" w:cs="Arial"/>
        </w:rPr>
        <w:t>]</w:t>
      </w:r>
      <w:r w:rsidRPr="003F4846">
        <w:rPr>
          <w:rFonts w:ascii="Arial" w:hAnsi="Arial" w:cs="Arial"/>
        </w:rPr>
        <w:tab/>
        <w:t>Despite a written communication by Ms Arendse to the arbi</w:t>
      </w:r>
      <w:r w:rsidR="00D40768">
        <w:rPr>
          <w:rFonts w:ascii="Arial" w:hAnsi="Arial" w:cs="Arial"/>
        </w:rPr>
        <w:t xml:space="preserve">trator confirming the agreement reached </w:t>
      </w:r>
      <w:r w:rsidRPr="003F4846">
        <w:rPr>
          <w:rFonts w:ascii="Arial" w:hAnsi="Arial" w:cs="Arial"/>
        </w:rPr>
        <w:t xml:space="preserve">between the parties, the </w:t>
      </w:r>
      <w:r>
        <w:rPr>
          <w:rFonts w:ascii="Arial" w:hAnsi="Arial" w:cs="Arial"/>
        </w:rPr>
        <w:t>respondents’</w:t>
      </w:r>
      <w:r w:rsidRPr="003F4846">
        <w:rPr>
          <w:rFonts w:ascii="Arial" w:hAnsi="Arial" w:cs="Arial"/>
        </w:rPr>
        <w:t xml:space="preserve"> represe</w:t>
      </w:r>
      <w:r w:rsidR="00363A32">
        <w:rPr>
          <w:rFonts w:ascii="Arial" w:hAnsi="Arial" w:cs="Arial"/>
        </w:rPr>
        <w:t xml:space="preserve">ntative maintained that there was </w:t>
      </w:r>
      <w:r w:rsidRPr="003F4846">
        <w:rPr>
          <w:rFonts w:ascii="Arial" w:hAnsi="Arial" w:cs="Arial"/>
        </w:rPr>
        <w:t>no agreement to postpone the hearing by transmitting a letter to the arbitrator to that effect.</w:t>
      </w:r>
    </w:p>
    <w:p w:rsidR="003F4846" w:rsidRPr="003F4846" w:rsidRDefault="003F4846" w:rsidP="003F4846">
      <w:pPr>
        <w:tabs>
          <w:tab w:val="left" w:pos="567"/>
        </w:tabs>
        <w:spacing w:line="360" w:lineRule="auto"/>
        <w:jc w:val="both"/>
        <w:rPr>
          <w:rFonts w:ascii="Arial" w:hAnsi="Arial" w:cs="Arial"/>
        </w:rPr>
      </w:pPr>
    </w:p>
    <w:p w:rsidR="003F4846" w:rsidRPr="003F4846" w:rsidRDefault="003F4846" w:rsidP="003F4846">
      <w:pPr>
        <w:tabs>
          <w:tab w:val="left" w:pos="567"/>
        </w:tabs>
        <w:spacing w:line="360" w:lineRule="auto"/>
        <w:jc w:val="both"/>
        <w:rPr>
          <w:rFonts w:ascii="Arial" w:hAnsi="Arial" w:cs="Arial"/>
        </w:rPr>
      </w:pPr>
      <w:r w:rsidRPr="003F4846">
        <w:rPr>
          <w:rFonts w:ascii="Arial" w:hAnsi="Arial" w:cs="Arial"/>
        </w:rPr>
        <w:t>[1</w:t>
      </w:r>
      <w:r>
        <w:rPr>
          <w:rFonts w:ascii="Arial" w:hAnsi="Arial" w:cs="Arial"/>
        </w:rPr>
        <w:t>3</w:t>
      </w:r>
      <w:r w:rsidRPr="003F4846">
        <w:rPr>
          <w:rFonts w:ascii="Arial" w:hAnsi="Arial" w:cs="Arial"/>
        </w:rPr>
        <w:t>]</w:t>
      </w:r>
      <w:r w:rsidRPr="003F4846">
        <w:rPr>
          <w:rFonts w:ascii="Arial" w:hAnsi="Arial" w:cs="Arial"/>
        </w:rPr>
        <w:tab/>
      </w:r>
      <w:r>
        <w:rPr>
          <w:rFonts w:ascii="Arial" w:hAnsi="Arial" w:cs="Arial"/>
        </w:rPr>
        <w:t xml:space="preserve">On </w:t>
      </w:r>
      <w:r w:rsidRPr="003F4846">
        <w:rPr>
          <w:rFonts w:ascii="Arial" w:hAnsi="Arial" w:cs="Arial"/>
        </w:rPr>
        <w:t>15 March 2016, t</w:t>
      </w:r>
      <w:r>
        <w:rPr>
          <w:rFonts w:ascii="Arial" w:hAnsi="Arial" w:cs="Arial"/>
        </w:rPr>
        <w:t>he matter proceeded in the absence of the appellant.</w:t>
      </w:r>
      <w:r w:rsidRPr="003F4846">
        <w:rPr>
          <w:rFonts w:ascii="Arial" w:hAnsi="Arial" w:cs="Arial"/>
        </w:rPr>
        <w:t xml:space="preserve"> The re</w:t>
      </w:r>
      <w:r w:rsidR="00D40768">
        <w:rPr>
          <w:rFonts w:ascii="Arial" w:hAnsi="Arial" w:cs="Arial"/>
        </w:rPr>
        <w:t>cord shows that of the 47 other</w:t>
      </w:r>
      <w:r w:rsidRPr="003F4846">
        <w:rPr>
          <w:rFonts w:ascii="Arial" w:hAnsi="Arial" w:cs="Arial"/>
        </w:rPr>
        <w:t xml:space="preserve"> </w:t>
      </w:r>
      <w:r>
        <w:rPr>
          <w:rFonts w:ascii="Arial" w:hAnsi="Arial" w:cs="Arial"/>
        </w:rPr>
        <w:t xml:space="preserve">respondents </w:t>
      </w:r>
      <w:r w:rsidRPr="003F4846">
        <w:rPr>
          <w:rFonts w:ascii="Arial" w:hAnsi="Arial" w:cs="Arial"/>
        </w:rPr>
        <w:t>who were initially party to the dispute, only 19 attended the arbitration hearing.</w:t>
      </w:r>
    </w:p>
    <w:p w:rsidR="00822510" w:rsidRDefault="003F4846" w:rsidP="00BF0D83">
      <w:pPr>
        <w:tabs>
          <w:tab w:val="left" w:pos="567"/>
        </w:tabs>
        <w:spacing w:line="360" w:lineRule="auto"/>
        <w:jc w:val="both"/>
        <w:rPr>
          <w:rFonts w:ascii="Arial" w:hAnsi="Arial" w:cs="Arial"/>
        </w:rPr>
      </w:pPr>
      <w:r>
        <w:rPr>
          <w:rFonts w:ascii="Arial" w:hAnsi="Arial" w:cs="Arial"/>
        </w:rPr>
        <w:t xml:space="preserve"> </w:t>
      </w:r>
    </w:p>
    <w:p w:rsidR="003F4846" w:rsidRPr="003F4846" w:rsidRDefault="003F4846" w:rsidP="00BF0D83">
      <w:pPr>
        <w:tabs>
          <w:tab w:val="left" w:pos="567"/>
        </w:tabs>
        <w:spacing w:line="360" w:lineRule="auto"/>
        <w:jc w:val="both"/>
        <w:rPr>
          <w:rFonts w:ascii="Arial" w:hAnsi="Arial" w:cs="Arial"/>
          <w:i/>
          <w:u w:val="single"/>
        </w:rPr>
      </w:pPr>
      <w:r w:rsidRPr="003F4846">
        <w:rPr>
          <w:rFonts w:ascii="Arial" w:hAnsi="Arial" w:cs="Arial"/>
          <w:i/>
          <w:u w:val="single"/>
        </w:rPr>
        <w:t>Appellant’s Appeal</w:t>
      </w:r>
    </w:p>
    <w:p w:rsidR="003F4846" w:rsidRDefault="003F4846" w:rsidP="00BF0D83">
      <w:pPr>
        <w:tabs>
          <w:tab w:val="left" w:pos="567"/>
        </w:tabs>
        <w:spacing w:line="360" w:lineRule="auto"/>
        <w:jc w:val="both"/>
        <w:rPr>
          <w:rFonts w:ascii="Arial" w:hAnsi="Arial" w:cs="Arial"/>
        </w:rPr>
      </w:pPr>
    </w:p>
    <w:p w:rsidR="00AE6E84" w:rsidRDefault="003F4846" w:rsidP="00BF0D83">
      <w:pPr>
        <w:tabs>
          <w:tab w:val="left" w:pos="567"/>
        </w:tabs>
        <w:spacing w:line="360" w:lineRule="auto"/>
        <w:jc w:val="both"/>
        <w:rPr>
          <w:rFonts w:ascii="Arial" w:hAnsi="Arial" w:cs="Arial"/>
        </w:rPr>
      </w:pPr>
      <w:r>
        <w:rPr>
          <w:rFonts w:ascii="Arial" w:hAnsi="Arial" w:cs="Arial"/>
        </w:rPr>
        <w:t>[14</w:t>
      </w:r>
      <w:r w:rsidR="00AE6E84">
        <w:rPr>
          <w:rFonts w:ascii="Arial" w:hAnsi="Arial" w:cs="Arial"/>
        </w:rPr>
        <w:t xml:space="preserve">] </w:t>
      </w:r>
      <w:r w:rsidR="00822510">
        <w:rPr>
          <w:rFonts w:ascii="Arial" w:hAnsi="Arial" w:cs="Arial"/>
        </w:rPr>
        <w:t>T</w:t>
      </w:r>
      <w:r w:rsidR="00AE6E84">
        <w:rPr>
          <w:rFonts w:ascii="Arial" w:hAnsi="Arial" w:cs="Arial"/>
        </w:rPr>
        <w:t>he preliminary points raised by the appellant</w:t>
      </w:r>
      <w:r w:rsidR="00822510">
        <w:rPr>
          <w:rFonts w:ascii="Arial" w:hAnsi="Arial" w:cs="Arial"/>
        </w:rPr>
        <w:t xml:space="preserve"> are essentially issue</w:t>
      </w:r>
      <w:r>
        <w:rPr>
          <w:rFonts w:ascii="Arial" w:hAnsi="Arial" w:cs="Arial"/>
        </w:rPr>
        <w:t>s</w:t>
      </w:r>
      <w:r w:rsidR="00822510">
        <w:rPr>
          <w:rFonts w:ascii="Arial" w:hAnsi="Arial" w:cs="Arial"/>
        </w:rPr>
        <w:t xml:space="preserve"> of law and are based on alleged non-compliance with the rules. These are dealt herein as submitted in argument by the appellant.</w:t>
      </w:r>
    </w:p>
    <w:p w:rsidR="0044030D" w:rsidRDefault="0044030D" w:rsidP="00BF0D83">
      <w:pPr>
        <w:tabs>
          <w:tab w:val="left" w:pos="567"/>
        </w:tabs>
        <w:spacing w:line="360" w:lineRule="auto"/>
        <w:jc w:val="both"/>
        <w:rPr>
          <w:rFonts w:ascii="Arial" w:hAnsi="Arial" w:cs="Arial"/>
        </w:rPr>
      </w:pPr>
    </w:p>
    <w:p w:rsidR="00641DC3" w:rsidRDefault="00641DC3" w:rsidP="00BF0D83">
      <w:pPr>
        <w:tabs>
          <w:tab w:val="left" w:pos="567"/>
        </w:tabs>
        <w:jc w:val="both"/>
        <w:rPr>
          <w:rFonts w:ascii="Arial" w:hAnsi="Arial" w:cs="Arial"/>
        </w:rPr>
      </w:pPr>
    </w:p>
    <w:p w:rsidR="00641DC3" w:rsidRPr="000E7AC9" w:rsidRDefault="005271D8" w:rsidP="00BF0D83">
      <w:pPr>
        <w:tabs>
          <w:tab w:val="left" w:pos="567"/>
        </w:tabs>
        <w:jc w:val="both"/>
        <w:rPr>
          <w:rFonts w:ascii="Arial" w:hAnsi="Arial" w:cs="Arial"/>
          <w:i/>
          <w:u w:val="single"/>
        </w:rPr>
      </w:pPr>
      <w:r>
        <w:rPr>
          <w:rFonts w:ascii="Arial" w:hAnsi="Arial" w:cs="Arial"/>
          <w:i/>
        </w:rPr>
        <w:tab/>
      </w:r>
      <w:r w:rsidR="00841D67" w:rsidRPr="000E7AC9">
        <w:rPr>
          <w:rFonts w:ascii="Arial" w:hAnsi="Arial" w:cs="Arial"/>
          <w:i/>
          <w:u w:val="single"/>
        </w:rPr>
        <w:t xml:space="preserve">First point </w:t>
      </w:r>
      <w:r w:rsidR="00E735A9" w:rsidRPr="000E7AC9">
        <w:rPr>
          <w:rFonts w:ascii="Arial" w:hAnsi="Arial" w:cs="Arial"/>
          <w:i/>
          <w:u w:val="single"/>
        </w:rPr>
        <w:t xml:space="preserve">in </w:t>
      </w:r>
      <w:r w:rsidR="00841D67" w:rsidRPr="000E7AC9">
        <w:rPr>
          <w:rFonts w:ascii="Arial" w:hAnsi="Arial" w:cs="Arial"/>
          <w:i/>
          <w:u w:val="single"/>
        </w:rPr>
        <w:t>limine –</w:t>
      </w:r>
      <w:r w:rsidR="000E7AC9" w:rsidRPr="000E7AC9">
        <w:rPr>
          <w:rFonts w:ascii="Arial" w:hAnsi="Arial" w:cs="Arial"/>
          <w:i/>
          <w:u w:val="single"/>
        </w:rPr>
        <w:t xml:space="preserve"> </w:t>
      </w:r>
      <w:r w:rsidR="00841D67" w:rsidRPr="000E7AC9">
        <w:rPr>
          <w:rFonts w:ascii="Arial" w:hAnsi="Arial" w:cs="Arial"/>
          <w:i/>
          <w:u w:val="single"/>
        </w:rPr>
        <w:t xml:space="preserve">the joint referral in compliance </w:t>
      </w:r>
      <w:r w:rsidR="00F53252" w:rsidRPr="000E7AC9">
        <w:rPr>
          <w:rFonts w:ascii="Arial" w:hAnsi="Arial" w:cs="Arial"/>
          <w:i/>
          <w:u w:val="single"/>
        </w:rPr>
        <w:t>with R</w:t>
      </w:r>
      <w:r w:rsidR="00841D67" w:rsidRPr="000E7AC9">
        <w:rPr>
          <w:rFonts w:ascii="Arial" w:hAnsi="Arial" w:cs="Arial"/>
          <w:i/>
          <w:u w:val="single"/>
        </w:rPr>
        <w:t>ule 5</w:t>
      </w:r>
    </w:p>
    <w:p w:rsidR="00841D67" w:rsidRPr="000E7AC9" w:rsidRDefault="00841D67" w:rsidP="00BF0D83">
      <w:pPr>
        <w:tabs>
          <w:tab w:val="left" w:pos="567"/>
        </w:tabs>
        <w:jc w:val="both"/>
        <w:rPr>
          <w:rFonts w:ascii="Arial" w:hAnsi="Arial" w:cs="Arial"/>
          <w:u w:val="single"/>
        </w:rPr>
      </w:pPr>
    </w:p>
    <w:p w:rsidR="00841D67" w:rsidRDefault="00F53252" w:rsidP="00BF0D83">
      <w:pPr>
        <w:tabs>
          <w:tab w:val="left" w:pos="567"/>
        </w:tabs>
        <w:spacing w:line="360" w:lineRule="auto"/>
        <w:jc w:val="both"/>
        <w:rPr>
          <w:rFonts w:ascii="Arial" w:hAnsi="Arial" w:cs="Arial"/>
          <w:lang w:val="en-ZW"/>
        </w:rPr>
      </w:pPr>
      <w:r>
        <w:rPr>
          <w:rFonts w:ascii="Arial" w:hAnsi="Arial" w:cs="Arial"/>
        </w:rPr>
        <w:t>[</w:t>
      </w:r>
      <w:r w:rsidR="003F4846">
        <w:rPr>
          <w:rFonts w:ascii="Arial" w:hAnsi="Arial" w:cs="Arial"/>
        </w:rPr>
        <w:t>15</w:t>
      </w:r>
      <w:r>
        <w:rPr>
          <w:rFonts w:ascii="Arial" w:hAnsi="Arial" w:cs="Arial"/>
        </w:rPr>
        <w:t>]</w:t>
      </w:r>
      <w:r>
        <w:rPr>
          <w:rFonts w:ascii="Arial" w:hAnsi="Arial" w:cs="Arial"/>
        </w:rPr>
        <w:tab/>
      </w:r>
      <w:r w:rsidR="000346D6">
        <w:rPr>
          <w:rFonts w:ascii="Arial" w:hAnsi="Arial" w:cs="Arial"/>
        </w:rPr>
        <w:t>Appellant</w:t>
      </w:r>
      <w:r w:rsidR="00AE6E84">
        <w:rPr>
          <w:rFonts w:ascii="Arial" w:hAnsi="Arial" w:cs="Arial"/>
        </w:rPr>
        <w:t xml:space="preserve"> </w:t>
      </w:r>
      <w:r>
        <w:rPr>
          <w:rFonts w:ascii="Arial" w:hAnsi="Arial" w:cs="Arial"/>
        </w:rPr>
        <w:t xml:space="preserve">submitted that the respondent’s referral documents did not comply with Rules 5, 11 and 14 and as a result of the respondents’ non-compliance with the aforementioned rules, there had been no proper referral of the dispute to the </w:t>
      </w:r>
      <w:r w:rsidR="00D236F1">
        <w:rPr>
          <w:rFonts w:ascii="Arial" w:hAnsi="Arial" w:cs="Arial"/>
        </w:rPr>
        <w:t xml:space="preserve">Labour Commissioner.  The latter was therefore precluded to </w:t>
      </w:r>
      <w:r w:rsidR="00D236F1" w:rsidRPr="00D236F1">
        <w:rPr>
          <w:rFonts w:ascii="Arial" w:hAnsi="Arial" w:cs="Arial"/>
          <w:lang w:val="en-ZW"/>
        </w:rPr>
        <w:t>act in terms of the enabling rules</w:t>
      </w:r>
      <w:r w:rsidR="00D236F1">
        <w:rPr>
          <w:rFonts w:ascii="Arial" w:hAnsi="Arial" w:cs="Arial"/>
          <w:lang w:val="en-ZW"/>
        </w:rPr>
        <w:t xml:space="preserve"> rendering the ensuing</w:t>
      </w:r>
      <w:r w:rsidR="003F4846">
        <w:rPr>
          <w:rFonts w:ascii="Arial" w:hAnsi="Arial" w:cs="Arial"/>
          <w:lang w:val="en-ZW"/>
        </w:rPr>
        <w:t xml:space="preserve"> proceedings and the award </w:t>
      </w:r>
      <w:r w:rsidR="00D236F1" w:rsidRPr="00D236F1">
        <w:rPr>
          <w:rFonts w:ascii="Arial" w:hAnsi="Arial" w:cs="Arial"/>
          <w:lang w:val="en-ZW"/>
        </w:rPr>
        <w:t xml:space="preserve">a nullity.  </w:t>
      </w:r>
    </w:p>
    <w:p w:rsidR="003F4846" w:rsidRDefault="003F4846" w:rsidP="00BF0D83">
      <w:pPr>
        <w:tabs>
          <w:tab w:val="left" w:pos="567"/>
        </w:tabs>
        <w:spacing w:line="360" w:lineRule="auto"/>
        <w:jc w:val="both"/>
        <w:rPr>
          <w:rFonts w:ascii="Arial" w:hAnsi="Arial" w:cs="Arial"/>
        </w:rPr>
      </w:pPr>
    </w:p>
    <w:p w:rsidR="00A84F17" w:rsidRDefault="007B2128" w:rsidP="00BF0D83">
      <w:pPr>
        <w:tabs>
          <w:tab w:val="left" w:pos="567"/>
        </w:tabs>
        <w:spacing w:line="360" w:lineRule="auto"/>
        <w:jc w:val="both"/>
        <w:rPr>
          <w:rFonts w:ascii="Arial" w:hAnsi="Arial" w:cs="Arial"/>
        </w:rPr>
      </w:pPr>
      <w:r>
        <w:rPr>
          <w:rFonts w:ascii="Arial" w:hAnsi="Arial" w:cs="Arial"/>
        </w:rPr>
        <w:t>[16</w:t>
      </w:r>
      <w:r w:rsidR="00F53252">
        <w:rPr>
          <w:rFonts w:ascii="Arial" w:hAnsi="Arial" w:cs="Arial"/>
        </w:rPr>
        <w:t>]</w:t>
      </w:r>
      <w:r w:rsidR="00F53252">
        <w:rPr>
          <w:rFonts w:ascii="Arial" w:hAnsi="Arial" w:cs="Arial"/>
        </w:rPr>
        <w:tab/>
        <w:t>In support of th</w:t>
      </w:r>
      <w:r w:rsidR="00A84F17">
        <w:rPr>
          <w:rFonts w:ascii="Arial" w:hAnsi="Arial" w:cs="Arial"/>
        </w:rPr>
        <w:t xml:space="preserve">is proposition, </w:t>
      </w:r>
      <w:r w:rsidR="006D128A">
        <w:rPr>
          <w:rFonts w:ascii="Arial" w:hAnsi="Arial" w:cs="Arial"/>
        </w:rPr>
        <w:t>a</w:t>
      </w:r>
      <w:r w:rsidR="000346D6">
        <w:rPr>
          <w:rFonts w:ascii="Arial" w:hAnsi="Arial" w:cs="Arial"/>
        </w:rPr>
        <w:t>ppellant</w:t>
      </w:r>
      <w:r w:rsidR="00A84F17">
        <w:rPr>
          <w:rFonts w:ascii="Arial" w:hAnsi="Arial" w:cs="Arial"/>
        </w:rPr>
        <w:t xml:space="preserve"> placed extensive reliance on </w:t>
      </w:r>
      <w:r w:rsidR="00A84F17" w:rsidRPr="00A84F17">
        <w:rPr>
          <w:rFonts w:ascii="Arial" w:hAnsi="Arial" w:cs="Arial"/>
          <w:i/>
        </w:rPr>
        <w:t xml:space="preserve">Waterberg Wilderness Lodge v Menesia Uses and 27 </w:t>
      </w:r>
      <w:r w:rsidR="005D55C3" w:rsidRPr="00A84F17">
        <w:rPr>
          <w:rFonts w:ascii="Arial" w:hAnsi="Arial" w:cs="Arial"/>
          <w:i/>
        </w:rPr>
        <w:t>others</w:t>
      </w:r>
      <w:r w:rsidR="00A84F17" w:rsidRPr="00A84F17">
        <w:rPr>
          <w:rFonts w:ascii="Arial" w:hAnsi="Arial" w:cs="Arial"/>
          <w:i/>
          <w:vertAlign w:val="superscript"/>
        </w:rPr>
        <w:footnoteReference w:id="2"/>
      </w:r>
      <w:r w:rsidR="00A84F17">
        <w:rPr>
          <w:rFonts w:ascii="Arial" w:hAnsi="Arial" w:cs="Arial"/>
        </w:rPr>
        <w:t xml:space="preserve"> </w:t>
      </w:r>
      <w:r w:rsidR="005D55C3">
        <w:rPr>
          <w:rFonts w:ascii="Arial" w:hAnsi="Arial" w:cs="Arial"/>
        </w:rPr>
        <w:t>w</w:t>
      </w:r>
      <w:r w:rsidR="00E735A9">
        <w:rPr>
          <w:rFonts w:ascii="Arial" w:hAnsi="Arial" w:cs="Arial"/>
        </w:rPr>
        <w:t>h</w:t>
      </w:r>
      <w:r w:rsidR="005D55C3">
        <w:rPr>
          <w:rFonts w:ascii="Arial" w:hAnsi="Arial" w:cs="Arial"/>
        </w:rPr>
        <w:t>ere</w:t>
      </w:r>
      <w:r w:rsidR="00D40768">
        <w:rPr>
          <w:rFonts w:ascii="Arial" w:hAnsi="Arial" w:cs="Arial"/>
        </w:rPr>
        <w:t xml:space="preserve">in </w:t>
      </w:r>
      <w:r w:rsidR="00A84F17">
        <w:rPr>
          <w:rFonts w:ascii="Arial" w:hAnsi="Arial" w:cs="Arial"/>
        </w:rPr>
        <w:t>it is stated that:</w:t>
      </w:r>
    </w:p>
    <w:p w:rsidR="00E735A9" w:rsidRDefault="00E735A9" w:rsidP="00BF0D83">
      <w:pPr>
        <w:tabs>
          <w:tab w:val="left" w:pos="567"/>
        </w:tabs>
        <w:spacing w:line="360" w:lineRule="auto"/>
        <w:jc w:val="both"/>
        <w:rPr>
          <w:rFonts w:ascii="Arial" w:hAnsi="Arial" w:cs="Arial"/>
        </w:rPr>
      </w:pPr>
    </w:p>
    <w:p w:rsidR="00CF767E" w:rsidRPr="00C96D0F" w:rsidRDefault="00294D2E" w:rsidP="0087350C">
      <w:pPr>
        <w:tabs>
          <w:tab w:val="left" w:pos="567"/>
        </w:tabs>
        <w:spacing w:line="360" w:lineRule="auto"/>
        <w:ind w:left="1440" w:hanging="1440"/>
        <w:jc w:val="both"/>
        <w:rPr>
          <w:rFonts w:ascii="Arial" w:hAnsi="Arial" w:cs="Arial"/>
          <w:sz w:val="22"/>
          <w:szCs w:val="22"/>
          <w:lang w:val="en-ZW"/>
        </w:rPr>
      </w:pPr>
      <w:r>
        <w:rPr>
          <w:rFonts w:ascii="Arial" w:hAnsi="Arial" w:cs="Arial"/>
        </w:rPr>
        <w:tab/>
      </w:r>
      <w:r w:rsidR="00D94FE7">
        <w:rPr>
          <w:rFonts w:ascii="Arial" w:hAnsi="Arial" w:cs="Arial"/>
        </w:rPr>
        <w:tab/>
      </w:r>
      <w:r w:rsidR="00D94FE7" w:rsidRPr="00C96D0F">
        <w:rPr>
          <w:rFonts w:ascii="Arial" w:hAnsi="Arial" w:cs="Arial"/>
          <w:sz w:val="22"/>
          <w:szCs w:val="22"/>
        </w:rPr>
        <w:t>“</w:t>
      </w:r>
      <w:r w:rsidR="00CF767E" w:rsidRPr="00C96D0F">
        <w:rPr>
          <w:rFonts w:ascii="Arial" w:hAnsi="Arial" w:cs="Arial"/>
          <w:sz w:val="22"/>
          <w:szCs w:val="22"/>
          <w:lang w:val="en-ZW"/>
        </w:rPr>
        <w:t>[10]</w:t>
      </w:r>
      <w:r w:rsidR="00CF767E" w:rsidRPr="00C96D0F">
        <w:rPr>
          <w:rFonts w:ascii="Arial" w:hAnsi="Arial" w:cs="Arial"/>
          <w:sz w:val="22"/>
          <w:szCs w:val="22"/>
          <w:lang w:val="en-ZW"/>
        </w:rPr>
        <w:tab/>
        <w:t xml:space="preserve">Rule 14(1)(b) of the RCCA states that  a party that wishes to refer a dispute to the Labour Commissioner for arbitration must do so by delivering </w:t>
      </w:r>
      <w:r w:rsidR="0087350C" w:rsidRPr="00C96D0F">
        <w:rPr>
          <w:rFonts w:ascii="Arial" w:hAnsi="Arial" w:cs="Arial"/>
          <w:sz w:val="22"/>
          <w:szCs w:val="22"/>
          <w:lang w:val="en-ZW"/>
        </w:rPr>
        <w:t xml:space="preserve">a </w:t>
      </w:r>
      <w:r w:rsidR="00D94FE7" w:rsidRPr="00C96D0F">
        <w:rPr>
          <w:rFonts w:ascii="Arial" w:hAnsi="Arial" w:cs="Arial"/>
          <w:sz w:val="22"/>
          <w:szCs w:val="22"/>
          <w:lang w:val="en-ZW"/>
        </w:rPr>
        <w:t>c</w:t>
      </w:r>
      <w:r w:rsidR="00CF767E" w:rsidRPr="00C96D0F">
        <w:rPr>
          <w:rFonts w:ascii="Arial" w:hAnsi="Arial" w:cs="Arial"/>
          <w:sz w:val="22"/>
          <w:szCs w:val="22"/>
          <w:lang w:val="en-ZW"/>
        </w:rPr>
        <w:t>ompleted Form LC 21, which is called “the referral document”.  Rule 14(2)(a) states that the referring party must sign the referral document in accordance with rule 5.  Rule 5, in turn, provides as follows:</w:t>
      </w:r>
    </w:p>
    <w:p w:rsidR="00E735A9" w:rsidRPr="00C96D0F" w:rsidRDefault="00E735A9" w:rsidP="0087350C">
      <w:pPr>
        <w:tabs>
          <w:tab w:val="left" w:pos="567"/>
        </w:tabs>
        <w:spacing w:line="360" w:lineRule="auto"/>
        <w:ind w:left="1440" w:hanging="1440"/>
        <w:jc w:val="both"/>
        <w:rPr>
          <w:rFonts w:ascii="Arial" w:hAnsi="Arial" w:cs="Arial"/>
          <w:sz w:val="22"/>
          <w:szCs w:val="22"/>
          <w:lang w:val="en-ZW"/>
        </w:rPr>
      </w:pPr>
    </w:p>
    <w:p w:rsidR="00CF767E" w:rsidRPr="00C96D0F" w:rsidRDefault="00D94FE7" w:rsidP="00BF0D83">
      <w:pPr>
        <w:tabs>
          <w:tab w:val="left" w:pos="567"/>
        </w:tabs>
        <w:spacing w:line="360" w:lineRule="auto"/>
        <w:jc w:val="both"/>
        <w:rPr>
          <w:rFonts w:ascii="Arial" w:hAnsi="Arial" w:cs="Arial"/>
          <w:b/>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w:t>
      </w:r>
      <w:r w:rsidR="00CF767E" w:rsidRPr="00C96D0F">
        <w:rPr>
          <w:rFonts w:ascii="Arial" w:hAnsi="Arial" w:cs="Arial"/>
          <w:b/>
          <w:sz w:val="22"/>
          <w:szCs w:val="22"/>
          <w:lang w:val="en-ZW"/>
        </w:rPr>
        <w:t>5.</w:t>
      </w:r>
      <w:r w:rsidR="00CF767E" w:rsidRPr="00C96D0F">
        <w:rPr>
          <w:rFonts w:ascii="Arial" w:hAnsi="Arial" w:cs="Arial"/>
          <w:b/>
          <w:sz w:val="22"/>
          <w:szCs w:val="22"/>
          <w:lang w:val="en-ZW"/>
        </w:rPr>
        <w:tab/>
        <w:t>Signing of documents</w:t>
      </w:r>
    </w:p>
    <w:p w:rsidR="00CF767E" w:rsidRPr="00C96D0F" w:rsidRDefault="00D94FE7" w:rsidP="00BF0D83">
      <w:pPr>
        <w:tabs>
          <w:tab w:val="left" w:pos="567"/>
        </w:tabs>
        <w:spacing w:line="360" w:lineRule="auto"/>
        <w:ind w:left="1440" w:hanging="1440"/>
        <w:jc w:val="both"/>
        <w:rPr>
          <w:rFonts w:ascii="Arial" w:hAnsi="Arial" w:cs="Arial"/>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(1)</w:t>
      </w:r>
      <w:r w:rsidR="00CF767E" w:rsidRPr="00C96D0F">
        <w:rPr>
          <w:rFonts w:ascii="Arial" w:hAnsi="Arial" w:cs="Arial"/>
          <w:sz w:val="22"/>
          <w:szCs w:val="22"/>
          <w:lang w:val="en-ZW"/>
        </w:rPr>
        <w:tab/>
        <w:t>A document that a party must sign in terms of the Act or these rules may be signed by the party or by a person entitled in terms of this Act or these rules to represent that party in the proceedings.</w:t>
      </w:r>
    </w:p>
    <w:p w:rsidR="00CF767E" w:rsidRPr="00C96D0F" w:rsidRDefault="00D94FE7" w:rsidP="00BF0D83">
      <w:pPr>
        <w:tabs>
          <w:tab w:val="left" w:pos="567"/>
        </w:tabs>
        <w:spacing w:line="360" w:lineRule="auto"/>
        <w:ind w:left="1440" w:hanging="1440"/>
        <w:jc w:val="both"/>
        <w:rPr>
          <w:rFonts w:ascii="Arial" w:hAnsi="Arial" w:cs="Arial"/>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(2)</w:t>
      </w:r>
      <w:r w:rsidR="00CF767E" w:rsidRPr="00C96D0F">
        <w:rPr>
          <w:rFonts w:ascii="Arial" w:hAnsi="Arial" w:cs="Arial"/>
          <w:sz w:val="22"/>
          <w:szCs w:val="22"/>
          <w:lang w:val="en-ZW"/>
        </w:rPr>
        <w:tab/>
        <w:t>If proceedings are jointly instituted ... by more than one employee, the employees may mandate one of their number to sign documents on their behalf.</w:t>
      </w:r>
    </w:p>
    <w:p w:rsidR="00CF767E" w:rsidRPr="00C96D0F" w:rsidRDefault="00D94FE7" w:rsidP="00BF0D83">
      <w:pPr>
        <w:tabs>
          <w:tab w:val="left" w:pos="567"/>
        </w:tabs>
        <w:spacing w:line="360" w:lineRule="auto"/>
        <w:ind w:left="1440" w:hanging="1440"/>
        <w:jc w:val="both"/>
        <w:rPr>
          <w:rFonts w:ascii="Arial" w:hAnsi="Arial" w:cs="Arial"/>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(3)</w:t>
      </w:r>
      <w:r w:rsidR="00CF767E" w:rsidRPr="00C96D0F">
        <w:rPr>
          <w:rFonts w:ascii="Arial" w:hAnsi="Arial" w:cs="Arial"/>
          <w:sz w:val="22"/>
          <w:szCs w:val="22"/>
          <w:lang w:val="en-ZW"/>
        </w:rPr>
        <w:tab/>
        <w:t xml:space="preserve">A statement authorising the employee referred to in </w:t>
      </w:r>
      <w:r w:rsidR="006D128A" w:rsidRPr="00C96D0F">
        <w:rPr>
          <w:rFonts w:ascii="Arial" w:hAnsi="Arial" w:cs="Arial"/>
          <w:sz w:val="22"/>
          <w:szCs w:val="22"/>
          <w:lang w:val="en-ZW"/>
        </w:rPr>
        <w:t>sub-rule</w:t>
      </w:r>
      <w:r w:rsidR="00CF767E" w:rsidRPr="00C96D0F">
        <w:rPr>
          <w:rFonts w:ascii="Arial" w:hAnsi="Arial" w:cs="Arial"/>
          <w:sz w:val="22"/>
          <w:szCs w:val="22"/>
          <w:lang w:val="en-ZW"/>
        </w:rPr>
        <w:t xml:space="preserve"> (2) to sign documents must be signed by each employee and attached to the referral document ..., together with a legible list of their full names and addresses.”</w:t>
      </w:r>
    </w:p>
    <w:p w:rsidR="00CF767E" w:rsidRPr="00C96D0F" w:rsidRDefault="00CF767E" w:rsidP="00BF0D83">
      <w:pPr>
        <w:tabs>
          <w:tab w:val="left" w:pos="567"/>
        </w:tabs>
        <w:spacing w:line="360" w:lineRule="auto"/>
        <w:jc w:val="both"/>
        <w:rPr>
          <w:rFonts w:ascii="Arial" w:hAnsi="Arial" w:cs="Arial"/>
          <w:sz w:val="22"/>
          <w:szCs w:val="22"/>
          <w:lang w:val="en-ZW"/>
        </w:rPr>
      </w:pPr>
    </w:p>
    <w:p w:rsidR="00CF767E" w:rsidRPr="00C96D0F" w:rsidRDefault="00D94FE7" w:rsidP="00BF0D83">
      <w:pPr>
        <w:tabs>
          <w:tab w:val="left" w:pos="567"/>
        </w:tabs>
        <w:spacing w:line="360" w:lineRule="auto"/>
        <w:ind w:left="1440" w:hanging="1440"/>
        <w:jc w:val="both"/>
        <w:rPr>
          <w:rFonts w:ascii="Arial" w:hAnsi="Arial" w:cs="Arial"/>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[11]</w:t>
      </w:r>
      <w:r w:rsidR="00CF767E" w:rsidRPr="00C96D0F">
        <w:rPr>
          <w:rFonts w:ascii="Arial" w:hAnsi="Arial" w:cs="Arial"/>
          <w:sz w:val="22"/>
          <w:szCs w:val="22"/>
          <w:lang w:val="en-ZW"/>
        </w:rPr>
        <w:tab/>
        <w:t xml:space="preserve">In this case the referral document states that the applicant is “Menesia Uses plus 27 others”.  The other particulars like the physical </w:t>
      </w:r>
      <w:r w:rsidR="00CF767E" w:rsidRPr="00C96D0F">
        <w:rPr>
          <w:rFonts w:ascii="Arial" w:hAnsi="Arial" w:cs="Arial"/>
          <w:sz w:val="22"/>
          <w:szCs w:val="22"/>
          <w:lang w:val="en-ZW"/>
        </w:rPr>
        <w:lastRenderedPageBreak/>
        <w:t xml:space="preserve">and postal address, telephone </w:t>
      </w:r>
      <w:r w:rsidR="0087350C" w:rsidRPr="00C96D0F">
        <w:rPr>
          <w:rFonts w:ascii="Arial" w:hAnsi="Arial" w:cs="Arial"/>
          <w:sz w:val="22"/>
          <w:szCs w:val="22"/>
          <w:lang w:val="en-ZW"/>
        </w:rPr>
        <w:t>[</w:t>
      </w:r>
      <w:r w:rsidR="00CF767E" w:rsidRPr="00C96D0F">
        <w:rPr>
          <w:rFonts w:ascii="Arial" w:hAnsi="Arial" w:cs="Arial"/>
          <w:sz w:val="22"/>
          <w:szCs w:val="22"/>
          <w:lang w:val="en-ZW"/>
        </w:rPr>
        <w:t>en</w:t>
      </w:r>
      <w:r w:rsidR="0087350C" w:rsidRPr="00C96D0F">
        <w:rPr>
          <w:rFonts w:ascii="Arial" w:hAnsi="Arial" w:cs="Arial"/>
          <w:sz w:val="22"/>
          <w:szCs w:val="22"/>
          <w:lang w:val="en-ZW"/>
        </w:rPr>
        <w:t>]</w:t>
      </w:r>
      <w:r w:rsidR="00CF767E" w:rsidRPr="00C96D0F">
        <w:rPr>
          <w:rFonts w:ascii="Arial" w:hAnsi="Arial" w:cs="Arial"/>
          <w:sz w:val="22"/>
          <w:szCs w:val="22"/>
          <w:lang w:val="en-ZW"/>
        </w:rPr>
        <w:t xml:space="preserve"> fax numbers appear to be that of one person, presumably Ms Menesia Uses.  It further states that the nature of the dispute is one of unfair dismissal and unfair labour practice and specifies that a joint complaint is being referred.  The form, which is prescribed by Regulation 20(1) of the Labour General Regulations (Government Notice No. 261 of 31 October 2008), makes provision for signature by the “Representative of the Applicant” (but not for signature by the applicant) and requires that the name of the signatory be printed and signed.  At this place on the form the following is inscribed ‘”Menesia Uses Plus Others” and further on the same line there appears to be a signature, namely “M. Uses”.  </w:t>
      </w:r>
    </w:p>
    <w:p w:rsidR="00CF767E" w:rsidRPr="00C96D0F" w:rsidRDefault="00D94FE7" w:rsidP="00BF0D83">
      <w:pPr>
        <w:tabs>
          <w:tab w:val="left" w:pos="567"/>
        </w:tabs>
        <w:spacing w:line="360" w:lineRule="auto"/>
        <w:ind w:left="1440" w:hanging="1440"/>
        <w:jc w:val="both"/>
        <w:rPr>
          <w:rFonts w:ascii="Arial" w:hAnsi="Arial" w:cs="Arial"/>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 xml:space="preserve"> [11]</w:t>
      </w:r>
      <w:r w:rsidR="00CF767E" w:rsidRPr="00C96D0F">
        <w:rPr>
          <w:rFonts w:ascii="Arial" w:hAnsi="Arial" w:cs="Arial"/>
          <w:sz w:val="22"/>
          <w:szCs w:val="22"/>
          <w:lang w:val="en-ZW"/>
        </w:rPr>
        <w:tab/>
        <w:t>Attached to Form 21 is a summary of the dispute under the heading “MENESIA USES PLUS 27 OTHERS”.  The summary clearly indicates that the intention is to institute joint proceedings.  Attached to the summary is a handwritten list with the heading “COMPLAINANTS NAMES AND NUMBERS”.  The 27 names on the list are written out in full, except for some second names which are only indicated by an initial, but they do not appear to be signatures.  In fact, it is clear from the handwriting that the same person wrote several of the names.  The numbers listed are telephone numbers.</w:t>
      </w:r>
    </w:p>
    <w:p w:rsidR="00CF767E" w:rsidRPr="00C96D0F" w:rsidRDefault="00D94FE7" w:rsidP="00BF0D83">
      <w:pPr>
        <w:tabs>
          <w:tab w:val="left" w:pos="567"/>
        </w:tabs>
        <w:spacing w:line="360" w:lineRule="auto"/>
        <w:ind w:left="1440" w:hanging="1440"/>
        <w:jc w:val="both"/>
        <w:rPr>
          <w:rFonts w:ascii="Arial" w:hAnsi="Arial" w:cs="Arial"/>
          <w:sz w:val="22"/>
          <w:szCs w:val="22"/>
          <w:lang w:val="en-ZW"/>
        </w:rPr>
      </w:pPr>
      <w:r w:rsidRPr="00C96D0F">
        <w:rPr>
          <w:rFonts w:ascii="Arial" w:hAnsi="Arial" w:cs="Arial"/>
          <w:sz w:val="22"/>
          <w:szCs w:val="22"/>
          <w:lang w:val="en-ZW"/>
        </w:rPr>
        <w:tab/>
      </w:r>
      <w:r w:rsidRPr="00C96D0F">
        <w:rPr>
          <w:rFonts w:ascii="Arial" w:hAnsi="Arial" w:cs="Arial"/>
          <w:sz w:val="22"/>
          <w:szCs w:val="22"/>
          <w:lang w:val="en-ZW"/>
        </w:rPr>
        <w:tab/>
      </w:r>
      <w:r w:rsidR="00CF767E" w:rsidRPr="00C96D0F">
        <w:rPr>
          <w:rFonts w:ascii="Arial" w:hAnsi="Arial" w:cs="Arial"/>
          <w:sz w:val="22"/>
          <w:szCs w:val="22"/>
          <w:lang w:val="en-ZW"/>
        </w:rPr>
        <w:t>[12]</w:t>
      </w:r>
      <w:r w:rsidR="00CF767E" w:rsidRPr="00C96D0F">
        <w:rPr>
          <w:rFonts w:ascii="Arial" w:hAnsi="Arial" w:cs="Arial"/>
          <w:sz w:val="22"/>
          <w:szCs w:val="22"/>
          <w:lang w:val="en-ZW"/>
        </w:rPr>
        <w:tab/>
        <w:t xml:space="preserve">Mr Barnard submitted that none of the respondents signed the referral document.  It is however clear that Ms Uses did sign it.  Her dispute was therefore properly referred.  However, as far as the other respondents are concerned, their dispute was not properly referred, because (i) they did not comply with the provisions of  rule 5(1) by signing Form 21 themselves; or (ii) they did not comply with rule 5(3), in that they did not sign a statement authorising Ms Uses to sign documents on their behalf.  In this case the latter is a crucial requirement, as this statement would, in terms of the </w:t>
      </w:r>
      <w:r w:rsidR="006D128A" w:rsidRPr="00C96D0F">
        <w:rPr>
          <w:rFonts w:ascii="Arial" w:hAnsi="Arial" w:cs="Arial"/>
          <w:sz w:val="22"/>
          <w:szCs w:val="22"/>
          <w:lang w:val="en-ZW"/>
        </w:rPr>
        <w:t>sub-rule</w:t>
      </w:r>
      <w:r w:rsidR="00CF767E" w:rsidRPr="00C96D0F">
        <w:rPr>
          <w:rFonts w:ascii="Arial" w:hAnsi="Arial" w:cs="Arial"/>
          <w:sz w:val="22"/>
          <w:szCs w:val="22"/>
          <w:lang w:val="en-ZW"/>
        </w:rPr>
        <w:t>, complete the mandate given to the first respondent to refer the dispute on their behalf.   Furthermore (and perhaps less importantly), the list attached to the referral document does not specify their addresses, as required by rule 5(3).  In my view these omissions must be rectified first should the 27 other respondents wish to have their dispute referred to arbitration.  Obviously the necessary application for condonation in terms of rule 14(2)(c) for referral out of time would have to accompany the referral document.</w:t>
      </w:r>
      <w:r w:rsidRPr="00C96D0F">
        <w:rPr>
          <w:rFonts w:ascii="Arial" w:hAnsi="Arial" w:cs="Arial"/>
          <w:sz w:val="22"/>
          <w:szCs w:val="22"/>
          <w:lang w:val="en-ZW"/>
        </w:rPr>
        <w:t>”</w:t>
      </w:r>
    </w:p>
    <w:p w:rsidR="00822510" w:rsidRPr="00C96D0F" w:rsidRDefault="00822510" w:rsidP="00BF0D83">
      <w:pPr>
        <w:tabs>
          <w:tab w:val="left" w:pos="567"/>
        </w:tabs>
        <w:spacing w:line="360" w:lineRule="auto"/>
        <w:ind w:left="1440" w:hanging="1440"/>
        <w:jc w:val="both"/>
        <w:rPr>
          <w:rFonts w:ascii="Arial" w:hAnsi="Arial" w:cs="Arial"/>
          <w:sz w:val="22"/>
          <w:szCs w:val="22"/>
          <w:lang w:val="en-ZW"/>
        </w:rPr>
      </w:pPr>
    </w:p>
    <w:p w:rsidR="00F53252" w:rsidRDefault="007B2128" w:rsidP="00BF0D83">
      <w:pPr>
        <w:tabs>
          <w:tab w:val="left" w:pos="567"/>
        </w:tabs>
        <w:spacing w:line="360" w:lineRule="auto"/>
        <w:jc w:val="both"/>
        <w:rPr>
          <w:rFonts w:ascii="Arial" w:hAnsi="Arial" w:cs="Arial"/>
        </w:rPr>
      </w:pPr>
      <w:r>
        <w:rPr>
          <w:rFonts w:ascii="Arial" w:hAnsi="Arial" w:cs="Arial"/>
        </w:rPr>
        <w:lastRenderedPageBreak/>
        <w:t>[17</w:t>
      </w:r>
      <w:r w:rsidR="00D94FE7">
        <w:rPr>
          <w:rFonts w:ascii="Arial" w:hAnsi="Arial" w:cs="Arial"/>
        </w:rPr>
        <w:t>]</w:t>
      </w:r>
      <w:r w:rsidR="00D94FE7">
        <w:rPr>
          <w:rFonts w:ascii="Arial" w:hAnsi="Arial" w:cs="Arial"/>
        </w:rPr>
        <w:tab/>
        <w:t xml:space="preserve">In the </w:t>
      </w:r>
      <w:r w:rsidR="00D94FE7" w:rsidRPr="00D94FE7">
        <w:rPr>
          <w:rFonts w:ascii="Arial" w:hAnsi="Arial" w:cs="Arial"/>
          <w:i/>
        </w:rPr>
        <w:t>Waterberg Wilderness Lodge</w:t>
      </w:r>
      <w:r w:rsidR="00D94FE7">
        <w:rPr>
          <w:rFonts w:ascii="Arial" w:hAnsi="Arial" w:cs="Arial"/>
          <w:i/>
        </w:rPr>
        <w:t xml:space="preserve"> </w:t>
      </w:r>
      <w:r w:rsidR="00D94FE7">
        <w:rPr>
          <w:rFonts w:ascii="Arial" w:hAnsi="Arial" w:cs="Arial"/>
        </w:rPr>
        <w:t>case (supra) Van Niekerk J</w:t>
      </w:r>
      <w:r w:rsidR="00D40768">
        <w:rPr>
          <w:rFonts w:ascii="Arial" w:hAnsi="Arial" w:cs="Arial"/>
        </w:rPr>
        <w:t>,</w:t>
      </w:r>
      <w:r w:rsidR="00D94FE7">
        <w:rPr>
          <w:rFonts w:ascii="Arial" w:hAnsi="Arial" w:cs="Arial"/>
        </w:rPr>
        <w:t xml:space="preserve"> found that only th</w:t>
      </w:r>
      <w:r w:rsidR="0087350C">
        <w:rPr>
          <w:rFonts w:ascii="Arial" w:hAnsi="Arial" w:cs="Arial"/>
        </w:rPr>
        <w:t xml:space="preserve">e dispute of </w:t>
      </w:r>
      <w:r w:rsidR="00D94FE7">
        <w:rPr>
          <w:rFonts w:ascii="Arial" w:hAnsi="Arial" w:cs="Arial"/>
        </w:rPr>
        <w:t>Ms. Uses, who als</w:t>
      </w:r>
      <w:r w:rsidR="00B62BB6">
        <w:rPr>
          <w:rFonts w:ascii="Arial" w:hAnsi="Arial" w:cs="Arial"/>
        </w:rPr>
        <w:t xml:space="preserve">o signed the referral form, had been properly referred. In upholding the appeal, </w:t>
      </w:r>
      <w:r w:rsidR="006D128A">
        <w:rPr>
          <w:rFonts w:ascii="Arial" w:hAnsi="Arial" w:cs="Arial"/>
        </w:rPr>
        <w:t>Justice V</w:t>
      </w:r>
      <w:r w:rsidR="00B62BB6">
        <w:rPr>
          <w:rFonts w:ascii="Arial" w:hAnsi="Arial" w:cs="Arial"/>
        </w:rPr>
        <w:t>an Niekerk, stated as follows:</w:t>
      </w:r>
    </w:p>
    <w:p w:rsidR="00B62BB6" w:rsidRDefault="00B62BB6" w:rsidP="00BF0D83">
      <w:pPr>
        <w:tabs>
          <w:tab w:val="left" w:pos="567"/>
        </w:tabs>
        <w:spacing w:line="360" w:lineRule="auto"/>
        <w:jc w:val="both"/>
        <w:rPr>
          <w:rFonts w:ascii="Arial" w:hAnsi="Arial" w:cs="Arial"/>
        </w:rPr>
      </w:pPr>
    </w:p>
    <w:p w:rsidR="00B62BB6" w:rsidRPr="00C96D0F" w:rsidRDefault="00C96D0F" w:rsidP="00BF0D83">
      <w:pPr>
        <w:tabs>
          <w:tab w:val="left" w:pos="567"/>
        </w:tabs>
        <w:spacing w:line="360" w:lineRule="auto"/>
        <w:ind w:left="1440"/>
        <w:jc w:val="both"/>
        <w:rPr>
          <w:rFonts w:ascii="Arial" w:hAnsi="Arial" w:cs="Arial"/>
          <w:sz w:val="22"/>
          <w:szCs w:val="22"/>
          <w:lang w:val="en-ZW"/>
        </w:rPr>
      </w:pPr>
      <w:r>
        <w:rPr>
          <w:rFonts w:ascii="Arial" w:hAnsi="Arial" w:cs="Arial"/>
          <w:sz w:val="22"/>
          <w:szCs w:val="22"/>
          <w:lang w:val="en-ZW"/>
        </w:rPr>
        <w:t>‘</w:t>
      </w:r>
      <w:r w:rsidR="00B62BB6" w:rsidRPr="00C96D0F">
        <w:rPr>
          <w:rFonts w:ascii="Arial" w:hAnsi="Arial" w:cs="Arial"/>
          <w:sz w:val="22"/>
          <w:szCs w:val="22"/>
          <w:lang w:val="en-ZW"/>
        </w:rPr>
        <w:t xml:space="preserve">Her [Ms. Uses’s] dispute was therefore properly referred.  However, as far as the other respondents are concerned, their dispute was not properly referred, because (i) they did not comply with the provisions of  rule 5(1) by signing Form 21 themselves; or (ii) they did not comply with rule 5(3), in that they did not sign a statement authorising Ms Uses to sign documents on their behalf.  In this case the latter is a crucial requirement, as this statement would, in terms of the </w:t>
      </w:r>
      <w:r w:rsidR="006D128A" w:rsidRPr="00C96D0F">
        <w:rPr>
          <w:rFonts w:ascii="Arial" w:hAnsi="Arial" w:cs="Arial"/>
          <w:sz w:val="22"/>
          <w:szCs w:val="22"/>
          <w:lang w:val="en-ZW"/>
        </w:rPr>
        <w:t>sub-rule</w:t>
      </w:r>
      <w:r w:rsidR="00B62BB6" w:rsidRPr="00C96D0F">
        <w:rPr>
          <w:rFonts w:ascii="Arial" w:hAnsi="Arial" w:cs="Arial"/>
          <w:sz w:val="22"/>
          <w:szCs w:val="22"/>
          <w:lang w:val="en-ZW"/>
        </w:rPr>
        <w:t>, complete the mandate given to the first respondent to refer the dispute on their behalf.   Furthermore (and perhaps less importantly), the list attached to the referral document does not specify their addresses, as required by rule 5(3).  In my view these omissions must be rectified first should the 27 other respondents wish to have their dispute referred to arbitration.  Obviously the necessary application for condonation in terms of rule 14(2)(c) for referral out of time would have to accompany the referral document.</w:t>
      </w:r>
      <w:r>
        <w:rPr>
          <w:rFonts w:ascii="Arial" w:hAnsi="Arial" w:cs="Arial"/>
          <w:sz w:val="22"/>
          <w:szCs w:val="22"/>
          <w:lang w:val="en-ZW"/>
        </w:rPr>
        <w:t>’</w:t>
      </w:r>
    </w:p>
    <w:p w:rsidR="00822510" w:rsidRPr="00A213BA" w:rsidRDefault="00822510" w:rsidP="00BF0D83">
      <w:pPr>
        <w:tabs>
          <w:tab w:val="left" w:pos="567"/>
        </w:tabs>
        <w:spacing w:line="360" w:lineRule="auto"/>
        <w:ind w:left="1440"/>
        <w:jc w:val="both"/>
        <w:rPr>
          <w:rFonts w:ascii="Arial" w:hAnsi="Arial" w:cs="Arial"/>
          <w:lang w:val="en-ZW"/>
        </w:rPr>
      </w:pPr>
    </w:p>
    <w:p w:rsidR="003F4846" w:rsidRDefault="007B2128" w:rsidP="00BF0D83">
      <w:pPr>
        <w:tabs>
          <w:tab w:val="left" w:pos="567"/>
        </w:tabs>
        <w:spacing w:line="360" w:lineRule="auto"/>
        <w:jc w:val="both"/>
        <w:rPr>
          <w:rFonts w:ascii="Arial" w:hAnsi="Arial" w:cs="Arial"/>
          <w:lang w:val="en-ZW"/>
        </w:rPr>
      </w:pPr>
      <w:r>
        <w:rPr>
          <w:rFonts w:ascii="Arial" w:hAnsi="Arial" w:cs="Arial"/>
        </w:rPr>
        <w:t>[18</w:t>
      </w:r>
      <w:r w:rsidR="00B62BB6">
        <w:rPr>
          <w:rFonts w:ascii="Arial" w:hAnsi="Arial" w:cs="Arial"/>
        </w:rPr>
        <w:t>]</w:t>
      </w:r>
      <w:r w:rsidR="00B62BB6">
        <w:rPr>
          <w:rFonts w:ascii="Arial" w:hAnsi="Arial" w:cs="Arial"/>
        </w:rPr>
        <w:tab/>
      </w:r>
      <w:r w:rsidR="00326180">
        <w:rPr>
          <w:rFonts w:ascii="Arial" w:hAnsi="Arial" w:cs="Arial"/>
        </w:rPr>
        <w:t>In terms on r</w:t>
      </w:r>
      <w:r w:rsidR="00B62BB6">
        <w:rPr>
          <w:rFonts w:ascii="Arial" w:hAnsi="Arial" w:cs="Arial"/>
        </w:rPr>
        <w:t>ule 5(1) the referral document, which is Form LC 21</w:t>
      </w:r>
      <w:r w:rsidR="00A213BA">
        <w:rPr>
          <w:rFonts w:ascii="Arial" w:hAnsi="Arial" w:cs="Arial"/>
        </w:rPr>
        <w:t xml:space="preserve"> (‘the referral document”)</w:t>
      </w:r>
      <w:r w:rsidR="00B62BB6">
        <w:rPr>
          <w:rFonts w:ascii="Arial" w:hAnsi="Arial" w:cs="Arial"/>
        </w:rPr>
        <w:t xml:space="preserve">, </w:t>
      </w:r>
      <w:r w:rsidR="00B62BB6" w:rsidRPr="003F4846">
        <w:rPr>
          <w:rFonts w:ascii="Arial" w:hAnsi="Arial" w:cs="Arial"/>
          <w:sz w:val="22"/>
        </w:rPr>
        <w:t>“</w:t>
      </w:r>
      <w:r w:rsidR="00B62BB6" w:rsidRPr="003F4846">
        <w:rPr>
          <w:rFonts w:ascii="Arial" w:hAnsi="Arial" w:cs="Arial"/>
          <w:i/>
          <w:sz w:val="22"/>
          <w:lang w:val="en-ZW"/>
        </w:rPr>
        <w:t xml:space="preserve">may be signed by the party or by a person entitled in terms of this Act or these rules to represent that party in the proceedings.” </w:t>
      </w:r>
      <w:r w:rsidR="00A213BA">
        <w:rPr>
          <w:rFonts w:ascii="Arial" w:hAnsi="Arial" w:cs="Arial"/>
          <w:lang w:val="en-ZW"/>
        </w:rPr>
        <w:t>Ms. Uses clearly falls</w:t>
      </w:r>
      <w:r w:rsidR="003F4846">
        <w:rPr>
          <w:rFonts w:ascii="Arial" w:hAnsi="Arial" w:cs="Arial"/>
          <w:lang w:val="en-ZW"/>
        </w:rPr>
        <w:t xml:space="preserve"> within the first categories of persons</w:t>
      </w:r>
      <w:r w:rsidR="00A213BA">
        <w:rPr>
          <w:rFonts w:ascii="Arial" w:hAnsi="Arial" w:cs="Arial"/>
          <w:lang w:val="en-ZW"/>
        </w:rPr>
        <w:t xml:space="preserve"> contemplated by this sub</w:t>
      </w:r>
      <w:r w:rsidR="006D128A">
        <w:rPr>
          <w:rFonts w:ascii="Arial" w:hAnsi="Arial" w:cs="Arial"/>
          <w:lang w:val="en-ZW"/>
        </w:rPr>
        <w:t>-</w:t>
      </w:r>
      <w:r w:rsidR="00A213BA">
        <w:rPr>
          <w:rFonts w:ascii="Arial" w:hAnsi="Arial" w:cs="Arial"/>
          <w:lang w:val="en-ZW"/>
        </w:rPr>
        <w:t>rule.</w:t>
      </w:r>
      <w:r w:rsidR="003F4846">
        <w:rPr>
          <w:rFonts w:ascii="Arial" w:hAnsi="Arial" w:cs="Arial"/>
          <w:lang w:val="en-ZW"/>
        </w:rPr>
        <w:t xml:space="preserve"> </w:t>
      </w:r>
    </w:p>
    <w:p w:rsidR="003F4846" w:rsidRPr="00A213BA" w:rsidRDefault="003F4846" w:rsidP="00BF0D83">
      <w:pPr>
        <w:tabs>
          <w:tab w:val="left" w:pos="567"/>
        </w:tabs>
        <w:spacing w:line="360" w:lineRule="auto"/>
        <w:jc w:val="both"/>
        <w:rPr>
          <w:rFonts w:ascii="Arial" w:hAnsi="Arial" w:cs="Arial"/>
          <w:lang w:val="en-ZW"/>
        </w:rPr>
      </w:pPr>
    </w:p>
    <w:p w:rsidR="004271A3" w:rsidRDefault="007B2128" w:rsidP="00BF0D83">
      <w:pPr>
        <w:tabs>
          <w:tab w:val="left" w:pos="0"/>
        </w:tabs>
        <w:spacing w:line="360" w:lineRule="auto"/>
        <w:ind w:hanging="1440"/>
        <w:jc w:val="both"/>
        <w:rPr>
          <w:rFonts w:ascii="Arial" w:hAnsi="Arial" w:cs="Arial"/>
        </w:rPr>
      </w:pPr>
      <w:r>
        <w:rPr>
          <w:rFonts w:ascii="Arial" w:hAnsi="Arial" w:cs="Arial"/>
          <w:lang w:val="en-ZW"/>
        </w:rPr>
        <w:tab/>
        <w:t>[19</w:t>
      </w:r>
      <w:r w:rsidR="00B62BB6">
        <w:rPr>
          <w:rFonts w:ascii="Arial" w:hAnsi="Arial" w:cs="Arial"/>
          <w:lang w:val="en-ZW"/>
        </w:rPr>
        <w:t>]</w:t>
      </w:r>
      <w:r w:rsidR="00B62BB6">
        <w:rPr>
          <w:rFonts w:ascii="Arial" w:hAnsi="Arial" w:cs="Arial"/>
          <w:lang w:val="en-ZW"/>
        </w:rPr>
        <w:tab/>
      </w:r>
      <w:r w:rsidR="00A213BA">
        <w:rPr>
          <w:rFonts w:ascii="Arial" w:hAnsi="Arial" w:cs="Arial"/>
          <w:lang w:val="en-ZW"/>
        </w:rPr>
        <w:t>In my vie</w:t>
      </w:r>
      <w:r w:rsidR="00D40768">
        <w:rPr>
          <w:rFonts w:ascii="Arial" w:hAnsi="Arial" w:cs="Arial"/>
          <w:lang w:val="en-ZW"/>
        </w:rPr>
        <w:t xml:space="preserve">w, the reason why Van Niekerk J, </w:t>
      </w:r>
      <w:r w:rsidR="00A213BA">
        <w:rPr>
          <w:rFonts w:ascii="Arial" w:hAnsi="Arial" w:cs="Arial"/>
          <w:lang w:val="en-ZW"/>
        </w:rPr>
        <w:t xml:space="preserve">in the </w:t>
      </w:r>
      <w:r w:rsidR="00A213BA" w:rsidRPr="00A213BA">
        <w:rPr>
          <w:rFonts w:ascii="Arial" w:hAnsi="Arial" w:cs="Arial"/>
          <w:i/>
        </w:rPr>
        <w:t>Waterberg Wilderness Lodge</w:t>
      </w:r>
      <w:r w:rsidR="00A213BA">
        <w:rPr>
          <w:rFonts w:ascii="Arial" w:hAnsi="Arial" w:cs="Arial"/>
          <w:i/>
        </w:rPr>
        <w:t xml:space="preserve"> </w:t>
      </w:r>
      <w:r w:rsidR="00A213BA">
        <w:rPr>
          <w:rFonts w:ascii="Arial" w:hAnsi="Arial" w:cs="Arial"/>
        </w:rPr>
        <w:t>case found that the other respondents did not comply with Rule 5(1) is because the</w:t>
      </w:r>
      <w:r w:rsidR="003F4846">
        <w:rPr>
          <w:rFonts w:ascii="Arial" w:hAnsi="Arial" w:cs="Arial"/>
        </w:rPr>
        <w:t xml:space="preserve"> other respondents were parties just like Ms Uses and in the absence of </w:t>
      </w:r>
      <w:r w:rsidR="00363A32">
        <w:rPr>
          <w:rFonts w:ascii="Arial" w:hAnsi="Arial" w:cs="Arial"/>
        </w:rPr>
        <w:t xml:space="preserve">a </w:t>
      </w:r>
      <w:r w:rsidR="003F4846">
        <w:rPr>
          <w:rFonts w:ascii="Arial" w:hAnsi="Arial" w:cs="Arial"/>
        </w:rPr>
        <w:t xml:space="preserve">statement as provided for in </w:t>
      </w:r>
      <w:r w:rsidR="006D128A">
        <w:rPr>
          <w:rFonts w:ascii="Arial" w:hAnsi="Arial" w:cs="Arial"/>
        </w:rPr>
        <w:t>sub-rule</w:t>
      </w:r>
      <w:r w:rsidR="003F4846">
        <w:rPr>
          <w:rFonts w:ascii="Arial" w:hAnsi="Arial" w:cs="Arial"/>
        </w:rPr>
        <w:t xml:space="preserve"> 3, the</w:t>
      </w:r>
      <w:r w:rsidR="006D128A">
        <w:rPr>
          <w:rFonts w:ascii="Arial" w:hAnsi="Arial" w:cs="Arial"/>
        </w:rPr>
        <w:t>re</w:t>
      </w:r>
      <w:r w:rsidR="003F4846">
        <w:rPr>
          <w:rFonts w:ascii="Arial" w:hAnsi="Arial" w:cs="Arial"/>
        </w:rPr>
        <w:t xml:space="preserve"> was no mandate for Ms Uses to sign form LC21 on their behalf.</w:t>
      </w:r>
      <w:r w:rsidR="00A213BA">
        <w:rPr>
          <w:rFonts w:ascii="Arial" w:hAnsi="Arial" w:cs="Arial"/>
        </w:rPr>
        <w:t xml:space="preserve"> </w:t>
      </w:r>
      <w:r w:rsidR="004271A3">
        <w:rPr>
          <w:rFonts w:ascii="Arial" w:hAnsi="Arial" w:cs="Arial"/>
        </w:rPr>
        <w:t>In other words, if the respondents were in compliance with Rule 5(3), they would, by virtue of that fact also have been in compliance with requirements of Rule 5(1) since the issue involved a joint referral.</w:t>
      </w:r>
    </w:p>
    <w:p w:rsidR="003F4846" w:rsidRDefault="003F4846" w:rsidP="00BF0D83">
      <w:pPr>
        <w:tabs>
          <w:tab w:val="left" w:pos="0"/>
        </w:tabs>
        <w:spacing w:line="360" w:lineRule="auto"/>
        <w:ind w:hanging="1440"/>
        <w:jc w:val="both"/>
        <w:rPr>
          <w:rFonts w:ascii="Arial" w:hAnsi="Arial" w:cs="Arial"/>
        </w:rPr>
      </w:pPr>
    </w:p>
    <w:p w:rsidR="003F4846" w:rsidRDefault="0017110D" w:rsidP="00BF0D83">
      <w:pPr>
        <w:tabs>
          <w:tab w:val="left" w:pos="0"/>
        </w:tabs>
        <w:spacing w:line="360" w:lineRule="auto"/>
        <w:ind w:hanging="1440"/>
        <w:jc w:val="both"/>
        <w:rPr>
          <w:rFonts w:ascii="Arial" w:hAnsi="Arial" w:cs="Arial"/>
        </w:rPr>
      </w:pPr>
      <w:r>
        <w:rPr>
          <w:rFonts w:ascii="Arial" w:hAnsi="Arial" w:cs="Arial"/>
        </w:rPr>
        <w:lastRenderedPageBreak/>
        <w:tab/>
      </w:r>
      <w:r w:rsidR="004271A3">
        <w:rPr>
          <w:rFonts w:ascii="Arial" w:hAnsi="Arial" w:cs="Arial"/>
        </w:rPr>
        <w:t>[</w:t>
      </w:r>
      <w:r w:rsidR="007B2128">
        <w:rPr>
          <w:rFonts w:ascii="Arial" w:hAnsi="Arial" w:cs="Arial"/>
        </w:rPr>
        <w:t>20</w:t>
      </w:r>
      <w:r w:rsidR="004271A3">
        <w:rPr>
          <w:rFonts w:ascii="Arial" w:hAnsi="Arial" w:cs="Arial"/>
        </w:rPr>
        <w:t>]</w:t>
      </w:r>
      <w:r w:rsidR="008156B9">
        <w:rPr>
          <w:rFonts w:ascii="Arial" w:hAnsi="Arial" w:cs="Arial"/>
        </w:rPr>
        <w:tab/>
      </w:r>
      <w:r w:rsidR="004271A3">
        <w:rPr>
          <w:rFonts w:ascii="Arial" w:hAnsi="Arial" w:cs="Arial"/>
        </w:rPr>
        <w:t>In the instant matter</w:t>
      </w:r>
      <w:r w:rsidR="008E0DA1">
        <w:rPr>
          <w:rFonts w:ascii="Arial" w:hAnsi="Arial" w:cs="Arial"/>
        </w:rPr>
        <w:t>, the r</w:t>
      </w:r>
      <w:r w:rsidR="00A2728B">
        <w:rPr>
          <w:rFonts w:ascii="Arial" w:hAnsi="Arial" w:cs="Arial"/>
        </w:rPr>
        <w:t xml:space="preserve">espondents were represented by </w:t>
      </w:r>
      <w:r w:rsidR="003F4846">
        <w:rPr>
          <w:rFonts w:ascii="Arial" w:hAnsi="Arial" w:cs="Arial"/>
        </w:rPr>
        <w:t>a union representative of</w:t>
      </w:r>
      <w:r w:rsidR="00A2728B" w:rsidRPr="00A2728B">
        <w:rPr>
          <w:rFonts w:ascii="Arial" w:hAnsi="Arial" w:cs="Arial"/>
        </w:rPr>
        <w:t xml:space="preserve"> the respondents’ trade union</w:t>
      </w:r>
      <w:r w:rsidR="003F4846">
        <w:rPr>
          <w:rFonts w:ascii="Arial" w:hAnsi="Arial" w:cs="Arial"/>
        </w:rPr>
        <w:t>. A union representative falls within the second categor</w:t>
      </w:r>
      <w:r w:rsidR="008156B9">
        <w:rPr>
          <w:rFonts w:ascii="Arial" w:hAnsi="Arial" w:cs="Arial"/>
        </w:rPr>
        <w:t>y</w:t>
      </w:r>
      <w:r w:rsidR="006D128A">
        <w:rPr>
          <w:rFonts w:ascii="Arial" w:hAnsi="Arial" w:cs="Arial"/>
        </w:rPr>
        <w:t xml:space="preserve"> of person entitled to sign f</w:t>
      </w:r>
      <w:r w:rsidR="003F4846">
        <w:rPr>
          <w:rFonts w:ascii="Arial" w:hAnsi="Arial" w:cs="Arial"/>
        </w:rPr>
        <w:t>orm LC21. A union representative is entitled</w:t>
      </w:r>
      <w:r w:rsidR="00A2728B">
        <w:rPr>
          <w:rFonts w:ascii="Arial" w:hAnsi="Arial" w:cs="Arial"/>
        </w:rPr>
        <w:t xml:space="preserve"> </w:t>
      </w:r>
      <w:r w:rsidR="00822510">
        <w:rPr>
          <w:rFonts w:ascii="Arial" w:hAnsi="Arial" w:cs="Arial"/>
        </w:rPr>
        <w:t>to represent the respondent</w:t>
      </w:r>
      <w:r w:rsidR="003F4846">
        <w:rPr>
          <w:rFonts w:ascii="Arial" w:hAnsi="Arial" w:cs="Arial"/>
        </w:rPr>
        <w:t>s</w:t>
      </w:r>
      <w:r w:rsidR="00822510">
        <w:rPr>
          <w:rFonts w:ascii="Arial" w:hAnsi="Arial" w:cs="Arial"/>
        </w:rPr>
        <w:t xml:space="preserve"> at arbitration proceeding</w:t>
      </w:r>
      <w:r w:rsidR="008156B9">
        <w:rPr>
          <w:rFonts w:ascii="Arial" w:hAnsi="Arial" w:cs="Arial"/>
        </w:rPr>
        <w:t>s</w:t>
      </w:r>
      <w:r w:rsidR="00822510">
        <w:rPr>
          <w:rFonts w:ascii="Arial" w:hAnsi="Arial" w:cs="Arial"/>
        </w:rPr>
        <w:t xml:space="preserve"> </w:t>
      </w:r>
      <w:r w:rsidR="003F4846">
        <w:rPr>
          <w:rFonts w:ascii="Arial" w:hAnsi="Arial" w:cs="Arial"/>
        </w:rPr>
        <w:t xml:space="preserve">by virtue of the </w:t>
      </w:r>
      <w:r w:rsidR="00A2728B">
        <w:rPr>
          <w:rFonts w:ascii="Arial" w:hAnsi="Arial" w:cs="Arial"/>
        </w:rPr>
        <w:t>provisions of s</w:t>
      </w:r>
      <w:r w:rsidR="003F4846">
        <w:rPr>
          <w:rFonts w:ascii="Arial" w:hAnsi="Arial" w:cs="Arial"/>
        </w:rPr>
        <w:t xml:space="preserve">ections 59 and 86 of the </w:t>
      </w:r>
      <w:r w:rsidR="00A2728B">
        <w:rPr>
          <w:rFonts w:ascii="Arial" w:hAnsi="Arial" w:cs="Arial"/>
        </w:rPr>
        <w:t>Act.</w:t>
      </w:r>
      <w:r w:rsidR="001D5BCB">
        <w:rPr>
          <w:rFonts w:ascii="Arial" w:hAnsi="Arial" w:cs="Arial"/>
        </w:rPr>
        <w:t xml:space="preserve"> This is the distinguishable feature of the matter </w:t>
      </w:r>
      <w:r w:rsidR="00822510">
        <w:rPr>
          <w:rFonts w:ascii="Arial" w:hAnsi="Arial" w:cs="Arial"/>
        </w:rPr>
        <w:t xml:space="preserve">under </w:t>
      </w:r>
      <w:r w:rsidR="003F4846">
        <w:rPr>
          <w:rFonts w:ascii="Arial" w:hAnsi="Arial" w:cs="Arial"/>
        </w:rPr>
        <w:t xml:space="preserve">consideration from </w:t>
      </w:r>
      <w:r w:rsidR="008156B9">
        <w:rPr>
          <w:rFonts w:ascii="Arial" w:hAnsi="Arial" w:cs="Arial"/>
        </w:rPr>
        <w:t xml:space="preserve">the </w:t>
      </w:r>
      <w:r w:rsidR="003F4846" w:rsidRPr="00A213BA">
        <w:rPr>
          <w:rFonts w:ascii="Arial" w:hAnsi="Arial" w:cs="Arial"/>
          <w:i/>
        </w:rPr>
        <w:t>Waterberg Wilderness Lodge</w:t>
      </w:r>
      <w:r w:rsidR="003F4846">
        <w:rPr>
          <w:rFonts w:ascii="Arial" w:hAnsi="Arial" w:cs="Arial"/>
          <w:i/>
        </w:rPr>
        <w:t xml:space="preserve"> </w:t>
      </w:r>
      <w:r w:rsidR="003F4846">
        <w:rPr>
          <w:rFonts w:ascii="Arial" w:hAnsi="Arial" w:cs="Arial"/>
        </w:rPr>
        <w:t>case.</w:t>
      </w:r>
    </w:p>
    <w:p w:rsidR="003F4846" w:rsidRDefault="007B2128" w:rsidP="00BF0D83">
      <w:pPr>
        <w:tabs>
          <w:tab w:val="left" w:pos="0"/>
        </w:tabs>
        <w:spacing w:line="360" w:lineRule="auto"/>
        <w:ind w:hanging="1440"/>
        <w:jc w:val="both"/>
        <w:rPr>
          <w:rFonts w:ascii="Arial" w:hAnsi="Arial" w:cs="Arial"/>
        </w:rPr>
      </w:pPr>
      <w:r>
        <w:rPr>
          <w:rFonts w:ascii="Arial" w:hAnsi="Arial" w:cs="Arial"/>
        </w:rPr>
        <w:tab/>
      </w:r>
    </w:p>
    <w:p w:rsidR="00A2728B" w:rsidRDefault="007B2128" w:rsidP="003F4846">
      <w:pPr>
        <w:tabs>
          <w:tab w:val="left" w:pos="0"/>
        </w:tabs>
        <w:spacing w:line="360" w:lineRule="auto"/>
        <w:jc w:val="both"/>
        <w:rPr>
          <w:rFonts w:ascii="Arial" w:hAnsi="Arial" w:cs="Arial"/>
        </w:rPr>
      </w:pPr>
      <w:r>
        <w:rPr>
          <w:rFonts w:ascii="Arial" w:hAnsi="Arial" w:cs="Arial"/>
        </w:rPr>
        <w:t>[21</w:t>
      </w:r>
      <w:r w:rsidR="00A2728B">
        <w:rPr>
          <w:rFonts w:ascii="Arial" w:hAnsi="Arial" w:cs="Arial"/>
        </w:rPr>
        <w:t>]</w:t>
      </w:r>
      <w:r w:rsidR="00A2728B">
        <w:rPr>
          <w:rFonts w:ascii="Arial" w:hAnsi="Arial" w:cs="Arial"/>
        </w:rPr>
        <w:tab/>
      </w:r>
      <w:r w:rsidR="00E2531A">
        <w:rPr>
          <w:rFonts w:ascii="Arial" w:hAnsi="Arial" w:cs="Arial"/>
        </w:rPr>
        <w:t>A</w:t>
      </w:r>
      <w:r w:rsidR="0089630F">
        <w:rPr>
          <w:rFonts w:ascii="Arial" w:hAnsi="Arial" w:cs="Arial"/>
        </w:rPr>
        <w:t>ppreciating that R</w:t>
      </w:r>
      <w:r w:rsidR="00A2728B" w:rsidRPr="00A2728B">
        <w:rPr>
          <w:rFonts w:ascii="Arial" w:hAnsi="Arial" w:cs="Arial"/>
        </w:rPr>
        <w:t xml:space="preserve">ule 5(1) permits a person ‘entitled’ in terms of the Act or rules to represent a party to the proceeding to sign </w:t>
      </w:r>
      <w:r w:rsidR="0089630F">
        <w:rPr>
          <w:rFonts w:ascii="Arial" w:hAnsi="Arial" w:cs="Arial"/>
        </w:rPr>
        <w:t>F</w:t>
      </w:r>
      <w:r w:rsidR="00A2728B" w:rsidRPr="00A2728B">
        <w:rPr>
          <w:rFonts w:ascii="Arial" w:hAnsi="Arial" w:cs="Arial"/>
        </w:rPr>
        <w:t>orm LC21, is it correct to maintain</w:t>
      </w:r>
      <w:r w:rsidR="0089630F">
        <w:rPr>
          <w:rFonts w:ascii="Arial" w:hAnsi="Arial" w:cs="Arial"/>
        </w:rPr>
        <w:t xml:space="preserve">, as </w:t>
      </w:r>
      <w:r w:rsidR="0089630F" w:rsidRPr="003F4846">
        <w:rPr>
          <w:rFonts w:ascii="Arial" w:hAnsi="Arial" w:cs="Arial"/>
          <w:i/>
        </w:rPr>
        <w:t>Mr Dicks</w:t>
      </w:r>
      <w:r w:rsidR="0089630F">
        <w:rPr>
          <w:rFonts w:ascii="Arial" w:hAnsi="Arial" w:cs="Arial"/>
        </w:rPr>
        <w:t xml:space="preserve"> does,</w:t>
      </w:r>
      <w:r w:rsidR="00A2728B" w:rsidRPr="00A2728B">
        <w:rPr>
          <w:rFonts w:ascii="Arial" w:hAnsi="Arial" w:cs="Arial"/>
        </w:rPr>
        <w:t xml:space="preserve"> that </w:t>
      </w:r>
      <w:r w:rsidR="006D128A">
        <w:rPr>
          <w:rFonts w:ascii="Arial" w:hAnsi="Arial" w:cs="Arial"/>
        </w:rPr>
        <w:t>sub-rule</w:t>
      </w:r>
      <w:r w:rsidR="0089630F">
        <w:rPr>
          <w:rFonts w:ascii="Arial" w:hAnsi="Arial" w:cs="Arial"/>
        </w:rPr>
        <w:t>s (</w:t>
      </w:r>
      <w:r w:rsidR="00A2728B" w:rsidRPr="00A2728B">
        <w:rPr>
          <w:rFonts w:ascii="Arial" w:hAnsi="Arial" w:cs="Arial"/>
        </w:rPr>
        <w:t>2</w:t>
      </w:r>
      <w:r w:rsidR="0089630F">
        <w:rPr>
          <w:rFonts w:ascii="Arial" w:hAnsi="Arial" w:cs="Arial"/>
        </w:rPr>
        <w:t>)</w:t>
      </w:r>
      <w:r w:rsidR="00A2728B" w:rsidRPr="00A2728B">
        <w:rPr>
          <w:rFonts w:ascii="Arial" w:hAnsi="Arial" w:cs="Arial"/>
        </w:rPr>
        <w:t xml:space="preserve"> and </w:t>
      </w:r>
      <w:r w:rsidR="0089630F">
        <w:rPr>
          <w:rFonts w:ascii="Arial" w:hAnsi="Arial" w:cs="Arial"/>
        </w:rPr>
        <w:t>(</w:t>
      </w:r>
      <w:r w:rsidR="00A2728B" w:rsidRPr="00A2728B">
        <w:rPr>
          <w:rFonts w:ascii="Arial" w:hAnsi="Arial" w:cs="Arial"/>
        </w:rPr>
        <w:t>3</w:t>
      </w:r>
      <w:r w:rsidR="0089630F">
        <w:rPr>
          <w:rFonts w:ascii="Arial" w:hAnsi="Arial" w:cs="Arial"/>
        </w:rPr>
        <w:t>)</w:t>
      </w:r>
      <w:r w:rsidR="00A2728B" w:rsidRPr="00A2728B">
        <w:rPr>
          <w:rFonts w:ascii="Arial" w:hAnsi="Arial" w:cs="Arial"/>
        </w:rPr>
        <w:t xml:space="preserve"> are applicable to persons other than </w:t>
      </w:r>
      <w:r w:rsidR="003F4846">
        <w:rPr>
          <w:rFonts w:ascii="Arial" w:hAnsi="Arial" w:cs="Arial"/>
        </w:rPr>
        <w:t>co-</w:t>
      </w:r>
      <w:r w:rsidR="00A2728B" w:rsidRPr="00A2728B">
        <w:rPr>
          <w:rFonts w:ascii="Arial" w:hAnsi="Arial" w:cs="Arial"/>
        </w:rPr>
        <w:t xml:space="preserve">employees? </w:t>
      </w:r>
      <w:r w:rsidR="003F4846">
        <w:rPr>
          <w:rFonts w:ascii="Arial" w:hAnsi="Arial" w:cs="Arial"/>
        </w:rPr>
        <w:t>Put differently</w:t>
      </w:r>
      <w:r w:rsidR="00A2728B" w:rsidRPr="00A2728B">
        <w:rPr>
          <w:rFonts w:ascii="Arial" w:hAnsi="Arial" w:cs="Arial"/>
        </w:rPr>
        <w:t xml:space="preserve">, </w:t>
      </w:r>
      <w:r w:rsidR="0089630F">
        <w:rPr>
          <w:rFonts w:ascii="Arial" w:hAnsi="Arial" w:cs="Arial"/>
        </w:rPr>
        <w:t xml:space="preserve">are these </w:t>
      </w:r>
      <w:r w:rsidR="006D128A">
        <w:rPr>
          <w:rFonts w:ascii="Arial" w:hAnsi="Arial" w:cs="Arial"/>
        </w:rPr>
        <w:t>sub-rule</w:t>
      </w:r>
      <w:r w:rsidR="0089630F">
        <w:rPr>
          <w:rFonts w:ascii="Arial" w:hAnsi="Arial" w:cs="Arial"/>
        </w:rPr>
        <w:t>s</w:t>
      </w:r>
      <w:r w:rsidR="00A2728B" w:rsidRPr="00A2728B">
        <w:rPr>
          <w:rFonts w:ascii="Arial" w:hAnsi="Arial" w:cs="Arial"/>
        </w:rPr>
        <w:t xml:space="preserve"> applicable when the person representing the employees is not a co-employee?</w:t>
      </w:r>
    </w:p>
    <w:p w:rsidR="003F4846" w:rsidRDefault="003F4846" w:rsidP="003F4846">
      <w:pPr>
        <w:tabs>
          <w:tab w:val="left" w:pos="0"/>
        </w:tabs>
        <w:spacing w:line="360" w:lineRule="auto"/>
        <w:jc w:val="both"/>
        <w:rPr>
          <w:rFonts w:ascii="Arial" w:hAnsi="Arial" w:cs="Arial"/>
        </w:rPr>
      </w:pPr>
    </w:p>
    <w:p w:rsidR="0089630F" w:rsidRDefault="007B2128" w:rsidP="00BF0D83">
      <w:pPr>
        <w:tabs>
          <w:tab w:val="left" w:pos="0"/>
        </w:tabs>
        <w:spacing w:line="360" w:lineRule="auto"/>
        <w:ind w:hanging="1440"/>
        <w:jc w:val="both"/>
        <w:rPr>
          <w:rFonts w:ascii="Arial" w:hAnsi="Arial" w:cs="Arial"/>
        </w:rPr>
      </w:pPr>
      <w:r>
        <w:rPr>
          <w:rFonts w:ascii="Arial" w:hAnsi="Arial" w:cs="Arial"/>
        </w:rPr>
        <w:tab/>
        <w:t>[22</w:t>
      </w:r>
      <w:r w:rsidR="0089630F">
        <w:rPr>
          <w:rFonts w:ascii="Arial" w:hAnsi="Arial" w:cs="Arial"/>
        </w:rPr>
        <w:t>]</w:t>
      </w:r>
      <w:r w:rsidR="0089630F">
        <w:rPr>
          <w:rFonts w:ascii="Arial" w:hAnsi="Arial" w:cs="Arial"/>
        </w:rPr>
        <w:tab/>
      </w:r>
      <w:r w:rsidR="00BF0D83" w:rsidRPr="00BF0D83">
        <w:rPr>
          <w:rFonts w:ascii="Arial" w:hAnsi="Arial" w:cs="Arial"/>
        </w:rPr>
        <w:t xml:space="preserve">If I understand </w:t>
      </w:r>
      <w:r w:rsidR="00BF0D83" w:rsidRPr="003F4846">
        <w:rPr>
          <w:rFonts w:ascii="Arial" w:hAnsi="Arial" w:cs="Arial"/>
          <w:i/>
        </w:rPr>
        <w:t>Mr Dicks’s</w:t>
      </w:r>
      <w:r w:rsidR="00BF0D83" w:rsidRPr="00BF0D83">
        <w:rPr>
          <w:rFonts w:ascii="Arial" w:hAnsi="Arial" w:cs="Arial"/>
        </w:rPr>
        <w:t xml:space="preserve"> argument correctly, he submitted that</w:t>
      </w:r>
      <w:r w:rsidR="00BF0D83">
        <w:rPr>
          <w:rFonts w:ascii="Arial" w:hAnsi="Arial" w:cs="Arial"/>
        </w:rPr>
        <w:t xml:space="preserve">, </w:t>
      </w:r>
      <w:r w:rsidR="006D128A">
        <w:rPr>
          <w:rFonts w:ascii="Arial" w:hAnsi="Arial" w:cs="Arial"/>
        </w:rPr>
        <w:t>sub-rule</w:t>
      </w:r>
      <w:r w:rsidR="00BF0D83">
        <w:rPr>
          <w:rFonts w:ascii="Arial" w:hAnsi="Arial" w:cs="Arial"/>
        </w:rPr>
        <w:t>s</w:t>
      </w:r>
      <w:r w:rsidR="00E2531A">
        <w:rPr>
          <w:rFonts w:ascii="Arial" w:hAnsi="Arial" w:cs="Arial"/>
        </w:rPr>
        <w:t xml:space="preserve"> (2) and (3) were</w:t>
      </w:r>
      <w:r w:rsidR="00BF0D83" w:rsidRPr="00BF0D83">
        <w:rPr>
          <w:rFonts w:ascii="Arial" w:hAnsi="Arial" w:cs="Arial"/>
        </w:rPr>
        <w:t xml:space="preserve"> not complied with.</w:t>
      </w:r>
      <w:r w:rsidR="00BF0D83">
        <w:rPr>
          <w:rFonts w:ascii="Arial" w:hAnsi="Arial" w:cs="Arial"/>
        </w:rPr>
        <w:t xml:space="preserve"> I disagree. In my view, a proper construction of </w:t>
      </w:r>
      <w:r w:rsidR="00326180">
        <w:rPr>
          <w:rFonts w:ascii="Arial" w:hAnsi="Arial" w:cs="Arial"/>
        </w:rPr>
        <w:t>r</w:t>
      </w:r>
      <w:r w:rsidR="00BF0D83" w:rsidRPr="00BF0D83">
        <w:rPr>
          <w:rFonts w:ascii="Arial" w:hAnsi="Arial" w:cs="Arial"/>
        </w:rPr>
        <w:t xml:space="preserve">ule 5, </w:t>
      </w:r>
      <w:r w:rsidR="00BF0D83">
        <w:rPr>
          <w:rFonts w:ascii="Arial" w:hAnsi="Arial" w:cs="Arial"/>
        </w:rPr>
        <w:t>leads to the conclusion</w:t>
      </w:r>
      <w:r w:rsidR="00BF0D83" w:rsidRPr="00BF0D83">
        <w:rPr>
          <w:rFonts w:ascii="Arial" w:hAnsi="Arial" w:cs="Arial"/>
        </w:rPr>
        <w:t xml:space="preserve"> that </w:t>
      </w:r>
      <w:r w:rsidR="006D128A">
        <w:rPr>
          <w:rFonts w:ascii="Arial" w:hAnsi="Arial" w:cs="Arial"/>
        </w:rPr>
        <w:t>sub-rule</w:t>
      </w:r>
      <w:r w:rsidR="00BF0D83" w:rsidRPr="00BF0D83">
        <w:rPr>
          <w:rFonts w:ascii="Arial" w:hAnsi="Arial" w:cs="Arial"/>
        </w:rPr>
        <w:t xml:space="preserve"> 2</w:t>
      </w:r>
      <w:r w:rsidR="008156B9">
        <w:rPr>
          <w:rFonts w:ascii="Arial" w:hAnsi="Arial" w:cs="Arial"/>
        </w:rPr>
        <w:t xml:space="preserve"> and 3 are intended to cover for</w:t>
      </w:r>
      <w:r w:rsidR="00BF0D83" w:rsidRPr="00BF0D83">
        <w:rPr>
          <w:rFonts w:ascii="Arial" w:hAnsi="Arial" w:cs="Arial"/>
        </w:rPr>
        <w:t xml:space="preserve"> situation</w:t>
      </w:r>
      <w:r w:rsidR="008156B9">
        <w:rPr>
          <w:rFonts w:ascii="Arial" w:hAnsi="Arial" w:cs="Arial"/>
        </w:rPr>
        <w:t>s</w:t>
      </w:r>
      <w:r w:rsidR="00BF0D83" w:rsidRPr="00BF0D83">
        <w:rPr>
          <w:rFonts w:ascii="Arial" w:hAnsi="Arial" w:cs="Arial"/>
        </w:rPr>
        <w:t xml:space="preserve"> where the joint referral is b</w:t>
      </w:r>
      <w:r w:rsidR="00BF0D83">
        <w:rPr>
          <w:rFonts w:ascii="Arial" w:hAnsi="Arial" w:cs="Arial"/>
        </w:rPr>
        <w:t>eing referred by a co-employee</w:t>
      </w:r>
      <w:r w:rsidR="003F4846">
        <w:rPr>
          <w:rFonts w:ascii="Arial" w:hAnsi="Arial" w:cs="Arial"/>
        </w:rPr>
        <w:t>. A co-employee</w:t>
      </w:r>
      <w:r w:rsidR="00BF0D83">
        <w:rPr>
          <w:rFonts w:ascii="Arial" w:hAnsi="Arial" w:cs="Arial"/>
        </w:rPr>
        <w:t xml:space="preserve"> </w:t>
      </w:r>
      <w:r w:rsidR="006D128A">
        <w:rPr>
          <w:rFonts w:ascii="Arial" w:hAnsi="Arial" w:cs="Arial"/>
        </w:rPr>
        <w:t xml:space="preserve">is </w:t>
      </w:r>
      <w:r w:rsidR="003F4846">
        <w:rPr>
          <w:rFonts w:ascii="Arial" w:hAnsi="Arial" w:cs="Arial"/>
        </w:rPr>
        <w:t xml:space="preserve">entitled to </w:t>
      </w:r>
      <w:r w:rsidR="009049DF">
        <w:rPr>
          <w:rFonts w:ascii="Arial" w:hAnsi="Arial" w:cs="Arial"/>
        </w:rPr>
        <w:t xml:space="preserve">only </w:t>
      </w:r>
      <w:r w:rsidR="003F4846">
        <w:rPr>
          <w:rFonts w:ascii="Arial" w:hAnsi="Arial" w:cs="Arial"/>
        </w:rPr>
        <w:t xml:space="preserve">represent other employees </w:t>
      </w:r>
      <w:r w:rsidR="009049DF">
        <w:rPr>
          <w:rFonts w:ascii="Arial" w:hAnsi="Arial" w:cs="Arial"/>
        </w:rPr>
        <w:t>if there is a written statement</w:t>
      </w:r>
      <w:r w:rsidR="003F4846">
        <w:rPr>
          <w:rFonts w:ascii="Arial" w:hAnsi="Arial" w:cs="Arial"/>
        </w:rPr>
        <w:t xml:space="preserve"> signed by all the employees mandating the co-employee to represent them at the arbitration </w:t>
      </w:r>
      <w:r w:rsidR="001E1305">
        <w:rPr>
          <w:rFonts w:ascii="Arial" w:hAnsi="Arial" w:cs="Arial"/>
        </w:rPr>
        <w:t>proceedings.</w:t>
      </w:r>
    </w:p>
    <w:p w:rsidR="003F4846" w:rsidRDefault="003F4846" w:rsidP="00BF0D83">
      <w:pPr>
        <w:tabs>
          <w:tab w:val="left" w:pos="0"/>
        </w:tabs>
        <w:spacing w:line="360" w:lineRule="auto"/>
        <w:ind w:hanging="1440"/>
        <w:jc w:val="both"/>
        <w:rPr>
          <w:rFonts w:ascii="Arial" w:hAnsi="Arial" w:cs="Arial"/>
        </w:rPr>
      </w:pPr>
    </w:p>
    <w:p w:rsidR="001E1305" w:rsidRDefault="007B2128" w:rsidP="00BF0D83">
      <w:pPr>
        <w:tabs>
          <w:tab w:val="left" w:pos="0"/>
        </w:tabs>
        <w:spacing w:line="360" w:lineRule="auto"/>
        <w:ind w:hanging="1440"/>
        <w:jc w:val="both"/>
        <w:rPr>
          <w:rFonts w:ascii="Arial" w:hAnsi="Arial" w:cs="Arial"/>
        </w:rPr>
      </w:pPr>
      <w:r>
        <w:rPr>
          <w:rFonts w:ascii="Arial" w:hAnsi="Arial" w:cs="Arial"/>
        </w:rPr>
        <w:tab/>
        <w:t>[23</w:t>
      </w:r>
      <w:r w:rsidR="001E1305">
        <w:rPr>
          <w:rFonts w:ascii="Arial" w:hAnsi="Arial" w:cs="Arial"/>
        </w:rPr>
        <w:t>]</w:t>
      </w:r>
      <w:r w:rsidR="001E1305">
        <w:rPr>
          <w:rFonts w:ascii="Arial" w:hAnsi="Arial" w:cs="Arial"/>
        </w:rPr>
        <w:tab/>
        <w:t xml:space="preserve">In </w:t>
      </w:r>
      <w:r w:rsidR="003F4846">
        <w:rPr>
          <w:rFonts w:ascii="Arial" w:hAnsi="Arial" w:cs="Arial"/>
        </w:rPr>
        <w:t>contrast</w:t>
      </w:r>
      <w:r w:rsidR="001E1305">
        <w:rPr>
          <w:rFonts w:ascii="Arial" w:hAnsi="Arial" w:cs="Arial"/>
        </w:rPr>
        <w:t>,</w:t>
      </w:r>
      <w:r w:rsidR="003F4846">
        <w:rPr>
          <w:rFonts w:ascii="Arial" w:hAnsi="Arial" w:cs="Arial"/>
        </w:rPr>
        <w:t xml:space="preserve"> and</w:t>
      </w:r>
      <w:r w:rsidR="001E1305">
        <w:rPr>
          <w:rFonts w:ascii="Arial" w:hAnsi="Arial" w:cs="Arial"/>
        </w:rPr>
        <w:t xml:space="preserve"> if a party or parties to the proceedings </w:t>
      </w:r>
      <w:r w:rsidR="00363A32">
        <w:rPr>
          <w:rFonts w:ascii="Arial" w:hAnsi="Arial" w:cs="Arial"/>
        </w:rPr>
        <w:t>are</w:t>
      </w:r>
      <w:r w:rsidR="003F4846">
        <w:rPr>
          <w:rFonts w:ascii="Arial" w:hAnsi="Arial" w:cs="Arial"/>
        </w:rPr>
        <w:t xml:space="preserve"> represented by a union representative</w:t>
      </w:r>
      <w:r w:rsidR="00E2531A">
        <w:rPr>
          <w:rFonts w:ascii="Arial" w:hAnsi="Arial" w:cs="Arial"/>
        </w:rPr>
        <w:t xml:space="preserve">, as in </w:t>
      </w:r>
      <w:r w:rsidR="009049DF">
        <w:rPr>
          <w:rFonts w:ascii="Arial" w:hAnsi="Arial" w:cs="Arial"/>
        </w:rPr>
        <w:t>the</w:t>
      </w:r>
      <w:r w:rsidR="00E2531A">
        <w:rPr>
          <w:rFonts w:ascii="Arial" w:hAnsi="Arial" w:cs="Arial"/>
        </w:rPr>
        <w:t xml:space="preserve"> present</w:t>
      </w:r>
      <w:r w:rsidR="009049DF">
        <w:rPr>
          <w:rFonts w:ascii="Arial" w:hAnsi="Arial" w:cs="Arial"/>
        </w:rPr>
        <w:t xml:space="preserve"> case in </w:t>
      </w:r>
      <w:r w:rsidR="00E2531A">
        <w:rPr>
          <w:rFonts w:ascii="Arial" w:hAnsi="Arial" w:cs="Arial"/>
        </w:rPr>
        <w:t>this matter</w:t>
      </w:r>
      <w:r w:rsidR="003F4846">
        <w:rPr>
          <w:rFonts w:ascii="Arial" w:hAnsi="Arial" w:cs="Arial"/>
        </w:rPr>
        <w:t>,</w:t>
      </w:r>
      <w:r w:rsidR="001E1305">
        <w:rPr>
          <w:rFonts w:ascii="Arial" w:hAnsi="Arial" w:cs="Arial"/>
        </w:rPr>
        <w:t xml:space="preserve"> </w:t>
      </w:r>
      <w:r w:rsidR="003F4846">
        <w:rPr>
          <w:rFonts w:ascii="Arial" w:hAnsi="Arial" w:cs="Arial"/>
        </w:rPr>
        <w:t>sub rules 5</w:t>
      </w:r>
      <w:r w:rsidR="001E1305">
        <w:rPr>
          <w:rFonts w:ascii="Arial" w:hAnsi="Arial" w:cs="Arial"/>
        </w:rPr>
        <w:t xml:space="preserve"> (2) and (3) are </w:t>
      </w:r>
      <w:r w:rsidR="003F4846" w:rsidRPr="003F4846">
        <w:rPr>
          <w:rFonts w:ascii="Arial" w:hAnsi="Arial" w:cs="Arial"/>
          <w:i/>
          <w:u w:val="single"/>
        </w:rPr>
        <w:t xml:space="preserve">not </w:t>
      </w:r>
      <w:r w:rsidR="001E1305">
        <w:rPr>
          <w:rFonts w:ascii="Arial" w:hAnsi="Arial" w:cs="Arial"/>
        </w:rPr>
        <w:t xml:space="preserve">applicable since </w:t>
      </w:r>
      <w:r w:rsidR="003F4846">
        <w:rPr>
          <w:rFonts w:ascii="Arial" w:hAnsi="Arial" w:cs="Arial"/>
        </w:rPr>
        <w:t>the</w:t>
      </w:r>
      <w:r w:rsidR="001E1305">
        <w:rPr>
          <w:rFonts w:ascii="Arial" w:hAnsi="Arial" w:cs="Arial"/>
        </w:rPr>
        <w:t xml:space="preserve"> mandate to represent a party is imparted to </w:t>
      </w:r>
      <w:r w:rsidR="003F4846">
        <w:rPr>
          <w:rFonts w:ascii="Arial" w:hAnsi="Arial" w:cs="Arial"/>
        </w:rPr>
        <w:t xml:space="preserve">a union representative </w:t>
      </w:r>
      <w:r w:rsidR="008156B9">
        <w:rPr>
          <w:rFonts w:ascii="Arial" w:hAnsi="Arial" w:cs="Arial"/>
        </w:rPr>
        <w:t xml:space="preserve">by sections 59, </w:t>
      </w:r>
      <w:r w:rsidR="001E1305">
        <w:rPr>
          <w:rFonts w:ascii="Arial" w:hAnsi="Arial" w:cs="Arial"/>
        </w:rPr>
        <w:t>86</w:t>
      </w:r>
      <w:r w:rsidR="005253EB">
        <w:rPr>
          <w:rFonts w:ascii="Arial" w:hAnsi="Arial" w:cs="Arial"/>
        </w:rPr>
        <w:t>(12)</w:t>
      </w:r>
      <w:r w:rsidR="008156B9">
        <w:rPr>
          <w:rFonts w:ascii="Arial" w:hAnsi="Arial" w:cs="Arial"/>
        </w:rPr>
        <w:t xml:space="preserve"> of the Act and rule 5 (1).</w:t>
      </w:r>
    </w:p>
    <w:p w:rsidR="003F4846" w:rsidRDefault="003F4846" w:rsidP="00BF0D83">
      <w:pPr>
        <w:tabs>
          <w:tab w:val="left" w:pos="0"/>
        </w:tabs>
        <w:spacing w:line="360" w:lineRule="auto"/>
        <w:ind w:hanging="1440"/>
        <w:jc w:val="both"/>
        <w:rPr>
          <w:rFonts w:ascii="Arial" w:hAnsi="Arial" w:cs="Arial"/>
        </w:rPr>
      </w:pPr>
    </w:p>
    <w:p w:rsidR="005253EB" w:rsidRDefault="005253EB" w:rsidP="00BF0D83">
      <w:pPr>
        <w:tabs>
          <w:tab w:val="left" w:pos="0"/>
        </w:tabs>
        <w:spacing w:line="360" w:lineRule="auto"/>
        <w:ind w:hanging="1440"/>
        <w:jc w:val="both"/>
        <w:rPr>
          <w:rFonts w:ascii="Arial" w:hAnsi="Arial" w:cs="Arial"/>
        </w:rPr>
      </w:pPr>
      <w:r>
        <w:rPr>
          <w:rFonts w:ascii="Arial" w:hAnsi="Arial" w:cs="Arial"/>
        </w:rPr>
        <w:tab/>
      </w:r>
      <w:r w:rsidR="007B2128">
        <w:rPr>
          <w:rFonts w:ascii="Arial" w:hAnsi="Arial" w:cs="Arial"/>
        </w:rPr>
        <w:t>[24</w:t>
      </w:r>
      <w:r w:rsidR="001D5BCB">
        <w:rPr>
          <w:rFonts w:ascii="Arial" w:hAnsi="Arial" w:cs="Arial"/>
        </w:rPr>
        <w:t>]</w:t>
      </w:r>
      <w:r w:rsidR="001D5BCB">
        <w:rPr>
          <w:rFonts w:ascii="Arial" w:hAnsi="Arial" w:cs="Arial"/>
        </w:rPr>
        <w:tab/>
        <w:t xml:space="preserve">Thus, the union </w:t>
      </w:r>
      <w:r w:rsidR="003F4846">
        <w:rPr>
          <w:rFonts w:ascii="Arial" w:hAnsi="Arial" w:cs="Arial"/>
        </w:rPr>
        <w:t>representative is</w:t>
      </w:r>
      <w:r w:rsidR="001D5BCB">
        <w:rPr>
          <w:rFonts w:ascii="Arial" w:hAnsi="Arial" w:cs="Arial"/>
        </w:rPr>
        <w:t xml:space="preserve"> v</w:t>
      </w:r>
      <w:r w:rsidR="001D5BCB" w:rsidRPr="001D5BCB">
        <w:rPr>
          <w:rFonts w:ascii="Arial" w:hAnsi="Arial" w:cs="Arial"/>
        </w:rPr>
        <w:t>ested with the right to represent its members</w:t>
      </w:r>
      <w:r w:rsidR="009049DF">
        <w:rPr>
          <w:rFonts w:ascii="Arial" w:hAnsi="Arial" w:cs="Arial"/>
        </w:rPr>
        <w:t xml:space="preserve"> and</w:t>
      </w:r>
      <w:r w:rsidR="001D5BCB" w:rsidRPr="001D5BCB">
        <w:rPr>
          <w:rFonts w:ascii="Arial" w:hAnsi="Arial" w:cs="Arial"/>
        </w:rPr>
        <w:t xml:space="preserve"> </w:t>
      </w:r>
      <w:r w:rsidR="001D5BCB">
        <w:rPr>
          <w:rFonts w:ascii="Arial" w:hAnsi="Arial" w:cs="Arial"/>
        </w:rPr>
        <w:t>to</w:t>
      </w:r>
      <w:r w:rsidR="001D5BCB" w:rsidRPr="001D5BCB">
        <w:rPr>
          <w:rFonts w:ascii="Arial" w:hAnsi="Arial" w:cs="Arial"/>
        </w:rPr>
        <w:t xml:space="preserve"> refer disputes on their behalf</w:t>
      </w:r>
      <w:r w:rsidR="003F4846">
        <w:rPr>
          <w:rFonts w:ascii="Arial" w:hAnsi="Arial" w:cs="Arial"/>
        </w:rPr>
        <w:t xml:space="preserve"> </w:t>
      </w:r>
      <w:r w:rsidR="001D5BCB" w:rsidRPr="001D5BCB">
        <w:rPr>
          <w:rFonts w:ascii="Arial" w:hAnsi="Arial" w:cs="Arial"/>
        </w:rPr>
        <w:t xml:space="preserve">as a </w:t>
      </w:r>
      <w:r w:rsidR="003F4846">
        <w:rPr>
          <w:rFonts w:ascii="Arial" w:hAnsi="Arial" w:cs="Arial"/>
          <w:i/>
          <w:sz w:val="22"/>
        </w:rPr>
        <w:t>‘party entitled’</w:t>
      </w:r>
      <w:r w:rsidR="001D5BCB" w:rsidRPr="003F4846">
        <w:rPr>
          <w:rFonts w:ascii="Arial" w:hAnsi="Arial" w:cs="Arial"/>
          <w:sz w:val="22"/>
        </w:rPr>
        <w:t xml:space="preserve"> </w:t>
      </w:r>
      <w:r w:rsidR="003F4846">
        <w:rPr>
          <w:rFonts w:ascii="Arial" w:hAnsi="Arial" w:cs="Arial"/>
        </w:rPr>
        <w:t>to sign form LC21</w:t>
      </w:r>
      <w:r w:rsidR="001D5BCB" w:rsidRPr="001D5BCB">
        <w:rPr>
          <w:rFonts w:ascii="Arial" w:hAnsi="Arial" w:cs="Arial"/>
        </w:rPr>
        <w:t xml:space="preserve"> on the</w:t>
      </w:r>
      <w:r w:rsidR="003F4846">
        <w:rPr>
          <w:rFonts w:ascii="Arial" w:hAnsi="Arial" w:cs="Arial"/>
        </w:rPr>
        <w:t>ir</w:t>
      </w:r>
      <w:r w:rsidR="001D5BCB" w:rsidRPr="001D5BCB">
        <w:rPr>
          <w:rFonts w:ascii="Arial" w:hAnsi="Arial" w:cs="Arial"/>
        </w:rPr>
        <w:t xml:space="preserve"> behalf</w:t>
      </w:r>
      <w:r w:rsidR="001D5BCB">
        <w:rPr>
          <w:rFonts w:ascii="Arial" w:hAnsi="Arial" w:cs="Arial"/>
        </w:rPr>
        <w:t xml:space="preserve"> as is required by th</w:t>
      </w:r>
      <w:r w:rsidR="003F4846">
        <w:rPr>
          <w:rFonts w:ascii="Arial" w:hAnsi="Arial" w:cs="Arial"/>
        </w:rPr>
        <w:t>e r</w:t>
      </w:r>
      <w:r w:rsidR="001D5BCB">
        <w:rPr>
          <w:rFonts w:ascii="Arial" w:hAnsi="Arial" w:cs="Arial"/>
        </w:rPr>
        <w:t>ules.</w:t>
      </w:r>
      <w:r w:rsidR="001D5BCB" w:rsidRPr="001D5BCB">
        <w:rPr>
          <w:rFonts w:ascii="Arial" w:hAnsi="Arial" w:cs="Arial"/>
        </w:rPr>
        <w:t xml:space="preserve"> Mr. Ipinge </w:t>
      </w:r>
      <w:r w:rsidR="001D5BCB">
        <w:rPr>
          <w:rFonts w:ascii="Arial" w:hAnsi="Arial" w:cs="Arial"/>
        </w:rPr>
        <w:t>on the other hand</w:t>
      </w:r>
      <w:r w:rsidR="001D5BCB" w:rsidRPr="001D5BCB">
        <w:rPr>
          <w:rFonts w:ascii="Arial" w:hAnsi="Arial" w:cs="Arial"/>
        </w:rPr>
        <w:t xml:space="preserve"> would require the mandate from his co-employees </w:t>
      </w:r>
      <w:r w:rsidR="001D5BCB">
        <w:rPr>
          <w:rFonts w:ascii="Arial" w:hAnsi="Arial" w:cs="Arial"/>
        </w:rPr>
        <w:t>to sign F</w:t>
      </w:r>
      <w:r w:rsidR="001D5BCB" w:rsidRPr="001D5BCB">
        <w:rPr>
          <w:rFonts w:ascii="Arial" w:hAnsi="Arial" w:cs="Arial"/>
        </w:rPr>
        <w:t>orm LC 21 on their behalf and would require a signed statement from the co</w:t>
      </w:r>
      <w:r w:rsidR="00326180">
        <w:rPr>
          <w:rFonts w:ascii="Arial" w:hAnsi="Arial" w:cs="Arial"/>
        </w:rPr>
        <w:t>-</w:t>
      </w:r>
      <w:r w:rsidR="001D5BCB" w:rsidRPr="001D5BCB">
        <w:rPr>
          <w:rFonts w:ascii="Arial" w:hAnsi="Arial" w:cs="Arial"/>
        </w:rPr>
        <w:t xml:space="preserve">employees as provided for in </w:t>
      </w:r>
      <w:r w:rsidR="003F4846">
        <w:rPr>
          <w:rFonts w:ascii="Arial" w:hAnsi="Arial" w:cs="Arial"/>
        </w:rPr>
        <w:t>r</w:t>
      </w:r>
      <w:r w:rsidR="001D5BCB">
        <w:rPr>
          <w:rFonts w:ascii="Arial" w:hAnsi="Arial" w:cs="Arial"/>
        </w:rPr>
        <w:t>ule 5</w:t>
      </w:r>
      <w:r w:rsidR="003F4846">
        <w:rPr>
          <w:rFonts w:ascii="Arial" w:hAnsi="Arial" w:cs="Arial"/>
        </w:rPr>
        <w:t xml:space="preserve"> (2) and (3) of the r</w:t>
      </w:r>
      <w:r w:rsidR="001D5BCB" w:rsidRPr="001D5BCB">
        <w:rPr>
          <w:rFonts w:ascii="Arial" w:hAnsi="Arial" w:cs="Arial"/>
        </w:rPr>
        <w:t>ules.</w:t>
      </w:r>
    </w:p>
    <w:p w:rsidR="003F4846" w:rsidRDefault="003F4846" w:rsidP="00BF0D83">
      <w:pPr>
        <w:tabs>
          <w:tab w:val="left" w:pos="0"/>
        </w:tabs>
        <w:spacing w:line="360" w:lineRule="auto"/>
        <w:ind w:hanging="1440"/>
        <w:jc w:val="both"/>
        <w:rPr>
          <w:rFonts w:ascii="Arial" w:hAnsi="Arial" w:cs="Arial"/>
        </w:rPr>
      </w:pPr>
    </w:p>
    <w:p w:rsidR="003F4846" w:rsidRDefault="007B2128" w:rsidP="00505060">
      <w:pPr>
        <w:tabs>
          <w:tab w:val="left" w:pos="0"/>
        </w:tabs>
        <w:spacing w:line="360" w:lineRule="auto"/>
        <w:ind w:hanging="1440"/>
        <w:jc w:val="both"/>
        <w:rPr>
          <w:rFonts w:ascii="Arial" w:hAnsi="Arial" w:cs="Arial"/>
        </w:rPr>
      </w:pPr>
      <w:r>
        <w:rPr>
          <w:rFonts w:ascii="Arial" w:hAnsi="Arial" w:cs="Arial"/>
        </w:rPr>
        <w:lastRenderedPageBreak/>
        <w:tab/>
        <w:t>[25</w:t>
      </w:r>
      <w:r w:rsidR="00505060">
        <w:rPr>
          <w:rFonts w:ascii="Arial" w:hAnsi="Arial" w:cs="Arial"/>
        </w:rPr>
        <w:t>]</w:t>
      </w:r>
      <w:r w:rsidR="00505060">
        <w:rPr>
          <w:rFonts w:ascii="Arial" w:hAnsi="Arial" w:cs="Arial"/>
        </w:rPr>
        <w:tab/>
      </w:r>
      <w:r w:rsidR="003F4846">
        <w:rPr>
          <w:rFonts w:ascii="Arial" w:hAnsi="Arial" w:cs="Arial"/>
        </w:rPr>
        <w:t>Rule 5 (2) and (3) does not apply</w:t>
      </w:r>
      <w:r w:rsidR="00E2531A">
        <w:rPr>
          <w:rFonts w:ascii="Arial" w:hAnsi="Arial" w:cs="Arial"/>
        </w:rPr>
        <w:t>,</w:t>
      </w:r>
      <w:r w:rsidR="003F4846">
        <w:rPr>
          <w:rFonts w:ascii="Arial" w:hAnsi="Arial" w:cs="Arial"/>
        </w:rPr>
        <w:t xml:space="preserve"> if the party referring the dispute is a union representative purporting to act on behalf of a party to a dispute.</w:t>
      </w:r>
    </w:p>
    <w:p w:rsidR="003F4846" w:rsidRDefault="003F4846" w:rsidP="00505060">
      <w:pPr>
        <w:tabs>
          <w:tab w:val="left" w:pos="0"/>
        </w:tabs>
        <w:spacing w:line="360" w:lineRule="auto"/>
        <w:ind w:hanging="1440"/>
        <w:jc w:val="both"/>
        <w:rPr>
          <w:rFonts w:ascii="Arial" w:hAnsi="Arial" w:cs="Arial"/>
        </w:rPr>
      </w:pPr>
    </w:p>
    <w:p w:rsidR="003F4846" w:rsidRPr="007B2128" w:rsidRDefault="003F4846" w:rsidP="003F4846">
      <w:pPr>
        <w:tabs>
          <w:tab w:val="left" w:pos="0"/>
        </w:tabs>
        <w:spacing w:line="360" w:lineRule="auto"/>
        <w:jc w:val="both"/>
        <w:rPr>
          <w:rFonts w:ascii="Arial" w:hAnsi="Arial" w:cs="Arial"/>
        </w:rPr>
      </w:pPr>
      <w:r>
        <w:rPr>
          <w:rFonts w:ascii="Arial" w:hAnsi="Arial" w:cs="Arial"/>
        </w:rPr>
        <w:t>[26]</w:t>
      </w:r>
      <w:r>
        <w:rPr>
          <w:rFonts w:ascii="Arial" w:hAnsi="Arial" w:cs="Arial"/>
        </w:rPr>
        <w:tab/>
        <w:t xml:space="preserve">In the </w:t>
      </w:r>
      <w:r w:rsidRPr="007B2128">
        <w:rPr>
          <w:rFonts w:ascii="Arial" w:hAnsi="Arial" w:cs="Arial"/>
        </w:rPr>
        <w:t xml:space="preserve">South African case of </w:t>
      </w:r>
      <w:r w:rsidRPr="007B2128">
        <w:rPr>
          <w:rFonts w:ascii="Arial" w:hAnsi="Arial" w:cs="Arial"/>
          <w:i/>
        </w:rPr>
        <w:t>Hans Merensky Holdings (Pty) Ltd t/a Northern Timbers v Commission for Conciliation, Mediation and Arbitration and 2 Others</w:t>
      </w:r>
      <w:r>
        <w:rPr>
          <w:rStyle w:val="FootnoteReference"/>
          <w:rFonts w:ascii="Arial" w:hAnsi="Arial" w:cs="Arial"/>
          <w:i/>
        </w:rPr>
        <w:footnoteReference w:id="3"/>
      </w:r>
      <w:r w:rsidRPr="007B2128">
        <w:rPr>
          <w:rFonts w:ascii="Arial" w:hAnsi="Arial" w:cs="Arial"/>
          <w:i/>
        </w:rPr>
        <w:t xml:space="preserve">, </w:t>
      </w:r>
      <w:r w:rsidRPr="007B2128">
        <w:rPr>
          <w:rFonts w:ascii="Arial" w:hAnsi="Arial" w:cs="Arial"/>
        </w:rPr>
        <w:t>Nel AJ s</w:t>
      </w:r>
      <w:r>
        <w:rPr>
          <w:rFonts w:ascii="Arial" w:hAnsi="Arial" w:cs="Arial"/>
        </w:rPr>
        <w:t>tated</w:t>
      </w:r>
      <w:r w:rsidRPr="007B2128">
        <w:rPr>
          <w:rFonts w:ascii="Arial" w:hAnsi="Arial" w:cs="Arial"/>
        </w:rPr>
        <w:t xml:space="preserve"> the following:- </w:t>
      </w:r>
    </w:p>
    <w:p w:rsidR="003F4846" w:rsidRPr="007B2128" w:rsidRDefault="003F4846" w:rsidP="003F4846">
      <w:pPr>
        <w:tabs>
          <w:tab w:val="left" w:pos="0"/>
        </w:tabs>
        <w:spacing w:line="360" w:lineRule="auto"/>
        <w:ind w:hanging="1440"/>
        <w:jc w:val="both"/>
        <w:rPr>
          <w:rFonts w:ascii="Arial" w:hAnsi="Arial" w:cs="Arial"/>
        </w:rPr>
      </w:pPr>
    </w:p>
    <w:p w:rsidR="003F4846" w:rsidRPr="007B2128" w:rsidRDefault="003F4846" w:rsidP="003F4846">
      <w:pPr>
        <w:tabs>
          <w:tab w:val="left" w:pos="0"/>
        </w:tabs>
        <w:spacing w:line="360" w:lineRule="auto"/>
        <w:ind w:left="720" w:hanging="1440"/>
        <w:jc w:val="both"/>
        <w:rPr>
          <w:rFonts w:ascii="Arial" w:hAnsi="Arial" w:cs="Arial"/>
          <w:i/>
        </w:rPr>
      </w:pPr>
      <w:r>
        <w:rPr>
          <w:rFonts w:ascii="Arial" w:hAnsi="Arial" w:cs="Arial"/>
          <w:i/>
        </w:rPr>
        <w:tab/>
      </w:r>
      <w:r>
        <w:rPr>
          <w:rFonts w:ascii="Arial" w:hAnsi="Arial" w:cs="Arial"/>
          <w:i/>
        </w:rPr>
        <w:tab/>
      </w:r>
      <w:r w:rsidR="00C96D0F">
        <w:rPr>
          <w:rFonts w:ascii="Arial" w:hAnsi="Arial" w:cs="Arial"/>
          <w:sz w:val="22"/>
          <w:szCs w:val="22"/>
        </w:rPr>
        <w:t>‘</w:t>
      </w:r>
      <w:r w:rsidRPr="00C96D0F">
        <w:rPr>
          <w:rFonts w:ascii="Arial" w:hAnsi="Arial" w:cs="Arial"/>
          <w:sz w:val="22"/>
          <w:szCs w:val="22"/>
        </w:rPr>
        <w:t>The first complaint the applicant levels at this referral is that it does not comply with Rule 4(2) of the CCMA rules, in that it was not signed by all the individual employees.  I believe this contention is misconceived. I am of the view that Rule 4(2) regulates a situation where a group of individual employees refer a dispute to the CCMA.  In short, where a union purports to act on behalf of its members, as is the case herein, Rule 4(1) of the CCMA, in my view, applies. The union is entitled in terms Section 200 of the Labour Relations Act to act on behalf of its members. It follows that a union is a “party …… entitled in terms of the Act or these rules to represent that party in the proceedings” and it is therefore in terms of Rule 4(1) entitled to sign the referral on behalf of all its members who it may represent. This is what happened herein. This complaint of the applic</w:t>
      </w:r>
      <w:r w:rsidR="00C96D0F">
        <w:rPr>
          <w:rFonts w:ascii="Arial" w:hAnsi="Arial" w:cs="Arial"/>
          <w:sz w:val="22"/>
          <w:szCs w:val="22"/>
        </w:rPr>
        <w:t>ant is accordingly misdirected.’</w:t>
      </w:r>
      <w:r w:rsidRPr="007B2128">
        <w:rPr>
          <w:rFonts w:ascii="Arial" w:hAnsi="Arial" w:cs="Arial"/>
          <w:i/>
          <w:vertAlign w:val="superscript"/>
        </w:rPr>
        <w:footnoteReference w:id="4"/>
      </w:r>
    </w:p>
    <w:p w:rsidR="003F4846" w:rsidRPr="007B2128" w:rsidRDefault="003F4846" w:rsidP="003F4846">
      <w:pPr>
        <w:tabs>
          <w:tab w:val="left" w:pos="0"/>
        </w:tabs>
        <w:spacing w:line="360" w:lineRule="auto"/>
        <w:ind w:hanging="1440"/>
        <w:jc w:val="both"/>
        <w:rPr>
          <w:rFonts w:ascii="Arial" w:hAnsi="Arial" w:cs="Arial"/>
        </w:rPr>
      </w:pPr>
    </w:p>
    <w:p w:rsidR="003F4846" w:rsidRPr="007B2128" w:rsidRDefault="003F4846" w:rsidP="003F4846">
      <w:pPr>
        <w:tabs>
          <w:tab w:val="left" w:pos="0"/>
        </w:tabs>
        <w:spacing w:line="360" w:lineRule="auto"/>
        <w:ind w:hanging="1440"/>
        <w:jc w:val="both"/>
        <w:rPr>
          <w:rFonts w:ascii="Arial" w:hAnsi="Arial" w:cs="Arial"/>
        </w:rPr>
      </w:pPr>
      <w:r>
        <w:rPr>
          <w:rFonts w:ascii="Arial" w:hAnsi="Arial" w:cs="Arial"/>
        </w:rPr>
        <w:tab/>
        <w:t>[27</w:t>
      </w:r>
      <w:r w:rsidRPr="007B2128">
        <w:rPr>
          <w:rFonts w:ascii="Arial" w:hAnsi="Arial" w:cs="Arial"/>
        </w:rPr>
        <w:t xml:space="preserve">] </w:t>
      </w:r>
      <w:r>
        <w:rPr>
          <w:rFonts w:ascii="Arial" w:hAnsi="Arial" w:cs="Arial"/>
        </w:rPr>
        <w:t>F</w:t>
      </w:r>
      <w:r w:rsidRPr="007B2128">
        <w:rPr>
          <w:rFonts w:ascii="Arial" w:hAnsi="Arial" w:cs="Arial"/>
        </w:rPr>
        <w:t>orm LC 21 does not make provision for signature by employees in case</w:t>
      </w:r>
      <w:r>
        <w:rPr>
          <w:rFonts w:ascii="Arial" w:hAnsi="Arial" w:cs="Arial"/>
        </w:rPr>
        <w:t>s</w:t>
      </w:r>
      <w:r w:rsidRPr="007B2128">
        <w:rPr>
          <w:rFonts w:ascii="Arial" w:hAnsi="Arial" w:cs="Arial"/>
        </w:rPr>
        <w:t xml:space="preserve"> of joint referral</w:t>
      </w:r>
      <w:r>
        <w:rPr>
          <w:rFonts w:ascii="Arial" w:hAnsi="Arial" w:cs="Arial"/>
        </w:rPr>
        <w:t>s and</w:t>
      </w:r>
      <w:r w:rsidRPr="007B2128">
        <w:rPr>
          <w:rFonts w:ascii="Arial" w:hAnsi="Arial" w:cs="Arial"/>
        </w:rPr>
        <w:t xml:space="preserve"> does not provide for space to be signed by all employees next to their respective names.</w:t>
      </w:r>
      <w:r>
        <w:rPr>
          <w:rFonts w:ascii="Arial" w:hAnsi="Arial" w:cs="Arial"/>
        </w:rPr>
        <w:t xml:space="preserve"> In the </w:t>
      </w:r>
      <w:r w:rsidRPr="00326180">
        <w:rPr>
          <w:rFonts w:ascii="Arial" w:hAnsi="Arial" w:cs="Arial"/>
          <w:i/>
        </w:rPr>
        <w:t xml:space="preserve">Hans Merensky Holdings </w:t>
      </w:r>
      <w:r w:rsidRPr="00326180">
        <w:rPr>
          <w:rFonts w:ascii="Arial" w:hAnsi="Arial" w:cs="Arial"/>
        </w:rPr>
        <w:t>supra</w:t>
      </w:r>
      <w:r>
        <w:rPr>
          <w:rFonts w:ascii="Arial" w:hAnsi="Arial" w:cs="Arial"/>
        </w:rPr>
        <w:t>, Nel</w:t>
      </w:r>
      <w:r w:rsidRPr="007B2128">
        <w:rPr>
          <w:rFonts w:ascii="Arial" w:hAnsi="Arial" w:cs="Arial"/>
        </w:rPr>
        <w:t xml:space="preserve"> AJ</w:t>
      </w:r>
      <w:r>
        <w:rPr>
          <w:rFonts w:ascii="Arial" w:hAnsi="Arial" w:cs="Arial"/>
        </w:rPr>
        <w:t xml:space="preserve">, </w:t>
      </w:r>
      <w:r w:rsidRPr="007B2128">
        <w:rPr>
          <w:rFonts w:ascii="Arial" w:hAnsi="Arial" w:cs="Arial"/>
        </w:rPr>
        <w:t xml:space="preserve">further </w:t>
      </w:r>
      <w:r>
        <w:rPr>
          <w:rFonts w:ascii="Arial" w:hAnsi="Arial" w:cs="Arial"/>
        </w:rPr>
        <w:t>stated that:</w:t>
      </w:r>
    </w:p>
    <w:p w:rsidR="003F4846" w:rsidRPr="007B2128" w:rsidRDefault="003F4846" w:rsidP="003F4846">
      <w:pPr>
        <w:tabs>
          <w:tab w:val="left" w:pos="0"/>
        </w:tabs>
        <w:spacing w:line="360" w:lineRule="auto"/>
        <w:ind w:hanging="1440"/>
        <w:jc w:val="both"/>
        <w:rPr>
          <w:rFonts w:ascii="Arial" w:hAnsi="Arial" w:cs="Arial"/>
        </w:rPr>
      </w:pPr>
    </w:p>
    <w:p w:rsidR="003F4846" w:rsidRPr="00C96D0F" w:rsidRDefault="003F4846" w:rsidP="003F4846">
      <w:pPr>
        <w:tabs>
          <w:tab w:val="left" w:pos="0"/>
        </w:tabs>
        <w:spacing w:line="360" w:lineRule="auto"/>
        <w:ind w:left="720" w:hanging="1440"/>
        <w:jc w:val="both"/>
        <w:rPr>
          <w:rFonts w:ascii="Arial" w:hAnsi="Arial" w:cs="Arial"/>
          <w:sz w:val="22"/>
          <w:szCs w:val="22"/>
        </w:rPr>
      </w:pPr>
      <w:r>
        <w:rPr>
          <w:rFonts w:ascii="Arial" w:hAnsi="Arial" w:cs="Arial"/>
          <w:i/>
        </w:rPr>
        <w:tab/>
      </w:r>
      <w:r>
        <w:rPr>
          <w:rFonts w:ascii="Arial" w:hAnsi="Arial" w:cs="Arial"/>
          <w:i/>
        </w:rPr>
        <w:tab/>
      </w:r>
      <w:r w:rsidR="00C96D0F">
        <w:rPr>
          <w:rFonts w:ascii="Arial" w:hAnsi="Arial" w:cs="Arial"/>
          <w:sz w:val="22"/>
          <w:szCs w:val="22"/>
        </w:rPr>
        <w:t>‘</w:t>
      </w:r>
      <w:r w:rsidRPr="00C96D0F">
        <w:rPr>
          <w:rFonts w:ascii="Arial" w:hAnsi="Arial" w:cs="Arial"/>
          <w:sz w:val="22"/>
          <w:szCs w:val="22"/>
        </w:rPr>
        <w:t xml:space="preserve">On LRA Form 7.11, in the column next to where the details, and more particularly the name of the referring party, is to be filled in, one sees that it says “If there is more than one employee to the dispute and the referring party is not a trade union, then each employee must supply their personal details and signature on a separate page which must be attached to this form.”  That complaint of the applicant is accordingly without substance. Nowhere does one see from the LRA Form 7.11 that the number of employees on whose behalf the union was acting had to be stated. Whilst it may be prudent, even necessary, to provide these details at some stage of the dispute, I do not believe there is any statutory requirement to be gleaned </w:t>
      </w:r>
      <w:r w:rsidRPr="00C96D0F">
        <w:rPr>
          <w:rFonts w:ascii="Arial" w:hAnsi="Arial" w:cs="Arial"/>
          <w:sz w:val="22"/>
          <w:szCs w:val="22"/>
        </w:rPr>
        <w:lastRenderedPageBreak/>
        <w:t xml:space="preserve">from the form itself, or from any other statutory source, to my knowledge, that compels a union, when referring a dispute to the CCMA, to provide such numbers and names of the employees it purports to represent. Lastly, with reference to the complaint that the employment and other particulars required in Part B of LRA </w:t>
      </w:r>
      <w:r w:rsidR="009049DF" w:rsidRPr="00C96D0F">
        <w:rPr>
          <w:rFonts w:ascii="Arial" w:hAnsi="Arial" w:cs="Arial"/>
          <w:sz w:val="22"/>
          <w:szCs w:val="22"/>
        </w:rPr>
        <w:t>forms 7.11 were</w:t>
      </w:r>
      <w:r w:rsidRPr="00C96D0F">
        <w:rPr>
          <w:rFonts w:ascii="Arial" w:hAnsi="Arial" w:cs="Arial"/>
          <w:sz w:val="22"/>
          <w:szCs w:val="22"/>
        </w:rPr>
        <w:t xml:space="preserve"> not properly provided, this is the high</w:t>
      </w:r>
      <w:r w:rsidR="009049DF" w:rsidRPr="00C96D0F">
        <w:rPr>
          <w:rFonts w:ascii="Arial" w:hAnsi="Arial" w:cs="Arial"/>
          <w:sz w:val="22"/>
          <w:szCs w:val="22"/>
        </w:rPr>
        <w:t xml:space="preserve"> </w:t>
      </w:r>
      <w:r w:rsidRPr="00C96D0F">
        <w:rPr>
          <w:rFonts w:ascii="Arial" w:hAnsi="Arial" w:cs="Arial"/>
          <w:sz w:val="22"/>
          <w:szCs w:val="22"/>
        </w:rPr>
        <w:t>watermark of the applicant’s case. Whilst these details are clearly required to be filled in, if they are not, or are filled in inadequately, I do not believe that in and by itself renders the whole referral a nullity. I am of the view that as long as a disp</w:t>
      </w:r>
      <w:r w:rsidR="008156B9" w:rsidRPr="00C96D0F">
        <w:rPr>
          <w:rFonts w:ascii="Arial" w:hAnsi="Arial" w:cs="Arial"/>
          <w:sz w:val="22"/>
          <w:szCs w:val="22"/>
        </w:rPr>
        <w:t>ute referral complies reasonably</w:t>
      </w:r>
      <w:r w:rsidRPr="00C96D0F">
        <w:rPr>
          <w:rFonts w:ascii="Arial" w:hAnsi="Arial" w:cs="Arial"/>
          <w:sz w:val="22"/>
          <w:szCs w:val="22"/>
        </w:rPr>
        <w:t xml:space="preserve"> with the requirements as they appear on the LRA Form 7.11 itself, the CCMA is entitled to accept that there has been a proper referral. The CCMA is also in my view entitled to allow the correction and amplification or the curing of defects which it may believe exist in a particular dispute referral. All these complaints of the applicant in my view falls to be rejected as there was in my opinion substantial compliance by the third respondent on the one hand in referring the dispute and the first and second respondent did not in my view perpetrate any reviewable irregularity in accepting the dispute referra</w:t>
      </w:r>
      <w:r w:rsidR="00C96D0F">
        <w:rPr>
          <w:rFonts w:ascii="Arial" w:hAnsi="Arial" w:cs="Arial"/>
          <w:sz w:val="22"/>
          <w:szCs w:val="22"/>
        </w:rPr>
        <w:t>l as having been properly made.’</w:t>
      </w:r>
      <w:r w:rsidRPr="00C96D0F">
        <w:rPr>
          <w:rFonts w:ascii="Arial" w:hAnsi="Arial" w:cs="Arial"/>
          <w:sz w:val="22"/>
          <w:szCs w:val="22"/>
          <w:vertAlign w:val="superscript"/>
        </w:rPr>
        <w:footnoteReference w:id="5"/>
      </w:r>
    </w:p>
    <w:p w:rsidR="003F4846" w:rsidRPr="00C96D0F" w:rsidRDefault="003F4846" w:rsidP="003F4846">
      <w:pPr>
        <w:tabs>
          <w:tab w:val="left" w:pos="0"/>
        </w:tabs>
        <w:spacing w:line="360" w:lineRule="auto"/>
        <w:ind w:hanging="1440"/>
        <w:jc w:val="both"/>
        <w:rPr>
          <w:rFonts w:ascii="Arial" w:hAnsi="Arial" w:cs="Arial"/>
          <w:sz w:val="22"/>
          <w:szCs w:val="22"/>
        </w:rPr>
      </w:pPr>
    </w:p>
    <w:p w:rsidR="003F4846" w:rsidRPr="007B2128" w:rsidRDefault="003F4846" w:rsidP="003F4846">
      <w:pPr>
        <w:tabs>
          <w:tab w:val="left" w:pos="0"/>
        </w:tabs>
        <w:spacing w:line="360" w:lineRule="auto"/>
        <w:ind w:hanging="1440"/>
        <w:jc w:val="both"/>
        <w:rPr>
          <w:rFonts w:ascii="Arial" w:hAnsi="Arial" w:cs="Arial"/>
        </w:rPr>
      </w:pPr>
      <w:r>
        <w:rPr>
          <w:rFonts w:ascii="Arial" w:hAnsi="Arial" w:cs="Arial"/>
        </w:rPr>
        <w:tab/>
        <w:t>[28</w:t>
      </w:r>
      <w:r w:rsidRPr="007B2128">
        <w:rPr>
          <w:rFonts w:ascii="Arial" w:hAnsi="Arial" w:cs="Arial"/>
        </w:rPr>
        <w:t>]</w:t>
      </w:r>
      <w:r w:rsidR="008156B9">
        <w:rPr>
          <w:rFonts w:ascii="Arial" w:hAnsi="Arial" w:cs="Arial"/>
        </w:rPr>
        <w:tab/>
      </w:r>
      <w:r w:rsidRPr="007B2128">
        <w:rPr>
          <w:rFonts w:ascii="Arial" w:hAnsi="Arial" w:cs="Arial"/>
        </w:rPr>
        <w:t xml:space="preserve"> While Form LC 21 </w:t>
      </w:r>
      <w:r>
        <w:rPr>
          <w:rFonts w:ascii="Arial" w:hAnsi="Arial" w:cs="Arial"/>
        </w:rPr>
        <w:t xml:space="preserve">is not </w:t>
      </w:r>
      <w:r w:rsidR="008156B9">
        <w:rPr>
          <w:rFonts w:ascii="Arial" w:hAnsi="Arial" w:cs="Arial"/>
        </w:rPr>
        <w:t>similarly</w:t>
      </w:r>
      <w:r w:rsidR="00E2531A">
        <w:rPr>
          <w:rFonts w:ascii="Arial" w:hAnsi="Arial" w:cs="Arial"/>
        </w:rPr>
        <w:t xml:space="preserve"> worded</w:t>
      </w:r>
      <w:r>
        <w:rPr>
          <w:rFonts w:ascii="Arial" w:hAnsi="Arial" w:cs="Arial"/>
        </w:rPr>
        <w:t xml:space="preserve"> as its</w:t>
      </w:r>
      <w:r w:rsidRPr="007B2128">
        <w:rPr>
          <w:rFonts w:ascii="Arial" w:hAnsi="Arial" w:cs="Arial"/>
        </w:rPr>
        <w:t xml:space="preserve"> S</w:t>
      </w:r>
      <w:r w:rsidR="008156B9">
        <w:rPr>
          <w:rFonts w:ascii="Arial" w:hAnsi="Arial" w:cs="Arial"/>
        </w:rPr>
        <w:t xml:space="preserve">outh </w:t>
      </w:r>
      <w:r w:rsidRPr="007B2128">
        <w:rPr>
          <w:rFonts w:ascii="Arial" w:hAnsi="Arial" w:cs="Arial"/>
        </w:rPr>
        <w:t>A</w:t>
      </w:r>
      <w:r w:rsidR="008156B9">
        <w:rPr>
          <w:rFonts w:ascii="Arial" w:hAnsi="Arial" w:cs="Arial"/>
        </w:rPr>
        <w:t>frican</w:t>
      </w:r>
      <w:r w:rsidRPr="007B2128">
        <w:rPr>
          <w:rFonts w:ascii="Arial" w:hAnsi="Arial" w:cs="Arial"/>
        </w:rPr>
        <w:t xml:space="preserve"> counterpart (LRA form 7.11), it equally makes no provision for signatures of the employees next to their name</w:t>
      </w:r>
      <w:r w:rsidR="00363A32">
        <w:rPr>
          <w:rFonts w:ascii="Arial" w:hAnsi="Arial" w:cs="Arial"/>
        </w:rPr>
        <w:t>s</w:t>
      </w:r>
      <w:r w:rsidRPr="007B2128">
        <w:rPr>
          <w:rFonts w:ascii="Arial" w:hAnsi="Arial" w:cs="Arial"/>
        </w:rPr>
        <w:t>. As state</w:t>
      </w:r>
      <w:r>
        <w:rPr>
          <w:rFonts w:ascii="Arial" w:hAnsi="Arial" w:cs="Arial"/>
        </w:rPr>
        <w:t>d</w:t>
      </w:r>
      <w:r w:rsidRPr="007B2128">
        <w:rPr>
          <w:rFonts w:ascii="Arial" w:hAnsi="Arial" w:cs="Arial"/>
        </w:rPr>
        <w:t xml:space="preserve"> above, </w:t>
      </w:r>
      <w:r>
        <w:rPr>
          <w:rFonts w:ascii="Arial" w:hAnsi="Arial" w:cs="Arial"/>
        </w:rPr>
        <w:t>r</w:t>
      </w:r>
      <w:r w:rsidRPr="007B2128">
        <w:rPr>
          <w:rFonts w:ascii="Arial" w:hAnsi="Arial" w:cs="Arial"/>
        </w:rPr>
        <w:t xml:space="preserve">ule 5 (2) and (3) is couched in clear and in </w:t>
      </w:r>
      <w:r>
        <w:rPr>
          <w:rFonts w:ascii="Arial" w:hAnsi="Arial" w:cs="Arial"/>
        </w:rPr>
        <w:t>un</w:t>
      </w:r>
      <w:r w:rsidRPr="007B2128">
        <w:rPr>
          <w:rFonts w:ascii="Arial" w:hAnsi="Arial" w:cs="Arial"/>
        </w:rPr>
        <w:t>ambiguous language. The</w:t>
      </w:r>
      <w:r w:rsidR="009049DF">
        <w:rPr>
          <w:rFonts w:ascii="Arial" w:hAnsi="Arial" w:cs="Arial"/>
        </w:rPr>
        <w:t>se</w:t>
      </w:r>
      <w:r w:rsidRPr="007B2128">
        <w:rPr>
          <w:rFonts w:ascii="Arial" w:hAnsi="Arial" w:cs="Arial"/>
        </w:rPr>
        <w:t xml:space="preserve"> </w:t>
      </w:r>
      <w:r w:rsidR="009049DF">
        <w:rPr>
          <w:rFonts w:ascii="Arial" w:hAnsi="Arial" w:cs="Arial"/>
        </w:rPr>
        <w:t>sub-</w:t>
      </w:r>
      <w:r w:rsidRPr="007B2128">
        <w:rPr>
          <w:rFonts w:ascii="Arial" w:hAnsi="Arial" w:cs="Arial"/>
        </w:rPr>
        <w:t>rule</w:t>
      </w:r>
      <w:r w:rsidR="009049DF">
        <w:rPr>
          <w:rFonts w:ascii="Arial" w:hAnsi="Arial" w:cs="Arial"/>
        </w:rPr>
        <w:t>s</w:t>
      </w:r>
      <w:r w:rsidRPr="007B2128">
        <w:rPr>
          <w:rFonts w:ascii="Arial" w:hAnsi="Arial" w:cs="Arial"/>
        </w:rPr>
        <w:t xml:space="preserve"> do not </w:t>
      </w:r>
      <w:r w:rsidR="009049DF">
        <w:rPr>
          <w:rFonts w:ascii="Arial" w:hAnsi="Arial" w:cs="Arial"/>
        </w:rPr>
        <w:t xml:space="preserve">need to be complied with </w:t>
      </w:r>
      <w:r w:rsidRPr="007B2128">
        <w:rPr>
          <w:rFonts w:ascii="Arial" w:hAnsi="Arial" w:cs="Arial"/>
        </w:rPr>
        <w:t xml:space="preserve">if the referring party is a </w:t>
      </w:r>
      <w:r w:rsidRPr="009049DF">
        <w:rPr>
          <w:rFonts w:ascii="Arial" w:hAnsi="Arial" w:cs="Arial"/>
          <w:i/>
          <w:sz w:val="22"/>
          <w:szCs w:val="22"/>
        </w:rPr>
        <w:t>‘person entitled’</w:t>
      </w:r>
      <w:r w:rsidRPr="007B2128">
        <w:rPr>
          <w:rFonts w:ascii="Arial" w:hAnsi="Arial" w:cs="Arial"/>
        </w:rPr>
        <w:t xml:space="preserve"> (</w:t>
      </w:r>
      <w:r w:rsidR="009049DF">
        <w:rPr>
          <w:rFonts w:ascii="Arial" w:hAnsi="Arial" w:cs="Arial"/>
        </w:rPr>
        <w:t xml:space="preserve">for example, </w:t>
      </w:r>
      <w:r w:rsidRPr="007B2128">
        <w:rPr>
          <w:rFonts w:ascii="Arial" w:hAnsi="Arial" w:cs="Arial"/>
        </w:rPr>
        <w:t xml:space="preserve">a union representative). It is specifically </w:t>
      </w:r>
      <w:r w:rsidR="009049DF">
        <w:rPr>
          <w:rFonts w:ascii="Arial" w:hAnsi="Arial" w:cs="Arial"/>
        </w:rPr>
        <w:t>design</w:t>
      </w:r>
      <w:r w:rsidR="008156B9">
        <w:rPr>
          <w:rFonts w:ascii="Arial" w:hAnsi="Arial" w:cs="Arial"/>
        </w:rPr>
        <w:t>ed</w:t>
      </w:r>
      <w:r w:rsidR="009049DF">
        <w:rPr>
          <w:rFonts w:ascii="Arial" w:hAnsi="Arial" w:cs="Arial"/>
        </w:rPr>
        <w:t xml:space="preserve"> to </w:t>
      </w:r>
      <w:r w:rsidRPr="007B2128">
        <w:rPr>
          <w:rFonts w:ascii="Arial" w:hAnsi="Arial" w:cs="Arial"/>
        </w:rPr>
        <w:t xml:space="preserve">target </w:t>
      </w:r>
      <w:r>
        <w:rPr>
          <w:rFonts w:ascii="Arial" w:hAnsi="Arial" w:cs="Arial"/>
        </w:rPr>
        <w:t>a co-employee</w:t>
      </w:r>
      <w:r w:rsidRPr="007B2128">
        <w:rPr>
          <w:rFonts w:ascii="Arial" w:hAnsi="Arial" w:cs="Arial"/>
        </w:rPr>
        <w:t xml:space="preserve"> referring a dispute on behalf of other employees. It borrows, with minor alteration</w:t>
      </w:r>
      <w:r>
        <w:rPr>
          <w:rFonts w:ascii="Arial" w:hAnsi="Arial" w:cs="Arial"/>
        </w:rPr>
        <w:t>s,</w:t>
      </w:r>
      <w:r w:rsidRPr="007B2128">
        <w:rPr>
          <w:rFonts w:ascii="Arial" w:hAnsi="Arial" w:cs="Arial"/>
        </w:rPr>
        <w:t xml:space="preserve"> the same legal construc</w:t>
      </w:r>
      <w:r w:rsidR="00E2531A">
        <w:rPr>
          <w:rFonts w:ascii="Arial" w:hAnsi="Arial" w:cs="Arial"/>
        </w:rPr>
        <w:t>t</w:t>
      </w:r>
      <w:r w:rsidR="008156B9">
        <w:rPr>
          <w:rFonts w:ascii="Arial" w:hAnsi="Arial" w:cs="Arial"/>
        </w:rPr>
        <w:t xml:space="preserve"> as</w:t>
      </w:r>
      <w:r w:rsidRPr="007B2128">
        <w:rPr>
          <w:rFonts w:ascii="Arial" w:hAnsi="Arial" w:cs="Arial"/>
        </w:rPr>
        <w:t xml:space="preserve"> </w:t>
      </w:r>
      <w:r>
        <w:rPr>
          <w:rFonts w:ascii="Arial" w:hAnsi="Arial" w:cs="Arial"/>
        </w:rPr>
        <w:t>it</w:t>
      </w:r>
      <w:r w:rsidR="00BE6606">
        <w:rPr>
          <w:rFonts w:ascii="Arial" w:hAnsi="Arial" w:cs="Arial"/>
        </w:rPr>
        <w:t>’</w:t>
      </w:r>
      <w:r>
        <w:rPr>
          <w:rFonts w:ascii="Arial" w:hAnsi="Arial" w:cs="Arial"/>
        </w:rPr>
        <w:t>s South African counterpart (</w:t>
      </w:r>
      <w:r w:rsidRPr="003F4846">
        <w:rPr>
          <w:rFonts w:ascii="Arial" w:hAnsi="Arial" w:cs="Arial"/>
        </w:rPr>
        <w:t>CCMA</w:t>
      </w:r>
      <w:r>
        <w:rPr>
          <w:rFonts w:ascii="Arial" w:hAnsi="Arial" w:cs="Arial"/>
        </w:rPr>
        <w:t>-</w:t>
      </w:r>
      <w:r w:rsidRPr="003F4846">
        <w:t xml:space="preserve"> </w:t>
      </w:r>
      <w:r w:rsidRPr="003F4846">
        <w:rPr>
          <w:rFonts w:ascii="Arial" w:hAnsi="Arial" w:cs="Arial"/>
        </w:rPr>
        <w:t>LRA form 7.11</w:t>
      </w:r>
      <w:r>
        <w:rPr>
          <w:rFonts w:ascii="Arial" w:hAnsi="Arial" w:cs="Arial"/>
        </w:rPr>
        <w:t>).</w:t>
      </w:r>
      <w:r w:rsidRPr="007B2128">
        <w:rPr>
          <w:rFonts w:ascii="Arial" w:hAnsi="Arial" w:cs="Arial"/>
        </w:rPr>
        <w:t xml:space="preserve"> </w:t>
      </w:r>
    </w:p>
    <w:p w:rsidR="003F4846" w:rsidRDefault="003F4846" w:rsidP="003F4846">
      <w:pPr>
        <w:tabs>
          <w:tab w:val="left" w:pos="0"/>
        </w:tabs>
        <w:spacing w:line="360" w:lineRule="auto"/>
        <w:ind w:hanging="1440"/>
        <w:jc w:val="both"/>
        <w:rPr>
          <w:rFonts w:ascii="Arial" w:hAnsi="Arial" w:cs="Arial"/>
        </w:rPr>
      </w:pPr>
      <w:r>
        <w:rPr>
          <w:rFonts w:ascii="Arial" w:hAnsi="Arial" w:cs="Arial"/>
        </w:rPr>
        <w:tab/>
      </w:r>
      <w:r w:rsidRPr="00A82970">
        <w:rPr>
          <w:rFonts w:ascii="Arial" w:hAnsi="Arial" w:cs="Arial"/>
        </w:rPr>
        <w:t xml:space="preserve"> </w:t>
      </w:r>
    </w:p>
    <w:p w:rsidR="003F4846" w:rsidRPr="0068606D" w:rsidRDefault="003F4846" w:rsidP="003F4846">
      <w:pPr>
        <w:pStyle w:val="ListParagraph"/>
        <w:spacing w:line="360" w:lineRule="auto"/>
        <w:ind w:left="0"/>
        <w:jc w:val="both"/>
        <w:rPr>
          <w:rFonts w:ascii="Arial" w:hAnsi="Arial" w:cs="Arial"/>
        </w:rPr>
      </w:pPr>
      <w:r>
        <w:rPr>
          <w:rFonts w:ascii="Arial" w:hAnsi="Arial" w:cs="Arial"/>
        </w:rPr>
        <w:t>[29]</w:t>
      </w:r>
      <w:r>
        <w:rPr>
          <w:rFonts w:ascii="Arial" w:hAnsi="Arial" w:cs="Arial"/>
        </w:rPr>
        <w:tab/>
        <w:t>In light of the authorities cited above</w:t>
      </w:r>
      <w:r w:rsidR="009049DF">
        <w:rPr>
          <w:rFonts w:ascii="Arial" w:hAnsi="Arial" w:cs="Arial"/>
        </w:rPr>
        <w:t>,</w:t>
      </w:r>
      <w:r w:rsidRPr="0068606D">
        <w:rPr>
          <w:rFonts w:ascii="Arial" w:hAnsi="Arial" w:cs="Arial"/>
        </w:rPr>
        <w:t xml:space="preserve"> I am of the view that there was a </w:t>
      </w:r>
      <w:r>
        <w:rPr>
          <w:rFonts w:ascii="Arial" w:hAnsi="Arial" w:cs="Arial"/>
        </w:rPr>
        <w:t>proper referral of</w:t>
      </w:r>
      <w:r w:rsidRPr="0068606D">
        <w:rPr>
          <w:rFonts w:ascii="Arial" w:hAnsi="Arial" w:cs="Arial"/>
        </w:rPr>
        <w:t xml:space="preserve"> the dispute to the Labour Commissioner</w:t>
      </w:r>
      <w:r>
        <w:rPr>
          <w:rFonts w:ascii="Arial" w:hAnsi="Arial" w:cs="Arial"/>
        </w:rPr>
        <w:t>.</w:t>
      </w:r>
      <w:r w:rsidRPr="0068606D">
        <w:rPr>
          <w:rFonts w:ascii="Arial" w:hAnsi="Arial" w:cs="Arial"/>
        </w:rPr>
        <w:t xml:space="preserve"> </w:t>
      </w:r>
      <w:r>
        <w:rPr>
          <w:rFonts w:ascii="Arial" w:hAnsi="Arial" w:cs="Arial"/>
        </w:rPr>
        <w:t xml:space="preserve">In </w:t>
      </w:r>
      <w:r w:rsidRPr="0068606D">
        <w:rPr>
          <w:rFonts w:ascii="Arial" w:hAnsi="Arial" w:cs="Arial"/>
        </w:rPr>
        <w:t>my understanding</w:t>
      </w:r>
      <w:r>
        <w:rPr>
          <w:rFonts w:ascii="Arial" w:hAnsi="Arial" w:cs="Arial"/>
        </w:rPr>
        <w:t>, rule</w:t>
      </w:r>
      <w:r w:rsidRPr="0068606D">
        <w:rPr>
          <w:rFonts w:ascii="Arial" w:hAnsi="Arial" w:cs="Arial"/>
        </w:rPr>
        <w:t xml:space="preserve"> 5(1) </w:t>
      </w:r>
      <w:r>
        <w:rPr>
          <w:rFonts w:ascii="Arial" w:hAnsi="Arial" w:cs="Arial"/>
        </w:rPr>
        <w:t xml:space="preserve">was complied with when the referral was </w:t>
      </w:r>
      <w:r w:rsidRPr="0068606D">
        <w:rPr>
          <w:rFonts w:ascii="Arial" w:hAnsi="Arial" w:cs="Arial"/>
        </w:rPr>
        <w:t xml:space="preserve">signed </w:t>
      </w:r>
      <w:r>
        <w:rPr>
          <w:rFonts w:ascii="Arial" w:hAnsi="Arial" w:cs="Arial"/>
        </w:rPr>
        <w:t xml:space="preserve">by the </w:t>
      </w:r>
      <w:r w:rsidRPr="0068606D">
        <w:rPr>
          <w:rFonts w:ascii="Arial" w:hAnsi="Arial" w:cs="Arial"/>
        </w:rPr>
        <w:t>trade union</w:t>
      </w:r>
      <w:r>
        <w:rPr>
          <w:rFonts w:ascii="Arial" w:hAnsi="Arial" w:cs="Arial"/>
        </w:rPr>
        <w:t xml:space="preserve"> representative who derived his mandate to represent the respondents from the provision of the Act </w:t>
      </w:r>
      <w:r w:rsidRPr="0068606D">
        <w:rPr>
          <w:rFonts w:ascii="Arial" w:hAnsi="Arial" w:cs="Arial"/>
        </w:rPr>
        <w:t xml:space="preserve">without the need to submit a list </w:t>
      </w:r>
      <w:r>
        <w:rPr>
          <w:rFonts w:ascii="Arial" w:hAnsi="Arial" w:cs="Arial"/>
        </w:rPr>
        <w:t xml:space="preserve">and signed statement as proof of such a </w:t>
      </w:r>
      <w:r w:rsidRPr="003F4846">
        <w:rPr>
          <w:rFonts w:ascii="Arial" w:hAnsi="Arial" w:cs="Arial"/>
        </w:rPr>
        <w:t>mandate as required by rule 5(2) and (3).</w:t>
      </w:r>
      <w:r w:rsidRPr="0068606D">
        <w:rPr>
          <w:rFonts w:ascii="Arial" w:hAnsi="Arial" w:cs="Arial"/>
        </w:rPr>
        <w:t xml:space="preserve"> Therefore</w:t>
      </w:r>
      <w:r w:rsidR="009049DF">
        <w:rPr>
          <w:rFonts w:ascii="Arial" w:hAnsi="Arial" w:cs="Arial"/>
        </w:rPr>
        <w:t>,</w:t>
      </w:r>
      <w:r w:rsidRPr="0068606D">
        <w:rPr>
          <w:rFonts w:ascii="Arial" w:hAnsi="Arial" w:cs="Arial"/>
        </w:rPr>
        <w:t xml:space="preserve"> the fulfillment of rule 5</w:t>
      </w:r>
      <w:r w:rsidR="00DD6C38">
        <w:rPr>
          <w:rFonts w:ascii="Arial" w:hAnsi="Arial" w:cs="Arial"/>
        </w:rPr>
        <w:t>(1) by the union</w:t>
      </w:r>
      <w:r w:rsidR="008156B9">
        <w:rPr>
          <w:rFonts w:ascii="Arial" w:hAnsi="Arial" w:cs="Arial"/>
        </w:rPr>
        <w:t xml:space="preserve"> representative extinguishes </w:t>
      </w:r>
      <w:r>
        <w:rPr>
          <w:rFonts w:ascii="Arial" w:hAnsi="Arial" w:cs="Arial"/>
        </w:rPr>
        <w:lastRenderedPageBreak/>
        <w:t>th</w:t>
      </w:r>
      <w:r w:rsidR="009049DF">
        <w:rPr>
          <w:rFonts w:ascii="Arial" w:hAnsi="Arial" w:cs="Arial"/>
        </w:rPr>
        <w:t>is</w:t>
      </w:r>
      <w:r>
        <w:rPr>
          <w:rFonts w:ascii="Arial" w:hAnsi="Arial" w:cs="Arial"/>
        </w:rPr>
        <w:t xml:space="preserve"> ground of appeal as argued and consequently the </w:t>
      </w:r>
      <w:r w:rsidR="00363A32" w:rsidRPr="00363A32">
        <w:rPr>
          <w:rFonts w:ascii="Arial" w:hAnsi="Arial" w:cs="Arial"/>
        </w:rPr>
        <w:t>appellant</w:t>
      </w:r>
      <w:r w:rsidR="00363A32">
        <w:rPr>
          <w:rFonts w:ascii="Arial" w:hAnsi="Arial" w:cs="Arial"/>
        </w:rPr>
        <w:t xml:space="preserve">’s </w:t>
      </w:r>
      <w:r>
        <w:rPr>
          <w:rFonts w:ascii="Arial" w:hAnsi="Arial" w:cs="Arial"/>
        </w:rPr>
        <w:t xml:space="preserve">point </w:t>
      </w:r>
      <w:r w:rsidRPr="003C6E5F">
        <w:rPr>
          <w:rFonts w:ascii="Arial" w:hAnsi="Arial" w:cs="Arial"/>
          <w:i/>
        </w:rPr>
        <w:t xml:space="preserve">in limine </w:t>
      </w:r>
      <w:r>
        <w:rPr>
          <w:rFonts w:ascii="Arial" w:hAnsi="Arial" w:cs="Arial"/>
        </w:rPr>
        <w:t xml:space="preserve">fails. </w:t>
      </w:r>
    </w:p>
    <w:p w:rsidR="003F4846" w:rsidRDefault="003F4846" w:rsidP="00505060">
      <w:pPr>
        <w:tabs>
          <w:tab w:val="left" w:pos="0"/>
        </w:tabs>
        <w:spacing w:line="360" w:lineRule="auto"/>
        <w:ind w:hanging="1440"/>
        <w:jc w:val="both"/>
        <w:rPr>
          <w:rFonts w:ascii="Arial" w:hAnsi="Arial" w:cs="Arial"/>
        </w:rPr>
      </w:pPr>
    </w:p>
    <w:p w:rsidR="003F4846" w:rsidRDefault="003F4846" w:rsidP="00505060">
      <w:pPr>
        <w:tabs>
          <w:tab w:val="left" w:pos="0"/>
        </w:tabs>
        <w:spacing w:line="360" w:lineRule="auto"/>
        <w:ind w:hanging="1440"/>
        <w:jc w:val="both"/>
        <w:rPr>
          <w:rFonts w:ascii="Arial" w:hAnsi="Arial" w:cs="Arial"/>
        </w:rPr>
      </w:pPr>
      <w:r>
        <w:rPr>
          <w:rFonts w:ascii="Arial" w:hAnsi="Arial" w:cs="Arial"/>
        </w:rPr>
        <w:tab/>
        <w:t>[30] Even if I am wrong in finding that rule 5 (</w:t>
      </w:r>
      <w:r w:rsidR="00DD6C38">
        <w:rPr>
          <w:rFonts w:ascii="Arial" w:hAnsi="Arial" w:cs="Arial"/>
        </w:rPr>
        <w:t>2) and (3) above do not apply to</w:t>
      </w:r>
      <w:r>
        <w:rPr>
          <w:rFonts w:ascii="Arial" w:hAnsi="Arial" w:cs="Arial"/>
        </w:rPr>
        <w:t xml:space="preserve"> this instant case, I find that there was ratification by conduct of any defect in this referral of the dispute by the respondent</w:t>
      </w:r>
      <w:r w:rsidR="009049DF">
        <w:rPr>
          <w:rFonts w:ascii="Arial" w:hAnsi="Arial" w:cs="Arial"/>
        </w:rPr>
        <w:t>s</w:t>
      </w:r>
      <w:r>
        <w:rPr>
          <w:rFonts w:ascii="Arial" w:hAnsi="Arial" w:cs="Arial"/>
        </w:rPr>
        <w:t>.</w:t>
      </w:r>
    </w:p>
    <w:p w:rsidR="009049DF" w:rsidRDefault="009049DF" w:rsidP="00505060">
      <w:pPr>
        <w:tabs>
          <w:tab w:val="left" w:pos="0"/>
        </w:tabs>
        <w:spacing w:line="360" w:lineRule="auto"/>
        <w:ind w:hanging="1440"/>
        <w:jc w:val="both"/>
        <w:rPr>
          <w:rFonts w:ascii="Arial" w:hAnsi="Arial" w:cs="Arial"/>
        </w:rPr>
      </w:pPr>
    </w:p>
    <w:p w:rsidR="00505060" w:rsidRDefault="003F4846" w:rsidP="003F4846">
      <w:pPr>
        <w:tabs>
          <w:tab w:val="left" w:pos="0"/>
        </w:tabs>
        <w:spacing w:line="360" w:lineRule="auto"/>
        <w:jc w:val="both"/>
        <w:rPr>
          <w:rFonts w:ascii="Arial" w:hAnsi="Arial" w:cs="Arial"/>
        </w:rPr>
      </w:pPr>
      <w:r>
        <w:rPr>
          <w:rFonts w:ascii="Arial" w:hAnsi="Arial" w:cs="Arial"/>
        </w:rPr>
        <w:t xml:space="preserve">[31] </w:t>
      </w:r>
      <w:r w:rsidR="00505060">
        <w:rPr>
          <w:rFonts w:ascii="Arial" w:hAnsi="Arial" w:cs="Arial"/>
        </w:rPr>
        <w:t xml:space="preserve">In </w:t>
      </w:r>
      <w:r w:rsidR="00505060" w:rsidRPr="00505060">
        <w:rPr>
          <w:rFonts w:ascii="Arial" w:hAnsi="Arial" w:cs="Arial"/>
          <w:i/>
        </w:rPr>
        <w:t>Purity Manganese (Pty) Ltd v Katjivena and Others</w:t>
      </w:r>
      <w:r w:rsidR="00DD6C38">
        <w:rPr>
          <w:rFonts w:ascii="Arial" w:hAnsi="Arial" w:cs="Arial"/>
          <w:i/>
        </w:rPr>
        <w:t>,</w:t>
      </w:r>
      <w:r w:rsidR="00505060" w:rsidRPr="00505060">
        <w:rPr>
          <w:rFonts w:ascii="Arial" w:hAnsi="Arial" w:cs="Arial"/>
          <w:i/>
          <w:vertAlign w:val="superscript"/>
        </w:rPr>
        <w:footnoteReference w:id="6"/>
      </w:r>
      <w:r w:rsidR="00DD6C38">
        <w:rPr>
          <w:rFonts w:ascii="Arial" w:hAnsi="Arial" w:cs="Arial"/>
          <w:i/>
        </w:rPr>
        <w:t>,</w:t>
      </w:r>
      <w:r w:rsidR="00505060">
        <w:rPr>
          <w:rFonts w:ascii="Arial" w:hAnsi="Arial" w:cs="Arial"/>
          <w:i/>
        </w:rPr>
        <w:t xml:space="preserve"> </w:t>
      </w:r>
      <w:r w:rsidR="00505060">
        <w:rPr>
          <w:rFonts w:ascii="Arial" w:hAnsi="Arial" w:cs="Arial"/>
        </w:rPr>
        <w:t xml:space="preserve">Smuts J </w:t>
      </w:r>
      <w:r w:rsidR="00326180">
        <w:rPr>
          <w:rFonts w:ascii="Arial" w:hAnsi="Arial" w:cs="Arial"/>
        </w:rPr>
        <w:t>in determining</w:t>
      </w:r>
      <w:r w:rsidR="00505060">
        <w:rPr>
          <w:rFonts w:ascii="Arial" w:hAnsi="Arial" w:cs="Arial"/>
        </w:rPr>
        <w:t xml:space="preserve"> </w:t>
      </w:r>
      <w:r w:rsidR="00505060" w:rsidRPr="00505060">
        <w:rPr>
          <w:rFonts w:ascii="Arial" w:hAnsi="Arial" w:cs="Arial"/>
        </w:rPr>
        <w:t>whether the failure on a part of the referring party to sign the referral notice renders the ensuing arbitration proceedings and the award invalid and a nullity and liable to be set aside</w:t>
      </w:r>
      <w:r w:rsidR="00326180">
        <w:rPr>
          <w:rFonts w:ascii="Arial" w:hAnsi="Arial" w:cs="Arial"/>
        </w:rPr>
        <w:t>,</w:t>
      </w:r>
      <w:r w:rsidR="00505060">
        <w:rPr>
          <w:rFonts w:ascii="Arial" w:hAnsi="Arial" w:cs="Arial"/>
        </w:rPr>
        <w:t xml:space="preserve"> stated as follows:</w:t>
      </w:r>
    </w:p>
    <w:p w:rsidR="00C44494" w:rsidRDefault="00C44494" w:rsidP="00505060">
      <w:pPr>
        <w:tabs>
          <w:tab w:val="left" w:pos="0"/>
        </w:tabs>
        <w:spacing w:line="360" w:lineRule="auto"/>
        <w:ind w:hanging="1440"/>
        <w:jc w:val="both"/>
        <w:rPr>
          <w:rFonts w:ascii="Arial" w:hAnsi="Arial" w:cs="Arial"/>
        </w:rPr>
      </w:pPr>
    </w:p>
    <w:p w:rsidR="00C44494" w:rsidRPr="00C96D0F" w:rsidRDefault="00C44494" w:rsidP="00C44494">
      <w:pPr>
        <w:tabs>
          <w:tab w:val="left" w:pos="0"/>
        </w:tabs>
        <w:spacing w:line="360" w:lineRule="auto"/>
        <w:ind w:left="1440" w:hanging="1440"/>
        <w:jc w:val="both"/>
        <w:rPr>
          <w:rFonts w:ascii="Arial" w:hAnsi="Arial" w:cs="Arial"/>
          <w:sz w:val="22"/>
          <w:szCs w:val="22"/>
        </w:rPr>
      </w:pPr>
      <w:r>
        <w:rPr>
          <w:rFonts w:ascii="Arial" w:hAnsi="Arial" w:cs="Arial"/>
        </w:rPr>
        <w:tab/>
      </w:r>
      <w:r w:rsidRPr="00C96D0F">
        <w:rPr>
          <w:rFonts w:ascii="Arial" w:hAnsi="Arial" w:cs="Arial"/>
          <w:sz w:val="22"/>
          <w:szCs w:val="22"/>
        </w:rPr>
        <w:t xml:space="preserve">“It would seem to me that once parties have participated in proceedings which are the consequence of the submission and delivery of a referral form, then it would not be open to the other protagonist to take the point of the failure to have signed form because the question of authority would then not arise. The position may be different in cases </w:t>
      </w:r>
      <w:r w:rsidR="008156B9" w:rsidRPr="00C96D0F">
        <w:rPr>
          <w:rFonts w:ascii="Arial" w:hAnsi="Arial" w:cs="Arial"/>
          <w:sz w:val="22"/>
          <w:szCs w:val="22"/>
        </w:rPr>
        <w:t xml:space="preserve">of </w:t>
      </w:r>
      <w:r w:rsidRPr="00C96D0F">
        <w:rPr>
          <w:rFonts w:ascii="Arial" w:hAnsi="Arial" w:cs="Arial"/>
          <w:sz w:val="22"/>
          <w:szCs w:val="22"/>
        </w:rPr>
        <w:t>joint referrals where parties have not signed or identified as was found in Springbok Patrols which is to be confined to the facts of that case and is also to be qualified by the views expressed in this judgment. It would in my view be a point for the office of the Labour Commissioner to take up before participation commences and for that office to require compliance with the provisions of rules 5 and 14 for the matter to proceed in conciliation and arbitration. If that office does not invoke these provisions, and reject a referral it may then be for the protagonist to raise non-compliance with that rule prior to participation in conciliation and arbitration as the case may be, so that non-compliance can be rectified then. But once the Labour Commissioner has appointed a conciliator and arbitrator to conciliate and thereafter determine the dispute and who has assumed jurisdiction to do so, and once the parties have participated in those proceedings, then it would not in my view be open to the other protagonist in the proceedings to take this point.”</w:t>
      </w:r>
      <w:r w:rsidRPr="00C96D0F">
        <w:rPr>
          <w:rStyle w:val="FootnoteReference"/>
          <w:rFonts w:ascii="Arial" w:hAnsi="Arial" w:cs="Arial"/>
          <w:sz w:val="22"/>
          <w:szCs w:val="22"/>
        </w:rPr>
        <w:footnoteReference w:id="7"/>
      </w:r>
      <w:r w:rsidRPr="00C96D0F">
        <w:rPr>
          <w:rFonts w:ascii="Arial" w:hAnsi="Arial" w:cs="Arial"/>
          <w:sz w:val="22"/>
          <w:szCs w:val="22"/>
        </w:rPr>
        <w:t xml:space="preserve"> </w:t>
      </w:r>
    </w:p>
    <w:p w:rsidR="003F4846" w:rsidRPr="00C44494" w:rsidRDefault="003F4846" w:rsidP="00C44494">
      <w:pPr>
        <w:tabs>
          <w:tab w:val="left" w:pos="0"/>
        </w:tabs>
        <w:spacing w:line="360" w:lineRule="auto"/>
        <w:ind w:left="1440" w:hanging="1440"/>
        <w:jc w:val="both"/>
        <w:rPr>
          <w:rFonts w:ascii="Arial" w:hAnsi="Arial" w:cs="Arial"/>
          <w:i/>
          <w:sz w:val="22"/>
          <w:szCs w:val="22"/>
        </w:rPr>
      </w:pPr>
    </w:p>
    <w:p w:rsidR="00505060" w:rsidRDefault="00C44494" w:rsidP="00505060">
      <w:pPr>
        <w:tabs>
          <w:tab w:val="left" w:pos="0"/>
        </w:tabs>
        <w:spacing w:line="360" w:lineRule="auto"/>
        <w:ind w:hanging="1440"/>
        <w:jc w:val="both"/>
        <w:rPr>
          <w:rFonts w:ascii="Arial" w:hAnsi="Arial" w:cs="Arial"/>
        </w:rPr>
      </w:pPr>
      <w:r>
        <w:rPr>
          <w:rFonts w:ascii="Arial" w:hAnsi="Arial" w:cs="Arial"/>
        </w:rPr>
        <w:lastRenderedPageBreak/>
        <w:tab/>
      </w:r>
      <w:r w:rsidR="007B2128">
        <w:rPr>
          <w:rFonts w:ascii="Arial" w:hAnsi="Arial" w:cs="Arial"/>
        </w:rPr>
        <w:t>[</w:t>
      </w:r>
      <w:r w:rsidR="003F4846">
        <w:rPr>
          <w:rFonts w:ascii="Arial" w:hAnsi="Arial" w:cs="Arial"/>
        </w:rPr>
        <w:t>32]</w:t>
      </w:r>
      <w:r w:rsidR="008156B9">
        <w:rPr>
          <w:rFonts w:ascii="Arial" w:hAnsi="Arial" w:cs="Arial"/>
        </w:rPr>
        <w:tab/>
      </w:r>
      <w:r w:rsidR="00FC7392">
        <w:rPr>
          <w:rFonts w:ascii="Arial" w:hAnsi="Arial" w:cs="Arial"/>
        </w:rPr>
        <w:t xml:space="preserve">It is common cause that 19 of the 47 other respondents participated in the arbitration proceedings and that their names were read into the record. </w:t>
      </w:r>
      <w:r w:rsidR="003F4846">
        <w:rPr>
          <w:rFonts w:ascii="Arial" w:hAnsi="Arial" w:cs="Arial"/>
        </w:rPr>
        <w:t xml:space="preserve">I find the said </w:t>
      </w:r>
      <w:r w:rsidR="00736FE3">
        <w:rPr>
          <w:rFonts w:ascii="Arial" w:hAnsi="Arial" w:cs="Arial"/>
        </w:rPr>
        <w:t>respondents who participated in the arbitration proceedings</w:t>
      </w:r>
      <w:r w:rsidR="003F4846">
        <w:rPr>
          <w:rFonts w:ascii="Arial" w:hAnsi="Arial" w:cs="Arial"/>
        </w:rPr>
        <w:t xml:space="preserve"> had ratified the referral</w:t>
      </w:r>
      <w:r w:rsidR="00BD6A4E">
        <w:rPr>
          <w:rFonts w:ascii="Arial" w:hAnsi="Arial" w:cs="Arial"/>
        </w:rPr>
        <w:t xml:space="preserve"> </w:t>
      </w:r>
      <w:r w:rsidR="00DD6C38">
        <w:rPr>
          <w:rFonts w:ascii="Arial" w:hAnsi="Arial" w:cs="Arial"/>
        </w:rPr>
        <w:t xml:space="preserve">of the </w:t>
      </w:r>
      <w:r w:rsidR="001F3569">
        <w:rPr>
          <w:rFonts w:ascii="Arial" w:hAnsi="Arial" w:cs="Arial"/>
        </w:rPr>
        <w:t>dispute if</w:t>
      </w:r>
      <w:r w:rsidR="00BD6A4E">
        <w:rPr>
          <w:rFonts w:ascii="Arial" w:hAnsi="Arial" w:cs="Arial"/>
        </w:rPr>
        <w:t xml:space="preserve"> there was non-compliance</w:t>
      </w:r>
      <w:r w:rsidR="003F4846">
        <w:rPr>
          <w:rFonts w:ascii="Arial" w:hAnsi="Arial" w:cs="Arial"/>
        </w:rPr>
        <w:t>.</w:t>
      </w:r>
    </w:p>
    <w:p w:rsidR="003F4846" w:rsidRDefault="003F4846" w:rsidP="00505060">
      <w:pPr>
        <w:tabs>
          <w:tab w:val="left" w:pos="0"/>
        </w:tabs>
        <w:spacing w:line="360" w:lineRule="auto"/>
        <w:ind w:hanging="1440"/>
        <w:jc w:val="both"/>
        <w:rPr>
          <w:rFonts w:ascii="Arial" w:hAnsi="Arial" w:cs="Arial"/>
        </w:rPr>
      </w:pPr>
    </w:p>
    <w:p w:rsidR="00736FE3" w:rsidRDefault="00736FE3" w:rsidP="00505060">
      <w:pPr>
        <w:tabs>
          <w:tab w:val="left" w:pos="0"/>
        </w:tabs>
        <w:spacing w:line="360" w:lineRule="auto"/>
        <w:ind w:hanging="1440"/>
        <w:jc w:val="both"/>
        <w:rPr>
          <w:rFonts w:ascii="Arial" w:hAnsi="Arial" w:cs="Arial"/>
          <w:lang w:val="en-GB"/>
        </w:rPr>
      </w:pPr>
      <w:r>
        <w:rPr>
          <w:rFonts w:ascii="Arial" w:hAnsi="Arial" w:cs="Arial"/>
        </w:rPr>
        <w:tab/>
      </w:r>
      <w:r w:rsidR="007B2128">
        <w:rPr>
          <w:rFonts w:ascii="Arial" w:hAnsi="Arial" w:cs="Arial"/>
        </w:rPr>
        <w:t>[</w:t>
      </w:r>
      <w:r w:rsidR="003F4846">
        <w:rPr>
          <w:rFonts w:ascii="Arial" w:hAnsi="Arial" w:cs="Arial"/>
        </w:rPr>
        <w:t>33</w:t>
      </w:r>
      <w:r w:rsidR="005223F8">
        <w:rPr>
          <w:rFonts w:ascii="Arial" w:hAnsi="Arial" w:cs="Arial"/>
        </w:rPr>
        <w:t>]</w:t>
      </w:r>
      <w:r w:rsidR="005223F8">
        <w:rPr>
          <w:rFonts w:ascii="Arial" w:hAnsi="Arial" w:cs="Arial"/>
        </w:rPr>
        <w:tab/>
      </w:r>
      <w:r w:rsidR="00664378" w:rsidRPr="00664378">
        <w:rPr>
          <w:rFonts w:ascii="Arial" w:hAnsi="Arial" w:cs="Arial"/>
        </w:rPr>
        <w:t xml:space="preserve">In </w:t>
      </w:r>
      <w:r w:rsidR="00664378" w:rsidRPr="00664378">
        <w:rPr>
          <w:rFonts w:ascii="Arial" w:hAnsi="Arial" w:cs="Arial"/>
          <w:i/>
        </w:rPr>
        <w:t>Springbok Patrols (Pty) Ltd v Jacobs and others</w:t>
      </w:r>
      <w:r w:rsidR="00664378" w:rsidRPr="00664378">
        <w:rPr>
          <w:rFonts w:ascii="Arial" w:hAnsi="Arial" w:cs="Arial"/>
          <w:vertAlign w:val="superscript"/>
        </w:rPr>
        <w:footnoteReference w:id="8"/>
      </w:r>
      <w:r w:rsidR="00664378">
        <w:rPr>
          <w:rFonts w:ascii="Arial" w:hAnsi="Arial" w:cs="Arial"/>
        </w:rPr>
        <w:t xml:space="preserve"> </w:t>
      </w:r>
      <w:r w:rsidR="00664378">
        <w:rPr>
          <w:rFonts w:ascii="Arial" w:hAnsi="Arial" w:cs="Arial"/>
          <w:lang w:val="en-GB"/>
        </w:rPr>
        <w:t>t</w:t>
      </w:r>
      <w:r w:rsidR="00664378" w:rsidRPr="00664378">
        <w:rPr>
          <w:rFonts w:ascii="Arial" w:hAnsi="Arial" w:cs="Arial"/>
          <w:lang w:val="en-GB"/>
        </w:rPr>
        <w:t xml:space="preserve">he referral form </w:t>
      </w:r>
      <w:r w:rsidR="00BD6A4E">
        <w:rPr>
          <w:rFonts w:ascii="Arial" w:hAnsi="Arial" w:cs="Arial"/>
          <w:lang w:val="en-GB"/>
        </w:rPr>
        <w:t xml:space="preserve">did not contain any attachment on which the names of </w:t>
      </w:r>
      <w:r w:rsidR="00664378" w:rsidRPr="00664378">
        <w:rPr>
          <w:rFonts w:ascii="Arial" w:hAnsi="Arial" w:cs="Arial"/>
          <w:lang w:val="en-GB"/>
        </w:rPr>
        <w:t>other respondents were set out or the nature of their claim or even the amounts claimed by the different respondents.</w:t>
      </w:r>
      <w:r w:rsidR="00664378">
        <w:rPr>
          <w:rFonts w:ascii="Arial" w:hAnsi="Arial" w:cs="Arial"/>
          <w:lang w:val="en-GB"/>
        </w:rPr>
        <w:t xml:space="preserve"> </w:t>
      </w:r>
      <w:r w:rsidR="00A82970">
        <w:rPr>
          <w:rFonts w:ascii="Arial" w:hAnsi="Arial" w:cs="Arial"/>
          <w:lang w:val="en-GB"/>
        </w:rPr>
        <w:t>This case</w:t>
      </w:r>
      <w:r w:rsidR="00DD6C38">
        <w:rPr>
          <w:rFonts w:ascii="Arial" w:hAnsi="Arial" w:cs="Arial"/>
          <w:lang w:val="en-GB"/>
        </w:rPr>
        <w:t xml:space="preserve"> contained a number of distinguishing</w:t>
      </w:r>
      <w:r w:rsidR="00A82970">
        <w:rPr>
          <w:rFonts w:ascii="Arial" w:hAnsi="Arial" w:cs="Arial"/>
          <w:lang w:val="en-GB"/>
        </w:rPr>
        <w:t xml:space="preserve"> features, and I am in full agreement with Smuts J when he stated </w:t>
      </w:r>
      <w:r w:rsidR="003F4846">
        <w:rPr>
          <w:rFonts w:ascii="Arial" w:hAnsi="Arial" w:cs="Arial"/>
          <w:lang w:val="en-GB"/>
        </w:rPr>
        <w:t>that each</w:t>
      </w:r>
      <w:r w:rsidR="00A82970">
        <w:rPr>
          <w:rFonts w:ascii="Arial" w:hAnsi="Arial" w:cs="Arial"/>
          <w:lang w:val="en-GB"/>
        </w:rPr>
        <w:t xml:space="preserve"> case must be confined to its facts. What distinguishes the matter currently under consideration is that a crew list was attached to the referral form.</w:t>
      </w:r>
    </w:p>
    <w:p w:rsidR="003F4846" w:rsidRDefault="003F4846" w:rsidP="00505060">
      <w:pPr>
        <w:tabs>
          <w:tab w:val="left" w:pos="0"/>
        </w:tabs>
        <w:spacing w:line="360" w:lineRule="auto"/>
        <w:ind w:hanging="1440"/>
        <w:jc w:val="both"/>
        <w:rPr>
          <w:rFonts w:ascii="Arial" w:hAnsi="Arial" w:cs="Arial"/>
          <w:lang w:val="en-GB"/>
        </w:rPr>
      </w:pPr>
    </w:p>
    <w:p w:rsidR="00A82970" w:rsidRDefault="00A82970" w:rsidP="00505060">
      <w:pPr>
        <w:tabs>
          <w:tab w:val="left" w:pos="0"/>
        </w:tabs>
        <w:spacing w:line="360" w:lineRule="auto"/>
        <w:ind w:hanging="1440"/>
        <w:jc w:val="both"/>
        <w:rPr>
          <w:rFonts w:ascii="Arial" w:hAnsi="Arial" w:cs="Arial"/>
        </w:rPr>
      </w:pPr>
      <w:r>
        <w:rPr>
          <w:rFonts w:ascii="Arial" w:hAnsi="Arial" w:cs="Arial"/>
          <w:lang w:val="en-GB"/>
        </w:rPr>
        <w:tab/>
        <w:t>[</w:t>
      </w:r>
      <w:r w:rsidR="003F4846">
        <w:rPr>
          <w:rFonts w:ascii="Arial" w:hAnsi="Arial" w:cs="Arial"/>
          <w:lang w:val="en-GB"/>
        </w:rPr>
        <w:t>34</w:t>
      </w:r>
      <w:r>
        <w:rPr>
          <w:rFonts w:ascii="Arial" w:hAnsi="Arial" w:cs="Arial"/>
          <w:lang w:val="en-GB"/>
        </w:rPr>
        <w:t>]</w:t>
      </w:r>
      <w:r>
        <w:rPr>
          <w:rFonts w:ascii="Arial" w:hAnsi="Arial" w:cs="Arial"/>
          <w:lang w:val="en-GB"/>
        </w:rPr>
        <w:tab/>
      </w:r>
      <w:r w:rsidRPr="00A82970">
        <w:rPr>
          <w:rFonts w:ascii="Arial" w:hAnsi="Arial" w:cs="Arial"/>
        </w:rPr>
        <w:t xml:space="preserve">In </w:t>
      </w:r>
      <w:r w:rsidRPr="00A82970">
        <w:rPr>
          <w:rFonts w:ascii="Arial" w:hAnsi="Arial" w:cs="Arial"/>
          <w:i/>
        </w:rPr>
        <w:t>Methealth</w:t>
      </w:r>
      <w:r w:rsidRPr="00A82970">
        <w:rPr>
          <w:rFonts w:ascii="Arial" w:hAnsi="Arial" w:cs="Arial"/>
        </w:rPr>
        <w:t xml:space="preserve"> </w:t>
      </w:r>
      <w:r w:rsidRPr="00A82970">
        <w:rPr>
          <w:rFonts w:ascii="Arial" w:hAnsi="Arial" w:cs="Arial"/>
          <w:i/>
        </w:rPr>
        <w:t>Namibia Administrators (Pty) Ltd v Matuzee and others</w:t>
      </w:r>
      <w:r w:rsidRPr="00A82970">
        <w:rPr>
          <w:rFonts w:ascii="Arial" w:hAnsi="Arial" w:cs="Arial"/>
          <w:vertAlign w:val="superscript"/>
        </w:rPr>
        <w:footnoteReference w:id="9"/>
      </w:r>
      <w:r w:rsidRPr="00A82970">
        <w:rPr>
          <w:rFonts w:ascii="Arial" w:hAnsi="Arial" w:cs="Arial"/>
        </w:rPr>
        <w:t>, a union representative signed on behalf of the complainants in a joint referral and the process had reached an advanced stage whe</w:t>
      </w:r>
      <w:r>
        <w:rPr>
          <w:rFonts w:ascii="Arial" w:hAnsi="Arial" w:cs="Arial"/>
        </w:rPr>
        <w:t xml:space="preserve">n </w:t>
      </w:r>
      <w:r w:rsidRPr="00A82970">
        <w:rPr>
          <w:rFonts w:ascii="Arial" w:hAnsi="Arial" w:cs="Arial"/>
        </w:rPr>
        <w:t>objection</w:t>
      </w:r>
      <w:r>
        <w:rPr>
          <w:rFonts w:ascii="Arial" w:hAnsi="Arial" w:cs="Arial"/>
        </w:rPr>
        <w:t>s</w:t>
      </w:r>
      <w:r w:rsidRPr="00A82970">
        <w:rPr>
          <w:rFonts w:ascii="Arial" w:hAnsi="Arial" w:cs="Arial"/>
        </w:rPr>
        <w:t xml:space="preserve"> </w:t>
      </w:r>
      <w:r w:rsidR="00BD6A4E">
        <w:rPr>
          <w:rFonts w:ascii="Arial" w:hAnsi="Arial" w:cs="Arial"/>
        </w:rPr>
        <w:t xml:space="preserve">for non-compliance </w:t>
      </w:r>
      <w:r w:rsidRPr="00A82970">
        <w:rPr>
          <w:rFonts w:ascii="Arial" w:hAnsi="Arial" w:cs="Arial"/>
        </w:rPr>
        <w:t>were raised</w:t>
      </w:r>
      <w:r>
        <w:rPr>
          <w:rFonts w:ascii="Arial" w:hAnsi="Arial" w:cs="Arial"/>
        </w:rPr>
        <w:t>. The court fou</w:t>
      </w:r>
      <w:r w:rsidR="00326180">
        <w:rPr>
          <w:rFonts w:ascii="Arial" w:hAnsi="Arial" w:cs="Arial"/>
        </w:rPr>
        <w:t>n</w:t>
      </w:r>
      <w:r>
        <w:rPr>
          <w:rFonts w:ascii="Arial" w:hAnsi="Arial" w:cs="Arial"/>
        </w:rPr>
        <w:t>d</w:t>
      </w:r>
      <w:r w:rsidRPr="00A82970">
        <w:rPr>
          <w:rFonts w:ascii="Arial" w:hAnsi="Arial" w:cs="Arial"/>
        </w:rPr>
        <w:t xml:space="preserve"> </w:t>
      </w:r>
      <w:r>
        <w:rPr>
          <w:rFonts w:ascii="Arial" w:hAnsi="Arial" w:cs="Arial"/>
        </w:rPr>
        <w:t>that</w:t>
      </w:r>
      <w:r w:rsidRPr="00A82970">
        <w:rPr>
          <w:rFonts w:ascii="Arial" w:hAnsi="Arial" w:cs="Arial"/>
        </w:rPr>
        <w:t xml:space="preserve"> there was ratification by conduct on the part of the employees</w:t>
      </w:r>
      <w:r>
        <w:rPr>
          <w:rFonts w:ascii="Arial" w:hAnsi="Arial" w:cs="Arial"/>
        </w:rPr>
        <w:t xml:space="preserve"> which ratification was </w:t>
      </w:r>
      <w:r w:rsidRPr="00A82970">
        <w:rPr>
          <w:rFonts w:ascii="Arial" w:hAnsi="Arial" w:cs="Arial"/>
        </w:rPr>
        <w:t>effectual</w:t>
      </w:r>
      <w:r w:rsidR="00BD6A4E">
        <w:rPr>
          <w:rFonts w:ascii="Arial" w:hAnsi="Arial" w:cs="Arial"/>
        </w:rPr>
        <w:t xml:space="preserve"> when objections were raised</w:t>
      </w:r>
      <w:r w:rsidRPr="00A82970">
        <w:rPr>
          <w:rFonts w:ascii="Arial" w:hAnsi="Arial" w:cs="Arial"/>
        </w:rPr>
        <w:t xml:space="preserve">. The court did not consider whether rule 5 (2) and (3) </w:t>
      </w:r>
      <w:r w:rsidR="00BD6A4E">
        <w:rPr>
          <w:rFonts w:ascii="Arial" w:hAnsi="Arial" w:cs="Arial"/>
        </w:rPr>
        <w:t xml:space="preserve">are </w:t>
      </w:r>
      <w:r w:rsidRPr="00A82970">
        <w:rPr>
          <w:rFonts w:ascii="Arial" w:hAnsi="Arial" w:cs="Arial"/>
        </w:rPr>
        <w:t xml:space="preserve">applicable as it found that the arbitrator’s reasoning in refusing the point </w:t>
      </w:r>
      <w:r w:rsidRPr="00A82970">
        <w:rPr>
          <w:rFonts w:ascii="Arial" w:hAnsi="Arial" w:cs="Arial"/>
          <w:i/>
        </w:rPr>
        <w:t>in limine</w:t>
      </w:r>
      <w:r w:rsidRPr="00A82970">
        <w:rPr>
          <w:rFonts w:ascii="Arial" w:hAnsi="Arial" w:cs="Arial"/>
        </w:rPr>
        <w:t xml:space="preserve"> at </w:t>
      </w:r>
      <w:r w:rsidR="00822510">
        <w:rPr>
          <w:rFonts w:ascii="Arial" w:hAnsi="Arial" w:cs="Arial"/>
        </w:rPr>
        <w:t xml:space="preserve">such an </w:t>
      </w:r>
      <w:r w:rsidRPr="00A82970">
        <w:rPr>
          <w:rFonts w:ascii="Arial" w:hAnsi="Arial" w:cs="Arial"/>
        </w:rPr>
        <w:t>advanced stage of the arbitration proceeding</w:t>
      </w:r>
      <w:r w:rsidR="00326180">
        <w:rPr>
          <w:rFonts w:ascii="Arial" w:hAnsi="Arial" w:cs="Arial"/>
        </w:rPr>
        <w:t>s</w:t>
      </w:r>
      <w:r w:rsidRPr="00A82970">
        <w:rPr>
          <w:rFonts w:ascii="Arial" w:hAnsi="Arial" w:cs="Arial"/>
        </w:rPr>
        <w:t xml:space="preserve"> was correct.</w:t>
      </w:r>
    </w:p>
    <w:p w:rsidR="003F4846" w:rsidRDefault="003F4846" w:rsidP="00505060">
      <w:pPr>
        <w:tabs>
          <w:tab w:val="left" w:pos="0"/>
        </w:tabs>
        <w:spacing w:line="360" w:lineRule="auto"/>
        <w:ind w:hanging="1440"/>
        <w:jc w:val="both"/>
        <w:rPr>
          <w:rFonts w:ascii="Arial" w:hAnsi="Arial" w:cs="Arial"/>
        </w:rPr>
      </w:pPr>
    </w:p>
    <w:p w:rsidR="003C6E5F" w:rsidRDefault="00A97C72" w:rsidP="003F4846">
      <w:pPr>
        <w:tabs>
          <w:tab w:val="left" w:pos="0"/>
        </w:tabs>
        <w:spacing w:line="360" w:lineRule="auto"/>
        <w:jc w:val="both"/>
        <w:rPr>
          <w:rFonts w:ascii="Arial" w:hAnsi="Arial" w:cs="Arial"/>
        </w:rPr>
      </w:pPr>
      <w:r>
        <w:rPr>
          <w:rFonts w:ascii="Arial" w:hAnsi="Arial" w:cs="Arial"/>
        </w:rPr>
        <w:t>[35]</w:t>
      </w:r>
      <w:r>
        <w:rPr>
          <w:rFonts w:ascii="Arial" w:hAnsi="Arial" w:cs="Arial"/>
        </w:rPr>
        <w:tab/>
      </w:r>
      <w:r w:rsidR="003F4846">
        <w:rPr>
          <w:rFonts w:ascii="Arial" w:hAnsi="Arial" w:cs="Arial"/>
        </w:rPr>
        <w:t xml:space="preserve">On the basis of the aforesaid, I find that the 19 respondents who attended the arbitration hearing ratified </w:t>
      </w:r>
      <w:r w:rsidR="00BD6A4E">
        <w:rPr>
          <w:rFonts w:ascii="Arial" w:hAnsi="Arial" w:cs="Arial"/>
        </w:rPr>
        <w:t>whatever non-compliance there may  have been in the referral of the dispute.</w:t>
      </w:r>
      <w:r w:rsidR="003F4846">
        <w:rPr>
          <w:rFonts w:ascii="Arial" w:hAnsi="Arial" w:cs="Arial"/>
        </w:rPr>
        <w:t xml:space="preserve"> On this basis, the appellant’s point </w:t>
      </w:r>
      <w:r w:rsidR="003F4846" w:rsidRPr="003F4846">
        <w:rPr>
          <w:rFonts w:ascii="Arial" w:hAnsi="Arial" w:cs="Arial"/>
          <w:i/>
        </w:rPr>
        <w:t xml:space="preserve">in limine </w:t>
      </w:r>
      <w:r w:rsidR="003F4846">
        <w:rPr>
          <w:rFonts w:ascii="Arial" w:hAnsi="Arial" w:cs="Arial"/>
        </w:rPr>
        <w:t>equally fails.</w:t>
      </w:r>
      <w:r w:rsidR="00A82970">
        <w:rPr>
          <w:rFonts w:ascii="Arial" w:hAnsi="Arial" w:cs="Arial"/>
        </w:rPr>
        <w:tab/>
      </w:r>
    </w:p>
    <w:p w:rsidR="003F4846" w:rsidRDefault="003F4846" w:rsidP="003F4846">
      <w:pPr>
        <w:tabs>
          <w:tab w:val="left" w:pos="0"/>
        </w:tabs>
        <w:spacing w:line="360" w:lineRule="auto"/>
        <w:jc w:val="both"/>
        <w:rPr>
          <w:rFonts w:ascii="Arial" w:hAnsi="Arial" w:cs="Arial"/>
        </w:rPr>
      </w:pPr>
    </w:p>
    <w:p w:rsidR="0068606D" w:rsidRPr="000E7AC9" w:rsidRDefault="0068606D" w:rsidP="00BF0D83">
      <w:pPr>
        <w:spacing w:line="360" w:lineRule="auto"/>
        <w:jc w:val="both"/>
        <w:rPr>
          <w:rFonts w:ascii="Arial" w:hAnsi="Arial" w:cs="Arial"/>
          <w:i/>
          <w:u w:val="single"/>
        </w:rPr>
      </w:pPr>
      <w:r w:rsidRPr="000E7AC9">
        <w:rPr>
          <w:rFonts w:ascii="Arial" w:hAnsi="Arial" w:cs="Arial"/>
          <w:i/>
          <w:u w:val="single"/>
        </w:rPr>
        <w:t>Second point in limine-</w:t>
      </w:r>
      <w:r w:rsidRPr="000E7AC9">
        <w:rPr>
          <w:rFonts w:ascii="Arial" w:hAnsi="Arial" w:cs="Arial"/>
          <w:b/>
          <w:u w:val="single"/>
        </w:rPr>
        <w:t xml:space="preserve"> </w:t>
      </w:r>
      <w:r w:rsidR="00BD6A4E" w:rsidRPr="000E7AC9">
        <w:rPr>
          <w:rFonts w:ascii="Arial" w:hAnsi="Arial" w:cs="Arial"/>
          <w:i/>
          <w:u w:val="single"/>
        </w:rPr>
        <w:t>short notice of the hearing.</w:t>
      </w:r>
    </w:p>
    <w:p w:rsidR="007B2128" w:rsidRPr="00DD6C38" w:rsidRDefault="007B2128" w:rsidP="00BF0D83">
      <w:pPr>
        <w:spacing w:line="360" w:lineRule="auto"/>
        <w:jc w:val="both"/>
        <w:rPr>
          <w:rFonts w:ascii="Arial" w:hAnsi="Arial" w:cs="Arial"/>
          <w:b/>
          <w:u w:val="single"/>
        </w:rPr>
      </w:pPr>
    </w:p>
    <w:p w:rsidR="008B313D" w:rsidRDefault="003C6E5F" w:rsidP="00BF0D83">
      <w:pPr>
        <w:spacing w:line="360" w:lineRule="auto"/>
        <w:jc w:val="both"/>
        <w:rPr>
          <w:rFonts w:ascii="Arial" w:hAnsi="Arial" w:cs="Arial"/>
        </w:rPr>
      </w:pPr>
      <w:r>
        <w:rPr>
          <w:rFonts w:ascii="Arial" w:hAnsi="Arial" w:cs="Arial"/>
        </w:rPr>
        <w:t>[</w:t>
      </w:r>
      <w:r w:rsidR="00234EB6">
        <w:rPr>
          <w:rFonts w:ascii="Arial" w:hAnsi="Arial" w:cs="Arial"/>
        </w:rPr>
        <w:t>3</w:t>
      </w:r>
      <w:r w:rsidR="003F4846">
        <w:rPr>
          <w:rFonts w:ascii="Arial" w:hAnsi="Arial" w:cs="Arial"/>
        </w:rPr>
        <w:t>6</w:t>
      </w:r>
      <w:r>
        <w:rPr>
          <w:rFonts w:ascii="Arial" w:hAnsi="Arial" w:cs="Arial"/>
        </w:rPr>
        <w:t>]</w:t>
      </w:r>
      <w:r>
        <w:rPr>
          <w:rFonts w:ascii="Arial" w:hAnsi="Arial" w:cs="Arial"/>
        </w:rPr>
        <w:tab/>
      </w:r>
      <w:r w:rsidR="000346D6">
        <w:rPr>
          <w:rFonts w:ascii="Arial" w:hAnsi="Arial" w:cs="Arial"/>
        </w:rPr>
        <w:t>Appellant</w:t>
      </w:r>
      <w:r w:rsidR="0068606D" w:rsidRPr="0068606D">
        <w:rPr>
          <w:rFonts w:ascii="Arial" w:hAnsi="Arial" w:cs="Arial"/>
        </w:rPr>
        <w:t xml:space="preserve"> contends that the arbitrator erred in law when she set down the dispute for </w:t>
      </w:r>
      <w:r w:rsidR="008B313D">
        <w:rPr>
          <w:rFonts w:ascii="Arial" w:hAnsi="Arial" w:cs="Arial"/>
        </w:rPr>
        <w:t xml:space="preserve">the </w:t>
      </w:r>
      <w:r w:rsidR="0068606D" w:rsidRPr="0068606D">
        <w:rPr>
          <w:rFonts w:ascii="Arial" w:hAnsi="Arial" w:cs="Arial"/>
        </w:rPr>
        <w:t>arbitration hearing in contravention of the rule</w:t>
      </w:r>
      <w:r>
        <w:rPr>
          <w:rFonts w:ascii="Arial" w:hAnsi="Arial" w:cs="Arial"/>
        </w:rPr>
        <w:t>s. R</w:t>
      </w:r>
      <w:r w:rsidR="0068606D" w:rsidRPr="0068606D">
        <w:rPr>
          <w:rFonts w:ascii="Arial" w:hAnsi="Arial" w:cs="Arial"/>
        </w:rPr>
        <w:t>ule 15 require</w:t>
      </w:r>
      <w:r w:rsidR="008B313D">
        <w:rPr>
          <w:rFonts w:ascii="Arial" w:hAnsi="Arial" w:cs="Arial"/>
        </w:rPr>
        <w:t>s</w:t>
      </w:r>
      <w:r w:rsidR="0068606D" w:rsidRPr="0068606D">
        <w:rPr>
          <w:rFonts w:ascii="Arial" w:hAnsi="Arial" w:cs="Arial"/>
        </w:rPr>
        <w:t xml:space="preserve"> the arbitrator to give the parties 14 days’ notice of the arbitration hearing. </w:t>
      </w:r>
    </w:p>
    <w:p w:rsidR="00A97C72" w:rsidRDefault="00A97C72" w:rsidP="00BF0D83">
      <w:pPr>
        <w:spacing w:line="360" w:lineRule="auto"/>
        <w:jc w:val="both"/>
        <w:rPr>
          <w:rFonts w:ascii="Arial" w:hAnsi="Arial" w:cs="Arial"/>
        </w:rPr>
      </w:pPr>
    </w:p>
    <w:p w:rsidR="00234EB6" w:rsidRDefault="001F1CC0" w:rsidP="00BF0D83">
      <w:pPr>
        <w:spacing w:line="360" w:lineRule="auto"/>
        <w:jc w:val="both"/>
        <w:rPr>
          <w:rFonts w:ascii="Arial" w:hAnsi="Arial" w:cs="Arial"/>
        </w:rPr>
      </w:pPr>
      <w:r>
        <w:rPr>
          <w:rFonts w:ascii="Arial" w:hAnsi="Arial" w:cs="Arial"/>
        </w:rPr>
        <w:t>[37</w:t>
      </w:r>
      <w:r w:rsidR="00234EB6">
        <w:rPr>
          <w:rFonts w:ascii="Arial" w:hAnsi="Arial" w:cs="Arial"/>
        </w:rPr>
        <w:t>]</w:t>
      </w:r>
      <w:r w:rsidR="00234EB6">
        <w:rPr>
          <w:rFonts w:ascii="Arial" w:hAnsi="Arial" w:cs="Arial"/>
        </w:rPr>
        <w:tab/>
      </w:r>
      <w:r w:rsidR="0068606D" w:rsidRPr="0093742B">
        <w:rPr>
          <w:rFonts w:ascii="Arial" w:hAnsi="Arial" w:cs="Arial"/>
        </w:rPr>
        <w:t>Mr</w:t>
      </w:r>
      <w:r w:rsidR="0068606D" w:rsidRPr="003C6E5F">
        <w:rPr>
          <w:rFonts w:ascii="Arial" w:hAnsi="Arial" w:cs="Arial"/>
          <w:i/>
        </w:rPr>
        <w:t xml:space="preserve"> Dicks</w:t>
      </w:r>
      <w:r w:rsidR="003C6E5F">
        <w:rPr>
          <w:rFonts w:ascii="Arial" w:hAnsi="Arial" w:cs="Arial"/>
        </w:rPr>
        <w:t xml:space="preserve"> </w:t>
      </w:r>
      <w:r w:rsidR="0068606D" w:rsidRPr="0068606D">
        <w:rPr>
          <w:rFonts w:ascii="Arial" w:hAnsi="Arial" w:cs="Arial"/>
        </w:rPr>
        <w:t>submitted that the notice issued by the arbitrator on 8</w:t>
      </w:r>
      <w:r w:rsidR="00A97C72" w:rsidRPr="00A97C72">
        <w:rPr>
          <w:rFonts w:ascii="Arial" w:hAnsi="Arial" w:cs="Arial"/>
          <w:vertAlign w:val="superscript"/>
        </w:rPr>
        <w:t>th</w:t>
      </w:r>
      <w:r w:rsidR="00A97C72">
        <w:rPr>
          <w:rFonts w:ascii="Arial" w:hAnsi="Arial" w:cs="Arial"/>
        </w:rPr>
        <w:t xml:space="preserve"> </w:t>
      </w:r>
      <w:r w:rsidR="0068606D" w:rsidRPr="0068606D">
        <w:rPr>
          <w:rFonts w:ascii="Arial" w:hAnsi="Arial" w:cs="Arial"/>
        </w:rPr>
        <w:t xml:space="preserve">March 2016 setting down the arbitration hearing </w:t>
      </w:r>
      <w:r w:rsidR="00BD6A4E">
        <w:rPr>
          <w:rFonts w:ascii="Arial" w:hAnsi="Arial" w:cs="Arial"/>
        </w:rPr>
        <w:t xml:space="preserve">for the </w:t>
      </w:r>
      <w:r w:rsidR="0068606D" w:rsidRPr="0068606D">
        <w:rPr>
          <w:rFonts w:ascii="Arial" w:hAnsi="Arial" w:cs="Arial"/>
        </w:rPr>
        <w:t>15</w:t>
      </w:r>
      <w:r w:rsidR="00BD6A4E" w:rsidRPr="00BD6A4E">
        <w:rPr>
          <w:rFonts w:ascii="Arial" w:hAnsi="Arial" w:cs="Arial"/>
          <w:vertAlign w:val="superscript"/>
        </w:rPr>
        <w:t>th</w:t>
      </w:r>
      <w:r w:rsidR="00BD6A4E">
        <w:rPr>
          <w:rFonts w:ascii="Arial" w:hAnsi="Arial" w:cs="Arial"/>
        </w:rPr>
        <w:t xml:space="preserve"> of </w:t>
      </w:r>
      <w:r w:rsidR="00BD6A4E" w:rsidRPr="0068606D">
        <w:rPr>
          <w:rFonts w:ascii="Arial" w:hAnsi="Arial" w:cs="Arial"/>
        </w:rPr>
        <w:t>March</w:t>
      </w:r>
      <w:r w:rsidR="0068606D" w:rsidRPr="0068606D">
        <w:rPr>
          <w:rFonts w:ascii="Arial" w:hAnsi="Arial" w:cs="Arial"/>
        </w:rPr>
        <w:t xml:space="preserve"> 2016 constitutes </w:t>
      </w:r>
      <w:r w:rsidR="00A97C72">
        <w:rPr>
          <w:rFonts w:ascii="Arial" w:hAnsi="Arial" w:cs="Arial"/>
        </w:rPr>
        <w:t xml:space="preserve">a </w:t>
      </w:r>
      <w:r w:rsidR="0068606D" w:rsidRPr="0068606D">
        <w:rPr>
          <w:rFonts w:ascii="Arial" w:hAnsi="Arial" w:cs="Arial"/>
        </w:rPr>
        <w:t>short notice in violation of rule 15. He argued that any failure to comply with the time limits prescribed by the rules would make the arbitration hearing invalid and the award granted in terms</w:t>
      </w:r>
      <w:r w:rsidR="00600C9E">
        <w:rPr>
          <w:rFonts w:ascii="Arial" w:hAnsi="Arial" w:cs="Arial"/>
        </w:rPr>
        <w:t xml:space="preserve"> </w:t>
      </w:r>
      <w:r w:rsidR="0068606D" w:rsidRPr="0068606D">
        <w:rPr>
          <w:rFonts w:ascii="Arial" w:hAnsi="Arial" w:cs="Arial"/>
        </w:rPr>
        <w:t xml:space="preserve">thereof should be set aside. </w:t>
      </w:r>
    </w:p>
    <w:p w:rsidR="003F4846" w:rsidRPr="0068606D" w:rsidRDefault="003F4846" w:rsidP="00BF0D83">
      <w:pPr>
        <w:spacing w:line="360" w:lineRule="auto"/>
        <w:jc w:val="both"/>
        <w:rPr>
          <w:rFonts w:ascii="Arial" w:hAnsi="Arial" w:cs="Arial"/>
        </w:rPr>
      </w:pPr>
    </w:p>
    <w:p w:rsidR="009F0A75" w:rsidRDefault="003C6E5F" w:rsidP="009F0A75">
      <w:pPr>
        <w:spacing w:line="360" w:lineRule="auto"/>
        <w:jc w:val="both"/>
        <w:rPr>
          <w:rFonts w:ascii="Arial" w:hAnsi="Arial" w:cs="Arial"/>
        </w:rPr>
      </w:pPr>
      <w:r>
        <w:rPr>
          <w:rFonts w:ascii="Arial" w:hAnsi="Arial" w:cs="Arial"/>
        </w:rPr>
        <w:t>[</w:t>
      </w:r>
      <w:r w:rsidR="001F1CC0">
        <w:rPr>
          <w:rFonts w:ascii="Arial" w:hAnsi="Arial" w:cs="Arial"/>
        </w:rPr>
        <w:t>38</w:t>
      </w:r>
      <w:r w:rsidR="00A97C72">
        <w:rPr>
          <w:rFonts w:ascii="Arial" w:hAnsi="Arial" w:cs="Arial"/>
        </w:rPr>
        <w:t>]</w:t>
      </w:r>
      <w:r w:rsidR="00A97C72">
        <w:rPr>
          <w:rFonts w:ascii="Arial" w:hAnsi="Arial" w:cs="Arial"/>
        </w:rPr>
        <w:tab/>
      </w:r>
      <w:r w:rsidR="0068606D" w:rsidRPr="0068606D">
        <w:rPr>
          <w:rFonts w:ascii="Arial" w:hAnsi="Arial" w:cs="Arial"/>
        </w:rPr>
        <w:t>The</w:t>
      </w:r>
      <w:r>
        <w:rPr>
          <w:rFonts w:ascii="Arial" w:hAnsi="Arial" w:cs="Arial"/>
        </w:rPr>
        <w:t xml:space="preserve"> essential</w:t>
      </w:r>
      <w:r w:rsidR="0068606D" w:rsidRPr="0068606D">
        <w:rPr>
          <w:rFonts w:ascii="Arial" w:hAnsi="Arial" w:cs="Arial"/>
        </w:rPr>
        <w:t xml:space="preserve"> facts relating to this legal challenge </w:t>
      </w:r>
      <w:r w:rsidR="009F0A75">
        <w:rPr>
          <w:rFonts w:ascii="Arial" w:hAnsi="Arial" w:cs="Arial"/>
        </w:rPr>
        <w:t>are</w:t>
      </w:r>
      <w:r w:rsidR="0068606D" w:rsidRPr="0068606D">
        <w:rPr>
          <w:rFonts w:ascii="Arial" w:hAnsi="Arial" w:cs="Arial"/>
        </w:rPr>
        <w:t xml:space="preserve"> </w:t>
      </w:r>
      <w:r w:rsidR="009F0A75">
        <w:rPr>
          <w:rFonts w:ascii="Arial" w:hAnsi="Arial" w:cs="Arial"/>
        </w:rPr>
        <w:t xml:space="preserve">to </w:t>
      </w:r>
      <w:r>
        <w:rPr>
          <w:rFonts w:ascii="Arial" w:hAnsi="Arial" w:cs="Arial"/>
        </w:rPr>
        <w:t>be found</w:t>
      </w:r>
      <w:r w:rsidR="0068606D" w:rsidRPr="0068606D">
        <w:rPr>
          <w:rFonts w:ascii="Arial" w:hAnsi="Arial" w:cs="Arial"/>
        </w:rPr>
        <w:t xml:space="preserve"> in the affidavit of Ms </w:t>
      </w:r>
      <w:r>
        <w:rPr>
          <w:rFonts w:ascii="Arial" w:hAnsi="Arial" w:cs="Arial"/>
        </w:rPr>
        <w:t>Arendse</w:t>
      </w:r>
      <w:r w:rsidR="0068606D" w:rsidRPr="0068606D">
        <w:rPr>
          <w:rFonts w:ascii="Arial" w:hAnsi="Arial" w:cs="Arial"/>
        </w:rPr>
        <w:t xml:space="preserve">. </w:t>
      </w:r>
      <w:r w:rsidR="009F0A75">
        <w:rPr>
          <w:rFonts w:ascii="Arial" w:hAnsi="Arial" w:cs="Arial"/>
        </w:rPr>
        <w:t xml:space="preserve"> These facts are stated in paragraphs 7 to 12 above.</w:t>
      </w:r>
      <w:r w:rsidR="00363A32">
        <w:rPr>
          <w:rFonts w:ascii="Arial" w:hAnsi="Arial" w:cs="Arial"/>
        </w:rPr>
        <w:t xml:space="preserve"> Of particular importance</w:t>
      </w:r>
      <w:r w:rsidR="00230BA7">
        <w:rPr>
          <w:rFonts w:ascii="Arial" w:hAnsi="Arial" w:cs="Arial"/>
        </w:rPr>
        <w:t xml:space="preserve"> is the following extract from her affidavit:-</w:t>
      </w:r>
    </w:p>
    <w:p w:rsidR="0095541E" w:rsidRPr="00234EB6" w:rsidRDefault="0095541E" w:rsidP="009F0A75">
      <w:pPr>
        <w:spacing w:line="360" w:lineRule="auto"/>
        <w:jc w:val="both"/>
        <w:rPr>
          <w:rFonts w:ascii="Arial" w:hAnsi="Arial" w:cs="Arial"/>
        </w:rPr>
      </w:pPr>
    </w:p>
    <w:p w:rsidR="009605B4" w:rsidRPr="00C96D0F" w:rsidRDefault="00C96D0F" w:rsidP="00BF0D83">
      <w:pPr>
        <w:spacing w:line="360" w:lineRule="auto"/>
        <w:ind w:left="720"/>
        <w:jc w:val="both"/>
        <w:rPr>
          <w:rFonts w:ascii="Arial" w:hAnsi="Arial" w:cs="Arial"/>
          <w:sz w:val="22"/>
        </w:rPr>
      </w:pPr>
      <w:r>
        <w:rPr>
          <w:rFonts w:ascii="Arial" w:hAnsi="Arial" w:cs="Arial"/>
          <w:sz w:val="22"/>
        </w:rPr>
        <w:t>‘</w:t>
      </w:r>
      <w:r w:rsidR="00B118FC" w:rsidRPr="00C96D0F">
        <w:rPr>
          <w:rFonts w:ascii="Arial" w:hAnsi="Arial" w:cs="Arial"/>
          <w:sz w:val="22"/>
        </w:rPr>
        <w:t xml:space="preserve">On Tuesday, 8 March 2016, I received a notice of set down (FormLC4) advising that the arbitration hearing is set down for 15 March 2016. A Copy thereof is attached hereto and marked “AA10”. On 9 March 2016, I was instructed to attend management meetings of applicant in Cape Town. On 10 March at about 12h42, I telephonically spoke to the arbitrator and informed </w:t>
      </w:r>
      <w:r w:rsidR="00A97C72" w:rsidRPr="00C96D0F">
        <w:rPr>
          <w:rFonts w:ascii="Arial" w:hAnsi="Arial" w:cs="Arial"/>
          <w:sz w:val="22"/>
        </w:rPr>
        <w:t xml:space="preserve">her </w:t>
      </w:r>
      <w:r w:rsidR="00B118FC" w:rsidRPr="00C96D0F">
        <w:rPr>
          <w:rFonts w:ascii="Arial" w:hAnsi="Arial" w:cs="Arial"/>
          <w:sz w:val="22"/>
        </w:rPr>
        <w:t xml:space="preserve">that the date on which she has set the arbitration down is not suitable, as I had to attend management meetings in Cape Town…. She informed me that the matter can only be postponed if the two parties agree and that if we can agree </w:t>
      </w:r>
      <w:r w:rsidR="00A97C72" w:rsidRPr="00C96D0F">
        <w:rPr>
          <w:rFonts w:ascii="Arial" w:hAnsi="Arial" w:cs="Arial"/>
          <w:sz w:val="22"/>
        </w:rPr>
        <w:t xml:space="preserve">to </w:t>
      </w:r>
      <w:r w:rsidR="00B118FC" w:rsidRPr="00C96D0F">
        <w:rPr>
          <w:rFonts w:ascii="Arial" w:hAnsi="Arial" w:cs="Arial"/>
          <w:sz w:val="22"/>
        </w:rPr>
        <w:t>a date stil</w:t>
      </w:r>
      <w:r w:rsidR="009605B4" w:rsidRPr="00C96D0F">
        <w:rPr>
          <w:rFonts w:ascii="Arial" w:hAnsi="Arial" w:cs="Arial"/>
          <w:sz w:val="22"/>
        </w:rPr>
        <w:t>l</w:t>
      </w:r>
      <w:r w:rsidR="00B118FC" w:rsidRPr="00C96D0F">
        <w:rPr>
          <w:rFonts w:ascii="Arial" w:hAnsi="Arial" w:cs="Arial"/>
          <w:sz w:val="22"/>
        </w:rPr>
        <w:t xml:space="preserve"> in March 2016, she can assist before she</w:t>
      </w:r>
      <w:r w:rsidR="009605B4" w:rsidRPr="00C96D0F">
        <w:rPr>
          <w:rFonts w:ascii="Arial" w:hAnsi="Arial" w:cs="Arial"/>
          <w:sz w:val="22"/>
        </w:rPr>
        <w:t xml:space="preserve"> g</w:t>
      </w:r>
      <w:r>
        <w:rPr>
          <w:rFonts w:ascii="Arial" w:hAnsi="Arial" w:cs="Arial"/>
          <w:sz w:val="22"/>
        </w:rPr>
        <w:t>oes on leave during April 2016.’</w:t>
      </w:r>
      <w:r w:rsidR="00920AC5" w:rsidRPr="00C96D0F">
        <w:rPr>
          <w:rFonts w:ascii="Arial" w:hAnsi="Arial" w:cs="Arial"/>
          <w:sz w:val="22"/>
        </w:rPr>
        <w:t xml:space="preserve"> </w:t>
      </w:r>
    </w:p>
    <w:p w:rsidR="00920AC5" w:rsidRPr="00234EB6" w:rsidRDefault="00920AC5" w:rsidP="00BF0D83">
      <w:pPr>
        <w:spacing w:line="360" w:lineRule="auto"/>
        <w:ind w:left="720"/>
        <w:jc w:val="both"/>
        <w:rPr>
          <w:rFonts w:ascii="Arial" w:hAnsi="Arial" w:cs="Arial"/>
          <w:i/>
          <w:sz w:val="22"/>
        </w:rPr>
      </w:pPr>
    </w:p>
    <w:p w:rsidR="009605B4" w:rsidRDefault="009605B4" w:rsidP="00BF0D83">
      <w:pPr>
        <w:spacing w:line="360" w:lineRule="auto"/>
        <w:jc w:val="both"/>
        <w:rPr>
          <w:rFonts w:ascii="Arial" w:hAnsi="Arial" w:cs="Arial"/>
        </w:rPr>
      </w:pPr>
      <w:r w:rsidRPr="00234EB6">
        <w:rPr>
          <w:rFonts w:ascii="Arial" w:hAnsi="Arial" w:cs="Arial"/>
        </w:rPr>
        <w:t>[</w:t>
      </w:r>
      <w:r w:rsidR="001F1CC0">
        <w:rPr>
          <w:rFonts w:ascii="Arial" w:hAnsi="Arial" w:cs="Arial"/>
        </w:rPr>
        <w:t>39</w:t>
      </w:r>
      <w:r w:rsidR="00A97C72">
        <w:rPr>
          <w:rFonts w:ascii="Arial" w:hAnsi="Arial" w:cs="Arial"/>
        </w:rPr>
        <w:t>]</w:t>
      </w:r>
      <w:r w:rsidR="00A97C72">
        <w:rPr>
          <w:rFonts w:ascii="Arial" w:hAnsi="Arial" w:cs="Arial"/>
        </w:rPr>
        <w:tab/>
      </w:r>
      <w:r w:rsidR="0068606D" w:rsidRPr="0068606D">
        <w:rPr>
          <w:rFonts w:ascii="Arial" w:hAnsi="Arial" w:cs="Arial"/>
        </w:rPr>
        <w:t>On the 15 of March 2016, t</w:t>
      </w:r>
      <w:r>
        <w:rPr>
          <w:rFonts w:ascii="Arial" w:hAnsi="Arial" w:cs="Arial"/>
        </w:rPr>
        <w:t xml:space="preserve">he matter proceeded without </w:t>
      </w:r>
      <w:r w:rsidR="00230BA7">
        <w:rPr>
          <w:rFonts w:ascii="Arial" w:hAnsi="Arial" w:cs="Arial"/>
        </w:rPr>
        <w:t>a</w:t>
      </w:r>
      <w:r w:rsidR="000346D6">
        <w:rPr>
          <w:rFonts w:ascii="Arial" w:hAnsi="Arial" w:cs="Arial"/>
        </w:rPr>
        <w:t>ppellant</w:t>
      </w:r>
      <w:r w:rsidR="0068606D" w:rsidRPr="0068606D">
        <w:rPr>
          <w:rFonts w:ascii="Arial" w:hAnsi="Arial" w:cs="Arial"/>
        </w:rPr>
        <w:t xml:space="preserve"> who did not attend the</w:t>
      </w:r>
      <w:r>
        <w:rPr>
          <w:rFonts w:ascii="Arial" w:hAnsi="Arial" w:cs="Arial"/>
        </w:rPr>
        <w:t xml:space="preserve"> hearing. </w:t>
      </w:r>
      <w:r w:rsidR="0068606D" w:rsidRPr="0068606D">
        <w:rPr>
          <w:rFonts w:ascii="Arial" w:hAnsi="Arial" w:cs="Arial"/>
        </w:rPr>
        <w:t xml:space="preserve">It is common cause that Ms </w:t>
      </w:r>
      <w:r w:rsidR="003C6E5F">
        <w:rPr>
          <w:rFonts w:ascii="Arial" w:hAnsi="Arial" w:cs="Arial"/>
        </w:rPr>
        <w:t>Arendse</w:t>
      </w:r>
      <w:r w:rsidR="0068606D" w:rsidRPr="0068606D">
        <w:rPr>
          <w:rFonts w:ascii="Arial" w:hAnsi="Arial" w:cs="Arial"/>
        </w:rPr>
        <w:t xml:space="preserve"> raised</w:t>
      </w:r>
      <w:r w:rsidR="00600C9E">
        <w:rPr>
          <w:rFonts w:ascii="Arial" w:hAnsi="Arial" w:cs="Arial"/>
        </w:rPr>
        <w:t xml:space="preserve"> the issue of non-</w:t>
      </w:r>
      <w:r w:rsidR="00565DFE">
        <w:rPr>
          <w:rFonts w:ascii="Arial" w:hAnsi="Arial" w:cs="Arial"/>
        </w:rPr>
        <w:t>compliance</w:t>
      </w:r>
      <w:r w:rsidR="00600C9E">
        <w:rPr>
          <w:rFonts w:ascii="Arial" w:hAnsi="Arial" w:cs="Arial"/>
        </w:rPr>
        <w:t xml:space="preserve"> with </w:t>
      </w:r>
      <w:r w:rsidR="00565DFE">
        <w:rPr>
          <w:rFonts w:ascii="Arial" w:hAnsi="Arial" w:cs="Arial"/>
        </w:rPr>
        <w:t>r</w:t>
      </w:r>
      <w:r w:rsidR="0095541E">
        <w:rPr>
          <w:rFonts w:ascii="Arial" w:hAnsi="Arial" w:cs="Arial"/>
        </w:rPr>
        <w:t>ule 15</w:t>
      </w:r>
      <w:r w:rsidR="0068606D" w:rsidRPr="0068606D">
        <w:rPr>
          <w:rFonts w:ascii="Arial" w:hAnsi="Arial" w:cs="Arial"/>
        </w:rPr>
        <w:t xml:space="preserve"> for the first time</w:t>
      </w:r>
      <w:r>
        <w:rPr>
          <w:rFonts w:ascii="Arial" w:hAnsi="Arial" w:cs="Arial"/>
        </w:rPr>
        <w:t xml:space="preserve"> in the rescission application</w:t>
      </w:r>
      <w:r w:rsidR="00600C9E">
        <w:rPr>
          <w:rFonts w:ascii="Arial" w:hAnsi="Arial" w:cs="Arial"/>
        </w:rPr>
        <w:t xml:space="preserve">. </w:t>
      </w:r>
      <w:r>
        <w:rPr>
          <w:rFonts w:ascii="Arial" w:hAnsi="Arial" w:cs="Arial"/>
        </w:rPr>
        <w:t>S</w:t>
      </w:r>
      <w:r w:rsidR="0068606D" w:rsidRPr="0068606D">
        <w:rPr>
          <w:rFonts w:ascii="Arial" w:hAnsi="Arial" w:cs="Arial"/>
        </w:rPr>
        <w:t xml:space="preserve">he did not raise </w:t>
      </w:r>
      <w:r>
        <w:rPr>
          <w:rFonts w:ascii="Arial" w:hAnsi="Arial" w:cs="Arial"/>
        </w:rPr>
        <w:t>this issue</w:t>
      </w:r>
      <w:r w:rsidR="0068606D" w:rsidRPr="0068606D">
        <w:rPr>
          <w:rFonts w:ascii="Arial" w:hAnsi="Arial" w:cs="Arial"/>
        </w:rPr>
        <w:t xml:space="preserve"> with the arbitrator and the union representative when she sought a postponement. Her reason for seek</w:t>
      </w:r>
      <w:r>
        <w:rPr>
          <w:rFonts w:ascii="Arial" w:hAnsi="Arial" w:cs="Arial"/>
        </w:rPr>
        <w:t xml:space="preserve">ing a </w:t>
      </w:r>
      <w:r w:rsidRPr="0068606D">
        <w:rPr>
          <w:rFonts w:ascii="Arial" w:hAnsi="Arial" w:cs="Arial"/>
        </w:rPr>
        <w:t>postponement was</w:t>
      </w:r>
      <w:r w:rsidR="0068606D" w:rsidRPr="0068606D">
        <w:rPr>
          <w:rFonts w:ascii="Arial" w:hAnsi="Arial" w:cs="Arial"/>
        </w:rPr>
        <w:t xml:space="preserve"> premised on her unavailability due to a meeting scheduled on the same day in Cape Town. This much is obvious from her affidavit as afores</w:t>
      </w:r>
      <w:r w:rsidR="0095541E">
        <w:rPr>
          <w:rFonts w:ascii="Arial" w:hAnsi="Arial" w:cs="Arial"/>
        </w:rPr>
        <w:t>tated.</w:t>
      </w:r>
    </w:p>
    <w:p w:rsidR="0095541E" w:rsidRPr="0068606D" w:rsidRDefault="0095541E" w:rsidP="00BF0D83">
      <w:pPr>
        <w:spacing w:line="360" w:lineRule="auto"/>
        <w:jc w:val="both"/>
        <w:rPr>
          <w:rFonts w:ascii="Arial" w:hAnsi="Arial" w:cs="Arial"/>
        </w:rPr>
      </w:pPr>
    </w:p>
    <w:p w:rsidR="0068606D" w:rsidRPr="0068606D" w:rsidRDefault="009605B4" w:rsidP="00BF0D83">
      <w:pPr>
        <w:spacing w:line="360" w:lineRule="auto"/>
        <w:jc w:val="both"/>
        <w:rPr>
          <w:rFonts w:ascii="Arial" w:hAnsi="Arial" w:cs="Arial"/>
        </w:rPr>
      </w:pPr>
      <w:r>
        <w:rPr>
          <w:rFonts w:ascii="Arial" w:hAnsi="Arial" w:cs="Arial"/>
        </w:rPr>
        <w:t>[</w:t>
      </w:r>
      <w:r w:rsidR="001F1CC0">
        <w:rPr>
          <w:rFonts w:ascii="Arial" w:hAnsi="Arial" w:cs="Arial"/>
        </w:rPr>
        <w:t>40</w:t>
      </w:r>
      <w:r w:rsidR="0095541E">
        <w:rPr>
          <w:rFonts w:ascii="Arial" w:hAnsi="Arial" w:cs="Arial"/>
        </w:rPr>
        <w:t>]</w:t>
      </w:r>
      <w:r w:rsidR="00A97C72">
        <w:rPr>
          <w:rFonts w:ascii="Arial" w:hAnsi="Arial" w:cs="Arial"/>
        </w:rPr>
        <w:tab/>
      </w:r>
      <w:r w:rsidR="0068606D" w:rsidRPr="0068606D">
        <w:rPr>
          <w:rFonts w:ascii="Arial" w:hAnsi="Arial" w:cs="Arial"/>
        </w:rPr>
        <w:t xml:space="preserve">Form LC 28 filed on 12 February 2016 clearly </w:t>
      </w:r>
      <w:r w:rsidRPr="0068606D">
        <w:rPr>
          <w:rFonts w:ascii="Arial" w:hAnsi="Arial" w:cs="Arial"/>
        </w:rPr>
        <w:t>indicates</w:t>
      </w:r>
      <w:r w:rsidR="0068606D" w:rsidRPr="0068606D">
        <w:rPr>
          <w:rFonts w:ascii="Arial" w:hAnsi="Arial" w:cs="Arial"/>
        </w:rPr>
        <w:t xml:space="preserve"> that the parties were invited to an arbitration hearing. </w:t>
      </w:r>
      <w:r w:rsidR="0068606D" w:rsidRPr="009605B4">
        <w:rPr>
          <w:rFonts w:ascii="Arial" w:hAnsi="Arial" w:cs="Arial"/>
          <w:i/>
        </w:rPr>
        <w:t>Mr Dicks</w:t>
      </w:r>
      <w:r w:rsidR="0068606D" w:rsidRPr="0068606D">
        <w:rPr>
          <w:rFonts w:ascii="Arial" w:hAnsi="Arial" w:cs="Arial"/>
        </w:rPr>
        <w:t xml:space="preserve"> argued </w:t>
      </w:r>
      <w:r w:rsidR="00D52151">
        <w:rPr>
          <w:rFonts w:ascii="Arial" w:hAnsi="Arial" w:cs="Arial"/>
        </w:rPr>
        <w:t>that despite the wording on</w:t>
      </w:r>
      <w:r>
        <w:rPr>
          <w:rFonts w:ascii="Arial" w:hAnsi="Arial" w:cs="Arial"/>
        </w:rPr>
        <w:t xml:space="preserve"> form </w:t>
      </w:r>
      <w:r w:rsidR="0068606D" w:rsidRPr="0068606D">
        <w:rPr>
          <w:rFonts w:ascii="Arial" w:hAnsi="Arial" w:cs="Arial"/>
        </w:rPr>
        <w:t>LC28, there</w:t>
      </w:r>
      <w:r w:rsidR="00363A32">
        <w:rPr>
          <w:rFonts w:ascii="Arial" w:hAnsi="Arial" w:cs="Arial"/>
        </w:rPr>
        <w:t xml:space="preserve"> was no arbitration hearing hel</w:t>
      </w:r>
      <w:r w:rsidR="0068606D" w:rsidRPr="0068606D">
        <w:rPr>
          <w:rFonts w:ascii="Arial" w:hAnsi="Arial" w:cs="Arial"/>
        </w:rPr>
        <w:t>d on the day but a conciliation hearing. I disagree with such a proposition if r</w:t>
      </w:r>
      <w:r w:rsidR="00A97C72">
        <w:rPr>
          <w:rFonts w:ascii="Arial" w:hAnsi="Arial" w:cs="Arial"/>
        </w:rPr>
        <w:t xml:space="preserve">egard is had to Section 86 (5) and </w:t>
      </w:r>
      <w:r w:rsidR="00363A32">
        <w:rPr>
          <w:rFonts w:ascii="Arial" w:hAnsi="Arial" w:cs="Arial"/>
        </w:rPr>
        <w:t>(6) of the Labour Act: it states as follows:-</w:t>
      </w:r>
    </w:p>
    <w:p w:rsidR="009605B4" w:rsidRPr="00096250" w:rsidRDefault="009605B4" w:rsidP="00BF0D83">
      <w:pPr>
        <w:spacing w:line="360" w:lineRule="auto"/>
        <w:ind w:left="720" w:right="380"/>
        <w:jc w:val="both"/>
        <w:rPr>
          <w:rFonts w:ascii="Arial" w:hAnsi="Arial" w:cs="Arial"/>
        </w:rPr>
      </w:pPr>
    </w:p>
    <w:p w:rsidR="0068606D" w:rsidRPr="00096250" w:rsidRDefault="00363A32" w:rsidP="00BF0D83">
      <w:pPr>
        <w:spacing w:line="360" w:lineRule="auto"/>
        <w:ind w:left="720" w:right="380"/>
        <w:jc w:val="both"/>
        <w:rPr>
          <w:rFonts w:ascii="Arial" w:hAnsi="Arial" w:cs="Arial"/>
          <w:sz w:val="22"/>
        </w:rPr>
      </w:pPr>
      <w:r w:rsidRPr="00096250">
        <w:rPr>
          <w:rFonts w:ascii="Arial" w:hAnsi="Arial" w:cs="Arial"/>
          <w:sz w:val="22"/>
        </w:rPr>
        <w:t>‘</w:t>
      </w:r>
      <w:r w:rsidR="0068606D" w:rsidRPr="00096250">
        <w:rPr>
          <w:rFonts w:ascii="Arial" w:hAnsi="Arial" w:cs="Arial"/>
          <w:sz w:val="22"/>
        </w:rPr>
        <w:t>(5) Unless the dispute has already been conciliated, the arbitrator must attempt to resolve the dispute through conciliation before beginning the arbitration.</w:t>
      </w:r>
    </w:p>
    <w:p w:rsidR="00D55D4D" w:rsidRPr="00096250" w:rsidRDefault="0068606D" w:rsidP="00BF0D83">
      <w:pPr>
        <w:spacing w:line="360" w:lineRule="auto"/>
        <w:ind w:left="720" w:right="380"/>
        <w:jc w:val="both"/>
        <w:rPr>
          <w:rFonts w:ascii="Arial" w:hAnsi="Arial" w:cs="Arial"/>
          <w:sz w:val="22"/>
        </w:rPr>
      </w:pPr>
      <w:r w:rsidRPr="00096250">
        <w:rPr>
          <w:rFonts w:ascii="Arial" w:hAnsi="Arial" w:cs="Arial"/>
          <w:sz w:val="22"/>
        </w:rPr>
        <w:t>(6) If conciliation attempt is unsuccessful, the arbitrator must begin the arbitration.</w:t>
      </w:r>
      <w:r w:rsidR="00363A32" w:rsidRPr="00096250">
        <w:rPr>
          <w:rFonts w:ascii="Arial" w:hAnsi="Arial" w:cs="Arial"/>
          <w:sz w:val="22"/>
        </w:rPr>
        <w:t>’</w:t>
      </w:r>
    </w:p>
    <w:p w:rsidR="00D52151" w:rsidRPr="009605B4" w:rsidRDefault="00D52151" w:rsidP="00BF0D83">
      <w:pPr>
        <w:spacing w:line="360" w:lineRule="auto"/>
        <w:ind w:left="720" w:right="380"/>
        <w:jc w:val="both"/>
        <w:rPr>
          <w:rFonts w:ascii="Arial" w:hAnsi="Arial" w:cs="Arial"/>
          <w:i/>
        </w:rPr>
      </w:pPr>
    </w:p>
    <w:p w:rsidR="00D52151" w:rsidRDefault="009605B4" w:rsidP="00BF0D83">
      <w:pPr>
        <w:spacing w:line="360" w:lineRule="auto"/>
        <w:jc w:val="both"/>
        <w:rPr>
          <w:rFonts w:ascii="Arial" w:hAnsi="Arial" w:cs="Arial"/>
        </w:rPr>
      </w:pPr>
      <w:r w:rsidRPr="009605B4">
        <w:rPr>
          <w:rFonts w:ascii="Arial" w:hAnsi="Arial" w:cs="Arial"/>
        </w:rPr>
        <w:t>[</w:t>
      </w:r>
      <w:r w:rsidR="001F1CC0">
        <w:rPr>
          <w:rFonts w:ascii="Arial" w:hAnsi="Arial" w:cs="Arial"/>
        </w:rPr>
        <w:t>41</w:t>
      </w:r>
      <w:r w:rsidRPr="009605B4">
        <w:rPr>
          <w:rFonts w:ascii="Arial" w:hAnsi="Arial" w:cs="Arial"/>
        </w:rPr>
        <w:t>]</w:t>
      </w:r>
      <w:r>
        <w:rPr>
          <w:rFonts w:ascii="Arial" w:hAnsi="Arial" w:cs="Arial"/>
          <w:i/>
        </w:rPr>
        <w:tab/>
      </w:r>
      <w:r w:rsidR="0068606D" w:rsidRPr="00A97C72">
        <w:rPr>
          <w:rFonts w:ascii="Arial" w:hAnsi="Arial" w:cs="Arial"/>
        </w:rPr>
        <w:t xml:space="preserve">Ms </w:t>
      </w:r>
      <w:r w:rsidR="00D55D4D" w:rsidRPr="00A97C72">
        <w:rPr>
          <w:rFonts w:ascii="Arial" w:hAnsi="Arial" w:cs="Arial"/>
        </w:rPr>
        <w:t>Shilongo</w:t>
      </w:r>
      <w:r w:rsidR="00D55D4D" w:rsidRPr="009605B4">
        <w:rPr>
          <w:rFonts w:ascii="Arial" w:hAnsi="Arial" w:cs="Arial"/>
          <w:i/>
        </w:rPr>
        <w:t>,</w:t>
      </w:r>
      <w:r w:rsidR="0068606D" w:rsidRPr="0068606D">
        <w:rPr>
          <w:rFonts w:ascii="Arial" w:hAnsi="Arial" w:cs="Arial"/>
        </w:rPr>
        <w:t xml:space="preserve"> who appeared on behalf of the respondents, correctly argued that the </w:t>
      </w:r>
      <w:r>
        <w:rPr>
          <w:rFonts w:ascii="Arial" w:hAnsi="Arial" w:cs="Arial"/>
        </w:rPr>
        <w:t xml:space="preserve">form </w:t>
      </w:r>
      <w:r w:rsidR="0068606D" w:rsidRPr="0068606D">
        <w:rPr>
          <w:rFonts w:ascii="Arial" w:hAnsi="Arial" w:cs="Arial"/>
        </w:rPr>
        <w:t xml:space="preserve">LC28 was clearly intended to </w:t>
      </w:r>
      <w:r>
        <w:rPr>
          <w:rFonts w:ascii="Arial" w:hAnsi="Arial" w:cs="Arial"/>
        </w:rPr>
        <w:t xml:space="preserve">notify the parties of the </w:t>
      </w:r>
      <w:r w:rsidR="0068606D" w:rsidRPr="0068606D">
        <w:rPr>
          <w:rFonts w:ascii="Arial" w:hAnsi="Arial" w:cs="Arial"/>
        </w:rPr>
        <w:t>arbitrat</w:t>
      </w:r>
      <w:r>
        <w:rPr>
          <w:rFonts w:ascii="Arial" w:hAnsi="Arial" w:cs="Arial"/>
        </w:rPr>
        <w:t>ion hearing</w:t>
      </w:r>
      <w:r w:rsidR="0068606D" w:rsidRPr="0068606D">
        <w:rPr>
          <w:rFonts w:ascii="Arial" w:hAnsi="Arial" w:cs="Arial"/>
        </w:rPr>
        <w:t xml:space="preserve"> and because the arbitrator was obliged to conciliate the dispute before arbitrating it, it cannot be said that there was no notice of the arbitration hearing. </w:t>
      </w:r>
      <w:r w:rsidR="00D55D4D">
        <w:rPr>
          <w:rFonts w:ascii="Arial" w:hAnsi="Arial" w:cs="Arial"/>
        </w:rPr>
        <w:t>The matter can be arbitrated</w:t>
      </w:r>
      <w:r w:rsidR="0068606D" w:rsidRPr="0068606D">
        <w:rPr>
          <w:rFonts w:ascii="Arial" w:hAnsi="Arial" w:cs="Arial"/>
        </w:rPr>
        <w:t xml:space="preserve"> immediately after conciliation failed. She maintained that the initial set down of the</w:t>
      </w:r>
      <w:r w:rsidR="00D55D4D">
        <w:rPr>
          <w:rFonts w:ascii="Arial" w:hAnsi="Arial" w:cs="Arial"/>
        </w:rPr>
        <w:t xml:space="preserve"> matter was in compliance with rule</w:t>
      </w:r>
      <w:r w:rsidR="0068606D" w:rsidRPr="0068606D">
        <w:rPr>
          <w:rFonts w:ascii="Arial" w:hAnsi="Arial" w:cs="Arial"/>
        </w:rPr>
        <w:t xml:space="preserve"> 15.  </w:t>
      </w:r>
    </w:p>
    <w:p w:rsidR="00D52151" w:rsidRDefault="00D52151" w:rsidP="00BF0D83">
      <w:pPr>
        <w:spacing w:line="360" w:lineRule="auto"/>
        <w:jc w:val="both"/>
        <w:rPr>
          <w:rFonts w:ascii="Arial" w:hAnsi="Arial" w:cs="Arial"/>
        </w:rPr>
      </w:pPr>
    </w:p>
    <w:p w:rsidR="0068606D" w:rsidRDefault="001F1CC0" w:rsidP="00BF0D83">
      <w:pPr>
        <w:spacing w:line="360" w:lineRule="auto"/>
        <w:jc w:val="both"/>
        <w:rPr>
          <w:rFonts w:ascii="Arial" w:hAnsi="Arial" w:cs="Arial"/>
        </w:rPr>
      </w:pPr>
      <w:r>
        <w:rPr>
          <w:rFonts w:ascii="Arial" w:hAnsi="Arial" w:cs="Arial"/>
        </w:rPr>
        <w:t>[42</w:t>
      </w:r>
      <w:r w:rsidR="00D52151">
        <w:rPr>
          <w:rFonts w:ascii="Arial" w:hAnsi="Arial" w:cs="Arial"/>
        </w:rPr>
        <w:t>]</w:t>
      </w:r>
      <w:r w:rsidR="001F3569">
        <w:rPr>
          <w:rFonts w:ascii="Arial" w:hAnsi="Arial" w:cs="Arial"/>
        </w:rPr>
        <w:t xml:space="preserve"> </w:t>
      </w:r>
      <w:r w:rsidR="00D52151" w:rsidRPr="00A97C72">
        <w:rPr>
          <w:rFonts w:ascii="Arial" w:hAnsi="Arial" w:cs="Arial"/>
        </w:rPr>
        <w:t>Ms Shilongo</w:t>
      </w:r>
      <w:r w:rsidR="0068606D" w:rsidRPr="0068606D">
        <w:rPr>
          <w:rFonts w:ascii="Arial" w:hAnsi="Arial" w:cs="Arial"/>
        </w:rPr>
        <w:t xml:space="preserve"> submitted </w:t>
      </w:r>
      <w:r w:rsidR="00D52151">
        <w:rPr>
          <w:rFonts w:ascii="Arial" w:hAnsi="Arial" w:cs="Arial"/>
        </w:rPr>
        <w:t>that the</w:t>
      </w:r>
      <w:r w:rsidR="0068606D" w:rsidRPr="0068606D">
        <w:rPr>
          <w:rFonts w:ascii="Arial" w:hAnsi="Arial" w:cs="Arial"/>
        </w:rPr>
        <w:t xml:space="preserve"> hearing </w:t>
      </w:r>
      <w:r w:rsidR="00D52151">
        <w:rPr>
          <w:rFonts w:ascii="Arial" w:hAnsi="Arial" w:cs="Arial"/>
        </w:rPr>
        <w:t>date of</w:t>
      </w:r>
      <w:r w:rsidR="0068606D" w:rsidRPr="0068606D">
        <w:rPr>
          <w:rFonts w:ascii="Arial" w:hAnsi="Arial" w:cs="Arial"/>
        </w:rPr>
        <w:t xml:space="preserve"> 15 March 2016 was equally not contested by the parties until Ms </w:t>
      </w:r>
      <w:r w:rsidR="003C6E5F">
        <w:rPr>
          <w:rFonts w:ascii="Arial" w:hAnsi="Arial" w:cs="Arial"/>
        </w:rPr>
        <w:t>Arendse</w:t>
      </w:r>
      <w:r w:rsidR="0068606D" w:rsidRPr="0068606D">
        <w:rPr>
          <w:rFonts w:ascii="Arial" w:hAnsi="Arial" w:cs="Arial"/>
        </w:rPr>
        <w:t xml:space="preserve"> encountered a double booking.</w:t>
      </w:r>
      <w:r w:rsidR="00D55D4D">
        <w:rPr>
          <w:rFonts w:ascii="Arial" w:hAnsi="Arial" w:cs="Arial"/>
        </w:rPr>
        <w:t xml:space="preserve">  She maintained that the </w:t>
      </w:r>
      <w:r w:rsidR="0068606D" w:rsidRPr="0068606D">
        <w:rPr>
          <w:rFonts w:ascii="Arial" w:hAnsi="Arial" w:cs="Arial"/>
        </w:rPr>
        <w:t>parties were afforded reasonable time from 15 February 2016 to 15 March 2016 to settle the dispute.</w:t>
      </w:r>
    </w:p>
    <w:p w:rsidR="00312F65" w:rsidRPr="0068606D" w:rsidRDefault="00312F65" w:rsidP="00BF0D83">
      <w:pPr>
        <w:spacing w:line="360" w:lineRule="auto"/>
        <w:jc w:val="both"/>
        <w:rPr>
          <w:rFonts w:ascii="Arial" w:hAnsi="Arial" w:cs="Arial"/>
        </w:rPr>
      </w:pPr>
    </w:p>
    <w:p w:rsidR="00D55D4D" w:rsidRDefault="00D55D4D" w:rsidP="00BF0D83">
      <w:pPr>
        <w:spacing w:line="360" w:lineRule="auto"/>
        <w:jc w:val="both"/>
        <w:rPr>
          <w:rFonts w:ascii="Arial" w:hAnsi="Arial" w:cs="Arial"/>
        </w:rPr>
      </w:pPr>
      <w:r>
        <w:rPr>
          <w:rFonts w:ascii="Arial" w:hAnsi="Arial" w:cs="Arial"/>
        </w:rPr>
        <w:t>[</w:t>
      </w:r>
      <w:r w:rsidR="001F1CC0">
        <w:rPr>
          <w:rFonts w:ascii="Arial" w:hAnsi="Arial" w:cs="Arial"/>
        </w:rPr>
        <w:t>43</w:t>
      </w:r>
      <w:r>
        <w:rPr>
          <w:rFonts w:ascii="Arial" w:hAnsi="Arial" w:cs="Arial"/>
        </w:rPr>
        <w:t>]</w:t>
      </w:r>
      <w:r>
        <w:rPr>
          <w:rFonts w:ascii="Arial" w:hAnsi="Arial" w:cs="Arial"/>
        </w:rPr>
        <w:tab/>
      </w:r>
      <w:r w:rsidR="0068606D" w:rsidRPr="0068606D">
        <w:rPr>
          <w:rFonts w:ascii="Arial" w:hAnsi="Arial" w:cs="Arial"/>
        </w:rPr>
        <w:t xml:space="preserve">From the reading of section 86 of the Act, it is clear that </w:t>
      </w:r>
      <w:r>
        <w:rPr>
          <w:rFonts w:ascii="Arial" w:hAnsi="Arial" w:cs="Arial"/>
        </w:rPr>
        <w:t xml:space="preserve">the </w:t>
      </w:r>
      <w:r w:rsidR="0068606D" w:rsidRPr="0068606D">
        <w:rPr>
          <w:rFonts w:ascii="Arial" w:hAnsi="Arial" w:cs="Arial"/>
        </w:rPr>
        <w:t xml:space="preserve">intention of </w:t>
      </w:r>
      <w:r>
        <w:rPr>
          <w:rFonts w:ascii="Arial" w:hAnsi="Arial" w:cs="Arial"/>
        </w:rPr>
        <w:t xml:space="preserve">the legislature is </w:t>
      </w:r>
      <w:r w:rsidR="0068606D" w:rsidRPr="0068606D">
        <w:rPr>
          <w:rFonts w:ascii="Arial" w:hAnsi="Arial" w:cs="Arial"/>
        </w:rPr>
        <w:t>to ensure that conciliation of dispute</w:t>
      </w:r>
      <w:r>
        <w:rPr>
          <w:rFonts w:ascii="Arial" w:hAnsi="Arial" w:cs="Arial"/>
        </w:rPr>
        <w:t>s</w:t>
      </w:r>
      <w:r w:rsidR="0068606D" w:rsidRPr="0068606D">
        <w:rPr>
          <w:rFonts w:ascii="Arial" w:hAnsi="Arial" w:cs="Arial"/>
        </w:rPr>
        <w:t xml:space="preserve"> precedes arbitration. This position is c</w:t>
      </w:r>
      <w:r>
        <w:rPr>
          <w:rFonts w:ascii="Arial" w:hAnsi="Arial" w:cs="Arial"/>
        </w:rPr>
        <w:t xml:space="preserve">onfirmed if one has </w:t>
      </w:r>
      <w:r w:rsidR="0068606D" w:rsidRPr="0068606D">
        <w:rPr>
          <w:rFonts w:ascii="Arial" w:hAnsi="Arial" w:cs="Arial"/>
        </w:rPr>
        <w:t xml:space="preserve">regard to the time period prescribed in the rules </w:t>
      </w:r>
      <w:r>
        <w:rPr>
          <w:rFonts w:ascii="Arial" w:hAnsi="Arial" w:cs="Arial"/>
        </w:rPr>
        <w:t>relating to the</w:t>
      </w:r>
      <w:r w:rsidR="0068606D" w:rsidRPr="0068606D">
        <w:rPr>
          <w:rFonts w:ascii="Arial" w:hAnsi="Arial" w:cs="Arial"/>
        </w:rPr>
        <w:t xml:space="preserve"> setting down of conciliation and arbitration hearings. </w:t>
      </w:r>
    </w:p>
    <w:p w:rsidR="00A97C72" w:rsidRDefault="00A97C72" w:rsidP="00BF0D83">
      <w:pPr>
        <w:spacing w:line="360" w:lineRule="auto"/>
        <w:jc w:val="both"/>
        <w:rPr>
          <w:rFonts w:ascii="Arial" w:hAnsi="Arial" w:cs="Arial"/>
        </w:rPr>
      </w:pPr>
    </w:p>
    <w:p w:rsidR="0068606D" w:rsidRPr="0068606D" w:rsidRDefault="00D55D4D" w:rsidP="00BF0D83">
      <w:pPr>
        <w:spacing w:line="360" w:lineRule="auto"/>
        <w:jc w:val="both"/>
        <w:rPr>
          <w:rFonts w:ascii="Arial" w:hAnsi="Arial" w:cs="Arial"/>
        </w:rPr>
      </w:pPr>
      <w:r>
        <w:rPr>
          <w:rFonts w:ascii="Arial" w:hAnsi="Arial" w:cs="Arial"/>
        </w:rPr>
        <w:t>[</w:t>
      </w:r>
      <w:r w:rsidR="00600C9E">
        <w:rPr>
          <w:rFonts w:ascii="Arial" w:hAnsi="Arial" w:cs="Arial"/>
        </w:rPr>
        <w:t>4</w:t>
      </w:r>
      <w:r w:rsidR="001F1CC0">
        <w:rPr>
          <w:rFonts w:ascii="Arial" w:hAnsi="Arial" w:cs="Arial"/>
        </w:rPr>
        <w:t>4</w:t>
      </w:r>
      <w:r>
        <w:rPr>
          <w:rFonts w:ascii="Arial" w:hAnsi="Arial" w:cs="Arial"/>
        </w:rPr>
        <w:t>]</w:t>
      </w:r>
      <w:r>
        <w:rPr>
          <w:rFonts w:ascii="Arial" w:hAnsi="Arial" w:cs="Arial"/>
        </w:rPr>
        <w:tab/>
      </w:r>
      <w:r w:rsidR="0068606D" w:rsidRPr="0068606D">
        <w:rPr>
          <w:rFonts w:ascii="Arial" w:hAnsi="Arial" w:cs="Arial"/>
        </w:rPr>
        <w:t>Rule 12 stipulates that:-</w:t>
      </w:r>
    </w:p>
    <w:p w:rsidR="00D55D4D" w:rsidRPr="00C96D0F" w:rsidRDefault="00C96D0F" w:rsidP="00BF0D83">
      <w:pPr>
        <w:spacing w:line="360" w:lineRule="auto"/>
        <w:ind w:left="720" w:right="380"/>
        <w:jc w:val="both"/>
        <w:rPr>
          <w:rFonts w:ascii="Arial" w:hAnsi="Arial" w:cs="Arial"/>
          <w:sz w:val="22"/>
        </w:rPr>
      </w:pPr>
      <w:r>
        <w:rPr>
          <w:rFonts w:ascii="Arial" w:hAnsi="Arial" w:cs="Arial"/>
          <w:sz w:val="22"/>
        </w:rPr>
        <w:t>‘</w:t>
      </w:r>
      <w:r w:rsidR="0068606D" w:rsidRPr="00C96D0F">
        <w:rPr>
          <w:rFonts w:ascii="Arial" w:hAnsi="Arial" w:cs="Arial"/>
          <w:sz w:val="22"/>
        </w:rPr>
        <w:t>The Labour Commissioner must give the parties at least seven days' written notice on Form LC 23, of a conciliation meeting, unless the parties agree to a shorter period.</w:t>
      </w:r>
      <w:r>
        <w:rPr>
          <w:rFonts w:ascii="Arial" w:hAnsi="Arial" w:cs="Arial"/>
          <w:sz w:val="22"/>
        </w:rPr>
        <w:t>’</w:t>
      </w:r>
    </w:p>
    <w:p w:rsidR="00312F65" w:rsidRPr="00D55D4D" w:rsidRDefault="00312F65" w:rsidP="00BF0D83">
      <w:pPr>
        <w:spacing w:line="360" w:lineRule="auto"/>
        <w:ind w:left="720" w:right="380"/>
        <w:jc w:val="both"/>
        <w:rPr>
          <w:rFonts w:ascii="Arial" w:hAnsi="Arial" w:cs="Arial"/>
          <w:i/>
          <w:sz w:val="22"/>
        </w:rPr>
      </w:pPr>
    </w:p>
    <w:p w:rsidR="00A97C72" w:rsidRDefault="00A97C72" w:rsidP="00BF0D83">
      <w:pPr>
        <w:spacing w:line="360" w:lineRule="auto"/>
        <w:jc w:val="both"/>
        <w:rPr>
          <w:rFonts w:ascii="Arial" w:hAnsi="Arial" w:cs="Arial"/>
        </w:rPr>
      </w:pPr>
    </w:p>
    <w:p w:rsidR="0068606D" w:rsidRPr="0068606D" w:rsidRDefault="00D55D4D" w:rsidP="00BF0D83">
      <w:pPr>
        <w:spacing w:line="360" w:lineRule="auto"/>
        <w:jc w:val="both"/>
        <w:rPr>
          <w:rFonts w:ascii="Arial" w:hAnsi="Arial" w:cs="Arial"/>
        </w:rPr>
      </w:pPr>
      <w:r>
        <w:rPr>
          <w:rFonts w:ascii="Arial" w:hAnsi="Arial" w:cs="Arial"/>
        </w:rPr>
        <w:t>[</w:t>
      </w:r>
      <w:r w:rsidR="001F1CC0">
        <w:rPr>
          <w:rFonts w:ascii="Arial" w:hAnsi="Arial" w:cs="Arial"/>
        </w:rPr>
        <w:t>45</w:t>
      </w:r>
      <w:r>
        <w:rPr>
          <w:rFonts w:ascii="Arial" w:hAnsi="Arial" w:cs="Arial"/>
        </w:rPr>
        <w:t>]</w:t>
      </w:r>
      <w:r>
        <w:rPr>
          <w:rFonts w:ascii="Arial" w:hAnsi="Arial" w:cs="Arial"/>
        </w:rPr>
        <w:tab/>
      </w:r>
      <w:r w:rsidR="0068606D" w:rsidRPr="0068606D">
        <w:rPr>
          <w:rFonts w:ascii="Arial" w:hAnsi="Arial" w:cs="Arial"/>
        </w:rPr>
        <w:t>Rule 15 read</w:t>
      </w:r>
      <w:r w:rsidR="0012522D">
        <w:rPr>
          <w:rFonts w:ascii="Arial" w:hAnsi="Arial" w:cs="Arial"/>
        </w:rPr>
        <w:t>s</w:t>
      </w:r>
      <w:r w:rsidR="0068606D" w:rsidRPr="0068606D">
        <w:rPr>
          <w:rFonts w:ascii="Arial" w:hAnsi="Arial" w:cs="Arial"/>
        </w:rPr>
        <w:t xml:space="preserve"> as follows:</w:t>
      </w:r>
    </w:p>
    <w:p w:rsidR="00D55D4D" w:rsidRDefault="00C96D0F" w:rsidP="00BF0D83">
      <w:pPr>
        <w:spacing w:line="360" w:lineRule="auto"/>
        <w:ind w:left="720" w:right="380"/>
        <w:jc w:val="both"/>
        <w:rPr>
          <w:rFonts w:ascii="Arial" w:hAnsi="Arial" w:cs="Arial"/>
          <w:i/>
          <w:sz w:val="22"/>
        </w:rPr>
      </w:pPr>
      <w:r>
        <w:rPr>
          <w:rFonts w:ascii="Arial" w:hAnsi="Arial" w:cs="Arial"/>
          <w:sz w:val="22"/>
        </w:rPr>
        <w:t>‘</w:t>
      </w:r>
      <w:r w:rsidR="0068606D" w:rsidRPr="00C96D0F">
        <w:rPr>
          <w:rFonts w:ascii="Arial" w:hAnsi="Arial" w:cs="Arial"/>
          <w:sz w:val="22"/>
        </w:rPr>
        <w:t>The Labour Commissioner must give the parties at least 14 days’ notice of an arbitration hearing on Form LC 28, unless the parties agree to a shorter period</w:t>
      </w:r>
      <w:r w:rsidR="0068606D" w:rsidRPr="00D55D4D">
        <w:rPr>
          <w:rFonts w:ascii="Arial" w:hAnsi="Arial" w:cs="Arial"/>
          <w:i/>
          <w:sz w:val="22"/>
        </w:rPr>
        <w:t>.</w:t>
      </w:r>
      <w:r>
        <w:rPr>
          <w:rFonts w:ascii="Arial" w:hAnsi="Arial" w:cs="Arial"/>
          <w:i/>
          <w:sz w:val="22"/>
        </w:rPr>
        <w:t>’</w:t>
      </w:r>
    </w:p>
    <w:p w:rsidR="00312F65" w:rsidRPr="00D55D4D" w:rsidRDefault="00312F65" w:rsidP="00BF0D83">
      <w:pPr>
        <w:spacing w:line="360" w:lineRule="auto"/>
        <w:ind w:left="720" w:right="380"/>
        <w:jc w:val="both"/>
        <w:rPr>
          <w:rFonts w:ascii="Arial" w:hAnsi="Arial" w:cs="Arial"/>
          <w:i/>
          <w:sz w:val="22"/>
        </w:rPr>
      </w:pPr>
    </w:p>
    <w:p w:rsidR="00D55D4D" w:rsidRDefault="00D55D4D" w:rsidP="00BF0D83">
      <w:pPr>
        <w:spacing w:line="360" w:lineRule="auto"/>
        <w:jc w:val="both"/>
        <w:rPr>
          <w:rFonts w:ascii="Arial" w:hAnsi="Arial" w:cs="Arial"/>
        </w:rPr>
      </w:pPr>
      <w:r>
        <w:rPr>
          <w:rFonts w:ascii="Arial" w:hAnsi="Arial" w:cs="Arial"/>
        </w:rPr>
        <w:lastRenderedPageBreak/>
        <w:t>[</w:t>
      </w:r>
      <w:r w:rsidR="001F1CC0">
        <w:rPr>
          <w:rFonts w:ascii="Arial" w:hAnsi="Arial" w:cs="Arial"/>
        </w:rPr>
        <w:t>46</w:t>
      </w:r>
      <w:r>
        <w:rPr>
          <w:rFonts w:ascii="Arial" w:hAnsi="Arial" w:cs="Arial"/>
        </w:rPr>
        <w:t>]</w:t>
      </w:r>
      <w:r>
        <w:rPr>
          <w:rFonts w:ascii="Arial" w:hAnsi="Arial" w:cs="Arial"/>
        </w:rPr>
        <w:tab/>
      </w:r>
      <w:r w:rsidR="0068606D" w:rsidRPr="0068606D">
        <w:rPr>
          <w:rFonts w:ascii="Arial" w:hAnsi="Arial" w:cs="Arial"/>
        </w:rPr>
        <w:t>Rule 12 provides fo</w:t>
      </w:r>
      <w:r>
        <w:rPr>
          <w:rFonts w:ascii="Arial" w:hAnsi="Arial" w:cs="Arial"/>
        </w:rPr>
        <w:t>r a different form</w:t>
      </w:r>
      <w:r w:rsidR="00821934">
        <w:rPr>
          <w:rFonts w:ascii="Arial" w:hAnsi="Arial" w:cs="Arial"/>
        </w:rPr>
        <w:t xml:space="preserve"> </w:t>
      </w:r>
      <w:r>
        <w:rPr>
          <w:rFonts w:ascii="Arial" w:hAnsi="Arial" w:cs="Arial"/>
        </w:rPr>
        <w:t xml:space="preserve">and </w:t>
      </w:r>
      <w:r w:rsidR="00600C9E">
        <w:rPr>
          <w:rFonts w:ascii="Arial" w:hAnsi="Arial" w:cs="Arial"/>
        </w:rPr>
        <w:t xml:space="preserve">the </w:t>
      </w:r>
      <w:r w:rsidR="0068606D" w:rsidRPr="0068606D">
        <w:rPr>
          <w:rFonts w:ascii="Arial" w:hAnsi="Arial" w:cs="Arial"/>
        </w:rPr>
        <w:t xml:space="preserve">periods prescribed are much shorter than those prescribed by </w:t>
      </w:r>
      <w:r w:rsidR="0012522D">
        <w:rPr>
          <w:rFonts w:ascii="Arial" w:hAnsi="Arial" w:cs="Arial"/>
        </w:rPr>
        <w:t>r</w:t>
      </w:r>
      <w:r w:rsidR="0068606D" w:rsidRPr="0068606D">
        <w:rPr>
          <w:rFonts w:ascii="Arial" w:hAnsi="Arial" w:cs="Arial"/>
        </w:rPr>
        <w:t>ule 15.  An arbitrator who is keen to fairly and quickly determine the dispute between the parties may very well dispense with the iss</w:t>
      </w:r>
      <w:r>
        <w:rPr>
          <w:rFonts w:ascii="Arial" w:hAnsi="Arial" w:cs="Arial"/>
        </w:rPr>
        <w:t xml:space="preserve">uance of form LC23 and </w:t>
      </w:r>
      <w:r w:rsidR="0068606D" w:rsidRPr="0068606D">
        <w:rPr>
          <w:rFonts w:ascii="Arial" w:hAnsi="Arial" w:cs="Arial"/>
        </w:rPr>
        <w:t>issue form LC28</w:t>
      </w:r>
      <w:r>
        <w:rPr>
          <w:rFonts w:ascii="Arial" w:hAnsi="Arial" w:cs="Arial"/>
        </w:rPr>
        <w:t xml:space="preserve"> instead</w:t>
      </w:r>
      <w:r w:rsidR="0068606D" w:rsidRPr="0068606D">
        <w:rPr>
          <w:rFonts w:ascii="Arial" w:hAnsi="Arial" w:cs="Arial"/>
        </w:rPr>
        <w:t>. The critical compliance</w:t>
      </w:r>
      <w:r w:rsidR="00312F65">
        <w:rPr>
          <w:rFonts w:ascii="Arial" w:hAnsi="Arial" w:cs="Arial"/>
        </w:rPr>
        <w:t xml:space="preserve"> requirement</w:t>
      </w:r>
      <w:r w:rsidR="0068606D" w:rsidRPr="0068606D">
        <w:rPr>
          <w:rFonts w:ascii="Arial" w:hAnsi="Arial" w:cs="Arial"/>
        </w:rPr>
        <w:t xml:space="preserve"> is that the dispute </w:t>
      </w:r>
      <w:r>
        <w:rPr>
          <w:rFonts w:ascii="Arial" w:hAnsi="Arial" w:cs="Arial"/>
        </w:rPr>
        <w:t xml:space="preserve">referred </w:t>
      </w:r>
      <w:r w:rsidR="0068606D" w:rsidRPr="0068606D">
        <w:rPr>
          <w:rFonts w:ascii="Arial" w:hAnsi="Arial" w:cs="Arial"/>
        </w:rPr>
        <w:t>is conciliated before it is arbitrated. In that regard, conciliation ca</w:t>
      </w:r>
      <w:r w:rsidR="00312F65">
        <w:rPr>
          <w:rFonts w:ascii="Arial" w:hAnsi="Arial" w:cs="Arial"/>
        </w:rPr>
        <w:t xml:space="preserve">n be dealt with on the same day </w:t>
      </w:r>
      <w:r w:rsidR="0068606D" w:rsidRPr="0068606D">
        <w:rPr>
          <w:rFonts w:ascii="Arial" w:hAnsi="Arial" w:cs="Arial"/>
        </w:rPr>
        <w:t xml:space="preserve">as arbitration. </w:t>
      </w:r>
      <w:r w:rsidR="00312F65">
        <w:rPr>
          <w:rFonts w:ascii="Arial" w:hAnsi="Arial" w:cs="Arial"/>
        </w:rPr>
        <w:t xml:space="preserve">This was </w:t>
      </w:r>
      <w:r>
        <w:rPr>
          <w:rFonts w:ascii="Arial" w:hAnsi="Arial" w:cs="Arial"/>
        </w:rPr>
        <w:t>clearly the intention of the arbitrator in this case.</w:t>
      </w:r>
    </w:p>
    <w:p w:rsidR="00312F65" w:rsidRPr="0068606D" w:rsidRDefault="00312F65" w:rsidP="00BF0D83">
      <w:pPr>
        <w:spacing w:line="360" w:lineRule="auto"/>
        <w:jc w:val="both"/>
        <w:rPr>
          <w:rFonts w:ascii="Arial" w:hAnsi="Arial" w:cs="Arial"/>
        </w:rPr>
      </w:pPr>
    </w:p>
    <w:p w:rsidR="0068606D" w:rsidRPr="0068606D" w:rsidRDefault="00D55D4D" w:rsidP="00BF0D83">
      <w:pPr>
        <w:spacing w:line="360" w:lineRule="auto"/>
        <w:jc w:val="both"/>
        <w:rPr>
          <w:rFonts w:ascii="Arial" w:hAnsi="Arial" w:cs="Arial"/>
        </w:rPr>
      </w:pPr>
      <w:r>
        <w:rPr>
          <w:rFonts w:ascii="Arial" w:hAnsi="Arial" w:cs="Arial"/>
        </w:rPr>
        <w:t>[</w:t>
      </w:r>
      <w:r w:rsidR="001F1CC0">
        <w:rPr>
          <w:rFonts w:ascii="Arial" w:hAnsi="Arial" w:cs="Arial"/>
        </w:rPr>
        <w:t>47</w:t>
      </w:r>
      <w:r>
        <w:rPr>
          <w:rFonts w:ascii="Arial" w:hAnsi="Arial" w:cs="Arial"/>
        </w:rPr>
        <w:t>]</w:t>
      </w:r>
      <w:r>
        <w:rPr>
          <w:rFonts w:ascii="Arial" w:hAnsi="Arial" w:cs="Arial"/>
        </w:rPr>
        <w:tab/>
      </w:r>
      <w:r w:rsidR="0068606D" w:rsidRPr="0068606D">
        <w:rPr>
          <w:rFonts w:ascii="Arial" w:hAnsi="Arial" w:cs="Arial"/>
        </w:rPr>
        <w:t xml:space="preserve">Form LC28 is attached to </w:t>
      </w:r>
      <w:r w:rsidR="0012522D">
        <w:rPr>
          <w:rFonts w:ascii="Arial" w:hAnsi="Arial" w:cs="Arial"/>
        </w:rPr>
        <w:t xml:space="preserve">the </w:t>
      </w:r>
      <w:r w:rsidR="0068606D" w:rsidRPr="0068606D">
        <w:rPr>
          <w:rFonts w:ascii="Arial" w:hAnsi="Arial" w:cs="Arial"/>
        </w:rPr>
        <w:t xml:space="preserve">rules. It is titled </w:t>
      </w:r>
      <w:r w:rsidR="0068606D" w:rsidRPr="00D55D4D">
        <w:rPr>
          <w:rFonts w:ascii="Arial" w:hAnsi="Arial" w:cs="Arial"/>
          <w:i/>
          <w:sz w:val="22"/>
        </w:rPr>
        <w:t>“Arbitration Hearing”</w:t>
      </w:r>
      <w:r w:rsidR="0068606D" w:rsidRPr="0068606D">
        <w:rPr>
          <w:rFonts w:ascii="Arial" w:hAnsi="Arial" w:cs="Arial"/>
        </w:rPr>
        <w:t>. It reads as follows:-</w:t>
      </w:r>
    </w:p>
    <w:p w:rsidR="0068606D" w:rsidRPr="00C96D0F" w:rsidRDefault="00C96D0F" w:rsidP="00A97C72">
      <w:pPr>
        <w:spacing w:line="360" w:lineRule="auto"/>
        <w:ind w:left="1440" w:right="380" w:firstLine="60"/>
        <w:jc w:val="both"/>
        <w:rPr>
          <w:rFonts w:ascii="Arial" w:hAnsi="Arial" w:cs="Arial"/>
          <w:sz w:val="22"/>
        </w:rPr>
      </w:pPr>
      <w:r>
        <w:rPr>
          <w:rFonts w:ascii="Arial" w:hAnsi="Arial" w:cs="Arial"/>
          <w:sz w:val="22"/>
        </w:rPr>
        <w:t>‘</w:t>
      </w:r>
      <w:r w:rsidR="0068606D" w:rsidRPr="00C96D0F">
        <w:rPr>
          <w:rFonts w:ascii="Arial" w:hAnsi="Arial" w:cs="Arial"/>
          <w:sz w:val="22"/>
        </w:rPr>
        <w:t>that postponements may be granted witho</w:t>
      </w:r>
      <w:r w:rsidR="009C3AE9" w:rsidRPr="00C96D0F">
        <w:rPr>
          <w:rFonts w:ascii="Arial" w:hAnsi="Arial" w:cs="Arial"/>
          <w:sz w:val="22"/>
        </w:rPr>
        <w:t xml:space="preserve">ut the need for the parties to appear </w:t>
      </w:r>
      <w:r w:rsidR="0068606D" w:rsidRPr="00C96D0F">
        <w:rPr>
          <w:rFonts w:ascii="Arial" w:hAnsi="Arial" w:cs="Arial"/>
          <w:sz w:val="22"/>
        </w:rPr>
        <w:t>if:</w:t>
      </w:r>
      <w:r w:rsidR="0068606D" w:rsidRPr="00C96D0F">
        <w:rPr>
          <w:rFonts w:ascii="Arial" w:hAnsi="Arial" w:cs="Arial"/>
          <w:sz w:val="22"/>
        </w:rPr>
        <w:tab/>
      </w:r>
    </w:p>
    <w:p w:rsidR="0068606D" w:rsidRPr="00C96D0F" w:rsidRDefault="009C3AE9" w:rsidP="00BF0D83">
      <w:pPr>
        <w:spacing w:line="360" w:lineRule="auto"/>
        <w:ind w:left="720" w:right="380"/>
        <w:jc w:val="both"/>
        <w:rPr>
          <w:rFonts w:ascii="Arial" w:hAnsi="Arial" w:cs="Arial"/>
          <w:sz w:val="22"/>
        </w:rPr>
      </w:pPr>
      <w:r w:rsidRPr="00C96D0F">
        <w:rPr>
          <w:rFonts w:ascii="Arial" w:hAnsi="Arial" w:cs="Arial"/>
          <w:sz w:val="22"/>
        </w:rPr>
        <w:tab/>
      </w:r>
      <w:r w:rsidR="0068606D" w:rsidRPr="00C96D0F">
        <w:rPr>
          <w:rFonts w:ascii="Arial" w:hAnsi="Arial" w:cs="Arial"/>
          <w:sz w:val="22"/>
        </w:rPr>
        <w:t>all parties agree in writing and notify the arbitrator.</w:t>
      </w:r>
    </w:p>
    <w:p w:rsidR="0068606D" w:rsidRPr="00C96D0F" w:rsidRDefault="0068606D" w:rsidP="00BF0D83">
      <w:pPr>
        <w:spacing w:line="360" w:lineRule="auto"/>
        <w:ind w:left="1440" w:right="380"/>
        <w:jc w:val="both"/>
        <w:rPr>
          <w:rFonts w:ascii="Arial" w:hAnsi="Arial" w:cs="Arial"/>
          <w:sz w:val="22"/>
        </w:rPr>
      </w:pPr>
      <w:r w:rsidRPr="00C96D0F">
        <w:rPr>
          <w:rFonts w:ascii="Arial" w:hAnsi="Arial" w:cs="Arial"/>
          <w:sz w:val="22"/>
        </w:rPr>
        <w:t>a written reque</w:t>
      </w:r>
      <w:r w:rsidR="009C3AE9" w:rsidRPr="00C96D0F">
        <w:rPr>
          <w:rFonts w:ascii="Arial" w:hAnsi="Arial" w:cs="Arial"/>
          <w:sz w:val="22"/>
        </w:rPr>
        <w:t xml:space="preserve">st for a postponement has been </w:t>
      </w:r>
      <w:r w:rsidRPr="00C96D0F">
        <w:rPr>
          <w:rFonts w:ascii="Arial" w:hAnsi="Arial" w:cs="Arial"/>
          <w:sz w:val="22"/>
        </w:rPr>
        <w:t>received by the designate</w:t>
      </w:r>
      <w:r w:rsidR="009C3AE9" w:rsidRPr="00C96D0F">
        <w:rPr>
          <w:rFonts w:ascii="Arial" w:hAnsi="Arial" w:cs="Arial"/>
          <w:sz w:val="22"/>
        </w:rPr>
        <w:t xml:space="preserve">d arbitrator at least ten days </w:t>
      </w:r>
      <w:r w:rsidRPr="00C96D0F">
        <w:rPr>
          <w:rFonts w:ascii="Arial" w:hAnsi="Arial" w:cs="Arial"/>
          <w:sz w:val="22"/>
        </w:rPr>
        <w:t>before the comme</w:t>
      </w:r>
      <w:r w:rsidR="009C3AE9" w:rsidRPr="00C96D0F">
        <w:rPr>
          <w:rFonts w:ascii="Arial" w:hAnsi="Arial" w:cs="Arial"/>
          <w:sz w:val="22"/>
        </w:rPr>
        <w:t xml:space="preserve">ncement of the hearing and the </w:t>
      </w:r>
      <w:r w:rsidRPr="00C96D0F">
        <w:rPr>
          <w:rFonts w:ascii="Arial" w:hAnsi="Arial" w:cs="Arial"/>
          <w:sz w:val="22"/>
        </w:rPr>
        <w:t>arbitrator has granted the request hearing.</w:t>
      </w:r>
    </w:p>
    <w:p w:rsidR="0068606D" w:rsidRPr="00C96D0F" w:rsidRDefault="0068606D" w:rsidP="00BF0D83">
      <w:pPr>
        <w:spacing w:line="360" w:lineRule="auto"/>
        <w:ind w:left="1440" w:right="380"/>
        <w:jc w:val="both"/>
        <w:rPr>
          <w:rFonts w:ascii="Arial" w:hAnsi="Arial" w:cs="Arial"/>
          <w:sz w:val="22"/>
        </w:rPr>
      </w:pPr>
      <w:r w:rsidRPr="00C96D0F">
        <w:rPr>
          <w:rFonts w:ascii="Arial" w:hAnsi="Arial" w:cs="Arial"/>
          <w:sz w:val="22"/>
        </w:rPr>
        <w:t>A formal request for</w:t>
      </w:r>
      <w:r w:rsidR="00A97C72" w:rsidRPr="00C96D0F">
        <w:rPr>
          <w:rFonts w:ascii="Arial" w:hAnsi="Arial" w:cs="Arial"/>
          <w:sz w:val="22"/>
        </w:rPr>
        <w:t xml:space="preserve"> a postponement may be made at </w:t>
      </w:r>
      <w:r w:rsidRPr="00C96D0F">
        <w:rPr>
          <w:rFonts w:ascii="Arial" w:hAnsi="Arial" w:cs="Arial"/>
          <w:sz w:val="22"/>
        </w:rPr>
        <w:t>the commencement of the meeting/hearing.</w:t>
      </w:r>
      <w:r w:rsidR="00C96D0F">
        <w:rPr>
          <w:rFonts w:ascii="Arial" w:hAnsi="Arial" w:cs="Arial"/>
          <w:sz w:val="22"/>
        </w:rPr>
        <w:t>’</w:t>
      </w:r>
    </w:p>
    <w:p w:rsidR="00766420" w:rsidRDefault="00766420" w:rsidP="00BF0D83">
      <w:pPr>
        <w:spacing w:line="360" w:lineRule="auto"/>
        <w:ind w:left="1440" w:right="380"/>
        <w:jc w:val="both"/>
        <w:rPr>
          <w:rFonts w:ascii="Arial" w:hAnsi="Arial" w:cs="Arial"/>
          <w:i/>
          <w:sz w:val="22"/>
        </w:rPr>
      </w:pPr>
    </w:p>
    <w:p w:rsidR="009C3AE9" w:rsidRDefault="001F1CC0" w:rsidP="00312F65">
      <w:pPr>
        <w:pStyle w:val="ListParagraph"/>
        <w:spacing w:line="360" w:lineRule="auto"/>
        <w:ind w:left="0"/>
        <w:jc w:val="both"/>
        <w:rPr>
          <w:rFonts w:ascii="Arial" w:hAnsi="Arial" w:cs="Arial"/>
        </w:rPr>
      </w:pPr>
      <w:r w:rsidRPr="001F1CC0">
        <w:rPr>
          <w:rFonts w:ascii="Arial" w:hAnsi="Arial" w:cs="Arial"/>
        </w:rPr>
        <w:t>[48</w:t>
      </w:r>
      <w:r w:rsidR="00821934" w:rsidRPr="001F1CC0">
        <w:rPr>
          <w:rFonts w:ascii="Arial" w:hAnsi="Arial" w:cs="Arial"/>
        </w:rPr>
        <w:t>]</w:t>
      </w:r>
      <w:r w:rsidR="00766420">
        <w:rPr>
          <w:rFonts w:ascii="Arial" w:hAnsi="Arial" w:cs="Arial"/>
          <w:i/>
          <w:sz w:val="22"/>
        </w:rPr>
        <w:t xml:space="preserve"> </w:t>
      </w:r>
      <w:r w:rsidR="00766420" w:rsidRPr="00766420">
        <w:rPr>
          <w:rFonts w:ascii="Arial" w:hAnsi="Arial" w:cs="Arial"/>
        </w:rPr>
        <w:t>In light of the approach I take to this point, it is not necessary f</w:t>
      </w:r>
      <w:r w:rsidR="00363A32">
        <w:rPr>
          <w:rFonts w:ascii="Arial" w:hAnsi="Arial" w:cs="Arial"/>
        </w:rPr>
        <w:t xml:space="preserve">or me to decide whether </w:t>
      </w:r>
      <w:r w:rsidR="00766420" w:rsidRPr="00766420">
        <w:rPr>
          <w:rFonts w:ascii="Arial" w:hAnsi="Arial" w:cs="Arial"/>
        </w:rPr>
        <w:t>the notice is</w:t>
      </w:r>
      <w:r w:rsidR="00363A32">
        <w:rPr>
          <w:rFonts w:ascii="Arial" w:hAnsi="Arial" w:cs="Arial"/>
        </w:rPr>
        <w:t xml:space="preserve">sued on 8 March 2016 was </w:t>
      </w:r>
      <w:r w:rsidR="00766420" w:rsidRPr="00766420">
        <w:rPr>
          <w:rFonts w:ascii="Arial" w:hAnsi="Arial" w:cs="Arial"/>
        </w:rPr>
        <w:t>for the first or second arbitration hearing.</w:t>
      </w:r>
      <w:r w:rsidR="00766420">
        <w:rPr>
          <w:rFonts w:ascii="Arial" w:hAnsi="Arial" w:cs="Arial"/>
        </w:rPr>
        <w:t xml:space="preserve"> </w:t>
      </w:r>
    </w:p>
    <w:p w:rsidR="00312F65" w:rsidRPr="0068606D" w:rsidRDefault="00312F65" w:rsidP="00312F65">
      <w:pPr>
        <w:pStyle w:val="ListParagraph"/>
        <w:spacing w:line="360" w:lineRule="auto"/>
        <w:ind w:left="0"/>
        <w:jc w:val="both"/>
        <w:rPr>
          <w:rFonts w:ascii="Arial" w:hAnsi="Arial" w:cs="Arial"/>
        </w:rPr>
      </w:pPr>
    </w:p>
    <w:p w:rsidR="009C3AE9" w:rsidRDefault="009C3AE9" w:rsidP="00BF0D83">
      <w:pPr>
        <w:spacing w:line="360" w:lineRule="auto"/>
        <w:jc w:val="both"/>
        <w:rPr>
          <w:rFonts w:ascii="Arial" w:hAnsi="Arial" w:cs="Arial"/>
        </w:rPr>
      </w:pPr>
      <w:r>
        <w:rPr>
          <w:rFonts w:ascii="Arial" w:hAnsi="Arial" w:cs="Arial"/>
        </w:rPr>
        <w:t>[</w:t>
      </w:r>
      <w:r w:rsidR="001F1CC0">
        <w:rPr>
          <w:rFonts w:ascii="Arial" w:hAnsi="Arial" w:cs="Arial"/>
        </w:rPr>
        <w:t>49</w:t>
      </w:r>
      <w:r w:rsidR="00A97C72">
        <w:rPr>
          <w:rFonts w:ascii="Arial" w:hAnsi="Arial" w:cs="Arial"/>
        </w:rPr>
        <w:t>]</w:t>
      </w:r>
      <w:r w:rsidR="00A97C72">
        <w:rPr>
          <w:rFonts w:ascii="Arial" w:hAnsi="Arial" w:cs="Arial"/>
        </w:rPr>
        <w:tab/>
      </w:r>
      <w:r w:rsidR="00955340">
        <w:rPr>
          <w:rFonts w:ascii="Arial" w:hAnsi="Arial" w:cs="Arial"/>
        </w:rPr>
        <w:t>T</w:t>
      </w:r>
      <w:r w:rsidR="00096250">
        <w:rPr>
          <w:rFonts w:ascii="Arial" w:hAnsi="Arial" w:cs="Arial"/>
        </w:rPr>
        <w:t xml:space="preserve">he date </w:t>
      </w:r>
      <w:r w:rsidR="0068606D" w:rsidRPr="0068606D">
        <w:rPr>
          <w:rFonts w:ascii="Arial" w:hAnsi="Arial" w:cs="Arial"/>
        </w:rPr>
        <w:t>15 of March 2016</w:t>
      </w:r>
      <w:r w:rsidR="00DD6C38">
        <w:rPr>
          <w:rFonts w:ascii="Arial" w:hAnsi="Arial" w:cs="Arial"/>
        </w:rPr>
        <w:t>,</w:t>
      </w:r>
      <w:r w:rsidR="0068606D" w:rsidRPr="0068606D">
        <w:rPr>
          <w:rFonts w:ascii="Arial" w:hAnsi="Arial" w:cs="Arial"/>
        </w:rPr>
        <w:t xml:space="preserve"> was su</w:t>
      </w:r>
      <w:r>
        <w:rPr>
          <w:rFonts w:ascii="Arial" w:hAnsi="Arial" w:cs="Arial"/>
        </w:rPr>
        <w:t xml:space="preserve">itable to the parties until </w:t>
      </w:r>
      <w:r w:rsidR="00312F65">
        <w:rPr>
          <w:rFonts w:ascii="Arial" w:hAnsi="Arial" w:cs="Arial"/>
        </w:rPr>
        <w:t>a</w:t>
      </w:r>
      <w:r w:rsidR="000346D6">
        <w:rPr>
          <w:rFonts w:ascii="Arial" w:hAnsi="Arial" w:cs="Arial"/>
        </w:rPr>
        <w:t>ppellant</w:t>
      </w:r>
      <w:r w:rsidR="00312F65">
        <w:rPr>
          <w:rFonts w:ascii="Arial" w:hAnsi="Arial" w:cs="Arial"/>
        </w:rPr>
        <w:t xml:space="preserve"> instructed its representative to attend to another more pressing and important meeting.</w:t>
      </w:r>
      <w:r w:rsidR="0068606D" w:rsidRPr="0068606D">
        <w:rPr>
          <w:rFonts w:ascii="Arial" w:hAnsi="Arial" w:cs="Arial"/>
        </w:rPr>
        <w:t xml:space="preserve"> It is for this reason that </w:t>
      </w:r>
      <w:r w:rsidR="00955340">
        <w:rPr>
          <w:rFonts w:ascii="Arial" w:hAnsi="Arial" w:cs="Arial"/>
        </w:rPr>
        <w:t>Ms Arandse sought a postponement, which was initially agreed to by the parties to</w:t>
      </w:r>
      <w:r w:rsidR="0068606D" w:rsidRPr="0068606D">
        <w:rPr>
          <w:rFonts w:ascii="Arial" w:hAnsi="Arial" w:cs="Arial"/>
        </w:rPr>
        <w:t xml:space="preserve"> 22 March 2016. If that date suited the arbitrator, the matter</w:t>
      </w:r>
      <w:r w:rsidR="00955340">
        <w:rPr>
          <w:rFonts w:ascii="Arial" w:hAnsi="Arial" w:cs="Arial"/>
        </w:rPr>
        <w:t xml:space="preserve"> would have been heard </w:t>
      </w:r>
      <w:r>
        <w:rPr>
          <w:rFonts w:ascii="Arial" w:hAnsi="Arial" w:cs="Arial"/>
        </w:rPr>
        <w:t>on 22 March 2016. That</w:t>
      </w:r>
      <w:r w:rsidR="0068606D" w:rsidRPr="0068606D">
        <w:rPr>
          <w:rFonts w:ascii="Arial" w:hAnsi="Arial" w:cs="Arial"/>
        </w:rPr>
        <w:t xml:space="preserve"> date was also</w:t>
      </w:r>
      <w:r w:rsidR="00955340">
        <w:rPr>
          <w:rFonts w:ascii="Arial" w:hAnsi="Arial" w:cs="Arial"/>
        </w:rPr>
        <w:t xml:space="preserve"> short of the required 14 days’ notice. Therefore, it is not correct that there was non-compliance with the rules, because</w:t>
      </w:r>
      <w:r w:rsidR="0068606D" w:rsidRPr="0068606D">
        <w:rPr>
          <w:rFonts w:ascii="Arial" w:hAnsi="Arial" w:cs="Arial"/>
        </w:rPr>
        <w:t xml:space="preserve"> Ms </w:t>
      </w:r>
      <w:r w:rsidR="003C6E5F">
        <w:rPr>
          <w:rFonts w:ascii="Arial" w:hAnsi="Arial" w:cs="Arial"/>
        </w:rPr>
        <w:t>Arendse</w:t>
      </w:r>
      <w:r w:rsidR="0068606D" w:rsidRPr="0068606D">
        <w:rPr>
          <w:rFonts w:ascii="Arial" w:hAnsi="Arial" w:cs="Arial"/>
        </w:rPr>
        <w:t xml:space="preserve"> had agreed to a shorter period. When the Union Representative c</w:t>
      </w:r>
      <w:r w:rsidR="00955340">
        <w:rPr>
          <w:rFonts w:ascii="Arial" w:hAnsi="Arial" w:cs="Arial"/>
        </w:rPr>
        <w:t xml:space="preserve">ommunicated in writing that </w:t>
      </w:r>
      <w:r w:rsidR="0068606D" w:rsidRPr="0068606D">
        <w:rPr>
          <w:rFonts w:ascii="Arial" w:hAnsi="Arial" w:cs="Arial"/>
        </w:rPr>
        <w:t xml:space="preserve">there is no agreement between the parties to the requested postponement, it was up to Ms </w:t>
      </w:r>
      <w:r w:rsidR="003C6E5F">
        <w:rPr>
          <w:rFonts w:ascii="Arial" w:hAnsi="Arial" w:cs="Arial"/>
        </w:rPr>
        <w:t>Arendse</w:t>
      </w:r>
      <w:r w:rsidR="0068606D" w:rsidRPr="0068606D">
        <w:rPr>
          <w:rFonts w:ascii="Arial" w:hAnsi="Arial" w:cs="Arial"/>
        </w:rPr>
        <w:t xml:space="preserve"> to request a postponement. It is common cause that Ms </w:t>
      </w:r>
      <w:r w:rsidR="003C6E5F">
        <w:rPr>
          <w:rFonts w:ascii="Arial" w:hAnsi="Arial" w:cs="Arial"/>
        </w:rPr>
        <w:t>Arendse</w:t>
      </w:r>
      <w:r w:rsidR="0068606D" w:rsidRPr="0068606D">
        <w:rPr>
          <w:rFonts w:ascii="Arial" w:hAnsi="Arial" w:cs="Arial"/>
        </w:rPr>
        <w:t xml:space="preserve"> did not attend the hearing nor did she </w:t>
      </w:r>
      <w:r w:rsidR="0068606D" w:rsidRPr="0068606D">
        <w:rPr>
          <w:rFonts w:ascii="Arial" w:hAnsi="Arial" w:cs="Arial"/>
        </w:rPr>
        <w:lastRenderedPageBreak/>
        <w:t>de</w:t>
      </w:r>
      <w:r>
        <w:rPr>
          <w:rFonts w:ascii="Arial" w:hAnsi="Arial" w:cs="Arial"/>
        </w:rPr>
        <w:t>signate</w:t>
      </w:r>
      <w:r w:rsidR="0068606D" w:rsidRPr="0068606D">
        <w:rPr>
          <w:rFonts w:ascii="Arial" w:hAnsi="Arial" w:cs="Arial"/>
        </w:rPr>
        <w:t xml:space="preserve"> someone to attend the hearing with the view to request a postponement as provided for in part three of form LC 28 above. </w:t>
      </w:r>
    </w:p>
    <w:p w:rsidR="00955340" w:rsidRPr="0068606D" w:rsidRDefault="00955340" w:rsidP="00BF0D83">
      <w:pPr>
        <w:spacing w:line="360" w:lineRule="auto"/>
        <w:jc w:val="both"/>
        <w:rPr>
          <w:rFonts w:ascii="Arial" w:hAnsi="Arial" w:cs="Arial"/>
        </w:rPr>
      </w:pPr>
    </w:p>
    <w:p w:rsidR="009C3AE9" w:rsidRDefault="009C3AE9" w:rsidP="00BF0D83">
      <w:pPr>
        <w:spacing w:line="360" w:lineRule="auto"/>
        <w:jc w:val="both"/>
        <w:rPr>
          <w:rFonts w:ascii="Arial" w:hAnsi="Arial" w:cs="Arial"/>
        </w:rPr>
      </w:pPr>
      <w:r>
        <w:rPr>
          <w:rFonts w:ascii="Arial" w:hAnsi="Arial" w:cs="Arial"/>
        </w:rPr>
        <w:t>[</w:t>
      </w:r>
      <w:r w:rsidR="001F1CC0">
        <w:rPr>
          <w:rFonts w:ascii="Arial" w:hAnsi="Arial" w:cs="Arial"/>
        </w:rPr>
        <w:t>50</w:t>
      </w:r>
      <w:r w:rsidR="00A97C72">
        <w:rPr>
          <w:rFonts w:ascii="Arial" w:hAnsi="Arial" w:cs="Arial"/>
        </w:rPr>
        <w:t>]</w:t>
      </w:r>
      <w:r w:rsidR="00A97C72">
        <w:rPr>
          <w:rFonts w:ascii="Arial" w:hAnsi="Arial" w:cs="Arial"/>
        </w:rPr>
        <w:tab/>
      </w:r>
      <w:r w:rsidR="0068606D" w:rsidRPr="00821934">
        <w:rPr>
          <w:rFonts w:ascii="Arial" w:hAnsi="Arial" w:cs="Arial"/>
        </w:rPr>
        <w:t>Mr</w:t>
      </w:r>
      <w:r w:rsidR="0068606D" w:rsidRPr="009C3AE9">
        <w:rPr>
          <w:rFonts w:ascii="Arial" w:hAnsi="Arial" w:cs="Arial"/>
          <w:i/>
        </w:rPr>
        <w:t xml:space="preserve"> Dicks</w:t>
      </w:r>
      <w:r w:rsidR="0068606D" w:rsidRPr="0068606D">
        <w:rPr>
          <w:rFonts w:ascii="Arial" w:hAnsi="Arial" w:cs="Arial"/>
        </w:rPr>
        <w:t xml:space="preserve"> referred to the judgment of this court in </w:t>
      </w:r>
      <w:r w:rsidR="0068606D" w:rsidRPr="009C3AE9">
        <w:rPr>
          <w:rFonts w:ascii="Arial" w:hAnsi="Arial" w:cs="Arial"/>
          <w:i/>
        </w:rPr>
        <w:t>Joubert v Swakop Uranium (Pty)</w:t>
      </w:r>
      <w:r w:rsidR="005D5823">
        <w:t xml:space="preserve"> </w:t>
      </w:r>
      <w:r w:rsidR="005D5823" w:rsidRPr="005D5823">
        <w:rPr>
          <w:rFonts w:ascii="Arial" w:hAnsi="Arial" w:cs="Arial"/>
          <w:i/>
        </w:rPr>
        <w:t>Ltd</w:t>
      </w:r>
      <w:r w:rsidR="005D5823">
        <w:rPr>
          <w:rFonts w:ascii="Arial" w:hAnsi="Arial" w:cs="Arial"/>
          <w:i/>
        </w:rPr>
        <w:t xml:space="preserve"> </w:t>
      </w:r>
      <w:r w:rsidR="00A97C72">
        <w:rPr>
          <w:rStyle w:val="FootnoteReference"/>
          <w:rFonts w:ascii="Arial" w:hAnsi="Arial" w:cs="Arial"/>
          <w:i/>
        </w:rPr>
        <w:footnoteReference w:id="10"/>
      </w:r>
      <w:r w:rsidR="0068606D" w:rsidRPr="009C3AE9">
        <w:rPr>
          <w:rFonts w:ascii="Arial" w:hAnsi="Arial" w:cs="Arial"/>
          <w:i/>
        </w:rPr>
        <w:t xml:space="preserve"> </w:t>
      </w:r>
      <w:r w:rsidR="0068606D" w:rsidRPr="0068606D">
        <w:rPr>
          <w:rFonts w:ascii="Arial" w:hAnsi="Arial" w:cs="Arial"/>
        </w:rPr>
        <w:t xml:space="preserve">in finding with reference to the requirement of setting down of </w:t>
      </w:r>
      <w:r w:rsidR="00A97C72">
        <w:rPr>
          <w:rFonts w:ascii="Arial" w:hAnsi="Arial" w:cs="Arial"/>
        </w:rPr>
        <w:t xml:space="preserve">an </w:t>
      </w:r>
      <w:r w:rsidR="0068606D" w:rsidRPr="0068606D">
        <w:rPr>
          <w:rFonts w:ascii="Arial" w:hAnsi="Arial" w:cs="Arial"/>
        </w:rPr>
        <w:t>arbitration hearing</w:t>
      </w:r>
      <w:r>
        <w:rPr>
          <w:rFonts w:ascii="Arial" w:hAnsi="Arial" w:cs="Arial"/>
        </w:rPr>
        <w:t>. Unfortunately</w:t>
      </w:r>
      <w:r w:rsidR="00955340">
        <w:rPr>
          <w:rFonts w:ascii="Arial" w:hAnsi="Arial" w:cs="Arial"/>
        </w:rPr>
        <w:t>,</w:t>
      </w:r>
      <w:r>
        <w:rPr>
          <w:rFonts w:ascii="Arial" w:hAnsi="Arial" w:cs="Arial"/>
        </w:rPr>
        <w:t xml:space="preserve"> this</w:t>
      </w:r>
      <w:r w:rsidR="0068606D" w:rsidRPr="0068606D">
        <w:rPr>
          <w:rFonts w:ascii="Arial" w:hAnsi="Arial" w:cs="Arial"/>
        </w:rPr>
        <w:t xml:space="preserve"> judgment wa</w:t>
      </w:r>
      <w:r w:rsidR="00096250">
        <w:rPr>
          <w:rFonts w:ascii="Arial" w:hAnsi="Arial" w:cs="Arial"/>
        </w:rPr>
        <w:t>s delivered</w:t>
      </w:r>
      <w:r w:rsidR="0068606D" w:rsidRPr="0068606D">
        <w:rPr>
          <w:rFonts w:ascii="Arial" w:hAnsi="Arial" w:cs="Arial"/>
        </w:rPr>
        <w:t xml:space="preserve"> </w:t>
      </w:r>
      <w:r w:rsidR="0068606D" w:rsidRPr="00955340">
        <w:rPr>
          <w:rFonts w:ascii="Arial" w:hAnsi="Arial" w:cs="Arial"/>
          <w:i/>
        </w:rPr>
        <w:t>ex tempore</w:t>
      </w:r>
      <w:r w:rsidR="0068606D" w:rsidRPr="0068606D">
        <w:rPr>
          <w:rFonts w:ascii="Arial" w:hAnsi="Arial" w:cs="Arial"/>
        </w:rPr>
        <w:t xml:space="preserve"> and the facts are vastly distinguishable.  In the </w:t>
      </w:r>
      <w:r w:rsidR="0068606D" w:rsidRPr="009C3AE9">
        <w:rPr>
          <w:rFonts w:ascii="Arial" w:hAnsi="Arial" w:cs="Arial"/>
          <w:i/>
        </w:rPr>
        <w:t xml:space="preserve">Joubert </w:t>
      </w:r>
      <w:r w:rsidR="0068606D" w:rsidRPr="0068606D">
        <w:rPr>
          <w:rFonts w:ascii="Arial" w:hAnsi="Arial" w:cs="Arial"/>
        </w:rPr>
        <w:t xml:space="preserve">matter </w:t>
      </w:r>
      <w:r w:rsidR="00821934">
        <w:rPr>
          <w:rFonts w:ascii="Arial" w:hAnsi="Arial" w:cs="Arial"/>
        </w:rPr>
        <w:t>supra</w:t>
      </w:r>
      <w:r w:rsidR="0068606D" w:rsidRPr="0068606D">
        <w:rPr>
          <w:rFonts w:ascii="Arial" w:hAnsi="Arial" w:cs="Arial"/>
        </w:rPr>
        <w:t xml:space="preserve">, the parties had agreed to the postponement and the </w:t>
      </w:r>
      <w:r>
        <w:rPr>
          <w:rFonts w:ascii="Arial" w:hAnsi="Arial" w:cs="Arial"/>
        </w:rPr>
        <w:t>applicant</w:t>
      </w:r>
      <w:r w:rsidR="0068606D" w:rsidRPr="0068606D">
        <w:rPr>
          <w:rFonts w:ascii="Arial" w:hAnsi="Arial" w:cs="Arial"/>
        </w:rPr>
        <w:t xml:space="preserve"> had lodge</w:t>
      </w:r>
      <w:r w:rsidR="00A97C72">
        <w:rPr>
          <w:rFonts w:ascii="Arial" w:hAnsi="Arial" w:cs="Arial"/>
        </w:rPr>
        <w:t>d</w:t>
      </w:r>
      <w:r w:rsidR="0068606D" w:rsidRPr="0068606D">
        <w:rPr>
          <w:rFonts w:ascii="Arial" w:hAnsi="Arial" w:cs="Arial"/>
        </w:rPr>
        <w:t xml:space="preserve"> a formal application for </w:t>
      </w:r>
      <w:r w:rsidR="00955340">
        <w:rPr>
          <w:rFonts w:ascii="Arial" w:hAnsi="Arial" w:cs="Arial"/>
        </w:rPr>
        <w:t xml:space="preserve">a </w:t>
      </w:r>
      <w:r w:rsidR="0068606D" w:rsidRPr="0068606D">
        <w:rPr>
          <w:rFonts w:ascii="Arial" w:hAnsi="Arial" w:cs="Arial"/>
        </w:rPr>
        <w:t xml:space="preserve">postponement. </w:t>
      </w:r>
    </w:p>
    <w:p w:rsidR="00955340" w:rsidRDefault="00955340" w:rsidP="00BF0D83">
      <w:pPr>
        <w:spacing w:line="360" w:lineRule="auto"/>
        <w:jc w:val="both"/>
        <w:rPr>
          <w:rFonts w:ascii="Arial" w:hAnsi="Arial" w:cs="Arial"/>
        </w:rPr>
      </w:pPr>
    </w:p>
    <w:p w:rsidR="00955340" w:rsidRDefault="009C3AE9" w:rsidP="00BF0D83">
      <w:pPr>
        <w:spacing w:line="360" w:lineRule="auto"/>
        <w:jc w:val="both"/>
        <w:rPr>
          <w:rFonts w:ascii="Arial" w:hAnsi="Arial" w:cs="Arial"/>
        </w:rPr>
      </w:pPr>
      <w:r>
        <w:rPr>
          <w:rFonts w:ascii="Arial" w:hAnsi="Arial" w:cs="Arial"/>
        </w:rPr>
        <w:t>[</w:t>
      </w:r>
      <w:r w:rsidR="001F1CC0">
        <w:rPr>
          <w:rFonts w:ascii="Arial" w:hAnsi="Arial" w:cs="Arial"/>
        </w:rPr>
        <w:t>51</w:t>
      </w:r>
      <w:r w:rsidR="00AE5174">
        <w:rPr>
          <w:rFonts w:ascii="Arial" w:hAnsi="Arial" w:cs="Arial"/>
        </w:rPr>
        <w:t>]</w:t>
      </w:r>
      <w:r w:rsidR="00AE5174">
        <w:rPr>
          <w:rFonts w:ascii="Arial" w:hAnsi="Arial" w:cs="Arial"/>
        </w:rPr>
        <w:tab/>
      </w:r>
      <w:r w:rsidR="0068606D" w:rsidRPr="0068606D">
        <w:rPr>
          <w:rFonts w:ascii="Arial" w:hAnsi="Arial" w:cs="Arial"/>
        </w:rPr>
        <w:t xml:space="preserve">As pointed out above, this court is inclined to accept </w:t>
      </w:r>
      <w:r w:rsidR="00955340">
        <w:rPr>
          <w:rFonts w:ascii="Arial" w:hAnsi="Arial" w:cs="Arial"/>
        </w:rPr>
        <w:t xml:space="preserve">that </w:t>
      </w:r>
      <w:r w:rsidR="0068606D" w:rsidRPr="0068606D">
        <w:rPr>
          <w:rFonts w:ascii="Arial" w:hAnsi="Arial" w:cs="Arial"/>
        </w:rPr>
        <w:t xml:space="preserve">the parties had agreed to a shorter period for holding of the arbitration hearing, initially </w:t>
      </w:r>
      <w:r w:rsidR="00766420">
        <w:rPr>
          <w:rFonts w:ascii="Arial" w:hAnsi="Arial" w:cs="Arial"/>
        </w:rPr>
        <w:t xml:space="preserve">on </w:t>
      </w:r>
      <w:r w:rsidR="00096250">
        <w:rPr>
          <w:rFonts w:ascii="Arial" w:hAnsi="Arial" w:cs="Arial"/>
        </w:rPr>
        <w:t xml:space="preserve">the 15 </w:t>
      </w:r>
      <w:r w:rsidR="0068606D" w:rsidRPr="0068606D">
        <w:rPr>
          <w:rFonts w:ascii="Arial" w:hAnsi="Arial" w:cs="Arial"/>
        </w:rPr>
        <w:t xml:space="preserve">March 2016 and subsequently, </w:t>
      </w:r>
      <w:r w:rsidR="00096250">
        <w:rPr>
          <w:rFonts w:ascii="Arial" w:hAnsi="Arial" w:cs="Arial"/>
        </w:rPr>
        <w:t xml:space="preserve">on </w:t>
      </w:r>
      <w:r w:rsidR="00766420">
        <w:rPr>
          <w:rFonts w:ascii="Arial" w:hAnsi="Arial" w:cs="Arial"/>
        </w:rPr>
        <w:t>22 March 2016. This</w:t>
      </w:r>
      <w:r w:rsidR="0068606D" w:rsidRPr="0068606D">
        <w:rPr>
          <w:rFonts w:ascii="Arial" w:hAnsi="Arial" w:cs="Arial"/>
        </w:rPr>
        <w:t xml:space="preserve"> court is satisfied that the reason why the date of 15 March 2016</w:t>
      </w:r>
      <w:r w:rsidR="00766420">
        <w:rPr>
          <w:rFonts w:ascii="Arial" w:hAnsi="Arial" w:cs="Arial"/>
        </w:rPr>
        <w:t xml:space="preserve"> was unsuitable </w:t>
      </w:r>
      <w:r w:rsidR="00AE5174">
        <w:rPr>
          <w:rFonts w:ascii="Arial" w:hAnsi="Arial" w:cs="Arial"/>
        </w:rPr>
        <w:t xml:space="preserve">for the appellant </w:t>
      </w:r>
      <w:r w:rsidR="00766420">
        <w:rPr>
          <w:rFonts w:ascii="Arial" w:hAnsi="Arial" w:cs="Arial"/>
        </w:rPr>
        <w:t xml:space="preserve">was because </w:t>
      </w:r>
      <w:r w:rsidR="00955340">
        <w:rPr>
          <w:rFonts w:ascii="Arial" w:hAnsi="Arial" w:cs="Arial"/>
        </w:rPr>
        <w:t>a</w:t>
      </w:r>
      <w:r w:rsidR="000346D6">
        <w:rPr>
          <w:rFonts w:ascii="Arial" w:hAnsi="Arial" w:cs="Arial"/>
        </w:rPr>
        <w:t>ppellant</w:t>
      </w:r>
      <w:r w:rsidR="0068606D" w:rsidRPr="0068606D">
        <w:rPr>
          <w:rFonts w:ascii="Arial" w:hAnsi="Arial" w:cs="Arial"/>
        </w:rPr>
        <w:t xml:space="preserve"> was unable to attend the hearing due to a subsequent commitment</w:t>
      </w:r>
      <w:r w:rsidR="00766420">
        <w:rPr>
          <w:rFonts w:ascii="Arial" w:hAnsi="Arial" w:cs="Arial"/>
        </w:rPr>
        <w:t xml:space="preserve"> in Cape Town. </w:t>
      </w:r>
      <w:r w:rsidR="00955340">
        <w:rPr>
          <w:rFonts w:ascii="Arial" w:hAnsi="Arial" w:cs="Arial"/>
        </w:rPr>
        <w:t>The remedy for the appellant was to apply for a postponement.</w:t>
      </w:r>
      <w:r w:rsidR="00925C9B">
        <w:rPr>
          <w:rFonts w:ascii="Arial" w:hAnsi="Arial" w:cs="Arial"/>
        </w:rPr>
        <w:t xml:space="preserve"> In view of the conduct of the responden</w:t>
      </w:r>
      <w:r w:rsidR="00096250">
        <w:rPr>
          <w:rFonts w:ascii="Arial" w:hAnsi="Arial" w:cs="Arial"/>
        </w:rPr>
        <w:t>t’s representative by reneging</w:t>
      </w:r>
      <w:r w:rsidR="00925C9B">
        <w:rPr>
          <w:rFonts w:ascii="Arial" w:hAnsi="Arial" w:cs="Arial"/>
        </w:rPr>
        <w:t xml:space="preserve"> from the agreement to postpone the matter at such late stage, I am of the view that appellant might have been granted a postponement</w:t>
      </w:r>
      <w:r w:rsidR="00AE5174">
        <w:rPr>
          <w:rFonts w:ascii="Arial" w:hAnsi="Arial" w:cs="Arial"/>
        </w:rPr>
        <w:t>.</w:t>
      </w:r>
      <w:r w:rsidR="00925C9B">
        <w:rPr>
          <w:rFonts w:ascii="Arial" w:hAnsi="Arial" w:cs="Arial"/>
        </w:rPr>
        <w:t xml:space="preserve"> </w:t>
      </w:r>
    </w:p>
    <w:p w:rsidR="005271D8" w:rsidRDefault="005271D8" w:rsidP="00BF0D83">
      <w:pPr>
        <w:spacing w:line="360" w:lineRule="auto"/>
        <w:jc w:val="both"/>
        <w:rPr>
          <w:rFonts w:ascii="Arial" w:hAnsi="Arial" w:cs="Arial"/>
        </w:rPr>
      </w:pPr>
    </w:p>
    <w:p w:rsidR="00925C9B" w:rsidRDefault="001F1CC0" w:rsidP="00BF0D83">
      <w:pPr>
        <w:spacing w:line="360" w:lineRule="auto"/>
        <w:jc w:val="both"/>
        <w:rPr>
          <w:rFonts w:ascii="Arial" w:hAnsi="Arial" w:cs="Arial"/>
        </w:rPr>
      </w:pPr>
      <w:r>
        <w:rPr>
          <w:rFonts w:ascii="Arial" w:hAnsi="Arial" w:cs="Arial"/>
        </w:rPr>
        <w:t>[52</w:t>
      </w:r>
      <w:r w:rsidR="00AE5174">
        <w:rPr>
          <w:rFonts w:ascii="Arial" w:hAnsi="Arial" w:cs="Arial"/>
        </w:rPr>
        <w:t>]</w:t>
      </w:r>
      <w:r w:rsidR="00AE5174">
        <w:rPr>
          <w:rFonts w:ascii="Arial" w:hAnsi="Arial" w:cs="Arial"/>
        </w:rPr>
        <w:tab/>
      </w:r>
      <w:r w:rsidR="0068606D" w:rsidRPr="0068606D">
        <w:rPr>
          <w:rFonts w:ascii="Arial" w:hAnsi="Arial" w:cs="Arial"/>
        </w:rPr>
        <w:t>This court was requested to determine whether the arbitrator erred in law</w:t>
      </w:r>
      <w:r w:rsidR="00096250">
        <w:rPr>
          <w:rFonts w:ascii="Arial" w:hAnsi="Arial" w:cs="Arial"/>
        </w:rPr>
        <w:t xml:space="preserve"> when she </w:t>
      </w:r>
      <w:r w:rsidR="0068606D" w:rsidRPr="0068606D">
        <w:rPr>
          <w:rFonts w:ascii="Arial" w:hAnsi="Arial" w:cs="Arial"/>
        </w:rPr>
        <w:t xml:space="preserve">set down the arbitration hearing on a date shorter than 14 days as provided for in the rules. </w:t>
      </w:r>
      <w:r w:rsidR="00821934">
        <w:rPr>
          <w:rFonts w:ascii="Arial" w:hAnsi="Arial" w:cs="Arial"/>
        </w:rPr>
        <w:t xml:space="preserve">I am </w:t>
      </w:r>
      <w:r w:rsidR="0068606D" w:rsidRPr="0068606D">
        <w:rPr>
          <w:rFonts w:ascii="Arial" w:hAnsi="Arial" w:cs="Arial"/>
        </w:rPr>
        <w:t xml:space="preserve">satisfied that the shorter notice period was agreed </w:t>
      </w:r>
      <w:r w:rsidR="00925C9B">
        <w:rPr>
          <w:rFonts w:ascii="Arial" w:hAnsi="Arial" w:cs="Arial"/>
        </w:rPr>
        <w:t xml:space="preserve">to </w:t>
      </w:r>
      <w:r w:rsidR="0068606D" w:rsidRPr="0068606D">
        <w:rPr>
          <w:rFonts w:ascii="Arial" w:hAnsi="Arial" w:cs="Arial"/>
        </w:rPr>
        <w:t xml:space="preserve">between the parties and as such there was no violation of rule 15 </w:t>
      </w:r>
      <w:r w:rsidR="00925C9B">
        <w:rPr>
          <w:rFonts w:ascii="Arial" w:hAnsi="Arial" w:cs="Arial"/>
        </w:rPr>
        <w:t xml:space="preserve">when the matter was set down for </w:t>
      </w:r>
      <w:r w:rsidR="0068606D" w:rsidRPr="0068606D">
        <w:rPr>
          <w:rFonts w:ascii="Arial" w:hAnsi="Arial" w:cs="Arial"/>
        </w:rPr>
        <w:t xml:space="preserve">the arbitration hearing. </w:t>
      </w:r>
    </w:p>
    <w:p w:rsidR="00925C9B" w:rsidRDefault="00925C9B" w:rsidP="00BF0D83">
      <w:pPr>
        <w:spacing w:line="360" w:lineRule="auto"/>
        <w:jc w:val="both"/>
        <w:rPr>
          <w:rFonts w:ascii="Arial" w:hAnsi="Arial" w:cs="Arial"/>
        </w:rPr>
      </w:pPr>
    </w:p>
    <w:p w:rsidR="00844D3F" w:rsidRDefault="001F1CC0" w:rsidP="00BF0D83">
      <w:pPr>
        <w:spacing w:line="360" w:lineRule="auto"/>
        <w:jc w:val="both"/>
        <w:rPr>
          <w:rFonts w:ascii="Arial" w:hAnsi="Arial" w:cs="Arial"/>
        </w:rPr>
      </w:pPr>
      <w:r>
        <w:rPr>
          <w:rFonts w:ascii="Arial" w:hAnsi="Arial" w:cs="Arial"/>
        </w:rPr>
        <w:t>[53</w:t>
      </w:r>
      <w:r w:rsidR="00925C9B">
        <w:rPr>
          <w:rFonts w:ascii="Arial" w:hAnsi="Arial" w:cs="Arial"/>
        </w:rPr>
        <w:t>]</w:t>
      </w:r>
      <w:r w:rsidR="00AE5174">
        <w:rPr>
          <w:rFonts w:ascii="Arial" w:hAnsi="Arial" w:cs="Arial"/>
        </w:rPr>
        <w:tab/>
      </w:r>
      <w:r w:rsidR="0068606D" w:rsidRPr="0068606D">
        <w:rPr>
          <w:rFonts w:ascii="Arial" w:hAnsi="Arial" w:cs="Arial"/>
        </w:rPr>
        <w:t>Upon consideration of the rule 15 and form LC28, it is doubtful that rule 15 should be strictly applied to subsequent setting down of arbitration hearings.</w:t>
      </w:r>
      <w:r w:rsidR="00766420">
        <w:rPr>
          <w:rFonts w:ascii="Arial" w:hAnsi="Arial" w:cs="Arial"/>
        </w:rPr>
        <w:t xml:space="preserve"> </w:t>
      </w:r>
      <w:r w:rsidR="00925C9B">
        <w:rPr>
          <w:rFonts w:ascii="Arial" w:hAnsi="Arial" w:cs="Arial"/>
        </w:rPr>
        <w:t>For these reasons,</w:t>
      </w:r>
      <w:r w:rsidR="00766420">
        <w:rPr>
          <w:rFonts w:ascii="Arial" w:hAnsi="Arial" w:cs="Arial"/>
        </w:rPr>
        <w:t xml:space="preserve"> this point </w:t>
      </w:r>
      <w:r w:rsidR="00766420" w:rsidRPr="00766420">
        <w:rPr>
          <w:rFonts w:ascii="Arial" w:hAnsi="Arial" w:cs="Arial"/>
          <w:i/>
        </w:rPr>
        <w:t>in limine</w:t>
      </w:r>
      <w:r w:rsidR="00766420">
        <w:rPr>
          <w:rFonts w:ascii="Arial" w:hAnsi="Arial" w:cs="Arial"/>
        </w:rPr>
        <w:t xml:space="preserve"> </w:t>
      </w:r>
      <w:r w:rsidR="00DD6C38">
        <w:rPr>
          <w:rFonts w:ascii="Arial" w:hAnsi="Arial" w:cs="Arial"/>
        </w:rPr>
        <w:t xml:space="preserve">also </w:t>
      </w:r>
      <w:r w:rsidR="00925C9B">
        <w:rPr>
          <w:rFonts w:ascii="Arial" w:hAnsi="Arial" w:cs="Arial"/>
        </w:rPr>
        <w:t>fails.</w:t>
      </w:r>
    </w:p>
    <w:p w:rsidR="005C5BAA" w:rsidRDefault="005C5BAA" w:rsidP="00BF0D83">
      <w:pPr>
        <w:spacing w:line="360" w:lineRule="auto"/>
        <w:jc w:val="both"/>
        <w:rPr>
          <w:rFonts w:ascii="Arial" w:hAnsi="Arial" w:cs="Arial"/>
        </w:rPr>
      </w:pPr>
    </w:p>
    <w:p w:rsidR="00C96D0F" w:rsidRDefault="00C96D0F" w:rsidP="005C5BAA">
      <w:pPr>
        <w:spacing w:line="360" w:lineRule="auto"/>
        <w:jc w:val="both"/>
        <w:rPr>
          <w:rFonts w:ascii="Arial" w:eastAsia="MS Mincho" w:hAnsi="Arial" w:cs="Arial"/>
          <w:u w:val="single"/>
        </w:rPr>
      </w:pPr>
    </w:p>
    <w:p w:rsidR="005C5BAA" w:rsidRPr="000E7AC9" w:rsidRDefault="005C5BAA" w:rsidP="005C5BAA">
      <w:pPr>
        <w:spacing w:line="360" w:lineRule="auto"/>
        <w:jc w:val="both"/>
        <w:rPr>
          <w:rFonts w:ascii="Arial" w:eastAsia="MS Mincho" w:hAnsi="Arial" w:cs="Arial"/>
          <w:b/>
          <w:u w:val="single"/>
        </w:rPr>
      </w:pPr>
      <w:r w:rsidRPr="000E7AC9">
        <w:rPr>
          <w:rFonts w:ascii="Arial" w:eastAsia="MS Mincho" w:hAnsi="Arial" w:cs="Arial"/>
          <w:u w:val="single"/>
        </w:rPr>
        <w:t xml:space="preserve">Third point </w:t>
      </w:r>
      <w:r w:rsidRPr="000E7AC9">
        <w:rPr>
          <w:rFonts w:ascii="Arial" w:eastAsia="MS Mincho" w:hAnsi="Arial" w:cs="Arial"/>
          <w:i/>
          <w:u w:val="single"/>
        </w:rPr>
        <w:t>in limine</w:t>
      </w:r>
      <w:r w:rsidRPr="000E7AC9">
        <w:rPr>
          <w:rFonts w:ascii="Arial" w:eastAsia="MS Mincho" w:hAnsi="Arial" w:cs="Arial"/>
          <w:b/>
          <w:u w:val="single"/>
        </w:rPr>
        <w:t xml:space="preserve"> </w:t>
      </w:r>
      <w:r w:rsidRPr="000E7AC9">
        <w:rPr>
          <w:rFonts w:ascii="Arial" w:eastAsia="MS Mincho" w:hAnsi="Arial" w:cs="Arial"/>
          <w:i/>
          <w:u w:val="single"/>
        </w:rPr>
        <w:t xml:space="preserve">– refusing to hear </w:t>
      </w:r>
      <w:r w:rsidR="000346D6" w:rsidRPr="000E7AC9">
        <w:rPr>
          <w:rFonts w:ascii="Arial" w:eastAsia="MS Mincho" w:hAnsi="Arial" w:cs="Arial"/>
          <w:i/>
          <w:u w:val="single"/>
        </w:rPr>
        <w:t>Appellant</w:t>
      </w:r>
      <w:r w:rsidRPr="000E7AC9">
        <w:rPr>
          <w:rFonts w:ascii="Arial" w:eastAsia="MS Mincho" w:hAnsi="Arial" w:cs="Arial"/>
          <w:i/>
          <w:u w:val="single"/>
        </w:rPr>
        <w:t>’s rescission application</w:t>
      </w:r>
    </w:p>
    <w:p w:rsidR="005C5BAA" w:rsidRPr="005C5BAA" w:rsidRDefault="005C5BAA" w:rsidP="005C5BAA">
      <w:pPr>
        <w:spacing w:line="360" w:lineRule="auto"/>
        <w:jc w:val="both"/>
        <w:rPr>
          <w:rFonts w:ascii="Times New Roman" w:eastAsia="MS Mincho" w:hAnsi="Times New Roman" w:cs="Times New Roman"/>
          <w:b/>
        </w:rPr>
      </w:pPr>
    </w:p>
    <w:p w:rsidR="008E1876" w:rsidRDefault="001F1CC0" w:rsidP="004B088F">
      <w:pPr>
        <w:spacing w:line="360" w:lineRule="auto"/>
        <w:jc w:val="both"/>
        <w:rPr>
          <w:rFonts w:ascii="Arial" w:eastAsia="Calibri" w:hAnsi="Arial" w:cs="Arial"/>
        </w:rPr>
      </w:pPr>
      <w:r>
        <w:rPr>
          <w:rFonts w:ascii="Arial" w:eastAsia="Calibri" w:hAnsi="Arial" w:cs="Arial"/>
        </w:rPr>
        <w:lastRenderedPageBreak/>
        <w:t>[54</w:t>
      </w:r>
      <w:r w:rsidR="00DD6C38">
        <w:rPr>
          <w:rFonts w:ascii="Arial" w:eastAsia="Calibri" w:hAnsi="Arial" w:cs="Arial"/>
        </w:rPr>
        <w:t xml:space="preserve">] </w:t>
      </w:r>
      <w:r w:rsidR="004B088F" w:rsidRPr="004B088F">
        <w:rPr>
          <w:rFonts w:ascii="Arial" w:eastAsia="Calibri" w:hAnsi="Arial" w:cs="Arial"/>
        </w:rPr>
        <w:t>On 1</w:t>
      </w:r>
      <w:r w:rsidR="004B088F">
        <w:rPr>
          <w:rFonts w:ascii="Arial" w:eastAsia="Calibri" w:hAnsi="Arial" w:cs="Arial"/>
        </w:rPr>
        <w:t>5</w:t>
      </w:r>
      <w:r w:rsidR="004B088F" w:rsidRPr="004B088F">
        <w:rPr>
          <w:rFonts w:ascii="Arial" w:eastAsia="Calibri" w:hAnsi="Arial" w:cs="Arial"/>
        </w:rPr>
        <w:t xml:space="preserve"> </w:t>
      </w:r>
      <w:r w:rsidR="004B088F">
        <w:rPr>
          <w:rFonts w:ascii="Arial" w:eastAsia="Calibri" w:hAnsi="Arial" w:cs="Arial"/>
        </w:rPr>
        <w:t xml:space="preserve">March 2016, </w:t>
      </w:r>
      <w:r w:rsidR="00925C9B">
        <w:rPr>
          <w:rFonts w:ascii="Arial" w:eastAsia="Calibri" w:hAnsi="Arial" w:cs="Arial"/>
        </w:rPr>
        <w:t>a</w:t>
      </w:r>
      <w:r w:rsidR="000346D6">
        <w:rPr>
          <w:rFonts w:ascii="Arial" w:eastAsia="Calibri" w:hAnsi="Arial" w:cs="Arial"/>
        </w:rPr>
        <w:t>ppellant</w:t>
      </w:r>
      <w:r w:rsidR="008E1876">
        <w:rPr>
          <w:rFonts w:ascii="Arial" w:eastAsia="Calibri" w:hAnsi="Arial" w:cs="Arial"/>
        </w:rPr>
        <w:t xml:space="preserve"> </w:t>
      </w:r>
      <w:r w:rsidR="008E1876" w:rsidRPr="004B088F">
        <w:rPr>
          <w:rFonts w:ascii="Arial" w:eastAsia="Calibri" w:hAnsi="Arial" w:cs="Arial"/>
        </w:rPr>
        <w:t>was</w:t>
      </w:r>
      <w:r w:rsidR="004B088F" w:rsidRPr="004B088F">
        <w:rPr>
          <w:rFonts w:ascii="Arial" w:eastAsia="Calibri" w:hAnsi="Arial" w:cs="Arial"/>
        </w:rPr>
        <w:t xml:space="preserve"> not present at the arbitration </w:t>
      </w:r>
      <w:r w:rsidR="008E1876">
        <w:rPr>
          <w:rFonts w:ascii="Arial" w:eastAsia="Calibri" w:hAnsi="Arial" w:cs="Arial"/>
        </w:rPr>
        <w:t xml:space="preserve">proceeding and the arbitration hearing </w:t>
      </w:r>
      <w:r w:rsidR="004B088F" w:rsidRPr="004B088F">
        <w:rPr>
          <w:rFonts w:ascii="Arial" w:eastAsia="Calibri" w:hAnsi="Arial" w:cs="Arial"/>
        </w:rPr>
        <w:t xml:space="preserve">proceeded </w:t>
      </w:r>
      <w:r w:rsidR="008E1876">
        <w:rPr>
          <w:rFonts w:ascii="Arial" w:eastAsia="Calibri" w:hAnsi="Arial" w:cs="Arial"/>
        </w:rPr>
        <w:t>in its</w:t>
      </w:r>
      <w:r w:rsidR="004B088F" w:rsidRPr="004B088F">
        <w:rPr>
          <w:rFonts w:ascii="Arial" w:eastAsia="Calibri" w:hAnsi="Arial" w:cs="Arial"/>
        </w:rPr>
        <w:t xml:space="preserve"> absence</w:t>
      </w:r>
      <w:r w:rsidR="008E1876">
        <w:rPr>
          <w:rFonts w:ascii="Arial" w:eastAsia="Calibri" w:hAnsi="Arial" w:cs="Arial"/>
        </w:rPr>
        <w:t>.</w:t>
      </w:r>
      <w:r w:rsidR="004B088F" w:rsidRPr="004B088F">
        <w:rPr>
          <w:rFonts w:ascii="Arial" w:eastAsia="Calibri" w:hAnsi="Arial" w:cs="Arial"/>
        </w:rPr>
        <w:t xml:space="preserve"> O</w:t>
      </w:r>
      <w:r w:rsidR="008E1876">
        <w:rPr>
          <w:rFonts w:ascii="Arial" w:eastAsia="Calibri" w:hAnsi="Arial" w:cs="Arial"/>
        </w:rPr>
        <w:t>n 24 March 2016, the arbitrator handed down her</w:t>
      </w:r>
      <w:r w:rsidR="004B088F" w:rsidRPr="004B088F">
        <w:rPr>
          <w:rFonts w:ascii="Arial" w:eastAsia="Calibri" w:hAnsi="Arial" w:cs="Arial"/>
        </w:rPr>
        <w:t xml:space="preserve"> award. </w:t>
      </w:r>
    </w:p>
    <w:p w:rsidR="00925C9B" w:rsidRDefault="00925C9B" w:rsidP="004B088F">
      <w:pPr>
        <w:spacing w:line="360" w:lineRule="auto"/>
        <w:jc w:val="both"/>
        <w:rPr>
          <w:rFonts w:ascii="Arial" w:eastAsia="Calibri" w:hAnsi="Arial" w:cs="Arial"/>
        </w:rPr>
      </w:pPr>
    </w:p>
    <w:p w:rsidR="008E1876" w:rsidRDefault="001F1CC0" w:rsidP="004B088F">
      <w:pPr>
        <w:spacing w:line="360" w:lineRule="auto"/>
        <w:jc w:val="both"/>
        <w:rPr>
          <w:rFonts w:ascii="Arial" w:eastAsia="Calibri" w:hAnsi="Arial" w:cs="Arial"/>
        </w:rPr>
      </w:pPr>
      <w:r>
        <w:rPr>
          <w:rFonts w:ascii="Arial" w:eastAsia="Calibri" w:hAnsi="Arial" w:cs="Arial"/>
        </w:rPr>
        <w:t>[55</w:t>
      </w:r>
      <w:r w:rsidR="00DD6C38">
        <w:rPr>
          <w:rFonts w:ascii="Arial" w:eastAsia="Calibri" w:hAnsi="Arial" w:cs="Arial"/>
        </w:rPr>
        <w:t xml:space="preserve">] </w:t>
      </w:r>
      <w:r w:rsidR="00E16C74">
        <w:rPr>
          <w:rFonts w:ascii="Arial" w:eastAsia="Calibri" w:hAnsi="Arial" w:cs="Arial"/>
        </w:rPr>
        <w:t xml:space="preserve">On 25 April 2016, </w:t>
      </w:r>
      <w:r w:rsidR="00925C9B">
        <w:rPr>
          <w:rFonts w:ascii="Arial" w:eastAsia="Calibri" w:hAnsi="Arial" w:cs="Arial"/>
        </w:rPr>
        <w:t>a</w:t>
      </w:r>
      <w:r w:rsidR="000346D6">
        <w:rPr>
          <w:rFonts w:ascii="Arial" w:eastAsia="Calibri" w:hAnsi="Arial" w:cs="Arial"/>
        </w:rPr>
        <w:t>ppellant</w:t>
      </w:r>
      <w:r w:rsidR="00E16C74">
        <w:rPr>
          <w:rFonts w:ascii="Arial" w:eastAsia="Calibri" w:hAnsi="Arial" w:cs="Arial"/>
        </w:rPr>
        <w:t xml:space="preserve"> lodged</w:t>
      </w:r>
      <w:r w:rsidR="008E1876">
        <w:rPr>
          <w:rFonts w:ascii="Arial" w:eastAsia="Calibri" w:hAnsi="Arial" w:cs="Arial"/>
        </w:rPr>
        <w:t xml:space="preserve"> </w:t>
      </w:r>
      <w:r w:rsidR="00E16C74">
        <w:rPr>
          <w:rFonts w:ascii="Arial" w:eastAsia="Calibri" w:hAnsi="Arial" w:cs="Arial"/>
        </w:rPr>
        <w:t xml:space="preserve">and served </w:t>
      </w:r>
      <w:r w:rsidR="008E1876">
        <w:rPr>
          <w:rFonts w:ascii="Arial" w:eastAsia="Calibri" w:hAnsi="Arial" w:cs="Arial"/>
        </w:rPr>
        <w:t>a</w:t>
      </w:r>
      <w:r w:rsidR="00E16C74">
        <w:rPr>
          <w:rFonts w:ascii="Arial" w:eastAsia="Calibri" w:hAnsi="Arial" w:cs="Arial"/>
        </w:rPr>
        <w:t>n</w:t>
      </w:r>
      <w:r w:rsidR="008E1876">
        <w:rPr>
          <w:rFonts w:ascii="Arial" w:eastAsia="Calibri" w:hAnsi="Arial" w:cs="Arial"/>
        </w:rPr>
        <w:t xml:space="preserve"> application for rescission </w:t>
      </w:r>
      <w:r w:rsidR="00284B6E">
        <w:rPr>
          <w:rFonts w:ascii="Arial" w:eastAsia="Calibri" w:hAnsi="Arial" w:cs="Arial"/>
        </w:rPr>
        <w:t>of</w:t>
      </w:r>
      <w:r w:rsidR="008E1876">
        <w:rPr>
          <w:rFonts w:ascii="Arial" w:eastAsia="Calibri" w:hAnsi="Arial" w:cs="Arial"/>
        </w:rPr>
        <w:t xml:space="preserve"> the default award</w:t>
      </w:r>
      <w:r w:rsidR="00E16C74">
        <w:rPr>
          <w:rFonts w:ascii="Arial" w:eastAsia="Calibri" w:hAnsi="Arial" w:cs="Arial"/>
        </w:rPr>
        <w:t xml:space="preserve"> dated 24 March 2016. On 23 May 2016 </w:t>
      </w:r>
      <w:r w:rsidR="00925C9B">
        <w:rPr>
          <w:rFonts w:ascii="Arial" w:eastAsia="Calibri" w:hAnsi="Arial" w:cs="Arial"/>
        </w:rPr>
        <w:t>a</w:t>
      </w:r>
      <w:r w:rsidR="000346D6">
        <w:rPr>
          <w:rFonts w:ascii="Arial" w:eastAsia="Calibri" w:hAnsi="Arial" w:cs="Arial"/>
        </w:rPr>
        <w:t>ppellant</w:t>
      </w:r>
      <w:r w:rsidR="00AE5174">
        <w:rPr>
          <w:rFonts w:ascii="Arial" w:eastAsia="Calibri" w:hAnsi="Arial" w:cs="Arial"/>
        </w:rPr>
        <w:t>’s</w:t>
      </w:r>
      <w:r w:rsidR="00E16C74">
        <w:rPr>
          <w:rFonts w:ascii="Arial" w:eastAsia="Calibri" w:hAnsi="Arial" w:cs="Arial"/>
        </w:rPr>
        <w:t xml:space="preserve"> representative addressed a letter to the office of Labour Commissioner which reads as follows</w:t>
      </w:r>
      <w:r w:rsidR="00096250">
        <w:rPr>
          <w:rFonts w:ascii="Arial" w:eastAsia="Calibri" w:hAnsi="Arial" w:cs="Arial"/>
        </w:rPr>
        <w:t xml:space="preserve"> in part</w:t>
      </w:r>
      <w:r w:rsidR="00E16C74">
        <w:rPr>
          <w:rFonts w:ascii="Arial" w:eastAsia="Calibri" w:hAnsi="Arial" w:cs="Arial"/>
        </w:rPr>
        <w:t>:</w:t>
      </w:r>
    </w:p>
    <w:p w:rsidR="00AE5174" w:rsidRDefault="00AE5174" w:rsidP="004B088F">
      <w:pPr>
        <w:spacing w:line="360" w:lineRule="auto"/>
        <w:jc w:val="both"/>
        <w:rPr>
          <w:rFonts w:ascii="Arial" w:eastAsia="Calibri" w:hAnsi="Arial" w:cs="Arial"/>
        </w:rPr>
      </w:pPr>
    </w:p>
    <w:p w:rsidR="005271D8" w:rsidRPr="005271D8" w:rsidRDefault="00C96D0F" w:rsidP="00AE5174">
      <w:pPr>
        <w:spacing w:line="360" w:lineRule="auto"/>
        <w:ind w:left="720" w:right="380"/>
        <w:jc w:val="both"/>
        <w:rPr>
          <w:rFonts w:ascii="Arial" w:eastAsia="Calibri" w:hAnsi="Arial" w:cs="Arial"/>
          <w:sz w:val="22"/>
        </w:rPr>
      </w:pPr>
      <w:r>
        <w:rPr>
          <w:rFonts w:ascii="Arial" w:eastAsia="Calibri" w:hAnsi="Arial" w:cs="Arial"/>
          <w:sz w:val="22"/>
        </w:rPr>
        <w:t>‘</w:t>
      </w:r>
      <w:r w:rsidR="005271D8" w:rsidRPr="005271D8">
        <w:rPr>
          <w:rFonts w:ascii="Arial" w:eastAsia="Calibri" w:hAnsi="Arial" w:cs="Arial"/>
          <w:sz w:val="22"/>
        </w:rPr>
        <w:t xml:space="preserve">A </w:t>
      </w:r>
      <w:r w:rsidR="00E16C74" w:rsidRPr="005271D8">
        <w:rPr>
          <w:rFonts w:ascii="Arial" w:eastAsia="Calibri" w:hAnsi="Arial" w:cs="Arial"/>
          <w:sz w:val="22"/>
        </w:rPr>
        <w:t>Notice</w:t>
      </w:r>
      <w:r w:rsidR="005271D8" w:rsidRPr="005271D8">
        <w:rPr>
          <w:rFonts w:ascii="Arial" w:eastAsia="Calibri" w:hAnsi="Arial" w:cs="Arial"/>
          <w:sz w:val="22"/>
        </w:rPr>
        <w:t xml:space="preserve"> of Application for Rescission of an Arbitrati</w:t>
      </w:r>
      <w:r w:rsidR="00095399">
        <w:rPr>
          <w:rFonts w:ascii="Arial" w:eastAsia="Calibri" w:hAnsi="Arial" w:cs="Arial"/>
          <w:sz w:val="22"/>
        </w:rPr>
        <w:t>on Award (Form LC38) accompanie</w:t>
      </w:r>
      <w:r w:rsidR="00AE5174">
        <w:rPr>
          <w:rFonts w:ascii="Arial" w:eastAsia="Calibri" w:hAnsi="Arial" w:cs="Arial"/>
          <w:sz w:val="22"/>
        </w:rPr>
        <w:t>d</w:t>
      </w:r>
      <w:r w:rsidR="005271D8" w:rsidRPr="005271D8">
        <w:rPr>
          <w:rFonts w:ascii="Arial" w:eastAsia="Calibri" w:hAnsi="Arial" w:cs="Arial"/>
          <w:sz w:val="22"/>
        </w:rPr>
        <w:t xml:space="preserve"> by the affidavits of Azalia Arendse and Elia Hipundjua was delivered to the respondents’ representative trade union [Namibian Food and Allied Workers Union (Nafau)] and your offices by the messenger of court on 25 April 2016.</w:t>
      </w:r>
      <w:r w:rsidR="00AE5174">
        <w:rPr>
          <w:rFonts w:ascii="Arial" w:eastAsia="Calibri" w:hAnsi="Arial" w:cs="Arial"/>
          <w:sz w:val="22"/>
        </w:rPr>
        <w:t xml:space="preserve"> </w:t>
      </w:r>
      <w:r w:rsidR="005271D8" w:rsidRPr="005271D8">
        <w:rPr>
          <w:rFonts w:ascii="Arial" w:eastAsia="Calibri" w:hAnsi="Arial" w:cs="Arial"/>
          <w:sz w:val="22"/>
        </w:rPr>
        <w:t>Kindly find attached copies of the messenger’s return of service and proof of service (form LG36) for your records.</w:t>
      </w:r>
    </w:p>
    <w:p w:rsidR="005271D8" w:rsidRPr="005271D8" w:rsidRDefault="005271D8" w:rsidP="00925C9B">
      <w:pPr>
        <w:spacing w:line="360" w:lineRule="auto"/>
        <w:ind w:left="720" w:right="380"/>
        <w:jc w:val="both"/>
        <w:rPr>
          <w:rFonts w:ascii="Arial" w:eastAsia="Calibri" w:hAnsi="Arial" w:cs="Arial"/>
          <w:sz w:val="22"/>
        </w:rPr>
      </w:pPr>
      <w:r w:rsidRPr="005271D8">
        <w:rPr>
          <w:rFonts w:ascii="Arial" w:eastAsia="Calibri" w:hAnsi="Arial" w:cs="Arial"/>
          <w:sz w:val="22"/>
        </w:rPr>
        <w:t xml:space="preserve">As no notice of opposition to the application has been delivered, kindly advise if you intend to schedule a hearing for the application and if so, the date when </w:t>
      </w:r>
      <w:r w:rsidR="00C96D0F">
        <w:rPr>
          <w:rFonts w:ascii="Arial" w:eastAsia="Calibri" w:hAnsi="Arial" w:cs="Arial"/>
          <w:sz w:val="22"/>
        </w:rPr>
        <w:t>the application will be heard.’</w:t>
      </w:r>
    </w:p>
    <w:p w:rsidR="00E16C74" w:rsidRDefault="00E16C74" w:rsidP="004B088F">
      <w:pPr>
        <w:spacing w:line="360" w:lineRule="auto"/>
        <w:jc w:val="both"/>
        <w:rPr>
          <w:rFonts w:ascii="Arial" w:eastAsia="Calibri" w:hAnsi="Arial" w:cs="Arial"/>
        </w:rPr>
      </w:pPr>
    </w:p>
    <w:p w:rsidR="00934842" w:rsidRDefault="001F1CC0" w:rsidP="00934842">
      <w:pPr>
        <w:spacing w:line="360" w:lineRule="auto"/>
        <w:jc w:val="both"/>
        <w:rPr>
          <w:rFonts w:ascii="Arial" w:eastAsia="Calibri" w:hAnsi="Arial" w:cs="Arial"/>
        </w:rPr>
      </w:pPr>
      <w:r>
        <w:rPr>
          <w:rFonts w:ascii="Arial" w:eastAsia="Calibri" w:hAnsi="Arial" w:cs="Arial"/>
        </w:rPr>
        <w:t>[56</w:t>
      </w:r>
      <w:r w:rsidR="00095399">
        <w:rPr>
          <w:rFonts w:ascii="Arial" w:eastAsia="Calibri" w:hAnsi="Arial" w:cs="Arial"/>
        </w:rPr>
        <w:t xml:space="preserve">] </w:t>
      </w:r>
      <w:r w:rsidR="00E16C74">
        <w:rPr>
          <w:rFonts w:ascii="Arial" w:eastAsia="Calibri" w:hAnsi="Arial" w:cs="Arial"/>
        </w:rPr>
        <w:t>There was no response to this letter, and a follow up letter dated</w:t>
      </w:r>
      <w:r w:rsidR="00284B6E">
        <w:rPr>
          <w:rFonts w:ascii="Arial" w:eastAsia="Calibri" w:hAnsi="Arial" w:cs="Arial"/>
        </w:rPr>
        <w:t xml:space="preserve"> 31 May 2016 was </w:t>
      </w:r>
      <w:r w:rsidR="00E16C74">
        <w:rPr>
          <w:rFonts w:ascii="Arial" w:eastAsia="Calibri" w:hAnsi="Arial" w:cs="Arial"/>
        </w:rPr>
        <w:t>addressed to the arbitrator</w:t>
      </w:r>
      <w:r w:rsidR="00284B6E">
        <w:rPr>
          <w:rFonts w:ascii="Arial" w:eastAsia="Calibri" w:hAnsi="Arial" w:cs="Arial"/>
        </w:rPr>
        <w:t>. On 8 June 2016 the arbitrator responded</w:t>
      </w:r>
      <w:r w:rsidR="00E16C74">
        <w:rPr>
          <w:rFonts w:ascii="Arial" w:eastAsia="Calibri" w:hAnsi="Arial" w:cs="Arial"/>
        </w:rPr>
        <w:t xml:space="preserve"> </w:t>
      </w:r>
      <w:r w:rsidR="00925C9B">
        <w:rPr>
          <w:rFonts w:ascii="Arial" w:eastAsia="Calibri" w:hAnsi="Arial" w:cs="Arial"/>
        </w:rPr>
        <w:t xml:space="preserve">to </w:t>
      </w:r>
      <w:r w:rsidR="00E16C74">
        <w:rPr>
          <w:rFonts w:ascii="Arial" w:eastAsia="Calibri" w:hAnsi="Arial" w:cs="Arial"/>
        </w:rPr>
        <w:t>the representative o</w:t>
      </w:r>
      <w:r w:rsidR="00284B6E">
        <w:rPr>
          <w:rFonts w:ascii="Arial" w:eastAsia="Calibri" w:hAnsi="Arial" w:cs="Arial"/>
        </w:rPr>
        <w:t xml:space="preserve">f </w:t>
      </w:r>
      <w:r w:rsidR="00AE5174">
        <w:rPr>
          <w:rFonts w:ascii="Arial" w:eastAsia="Calibri" w:hAnsi="Arial" w:cs="Arial"/>
        </w:rPr>
        <w:t>a</w:t>
      </w:r>
      <w:r w:rsidR="000346D6">
        <w:rPr>
          <w:rFonts w:ascii="Arial" w:eastAsia="Calibri" w:hAnsi="Arial" w:cs="Arial"/>
        </w:rPr>
        <w:t>ppellant</w:t>
      </w:r>
      <w:r w:rsidR="00284B6E">
        <w:rPr>
          <w:rFonts w:ascii="Arial" w:eastAsia="Calibri" w:hAnsi="Arial" w:cs="Arial"/>
        </w:rPr>
        <w:t xml:space="preserve"> as follows:</w:t>
      </w:r>
    </w:p>
    <w:p w:rsidR="00934842" w:rsidRDefault="00934842" w:rsidP="00934842">
      <w:pPr>
        <w:spacing w:line="360" w:lineRule="auto"/>
        <w:jc w:val="both"/>
        <w:rPr>
          <w:rFonts w:ascii="Arial" w:eastAsia="Calibri" w:hAnsi="Arial" w:cs="Arial"/>
        </w:rPr>
      </w:pPr>
    </w:p>
    <w:p w:rsidR="00934842" w:rsidRPr="00D062FA" w:rsidRDefault="00D062FA" w:rsidP="00D062FA">
      <w:pPr>
        <w:spacing w:line="360" w:lineRule="auto"/>
        <w:ind w:left="720" w:right="380" w:hanging="360"/>
        <w:jc w:val="both"/>
        <w:rPr>
          <w:rFonts w:ascii="Arial" w:eastAsia="Calibri" w:hAnsi="Arial" w:cs="Arial"/>
          <w:sz w:val="22"/>
        </w:rPr>
      </w:pPr>
      <w:r w:rsidRPr="00C96D0F">
        <w:rPr>
          <w:rFonts w:ascii="Arial" w:eastAsia="MS Mincho" w:hAnsi="Arial" w:cs="Arial"/>
          <w:sz w:val="22"/>
        </w:rPr>
        <w:t>1.</w:t>
      </w:r>
      <w:r w:rsidRPr="00C96D0F">
        <w:rPr>
          <w:rFonts w:ascii="Arial" w:eastAsia="MS Mincho" w:hAnsi="Arial" w:cs="Arial"/>
          <w:sz w:val="22"/>
        </w:rPr>
        <w:tab/>
      </w:r>
      <w:r w:rsidR="00C96D0F" w:rsidRPr="00D062FA">
        <w:rPr>
          <w:rFonts w:ascii="Arial" w:eastAsia="MS Mincho" w:hAnsi="Arial" w:cs="Arial"/>
          <w:sz w:val="22"/>
        </w:rPr>
        <w:t>‘</w:t>
      </w:r>
      <w:r w:rsidR="00284B6E" w:rsidRPr="00D062FA">
        <w:rPr>
          <w:rFonts w:ascii="Arial" w:eastAsia="MS Mincho" w:hAnsi="Arial" w:cs="Arial"/>
          <w:sz w:val="22"/>
        </w:rPr>
        <w:t>I acknowledged receipt of your letter dated 31</w:t>
      </w:r>
      <w:r w:rsidR="00284B6E" w:rsidRPr="00D062FA">
        <w:rPr>
          <w:rFonts w:ascii="Arial" w:eastAsia="MS Mincho" w:hAnsi="Arial" w:cs="Arial"/>
          <w:sz w:val="22"/>
          <w:vertAlign w:val="superscript"/>
        </w:rPr>
        <w:t>st</w:t>
      </w:r>
      <w:r w:rsidR="00284B6E" w:rsidRPr="00D062FA">
        <w:rPr>
          <w:rFonts w:ascii="Arial" w:eastAsia="MS Mincho" w:hAnsi="Arial" w:cs="Arial"/>
          <w:sz w:val="22"/>
        </w:rPr>
        <w:t xml:space="preserve"> May 2016 on the above case number CRWB 01-16 and my response as follows… </w:t>
      </w:r>
    </w:p>
    <w:p w:rsidR="00934842" w:rsidRPr="00D062FA" w:rsidRDefault="00D062FA" w:rsidP="00D062FA">
      <w:pPr>
        <w:spacing w:line="360" w:lineRule="auto"/>
        <w:ind w:left="720" w:right="380" w:hanging="360"/>
        <w:jc w:val="both"/>
        <w:rPr>
          <w:rFonts w:ascii="Arial" w:eastAsia="Calibri" w:hAnsi="Arial" w:cs="Arial"/>
          <w:sz w:val="22"/>
        </w:rPr>
      </w:pPr>
      <w:r w:rsidRPr="00C96D0F">
        <w:rPr>
          <w:rFonts w:ascii="Arial" w:eastAsia="MS Mincho" w:hAnsi="Arial" w:cs="Arial"/>
          <w:sz w:val="22"/>
        </w:rPr>
        <w:t>2.</w:t>
      </w:r>
      <w:r w:rsidRPr="00C96D0F">
        <w:rPr>
          <w:rFonts w:ascii="Arial" w:eastAsia="MS Mincho" w:hAnsi="Arial" w:cs="Arial"/>
          <w:sz w:val="22"/>
        </w:rPr>
        <w:tab/>
      </w:r>
      <w:r w:rsidR="00284B6E" w:rsidRPr="00D062FA">
        <w:rPr>
          <w:rFonts w:ascii="Arial" w:eastAsia="MS Mincho" w:hAnsi="Arial" w:cs="Arial"/>
          <w:sz w:val="22"/>
        </w:rPr>
        <w:t>The letter written to me indicates that an application was lodged with my office to have the award made in the absence of the respondent be rescinded in terms of ConArb Rules 28(10) and that an appeal has been noted.</w:t>
      </w:r>
    </w:p>
    <w:p w:rsidR="00284B6E" w:rsidRPr="00D062FA" w:rsidRDefault="00D062FA" w:rsidP="00D062FA">
      <w:pPr>
        <w:spacing w:line="360" w:lineRule="auto"/>
        <w:ind w:left="720" w:right="380" w:hanging="360"/>
        <w:jc w:val="both"/>
        <w:rPr>
          <w:rFonts w:ascii="Arial" w:eastAsia="Calibri" w:hAnsi="Arial" w:cs="Arial"/>
          <w:sz w:val="22"/>
        </w:rPr>
      </w:pPr>
      <w:r w:rsidRPr="00C96D0F">
        <w:rPr>
          <w:rFonts w:ascii="Arial" w:eastAsia="MS Mincho" w:hAnsi="Arial" w:cs="Arial"/>
          <w:sz w:val="22"/>
        </w:rPr>
        <w:t>3.</w:t>
      </w:r>
      <w:r w:rsidRPr="00C96D0F">
        <w:rPr>
          <w:rFonts w:ascii="Arial" w:eastAsia="MS Mincho" w:hAnsi="Arial" w:cs="Arial"/>
          <w:sz w:val="22"/>
        </w:rPr>
        <w:tab/>
      </w:r>
      <w:r w:rsidR="00934842" w:rsidRPr="00D062FA">
        <w:rPr>
          <w:rFonts w:ascii="Arial" w:eastAsia="MS Mincho" w:hAnsi="Arial" w:cs="Arial"/>
          <w:sz w:val="22"/>
        </w:rPr>
        <w:t>I was on leave during April 2016</w:t>
      </w:r>
      <w:r w:rsidR="00284B6E" w:rsidRPr="00D062FA">
        <w:rPr>
          <w:rFonts w:ascii="Arial" w:eastAsia="MS Mincho" w:hAnsi="Arial" w:cs="Arial"/>
          <w:sz w:val="22"/>
        </w:rPr>
        <w:t xml:space="preserve"> and had not received any document requesting for the rescission of the arbitration award. I however asked around and were informed that Lucia Hamukena received the document. She is however unable to locate the document for me to properly respond to your request, therefore from what I can tell is that I cannot rescind the arbitration </w:t>
      </w:r>
      <w:r w:rsidR="00934842" w:rsidRPr="00D062FA">
        <w:rPr>
          <w:rFonts w:ascii="Arial" w:eastAsia="MS Mincho" w:hAnsi="Arial" w:cs="Arial"/>
          <w:sz w:val="22"/>
        </w:rPr>
        <w:t>award for the following reasons:</w:t>
      </w:r>
    </w:p>
    <w:p w:rsidR="00284B6E" w:rsidRPr="00C96D0F" w:rsidRDefault="00284B6E" w:rsidP="00934842">
      <w:pPr>
        <w:spacing w:line="360" w:lineRule="auto"/>
        <w:ind w:left="1440" w:right="380"/>
        <w:contextualSpacing/>
        <w:jc w:val="both"/>
        <w:rPr>
          <w:rFonts w:ascii="Arial" w:eastAsia="MS Mincho" w:hAnsi="Arial" w:cs="Arial"/>
          <w:sz w:val="22"/>
        </w:rPr>
      </w:pPr>
      <w:r w:rsidRPr="00C96D0F">
        <w:rPr>
          <w:rFonts w:ascii="Arial" w:eastAsia="MS Mincho" w:hAnsi="Arial" w:cs="Arial"/>
          <w:sz w:val="22"/>
        </w:rPr>
        <w:lastRenderedPageBreak/>
        <w:t>3.1 I am satisfied that the respondent was properly informed of the set-down date and was prepared to attend to the proceedings.</w:t>
      </w:r>
    </w:p>
    <w:p w:rsidR="00284B6E" w:rsidRPr="00C96D0F" w:rsidRDefault="00284B6E" w:rsidP="00934842">
      <w:pPr>
        <w:spacing w:line="360" w:lineRule="auto"/>
        <w:ind w:left="1440" w:right="380"/>
        <w:contextualSpacing/>
        <w:jc w:val="both"/>
        <w:rPr>
          <w:rFonts w:ascii="Arial" w:eastAsia="MS Mincho" w:hAnsi="Arial" w:cs="Arial"/>
          <w:sz w:val="22"/>
        </w:rPr>
      </w:pPr>
      <w:r w:rsidRPr="00C96D0F">
        <w:rPr>
          <w:rFonts w:ascii="Arial" w:eastAsia="MS Mincho" w:hAnsi="Arial" w:cs="Arial"/>
          <w:sz w:val="22"/>
        </w:rPr>
        <w:t>3.2 A day before the proceedings the respondent requested for a postponement of which it was informed of the right procedure to postpone a matter in line with the instructions on form LC 28 in accordance with Rule 29 (1) of the Labour General Regulations.</w:t>
      </w:r>
    </w:p>
    <w:p w:rsidR="00284B6E" w:rsidRPr="00C96D0F" w:rsidRDefault="00284B6E" w:rsidP="00934842">
      <w:pPr>
        <w:spacing w:line="360" w:lineRule="auto"/>
        <w:ind w:left="1440" w:right="380"/>
        <w:contextualSpacing/>
        <w:jc w:val="both"/>
        <w:rPr>
          <w:rFonts w:ascii="Arial" w:eastAsia="MS Mincho" w:hAnsi="Arial" w:cs="Arial"/>
          <w:sz w:val="22"/>
        </w:rPr>
      </w:pPr>
      <w:r w:rsidRPr="00C96D0F">
        <w:rPr>
          <w:rFonts w:ascii="Arial" w:eastAsia="MS Mincho" w:hAnsi="Arial" w:cs="Arial"/>
          <w:sz w:val="22"/>
        </w:rPr>
        <w:t>3.3 The respondent wrote a letter dated 14</w:t>
      </w:r>
      <w:r w:rsidRPr="00C96D0F">
        <w:rPr>
          <w:rFonts w:ascii="Arial" w:eastAsia="MS Mincho" w:hAnsi="Arial" w:cs="Arial"/>
          <w:sz w:val="22"/>
          <w:vertAlign w:val="superscript"/>
        </w:rPr>
        <w:t>th</w:t>
      </w:r>
      <w:r w:rsidRPr="00C96D0F">
        <w:rPr>
          <w:rFonts w:ascii="Arial" w:eastAsia="MS Mincho" w:hAnsi="Arial" w:cs="Arial"/>
          <w:sz w:val="22"/>
        </w:rPr>
        <w:t xml:space="preserve"> March 2016 and in that letter indicated that the parties have agreed to a postponement which was denied by the union as per their letter dated 14</w:t>
      </w:r>
      <w:r w:rsidRPr="00C96D0F">
        <w:rPr>
          <w:rFonts w:ascii="Arial" w:eastAsia="MS Mincho" w:hAnsi="Arial" w:cs="Arial"/>
          <w:sz w:val="22"/>
          <w:vertAlign w:val="superscript"/>
        </w:rPr>
        <w:t>th</w:t>
      </w:r>
      <w:r w:rsidRPr="00C96D0F">
        <w:rPr>
          <w:rFonts w:ascii="Arial" w:eastAsia="MS Mincho" w:hAnsi="Arial" w:cs="Arial"/>
          <w:sz w:val="22"/>
        </w:rPr>
        <w:t xml:space="preserve"> March 2016. Rule 27 is clear on what should hap</w:t>
      </w:r>
      <w:r w:rsidR="00AE5174" w:rsidRPr="00C96D0F">
        <w:rPr>
          <w:rFonts w:ascii="Arial" w:eastAsia="MS Mincho" w:hAnsi="Arial" w:cs="Arial"/>
          <w:sz w:val="22"/>
        </w:rPr>
        <w:t>pen in what circumstances hence with</w:t>
      </w:r>
      <w:r w:rsidRPr="00C96D0F">
        <w:rPr>
          <w:rFonts w:ascii="Arial" w:eastAsia="MS Mincho" w:hAnsi="Arial" w:cs="Arial"/>
          <w:sz w:val="22"/>
        </w:rPr>
        <w:t xml:space="preserve"> I chose to proceed and determine the matter.</w:t>
      </w:r>
    </w:p>
    <w:p w:rsidR="00095399" w:rsidRDefault="00AE5174" w:rsidP="0044030D">
      <w:pPr>
        <w:spacing w:line="360" w:lineRule="auto"/>
        <w:ind w:left="1440" w:right="380"/>
        <w:jc w:val="both"/>
        <w:rPr>
          <w:rFonts w:ascii="Arial" w:eastAsia="MS Mincho" w:hAnsi="Arial" w:cs="Arial"/>
          <w:i/>
          <w:sz w:val="22"/>
        </w:rPr>
      </w:pPr>
      <w:r w:rsidRPr="00C96D0F">
        <w:rPr>
          <w:rFonts w:ascii="Arial" w:eastAsia="MS Mincho" w:hAnsi="Arial" w:cs="Arial"/>
          <w:sz w:val="22"/>
        </w:rPr>
        <w:t xml:space="preserve">4. </w:t>
      </w:r>
      <w:r w:rsidR="00284B6E" w:rsidRPr="00C96D0F">
        <w:rPr>
          <w:rFonts w:ascii="Arial" w:eastAsia="MS Mincho" w:hAnsi="Arial" w:cs="Arial"/>
          <w:sz w:val="22"/>
        </w:rPr>
        <w:t>I normally sent the record whenever a case is appealed hence with the transcript you received. Kindly take notice that based on the above reasons the matter will not be rescinded because the respondent was properly notified and waived its right to be heard</w:t>
      </w:r>
      <w:r w:rsidR="00C96D0F">
        <w:rPr>
          <w:rFonts w:ascii="Arial" w:eastAsia="MS Mincho" w:hAnsi="Arial" w:cs="Arial"/>
          <w:i/>
          <w:sz w:val="22"/>
        </w:rPr>
        <w:t>.’</w:t>
      </w:r>
    </w:p>
    <w:p w:rsidR="00095399" w:rsidRDefault="00095399" w:rsidP="00934842">
      <w:pPr>
        <w:spacing w:line="360" w:lineRule="auto"/>
        <w:ind w:left="720" w:right="380"/>
        <w:jc w:val="both"/>
        <w:rPr>
          <w:rFonts w:ascii="Arial" w:eastAsia="MS Mincho" w:hAnsi="Arial" w:cs="Arial"/>
          <w:i/>
          <w:sz w:val="22"/>
        </w:rPr>
      </w:pPr>
    </w:p>
    <w:p w:rsidR="00934842" w:rsidRPr="005C5BAA" w:rsidRDefault="001F1CC0" w:rsidP="00925C9B">
      <w:pPr>
        <w:spacing w:line="360" w:lineRule="auto"/>
        <w:contextualSpacing/>
        <w:jc w:val="both"/>
        <w:rPr>
          <w:rFonts w:ascii="Arial" w:eastAsia="MS Mincho" w:hAnsi="Arial" w:cs="Arial"/>
        </w:rPr>
      </w:pPr>
      <w:r>
        <w:rPr>
          <w:rFonts w:ascii="Arial" w:eastAsia="Calibri" w:hAnsi="Arial" w:cs="Arial"/>
        </w:rPr>
        <w:t>[57</w:t>
      </w:r>
      <w:r w:rsidR="00095399">
        <w:rPr>
          <w:rFonts w:ascii="Arial" w:eastAsia="Calibri" w:hAnsi="Arial" w:cs="Arial"/>
        </w:rPr>
        <w:t>]</w:t>
      </w:r>
      <w:r w:rsidR="00AE5174">
        <w:rPr>
          <w:rFonts w:ascii="Arial" w:eastAsia="Calibri" w:hAnsi="Arial" w:cs="Arial"/>
        </w:rPr>
        <w:tab/>
      </w:r>
      <w:r w:rsidR="00934842" w:rsidRPr="00934842">
        <w:rPr>
          <w:rFonts w:ascii="Arial" w:eastAsia="Calibri" w:hAnsi="Arial" w:cs="Arial"/>
        </w:rPr>
        <w:t>It is against the above</w:t>
      </w:r>
      <w:r w:rsidR="00934842">
        <w:rPr>
          <w:rFonts w:ascii="Arial" w:eastAsia="Calibri" w:hAnsi="Arial" w:cs="Arial"/>
        </w:rPr>
        <w:t xml:space="preserve"> decision</w:t>
      </w:r>
      <w:r w:rsidR="00BB2A4C">
        <w:rPr>
          <w:rFonts w:ascii="Arial" w:eastAsia="Calibri" w:hAnsi="Arial" w:cs="Arial"/>
        </w:rPr>
        <w:t xml:space="preserve"> by the arbitrator</w:t>
      </w:r>
      <w:r w:rsidR="00934842" w:rsidRPr="00934842">
        <w:rPr>
          <w:rFonts w:ascii="Arial" w:eastAsia="Calibri" w:hAnsi="Arial" w:cs="Arial"/>
        </w:rPr>
        <w:t xml:space="preserve"> that the </w:t>
      </w:r>
      <w:r w:rsidR="00BB2A4C">
        <w:rPr>
          <w:rFonts w:ascii="Arial" w:eastAsia="Calibri" w:hAnsi="Arial" w:cs="Arial"/>
        </w:rPr>
        <w:t>a</w:t>
      </w:r>
      <w:r w:rsidR="000346D6">
        <w:rPr>
          <w:rFonts w:ascii="Arial" w:eastAsia="Calibri" w:hAnsi="Arial" w:cs="Arial"/>
        </w:rPr>
        <w:t>ppellant</w:t>
      </w:r>
      <w:r w:rsidR="00934842">
        <w:rPr>
          <w:rFonts w:ascii="Arial" w:eastAsia="Calibri" w:hAnsi="Arial" w:cs="Arial"/>
        </w:rPr>
        <w:t xml:space="preserve"> raises its third point </w:t>
      </w:r>
      <w:r w:rsidR="00934842" w:rsidRPr="00934842">
        <w:rPr>
          <w:rFonts w:ascii="Arial" w:eastAsia="Calibri" w:hAnsi="Arial" w:cs="Arial"/>
          <w:i/>
        </w:rPr>
        <w:t>in limine</w:t>
      </w:r>
      <w:r w:rsidR="00934842">
        <w:rPr>
          <w:rFonts w:ascii="Arial" w:eastAsia="Calibri" w:hAnsi="Arial" w:cs="Arial"/>
        </w:rPr>
        <w:t xml:space="preserve"> in this</w:t>
      </w:r>
      <w:r w:rsidR="00934842" w:rsidRPr="00934842">
        <w:rPr>
          <w:rFonts w:ascii="Arial" w:eastAsia="Calibri" w:hAnsi="Arial" w:cs="Arial"/>
        </w:rPr>
        <w:t xml:space="preserve"> appeal.</w:t>
      </w:r>
      <w:r w:rsidR="00934842">
        <w:rPr>
          <w:rFonts w:ascii="Arial" w:eastAsia="Calibri" w:hAnsi="Arial" w:cs="Arial"/>
        </w:rPr>
        <w:t xml:space="preserve"> </w:t>
      </w:r>
      <w:r w:rsidR="00934842">
        <w:rPr>
          <w:rFonts w:ascii="Arial" w:eastAsia="MS Mincho" w:hAnsi="Arial" w:cs="Arial"/>
        </w:rPr>
        <w:t>We know that</w:t>
      </w:r>
      <w:r w:rsidR="00BB76B0">
        <w:rPr>
          <w:rFonts w:ascii="Arial" w:eastAsia="MS Mincho" w:hAnsi="Arial" w:cs="Arial"/>
        </w:rPr>
        <w:t xml:space="preserve"> the rescission application was not opposed. </w:t>
      </w:r>
      <w:r w:rsidR="00BB76B0" w:rsidRPr="00AE5174">
        <w:rPr>
          <w:rFonts w:ascii="Arial" w:eastAsia="MS Mincho" w:hAnsi="Arial" w:cs="Arial"/>
        </w:rPr>
        <w:t>Ms Shilongo</w:t>
      </w:r>
      <w:r w:rsidR="00BB76B0">
        <w:rPr>
          <w:rFonts w:ascii="Arial" w:eastAsia="MS Mincho" w:hAnsi="Arial" w:cs="Arial"/>
        </w:rPr>
        <w:t xml:space="preserve"> for the respondents argued that </w:t>
      </w:r>
      <w:r w:rsidR="00934842" w:rsidRPr="005C5BAA">
        <w:rPr>
          <w:rFonts w:ascii="Arial" w:eastAsia="MS Mincho" w:hAnsi="Arial" w:cs="Arial"/>
        </w:rPr>
        <w:t xml:space="preserve">the arbitrator acted correctly </w:t>
      </w:r>
      <w:r w:rsidR="00BB76B0">
        <w:rPr>
          <w:rFonts w:ascii="Arial" w:eastAsia="MS Mincho" w:hAnsi="Arial" w:cs="Arial"/>
        </w:rPr>
        <w:t>because</w:t>
      </w:r>
      <w:r w:rsidR="00934842" w:rsidRPr="005C5BAA">
        <w:rPr>
          <w:rFonts w:ascii="Arial" w:eastAsia="MS Mincho" w:hAnsi="Arial" w:cs="Arial"/>
        </w:rPr>
        <w:t xml:space="preserve"> </w:t>
      </w:r>
      <w:r w:rsidR="00BB2A4C">
        <w:rPr>
          <w:rFonts w:ascii="Arial" w:eastAsia="MS Mincho" w:hAnsi="Arial" w:cs="Arial"/>
        </w:rPr>
        <w:t>a</w:t>
      </w:r>
      <w:r w:rsidR="000346D6">
        <w:rPr>
          <w:rFonts w:ascii="Arial" w:eastAsia="MS Mincho" w:hAnsi="Arial" w:cs="Arial"/>
        </w:rPr>
        <w:t>ppellant</w:t>
      </w:r>
      <w:r w:rsidR="00096250">
        <w:rPr>
          <w:rFonts w:ascii="Arial" w:eastAsia="MS Mincho" w:hAnsi="Arial" w:cs="Arial"/>
        </w:rPr>
        <w:t xml:space="preserve"> failed to bring its</w:t>
      </w:r>
      <w:r w:rsidR="00934842" w:rsidRPr="005C5BAA">
        <w:rPr>
          <w:rFonts w:ascii="Arial" w:eastAsia="MS Mincho" w:hAnsi="Arial" w:cs="Arial"/>
        </w:rPr>
        <w:t xml:space="preserve"> postponement application as instructed by the arbitrator. </w:t>
      </w:r>
      <w:r w:rsidR="00BB76B0">
        <w:rPr>
          <w:rFonts w:ascii="Arial" w:eastAsia="MS Mincho" w:hAnsi="Arial" w:cs="Arial"/>
        </w:rPr>
        <w:t xml:space="preserve">On the other hand, </w:t>
      </w:r>
      <w:r w:rsidR="00BB76B0" w:rsidRPr="00AE5174">
        <w:rPr>
          <w:rFonts w:ascii="Arial" w:eastAsia="MS Mincho" w:hAnsi="Arial" w:cs="Arial"/>
        </w:rPr>
        <w:t>Mr Dicks</w:t>
      </w:r>
      <w:r w:rsidR="00BB76B0">
        <w:rPr>
          <w:rFonts w:ascii="Arial" w:eastAsia="MS Mincho" w:hAnsi="Arial" w:cs="Arial"/>
        </w:rPr>
        <w:t xml:space="preserve"> for </w:t>
      </w:r>
      <w:r w:rsidR="00BB2A4C">
        <w:rPr>
          <w:rFonts w:ascii="Arial" w:eastAsia="MS Mincho" w:hAnsi="Arial" w:cs="Arial"/>
        </w:rPr>
        <w:t>appellant</w:t>
      </w:r>
      <w:r w:rsidR="00934842" w:rsidRPr="005C5BAA">
        <w:rPr>
          <w:rFonts w:ascii="Arial" w:eastAsia="MS Mincho" w:hAnsi="Arial" w:cs="Arial"/>
        </w:rPr>
        <w:t xml:space="preserve"> submitted that the failure by the arbitrator to hear the rescission application </w:t>
      </w:r>
      <w:r w:rsidR="00BB76B0">
        <w:rPr>
          <w:rFonts w:ascii="Arial" w:eastAsia="MS Mincho" w:hAnsi="Arial" w:cs="Arial"/>
        </w:rPr>
        <w:t xml:space="preserve">violated </w:t>
      </w:r>
      <w:r w:rsidR="00AE5174">
        <w:rPr>
          <w:rFonts w:ascii="Arial" w:eastAsia="MS Mincho" w:hAnsi="Arial" w:cs="Arial"/>
        </w:rPr>
        <w:t>the</w:t>
      </w:r>
      <w:r w:rsidR="00AE5174" w:rsidRPr="00AE5174">
        <w:t xml:space="preserve"> </w:t>
      </w:r>
      <w:r w:rsidR="00AE5174" w:rsidRPr="00AE5174">
        <w:rPr>
          <w:rFonts w:ascii="Arial" w:eastAsia="MS Mincho" w:hAnsi="Arial" w:cs="Arial"/>
        </w:rPr>
        <w:t>appellant</w:t>
      </w:r>
      <w:r w:rsidR="00AE5174">
        <w:rPr>
          <w:rFonts w:ascii="Arial" w:eastAsia="MS Mincho" w:hAnsi="Arial" w:cs="Arial"/>
        </w:rPr>
        <w:t>’s</w:t>
      </w:r>
      <w:r w:rsidR="00BB76B0">
        <w:rPr>
          <w:rFonts w:ascii="Arial" w:eastAsia="MS Mincho" w:hAnsi="Arial" w:cs="Arial"/>
        </w:rPr>
        <w:t xml:space="preserve"> right to a fair trial as enshrined in article 12 of the Namibian Constitution.</w:t>
      </w:r>
    </w:p>
    <w:p w:rsidR="00934842" w:rsidRPr="005C5BAA" w:rsidRDefault="00934842" w:rsidP="00934842">
      <w:pPr>
        <w:spacing w:line="360" w:lineRule="auto"/>
        <w:jc w:val="both"/>
        <w:rPr>
          <w:rFonts w:ascii="Times New Roman" w:eastAsia="MS Mincho" w:hAnsi="Times New Roman" w:cs="Times New Roman"/>
        </w:rPr>
      </w:pPr>
    </w:p>
    <w:p w:rsidR="00BB76B0" w:rsidRPr="00BB76B0" w:rsidRDefault="001F1CC0" w:rsidP="00BB76B0">
      <w:pPr>
        <w:spacing w:line="360" w:lineRule="auto"/>
        <w:jc w:val="both"/>
        <w:rPr>
          <w:rFonts w:ascii="Arial" w:eastAsia="Calibri" w:hAnsi="Arial" w:cs="Arial"/>
        </w:rPr>
      </w:pPr>
      <w:r>
        <w:rPr>
          <w:rFonts w:ascii="Arial" w:eastAsia="Calibri" w:hAnsi="Arial" w:cs="Arial"/>
        </w:rPr>
        <w:t>[58</w:t>
      </w:r>
      <w:r w:rsidR="00095399">
        <w:rPr>
          <w:rFonts w:ascii="Arial" w:eastAsia="Calibri" w:hAnsi="Arial" w:cs="Arial"/>
        </w:rPr>
        <w:t xml:space="preserve">] </w:t>
      </w:r>
      <w:r w:rsidR="00AE5174">
        <w:rPr>
          <w:rFonts w:ascii="Arial" w:eastAsia="Calibri" w:hAnsi="Arial" w:cs="Arial"/>
        </w:rPr>
        <w:tab/>
      </w:r>
      <w:r w:rsidR="00BB76B0" w:rsidRPr="00BB76B0">
        <w:rPr>
          <w:rFonts w:ascii="Arial" w:eastAsia="Calibri" w:hAnsi="Arial" w:cs="Arial"/>
        </w:rPr>
        <w:t>Article 12 (1)(a) of the Namibian Constitution provides as follows:</w:t>
      </w:r>
    </w:p>
    <w:p w:rsidR="00BB76B0" w:rsidRPr="00BB76B0" w:rsidRDefault="00BB76B0" w:rsidP="00BB76B0">
      <w:pPr>
        <w:spacing w:line="360" w:lineRule="auto"/>
        <w:jc w:val="both"/>
        <w:rPr>
          <w:rFonts w:ascii="Arial" w:eastAsia="Calibri" w:hAnsi="Arial" w:cs="Arial"/>
          <w:sz w:val="16"/>
          <w:szCs w:val="16"/>
        </w:rPr>
      </w:pPr>
    </w:p>
    <w:p w:rsidR="00BB76B0" w:rsidRPr="00BB76B0" w:rsidRDefault="00BB76B0" w:rsidP="00BB76B0">
      <w:pPr>
        <w:autoSpaceDE w:val="0"/>
        <w:autoSpaceDN w:val="0"/>
        <w:adjustRightInd w:val="0"/>
        <w:spacing w:line="360" w:lineRule="auto"/>
        <w:ind w:left="720"/>
        <w:jc w:val="both"/>
        <w:rPr>
          <w:rFonts w:ascii="Arial" w:eastAsia="Calibri" w:hAnsi="Arial" w:cs="Arial"/>
          <w:b/>
          <w:bCs/>
          <w:sz w:val="22"/>
          <w:szCs w:val="22"/>
        </w:rPr>
      </w:pPr>
      <w:r w:rsidRPr="00BB76B0">
        <w:rPr>
          <w:rFonts w:ascii="Arial" w:eastAsia="Calibri" w:hAnsi="Arial" w:cs="Arial"/>
          <w:b/>
          <w:bCs/>
          <w:sz w:val="22"/>
          <w:szCs w:val="22"/>
        </w:rPr>
        <w:t>‘Article 12 Fair Trial</w:t>
      </w:r>
    </w:p>
    <w:p w:rsidR="00BB76B0" w:rsidRPr="00BB76B0" w:rsidRDefault="00D062FA" w:rsidP="00D062FA">
      <w:pPr>
        <w:tabs>
          <w:tab w:val="left" w:pos="1260"/>
          <w:tab w:val="left" w:pos="1800"/>
        </w:tabs>
        <w:autoSpaceDE w:val="0"/>
        <w:autoSpaceDN w:val="0"/>
        <w:adjustRightInd w:val="0"/>
        <w:spacing w:after="200" w:line="360" w:lineRule="auto"/>
        <w:ind w:left="1800" w:hanging="1080"/>
        <w:jc w:val="both"/>
        <w:rPr>
          <w:rFonts w:ascii="Arial" w:eastAsia="Calibri" w:hAnsi="Arial" w:cs="Arial"/>
        </w:rPr>
      </w:pPr>
      <w:r w:rsidRPr="00BB76B0">
        <w:rPr>
          <w:rFonts w:ascii="Arial" w:eastAsia="Calibri" w:hAnsi="Arial" w:cs="Arial"/>
        </w:rPr>
        <w:t>(1)</w:t>
      </w:r>
      <w:r w:rsidRPr="00BB76B0">
        <w:rPr>
          <w:rFonts w:ascii="Arial" w:eastAsia="Calibri" w:hAnsi="Arial" w:cs="Arial"/>
        </w:rPr>
        <w:tab/>
      </w:r>
      <w:r w:rsidR="00BB76B0" w:rsidRPr="00BB76B0">
        <w:rPr>
          <w:rFonts w:ascii="Arial" w:eastAsia="Calibri" w:hAnsi="Arial" w:cs="Arial"/>
          <w:sz w:val="22"/>
          <w:szCs w:val="22"/>
        </w:rPr>
        <w:t>(a)</w:t>
      </w:r>
      <w:r w:rsidR="00BB76B0" w:rsidRPr="00BB76B0">
        <w:rPr>
          <w:rFonts w:ascii="Arial" w:eastAsia="Calibri" w:hAnsi="Arial" w:cs="Arial"/>
          <w:sz w:val="22"/>
          <w:szCs w:val="22"/>
        </w:rPr>
        <w:tab/>
        <w:t xml:space="preserve">In the determination of their civil rights and obligations or any criminal charges against them, all persons shall be entitled to a </w:t>
      </w:r>
      <w:r w:rsidR="00BB76B0" w:rsidRPr="00965CFE">
        <w:rPr>
          <w:rFonts w:ascii="Arial" w:eastAsia="Calibri" w:hAnsi="Arial" w:cs="Arial"/>
          <w:sz w:val="22"/>
          <w:szCs w:val="22"/>
          <w:u w:val="single"/>
        </w:rPr>
        <w:t xml:space="preserve">fair and public hearing by an independent, impartial and competent Court or Tribunal </w:t>
      </w:r>
      <w:r w:rsidR="00BB76B0" w:rsidRPr="00BB76B0">
        <w:rPr>
          <w:rFonts w:ascii="Arial" w:eastAsia="Calibri" w:hAnsi="Arial" w:cs="Arial"/>
          <w:sz w:val="22"/>
          <w:szCs w:val="22"/>
        </w:rPr>
        <w:t>established by law: provided that such Court or Tribunal may exclude the press and/or the public from all or any part of the trial for reasons of morals, the public order or national security, as is necessary in a democratic society.’</w:t>
      </w:r>
      <w:r w:rsidR="00096250">
        <w:rPr>
          <w:rFonts w:ascii="Arial" w:eastAsia="Calibri" w:hAnsi="Arial" w:cs="Arial"/>
          <w:sz w:val="22"/>
          <w:szCs w:val="22"/>
        </w:rPr>
        <w:t xml:space="preserve"> (emphasize added)</w:t>
      </w:r>
    </w:p>
    <w:p w:rsidR="00284B6E" w:rsidRPr="00934842" w:rsidRDefault="00284B6E" w:rsidP="00934842">
      <w:pPr>
        <w:spacing w:line="360" w:lineRule="auto"/>
        <w:ind w:right="380"/>
        <w:jc w:val="both"/>
        <w:rPr>
          <w:rFonts w:ascii="Arial" w:eastAsia="Calibri" w:hAnsi="Arial" w:cs="Arial"/>
          <w:sz w:val="22"/>
        </w:rPr>
      </w:pPr>
    </w:p>
    <w:p w:rsidR="00BB76B0" w:rsidRPr="00FD3014" w:rsidRDefault="001F1CC0" w:rsidP="00FD3014">
      <w:pPr>
        <w:spacing w:line="360" w:lineRule="auto"/>
        <w:contextualSpacing/>
        <w:jc w:val="both"/>
        <w:rPr>
          <w:rFonts w:ascii="Arial" w:eastAsia="MS Mincho" w:hAnsi="Arial" w:cs="Arial"/>
        </w:rPr>
      </w:pPr>
      <w:r>
        <w:rPr>
          <w:rFonts w:ascii="Arial" w:eastAsia="MS Mincho" w:hAnsi="Arial" w:cs="Arial"/>
        </w:rPr>
        <w:t>[59</w:t>
      </w:r>
      <w:r w:rsidR="00095399">
        <w:rPr>
          <w:rFonts w:ascii="Arial" w:eastAsia="MS Mincho" w:hAnsi="Arial" w:cs="Arial"/>
        </w:rPr>
        <w:t xml:space="preserve">] </w:t>
      </w:r>
      <w:r w:rsidR="00AE5174">
        <w:rPr>
          <w:rFonts w:ascii="Arial" w:eastAsia="MS Mincho" w:hAnsi="Arial" w:cs="Arial"/>
        </w:rPr>
        <w:tab/>
      </w:r>
      <w:r w:rsidR="00BB76B0" w:rsidRPr="005C5BAA">
        <w:rPr>
          <w:rFonts w:ascii="Arial" w:eastAsia="MS Mincho" w:hAnsi="Arial" w:cs="Arial"/>
        </w:rPr>
        <w:t xml:space="preserve">According to section 85(1) and (2) of the </w:t>
      </w:r>
      <w:r w:rsidR="00FD3014">
        <w:rPr>
          <w:rFonts w:ascii="Arial" w:eastAsia="MS Mincho" w:hAnsi="Arial" w:cs="Arial"/>
        </w:rPr>
        <w:t>Act, an arbitration hearing is a tribunal</w:t>
      </w:r>
      <w:r w:rsidR="00BB76B0" w:rsidRPr="005C5BAA">
        <w:rPr>
          <w:rFonts w:ascii="Arial" w:eastAsia="MS Mincho" w:hAnsi="Arial" w:cs="Arial"/>
        </w:rPr>
        <w:t xml:space="preserve"> as envisaged by Article 12(1</w:t>
      </w:r>
      <w:r w:rsidR="001F3569" w:rsidRPr="005C5BAA">
        <w:rPr>
          <w:rFonts w:ascii="Arial" w:eastAsia="MS Mincho" w:hAnsi="Arial" w:cs="Arial"/>
        </w:rPr>
        <w:t>) (</w:t>
      </w:r>
      <w:r w:rsidR="00BB76B0" w:rsidRPr="005C5BAA">
        <w:rPr>
          <w:rFonts w:ascii="Arial" w:eastAsia="MS Mincho" w:hAnsi="Arial" w:cs="Arial"/>
        </w:rPr>
        <w:t xml:space="preserve">e) of the Constitution. </w:t>
      </w:r>
      <w:r w:rsidR="00FD3014">
        <w:rPr>
          <w:rFonts w:ascii="Arial" w:eastAsia="MS Mincho" w:hAnsi="Arial" w:cs="Arial"/>
        </w:rPr>
        <w:t>T</w:t>
      </w:r>
      <w:r w:rsidR="00BB76B0" w:rsidRPr="005C5BAA">
        <w:rPr>
          <w:rFonts w:ascii="Arial" w:eastAsia="MS Mincho" w:hAnsi="Arial" w:cs="Arial"/>
        </w:rPr>
        <w:t xml:space="preserve">he function </w:t>
      </w:r>
      <w:r w:rsidR="00BB2A4C">
        <w:rPr>
          <w:rFonts w:ascii="Arial" w:eastAsia="MS Mincho" w:hAnsi="Arial" w:cs="Arial"/>
        </w:rPr>
        <w:t xml:space="preserve">of an arbitrator is judicial because </w:t>
      </w:r>
      <w:r w:rsidR="00BB76B0" w:rsidRPr="005C5BAA">
        <w:rPr>
          <w:rFonts w:ascii="Arial" w:eastAsia="MS Mincho" w:hAnsi="Arial" w:cs="Arial"/>
        </w:rPr>
        <w:t xml:space="preserve">arbitration is a form of adjudication. </w:t>
      </w:r>
      <w:r w:rsidR="00FD3014">
        <w:rPr>
          <w:rFonts w:ascii="Arial" w:eastAsia="MS Mincho" w:hAnsi="Arial" w:cs="Arial"/>
        </w:rPr>
        <w:t xml:space="preserve">In this regard, an arbitrator </w:t>
      </w:r>
      <w:r w:rsidR="00BB76B0" w:rsidRPr="005C5BAA">
        <w:rPr>
          <w:rFonts w:ascii="Arial" w:eastAsia="MS Mincho" w:hAnsi="Arial" w:cs="Arial"/>
        </w:rPr>
        <w:t>must</w:t>
      </w:r>
      <w:r w:rsidR="00BB76B0" w:rsidRPr="00FD3014">
        <w:rPr>
          <w:rFonts w:ascii="Arial" w:eastAsia="MS Mincho" w:hAnsi="Arial" w:cs="Arial"/>
        </w:rPr>
        <w:t>,</w:t>
      </w:r>
      <w:r w:rsidR="00BB76B0" w:rsidRPr="005C5BAA">
        <w:rPr>
          <w:rFonts w:ascii="Arial" w:eastAsia="MS Mincho" w:hAnsi="Arial" w:cs="Arial"/>
        </w:rPr>
        <w:t xml:space="preserve"> before arriving at any conclusion, </w:t>
      </w:r>
      <w:r w:rsidR="00BB76B0" w:rsidRPr="00FD3014">
        <w:rPr>
          <w:rFonts w:ascii="Arial" w:eastAsia="MS Mincho" w:hAnsi="Arial" w:cs="Arial"/>
        </w:rPr>
        <w:t xml:space="preserve">judiciously </w:t>
      </w:r>
      <w:r w:rsidR="00BB76B0" w:rsidRPr="005C5BAA">
        <w:rPr>
          <w:rFonts w:ascii="Arial" w:eastAsia="MS Mincho" w:hAnsi="Arial" w:cs="Arial"/>
        </w:rPr>
        <w:t xml:space="preserve">consider any complaint or application brought to </w:t>
      </w:r>
      <w:r w:rsidR="00096250">
        <w:rPr>
          <w:rFonts w:ascii="Arial" w:eastAsia="MS Mincho" w:hAnsi="Arial" w:cs="Arial"/>
        </w:rPr>
        <w:t xml:space="preserve">his or </w:t>
      </w:r>
      <w:r w:rsidR="00BB76B0" w:rsidRPr="00FD3014">
        <w:rPr>
          <w:rFonts w:ascii="Arial" w:eastAsia="MS Mincho" w:hAnsi="Arial" w:cs="Arial"/>
        </w:rPr>
        <w:t>her attention</w:t>
      </w:r>
      <w:r w:rsidR="00BB76B0" w:rsidRPr="005C5BAA">
        <w:rPr>
          <w:rFonts w:ascii="Arial" w:eastAsia="MS Mincho" w:hAnsi="Arial" w:cs="Arial"/>
        </w:rPr>
        <w:t>.</w:t>
      </w:r>
    </w:p>
    <w:p w:rsidR="00BB76B0" w:rsidRPr="005C5BAA" w:rsidRDefault="00BB76B0" w:rsidP="00FD3014">
      <w:pPr>
        <w:spacing w:line="360" w:lineRule="auto"/>
        <w:contextualSpacing/>
        <w:jc w:val="both"/>
        <w:rPr>
          <w:rFonts w:ascii="Arial" w:eastAsia="MS Mincho" w:hAnsi="Arial" w:cs="Arial"/>
        </w:rPr>
      </w:pPr>
    </w:p>
    <w:p w:rsidR="00FD3014" w:rsidRDefault="001F1CC0" w:rsidP="00FD3014">
      <w:pPr>
        <w:spacing w:line="360" w:lineRule="auto"/>
        <w:contextualSpacing/>
        <w:jc w:val="both"/>
        <w:rPr>
          <w:rFonts w:ascii="Arial" w:eastAsia="MS Mincho" w:hAnsi="Arial" w:cs="Arial"/>
        </w:rPr>
      </w:pPr>
      <w:r>
        <w:rPr>
          <w:rFonts w:ascii="Arial" w:eastAsia="MS Mincho" w:hAnsi="Arial" w:cs="Arial"/>
        </w:rPr>
        <w:t>[60</w:t>
      </w:r>
      <w:r w:rsidR="00095399">
        <w:rPr>
          <w:rFonts w:ascii="Arial" w:eastAsia="MS Mincho" w:hAnsi="Arial" w:cs="Arial"/>
        </w:rPr>
        <w:t xml:space="preserve">] </w:t>
      </w:r>
      <w:r w:rsidR="00734DB2">
        <w:rPr>
          <w:rFonts w:ascii="Arial" w:eastAsia="MS Mincho" w:hAnsi="Arial" w:cs="Arial"/>
        </w:rPr>
        <w:tab/>
      </w:r>
      <w:r w:rsidR="00096250">
        <w:rPr>
          <w:rFonts w:ascii="Arial" w:eastAsia="MS Mincho" w:hAnsi="Arial" w:cs="Arial"/>
        </w:rPr>
        <w:t xml:space="preserve">Mr. </w:t>
      </w:r>
      <w:r w:rsidR="00FD3014" w:rsidRPr="005C5BAA">
        <w:rPr>
          <w:rFonts w:ascii="Arial" w:eastAsia="MS Mincho" w:hAnsi="Arial" w:cs="Arial"/>
        </w:rPr>
        <w:t xml:space="preserve">Justice Ueitele in </w:t>
      </w:r>
      <w:r w:rsidR="00FD3014" w:rsidRPr="005C5BAA">
        <w:rPr>
          <w:rFonts w:ascii="Arial" w:eastAsia="MS Mincho" w:hAnsi="Arial" w:cs="Arial"/>
          <w:i/>
        </w:rPr>
        <w:t>Namibia Bureau de Change (Pty) Ltd</w:t>
      </w:r>
      <w:r w:rsidR="00734DB2">
        <w:rPr>
          <w:rFonts w:ascii="Arial" w:eastAsia="MS Mincho" w:hAnsi="Arial" w:cs="Arial"/>
          <w:i/>
        </w:rPr>
        <w:t xml:space="preserve"> NO</w:t>
      </w:r>
      <w:r w:rsidR="00FD3014" w:rsidRPr="00FD3014">
        <w:rPr>
          <w:rFonts w:ascii="Arial" w:eastAsia="MS Mincho" w:hAnsi="Arial" w:cs="Arial"/>
          <w:i/>
          <w:vertAlign w:val="superscript"/>
        </w:rPr>
        <w:footnoteReference w:id="11"/>
      </w:r>
      <w:r w:rsidR="00096250">
        <w:rPr>
          <w:rFonts w:ascii="Arial" w:eastAsia="MS Mincho" w:hAnsi="Arial" w:cs="Arial"/>
        </w:rPr>
        <w:t xml:space="preserve"> </w:t>
      </w:r>
      <w:r w:rsidR="00FD3014">
        <w:rPr>
          <w:rFonts w:ascii="Arial" w:eastAsia="MS Mincho" w:hAnsi="Arial" w:cs="Arial"/>
        </w:rPr>
        <w:t xml:space="preserve">considered </w:t>
      </w:r>
      <w:r w:rsidR="00BB2A4C">
        <w:rPr>
          <w:rFonts w:ascii="Arial" w:eastAsia="MS Mincho" w:hAnsi="Arial" w:cs="Arial"/>
        </w:rPr>
        <w:t xml:space="preserve">the </w:t>
      </w:r>
      <w:r w:rsidR="00BB2A4C" w:rsidRPr="005C5BAA">
        <w:rPr>
          <w:rFonts w:ascii="Arial" w:eastAsia="MS Mincho" w:hAnsi="Arial" w:cs="Arial"/>
        </w:rPr>
        <w:t>requirements</w:t>
      </w:r>
      <w:r w:rsidR="00FD3014" w:rsidRPr="005C5BAA">
        <w:rPr>
          <w:rFonts w:ascii="Arial" w:eastAsia="MS Mincho" w:hAnsi="Arial" w:cs="Arial"/>
        </w:rPr>
        <w:t xml:space="preserve"> </w:t>
      </w:r>
      <w:r w:rsidR="00FD3014">
        <w:rPr>
          <w:rFonts w:ascii="Arial" w:eastAsia="MS Mincho" w:hAnsi="Arial" w:cs="Arial"/>
        </w:rPr>
        <w:t>of</w:t>
      </w:r>
      <w:r w:rsidR="00FD3014" w:rsidRPr="005C5BAA">
        <w:rPr>
          <w:rFonts w:ascii="Arial" w:eastAsia="MS Mincho" w:hAnsi="Arial" w:cs="Arial"/>
        </w:rPr>
        <w:t xml:space="preserve"> the principles of natural justice </w:t>
      </w:r>
      <w:r w:rsidR="00FD3014">
        <w:rPr>
          <w:rFonts w:ascii="Arial" w:eastAsia="MS Mincho" w:hAnsi="Arial" w:cs="Arial"/>
        </w:rPr>
        <w:t>as follows:</w:t>
      </w:r>
    </w:p>
    <w:p w:rsidR="00BB2A4C" w:rsidRDefault="00BB2A4C" w:rsidP="00FD3014">
      <w:pPr>
        <w:spacing w:line="360" w:lineRule="auto"/>
        <w:contextualSpacing/>
        <w:jc w:val="both"/>
        <w:rPr>
          <w:rFonts w:ascii="Arial" w:eastAsia="MS Mincho" w:hAnsi="Arial" w:cs="Arial"/>
        </w:rPr>
      </w:pPr>
    </w:p>
    <w:p w:rsidR="00BB76B0" w:rsidRPr="00BB76B0" w:rsidRDefault="00FD3014" w:rsidP="00BB76B0">
      <w:pPr>
        <w:spacing w:line="360" w:lineRule="auto"/>
        <w:jc w:val="both"/>
        <w:rPr>
          <w:rFonts w:ascii="Arial" w:eastAsia="Calibri" w:hAnsi="Arial" w:cs="Arial"/>
          <w:sz w:val="22"/>
        </w:rPr>
      </w:pPr>
      <w:r>
        <w:rPr>
          <w:rFonts w:ascii="Arial" w:eastAsia="Calibri" w:hAnsi="Arial" w:cs="Arial"/>
          <w:sz w:val="22"/>
        </w:rPr>
        <w:t>‘</w:t>
      </w:r>
      <w:r w:rsidR="00BB76B0" w:rsidRPr="00BB76B0">
        <w:rPr>
          <w:rFonts w:ascii="Arial" w:eastAsia="Calibri" w:hAnsi="Arial" w:cs="Arial"/>
          <w:sz w:val="22"/>
        </w:rPr>
        <w:t xml:space="preserve">The requirement to act judiciously imposes a duty on the arbitrator to treat a party before him fairly and in accordance with a fair procedure. The requirement to act fairly finds its expression in the celebrated principles of natural justice which dictates that a person who is affected by any decision or action must be afforded a fair and unbiased hearing before the decision or action is taken. The principles of natural justice are expressed in the Latin maxims of </w:t>
      </w:r>
      <w:r w:rsidR="00BB76B0" w:rsidRPr="00BB76B0">
        <w:rPr>
          <w:rFonts w:ascii="Arial" w:eastAsia="Calibri" w:hAnsi="Arial" w:cs="Arial"/>
          <w:i/>
          <w:sz w:val="22"/>
        </w:rPr>
        <w:t>audi alteram partem (</w:t>
      </w:r>
      <w:r w:rsidR="00BB76B0" w:rsidRPr="00BB76B0">
        <w:rPr>
          <w:rFonts w:ascii="Arial" w:eastAsia="Calibri" w:hAnsi="Arial" w:cs="Arial"/>
          <w:sz w:val="22"/>
        </w:rPr>
        <w:t>hear the other side)</w:t>
      </w:r>
      <w:r w:rsidR="00BB76B0" w:rsidRPr="00BB76B0">
        <w:rPr>
          <w:rFonts w:ascii="Arial" w:eastAsia="Calibri" w:hAnsi="Arial" w:cs="Arial"/>
          <w:i/>
          <w:sz w:val="22"/>
        </w:rPr>
        <w:t xml:space="preserve"> </w:t>
      </w:r>
      <w:r w:rsidR="00BB76B0" w:rsidRPr="00BB76B0">
        <w:rPr>
          <w:rFonts w:ascii="Arial" w:eastAsia="Calibri" w:hAnsi="Arial" w:cs="Arial"/>
          <w:sz w:val="22"/>
        </w:rPr>
        <w:t xml:space="preserve">and </w:t>
      </w:r>
      <w:r w:rsidR="00BB76B0" w:rsidRPr="00BB76B0">
        <w:rPr>
          <w:rFonts w:ascii="Arial" w:eastAsia="Calibri" w:hAnsi="Arial" w:cs="Arial"/>
          <w:i/>
          <w:sz w:val="22"/>
        </w:rPr>
        <w:t>nemo iudex in propia causa</w:t>
      </w:r>
      <w:r w:rsidR="00BB76B0" w:rsidRPr="00BB76B0">
        <w:rPr>
          <w:rFonts w:ascii="Arial" w:eastAsia="Calibri" w:hAnsi="Arial" w:cs="Arial"/>
          <w:sz w:val="22"/>
        </w:rPr>
        <w:t xml:space="preserve"> (no one may judge in his own cause). Baxter</w:t>
      </w:r>
      <w:r w:rsidR="00BB76B0" w:rsidRPr="00FD3014">
        <w:rPr>
          <w:rFonts w:ascii="Arial" w:eastAsia="Calibri" w:hAnsi="Arial" w:cs="Arial"/>
          <w:sz w:val="22"/>
          <w:vertAlign w:val="superscript"/>
        </w:rPr>
        <w:footnoteReference w:id="12"/>
      </w:r>
      <w:r w:rsidR="00BB76B0" w:rsidRPr="00BB76B0">
        <w:rPr>
          <w:rFonts w:ascii="Arial" w:eastAsia="Calibri" w:hAnsi="Arial" w:cs="Arial"/>
          <w:sz w:val="22"/>
        </w:rPr>
        <w:t xml:space="preserve"> explains the operation of the principle as follows:</w:t>
      </w:r>
    </w:p>
    <w:p w:rsidR="00FD3014" w:rsidRDefault="00FD3014" w:rsidP="00BB76B0">
      <w:pPr>
        <w:spacing w:line="360" w:lineRule="auto"/>
        <w:ind w:left="360"/>
        <w:jc w:val="both"/>
        <w:rPr>
          <w:rFonts w:ascii="Arial" w:eastAsia="Calibri" w:hAnsi="Arial" w:cs="Arial"/>
          <w:sz w:val="22"/>
          <w:szCs w:val="22"/>
        </w:rPr>
      </w:pPr>
    </w:p>
    <w:p w:rsidR="00BB76B0" w:rsidRDefault="00BB76B0" w:rsidP="00BB76B0">
      <w:pPr>
        <w:spacing w:line="360" w:lineRule="auto"/>
        <w:ind w:left="360"/>
        <w:jc w:val="both"/>
        <w:rPr>
          <w:rFonts w:ascii="Arial" w:eastAsia="Calibri" w:hAnsi="Arial" w:cs="Arial"/>
          <w:sz w:val="22"/>
          <w:szCs w:val="22"/>
        </w:rPr>
      </w:pPr>
      <w:r w:rsidRPr="00BB76B0">
        <w:rPr>
          <w:rFonts w:ascii="Arial" w:eastAsia="Calibri" w:hAnsi="Arial" w:cs="Arial"/>
          <w:sz w:val="22"/>
          <w:szCs w:val="22"/>
        </w:rPr>
        <w:t xml:space="preserve">‘The principles of natural justice are flexible. The range and variety of situations to which they apply are extensive. If the principles are to serve efficiently the </w:t>
      </w:r>
      <w:r w:rsidR="00734DB2">
        <w:rPr>
          <w:rFonts w:ascii="Arial" w:eastAsia="Calibri" w:hAnsi="Arial" w:cs="Arial"/>
          <w:sz w:val="22"/>
          <w:szCs w:val="22"/>
        </w:rPr>
        <w:t>purposes for which they exist</w:t>
      </w:r>
      <w:r w:rsidRPr="00BB76B0">
        <w:rPr>
          <w:rFonts w:ascii="Arial" w:eastAsia="Calibri" w:hAnsi="Arial" w:cs="Arial"/>
          <w:sz w:val="22"/>
          <w:szCs w:val="22"/>
        </w:rPr>
        <w:t xml:space="preserve"> would be counterproductive to attempt to prescribe rigidly the form which the principles should take in all cases.’</w:t>
      </w:r>
    </w:p>
    <w:p w:rsidR="00FD3014" w:rsidRPr="00BB76B0" w:rsidRDefault="00FD3014" w:rsidP="00BB76B0">
      <w:pPr>
        <w:spacing w:line="360" w:lineRule="auto"/>
        <w:ind w:left="360"/>
        <w:jc w:val="both"/>
        <w:rPr>
          <w:rFonts w:ascii="Arial" w:eastAsia="Calibri" w:hAnsi="Arial" w:cs="Arial"/>
          <w:sz w:val="22"/>
          <w:szCs w:val="22"/>
        </w:rPr>
      </w:pPr>
    </w:p>
    <w:p w:rsidR="00BB76B0" w:rsidRDefault="00BB76B0" w:rsidP="00095399">
      <w:pPr>
        <w:pStyle w:val="ListParagraph"/>
        <w:spacing w:line="360" w:lineRule="auto"/>
        <w:ind w:left="360"/>
        <w:jc w:val="both"/>
        <w:rPr>
          <w:rFonts w:ascii="Arial" w:eastAsia="Calibri" w:hAnsi="Arial" w:cs="Arial"/>
        </w:rPr>
      </w:pPr>
      <w:r w:rsidRPr="00BB76B0">
        <w:rPr>
          <w:rFonts w:ascii="Arial" w:eastAsia="Calibri" w:hAnsi="Arial" w:cs="Arial"/>
          <w:sz w:val="22"/>
        </w:rPr>
        <w:t xml:space="preserve">The flexibility of the principles of natural justice was articulated as follows by our Supreme Court in the matter of </w:t>
      </w:r>
      <w:r w:rsidRPr="00BB76B0">
        <w:rPr>
          <w:rFonts w:ascii="Arial" w:eastAsia="Calibri" w:hAnsi="Arial" w:cs="Arial"/>
          <w:i/>
          <w:sz w:val="22"/>
        </w:rPr>
        <w:t>Chairperson of the Immigration Selection Board v Frank and Another</w:t>
      </w:r>
      <w:r w:rsidRPr="00FD3014">
        <w:rPr>
          <w:rFonts w:ascii="Arial" w:eastAsia="Calibri" w:hAnsi="Arial" w:cs="Arial"/>
          <w:i/>
          <w:sz w:val="22"/>
          <w:vertAlign w:val="superscript"/>
        </w:rPr>
        <w:footnoteReference w:id="13"/>
      </w:r>
      <w:r w:rsidRPr="00BB76B0">
        <w:rPr>
          <w:rFonts w:ascii="Arial" w:eastAsia="Calibri" w:hAnsi="Arial" w:cs="Arial"/>
          <w:sz w:val="22"/>
        </w:rPr>
        <w:t xml:space="preserve"> where Strydom, CJ said</w:t>
      </w:r>
      <w:r w:rsidRPr="00BB76B0">
        <w:rPr>
          <w:rFonts w:ascii="Arial" w:eastAsia="Calibri" w:hAnsi="Arial" w:cs="Arial"/>
        </w:rPr>
        <w:t xml:space="preserve">: </w:t>
      </w:r>
    </w:p>
    <w:p w:rsidR="00BB76B0" w:rsidRDefault="00BB76B0" w:rsidP="00BB76B0">
      <w:pPr>
        <w:pStyle w:val="ListParagraph"/>
        <w:tabs>
          <w:tab w:val="left" w:pos="720"/>
        </w:tabs>
        <w:spacing w:line="360" w:lineRule="auto"/>
        <w:jc w:val="both"/>
        <w:rPr>
          <w:rFonts w:ascii="Arial" w:eastAsia="Calibri" w:hAnsi="Arial" w:cs="Arial"/>
        </w:rPr>
      </w:pPr>
    </w:p>
    <w:p w:rsidR="00BB76B0" w:rsidRPr="00BB76B0" w:rsidRDefault="00BB76B0" w:rsidP="00BB76B0">
      <w:pPr>
        <w:pStyle w:val="ListParagraph"/>
        <w:tabs>
          <w:tab w:val="left" w:pos="720"/>
        </w:tabs>
        <w:spacing w:line="360" w:lineRule="auto"/>
        <w:jc w:val="both"/>
        <w:rPr>
          <w:rFonts w:ascii="Arial" w:eastAsia="Calibri" w:hAnsi="Arial" w:cs="Arial"/>
        </w:rPr>
      </w:pPr>
      <w:r w:rsidRPr="00BB76B0">
        <w:rPr>
          <w:rFonts w:ascii="Arial" w:eastAsia="Calibri" w:hAnsi="Arial" w:cs="Arial"/>
          <w:sz w:val="22"/>
          <w:szCs w:val="22"/>
        </w:rPr>
        <w:t xml:space="preserve">‘This rule (i.e. </w:t>
      </w:r>
      <w:r w:rsidRPr="00BB76B0">
        <w:rPr>
          <w:rFonts w:ascii="Arial" w:eastAsia="Calibri" w:hAnsi="Arial" w:cs="Arial"/>
          <w:i/>
          <w:sz w:val="22"/>
          <w:szCs w:val="22"/>
        </w:rPr>
        <w:t>audi alteram partem</w:t>
      </w:r>
      <w:r w:rsidRPr="00BB76B0">
        <w:rPr>
          <w:rFonts w:ascii="Arial" w:eastAsia="Calibri" w:hAnsi="Arial" w:cs="Arial"/>
          <w:sz w:val="22"/>
          <w:szCs w:val="22"/>
        </w:rPr>
        <w:t xml:space="preserve"> rule) embodies various principles, the application of which is flexible depending on the circumstances of each case and the statutory requirements for the exercise of a particular discretion… In the absence of any prescription by the Act, the appellant is at liberty to determine its own procedure, provided of course that it is fair and does not defeat the purpose of the Act. Consequently the Board </w:t>
      </w:r>
      <w:r w:rsidR="00BB2A4C" w:rsidRPr="00BB76B0">
        <w:rPr>
          <w:rFonts w:ascii="Arial" w:eastAsia="Calibri" w:hAnsi="Arial" w:cs="Arial"/>
          <w:sz w:val="22"/>
          <w:szCs w:val="22"/>
        </w:rPr>
        <w:t xml:space="preserve">need not in each </w:t>
      </w:r>
      <w:r w:rsidR="00BB2A4C" w:rsidRPr="00BB76B0">
        <w:rPr>
          <w:rFonts w:ascii="Arial" w:eastAsia="Calibri" w:hAnsi="Arial" w:cs="Arial"/>
          <w:sz w:val="22"/>
          <w:szCs w:val="22"/>
        </w:rPr>
        <w:lastRenderedPageBreak/>
        <w:t>instance gives</w:t>
      </w:r>
      <w:r w:rsidRPr="00BB76B0">
        <w:rPr>
          <w:rFonts w:ascii="Arial" w:eastAsia="Calibri" w:hAnsi="Arial" w:cs="Arial"/>
          <w:sz w:val="22"/>
          <w:szCs w:val="22"/>
        </w:rPr>
        <w:t xml:space="preserve"> an applicant an oral hearing, but may give an applicant an opportunity to deal with the matter in writing.’</w:t>
      </w:r>
    </w:p>
    <w:p w:rsidR="00BB76B0" w:rsidRPr="00BB76B0" w:rsidRDefault="00BB76B0" w:rsidP="00BB76B0">
      <w:pPr>
        <w:tabs>
          <w:tab w:val="left" w:pos="720"/>
        </w:tabs>
        <w:spacing w:line="360" w:lineRule="auto"/>
        <w:contextualSpacing/>
        <w:jc w:val="both"/>
        <w:rPr>
          <w:rFonts w:ascii="Arial" w:eastAsia="Calibri" w:hAnsi="Arial" w:cs="Arial"/>
        </w:rPr>
      </w:pPr>
    </w:p>
    <w:p w:rsidR="00F54EC0" w:rsidRPr="00F54EC0" w:rsidRDefault="001F1CC0" w:rsidP="00F54EC0">
      <w:pPr>
        <w:tabs>
          <w:tab w:val="left" w:pos="810"/>
        </w:tabs>
        <w:spacing w:line="360" w:lineRule="auto"/>
        <w:contextualSpacing/>
        <w:jc w:val="both"/>
        <w:rPr>
          <w:rFonts w:ascii="Arial" w:eastAsia="Calibri" w:hAnsi="Arial" w:cs="Arial"/>
        </w:rPr>
      </w:pPr>
      <w:r>
        <w:rPr>
          <w:rFonts w:ascii="Arial" w:eastAsia="Calibri" w:hAnsi="Arial" w:cs="Arial"/>
        </w:rPr>
        <w:t>[61</w:t>
      </w:r>
      <w:r w:rsidR="00734DB2">
        <w:rPr>
          <w:rFonts w:ascii="Arial" w:eastAsia="Calibri" w:hAnsi="Arial" w:cs="Arial"/>
        </w:rPr>
        <w:t>]</w:t>
      </w:r>
      <w:r w:rsidR="00734DB2">
        <w:rPr>
          <w:rFonts w:ascii="Arial" w:eastAsia="Calibri" w:hAnsi="Arial" w:cs="Arial"/>
        </w:rPr>
        <w:tab/>
      </w:r>
      <w:r w:rsidR="00F54EC0" w:rsidRPr="00F54EC0">
        <w:rPr>
          <w:rFonts w:ascii="Arial" w:eastAsia="Calibri" w:hAnsi="Arial" w:cs="Arial"/>
        </w:rPr>
        <w:t>Sec</w:t>
      </w:r>
      <w:r w:rsidR="00BB2A4C">
        <w:rPr>
          <w:rFonts w:ascii="Arial" w:eastAsia="Calibri" w:hAnsi="Arial" w:cs="Arial"/>
        </w:rPr>
        <w:t xml:space="preserve">tion 88 of the Act, </w:t>
      </w:r>
      <w:r w:rsidR="00F54EC0" w:rsidRPr="00F54EC0">
        <w:rPr>
          <w:rFonts w:ascii="Arial" w:eastAsia="Calibri" w:hAnsi="Arial" w:cs="Arial"/>
        </w:rPr>
        <w:t>in material terms reads as follows:</w:t>
      </w:r>
    </w:p>
    <w:p w:rsidR="00F54EC0" w:rsidRPr="00F54EC0" w:rsidRDefault="00F54EC0" w:rsidP="00F54EC0">
      <w:pPr>
        <w:spacing w:line="360" w:lineRule="auto"/>
        <w:jc w:val="both"/>
        <w:rPr>
          <w:rFonts w:ascii="Arial" w:eastAsia="Calibri" w:hAnsi="Arial" w:cs="Arial"/>
        </w:rPr>
      </w:pPr>
    </w:p>
    <w:p w:rsidR="00F54EC0" w:rsidRPr="00F54EC0" w:rsidRDefault="00F54EC0" w:rsidP="00F54EC0">
      <w:pPr>
        <w:spacing w:line="360" w:lineRule="auto"/>
        <w:ind w:left="720"/>
        <w:jc w:val="both"/>
        <w:rPr>
          <w:rFonts w:ascii="Arial" w:eastAsia="Calibri" w:hAnsi="Arial" w:cs="Arial"/>
          <w:sz w:val="22"/>
          <w:szCs w:val="22"/>
        </w:rPr>
      </w:pPr>
      <w:r w:rsidRPr="00F54EC0">
        <w:rPr>
          <w:rFonts w:ascii="Arial" w:eastAsia="Calibri" w:hAnsi="Arial" w:cs="Arial"/>
          <w:sz w:val="22"/>
          <w:szCs w:val="22"/>
        </w:rPr>
        <w:t>‘</w:t>
      </w:r>
      <w:r w:rsidRPr="00F54EC0">
        <w:rPr>
          <w:rFonts w:ascii="Arial" w:eastAsia="Calibri" w:hAnsi="Arial" w:cs="Arial"/>
          <w:b/>
          <w:sz w:val="22"/>
          <w:szCs w:val="22"/>
        </w:rPr>
        <w:t>88</w:t>
      </w:r>
      <w:r w:rsidRPr="00F54EC0">
        <w:rPr>
          <w:rFonts w:ascii="Arial" w:eastAsia="Calibri" w:hAnsi="Arial" w:cs="Arial"/>
          <w:sz w:val="22"/>
          <w:szCs w:val="22"/>
        </w:rPr>
        <w:tab/>
      </w:r>
      <w:r w:rsidRPr="00F54EC0">
        <w:rPr>
          <w:rFonts w:ascii="Arial" w:eastAsia="Calibri" w:hAnsi="Arial" w:cs="Arial"/>
          <w:b/>
          <w:sz w:val="22"/>
          <w:szCs w:val="22"/>
        </w:rPr>
        <w:t>Variation and rescission of awards</w:t>
      </w:r>
    </w:p>
    <w:p w:rsidR="00F54EC0" w:rsidRPr="00F54EC0" w:rsidRDefault="00F54EC0" w:rsidP="00F54EC0">
      <w:pPr>
        <w:spacing w:line="360" w:lineRule="auto"/>
        <w:ind w:left="1440"/>
        <w:jc w:val="both"/>
        <w:rPr>
          <w:rFonts w:ascii="Arial" w:eastAsia="Calibri" w:hAnsi="Arial" w:cs="Arial"/>
          <w:sz w:val="22"/>
          <w:szCs w:val="22"/>
        </w:rPr>
      </w:pPr>
      <w:r w:rsidRPr="00F54EC0">
        <w:rPr>
          <w:rFonts w:ascii="Arial" w:eastAsia="Calibri" w:hAnsi="Arial" w:cs="Arial"/>
          <w:sz w:val="22"/>
          <w:szCs w:val="22"/>
        </w:rPr>
        <w:t xml:space="preserve">An arbitrator who has made an award in terms of section 86(15) may vary or rescind the award, at the arbitrator's instance, within 30 days after service of the award, </w:t>
      </w:r>
      <w:r w:rsidRPr="00F54EC0">
        <w:rPr>
          <w:rFonts w:ascii="Arial" w:eastAsia="Calibri" w:hAnsi="Arial" w:cs="Arial"/>
          <w:i/>
          <w:sz w:val="22"/>
          <w:szCs w:val="22"/>
          <w:u w:val="single"/>
        </w:rPr>
        <w:t>or on the application of any party made within 30 days after service of the award</w:t>
      </w:r>
      <w:r w:rsidRPr="00F54EC0">
        <w:rPr>
          <w:rFonts w:ascii="Arial" w:eastAsia="Calibri" w:hAnsi="Arial" w:cs="Arial"/>
          <w:sz w:val="22"/>
          <w:szCs w:val="22"/>
        </w:rPr>
        <w:t>, if-</w:t>
      </w:r>
    </w:p>
    <w:p w:rsidR="00F54EC0" w:rsidRPr="00F54EC0" w:rsidRDefault="00F54EC0" w:rsidP="00F54EC0">
      <w:pPr>
        <w:spacing w:line="360" w:lineRule="auto"/>
        <w:ind w:left="1440"/>
        <w:jc w:val="both"/>
        <w:rPr>
          <w:rFonts w:ascii="Arial" w:eastAsia="Calibri" w:hAnsi="Arial" w:cs="Arial"/>
          <w:sz w:val="16"/>
          <w:szCs w:val="16"/>
        </w:rPr>
      </w:pPr>
    </w:p>
    <w:p w:rsidR="00F54EC0" w:rsidRPr="00734DB2" w:rsidRDefault="00D062FA" w:rsidP="00D062FA">
      <w:pPr>
        <w:spacing w:after="200" w:line="360" w:lineRule="auto"/>
        <w:ind w:left="2160" w:hanging="720"/>
        <w:contextualSpacing/>
        <w:jc w:val="both"/>
        <w:rPr>
          <w:rFonts w:ascii="Arial" w:eastAsia="Calibri" w:hAnsi="Arial" w:cs="Arial"/>
          <w:sz w:val="22"/>
          <w:szCs w:val="22"/>
        </w:rPr>
      </w:pPr>
      <w:r w:rsidRPr="00734DB2">
        <w:rPr>
          <w:rFonts w:ascii="Arial" w:eastAsia="Calibri" w:hAnsi="Arial" w:cs="Arial"/>
          <w:sz w:val="22"/>
          <w:szCs w:val="22"/>
        </w:rPr>
        <w:t>(a)</w:t>
      </w:r>
      <w:r w:rsidRPr="00734DB2">
        <w:rPr>
          <w:rFonts w:ascii="Arial" w:eastAsia="Calibri" w:hAnsi="Arial" w:cs="Arial"/>
          <w:sz w:val="22"/>
          <w:szCs w:val="22"/>
        </w:rPr>
        <w:tab/>
      </w:r>
      <w:r w:rsidR="00F54EC0" w:rsidRPr="00F54EC0">
        <w:rPr>
          <w:rFonts w:ascii="Arial" w:eastAsia="Calibri" w:hAnsi="Arial" w:cs="Arial"/>
          <w:sz w:val="22"/>
          <w:szCs w:val="22"/>
        </w:rPr>
        <w:t>it was erroneously sought or erroneously made in the absence of any party affected by that award;</w:t>
      </w:r>
    </w:p>
    <w:p w:rsidR="00F54EC0" w:rsidRPr="00734DB2" w:rsidRDefault="00F54EC0" w:rsidP="00734DB2">
      <w:pPr>
        <w:spacing w:line="360" w:lineRule="auto"/>
        <w:ind w:left="2160" w:hanging="720"/>
        <w:jc w:val="both"/>
        <w:rPr>
          <w:rFonts w:ascii="Arial" w:eastAsia="Calibri" w:hAnsi="Arial" w:cs="Arial"/>
          <w:sz w:val="22"/>
          <w:szCs w:val="22"/>
        </w:rPr>
      </w:pPr>
      <w:r w:rsidRPr="00F54EC0">
        <w:rPr>
          <w:rFonts w:ascii="Arial" w:eastAsia="Calibri" w:hAnsi="Arial" w:cs="Arial"/>
          <w:sz w:val="22"/>
          <w:szCs w:val="22"/>
        </w:rPr>
        <w:t>(b)</w:t>
      </w:r>
      <w:r w:rsidRPr="00F54EC0">
        <w:rPr>
          <w:rFonts w:ascii="Arial" w:eastAsia="Calibri" w:hAnsi="Arial" w:cs="Arial"/>
          <w:sz w:val="22"/>
          <w:szCs w:val="22"/>
        </w:rPr>
        <w:tab/>
        <w:t>it is ambiguous or contains an obvious error or omission, but only to the extent of that ambiguity, error or omission; or</w:t>
      </w:r>
    </w:p>
    <w:p w:rsidR="00F54EC0" w:rsidRPr="00F54EC0" w:rsidRDefault="00F54EC0" w:rsidP="00F54EC0">
      <w:pPr>
        <w:spacing w:line="360" w:lineRule="auto"/>
        <w:ind w:left="2160" w:hanging="720"/>
        <w:jc w:val="both"/>
        <w:rPr>
          <w:rFonts w:ascii="Arial" w:eastAsia="Calibri" w:hAnsi="Arial" w:cs="Arial"/>
          <w:sz w:val="22"/>
          <w:szCs w:val="22"/>
        </w:rPr>
      </w:pPr>
      <w:r w:rsidRPr="00F54EC0">
        <w:rPr>
          <w:rFonts w:ascii="Arial" w:eastAsia="Calibri" w:hAnsi="Arial" w:cs="Arial"/>
          <w:sz w:val="22"/>
          <w:szCs w:val="22"/>
        </w:rPr>
        <w:t>(c)</w:t>
      </w:r>
      <w:r w:rsidRPr="00F54EC0">
        <w:rPr>
          <w:rFonts w:ascii="Arial" w:eastAsia="Calibri" w:hAnsi="Arial" w:cs="Arial"/>
          <w:sz w:val="22"/>
          <w:szCs w:val="22"/>
        </w:rPr>
        <w:tab/>
        <w:t>it was made as a result of a mistake common to the parties to the proceedings.’</w:t>
      </w:r>
    </w:p>
    <w:p w:rsidR="005C5BAA" w:rsidRPr="005C5BAA" w:rsidRDefault="005C5BAA" w:rsidP="005C5BAA">
      <w:pPr>
        <w:spacing w:line="360" w:lineRule="auto"/>
        <w:ind w:left="720"/>
        <w:contextualSpacing/>
        <w:jc w:val="both"/>
        <w:rPr>
          <w:rFonts w:ascii="Times New Roman" w:eastAsia="MS Mincho" w:hAnsi="Times New Roman" w:cs="Times New Roman"/>
        </w:rPr>
      </w:pPr>
    </w:p>
    <w:p w:rsidR="005C5BAA" w:rsidRDefault="001F3569" w:rsidP="005C5BAA">
      <w:pPr>
        <w:spacing w:line="360" w:lineRule="auto"/>
        <w:jc w:val="both"/>
        <w:rPr>
          <w:rFonts w:ascii="Arial" w:eastAsia="Calibri" w:hAnsi="Arial" w:cs="Arial"/>
        </w:rPr>
      </w:pPr>
      <w:r>
        <w:rPr>
          <w:rFonts w:ascii="Arial" w:eastAsia="MS Mincho" w:hAnsi="Arial" w:cs="Arial"/>
        </w:rPr>
        <w:t xml:space="preserve"> </w:t>
      </w:r>
      <w:r w:rsidR="001F1CC0">
        <w:rPr>
          <w:rFonts w:ascii="Arial" w:eastAsia="MS Mincho" w:hAnsi="Arial" w:cs="Arial"/>
        </w:rPr>
        <w:t>[62</w:t>
      </w:r>
      <w:r w:rsidR="00734DB2">
        <w:rPr>
          <w:rFonts w:ascii="Arial" w:eastAsia="MS Mincho" w:hAnsi="Arial" w:cs="Arial"/>
        </w:rPr>
        <w:t>]</w:t>
      </w:r>
      <w:r w:rsidR="00734DB2">
        <w:rPr>
          <w:rFonts w:ascii="Arial" w:eastAsia="MS Mincho" w:hAnsi="Arial" w:cs="Arial"/>
        </w:rPr>
        <w:tab/>
      </w:r>
      <w:r w:rsidR="00F54EC0">
        <w:rPr>
          <w:rFonts w:ascii="Arial" w:eastAsia="MS Mincho" w:hAnsi="Arial" w:cs="Arial"/>
        </w:rPr>
        <w:t>The rules</w:t>
      </w:r>
      <w:r w:rsidR="00F54EC0">
        <w:rPr>
          <w:rFonts w:ascii="Times New Roman" w:eastAsia="MS Mincho" w:hAnsi="Times New Roman" w:cs="Times New Roman"/>
        </w:rPr>
        <w:t xml:space="preserve"> </w:t>
      </w:r>
      <w:r w:rsidR="00F54EC0" w:rsidRPr="00F54EC0">
        <w:rPr>
          <w:rFonts w:ascii="Arial" w:eastAsia="Calibri" w:hAnsi="Arial" w:cs="Arial"/>
        </w:rPr>
        <w:t>do not prescribe the form that an arbitrator must follow where a party applies for rescission of an arbitration award</w:t>
      </w:r>
      <w:r w:rsidR="00F54EC0">
        <w:rPr>
          <w:rFonts w:ascii="Arial" w:eastAsia="Calibri" w:hAnsi="Arial" w:cs="Arial"/>
        </w:rPr>
        <w:t>.</w:t>
      </w:r>
      <w:r w:rsidR="00F54EC0" w:rsidRPr="00F54EC0">
        <w:rPr>
          <w:rFonts w:ascii="Arial" w:eastAsia="Calibri" w:hAnsi="Arial" w:cs="Arial"/>
        </w:rPr>
        <w:t xml:space="preserve"> </w:t>
      </w:r>
      <w:r w:rsidR="00F54EC0">
        <w:rPr>
          <w:rFonts w:ascii="Arial" w:eastAsia="Calibri" w:hAnsi="Arial" w:cs="Arial"/>
        </w:rPr>
        <w:t>I</w:t>
      </w:r>
      <w:r w:rsidR="00F54EC0" w:rsidRPr="00F54EC0">
        <w:rPr>
          <w:rFonts w:ascii="Arial" w:eastAsia="Calibri" w:hAnsi="Arial" w:cs="Arial"/>
        </w:rPr>
        <w:t>n the present matter</w:t>
      </w:r>
      <w:r w:rsidR="00F54EC0">
        <w:rPr>
          <w:rFonts w:ascii="Arial" w:eastAsia="Calibri" w:hAnsi="Arial" w:cs="Arial"/>
        </w:rPr>
        <w:t>,</w:t>
      </w:r>
      <w:r w:rsidR="00493898">
        <w:rPr>
          <w:rFonts w:ascii="Arial" w:eastAsia="Calibri" w:hAnsi="Arial" w:cs="Arial"/>
        </w:rPr>
        <w:t xml:space="preserve"> the application for</w:t>
      </w:r>
      <w:r w:rsidR="00F54EC0" w:rsidRPr="00F54EC0">
        <w:rPr>
          <w:rFonts w:ascii="Arial" w:eastAsia="Calibri" w:hAnsi="Arial" w:cs="Arial"/>
        </w:rPr>
        <w:t xml:space="preserve"> rescission of the award was set in motion </w:t>
      </w:r>
      <w:r w:rsidR="00F54EC0">
        <w:rPr>
          <w:rFonts w:ascii="Arial" w:eastAsia="Calibri" w:hAnsi="Arial" w:cs="Arial"/>
        </w:rPr>
        <w:t xml:space="preserve">by </w:t>
      </w:r>
      <w:r w:rsidR="00F54EC0" w:rsidRPr="00F54EC0">
        <w:rPr>
          <w:rFonts w:ascii="Arial" w:eastAsia="Calibri" w:hAnsi="Arial" w:cs="Arial"/>
        </w:rPr>
        <w:t>a written application to the arbitrator,</w:t>
      </w:r>
      <w:r w:rsidR="00F54EC0">
        <w:rPr>
          <w:rFonts w:ascii="Arial" w:eastAsia="Calibri" w:hAnsi="Arial" w:cs="Arial"/>
        </w:rPr>
        <w:t xml:space="preserve"> and</w:t>
      </w:r>
      <w:r w:rsidR="00F54EC0" w:rsidRPr="00F54EC0">
        <w:rPr>
          <w:rFonts w:ascii="Arial" w:eastAsia="Calibri" w:hAnsi="Arial" w:cs="Arial"/>
        </w:rPr>
        <w:t xml:space="preserve"> the application was supported by an affidavit. The arbitrator </w:t>
      </w:r>
      <w:r w:rsidR="00F54EC0">
        <w:rPr>
          <w:rFonts w:ascii="Arial" w:eastAsia="Calibri" w:hAnsi="Arial" w:cs="Arial"/>
        </w:rPr>
        <w:t>did not receive nor consi</w:t>
      </w:r>
      <w:r w:rsidR="00095399">
        <w:rPr>
          <w:rFonts w:ascii="Arial" w:eastAsia="Calibri" w:hAnsi="Arial" w:cs="Arial"/>
        </w:rPr>
        <w:t>der the application. T</w:t>
      </w:r>
      <w:r w:rsidR="00F54EC0">
        <w:rPr>
          <w:rFonts w:ascii="Arial" w:eastAsia="Calibri" w:hAnsi="Arial" w:cs="Arial"/>
        </w:rPr>
        <w:t xml:space="preserve">he application found legs and </w:t>
      </w:r>
      <w:r w:rsidR="000032E8">
        <w:rPr>
          <w:rFonts w:ascii="Arial" w:eastAsia="Calibri" w:hAnsi="Arial" w:cs="Arial"/>
        </w:rPr>
        <w:t xml:space="preserve">disappeared from the </w:t>
      </w:r>
      <w:r w:rsidR="00F54EC0">
        <w:rPr>
          <w:rFonts w:ascii="Arial" w:eastAsia="Calibri" w:hAnsi="Arial" w:cs="Arial"/>
        </w:rPr>
        <w:t xml:space="preserve">office of the Labour Commissioner. </w:t>
      </w:r>
      <w:r w:rsidR="00E05001">
        <w:rPr>
          <w:rFonts w:ascii="Arial" w:eastAsia="Calibri" w:hAnsi="Arial" w:cs="Arial"/>
        </w:rPr>
        <w:t>The arbitrator did not consider it necessary to</w:t>
      </w:r>
      <w:r w:rsidR="00493898">
        <w:rPr>
          <w:rFonts w:ascii="Arial" w:eastAsia="Calibri" w:hAnsi="Arial" w:cs="Arial"/>
        </w:rPr>
        <w:t xml:space="preserve"> hear </w:t>
      </w:r>
      <w:r w:rsidR="00E05001">
        <w:rPr>
          <w:rFonts w:ascii="Arial" w:eastAsia="Calibri" w:hAnsi="Arial" w:cs="Arial"/>
        </w:rPr>
        <w:t xml:space="preserve">the application as </w:t>
      </w:r>
      <w:r w:rsidR="00BB2A4C">
        <w:rPr>
          <w:rFonts w:ascii="Arial" w:eastAsia="Calibri" w:hAnsi="Arial" w:cs="Arial"/>
        </w:rPr>
        <w:t>she held a view that a</w:t>
      </w:r>
      <w:r w:rsidR="000346D6">
        <w:rPr>
          <w:rFonts w:ascii="Arial" w:eastAsia="Calibri" w:hAnsi="Arial" w:cs="Arial"/>
        </w:rPr>
        <w:t>ppellant</w:t>
      </w:r>
      <w:r w:rsidR="00E05001">
        <w:rPr>
          <w:rFonts w:ascii="Arial" w:eastAsia="Calibri" w:hAnsi="Arial" w:cs="Arial"/>
        </w:rPr>
        <w:t xml:space="preserve"> was at fault for not attending the arbitration hearing of 15 March 2015. She pre-judge</w:t>
      </w:r>
      <w:r w:rsidR="00734DB2">
        <w:rPr>
          <w:rFonts w:ascii="Arial" w:eastAsia="Calibri" w:hAnsi="Arial" w:cs="Arial"/>
        </w:rPr>
        <w:t>d</w:t>
      </w:r>
      <w:r w:rsidR="00E05001">
        <w:rPr>
          <w:rFonts w:ascii="Arial" w:eastAsia="Calibri" w:hAnsi="Arial" w:cs="Arial"/>
        </w:rPr>
        <w:t xml:space="preserve"> the outcome of the application which was running around somewhere in the streets of Khomasdal.</w:t>
      </w:r>
      <w:r w:rsidR="00BB2A4C">
        <w:rPr>
          <w:rFonts w:ascii="Arial" w:eastAsia="Calibri" w:hAnsi="Arial" w:cs="Arial"/>
        </w:rPr>
        <w:t xml:space="preserve"> In other words, the application for rescission was lost. </w:t>
      </w:r>
      <w:r w:rsidR="00E05001">
        <w:rPr>
          <w:rFonts w:ascii="Arial" w:eastAsia="Calibri" w:hAnsi="Arial" w:cs="Arial"/>
        </w:rPr>
        <w:t xml:space="preserve"> </w:t>
      </w:r>
      <w:r w:rsidR="000032E8">
        <w:rPr>
          <w:rFonts w:ascii="Arial" w:eastAsia="Calibri" w:hAnsi="Arial" w:cs="Arial"/>
        </w:rPr>
        <w:t xml:space="preserve">I find thereby that the arbitrator robbed </w:t>
      </w:r>
      <w:r w:rsidR="000346D6">
        <w:rPr>
          <w:rFonts w:ascii="Arial" w:eastAsia="Calibri" w:hAnsi="Arial" w:cs="Arial"/>
        </w:rPr>
        <w:t>Appellant</w:t>
      </w:r>
      <w:r w:rsidR="00F54EC0">
        <w:rPr>
          <w:rFonts w:ascii="Arial" w:eastAsia="Calibri" w:hAnsi="Arial" w:cs="Arial"/>
        </w:rPr>
        <w:t xml:space="preserve"> of </w:t>
      </w:r>
      <w:r w:rsidR="00BB2A4C">
        <w:rPr>
          <w:rFonts w:ascii="Arial" w:eastAsia="Calibri" w:hAnsi="Arial" w:cs="Arial"/>
        </w:rPr>
        <w:t xml:space="preserve">a </w:t>
      </w:r>
      <w:r w:rsidR="00F54EC0">
        <w:rPr>
          <w:rFonts w:ascii="Arial" w:eastAsia="Calibri" w:hAnsi="Arial" w:cs="Arial"/>
        </w:rPr>
        <w:t>fair hearing of its application for rescission of the award.</w:t>
      </w:r>
      <w:r w:rsidR="000032E8">
        <w:rPr>
          <w:rFonts w:ascii="Arial" w:eastAsia="Calibri" w:hAnsi="Arial" w:cs="Arial"/>
        </w:rPr>
        <w:t xml:space="preserve"> </w:t>
      </w:r>
    </w:p>
    <w:p w:rsidR="000032E8" w:rsidRDefault="000032E8" w:rsidP="005C5BAA">
      <w:pPr>
        <w:spacing w:line="360" w:lineRule="auto"/>
        <w:jc w:val="both"/>
        <w:rPr>
          <w:rFonts w:ascii="Arial" w:eastAsia="Calibri" w:hAnsi="Arial" w:cs="Arial"/>
        </w:rPr>
      </w:pPr>
    </w:p>
    <w:p w:rsidR="00BB2A4C" w:rsidRDefault="001F1CC0" w:rsidP="005C5BAA">
      <w:pPr>
        <w:spacing w:line="360" w:lineRule="auto"/>
        <w:jc w:val="both"/>
        <w:rPr>
          <w:rFonts w:ascii="Arial" w:eastAsia="Calibri" w:hAnsi="Arial" w:cs="Arial"/>
        </w:rPr>
      </w:pPr>
      <w:r>
        <w:rPr>
          <w:rFonts w:ascii="Arial" w:eastAsia="Calibri" w:hAnsi="Arial" w:cs="Arial"/>
        </w:rPr>
        <w:t>[63</w:t>
      </w:r>
      <w:r w:rsidR="00095399">
        <w:rPr>
          <w:rFonts w:ascii="Arial" w:eastAsia="Calibri" w:hAnsi="Arial" w:cs="Arial"/>
        </w:rPr>
        <w:t>]</w:t>
      </w:r>
      <w:r w:rsidR="00734DB2">
        <w:rPr>
          <w:rFonts w:ascii="Arial" w:eastAsia="Calibri" w:hAnsi="Arial" w:cs="Arial"/>
        </w:rPr>
        <w:tab/>
      </w:r>
      <w:r w:rsidR="000032E8">
        <w:rPr>
          <w:rFonts w:ascii="Arial" w:eastAsia="Calibri" w:hAnsi="Arial" w:cs="Arial"/>
        </w:rPr>
        <w:t xml:space="preserve">No effort was made to trace the application and </w:t>
      </w:r>
      <w:r w:rsidR="000346D6">
        <w:rPr>
          <w:rFonts w:ascii="Arial" w:eastAsia="Calibri" w:hAnsi="Arial" w:cs="Arial"/>
        </w:rPr>
        <w:t>Appellant</w:t>
      </w:r>
      <w:r w:rsidR="000032E8">
        <w:rPr>
          <w:rFonts w:ascii="Arial" w:eastAsia="Calibri" w:hAnsi="Arial" w:cs="Arial"/>
        </w:rPr>
        <w:t xml:space="preserve"> was not given a chance to provide a copy of its missing application</w:t>
      </w:r>
      <w:r w:rsidR="00E05001">
        <w:rPr>
          <w:rFonts w:ascii="Arial" w:eastAsia="Calibri" w:hAnsi="Arial" w:cs="Arial"/>
        </w:rPr>
        <w:t>.</w:t>
      </w:r>
      <w:r w:rsidR="000032E8">
        <w:rPr>
          <w:rFonts w:ascii="Arial" w:eastAsia="Calibri" w:hAnsi="Arial" w:cs="Arial"/>
        </w:rPr>
        <w:t xml:space="preserve"> The</w:t>
      </w:r>
      <w:r w:rsidR="00E05001">
        <w:rPr>
          <w:rFonts w:ascii="Arial" w:eastAsia="Calibri" w:hAnsi="Arial" w:cs="Arial"/>
        </w:rPr>
        <w:t>re</w:t>
      </w:r>
      <w:r w:rsidR="000032E8">
        <w:rPr>
          <w:rFonts w:ascii="Arial" w:eastAsia="Calibri" w:hAnsi="Arial" w:cs="Arial"/>
        </w:rPr>
        <w:t xml:space="preserve"> was no hearing at all. The Arbitration tribunal empowered to hear and resolve disputes, shrug</w:t>
      </w:r>
      <w:r w:rsidR="00E05001">
        <w:rPr>
          <w:rFonts w:ascii="Arial" w:eastAsia="Calibri" w:hAnsi="Arial" w:cs="Arial"/>
        </w:rPr>
        <w:t>ged</w:t>
      </w:r>
      <w:r w:rsidR="000032E8">
        <w:rPr>
          <w:rFonts w:ascii="Arial" w:eastAsia="Calibri" w:hAnsi="Arial" w:cs="Arial"/>
        </w:rPr>
        <w:t xml:space="preserve"> its shoulders and abdicated its responsibilities</w:t>
      </w:r>
      <w:r w:rsidR="00E05001">
        <w:rPr>
          <w:rFonts w:ascii="Arial" w:eastAsia="Calibri" w:hAnsi="Arial" w:cs="Arial"/>
        </w:rPr>
        <w:t xml:space="preserve"> when it took a decision to not hear and consider the application for rescission of the </w:t>
      </w:r>
      <w:r w:rsidR="00E05001">
        <w:rPr>
          <w:rFonts w:ascii="Arial" w:eastAsia="Calibri" w:hAnsi="Arial" w:cs="Arial"/>
        </w:rPr>
        <w:lastRenderedPageBreak/>
        <w:t>default award</w:t>
      </w:r>
      <w:r w:rsidR="000032E8">
        <w:rPr>
          <w:rFonts w:ascii="Arial" w:eastAsia="Calibri" w:hAnsi="Arial" w:cs="Arial"/>
        </w:rPr>
        <w:t xml:space="preserve">. The outcome is a denial of fairness and justice to </w:t>
      </w:r>
      <w:r w:rsidR="00BB2A4C">
        <w:rPr>
          <w:rFonts w:ascii="Arial" w:eastAsia="Calibri" w:hAnsi="Arial" w:cs="Arial"/>
        </w:rPr>
        <w:t>a</w:t>
      </w:r>
      <w:r w:rsidR="000346D6">
        <w:rPr>
          <w:rFonts w:ascii="Arial" w:eastAsia="Calibri" w:hAnsi="Arial" w:cs="Arial"/>
        </w:rPr>
        <w:t>ppellant</w:t>
      </w:r>
      <w:r w:rsidR="00E05001">
        <w:rPr>
          <w:rFonts w:ascii="Arial" w:eastAsia="Calibri" w:hAnsi="Arial" w:cs="Arial"/>
        </w:rPr>
        <w:t xml:space="preserve"> in </w:t>
      </w:r>
      <w:r w:rsidR="00BB2A4C">
        <w:rPr>
          <w:rFonts w:ascii="Arial" w:eastAsia="Calibri" w:hAnsi="Arial" w:cs="Arial"/>
        </w:rPr>
        <w:t xml:space="preserve">a </w:t>
      </w:r>
      <w:r w:rsidR="00DA1B93" w:rsidRPr="00BB76B0">
        <w:rPr>
          <w:rFonts w:ascii="Arial" w:eastAsia="Calibri" w:hAnsi="Arial" w:cs="Arial"/>
        </w:rPr>
        <w:t>judicious</w:t>
      </w:r>
      <w:r w:rsidR="00DA1B93" w:rsidRPr="00DA1B93">
        <w:rPr>
          <w:rFonts w:ascii="Arial" w:eastAsia="Calibri" w:hAnsi="Arial" w:cs="Arial"/>
        </w:rPr>
        <w:t xml:space="preserve"> process</w:t>
      </w:r>
      <w:r w:rsidR="00DA1B93">
        <w:rPr>
          <w:rFonts w:ascii="Arial" w:eastAsia="Calibri" w:hAnsi="Arial" w:cs="Arial"/>
          <w:sz w:val="22"/>
        </w:rPr>
        <w:t>.</w:t>
      </w:r>
      <w:r w:rsidR="00DA1B93">
        <w:rPr>
          <w:rFonts w:ascii="Arial" w:eastAsia="Calibri" w:hAnsi="Arial" w:cs="Arial"/>
        </w:rPr>
        <w:t xml:space="preserve"> </w:t>
      </w:r>
    </w:p>
    <w:p w:rsidR="00BB2A4C" w:rsidRPr="001F3569" w:rsidRDefault="00BB2A4C" w:rsidP="005C5BAA">
      <w:pPr>
        <w:spacing w:line="360" w:lineRule="auto"/>
        <w:jc w:val="both"/>
        <w:rPr>
          <w:rFonts w:ascii="Arial" w:eastAsia="Calibri" w:hAnsi="Arial" w:cs="Arial"/>
          <w:sz w:val="14"/>
        </w:rPr>
      </w:pPr>
    </w:p>
    <w:p w:rsidR="000032E8" w:rsidRDefault="001F1CC0" w:rsidP="005C5BAA">
      <w:pPr>
        <w:spacing w:line="360" w:lineRule="auto"/>
        <w:jc w:val="both"/>
        <w:rPr>
          <w:rFonts w:ascii="Arial" w:eastAsia="MS Mincho" w:hAnsi="Arial" w:cs="Arial"/>
          <w:i/>
        </w:rPr>
      </w:pPr>
      <w:r>
        <w:rPr>
          <w:rFonts w:ascii="Arial" w:eastAsia="Calibri" w:hAnsi="Arial" w:cs="Arial"/>
        </w:rPr>
        <w:t>[64</w:t>
      </w:r>
      <w:r w:rsidR="00095399" w:rsidRPr="00734DB2">
        <w:rPr>
          <w:rFonts w:ascii="Arial" w:eastAsia="Calibri" w:hAnsi="Arial" w:cs="Arial"/>
        </w:rPr>
        <w:t>]</w:t>
      </w:r>
      <w:r w:rsidR="00734DB2">
        <w:rPr>
          <w:rFonts w:ascii="Arial" w:eastAsia="Calibri" w:hAnsi="Arial" w:cs="Arial"/>
          <w:i/>
        </w:rPr>
        <w:tab/>
      </w:r>
      <w:r w:rsidR="00096250">
        <w:rPr>
          <w:rFonts w:ascii="Arial" w:eastAsia="Calibri" w:hAnsi="Arial" w:cs="Arial"/>
          <w:i/>
        </w:rPr>
        <w:t xml:space="preserve">Mr. </w:t>
      </w:r>
      <w:r w:rsidR="00E05001" w:rsidRPr="00DA1B93">
        <w:rPr>
          <w:rFonts w:ascii="Arial" w:eastAsia="Calibri" w:hAnsi="Arial" w:cs="Arial"/>
          <w:i/>
        </w:rPr>
        <w:t>Justice Uei</w:t>
      </w:r>
      <w:r w:rsidR="000032E8" w:rsidRPr="00DA1B93">
        <w:rPr>
          <w:rFonts w:ascii="Arial" w:eastAsia="Calibri" w:hAnsi="Arial" w:cs="Arial"/>
          <w:i/>
        </w:rPr>
        <w:t>tele</w:t>
      </w:r>
      <w:r w:rsidR="000032E8">
        <w:rPr>
          <w:rFonts w:ascii="Arial" w:eastAsia="Calibri" w:hAnsi="Arial" w:cs="Arial"/>
        </w:rPr>
        <w:t xml:space="preserve"> in the </w:t>
      </w:r>
      <w:r w:rsidR="000032E8" w:rsidRPr="005C5BAA">
        <w:rPr>
          <w:rFonts w:ascii="Arial" w:eastAsia="MS Mincho" w:hAnsi="Arial" w:cs="Arial"/>
          <w:i/>
        </w:rPr>
        <w:t>Namibia Bureau de Change (Pty) Ltd</w:t>
      </w:r>
      <w:r w:rsidR="00DA1B93">
        <w:rPr>
          <w:rFonts w:ascii="Arial" w:eastAsia="MS Mincho" w:hAnsi="Arial" w:cs="Arial"/>
          <w:i/>
        </w:rPr>
        <w:t xml:space="preserve"> </w:t>
      </w:r>
      <w:r w:rsidR="00DA1B93" w:rsidRPr="00DA1B93">
        <w:rPr>
          <w:rFonts w:ascii="Arial" w:eastAsia="MS Mincho" w:hAnsi="Arial" w:cs="Arial"/>
        </w:rPr>
        <w:t>case</w:t>
      </w:r>
      <w:r w:rsidR="00DA1B93">
        <w:rPr>
          <w:rFonts w:ascii="Arial" w:eastAsia="MS Mincho" w:hAnsi="Arial" w:cs="Arial"/>
          <w:i/>
        </w:rPr>
        <w:t xml:space="preserve"> supra </w:t>
      </w:r>
      <w:r w:rsidR="00DA1B93" w:rsidRPr="00DA1B93">
        <w:rPr>
          <w:rFonts w:ascii="Arial" w:eastAsia="MS Mincho" w:hAnsi="Arial" w:cs="Arial"/>
        </w:rPr>
        <w:t>said it better when he said:</w:t>
      </w:r>
    </w:p>
    <w:p w:rsidR="00E05001" w:rsidRPr="001F3569" w:rsidRDefault="00E05001" w:rsidP="005C5BAA">
      <w:pPr>
        <w:spacing w:line="360" w:lineRule="auto"/>
        <w:jc w:val="both"/>
        <w:rPr>
          <w:rFonts w:ascii="Arial" w:eastAsia="MS Mincho" w:hAnsi="Arial" w:cs="Arial"/>
          <w:i/>
          <w:sz w:val="16"/>
        </w:rPr>
      </w:pPr>
    </w:p>
    <w:p w:rsidR="005C5BAA" w:rsidRPr="005C5BAA" w:rsidRDefault="00E05001" w:rsidP="00E05001">
      <w:pPr>
        <w:spacing w:line="360" w:lineRule="auto"/>
        <w:ind w:left="720" w:right="380"/>
        <w:jc w:val="both"/>
        <w:rPr>
          <w:rFonts w:ascii="Times New Roman" w:eastAsia="MS Mincho" w:hAnsi="Times New Roman" w:cs="Times New Roman"/>
          <w:i/>
          <w:sz w:val="18"/>
          <w:szCs w:val="20"/>
        </w:rPr>
      </w:pPr>
      <w:r>
        <w:rPr>
          <w:rFonts w:ascii="Arial" w:eastAsia="Calibri" w:hAnsi="Arial" w:cs="Arial"/>
          <w:sz w:val="22"/>
        </w:rPr>
        <w:t>‘</w:t>
      </w:r>
      <w:r w:rsidR="000032E8" w:rsidRPr="00E05001">
        <w:rPr>
          <w:rFonts w:ascii="Arial" w:eastAsia="Calibri" w:hAnsi="Arial" w:cs="Arial"/>
          <w:sz w:val="22"/>
        </w:rPr>
        <w:t>The approach taken by the arbitrator is inconsistent with an adjudicative process and a clear negation of the applicant’s right to a fair hearing enshrined in Article 12(1) (a) of the Namibian Constitution</w:t>
      </w:r>
      <w:r>
        <w:rPr>
          <w:rFonts w:ascii="Arial" w:eastAsia="Calibri" w:hAnsi="Arial" w:cs="Arial"/>
          <w:sz w:val="22"/>
        </w:rPr>
        <w:t>’</w:t>
      </w:r>
      <w:r w:rsidR="000032E8" w:rsidRPr="00E05001">
        <w:rPr>
          <w:rFonts w:ascii="Arial" w:eastAsia="Calibri" w:hAnsi="Arial" w:cs="Arial"/>
          <w:sz w:val="22"/>
        </w:rPr>
        <w:t xml:space="preserve">. </w:t>
      </w:r>
      <w:r w:rsidR="0059723C">
        <w:rPr>
          <w:rFonts w:ascii="Times New Roman" w:eastAsia="MS Mincho" w:hAnsi="Times New Roman" w:cs="Times New Roman"/>
          <w:i/>
          <w:sz w:val="18"/>
          <w:szCs w:val="20"/>
        </w:rPr>
        <w:t xml:space="preserve"> </w:t>
      </w:r>
    </w:p>
    <w:p w:rsidR="007F050C" w:rsidRDefault="007F050C" w:rsidP="00BF0D83">
      <w:pPr>
        <w:spacing w:line="360" w:lineRule="auto"/>
        <w:jc w:val="both"/>
        <w:rPr>
          <w:rFonts w:ascii="Arial" w:hAnsi="Arial" w:cs="Arial"/>
        </w:rPr>
      </w:pPr>
    </w:p>
    <w:p w:rsidR="00821934" w:rsidRDefault="001F1CC0" w:rsidP="00BF0D83">
      <w:pPr>
        <w:spacing w:line="360" w:lineRule="auto"/>
        <w:jc w:val="both"/>
        <w:rPr>
          <w:rFonts w:ascii="Arial" w:hAnsi="Arial" w:cs="Arial"/>
        </w:rPr>
      </w:pPr>
      <w:r>
        <w:rPr>
          <w:rFonts w:ascii="Arial" w:hAnsi="Arial" w:cs="Arial"/>
        </w:rPr>
        <w:t>[65</w:t>
      </w:r>
      <w:r w:rsidR="00734DB2">
        <w:rPr>
          <w:rFonts w:ascii="Arial" w:hAnsi="Arial" w:cs="Arial"/>
        </w:rPr>
        <w:t>]</w:t>
      </w:r>
      <w:r w:rsidR="00734DB2">
        <w:rPr>
          <w:rFonts w:ascii="Arial" w:hAnsi="Arial" w:cs="Arial"/>
        </w:rPr>
        <w:tab/>
      </w:r>
      <w:r w:rsidR="00DA1B93">
        <w:rPr>
          <w:rFonts w:ascii="Arial" w:hAnsi="Arial" w:cs="Arial"/>
        </w:rPr>
        <w:t xml:space="preserve">The </w:t>
      </w:r>
      <w:r w:rsidR="007F050C">
        <w:rPr>
          <w:rFonts w:ascii="Arial" w:hAnsi="Arial" w:cs="Arial"/>
        </w:rPr>
        <w:t>decision by the arbitrator not to hear and consider the appellant’s application for rescission of the default award lodged on 25 April 2016,</w:t>
      </w:r>
      <w:r w:rsidR="00DA1B93">
        <w:rPr>
          <w:rFonts w:ascii="Arial" w:hAnsi="Arial" w:cs="Arial"/>
        </w:rPr>
        <w:t xml:space="preserve"> should for these reasons</w:t>
      </w:r>
      <w:r w:rsidR="007F050C">
        <w:rPr>
          <w:rFonts w:ascii="Arial" w:hAnsi="Arial" w:cs="Arial"/>
        </w:rPr>
        <w:t>,</w:t>
      </w:r>
      <w:r w:rsidR="00DA1B93">
        <w:rPr>
          <w:rFonts w:ascii="Arial" w:hAnsi="Arial" w:cs="Arial"/>
        </w:rPr>
        <w:t xml:space="preserve"> be set aside and as a result, I make the following orders.</w:t>
      </w:r>
    </w:p>
    <w:p w:rsidR="00DA1B93" w:rsidRPr="0068606D" w:rsidRDefault="00DA1B93" w:rsidP="00BF0D83">
      <w:pPr>
        <w:spacing w:line="360" w:lineRule="auto"/>
        <w:jc w:val="both"/>
        <w:rPr>
          <w:rFonts w:ascii="Arial" w:hAnsi="Arial" w:cs="Arial"/>
        </w:rPr>
      </w:pPr>
    </w:p>
    <w:p w:rsidR="007F050C" w:rsidRPr="00D062FA" w:rsidRDefault="00D062FA" w:rsidP="00D062FA">
      <w:pPr>
        <w:spacing w:before="240" w:after="240" w:line="360" w:lineRule="auto"/>
        <w:ind w:left="1440" w:hanging="360"/>
        <w:jc w:val="both"/>
        <w:rPr>
          <w:rFonts w:ascii="Arial" w:eastAsia="Calibri" w:hAnsi="Arial" w:cs="Arial"/>
        </w:rPr>
      </w:pPr>
      <w:r w:rsidRPr="00734DB2">
        <w:rPr>
          <w:rFonts w:ascii="Arial" w:eastAsia="Calibri" w:hAnsi="Arial" w:cs="Arial"/>
        </w:rPr>
        <w:t>1.</w:t>
      </w:r>
      <w:r w:rsidRPr="00734DB2">
        <w:rPr>
          <w:rFonts w:ascii="Arial" w:eastAsia="Calibri" w:hAnsi="Arial" w:cs="Arial"/>
        </w:rPr>
        <w:tab/>
      </w:r>
      <w:r w:rsidR="00DA1B93" w:rsidRPr="00D062FA">
        <w:rPr>
          <w:rFonts w:ascii="Arial" w:eastAsia="Calibri" w:hAnsi="Arial" w:cs="Arial"/>
        </w:rPr>
        <w:t xml:space="preserve">The decision </w:t>
      </w:r>
      <w:r w:rsidR="000346D6" w:rsidRPr="00D062FA">
        <w:rPr>
          <w:rFonts w:ascii="Arial" w:eastAsia="Calibri" w:hAnsi="Arial" w:cs="Arial"/>
        </w:rPr>
        <w:t xml:space="preserve">by </w:t>
      </w:r>
      <w:r w:rsidR="000F2A51" w:rsidRPr="00D062FA">
        <w:rPr>
          <w:rFonts w:ascii="Arial" w:eastAsia="Calibri" w:hAnsi="Arial" w:cs="Arial"/>
        </w:rPr>
        <w:t xml:space="preserve">arbitrator </w:t>
      </w:r>
      <w:r w:rsidR="000F2A51" w:rsidRPr="00D062FA">
        <w:rPr>
          <w:rFonts w:ascii="Arial" w:hAnsi="Arial" w:cs="Arial"/>
        </w:rPr>
        <w:t>Ms. Gertrude Usiku</w:t>
      </w:r>
      <w:r w:rsidR="000F2A51" w:rsidRPr="00D062FA">
        <w:rPr>
          <w:rFonts w:ascii="Arial" w:eastAsia="Calibri" w:hAnsi="Arial" w:cs="Arial"/>
        </w:rPr>
        <w:t xml:space="preserve"> n</w:t>
      </w:r>
      <w:r w:rsidR="000346D6" w:rsidRPr="00D062FA">
        <w:rPr>
          <w:rFonts w:ascii="Arial" w:eastAsia="Calibri" w:hAnsi="Arial" w:cs="Arial"/>
        </w:rPr>
        <w:t>ot</w:t>
      </w:r>
      <w:r w:rsidR="00DA1B93" w:rsidRPr="00D062FA">
        <w:rPr>
          <w:rFonts w:ascii="Arial" w:eastAsia="Calibri" w:hAnsi="Arial" w:cs="Arial"/>
        </w:rPr>
        <w:t xml:space="preserve"> to hear and consider </w:t>
      </w:r>
      <w:r w:rsidR="000F2A51" w:rsidRPr="00D062FA">
        <w:rPr>
          <w:rFonts w:ascii="Arial" w:eastAsia="Calibri" w:hAnsi="Arial" w:cs="Arial"/>
        </w:rPr>
        <w:t>appellant’s</w:t>
      </w:r>
      <w:r w:rsidR="00DA1B93" w:rsidRPr="00D062FA">
        <w:rPr>
          <w:rFonts w:ascii="Arial" w:eastAsia="Calibri" w:hAnsi="Arial" w:cs="Arial"/>
        </w:rPr>
        <w:t xml:space="preserve"> application for rescission of </w:t>
      </w:r>
      <w:r w:rsidR="000F2A51" w:rsidRPr="00D062FA">
        <w:rPr>
          <w:rFonts w:ascii="Arial" w:eastAsia="Calibri" w:hAnsi="Arial" w:cs="Arial"/>
        </w:rPr>
        <w:t xml:space="preserve">the default </w:t>
      </w:r>
      <w:r w:rsidR="00DA1B93" w:rsidRPr="00D062FA">
        <w:rPr>
          <w:rFonts w:ascii="Arial" w:eastAsia="Calibri" w:hAnsi="Arial" w:cs="Arial"/>
        </w:rPr>
        <w:t xml:space="preserve">award lodged </w:t>
      </w:r>
      <w:r w:rsidR="000346D6" w:rsidRPr="00D062FA">
        <w:rPr>
          <w:rFonts w:ascii="Arial" w:eastAsia="Calibri" w:hAnsi="Arial" w:cs="Arial"/>
        </w:rPr>
        <w:t xml:space="preserve">by the appellant </w:t>
      </w:r>
      <w:r w:rsidR="000F2A51" w:rsidRPr="00D062FA">
        <w:rPr>
          <w:rFonts w:ascii="Arial" w:eastAsia="Calibri" w:hAnsi="Arial" w:cs="Arial"/>
        </w:rPr>
        <w:t>on 25 April 2016 under case number CRWB 01/16</w:t>
      </w:r>
      <w:r w:rsidR="00DA1B93" w:rsidRPr="00D062FA">
        <w:rPr>
          <w:rFonts w:ascii="Arial" w:eastAsia="Calibri" w:hAnsi="Arial" w:cs="Arial"/>
        </w:rPr>
        <w:t xml:space="preserve"> is set aside.</w:t>
      </w:r>
    </w:p>
    <w:p w:rsidR="007F050C" w:rsidRPr="001F3569" w:rsidRDefault="007F050C" w:rsidP="007F050C">
      <w:pPr>
        <w:pStyle w:val="ListParagraph"/>
        <w:spacing w:before="240" w:after="240" w:line="360" w:lineRule="auto"/>
        <w:ind w:left="1440"/>
        <w:jc w:val="both"/>
        <w:rPr>
          <w:rFonts w:ascii="Arial" w:eastAsia="Calibri" w:hAnsi="Arial" w:cs="Arial"/>
          <w:sz w:val="12"/>
        </w:rPr>
      </w:pPr>
    </w:p>
    <w:p w:rsidR="007F050C" w:rsidRPr="00D062FA" w:rsidRDefault="00D062FA" w:rsidP="00D062FA">
      <w:pPr>
        <w:spacing w:before="240" w:after="240" w:line="360" w:lineRule="auto"/>
        <w:ind w:left="1440" w:hanging="360"/>
        <w:jc w:val="both"/>
        <w:rPr>
          <w:rFonts w:ascii="Arial" w:eastAsia="Calibri" w:hAnsi="Arial" w:cs="Arial"/>
        </w:rPr>
      </w:pPr>
      <w:r w:rsidRPr="00734DB2">
        <w:rPr>
          <w:rFonts w:ascii="Arial" w:eastAsia="Calibri" w:hAnsi="Arial" w:cs="Arial"/>
        </w:rPr>
        <w:t>2.</w:t>
      </w:r>
      <w:r w:rsidRPr="00734DB2">
        <w:rPr>
          <w:rFonts w:ascii="Arial" w:eastAsia="Calibri" w:hAnsi="Arial" w:cs="Arial"/>
        </w:rPr>
        <w:tab/>
      </w:r>
      <w:r w:rsidR="00DA1B93" w:rsidRPr="00D062FA">
        <w:rPr>
          <w:rFonts w:ascii="Arial" w:eastAsia="Calibri" w:hAnsi="Arial" w:cs="Arial"/>
        </w:rPr>
        <w:t xml:space="preserve">The matter is remitted to the Labour Commissioner and the Labour Commissioner </w:t>
      </w:r>
      <w:r w:rsidR="007F050C" w:rsidRPr="00D062FA">
        <w:rPr>
          <w:rFonts w:ascii="Arial" w:eastAsia="Calibri" w:hAnsi="Arial" w:cs="Arial"/>
        </w:rPr>
        <w:t>is directed to</w:t>
      </w:r>
      <w:r w:rsidR="00DA1B93" w:rsidRPr="00D062FA">
        <w:rPr>
          <w:rFonts w:ascii="Arial" w:eastAsia="Calibri" w:hAnsi="Arial" w:cs="Arial"/>
        </w:rPr>
        <w:t xml:space="preserve"> refer the </w:t>
      </w:r>
      <w:r w:rsidR="007F050C" w:rsidRPr="00D062FA">
        <w:rPr>
          <w:rFonts w:ascii="Arial" w:eastAsia="Calibri" w:hAnsi="Arial" w:cs="Arial"/>
        </w:rPr>
        <w:t xml:space="preserve">appellant’s </w:t>
      </w:r>
      <w:r w:rsidR="00DA1B93" w:rsidRPr="00D062FA">
        <w:rPr>
          <w:rFonts w:ascii="Arial" w:eastAsia="Calibri" w:hAnsi="Arial" w:cs="Arial"/>
        </w:rPr>
        <w:t xml:space="preserve">application to rescind the </w:t>
      </w:r>
      <w:r w:rsidR="000F2A51" w:rsidRPr="00D062FA">
        <w:rPr>
          <w:rFonts w:ascii="Arial" w:eastAsia="Calibri" w:hAnsi="Arial" w:cs="Arial"/>
        </w:rPr>
        <w:t xml:space="preserve">default </w:t>
      </w:r>
      <w:r w:rsidR="00DA1B93" w:rsidRPr="00D062FA">
        <w:rPr>
          <w:rFonts w:ascii="Arial" w:eastAsia="Calibri" w:hAnsi="Arial" w:cs="Arial"/>
        </w:rPr>
        <w:t xml:space="preserve">award made on </w:t>
      </w:r>
      <w:r w:rsidR="000F2A51" w:rsidRPr="00D062FA">
        <w:rPr>
          <w:rFonts w:ascii="Arial" w:eastAsia="Calibri" w:hAnsi="Arial" w:cs="Arial"/>
        </w:rPr>
        <w:t>25 April 2016,</w:t>
      </w:r>
      <w:r w:rsidR="00DA1B93" w:rsidRPr="00D062FA">
        <w:rPr>
          <w:rFonts w:ascii="Arial" w:eastAsia="Calibri" w:hAnsi="Arial" w:cs="Arial"/>
        </w:rPr>
        <w:t xml:space="preserve"> for hearing </w:t>
      </w:r>
      <w:r w:rsidR="007F050C" w:rsidRPr="00D062FA">
        <w:rPr>
          <w:rFonts w:ascii="Arial" w:eastAsia="Calibri" w:hAnsi="Arial" w:cs="Arial"/>
        </w:rPr>
        <w:t>and consideration</w:t>
      </w:r>
      <w:r w:rsidR="00DA1B93" w:rsidRPr="00D062FA">
        <w:rPr>
          <w:rFonts w:ascii="Arial" w:eastAsia="Calibri" w:hAnsi="Arial" w:cs="Arial"/>
        </w:rPr>
        <w:t xml:space="preserve"> by an arbitrator other than </w:t>
      </w:r>
      <w:r w:rsidR="000F2A51" w:rsidRPr="00D062FA">
        <w:rPr>
          <w:rFonts w:ascii="Arial" w:hAnsi="Arial" w:cs="Arial"/>
        </w:rPr>
        <w:t>Ms. Gertrude Usiku.</w:t>
      </w:r>
    </w:p>
    <w:p w:rsidR="007F050C" w:rsidRPr="007F050C" w:rsidRDefault="007F050C" w:rsidP="007F050C">
      <w:pPr>
        <w:pStyle w:val="ListParagraph"/>
        <w:rPr>
          <w:rFonts w:ascii="Arial" w:eastAsia="Calibri" w:hAnsi="Arial" w:cs="Arial"/>
        </w:rPr>
      </w:pPr>
    </w:p>
    <w:p w:rsidR="00DA1B93" w:rsidRPr="00D062FA" w:rsidRDefault="00D062FA" w:rsidP="00D062FA">
      <w:pPr>
        <w:spacing w:before="240" w:after="240" w:line="360" w:lineRule="auto"/>
        <w:ind w:left="1440" w:hanging="360"/>
        <w:jc w:val="both"/>
        <w:rPr>
          <w:rFonts w:ascii="Arial" w:eastAsia="Calibri" w:hAnsi="Arial" w:cs="Arial"/>
        </w:rPr>
      </w:pPr>
      <w:r w:rsidRPr="007F050C">
        <w:rPr>
          <w:rFonts w:ascii="Arial" w:eastAsia="Calibri" w:hAnsi="Arial" w:cs="Arial"/>
        </w:rPr>
        <w:t>3.</w:t>
      </w:r>
      <w:r w:rsidRPr="007F050C">
        <w:rPr>
          <w:rFonts w:ascii="Arial" w:eastAsia="Calibri" w:hAnsi="Arial" w:cs="Arial"/>
        </w:rPr>
        <w:tab/>
      </w:r>
      <w:r w:rsidR="007F050C" w:rsidRPr="00D062FA">
        <w:rPr>
          <w:rFonts w:ascii="Arial" w:eastAsia="Calibri" w:hAnsi="Arial" w:cs="Arial"/>
        </w:rPr>
        <w:t>T</w:t>
      </w:r>
      <w:r w:rsidR="00DA1B93" w:rsidRPr="00D062FA">
        <w:rPr>
          <w:rFonts w:ascii="Arial" w:eastAsia="Calibri" w:hAnsi="Arial" w:cs="Arial"/>
        </w:rPr>
        <w:t>here is no order as to costs.</w:t>
      </w:r>
    </w:p>
    <w:p w:rsidR="00DA1B93" w:rsidRPr="00DA1B93" w:rsidRDefault="00DA1B93" w:rsidP="00DA1B93">
      <w:pPr>
        <w:tabs>
          <w:tab w:val="left" w:pos="720"/>
        </w:tabs>
        <w:spacing w:after="200" w:line="360" w:lineRule="auto"/>
        <w:contextualSpacing/>
        <w:jc w:val="both"/>
        <w:rPr>
          <w:rFonts w:ascii="Arial" w:eastAsia="Calibri" w:hAnsi="Arial" w:cs="Arial"/>
          <w:sz w:val="22"/>
          <w:szCs w:val="22"/>
        </w:rPr>
      </w:pPr>
    </w:p>
    <w:p w:rsidR="00DA1B93" w:rsidRPr="00DA1B93" w:rsidRDefault="00DA1B93" w:rsidP="00DA1B93">
      <w:pPr>
        <w:spacing w:line="276" w:lineRule="auto"/>
        <w:jc w:val="right"/>
        <w:rPr>
          <w:rFonts w:ascii="Arial" w:eastAsia="Calibri" w:hAnsi="Arial" w:cs="Arial"/>
        </w:rPr>
      </w:pPr>
      <w:r w:rsidRPr="00DA1B93">
        <w:rPr>
          <w:rFonts w:ascii="Arial" w:eastAsia="Calibri" w:hAnsi="Arial" w:cs="Arial"/>
        </w:rPr>
        <w:t>---------------------------</w:t>
      </w:r>
    </w:p>
    <w:p w:rsidR="00DA1B93" w:rsidRPr="00DA1B93" w:rsidRDefault="00DA1B93" w:rsidP="00DA1B93">
      <w:pPr>
        <w:spacing w:line="276" w:lineRule="auto"/>
        <w:jc w:val="right"/>
        <w:rPr>
          <w:rFonts w:ascii="Arial" w:eastAsia="Calibri" w:hAnsi="Arial" w:cs="Arial"/>
        </w:rPr>
      </w:pPr>
      <w:r>
        <w:rPr>
          <w:rFonts w:ascii="Arial" w:eastAsia="Calibri" w:hAnsi="Arial" w:cs="Arial"/>
        </w:rPr>
        <w:t>EM</w:t>
      </w:r>
      <w:r w:rsidRPr="00DA1B93">
        <w:rPr>
          <w:rFonts w:ascii="Arial" w:eastAsia="Calibri" w:hAnsi="Arial" w:cs="Arial"/>
        </w:rPr>
        <w:t xml:space="preserve"> </w:t>
      </w:r>
      <w:r>
        <w:rPr>
          <w:rFonts w:ascii="Arial" w:eastAsia="Calibri" w:hAnsi="Arial" w:cs="Arial"/>
        </w:rPr>
        <w:t>Angula</w:t>
      </w:r>
    </w:p>
    <w:p w:rsidR="001F3569" w:rsidRDefault="0059723C" w:rsidP="001F3569">
      <w:pPr>
        <w:spacing w:line="276" w:lineRule="auto"/>
        <w:jc w:val="right"/>
        <w:rPr>
          <w:rFonts w:ascii="Arial" w:eastAsia="Calibri" w:hAnsi="Arial" w:cs="Arial"/>
        </w:rPr>
      </w:pPr>
      <w:r>
        <w:rPr>
          <w:rFonts w:ascii="Arial" w:eastAsia="Calibri" w:hAnsi="Arial" w:cs="Arial"/>
        </w:rPr>
        <w:t xml:space="preserve">Acting </w:t>
      </w:r>
      <w:r w:rsidR="00DA1B93" w:rsidRPr="00DA1B93">
        <w:rPr>
          <w:rFonts w:ascii="Arial" w:eastAsia="Calibri" w:hAnsi="Arial" w:cs="Arial"/>
        </w:rPr>
        <w:t>Judge</w:t>
      </w:r>
    </w:p>
    <w:p w:rsidR="005D55C3" w:rsidRDefault="005D55C3" w:rsidP="001F3569">
      <w:pPr>
        <w:spacing w:line="276" w:lineRule="auto"/>
        <w:jc w:val="right"/>
        <w:rPr>
          <w:rFonts w:ascii="Arial" w:eastAsia="Calibri" w:hAnsi="Arial" w:cs="Arial"/>
        </w:rPr>
      </w:pPr>
    </w:p>
    <w:p w:rsidR="00734DB2" w:rsidRDefault="00734DB2" w:rsidP="001F3569">
      <w:pPr>
        <w:spacing w:line="276" w:lineRule="auto"/>
        <w:jc w:val="right"/>
        <w:rPr>
          <w:rFonts w:ascii="Arial" w:eastAsia="Calibri" w:hAnsi="Arial" w:cs="Arial"/>
        </w:rPr>
      </w:pPr>
    </w:p>
    <w:p w:rsidR="00734DB2" w:rsidRDefault="00734DB2" w:rsidP="001F3569">
      <w:pPr>
        <w:spacing w:line="276" w:lineRule="auto"/>
        <w:jc w:val="right"/>
        <w:rPr>
          <w:rFonts w:ascii="Arial" w:eastAsia="Calibri" w:hAnsi="Arial" w:cs="Arial"/>
        </w:rPr>
      </w:pPr>
    </w:p>
    <w:p w:rsidR="00734DB2" w:rsidRDefault="00734DB2" w:rsidP="001F3569">
      <w:pPr>
        <w:spacing w:line="276" w:lineRule="auto"/>
        <w:jc w:val="right"/>
        <w:rPr>
          <w:rFonts w:ascii="Arial" w:eastAsia="Calibri" w:hAnsi="Arial" w:cs="Arial"/>
        </w:rPr>
      </w:pPr>
    </w:p>
    <w:p w:rsidR="00734DB2" w:rsidRDefault="00734DB2" w:rsidP="001F3569">
      <w:pPr>
        <w:spacing w:line="276" w:lineRule="auto"/>
        <w:jc w:val="right"/>
        <w:rPr>
          <w:rFonts w:ascii="Arial" w:eastAsia="Calibri" w:hAnsi="Arial" w:cs="Arial"/>
        </w:rPr>
      </w:pPr>
    </w:p>
    <w:p w:rsidR="00734DB2" w:rsidRDefault="00734DB2" w:rsidP="001F3569">
      <w:pPr>
        <w:spacing w:line="276" w:lineRule="auto"/>
        <w:jc w:val="right"/>
        <w:rPr>
          <w:rFonts w:ascii="Arial" w:eastAsia="Calibri" w:hAnsi="Arial" w:cs="Arial"/>
        </w:rPr>
      </w:pPr>
    </w:p>
    <w:p w:rsidR="00734DB2" w:rsidRDefault="00734DB2" w:rsidP="001F3569">
      <w:pPr>
        <w:spacing w:line="276" w:lineRule="auto"/>
        <w:jc w:val="right"/>
        <w:rPr>
          <w:rFonts w:ascii="Arial" w:eastAsia="Calibri" w:hAnsi="Arial" w:cs="Arial"/>
        </w:rPr>
      </w:pPr>
    </w:p>
    <w:p w:rsidR="00734DB2" w:rsidRDefault="00734DB2" w:rsidP="00BF0D83">
      <w:pPr>
        <w:spacing w:line="360" w:lineRule="auto"/>
        <w:jc w:val="both"/>
        <w:rPr>
          <w:rFonts w:ascii="Times New Roman" w:hAnsi="Times New Roman" w:cs="Times New Roman"/>
          <w:b/>
        </w:rPr>
      </w:pPr>
    </w:p>
    <w:p w:rsidR="00A04D7E" w:rsidRDefault="00391A2A" w:rsidP="00BF0D83">
      <w:pPr>
        <w:spacing w:line="360" w:lineRule="auto"/>
        <w:jc w:val="both"/>
        <w:rPr>
          <w:rFonts w:ascii="Times New Roman" w:hAnsi="Times New Roman" w:cs="Times New Roman"/>
          <w:b/>
        </w:rPr>
      </w:pPr>
      <w:r w:rsidRPr="00391A2A">
        <w:rPr>
          <w:rFonts w:ascii="Times New Roman" w:hAnsi="Times New Roman" w:cs="Times New Roman"/>
          <w:b/>
        </w:rPr>
        <w:t>APPEARANCES</w:t>
      </w:r>
    </w:p>
    <w:p w:rsidR="00391A2A" w:rsidRDefault="00391A2A" w:rsidP="00BF0D83">
      <w:pPr>
        <w:spacing w:line="360" w:lineRule="auto"/>
        <w:jc w:val="both"/>
        <w:rPr>
          <w:rFonts w:ascii="Times New Roman" w:hAnsi="Times New Roman" w:cs="Times New Roman"/>
          <w:b/>
        </w:rPr>
      </w:pPr>
    </w:p>
    <w:p w:rsidR="00734DB2" w:rsidRPr="00734DB2" w:rsidRDefault="001F3569" w:rsidP="00734DB2">
      <w:pPr>
        <w:spacing w:line="360" w:lineRule="auto"/>
        <w:jc w:val="both"/>
        <w:rPr>
          <w:rFonts w:ascii="Times New Roman" w:hAnsi="Times New Roman" w:cs="Times New Roman"/>
        </w:rPr>
      </w:pPr>
      <w:r>
        <w:rPr>
          <w:rFonts w:ascii="Times New Roman" w:hAnsi="Times New Roman" w:cs="Times New Roman"/>
          <w:b/>
        </w:rPr>
        <w:t>APPELLANT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E7AC9">
        <w:rPr>
          <w:rFonts w:ascii="Times New Roman" w:hAnsi="Times New Roman" w:cs="Times New Roman"/>
        </w:rPr>
        <w:t>ADV</w:t>
      </w:r>
      <w:r w:rsidR="00734DB2" w:rsidRPr="00734DB2">
        <w:rPr>
          <w:rFonts w:ascii="Times New Roman" w:hAnsi="Times New Roman" w:cs="Times New Roman"/>
        </w:rPr>
        <w:t>.G DICK</w:t>
      </w:r>
      <w:r w:rsidR="00734DB2">
        <w:rPr>
          <w:rFonts w:ascii="Times New Roman" w:hAnsi="Times New Roman" w:cs="Times New Roman"/>
        </w:rPr>
        <w:t>S</w:t>
      </w:r>
    </w:p>
    <w:p w:rsidR="00391A2A" w:rsidRPr="00734DB2" w:rsidRDefault="00734DB2" w:rsidP="00734DB2">
      <w:pPr>
        <w:spacing w:line="360" w:lineRule="auto"/>
        <w:ind w:left="5040"/>
        <w:jc w:val="both"/>
        <w:rPr>
          <w:rFonts w:ascii="Arial" w:hAnsi="Arial" w:cs="Arial"/>
        </w:rPr>
      </w:pPr>
      <w:r w:rsidRPr="00734DB2">
        <w:rPr>
          <w:rFonts w:ascii="Times New Roman" w:hAnsi="Times New Roman" w:cs="Times New Roman"/>
        </w:rPr>
        <w:t>Instructed by Engling Stritter &amp;   Company</w:t>
      </w:r>
    </w:p>
    <w:p w:rsidR="00391A2A" w:rsidRPr="00734DB2" w:rsidRDefault="00391A2A" w:rsidP="00BF0D83">
      <w:pPr>
        <w:spacing w:line="360" w:lineRule="auto"/>
        <w:jc w:val="both"/>
        <w:rPr>
          <w:rFonts w:ascii="Times New Roman" w:hAnsi="Times New Roman" w:cs="Times New Roman"/>
        </w:rPr>
      </w:pPr>
    </w:p>
    <w:p w:rsidR="00391A2A" w:rsidRDefault="00391A2A" w:rsidP="00BF0D83">
      <w:pPr>
        <w:spacing w:line="360" w:lineRule="auto"/>
        <w:jc w:val="both"/>
        <w:rPr>
          <w:rFonts w:ascii="Times New Roman" w:hAnsi="Times New Roman" w:cs="Times New Roman"/>
        </w:rPr>
      </w:pPr>
    </w:p>
    <w:p w:rsidR="00734DB2" w:rsidRPr="00734DB2" w:rsidRDefault="00391A2A" w:rsidP="00734DB2">
      <w:pPr>
        <w:spacing w:line="360" w:lineRule="auto"/>
        <w:jc w:val="both"/>
        <w:rPr>
          <w:rFonts w:ascii="Arial" w:hAnsi="Arial" w:cs="Arial"/>
        </w:rPr>
      </w:pPr>
      <w:r w:rsidRPr="00493898">
        <w:rPr>
          <w:rFonts w:ascii="Times New Roman" w:hAnsi="Times New Roman" w:cs="Times New Roman"/>
          <w:b/>
        </w:rPr>
        <w:t>R</w:t>
      </w:r>
      <w:r w:rsidRPr="00391A2A">
        <w:rPr>
          <w:rFonts w:ascii="Times New Roman" w:hAnsi="Times New Roman" w:cs="Times New Roman"/>
          <w:b/>
        </w:rPr>
        <w:t>ESPONDENTS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F3569">
        <w:rPr>
          <w:rFonts w:ascii="Times New Roman" w:hAnsi="Times New Roman" w:cs="Times New Roman"/>
          <w:b/>
        </w:rPr>
        <w:tab/>
      </w:r>
      <w:r w:rsidR="00734DB2" w:rsidRPr="00734DB2">
        <w:rPr>
          <w:rFonts w:ascii="Arial" w:hAnsi="Arial" w:cs="Arial"/>
        </w:rPr>
        <w:t>MS. NN SHILONGO</w:t>
      </w:r>
    </w:p>
    <w:p w:rsidR="00734DB2" w:rsidRPr="00391A2A" w:rsidRDefault="00B0314E" w:rsidP="00734DB2">
      <w:pPr>
        <w:spacing w:line="360" w:lineRule="auto"/>
        <w:ind w:left="5040"/>
        <w:jc w:val="both"/>
        <w:rPr>
          <w:rFonts w:ascii="Arial" w:hAnsi="Arial" w:cs="Arial"/>
        </w:rPr>
      </w:pPr>
      <w:r>
        <w:rPr>
          <w:rFonts w:ascii="Arial" w:hAnsi="Arial" w:cs="Arial"/>
        </w:rPr>
        <w:t>Sisa Namandje &amp; Co</w:t>
      </w:r>
    </w:p>
    <w:sectPr w:rsidR="00734DB2" w:rsidRPr="00391A2A" w:rsidSect="00B67C2E">
      <w:headerReference w:type="default" r:id="rId12"/>
      <w:pgSz w:w="11900" w:h="16840"/>
      <w:pgMar w:top="567" w:right="1800" w:bottom="1440" w:left="180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7A" w:rsidRDefault="00C0687A" w:rsidP="00864B4B">
      <w:r>
        <w:separator/>
      </w:r>
    </w:p>
  </w:endnote>
  <w:endnote w:type="continuationSeparator" w:id="0">
    <w:p w:rsidR="00C0687A" w:rsidRDefault="00C0687A" w:rsidP="0086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7A" w:rsidRDefault="00C0687A" w:rsidP="00864B4B">
      <w:r>
        <w:separator/>
      </w:r>
    </w:p>
  </w:footnote>
  <w:footnote w:type="continuationSeparator" w:id="0">
    <w:p w:rsidR="00C0687A" w:rsidRDefault="00C0687A" w:rsidP="00864B4B">
      <w:r>
        <w:continuationSeparator/>
      </w:r>
    </w:p>
  </w:footnote>
  <w:footnote w:id="1">
    <w:p w:rsidR="006E1976" w:rsidRPr="00B0314E" w:rsidRDefault="006E1976">
      <w:pPr>
        <w:pStyle w:val="FootnoteText"/>
        <w:rPr>
          <w:rFonts w:asciiTheme="majorHAnsi" w:hAnsiTheme="majorHAnsi"/>
          <w:lang w:val="en-ZA"/>
        </w:rPr>
      </w:pPr>
      <w:r>
        <w:rPr>
          <w:rStyle w:val="FootnoteReference"/>
        </w:rPr>
        <w:footnoteRef/>
      </w:r>
      <w:r>
        <w:t xml:space="preserve"> </w:t>
      </w:r>
      <w:r w:rsidRPr="00B0314E">
        <w:rPr>
          <w:rFonts w:asciiTheme="majorHAnsi" w:hAnsiTheme="majorHAnsi"/>
          <w:sz w:val="20"/>
          <w:szCs w:val="20"/>
          <w:lang w:val="en-ZA"/>
        </w:rPr>
        <w:t>Shaama v Roux 2015 (1) NR 24 (LC) at 21.</w:t>
      </w:r>
      <w:r w:rsidRPr="00B0314E">
        <w:rPr>
          <w:rFonts w:asciiTheme="majorHAnsi" w:hAnsiTheme="majorHAnsi"/>
          <w:lang w:val="en-ZA"/>
        </w:rPr>
        <w:t xml:space="preserve"> </w:t>
      </w:r>
    </w:p>
  </w:footnote>
  <w:footnote w:id="2">
    <w:p w:rsidR="00A84F17" w:rsidRPr="00B0314E" w:rsidRDefault="00A84F17" w:rsidP="00A84F17">
      <w:pPr>
        <w:pStyle w:val="FootnoteText"/>
        <w:rPr>
          <w:rFonts w:asciiTheme="majorHAnsi" w:hAnsiTheme="majorHAnsi"/>
          <w:sz w:val="20"/>
          <w:szCs w:val="20"/>
        </w:rPr>
      </w:pPr>
      <w:r>
        <w:rPr>
          <w:rStyle w:val="FootnoteReference"/>
        </w:rPr>
        <w:footnoteRef/>
      </w:r>
      <w:r>
        <w:t xml:space="preserve"> </w:t>
      </w:r>
      <w:r w:rsidRPr="00B0314E">
        <w:rPr>
          <w:rFonts w:asciiTheme="majorHAnsi" w:hAnsiTheme="majorHAnsi"/>
          <w:sz w:val="20"/>
          <w:szCs w:val="20"/>
        </w:rPr>
        <w:t>(LCA N16/2011) [2011] NAHC 322 (20 October 2011).</w:t>
      </w:r>
    </w:p>
  </w:footnote>
  <w:footnote w:id="3">
    <w:p w:rsidR="003F4846" w:rsidRPr="00B0314E" w:rsidRDefault="003F4846" w:rsidP="003F4846">
      <w:pPr>
        <w:pStyle w:val="FootnoteText"/>
        <w:rPr>
          <w:rFonts w:asciiTheme="majorHAnsi" w:hAnsiTheme="majorHAnsi"/>
          <w:sz w:val="20"/>
          <w:szCs w:val="20"/>
          <w:lang w:val="en-ZA"/>
        </w:rPr>
      </w:pPr>
      <w:r w:rsidRPr="00326180">
        <w:rPr>
          <w:rStyle w:val="FootnoteReference"/>
          <w:sz w:val="20"/>
          <w:szCs w:val="20"/>
        </w:rPr>
        <w:footnoteRef/>
      </w:r>
      <w:r w:rsidRPr="00326180">
        <w:rPr>
          <w:sz w:val="20"/>
          <w:szCs w:val="20"/>
        </w:rPr>
        <w:t xml:space="preserve"> </w:t>
      </w:r>
      <w:r w:rsidRPr="00B0314E">
        <w:rPr>
          <w:rFonts w:asciiTheme="majorHAnsi" w:hAnsiTheme="majorHAnsi"/>
          <w:sz w:val="20"/>
          <w:szCs w:val="20"/>
        </w:rPr>
        <w:t>JR963/2005.</w:t>
      </w:r>
    </w:p>
  </w:footnote>
  <w:footnote w:id="4">
    <w:p w:rsidR="003F4846" w:rsidRPr="00864B4B" w:rsidRDefault="003F4846" w:rsidP="003F4846">
      <w:pPr>
        <w:pStyle w:val="FootnoteText"/>
        <w:rPr>
          <w:sz w:val="20"/>
          <w:szCs w:val="20"/>
        </w:rPr>
      </w:pPr>
      <w:r>
        <w:rPr>
          <w:rStyle w:val="FootnoteReference"/>
        </w:rPr>
        <w:footnoteRef/>
      </w:r>
      <w:r>
        <w:t xml:space="preserve"> </w:t>
      </w:r>
      <w:r w:rsidRPr="00B0314E">
        <w:rPr>
          <w:rFonts w:asciiTheme="majorHAnsi" w:hAnsiTheme="majorHAnsi"/>
          <w:sz w:val="20"/>
          <w:szCs w:val="20"/>
        </w:rPr>
        <w:t>Op cit, paragraph 4.</w:t>
      </w:r>
    </w:p>
  </w:footnote>
  <w:footnote w:id="5">
    <w:p w:rsidR="003F4846" w:rsidRDefault="003F4846" w:rsidP="003F4846">
      <w:pPr>
        <w:pStyle w:val="FootnoteText"/>
      </w:pPr>
      <w:r>
        <w:rPr>
          <w:rStyle w:val="FootnoteReference"/>
        </w:rPr>
        <w:footnoteRef/>
      </w:r>
      <w:r>
        <w:t xml:space="preserve"> </w:t>
      </w:r>
      <w:r w:rsidRPr="00AB1A07">
        <w:rPr>
          <w:rFonts w:ascii="Times New Roman" w:hAnsi="Times New Roman" w:cs="Times New Roman"/>
          <w:i/>
          <w:sz w:val="20"/>
          <w:szCs w:val="20"/>
        </w:rPr>
        <w:t>Hans Merensky Holdings (Pty) Ltd t/a Northern Timbers v Commission for Conciliation, Mediation and Arbitration and 2 Others</w:t>
      </w:r>
      <w:r>
        <w:rPr>
          <w:rFonts w:ascii="Times New Roman" w:hAnsi="Times New Roman" w:cs="Times New Roman"/>
          <w:i/>
        </w:rPr>
        <w:t xml:space="preserve"> </w:t>
      </w:r>
      <w:r>
        <w:rPr>
          <w:sz w:val="20"/>
          <w:szCs w:val="20"/>
        </w:rPr>
        <w:t>JR963/2005, paragraph 7.</w:t>
      </w:r>
    </w:p>
  </w:footnote>
  <w:footnote w:id="6">
    <w:p w:rsidR="00505060" w:rsidRPr="00EF6A6F" w:rsidRDefault="00505060" w:rsidP="00505060">
      <w:pPr>
        <w:pStyle w:val="FootnoteText"/>
        <w:rPr>
          <w:sz w:val="20"/>
          <w:szCs w:val="20"/>
        </w:rPr>
      </w:pPr>
      <w:r>
        <w:rPr>
          <w:rStyle w:val="FootnoteReference"/>
        </w:rPr>
        <w:footnoteRef/>
      </w:r>
      <w:r>
        <w:t xml:space="preserve"> </w:t>
      </w:r>
      <w:r>
        <w:rPr>
          <w:sz w:val="20"/>
          <w:szCs w:val="20"/>
        </w:rPr>
        <w:t>2015 (2) NR 418 (LC).</w:t>
      </w:r>
    </w:p>
  </w:footnote>
  <w:footnote w:id="7">
    <w:p w:rsidR="00C44494" w:rsidRPr="00FC7392" w:rsidRDefault="00C44494">
      <w:pPr>
        <w:pStyle w:val="FootnoteText"/>
        <w:rPr>
          <w:sz w:val="20"/>
          <w:szCs w:val="20"/>
          <w:lang w:val="en-ZA"/>
        </w:rPr>
      </w:pPr>
      <w:r w:rsidRPr="00FC7392">
        <w:rPr>
          <w:rStyle w:val="FootnoteReference"/>
          <w:sz w:val="20"/>
          <w:szCs w:val="20"/>
        </w:rPr>
        <w:footnoteRef/>
      </w:r>
      <w:r w:rsidRPr="00FC7392">
        <w:rPr>
          <w:sz w:val="20"/>
          <w:szCs w:val="20"/>
        </w:rPr>
        <w:t xml:space="preserve"> </w:t>
      </w:r>
      <w:r w:rsidRPr="00FC7392">
        <w:rPr>
          <w:sz w:val="20"/>
          <w:szCs w:val="20"/>
          <w:lang w:val="en-ZA"/>
        </w:rPr>
        <w:t>Op cit note 3 para 35.</w:t>
      </w:r>
    </w:p>
  </w:footnote>
  <w:footnote w:id="8">
    <w:p w:rsidR="00664378" w:rsidRPr="00406030" w:rsidRDefault="00664378" w:rsidP="00664378">
      <w:pPr>
        <w:pStyle w:val="FootnoteText"/>
        <w:rPr>
          <w:sz w:val="20"/>
          <w:szCs w:val="20"/>
        </w:rPr>
      </w:pPr>
      <w:r>
        <w:rPr>
          <w:rStyle w:val="FootnoteReference"/>
        </w:rPr>
        <w:footnoteRef/>
      </w:r>
      <w:r>
        <w:t xml:space="preserve"> </w:t>
      </w:r>
      <w:r>
        <w:rPr>
          <w:sz w:val="20"/>
          <w:szCs w:val="20"/>
        </w:rPr>
        <w:t>(LCA 702/2012) [2013] NALCMD 17 (2013).</w:t>
      </w:r>
    </w:p>
  </w:footnote>
  <w:footnote w:id="9">
    <w:p w:rsidR="00A82970" w:rsidRPr="001B4446" w:rsidRDefault="00A82970" w:rsidP="00A82970">
      <w:pPr>
        <w:pStyle w:val="FootnoteText"/>
        <w:rPr>
          <w:sz w:val="20"/>
          <w:szCs w:val="20"/>
        </w:rPr>
      </w:pPr>
      <w:r>
        <w:rPr>
          <w:rStyle w:val="FootnoteReference"/>
        </w:rPr>
        <w:footnoteRef/>
      </w:r>
      <w:r>
        <w:t xml:space="preserve"> </w:t>
      </w:r>
      <w:r>
        <w:rPr>
          <w:sz w:val="20"/>
          <w:szCs w:val="20"/>
        </w:rPr>
        <w:t>2015 (3) NR 870 (LC).</w:t>
      </w:r>
    </w:p>
  </w:footnote>
  <w:footnote w:id="10">
    <w:p w:rsidR="00A97C72" w:rsidRPr="005D5823" w:rsidRDefault="00A97C72">
      <w:pPr>
        <w:pStyle w:val="FootnoteText"/>
        <w:rPr>
          <w:rFonts w:asciiTheme="majorHAnsi" w:hAnsiTheme="majorHAnsi"/>
          <w:sz w:val="22"/>
          <w:szCs w:val="22"/>
        </w:rPr>
      </w:pPr>
      <w:r>
        <w:rPr>
          <w:rStyle w:val="FootnoteReference"/>
        </w:rPr>
        <w:footnoteRef/>
      </w:r>
      <w:r>
        <w:t xml:space="preserve"> </w:t>
      </w:r>
      <w:r w:rsidRPr="005D5823">
        <w:rPr>
          <w:rFonts w:asciiTheme="majorHAnsi" w:hAnsiTheme="majorHAnsi"/>
          <w:sz w:val="22"/>
          <w:szCs w:val="22"/>
        </w:rPr>
        <w:t>(LC 108-2014A) [2015] NALCMD 24 (04 September 2015).</w:t>
      </w:r>
    </w:p>
  </w:footnote>
  <w:footnote w:id="11">
    <w:p w:rsidR="00FD3014" w:rsidRPr="005D5823" w:rsidRDefault="00FD3014" w:rsidP="00FD3014">
      <w:pPr>
        <w:pStyle w:val="FootnoteText"/>
        <w:rPr>
          <w:rFonts w:asciiTheme="majorHAnsi" w:hAnsiTheme="majorHAnsi"/>
          <w:sz w:val="20"/>
          <w:szCs w:val="20"/>
        </w:rPr>
      </w:pPr>
      <w:r>
        <w:rPr>
          <w:rStyle w:val="FootnoteReference"/>
          <w:rFonts w:ascii="Times New Roman" w:hAnsi="Times New Roman"/>
          <w:sz w:val="20"/>
          <w:szCs w:val="20"/>
        </w:rPr>
        <w:footnoteRef/>
      </w:r>
      <w:r>
        <w:rPr>
          <w:rFonts w:ascii="Times New Roman" w:hAnsi="Times New Roman"/>
          <w:i/>
          <w:iCs/>
          <w:color w:val="1B1919"/>
          <w:sz w:val="20"/>
          <w:szCs w:val="20"/>
        </w:rPr>
        <w:t xml:space="preserve"> </w:t>
      </w:r>
      <w:r w:rsidRPr="005D5823">
        <w:rPr>
          <w:rFonts w:asciiTheme="majorHAnsi" w:hAnsiTheme="majorHAnsi"/>
          <w:color w:val="1B1919"/>
          <w:sz w:val="20"/>
          <w:szCs w:val="20"/>
        </w:rPr>
        <w:t>(LCA 65/2013) [2014] NALCMD 31 (25 July 2014)</w:t>
      </w:r>
      <w:r w:rsidR="00734DB2" w:rsidRPr="005D5823">
        <w:rPr>
          <w:rFonts w:asciiTheme="majorHAnsi" w:hAnsiTheme="majorHAnsi"/>
          <w:color w:val="1B1919"/>
          <w:sz w:val="20"/>
          <w:szCs w:val="20"/>
        </w:rPr>
        <w:t>.</w:t>
      </w:r>
    </w:p>
  </w:footnote>
  <w:footnote w:id="12">
    <w:p w:rsidR="00BB76B0" w:rsidRPr="005D5823" w:rsidRDefault="00BB76B0" w:rsidP="00BB76B0">
      <w:pPr>
        <w:pStyle w:val="FootnoteText"/>
        <w:tabs>
          <w:tab w:val="left" w:pos="360"/>
        </w:tabs>
        <w:spacing w:line="276" w:lineRule="auto"/>
        <w:rPr>
          <w:rFonts w:asciiTheme="majorHAnsi" w:hAnsiTheme="majorHAnsi" w:cs="Arial"/>
          <w:sz w:val="20"/>
          <w:szCs w:val="20"/>
        </w:rPr>
      </w:pPr>
      <w:r w:rsidRPr="00EF30EF">
        <w:rPr>
          <w:rStyle w:val="FootnoteReference"/>
          <w:rFonts w:ascii="Arial" w:hAnsi="Arial" w:cs="Arial"/>
        </w:rPr>
        <w:footnoteRef/>
      </w:r>
      <w:r>
        <w:rPr>
          <w:rFonts w:ascii="Arial" w:hAnsi="Arial" w:cs="Arial"/>
        </w:rPr>
        <w:t xml:space="preserve"> </w:t>
      </w:r>
      <w:r w:rsidRPr="00734DB2">
        <w:rPr>
          <w:rFonts w:ascii="Arial" w:hAnsi="Arial" w:cs="Arial"/>
          <w:sz w:val="20"/>
          <w:szCs w:val="20"/>
        </w:rPr>
        <w:tab/>
      </w:r>
      <w:r w:rsidRPr="005D5823">
        <w:rPr>
          <w:rFonts w:asciiTheme="majorHAnsi" w:hAnsiTheme="majorHAnsi" w:cs="Arial"/>
          <w:sz w:val="20"/>
          <w:szCs w:val="20"/>
        </w:rPr>
        <w:t>Baxter Lawrence, Administrative Law (1984) at 541.</w:t>
      </w:r>
    </w:p>
  </w:footnote>
  <w:footnote w:id="13">
    <w:p w:rsidR="00BB76B0" w:rsidRPr="005D5823" w:rsidRDefault="00BB76B0" w:rsidP="00BB76B0">
      <w:pPr>
        <w:pStyle w:val="FootnoteText"/>
        <w:tabs>
          <w:tab w:val="left" w:pos="360"/>
        </w:tabs>
        <w:spacing w:line="276" w:lineRule="auto"/>
        <w:rPr>
          <w:rFonts w:asciiTheme="majorHAnsi" w:hAnsiTheme="majorHAnsi" w:cs="Arial"/>
          <w:sz w:val="20"/>
          <w:szCs w:val="20"/>
        </w:rPr>
      </w:pPr>
      <w:r w:rsidRPr="005D5823">
        <w:rPr>
          <w:rStyle w:val="FootnoteReference"/>
          <w:rFonts w:asciiTheme="majorHAnsi" w:hAnsiTheme="majorHAnsi" w:cs="Arial"/>
        </w:rPr>
        <w:footnoteRef/>
      </w:r>
      <w:r w:rsidRPr="005D5823">
        <w:rPr>
          <w:rFonts w:asciiTheme="majorHAnsi" w:hAnsiTheme="majorHAnsi" w:cs="Arial"/>
        </w:rPr>
        <w:t xml:space="preserve"> </w:t>
      </w:r>
      <w:r w:rsidRPr="005D5823">
        <w:rPr>
          <w:rFonts w:asciiTheme="majorHAnsi" w:hAnsiTheme="majorHAnsi" w:cs="Arial"/>
        </w:rPr>
        <w:tab/>
      </w:r>
      <w:r w:rsidRPr="005D5823">
        <w:rPr>
          <w:rFonts w:asciiTheme="majorHAnsi" w:hAnsiTheme="majorHAnsi" w:cs="Arial"/>
          <w:sz w:val="20"/>
          <w:szCs w:val="20"/>
        </w:rPr>
        <w:t>2001 NR 107 (SC) at 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14770"/>
      <w:docPartObj>
        <w:docPartGallery w:val="Page Numbers (Top of Page)"/>
        <w:docPartUnique/>
      </w:docPartObj>
    </w:sdtPr>
    <w:sdtEndPr>
      <w:rPr>
        <w:noProof/>
      </w:rPr>
    </w:sdtEndPr>
    <w:sdtContent>
      <w:p w:rsidR="00B67C2E" w:rsidRDefault="00B67C2E">
        <w:pPr>
          <w:pStyle w:val="Header"/>
          <w:jc w:val="right"/>
        </w:pPr>
        <w:r>
          <w:fldChar w:fldCharType="begin"/>
        </w:r>
        <w:r>
          <w:instrText xml:space="preserve"> PAGE   \* MERGEFORMAT </w:instrText>
        </w:r>
        <w:r>
          <w:fldChar w:fldCharType="separate"/>
        </w:r>
        <w:r w:rsidR="00D062FA">
          <w:rPr>
            <w:noProof/>
          </w:rPr>
          <w:t>4</w:t>
        </w:r>
        <w:r>
          <w:rPr>
            <w:noProof/>
          </w:rPr>
          <w:fldChar w:fldCharType="end"/>
        </w:r>
      </w:p>
    </w:sdtContent>
  </w:sdt>
  <w:p w:rsidR="00B67C2E" w:rsidRDefault="00B6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582"/>
    <w:multiLevelType w:val="hybridMultilevel"/>
    <w:tmpl w:val="FEB0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875"/>
    <w:multiLevelType w:val="hybridMultilevel"/>
    <w:tmpl w:val="E528F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456F6"/>
    <w:multiLevelType w:val="hybridMultilevel"/>
    <w:tmpl w:val="E528F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00950"/>
    <w:multiLevelType w:val="hybridMultilevel"/>
    <w:tmpl w:val="0120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28BE"/>
    <w:multiLevelType w:val="hybridMultilevel"/>
    <w:tmpl w:val="6ACC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F56FD"/>
    <w:multiLevelType w:val="hybridMultilevel"/>
    <w:tmpl w:val="BBA0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E49F3"/>
    <w:multiLevelType w:val="hybridMultilevel"/>
    <w:tmpl w:val="7F1CE1DE"/>
    <w:lvl w:ilvl="0" w:tplc="C7ACA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FC18D7"/>
    <w:multiLevelType w:val="hybridMultilevel"/>
    <w:tmpl w:val="DE80849E"/>
    <w:lvl w:ilvl="0" w:tplc="0D4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531634"/>
    <w:multiLevelType w:val="hybridMultilevel"/>
    <w:tmpl w:val="D2CC7228"/>
    <w:lvl w:ilvl="0" w:tplc="635AF8C6">
      <w:start w:val="1"/>
      <w:numFmt w:val="decimal"/>
      <w:lvlText w:val="%1."/>
      <w:lvlJc w:val="left"/>
      <w:pPr>
        <w:ind w:left="1740" w:hanging="360"/>
      </w:pPr>
      <w:rPr>
        <w:rFonts w:hint="default"/>
      </w:rPr>
    </w:lvl>
    <w:lvl w:ilvl="1" w:tplc="635AF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129E0"/>
    <w:multiLevelType w:val="hybridMultilevel"/>
    <w:tmpl w:val="3E187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A30DEE"/>
    <w:multiLevelType w:val="multilevel"/>
    <w:tmpl w:val="30E4F79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5DB6905"/>
    <w:multiLevelType w:val="hybridMultilevel"/>
    <w:tmpl w:val="40FE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D4B8E"/>
    <w:multiLevelType w:val="hybridMultilevel"/>
    <w:tmpl w:val="BBD2F8BC"/>
    <w:lvl w:ilvl="0" w:tplc="D43A41D8">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F2281"/>
    <w:multiLevelType w:val="hybridMultilevel"/>
    <w:tmpl w:val="E29C1F06"/>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15:restartNumberingAfterBreak="0">
    <w:nsid w:val="6ED818F5"/>
    <w:multiLevelType w:val="hybridMultilevel"/>
    <w:tmpl w:val="C43CE4AE"/>
    <w:lvl w:ilvl="0" w:tplc="A36E3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7"/>
  </w:num>
  <w:num w:numId="12">
    <w:abstractNumId w:val="2"/>
  </w:num>
  <w:num w:numId="13">
    <w:abstractNumId w:val="14"/>
  </w:num>
  <w:num w:numId="14">
    <w:abstractNumId w:val="0"/>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8"/>
    <w:rsid w:val="000032E8"/>
    <w:rsid w:val="00004BB7"/>
    <w:rsid w:val="00031EF9"/>
    <w:rsid w:val="000346D6"/>
    <w:rsid w:val="00044035"/>
    <w:rsid w:val="00095399"/>
    <w:rsid w:val="00096250"/>
    <w:rsid w:val="000A50EA"/>
    <w:rsid w:val="000C4147"/>
    <w:rsid w:val="000E544A"/>
    <w:rsid w:val="000E7AC9"/>
    <w:rsid w:val="000F2A51"/>
    <w:rsid w:val="001006B8"/>
    <w:rsid w:val="00101E0D"/>
    <w:rsid w:val="001137B1"/>
    <w:rsid w:val="0012522D"/>
    <w:rsid w:val="001627CE"/>
    <w:rsid w:val="0016286B"/>
    <w:rsid w:val="0017110D"/>
    <w:rsid w:val="001854E1"/>
    <w:rsid w:val="001A0214"/>
    <w:rsid w:val="001B4446"/>
    <w:rsid w:val="001D5BCB"/>
    <w:rsid w:val="001E1305"/>
    <w:rsid w:val="001E2067"/>
    <w:rsid w:val="001F1CC0"/>
    <w:rsid w:val="001F3569"/>
    <w:rsid w:val="001F3D77"/>
    <w:rsid w:val="001F67A5"/>
    <w:rsid w:val="00215474"/>
    <w:rsid w:val="00221747"/>
    <w:rsid w:val="00230BA7"/>
    <w:rsid w:val="00234EB6"/>
    <w:rsid w:val="0023676B"/>
    <w:rsid w:val="00277173"/>
    <w:rsid w:val="00284B6E"/>
    <w:rsid w:val="0028558D"/>
    <w:rsid w:val="00286867"/>
    <w:rsid w:val="00294389"/>
    <w:rsid w:val="00294D2E"/>
    <w:rsid w:val="002B2C4F"/>
    <w:rsid w:val="002B6072"/>
    <w:rsid w:val="002C4C40"/>
    <w:rsid w:val="002C5AE7"/>
    <w:rsid w:val="002C5E6C"/>
    <w:rsid w:val="002F3CB2"/>
    <w:rsid w:val="002F3E55"/>
    <w:rsid w:val="00304546"/>
    <w:rsid w:val="00312F65"/>
    <w:rsid w:val="00326180"/>
    <w:rsid w:val="00330343"/>
    <w:rsid w:val="00330C50"/>
    <w:rsid w:val="00334819"/>
    <w:rsid w:val="00335C57"/>
    <w:rsid w:val="00354835"/>
    <w:rsid w:val="00363A32"/>
    <w:rsid w:val="003860E4"/>
    <w:rsid w:val="00391A2A"/>
    <w:rsid w:val="00393DB9"/>
    <w:rsid w:val="003C6E5F"/>
    <w:rsid w:val="003D0A31"/>
    <w:rsid w:val="003E4A60"/>
    <w:rsid w:val="003E7A8A"/>
    <w:rsid w:val="003F4846"/>
    <w:rsid w:val="00404476"/>
    <w:rsid w:val="00406030"/>
    <w:rsid w:val="004125AB"/>
    <w:rsid w:val="00420F25"/>
    <w:rsid w:val="004271A3"/>
    <w:rsid w:val="004325AE"/>
    <w:rsid w:val="00436F0A"/>
    <w:rsid w:val="0044030D"/>
    <w:rsid w:val="00440A2A"/>
    <w:rsid w:val="004447FF"/>
    <w:rsid w:val="004600AB"/>
    <w:rsid w:val="00482C1F"/>
    <w:rsid w:val="00493898"/>
    <w:rsid w:val="004A6FE3"/>
    <w:rsid w:val="004B088F"/>
    <w:rsid w:val="004C2EFF"/>
    <w:rsid w:val="004D7897"/>
    <w:rsid w:val="004E4F81"/>
    <w:rsid w:val="004F11EF"/>
    <w:rsid w:val="004F27AE"/>
    <w:rsid w:val="004F4614"/>
    <w:rsid w:val="004F5D38"/>
    <w:rsid w:val="00505060"/>
    <w:rsid w:val="0051409C"/>
    <w:rsid w:val="00514E1C"/>
    <w:rsid w:val="005223F8"/>
    <w:rsid w:val="005253EB"/>
    <w:rsid w:val="005271D8"/>
    <w:rsid w:val="00551FC1"/>
    <w:rsid w:val="00565DFE"/>
    <w:rsid w:val="00567772"/>
    <w:rsid w:val="00571A72"/>
    <w:rsid w:val="0057283F"/>
    <w:rsid w:val="0057757F"/>
    <w:rsid w:val="00596198"/>
    <w:rsid w:val="0059723C"/>
    <w:rsid w:val="005A4C13"/>
    <w:rsid w:val="005B2194"/>
    <w:rsid w:val="005B2530"/>
    <w:rsid w:val="005C5BAA"/>
    <w:rsid w:val="005D16E0"/>
    <w:rsid w:val="005D55C3"/>
    <w:rsid w:val="005D5823"/>
    <w:rsid w:val="005E5E06"/>
    <w:rsid w:val="005F2600"/>
    <w:rsid w:val="00600C9E"/>
    <w:rsid w:val="00603086"/>
    <w:rsid w:val="006131B5"/>
    <w:rsid w:val="00634526"/>
    <w:rsid w:val="00641DC3"/>
    <w:rsid w:val="006501EC"/>
    <w:rsid w:val="0066062B"/>
    <w:rsid w:val="00663BA1"/>
    <w:rsid w:val="00664378"/>
    <w:rsid w:val="00675D65"/>
    <w:rsid w:val="00684398"/>
    <w:rsid w:val="0068606D"/>
    <w:rsid w:val="00686491"/>
    <w:rsid w:val="006A2A52"/>
    <w:rsid w:val="006B0D7E"/>
    <w:rsid w:val="006D128A"/>
    <w:rsid w:val="006E1976"/>
    <w:rsid w:val="006F674A"/>
    <w:rsid w:val="007119B8"/>
    <w:rsid w:val="00734DB2"/>
    <w:rsid w:val="007354D6"/>
    <w:rsid w:val="00736FE3"/>
    <w:rsid w:val="00742F1F"/>
    <w:rsid w:val="00753931"/>
    <w:rsid w:val="00766420"/>
    <w:rsid w:val="00780E1B"/>
    <w:rsid w:val="00786907"/>
    <w:rsid w:val="007A2083"/>
    <w:rsid w:val="007B2128"/>
    <w:rsid w:val="007C7EF9"/>
    <w:rsid w:val="007E5E4A"/>
    <w:rsid w:val="007F050C"/>
    <w:rsid w:val="007F06A3"/>
    <w:rsid w:val="00802579"/>
    <w:rsid w:val="0081518B"/>
    <w:rsid w:val="008156B9"/>
    <w:rsid w:val="00821934"/>
    <w:rsid w:val="00822510"/>
    <w:rsid w:val="008344E5"/>
    <w:rsid w:val="008379C7"/>
    <w:rsid w:val="00841D67"/>
    <w:rsid w:val="00844D3F"/>
    <w:rsid w:val="008607C4"/>
    <w:rsid w:val="00864B4B"/>
    <w:rsid w:val="0087350C"/>
    <w:rsid w:val="00891727"/>
    <w:rsid w:val="0089630F"/>
    <w:rsid w:val="008B313D"/>
    <w:rsid w:val="008B5629"/>
    <w:rsid w:val="008D0270"/>
    <w:rsid w:val="008D38C8"/>
    <w:rsid w:val="008E0DA1"/>
    <w:rsid w:val="008E1876"/>
    <w:rsid w:val="008E4F6A"/>
    <w:rsid w:val="009049DF"/>
    <w:rsid w:val="00920785"/>
    <w:rsid w:val="00920AC5"/>
    <w:rsid w:val="00924616"/>
    <w:rsid w:val="00925C9B"/>
    <w:rsid w:val="00934842"/>
    <w:rsid w:val="0093742B"/>
    <w:rsid w:val="009410C3"/>
    <w:rsid w:val="00944DE2"/>
    <w:rsid w:val="0095364E"/>
    <w:rsid w:val="00955340"/>
    <w:rsid w:val="0095541E"/>
    <w:rsid w:val="009605B4"/>
    <w:rsid w:val="00965CFE"/>
    <w:rsid w:val="009765AD"/>
    <w:rsid w:val="0098019A"/>
    <w:rsid w:val="009802F0"/>
    <w:rsid w:val="0098056F"/>
    <w:rsid w:val="00987FF0"/>
    <w:rsid w:val="00990D14"/>
    <w:rsid w:val="009970AE"/>
    <w:rsid w:val="009B104F"/>
    <w:rsid w:val="009C3AE9"/>
    <w:rsid w:val="009F0A75"/>
    <w:rsid w:val="00A0132F"/>
    <w:rsid w:val="00A04D7E"/>
    <w:rsid w:val="00A213BA"/>
    <w:rsid w:val="00A2728B"/>
    <w:rsid w:val="00A35152"/>
    <w:rsid w:val="00A44FD2"/>
    <w:rsid w:val="00A45F8F"/>
    <w:rsid w:val="00A54955"/>
    <w:rsid w:val="00A70EBE"/>
    <w:rsid w:val="00A82970"/>
    <w:rsid w:val="00A84F17"/>
    <w:rsid w:val="00A97C72"/>
    <w:rsid w:val="00AB1A07"/>
    <w:rsid w:val="00AB47DB"/>
    <w:rsid w:val="00AC2541"/>
    <w:rsid w:val="00AC36E4"/>
    <w:rsid w:val="00AE5174"/>
    <w:rsid w:val="00AE6E84"/>
    <w:rsid w:val="00B0314E"/>
    <w:rsid w:val="00B10B1B"/>
    <w:rsid w:val="00B118FC"/>
    <w:rsid w:val="00B16970"/>
    <w:rsid w:val="00B40423"/>
    <w:rsid w:val="00B4694F"/>
    <w:rsid w:val="00B62BB6"/>
    <w:rsid w:val="00B67C2E"/>
    <w:rsid w:val="00B70ECF"/>
    <w:rsid w:val="00B723A3"/>
    <w:rsid w:val="00B747B5"/>
    <w:rsid w:val="00B76A4C"/>
    <w:rsid w:val="00B80891"/>
    <w:rsid w:val="00B96ED4"/>
    <w:rsid w:val="00BA4218"/>
    <w:rsid w:val="00BB2A4C"/>
    <w:rsid w:val="00BB6CD3"/>
    <w:rsid w:val="00BB76B0"/>
    <w:rsid w:val="00BC106C"/>
    <w:rsid w:val="00BD5FD1"/>
    <w:rsid w:val="00BD6A4E"/>
    <w:rsid w:val="00BE623D"/>
    <w:rsid w:val="00BE6606"/>
    <w:rsid w:val="00BF0D83"/>
    <w:rsid w:val="00C02749"/>
    <w:rsid w:val="00C052FC"/>
    <w:rsid w:val="00C0687A"/>
    <w:rsid w:val="00C17CD8"/>
    <w:rsid w:val="00C44494"/>
    <w:rsid w:val="00C45ADE"/>
    <w:rsid w:val="00C57005"/>
    <w:rsid w:val="00C57203"/>
    <w:rsid w:val="00C63525"/>
    <w:rsid w:val="00C663C6"/>
    <w:rsid w:val="00C66F18"/>
    <w:rsid w:val="00C87BE2"/>
    <w:rsid w:val="00C958B9"/>
    <w:rsid w:val="00C96D0F"/>
    <w:rsid w:val="00CA013C"/>
    <w:rsid w:val="00CB6F08"/>
    <w:rsid w:val="00CC4410"/>
    <w:rsid w:val="00CC45EA"/>
    <w:rsid w:val="00CD036F"/>
    <w:rsid w:val="00CE092B"/>
    <w:rsid w:val="00CF767E"/>
    <w:rsid w:val="00D062FA"/>
    <w:rsid w:val="00D07804"/>
    <w:rsid w:val="00D17A71"/>
    <w:rsid w:val="00D20881"/>
    <w:rsid w:val="00D236F1"/>
    <w:rsid w:val="00D23800"/>
    <w:rsid w:val="00D37DA2"/>
    <w:rsid w:val="00D40768"/>
    <w:rsid w:val="00D52151"/>
    <w:rsid w:val="00D55D4D"/>
    <w:rsid w:val="00D671C7"/>
    <w:rsid w:val="00D77E0F"/>
    <w:rsid w:val="00D80D08"/>
    <w:rsid w:val="00D94FE7"/>
    <w:rsid w:val="00DA09B6"/>
    <w:rsid w:val="00DA1B93"/>
    <w:rsid w:val="00DB14C1"/>
    <w:rsid w:val="00DD02AC"/>
    <w:rsid w:val="00DD4B7E"/>
    <w:rsid w:val="00DD6C38"/>
    <w:rsid w:val="00E0310E"/>
    <w:rsid w:val="00E05001"/>
    <w:rsid w:val="00E16C74"/>
    <w:rsid w:val="00E2531A"/>
    <w:rsid w:val="00E25F1F"/>
    <w:rsid w:val="00E40586"/>
    <w:rsid w:val="00E7052E"/>
    <w:rsid w:val="00E735A9"/>
    <w:rsid w:val="00E945B4"/>
    <w:rsid w:val="00E94DDF"/>
    <w:rsid w:val="00EA78DC"/>
    <w:rsid w:val="00EB6649"/>
    <w:rsid w:val="00EB7145"/>
    <w:rsid w:val="00ED3FA9"/>
    <w:rsid w:val="00EE41B0"/>
    <w:rsid w:val="00EF6A6F"/>
    <w:rsid w:val="00F254ED"/>
    <w:rsid w:val="00F53252"/>
    <w:rsid w:val="00F54EC0"/>
    <w:rsid w:val="00F648C9"/>
    <w:rsid w:val="00F67070"/>
    <w:rsid w:val="00F826B2"/>
    <w:rsid w:val="00FB0D48"/>
    <w:rsid w:val="00FB3B9A"/>
    <w:rsid w:val="00FB658E"/>
    <w:rsid w:val="00FC7392"/>
    <w:rsid w:val="00FD3014"/>
    <w:rsid w:val="00FD30FA"/>
    <w:rsid w:val="00FD5236"/>
    <w:rsid w:val="00FF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1FF7FC9-0F14-4D9F-B21B-4A32D33B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4B4B"/>
  </w:style>
  <w:style w:type="character" w:customStyle="1" w:styleId="FootnoteTextChar">
    <w:name w:val="Footnote Text Char"/>
    <w:basedOn w:val="DefaultParagraphFont"/>
    <w:link w:val="FootnoteText"/>
    <w:uiPriority w:val="99"/>
    <w:rsid w:val="00864B4B"/>
  </w:style>
  <w:style w:type="character" w:styleId="FootnoteReference">
    <w:name w:val="footnote reference"/>
    <w:basedOn w:val="DefaultParagraphFont"/>
    <w:uiPriority w:val="99"/>
    <w:unhideWhenUsed/>
    <w:rsid w:val="00864B4B"/>
    <w:rPr>
      <w:vertAlign w:val="superscript"/>
    </w:rPr>
  </w:style>
  <w:style w:type="paragraph" w:styleId="ListParagraph">
    <w:name w:val="List Paragraph"/>
    <w:basedOn w:val="Normal"/>
    <w:uiPriority w:val="34"/>
    <w:qFormat/>
    <w:rsid w:val="00B96ED4"/>
    <w:pPr>
      <w:ind w:left="720"/>
      <w:contextualSpacing/>
    </w:pPr>
  </w:style>
  <w:style w:type="paragraph" w:styleId="NormalWeb">
    <w:name w:val="Normal (Web)"/>
    <w:basedOn w:val="Normal"/>
    <w:uiPriority w:val="99"/>
    <w:semiHidden/>
    <w:unhideWhenUsed/>
    <w:rsid w:val="006501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35C57"/>
    <w:rPr>
      <w:rFonts w:ascii="Tahoma" w:hAnsi="Tahoma" w:cs="Tahoma"/>
      <w:sz w:val="16"/>
      <w:szCs w:val="16"/>
    </w:rPr>
  </w:style>
  <w:style w:type="character" w:customStyle="1" w:styleId="BalloonTextChar">
    <w:name w:val="Balloon Text Char"/>
    <w:basedOn w:val="DefaultParagraphFont"/>
    <w:link w:val="BalloonText"/>
    <w:uiPriority w:val="99"/>
    <w:semiHidden/>
    <w:rsid w:val="00335C57"/>
    <w:rPr>
      <w:rFonts w:ascii="Tahoma" w:hAnsi="Tahoma" w:cs="Tahoma"/>
      <w:sz w:val="16"/>
      <w:szCs w:val="16"/>
    </w:rPr>
  </w:style>
  <w:style w:type="paragraph" w:styleId="Header">
    <w:name w:val="header"/>
    <w:basedOn w:val="Normal"/>
    <w:link w:val="HeaderChar"/>
    <w:uiPriority w:val="99"/>
    <w:unhideWhenUsed/>
    <w:rsid w:val="009B104F"/>
    <w:pPr>
      <w:tabs>
        <w:tab w:val="center" w:pos="4513"/>
        <w:tab w:val="right" w:pos="9026"/>
      </w:tabs>
    </w:pPr>
  </w:style>
  <w:style w:type="character" w:customStyle="1" w:styleId="HeaderChar">
    <w:name w:val="Header Char"/>
    <w:basedOn w:val="DefaultParagraphFont"/>
    <w:link w:val="Header"/>
    <w:uiPriority w:val="99"/>
    <w:rsid w:val="009B104F"/>
  </w:style>
  <w:style w:type="paragraph" w:styleId="Footer">
    <w:name w:val="footer"/>
    <w:basedOn w:val="Normal"/>
    <w:link w:val="FooterChar"/>
    <w:uiPriority w:val="99"/>
    <w:unhideWhenUsed/>
    <w:rsid w:val="009B104F"/>
    <w:pPr>
      <w:tabs>
        <w:tab w:val="center" w:pos="4513"/>
        <w:tab w:val="right" w:pos="9026"/>
      </w:tabs>
    </w:pPr>
  </w:style>
  <w:style w:type="character" w:customStyle="1" w:styleId="FooterChar">
    <w:name w:val="Footer Char"/>
    <w:basedOn w:val="DefaultParagraphFont"/>
    <w:link w:val="Footer"/>
    <w:uiPriority w:val="99"/>
    <w:rsid w:val="009B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60">
      <w:bodyDiv w:val="1"/>
      <w:marLeft w:val="0"/>
      <w:marRight w:val="0"/>
      <w:marTop w:val="0"/>
      <w:marBottom w:val="0"/>
      <w:divBdr>
        <w:top w:val="none" w:sz="0" w:space="0" w:color="auto"/>
        <w:left w:val="none" w:sz="0" w:space="0" w:color="auto"/>
        <w:bottom w:val="none" w:sz="0" w:space="0" w:color="auto"/>
        <w:right w:val="none" w:sz="0" w:space="0" w:color="auto"/>
      </w:divBdr>
      <w:divsChild>
        <w:div w:id="1451893826">
          <w:marLeft w:val="0"/>
          <w:marRight w:val="0"/>
          <w:marTop w:val="0"/>
          <w:marBottom w:val="0"/>
          <w:divBdr>
            <w:top w:val="none" w:sz="0" w:space="0" w:color="auto"/>
            <w:left w:val="none" w:sz="0" w:space="0" w:color="auto"/>
            <w:bottom w:val="none" w:sz="0" w:space="0" w:color="auto"/>
            <w:right w:val="none" w:sz="0" w:space="0" w:color="auto"/>
          </w:divBdr>
          <w:divsChild>
            <w:div w:id="520045211">
              <w:marLeft w:val="0"/>
              <w:marRight w:val="0"/>
              <w:marTop w:val="0"/>
              <w:marBottom w:val="0"/>
              <w:divBdr>
                <w:top w:val="none" w:sz="0" w:space="0" w:color="auto"/>
                <w:left w:val="none" w:sz="0" w:space="0" w:color="auto"/>
                <w:bottom w:val="none" w:sz="0" w:space="0" w:color="auto"/>
                <w:right w:val="none" w:sz="0" w:space="0" w:color="auto"/>
              </w:divBdr>
              <w:divsChild>
                <w:div w:id="2019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2016-10-06T18:30:00+00:00</Judgment_x0020_Date>
    <Year xmlns="aec0a7e9-5f5c-4ba9-87b2-85cfc8a38b86">2016</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6A47-8A2D-4CFD-BA87-F43600B1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93661-356F-431F-94C3-3EA841020D48}">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669FD142-E68B-4412-94CF-F7BD3B430B4B}">
  <ds:schemaRefs>
    <ds:schemaRef ds:uri="http://schemas.microsoft.com/sharepoint/v3/contenttype/forms"/>
  </ds:schemaRefs>
</ds:datastoreItem>
</file>

<file path=customXml/itemProps4.xml><?xml version="1.0" encoding="utf-8"?>
<ds:datastoreItem xmlns:ds="http://schemas.openxmlformats.org/officeDocument/2006/customXml" ds:itemID="{920AEC05-1FF5-4008-9E71-BAF41864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6921</Words>
  <Characters>39454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Kauna Akwaake</dc:creator>
  <cp:lastModifiedBy>Admin</cp:lastModifiedBy>
  <cp:revision>3</cp:revision>
  <cp:lastPrinted>2017-04-04T07:53:00Z</cp:lastPrinted>
  <dcterms:created xsi:type="dcterms:W3CDTF">2016-10-17T07:08:00Z</dcterms:created>
  <dcterms:modified xsi:type="dcterms:W3CDTF">2017-04-04T07:53:00Z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