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D74D3" w14:textId="1B413A0B" w:rsidR="00853524" w:rsidRPr="00E00086" w:rsidRDefault="00853524" w:rsidP="006426B1">
      <w:pPr>
        <w:jc w:val="center"/>
        <w:rPr>
          <w:b/>
          <w:lang w:val="en-GB"/>
        </w:rPr>
      </w:pPr>
      <w:r w:rsidRPr="00E00086">
        <w:rPr>
          <w:b/>
          <w:lang w:val="en-GB"/>
        </w:rPr>
        <w:t>REPUBLIC OF NAMIBIA</w:t>
      </w:r>
    </w:p>
    <w:p w14:paraId="4D884DEA" w14:textId="05633A06" w:rsidR="00853524" w:rsidRPr="00E00086" w:rsidRDefault="00853524" w:rsidP="006426B1">
      <w:pPr>
        <w:jc w:val="center"/>
        <w:rPr>
          <w:b/>
          <w:sz w:val="32"/>
          <w:szCs w:val="32"/>
          <w:lang w:val="en-GB"/>
        </w:rPr>
      </w:pPr>
      <w:r w:rsidRPr="00E00086">
        <w:rPr>
          <w:b/>
          <w:noProof/>
          <w:sz w:val="32"/>
          <w:szCs w:val="32"/>
          <w:lang w:val="en-US"/>
        </w:rPr>
        <w:drawing>
          <wp:inline distT="0" distB="0" distL="0" distR="0" wp14:anchorId="35A986BC" wp14:editId="43A2A18E">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r w:rsidR="00920F28" w:rsidRPr="00E00086">
        <w:rPr>
          <w:b/>
          <w:sz w:val="32"/>
          <w:szCs w:val="32"/>
          <w:lang w:val="en-GB"/>
        </w:rPr>
        <w:t xml:space="preserve"> </w:t>
      </w:r>
    </w:p>
    <w:p w14:paraId="0121DDEF" w14:textId="3C6D5781" w:rsidR="00853524" w:rsidRPr="00E00086" w:rsidRDefault="00F02BA1" w:rsidP="006426B1">
      <w:pPr>
        <w:jc w:val="center"/>
        <w:rPr>
          <w:bCs/>
          <w:lang w:val="en-GB"/>
        </w:rPr>
      </w:pPr>
      <w:r>
        <w:rPr>
          <w:b/>
          <w:lang w:val="en-GB"/>
        </w:rPr>
        <w:t>LABOUR</w:t>
      </w:r>
      <w:r w:rsidR="00853524" w:rsidRPr="00E00086">
        <w:rPr>
          <w:b/>
          <w:lang w:val="en-GB"/>
        </w:rPr>
        <w:t xml:space="preserve"> COURT OF NAMIBIA MAIN DIVISION, WINDHOEK</w:t>
      </w:r>
    </w:p>
    <w:p w14:paraId="0B4BB7B9" w14:textId="36649F42" w:rsidR="00853524" w:rsidRPr="00E00086" w:rsidRDefault="00140A9D" w:rsidP="006426B1">
      <w:pPr>
        <w:jc w:val="center"/>
        <w:rPr>
          <w:b/>
          <w:lang w:val="en-GB"/>
        </w:rPr>
      </w:pPr>
      <w:r w:rsidRPr="00E00086">
        <w:rPr>
          <w:b/>
          <w:lang w:val="en-GB"/>
        </w:rPr>
        <w:t>JUDGMENT</w:t>
      </w:r>
    </w:p>
    <w:p w14:paraId="4AB5AAC2" w14:textId="77777777" w:rsidR="00140A9D" w:rsidRPr="00E00086" w:rsidRDefault="00140A9D" w:rsidP="006426B1">
      <w:pPr>
        <w:jc w:val="center"/>
        <w:rPr>
          <w:b/>
          <w:lang w:val="en-GB"/>
        </w:rPr>
      </w:pPr>
    </w:p>
    <w:p w14:paraId="656267F7" w14:textId="15019D26" w:rsidR="00853524" w:rsidRPr="00E00086" w:rsidRDefault="00853524" w:rsidP="006426B1">
      <w:pPr>
        <w:jc w:val="right"/>
        <w:rPr>
          <w:b/>
          <w:bCs/>
          <w:lang w:val="en-GB"/>
        </w:rPr>
      </w:pPr>
      <w:r w:rsidRPr="00E00086">
        <w:rPr>
          <w:lang w:val="en-GB"/>
        </w:rPr>
        <w:t xml:space="preserve">             </w:t>
      </w:r>
      <w:r w:rsidR="00C361EF" w:rsidRPr="00E00086">
        <w:rPr>
          <w:lang w:val="en-GB"/>
        </w:rPr>
        <w:tab/>
      </w:r>
      <w:r w:rsidR="00C361EF" w:rsidRPr="00E00086">
        <w:rPr>
          <w:lang w:val="en-GB"/>
        </w:rPr>
        <w:tab/>
      </w:r>
      <w:r w:rsidR="00C361EF" w:rsidRPr="00E00086">
        <w:rPr>
          <w:lang w:val="en-GB"/>
        </w:rPr>
        <w:tab/>
        <w:t xml:space="preserve">       </w:t>
      </w:r>
      <w:r w:rsidRPr="00E00086">
        <w:rPr>
          <w:lang w:val="en-GB"/>
        </w:rPr>
        <w:t>Case no:</w:t>
      </w:r>
      <w:r w:rsidRPr="00E00086">
        <w:rPr>
          <w:lang w:val="en-GB"/>
        </w:rPr>
        <w:tab/>
      </w:r>
      <w:r w:rsidR="00C361EF" w:rsidRPr="00E00086">
        <w:rPr>
          <w:b/>
          <w:bCs/>
          <w:lang w:val="en-GB"/>
        </w:rPr>
        <w:t>HC-MD-LAB-MOT-GEN-2023/00050</w:t>
      </w:r>
    </w:p>
    <w:p w14:paraId="0B3B6951" w14:textId="77777777" w:rsidR="00853524" w:rsidRPr="00E00086" w:rsidRDefault="00853524" w:rsidP="006426B1">
      <w:pPr>
        <w:rPr>
          <w:lang w:val="en-GB"/>
        </w:rPr>
      </w:pPr>
    </w:p>
    <w:p w14:paraId="01440233" w14:textId="77777777" w:rsidR="00853524" w:rsidRPr="00E00086" w:rsidRDefault="00853524" w:rsidP="006426B1">
      <w:pPr>
        <w:rPr>
          <w:lang w:val="en-GB"/>
        </w:rPr>
      </w:pPr>
      <w:r w:rsidRPr="00E00086">
        <w:rPr>
          <w:lang w:val="en-GB"/>
        </w:rPr>
        <w:t>In the matter between:</w:t>
      </w:r>
    </w:p>
    <w:p w14:paraId="291513BA" w14:textId="77777777" w:rsidR="00853524" w:rsidRPr="00E00086" w:rsidRDefault="00853524" w:rsidP="006426B1">
      <w:pPr>
        <w:rPr>
          <w:lang w:val="en-GB"/>
        </w:rPr>
      </w:pPr>
    </w:p>
    <w:p w14:paraId="28A29F10" w14:textId="12DEF43C" w:rsidR="00853524" w:rsidRPr="00E00086" w:rsidRDefault="00C361EF" w:rsidP="006426B1">
      <w:pPr>
        <w:pStyle w:val="Heading4"/>
        <w:numPr>
          <w:ilvl w:val="0"/>
          <w:numId w:val="0"/>
        </w:numPr>
        <w:rPr>
          <w:b/>
          <w:lang w:val="en-GB"/>
        </w:rPr>
      </w:pPr>
      <w:r w:rsidRPr="00E00086">
        <w:rPr>
          <w:b/>
          <w:lang w:val="en-GB"/>
        </w:rPr>
        <w:t>NAMIBIA</w:t>
      </w:r>
      <w:r w:rsidR="008F54E4" w:rsidRPr="00E00086">
        <w:rPr>
          <w:b/>
          <w:lang w:val="en-GB"/>
        </w:rPr>
        <w:t xml:space="preserve">N STANDARDS INSTITUTION </w:t>
      </w:r>
      <w:r w:rsidR="008F54E4" w:rsidRPr="00E00086">
        <w:rPr>
          <w:b/>
          <w:lang w:val="en-GB"/>
        </w:rPr>
        <w:tab/>
      </w:r>
      <w:r w:rsidRPr="00E00086">
        <w:rPr>
          <w:b/>
          <w:lang w:val="en-GB"/>
        </w:rPr>
        <w:tab/>
      </w:r>
      <w:r w:rsidRPr="00E00086">
        <w:rPr>
          <w:b/>
          <w:lang w:val="en-GB"/>
        </w:rPr>
        <w:tab/>
        <w:t xml:space="preserve">       APPLICANT</w:t>
      </w:r>
    </w:p>
    <w:p w14:paraId="43684F86" w14:textId="77777777" w:rsidR="0062308D" w:rsidRDefault="0062308D" w:rsidP="006426B1">
      <w:pPr>
        <w:rPr>
          <w:lang w:val="en-GB"/>
        </w:rPr>
      </w:pPr>
    </w:p>
    <w:p w14:paraId="35124039" w14:textId="77777777" w:rsidR="00853524" w:rsidRPr="00E00086" w:rsidRDefault="00853524" w:rsidP="006426B1">
      <w:pPr>
        <w:rPr>
          <w:lang w:val="en-GB"/>
        </w:rPr>
      </w:pPr>
      <w:r w:rsidRPr="00E00086">
        <w:rPr>
          <w:lang w:val="en-GB"/>
        </w:rPr>
        <w:t>and</w:t>
      </w:r>
    </w:p>
    <w:p w14:paraId="13BF9E00" w14:textId="77777777" w:rsidR="0062308D" w:rsidRDefault="0062308D" w:rsidP="006426B1">
      <w:pPr>
        <w:rPr>
          <w:b/>
          <w:color w:val="000000" w:themeColor="text1"/>
          <w:lang w:val="en-GB"/>
        </w:rPr>
      </w:pPr>
    </w:p>
    <w:p w14:paraId="72A36D59" w14:textId="4C59BF26" w:rsidR="008B1836" w:rsidRPr="00E00086" w:rsidRDefault="00C361EF" w:rsidP="006426B1">
      <w:pPr>
        <w:rPr>
          <w:b/>
          <w:color w:val="000000" w:themeColor="text1"/>
          <w:lang w:val="en-GB"/>
        </w:rPr>
      </w:pPr>
      <w:r w:rsidRPr="00E00086">
        <w:rPr>
          <w:b/>
          <w:color w:val="000000" w:themeColor="text1"/>
          <w:lang w:val="en-GB"/>
        </w:rPr>
        <w:t>GETRUDE HAUKONGO</w:t>
      </w:r>
      <w:r w:rsidRPr="00E00086">
        <w:rPr>
          <w:b/>
          <w:color w:val="000000" w:themeColor="text1"/>
          <w:lang w:val="en-GB"/>
        </w:rPr>
        <w:tab/>
      </w:r>
      <w:r w:rsidRPr="00E00086">
        <w:rPr>
          <w:b/>
          <w:color w:val="000000" w:themeColor="text1"/>
          <w:lang w:val="en-GB"/>
        </w:rPr>
        <w:tab/>
      </w:r>
      <w:r w:rsidRPr="00E00086">
        <w:rPr>
          <w:b/>
          <w:color w:val="000000" w:themeColor="text1"/>
          <w:lang w:val="en-GB"/>
        </w:rPr>
        <w:tab/>
      </w:r>
      <w:r w:rsidRPr="00E00086">
        <w:rPr>
          <w:b/>
          <w:color w:val="000000" w:themeColor="text1"/>
          <w:lang w:val="en-GB"/>
        </w:rPr>
        <w:tab/>
      </w:r>
      <w:proofErr w:type="gramStart"/>
      <w:r w:rsidRPr="00E00086">
        <w:rPr>
          <w:b/>
          <w:color w:val="000000" w:themeColor="text1"/>
          <w:lang w:val="en-GB"/>
        </w:rPr>
        <w:tab/>
        <w:t xml:space="preserve">  FIRST</w:t>
      </w:r>
      <w:proofErr w:type="gramEnd"/>
      <w:r w:rsidRPr="00E00086">
        <w:rPr>
          <w:b/>
          <w:color w:val="000000" w:themeColor="text1"/>
          <w:lang w:val="en-GB"/>
        </w:rPr>
        <w:t xml:space="preserve"> RESPONDENT</w:t>
      </w:r>
    </w:p>
    <w:p w14:paraId="46A1836E" w14:textId="254F9074" w:rsidR="00C361EF" w:rsidRPr="00E00086" w:rsidRDefault="00C361EF" w:rsidP="006426B1">
      <w:pPr>
        <w:rPr>
          <w:b/>
          <w:color w:val="000000" w:themeColor="text1"/>
          <w:lang w:val="en-GB"/>
        </w:rPr>
      </w:pPr>
      <w:r w:rsidRPr="00E00086">
        <w:rPr>
          <w:b/>
          <w:color w:val="000000" w:themeColor="text1"/>
          <w:lang w:val="en-GB"/>
        </w:rPr>
        <w:t>NDATEELA HAMUKWAYA</w:t>
      </w:r>
      <w:r w:rsidRPr="00E00086">
        <w:rPr>
          <w:b/>
          <w:color w:val="000000" w:themeColor="text1"/>
          <w:lang w:val="en-GB"/>
        </w:rPr>
        <w:tab/>
      </w:r>
      <w:r w:rsidRPr="00E00086">
        <w:rPr>
          <w:b/>
          <w:color w:val="000000" w:themeColor="text1"/>
          <w:lang w:val="en-GB"/>
        </w:rPr>
        <w:tab/>
      </w:r>
      <w:r w:rsidRPr="00E00086">
        <w:rPr>
          <w:b/>
          <w:color w:val="000000" w:themeColor="text1"/>
          <w:lang w:val="en-GB"/>
        </w:rPr>
        <w:tab/>
        <w:t xml:space="preserve">         SECOND RESPONDENT</w:t>
      </w:r>
    </w:p>
    <w:p w14:paraId="731DF658" w14:textId="462A0D5C" w:rsidR="00C361EF" w:rsidRPr="00E00086" w:rsidRDefault="00C361EF" w:rsidP="006426B1">
      <w:pPr>
        <w:rPr>
          <w:b/>
          <w:color w:val="000000" w:themeColor="text1"/>
          <w:lang w:val="en-GB"/>
        </w:rPr>
      </w:pPr>
      <w:r w:rsidRPr="00E00086">
        <w:rPr>
          <w:b/>
          <w:color w:val="000000" w:themeColor="text1"/>
          <w:lang w:val="en-GB"/>
        </w:rPr>
        <w:t>THE OFFICE OF THE LABOUR COMMISSIONER</w:t>
      </w:r>
      <w:proofErr w:type="gramStart"/>
      <w:r w:rsidRPr="00E00086">
        <w:rPr>
          <w:b/>
          <w:color w:val="000000" w:themeColor="text1"/>
          <w:lang w:val="en-GB"/>
        </w:rPr>
        <w:tab/>
        <w:t xml:space="preserve">  THIRD</w:t>
      </w:r>
      <w:proofErr w:type="gramEnd"/>
      <w:r w:rsidRPr="00E00086">
        <w:rPr>
          <w:b/>
          <w:color w:val="000000" w:themeColor="text1"/>
          <w:lang w:val="en-GB"/>
        </w:rPr>
        <w:t xml:space="preserve"> RESPONDENT</w:t>
      </w:r>
    </w:p>
    <w:p w14:paraId="11C06559" w14:textId="4061A474" w:rsidR="00853524" w:rsidRPr="00E00086" w:rsidRDefault="00853524" w:rsidP="006426B1">
      <w:pPr>
        <w:rPr>
          <w:b/>
          <w:u w:val="single"/>
          <w:lang w:val="en-GB"/>
        </w:rPr>
      </w:pPr>
    </w:p>
    <w:p w14:paraId="7CEECD21" w14:textId="77777777" w:rsidR="006426B1" w:rsidRPr="00E00086" w:rsidRDefault="006426B1" w:rsidP="006426B1">
      <w:pPr>
        <w:rPr>
          <w:b/>
          <w:u w:val="single"/>
          <w:lang w:val="en-GB"/>
        </w:rPr>
      </w:pPr>
    </w:p>
    <w:p w14:paraId="1CFCD256" w14:textId="139FF0BB" w:rsidR="00853524" w:rsidRPr="00E00086" w:rsidRDefault="00853524" w:rsidP="006426B1">
      <w:pPr>
        <w:rPr>
          <w:i/>
          <w:iCs/>
          <w:color w:val="000000" w:themeColor="text1"/>
          <w:lang w:val="en-GB"/>
        </w:rPr>
      </w:pPr>
      <w:r w:rsidRPr="00E00086">
        <w:rPr>
          <w:b/>
          <w:lang w:val="en-GB"/>
        </w:rPr>
        <w:t>Neutral citation</w:t>
      </w:r>
      <w:r w:rsidR="001076B6" w:rsidRPr="00E00086">
        <w:rPr>
          <w:b/>
          <w:lang w:val="en-GB"/>
        </w:rPr>
        <w:t>:</w:t>
      </w:r>
      <w:r w:rsidRPr="00E00086">
        <w:rPr>
          <w:b/>
          <w:lang w:val="en-GB"/>
        </w:rPr>
        <w:tab/>
      </w:r>
      <w:r w:rsidR="00C361EF" w:rsidRPr="00E00086">
        <w:rPr>
          <w:i/>
          <w:iCs/>
          <w:color w:val="000000" w:themeColor="text1"/>
          <w:lang w:val="en-GB"/>
        </w:rPr>
        <w:t>Namibia</w:t>
      </w:r>
      <w:r w:rsidR="008F54E4" w:rsidRPr="00E00086">
        <w:rPr>
          <w:i/>
          <w:iCs/>
          <w:color w:val="000000" w:themeColor="text1"/>
          <w:lang w:val="en-GB"/>
        </w:rPr>
        <w:t>n</w:t>
      </w:r>
      <w:r w:rsidR="00C361EF" w:rsidRPr="00E00086">
        <w:rPr>
          <w:i/>
          <w:iCs/>
          <w:color w:val="000000" w:themeColor="text1"/>
          <w:lang w:val="en-GB"/>
        </w:rPr>
        <w:t xml:space="preserve"> Standards Institution</w:t>
      </w:r>
      <w:r w:rsidR="00210D9A" w:rsidRPr="00E00086">
        <w:rPr>
          <w:i/>
          <w:iCs/>
          <w:color w:val="000000" w:themeColor="text1"/>
          <w:lang w:val="en-GB"/>
        </w:rPr>
        <w:t xml:space="preserve"> v </w:t>
      </w:r>
      <w:proofErr w:type="spellStart"/>
      <w:r w:rsidR="00C361EF" w:rsidRPr="00E00086">
        <w:rPr>
          <w:i/>
          <w:iCs/>
          <w:color w:val="000000" w:themeColor="text1"/>
          <w:lang w:val="en-GB"/>
        </w:rPr>
        <w:t>Haukongo</w:t>
      </w:r>
      <w:proofErr w:type="spellEnd"/>
      <w:r w:rsidR="00210D9A" w:rsidRPr="00E00086">
        <w:rPr>
          <w:i/>
          <w:iCs/>
          <w:color w:val="000000" w:themeColor="text1"/>
          <w:lang w:val="en-GB"/>
        </w:rPr>
        <w:t xml:space="preserve"> </w:t>
      </w:r>
      <w:r w:rsidR="007935D2" w:rsidRPr="00E00086">
        <w:rPr>
          <w:color w:val="000000" w:themeColor="text1"/>
          <w:lang w:val="en-GB"/>
        </w:rPr>
        <w:t>(</w:t>
      </w:r>
      <w:r w:rsidR="008B1836" w:rsidRPr="00E00086">
        <w:rPr>
          <w:color w:val="000000" w:themeColor="text1"/>
          <w:lang w:val="en-GB"/>
        </w:rPr>
        <w:t>HC-MD-</w:t>
      </w:r>
      <w:r w:rsidR="00C361EF" w:rsidRPr="00E00086">
        <w:rPr>
          <w:color w:val="000000" w:themeColor="text1"/>
          <w:lang w:val="en-GB"/>
        </w:rPr>
        <w:t>LAB-</w:t>
      </w:r>
      <w:r w:rsidR="0062308D">
        <w:rPr>
          <w:color w:val="000000" w:themeColor="text1"/>
          <w:lang w:val="en-GB"/>
        </w:rPr>
        <w:tab/>
      </w:r>
      <w:r w:rsidR="0062308D">
        <w:rPr>
          <w:color w:val="000000" w:themeColor="text1"/>
          <w:lang w:val="en-GB"/>
        </w:rPr>
        <w:tab/>
      </w:r>
      <w:r w:rsidR="0062308D">
        <w:rPr>
          <w:color w:val="000000" w:themeColor="text1"/>
          <w:lang w:val="en-GB"/>
        </w:rPr>
        <w:tab/>
      </w:r>
      <w:r w:rsidR="00C361EF" w:rsidRPr="00E00086">
        <w:rPr>
          <w:color w:val="000000" w:themeColor="text1"/>
          <w:lang w:val="en-GB"/>
        </w:rPr>
        <w:t>MOT-GEN-2023/00050</w:t>
      </w:r>
      <w:r w:rsidR="007935D2" w:rsidRPr="00E00086">
        <w:rPr>
          <w:color w:val="000000" w:themeColor="text1"/>
          <w:lang w:val="en-GB"/>
        </w:rPr>
        <w:t xml:space="preserve">) </w:t>
      </w:r>
      <w:r w:rsidR="006539B7" w:rsidRPr="00E00086">
        <w:rPr>
          <w:color w:val="000000" w:themeColor="text1"/>
          <w:lang w:val="en-GB"/>
        </w:rPr>
        <w:t>[</w:t>
      </w:r>
      <w:r w:rsidR="00382515" w:rsidRPr="00E00086">
        <w:rPr>
          <w:color w:val="000000" w:themeColor="text1"/>
          <w:lang w:val="en-GB"/>
        </w:rPr>
        <w:t>202</w:t>
      </w:r>
      <w:r w:rsidR="00210D9A" w:rsidRPr="00E00086">
        <w:rPr>
          <w:color w:val="000000" w:themeColor="text1"/>
          <w:lang w:val="en-GB"/>
        </w:rPr>
        <w:t>3</w:t>
      </w:r>
      <w:r w:rsidR="00C361EF" w:rsidRPr="00E00086">
        <w:rPr>
          <w:color w:val="000000" w:themeColor="text1"/>
          <w:lang w:val="en-GB"/>
        </w:rPr>
        <w:t>] NAL</w:t>
      </w:r>
      <w:r w:rsidR="006539B7" w:rsidRPr="00E00086">
        <w:rPr>
          <w:color w:val="000000" w:themeColor="text1"/>
          <w:lang w:val="en-GB"/>
        </w:rPr>
        <w:t xml:space="preserve">CMD </w:t>
      </w:r>
      <w:r w:rsidR="00A07041" w:rsidRPr="00A07041">
        <w:rPr>
          <w:lang w:val="en-GB"/>
        </w:rPr>
        <w:t>17</w:t>
      </w:r>
      <w:r w:rsidR="006539B7" w:rsidRPr="00E00086">
        <w:rPr>
          <w:color w:val="000000" w:themeColor="text1"/>
          <w:lang w:val="en-GB"/>
        </w:rPr>
        <w:t xml:space="preserve"> (</w:t>
      </w:r>
      <w:r w:rsidR="008F54E4" w:rsidRPr="00E00086">
        <w:rPr>
          <w:lang w:val="en-GB"/>
        </w:rPr>
        <w:t>5</w:t>
      </w:r>
      <w:r w:rsidR="00033EEF" w:rsidRPr="00E00086">
        <w:rPr>
          <w:lang w:val="en-GB"/>
        </w:rPr>
        <w:t xml:space="preserve"> April</w:t>
      </w:r>
      <w:r w:rsidR="005B39C1" w:rsidRPr="00E00086">
        <w:rPr>
          <w:lang w:val="en-GB"/>
        </w:rPr>
        <w:t xml:space="preserve"> </w:t>
      </w:r>
      <w:r w:rsidR="001D4E59" w:rsidRPr="00E00086">
        <w:rPr>
          <w:lang w:val="en-GB"/>
        </w:rPr>
        <w:t>2023</w:t>
      </w:r>
      <w:r w:rsidR="006539B7" w:rsidRPr="00E00086">
        <w:rPr>
          <w:color w:val="000000" w:themeColor="text1"/>
          <w:lang w:val="en-GB"/>
        </w:rPr>
        <w:t>)</w:t>
      </w:r>
    </w:p>
    <w:p w14:paraId="2A1E0044" w14:textId="77777777" w:rsidR="00853524" w:rsidRPr="00E00086" w:rsidRDefault="00853524" w:rsidP="006426B1">
      <w:pPr>
        <w:ind w:left="2160" w:hanging="2160"/>
        <w:rPr>
          <w:lang w:val="en-GB"/>
        </w:rPr>
      </w:pPr>
    </w:p>
    <w:p w14:paraId="6CFF978A" w14:textId="18B81DB5" w:rsidR="006D65BF" w:rsidRPr="00E00086" w:rsidRDefault="00853524" w:rsidP="006426B1">
      <w:pPr>
        <w:ind w:left="2160" w:hanging="2160"/>
        <w:rPr>
          <w:b/>
          <w:i/>
          <w:lang w:val="en-GB"/>
        </w:rPr>
      </w:pPr>
      <w:r w:rsidRPr="00E00086">
        <w:rPr>
          <w:b/>
          <w:lang w:val="en-GB"/>
        </w:rPr>
        <w:t>Coram</w:t>
      </w:r>
      <w:r w:rsidR="001076B6" w:rsidRPr="00E00086">
        <w:rPr>
          <w:b/>
          <w:lang w:val="en-GB"/>
        </w:rPr>
        <w:t>:</w:t>
      </w:r>
      <w:r w:rsidR="008B1836" w:rsidRPr="00E00086">
        <w:rPr>
          <w:lang w:val="en-GB"/>
        </w:rPr>
        <w:tab/>
      </w:r>
      <w:proofErr w:type="spellStart"/>
      <w:r w:rsidR="008B1836" w:rsidRPr="00E00086">
        <w:rPr>
          <w:lang w:val="en-GB"/>
        </w:rPr>
        <w:t>Schimming</w:t>
      </w:r>
      <w:proofErr w:type="spellEnd"/>
      <w:r w:rsidR="00F40790" w:rsidRPr="00E00086">
        <w:rPr>
          <w:lang w:val="en-GB"/>
        </w:rPr>
        <w:t>-</w:t>
      </w:r>
      <w:r w:rsidRPr="00E00086">
        <w:rPr>
          <w:lang w:val="en-GB"/>
        </w:rPr>
        <w:t>Chase J</w:t>
      </w:r>
    </w:p>
    <w:p w14:paraId="1145F951" w14:textId="6CA8000A" w:rsidR="00853524" w:rsidRPr="0062308D" w:rsidRDefault="00853524" w:rsidP="006426B1">
      <w:pPr>
        <w:ind w:left="2160" w:hanging="2160"/>
        <w:rPr>
          <w:b/>
          <w:bCs/>
          <w:lang w:val="en-GB"/>
        </w:rPr>
      </w:pPr>
      <w:r w:rsidRPr="00E00086">
        <w:rPr>
          <w:b/>
          <w:bCs/>
          <w:lang w:val="en-GB"/>
        </w:rPr>
        <w:t>Heard</w:t>
      </w:r>
      <w:r w:rsidR="001076B6" w:rsidRPr="00E00086">
        <w:rPr>
          <w:b/>
          <w:bCs/>
          <w:lang w:val="en-GB"/>
        </w:rPr>
        <w:t>:</w:t>
      </w:r>
      <w:r w:rsidRPr="00E00086">
        <w:rPr>
          <w:b/>
          <w:lang w:val="en-GB"/>
        </w:rPr>
        <w:tab/>
      </w:r>
      <w:r w:rsidR="00C361EF" w:rsidRPr="0062308D">
        <w:rPr>
          <w:b/>
          <w:bCs/>
          <w:lang w:val="en-GB"/>
        </w:rPr>
        <w:t>13 March 2023</w:t>
      </w:r>
    </w:p>
    <w:p w14:paraId="447A448F" w14:textId="27C24CED" w:rsidR="00853524" w:rsidRPr="0062308D" w:rsidRDefault="00117DD9" w:rsidP="006426B1">
      <w:pPr>
        <w:ind w:left="2160" w:hanging="2160"/>
        <w:rPr>
          <w:b/>
          <w:lang w:val="en-GB"/>
        </w:rPr>
      </w:pPr>
      <w:r w:rsidRPr="0062308D">
        <w:rPr>
          <w:b/>
          <w:bCs/>
          <w:lang w:val="en-GB"/>
        </w:rPr>
        <w:t>Delivered</w:t>
      </w:r>
      <w:r w:rsidR="001076B6" w:rsidRPr="0062308D">
        <w:rPr>
          <w:b/>
          <w:bCs/>
          <w:lang w:val="en-GB"/>
        </w:rPr>
        <w:t>:</w:t>
      </w:r>
      <w:r w:rsidR="00334AFC" w:rsidRPr="0062308D">
        <w:rPr>
          <w:b/>
          <w:bCs/>
          <w:lang w:val="en-GB"/>
        </w:rPr>
        <w:tab/>
      </w:r>
      <w:r w:rsidR="008F54E4" w:rsidRPr="0062308D">
        <w:rPr>
          <w:b/>
          <w:lang w:val="en-GB"/>
        </w:rPr>
        <w:t>5</w:t>
      </w:r>
      <w:r w:rsidR="00A00431" w:rsidRPr="0062308D">
        <w:rPr>
          <w:b/>
          <w:lang w:val="en-GB"/>
        </w:rPr>
        <w:t xml:space="preserve"> April 2023</w:t>
      </w:r>
    </w:p>
    <w:p w14:paraId="514826F6" w14:textId="41065798" w:rsidR="00853524" w:rsidRPr="00E00086" w:rsidRDefault="00853524" w:rsidP="006426B1">
      <w:pPr>
        <w:ind w:left="1440" w:hanging="1440"/>
        <w:rPr>
          <w:lang w:val="en-GB"/>
        </w:rPr>
      </w:pPr>
    </w:p>
    <w:p w14:paraId="03DDCD4D" w14:textId="2DD71E71" w:rsidR="00560EA6" w:rsidRPr="00E00086" w:rsidRDefault="00853524" w:rsidP="006426B1">
      <w:pPr>
        <w:rPr>
          <w:lang w:val="en-GB"/>
        </w:rPr>
      </w:pPr>
      <w:proofErr w:type="spellStart"/>
      <w:r w:rsidRPr="00E00086">
        <w:rPr>
          <w:b/>
          <w:lang w:val="en-GB"/>
        </w:rPr>
        <w:t>Flynote</w:t>
      </w:r>
      <w:proofErr w:type="spellEnd"/>
      <w:r w:rsidR="00F40790" w:rsidRPr="00E00086">
        <w:rPr>
          <w:b/>
          <w:lang w:val="en-GB"/>
        </w:rPr>
        <w:t>:</w:t>
      </w:r>
      <w:r w:rsidRPr="00E00086">
        <w:rPr>
          <w:b/>
          <w:lang w:val="en-GB"/>
        </w:rPr>
        <w:tab/>
      </w:r>
      <w:r w:rsidR="00560EA6" w:rsidRPr="00E00086">
        <w:rPr>
          <w:bCs/>
          <w:lang w:val="en-GB"/>
        </w:rPr>
        <w:t>Practice — Labour Court — Application to stay execution of arbitration award pending finalisation of appeal</w:t>
      </w:r>
      <w:r w:rsidR="00560EA6" w:rsidRPr="00E00086">
        <w:rPr>
          <w:lang w:val="en-GB"/>
        </w:rPr>
        <w:t xml:space="preserve"> – Section 89 (6) and (7) of Labour Act</w:t>
      </w:r>
      <w:r w:rsidR="00E12000" w:rsidRPr="00E00086">
        <w:rPr>
          <w:lang w:val="en-GB"/>
        </w:rPr>
        <w:t xml:space="preserve"> </w:t>
      </w:r>
      <w:r w:rsidR="008F54E4" w:rsidRPr="00E00086">
        <w:rPr>
          <w:lang w:val="en-GB"/>
        </w:rPr>
        <w:t>—</w:t>
      </w:r>
      <w:r w:rsidR="00560EA6" w:rsidRPr="00E00086">
        <w:rPr>
          <w:lang w:val="en-GB"/>
        </w:rPr>
        <w:t xml:space="preserve"> Irreparable harm</w:t>
      </w:r>
      <w:r w:rsidR="00E12000" w:rsidRPr="00E00086">
        <w:rPr>
          <w:lang w:val="en-GB"/>
        </w:rPr>
        <w:t xml:space="preserve"> </w:t>
      </w:r>
      <w:r w:rsidR="008F54E4" w:rsidRPr="00E00086">
        <w:rPr>
          <w:lang w:val="en-GB"/>
        </w:rPr>
        <w:t>—</w:t>
      </w:r>
      <w:r w:rsidR="00560EA6" w:rsidRPr="00E00086">
        <w:rPr>
          <w:lang w:val="en-GB"/>
        </w:rPr>
        <w:t xml:space="preserve"> Balance of irreparable harm</w:t>
      </w:r>
      <w:r w:rsidR="00E12000" w:rsidRPr="00E00086">
        <w:rPr>
          <w:lang w:val="en-GB"/>
        </w:rPr>
        <w:t xml:space="preserve"> favoured the first respondent.</w:t>
      </w:r>
    </w:p>
    <w:p w14:paraId="3C99E07D" w14:textId="5CB7E874" w:rsidR="000B66A4" w:rsidRPr="00E00086" w:rsidRDefault="00716AB4" w:rsidP="006426B1">
      <w:pPr>
        <w:rPr>
          <w:bCs/>
          <w:lang w:val="en-GB"/>
        </w:rPr>
      </w:pPr>
      <w:r w:rsidRPr="00E00086">
        <w:rPr>
          <w:bCs/>
          <w:lang w:val="en-GB"/>
        </w:rPr>
        <w:lastRenderedPageBreak/>
        <w:t>Pr</w:t>
      </w:r>
      <w:r w:rsidR="008E4F78" w:rsidRPr="00E00086">
        <w:rPr>
          <w:bCs/>
          <w:lang w:val="en-GB"/>
        </w:rPr>
        <w:t>actice</w:t>
      </w:r>
      <w:r w:rsidRPr="00E00086">
        <w:rPr>
          <w:bCs/>
          <w:lang w:val="en-GB"/>
        </w:rPr>
        <w:t xml:space="preserve"> </w:t>
      </w:r>
      <w:r w:rsidR="008F54E4" w:rsidRPr="00E00086">
        <w:rPr>
          <w:bCs/>
          <w:lang w:val="en-GB"/>
        </w:rPr>
        <w:t>—</w:t>
      </w:r>
      <w:r w:rsidRPr="00E00086">
        <w:rPr>
          <w:bCs/>
          <w:lang w:val="en-GB"/>
        </w:rPr>
        <w:t xml:space="preserve"> </w:t>
      </w:r>
      <w:r w:rsidR="008E4F78" w:rsidRPr="00E00086">
        <w:rPr>
          <w:bCs/>
          <w:lang w:val="en-GB"/>
        </w:rPr>
        <w:t xml:space="preserve">Urgent </w:t>
      </w:r>
      <w:r w:rsidR="00E11C54" w:rsidRPr="00E00086">
        <w:rPr>
          <w:bCs/>
          <w:lang w:val="en-GB"/>
        </w:rPr>
        <w:t>a</w:t>
      </w:r>
      <w:r w:rsidRPr="00E00086">
        <w:rPr>
          <w:bCs/>
          <w:lang w:val="en-GB"/>
        </w:rPr>
        <w:t>pplications for the stay of execution</w:t>
      </w:r>
      <w:r w:rsidR="008E4F78" w:rsidRPr="00E00086">
        <w:rPr>
          <w:bCs/>
          <w:lang w:val="en-GB"/>
        </w:rPr>
        <w:t xml:space="preserve"> of arbitration award pending appeal</w:t>
      </w:r>
      <w:r w:rsidRPr="00E00086">
        <w:rPr>
          <w:bCs/>
          <w:lang w:val="en-GB"/>
        </w:rPr>
        <w:t xml:space="preserve"> </w:t>
      </w:r>
      <w:r w:rsidR="008F54E4" w:rsidRPr="00E00086">
        <w:rPr>
          <w:bCs/>
          <w:lang w:val="en-GB"/>
        </w:rPr>
        <w:t>—</w:t>
      </w:r>
      <w:r w:rsidRPr="00E00086">
        <w:rPr>
          <w:bCs/>
          <w:lang w:val="en-GB"/>
        </w:rPr>
        <w:t xml:space="preserve"> </w:t>
      </w:r>
      <w:r w:rsidR="00E11C54" w:rsidRPr="00E00086">
        <w:rPr>
          <w:bCs/>
          <w:lang w:val="en-GB"/>
        </w:rPr>
        <w:t>A</w:t>
      </w:r>
      <w:r w:rsidR="00792E61" w:rsidRPr="00E00086">
        <w:rPr>
          <w:bCs/>
          <w:lang w:val="en-GB"/>
        </w:rPr>
        <w:t>pplications of this nature</w:t>
      </w:r>
      <w:r w:rsidR="00E12000" w:rsidRPr="00E00086">
        <w:rPr>
          <w:bCs/>
          <w:lang w:val="en-GB"/>
        </w:rPr>
        <w:t xml:space="preserve"> are</w:t>
      </w:r>
      <w:r w:rsidR="008E4F78" w:rsidRPr="00E00086">
        <w:rPr>
          <w:bCs/>
          <w:lang w:val="en-GB"/>
        </w:rPr>
        <w:t xml:space="preserve"> </w:t>
      </w:r>
      <w:r w:rsidR="00792E61" w:rsidRPr="00E00086">
        <w:rPr>
          <w:bCs/>
          <w:lang w:val="en-GB"/>
        </w:rPr>
        <w:t>i</w:t>
      </w:r>
      <w:r w:rsidRPr="00E00086">
        <w:rPr>
          <w:bCs/>
          <w:lang w:val="en-GB"/>
        </w:rPr>
        <w:t>nherently urgent</w:t>
      </w:r>
      <w:r w:rsidR="00E12000" w:rsidRPr="00E00086">
        <w:rPr>
          <w:bCs/>
          <w:lang w:val="en-GB"/>
        </w:rPr>
        <w:t>,</w:t>
      </w:r>
      <w:r w:rsidRPr="00E00086">
        <w:rPr>
          <w:bCs/>
          <w:lang w:val="en-GB"/>
        </w:rPr>
        <w:t xml:space="preserve"> provided the execution is reasonably imminent and </w:t>
      </w:r>
      <w:r w:rsidR="00E12000" w:rsidRPr="00E00086">
        <w:rPr>
          <w:bCs/>
          <w:lang w:val="en-GB"/>
        </w:rPr>
        <w:t xml:space="preserve">the </w:t>
      </w:r>
      <w:r w:rsidRPr="00E00086">
        <w:rPr>
          <w:bCs/>
          <w:lang w:val="en-GB"/>
        </w:rPr>
        <w:t>applicant is not guilty of any blameable conduct in not bringing the application timeously.</w:t>
      </w:r>
    </w:p>
    <w:p w14:paraId="73F78624" w14:textId="79E21B5F" w:rsidR="008E4F78" w:rsidRPr="00E00086" w:rsidRDefault="008E4F78" w:rsidP="006426B1">
      <w:pPr>
        <w:rPr>
          <w:bCs/>
          <w:lang w:val="en-GB"/>
        </w:rPr>
      </w:pPr>
    </w:p>
    <w:p w14:paraId="7240F4EF" w14:textId="4F321614" w:rsidR="008E4F78" w:rsidRPr="00E00086" w:rsidRDefault="008E4F78" w:rsidP="006426B1">
      <w:pPr>
        <w:rPr>
          <w:bCs/>
          <w:lang w:val="en-GB"/>
        </w:rPr>
      </w:pPr>
      <w:r w:rsidRPr="00E00086">
        <w:rPr>
          <w:bCs/>
          <w:lang w:val="en-GB"/>
        </w:rPr>
        <w:t>Labour Court</w:t>
      </w:r>
      <w:r w:rsidR="00E12000" w:rsidRPr="00E00086">
        <w:rPr>
          <w:bCs/>
          <w:lang w:val="en-GB"/>
        </w:rPr>
        <w:t xml:space="preserve"> </w:t>
      </w:r>
      <w:r w:rsidR="008F54E4" w:rsidRPr="00E00086">
        <w:rPr>
          <w:bCs/>
          <w:lang w:val="en-GB"/>
        </w:rPr>
        <w:t>—</w:t>
      </w:r>
      <w:r w:rsidRPr="00E00086">
        <w:rPr>
          <w:bCs/>
          <w:lang w:val="en-GB"/>
        </w:rPr>
        <w:t xml:space="preserve"> </w:t>
      </w:r>
      <w:r w:rsidR="00E11C54" w:rsidRPr="00E00086">
        <w:rPr>
          <w:bCs/>
          <w:lang w:val="en-GB"/>
        </w:rPr>
        <w:t>A</w:t>
      </w:r>
      <w:r w:rsidRPr="00E00086">
        <w:rPr>
          <w:bCs/>
          <w:lang w:val="en-GB"/>
        </w:rPr>
        <w:t>pplication for a stay of execution of award pending appeal</w:t>
      </w:r>
      <w:r w:rsidR="00E12000" w:rsidRPr="00E00086">
        <w:rPr>
          <w:bCs/>
          <w:lang w:val="en-GB"/>
        </w:rPr>
        <w:t xml:space="preserve"> </w:t>
      </w:r>
      <w:r w:rsidR="00DD615C" w:rsidRPr="00DD615C">
        <w:rPr>
          <w:bCs/>
          <w:lang w:val="en-GB"/>
        </w:rPr>
        <w:t>—</w:t>
      </w:r>
      <w:r w:rsidRPr="00E00086">
        <w:rPr>
          <w:bCs/>
          <w:lang w:val="en-GB"/>
        </w:rPr>
        <w:t xml:space="preserve"> </w:t>
      </w:r>
      <w:r w:rsidR="00E11C54" w:rsidRPr="00E00086">
        <w:rPr>
          <w:bCs/>
          <w:lang w:val="en-GB"/>
        </w:rPr>
        <w:t>P</w:t>
      </w:r>
      <w:r w:rsidRPr="00E00086">
        <w:rPr>
          <w:bCs/>
          <w:lang w:val="en-GB"/>
        </w:rPr>
        <w:t>rinciples restated</w:t>
      </w:r>
      <w:r w:rsidR="00E11C54" w:rsidRPr="00E00086">
        <w:rPr>
          <w:bCs/>
          <w:lang w:val="en-GB"/>
        </w:rPr>
        <w:t xml:space="preserve"> </w:t>
      </w:r>
      <w:r w:rsidR="00DD615C" w:rsidRPr="00DD615C">
        <w:rPr>
          <w:bCs/>
          <w:lang w:val="en-GB"/>
        </w:rPr>
        <w:t>—</w:t>
      </w:r>
      <w:r w:rsidR="00E11C54" w:rsidRPr="00E00086">
        <w:rPr>
          <w:bCs/>
          <w:lang w:val="en-GB"/>
        </w:rPr>
        <w:t xml:space="preserve"> Applicant bears</w:t>
      </w:r>
      <w:r w:rsidR="00DD615C">
        <w:rPr>
          <w:bCs/>
          <w:lang w:val="en-GB"/>
        </w:rPr>
        <w:t xml:space="preserve"> the</w:t>
      </w:r>
      <w:r w:rsidR="00E11C54" w:rsidRPr="00E00086">
        <w:rPr>
          <w:bCs/>
          <w:lang w:val="en-GB"/>
        </w:rPr>
        <w:t xml:space="preserve"> onus to prove reasonable prospects of success on appeal </w:t>
      </w:r>
      <w:r w:rsidR="00DD615C" w:rsidRPr="00DD615C">
        <w:rPr>
          <w:bCs/>
          <w:lang w:val="en-GB"/>
        </w:rPr>
        <w:t>—</w:t>
      </w:r>
      <w:r w:rsidR="00E11C54" w:rsidRPr="00E00086">
        <w:rPr>
          <w:bCs/>
          <w:lang w:val="en-GB"/>
        </w:rPr>
        <w:t xml:space="preserve"> Written record of proceedings not available at time of hearing </w:t>
      </w:r>
      <w:r w:rsidR="00DD615C" w:rsidRPr="00DD615C">
        <w:rPr>
          <w:bCs/>
          <w:lang w:val="en-GB"/>
        </w:rPr>
        <w:t>—</w:t>
      </w:r>
      <w:r w:rsidR="00E11C54" w:rsidRPr="00E00086">
        <w:rPr>
          <w:bCs/>
          <w:lang w:val="en-GB"/>
        </w:rPr>
        <w:t xml:space="preserve"> Applicant failing to discharge onus.  </w:t>
      </w:r>
    </w:p>
    <w:p w14:paraId="580B7B3D" w14:textId="1C9DE175" w:rsidR="00853524" w:rsidRPr="00E00086" w:rsidRDefault="00853524" w:rsidP="006426B1">
      <w:pPr>
        <w:rPr>
          <w:lang w:val="en-GB"/>
        </w:rPr>
      </w:pPr>
    </w:p>
    <w:p w14:paraId="0413F38D" w14:textId="2F8787A4" w:rsidR="008E4F78" w:rsidRPr="00E00086" w:rsidRDefault="00853524" w:rsidP="006426B1">
      <w:pPr>
        <w:rPr>
          <w:lang w:val="en-GB"/>
        </w:rPr>
      </w:pPr>
      <w:r w:rsidRPr="00E00086">
        <w:rPr>
          <w:b/>
          <w:lang w:val="en-GB"/>
        </w:rPr>
        <w:t>Summary</w:t>
      </w:r>
      <w:r w:rsidR="00F40790" w:rsidRPr="00E00086">
        <w:rPr>
          <w:b/>
          <w:lang w:val="en-GB"/>
        </w:rPr>
        <w:t>:</w:t>
      </w:r>
      <w:r w:rsidRPr="00E00086">
        <w:rPr>
          <w:b/>
          <w:lang w:val="en-GB"/>
        </w:rPr>
        <w:tab/>
      </w:r>
      <w:r w:rsidR="00AB0752" w:rsidRPr="00E00086">
        <w:rPr>
          <w:lang w:val="en-GB"/>
        </w:rPr>
        <w:t xml:space="preserve">The </w:t>
      </w:r>
      <w:r w:rsidR="008F54E4" w:rsidRPr="00E00086">
        <w:rPr>
          <w:lang w:val="en-GB"/>
        </w:rPr>
        <w:t xml:space="preserve">first </w:t>
      </w:r>
      <w:r w:rsidR="008E4F78" w:rsidRPr="00E00086">
        <w:rPr>
          <w:lang w:val="en-GB"/>
        </w:rPr>
        <w:t>respondent was employed for 12 years as an executive assistant at the applicant. At the time of her employment</w:t>
      </w:r>
      <w:r w:rsidR="00C22667" w:rsidRPr="00E00086">
        <w:rPr>
          <w:lang w:val="en-GB"/>
        </w:rPr>
        <w:t>, the applicant enjoyed full knowledge that the first respondent</w:t>
      </w:r>
      <w:r w:rsidR="008E4F78" w:rsidRPr="00E00086">
        <w:rPr>
          <w:lang w:val="en-GB"/>
        </w:rPr>
        <w:t xml:space="preserve"> did not possess grade 12 qualifications. In 2019</w:t>
      </w:r>
      <w:r w:rsidR="00C22667" w:rsidRPr="00E00086">
        <w:rPr>
          <w:lang w:val="en-GB"/>
        </w:rPr>
        <w:t>,</w:t>
      </w:r>
      <w:r w:rsidR="000B4299" w:rsidRPr="00E00086">
        <w:rPr>
          <w:lang w:val="en-GB"/>
        </w:rPr>
        <w:t xml:space="preserve"> </w:t>
      </w:r>
      <w:r w:rsidR="008E4F78" w:rsidRPr="00E00086">
        <w:rPr>
          <w:lang w:val="en-GB"/>
        </w:rPr>
        <w:t xml:space="preserve">the applicant informed the </w:t>
      </w:r>
      <w:r w:rsidR="00C22667" w:rsidRPr="00E00086">
        <w:rPr>
          <w:lang w:val="en-GB"/>
        </w:rPr>
        <w:t xml:space="preserve">first </w:t>
      </w:r>
      <w:r w:rsidR="008E4F78" w:rsidRPr="00E00086">
        <w:rPr>
          <w:lang w:val="en-GB"/>
        </w:rPr>
        <w:t>respondent of its concerns</w:t>
      </w:r>
      <w:r w:rsidR="004A69DF" w:rsidRPr="00E00086">
        <w:rPr>
          <w:lang w:val="en-GB"/>
        </w:rPr>
        <w:t xml:space="preserve"> with her work performance</w:t>
      </w:r>
      <w:r w:rsidR="008E4F78" w:rsidRPr="00E00086">
        <w:rPr>
          <w:lang w:val="en-GB"/>
        </w:rPr>
        <w:t xml:space="preserve">. The </w:t>
      </w:r>
      <w:r w:rsidR="00C22667" w:rsidRPr="00E00086">
        <w:rPr>
          <w:lang w:val="en-GB"/>
        </w:rPr>
        <w:t xml:space="preserve">first </w:t>
      </w:r>
      <w:r w:rsidR="008E4F78" w:rsidRPr="00E00086">
        <w:rPr>
          <w:lang w:val="en-GB"/>
        </w:rPr>
        <w:t xml:space="preserve">respondent was informed that an attachment to other executive assistants would be </w:t>
      </w:r>
      <w:proofErr w:type="gramStart"/>
      <w:r w:rsidR="008E4F78" w:rsidRPr="00E00086">
        <w:rPr>
          <w:lang w:val="en-GB"/>
        </w:rPr>
        <w:t>forthcoming</w:t>
      </w:r>
      <w:proofErr w:type="gramEnd"/>
      <w:r w:rsidR="008E4F78" w:rsidRPr="00E00086">
        <w:rPr>
          <w:lang w:val="en-GB"/>
        </w:rPr>
        <w:t xml:space="preserve"> and </w:t>
      </w:r>
      <w:r w:rsidR="004A69DF" w:rsidRPr="00E00086">
        <w:rPr>
          <w:lang w:val="en-GB"/>
        </w:rPr>
        <w:t xml:space="preserve">she </w:t>
      </w:r>
      <w:r w:rsidR="008E4F78" w:rsidRPr="00E00086">
        <w:rPr>
          <w:lang w:val="en-GB"/>
        </w:rPr>
        <w:t xml:space="preserve">was advised to complete </w:t>
      </w:r>
      <w:r w:rsidR="004A69DF" w:rsidRPr="00E00086">
        <w:rPr>
          <w:lang w:val="en-GB"/>
        </w:rPr>
        <w:t>G</w:t>
      </w:r>
      <w:r w:rsidR="008E4F78" w:rsidRPr="00E00086">
        <w:rPr>
          <w:lang w:val="en-GB"/>
        </w:rPr>
        <w:t>rade 12</w:t>
      </w:r>
      <w:r w:rsidR="00C22667" w:rsidRPr="00E00086">
        <w:rPr>
          <w:lang w:val="en-GB"/>
        </w:rPr>
        <w:t xml:space="preserve"> part-</w:t>
      </w:r>
      <w:r w:rsidR="004A69DF" w:rsidRPr="00E00086">
        <w:rPr>
          <w:lang w:val="en-GB"/>
        </w:rPr>
        <w:t>time</w:t>
      </w:r>
      <w:r w:rsidR="00C376EA" w:rsidRPr="00E00086">
        <w:rPr>
          <w:lang w:val="en-GB"/>
        </w:rPr>
        <w:t xml:space="preserve">, alternatively </w:t>
      </w:r>
      <w:r w:rsidR="004D1BDB" w:rsidRPr="00E00086">
        <w:rPr>
          <w:lang w:val="en-GB"/>
        </w:rPr>
        <w:t xml:space="preserve">obtain </w:t>
      </w:r>
      <w:r w:rsidR="00C376EA" w:rsidRPr="00E00086">
        <w:rPr>
          <w:lang w:val="en-GB"/>
        </w:rPr>
        <w:t xml:space="preserve">a tertiary </w:t>
      </w:r>
      <w:r w:rsidR="004D1BDB" w:rsidRPr="00E00086">
        <w:rPr>
          <w:lang w:val="en-GB"/>
        </w:rPr>
        <w:t xml:space="preserve">secretarial </w:t>
      </w:r>
      <w:r w:rsidR="00C376EA" w:rsidRPr="00E00086">
        <w:rPr>
          <w:lang w:val="en-GB"/>
        </w:rPr>
        <w:t>qualification</w:t>
      </w:r>
      <w:r w:rsidR="008E4F78" w:rsidRPr="00E00086">
        <w:rPr>
          <w:lang w:val="en-GB"/>
        </w:rPr>
        <w:t xml:space="preserve">. Before </w:t>
      </w:r>
      <w:r w:rsidR="00C22667" w:rsidRPr="00E00086">
        <w:rPr>
          <w:lang w:val="en-GB"/>
        </w:rPr>
        <w:t xml:space="preserve">the first </w:t>
      </w:r>
      <w:r w:rsidR="008E4F78" w:rsidRPr="00E00086">
        <w:rPr>
          <w:lang w:val="en-GB"/>
        </w:rPr>
        <w:t xml:space="preserve">respondent could undertake her development, she was suspended </w:t>
      </w:r>
      <w:r w:rsidR="000B4299" w:rsidRPr="00E00086">
        <w:rPr>
          <w:lang w:val="en-GB"/>
        </w:rPr>
        <w:t>in 2019</w:t>
      </w:r>
      <w:r w:rsidR="00C22667" w:rsidRPr="00E00086">
        <w:rPr>
          <w:lang w:val="en-GB"/>
        </w:rPr>
        <w:t>,</w:t>
      </w:r>
      <w:r w:rsidR="000B4299" w:rsidRPr="00E00086">
        <w:rPr>
          <w:lang w:val="en-GB"/>
        </w:rPr>
        <w:t xml:space="preserve"> </w:t>
      </w:r>
      <w:r w:rsidR="008E4F78" w:rsidRPr="00E00086">
        <w:rPr>
          <w:lang w:val="en-GB"/>
        </w:rPr>
        <w:t xml:space="preserve">and ultimately dismissed </w:t>
      </w:r>
      <w:r w:rsidR="000B4299" w:rsidRPr="00E00086">
        <w:rPr>
          <w:lang w:val="en-GB"/>
        </w:rPr>
        <w:t xml:space="preserve">in 2020 </w:t>
      </w:r>
      <w:r w:rsidR="008E4F78" w:rsidRPr="00E00086">
        <w:rPr>
          <w:lang w:val="en-GB"/>
        </w:rPr>
        <w:t>for poor work performance.</w:t>
      </w:r>
    </w:p>
    <w:p w14:paraId="3576E70C" w14:textId="77777777" w:rsidR="000B4299" w:rsidRPr="00E00086" w:rsidRDefault="000B4299" w:rsidP="006426B1">
      <w:pPr>
        <w:rPr>
          <w:lang w:val="en-GB"/>
        </w:rPr>
      </w:pPr>
    </w:p>
    <w:p w14:paraId="5363BE77" w14:textId="71FF3E18" w:rsidR="000B4299" w:rsidRPr="00E00086" w:rsidRDefault="008E4F78" w:rsidP="006426B1">
      <w:pPr>
        <w:rPr>
          <w:lang w:val="en-GB"/>
        </w:rPr>
      </w:pPr>
      <w:r w:rsidRPr="00E00086">
        <w:rPr>
          <w:lang w:val="en-GB"/>
        </w:rPr>
        <w:t xml:space="preserve">The </w:t>
      </w:r>
      <w:r w:rsidR="00C22667" w:rsidRPr="00E00086">
        <w:rPr>
          <w:lang w:val="en-GB"/>
        </w:rPr>
        <w:t xml:space="preserve">first </w:t>
      </w:r>
      <w:r w:rsidRPr="00E00086">
        <w:rPr>
          <w:lang w:val="en-GB"/>
        </w:rPr>
        <w:t>respondent referred a labour complaint to the Labour Commissioner. After conciliation failed the parties proceeded to arbi</w:t>
      </w:r>
      <w:r w:rsidR="00C22667" w:rsidRPr="00E00086">
        <w:rPr>
          <w:lang w:val="en-GB"/>
        </w:rPr>
        <w:t xml:space="preserve">tration. </w:t>
      </w:r>
      <w:r w:rsidRPr="00E00086">
        <w:rPr>
          <w:lang w:val="en-GB"/>
        </w:rPr>
        <w:t xml:space="preserve">The </w:t>
      </w:r>
      <w:r w:rsidR="00C22667" w:rsidRPr="00E00086">
        <w:rPr>
          <w:lang w:val="en-GB"/>
        </w:rPr>
        <w:t>a</w:t>
      </w:r>
      <w:r w:rsidR="004A69DF" w:rsidRPr="00E00086">
        <w:rPr>
          <w:lang w:val="en-GB"/>
        </w:rPr>
        <w:t>rbitrator</w:t>
      </w:r>
      <w:r w:rsidRPr="00E00086">
        <w:rPr>
          <w:lang w:val="en-GB"/>
        </w:rPr>
        <w:t xml:space="preserve"> considered the complaint and made an award</w:t>
      </w:r>
      <w:r w:rsidR="00C22667" w:rsidRPr="00E00086">
        <w:rPr>
          <w:lang w:val="en-GB"/>
        </w:rPr>
        <w:t>,</w:t>
      </w:r>
      <w:r w:rsidRPr="00E00086">
        <w:rPr>
          <w:lang w:val="en-GB"/>
        </w:rPr>
        <w:t xml:space="preserve"> in the absence of</w:t>
      </w:r>
      <w:r w:rsidR="00C22667" w:rsidRPr="00E00086">
        <w:rPr>
          <w:lang w:val="en-GB"/>
        </w:rPr>
        <w:t xml:space="preserve"> the applicant, in terms of the rules relating to the conduct of conciliation and arbitration before the Labour Commissioner, </w:t>
      </w:r>
      <w:r w:rsidR="000B4299" w:rsidRPr="00E00086">
        <w:rPr>
          <w:lang w:val="en-GB"/>
        </w:rPr>
        <w:t xml:space="preserve">due to </w:t>
      </w:r>
      <w:r w:rsidR="00C22667" w:rsidRPr="00E00086">
        <w:rPr>
          <w:lang w:val="en-GB"/>
        </w:rPr>
        <w:t>the non-appearance of the applicant.</w:t>
      </w:r>
      <w:r w:rsidR="000B4299" w:rsidRPr="00E00086">
        <w:rPr>
          <w:lang w:val="en-GB"/>
        </w:rPr>
        <w:t xml:space="preserve"> The </w:t>
      </w:r>
      <w:r w:rsidR="00C22667" w:rsidRPr="00E00086">
        <w:rPr>
          <w:lang w:val="en-GB"/>
        </w:rPr>
        <w:t>a</w:t>
      </w:r>
      <w:r w:rsidR="004A69DF" w:rsidRPr="00E00086">
        <w:rPr>
          <w:lang w:val="en-GB"/>
        </w:rPr>
        <w:t>rbitrator</w:t>
      </w:r>
      <w:r w:rsidR="000B4299" w:rsidRPr="00E00086">
        <w:rPr>
          <w:lang w:val="en-GB"/>
        </w:rPr>
        <w:t xml:space="preserve"> ordered reinstatement of the</w:t>
      </w:r>
      <w:r w:rsidR="00C22667" w:rsidRPr="00E00086">
        <w:rPr>
          <w:lang w:val="en-GB"/>
        </w:rPr>
        <w:t xml:space="preserve"> first</w:t>
      </w:r>
      <w:r w:rsidR="000B4299" w:rsidRPr="00E00086">
        <w:rPr>
          <w:lang w:val="en-GB"/>
        </w:rPr>
        <w:t xml:space="preserve"> respondent as well as a compensatory award. </w:t>
      </w:r>
      <w:r w:rsidRPr="00E00086">
        <w:rPr>
          <w:lang w:val="en-GB"/>
        </w:rPr>
        <w:t xml:space="preserve"> The contents of the ruling show</w:t>
      </w:r>
      <w:r w:rsidR="000B4299" w:rsidRPr="00E00086">
        <w:rPr>
          <w:lang w:val="en-GB"/>
        </w:rPr>
        <w:t>ed</w:t>
      </w:r>
      <w:r w:rsidRPr="00E00086">
        <w:rPr>
          <w:lang w:val="en-GB"/>
        </w:rPr>
        <w:t xml:space="preserve"> that the </w:t>
      </w:r>
      <w:r w:rsidR="00C22667" w:rsidRPr="00E00086">
        <w:rPr>
          <w:lang w:val="en-GB"/>
        </w:rPr>
        <w:t>a</w:t>
      </w:r>
      <w:r w:rsidR="004A69DF" w:rsidRPr="00E00086">
        <w:rPr>
          <w:lang w:val="en-GB"/>
        </w:rPr>
        <w:t>rbitrator</w:t>
      </w:r>
      <w:r w:rsidRPr="00E00086">
        <w:rPr>
          <w:lang w:val="en-GB"/>
        </w:rPr>
        <w:t xml:space="preserve"> called the applicant’s offices and informed its Human Resource Manager that the arbitration would proceed in 45 minutes. There was no appearance </w:t>
      </w:r>
      <w:r w:rsidR="000B4299" w:rsidRPr="00E00086">
        <w:rPr>
          <w:lang w:val="en-GB"/>
        </w:rPr>
        <w:t xml:space="preserve">by the applicant. The </w:t>
      </w:r>
      <w:r w:rsidR="00C22667" w:rsidRPr="00E00086">
        <w:rPr>
          <w:lang w:val="en-GB"/>
        </w:rPr>
        <w:t>a</w:t>
      </w:r>
      <w:r w:rsidR="004A69DF" w:rsidRPr="00E00086">
        <w:rPr>
          <w:lang w:val="en-GB"/>
        </w:rPr>
        <w:t>rbitrator</w:t>
      </w:r>
      <w:r w:rsidR="000B4299" w:rsidRPr="00E00086">
        <w:rPr>
          <w:lang w:val="en-GB"/>
        </w:rPr>
        <w:t xml:space="preserve"> also ruled that the applicant had been properly served with the notice of set down.</w:t>
      </w:r>
    </w:p>
    <w:p w14:paraId="61C212FB" w14:textId="77777777" w:rsidR="000B4299" w:rsidRPr="00E00086" w:rsidRDefault="000B4299" w:rsidP="006426B1">
      <w:pPr>
        <w:rPr>
          <w:lang w:val="en-GB"/>
        </w:rPr>
      </w:pPr>
    </w:p>
    <w:p w14:paraId="6DF6C90B" w14:textId="307C5F51" w:rsidR="008E4F78" w:rsidRPr="00E00086" w:rsidRDefault="000B4299" w:rsidP="006426B1">
      <w:pPr>
        <w:rPr>
          <w:lang w:val="en-GB"/>
        </w:rPr>
      </w:pPr>
      <w:r w:rsidRPr="00E00086">
        <w:rPr>
          <w:lang w:val="en-GB"/>
        </w:rPr>
        <w:t xml:space="preserve">The applicant applied for rescission of the award on the grounds that it had not been served with the notice of set down. The </w:t>
      </w:r>
      <w:r w:rsidR="00C22667" w:rsidRPr="00E00086">
        <w:rPr>
          <w:lang w:val="en-GB"/>
        </w:rPr>
        <w:t>a</w:t>
      </w:r>
      <w:r w:rsidR="004A69DF" w:rsidRPr="00E00086">
        <w:rPr>
          <w:lang w:val="en-GB"/>
        </w:rPr>
        <w:t>rbitrator</w:t>
      </w:r>
      <w:r w:rsidRPr="00E00086">
        <w:rPr>
          <w:lang w:val="en-GB"/>
        </w:rPr>
        <w:t xml:space="preserve"> considered the </w:t>
      </w:r>
      <w:r w:rsidR="004A69DF" w:rsidRPr="00E00086">
        <w:rPr>
          <w:lang w:val="en-GB"/>
        </w:rPr>
        <w:t xml:space="preserve">rescission </w:t>
      </w:r>
      <w:r w:rsidRPr="00E00086">
        <w:rPr>
          <w:lang w:val="en-GB"/>
        </w:rPr>
        <w:t>application</w:t>
      </w:r>
      <w:r w:rsidR="00C22667" w:rsidRPr="00E00086">
        <w:rPr>
          <w:lang w:val="en-GB"/>
        </w:rPr>
        <w:t>,</w:t>
      </w:r>
      <w:r w:rsidRPr="00E00086">
        <w:rPr>
          <w:lang w:val="en-GB"/>
        </w:rPr>
        <w:t xml:space="preserve"> on the papers</w:t>
      </w:r>
      <w:r w:rsidR="004D1BDB" w:rsidRPr="00E00086">
        <w:rPr>
          <w:lang w:val="en-GB"/>
        </w:rPr>
        <w:t xml:space="preserve"> filed </w:t>
      </w:r>
      <w:r w:rsidRPr="00E00086">
        <w:rPr>
          <w:lang w:val="en-GB"/>
        </w:rPr>
        <w:t xml:space="preserve">in the absence of the </w:t>
      </w:r>
      <w:proofErr w:type="gramStart"/>
      <w:r w:rsidRPr="00E00086">
        <w:rPr>
          <w:lang w:val="en-GB"/>
        </w:rPr>
        <w:t>parties</w:t>
      </w:r>
      <w:r w:rsidR="00C22667" w:rsidRPr="00E00086">
        <w:rPr>
          <w:lang w:val="en-GB"/>
        </w:rPr>
        <w:t>,</w:t>
      </w:r>
      <w:r w:rsidRPr="00E00086">
        <w:rPr>
          <w:lang w:val="en-GB"/>
        </w:rPr>
        <w:t xml:space="preserve"> and</w:t>
      </w:r>
      <w:proofErr w:type="gramEnd"/>
      <w:r w:rsidRPr="00E00086">
        <w:rPr>
          <w:lang w:val="en-GB"/>
        </w:rPr>
        <w:t xml:space="preserve"> dismissed the </w:t>
      </w:r>
      <w:r w:rsidRPr="00E00086">
        <w:rPr>
          <w:lang w:val="en-GB"/>
        </w:rPr>
        <w:lastRenderedPageBreak/>
        <w:t xml:space="preserve">rescission application. The applicant then noted an appeal to this court against the </w:t>
      </w:r>
      <w:r w:rsidR="00C22667" w:rsidRPr="00E00086">
        <w:rPr>
          <w:lang w:val="en-GB"/>
        </w:rPr>
        <w:t>a</w:t>
      </w:r>
      <w:r w:rsidR="004A69DF" w:rsidRPr="00E00086">
        <w:rPr>
          <w:lang w:val="en-GB"/>
        </w:rPr>
        <w:t>rbitrator</w:t>
      </w:r>
      <w:r w:rsidRPr="00E00086">
        <w:rPr>
          <w:lang w:val="en-GB"/>
        </w:rPr>
        <w:t xml:space="preserve">’s award and the </w:t>
      </w:r>
      <w:r w:rsidR="00C22667" w:rsidRPr="00E00086">
        <w:rPr>
          <w:lang w:val="en-GB"/>
        </w:rPr>
        <w:t>a</w:t>
      </w:r>
      <w:r w:rsidR="004A69DF" w:rsidRPr="00E00086">
        <w:rPr>
          <w:lang w:val="en-GB"/>
        </w:rPr>
        <w:t>rbitrator</w:t>
      </w:r>
      <w:r w:rsidRPr="00E00086">
        <w:rPr>
          <w:lang w:val="en-GB"/>
        </w:rPr>
        <w:t xml:space="preserve">’s ruling dismissing the rescission application. </w:t>
      </w:r>
    </w:p>
    <w:p w14:paraId="428A0D55" w14:textId="452E46A7" w:rsidR="000B4299" w:rsidRPr="00E00086" w:rsidRDefault="000B4299" w:rsidP="006426B1">
      <w:pPr>
        <w:rPr>
          <w:lang w:val="en-GB"/>
        </w:rPr>
      </w:pPr>
    </w:p>
    <w:p w14:paraId="7976B634" w14:textId="651E4885" w:rsidR="00792E61" w:rsidRPr="00E00086" w:rsidRDefault="000B4299" w:rsidP="006426B1">
      <w:pPr>
        <w:rPr>
          <w:lang w:val="en-GB"/>
        </w:rPr>
      </w:pPr>
      <w:r w:rsidRPr="00E00086">
        <w:rPr>
          <w:lang w:val="en-GB"/>
        </w:rPr>
        <w:t xml:space="preserve">Upon </w:t>
      </w:r>
      <w:r w:rsidR="00C22667" w:rsidRPr="00E00086">
        <w:rPr>
          <w:lang w:val="en-GB"/>
        </w:rPr>
        <w:t xml:space="preserve">the first </w:t>
      </w:r>
      <w:r w:rsidRPr="00E00086">
        <w:rPr>
          <w:lang w:val="en-GB"/>
        </w:rPr>
        <w:t xml:space="preserve">respondent’s attempts to execute the award, and a failure of settlement negotiations, the applicant launched an urgent application to this court for an order staying the effect of the arbitration award pending </w:t>
      </w:r>
      <w:r w:rsidR="00E00086">
        <w:rPr>
          <w:lang w:val="en-GB"/>
        </w:rPr>
        <w:t>finalisation</w:t>
      </w:r>
      <w:r w:rsidRPr="00E00086">
        <w:rPr>
          <w:lang w:val="en-GB"/>
        </w:rPr>
        <w:t xml:space="preserve"> of the appeal. </w:t>
      </w:r>
    </w:p>
    <w:p w14:paraId="55A8D32B" w14:textId="48B9ECB1" w:rsidR="000B4299" w:rsidRPr="00E00086" w:rsidRDefault="000B4299" w:rsidP="006426B1">
      <w:pPr>
        <w:rPr>
          <w:lang w:val="en-GB"/>
        </w:rPr>
      </w:pPr>
    </w:p>
    <w:p w14:paraId="1FBA1FF7" w14:textId="71B3701A" w:rsidR="000B4299" w:rsidRPr="00E00086" w:rsidRDefault="000B4299" w:rsidP="006426B1">
      <w:pPr>
        <w:rPr>
          <w:bCs/>
          <w:lang w:val="en-GB"/>
        </w:rPr>
      </w:pPr>
      <w:r w:rsidRPr="00E00086">
        <w:rPr>
          <w:i/>
          <w:iCs/>
          <w:lang w:val="en-GB"/>
        </w:rPr>
        <w:t>Held</w:t>
      </w:r>
      <w:r w:rsidRPr="00E00086">
        <w:rPr>
          <w:lang w:val="en-GB"/>
        </w:rPr>
        <w:t xml:space="preserve">: </w:t>
      </w:r>
      <w:r w:rsidR="006426B1" w:rsidRPr="00E00086">
        <w:rPr>
          <w:lang w:val="en-GB"/>
        </w:rPr>
        <w:t>a</w:t>
      </w:r>
      <w:r w:rsidRPr="00E00086">
        <w:rPr>
          <w:lang w:val="en-GB"/>
        </w:rPr>
        <w:t xml:space="preserve">pplications to stay executions of arbitration awards </w:t>
      </w:r>
      <w:r w:rsidR="008F54E4" w:rsidRPr="00E00086">
        <w:rPr>
          <w:lang w:val="en-GB"/>
        </w:rPr>
        <w:t>pending finalis</w:t>
      </w:r>
      <w:r w:rsidRPr="00E00086">
        <w:rPr>
          <w:lang w:val="en-GB"/>
        </w:rPr>
        <w:t xml:space="preserve">ation of an appeal </w:t>
      </w:r>
      <w:r w:rsidR="004A69DF" w:rsidRPr="00E00086">
        <w:rPr>
          <w:lang w:val="en-GB"/>
        </w:rPr>
        <w:t xml:space="preserve">are </w:t>
      </w:r>
      <w:r w:rsidR="00A57092" w:rsidRPr="00E00086">
        <w:rPr>
          <w:lang w:val="en-GB"/>
        </w:rPr>
        <w:t>governed</w:t>
      </w:r>
      <w:r w:rsidR="00F23612" w:rsidRPr="00E00086">
        <w:rPr>
          <w:lang w:val="en-GB"/>
        </w:rPr>
        <w:t xml:space="preserve"> by s</w:t>
      </w:r>
      <w:r w:rsidR="008F54E4" w:rsidRPr="00E00086">
        <w:rPr>
          <w:lang w:val="en-GB"/>
        </w:rPr>
        <w:t xml:space="preserve"> </w:t>
      </w:r>
      <w:r w:rsidR="00F23612" w:rsidRPr="00E00086">
        <w:rPr>
          <w:lang w:val="en-GB"/>
        </w:rPr>
        <w:t xml:space="preserve">89 of the Labour Act, and </w:t>
      </w:r>
      <w:r w:rsidRPr="00E00086">
        <w:rPr>
          <w:lang w:val="en-GB"/>
        </w:rPr>
        <w:t xml:space="preserve">are by their </w:t>
      </w:r>
      <w:r w:rsidRPr="00E00086">
        <w:rPr>
          <w:bCs/>
          <w:lang w:val="en-GB"/>
        </w:rPr>
        <w:t xml:space="preserve">nature inherently urgent, provided the execution is reasonably imminent and </w:t>
      </w:r>
      <w:r w:rsidR="00F23612" w:rsidRPr="00E00086">
        <w:rPr>
          <w:bCs/>
          <w:lang w:val="en-GB"/>
        </w:rPr>
        <w:t xml:space="preserve">the </w:t>
      </w:r>
      <w:r w:rsidRPr="00E00086">
        <w:rPr>
          <w:bCs/>
          <w:lang w:val="en-GB"/>
        </w:rPr>
        <w:t xml:space="preserve">applicant is not guilty of any blameable conduct in not bringing the application timeously. The applicant </w:t>
      </w:r>
      <w:r w:rsidR="004D1BDB" w:rsidRPr="00E00086">
        <w:rPr>
          <w:bCs/>
          <w:lang w:val="en-GB"/>
        </w:rPr>
        <w:t xml:space="preserve">presented facts demonstrating that execution was reasonably imminent and that it had not committed </w:t>
      </w:r>
      <w:r w:rsidR="00DA3D82" w:rsidRPr="00E00086">
        <w:rPr>
          <w:bCs/>
          <w:lang w:val="en-GB"/>
        </w:rPr>
        <w:t xml:space="preserve">blameworthy conduct.  The matter was accordingly heard as urgent.  </w:t>
      </w:r>
    </w:p>
    <w:p w14:paraId="0F2C6718" w14:textId="77777777" w:rsidR="00A57092" w:rsidRPr="00E00086" w:rsidRDefault="00A57092" w:rsidP="006426B1">
      <w:pPr>
        <w:rPr>
          <w:bCs/>
          <w:lang w:val="en-GB"/>
        </w:rPr>
      </w:pPr>
    </w:p>
    <w:p w14:paraId="6934B025" w14:textId="7C087ED2" w:rsidR="00A57092" w:rsidRPr="00E00086" w:rsidRDefault="00A57092" w:rsidP="006426B1">
      <w:pPr>
        <w:rPr>
          <w:lang w:val="en-GB"/>
        </w:rPr>
      </w:pPr>
      <w:r w:rsidRPr="00E00086">
        <w:rPr>
          <w:bCs/>
          <w:i/>
          <w:iCs/>
          <w:lang w:val="en-GB"/>
        </w:rPr>
        <w:t>Held</w:t>
      </w:r>
      <w:r w:rsidRPr="00E00086">
        <w:rPr>
          <w:bCs/>
          <w:lang w:val="en-GB"/>
        </w:rPr>
        <w:t xml:space="preserve">: </w:t>
      </w:r>
      <w:r w:rsidRPr="00E00086">
        <w:rPr>
          <w:lang w:val="en-GB"/>
        </w:rPr>
        <w:t xml:space="preserve">the factors to be taken into consideration when dealing with an application for </w:t>
      </w:r>
      <w:r w:rsidR="00F23612" w:rsidRPr="00E00086">
        <w:rPr>
          <w:lang w:val="en-GB"/>
        </w:rPr>
        <w:t xml:space="preserve">a </w:t>
      </w:r>
      <w:r w:rsidRPr="00E00086">
        <w:rPr>
          <w:lang w:val="en-GB"/>
        </w:rPr>
        <w:t xml:space="preserve">stay of execution of an arbitration award pending </w:t>
      </w:r>
      <w:r w:rsidR="008F54E4" w:rsidRPr="00E00086">
        <w:rPr>
          <w:lang w:val="en-GB"/>
        </w:rPr>
        <w:t>finalis</w:t>
      </w:r>
      <w:r w:rsidR="00F23612" w:rsidRPr="00E00086">
        <w:rPr>
          <w:lang w:val="en-GB"/>
        </w:rPr>
        <w:t>ation</w:t>
      </w:r>
      <w:r w:rsidRPr="00E00086">
        <w:rPr>
          <w:lang w:val="en-GB"/>
        </w:rPr>
        <w:t xml:space="preserve"> of an appeal include </w:t>
      </w:r>
      <w:r w:rsidRPr="00E00086">
        <w:rPr>
          <w:rFonts w:cs="Times New Roman"/>
          <w:bCs/>
          <w:spacing w:val="0"/>
          <w:szCs w:val="22"/>
          <w:lang w:val="en-GB"/>
        </w:rPr>
        <w:t>(a)</w:t>
      </w:r>
      <w:r w:rsidR="00F23612" w:rsidRPr="00E00086">
        <w:rPr>
          <w:rFonts w:cs="Times New Roman"/>
          <w:bCs/>
          <w:spacing w:val="0"/>
          <w:szCs w:val="22"/>
          <w:lang w:val="en-GB"/>
        </w:rPr>
        <w:t xml:space="preserve"> </w:t>
      </w:r>
      <w:r w:rsidRPr="00E00086">
        <w:rPr>
          <w:lang w:val="en-GB"/>
        </w:rPr>
        <w:t>the potentiality of irreparable harm or prejudice being sustained by the appellant on appeal if leave to execute were to be granted; (b) the potentiality of irreparable harm or prejudice being sustained by the respondent on appeal if leave to execute were to be refused; (c) the prospect of success on appeal, including the question as to whether the appeal is frivolous or vexatious or has been noted not with a bona fide intention to reverse the judgment but for some indirect purpose, e.g. to gain time or to harass the other party; (d)</w:t>
      </w:r>
      <w:r w:rsidR="00F23612" w:rsidRPr="00E00086">
        <w:rPr>
          <w:lang w:val="en-GB"/>
        </w:rPr>
        <w:t xml:space="preserve"> </w:t>
      </w:r>
      <w:r w:rsidR="00DA3D82" w:rsidRPr="00E00086">
        <w:rPr>
          <w:lang w:val="en-GB"/>
        </w:rPr>
        <w:t xml:space="preserve">where </w:t>
      </w:r>
      <w:r w:rsidRPr="00E00086">
        <w:rPr>
          <w:lang w:val="en-GB"/>
        </w:rPr>
        <w:t xml:space="preserve">there is the potentiality of irreparable harm or prejudice to both the appellant and the respondent, </w:t>
      </w:r>
      <w:r w:rsidR="00DA3D82" w:rsidRPr="00E00086">
        <w:rPr>
          <w:lang w:val="en-GB"/>
        </w:rPr>
        <w:t xml:space="preserve">the </w:t>
      </w:r>
      <w:r w:rsidRPr="00E00086">
        <w:rPr>
          <w:lang w:val="en-GB"/>
        </w:rPr>
        <w:t>balance of hardship or convenience, as the case may be.</w:t>
      </w:r>
    </w:p>
    <w:p w14:paraId="2FEF41F1" w14:textId="255667B7" w:rsidR="00A57092" w:rsidRPr="00E00086" w:rsidRDefault="00A57092" w:rsidP="006426B1">
      <w:pPr>
        <w:rPr>
          <w:lang w:val="en-GB"/>
        </w:rPr>
      </w:pPr>
    </w:p>
    <w:p w14:paraId="53BC8E75" w14:textId="64026D31" w:rsidR="00346161" w:rsidRPr="00E00086" w:rsidRDefault="00F23612" w:rsidP="006426B1">
      <w:pPr>
        <w:rPr>
          <w:bCs/>
          <w:lang w:val="en-GB"/>
        </w:rPr>
      </w:pPr>
      <w:r w:rsidRPr="00E00086">
        <w:rPr>
          <w:bCs/>
          <w:i/>
          <w:iCs/>
          <w:lang w:val="en-GB"/>
        </w:rPr>
        <w:t>Held:</w:t>
      </w:r>
      <w:r w:rsidR="00A57092" w:rsidRPr="00E00086">
        <w:rPr>
          <w:bCs/>
          <w:lang w:val="en-GB"/>
        </w:rPr>
        <w:t xml:space="preserve"> </w:t>
      </w:r>
      <w:r w:rsidR="006426B1" w:rsidRPr="00E00086">
        <w:rPr>
          <w:bCs/>
          <w:lang w:val="en-GB"/>
        </w:rPr>
        <w:t>o</w:t>
      </w:r>
      <w:r w:rsidR="00A57092" w:rsidRPr="00E00086">
        <w:rPr>
          <w:bCs/>
          <w:lang w:val="en-GB"/>
        </w:rPr>
        <w:t>n the facts of the case the balance of irreparable harm favour</w:t>
      </w:r>
      <w:r w:rsidR="004A69DF" w:rsidRPr="00E00086">
        <w:rPr>
          <w:bCs/>
          <w:lang w:val="en-GB"/>
        </w:rPr>
        <w:t>ed</w:t>
      </w:r>
      <w:r w:rsidR="00A57092" w:rsidRPr="00E00086">
        <w:rPr>
          <w:bCs/>
          <w:lang w:val="en-GB"/>
        </w:rPr>
        <w:t xml:space="preserve"> the </w:t>
      </w:r>
      <w:r w:rsidRPr="00E00086">
        <w:rPr>
          <w:bCs/>
          <w:lang w:val="en-GB"/>
        </w:rPr>
        <w:t xml:space="preserve">first </w:t>
      </w:r>
      <w:r w:rsidR="00A57092" w:rsidRPr="00E00086">
        <w:rPr>
          <w:bCs/>
          <w:lang w:val="en-GB"/>
        </w:rPr>
        <w:t>respondent who had lost everything</w:t>
      </w:r>
      <w:r w:rsidR="00DA3D82" w:rsidRPr="00E00086">
        <w:rPr>
          <w:bCs/>
          <w:lang w:val="en-GB"/>
        </w:rPr>
        <w:t>,</w:t>
      </w:r>
      <w:r w:rsidR="00A57092" w:rsidRPr="00E00086">
        <w:rPr>
          <w:bCs/>
          <w:lang w:val="en-GB"/>
        </w:rPr>
        <w:t xml:space="preserve"> </w:t>
      </w:r>
      <w:r w:rsidR="00DA3D82" w:rsidRPr="00E00086">
        <w:rPr>
          <w:bCs/>
          <w:lang w:val="en-GB"/>
        </w:rPr>
        <w:t xml:space="preserve">fallen </w:t>
      </w:r>
      <w:r w:rsidR="00A57092" w:rsidRPr="00E00086">
        <w:rPr>
          <w:bCs/>
          <w:lang w:val="en-GB"/>
        </w:rPr>
        <w:t>significantly in</w:t>
      </w:r>
      <w:r w:rsidR="00DA3D82" w:rsidRPr="00E00086">
        <w:rPr>
          <w:bCs/>
          <w:lang w:val="en-GB"/>
        </w:rPr>
        <w:t>to</w:t>
      </w:r>
      <w:r w:rsidR="00A57092" w:rsidRPr="00E00086">
        <w:rPr>
          <w:bCs/>
          <w:lang w:val="en-GB"/>
        </w:rPr>
        <w:t xml:space="preserve"> debt and </w:t>
      </w:r>
      <w:r w:rsidR="00DA3D82" w:rsidRPr="00E00086">
        <w:rPr>
          <w:bCs/>
          <w:lang w:val="en-GB"/>
        </w:rPr>
        <w:t xml:space="preserve">became </w:t>
      </w:r>
      <w:r w:rsidR="00A57092" w:rsidRPr="00E00086">
        <w:rPr>
          <w:bCs/>
          <w:lang w:val="en-GB"/>
        </w:rPr>
        <w:t>unable to care for her children</w:t>
      </w:r>
      <w:r w:rsidR="00DA3D82" w:rsidRPr="00E00086">
        <w:rPr>
          <w:bCs/>
          <w:lang w:val="en-GB"/>
        </w:rPr>
        <w:t xml:space="preserve">.  She now </w:t>
      </w:r>
      <w:r w:rsidR="00A57092" w:rsidRPr="00E00086">
        <w:rPr>
          <w:bCs/>
          <w:lang w:val="en-GB"/>
        </w:rPr>
        <w:t xml:space="preserve">stood to lose her immovable property and vehicle if the execution of the award was stayed. </w:t>
      </w:r>
      <w:r w:rsidR="004A69DF" w:rsidRPr="00E00086">
        <w:rPr>
          <w:bCs/>
          <w:lang w:val="en-GB"/>
        </w:rPr>
        <w:t>If paid compensation and reinstated in terms of the award</w:t>
      </w:r>
      <w:r w:rsidRPr="00E00086">
        <w:rPr>
          <w:bCs/>
          <w:lang w:val="en-GB"/>
        </w:rPr>
        <w:t>,</w:t>
      </w:r>
      <w:r w:rsidR="004A69DF" w:rsidRPr="00E00086">
        <w:rPr>
          <w:bCs/>
          <w:lang w:val="en-GB"/>
        </w:rPr>
        <w:t xml:space="preserve"> the</w:t>
      </w:r>
      <w:r w:rsidR="00DD615C">
        <w:rPr>
          <w:bCs/>
          <w:lang w:val="en-GB"/>
        </w:rPr>
        <w:t xml:space="preserve"> first</w:t>
      </w:r>
      <w:r w:rsidR="004A69DF" w:rsidRPr="00E00086">
        <w:rPr>
          <w:bCs/>
          <w:lang w:val="en-GB"/>
        </w:rPr>
        <w:t xml:space="preserve"> respondent would be able to continue </w:t>
      </w:r>
      <w:r w:rsidR="004A69DF" w:rsidRPr="00E00086">
        <w:rPr>
          <w:bCs/>
          <w:lang w:val="en-GB"/>
        </w:rPr>
        <w:lastRenderedPageBreak/>
        <w:t xml:space="preserve">making payments on her home and vehicle, and </w:t>
      </w:r>
      <w:r w:rsidRPr="00E00086">
        <w:rPr>
          <w:bCs/>
          <w:lang w:val="en-GB"/>
        </w:rPr>
        <w:t xml:space="preserve">same would not be repossessed. </w:t>
      </w:r>
      <w:r w:rsidR="00346161" w:rsidRPr="00E00086">
        <w:rPr>
          <w:bCs/>
          <w:lang w:val="en-GB"/>
        </w:rPr>
        <w:t xml:space="preserve">Section </w:t>
      </w:r>
      <w:r w:rsidR="00A57092" w:rsidRPr="00E00086">
        <w:rPr>
          <w:bCs/>
          <w:lang w:val="en-GB"/>
        </w:rPr>
        <w:t>89(7)(</w:t>
      </w:r>
      <w:r w:rsidR="00A57092" w:rsidRPr="00E00086">
        <w:rPr>
          <w:bCs/>
          <w:i/>
          <w:lang w:val="en-GB"/>
        </w:rPr>
        <w:t>b</w:t>
      </w:r>
      <w:r w:rsidR="00A57092" w:rsidRPr="00E00086">
        <w:rPr>
          <w:bCs/>
          <w:lang w:val="en-GB"/>
        </w:rPr>
        <w:t xml:space="preserve">) </w:t>
      </w:r>
      <w:r w:rsidR="008F54E4" w:rsidRPr="00E00086">
        <w:rPr>
          <w:bCs/>
          <w:lang w:val="en-GB"/>
        </w:rPr>
        <w:t xml:space="preserve">is </w:t>
      </w:r>
      <w:r w:rsidR="00A57092" w:rsidRPr="00E00086">
        <w:rPr>
          <w:bCs/>
          <w:lang w:val="en-GB"/>
        </w:rPr>
        <w:t xml:space="preserve">accordingly applicable. </w:t>
      </w:r>
    </w:p>
    <w:p w14:paraId="60DE339E" w14:textId="77777777" w:rsidR="00346161" w:rsidRPr="00E00086" w:rsidRDefault="00346161" w:rsidP="006426B1">
      <w:pPr>
        <w:rPr>
          <w:bCs/>
          <w:lang w:val="en-GB"/>
        </w:rPr>
      </w:pPr>
    </w:p>
    <w:p w14:paraId="0CCDB336" w14:textId="26067BFC" w:rsidR="00F168F9" w:rsidRPr="00E00086" w:rsidRDefault="00346161" w:rsidP="006426B1">
      <w:pPr>
        <w:rPr>
          <w:bCs/>
          <w:lang w:val="en-GB"/>
        </w:rPr>
      </w:pPr>
      <w:r w:rsidRPr="00E00086">
        <w:rPr>
          <w:bCs/>
          <w:i/>
          <w:iCs/>
          <w:lang w:val="en-GB"/>
        </w:rPr>
        <w:t xml:space="preserve">Held: </w:t>
      </w:r>
      <w:r w:rsidR="006426B1" w:rsidRPr="00E00086">
        <w:rPr>
          <w:bCs/>
          <w:lang w:val="en-GB"/>
        </w:rPr>
        <w:t>i</w:t>
      </w:r>
      <w:r w:rsidR="00A57092" w:rsidRPr="00E00086">
        <w:rPr>
          <w:bCs/>
          <w:lang w:val="en-GB"/>
        </w:rPr>
        <w:t xml:space="preserve">n any event, prospects of success were at best for the applicant, evenly balanced-especially in the absence of a proper record. Application dismissed. </w:t>
      </w:r>
    </w:p>
    <w:p w14:paraId="43CE6C91" w14:textId="77777777" w:rsidR="00346161" w:rsidRPr="00E00086" w:rsidRDefault="00346161" w:rsidP="006426B1">
      <w:pPr>
        <w:rPr>
          <w:bCs/>
          <w:lang w:val="en-GB"/>
        </w:rPr>
      </w:pPr>
    </w:p>
    <w:p w14:paraId="6BE47DE3" w14:textId="77777777" w:rsidR="00853524" w:rsidRPr="00E00086" w:rsidRDefault="00000000" w:rsidP="006426B1">
      <w:pPr>
        <w:rPr>
          <w:bCs/>
          <w:lang w:val="en-GB"/>
        </w:rPr>
      </w:pPr>
      <w:r>
        <w:rPr>
          <w:bCs/>
          <w:lang w:val="en-GB"/>
        </w:rPr>
        <w:pict w14:anchorId="5E7E26FB">
          <v:rect id="_x0000_i1025" style="width:0;height:1.5pt" o:hralign="center" o:hrstd="t" o:hr="t" fillcolor="#a0a0a0" stroked="f"/>
        </w:pict>
      </w:r>
    </w:p>
    <w:p w14:paraId="37BE7084" w14:textId="4192C691" w:rsidR="00853524" w:rsidRPr="00E00086" w:rsidRDefault="001F6CB9" w:rsidP="006426B1">
      <w:pPr>
        <w:jc w:val="center"/>
        <w:rPr>
          <w:b/>
          <w:bCs/>
          <w:lang w:val="en-GB"/>
        </w:rPr>
      </w:pPr>
      <w:r w:rsidRPr="00E00086">
        <w:rPr>
          <w:b/>
          <w:bCs/>
          <w:lang w:val="en-GB"/>
        </w:rPr>
        <w:t>ORDER</w:t>
      </w:r>
    </w:p>
    <w:p w14:paraId="1FEF45F5" w14:textId="77777777" w:rsidR="00853524" w:rsidRPr="00E00086" w:rsidRDefault="00000000" w:rsidP="006426B1">
      <w:pPr>
        <w:jc w:val="center"/>
        <w:rPr>
          <w:b/>
          <w:bCs/>
          <w:lang w:val="en-GB"/>
        </w:rPr>
      </w:pPr>
      <w:r>
        <w:rPr>
          <w:bCs/>
          <w:lang w:val="en-GB"/>
        </w:rPr>
        <w:pict w14:anchorId="28AA4E8A">
          <v:rect id="_x0000_i1026" style="width:0;height:1.5pt" o:hralign="center" o:hrstd="t" o:hr="t" fillcolor="#a0a0a0" stroked="f"/>
        </w:pict>
      </w:r>
    </w:p>
    <w:p w14:paraId="395B7EDA" w14:textId="77777777" w:rsidR="00853524" w:rsidRPr="00E00086" w:rsidRDefault="00853524" w:rsidP="006426B1">
      <w:pPr>
        <w:rPr>
          <w:bCs/>
          <w:lang w:val="en-GB"/>
        </w:rPr>
      </w:pPr>
    </w:p>
    <w:p w14:paraId="50429052" w14:textId="3517E6C5" w:rsidR="00B30C78" w:rsidRPr="00E00086" w:rsidRDefault="004A7ADF" w:rsidP="004A7ADF">
      <w:pPr>
        <w:pStyle w:val="Heading1"/>
        <w:numPr>
          <w:ilvl w:val="0"/>
          <w:numId w:val="0"/>
        </w:numPr>
        <w:rPr>
          <w:lang w:val="en-GB"/>
        </w:rPr>
      </w:pPr>
      <w:bookmarkStart w:id="0" w:name="_Hlk131083820"/>
      <w:bookmarkStart w:id="1" w:name="_Hlk118988738"/>
      <w:bookmarkStart w:id="2" w:name="_Hlk112176695"/>
      <w:r w:rsidRPr="00E00086">
        <w:rPr>
          <w:lang w:val="en-GB"/>
        </w:rPr>
        <w:t>1.</w:t>
      </w:r>
      <w:r w:rsidRPr="00E00086">
        <w:rPr>
          <w:lang w:val="en-GB"/>
        </w:rPr>
        <w:tab/>
      </w:r>
      <w:r w:rsidR="00B30C78" w:rsidRPr="00E00086">
        <w:rPr>
          <w:lang w:val="en-GB"/>
        </w:rPr>
        <w:t>The applicant’s non-compliance with the forms, notices and services provided for in the rules of the Honourable Court is condoned, and the matter is heard as urgen</w:t>
      </w:r>
      <w:r w:rsidR="00F412EC" w:rsidRPr="00E00086">
        <w:rPr>
          <w:lang w:val="en-GB"/>
        </w:rPr>
        <w:t>t</w:t>
      </w:r>
      <w:r w:rsidR="00B30C78" w:rsidRPr="00E00086">
        <w:rPr>
          <w:lang w:val="en-GB"/>
        </w:rPr>
        <w:t xml:space="preserve">, as contemplated in terms of rule 6(24) of the rules </w:t>
      </w:r>
      <w:proofErr w:type="gramStart"/>
      <w:r w:rsidR="00B30C78" w:rsidRPr="00E00086">
        <w:rPr>
          <w:lang w:val="en-GB"/>
        </w:rPr>
        <w:t xml:space="preserve">of  </w:t>
      </w:r>
      <w:r w:rsidR="00F412EC" w:rsidRPr="00E00086">
        <w:rPr>
          <w:lang w:val="en-GB"/>
        </w:rPr>
        <w:t>the</w:t>
      </w:r>
      <w:proofErr w:type="gramEnd"/>
      <w:r w:rsidR="00F412EC" w:rsidRPr="00E00086">
        <w:rPr>
          <w:lang w:val="en-GB"/>
        </w:rPr>
        <w:t xml:space="preserve"> Labour </w:t>
      </w:r>
      <w:r w:rsidR="00B30C78" w:rsidRPr="00E00086">
        <w:rPr>
          <w:lang w:val="en-GB"/>
        </w:rPr>
        <w:t>Court</w:t>
      </w:r>
      <w:r w:rsidR="00F412EC" w:rsidRPr="00E00086">
        <w:rPr>
          <w:lang w:val="en-GB"/>
        </w:rPr>
        <w:t xml:space="preserve"> Rules.</w:t>
      </w:r>
    </w:p>
    <w:p w14:paraId="729D749E" w14:textId="77777777" w:rsidR="00B30C78" w:rsidRPr="00E00086" w:rsidRDefault="00B30C78" w:rsidP="006426B1">
      <w:pPr>
        <w:rPr>
          <w:lang w:val="en-GB"/>
        </w:rPr>
      </w:pPr>
    </w:p>
    <w:p w14:paraId="705513F4" w14:textId="2B068B39" w:rsidR="00B30C78" w:rsidRPr="00E00086" w:rsidRDefault="004A7ADF" w:rsidP="004A7ADF">
      <w:pPr>
        <w:pStyle w:val="Heading1"/>
        <w:numPr>
          <w:ilvl w:val="0"/>
          <w:numId w:val="0"/>
        </w:numPr>
        <w:rPr>
          <w:lang w:val="en-GB"/>
        </w:rPr>
      </w:pPr>
      <w:r w:rsidRPr="00E00086">
        <w:rPr>
          <w:lang w:val="en-GB"/>
        </w:rPr>
        <w:t>2.</w:t>
      </w:r>
      <w:r w:rsidRPr="00E00086">
        <w:rPr>
          <w:lang w:val="en-GB"/>
        </w:rPr>
        <w:tab/>
      </w:r>
      <w:r w:rsidR="00F35E85">
        <w:rPr>
          <w:lang w:val="en-GB"/>
        </w:rPr>
        <w:t>The first respondent</w:t>
      </w:r>
      <w:r w:rsidR="00A57092" w:rsidRPr="00E00086">
        <w:rPr>
          <w:lang w:val="en-GB"/>
        </w:rPr>
        <w:t xml:space="preserve">’s </w:t>
      </w:r>
      <w:r w:rsidR="00B30C78" w:rsidRPr="00E00086">
        <w:rPr>
          <w:lang w:val="en-GB"/>
        </w:rPr>
        <w:t xml:space="preserve">points </w:t>
      </w:r>
      <w:r w:rsidR="00F412EC" w:rsidRPr="00E00086">
        <w:rPr>
          <w:i/>
          <w:iCs/>
          <w:lang w:val="en-GB"/>
        </w:rPr>
        <w:t>in</w:t>
      </w:r>
      <w:r w:rsidR="00B30C78" w:rsidRPr="00E00086">
        <w:rPr>
          <w:i/>
          <w:iCs/>
          <w:lang w:val="en-GB"/>
        </w:rPr>
        <w:t xml:space="preserve"> limine</w:t>
      </w:r>
      <w:r w:rsidR="00B30C78" w:rsidRPr="00E00086">
        <w:rPr>
          <w:lang w:val="en-GB"/>
        </w:rPr>
        <w:t xml:space="preserve"> are dismissed</w:t>
      </w:r>
      <w:r w:rsidR="00F412EC" w:rsidRPr="00E00086">
        <w:rPr>
          <w:lang w:val="en-GB"/>
        </w:rPr>
        <w:t>.</w:t>
      </w:r>
    </w:p>
    <w:p w14:paraId="03DAA865" w14:textId="77777777" w:rsidR="00B30C78" w:rsidRPr="00E00086" w:rsidRDefault="00B30C78" w:rsidP="006426B1">
      <w:pPr>
        <w:rPr>
          <w:lang w:val="en-GB"/>
        </w:rPr>
      </w:pPr>
    </w:p>
    <w:p w14:paraId="3372336F" w14:textId="66216AAE" w:rsidR="00B30C78" w:rsidRPr="00E00086" w:rsidRDefault="004A7ADF" w:rsidP="004A7ADF">
      <w:pPr>
        <w:pStyle w:val="Heading1"/>
        <w:numPr>
          <w:ilvl w:val="0"/>
          <w:numId w:val="0"/>
        </w:numPr>
        <w:rPr>
          <w:lang w:val="en-GB"/>
        </w:rPr>
      </w:pPr>
      <w:r w:rsidRPr="00E00086">
        <w:rPr>
          <w:lang w:val="en-GB"/>
        </w:rPr>
        <w:t>3.</w:t>
      </w:r>
      <w:r w:rsidRPr="00E00086">
        <w:rPr>
          <w:lang w:val="en-GB"/>
        </w:rPr>
        <w:tab/>
      </w:r>
      <w:r w:rsidR="00B30C78" w:rsidRPr="00E00086">
        <w:rPr>
          <w:lang w:val="en-GB"/>
        </w:rPr>
        <w:t xml:space="preserve">The application </w:t>
      </w:r>
      <w:r w:rsidR="00A57092" w:rsidRPr="00E00086">
        <w:rPr>
          <w:lang w:val="en-GB"/>
        </w:rPr>
        <w:t>for a stay of execution of the arbitration award in favour of the first respond</w:t>
      </w:r>
      <w:r w:rsidR="006800BF" w:rsidRPr="00E00086">
        <w:rPr>
          <w:lang w:val="en-GB"/>
        </w:rPr>
        <w:t>ent pending finalisation of the</w:t>
      </w:r>
      <w:r w:rsidR="00A57092" w:rsidRPr="00E00086">
        <w:rPr>
          <w:lang w:val="en-GB"/>
        </w:rPr>
        <w:t xml:space="preserve"> labour appeal is </w:t>
      </w:r>
      <w:r w:rsidR="00B30C78" w:rsidRPr="00E00086">
        <w:rPr>
          <w:lang w:val="en-GB"/>
        </w:rPr>
        <w:t>dismissed</w:t>
      </w:r>
      <w:r w:rsidR="00F412EC" w:rsidRPr="00E00086">
        <w:rPr>
          <w:lang w:val="en-GB"/>
        </w:rPr>
        <w:t>.</w:t>
      </w:r>
    </w:p>
    <w:p w14:paraId="5CCA4DF4" w14:textId="77777777" w:rsidR="00B30C78" w:rsidRPr="00E00086" w:rsidRDefault="00B30C78" w:rsidP="006426B1">
      <w:pPr>
        <w:rPr>
          <w:lang w:val="en-GB"/>
        </w:rPr>
      </w:pPr>
    </w:p>
    <w:p w14:paraId="6DAD6B82" w14:textId="3C24AD84" w:rsidR="00B30C78" w:rsidRPr="00E00086" w:rsidRDefault="004A7ADF" w:rsidP="004A7ADF">
      <w:pPr>
        <w:pStyle w:val="Heading1"/>
        <w:numPr>
          <w:ilvl w:val="0"/>
          <w:numId w:val="0"/>
        </w:numPr>
        <w:rPr>
          <w:lang w:val="en-GB"/>
        </w:rPr>
      </w:pPr>
      <w:r w:rsidRPr="00E00086">
        <w:rPr>
          <w:lang w:val="en-GB"/>
        </w:rPr>
        <w:t>4.</w:t>
      </w:r>
      <w:r w:rsidRPr="00E00086">
        <w:rPr>
          <w:lang w:val="en-GB"/>
        </w:rPr>
        <w:tab/>
      </w:r>
      <w:r w:rsidR="00B30C78" w:rsidRPr="00E00086">
        <w:rPr>
          <w:lang w:val="en-GB"/>
        </w:rPr>
        <w:t>There shall be no order as to costs</w:t>
      </w:r>
      <w:r w:rsidR="00F412EC" w:rsidRPr="00E00086">
        <w:rPr>
          <w:lang w:val="en-GB"/>
        </w:rPr>
        <w:t>.</w:t>
      </w:r>
    </w:p>
    <w:p w14:paraId="7E803ED5" w14:textId="77777777" w:rsidR="00B30C78" w:rsidRPr="00E00086" w:rsidRDefault="00B30C78" w:rsidP="006426B1">
      <w:pPr>
        <w:rPr>
          <w:lang w:val="en-GB"/>
        </w:rPr>
      </w:pPr>
    </w:p>
    <w:p w14:paraId="05D47F8D" w14:textId="50392A9D" w:rsidR="002A217F" w:rsidRPr="00E00086" w:rsidRDefault="004A7ADF" w:rsidP="004A7ADF">
      <w:pPr>
        <w:pStyle w:val="Heading1"/>
        <w:numPr>
          <w:ilvl w:val="0"/>
          <w:numId w:val="0"/>
        </w:numPr>
        <w:rPr>
          <w:lang w:val="en-GB"/>
        </w:rPr>
      </w:pPr>
      <w:r w:rsidRPr="00E00086">
        <w:rPr>
          <w:lang w:val="en-GB"/>
        </w:rPr>
        <w:t>5.</w:t>
      </w:r>
      <w:r w:rsidRPr="00E00086">
        <w:rPr>
          <w:lang w:val="en-GB"/>
        </w:rPr>
        <w:tab/>
      </w:r>
      <w:r w:rsidR="00B30C78" w:rsidRPr="00E00086">
        <w:rPr>
          <w:lang w:val="en-GB"/>
        </w:rPr>
        <w:t>The matter is finali</w:t>
      </w:r>
      <w:r w:rsidR="00F412EC" w:rsidRPr="00E00086">
        <w:rPr>
          <w:lang w:val="en-GB"/>
        </w:rPr>
        <w:t>s</w:t>
      </w:r>
      <w:r w:rsidR="00B30C78" w:rsidRPr="00E00086">
        <w:rPr>
          <w:lang w:val="en-GB"/>
        </w:rPr>
        <w:t>ed and removed from the roll.</w:t>
      </w:r>
      <w:bookmarkEnd w:id="0"/>
    </w:p>
    <w:p w14:paraId="5103D7C7" w14:textId="77777777" w:rsidR="00346161" w:rsidRPr="00E00086" w:rsidRDefault="00346161" w:rsidP="006426B1">
      <w:pPr>
        <w:rPr>
          <w:lang w:val="en-GB"/>
        </w:rPr>
      </w:pPr>
    </w:p>
    <w:bookmarkEnd w:id="1"/>
    <w:bookmarkEnd w:id="2"/>
    <w:p w14:paraId="6BCDA908" w14:textId="77777777" w:rsidR="00853524" w:rsidRPr="00E00086" w:rsidRDefault="00000000" w:rsidP="006426B1">
      <w:pPr>
        <w:rPr>
          <w:bCs/>
          <w:lang w:val="en-GB"/>
        </w:rPr>
      </w:pPr>
      <w:r>
        <w:rPr>
          <w:bCs/>
          <w:lang w:val="en-GB"/>
        </w:rPr>
        <w:pict w14:anchorId="2893D86E">
          <v:rect id="_x0000_i1027" style="width:0;height:1.5pt" o:hralign="center" o:hrstd="t" o:hr="t" fillcolor="#a0a0a0" stroked="f"/>
        </w:pict>
      </w:r>
    </w:p>
    <w:p w14:paraId="4BDA99AF" w14:textId="283B76EE" w:rsidR="00853524" w:rsidRPr="00E00086" w:rsidRDefault="001F6CB9" w:rsidP="006426B1">
      <w:pPr>
        <w:jc w:val="center"/>
        <w:rPr>
          <w:b/>
          <w:lang w:val="en-GB"/>
        </w:rPr>
      </w:pPr>
      <w:r w:rsidRPr="00E00086">
        <w:rPr>
          <w:b/>
          <w:lang w:val="en-GB"/>
        </w:rPr>
        <w:t>JUDGMENT</w:t>
      </w:r>
    </w:p>
    <w:p w14:paraId="1C469921" w14:textId="77777777" w:rsidR="00853524" w:rsidRPr="00E00086" w:rsidRDefault="00000000" w:rsidP="006426B1">
      <w:pPr>
        <w:jc w:val="center"/>
        <w:rPr>
          <w:b/>
          <w:lang w:val="en-GB"/>
        </w:rPr>
      </w:pPr>
      <w:r>
        <w:rPr>
          <w:bCs/>
          <w:lang w:val="en-GB"/>
        </w:rPr>
        <w:pict w14:anchorId="4AE2B4B3">
          <v:rect id="_x0000_i1028" style="width:0;height:1.5pt" o:hralign="center" o:hrstd="t" o:hr="t" fillcolor="#a0a0a0" stroked="f"/>
        </w:pict>
      </w:r>
    </w:p>
    <w:p w14:paraId="249A22DE" w14:textId="77777777" w:rsidR="005368A3" w:rsidRPr="00E00086" w:rsidRDefault="005368A3" w:rsidP="006426B1">
      <w:pPr>
        <w:rPr>
          <w:lang w:val="en-GB"/>
        </w:rPr>
      </w:pPr>
    </w:p>
    <w:p w14:paraId="20DE4A02" w14:textId="39D491AA" w:rsidR="00F412EC" w:rsidRPr="00E00086" w:rsidRDefault="006F4DCB" w:rsidP="006426B1">
      <w:pPr>
        <w:rPr>
          <w:lang w:val="en-GB"/>
        </w:rPr>
      </w:pPr>
      <w:r w:rsidRPr="00E00086">
        <w:rPr>
          <w:lang w:val="en-GB"/>
        </w:rPr>
        <w:t>SCHIMMING-CHASE</w:t>
      </w:r>
      <w:r w:rsidR="00853524" w:rsidRPr="00E00086">
        <w:rPr>
          <w:lang w:val="en-GB"/>
        </w:rPr>
        <w:t xml:space="preserve"> J</w:t>
      </w:r>
      <w:r w:rsidRPr="00E00086">
        <w:rPr>
          <w:lang w:val="en-GB"/>
        </w:rPr>
        <w:t>:</w:t>
      </w:r>
    </w:p>
    <w:p w14:paraId="0ACA00A0" w14:textId="77777777" w:rsidR="00F412EC" w:rsidRPr="00E00086" w:rsidRDefault="00F412EC" w:rsidP="006426B1">
      <w:pPr>
        <w:pStyle w:val="ListParagraph"/>
        <w:spacing w:after="0"/>
        <w:contextualSpacing w:val="0"/>
        <w:rPr>
          <w:lang w:val="en-GB"/>
        </w:rPr>
      </w:pPr>
    </w:p>
    <w:p w14:paraId="7E029BD8" w14:textId="4F4975CD" w:rsidR="005671FD" w:rsidRPr="00E00086" w:rsidRDefault="004A7ADF" w:rsidP="004A7ADF">
      <w:pPr>
        <w:pStyle w:val="Heading1"/>
        <w:numPr>
          <w:ilvl w:val="0"/>
          <w:numId w:val="0"/>
        </w:numPr>
        <w:rPr>
          <w:lang w:val="en-GB"/>
        </w:rPr>
      </w:pPr>
      <w:r w:rsidRPr="00E00086">
        <w:rPr>
          <w:lang w:val="en-GB"/>
        </w:rPr>
        <w:t>[1]</w:t>
      </w:r>
      <w:r w:rsidRPr="00E00086">
        <w:rPr>
          <w:lang w:val="en-GB"/>
        </w:rPr>
        <w:tab/>
      </w:r>
      <w:r w:rsidR="00F412EC" w:rsidRPr="00E00086">
        <w:rPr>
          <w:lang w:val="en-GB"/>
        </w:rPr>
        <w:t>This is an urgent application in terms of sec</w:t>
      </w:r>
      <w:r w:rsidR="008F54E4" w:rsidRPr="00E00086">
        <w:rPr>
          <w:lang w:val="en-GB"/>
        </w:rPr>
        <w:t>tion 89(7) of the Labour Act</w:t>
      </w:r>
      <w:r w:rsidR="00F412EC" w:rsidRPr="00E00086">
        <w:rPr>
          <w:lang w:val="en-GB"/>
        </w:rPr>
        <w:t xml:space="preserve"> 11 of 2007, hereinafter (“the Act”) for </w:t>
      </w:r>
      <w:r w:rsidR="00BB4AB5" w:rsidRPr="00E00086">
        <w:rPr>
          <w:lang w:val="en-GB"/>
        </w:rPr>
        <w:t xml:space="preserve">an order suspending the operation of </w:t>
      </w:r>
      <w:proofErr w:type="gramStart"/>
      <w:r w:rsidR="00F412EC" w:rsidRPr="00E00086">
        <w:rPr>
          <w:lang w:val="en-GB"/>
        </w:rPr>
        <w:t>an  arbitration</w:t>
      </w:r>
      <w:proofErr w:type="gramEnd"/>
      <w:r w:rsidR="00F412EC" w:rsidRPr="00E00086">
        <w:rPr>
          <w:lang w:val="en-GB"/>
        </w:rPr>
        <w:t xml:space="preserve"> award made on 29 August 2022, under case number CRWK 841-20 </w:t>
      </w:r>
      <w:r w:rsidR="005671FD" w:rsidRPr="00E00086">
        <w:rPr>
          <w:lang w:val="en-GB"/>
        </w:rPr>
        <w:t xml:space="preserve">in terms of </w:t>
      </w:r>
      <w:r w:rsidR="00F412EC" w:rsidRPr="00E00086">
        <w:rPr>
          <w:lang w:val="en-GB"/>
        </w:rPr>
        <w:t>s</w:t>
      </w:r>
      <w:r w:rsidR="008F54E4" w:rsidRPr="00E00086">
        <w:rPr>
          <w:lang w:val="en-GB"/>
        </w:rPr>
        <w:t xml:space="preserve"> </w:t>
      </w:r>
      <w:r w:rsidR="00F412EC" w:rsidRPr="00E00086">
        <w:rPr>
          <w:lang w:val="en-GB"/>
        </w:rPr>
        <w:t>89(6)(</w:t>
      </w:r>
      <w:r w:rsidR="00F412EC" w:rsidRPr="00E00086">
        <w:rPr>
          <w:i/>
          <w:lang w:val="en-GB"/>
        </w:rPr>
        <w:t>b</w:t>
      </w:r>
      <w:r w:rsidR="00F412EC" w:rsidRPr="00E00086">
        <w:rPr>
          <w:lang w:val="en-GB"/>
        </w:rPr>
        <w:t xml:space="preserve">) of the Act. These orders are sought pending the final </w:t>
      </w:r>
      <w:r w:rsidR="00F412EC" w:rsidRPr="00E00086">
        <w:rPr>
          <w:lang w:val="en-GB"/>
        </w:rPr>
        <w:lastRenderedPageBreak/>
        <w:t xml:space="preserve">determination of </w:t>
      </w:r>
      <w:r w:rsidR="005671FD" w:rsidRPr="00E00086">
        <w:rPr>
          <w:lang w:val="en-GB"/>
        </w:rPr>
        <w:t xml:space="preserve">an </w:t>
      </w:r>
      <w:r w:rsidR="00F412EC" w:rsidRPr="00E00086">
        <w:rPr>
          <w:lang w:val="en-GB"/>
        </w:rPr>
        <w:t xml:space="preserve">appeal </w:t>
      </w:r>
      <w:r w:rsidR="005671FD" w:rsidRPr="00E00086">
        <w:rPr>
          <w:lang w:val="en-GB"/>
        </w:rPr>
        <w:t xml:space="preserve">noted by the applicant </w:t>
      </w:r>
      <w:r w:rsidR="00F412EC" w:rsidRPr="00E00086">
        <w:rPr>
          <w:lang w:val="en-GB"/>
        </w:rPr>
        <w:t xml:space="preserve">against the </w:t>
      </w:r>
      <w:r w:rsidR="005671FD" w:rsidRPr="00E00086">
        <w:rPr>
          <w:lang w:val="en-GB"/>
        </w:rPr>
        <w:t xml:space="preserve">arbitration </w:t>
      </w:r>
      <w:r w:rsidR="00F412EC" w:rsidRPr="00E00086">
        <w:rPr>
          <w:lang w:val="en-GB"/>
        </w:rPr>
        <w:t>award on 15 February 2023, under case number HC-MD-L</w:t>
      </w:r>
      <w:r w:rsidR="00F23612" w:rsidRPr="00E00086">
        <w:rPr>
          <w:lang w:val="en-GB"/>
        </w:rPr>
        <w:t>AB-APP-AAA-2023/00015, in this C</w:t>
      </w:r>
      <w:r w:rsidR="00F412EC" w:rsidRPr="00E00086">
        <w:rPr>
          <w:lang w:val="en-GB"/>
        </w:rPr>
        <w:t>ourt.</w:t>
      </w:r>
    </w:p>
    <w:p w14:paraId="2ACAAA29" w14:textId="77777777" w:rsidR="00346161" w:rsidRPr="00E00086" w:rsidRDefault="00346161" w:rsidP="006426B1">
      <w:pPr>
        <w:outlineLvl w:val="0"/>
        <w:rPr>
          <w:lang w:val="en-GB"/>
        </w:rPr>
      </w:pPr>
    </w:p>
    <w:p w14:paraId="35FDF68F" w14:textId="4514F009" w:rsidR="00F412EC" w:rsidRPr="00E00086" w:rsidRDefault="004A7ADF" w:rsidP="004A7ADF">
      <w:pPr>
        <w:pStyle w:val="Heading1"/>
        <w:numPr>
          <w:ilvl w:val="0"/>
          <w:numId w:val="0"/>
        </w:numPr>
        <w:rPr>
          <w:lang w:val="en-GB"/>
        </w:rPr>
      </w:pPr>
      <w:r w:rsidRPr="00E00086">
        <w:rPr>
          <w:lang w:val="en-GB"/>
        </w:rPr>
        <w:t>[2]</w:t>
      </w:r>
      <w:r w:rsidRPr="00E00086">
        <w:rPr>
          <w:lang w:val="en-GB"/>
        </w:rPr>
        <w:tab/>
      </w:r>
      <w:r w:rsidR="00F412EC" w:rsidRPr="00E00086">
        <w:rPr>
          <w:lang w:val="en-GB"/>
        </w:rPr>
        <w:t xml:space="preserve">The applicant is the Namibian Standards Institution, a statutory body incorporated in terms of the Standards Act 18 of 2005. </w:t>
      </w:r>
    </w:p>
    <w:p w14:paraId="6AE88AF6" w14:textId="77777777" w:rsidR="00F412EC" w:rsidRPr="00E00086" w:rsidRDefault="00F412EC" w:rsidP="006426B1">
      <w:pPr>
        <w:pStyle w:val="ListParagraph"/>
        <w:spacing w:after="0"/>
        <w:contextualSpacing w:val="0"/>
        <w:rPr>
          <w:lang w:val="en-GB"/>
        </w:rPr>
      </w:pPr>
    </w:p>
    <w:p w14:paraId="50AEAEC3" w14:textId="2B144E84" w:rsidR="00A00431" w:rsidRPr="00E00086" w:rsidRDefault="004A7ADF" w:rsidP="004A7ADF">
      <w:pPr>
        <w:pStyle w:val="Heading1"/>
        <w:numPr>
          <w:ilvl w:val="0"/>
          <w:numId w:val="0"/>
        </w:numPr>
        <w:rPr>
          <w:lang w:val="en-GB"/>
        </w:rPr>
      </w:pPr>
      <w:r w:rsidRPr="00E00086">
        <w:rPr>
          <w:lang w:val="en-GB"/>
        </w:rPr>
        <w:t>[3]</w:t>
      </w:r>
      <w:r w:rsidRPr="00E00086">
        <w:rPr>
          <w:lang w:val="en-GB"/>
        </w:rPr>
        <w:tab/>
      </w:r>
      <w:r w:rsidR="00A00431" w:rsidRPr="00E00086">
        <w:rPr>
          <w:lang w:val="en-GB"/>
        </w:rPr>
        <w:t>The first respondent is Getrude Haukongo, an erstwhile employee of the applicant</w:t>
      </w:r>
      <w:r w:rsidR="005671FD" w:rsidRPr="00E00086">
        <w:rPr>
          <w:lang w:val="en-GB"/>
        </w:rPr>
        <w:t xml:space="preserve"> and the</w:t>
      </w:r>
      <w:r w:rsidR="00A00431" w:rsidRPr="00E00086">
        <w:rPr>
          <w:lang w:val="en-GB"/>
        </w:rPr>
        <w:t xml:space="preserve"> referring party in an arbitration proceeding between herself and the applicant</w:t>
      </w:r>
      <w:r w:rsidR="005671FD" w:rsidRPr="00E00086">
        <w:rPr>
          <w:lang w:val="en-GB"/>
        </w:rPr>
        <w:t>.</w:t>
      </w:r>
    </w:p>
    <w:p w14:paraId="1D015BD9" w14:textId="77777777" w:rsidR="005671FD" w:rsidRPr="00E00086" w:rsidRDefault="005671FD" w:rsidP="006426B1">
      <w:pPr>
        <w:outlineLvl w:val="0"/>
        <w:rPr>
          <w:lang w:val="en-GB"/>
        </w:rPr>
      </w:pPr>
    </w:p>
    <w:p w14:paraId="3890B50F" w14:textId="15A9B869" w:rsidR="006426B1" w:rsidRPr="00E00086" w:rsidRDefault="004A7ADF" w:rsidP="004A7ADF">
      <w:pPr>
        <w:pStyle w:val="Heading1"/>
        <w:numPr>
          <w:ilvl w:val="0"/>
          <w:numId w:val="0"/>
        </w:numPr>
        <w:rPr>
          <w:lang w:val="en-GB"/>
        </w:rPr>
      </w:pPr>
      <w:r w:rsidRPr="00E00086">
        <w:rPr>
          <w:lang w:val="en-GB"/>
        </w:rPr>
        <w:t>[4]</w:t>
      </w:r>
      <w:r w:rsidRPr="00E00086">
        <w:rPr>
          <w:lang w:val="en-GB"/>
        </w:rPr>
        <w:tab/>
      </w:r>
      <w:r w:rsidR="00A00431" w:rsidRPr="00E00086">
        <w:rPr>
          <w:lang w:val="en-GB"/>
        </w:rPr>
        <w:t>The second respondent is Ndateela Hamukwaya</w:t>
      </w:r>
      <w:r w:rsidR="00F23612" w:rsidRPr="00E00086">
        <w:rPr>
          <w:lang w:val="en-GB"/>
        </w:rPr>
        <w:t xml:space="preserve"> (“the arbitrator”)</w:t>
      </w:r>
      <w:r w:rsidR="005671FD" w:rsidRPr="00E00086">
        <w:rPr>
          <w:lang w:val="en-GB"/>
        </w:rPr>
        <w:t>,</w:t>
      </w:r>
      <w:r w:rsidR="00A00431" w:rsidRPr="00E00086">
        <w:rPr>
          <w:lang w:val="en-GB"/>
        </w:rPr>
        <w:t xml:space="preserve"> </w:t>
      </w:r>
      <w:r w:rsidR="005671FD" w:rsidRPr="00E00086">
        <w:rPr>
          <w:lang w:val="en-GB"/>
        </w:rPr>
        <w:t xml:space="preserve">cited in her capacity as </w:t>
      </w:r>
      <w:r w:rsidR="00346161" w:rsidRPr="00E00086">
        <w:rPr>
          <w:lang w:val="en-GB"/>
        </w:rPr>
        <w:t>a</w:t>
      </w:r>
      <w:r w:rsidR="004A69DF" w:rsidRPr="00E00086">
        <w:rPr>
          <w:lang w:val="en-GB"/>
        </w:rPr>
        <w:t>rbitrator</w:t>
      </w:r>
      <w:r w:rsidR="005671FD" w:rsidRPr="00E00086">
        <w:rPr>
          <w:lang w:val="en-GB"/>
        </w:rPr>
        <w:t xml:space="preserve"> and</w:t>
      </w:r>
      <w:r w:rsidR="00A00431" w:rsidRPr="00E00086">
        <w:rPr>
          <w:lang w:val="en-GB"/>
        </w:rPr>
        <w:t xml:space="preserve"> designated as such by the Labour Commissioner, to preside over the dispute in CRWK 841-20.</w:t>
      </w:r>
      <w:r w:rsidR="005671FD" w:rsidRPr="00E00086">
        <w:rPr>
          <w:lang w:val="en-GB"/>
        </w:rPr>
        <w:t xml:space="preserve"> </w:t>
      </w:r>
    </w:p>
    <w:p w14:paraId="27C3118E" w14:textId="77777777" w:rsidR="006426B1" w:rsidRPr="00E00086" w:rsidRDefault="006426B1" w:rsidP="006426B1">
      <w:pPr>
        <w:pStyle w:val="ListParagraph"/>
        <w:spacing w:after="0"/>
        <w:contextualSpacing w:val="0"/>
        <w:rPr>
          <w:lang w:val="en-GB"/>
        </w:rPr>
      </w:pPr>
    </w:p>
    <w:p w14:paraId="5873489A" w14:textId="00A35969" w:rsidR="00A00431" w:rsidRPr="00E00086" w:rsidRDefault="004A7ADF" w:rsidP="004A7ADF">
      <w:pPr>
        <w:pStyle w:val="Heading1"/>
        <w:numPr>
          <w:ilvl w:val="0"/>
          <w:numId w:val="0"/>
        </w:numPr>
        <w:rPr>
          <w:lang w:val="en-GB"/>
        </w:rPr>
      </w:pPr>
      <w:r w:rsidRPr="00E00086">
        <w:rPr>
          <w:lang w:val="en-GB"/>
        </w:rPr>
        <w:t>[5]</w:t>
      </w:r>
      <w:r w:rsidRPr="00E00086">
        <w:rPr>
          <w:lang w:val="en-GB"/>
        </w:rPr>
        <w:tab/>
      </w:r>
      <w:r w:rsidR="005671FD" w:rsidRPr="00E00086">
        <w:rPr>
          <w:lang w:val="en-GB"/>
        </w:rPr>
        <w:t xml:space="preserve">The </w:t>
      </w:r>
      <w:r w:rsidR="00F23612" w:rsidRPr="00E00086">
        <w:rPr>
          <w:lang w:val="en-GB"/>
        </w:rPr>
        <w:t>a</w:t>
      </w:r>
      <w:r w:rsidR="004A69DF" w:rsidRPr="00E00086">
        <w:rPr>
          <w:lang w:val="en-GB"/>
        </w:rPr>
        <w:t>rbitrator</w:t>
      </w:r>
      <w:r w:rsidR="005671FD" w:rsidRPr="00E00086">
        <w:rPr>
          <w:lang w:val="en-GB"/>
        </w:rPr>
        <w:t xml:space="preserve"> made an award on 29 August 2022, </w:t>
      </w:r>
      <w:r w:rsidR="00BB4AB5" w:rsidRPr="00E00086">
        <w:rPr>
          <w:lang w:val="en-GB"/>
        </w:rPr>
        <w:t xml:space="preserve">and ruled against the applicant in an application for </w:t>
      </w:r>
      <w:r w:rsidR="00F23612" w:rsidRPr="00E00086">
        <w:rPr>
          <w:lang w:val="en-GB"/>
        </w:rPr>
        <w:t>the rescission of her award,</w:t>
      </w:r>
      <w:r w:rsidR="00BB4AB5" w:rsidRPr="00E00086">
        <w:rPr>
          <w:lang w:val="en-GB"/>
        </w:rPr>
        <w:t xml:space="preserve"> </w:t>
      </w:r>
      <w:r w:rsidR="005671FD" w:rsidRPr="00E00086">
        <w:rPr>
          <w:lang w:val="en-GB"/>
        </w:rPr>
        <w:t xml:space="preserve">on 30 January 2023. </w:t>
      </w:r>
    </w:p>
    <w:p w14:paraId="59B52D03" w14:textId="77777777" w:rsidR="00A00431" w:rsidRPr="00E00086" w:rsidRDefault="00A00431" w:rsidP="006426B1">
      <w:pPr>
        <w:rPr>
          <w:lang w:val="en-GB"/>
        </w:rPr>
      </w:pPr>
    </w:p>
    <w:p w14:paraId="6B619A6A" w14:textId="5BC0705C" w:rsidR="00B34E7E" w:rsidRPr="00E00086" w:rsidRDefault="004A7ADF" w:rsidP="004A7ADF">
      <w:pPr>
        <w:pStyle w:val="Heading1"/>
        <w:numPr>
          <w:ilvl w:val="0"/>
          <w:numId w:val="0"/>
        </w:numPr>
        <w:rPr>
          <w:lang w:val="en-GB"/>
        </w:rPr>
      </w:pPr>
      <w:r w:rsidRPr="00E00086">
        <w:rPr>
          <w:lang w:val="en-GB"/>
        </w:rPr>
        <w:t>[6]</w:t>
      </w:r>
      <w:r w:rsidRPr="00E00086">
        <w:rPr>
          <w:lang w:val="en-GB"/>
        </w:rPr>
        <w:tab/>
      </w:r>
      <w:r w:rsidR="00A00431" w:rsidRPr="00E00086">
        <w:rPr>
          <w:lang w:val="en-GB"/>
        </w:rPr>
        <w:t>The third respondent</w:t>
      </w:r>
      <w:r w:rsidR="00F23612" w:rsidRPr="00E00086">
        <w:rPr>
          <w:lang w:val="en-GB"/>
        </w:rPr>
        <w:t xml:space="preserve"> is</w:t>
      </w:r>
      <w:r w:rsidR="00A00431" w:rsidRPr="00E00086">
        <w:rPr>
          <w:lang w:val="en-GB"/>
        </w:rPr>
        <w:t xml:space="preserve"> the Labour Commissioner, in his official capacity, with his offices situated at 32 Mercedes Street, Khomasdal, Windhoek.</w:t>
      </w:r>
      <w:r w:rsidR="004A69DF" w:rsidRPr="00E00086">
        <w:rPr>
          <w:lang w:val="en-GB"/>
        </w:rPr>
        <w:t xml:space="preserve"> </w:t>
      </w:r>
      <w:r w:rsidR="00F23612" w:rsidRPr="00E00086">
        <w:rPr>
          <w:lang w:val="en-GB"/>
        </w:rPr>
        <w:t>The s</w:t>
      </w:r>
      <w:r w:rsidR="004A69DF" w:rsidRPr="00E00086">
        <w:rPr>
          <w:lang w:val="en-GB"/>
        </w:rPr>
        <w:t xml:space="preserve">econd and third respondents have not opposed this application. </w:t>
      </w:r>
    </w:p>
    <w:p w14:paraId="1C9FB911" w14:textId="77777777" w:rsidR="00B34E7E" w:rsidRPr="00E00086" w:rsidRDefault="00B34E7E" w:rsidP="00B34E7E">
      <w:pPr>
        <w:pStyle w:val="ListParagraph"/>
        <w:spacing w:after="0"/>
        <w:contextualSpacing w:val="0"/>
        <w:rPr>
          <w:lang w:val="en-GB"/>
        </w:rPr>
      </w:pPr>
    </w:p>
    <w:p w14:paraId="4E4A82A1" w14:textId="77D5AFA6" w:rsidR="00A00431" w:rsidRPr="00E00086" w:rsidRDefault="004A7ADF" w:rsidP="004A7ADF">
      <w:pPr>
        <w:pStyle w:val="Heading1"/>
        <w:numPr>
          <w:ilvl w:val="0"/>
          <w:numId w:val="0"/>
        </w:numPr>
        <w:rPr>
          <w:lang w:val="en-GB"/>
        </w:rPr>
      </w:pPr>
      <w:r w:rsidRPr="00E00086">
        <w:rPr>
          <w:lang w:val="en-GB"/>
        </w:rPr>
        <w:t>[7]</w:t>
      </w:r>
      <w:r w:rsidRPr="00E00086">
        <w:rPr>
          <w:lang w:val="en-GB"/>
        </w:rPr>
        <w:tab/>
      </w:r>
      <w:r w:rsidR="004A69DF" w:rsidRPr="00E00086">
        <w:rPr>
          <w:lang w:val="en-GB"/>
        </w:rPr>
        <w:t>I will herein refer to the first r</w:t>
      </w:r>
      <w:r w:rsidR="008F54E4" w:rsidRPr="00E00086">
        <w:rPr>
          <w:lang w:val="en-GB"/>
        </w:rPr>
        <w:t>espondent as “the respondent”</w:t>
      </w:r>
      <w:r w:rsidR="00EC0F5F" w:rsidRPr="00E00086">
        <w:rPr>
          <w:lang w:val="en-GB"/>
        </w:rPr>
        <w:t xml:space="preserve">, as none of the other respondents have opposed this application.  </w:t>
      </w:r>
    </w:p>
    <w:p w14:paraId="31B14F82" w14:textId="64652B37" w:rsidR="00A00431" w:rsidRPr="00E00086" w:rsidRDefault="00A00431" w:rsidP="00B34E7E">
      <w:pPr>
        <w:rPr>
          <w:sz w:val="22"/>
          <w:lang w:val="en-GB"/>
        </w:rPr>
      </w:pPr>
    </w:p>
    <w:p w14:paraId="1837C941" w14:textId="3C933E9C" w:rsidR="00EC0F5F" w:rsidRPr="00E00086" w:rsidRDefault="004A7ADF" w:rsidP="004A7ADF">
      <w:pPr>
        <w:pStyle w:val="Heading1"/>
        <w:numPr>
          <w:ilvl w:val="0"/>
          <w:numId w:val="0"/>
        </w:numPr>
        <w:rPr>
          <w:lang w:val="en-GB"/>
        </w:rPr>
      </w:pPr>
      <w:r w:rsidRPr="00E00086">
        <w:rPr>
          <w:lang w:val="en-GB"/>
        </w:rPr>
        <w:t>[8]</w:t>
      </w:r>
      <w:r w:rsidRPr="00E00086">
        <w:rPr>
          <w:lang w:val="en-GB"/>
        </w:rPr>
        <w:tab/>
      </w:r>
      <w:r w:rsidR="00EC0F5F" w:rsidRPr="00E00086">
        <w:rPr>
          <w:lang w:val="en-GB"/>
        </w:rPr>
        <w:t xml:space="preserve">Mr </w:t>
      </w:r>
      <w:proofErr w:type="spellStart"/>
      <w:r w:rsidR="00EC0F5F" w:rsidRPr="00E00086">
        <w:rPr>
          <w:lang w:val="en-GB"/>
        </w:rPr>
        <w:t>Quick</w:t>
      </w:r>
      <w:r w:rsidR="00DD615C">
        <w:rPr>
          <w:lang w:val="en-GB"/>
        </w:rPr>
        <w:t>fall</w:t>
      </w:r>
      <w:proofErr w:type="spellEnd"/>
      <w:r w:rsidR="00DD615C">
        <w:rPr>
          <w:lang w:val="en-GB"/>
        </w:rPr>
        <w:t xml:space="preserve"> appears for the applicant.</w:t>
      </w:r>
      <w:r w:rsidR="00EC0F5F" w:rsidRPr="00E00086">
        <w:rPr>
          <w:lang w:val="en-GB"/>
        </w:rPr>
        <w:t xml:space="preserve"> Mr Muhongo, together with Mr Shimakeleni</w:t>
      </w:r>
      <w:r w:rsidR="00DD615C">
        <w:rPr>
          <w:lang w:val="en-GB"/>
        </w:rPr>
        <w:t>, appears for the respondent.</w:t>
      </w:r>
    </w:p>
    <w:p w14:paraId="73E3E2DB" w14:textId="77777777" w:rsidR="00EC0F5F" w:rsidRPr="00E00086" w:rsidRDefault="00EC0F5F" w:rsidP="00B34E7E">
      <w:pPr>
        <w:rPr>
          <w:sz w:val="22"/>
          <w:lang w:val="en-GB"/>
        </w:rPr>
      </w:pPr>
    </w:p>
    <w:p w14:paraId="7A43F9AD" w14:textId="1BC05540" w:rsidR="00A00431" w:rsidRPr="00E00086" w:rsidRDefault="004A7ADF" w:rsidP="004A7ADF">
      <w:pPr>
        <w:pStyle w:val="Heading1"/>
        <w:numPr>
          <w:ilvl w:val="0"/>
          <w:numId w:val="0"/>
        </w:numPr>
        <w:rPr>
          <w:lang w:val="en-GB"/>
        </w:rPr>
      </w:pPr>
      <w:r w:rsidRPr="00E00086">
        <w:rPr>
          <w:lang w:val="en-GB"/>
        </w:rPr>
        <w:t>[9]</w:t>
      </w:r>
      <w:r w:rsidRPr="00E00086">
        <w:rPr>
          <w:lang w:val="en-GB"/>
        </w:rPr>
        <w:tab/>
      </w:r>
      <w:r w:rsidR="00B563B9" w:rsidRPr="00E00086">
        <w:rPr>
          <w:lang w:val="en-GB"/>
        </w:rPr>
        <w:t xml:space="preserve">The </w:t>
      </w:r>
      <w:r w:rsidR="00A00431" w:rsidRPr="00E00086">
        <w:rPr>
          <w:lang w:val="en-GB"/>
        </w:rPr>
        <w:t xml:space="preserve">respondent was employed by the applicant as </w:t>
      </w:r>
      <w:r w:rsidR="00F23612" w:rsidRPr="00E00086">
        <w:rPr>
          <w:lang w:val="en-GB"/>
        </w:rPr>
        <w:t xml:space="preserve">an </w:t>
      </w:r>
      <w:r w:rsidR="00A00431" w:rsidRPr="00E00086">
        <w:rPr>
          <w:lang w:val="en-GB"/>
        </w:rPr>
        <w:t>executive assistant, reporting to the General Manager</w:t>
      </w:r>
      <w:r w:rsidR="00E86236" w:rsidRPr="00E00086">
        <w:rPr>
          <w:lang w:val="en-GB"/>
        </w:rPr>
        <w:t xml:space="preserve"> since 2008. </w:t>
      </w:r>
      <w:r w:rsidR="00CE2E3F" w:rsidRPr="00E00086">
        <w:rPr>
          <w:lang w:val="en-GB"/>
        </w:rPr>
        <w:t>She earned a net salary of N$19</w:t>
      </w:r>
      <w:r w:rsidR="00DD615C">
        <w:rPr>
          <w:lang w:val="en-GB"/>
        </w:rPr>
        <w:t xml:space="preserve"> </w:t>
      </w:r>
      <w:r w:rsidR="00CE2E3F" w:rsidRPr="00E00086">
        <w:rPr>
          <w:lang w:val="en-GB"/>
        </w:rPr>
        <w:t xml:space="preserve">000 per month. </w:t>
      </w:r>
      <w:r w:rsidR="00E86236" w:rsidRPr="00E00086">
        <w:rPr>
          <w:lang w:val="en-GB"/>
        </w:rPr>
        <w:t xml:space="preserve">At the time of her employment with the applicant, the respondent was not in possession of a Grade 12 certificate, and the applicant was aware of this. </w:t>
      </w:r>
    </w:p>
    <w:p w14:paraId="1CCE5EAE" w14:textId="77777777" w:rsidR="00A00431" w:rsidRPr="00E00086" w:rsidRDefault="00A00431" w:rsidP="006426B1">
      <w:pPr>
        <w:rPr>
          <w:lang w:val="en-GB"/>
        </w:rPr>
      </w:pPr>
    </w:p>
    <w:p w14:paraId="32050DDE" w14:textId="61DAA387" w:rsidR="00C376EA" w:rsidRPr="00E00086" w:rsidRDefault="004A7ADF" w:rsidP="004A7ADF">
      <w:pPr>
        <w:pStyle w:val="Heading1"/>
        <w:numPr>
          <w:ilvl w:val="0"/>
          <w:numId w:val="0"/>
        </w:numPr>
        <w:rPr>
          <w:lang w:val="en-GB"/>
        </w:rPr>
      </w:pPr>
      <w:r w:rsidRPr="00E00086">
        <w:rPr>
          <w:lang w:val="en-GB"/>
        </w:rPr>
        <w:lastRenderedPageBreak/>
        <w:t>[10]</w:t>
      </w:r>
      <w:r w:rsidRPr="00E00086">
        <w:rPr>
          <w:lang w:val="en-GB"/>
        </w:rPr>
        <w:tab/>
      </w:r>
      <w:r w:rsidR="00E86236" w:rsidRPr="00E00086">
        <w:rPr>
          <w:lang w:val="en-GB"/>
        </w:rPr>
        <w:t>During May 2019, the respondent was called</w:t>
      </w:r>
      <w:r w:rsidR="00C376EA" w:rsidRPr="00E00086">
        <w:rPr>
          <w:lang w:val="en-GB"/>
        </w:rPr>
        <w:t xml:space="preserve"> into a meeting by the General M</w:t>
      </w:r>
      <w:r w:rsidR="00E86236" w:rsidRPr="00E00086">
        <w:rPr>
          <w:lang w:val="en-GB"/>
        </w:rPr>
        <w:t>anager and she was informed that she has an English Language barrier</w:t>
      </w:r>
      <w:r w:rsidR="004A69DF" w:rsidRPr="00E00086">
        <w:rPr>
          <w:lang w:val="en-GB"/>
        </w:rPr>
        <w:t>,</w:t>
      </w:r>
      <w:r w:rsidR="00E86236" w:rsidRPr="00E00086">
        <w:rPr>
          <w:lang w:val="en-GB"/>
        </w:rPr>
        <w:t xml:space="preserve"> that she would be attached to other Executive Assistants for a period of three months, and that she w</w:t>
      </w:r>
      <w:r w:rsidR="00C376EA" w:rsidRPr="00E00086">
        <w:rPr>
          <w:lang w:val="en-GB"/>
        </w:rPr>
        <w:t xml:space="preserve">ould be afforded an opportunity, during 2020, </w:t>
      </w:r>
      <w:r w:rsidR="00E86236" w:rsidRPr="00E00086">
        <w:rPr>
          <w:lang w:val="en-GB"/>
        </w:rPr>
        <w:t>to improve her skills and obtain a Grade 12 qualification, alternatively complete a tertiary qualification on secretarial work.</w:t>
      </w:r>
      <w:r w:rsidR="00CE2E3F" w:rsidRPr="00E00086">
        <w:rPr>
          <w:lang w:val="en-GB"/>
        </w:rPr>
        <w:t xml:space="preserve"> </w:t>
      </w:r>
    </w:p>
    <w:p w14:paraId="185FE5F1" w14:textId="77777777" w:rsidR="00C376EA" w:rsidRPr="00E00086" w:rsidRDefault="00C376EA" w:rsidP="006426B1">
      <w:pPr>
        <w:outlineLvl w:val="0"/>
        <w:rPr>
          <w:lang w:val="en-GB"/>
        </w:rPr>
      </w:pPr>
    </w:p>
    <w:p w14:paraId="3413045D" w14:textId="62152FE1" w:rsidR="00A00431" w:rsidRPr="00E00086" w:rsidRDefault="004A7ADF" w:rsidP="004A7ADF">
      <w:pPr>
        <w:pStyle w:val="Heading1"/>
        <w:numPr>
          <w:ilvl w:val="0"/>
          <w:numId w:val="0"/>
        </w:numPr>
        <w:rPr>
          <w:lang w:val="en-GB"/>
        </w:rPr>
      </w:pPr>
      <w:r w:rsidRPr="00E00086">
        <w:rPr>
          <w:lang w:val="en-GB"/>
        </w:rPr>
        <w:t>[11]</w:t>
      </w:r>
      <w:r w:rsidRPr="00E00086">
        <w:rPr>
          <w:lang w:val="en-GB"/>
        </w:rPr>
        <w:tab/>
      </w:r>
      <w:r w:rsidR="00A00431" w:rsidRPr="00E00086">
        <w:rPr>
          <w:lang w:val="en-GB"/>
        </w:rPr>
        <w:t>On 27 May 2020, the respondent was served with a notice to attend a poor work performance hearing on 4 June 2020.</w:t>
      </w:r>
      <w:r w:rsidR="00CE2E3F" w:rsidRPr="00E00086">
        <w:rPr>
          <w:lang w:val="en-GB"/>
        </w:rPr>
        <w:t xml:space="preserve"> She was suspended on 24 </w:t>
      </w:r>
      <w:r w:rsidR="00C376EA" w:rsidRPr="00E00086">
        <w:rPr>
          <w:lang w:val="en-GB"/>
        </w:rPr>
        <w:t>June</w:t>
      </w:r>
      <w:r w:rsidR="00CE2E3F" w:rsidRPr="00E00086">
        <w:rPr>
          <w:lang w:val="en-GB"/>
        </w:rPr>
        <w:t xml:space="preserve"> 2020. </w:t>
      </w:r>
    </w:p>
    <w:p w14:paraId="589B44BE" w14:textId="77777777" w:rsidR="00A00431" w:rsidRPr="00E00086" w:rsidRDefault="00A00431" w:rsidP="006426B1">
      <w:pPr>
        <w:rPr>
          <w:b/>
          <w:lang w:val="en-GB"/>
        </w:rPr>
      </w:pPr>
    </w:p>
    <w:p w14:paraId="57A90882" w14:textId="169B6242" w:rsidR="00A00431" w:rsidRPr="00E00086" w:rsidRDefault="004A7ADF" w:rsidP="004A7ADF">
      <w:pPr>
        <w:pStyle w:val="Heading1"/>
        <w:numPr>
          <w:ilvl w:val="0"/>
          <w:numId w:val="0"/>
        </w:numPr>
        <w:rPr>
          <w:lang w:val="en-GB"/>
        </w:rPr>
      </w:pPr>
      <w:r w:rsidRPr="00E00086">
        <w:rPr>
          <w:lang w:val="en-GB"/>
        </w:rPr>
        <w:t>[12]</w:t>
      </w:r>
      <w:r w:rsidRPr="00E00086">
        <w:rPr>
          <w:lang w:val="en-GB"/>
        </w:rPr>
        <w:tab/>
      </w:r>
      <w:r w:rsidR="00A00431" w:rsidRPr="00E00086">
        <w:rPr>
          <w:lang w:val="en-GB"/>
        </w:rPr>
        <w:t xml:space="preserve">Following </w:t>
      </w:r>
      <w:r w:rsidR="00EC7A05" w:rsidRPr="00E00086">
        <w:rPr>
          <w:lang w:val="en-GB"/>
        </w:rPr>
        <w:t xml:space="preserve">a disciplinary </w:t>
      </w:r>
      <w:r w:rsidR="00A00431" w:rsidRPr="00E00086">
        <w:rPr>
          <w:lang w:val="en-GB"/>
        </w:rPr>
        <w:t>hearing</w:t>
      </w:r>
      <w:r w:rsidR="00EC7A05" w:rsidRPr="00E00086">
        <w:rPr>
          <w:lang w:val="en-GB"/>
        </w:rPr>
        <w:t xml:space="preserve"> and on </w:t>
      </w:r>
      <w:r w:rsidR="00A00431" w:rsidRPr="00E00086">
        <w:rPr>
          <w:lang w:val="en-GB"/>
        </w:rPr>
        <w:t xml:space="preserve">29 June 2020, the chairperson recommended that the parties enter into a ‘disengagement agreement’ within seven days of the recommendation, and that should no agreement be reached, the applicant </w:t>
      </w:r>
      <w:r w:rsidR="00C376EA" w:rsidRPr="00E00086">
        <w:rPr>
          <w:lang w:val="en-GB"/>
        </w:rPr>
        <w:t>may formally terminate the</w:t>
      </w:r>
      <w:r w:rsidR="00A00431" w:rsidRPr="00E00086">
        <w:rPr>
          <w:lang w:val="en-GB"/>
        </w:rPr>
        <w:t xml:space="preserve"> respondent’s services and issue her with a neutral certificate of service.</w:t>
      </w:r>
    </w:p>
    <w:p w14:paraId="0AB85B1E" w14:textId="77777777" w:rsidR="00A00431" w:rsidRPr="00E00086" w:rsidRDefault="00A00431" w:rsidP="006426B1">
      <w:pPr>
        <w:rPr>
          <w:lang w:val="en-GB"/>
        </w:rPr>
      </w:pPr>
    </w:p>
    <w:p w14:paraId="5D8C32FD" w14:textId="24C0E199" w:rsidR="00A00431" w:rsidRPr="00E00086" w:rsidRDefault="004A7ADF" w:rsidP="004A7ADF">
      <w:pPr>
        <w:pStyle w:val="Heading1"/>
        <w:numPr>
          <w:ilvl w:val="0"/>
          <w:numId w:val="0"/>
        </w:numPr>
        <w:rPr>
          <w:lang w:val="en-GB"/>
        </w:rPr>
      </w:pPr>
      <w:r w:rsidRPr="00E00086">
        <w:rPr>
          <w:lang w:val="en-GB"/>
        </w:rPr>
        <w:t>[13]</w:t>
      </w:r>
      <w:r w:rsidRPr="00E00086">
        <w:rPr>
          <w:lang w:val="en-GB"/>
        </w:rPr>
        <w:tab/>
      </w:r>
      <w:r w:rsidR="00A00431" w:rsidRPr="00E00086">
        <w:rPr>
          <w:lang w:val="en-GB"/>
        </w:rPr>
        <w:t>The parties could not reach agreement</w:t>
      </w:r>
      <w:r w:rsidR="00B563B9" w:rsidRPr="00E00086">
        <w:rPr>
          <w:lang w:val="en-GB"/>
        </w:rPr>
        <w:t xml:space="preserve">.  On </w:t>
      </w:r>
      <w:r w:rsidR="00C376EA" w:rsidRPr="00E00086">
        <w:rPr>
          <w:lang w:val="en-GB"/>
        </w:rPr>
        <w:t xml:space="preserve">8 July 2020, the applicant issued the </w:t>
      </w:r>
      <w:r w:rsidR="00A00431" w:rsidRPr="00E00086">
        <w:rPr>
          <w:lang w:val="en-GB"/>
        </w:rPr>
        <w:t>respondent with a formal termination notice in terms of the chairperson’s recommendations</w:t>
      </w:r>
      <w:r w:rsidR="00EC7A05" w:rsidRPr="00E00086">
        <w:rPr>
          <w:lang w:val="en-GB"/>
        </w:rPr>
        <w:t>.</w:t>
      </w:r>
    </w:p>
    <w:p w14:paraId="668CEA60" w14:textId="77777777" w:rsidR="00A00431" w:rsidRPr="00E00086" w:rsidRDefault="00A00431" w:rsidP="006426B1">
      <w:pPr>
        <w:rPr>
          <w:lang w:val="en-GB"/>
        </w:rPr>
      </w:pPr>
    </w:p>
    <w:p w14:paraId="6AF34CF6" w14:textId="7B5270DE" w:rsidR="00A00431" w:rsidRPr="00E00086" w:rsidRDefault="004A7ADF" w:rsidP="004A7ADF">
      <w:pPr>
        <w:pStyle w:val="Heading1"/>
        <w:numPr>
          <w:ilvl w:val="0"/>
          <w:numId w:val="0"/>
        </w:numPr>
        <w:rPr>
          <w:lang w:val="en-GB"/>
        </w:rPr>
      </w:pPr>
      <w:r w:rsidRPr="00E00086">
        <w:rPr>
          <w:lang w:val="en-GB"/>
        </w:rPr>
        <w:t>[14]</w:t>
      </w:r>
      <w:r w:rsidRPr="00E00086">
        <w:rPr>
          <w:lang w:val="en-GB"/>
        </w:rPr>
        <w:tab/>
      </w:r>
      <w:r w:rsidR="00A00431" w:rsidRPr="00E00086">
        <w:rPr>
          <w:lang w:val="en-GB"/>
        </w:rPr>
        <w:t xml:space="preserve">The respondent launched an appeal </w:t>
      </w:r>
      <w:r w:rsidR="00EC7A05" w:rsidRPr="00E00086">
        <w:rPr>
          <w:lang w:val="en-GB"/>
        </w:rPr>
        <w:t xml:space="preserve">against the dismissal </w:t>
      </w:r>
      <w:r w:rsidR="00A00431" w:rsidRPr="00E00086">
        <w:rPr>
          <w:lang w:val="en-GB"/>
        </w:rPr>
        <w:t>on 16 July 2020, and the applicant appointed an external appeal chairperson</w:t>
      </w:r>
      <w:r w:rsidR="00EC7A05" w:rsidRPr="00E00086">
        <w:rPr>
          <w:lang w:val="en-GB"/>
        </w:rPr>
        <w:t xml:space="preserve">. The </w:t>
      </w:r>
      <w:r w:rsidR="00A00431" w:rsidRPr="00E00086">
        <w:rPr>
          <w:lang w:val="en-GB"/>
        </w:rPr>
        <w:t>appeal hearing was held on 22 July 2020.</w:t>
      </w:r>
      <w:r w:rsidR="00B563B9" w:rsidRPr="00E00086">
        <w:rPr>
          <w:lang w:val="en-GB"/>
        </w:rPr>
        <w:t xml:space="preserve">  </w:t>
      </w:r>
      <w:r w:rsidR="00A00431" w:rsidRPr="00E00086">
        <w:rPr>
          <w:lang w:val="en-GB"/>
        </w:rPr>
        <w:t xml:space="preserve">The chairperson found </w:t>
      </w:r>
      <w:r w:rsidR="004A69DF" w:rsidRPr="00E00086">
        <w:rPr>
          <w:lang w:val="en-GB"/>
        </w:rPr>
        <w:t xml:space="preserve">that </w:t>
      </w:r>
      <w:r w:rsidR="00A00431" w:rsidRPr="00E00086">
        <w:rPr>
          <w:lang w:val="en-GB"/>
        </w:rPr>
        <w:t>the respondent had been given sufficient time to improve on her poor work performance and had failed to do so. The</w:t>
      </w:r>
      <w:r w:rsidR="00EC7A05" w:rsidRPr="00E00086">
        <w:rPr>
          <w:lang w:val="en-GB"/>
        </w:rPr>
        <w:t xml:space="preserve"> appeal was dismissed. </w:t>
      </w:r>
      <w:r w:rsidR="00A00431" w:rsidRPr="00E00086">
        <w:rPr>
          <w:lang w:val="en-GB"/>
        </w:rPr>
        <w:t>The respondent then referred the dispute to the office of the Labour Commissioner.</w:t>
      </w:r>
    </w:p>
    <w:p w14:paraId="12DC791F" w14:textId="77777777" w:rsidR="00A00431" w:rsidRPr="00E00086" w:rsidRDefault="00A00431" w:rsidP="006426B1">
      <w:pPr>
        <w:rPr>
          <w:lang w:val="en-GB"/>
        </w:rPr>
      </w:pPr>
    </w:p>
    <w:p w14:paraId="2F1F6890" w14:textId="37C4287F" w:rsidR="00A00431" w:rsidRPr="00E00086" w:rsidRDefault="004A7ADF" w:rsidP="004A7ADF">
      <w:pPr>
        <w:pStyle w:val="Heading1"/>
        <w:numPr>
          <w:ilvl w:val="0"/>
          <w:numId w:val="0"/>
        </w:numPr>
        <w:rPr>
          <w:lang w:val="en-GB"/>
        </w:rPr>
      </w:pPr>
      <w:r w:rsidRPr="00E00086">
        <w:rPr>
          <w:lang w:val="en-GB"/>
        </w:rPr>
        <w:t>[15]</w:t>
      </w:r>
      <w:r w:rsidRPr="00E00086">
        <w:rPr>
          <w:lang w:val="en-GB"/>
        </w:rPr>
        <w:tab/>
      </w:r>
      <w:r w:rsidR="00A00431" w:rsidRPr="00E00086">
        <w:rPr>
          <w:lang w:val="en-GB"/>
        </w:rPr>
        <w:t xml:space="preserve">The </w:t>
      </w:r>
      <w:r w:rsidR="00C376EA" w:rsidRPr="00E00086">
        <w:rPr>
          <w:lang w:val="en-GB"/>
        </w:rPr>
        <w:t>a</w:t>
      </w:r>
      <w:r w:rsidR="004A69DF" w:rsidRPr="00E00086">
        <w:rPr>
          <w:lang w:val="en-GB"/>
        </w:rPr>
        <w:t>rbitrator</w:t>
      </w:r>
      <w:r w:rsidR="00A00431" w:rsidRPr="00E00086">
        <w:rPr>
          <w:lang w:val="en-GB"/>
        </w:rPr>
        <w:t xml:space="preserve"> heard the claim of the respondent in the absence of the applicant, and following the hearing issued an award on 29 August 2022.</w:t>
      </w:r>
    </w:p>
    <w:p w14:paraId="62FB2F08" w14:textId="77777777" w:rsidR="00A00431" w:rsidRPr="00E00086" w:rsidRDefault="00A00431" w:rsidP="006426B1">
      <w:pPr>
        <w:rPr>
          <w:lang w:val="en-GB"/>
        </w:rPr>
      </w:pPr>
    </w:p>
    <w:p w14:paraId="59483420" w14:textId="6FEB7A6A" w:rsidR="00A00431" w:rsidRPr="00E00086" w:rsidRDefault="004A7ADF" w:rsidP="004A7ADF">
      <w:pPr>
        <w:pStyle w:val="Heading1"/>
        <w:numPr>
          <w:ilvl w:val="0"/>
          <w:numId w:val="0"/>
        </w:numPr>
        <w:rPr>
          <w:lang w:val="en-GB"/>
        </w:rPr>
      </w:pPr>
      <w:r w:rsidRPr="00E00086">
        <w:rPr>
          <w:lang w:val="en-GB"/>
        </w:rPr>
        <w:t>[16]</w:t>
      </w:r>
      <w:r w:rsidRPr="00E00086">
        <w:rPr>
          <w:lang w:val="en-GB"/>
        </w:rPr>
        <w:tab/>
      </w:r>
      <w:r w:rsidR="00A00431" w:rsidRPr="00E00086">
        <w:rPr>
          <w:lang w:val="en-GB"/>
        </w:rPr>
        <w:t xml:space="preserve">In her award, the </w:t>
      </w:r>
      <w:r w:rsidR="00C376EA" w:rsidRPr="00E00086">
        <w:rPr>
          <w:lang w:val="en-GB"/>
        </w:rPr>
        <w:t>a</w:t>
      </w:r>
      <w:r w:rsidR="004A69DF" w:rsidRPr="00E00086">
        <w:rPr>
          <w:lang w:val="en-GB"/>
        </w:rPr>
        <w:t>rbitrator</w:t>
      </w:r>
      <w:r w:rsidR="00A00431" w:rsidRPr="00E00086">
        <w:rPr>
          <w:lang w:val="en-GB"/>
        </w:rPr>
        <w:t xml:space="preserve"> ordered </w:t>
      </w:r>
      <w:r w:rsidR="00E21E25" w:rsidRPr="00E00086">
        <w:rPr>
          <w:lang w:val="en-GB"/>
        </w:rPr>
        <w:t xml:space="preserve">the reinstatement of the </w:t>
      </w:r>
      <w:r w:rsidR="00A00431" w:rsidRPr="00E00086">
        <w:rPr>
          <w:lang w:val="en-GB"/>
        </w:rPr>
        <w:t xml:space="preserve">respondent </w:t>
      </w:r>
      <w:r w:rsidR="00E21E25" w:rsidRPr="00E00086">
        <w:rPr>
          <w:lang w:val="en-GB"/>
        </w:rPr>
        <w:t xml:space="preserve">effective </w:t>
      </w:r>
      <w:r w:rsidR="00A00431" w:rsidRPr="00E00086">
        <w:rPr>
          <w:lang w:val="en-GB"/>
        </w:rPr>
        <w:t xml:space="preserve">1 October 2022, and ordered the applicant </w:t>
      </w:r>
      <w:r w:rsidR="00C376EA" w:rsidRPr="00E00086">
        <w:rPr>
          <w:lang w:val="en-GB"/>
        </w:rPr>
        <w:t xml:space="preserve">to </w:t>
      </w:r>
      <w:r w:rsidR="00A00431" w:rsidRPr="00E00086">
        <w:rPr>
          <w:lang w:val="en-GB"/>
        </w:rPr>
        <w:t>pay the amount of N$228</w:t>
      </w:r>
      <w:r w:rsidR="00B563B9" w:rsidRPr="00E00086">
        <w:rPr>
          <w:lang w:val="en-GB"/>
        </w:rPr>
        <w:t>,</w:t>
      </w:r>
      <w:r w:rsidR="00A00431" w:rsidRPr="00E00086">
        <w:rPr>
          <w:lang w:val="en-GB"/>
        </w:rPr>
        <w:t>000, as compensation for a period of 12 months.</w:t>
      </w:r>
    </w:p>
    <w:p w14:paraId="420490E2" w14:textId="77777777" w:rsidR="00A00431" w:rsidRPr="00E00086" w:rsidRDefault="00A00431" w:rsidP="006426B1">
      <w:pPr>
        <w:rPr>
          <w:lang w:val="en-GB"/>
        </w:rPr>
      </w:pPr>
    </w:p>
    <w:p w14:paraId="238E8507" w14:textId="1CEA9F3C" w:rsidR="00EC7A05" w:rsidRPr="00E00086" w:rsidRDefault="004A7ADF" w:rsidP="004A7ADF">
      <w:pPr>
        <w:pStyle w:val="Heading1"/>
        <w:numPr>
          <w:ilvl w:val="0"/>
          <w:numId w:val="0"/>
        </w:numPr>
        <w:rPr>
          <w:lang w:val="en-GB"/>
        </w:rPr>
      </w:pPr>
      <w:r w:rsidRPr="00E00086">
        <w:rPr>
          <w:lang w:val="en-GB"/>
        </w:rPr>
        <w:lastRenderedPageBreak/>
        <w:t>[17]</w:t>
      </w:r>
      <w:r w:rsidRPr="00E00086">
        <w:rPr>
          <w:lang w:val="en-GB"/>
        </w:rPr>
        <w:tab/>
      </w:r>
      <w:r w:rsidR="00EC7A05" w:rsidRPr="00E00086">
        <w:rPr>
          <w:lang w:val="en-GB"/>
        </w:rPr>
        <w:t xml:space="preserve">The findings of the </w:t>
      </w:r>
      <w:r w:rsidR="00C97DE4" w:rsidRPr="00E00086">
        <w:rPr>
          <w:lang w:val="en-GB"/>
        </w:rPr>
        <w:t>a</w:t>
      </w:r>
      <w:r w:rsidR="004A69DF" w:rsidRPr="00E00086">
        <w:rPr>
          <w:lang w:val="en-GB"/>
        </w:rPr>
        <w:t>rbitrator</w:t>
      </w:r>
      <w:r w:rsidR="00EC7A05" w:rsidRPr="00E00086">
        <w:rPr>
          <w:lang w:val="en-GB"/>
        </w:rPr>
        <w:t xml:space="preserve"> relating to the applicant’s absence are set out below for ease of reference</w:t>
      </w:r>
      <w:r w:rsidR="00C97DE4" w:rsidRPr="00E00086">
        <w:rPr>
          <w:lang w:val="en-GB"/>
        </w:rPr>
        <w:t>:</w:t>
      </w:r>
    </w:p>
    <w:p w14:paraId="2D92270D" w14:textId="5AF0D877" w:rsidR="00EC7A05" w:rsidRPr="00E00086" w:rsidRDefault="00EC7A05" w:rsidP="006426B1">
      <w:pPr>
        <w:pStyle w:val="ListParagraph"/>
        <w:spacing w:after="0"/>
        <w:contextualSpacing w:val="0"/>
        <w:rPr>
          <w:lang w:val="en-GB"/>
        </w:rPr>
      </w:pPr>
    </w:p>
    <w:p w14:paraId="64AD36A7" w14:textId="732A74A4" w:rsidR="00EC7A05" w:rsidRPr="00E00086" w:rsidRDefault="00F35E85" w:rsidP="00F35E85">
      <w:pPr>
        <w:pStyle w:val="ListParagraph"/>
        <w:spacing w:after="0"/>
        <w:ind w:left="0"/>
        <w:contextualSpacing w:val="0"/>
        <w:rPr>
          <w:sz w:val="22"/>
          <w:lang w:val="en-GB"/>
        </w:rPr>
      </w:pPr>
      <w:r>
        <w:rPr>
          <w:sz w:val="22"/>
          <w:lang w:val="en-GB"/>
        </w:rPr>
        <w:tab/>
      </w:r>
      <w:r w:rsidR="00DD615C">
        <w:rPr>
          <w:sz w:val="22"/>
          <w:lang w:val="en-GB"/>
        </w:rPr>
        <w:t>‘</w:t>
      </w:r>
      <w:r w:rsidR="00EC7A05" w:rsidRPr="00E00086">
        <w:rPr>
          <w:sz w:val="22"/>
          <w:lang w:val="en-GB"/>
        </w:rPr>
        <w:t>[2]</w:t>
      </w:r>
      <w:r w:rsidR="00EC7A05" w:rsidRPr="00E00086">
        <w:rPr>
          <w:sz w:val="22"/>
          <w:lang w:val="en-GB"/>
        </w:rPr>
        <w:tab/>
        <w:t xml:space="preserve">The conciliation hearing was held on 16 </w:t>
      </w:r>
      <w:r w:rsidR="00E21E25" w:rsidRPr="00E00086">
        <w:rPr>
          <w:sz w:val="22"/>
          <w:lang w:val="en-GB"/>
        </w:rPr>
        <w:t>D</w:t>
      </w:r>
      <w:r w:rsidR="00EC7A05" w:rsidRPr="00E00086">
        <w:rPr>
          <w:sz w:val="22"/>
          <w:lang w:val="en-GB"/>
        </w:rPr>
        <w:t>ecember 2020</w:t>
      </w:r>
      <w:r w:rsidR="00E21E25" w:rsidRPr="00E00086">
        <w:rPr>
          <w:sz w:val="22"/>
          <w:lang w:val="en-GB"/>
        </w:rPr>
        <w:t xml:space="preserve"> and was not successful therefore, the parties agreed that the matter be arbitrated. The arbitration hearing was scheduled on 16 April 2021 both parties were served the notice of set down on 09 February 2021.</w:t>
      </w:r>
      <w:r w:rsidR="00DD615C">
        <w:rPr>
          <w:sz w:val="22"/>
          <w:lang w:val="en-GB"/>
        </w:rPr>
        <w:t>’</w:t>
      </w:r>
    </w:p>
    <w:p w14:paraId="4E8BD165" w14:textId="64ECFE0F" w:rsidR="00E21E25" w:rsidRPr="00E00086" w:rsidRDefault="00E21E25" w:rsidP="006426B1">
      <w:pPr>
        <w:pStyle w:val="ListParagraph"/>
        <w:spacing w:after="0"/>
        <w:contextualSpacing w:val="0"/>
        <w:rPr>
          <w:sz w:val="22"/>
          <w:lang w:val="en-GB"/>
        </w:rPr>
      </w:pPr>
    </w:p>
    <w:p w14:paraId="3D4CDE70" w14:textId="61D3FF00" w:rsidR="008F54E4" w:rsidRPr="00E00086" w:rsidRDefault="004A7ADF" w:rsidP="004A7ADF">
      <w:pPr>
        <w:pStyle w:val="Heading1"/>
        <w:numPr>
          <w:ilvl w:val="0"/>
          <w:numId w:val="0"/>
        </w:numPr>
        <w:rPr>
          <w:lang w:val="en-GB"/>
        </w:rPr>
      </w:pPr>
      <w:r w:rsidRPr="00E00086">
        <w:rPr>
          <w:lang w:val="en-GB"/>
        </w:rPr>
        <w:t>[18]</w:t>
      </w:r>
      <w:r w:rsidRPr="00E00086">
        <w:rPr>
          <w:lang w:val="en-GB"/>
        </w:rPr>
        <w:tab/>
      </w:r>
      <w:r w:rsidR="00E21E25" w:rsidRPr="00E00086">
        <w:rPr>
          <w:lang w:val="en-GB"/>
        </w:rPr>
        <w:t>On 16 February 2021, the respondent failed to show up, the respondent was called on that day and the Human Resources Officer promised to send someone but did not send anybody. There is sufficient evidence that the respondent duly served with the notice of set down to appear at the arbitration hearing and failed to show up with no grounds of justification provided, therefore, in terms of Rule 27(2)(b) of Rules Relating to Conduct of Conciliation and Arbitration, I have decided to</w:t>
      </w:r>
      <w:r w:rsidR="00C97DE4" w:rsidRPr="00E00086">
        <w:rPr>
          <w:lang w:val="en-GB"/>
        </w:rPr>
        <w:t xml:space="preserve"> proceed with the matter.’</w:t>
      </w:r>
    </w:p>
    <w:p w14:paraId="5B6E1487" w14:textId="77777777" w:rsidR="008F54E4" w:rsidRPr="00E00086" w:rsidRDefault="008F54E4" w:rsidP="006426B1">
      <w:pPr>
        <w:pStyle w:val="ListParagraph"/>
        <w:spacing w:after="0"/>
        <w:ind w:left="0"/>
        <w:contextualSpacing w:val="0"/>
        <w:rPr>
          <w:sz w:val="22"/>
          <w:lang w:val="en-GB"/>
        </w:rPr>
      </w:pPr>
    </w:p>
    <w:p w14:paraId="550E92F5" w14:textId="20C28779" w:rsidR="00E71A28" w:rsidRPr="00E00086" w:rsidRDefault="004A7ADF" w:rsidP="004A7ADF">
      <w:pPr>
        <w:pStyle w:val="Heading1"/>
        <w:numPr>
          <w:ilvl w:val="0"/>
          <w:numId w:val="0"/>
        </w:numPr>
        <w:rPr>
          <w:lang w:val="en-GB"/>
        </w:rPr>
      </w:pPr>
      <w:r w:rsidRPr="00E00086">
        <w:rPr>
          <w:lang w:val="en-GB"/>
        </w:rPr>
        <w:t>[19]</w:t>
      </w:r>
      <w:r w:rsidRPr="00E00086">
        <w:rPr>
          <w:lang w:val="en-GB"/>
        </w:rPr>
        <w:tab/>
      </w:r>
      <w:r w:rsidR="00A55728" w:rsidRPr="00E00086">
        <w:rPr>
          <w:lang w:val="en-GB"/>
        </w:rPr>
        <w:t>On 29 September 2022, t</w:t>
      </w:r>
      <w:r w:rsidR="00A00431" w:rsidRPr="00E00086">
        <w:rPr>
          <w:lang w:val="en-GB"/>
        </w:rPr>
        <w:t xml:space="preserve">he applicant </w:t>
      </w:r>
      <w:r w:rsidR="006C00D1" w:rsidRPr="00E00086">
        <w:rPr>
          <w:lang w:val="en-GB"/>
        </w:rPr>
        <w:t>applied to rescind the award made in its absence</w:t>
      </w:r>
      <w:r w:rsidR="00E21E25" w:rsidRPr="00E00086">
        <w:rPr>
          <w:lang w:val="en-GB"/>
        </w:rPr>
        <w:t>. T</w:t>
      </w:r>
      <w:r w:rsidR="00A00431" w:rsidRPr="00E00086">
        <w:rPr>
          <w:lang w:val="en-GB"/>
        </w:rPr>
        <w:t xml:space="preserve">he </w:t>
      </w:r>
      <w:r w:rsidR="00A55728" w:rsidRPr="00E00086">
        <w:rPr>
          <w:lang w:val="en-GB"/>
        </w:rPr>
        <w:t>a</w:t>
      </w:r>
      <w:r w:rsidR="004A69DF" w:rsidRPr="00E00086">
        <w:rPr>
          <w:lang w:val="en-GB"/>
        </w:rPr>
        <w:t>rbitrator</w:t>
      </w:r>
      <w:r w:rsidR="00A00431" w:rsidRPr="00E00086">
        <w:rPr>
          <w:lang w:val="en-GB"/>
        </w:rPr>
        <w:t xml:space="preserve"> dismissed the </w:t>
      </w:r>
      <w:r w:rsidR="00E21E25" w:rsidRPr="00E00086">
        <w:rPr>
          <w:lang w:val="en-GB"/>
        </w:rPr>
        <w:t xml:space="preserve">application for rescission of her award </w:t>
      </w:r>
      <w:r w:rsidR="006C00D1" w:rsidRPr="00E00086">
        <w:rPr>
          <w:lang w:val="en-GB"/>
        </w:rPr>
        <w:t xml:space="preserve">on </w:t>
      </w:r>
      <w:r w:rsidR="00A00431" w:rsidRPr="00E00086">
        <w:rPr>
          <w:lang w:val="en-GB"/>
        </w:rPr>
        <w:t xml:space="preserve">30 January 2023. </w:t>
      </w:r>
    </w:p>
    <w:p w14:paraId="537517DA" w14:textId="77777777" w:rsidR="00E71A28" w:rsidRPr="00E00086" w:rsidRDefault="00E71A28" w:rsidP="006426B1">
      <w:pPr>
        <w:outlineLvl w:val="0"/>
        <w:rPr>
          <w:lang w:val="en-GB"/>
        </w:rPr>
      </w:pPr>
    </w:p>
    <w:p w14:paraId="06BD73BF" w14:textId="1EF7BAB5" w:rsidR="00E71A28" w:rsidRPr="00E00086" w:rsidRDefault="004A7ADF" w:rsidP="004A7ADF">
      <w:pPr>
        <w:pStyle w:val="Heading1"/>
        <w:numPr>
          <w:ilvl w:val="0"/>
          <w:numId w:val="0"/>
        </w:numPr>
        <w:rPr>
          <w:lang w:val="en-GB"/>
        </w:rPr>
      </w:pPr>
      <w:r w:rsidRPr="00E00086">
        <w:rPr>
          <w:lang w:val="en-GB"/>
        </w:rPr>
        <w:t>[20]</w:t>
      </w:r>
      <w:r w:rsidRPr="00E00086">
        <w:rPr>
          <w:lang w:val="en-GB"/>
        </w:rPr>
        <w:tab/>
      </w:r>
      <w:r w:rsidR="00E71A28" w:rsidRPr="00E00086">
        <w:rPr>
          <w:lang w:val="en-GB"/>
        </w:rPr>
        <w:t>On 8 February 2023, the respondent registered the arbitration award as an order of court, and subsequently served the Notice of Registration of the arbitration award as an order of court by 10 February 2023.</w:t>
      </w:r>
    </w:p>
    <w:p w14:paraId="018EF18C" w14:textId="77777777" w:rsidR="00E21E25" w:rsidRPr="00E00086" w:rsidRDefault="00E21E25" w:rsidP="006426B1">
      <w:pPr>
        <w:outlineLvl w:val="0"/>
        <w:rPr>
          <w:lang w:val="en-GB"/>
        </w:rPr>
      </w:pPr>
    </w:p>
    <w:p w14:paraId="4436FF19" w14:textId="6093BE48" w:rsidR="00A00431" w:rsidRPr="00E00086" w:rsidRDefault="004A7ADF" w:rsidP="004A7ADF">
      <w:pPr>
        <w:pStyle w:val="Heading1"/>
        <w:numPr>
          <w:ilvl w:val="0"/>
          <w:numId w:val="0"/>
        </w:numPr>
        <w:rPr>
          <w:lang w:val="en-GB"/>
        </w:rPr>
      </w:pPr>
      <w:r w:rsidRPr="00E00086">
        <w:rPr>
          <w:lang w:val="en-GB"/>
        </w:rPr>
        <w:t>[21]</w:t>
      </w:r>
      <w:r w:rsidRPr="00E00086">
        <w:rPr>
          <w:lang w:val="en-GB"/>
        </w:rPr>
        <w:tab/>
      </w:r>
      <w:r w:rsidR="00E71A28" w:rsidRPr="00E00086">
        <w:rPr>
          <w:lang w:val="en-GB"/>
        </w:rPr>
        <w:t>On 15 February 2023</w:t>
      </w:r>
      <w:r w:rsidR="00CA4AEC" w:rsidRPr="00E00086">
        <w:rPr>
          <w:lang w:val="en-GB"/>
        </w:rPr>
        <w:t>,</w:t>
      </w:r>
      <w:r w:rsidR="00E71A28" w:rsidRPr="00E00086">
        <w:rPr>
          <w:lang w:val="en-GB"/>
        </w:rPr>
        <w:t xml:space="preserve"> the applicant noted an appeal to this court against the dismissal of the rescission application as well as the </w:t>
      </w:r>
      <w:r w:rsidR="00CA4AEC" w:rsidRPr="00E00086">
        <w:rPr>
          <w:lang w:val="en-GB"/>
        </w:rPr>
        <w:t>a</w:t>
      </w:r>
      <w:r w:rsidR="004A69DF" w:rsidRPr="00E00086">
        <w:rPr>
          <w:lang w:val="en-GB"/>
        </w:rPr>
        <w:t>rbitrator</w:t>
      </w:r>
      <w:r w:rsidR="00C57B6E" w:rsidRPr="00E00086">
        <w:rPr>
          <w:lang w:val="en-GB"/>
        </w:rPr>
        <w:t>’</w:t>
      </w:r>
      <w:r w:rsidR="00E71A28" w:rsidRPr="00E00086">
        <w:rPr>
          <w:lang w:val="en-GB"/>
        </w:rPr>
        <w:t>s initial award in favour of the respondent</w:t>
      </w:r>
      <w:r w:rsidR="00C57B6E" w:rsidRPr="00E00086">
        <w:rPr>
          <w:lang w:val="en-GB"/>
        </w:rPr>
        <w:t xml:space="preserve"> made on 29 August 2022</w:t>
      </w:r>
      <w:r w:rsidR="00E71A28" w:rsidRPr="00E00086">
        <w:rPr>
          <w:lang w:val="en-GB"/>
        </w:rPr>
        <w:t xml:space="preserve">. </w:t>
      </w:r>
      <w:r w:rsidR="00A00431" w:rsidRPr="00E00086">
        <w:rPr>
          <w:lang w:val="en-GB"/>
        </w:rPr>
        <w:t xml:space="preserve">The </w:t>
      </w:r>
      <w:r w:rsidR="00C57B6E" w:rsidRPr="00E00086">
        <w:rPr>
          <w:lang w:val="en-GB"/>
        </w:rPr>
        <w:t xml:space="preserve">appeal is on what the applicant describes as </w:t>
      </w:r>
      <w:r w:rsidR="00A00431" w:rsidRPr="00E00086">
        <w:rPr>
          <w:lang w:val="en-GB"/>
        </w:rPr>
        <w:t>pertinent questions of law.</w:t>
      </w:r>
    </w:p>
    <w:p w14:paraId="0CE5497D" w14:textId="77777777" w:rsidR="00A00431" w:rsidRPr="00E00086" w:rsidRDefault="00A00431" w:rsidP="006426B1">
      <w:pPr>
        <w:rPr>
          <w:lang w:val="en-GB"/>
        </w:rPr>
      </w:pPr>
    </w:p>
    <w:p w14:paraId="5340E6FF" w14:textId="0203A313" w:rsidR="00A00431" w:rsidRPr="00E00086" w:rsidRDefault="004A7ADF" w:rsidP="004A7ADF">
      <w:pPr>
        <w:pStyle w:val="Heading1"/>
        <w:numPr>
          <w:ilvl w:val="0"/>
          <w:numId w:val="0"/>
        </w:numPr>
        <w:rPr>
          <w:lang w:val="en-GB"/>
        </w:rPr>
      </w:pPr>
      <w:r w:rsidRPr="00E00086">
        <w:rPr>
          <w:lang w:val="en-GB"/>
        </w:rPr>
        <w:t>[22]</w:t>
      </w:r>
      <w:r w:rsidRPr="00E00086">
        <w:rPr>
          <w:lang w:val="en-GB"/>
        </w:rPr>
        <w:tab/>
      </w:r>
      <w:r w:rsidR="00A00431" w:rsidRPr="00E00086">
        <w:rPr>
          <w:lang w:val="en-GB"/>
        </w:rPr>
        <w:t xml:space="preserve">The </w:t>
      </w:r>
      <w:r w:rsidR="00F24CAE" w:rsidRPr="00E00086">
        <w:rPr>
          <w:lang w:val="en-GB"/>
        </w:rPr>
        <w:t xml:space="preserve">grounds of appeal against the dismissal of the rescission application are that the </w:t>
      </w:r>
      <w:r w:rsidR="00CA4AEC" w:rsidRPr="00E00086">
        <w:rPr>
          <w:lang w:val="en-GB"/>
        </w:rPr>
        <w:t>a</w:t>
      </w:r>
      <w:r w:rsidR="004A69DF" w:rsidRPr="00E00086">
        <w:rPr>
          <w:lang w:val="en-GB"/>
        </w:rPr>
        <w:t>rbitrator</w:t>
      </w:r>
      <w:r w:rsidR="00F24CAE" w:rsidRPr="00E00086">
        <w:rPr>
          <w:lang w:val="en-GB"/>
        </w:rPr>
        <w:t xml:space="preserve"> </w:t>
      </w:r>
      <w:r w:rsidR="00A00431" w:rsidRPr="00E00086">
        <w:rPr>
          <w:lang w:val="en-GB"/>
        </w:rPr>
        <w:t>decided the rescission application in direct contradiction of the rules of natural justice, and article 12(1)(</w:t>
      </w:r>
      <w:r w:rsidR="00A00431" w:rsidRPr="00E00086">
        <w:rPr>
          <w:i/>
          <w:lang w:val="en-GB"/>
        </w:rPr>
        <w:t>a</w:t>
      </w:r>
      <w:r w:rsidR="00A00431" w:rsidRPr="00E00086">
        <w:rPr>
          <w:lang w:val="en-GB"/>
        </w:rPr>
        <w:t>) of the Namibian Constitution, in that:</w:t>
      </w:r>
    </w:p>
    <w:p w14:paraId="7BEAB361" w14:textId="77777777" w:rsidR="00A00431" w:rsidRPr="00E00086" w:rsidRDefault="00A00431" w:rsidP="006426B1">
      <w:pPr>
        <w:rPr>
          <w:lang w:val="en-GB"/>
        </w:rPr>
      </w:pPr>
    </w:p>
    <w:p w14:paraId="75F07BE8" w14:textId="35791ABD" w:rsidR="00A00431" w:rsidRPr="00E00086" w:rsidRDefault="004A7ADF" w:rsidP="004A7ADF">
      <w:pPr>
        <w:widowControl/>
        <w:ind w:left="720"/>
        <w:rPr>
          <w:rFonts w:cs="Times New Roman"/>
          <w:spacing w:val="0"/>
          <w:szCs w:val="22"/>
          <w:lang w:val="en-GB"/>
        </w:rPr>
      </w:pPr>
      <w:r w:rsidRPr="00E00086">
        <w:rPr>
          <w:rFonts w:cs="Times New Roman"/>
          <w:spacing w:val="0"/>
          <w:szCs w:val="22"/>
          <w:lang w:val="en-GB"/>
        </w:rPr>
        <w:lastRenderedPageBreak/>
        <w:t>a)</w:t>
      </w:r>
      <w:r w:rsidRPr="00E00086">
        <w:rPr>
          <w:rFonts w:cs="Times New Roman"/>
          <w:spacing w:val="0"/>
          <w:szCs w:val="22"/>
          <w:lang w:val="en-GB"/>
        </w:rPr>
        <w:tab/>
      </w:r>
      <w:r w:rsidR="00A00431" w:rsidRPr="00E00086">
        <w:rPr>
          <w:rFonts w:cs="Times New Roman"/>
          <w:spacing w:val="0"/>
          <w:szCs w:val="22"/>
          <w:lang w:val="en-GB"/>
        </w:rPr>
        <w:t xml:space="preserve">The </w:t>
      </w:r>
      <w:r w:rsidR="00CA4AEC" w:rsidRPr="00E00086">
        <w:rPr>
          <w:rFonts w:cs="Times New Roman"/>
          <w:spacing w:val="0"/>
          <w:szCs w:val="22"/>
          <w:lang w:val="en-GB"/>
        </w:rPr>
        <w:t>a</w:t>
      </w:r>
      <w:r w:rsidR="004A69DF" w:rsidRPr="00E00086">
        <w:rPr>
          <w:rFonts w:cs="Times New Roman"/>
          <w:spacing w:val="0"/>
          <w:szCs w:val="22"/>
          <w:lang w:val="en-GB"/>
        </w:rPr>
        <w:t>rbitrator</w:t>
      </w:r>
      <w:r w:rsidR="00A00431" w:rsidRPr="00E00086">
        <w:rPr>
          <w:rFonts w:cs="Times New Roman"/>
          <w:spacing w:val="0"/>
          <w:szCs w:val="22"/>
          <w:lang w:val="en-GB"/>
        </w:rPr>
        <w:t xml:space="preserve"> failed to give the applicant </w:t>
      </w:r>
      <w:r w:rsidR="00A00431" w:rsidRPr="00E00086">
        <w:rPr>
          <w:rFonts w:cs="Times New Roman"/>
          <w:i/>
          <w:iCs/>
          <w:spacing w:val="0"/>
          <w:szCs w:val="22"/>
          <w:lang w:val="en-GB"/>
        </w:rPr>
        <w:t>audi</w:t>
      </w:r>
      <w:r w:rsidR="00A00431" w:rsidRPr="00E00086">
        <w:rPr>
          <w:rFonts w:cs="Times New Roman"/>
          <w:spacing w:val="0"/>
          <w:szCs w:val="22"/>
          <w:lang w:val="en-GB"/>
        </w:rPr>
        <w:t xml:space="preserve">, orally or in writing, despite two written requests for a </w:t>
      </w:r>
      <w:proofErr w:type="gramStart"/>
      <w:r w:rsidR="00A00431" w:rsidRPr="00E00086">
        <w:rPr>
          <w:rFonts w:cs="Times New Roman"/>
          <w:spacing w:val="0"/>
          <w:szCs w:val="22"/>
          <w:lang w:val="en-GB"/>
        </w:rPr>
        <w:t>date;</w:t>
      </w:r>
      <w:proofErr w:type="gramEnd"/>
    </w:p>
    <w:p w14:paraId="25CE743C" w14:textId="77777777" w:rsidR="00A00431" w:rsidRPr="00E00086" w:rsidRDefault="00A00431" w:rsidP="00A55728">
      <w:pPr>
        <w:widowControl/>
        <w:ind w:left="720"/>
        <w:rPr>
          <w:rFonts w:cs="Times New Roman"/>
          <w:spacing w:val="0"/>
          <w:szCs w:val="22"/>
          <w:lang w:val="en-GB"/>
        </w:rPr>
      </w:pPr>
    </w:p>
    <w:p w14:paraId="7C4DEC7F" w14:textId="33A0A8D1" w:rsidR="00A00431" w:rsidRPr="00E00086" w:rsidRDefault="004A7ADF" w:rsidP="004A7ADF">
      <w:pPr>
        <w:widowControl/>
        <w:ind w:left="720"/>
        <w:rPr>
          <w:rFonts w:cs="Times New Roman"/>
          <w:spacing w:val="0"/>
          <w:szCs w:val="22"/>
          <w:lang w:val="en-GB"/>
        </w:rPr>
      </w:pPr>
      <w:r w:rsidRPr="00E00086">
        <w:rPr>
          <w:rFonts w:cs="Times New Roman"/>
          <w:spacing w:val="0"/>
          <w:szCs w:val="22"/>
          <w:lang w:val="en-GB"/>
        </w:rPr>
        <w:t>b)</w:t>
      </w:r>
      <w:r w:rsidRPr="00E00086">
        <w:rPr>
          <w:rFonts w:cs="Times New Roman"/>
          <w:spacing w:val="0"/>
          <w:szCs w:val="22"/>
          <w:lang w:val="en-GB"/>
        </w:rPr>
        <w:tab/>
      </w:r>
      <w:r w:rsidR="00A00431" w:rsidRPr="00E00086">
        <w:rPr>
          <w:rFonts w:cs="Times New Roman"/>
          <w:spacing w:val="0"/>
          <w:szCs w:val="22"/>
          <w:lang w:val="en-GB"/>
        </w:rPr>
        <w:t xml:space="preserve">The </w:t>
      </w:r>
      <w:r w:rsidR="00CA4AEC" w:rsidRPr="00E00086">
        <w:rPr>
          <w:rFonts w:cs="Times New Roman"/>
          <w:spacing w:val="0"/>
          <w:szCs w:val="22"/>
          <w:lang w:val="en-GB"/>
        </w:rPr>
        <w:t>a</w:t>
      </w:r>
      <w:r w:rsidR="004A69DF" w:rsidRPr="00E00086">
        <w:rPr>
          <w:rFonts w:cs="Times New Roman"/>
          <w:spacing w:val="0"/>
          <w:szCs w:val="22"/>
          <w:lang w:val="en-GB"/>
        </w:rPr>
        <w:t>rbitrator</w:t>
      </w:r>
      <w:r w:rsidR="00A00431" w:rsidRPr="00E00086">
        <w:rPr>
          <w:rFonts w:cs="Times New Roman"/>
          <w:spacing w:val="0"/>
          <w:szCs w:val="22"/>
          <w:lang w:val="en-GB"/>
        </w:rPr>
        <w:t xml:space="preserve"> relied solely on her version of events, without affording the applicant an opportunity to disabuse her of the </w:t>
      </w:r>
      <w:proofErr w:type="gramStart"/>
      <w:r w:rsidR="00A00431" w:rsidRPr="00E00086">
        <w:rPr>
          <w:rFonts w:cs="Times New Roman"/>
          <w:spacing w:val="0"/>
          <w:szCs w:val="22"/>
          <w:lang w:val="en-GB"/>
        </w:rPr>
        <w:t>version;</w:t>
      </w:r>
      <w:proofErr w:type="gramEnd"/>
    </w:p>
    <w:p w14:paraId="5476C802" w14:textId="77777777" w:rsidR="00A00431" w:rsidRPr="00E00086" w:rsidRDefault="00A00431" w:rsidP="00A55728">
      <w:pPr>
        <w:widowControl/>
        <w:ind w:left="1440"/>
        <w:rPr>
          <w:rFonts w:cs="Times New Roman"/>
          <w:spacing w:val="0"/>
          <w:szCs w:val="22"/>
          <w:lang w:val="en-GB"/>
        </w:rPr>
      </w:pPr>
    </w:p>
    <w:p w14:paraId="6BE3E8F0" w14:textId="2F002538" w:rsidR="00A00431" w:rsidRPr="00E00086" w:rsidRDefault="004A7ADF" w:rsidP="004A7ADF">
      <w:pPr>
        <w:widowControl/>
        <w:ind w:left="720"/>
        <w:rPr>
          <w:rFonts w:cs="Times New Roman"/>
          <w:spacing w:val="0"/>
          <w:szCs w:val="22"/>
          <w:lang w:val="en-GB"/>
        </w:rPr>
      </w:pPr>
      <w:r w:rsidRPr="00E00086">
        <w:rPr>
          <w:rFonts w:cs="Times New Roman"/>
          <w:spacing w:val="0"/>
          <w:szCs w:val="22"/>
          <w:lang w:val="en-GB"/>
        </w:rPr>
        <w:t>c)</w:t>
      </w:r>
      <w:r w:rsidRPr="00E00086">
        <w:rPr>
          <w:rFonts w:cs="Times New Roman"/>
          <w:spacing w:val="0"/>
          <w:szCs w:val="22"/>
          <w:lang w:val="en-GB"/>
        </w:rPr>
        <w:tab/>
      </w:r>
      <w:r w:rsidR="00A00431" w:rsidRPr="00E00086">
        <w:rPr>
          <w:rFonts w:cs="Times New Roman"/>
          <w:spacing w:val="0"/>
          <w:szCs w:val="22"/>
          <w:lang w:val="en-GB"/>
        </w:rPr>
        <w:t xml:space="preserve">The </w:t>
      </w:r>
      <w:r w:rsidR="00CA4AEC" w:rsidRPr="00E00086">
        <w:rPr>
          <w:rFonts w:cs="Times New Roman"/>
          <w:spacing w:val="0"/>
          <w:szCs w:val="22"/>
          <w:lang w:val="en-GB"/>
        </w:rPr>
        <w:t>a</w:t>
      </w:r>
      <w:r w:rsidR="004A69DF" w:rsidRPr="00E00086">
        <w:rPr>
          <w:rFonts w:cs="Times New Roman"/>
          <w:spacing w:val="0"/>
          <w:szCs w:val="22"/>
          <w:lang w:val="en-GB"/>
        </w:rPr>
        <w:t>rbitrator</w:t>
      </w:r>
      <w:r w:rsidR="00A00431" w:rsidRPr="00E00086">
        <w:rPr>
          <w:rFonts w:cs="Times New Roman"/>
          <w:spacing w:val="0"/>
          <w:szCs w:val="22"/>
          <w:lang w:val="en-GB"/>
        </w:rPr>
        <w:t xml:space="preserve"> failed to apply the proper legal test for the determination of rescission application by failing to apply the test of good </w:t>
      </w:r>
      <w:proofErr w:type="gramStart"/>
      <w:r w:rsidR="00A00431" w:rsidRPr="00E00086">
        <w:rPr>
          <w:rFonts w:cs="Times New Roman"/>
          <w:spacing w:val="0"/>
          <w:szCs w:val="22"/>
          <w:lang w:val="en-GB"/>
        </w:rPr>
        <w:t>cause;</w:t>
      </w:r>
      <w:proofErr w:type="gramEnd"/>
    </w:p>
    <w:p w14:paraId="216C34D4" w14:textId="77777777" w:rsidR="00A00431" w:rsidRPr="00E00086" w:rsidRDefault="00A00431" w:rsidP="00A55728">
      <w:pPr>
        <w:widowControl/>
        <w:ind w:left="1440"/>
        <w:rPr>
          <w:rFonts w:cs="Times New Roman"/>
          <w:spacing w:val="0"/>
          <w:szCs w:val="22"/>
          <w:lang w:val="en-GB"/>
        </w:rPr>
      </w:pPr>
    </w:p>
    <w:p w14:paraId="49F2653B" w14:textId="1F19773D" w:rsidR="00A00431" w:rsidRPr="00E00086" w:rsidRDefault="004A7ADF" w:rsidP="004A7ADF">
      <w:pPr>
        <w:widowControl/>
        <w:ind w:left="720"/>
        <w:rPr>
          <w:rFonts w:cs="Times New Roman"/>
          <w:spacing w:val="0"/>
          <w:szCs w:val="22"/>
          <w:lang w:val="en-GB"/>
        </w:rPr>
      </w:pPr>
      <w:r w:rsidRPr="00E00086">
        <w:rPr>
          <w:rFonts w:cs="Times New Roman"/>
          <w:spacing w:val="0"/>
          <w:szCs w:val="22"/>
          <w:lang w:val="en-GB"/>
        </w:rPr>
        <w:t>d)</w:t>
      </w:r>
      <w:r w:rsidRPr="00E00086">
        <w:rPr>
          <w:rFonts w:cs="Times New Roman"/>
          <w:spacing w:val="0"/>
          <w:szCs w:val="22"/>
          <w:lang w:val="en-GB"/>
        </w:rPr>
        <w:tab/>
      </w:r>
      <w:r w:rsidR="00A00431" w:rsidRPr="00E00086">
        <w:rPr>
          <w:rFonts w:cs="Times New Roman"/>
          <w:spacing w:val="0"/>
          <w:szCs w:val="22"/>
          <w:lang w:val="en-GB"/>
        </w:rPr>
        <w:t xml:space="preserve">The </w:t>
      </w:r>
      <w:r w:rsidR="00CA4AEC" w:rsidRPr="00E00086">
        <w:rPr>
          <w:rFonts w:cs="Times New Roman"/>
          <w:spacing w:val="0"/>
          <w:szCs w:val="22"/>
          <w:lang w:val="en-GB"/>
        </w:rPr>
        <w:t>a</w:t>
      </w:r>
      <w:r w:rsidR="004A69DF" w:rsidRPr="00E00086">
        <w:rPr>
          <w:rFonts w:cs="Times New Roman"/>
          <w:spacing w:val="0"/>
          <w:szCs w:val="22"/>
          <w:lang w:val="en-GB"/>
        </w:rPr>
        <w:t>rbitrator</w:t>
      </w:r>
      <w:r w:rsidR="00A00431" w:rsidRPr="00E00086">
        <w:rPr>
          <w:rFonts w:cs="Times New Roman"/>
          <w:spacing w:val="0"/>
          <w:szCs w:val="22"/>
          <w:lang w:val="en-GB"/>
        </w:rPr>
        <w:t xml:space="preserve"> faile</w:t>
      </w:r>
      <w:r w:rsidR="00CA4AEC" w:rsidRPr="00E00086">
        <w:rPr>
          <w:rFonts w:cs="Times New Roman"/>
          <w:spacing w:val="0"/>
          <w:szCs w:val="22"/>
          <w:lang w:val="en-GB"/>
        </w:rPr>
        <w:t xml:space="preserve">d to make a ruling on the </w:t>
      </w:r>
      <w:r w:rsidR="00A00431" w:rsidRPr="00E00086">
        <w:rPr>
          <w:rFonts w:cs="Times New Roman"/>
          <w:spacing w:val="0"/>
          <w:szCs w:val="22"/>
          <w:lang w:val="en-GB"/>
        </w:rPr>
        <w:t>respondent’s condonation application for the late filing of her answering affidavit</w:t>
      </w:r>
      <w:r w:rsidR="00F24CAE" w:rsidRPr="00E00086">
        <w:rPr>
          <w:rFonts w:cs="Times New Roman"/>
          <w:spacing w:val="0"/>
          <w:szCs w:val="22"/>
          <w:lang w:val="en-GB"/>
        </w:rPr>
        <w:t xml:space="preserve"> in the rescission application</w:t>
      </w:r>
      <w:r w:rsidR="00A55728" w:rsidRPr="00E00086">
        <w:rPr>
          <w:rFonts w:cs="Times New Roman"/>
          <w:spacing w:val="0"/>
          <w:szCs w:val="22"/>
          <w:lang w:val="en-GB"/>
        </w:rPr>
        <w:t>.  I</w:t>
      </w:r>
      <w:r w:rsidR="00A00431" w:rsidRPr="00E00086">
        <w:rPr>
          <w:rFonts w:cs="Times New Roman"/>
          <w:spacing w:val="0"/>
          <w:szCs w:val="22"/>
          <w:lang w:val="en-GB"/>
        </w:rPr>
        <w:t>n the circumstances, this would have determined whether the rescission application was heard unopposed or not.</w:t>
      </w:r>
    </w:p>
    <w:p w14:paraId="0054DFF1" w14:textId="77777777" w:rsidR="00150E87" w:rsidRPr="00E00086" w:rsidRDefault="00150E87" w:rsidP="006426B1">
      <w:pPr>
        <w:widowControl/>
        <w:rPr>
          <w:rFonts w:cs="Times New Roman"/>
          <w:spacing w:val="0"/>
          <w:szCs w:val="22"/>
          <w:lang w:val="en-GB"/>
        </w:rPr>
      </w:pPr>
    </w:p>
    <w:p w14:paraId="721F447C" w14:textId="6234CFEC" w:rsidR="00FC6B78" w:rsidRPr="00E00086" w:rsidRDefault="004A7ADF" w:rsidP="004A7ADF">
      <w:pPr>
        <w:pStyle w:val="Heading1"/>
        <w:numPr>
          <w:ilvl w:val="0"/>
          <w:numId w:val="0"/>
        </w:numPr>
        <w:rPr>
          <w:lang w:val="en-GB"/>
        </w:rPr>
      </w:pPr>
      <w:r w:rsidRPr="00E00086">
        <w:rPr>
          <w:lang w:val="en-GB"/>
        </w:rPr>
        <w:t>[23]</w:t>
      </w:r>
      <w:r w:rsidRPr="00E00086">
        <w:rPr>
          <w:lang w:val="en-GB"/>
        </w:rPr>
        <w:tab/>
      </w:r>
      <w:r w:rsidR="00FC6B78" w:rsidRPr="00E00086">
        <w:rPr>
          <w:lang w:val="en-GB"/>
        </w:rPr>
        <w:t xml:space="preserve">In this regard, the applicant also took issue with the contents of the same affidavit that was filed late, stating that </w:t>
      </w:r>
      <w:r w:rsidR="00CA4AEC" w:rsidRPr="00E00086">
        <w:rPr>
          <w:lang w:val="en-GB"/>
        </w:rPr>
        <w:t xml:space="preserve">the </w:t>
      </w:r>
      <w:r w:rsidR="00FA0F11" w:rsidRPr="00E00086">
        <w:rPr>
          <w:lang w:val="en-GB"/>
        </w:rPr>
        <w:t>respondent</w:t>
      </w:r>
      <w:r w:rsidR="00FC6B78" w:rsidRPr="00E00086">
        <w:rPr>
          <w:lang w:val="en-GB"/>
        </w:rPr>
        <w:t xml:space="preserve"> made defamatory remarks towards her supervisor, which defamatory remarks ‘materially broke down any hope of a harmoni</w:t>
      </w:r>
      <w:r w:rsidR="008F54E4" w:rsidRPr="00E00086">
        <w:rPr>
          <w:lang w:val="en-GB"/>
        </w:rPr>
        <w:t>ous and respectful relationship</w:t>
      </w:r>
      <w:r w:rsidR="00FC6B78" w:rsidRPr="00E00086">
        <w:rPr>
          <w:lang w:val="en-GB"/>
        </w:rPr>
        <w:t>’</w:t>
      </w:r>
      <w:r w:rsidR="008F54E4" w:rsidRPr="00E00086">
        <w:rPr>
          <w:lang w:val="en-GB"/>
        </w:rPr>
        <w:t>.</w:t>
      </w:r>
      <w:r w:rsidR="00FC6B78" w:rsidRPr="00E00086">
        <w:rPr>
          <w:lang w:val="en-GB"/>
        </w:rPr>
        <w:t xml:space="preserve"> The applicant </w:t>
      </w:r>
      <w:r w:rsidR="00A00431" w:rsidRPr="00E00086">
        <w:rPr>
          <w:lang w:val="en-GB"/>
        </w:rPr>
        <w:t>note</w:t>
      </w:r>
      <w:r w:rsidR="00FC6B78" w:rsidRPr="00E00086">
        <w:rPr>
          <w:lang w:val="en-GB"/>
        </w:rPr>
        <w:t>d that</w:t>
      </w:r>
      <w:r w:rsidR="00A00431" w:rsidRPr="00E00086">
        <w:rPr>
          <w:lang w:val="en-GB"/>
        </w:rPr>
        <w:t xml:space="preserve"> the </w:t>
      </w:r>
      <w:r w:rsidR="00CA4AEC" w:rsidRPr="00E00086">
        <w:rPr>
          <w:lang w:val="en-GB"/>
        </w:rPr>
        <w:t>a</w:t>
      </w:r>
      <w:r w:rsidR="004A69DF" w:rsidRPr="00E00086">
        <w:rPr>
          <w:lang w:val="en-GB"/>
        </w:rPr>
        <w:t>rbitrator</w:t>
      </w:r>
      <w:r w:rsidR="00A00431" w:rsidRPr="00E00086">
        <w:rPr>
          <w:lang w:val="en-GB"/>
        </w:rPr>
        <w:t xml:space="preserve"> made no mention of these remarks in her ruling.</w:t>
      </w:r>
      <w:r w:rsidR="00A55728" w:rsidRPr="00E00086">
        <w:rPr>
          <w:lang w:val="en-GB"/>
        </w:rPr>
        <w:t xml:space="preserve">  The alleged defamatory remarks are the following:  </w:t>
      </w:r>
    </w:p>
    <w:p w14:paraId="60852974" w14:textId="6F943F53" w:rsidR="00782A9F" w:rsidRPr="00E00086" w:rsidRDefault="00782A9F" w:rsidP="00782A9F">
      <w:pPr>
        <w:widowControl/>
        <w:rPr>
          <w:rFonts w:cs="Times New Roman"/>
          <w:spacing w:val="0"/>
          <w:szCs w:val="22"/>
          <w:lang w:val="en-GB"/>
        </w:rPr>
      </w:pPr>
    </w:p>
    <w:p w14:paraId="254E3A7B" w14:textId="5288B703" w:rsidR="00782A9F" w:rsidRPr="00E00086" w:rsidRDefault="00F35E85" w:rsidP="00782A9F">
      <w:pPr>
        <w:widowControl/>
        <w:ind w:left="720"/>
        <w:rPr>
          <w:rFonts w:cs="Times New Roman"/>
          <w:spacing w:val="0"/>
          <w:sz w:val="22"/>
          <w:szCs w:val="20"/>
          <w:lang w:val="en-GB"/>
        </w:rPr>
      </w:pPr>
      <w:r>
        <w:rPr>
          <w:rFonts w:cs="Times New Roman"/>
          <w:spacing w:val="0"/>
          <w:sz w:val="22"/>
          <w:szCs w:val="20"/>
          <w:lang w:val="en-GB"/>
        </w:rPr>
        <w:t>‘</w:t>
      </w:r>
      <w:r w:rsidR="00782A9F" w:rsidRPr="00E00086">
        <w:rPr>
          <w:rFonts w:cs="Times New Roman"/>
          <w:spacing w:val="0"/>
          <w:sz w:val="22"/>
          <w:szCs w:val="20"/>
          <w:lang w:val="en-GB"/>
        </w:rPr>
        <w:t xml:space="preserve">The applicant … </w:t>
      </w:r>
      <w:r w:rsidR="00782A9F" w:rsidRPr="00E00086">
        <w:rPr>
          <w:rFonts w:cs="Times New Roman"/>
          <w:spacing w:val="0"/>
          <w:sz w:val="22"/>
          <w:szCs w:val="20"/>
          <w:u w:val="single"/>
          <w:lang w:val="en-GB"/>
        </w:rPr>
        <w:t>is quick to judge those who are victims of the past</w:t>
      </w:r>
      <w:r w:rsidR="00782A9F" w:rsidRPr="00E00086">
        <w:rPr>
          <w:rFonts w:cs="Times New Roman"/>
          <w:spacing w:val="0"/>
          <w:sz w:val="22"/>
          <w:szCs w:val="20"/>
          <w:lang w:val="en-GB"/>
        </w:rPr>
        <w:t xml:space="preserve">.  </w:t>
      </w:r>
    </w:p>
    <w:p w14:paraId="16003D60" w14:textId="223F48DE" w:rsidR="00782A9F" w:rsidRPr="00E00086" w:rsidRDefault="00782A9F" w:rsidP="00782A9F">
      <w:pPr>
        <w:widowControl/>
        <w:ind w:left="720"/>
        <w:rPr>
          <w:rFonts w:cs="Times New Roman"/>
          <w:spacing w:val="0"/>
          <w:sz w:val="22"/>
          <w:szCs w:val="20"/>
          <w:lang w:val="en-GB"/>
        </w:rPr>
      </w:pPr>
    </w:p>
    <w:p w14:paraId="70DB40F1" w14:textId="07B780EA" w:rsidR="00782A9F" w:rsidRPr="00E00086" w:rsidRDefault="00782A9F" w:rsidP="00F35E85">
      <w:pPr>
        <w:widowControl/>
        <w:rPr>
          <w:rFonts w:cs="Times New Roman"/>
          <w:spacing w:val="0"/>
          <w:sz w:val="22"/>
          <w:szCs w:val="20"/>
          <w:lang w:val="en-GB"/>
        </w:rPr>
      </w:pPr>
      <w:r w:rsidRPr="00E00086">
        <w:rPr>
          <w:rFonts w:cs="Times New Roman"/>
          <w:spacing w:val="0"/>
          <w:sz w:val="22"/>
          <w:szCs w:val="20"/>
          <w:lang w:val="en-GB"/>
        </w:rPr>
        <w:t xml:space="preserve">The Chief Executive Officer and the General Manager of Corporate Communication and Human Resources are </w:t>
      </w:r>
      <w:r w:rsidRPr="00E00086">
        <w:rPr>
          <w:rFonts w:cs="Times New Roman"/>
          <w:spacing w:val="0"/>
          <w:sz w:val="22"/>
          <w:szCs w:val="20"/>
          <w:u w:val="single"/>
          <w:lang w:val="en-GB"/>
        </w:rPr>
        <w:t xml:space="preserve">not able to </w:t>
      </w:r>
      <w:r w:rsidR="000A16B8" w:rsidRPr="00E00086">
        <w:rPr>
          <w:rFonts w:cs="Times New Roman"/>
          <w:spacing w:val="0"/>
          <w:sz w:val="22"/>
          <w:szCs w:val="20"/>
          <w:u w:val="single"/>
          <w:lang w:val="en-GB"/>
        </w:rPr>
        <w:t>sympathise</w:t>
      </w:r>
      <w:r w:rsidRPr="00E00086">
        <w:rPr>
          <w:rFonts w:cs="Times New Roman"/>
          <w:spacing w:val="0"/>
          <w:sz w:val="22"/>
          <w:szCs w:val="20"/>
          <w:u w:val="single"/>
          <w:lang w:val="en-GB"/>
        </w:rPr>
        <w:t xml:space="preserve"> and unde</w:t>
      </w:r>
      <w:r w:rsidR="000A16B8" w:rsidRPr="00E00086">
        <w:rPr>
          <w:rFonts w:cs="Times New Roman"/>
          <w:spacing w:val="0"/>
          <w:sz w:val="22"/>
          <w:szCs w:val="20"/>
          <w:u w:val="single"/>
          <w:lang w:val="en-GB"/>
        </w:rPr>
        <w:t>rstand respondent as a Namibian woman</w:t>
      </w:r>
      <w:r w:rsidR="00F35E85">
        <w:rPr>
          <w:rFonts w:cs="Times New Roman"/>
          <w:spacing w:val="0"/>
          <w:sz w:val="22"/>
          <w:szCs w:val="20"/>
          <w:lang w:val="en-GB"/>
        </w:rPr>
        <w:t>.’</w:t>
      </w:r>
      <w:r w:rsidR="000A16B8" w:rsidRPr="00E00086">
        <w:rPr>
          <w:rFonts w:cs="Times New Roman"/>
          <w:spacing w:val="0"/>
          <w:sz w:val="22"/>
          <w:szCs w:val="20"/>
          <w:lang w:val="en-GB"/>
        </w:rPr>
        <w:t xml:space="preserve"> </w:t>
      </w:r>
      <w:r w:rsidR="000A16B8" w:rsidRPr="00E00086">
        <w:rPr>
          <w:rStyle w:val="FootnoteReference"/>
          <w:rFonts w:cs="Times New Roman"/>
          <w:spacing w:val="0"/>
          <w:sz w:val="22"/>
          <w:szCs w:val="20"/>
          <w:lang w:val="en-GB"/>
        </w:rPr>
        <w:footnoteReference w:id="1"/>
      </w:r>
      <w:r w:rsidR="000A16B8" w:rsidRPr="00E00086">
        <w:rPr>
          <w:rFonts w:cs="Times New Roman"/>
          <w:spacing w:val="0"/>
          <w:sz w:val="22"/>
          <w:szCs w:val="20"/>
          <w:lang w:val="en-GB"/>
        </w:rPr>
        <w:t xml:space="preserve"> </w:t>
      </w:r>
    </w:p>
    <w:p w14:paraId="5EB460BB" w14:textId="77777777" w:rsidR="00006BFF" w:rsidRPr="00E00086" w:rsidRDefault="00006BFF" w:rsidP="006426B1">
      <w:pPr>
        <w:widowControl/>
        <w:rPr>
          <w:rFonts w:cs="Times New Roman"/>
          <w:spacing w:val="0"/>
          <w:szCs w:val="22"/>
          <w:lang w:val="en-GB"/>
        </w:rPr>
      </w:pPr>
    </w:p>
    <w:p w14:paraId="42DFE51A" w14:textId="5FAF469D" w:rsidR="00D629B6" w:rsidRPr="00E00086" w:rsidRDefault="004A7ADF" w:rsidP="004A7ADF">
      <w:pPr>
        <w:pStyle w:val="Heading1"/>
        <w:numPr>
          <w:ilvl w:val="0"/>
          <w:numId w:val="0"/>
        </w:numPr>
        <w:rPr>
          <w:lang w:val="en-GB"/>
        </w:rPr>
      </w:pPr>
      <w:r w:rsidRPr="00E00086">
        <w:rPr>
          <w:lang w:val="en-GB"/>
        </w:rPr>
        <w:t>[24]</w:t>
      </w:r>
      <w:r w:rsidRPr="00E00086">
        <w:rPr>
          <w:lang w:val="en-GB"/>
        </w:rPr>
        <w:tab/>
      </w:r>
      <w:r w:rsidR="00D629B6" w:rsidRPr="00E00086">
        <w:rPr>
          <w:lang w:val="en-GB"/>
        </w:rPr>
        <w:t>On 6 February 2023</w:t>
      </w:r>
      <w:r w:rsidR="00CA4AEC" w:rsidRPr="00E00086">
        <w:rPr>
          <w:lang w:val="en-GB"/>
        </w:rPr>
        <w:t>,</w:t>
      </w:r>
      <w:r w:rsidR="00D629B6" w:rsidRPr="00E00086">
        <w:rPr>
          <w:lang w:val="en-GB"/>
        </w:rPr>
        <w:t xml:space="preserve"> </w:t>
      </w:r>
      <w:r w:rsidR="00FC6B78" w:rsidRPr="00E00086">
        <w:rPr>
          <w:lang w:val="en-GB"/>
        </w:rPr>
        <w:t>the respondent’s legal practitioner of record directed correspondence to the applicant</w:t>
      </w:r>
      <w:r w:rsidR="00D629B6" w:rsidRPr="00E00086">
        <w:rPr>
          <w:lang w:val="en-GB"/>
        </w:rPr>
        <w:t xml:space="preserve">’s legal practitioners </w:t>
      </w:r>
      <w:r w:rsidR="00FC6B78" w:rsidRPr="00E00086">
        <w:rPr>
          <w:lang w:val="en-GB"/>
        </w:rPr>
        <w:t xml:space="preserve">demanding compliance with the arbitration award </w:t>
      </w:r>
      <w:r w:rsidR="00D629B6" w:rsidRPr="00E00086">
        <w:rPr>
          <w:lang w:val="en-GB"/>
        </w:rPr>
        <w:t xml:space="preserve">on behalf of the respondent. In response the applicant’s legal </w:t>
      </w:r>
      <w:r w:rsidR="00D629B6" w:rsidRPr="00E00086">
        <w:rPr>
          <w:lang w:val="en-GB"/>
        </w:rPr>
        <w:lastRenderedPageBreak/>
        <w:t xml:space="preserve">practitioners advised </w:t>
      </w:r>
      <w:r w:rsidR="00FC6B78" w:rsidRPr="00E00086">
        <w:rPr>
          <w:lang w:val="en-GB"/>
        </w:rPr>
        <w:t xml:space="preserve">it intended on appealing the ruling, and that fairness in the circumstances dictated that the applicant be allowed the courtesy of the thirty-day </w:t>
      </w:r>
      <w:proofErr w:type="gramStart"/>
      <w:r w:rsidR="00FC6B78" w:rsidRPr="00E00086">
        <w:rPr>
          <w:lang w:val="en-GB"/>
        </w:rPr>
        <w:t>time period</w:t>
      </w:r>
      <w:proofErr w:type="gramEnd"/>
      <w:r w:rsidR="00FC6B78" w:rsidRPr="00E00086">
        <w:rPr>
          <w:lang w:val="en-GB"/>
        </w:rPr>
        <w:t xml:space="preserve"> to lodge the appeal before any steps are taken in execution of the award. </w:t>
      </w:r>
    </w:p>
    <w:p w14:paraId="40CB997D" w14:textId="77777777" w:rsidR="00006BFF" w:rsidRPr="00E00086" w:rsidRDefault="00006BFF" w:rsidP="006426B1">
      <w:pPr>
        <w:widowControl/>
        <w:rPr>
          <w:lang w:val="en-GB"/>
        </w:rPr>
      </w:pPr>
    </w:p>
    <w:p w14:paraId="66C95277" w14:textId="755BD961" w:rsidR="00D629B6" w:rsidRPr="00E00086" w:rsidRDefault="004A7ADF" w:rsidP="004A7ADF">
      <w:pPr>
        <w:pStyle w:val="Heading1"/>
        <w:numPr>
          <w:ilvl w:val="0"/>
          <w:numId w:val="0"/>
        </w:numPr>
        <w:rPr>
          <w:lang w:val="en-GB"/>
        </w:rPr>
      </w:pPr>
      <w:r w:rsidRPr="00E00086">
        <w:rPr>
          <w:lang w:val="en-GB"/>
        </w:rPr>
        <w:t>[25]</w:t>
      </w:r>
      <w:r w:rsidRPr="00E00086">
        <w:rPr>
          <w:lang w:val="en-GB"/>
        </w:rPr>
        <w:tab/>
      </w:r>
      <w:r w:rsidR="00A00431" w:rsidRPr="00E00086">
        <w:rPr>
          <w:lang w:val="en-GB"/>
        </w:rPr>
        <w:t xml:space="preserve">The applicant </w:t>
      </w:r>
      <w:r w:rsidR="00D629B6" w:rsidRPr="00E00086">
        <w:rPr>
          <w:lang w:val="en-GB"/>
        </w:rPr>
        <w:t xml:space="preserve">further </w:t>
      </w:r>
      <w:r w:rsidR="00A00431" w:rsidRPr="00E00086">
        <w:rPr>
          <w:lang w:val="en-GB"/>
        </w:rPr>
        <w:t xml:space="preserve">advised the respondent </w:t>
      </w:r>
      <w:r w:rsidR="00006BFF" w:rsidRPr="00E00086">
        <w:rPr>
          <w:lang w:val="en-GB"/>
        </w:rPr>
        <w:t xml:space="preserve">that </w:t>
      </w:r>
      <w:r w:rsidR="00A00431" w:rsidRPr="00E00086">
        <w:rPr>
          <w:lang w:val="en-GB"/>
        </w:rPr>
        <w:t xml:space="preserve">it </w:t>
      </w:r>
      <w:r w:rsidR="00D629B6" w:rsidRPr="00E00086">
        <w:rPr>
          <w:lang w:val="en-GB"/>
        </w:rPr>
        <w:t>was</w:t>
      </w:r>
      <w:r w:rsidR="00A00431" w:rsidRPr="00E00086">
        <w:rPr>
          <w:lang w:val="en-GB"/>
        </w:rPr>
        <w:t xml:space="preserve"> in the process of crafting </w:t>
      </w:r>
      <w:r w:rsidR="00006BFF" w:rsidRPr="00E00086">
        <w:rPr>
          <w:lang w:val="en-GB"/>
        </w:rPr>
        <w:t xml:space="preserve">a </w:t>
      </w:r>
      <w:r w:rsidR="00A00431" w:rsidRPr="00E00086">
        <w:rPr>
          <w:lang w:val="en-GB"/>
        </w:rPr>
        <w:t>settlement proposal</w:t>
      </w:r>
      <w:r w:rsidR="00D629B6" w:rsidRPr="00E00086">
        <w:rPr>
          <w:lang w:val="en-GB"/>
        </w:rPr>
        <w:t xml:space="preserve"> on the demand made in respect of the award</w:t>
      </w:r>
      <w:r w:rsidR="00A00431" w:rsidRPr="00E00086">
        <w:rPr>
          <w:lang w:val="en-GB"/>
        </w:rPr>
        <w:t>, and that the same would be communicated by 17 February 2023. After an exchange between the legal practitioners, the applicant communicated its settlement proposal to the first respondent</w:t>
      </w:r>
      <w:r w:rsidR="00D629B6" w:rsidRPr="00E00086">
        <w:rPr>
          <w:lang w:val="en-GB"/>
        </w:rPr>
        <w:t xml:space="preserve"> on 22 February 2023</w:t>
      </w:r>
      <w:r w:rsidR="00A00431" w:rsidRPr="00E00086">
        <w:rPr>
          <w:lang w:val="en-GB"/>
        </w:rPr>
        <w:t>, providing the first respondent until 24 February 2023 to respond to the proposal.</w:t>
      </w:r>
    </w:p>
    <w:p w14:paraId="49FFBDE1" w14:textId="77777777" w:rsidR="00CA4AEC" w:rsidRPr="00E00086" w:rsidRDefault="00CA4AEC" w:rsidP="006426B1">
      <w:pPr>
        <w:widowControl/>
        <w:rPr>
          <w:rFonts w:cs="Times New Roman"/>
          <w:spacing w:val="0"/>
          <w:szCs w:val="22"/>
          <w:lang w:val="en-GB"/>
        </w:rPr>
      </w:pPr>
    </w:p>
    <w:p w14:paraId="65618A2D" w14:textId="71F8EAFD" w:rsidR="00FA0F11" w:rsidRPr="00E00086" w:rsidRDefault="004A7ADF" w:rsidP="004A7ADF">
      <w:pPr>
        <w:pStyle w:val="Heading1"/>
        <w:numPr>
          <w:ilvl w:val="0"/>
          <w:numId w:val="0"/>
        </w:numPr>
        <w:rPr>
          <w:lang w:val="en-GB"/>
        </w:rPr>
      </w:pPr>
      <w:r w:rsidRPr="00E00086">
        <w:rPr>
          <w:lang w:val="en-GB"/>
        </w:rPr>
        <w:t>[26]</w:t>
      </w:r>
      <w:r w:rsidRPr="00E00086">
        <w:rPr>
          <w:lang w:val="en-GB"/>
        </w:rPr>
        <w:tab/>
      </w:r>
      <w:r w:rsidR="00A00431" w:rsidRPr="00E00086">
        <w:rPr>
          <w:lang w:val="en-GB"/>
        </w:rPr>
        <w:t xml:space="preserve">The proposal </w:t>
      </w:r>
      <w:r w:rsidR="00D629B6" w:rsidRPr="00E00086">
        <w:rPr>
          <w:lang w:val="en-GB"/>
        </w:rPr>
        <w:t xml:space="preserve">as disclosed by both parties was </w:t>
      </w:r>
      <w:r w:rsidR="00CA4AEC" w:rsidRPr="00E00086">
        <w:rPr>
          <w:lang w:val="en-GB"/>
        </w:rPr>
        <w:t xml:space="preserve">that in respect of the appeal </w:t>
      </w:r>
      <w:r w:rsidR="00D629B6" w:rsidRPr="00E00086">
        <w:rPr>
          <w:lang w:val="en-GB"/>
        </w:rPr>
        <w:t xml:space="preserve">settlement, </w:t>
      </w:r>
      <w:r w:rsidR="00FA0F11" w:rsidRPr="00E00086">
        <w:rPr>
          <w:lang w:val="en-GB"/>
        </w:rPr>
        <w:t xml:space="preserve">the applicant </w:t>
      </w:r>
      <w:r w:rsidR="00D629B6" w:rsidRPr="00E00086">
        <w:rPr>
          <w:lang w:val="en-GB"/>
        </w:rPr>
        <w:t xml:space="preserve">would </w:t>
      </w:r>
      <w:r w:rsidR="00A00431" w:rsidRPr="00E00086">
        <w:rPr>
          <w:lang w:val="en-GB"/>
        </w:rPr>
        <w:t xml:space="preserve">pay the monthly salary of the respondent and the compensatory award into the </w:t>
      </w:r>
      <w:r w:rsidR="00CA4AEC" w:rsidRPr="00E00086">
        <w:rPr>
          <w:lang w:val="en-GB"/>
        </w:rPr>
        <w:t xml:space="preserve">trust </w:t>
      </w:r>
      <w:r w:rsidR="00A00431" w:rsidRPr="00E00086">
        <w:rPr>
          <w:lang w:val="en-GB"/>
        </w:rPr>
        <w:t>account of its le</w:t>
      </w:r>
      <w:r w:rsidR="00CA4AEC" w:rsidRPr="00E00086">
        <w:rPr>
          <w:lang w:val="en-GB"/>
        </w:rPr>
        <w:t>gal practitioner’s</w:t>
      </w:r>
      <w:r w:rsidR="00A00431" w:rsidRPr="00E00086">
        <w:rPr>
          <w:lang w:val="en-GB"/>
        </w:rPr>
        <w:t>, pending the finali</w:t>
      </w:r>
      <w:r w:rsidR="00E00086" w:rsidRPr="00E00086">
        <w:rPr>
          <w:lang w:val="en-GB"/>
        </w:rPr>
        <w:t>s</w:t>
      </w:r>
      <w:r w:rsidR="00A00431" w:rsidRPr="00E00086">
        <w:rPr>
          <w:lang w:val="en-GB"/>
        </w:rPr>
        <w:t>ation of the appeal.</w:t>
      </w:r>
      <w:r w:rsidR="00E00086">
        <w:rPr>
          <w:lang w:val="en-GB"/>
        </w:rPr>
        <w:t xml:space="preserve">  </w:t>
      </w:r>
      <w:proofErr w:type="gramStart"/>
      <w:r w:rsidR="00E00086">
        <w:rPr>
          <w:lang w:val="en-GB"/>
        </w:rPr>
        <w:t>Needless to say, no</w:t>
      </w:r>
      <w:proofErr w:type="gramEnd"/>
      <w:r w:rsidR="00E00086">
        <w:rPr>
          <w:lang w:val="en-GB"/>
        </w:rPr>
        <w:t xml:space="preserve"> settlement was reached.  </w:t>
      </w:r>
    </w:p>
    <w:p w14:paraId="2FD6F5E4" w14:textId="77777777" w:rsidR="000A16B8" w:rsidRPr="00E00086" w:rsidRDefault="000A16B8" w:rsidP="000A16B8">
      <w:pPr>
        <w:widowControl/>
        <w:rPr>
          <w:rFonts w:cs="Times New Roman"/>
          <w:spacing w:val="0"/>
          <w:szCs w:val="22"/>
          <w:lang w:val="en-GB"/>
        </w:rPr>
      </w:pPr>
    </w:p>
    <w:p w14:paraId="014DA928" w14:textId="54E861B3" w:rsidR="00235086" w:rsidRPr="00E00086" w:rsidRDefault="004A7ADF" w:rsidP="004A7ADF">
      <w:pPr>
        <w:pStyle w:val="Heading1"/>
        <w:numPr>
          <w:ilvl w:val="0"/>
          <w:numId w:val="0"/>
        </w:numPr>
        <w:rPr>
          <w:lang w:val="en-GB"/>
        </w:rPr>
      </w:pPr>
      <w:r w:rsidRPr="00E00086">
        <w:rPr>
          <w:lang w:val="en-GB"/>
        </w:rPr>
        <w:t>[27]</w:t>
      </w:r>
      <w:r w:rsidRPr="00E00086">
        <w:rPr>
          <w:lang w:val="en-GB"/>
        </w:rPr>
        <w:tab/>
      </w:r>
      <w:r w:rsidR="00A00431" w:rsidRPr="00E00086">
        <w:rPr>
          <w:lang w:val="en-GB"/>
        </w:rPr>
        <w:t xml:space="preserve">The applicant </w:t>
      </w:r>
      <w:r w:rsidR="00FA0F11" w:rsidRPr="00E00086">
        <w:rPr>
          <w:lang w:val="en-GB"/>
        </w:rPr>
        <w:t xml:space="preserve">states that </w:t>
      </w:r>
      <w:proofErr w:type="gramStart"/>
      <w:r w:rsidR="00FA0F11" w:rsidRPr="00E00086">
        <w:rPr>
          <w:lang w:val="en-GB"/>
        </w:rPr>
        <w:t>i</w:t>
      </w:r>
      <w:r w:rsidR="00006BFF" w:rsidRPr="00E00086">
        <w:rPr>
          <w:lang w:val="en-GB"/>
        </w:rPr>
        <w:t>n</w:t>
      </w:r>
      <w:r w:rsidR="00FA0F11" w:rsidRPr="00E00086">
        <w:rPr>
          <w:lang w:val="en-GB"/>
        </w:rPr>
        <w:t xml:space="preserve"> </w:t>
      </w:r>
      <w:r w:rsidR="00A00431" w:rsidRPr="00E00086">
        <w:rPr>
          <w:lang w:val="en-GB"/>
        </w:rPr>
        <w:t>light of</w:t>
      </w:r>
      <w:proofErr w:type="gramEnd"/>
      <w:r w:rsidR="00A00431" w:rsidRPr="00E00086">
        <w:rPr>
          <w:lang w:val="en-GB"/>
        </w:rPr>
        <w:t xml:space="preserve"> its prospects of success on appeal, it would suffer prejudice if the full monetary amount of the</w:t>
      </w:r>
      <w:r w:rsidR="00CA4AEC" w:rsidRPr="00E00086">
        <w:rPr>
          <w:lang w:val="en-GB"/>
        </w:rPr>
        <w:t xml:space="preserve"> award is paid over to the</w:t>
      </w:r>
      <w:r w:rsidR="00A00431" w:rsidRPr="00E00086">
        <w:rPr>
          <w:lang w:val="en-GB"/>
        </w:rPr>
        <w:t xml:space="preserve"> respondent, as the respondent would not be in a position to repay the compensatory award in the event of a successful appeal. The applicant states</w:t>
      </w:r>
      <w:r w:rsidR="00235086" w:rsidRPr="00E00086">
        <w:rPr>
          <w:lang w:val="en-GB"/>
        </w:rPr>
        <w:t xml:space="preserve"> </w:t>
      </w:r>
      <w:r w:rsidR="00A00431" w:rsidRPr="00E00086">
        <w:rPr>
          <w:lang w:val="en-GB"/>
        </w:rPr>
        <w:t xml:space="preserve">it became evident on 24 February 2023 that </w:t>
      </w:r>
      <w:r w:rsidR="00CA4AEC" w:rsidRPr="00E00086">
        <w:rPr>
          <w:lang w:val="en-GB"/>
        </w:rPr>
        <w:t>the settlement negotiations would</w:t>
      </w:r>
      <w:r w:rsidR="00A00431" w:rsidRPr="00E00086">
        <w:rPr>
          <w:lang w:val="en-GB"/>
        </w:rPr>
        <w:t xml:space="preserve"> not be fruitful. The applicant then </w:t>
      </w:r>
      <w:r w:rsidR="00235086" w:rsidRPr="00E00086">
        <w:rPr>
          <w:lang w:val="en-GB"/>
        </w:rPr>
        <w:t xml:space="preserve">launched </w:t>
      </w:r>
      <w:r w:rsidR="00A00431" w:rsidRPr="00E00086">
        <w:rPr>
          <w:lang w:val="en-GB"/>
        </w:rPr>
        <w:t>this application on 1 March 2023.</w:t>
      </w:r>
    </w:p>
    <w:p w14:paraId="4A4BE5BF" w14:textId="77777777" w:rsidR="00CA4AEC" w:rsidRPr="00E00086" w:rsidRDefault="00CA4AEC" w:rsidP="006426B1">
      <w:pPr>
        <w:widowControl/>
        <w:rPr>
          <w:rFonts w:cs="Times New Roman"/>
          <w:spacing w:val="0"/>
          <w:szCs w:val="22"/>
          <w:lang w:val="en-GB"/>
        </w:rPr>
      </w:pPr>
    </w:p>
    <w:p w14:paraId="340CFF92" w14:textId="280EA54E" w:rsidR="00235086" w:rsidRPr="00F35E85" w:rsidRDefault="004A7ADF" w:rsidP="004A7ADF">
      <w:pPr>
        <w:pStyle w:val="Heading1"/>
        <w:numPr>
          <w:ilvl w:val="0"/>
          <w:numId w:val="0"/>
        </w:numPr>
        <w:rPr>
          <w:lang w:val="en-GB"/>
        </w:rPr>
      </w:pPr>
      <w:r w:rsidRPr="00F35E85">
        <w:rPr>
          <w:lang w:val="en-GB"/>
        </w:rPr>
        <w:t>[28]</w:t>
      </w:r>
      <w:r w:rsidRPr="00F35E85">
        <w:rPr>
          <w:lang w:val="en-GB"/>
        </w:rPr>
        <w:tab/>
      </w:r>
      <w:r w:rsidR="00A00431" w:rsidRPr="00E00086">
        <w:rPr>
          <w:lang w:val="en-GB"/>
        </w:rPr>
        <w:t xml:space="preserve">The applicant </w:t>
      </w:r>
      <w:r w:rsidR="00235086" w:rsidRPr="00E00086">
        <w:rPr>
          <w:lang w:val="en-GB"/>
        </w:rPr>
        <w:t xml:space="preserve">pointed out </w:t>
      </w:r>
      <w:r w:rsidR="00A00431" w:rsidRPr="00E00086">
        <w:rPr>
          <w:lang w:val="en-GB"/>
        </w:rPr>
        <w:t xml:space="preserve">that applications for </w:t>
      </w:r>
      <w:r w:rsidR="00235086" w:rsidRPr="00E00086">
        <w:rPr>
          <w:lang w:val="en-GB"/>
        </w:rPr>
        <w:t>a</w:t>
      </w:r>
      <w:r w:rsidR="00A00431" w:rsidRPr="00E00086">
        <w:rPr>
          <w:lang w:val="en-GB"/>
        </w:rPr>
        <w:t xml:space="preserve"> stay of execution are inherently urgent, and that notwithstanding, the letter of demand and the threat of legal action that execution of the award may properly be consider</w:t>
      </w:r>
      <w:r w:rsidR="00235086" w:rsidRPr="00E00086">
        <w:rPr>
          <w:lang w:val="en-GB"/>
        </w:rPr>
        <w:t>ed</w:t>
      </w:r>
      <w:r w:rsidR="00A00431" w:rsidRPr="00E00086">
        <w:rPr>
          <w:lang w:val="en-GB"/>
        </w:rPr>
        <w:t xml:space="preserve"> imminent.</w:t>
      </w:r>
      <w:r w:rsidR="00235086" w:rsidRPr="00E00086">
        <w:rPr>
          <w:lang w:val="en-GB"/>
        </w:rPr>
        <w:t xml:space="preserve"> Further, </w:t>
      </w:r>
      <w:proofErr w:type="gramStart"/>
      <w:r w:rsidR="00235086" w:rsidRPr="00E00086">
        <w:rPr>
          <w:lang w:val="en-GB"/>
        </w:rPr>
        <w:t xml:space="preserve">it </w:t>
      </w:r>
      <w:r w:rsidR="00A00431" w:rsidRPr="00E00086">
        <w:rPr>
          <w:lang w:val="en-GB"/>
        </w:rPr>
        <w:t xml:space="preserve"> would</w:t>
      </w:r>
      <w:proofErr w:type="gramEnd"/>
      <w:r w:rsidR="00A00431" w:rsidRPr="00E00086">
        <w:rPr>
          <w:lang w:val="en-GB"/>
        </w:rPr>
        <w:t xml:space="preserve"> not be afforded sufficient redress should this matter be heard in the ordinary course, as an application for the stay of execution is ordinarily granted on an urgent basis pending the </w:t>
      </w:r>
      <w:r w:rsidR="00E00086">
        <w:rPr>
          <w:lang w:val="en-GB"/>
        </w:rPr>
        <w:t>finalisation</w:t>
      </w:r>
      <w:r w:rsidR="00A00431" w:rsidRPr="00E00086">
        <w:rPr>
          <w:lang w:val="en-GB"/>
        </w:rPr>
        <w:t xml:space="preserve"> of the main matter (the appeal, in this instance), and that in the ordinary course, the application may only be heard three to four months after being lodged</w:t>
      </w:r>
      <w:r w:rsidR="00E00086">
        <w:rPr>
          <w:lang w:val="en-GB"/>
        </w:rPr>
        <w:t xml:space="preserve">.  This </w:t>
      </w:r>
      <w:r w:rsidR="00A00431" w:rsidRPr="00E00086">
        <w:rPr>
          <w:lang w:val="en-GB"/>
        </w:rPr>
        <w:t xml:space="preserve">would defeat the purpose of the stay </w:t>
      </w:r>
      <w:r w:rsidR="00CA4AEC" w:rsidRPr="00E00086">
        <w:rPr>
          <w:lang w:val="en-GB"/>
        </w:rPr>
        <w:t>pending the appeal as the</w:t>
      </w:r>
      <w:r w:rsidR="00A00431" w:rsidRPr="00E00086">
        <w:rPr>
          <w:lang w:val="en-GB"/>
        </w:rPr>
        <w:t xml:space="preserve"> respondent is at liberty to take the enforcement proceedings against the applicant at any moment. </w:t>
      </w:r>
    </w:p>
    <w:p w14:paraId="154C5B1F" w14:textId="2D1C0C3F" w:rsidR="00A00431" w:rsidRPr="00E00086" w:rsidRDefault="004A7ADF" w:rsidP="004A7ADF">
      <w:pPr>
        <w:pStyle w:val="Heading1"/>
        <w:numPr>
          <w:ilvl w:val="0"/>
          <w:numId w:val="0"/>
        </w:numPr>
        <w:rPr>
          <w:lang w:val="en-GB"/>
        </w:rPr>
      </w:pPr>
      <w:r w:rsidRPr="00E00086">
        <w:rPr>
          <w:lang w:val="en-GB"/>
        </w:rPr>
        <w:lastRenderedPageBreak/>
        <w:t>[29]</w:t>
      </w:r>
      <w:r w:rsidRPr="00E00086">
        <w:rPr>
          <w:lang w:val="en-GB"/>
        </w:rPr>
        <w:tab/>
      </w:r>
      <w:r w:rsidR="00A00431" w:rsidRPr="00E00086">
        <w:rPr>
          <w:lang w:val="en-GB"/>
        </w:rPr>
        <w:t xml:space="preserve">The applicant </w:t>
      </w:r>
      <w:r w:rsidR="00006BFF" w:rsidRPr="00E00086">
        <w:rPr>
          <w:lang w:val="en-GB"/>
        </w:rPr>
        <w:t>averred</w:t>
      </w:r>
      <w:r w:rsidR="00A00431" w:rsidRPr="00E00086">
        <w:rPr>
          <w:lang w:val="en-GB"/>
        </w:rPr>
        <w:t xml:space="preserve"> tha</w:t>
      </w:r>
      <w:r w:rsidR="00CA4AEC" w:rsidRPr="00E00086">
        <w:rPr>
          <w:lang w:val="en-GB"/>
        </w:rPr>
        <w:t>t the reinstatement of the</w:t>
      </w:r>
      <w:r w:rsidR="00A00431" w:rsidRPr="00E00086">
        <w:rPr>
          <w:lang w:val="en-GB"/>
        </w:rPr>
        <w:t xml:space="preserve"> respondent in the circumstances of the alleged de</w:t>
      </w:r>
      <w:r w:rsidR="00235086" w:rsidRPr="00E00086">
        <w:rPr>
          <w:lang w:val="en-GB"/>
        </w:rPr>
        <w:t>famatory</w:t>
      </w:r>
      <w:r w:rsidR="00CA4AEC" w:rsidRPr="00E00086">
        <w:rPr>
          <w:lang w:val="en-GB"/>
        </w:rPr>
        <w:t xml:space="preserve"> remarks by the</w:t>
      </w:r>
      <w:r w:rsidR="00A00431" w:rsidRPr="00E00086">
        <w:rPr>
          <w:lang w:val="en-GB"/>
        </w:rPr>
        <w:t xml:space="preserve"> respondent</w:t>
      </w:r>
      <w:r w:rsidR="00235086" w:rsidRPr="00E00086">
        <w:rPr>
          <w:lang w:val="en-GB"/>
        </w:rPr>
        <w:t xml:space="preserve"> </w:t>
      </w:r>
      <w:r w:rsidR="00A00431" w:rsidRPr="00E00086">
        <w:rPr>
          <w:lang w:val="en-GB"/>
        </w:rPr>
        <w:t>where she insulted her supervisor as well as the previous CEO, is unlikely to foster a harmonious and respectful relationship, which would not be fair to either party in the circumstances</w:t>
      </w:r>
      <w:r w:rsidR="00235086" w:rsidRPr="00E00086">
        <w:rPr>
          <w:lang w:val="en-GB"/>
        </w:rPr>
        <w:t>.</w:t>
      </w:r>
    </w:p>
    <w:p w14:paraId="12CF6058" w14:textId="77777777" w:rsidR="00235086" w:rsidRPr="00E00086" w:rsidRDefault="00235086" w:rsidP="006426B1">
      <w:pPr>
        <w:rPr>
          <w:lang w:val="en-GB"/>
        </w:rPr>
      </w:pPr>
    </w:p>
    <w:p w14:paraId="078D0C53" w14:textId="4935B98C" w:rsidR="00A00431" w:rsidRPr="00E00086" w:rsidRDefault="004A7ADF" w:rsidP="004A7ADF">
      <w:pPr>
        <w:pStyle w:val="Heading1"/>
        <w:numPr>
          <w:ilvl w:val="0"/>
          <w:numId w:val="0"/>
        </w:numPr>
        <w:rPr>
          <w:lang w:val="en-GB"/>
        </w:rPr>
      </w:pPr>
      <w:r w:rsidRPr="00E00086">
        <w:rPr>
          <w:lang w:val="en-GB"/>
        </w:rPr>
        <w:t>[30]</w:t>
      </w:r>
      <w:r w:rsidRPr="00E00086">
        <w:rPr>
          <w:lang w:val="en-GB"/>
        </w:rPr>
        <w:tab/>
      </w:r>
      <w:r w:rsidR="00A00431" w:rsidRPr="00E00086">
        <w:rPr>
          <w:lang w:val="en-GB"/>
        </w:rPr>
        <w:t>In respect of the appeal, the applicant aver</w:t>
      </w:r>
      <w:r w:rsidR="00006BFF" w:rsidRPr="00E00086">
        <w:rPr>
          <w:lang w:val="en-GB"/>
        </w:rPr>
        <w:t xml:space="preserve">red </w:t>
      </w:r>
      <w:r w:rsidR="00235086" w:rsidRPr="00E00086">
        <w:rPr>
          <w:lang w:val="en-GB"/>
        </w:rPr>
        <w:t xml:space="preserve">that </w:t>
      </w:r>
      <w:r w:rsidR="00A00431" w:rsidRPr="00E00086">
        <w:rPr>
          <w:lang w:val="en-GB"/>
        </w:rPr>
        <w:t xml:space="preserve">it raised several misdirections of law by the </w:t>
      </w:r>
      <w:r w:rsidR="00CA4AEC" w:rsidRPr="00E00086">
        <w:rPr>
          <w:lang w:val="en-GB"/>
        </w:rPr>
        <w:t>a</w:t>
      </w:r>
      <w:r w:rsidR="004A69DF" w:rsidRPr="00E00086">
        <w:rPr>
          <w:lang w:val="en-GB"/>
        </w:rPr>
        <w:t>rbitrator</w:t>
      </w:r>
      <w:r w:rsidR="00A00431" w:rsidRPr="00E00086">
        <w:rPr>
          <w:lang w:val="en-GB"/>
        </w:rPr>
        <w:t xml:space="preserve">. </w:t>
      </w:r>
      <w:r w:rsidR="00235086" w:rsidRPr="00E00086">
        <w:rPr>
          <w:lang w:val="en-GB"/>
        </w:rPr>
        <w:t xml:space="preserve">According to the applicant, </w:t>
      </w:r>
      <w:r w:rsidR="00A00431" w:rsidRPr="00E00086">
        <w:rPr>
          <w:lang w:val="en-GB"/>
        </w:rPr>
        <w:t xml:space="preserve">the </w:t>
      </w:r>
      <w:r w:rsidR="00CA4AEC" w:rsidRPr="00E00086">
        <w:rPr>
          <w:lang w:val="en-GB"/>
        </w:rPr>
        <w:t>a</w:t>
      </w:r>
      <w:r w:rsidR="004A69DF" w:rsidRPr="00E00086">
        <w:rPr>
          <w:lang w:val="en-GB"/>
        </w:rPr>
        <w:t>rbitrator</w:t>
      </w:r>
      <w:r w:rsidR="00A00431" w:rsidRPr="00E00086">
        <w:rPr>
          <w:lang w:val="en-GB"/>
        </w:rPr>
        <w:t xml:space="preserve"> committed serious errors of law by failing to apply the proper legal test, and the </w:t>
      </w:r>
      <w:r w:rsidR="00CA4AEC" w:rsidRPr="00E00086">
        <w:rPr>
          <w:lang w:val="en-GB"/>
        </w:rPr>
        <w:t>a</w:t>
      </w:r>
      <w:r w:rsidR="004A69DF" w:rsidRPr="00E00086">
        <w:rPr>
          <w:lang w:val="en-GB"/>
        </w:rPr>
        <w:t>rbitrator</w:t>
      </w:r>
      <w:r w:rsidR="00A00431" w:rsidRPr="00E00086">
        <w:rPr>
          <w:lang w:val="en-GB"/>
        </w:rPr>
        <w:t xml:space="preserve"> failed to make any finding whatsoever in relation to a </w:t>
      </w:r>
      <w:r w:rsidR="00A00431" w:rsidRPr="00E00086">
        <w:rPr>
          <w:i/>
          <w:iCs/>
          <w:lang w:val="en-GB"/>
        </w:rPr>
        <w:t>bona fide</w:t>
      </w:r>
      <w:r w:rsidR="00A00431" w:rsidRPr="00E00086">
        <w:rPr>
          <w:lang w:val="en-GB"/>
        </w:rPr>
        <w:t xml:space="preserve"> defen</w:t>
      </w:r>
      <w:r w:rsidR="00896DF1">
        <w:rPr>
          <w:lang w:val="en-GB"/>
        </w:rPr>
        <w:t>c</w:t>
      </w:r>
      <w:r w:rsidR="00A00431" w:rsidRPr="00E00086">
        <w:rPr>
          <w:lang w:val="en-GB"/>
        </w:rPr>
        <w:t xml:space="preserve">e </w:t>
      </w:r>
      <w:r w:rsidR="00896DF1">
        <w:rPr>
          <w:lang w:val="en-GB"/>
        </w:rPr>
        <w:t xml:space="preserve">as alleged </w:t>
      </w:r>
      <w:r w:rsidR="00A00431" w:rsidRPr="00E00086">
        <w:rPr>
          <w:lang w:val="en-GB"/>
        </w:rPr>
        <w:t xml:space="preserve">by the applicant. The </w:t>
      </w:r>
      <w:r w:rsidR="00CA4AEC" w:rsidRPr="00E00086">
        <w:rPr>
          <w:lang w:val="en-GB"/>
        </w:rPr>
        <w:t>a</w:t>
      </w:r>
      <w:r w:rsidR="004A69DF" w:rsidRPr="00E00086">
        <w:rPr>
          <w:lang w:val="en-GB"/>
        </w:rPr>
        <w:t>rbitrator</w:t>
      </w:r>
      <w:r w:rsidR="00A00431" w:rsidRPr="00E00086">
        <w:rPr>
          <w:lang w:val="en-GB"/>
        </w:rPr>
        <w:t xml:space="preserve"> did not refer to any affidavits before </w:t>
      </w:r>
      <w:proofErr w:type="gramStart"/>
      <w:r w:rsidR="00A00431" w:rsidRPr="00E00086">
        <w:rPr>
          <w:lang w:val="en-GB"/>
        </w:rPr>
        <w:t>her, but</w:t>
      </w:r>
      <w:proofErr w:type="gramEnd"/>
      <w:r w:rsidR="00A00431" w:rsidRPr="00E00086">
        <w:rPr>
          <w:lang w:val="en-GB"/>
        </w:rPr>
        <w:t xml:space="preserve"> relied on her version of events.</w:t>
      </w:r>
    </w:p>
    <w:p w14:paraId="0EDBAC5C" w14:textId="77777777" w:rsidR="00235086" w:rsidRPr="00E00086" w:rsidRDefault="00235086" w:rsidP="006426B1">
      <w:pPr>
        <w:rPr>
          <w:lang w:val="en-GB"/>
        </w:rPr>
      </w:pPr>
    </w:p>
    <w:p w14:paraId="2BE9EDF7" w14:textId="67BFEEB6" w:rsidR="00150E87" w:rsidRPr="00E00086" w:rsidRDefault="004A7ADF" w:rsidP="004A7ADF">
      <w:pPr>
        <w:pStyle w:val="Heading1"/>
        <w:numPr>
          <w:ilvl w:val="0"/>
          <w:numId w:val="0"/>
        </w:numPr>
        <w:rPr>
          <w:lang w:val="en-GB"/>
        </w:rPr>
      </w:pPr>
      <w:r w:rsidRPr="00E00086">
        <w:rPr>
          <w:lang w:val="en-GB"/>
        </w:rPr>
        <w:t>[31]</w:t>
      </w:r>
      <w:r w:rsidRPr="00E00086">
        <w:rPr>
          <w:lang w:val="en-GB"/>
        </w:rPr>
        <w:tab/>
      </w:r>
      <w:r w:rsidR="00235086" w:rsidRPr="00E00086">
        <w:rPr>
          <w:lang w:val="en-GB"/>
        </w:rPr>
        <w:t>The applicant submitted that t</w:t>
      </w:r>
      <w:r w:rsidR="00A00431" w:rsidRPr="00E00086">
        <w:rPr>
          <w:lang w:val="en-GB"/>
        </w:rPr>
        <w:t xml:space="preserve">he dismissal of the respondent was procedurally and substantively fair, and that the applicant lodged the appeal </w:t>
      </w:r>
      <w:proofErr w:type="gramStart"/>
      <w:r w:rsidR="00A00431" w:rsidRPr="00E00086">
        <w:rPr>
          <w:lang w:val="en-GB"/>
        </w:rPr>
        <w:t>in order to</w:t>
      </w:r>
      <w:proofErr w:type="gramEnd"/>
      <w:r w:rsidR="00A00431" w:rsidRPr="00E00086">
        <w:rPr>
          <w:lang w:val="en-GB"/>
        </w:rPr>
        <w:t xml:space="preserve"> be afforded the opportunity t</w:t>
      </w:r>
      <w:r w:rsidR="00CA4AEC" w:rsidRPr="00E00086">
        <w:rPr>
          <w:lang w:val="en-GB"/>
        </w:rPr>
        <w:t xml:space="preserve">o defend the claim of the </w:t>
      </w:r>
      <w:r w:rsidR="00A00431" w:rsidRPr="00E00086">
        <w:rPr>
          <w:lang w:val="en-GB"/>
        </w:rPr>
        <w:t>respondent – and it intends to test the correctness of the ruling.</w:t>
      </w:r>
      <w:r w:rsidR="00006BFF" w:rsidRPr="00E00086">
        <w:rPr>
          <w:lang w:val="en-GB"/>
        </w:rPr>
        <w:t xml:space="preserve"> The applicant’s grounds of appeal state that the basis of the dismissal of the respondent relate to her continued lack of command of the English language, syntax, grammar, minute taking, memoranda drafting</w:t>
      </w:r>
      <w:r w:rsidR="00CA4AEC" w:rsidRPr="00E00086">
        <w:rPr>
          <w:lang w:val="en-GB"/>
        </w:rPr>
        <w:t>,</w:t>
      </w:r>
      <w:r w:rsidR="00006BFF" w:rsidRPr="00E00086">
        <w:rPr>
          <w:lang w:val="en-GB"/>
        </w:rPr>
        <w:t xml:space="preserve"> and other administrative duties. </w:t>
      </w:r>
      <w:r w:rsidR="00B11931" w:rsidRPr="00E00086">
        <w:rPr>
          <w:lang w:val="en-GB"/>
        </w:rPr>
        <w:t>T</w:t>
      </w:r>
      <w:r w:rsidR="00006BFF" w:rsidRPr="00E00086">
        <w:rPr>
          <w:lang w:val="en-GB"/>
        </w:rPr>
        <w:t>he applicant stated that there were numerous and different forms of progressive assessments</w:t>
      </w:r>
      <w:r w:rsidR="00B11931" w:rsidRPr="00E00086">
        <w:rPr>
          <w:lang w:val="en-GB"/>
        </w:rPr>
        <w:t xml:space="preserve"> before </w:t>
      </w:r>
      <w:r w:rsidR="00896DF1">
        <w:rPr>
          <w:lang w:val="en-GB"/>
        </w:rPr>
        <w:t xml:space="preserve">the </w:t>
      </w:r>
      <w:r w:rsidR="00B11931" w:rsidRPr="00E00086">
        <w:rPr>
          <w:lang w:val="en-GB"/>
        </w:rPr>
        <w:t>dismissal</w:t>
      </w:r>
      <w:r w:rsidR="00006BFF" w:rsidRPr="00E00086">
        <w:rPr>
          <w:lang w:val="en-GB"/>
        </w:rPr>
        <w:t>.</w:t>
      </w:r>
    </w:p>
    <w:p w14:paraId="40E2A555" w14:textId="77777777" w:rsidR="00235086" w:rsidRPr="00E00086" w:rsidRDefault="00235086" w:rsidP="006426B1">
      <w:pPr>
        <w:rPr>
          <w:lang w:val="en-GB"/>
        </w:rPr>
      </w:pPr>
    </w:p>
    <w:p w14:paraId="67D59F93" w14:textId="5D141D96" w:rsidR="00A34A7F" w:rsidRPr="00E00086" w:rsidRDefault="004A7ADF" w:rsidP="004A7ADF">
      <w:pPr>
        <w:pStyle w:val="Heading1"/>
        <w:numPr>
          <w:ilvl w:val="0"/>
          <w:numId w:val="0"/>
        </w:numPr>
        <w:rPr>
          <w:lang w:val="en-GB"/>
        </w:rPr>
      </w:pPr>
      <w:r w:rsidRPr="00E00086">
        <w:rPr>
          <w:lang w:val="en-GB"/>
        </w:rPr>
        <w:t>[32]</w:t>
      </w:r>
      <w:r w:rsidRPr="00E00086">
        <w:rPr>
          <w:lang w:val="en-GB"/>
        </w:rPr>
        <w:tab/>
      </w:r>
      <w:r w:rsidR="00896DF1">
        <w:rPr>
          <w:lang w:val="en-GB"/>
        </w:rPr>
        <w:t>T</w:t>
      </w:r>
      <w:r w:rsidR="00A00431" w:rsidRPr="00E00086">
        <w:rPr>
          <w:lang w:val="en-GB"/>
        </w:rPr>
        <w:t xml:space="preserve">he applicant </w:t>
      </w:r>
      <w:r w:rsidR="00235086" w:rsidRPr="00E00086">
        <w:rPr>
          <w:lang w:val="en-GB"/>
        </w:rPr>
        <w:t xml:space="preserve">submitted </w:t>
      </w:r>
      <w:r w:rsidR="00A00431" w:rsidRPr="00E00086">
        <w:rPr>
          <w:lang w:val="en-GB"/>
        </w:rPr>
        <w:t xml:space="preserve">that it has a clear right by virtue of its right to appeal </w:t>
      </w:r>
      <w:r w:rsidR="00006BFF" w:rsidRPr="00E00086">
        <w:rPr>
          <w:lang w:val="en-GB"/>
        </w:rPr>
        <w:t xml:space="preserve">the award and </w:t>
      </w:r>
      <w:r w:rsidR="00A00431" w:rsidRPr="00E00086">
        <w:rPr>
          <w:lang w:val="en-GB"/>
        </w:rPr>
        <w:t xml:space="preserve">the dismissal of the rescission application in terms of s 89(1), and the right to bring the present application in terms of s 89(7) of the Act. The prospects </w:t>
      </w:r>
      <w:r w:rsidR="00235086" w:rsidRPr="00E00086">
        <w:rPr>
          <w:lang w:val="en-GB"/>
        </w:rPr>
        <w:t xml:space="preserve">of success </w:t>
      </w:r>
      <w:r w:rsidR="00A00431" w:rsidRPr="00E00086">
        <w:rPr>
          <w:lang w:val="en-GB"/>
        </w:rPr>
        <w:t xml:space="preserve">it </w:t>
      </w:r>
      <w:proofErr w:type="gramStart"/>
      <w:r w:rsidR="00A00431" w:rsidRPr="00E00086">
        <w:rPr>
          <w:lang w:val="en-GB"/>
        </w:rPr>
        <w:t>enjoys</w:t>
      </w:r>
      <w:proofErr w:type="gramEnd"/>
      <w:r w:rsidR="00A00431" w:rsidRPr="00E00086">
        <w:rPr>
          <w:lang w:val="en-GB"/>
        </w:rPr>
        <w:t xml:space="preserve"> and immediate prejudice</w:t>
      </w:r>
      <w:r w:rsidR="00235086" w:rsidRPr="00E00086">
        <w:rPr>
          <w:lang w:val="en-GB"/>
        </w:rPr>
        <w:t xml:space="preserve"> suffered</w:t>
      </w:r>
      <w:r w:rsidR="00A00431" w:rsidRPr="00E00086">
        <w:rPr>
          <w:lang w:val="en-GB"/>
        </w:rPr>
        <w:t xml:space="preserve"> should the effect of the award not be varied, entitles it to the relief sought</w:t>
      </w:r>
      <w:r w:rsidR="00235086" w:rsidRPr="00E00086">
        <w:rPr>
          <w:lang w:val="en-GB"/>
        </w:rPr>
        <w:t>. It</w:t>
      </w:r>
      <w:r w:rsidR="00A00431" w:rsidRPr="00E00086">
        <w:rPr>
          <w:lang w:val="en-GB"/>
        </w:rPr>
        <w:t xml:space="preserve"> tendered payment of the compensatory award into an </w:t>
      </w:r>
      <w:r w:rsidR="00150E87" w:rsidRPr="00E00086">
        <w:rPr>
          <w:lang w:val="en-GB"/>
        </w:rPr>
        <w:t xml:space="preserve">interest-bearing </w:t>
      </w:r>
      <w:r w:rsidR="00A00431" w:rsidRPr="00E00086">
        <w:rPr>
          <w:lang w:val="en-GB"/>
        </w:rPr>
        <w:t xml:space="preserve">account pending the outcome of the </w:t>
      </w:r>
      <w:proofErr w:type="gramStart"/>
      <w:r w:rsidR="00A00431" w:rsidRPr="00E00086">
        <w:rPr>
          <w:lang w:val="en-GB"/>
        </w:rPr>
        <w:t>appeal, and</w:t>
      </w:r>
      <w:proofErr w:type="gramEnd"/>
      <w:r w:rsidR="00235086" w:rsidRPr="00E00086">
        <w:rPr>
          <w:lang w:val="en-GB"/>
        </w:rPr>
        <w:t xml:space="preserve"> stated</w:t>
      </w:r>
      <w:r w:rsidR="00A00431" w:rsidRPr="00E00086">
        <w:rPr>
          <w:lang w:val="en-GB"/>
        </w:rPr>
        <w:t xml:space="preserve"> that such moneys will </w:t>
      </w:r>
      <w:r w:rsidR="008E06D5" w:rsidRPr="00E00086">
        <w:rPr>
          <w:lang w:val="en-GB"/>
        </w:rPr>
        <w:t xml:space="preserve">be paid to the </w:t>
      </w:r>
      <w:r w:rsidR="00A00431" w:rsidRPr="00E00086">
        <w:rPr>
          <w:lang w:val="en-GB"/>
        </w:rPr>
        <w:t>respondent should the appeal fail</w:t>
      </w:r>
      <w:r w:rsidR="00235086" w:rsidRPr="00E00086">
        <w:rPr>
          <w:lang w:val="en-GB"/>
        </w:rPr>
        <w:t>. Further</w:t>
      </w:r>
      <w:r w:rsidR="008E06D5" w:rsidRPr="00E00086">
        <w:rPr>
          <w:lang w:val="en-GB"/>
        </w:rPr>
        <w:t>,</w:t>
      </w:r>
      <w:r w:rsidR="00235086" w:rsidRPr="00E00086">
        <w:rPr>
          <w:lang w:val="en-GB"/>
        </w:rPr>
        <w:t xml:space="preserve"> the applicant stated that </w:t>
      </w:r>
      <w:r w:rsidR="00A00431" w:rsidRPr="00E00086">
        <w:rPr>
          <w:lang w:val="en-GB"/>
        </w:rPr>
        <w:t xml:space="preserve">the potential prejudice to the respondent is only a temporary injunction until the appeal is </w:t>
      </w:r>
      <w:r w:rsidR="006800BF" w:rsidRPr="00E00086">
        <w:rPr>
          <w:lang w:val="en-GB"/>
        </w:rPr>
        <w:t>finali</w:t>
      </w:r>
      <w:r w:rsidR="00896DF1">
        <w:rPr>
          <w:lang w:val="en-GB"/>
        </w:rPr>
        <w:t>s</w:t>
      </w:r>
      <w:r w:rsidR="006800BF" w:rsidRPr="00E00086">
        <w:rPr>
          <w:lang w:val="en-GB"/>
        </w:rPr>
        <w:t>ed</w:t>
      </w:r>
      <w:r w:rsidR="00A00431" w:rsidRPr="00E00086">
        <w:rPr>
          <w:lang w:val="en-GB"/>
        </w:rPr>
        <w:t>.</w:t>
      </w:r>
    </w:p>
    <w:p w14:paraId="0957B87A" w14:textId="77777777" w:rsidR="00A34A7F" w:rsidRPr="00E00086" w:rsidRDefault="00A34A7F" w:rsidP="006426B1">
      <w:pPr>
        <w:rPr>
          <w:lang w:val="en-GB"/>
        </w:rPr>
      </w:pPr>
    </w:p>
    <w:p w14:paraId="1C4EAD55" w14:textId="7ED8C540" w:rsidR="00A34A7F" w:rsidRPr="00E00086" w:rsidRDefault="004A7ADF" w:rsidP="004A7ADF">
      <w:pPr>
        <w:pStyle w:val="Heading1"/>
        <w:numPr>
          <w:ilvl w:val="0"/>
          <w:numId w:val="0"/>
        </w:numPr>
        <w:rPr>
          <w:lang w:val="en-GB"/>
        </w:rPr>
      </w:pPr>
      <w:r w:rsidRPr="00E00086">
        <w:rPr>
          <w:lang w:val="en-GB"/>
        </w:rPr>
        <w:t>[33]</w:t>
      </w:r>
      <w:r w:rsidRPr="00E00086">
        <w:rPr>
          <w:lang w:val="en-GB"/>
        </w:rPr>
        <w:tab/>
      </w:r>
      <w:r w:rsidR="00A34A7F" w:rsidRPr="00E00086">
        <w:rPr>
          <w:lang w:val="en-GB"/>
        </w:rPr>
        <w:t>T</w:t>
      </w:r>
      <w:r w:rsidR="008E06D5" w:rsidRPr="00E00086">
        <w:rPr>
          <w:lang w:val="en-GB"/>
        </w:rPr>
        <w:t xml:space="preserve">he </w:t>
      </w:r>
      <w:r w:rsidR="00A34A7F" w:rsidRPr="00E00086">
        <w:rPr>
          <w:lang w:val="en-GB"/>
        </w:rPr>
        <w:t>respondent takes legal points to the application of the applicant.</w:t>
      </w:r>
    </w:p>
    <w:p w14:paraId="69E53C45" w14:textId="77777777" w:rsidR="00A34A7F" w:rsidRPr="00E00086" w:rsidRDefault="00A34A7F" w:rsidP="006426B1">
      <w:pPr>
        <w:rPr>
          <w:lang w:val="en-GB"/>
        </w:rPr>
      </w:pPr>
    </w:p>
    <w:p w14:paraId="5FC96DA2" w14:textId="60A6ECD6" w:rsidR="00A34A7F" w:rsidRPr="00E00086" w:rsidRDefault="004A7ADF" w:rsidP="004A7ADF">
      <w:pPr>
        <w:pStyle w:val="Heading1"/>
        <w:numPr>
          <w:ilvl w:val="0"/>
          <w:numId w:val="0"/>
        </w:numPr>
        <w:rPr>
          <w:lang w:val="en-GB"/>
        </w:rPr>
      </w:pPr>
      <w:r w:rsidRPr="00E00086">
        <w:rPr>
          <w:lang w:val="en-GB"/>
        </w:rPr>
        <w:t>[34]</w:t>
      </w:r>
      <w:r w:rsidRPr="00E00086">
        <w:rPr>
          <w:lang w:val="en-GB"/>
        </w:rPr>
        <w:tab/>
      </w:r>
      <w:r w:rsidR="00A34A7F" w:rsidRPr="00E00086">
        <w:rPr>
          <w:lang w:val="en-GB"/>
        </w:rPr>
        <w:t xml:space="preserve">Her first point is that the urgency was self-created through the actions of the applicant. </w:t>
      </w:r>
      <w:r w:rsidR="008E06D5" w:rsidRPr="00E00086">
        <w:rPr>
          <w:lang w:val="en-GB"/>
        </w:rPr>
        <w:t xml:space="preserve">The </w:t>
      </w:r>
      <w:r w:rsidR="00A34A7F" w:rsidRPr="00E00086">
        <w:rPr>
          <w:lang w:val="en-GB"/>
        </w:rPr>
        <w:t xml:space="preserve">respondent avers that the applicant filed its application a month after the ruling of the rescission application. The award was made an order of </w:t>
      </w:r>
      <w:r w:rsidR="003A2F90">
        <w:rPr>
          <w:lang w:val="en-GB"/>
        </w:rPr>
        <w:t>c</w:t>
      </w:r>
      <w:r w:rsidR="00A34A7F" w:rsidRPr="00E00086">
        <w:rPr>
          <w:lang w:val="en-GB"/>
        </w:rPr>
        <w:t>ourt on 8 February 2023, and the applicant was served with the order on 10 February 2023</w:t>
      </w:r>
      <w:r w:rsidR="00EA0DA7" w:rsidRPr="00E00086">
        <w:rPr>
          <w:lang w:val="en-GB"/>
        </w:rPr>
        <w:t xml:space="preserve">. From </w:t>
      </w:r>
      <w:r w:rsidR="008E06D5" w:rsidRPr="00E00086">
        <w:rPr>
          <w:lang w:val="en-GB"/>
        </w:rPr>
        <w:t>the onset, she</w:t>
      </w:r>
      <w:r w:rsidR="00A34A7F" w:rsidRPr="00E00086">
        <w:rPr>
          <w:lang w:val="en-GB"/>
        </w:rPr>
        <w:t xml:space="preserve"> demanded under the hand of her legal representative, that the applicant comply with the order. She states, if there is any urgency, it was self-created.</w:t>
      </w:r>
    </w:p>
    <w:p w14:paraId="55B66A54" w14:textId="77777777" w:rsidR="00EA0DA7" w:rsidRPr="00E00086" w:rsidRDefault="00EA0DA7" w:rsidP="006426B1">
      <w:pPr>
        <w:rPr>
          <w:lang w:val="en-GB"/>
        </w:rPr>
      </w:pPr>
    </w:p>
    <w:p w14:paraId="4BEB0CD1" w14:textId="5BB59877" w:rsidR="00A34A7F" w:rsidRPr="00E00086" w:rsidRDefault="004A7ADF" w:rsidP="004A7ADF">
      <w:pPr>
        <w:pStyle w:val="Heading1"/>
        <w:numPr>
          <w:ilvl w:val="0"/>
          <w:numId w:val="0"/>
        </w:numPr>
        <w:rPr>
          <w:lang w:val="en-GB"/>
        </w:rPr>
      </w:pPr>
      <w:r w:rsidRPr="00E00086">
        <w:rPr>
          <w:lang w:val="en-GB"/>
        </w:rPr>
        <w:t>[35]</w:t>
      </w:r>
      <w:r w:rsidRPr="00E00086">
        <w:rPr>
          <w:lang w:val="en-GB"/>
        </w:rPr>
        <w:tab/>
      </w:r>
      <w:r w:rsidR="003A2F90">
        <w:rPr>
          <w:lang w:val="en-GB"/>
        </w:rPr>
        <w:t>Secondly</w:t>
      </w:r>
      <w:r w:rsidR="00EA0DA7" w:rsidRPr="00E00086">
        <w:rPr>
          <w:lang w:val="en-GB"/>
        </w:rPr>
        <w:t xml:space="preserve">, </w:t>
      </w:r>
      <w:r w:rsidR="008E06D5" w:rsidRPr="00E00086">
        <w:rPr>
          <w:lang w:val="en-GB"/>
        </w:rPr>
        <w:t xml:space="preserve">the </w:t>
      </w:r>
      <w:r w:rsidR="00A34A7F" w:rsidRPr="00E00086">
        <w:rPr>
          <w:lang w:val="en-GB"/>
        </w:rPr>
        <w:t xml:space="preserve">respondent </w:t>
      </w:r>
      <w:r w:rsidR="00EA0DA7" w:rsidRPr="00E00086">
        <w:rPr>
          <w:lang w:val="en-GB"/>
        </w:rPr>
        <w:t xml:space="preserve">submitted that </w:t>
      </w:r>
      <w:r w:rsidR="00A34A7F" w:rsidRPr="00E00086">
        <w:rPr>
          <w:lang w:val="en-GB"/>
        </w:rPr>
        <w:t>the applicant has approached court with unclean hands and in contempt of a court order, in that the rescission application was dismissed on 30 January 2023, and the present application filed on 1 March 2023, a month after the ruling. The applicant did not comply with the award and has been in contempt since 8 February 2023 when the award was made an order of court, and 10 February 2023, when it was served with the award, yet the applicant seeks the assistance of the court.</w:t>
      </w:r>
    </w:p>
    <w:p w14:paraId="16721704" w14:textId="77777777" w:rsidR="008F53A4" w:rsidRPr="00E00086" w:rsidRDefault="008F53A4" w:rsidP="006426B1">
      <w:pPr>
        <w:rPr>
          <w:lang w:val="en-GB"/>
        </w:rPr>
      </w:pPr>
    </w:p>
    <w:p w14:paraId="12A6DF91" w14:textId="05279CC3" w:rsidR="00A34A7F" w:rsidRPr="00E00086" w:rsidRDefault="004A7ADF" w:rsidP="004A7ADF">
      <w:pPr>
        <w:pStyle w:val="Heading1"/>
        <w:numPr>
          <w:ilvl w:val="0"/>
          <w:numId w:val="0"/>
        </w:numPr>
        <w:rPr>
          <w:lang w:val="en-GB"/>
        </w:rPr>
      </w:pPr>
      <w:r w:rsidRPr="00E00086">
        <w:rPr>
          <w:lang w:val="en-GB"/>
        </w:rPr>
        <w:t>[36]</w:t>
      </w:r>
      <w:r w:rsidRPr="00E00086">
        <w:rPr>
          <w:lang w:val="en-GB"/>
        </w:rPr>
        <w:tab/>
      </w:r>
      <w:r w:rsidR="008F53A4" w:rsidRPr="00E00086">
        <w:rPr>
          <w:lang w:val="en-GB"/>
        </w:rPr>
        <w:t>Thirdly</w:t>
      </w:r>
      <w:r w:rsidR="008E06D5" w:rsidRPr="00E00086">
        <w:rPr>
          <w:lang w:val="en-GB"/>
        </w:rPr>
        <w:t xml:space="preserve">, the </w:t>
      </w:r>
      <w:r w:rsidR="008F53A4" w:rsidRPr="00E00086">
        <w:rPr>
          <w:lang w:val="en-GB"/>
        </w:rPr>
        <w:t>respondent raises the point that the application is moot</w:t>
      </w:r>
      <w:r w:rsidR="003A2F90">
        <w:rPr>
          <w:lang w:val="en-GB"/>
        </w:rPr>
        <w:t>, o</w:t>
      </w:r>
      <w:r w:rsidR="008F53A4" w:rsidRPr="00E00086">
        <w:rPr>
          <w:lang w:val="en-GB"/>
        </w:rPr>
        <w:t xml:space="preserve">n the basis that </w:t>
      </w:r>
      <w:r w:rsidR="008E06D5" w:rsidRPr="00E00086">
        <w:rPr>
          <w:lang w:val="en-GB"/>
        </w:rPr>
        <w:t xml:space="preserve">the </w:t>
      </w:r>
      <w:r w:rsidR="00A34A7F" w:rsidRPr="00E00086">
        <w:rPr>
          <w:lang w:val="en-GB"/>
        </w:rPr>
        <w:t>Deputy Sheriff of Windhoek served the writ of execution on the applicant</w:t>
      </w:r>
      <w:r w:rsidR="008F53A4" w:rsidRPr="00E00086">
        <w:rPr>
          <w:lang w:val="en-GB"/>
        </w:rPr>
        <w:t xml:space="preserve"> on 2 March 2023 already. </w:t>
      </w:r>
      <w:r w:rsidR="00A34A7F" w:rsidRPr="00E00086">
        <w:rPr>
          <w:lang w:val="en-GB"/>
        </w:rPr>
        <w:t>She submit</w:t>
      </w:r>
      <w:r w:rsidR="008F53A4" w:rsidRPr="00E00086">
        <w:rPr>
          <w:lang w:val="en-GB"/>
        </w:rPr>
        <w:t xml:space="preserve">ted that </w:t>
      </w:r>
      <w:r w:rsidR="00A34A7F" w:rsidRPr="00E00086">
        <w:rPr>
          <w:lang w:val="en-GB"/>
        </w:rPr>
        <w:t>once the writ has b</w:t>
      </w:r>
      <w:r w:rsidR="008F54E4" w:rsidRPr="00E00086">
        <w:rPr>
          <w:lang w:val="en-GB"/>
        </w:rPr>
        <w:t>een served it has been executed</w:t>
      </w:r>
      <w:r w:rsidR="00A34A7F" w:rsidRPr="00E00086">
        <w:rPr>
          <w:lang w:val="en-GB"/>
        </w:rPr>
        <w:t xml:space="preserve"> and the only outstanding issue is payment in terms of the writ by the Deputy Sheriff.</w:t>
      </w:r>
    </w:p>
    <w:p w14:paraId="32BAB061" w14:textId="77777777" w:rsidR="008F53A4" w:rsidRPr="00E00086" w:rsidRDefault="008F53A4" w:rsidP="006426B1">
      <w:pPr>
        <w:rPr>
          <w:lang w:val="en-GB"/>
        </w:rPr>
      </w:pPr>
    </w:p>
    <w:p w14:paraId="6772EE4F" w14:textId="669BE185" w:rsidR="008F53A4" w:rsidRPr="00E00086" w:rsidRDefault="004A7ADF" w:rsidP="004A7ADF">
      <w:pPr>
        <w:pStyle w:val="Heading1"/>
        <w:numPr>
          <w:ilvl w:val="0"/>
          <w:numId w:val="0"/>
        </w:numPr>
        <w:rPr>
          <w:lang w:val="en-GB"/>
        </w:rPr>
      </w:pPr>
      <w:r w:rsidRPr="00E00086">
        <w:rPr>
          <w:lang w:val="en-GB"/>
        </w:rPr>
        <w:t>[37]</w:t>
      </w:r>
      <w:r w:rsidRPr="00E00086">
        <w:rPr>
          <w:lang w:val="en-GB"/>
        </w:rPr>
        <w:tab/>
      </w:r>
      <w:r w:rsidR="008F53A4" w:rsidRPr="00E00086">
        <w:rPr>
          <w:lang w:val="en-GB"/>
        </w:rPr>
        <w:t>O</w:t>
      </w:r>
      <w:r w:rsidR="008E06D5" w:rsidRPr="00E00086">
        <w:rPr>
          <w:lang w:val="en-GB"/>
        </w:rPr>
        <w:t xml:space="preserve">n the merits, the </w:t>
      </w:r>
      <w:r w:rsidR="008F53A4" w:rsidRPr="00E00086">
        <w:rPr>
          <w:lang w:val="en-GB"/>
        </w:rPr>
        <w:t xml:space="preserve">respondent </w:t>
      </w:r>
      <w:r w:rsidR="00235086" w:rsidRPr="00E00086">
        <w:rPr>
          <w:lang w:val="en-GB"/>
        </w:rPr>
        <w:t xml:space="preserve">pointed out that </w:t>
      </w:r>
      <w:r w:rsidR="00150E87" w:rsidRPr="00E00086">
        <w:rPr>
          <w:lang w:val="en-GB"/>
        </w:rPr>
        <w:t>she was employed with t</w:t>
      </w:r>
      <w:r w:rsidR="00A00431" w:rsidRPr="00E00086">
        <w:rPr>
          <w:lang w:val="en-GB"/>
        </w:rPr>
        <w:t>he applicant since 2008 as an executive assistant, earning a net salary of N$19</w:t>
      </w:r>
      <w:r w:rsidR="003A2F90">
        <w:rPr>
          <w:lang w:val="en-GB"/>
        </w:rPr>
        <w:t>,</w:t>
      </w:r>
      <w:r w:rsidR="00A00431" w:rsidRPr="00E00086">
        <w:rPr>
          <w:lang w:val="en-GB"/>
        </w:rPr>
        <w:t xml:space="preserve">000 per month. At the time of her employment, she did not have a grade 12 qualification, to the knowledge of the applicant. She is a racially disadvantaged </w:t>
      </w:r>
      <w:r w:rsidR="008F54E4" w:rsidRPr="00E00086">
        <w:rPr>
          <w:lang w:val="en-GB"/>
        </w:rPr>
        <w:t>woman as contemplated in s</w:t>
      </w:r>
      <w:r w:rsidR="008E06D5" w:rsidRPr="00E00086">
        <w:rPr>
          <w:lang w:val="en-GB"/>
        </w:rPr>
        <w:t>s</w:t>
      </w:r>
      <w:r w:rsidR="00A00431" w:rsidRPr="00E00086">
        <w:rPr>
          <w:lang w:val="en-GB"/>
        </w:rPr>
        <w:t xml:space="preserve"> 17, 18, and 23 o</w:t>
      </w:r>
      <w:r w:rsidR="008F54E4" w:rsidRPr="00E00086">
        <w:rPr>
          <w:lang w:val="en-GB"/>
        </w:rPr>
        <w:t>f the Affirmative Action Act</w:t>
      </w:r>
      <w:r w:rsidR="003A2F90">
        <w:rPr>
          <w:lang w:val="en-GB"/>
        </w:rPr>
        <w:t>,</w:t>
      </w:r>
      <w:r w:rsidR="00A00431" w:rsidRPr="00E00086">
        <w:rPr>
          <w:lang w:val="en-GB"/>
        </w:rPr>
        <w:t xml:space="preserve"> 29 of 1988. </w:t>
      </w:r>
    </w:p>
    <w:p w14:paraId="3F2D45EF" w14:textId="77777777" w:rsidR="008F53A4" w:rsidRPr="00E00086" w:rsidRDefault="008F53A4" w:rsidP="006426B1">
      <w:pPr>
        <w:rPr>
          <w:lang w:val="en-GB"/>
        </w:rPr>
      </w:pPr>
    </w:p>
    <w:p w14:paraId="6646DFF0" w14:textId="30E89B55" w:rsidR="00E27F9C" w:rsidRPr="00E00086" w:rsidRDefault="004A7ADF" w:rsidP="004A7ADF">
      <w:pPr>
        <w:pStyle w:val="Heading1"/>
        <w:numPr>
          <w:ilvl w:val="0"/>
          <w:numId w:val="0"/>
        </w:numPr>
        <w:rPr>
          <w:lang w:val="en-GB"/>
        </w:rPr>
      </w:pPr>
      <w:r w:rsidRPr="00E00086">
        <w:rPr>
          <w:lang w:val="en-GB"/>
        </w:rPr>
        <w:t>[38]</w:t>
      </w:r>
      <w:r w:rsidRPr="00E00086">
        <w:rPr>
          <w:lang w:val="en-GB"/>
        </w:rPr>
        <w:tab/>
      </w:r>
      <w:r w:rsidR="00E27F9C" w:rsidRPr="00E00086">
        <w:rPr>
          <w:lang w:val="en-GB"/>
        </w:rPr>
        <w:t xml:space="preserve">During </w:t>
      </w:r>
      <w:r w:rsidR="00A00431" w:rsidRPr="00E00086">
        <w:rPr>
          <w:lang w:val="en-GB"/>
        </w:rPr>
        <w:t>her employment history with the applicant</w:t>
      </w:r>
      <w:r w:rsidR="004314F7" w:rsidRPr="00E00086">
        <w:rPr>
          <w:lang w:val="en-GB"/>
        </w:rPr>
        <w:t>,</w:t>
      </w:r>
      <w:r w:rsidR="00A00431" w:rsidRPr="00E00086">
        <w:rPr>
          <w:lang w:val="en-GB"/>
        </w:rPr>
        <w:t xml:space="preserve"> she was never issued with any warning for poor performance</w:t>
      </w:r>
      <w:r w:rsidR="00E27F9C" w:rsidRPr="00E00086">
        <w:rPr>
          <w:lang w:val="en-GB"/>
        </w:rPr>
        <w:t xml:space="preserve"> until 1</w:t>
      </w:r>
      <w:r w:rsidR="00A00431" w:rsidRPr="00E00086">
        <w:rPr>
          <w:lang w:val="en-GB"/>
        </w:rPr>
        <w:t xml:space="preserve">5 May 2019, </w:t>
      </w:r>
      <w:r w:rsidR="00E27F9C" w:rsidRPr="00E00086">
        <w:rPr>
          <w:lang w:val="en-GB"/>
        </w:rPr>
        <w:t xml:space="preserve">when </w:t>
      </w:r>
      <w:r w:rsidR="00A00431" w:rsidRPr="00E00086">
        <w:rPr>
          <w:lang w:val="en-GB"/>
        </w:rPr>
        <w:t xml:space="preserve">a meeting was held with the </w:t>
      </w:r>
      <w:r w:rsidR="00E27F9C" w:rsidRPr="00E00086">
        <w:rPr>
          <w:lang w:val="en-GB"/>
        </w:rPr>
        <w:t xml:space="preserve">applicant’s </w:t>
      </w:r>
      <w:r w:rsidR="00A00431" w:rsidRPr="00E00086">
        <w:rPr>
          <w:lang w:val="en-GB"/>
        </w:rPr>
        <w:t xml:space="preserve">General Manager, who indicated </w:t>
      </w:r>
      <w:r w:rsidR="00E27F9C" w:rsidRPr="00E00086">
        <w:rPr>
          <w:lang w:val="en-GB"/>
        </w:rPr>
        <w:t xml:space="preserve">then </w:t>
      </w:r>
      <w:r w:rsidR="00A00431" w:rsidRPr="00E00086">
        <w:rPr>
          <w:lang w:val="en-GB"/>
        </w:rPr>
        <w:t xml:space="preserve">that her English language barrier affects her work output. It was </w:t>
      </w:r>
      <w:r w:rsidR="00E27F9C" w:rsidRPr="00E00086">
        <w:rPr>
          <w:lang w:val="en-GB"/>
        </w:rPr>
        <w:t>suggested</w:t>
      </w:r>
      <w:r w:rsidR="00A00431" w:rsidRPr="00E00086">
        <w:rPr>
          <w:lang w:val="en-GB"/>
        </w:rPr>
        <w:t xml:space="preserve"> that she enrol for grade </w:t>
      </w:r>
      <w:r w:rsidR="00A00431" w:rsidRPr="00E00086">
        <w:rPr>
          <w:lang w:val="en-GB"/>
        </w:rPr>
        <w:lastRenderedPageBreak/>
        <w:t xml:space="preserve">12 during the year 2020, or a short course at a tertiary institution for a qualification in the secretarial field with an NQF level three. It was also decided she would be attached to other Executive Assistants with the applicant, in Windhoek, for a period of three months, with no change in remuneration. </w:t>
      </w:r>
    </w:p>
    <w:p w14:paraId="79D01140" w14:textId="77777777" w:rsidR="008F53A4" w:rsidRPr="00E00086" w:rsidRDefault="008F53A4" w:rsidP="006426B1">
      <w:pPr>
        <w:rPr>
          <w:lang w:val="en-GB"/>
        </w:rPr>
      </w:pPr>
    </w:p>
    <w:p w14:paraId="6B5985D8" w14:textId="52C6D510" w:rsidR="00A00431" w:rsidRPr="00E00086" w:rsidRDefault="004A7ADF" w:rsidP="004A7ADF">
      <w:pPr>
        <w:pStyle w:val="Heading1"/>
        <w:numPr>
          <w:ilvl w:val="0"/>
          <w:numId w:val="0"/>
        </w:numPr>
        <w:rPr>
          <w:lang w:val="en-GB"/>
        </w:rPr>
      </w:pPr>
      <w:r w:rsidRPr="00E00086">
        <w:rPr>
          <w:lang w:val="en-GB"/>
        </w:rPr>
        <w:t>[39]</w:t>
      </w:r>
      <w:r w:rsidRPr="00E00086">
        <w:rPr>
          <w:lang w:val="en-GB"/>
        </w:rPr>
        <w:tab/>
      </w:r>
      <w:r w:rsidR="00E27F9C" w:rsidRPr="00E00086">
        <w:rPr>
          <w:lang w:val="en-GB"/>
        </w:rPr>
        <w:t>T</w:t>
      </w:r>
      <w:r w:rsidR="004314F7" w:rsidRPr="00E00086">
        <w:rPr>
          <w:lang w:val="en-GB"/>
        </w:rPr>
        <w:t>he</w:t>
      </w:r>
      <w:r w:rsidR="00E27F9C" w:rsidRPr="00E00086">
        <w:rPr>
          <w:lang w:val="en-GB"/>
        </w:rPr>
        <w:t xml:space="preserve"> respondent stated that </w:t>
      </w:r>
      <w:r w:rsidR="00A00431" w:rsidRPr="00E00086">
        <w:rPr>
          <w:lang w:val="en-GB"/>
        </w:rPr>
        <w:t xml:space="preserve">none of the </w:t>
      </w:r>
      <w:proofErr w:type="gramStart"/>
      <w:r w:rsidR="00E27F9C" w:rsidRPr="00E00086">
        <w:rPr>
          <w:lang w:val="en-GB"/>
        </w:rPr>
        <w:t xml:space="preserve">aforementioned </w:t>
      </w:r>
      <w:r w:rsidR="00A00431" w:rsidRPr="00E00086">
        <w:rPr>
          <w:lang w:val="en-GB"/>
        </w:rPr>
        <w:t>decisions</w:t>
      </w:r>
      <w:proofErr w:type="gramEnd"/>
      <w:r w:rsidR="00A00431" w:rsidRPr="00E00086">
        <w:rPr>
          <w:lang w:val="en-GB"/>
        </w:rPr>
        <w:t xml:space="preserve"> were implem</w:t>
      </w:r>
      <w:r w:rsidR="00E27F9C" w:rsidRPr="00E00086">
        <w:rPr>
          <w:lang w:val="en-GB"/>
        </w:rPr>
        <w:t xml:space="preserve">ented and after </w:t>
      </w:r>
      <w:r w:rsidR="00A00431" w:rsidRPr="00E00086">
        <w:rPr>
          <w:lang w:val="en-GB"/>
        </w:rPr>
        <w:t xml:space="preserve">a hearing on 4 June 2020, the chairperson recommended her dismissal, </w:t>
      </w:r>
      <w:r w:rsidR="00E27F9C" w:rsidRPr="00E00086">
        <w:rPr>
          <w:lang w:val="en-GB"/>
        </w:rPr>
        <w:t xml:space="preserve">after which </w:t>
      </w:r>
      <w:r w:rsidR="00A00431" w:rsidRPr="00E00086">
        <w:rPr>
          <w:lang w:val="en-GB"/>
        </w:rPr>
        <w:t>she referred a dispute of unfair dismissal to the office of the Labour Commissioner.</w:t>
      </w:r>
    </w:p>
    <w:p w14:paraId="6883ABBE" w14:textId="77777777" w:rsidR="008F53A4" w:rsidRPr="00E00086" w:rsidRDefault="008F53A4" w:rsidP="006426B1">
      <w:pPr>
        <w:rPr>
          <w:lang w:val="en-GB"/>
        </w:rPr>
      </w:pPr>
    </w:p>
    <w:p w14:paraId="45EDFE68" w14:textId="63306606" w:rsidR="00A00431" w:rsidRPr="00E00086" w:rsidRDefault="004A7ADF" w:rsidP="004A7ADF">
      <w:pPr>
        <w:pStyle w:val="Heading1"/>
        <w:numPr>
          <w:ilvl w:val="0"/>
          <w:numId w:val="0"/>
        </w:numPr>
        <w:rPr>
          <w:lang w:val="en-GB"/>
        </w:rPr>
      </w:pPr>
      <w:r w:rsidRPr="00E00086">
        <w:rPr>
          <w:lang w:val="en-GB"/>
        </w:rPr>
        <w:t>[40]</w:t>
      </w:r>
      <w:r w:rsidRPr="00E00086">
        <w:rPr>
          <w:lang w:val="en-GB"/>
        </w:rPr>
        <w:tab/>
      </w:r>
      <w:r w:rsidR="00E27F9C" w:rsidRPr="00E00086">
        <w:rPr>
          <w:lang w:val="en-GB"/>
        </w:rPr>
        <w:t>A</w:t>
      </w:r>
      <w:r w:rsidR="004314F7" w:rsidRPr="00E00086">
        <w:rPr>
          <w:lang w:val="en-GB"/>
        </w:rPr>
        <w:t xml:space="preserve">ccording to the </w:t>
      </w:r>
      <w:r w:rsidR="00E27F9C" w:rsidRPr="00E00086">
        <w:rPr>
          <w:lang w:val="en-GB"/>
        </w:rPr>
        <w:t>respondent, t</w:t>
      </w:r>
      <w:r w:rsidR="00A00431" w:rsidRPr="00E00086">
        <w:rPr>
          <w:lang w:val="en-GB"/>
        </w:rPr>
        <w:t xml:space="preserve">he arbitration </w:t>
      </w:r>
      <w:r w:rsidR="004D4B42" w:rsidRPr="00E00086">
        <w:rPr>
          <w:lang w:val="en-GB"/>
        </w:rPr>
        <w:t>was h</w:t>
      </w:r>
      <w:r w:rsidR="004314F7" w:rsidRPr="00E00086">
        <w:rPr>
          <w:lang w:val="en-GB"/>
        </w:rPr>
        <w:t>eld before the arbitrator</w:t>
      </w:r>
      <w:r w:rsidR="004D4B42" w:rsidRPr="00E00086">
        <w:rPr>
          <w:lang w:val="en-GB"/>
        </w:rPr>
        <w:t xml:space="preserve"> o</w:t>
      </w:r>
      <w:r w:rsidR="00A00431" w:rsidRPr="00E00086">
        <w:rPr>
          <w:lang w:val="en-GB"/>
        </w:rPr>
        <w:t>n 22 February 2022, and the applicant failed to attend</w:t>
      </w:r>
      <w:r w:rsidR="008F53A4" w:rsidRPr="00E00086">
        <w:rPr>
          <w:lang w:val="en-GB"/>
        </w:rPr>
        <w:t xml:space="preserve"> after being called to do so as evidenced in the </w:t>
      </w:r>
      <w:r w:rsidR="004314F7" w:rsidRPr="00E00086">
        <w:rPr>
          <w:lang w:val="en-GB"/>
        </w:rPr>
        <w:t>a</w:t>
      </w:r>
      <w:r w:rsidR="004A69DF" w:rsidRPr="00E00086">
        <w:rPr>
          <w:lang w:val="en-GB"/>
        </w:rPr>
        <w:t>rbitrator</w:t>
      </w:r>
      <w:r w:rsidR="004314F7" w:rsidRPr="00E00086">
        <w:rPr>
          <w:lang w:val="en-GB"/>
        </w:rPr>
        <w:t>’s</w:t>
      </w:r>
      <w:r w:rsidR="008F53A4" w:rsidRPr="00E00086">
        <w:rPr>
          <w:lang w:val="en-GB"/>
        </w:rPr>
        <w:t xml:space="preserve"> ruling</w:t>
      </w:r>
      <w:r w:rsidR="00A00431" w:rsidRPr="00E00086">
        <w:rPr>
          <w:lang w:val="en-GB"/>
        </w:rPr>
        <w:t>.</w:t>
      </w:r>
      <w:r w:rsidR="008F53A4" w:rsidRPr="00E00086">
        <w:rPr>
          <w:lang w:val="en-GB"/>
        </w:rPr>
        <w:t xml:space="preserve"> Therefore</w:t>
      </w:r>
      <w:r w:rsidR="004314F7" w:rsidRPr="00E00086">
        <w:rPr>
          <w:lang w:val="en-GB"/>
        </w:rPr>
        <w:t>,</w:t>
      </w:r>
      <w:r w:rsidR="008F53A4" w:rsidRPr="00E00086">
        <w:rPr>
          <w:lang w:val="en-GB"/>
        </w:rPr>
        <w:t xml:space="preserve"> the</w:t>
      </w:r>
      <w:r w:rsidR="00A00431" w:rsidRPr="00E00086">
        <w:rPr>
          <w:lang w:val="en-GB"/>
        </w:rPr>
        <w:t xml:space="preserve"> </w:t>
      </w:r>
      <w:r w:rsidR="004314F7" w:rsidRPr="00E00086">
        <w:rPr>
          <w:lang w:val="en-GB"/>
        </w:rPr>
        <w:t>a</w:t>
      </w:r>
      <w:r w:rsidR="004A69DF" w:rsidRPr="00E00086">
        <w:rPr>
          <w:lang w:val="en-GB"/>
        </w:rPr>
        <w:t>rbitrator</w:t>
      </w:r>
      <w:r w:rsidR="00A00431" w:rsidRPr="00E00086">
        <w:rPr>
          <w:lang w:val="en-GB"/>
        </w:rPr>
        <w:t xml:space="preserve"> proceeded with the hearing in the absence of the </w:t>
      </w:r>
      <w:proofErr w:type="gramStart"/>
      <w:r w:rsidR="00A00431" w:rsidRPr="00E00086">
        <w:rPr>
          <w:lang w:val="en-GB"/>
        </w:rPr>
        <w:t>applicant, and</w:t>
      </w:r>
      <w:proofErr w:type="gramEnd"/>
      <w:r w:rsidR="00A00431" w:rsidRPr="00E00086">
        <w:rPr>
          <w:lang w:val="en-GB"/>
        </w:rPr>
        <w:t xml:space="preserve"> delivered her ruling on 29 August 2022. </w:t>
      </w:r>
    </w:p>
    <w:p w14:paraId="2522A50E" w14:textId="77777777" w:rsidR="008F53A4" w:rsidRPr="00E00086" w:rsidRDefault="008F53A4" w:rsidP="006426B1">
      <w:pPr>
        <w:rPr>
          <w:lang w:val="en-GB"/>
        </w:rPr>
      </w:pPr>
    </w:p>
    <w:p w14:paraId="639C0D8E" w14:textId="6B70D88C" w:rsidR="008F53A4" w:rsidRPr="00E00086" w:rsidRDefault="004A7ADF" w:rsidP="004A7ADF">
      <w:pPr>
        <w:pStyle w:val="Heading1"/>
        <w:numPr>
          <w:ilvl w:val="0"/>
          <w:numId w:val="0"/>
        </w:numPr>
        <w:rPr>
          <w:lang w:val="en-GB"/>
        </w:rPr>
      </w:pPr>
      <w:r w:rsidRPr="00E00086">
        <w:rPr>
          <w:lang w:val="en-GB"/>
        </w:rPr>
        <w:t>[41]</w:t>
      </w:r>
      <w:r w:rsidRPr="00E00086">
        <w:rPr>
          <w:lang w:val="en-GB"/>
        </w:rPr>
        <w:tab/>
      </w:r>
      <w:r w:rsidR="004D4B42" w:rsidRPr="00E00086">
        <w:rPr>
          <w:lang w:val="en-GB"/>
        </w:rPr>
        <w:t>I</w:t>
      </w:r>
      <w:r w:rsidR="004314F7" w:rsidRPr="00E00086">
        <w:rPr>
          <w:lang w:val="en-GB"/>
        </w:rPr>
        <w:t xml:space="preserve">t is the position of the </w:t>
      </w:r>
      <w:r w:rsidR="003778EA" w:rsidRPr="00E00086">
        <w:rPr>
          <w:lang w:val="en-GB"/>
        </w:rPr>
        <w:t>respondent</w:t>
      </w:r>
      <w:r w:rsidR="00A00431" w:rsidRPr="00E00086">
        <w:rPr>
          <w:lang w:val="en-GB"/>
        </w:rPr>
        <w:t xml:space="preserve"> that the appeal pertains to both the arbitration award of 29 August 2022, and the dismissal of the rescission application of 30 January 2023. She </w:t>
      </w:r>
      <w:r w:rsidR="00E27F9C" w:rsidRPr="00E00086">
        <w:rPr>
          <w:lang w:val="en-GB"/>
        </w:rPr>
        <w:t>pointed out that</w:t>
      </w:r>
      <w:r w:rsidR="00A00431" w:rsidRPr="00E00086">
        <w:rPr>
          <w:lang w:val="en-GB"/>
        </w:rPr>
        <w:t xml:space="preserve"> the appeal against the award is about five months out of time, and the applicant has not sought condonation for the appeal being filed out of time</w:t>
      </w:r>
      <w:r w:rsidR="00E27F9C" w:rsidRPr="00E00086">
        <w:rPr>
          <w:lang w:val="en-GB"/>
        </w:rPr>
        <w:t>. I</w:t>
      </w:r>
      <w:r w:rsidR="00A00431" w:rsidRPr="00E00086">
        <w:rPr>
          <w:lang w:val="en-GB"/>
        </w:rPr>
        <w:t>n the absence of a proper and timeous appeal, the arbitration award remains extant, and the applicant may only be heard</w:t>
      </w:r>
      <w:r w:rsidR="004314F7" w:rsidRPr="00E00086">
        <w:rPr>
          <w:lang w:val="en-GB"/>
        </w:rPr>
        <w:t xml:space="preserve"> on the appeal in respect of the</w:t>
      </w:r>
      <w:r w:rsidR="00A00431" w:rsidRPr="00E00086">
        <w:rPr>
          <w:lang w:val="en-GB"/>
        </w:rPr>
        <w:t xml:space="preserve"> rescission</w:t>
      </w:r>
      <w:r w:rsidR="003A2F90">
        <w:rPr>
          <w:lang w:val="en-GB"/>
        </w:rPr>
        <w:t xml:space="preserve"> application, which was dismissed</w:t>
      </w:r>
      <w:r w:rsidR="00A00431" w:rsidRPr="00E00086">
        <w:rPr>
          <w:lang w:val="en-GB"/>
        </w:rPr>
        <w:t>.</w:t>
      </w:r>
    </w:p>
    <w:p w14:paraId="74C0DCD2" w14:textId="77777777" w:rsidR="008F53A4" w:rsidRPr="00E00086" w:rsidRDefault="008F53A4" w:rsidP="006426B1">
      <w:pPr>
        <w:rPr>
          <w:lang w:val="en-GB"/>
        </w:rPr>
      </w:pPr>
    </w:p>
    <w:p w14:paraId="094ACC54" w14:textId="34E5B581" w:rsidR="00E27F9C" w:rsidRPr="00E00086" w:rsidRDefault="004A7ADF" w:rsidP="004A7ADF">
      <w:pPr>
        <w:pStyle w:val="Heading1"/>
        <w:numPr>
          <w:ilvl w:val="0"/>
          <w:numId w:val="0"/>
        </w:numPr>
        <w:rPr>
          <w:lang w:val="en-GB"/>
        </w:rPr>
      </w:pPr>
      <w:r w:rsidRPr="00E00086">
        <w:rPr>
          <w:lang w:val="en-GB"/>
        </w:rPr>
        <w:t>[42]</w:t>
      </w:r>
      <w:r w:rsidRPr="00E00086">
        <w:rPr>
          <w:lang w:val="en-GB"/>
        </w:rPr>
        <w:tab/>
      </w:r>
      <w:r w:rsidR="004314F7" w:rsidRPr="00E00086">
        <w:rPr>
          <w:lang w:val="en-GB"/>
        </w:rPr>
        <w:t>The</w:t>
      </w:r>
      <w:r w:rsidR="00E27F9C" w:rsidRPr="00E00086">
        <w:rPr>
          <w:lang w:val="en-GB"/>
        </w:rPr>
        <w:t xml:space="preserve"> respondent denied that the remarks she made in her answering affidavit in the rescission </w:t>
      </w:r>
      <w:r w:rsidR="001722DF" w:rsidRPr="00E00086">
        <w:rPr>
          <w:lang w:val="en-GB"/>
        </w:rPr>
        <w:t>application were</w:t>
      </w:r>
      <w:r w:rsidR="00E27F9C" w:rsidRPr="00E00086">
        <w:rPr>
          <w:lang w:val="en-GB"/>
        </w:rPr>
        <w:t xml:space="preserve"> defamatory and asserted that they were fair comment, viewed objectively in the circumstances. She aver</w:t>
      </w:r>
      <w:r w:rsidR="007D586E" w:rsidRPr="00E00086">
        <w:rPr>
          <w:lang w:val="en-GB"/>
        </w:rPr>
        <w:t>red that</w:t>
      </w:r>
      <w:r w:rsidR="00E27F9C" w:rsidRPr="00E00086">
        <w:rPr>
          <w:lang w:val="en-GB"/>
        </w:rPr>
        <w:t xml:space="preserve"> the applicant is attempting to paint a picture that the relationship broke down between her and her supervisor</w:t>
      </w:r>
      <w:r w:rsidR="007D586E" w:rsidRPr="00E00086">
        <w:rPr>
          <w:lang w:val="en-GB"/>
        </w:rPr>
        <w:t xml:space="preserve"> which is not true</w:t>
      </w:r>
      <w:r w:rsidR="00E27F9C" w:rsidRPr="00E00086">
        <w:rPr>
          <w:lang w:val="en-GB"/>
        </w:rPr>
        <w:t>, and that it is not uncommon for employees to have issues amongst themselves</w:t>
      </w:r>
      <w:r w:rsidR="007D586E" w:rsidRPr="00E00086">
        <w:rPr>
          <w:lang w:val="en-GB"/>
        </w:rPr>
        <w:t xml:space="preserve"> that </w:t>
      </w:r>
      <w:r w:rsidR="00F2325E">
        <w:rPr>
          <w:lang w:val="en-GB"/>
        </w:rPr>
        <w:t>c</w:t>
      </w:r>
      <w:r w:rsidR="007D586E" w:rsidRPr="00E00086">
        <w:rPr>
          <w:lang w:val="en-GB"/>
        </w:rPr>
        <w:t xml:space="preserve">ould result in a breakdown claimed by the applicant. She stated </w:t>
      </w:r>
      <w:r w:rsidR="00E27F9C" w:rsidRPr="00E00086">
        <w:rPr>
          <w:lang w:val="en-GB"/>
        </w:rPr>
        <w:t>and that it cannot be said that an issue between two employees</w:t>
      </w:r>
      <w:r w:rsidR="001722DF" w:rsidRPr="00E00086">
        <w:rPr>
          <w:lang w:val="en-GB"/>
        </w:rPr>
        <w:t xml:space="preserve"> in the company resulted in a breakdown that required one of them</w:t>
      </w:r>
      <w:r w:rsidR="00E27F9C" w:rsidRPr="00E00086">
        <w:rPr>
          <w:lang w:val="en-GB"/>
        </w:rPr>
        <w:t xml:space="preserve"> to leave the employment. </w:t>
      </w:r>
    </w:p>
    <w:p w14:paraId="3D019CF5" w14:textId="77777777" w:rsidR="008F53A4" w:rsidRPr="00E00086" w:rsidRDefault="008F53A4" w:rsidP="006426B1">
      <w:pPr>
        <w:rPr>
          <w:lang w:val="en-GB"/>
        </w:rPr>
      </w:pPr>
    </w:p>
    <w:p w14:paraId="37814CA7" w14:textId="27D1C0FF" w:rsidR="00734196" w:rsidRPr="00E00086" w:rsidRDefault="004A7ADF" w:rsidP="004A7ADF">
      <w:pPr>
        <w:pStyle w:val="Heading1"/>
        <w:numPr>
          <w:ilvl w:val="0"/>
          <w:numId w:val="0"/>
        </w:numPr>
        <w:rPr>
          <w:lang w:val="en-GB"/>
        </w:rPr>
      </w:pPr>
      <w:r w:rsidRPr="00E00086">
        <w:rPr>
          <w:lang w:val="en-GB"/>
        </w:rPr>
        <w:lastRenderedPageBreak/>
        <w:t>[43]</w:t>
      </w:r>
      <w:r w:rsidRPr="00E00086">
        <w:rPr>
          <w:lang w:val="en-GB"/>
        </w:rPr>
        <w:tab/>
      </w:r>
      <w:r w:rsidR="00A00431" w:rsidRPr="00E00086">
        <w:rPr>
          <w:lang w:val="en-GB"/>
        </w:rPr>
        <w:t>T</w:t>
      </w:r>
      <w:r w:rsidR="004314F7" w:rsidRPr="00E00086">
        <w:rPr>
          <w:lang w:val="en-GB"/>
        </w:rPr>
        <w:t>he</w:t>
      </w:r>
      <w:r w:rsidR="00A00431" w:rsidRPr="00E00086">
        <w:rPr>
          <w:lang w:val="en-GB"/>
        </w:rPr>
        <w:t xml:space="preserve"> respondent</w:t>
      </w:r>
      <w:r w:rsidR="001722DF" w:rsidRPr="00E00086">
        <w:rPr>
          <w:lang w:val="en-GB"/>
        </w:rPr>
        <w:t xml:space="preserve">’s stance is that </w:t>
      </w:r>
      <w:r w:rsidR="00A00431" w:rsidRPr="00E00086">
        <w:rPr>
          <w:lang w:val="en-GB"/>
        </w:rPr>
        <w:t xml:space="preserve">the complaint of the applicant that it was not heard </w:t>
      </w:r>
      <w:r w:rsidR="00F2325E">
        <w:rPr>
          <w:lang w:val="en-GB"/>
        </w:rPr>
        <w:t>i</w:t>
      </w:r>
      <w:r w:rsidR="00A00431" w:rsidRPr="00E00086">
        <w:rPr>
          <w:lang w:val="en-GB"/>
        </w:rPr>
        <w:t xml:space="preserve">n the rescission application is not genuine, as the </w:t>
      </w:r>
      <w:r w:rsidR="00005CBD" w:rsidRPr="00E00086">
        <w:rPr>
          <w:lang w:val="en-GB"/>
        </w:rPr>
        <w:t>a</w:t>
      </w:r>
      <w:r w:rsidR="004A69DF" w:rsidRPr="00E00086">
        <w:rPr>
          <w:lang w:val="en-GB"/>
        </w:rPr>
        <w:t>rbitrator</w:t>
      </w:r>
      <w:r w:rsidR="00A00431" w:rsidRPr="00E00086">
        <w:rPr>
          <w:lang w:val="en-GB"/>
        </w:rPr>
        <w:t xml:space="preserve"> determined </w:t>
      </w:r>
      <w:r w:rsidR="00005CBD" w:rsidRPr="00E00086">
        <w:rPr>
          <w:lang w:val="en-GB"/>
        </w:rPr>
        <w:t xml:space="preserve">the </w:t>
      </w:r>
      <w:r w:rsidR="001722DF" w:rsidRPr="00E00086">
        <w:rPr>
          <w:lang w:val="en-GB"/>
        </w:rPr>
        <w:t xml:space="preserve">application </w:t>
      </w:r>
      <w:r w:rsidR="00A00431" w:rsidRPr="00E00086">
        <w:rPr>
          <w:lang w:val="en-GB"/>
        </w:rPr>
        <w:t>on the papers filed by the parties</w:t>
      </w:r>
      <w:r w:rsidR="001722DF" w:rsidRPr="00E00086">
        <w:rPr>
          <w:lang w:val="en-GB"/>
        </w:rPr>
        <w:t xml:space="preserve">. Apart from not attaching the founding affidavit in the rescission </w:t>
      </w:r>
      <w:r w:rsidR="00005CBD" w:rsidRPr="00E00086">
        <w:rPr>
          <w:lang w:val="en-GB"/>
        </w:rPr>
        <w:t>application to its papers in the</w:t>
      </w:r>
      <w:r w:rsidR="001722DF" w:rsidRPr="00E00086">
        <w:rPr>
          <w:lang w:val="en-GB"/>
        </w:rPr>
        <w:t xml:space="preserve"> application,</w:t>
      </w:r>
      <w:r w:rsidR="00005CBD" w:rsidRPr="00E00086">
        <w:rPr>
          <w:lang w:val="en-GB"/>
        </w:rPr>
        <w:t xml:space="preserve"> the r</w:t>
      </w:r>
      <w:r w:rsidR="001722DF" w:rsidRPr="00E00086">
        <w:rPr>
          <w:lang w:val="en-GB"/>
        </w:rPr>
        <w:t xml:space="preserve">espondent pointed out that </w:t>
      </w:r>
      <w:r w:rsidR="00A00431" w:rsidRPr="00E00086">
        <w:rPr>
          <w:lang w:val="en-GB"/>
        </w:rPr>
        <w:t>the applicant d</w:t>
      </w:r>
      <w:r w:rsidR="001722DF" w:rsidRPr="00E00086">
        <w:rPr>
          <w:lang w:val="en-GB"/>
        </w:rPr>
        <w:t xml:space="preserve">id not provide information as to what </w:t>
      </w:r>
      <w:r w:rsidR="00A00431" w:rsidRPr="00E00086">
        <w:rPr>
          <w:lang w:val="en-GB"/>
        </w:rPr>
        <w:t xml:space="preserve">it would submit in addition to its founding papers, and whether such submissions would have </w:t>
      </w:r>
      <w:r w:rsidR="00734196" w:rsidRPr="00E00086">
        <w:rPr>
          <w:lang w:val="en-GB"/>
        </w:rPr>
        <w:t>influenced</w:t>
      </w:r>
      <w:r w:rsidR="00A00431" w:rsidRPr="00E00086">
        <w:rPr>
          <w:lang w:val="en-GB"/>
        </w:rPr>
        <w:t xml:space="preserve"> the outcome of the rescission </w:t>
      </w:r>
      <w:r w:rsidR="00F2325E">
        <w:rPr>
          <w:lang w:val="en-GB"/>
        </w:rPr>
        <w:t xml:space="preserve">application </w:t>
      </w:r>
      <w:r w:rsidR="00A00431" w:rsidRPr="00E00086">
        <w:rPr>
          <w:lang w:val="en-GB"/>
        </w:rPr>
        <w:t xml:space="preserve">ruling. </w:t>
      </w:r>
    </w:p>
    <w:p w14:paraId="1F58A5B8" w14:textId="77777777" w:rsidR="008F53A4" w:rsidRPr="00E00086" w:rsidRDefault="008F53A4" w:rsidP="006426B1">
      <w:pPr>
        <w:rPr>
          <w:lang w:val="en-GB"/>
        </w:rPr>
      </w:pPr>
    </w:p>
    <w:p w14:paraId="06273AC9" w14:textId="5C0786F8" w:rsidR="00F2325E" w:rsidRDefault="004A7ADF" w:rsidP="004A7ADF">
      <w:pPr>
        <w:pStyle w:val="Heading1"/>
        <w:numPr>
          <w:ilvl w:val="0"/>
          <w:numId w:val="0"/>
        </w:numPr>
        <w:rPr>
          <w:lang w:val="en-GB"/>
        </w:rPr>
      </w:pPr>
      <w:r>
        <w:rPr>
          <w:lang w:val="en-GB"/>
        </w:rPr>
        <w:t>[44]</w:t>
      </w:r>
      <w:r>
        <w:rPr>
          <w:lang w:val="en-GB"/>
        </w:rPr>
        <w:tab/>
      </w:r>
      <w:r w:rsidR="00734196" w:rsidRPr="00E00086">
        <w:rPr>
          <w:lang w:val="en-GB"/>
        </w:rPr>
        <w:t>In this regard, t</w:t>
      </w:r>
      <w:r w:rsidR="00A00431" w:rsidRPr="00E00086">
        <w:rPr>
          <w:lang w:val="en-GB"/>
        </w:rPr>
        <w:t xml:space="preserve">he </w:t>
      </w:r>
      <w:r w:rsidR="00005CBD" w:rsidRPr="00E00086">
        <w:rPr>
          <w:lang w:val="en-GB"/>
        </w:rPr>
        <w:t>ar</w:t>
      </w:r>
      <w:r w:rsidR="004A69DF" w:rsidRPr="00E00086">
        <w:rPr>
          <w:lang w:val="en-GB"/>
        </w:rPr>
        <w:t>bitrator</w:t>
      </w:r>
      <w:r w:rsidR="00A00431" w:rsidRPr="00E00086">
        <w:rPr>
          <w:lang w:val="en-GB"/>
        </w:rPr>
        <w:t xml:space="preserve"> </w:t>
      </w:r>
      <w:r w:rsidR="001722DF" w:rsidRPr="00E00086">
        <w:rPr>
          <w:lang w:val="en-GB"/>
        </w:rPr>
        <w:t xml:space="preserve">specifically </w:t>
      </w:r>
      <w:r w:rsidR="00A00431" w:rsidRPr="00E00086">
        <w:rPr>
          <w:lang w:val="en-GB"/>
        </w:rPr>
        <w:t>state</w:t>
      </w:r>
      <w:r w:rsidR="001722DF" w:rsidRPr="00E00086">
        <w:rPr>
          <w:lang w:val="en-GB"/>
        </w:rPr>
        <w:t>d</w:t>
      </w:r>
      <w:r w:rsidR="00A00431" w:rsidRPr="00E00086">
        <w:rPr>
          <w:lang w:val="en-GB"/>
        </w:rPr>
        <w:t xml:space="preserve"> that the notice of set down was sent to email addresses provided by the applicant for purposes of service. In addition</w:t>
      </w:r>
      <w:r w:rsidR="00005CBD" w:rsidRPr="00E00086">
        <w:rPr>
          <w:lang w:val="en-GB"/>
        </w:rPr>
        <w:t>, and m</w:t>
      </w:r>
      <w:r w:rsidR="001722DF" w:rsidRPr="00E00086">
        <w:rPr>
          <w:lang w:val="en-GB"/>
        </w:rPr>
        <w:t>ore importantly</w:t>
      </w:r>
      <w:r w:rsidR="00A00431" w:rsidRPr="00E00086">
        <w:rPr>
          <w:lang w:val="en-GB"/>
        </w:rPr>
        <w:t>, the applicant was called and informed that the matter (arbitration) was set down and that someone need</w:t>
      </w:r>
      <w:r w:rsidR="001722DF" w:rsidRPr="00E00086">
        <w:rPr>
          <w:lang w:val="en-GB"/>
        </w:rPr>
        <w:t>ed</w:t>
      </w:r>
      <w:r w:rsidR="00A00431" w:rsidRPr="00E00086">
        <w:rPr>
          <w:lang w:val="en-GB"/>
        </w:rPr>
        <w:t xml:space="preserve"> to attend, </w:t>
      </w:r>
      <w:proofErr w:type="gramStart"/>
      <w:r w:rsidR="00A00431" w:rsidRPr="00E00086">
        <w:rPr>
          <w:lang w:val="en-GB"/>
        </w:rPr>
        <w:t>yet,</w:t>
      </w:r>
      <w:proofErr w:type="gramEnd"/>
      <w:r w:rsidR="00A00431" w:rsidRPr="00E00086">
        <w:rPr>
          <w:lang w:val="en-GB"/>
        </w:rPr>
        <w:t xml:space="preserve"> no appearance was made. </w:t>
      </w:r>
    </w:p>
    <w:p w14:paraId="6792359F" w14:textId="77777777" w:rsidR="00F2325E" w:rsidRDefault="00F2325E" w:rsidP="00F2325E">
      <w:pPr>
        <w:pStyle w:val="Heading1"/>
        <w:numPr>
          <w:ilvl w:val="0"/>
          <w:numId w:val="0"/>
        </w:numPr>
        <w:rPr>
          <w:lang w:val="en-GB"/>
        </w:rPr>
      </w:pPr>
    </w:p>
    <w:p w14:paraId="1DF14AD2" w14:textId="0927EEF9" w:rsidR="00A00431" w:rsidRPr="00E00086" w:rsidRDefault="004A7ADF" w:rsidP="004A7ADF">
      <w:pPr>
        <w:pStyle w:val="Heading1"/>
        <w:numPr>
          <w:ilvl w:val="0"/>
          <w:numId w:val="0"/>
        </w:numPr>
        <w:rPr>
          <w:lang w:val="en-GB"/>
        </w:rPr>
      </w:pPr>
      <w:r w:rsidRPr="00E00086">
        <w:rPr>
          <w:lang w:val="en-GB"/>
        </w:rPr>
        <w:t>[45]</w:t>
      </w:r>
      <w:r w:rsidRPr="00E00086">
        <w:rPr>
          <w:lang w:val="en-GB"/>
        </w:rPr>
        <w:tab/>
      </w:r>
      <w:r w:rsidR="001722DF" w:rsidRPr="00E00086">
        <w:rPr>
          <w:lang w:val="en-GB"/>
        </w:rPr>
        <w:t xml:space="preserve">The failure to appear after being called by the </w:t>
      </w:r>
      <w:r w:rsidR="00005CBD" w:rsidRPr="00E00086">
        <w:rPr>
          <w:lang w:val="en-GB"/>
        </w:rPr>
        <w:t>ar</w:t>
      </w:r>
      <w:r w:rsidR="004A69DF" w:rsidRPr="00E00086">
        <w:rPr>
          <w:lang w:val="en-GB"/>
        </w:rPr>
        <w:t>bitrator</w:t>
      </w:r>
      <w:r w:rsidR="001722DF" w:rsidRPr="00E00086">
        <w:rPr>
          <w:lang w:val="en-GB"/>
        </w:rPr>
        <w:t xml:space="preserve"> was not addressed by the applicant in its founding papers</w:t>
      </w:r>
      <w:r w:rsidR="00734196" w:rsidRPr="00E00086">
        <w:rPr>
          <w:lang w:val="en-GB"/>
        </w:rPr>
        <w:t xml:space="preserve"> in the rescission application, nor in the papers before court in its application </w:t>
      </w:r>
      <w:r w:rsidR="00005CBD" w:rsidRPr="00E00086">
        <w:rPr>
          <w:lang w:val="en-GB"/>
        </w:rPr>
        <w:t>for a stay of execution, save that the applicant denies service</w:t>
      </w:r>
      <w:r w:rsidR="00F2325E">
        <w:rPr>
          <w:lang w:val="en-GB"/>
        </w:rPr>
        <w:t xml:space="preserve"> receipt of the notice of set down</w:t>
      </w:r>
      <w:r w:rsidR="00005CBD" w:rsidRPr="00E00086">
        <w:rPr>
          <w:lang w:val="en-GB"/>
        </w:rPr>
        <w:t>.</w:t>
      </w:r>
      <w:r w:rsidR="001722DF" w:rsidRPr="00E00086">
        <w:rPr>
          <w:lang w:val="en-GB"/>
        </w:rPr>
        <w:t xml:space="preserve"> </w:t>
      </w:r>
      <w:r w:rsidR="00005CBD" w:rsidRPr="00E00086">
        <w:rPr>
          <w:lang w:val="en-GB"/>
        </w:rPr>
        <w:t>The</w:t>
      </w:r>
      <w:r w:rsidR="00A00431" w:rsidRPr="00E00086">
        <w:rPr>
          <w:lang w:val="en-GB"/>
        </w:rPr>
        <w:t xml:space="preserve"> respondent denies the applicant has prospects</w:t>
      </w:r>
      <w:r w:rsidR="001722DF" w:rsidRPr="00E00086">
        <w:rPr>
          <w:lang w:val="en-GB"/>
        </w:rPr>
        <w:t xml:space="preserve"> </w:t>
      </w:r>
      <w:r w:rsidR="00734196" w:rsidRPr="00E00086">
        <w:rPr>
          <w:lang w:val="en-GB"/>
        </w:rPr>
        <w:t xml:space="preserve">of success on appeal in these circumstances. </w:t>
      </w:r>
    </w:p>
    <w:p w14:paraId="54B1CA18" w14:textId="77777777" w:rsidR="008F53A4" w:rsidRPr="00E00086" w:rsidRDefault="008F53A4" w:rsidP="006426B1">
      <w:pPr>
        <w:rPr>
          <w:lang w:val="en-GB"/>
        </w:rPr>
      </w:pPr>
    </w:p>
    <w:p w14:paraId="653F8347" w14:textId="65870DC3" w:rsidR="00A00431" w:rsidRPr="00E00086" w:rsidRDefault="004A7ADF" w:rsidP="004A7ADF">
      <w:pPr>
        <w:pStyle w:val="Heading1"/>
        <w:numPr>
          <w:ilvl w:val="0"/>
          <w:numId w:val="0"/>
        </w:numPr>
        <w:rPr>
          <w:lang w:val="en-GB"/>
        </w:rPr>
      </w:pPr>
      <w:r w:rsidRPr="00E00086">
        <w:rPr>
          <w:lang w:val="en-GB"/>
        </w:rPr>
        <w:t>[46]</w:t>
      </w:r>
      <w:r w:rsidRPr="00E00086">
        <w:rPr>
          <w:lang w:val="en-GB"/>
        </w:rPr>
        <w:tab/>
      </w:r>
      <w:r w:rsidR="00734196" w:rsidRPr="00E00086">
        <w:rPr>
          <w:lang w:val="en-GB"/>
        </w:rPr>
        <w:t>T</w:t>
      </w:r>
      <w:r w:rsidR="00005CBD" w:rsidRPr="00E00086">
        <w:rPr>
          <w:lang w:val="en-GB"/>
        </w:rPr>
        <w:t>he</w:t>
      </w:r>
      <w:r w:rsidR="00734196" w:rsidRPr="00E00086">
        <w:rPr>
          <w:lang w:val="en-GB"/>
        </w:rPr>
        <w:t xml:space="preserve"> respondent submitted that the balance of</w:t>
      </w:r>
      <w:r w:rsidR="00005CBD" w:rsidRPr="00E00086">
        <w:rPr>
          <w:lang w:val="en-GB"/>
        </w:rPr>
        <w:t xml:space="preserve"> irreparable harm favours her. </w:t>
      </w:r>
      <w:r w:rsidR="0099528F" w:rsidRPr="00E00086">
        <w:rPr>
          <w:lang w:val="en-GB"/>
        </w:rPr>
        <w:t>She</w:t>
      </w:r>
      <w:r w:rsidR="00A00431" w:rsidRPr="00E00086">
        <w:rPr>
          <w:lang w:val="en-GB"/>
        </w:rPr>
        <w:t xml:space="preserve"> is a </w:t>
      </w:r>
      <w:r w:rsidR="00005CBD" w:rsidRPr="00E00086">
        <w:rPr>
          <w:lang w:val="en-GB"/>
        </w:rPr>
        <w:t>47-year-old</w:t>
      </w:r>
      <w:r w:rsidR="00A00431" w:rsidRPr="00E00086">
        <w:rPr>
          <w:lang w:val="en-GB"/>
        </w:rPr>
        <w:t xml:space="preserve"> female married out community of property</w:t>
      </w:r>
      <w:r w:rsidR="00005CBD" w:rsidRPr="00E00086">
        <w:rPr>
          <w:lang w:val="en-GB"/>
        </w:rPr>
        <w:t>,</w:t>
      </w:r>
      <w:r w:rsidR="0099528F" w:rsidRPr="00E00086">
        <w:rPr>
          <w:lang w:val="en-GB"/>
        </w:rPr>
        <w:t xml:space="preserve"> and </w:t>
      </w:r>
      <w:r w:rsidR="00A00431" w:rsidRPr="00E00086">
        <w:rPr>
          <w:lang w:val="en-GB"/>
        </w:rPr>
        <w:t>resident in Windhoek</w:t>
      </w:r>
      <w:r w:rsidR="0099528F" w:rsidRPr="00E00086">
        <w:rPr>
          <w:lang w:val="en-GB"/>
        </w:rPr>
        <w:t>. Her husband</w:t>
      </w:r>
      <w:r w:rsidR="00005CBD" w:rsidRPr="00E00086">
        <w:rPr>
          <w:lang w:val="en-GB"/>
        </w:rPr>
        <w:t xml:space="preserve"> is resident in Walvis Bay, </w:t>
      </w:r>
      <w:r w:rsidR="00A00431" w:rsidRPr="00E00086">
        <w:rPr>
          <w:lang w:val="en-GB"/>
        </w:rPr>
        <w:t>employed as a sergeant in the Namibian Navy</w:t>
      </w:r>
      <w:r w:rsidR="00005CBD" w:rsidRPr="00E00086">
        <w:rPr>
          <w:lang w:val="en-GB"/>
        </w:rPr>
        <w:t xml:space="preserve"> and earns a net salary of N$</w:t>
      </w:r>
      <w:r w:rsidR="0099528F" w:rsidRPr="00E00086">
        <w:rPr>
          <w:lang w:val="en-GB"/>
        </w:rPr>
        <w:t>6</w:t>
      </w:r>
      <w:r w:rsidR="00567BC7">
        <w:rPr>
          <w:lang w:val="en-GB"/>
        </w:rPr>
        <w:t>,</w:t>
      </w:r>
      <w:r w:rsidR="0099528F" w:rsidRPr="00E00086">
        <w:rPr>
          <w:lang w:val="en-GB"/>
        </w:rPr>
        <w:t>233</w:t>
      </w:r>
      <w:r w:rsidR="00567BC7">
        <w:rPr>
          <w:lang w:val="en-GB"/>
        </w:rPr>
        <w:t>.</w:t>
      </w:r>
      <w:r w:rsidR="0099528F" w:rsidRPr="00E00086">
        <w:rPr>
          <w:lang w:val="en-GB"/>
        </w:rPr>
        <w:t>21</w:t>
      </w:r>
      <w:r w:rsidR="00A00431" w:rsidRPr="00E00086">
        <w:rPr>
          <w:lang w:val="en-GB"/>
        </w:rPr>
        <w:t xml:space="preserve">. </w:t>
      </w:r>
      <w:r w:rsidR="0099528F" w:rsidRPr="00E00086">
        <w:rPr>
          <w:lang w:val="en-GB"/>
        </w:rPr>
        <w:t>B</w:t>
      </w:r>
      <w:r w:rsidR="00A00431" w:rsidRPr="00E00086">
        <w:rPr>
          <w:lang w:val="en-GB"/>
        </w:rPr>
        <w:t xml:space="preserve">efore </w:t>
      </w:r>
      <w:r w:rsidR="0099528F" w:rsidRPr="00E00086">
        <w:rPr>
          <w:lang w:val="en-GB"/>
        </w:rPr>
        <w:t xml:space="preserve">their </w:t>
      </w:r>
      <w:r w:rsidR="00A00431" w:rsidRPr="00E00086">
        <w:rPr>
          <w:lang w:val="en-GB"/>
        </w:rPr>
        <w:t xml:space="preserve">marriage, each of them </w:t>
      </w:r>
      <w:r w:rsidR="0099528F" w:rsidRPr="00E00086">
        <w:rPr>
          <w:lang w:val="en-GB"/>
        </w:rPr>
        <w:t xml:space="preserve">owned </w:t>
      </w:r>
      <w:r w:rsidR="00A00431" w:rsidRPr="00E00086">
        <w:rPr>
          <w:lang w:val="en-GB"/>
        </w:rPr>
        <w:t>their own immovable property, and that remains the case. She</w:t>
      </w:r>
      <w:r w:rsidR="0099528F" w:rsidRPr="00E00086">
        <w:rPr>
          <w:lang w:val="en-GB"/>
        </w:rPr>
        <w:t xml:space="preserve"> </w:t>
      </w:r>
      <w:r w:rsidR="00A00431" w:rsidRPr="00E00086">
        <w:rPr>
          <w:lang w:val="en-GB"/>
        </w:rPr>
        <w:t>has five children</w:t>
      </w:r>
      <w:r w:rsidR="0099528F" w:rsidRPr="00E00086">
        <w:rPr>
          <w:lang w:val="en-GB"/>
        </w:rPr>
        <w:t xml:space="preserve">, three </w:t>
      </w:r>
      <w:r w:rsidR="00005CBD" w:rsidRPr="00E00086">
        <w:rPr>
          <w:lang w:val="en-GB"/>
        </w:rPr>
        <w:t xml:space="preserve">of whom </w:t>
      </w:r>
      <w:r w:rsidR="00A00431" w:rsidRPr="00E00086">
        <w:rPr>
          <w:lang w:val="en-GB"/>
        </w:rPr>
        <w:t xml:space="preserve">are minors and resident with her. </w:t>
      </w:r>
      <w:r w:rsidR="00567BC7">
        <w:rPr>
          <w:lang w:val="en-GB"/>
        </w:rPr>
        <w:t xml:space="preserve"> The other children reside with their fat her.  </w:t>
      </w:r>
      <w:r w:rsidR="009A35DC" w:rsidRPr="00E00086">
        <w:rPr>
          <w:lang w:val="en-GB"/>
        </w:rPr>
        <w:t>T</w:t>
      </w:r>
      <w:r w:rsidR="00A00431" w:rsidRPr="00E00086">
        <w:rPr>
          <w:lang w:val="en-GB"/>
        </w:rPr>
        <w:t xml:space="preserve">he minors are reliant on her for a range of </w:t>
      </w:r>
      <w:proofErr w:type="gramStart"/>
      <w:r w:rsidR="009A35DC" w:rsidRPr="00E00086">
        <w:rPr>
          <w:lang w:val="en-GB"/>
        </w:rPr>
        <w:t xml:space="preserve">basic </w:t>
      </w:r>
      <w:r w:rsidR="00A00431" w:rsidRPr="00E00086">
        <w:rPr>
          <w:lang w:val="en-GB"/>
        </w:rPr>
        <w:t>necessities</w:t>
      </w:r>
      <w:proofErr w:type="gramEnd"/>
      <w:r w:rsidR="00A00431" w:rsidRPr="00E00086">
        <w:rPr>
          <w:lang w:val="en-GB"/>
        </w:rPr>
        <w:t>, which at present she cannot provide.</w:t>
      </w:r>
    </w:p>
    <w:p w14:paraId="5DC761E8" w14:textId="77777777" w:rsidR="008F53A4" w:rsidRPr="00E00086" w:rsidRDefault="008F53A4" w:rsidP="006426B1">
      <w:pPr>
        <w:rPr>
          <w:lang w:val="en-GB"/>
        </w:rPr>
      </w:pPr>
    </w:p>
    <w:p w14:paraId="12A0CA59" w14:textId="17384A4C" w:rsidR="008F53A4" w:rsidRPr="00E00086" w:rsidRDefault="004A7ADF" w:rsidP="004A7ADF">
      <w:pPr>
        <w:pStyle w:val="Heading1"/>
        <w:numPr>
          <w:ilvl w:val="0"/>
          <w:numId w:val="0"/>
        </w:numPr>
        <w:rPr>
          <w:lang w:val="en-GB"/>
        </w:rPr>
      </w:pPr>
      <w:r w:rsidRPr="00E00086">
        <w:rPr>
          <w:lang w:val="en-GB"/>
        </w:rPr>
        <w:t>[47]</w:t>
      </w:r>
      <w:r w:rsidRPr="00E00086">
        <w:rPr>
          <w:lang w:val="en-GB"/>
        </w:rPr>
        <w:tab/>
      </w:r>
      <w:r w:rsidR="00A00431" w:rsidRPr="00E00086">
        <w:rPr>
          <w:lang w:val="en-GB"/>
        </w:rPr>
        <w:t>Since her dismissal</w:t>
      </w:r>
      <w:r w:rsidR="00005CBD" w:rsidRPr="00E00086">
        <w:rPr>
          <w:lang w:val="en-GB"/>
        </w:rPr>
        <w:t>,</w:t>
      </w:r>
      <w:r w:rsidR="00A00431" w:rsidRPr="00E00086">
        <w:rPr>
          <w:lang w:val="en-GB"/>
        </w:rPr>
        <w:t xml:space="preserve"> she has not </w:t>
      </w:r>
      <w:proofErr w:type="gramStart"/>
      <w:r w:rsidR="00A00431" w:rsidRPr="00E00086">
        <w:rPr>
          <w:lang w:val="en-GB"/>
        </w:rPr>
        <w:t>be</w:t>
      </w:r>
      <w:proofErr w:type="gramEnd"/>
      <w:r w:rsidR="00A00431" w:rsidRPr="00E00086">
        <w:rPr>
          <w:lang w:val="en-GB"/>
        </w:rPr>
        <w:t xml:space="preserve"> able to cover the costs of her water supply with the City of Windhoek, and </w:t>
      </w:r>
      <w:r w:rsidR="009A35DC" w:rsidRPr="00E00086">
        <w:rPr>
          <w:lang w:val="en-GB"/>
        </w:rPr>
        <w:t>sh</w:t>
      </w:r>
      <w:r w:rsidR="00A00431" w:rsidRPr="00E00086">
        <w:rPr>
          <w:lang w:val="en-GB"/>
        </w:rPr>
        <w:t xml:space="preserve">e is </w:t>
      </w:r>
      <w:r w:rsidR="009A35DC" w:rsidRPr="00E00086">
        <w:rPr>
          <w:lang w:val="en-GB"/>
        </w:rPr>
        <w:t xml:space="preserve">currently </w:t>
      </w:r>
      <w:r w:rsidR="00A00431" w:rsidRPr="00E00086">
        <w:rPr>
          <w:lang w:val="en-GB"/>
        </w:rPr>
        <w:t>in arrears of N$16</w:t>
      </w:r>
      <w:r w:rsidR="00567BC7">
        <w:rPr>
          <w:lang w:val="en-GB"/>
        </w:rPr>
        <w:t>,</w:t>
      </w:r>
      <w:r w:rsidR="00A00431" w:rsidRPr="00E00086">
        <w:rPr>
          <w:lang w:val="en-GB"/>
        </w:rPr>
        <w:t>303</w:t>
      </w:r>
      <w:r w:rsidR="00567BC7">
        <w:rPr>
          <w:lang w:val="en-GB"/>
        </w:rPr>
        <w:t>.</w:t>
      </w:r>
      <w:r w:rsidR="00A00431" w:rsidRPr="00E00086">
        <w:rPr>
          <w:lang w:val="en-GB"/>
        </w:rPr>
        <w:t>70</w:t>
      </w:r>
      <w:r w:rsidR="00567BC7">
        <w:rPr>
          <w:lang w:val="en-GB"/>
        </w:rPr>
        <w:t xml:space="preserve">.  She </w:t>
      </w:r>
      <w:r w:rsidR="00A00431" w:rsidRPr="00E00086">
        <w:rPr>
          <w:lang w:val="en-GB"/>
        </w:rPr>
        <w:t>lives in anxiety of her water being disconnected.</w:t>
      </w:r>
      <w:r w:rsidR="009A35DC" w:rsidRPr="00E00086">
        <w:rPr>
          <w:lang w:val="en-GB"/>
        </w:rPr>
        <w:t xml:space="preserve"> </w:t>
      </w:r>
      <w:r w:rsidR="00A00431" w:rsidRPr="00E00086">
        <w:rPr>
          <w:lang w:val="en-GB"/>
        </w:rPr>
        <w:t xml:space="preserve">She </w:t>
      </w:r>
      <w:r w:rsidR="009A35DC" w:rsidRPr="00E00086">
        <w:rPr>
          <w:lang w:val="en-GB"/>
        </w:rPr>
        <w:t>owes</w:t>
      </w:r>
      <w:r w:rsidR="00A00431" w:rsidRPr="00E00086">
        <w:rPr>
          <w:lang w:val="en-GB"/>
        </w:rPr>
        <w:t xml:space="preserve"> an amount of N$8</w:t>
      </w:r>
      <w:r w:rsidR="00567BC7">
        <w:rPr>
          <w:lang w:val="en-GB"/>
        </w:rPr>
        <w:t>,</w:t>
      </w:r>
      <w:r w:rsidR="00A00431" w:rsidRPr="00E00086">
        <w:rPr>
          <w:lang w:val="en-GB"/>
        </w:rPr>
        <w:t>629</w:t>
      </w:r>
      <w:r w:rsidR="00567BC7">
        <w:rPr>
          <w:lang w:val="en-GB"/>
        </w:rPr>
        <w:t>.</w:t>
      </w:r>
      <w:r w:rsidR="00A00431" w:rsidRPr="00E00086">
        <w:rPr>
          <w:lang w:val="en-GB"/>
        </w:rPr>
        <w:t>28 on her credit card with St</w:t>
      </w:r>
      <w:r w:rsidR="008F54E4" w:rsidRPr="00E00086">
        <w:rPr>
          <w:lang w:val="en-GB"/>
        </w:rPr>
        <w:t>andard Bank Namibia</w:t>
      </w:r>
      <w:r w:rsidR="00A00431" w:rsidRPr="00E00086">
        <w:rPr>
          <w:lang w:val="en-GB"/>
        </w:rPr>
        <w:t xml:space="preserve"> and as a result, she has been blacklisted on ITC. The study policies taken out for her children with </w:t>
      </w:r>
      <w:r w:rsidR="00A00431" w:rsidRPr="00E00086">
        <w:rPr>
          <w:lang w:val="en-GB"/>
        </w:rPr>
        <w:lastRenderedPageBreak/>
        <w:t>Momentum Namibia and Old Mutual have been cancelled due to non-payment</w:t>
      </w:r>
      <w:r w:rsidR="009A35DC" w:rsidRPr="00E00086">
        <w:rPr>
          <w:lang w:val="en-GB"/>
        </w:rPr>
        <w:t>. S</w:t>
      </w:r>
      <w:r w:rsidR="00A00431" w:rsidRPr="00E00086">
        <w:rPr>
          <w:lang w:val="en-GB"/>
        </w:rPr>
        <w:t>he pays life cover in the amount of N$1</w:t>
      </w:r>
      <w:r w:rsidR="00567BC7">
        <w:rPr>
          <w:lang w:val="en-GB"/>
        </w:rPr>
        <w:t>,</w:t>
      </w:r>
      <w:r w:rsidR="00A00431" w:rsidRPr="00E00086">
        <w:rPr>
          <w:lang w:val="en-GB"/>
        </w:rPr>
        <w:t xml:space="preserve">132 per month. Her </w:t>
      </w:r>
      <w:r w:rsidR="009A35DC" w:rsidRPr="00E00086">
        <w:rPr>
          <w:lang w:val="en-GB"/>
        </w:rPr>
        <w:t>vehicle</w:t>
      </w:r>
      <w:r w:rsidR="00A00431" w:rsidRPr="00E00086">
        <w:rPr>
          <w:lang w:val="en-GB"/>
        </w:rPr>
        <w:t xml:space="preserve"> insurance with Outsurance </w:t>
      </w:r>
      <w:r w:rsidR="009A35DC" w:rsidRPr="00E00086">
        <w:rPr>
          <w:lang w:val="en-GB"/>
        </w:rPr>
        <w:t xml:space="preserve">has </w:t>
      </w:r>
      <w:r w:rsidR="00A00431" w:rsidRPr="00E00086">
        <w:rPr>
          <w:lang w:val="en-GB"/>
        </w:rPr>
        <w:t xml:space="preserve">lapsed due to non-payment. </w:t>
      </w:r>
      <w:r w:rsidR="00005CBD" w:rsidRPr="00E00086">
        <w:rPr>
          <w:lang w:val="en-GB"/>
        </w:rPr>
        <w:t>The</w:t>
      </w:r>
      <w:r w:rsidR="009A35DC" w:rsidRPr="00E00086">
        <w:rPr>
          <w:lang w:val="en-GB"/>
        </w:rPr>
        <w:t xml:space="preserve"> respondent stated that she </w:t>
      </w:r>
      <w:r w:rsidR="00A00431" w:rsidRPr="00E00086">
        <w:rPr>
          <w:lang w:val="en-GB"/>
        </w:rPr>
        <w:t>owns immovable property financed with Standard Bank Namibia</w:t>
      </w:r>
      <w:r w:rsidR="009A35DC" w:rsidRPr="00E00086">
        <w:rPr>
          <w:lang w:val="en-GB"/>
        </w:rPr>
        <w:t>. The</w:t>
      </w:r>
      <w:r w:rsidR="00A00431" w:rsidRPr="00E00086">
        <w:rPr>
          <w:lang w:val="en-GB"/>
        </w:rPr>
        <w:t xml:space="preserve"> bond over the property is presently in arrears of N$15</w:t>
      </w:r>
      <w:r w:rsidR="00567BC7">
        <w:rPr>
          <w:lang w:val="en-GB"/>
        </w:rPr>
        <w:t>,</w:t>
      </w:r>
      <w:r w:rsidR="00A00431" w:rsidRPr="00E00086">
        <w:rPr>
          <w:lang w:val="en-GB"/>
        </w:rPr>
        <w:t>238</w:t>
      </w:r>
      <w:r w:rsidR="00567BC7">
        <w:rPr>
          <w:lang w:val="en-GB"/>
        </w:rPr>
        <w:t>.</w:t>
      </w:r>
      <w:r w:rsidR="00A00431" w:rsidRPr="00E00086">
        <w:rPr>
          <w:lang w:val="en-GB"/>
        </w:rPr>
        <w:t>32.</w:t>
      </w:r>
    </w:p>
    <w:p w14:paraId="3D7F68A9" w14:textId="77777777" w:rsidR="008F53A4" w:rsidRPr="00E00086" w:rsidRDefault="008F53A4" w:rsidP="006426B1">
      <w:pPr>
        <w:rPr>
          <w:lang w:val="en-GB"/>
        </w:rPr>
      </w:pPr>
    </w:p>
    <w:p w14:paraId="4FABF7B0" w14:textId="29AE1A6B" w:rsidR="00A00431" w:rsidRPr="00E00086" w:rsidRDefault="004A7ADF" w:rsidP="004A7ADF">
      <w:pPr>
        <w:pStyle w:val="Heading1"/>
        <w:numPr>
          <w:ilvl w:val="0"/>
          <w:numId w:val="0"/>
        </w:numPr>
        <w:rPr>
          <w:lang w:val="en-GB"/>
        </w:rPr>
      </w:pPr>
      <w:r w:rsidRPr="00E00086">
        <w:rPr>
          <w:lang w:val="en-GB"/>
        </w:rPr>
        <w:t>[48]</w:t>
      </w:r>
      <w:r w:rsidRPr="00E00086">
        <w:rPr>
          <w:lang w:val="en-GB"/>
        </w:rPr>
        <w:tab/>
      </w:r>
      <w:r w:rsidR="00005CBD" w:rsidRPr="00E00086">
        <w:rPr>
          <w:lang w:val="en-GB"/>
        </w:rPr>
        <w:t xml:space="preserve">The </w:t>
      </w:r>
      <w:r w:rsidR="009A35DC" w:rsidRPr="00E00086">
        <w:rPr>
          <w:lang w:val="en-GB"/>
        </w:rPr>
        <w:t>respondent stated that at present, s</w:t>
      </w:r>
      <w:r w:rsidR="00A00431" w:rsidRPr="00E00086">
        <w:rPr>
          <w:lang w:val="en-GB"/>
        </w:rPr>
        <w:t>he does not have sufficient income to ensure th</w:t>
      </w:r>
      <w:r w:rsidR="009A35DC" w:rsidRPr="00E00086">
        <w:rPr>
          <w:lang w:val="en-GB"/>
        </w:rPr>
        <w:t>at</w:t>
      </w:r>
      <w:r w:rsidR="00AD6ED3" w:rsidRPr="00E00086">
        <w:rPr>
          <w:lang w:val="en-GB"/>
        </w:rPr>
        <w:t xml:space="preserve"> the</w:t>
      </w:r>
      <w:r w:rsidR="00A00431" w:rsidRPr="00E00086">
        <w:rPr>
          <w:lang w:val="en-GB"/>
        </w:rPr>
        <w:t xml:space="preserve"> minor children enjoy a balanced diet</w:t>
      </w:r>
      <w:r w:rsidR="009A35DC" w:rsidRPr="00E00086">
        <w:rPr>
          <w:lang w:val="en-GB"/>
        </w:rPr>
        <w:t xml:space="preserve">. Although her husband </w:t>
      </w:r>
      <w:r w:rsidR="00A00431" w:rsidRPr="00E00086">
        <w:rPr>
          <w:lang w:val="en-GB"/>
        </w:rPr>
        <w:t>provides financial support averaging N$1</w:t>
      </w:r>
      <w:r w:rsidR="00567BC7">
        <w:rPr>
          <w:lang w:val="en-GB"/>
        </w:rPr>
        <w:t>,</w:t>
      </w:r>
      <w:r w:rsidR="00A00431" w:rsidRPr="00E00086">
        <w:rPr>
          <w:lang w:val="en-GB"/>
        </w:rPr>
        <w:t xml:space="preserve">800 per month, </w:t>
      </w:r>
      <w:r w:rsidR="009A35DC" w:rsidRPr="00E00086">
        <w:rPr>
          <w:lang w:val="en-GB"/>
        </w:rPr>
        <w:t xml:space="preserve">he also </w:t>
      </w:r>
      <w:proofErr w:type="gramStart"/>
      <w:r w:rsidR="00A00431" w:rsidRPr="00E00086">
        <w:rPr>
          <w:lang w:val="en-GB"/>
        </w:rPr>
        <w:t>has to</w:t>
      </w:r>
      <w:proofErr w:type="gramEnd"/>
      <w:r w:rsidR="00A00431" w:rsidRPr="00E00086">
        <w:rPr>
          <w:lang w:val="en-GB"/>
        </w:rPr>
        <w:t xml:space="preserve"> service the bond on his property, cover his household expenses, and take care of the children resident with him, while earning a net pay of N$6</w:t>
      </w:r>
      <w:r w:rsidR="00567BC7">
        <w:rPr>
          <w:lang w:val="en-GB"/>
        </w:rPr>
        <w:t>,</w:t>
      </w:r>
      <w:r w:rsidR="00A00431" w:rsidRPr="00E00086">
        <w:rPr>
          <w:lang w:val="en-GB"/>
        </w:rPr>
        <w:t>233</w:t>
      </w:r>
      <w:r w:rsidR="00567BC7">
        <w:rPr>
          <w:lang w:val="en-GB"/>
        </w:rPr>
        <w:t>.</w:t>
      </w:r>
      <w:r w:rsidR="00A00431" w:rsidRPr="00E00086">
        <w:rPr>
          <w:lang w:val="en-GB"/>
        </w:rPr>
        <w:t xml:space="preserve">21. </w:t>
      </w:r>
      <w:r w:rsidR="00005CBD" w:rsidRPr="00E00086">
        <w:rPr>
          <w:lang w:val="en-GB"/>
        </w:rPr>
        <w:t xml:space="preserve">The </w:t>
      </w:r>
      <w:r w:rsidR="00AD6ED3" w:rsidRPr="00E00086">
        <w:rPr>
          <w:lang w:val="en-GB"/>
        </w:rPr>
        <w:t>respondent maintains that</w:t>
      </w:r>
      <w:r w:rsidR="00A00431" w:rsidRPr="00E00086">
        <w:rPr>
          <w:lang w:val="en-GB"/>
        </w:rPr>
        <w:t xml:space="preserve"> if the status quo persists she runs the risk of having her water supply being disconnected and her house </w:t>
      </w:r>
      <w:r w:rsidR="009A35DC" w:rsidRPr="00E00086">
        <w:rPr>
          <w:lang w:val="en-GB"/>
        </w:rPr>
        <w:t xml:space="preserve">being </w:t>
      </w:r>
      <w:r w:rsidR="00A00431" w:rsidRPr="00E00086">
        <w:rPr>
          <w:lang w:val="en-GB"/>
        </w:rPr>
        <w:t xml:space="preserve">repossessed by the bank. </w:t>
      </w:r>
      <w:r w:rsidR="00AD6ED3" w:rsidRPr="00E00086">
        <w:rPr>
          <w:lang w:val="en-GB"/>
        </w:rPr>
        <w:t>Once</w:t>
      </w:r>
      <w:r w:rsidR="00A00431" w:rsidRPr="00E00086">
        <w:rPr>
          <w:lang w:val="en-GB"/>
        </w:rPr>
        <w:t xml:space="preserve"> this happens, she would have suffered irreparable harm.</w:t>
      </w:r>
    </w:p>
    <w:p w14:paraId="0F74149A" w14:textId="77777777" w:rsidR="008F53A4" w:rsidRPr="00E00086" w:rsidRDefault="008F53A4" w:rsidP="006426B1">
      <w:pPr>
        <w:rPr>
          <w:lang w:val="en-GB"/>
        </w:rPr>
      </w:pPr>
    </w:p>
    <w:p w14:paraId="58FAECC8" w14:textId="543C55A2" w:rsidR="00A34A7F" w:rsidRPr="005818BC" w:rsidRDefault="004A7ADF" w:rsidP="004A7ADF">
      <w:pPr>
        <w:pStyle w:val="Heading1"/>
        <w:numPr>
          <w:ilvl w:val="0"/>
          <w:numId w:val="0"/>
        </w:numPr>
        <w:rPr>
          <w:lang w:val="en-GB"/>
        </w:rPr>
      </w:pPr>
      <w:r w:rsidRPr="005818BC">
        <w:rPr>
          <w:lang w:val="en-GB"/>
        </w:rPr>
        <w:t>[49]</w:t>
      </w:r>
      <w:r w:rsidRPr="005818BC">
        <w:rPr>
          <w:lang w:val="en-GB"/>
        </w:rPr>
        <w:tab/>
      </w:r>
      <w:r w:rsidR="00A34A7F" w:rsidRPr="00E00086">
        <w:rPr>
          <w:lang w:val="en-GB"/>
        </w:rPr>
        <w:t>T</w:t>
      </w:r>
      <w:r w:rsidR="00005CBD" w:rsidRPr="00E00086">
        <w:rPr>
          <w:lang w:val="en-GB"/>
        </w:rPr>
        <w:t xml:space="preserve">he </w:t>
      </w:r>
      <w:r w:rsidR="00A34A7F" w:rsidRPr="00E00086">
        <w:rPr>
          <w:lang w:val="en-GB"/>
        </w:rPr>
        <w:t xml:space="preserve">respondent averred </w:t>
      </w:r>
      <w:proofErr w:type="gramStart"/>
      <w:r w:rsidR="00A34A7F" w:rsidRPr="00E00086">
        <w:rPr>
          <w:lang w:val="en-GB"/>
        </w:rPr>
        <w:t>that,</w:t>
      </w:r>
      <w:proofErr w:type="gramEnd"/>
      <w:r w:rsidR="00A34A7F" w:rsidRPr="00E00086">
        <w:rPr>
          <w:lang w:val="en-GB"/>
        </w:rPr>
        <w:t xml:space="preserve"> she owns a motor vehicle valued at about N$140</w:t>
      </w:r>
      <w:r w:rsidR="005818BC">
        <w:rPr>
          <w:lang w:val="en-GB"/>
        </w:rPr>
        <w:t>,</w:t>
      </w:r>
      <w:r w:rsidR="00A34A7F" w:rsidRPr="00E00086">
        <w:rPr>
          <w:lang w:val="en-GB"/>
        </w:rPr>
        <w:t>000</w:t>
      </w:r>
      <w:r w:rsidR="005818BC">
        <w:rPr>
          <w:lang w:val="en-GB"/>
        </w:rPr>
        <w:t xml:space="preserve">.  The </w:t>
      </w:r>
      <w:r w:rsidR="00A34A7F" w:rsidRPr="00E00086">
        <w:rPr>
          <w:lang w:val="en-GB"/>
        </w:rPr>
        <w:t>immova</w:t>
      </w:r>
      <w:r w:rsidR="00005CBD" w:rsidRPr="00E00086">
        <w:rPr>
          <w:lang w:val="en-GB"/>
        </w:rPr>
        <w:t xml:space="preserve">ble property </w:t>
      </w:r>
      <w:r w:rsidR="005818BC">
        <w:rPr>
          <w:lang w:val="en-GB"/>
        </w:rPr>
        <w:t xml:space="preserve">is </w:t>
      </w:r>
      <w:r w:rsidR="00005CBD" w:rsidRPr="00E00086">
        <w:rPr>
          <w:lang w:val="en-GB"/>
        </w:rPr>
        <w:t>valued at about N$</w:t>
      </w:r>
      <w:r w:rsidR="00A34A7F" w:rsidRPr="00E00086">
        <w:rPr>
          <w:lang w:val="en-GB"/>
        </w:rPr>
        <w:t>1</w:t>
      </w:r>
      <w:r w:rsidR="005818BC">
        <w:rPr>
          <w:lang w:val="en-GB"/>
        </w:rPr>
        <w:t>,</w:t>
      </w:r>
      <w:r w:rsidR="00A34A7F" w:rsidRPr="00E00086">
        <w:rPr>
          <w:lang w:val="en-GB"/>
        </w:rPr>
        <w:t>4</w:t>
      </w:r>
      <w:r w:rsidR="005818BC">
        <w:rPr>
          <w:lang w:val="en-GB"/>
        </w:rPr>
        <w:t xml:space="preserve"> million </w:t>
      </w:r>
      <w:r w:rsidR="00A34A7F" w:rsidRPr="00E00086">
        <w:rPr>
          <w:lang w:val="en-GB"/>
        </w:rPr>
        <w:t>with an outstanding bond of N$885</w:t>
      </w:r>
      <w:r w:rsidR="005818BC">
        <w:rPr>
          <w:lang w:val="en-GB"/>
        </w:rPr>
        <w:t>,</w:t>
      </w:r>
      <w:r w:rsidR="00A34A7F" w:rsidRPr="00E00086">
        <w:rPr>
          <w:lang w:val="en-GB"/>
        </w:rPr>
        <w:t>560</w:t>
      </w:r>
      <w:r w:rsidR="005818BC">
        <w:rPr>
          <w:lang w:val="en-GB"/>
        </w:rPr>
        <w:t>.</w:t>
      </w:r>
      <w:r w:rsidR="00A34A7F" w:rsidRPr="005818BC">
        <w:rPr>
          <w:lang w:val="en-GB"/>
        </w:rPr>
        <w:t>02. Should the appeal be upheld without the stay of the execution of the award, she will have the ability to pay and manage her debt and will have the ability repay the compensatory award, e</w:t>
      </w:r>
      <w:r w:rsidR="00005CBD" w:rsidRPr="005818BC">
        <w:rPr>
          <w:lang w:val="en-GB"/>
        </w:rPr>
        <w:t xml:space="preserve">ven in instalments if necessary, </w:t>
      </w:r>
      <w:r w:rsidR="00A34A7F" w:rsidRPr="005818BC">
        <w:rPr>
          <w:lang w:val="en-GB"/>
        </w:rPr>
        <w:t>and the applicant would ultimately recover the full award. As such it cannot be said that the applicant would suffer irreparable harm.</w:t>
      </w:r>
    </w:p>
    <w:p w14:paraId="1C2BBAFE" w14:textId="77777777" w:rsidR="008F53A4" w:rsidRPr="00E00086" w:rsidRDefault="008F53A4" w:rsidP="006426B1">
      <w:pPr>
        <w:rPr>
          <w:lang w:val="en-GB"/>
        </w:rPr>
      </w:pPr>
    </w:p>
    <w:p w14:paraId="15603D91" w14:textId="23A6E217" w:rsidR="00A00431" w:rsidRPr="00E00086" w:rsidRDefault="004A7ADF" w:rsidP="004A7ADF">
      <w:pPr>
        <w:pStyle w:val="Heading1"/>
        <w:numPr>
          <w:ilvl w:val="0"/>
          <w:numId w:val="0"/>
        </w:numPr>
        <w:rPr>
          <w:lang w:val="en-GB"/>
        </w:rPr>
      </w:pPr>
      <w:r w:rsidRPr="00E00086">
        <w:rPr>
          <w:lang w:val="en-GB"/>
        </w:rPr>
        <w:t>[50]</w:t>
      </w:r>
      <w:r w:rsidRPr="00E00086">
        <w:rPr>
          <w:lang w:val="en-GB"/>
        </w:rPr>
        <w:tab/>
      </w:r>
      <w:r w:rsidR="00AD6ED3" w:rsidRPr="00E00086">
        <w:rPr>
          <w:lang w:val="en-GB"/>
        </w:rPr>
        <w:t>T</w:t>
      </w:r>
      <w:r w:rsidR="00005CBD" w:rsidRPr="00E00086">
        <w:rPr>
          <w:lang w:val="en-GB"/>
        </w:rPr>
        <w:t>he</w:t>
      </w:r>
      <w:r w:rsidR="00AD6ED3" w:rsidRPr="00E00086">
        <w:rPr>
          <w:lang w:val="en-GB"/>
        </w:rPr>
        <w:t xml:space="preserve"> respondent stated that </w:t>
      </w:r>
      <w:r w:rsidR="00A00431" w:rsidRPr="00E00086">
        <w:rPr>
          <w:lang w:val="en-GB"/>
        </w:rPr>
        <w:t xml:space="preserve">since her dismissal she has </w:t>
      </w:r>
      <w:r w:rsidR="008F54E4" w:rsidRPr="00E00086">
        <w:rPr>
          <w:lang w:val="en-GB"/>
        </w:rPr>
        <w:t>lost her self-worth and dignity</w:t>
      </w:r>
      <w:r w:rsidR="00A00431" w:rsidRPr="00E00086">
        <w:rPr>
          <w:lang w:val="en-GB"/>
        </w:rPr>
        <w:t xml:space="preserve"> and has now resorted to begging, spending sleepless nights with anxiety</w:t>
      </w:r>
      <w:r w:rsidR="000B27EB" w:rsidRPr="00E00086">
        <w:rPr>
          <w:lang w:val="en-GB"/>
        </w:rPr>
        <w:t>. S</w:t>
      </w:r>
      <w:r w:rsidR="00A00431" w:rsidRPr="00E00086">
        <w:rPr>
          <w:lang w:val="en-GB"/>
        </w:rPr>
        <w:t>he has been seeking professional psychological help.</w:t>
      </w:r>
    </w:p>
    <w:p w14:paraId="460315CB" w14:textId="77777777" w:rsidR="008F53A4" w:rsidRPr="00E00086" w:rsidRDefault="008F53A4" w:rsidP="006426B1">
      <w:pPr>
        <w:rPr>
          <w:lang w:val="en-GB"/>
        </w:rPr>
      </w:pPr>
    </w:p>
    <w:p w14:paraId="0CD3BC72" w14:textId="526FBCB2" w:rsidR="00A00431" w:rsidRPr="00E00086" w:rsidRDefault="004A7ADF" w:rsidP="004A7ADF">
      <w:pPr>
        <w:pStyle w:val="Heading1"/>
        <w:numPr>
          <w:ilvl w:val="0"/>
          <w:numId w:val="0"/>
        </w:numPr>
        <w:rPr>
          <w:lang w:val="en-GB"/>
        </w:rPr>
      </w:pPr>
      <w:r w:rsidRPr="00E00086">
        <w:rPr>
          <w:lang w:val="en-GB"/>
        </w:rPr>
        <w:t>[51]</w:t>
      </w:r>
      <w:r w:rsidRPr="00E00086">
        <w:rPr>
          <w:lang w:val="en-GB"/>
        </w:rPr>
        <w:tab/>
      </w:r>
      <w:r w:rsidR="000B27EB" w:rsidRPr="00E00086">
        <w:rPr>
          <w:lang w:val="en-GB"/>
        </w:rPr>
        <w:t xml:space="preserve">She submitted that should the application succeed, her home will </w:t>
      </w:r>
      <w:proofErr w:type="gramStart"/>
      <w:r w:rsidR="000B27EB" w:rsidRPr="00E00086">
        <w:rPr>
          <w:lang w:val="en-GB"/>
        </w:rPr>
        <w:t>in all likelihood</w:t>
      </w:r>
      <w:proofErr w:type="gramEnd"/>
      <w:r w:rsidR="000B27EB" w:rsidRPr="00E00086">
        <w:rPr>
          <w:lang w:val="en-GB"/>
        </w:rPr>
        <w:t xml:space="preserve"> </w:t>
      </w:r>
      <w:r w:rsidR="00A00431" w:rsidRPr="00E00086">
        <w:rPr>
          <w:lang w:val="en-GB"/>
        </w:rPr>
        <w:t>be repossessed and sold on auction</w:t>
      </w:r>
      <w:r w:rsidR="00005CBD" w:rsidRPr="00E00086">
        <w:rPr>
          <w:lang w:val="en-GB"/>
        </w:rPr>
        <w:t>. In these circumstances,</w:t>
      </w:r>
      <w:r w:rsidR="000B27EB" w:rsidRPr="00E00086">
        <w:rPr>
          <w:lang w:val="en-GB"/>
        </w:rPr>
        <w:t xml:space="preserve"> </w:t>
      </w:r>
      <w:r w:rsidR="00A00431" w:rsidRPr="00E00086">
        <w:rPr>
          <w:lang w:val="en-GB"/>
        </w:rPr>
        <w:t xml:space="preserve">she will not be able to recover the property, </w:t>
      </w:r>
      <w:r w:rsidR="000B27EB" w:rsidRPr="00E00086">
        <w:rPr>
          <w:lang w:val="en-GB"/>
        </w:rPr>
        <w:t xml:space="preserve">which would be </w:t>
      </w:r>
      <w:r w:rsidR="00A00431" w:rsidRPr="00E00086">
        <w:rPr>
          <w:lang w:val="en-GB"/>
        </w:rPr>
        <w:t xml:space="preserve">sold on auction </w:t>
      </w:r>
      <w:r w:rsidR="000B27EB" w:rsidRPr="00E00086">
        <w:rPr>
          <w:lang w:val="en-GB"/>
        </w:rPr>
        <w:t xml:space="preserve">and </w:t>
      </w:r>
      <w:r w:rsidR="00A00431" w:rsidRPr="00E00086">
        <w:rPr>
          <w:lang w:val="en-GB"/>
        </w:rPr>
        <w:t xml:space="preserve">fetch a lower price than its worth. </w:t>
      </w:r>
    </w:p>
    <w:p w14:paraId="39BE5F21" w14:textId="77777777" w:rsidR="008F53A4" w:rsidRPr="00E00086" w:rsidRDefault="008F53A4" w:rsidP="006426B1">
      <w:pPr>
        <w:rPr>
          <w:lang w:val="en-GB"/>
        </w:rPr>
      </w:pPr>
    </w:p>
    <w:p w14:paraId="34E39950" w14:textId="4DE48283" w:rsidR="007C71F9" w:rsidRDefault="004A7ADF" w:rsidP="004A7ADF">
      <w:pPr>
        <w:pStyle w:val="Heading1"/>
        <w:numPr>
          <w:ilvl w:val="0"/>
          <w:numId w:val="0"/>
        </w:numPr>
        <w:rPr>
          <w:lang w:val="en-GB"/>
        </w:rPr>
      </w:pPr>
      <w:r>
        <w:rPr>
          <w:lang w:val="en-GB"/>
        </w:rPr>
        <w:t>[52]</w:t>
      </w:r>
      <w:r>
        <w:rPr>
          <w:lang w:val="en-GB"/>
        </w:rPr>
        <w:tab/>
      </w:r>
      <w:r w:rsidR="007C71F9" w:rsidRPr="00E00086">
        <w:rPr>
          <w:lang w:val="en-GB"/>
        </w:rPr>
        <w:t xml:space="preserve">She pointed out that </w:t>
      </w:r>
      <w:r w:rsidR="00A00431" w:rsidRPr="00E00086">
        <w:rPr>
          <w:lang w:val="en-GB"/>
        </w:rPr>
        <w:t>the applicant fail</w:t>
      </w:r>
      <w:r w:rsidR="007C71F9" w:rsidRPr="00E00086">
        <w:rPr>
          <w:lang w:val="en-GB"/>
        </w:rPr>
        <w:t>ed</w:t>
      </w:r>
      <w:r w:rsidR="00A00431" w:rsidRPr="00E00086">
        <w:rPr>
          <w:lang w:val="en-GB"/>
        </w:rPr>
        <w:t xml:space="preserve"> to indicate what prejudice it faces if it </w:t>
      </w:r>
      <w:proofErr w:type="gramStart"/>
      <w:r w:rsidR="00A00431" w:rsidRPr="00E00086">
        <w:rPr>
          <w:lang w:val="en-GB"/>
        </w:rPr>
        <w:t>has to</w:t>
      </w:r>
      <w:proofErr w:type="gramEnd"/>
      <w:r w:rsidR="00A00431" w:rsidRPr="00E00086">
        <w:rPr>
          <w:lang w:val="en-GB"/>
        </w:rPr>
        <w:t xml:space="preserve"> comply with the court order, especially in light of the applicant’s tender </w:t>
      </w:r>
      <w:r w:rsidR="00A00431" w:rsidRPr="00E00086">
        <w:rPr>
          <w:lang w:val="en-GB"/>
        </w:rPr>
        <w:lastRenderedPageBreak/>
        <w:t>to pay the award into the trust account</w:t>
      </w:r>
      <w:r w:rsidR="006C383B" w:rsidRPr="00E00086">
        <w:rPr>
          <w:lang w:val="en-GB"/>
        </w:rPr>
        <w:t xml:space="preserve"> of its legal practitioner</w:t>
      </w:r>
      <w:r w:rsidR="00A00431" w:rsidRPr="00E00086">
        <w:rPr>
          <w:lang w:val="en-GB"/>
        </w:rPr>
        <w:t>, whereas her prejudice is far outweighed, as she need</w:t>
      </w:r>
      <w:r w:rsidR="005818BC">
        <w:rPr>
          <w:lang w:val="en-GB"/>
        </w:rPr>
        <w:t>s</w:t>
      </w:r>
      <w:r w:rsidR="00A00431" w:rsidRPr="00E00086">
        <w:rPr>
          <w:lang w:val="en-GB"/>
        </w:rPr>
        <w:t xml:space="preserve"> the money to live.</w:t>
      </w:r>
    </w:p>
    <w:p w14:paraId="77915C7E" w14:textId="77777777" w:rsidR="005818BC" w:rsidRPr="005818BC" w:rsidRDefault="005818BC" w:rsidP="005818BC">
      <w:pPr>
        <w:rPr>
          <w:lang w:val="en-GB"/>
        </w:rPr>
      </w:pPr>
    </w:p>
    <w:p w14:paraId="1004B1F2" w14:textId="23ECC8EA" w:rsidR="007C71F9" w:rsidRPr="00E00086" w:rsidRDefault="004A7ADF" w:rsidP="004A7ADF">
      <w:pPr>
        <w:pStyle w:val="Heading1"/>
        <w:numPr>
          <w:ilvl w:val="0"/>
          <w:numId w:val="0"/>
        </w:numPr>
        <w:rPr>
          <w:lang w:val="en-GB"/>
        </w:rPr>
      </w:pPr>
      <w:r w:rsidRPr="00E00086">
        <w:rPr>
          <w:lang w:val="en-GB"/>
        </w:rPr>
        <w:t>[53]</w:t>
      </w:r>
      <w:r w:rsidRPr="00E00086">
        <w:rPr>
          <w:lang w:val="en-GB"/>
        </w:rPr>
        <w:tab/>
      </w:r>
      <w:r w:rsidR="004D4B42" w:rsidRPr="00E00086">
        <w:rPr>
          <w:lang w:val="en-GB"/>
        </w:rPr>
        <w:t xml:space="preserve">Having considered the pleaded cases of the parties, I </w:t>
      </w:r>
      <w:r w:rsidR="007C71F9" w:rsidRPr="00E00086">
        <w:rPr>
          <w:lang w:val="en-GB"/>
        </w:rPr>
        <w:t xml:space="preserve">deal with the points </w:t>
      </w:r>
      <w:r w:rsidR="007C71F9" w:rsidRPr="005818BC">
        <w:rPr>
          <w:i/>
          <w:iCs/>
          <w:lang w:val="en-GB"/>
        </w:rPr>
        <w:t>in limine</w:t>
      </w:r>
      <w:r w:rsidR="007C71F9" w:rsidRPr="00E00086">
        <w:rPr>
          <w:lang w:val="en-GB"/>
        </w:rPr>
        <w:t xml:space="preserve">. </w:t>
      </w:r>
    </w:p>
    <w:p w14:paraId="4949FFC4" w14:textId="77777777" w:rsidR="007C71F9" w:rsidRPr="00E00086" w:rsidRDefault="007C71F9" w:rsidP="006426B1">
      <w:pPr>
        <w:rPr>
          <w:lang w:val="en-GB"/>
        </w:rPr>
      </w:pPr>
    </w:p>
    <w:p w14:paraId="3AB94A6E" w14:textId="7C60AD7F" w:rsidR="007C71F9" w:rsidRPr="00E00086" w:rsidRDefault="004A7ADF" w:rsidP="004A7ADF">
      <w:pPr>
        <w:pStyle w:val="Heading1"/>
        <w:numPr>
          <w:ilvl w:val="0"/>
          <w:numId w:val="0"/>
        </w:numPr>
        <w:rPr>
          <w:rFonts w:cs="Times New Roman"/>
          <w:spacing w:val="0"/>
          <w:szCs w:val="22"/>
          <w:lang w:val="en-GB"/>
        </w:rPr>
      </w:pPr>
      <w:r w:rsidRPr="00E00086">
        <w:rPr>
          <w:rFonts w:cs="Times New Roman"/>
          <w:spacing w:val="0"/>
          <w:szCs w:val="22"/>
          <w:lang w:val="en-GB"/>
        </w:rPr>
        <w:t>[54]</w:t>
      </w:r>
      <w:r w:rsidRPr="00E00086">
        <w:rPr>
          <w:rFonts w:cs="Times New Roman"/>
          <w:spacing w:val="0"/>
          <w:szCs w:val="22"/>
          <w:lang w:val="en-GB"/>
        </w:rPr>
        <w:tab/>
      </w:r>
      <w:r w:rsidR="007C71F9" w:rsidRPr="00E00086">
        <w:rPr>
          <w:rFonts w:cs="Times New Roman"/>
          <w:spacing w:val="0"/>
          <w:szCs w:val="22"/>
          <w:lang w:val="en-GB"/>
        </w:rPr>
        <w:t xml:space="preserve">As regards the issue of urgency, I find guidance on this issue in the recently decided matter of </w:t>
      </w:r>
      <w:r w:rsidR="007C71F9" w:rsidRPr="00E00086">
        <w:rPr>
          <w:i/>
          <w:lang w:val="en-GB"/>
        </w:rPr>
        <w:t>Bateleur Helicopters CC v Heimstadt JNR</w:t>
      </w:r>
      <w:r w:rsidR="007C71F9" w:rsidRPr="00E00086">
        <w:rPr>
          <w:lang w:val="en-GB"/>
        </w:rPr>
        <w:t>,</w:t>
      </w:r>
      <w:r w:rsidR="00D12741">
        <w:rPr>
          <w:lang w:val="en-GB"/>
        </w:rPr>
        <w:t xml:space="preserve"> </w:t>
      </w:r>
      <w:r w:rsidR="007C71F9" w:rsidRPr="00E00086">
        <w:rPr>
          <w:rStyle w:val="FootnoteReference"/>
          <w:lang w:val="en-GB"/>
        </w:rPr>
        <w:footnoteReference w:id="2"/>
      </w:r>
      <w:r w:rsidR="007C71F9" w:rsidRPr="00E00086">
        <w:rPr>
          <w:lang w:val="en-GB"/>
        </w:rPr>
        <w:t xml:space="preserve"> where Ndauendapo J, in an application for the stay of an execution of an arbitration award held that applications of this nature are inherently urgent, provided the execution is reasonably imminent and applicant is not guilty of any blame</w:t>
      </w:r>
      <w:r w:rsidR="00D12741">
        <w:rPr>
          <w:lang w:val="en-GB"/>
        </w:rPr>
        <w:t>worthy</w:t>
      </w:r>
      <w:r w:rsidR="007C71F9" w:rsidRPr="00E00086">
        <w:rPr>
          <w:lang w:val="en-GB"/>
        </w:rPr>
        <w:t xml:space="preserve"> conduct in not bringing the application timeously.</w:t>
      </w:r>
    </w:p>
    <w:p w14:paraId="456D4EC0" w14:textId="77777777" w:rsidR="007C71F9" w:rsidRPr="00E00086" w:rsidRDefault="007C71F9" w:rsidP="006426B1">
      <w:pPr>
        <w:rPr>
          <w:lang w:val="en-GB"/>
        </w:rPr>
      </w:pPr>
    </w:p>
    <w:p w14:paraId="6BED8C62" w14:textId="06EE3B2C" w:rsidR="007C71F9" w:rsidRPr="00E00086" w:rsidRDefault="004A7ADF" w:rsidP="004A7ADF">
      <w:pPr>
        <w:pStyle w:val="Heading1"/>
        <w:numPr>
          <w:ilvl w:val="0"/>
          <w:numId w:val="0"/>
        </w:numPr>
        <w:rPr>
          <w:lang w:val="en-GB"/>
        </w:rPr>
      </w:pPr>
      <w:r w:rsidRPr="00E00086">
        <w:rPr>
          <w:lang w:val="en-GB"/>
        </w:rPr>
        <w:t>[55]</w:t>
      </w:r>
      <w:r w:rsidRPr="00E00086">
        <w:rPr>
          <w:lang w:val="en-GB"/>
        </w:rPr>
        <w:tab/>
      </w:r>
      <w:r w:rsidR="007C71F9" w:rsidRPr="00E00086">
        <w:rPr>
          <w:lang w:val="en-GB"/>
        </w:rPr>
        <w:t xml:space="preserve">I hold the view that although the applicant may have been misguided to make attempts to settle after the execution of the award </w:t>
      </w:r>
      <w:r w:rsidR="00D12741">
        <w:rPr>
          <w:lang w:val="en-GB"/>
        </w:rPr>
        <w:t xml:space="preserve">given that it </w:t>
      </w:r>
      <w:r w:rsidR="007C71F9" w:rsidRPr="00E00086">
        <w:rPr>
          <w:lang w:val="en-GB"/>
        </w:rPr>
        <w:t>had already been made an order of court</w:t>
      </w:r>
      <w:r w:rsidR="00D12741">
        <w:rPr>
          <w:lang w:val="en-GB"/>
        </w:rPr>
        <w:t>.  However</w:t>
      </w:r>
      <w:r w:rsidR="006C383B" w:rsidRPr="00E00086">
        <w:rPr>
          <w:lang w:val="en-GB"/>
        </w:rPr>
        <w:t>,</w:t>
      </w:r>
      <w:r w:rsidR="007C71F9" w:rsidRPr="00E00086">
        <w:rPr>
          <w:lang w:val="en-GB"/>
        </w:rPr>
        <w:t xml:space="preserve"> after the dismissal of the rescission applicati</w:t>
      </w:r>
      <w:r w:rsidR="006C383B" w:rsidRPr="00E00086">
        <w:rPr>
          <w:lang w:val="en-GB"/>
        </w:rPr>
        <w:t>on</w:t>
      </w:r>
      <w:r w:rsidR="00D12741">
        <w:rPr>
          <w:lang w:val="en-GB"/>
        </w:rPr>
        <w:t>,</w:t>
      </w:r>
      <w:r w:rsidR="006C383B" w:rsidRPr="00E00086">
        <w:rPr>
          <w:lang w:val="en-GB"/>
        </w:rPr>
        <w:t xml:space="preserve"> the disclosure of the </w:t>
      </w:r>
      <w:r w:rsidR="007C71F9" w:rsidRPr="00E00086">
        <w:rPr>
          <w:lang w:val="en-GB"/>
        </w:rPr>
        <w:t xml:space="preserve">respondent that a writ had been executed a day after the application was </w:t>
      </w:r>
      <w:r w:rsidR="00D12741">
        <w:rPr>
          <w:lang w:val="en-GB"/>
        </w:rPr>
        <w:t xml:space="preserve">launched </w:t>
      </w:r>
      <w:r w:rsidR="007C71F9" w:rsidRPr="00E00086">
        <w:rPr>
          <w:lang w:val="en-GB"/>
        </w:rPr>
        <w:t xml:space="preserve">indicates that there were </w:t>
      </w:r>
      <w:r w:rsidR="006C383B" w:rsidRPr="00E00086">
        <w:rPr>
          <w:lang w:val="en-GB"/>
        </w:rPr>
        <w:t>ill-considered</w:t>
      </w:r>
      <w:r w:rsidR="007C71F9" w:rsidRPr="00E00086">
        <w:rPr>
          <w:lang w:val="en-GB"/>
        </w:rPr>
        <w:t xml:space="preserve"> actions on both sides. A successful settlement of the issue would have negated this application. Also, no argument was led that the applicant was </w:t>
      </w:r>
      <w:r w:rsidR="007C71F9" w:rsidRPr="00D12741">
        <w:rPr>
          <w:i/>
          <w:iCs/>
          <w:lang w:val="en-GB"/>
        </w:rPr>
        <w:t>mala fide</w:t>
      </w:r>
      <w:r w:rsidR="007C71F9" w:rsidRPr="00E00086">
        <w:rPr>
          <w:lang w:val="en-GB"/>
        </w:rPr>
        <w:t>, as such, I exercise my discretion on the facts of this matter to hear the matter as urgent.</w:t>
      </w:r>
    </w:p>
    <w:p w14:paraId="3CDE7EDF" w14:textId="77777777" w:rsidR="00026B61" w:rsidRPr="00E00086" w:rsidRDefault="00026B61" w:rsidP="006426B1">
      <w:pPr>
        <w:rPr>
          <w:lang w:val="en-GB"/>
        </w:rPr>
      </w:pPr>
    </w:p>
    <w:p w14:paraId="0552C7DA" w14:textId="4C0F6DA5" w:rsidR="00026B61" w:rsidRPr="00E00086" w:rsidRDefault="004A7ADF" w:rsidP="004A7ADF">
      <w:pPr>
        <w:pStyle w:val="Heading1"/>
        <w:numPr>
          <w:ilvl w:val="0"/>
          <w:numId w:val="0"/>
        </w:numPr>
        <w:rPr>
          <w:lang w:val="en-GB"/>
        </w:rPr>
      </w:pPr>
      <w:r w:rsidRPr="00E00086">
        <w:rPr>
          <w:lang w:val="en-GB"/>
        </w:rPr>
        <w:t>[56]</w:t>
      </w:r>
      <w:r w:rsidRPr="00E00086">
        <w:rPr>
          <w:lang w:val="en-GB"/>
        </w:rPr>
        <w:tab/>
      </w:r>
      <w:r w:rsidR="00026B61" w:rsidRPr="00E00086">
        <w:rPr>
          <w:lang w:val="en-GB"/>
        </w:rPr>
        <w:t>As regards the issue of unclean hands there is no evidence presented showing that the applicant</w:t>
      </w:r>
      <w:r w:rsidR="006C383B" w:rsidRPr="00E00086">
        <w:rPr>
          <w:lang w:val="en-GB"/>
        </w:rPr>
        <w:t xml:space="preserve"> was dishonest or fraudulent or</w:t>
      </w:r>
      <w:r w:rsidR="00026B61" w:rsidRPr="00E00086">
        <w:rPr>
          <w:i/>
          <w:iCs/>
          <w:lang w:val="en-GB"/>
        </w:rPr>
        <w:t xml:space="preserve"> mala fide. </w:t>
      </w:r>
      <w:r w:rsidR="00026B61" w:rsidRPr="00E00086">
        <w:rPr>
          <w:lang w:val="en-GB"/>
        </w:rPr>
        <w:t xml:space="preserve">The Supreme Court in </w:t>
      </w:r>
      <w:r w:rsidR="00026B61" w:rsidRPr="00E00086">
        <w:rPr>
          <w:i/>
          <w:lang w:val="en-GB"/>
        </w:rPr>
        <w:t>Shaanika and Others v The Windhoek City Police and Others,</w:t>
      </w:r>
      <w:r w:rsidR="00D12741">
        <w:rPr>
          <w:i/>
          <w:lang w:val="en-GB"/>
        </w:rPr>
        <w:t xml:space="preserve"> </w:t>
      </w:r>
      <w:r w:rsidR="00026B61" w:rsidRPr="00D12741">
        <w:rPr>
          <w:rStyle w:val="FootnoteReference"/>
          <w:iCs/>
          <w:lang w:val="en-GB"/>
        </w:rPr>
        <w:footnoteReference w:id="3"/>
      </w:r>
      <w:r w:rsidR="00026B61" w:rsidRPr="00E00086">
        <w:rPr>
          <w:lang w:val="en-GB"/>
        </w:rPr>
        <w:t xml:space="preserve"> succinctly outlined the application of the doctrine of unclean hands in our jurisdiction, and with respect, I</w:t>
      </w:r>
      <w:r w:rsidR="006C383B" w:rsidRPr="00E00086">
        <w:rPr>
          <w:lang w:val="en-GB"/>
        </w:rPr>
        <w:t xml:space="preserve"> can do no better than refer</w:t>
      </w:r>
      <w:r w:rsidR="00026B61" w:rsidRPr="00E00086">
        <w:rPr>
          <w:lang w:val="en-GB"/>
        </w:rPr>
        <w:t xml:space="preserve"> to the position as </w:t>
      </w:r>
      <w:r w:rsidR="006C383B" w:rsidRPr="00E00086">
        <w:rPr>
          <w:lang w:val="en-GB"/>
        </w:rPr>
        <w:t>elucidated</w:t>
      </w:r>
      <w:r w:rsidR="00026B61" w:rsidRPr="00E00086">
        <w:rPr>
          <w:lang w:val="en-GB"/>
        </w:rPr>
        <w:t xml:space="preserve"> in the judgment:</w:t>
      </w:r>
    </w:p>
    <w:p w14:paraId="53C9B403" w14:textId="77777777" w:rsidR="00026B61" w:rsidRPr="00E00086" w:rsidRDefault="00026B61" w:rsidP="006426B1">
      <w:pPr>
        <w:widowControl/>
        <w:rPr>
          <w:rFonts w:cs="Times New Roman"/>
          <w:spacing w:val="0"/>
          <w:szCs w:val="22"/>
          <w:lang w:val="en-GB"/>
        </w:rPr>
      </w:pPr>
    </w:p>
    <w:p w14:paraId="7C0BAB4E" w14:textId="40AE8473" w:rsidR="00026B61" w:rsidRPr="00E00086" w:rsidRDefault="00F35E85" w:rsidP="00F35E85">
      <w:pPr>
        <w:widowControl/>
        <w:rPr>
          <w:rFonts w:cs="Times New Roman"/>
          <w:spacing w:val="0"/>
          <w:szCs w:val="22"/>
          <w:lang w:val="en-GB"/>
        </w:rPr>
      </w:pPr>
      <w:r>
        <w:rPr>
          <w:rFonts w:cs="Times New Roman"/>
          <w:spacing w:val="0"/>
          <w:sz w:val="22"/>
          <w:szCs w:val="22"/>
          <w:lang w:val="en-GB"/>
        </w:rPr>
        <w:lastRenderedPageBreak/>
        <w:tab/>
      </w:r>
      <w:r w:rsidR="00026B61" w:rsidRPr="00E00086">
        <w:rPr>
          <w:rFonts w:cs="Times New Roman"/>
          <w:spacing w:val="0"/>
          <w:sz w:val="22"/>
          <w:szCs w:val="22"/>
          <w:lang w:val="en-GB"/>
        </w:rPr>
        <w:t xml:space="preserve">‘[27] </w:t>
      </w:r>
      <w:r w:rsidR="00026B61" w:rsidRPr="00E00086">
        <w:rPr>
          <w:rFonts w:cs="Times New Roman"/>
          <w:spacing w:val="0"/>
          <w:sz w:val="22"/>
          <w:szCs w:val="22"/>
          <w:lang w:val="en-GB"/>
        </w:rPr>
        <w:tab/>
        <w:t>The doctrine of unclean hands appears to have originated as an equitable doctrine in England.</w:t>
      </w:r>
      <w:r w:rsidR="00026B61" w:rsidRPr="00E00086">
        <w:rPr>
          <w:rFonts w:cs="Times New Roman"/>
          <w:spacing w:val="0"/>
          <w:sz w:val="22"/>
          <w:szCs w:val="22"/>
          <w:vertAlign w:val="superscript"/>
          <w:lang w:val="en-GB"/>
        </w:rPr>
        <w:footnoteReference w:id="4"/>
      </w:r>
      <w:r w:rsidR="00026B61" w:rsidRPr="00E00086">
        <w:rPr>
          <w:rFonts w:cs="Times New Roman"/>
          <w:spacing w:val="0"/>
          <w:sz w:val="22"/>
          <w:szCs w:val="22"/>
          <w:lang w:val="en-GB"/>
        </w:rPr>
        <w:t xml:space="preserve"> As noted in a recent decision of this Court, </w:t>
      </w:r>
      <w:r w:rsidR="00026B61" w:rsidRPr="00E00086">
        <w:rPr>
          <w:rFonts w:cs="Times New Roman"/>
          <w:i/>
          <w:spacing w:val="0"/>
          <w:sz w:val="22"/>
          <w:szCs w:val="22"/>
          <w:lang w:val="en-GB"/>
        </w:rPr>
        <w:t>Minister of Mine and Energy and Another v Black Range Mining (Pty) Ltd)</w:t>
      </w:r>
      <w:r w:rsidR="00026B61" w:rsidRPr="00E00086">
        <w:rPr>
          <w:rFonts w:cs="Times New Roman"/>
          <w:spacing w:val="0"/>
          <w:sz w:val="22"/>
          <w:szCs w:val="22"/>
          <w:lang w:val="en-GB"/>
        </w:rPr>
        <w:t>,</w:t>
      </w:r>
      <w:r w:rsidR="00026B61" w:rsidRPr="00E00086">
        <w:rPr>
          <w:rFonts w:cs="Times New Roman"/>
          <w:spacing w:val="0"/>
          <w:sz w:val="22"/>
          <w:szCs w:val="22"/>
          <w:vertAlign w:val="superscript"/>
          <w:lang w:val="en-GB"/>
        </w:rPr>
        <w:footnoteReference w:id="5"/>
      </w:r>
      <w:r w:rsidR="00026B61" w:rsidRPr="00E00086">
        <w:rPr>
          <w:rFonts w:cs="Times New Roman"/>
          <w:spacing w:val="0"/>
          <w:sz w:val="22"/>
          <w:szCs w:val="22"/>
          <w:lang w:val="en-GB"/>
        </w:rPr>
        <w:t xml:space="preserve"> the doctrine has largely found application in the area of unlawful competition law where its effect is that an applicant is prevented from obtaining relief where he or she has behaved dishonestly.</w:t>
      </w:r>
      <w:r w:rsidR="00026B61" w:rsidRPr="00E00086">
        <w:rPr>
          <w:rFonts w:cs="Times New Roman"/>
          <w:spacing w:val="0"/>
          <w:sz w:val="22"/>
          <w:szCs w:val="22"/>
          <w:vertAlign w:val="superscript"/>
          <w:lang w:val="en-GB"/>
        </w:rPr>
        <w:footnoteReference w:id="6"/>
      </w:r>
      <w:r w:rsidR="00026B61" w:rsidRPr="00E00086">
        <w:rPr>
          <w:rFonts w:cs="Times New Roman"/>
          <w:spacing w:val="0"/>
          <w:sz w:val="22"/>
          <w:szCs w:val="22"/>
          <w:lang w:val="en-GB"/>
        </w:rPr>
        <w:t xml:space="preserve"> Accordingly, in </w:t>
      </w:r>
      <w:r w:rsidR="00026B61" w:rsidRPr="00E00086">
        <w:rPr>
          <w:rFonts w:cs="Times New Roman"/>
          <w:i/>
          <w:spacing w:val="0"/>
          <w:sz w:val="22"/>
          <w:szCs w:val="22"/>
          <w:lang w:val="en-GB"/>
        </w:rPr>
        <w:t>Black Range Mining</w:t>
      </w:r>
      <w:r w:rsidR="00026B61" w:rsidRPr="00E00086">
        <w:rPr>
          <w:rFonts w:cs="Times New Roman"/>
          <w:spacing w:val="0"/>
          <w:sz w:val="22"/>
          <w:szCs w:val="22"/>
          <w:lang w:val="en-GB"/>
        </w:rPr>
        <w:t xml:space="preserve">, </w:t>
      </w:r>
      <w:r w:rsidR="00026B61" w:rsidRPr="00E00086">
        <w:rPr>
          <w:rFonts w:cs="Times New Roman"/>
          <w:spacing w:val="0"/>
          <w:sz w:val="22"/>
          <w:szCs w:val="22"/>
          <w:u w:val="single"/>
          <w:lang w:val="en-GB"/>
        </w:rPr>
        <w:t>this Court refused to uphold a challenge based on the doctrine of unclean hands in the absence of any evidence showing that the appellant had acted dishonestly or fraudulently</w:t>
      </w:r>
      <w:r w:rsidR="00026B61" w:rsidRPr="00E00086">
        <w:rPr>
          <w:rFonts w:cs="Times New Roman"/>
          <w:spacing w:val="0"/>
          <w:sz w:val="22"/>
          <w:szCs w:val="22"/>
          <w:lang w:val="en-GB"/>
        </w:rPr>
        <w:t xml:space="preserve">. Although the Court in Black Range Mining did not expressly say so, </w:t>
      </w:r>
      <w:r w:rsidR="00026B61" w:rsidRPr="00E00086">
        <w:rPr>
          <w:rFonts w:cs="Times New Roman"/>
          <w:spacing w:val="0"/>
          <w:sz w:val="22"/>
          <w:szCs w:val="22"/>
          <w:u w:val="single"/>
          <w:lang w:val="en-GB"/>
        </w:rPr>
        <w:t>I have no doubt that in using the words ‘dishonestly or fraudulently’, it would have considered bad faith or mala fides in the conduct of litigation to be included within its formulation</w:t>
      </w:r>
      <w:r w:rsidR="00026B61" w:rsidRPr="00E00086">
        <w:rPr>
          <w:rFonts w:cs="Times New Roman"/>
          <w:spacing w:val="0"/>
          <w:sz w:val="22"/>
          <w:szCs w:val="22"/>
          <w:lang w:val="en-GB"/>
        </w:rPr>
        <w:t>.’</w:t>
      </w:r>
      <w:r w:rsidR="00026B61" w:rsidRPr="00E00086">
        <w:rPr>
          <w:rFonts w:cs="Times New Roman"/>
          <w:spacing w:val="0"/>
          <w:sz w:val="22"/>
          <w:szCs w:val="22"/>
          <w:vertAlign w:val="superscript"/>
          <w:lang w:val="en-GB"/>
        </w:rPr>
        <w:footnoteReference w:id="7"/>
      </w:r>
      <w:r w:rsidR="00026B61" w:rsidRPr="00E00086">
        <w:rPr>
          <w:rFonts w:cs="Times New Roman"/>
          <w:spacing w:val="0"/>
          <w:sz w:val="22"/>
          <w:szCs w:val="22"/>
          <w:lang w:val="en-GB"/>
        </w:rPr>
        <w:t xml:space="preserve"> </w:t>
      </w:r>
      <w:r w:rsidR="00026B61" w:rsidRPr="00E00086">
        <w:rPr>
          <w:rFonts w:cs="Times New Roman"/>
          <w:spacing w:val="0"/>
          <w:szCs w:val="22"/>
          <w:lang w:val="en-GB"/>
        </w:rPr>
        <w:t>(Emphasis supplied)</w:t>
      </w:r>
    </w:p>
    <w:p w14:paraId="45BE7C02" w14:textId="7406D8F7" w:rsidR="00026B61" w:rsidRPr="00E00086" w:rsidRDefault="00026B61" w:rsidP="006426B1">
      <w:pPr>
        <w:widowControl/>
        <w:rPr>
          <w:rFonts w:cs="Times New Roman"/>
          <w:spacing w:val="0"/>
          <w:szCs w:val="22"/>
          <w:lang w:val="en-GB"/>
        </w:rPr>
      </w:pPr>
    </w:p>
    <w:p w14:paraId="536B0711" w14:textId="2B6E9323" w:rsidR="00026B61" w:rsidRPr="00E00086" w:rsidRDefault="004A7ADF" w:rsidP="004A7ADF">
      <w:pPr>
        <w:pStyle w:val="Heading1"/>
        <w:numPr>
          <w:ilvl w:val="0"/>
          <w:numId w:val="0"/>
        </w:numPr>
        <w:rPr>
          <w:rFonts w:cs="Times New Roman"/>
          <w:spacing w:val="0"/>
          <w:szCs w:val="22"/>
          <w:lang w:val="en-GB"/>
        </w:rPr>
      </w:pPr>
      <w:r w:rsidRPr="00E00086">
        <w:rPr>
          <w:rFonts w:cs="Times New Roman"/>
          <w:spacing w:val="0"/>
          <w:szCs w:val="22"/>
          <w:lang w:val="en-GB"/>
        </w:rPr>
        <w:t>[57]</w:t>
      </w:r>
      <w:r w:rsidRPr="00E00086">
        <w:rPr>
          <w:rFonts w:cs="Times New Roman"/>
          <w:spacing w:val="0"/>
          <w:szCs w:val="22"/>
          <w:lang w:val="en-GB"/>
        </w:rPr>
        <w:tab/>
      </w:r>
      <w:r w:rsidR="006C383B" w:rsidRPr="00E00086">
        <w:rPr>
          <w:rFonts w:cs="Times New Roman"/>
          <w:spacing w:val="0"/>
          <w:szCs w:val="22"/>
          <w:lang w:val="en-GB"/>
        </w:rPr>
        <w:t xml:space="preserve">As regards the issue </w:t>
      </w:r>
      <w:r w:rsidR="00026B61" w:rsidRPr="00E00086">
        <w:rPr>
          <w:rFonts w:cs="Times New Roman"/>
          <w:spacing w:val="0"/>
          <w:szCs w:val="22"/>
          <w:lang w:val="en-GB"/>
        </w:rPr>
        <w:t xml:space="preserve">that the application </w:t>
      </w:r>
      <w:r w:rsidR="006C383B" w:rsidRPr="00E00086">
        <w:rPr>
          <w:lang w:val="en-GB"/>
        </w:rPr>
        <w:t>before court is moot, t</w:t>
      </w:r>
      <w:r w:rsidR="00026B61" w:rsidRPr="00E00086">
        <w:rPr>
          <w:lang w:val="en-GB"/>
        </w:rPr>
        <w:t>he</w:t>
      </w:r>
      <w:r w:rsidR="006C383B" w:rsidRPr="00E00086">
        <w:rPr>
          <w:lang w:val="en-GB"/>
        </w:rPr>
        <w:t xml:space="preserve"> point is premised on the </w:t>
      </w:r>
      <w:r w:rsidR="00026B61" w:rsidRPr="00E00086">
        <w:rPr>
          <w:lang w:val="en-GB"/>
        </w:rPr>
        <w:t xml:space="preserve">respondent averring that the </w:t>
      </w:r>
      <w:r w:rsidR="007C71DA">
        <w:rPr>
          <w:lang w:val="en-GB"/>
        </w:rPr>
        <w:t>D</w:t>
      </w:r>
      <w:r w:rsidR="00026B61" w:rsidRPr="00E00086">
        <w:rPr>
          <w:lang w:val="en-GB"/>
        </w:rPr>
        <w:t xml:space="preserve">eputy </w:t>
      </w:r>
      <w:r w:rsidR="007C71DA">
        <w:rPr>
          <w:lang w:val="en-GB"/>
        </w:rPr>
        <w:t>S</w:t>
      </w:r>
      <w:r w:rsidR="00026B61" w:rsidRPr="00E00086">
        <w:rPr>
          <w:lang w:val="en-GB"/>
        </w:rPr>
        <w:t>heriff executed the writ of execution on 2 March 2023 and all that remains is the payment of the monies. I am not convinced that the service of the writ makes the relief sought moot. No authority on this point was tendered. This point must, too, accordingly fail.</w:t>
      </w:r>
    </w:p>
    <w:p w14:paraId="3B383984" w14:textId="77777777" w:rsidR="006D6866" w:rsidRPr="00E00086" w:rsidRDefault="006D6866" w:rsidP="006426B1">
      <w:pPr>
        <w:widowControl/>
        <w:rPr>
          <w:rFonts w:cs="Times New Roman"/>
          <w:spacing w:val="0"/>
          <w:szCs w:val="22"/>
          <w:lang w:val="en-GB"/>
        </w:rPr>
      </w:pPr>
    </w:p>
    <w:p w14:paraId="04B181AF" w14:textId="2EFC9861" w:rsidR="006D6866" w:rsidRPr="00E00086" w:rsidRDefault="004A7ADF" w:rsidP="004A7ADF">
      <w:pPr>
        <w:pStyle w:val="Heading1"/>
        <w:numPr>
          <w:ilvl w:val="0"/>
          <w:numId w:val="0"/>
        </w:numPr>
        <w:rPr>
          <w:lang w:val="en-GB"/>
        </w:rPr>
      </w:pPr>
      <w:r w:rsidRPr="00E00086">
        <w:rPr>
          <w:lang w:val="en-GB"/>
        </w:rPr>
        <w:t>[58]</w:t>
      </w:r>
      <w:r w:rsidRPr="00E00086">
        <w:rPr>
          <w:lang w:val="en-GB"/>
        </w:rPr>
        <w:tab/>
      </w:r>
      <w:r w:rsidR="00026B61" w:rsidRPr="00E00086">
        <w:rPr>
          <w:lang w:val="en-GB"/>
        </w:rPr>
        <w:t xml:space="preserve">I now deal with the merits of the application. </w:t>
      </w:r>
    </w:p>
    <w:p w14:paraId="28C8B931" w14:textId="77777777" w:rsidR="006D6866" w:rsidRPr="00E00086" w:rsidRDefault="006D6866" w:rsidP="006426B1">
      <w:pPr>
        <w:rPr>
          <w:lang w:val="en-GB"/>
        </w:rPr>
      </w:pPr>
    </w:p>
    <w:p w14:paraId="5D131213" w14:textId="2AB64EDF" w:rsidR="006D6866" w:rsidRPr="00E00086" w:rsidRDefault="004A7ADF" w:rsidP="004A7ADF">
      <w:pPr>
        <w:pStyle w:val="Heading1"/>
        <w:numPr>
          <w:ilvl w:val="0"/>
          <w:numId w:val="0"/>
        </w:numPr>
        <w:rPr>
          <w:rFonts w:cs="Times New Roman"/>
          <w:spacing w:val="0"/>
          <w:szCs w:val="22"/>
          <w:lang w:val="en-GB"/>
        </w:rPr>
      </w:pPr>
      <w:r w:rsidRPr="00E00086">
        <w:rPr>
          <w:rFonts w:cs="Times New Roman"/>
          <w:spacing w:val="0"/>
          <w:szCs w:val="22"/>
          <w:lang w:val="en-GB"/>
        </w:rPr>
        <w:t>[59]</w:t>
      </w:r>
      <w:r w:rsidRPr="00E00086">
        <w:rPr>
          <w:rFonts w:cs="Times New Roman"/>
          <w:spacing w:val="0"/>
          <w:szCs w:val="22"/>
          <w:lang w:val="en-GB"/>
        </w:rPr>
        <w:tab/>
      </w:r>
      <w:r w:rsidR="006D6866" w:rsidRPr="00E00086">
        <w:rPr>
          <w:lang w:val="en-GB"/>
        </w:rPr>
        <w:t xml:space="preserve">Both </w:t>
      </w:r>
      <w:r w:rsidR="00C41B3B" w:rsidRPr="00E00086">
        <w:rPr>
          <w:lang w:val="en-GB"/>
        </w:rPr>
        <w:t xml:space="preserve">parties </w:t>
      </w:r>
      <w:proofErr w:type="gramStart"/>
      <w:r w:rsidR="006D6866" w:rsidRPr="00E00086">
        <w:rPr>
          <w:lang w:val="en-GB"/>
        </w:rPr>
        <w:t>are in agreement</w:t>
      </w:r>
      <w:proofErr w:type="gramEnd"/>
      <w:r w:rsidR="006D6866" w:rsidRPr="00E00086">
        <w:rPr>
          <w:lang w:val="en-GB"/>
        </w:rPr>
        <w:t xml:space="preserve"> on the applicable legal principles at play in the determination of this matter. </w:t>
      </w:r>
    </w:p>
    <w:p w14:paraId="2966C97F" w14:textId="77777777" w:rsidR="00C41B3B" w:rsidRPr="00E00086" w:rsidRDefault="00C41B3B" w:rsidP="006426B1">
      <w:pPr>
        <w:rPr>
          <w:lang w:val="en-GB"/>
        </w:rPr>
      </w:pPr>
    </w:p>
    <w:p w14:paraId="09AAB3B8" w14:textId="2BB06F9B" w:rsidR="00C41B3B" w:rsidRPr="00E00086" w:rsidRDefault="004A7ADF" w:rsidP="004A7ADF">
      <w:pPr>
        <w:pStyle w:val="Heading1"/>
        <w:numPr>
          <w:ilvl w:val="0"/>
          <w:numId w:val="0"/>
        </w:numPr>
        <w:rPr>
          <w:lang w:val="en-GB"/>
        </w:rPr>
      </w:pPr>
      <w:r w:rsidRPr="00E00086">
        <w:rPr>
          <w:lang w:val="en-GB"/>
        </w:rPr>
        <w:t>[60]</w:t>
      </w:r>
      <w:r w:rsidRPr="00E00086">
        <w:rPr>
          <w:lang w:val="en-GB"/>
        </w:rPr>
        <w:tab/>
      </w:r>
      <w:r w:rsidR="00C41B3B" w:rsidRPr="00E00086">
        <w:rPr>
          <w:lang w:val="en-GB"/>
        </w:rPr>
        <w:t xml:space="preserve">In </w:t>
      </w:r>
      <w:r w:rsidR="00C41B3B" w:rsidRPr="00E00086">
        <w:rPr>
          <w:i/>
          <w:lang w:val="en-GB"/>
        </w:rPr>
        <w:t xml:space="preserve">South Cape Corporation (Pty) Ltd v Engineering Management Services </w:t>
      </w:r>
      <w:r w:rsidR="00C41B3B" w:rsidRPr="00E00086">
        <w:rPr>
          <w:i/>
          <w:lang w:val="en-GB"/>
        </w:rPr>
        <w:lastRenderedPageBreak/>
        <w:t>(Pty) Ltd</w:t>
      </w:r>
      <w:r w:rsidR="00F35E85">
        <w:rPr>
          <w:i/>
          <w:lang w:val="en-GB"/>
        </w:rPr>
        <w:t>,</w:t>
      </w:r>
      <w:r w:rsidR="00006BFF" w:rsidRPr="007C71DA">
        <w:rPr>
          <w:rStyle w:val="FootnoteReference"/>
          <w:iCs/>
          <w:lang w:val="en-GB"/>
        </w:rPr>
        <w:footnoteReference w:id="8"/>
      </w:r>
      <w:r w:rsidR="00C41B3B" w:rsidRPr="00E00086">
        <w:rPr>
          <w:lang w:val="en-GB"/>
        </w:rPr>
        <w:t xml:space="preserve"> it was held that in determining an application of this nature, a consideration of what is just and equitable was necessary, and regard should be had to the following factors: </w:t>
      </w:r>
    </w:p>
    <w:p w14:paraId="3E0D8AB5" w14:textId="77777777" w:rsidR="006C383B" w:rsidRPr="00E00086" w:rsidRDefault="006C383B" w:rsidP="006426B1">
      <w:pPr>
        <w:widowControl/>
        <w:rPr>
          <w:lang w:val="en-GB"/>
        </w:rPr>
      </w:pPr>
    </w:p>
    <w:p w14:paraId="74BD3F15" w14:textId="45D2310C" w:rsidR="00C41B3B" w:rsidRPr="004A7ADF" w:rsidRDefault="004A7ADF" w:rsidP="004A7ADF">
      <w:pPr>
        <w:ind w:left="720"/>
        <w:rPr>
          <w:lang w:val="en-GB"/>
        </w:rPr>
      </w:pPr>
      <w:r w:rsidRPr="00E00086">
        <w:rPr>
          <w:rFonts w:cs="Times New Roman"/>
          <w:spacing w:val="0"/>
          <w:lang w:val="en-GB"/>
        </w:rPr>
        <w:t>(a)</w:t>
      </w:r>
      <w:r w:rsidRPr="00E00086">
        <w:rPr>
          <w:rFonts w:cs="Times New Roman"/>
          <w:spacing w:val="0"/>
          <w:lang w:val="en-GB"/>
        </w:rPr>
        <w:tab/>
      </w:r>
      <w:r w:rsidR="00C41B3B" w:rsidRPr="004A7ADF">
        <w:rPr>
          <w:lang w:val="en-GB"/>
        </w:rPr>
        <w:t xml:space="preserve">the potentiality of irreparable harm or prejudice being sustained by the appellant on appeal (respondent in the application) if leave to execute were to be </w:t>
      </w:r>
      <w:proofErr w:type="gramStart"/>
      <w:r w:rsidR="00C41B3B" w:rsidRPr="004A7ADF">
        <w:rPr>
          <w:lang w:val="en-GB"/>
        </w:rPr>
        <w:t>granted;</w:t>
      </w:r>
      <w:proofErr w:type="gramEnd"/>
    </w:p>
    <w:p w14:paraId="1B29ED09" w14:textId="77777777" w:rsidR="00C41B3B" w:rsidRPr="00E00086" w:rsidRDefault="00C41B3B" w:rsidP="00C900C6">
      <w:pPr>
        <w:pStyle w:val="ListParagraph"/>
        <w:spacing w:after="0"/>
        <w:ind w:left="2008"/>
        <w:contextualSpacing w:val="0"/>
        <w:rPr>
          <w:szCs w:val="24"/>
          <w:lang w:val="en-GB"/>
        </w:rPr>
      </w:pPr>
    </w:p>
    <w:p w14:paraId="32773508" w14:textId="751339CC" w:rsidR="00C41B3B" w:rsidRPr="004A7ADF" w:rsidRDefault="004A7ADF" w:rsidP="004A7ADF">
      <w:pPr>
        <w:ind w:left="720"/>
        <w:rPr>
          <w:lang w:val="en-GB"/>
        </w:rPr>
      </w:pPr>
      <w:r w:rsidRPr="00E00086">
        <w:rPr>
          <w:rFonts w:cs="Times New Roman"/>
          <w:spacing w:val="0"/>
          <w:lang w:val="en-GB"/>
        </w:rPr>
        <w:t>(b)</w:t>
      </w:r>
      <w:r w:rsidRPr="00E00086">
        <w:rPr>
          <w:rFonts w:cs="Times New Roman"/>
          <w:spacing w:val="0"/>
          <w:lang w:val="en-GB"/>
        </w:rPr>
        <w:tab/>
      </w:r>
      <w:r w:rsidR="00C41B3B" w:rsidRPr="004A7ADF">
        <w:rPr>
          <w:lang w:val="en-GB"/>
        </w:rPr>
        <w:t xml:space="preserve">the potentiality of irreparable harm or prejudice being sustained by the respondent on appeal (applicant in the application) if leave to execute were to be </w:t>
      </w:r>
      <w:proofErr w:type="gramStart"/>
      <w:r w:rsidR="00C41B3B" w:rsidRPr="004A7ADF">
        <w:rPr>
          <w:lang w:val="en-GB"/>
        </w:rPr>
        <w:t>refused;</w:t>
      </w:r>
      <w:proofErr w:type="gramEnd"/>
    </w:p>
    <w:p w14:paraId="223A47AE" w14:textId="77777777" w:rsidR="00C41B3B" w:rsidRPr="00E00086" w:rsidRDefault="00C41B3B" w:rsidP="00C900C6">
      <w:pPr>
        <w:ind w:left="720"/>
        <w:rPr>
          <w:lang w:val="en-GB"/>
        </w:rPr>
      </w:pPr>
    </w:p>
    <w:p w14:paraId="30DC9489" w14:textId="1DBBC811" w:rsidR="00C41B3B" w:rsidRPr="004A7ADF" w:rsidRDefault="004A7ADF" w:rsidP="004A7ADF">
      <w:pPr>
        <w:ind w:left="720"/>
        <w:rPr>
          <w:lang w:val="en-GB"/>
        </w:rPr>
      </w:pPr>
      <w:r w:rsidRPr="00E00086">
        <w:rPr>
          <w:rFonts w:cs="Times New Roman"/>
          <w:spacing w:val="0"/>
          <w:lang w:val="en-GB"/>
        </w:rPr>
        <w:t>(c)</w:t>
      </w:r>
      <w:r w:rsidRPr="00E00086">
        <w:rPr>
          <w:rFonts w:cs="Times New Roman"/>
          <w:spacing w:val="0"/>
          <w:lang w:val="en-GB"/>
        </w:rPr>
        <w:tab/>
      </w:r>
      <w:r w:rsidR="00C41B3B" w:rsidRPr="004A7ADF">
        <w:rPr>
          <w:lang w:val="en-GB"/>
        </w:rPr>
        <w:t>the prospects of success on appeal, including more particularly the question as to whether the appeal is frivolous or vexatious or has been noted not with the bona fide intention of seeking to reverse the judgment but for some indirect purpose, e</w:t>
      </w:r>
      <w:r w:rsidR="00C900C6" w:rsidRPr="004A7ADF">
        <w:rPr>
          <w:lang w:val="en-GB"/>
        </w:rPr>
        <w:t>.</w:t>
      </w:r>
      <w:r w:rsidR="00C41B3B" w:rsidRPr="004A7ADF">
        <w:rPr>
          <w:lang w:val="en-GB"/>
        </w:rPr>
        <w:t>g</w:t>
      </w:r>
      <w:r w:rsidR="00C900C6" w:rsidRPr="004A7ADF">
        <w:rPr>
          <w:lang w:val="en-GB"/>
        </w:rPr>
        <w:t>.</w:t>
      </w:r>
      <w:r w:rsidR="00C41B3B" w:rsidRPr="004A7ADF">
        <w:rPr>
          <w:lang w:val="en-GB"/>
        </w:rPr>
        <w:t xml:space="preserve">, to gain time or harass the other </w:t>
      </w:r>
      <w:proofErr w:type="gramStart"/>
      <w:r w:rsidR="00C41B3B" w:rsidRPr="004A7ADF">
        <w:rPr>
          <w:lang w:val="en-GB"/>
        </w:rPr>
        <w:t>party;</w:t>
      </w:r>
      <w:proofErr w:type="gramEnd"/>
    </w:p>
    <w:p w14:paraId="5D43A82C" w14:textId="77777777" w:rsidR="00C41B3B" w:rsidRPr="00E00086" w:rsidRDefault="00C41B3B" w:rsidP="00C900C6">
      <w:pPr>
        <w:pStyle w:val="ListParagraph"/>
        <w:spacing w:after="0"/>
        <w:ind w:left="1440"/>
        <w:contextualSpacing w:val="0"/>
        <w:rPr>
          <w:szCs w:val="24"/>
          <w:lang w:val="en-GB"/>
        </w:rPr>
      </w:pPr>
    </w:p>
    <w:p w14:paraId="193B19B3" w14:textId="569A0549" w:rsidR="00C41B3B" w:rsidRPr="004A7ADF" w:rsidRDefault="004A7ADF" w:rsidP="004A7ADF">
      <w:pPr>
        <w:ind w:left="720"/>
        <w:rPr>
          <w:lang w:val="en-GB"/>
        </w:rPr>
      </w:pPr>
      <w:r w:rsidRPr="00E00086">
        <w:rPr>
          <w:rFonts w:cs="Times New Roman"/>
          <w:spacing w:val="0"/>
          <w:lang w:val="en-GB"/>
        </w:rPr>
        <w:t>(d)</w:t>
      </w:r>
      <w:r w:rsidRPr="00E00086">
        <w:rPr>
          <w:rFonts w:cs="Times New Roman"/>
          <w:spacing w:val="0"/>
          <w:lang w:val="en-GB"/>
        </w:rPr>
        <w:tab/>
      </w:r>
      <w:r w:rsidR="00C41B3B" w:rsidRPr="004A7ADF">
        <w:rPr>
          <w:lang w:val="en-GB"/>
        </w:rPr>
        <w:t xml:space="preserve">where there is the potentiality of irreparable harm or prejudice to both the appellant and respondent, the balance of hardship or </w:t>
      </w:r>
      <w:proofErr w:type="gramStart"/>
      <w:r w:rsidR="00C41B3B" w:rsidRPr="004A7ADF">
        <w:rPr>
          <w:lang w:val="en-GB"/>
        </w:rPr>
        <w:t>convenience, as the case may be</w:t>
      </w:r>
      <w:proofErr w:type="gramEnd"/>
      <w:r w:rsidR="00C41B3B" w:rsidRPr="004A7ADF">
        <w:rPr>
          <w:lang w:val="en-GB"/>
        </w:rPr>
        <w:t>.</w:t>
      </w:r>
    </w:p>
    <w:p w14:paraId="0B5597E9" w14:textId="77777777" w:rsidR="00C41B3B" w:rsidRPr="00E00086" w:rsidRDefault="00C41B3B" w:rsidP="006426B1">
      <w:pPr>
        <w:pStyle w:val="ListParagraph"/>
        <w:spacing w:after="0"/>
        <w:ind w:left="1288"/>
        <w:contextualSpacing w:val="0"/>
        <w:rPr>
          <w:szCs w:val="24"/>
          <w:lang w:val="en-GB"/>
        </w:rPr>
      </w:pPr>
    </w:p>
    <w:p w14:paraId="55809CB2" w14:textId="621C32A8" w:rsidR="00A320F8" w:rsidRDefault="004A7ADF" w:rsidP="004A7ADF">
      <w:pPr>
        <w:pStyle w:val="Heading1"/>
        <w:numPr>
          <w:ilvl w:val="0"/>
          <w:numId w:val="0"/>
        </w:numPr>
        <w:rPr>
          <w:lang w:val="en-GB"/>
        </w:rPr>
      </w:pPr>
      <w:r>
        <w:rPr>
          <w:lang w:val="en-GB"/>
        </w:rPr>
        <w:t>[61]</w:t>
      </w:r>
      <w:r>
        <w:rPr>
          <w:lang w:val="en-GB"/>
        </w:rPr>
        <w:tab/>
      </w:r>
      <w:r w:rsidR="00C41B3B" w:rsidRPr="00E00086">
        <w:rPr>
          <w:lang w:val="en-GB"/>
        </w:rPr>
        <w:t xml:space="preserve">In consideration of the potentiality of irreparable harm, I am alive to the applicant’s allegations that it is a </w:t>
      </w:r>
      <w:r w:rsidR="006C383B" w:rsidRPr="00E00086">
        <w:rPr>
          <w:lang w:val="en-GB"/>
        </w:rPr>
        <w:t>state-owned</w:t>
      </w:r>
      <w:r w:rsidR="00C41B3B" w:rsidRPr="00E00086">
        <w:rPr>
          <w:lang w:val="en-GB"/>
        </w:rPr>
        <w:t xml:space="preserve"> entity and not in a position to pay </w:t>
      </w:r>
      <w:r w:rsidR="006C383B" w:rsidRPr="00E00086">
        <w:rPr>
          <w:lang w:val="en-GB"/>
        </w:rPr>
        <w:t xml:space="preserve">the </w:t>
      </w:r>
      <w:r w:rsidR="00C41B3B" w:rsidRPr="00E00086">
        <w:rPr>
          <w:lang w:val="en-GB"/>
        </w:rPr>
        <w:t>large amount of the compensatory award. Yet</w:t>
      </w:r>
      <w:r w:rsidR="006C383B" w:rsidRPr="00E00086">
        <w:rPr>
          <w:lang w:val="en-GB"/>
        </w:rPr>
        <w:t>,</w:t>
      </w:r>
      <w:r w:rsidR="00C41B3B" w:rsidRPr="00E00086">
        <w:rPr>
          <w:lang w:val="en-GB"/>
        </w:rPr>
        <w:t xml:space="preserve"> it was prepared to pay this amount into its legal practitioner’s trust accounts. On the other </w:t>
      </w:r>
      <w:r w:rsidR="006800BF" w:rsidRPr="00E00086">
        <w:rPr>
          <w:lang w:val="en-GB"/>
        </w:rPr>
        <w:t>hand, there</w:t>
      </w:r>
      <w:r w:rsidR="006C383B" w:rsidRPr="00E00086">
        <w:rPr>
          <w:lang w:val="en-GB"/>
        </w:rPr>
        <w:t xml:space="preserve"> is the</w:t>
      </w:r>
      <w:r w:rsidR="00C41B3B" w:rsidRPr="00E00086">
        <w:rPr>
          <w:lang w:val="en-GB"/>
        </w:rPr>
        <w:t xml:space="preserve"> respondent who detailed the financial and emotional hardship suffered since she lost her job, and the fact that if reinstated and paid the compensatory amount she would be able to pay her debt and be </w:t>
      </w:r>
      <w:proofErr w:type="gramStart"/>
      <w:r w:rsidR="00C41B3B" w:rsidRPr="00E00086">
        <w:rPr>
          <w:lang w:val="en-GB"/>
        </w:rPr>
        <w:t>in a position</w:t>
      </w:r>
      <w:proofErr w:type="gramEnd"/>
      <w:r w:rsidR="00C41B3B" w:rsidRPr="00E00086">
        <w:rPr>
          <w:lang w:val="en-GB"/>
        </w:rPr>
        <w:t xml:space="preserve"> to foot the legal bill should the appeal be upheld. If she can pay her debt</w:t>
      </w:r>
      <w:r w:rsidR="00A320F8" w:rsidRPr="00E00086">
        <w:rPr>
          <w:lang w:val="en-GB"/>
        </w:rPr>
        <w:t xml:space="preserve"> in the meantime</w:t>
      </w:r>
      <w:r w:rsidR="00C41B3B" w:rsidRPr="00E00086">
        <w:rPr>
          <w:lang w:val="en-GB"/>
        </w:rPr>
        <w:t xml:space="preserve">, she will be able to </w:t>
      </w:r>
      <w:r w:rsidR="00C41B3B" w:rsidRPr="00E00086">
        <w:rPr>
          <w:lang w:val="en-GB"/>
        </w:rPr>
        <w:lastRenderedPageBreak/>
        <w:t>keep her house and at the very least, that would be adequate security given the value of the house. To my mind</w:t>
      </w:r>
      <w:r w:rsidR="006C383B" w:rsidRPr="00E00086">
        <w:rPr>
          <w:lang w:val="en-GB"/>
        </w:rPr>
        <w:t xml:space="preserve">, </w:t>
      </w:r>
      <w:proofErr w:type="gramStart"/>
      <w:r w:rsidR="006C383B" w:rsidRPr="00E00086">
        <w:rPr>
          <w:lang w:val="en-GB"/>
        </w:rPr>
        <w:t>it is clear that the</w:t>
      </w:r>
      <w:proofErr w:type="gramEnd"/>
      <w:r w:rsidR="006C383B" w:rsidRPr="00E00086">
        <w:rPr>
          <w:lang w:val="en-GB"/>
        </w:rPr>
        <w:t xml:space="preserve"> </w:t>
      </w:r>
      <w:r w:rsidR="00C41B3B" w:rsidRPr="00E00086">
        <w:rPr>
          <w:lang w:val="en-GB"/>
        </w:rPr>
        <w:t>respondent suffers significantly more prejudice</w:t>
      </w:r>
      <w:r w:rsidR="00210D63" w:rsidRPr="00E00086">
        <w:rPr>
          <w:lang w:val="en-GB"/>
        </w:rPr>
        <w:t xml:space="preserve"> and irreparable harm in the event that the execution of the arbitration award is stayed. </w:t>
      </w:r>
    </w:p>
    <w:p w14:paraId="66DF6C38" w14:textId="4DF1AC5A" w:rsidR="00C900C6" w:rsidRDefault="00C900C6" w:rsidP="00C900C6">
      <w:pPr>
        <w:rPr>
          <w:lang w:val="en-GB"/>
        </w:rPr>
      </w:pPr>
    </w:p>
    <w:p w14:paraId="727247DF" w14:textId="6AD4004B" w:rsidR="00A63A72" w:rsidRDefault="004A7ADF" w:rsidP="004A7ADF">
      <w:pPr>
        <w:pStyle w:val="Heading1"/>
        <w:numPr>
          <w:ilvl w:val="0"/>
          <w:numId w:val="0"/>
        </w:numPr>
      </w:pPr>
      <w:r>
        <w:t>[62]</w:t>
      </w:r>
      <w:r>
        <w:tab/>
      </w:r>
      <w:r w:rsidR="00A63A72">
        <w:t xml:space="preserve">In </w:t>
      </w:r>
      <w:proofErr w:type="spellStart"/>
      <w:r w:rsidR="00A63A72" w:rsidRPr="00A86BA5">
        <w:rPr>
          <w:i/>
          <w:iCs/>
        </w:rPr>
        <w:t>Hardap</w:t>
      </w:r>
      <w:proofErr w:type="spellEnd"/>
      <w:r w:rsidR="00A63A72" w:rsidRPr="00A86BA5">
        <w:rPr>
          <w:i/>
          <w:iCs/>
        </w:rPr>
        <w:t xml:space="preserve"> Regional Council v Sankwasa and Another</w:t>
      </w:r>
      <w:r w:rsidR="00A63A72">
        <w:t>,</w:t>
      </w:r>
      <w:r w:rsidR="00A86BA5">
        <w:t xml:space="preserve"> </w:t>
      </w:r>
      <w:r w:rsidR="00A63A72" w:rsidRPr="00A86BA5">
        <w:rPr>
          <w:rStyle w:val="FootnoteReference"/>
        </w:rPr>
        <w:footnoteReference w:id="9"/>
      </w:r>
      <w:r w:rsidR="00A63A72">
        <w:t xml:space="preserve"> Parker AJ held that:</w:t>
      </w:r>
    </w:p>
    <w:p w14:paraId="253C2CED" w14:textId="77777777" w:rsidR="00A63A72" w:rsidRPr="009040FF" w:rsidRDefault="00A63A72" w:rsidP="00A63A72">
      <w:pPr>
        <w:pStyle w:val="ListParagraph"/>
        <w:spacing w:after="0"/>
        <w:contextualSpacing w:val="0"/>
        <w:rPr>
          <w:rFonts w:cs="Arial"/>
        </w:rPr>
      </w:pPr>
    </w:p>
    <w:p w14:paraId="10943DC4" w14:textId="5A488FA0" w:rsidR="00A63A72" w:rsidRPr="00A63A72" w:rsidRDefault="00A63A72" w:rsidP="00F35E85">
      <w:pPr>
        <w:pStyle w:val="ListParagraph"/>
        <w:spacing w:after="0"/>
        <w:ind w:left="0" w:firstLine="720"/>
        <w:contextualSpacing w:val="0"/>
        <w:rPr>
          <w:rFonts w:cs="Arial"/>
          <w:sz w:val="22"/>
          <w:szCs w:val="20"/>
        </w:rPr>
      </w:pPr>
      <w:r w:rsidRPr="00A63A72">
        <w:rPr>
          <w:rFonts w:cs="Arial"/>
          <w:sz w:val="22"/>
          <w:szCs w:val="20"/>
        </w:rPr>
        <w:t>‘[9]</w:t>
      </w:r>
      <w:r w:rsidRPr="00A63A72">
        <w:rPr>
          <w:rFonts w:cs="Arial"/>
          <w:sz w:val="22"/>
          <w:szCs w:val="20"/>
        </w:rPr>
        <w:tab/>
        <w:t xml:space="preserve">It was held in </w:t>
      </w:r>
      <w:r w:rsidRPr="00A63A72">
        <w:rPr>
          <w:rFonts w:cs="Arial"/>
          <w:i/>
          <w:sz w:val="22"/>
          <w:szCs w:val="20"/>
        </w:rPr>
        <w:t xml:space="preserve">Wood NO v Edwards &amp; Another </w:t>
      </w:r>
      <w:r w:rsidRPr="00A63A72">
        <w:rPr>
          <w:rFonts w:cs="Arial"/>
          <w:sz w:val="22"/>
          <w:szCs w:val="20"/>
        </w:rPr>
        <w:t>1966 (3) SA 443 (R) that where no question of irreparable harm arises from execution, the question whether execution should be ordered will depend on whether there are reasonable prospects of success on appeal; but if the entire object of the appeal would be nugatory if execution were to proceed, the Court has no right to deal with the matter on the basis of whether there are reasonable prospects of success on appeal. It would then be that the question before the Court “must be resolved on the respective potentiality for irreparable harm or prejudice being sustained by the applicant and the respondent respectively.” (</w:t>
      </w:r>
      <w:r w:rsidRPr="00A63A72">
        <w:rPr>
          <w:rFonts w:cs="Arial"/>
          <w:i/>
          <w:sz w:val="22"/>
          <w:szCs w:val="20"/>
        </w:rPr>
        <w:t xml:space="preserve">Tuckers Land and Development Corporation v Soja </w:t>
      </w:r>
      <w:r w:rsidRPr="00A63A72">
        <w:rPr>
          <w:rFonts w:cs="Arial"/>
          <w:sz w:val="22"/>
          <w:szCs w:val="20"/>
        </w:rPr>
        <w:t>1980 (1) SA 691 (W) at 696E-F). This proposition is predicated on “the purpose of the (common law) rule as to the suspension of a judgment on a noting of an appeal is to prevent irreparable damage from being done to the intending appellant …” (</w:t>
      </w:r>
      <w:r w:rsidRPr="00A63A72">
        <w:rPr>
          <w:rFonts w:cs="Arial"/>
          <w:i/>
          <w:sz w:val="22"/>
          <w:szCs w:val="20"/>
        </w:rPr>
        <w:t xml:space="preserve">Soja </w:t>
      </w:r>
      <w:r w:rsidRPr="00A63A72">
        <w:rPr>
          <w:rFonts w:cs="Arial"/>
          <w:sz w:val="22"/>
          <w:szCs w:val="20"/>
        </w:rPr>
        <w:t xml:space="preserve">supra at 696G, approving </w:t>
      </w:r>
      <w:r w:rsidRPr="00A63A72">
        <w:rPr>
          <w:rFonts w:cs="Arial"/>
          <w:i/>
          <w:sz w:val="22"/>
          <w:szCs w:val="20"/>
        </w:rPr>
        <w:t xml:space="preserve">South Cape Corporation (Pty) Ltd v Engineering Management Services (Pty) Ltd </w:t>
      </w:r>
      <w:r w:rsidRPr="00A63A72">
        <w:rPr>
          <w:rFonts w:cs="Arial"/>
          <w:sz w:val="22"/>
          <w:szCs w:val="20"/>
        </w:rPr>
        <w:t xml:space="preserve">1977 (3) SA 534 (A) at 545B-C).’ </w:t>
      </w:r>
    </w:p>
    <w:p w14:paraId="4B6DE531" w14:textId="51FE633D" w:rsidR="00C900C6" w:rsidRDefault="00C900C6" w:rsidP="00C900C6">
      <w:pPr>
        <w:rPr>
          <w:lang w:val="en-GB"/>
        </w:rPr>
      </w:pPr>
    </w:p>
    <w:p w14:paraId="2731FE38" w14:textId="32E3DE4D" w:rsidR="00C900C6" w:rsidRDefault="004A7ADF" w:rsidP="004A7ADF">
      <w:pPr>
        <w:pStyle w:val="Heading1"/>
        <w:numPr>
          <w:ilvl w:val="0"/>
          <w:numId w:val="0"/>
        </w:numPr>
        <w:rPr>
          <w:lang w:val="en-GB"/>
        </w:rPr>
      </w:pPr>
      <w:r>
        <w:rPr>
          <w:lang w:val="en-GB"/>
        </w:rPr>
        <w:t>[63]</w:t>
      </w:r>
      <w:r>
        <w:rPr>
          <w:lang w:val="en-GB"/>
        </w:rPr>
        <w:tab/>
      </w:r>
      <w:r w:rsidR="00A63A72">
        <w:rPr>
          <w:lang w:val="en-GB"/>
        </w:rPr>
        <w:t xml:space="preserve">Read with the provisions of s 89(6) of the Act, the matter must be determined in favour of the respondent employee.  </w:t>
      </w:r>
    </w:p>
    <w:p w14:paraId="44C3CA6D" w14:textId="26398D8B" w:rsidR="00C900C6" w:rsidRDefault="00C900C6" w:rsidP="00C900C6">
      <w:pPr>
        <w:rPr>
          <w:lang w:val="en-GB"/>
        </w:rPr>
      </w:pPr>
    </w:p>
    <w:p w14:paraId="19DF1B92" w14:textId="24643221" w:rsidR="00867A81" w:rsidRPr="00E00086" w:rsidRDefault="004A7ADF" w:rsidP="004A7ADF">
      <w:pPr>
        <w:pStyle w:val="Heading1"/>
        <w:numPr>
          <w:ilvl w:val="0"/>
          <w:numId w:val="0"/>
        </w:numPr>
        <w:rPr>
          <w:rFonts w:cs="Times New Roman"/>
          <w:spacing w:val="0"/>
          <w:szCs w:val="22"/>
          <w:lang w:val="en-GB"/>
        </w:rPr>
      </w:pPr>
      <w:r w:rsidRPr="00E00086">
        <w:rPr>
          <w:rFonts w:cs="Times New Roman"/>
          <w:spacing w:val="0"/>
          <w:szCs w:val="22"/>
          <w:lang w:val="en-GB"/>
        </w:rPr>
        <w:t>[64]</w:t>
      </w:r>
      <w:r w:rsidRPr="00E00086">
        <w:rPr>
          <w:rFonts w:cs="Times New Roman"/>
          <w:spacing w:val="0"/>
          <w:szCs w:val="22"/>
          <w:lang w:val="en-GB"/>
        </w:rPr>
        <w:tab/>
      </w:r>
      <w:r w:rsidR="00A63A72">
        <w:rPr>
          <w:lang w:val="en-GB"/>
        </w:rPr>
        <w:t xml:space="preserve">In any event, and as </w:t>
      </w:r>
      <w:r w:rsidR="00A320F8" w:rsidRPr="00E00086">
        <w:rPr>
          <w:lang w:val="en-GB"/>
        </w:rPr>
        <w:t>regards the prospects of success, courts have determined matters on the papers alone before. It is however not evident whether the applicant was served with the notice of set down, because while the arbitration award indicates it was duly served, the applicant takes issue with the fact that part of the rescission application covers the non-service of the notice of set down. A dispute of fact between the app</w:t>
      </w:r>
      <w:r w:rsidR="00E66932" w:rsidRPr="00E00086">
        <w:rPr>
          <w:lang w:val="en-GB"/>
        </w:rPr>
        <w:t xml:space="preserve">licant and the arbitrator exists </w:t>
      </w:r>
      <w:r w:rsidR="00A320F8" w:rsidRPr="00E00086">
        <w:rPr>
          <w:lang w:val="en-GB"/>
        </w:rPr>
        <w:t xml:space="preserve">on this aspect. This </w:t>
      </w:r>
      <w:r w:rsidR="00A320F8" w:rsidRPr="00E00086">
        <w:rPr>
          <w:lang w:val="en-GB"/>
        </w:rPr>
        <w:lastRenderedPageBreak/>
        <w:t>question is better suited for the appeal court. Whether the appeal is vexatious or sought for some indirect purpose is also not clear, absent the record.</w:t>
      </w:r>
    </w:p>
    <w:p w14:paraId="1F31616B" w14:textId="77777777" w:rsidR="00867A81" w:rsidRPr="00E00086" w:rsidRDefault="00867A81" w:rsidP="006426B1">
      <w:pPr>
        <w:rPr>
          <w:lang w:val="en-GB"/>
        </w:rPr>
      </w:pPr>
    </w:p>
    <w:p w14:paraId="16B60F45" w14:textId="46437173" w:rsidR="00A320F8" w:rsidRPr="00E00086" w:rsidRDefault="004A7ADF" w:rsidP="004A7ADF">
      <w:pPr>
        <w:pStyle w:val="Heading1"/>
        <w:numPr>
          <w:ilvl w:val="0"/>
          <w:numId w:val="0"/>
        </w:numPr>
        <w:rPr>
          <w:rFonts w:cs="Times New Roman"/>
          <w:spacing w:val="0"/>
          <w:szCs w:val="22"/>
          <w:lang w:val="en-GB"/>
        </w:rPr>
      </w:pPr>
      <w:r w:rsidRPr="00E00086">
        <w:rPr>
          <w:rFonts w:cs="Times New Roman"/>
          <w:spacing w:val="0"/>
          <w:szCs w:val="22"/>
          <w:lang w:val="en-GB"/>
        </w:rPr>
        <w:t>[65]</w:t>
      </w:r>
      <w:r w:rsidRPr="00E00086">
        <w:rPr>
          <w:rFonts w:cs="Times New Roman"/>
          <w:spacing w:val="0"/>
          <w:szCs w:val="22"/>
          <w:lang w:val="en-GB"/>
        </w:rPr>
        <w:tab/>
      </w:r>
      <w:r w:rsidR="00867A81" w:rsidRPr="00E00086">
        <w:rPr>
          <w:lang w:val="en-GB"/>
        </w:rPr>
        <w:t xml:space="preserve">It is important to note that </w:t>
      </w:r>
      <w:r w:rsidR="00A320F8" w:rsidRPr="00E00086">
        <w:rPr>
          <w:lang w:val="en-GB"/>
        </w:rPr>
        <w:t xml:space="preserve">the applicant failed to explain why it did not send a representative to the arbitration after being called to do so, and there is no denial on the papers that the representative was called as stated in the ruling. In fact, no explanation is provided by the applicant for this </w:t>
      </w:r>
      <w:proofErr w:type="gramStart"/>
      <w:r w:rsidR="00A320F8" w:rsidRPr="00E00086">
        <w:rPr>
          <w:lang w:val="en-GB"/>
        </w:rPr>
        <w:t>state of affairs</w:t>
      </w:r>
      <w:proofErr w:type="gramEnd"/>
      <w:r w:rsidR="00A86BA5">
        <w:rPr>
          <w:lang w:val="en-GB"/>
        </w:rPr>
        <w:t xml:space="preserve"> anywhere in its papers</w:t>
      </w:r>
      <w:r w:rsidR="00A320F8" w:rsidRPr="00E00086">
        <w:rPr>
          <w:lang w:val="en-GB"/>
        </w:rPr>
        <w:t xml:space="preserve">. </w:t>
      </w:r>
    </w:p>
    <w:p w14:paraId="46E01D0B" w14:textId="59C4715C" w:rsidR="00A320F8" w:rsidRPr="00E00086" w:rsidRDefault="00A320F8" w:rsidP="006426B1">
      <w:pPr>
        <w:rPr>
          <w:lang w:val="en-GB"/>
        </w:rPr>
      </w:pPr>
    </w:p>
    <w:p w14:paraId="372B9B02" w14:textId="38022B49" w:rsidR="00DC556A" w:rsidRPr="00E00086" w:rsidRDefault="004A7ADF" w:rsidP="004A7ADF">
      <w:pPr>
        <w:pStyle w:val="Heading1"/>
        <w:numPr>
          <w:ilvl w:val="0"/>
          <w:numId w:val="0"/>
        </w:numPr>
        <w:rPr>
          <w:rFonts w:cs="Times New Roman"/>
          <w:spacing w:val="0"/>
          <w:szCs w:val="22"/>
          <w:lang w:val="en-GB"/>
        </w:rPr>
      </w:pPr>
      <w:r w:rsidRPr="00E00086">
        <w:rPr>
          <w:rFonts w:cs="Times New Roman"/>
          <w:spacing w:val="0"/>
          <w:szCs w:val="22"/>
          <w:lang w:val="en-GB"/>
        </w:rPr>
        <w:t>[66]</w:t>
      </w:r>
      <w:r w:rsidRPr="00E00086">
        <w:rPr>
          <w:rFonts w:cs="Times New Roman"/>
          <w:spacing w:val="0"/>
          <w:szCs w:val="22"/>
          <w:lang w:val="en-GB"/>
        </w:rPr>
        <w:tab/>
      </w:r>
      <w:r w:rsidR="00867A81" w:rsidRPr="00E00086">
        <w:rPr>
          <w:lang w:val="en-GB"/>
        </w:rPr>
        <w:t xml:space="preserve">As regards the </w:t>
      </w:r>
      <w:bookmarkStart w:id="4" w:name="_Hlk131085063"/>
      <w:r w:rsidR="00867A81" w:rsidRPr="00E00086">
        <w:rPr>
          <w:lang w:val="en-GB"/>
        </w:rPr>
        <w:t>basis of the dismissal, t</w:t>
      </w:r>
      <w:r w:rsidR="00E66932" w:rsidRPr="00E00086">
        <w:rPr>
          <w:lang w:val="en-GB"/>
        </w:rPr>
        <w:t>hat the</w:t>
      </w:r>
      <w:r w:rsidR="00867A81" w:rsidRPr="00E00086">
        <w:rPr>
          <w:lang w:val="en-GB"/>
        </w:rPr>
        <w:t xml:space="preserve"> respondent’s lack of command of the English language, syntax, grammar, </w:t>
      </w:r>
      <w:r w:rsidR="00E66932" w:rsidRPr="00E00086">
        <w:rPr>
          <w:lang w:val="en-GB"/>
        </w:rPr>
        <w:t xml:space="preserve">and </w:t>
      </w:r>
      <w:r w:rsidR="00867A81" w:rsidRPr="00E00086">
        <w:rPr>
          <w:lang w:val="en-GB"/>
        </w:rPr>
        <w:t>minute taking, the applicant stated that there were numerous and different forms of progressive assessments</w:t>
      </w:r>
      <w:r w:rsidR="00DC556A" w:rsidRPr="00E00086">
        <w:rPr>
          <w:lang w:val="en-GB"/>
        </w:rPr>
        <w:t xml:space="preserve">. </w:t>
      </w:r>
      <w:bookmarkEnd w:id="4"/>
      <w:r w:rsidR="00E66932" w:rsidRPr="00E00086">
        <w:rPr>
          <w:lang w:val="en-GB"/>
        </w:rPr>
        <w:t xml:space="preserve">The </w:t>
      </w:r>
      <w:r w:rsidR="00DC556A" w:rsidRPr="00E00086">
        <w:rPr>
          <w:lang w:val="en-GB"/>
        </w:rPr>
        <w:t xml:space="preserve">respondent says otherwise. From her version, she was informed of this issue some ten years after she was employed, and she was not provided any training as promised, or provided with an opportunity to </w:t>
      </w:r>
      <w:r w:rsidR="00E66932" w:rsidRPr="00E00086">
        <w:rPr>
          <w:lang w:val="en-GB"/>
        </w:rPr>
        <w:t>enrol in 2020 for her grade 12 qualification</w:t>
      </w:r>
      <w:r w:rsidR="00DC556A" w:rsidRPr="00E00086">
        <w:rPr>
          <w:lang w:val="en-GB"/>
        </w:rPr>
        <w:t xml:space="preserve">. Added to this is the </w:t>
      </w:r>
      <w:r w:rsidR="00E66932" w:rsidRPr="00E00086">
        <w:rPr>
          <w:lang w:val="en-GB"/>
        </w:rPr>
        <w:t>fact that according to the</w:t>
      </w:r>
      <w:r w:rsidR="00DC556A" w:rsidRPr="00E00086">
        <w:rPr>
          <w:lang w:val="en-GB"/>
        </w:rPr>
        <w:t xml:space="preserve"> respondent, the applicant employed her in 2008 in full knowledge of the absence of a grade 12 qualification. </w:t>
      </w:r>
    </w:p>
    <w:p w14:paraId="1EE66CA7" w14:textId="77777777" w:rsidR="00DC556A" w:rsidRPr="00E00086" w:rsidRDefault="00DC556A" w:rsidP="006426B1">
      <w:pPr>
        <w:rPr>
          <w:lang w:val="en-GB"/>
        </w:rPr>
      </w:pPr>
    </w:p>
    <w:p w14:paraId="157A3DC9" w14:textId="57D596AC" w:rsidR="00C12650" w:rsidRPr="00E00086" w:rsidRDefault="004A7ADF" w:rsidP="004A7ADF">
      <w:pPr>
        <w:pStyle w:val="Heading1"/>
        <w:numPr>
          <w:ilvl w:val="0"/>
          <w:numId w:val="0"/>
        </w:numPr>
        <w:rPr>
          <w:rFonts w:cs="Times New Roman"/>
          <w:spacing w:val="0"/>
          <w:szCs w:val="22"/>
          <w:lang w:val="en-GB"/>
        </w:rPr>
      </w:pPr>
      <w:r w:rsidRPr="00E00086">
        <w:rPr>
          <w:rFonts w:cs="Times New Roman"/>
          <w:spacing w:val="0"/>
          <w:szCs w:val="22"/>
          <w:lang w:val="en-GB"/>
        </w:rPr>
        <w:t>[67]</w:t>
      </w:r>
      <w:r w:rsidRPr="00E00086">
        <w:rPr>
          <w:rFonts w:cs="Times New Roman"/>
          <w:spacing w:val="0"/>
          <w:szCs w:val="22"/>
          <w:lang w:val="en-GB"/>
        </w:rPr>
        <w:tab/>
      </w:r>
      <w:r w:rsidR="00DC556A" w:rsidRPr="00E00086">
        <w:rPr>
          <w:lang w:val="en-GB"/>
        </w:rPr>
        <w:t xml:space="preserve">It is certainly not clear from the papers before court that the applicant engaged in </w:t>
      </w:r>
      <w:r w:rsidR="00E66932" w:rsidRPr="00E00086">
        <w:rPr>
          <w:lang w:val="en-GB"/>
        </w:rPr>
        <w:t>a proper assessment of the</w:t>
      </w:r>
      <w:r w:rsidR="00DC556A" w:rsidRPr="00E00086">
        <w:rPr>
          <w:lang w:val="en-GB"/>
        </w:rPr>
        <w:t xml:space="preserve"> respondent’s skills, or that </w:t>
      </w:r>
      <w:r w:rsidR="00C12650" w:rsidRPr="00E00086">
        <w:rPr>
          <w:lang w:val="en-GB"/>
        </w:rPr>
        <w:t xml:space="preserve">it </w:t>
      </w:r>
      <w:r w:rsidR="00DC556A" w:rsidRPr="00E00086">
        <w:rPr>
          <w:lang w:val="en-GB"/>
        </w:rPr>
        <w:t xml:space="preserve">provided the training promised, or that she was provided with an opportunity to undertake her grade 12 qualification. No evidence of a proper </w:t>
      </w:r>
      <w:r w:rsidR="00E66932" w:rsidRPr="00E00086">
        <w:rPr>
          <w:lang w:val="en-GB"/>
        </w:rPr>
        <w:t>inquiry</w:t>
      </w:r>
      <w:r w:rsidR="00C12650" w:rsidRPr="00E00086">
        <w:rPr>
          <w:lang w:val="en-GB"/>
        </w:rPr>
        <w:t xml:space="preserve"> or </w:t>
      </w:r>
      <w:r w:rsidR="00DC556A" w:rsidRPr="00E00086">
        <w:rPr>
          <w:lang w:val="en-GB"/>
        </w:rPr>
        <w:t>assessmen</w:t>
      </w:r>
      <w:r w:rsidR="00E66932" w:rsidRPr="00E00086">
        <w:rPr>
          <w:lang w:val="en-GB"/>
        </w:rPr>
        <w:t xml:space="preserve">t and engagement with the </w:t>
      </w:r>
      <w:r w:rsidR="00DC556A" w:rsidRPr="00E00086">
        <w:rPr>
          <w:lang w:val="en-GB"/>
        </w:rPr>
        <w:t>respondent</w:t>
      </w:r>
      <w:r w:rsidR="00C12650" w:rsidRPr="00E00086">
        <w:rPr>
          <w:lang w:val="en-GB"/>
        </w:rPr>
        <w:t xml:space="preserve"> on the quality of her work</w:t>
      </w:r>
      <w:r w:rsidR="00DC556A" w:rsidRPr="00E00086">
        <w:rPr>
          <w:lang w:val="en-GB"/>
        </w:rPr>
        <w:t xml:space="preserve"> is present on the papers</w:t>
      </w:r>
      <w:r w:rsidR="00C12650" w:rsidRPr="00E00086">
        <w:rPr>
          <w:lang w:val="en-GB"/>
        </w:rPr>
        <w:t>.</w:t>
      </w:r>
      <w:r w:rsidR="00A86BA5">
        <w:rPr>
          <w:lang w:val="en-GB"/>
        </w:rPr>
        <w:t xml:space="preserve"> </w:t>
      </w:r>
      <w:r w:rsidR="00DC556A" w:rsidRPr="00E00086">
        <w:rPr>
          <w:rStyle w:val="FootnoteReference"/>
          <w:lang w:val="en-GB"/>
        </w:rPr>
        <w:footnoteReference w:id="10"/>
      </w:r>
      <w:r w:rsidR="00C12650" w:rsidRPr="00E00086">
        <w:rPr>
          <w:lang w:val="en-GB"/>
        </w:rPr>
        <w:t xml:space="preserve"> </w:t>
      </w:r>
      <w:r w:rsidR="00B11931" w:rsidRPr="00E00086">
        <w:rPr>
          <w:lang w:val="en-GB"/>
        </w:rPr>
        <w:t>As no record has been filed, the court is unable to properly assess the prospects.</w:t>
      </w:r>
      <w:r w:rsidR="00A86BA5">
        <w:rPr>
          <w:lang w:val="en-GB"/>
        </w:rPr>
        <w:t xml:space="preserve"> </w:t>
      </w:r>
      <w:r w:rsidR="00B11931" w:rsidRPr="00E00086">
        <w:rPr>
          <w:rStyle w:val="FootnoteReference"/>
          <w:lang w:val="en-GB"/>
        </w:rPr>
        <w:footnoteReference w:id="11"/>
      </w:r>
    </w:p>
    <w:p w14:paraId="0DA11340" w14:textId="77777777" w:rsidR="00C12650" w:rsidRPr="00E00086" w:rsidRDefault="00C12650" w:rsidP="006426B1">
      <w:pPr>
        <w:rPr>
          <w:lang w:val="en-GB"/>
        </w:rPr>
      </w:pPr>
    </w:p>
    <w:p w14:paraId="67F178F2" w14:textId="6E621F5C" w:rsidR="006D7F4D" w:rsidRPr="00E00086" w:rsidRDefault="004A7ADF" w:rsidP="004A7ADF">
      <w:pPr>
        <w:pStyle w:val="Heading1"/>
        <w:numPr>
          <w:ilvl w:val="0"/>
          <w:numId w:val="0"/>
        </w:numPr>
        <w:rPr>
          <w:lang w:val="en-GB"/>
        </w:rPr>
      </w:pPr>
      <w:r w:rsidRPr="00E00086">
        <w:rPr>
          <w:lang w:val="en-GB"/>
        </w:rPr>
        <w:t>[68]</w:t>
      </w:r>
      <w:r w:rsidRPr="00E00086">
        <w:rPr>
          <w:lang w:val="en-GB"/>
        </w:rPr>
        <w:tab/>
      </w:r>
      <w:r w:rsidR="00C12650" w:rsidRPr="00E00086">
        <w:rPr>
          <w:lang w:val="en-GB"/>
        </w:rPr>
        <w:t xml:space="preserve">The </w:t>
      </w:r>
      <w:proofErr w:type="spellStart"/>
      <w:r w:rsidR="00C12650" w:rsidRPr="00E00086">
        <w:rPr>
          <w:lang w:val="en-GB"/>
        </w:rPr>
        <w:t>aforegoing</w:t>
      </w:r>
      <w:proofErr w:type="spellEnd"/>
      <w:r w:rsidR="00C12650" w:rsidRPr="00E00086">
        <w:rPr>
          <w:lang w:val="en-GB"/>
        </w:rPr>
        <w:t>, together with my finding above on where the irreparable harm lies leads me to the conclusion that the applicant has not made out a case for the stay of the execution of the arbitrat</w:t>
      </w:r>
      <w:r w:rsidR="006B29BC" w:rsidRPr="00E00086">
        <w:rPr>
          <w:lang w:val="en-GB"/>
        </w:rPr>
        <w:t>ion award in the circumstances.</w:t>
      </w:r>
    </w:p>
    <w:p w14:paraId="226174B2" w14:textId="77777777" w:rsidR="00C12650" w:rsidRPr="00E00086" w:rsidRDefault="00C12650" w:rsidP="006426B1">
      <w:pPr>
        <w:rPr>
          <w:lang w:val="en-GB"/>
        </w:rPr>
      </w:pPr>
    </w:p>
    <w:p w14:paraId="589E96F8" w14:textId="4017DC10" w:rsidR="00DD76CA" w:rsidRPr="00E00086" w:rsidRDefault="004A7ADF" w:rsidP="004A7ADF">
      <w:pPr>
        <w:pStyle w:val="Heading1"/>
        <w:numPr>
          <w:ilvl w:val="0"/>
          <w:numId w:val="0"/>
        </w:numPr>
        <w:rPr>
          <w:lang w:val="en-GB"/>
        </w:rPr>
      </w:pPr>
      <w:r w:rsidRPr="00E00086">
        <w:rPr>
          <w:lang w:val="en-GB"/>
        </w:rPr>
        <w:t>[69]</w:t>
      </w:r>
      <w:r w:rsidRPr="00E00086">
        <w:rPr>
          <w:lang w:val="en-GB"/>
        </w:rPr>
        <w:tab/>
      </w:r>
      <w:r w:rsidR="00DD76CA" w:rsidRPr="00E00086">
        <w:rPr>
          <w:lang w:val="en-GB"/>
        </w:rPr>
        <w:t>O</w:t>
      </w:r>
      <w:r w:rsidR="00EE05D9" w:rsidRPr="00E00086">
        <w:rPr>
          <w:lang w:val="en-GB"/>
        </w:rPr>
        <w:t xml:space="preserve">n the issue of costs, the </w:t>
      </w:r>
      <w:r w:rsidR="00DD76CA" w:rsidRPr="00E00086">
        <w:rPr>
          <w:lang w:val="en-GB"/>
        </w:rPr>
        <w:t xml:space="preserve">respondent seeks a cost order against the applicant from date of delivery of her heads of argument. It is her contention that the </w:t>
      </w:r>
      <w:r w:rsidR="004A4A4E" w:rsidRPr="00E00086">
        <w:rPr>
          <w:lang w:val="en-GB"/>
        </w:rPr>
        <w:t>applicant</w:t>
      </w:r>
      <w:r w:rsidR="00DD76CA" w:rsidRPr="00E00086">
        <w:rPr>
          <w:lang w:val="en-GB"/>
        </w:rPr>
        <w:t>, in the conduct of this application is frivolous and vexatious</w:t>
      </w:r>
      <w:r w:rsidR="004A4A4E" w:rsidRPr="00E00086">
        <w:rPr>
          <w:lang w:val="en-GB"/>
        </w:rPr>
        <w:t>, because the applicant made an offer that was in principle accepted and the offer was later withdrawn</w:t>
      </w:r>
      <w:r w:rsidR="006800BF" w:rsidRPr="00E00086">
        <w:rPr>
          <w:lang w:val="en-GB"/>
        </w:rPr>
        <w:t>, some 12 hours before the hearing of this application</w:t>
      </w:r>
      <w:r w:rsidR="004A4A4E" w:rsidRPr="00E00086">
        <w:rPr>
          <w:lang w:val="en-GB"/>
        </w:rPr>
        <w:t xml:space="preserve">. </w:t>
      </w:r>
      <w:r w:rsidR="00A86BA5">
        <w:rPr>
          <w:lang w:val="en-GB"/>
        </w:rPr>
        <w:t xml:space="preserve"> Although this conduct stands to be depre</w:t>
      </w:r>
      <w:r w:rsidR="00C65C6E">
        <w:rPr>
          <w:lang w:val="en-GB"/>
        </w:rPr>
        <w:t xml:space="preserve">cated, </w:t>
      </w:r>
      <w:r w:rsidR="004A4A4E" w:rsidRPr="00E00086">
        <w:rPr>
          <w:lang w:val="en-GB"/>
        </w:rPr>
        <w:t>I do not consider the applicant as frivolous or vexatious in its conduct in launching this application to warrant a costs order in terms of s</w:t>
      </w:r>
      <w:r w:rsidR="008F54E4" w:rsidRPr="00E00086">
        <w:rPr>
          <w:lang w:val="en-GB"/>
        </w:rPr>
        <w:t xml:space="preserve"> </w:t>
      </w:r>
      <w:r w:rsidR="004A4A4E" w:rsidRPr="00E00086">
        <w:rPr>
          <w:lang w:val="en-GB"/>
        </w:rPr>
        <w:t xml:space="preserve">118 of the Act. </w:t>
      </w:r>
    </w:p>
    <w:p w14:paraId="0B7D6C46" w14:textId="77777777" w:rsidR="004A4A4E" w:rsidRPr="00E00086" w:rsidRDefault="004A4A4E" w:rsidP="006426B1">
      <w:pPr>
        <w:rPr>
          <w:lang w:val="en-GB"/>
        </w:rPr>
      </w:pPr>
    </w:p>
    <w:p w14:paraId="67EB0E77" w14:textId="558A9235" w:rsidR="00B30C78" w:rsidRPr="00E00086" w:rsidRDefault="004A7ADF" w:rsidP="004A7ADF">
      <w:pPr>
        <w:pStyle w:val="Heading1"/>
        <w:numPr>
          <w:ilvl w:val="0"/>
          <w:numId w:val="0"/>
        </w:numPr>
        <w:rPr>
          <w:lang w:val="en-GB"/>
        </w:rPr>
      </w:pPr>
      <w:r w:rsidRPr="00E00086">
        <w:rPr>
          <w:lang w:val="en-GB"/>
        </w:rPr>
        <w:t>[70]</w:t>
      </w:r>
      <w:r w:rsidRPr="00E00086">
        <w:rPr>
          <w:lang w:val="en-GB"/>
        </w:rPr>
        <w:tab/>
      </w:r>
      <w:r w:rsidR="00B30C78" w:rsidRPr="00E00086">
        <w:rPr>
          <w:lang w:val="en-GB"/>
        </w:rPr>
        <w:t>In the circumstances, I make the following order:</w:t>
      </w:r>
    </w:p>
    <w:p w14:paraId="1AD0DEE4" w14:textId="77777777" w:rsidR="00B30C78" w:rsidRPr="00E00086" w:rsidRDefault="00B30C78" w:rsidP="006426B1">
      <w:pPr>
        <w:pStyle w:val="ListParagraph"/>
        <w:spacing w:after="0"/>
        <w:ind w:left="0"/>
        <w:contextualSpacing w:val="0"/>
        <w:rPr>
          <w:lang w:val="en-GB"/>
        </w:rPr>
      </w:pPr>
    </w:p>
    <w:p w14:paraId="2BF8EF08" w14:textId="4630B488" w:rsidR="00A57092" w:rsidRPr="004A7ADF" w:rsidRDefault="004A7ADF" w:rsidP="004A7ADF">
      <w:pPr>
        <w:ind w:left="720"/>
        <w:rPr>
          <w:lang w:val="en-GB"/>
        </w:rPr>
      </w:pPr>
      <w:r w:rsidRPr="00E00086">
        <w:rPr>
          <w:spacing w:val="0"/>
          <w:szCs w:val="22"/>
          <w:lang w:val="en-GB"/>
        </w:rPr>
        <w:t>1.</w:t>
      </w:r>
      <w:r w:rsidRPr="00E00086">
        <w:rPr>
          <w:spacing w:val="0"/>
          <w:szCs w:val="22"/>
          <w:lang w:val="en-GB"/>
        </w:rPr>
        <w:tab/>
      </w:r>
      <w:r w:rsidR="00A57092" w:rsidRPr="004A7ADF">
        <w:rPr>
          <w:lang w:val="en-GB"/>
        </w:rPr>
        <w:t xml:space="preserve">The applicant’s non-compliance with the forms, notices and services provided for in the rules of the Honourable Court is condoned, and the matter is heard as urgent, as contemplated in terms of rule 6(24) of the rules </w:t>
      </w:r>
      <w:proofErr w:type="gramStart"/>
      <w:r w:rsidR="00A57092" w:rsidRPr="004A7ADF">
        <w:rPr>
          <w:lang w:val="en-GB"/>
        </w:rPr>
        <w:t>of  the</w:t>
      </w:r>
      <w:proofErr w:type="gramEnd"/>
      <w:r w:rsidR="00A57092" w:rsidRPr="004A7ADF">
        <w:rPr>
          <w:lang w:val="en-GB"/>
        </w:rPr>
        <w:t xml:space="preserve"> Labour Court Rules.</w:t>
      </w:r>
    </w:p>
    <w:p w14:paraId="2043C9FD" w14:textId="77777777" w:rsidR="00A57092" w:rsidRPr="00E00086" w:rsidRDefault="00A57092" w:rsidP="00C65C6E">
      <w:pPr>
        <w:pStyle w:val="ListParagraph"/>
        <w:spacing w:after="0"/>
        <w:contextualSpacing w:val="0"/>
        <w:rPr>
          <w:lang w:val="en-GB"/>
        </w:rPr>
      </w:pPr>
    </w:p>
    <w:p w14:paraId="63A8C06E" w14:textId="1F4BC97F" w:rsidR="00A57092" w:rsidRPr="004A7ADF" w:rsidRDefault="004A7ADF" w:rsidP="004A7ADF">
      <w:pPr>
        <w:ind w:left="720"/>
        <w:rPr>
          <w:lang w:val="en-GB"/>
        </w:rPr>
      </w:pPr>
      <w:r w:rsidRPr="00E00086">
        <w:rPr>
          <w:spacing w:val="0"/>
          <w:szCs w:val="22"/>
          <w:lang w:val="en-GB"/>
        </w:rPr>
        <w:t>2.</w:t>
      </w:r>
      <w:r w:rsidRPr="00E00086">
        <w:rPr>
          <w:spacing w:val="0"/>
          <w:szCs w:val="22"/>
          <w:lang w:val="en-GB"/>
        </w:rPr>
        <w:tab/>
      </w:r>
      <w:r w:rsidR="00F35E85" w:rsidRPr="004A7ADF">
        <w:rPr>
          <w:lang w:val="en-GB"/>
        </w:rPr>
        <w:t>The first respondent</w:t>
      </w:r>
      <w:r w:rsidR="00A57092" w:rsidRPr="004A7ADF">
        <w:rPr>
          <w:lang w:val="en-GB"/>
        </w:rPr>
        <w:t xml:space="preserve">’s points </w:t>
      </w:r>
      <w:r w:rsidR="00A57092" w:rsidRPr="004A7ADF">
        <w:rPr>
          <w:i/>
          <w:iCs/>
          <w:lang w:val="en-GB"/>
        </w:rPr>
        <w:t>in limine</w:t>
      </w:r>
      <w:r w:rsidR="00A57092" w:rsidRPr="004A7ADF">
        <w:rPr>
          <w:lang w:val="en-GB"/>
        </w:rPr>
        <w:t xml:space="preserve"> are dismissed.</w:t>
      </w:r>
    </w:p>
    <w:p w14:paraId="5BEB2DC7" w14:textId="77777777" w:rsidR="00A57092" w:rsidRPr="00E00086" w:rsidRDefault="00A57092" w:rsidP="00C65C6E">
      <w:pPr>
        <w:pStyle w:val="ListParagraph"/>
        <w:spacing w:after="0"/>
        <w:contextualSpacing w:val="0"/>
        <w:rPr>
          <w:lang w:val="en-GB"/>
        </w:rPr>
      </w:pPr>
    </w:p>
    <w:p w14:paraId="684801C2" w14:textId="7F877AF1" w:rsidR="00A57092" w:rsidRPr="004A7ADF" w:rsidRDefault="004A7ADF" w:rsidP="004A7ADF">
      <w:pPr>
        <w:ind w:left="720"/>
        <w:rPr>
          <w:lang w:val="en-GB"/>
        </w:rPr>
      </w:pPr>
      <w:r w:rsidRPr="00E00086">
        <w:rPr>
          <w:spacing w:val="0"/>
          <w:szCs w:val="22"/>
          <w:lang w:val="en-GB"/>
        </w:rPr>
        <w:t>3.</w:t>
      </w:r>
      <w:r w:rsidRPr="00E00086">
        <w:rPr>
          <w:spacing w:val="0"/>
          <w:szCs w:val="22"/>
          <w:lang w:val="en-GB"/>
        </w:rPr>
        <w:tab/>
      </w:r>
      <w:r w:rsidR="00A57092" w:rsidRPr="004A7ADF">
        <w:rPr>
          <w:lang w:val="en-GB"/>
        </w:rPr>
        <w:t xml:space="preserve">The application for a stay of execution of the arbitration award in favour of the first respondent pending </w:t>
      </w:r>
      <w:r w:rsidR="008F54E4" w:rsidRPr="004A7ADF">
        <w:rPr>
          <w:lang w:val="en-GB"/>
        </w:rPr>
        <w:t>finalis</w:t>
      </w:r>
      <w:r w:rsidR="006800BF" w:rsidRPr="004A7ADF">
        <w:rPr>
          <w:lang w:val="en-GB"/>
        </w:rPr>
        <w:t>ation</w:t>
      </w:r>
      <w:r w:rsidR="00A57092" w:rsidRPr="004A7ADF">
        <w:rPr>
          <w:lang w:val="en-GB"/>
        </w:rPr>
        <w:t xml:space="preserve"> of </w:t>
      </w:r>
      <w:r w:rsidR="006800BF" w:rsidRPr="004A7ADF">
        <w:rPr>
          <w:lang w:val="en-GB"/>
        </w:rPr>
        <w:t>the</w:t>
      </w:r>
      <w:r w:rsidR="00A57092" w:rsidRPr="004A7ADF">
        <w:rPr>
          <w:lang w:val="en-GB"/>
        </w:rPr>
        <w:t xml:space="preserve"> labour appeal </w:t>
      </w:r>
      <w:r w:rsidR="006800BF" w:rsidRPr="004A7ADF">
        <w:rPr>
          <w:lang w:val="en-GB"/>
        </w:rPr>
        <w:t>is dismissed</w:t>
      </w:r>
      <w:r w:rsidR="00A57092" w:rsidRPr="004A7ADF">
        <w:rPr>
          <w:lang w:val="en-GB"/>
        </w:rPr>
        <w:t>.</w:t>
      </w:r>
    </w:p>
    <w:p w14:paraId="2D7860D8" w14:textId="77777777" w:rsidR="00A57092" w:rsidRPr="00E00086" w:rsidRDefault="00A57092" w:rsidP="00C65C6E">
      <w:pPr>
        <w:pStyle w:val="ListParagraph"/>
        <w:spacing w:after="0"/>
        <w:contextualSpacing w:val="0"/>
        <w:rPr>
          <w:lang w:val="en-GB"/>
        </w:rPr>
      </w:pPr>
    </w:p>
    <w:p w14:paraId="7E28117C" w14:textId="54F29B30" w:rsidR="00A57092" w:rsidRPr="004A7ADF" w:rsidRDefault="004A7ADF" w:rsidP="004A7ADF">
      <w:pPr>
        <w:ind w:left="720"/>
        <w:rPr>
          <w:lang w:val="en-GB"/>
        </w:rPr>
      </w:pPr>
      <w:r w:rsidRPr="00E00086">
        <w:rPr>
          <w:spacing w:val="0"/>
          <w:szCs w:val="22"/>
          <w:lang w:val="en-GB"/>
        </w:rPr>
        <w:t>4.</w:t>
      </w:r>
      <w:r w:rsidRPr="00E00086">
        <w:rPr>
          <w:spacing w:val="0"/>
          <w:szCs w:val="22"/>
          <w:lang w:val="en-GB"/>
        </w:rPr>
        <w:tab/>
      </w:r>
      <w:r w:rsidR="00A57092" w:rsidRPr="004A7ADF">
        <w:rPr>
          <w:lang w:val="en-GB"/>
        </w:rPr>
        <w:t>There shall be no order as to costs.</w:t>
      </w:r>
    </w:p>
    <w:p w14:paraId="6233CC23" w14:textId="77777777" w:rsidR="00A57092" w:rsidRPr="00E00086" w:rsidRDefault="00A57092" w:rsidP="00C65C6E">
      <w:pPr>
        <w:pStyle w:val="ListParagraph"/>
        <w:spacing w:after="0"/>
        <w:contextualSpacing w:val="0"/>
        <w:rPr>
          <w:lang w:val="en-GB"/>
        </w:rPr>
      </w:pPr>
    </w:p>
    <w:p w14:paraId="3C35CA45" w14:textId="4733C2AF" w:rsidR="00A57092" w:rsidRPr="004A7ADF" w:rsidRDefault="004A7ADF" w:rsidP="004A7ADF">
      <w:pPr>
        <w:ind w:left="720"/>
        <w:rPr>
          <w:lang w:val="en-GB"/>
        </w:rPr>
      </w:pPr>
      <w:r w:rsidRPr="00E00086">
        <w:rPr>
          <w:spacing w:val="0"/>
          <w:szCs w:val="22"/>
          <w:lang w:val="en-GB"/>
        </w:rPr>
        <w:t>5.</w:t>
      </w:r>
      <w:r w:rsidRPr="00E00086">
        <w:rPr>
          <w:spacing w:val="0"/>
          <w:szCs w:val="22"/>
          <w:lang w:val="en-GB"/>
        </w:rPr>
        <w:tab/>
      </w:r>
      <w:r w:rsidR="00A57092" w:rsidRPr="004A7ADF">
        <w:rPr>
          <w:lang w:val="en-GB"/>
        </w:rPr>
        <w:t xml:space="preserve">The matter is </w:t>
      </w:r>
      <w:r w:rsidR="008F54E4" w:rsidRPr="004A7ADF">
        <w:rPr>
          <w:lang w:val="en-GB"/>
        </w:rPr>
        <w:t>finalis</w:t>
      </w:r>
      <w:r w:rsidR="006800BF" w:rsidRPr="004A7ADF">
        <w:rPr>
          <w:lang w:val="en-GB"/>
        </w:rPr>
        <w:t>ed</w:t>
      </w:r>
      <w:r w:rsidR="00A57092" w:rsidRPr="004A7ADF">
        <w:rPr>
          <w:lang w:val="en-GB"/>
        </w:rPr>
        <w:t xml:space="preserve"> and removed from the roll.</w:t>
      </w:r>
    </w:p>
    <w:p w14:paraId="0ED6551A" w14:textId="2AEC3076" w:rsidR="00B30C78" w:rsidRPr="00E00086" w:rsidRDefault="00B30C78" w:rsidP="006426B1">
      <w:pPr>
        <w:pStyle w:val="ListParagraph"/>
        <w:spacing w:after="0"/>
        <w:ind w:left="0"/>
        <w:contextualSpacing w:val="0"/>
        <w:rPr>
          <w:lang w:val="en-GB"/>
        </w:rPr>
      </w:pPr>
    </w:p>
    <w:p w14:paraId="6EDCE0BD" w14:textId="77777777" w:rsidR="00B30C78" w:rsidRPr="00E00086" w:rsidRDefault="00B30C78" w:rsidP="006426B1">
      <w:pPr>
        <w:pStyle w:val="ListParagraph"/>
        <w:spacing w:after="0"/>
        <w:ind w:left="0"/>
        <w:contextualSpacing w:val="0"/>
        <w:rPr>
          <w:lang w:val="en-GB"/>
        </w:rPr>
      </w:pPr>
    </w:p>
    <w:p w14:paraId="7B24043E" w14:textId="163BB7C1" w:rsidR="00853524" w:rsidRPr="00E00086" w:rsidRDefault="00974BA5" w:rsidP="006426B1">
      <w:pPr>
        <w:pStyle w:val="Heading1"/>
        <w:numPr>
          <w:ilvl w:val="0"/>
          <w:numId w:val="0"/>
        </w:numPr>
        <w:ind w:left="5400" w:hanging="360"/>
        <w:rPr>
          <w:lang w:val="en-GB"/>
        </w:rPr>
      </w:pPr>
      <w:r w:rsidRPr="00E00086">
        <w:rPr>
          <w:lang w:val="en-GB"/>
        </w:rPr>
        <w:t xml:space="preserve">          </w:t>
      </w:r>
      <w:r w:rsidR="00853524" w:rsidRPr="00E00086">
        <w:rPr>
          <w:lang w:val="en-GB"/>
        </w:rPr>
        <w:t>____________________</w:t>
      </w:r>
    </w:p>
    <w:p w14:paraId="2FC3ACD2" w14:textId="138029EB" w:rsidR="00853524" w:rsidRPr="00E00086" w:rsidRDefault="00853524" w:rsidP="006426B1">
      <w:pPr>
        <w:ind w:left="3600" w:firstLine="720"/>
        <w:jc w:val="right"/>
        <w:rPr>
          <w:lang w:val="en-GB"/>
        </w:rPr>
      </w:pPr>
      <w:r w:rsidRPr="00E00086">
        <w:rPr>
          <w:lang w:val="en-GB"/>
        </w:rPr>
        <w:t>E</w:t>
      </w:r>
      <w:r w:rsidR="009A4927" w:rsidRPr="00E00086">
        <w:rPr>
          <w:lang w:val="en-GB"/>
        </w:rPr>
        <w:t xml:space="preserve"> </w:t>
      </w:r>
      <w:r w:rsidRPr="00E00086">
        <w:rPr>
          <w:lang w:val="en-GB"/>
        </w:rPr>
        <w:t>M SCHIMMING-CHASE</w:t>
      </w:r>
    </w:p>
    <w:p w14:paraId="46B13592" w14:textId="63A6223C" w:rsidR="00147336" w:rsidRPr="00E00086" w:rsidRDefault="00053826" w:rsidP="006426B1">
      <w:pPr>
        <w:jc w:val="right"/>
        <w:rPr>
          <w:lang w:val="en-GB"/>
        </w:rPr>
      </w:pPr>
      <w:r w:rsidRPr="00E00086">
        <w:rPr>
          <w:lang w:val="en-GB"/>
        </w:rPr>
        <w:t xml:space="preserve">                                                                    </w:t>
      </w:r>
      <w:r w:rsidR="00853524" w:rsidRPr="00E00086">
        <w:rPr>
          <w:lang w:val="en-GB"/>
        </w:rPr>
        <w:t>Judg</w:t>
      </w:r>
      <w:r w:rsidR="0012505E" w:rsidRPr="00E00086">
        <w:rPr>
          <w:lang w:val="en-GB"/>
        </w:rPr>
        <w:t>e</w:t>
      </w:r>
      <w:r w:rsidR="00147336" w:rsidRPr="00E00086">
        <w:rPr>
          <w:lang w:val="en-GB"/>
        </w:rPr>
        <w:br w:type="page"/>
      </w:r>
    </w:p>
    <w:p w14:paraId="1C4F74C7" w14:textId="24680C6B" w:rsidR="00853524" w:rsidRPr="00E00086" w:rsidRDefault="00853524" w:rsidP="006426B1">
      <w:pPr>
        <w:widowControl/>
        <w:jc w:val="left"/>
        <w:rPr>
          <w:lang w:val="en-GB"/>
        </w:rPr>
      </w:pPr>
      <w:r w:rsidRPr="00E00086">
        <w:rPr>
          <w:lang w:val="en-GB"/>
        </w:rPr>
        <w:lastRenderedPageBreak/>
        <w:t>APPEARANCES</w:t>
      </w:r>
    </w:p>
    <w:p w14:paraId="2F3FACC4" w14:textId="77777777" w:rsidR="00853524" w:rsidRPr="00E00086" w:rsidRDefault="00853524" w:rsidP="006426B1">
      <w:pPr>
        <w:pStyle w:val="BodyText"/>
        <w:autoSpaceDE w:val="0"/>
        <w:autoSpaceDN w:val="0"/>
        <w:adjustRightInd w:val="0"/>
        <w:spacing w:line="360" w:lineRule="auto"/>
        <w:jc w:val="both"/>
        <w:rPr>
          <w:rFonts w:ascii="Arial" w:hAnsi="Arial" w:cs="Arial"/>
          <w:lang w:val="en-GB"/>
        </w:rPr>
      </w:pPr>
    </w:p>
    <w:p w14:paraId="38D3B711" w14:textId="57C00E06" w:rsidR="00853524" w:rsidRPr="00E00086" w:rsidRDefault="00C361EF" w:rsidP="006426B1">
      <w:pPr>
        <w:rPr>
          <w:lang w:val="en-GB"/>
        </w:rPr>
      </w:pPr>
      <w:r w:rsidRPr="00E00086">
        <w:rPr>
          <w:lang w:val="en-GB"/>
        </w:rPr>
        <w:t>APPLICANT</w:t>
      </w:r>
      <w:r w:rsidR="000E59B9" w:rsidRPr="00E00086">
        <w:rPr>
          <w:lang w:val="en-GB"/>
        </w:rPr>
        <w:t>:</w:t>
      </w:r>
      <w:r w:rsidR="000E59B9" w:rsidRPr="00E00086">
        <w:rPr>
          <w:lang w:val="en-GB"/>
        </w:rPr>
        <w:tab/>
      </w:r>
      <w:r w:rsidR="000E59B9" w:rsidRPr="00E00086">
        <w:rPr>
          <w:lang w:val="en-GB"/>
        </w:rPr>
        <w:tab/>
      </w:r>
      <w:r w:rsidR="000E59B9" w:rsidRPr="00E00086">
        <w:rPr>
          <w:lang w:val="en-GB"/>
        </w:rPr>
        <w:tab/>
      </w:r>
      <w:r w:rsidR="000E59B9" w:rsidRPr="00E00086">
        <w:rPr>
          <w:lang w:val="en-GB"/>
        </w:rPr>
        <w:tab/>
      </w:r>
      <w:r w:rsidR="00974BA5" w:rsidRPr="00E00086">
        <w:rPr>
          <w:lang w:val="en-GB"/>
        </w:rPr>
        <w:t>D Quickfall</w:t>
      </w:r>
    </w:p>
    <w:p w14:paraId="2C58FC8F" w14:textId="634098BA" w:rsidR="00853524" w:rsidRPr="00E00086" w:rsidRDefault="0065142F" w:rsidP="006426B1">
      <w:pPr>
        <w:ind w:left="2880" w:firstLine="720"/>
        <w:jc w:val="left"/>
        <w:rPr>
          <w:lang w:val="en-GB"/>
        </w:rPr>
      </w:pPr>
      <w:r w:rsidRPr="00E00086">
        <w:rPr>
          <w:lang w:val="en-GB"/>
        </w:rPr>
        <w:t>Instructed</w:t>
      </w:r>
      <w:r w:rsidR="002158DA" w:rsidRPr="00E00086">
        <w:rPr>
          <w:lang w:val="en-GB"/>
        </w:rPr>
        <w:t xml:space="preserve"> by</w:t>
      </w:r>
      <w:r w:rsidR="008F54E4" w:rsidRPr="00E00086">
        <w:rPr>
          <w:lang w:val="en-GB"/>
        </w:rPr>
        <w:t xml:space="preserve"> K</w:t>
      </w:r>
      <w:r w:rsidR="00C65C6E">
        <w:rPr>
          <w:lang w:val="en-GB"/>
        </w:rPr>
        <w:t>ö</w:t>
      </w:r>
      <w:r w:rsidR="00C361EF" w:rsidRPr="00E00086">
        <w:rPr>
          <w:lang w:val="en-GB"/>
        </w:rPr>
        <w:t>pplinger Boltman</w:t>
      </w:r>
      <w:r w:rsidR="000E59B9" w:rsidRPr="00E00086">
        <w:rPr>
          <w:lang w:val="en-GB"/>
        </w:rPr>
        <w:t>, Windhoek</w:t>
      </w:r>
    </w:p>
    <w:p w14:paraId="3CAA1AD7" w14:textId="77777777" w:rsidR="00053826" w:rsidRPr="00E00086" w:rsidRDefault="00053826" w:rsidP="006426B1">
      <w:pPr>
        <w:ind w:left="3600"/>
        <w:jc w:val="left"/>
        <w:rPr>
          <w:lang w:val="en-GB"/>
        </w:rPr>
      </w:pPr>
    </w:p>
    <w:p w14:paraId="555C4456" w14:textId="6589A87D" w:rsidR="00EC1726" w:rsidRPr="00E00086" w:rsidRDefault="00974BA5" w:rsidP="006426B1">
      <w:pPr>
        <w:autoSpaceDE w:val="0"/>
        <w:autoSpaceDN w:val="0"/>
        <w:adjustRightInd w:val="0"/>
        <w:rPr>
          <w:lang w:val="en-GB"/>
        </w:rPr>
      </w:pPr>
      <w:r w:rsidRPr="00E00086">
        <w:rPr>
          <w:lang w:val="en-GB"/>
        </w:rPr>
        <w:t>FIRST RESPON</w:t>
      </w:r>
      <w:r w:rsidR="001A0691" w:rsidRPr="00E00086">
        <w:rPr>
          <w:lang w:val="en-GB"/>
        </w:rPr>
        <w:t>D</w:t>
      </w:r>
      <w:r w:rsidRPr="00E00086">
        <w:rPr>
          <w:lang w:val="en-GB"/>
        </w:rPr>
        <w:t xml:space="preserve">ENT:          </w:t>
      </w:r>
      <w:r w:rsidR="00500299" w:rsidRPr="00E00086">
        <w:rPr>
          <w:lang w:val="en-GB"/>
        </w:rPr>
        <w:tab/>
      </w:r>
      <w:r w:rsidRPr="00E00086">
        <w:rPr>
          <w:lang w:val="en-GB"/>
        </w:rPr>
        <w:t xml:space="preserve">T Muhongo, with him </w:t>
      </w:r>
      <w:r w:rsidR="00C361EF" w:rsidRPr="00E00086">
        <w:rPr>
          <w:lang w:val="en-GB"/>
        </w:rPr>
        <w:t>A Shimakeleni</w:t>
      </w:r>
    </w:p>
    <w:p w14:paraId="29A577FC" w14:textId="4C4E89DC" w:rsidR="00C361EF" w:rsidRPr="00E00086" w:rsidRDefault="00053826" w:rsidP="006426B1">
      <w:pPr>
        <w:autoSpaceDE w:val="0"/>
        <w:autoSpaceDN w:val="0"/>
        <w:adjustRightInd w:val="0"/>
        <w:ind w:left="3600" w:hanging="3600"/>
        <w:rPr>
          <w:lang w:val="en-GB"/>
        </w:rPr>
      </w:pPr>
      <w:r w:rsidRPr="00E00086">
        <w:rPr>
          <w:lang w:val="en-GB"/>
        </w:rPr>
        <w:tab/>
      </w:r>
      <w:r w:rsidR="0065142F" w:rsidRPr="00E00086">
        <w:rPr>
          <w:lang w:val="en-GB"/>
        </w:rPr>
        <w:t>I</w:t>
      </w:r>
      <w:r w:rsidR="00974BA5" w:rsidRPr="00E00086">
        <w:rPr>
          <w:lang w:val="en-GB"/>
        </w:rPr>
        <w:t xml:space="preserve">nstructed by </w:t>
      </w:r>
      <w:r w:rsidR="00A30A7D" w:rsidRPr="00E00086">
        <w:rPr>
          <w:lang w:val="en-GB"/>
        </w:rPr>
        <w:t>Appolos Shimake</w:t>
      </w:r>
      <w:r w:rsidR="00C361EF" w:rsidRPr="00E00086">
        <w:rPr>
          <w:lang w:val="en-GB"/>
        </w:rPr>
        <w:t>leni Lawyers</w:t>
      </w:r>
    </w:p>
    <w:p w14:paraId="0AEC7E2F" w14:textId="1F4DFC4B" w:rsidR="0012505E" w:rsidRPr="00E00086" w:rsidRDefault="00A52125" w:rsidP="006426B1">
      <w:pPr>
        <w:autoSpaceDE w:val="0"/>
        <w:autoSpaceDN w:val="0"/>
        <w:adjustRightInd w:val="0"/>
        <w:ind w:left="2880" w:firstLine="720"/>
        <w:rPr>
          <w:lang w:val="en-GB"/>
        </w:rPr>
      </w:pPr>
      <w:r w:rsidRPr="00E00086">
        <w:rPr>
          <w:lang w:val="en-GB"/>
        </w:rPr>
        <w:t>Windhoek</w:t>
      </w:r>
    </w:p>
    <w:p w14:paraId="64D1943B" w14:textId="73999EAC" w:rsidR="00EC1726" w:rsidRPr="00E00086" w:rsidRDefault="00EC1726" w:rsidP="006426B1">
      <w:pPr>
        <w:tabs>
          <w:tab w:val="left" w:pos="1394"/>
          <w:tab w:val="left" w:pos="2528"/>
          <w:tab w:val="left" w:pos="3780"/>
        </w:tabs>
        <w:rPr>
          <w:lang w:val="en-GB"/>
        </w:rPr>
      </w:pPr>
    </w:p>
    <w:p w14:paraId="67691AA0" w14:textId="462F6CED" w:rsidR="00450437" w:rsidRPr="00E00086" w:rsidRDefault="00450437" w:rsidP="006426B1">
      <w:pPr>
        <w:tabs>
          <w:tab w:val="left" w:pos="1394"/>
          <w:tab w:val="left" w:pos="2528"/>
          <w:tab w:val="left" w:pos="3780"/>
        </w:tabs>
        <w:rPr>
          <w:lang w:val="en-GB"/>
        </w:rPr>
      </w:pPr>
    </w:p>
    <w:p w14:paraId="2472A328" w14:textId="77777777" w:rsidR="00450437" w:rsidRPr="00E00086" w:rsidRDefault="00450437" w:rsidP="006426B1">
      <w:pPr>
        <w:tabs>
          <w:tab w:val="left" w:pos="1394"/>
          <w:tab w:val="left" w:pos="2528"/>
          <w:tab w:val="left" w:pos="3780"/>
        </w:tabs>
        <w:rPr>
          <w:lang w:val="en-GB"/>
        </w:rPr>
      </w:pPr>
    </w:p>
    <w:sectPr w:rsidR="00450437" w:rsidRPr="00E00086" w:rsidSect="00866EC4">
      <w:headerReference w:type="even" r:id="rId12"/>
      <w:headerReference w:type="default" r:id="rId13"/>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9FA6" w14:textId="77777777" w:rsidR="00332E6C" w:rsidRDefault="00332E6C" w:rsidP="00867D73">
      <w:pPr>
        <w:spacing w:line="240" w:lineRule="auto"/>
      </w:pPr>
      <w:r>
        <w:separator/>
      </w:r>
    </w:p>
  </w:endnote>
  <w:endnote w:type="continuationSeparator" w:id="0">
    <w:p w14:paraId="04662FB4" w14:textId="77777777" w:rsidR="00332E6C" w:rsidRDefault="00332E6C" w:rsidP="00867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DE49F" w14:textId="77777777" w:rsidR="00332E6C" w:rsidRDefault="00332E6C" w:rsidP="00867D73">
      <w:pPr>
        <w:spacing w:line="240" w:lineRule="auto"/>
      </w:pPr>
      <w:r>
        <w:separator/>
      </w:r>
    </w:p>
  </w:footnote>
  <w:footnote w:type="continuationSeparator" w:id="0">
    <w:p w14:paraId="0417A261" w14:textId="77777777" w:rsidR="00332E6C" w:rsidRDefault="00332E6C" w:rsidP="00867D73">
      <w:pPr>
        <w:spacing w:line="240" w:lineRule="auto"/>
      </w:pPr>
      <w:r>
        <w:continuationSeparator/>
      </w:r>
    </w:p>
  </w:footnote>
  <w:footnote w:id="1">
    <w:p w14:paraId="3776C211" w14:textId="79DBE81F" w:rsidR="000A16B8" w:rsidRPr="000A16B8" w:rsidRDefault="000A16B8">
      <w:pPr>
        <w:pStyle w:val="FootnoteText"/>
        <w:rPr>
          <w:lang w:val="en-US"/>
        </w:rPr>
      </w:pPr>
      <w:r>
        <w:rPr>
          <w:rStyle w:val="FootnoteReference"/>
        </w:rPr>
        <w:footnoteRef/>
      </w:r>
      <w:r>
        <w:t xml:space="preserve"> </w:t>
      </w:r>
      <w:r>
        <w:rPr>
          <w:lang w:val="en-US"/>
        </w:rPr>
        <w:t xml:space="preserve">Underlining supplied by the applicant.  </w:t>
      </w:r>
    </w:p>
  </w:footnote>
  <w:footnote w:id="2">
    <w:p w14:paraId="221EAF11" w14:textId="182342E4" w:rsidR="00005CBD" w:rsidRPr="00A86098" w:rsidRDefault="00005CBD" w:rsidP="007C71F9">
      <w:pPr>
        <w:pStyle w:val="FootnoteText"/>
        <w:rPr>
          <w:lang w:val="en-US"/>
        </w:rPr>
      </w:pPr>
      <w:r>
        <w:rPr>
          <w:rStyle w:val="FootnoteReference"/>
        </w:rPr>
        <w:footnoteRef/>
      </w:r>
      <w:r w:rsidR="006C383B">
        <w:rPr>
          <w:i/>
        </w:rPr>
        <w:t xml:space="preserve"> </w:t>
      </w:r>
      <w:r w:rsidRPr="00A86098">
        <w:rPr>
          <w:i/>
        </w:rPr>
        <w:t>Bateleur Helicopters CC v Heimstadt JNR</w:t>
      </w:r>
      <w:r w:rsidRPr="00A86098">
        <w:t xml:space="preserve"> (HC-MD-LAB-MOT-GEN-2022/00092) [2022] NALCMD 36 (16 June 2022).</w:t>
      </w:r>
    </w:p>
  </w:footnote>
  <w:footnote w:id="3">
    <w:p w14:paraId="66B7D5D5" w14:textId="7A1C10C1" w:rsidR="00005CBD" w:rsidRPr="00461AAF" w:rsidRDefault="00005CBD" w:rsidP="00026B61">
      <w:pPr>
        <w:pStyle w:val="FootnoteText"/>
        <w:rPr>
          <w:lang w:val="en-US"/>
        </w:rPr>
      </w:pPr>
      <w:r>
        <w:rPr>
          <w:rStyle w:val="FootnoteReference"/>
        </w:rPr>
        <w:footnoteRef/>
      </w:r>
      <w:r>
        <w:t xml:space="preserve"> </w:t>
      </w:r>
      <w:r w:rsidRPr="00461AAF">
        <w:rPr>
          <w:i/>
        </w:rPr>
        <w:t>Shaanika and Others v The Windhoek City Police and Others</w:t>
      </w:r>
      <w:r w:rsidR="008F54E4">
        <w:t xml:space="preserve"> 2013 (4) NR 1106 (SC).</w:t>
      </w:r>
    </w:p>
  </w:footnote>
  <w:footnote w:id="4">
    <w:p w14:paraId="35932804" w14:textId="0F890F79" w:rsidR="00005CBD" w:rsidRPr="00367581" w:rsidRDefault="00005CBD" w:rsidP="00026B61">
      <w:pPr>
        <w:pStyle w:val="FootnoteText"/>
      </w:pPr>
      <w:r>
        <w:rPr>
          <w:rStyle w:val="FootnoteReference"/>
        </w:rPr>
        <w:footnoteRef/>
      </w:r>
      <w:r w:rsidR="006C383B">
        <w:t xml:space="preserve"> </w:t>
      </w:r>
      <w:r>
        <w:t xml:space="preserve">See the discussion in the South African cases </w:t>
      </w:r>
      <w:r w:rsidRPr="008413E8">
        <w:rPr>
          <w:i/>
        </w:rPr>
        <w:t>Tullen Industries Ltd v A de Sousa Costa (Pty) Ltd</w:t>
      </w:r>
      <w:r>
        <w:t xml:space="preserve"> 1976 (4) SA 218 (C) at 220 – 221 and </w:t>
      </w:r>
      <w:r w:rsidRPr="008413E8">
        <w:rPr>
          <w:i/>
        </w:rPr>
        <w:t>Mgoqi v City of Cape Town &amp;Another</w:t>
      </w:r>
      <w:r>
        <w:t xml:space="preserve"> 2006 (4) SA 355 (C) at para 140, where the Court held that an applicant will be denied relief where there has been “fraud, dishonesty or mala fides” (At para 140).</w:t>
      </w:r>
    </w:p>
  </w:footnote>
  <w:footnote w:id="5">
    <w:p w14:paraId="697300E9" w14:textId="0685BC93" w:rsidR="00005CBD" w:rsidRPr="00BD3350" w:rsidRDefault="00005CBD" w:rsidP="00026B61">
      <w:pPr>
        <w:pStyle w:val="FootnoteText"/>
        <w:rPr>
          <w:lang w:val="en-US"/>
        </w:rPr>
      </w:pPr>
      <w:r>
        <w:rPr>
          <w:rStyle w:val="FootnoteReference"/>
        </w:rPr>
        <w:footnoteRef/>
      </w:r>
      <w:r>
        <w:t xml:space="preserve"> </w:t>
      </w:r>
      <w:r w:rsidR="006C383B" w:rsidRPr="006C383B">
        <w:t>2011 (1) NR 31 (SC).</w:t>
      </w:r>
    </w:p>
  </w:footnote>
  <w:footnote w:id="6">
    <w:p w14:paraId="7BF6D437" w14:textId="77777777" w:rsidR="00005CBD" w:rsidRPr="00367581" w:rsidRDefault="00005CBD" w:rsidP="00026B61">
      <w:pPr>
        <w:pStyle w:val="FootnoteText"/>
      </w:pPr>
      <w:r>
        <w:rPr>
          <w:rStyle w:val="FootnoteReference"/>
        </w:rPr>
        <w:footnoteRef/>
      </w:r>
      <w:r>
        <w:t xml:space="preserve"> Id. at para 46. See also </w:t>
      </w:r>
      <w:r w:rsidRPr="008413E8">
        <w:rPr>
          <w:i/>
        </w:rPr>
        <w:t>Mgoqi</w:t>
      </w:r>
      <w:r>
        <w:t xml:space="preserve">, cited above, para 140 and </w:t>
      </w:r>
      <w:r w:rsidRPr="00367581">
        <w:rPr>
          <w:i/>
        </w:rPr>
        <w:t>Cambridge Plan AG and Another v Moore &amp; Others</w:t>
      </w:r>
      <w:r>
        <w:t xml:space="preserve"> 1987 (4) SA 821 (D) at 842F–H.</w:t>
      </w:r>
    </w:p>
  </w:footnote>
  <w:footnote w:id="7">
    <w:p w14:paraId="47383F8F" w14:textId="77777777" w:rsidR="00005CBD" w:rsidRPr="00367581" w:rsidRDefault="00005CBD" w:rsidP="00026B61">
      <w:pPr>
        <w:pStyle w:val="FootnoteText"/>
      </w:pPr>
      <w:r>
        <w:rPr>
          <w:rStyle w:val="FootnoteReference"/>
        </w:rPr>
        <w:footnoteRef/>
      </w:r>
      <w:r>
        <w:t xml:space="preserve"> 3 South African courts have on several occasions made plain that bad faith or mala fides in the conduct of litigation will also bring the doctrine of unclean hands into play: see </w:t>
      </w:r>
      <w:r w:rsidRPr="008413E8">
        <w:rPr>
          <w:i/>
        </w:rPr>
        <w:t>Mgoqi</w:t>
      </w:r>
      <w:r>
        <w:t xml:space="preserve">, cited above n 10, at para 140; </w:t>
      </w:r>
      <w:r w:rsidRPr="008413E8">
        <w:rPr>
          <w:i/>
        </w:rPr>
        <w:t>Socratous v Grindstone Investments</w:t>
      </w:r>
      <w:r>
        <w:t xml:space="preserve"> 2011 (60 325 (SCA) at para 16, (where a litigant had failed to inform a court of other litigation on related subject matter);</w:t>
      </w:r>
    </w:p>
  </w:footnote>
  <w:footnote w:id="8">
    <w:p w14:paraId="4035AE5D" w14:textId="169B223C" w:rsidR="00005CBD" w:rsidRPr="0025580C" w:rsidRDefault="00005CBD" w:rsidP="00006BFF">
      <w:pPr>
        <w:pStyle w:val="FootnoteText"/>
      </w:pPr>
      <w:r>
        <w:rPr>
          <w:rStyle w:val="FootnoteReference"/>
        </w:rPr>
        <w:footnoteRef/>
      </w:r>
      <w:r>
        <w:t xml:space="preserve"> </w:t>
      </w:r>
      <w:r w:rsidRPr="006D6866">
        <w:rPr>
          <w:i/>
        </w:rPr>
        <w:t>South Cape Corporation (Pty) Ltd v Engineering Management Services (Pty) Ltd</w:t>
      </w:r>
      <w:r>
        <w:t xml:space="preserve"> 1977 (3) SA 534 (A) at 545D-G;</w:t>
      </w:r>
      <w:r w:rsidRPr="00006BFF">
        <w:rPr>
          <w:i/>
        </w:rPr>
        <w:t xml:space="preserve"> </w:t>
      </w:r>
      <w:r w:rsidRPr="0025580C">
        <w:rPr>
          <w:i/>
        </w:rPr>
        <w:t>Hardap Regional Council v Sankwasa and Another</w:t>
      </w:r>
      <w:r w:rsidRPr="0025580C">
        <w:t xml:space="preserve"> (LC 15/2009) [2009] NALC 4 (28 May 2009) para 9.</w:t>
      </w:r>
    </w:p>
    <w:p w14:paraId="6B774E31" w14:textId="666F0C83" w:rsidR="00005CBD" w:rsidRPr="00006BFF" w:rsidRDefault="00005CBD">
      <w:pPr>
        <w:pStyle w:val="FootnoteText"/>
        <w:rPr>
          <w:lang w:val="en-GB"/>
        </w:rPr>
      </w:pPr>
    </w:p>
  </w:footnote>
  <w:footnote w:id="9">
    <w:p w14:paraId="22124E7D" w14:textId="77777777" w:rsidR="00A63A72" w:rsidRPr="0025580C" w:rsidRDefault="00A63A72" w:rsidP="00A63A72">
      <w:pPr>
        <w:pStyle w:val="FootnoteText"/>
      </w:pPr>
      <w:r w:rsidRPr="0025580C">
        <w:rPr>
          <w:rStyle w:val="FootnoteReference"/>
        </w:rPr>
        <w:footnoteRef/>
      </w:r>
      <w:r w:rsidRPr="0025580C">
        <w:t xml:space="preserve"> </w:t>
      </w:r>
      <w:bookmarkStart w:id="3" w:name="_Hlk131084950"/>
      <w:r w:rsidRPr="0025580C">
        <w:rPr>
          <w:i/>
        </w:rPr>
        <w:t>Hardap Regional Council v Sankwasa and Another</w:t>
      </w:r>
      <w:r w:rsidRPr="0025580C">
        <w:t xml:space="preserve"> (LC 15/2009) [2009] NALC 4 (28 May 2009) para 9.</w:t>
      </w:r>
      <w:bookmarkEnd w:id="3"/>
    </w:p>
  </w:footnote>
  <w:footnote w:id="10">
    <w:p w14:paraId="5AD376FB" w14:textId="14F669CC" w:rsidR="00005CBD" w:rsidRPr="00C12650" w:rsidRDefault="00005CBD">
      <w:pPr>
        <w:pStyle w:val="FootnoteText"/>
        <w:rPr>
          <w:lang w:val="en-GB"/>
        </w:rPr>
      </w:pPr>
      <w:r>
        <w:rPr>
          <w:rStyle w:val="FootnoteReference"/>
        </w:rPr>
        <w:footnoteRef/>
      </w:r>
      <w:r>
        <w:t xml:space="preserve"> </w:t>
      </w:r>
      <w:r w:rsidRPr="00DC556A">
        <w:rPr>
          <w:i/>
          <w:iCs/>
        </w:rPr>
        <w:t>Tow-In Specialist Cc v Urinavi</w:t>
      </w:r>
      <w:r w:rsidRPr="00DC556A">
        <w:t xml:space="preserve"> 2016 (3) NR 829 (LC)</w:t>
      </w:r>
      <w:r>
        <w:t xml:space="preserve"> at 841; </w:t>
      </w:r>
      <w:r w:rsidRPr="00C12650">
        <w:rPr>
          <w:i/>
          <w:iCs/>
        </w:rPr>
        <w:t>LLD Diamonds Namibia (Pty) Ltd v Thobias</w:t>
      </w:r>
      <w:r w:rsidRPr="00C12650">
        <w:t xml:space="preserve"> 2009 (1) NR 346 (LC)</w:t>
      </w:r>
    </w:p>
  </w:footnote>
  <w:footnote w:id="11">
    <w:p w14:paraId="72F1EC10" w14:textId="533AF3DE" w:rsidR="00005CBD" w:rsidRPr="00B11931" w:rsidRDefault="00005CBD">
      <w:pPr>
        <w:pStyle w:val="FootnoteText"/>
        <w:rPr>
          <w:lang w:val="en-GB"/>
        </w:rPr>
      </w:pPr>
      <w:r>
        <w:rPr>
          <w:rStyle w:val="FootnoteReference"/>
        </w:rPr>
        <w:footnoteRef/>
      </w:r>
      <w:r>
        <w:t xml:space="preserve"> </w:t>
      </w:r>
      <w:r w:rsidR="006800BF" w:rsidRPr="006800BF">
        <w:rPr>
          <w:i/>
        </w:rPr>
        <w:t>Cymot (Pty) Ltd v Cloete and Another</w:t>
      </w:r>
      <w:r w:rsidR="006800BF">
        <w:t xml:space="preserve"> </w:t>
      </w:r>
      <w:r w:rsidR="006800BF" w:rsidRPr="006800BF">
        <w:t>2007 (1) NR 320 (LC)</w:t>
      </w:r>
      <w:r w:rsidR="006800B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99FC7" w14:textId="77777777" w:rsidR="00005CBD" w:rsidRDefault="00005C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F36492" w14:textId="77777777" w:rsidR="00005CBD" w:rsidRDefault="00005C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95FD" w14:textId="77777777" w:rsidR="00005CBD" w:rsidRDefault="00005CBD">
    <w:pPr>
      <w:ind w:right="360"/>
      <w:jc w:val="right"/>
    </w:pPr>
    <w:r>
      <w:rPr>
        <w:rStyle w:val="PageNumber"/>
      </w:rPr>
      <w:fldChar w:fldCharType="begin"/>
    </w:r>
    <w:r>
      <w:rPr>
        <w:rStyle w:val="PageNumber"/>
      </w:rPr>
      <w:instrText xml:space="preserve"> PAGE </w:instrText>
    </w:r>
    <w:r>
      <w:rPr>
        <w:rStyle w:val="PageNumber"/>
      </w:rPr>
      <w:fldChar w:fldCharType="separate"/>
    </w:r>
    <w:r w:rsidR="00F02BA1">
      <w:rPr>
        <w:rStyle w:val="PageNumber"/>
        <w:noProof/>
      </w:rPr>
      <w:t>21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A60DD1A"/>
    <w:lvl w:ilvl="0">
      <w:start w:val="1"/>
      <w:numFmt w:val="decimal"/>
      <w:pStyle w:val="Heading1"/>
      <w:lvlText w:val="[%1]"/>
      <w:lvlJc w:val="left"/>
      <w:pPr>
        <w:ind w:left="360" w:hanging="360"/>
      </w:pPr>
      <w:rPr>
        <w:rFonts w:hint="default"/>
      </w:rPr>
    </w:lvl>
    <w:lvl w:ilvl="1">
      <w:start w:val="1"/>
      <w:numFmt w:val="decimal"/>
      <w:lvlText w:val="%1.%2."/>
      <w:lvlJc w:val="left"/>
      <w:pPr>
        <w:tabs>
          <w:tab w:val="num" w:pos="-851"/>
        </w:tabs>
        <w:ind w:left="606" w:hanging="720"/>
      </w:pPr>
    </w:lvl>
    <w:lvl w:ilvl="2">
      <w:start w:val="1"/>
      <w:numFmt w:val="decimal"/>
      <w:lvlText w:val="%1.%2.%3."/>
      <w:lvlJc w:val="left"/>
      <w:pPr>
        <w:tabs>
          <w:tab w:val="num" w:pos="720"/>
        </w:tabs>
        <w:ind w:left="0" w:firstLine="0"/>
      </w:pPr>
    </w:lvl>
    <w:lvl w:ilvl="3">
      <w:start w:val="1"/>
      <w:numFmt w:val="decimal"/>
      <w:pStyle w:val="Heading4"/>
      <w:lvlText w:val="%1.%2.%3.%4."/>
      <w:lvlJc w:val="left"/>
      <w:pPr>
        <w:tabs>
          <w:tab w:val="num" w:pos="-851"/>
        </w:tabs>
        <w:ind w:left="2046" w:hanging="720"/>
      </w:pPr>
    </w:lvl>
    <w:lvl w:ilvl="4">
      <w:start w:val="1"/>
      <w:numFmt w:val="decimal"/>
      <w:pStyle w:val="Heading5"/>
      <w:lvlText w:val="%1.%2.%3.%4.%5."/>
      <w:lvlJc w:val="left"/>
      <w:pPr>
        <w:tabs>
          <w:tab w:val="num" w:pos="-851"/>
        </w:tabs>
        <w:ind w:left="2766" w:hanging="720"/>
      </w:pPr>
    </w:lvl>
    <w:lvl w:ilvl="5">
      <w:start w:val="1"/>
      <w:numFmt w:val="decimal"/>
      <w:pStyle w:val="Heading6"/>
      <w:lvlText w:val="%1.%2.%3.%4.%5.%6."/>
      <w:lvlJc w:val="left"/>
      <w:pPr>
        <w:tabs>
          <w:tab w:val="num" w:pos="-851"/>
        </w:tabs>
        <w:ind w:left="3486" w:hanging="720"/>
      </w:pPr>
    </w:lvl>
    <w:lvl w:ilvl="6">
      <w:start w:val="1"/>
      <w:numFmt w:val="decimal"/>
      <w:pStyle w:val="Heading7"/>
      <w:lvlText w:val="%1.%2.%3.%4.%5.%6.%7."/>
      <w:lvlJc w:val="left"/>
      <w:pPr>
        <w:tabs>
          <w:tab w:val="num" w:pos="-851"/>
        </w:tabs>
        <w:ind w:left="4206" w:hanging="720"/>
      </w:pPr>
    </w:lvl>
    <w:lvl w:ilvl="7">
      <w:start w:val="1"/>
      <w:numFmt w:val="decimal"/>
      <w:pStyle w:val="Heading8"/>
      <w:lvlText w:val="%1.%2.%3.%4.%5.%6.%7.%8."/>
      <w:lvlJc w:val="left"/>
      <w:pPr>
        <w:tabs>
          <w:tab w:val="num" w:pos="-851"/>
        </w:tabs>
        <w:ind w:left="4926" w:hanging="720"/>
      </w:pPr>
    </w:lvl>
    <w:lvl w:ilvl="8">
      <w:start w:val="1"/>
      <w:numFmt w:val="decimal"/>
      <w:pStyle w:val="Heading9"/>
      <w:lvlText w:val="%1.%2.%3.%4.%5.%6.%7.%8.%9."/>
      <w:lvlJc w:val="left"/>
      <w:pPr>
        <w:tabs>
          <w:tab w:val="num" w:pos="-851"/>
        </w:tabs>
        <w:ind w:left="5646" w:hanging="720"/>
      </w:pPr>
    </w:lvl>
  </w:abstractNum>
  <w:abstractNum w:abstractNumId="1" w15:restartNumberingAfterBreak="0">
    <w:nsid w:val="00000002"/>
    <w:multiLevelType w:val="singleLevel"/>
    <w:tmpl w:val="00000002"/>
    <w:name w:val="WW8Num18"/>
    <w:lvl w:ilvl="0">
      <w:start w:val="1"/>
      <w:numFmt w:val="lowerLetter"/>
      <w:lvlText w:val="(%1)"/>
      <w:lvlJc w:val="left"/>
      <w:pPr>
        <w:ind w:left="1350" w:hanging="630"/>
      </w:pPr>
      <w:rPr>
        <w:i/>
      </w:rPr>
    </w:lvl>
  </w:abstractNum>
  <w:abstractNum w:abstractNumId="2" w15:restartNumberingAfterBreak="0">
    <w:nsid w:val="05B2282C"/>
    <w:multiLevelType w:val="hybridMultilevel"/>
    <w:tmpl w:val="FE8AB82C"/>
    <w:lvl w:ilvl="0" w:tplc="0534D8E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52B76"/>
    <w:multiLevelType w:val="hybridMultilevel"/>
    <w:tmpl w:val="4CA240A2"/>
    <w:lvl w:ilvl="0" w:tplc="BBB6BF5E">
      <w:start w:val="20"/>
      <w:numFmt w:val="decimal"/>
      <w:lvlText w:val="[%1]"/>
      <w:lvlJc w:val="left"/>
      <w:pPr>
        <w:ind w:left="92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D3DF3"/>
    <w:multiLevelType w:val="hybridMultilevel"/>
    <w:tmpl w:val="12E2D3F8"/>
    <w:lvl w:ilvl="0" w:tplc="FFFFFFFF">
      <w:start w:val="20"/>
      <w:numFmt w:val="decimal"/>
      <w:lvlText w:val="[%1]"/>
      <w:lvlJc w:val="left"/>
      <w:pPr>
        <w:ind w:left="928"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BE35915"/>
    <w:multiLevelType w:val="hybridMultilevel"/>
    <w:tmpl w:val="5C4A144C"/>
    <w:lvl w:ilvl="0" w:tplc="FFFFFFFF">
      <w:start w:val="20"/>
      <w:numFmt w:val="decimal"/>
      <w:lvlText w:val="[%1]"/>
      <w:lvlJc w:val="left"/>
      <w:pPr>
        <w:ind w:left="928"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A70A8C"/>
    <w:multiLevelType w:val="hybridMultilevel"/>
    <w:tmpl w:val="9C585BBA"/>
    <w:lvl w:ilvl="0" w:tplc="9B0A5B26">
      <w:start w:val="1"/>
      <w:numFmt w:val="lowerLetter"/>
      <w:pStyle w:val="Heading2"/>
      <w:lvlText w:val="(%1)"/>
      <w:lvlJc w:val="left"/>
      <w:pPr>
        <w:ind w:left="1454" w:hanging="360"/>
      </w:pPr>
      <w:rPr>
        <w:rFonts w:ascii="Arial" w:hAnsi="Arial" w:hint="default"/>
        <w:sz w:val="24"/>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7" w15:restartNumberingAfterBreak="0">
    <w:nsid w:val="357D45FF"/>
    <w:multiLevelType w:val="hybridMultilevel"/>
    <w:tmpl w:val="815E9B40"/>
    <w:lvl w:ilvl="0" w:tplc="D9D8CA24">
      <w:start w:val="1"/>
      <w:numFmt w:val="lowerLetter"/>
      <w:lvlText w:val="(%1)"/>
      <w:lvlJc w:val="left"/>
      <w:pPr>
        <w:ind w:left="1288" w:hanging="360"/>
      </w:pPr>
      <w:rPr>
        <w:rFonts w:hint="default"/>
      </w:rPr>
    </w:lvl>
    <w:lvl w:ilvl="1" w:tplc="20000019" w:tentative="1">
      <w:start w:val="1"/>
      <w:numFmt w:val="lowerLetter"/>
      <w:lvlText w:val="%2."/>
      <w:lvlJc w:val="left"/>
      <w:pPr>
        <w:ind w:left="2008" w:hanging="360"/>
      </w:pPr>
    </w:lvl>
    <w:lvl w:ilvl="2" w:tplc="2000001B" w:tentative="1">
      <w:start w:val="1"/>
      <w:numFmt w:val="lowerRoman"/>
      <w:lvlText w:val="%3."/>
      <w:lvlJc w:val="right"/>
      <w:pPr>
        <w:ind w:left="2728" w:hanging="180"/>
      </w:pPr>
    </w:lvl>
    <w:lvl w:ilvl="3" w:tplc="2000000F" w:tentative="1">
      <w:start w:val="1"/>
      <w:numFmt w:val="decimal"/>
      <w:lvlText w:val="%4."/>
      <w:lvlJc w:val="left"/>
      <w:pPr>
        <w:ind w:left="3448" w:hanging="360"/>
      </w:pPr>
    </w:lvl>
    <w:lvl w:ilvl="4" w:tplc="20000019" w:tentative="1">
      <w:start w:val="1"/>
      <w:numFmt w:val="lowerLetter"/>
      <w:lvlText w:val="%5."/>
      <w:lvlJc w:val="left"/>
      <w:pPr>
        <w:ind w:left="4168" w:hanging="360"/>
      </w:pPr>
    </w:lvl>
    <w:lvl w:ilvl="5" w:tplc="2000001B" w:tentative="1">
      <w:start w:val="1"/>
      <w:numFmt w:val="lowerRoman"/>
      <w:lvlText w:val="%6."/>
      <w:lvlJc w:val="right"/>
      <w:pPr>
        <w:ind w:left="4888" w:hanging="180"/>
      </w:pPr>
    </w:lvl>
    <w:lvl w:ilvl="6" w:tplc="2000000F" w:tentative="1">
      <w:start w:val="1"/>
      <w:numFmt w:val="decimal"/>
      <w:lvlText w:val="%7."/>
      <w:lvlJc w:val="left"/>
      <w:pPr>
        <w:ind w:left="5608" w:hanging="360"/>
      </w:pPr>
    </w:lvl>
    <w:lvl w:ilvl="7" w:tplc="20000019" w:tentative="1">
      <w:start w:val="1"/>
      <w:numFmt w:val="lowerLetter"/>
      <w:lvlText w:val="%8."/>
      <w:lvlJc w:val="left"/>
      <w:pPr>
        <w:ind w:left="6328" w:hanging="360"/>
      </w:pPr>
    </w:lvl>
    <w:lvl w:ilvl="8" w:tplc="2000001B" w:tentative="1">
      <w:start w:val="1"/>
      <w:numFmt w:val="lowerRoman"/>
      <w:lvlText w:val="%9."/>
      <w:lvlJc w:val="right"/>
      <w:pPr>
        <w:ind w:left="7048" w:hanging="180"/>
      </w:pPr>
    </w:lvl>
  </w:abstractNum>
  <w:abstractNum w:abstractNumId="8" w15:restartNumberingAfterBreak="0">
    <w:nsid w:val="3E297D72"/>
    <w:multiLevelType w:val="hybridMultilevel"/>
    <w:tmpl w:val="46BE587E"/>
    <w:lvl w:ilvl="0" w:tplc="FFFFFFFF">
      <w:start w:val="20"/>
      <w:numFmt w:val="decimal"/>
      <w:lvlText w:val="[%1]"/>
      <w:lvlJc w:val="left"/>
      <w:pPr>
        <w:ind w:left="928"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18D0872"/>
    <w:multiLevelType w:val="hybridMultilevel"/>
    <w:tmpl w:val="ECC6062A"/>
    <w:lvl w:ilvl="0" w:tplc="FFFFFFFF">
      <w:start w:val="20"/>
      <w:numFmt w:val="decimal"/>
      <w:lvlText w:val="[%1]"/>
      <w:lvlJc w:val="left"/>
      <w:pPr>
        <w:ind w:left="928"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49679EA"/>
    <w:multiLevelType w:val="hybridMultilevel"/>
    <w:tmpl w:val="143CB54C"/>
    <w:lvl w:ilvl="0" w:tplc="FFFFFFFF">
      <w:start w:val="20"/>
      <w:numFmt w:val="decimal"/>
      <w:lvlText w:val="[%1]"/>
      <w:lvlJc w:val="left"/>
      <w:pPr>
        <w:ind w:left="928"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C3F49E3"/>
    <w:multiLevelType w:val="hybridMultilevel"/>
    <w:tmpl w:val="1C2897B8"/>
    <w:lvl w:ilvl="0" w:tplc="B0265040">
      <w:start w:val="1"/>
      <w:numFmt w:val="decimal"/>
      <w:lvlText w:val="%1."/>
      <w:lvlJc w:val="left"/>
      <w:pPr>
        <w:ind w:left="990" w:hanging="63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0A93ACC"/>
    <w:multiLevelType w:val="hybridMultilevel"/>
    <w:tmpl w:val="BA24A15C"/>
    <w:lvl w:ilvl="0" w:tplc="86B4253E">
      <w:start w:val="1"/>
      <w:numFmt w:val="lowerRoman"/>
      <w:pStyle w:val="Heading3"/>
      <w:lvlText w:val="(%1)"/>
      <w:lvlJc w:val="left"/>
      <w:pPr>
        <w:ind w:left="2160" w:hanging="360"/>
      </w:pPr>
      <w:rPr>
        <w:rFonts w:hint="default"/>
      </w:r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13" w15:restartNumberingAfterBreak="0">
    <w:nsid w:val="52C804F6"/>
    <w:multiLevelType w:val="hybridMultilevel"/>
    <w:tmpl w:val="5CF6C710"/>
    <w:lvl w:ilvl="0" w:tplc="FFFFFFFF">
      <w:start w:val="20"/>
      <w:numFmt w:val="decimal"/>
      <w:lvlText w:val="[%1]"/>
      <w:lvlJc w:val="left"/>
      <w:pPr>
        <w:ind w:left="928"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FC37977"/>
    <w:multiLevelType w:val="hybridMultilevel"/>
    <w:tmpl w:val="A77492B4"/>
    <w:lvl w:ilvl="0" w:tplc="FFFFFFFF">
      <w:start w:val="20"/>
      <w:numFmt w:val="decimal"/>
      <w:lvlText w:val="[%1]"/>
      <w:lvlJc w:val="left"/>
      <w:pPr>
        <w:ind w:left="928"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2424283"/>
    <w:multiLevelType w:val="hybridMultilevel"/>
    <w:tmpl w:val="FCA6F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C6437"/>
    <w:multiLevelType w:val="hybridMultilevel"/>
    <w:tmpl w:val="D730DC68"/>
    <w:lvl w:ilvl="0" w:tplc="FFFFFFFF">
      <w:start w:val="20"/>
      <w:numFmt w:val="decimal"/>
      <w:lvlText w:val="[%1]"/>
      <w:lvlJc w:val="left"/>
      <w:pPr>
        <w:ind w:left="928"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F740373"/>
    <w:multiLevelType w:val="hybridMultilevel"/>
    <w:tmpl w:val="17C068FC"/>
    <w:lvl w:ilvl="0" w:tplc="FFFFFFFF">
      <w:start w:val="20"/>
      <w:numFmt w:val="decimal"/>
      <w:lvlText w:val="[%1]"/>
      <w:lvlJc w:val="left"/>
      <w:pPr>
        <w:ind w:left="928"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FBB29D4"/>
    <w:multiLevelType w:val="hybridMultilevel"/>
    <w:tmpl w:val="BDBEA19C"/>
    <w:lvl w:ilvl="0" w:tplc="9B3CE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4305645">
    <w:abstractNumId w:val="0"/>
  </w:num>
  <w:num w:numId="2" w16cid:durableId="1656756971">
    <w:abstractNumId w:val="6"/>
  </w:num>
  <w:num w:numId="3" w16cid:durableId="229777366">
    <w:abstractNumId w:val="12"/>
  </w:num>
  <w:num w:numId="4" w16cid:durableId="1823808761">
    <w:abstractNumId w:val="11"/>
  </w:num>
  <w:num w:numId="5" w16cid:durableId="167983632">
    <w:abstractNumId w:val="15"/>
  </w:num>
  <w:num w:numId="6" w16cid:durableId="1939830470">
    <w:abstractNumId w:val="3"/>
  </w:num>
  <w:num w:numId="7" w16cid:durableId="1841195162">
    <w:abstractNumId w:val="2"/>
  </w:num>
  <w:num w:numId="8" w16cid:durableId="599458703">
    <w:abstractNumId w:val="14"/>
  </w:num>
  <w:num w:numId="9" w16cid:durableId="2097091303">
    <w:abstractNumId w:val="9"/>
  </w:num>
  <w:num w:numId="10" w16cid:durableId="292641670">
    <w:abstractNumId w:val="5"/>
  </w:num>
  <w:num w:numId="11" w16cid:durableId="1379663994">
    <w:abstractNumId w:val="16"/>
  </w:num>
  <w:num w:numId="12" w16cid:durableId="540678943">
    <w:abstractNumId w:val="13"/>
  </w:num>
  <w:num w:numId="13" w16cid:durableId="300310461">
    <w:abstractNumId w:val="10"/>
  </w:num>
  <w:num w:numId="14" w16cid:durableId="1543201921">
    <w:abstractNumId w:val="8"/>
  </w:num>
  <w:num w:numId="15" w16cid:durableId="1926644577">
    <w:abstractNumId w:val="4"/>
  </w:num>
  <w:num w:numId="16" w16cid:durableId="106782797">
    <w:abstractNumId w:val="17"/>
  </w:num>
  <w:num w:numId="17" w16cid:durableId="991524925">
    <w:abstractNumId w:val="7"/>
  </w:num>
  <w:num w:numId="18" w16cid:durableId="972557995">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524"/>
    <w:rsid w:val="00000AD3"/>
    <w:rsid w:val="00001E44"/>
    <w:rsid w:val="000031EF"/>
    <w:rsid w:val="00005673"/>
    <w:rsid w:val="00005CBD"/>
    <w:rsid w:val="00006BFF"/>
    <w:rsid w:val="0001020A"/>
    <w:rsid w:val="00010EE2"/>
    <w:rsid w:val="00013787"/>
    <w:rsid w:val="00014C91"/>
    <w:rsid w:val="00015776"/>
    <w:rsid w:val="00016FEE"/>
    <w:rsid w:val="000178BA"/>
    <w:rsid w:val="000226A9"/>
    <w:rsid w:val="00026B61"/>
    <w:rsid w:val="00027BB9"/>
    <w:rsid w:val="00027D48"/>
    <w:rsid w:val="000324F3"/>
    <w:rsid w:val="00033EEF"/>
    <w:rsid w:val="00045453"/>
    <w:rsid w:val="0005086D"/>
    <w:rsid w:val="00051121"/>
    <w:rsid w:val="00051574"/>
    <w:rsid w:val="00053826"/>
    <w:rsid w:val="0006053A"/>
    <w:rsid w:val="00063685"/>
    <w:rsid w:val="000650A6"/>
    <w:rsid w:val="00070A8F"/>
    <w:rsid w:val="0007119C"/>
    <w:rsid w:val="00072ED7"/>
    <w:rsid w:val="00072F8E"/>
    <w:rsid w:val="00083431"/>
    <w:rsid w:val="00083864"/>
    <w:rsid w:val="00083B84"/>
    <w:rsid w:val="00085D64"/>
    <w:rsid w:val="00087A71"/>
    <w:rsid w:val="00092E9E"/>
    <w:rsid w:val="00093246"/>
    <w:rsid w:val="00093CE9"/>
    <w:rsid w:val="000975CD"/>
    <w:rsid w:val="00097B54"/>
    <w:rsid w:val="000A16B8"/>
    <w:rsid w:val="000B017E"/>
    <w:rsid w:val="000B1663"/>
    <w:rsid w:val="000B27EB"/>
    <w:rsid w:val="000B4299"/>
    <w:rsid w:val="000B66A4"/>
    <w:rsid w:val="000B7750"/>
    <w:rsid w:val="000C20ED"/>
    <w:rsid w:val="000C4BBF"/>
    <w:rsid w:val="000C4C61"/>
    <w:rsid w:val="000C54BA"/>
    <w:rsid w:val="000C75F9"/>
    <w:rsid w:val="000C7A3B"/>
    <w:rsid w:val="000D3986"/>
    <w:rsid w:val="000D490E"/>
    <w:rsid w:val="000D617B"/>
    <w:rsid w:val="000D661F"/>
    <w:rsid w:val="000E0AC9"/>
    <w:rsid w:val="000E1E31"/>
    <w:rsid w:val="000E3033"/>
    <w:rsid w:val="000E321B"/>
    <w:rsid w:val="000E3CA3"/>
    <w:rsid w:val="000E59B9"/>
    <w:rsid w:val="000E61B8"/>
    <w:rsid w:val="000E6332"/>
    <w:rsid w:val="000F3ED7"/>
    <w:rsid w:val="000F7F8A"/>
    <w:rsid w:val="00100994"/>
    <w:rsid w:val="0010488E"/>
    <w:rsid w:val="00105F5C"/>
    <w:rsid w:val="001063BC"/>
    <w:rsid w:val="001076B6"/>
    <w:rsid w:val="00110892"/>
    <w:rsid w:val="00115C5D"/>
    <w:rsid w:val="001173DC"/>
    <w:rsid w:val="00117DD9"/>
    <w:rsid w:val="0012505E"/>
    <w:rsid w:val="00125277"/>
    <w:rsid w:val="00132671"/>
    <w:rsid w:val="0013471F"/>
    <w:rsid w:val="00135CE1"/>
    <w:rsid w:val="001367FF"/>
    <w:rsid w:val="00140A9D"/>
    <w:rsid w:val="0014460F"/>
    <w:rsid w:val="0014505C"/>
    <w:rsid w:val="00145ADF"/>
    <w:rsid w:val="00147336"/>
    <w:rsid w:val="00150E87"/>
    <w:rsid w:val="00157754"/>
    <w:rsid w:val="001600D3"/>
    <w:rsid w:val="00161ADB"/>
    <w:rsid w:val="00162921"/>
    <w:rsid w:val="00162FA5"/>
    <w:rsid w:val="0016314E"/>
    <w:rsid w:val="0016544A"/>
    <w:rsid w:val="00165969"/>
    <w:rsid w:val="001662FF"/>
    <w:rsid w:val="00171961"/>
    <w:rsid w:val="001722DF"/>
    <w:rsid w:val="00174E15"/>
    <w:rsid w:val="001763A5"/>
    <w:rsid w:val="00176901"/>
    <w:rsid w:val="00176DB6"/>
    <w:rsid w:val="00180C19"/>
    <w:rsid w:val="00180D1A"/>
    <w:rsid w:val="001825ED"/>
    <w:rsid w:val="001846B9"/>
    <w:rsid w:val="001846FB"/>
    <w:rsid w:val="00185464"/>
    <w:rsid w:val="00186562"/>
    <w:rsid w:val="0019079A"/>
    <w:rsid w:val="00193D82"/>
    <w:rsid w:val="0019695F"/>
    <w:rsid w:val="0019700F"/>
    <w:rsid w:val="001A0691"/>
    <w:rsid w:val="001A0782"/>
    <w:rsid w:val="001A4178"/>
    <w:rsid w:val="001A7011"/>
    <w:rsid w:val="001B1CD0"/>
    <w:rsid w:val="001B3027"/>
    <w:rsid w:val="001B39A8"/>
    <w:rsid w:val="001B6D0D"/>
    <w:rsid w:val="001C373C"/>
    <w:rsid w:val="001C5C4C"/>
    <w:rsid w:val="001C727F"/>
    <w:rsid w:val="001D4C80"/>
    <w:rsid w:val="001D4E59"/>
    <w:rsid w:val="001E1CC2"/>
    <w:rsid w:val="001E20BF"/>
    <w:rsid w:val="001E46B3"/>
    <w:rsid w:val="001E5305"/>
    <w:rsid w:val="001E5489"/>
    <w:rsid w:val="001F4D61"/>
    <w:rsid w:val="001F5190"/>
    <w:rsid w:val="001F6CB9"/>
    <w:rsid w:val="002023D0"/>
    <w:rsid w:val="002025F8"/>
    <w:rsid w:val="002076B9"/>
    <w:rsid w:val="00210D63"/>
    <w:rsid w:val="00210D9A"/>
    <w:rsid w:val="00211B5D"/>
    <w:rsid w:val="00212775"/>
    <w:rsid w:val="00214E82"/>
    <w:rsid w:val="002158DA"/>
    <w:rsid w:val="00216928"/>
    <w:rsid w:val="00222B92"/>
    <w:rsid w:val="00231AB5"/>
    <w:rsid w:val="00235086"/>
    <w:rsid w:val="00237278"/>
    <w:rsid w:val="0024093F"/>
    <w:rsid w:val="00240999"/>
    <w:rsid w:val="00241AD6"/>
    <w:rsid w:val="0024419B"/>
    <w:rsid w:val="00244899"/>
    <w:rsid w:val="0024584D"/>
    <w:rsid w:val="00247EF9"/>
    <w:rsid w:val="0025315E"/>
    <w:rsid w:val="00255BE4"/>
    <w:rsid w:val="0025677F"/>
    <w:rsid w:val="00257636"/>
    <w:rsid w:val="00257D35"/>
    <w:rsid w:val="00264113"/>
    <w:rsid w:val="00266D54"/>
    <w:rsid w:val="0027073E"/>
    <w:rsid w:val="002719BF"/>
    <w:rsid w:val="00275A78"/>
    <w:rsid w:val="00277B56"/>
    <w:rsid w:val="00277E0C"/>
    <w:rsid w:val="002812F7"/>
    <w:rsid w:val="00284536"/>
    <w:rsid w:val="00285FF7"/>
    <w:rsid w:val="00287908"/>
    <w:rsid w:val="00290268"/>
    <w:rsid w:val="002A0EEB"/>
    <w:rsid w:val="002A217F"/>
    <w:rsid w:val="002A4EDC"/>
    <w:rsid w:val="002A7773"/>
    <w:rsid w:val="002A7BCD"/>
    <w:rsid w:val="002B1453"/>
    <w:rsid w:val="002B24D7"/>
    <w:rsid w:val="002B6CD0"/>
    <w:rsid w:val="002B7099"/>
    <w:rsid w:val="002C5751"/>
    <w:rsid w:val="002D035C"/>
    <w:rsid w:val="002D08EE"/>
    <w:rsid w:val="002D0A9C"/>
    <w:rsid w:val="002D1C5A"/>
    <w:rsid w:val="002D31C9"/>
    <w:rsid w:val="002D47EB"/>
    <w:rsid w:val="002D4990"/>
    <w:rsid w:val="002D6750"/>
    <w:rsid w:val="002D6836"/>
    <w:rsid w:val="002D68F3"/>
    <w:rsid w:val="002D6B87"/>
    <w:rsid w:val="002D786B"/>
    <w:rsid w:val="002E30DE"/>
    <w:rsid w:val="002E380C"/>
    <w:rsid w:val="002E3BF2"/>
    <w:rsid w:val="002E6D61"/>
    <w:rsid w:val="002E6D96"/>
    <w:rsid w:val="002F05BB"/>
    <w:rsid w:val="002F09FA"/>
    <w:rsid w:val="002F1084"/>
    <w:rsid w:val="002F3C44"/>
    <w:rsid w:val="00300341"/>
    <w:rsid w:val="003016C4"/>
    <w:rsid w:val="0030298A"/>
    <w:rsid w:val="00307C87"/>
    <w:rsid w:val="00311B99"/>
    <w:rsid w:val="00316EA0"/>
    <w:rsid w:val="003209AD"/>
    <w:rsid w:val="00321344"/>
    <w:rsid w:val="003219ED"/>
    <w:rsid w:val="00331287"/>
    <w:rsid w:val="00332E6C"/>
    <w:rsid w:val="00333E79"/>
    <w:rsid w:val="00334677"/>
    <w:rsid w:val="00334AFC"/>
    <w:rsid w:val="0033656F"/>
    <w:rsid w:val="00340D6A"/>
    <w:rsid w:val="003428D2"/>
    <w:rsid w:val="00346161"/>
    <w:rsid w:val="00347244"/>
    <w:rsid w:val="00347D03"/>
    <w:rsid w:val="00350278"/>
    <w:rsid w:val="003504E0"/>
    <w:rsid w:val="003517F4"/>
    <w:rsid w:val="00352F30"/>
    <w:rsid w:val="00354402"/>
    <w:rsid w:val="003624D1"/>
    <w:rsid w:val="00365991"/>
    <w:rsid w:val="0037192F"/>
    <w:rsid w:val="00373CDF"/>
    <w:rsid w:val="00376F2E"/>
    <w:rsid w:val="003770DD"/>
    <w:rsid w:val="003778EA"/>
    <w:rsid w:val="00382515"/>
    <w:rsid w:val="00383735"/>
    <w:rsid w:val="00383E88"/>
    <w:rsid w:val="00384959"/>
    <w:rsid w:val="00391047"/>
    <w:rsid w:val="00392518"/>
    <w:rsid w:val="0039415D"/>
    <w:rsid w:val="00394CCF"/>
    <w:rsid w:val="003A2F90"/>
    <w:rsid w:val="003A3CF2"/>
    <w:rsid w:val="003A3E0C"/>
    <w:rsid w:val="003A5FD0"/>
    <w:rsid w:val="003A636A"/>
    <w:rsid w:val="003A667E"/>
    <w:rsid w:val="003A7C97"/>
    <w:rsid w:val="003B1674"/>
    <w:rsid w:val="003C07FB"/>
    <w:rsid w:val="003C1894"/>
    <w:rsid w:val="003C1B0D"/>
    <w:rsid w:val="003C30BF"/>
    <w:rsid w:val="003C3175"/>
    <w:rsid w:val="003C3E52"/>
    <w:rsid w:val="003C3EA1"/>
    <w:rsid w:val="003C42F0"/>
    <w:rsid w:val="003D158E"/>
    <w:rsid w:val="003D180E"/>
    <w:rsid w:val="003D1B0D"/>
    <w:rsid w:val="003D70E6"/>
    <w:rsid w:val="003E2C84"/>
    <w:rsid w:val="003E364B"/>
    <w:rsid w:val="003E3AA8"/>
    <w:rsid w:val="003E6394"/>
    <w:rsid w:val="003E6BED"/>
    <w:rsid w:val="003E70D0"/>
    <w:rsid w:val="003E7333"/>
    <w:rsid w:val="003F4C9B"/>
    <w:rsid w:val="003F5776"/>
    <w:rsid w:val="003F5D86"/>
    <w:rsid w:val="003F6093"/>
    <w:rsid w:val="003F6F0E"/>
    <w:rsid w:val="00400D96"/>
    <w:rsid w:val="004032BD"/>
    <w:rsid w:val="00403581"/>
    <w:rsid w:val="0040448F"/>
    <w:rsid w:val="00406D74"/>
    <w:rsid w:val="00410928"/>
    <w:rsid w:val="00414D46"/>
    <w:rsid w:val="00414F89"/>
    <w:rsid w:val="00415368"/>
    <w:rsid w:val="00422636"/>
    <w:rsid w:val="004229A8"/>
    <w:rsid w:val="00430666"/>
    <w:rsid w:val="0043111A"/>
    <w:rsid w:val="004314F7"/>
    <w:rsid w:val="004375AE"/>
    <w:rsid w:val="00437C3B"/>
    <w:rsid w:val="00440A23"/>
    <w:rsid w:val="004412A9"/>
    <w:rsid w:val="0044133E"/>
    <w:rsid w:val="00441FD6"/>
    <w:rsid w:val="00442B69"/>
    <w:rsid w:val="00443887"/>
    <w:rsid w:val="00444DD0"/>
    <w:rsid w:val="00450437"/>
    <w:rsid w:val="004505F4"/>
    <w:rsid w:val="00452D35"/>
    <w:rsid w:val="00457F74"/>
    <w:rsid w:val="00461AAF"/>
    <w:rsid w:val="00467F45"/>
    <w:rsid w:val="0047151B"/>
    <w:rsid w:val="00472891"/>
    <w:rsid w:val="00480A13"/>
    <w:rsid w:val="00483641"/>
    <w:rsid w:val="00486812"/>
    <w:rsid w:val="00487CB0"/>
    <w:rsid w:val="00490230"/>
    <w:rsid w:val="00493180"/>
    <w:rsid w:val="00495BDE"/>
    <w:rsid w:val="00497186"/>
    <w:rsid w:val="004A028F"/>
    <w:rsid w:val="004A24AC"/>
    <w:rsid w:val="004A2820"/>
    <w:rsid w:val="004A334F"/>
    <w:rsid w:val="004A37F6"/>
    <w:rsid w:val="004A3A4C"/>
    <w:rsid w:val="004A4A4E"/>
    <w:rsid w:val="004A4AF2"/>
    <w:rsid w:val="004A5900"/>
    <w:rsid w:val="004A69DF"/>
    <w:rsid w:val="004A762E"/>
    <w:rsid w:val="004A7ADF"/>
    <w:rsid w:val="004B1016"/>
    <w:rsid w:val="004B2778"/>
    <w:rsid w:val="004B3FC8"/>
    <w:rsid w:val="004C0E9A"/>
    <w:rsid w:val="004C245A"/>
    <w:rsid w:val="004C2460"/>
    <w:rsid w:val="004C3E57"/>
    <w:rsid w:val="004C3E5C"/>
    <w:rsid w:val="004C3E84"/>
    <w:rsid w:val="004C4E6C"/>
    <w:rsid w:val="004C574D"/>
    <w:rsid w:val="004C713A"/>
    <w:rsid w:val="004D008F"/>
    <w:rsid w:val="004D1BDB"/>
    <w:rsid w:val="004D4B42"/>
    <w:rsid w:val="004D5C12"/>
    <w:rsid w:val="004D7CF8"/>
    <w:rsid w:val="004E0048"/>
    <w:rsid w:val="004E16FD"/>
    <w:rsid w:val="004E2466"/>
    <w:rsid w:val="004E24E2"/>
    <w:rsid w:val="004E3A5D"/>
    <w:rsid w:val="004E3AEA"/>
    <w:rsid w:val="004E4C08"/>
    <w:rsid w:val="004E7BF8"/>
    <w:rsid w:val="004F3395"/>
    <w:rsid w:val="004F3D79"/>
    <w:rsid w:val="00500299"/>
    <w:rsid w:val="0050055E"/>
    <w:rsid w:val="005011FC"/>
    <w:rsid w:val="00502403"/>
    <w:rsid w:val="00504963"/>
    <w:rsid w:val="00504DF7"/>
    <w:rsid w:val="0050705E"/>
    <w:rsid w:val="00507804"/>
    <w:rsid w:val="0051036D"/>
    <w:rsid w:val="00515B97"/>
    <w:rsid w:val="00520746"/>
    <w:rsid w:val="00521176"/>
    <w:rsid w:val="0052144B"/>
    <w:rsid w:val="00522C0C"/>
    <w:rsid w:val="00524FCF"/>
    <w:rsid w:val="00531A75"/>
    <w:rsid w:val="00534EC6"/>
    <w:rsid w:val="005368A3"/>
    <w:rsid w:val="00536902"/>
    <w:rsid w:val="00536A0A"/>
    <w:rsid w:val="00536C1B"/>
    <w:rsid w:val="00547F1F"/>
    <w:rsid w:val="0055152A"/>
    <w:rsid w:val="00556AB7"/>
    <w:rsid w:val="00560EA6"/>
    <w:rsid w:val="00562A56"/>
    <w:rsid w:val="00564D69"/>
    <w:rsid w:val="00564FD2"/>
    <w:rsid w:val="0056666C"/>
    <w:rsid w:val="0056674E"/>
    <w:rsid w:val="0056681E"/>
    <w:rsid w:val="005671FD"/>
    <w:rsid w:val="00567BC7"/>
    <w:rsid w:val="00570A7D"/>
    <w:rsid w:val="005718E1"/>
    <w:rsid w:val="005807C6"/>
    <w:rsid w:val="00581216"/>
    <w:rsid w:val="005818BC"/>
    <w:rsid w:val="00583CCB"/>
    <w:rsid w:val="005857AA"/>
    <w:rsid w:val="00590E8B"/>
    <w:rsid w:val="00591F68"/>
    <w:rsid w:val="005A31E6"/>
    <w:rsid w:val="005A6786"/>
    <w:rsid w:val="005A6ECB"/>
    <w:rsid w:val="005B04B8"/>
    <w:rsid w:val="005B28AD"/>
    <w:rsid w:val="005B3279"/>
    <w:rsid w:val="005B39C1"/>
    <w:rsid w:val="005B3AF2"/>
    <w:rsid w:val="005B4B91"/>
    <w:rsid w:val="005B6193"/>
    <w:rsid w:val="005B6574"/>
    <w:rsid w:val="005B6D6B"/>
    <w:rsid w:val="005B78E3"/>
    <w:rsid w:val="005C03A3"/>
    <w:rsid w:val="005C0AD7"/>
    <w:rsid w:val="005C183C"/>
    <w:rsid w:val="005C2F88"/>
    <w:rsid w:val="005C4415"/>
    <w:rsid w:val="005C5E86"/>
    <w:rsid w:val="005C5F32"/>
    <w:rsid w:val="005D5F13"/>
    <w:rsid w:val="005E2068"/>
    <w:rsid w:val="005E3952"/>
    <w:rsid w:val="005E51A6"/>
    <w:rsid w:val="005F05E6"/>
    <w:rsid w:val="005F2313"/>
    <w:rsid w:val="005F2BBE"/>
    <w:rsid w:val="005F3EC0"/>
    <w:rsid w:val="005F7044"/>
    <w:rsid w:val="0060209D"/>
    <w:rsid w:val="00603B05"/>
    <w:rsid w:val="00604C91"/>
    <w:rsid w:val="006050CC"/>
    <w:rsid w:val="006146AC"/>
    <w:rsid w:val="00615357"/>
    <w:rsid w:val="006201EB"/>
    <w:rsid w:val="0062079B"/>
    <w:rsid w:val="00622353"/>
    <w:rsid w:val="0062308D"/>
    <w:rsid w:val="00625494"/>
    <w:rsid w:val="00630E6B"/>
    <w:rsid w:val="006313FB"/>
    <w:rsid w:val="00633456"/>
    <w:rsid w:val="00635001"/>
    <w:rsid w:val="00635820"/>
    <w:rsid w:val="00636471"/>
    <w:rsid w:val="00640853"/>
    <w:rsid w:val="006426B1"/>
    <w:rsid w:val="00642C9C"/>
    <w:rsid w:val="00643D8B"/>
    <w:rsid w:val="006461DE"/>
    <w:rsid w:val="00646AA0"/>
    <w:rsid w:val="0064743A"/>
    <w:rsid w:val="00647FE5"/>
    <w:rsid w:val="0065142F"/>
    <w:rsid w:val="006517D3"/>
    <w:rsid w:val="006539B7"/>
    <w:rsid w:val="00655DE0"/>
    <w:rsid w:val="006563E5"/>
    <w:rsid w:val="006573D4"/>
    <w:rsid w:val="00667C0B"/>
    <w:rsid w:val="00671DF6"/>
    <w:rsid w:val="006800BF"/>
    <w:rsid w:val="00680C7F"/>
    <w:rsid w:val="006814B2"/>
    <w:rsid w:val="00682AC4"/>
    <w:rsid w:val="006860BD"/>
    <w:rsid w:val="00687B62"/>
    <w:rsid w:val="00691776"/>
    <w:rsid w:val="00692E4F"/>
    <w:rsid w:val="00693E19"/>
    <w:rsid w:val="00695CD4"/>
    <w:rsid w:val="006A1816"/>
    <w:rsid w:val="006A42D1"/>
    <w:rsid w:val="006A7D62"/>
    <w:rsid w:val="006B29BC"/>
    <w:rsid w:val="006B3EE2"/>
    <w:rsid w:val="006B4221"/>
    <w:rsid w:val="006B4A65"/>
    <w:rsid w:val="006C00D1"/>
    <w:rsid w:val="006C1B65"/>
    <w:rsid w:val="006C22CB"/>
    <w:rsid w:val="006C383B"/>
    <w:rsid w:val="006C4FAE"/>
    <w:rsid w:val="006C7366"/>
    <w:rsid w:val="006D4000"/>
    <w:rsid w:val="006D524F"/>
    <w:rsid w:val="006D6564"/>
    <w:rsid w:val="006D65BF"/>
    <w:rsid w:val="006D6866"/>
    <w:rsid w:val="006D7F4D"/>
    <w:rsid w:val="006E0D29"/>
    <w:rsid w:val="006E0F9A"/>
    <w:rsid w:val="006E31C8"/>
    <w:rsid w:val="006E3EA2"/>
    <w:rsid w:val="006E5F8D"/>
    <w:rsid w:val="006E69A8"/>
    <w:rsid w:val="006F133F"/>
    <w:rsid w:val="006F3138"/>
    <w:rsid w:val="006F3377"/>
    <w:rsid w:val="006F4DCB"/>
    <w:rsid w:val="006F720F"/>
    <w:rsid w:val="0070060D"/>
    <w:rsid w:val="007023A0"/>
    <w:rsid w:val="007070E0"/>
    <w:rsid w:val="00710297"/>
    <w:rsid w:val="00712D16"/>
    <w:rsid w:val="007155E4"/>
    <w:rsid w:val="00716AB4"/>
    <w:rsid w:val="007200FB"/>
    <w:rsid w:val="00721509"/>
    <w:rsid w:val="007233E5"/>
    <w:rsid w:val="00723A0A"/>
    <w:rsid w:val="00724FDC"/>
    <w:rsid w:val="0072692A"/>
    <w:rsid w:val="00726BD2"/>
    <w:rsid w:val="0072728C"/>
    <w:rsid w:val="00732EFE"/>
    <w:rsid w:val="007330E9"/>
    <w:rsid w:val="00734196"/>
    <w:rsid w:val="00740067"/>
    <w:rsid w:val="00740AB0"/>
    <w:rsid w:val="00742A5D"/>
    <w:rsid w:val="007442DD"/>
    <w:rsid w:val="0075040C"/>
    <w:rsid w:val="007510C8"/>
    <w:rsid w:val="00753359"/>
    <w:rsid w:val="007545E4"/>
    <w:rsid w:val="00754C6F"/>
    <w:rsid w:val="00755D63"/>
    <w:rsid w:val="007603F4"/>
    <w:rsid w:val="00762395"/>
    <w:rsid w:val="00765944"/>
    <w:rsid w:val="0077034D"/>
    <w:rsid w:val="00772D12"/>
    <w:rsid w:val="00780102"/>
    <w:rsid w:val="00782A9F"/>
    <w:rsid w:val="00785D24"/>
    <w:rsid w:val="007865B5"/>
    <w:rsid w:val="00792E61"/>
    <w:rsid w:val="007935D2"/>
    <w:rsid w:val="00793607"/>
    <w:rsid w:val="007A5F4E"/>
    <w:rsid w:val="007B1D29"/>
    <w:rsid w:val="007B2F58"/>
    <w:rsid w:val="007B2F5C"/>
    <w:rsid w:val="007B2F87"/>
    <w:rsid w:val="007B52EA"/>
    <w:rsid w:val="007B7AF6"/>
    <w:rsid w:val="007C71DA"/>
    <w:rsid w:val="007C71F9"/>
    <w:rsid w:val="007D1502"/>
    <w:rsid w:val="007D3D85"/>
    <w:rsid w:val="007D4F0A"/>
    <w:rsid w:val="007D586E"/>
    <w:rsid w:val="007D5B22"/>
    <w:rsid w:val="007D71AB"/>
    <w:rsid w:val="007D7ABE"/>
    <w:rsid w:val="007E0468"/>
    <w:rsid w:val="007E0621"/>
    <w:rsid w:val="007E12E4"/>
    <w:rsid w:val="007E2130"/>
    <w:rsid w:val="007F2B89"/>
    <w:rsid w:val="007F3450"/>
    <w:rsid w:val="007F5084"/>
    <w:rsid w:val="007F6100"/>
    <w:rsid w:val="007F6554"/>
    <w:rsid w:val="007F7ABD"/>
    <w:rsid w:val="00800E15"/>
    <w:rsid w:val="0080635A"/>
    <w:rsid w:val="00806373"/>
    <w:rsid w:val="008077F3"/>
    <w:rsid w:val="00814E3A"/>
    <w:rsid w:val="00814FE2"/>
    <w:rsid w:val="00815061"/>
    <w:rsid w:val="0081590F"/>
    <w:rsid w:val="008173A5"/>
    <w:rsid w:val="00822342"/>
    <w:rsid w:val="008245B1"/>
    <w:rsid w:val="00824AE6"/>
    <w:rsid w:val="00824C4F"/>
    <w:rsid w:val="0082663F"/>
    <w:rsid w:val="00834AA4"/>
    <w:rsid w:val="008358E8"/>
    <w:rsid w:val="00836131"/>
    <w:rsid w:val="00837461"/>
    <w:rsid w:val="00840FFD"/>
    <w:rsid w:val="008411B2"/>
    <w:rsid w:val="00844780"/>
    <w:rsid w:val="008507E5"/>
    <w:rsid w:val="00851776"/>
    <w:rsid w:val="00853524"/>
    <w:rsid w:val="008552C7"/>
    <w:rsid w:val="00862509"/>
    <w:rsid w:val="00862DBC"/>
    <w:rsid w:val="008665CF"/>
    <w:rsid w:val="00866EC4"/>
    <w:rsid w:val="00867A81"/>
    <w:rsid w:val="00867D73"/>
    <w:rsid w:val="0087008D"/>
    <w:rsid w:val="0087614A"/>
    <w:rsid w:val="0088248A"/>
    <w:rsid w:val="008844A5"/>
    <w:rsid w:val="00885655"/>
    <w:rsid w:val="0088723F"/>
    <w:rsid w:val="00892889"/>
    <w:rsid w:val="00893153"/>
    <w:rsid w:val="008939CB"/>
    <w:rsid w:val="0089487C"/>
    <w:rsid w:val="00896DF1"/>
    <w:rsid w:val="008A1B50"/>
    <w:rsid w:val="008A443F"/>
    <w:rsid w:val="008A670E"/>
    <w:rsid w:val="008A7105"/>
    <w:rsid w:val="008B1118"/>
    <w:rsid w:val="008B1836"/>
    <w:rsid w:val="008B2C30"/>
    <w:rsid w:val="008B5984"/>
    <w:rsid w:val="008B61FB"/>
    <w:rsid w:val="008C3EE3"/>
    <w:rsid w:val="008C3F7C"/>
    <w:rsid w:val="008C724F"/>
    <w:rsid w:val="008D5327"/>
    <w:rsid w:val="008D7A77"/>
    <w:rsid w:val="008E06D5"/>
    <w:rsid w:val="008E1361"/>
    <w:rsid w:val="008E35C3"/>
    <w:rsid w:val="008E3D66"/>
    <w:rsid w:val="008E4F78"/>
    <w:rsid w:val="008E5D02"/>
    <w:rsid w:val="008E6309"/>
    <w:rsid w:val="008F29DB"/>
    <w:rsid w:val="008F3DC7"/>
    <w:rsid w:val="008F53A4"/>
    <w:rsid w:val="008F54E4"/>
    <w:rsid w:val="008F59B4"/>
    <w:rsid w:val="008F646B"/>
    <w:rsid w:val="008F6648"/>
    <w:rsid w:val="008F70BF"/>
    <w:rsid w:val="008F793F"/>
    <w:rsid w:val="00900D62"/>
    <w:rsid w:val="00900EFC"/>
    <w:rsid w:val="0090176D"/>
    <w:rsid w:val="009024D7"/>
    <w:rsid w:val="00903C6E"/>
    <w:rsid w:val="00904FF4"/>
    <w:rsid w:val="00906BF4"/>
    <w:rsid w:val="00906D61"/>
    <w:rsid w:val="00911CF0"/>
    <w:rsid w:val="00913B34"/>
    <w:rsid w:val="00913E2F"/>
    <w:rsid w:val="00914691"/>
    <w:rsid w:val="00915DAC"/>
    <w:rsid w:val="0092066C"/>
    <w:rsid w:val="00920F28"/>
    <w:rsid w:val="0092115E"/>
    <w:rsid w:val="0092146F"/>
    <w:rsid w:val="009240AC"/>
    <w:rsid w:val="009250EF"/>
    <w:rsid w:val="00925473"/>
    <w:rsid w:val="00926EBD"/>
    <w:rsid w:val="0093023C"/>
    <w:rsid w:val="00932E18"/>
    <w:rsid w:val="00934A94"/>
    <w:rsid w:val="009366F1"/>
    <w:rsid w:val="00937089"/>
    <w:rsid w:val="00942B5B"/>
    <w:rsid w:val="00942F45"/>
    <w:rsid w:val="009462CD"/>
    <w:rsid w:val="009462FC"/>
    <w:rsid w:val="00950943"/>
    <w:rsid w:val="00950B99"/>
    <w:rsid w:val="00952D40"/>
    <w:rsid w:val="00953461"/>
    <w:rsid w:val="00953FFC"/>
    <w:rsid w:val="009542C1"/>
    <w:rsid w:val="009554BE"/>
    <w:rsid w:val="00955648"/>
    <w:rsid w:val="0096179E"/>
    <w:rsid w:val="00965051"/>
    <w:rsid w:val="0097405C"/>
    <w:rsid w:val="00974BA5"/>
    <w:rsid w:val="00976BDB"/>
    <w:rsid w:val="00976F8C"/>
    <w:rsid w:val="00980D52"/>
    <w:rsid w:val="00981A73"/>
    <w:rsid w:val="009824E5"/>
    <w:rsid w:val="00986AC9"/>
    <w:rsid w:val="009930C3"/>
    <w:rsid w:val="009933FE"/>
    <w:rsid w:val="00993D08"/>
    <w:rsid w:val="0099528F"/>
    <w:rsid w:val="009A35DC"/>
    <w:rsid w:val="009A4927"/>
    <w:rsid w:val="009A707B"/>
    <w:rsid w:val="009B026F"/>
    <w:rsid w:val="009B07B0"/>
    <w:rsid w:val="009B4960"/>
    <w:rsid w:val="009C0647"/>
    <w:rsid w:val="009C2458"/>
    <w:rsid w:val="009C43E4"/>
    <w:rsid w:val="009C45F1"/>
    <w:rsid w:val="009C4958"/>
    <w:rsid w:val="009C4FBC"/>
    <w:rsid w:val="009D0A59"/>
    <w:rsid w:val="009D1158"/>
    <w:rsid w:val="009D2A5B"/>
    <w:rsid w:val="009D555E"/>
    <w:rsid w:val="009D6CC5"/>
    <w:rsid w:val="009E215A"/>
    <w:rsid w:val="009E6C5E"/>
    <w:rsid w:val="009F3851"/>
    <w:rsid w:val="009F40B4"/>
    <w:rsid w:val="009F531F"/>
    <w:rsid w:val="009F6AC2"/>
    <w:rsid w:val="009F7910"/>
    <w:rsid w:val="009F7B94"/>
    <w:rsid w:val="00A00431"/>
    <w:rsid w:val="00A00520"/>
    <w:rsid w:val="00A00DBD"/>
    <w:rsid w:val="00A0157C"/>
    <w:rsid w:val="00A04557"/>
    <w:rsid w:val="00A04BAD"/>
    <w:rsid w:val="00A058CE"/>
    <w:rsid w:val="00A066DB"/>
    <w:rsid w:val="00A068F4"/>
    <w:rsid w:val="00A07041"/>
    <w:rsid w:val="00A1072B"/>
    <w:rsid w:val="00A112A0"/>
    <w:rsid w:val="00A11A32"/>
    <w:rsid w:val="00A134C3"/>
    <w:rsid w:val="00A164F9"/>
    <w:rsid w:val="00A20919"/>
    <w:rsid w:val="00A26A4B"/>
    <w:rsid w:val="00A30A7D"/>
    <w:rsid w:val="00A3136C"/>
    <w:rsid w:val="00A320F8"/>
    <w:rsid w:val="00A3310F"/>
    <w:rsid w:val="00A341ED"/>
    <w:rsid w:val="00A34A7F"/>
    <w:rsid w:val="00A4258A"/>
    <w:rsid w:val="00A44195"/>
    <w:rsid w:val="00A45348"/>
    <w:rsid w:val="00A46120"/>
    <w:rsid w:val="00A514A6"/>
    <w:rsid w:val="00A52125"/>
    <w:rsid w:val="00A55728"/>
    <w:rsid w:val="00A55F19"/>
    <w:rsid w:val="00A56164"/>
    <w:rsid w:val="00A57092"/>
    <w:rsid w:val="00A57B46"/>
    <w:rsid w:val="00A57E84"/>
    <w:rsid w:val="00A63A72"/>
    <w:rsid w:val="00A6569C"/>
    <w:rsid w:val="00A65B85"/>
    <w:rsid w:val="00A66A69"/>
    <w:rsid w:val="00A67FA9"/>
    <w:rsid w:val="00A72A55"/>
    <w:rsid w:val="00A72E3E"/>
    <w:rsid w:val="00A7452A"/>
    <w:rsid w:val="00A769A5"/>
    <w:rsid w:val="00A8094D"/>
    <w:rsid w:val="00A824DB"/>
    <w:rsid w:val="00A83182"/>
    <w:rsid w:val="00A86098"/>
    <w:rsid w:val="00A86BA5"/>
    <w:rsid w:val="00A8770C"/>
    <w:rsid w:val="00A87EE2"/>
    <w:rsid w:val="00A9094A"/>
    <w:rsid w:val="00A92315"/>
    <w:rsid w:val="00A9317E"/>
    <w:rsid w:val="00A94D0B"/>
    <w:rsid w:val="00A973AE"/>
    <w:rsid w:val="00AA420E"/>
    <w:rsid w:val="00AA4837"/>
    <w:rsid w:val="00AA4D49"/>
    <w:rsid w:val="00AA58B7"/>
    <w:rsid w:val="00AA5C68"/>
    <w:rsid w:val="00AA73BA"/>
    <w:rsid w:val="00AA7A97"/>
    <w:rsid w:val="00AB0752"/>
    <w:rsid w:val="00AB2B3C"/>
    <w:rsid w:val="00AB56AC"/>
    <w:rsid w:val="00AB5D12"/>
    <w:rsid w:val="00AB6647"/>
    <w:rsid w:val="00AC6678"/>
    <w:rsid w:val="00AD1D1B"/>
    <w:rsid w:val="00AD4E77"/>
    <w:rsid w:val="00AD4FF1"/>
    <w:rsid w:val="00AD5017"/>
    <w:rsid w:val="00AD6ED3"/>
    <w:rsid w:val="00AE2106"/>
    <w:rsid w:val="00AE477D"/>
    <w:rsid w:val="00AF09D9"/>
    <w:rsid w:val="00B01433"/>
    <w:rsid w:val="00B023C5"/>
    <w:rsid w:val="00B05917"/>
    <w:rsid w:val="00B11931"/>
    <w:rsid w:val="00B15B75"/>
    <w:rsid w:val="00B17B51"/>
    <w:rsid w:val="00B17F1A"/>
    <w:rsid w:val="00B211D8"/>
    <w:rsid w:val="00B217A5"/>
    <w:rsid w:val="00B21F75"/>
    <w:rsid w:val="00B2259D"/>
    <w:rsid w:val="00B23222"/>
    <w:rsid w:val="00B234EC"/>
    <w:rsid w:val="00B263DA"/>
    <w:rsid w:val="00B308EF"/>
    <w:rsid w:val="00B30C78"/>
    <w:rsid w:val="00B31240"/>
    <w:rsid w:val="00B322D3"/>
    <w:rsid w:val="00B32CC1"/>
    <w:rsid w:val="00B33DAF"/>
    <w:rsid w:val="00B34E7E"/>
    <w:rsid w:val="00B4256E"/>
    <w:rsid w:val="00B43B5B"/>
    <w:rsid w:val="00B46439"/>
    <w:rsid w:val="00B50397"/>
    <w:rsid w:val="00B5074D"/>
    <w:rsid w:val="00B50EF2"/>
    <w:rsid w:val="00B51244"/>
    <w:rsid w:val="00B512B8"/>
    <w:rsid w:val="00B5234D"/>
    <w:rsid w:val="00B52869"/>
    <w:rsid w:val="00B563B9"/>
    <w:rsid w:val="00B57D38"/>
    <w:rsid w:val="00B630F5"/>
    <w:rsid w:val="00B6528F"/>
    <w:rsid w:val="00B662F2"/>
    <w:rsid w:val="00B70DB8"/>
    <w:rsid w:val="00B80D4B"/>
    <w:rsid w:val="00B80EF8"/>
    <w:rsid w:val="00B81E8B"/>
    <w:rsid w:val="00B8223D"/>
    <w:rsid w:val="00B8303E"/>
    <w:rsid w:val="00B83486"/>
    <w:rsid w:val="00B85363"/>
    <w:rsid w:val="00B85E7B"/>
    <w:rsid w:val="00B936E0"/>
    <w:rsid w:val="00B95662"/>
    <w:rsid w:val="00B973FC"/>
    <w:rsid w:val="00B97C49"/>
    <w:rsid w:val="00B97D48"/>
    <w:rsid w:val="00B97ECE"/>
    <w:rsid w:val="00BA17B4"/>
    <w:rsid w:val="00BA203B"/>
    <w:rsid w:val="00BA2BA0"/>
    <w:rsid w:val="00BA3661"/>
    <w:rsid w:val="00BA5707"/>
    <w:rsid w:val="00BA5F62"/>
    <w:rsid w:val="00BA62E3"/>
    <w:rsid w:val="00BA7207"/>
    <w:rsid w:val="00BB03B8"/>
    <w:rsid w:val="00BB2281"/>
    <w:rsid w:val="00BB4AB5"/>
    <w:rsid w:val="00BB540C"/>
    <w:rsid w:val="00BB5D6D"/>
    <w:rsid w:val="00BB7C52"/>
    <w:rsid w:val="00BC0919"/>
    <w:rsid w:val="00BC1EBB"/>
    <w:rsid w:val="00BC303B"/>
    <w:rsid w:val="00BC5027"/>
    <w:rsid w:val="00BD04DE"/>
    <w:rsid w:val="00BD09A7"/>
    <w:rsid w:val="00BD48E2"/>
    <w:rsid w:val="00BE0263"/>
    <w:rsid w:val="00BE72A7"/>
    <w:rsid w:val="00BF2429"/>
    <w:rsid w:val="00BF37FD"/>
    <w:rsid w:val="00BF4616"/>
    <w:rsid w:val="00BF5362"/>
    <w:rsid w:val="00BF7DC4"/>
    <w:rsid w:val="00C00517"/>
    <w:rsid w:val="00C02A42"/>
    <w:rsid w:val="00C036D4"/>
    <w:rsid w:val="00C03808"/>
    <w:rsid w:val="00C07101"/>
    <w:rsid w:val="00C077DA"/>
    <w:rsid w:val="00C12650"/>
    <w:rsid w:val="00C148C6"/>
    <w:rsid w:val="00C15F41"/>
    <w:rsid w:val="00C17B61"/>
    <w:rsid w:val="00C2159C"/>
    <w:rsid w:val="00C22667"/>
    <w:rsid w:val="00C22E73"/>
    <w:rsid w:val="00C27345"/>
    <w:rsid w:val="00C30673"/>
    <w:rsid w:val="00C34389"/>
    <w:rsid w:val="00C35AEF"/>
    <w:rsid w:val="00C361EF"/>
    <w:rsid w:val="00C376EA"/>
    <w:rsid w:val="00C4026A"/>
    <w:rsid w:val="00C41B3B"/>
    <w:rsid w:val="00C42352"/>
    <w:rsid w:val="00C44B26"/>
    <w:rsid w:val="00C45A81"/>
    <w:rsid w:val="00C522FD"/>
    <w:rsid w:val="00C53115"/>
    <w:rsid w:val="00C53E83"/>
    <w:rsid w:val="00C54B9D"/>
    <w:rsid w:val="00C5721E"/>
    <w:rsid w:val="00C57B6E"/>
    <w:rsid w:val="00C64774"/>
    <w:rsid w:val="00C65C6E"/>
    <w:rsid w:val="00C65F21"/>
    <w:rsid w:val="00C66999"/>
    <w:rsid w:val="00C66DC7"/>
    <w:rsid w:val="00C670F1"/>
    <w:rsid w:val="00C7534F"/>
    <w:rsid w:val="00C76811"/>
    <w:rsid w:val="00C8033C"/>
    <w:rsid w:val="00C81590"/>
    <w:rsid w:val="00C83803"/>
    <w:rsid w:val="00C860B6"/>
    <w:rsid w:val="00C86745"/>
    <w:rsid w:val="00C900C6"/>
    <w:rsid w:val="00C91BD0"/>
    <w:rsid w:val="00C93E91"/>
    <w:rsid w:val="00C97DE4"/>
    <w:rsid w:val="00CA0000"/>
    <w:rsid w:val="00CA4AEC"/>
    <w:rsid w:val="00CA6F10"/>
    <w:rsid w:val="00CB37F9"/>
    <w:rsid w:val="00CB50B6"/>
    <w:rsid w:val="00CB73FA"/>
    <w:rsid w:val="00CB79FC"/>
    <w:rsid w:val="00CC2442"/>
    <w:rsid w:val="00CD1079"/>
    <w:rsid w:val="00CD23C2"/>
    <w:rsid w:val="00CD266B"/>
    <w:rsid w:val="00CD2876"/>
    <w:rsid w:val="00CD6D81"/>
    <w:rsid w:val="00CE2E3F"/>
    <w:rsid w:val="00CE65FA"/>
    <w:rsid w:val="00CE736A"/>
    <w:rsid w:val="00CE7F02"/>
    <w:rsid w:val="00CF196E"/>
    <w:rsid w:val="00CF3519"/>
    <w:rsid w:val="00CF4FDD"/>
    <w:rsid w:val="00CF68DF"/>
    <w:rsid w:val="00CF7085"/>
    <w:rsid w:val="00D01238"/>
    <w:rsid w:val="00D03261"/>
    <w:rsid w:val="00D03BE9"/>
    <w:rsid w:val="00D05290"/>
    <w:rsid w:val="00D06B02"/>
    <w:rsid w:val="00D07B8E"/>
    <w:rsid w:val="00D1074F"/>
    <w:rsid w:val="00D12741"/>
    <w:rsid w:val="00D14627"/>
    <w:rsid w:val="00D16257"/>
    <w:rsid w:val="00D2082C"/>
    <w:rsid w:val="00D22901"/>
    <w:rsid w:val="00D24E4F"/>
    <w:rsid w:val="00D25820"/>
    <w:rsid w:val="00D31624"/>
    <w:rsid w:val="00D316B5"/>
    <w:rsid w:val="00D32995"/>
    <w:rsid w:val="00D32E28"/>
    <w:rsid w:val="00D35271"/>
    <w:rsid w:val="00D52ADD"/>
    <w:rsid w:val="00D56C6C"/>
    <w:rsid w:val="00D629B6"/>
    <w:rsid w:val="00D6339D"/>
    <w:rsid w:val="00D6476E"/>
    <w:rsid w:val="00D65318"/>
    <w:rsid w:val="00D6713E"/>
    <w:rsid w:val="00D70565"/>
    <w:rsid w:val="00D709D1"/>
    <w:rsid w:val="00D70F34"/>
    <w:rsid w:val="00D7245B"/>
    <w:rsid w:val="00D83A3C"/>
    <w:rsid w:val="00D846C8"/>
    <w:rsid w:val="00D84C43"/>
    <w:rsid w:val="00D85042"/>
    <w:rsid w:val="00D86343"/>
    <w:rsid w:val="00D877B1"/>
    <w:rsid w:val="00D90F0D"/>
    <w:rsid w:val="00D920BA"/>
    <w:rsid w:val="00D92F77"/>
    <w:rsid w:val="00D9358D"/>
    <w:rsid w:val="00D944AE"/>
    <w:rsid w:val="00D96B8A"/>
    <w:rsid w:val="00DA04DF"/>
    <w:rsid w:val="00DA3D82"/>
    <w:rsid w:val="00DA7497"/>
    <w:rsid w:val="00DB33AA"/>
    <w:rsid w:val="00DB4581"/>
    <w:rsid w:val="00DB4BDF"/>
    <w:rsid w:val="00DB5EC5"/>
    <w:rsid w:val="00DB652D"/>
    <w:rsid w:val="00DC0A0D"/>
    <w:rsid w:val="00DC2989"/>
    <w:rsid w:val="00DC52B4"/>
    <w:rsid w:val="00DC556A"/>
    <w:rsid w:val="00DC5B78"/>
    <w:rsid w:val="00DC620E"/>
    <w:rsid w:val="00DD04F8"/>
    <w:rsid w:val="00DD063D"/>
    <w:rsid w:val="00DD1A53"/>
    <w:rsid w:val="00DD3657"/>
    <w:rsid w:val="00DD410E"/>
    <w:rsid w:val="00DD615C"/>
    <w:rsid w:val="00DD69EF"/>
    <w:rsid w:val="00DD6AAE"/>
    <w:rsid w:val="00DD6F6D"/>
    <w:rsid w:val="00DD76CA"/>
    <w:rsid w:val="00DD79D1"/>
    <w:rsid w:val="00DE21AA"/>
    <w:rsid w:val="00DE36E3"/>
    <w:rsid w:val="00DE4065"/>
    <w:rsid w:val="00DE4815"/>
    <w:rsid w:val="00DE4A11"/>
    <w:rsid w:val="00DE607E"/>
    <w:rsid w:val="00DE687F"/>
    <w:rsid w:val="00DE6AD4"/>
    <w:rsid w:val="00DE77EF"/>
    <w:rsid w:val="00DF2F71"/>
    <w:rsid w:val="00E00086"/>
    <w:rsid w:val="00E04C2C"/>
    <w:rsid w:val="00E05C98"/>
    <w:rsid w:val="00E06B6F"/>
    <w:rsid w:val="00E070CA"/>
    <w:rsid w:val="00E07289"/>
    <w:rsid w:val="00E11C54"/>
    <w:rsid w:val="00E12000"/>
    <w:rsid w:val="00E121F1"/>
    <w:rsid w:val="00E13FE5"/>
    <w:rsid w:val="00E157C7"/>
    <w:rsid w:val="00E168BC"/>
    <w:rsid w:val="00E17D36"/>
    <w:rsid w:val="00E207D2"/>
    <w:rsid w:val="00E20D1F"/>
    <w:rsid w:val="00E21E25"/>
    <w:rsid w:val="00E2339A"/>
    <w:rsid w:val="00E251D5"/>
    <w:rsid w:val="00E27F9C"/>
    <w:rsid w:val="00E300E3"/>
    <w:rsid w:val="00E30A24"/>
    <w:rsid w:val="00E335FF"/>
    <w:rsid w:val="00E37357"/>
    <w:rsid w:val="00E403C2"/>
    <w:rsid w:val="00E42669"/>
    <w:rsid w:val="00E432D1"/>
    <w:rsid w:val="00E464B2"/>
    <w:rsid w:val="00E53560"/>
    <w:rsid w:val="00E539DE"/>
    <w:rsid w:val="00E547D9"/>
    <w:rsid w:val="00E54F9E"/>
    <w:rsid w:val="00E5618B"/>
    <w:rsid w:val="00E562FB"/>
    <w:rsid w:val="00E574E7"/>
    <w:rsid w:val="00E6075F"/>
    <w:rsid w:val="00E60D91"/>
    <w:rsid w:val="00E6196B"/>
    <w:rsid w:val="00E6327F"/>
    <w:rsid w:val="00E66932"/>
    <w:rsid w:val="00E669F4"/>
    <w:rsid w:val="00E66A15"/>
    <w:rsid w:val="00E71A28"/>
    <w:rsid w:val="00E7645E"/>
    <w:rsid w:val="00E82B50"/>
    <w:rsid w:val="00E83597"/>
    <w:rsid w:val="00E84EC5"/>
    <w:rsid w:val="00E86236"/>
    <w:rsid w:val="00E87B59"/>
    <w:rsid w:val="00E90C91"/>
    <w:rsid w:val="00E92B40"/>
    <w:rsid w:val="00E930A8"/>
    <w:rsid w:val="00E940F5"/>
    <w:rsid w:val="00E9475D"/>
    <w:rsid w:val="00E94A51"/>
    <w:rsid w:val="00E952DA"/>
    <w:rsid w:val="00E9744D"/>
    <w:rsid w:val="00E97F85"/>
    <w:rsid w:val="00EA0DA7"/>
    <w:rsid w:val="00EA1B5F"/>
    <w:rsid w:val="00EA2D24"/>
    <w:rsid w:val="00EA50DB"/>
    <w:rsid w:val="00EA6D85"/>
    <w:rsid w:val="00EA7AB5"/>
    <w:rsid w:val="00EB17AD"/>
    <w:rsid w:val="00EB4524"/>
    <w:rsid w:val="00EB60B6"/>
    <w:rsid w:val="00EB71C4"/>
    <w:rsid w:val="00EC0F5F"/>
    <w:rsid w:val="00EC1167"/>
    <w:rsid w:val="00EC1726"/>
    <w:rsid w:val="00EC40A6"/>
    <w:rsid w:val="00EC5429"/>
    <w:rsid w:val="00EC587D"/>
    <w:rsid w:val="00EC7A05"/>
    <w:rsid w:val="00ED4799"/>
    <w:rsid w:val="00EE05D9"/>
    <w:rsid w:val="00EE3A01"/>
    <w:rsid w:val="00EF1A8B"/>
    <w:rsid w:val="00EF4530"/>
    <w:rsid w:val="00EF46F6"/>
    <w:rsid w:val="00EF504B"/>
    <w:rsid w:val="00EF638E"/>
    <w:rsid w:val="00F0054C"/>
    <w:rsid w:val="00F02BA1"/>
    <w:rsid w:val="00F036F1"/>
    <w:rsid w:val="00F03820"/>
    <w:rsid w:val="00F071D4"/>
    <w:rsid w:val="00F079AF"/>
    <w:rsid w:val="00F12DCC"/>
    <w:rsid w:val="00F14228"/>
    <w:rsid w:val="00F14D6F"/>
    <w:rsid w:val="00F168F9"/>
    <w:rsid w:val="00F21787"/>
    <w:rsid w:val="00F2325E"/>
    <w:rsid w:val="00F23612"/>
    <w:rsid w:val="00F24CAE"/>
    <w:rsid w:val="00F24CC4"/>
    <w:rsid w:val="00F250FE"/>
    <w:rsid w:val="00F26BA3"/>
    <w:rsid w:val="00F27103"/>
    <w:rsid w:val="00F31D14"/>
    <w:rsid w:val="00F326C8"/>
    <w:rsid w:val="00F331DF"/>
    <w:rsid w:val="00F33C9C"/>
    <w:rsid w:val="00F35357"/>
    <w:rsid w:val="00F35E85"/>
    <w:rsid w:val="00F366C4"/>
    <w:rsid w:val="00F40092"/>
    <w:rsid w:val="00F40790"/>
    <w:rsid w:val="00F40E48"/>
    <w:rsid w:val="00F412EC"/>
    <w:rsid w:val="00F441D3"/>
    <w:rsid w:val="00F47FFB"/>
    <w:rsid w:val="00F50E6D"/>
    <w:rsid w:val="00F5326C"/>
    <w:rsid w:val="00F54433"/>
    <w:rsid w:val="00F54B07"/>
    <w:rsid w:val="00F54D3C"/>
    <w:rsid w:val="00F5636F"/>
    <w:rsid w:val="00F602D6"/>
    <w:rsid w:val="00F60487"/>
    <w:rsid w:val="00F6058D"/>
    <w:rsid w:val="00F6200D"/>
    <w:rsid w:val="00F62CE4"/>
    <w:rsid w:val="00F6471C"/>
    <w:rsid w:val="00F6608A"/>
    <w:rsid w:val="00F67B26"/>
    <w:rsid w:val="00F73040"/>
    <w:rsid w:val="00F7418D"/>
    <w:rsid w:val="00F75287"/>
    <w:rsid w:val="00F77FAE"/>
    <w:rsid w:val="00F82F17"/>
    <w:rsid w:val="00F84F29"/>
    <w:rsid w:val="00F85335"/>
    <w:rsid w:val="00F92D72"/>
    <w:rsid w:val="00F97355"/>
    <w:rsid w:val="00F97417"/>
    <w:rsid w:val="00F9779C"/>
    <w:rsid w:val="00F977CD"/>
    <w:rsid w:val="00F97D17"/>
    <w:rsid w:val="00FA0F11"/>
    <w:rsid w:val="00FB1263"/>
    <w:rsid w:val="00FB2E23"/>
    <w:rsid w:val="00FB30C6"/>
    <w:rsid w:val="00FB3696"/>
    <w:rsid w:val="00FC2247"/>
    <w:rsid w:val="00FC2E89"/>
    <w:rsid w:val="00FC67C0"/>
    <w:rsid w:val="00FC6B78"/>
    <w:rsid w:val="00FD07D9"/>
    <w:rsid w:val="00FD5F0D"/>
    <w:rsid w:val="00FE320D"/>
    <w:rsid w:val="00FE6385"/>
    <w:rsid w:val="00FE6902"/>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6021F"/>
  <w15:docId w15:val="{BC9A0E22-F90D-4F9B-A8D1-65052823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E7E"/>
    <w:pPr>
      <w:widowControl w:val="0"/>
      <w:spacing w:line="360" w:lineRule="auto"/>
      <w:jc w:val="both"/>
    </w:pPr>
    <w:rPr>
      <w:rFonts w:ascii="Arial" w:hAnsi="Arial" w:cs="Arial"/>
      <w:spacing w:val="-3"/>
      <w:sz w:val="24"/>
      <w:szCs w:val="24"/>
      <w:lang w:eastAsia="en-US"/>
    </w:rPr>
  </w:style>
  <w:style w:type="paragraph" w:styleId="Heading1">
    <w:name w:val="heading 1"/>
    <w:basedOn w:val="Normal"/>
    <w:next w:val="Normal"/>
    <w:link w:val="Heading1Char"/>
    <w:qFormat/>
    <w:rsid w:val="00EC0F5F"/>
    <w:pPr>
      <w:numPr>
        <w:numId w:val="1"/>
      </w:numPr>
      <w:ind w:left="0" w:firstLine="0"/>
      <w:outlineLvl w:val="0"/>
    </w:pPr>
  </w:style>
  <w:style w:type="paragraph" w:styleId="Heading2">
    <w:name w:val="heading 2"/>
    <w:basedOn w:val="Normal"/>
    <w:next w:val="Normal"/>
    <w:link w:val="Heading2Char"/>
    <w:qFormat/>
    <w:rsid w:val="00257D35"/>
    <w:pPr>
      <w:numPr>
        <w:numId w:val="2"/>
      </w:numPr>
      <w:ind w:left="720" w:firstLine="0"/>
      <w:outlineLvl w:val="1"/>
    </w:pPr>
  </w:style>
  <w:style w:type="paragraph" w:styleId="Heading3">
    <w:name w:val="heading 3"/>
    <w:basedOn w:val="Normal"/>
    <w:next w:val="Normal"/>
    <w:qFormat/>
    <w:rsid w:val="0072728C"/>
    <w:pPr>
      <w:numPr>
        <w:numId w:val="3"/>
      </w:numPr>
      <w:ind w:left="1440" w:firstLine="0"/>
      <w:outlineLvl w:val="2"/>
    </w:pPr>
  </w:style>
  <w:style w:type="paragraph" w:styleId="Heading4">
    <w:name w:val="heading 4"/>
    <w:basedOn w:val="Normal"/>
    <w:next w:val="Normal"/>
    <w:qFormat/>
    <w:rsid w:val="00942F45"/>
    <w:pPr>
      <w:numPr>
        <w:ilvl w:val="3"/>
        <w:numId w:val="1"/>
      </w:numPr>
      <w:outlineLvl w:val="3"/>
    </w:pPr>
  </w:style>
  <w:style w:type="paragraph" w:styleId="Heading5">
    <w:name w:val="heading 5"/>
    <w:basedOn w:val="Normal"/>
    <w:next w:val="Normal"/>
    <w:qFormat/>
    <w:rsid w:val="00E7645E"/>
    <w:pPr>
      <w:numPr>
        <w:ilvl w:val="4"/>
        <w:numId w:val="1"/>
      </w:numPr>
      <w:outlineLvl w:val="4"/>
    </w:pPr>
  </w:style>
  <w:style w:type="paragraph" w:styleId="Heading6">
    <w:name w:val="heading 6"/>
    <w:basedOn w:val="Normal"/>
    <w:next w:val="Normal"/>
    <w:qFormat/>
    <w:rsid w:val="00E7645E"/>
    <w:pPr>
      <w:numPr>
        <w:ilvl w:val="5"/>
        <w:numId w:val="1"/>
      </w:numPr>
      <w:outlineLvl w:val="5"/>
    </w:pPr>
    <w:rPr>
      <w:i/>
      <w:sz w:val="22"/>
    </w:rPr>
  </w:style>
  <w:style w:type="paragraph" w:styleId="Heading7">
    <w:name w:val="heading 7"/>
    <w:basedOn w:val="Normal"/>
    <w:next w:val="Normal"/>
    <w:qFormat/>
    <w:rsid w:val="00E7645E"/>
    <w:pPr>
      <w:numPr>
        <w:ilvl w:val="6"/>
        <w:numId w:val="1"/>
      </w:numPr>
      <w:outlineLvl w:val="6"/>
    </w:pPr>
  </w:style>
  <w:style w:type="paragraph" w:styleId="Heading8">
    <w:name w:val="heading 8"/>
    <w:basedOn w:val="Normal"/>
    <w:next w:val="Normal"/>
    <w:qFormat/>
    <w:rsid w:val="00E7645E"/>
    <w:pPr>
      <w:numPr>
        <w:ilvl w:val="7"/>
        <w:numId w:val="1"/>
      </w:numPr>
      <w:outlineLvl w:val="7"/>
    </w:pPr>
    <w:rPr>
      <w:i/>
    </w:rPr>
  </w:style>
  <w:style w:type="paragraph" w:styleId="Heading9">
    <w:name w:val="heading 9"/>
    <w:basedOn w:val="Normal"/>
    <w:next w:val="Normal"/>
    <w:qFormat/>
    <w:rsid w:val="00E7645E"/>
    <w:pPr>
      <w:numPr>
        <w:ilvl w:val="8"/>
        <w:numId w:val="1"/>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E7645E"/>
  </w:style>
  <w:style w:type="paragraph" w:styleId="EnvelopeReturn">
    <w:name w:val="envelope return"/>
    <w:basedOn w:val="Normal"/>
    <w:semiHidden/>
    <w:rsid w:val="00E7645E"/>
    <w:rPr>
      <w:sz w:val="16"/>
    </w:rPr>
  </w:style>
  <w:style w:type="paragraph" w:styleId="Footer">
    <w:name w:val="footer"/>
    <w:basedOn w:val="Normal"/>
    <w:semiHidden/>
    <w:rsid w:val="00E7645E"/>
    <w:pPr>
      <w:tabs>
        <w:tab w:val="center" w:pos="4320"/>
        <w:tab w:val="right" w:pos="8640"/>
      </w:tabs>
    </w:pPr>
  </w:style>
  <w:style w:type="paragraph" w:styleId="Header">
    <w:name w:val="header"/>
    <w:basedOn w:val="Normal"/>
    <w:semiHidden/>
    <w:rsid w:val="00E7645E"/>
    <w:pPr>
      <w:tabs>
        <w:tab w:val="center" w:pos="4320"/>
        <w:tab w:val="right" w:pos="8640"/>
      </w:tabs>
    </w:pPr>
  </w:style>
  <w:style w:type="paragraph" w:styleId="ListBullet">
    <w:name w:val="List Bullet"/>
    <w:basedOn w:val="Normal"/>
    <w:next w:val="Normal"/>
    <w:autoRedefine/>
    <w:semiHidden/>
    <w:rsid w:val="00E7645E"/>
    <w:pPr>
      <w:spacing w:after="360"/>
      <w:ind w:left="357" w:hanging="357"/>
    </w:pPr>
  </w:style>
  <w:style w:type="paragraph" w:styleId="ListNumber">
    <w:name w:val="List Number"/>
    <w:basedOn w:val="Normal"/>
    <w:semiHidden/>
    <w:rsid w:val="00E7645E"/>
    <w:pPr>
      <w:ind w:left="360" w:hanging="360"/>
    </w:pPr>
  </w:style>
  <w:style w:type="character" w:styleId="PageNumber">
    <w:name w:val="page number"/>
    <w:basedOn w:val="DefaultParagraphFont"/>
    <w:semiHidden/>
    <w:rsid w:val="00E7645E"/>
    <w:rPr>
      <w:rFonts w:ascii="Arial" w:hAnsi="Arial"/>
    </w:rPr>
  </w:style>
  <w:style w:type="paragraph" w:styleId="Subtitle">
    <w:name w:val="Subtitle"/>
    <w:basedOn w:val="Normal"/>
    <w:qFormat/>
    <w:rsid w:val="00E7645E"/>
    <w:pPr>
      <w:spacing w:after="60"/>
      <w:jc w:val="center"/>
    </w:pPr>
    <w:rPr>
      <w:i/>
    </w:rPr>
  </w:style>
  <w:style w:type="paragraph" w:styleId="BodyText">
    <w:name w:val="Body Text"/>
    <w:basedOn w:val="Normal"/>
    <w:link w:val="BodyTextChar"/>
    <w:rsid w:val="00853524"/>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853524"/>
    <w:rPr>
      <w:sz w:val="24"/>
      <w:szCs w:val="24"/>
      <w:lang w:val="en-GB" w:eastAsia="en-US"/>
    </w:rPr>
  </w:style>
  <w:style w:type="paragraph" w:styleId="BodyTextIndent">
    <w:name w:val="Body Text Indent"/>
    <w:basedOn w:val="Normal"/>
    <w:link w:val="BodyTextIndentChar"/>
    <w:rsid w:val="00853524"/>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853524"/>
    <w:rPr>
      <w:sz w:val="24"/>
      <w:szCs w:val="24"/>
      <w:lang w:val="en-GB" w:eastAsia="en-US"/>
    </w:rPr>
  </w:style>
  <w:style w:type="paragraph" w:styleId="FootnoteText">
    <w:name w:val="footnote text"/>
    <w:basedOn w:val="Normal"/>
    <w:link w:val="FootnoteTextChar"/>
    <w:uiPriority w:val="99"/>
    <w:qFormat/>
    <w:rsid w:val="00853524"/>
    <w:rPr>
      <w:sz w:val="20"/>
      <w:szCs w:val="20"/>
    </w:rPr>
  </w:style>
  <w:style w:type="character" w:customStyle="1" w:styleId="FootnoteTextChar">
    <w:name w:val="Footnote Text Char"/>
    <w:basedOn w:val="DefaultParagraphFont"/>
    <w:link w:val="FootnoteText"/>
    <w:uiPriority w:val="99"/>
    <w:rsid w:val="00853524"/>
    <w:rPr>
      <w:rFonts w:ascii="Arial" w:hAnsi="Arial" w:cs="Arial"/>
      <w:spacing w:val="-3"/>
      <w:lang w:val="en-GB" w:eastAsia="en-US"/>
    </w:rPr>
  </w:style>
  <w:style w:type="character" w:styleId="FootnoteReference">
    <w:name w:val="footnote reference"/>
    <w:basedOn w:val="DefaultParagraphFont"/>
    <w:uiPriority w:val="99"/>
    <w:rsid w:val="00853524"/>
    <w:rPr>
      <w:vertAlign w:val="superscript"/>
    </w:rPr>
  </w:style>
  <w:style w:type="character" w:customStyle="1" w:styleId="Heading1Char">
    <w:name w:val="Heading 1 Char"/>
    <w:basedOn w:val="DefaultParagraphFont"/>
    <w:link w:val="Heading1"/>
    <w:rsid w:val="00EC0F5F"/>
    <w:rPr>
      <w:rFonts w:ascii="Arial" w:hAnsi="Arial" w:cs="Arial"/>
      <w:spacing w:val="-3"/>
      <w:sz w:val="24"/>
      <w:szCs w:val="24"/>
      <w:lang w:eastAsia="en-US"/>
    </w:rPr>
  </w:style>
  <w:style w:type="character" w:customStyle="1" w:styleId="Heading2Char">
    <w:name w:val="Heading 2 Char"/>
    <w:basedOn w:val="DefaultParagraphFont"/>
    <w:link w:val="Heading2"/>
    <w:rsid w:val="00257D35"/>
    <w:rPr>
      <w:rFonts w:ascii="Arial" w:hAnsi="Arial" w:cs="Arial"/>
      <w:spacing w:val="-3"/>
      <w:sz w:val="24"/>
      <w:szCs w:val="24"/>
      <w:lang w:eastAsia="en-US"/>
    </w:rPr>
  </w:style>
  <w:style w:type="paragraph" w:styleId="BalloonText">
    <w:name w:val="Balloon Text"/>
    <w:basedOn w:val="Normal"/>
    <w:link w:val="BalloonTextChar"/>
    <w:uiPriority w:val="99"/>
    <w:semiHidden/>
    <w:unhideWhenUsed/>
    <w:rsid w:val="008E3D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D66"/>
    <w:rPr>
      <w:rFonts w:ascii="Segoe UI" w:hAnsi="Segoe UI" w:cs="Segoe UI"/>
      <w:spacing w:val="-3"/>
      <w:sz w:val="18"/>
      <w:szCs w:val="18"/>
      <w:lang w:val="en-GB" w:eastAsia="en-US"/>
    </w:rPr>
  </w:style>
  <w:style w:type="paragraph" w:styleId="ListParagraph">
    <w:name w:val="List Paragraph"/>
    <w:basedOn w:val="Normal"/>
    <w:uiPriority w:val="34"/>
    <w:qFormat/>
    <w:rsid w:val="004C574D"/>
    <w:pPr>
      <w:widowControl/>
      <w:spacing w:after="200"/>
      <w:ind w:left="720"/>
      <w:contextualSpacing/>
    </w:pPr>
    <w:rPr>
      <w:rFonts w:cs="Times New Roman"/>
      <w:spacing w:val="0"/>
      <w:szCs w:val="22"/>
      <w:lang w:val="en-US"/>
    </w:rPr>
  </w:style>
  <w:style w:type="paragraph" w:styleId="NormalWeb">
    <w:name w:val="Normal (Web)"/>
    <w:basedOn w:val="Normal"/>
    <w:uiPriority w:val="99"/>
    <w:unhideWhenUsed/>
    <w:rsid w:val="00135CE1"/>
    <w:pPr>
      <w:widowControl/>
      <w:spacing w:before="100" w:beforeAutospacing="1" w:after="100" w:afterAutospacing="1" w:line="240" w:lineRule="auto"/>
      <w:jc w:val="left"/>
    </w:pPr>
    <w:rPr>
      <w:rFonts w:ascii="Times New Roman" w:hAnsi="Times New Roman" w:cs="Times New Roman"/>
      <w:spacing w:val="0"/>
    </w:rPr>
  </w:style>
  <w:style w:type="paragraph" w:customStyle="1" w:styleId="Default">
    <w:name w:val="Default"/>
    <w:rsid w:val="00257D35"/>
    <w:pPr>
      <w:widowControl w:val="0"/>
      <w:autoSpaceDE w:val="0"/>
      <w:autoSpaceDN w:val="0"/>
      <w:adjustRightInd w:val="0"/>
    </w:pPr>
    <w:rPr>
      <w:rFonts w:ascii="Arial" w:eastAsiaTheme="minorEastAsia" w:hAnsi="Arial" w:cs="Arial"/>
      <w:color w:val="000000"/>
      <w:sz w:val="24"/>
      <w:szCs w:val="24"/>
    </w:rPr>
  </w:style>
  <w:style w:type="paragraph" w:customStyle="1" w:styleId="CM1">
    <w:name w:val="CM1"/>
    <w:basedOn w:val="Default"/>
    <w:next w:val="Default"/>
    <w:uiPriority w:val="99"/>
    <w:rsid w:val="00257D35"/>
    <w:rPr>
      <w:color w:val="auto"/>
    </w:rPr>
  </w:style>
  <w:style w:type="paragraph" w:customStyle="1" w:styleId="CM11">
    <w:name w:val="CM11"/>
    <w:basedOn w:val="Default"/>
    <w:next w:val="Default"/>
    <w:uiPriority w:val="99"/>
    <w:rsid w:val="00257D35"/>
    <w:rPr>
      <w:color w:val="auto"/>
    </w:rPr>
  </w:style>
  <w:style w:type="paragraph" w:customStyle="1" w:styleId="CM12">
    <w:name w:val="CM12"/>
    <w:basedOn w:val="Default"/>
    <w:next w:val="Default"/>
    <w:uiPriority w:val="99"/>
    <w:rsid w:val="00257D35"/>
    <w:rPr>
      <w:color w:val="auto"/>
    </w:rPr>
  </w:style>
  <w:style w:type="paragraph" w:customStyle="1" w:styleId="CM3">
    <w:name w:val="CM3"/>
    <w:basedOn w:val="Default"/>
    <w:next w:val="Default"/>
    <w:uiPriority w:val="99"/>
    <w:rsid w:val="00257D35"/>
    <w:pPr>
      <w:spacing w:line="413" w:lineRule="atLeast"/>
    </w:pPr>
    <w:rPr>
      <w:color w:val="auto"/>
    </w:rPr>
  </w:style>
  <w:style w:type="paragraph" w:customStyle="1" w:styleId="CM13">
    <w:name w:val="CM13"/>
    <w:basedOn w:val="Default"/>
    <w:next w:val="Default"/>
    <w:uiPriority w:val="99"/>
    <w:rsid w:val="00257D35"/>
    <w:rPr>
      <w:color w:val="auto"/>
    </w:rPr>
  </w:style>
  <w:style w:type="paragraph" w:customStyle="1" w:styleId="CM5">
    <w:name w:val="CM5"/>
    <w:basedOn w:val="Default"/>
    <w:next w:val="Default"/>
    <w:uiPriority w:val="99"/>
    <w:rsid w:val="00257D35"/>
    <w:rPr>
      <w:color w:val="auto"/>
    </w:rPr>
  </w:style>
  <w:style w:type="paragraph" w:customStyle="1" w:styleId="CM6">
    <w:name w:val="CM6"/>
    <w:basedOn w:val="Default"/>
    <w:next w:val="Default"/>
    <w:uiPriority w:val="99"/>
    <w:rsid w:val="00257D35"/>
    <w:pPr>
      <w:spacing w:line="416" w:lineRule="atLeast"/>
    </w:pPr>
    <w:rPr>
      <w:color w:val="auto"/>
    </w:rPr>
  </w:style>
  <w:style w:type="paragraph" w:customStyle="1" w:styleId="CM15">
    <w:name w:val="CM15"/>
    <w:basedOn w:val="Default"/>
    <w:next w:val="Default"/>
    <w:uiPriority w:val="99"/>
    <w:rsid w:val="00257D35"/>
    <w:rPr>
      <w:color w:val="auto"/>
    </w:rPr>
  </w:style>
  <w:style w:type="paragraph" w:customStyle="1" w:styleId="CM9">
    <w:name w:val="CM9"/>
    <w:basedOn w:val="Default"/>
    <w:next w:val="Default"/>
    <w:uiPriority w:val="99"/>
    <w:rsid w:val="00257D35"/>
    <w:pPr>
      <w:spacing w:line="416" w:lineRule="atLeast"/>
    </w:pPr>
    <w:rPr>
      <w:color w:val="auto"/>
    </w:rPr>
  </w:style>
  <w:style w:type="paragraph" w:customStyle="1" w:styleId="CM14">
    <w:name w:val="CM14"/>
    <w:basedOn w:val="Default"/>
    <w:next w:val="Default"/>
    <w:uiPriority w:val="99"/>
    <w:rsid w:val="00257D35"/>
    <w:rPr>
      <w:color w:val="auto"/>
    </w:rPr>
  </w:style>
  <w:style w:type="paragraph" w:customStyle="1" w:styleId="CM10">
    <w:name w:val="CM10"/>
    <w:basedOn w:val="Default"/>
    <w:next w:val="Default"/>
    <w:uiPriority w:val="99"/>
    <w:rsid w:val="00257D35"/>
    <w:pPr>
      <w:spacing w:line="413" w:lineRule="atLeast"/>
    </w:pPr>
    <w:rPr>
      <w:color w:val="auto"/>
    </w:rPr>
  </w:style>
  <w:style w:type="paragraph" w:customStyle="1" w:styleId="CM16">
    <w:name w:val="CM16"/>
    <w:basedOn w:val="Default"/>
    <w:next w:val="Default"/>
    <w:uiPriority w:val="99"/>
    <w:rsid w:val="00257D35"/>
    <w:rPr>
      <w:color w:val="auto"/>
    </w:rPr>
  </w:style>
  <w:style w:type="character" w:styleId="CommentReference">
    <w:name w:val="annotation reference"/>
    <w:basedOn w:val="DefaultParagraphFont"/>
    <w:uiPriority w:val="99"/>
    <w:semiHidden/>
    <w:unhideWhenUsed/>
    <w:rsid w:val="002D035C"/>
    <w:rPr>
      <w:sz w:val="16"/>
      <w:szCs w:val="16"/>
    </w:rPr>
  </w:style>
  <w:style w:type="paragraph" w:styleId="CommentText">
    <w:name w:val="annotation text"/>
    <w:basedOn w:val="Normal"/>
    <w:link w:val="CommentTextChar"/>
    <w:uiPriority w:val="99"/>
    <w:semiHidden/>
    <w:unhideWhenUsed/>
    <w:rsid w:val="002D035C"/>
    <w:pPr>
      <w:spacing w:line="240" w:lineRule="auto"/>
    </w:pPr>
    <w:rPr>
      <w:sz w:val="20"/>
      <w:szCs w:val="20"/>
    </w:rPr>
  </w:style>
  <w:style w:type="character" w:customStyle="1" w:styleId="CommentTextChar">
    <w:name w:val="Comment Text Char"/>
    <w:basedOn w:val="DefaultParagraphFont"/>
    <w:link w:val="CommentText"/>
    <w:uiPriority w:val="99"/>
    <w:semiHidden/>
    <w:rsid w:val="002D035C"/>
    <w:rPr>
      <w:rFonts w:ascii="Arial" w:hAnsi="Arial" w:cs="Arial"/>
      <w:spacing w:val="-3"/>
      <w:lang w:val="en-GB" w:eastAsia="en-US"/>
    </w:rPr>
  </w:style>
  <w:style w:type="paragraph" w:styleId="CommentSubject">
    <w:name w:val="annotation subject"/>
    <w:basedOn w:val="CommentText"/>
    <w:next w:val="CommentText"/>
    <w:link w:val="CommentSubjectChar"/>
    <w:uiPriority w:val="99"/>
    <w:semiHidden/>
    <w:unhideWhenUsed/>
    <w:rsid w:val="002D035C"/>
    <w:rPr>
      <w:b/>
      <w:bCs/>
    </w:rPr>
  </w:style>
  <w:style w:type="character" w:customStyle="1" w:styleId="CommentSubjectChar">
    <w:name w:val="Comment Subject Char"/>
    <w:basedOn w:val="CommentTextChar"/>
    <w:link w:val="CommentSubject"/>
    <w:uiPriority w:val="99"/>
    <w:semiHidden/>
    <w:rsid w:val="002D035C"/>
    <w:rPr>
      <w:rFonts w:ascii="Arial" w:hAnsi="Arial" w:cs="Arial"/>
      <w:b/>
      <w:bCs/>
      <w:spacing w:val="-3"/>
      <w:lang w:val="en-GB" w:eastAsia="en-US"/>
    </w:rPr>
  </w:style>
  <w:style w:type="character" w:customStyle="1" w:styleId="footnoteanchor">
    <w:name w:val="footnoteanchor"/>
    <w:basedOn w:val="DefaultParagraphFont"/>
    <w:rsid w:val="00934A94"/>
  </w:style>
  <w:style w:type="character" w:styleId="Hyperlink">
    <w:name w:val="Hyperlink"/>
    <w:basedOn w:val="DefaultParagraphFont"/>
    <w:uiPriority w:val="99"/>
    <w:semiHidden/>
    <w:unhideWhenUsed/>
    <w:rsid w:val="00934A94"/>
    <w:rPr>
      <w:color w:val="0000FF"/>
      <w:u w:val="single"/>
    </w:rPr>
  </w:style>
  <w:style w:type="character" w:customStyle="1" w:styleId="mc">
    <w:name w:val="mc"/>
    <w:basedOn w:val="DefaultParagraphFont"/>
    <w:rsid w:val="00934A94"/>
  </w:style>
  <w:style w:type="paragraph" w:styleId="Revision">
    <w:name w:val="Revision"/>
    <w:hidden/>
    <w:uiPriority w:val="99"/>
    <w:semiHidden/>
    <w:rsid w:val="009B07B0"/>
    <w:rPr>
      <w:rFonts w:ascii="Arial" w:hAnsi="Arial" w:cs="Arial"/>
      <w:spacing w:val="-3"/>
      <w:sz w:val="24"/>
      <w:szCs w:val="24"/>
      <w:lang w:val="en-GB" w:eastAsia="en-US"/>
    </w:rPr>
  </w:style>
  <w:style w:type="paragraph" w:styleId="NoSpacing">
    <w:name w:val="No Spacing"/>
    <w:uiPriority w:val="1"/>
    <w:qFormat/>
    <w:rsid w:val="00DD6F6D"/>
    <w:pPr>
      <w:widowControl w:val="0"/>
      <w:jc w:val="both"/>
    </w:pPr>
    <w:rPr>
      <w:rFonts w:ascii="Arial" w:hAnsi="Arial" w:cs="Arial"/>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244189">
      <w:bodyDiv w:val="1"/>
      <w:marLeft w:val="0"/>
      <w:marRight w:val="0"/>
      <w:marTop w:val="0"/>
      <w:marBottom w:val="0"/>
      <w:divBdr>
        <w:top w:val="none" w:sz="0" w:space="0" w:color="auto"/>
        <w:left w:val="none" w:sz="0" w:space="0" w:color="auto"/>
        <w:bottom w:val="none" w:sz="0" w:space="0" w:color="auto"/>
        <w:right w:val="none" w:sz="0" w:space="0" w:color="auto"/>
      </w:divBdr>
    </w:div>
    <w:div w:id="2100439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Documents\Custom%20Office%20Templates\Pleadings\Affidav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2023-04-04T18:30:00+00:00</Judgment_x0020_Date>
    <Year xmlns="aec0a7e9-5f5c-4ba9-87b2-85cfc8a38b86">2023</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C3C1D5-CF83-44D4-9EF2-84970377AFF0}">
  <ds:schemaRefs>
    <ds:schemaRef ds:uri="http://schemas.openxmlformats.org/officeDocument/2006/bibliography"/>
  </ds:schemaRefs>
</ds:datastoreItem>
</file>

<file path=customXml/itemProps2.xml><?xml version="1.0" encoding="utf-8"?>
<ds:datastoreItem xmlns:ds="http://schemas.openxmlformats.org/officeDocument/2006/customXml" ds:itemID="{7923B145-05CA-450D-9CFA-86BA85D6A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ec0a7e9-5f5c-4ba9-87b2-85cfc8a3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B6630-1A55-4226-B604-6394DEC329AE}">
  <ds:schemaRefs>
    <ds:schemaRef ds:uri="http://schemas.microsoft.com/office/2006/metadata/properties"/>
    <ds:schemaRef ds:uri="http://schemas.microsoft.com/office/infopath/2007/PartnerControls"/>
    <ds:schemaRef ds:uri="17a0f4bd-1162-49ac-b85f-dfe96a90bc01"/>
    <ds:schemaRef ds:uri="aec0a7e9-5f5c-4ba9-87b2-85cfc8a38b86"/>
  </ds:schemaRefs>
</ds:datastoreItem>
</file>

<file path=customXml/itemProps4.xml><?xml version="1.0" encoding="utf-8"?>
<ds:datastoreItem xmlns:ds="http://schemas.openxmlformats.org/officeDocument/2006/customXml" ds:itemID="{AF71559C-1F5C-49FC-9F97-CD99330BC2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Affidavit</Template>
  <TotalTime>1882</TotalTime>
  <Pages>21</Pages>
  <Words>5543</Words>
  <Characters>31596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Namibia Standards Institution v Haukongo (HC-MD-LAB-MOT-GEN-202300050) 2023 NALCMD 17 (5 April 2023)</dc:title>
  <dc:subject/>
  <dc:creator>Monica</dc:creator>
  <cp:keywords/>
  <dc:description/>
  <cp:lastModifiedBy>Mariana Anguelov</cp:lastModifiedBy>
  <cp:revision>36</cp:revision>
  <cp:lastPrinted>2023-04-04T13:17:00Z</cp:lastPrinted>
  <dcterms:created xsi:type="dcterms:W3CDTF">2023-03-29T09:14:00Z</dcterms:created>
  <dcterms:modified xsi:type="dcterms:W3CDTF">2023-04-07T17:57:00Z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b6910caf408c31acfb96933886e011f04a99956a06965b9bd9452ad5b6b4abbc</vt:lpwstr>
  </property>
  <property fmtid="{D5CDD505-2E9C-101B-9397-08002B2CF9AE}" pid="3" name="ContentTypeId">
    <vt:lpwstr>0x0101008CCF6D66F229EE4D8B714E6AF2A2557D</vt:lpwstr>
  </property>
</Properties>
</file>