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DF" w:rsidRPr="00B76BDF" w:rsidRDefault="00A32D52" w:rsidP="00205246">
      <w:pPr>
        <w:jc w:val="right"/>
        <w:rPr>
          <w:rFonts w:ascii="Arial" w:hAnsi="Arial"/>
          <w:b/>
        </w:rPr>
      </w:pPr>
      <w:bookmarkStart w:id="0" w:name="_GoBack"/>
      <w:bookmarkEnd w:id="0"/>
      <w:r w:rsidRPr="00B76BDF">
        <w:rPr>
          <w:rFonts w:ascii="Arial" w:hAnsi="Arial"/>
          <w:b/>
        </w:rPr>
        <w:t>REPORTABLE</w:t>
      </w:r>
    </w:p>
    <w:p w:rsidR="00B76BDF" w:rsidRDefault="00B76BDF" w:rsidP="00205246">
      <w:pPr>
        <w:jc w:val="right"/>
        <w:rPr>
          <w:rFonts w:ascii="Arial" w:hAnsi="Arial"/>
        </w:rPr>
      </w:pPr>
    </w:p>
    <w:p w:rsidR="00867971" w:rsidRDefault="00C86030" w:rsidP="00205246">
      <w:pPr>
        <w:jc w:val="right"/>
        <w:rPr>
          <w:rFonts w:ascii="Arial" w:hAnsi="Arial"/>
        </w:rPr>
      </w:pPr>
      <w:r>
        <w:rPr>
          <w:rFonts w:ascii="Arial" w:hAnsi="Arial"/>
        </w:rPr>
        <w:t>CASE NO:</w:t>
      </w:r>
      <w:r w:rsidR="00E84176">
        <w:rPr>
          <w:rFonts w:ascii="Arial" w:hAnsi="Arial"/>
        </w:rPr>
        <w:t xml:space="preserve"> </w:t>
      </w:r>
      <w:r w:rsidR="004447ED">
        <w:rPr>
          <w:rFonts w:ascii="Arial" w:hAnsi="Arial"/>
        </w:rPr>
        <w:t>S</w:t>
      </w:r>
      <w:r>
        <w:rPr>
          <w:rFonts w:ascii="Arial" w:hAnsi="Arial"/>
        </w:rPr>
        <w:t>A 57/2013</w:t>
      </w:r>
    </w:p>
    <w:p w:rsidR="00205246" w:rsidRDefault="00205246" w:rsidP="00205246">
      <w:pPr>
        <w:jc w:val="right"/>
        <w:rPr>
          <w:rFonts w:ascii="Arial" w:hAnsi="Arial"/>
        </w:rPr>
      </w:pPr>
    </w:p>
    <w:p w:rsidR="00205246" w:rsidRDefault="00205246" w:rsidP="00205246">
      <w:pPr>
        <w:rPr>
          <w:rFonts w:ascii="Arial" w:hAnsi="Arial"/>
        </w:rPr>
      </w:pPr>
    </w:p>
    <w:p w:rsidR="00205246" w:rsidRPr="00B76BDF" w:rsidRDefault="00B76BDF" w:rsidP="00205246">
      <w:pPr>
        <w:rPr>
          <w:rFonts w:ascii="Arial" w:hAnsi="Arial"/>
          <w:b/>
        </w:rPr>
      </w:pPr>
      <w:r w:rsidRPr="00B76BDF">
        <w:rPr>
          <w:rFonts w:ascii="Arial" w:hAnsi="Arial"/>
          <w:b/>
        </w:rPr>
        <w:t xml:space="preserve">IN THE </w:t>
      </w:r>
      <w:r w:rsidR="00205246" w:rsidRPr="00B76BDF">
        <w:rPr>
          <w:rFonts w:ascii="Arial" w:hAnsi="Arial"/>
          <w:b/>
        </w:rPr>
        <w:t>SUPREME COURT OF NAMIBIA</w:t>
      </w:r>
    </w:p>
    <w:p w:rsidR="00205246" w:rsidRDefault="00205246" w:rsidP="00205246">
      <w:pPr>
        <w:rPr>
          <w:rFonts w:ascii="Arial" w:hAnsi="Arial"/>
        </w:rPr>
      </w:pPr>
    </w:p>
    <w:p w:rsidR="00205246" w:rsidRDefault="00205246" w:rsidP="00205246">
      <w:pPr>
        <w:rPr>
          <w:rFonts w:ascii="Arial" w:hAnsi="Arial"/>
        </w:rPr>
      </w:pPr>
    </w:p>
    <w:p w:rsidR="00205246" w:rsidRDefault="00205246" w:rsidP="00205246">
      <w:pPr>
        <w:rPr>
          <w:rFonts w:ascii="Arial" w:hAnsi="Arial"/>
        </w:rPr>
      </w:pPr>
      <w:r>
        <w:rPr>
          <w:rFonts w:ascii="Arial" w:hAnsi="Arial"/>
        </w:rPr>
        <w:t>In the matter between</w:t>
      </w:r>
    </w:p>
    <w:p w:rsidR="00205246" w:rsidRDefault="00205246" w:rsidP="00205246">
      <w:pPr>
        <w:rPr>
          <w:rFonts w:ascii="Arial" w:hAnsi="Arial"/>
        </w:rPr>
      </w:pPr>
    </w:p>
    <w:p w:rsidR="00EA3FE6" w:rsidRDefault="00EA3FE6" w:rsidP="00205246">
      <w:pPr>
        <w:rPr>
          <w:rFonts w:ascii="Arial" w:hAnsi="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199"/>
      </w:tblGrid>
      <w:tr w:rsidR="00EA3FE6" w:rsidTr="00691262">
        <w:tc>
          <w:tcPr>
            <w:tcW w:w="6091" w:type="dxa"/>
          </w:tcPr>
          <w:p w:rsidR="00EA3FE6" w:rsidRDefault="00EA3FE6" w:rsidP="007B4C02">
            <w:pPr>
              <w:rPr>
                <w:rFonts w:ascii="Arial" w:hAnsi="Arial"/>
              </w:rPr>
            </w:pPr>
            <w:r>
              <w:rPr>
                <w:rFonts w:ascii="Arial" w:hAnsi="Arial"/>
                <w:b/>
              </w:rPr>
              <w:t>VINSON  HAILULU</w:t>
            </w:r>
          </w:p>
        </w:tc>
        <w:tc>
          <w:tcPr>
            <w:tcW w:w="2199" w:type="dxa"/>
          </w:tcPr>
          <w:p w:rsidR="00EA3FE6" w:rsidRDefault="00EA3FE6" w:rsidP="00EA3FE6">
            <w:pPr>
              <w:jc w:val="right"/>
              <w:rPr>
                <w:rFonts w:ascii="Arial" w:hAnsi="Arial"/>
              </w:rPr>
            </w:pPr>
            <w:r>
              <w:rPr>
                <w:rFonts w:ascii="Arial" w:hAnsi="Arial"/>
                <w:b/>
              </w:rPr>
              <w:t>Appellant</w:t>
            </w:r>
          </w:p>
        </w:tc>
      </w:tr>
    </w:tbl>
    <w:p w:rsidR="00EA3FE6" w:rsidRDefault="00EA3FE6" w:rsidP="00205246">
      <w:pPr>
        <w:rPr>
          <w:rFonts w:ascii="Arial" w:hAnsi="Arial"/>
        </w:rPr>
      </w:pPr>
    </w:p>
    <w:p w:rsidR="00205246" w:rsidRDefault="006B278E" w:rsidP="00F5270E">
      <w:pPr>
        <w:rPr>
          <w:rFonts w:ascii="Arial" w:hAnsi="Arial"/>
        </w:rPr>
      </w:pPr>
      <w:proofErr w:type="gramStart"/>
      <w:r>
        <w:rPr>
          <w:rFonts w:ascii="Arial" w:hAnsi="Arial"/>
        </w:rPr>
        <w:t>a</w:t>
      </w:r>
      <w:r w:rsidR="00205246" w:rsidRPr="00F1467A">
        <w:rPr>
          <w:rFonts w:ascii="Arial" w:hAnsi="Arial"/>
        </w:rPr>
        <w:t>nd</w:t>
      </w:r>
      <w:proofErr w:type="gramEnd"/>
    </w:p>
    <w:p w:rsidR="00205246" w:rsidRDefault="00205246" w:rsidP="00F5270E">
      <w:pPr>
        <w:rPr>
          <w:rFonts w:ascii="Arial" w:hAnsi="Arial"/>
          <w:b/>
        </w:rPr>
      </w:pPr>
    </w:p>
    <w:tbl>
      <w:tblPr>
        <w:tblStyle w:val="TableGrid"/>
        <w:tblW w:w="835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694"/>
      </w:tblGrid>
      <w:tr w:rsidR="00EA3FE6" w:rsidTr="00691262">
        <w:tc>
          <w:tcPr>
            <w:tcW w:w="5665" w:type="dxa"/>
          </w:tcPr>
          <w:p w:rsidR="00EA3FE6" w:rsidRDefault="00EA3FE6" w:rsidP="007B4C02">
            <w:pPr>
              <w:ind w:left="39"/>
              <w:rPr>
                <w:rFonts w:ascii="Arial" w:hAnsi="Arial"/>
                <w:b/>
              </w:rPr>
            </w:pPr>
            <w:r>
              <w:rPr>
                <w:rFonts w:ascii="Arial" w:hAnsi="Arial"/>
                <w:b/>
              </w:rPr>
              <w:t>DIRECTOR, ANTI-CORRUPTION COMMISSION</w:t>
            </w:r>
          </w:p>
        </w:tc>
        <w:tc>
          <w:tcPr>
            <w:tcW w:w="2694" w:type="dxa"/>
          </w:tcPr>
          <w:p w:rsidR="00EA3FE6" w:rsidRDefault="00EA3FE6" w:rsidP="00EA3FE6">
            <w:pPr>
              <w:jc w:val="right"/>
              <w:rPr>
                <w:rFonts w:ascii="Arial" w:hAnsi="Arial"/>
                <w:b/>
              </w:rPr>
            </w:pPr>
            <w:r>
              <w:rPr>
                <w:rFonts w:ascii="Arial" w:hAnsi="Arial"/>
                <w:b/>
              </w:rPr>
              <w:t>First Respondent</w:t>
            </w:r>
          </w:p>
        </w:tc>
      </w:tr>
      <w:tr w:rsidR="00691262" w:rsidTr="00691262">
        <w:tc>
          <w:tcPr>
            <w:tcW w:w="5665" w:type="dxa"/>
          </w:tcPr>
          <w:p w:rsidR="00691262" w:rsidRDefault="00691262" w:rsidP="00691262">
            <w:pPr>
              <w:rPr>
                <w:rFonts w:ascii="Arial" w:hAnsi="Arial"/>
                <w:b/>
              </w:rPr>
            </w:pPr>
          </w:p>
        </w:tc>
        <w:tc>
          <w:tcPr>
            <w:tcW w:w="2694" w:type="dxa"/>
          </w:tcPr>
          <w:p w:rsidR="00691262" w:rsidRDefault="00691262" w:rsidP="00EA3FE6">
            <w:pPr>
              <w:jc w:val="right"/>
              <w:rPr>
                <w:rFonts w:ascii="Arial" w:hAnsi="Arial"/>
                <w:b/>
              </w:rPr>
            </w:pPr>
          </w:p>
        </w:tc>
      </w:tr>
      <w:tr w:rsidR="00EA3FE6" w:rsidTr="00691262">
        <w:tc>
          <w:tcPr>
            <w:tcW w:w="5665" w:type="dxa"/>
          </w:tcPr>
          <w:p w:rsidR="00EA3FE6" w:rsidRDefault="00EA3FE6" w:rsidP="007B4C02">
            <w:pPr>
              <w:ind w:left="147" w:hanging="108"/>
              <w:rPr>
                <w:rFonts w:ascii="Arial" w:hAnsi="Arial"/>
                <w:b/>
              </w:rPr>
            </w:pPr>
            <w:r>
              <w:rPr>
                <w:rFonts w:ascii="Arial" w:hAnsi="Arial"/>
                <w:b/>
              </w:rPr>
              <w:t>ANTI-CORRUPTION COMMISSION</w:t>
            </w:r>
          </w:p>
        </w:tc>
        <w:tc>
          <w:tcPr>
            <w:tcW w:w="2694" w:type="dxa"/>
          </w:tcPr>
          <w:p w:rsidR="00EA3FE6" w:rsidRDefault="00EA3FE6" w:rsidP="007B4C02">
            <w:pPr>
              <w:ind w:hanging="108"/>
              <w:jc w:val="right"/>
              <w:rPr>
                <w:rFonts w:ascii="Arial" w:hAnsi="Arial"/>
                <w:b/>
              </w:rPr>
            </w:pPr>
            <w:r>
              <w:rPr>
                <w:rFonts w:ascii="Arial" w:hAnsi="Arial"/>
                <w:b/>
              </w:rPr>
              <w:t>Second Respondent</w:t>
            </w:r>
          </w:p>
        </w:tc>
      </w:tr>
      <w:tr w:rsidR="00691262" w:rsidTr="00691262">
        <w:tc>
          <w:tcPr>
            <w:tcW w:w="5665" w:type="dxa"/>
          </w:tcPr>
          <w:p w:rsidR="00691262" w:rsidRDefault="00777AD5" w:rsidP="007B4C02">
            <w:pPr>
              <w:ind w:left="147" w:hanging="108"/>
              <w:rPr>
                <w:rFonts w:ascii="Arial" w:hAnsi="Arial"/>
                <w:b/>
              </w:rPr>
            </w:pPr>
            <w:r>
              <w:rPr>
                <w:rFonts w:ascii="Arial" w:hAnsi="Arial"/>
                <w:b/>
              </w:rPr>
              <w:t xml:space="preserve"> </w:t>
            </w:r>
          </w:p>
        </w:tc>
        <w:tc>
          <w:tcPr>
            <w:tcW w:w="2694" w:type="dxa"/>
          </w:tcPr>
          <w:p w:rsidR="00691262" w:rsidRDefault="00691262" w:rsidP="007B4C02">
            <w:pPr>
              <w:ind w:hanging="108"/>
              <w:jc w:val="right"/>
              <w:rPr>
                <w:rFonts w:ascii="Arial" w:hAnsi="Arial"/>
                <w:b/>
              </w:rPr>
            </w:pPr>
          </w:p>
        </w:tc>
      </w:tr>
      <w:tr w:rsidR="00EA3FE6" w:rsidTr="00691262">
        <w:tc>
          <w:tcPr>
            <w:tcW w:w="5665" w:type="dxa"/>
          </w:tcPr>
          <w:p w:rsidR="00EA3FE6" w:rsidRDefault="00EA3FE6" w:rsidP="007B4C02">
            <w:pPr>
              <w:ind w:left="147" w:hanging="108"/>
              <w:rPr>
                <w:rFonts w:ascii="Arial" w:hAnsi="Arial"/>
                <w:b/>
              </w:rPr>
            </w:pPr>
            <w:r>
              <w:rPr>
                <w:rFonts w:ascii="Arial" w:hAnsi="Arial"/>
                <w:b/>
              </w:rPr>
              <w:t>NATIONAL UNION OF NAMIBIAN WORKERS</w:t>
            </w:r>
          </w:p>
        </w:tc>
        <w:tc>
          <w:tcPr>
            <w:tcW w:w="2694" w:type="dxa"/>
          </w:tcPr>
          <w:p w:rsidR="00EA3FE6" w:rsidRDefault="00EA3FE6" w:rsidP="007B4C02">
            <w:pPr>
              <w:ind w:hanging="108"/>
              <w:jc w:val="right"/>
              <w:rPr>
                <w:rFonts w:ascii="Arial" w:hAnsi="Arial"/>
                <w:b/>
              </w:rPr>
            </w:pPr>
            <w:r>
              <w:rPr>
                <w:rFonts w:ascii="Arial" w:hAnsi="Arial"/>
                <w:b/>
              </w:rPr>
              <w:t>Third Respondent</w:t>
            </w:r>
          </w:p>
        </w:tc>
      </w:tr>
      <w:tr w:rsidR="00691262" w:rsidTr="00691262">
        <w:tc>
          <w:tcPr>
            <w:tcW w:w="5665" w:type="dxa"/>
          </w:tcPr>
          <w:p w:rsidR="00691262" w:rsidRDefault="00691262" w:rsidP="007B4C02">
            <w:pPr>
              <w:ind w:left="147" w:hanging="108"/>
              <w:rPr>
                <w:rFonts w:ascii="Arial" w:hAnsi="Arial"/>
                <w:b/>
              </w:rPr>
            </w:pPr>
          </w:p>
        </w:tc>
        <w:tc>
          <w:tcPr>
            <w:tcW w:w="2694" w:type="dxa"/>
          </w:tcPr>
          <w:p w:rsidR="00691262" w:rsidRDefault="00691262" w:rsidP="007B4C02">
            <w:pPr>
              <w:ind w:hanging="108"/>
              <w:jc w:val="right"/>
              <w:rPr>
                <w:rFonts w:ascii="Arial" w:hAnsi="Arial"/>
                <w:b/>
              </w:rPr>
            </w:pPr>
          </w:p>
        </w:tc>
      </w:tr>
      <w:tr w:rsidR="00EA3FE6" w:rsidTr="00691262">
        <w:tc>
          <w:tcPr>
            <w:tcW w:w="5665" w:type="dxa"/>
          </w:tcPr>
          <w:p w:rsidR="00EA3FE6" w:rsidRDefault="00EA3FE6" w:rsidP="007B4C02">
            <w:pPr>
              <w:ind w:left="147" w:hanging="108"/>
              <w:rPr>
                <w:rFonts w:ascii="Arial" w:hAnsi="Arial"/>
                <w:b/>
              </w:rPr>
            </w:pPr>
            <w:r>
              <w:rPr>
                <w:rFonts w:ascii="Arial" w:hAnsi="Arial"/>
                <w:b/>
              </w:rPr>
              <w:t>MAGISTRATE, MAGISTRATES’ COURT,</w:t>
            </w:r>
          </w:p>
          <w:p w:rsidR="00EA3FE6" w:rsidRDefault="00EA3FE6" w:rsidP="007B4C02">
            <w:pPr>
              <w:ind w:left="147" w:hanging="108"/>
              <w:rPr>
                <w:rFonts w:ascii="Arial" w:hAnsi="Arial"/>
                <w:b/>
              </w:rPr>
            </w:pPr>
            <w:r>
              <w:rPr>
                <w:rFonts w:ascii="Arial" w:hAnsi="Arial"/>
                <w:b/>
              </w:rPr>
              <w:t>WINDHOEK</w:t>
            </w:r>
          </w:p>
        </w:tc>
        <w:tc>
          <w:tcPr>
            <w:tcW w:w="2694" w:type="dxa"/>
          </w:tcPr>
          <w:p w:rsidR="00DC7EC4" w:rsidRDefault="00DC7EC4" w:rsidP="007B4C02">
            <w:pPr>
              <w:ind w:hanging="108"/>
              <w:jc w:val="right"/>
              <w:rPr>
                <w:rFonts w:ascii="Arial" w:hAnsi="Arial"/>
                <w:b/>
              </w:rPr>
            </w:pPr>
          </w:p>
          <w:p w:rsidR="00EA3FE6" w:rsidRDefault="00691262" w:rsidP="007B4C02">
            <w:pPr>
              <w:ind w:hanging="108"/>
              <w:jc w:val="right"/>
              <w:rPr>
                <w:rFonts w:ascii="Arial" w:hAnsi="Arial"/>
                <w:b/>
              </w:rPr>
            </w:pPr>
            <w:r>
              <w:rPr>
                <w:rFonts w:ascii="Arial" w:hAnsi="Arial"/>
                <w:b/>
              </w:rPr>
              <w:t>Fourth Respondent</w:t>
            </w:r>
          </w:p>
        </w:tc>
      </w:tr>
      <w:tr w:rsidR="00691262" w:rsidTr="00691262">
        <w:tc>
          <w:tcPr>
            <w:tcW w:w="5665" w:type="dxa"/>
          </w:tcPr>
          <w:p w:rsidR="00691262" w:rsidRDefault="00691262" w:rsidP="007B4C02">
            <w:pPr>
              <w:ind w:hanging="108"/>
              <w:rPr>
                <w:rFonts w:ascii="Arial" w:hAnsi="Arial"/>
                <w:b/>
              </w:rPr>
            </w:pPr>
          </w:p>
        </w:tc>
        <w:tc>
          <w:tcPr>
            <w:tcW w:w="2694" w:type="dxa"/>
          </w:tcPr>
          <w:p w:rsidR="00691262" w:rsidRDefault="00691262" w:rsidP="007B4C02">
            <w:pPr>
              <w:ind w:hanging="108"/>
              <w:jc w:val="right"/>
              <w:rPr>
                <w:rFonts w:ascii="Arial" w:hAnsi="Arial"/>
                <w:b/>
              </w:rPr>
            </w:pPr>
          </w:p>
        </w:tc>
      </w:tr>
      <w:tr w:rsidR="00EA3FE6" w:rsidTr="00691262">
        <w:tc>
          <w:tcPr>
            <w:tcW w:w="5665" w:type="dxa"/>
          </w:tcPr>
          <w:p w:rsidR="00EA3FE6" w:rsidRDefault="00EA3FE6" w:rsidP="007B4C02">
            <w:pPr>
              <w:ind w:left="147" w:hanging="108"/>
              <w:rPr>
                <w:rFonts w:ascii="Arial" w:hAnsi="Arial"/>
                <w:b/>
              </w:rPr>
            </w:pPr>
            <w:r>
              <w:rPr>
                <w:rFonts w:ascii="Arial" w:hAnsi="Arial"/>
                <w:b/>
              </w:rPr>
              <w:t>PROSECUTOR-GENERAL</w:t>
            </w:r>
          </w:p>
        </w:tc>
        <w:tc>
          <w:tcPr>
            <w:tcW w:w="2694" w:type="dxa"/>
          </w:tcPr>
          <w:p w:rsidR="00EA3FE6" w:rsidRDefault="00691262" w:rsidP="007B4C02">
            <w:pPr>
              <w:ind w:hanging="108"/>
              <w:jc w:val="right"/>
              <w:rPr>
                <w:rFonts w:ascii="Arial" w:hAnsi="Arial"/>
                <w:b/>
              </w:rPr>
            </w:pPr>
            <w:r>
              <w:rPr>
                <w:rFonts w:ascii="Arial" w:hAnsi="Arial"/>
                <w:b/>
              </w:rPr>
              <w:t>Fifth Respondent</w:t>
            </w:r>
          </w:p>
        </w:tc>
      </w:tr>
    </w:tbl>
    <w:p w:rsidR="00F1467A" w:rsidRDefault="00F1467A" w:rsidP="00205246">
      <w:pPr>
        <w:rPr>
          <w:rFonts w:ascii="Arial" w:hAnsi="Arial"/>
          <w:b/>
        </w:rPr>
      </w:pPr>
    </w:p>
    <w:p w:rsidR="00F1467A" w:rsidRDefault="00F1467A" w:rsidP="00205246">
      <w:pPr>
        <w:rPr>
          <w:rFonts w:ascii="Arial" w:hAnsi="Arial"/>
          <w:b/>
        </w:rPr>
      </w:pPr>
    </w:p>
    <w:p w:rsidR="00691262" w:rsidRDefault="00691262" w:rsidP="00205246">
      <w:pPr>
        <w:rPr>
          <w:rFonts w:ascii="Arial" w:hAnsi="Arial"/>
          <w:b/>
        </w:rPr>
      </w:pPr>
    </w:p>
    <w:p w:rsidR="00205246" w:rsidRPr="00F1467A" w:rsidRDefault="00661478" w:rsidP="00205246">
      <w:pPr>
        <w:rPr>
          <w:rFonts w:ascii="Arial" w:hAnsi="Arial"/>
        </w:rPr>
      </w:pPr>
      <w:r w:rsidRPr="00A32D52">
        <w:rPr>
          <w:rFonts w:ascii="Arial" w:hAnsi="Arial"/>
          <w:b/>
        </w:rPr>
        <w:t>C</w:t>
      </w:r>
      <w:r w:rsidR="00E84176">
        <w:rPr>
          <w:rFonts w:ascii="Arial" w:hAnsi="Arial"/>
          <w:b/>
        </w:rPr>
        <w:t>oram</w:t>
      </w:r>
      <w:r w:rsidRPr="00A32D52">
        <w:rPr>
          <w:rFonts w:ascii="Arial" w:hAnsi="Arial"/>
          <w:b/>
        </w:rPr>
        <w:t>:</w:t>
      </w:r>
      <w:r w:rsidR="00A73628">
        <w:rPr>
          <w:rFonts w:ascii="Arial" w:hAnsi="Arial"/>
        </w:rPr>
        <w:tab/>
      </w:r>
      <w:r w:rsidR="00E84176">
        <w:rPr>
          <w:rFonts w:ascii="Arial" w:hAnsi="Arial"/>
        </w:rPr>
        <w:tab/>
      </w:r>
      <w:r w:rsidR="00C86030">
        <w:rPr>
          <w:rFonts w:ascii="Arial" w:hAnsi="Arial"/>
        </w:rPr>
        <w:t xml:space="preserve">MAINGA </w:t>
      </w:r>
      <w:r w:rsidR="00F1467A" w:rsidRPr="00F1467A">
        <w:rPr>
          <w:rFonts w:ascii="Arial" w:hAnsi="Arial"/>
        </w:rPr>
        <w:t>JA</w:t>
      </w:r>
      <w:r w:rsidR="006B278E">
        <w:rPr>
          <w:rFonts w:ascii="Arial" w:hAnsi="Arial"/>
        </w:rPr>
        <w:t xml:space="preserve">, </w:t>
      </w:r>
      <w:r w:rsidR="00B87D43">
        <w:rPr>
          <w:rFonts w:ascii="Arial" w:hAnsi="Arial"/>
        </w:rPr>
        <w:t>O’REGAN</w:t>
      </w:r>
      <w:r w:rsidR="006B278E">
        <w:rPr>
          <w:rFonts w:ascii="Arial" w:hAnsi="Arial"/>
        </w:rPr>
        <w:t xml:space="preserve"> AJA </w:t>
      </w:r>
      <w:r w:rsidR="00A73628">
        <w:rPr>
          <w:rFonts w:ascii="Arial" w:hAnsi="Arial"/>
        </w:rPr>
        <w:t>and</w:t>
      </w:r>
      <w:r w:rsidR="006B278E">
        <w:rPr>
          <w:rFonts w:ascii="Arial" w:hAnsi="Arial"/>
        </w:rPr>
        <w:t xml:space="preserve"> </w:t>
      </w:r>
      <w:r w:rsidR="00B87D43">
        <w:rPr>
          <w:rFonts w:ascii="Arial" w:hAnsi="Arial"/>
        </w:rPr>
        <w:t xml:space="preserve">MOKGORO </w:t>
      </w:r>
      <w:r w:rsidR="006B278E">
        <w:rPr>
          <w:rFonts w:ascii="Arial" w:hAnsi="Arial"/>
        </w:rPr>
        <w:t>AJA</w:t>
      </w:r>
    </w:p>
    <w:p w:rsidR="00F1467A" w:rsidRPr="00F1467A" w:rsidRDefault="00F1467A" w:rsidP="00205246">
      <w:pPr>
        <w:rPr>
          <w:rFonts w:ascii="Arial" w:hAnsi="Arial"/>
        </w:rPr>
      </w:pPr>
    </w:p>
    <w:p w:rsidR="00F1467A" w:rsidRPr="00F1467A" w:rsidRDefault="00F1467A" w:rsidP="00205246">
      <w:pPr>
        <w:rPr>
          <w:rFonts w:ascii="Arial" w:hAnsi="Arial"/>
        </w:rPr>
      </w:pPr>
    </w:p>
    <w:p w:rsidR="00205246" w:rsidRPr="00DC7EC4" w:rsidRDefault="00F614B4" w:rsidP="00205246">
      <w:pPr>
        <w:rPr>
          <w:rFonts w:ascii="Arial" w:hAnsi="Arial"/>
          <w:b/>
        </w:rPr>
      </w:pPr>
      <w:r w:rsidRPr="00A32D52">
        <w:rPr>
          <w:rFonts w:ascii="Arial" w:hAnsi="Arial"/>
          <w:b/>
        </w:rPr>
        <w:t>Heard</w:t>
      </w:r>
      <w:r w:rsidR="00A73628" w:rsidRPr="00A32D52">
        <w:rPr>
          <w:rFonts w:ascii="Arial" w:hAnsi="Arial"/>
          <w:b/>
        </w:rPr>
        <w:t>:</w:t>
      </w:r>
      <w:r w:rsidR="00A73628">
        <w:rPr>
          <w:rFonts w:ascii="Arial" w:hAnsi="Arial"/>
        </w:rPr>
        <w:tab/>
      </w:r>
      <w:r w:rsidR="00E84176">
        <w:rPr>
          <w:rFonts w:ascii="Arial" w:hAnsi="Arial"/>
        </w:rPr>
        <w:tab/>
      </w:r>
      <w:r w:rsidR="00C86030" w:rsidRPr="00DC7EC4">
        <w:rPr>
          <w:rFonts w:ascii="Arial" w:hAnsi="Arial"/>
          <w:b/>
        </w:rPr>
        <w:t>4</w:t>
      </w:r>
      <w:r w:rsidR="00B87D43" w:rsidRPr="00DC7EC4">
        <w:rPr>
          <w:rFonts w:ascii="Arial" w:hAnsi="Arial"/>
          <w:b/>
        </w:rPr>
        <w:t xml:space="preserve"> April 2016</w:t>
      </w:r>
    </w:p>
    <w:p w:rsidR="00205246" w:rsidRPr="00F1467A" w:rsidRDefault="00205246" w:rsidP="00205246">
      <w:pPr>
        <w:rPr>
          <w:rFonts w:ascii="Arial" w:hAnsi="Arial"/>
        </w:rPr>
      </w:pPr>
    </w:p>
    <w:p w:rsidR="00205246" w:rsidRPr="00F1467A" w:rsidRDefault="00205246" w:rsidP="00205246">
      <w:pPr>
        <w:rPr>
          <w:rFonts w:ascii="Arial" w:hAnsi="Arial"/>
        </w:rPr>
      </w:pPr>
      <w:r w:rsidRPr="00A32D52">
        <w:rPr>
          <w:rFonts w:ascii="Arial" w:hAnsi="Arial"/>
          <w:b/>
        </w:rPr>
        <w:t>Delivered</w:t>
      </w:r>
      <w:r w:rsidR="00A73628" w:rsidRPr="00A32D52">
        <w:rPr>
          <w:rFonts w:ascii="Arial" w:hAnsi="Arial"/>
          <w:b/>
        </w:rPr>
        <w:t>:</w:t>
      </w:r>
      <w:r w:rsidR="00A73628">
        <w:rPr>
          <w:rFonts w:ascii="Arial" w:hAnsi="Arial"/>
        </w:rPr>
        <w:tab/>
      </w:r>
      <w:r w:rsidR="0084609E">
        <w:rPr>
          <w:rFonts w:ascii="Arial" w:hAnsi="Arial"/>
        </w:rPr>
        <w:tab/>
      </w:r>
      <w:r w:rsidR="0084609E" w:rsidRPr="0084609E">
        <w:rPr>
          <w:rFonts w:ascii="Arial" w:hAnsi="Arial"/>
          <w:b/>
        </w:rPr>
        <w:t>6 October 2016</w:t>
      </w:r>
    </w:p>
    <w:p w:rsidR="00F1467A" w:rsidRDefault="00F1467A" w:rsidP="00205246">
      <w:pPr>
        <w:rPr>
          <w:rFonts w:ascii="Arial" w:hAnsi="Arial"/>
          <w:b/>
        </w:rPr>
      </w:pPr>
    </w:p>
    <w:p w:rsidR="00F1467A" w:rsidRDefault="00F1467A" w:rsidP="00205246">
      <w:pPr>
        <w:pBdr>
          <w:bottom w:val="single" w:sz="12" w:space="1" w:color="auto"/>
        </w:pBdr>
        <w:rPr>
          <w:rFonts w:ascii="Arial" w:hAnsi="Arial"/>
          <w:b/>
        </w:rPr>
      </w:pPr>
    </w:p>
    <w:p w:rsidR="00F1467A" w:rsidRDefault="00F1467A" w:rsidP="00A32D52">
      <w:pPr>
        <w:rPr>
          <w:rFonts w:ascii="Arial" w:hAnsi="Arial"/>
          <w:b/>
        </w:rPr>
      </w:pPr>
    </w:p>
    <w:p w:rsidR="00F1467A" w:rsidRDefault="00A32D52" w:rsidP="00F1467A">
      <w:pPr>
        <w:jc w:val="center"/>
        <w:rPr>
          <w:rFonts w:ascii="Arial" w:hAnsi="Arial"/>
          <w:b/>
        </w:rPr>
      </w:pPr>
      <w:r>
        <w:rPr>
          <w:rFonts w:ascii="Arial" w:hAnsi="Arial"/>
          <w:b/>
        </w:rPr>
        <w:t xml:space="preserve">APPEAL </w:t>
      </w:r>
      <w:r w:rsidR="0084609E">
        <w:rPr>
          <w:rFonts w:ascii="Arial" w:hAnsi="Arial"/>
          <w:b/>
        </w:rPr>
        <w:t xml:space="preserve">JUDGMENT </w:t>
      </w:r>
    </w:p>
    <w:p w:rsidR="00F1467A" w:rsidRDefault="00F1467A" w:rsidP="00F1467A">
      <w:pPr>
        <w:pBdr>
          <w:bottom w:val="single" w:sz="12" w:space="1" w:color="auto"/>
        </w:pBdr>
        <w:jc w:val="center"/>
        <w:rPr>
          <w:rFonts w:ascii="Arial" w:hAnsi="Arial"/>
          <w:b/>
        </w:rPr>
      </w:pPr>
    </w:p>
    <w:p w:rsidR="00F1467A" w:rsidRDefault="00F1467A" w:rsidP="00F1467A">
      <w:pPr>
        <w:rPr>
          <w:rFonts w:ascii="Arial" w:hAnsi="Arial"/>
          <w:b/>
        </w:rPr>
      </w:pPr>
    </w:p>
    <w:p w:rsidR="00F1467A" w:rsidRDefault="00F1467A" w:rsidP="00F1467A">
      <w:pPr>
        <w:rPr>
          <w:rFonts w:ascii="Arial" w:hAnsi="Arial"/>
          <w:b/>
        </w:rPr>
      </w:pPr>
    </w:p>
    <w:p w:rsidR="00F1467A" w:rsidRPr="00A32D52" w:rsidRDefault="00F1467A" w:rsidP="00F1467A">
      <w:pPr>
        <w:rPr>
          <w:rFonts w:ascii="Arial" w:hAnsi="Arial"/>
        </w:rPr>
      </w:pPr>
      <w:r w:rsidRPr="00A32D52">
        <w:rPr>
          <w:rFonts w:ascii="Arial" w:hAnsi="Arial"/>
        </w:rPr>
        <w:t>O’REGAN AJA</w:t>
      </w:r>
      <w:r w:rsidR="001536C9" w:rsidRPr="00A32D52">
        <w:rPr>
          <w:rFonts w:ascii="Arial" w:hAnsi="Arial"/>
        </w:rPr>
        <w:t xml:space="preserve"> (MAINGA JA and MOKGORO AJA concurring):</w:t>
      </w:r>
    </w:p>
    <w:p w:rsidR="00F1467A" w:rsidRDefault="00F1467A" w:rsidP="00F1467A">
      <w:pPr>
        <w:rPr>
          <w:rFonts w:ascii="Arial" w:hAnsi="Arial"/>
        </w:rPr>
      </w:pPr>
    </w:p>
    <w:p w:rsidR="00F1467A" w:rsidRDefault="00F1467A" w:rsidP="00F1467A">
      <w:pPr>
        <w:rPr>
          <w:rFonts w:ascii="Arial" w:hAnsi="Arial"/>
        </w:rPr>
      </w:pPr>
    </w:p>
    <w:p w:rsidR="00B91B86" w:rsidRDefault="00105FB9" w:rsidP="00B76BDF">
      <w:pPr>
        <w:pStyle w:val="ListParagraph"/>
        <w:numPr>
          <w:ilvl w:val="0"/>
          <w:numId w:val="1"/>
        </w:numPr>
        <w:spacing w:line="480" w:lineRule="auto"/>
        <w:ind w:left="0" w:firstLine="0"/>
        <w:jc w:val="both"/>
        <w:rPr>
          <w:rFonts w:ascii="Arial" w:hAnsi="Arial"/>
        </w:rPr>
      </w:pPr>
      <w:r>
        <w:rPr>
          <w:rFonts w:ascii="Arial" w:hAnsi="Arial"/>
        </w:rPr>
        <w:t xml:space="preserve">This appeal </w:t>
      </w:r>
      <w:r w:rsidR="006B278E">
        <w:rPr>
          <w:rFonts w:ascii="Arial" w:hAnsi="Arial"/>
        </w:rPr>
        <w:t xml:space="preserve">is brought by </w:t>
      </w:r>
      <w:r w:rsidR="00B87D43">
        <w:rPr>
          <w:rFonts w:ascii="Arial" w:hAnsi="Arial"/>
        </w:rPr>
        <w:t>Mr</w:t>
      </w:r>
      <w:r w:rsidR="00C86030">
        <w:rPr>
          <w:rFonts w:ascii="Arial" w:hAnsi="Arial"/>
        </w:rPr>
        <w:t xml:space="preserve"> Vinson </w:t>
      </w:r>
      <w:proofErr w:type="spellStart"/>
      <w:r w:rsidR="00C86030">
        <w:rPr>
          <w:rFonts w:ascii="Arial" w:hAnsi="Arial"/>
        </w:rPr>
        <w:t>Hailulu</w:t>
      </w:r>
      <w:proofErr w:type="spellEnd"/>
      <w:r w:rsidR="00C86030">
        <w:rPr>
          <w:rFonts w:ascii="Arial" w:hAnsi="Arial"/>
        </w:rPr>
        <w:t>,</w:t>
      </w:r>
      <w:r w:rsidR="00B91B86">
        <w:rPr>
          <w:rFonts w:ascii="Arial" w:hAnsi="Arial"/>
        </w:rPr>
        <w:t xml:space="preserve"> </w:t>
      </w:r>
      <w:r w:rsidR="00146AE9">
        <w:rPr>
          <w:rFonts w:ascii="Arial" w:hAnsi="Arial"/>
        </w:rPr>
        <w:t xml:space="preserve">former </w:t>
      </w:r>
      <w:r w:rsidR="00F34537">
        <w:rPr>
          <w:rFonts w:ascii="Arial" w:hAnsi="Arial"/>
        </w:rPr>
        <w:t xml:space="preserve">Chief Executive Officer of the National Housing Enterprise (the NHE) against a decision of the High Court.  </w:t>
      </w:r>
      <w:r w:rsidR="00ED496A">
        <w:rPr>
          <w:rFonts w:ascii="Arial" w:hAnsi="Arial"/>
        </w:rPr>
        <w:t xml:space="preserve">The appeal arises from review proceedings that were launched </w:t>
      </w:r>
      <w:r w:rsidR="00ED496A">
        <w:rPr>
          <w:rFonts w:ascii="Arial" w:hAnsi="Arial"/>
        </w:rPr>
        <w:lastRenderedPageBreak/>
        <w:t xml:space="preserve">urgently by </w:t>
      </w:r>
      <w:r w:rsidR="001536C9">
        <w:rPr>
          <w:rFonts w:ascii="Arial" w:hAnsi="Arial"/>
        </w:rPr>
        <w:t>a</w:t>
      </w:r>
      <w:r w:rsidR="00ED496A">
        <w:rPr>
          <w:rFonts w:ascii="Arial" w:hAnsi="Arial"/>
        </w:rPr>
        <w:t xml:space="preserve">ppellant in December 2008 following his arrest on 27 November 2008 by officials of the Anti-Corruption Commission (the Commission), the </w:t>
      </w:r>
      <w:r w:rsidR="001536C9">
        <w:rPr>
          <w:rFonts w:ascii="Arial" w:hAnsi="Arial"/>
        </w:rPr>
        <w:t>s</w:t>
      </w:r>
      <w:r w:rsidR="00ED496A">
        <w:rPr>
          <w:rFonts w:ascii="Arial" w:hAnsi="Arial"/>
        </w:rPr>
        <w:t xml:space="preserve">econd </w:t>
      </w:r>
      <w:r w:rsidR="001536C9">
        <w:rPr>
          <w:rFonts w:ascii="Arial" w:hAnsi="Arial"/>
        </w:rPr>
        <w:t>r</w:t>
      </w:r>
      <w:r w:rsidR="00ED496A">
        <w:rPr>
          <w:rFonts w:ascii="Arial" w:hAnsi="Arial"/>
        </w:rPr>
        <w:t>espondent.</w:t>
      </w:r>
      <w:r w:rsidR="00B87D43">
        <w:rPr>
          <w:rFonts w:ascii="Arial" w:hAnsi="Arial"/>
        </w:rPr>
        <w:t xml:space="preserve"> </w:t>
      </w:r>
      <w:r w:rsidR="00B91B86">
        <w:rPr>
          <w:rFonts w:ascii="Arial" w:hAnsi="Arial"/>
        </w:rPr>
        <w:t>Appellant asserted</w:t>
      </w:r>
      <w:r w:rsidR="00ED496A">
        <w:rPr>
          <w:rFonts w:ascii="Arial" w:hAnsi="Arial"/>
        </w:rPr>
        <w:t xml:space="preserve"> that the investigation instituted </w:t>
      </w:r>
      <w:r w:rsidR="00977F74">
        <w:rPr>
          <w:rFonts w:ascii="Arial" w:hAnsi="Arial"/>
        </w:rPr>
        <w:t xml:space="preserve">into his conduct </w:t>
      </w:r>
      <w:r w:rsidR="00ED496A">
        <w:rPr>
          <w:rFonts w:ascii="Arial" w:hAnsi="Arial"/>
        </w:rPr>
        <w:t>by the</w:t>
      </w:r>
      <w:r w:rsidR="00B91B86">
        <w:rPr>
          <w:rFonts w:ascii="Arial" w:hAnsi="Arial"/>
        </w:rPr>
        <w:t xml:space="preserve"> Commission </w:t>
      </w:r>
      <w:r w:rsidR="00146AE9">
        <w:rPr>
          <w:rFonts w:ascii="Arial" w:hAnsi="Arial"/>
        </w:rPr>
        <w:t xml:space="preserve">and his subsequent arrest </w:t>
      </w:r>
      <w:r w:rsidR="00B91B86">
        <w:rPr>
          <w:rFonts w:ascii="Arial" w:hAnsi="Arial"/>
        </w:rPr>
        <w:t>were</w:t>
      </w:r>
      <w:r w:rsidR="00ED496A">
        <w:rPr>
          <w:rFonts w:ascii="Arial" w:hAnsi="Arial"/>
        </w:rPr>
        <w:t xml:space="preserve"> unlawful on various grounds, including that the</w:t>
      </w:r>
      <w:r w:rsidR="00B91B86">
        <w:rPr>
          <w:rFonts w:ascii="Arial" w:hAnsi="Arial"/>
        </w:rPr>
        <w:t>re was no reasonable basis for the</w:t>
      </w:r>
      <w:r w:rsidR="00ED496A">
        <w:rPr>
          <w:rFonts w:ascii="Arial" w:hAnsi="Arial"/>
        </w:rPr>
        <w:t xml:space="preserve"> investigation</w:t>
      </w:r>
      <w:r w:rsidR="00B91B86">
        <w:rPr>
          <w:rFonts w:ascii="Arial" w:hAnsi="Arial"/>
        </w:rPr>
        <w:t xml:space="preserve"> and that it</w:t>
      </w:r>
      <w:r w:rsidR="00ED496A">
        <w:rPr>
          <w:rFonts w:ascii="Arial" w:hAnsi="Arial"/>
        </w:rPr>
        <w:t xml:space="preserve"> had been instituted at the behest of the National Union of Namibian Workers (the Union), the </w:t>
      </w:r>
      <w:r w:rsidR="001536C9">
        <w:rPr>
          <w:rFonts w:ascii="Arial" w:hAnsi="Arial"/>
        </w:rPr>
        <w:t>t</w:t>
      </w:r>
      <w:r w:rsidR="00ED496A">
        <w:rPr>
          <w:rFonts w:ascii="Arial" w:hAnsi="Arial"/>
        </w:rPr>
        <w:t xml:space="preserve">hird </w:t>
      </w:r>
      <w:r w:rsidR="001536C9">
        <w:rPr>
          <w:rFonts w:ascii="Arial" w:hAnsi="Arial"/>
        </w:rPr>
        <w:t>r</w:t>
      </w:r>
      <w:r w:rsidR="00ED496A">
        <w:rPr>
          <w:rFonts w:ascii="Arial" w:hAnsi="Arial"/>
        </w:rPr>
        <w:t xml:space="preserve">espondent.  </w:t>
      </w:r>
    </w:p>
    <w:p w:rsidR="00B91B86" w:rsidRDefault="00B91B86" w:rsidP="00B76BDF">
      <w:pPr>
        <w:pStyle w:val="ListParagraph"/>
        <w:spacing w:line="480" w:lineRule="auto"/>
        <w:ind w:left="0"/>
        <w:jc w:val="both"/>
        <w:rPr>
          <w:rFonts w:ascii="Arial" w:hAnsi="Arial"/>
        </w:rPr>
      </w:pPr>
    </w:p>
    <w:p w:rsidR="002F1AA5" w:rsidRDefault="00ED496A" w:rsidP="00B76BDF">
      <w:pPr>
        <w:pStyle w:val="ListParagraph"/>
        <w:numPr>
          <w:ilvl w:val="0"/>
          <w:numId w:val="1"/>
        </w:numPr>
        <w:spacing w:line="480" w:lineRule="auto"/>
        <w:ind w:left="0" w:firstLine="0"/>
        <w:jc w:val="both"/>
        <w:rPr>
          <w:rFonts w:ascii="Arial" w:hAnsi="Arial"/>
        </w:rPr>
      </w:pPr>
      <w:r>
        <w:rPr>
          <w:rFonts w:ascii="Arial" w:hAnsi="Arial"/>
        </w:rPr>
        <w:t xml:space="preserve">In his review proceedings, </w:t>
      </w:r>
      <w:r w:rsidR="001536C9">
        <w:rPr>
          <w:rFonts w:ascii="Arial" w:hAnsi="Arial"/>
        </w:rPr>
        <w:t>a</w:t>
      </w:r>
      <w:r>
        <w:rPr>
          <w:rFonts w:ascii="Arial" w:hAnsi="Arial"/>
        </w:rPr>
        <w:t>ppellant sought the</w:t>
      </w:r>
      <w:r w:rsidR="00B91B86">
        <w:rPr>
          <w:rFonts w:ascii="Arial" w:hAnsi="Arial"/>
        </w:rPr>
        <w:t xml:space="preserve"> review and</w:t>
      </w:r>
      <w:r>
        <w:rPr>
          <w:rFonts w:ascii="Arial" w:hAnsi="Arial"/>
        </w:rPr>
        <w:t xml:space="preserve"> setting aside of the </w:t>
      </w:r>
      <w:r w:rsidR="002074E2">
        <w:rPr>
          <w:rFonts w:ascii="Arial" w:hAnsi="Arial"/>
        </w:rPr>
        <w:t xml:space="preserve">Commission’s </w:t>
      </w:r>
      <w:r w:rsidR="00B91B86">
        <w:rPr>
          <w:rFonts w:ascii="Arial" w:hAnsi="Arial"/>
        </w:rPr>
        <w:t>decisions to conduct an investigation into his conduct in terms of s 18(1</w:t>
      </w:r>
      <w:proofErr w:type="gramStart"/>
      <w:r w:rsidR="00B91B86">
        <w:rPr>
          <w:rFonts w:ascii="Arial" w:hAnsi="Arial"/>
        </w:rPr>
        <w:t>)</w:t>
      </w:r>
      <w:r w:rsidR="00B91B86" w:rsidRPr="00A32D52">
        <w:rPr>
          <w:rFonts w:ascii="Arial" w:hAnsi="Arial"/>
          <w:i/>
        </w:rPr>
        <w:t>(</w:t>
      </w:r>
      <w:proofErr w:type="gramEnd"/>
      <w:r w:rsidR="00B91B86" w:rsidRPr="00A32D52">
        <w:rPr>
          <w:rFonts w:ascii="Arial" w:hAnsi="Arial"/>
          <w:i/>
        </w:rPr>
        <w:t>b)</w:t>
      </w:r>
      <w:r w:rsidR="00B91B86">
        <w:rPr>
          <w:rFonts w:ascii="Arial" w:hAnsi="Arial"/>
        </w:rPr>
        <w:t xml:space="preserve"> and 18(3) of the Anti-Corruption Act 8 of 2003 (the Act), as well as declaration</w:t>
      </w:r>
      <w:r w:rsidR="00882782">
        <w:rPr>
          <w:rFonts w:ascii="Arial" w:hAnsi="Arial"/>
        </w:rPr>
        <w:t>s</w:t>
      </w:r>
      <w:r w:rsidR="00B91B86">
        <w:rPr>
          <w:rFonts w:ascii="Arial" w:hAnsi="Arial"/>
        </w:rPr>
        <w:t xml:space="preserve"> that his arrest had been unlawful</w:t>
      </w:r>
      <w:r w:rsidR="00882782">
        <w:rPr>
          <w:rFonts w:ascii="Arial" w:hAnsi="Arial"/>
        </w:rPr>
        <w:t xml:space="preserve">, that the bail conditions imposed had been unlawful, and </w:t>
      </w:r>
      <w:r w:rsidR="002F1AA5">
        <w:rPr>
          <w:rFonts w:ascii="Arial" w:hAnsi="Arial"/>
        </w:rPr>
        <w:t>that the criminal proceedings in the Magistrates’ Court were invalid</w:t>
      </w:r>
      <w:r w:rsidR="00B91B86">
        <w:rPr>
          <w:rFonts w:ascii="Arial" w:hAnsi="Arial"/>
        </w:rPr>
        <w:t>.</w:t>
      </w:r>
      <w:r w:rsidR="002F1AA5">
        <w:rPr>
          <w:rFonts w:ascii="Arial" w:hAnsi="Arial"/>
        </w:rPr>
        <w:t xml:space="preserve"> Although </w:t>
      </w:r>
      <w:r w:rsidR="001536C9">
        <w:rPr>
          <w:rFonts w:ascii="Arial" w:hAnsi="Arial"/>
        </w:rPr>
        <w:t>a</w:t>
      </w:r>
      <w:r w:rsidR="002F1AA5">
        <w:rPr>
          <w:rFonts w:ascii="Arial" w:hAnsi="Arial"/>
        </w:rPr>
        <w:t xml:space="preserve">ppellant initially also launched a constitutional challenge </w:t>
      </w:r>
      <w:r w:rsidR="00BA348D">
        <w:rPr>
          <w:rFonts w:ascii="Arial" w:hAnsi="Arial"/>
        </w:rPr>
        <w:t xml:space="preserve">to </w:t>
      </w:r>
      <w:r w:rsidR="002F1AA5">
        <w:rPr>
          <w:rFonts w:ascii="Arial" w:hAnsi="Arial"/>
        </w:rPr>
        <w:t>s 43 of the Act, that challenge was subsequently abandoned.</w:t>
      </w:r>
      <w:r w:rsidR="00B91B86">
        <w:rPr>
          <w:rFonts w:ascii="Arial" w:hAnsi="Arial"/>
        </w:rPr>
        <w:t xml:space="preserve"> </w:t>
      </w:r>
    </w:p>
    <w:p w:rsidR="002F1AA5" w:rsidRDefault="002F1AA5" w:rsidP="00B76BDF">
      <w:pPr>
        <w:pStyle w:val="ListParagraph"/>
        <w:spacing w:line="480" w:lineRule="auto"/>
        <w:ind w:left="0"/>
        <w:jc w:val="both"/>
        <w:rPr>
          <w:rFonts w:ascii="Arial" w:hAnsi="Arial"/>
        </w:rPr>
      </w:pPr>
    </w:p>
    <w:p w:rsidR="00075C66" w:rsidRDefault="00B91B86" w:rsidP="00B76BDF">
      <w:pPr>
        <w:pStyle w:val="ListParagraph"/>
        <w:numPr>
          <w:ilvl w:val="0"/>
          <w:numId w:val="1"/>
        </w:numPr>
        <w:spacing w:line="480" w:lineRule="auto"/>
        <w:ind w:left="0" w:firstLine="0"/>
        <w:jc w:val="both"/>
        <w:rPr>
          <w:rFonts w:ascii="Arial" w:hAnsi="Arial"/>
        </w:rPr>
      </w:pPr>
      <w:r>
        <w:rPr>
          <w:rFonts w:ascii="Arial" w:hAnsi="Arial"/>
        </w:rPr>
        <w:t xml:space="preserve"> The High Court granted an order declaring </w:t>
      </w:r>
      <w:r w:rsidR="001536C9">
        <w:rPr>
          <w:rFonts w:ascii="Arial" w:hAnsi="Arial"/>
        </w:rPr>
        <w:t>a</w:t>
      </w:r>
      <w:r>
        <w:rPr>
          <w:rFonts w:ascii="Arial" w:hAnsi="Arial"/>
        </w:rPr>
        <w:t xml:space="preserve">ppellant’s arrest and detention on 27 November 2008, as well as the bail conditions imposed upon </w:t>
      </w:r>
      <w:r w:rsidR="001536C9">
        <w:rPr>
          <w:rFonts w:ascii="Arial" w:hAnsi="Arial"/>
        </w:rPr>
        <w:t>a</w:t>
      </w:r>
      <w:r>
        <w:rPr>
          <w:rFonts w:ascii="Arial" w:hAnsi="Arial"/>
        </w:rPr>
        <w:t>ppe</w:t>
      </w:r>
      <w:r w:rsidR="00146AE9">
        <w:rPr>
          <w:rFonts w:ascii="Arial" w:hAnsi="Arial"/>
        </w:rPr>
        <w:t>llant subsequent to the arrest</w:t>
      </w:r>
      <w:r>
        <w:rPr>
          <w:rFonts w:ascii="Arial" w:hAnsi="Arial"/>
        </w:rPr>
        <w:t xml:space="preserve">, </w:t>
      </w:r>
      <w:r w:rsidR="00493E84">
        <w:rPr>
          <w:rFonts w:ascii="Arial" w:hAnsi="Arial"/>
        </w:rPr>
        <w:t xml:space="preserve">to have been unlawful </w:t>
      </w:r>
      <w:r>
        <w:rPr>
          <w:rFonts w:ascii="Arial" w:hAnsi="Arial"/>
        </w:rPr>
        <w:t xml:space="preserve">but it </w:t>
      </w:r>
      <w:r w:rsidR="00146AE9">
        <w:rPr>
          <w:rFonts w:ascii="Arial" w:hAnsi="Arial"/>
        </w:rPr>
        <w:t xml:space="preserve">declined </w:t>
      </w:r>
      <w:r>
        <w:rPr>
          <w:rFonts w:ascii="Arial" w:hAnsi="Arial"/>
        </w:rPr>
        <w:t xml:space="preserve">to grant the other relief sought by </w:t>
      </w:r>
      <w:r w:rsidR="001536C9">
        <w:rPr>
          <w:rFonts w:ascii="Arial" w:hAnsi="Arial"/>
        </w:rPr>
        <w:t>a</w:t>
      </w:r>
      <w:r>
        <w:rPr>
          <w:rFonts w:ascii="Arial" w:hAnsi="Arial"/>
        </w:rPr>
        <w:t>ppellant. Appellant then launched an appeal against the High Court’s refusal to review and set aside the decisions made in terms of s 18(1</w:t>
      </w:r>
      <w:proofErr w:type="gramStart"/>
      <w:r>
        <w:rPr>
          <w:rFonts w:ascii="Arial" w:hAnsi="Arial"/>
        </w:rPr>
        <w:t>)</w:t>
      </w:r>
      <w:r w:rsidRPr="00A32D52">
        <w:rPr>
          <w:rFonts w:ascii="Arial" w:hAnsi="Arial"/>
          <w:i/>
        </w:rPr>
        <w:t>(</w:t>
      </w:r>
      <w:proofErr w:type="gramEnd"/>
      <w:r w:rsidRPr="00A32D52">
        <w:rPr>
          <w:rFonts w:ascii="Arial" w:hAnsi="Arial"/>
          <w:i/>
        </w:rPr>
        <w:t>b)</w:t>
      </w:r>
      <w:r>
        <w:rPr>
          <w:rFonts w:ascii="Arial" w:hAnsi="Arial"/>
        </w:rPr>
        <w:t xml:space="preserve"> and 18(3) of the Act. The </w:t>
      </w:r>
      <w:r w:rsidR="001536C9">
        <w:rPr>
          <w:rFonts w:ascii="Arial" w:hAnsi="Arial"/>
        </w:rPr>
        <w:t>f</w:t>
      </w:r>
      <w:r>
        <w:rPr>
          <w:rFonts w:ascii="Arial" w:hAnsi="Arial"/>
        </w:rPr>
        <w:t xml:space="preserve">irst, </w:t>
      </w:r>
      <w:r w:rsidR="001536C9">
        <w:rPr>
          <w:rFonts w:ascii="Arial" w:hAnsi="Arial"/>
        </w:rPr>
        <w:t>s</w:t>
      </w:r>
      <w:r>
        <w:rPr>
          <w:rFonts w:ascii="Arial" w:hAnsi="Arial"/>
        </w:rPr>
        <w:t xml:space="preserve">econd and </w:t>
      </w:r>
      <w:r w:rsidR="001536C9">
        <w:rPr>
          <w:rFonts w:ascii="Arial" w:hAnsi="Arial"/>
        </w:rPr>
        <w:t>f</w:t>
      </w:r>
      <w:r>
        <w:rPr>
          <w:rFonts w:ascii="Arial" w:hAnsi="Arial"/>
        </w:rPr>
        <w:t xml:space="preserve">ifth </w:t>
      </w:r>
      <w:r w:rsidR="001536C9">
        <w:rPr>
          <w:rFonts w:ascii="Arial" w:hAnsi="Arial"/>
        </w:rPr>
        <w:t>r</w:t>
      </w:r>
      <w:r>
        <w:rPr>
          <w:rFonts w:ascii="Arial" w:hAnsi="Arial"/>
        </w:rPr>
        <w:t xml:space="preserve">espondents </w:t>
      </w:r>
      <w:r w:rsidR="002074E2">
        <w:rPr>
          <w:rFonts w:ascii="Arial" w:hAnsi="Arial"/>
        </w:rPr>
        <w:t xml:space="preserve">(the </w:t>
      </w:r>
      <w:r w:rsidR="001536C9">
        <w:rPr>
          <w:rFonts w:ascii="Arial" w:hAnsi="Arial"/>
        </w:rPr>
        <w:t>r</w:t>
      </w:r>
      <w:r w:rsidR="002074E2">
        <w:rPr>
          <w:rFonts w:ascii="Arial" w:hAnsi="Arial"/>
        </w:rPr>
        <w:t xml:space="preserve">espondents) </w:t>
      </w:r>
      <w:r>
        <w:rPr>
          <w:rFonts w:ascii="Arial" w:hAnsi="Arial"/>
        </w:rPr>
        <w:t xml:space="preserve">oppose the appeal, but have not lodged a cross-appeal against the declaration of invalidity made by the High Court in respect of </w:t>
      </w:r>
      <w:r w:rsidR="001536C9">
        <w:rPr>
          <w:rFonts w:ascii="Arial" w:hAnsi="Arial"/>
        </w:rPr>
        <w:t>a</w:t>
      </w:r>
      <w:r>
        <w:rPr>
          <w:rFonts w:ascii="Arial" w:hAnsi="Arial"/>
        </w:rPr>
        <w:t xml:space="preserve">ppellant’s arrest or the bail conditions imposed upon </w:t>
      </w:r>
      <w:r w:rsidR="001536C9">
        <w:rPr>
          <w:rFonts w:ascii="Arial" w:hAnsi="Arial"/>
        </w:rPr>
        <w:t>a</w:t>
      </w:r>
      <w:r>
        <w:rPr>
          <w:rFonts w:ascii="Arial" w:hAnsi="Arial"/>
        </w:rPr>
        <w:t xml:space="preserve">ppellant. </w:t>
      </w:r>
      <w:r w:rsidR="002074E2">
        <w:rPr>
          <w:rFonts w:ascii="Arial" w:hAnsi="Arial"/>
        </w:rPr>
        <w:t xml:space="preserve">Neither the Union, the </w:t>
      </w:r>
      <w:r w:rsidR="001536C9">
        <w:rPr>
          <w:rFonts w:ascii="Arial" w:hAnsi="Arial"/>
        </w:rPr>
        <w:t>t</w:t>
      </w:r>
      <w:r w:rsidR="002074E2">
        <w:rPr>
          <w:rFonts w:ascii="Arial" w:hAnsi="Arial"/>
        </w:rPr>
        <w:t xml:space="preserve">hird </w:t>
      </w:r>
      <w:r w:rsidR="001536C9">
        <w:rPr>
          <w:rFonts w:ascii="Arial" w:hAnsi="Arial"/>
        </w:rPr>
        <w:t>r</w:t>
      </w:r>
      <w:r w:rsidR="002074E2">
        <w:rPr>
          <w:rFonts w:ascii="Arial" w:hAnsi="Arial"/>
        </w:rPr>
        <w:t xml:space="preserve">espondent, nor the Prosecutor-General, the </w:t>
      </w:r>
      <w:r w:rsidR="001536C9">
        <w:rPr>
          <w:rFonts w:ascii="Arial" w:hAnsi="Arial"/>
        </w:rPr>
        <w:t>f</w:t>
      </w:r>
      <w:r w:rsidR="002074E2">
        <w:rPr>
          <w:rFonts w:ascii="Arial" w:hAnsi="Arial"/>
        </w:rPr>
        <w:t xml:space="preserve">ifth </w:t>
      </w:r>
      <w:r w:rsidR="001536C9">
        <w:rPr>
          <w:rFonts w:ascii="Arial" w:hAnsi="Arial"/>
        </w:rPr>
        <w:t>r</w:t>
      </w:r>
      <w:r w:rsidR="002074E2">
        <w:rPr>
          <w:rFonts w:ascii="Arial" w:hAnsi="Arial"/>
        </w:rPr>
        <w:t>espondent, oppose the appeal.</w:t>
      </w:r>
    </w:p>
    <w:p w:rsidR="00B91B86" w:rsidRDefault="00B91B86" w:rsidP="00B76BDF">
      <w:pPr>
        <w:pStyle w:val="ListParagraph"/>
        <w:spacing w:line="480" w:lineRule="auto"/>
        <w:ind w:left="0"/>
        <w:jc w:val="both"/>
        <w:rPr>
          <w:rFonts w:ascii="Arial" w:hAnsi="Arial"/>
        </w:rPr>
      </w:pPr>
    </w:p>
    <w:p w:rsidR="00B91B86" w:rsidRPr="00BA020D" w:rsidRDefault="00B91B86" w:rsidP="00B76BDF">
      <w:pPr>
        <w:pStyle w:val="ListParagraph"/>
        <w:spacing w:line="480" w:lineRule="auto"/>
        <w:ind w:left="0"/>
        <w:jc w:val="both"/>
        <w:rPr>
          <w:rFonts w:ascii="Arial" w:hAnsi="Arial"/>
          <w:u w:val="single"/>
        </w:rPr>
      </w:pPr>
      <w:r w:rsidRPr="00BA020D">
        <w:rPr>
          <w:rFonts w:ascii="Arial" w:hAnsi="Arial"/>
          <w:u w:val="single"/>
        </w:rPr>
        <w:t>Facts</w:t>
      </w:r>
    </w:p>
    <w:p w:rsidR="00835A7A" w:rsidRDefault="000031E9" w:rsidP="00B76BDF">
      <w:pPr>
        <w:pStyle w:val="ListParagraph"/>
        <w:numPr>
          <w:ilvl w:val="0"/>
          <w:numId w:val="1"/>
        </w:numPr>
        <w:spacing w:line="480" w:lineRule="auto"/>
        <w:ind w:left="0" w:firstLine="0"/>
        <w:jc w:val="both"/>
        <w:rPr>
          <w:rFonts w:ascii="Arial" w:hAnsi="Arial"/>
        </w:rPr>
      </w:pPr>
      <w:r>
        <w:rPr>
          <w:rFonts w:ascii="Arial" w:hAnsi="Arial"/>
        </w:rPr>
        <w:t xml:space="preserve">Shortly after </w:t>
      </w:r>
      <w:r w:rsidR="001536C9">
        <w:rPr>
          <w:rFonts w:ascii="Arial" w:hAnsi="Arial"/>
        </w:rPr>
        <w:t>a</w:t>
      </w:r>
      <w:r>
        <w:rPr>
          <w:rFonts w:ascii="Arial" w:hAnsi="Arial"/>
        </w:rPr>
        <w:t>ppellant was appointed Chief Executive Officer of the NHE</w:t>
      </w:r>
      <w:r w:rsidR="005F33E7">
        <w:rPr>
          <w:rFonts w:ascii="Arial" w:hAnsi="Arial"/>
        </w:rPr>
        <w:t xml:space="preserve"> in 2005</w:t>
      </w:r>
      <w:r>
        <w:rPr>
          <w:rFonts w:ascii="Arial" w:hAnsi="Arial"/>
        </w:rPr>
        <w:t>, he commenced a restructuring process</w:t>
      </w:r>
      <w:r w:rsidR="002F1AA5">
        <w:rPr>
          <w:rFonts w:ascii="Arial" w:hAnsi="Arial"/>
        </w:rPr>
        <w:t>, approved by the</w:t>
      </w:r>
      <w:r w:rsidR="00493E84">
        <w:rPr>
          <w:rFonts w:ascii="Arial" w:hAnsi="Arial"/>
        </w:rPr>
        <w:t xml:space="preserve"> </w:t>
      </w:r>
      <w:r w:rsidR="001536C9">
        <w:rPr>
          <w:rFonts w:ascii="Arial" w:hAnsi="Arial"/>
        </w:rPr>
        <w:t xml:space="preserve">NHE </w:t>
      </w:r>
      <w:r w:rsidR="00493E84">
        <w:rPr>
          <w:rFonts w:ascii="Arial" w:hAnsi="Arial"/>
        </w:rPr>
        <w:t>Board</w:t>
      </w:r>
      <w:r>
        <w:rPr>
          <w:rFonts w:ascii="Arial" w:hAnsi="Arial"/>
        </w:rPr>
        <w:t xml:space="preserve"> that resulted in the retrenchment of some of the employees of the NHE</w:t>
      </w:r>
      <w:r w:rsidR="005F33E7">
        <w:rPr>
          <w:rFonts w:ascii="Arial" w:hAnsi="Arial"/>
        </w:rPr>
        <w:t xml:space="preserve"> in late 2006</w:t>
      </w:r>
      <w:r w:rsidR="00AD384E">
        <w:rPr>
          <w:rFonts w:ascii="Arial" w:hAnsi="Arial"/>
        </w:rPr>
        <w:t xml:space="preserve">. </w:t>
      </w:r>
      <w:r>
        <w:rPr>
          <w:rFonts w:ascii="Arial" w:hAnsi="Arial"/>
        </w:rPr>
        <w:t xml:space="preserve">The retrenchment was </w:t>
      </w:r>
      <w:r w:rsidR="008C2D9B">
        <w:rPr>
          <w:rFonts w:ascii="Arial" w:hAnsi="Arial"/>
        </w:rPr>
        <w:t xml:space="preserve">opposed </w:t>
      </w:r>
      <w:r>
        <w:rPr>
          <w:rFonts w:ascii="Arial" w:hAnsi="Arial"/>
        </w:rPr>
        <w:t xml:space="preserve">by the employees affected, and </w:t>
      </w:r>
      <w:r w:rsidR="008C2D9B">
        <w:rPr>
          <w:rFonts w:ascii="Arial" w:hAnsi="Arial"/>
        </w:rPr>
        <w:t xml:space="preserve">with the assistance of the Union the employees adopted a range of means to resist the retrenchment. </w:t>
      </w:r>
      <w:r w:rsidR="00835A7A">
        <w:rPr>
          <w:rFonts w:ascii="Arial" w:hAnsi="Arial"/>
        </w:rPr>
        <w:t>An urgent application was launched in the High Court in November 2006, which was dismissed</w:t>
      </w:r>
      <w:r w:rsidR="001536C9">
        <w:rPr>
          <w:rFonts w:ascii="Arial" w:hAnsi="Arial"/>
        </w:rPr>
        <w:t xml:space="preserve"> in</w:t>
      </w:r>
      <w:r w:rsidR="00BA348D">
        <w:rPr>
          <w:rFonts w:ascii="Arial" w:hAnsi="Arial"/>
        </w:rPr>
        <w:t xml:space="preserve"> </w:t>
      </w:r>
      <w:r w:rsidR="00835A7A">
        <w:rPr>
          <w:rFonts w:ascii="Arial" w:hAnsi="Arial"/>
        </w:rPr>
        <w:t xml:space="preserve">January 2007. The Union also declared a labour dispute at the Office of the Labour Commissioner, and a conciliation meeting was held in November 2006 where it was agreed that the retrenchment packages should be negotiated. At about the same time, according to </w:t>
      </w:r>
      <w:r w:rsidR="001536C9">
        <w:rPr>
          <w:rFonts w:ascii="Arial" w:hAnsi="Arial"/>
        </w:rPr>
        <w:t>a</w:t>
      </w:r>
      <w:r w:rsidR="00835A7A">
        <w:rPr>
          <w:rFonts w:ascii="Arial" w:hAnsi="Arial"/>
        </w:rPr>
        <w:t xml:space="preserve">ppellant, one of the Union’s affiliates, the Namibia Financial Institutions Union, issued a press statement criticising </w:t>
      </w:r>
      <w:r w:rsidR="001536C9">
        <w:rPr>
          <w:rFonts w:ascii="Arial" w:hAnsi="Arial"/>
        </w:rPr>
        <w:t>a</w:t>
      </w:r>
      <w:r w:rsidR="00835A7A">
        <w:rPr>
          <w:rFonts w:ascii="Arial" w:hAnsi="Arial"/>
        </w:rPr>
        <w:t xml:space="preserve">ppellant, and suggesting that he was corrupt, in particular, because he had </w:t>
      </w:r>
      <w:r w:rsidR="001536C9">
        <w:rPr>
          <w:rFonts w:ascii="Arial" w:hAnsi="Arial"/>
        </w:rPr>
        <w:t>‘</w:t>
      </w:r>
      <w:r w:rsidR="00835A7A">
        <w:rPr>
          <w:rFonts w:ascii="Arial" w:hAnsi="Arial"/>
        </w:rPr>
        <w:t>favourites</w:t>
      </w:r>
      <w:r w:rsidR="001536C9">
        <w:rPr>
          <w:rFonts w:ascii="Arial" w:hAnsi="Arial"/>
        </w:rPr>
        <w:t>’</w:t>
      </w:r>
      <w:r w:rsidR="00835A7A">
        <w:rPr>
          <w:rFonts w:ascii="Arial" w:hAnsi="Arial"/>
        </w:rPr>
        <w:t xml:space="preserve"> in the workplace.</w:t>
      </w:r>
      <w:r w:rsidR="00AD384E">
        <w:rPr>
          <w:rFonts w:ascii="Arial" w:hAnsi="Arial"/>
        </w:rPr>
        <w:t xml:space="preserve"> </w:t>
      </w:r>
      <w:r w:rsidR="003C4D2E">
        <w:rPr>
          <w:rFonts w:ascii="Arial" w:hAnsi="Arial"/>
        </w:rPr>
        <w:t xml:space="preserve">The Union </w:t>
      </w:r>
      <w:r w:rsidR="001B7EB0">
        <w:rPr>
          <w:rFonts w:ascii="Arial" w:hAnsi="Arial"/>
        </w:rPr>
        <w:t xml:space="preserve">then </w:t>
      </w:r>
      <w:r w:rsidR="003C4D2E">
        <w:rPr>
          <w:rFonts w:ascii="Arial" w:hAnsi="Arial"/>
        </w:rPr>
        <w:t xml:space="preserve">wrote to the Commission on 24 May 2007 suggesting that there was </w:t>
      </w:r>
      <w:r w:rsidR="001536C9">
        <w:rPr>
          <w:rFonts w:ascii="Arial" w:hAnsi="Arial"/>
        </w:rPr>
        <w:t>‘</w:t>
      </w:r>
      <w:r w:rsidR="003C4D2E">
        <w:rPr>
          <w:rFonts w:ascii="Arial" w:hAnsi="Arial"/>
        </w:rPr>
        <w:t>wasteful</w:t>
      </w:r>
      <w:r w:rsidR="001536C9">
        <w:rPr>
          <w:rFonts w:ascii="Arial" w:hAnsi="Arial"/>
        </w:rPr>
        <w:t>’</w:t>
      </w:r>
      <w:r w:rsidR="003C4D2E">
        <w:rPr>
          <w:rFonts w:ascii="Arial" w:hAnsi="Arial"/>
        </w:rPr>
        <w:t xml:space="preserve"> expenditure at the NHE and that an investigation was warranted.</w:t>
      </w:r>
      <w:r w:rsidR="00AD384E">
        <w:rPr>
          <w:rFonts w:ascii="Arial" w:hAnsi="Arial"/>
        </w:rPr>
        <w:t xml:space="preserve"> </w:t>
      </w:r>
      <w:r w:rsidR="001B7EB0">
        <w:rPr>
          <w:rFonts w:ascii="Arial" w:hAnsi="Arial"/>
        </w:rPr>
        <w:t xml:space="preserve">Following the letter, the Union supplied the Commission with a file of documents relating to its allegations concerning the </w:t>
      </w:r>
      <w:r w:rsidR="001536C9">
        <w:rPr>
          <w:rFonts w:ascii="Arial" w:hAnsi="Arial"/>
        </w:rPr>
        <w:t>a</w:t>
      </w:r>
      <w:r w:rsidR="001B7EB0">
        <w:rPr>
          <w:rFonts w:ascii="Arial" w:hAnsi="Arial"/>
        </w:rPr>
        <w:t>ppellant’s conduct at the NHE.</w:t>
      </w:r>
    </w:p>
    <w:p w:rsidR="00835A7A" w:rsidRDefault="00835A7A" w:rsidP="00B76BDF">
      <w:pPr>
        <w:pStyle w:val="ListParagraph"/>
        <w:spacing w:line="480" w:lineRule="auto"/>
        <w:ind w:left="0"/>
        <w:jc w:val="both"/>
        <w:rPr>
          <w:rFonts w:ascii="Arial" w:hAnsi="Arial"/>
        </w:rPr>
      </w:pPr>
    </w:p>
    <w:p w:rsidR="000031E9" w:rsidRDefault="00835A7A" w:rsidP="00B76BDF">
      <w:pPr>
        <w:pStyle w:val="ListParagraph"/>
        <w:numPr>
          <w:ilvl w:val="0"/>
          <w:numId w:val="1"/>
        </w:numPr>
        <w:spacing w:line="480" w:lineRule="auto"/>
        <w:ind w:left="0" w:firstLine="0"/>
        <w:jc w:val="both"/>
        <w:rPr>
          <w:rFonts w:ascii="Arial" w:hAnsi="Arial"/>
        </w:rPr>
      </w:pPr>
      <w:r>
        <w:rPr>
          <w:rFonts w:ascii="Arial" w:hAnsi="Arial"/>
        </w:rPr>
        <w:t xml:space="preserve">The negotiations regarding retrenchment packages were unsuccessful, although some employees chose to accept the packages offered by the NHE even though the Union did not support their doing so.  The dispute relating to the remaining employees was referred to the District Labour Court in May 2007. </w:t>
      </w:r>
    </w:p>
    <w:p w:rsidR="00C816E0" w:rsidRDefault="00C816E0" w:rsidP="00B76BDF">
      <w:pPr>
        <w:pStyle w:val="ListParagraph"/>
        <w:spacing w:line="480" w:lineRule="auto"/>
        <w:ind w:left="0"/>
        <w:jc w:val="both"/>
        <w:rPr>
          <w:rFonts w:ascii="Arial" w:hAnsi="Arial"/>
        </w:rPr>
      </w:pPr>
    </w:p>
    <w:p w:rsidR="002F1AA5" w:rsidRDefault="00C816E0" w:rsidP="00B76BDF">
      <w:pPr>
        <w:pStyle w:val="ListParagraph"/>
        <w:numPr>
          <w:ilvl w:val="0"/>
          <w:numId w:val="1"/>
        </w:numPr>
        <w:spacing w:line="480" w:lineRule="auto"/>
        <w:ind w:left="0" w:firstLine="0"/>
        <w:jc w:val="both"/>
        <w:rPr>
          <w:rFonts w:ascii="Arial" w:hAnsi="Arial"/>
        </w:rPr>
      </w:pPr>
      <w:r>
        <w:rPr>
          <w:rFonts w:ascii="Arial" w:hAnsi="Arial"/>
        </w:rPr>
        <w:t xml:space="preserve">In October 2007, while </w:t>
      </w:r>
      <w:r w:rsidR="001536C9">
        <w:rPr>
          <w:rFonts w:ascii="Arial" w:hAnsi="Arial"/>
        </w:rPr>
        <w:t>a</w:t>
      </w:r>
      <w:r>
        <w:rPr>
          <w:rFonts w:ascii="Arial" w:hAnsi="Arial"/>
        </w:rPr>
        <w:t xml:space="preserve">ppellant was on business in Cape Town, an employee of the Commission, Mr </w:t>
      </w:r>
      <w:proofErr w:type="spellStart"/>
      <w:r>
        <w:rPr>
          <w:rFonts w:ascii="Arial" w:hAnsi="Arial"/>
        </w:rPr>
        <w:t>Masule</w:t>
      </w:r>
      <w:proofErr w:type="spellEnd"/>
      <w:r>
        <w:rPr>
          <w:rFonts w:ascii="Arial" w:hAnsi="Arial"/>
        </w:rPr>
        <w:t xml:space="preserve">, informed NHE that the Commission was investigating </w:t>
      </w:r>
      <w:r w:rsidR="001536C9">
        <w:rPr>
          <w:rFonts w:ascii="Arial" w:hAnsi="Arial"/>
        </w:rPr>
        <w:t>a</w:t>
      </w:r>
      <w:r>
        <w:rPr>
          <w:rFonts w:ascii="Arial" w:hAnsi="Arial"/>
        </w:rPr>
        <w:t>ppellant and sought permission to interview employees of the NHE and to gain a</w:t>
      </w:r>
      <w:r w:rsidR="00AD384E">
        <w:rPr>
          <w:rFonts w:ascii="Arial" w:hAnsi="Arial"/>
        </w:rPr>
        <w:t xml:space="preserve">ccess to documentary records. </w:t>
      </w:r>
      <w:r w:rsidR="00493E84">
        <w:rPr>
          <w:rFonts w:ascii="Arial" w:hAnsi="Arial"/>
        </w:rPr>
        <w:t xml:space="preserve">By telephone, </w:t>
      </w:r>
      <w:r w:rsidR="001536C9">
        <w:rPr>
          <w:rFonts w:ascii="Arial" w:hAnsi="Arial"/>
        </w:rPr>
        <w:t>a</w:t>
      </w:r>
      <w:r>
        <w:rPr>
          <w:rFonts w:ascii="Arial" w:hAnsi="Arial"/>
        </w:rPr>
        <w:t>ppellant</w:t>
      </w:r>
      <w:r w:rsidR="00493E84">
        <w:rPr>
          <w:rFonts w:ascii="Arial" w:hAnsi="Arial"/>
        </w:rPr>
        <w:t xml:space="preserve"> granted these requests</w:t>
      </w:r>
      <w:r>
        <w:rPr>
          <w:rFonts w:ascii="Arial" w:hAnsi="Arial"/>
        </w:rPr>
        <w:t xml:space="preserve">.  After his return from Cape Town, </w:t>
      </w:r>
      <w:r w:rsidR="00946D62">
        <w:rPr>
          <w:rFonts w:ascii="Arial" w:hAnsi="Arial"/>
        </w:rPr>
        <w:t>a</w:t>
      </w:r>
      <w:r>
        <w:rPr>
          <w:rFonts w:ascii="Arial" w:hAnsi="Arial"/>
        </w:rPr>
        <w:t>ppellant met wi</w:t>
      </w:r>
      <w:r w:rsidR="001B7EB0">
        <w:rPr>
          <w:rFonts w:ascii="Arial" w:hAnsi="Arial"/>
        </w:rPr>
        <w:t xml:space="preserve">th Mr </w:t>
      </w:r>
      <w:proofErr w:type="spellStart"/>
      <w:r w:rsidR="001B7EB0">
        <w:rPr>
          <w:rFonts w:ascii="Arial" w:hAnsi="Arial"/>
        </w:rPr>
        <w:t>Masule</w:t>
      </w:r>
      <w:proofErr w:type="spellEnd"/>
      <w:r w:rsidR="001B7EB0">
        <w:rPr>
          <w:rFonts w:ascii="Arial" w:hAnsi="Arial"/>
        </w:rPr>
        <w:t xml:space="preserve"> on 12 October 2007.  Mr </w:t>
      </w:r>
      <w:proofErr w:type="spellStart"/>
      <w:r w:rsidR="001B7EB0">
        <w:rPr>
          <w:rFonts w:ascii="Arial" w:hAnsi="Arial"/>
        </w:rPr>
        <w:t>Masule</w:t>
      </w:r>
      <w:proofErr w:type="spellEnd"/>
      <w:r w:rsidR="001B7EB0">
        <w:rPr>
          <w:rFonts w:ascii="Arial" w:hAnsi="Arial"/>
        </w:rPr>
        <w:t xml:space="preserve"> gave </w:t>
      </w:r>
      <w:r w:rsidR="001536C9">
        <w:rPr>
          <w:rFonts w:ascii="Arial" w:hAnsi="Arial"/>
        </w:rPr>
        <w:t>a</w:t>
      </w:r>
      <w:r w:rsidR="001B7EB0">
        <w:rPr>
          <w:rFonts w:ascii="Arial" w:hAnsi="Arial"/>
        </w:rPr>
        <w:t xml:space="preserve">ppellant </w:t>
      </w:r>
      <w:r>
        <w:rPr>
          <w:rFonts w:ascii="Arial" w:hAnsi="Arial"/>
        </w:rPr>
        <w:t xml:space="preserve">a list of thirteen charges that were being investigated. </w:t>
      </w:r>
      <w:r w:rsidR="002F1AA5">
        <w:rPr>
          <w:rFonts w:ascii="Arial" w:hAnsi="Arial"/>
        </w:rPr>
        <w:t>The charges include</w:t>
      </w:r>
      <w:r w:rsidR="001B7EB0">
        <w:rPr>
          <w:rFonts w:ascii="Arial" w:hAnsi="Arial"/>
        </w:rPr>
        <w:t>d</w:t>
      </w:r>
      <w:r w:rsidR="002F1AA5">
        <w:rPr>
          <w:rFonts w:ascii="Arial" w:hAnsi="Arial"/>
        </w:rPr>
        <w:t xml:space="preserve"> three allegations that </w:t>
      </w:r>
      <w:r w:rsidR="001536C9">
        <w:rPr>
          <w:rFonts w:ascii="Arial" w:hAnsi="Arial"/>
        </w:rPr>
        <w:t>a</w:t>
      </w:r>
      <w:r w:rsidR="002F1AA5">
        <w:rPr>
          <w:rFonts w:ascii="Arial" w:hAnsi="Arial"/>
        </w:rPr>
        <w:t>ppellant had either promoted or appointed staff members at the NHE without following the</w:t>
      </w:r>
      <w:r w:rsidR="008D10DF">
        <w:rPr>
          <w:rFonts w:ascii="Arial" w:hAnsi="Arial"/>
        </w:rPr>
        <w:t xml:space="preserve"> correct procedures; four</w:t>
      </w:r>
      <w:r w:rsidR="002F1AA5">
        <w:rPr>
          <w:rFonts w:ascii="Arial" w:hAnsi="Arial"/>
        </w:rPr>
        <w:t xml:space="preserve"> allegations that he had used </w:t>
      </w:r>
      <w:r w:rsidR="001B7EB0">
        <w:rPr>
          <w:rFonts w:ascii="Arial" w:hAnsi="Arial"/>
        </w:rPr>
        <w:t xml:space="preserve">an </w:t>
      </w:r>
      <w:r w:rsidR="002F1AA5">
        <w:rPr>
          <w:rFonts w:ascii="Arial" w:hAnsi="Arial"/>
        </w:rPr>
        <w:t xml:space="preserve">NHE credit card for personal expenditures or unauthorised cash withdrawals; </w:t>
      </w:r>
      <w:r w:rsidR="008D10DF">
        <w:rPr>
          <w:rFonts w:ascii="Arial" w:hAnsi="Arial"/>
        </w:rPr>
        <w:t xml:space="preserve">an allegation that </w:t>
      </w:r>
      <w:r w:rsidR="001536C9">
        <w:rPr>
          <w:rFonts w:ascii="Arial" w:hAnsi="Arial"/>
        </w:rPr>
        <w:t>a</w:t>
      </w:r>
      <w:r w:rsidR="008D10DF">
        <w:rPr>
          <w:rFonts w:ascii="Arial" w:hAnsi="Arial"/>
        </w:rPr>
        <w:t xml:space="preserve">ppellant had an improper business relationship with the chairperson of the NHE Board as well as two allegations concerning travel benefits that he made available to the chairperson of the </w:t>
      </w:r>
      <w:r w:rsidR="001536C9">
        <w:rPr>
          <w:rFonts w:ascii="Arial" w:hAnsi="Arial"/>
        </w:rPr>
        <w:t>b</w:t>
      </w:r>
      <w:r w:rsidR="008D10DF">
        <w:rPr>
          <w:rFonts w:ascii="Arial" w:hAnsi="Arial"/>
        </w:rPr>
        <w:t xml:space="preserve">oard; and an allegation that </w:t>
      </w:r>
      <w:r w:rsidR="001536C9">
        <w:rPr>
          <w:rFonts w:ascii="Arial" w:hAnsi="Arial"/>
        </w:rPr>
        <w:t>a</w:t>
      </w:r>
      <w:r w:rsidR="008D10DF">
        <w:rPr>
          <w:rFonts w:ascii="Arial" w:hAnsi="Arial"/>
        </w:rPr>
        <w:t xml:space="preserve">ppellant had arranged for an employee of NHE to perform work at </w:t>
      </w:r>
      <w:r w:rsidR="001536C9">
        <w:rPr>
          <w:rFonts w:ascii="Arial" w:hAnsi="Arial"/>
        </w:rPr>
        <w:t>a</w:t>
      </w:r>
      <w:r w:rsidR="008D10DF">
        <w:rPr>
          <w:rFonts w:ascii="Arial" w:hAnsi="Arial"/>
        </w:rPr>
        <w:t>ppellant’s home.</w:t>
      </w:r>
    </w:p>
    <w:p w:rsidR="002F1AA5" w:rsidRDefault="002F1AA5" w:rsidP="00B76BDF">
      <w:pPr>
        <w:pStyle w:val="ListParagraph"/>
        <w:spacing w:line="480" w:lineRule="auto"/>
        <w:ind w:left="0"/>
        <w:jc w:val="both"/>
        <w:rPr>
          <w:rFonts w:ascii="Arial" w:hAnsi="Arial"/>
        </w:rPr>
      </w:pPr>
    </w:p>
    <w:p w:rsidR="00B91B86" w:rsidRDefault="000038C5" w:rsidP="00B76BDF">
      <w:pPr>
        <w:pStyle w:val="ListParagraph"/>
        <w:numPr>
          <w:ilvl w:val="0"/>
          <w:numId w:val="1"/>
        </w:numPr>
        <w:spacing w:line="480" w:lineRule="auto"/>
        <w:ind w:left="0" w:firstLine="0"/>
        <w:jc w:val="both"/>
        <w:rPr>
          <w:rFonts w:ascii="Arial" w:hAnsi="Arial"/>
        </w:rPr>
      </w:pPr>
      <w:r>
        <w:rPr>
          <w:rFonts w:ascii="Arial" w:hAnsi="Arial"/>
        </w:rPr>
        <w:t>Appellant was given an opportunity to respond to the thirteen charges</w:t>
      </w:r>
      <w:r w:rsidR="008D10DF">
        <w:rPr>
          <w:rFonts w:ascii="Arial" w:hAnsi="Arial"/>
        </w:rPr>
        <w:t>, which he did in an eleven-page memorandum</w:t>
      </w:r>
      <w:r>
        <w:rPr>
          <w:rFonts w:ascii="Arial" w:hAnsi="Arial"/>
        </w:rPr>
        <w:t xml:space="preserve">. There is a dispute between </w:t>
      </w:r>
      <w:r w:rsidR="001536C9">
        <w:rPr>
          <w:rFonts w:ascii="Arial" w:hAnsi="Arial"/>
        </w:rPr>
        <w:t>a</w:t>
      </w:r>
      <w:r>
        <w:rPr>
          <w:rFonts w:ascii="Arial" w:hAnsi="Arial"/>
        </w:rPr>
        <w:t xml:space="preserve">ppellant and the Commission as to whether </w:t>
      </w:r>
      <w:r w:rsidR="001536C9">
        <w:rPr>
          <w:rFonts w:ascii="Arial" w:hAnsi="Arial"/>
        </w:rPr>
        <w:t>a</w:t>
      </w:r>
      <w:r>
        <w:rPr>
          <w:rFonts w:ascii="Arial" w:hAnsi="Arial"/>
        </w:rPr>
        <w:t>ppellant was given a reasonable time in which to respond. Nothing turns on this dispute</w:t>
      </w:r>
      <w:r w:rsidR="00977F74">
        <w:rPr>
          <w:rFonts w:ascii="Arial" w:hAnsi="Arial"/>
        </w:rPr>
        <w:t xml:space="preserve"> in this appeal</w:t>
      </w:r>
      <w:r w:rsidR="00013C78">
        <w:rPr>
          <w:rFonts w:ascii="Arial" w:hAnsi="Arial"/>
        </w:rPr>
        <w:t xml:space="preserve">. </w:t>
      </w:r>
      <w:r w:rsidR="008D10DF">
        <w:rPr>
          <w:rFonts w:ascii="Arial" w:hAnsi="Arial"/>
        </w:rPr>
        <w:t xml:space="preserve">Subsequent to these events, </w:t>
      </w:r>
      <w:r w:rsidR="001536C9">
        <w:rPr>
          <w:rFonts w:ascii="Arial" w:hAnsi="Arial"/>
        </w:rPr>
        <w:t>a</w:t>
      </w:r>
      <w:r>
        <w:rPr>
          <w:rFonts w:ascii="Arial" w:hAnsi="Arial"/>
        </w:rPr>
        <w:t xml:space="preserve">ppellant </w:t>
      </w:r>
      <w:r w:rsidR="008D10DF">
        <w:rPr>
          <w:rFonts w:ascii="Arial" w:hAnsi="Arial"/>
        </w:rPr>
        <w:t xml:space="preserve">also </w:t>
      </w:r>
      <w:r>
        <w:rPr>
          <w:rFonts w:ascii="Arial" w:hAnsi="Arial"/>
        </w:rPr>
        <w:t>complied with a request to make his laptop available to the Commission, which was retained by the Commission from November 2007 till mid-2008.</w:t>
      </w:r>
    </w:p>
    <w:p w:rsidR="000038C5" w:rsidRDefault="000038C5" w:rsidP="00B76BDF">
      <w:pPr>
        <w:pStyle w:val="ListParagraph"/>
        <w:spacing w:line="480" w:lineRule="auto"/>
        <w:ind w:left="0"/>
        <w:jc w:val="both"/>
        <w:rPr>
          <w:rFonts w:ascii="Arial" w:hAnsi="Arial"/>
        </w:rPr>
      </w:pPr>
    </w:p>
    <w:p w:rsidR="00882782" w:rsidRDefault="000038C5" w:rsidP="00B76BDF">
      <w:pPr>
        <w:pStyle w:val="ListParagraph"/>
        <w:numPr>
          <w:ilvl w:val="0"/>
          <w:numId w:val="1"/>
        </w:numPr>
        <w:spacing w:line="480" w:lineRule="auto"/>
        <w:ind w:left="0" w:firstLine="0"/>
        <w:jc w:val="both"/>
        <w:rPr>
          <w:rFonts w:ascii="Arial" w:hAnsi="Arial"/>
        </w:rPr>
      </w:pPr>
      <w:r>
        <w:rPr>
          <w:rFonts w:ascii="Arial" w:hAnsi="Arial"/>
        </w:rPr>
        <w:t>The trial relating to the dispute over the retrenchment was heard in the Labour Court betwe</w:t>
      </w:r>
      <w:r w:rsidR="00013C78">
        <w:rPr>
          <w:rFonts w:ascii="Arial" w:hAnsi="Arial"/>
        </w:rPr>
        <w:t xml:space="preserve">en January 2008 and July 2008. </w:t>
      </w:r>
      <w:r>
        <w:rPr>
          <w:rFonts w:ascii="Arial" w:hAnsi="Arial"/>
        </w:rPr>
        <w:t>Judgment wa</w:t>
      </w:r>
      <w:r w:rsidR="001B7EB0">
        <w:rPr>
          <w:rFonts w:ascii="Arial" w:hAnsi="Arial"/>
        </w:rPr>
        <w:t>s</w:t>
      </w:r>
      <w:r w:rsidR="00013C78">
        <w:rPr>
          <w:rFonts w:ascii="Arial" w:hAnsi="Arial"/>
        </w:rPr>
        <w:t xml:space="preserve"> delivered on 27 October 2008. </w:t>
      </w:r>
      <w:r w:rsidR="001B7EB0">
        <w:rPr>
          <w:rFonts w:ascii="Arial" w:hAnsi="Arial"/>
        </w:rPr>
        <w:t xml:space="preserve">The </w:t>
      </w:r>
      <w:r w:rsidR="001536C9">
        <w:rPr>
          <w:rFonts w:ascii="Arial" w:hAnsi="Arial"/>
        </w:rPr>
        <w:t>c</w:t>
      </w:r>
      <w:r w:rsidR="001B7EB0">
        <w:rPr>
          <w:rFonts w:ascii="Arial" w:hAnsi="Arial"/>
        </w:rPr>
        <w:t>ourt ordered the reinstatement of</w:t>
      </w:r>
      <w:r w:rsidR="00977F74">
        <w:rPr>
          <w:rFonts w:ascii="Arial" w:hAnsi="Arial"/>
        </w:rPr>
        <w:t xml:space="preserve"> eleven employees and</w:t>
      </w:r>
      <w:r>
        <w:rPr>
          <w:rFonts w:ascii="Arial" w:hAnsi="Arial"/>
        </w:rPr>
        <w:t xml:space="preserve"> NHE d</w:t>
      </w:r>
      <w:r w:rsidR="00013C78">
        <w:rPr>
          <w:rFonts w:ascii="Arial" w:hAnsi="Arial"/>
        </w:rPr>
        <w:t xml:space="preserve">ecided to appeal the decision. </w:t>
      </w:r>
      <w:r>
        <w:rPr>
          <w:rFonts w:ascii="Arial" w:hAnsi="Arial"/>
        </w:rPr>
        <w:t xml:space="preserve">According to </w:t>
      </w:r>
      <w:r w:rsidR="001536C9">
        <w:rPr>
          <w:rFonts w:ascii="Arial" w:hAnsi="Arial"/>
        </w:rPr>
        <w:t>a</w:t>
      </w:r>
      <w:r>
        <w:rPr>
          <w:rFonts w:ascii="Arial" w:hAnsi="Arial"/>
        </w:rPr>
        <w:t xml:space="preserve">ppellant a senior union official called him and advised him not to </w:t>
      </w:r>
      <w:r w:rsidR="001B7EB0">
        <w:rPr>
          <w:rFonts w:ascii="Arial" w:hAnsi="Arial"/>
        </w:rPr>
        <w:t xml:space="preserve">note the </w:t>
      </w:r>
      <w:r>
        <w:rPr>
          <w:rFonts w:ascii="Arial" w:hAnsi="Arial"/>
        </w:rPr>
        <w:t xml:space="preserve">appeal but </w:t>
      </w:r>
      <w:r w:rsidR="001B7EB0">
        <w:rPr>
          <w:rFonts w:ascii="Arial" w:hAnsi="Arial"/>
        </w:rPr>
        <w:t xml:space="preserve">according to </w:t>
      </w:r>
      <w:r w:rsidR="001536C9">
        <w:rPr>
          <w:rFonts w:ascii="Arial" w:hAnsi="Arial"/>
        </w:rPr>
        <w:t>a</w:t>
      </w:r>
      <w:r>
        <w:rPr>
          <w:rFonts w:ascii="Arial" w:hAnsi="Arial"/>
        </w:rPr>
        <w:t xml:space="preserve">ppellant </w:t>
      </w:r>
      <w:r w:rsidR="001B7EB0">
        <w:rPr>
          <w:rFonts w:ascii="Arial" w:hAnsi="Arial"/>
        </w:rPr>
        <w:t xml:space="preserve">he told </w:t>
      </w:r>
      <w:r>
        <w:rPr>
          <w:rFonts w:ascii="Arial" w:hAnsi="Arial"/>
        </w:rPr>
        <w:t xml:space="preserve">the union official that he would </w:t>
      </w:r>
      <w:r w:rsidR="001B7EB0">
        <w:rPr>
          <w:rFonts w:ascii="Arial" w:hAnsi="Arial"/>
        </w:rPr>
        <w:t>not be dissuaded from pursuing</w:t>
      </w:r>
      <w:r>
        <w:rPr>
          <w:rFonts w:ascii="Arial" w:hAnsi="Arial"/>
        </w:rPr>
        <w:t xml:space="preserve"> legal</w:t>
      </w:r>
      <w:r w:rsidR="001B7EB0">
        <w:rPr>
          <w:rFonts w:ascii="Arial" w:hAnsi="Arial"/>
        </w:rPr>
        <w:t xml:space="preserve"> avenues</w:t>
      </w:r>
      <w:r w:rsidR="00977F74">
        <w:rPr>
          <w:rFonts w:ascii="Arial" w:hAnsi="Arial"/>
        </w:rPr>
        <w:t xml:space="preserve"> available to the NHE</w:t>
      </w:r>
      <w:r w:rsidR="00013C78">
        <w:rPr>
          <w:rFonts w:ascii="Arial" w:hAnsi="Arial"/>
        </w:rPr>
        <w:t xml:space="preserve">. </w:t>
      </w:r>
      <w:r>
        <w:rPr>
          <w:rFonts w:ascii="Arial" w:hAnsi="Arial"/>
        </w:rPr>
        <w:t xml:space="preserve">Some days later, </w:t>
      </w:r>
      <w:r w:rsidR="001536C9">
        <w:rPr>
          <w:rFonts w:ascii="Arial" w:hAnsi="Arial"/>
        </w:rPr>
        <w:t>a</w:t>
      </w:r>
      <w:r w:rsidR="00AF7FE6">
        <w:rPr>
          <w:rFonts w:ascii="Arial" w:hAnsi="Arial"/>
        </w:rPr>
        <w:t xml:space="preserve">ppellant says he </w:t>
      </w:r>
      <w:r>
        <w:rPr>
          <w:rFonts w:ascii="Arial" w:hAnsi="Arial"/>
        </w:rPr>
        <w:t xml:space="preserve">was contacted by a labour consultant who told him that the </w:t>
      </w:r>
      <w:r w:rsidR="00AF7FE6">
        <w:rPr>
          <w:rFonts w:ascii="Arial" w:hAnsi="Arial"/>
        </w:rPr>
        <w:t xml:space="preserve">same </w:t>
      </w:r>
      <w:r w:rsidR="001536C9">
        <w:rPr>
          <w:rFonts w:ascii="Arial" w:hAnsi="Arial"/>
        </w:rPr>
        <w:t>u</w:t>
      </w:r>
      <w:r>
        <w:rPr>
          <w:rFonts w:ascii="Arial" w:hAnsi="Arial"/>
        </w:rPr>
        <w:t xml:space="preserve">nion official had </w:t>
      </w:r>
      <w:r w:rsidR="00E80BB4">
        <w:rPr>
          <w:rFonts w:ascii="Arial" w:hAnsi="Arial"/>
        </w:rPr>
        <w:t xml:space="preserve">asked </w:t>
      </w:r>
      <w:r w:rsidR="00AF7FE6">
        <w:rPr>
          <w:rFonts w:ascii="Arial" w:hAnsi="Arial"/>
        </w:rPr>
        <w:t xml:space="preserve">the consultant </w:t>
      </w:r>
      <w:r w:rsidR="00E80BB4">
        <w:rPr>
          <w:rFonts w:ascii="Arial" w:hAnsi="Arial"/>
        </w:rPr>
        <w:t xml:space="preserve">to warn </w:t>
      </w:r>
      <w:r w:rsidR="001536C9">
        <w:rPr>
          <w:rFonts w:ascii="Arial" w:hAnsi="Arial"/>
        </w:rPr>
        <w:t>a</w:t>
      </w:r>
      <w:r w:rsidR="00E80BB4">
        <w:rPr>
          <w:rFonts w:ascii="Arial" w:hAnsi="Arial"/>
        </w:rPr>
        <w:t xml:space="preserve">ppellant </w:t>
      </w:r>
      <w:r>
        <w:rPr>
          <w:rFonts w:ascii="Arial" w:hAnsi="Arial"/>
        </w:rPr>
        <w:t xml:space="preserve">not to pursue the appeal, because it would </w:t>
      </w:r>
      <w:r w:rsidR="001536C9">
        <w:rPr>
          <w:rFonts w:ascii="Arial" w:hAnsi="Arial"/>
        </w:rPr>
        <w:t>‘</w:t>
      </w:r>
      <w:r>
        <w:rPr>
          <w:rFonts w:ascii="Arial" w:hAnsi="Arial"/>
        </w:rPr>
        <w:t xml:space="preserve">cost him </w:t>
      </w:r>
      <w:r w:rsidR="001536C9">
        <w:rPr>
          <w:rFonts w:ascii="Arial" w:hAnsi="Arial"/>
        </w:rPr>
        <w:t>(</w:t>
      </w:r>
      <w:r>
        <w:rPr>
          <w:rFonts w:ascii="Arial" w:hAnsi="Arial"/>
        </w:rPr>
        <w:t xml:space="preserve">the </w:t>
      </w:r>
      <w:r w:rsidR="00BA348D">
        <w:rPr>
          <w:rFonts w:ascii="Arial" w:hAnsi="Arial"/>
        </w:rPr>
        <w:t>a</w:t>
      </w:r>
      <w:r>
        <w:rPr>
          <w:rFonts w:ascii="Arial" w:hAnsi="Arial"/>
        </w:rPr>
        <w:t>ppellant</w:t>
      </w:r>
      <w:r w:rsidR="001536C9">
        <w:rPr>
          <w:rFonts w:ascii="Arial" w:hAnsi="Arial"/>
        </w:rPr>
        <w:t>)</w:t>
      </w:r>
      <w:r>
        <w:rPr>
          <w:rFonts w:ascii="Arial" w:hAnsi="Arial"/>
        </w:rPr>
        <w:t xml:space="preserve"> dearly</w:t>
      </w:r>
      <w:r w:rsidR="001536C9">
        <w:rPr>
          <w:rFonts w:ascii="Arial" w:hAnsi="Arial"/>
        </w:rPr>
        <w:t>’</w:t>
      </w:r>
      <w:r>
        <w:rPr>
          <w:rFonts w:ascii="Arial" w:hAnsi="Arial"/>
        </w:rPr>
        <w:t xml:space="preserve">. Later on the same day, </w:t>
      </w:r>
      <w:r w:rsidR="00BA348D">
        <w:rPr>
          <w:rFonts w:ascii="Arial" w:hAnsi="Arial"/>
        </w:rPr>
        <w:t>a</w:t>
      </w:r>
      <w:r w:rsidR="00AF7FE6">
        <w:rPr>
          <w:rFonts w:ascii="Arial" w:hAnsi="Arial"/>
        </w:rPr>
        <w:t xml:space="preserve">ppellant says the </w:t>
      </w:r>
      <w:r>
        <w:rPr>
          <w:rFonts w:ascii="Arial" w:hAnsi="Arial"/>
        </w:rPr>
        <w:t xml:space="preserve">same consultant informed </w:t>
      </w:r>
      <w:r w:rsidR="001536C9">
        <w:rPr>
          <w:rFonts w:ascii="Arial" w:hAnsi="Arial"/>
        </w:rPr>
        <w:t>a</w:t>
      </w:r>
      <w:r>
        <w:rPr>
          <w:rFonts w:ascii="Arial" w:hAnsi="Arial"/>
        </w:rPr>
        <w:t xml:space="preserve">ppellant that he would be arrested the next day if he pursued the appeal. </w:t>
      </w:r>
    </w:p>
    <w:p w:rsidR="00882782" w:rsidRDefault="00882782" w:rsidP="00B76BDF">
      <w:pPr>
        <w:pStyle w:val="ListParagraph"/>
        <w:spacing w:line="480" w:lineRule="auto"/>
        <w:ind w:left="0"/>
        <w:jc w:val="both"/>
        <w:rPr>
          <w:rFonts w:ascii="Arial" w:hAnsi="Arial"/>
        </w:rPr>
      </w:pPr>
    </w:p>
    <w:p w:rsidR="00C816E0" w:rsidRDefault="00882782" w:rsidP="00B76BDF">
      <w:pPr>
        <w:pStyle w:val="ListParagraph"/>
        <w:numPr>
          <w:ilvl w:val="0"/>
          <w:numId w:val="1"/>
        </w:numPr>
        <w:spacing w:line="480" w:lineRule="auto"/>
        <w:ind w:left="0" w:firstLine="0"/>
        <w:jc w:val="both"/>
        <w:rPr>
          <w:rFonts w:ascii="Arial" w:hAnsi="Arial"/>
        </w:rPr>
      </w:pPr>
      <w:r>
        <w:rPr>
          <w:rFonts w:ascii="Arial" w:hAnsi="Arial"/>
        </w:rPr>
        <w:t xml:space="preserve">Several weeks later on 20 November 2008, </w:t>
      </w:r>
      <w:r w:rsidR="000038C5">
        <w:rPr>
          <w:rFonts w:ascii="Arial" w:hAnsi="Arial"/>
        </w:rPr>
        <w:t xml:space="preserve">NHE </w:t>
      </w:r>
      <w:r>
        <w:rPr>
          <w:rFonts w:ascii="Arial" w:hAnsi="Arial"/>
        </w:rPr>
        <w:t xml:space="preserve">successfully </w:t>
      </w:r>
      <w:r w:rsidR="000038C5">
        <w:rPr>
          <w:rFonts w:ascii="Arial" w:hAnsi="Arial"/>
        </w:rPr>
        <w:t xml:space="preserve">approached the Labour Court for </w:t>
      </w:r>
      <w:r w:rsidR="00AF7FE6">
        <w:rPr>
          <w:rFonts w:ascii="Arial" w:hAnsi="Arial"/>
        </w:rPr>
        <w:t xml:space="preserve">an order suspending </w:t>
      </w:r>
      <w:r w:rsidR="000038C5">
        <w:rPr>
          <w:rFonts w:ascii="Arial" w:hAnsi="Arial"/>
        </w:rPr>
        <w:t>the order of reinstatement made by the District Labour Court.</w:t>
      </w:r>
      <w:r w:rsidR="00013C78">
        <w:rPr>
          <w:rFonts w:ascii="Arial" w:hAnsi="Arial"/>
        </w:rPr>
        <w:t xml:space="preserve"> </w:t>
      </w:r>
      <w:r>
        <w:rPr>
          <w:rFonts w:ascii="Arial" w:hAnsi="Arial"/>
        </w:rPr>
        <w:t xml:space="preserve">On 26 November 2008, </w:t>
      </w:r>
      <w:r w:rsidR="00AF7FE6">
        <w:rPr>
          <w:rFonts w:ascii="Arial" w:hAnsi="Arial"/>
        </w:rPr>
        <w:t xml:space="preserve">according to </w:t>
      </w:r>
      <w:r w:rsidR="001536C9">
        <w:rPr>
          <w:rFonts w:ascii="Arial" w:hAnsi="Arial"/>
        </w:rPr>
        <w:t>a</w:t>
      </w:r>
      <w:r w:rsidR="00AF7FE6">
        <w:rPr>
          <w:rFonts w:ascii="Arial" w:hAnsi="Arial"/>
        </w:rPr>
        <w:t xml:space="preserve">ppellant, </w:t>
      </w:r>
      <w:r>
        <w:rPr>
          <w:rFonts w:ascii="Arial" w:hAnsi="Arial"/>
        </w:rPr>
        <w:t xml:space="preserve">the </w:t>
      </w:r>
      <w:r w:rsidR="00977F74">
        <w:rPr>
          <w:rFonts w:ascii="Arial" w:hAnsi="Arial"/>
        </w:rPr>
        <w:t xml:space="preserve">same </w:t>
      </w:r>
      <w:r>
        <w:rPr>
          <w:rFonts w:ascii="Arial" w:hAnsi="Arial"/>
        </w:rPr>
        <w:t xml:space="preserve">union official came to </w:t>
      </w:r>
      <w:r w:rsidR="001536C9">
        <w:rPr>
          <w:rFonts w:ascii="Arial" w:hAnsi="Arial"/>
        </w:rPr>
        <w:t>a</w:t>
      </w:r>
      <w:r>
        <w:rPr>
          <w:rFonts w:ascii="Arial" w:hAnsi="Arial"/>
        </w:rPr>
        <w:t>ppel</w:t>
      </w:r>
      <w:r w:rsidR="00AF7FE6">
        <w:rPr>
          <w:rFonts w:ascii="Arial" w:hAnsi="Arial"/>
        </w:rPr>
        <w:t xml:space="preserve">lant’s office in an angry mood and threatened </w:t>
      </w:r>
      <w:r w:rsidR="001536C9">
        <w:rPr>
          <w:rFonts w:ascii="Arial" w:hAnsi="Arial"/>
        </w:rPr>
        <w:t>a</w:t>
      </w:r>
      <w:r>
        <w:rPr>
          <w:rFonts w:ascii="Arial" w:hAnsi="Arial"/>
        </w:rPr>
        <w:t>ppellant</w:t>
      </w:r>
      <w:r w:rsidR="00AF7FE6">
        <w:rPr>
          <w:rFonts w:ascii="Arial" w:hAnsi="Arial"/>
        </w:rPr>
        <w:t xml:space="preserve"> with arrest</w:t>
      </w:r>
      <w:r>
        <w:rPr>
          <w:rFonts w:ascii="Arial" w:hAnsi="Arial"/>
        </w:rPr>
        <w:t>.</w:t>
      </w:r>
    </w:p>
    <w:p w:rsidR="002F1AA5" w:rsidRDefault="002F1AA5" w:rsidP="00B76BDF">
      <w:pPr>
        <w:pStyle w:val="ListParagraph"/>
        <w:spacing w:line="480" w:lineRule="auto"/>
        <w:ind w:left="0"/>
        <w:jc w:val="both"/>
        <w:rPr>
          <w:rFonts w:ascii="Arial" w:hAnsi="Arial"/>
        </w:rPr>
      </w:pPr>
    </w:p>
    <w:p w:rsidR="00882782" w:rsidRDefault="00AF7FE6" w:rsidP="00B76BDF">
      <w:pPr>
        <w:pStyle w:val="ListParagraph"/>
        <w:numPr>
          <w:ilvl w:val="0"/>
          <w:numId w:val="1"/>
        </w:numPr>
        <w:spacing w:line="480" w:lineRule="auto"/>
        <w:ind w:left="0" w:firstLine="0"/>
        <w:jc w:val="both"/>
        <w:rPr>
          <w:rFonts w:ascii="Arial" w:hAnsi="Arial"/>
        </w:rPr>
      </w:pPr>
      <w:r>
        <w:rPr>
          <w:rFonts w:ascii="Arial" w:hAnsi="Arial"/>
        </w:rPr>
        <w:t>It is common cause that t</w:t>
      </w:r>
      <w:r w:rsidR="00882782">
        <w:rPr>
          <w:rFonts w:ascii="Arial" w:hAnsi="Arial"/>
        </w:rPr>
        <w:t xml:space="preserve">he following day Mr </w:t>
      </w:r>
      <w:proofErr w:type="spellStart"/>
      <w:r w:rsidR="00882782">
        <w:rPr>
          <w:rFonts w:ascii="Arial" w:hAnsi="Arial"/>
        </w:rPr>
        <w:t>Masule</w:t>
      </w:r>
      <w:proofErr w:type="spellEnd"/>
      <w:r w:rsidR="00882782">
        <w:rPr>
          <w:rFonts w:ascii="Arial" w:hAnsi="Arial"/>
        </w:rPr>
        <w:t>, the Commission’s investigator arrived at the offices of the NHE</w:t>
      </w:r>
      <w:r w:rsidR="00013C78">
        <w:rPr>
          <w:rFonts w:ascii="Arial" w:hAnsi="Arial"/>
        </w:rPr>
        <w:t>.</w:t>
      </w:r>
      <w:r>
        <w:rPr>
          <w:rFonts w:ascii="Arial" w:hAnsi="Arial"/>
        </w:rPr>
        <w:t xml:space="preserve"> He</w:t>
      </w:r>
      <w:r w:rsidR="00013C78">
        <w:rPr>
          <w:rFonts w:ascii="Arial" w:hAnsi="Arial"/>
        </w:rPr>
        <w:t xml:space="preserve"> arrested a</w:t>
      </w:r>
      <w:r w:rsidR="008D10DF">
        <w:rPr>
          <w:rFonts w:ascii="Arial" w:hAnsi="Arial"/>
        </w:rPr>
        <w:t xml:space="preserve">ppellant </w:t>
      </w:r>
      <w:r w:rsidR="00E80BB4">
        <w:rPr>
          <w:rFonts w:ascii="Arial" w:hAnsi="Arial"/>
        </w:rPr>
        <w:t xml:space="preserve">without a warrant </w:t>
      </w:r>
      <w:r w:rsidR="008D10DF">
        <w:rPr>
          <w:rFonts w:ascii="Arial" w:hAnsi="Arial"/>
        </w:rPr>
        <w:t>and took</w:t>
      </w:r>
      <w:r w:rsidR="00E80BB4">
        <w:rPr>
          <w:rFonts w:ascii="Arial" w:hAnsi="Arial"/>
        </w:rPr>
        <w:t xml:space="preserve"> him to the Magistrates’ Court.</w:t>
      </w:r>
      <w:r w:rsidR="008D10DF">
        <w:rPr>
          <w:rFonts w:ascii="Arial" w:hAnsi="Arial"/>
        </w:rPr>
        <w:t xml:space="preserve"> </w:t>
      </w:r>
      <w:r w:rsidR="00882782">
        <w:rPr>
          <w:rFonts w:ascii="Arial" w:hAnsi="Arial"/>
        </w:rPr>
        <w:t xml:space="preserve">There is a dispute between </w:t>
      </w:r>
      <w:r w:rsidR="001536C9">
        <w:rPr>
          <w:rFonts w:ascii="Arial" w:hAnsi="Arial"/>
        </w:rPr>
        <w:t>a</w:t>
      </w:r>
      <w:r w:rsidR="00882782">
        <w:rPr>
          <w:rFonts w:ascii="Arial" w:hAnsi="Arial"/>
        </w:rPr>
        <w:t xml:space="preserve">ppellant and </w:t>
      </w:r>
      <w:r w:rsidR="001536C9">
        <w:rPr>
          <w:rFonts w:ascii="Arial" w:hAnsi="Arial"/>
        </w:rPr>
        <w:t>r</w:t>
      </w:r>
      <w:r w:rsidR="00882782">
        <w:rPr>
          <w:rFonts w:ascii="Arial" w:hAnsi="Arial"/>
        </w:rPr>
        <w:t xml:space="preserve">espondents as to whether </w:t>
      </w:r>
      <w:r w:rsidR="00E80BB4">
        <w:rPr>
          <w:rFonts w:ascii="Arial" w:hAnsi="Arial"/>
        </w:rPr>
        <w:t xml:space="preserve">Mr </w:t>
      </w:r>
      <w:proofErr w:type="spellStart"/>
      <w:r w:rsidR="00E80BB4">
        <w:rPr>
          <w:rFonts w:ascii="Arial" w:hAnsi="Arial"/>
        </w:rPr>
        <w:t>Masule</w:t>
      </w:r>
      <w:proofErr w:type="spellEnd"/>
      <w:r w:rsidR="00E80BB4">
        <w:rPr>
          <w:rFonts w:ascii="Arial" w:hAnsi="Arial"/>
        </w:rPr>
        <w:t xml:space="preserve"> </w:t>
      </w:r>
      <w:r w:rsidR="00882782">
        <w:rPr>
          <w:rFonts w:ascii="Arial" w:hAnsi="Arial"/>
        </w:rPr>
        <w:t xml:space="preserve">was accompanied by the </w:t>
      </w:r>
      <w:r w:rsidR="001536C9">
        <w:rPr>
          <w:rFonts w:ascii="Arial" w:hAnsi="Arial"/>
        </w:rPr>
        <w:t>u</w:t>
      </w:r>
      <w:r w:rsidR="00882782">
        <w:rPr>
          <w:rFonts w:ascii="Arial" w:hAnsi="Arial"/>
        </w:rPr>
        <w:t xml:space="preserve">nion official and the retrenched workers. </w:t>
      </w:r>
      <w:r w:rsidR="008D10DF">
        <w:rPr>
          <w:rFonts w:ascii="Arial" w:hAnsi="Arial"/>
        </w:rPr>
        <w:t xml:space="preserve">Appellant </w:t>
      </w:r>
      <w:r w:rsidR="00882782">
        <w:rPr>
          <w:rFonts w:ascii="Arial" w:hAnsi="Arial"/>
        </w:rPr>
        <w:t>was released on bail on the same day</w:t>
      </w:r>
      <w:r>
        <w:rPr>
          <w:rFonts w:ascii="Arial" w:hAnsi="Arial"/>
        </w:rPr>
        <w:t xml:space="preserve"> on condition that he hand</w:t>
      </w:r>
      <w:r w:rsidR="00E80BB4">
        <w:rPr>
          <w:rFonts w:ascii="Arial" w:hAnsi="Arial"/>
        </w:rPr>
        <w:t xml:space="preserve"> over his office keys and that he not come within 100 meters of the N</w:t>
      </w:r>
      <w:r w:rsidR="00977F74">
        <w:rPr>
          <w:rFonts w:ascii="Arial" w:hAnsi="Arial"/>
        </w:rPr>
        <w:t>H</w:t>
      </w:r>
      <w:r w:rsidR="00E80BB4">
        <w:rPr>
          <w:rFonts w:ascii="Arial" w:hAnsi="Arial"/>
        </w:rPr>
        <w:t>E offices until 8 December 2008.</w:t>
      </w:r>
      <w:r w:rsidR="00882782">
        <w:rPr>
          <w:rFonts w:ascii="Arial" w:hAnsi="Arial"/>
        </w:rPr>
        <w:t xml:space="preserve"> </w:t>
      </w:r>
    </w:p>
    <w:p w:rsidR="00E80BB4" w:rsidRDefault="00E80BB4" w:rsidP="00B76BDF">
      <w:pPr>
        <w:pStyle w:val="ListParagraph"/>
        <w:spacing w:line="480" w:lineRule="auto"/>
        <w:ind w:left="0"/>
        <w:jc w:val="both"/>
        <w:rPr>
          <w:rFonts w:ascii="Arial" w:hAnsi="Arial"/>
        </w:rPr>
      </w:pPr>
    </w:p>
    <w:p w:rsidR="00064C76" w:rsidRDefault="00064C76" w:rsidP="00B76BDF">
      <w:pPr>
        <w:pStyle w:val="ListParagraph"/>
        <w:numPr>
          <w:ilvl w:val="0"/>
          <w:numId w:val="1"/>
        </w:numPr>
        <w:spacing w:line="480" w:lineRule="auto"/>
        <w:ind w:left="0" w:firstLine="0"/>
        <w:jc w:val="both"/>
        <w:rPr>
          <w:rFonts w:ascii="Arial" w:hAnsi="Arial"/>
        </w:rPr>
      </w:pPr>
      <w:r>
        <w:rPr>
          <w:rFonts w:ascii="Arial" w:hAnsi="Arial"/>
        </w:rPr>
        <w:t>Appellant argues that these facts demonstrate that the decisions taken by the Commission were not based on a reasonable assessment of the evidence, that the Commission acted at the behest of the Union and that the decision to investigat</w:t>
      </w:r>
      <w:r w:rsidR="003F1A6C">
        <w:rPr>
          <w:rFonts w:ascii="Arial" w:hAnsi="Arial"/>
        </w:rPr>
        <w:t>e</w:t>
      </w:r>
      <w:r>
        <w:rPr>
          <w:rFonts w:ascii="Arial" w:hAnsi="Arial"/>
        </w:rPr>
        <w:t xml:space="preserve"> </w:t>
      </w:r>
      <w:r w:rsidR="001536C9">
        <w:rPr>
          <w:rFonts w:ascii="Arial" w:hAnsi="Arial"/>
        </w:rPr>
        <w:t>a</w:t>
      </w:r>
      <w:r>
        <w:rPr>
          <w:rFonts w:ascii="Arial" w:hAnsi="Arial"/>
        </w:rPr>
        <w:t xml:space="preserve">ppellant was therefore unlawful. </w:t>
      </w:r>
    </w:p>
    <w:p w:rsidR="00064C76" w:rsidRDefault="00064C76" w:rsidP="00B76BDF">
      <w:pPr>
        <w:pStyle w:val="ListParagraph"/>
        <w:spacing w:line="480" w:lineRule="auto"/>
        <w:ind w:left="0"/>
        <w:jc w:val="both"/>
        <w:rPr>
          <w:rFonts w:ascii="Arial" w:hAnsi="Arial"/>
        </w:rPr>
      </w:pPr>
    </w:p>
    <w:p w:rsidR="00E80BB4" w:rsidRDefault="00E80BB4" w:rsidP="00B76BDF">
      <w:pPr>
        <w:pStyle w:val="ListParagraph"/>
        <w:numPr>
          <w:ilvl w:val="0"/>
          <w:numId w:val="1"/>
        </w:numPr>
        <w:spacing w:line="480" w:lineRule="auto"/>
        <w:ind w:left="0" w:firstLine="0"/>
        <w:jc w:val="both"/>
        <w:rPr>
          <w:rFonts w:ascii="Arial" w:hAnsi="Arial"/>
        </w:rPr>
      </w:pPr>
      <w:r>
        <w:rPr>
          <w:rFonts w:ascii="Arial" w:hAnsi="Arial"/>
        </w:rPr>
        <w:t xml:space="preserve">The Commission admits that it received </w:t>
      </w:r>
      <w:r w:rsidR="00AF7FE6">
        <w:rPr>
          <w:rFonts w:ascii="Arial" w:hAnsi="Arial"/>
        </w:rPr>
        <w:t xml:space="preserve">a </w:t>
      </w:r>
      <w:r w:rsidR="00064C76">
        <w:rPr>
          <w:rFonts w:ascii="Arial" w:hAnsi="Arial"/>
        </w:rPr>
        <w:t xml:space="preserve">complaint of corrupt </w:t>
      </w:r>
      <w:r w:rsidR="00AF7FE6">
        <w:rPr>
          <w:rFonts w:ascii="Arial" w:hAnsi="Arial"/>
        </w:rPr>
        <w:t xml:space="preserve">practices </w:t>
      </w:r>
      <w:r w:rsidR="00064C76">
        <w:rPr>
          <w:rFonts w:ascii="Arial" w:hAnsi="Arial"/>
        </w:rPr>
        <w:t xml:space="preserve">against </w:t>
      </w:r>
      <w:r w:rsidR="001536C9">
        <w:rPr>
          <w:rFonts w:ascii="Arial" w:hAnsi="Arial"/>
        </w:rPr>
        <w:t>a</w:t>
      </w:r>
      <w:r w:rsidR="00064C76">
        <w:rPr>
          <w:rFonts w:ascii="Arial" w:hAnsi="Arial"/>
        </w:rPr>
        <w:t xml:space="preserve">ppellant </w:t>
      </w:r>
      <w:r w:rsidR="00AF7FE6">
        <w:rPr>
          <w:rFonts w:ascii="Arial" w:hAnsi="Arial"/>
        </w:rPr>
        <w:t>from the Union. Moreover, i</w:t>
      </w:r>
      <w:r w:rsidR="00064C76">
        <w:rPr>
          <w:rFonts w:ascii="Arial" w:hAnsi="Arial"/>
        </w:rPr>
        <w:t xml:space="preserve">t </w:t>
      </w:r>
      <w:r>
        <w:rPr>
          <w:rFonts w:ascii="Arial" w:hAnsi="Arial"/>
        </w:rPr>
        <w:t xml:space="preserve">does not deny that the trade union and its members engaged in a campaign against </w:t>
      </w:r>
      <w:r w:rsidR="001536C9">
        <w:rPr>
          <w:rFonts w:ascii="Arial" w:hAnsi="Arial"/>
        </w:rPr>
        <w:t>a</w:t>
      </w:r>
      <w:r>
        <w:rPr>
          <w:rFonts w:ascii="Arial" w:hAnsi="Arial"/>
        </w:rPr>
        <w:t>ppellant following NHE’s decision to retrench some of its staff. However, the Commission denies that it act</w:t>
      </w:r>
      <w:r w:rsidR="00AF7FE6">
        <w:rPr>
          <w:rFonts w:ascii="Arial" w:hAnsi="Arial"/>
        </w:rPr>
        <w:t>ed</w:t>
      </w:r>
      <w:r>
        <w:rPr>
          <w:rFonts w:ascii="Arial" w:hAnsi="Arial"/>
        </w:rPr>
        <w:t xml:space="preserve"> </w:t>
      </w:r>
      <w:r w:rsidR="00946D62">
        <w:rPr>
          <w:rFonts w:ascii="Arial" w:hAnsi="Arial"/>
        </w:rPr>
        <w:t xml:space="preserve">in concert with or </w:t>
      </w:r>
      <w:r>
        <w:rPr>
          <w:rFonts w:ascii="Arial" w:hAnsi="Arial"/>
        </w:rPr>
        <w:t>at the behest of the Union</w:t>
      </w:r>
      <w:r w:rsidR="00946D62">
        <w:rPr>
          <w:rFonts w:ascii="Arial" w:hAnsi="Arial"/>
        </w:rPr>
        <w:t xml:space="preserve"> in initiating its investigation into appellant’s conduct</w:t>
      </w:r>
      <w:r>
        <w:rPr>
          <w:rFonts w:ascii="Arial" w:hAnsi="Arial"/>
        </w:rPr>
        <w:t xml:space="preserve">. It also asserts that the charges levelled against </w:t>
      </w:r>
      <w:r w:rsidR="001536C9">
        <w:rPr>
          <w:rFonts w:ascii="Arial" w:hAnsi="Arial"/>
        </w:rPr>
        <w:t>a</w:t>
      </w:r>
      <w:r>
        <w:rPr>
          <w:rFonts w:ascii="Arial" w:hAnsi="Arial"/>
        </w:rPr>
        <w:t>ppellant w</w:t>
      </w:r>
      <w:r w:rsidR="00064C76">
        <w:rPr>
          <w:rFonts w:ascii="Arial" w:hAnsi="Arial"/>
        </w:rPr>
        <w:t>e</w:t>
      </w:r>
      <w:r>
        <w:rPr>
          <w:rFonts w:ascii="Arial" w:hAnsi="Arial"/>
        </w:rPr>
        <w:t xml:space="preserve">re </w:t>
      </w:r>
      <w:r w:rsidR="00013C78">
        <w:rPr>
          <w:rFonts w:ascii="Arial" w:hAnsi="Arial"/>
        </w:rPr>
        <w:t xml:space="preserve">not frivolous. </w:t>
      </w:r>
      <w:r w:rsidR="00064C76">
        <w:rPr>
          <w:rFonts w:ascii="Arial" w:hAnsi="Arial"/>
        </w:rPr>
        <w:t xml:space="preserve">Accordingly, it is the Commission’s case that its investigation into </w:t>
      </w:r>
      <w:r w:rsidR="001536C9">
        <w:rPr>
          <w:rFonts w:ascii="Arial" w:hAnsi="Arial"/>
        </w:rPr>
        <w:t>a</w:t>
      </w:r>
      <w:r w:rsidR="00064C76">
        <w:rPr>
          <w:rFonts w:ascii="Arial" w:hAnsi="Arial"/>
        </w:rPr>
        <w:t>ppellant’s conduct at the NHE was properly and legitimately instituted and that the Commission did not act unlawfully in conducting its investigation.</w:t>
      </w:r>
    </w:p>
    <w:p w:rsidR="00B91B86" w:rsidRDefault="00B91B86" w:rsidP="00B76BDF">
      <w:pPr>
        <w:pStyle w:val="ListParagraph"/>
        <w:spacing w:line="480" w:lineRule="auto"/>
        <w:ind w:left="0"/>
        <w:jc w:val="both"/>
        <w:rPr>
          <w:rFonts w:ascii="Arial" w:hAnsi="Arial"/>
        </w:rPr>
      </w:pPr>
    </w:p>
    <w:p w:rsidR="000031E9" w:rsidRPr="00A32D52" w:rsidRDefault="000031E9" w:rsidP="00B76BDF">
      <w:pPr>
        <w:pStyle w:val="ListParagraph"/>
        <w:spacing w:line="480" w:lineRule="auto"/>
        <w:ind w:left="0"/>
        <w:jc w:val="both"/>
        <w:rPr>
          <w:rFonts w:ascii="Arial" w:hAnsi="Arial"/>
          <w:u w:val="single"/>
        </w:rPr>
      </w:pPr>
      <w:r w:rsidRPr="00A32D52">
        <w:rPr>
          <w:rFonts w:ascii="Arial" w:hAnsi="Arial"/>
          <w:u w:val="single"/>
        </w:rPr>
        <w:t>Relevant legislative provisions</w:t>
      </w:r>
    </w:p>
    <w:p w:rsidR="004758A2" w:rsidRDefault="00146AE9" w:rsidP="00B76BDF">
      <w:pPr>
        <w:pStyle w:val="ListParagraph"/>
        <w:numPr>
          <w:ilvl w:val="0"/>
          <w:numId w:val="1"/>
        </w:numPr>
        <w:spacing w:line="480" w:lineRule="auto"/>
        <w:ind w:left="0" w:firstLine="0"/>
        <w:jc w:val="both"/>
        <w:rPr>
          <w:rFonts w:ascii="Arial" w:hAnsi="Arial"/>
        </w:rPr>
      </w:pPr>
      <w:r>
        <w:rPr>
          <w:rFonts w:ascii="Arial" w:hAnsi="Arial"/>
        </w:rPr>
        <w:t>The Act provides for the establishment of the Anti-Corruption Commission, as well as the procedures for the Commission to</w:t>
      </w:r>
      <w:r w:rsidR="00013C78">
        <w:rPr>
          <w:rFonts w:ascii="Arial" w:hAnsi="Arial"/>
        </w:rPr>
        <w:t xml:space="preserve"> investigate corrupt practices.</w:t>
      </w:r>
      <w:r>
        <w:rPr>
          <w:rFonts w:ascii="Arial" w:hAnsi="Arial"/>
        </w:rPr>
        <w:t xml:space="preserve"> </w:t>
      </w:r>
      <w:r w:rsidR="004758A2">
        <w:rPr>
          <w:rFonts w:ascii="Arial" w:hAnsi="Arial"/>
        </w:rPr>
        <w:t>The Act provides that the Commission may initiate investigations of its own accord</w:t>
      </w:r>
      <w:r w:rsidR="004758A2">
        <w:rPr>
          <w:rStyle w:val="FootnoteReference"/>
          <w:rFonts w:ascii="Arial" w:hAnsi="Arial"/>
        </w:rPr>
        <w:footnoteReference w:id="1"/>
      </w:r>
      <w:r w:rsidR="004758A2">
        <w:rPr>
          <w:rFonts w:ascii="Arial" w:hAnsi="Arial"/>
        </w:rPr>
        <w:t xml:space="preserve"> or on the basis of information furnished to the Commission by a person</w:t>
      </w:r>
      <w:r w:rsidR="004758A2">
        <w:rPr>
          <w:rStyle w:val="FootnoteReference"/>
          <w:rFonts w:ascii="Arial" w:hAnsi="Arial"/>
        </w:rPr>
        <w:footnoteReference w:id="2"/>
      </w:r>
      <w:r w:rsidR="004758A2">
        <w:rPr>
          <w:rFonts w:ascii="Arial" w:hAnsi="Arial"/>
        </w:rPr>
        <w:t xml:space="preserve"> who </w:t>
      </w:r>
      <w:r>
        <w:rPr>
          <w:rFonts w:ascii="Arial" w:hAnsi="Arial"/>
        </w:rPr>
        <w:t>suspects</w:t>
      </w:r>
      <w:r w:rsidR="004758A2">
        <w:rPr>
          <w:rFonts w:ascii="Arial" w:hAnsi="Arial"/>
        </w:rPr>
        <w:t>,</w:t>
      </w:r>
      <w:r>
        <w:rPr>
          <w:rFonts w:ascii="Arial" w:hAnsi="Arial"/>
        </w:rPr>
        <w:t xml:space="preserve"> on reasonable grounds</w:t>
      </w:r>
      <w:r w:rsidR="004758A2">
        <w:rPr>
          <w:rFonts w:ascii="Arial" w:hAnsi="Arial"/>
        </w:rPr>
        <w:t>,</w:t>
      </w:r>
      <w:r>
        <w:rPr>
          <w:rFonts w:ascii="Arial" w:hAnsi="Arial"/>
        </w:rPr>
        <w:t xml:space="preserve"> that the information concerns a corrupt practice, a term which is defined in the Act.</w:t>
      </w:r>
      <w:r w:rsidR="004758A2">
        <w:rPr>
          <w:rStyle w:val="FootnoteReference"/>
          <w:rFonts w:ascii="Arial" w:hAnsi="Arial"/>
        </w:rPr>
        <w:footnoteReference w:id="3"/>
      </w:r>
      <w:r>
        <w:rPr>
          <w:rFonts w:ascii="Arial" w:hAnsi="Arial"/>
        </w:rPr>
        <w:t xml:space="preserve"> </w:t>
      </w:r>
    </w:p>
    <w:p w:rsidR="004758A2" w:rsidRDefault="004758A2" w:rsidP="00B76BDF">
      <w:pPr>
        <w:pStyle w:val="ListParagraph"/>
        <w:spacing w:line="480" w:lineRule="auto"/>
        <w:ind w:left="0"/>
        <w:jc w:val="both"/>
        <w:rPr>
          <w:rFonts w:ascii="Arial" w:hAnsi="Arial"/>
        </w:rPr>
      </w:pPr>
    </w:p>
    <w:p w:rsidR="00B91B86" w:rsidRPr="004758A2" w:rsidRDefault="00146AE9" w:rsidP="00B76BDF">
      <w:pPr>
        <w:pStyle w:val="ListParagraph"/>
        <w:numPr>
          <w:ilvl w:val="0"/>
          <w:numId w:val="1"/>
        </w:numPr>
        <w:spacing w:line="480" w:lineRule="auto"/>
        <w:ind w:left="0" w:firstLine="0"/>
        <w:jc w:val="both"/>
        <w:rPr>
          <w:rFonts w:ascii="Arial" w:hAnsi="Arial"/>
        </w:rPr>
      </w:pPr>
      <w:r w:rsidRPr="004758A2">
        <w:rPr>
          <w:rFonts w:ascii="Arial" w:hAnsi="Arial"/>
        </w:rPr>
        <w:t xml:space="preserve">Section 18 provides </w:t>
      </w:r>
      <w:r w:rsidR="004758A2">
        <w:rPr>
          <w:rFonts w:ascii="Arial" w:hAnsi="Arial"/>
        </w:rPr>
        <w:t xml:space="preserve">for the procedure to be followed by the </w:t>
      </w:r>
      <w:r w:rsidR="000761E8">
        <w:rPr>
          <w:rFonts w:ascii="Arial" w:hAnsi="Arial"/>
        </w:rPr>
        <w:t>Commission</w:t>
      </w:r>
      <w:r w:rsidR="004758A2">
        <w:rPr>
          <w:rFonts w:ascii="Arial" w:hAnsi="Arial"/>
        </w:rPr>
        <w:t xml:space="preserve"> when it has received information from a member of the</w:t>
      </w:r>
      <w:r w:rsidR="000761E8">
        <w:rPr>
          <w:rFonts w:ascii="Arial" w:hAnsi="Arial"/>
        </w:rPr>
        <w:t xml:space="preserve"> </w:t>
      </w:r>
      <w:r w:rsidR="004758A2">
        <w:rPr>
          <w:rFonts w:ascii="Arial" w:hAnsi="Arial"/>
        </w:rPr>
        <w:t xml:space="preserve">public. It reads </w:t>
      </w:r>
      <w:r w:rsidRPr="004758A2">
        <w:rPr>
          <w:rFonts w:ascii="Arial" w:hAnsi="Arial"/>
        </w:rPr>
        <w:t>as follows:</w:t>
      </w:r>
    </w:p>
    <w:p w:rsidR="00146AE9" w:rsidRDefault="00146AE9" w:rsidP="00B76BDF">
      <w:pPr>
        <w:pStyle w:val="ListParagraph"/>
        <w:spacing w:line="480" w:lineRule="auto"/>
        <w:ind w:left="0"/>
        <w:jc w:val="both"/>
        <w:rPr>
          <w:rFonts w:ascii="Arial" w:hAnsi="Arial"/>
        </w:rPr>
      </w:pPr>
    </w:p>
    <w:p w:rsidR="00146AE9" w:rsidRDefault="001536C9" w:rsidP="00BA020D">
      <w:pPr>
        <w:pStyle w:val="ListParagraph"/>
        <w:spacing w:line="360" w:lineRule="auto"/>
        <w:jc w:val="both"/>
        <w:rPr>
          <w:rFonts w:ascii="Arial" w:hAnsi="Arial"/>
          <w:sz w:val="22"/>
          <w:szCs w:val="22"/>
        </w:rPr>
      </w:pPr>
      <w:r w:rsidRPr="00BA020D">
        <w:rPr>
          <w:rFonts w:ascii="Arial" w:hAnsi="Arial"/>
          <w:sz w:val="22"/>
          <w:szCs w:val="22"/>
        </w:rPr>
        <w:t>‘</w:t>
      </w:r>
      <w:r w:rsidR="00013C78">
        <w:rPr>
          <w:rFonts w:ascii="Arial" w:hAnsi="Arial"/>
          <w:sz w:val="22"/>
          <w:szCs w:val="22"/>
        </w:rPr>
        <w:t>(1)</w:t>
      </w:r>
      <w:r w:rsidR="00013C78">
        <w:rPr>
          <w:rFonts w:ascii="Arial" w:hAnsi="Arial"/>
          <w:sz w:val="22"/>
          <w:szCs w:val="22"/>
        </w:rPr>
        <w:tab/>
      </w:r>
      <w:r w:rsidR="00146AE9" w:rsidRPr="00BA020D">
        <w:rPr>
          <w:rFonts w:ascii="Arial" w:hAnsi="Arial"/>
          <w:sz w:val="22"/>
          <w:szCs w:val="22"/>
        </w:rPr>
        <w:t>The Commission must –</w:t>
      </w:r>
    </w:p>
    <w:p w:rsidR="00BA020D" w:rsidRPr="00BA020D" w:rsidRDefault="00BA020D" w:rsidP="00BA020D">
      <w:pPr>
        <w:pStyle w:val="ListParagraph"/>
        <w:spacing w:line="360" w:lineRule="auto"/>
        <w:jc w:val="both"/>
        <w:rPr>
          <w:rFonts w:ascii="Arial" w:hAnsi="Arial"/>
          <w:sz w:val="22"/>
          <w:szCs w:val="22"/>
        </w:rPr>
      </w:pPr>
    </w:p>
    <w:p w:rsidR="001536C9" w:rsidRDefault="00146AE9" w:rsidP="00BA020D">
      <w:pPr>
        <w:pStyle w:val="ListParagraph"/>
        <w:numPr>
          <w:ilvl w:val="0"/>
          <w:numId w:val="3"/>
        </w:numPr>
        <w:spacing w:line="360" w:lineRule="auto"/>
        <w:jc w:val="both"/>
        <w:rPr>
          <w:rFonts w:ascii="Arial" w:hAnsi="Arial"/>
          <w:sz w:val="22"/>
          <w:szCs w:val="22"/>
        </w:rPr>
      </w:pPr>
      <w:r w:rsidRPr="00BA020D">
        <w:rPr>
          <w:rFonts w:ascii="Arial" w:hAnsi="Arial"/>
          <w:sz w:val="22"/>
          <w:szCs w:val="22"/>
        </w:rPr>
        <w:t>receive information furnished to it by any person who alleges that another person has or is engaged, or is about to engage, in a corrupt practice; and</w:t>
      </w:r>
    </w:p>
    <w:p w:rsidR="00BA020D" w:rsidRPr="00BA020D" w:rsidRDefault="00BA020D" w:rsidP="00BA020D">
      <w:pPr>
        <w:pStyle w:val="ListParagraph"/>
        <w:spacing w:line="360" w:lineRule="auto"/>
        <w:ind w:left="2160"/>
        <w:jc w:val="both"/>
        <w:rPr>
          <w:sz w:val="22"/>
          <w:szCs w:val="22"/>
        </w:rPr>
      </w:pPr>
    </w:p>
    <w:p w:rsidR="00146AE9" w:rsidRPr="00BA020D" w:rsidRDefault="00146AE9" w:rsidP="00BA020D">
      <w:pPr>
        <w:pStyle w:val="ListParagraph"/>
        <w:spacing w:line="360" w:lineRule="auto"/>
        <w:ind w:left="2160" w:hanging="720"/>
        <w:jc w:val="both"/>
        <w:rPr>
          <w:rFonts w:ascii="Arial" w:hAnsi="Arial"/>
          <w:sz w:val="22"/>
          <w:szCs w:val="22"/>
        </w:rPr>
      </w:pPr>
      <w:r w:rsidRPr="00BA020D">
        <w:rPr>
          <w:rFonts w:ascii="Arial" w:hAnsi="Arial"/>
          <w:sz w:val="22"/>
          <w:szCs w:val="22"/>
        </w:rPr>
        <w:t>(b)</w:t>
      </w:r>
      <w:r w:rsidR="001536C9" w:rsidRPr="00BA020D">
        <w:rPr>
          <w:rFonts w:ascii="Arial" w:hAnsi="Arial"/>
          <w:sz w:val="22"/>
          <w:szCs w:val="22"/>
        </w:rPr>
        <w:tab/>
      </w:r>
      <w:proofErr w:type="gramStart"/>
      <w:r w:rsidRPr="00BA020D">
        <w:rPr>
          <w:rFonts w:ascii="Arial" w:hAnsi="Arial"/>
          <w:sz w:val="22"/>
          <w:szCs w:val="22"/>
        </w:rPr>
        <w:t>examine</w:t>
      </w:r>
      <w:proofErr w:type="gramEnd"/>
      <w:r w:rsidRPr="00BA020D">
        <w:rPr>
          <w:rFonts w:ascii="Arial" w:hAnsi="Arial"/>
          <w:sz w:val="22"/>
          <w:szCs w:val="22"/>
        </w:rPr>
        <w:t xml:space="preserve"> each alleged corrupt practice and decide whether or not an investigation in relation to the allegation is warranted on reasonable grounds.</w:t>
      </w:r>
    </w:p>
    <w:p w:rsidR="000C0953" w:rsidRPr="00BA020D" w:rsidRDefault="000C0953" w:rsidP="00BA020D">
      <w:pPr>
        <w:pStyle w:val="ListParagraph"/>
        <w:spacing w:line="360" w:lineRule="auto"/>
        <w:ind w:left="2160" w:hanging="720"/>
        <w:jc w:val="both"/>
        <w:rPr>
          <w:rFonts w:ascii="Arial" w:hAnsi="Arial"/>
          <w:sz w:val="22"/>
          <w:szCs w:val="22"/>
        </w:rPr>
      </w:pPr>
    </w:p>
    <w:p w:rsidR="00146AE9" w:rsidRPr="00BA020D" w:rsidRDefault="00146AE9" w:rsidP="00BA020D">
      <w:pPr>
        <w:spacing w:line="360" w:lineRule="auto"/>
        <w:ind w:left="1440" w:hanging="589"/>
        <w:jc w:val="both"/>
        <w:rPr>
          <w:rFonts w:ascii="Arial" w:hAnsi="Arial"/>
          <w:sz w:val="22"/>
          <w:szCs w:val="22"/>
        </w:rPr>
      </w:pPr>
      <w:r w:rsidRPr="00BA020D">
        <w:rPr>
          <w:rFonts w:ascii="Arial" w:hAnsi="Arial"/>
          <w:sz w:val="22"/>
          <w:szCs w:val="22"/>
        </w:rPr>
        <w:t>(2)</w:t>
      </w:r>
      <w:r w:rsidR="001536C9" w:rsidRPr="00BA020D">
        <w:rPr>
          <w:rFonts w:ascii="Arial" w:hAnsi="Arial"/>
          <w:sz w:val="22"/>
          <w:szCs w:val="22"/>
        </w:rPr>
        <w:tab/>
      </w:r>
      <w:r w:rsidRPr="00BA020D">
        <w:rPr>
          <w:rFonts w:ascii="Arial" w:hAnsi="Arial"/>
          <w:sz w:val="22"/>
          <w:szCs w:val="22"/>
        </w:rPr>
        <w:t xml:space="preserve">When deciding whether an investigation into an alleged corrupt practice is warranted, the </w:t>
      </w:r>
      <w:r w:rsidR="004758A2" w:rsidRPr="00BA020D">
        <w:rPr>
          <w:rFonts w:ascii="Arial" w:hAnsi="Arial"/>
          <w:sz w:val="22"/>
          <w:szCs w:val="22"/>
        </w:rPr>
        <w:t>Commission</w:t>
      </w:r>
      <w:r w:rsidRPr="00BA020D">
        <w:rPr>
          <w:rFonts w:ascii="Arial" w:hAnsi="Arial"/>
          <w:sz w:val="22"/>
          <w:szCs w:val="22"/>
        </w:rPr>
        <w:t xml:space="preserve"> may consider –</w:t>
      </w:r>
    </w:p>
    <w:p w:rsidR="000C0953" w:rsidRPr="00BA020D" w:rsidRDefault="000C0953" w:rsidP="00BA020D">
      <w:pPr>
        <w:spacing w:line="360" w:lineRule="auto"/>
        <w:ind w:left="1440" w:hanging="720"/>
        <w:jc w:val="both"/>
        <w:rPr>
          <w:rFonts w:ascii="Arial" w:hAnsi="Arial"/>
          <w:sz w:val="22"/>
          <w:szCs w:val="22"/>
        </w:rPr>
      </w:pPr>
    </w:p>
    <w:p w:rsidR="00146AE9" w:rsidRPr="00BA020D" w:rsidRDefault="00146AE9" w:rsidP="00BA020D">
      <w:pPr>
        <w:pStyle w:val="ListParagraph"/>
        <w:numPr>
          <w:ilvl w:val="0"/>
          <w:numId w:val="4"/>
        </w:numPr>
        <w:spacing w:line="360" w:lineRule="auto"/>
        <w:jc w:val="both"/>
        <w:rPr>
          <w:rFonts w:ascii="Arial" w:hAnsi="Arial"/>
          <w:sz w:val="22"/>
          <w:szCs w:val="22"/>
        </w:rPr>
      </w:pPr>
      <w:r w:rsidRPr="00BA020D">
        <w:rPr>
          <w:rFonts w:ascii="Arial" w:hAnsi="Arial"/>
          <w:sz w:val="22"/>
          <w:szCs w:val="22"/>
        </w:rPr>
        <w:t>the seriousness of the conduct or involvement to which the allegation relates;</w:t>
      </w:r>
    </w:p>
    <w:p w:rsidR="00BA020D" w:rsidRPr="00BA020D" w:rsidRDefault="00BA020D" w:rsidP="00BA020D">
      <w:pPr>
        <w:pStyle w:val="ListParagraph"/>
        <w:spacing w:line="360" w:lineRule="auto"/>
        <w:ind w:left="2160"/>
        <w:jc w:val="both"/>
        <w:rPr>
          <w:rFonts w:ascii="Arial" w:hAnsi="Arial"/>
          <w:sz w:val="22"/>
          <w:szCs w:val="22"/>
        </w:rPr>
      </w:pPr>
    </w:p>
    <w:p w:rsidR="000C0953" w:rsidRPr="00BA020D" w:rsidRDefault="00146AE9" w:rsidP="00BA020D">
      <w:pPr>
        <w:spacing w:line="360" w:lineRule="auto"/>
        <w:ind w:left="2160" w:hanging="720"/>
        <w:jc w:val="both"/>
        <w:rPr>
          <w:rFonts w:ascii="Arial" w:hAnsi="Arial"/>
          <w:sz w:val="22"/>
          <w:szCs w:val="22"/>
        </w:rPr>
      </w:pPr>
      <w:r w:rsidRPr="00BA020D">
        <w:rPr>
          <w:rFonts w:ascii="Arial" w:hAnsi="Arial"/>
          <w:sz w:val="22"/>
          <w:szCs w:val="22"/>
        </w:rPr>
        <w:t>(b)</w:t>
      </w:r>
      <w:r w:rsidR="001536C9" w:rsidRPr="00BA020D">
        <w:rPr>
          <w:rFonts w:ascii="Arial" w:hAnsi="Arial"/>
          <w:sz w:val="22"/>
          <w:szCs w:val="22"/>
        </w:rPr>
        <w:tab/>
      </w:r>
      <w:proofErr w:type="gramStart"/>
      <w:r w:rsidR="004758A2" w:rsidRPr="00BA020D">
        <w:rPr>
          <w:rFonts w:ascii="Arial" w:hAnsi="Arial"/>
          <w:sz w:val="22"/>
          <w:szCs w:val="22"/>
        </w:rPr>
        <w:t>whether</w:t>
      </w:r>
      <w:proofErr w:type="gramEnd"/>
      <w:r w:rsidRPr="00BA020D">
        <w:rPr>
          <w:rFonts w:ascii="Arial" w:hAnsi="Arial"/>
          <w:sz w:val="22"/>
          <w:szCs w:val="22"/>
        </w:rPr>
        <w:t xml:space="preserve"> or not the allegation is frivolous or vexatious or is made in good faith;</w:t>
      </w:r>
    </w:p>
    <w:p w:rsidR="00A32D52" w:rsidRPr="00BA020D" w:rsidRDefault="00A32D52" w:rsidP="00BA020D">
      <w:pPr>
        <w:spacing w:line="360" w:lineRule="auto"/>
        <w:ind w:left="2160" w:hanging="720"/>
        <w:jc w:val="both"/>
        <w:rPr>
          <w:rFonts w:ascii="Arial" w:hAnsi="Arial"/>
          <w:sz w:val="22"/>
          <w:szCs w:val="22"/>
        </w:rPr>
      </w:pPr>
    </w:p>
    <w:p w:rsidR="000C0953" w:rsidRPr="00BA020D" w:rsidRDefault="00146AE9" w:rsidP="00BA020D">
      <w:pPr>
        <w:spacing w:line="360" w:lineRule="auto"/>
        <w:ind w:left="2160" w:hanging="720"/>
        <w:jc w:val="both"/>
        <w:rPr>
          <w:rFonts w:ascii="Arial" w:hAnsi="Arial"/>
          <w:sz w:val="22"/>
          <w:szCs w:val="22"/>
        </w:rPr>
      </w:pPr>
      <w:r w:rsidRPr="00BA020D">
        <w:rPr>
          <w:rFonts w:ascii="Arial" w:hAnsi="Arial"/>
          <w:sz w:val="22"/>
          <w:szCs w:val="22"/>
        </w:rPr>
        <w:t>(c)</w:t>
      </w:r>
      <w:r w:rsidR="001536C9" w:rsidRPr="00BA020D">
        <w:rPr>
          <w:rFonts w:ascii="Arial" w:hAnsi="Arial"/>
          <w:sz w:val="22"/>
          <w:szCs w:val="22"/>
        </w:rPr>
        <w:tab/>
      </w:r>
      <w:proofErr w:type="gramStart"/>
      <w:r w:rsidRPr="00BA020D">
        <w:rPr>
          <w:rFonts w:ascii="Arial" w:hAnsi="Arial"/>
          <w:sz w:val="22"/>
          <w:szCs w:val="22"/>
        </w:rPr>
        <w:t>whether</w:t>
      </w:r>
      <w:proofErr w:type="gramEnd"/>
      <w:r w:rsidRPr="00BA020D">
        <w:rPr>
          <w:rFonts w:ascii="Arial" w:hAnsi="Arial"/>
          <w:sz w:val="22"/>
          <w:szCs w:val="22"/>
        </w:rPr>
        <w:t xml:space="preserve"> or not the conduct or involvement to which the allegation relates is or has been the </w:t>
      </w:r>
      <w:r w:rsidR="004758A2" w:rsidRPr="00BA020D">
        <w:rPr>
          <w:rFonts w:ascii="Arial" w:hAnsi="Arial"/>
          <w:sz w:val="22"/>
          <w:szCs w:val="22"/>
        </w:rPr>
        <w:t>subject</w:t>
      </w:r>
      <w:r w:rsidRPr="00BA020D">
        <w:rPr>
          <w:rFonts w:ascii="Arial" w:hAnsi="Arial"/>
          <w:sz w:val="22"/>
          <w:szCs w:val="22"/>
        </w:rPr>
        <w:t xml:space="preserve"> of </w:t>
      </w:r>
      <w:r w:rsidR="004758A2" w:rsidRPr="00BA020D">
        <w:rPr>
          <w:rFonts w:ascii="Arial" w:hAnsi="Arial"/>
          <w:sz w:val="22"/>
          <w:szCs w:val="22"/>
        </w:rPr>
        <w:t>investigation</w:t>
      </w:r>
      <w:r w:rsidRPr="00BA020D">
        <w:rPr>
          <w:rFonts w:ascii="Arial" w:hAnsi="Arial"/>
          <w:sz w:val="22"/>
          <w:szCs w:val="22"/>
        </w:rPr>
        <w:t xml:space="preserve"> or other action by any other appropriate authority for the purposes of any other law;</w:t>
      </w:r>
    </w:p>
    <w:p w:rsidR="00A32D52" w:rsidRPr="00BA020D" w:rsidRDefault="00A32D52" w:rsidP="00BA020D">
      <w:pPr>
        <w:spacing w:line="360" w:lineRule="auto"/>
        <w:ind w:left="2160" w:hanging="720"/>
        <w:jc w:val="both"/>
        <w:rPr>
          <w:rFonts w:ascii="Arial" w:hAnsi="Arial"/>
          <w:sz w:val="22"/>
          <w:szCs w:val="22"/>
        </w:rPr>
      </w:pPr>
    </w:p>
    <w:p w:rsidR="00146AE9" w:rsidRPr="00BA020D" w:rsidRDefault="00146AE9" w:rsidP="00BA020D">
      <w:pPr>
        <w:spacing w:line="360" w:lineRule="auto"/>
        <w:ind w:left="2160" w:hanging="720"/>
        <w:jc w:val="both"/>
        <w:rPr>
          <w:rFonts w:ascii="Arial" w:hAnsi="Arial"/>
          <w:sz w:val="22"/>
          <w:szCs w:val="22"/>
        </w:rPr>
      </w:pPr>
      <w:r w:rsidRPr="00BA020D">
        <w:rPr>
          <w:rFonts w:ascii="Arial" w:hAnsi="Arial"/>
          <w:sz w:val="22"/>
          <w:szCs w:val="22"/>
        </w:rPr>
        <w:t>(d)</w:t>
      </w:r>
      <w:r w:rsidR="001536C9" w:rsidRPr="00BA020D">
        <w:rPr>
          <w:rFonts w:ascii="Arial" w:hAnsi="Arial"/>
          <w:sz w:val="22"/>
          <w:szCs w:val="22"/>
        </w:rPr>
        <w:tab/>
      </w:r>
      <w:proofErr w:type="gramStart"/>
      <w:r w:rsidRPr="00BA020D">
        <w:rPr>
          <w:rFonts w:ascii="Arial" w:hAnsi="Arial"/>
          <w:sz w:val="22"/>
          <w:szCs w:val="22"/>
        </w:rPr>
        <w:t>whether</w:t>
      </w:r>
      <w:proofErr w:type="gramEnd"/>
      <w:r w:rsidRPr="00BA020D">
        <w:rPr>
          <w:rFonts w:ascii="Arial" w:hAnsi="Arial"/>
          <w:sz w:val="22"/>
          <w:szCs w:val="22"/>
        </w:rPr>
        <w:t xml:space="preserve"> or not, in all the </w:t>
      </w:r>
      <w:r w:rsidR="004758A2" w:rsidRPr="00BA020D">
        <w:rPr>
          <w:rFonts w:ascii="Arial" w:hAnsi="Arial"/>
          <w:sz w:val="22"/>
          <w:szCs w:val="22"/>
        </w:rPr>
        <w:t>circumstances</w:t>
      </w:r>
      <w:r w:rsidRPr="00BA020D">
        <w:rPr>
          <w:rFonts w:ascii="Arial" w:hAnsi="Arial"/>
          <w:sz w:val="22"/>
          <w:szCs w:val="22"/>
        </w:rPr>
        <w:t>, the carrying out of an investigation for the purposes of this Act in</w:t>
      </w:r>
      <w:r w:rsidR="004758A2" w:rsidRPr="00BA020D">
        <w:rPr>
          <w:rFonts w:ascii="Arial" w:hAnsi="Arial"/>
          <w:sz w:val="22"/>
          <w:szCs w:val="22"/>
        </w:rPr>
        <w:t xml:space="preserve"> relation</w:t>
      </w:r>
      <w:r w:rsidRPr="00BA020D">
        <w:rPr>
          <w:rFonts w:ascii="Arial" w:hAnsi="Arial"/>
          <w:sz w:val="22"/>
          <w:szCs w:val="22"/>
        </w:rPr>
        <w:t xml:space="preserve"> to the allegation</w:t>
      </w:r>
      <w:r w:rsidR="004758A2" w:rsidRPr="00BA020D">
        <w:rPr>
          <w:rFonts w:ascii="Arial" w:hAnsi="Arial"/>
          <w:sz w:val="22"/>
          <w:szCs w:val="22"/>
        </w:rPr>
        <w:t xml:space="preserve"> is justified an</w:t>
      </w:r>
      <w:r w:rsidRPr="00BA020D">
        <w:rPr>
          <w:rFonts w:ascii="Arial" w:hAnsi="Arial"/>
          <w:sz w:val="22"/>
          <w:szCs w:val="22"/>
        </w:rPr>
        <w:t>d</w:t>
      </w:r>
      <w:r w:rsidR="004758A2" w:rsidRPr="00BA020D">
        <w:rPr>
          <w:rFonts w:ascii="Arial" w:hAnsi="Arial"/>
          <w:sz w:val="22"/>
          <w:szCs w:val="22"/>
        </w:rPr>
        <w:t xml:space="preserve"> </w:t>
      </w:r>
      <w:r w:rsidRPr="00BA020D">
        <w:rPr>
          <w:rFonts w:ascii="Arial" w:hAnsi="Arial"/>
          <w:sz w:val="22"/>
          <w:szCs w:val="22"/>
        </w:rPr>
        <w:t>in the public interest.</w:t>
      </w:r>
    </w:p>
    <w:p w:rsidR="000C0953" w:rsidRPr="00BA020D" w:rsidRDefault="000C0953" w:rsidP="00BA020D">
      <w:pPr>
        <w:spacing w:line="360" w:lineRule="auto"/>
        <w:ind w:left="2160" w:hanging="720"/>
        <w:jc w:val="both"/>
        <w:rPr>
          <w:rFonts w:ascii="Arial" w:hAnsi="Arial"/>
          <w:sz w:val="22"/>
          <w:szCs w:val="22"/>
        </w:rPr>
      </w:pPr>
    </w:p>
    <w:p w:rsidR="00146AE9" w:rsidRPr="00BA020D" w:rsidRDefault="00146AE9" w:rsidP="00BA020D">
      <w:pPr>
        <w:spacing w:line="360" w:lineRule="auto"/>
        <w:ind w:left="1440" w:hanging="720"/>
        <w:jc w:val="both"/>
        <w:rPr>
          <w:rFonts w:ascii="Arial" w:hAnsi="Arial"/>
          <w:sz w:val="22"/>
          <w:szCs w:val="22"/>
        </w:rPr>
      </w:pPr>
      <w:r w:rsidRPr="00BA020D">
        <w:rPr>
          <w:rFonts w:ascii="Arial" w:hAnsi="Arial"/>
          <w:sz w:val="22"/>
          <w:szCs w:val="22"/>
        </w:rPr>
        <w:t>(3)</w:t>
      </w:r>
      <w:r w:rsidR="001536C9" w:rsidRPr="00BA020D">
        <w:rPr>
          <w:rFonts w:ascii="Arial" w:hAnsi="Arial"/>
          <w:sz w:val="22"/>
          <w:szCs w:val="22"/>
        </w:rPr>
        <w:tab/>
      </w:r>
      <w:r w:rsidRPr="00BA020D">
        <w:rPr>
          <w:rFonts w:ascii="Arial" w:hAnsi="Arial"/>
          <w:sz w:val="22"/>
          <w:szCs w:val="22"/>
        </w:rPr>
        <w:t xml:space="preserve">If the </w:t>
      </w:r>
      <w:r w:rsidR="004758A2" w:rsidRPr="00BA020D">
        <w:rPr>
          <w:rFonts w:ascii="Arial" w:hAnsi="Arial"/>
          <w:sz w:val="22"/>
          <w:szCs w:val="22"/>
        </w:rPr>
        <w:t>Commission</w:t>
      </w:r>
      <w:r w:rsidRPr="00BA020D">
        <w:rPr>
          <w:rFonts w:ascii="Arial" w:hAnsi="Arial"/>
          <w:sz w:val="22"/>
          <w:szCs w:val="22"/>
        </w:rPr>
        <w:t xml:space="preserve"> decides that an investigation in relation to the </w:t>
      </w:r>
      <w:r w:rsidR="004758A2" w:rsidRPr="00BA020D">
        <w:rPr>
          <w:rFonts w:ascii="Arial" w:hAnsi="Arial"/>
          <w:sz w:val="22"/>
          <w:szCs w:val="22"/>
        </w:rPr>
        <w:t>allegation is warran</w:t>
      </w:r>
      <w:r w:rsidRPr="00BA020D">
        <w:rPr>
          <w:rFonts w:ascii="Arial" w:hAnsi="Arial"/>
          <w:sz w:val="22"/>
          <w:szCs w:val="22"/>
        </w:rPr>
        <w:t xml:space="preserve">ted on reasonable grounds, </w:t>
      </w:r>
      <w:r w:rsidR="004758A2" w:rsidRPr="00BA020D">
        <w:rPr>
          <w:rFonts w:ascii="Arial" w:hAnsi="Arial"/>
          <w:sz w:val="22"/>
          <w:szCs w:val="22"/>
        </w:rPr>
        <w:t>i</w:t>
      </w:r>
      <w:r w:rsidRPr="00BA020D">
        <w:rPr>
          <w:rFonts w:ascii="Arial" w:hAnsi="Arial"/>
          <w:sz w:val="22"/>
          <w:szCs w:val="22"/>
        </w:rPr>
        <w:t xml:space="preserve">t must decide whether the </w:t>
      </w:r>
      <w:r w:rsidR="004758A2" w:rsidRPr="00BA020D">
        <w:rPr>
          <w:rFonts w:ascii="Arial" w:hAnsi="Arial"/>
          <w:sz w:val="22"/>
          <w:szCs w:val="22"/>
        </w:rPr>
        <w:t>investigation</w:t>
      </w:r>
      <w:r w:rsidRPr="00BA020D">
        <w:rPr>
          <w:rFonts w:ascii="Arial" w:hAnsi="Arial"/>
          <w:sz w:val="22"/>
          <w:szCs w:val="22"/>
        </w:rPr>
        <w:t xml:space="preserve"> should be carried out by the </w:t>
      </w:r>
      <w:r w:rsidR="004758A2" w:rsidRPr="00BA020D">
        <w:rPr>
          <w:rFonts w:ascii="Arial" w:hAnsi="Arial"/>
          <w:sz w:val="22"/>
          <w:szCs w:val="22"/>
        </w:rPr>
        <w:t>Commission</w:t>
      </w:r>
      <w:r w:rsidRPr="00BA020D">
        <w:rPr>
          <w:rFonts w:ascii="Arial" w:hAnsi="Arial"/>
          <w:sz w:val="22"/>
          <w:szCs w:val="22"/>
        </w:rPr>
        <w:t xml:space="preserve"> or whether the allegation should be referred to another appropriate </w:t>
      </w:r>
      <w:r w:rsidR="004758A2" w:rsidRPr="00BA020D">
        <w:rPr>
          <w:rFonts w:ascii="Arial" w:hAnsi="Arial"/>
          <w:sz w:val="22"/>
          <w:szCs w:val="22"/>
        </w:rPr>
        <w:t>authority</w:t>
      </w:r>
      <w:r w:rsidRPr="00BA020D">
        <w:rPr>
          <w:rFonts w:ascii="Arial" w:hAnsi="Arial"/>
          <w:sz w:val="22"/>
          <w:szCs w:val="22"/>
        </w:rPr>
        <w:t xml:space="preserve"> for investigation or action.</w:t>
      </w:r>
    </w:p>
    <w:p w:rsidR="000C0953" w:rsidRPr="00BA020D" w:rsidRDefault="000C0953" w:rsidP="00BA020D">
      <w:pPr>
        <w:spacing w:line="360" w:lineRule="auto"/>
        <w:ind w:left="1440" w:hanging="720"/>
        <w:jc w:val="both"/>
        <w:rPr>
          <w:rFonts w:ascii="Arial" w:hAnsi="Arial"/>
          <w:sz w:val="22"/>
          <w:szCs w:val="22"/>
        </w:rPr>
      </w:pPr>
    </w:p>
    <w:p w:rsidR="000C0953" w:rsidRPr="00BA020D" w:rsidRDefault="004758A2" w:rsidP="00BA020D">
      <w:pPr>
        <w:spacing w:line="360" w:lineRule="auto"/>
        <w:ind w:left="1440" w:hanging="720"/>
        <w:jc w:val="both"/>
        <w:rPr>
          <w:rFonts w:ascii="Arial" w:hAnsi="Arial"/>
          <w:sz w:val="22"/>
          <w:szCs w:val="22"/>
        </w:rPr>
      </w:pPr>
      <w:r w:rsidRPr="00BA020D">
        <w:rPr>
          <w:rFonts w:ascii="Arial" w:hAnsi="Arial"/>
          <w:sz w:val="22"/>
          <w:szCs w:val="22"/>
        </w:rPr>
        <w:t>(4)</w:t>
      </w:r>
      <w:r w:rsidR="001536C9" w:rsidRPr="00BA020D">
        <w:rPr>
          <w:rFonts w:ascii="Arial" w:hAnsi="Arial"/>
          <w:sz w:val="22"/>
          <w:szCs w:val="22"/>
        </w:rPr>
        <w:tab/>
      </w:r>
      <w:r w:rsidRPr="00BA020D">
        <w:rPr>
          <w:rFonts w:ascii="Arial" w:hAnsi="Arial"/>
          <w:sz w:val="22"/>
          <w:szCs w:val="22"/>
        </w:rPr>
        <w:t>For th</w:t>
      </w:r>
      <w:r w:rsidR="00146AE9" w:rsidRPr="00BA020D">
        <w:rPr>
          <w:rFonts w:ascii="Arial" w:hAnsi="Arial"/>
          <w:sz w:val="22"/>
          <w:szCs w:val="22"/>
        </w:rPr>
        <w:t>e</w:t>
      </w:r>
      <w:r w:rsidRPr="00BA020D">
        <w:rPr>
          <w:rFonts w:ascii="Arial" w:hAnsi="Arial"/>
          <w:sz w:val="22"/>
          <w:szCs w:val="22"/>
        </w:rPr>
        <w:t xml:space="preserve"> purposes</w:t>
      </w:r>
      <w:r w:rsidR="00146AE9" w:rsidRPr="00BA020D">
        <w:rPr>
          <w:rFonts w:ascii="Arial" w:hAnsi="Arial"/>
          <w:sz w:val="22"/>
          <w:szCs w:val="22"/>
        </w:rPr>
        <w:t xml:space="preserve"> of performing </w:t>
      </w:r>
      <w:r w:rsidRPr="00BA020D">
        <w:rPr>
          <w:rFonts w:ascii="Arial" w:hAnsi="Arial"/>
          <w:sz w:val="22"/>
          <w:szCs w:val="22"/>
        </w:rPr>
        <w:t>the functions under this</w:t>
      </w:r>
      <w:r w:rsidR="00146AE9" w:rsidRPr="00BA020D">
        <w:rPr>
          <w:rFonts w:ascii="Arial" w:hAnsi="Arial"/>
          <w:sz w:val="22"/>
          <w:szCs w:val="22"/>
        </w:rPr>
        <w:t xml:space="preserve"> </w:t>
      </w:r>
      <w:r w:rsidRPr="00BA020D">
        <w:rPr>
          <w:rFonts w:ascii="Arial" w:hAnsi="Arial"/>
          <w:sz w:val="22"/>
          <w:szCs w:val="22"/>
        </w:rPr>
        <w:t>section</w:t>
      </w:r>
      <w:r w:rsidR="00146AE9" w:rsidRPr="00BA020D">
        <w:rPr>
          <w:rFonts w:ascii="Arial" w:hAnsi="Arial"/>
          <w:sz w:val="22"/>
          <w:szCs w:val="22"/>
        </w:rPr>
        <w:t xml:space="preserve"> the Commission may </w:t>
      </w:r>
      <w:r w:rsidRPr="00BA020D">
        <w:rPr>
          <w:rFonts w:ascii="Arial" w:hAnsi="Arial"/>
          <w:sz w:val="22"/>
          <w:szCs w:val="22"/>
        </w:rPr>
        <w:t>–</w:t>
      </w:r>
    </w:p>
    <w:p w:rsidR="00BA020D" w:rsidRDefault="004758A2" w:rsidP="00BA020D">
      <w:pPr>
        <w:spacing w:line="360" w:lineRule="auto"/>
        <w:jc w:val="both"/>
        <w:rPr>
          <w:rFonts w:ascii="Arial" w:hAnsi="Arial"/>
          <w:sz w:val="22"/>
          <w:szCs w:val="22"/>
        </w:rPr>
      </w:pPr>
      <w:r w:rsidRPr="00BA020D">
        <w:rPr>
          <w:rFonts w:ascii="Arial" w:hAnsi="Arial"/>
          <w:sz w:val="22"/>
          <w:szCs w:val="22"/>
        </w:rPr>
        <w:tab/>
      </w:r>
      <w:r w:rsidRPr="00BA020D">
        <w:rPr>
          <w:rFonts w:ascii="Arial" w:hAnsi="Arial"/>
          <w:sz w:val="22"/>
          <w:szCs w:val="22"/>
        </w:rPr>
        <w:tab/>
      </w:r>
    </w:p>
    <w:p w:rsidR="001536C9" w:rsidRPr="00BA020D" w:rsidRDefault="004758A2" w:rsidP="00BA020D">
      <w:pPr>
        <w:spacing w:line="360" w:lineRule="auto"/>
        <w:ind w:left="720" w:firstLine="720"/>
        <w:jc w:val="both"/>
        <w:rPr>
          <w:rFonts w:ascii="Arial" w:hAnsi="Arial"/>
          <w:sz w:val="22"/>
          <w:szCs w:val="22"/>
        </w:rPr>
      </w:pPr>
      <w:r w:rsidRPr="00BA020D">
        <w:rPr>
          <w:rFonts w:ascii="Arial" w:hAnsi="Arial"/>
          <w:sz w:val="22"/>
          <w:szCs w:val="22"/>
        </w:rPr>
        <w:t>(a)</w:t>
      </w:r>
      <w:r w:rsidR="001536C9" w:rsidRPr="00BA020D">
        <w:rPr>
          <w:rFonts w:ascii="Arial" w:hAnsi="Arial"/>
          <w:sz w:val="22"/>
          <w:szCs w:val="22"/>
        </w:rPr>
        <w:tab/>
      </w:r>
      <w:proofErr w:type="gramStart"/>
      <w:r w:rsidRPr="00BA020D">
        <w:rPr>
          <w:rFonts w:ascii="Arial" w:hAnsi="Arial"/>
          <w:sz w:val="22"/>
          <w:szCs w:val="22"/>
        </w:rPr>
        <w:t>make</w:t>
      </w:r>
      <w:proofErr w:type="gramEnd"/>
      <w:r w:rsidRPr="00BA020D">
        <w:rPr>
          <w:rFonts w:ascii="Arial" w:hAnsi="Arial"/>
          <w:sz w:val="22"/>
          <w:szCs w:val="22"/>
        </w:rPr>
        <w:t xml:space="preserve"> such preliminary inquiry as it considers necessary; </w:t>
      </w:r>
      <w:r w:rsidR="000C0953" w:rsidRPr="00BA020D">
        <w:rPr>
          <w:rFonts w:ascii="Arial" w:hAnsi="Arial"/>
          <w:sz w:val="22"/>
          <w:szCs w:val="22"/>
        </w:rPr>
        <w:tab/>
      </w:r>
      <w:r w:rsidR="000C0953" w:rsidRPr="00BA020D">
        <w:rPr>
          <w:rFonts w:ascii="Arial" w:hAnsi="Arial"/>
          <w:sz w:val="22"/>
          <w:szCs w:val="22"/>
        </w:rPr>
        <w:tab/>
      </w:r>
      <w:r w:rsidR="000C0953" w:rsidRPr="00BA020D">
        <w:rPr>
          <w:rFonts w:ascii="Arial" w:hAnsi="Arial"/>
          <w:sz w:val="22"/>
          <w:szCs w:val="22"/>
        </w:rPr>
        <w:tab/>
      </w:r>
      <w:r w:rsidRPr="00BA020D">
        <w:rPr>
          <w:rFonts w:ascii="Arial" w:hAnsi="Arial"/>
          <w:sz w:val="22"/>
          <w:szCs w:val="22"/>
        </w:rPr>
        <w:t>and</w:t>
      </w:r>
    </w:p>
    <w:p w:rsidR="00BA020D" w:rsidRDefault="00BA020D" w:rsidP="00BA020D">
      <w:pPr>
        <w:spacing w:line="360" w:lineRule="auto"/>
        <w:ind w:left="720" w:firstLine="720"/>
        <w:jc w:val="both"/>
        <w:rPr>
          <w:rFonts w:ascii="Arial" w:hAnsi="Arial"/>
          <w:sz w:val="22"/>
          <w:szCs w:val="22"/>
        </w:rPr>
      </w:pPr>
    </w:p>
    <w:p w:rsidR="0023618A" w:rsidRPr="00BA020D" w:rsidRDefault="004758A2" w:rsidP="00BA020D">
      <w:pPr>
        <w:spacing w:line="360" w:lineRule="auto"/>
        <w:ind w:left="720" w:firstLine="720"/>
        <w:jc w:val="both"/>
        <w:rPr>
          <w:rFonts w:ascii="Arial" w:hAnsi="Arial"/>
          <w:sz w:val="22"/>
          <w:szCs w:val="22"/>
        </w:rPr>
      </w:pPr>
      <w:r w:rsidRPr="00BA020D">
        <w:rPr>
          <w:rFonts w:ascii="Arial" w:hAnsi="Arial"/>
          <w:sz w:val="22"/>
          <w:szCs w:val="22"/>
        </w:rPr>
        <w:t>(b)</w:t>
      </w:r>
      <w:r w:rsidR="001536C9" w:rsidRPr="00BA020D">
        <w:rPr>
          <w:rFonts w:ascii="Arial" w:hAnsi="Arial"/>
          <w:sz w:val="22"/>
          <w:szCs w:val="22"/>
        </w:rPr>
        <w:tab/>
      </w:r>
      <w:proofErr w:type="gramStart"/>
      <w:r w:rsidRPr="00BA020D">
        <w:rPr>
          <w:rFonts w:ascii="Arial" w:hAnsi="Arial"/>
          <w:sz w:val="22"/>
          <w:szCs w:val="22"/>
        </w:rPr>
        <w:t>consult</w:t>
      </w:r>
      <w:proofErr w:type="gramEnd"/>
      <w:r w:rsidRPr="00BA020D">
        <w:rPr>
          <w:rFonts w:ascii="Arial" w:hAnsi="Arial"/>
          <w:sz w:val="22"/>
          <w:szCs w:val="22"/>
        </w:rPr>
        <w:t xml:space="preserve"> any other appropriate authority.</w:t>
      </w:r>
      <w:r w:rsidR="001536C9" w:rsidRPr="00BA020D">
        <w:rPr>
          <w:rFonts w:ascii="Arial" w:hAnsi="Arial"/>
          <w:sz w:val="22"/>
          <w:szCs w:val="22"/>
        </w:rPr>
        <w:t>’</w:t>
      </w:r>
    </w:p>
    <w:p w:rsidR="004758A2" w:rsidRPr="00BA020D" w:rsidRDefault="004758A2" w:rsidP="00BA020D">
      <w:pPr>
        <w:spacing w:line="360" w:lineRule="auto"/>
        <w:jc w:val="both"/>
        <w:rPr>
          <w:rFonts w:ascii="Arial" w:hAnsi="Arial"/>
          <w:sz w:val="22"/>
          <w:szCs w:val="22"/>
        </w:rPr>
      </w:pPr>
    </w:p>
    <w:p w:rsidR="004758A2" w:rsidRDefault="004758A2" w:rsidP="00B76BDF">
      <w:pPr>
        <w:pStyle w:val="ListParagraph"/>
        <w:numPr>
          <w:ilvl w:val="0"/>
          <w:numId w:val="1"/>
        </w:numPr>
        <w:spacing w:line="480" w:lineRule="auto"/>
        <w:ind w:left="0" w:firstLine="0"/>
        <w:jc w:val="both"/>
        <w:rPr>
          <w:rFonts w:ascii="Arial" w:hAnsi="Arial"/>
        </w:rPr>
      </w:pPr>
      <w:r>
        <w:rPr>
          <w:rFonts w:ascii="Arial" w:hAnsi="Arial"/>
        </w:rPr>
        <w:t xml:space="preserve">Section 19 then provides that the Commission must inform the person who </w:t>
      </w:r>
      <w:r w:rsidR="00AF7FE6">
        <w:rPr>
          <w:rFonts w:ascii="Arial" w:hAnsi="Arial"/>
        </w:rPr>
        <w:t xml:space="preserve">furnished the Commission with </w:t>
      </w:r>
      <w:r w:rsidR="008C2D9B">
        <w:rPr>
          <w:rFonts w:ascii="Arial" w:hAnsi="Arial"/>
        </w:rPr>
        <w:t xml:space="preserve">information concerning a </w:t>
      </w:r>
      <w:r w:rsidR="00317A1B">
        <w:rPr>
          <w:rFonts w:ascii="Arial" w:hAnsi="Arial"/>
        </w:rPr>
        <w:t xml:space="preserve">corrupt practice if it decides </w:t>
      </w:r>
      <w:r w:rsidR="008C2D9B">
        <w:rPr>
          <w:rFonts w:ascii="Arial" w:hAnsi="Arial"/>
        </w:rPr>
        <w:t xml:space="preserve">that </w:t>
      </w:r>
      <w:r>
        <w:rPr>
          <w:rFonts w:ascii="Arial" w:hAnsi="Arial"/>
        </w:rPr>
        <w:t xml:space="preserve">further investigation is not warranted, or if it refers the allegation to another authority for further action. </w:t>
      </w:r>
    </w:p>
    <w:p w:rsidR="00C816E0" w:rsidRDefault="00C816E0" w:rsidP="00B76BDF">
      <w:pPr>
        <w:pStyle w:val="ListParagraph"/>
        <w:spacing w:line="480" w:lineRule="auto"/>
        <w:ind w:left="0"/>
        <w:jc w:val="both"/>
        <w:rPr>
          <w:rFonts w:ascii="Arial" w:hAnsi="Arial"/>
        </w:rPr>
      </w:pPr>
    </w:p>
    <w:p w:rsidR="00C816E0" w:rsidRPr="00AF7FE6" w:rsidRDefault="00C816E0" w:rsidP="00B76BDF">
      <w:pPr>
        <w:pStyle w:val="ListParagraph"/>
        <w:numPr>
          <w:ilvl w:val="0"/>
          <w:numId w:val="1"/>
        </w:numPr>
        <w:spacing w:line="480" w:lineRule="auto"/>
        <w:ind w:left="0" w:firstLine="0"/>
        <w:jc w:val="both"/>
        <w:rPr>
          <w:rFonts w:ascii="Arial" w:hAnsi="Arial"/>
        </w:rPr>
      </w:pPr>
      <w:r>
        <w:rPr>
          <w:rFonts w:ascii="Arial" w:hAnsi="Arial"/>
        </w:rPr>
        <w:t xml:space="preserve">Section 21(1) provides that an authorised officer of the </w:t>
      </w:r>
      <w:r w:rsidR="006D7DCC">
        <w:rPr>
          <w:rFonts w:ascii="Arial" w:hAnsi="Arial"/>
        </w:rPr>
        <w:t>Commission</w:t>
      </w:r>
      <w:r>
        <w:rPr>
          <w:rFonts w:ascii="Arial" w:hAnsi="Arial"/>
        </w:rPr>
        <w:t xml:space="preserve"> may conduct any investigation </w:t>
      </w:r>
      <w:r w:rsidR="009C48BE">
        <w:rPr>
          <w:rFonts w:ascii="Arial" w:hAnsi="Arial"/>
        </w:rPr>
        <w:t xml:space="preserve">that </w:t>
      </w:r>
      <w:r>
        <w:rPr>
          <w:rFonts w:ascii="Arial" w:hAnsi="Arial"/>
        </w:rPr>
        <w:t>the Commission is empower</w:t>
      </w:r>
      <w:r w:rsidR="00AF7FE6">
        <w:rPr>
          <w:rFonts w:ascii="Arial" w:hAnsi="Arial"/>
        </w:rPr>
        <w:t>ed</w:t>
      </w:r>
      <w:r>
        <w:rPr>
          <w:rFonts w:ascii="Arial" w:hAnsi="Arial"/>
        </w:rPr>
        <w:t xml:space="preserve"> to undertake in terms of the Act. </w:t>
      </w:r>
      <w:r w:rsidR="00AF7FE6">
        <w:rPr>
          <w:rFonts w:ascii="Arial" w:hAnsi="Arial"/>
        </w:rPr>
        <w:t>And s 21(2) provides that:</w:t>
      </w:r>
    </w:p>
    <w:p w:rsidR="004447ED" w:rsidRDefault="004447ED" w:rsidP="00B76BDF">
      <w:pPr>
        <w:spacing w:line="480" w:lineRule="auto"/>
        <w:ind w:left="720"/>
        <w:jc w:val="both"/>
        <w:rPr>
          <w:rFonts w:ascii="Arial" w:hAnsi="Arial"/>
        </w:rPr>
      </w:pPr>
    </w:p>
    <w:p w:rsidR="00C816E0" w:rsidRPr="00A32D52" w:rsidRDefault="004447ED" w:rsidP="00A32D52">
      <w:pPr>
        <w:spacing w:line="360" w:lineRule="auto"/>
        <w:ind w:left="720"/>
        <w:jc w:val="both"/>
        <w:rPr>
          <w:rFonts w:ascii="Arial" w:hAnsi="Arial"/>
          <w:sz w:val="22"/>
          <w:szCs w:val="22"/>
        </w:rPr>
      </w:pPr>
      <w:r w:rsidRPr="00A32D52">
        <w:rPr>
          <w:rFonts w:ascii="Arial" w:hAnsi="Arial"/>
          <w:sz w:val="22"/>
          <w:szCs w:val="22"/>
        </w:rPr>
        <w:t>’</w:t>
      </w:r>
      <w:r w:rsidR="00C816E0" w:rsidRPr="00A32D52">
        <w:rPr>
          <w:rFonts w:ascii="Arial" w:hAnsi="Arial"/>
          <w:sz w:val="22"/>
          <w:szCs w:val="22"/>
        </w:rPr>
        <w:t>Upon initiating or receiving a complaint which in the opinion of the Director warrants investigation on reasonable grounds, the Director must cause the complaint to be investigated as quickly as practicable.</w:t>
      </w:r>
      <w:r w:rsidRPr="00A32D52">
        <w:rPr>
          <w:rFonts w:ascii="Arial" w:hAnsi="Arial"/>
          <w:sz w:val="22"/>
          <w:szCs w:val="22"/>
        </w:rPr>
        <w:t>’</w:t>
      </w:r>
    </w:p>
    <w:p w:rsidR="00B91B86" w:rsidRDefault="00B91B86" w:rsidP="00B76BDF">
      <w:pPr>
        <w:pStyle w:val="ListParagraph"/>
        <w:spacing w:line="480" w:lineRule="auto"/>
        <w:ind w:left="0"/>
        <w:jc w:val="both"/>
        <w:rPr>
          <w:rFonts w:ascii="Arial" w:hAnsi="Arial"/>
        </w:rPr>
      </w:pPr>
    </w:p>
    <w:p w:rsidR="009C48BE" w:rsidRPr="009C48BE" w:rsidRDefault="009C48BE" w:rsidP="00B76BDF">
      <w:pPr>
        <w:pStyle w:val="ListParagraph"/>
        <w:numPr>
          <w:ilvl w:val="0"/>
          <w:numId w:val="1"/>
        </w:numPr>
        <w:spacing w:line="480" w:lineRule="auto"/>
        <w:ind w:left="0" w:firstLine="0"/>
        <w:jc w:val="both"/>
        <w:rPr>
          <w:rFonts w:ascii="Arial" w:hAnsi="Arial"/>
        </w:rPr>
      </w:pPr>
      <w:r>
        <w:rPr>
          <w:rFonts w:ascii="Arial" w:hAnsi="Arial"/>
        </w:rPr>
        <w:t xml:space="preserve">Once the Commission has completed its investigation, if the Director </w:t>
      </w:r>
      <w:r w:rsidR="00FF6873">
        <w:rPr>
          <w:rFonts w:ascii="Arial" w:hAnsi="Arial"/>
        </w:rPr>
        <w:t xml:space="preserve">of the Commission </w:t>
      </w:r>
      <w:r>
        <w:rPr>
          <w:rFonts w:ascii="Arial" w:hAnsi="Arial"/>
        </w:rPr>
        <w:t>considers</w:t>
      </w:r>
      <w:r w:rsidR="00317A1B">
        <w:rPr>
          <w:rFonts w:ascii="Arial" w:hAnsi="Arial"/>
        </w:rPr>
        <w:t>,</w:t>
      </w:r>
      <w:r>
        <w:rPr>
          <w:rFonts w:ascii="Arial" w:hAnsi="Arial"/>
        </w:rPr>
        <w:t xml:space="preserve"> </w:t>
      </w:r>
      <w:r w:rsidR="00FF6873">
        <w:rPr>
          <w:rFonts w:ascii="Arial" w:hAnsi="Arial"/>
        </w:rPr>
        <w:t xml:space="preserve">in the light of the information obtained </w:t>
      </w:r>
      <w:r w:rsidR="00317A1B">
        <w:rPr>
          <w:rFonts w:ascii="Arial" w:hAnsi="Arial"/>
        </w:rPr>
        <w:t xml:space="preserve">during </w:t>
      </w:r>
      <w:r w:rsidR="00FF6873">
        <w:rPr>
          <w:rFonts w:ascii="Arial" w:hAnsi="Arial"/>
        </w:rPr>
        <w:t>the investigation</w:t>
      </w:r>
      <w:r w:rsidR="00317A1B">
        <w:rPr>
          <w:rFonts w:ascii="Arial" w:hAnsi="Arial"/>
        </w:rPr>
        <w:t>,</w:t>
      </w:r>
      <w:r w:rsidR="00FF6873">
        <w:rPr>
          <w:rFonts w:ascii="Arial" w:hAnsi="Arial"/>
        </w:rPr>
        <w:t xml:space="preserve"> </w:t>
      </w:r>
      <w:r>
        <w:rPr>
          <w:rFonts w:ascii="Arial" w:hAnsi="Arial"/>
        </w:rPr>
        <w:t>that a person has co</w:t>
      </w:r>
      <w:r w:rsidR="00FF6873">
        <w:rPr>
          <w:rFonts w:ascii="Arial" w:hAnsi="Arial"/>
        </w:rPr>
        <w:t>mmitted a corrupt practice, the</w:t>
      </w:r>
      <w:r>
        <w:rPr>
          <w:rFonts w:ascii="Arial" w:hAnsi="Arial"/>
        </w:rPr>
        <w:t xml:space="preserve"> </w:t>
      </w:r>
      <w:r w:rsidR="00FF6873">
        <w:rPr>
          <w:rFonts w:ascii="Arial" w:hAnsi="Arial"/>
        </w:rPr>
        <w:t>Director</w:t>
      </w:r>
      <w:r>
        <w:rPr>
          <w:rFonts w:ascii="Arial" w:hAnsi="Arial"/>
        </w:rPr>
        <w:t xml:space="preserve"> must refer the matter to the Prosecutor-General,</w:t>
      </w:r>
      <w:r>
        <w:rPr>
          <w:rStyle w:val="FootnoteReference"/>
          <w:rFonts w:ascii="Arial" w:hAnsi="Arial"/>
        </w:rPr>
        <w:footnoteReference w:id="4"/>
      </w:r>
      <w:r>
        <w:rPr>
          <w:rFonts w:ascii="Arial" w:hAnsi="Arial"/>
        </w:rPr>
        <w:t xml:space="preserve"> who will then decide whether to prosecute.</w:t>
      </w:r>
      <w:r>
        <w:rPr>
          <w:rStyle w:val="FootnoteReference"/>
          <w:rFonts w:ascii="Arial" w:hAnsi="Arial"/>
        </w:rPr>
        <w:footnoteReference w:id="5"/>
      </w:r>
    </w:p>
    <w:p w:rsidR="009C48BE" w:rsidRDefault="009C48BE" w:rsidP="00B76BDF">
      <w:pPr>
        <w:pStyle w:val="ListParagraph"/>
        <w:spacing w:line="480" w:lineRule="auto"/>
        <w:ind w:left="0"/>
        <w:jc w:val="both"/>
        <w:rPr>
          <w:rFonts w:ascii="Arial" w:hAnsi="Arial"/>
        </w:rPr>
      </w:pPr>
    </w:p>
    <w:p w:rsidR="009C48BE" w:rsidRPr="00A32D52" w:rsidRDefault="009C48BE" w:rsidP="00B76BDF">
      <w:pPr>
        <w:pStyle w:val="ListParagraph"/>
        <w:spacing w:line="480" w:lineRule="auto"/>
        <w:ind w:left="0"/>
        <w:jc w:val="both"/>
        <w:rPr>
          <w:rFonts w:ascii="Arial" w:hAnsi="Arial"/>
          <w:u w:val="single"/>
        </w:rPr>
      </w:pPr>
      <w:r w:rsidRPr="00A32D52">
        <w:rPr>
          <w:rFonts w:ascii="Arial" w:hAnsi="Arial"/>
          <w:u w:val="single"/>
        </w:rPr>
        <w:t xml:space="preserve">Appellant’s </w:t>
      </w:r>
      <w:r w:rsidR="00FF6873" w:rsidRPr="00A32D52">
        <w:rPr>
          <w:rFonts w:ascii="Arial" w:hAnsi="Arial"/>
          <w:u w:val="single"/>
        </w:rPr>
        <w:t>submissions</w:t>
      </w:r>
    </w:p>
    <w:p w:rsidR="007E3F4F" w:rsidRDefault="003C4D2E" w:rsidP="00B76BDF">
      <w:pPr>
        <w:pStyle w:val="ListParagraph"/>
        <w:numPr>
          <w:ilvl w:val="0"/>
          <w:numId w:val="1"/>
        </w:numPr>
        <w:spacing w:line="480" w:lineRule="auto"/>
        <w:ind w:left="0" w:firstLine="0"/>
        <w:jc w:val="both"/>
        <w:rPr>
          <w:rFonts w:ascii="Arial" w:hAnsi="Arial"/>
        </w:rPr>
      </w:pPr>
      <w:r>
        <w:rPr>
          <w:rFonts w:ascii="Arial" w:hAnsi="Arial"/>
        </w:rPr>
        <w:t xml:space="preserve">Appellant argues that the Commission did not take a proper decision </w:t>
      </w:r>
      <w:r w:rsidR="00463DF9">
        <w:rPr>
          <w:rFonts w:ascii="Arial" w:hAnsi="Arial"/>
        </w:rPr>
        <w:t>to</w:t>
      </w:r>
      <w:r>
        <w:rPr>
          <w:rFonts w:ascii="Arial" w:hAnsi="Arial"/>
        </w:rPr>
        <w:t xml:space="preserve"> investigate </w:t>
      </w:r>
      <w:r w:rsidR="004447ED">
        <w:rPr>
          <w:rFonts w:ascii="Arial" w:hAnsi="Arial"/>
        </w:rPr>
        <w:t>a</w:t>
      </w:r>
      <w:r>
        <w:rPr>
          <w:rFonts w:ascii="Arial" w:hAnsi="Arial"/>
        </w:rPr>
        <w:t>ppellant in terms of s 18</w:t>
      </w:r>
      <w:r w:rsidR="00795033">
        <w:rPr>
          <w:rFonts w:ascii="Arial" w:hAnsi="Arial"/>
        </w:rPr>
        <w:t>(1</w:t>
      </w:r>
      <w:proofErr w:type="gramStart"/>
      <w:r w:rsidR="007E3F4F">
        <w:rPr>
          <w:rFonts w:ascii="Arial" w:hAnsi="Arial"/>
        </w:rPr>
        <w:t>)</w:t>
      </w:r>
      <w:r w:rsidR="007E3F4F" w:rsidRPr="00A32D52">
        <w:rPr>
          <w:rFonts w:ascii="Arial" w:hAnsi="Arial"/>
          <w:i/>
        </w:rPr>
        <w:t>(</w:t>
      </w:r>
      <w:proofErr w:type="gramEnd"/>
      <w:r w:rsidR="007E3F4F" w:rsidRPr="00A32D52">
        <w:rPr>
          <w:rFonts w:ascii="Arial" w:hAnsi="Arial"/>
          <w:i/>
        </w:rPr>
        <w:t>b)</w:t>
      </w:r>
      <w:r w:rsidR="00795033">
        <w:rPr>
          <w:rFonts w:ascii="Arial" w:hAnsi="Arial"/>
        </w:rPr>
        <w:t xml:space="preserve"> of the Act, nor did it take a proper decision as to whether to refer the investigation to another appropriate authority in terms of s</w:t>
      </w:r>
      <w:r w:rsidR="00463DF9">
        <w:rPr>
          <w:rFonts w:ascii="Arial" w:hAnsi="Arial"/>
        </w:rPr>
        <w:t xml:space="preserve"> 18(3) of the Act</w:t>
      </w:r>
      <w:r>
        <w:rPr>
          <w:rFonts w:ascii="Arial" w:hAnsi="Arial"/>
        </w:rPr>
        <w:t xml:space="preserve">. </w:t>
      </w:r>
      <w:r w:rsidR="00D07CE6">
        <w:rPr>
          <w:rFonts w:ascii="Arial" w:hAnsi="Arial"/>
        </w:rPr>
        <w:t xml:space="preserve">Appellant </w:t>
      </w:r>
      <w:r w:rsidR="007E3F4F">
        <w:rPr>
          <w:rFonts w:ascii="Arial" w:hAnsi="Arial"/>
        </w:rPr>
        <w:t>asserts that valid decisions in terms of s 18(1</w:t>
      </w:r>
      <w:proofErr w:type="gramStart"/>
      <w:r w:rsidR="007E3F4F">
        <w:rPr>
          <w:rFonts w:ascii="Arial" w:hAnsi="Arial"/>
        </w:rPr>
        <w:t>)</w:t>
      </w:r>
      <w:r w:rsidR="007E3F4F" w:rsidRPr="00A32D52">
        <w:rPr>
          <w:rFonts w:ascii="Arial" w:hAnsi="Arial"/>
          <w:i/>
        </w:rPr>
        <w:t>(</w:t>
      </w:r>
      <w:proofErr w:type="gramEnd"/>
      <w:r w:rsidR="007E3F4F" w:rsidRPr="00A32D52">
        <w:rPr>
          <w:rFonts w:ascii="Arial" w:hAnsi="Arial"/>
          <w:i/>
        </w:rPr>
        <w:t>b)</w:t>
      </w:r>
      <w:r w:rsidR="007E3F4F">
        <w:rPr>
          <w:rFonts w:ascii="Arial" w:hAnsi="Arial"/>
        </w:rPr>
        <w:t xml:space="preserve"> and 18(3) are jurisdictional fact</w:t>
      </w:r>
      <w:r w:rsidR="00CC39A0">
        <w:rPr>
          <w:rFonts w:ascii="Arial" w:hAnsi="Arial"/>
        </w:rPr>
        <w:t>s for any investigation by the C</w:t>
      </w:r>
      <w:r w:rsidR="007E3F4F">
        <w:rPr>
          <w:rFonts w:ascii="Arial" w:hAnsi="Arial"/>
        </w:rPr>
        <w:t>ommission, and thus in the absence of valid decision</w:t>
      </w:r>
      <w:r w:rsidR="00CC39A0">
        <w:rPr>
          <w:rFonts w:ascii="Arial" w:hAnsi="Arial"/>
        </w:rPr>
        <w:t>s</w:t>
      </w:r>
      <w:r w:rsidR="007E3F4F">
        <w:rPr>
          <w:rFonts w:ascii="Arial" w:hAnsi="Arial"/>
        </w:rPr>
        <w:t xml:space="preserve"> in terms of s 18(1)</w:t>
      </w:r>
      <w:r w:rsidR="007E3F4F" w:rsidRPr="00A32D52">
        <w:rPr>
          <w:rFonts w:ascii="Arial" w:hAnsi="Arial"/>
          <w:i/>
        </w:rPr>
        <w:t>(b)</w:t>
      </w:r>
      <w:r w:rsidR="007E3F4F">
        <w:rPr>
          <w:rFonts w:ascii="Arial" w:hAnsi="Arial"/>
        </w:rPr>
        <w:t xml:space="preserve"> and 18(3), all subsequent acts of the Commission relating to </w:t>
      </w:r>
      <w:r w:rsidR="004447ED">
        <w:rPr>
          <w:rFonts w:ascii="Arial" w:hAnsi="Arial"/>
        </w:rPr>
        <w:t>a</w:t>
      </w:r>
      <w:r w:rsidR="007E3F4F">
        <w:rPr>
          <w:rFonts w:ascii="Arial" w:hAnsi="Arial"/>
        </w:rPr>
        <w:t xml:space="preserve">ppellant were invalid and unlawful. </w:t>
      </w:r>
    </w:p>
    <w:p w:rsidR="007E3F4F" w:rsidRDefault="007E3F4F" w:rsidP="00B76BDF">
      <w:pPr>
        <w:pStyle w:val="ListParagraph"/>
        <w:spacing w:line="480" w:lineRule="auto"/>
        <w:ind w:left="0"/>
        <w:jc w:val="both"/>
        <w:rPr>
          <w:rFonts w:ascii="Arial" w:hAnsi="Arial"/>
        </w:rPr>
      </w:pPr>
    </w:p>
    <w:p w:rsidR="001C46D2" w:rsidRDefault="007E3F4F" w:rsidP="00B76BDF">
      <w:pPr>
        <w:pStyle w:val="ListParagraph"/>
        <w:numPr>
          <w:ilvl w:val="0"/>
          <w:numId w:val="1"/>
        </w:numPr>
        <w:spacing w:line="480" w:lineRule="auto"/>
        <w:ind w:left="0" w:firstLine="0"/>
        <w:jc w:val="both"/>
        <w:rPr>
          <w:rFonts w:ascii="Arial" w:hAnsi="Arial"/>
        </w:rPr>
      </w:pPr>
      <w:r>
        <w:rPr>
          <w:rFonts w:ascii="Arial" w:hAnsi="Arial"/>
        </w:rPr>
        <w:t xml:space="preserve">Appellant </w:t>
      </w:r>
      <w:r w:rsidR="00D07CE6">
        <w:rPr>
          <w:rFonts w:ascii="Arial" w:hAnsi="Arial"/>
        </w:rPr>
        <w:t xml:space="preserve">challenges the lawfulness of the </w:t>
      </w:r>
      <w:r w:rsidR="00795033">
        <w:rPr>
          <w:rFonts w:ascii="Arial" w:hAnsi="Arial"/>
        </w:rPr>
        <w:t xml:space="preserve">Commission’s </w:t>
      </w:r>
      <w:r w:rsidR="00D07CE6">
        <w:rPr>
          <w:rFonts w:ascii="Arial" w:hAnsi="Arial"/>
        </w:rPr>
        <w:t>decisions on several overlapping grounds</w:t>
      </w:r>
      <w:r w:rsidR="001C46D2">
        <w:rPr>
          <w:rFonts w:ascii="Arial" w:hAnsi="Arial"/>
        </w:rPr>
        <w:t>. In relation to the decision to institute an investigation in terms of s 18(1)</w:t>
      </w:r>
      <w:r w:rsidR="001C46D2" w:rsidRPr="00A32D52">
        <w:rPr>
          <w:rFonts w:ascii="Arial" w:hAnsi="Arial"/>
          <w:i/>
        </w:rPr>
        <w:t>(b)</w:t>
      </w:r>
      <w:r w:rsidR="001C46D2">
        <w:rPr>
          <w:rFonts w:ascii="Arial" w:hAnsi="Arial"/>
        </w:rPr>
        <w:t>,</w:t>
      </w:r>
      <w:r w:rsidR="001369ED">
        <w:rPr>
          <w:rFonts w:ascii="Arial" w:hAnsi="Arial"/>
        </w:rPr>
        <w:t xml:space="preserve"> </w:t>
      </w:r>
      <w:r w:rsidR="00013C78">
        <w:rPr>
          <w:rFonts w:ascii="Arial" w:hAnsi="Arial"/>
        </w:rPr>
        <w:t>a</w:t>
      </w:r>
      <w:r w:rsidR="001369ED">
        <w:rPr>
          <w:rFonts w:ascii="Arial" w:hAnsi="Arial"/>
        </w:rPr>
        <w:t>ppellant argued that the following grounds of review should be sustained</w:t>
      </w:r>
      <w:r w:rsidR="001C46D2">
        <w:rPr>
          <w:rFonts w:ascii="Arial" w:hAnsi="Arial"/>
        </w:rPr>
        <w:t xml:space="preserve">: </w:t>
      </w:r>
    </w:p>
    <w:p w:rsidR="00177874" w:rsidRDefault="00177874" w:rsidP="00B76BDF">
      <w:pPr>
        <w:pStyle w:val="ListParagraph"/>
        <w:spacing w:line="480" w:lineRule="auto"/>
        <w:ind w:left="1440"/>
        <w:jc w:val="both"/>
        <w:rPr>
          <w:rFonts w:ascii="Arial" w:hAnsi="Arial"/>
        </w:rPr>
      </w:pPr>
    </w:p>
    <w:p w:rsidR="00177874" w:rsidRDefault="001C46D2" w:rsidP="00BA020D">
      <w:pPr>
        <w:pStyle w:val="ListParagraph"/>
        <w:numPr>
          <w:ilvl w:val="0"/>
          <w:numId w:val="5"/>
        </w:numPr>
        <w:spacing w:line="480" w:lineRule="auto"/>
        <w:jc w:val="both"/>
        <w:rPr>
          <w:rFonts w:ascii="Arial" w:hAnsi="Arial"/>
        </w:rPr>
      </w:pPr>
      <w:r>
        <w:rPr>
          <w:rFonts w:ascii="Arial" w:hAnsi="Arial"/>
        </w:rPr>
        <w:t>the Commission failed to take the provisions of s 18(2), and particular s 18(2)</w:t>
      </w:r>
      <w:r w:rsidRPr="00A32D52">
        <w:rPr>
          <w:rFonts w:ascii="Arial" w:hAnsi="Arial"/>
          <w:i/>
        </w:rPr>
        <w:t>(a)</w:t>
      </w:r>
      <w:r>
        <w:rPr>
          <w:rFonts w:ascii="Arial" w:hAnsi="Arial"/>
        </w:rPr>
        <w:t xml:space="preserve">, </w:t>
      </w:r>
      <w:r w:rsidRPr="00A32D52">
        <w:rPr>
          <w:rFonts w:ascii="Arial" w:hAnsi="Arial"/>
          <w:i/>
        </w:rPr>
        <w:t>(b)</w:t>
      </w:r>
      <w:r>
        <w:rPr>
          <w:rFonts w:ascii="Arial" w:hAnsi="Arial"/>
        </w:rPr>
        <w:t xml:space="preserve"> and </w:t>
      </w:r>
      <w:r w:rsidRPr="00A32D52">
        <w:rPr>
          <w:rFonts w:ascii="Arial" w:hAnsi="Arial"/>
          <w:i/>
        </w:rPr>
        <w:t>(d)</w:t>
      </w:r>
      <w:r>
        <w:rPr>
          <w:rFonts w:ascii="Arial" w:hAnsi="Arial"/>
        </w:rPr>
        <w:t xml:space="preserve"> into consideration when making the decision to investigate the </w:t>
      </w:r>
      <w:r w:rsidR="00106D01">
        <w:rPr>
          <w:rFonts w:ascii="Arial" w:hAnsi="Arial"/>
        </w:rPr>
        <w:t>a</w:t>
      </w:r>
      <w:r>
        <w:rPr>
          <w:rFonts w:ascii="Arial" w:hAnsi="Arial"/>
        </w:rPr>
        <w:t xml:space="preserve">ppellant; </w:t>
      </w:r>
    </w:p>
    <w:p w:rsidR="00BA020D" w:rsidRPr="00AB677E" w:rsidRDefault="00BA020D" w:rsidP="00BA020D">
      <w:pPr>
        <w:pStyle w:val="ListParagraph"/>
        <w:spacing w:line="480" w:lineRule="auto"/>
        <w:ind w:left="2160"/>
        <w:jc w:val="both"/>
      </w:pPr>
    </w:p>
    <w:p w:rsidR="00177874" w:rsidRDefault="001C46D2" w:rsidP="00BA020D">
      <w:pPr>
        <w:pStyle w:val="ListParagraph"/>
        <w:numPr>
          <w:ilvl w:val="0"/>
          <w:numId w:val="5"/>
        </w:numPr>
        <w:spacing w:line="480" w:lineRule="auto"/>
        <w:jc w:val="both"/>
        <w:rPr>
          <w:rFonts w:ascii="Arial" w:hAnsi="Arial"/>
        </w:rPr>
      </w:pPr>
      <w:r>
        <w:rPr>
          <w:rFonts w:ascii="Arial" w:hAnsi="Arial"/>
        </w:rPr>
        <w:t xml:space="preserve">the allegations against </w:t>
      </w:r>
      <w:r w:rsidR="00106D01">
        <w:rPr>
          <w:rFonts w:ascii="Arial" w:hAnsi="Arial"/>
        </w:rPr>
        <w:t>a</w:t>
      </w:r>
      <w:r>
        <w:rPr>
          <w:rFonts w:ascii="Arial" w:hAnsi="Arial"/>
        </w:rPr>
        <w:t xml:space="preserve">ppellant did not disclose evidence that </w:t>
      </w:r>
      <w:r w:rsidR="00106D01">
        <w:rPr>
          <w:rFonts w:ascii="Arial" w:hAnsi="Arial"/>
        </w:rPr>
        <w:t>a</w:t>
      </w:r>
      <w:r w:rsidR="00BA020D">
        <w:rPr>
          <w:rFonts w:ascii="Arial" w:hAnsi="Arial"/>
        </w:rPr>
        <w:t>ppellant was involved in a '</w:t>
      </w:r>
      <w:r>
        <w:rPr>
          <w:rFonts w:ascii="Arial" w:hAnsi="Arial"/>
        </w:rPr>
        <w:t>corrupt practice</w:t>
      </w:r>
      <w:r w:rsidR="00BA020D">
        <w:rPr>
          <w:rFonts w:ascii="Arial" w:hAnsi="Arial"/>
        </w:rPr>
        <w:t>'</w:t>
      </w:r>
      <w:r>
        <w:rPr>
          <w:rFonts w:ascii="Arial" w:hAnsi="Arial"/>
        </w:rPr>
        <w:t xml:space="preserve"> as contemplated in </w:t>
      </w:r>
      <w:proofErr w:type="spellStart"/>
      <w:r>
        <w:rPr>
          <w:rFonts w:ascii="Arial" w:hAnsi="Arial"/>
        </w:rPr>
        <w:t>s</w:t>
      </w:r>
      <w:r w:rsidR="00106D01">
        <w:rPr>
          <w:rFonts w:ascii="Arial" w:hAnsi="Arial"/>
        </w:rPr>
        <w:t>s</w:t>
      </w:r>
      <w:proofErr w:type="spellEnd"/>
      <w:r>
        <w:rPr>
          <w:rFonts w:ascii="Arial" w:hAnsi="Arial"/>
        </w:rPr>
        <w:t xml:space="preserve"> 33 – 48 of the Act; </w:t>
      </w:r>
      <w:r w:rsidR="00D07CE6">
        <w:rPr>
          <w:rFonts w:ascii="Arial" w:hAnsi="Arial"/>
        </w:rPr>
        <w:t xml:space="preserve"> </w:t>
      </w:r>
    </w:p>
    <w:p w:rsidR="00BA020D" w:rsidRDefault="00BA020D" w:rsidP="00BA020D">
      <w:pPr>
        <w:pStyle w:val="ListParagraph"/>
      </w:pPr>
    </w:p>
    <w:p w:rsidR="001C46D2" w:rsidRDefault="001C46D2" w:rsidP="00BA020D">
      <w:pPr>
        <w:pStyle w:val="ListParagraph"/>
        <w:numPr>
          <w:ilvl w:val="0"/>
          <w:numId w:val="5"/>
        </w:numPr>
        <w:spacing w:line="480" w:lineRule="auto"/>
        <w:jc w:val="both"/>
        <w:rPr>
          <w:rFonts w:ascii="Arial" w:hAnsi="Arial"/>
        </w:rPr>
      </w:pPr>
      <w:r>
        <w:rPr>
          <w:rFonts w:ascii="Arial" w:hAnsi="Arial"/>
        </w:rPr>
        <w:t xml:space="preserve">the decision was prompted by ulterior motives, taken in bad faith and for </w:t>
      </w:r>
      <w:r w:rsidR="00CC39A0">
        <w:rPr>
          <w:rFonts w:ascii="Arial" w:hAnsi="Arial"/>
        </w:rPr>
        <w:t xml:space="preserve">the </w:t>
      </w:r>
      <w:r>
        <w:rPr>
          <w:rFonts w:ascii="Arial" w:hAnsi="Arial"/>
        </w:rPr>
        <w:t>purpose of achieving the reversal of the retrenchment of former employees of the NHE;</w:t>
      </w:r>
    </w:p>
    <w:p w:rsidR="00BA020D" w:rsidRPr="00BA020D" w:rsidRDefault="00BA020D" w:rsidP="00BA020D">
      <w:pPr>
        <w:pStyle w:val="ListParagraph"/>
        <w:rPr>
          <w:rFonts w:ascii="Arial" w:hAnsi="Arial"/>
        </w:rPr>
      </w:pPr>
    </w:p>
    <w:p w:rsidR="00177874" w:rsidRDefault="00D07CE6" w:rsidP="00BA020D">
      <w:pPr>
        <w:pStyle w:val="ListParagraph"/>
        <w:numPr>
          <w:ilvl w:val="0"/>
          <w:numId w:val="5"/>
        </w:numPr>
        <w:spacing w:line="480" w:lineRule="auto"/>
        <w:jc w:val="both"/>
        <w:rPr>
          <w:rFonts w:ascii="Arial" w:hAnsi="Arial"/>
        </w:rPr>
      </w:pPr>
      <w:r>
        <w:rPr>
          <w:rFonts w:ascii="Arial" w:hAnsi="Arial"/>
        </w:rPr>
        <w:t>there was no rational</w:t>
      </w:r>
      <w:r w:rsidR="001369ED">
        <w:rPr>
          <w:rFonts w:ascii="Arial" w:hAnsi="Arial"/>
        </w:rPr>
        <w:t xml:space="preserve"> or legitimate</w:t>
      </w:r>
      <w:r>
        <w:rPr>
          <w:rFonts w:ascii="Arial" w:hAnsi="Arial"/>
        </w:rPr>
        <w:t xml:space="preserve"> connection between the</w:t>
      </w:r>
      <w:r w:rsidR="001369ED">
        <w:rPr>
          <w:rFonts w:ascii="Arial" w:hAnsi="Arial"/>
        </w:rPr>
        <w:t xml:space="preserve"> decision</w:t>
      </w:r>
      <w:r>
        <w:rPr>
          <w:rFonts w:ascii="Arial" w:hAnsi="Arial"/>
        </w:rPr>
        <w:t xml:space="preserve"> and the evidence </w:t>
      </w:r>
      <w:r w:rsidR="001369ED">
        <w:rPr>
          <w:rFonts w:ascii="Arial" w:hAnsi="Arial"/>
        </w:rPr>
        <w:t xml:space="preserve">before </w:t>
      </w:r>
      <w:r>
        <w:rPr>
          <w:rFonts w:ascii="Arial" w:hAnsi="Arial"/>
        </w:rPr>
        <w:t>the Commission</w:t>
      </w:r>
      <w:r w:rsidR="001369ED">
        <w:rPr>
          <w:rFonts w:ascii="Arial" w:hAnsi="Arial"/>
        </w:rPr>
        <w:t>;</w:t>
      </w:r>
    </w:p>
    <w:p w:rsidR="00BA020D" w:rsidRDefault="00BA020D" w:rsidP="00BA020D">
      <w:pPr>
        <w:pStyle w:val="ListParagraph"/>
      </w:pPr>
    </w:p>
    <w:p w:rsidR="00177874" w:rsidRDefault="001369ED" w:rsidP="00BA020D">
      <w:pPr>
        <w:pStyle w:val="ListParagraph"/>
        <w:numPr>
          <w:ilvl w:val="0"/>
          <w:numId w:val="5"/>
        </w:numPr>
        <w:spacing w:line="480" w:lineRule="auto"/>
        <w:jc w:val="both"/>
        <w:rPr>
          <w:rFonts w:ascii="Arial" w:hAnsi="Arial"/>
        </w:rPr>
      </w:pPr>
      <w:r>
        <w:rPr>
          <w:rFonts w:ascii="Arial" w:hAnsi="Arial"/>
        </w:rPr>
        <w:t>the decision was not warranted on reasonable grounds as required by s 18(2) of the Act;</w:t>
      </w:r>
    </w:p>
    <w:p w:rsidR="00BA020D" w:rsidRDefault="00BA020D" w:rsidP="00BA020D">
      <w:pPr>
        <w:pStyle w:val="ListParagraph"/>
      </w:pPr>
    </w:p>
    <w:p w:rsidR="00177874" w:rsidRDefault="001369ED" w:rsidP="00BA020D">
      <w:pPr>
        <w:pStyle w:val="ListParagraph"/>
        <w:numPr>
          <w:ilvl w:val="0"/>
          <w:numId w:val="5"/>
        </w:numPr>
        <w:spacing w:line="480" w:lineRule="auto"/>
        <w:jc w:val="both"/>
        <w:rPr>
          <w:rFonts w:ascii="Arial" w:hAnsi="Arial"/>
        </w:rPr>
      </w:pPr>
      <w:r>
        <w:rPr>
          <w:rFonts w:ascii="Arial" w:hAnsi="Arial"/>
        </w:rPr>
        <w:t>the decision</w:t>
      </w:r>
      <w:r w:rsidR="00D07CE6">
        <w:rPr>
          <w:rFonts w:ascii="Arial" w:hAnsi="Arial"/>
        </w:rPr>
        <w:t xml:space="preserve"> </w:t>
      </w:r>
      <w:r>
        <w:rPr>
          <w:rFonts w:ascii="Arial" w:hAnsi="Arial"/>
        </w:rPr>
        <w:t>was based on irrelevant considerations; and</w:t>
      </w:r>
    </w:p>
    <w:p w:rsidR="00BA020D" w:rsidRDefault="00BA020D" w:rsidP="00BA020D">
      <w:pPr>
        <w:pStyle w:val="ListParagraph"/>
      </w:pPr>
    </w:p>
    <w:p w:rsidR="001369ED" w:rsidRDefault="001369ED" w:rsidP="00B76BDF">
      <w:pPr>
        <w:pStyle w:val="ListParagraph"/>
        <w:spacing w:line="480" w:lineRule="auto"/>
        <w:ind w:left="1440"/>
        <w:jc w:val="both"/>
        <w:rPr>
          <w:rFonts w:ascii="Arial" w:hAnsi="Arial"/>
        </w:rPr>
      </w:pPr>
      <w:r>
        <w:rPr>
          <w:rFonts w:ascii="Arial" w:hAnsi="Arial"/>
        </w:rPr>
        <w:t>(g)</w:t>
      </w:r>
      <w:r w:rsidR="00177874">
        <w:rPr>
          <w:rFonts w:ascii="Arial" w:hAnsi="Arial"/>
        </w:rPr>
        <w:tab/>
      </w:r>
      <w:proofErr w:type="gramStart"/>
      <w:r>
        <w:rPr>
          <w:rFonts w:ascii="Arial" w:hAnsi="Arial"/>
        </w:rPr>
        <w:t>the</w:t>
      </w:r>
      <w:proofErr w:type="gramEnd"/>
      <w:r>
        <w:rPr>
          <w:rFonts w:ascii="Arial" w:hAnsi="Arial"/>
        </w:rPr>
        <w:t xml:space="preserve"> Commission was biased against </w:t>
      </w:r>
      <w:r w:rsidR="00106D01">
        <w:rPr>
          <w:rFonts w:ascii="Arial" w:hAnsi="Arial"/>
        </w:rPr>
        <w:t>a</w:t>
      </w:r>
      <w:r>
        <w:rPr>
          <w:rFonts w:ascii="Arial" w:hAnsi="Arial"/>
        </w:rPr>
        <w:t>ppellant.</w:t>
      </w:r>
    </w:p>
    <w:p w:rsidR="00D07CE6" w:rsidRDefault="00D07CE6" w:rsidP="00B76BDF">
      <w:pPr>
        <w:pStyle w:val="ListParagraph"/>
        <w:spacing w:line="480" w:lineRule="auto"/>
        <w:ind w:left="0"/>
        <w:jc w:val="both"/>
        <w:rPr>
          <w:rFonts w:ascii="Arial" w:hAnsi="Arial"/>
        </w:rPr>
      </w:pPr>
    </w:p>
    <w:p w:rsidR="001369ED" w:rsidRDefault="001369ED" w:rsidP="00B76BDF">
      <w:pPr>
        <w:pStyle w:val="ListParagraph"/>
        <w:numPr>
          <w:ilvl w:val="0"/>
          <w:numId w:val="1"/>
        </w:numPr>
        <w:spacing w:line="480" w:lineRule="auto"/>
        <w:ind w:left="0" w:firstLine="0"/>
        <w:jc w:val="both"/>
        <w:rPr>
          <w:rFonts w:ascii="Arial" w:hAnsi="Arial"/>
        </w:rPr>
      </w:pPr>
      <w:r>
        <w:rPr>
          <w:rFonts w:ascii="Arial" w:hAnsi="Arial"/>
        </w:rPr>
        <w:t>In relation to the decision in terms of s 18(3) of the Act, whether the investigation should be undertaken by the Commission itself o</w:t>
      </w:r>
      <w:r w:rsidR="00013C78">
        <w:rPr>
          <w:rFonts w:ascii="Arial" w:hAnsi="Arial"/>
        </w:rPr>
        <w:t>r by another appropriate body, a</w:t>
      </w:r>
      <w:r>
        <w:rPr>
          <w:rFonts w:ascii="Arial" w:hAnsi="Arial"/>
        </w:rPr>
        <w:t xml:space="preserve">ppellant argued that the following grounds of review should be sustained: </w:t>
      </w:r>
    </w:p>
    <w:p w:rsidR="00177874" w:rsidRDefault="00177874" w:rsidP="00BA020D">
      <w:pPr>
        <w:spacing w:line="480" w:lineRule="auto"/>
        <w:jc w:val="both"/>
        <w:rPr>
          <w:rFonts w:ascii="Arial" w:hAnsi="Arial"/>
        </w:rPr>
      </w:pPr>
    </w:p>
    <w:p w:rsidR="001369ED" w:rsidRDefault="001369ED" w:rsidP="00BA020D">
      <w:pPr>
        <w:pStyle w:val="ListParagraph"/>
        <w:numPr>
          <w:ilvl w:val="0"/>
          <w:numId w:val="6"/>
        </w:numPr>
        <w:spacing w:line="480" w:lineRule="auto"/>
        <w:jc w:val="both"/>
        <w:rPr>
          <w:rFonts w:ascii="Arial" w:hAnsi="Arial"/>
        </w:rPr>
      </w:pPr>
      <w:r>
        <w:rPr>
          <w:rFonts w:ascii="Arial" w:hAnsi="Arial"/>
        </w:rPr>
        <w:t>there had been no decision taken in terms of s 18(1)</w:t>
      </w:r>
      <w:r w:rsidRPr="00A32D52">
        <w:rPr>
          <w:rFonts w:ascii="Arial" w:hAnsi="Arial"/>
          <w:i/>
        </w:rPr>
        <w:t>(b)</w:t>
      </w:r>
      <w:r>
        <w:rPr>
          <w:rFonts w:ascii="Arial" w:hAnsi="Arial"/>
        </w:rPr>
        <w:t>, a condition precedent to a decision in terms of s 18(3);</w:t>
      </w:r>
    </w:p>
    <w:p w:rsidR="00BA020D" w:rsidRPr="00AB677E" w:rsidRDefault="00BA020D" w:rsidP="00BA020D">
      <w:pPr>
        <w:pStyle w:val="ListParagraph"/>
        <w:spacing w:line="480" w:lineRule="auto"/>
        <w:ind w:left="2160"/>
        <w:jc w:val="both"/>
      </w:pPr>
    </w:p>
    <w:p w:rsidR="00106D01" w:rsidRDefault="001369ED" w:rsidP="00BA020D">
      <w:pPr>
        <w:pStyle w:val="ListParagraph"/>
        <w:numPr>
          <w:ilvl w:val="0"/>
          <w:numId w:val="6"/>
        </w:numPr>
        <w:spacing w:line="480" w:lineRule="auto"/>
        <w:jc w:val="both"/>
        <w:rPr>
          <w:rFonts w:ascii="Arial" w:hAnsi="Arial"/>
        </w:rPr>
      </w:pPr>
      <w:r>
        <w:rPr>
          <w:rFonts w:ascii="Arial" w:hAnsi="Arial"/>
        </w:rPr>
        <w:t xml:space="preserve">the decision was prompted by ulterior motives, taken in bad faith and for </w:t>
      </w:r>
      <w:r w:rsidR="00CC39A0">
        <w:rPr>
          <w:rFonts w:ascii="Arial" w:hAnsi="Arial"/>
        </w:rPr>
        <w:t xml:space="preserve">the </w:t>
      </w:r>
      <w:r>
        <w:rPr>
          <w:rFonts w:ascii="Arial" w:hAnsi="Arial"/>
        </w:rPr>
        <w:t>purpose of achieving the reversal of the retrenchment of former employees of the NHE;</w:t>
      </w:r>
    </w:p>
    <w:p w:rsidR="00BA020D" w:rsidRDefault="00BA020D" w:rsidP="00BA020D">
      <w:pPr>
        <w:pStyle w:val="ListParagraph"/>
      </w:pPr>
    </w:p>
    <w:p w:rsidR="00106D01" w:rsidRDefault="001369ED" w:rsidP="00BA020D">
      <w:pPr>
        <w:pStyle w:val="ListParagraph"/>
        <w:numPr>
          <w:ilvl w:val="0"/>
          <w:numId w:val="6"/>
        </w:numPr>
        <w:spacing w:line="480" w:lineRule="auto"/>
        <w:jc w:val="both"/>
        <w:rPr>
          <w:rFonts w:ascii="Arial" w:hAnsi="Arial"/>
        </w:rPr>
      </w:pPr>
      <w:r>
        <w:rPr>
          <w:rFonts w:ascii="Arial" w:hAnsi="Arial"/>
        </w:rPr>
        <w:t>there was no rational or legitimate connection between the decision and the evidence before the Commission;</w:t>
      </w:r>
    </w:p>
    <w:p w:rsidR="00BA020D" w:rsidRDefault="00BA020D" w:rsidP="00BA020D">
      <w:pPr>
        <w:pStyle w:val="ListParagraph"/>
      </w:pPr>
    </w:p>
    <w:p w:rsidR="00106D01" w:rsidRDefault="001369ED" w:rsidP="00BA020D">
      <w:pPr>
        <w:pStyle w:val="ListParagraph"/>
        <w:numPr>
          <w:ilvl w:val="0"/>
          <w:numId w:val="6"/>
        </w:numPr>
        <w:spacing w:line="480" w:lineRule="auto"/>
        <w:jc w:val="both"/>
        <w:rPr>
          <w:rFonts w:ascii="Arial" w:hAnsi="Arial"/>
        </w:rPr>
      </w:pPr>
      <w:r>
        <w:rPr>
          <w:rFonts w:ascii="Arial" w:hAnsi="Arial"/>
        </w:rPr>
        <w:t>the decision was not warranted on reasonable grounds as required by s 18(3) of the Act;</w:t>
      </w:r>
    </w:p>
    <w:p w:rsidR="00BA020D" w:rsidRDefault="00BA020D" w:rsidP="00BA020D">
      <w:pPr>
        <w:pStyle w:val="ListParagraph"/>
      </w:pPr>
    </w:p>
    <w:p w:rsidR="00106D01" w:rsidRDefault="001369ED" w:rsidP="00BA020D">
      <w:pPr>
        <w:pStyle w:val="ListParagraph"/>
        <w:numPr>
          <w:ilvl w:val="0"/>
          <w:numId w:val="6"/>
        </w:numPr>
        <w:spacing w:line="480" w:lineRule="auto"/>
        <w:jc w:val="both"/>
        <w:rPr>
          <w:rFonts w:ascii="Arial" w:hAnsi="Arial"/>
        </w:rPr>
      </w:pPr>
      <w:r>
        <w:rPr>
          <w:rFonts w:ascii="Arial" w:hAnsi="Arial"/>
        </w:rPr>
        <w:t>the decision was based on irrelevant considerations; and</w:t>
      </w:r>
    </w:p>
    <w:p w:rsidR="00BA020D" w:rsidRDefault="00BA020D" w:rsidP="00BA020D">
      <w:pPr>
        <w:pStyle w:val="ListParagraph"/>
      </w:pPr>
    </w:p>
    <w:p w:rsidR="001369ED" w:rsidRDefault="001369ED" w:rsidP="00B76BDF">
      <w:pPr>
        <w:pStyle w:val="ListParagraph"/>
        <w:spacing w:line="480" w:lineRule="auto"/>
        <w:ind w:left="1440"/>
        <w:jc w:val="both"/>
        <w:rPr>
          <w:rFonts w:ascii="Arial" w:hAnsi="Arial"/>
        </w:rPr>
      </w:pPr>
      <w:r>
        <w:rPr>
          <w:rFonts w:ascii="Arial" w:hAnsi="Arial"/>
        </w:rPr>
        <w:t>(g)</w:t>
      </w:r>
      <w:r w:rsidR="00106D01">
        <w:rPr>
          <w:rFonts w:ascii="Arial" w:hAnsi="Arial"/>
        </w:rPr>
        <w:tab/>
      </w:r>
      <w:proofErr w:type="gramStart"/>
      <w:r>
        <w:rPr>
          <w:rFonts w:ascii="Arial" w:hAnsi="Arial"/>
        </w:rPr>
        <w:t>the</w:t>
      </w:r>
      <w:proofErr w:type="gramEnd"/>
      <w:r>
        <w:rPr>
          <w:rFonts w:ascii="Arial" w:hAnsi="Arial"/>
        </w:rPr>
        <w:t xml:space="preserve"> Commission was biased against </w:t>
      </w:r>
      <w:r w:rsidR="00106D01">
        <w:rPr>
          <w:rFonts w:ascii="Arial" w:hAnsi="Arial"/>
        </w:rPr>
        <w:t>a</w:t>
      </w:r>
      <w:r>
        <w:rPr>
          <w:rFonts w:ascii="Arial" w:hAnsi="Arial"/>
        </w:rPr>
        <w:t>ppellant.</w:t>
      </w:r>
    </w:p>
    <w:p w:rsidR="001369ED" w:rsidRDefault="001369ED" w:rsidP="00B76BDF">
      <w:pPr>
        <w:pStyle w:val="ListParagraph"/>
        <w:spacing w:line="480" w:lineRule="auto"/>
        <w:ind w:left="1440"/>
        <w:jc w:val="both"/>
        <w:rPr>
          <w:rFonts w:ascii="Arial" w:hAnsi="Arial"/>
        </w:rPr>
      </w:pPr>
    </w:p>
    <w:p w:rsidR="000857AD" w:rsidRDefault="001369ED" w:rsidP="00B76BDF">
      <w:pPr>
        <w:pStyle w:val="ListParagraph"/>
        <w:numPr>
          <w:ilvl w:val="0"/>
          <w:numId w:val="1"/>
        </w:numPr>
        <w:spacing w:line="480" w:lineRule="auto"/>
        <w:ind w:left="0" w:firstLine="0"/>
        <w:jc w:val="both"/>
        <w:rPr>
          <w:rFonts w:ascii="Arial" w:hAnsi="Arial"/>
        </w:rPr>
      </w:pPr>
      <w:r>
        <w:rPr>
          <w:rFonts w:ascii="Arial" w:hAnsi="Arial"/>
        </w:rPr>
        <w:t xml:space="preserve">In particular, </w:t>
      </w:r>
      <w:r w:rsidR="00106D01">
        <w:rPr>
          <w:rFonts w:ascii="Arial" w:hAnsi="Arial"/>
        </w:rPr>
        <w:t>a</w:t>
      </w:r>
      <w:r>
        <w:rPr>
          <w:rFonts w:ascii="Arial" w:hAnsi="Arial"/>
        </w:rPr>
        <w:t xml:space="preserve">ppellant </w:t>
      </w:r>
      <w:r w:rsidR="00463DF9">
        <w:rPr>
          <w:rFonts w:ascii="Arial" w:hAnsi="Arial"/>
        </w:rPr>
        <w:t xml:space="preserve">argues that </w:t>
      </w:r>
      <w:r>
        <w:rPr>
          <w:rFonts w:ascii="Arial" w:hAnsi="Arial"/>
        </w:rPr>
        <w:t xml:space="preserve">the </w:t>
      </w:r>
      <w:r w:rsidR="00463DF9">
        <w:rPr>
          <w:rFonts w:ascii="Arial" w:hAnsi="Arial"/>
        </w:rPr>
        <w:t xml:space="preserve">Commission is under a duty to </w:t>
      </w:r>
      <w:r w:rsidR="00795033">
        <w:rPr>
          <w:rFonts w:ascii="Arial" w:hAnsi="Arial"/>
        </w:rPr>
        <w:t xml:space="preserve">establish </w:t>
      </w:r>
      <w:r w:rsidR="00463DF9">
        <w:rPr>
          <w:rFonts w:ascii="Arial" w:hAnsi="Arial"/>
        </w:rPr>
        <w:t xml:space="preserve">that </w:t>
      </w:r>
      <w:r w:rsidR="00D07CE6">
        <w:rPr>
          <w:rFonts w:ascii="Arial" w:hAnsi="Arial"/>
        </w:rPr>
        <w:t xml:space="preserve">the </w:t>
      </w:r>
      <w:r w:rsidR="00463DF9">
        <w:rPr>
          <w:rFonts w:ascii="Arial" w:hAnsi="Arial"/>
        </w:rPr>
        <w:t xml:space="preserve">decision </w:t>
      </w:r>
      <w:r w:rsidR="00D07CE6">
        <w:rPr>
          <w:rFonts w:ascii="Arial" w:hAnsi="Arial"/>
        </w:rPr>
        <w:t xml:space="preserve">made </w:t>
      </w:r>
      <w:r w:rsidR="00463DF9">
        <w:rPr>
          <w:rFonts w:ascii="Arial" w:hAnsi="Arial"/>
        </w:rPr>
        <w:t xml:space="preserve">in terms of s 18(1) to investigate the </w:t>
      </w:r>
      <w:r w:rsidR="00106D01">
        <w:rPr>
          <w:rFonts w:ascii="Arial" w:hAnsi="Arial"/>
        </w:rPr>
        <w:t>a</w:t>
      </w:r>
      <w:r w:rsidR="00463DF9">
        <w:rPr>
          <w:rFonts w:ascii="Arial" w:hAnsi="Arial"/>
        </w:rPr>
        <w:t>ppellant was warranted on reasonable grounds, and that the Commission needs to show that in making its decision, it considered all the considerations stipulated in s 18(2)</w:t>
      </w:r>
      <w:r>
        <w:rPr>
          <w:rFonts w:ascii="Arial" w:hAnsi="Arial"/>
        </w:rPr>
        <w:t>,</w:t>
      </w:r>
      <w:r w:rsidR="00463DF9">
        <w:rPr>
          <w:rStyle w:val="FootnoteReference"/>
          <w:rFonts w:ascii="Arial" w:hAnsi="Arial"/>
        </w:rPr>
        <w:footnoteReference w:id="6"/>
      </w:r>
      <w:r w:rsidR="00463DF9">
        <w:rPr>
          <w:rFonts w:ascii="Arial" w:hAnsi="Arial"/>
        </w:rPr>
        <w:t xml:space="preserve"> </w:t>
      </w:r>
      <w:r>
        <w:rPr>
          <w:rFonts w:ascii="Arial" w:hAnsi="Arial"/>
        </w:rPr>
        <w:t xml:space="preserve">including the question </w:t>
      </w:r>
      <w:r w:rsidR="00463DF9">
        <w:rPr>
          <w:rFonts w:ascii="Arial" w:hAnsi="Arial"/>
        </w:rPr>
        <w:t xml:space="preserve">whether or not the allegation </w:t>
      </w:r>
      <w:r>
        <w:rPr>
          <w:rFonts w:ascii="Arial" w:hAnsi="Arial"/>
        </w:rPr>
        <w:t xml:space="preserve">received by the Commission </w:t>
      </w:r>
      <w:r w:rsidR="00463DF9">
        <w:rPr>
          <w:rFonts w:ascii="Arial" w:hAnsi="Arial"/>
        </w:rPr>
        <w:t>was frivolous or vexatious or not made in good faith.</w:t>
      </w:r>
      <w:r w:rsidR="00463DF9">
        <w:rPr>
          <w:rStyle w:val="FootnoteReference"/>
          <w:rFonts w:ascii="Arial" w:hAnsi="Arial"/>
        </w:rPr>
        <w:footnoteReference w:id="7"/>
      </w:r>
      <w:r w:rsidR="00463DF9">
        <w:rPr>
          <w:rFonts w:ascii="Arial" w:hAnsi="Arial"/>
        </w:rPr>
        <w:t xml:space="preserve"> </w:t>
      </w:r>
    </w:p>
    <w:p w:rsidR="00D07CE6" w:rsidRDefault="00D07CE6" w:rsidP="00B76BDF">
      <w:pPr>
        <w:pStyle w:val="ListParagraph"/>
        <w:spacing w:line="480" w:lineRule="auto"/>
        <w:ind w:left="0"/>
        <w:jc w:val="both"/>
        <w:rPr>
          <w:rFonts w:ascii="Arial" w:hAnsi="Arial"/>
        </w:rPr>
      </w:pPr>
    </w:p>
    <w:p w:rsidR="000857AD" w:rsidRDefault="000857AD" w:rsidP="00B76BDF">
      <w:pPr>
        <w:pStyle w:val="ListParagraph"/>
        <w:numPr>
          <w:ilvl w:val="0"/>
          <w:numId w:val="1"/>
        </w:numPr>
        <w:spacing w:line="480" w:lineRule="auto"/>
        <w:ind w:left="0" w:firstLine="0"/>
        <w:jc w:val="both"/>
        <w:rPr>
          <w:rFonts w:ascii="Arial" w:hAnsi="Arial"/>
        </w:rPr>
      </w:pPr>
      <w:r>
        <w:rPr>
          <w:rFonts w:ascii="Arial" w:hAnsi="Arial"/>
        </w:rPr>
        <w:t xml:space="preserve">Appellant also argues that </w:t>
      </w:r>
      <w:r w:rsidR="00CC39A0">
        <w:rPr>
          <w:rFonts w:ascii="Arial" w:hAnsi="Arial"/>
        </w:rPr>
        <w:t>given the language of s 21(2) of the Act</w:t>
      </w:r>
      <w:r>
        <w:rPr>
          <w:rFonts w:ascii="Arial" w:hAnsi="Arial"/>
        </w:rPr>
        <w:t xml:space="preserve"> the Director of the Commission was obliged to take the decisions in terms of s 18(1) and 18(3) of the Act, and that the record does not establish that the Director took th</w:t>
      </w:r>
      <w:r w:rsidR="00CC39A0">
        <w:rPr>
          <w:rFonts w:ascii="Arial" w:hAnsi="Arial"/>
        </w:rPr>
        <w:t>os</w:t>
      </w:r>
      <w:r>
        <w:rPr>
          <w:rFonts w:ascii="Arial" w:hAnsi="Arial"/>
        </w:rPr>
        <w:t>e decisions.</w:t>
      </w:r>
    </w:p>
    <w:p w:rsidR="000857AD" w:rsidRDefault="000857AD" w:rsidP="00B76BDF">
      <w:pPr>
        <w:pStyle w:val="ListParagraph"/>
        <w:spacing w:line="480" w:lineRule="auto"/>
        <w:ind w:left="0"/>
        <w:jc w:val="both"/>
        <w:rPr>
          <w:rFonts w:ascii="Arial" w:hAnsi="Arial"/>
        </w:rPr>
      </w:pPr>
    </w:p>
    <w:p w:rsidR="000031E9" w:rsidRDefault="000857AD" w:rsidP="00B76BDF">
      <w:pPr>
        <w:pStyle w:val="ListParagraph"/>
        <w:numPr>
          <w:ilvl w:val="0"/>
          <w:numId w:val="1"/>
        </w:numPr>
        <w:spacing w:line="480" w:lineRule="auto"/>
        <w:ind w:left="0" w:firstLine="0"/>
        <w:jc w:val="both"/>
        <w:rPr>
          <w:rFonts w:ascii="Arial" w:hAnsi="Arial"/>
        </w:rPr>
      </w:pPr>
      <w:r>
        <w:rPr>
          <w:rFonts w:ascii="Arial" w:hAnsi="Arial"/>
        </w:rPr>
        <w:t xml:space="preserve">Finally, </w:t>
      </w:r>
      <w:r w:rsidR="00106D01">
        <w:rPr>
          <w:rFonts w:ascii="Arial" w:hAnsi="Arial"/>
        </w:rPr>
        <w:t>a</w:t>
      </w:r>
      <w:r>
        <w:rPr>
          <w:rFonts w:ascii="Arial" w:hAnsi="Arial"/>
        </w:rPr>
        <w:t xml:space="preserve">ppellant argues that once the High Court concluded that the Commission had used the power of arrest conferred upon the Commission by the Act </w:t>
      </w:r>
      <w:r w:rsidR="00106D01">
        <w:rPr>
          <w:rFonts w:ascii="Arial" w:hAnsi="Arial"/>
        </w:rPr>
        <w:t>‘</w:t>
      </w:r>
      <w:r>
        <w:rPr>
          <w:rFonts w:ascii="Arial" w:hAnsi="Arial"/>
        </w:rPr>
        <w:t>to advance the private cause of those who found themselves in a labour dispute</w:t>
      </w:r>
      <w:r w:rsidR="00106D01">
        <w:rPr>
          <w:rFonts w:ascii="Arial" w:hAnsi="Arial"/>
        </w:rPr>
        <w:t>’</w:t>
      </w:r>
      <w:r>
        <w:rPr>
          <w:rFonts w:ascii="Arial" w:hAnsi="Arial"/>
        </w:rPr>
        <w:t xml:space="preserve"> with the NHE </w:t>
      </w:r>
      <w:r w:rsidR="00106D01">
        <w:rPr>
          <w:rFonts w:ascii="Arial" w:hAnsi="Arial"/>
        </w:rPr>
        <w:t>‘</w:t>
      </w:r>
      <w:r>
        <w:rPr>
          <w:rFonts w:ascii="Arial" w:hAnsi="Arial"/>
        </w:rPr>
        <w:t>is well founded</w:t>
      </w:r>
      <w:r w:rsidR="00106D01">
        <w:rPr>
          <w:rFonts w:ascii="Arial" w:hAnsi="Arial"/>
        </w:rPr>
        <w:t>’</w:t>
      </w:r>
      <w:r>
        <w:rPr>
          <w:rFonts w:ascii="Arial" w:hAnsi="Arial"/>
        </w:rPr>
        <w:t>,</w:t>
      </w:r>
      <w:r>
        <w:rPr>
          <w:rStyle w:val="FootnoteReference"/>
          <w:rFonts w:ascii="Arial" w:hAnsi="Arial"/>
        </w:rPr>
        <w:footnoteReference w:id="8"/>
      </w:r>
      <w:r>
        <w:rPr>
          <w:rFonts w:ascii="Arial" w:hAnsi="Arial"/>
        </w:rPr>
        <w:t xml:space="preserve"> it followed that the</w:t>
      </w:r>
      <w:r w:rsidR="007E3F4F">
        <w:rPr>
          <w:rFonts w:ascii="Arial" w:hAnsi="Arial"/>
        </w:rPr>
        <w:t xml:space="preserve"> criminal proceedings pending against </w:t>
      </w:r>
      <w:r w:rsidR="00106D01">
        <w:rPr>
          <w:rFonts w:ascii="Arial" w:hAnsi="Arial"/>
        </w:rPr>
        <w:t>a</w:t>
      </w:r>
      <w:r w:rsidR="007E3F4F">
        <w:rPr>
          <w:rFonts w:ascii="Arial" w:hAnsi="Arial"/>
        </w:rPr>
        <w:t>ppellant were invalid on that ground alone</w:t>
      </w:r>
      <w:r>
        <w:rPr>
          <w:rFonts w:ascii="Arial" w:hAnsi="Arial"/>
        </w:rPr>
        <w:t>.</w:t>
      </w:r>
      <w:r w:rsidR="001369ED">
        <w:rPr>
          <w:rFonts w:ascii="Arial" w:hAnsi="Arial"/>
        </w:rPr>
        <w:t xml:space="preserve">  Appellant also argues that should this </w:t>
      </w:r>
      <w:r w:rsidR="00106D01">
        <w:rPr>
          <w:rFonts w:ascii="Arial" w:hAnsi="Arial"/>
        </w:rPr>
        <w:t>c</w:t>
      </w:r>
      <w:r w:rsidR="001369ED">
        <w:rPr>
          <w:rFonts w:ascii="Arial" w:hAnsi="Arial"/>
        </w:rPr>
        <w:t xml:space="preserve">ourt uphold its arguments in relation to the decisions as challenged, it will follow that the </w:t>
      </w:r>
      <w:r w:rsidR="00106D01">
        <w:rPr>
          <w:rFonts w:ascii="Arial" w:hAnsi="Arial"/>
        </w:rPr>
        <w:t>c</w:t>
      </w:r>
      <w:r w:rsidR="001369ED">
        <w:rPr>
          <w:rFonts w:ascii="Arial" w:hAnsi="Arial"/>
        </w:rPr>
        <w:t xml:space="preserve">ourt should declare the criminal proceedings </w:t>
      </w:r>
      <w:r w:rsidR="00CC39A0">
        <w:rPr>
          <w:rFonts w:ascii="Arial" w:hAnsi="Arial"/>
        </w:rPr>
        <w:t xml:space="preserve">unlawful and </w:t>
      </w:r>
      <w:r w:rsidR="001369ED">
        <w:rPr>
          <w:rFonts w:ascii="Arial" w:hAnsi="Arial"/>
        </w:rPr>
        <w:t xml:space="preserve">invalid, on the basis that those proceedings were materially tainted by the </w:t>
      </w:r>
      <w:r w:rsidR="00CC39A0">
        <w:rPr>
          <w:rFonts w:ascii="Arial" w:hAnsi="Arial"/>
        </w:rPr>
        <w:t xml:space="preserve">absence of </w:t>
      </w:r>
      <w:r w:rsidR="001369ED">
        <w:rPr>
          <w:rFonts w:ascii="Arial" w:hAnsi="Arial"/>
        </w:rPr>
        <w:t>valid decisions in terms of s 18(1)</w:t>
      </w:r>
      <w:r w:rsidR="001369ED" w:rsidRPr="00A32D52">
        <w:rPr>
          <w:rFonts w:ascii="Arial" w:hAnsi="Arial"/>
          <w:i/>
        </w:rPr>
        <w:t>(b)</w:t>
      </w:r>
      <w:r w:rsidR="001369ED">
        <w:rPr>
          <w:rFonts w:ascii="Arial" w:hAnsi="Arial"/>
        </w:rPr>
        <w:t xml:space="preserve"> and 18(3)</w:t>
      </w:r>
      <w:r w:rsidR="00960FD8">
        <w:rPr>
          <w:rFonts w:ascii="Arial" w:hAnsi="Arial"/>
        </w:rPr>
        <w:t xml:space="preserve"> of the Act. </w:t>
      </w:r>
    </w:p>
    <w:p w:rsidR="000031E9" w:rsidRDefault="000031E9" w:rsidP="00B76BDF">
      <w:pPr>
        <w:pStyle w:val="ListParagraph"/>
        <w:spacing w:line="480" w:lineRule="auto"/>
        <w:ind w:left="0"/>
        <w:jc w:val="both"/>
        <w:rPr>
          <w:rFonts w:ascii="Arial" w:hAnsi="Arial"/>
        </w:rPr>
      </w:pPr>
    </w:p>
    <w:p w:rsidR="000031E9" w:rsidRPr="00A32D52" w:rsidRDefault="000031E9" w:rsidP="00B76BDF">
      <w:pPr>
        <w:pStyle w:val="ListParagraph"/>
        <w:spacing w:line="480" w:lineRule="auto"/>
        <w:ind w:left="0"/>
        <w:jc w:val="both"/>
        <w:rPr>
          <w:rFonts w:ascii="Arial" w:hAnsi="Arial"/>
          <w:u w:val="single"/>
        </w:rPr>
      </w:pPr>
      <w:r w:rsidRPr="00A32D52">
        <w:rPr>
          <w:rFonts w:ascii="Arial" w:hAnsi="Arial"/>
          <w:u w:val="single"/>
        </w:rPr>
        <w:t>Respondents’ submissions</w:t>
      </w:r>
    </w:p>
    <w:p w:rsidR="000031E9" w:rsidRDefault="00F93E5C" w:rsidP="00B76BDF">
      <w:pPr>
        <w:pStyle w:val="ListParagraph"/>
        <w:numPr>
          <w:ilvl w:val="0"/>
          <w:numId w:val="1"/>
        </w:numPr>
        <w:spacing w:line="480" w:lineRule="auto"/>
        <w:ind w:left="0" w:firstLine="0"/>
        <w:jc w:val="both"/>
        <w:rPr>
          <w:rFonts w:ascii="Arial" w:hAnsi="Arial"/>
        </w:rPr>
      </w:pPr>
      <w:r>
        <w:rPr>
          <w:rFonts w:ascii="Arial" w:hAnsi="Arial"/>
        </w:rPr>
        <w:t xml:space="preserve">Respondents </w:t>
      </w:r>
      <w:r w:rsidR="00016924">
        <w:rPr>
          <w:rFonts w:ascii="Arial" w:hAnsi="Arial"/>
        </w:rPr>
        <w:t>argue</w:t>
      </w:r>
      <w:r>
        <w:rPr>
          <w:rFonts w:ascii="Arial" w:hAnsi="Arial"/>
        </w:rPr>
        <w:t xml:space="preserve"> that </w:t>
      </w:r>
      <w:r w:rsidR="00106D01">
        <w:rPr>
          <w:rFonts w:ascii="Arial" w:hAnsi="Arial"/>
        </w:rPr>
        <w:t>a</w:t>
      </w:r>
      <w:r w:rsidR="00DA0250">
        <w:rPr>
          <w:rFonts w:ascii="Arial" w:hAnsi="Arial"/>
        </w:rPr>
        <w:t xml:space="preserve">ppellant’s assertion that there was a </w:t>
      </w:r>
      <w:r w:rsidR="00106D01">
        <w:rPr>
          <w:rFonts w:ascii="Arial" w:hAnsi="Arial"/>
        </w:rPr>
        <w:t>‘</w:t>
      </w:r>
      <w:r w:rsidR="00DA0250">
        <w:rPr>
          <w:rFonts w:ascii="Arial" w:hAnsi="Arial"/>
        </w:rPr>
        <w:t>conspiracy</w:t>
      </w:r>
      <w:r w:rsidR="00106D01">
        <w:rPr>
          <w:rFonts w:ascii="Arial" w:hAnsi="Arial"/>
        </w:rPr>
        <w:t>’</w:t>
      </w:r>
      <w:r w:rsidR="00DA0250">
        <w:rPr>
          <w:rFonts w:ascii="Arial" w:hAnsi="Arial"/>
        </w:rPr>
        <w:t xml:space="preserve"> between the Commission and the Union is not established on the record. Respondents </w:t>
      </w:r>
      <w:r w:rsidR="00F63579">
        <w:rPr>
          <w:rFonts w:ascii="Arial" w:hAnsi="Arial"/>
        </w:rPr>
        <w:t xml:space="preserve">assert </w:t>
      </w:r>
      <w:r w:rsidR="00DA0250">
        <w:rPr>
          <w:rFonts w:ascii="Arial" w:hAnsi="Arial"/>
        </w:rPr>
        <w:t>that the Commission’s denial of these assertions on the record is not fanciful</w:t>
      </w:r>
      <w:r w:rsidR="00F63579">
        <w:rPr>
          <w:rFonts w:ascii="Arial" w:hAnsi="Arial"/>
        </w:rPr>
        <w:t xml:space="preserve"> or lacking credibility</w:t>
      </w:r>
      <w:r w:rsidR="00DA0250">
        <w:rPr>
          <w:rFonts w:ascii="Arial" w:hAnsi="Arial"/>
        </w:rPr>
        <w:t>.</w:t>
      </w:r>
    </w:p>
    <w:p w:rsidR="00DA0250" w:rsidRDefault="00DA0250" w:rsidP="00B76BDF">
      <w:pPr>
        <w:pStyle w:val="ListParagraph"/>
        <w:spacing w:line="480" w:lineRule="auto"/>
        <w:ind w:left="0"/>
        <w:jc w:val="both"/>
        <w:rPr>
          <w:rFonts w:ascii="Arial" w:hAnsi="Arial"/>
        </w:rPr>
      </w:pPr>
    </w:p>
    <w:p w:rsidR="000031E9" w:rsidRDefault="00DA0250" w:rsidP="00B76BDF">
      <w:pPr>
        <w:pStyle w:val="ListParagraph"/>
        <w:numPr>
          <w:ilvl w:val="0"/>
          <w:numId w:val="1"/>
        </w:numPr>
        <w:spacing w:line="480" w:lineRule="auto"/>
        <w:ind w:left="0" w:firstLine="0"/>
        <w:jc w:val="both"/>
        <w:rPr>
          <w:rFonts w:ascii="Arial" w:hAnsi="Arial"/>
        </w:rPr>
      </w:pPr>
      <w:r>
        <w:rPr>
          <w:rFonts w:ascii="Arial" w:hAnsi="Arial"/>
        </w:rPr>
        <w:t xml:space="preserve">Secondly, </w:t>
      </w:r>
      <w:r w:rsidR="00106D01">
        <w:rPr>
          <w:rFonts w:ascii="Arial" w:hAnsi="Arial"/>
        </w:rPr>
        <w:t>r</w:t>
      </w:r>
      <w:r>
        <w:rPr>
          <w:rFonts w:ascii="Arial" w:hAnsi="Arial"/>
        </w:rPr>
        <w:t xml:space="preserve">espondents argue that </w:t>
      </w:r>
      <w:r w:rsidR="00106D01">
        <w:rPr>
          <w:rFonts w:ascii="Arial" w:hAnsi="Arial"/>
        </w:rPr>
        <w:t>a</w:t>
      </w:r>
      <w:r>
        <w:rPr>
          <w:rFonts w:ascii="Arial" w:hAnsi="Arial"/>
        </w:rPr>
        <w:t>ppellant construes the legislative p</w:t>
      </w:r>
      <w:r w:rsidR="00013C78">
        <w:rPr>
          <w:rFonts w:ascii="Arial" w:hAnsi="Arial"/>
        </w:rPr>
        <w:t>urpose of the Act too narrowly.</w:t>
      </w:r>
      <w:r>
        <w:rPr>
          <w:rFonts w:ascii="Arial" w:hAnsi="Arial"/>
        </w:rPr>
        <w:t xml:space="preserve"> According to </w:t>
      </w:r>
      <w:r w:rsidR="00106D01">
        <w:rPr>
          <w:rFonts w:ascii="Arial" w:hAnsi="Arial"/>
        </w:rPr>
        <w:t>r</w:t>
      </w:r>
      <w:r>
        <w:rPr>
          <w:rFonts w:ascii="Arial" w:hAnsi="Arial"/>
        </w:rPr>
        <w:t>espondents, the Act expressly authorises investigation and prosecution of offences discovered in the course of the investigation of corrupt activities.</w:t>
      </w:r>
    </w:p>
    <w:p w:rsidR="00DA0250" w:rsidRDefault="00DA0250" w:rsidP="00B76BDF">
      <w:pPr>
        <w:pStyle w:val="ListParagraph"/>
        <w:spacing w:line="480" w:lineRule="auto"/>
        <w:ind w:left="0"/>
        <w:jc w:val="both"/>
        <w:rPr>
          <w:rFonts w:ascii="Arial" w:hAnsi="Arial"/>
        </w:rPr>
      </w:pPr>
    </w:p>
    <w:p w:rsidR="000031E9" w:rsidRPr="00DA0250" w:rsidRDefault="00DA0250" w:rsidP="00B76BDF">
      <w:pPr>
        <w:pStyle w:val="ListParagraph"/>
        <w:numPr>
          <w:ilvl w:val="0"/>
          <w:numId w:val="1"/>
        </w:numPr>
        <w:spacing w:line="480" w:lineRule="auto"/>
        <w:ind w:left="0" w:firstLine="0"/>
        <w:jc w:val="both"/>
        <w:rPr>
          <w:rFonts w:ascii="Arial" w:hAnsi="Arial"/>
        </w:rPr>
      </w:pPr>
      <w:r>
        <w:rPr>
          <w:rFonts w:ascii="Arial" w:hAnsi="Arial"/>
        </w:rPr>
        <w:t xml:space="preserve">Thirdly, </w:t>
      </w:r>
      <w:r w:rsidR="00106D01">
        <w:rPr>
          <w:rFonts w:ascii="Arial" w:hAnsi="Arial"/>
        </w:rPr>
        <w:t>r</w:t>
      </w:r>
      <w:r>
        <w:rPr>
          <w:rFonts w:ascii="Arial" w:hAnsi="Arial"/>
        </w:rPr>
        <w:t xml:space="preserve">espondents argue that </w:t>
      </w:r>
      <w:r w:rsidR="00106D01">
        <w:rPr>
          <w:rFonts w:ascii="Arial" w:hAnsi="Arial"/>
        </w:rPr>
        <w:t>a</w:t>
      </w:r>
      <w:r>
        <w:rPr>
          <w:rFonts w:ascii="Arial" w:hAnsi="Arial"/>
        </w:rPr>
        <w:t>ppellant misconstrues s 18(1</w:t>
      </w:r>
      <w:proofErr w:type="gramStart"/>
      <w:r>
        <w:rPr>
          <w:rFonts w:ascii="Arial" w:hAnsi="Arial"/>
        </w:rPr>
        <w:t>)</w:t>
      </w:r>
      <w:r w:rsidRPr="00A32D52">
        <w:rPr>
          <w:rFonts w:ascii="Arial" w:hAnsi="Arial"/>
          <w:i/>
        </w:rPr>
        <w:t>(</w:t>
      </w:r>
      <w:proofErr w:type="gramEnd"/>
      <w:r w:rsidRPr="00A32D52">
        <w:rPr>
          <w:rFonts w:ascii="Arial" w:hAnsi="Arial"/>
          <w:i/>
        </w:rPr>
        <w:t>b)</w:t>
      </w:r>
      <w:r>
        <w:rPr>
          <w:rFonts w:ascii="Arial" w:hAnsi="Arial"/>
        </w:rPr>
        <w:t xml:space="preserve"> and 18(3) of the Act and that accordingly </w:t>
      </w:r>
      <w:r w:rsidR="00106D01">
        <w:rPr>
          <w:rFonts w:ascii="Arial" w:hAnsi="Arial"/>
        </w:rPr>
        <w:t>a</w:t>
      </w:r>
      <w:r>
        <w:rPr>
          <w:rFonts w:ascii="Arial" w:hAnsi="Arial"/>
        </w:rPr>
        <w:t xml:space="preserve">ppellant’s argument that the Commission acted </w:t>
      </w:r>
      <w:r>
        <w:rPr>
          <w:rFonts w:ascii="Arial" w:hAnsi="Arial"/>
          <w:i/>
        </w:rPr>
        <w:t xml:space="preserve">ultra </w:t>
      </w:r>
      <w:r w:rsidRPr="00013C78">
        <w:rPr>
          <w:rFonts w:ascii="Arial" w:hAnsi="Arial"/>
          <w:i/>
        </w:rPr>
        <w:t>vires</w:t>
      </w:r>
      <w:r>
        <w:rPr>
          <w:rFonts w:ascii="Arial" w:hAnsi="Arial"/>
        </w:rPr>
        <w:t xml:space="preserve"> is misconceived.</w:t>
      </w:r>
    </w:p>
    <w:p w:rsidR="000031E9" w:rsidRDefault="000031E9" w:rsidP="00B76BDF">
      <w:pPr>
        <w:pStyle w:val="ListParagraph"/>
        <w:spacing w:line="480" w:lineRule="auto"/>
        <w:ind w:left="0"/>
        <w:jc w:val="both"/>
        <w:rPr>
          <w:rFonts w:ascii="Arial" w:hAnsi="Arial"/>
        </w:rPr>
      </w:pPr>
    </w:p>
    <w:p w:rsidR="00C36BF8" w:rsidRPr="00A32D52" w:rsidRDefault="00C36BF8" w:rsidP="00B76BDF">
      <w:pPr>
        <w:pStyle w:val="ListParagraph"/>
        <w:spacing w:line="480" w:lineRule="auto"/>
        <w:ind w:left="0"/>
        <w:jc w:val="both"/>
        <w:rPr>
          <w:rFonts w:ascii="Arial" w:hAnsi="Arial"/>
          <w:u w:val="single"/>
        </w:rPr>
      </w:pPr>
      <w:r w:rsidRPr="00A32D52">
        <w:rPr>
          <w:rFonts w:ascii="Arial" w:hAnsi="Arial"/>
          <w:u w:val="single"/>
        </w:rPr>
        <w:t>Issues for determination</w:t>
      </w:r>
    </w:p>
    <w:p w:rsidR="00117F41" w:rsidRDefault="007E3F4F" w:rsidP="00B76BDF">
      <w:pPr>
        <w:pStyle w:val="ListParagraph"/>
        <w:numPr>
          <w:ilvl w:val="0"/>
          <w:numId w:val="1"/>
        </w:numPr>
        <w:spacing w:line="480" w:lineRule="auto"/>
        <w:ind w:left="0" w:firstLine="0"/>
        <w:jc w:val="both"/>
        <w:rPr>
          <w:rFonts w:ascii="Arial" w:hAnsi="Arial"/>
        </w:rPr>
      </w:pPr>
      <w:r>
        <w:rPr>
          <w:rFonts w:ascii="Arial" w:hAnsi="Arial"/>
        </w:rPr>
        <w:t>The</w:t>
      </w:r>
      <w:r w:rsidR="00A35E97">
        <w:rPr>
          <w:rFonts w:ascii="Arial" w:hAnsi="Arial"/>
        </w:rPr>
        <w:t xml:space="preserve">re is no cross-appeal against the High Court’s order declaring </w:t>
      </w:r>
      <w:r w:rsidR="00013C78">
        <w:rPr>
          <w:rFonts w:ascii="Arial" w:hAnsi="Arial"/>
        </w:rPr>
        <w:t>a</w:t>
      </w:r>
      <w:r w:rsidR="00A35E97">
        <w:rPr>
          <w:rFonts w:ascii="Arial" w:hAnsi="Arial"/>
        </w:rPr>
        <w:t>ppellant’s arrest to be unlawful, the setting aside of the warrants of arrest and detention, and the bail conditions. The High Court</w:t>
      </w:r>
      <w:r w:rsidR="00016924">
        <w:rPr>
          <w:rFonts w:ascii="Arial" w:hAnsi="Arial"/>
        </w:rPr>
        <w:t xml:space="preserve">’s declaration of invalidity </w:t>
      </w:r>
      <w:r w:rsidR="00A35E97">
        <w:rPr>
          <w:rFonts w:ascii="Arial" w:hAnsi="Arial"/>
        </w:rPr>
        <w:t xml:space="preserve">is therefore not an issue before this </w:t>
      </w:r>
      <w:r w:rsidR="00106D01">
        <w:rPr>
          <w:rFonts w:ascii="Arial" w:hAnsi="Arial"/>
        </w:rPr>
        <w:t>c</w:t>
      </w:r>
      <w:r w:rsidR="00A35E97">
        <w:rPr>
          <w:rFonts w:ascii="Arial" w:hAnsi="Arial"/>
        </w:rPr>
        <w:t>ourt</w:t>
      </w:r>
      <w:r w:rsidR="00F63579">
        <w:rPr>
          <w:rFonts w:ascii="Arial" w:hAnsi="Arial"/>
        </w:rPr>
        <w:t xml:space="preserve"> although</w:t>
      </w:r>
      <w:r w:rsidR="00A35E97">
        <w:rPr>
          <w:rFonts w:ascii="Arial" w:hAnsi="Arial"/>
        </w:rPr>
        <w:t xml:space="preserve"> the consequence of the High Court’s order</w:t>
      </w:r>
      <w:r w:rsidR="00F63579">
        <w:rPr>
          <w:rFonts w:ascii="Arial" w:hAnsi="Arial"/>
        </w:rPr>
        <w:t xml:space="preserve"> remains an issue in the appeal</w:t>
      </w:r>
      <w:r w:rsidR="00A35E97">
        <w:rPr>
          <w:rFonts w:ascii="Arial" w:hAnsi="Arial"/>
        </w:rPr>
        <w:t>.</w:t>
      </w:r>
    </w:p>
    <w:p w:rsidR="009615D0" w:rsidRDefault="009615D0" w:rsidP="00B76BDF">
      <w:pPr>
        <w:pStyle w:val="ListParagraph"/>
        <w:spacing w:line="480" w:lineRule="auto"/>
        <w:ind w:left="0"/>
        <w:jc w:val="both"/>
        <w:rPr>
          <w:rFonts w:ascii="Arial" w:hAnsi="Arial"/>
        </w:rPr>
      </w:pPr>
    </w:p>
    <w:p w:rsidR="00117F41" w:rsidRPr="009615D0" w:rsidRDefault="00F63579" w:rsidP="00B76BDF">
      <w:pPr>
        <w:pStyle w:val="ListParagraph"/>
        <w:numPr>
          <w:ilvl w:val="0"/>
          <w:numId w:val="1"/>
        </w:numPr>
        <w:spacing w:line="480" w:lineRule="auto"/>
        <w:ind w:left="0" w:firstLine="0"/>
        <w:jc w:val="both"/>
        <w:rPr>
          <w:rFonts w:ascii="Arial" w:hAnsi="Arial"/>
        </w:rPr>
      </w:pPr>
      <w:r>
        <w:rPr>
          <w:rFonts w:ascii="Arial" w:hAnsi="Arial"/>
        </w:rPr>
        <w:t xml:space="preserve">The </w:t>
      </w:r>
      <w:r w:rsidR="00013C78">
        <w:rPr>
          <w:rFonts w:ascii="Arial" w:hAnsi="Arial"/>
        </w:rPr>
        <w:t>issues for this c</w:t>
      </w:r>
      <w:r w:rsidR="009615D0">
        <w:rPr>
          <w:rFonts w:ascii="Arial" w:hAnsi="Arial"/>
        </w:rPr>
        <w:t xml:space="preserve">ourt to determine are the following: </w:t>
      </w:r>
    </w:p>
    <w:p w:rsidR="00106D01" w:rsidRDefault="00106D01" w:rsidP="00B76BDF">
      <w:pPr>
        <w:pStyle w:val="ListParagraph"/>
        <w:spacing w:line="480" w:lineRule="auto"/>
        <w:ind w:left="1440"/>
        <w:jc w:val="both"/>
        <w:rPr>
          <w:rFonts w:ascii="Arial" w:hAnsi="Arial"/>
        </w:rPr>
      </w:pPr>
    </w:p>
    <w:p w:rsidR="007E3F4F" w:rsidRDefault="007E3F4F" w:rsidP="00A32D52">
      <w:pPr>
        <w:pStyle w:val="ListParagraph"/>
        <w:spacing w:line="480" w:lineRule="auto"/>
        <w:ind w:left="2160" w:hanging="720"/>
        <w:jc w:val="both"/>
        <w:rPr>
          <w:rFonts w:ascii="Arial" w:hAnsi="Arial"/>
        </w:rPr>
      </w:pPr>
      <w:r>
        <w:rPr>
          <w:rFonts w:ascii="Arial" w:hAnsi="Arial"/>
        </w:rPr>
        <w:t>(a)</w:t>
      </w:r>
      <w:r w:rsidR="00106D01">
        <w:rPr>
          <w:rFonts w:ascii="Arial" w:hAnsi="Arial"/>
        </w:rPr>
        <w:tab/>
      </w:r>
      <w:proofErr w:type="gramStart"/>
      <w:r>
        <w:rPr>
          <w:rFonts w:ascii="Arial" w:hAnsi="Arial"/>
        </w:rPr>
        <w:t>did</w:t>
      </w:r>
      <w:proofErr w:type="gramEnd"/>
      <w:r>
        <w:rPr>
          <w:rFonts w:ascii="Arial" w:hAnsi="Arial"/>
        </w:rPr>
        <w:t xml:space="preserve"> the Commission take valid decisions in terms of s 18 of the Act</w:t>
      </w:r>
      <w:r w:rsidR="00016924">
        <w:rPr>
          <w:rFonts w:ascii="Arial" w:hAnsi="Arial"/>
        </w:rPr>
        <w:t xml:space="preserve"> to institute an investigation into the conduct of </w:t>
      </w:r>
      <w:r w:rsidR="00106D01">
        <w:rPr>
          <w:rFonts w:ascii="Arial" w:hAnsi="Arial"/>
        </w:rPr>
        <w:t>a</w:t>
      </w:r>
      <w:r w:rsidR="00016924">
        <w:rPr>
          <w:rFonts w:ascii="Arial" w:hAnsi="Arial"/>
        </w:rPr>
        <w:t>ppellant</w:t>
      </w:r>
      <w:r>
        <w:rPr>
          <w:rFonts w:ascii="Arial" w:hAnsi="Arial"/>
        </w:rPr>
        <w:t>?</w:t>
      </w:r>
    </w:p>
    <w:p w:rsidR="00106D01" w:rsidRDefault="00106D01" w:rsidP="00B76BDF">
      <w:pPr>
        <w:pStyle w:val="ListParagraph"/>
        <w:spacing w:line="480" w:lineRule="auto"/>
        <w:ind w:left="1440"/>
        <w:jc w:val="both"/>
        <w:rPr>
          <w:rFonts w:ascii="Arial" w:hAnsi="Arial"/>
        </w:rPr>
      </w:pPr>
    </w:p>
    <w:p w:rsidR="007E3F4F" w:rsidRDefault="007E3F4F" w:rsidP="00A32D52">
      <w:pPr>
        <w:pStyle w:val="ListParagraph"/>
        <w:spacing w:line="480" w:lineRule="auto"/>
        <w:ind w:left="2160" w:hanging="720"/>
        <w:jc w:val="both"/>
        <w:rPr>
          <w:rFonts w:ascii="Arial" w:hAnsi="Arial"/>
        </w:rPr>
      </w:pPr>
      <w:r>
        <w:rPr>
          <w:rFonts w:ascii="Arial" w:hAnsi="Arial"/>
        </w:rPr>
        <w:t>(b)</w:t>
      </w:r>
      <w:r w:rsidR="00106D01">
        <w:rPr>
          <w:rFonts w:ascii="Arial" w:hAnsi="Arial"/>
        </w:rPr>
        <w:tab/>
      </w:r>
      <w:proofErr w:type="gramStart"/>
      <w:r>
        <w:rPr>
          <w:rFonts w:ascii="Arial" w:hAnsi="Arial"/>
        </w:rPr>
        <w:t>what</w:t>
      </w:r>
      <w:proofErr w:type="gramEnd"/>
      <w:r>
        <w:rPr>
          <w:rFonts w:ascii="Arial" w:hAnsi="Arial"/>
        </w:rPr>
        <w:t xml:space="preserve"> were the consequences of the High Court finding of fact that the Commission had used the power of arrest to further the interests of those engaged in a labour dispute with the NHE?</w:t>
      </w:r>
    </w:p>
    <w:p w:rsidR="000031E9" w:rsidRDefault="000031E9" w:rsidP="00B76BDF">
      <w:pPr>
        <w:pStyle w:val="ListParagraph"/>
        <w:spacing w:line="480" w:lineRule="auto"/>
        <w:ind w:left="0"/>
        <w:jc w:val="both"/>
        <w:rPr>
          <w:rFonts w:ascii="Arial" w:hAnsi="Arial"/>
        </w:rPr>
      </w:pPr>
    </w:p>
    <w:p w:rsidR="009E5D0E" w:rsidRPr="00A32D52" w:rsidRDefault="009E5D0E" w:rsidP="00B76BDF">
      <w:pPr>
        <w:pStyle w:val="ListParagraph"/>
        <w:spacing w:line="480" w:lineRule="auto"/>
        <w:ind w:left="0"/>
        <w:jc w:val="both"/>
        <w:rPr>
          <w:rFonts w:ascii="Arial" w:hAnsi="Arial"/>
          <w:u w:val="single"/>
        </w:rPr>
      </w:pPr>
      <w:r w:rsidRPr="00A32D52">
        <w:rPr>
          <w:rFonts w:ascii="Arial" w:hAnsi="Arial"/>
          <w:u w:val="single"/>
        </w:rPr>
        <w:t>The statutory role of the Commission</w:t>
      </w:r>
    </w:p>
    <w:p w:rsidR="00DC11AD" w:rsidRDefault="00627C6A" w:rsidP="00B76BDF">
      <w:pPr>
        <w:pStyle w:val="ListParagraph"/>
        <w:numPr>
          <w:ilvl w:val="0"/>
          <w:numId w:val="1"/>
        </w:numPr>
        <w:spacing w:line="480" w:lineRule="auto"/>
        <w:ind w:left="0" w:firstLine="0"/>
        <w:jc w:val="both"/>
        <w:rPr>
          <w:rFonts w:ascii="Arial" w:hAnsi="Arial"/>
        </w:rPr>
      </w:pPr>
      <w:r>
        <w:rPr>
          <w:rFonts w:ascii="Arial" w:hAnsi="Arial"/>
        </w:rPr>
        <w:t xml:space="preserve">This appeal raises important questions concerning the proper interpretation of s 18 of the Act, and it will be useful </w:t>
      </w:r>
      <w:r w:rsidR="00B601C7">
        <w:rPr>
          <w:rFonts w:ascii="Arial" w:hAnsi="Arial"/>
        </w:rPr>
        <w:t xml:space="preserve">before turning to the question how that section should be interpreted, to start </w:t>
      </w:r>
      <w:r w:rsidR="009615D0" w:rsidRPr="00627C6A">
        <w:rPr>
          <w:rFonts w:ascii="Arial" w:hAnsi="Arial"/>
        </w:rPr>
        <w:t xml:space="preserve">by considering the </w:t>
      </w:r>
      <w:r w:rsidR="009E5D0E">
        <w:rPr>
          <w:rFonts w:ascii="Arial" w:hAnsi="Arial"/>
        </w:rPr>
        <w:t>statutory role of the</w:t>
      </w:r>
      <w:r w:rsidR="00B601C7">
        <w:rPr>
          <w:rFonts w:ascii="Arial" w:hAnsi="Arial"/>
        </w:rPr>
        <w:t xml:space="preserve"> Commission</w:t>
      </w:r>
      <w:r w:rsidR="00013C78">
        <w:rPr>
          <w:rFonts w:ascii="Arial" w:hAnsi="Arial"/>
        </w:rPr>
        <w:t xml:space="preserve">. </w:t>
      </w:r>
      <w:r w:rsidR="009E5D0E">
        <w:rPr>
          <w:rFonts w:ascii="Arial" w:hAnsi="Arial"/>
        </w:rPr>
        <w:t xml:space="preserve">The long title of the Act states, in part, that it is </w:t>
      </w:r>
      <w:r w:rsidR="00F223CD">
        <w:rPr>
          <w:rFonts w:ascii="Arial" w:hAnsi="Arial"/>
        </w:rPr>
        <w:t>‘</w:t>
      </w:r>
      <w:r w:rsidR="009E5D0E">
        <w:rPr>
          <w:rFonts w:ascii="Arial" w:hAnsi="Arial"/>
        </w:rPr>
        <w:t>to establish the Anti-Corruption Commission and provide for its functions; to provide for the prevention and punishment of corruption</w:t>
      </w:r>
      <w:r w:rsidR="00F223CD">
        <w:rPr>
          <w:rFonts w:ascii="Arial" w:hAnsi="Arial"/>
        </w:rPr>
        <w:t xml:space="preserve"> . . . .</w:t>
      </w:r>
      <w:proofErr w:type="gramStart"/>
      <w:r w:rsidR="00F223CD">
        <w:rPr>
          <w:rFonts w:ascii="Arial" w:hAnsi="Arial"/>
        </w:rPr>
        <w:t>’</w:t>
      </w:r>
      <w:r w:rsidR="009E5D0E">
        <w:rPr>
          <w:rFonts w:ascii="Arial" w:hAnsi="Arial"/>
        </w:rPr>
        <w:t>.</w:t>
      </w:r>
      <w:proofErr w:type="gramEnd"/>
      <w:r w:rsidR="009E5D0E">
        <w:rPr>
          <w:rFonts w:ascii="Arial" w:hAnsi="Arial"/>
        </w:rPr>
        <w:t xml:space="preserve">  Section 2 provides that the Commission shall be </w:t>
      </w:r>
      <w:r w:rsidR="00F223CD">
        <w:rPr>
          <w:rFonts w:ascii="Arial" w:hAnsi="Arial"/>
        </w:rPr>
        <w:t>‘</w:t>
      </w:r>
      <w:r w:rsidR="009E5D0E">
        <w:rPr>
          <w:rFonts w:ascii="Arial" w:hAnsi="Arial"/>
        </w:rPr>
        <w:t>an independent and impartial body</w:t>
      </w:r>
      <w:r w:rsidR="00F223CD">
        <w:rPr>
          <w:rFonts w:ascii="Arial" w:hAnsi="Arial"/>
        </w:rPr>
        <w:t>’</w:t>
      </w:r>
      <w:r w:rsidR="009E5D0E">
        <w:rPr>
          <w:rFonts w:ascii="Arial" w:hAnsi="Arial"/>
        </w:rPr>
        <w:t xml:space="preserve"> consisting of a Director, Deputy Director and other staff members.  </w:t>
      </w:r>
      <w:r w:rsidR="00DC11AD">
        <w:rPr>
          <w:rFonts w:ascii="Arial" w:hAnsi="Arial"/>
        </w:rPr>
        <w:t>The Director and Deputy Director are nominated by the President, and appointed by the National Assembly.</w:t>
      </w:r>
      <w:r w:rsidR="00DC11AD">
        <w:rPr>
          <w:rStyle w:val="FootnoteReference"/>
          <w:rFonts w:ascii="Arial" w:hAnsi="Arial"/>
        </w:rPr>
        <w:footnoteReference w:id="9"/>
      </w:r>
      <w:r w:rsidR="00DC11AD">
        <w:rPr>
          <w:rFonts w:ascii="Arial" w:hAnsi="Arial"/>
        </w:rPr>
        <w:t xml:space="preserve">  The Director and Deputy Director must be of </w:t>
      </w:r>
      <w:r w:rsidR="00F223CD">
        <w:rPr>
          <w:rFonts w:ascii="Arial" w:hAnsi="Arial"/>
        </w:rPr>
        <w:t>‘</w:t>
      </w:r>
      <w:r w:rsidR="00DC11AD">
        <w:rPr>
          <w:rFonts w:ascii="Arial" w:hAnsi="Arial"/>
        </w:rPr>
        <w:t>good character</w:t>
      </w:r>
      <w:r w:rsidR="00F223CD">
        <w:rPr>
          <w:rFonts w:ascii="Arial" w:hAnsi="Arial"/>
        </w:rPr>
        <w:t>’</w:t>
      </w:r>
      <w:r w:rsidR="00DC11AD">
        <w:rPr>
          <w:rFonts w:ascii="Arial" w:hAnsi="Arial"/>
        </w:rPr>
        <w:t xml:space="preserve"> and </w:t>
      </w:r>
      <w:r w:rsidR="00F223CD">
        <w:rPr>
          <w:rFonts w:ascii="Arial" w:hAnsi="Arial"/>
        </w:rPr>
        <w:t>‘</w:t>
      </w:r>
      <w:r w:rsidR="00DC11AD">
        <w:rPr>
          <w:rFonts w:ascii="Arial" w:hAnsi="Arial"/>
        </w:rPr>
        <w:t>high integrity</w:t>
      </w:r>
      <w:r w:rsidR="00F223CD">
        <w:rPr>
          <w:rFonts w:ascii="Arial" w:hAnsi="Arial"/>
        </w:rPr>
        <w:t>’</w:t>
      </w:r>
      <w:r w:rsidR="00DC11AD">
        <w:rPr>
          <w:rFonts w:ascii="Arial" w:hAnsi="Arial"/>
        </w:rPr>
        <w:t xml:space="preserve"> and possess knowledge or experience relevant to the functions of the Commission.</w:t>
      </w:r>
      <w:r w:rsidR="00DC11AD">
        <w:rPr>
          <w:rStyle w:val="FootnoteReference"/>
          <w:rFonts w:ascii="Arial" w:hAnsi="Arial"/>
        </w:rPr>
        <w:footnoteReference w:id="10"/>
      </w:r>
    </w:p>
    <w:p w:rsidR="00DC11AD" w:rsidRDefault="00DC11AD" w:rsidP="00B76BDF">
      <w:pPr>
        <w:pStyle w:val="ListParagraph"/>
        <w:spacing w:line="480" w:lineRule="auto"/>
        <w:ind w:left="0"/>
        <w:jc w:val="both"/>
        <w:rPr>
          <w:rFonts w:ascii="Arial" w:hAnsi="Arial"/>
        </w:rPr>
      </w:pPr>
    </w:p>
    <w:p w:rsidR="009615D0" w:rsidRDefault="009E5D0E" w:rsidP="00B76BDF">
      <w:pPr>
        <w:pStyle w:val="ListParagraph"/>
        <w:numPr>
          <w:ilvl w:val="0"/>
          <w:numId w:val="1"/>
        </w:numPr>
        <w:spacing w:line="480" w:lineRule="auto"/>
        <w:ind w:left="0" w:firstLine="0"/>
        <w:jc w:val="both"/>
        <w:rPr>
          <w:rFonts w:ascii="Arial" w:hAnsi="Arial"/>
        </w:rPr>
      </w:pPr>
      <w:r>
        <w:rPr>
          <w:rFonts w:ascii="Arial" w:hAnsi="Arial"/>
        </w:rPr>
        <w:t xml:space="preserve">The functions of the </w:t>
      </w:r>
      <w:r w:rsidR="00132D76">
        <w:rPr>
          <w:rFonts w:ascii="Arial" w:hAnsi="Arial"/>
        </w:rPr>
        <w:t>Commission</w:t>
      </w:r>
      <w:r>
        <w:rPr>
          <w:rFonts w:ascii="Arial" w:hAnsi="Arial"/>
        </w:rPr>
        <w:t xml:space="preserve"> are set out in s 3 of the Act. They include receiving or </w:t>
      </w:r>
      <w:r w:rsidR="00132D76">
        <w:rPr>
          <w:rFonts w:ascii="Arial" w:hAnsi="Arial"/>
        </w:rPr>
        <w:t>initiating</w:t>
      </w:r>
      <w:r>
        <w:rPr>
          <w:rFonts w:ascii="Arial" w:hAnsi="Arial"/>
        </w:rPr>
        <w:t xml:space="preserve"> </w:t>
      </w:r>
      <w:r w:rsidR="0069752C">
        <w:rPr>
          <w:rFonts w:ascii="Arial" w:hAnsi="Arial"/>
        </w:rPr>
        <w:t xml:space="preserve">as well as </w:t>
      </w:r>
      <w:r>
        <w:rPr>
          <w:rFonts w:ascii="Arial" w:hAnsi="Arial"/>
        </w:rPr>
        <w:t>investigating allegations of corrupt practices;</w:t>
      </w:r>
      <w:r>
        <w:rPr>
          <w:rStyle w:val="FootnoteReference"/>
          <w:rFonts w:ascii="Arial" w:hAnsi="Arial"/>
        </w:rPr>
        <w:footnoteReference w:id="11"/>
      </w:r>
      <w:r w:rsidR="00132D76">
        <w:rPr>
          <w:rFonts w:ascii="Arial" w:hAnsi="Arial"/>
        </w:rPr>
        <w:t xml:space="preserve"> </w:t>
      </w:r>
      <w:r w:rsidR="00F223CD">
        <w:rPr>
          <w:rFonts w:ascii="Arial" w:hAnsi="Arial"/>
        </w:rPr>
        <w:t>‘</w:t>
      </w:r>
      <w:r w:rsidR="00132D76">
        <w:rPr>
          <w:rFonts w:ascii="Arial" w:hAnsi="Arial"/>
        </w:rPr>
        <w:t>considering whether an investigation is needed in relation to an allegation and, if so, whether the investigation must be carried out by the Commission or whether the ma</w:t>
      </w:r>
      <w:r w:rsidR="0069752C">
        <w:rPr>
          <w:rFonts w:ascii="Arial" w:hAnsi="Arial"/>
        </w:rPr>
        <w:t>t</w:t>
      </w:r>
      <w:r w:rsidR="00132D76">
        <w:rPr>
          <w:rFonts w:ascii="Arial" w:hAnsi="Arial"/>
        </w:rPr>
        <w:t>ter should be referred to any other appropriate authority for investigation or action</w:t>
      </w:r>
      <w:r w:rsidR="00F223CD">
        <w:rPr>
          <w:rFonts w:ascii="Arial" w:hAnsi="Arial"/>
        </w:rPr>
        <w:t>’</w:t>
      </w:r>
      <w:r w:rsidR="00132D76">
        <w:rPr>
          <w:rFonts w:ascii="Arial" w:hAnsi="Arial"/>
        </w:rPr>
        <w:t>;</w:t>
      </w:r>
      <w:r w:rsidR="00DF4A5C">
        <w:rPr>
          <w:rStyle w:val="FootnoteReference"/>
          <w:rFonts w:ascii="Arial" w:hAnsi="Arial"/>
        </w:rPr>
        <w:footnoteReference w:id="12"/>
      </w:r>
      <w:r w:rsidR="00132D76">
        <w:rPr>
          <w:rFonts w:ascii="Arial" w:hAnsi="Arial"/>
        </w:rPr>
        <w:t xml:space="preserve"> </w:t>
      </w:r>
      <w:r w:rsidR="00DC11AD">
        <w:rPr>
          <w:rFonts w:ascii="Arial" w:hAnsi="Arial"/>
        </w:rPr>
        <w:t>consulting, co-operating and exchanging information with appropriate bodies in relation to corrupt practices;</w:t>
      </w:r>
      <w:r w:rsidR="00DC11AD">
        <w:rPr>
          <w:rStyle w:val="FootnoteReference"/>
          <w:rFonts w:ascii="Arial" w:hAnsi="Arial"/>
        </w:rPr>
        <w:footnoteReference w:id="13"/>
      </w:r>
      <w:r w:rsidR="00DC11AD">
        <w:rPr>
          <w:rFonts w:ascii="Arial" w:hAnsi="Arial"/>
        </w:rPr>
        <w:t xml:space="preserve"> investigating conduct which may be connected with or conducive to corrupt practices;</w:t>
      </w:r>
      <w:r w:rsidR="00DC11AD">
        <w:rPr>
          <w:rStyle w:val="FootnoteReference"/>
          <w:rFonts w:ascii="Arial" w:hAnsi="Arial"/>
        </w:rPr>
        <w:footnoteReference w:id="14"/>
      </w:r>
      <w:r w:rsidR="00DC11AD">
        <w:rPr>
          <w:rFonts w:ascii="Arial" w:hAnsi="Arial"/>
        </w:rPr>
        <w:t xml:space="preserve"> taking measures for the prevention of corruption;</w:t>
      </w:r>
      <w:r w:rsidR="00DC11AD">
        <w:rPr>
          <w:rStyle w:val="FootnoteReference"/>
          <w:rFonts w:ascii="Arial" w:hAnsi="Arial"/>
        </w:rPr>
        <w:footnoteReference w:id="15"/>
      </w:r>
      <w:r w:rsidR="00DC11AD">
        <w:rPr>
          <w:rFonts w:ascii="Arial" w:hAnsi="Arial"/>
        </w:rPr>
        <w:t xml:space="preserve"> and disseminating information to the public about the functions of the Commission.</w:t>
      </w:r>
      <w:r w:rsidR="00DC11AD">
        <w:rPr>
          <w:rStyle w:val="FootnoteReference"/>
          <w:rFonts w:ascii="Arial" w:hAnsi="Arial"/>
        </w:rPr>
        <w:footnoteReference w:id="16"/>
      </w:r>
    </w:p>
    <w:p w:rsidR="00DC11AD" w:rsidRPr="00627C6A" w:rsidRDefault="00DC11AD" w:rsidP="00B76BDF">
      <w:pPr>
        <w:pStyle w:val="ListParagraph"/>
        <w:spacing w:line="480" w:lineRule="auto"/>
        <w:ind w:left="0"/>
        <w:jc w:val="both"/>
        <w:rPr>
          <w:rFonts w:ascii="Arial" w:hAnsi="Arial"/>
        </w:rPr>
      </w:pPr>
    </w:p>
    <w:p w:rsidR="009615D0" w:rsidRDefault="0069752C" w:rsidP="00B76BDF">
      <w:pPr>
        <w:pStyle w:val="ListParagraph"/>
        <w:numPr>
          <w:ilvl w:val="0"/>
          <w:numId w:val="1"/>
        </w:numPr>
        <w:spacing w:line="480" w:lineRule="auto"/>
        <w:ind w:left="0" w:firstLine="0"/>
        <w:jc w:val="both"/>
        <w:rPr>
          <w:rFonts w:ascii="Arial" w:hAnsi="Arial"/>
        </w:rPr>
      </w:pPr>
      <w:r>
        <w:rPr>
          <w:rFonts w:ascii="Arial" w:hAnsi="Arial"/>
        </w:rPr>
        <w:t xml:space="preserve">The powers of the Commission are set out in </w:t>
      </w:r>
      <w:r w:rsidR="00CE4EEF">
        <w:rPr>
          <w:rFonts w:ascii="Arial" w:hAnsi="Arial"/>
        </w:rPr>
        <w:t>C</w:t>
      </w:r>
      <w:r>
        <w:rPr>
          <w:rFonts w:ascii="Arial" w:hAnsi="Arial"/>
        </w:rPr>
        <w:t>hapter 3 of the Act, and include powers of search and seizure,</w:t>
      </w:r>
      <w:r>
        <w:rPr>
          <w:rStyle w:val="FootnoteReference"/>
          <w:rFonts w:ascii="Arial" w:hAnsi="Arial"/>
        </w:rPr>
        <w:footnoteReference w:id="17"/>
      </w:r>
      <w:r>
        <w:rPr>
          <w:rFonts w:ascii="Arial" w:hAnsi="Arial"/>
        </w:rPr>
        <w:t xml:space="preserve"> the power to require a person to furnish certain information in writing,</w:t>
      </w:r>
      <w:r>
        <w:rPr>
          <w:rStyle w:val="FootnoteReference"/>
          <w:rFonts w:ascii="Arial" w:hAnsi="Arial"/>
        </w:rPr>
        <w:footnoteReference w:id="18"/>
      </w:r>
      <w:r>
        <w:rPr>
          <w:rFonts w:ascii="Arial" w:hAnsi="Arial"/>
        </w:rPr>
        <w:t xml:space="preserve"> the power to require access to bank accounts,</w:t>
      </w:r>
      <w:r>
        <w:rPr>
          <w:rStyle w:val="FootnoteReference"/>
          <w:rFonts w:ascii="Arial" w:hAnsi="Arial"/>
        </w:rPr>
        <w:footnoteReference w:id="19"/>
      </w:r>
      <w:r>
        <w:rPr>
          <w:rFonts w:ascii="Arial" w:hAnsi="Arial"/>
        </w:rPr>
        <w:t xml:space="preserve"> and the power to arrest persons without a warrant in certain circumstances.</w:t>
      </w:r>
      <w:r>
        <w:rPr>
          <w:rStyle w:val="FootnoteReference"/>
          <w:rFonts w:ascii="Arial" w:hAnsi="Arial"/>
        </w:rPr>
        <w:footnoteReference w:id="20"/>
      </w:r>
      <w:r>
        <w:rPr>
          <w:rFonts w:ascii="Arial" w:hAnsi="Arial"/>
        </w:rPr>
        <w:t xml:space="preserve">  These are substantial powers. As Damaseb JP observed in his judgment in this matter in the High Court: </w:t>
      </w:r>
    </w:p>
    <w:p w:rsidR="00B601C7" w:rsidRDefault="00B601C7" w:rsidP="00B76BDF">
      <w:pPr>
        <w:pStyle w:val="ListParagraph"/>
        <w:spacing w:line="480" w:lineRule="auto"/>
        <w:ind w:left="1440"/>
        <w:jc w:val="both"/>
        <w:rPr>
          <w:rFonts w:ascii="Arial" w:hAnsi="Arial"/>
        </w:rPr>
      </w:pPr>
    </w:p>
    <w:p w:rsidR="0069752C" w:rsidRPr="00A32D52" w:rsidRDefault="00F223CD" w:rsidP="00A32D52">
      <w:pPr>
        <w:spacing w:line="360" w:lineRule="auto"/>
        <w:ind w:left="720"/>
        <w:jc w:val="both"/>
        <w:rPr>
          <w:rFonts w:ascii="Arial" w:hAnsi="Arial"/>
          <w:sz w:val="22"/>
          <w:szCs w:val="22"/>
        </w:rPr>
      </w:pPr>
      <w:r w:rsidRPr="00A32D52">
        <w:rPr>
          <w:rFonts w:ascii="Arial" w:hAnsi="Arial"/>
          <w:sz w:val="22"/>
          <w:szCs w:val="22"/>
        </w:rPr>
        <w:t>‘</w:t>
      </w:r>
      <w:r w:rsidR="00B601C7" w:rsidRPr="00A32D52">
        <w:rPr>
          <w:rFonts w:ascii="Arial" w:hAnsi="Arial"/>
          <w:sz w:val="22"/>
          <w:szCs w:val="22"/>
        </w:rPr>
        <w:t xml:space="preserve">The exercise of those powers has far-reaching implications for a person’s liberty, dignity, reputation and even livelihood and </w:t>
      </w:r>
      <w:r w:rsidRPr="00A32D52">
        <w:rPr>
          <w:rFonts w:ascii="Arial" w:hAnsi="Arial"/>
          <w:sz w:val="22"/>
          <w:szCs w:val="22"/>
        </w:rPr>
        <w:t>(</w:t>
      </w:r>
      <w:r w:rsidR="00B601C7" w:rsidRPr="00A32D52">
        <w:rPr>
          <w:rFonts w:ascii="Arial" w:hAnsi="Arial"/>
          <w:sz w:val="22"/>
          <w:szCs w:val="22"/>
        </w:rPr>
        <w:t>they</w:t>
      </w:r>
      <w:r w:rsidRPr="00A32D52">
        <w:rPr>
          <w:rFonts w:ascii="Arial" w:hAnsi="Arial"/>
          <w:sz w:val="22"/>
          <w:szCs w:val="22"/>
        </w:rPr>
        <w:t>)</w:t>
      </w:r>
      <w:r w:rsidR="00B601C7" w:rsidRPr="00A32D52">
        <w:rPr>
          <w:rFonts w:ascii="Arial" w:hAnsi="Arial"/>
          <w:sz w:val="22"/>
          <w:szCs w:val="22"/>
        </w:rPr>
        <w:t xml:space="preserve"> must be exercised in good faith and for substantial reasons; certainly not in order to strengthen the hand of one person against another in their pursuit of civil, commercial or labour disputes against the person whose conduct is the subject of investigation and criminal prosecution by the law enforcement agencies.</w:t>
      </w:r>
      <w:r w:rsidRPr="00A32D52">
        <w:rPr>
          <w:rFonts w:ascii="Arial" w:hAnsi="Arial"/>
          <w:sz w:val="22"/>
          <w:szCs w:val="22"/>
        </w:rPr>
        <w:t>’</w:t>
      </w:r>
      <w:r w:rsidR="00B601C7" w:rsidRPr="00A32D52">
        <w:rPr>
          <w:rStyle w:val="FootnoteReference"/>
          <w:rFonts w:ascii="Arial" w:hAnsi="Arial"/>
          <w:sz w:val="22"/>
          <w:szCs w:val="22"/>
        </w:rPr>
        <w:footnoteReference w:id="21"/>
      </w:r>
    </w:p>
    <w:p w:rsidR="00B601C7" w:rsidRDefault="00B601C7" w:rsidP="00B76BDF">
      <w:pPr>
        <w:pStyle w:val="ListParagraph"/>
        <w:spacing w:line="480" w:lineRule="auto"/>
        <w:ind w:left="0"/>
        <w:jc w:val="both"/>
        <w:rPr>
          <w:rFonts w:ascii="Arial" w:hAnsi="Arial"/>
        </w:rPr>
      </w:pPr>
    </w:p>
    <w:p w:rsidR="00B601C7" w:rsidRPr="00A32D52" w:rsidRDefault="00B601C7" w:rsidP="00B76BDF">
      <w:pPr>
        <w:pStyle w:val="ListParagraph"/>
        <w:spacing w:line="480" w:lineRule="auto"/>
        <w:ind w:left="0"/>
        <w:jc w:val="both"/>
        <w:rPr>
          <w:rFonts w:ascii="Arial" w:hAnsi="Arial"/>
          <w:u w:val="single"/>
        </w:rPr>
      </w:pPr>
      <w:r w:rsidRPr="00A32D52">
        <w:rPr>
          <w:rFonts w:ascii="Arial" w:hAnsi="Arial"/>
          <w:u w:val="single"/>
        </w:rPr>
        <w:t>The interpretation of s 18</w:t>
      </w:r>
    </w:p>
    <w:p w:rsidR="00B601C7" w:rsidRDefault="00B601C7" w:rsidP="00B76BDF">
      <w:pPr>
        <w:pStyle w:val="ListParagraph"/>
        <w:numPr>
          <w:ilvl w:val="0"/>
          <w:numId w:val="1"/>
        </w:numPr>
        <w:spacing w:line="480" w:lineRule="auto"/>
        <w:ind w:left="0" w:firstLine="0"/>
        <w:jc w:val="both"/>
        <w:rPr>
          <w:rFonts w:ascii="Arial" w:hAnsi="Arial"/>
        </w:rPr>
      </w:pPr>
      <w:r>
        <w:rPr>
          <w:rFonts w:ascii="Arial" w:hAnsi="Arial"/>
        </w:rPr>
        <w:t xml:space="preserve">Core to </w:t>
      </w:r>
      <w:r w:rsidR="00F223CD">
        <w:rPr>
          <w:rFonts w:ascii="Arial" w:hAnsi="Arial"/>
        </w:rPr>
        <w:t>a</w:t>
      </w:r>
      <w:r>
        <w:rPr>
          <w:rFonts w:ascii="Arial" w:hAnsi="Arial"/>
        </w:rPr>
        <w:t>ppellant’s case is his argument that the Commission did not take proper decisions within the meaning of s 18(1</w:t>
      </w:r>
      <w:proofErr w:type="gramStart"/>
      <w:r>
        <w:rPr>
          <w:rFonts w:ascii="Arial" w:hAnsi="Arial"/>
        </w:rPr>
        <w:t>)</w:t>
      </w:r>
      <w:r w:rsidRPr="00A32D52">
        <w:rPr>
          <w:rFonts w:ascii="Arial" w:hAnsi="Arial"/>
          <w:i/>
        </w:rPr>
        <w:t>(</w:t>
      </w:r>
      <w:proofErr w:type="gramEnd"/>
      <w:r w:rsidRPr="00A32D52">
        <w:rPr>
          <w:rFonts w:ascii="Arial" w:hAnsi="Arial"/>
          <w:i/>
        </w:rPr>
        <w:t>b)</w:t>
      </w:r>
      <w:r>
        <w:rPr>
          <w:rFonts w:ascii="Arial" w:hAnsi="Arial"/>
        </w:rPr>
        <w:t xml:space="preserve"> and 18(3)</w:t>
      </w:r>
      <w:r w:rsidR="00016924">
        <w:rPr>
          <w:rFonts w:ascii="Arial" w:hAnsi="Arial"/>
        </w:rPr>
        <w:t xml:space="preserve"> prior to instituting an investigation into his conduct</w:t>
      </w:r>
      <w:r w:rsidR="00C629D7">
        <w:rPr>
          <w:rFonts w:ascii="Arial" w:hAnsi="Arial"/>
        </w:rPr>
        <w:t xml:space="preserve">. </w:t>
      </w:r>
      <w:r>
        <w:rPr>
          <w:rFonts w:ascii="Arial" w:hAnsi="Arial"/>
        </w:rPr>
        <w:t>In particular,</w:t>
      </w:r>
      <w:r w:rsidR="00C629D7">
        <w:rPr>
          <w:rFonts w:ascii="Arial" w:hAnsi="Arial"/>
        </w:rPr>
        <w:t xml:space="preserve"> a</w:t>
      </w:r>
      <w:r>
        <w:rPr>
          <w:rFonts w:ascii="Arial" w:hAnsi="Arial"/>
        </w:rPr>
        <w:t xml:space="preserve">ppellant argues that the Commission bears a duty to establish that it properly took into account the considerations mentioned in s 18(2) before deciding whether to proceed with an investigation of </w:t>
      </w:r>
      <w:r w:rsidR="00F223CD">
        <w:rPr>
          <w:rFonts w:ascii="Arial" w:hAnsi="Arial"/>
        </w:rPr>
        <w:t>a</w:t>
      </w:r>
      <w:r>
        <w:rPr>
          <w:rFonts w:ascii="Arial" w:hAnsi="Arial"/>
        </w:rPr>
        <w:t xml:space="preserve">ppellant’s conduct. </w:t>
      </w:r>
      <w:r w:rsidR="00016924">
        <w:rPr>
          <w:rFonts w:ascii="Arial" w:hAnsi="Arial"/>
        </w:rPr>
        <w:t>Appellant argues that proper decisions in terms of s 18(1</w:t>
      </w:r>
      <w:proofErr w:type="gramStart"/>
      <w:r w:rsidR="00016924">
        <w:rPr>
          <w:rFonts w:ascii="Arial" w:hAnsi="Arial"/>
        </w:rPr>
        <w:t>)</w:t>
      </w:r>
      <w:r w:rsidR="00016924" w:rsidRPr="00A32D52">
        <w:rPr>
          <w:rFonts w:ascii="Arial" w:hAnsi="Arial"/>
          <w:i/>
        </w:rPr>
        <w:t>(</w:t>
      </w:r>
      <w:proofErr w:type="gramEnd"/>
      <w:r w:rsidR="00016924" w:rsidRPr="00A32D52">
        <w:rPr>
          <w:rFonts w:ascii="Arial" w:hAnsi="Arial"/>
          <w:i/>
        </w:rPr>
        <w:t>b)</w:t>
      </w:r>
      <w:r w:rsidR="00016924">
        <w:rPr>
          <w:rFonts w:ascii="Arial" w:hAnsi="Arial"/>
        </w:rPr>
        <w:t xml:space="preserve"> and 18(3) are therefore jurisdictional facts that must exist before an investigation may commence.</w:t>
      </w:r>
    </w:p>
    <w:p w:rsidR="00B601C7" w:rsidRDefault="00B601C7" w:rsidP="00B76BDF">
      <w:pPr>
        <w:pStyle w:val="ListParagraph"/>
        <w:spacing w:line="480" w:lineRule="auto"/>
        <w:ind w:left="0"/>
        <w:jc w:val="both"/>
        <w:rPr>
          <w:rFonts w:ascii="Arial" w:hAnsi="Arial"/>
        </w:rPr>
      </w:pPr>
    </w:p>
    <w:p w:rsidR="00A146E8" w:rsidRDefault="00B601C7" w:rsidP="00B76BDF">
      <w:pPr>
        <w:pStyle w:val="ListParagraph"/>
        <w:numPr>
          <w:ilvl w:val="0"/>
          <w:numId w:val="1"/>
        </w:numPr>
        <w:spacing w:line="480" w:lineRule="auto"/>
        <w:ind w:left="0" w:firstLine="0"/>
        <w:jc w:val="both"/>
        <w:rPr>
          <w:rFonts w:ascii="Arial" w:hAnsi="Arial"/>
        </w:rPr>
      </w:pPr>
      <w:r>
        <w:rPr>
          <w:rFonts w:ascii="Arial" w:hAnsi="Arial"/>
        </w:rPr>
        <w:t xml:space="preserve">It </w:t>
      </w:r>
      <w:r w:rsidR="003F1A6C">
        <w:rPr>
          <w:rFonts w:ascii="Arial" w:hAnsi="Arial"/>
        </w:rPr>
        <w:t xml:space="preserve">  </w:t>
      </w:r>
      <w:proofErr w:type="gramStart"/>
      <w:r>
        <w:rPr>
          <w:rFonts w:ascii="Arial" w:hAnsi="Arial"/>
        </w:rPr>
        <w:t xml:space="preserve">is </w:t>
      </w:r>
      <w:r w:rsidR="003F1A6C">
        <w:rPr>
          <w:rFonts w:ascii="Arial" w:hAnsi="Arial"/>
        </w:rPr>
        <w:t xml:space="preserve"> </w:t>
      </w:r>
      <w:r>
        <w:rPr>
          <w:rFonts w:ascii="Arial" w:hAnsi="Arial"/>
        </w:rPr>
        <w:t>clear</w:t>
      </w:r>
      <w:proofErr w:type="gramEnd"/>
      <w:r>
        <w:rPr>
          <w:rFonts w:ascii="Arial" w:hAnsi="Arial"/>
        </w:rPr>
        <w:t xml:space="preserve"> that once the </w:t>
      </w:r>
      <w:r w:rsidR="00A146E8">
        <w:rPr>
          <w:rFonts w:ascii="Arial" w:hAnsi="Arial"/>
        </w:rPr>
        <w:t>Commission</w:t>
      </w:r>
      <w:r>
        <w:rPr>
          <w:rFonts w:ascii="Arial" w:hAnsi="Arial"/>
        </w:rPr>
        <w:t xml:space="preserve"> receives information </w:t>
      </w:r>
      <w:r w:rsidR="00A146E8">
        <w:rPr>
          <w:rFonts w:ascii="Arial" w:hAnsi="Arial"/>
        </w:rPr>
        <w:t xml:space="preserve">in terms of </w:t>
      </w:r>
      <w:r w:rsidR="003F1A6C">
        <w:rPr>
          <w:rFonts w:ascii="Arial" w:hAnsi="Arial"/>
        </w:rPr>
        <w:t xml:space="preserve">  </w:t>
      </w:r>
      <w:r w:rsidR="00A146E8">
        <w:rPr>
          <w:rFonts w:ascii="Arial" w:hAnsi="Arial"/>
        </w:rPr>
        <w:t xml:space="preserve">s 17 of the Act, it must </w:t>
      </w:r>
      <w:r w:rsidR="00F223CD">
        <w:rPr>
          <w:rFonts w:ascii="Arial" w:hAnsi="Arial"/>
        </w:rPr>
        <w:t>‘</w:t>
      </w:r>
      <w:r w:rsidR="00A146E8">
        <w:rPr>
          <w:rFonts w:ascii="Arial" w:hAnsi="Arial"/>
        </w:rPr>
        <w:t>examine each alleged corrupt practice and decide whether or not an investigation in relation to the allegation is warranted on reasonable grounds</w:t>
      </w:r>
      <w:r w:rsidR="00F223CD">
        <w:rPr>
          <w:rFonts w:ascii="Arial" w:hAnsi="Arial"/>
        </w:rPr>
        <w:t>’</w:t>
      </w:r>
      <w:r w:rsidR="00A146E8">
        <w:rPr>
          <w:rFonts w:ascii="Arial" w:hAnsi="Arial"/>
        </w:rPr>
        <w:t>.</w:t>
      </w:r>
      <w:r w:rsidR="00A146E8">
        <w:rPr>
          <w:rStyle w:val="FootnoteReference"/>
          <w:rFonts w:ascii="Arial" w:hAnsi="Arial"/>
        </w:rPr>
        <w:footnoteReference w:id="22"/>
      </w:r>
      <w:r w:rsidR="00C629D7">
        <w:rPr>
          <w:rFonts w:ascii="Arial" w:hAnsi="Arial"/>
        </w:rPr>
        <w:t xml:space="preserve"> </w:t>
      </w:r>
      <w:r w:rsidR="00A146E8">
        <w:rPr>
          <w:rFonts w:ascii="Arial" w:hAnsi="Arial"/>
        </w:rPr>
        <w:t>Section 18(2) then elaborates that when deciding whether an investigation is warranted, the Commission</w:t>
      </w:r>
      <w:r>
        <w:rPr>
          <w:rFonts w:ascii="Arial" w:hAnsi="Arial"/>
        </w:rPr>
        <w:t xml:space="preserve"> </w:t>
      </w:r>
      <w:r w:rsidR="00A146E8">
        <w:rPr>
          <w:rFonts w:ascii="Arial" w:hAnsi="Arial"/>
        </w:rPr>
        <w:t>may consider the seriousness of the conduct to which the allegation relates, whether the allegation is frivolous, vexatious or made in goo</w:t>
      </w:r>
      <w:r w:rsidR="00DE7666">
        <w:rPr>
          <w:rFonts w:ascii="Arial" w:hAnsi="Arial"/>
        </w:rPr>
        <w:t>d faith, whether the allegation</w:t>
      </w:r>
      <w:r w:rsidR="00A146E8">
        <w:rPr>
          <w:rFonts w:ascii="Arial" w:hAnsi="Arial"/>
        </w:rPr>
        <w:t xml:space="preserve"> is being or has been investigated by any other body, and whether an investigation would be justified and in the public interest.</w:t>
      </w:r>
      <w:r w:rsidR="00A146E8">
        <w:rPr>
          <w:rStyle w:val="FootnoteReference"/>
          <w:rFonts w:ascii="Arial" w:hAnsi="Arial"/>
        </w:rPr>
        <w:footnoteReference w:id="23"/>
      </w:r>
      <w:r w:rsidR="00A146E8">
        <w:rPr>
          <w:rFonts w:ascii="Arial" w:hAnsi="Arial"/>
        </w:rPr>
        <w:t xml:space="preserve">   </w:t>
      </w:r>
    </w:p>
    <w:p w:rsidR="00A146E8" w:rsidRDefault="00A146E8" w:rsidP="00B76BDF">
      <w:pPr>
        <w:pStyle w:val="ListParagraph"/>
        <w:spacing w:line="480" w:lineRule="auto"/>
        <w:ind w:left="0"/>
        <w:jc w:val="both"/>
        <w:rPr>
          <w:rFonts w:ascii="Arial" w:hAnsi="Arial"/>
        </w:rPr>
      </w:pPr>
    </w:p>
    <w:p w:rsidR="002E3339" w:rsidRDefault="00A146E8" w:rsidP="00B76BDF">
      <w:pPr>
        <w:pStyle w:val="ListParagraph"/>
        <w:numPr>
          <w:ilvl w:val="0"/>
          <w:numId w:val="1"/>
        </w:numPr>
        <w:spacing w:line="480" w:lineRule="auto"/>
        <w:ind w:left="0" w:firstLine="0"/>
        <w:jc w:val="both"/>
        <w:rPr>
          <w:rFonts w:ascii="Arial" w:hAnsi="Arial"/>
        </w:rPr>
      </w:pPr>
      <w:r>
        <w:rPr>
          <w:rFonts w:ascii="Arial" w:hAnsi="Arial"/>
        </w:rPr>
        <w:t xml:space="preserve">Appellant argues that </w:t>
      </w:r>
      <w:r w:rsidR="002E3339">
        <w:rPr>
          <w:rFonts w:ascii="Arial" w:hAnsi="Arial"/>
        </w:rPr>
        <w:t>the Commission is obliged to take</w:t>
      </w:r>
      <w:r>
        <w:rPr>
          <w:rFonts w:ascii="Arial" w:hAnsi="Arial"/>
        </w:rPr>
        <w:t xml:space="preserve"> into account all four of the considerations specified in s</w:t>
      </w:r>
      <w:r w:rsidR="002E3339">
        <w:rPr>
          <w:rFonts w:ascii="Arial" w:hAnsi="Arial"/>
        </w:rPr>
        <w:t xml:space="preserve"> 18(2) before deciding whether an investigation is warranted</w:t>
      </w:r>
      <w:r>
        <w:rPr>
          <w:rFonts w:ascii="Arial" w:hAnsi="Arial"/>
        </w:rPr>
        <w:t xml:space="preserve">, while </w:t>
      </w:r>
      <w:r w:rsidR="00F223CD">
        <w:rPr>
          <w:rFonts w:ascii="Arial" w:hAnsi="Arial"/>
        </w:rPr>
        <w:t>r</w:t>
      </w:r>
      <w:r>
        <w:rPr>
          <w:rFonts w:ascii="Arial" w:hAnsi="Arial"/>
        </w:rPr>
        <w:t xml:space="preserve">espondents argue that because s 18(2) commences with the verb </w:t>
      </w:r>
      <w:r w:rsidR="00F223CD">
        <w:rPr>
          <w:rFonts w:ascii="Arial" w:hAnsi="Arial"/>
        </w:rPr>
        <w:t>‘</w:t>
      </w:r>
      <w:r>
        <w:rPr>
          <w:rFonts w:ascii="Arial" w:hAnsi="Arial"/>
        </w:rPr>
        <w:t>may consider</w:t>
      </w:r>
      <w:r w:rsidR="00F223CD">
        <w:rPr>
          <w:rFonts w:ascii="Arial" w:hAnsi="Arial"/>
        </w:rPr>
        <w:t>’</w:t>
      </w:r>
      <w:r>
        <w:rPr>
          <w:rFonts w:ascii="Arial" w:hAnsi="Arial"/>
        </w:rPr>
        <w:t>, there is no such ob</w:t>
      </w:r>
      <w:r w:rsidR="00C629D7">
        <w:rPr>
          <w:rFonts w:ascii="Arial" w:hAnsi="Arial"/>
        </w:rPr>
        <w:t>ligation upon the Commission.</w:t>
      </w:r>
    </w:p>
    <w:p w:rsidR="002E3339" w:rsidRDefault="002E3339" w:rsidP="00B76BDF">
      <w:pPr>
        <w:pStyle w:val="ListParagraph"/>
        <w:spacing w:line="480" w:lineRule="auto"/>
        <w:ind w:left="0"/>
        <w:jc w:val="both"/>
        <w:rPr>
          <w:rFonts w:ascii="Arial" w:hAnsi="Arial"/>
        </w:rPr>
      </w:pPr>
    </w:p>
    <w:p w:rsidR="003D07E7" w:rsidRDefault="002E3339" w:rsidP="00B76BDF">
      <w:pPr>
        <w:pStyle w:val="ListParagraph"/>
        <w:numPr>
          <w:ilvl w:val="0"/>
          <w:numId w:val="1"/>
        </w:numPr>
        <w:spacing w:line="480" w:lineRule="auto"/>
        <w:ind w:left="0" w:firstLine="0"/>
        <w:jc w:val="both"/>
        <w:rPr>
          <w:rFonts w:ascii="Arial" w:hAnsi="Arial"/>
        </w:rPr>
      </w:pPr>
      <w:r>
        <w:rPr>
          <w:rFonts w:ascii="Arial" w:hAnsi="Arial"/>
        </w:rPr>
        <w:t>It is clear from s 18(1</w:t>
      </w:r>
      <w:proofErr w:type="gramStart"/>
      <w:r>
        <w:rPr>
          <w:rFonts w:ascii="Arial" w:hAnsi="Arial"/>
        </w:rPr>
        <w:t>)</w:t>
      </w:r>
      <w:r w:rsidRPr="00A32D52">
        <w:rPr>
          <w:rFonts w:ascii="Arial" w:hAnsi="Arial"/>
          <w:i/>
        </w:rPr>
        <w:t>(</w:t>
      </w:r>
      <w:proofErr w:type="gramEnd"/>
      <w:r w:rsidRPr="00A32D52">
        <w:rPr>
          <w:rFonts w:ascii="Arial" w:hAnsi="Arial"/>
          <w:i/>
        </w:rPr>
        <w:t>b)</w:t>
      </w:r>
      <w:r>
        <w:rPr>
          <w:rFonts w:ascii="Arial" w:hAnsi="Arial"/>
        </w:rPr>
        <w:t xml:space="preserve"> that the Commission must decide whether an investigation is warranted on reasonable grounds. In determining whether reasonable grounds for an investigation exist, the Commission will have to be guided</w:t>
      </w:r>
      <w:r w:rsidR="00F63579">
        <w:rPr>
          <w:rFonts w:ascii="Arial" w:hAnsi="Arial"/>
        </w:rPr>
        <w:t>, amongst other things,</w:t>
      </w:r>
      <w:r>
        <w:rPr>
          <w:rFonts w:ascii="Arial" w:hAnsi="Arial"/>
        </w:rPr>
        <w:t xml:space="preserve"> by the key purposes of the Act, to </w:t>
      </w:r>
      <w:r w:rsidR="00C629D7">
        <w:rPr>
          <w:rFonts w:ascii="Arial" w:hAnsi="Arial"/>
        </w:rPr>
        <w:t xml:space="preserve">prevent and punish corruption. </w:t>
      </w:r>
      <w:r w:rsidR="00DA32E2">
        <w:rPr>
          <w:rFonts w:ascii="Arial" w:hAnsi="Arial"/>
        </w:rPr>
        <w:t xml:space="preserve">Where an allegation </w:t>
      </w:r>
      <w:r>
        <w:rPr>
          <w:rFonts w:ascii="Arial" w:hAnsi="Arial"/>
        </w:rPr>
        <w:t>evinces reasonable grounds for believing that a person is engaging in corrupt practices, an investigation will often be warranted. There may however be practical considerations that</w:t>
      </w:r>
      <w:r w:rsidR="00F63579">
        <w:rPr>
          <w:rFonts w:ascii="Arial" w:hAnsi="Arial"/>
        </w:rPr>
        <w:t xml:space="preserve"> may</w:t>
      </w:r>
      <w:r>
        <w:rPr>
          <w:rFonts w:ascii="Arial" w:hAnsi="Arial"/>
        </w:rPr>
        <w:t xml:space="preserve"> suggest otherwise, for example, where </w:t>
      </w:r>
      <w:r w:rsidR="00F63579">
        <w:rPr>
          <w:rFonts w:ascii="Arial" w:hAnsi="Arial"/>
        </w:rPr>
        <w:t xml:space="preserve">an </w:t>
      </w:r>
      <w:r>
        <w:rPr>
          <w:rFonts w:ascii="Arial" w:hAnsi="Arial"/>
        </w:rPr>
        <w:t>investigation of the alleged corrupt practices is being or has already been undertaken by another appropriate</w:t>
      </w:r>
      <w:r w:rsidR="00C629D7">
        <w:rPr>
          <w:rFonts w:ascii="Arial" w:hAnsi="Arial"/>
        </w:rPr>
        <w:t xml:space="preserve"> authority. </w:t>
      </w:r>
      <w:r w:rsidR="00DA32E2">
        <w:rPr>
          <w:rFonts w:ascii="Arial" w:hAnsi="Arial"/>
        </w:rPr>
        <w:t>T</w:t>
      </w:r>
      <w:r>
        <w:rPr>
          <w:rFonts w:ascii="Arial" w:hAnsi="Arial"/>
        </w:rPr>
        <w:t>he seriousness of the allegations, as indicated by s 18(2</w:t>
      </w:r>
      <w:proofErr w:type="gramStart"/>
      <w:r>
        <w:rPr>
          <w:rFonts w:ascii="Arial" w:hAnsi="Arial"/>
        </w:rPr>
        <w:t>)</w:t>
      </w:r>
      <w:r w:rsidRPr="00A32D52">
        <w:rPr>
          <w:rFonts w:ascii="Arial" w:hAnsi="Arial"/>
          <w:i/>
        </w:rPr>
        <w:t>(</w:t>
      </w:r>
      <w:proofErr w:type="gramEnd"/>
      <w:r w:rsidRPr="00A32D52">
        <w:rPr>
          <w:rFonts w:ascii="Arial" w:hAnsi="Arial"/>
          <w:i/>
        </w:rPr>
        <w:t>a)</w:t>
      </w:r>
      <w:r>
        <w:rPr>
          <w:rFonts w:ascii="Arial" w:hAnsi="Arial"/>
        </w:rPr>
        <w:t xml:space="preserve"> will </w:t>
      </w:r>
      <w:r w:rsidR="00DA32E2">
        <w:rPr>
          <w:rFonts w:ascii="Arial" w:hAnsi="Arial"/>
        </w:rPr>
        <w:t xml:space="preserve">also </w:t>
      </w:r>
      <w:r>
        <w:rPr>
          <w:rFonts w:ascii="Arial" w:hAnsi="Arial"/>
        </w:rPr>
        <w:t xml:space="preserve">be a relevant </w:t>
      </w:r>
      <w:r w:rsidR="00DA32E2">
        <w:rPr>
          <w:rFonts w:ascii="Arial" w:hAnsi="Arial"/>
        </w:rPr>
        <w:t xml:space="preserve">consideration in many cases. The </w:t>
      </w:r>
      <w:r w:rsidRPr="00DA32E2">
        <w:rPr>
          <w:rFonts w:ascii="Arial" w:hAnsi="Arial"/>
        </w:rPr>
        <w:t xml:space="preserve">considerations </w:t>
      </w:r>
      <w:r w:rsidR="00DA32E2">
        <w:rPr>
          <w:rFonts w:ascii="Arial" w:hAnsi="Arial"/>
        </w:rPr>
        <w:t xml:space="preserve">that </w:t>
      </w:r>
      <w:r w:rsidRPr="00DA32E2">
        <w:rPr>
          <w:rFonts w:ascii="Arial" w:hAnsi="Arial"/>
        </w:rPr>
        <w:t>will be relevant to the s 18(1</w:t>
      </w:r>
      <w:proofErr w:type="gramStart"/>
      <w:r w:rsidRPr="00DA32E2">
        <w:rPr>
          <w:rFonts w:ascii="Arial" w:hAnsi="Arial"/>
        </w:rPr>
        <w:t>)</w:t>
      </w:r>
      <w:r w:rsidRPr="00A32D52">
        <w:rPr>
          <w:rFonts w:ascii="Arial" w:hAnsi="Arial"/>
          <w:i/>
        </w:rPr>
        <w:t>(</w:t>
      </w:r>
      <w:proofErr w:type="gramEnd"/>
      <w:r w:rsidRPr="00A32D52">
        <w:rPr>
          <w:rFonts w:ascii="Arial" w:hAnsi="Arial"/>
          <w:i/>
        </w:rPr>
        <w:t>b)</w:t>
      </w:r>
      <w:r w:rsidRPr="00DA32E2">
        <w:rPr>
          <w:rFonts w:ascii="Arial" w:hAnsi="Arial"/>
        </w:rPr>
        <w:t xml:space="preserve"> decision </w:t>
      </w:r>
      <w:r w:rsidR="00F63579">
        <w:rPr>
          <w:rFonts w:ascii="Arial" w:hAnsi="Arial"/>
        </w:rPr>
        <w:t xml:space="preserve">whether an investigation is warranted on reasonable grounds </w:t>
      </w:r>
      <w:r w:rsidRPr="00DA32E2">
        <w:rPr>
          <w:rFonts w:ascii="Arial" w:hAnsi="Arial"/>
        </w:rPr>
        <w:t xml:space="preserve">will, to some extent, depend on the nature of each case.  </w:t>
      </w:r>
    </w:p>
    <w:p w:rsidR="003D07E7" w:rsidRDefault="003D07E7" w:rsidP="00B76BDF">
      <w:pPr>
        <w:pStyle w:val="ListParagraph"/>
        <w:spacing w:line="480" w:lineRule="auto"/>
        <w:ind w:left="0"/>
        <w:jc w:val="both"/>
        <w:rPr>
          <w:rFonts w:ascii="Arial" w:hAnsi="Arial"/>
        </w:rPr>
      </w:pPr>
    </w:p>
    <w:p w:rsidR="00DA32E2" w:rsidRDefault="003D07E7" w:rsidP="00B76BDF">
      <w:pPr>
        <w:pStyle w:val="ListParagraph"/>
        <w:numPr>
          <w:ilvl w:val="0"/>
          <w:numId w:val="1"/>
        </w:numPr>
        <w:spacing w:line="480" w:lineRule="auto"/>
        <w:ind w:left="0" w:firstLine="0"/>
        <w:jc w:val="both"/>
        <w:rPr>
          <w:rFonts w:ascii="Arial" w:hAnsi="Arial"/>
        </w:rPr>
      </w:pPr>
      <w:r w:rsidRPr="00F63579">
        <w:rPr>
          <w:rFonts w:ascii="Arial" w:hAnsi="Arial"/>
        </w:rPr>
        <w:t xml:space="preserve">Appellant argues that the Commission must take into consideration </w:t>
      </w:r>
      <w:r w:rsidR="001B65F3" w:rsidRPr="00F63579">
        <w:rPr>
          <w:rFonts w:ascii="Arial" w:hAnsi="Arial"/>
        </w:rPr>
        <w:t>all</w:t>
      </w:r>
      <w:r w:rsidRPr="00F63579">
        <w:rPr>
          <w:rFonts w:ascii="Arial" w:hAnsi="Arial"/>
        </w:rPr>
        <w:t xml:space="preserve"> </w:t>
      </w:r>
      <w:r w:rsidR="001B65F3" w:rsidRPr="00F63579">
        <w:rPr>
          <w:rFonts w:ascii="Arial" w:hAnsi="Arial"/>
        </w:rPr>
        <w:t>t</w:t>
      </w:r>
      <w:r w:rsidRPr="00F63579">
        <w:rPr>
          <w:rFonts w:ascii="Arial" w:hAnsi="Arial"/>
        </w:rPr>
        <w:t>he factors listed in s 18(2) of the Act</w:t>
      </w:r>
      <w:r w:rsidR="00F63579" w:rsidRPr="00F63579">
        <w:rPr>
          <w:rFonts w:ascii="Arial" w:hAnsi="Arial"/>
        </w:rPr>
        <w:t xml:space="preserve"> in every case</w:t>
      </w:r>
      <w:r w:rsidRPr="00F63579">
        <w:rPr>
          <w:rFonts w:ascii="Arial" w:hAnsi="Arial"/>
        </w:rPr>
        <w:t xml:space="preserve"> when deciding whether there are reasonable grounds to warrant an investigation as required by s 18(1</w:t>
      </w:r>
      <w:proofErr w:type="gramStart"/>
      <w:r w:rsidRPr="00F63579">
        <w:rPr>
          <w:rFonts w:ascii="Arial" w:hAnsi="Arial"/>
        </w:rPr>
        <w:t>)</w:t>
      </w:r>
      <w:r w:rsidRPr="00A32D52">
        <w:rPr>
          <w:rFonts w:ascii="Arial" w:hAnsi="Arial"/>
          <w:i/>
        </w:rPr>
        <w:t>(</w:t>
      </w:r>
      <w:proofErr w:type="gramEnd"/>
      <w:r w:rsidRPr="00A32D52">
        <w:rPr>
          <w:rFonts w:ascii="Arial" w:hAnsi="Arial"/>
          <w:i/>
        </w:rPr>
        <w:t>b)</w:t>
      </w:r>
      <w:r w:rsidRPr="00F63579">
        <w:rPr>
          <w:rFonts w:ascii="Arial" w:hAnsi="Arial"/>
        </w:rPr>
        <w:t xml:space="preserve">. </w:t>
      </w:r>
      <w:proofErr w:type="gramStart"/>
      <w:r w:rsidRPr="00F63579">
        <w:rPr>
          <w:rFonts w:ascii="Arial" w:hAnsi="Arial"/>
        </w:rPr>
        <w:t xml:space="preserve">There </w:t>
      </w:r>
      <w:r w:rsidR="00AB0D0B">
        <w:rPr>
          <w:rFonts w:ascii="Arial" w:hAnsi="Arial"/>
        </w:rPr>
        <w:t xml:space="preserve"> </w:t>
      </w:r>
      <w:r w:rsidR="00F63579" w:rsidRPr="00F63579">
        <w:rPr>
          <w:rFonts w:ascii="Arial" w:hAnsi="Arial"/>
        </w:rPr>
        <w:t>is</w:t>
      </w:r>
      <w:proofErr w:type="gramEnd"/>
      <w:r w:rsidR="00F63579" w:rsidRPr="00F63579">
        <w:rPr>
          <w:rFonts w:ascii="Arial" w:hAnsi="Arial"/>
        </w:rPr>
        <w:t xml:space="preserve"> a major difficult</w:t>
      </w:r>
      <w:r w:rsidR="00327810">
        <w:rPr>
          <w:rFonts w:ascii="Arial" w:hAnsi="Arial"/>
        </w:rPr>
        <w:t>y</w:t>
      </w:r>
      <w:r w:rsidR="00F63579" w:rsidRPr="00F63579">
        <w:rPr>
          <w:rFonts w:ascii="Arial" w:hAnsi="Arial"/>
        </w:rPr>
        <w:t xml:space="preserve"> for </w:t>
      </w:r>
      <w:r w:rsidR="00BA020D">
        <w:rPr>
          <w:rFonts w:ascii="Arial" w:hAnsi="Arial"/>
        </w:rPr>
        <w:t>a</w:t>
      </w:r>
      <w:r w:rsidRPr="00F63579">
        <w:rPr>
          <w:rFonts w:ascii="Arial" w:hAnsi="Arial"/>
        </w:rPr>
        <w:t xml:space="preserve">ppellant’s argument. The express language </w:t>
      </w:r>
      <w:proofErr w:type="gramStart"/>
      <w:r w:rsidRPr="00F63579">
        <w:rPr>
          <w:rFonts w:ascii="Arial" w:hAnsi="Arial"/>
        </w:rPr>
        <w:t xml:space="preserve">of </w:t>
      </w:r>
      <w:r w:rsidR="00AB0D0B">
        <w:rPr>
          <w:rFonts w:ascii="Arial" w:hAnsi="Arial"/>
        </w:rPr>
        <w:t xml:space="preserve"> </w:t>
      </w:r>
      <w:r w:rsidRPr="00F63579">
        <w:rPr>
          <w:rFonts w:ascii="Arial" w:hAnsi="Arial"/>
        </w:rPr>
        <w:t>s</w:t>
      </w:r>
      <w:proofErr w:type="gramEnd"/>
      <w:r w:rsidRPr="00F63579">
        <w:rPr>
          <w:rFonts w:ascii="Arial" w:hAnsi="Arial"/>
        </w:rPr>
        <w:t xml:space="preserve"> 18(2) stipulates that the criteria contained in its subsections </w:t>
      </w:r>
      <w:r w:rsidR="003478F9">
        <w:rPr>
          <w:rFonts w:ascii="Arial" w:hAnsi="Arial"/>
        </w:rPr>
        <w:t>‘</w:t>
      </w:r>
      <w:r w:rsidRPr="00F63579">
        <w:rPr>
          <w:rFonts w:ascii="Arial" w:hAnsi="Arial"/>
        </w:rPr>
        <w:t>may</w:t>
      </w:r>
      <w:r w:rsidR="003478F9">
        <w:rPr>
          <w:rFonts w:ascii="Arial" w:hAnsi="Arial"/>
        </w:rPr>
        <w:t>’</w:t>
      </w:r>
      <w:r w:rsidRPr="00F63579">
        <w:rPr>
          <w:rFonts w:ascii="Arial" w:hAnsi="Arial"/>
        </w:rPr>
        <w:t xml:space="preserve">, not must, be considered by the </w:t>
      </w:r>
      <w:r w:rsidR="007D4CA5" w:rsidRPr="00F63579">
        <w:rPr>
          <w:rFonts w:ascii="Arial" w:hAnsi="Arial"/>
        </w:rPr>
        <w:t>Commission</w:t>
      </w:r>
      <w:r w:rsidRPr="00F63579">
        <w:rPr>
          <w:rFonts w:ascii="Arial" w:hAnsi="Arial"/>
        </w:rPr>
        <w:t xml:space="preserve"> in deciding whether</w:t>
      </w:r>
      <w:r w:rsidR="00C629D7">
        <w:rPr>
          <w:rFonts w:ascii="Arial" w:hAnsi="Arial"/>
        </w:rPr>
        <w:t xml:space="preserve"> an investigation is warranted.</w:t>
      </w:r>
      <w:r w:rsidRPr="00F63579">
        <w:rPr>
          <w:rFonts w:ascii="Arial" w:hAnsi="Arial"/>
        </w:rPr>
        <w:t xml:space="preserve"> The contrast between the use of the peremptory </w:t>
      </w:r>
      <w:r w:rsidR="003478F9">
        <w:rPr>
          <w:rFonts w:ascii="Arial" w:hAnsi="Arial"/>
        </w:rPr>
        <w:t>‘</w:t>
      </w:r>
      <w:r w:rsidRPr="00F63579">
        <w:rPr>
          <w:rFonts w:ascii="Arial" w:hAnsi="Arial"/>
        </w:rPr>
        <w:t>must</w:t>
      </w:r>
      <w:r w:rsidR="003478F9">
        <w:rPr>
          <w:rFonts w:ascii="Arial" w:hAnsi="Arial"/>
        </w:rPr>
        <w:t>’</w:t>
      </w:r>
      <w:r w:rsidRPr="00F63579">
        <w:rPr>
          <w:rFonts w:ascii="Arial" w:hAnsi="Arial"/>
        </w:rPr>
        <w:t xml:space="preserve"> in s 18(1) and the permissive </w:t>
      </w:r>
      <w:r w:rsidR="003478F9">
        <w:rPr>
          <w:rFonts w:ascii="Arial" w:hAnsi="Arial"/>
        </w:rPr>
        <w:t>‘</w:t>
      </w:r>
      <w:r w:rsidRPr="00F63579">
        <w:rPr>
          <w:rFonts w:ascii="Arial" w:hAnsi="Arial"/>
        </w:rPr>
        <w:t>may</w:t>
      </w:r>
      <w:r w:rsidR="003478F9">
        <w:rPr>
          <w:rFonts w:ascii="Arial" w:hAnsi="Arial"/>
        </w:rPr>
        <w:t>’</w:t>
      </w:r>
      <w:r w:rsidRPr="00F63579">
        <w:rPr>
          <w:rFonts w:ascii="Arial" w:hAnsi="Arial"/>
        </w:rPr>
        <w:t xml:space="preserve"> in s 18(2) is unmistakeable. It suggests that the Commission must do what is stipulated in s 18(1) and may do what is suggested by s 18(2). To read both provisions as peremptory </w:t>
      </w:r>
      <w:r w:rsidR="00F63579" w:rsidRPr="00F63579">
        <w:rPr>
          <w:rFonts w:ascii="Arial" w:hAnsi="Arial"/>
        </w:rPr>
        <w:t xml:space="preserve">would require a court ignoring the </w:t>
      </w:r>
      <w:r w:rsidRPr="00F63579">
        <w:rPr>
          <w:rFonts w:ascii="Arial" w:hAnsi="Arial"/>
        </w:rPr>
        <w:t>clear differences of language</w:t>
      </w:r>
      <w:r w:rsidR="00F63579" w:rsidRPr="00F63579">
        <w:rPr>
          <w:rFonts w:ascii="Arial" w:hAnsi="Arial"/>
        </w:rPr>
        <w:t xml:space="preserve"> between the two provisions</w:t>
      </w:r>
      <w:r w:rsidR="007D4CA5" w:rsidRPr="00F63579">
        <w:rPr>
          <w:rFonts w:ascii="Arial" w:hAnsi="Arial"/>
        </w:rPr>
        <w:t xml:space="preserve">. </w:t>
      </w:r>
      <w:r w:rsidR="00C629D7">
        <w:rPr>
          <w:rFonts w:ascii="Arial" w:hAnsi="Arial"/>
        </w:rPr>
        <w:t xml:space="preserve">There is a further difficulty. </w:t>
      </w:r>
      <w:r w:rsidR="00F63579">
        <w:rPr>
          <w:rFonts w:ascii="Arial" w:hAnsi="Arial"/>
        </w:rPr>
        <w:t>When the Commission decides whether an investigation is warranted on reasonable grounds, it will have before it only limited information. In many cases, it will not be in a position to assess the criteria listed in s 18(2), such as whether or not the allegation is frivolous or vexatious or made in good faith, without</w:t>
      </w:r>
      <w:r w:rsidR="00546374">
        <w:rPr>
          <w:rFonts w:ascii="Arial" w:hAnsi="Arial"/>
        </w:rPr>
        <w:t xml:space="preserve"> instituting an investigation.  </w:t>
      </w:r>
      <w:r w:rsidR="00F63579">
        <w:rPr>
          <w:rFonts w:ascii="Arial" w:hAnsi="Arial"/>
        </w:rPr>
        <w:t xml:space="preserve">The use </w:t>
      </w:r>
      <w:r w:rsidR="00546374">
        <w:rPr>
          <w:rFonts w:ascii="Arial" w:hAnsi="Arial"/>
        </w:rPr>
        <w:t xml:space="preserve"> </w:t>
      </w:r>
      <w:r w:rsidR="00F63579">
        <w:rPr>
          <w:rFonts w:ascii="Arial" w:hAnsi="Arial"/>
        </w:rPr>
        <w:t xml:space="preserve">of </w:t>
      </w:r>
      <w:r w:rsidR="00546374">
        <w:rPr>
          <w:rFonts w:ascii="Arial" w:hAnsi="Arial"/>
        </w:rPr>
        <w:t xml:space="preserve"> </w:t>
      </w:r>
      <w:r w:rsidR="00F63579">
        <w:rPr>
          <w:rFonts w:ascii="Arial" w:hAnsi="Arial"/>
        </w:rPr>
        <w:t xml:space="preserve">the </w:t>
      </w:r>
      <w:r w:rsidR="00546374">
        <w:rPr>
          <w:rFonts w:ascii="Arial" w:hAnsi="Arial"/>
        </w:rPr>
        <w:t xml:space="preserve"> </w:t>
      </w:r>
      <w:r w:rsidR="00F63579">
        <w:rPr>
          <w:rFonts w:ascii="Arial" w:hAnsi="Arial"/>
        </w:rPr>
        <w:t xml:space="preserve">permissive </w:t>
      </w:r>
      <w:r w:rsidR="003478F9">
        <w:rPr>
          <w:rFonts w:ascii="Arial" w:hAnsi="Arial"/>
        </w:rPr>
        <w:t>‘</w:t>
      </w:r>
      <w:r w:rsidR="00F63579">
        <w:rPr>
          <w:rFonts w:ascii="Arial" w:hAnsi="Arial"/>
        </w:rPr>
        <w:t>may</w:t>
      </w:r>
      <w:r w:rsidR="003478F9">
        <w:rPr>
          <w:rFonts w:ascii="Arial" w:hAnsi="Arial"/>
        </w:rPr>
        <w:t>’</w:t>
      </w:r>
      <w:r w:rsidR="00F63579">
        <w:rPr>
          <w:rFonts w:ascii="Arial" w:hAnsi="Arial"/>
        </w:rPr>
        <w:t xml:space="preserve"> in </w:t>
      </w:r>
      <w:r w:rsidR="00546374">
        <w:rPr>
          <w:rFonts w:ascii="Arial" w:hAnsi="Arial"/>
        </w:rPr>
        <w:t xml:space="preserve"> </w:t>
      </w:r>
      <w:r w:rsidR="00F63579">
        <w:rPr>
          <w:rFonts w:ascii="Arial" w:hAnsi="Arial"/>
        </w:rPr>
        <w:t xml:space="preserve">s 18(2) suggests that the Commission need only consider the criteria in s 18(2) in making its decision whether reasonable grounds warrant an investigation if it is able to </w:t>
      </w:r>
      <w:r w:rsidR="00AB4F5E">
        <w:rPr>
          <w:rFonts w:ascii="Arial" w:hAnsi="Arial"/>
        </w:rPr>
        <w:t>assess the relevant criteria on the information before it at the time.  Accordingly, s 18(2) does not require the Commission to approach the criteria in s 18(2) with a tick-box mentality requiring each to be addressed and determined before deciding whether to institute an investigation.</w:t>
      </w:r>
    </w:p>
    <w:p w:rsidR="00AB4F5E" w:rsidRPr="00F63579" w:rsidRDefault="00AB4F5E" w:rsidP="00B76BDF">
      <w:pPr>
        <w:pStyle w:val="ListParagraph"/>
        <w:spacing w:line="480" w:lineRule="auto"/>
        <w:ind w:left="0"/>
        <w:jc w:val="both"/>
        <w:rPr>
          <w:rFonts w:ascii="Arial" w:hAnsi="Arial"/>
        </w:rPr>
      </w:pPr>
    </w:p>
    <w:p w:rsidR="003042B5" w:rsidRDefault="00DA32E2" w:rsidP="00B76BDF">
      <w:pPr>
        <w:pStyle w:val="ListParagraph"/>
        <w:numPr>
          <w:ilvl w:val="0"/>
          <w:numId w:val="1"/>
        </w:numPr>
        <w:spacing w:line="480" w:lineRule="auto"/>
        <w:ind w:left="0" w:firstLine="0"/>
        <w:jc w:val="both"/>
        <w:rPr>
          <w:rFonts w:ascii="Arial" w:hAnsi="Arial"/>
        </w:rPr>
      </w:pPr>
      <w:r>
        <w:rPr>
          <w:rFonts w:ascii="Arial" w:hAnsi="Arial"/>
        </w:rPr>
        <w:t>The consideration contained in s 18(2)</w:t>
      </w:r>
      <w:r w:rsidRPr="00A32D52">
        <w:rPr>
          <w:rFonts w:ascii="Arial" w:hAnsi="Arial"/>
          <w:i/>
        </w:rPr>
        <w:t>(b)</w:t>
      </w:r>
      <w:r>
        <w:rPr>
          <w:rFonts w:ascii="Arial" w:hAnsi="Arial"/>
        </w:rPr>
        <w:t xml:space="preserve"> of the Act, that the Commission may consider whether the allegation is frivolous, vexatious or not in good faith, serves to remind the Commission that at times allegations of corruption will be made in bad faith</w:t>
      </w:r>
      <w:r w:rsidR="003042B5">
        <w:rPr>
          <w:rFonts w:ascii="Arial" w:hAnsi="Arial"/>
        </w:rPr>
        <w:t>, and such allegations may require special consideration</w:t>
      </w:r>
      <w:r>
        <w:rPr>
          <w:rFonts w:ascii="Arial" w:hAnsi="Arial"/>
        </w:rPr>
        <w:t xml:space="preserve">.  When an allegation is made in bad faith, there are two risks for the Commission – the first, is that the allegation may be false, and investigating the allegation may be a waste of time; and secondly, perceptions of the independence and impartiality of the Commission may be damaged if it is seen to be </w:t>
      </w:r>
      <w:r w:rsidR="00C629D7">
        <w:rPr>
          <w:rFonts w:ascii="Arial" w:hAnsi="Arial"/>
        </w:rPr>
        <w:t>willing</w:t>
      </w:r>
      <w:r>
        <w:rPr>
          <w:rFonts w:ascii="Arial" w:hAnsi="Arial"/>
        </w:rPr>
        <w:t xml:space="preserve"> to investigate complaints of corruption made in bad faith by third parties.  </w:t>
      </w:r>
    </w:p>
    <w:p w:rsidR="003042B5" w:rsidRDefault="003042B5" w:rsidP="00B76BDF">
      <w:pPr>
        <w:pStyle w:val="ListParagraph"/>
        <w:spacing w:line="480" w:lineRule="auto"/>
        <w:ind w:left="0"/>
        <w:jc w:val="both"/>
        <w:rPr>
          <w:rFonts w:ascii="Arial" w:hAnsi="Arial"/>
        </w:rPr>
      </w:pPr>
    </w:p>
    <w:p w:rsidR="009615D0" w:rsidRDefault="00DA32E2" w:rsidP="00B76BDF">
      <w:pPr>
        <w:pStyle w:val="ListParagraph"/>
        <w:numPr>
          <w:ilvl w:val="0"/>
          <w:numId w:val="1"/>
        </w:numPr>
        <w:spacing w:line="480" w:lineRule="auto"/>
        <w:ind w:left="0" w:firstLine="0"/>
        <w:jc w:val="both"/>
        <w:rPr>
          <w:rFonts w:ascii="Arial" w:hAnsi="Arial"/>
        </w:rPr>
      </w:pPr>
      <w:r>
        <w:rPr>
          <w:rFonts w:ascii="Arial" w:hAnsi="Arial"/>
        </w:rPr>
        <w:t xml:space="preserve">On the other hand, if an allegation of corruption made to the Commission, albeit made in bad faith, can be said to contain sufficient information to suggest that there is a reasonable suspicion that a person is engaged in corrupt practices, the fact that the allegation may have been in bad faith in the first place </w:t>
      </w:r>
      <w:r w:rsidR="00327810">
        <w:rPr>
          <w:rFonts w:ascii="Arial" w:hAnsi="Arial"/>
        </w:rPr>
        <w:t>w</w:t>
      </w:r>
      <w:r>
        <w:rPr>
          <w:rFonts w:ascii="Arial" w:hAnsi="Arial"/>
        </w:rPr>
        <w:t>ould not, on its own, constitute a ground</w:t>
      </w:r>
      <w:r w:rsidR="00946D62">
        <w:rPr>
          <w:rFonts w:ascii="Arial" w:hAnsi="Arial"/>
        </w:rPr>
        <w:t xml:space="preserve"> on its own</w:t>
      </w:r>
      <w:r>
        <w:rPr>
          <w:rFonts w:ascii="Arial" w:hAnsi="Arial"/>
        </w:rPr>
        <w:t xml:space="preserve"> for refusing to investigate the complaint. </w:t>
      </w:r>
      <w:r w:rsidR="003042B5">
        <w:rPr>
          <w:rFonts w:ascii="Arial" w:hAnsi="Arial"/>
        </w:rPr>
        <w:t xml:space="preserve"> Were it to be otherwise, as at times </w:t>
      </w:r>
      <w:r w:rsidR="003478F9">
        <w:rPr>
          <w:rFonts w:ascii="Arial" w:hAnsi="Arial"/>
        </w:rPr>
        <w:t>a</w:t>
      </w:r>
      <w:r w:rsidR="003042B5">
        <w:rPr>
          <w:rFonts w:ascii="Arial" w:hAnsi="Arial"/>
        </w:rPr>
        <w:t xml:space="preserve">ppellant seemed to suggest, it would tie the hands of the Commission in a manner that might prevent it from carrying out its statutory functions. </w:t>
      </w:r>
    </w:p>
    <w:p w:rsidR="00B378FA" w:rsidRDefault="00B378FA" w:rsidP="00B76BDF">
      <w:pPr>
        <w:pStyle w:val="ListParagraph"/>
        <w:spacing w:line="480" w:lineRule="auto"/>
        <w:ind w:left="0"/>
        <w:jc w:val="both"/>
        <w:rPr>
          <w:rFonts w:ascii="Arial" w:hAnsi="Arial"/>
        </w:rPr>
      </w:pPr>
    </w:p>
    <w:p w:rsidR="00B378FA" w:rsidRDefault="00B378FA" w:rsidP="00B76BDF">
      <w:pPr>
        <w:pStyle w:val="ListParagraph"/>
        <w:numPr>
          <w:ilvl w:val="0"/>
          <w:numId w:val="1"/>
        </w:numPr>
        <w:spacing w:line="480" w:lineRule="auto"/>
        <w:ind w:left="0" w:firstLine="0"/>
        <w:jc w:val="both"/>
        <w:rPr>
          <w:rFonts w:ascii="Arial" w:hAnsi="Arial"/>
        </w:rPr>
      </w:pPr>
      <w:r>
        <w:rPr>
          <w:rFonts w:ascii="Arial" w:hAnsi="Arial"/>
        </w:rPr>
        <w:t>In assessing whether a decision made in terms of s 18(1</w:t>
      </w:r>
      <w:proofErr w:type="gramStart"/>
      <w:r>
        <w:rPr>
          <w:rFonts w:ascii="Arial" w:hAnsi="Arial"/>
        </w:rPr>
        <w:t>)</w:t>
      </w:r>
      <w:r w:rsidRPr="00A32D52">
        <w:rPr>
          <w:rFonts w:ascii="Arial" w:hAnsi="Arial"/>
          <w:i/>
        </w:rPr>
        <w:t>(</w:t>
      </w:r>
      <w:proofErr w:type="gramEnd"/>
      <w:r w:rsidRPr="00A32D52">
        <w:rPr>
          <w:rFonts w:ascii="Arial" w:hAnsi="Arial"/>
          <w:i/>
        </w:rPr>
        <w:t>b)</w:t>
      </w:r>
      <w:r>
        <w:rPr>
          <w:rFonts w:ascii="Arial" w:hAnsi="Arial"/>
        </w:rPr>
        <w:t xml:space="preserve"> to investigate an allegation of a corrupt practice has been validly made, a court will need to bear in mind that the decision is taken before the investigation has commenced, when the Commission will ordinarily have no information at its disposal other than the allegation of corrupt practice that it has received. Similarly, a decision taken in terms of s 18(3) of the Act, whether the Commission decides to refer a complaint to another appropriate body or to investigate the complaint itself, will be taken before the Commission has commenced its own investigation.  </w:t>
      </w:r>
    </w:p>
    <w:p w:rsidR="009615D0" w:rsidRDefault="009615D0" w:rsidP="00B76BDF">
      <w:pPr>
        <w:pStyle w:val="ListParagraph"/>
        <w:spacing w:line="480" w:lineRule="auto"/>
        <w:ind w:left="0"/>
        <w:jc w:val="both"/>
        <w:rPr>
          <w:rFonts w:ascii="Arial" w:hAnsi="Arial"/>
        </w:rPr>
      </w:pPr>
    </w:p>
    <w:p w:rsidR="00B378FA" w:rsidRPr="00A32D52" w:rsidRDefault="00B378FA" w:rsidP="00B76BDF">
      <w:pPr>
        <w:pStyle w:val="ListParagraph"/>
        <w:spacing w:line="480" w:lineRule="auto"/>
        <w:ind w:left="0"/>
        <w:jc w:val="both"/>
        <w:rPr>
          <w:rFonts w:ascii="Arial" w:hAnsi="Arial"/>
          <w:u w:val="single"/>
        </w:rPr>
      </w:pPr>
      <w:r w:rsidRPr="00A32D52">
        <w:rPr>
          <w:rFonts w:ascii="Arial" w:hAnsi="Arial"/>
          <w:u w:val="single"/>
        </w:rPr>
        <w:t>The Commission’s decisions in terms of s 18(1) and 18(3) of the Act</w:t>
      </w:r>
    </w:p>
    <w:p w:rsidR="009615D0" w:rsidRDefault="00B378FA" w:rsidP="00B76BDF">
      <w:pPr>
        <w:pStyle w:val="ListParagraph"/>
        <w:numPr>
          <w:ilvl w:val="0"/>
          <w:numId w:val="1"/>
        </w:numPr>
        <w:spacing w:line="480" w:lineRule="auto"/>
        <w:ind w:left="0" w:firstLine="0"/>
        <w:jc w:val="both"/>
        <w:rPr>
          <w:rFonts w:ascii="Arial" w:hAnsi="Arial"/>
        </w:rPr>
      </w:pPr>
      <w:r>
        <w:rPr>
          <w:rFonts w:ascii="Arial" w:hAnsi="Arial"/>
        </w:rPr>
        <w:t xml:space="preserve">It is necessary now to consider the Commission’s decision to investigate </w:t>
      </w:r>
      <w:r w:rsidR="003478F9">
        <w:rPr>
          <w:rFonts w:ascii="Arial" w:hAnsi="Arial"/>
        </w:rPr>
        <w:t>a</w:t>
      </w:r>
      <w:r>
        <w:rPr>
          <w:rFonts w:ascii="Arial" w:hAnsi="Arial"/>
        </w:rPr>
        <w:t>ppellant i</w:t>
      </w:r>
      <w:r w:rsidR="007D4CA5">
        <w:rPr>
          <w:rFonts w:ascii="Arial" w:hAnsi="Arial"/>
        </w:rPr>
        <w:t>n terms of s 18(1</w:t>
      </w:r>
      <w:proofErr w:type="gramStart"/>
      <w:r w:rsidR="007D4CA5">
        <w:rPr>
          <w:rFonts w:ascii="Arial" w:hAnsi="Arial"/>
        </w:rPr>
        <w:t>)</w:t>
      </w:r>
      <w:r w:rsidR="007D4CA5" w:rsidRPr="00A32D52">
        <w:rPr>
          <w:rFonts w:ascii="Arial" w:hAnsi="Arial"/>
          <w:i/>
        </w:rPr>
        <w:t>(</w:t>
      </w:r>
      <w:proofErr w:type="gramEnd"/>
      <w:r w:rsidR="007D4CA5" w:rsidRPr="00A32D52">
        <w:rPr>
          <w:rFonts w:ascii="Arial" w:hAnsi="Arial"/>
          <w:i/>
        </w:rPr>
        <w:t>b)</w:t>
      </w:r>
      <w:r w:rsidR="007D4CA5">
        <w:rPr>
          <w:rFonts w:ascii="Arial" w:hAnsi="Arial"/>
        </w:rPr>
        <w:t>, as well as its decision</w:t>
      </w:r>
      <w:r>
        <w:rPr>
          <w:rFonts w:ascii="Arial" w:hAnsi="Arial"/>
        </w:rPr>
        <w:t xml:space="preserve"> not to refer the matter to another appropriate body</w:t>
      </w:r>
      <w:r w:rsidR="007D4CA5">
        <w:rPr>
          <w:rFonts w:ascii="Arial" w:hAnsi="Arial"/>
        </w:rPr>
        <w:t xml:space="preserve"> in terms of s 18(3)</w:t>
      </w:r>
      <w:r>
        <w:rPr>
          <w:rFonts w:ascii="Arial" w:hAnsi="Arial"/>
        </w:rPr>
        <w:t>, such as the Namibia</w:t>
      </w:r>
      <w:r w:rsidR="00276D9C">
        <w:rPr>
          <w:rFonts w:ascii="Arial" w:hAnsi="Arial"/>
        </w:rPr>
        <w:t>n</w:t>
      </w:r>
      <w:r>
        <w:rPr>
          <w:rFonts w:ascii="Arial" w:hAnsi="Arial"/>
        </w:rPr>
        <w:t xml:space="preserve"> Police, whom the </w:t>
      </w:r>
      <w:r w:rsidR="003478F9">
        <w:rPr>
          <w:rFonts w:ascii="Arial" w:hAnsi="Arial"/>
        </w:rPr>
        <w:t>a</w:t>
      </w:r>
      <w:r>
        <w:rPr>
          <w:rFonts w:ascii="Arial" w:hAnsi="Arial"/>
        </w:rPr>
        <w:t>ppellant suggested might have been appropriate.</w:t>
      </w:r>
    </w:p>
    <w:p w:rsidR="00B378FA" w:rsidRDefault="00B378FA" w:rsidP="00B76BDF">
      <w:pPr>
        <w:pStyle w:val="ListParagraph"/>
        <w:spacing w:line="480" w:lineRule="auto"/>
        <w:ind w:left="0"/>
        <w:jc w:val="both"/>
        <w:rPr>
          <w:rFonts w:ascii="Arial" w:hAnsi="Arial"/>
        </w:rPr>
      </w:pPr>
    </w:p>
    <w:p w:rsidR="005C1B9B" w:rsidRDefault="00B378FA" w:rsidP="00B76BDF">
      <w:pPr>
        <w:pStyle w:val="ListParagraph"/>
        <w:numPr>
          <w:ilvl w:val="0"/>
          <w:numId w:val="1"/>
        </w:numPr>
        <w:spacing w:line="480" w:lineRule="auto"/>
        <w:ind w:left="0" w:firstLine="0"/>
        <w:jc w:val="both"/>
        <w:rPr>
          <w:rFonts w:ascii="Arial" w:hAnsi="Arial"/>
        </w:rPr>
      </w:pPr>
      <w:r>
        <w:rPr>
          <w:rFonts w:ascii="Arial" w:hAnsi="Arial"/>
        </w:rPr>
        <w:t xml:space="preserve">In assessing the decisions made by the Commission, this </w:t>
      </w:r>
      <w:r w:rsidR="003478F9">
        <w:rPr>
          <w:rFonts w:ascii="Arial" w:hAnsi="Arial"/>
        </w:rPr>
        <w:t>c</w:t>
      </w:r>
      <w:r>
        <w:rPr>
          <w:rFonts w:ascii="Arial" w:hAnsi="Arial"/>
        </w:rPr>
        <w:t xml:space="preserve">ourt must </w:t>
      </w:r>
      <w:r w:rsidR="0063164D">
        <w:rPr>
          <w:rFonts w:ascii="Arial" w:hAnsi="Arial"/>
        </w:rPr>
        <w:t>consider what information the Commission had at the time.  It is clear that the Union referred the complaint to the Commission by wa</w:t>
      </w:r>
      <w:r w:rsidR="00C629D7">
        <w:rPr>
          <w:rFonts w:ascii="Arial" w:hAnsi="Arial"/>
        </w:rPr>
        <w:t xml:space="preserve">y of a letter on 24 May 2007. </w:t>
      </w:r>
      <w:r w:rsidR="0063164D">
        <w:rPr>
          <w:rFonts w:ascii="Arial" w:hAnsi="Arial"/>
        </w:rPr>
        <w:t xml:space="preserve">That letter stated that the Union had </w:t>
      </w:r>
      <w:r w:rsidR="003478F9">
        <w:rPr>
          <w:rFonts w:ascii="Arial" w:hAnsi="Arial"/>
        </w:rPr>
        <w:t>‘</w:t>
      </w:r>
      <w:r w:rsidR="0063164D">
        <w:rPr>
          <w:rFonts w:ascii="Arial" w:hAnsi="Arial"/>
        </w:rPr>
        <w:t>received several complaints from several of the NHE employees regarding the alleged manner in which the NHE resources are managed</w:t>
      </w:r>
      <w:r w:rsidR="003478F9">
        <w:rPr>
          <w:rFonts w:ascii="Arial" w:hAnsi="Arial"/>
        </w:rPr>
        <w:t>’</w:t>
      </w:r>
      <w:r w:rsidR="0063164D">
        <w:rPr>
          <w:rFonts w:ascii="Arial" w:hAnsi="Arial"/>
        </w:rPr>
        <w:t>.  The Union then stated that a file containing the Union’s preliminary findings had been comp</w:t>
      </w:r>
      <w:r w:rsidR="001536C9">
        <w:rPr>
          <w:rFonts w:ascii="Arial" w:hAnsi="Arial"/>
        </w:rPr>
        <w:t>iled</w:t>
      </w:r>
      <w:r w:rsidR="0063164D">
        <w:rPr>
          <w:rFonts w:ascii="Arial" w:hAnsi="Arial"/>
        </w:rPr>
        <w:t xml:space="preserve"> and would be made available to the Commission. </w:t>
      </w:r>
    </w:p>
    <w:p w:rsidR="005C1B9B" w:rsidRDefault="005C1B9B" w:rsidP="00B76BDF">
      <w:pPr>
        <w:pStyle w:val="ListParagraph"/>
        <w:spacing w:line="480" w:lineRule="auto"/>
        <w:ind w:left="0"/>
        <w:jc w:val="both"/>
        <w:rPr>
          <w:rFonts w:ascii="Arial" w:hAnsi="Arial"/>
        </w:rPr>
      </w:pPr>
    </w:p>
    <w:p w:rsidR="005C1B9B" w:rsidRDefault="0063164D" w:rsidP="00B76BDF">
      <w:pPr>
        <w:pStyle w:val="ListParagraph"/>
        <w:numPr>
          <w:ilvl w:val="0"/>
          <w:numId w:val="1"/>
        </w:numPr>
        <w:spacing w:line="480" w:lineRule="auto"/>
        <w:ind w:left="0" w:firstLine="0"/>
        <w:jc w:val="both"/>
        <w:rPr>
          <w:rFonts w:ascii="Arial" w:hAnsi="Arial"/>
        </w:rPr>
      </w:pPr>
      <w:r>
        <w:rPr>
          <w:rFonts w:ascii="Arial" w:hAnsi="Arial"/>
        </w:rPr>
        <w:t xml:space="preserve">In his affidavit, Mr </w:t>
      </w:r>
      <w:proofErr w:type="spellStart"/>
      <w:r>
        <w:rPr>
          <w:rFonts w:ascii="Arial" w:hAnsi="Arial"/>
        </w:rPr>
        <w:t>Masule</w:t>
      </w:r>
      <w:proofErr w:type="spellEnd"/>
      <w:r>
        <w:rPr>
          <w:rFonts w:ascii="Arial" w:hAnsi="Arial"/>
        </w:rPr>
        <w:t xml:space="preserve"> indicated that he was the </w:t>
      </w:r>
      <w:r w:rsidR="007D4CA5">
        <w:rPr>
          <w:rFonts w:ascii="Arial" w:hAnsi="Arial"/>
        </w:rPr>
        <w:t>official appointed by the Commission t</w:t>
      </w:r>
      <w:r>
        <w:rPr>
          <w:rFonts w:ascii="Arial" w:hAnsi="Arial"/>
        </w:rPr>
        <w:t xml:space="preserve">o investigate the corruption allegations against </w:t>
      </w:r>
      <w:r w:rsidR="003478F9">
        <w:rPr>
          <w:rFonts w:ascii="Arial" w:hAnsi="Arial"/>
        </w:rPr>
        <w:t>a</w:t>
      </w:r>
      <w:r>
        <w:rPr>
          <w:rFonts w:ascii="Arial" w:hAnsi="Arial"/>
        </w:rPr>
        <w:t xml:space="preserve">ppellant.  He stated that he initially held a meeting with </w:t>
      </w:r>
      <w:r w:rsidR="00BF14EC">
        <w:rPr>
          <w:rFonts w:ascii="Arial" w:hAnsi="Arial"/>
        </w:rPr>
        <w:t xml:space="preserve">several </w:t>
      </w:r>
      <w:r>
        <w:rPr>
          <w:rFonts w:ascii="Arial" w:hAnsi="Arial"/>
        </w:rPr>
        <w:t xml:space="preserve">members of the Union where he formed the view that </w:t>
      </w:r>
      <w:r w:rsidR="00BF14EC">
        <w:rPr>
          <w:rFonts w:ascii="Arial" w:hAnsi="Arial"/>
        </w:rPr>
        <w:t xml:space="preserve">the </w:t>
      </w:r>
      <w:r>
        <w:rPr>
          <w:rFonts w:ascii="Arial" w:hAnsi="Arial"/>
        </w:rPr>
        <w:t>allegations</w:t>
      </w:r>
      <w:r w:rsidR="00BF14EC">
        <w:rPr>
          <w:rFonts w:ascii="Arial" w:hAnsi="Arial"/>
        </w:rPr>
        <w:t xml:space="preserve"> made were serious and warranted an investigation as they included,</w:t>
      </w:r>
      <w:r>
        <w:rPr>
          <w:rFonts w:ascii="Arial" w:hAnsi="Arial"/>
        </w:rPr>
        <w:t xml:space="preserve"> amongst other things, nepotism and abuse of company resources for private </w:t>
      </w:r>
      <w:r w:rsidR="00BA020D">
        <w:rPr>
          <w:rFonts w:ascii="Arial" w:hAnsi="Arial"/>
        </w:rPr>
        <w:t>benefit.</w:t>
      </w:r>
      <w:r>
        <w:rPr>
          <w:rFonts w:ascii="Arial" w:hAnsi="Arial"/>
        </w:rPr>
        <w:t xml:space="preserve">  </w:t>
      </w:r>
      <w:r w:rsidR="00BA020D">
        <w:rPr>
          <w:rFonts w:ascii="Arial" w:hAnsi="Arial"/>
        </w:rPr>
        <w:t>Sometime</w:t>
      </w:r>
      <w:r w:rsidR="00BF14EC">
        <w:rPr>
          <w:rFonts w:ascii="Arial" w:hAnsi="Arial"/>
        </w:rPr>
        <w:t xml:space="preserve"> a</w:t>
      </w:r>
      <w:r w:rsidR="005C1B9B">
        <w:rPr>
          <w:rFonts w:ascii="Arial" w:hAnsi="Arial"/>
        </w:rPr>
        <w:t xml:space="preserve">fter the meeting, </w:t>
      </w:r>
      <w:r w:rsidR="00BF14EC">
        <w:rPr>
          <w:rFonts w:ascii="Arial" w:hAnsi="Arial"/>
        </w:rPr>
        <w:t xml:space="preserve">during June 2007, according to Mr </w:t>
      </w:r>
      <w:proofErr w:type="spellStart"/>
      <w:r w:rsidR="00BF14EC">
        <w:rPr>
          <w:rFonts w:ascii="Arial" w:hAnsi="Arial"/>
        </w:rPr>
        <w:t>Masule</w:t>
      </w:r>
      <w:proofErr w:type="spellEnd"/>
      <w:r w:rsidR="00BF14EC">
        <w:rPr>
          <w:rFonts w:ascii="Arial" w:hAnsi="Arial"/>
        </w:rPr>
        <w:t xml:space="preserve">, </w:t>
      </w:r>
      <w:r w:rsidR="005C1B9B">
        <w:rPr>
          <w:rFonts w:ascii="Arial" w:hAnsi="Arial"/>
        </w:rPr>
        <w:t xml:space="preserve">he received the file of documents from the Union.  Once he had received the file, Mr </w:t>
      </w:r>
      <w:proofErr w:type="spellStart"/>
      <w:r w:rsidR="005C1B9B">
        <w:rPr>
          <w:rFonts w:ascii="Arial" w:hAnsi="Arial"/>
        </w:rPr>
        <w:t>Masule</w:t>
      </w:r>
      <w:proofErr w:type="spellEnd"/>
      <w:r w:rsidR="005C1B9B">
        <w:rPr>
          <w:rFonts w:ascii="Arial" w:hAnsi="Arial"/>
        </w:rPr>
        <w:t xml:space="preserve"> stated that he discussed the matter with the Director of the </w:t>
      </w:r>
      <w:r w:rsidR="00327810">
        <w:rPr>
          <w:rFonts w:ascii="Arial" w:hAnsi="Arial"/>
        </w:rPr>
        <w:t xml:space="preserve">Commission </w:t>
      </w:r>
      <w:r w:rsidR="005C1B9B">
        <w:rPr>
          <w:rFonts w:ascii="Arial" w:hAnsi="Arial"/>
        </w:rPr>
        <w:t xml:space="preserve">who instructed him to commence a </w:t>
      </w:r>
      <w:r w:rsidR="003478F9">
        <w:rPr>
          <w:rFonts w:ascii="Arial" w:hAnsi="Arial"/>
        </w:rPr>
        <w:t>‘</w:t>
      </w:r>
      <w:r w:rsidR="005C1B9B">
        <w:rPr>
          <w:rFonts w:ascii="Arial" w:hAnsi="Arial"/>
        </w:rPr>
        <w:t>full-scale investigation</w:t>
      </w:r>
      <w:r w:rsidR="003478F9">
        <w:rPr>
          <w:rFonts w:ascii="Arial" w:hAnsi="Arial"/>
        </w:rPr>
        <w:t>’</w:t>
      </w:r>
      <w:r w:rsidR="005C1B9B">
        <w:rPr>
          <w:rFonts w:ascii="Arial" w:hAnsi="Arial"/>
        </w:rPr>
        <w:t xml:space="preserve"> into the allegations. </w:t>
      </w:r>
    </w:p>
    <w:p w:rsidR="005C1B9B" w:rsidRDefault="005C1B9B" w:rsidP="00B76BDF">
      <w:pPr>
        <w:pStyle w:val="ListParagraph"/>
        <w:spacing w:line="480" w:lineRule="auto"/>
        <w:ind w:left="0"/>
        <w:jc w:val="both"/>
        <w:rPr>
          <w:rFonts w:ascii="Arial" w:hAnsi="Arial"/>
        </w:rPr>
      </w:pPr>
    </w:p>
    <w:p w:rsidR="00542A60" w:rsidRDefault="005C1B9B" w:rsidP="00B76BDF">
      <w:pPr>
        <w:pStyle w:val="ListParagraph"/>
        <w:numPr>
          <w:ilvl w:val="0"/>
          <w:numId w:val="1"/>
        </w:numPr>
        <w:spacing w:line="480" w:lineRule="auto"/>
        <w:ind w:left="0" w:firstLine="0"/>
        <w:jc w:val="both"/>
        <w:rPr>
          <w:rFonts w:ascii="Arial" w:hAnsi="Arial"/>
        </w:rPr>
      </w:pPr>
      <w:r>
        <w:rPr>
          <w:rFonts w:ascii="Arial" w:hAnsi="Arial"/>
        </w:rPr>
        <w:t xml:space="preserve">Respondents </w:t>
      </w:r>
      <w:proofErr w:type="gramStart"/>
      <w:r>
        <w:rPr>
          <w:rFonts w:ascii="Arial" w:hAnsi="Arial"/>
        </w:rPr>
        <w:t xml:space="preserve">do </w:t>
      </w:r>
      <w:r w:rsidR="00DD25A5">
        <w:rPr>
          <w:rFonts w:ascii="Arial" w:hAnsi="Arial"/>
        </w:rPr>
        <w:t xml:space="preserve"> </w:t>
      </w:r>
      <w:r>
        <w:rPr>
          <w:rFonts w:ascii="Arial" w:hAnsi="Arial"/>
        </w:rPr>
        <w:t>not</w:t>
      </w:r>
      <w:proofErr w:type="gramEnd"/>
      <w:r>
        <w:rPr>
          <w:rFonts w:ascii="Arial" w:hAnsi="Arial"/>
        </w:rPr>
        <w:t xml:space="preserve"> specify </w:t>
      </w:r>
      <w:r w:rsidR="00DD25A5">
        <w:rPr>
          <w:rFonts w:ascii="Arial" w:hAnsi="Arial"/>
        </w:rPr>
        <w:t xml:space="preserve"> </w:t>
      </w:r>
      <w:r>
        <w:rPr>
          <w:rFonts w:ascii="Arial" w:hAnsi="Arial"/>
        </w:rPr>
        <w:t>precisely when the decisions in</w:t>
      </w:r>
      <w:r w:rsidR="00DD25A5">
        <w:rPr>
          <w:rFonts w:ascii="Arial" w:hAnsi="Arial"/>
        </w:rPr>
        <w:t xml:space="preserve">  </w:t>
      </w:r>
      <w:r>
        <w:rPr>
          <w:rFonts w:ascii="Arial" w:hAnsi="Arial"/>
        </w:rPr>
        <w:t xml:space="preserve">terms of </w:t>
      </w:r>
      <w:r w:rsidR="00DD25A5">
        <w:rPr>
          <w:rFonts w:ascii="Arial" w:hAnsi="Arial"/>
        </w:rPr>
        <w:t xml:space="preserve"> </w:t>
      </w:r>
      <w:r>
        <w:rPr>
          <w:rFonts w:ascii="Arial" w:hAnsi="Arial"/>
        </w:rPr>
        <w:t>s 18(1)</w:t>
      </w:r>
      <w:r w:rsidRPr="00A32D52">
        <w:rPr>
          <w:rFonts w:ascii="Arial" w:hAnsi="Arial"/>
          <w:i/>
        </w:rPr>
        <w:t>(b)</w:t>
      </w:r>
      <w:r>
        <w:rPr>
          <w:rFonts w:ascii="Arial" w:hAnsi="Arial"/>
        </w:rPr>
        <w:t xml:space="preserve"> and 18(3) were taken, but </w:t>
      </w:r>
      <w:r w:rsidR="00542A60">
        <w:rPr>
          <w:rFonts w:ascii="Arial" w:hAnsi="Arial"/>
        </w:rPr>
        <w:t xml:space="preserve">it appears from the record </w:t>
      </w:r>
      <w:r>
        <w:rPr>
          <w:rFonts w:ascii="Arial" w:hAnsi="Arial"/>
        </w:rPr>
        <w:t xml:space="preserve">that once the Commission received the file of documents from the Union, </w:t>
      </w:r>
      <w:r w:rsidR="007D4CA5">
        <w:rPr>
          <w:rFonts w:ascii="Arial" w:hAnsi="Arial"/>
        </w:rPr>
        <w:t xml:space="preserve">and the matter was discussed by Mr </w:t>
      </w:r>
      <w:proofErr w:type="spellStart"/>
      <w:r w:rsidR="007D4CA5">
        <w:rPr>
          <w:rFonts w:ascii="Arial" w:hAnsi="Arial"/>
        </w:rPr>
        <w:t>Masule</w:t>
      </w:r>
      <w:proofErr w:type="spellEnd"/>
      <w:r w:rsidR="007D4CA5">
        <w:rPr>
          <w:rFonts w:ascii="Arial" w:hAnsi="Arial"/>
        </w:rPr>
        <w:t xml:space="preserve"> and the Director of the Commission, the</w:t>
      </w:r>
      <w:r>
        <w:rPr>
          <w:rFonts w:ascii="Arial" w:hAnsi="Arial"/>
        </w:rPr>
        <w:t xml:space="preserve"> </w:t>
      </w:r>
      <w:r w:rsidR="007D4CA5">
        <w:rPr>
          <w:rFonts w:ascii="Arial" w:hAnsi="Arial"/>
        </w:rPr>
        <w:t xml:space="preserve">decisions </w:t>
      </w:r>
      <w:r>
        <w:rPr>
          <w:rFonts w:ascii="Arial" w:hAnsi="Arial"/>
        </w:rPr>
        <w:t xml:space="preserve">that the Commission would </w:t>
      </w:r>
      <w:r w:rsidR="007D4CA5">
        <w:rPr>
          <w:rFonts w:ascii="Arial" w:hAnsi="Arial"/>
        </w:rPr>
        <w:t>proceed with an investigation of</w:t>
      </w:r>
      <w:r>
        <w:rPr>
          <w:rFonts w:ascii="Arial" w:hAnsi="Arial"/>
        </w:rPr>
        <w:t xml:space="preserve"> </w:t>
      </w:r>
      <w:r w:rsidR="00C629D7">
        <w:rPr>
          <w:rFonts w:ascii="Arial" w:hAnsi="Arial"/>
        </w:rPr>
        <w:t>a</w:t>
      </w:r>
      <w:r>
        <w:rPr>
          <w:rFonts w:ascii="Arial" w:hAnsi="Arial"/>
        </w:rPr>
        <w:t xml:space="preserve">ppellant </w:t>
      </w:r>
      <w:r w:rsidR="00C629D7">
        <w:rPr>
          <w:rFonts w:ascii="Arial" w:hAnsi="Arial"/>
        </w:rPr>
        <w:t xml:space="preserve">itself was taken. </w:t>
      </w:r>
      <w:r w:rsidR="007D4CA5">
        <w:rPr>
          <w:rFonts w:ascii="Arial" w:hAnsi="Arial"/>
        </w:rPr>
        <w:t>These were the</w:t>
      </w:r>
      <w:r>
        <w:rPr>
          <w:rFonts w:ascii="Arial" w:hAnsi="Arial"/>
        </w:rPr>
        <w:t xml:space="preserve"> decision</w:t>
      </w:r>
      <w:r w:rsidR="007D4CA5">
        <w:rPr>
          <w:rFonts w:ascii="Arial" w:hAnsi="Arial"/>
        </w:rPr>
        <w:t>s</w:t>
      </w:r>
      <w:r>
        <w:rPr>
          <w:rFonts w:ascii="Arial" w:hAnsi="Arial"/>
        </w:rPr>
        <w:t xml:space="preserve"> </w:t>
      </w:r>
      <w:r w:rsidR="007D4CA5">
        <w:rPr>
          <w:rFonts w:ascii="Arial" w:hAnsi="Arial"/>
        </w:rPr>
        <w:t xml:space="preserve">contemplated by </w:t>
      </w:r>
      <w:proofErr w:type="spellStart"/>
      <w:r>
        <w:rPr>
          <w:rFonts w:ascii="Arial" w:hAnsi="Arial"/>
        </w:rPr>
        <w:t>s</w:t>
      </w:r>
      <w:r w:rsidR="00890050">
        <w:rPr>
          <w:rFonts w:ascii="Arial" w:hAnsi="Arial"/>
        </w:rPr>
        <w:t>s</w:t>
      </w:r>
      <w:proofErr w:type="spellEnd"/>
      <w:r>
        <w:rPr>
          <w:rFonts w:ascii="Arial" w:hAnsi="Arial"/>
        </w:rPr>
        <w:t xml:space="preserve"> 18(1</w:t>
      </w:r>
      <w:proofErr w:type="gramStart"/>
      <w:r>
        <w:rPr>
          <w:rFonts w:ascii="Arial" w:hAnsi="Arial"/>
        </w:rPr>
        <w:t>)</w:t>
      </w:r>
      <w:r w:rsidRPr="00A32D52">
        <w:rPr>
          <w:rFonts w:ascii="Arial" w:hAnsi="Arial"/>
          <w:i/>
        </w:rPr>
        <w:t>(</w:t>
      </w:r>
      <w:proofErr w:type="gramEnd"/>
      <w:r w:rsidRPr="00A32D52">
        <w:rPr>
          <w:rFonts w:ascii="Arial" w:hAnsi="Arial"/>
          <w:i/>
        </w:rPr>
        <w:t>b)</w:t>
      </w:r>
      <w:r>
        <w:rPr>
          <w:rFonts w:ascii="Arial" w:hAnsi="Arial"/>
        </w:rPr>
        <w:t xml:space="preserve"> and 18(3).</w:t>
      </w:r>
      <w:r w:rsidR="005B7DA2">
        <w:rPr>
          <w:rFonts w:ascii="Arial" w:hAnsi="Arial"/>
        </w:rPr>
        <w:t xml:space="preserve">  </w:t>
      </w:r>
    </w:p>
    <w:p w:rsidR="00542A60" w:rsidRDefault="00542A60" w:rsidP="00B76BDF">
      <w:pPr>
        <w:pStyle w:val="ListParagraph"/>
        <w:spacing w:line="480" w:lineRule="auto"/>
        <w:ind w:left="0"/>
        <w:jc w:val="both"/>
        <w:rPr>
          <w:rFonts w:ascii="Arial" w:hAnsi="Arial"/>
        </w:rPr>
      </w:pPr>
    </w:p>
    <w:p w:rsidR="00327810" w:rsidRDefault="005B7DA2" w:rsidP="00B76BDF">
      <w:pPr>
        <w:pStyle w:val="ListParagraph"/>
        <w:numPr>
          <w:ilvl w:val="0"/>
          <w:numId w:val="1"/>
        </w:numPr>
        <w:spacing w:line="480" w:lineRule="auto"/>
        <w:ind w:left="0" w:firstLine="0"/>
        <w:jc w:val="both"/>
        <w:rPr>
          <w:rFonts w:ascii="Arial" w:hAnsi="Arial"/>
        </w:rPr>
      </w:pPr>
      <w:r>
        <w:rPr>
          <w:rFonts w:ascii="Arial" w:hAnsi="Arial"/>
        </w:rPr>
        <w:t xml:space="preserve">Appellant’s argument, in reliance on s 21(2), that </w:t>
      </w:r>
      <w:r w:rsidR="00542A60">
        <w:rPr>
          <w:rFonts w:ascii="Arial" w:hAnsi="Arial"/>
        </w:rPr>
        <w:t>the record does not show</w:t>
      </w:r>
      <w:r w:rsidR="005261B5">
        <w:rPr>
          <w:rFonts w:ascii="Arial" w:hAnsi="Arial"/>
        </w:rPr>
        <w:t xml:space="preserve"> </w:t>
      </w:r>
      <w:r>
        <w:rPr>
          <w:rFonts w:ascii="Arial" w:hAnsi="Arial"/>
        </w:rPr>
        <w:t xml:space="preserve">the Director </w:t>
      </w:r>
      <w:r w:rsidR="005261B5">
        <w:rPr>
          <w:rFonts w:ascii="Arial" w:hAnsi="Arial"/>
        </w:rPr>
        <w:t>took</w:t>
      </w:r>
      <w:r>
        <w:rPr>
          <w:rFonts w:ascii="Arial" w:hAnsi="Arial"/>
        </w:rPr>
        <w:t xml:space="preserve"> the decisions to institute an investigation by the Commission cannot succeed. On Mr </w:t>
      </w:r>
      <w:proofErr w:type="spellStart"/>
      <w:r>
        <w:rPr>
          <w:rFonts w:ascii="Arial" w:hAnsi="Arial"/>
        </w:rPr>
        <w:t>Masule’s</w:t>
      </w:r>
      <w:proofErr w:type="spellEnd"/>
      <w:r>
        <w:rPr>
          <w:rFonts w:ascii="Arial" w:hAnsi="Arial"/>
        </w:rPr>
        <w:t xml:space="preserve"> evidence, it was after his meeting with the Director once the file of documents had been received from the Union that the Director instructed him to proceed with a full investigation.</w:t>
      </w:r>
    </w:p>
    <w:p w:rsidR="00D52069" w:rsidRDefault="005B7DA2" w:rsidP="00A32D52">
      <w:pPr>
        <w:pStyle w:val="ListParagraph"/>
        <w:spacing w:line="480" w:lineRule="auto"/>
        <w:ind w:left="0"/>
        <w:jc w:val="both"/>
        <w:rPr>
          <w:rFonts w:ascii="Arial" w:hAnsi="Arial"/>
        </w:rPr>
      </w:pPr>
      <w:r>
        <w:rPr>
          <w:rFonts w:ascii="Arial" w:hAnsi="Arial"/>
        </w:rPr>
        <w:t xml:space="preserve"> </w:t>
      </w:r>
    </w:p>
    <w:p w:rsidR="00744AC6" w:rsidRDefault="005C1B9B" w:rsidP="00B76BDF">
      <w:pPr>
        <w:pStyle w:val="ListParagraph"/>
        <w:numPr>
          <w:ilvl w:val="0"/>
          <w:numId w:val="1"/>
        </w:numPr>
        <w:spacing w:line="480" w:lineRule="auto"/>
        <w:ind w:left="0" w:firstLine="0"/>
        <w:jc w:val="both"/>
        <w:rPr>
          <w:rFonts w:ascii="Arial" w:hAnsi="Arial"/>
        </w:rPr>
      </w:pPr>
      <w:r w:rsidRPr="00D52069">
        <w:rPr>
          <w:rFonts w:ascii="Arial" w:hAnsi="Arial"/>
        </w:rPr>
        <w:t>A</w:t>
      </w:r>
      <w:r w:rsidR="00BF14EC">
        <w:rPr>
          <w:rFonts w:ascii="Arial" w:hAnsi="Arial"/>
        </w:rPr>
        <w:t xml:space="preserve">s discussed above, </w:t>
      </w:r>
      <w:r w:rsidR="00D173CD">
        <w:rPr>
          <w:rFonts w:ascii="Arial" w:hAnsi="Arial"/>
        </w:rPr>
        <w:t>a</w:t>
      </w:r>
      <w:r w:rsidRPr="00D52069">
        <w:rPr>
          <w:rFonts w:ascii="Arial" w:hAnsi="Arial"/>
        </w:rPr>
        <w:t xml:space="preserve">ppellant argues that </w:t>
      </w:r>
      <w:r w:rsidR="00D52069" w:rsidRPr="00D52069">
        <w:rPr>
          <w:rFonts w:ascii="Arial" w:hAnsi="Arial"/>
        </w:rPr>
        <w:t>the Commission failed to take the provisions of s 18(2), and particular s 18(2)</w:t>
      </w:r>
      <w:r w:rsidR="00D52069" w:rsidRPr="00A32D52">
        <w:rPr>
          <w:rFonts w:ascii="Arial" w:hAnsi="Arial"/>
          <w:i/>
        </w:rPr>
        <w:t>(a)</w:t>
      </w:r>
      <w:r w:rsidR="00D52069" w:rsidRPr="00D52069">
        <w:rPr>
          <w:rFonts w:ascii="Arial" w:hAnsi="Arial"/>
        </w:rPr>
        <w:t>,</w:t>
      </w:r>
      <w:r w:rsidR="0069204D">
        <w:rPr>
          <w:rFonts w:ascii="Arial" w:hAnsi="Arial"/>
        </w:rPr>
        <w:t xml:space="preserve"> </w:t>
      </w:r>
      <w:r w:rsidR="00D52069" w:rsidRPr="00A32D52">
        <w:rPr>
          <w:rFonts w:ascii="Arial" w:hAnsi="Arial"/>
          <w:i/>
        </w:rPr>
        <w:t>(b)</w:t>
      </w:r>
      <w:r w:rsidR="00D52069" w:rsidRPr="00D52069">
        <w:rPr>
          <w:rFonts w:ascii="Arial" w:hAnsi="Arial"/>
        </w:rPr>
        <w:t xml:space="preserve"> and </w:t>
      </w:r>
      <w:r w:rsidR="00D52069" w:rsidRPr="00A32D52">
        <w:rPr>
          <w:rFonts w:ascii="Arial" w:hAnsi="Arial"/>
          <w:i/>
        </w:rPr>
        <w:t>(d)</w:t>
      </w:r>
      <w:r w:rsidR="00D52069" w:rsidRPr="00D52069">
        <w:rPr>
          <w:rFonts w:ascii="Arial" w:hAnsi="Arial"/>
        </w:rPr>
        <w:t xml:space="preserve"> into consideration when making the decisi</w:t>
      </w:r>
      <w:r w:rsidR="00D52069">
        <w:rPr>
          <w:rFonts w:ascii="Arial" w:hAnsi="Arial"/>
        </w:rPr>
        <w:t xml:space="preserve">on to investigate the </w:t>
      </w:r>
      <w:r w:rsidR="00D173CD">
        <w:rPr>
          <w:rFonts w:ascii="Arial" w:hAnsi="Arial"/>
        </w:rPr>
        <w:t>a</w:t>
      </w:r>
      <w:r w:rsidR="00D52069">
        <w:rPr>
          <w:rFonts w:ascii="Arial" w:hAnsi="Arial"/>
        </w:rPr>
        <w:t xml:space="preserve">ppellant.  In this regard, </w:t>
      </w:r>
      <w:r w:rsidR="00D173CD">
        <w:rPr>
          <w:rFonts w:ascii="Arial" w:hAnsi="Arial"/>
        </w:rPr>
        <w:t>a</w:t>
      </w:r>
      <w:r w:rsidR="00D52069">
        <w:rPr>
          <w:rFonts w:ascii="Arial" w:hAnsi="Arial"/>
        </w:rPr>
        <w:t>ppellant asserts that the Commission must establish that it did consider the issues listed in s 18(2) before making the decision to p</w:t>
      </w:r>
      <w:r w:rsidR="0069204D">
        <w:rPr>
          <w:rFonts w:ascii="Arial" w:hAnsi="Arial"/>
        </w:rPr>
        <w:t xml:space="preserve">roceed with the investigation. </w:t>
      </w:r>
      <w:r w:rsidR="00744AC6">
        <w:rPr>
          <w:rFonts w:ascii="Arial" w:hAnsi="Arial"/>
        </w:rPr>
        <w:t>Respondent argues that the language of s 18(2) does not impose an obligation upon the Commission to consider the factors listed in that section, but stipulates merely that in deciding whether an investigation is warranted the Commission may consider the factors listed in the subsection.</w:t>
      </w:r>
    </w:p>
    <w:p w:rsidR="00744AC6" w:rsidRDefault="00744AC6" w:rsidP="00B76BDF">
      <w:pPr>
        <w:pStyle w:val="ListParagraph"/>
        <w:spacing w:line="480" w:lineRule="auto"/>
        <w:ind w:left="0"/>
        <w:jc w:val="both"/>
        <w:rPr>
          <w:rFonts w:ascii="Arial" w:hAnsi="Arial"/>
        </w:rPr>
      </w:pPr>
    </w:p>
    <w:p w:rsidR="007D4CA5" w:rsidRDefault="007D4CA5" w:rsidP="00B76BDF">
      <w:pPr>
        <w:pStyle w:val="ListParagraph"/>
        <w:numPr>
          <w:ilvl w:val="0"/>
          <w:numId w:val="1"/>
        </w:numPr>
        <w:spacing w:line="480" w:lineRule="auto"/>
        <w:ind w:left="0" w:firstLine="0"/>
        <w:jc w:val="both"/>
        <w:rPr>
          <w:rFonts w:ascii="Arial" w:hAnsi="Arial"/>
        </w:rPr>
      </w:pPr>
      <w:r>
        <w:rPr>
          <w:rFonts w:ascii="Arial" w:hAnsi="Arial"/>
        </w:rPr>
        <w:t xml:space="preserve">As discussed above, </w:t>
      </w:r>
      <w:r w:rsidR="00D173CD">
        <w:rPr>
          <w:rFonts w:ascii="Arial" w:hAnsi="Arial"/>
        </w:rPr>
        <w:t>r</w:t>
      </w:r>
      <w:r w:rsidR="003D07E7">
        <w:rPr>
          <w:rFonts w:ascii="Arial" w:hAnsi="Arial"/>
        </w:rPr>
        <w:t xml:space="preserve">espondent is correct to point to the permissive language of s 18(2). The subsection does not oblige the Commission to consider all factors listed in that section in every case. The governing test remains whether </w:t>
      </w:r>
      <w:r w:rsidR="00D173CD">
        <w:rPr>
          <w:rFonts w:ascii="Arial" w:hAnsi="Arial"/>
        </w:rPr>
        <w:t>‘</w:t>
      </w:r>
      <w:r w:rsidR="003D07E7">
        <w:rPr>
          <w:rFonts w:ascii="Arial" w:hAnsi="Arial"/>
        </w:rPr>
        <w:t>an investigation in relation to the allegation is warranted on reasonable grounds</w:t>
      </w:r>
      <w:r w:rsidR="00D173CD">
        <w:rPr>
          <w:rFonts w:ascii="Arial" w:hAnsi="Arial"/>
        </w:rPr>
        <w:t>’</w:t>
      </w:r>
      <w:r w:rsidR="003D07E7">
        <w:rPr>
          <w:rFonts w:ascii="Arial" w:hAnsi="Arial"/>
        </w:rPr>
        <w:t>.</w:t>
      </w:r>
      <w:r w:rsidR="003D07E7">
        <w:rPr>
          <w:rStyle w:val="FootnoteReference"/>
          <w:rFonts w:ascii="Arial" w:hAnsi="Arial"/>
        </w:rPr>
        <w:footnoteReference w:id="24"/>
      </w:r>
      <w:r w:rsidR="003D07E7">
        <w:rPr>
          <w:rFonts w:ascii="Arial" w:hAnsi="Arial"/>
        </w:rPr>
        <w:t xml:space="preserve">  </w:t>
      </w:r>
      <w:r w:rsidR="00BF14EC">
        <w:rPr>
          <w:rFonts w:ascii="Arial" w:hAnsi="Arial"/>
        </w:rPr>
        <w:t xml:space="preserve">That is the question for this </w:t>
      </w:r>
      <w:r w:rsidR="00D173CD">
        <w:rPr>
          <w:rFonts w:ascii="Arial" w:hAnsi="Arial"/>
        </w:rPr>
        <w:t>c</w:t>
      </w:r>
      <w:r w:rsidR="00BF14EC">
        <w:rPr>
          <w:rFonts w:ascii="Arial" w:hAnsi="Arial"/>
        </w:rPr>
        <w:t xml:space="preserve">ourt to consider in determining </w:t>
      </w:r>
      <w:r w:rsidR="00D173CD">
        <w:rPr>
          <w:rFonts w:ascii="Arial" w:hAnsi="Arial"/>
        </w:rPr>
        <w:t>a</w:t>
      </w:r>
      <w:r w:rsidR="00BF14EC">
        <w:rPr>
          <w:rFonts w:ascii="Arial" w:hAnsi="Arial"/>
        </w:rPr>
        <w:t>ppellant’s challenge.</w:t>
      </w:r>
    </w:p>
    <w:p w:rsidR="007D4CA5" w:rsidRDefault="007D4CA5" w:rsidP="00B76BDF">
      <w:pPr>
        <w:pStyle w:val="ListParagraph"/>
        <w:spacing w:line="480" w:lineRule="auto"/>
        <w:ind w:left="0"/>
        <w:jc w:val="both"/>
        <w:rPr>
          <w:rFonts w:ascii="Arial" w:hAnsi="Arial"/>
        </w:rPr>
      </w:pPr>
    </w:p>
    <w:p w:rsidR="00B86EC7" w:rsidRDefault="007D4CA5" w:rsidP="00B76BDF">
      <w:pPr>
        <w:pStyle w:val="ListParagraph"/>
        <w:numPr>
          <w:ilvl w:val="0"/>
          <w:numId w:val="1"/>
        </w:numPr>
        <w:spacing w:line="480" w:lineRule="auto"/>
        <w:ind w:left="0" w:firstLine="0"/>
        <w:jc w:val="both"/>
        <w:rPr>
          <w:rFonts w:ascii="Arial" w:hAnsi="Arial"/>
        </w:rPr>
      </w:pPr>
      <w:r>
        <w:rPr>
          <w:rFonts w:ascii="Arial" w:hAnsi="Arial"/>
        </w:rPr>
        <w:t xml:space="preserve">Moreover, </w:t>
      </w:r>
      <w:r w:rsidR="00D173CD">
        <w:rPr>
          <w:rFonts w:ascii="Arial" w:hAnsi="Arial"/>
        </w:rPr>
        <w:t>a</w:t>
      </w:r>
      <w:r w:rsidR="00744AC6">
        <w:rPr>
          <w:rFonts w:ascii="Arial" w:hAnsi="Arial"/>
        </w:rPr>
        <w:t xml:space="preserve">ppellant’s argument that the Commission must be able to establish that it considered the factors listed in s 18(2) </w:t>
      </w:r>
      <w:r w:rsidR="003D07E7">
        <w:rPr>
          <w:rFonts w:ascii="Arial" w:hAnsi="Arial"/>
        </w:rPr>
        <w:t>when making its decision in terms of s 18(1</w:t>
      </w:r>
      <w:proofErr w:type="gramStart"/>
      <w:r w:rsidR="003D07E7">
        <w:rPr>
          <w:rFonts w:ascii="Arial" w:hAnsi="Arial"/>
        </w:rPr>
        <w:t>)</w:t>
      </w:r>
      <w:r w:rsidR="003D07E7" w:rsidRPr="00A32D52">
        <w:rPr>
          <w:rFonts w:ascii="Arial" w:hAnsi="Arial"/>
          <w:i/>
        </w:rPr>
        <w:t>(</w:t>
      </w:r>
      <w:proofErr w:type="gramEnd"/>
      <w:r w:rsidR="003D07E7" w:rsidRPr="00A32D52">
        <w:rPr>
          <w:rFonts w:ascii="Arial" w:hAnsi="Arial"/>
          <w:i/>
        </w:rPr>
        <w:t>b)</w:t>
      </w:r>
      <w:r w:rsidR="003D07E7">
        <w:rPr>
          <w:rFonts w:ascii="Arial" w:hAnsi="Arial"/>
        </w:rPr>
        <w:t xml:space="preserve"> </w:t>
      </w:r>
      <w:r w:rsidR="00A01294">
        <w:rPr>
          <w:rFonts w:ascii="Arial" w:hAnsi="Arial"/>
        </w:rPr>
        <w:t xml:space="preserve">also </w:t>
      </w:r>
      <w:r w:rsidR="00744AC6">
        <w:rPr>
          <w:rFonts w:ascii="Arial" w:hAnsi="Arial"/>
        </w:rPr>
        <w:t xml:space="preserve">cannot be accepted. </w:t>
      </w:r>
      <w:r w:rsidR="00333A19">
        <w:rPr>
          <w:rFonts w:ascii="Arial" w:hAnsi="Arial"/>
        </w:rPr>
        <w:t xml:space="preserve">Appellant’s argument effectively seeks to shift the burden of </w:t>
      </w:r>
      <w:r w:rsidR="00BF14EC">
        <w:rPr>
          <w:rFonts w:ascii="Arial" w:hAnsi="Arial"/>
        </w:rPr>
        <w:t>proof to the Commission in the</w:t>
      </w:r>
      <w:r w:rsidR="00333A19">
        <w:rPr>
          <w:rFonts w:ascii="Arial" w:hAnsi="Arial"/>
        </w:rPr>
        <w:t xml:space="preserve"> review proceedings. </w:t>
      </w:r>
      <w:r w:rsidR="00744AC6">
        <w:rPr>
          <w:rFonts w:ascii="Arial" w:hAnsi="Arial"/>
        </w:rPr>
        <w:t xml:space="preserve">Although </w:t>
      </w:r>
      <w:r w:rsidR="00D173CD">
        <w:rPr>
          <w:rFonts w:ascii="Arial" w:hAnsi="Arial"/>
        </w:rPr>
        <w:t>a</w:t>
      </w:r>
      <w:r w:rsidR="00744AC6">
        <w:rPr>
          <w:rFonts w:ascii="Arial" w:hAnsi="Arial"/>
        </w:rPr>
        <w:t xml:space="preserve">ppellant’s dismay at the Commission’s decision to investigate him is understandable, a court should be slow to interpret s 18 to insert unnecessary hurdles in the path of the Commission when it seeks to commence an investigation into corrupt practices. While an investigation into corrupt practices will often cause inconvenience to the person who is the subject of the investigation, as do criminal investigations, that inconvenience is outweighed by the heightened public interest that requires that investigations into corrupt practices be swiftly and effectively instituted. </w:t>
      </w:r>
      <w:r w:rsidR="00B86EC7">
        <w:rPr>
          <w:rFonts w:ascii="Arial" w:hAnsi="Arial"/>
        </w:rPr>
        <w:t xml:space="preserve"> </w:t>
      </w:r>
      <w:r w:rsidR="00333A19">
        <w:rPr>
          <w:rFonts w:ascii="Arial" w:hAnsi="Arial"/>
        </w:rPr>
        <w:t xml:space="preserve">Accordingly, unless an applicant can show, on the evidence before the Commission at the time that </w:t>
      </w:r>
      <w:r w:rsidR="003D07E7">
        <w:rPr>
          <w:rFonts w:ascii="Arial" w:hAnsi="Arial"/>
        </w:rPr>
        <w:t xml:space="preserve">a </w:t>
      </w:r>
      <w:r w:rsidR="00A01294">
        <w:rPr>
          <w:rFonts w:ascii="Arial" w:hAnsi="Arial"/>
        </w:rPr>
        <w:t>decision</w:t>
      </w:r>
      <w:r w:rsidR="00333A19">
        <w:rPr>
          <w:rFonts w:ascii="Arial" w:hAnsi="Arial"/>
        </w:rPr>
        <w:t xml:space="preserve"> </w:t>
      </w:r>
      <w:r w:rsidR="003D07E7">
        <w:rPr>
          <w:rFonts w:ascii="Arial" w:hAnsi="Arial"/>
        </w:rPr>
        <w:t xml:space="preserve">is taken </w:t>
      </w:r>
      <w:r w:rsidR="00333A19">
        <w:rPr>
          <w:rFonts w:ascii="Arial" w:hAnsi="Arial"/>
        </w:rPr>
        <w:t xml:space="preserve">in terms of s </w:t>
      </w:r>
      <w:r w:rsidR="003D07E7">
        <w:rPr>
          <w:rFonts w:ascii="Arial" w:hAnsi="Arial"/>
        </w:rPr>
        <w:t>18(1)</w:t>
      </w:r>
      <w:r w:rsidR="00364056">
        <w:rPr>
          <w:rFonts w:ascii="Arial" w:hAnsi="Arial"/>
        </w:rPr>
        <w:t xml:space="preserve"> </w:t>
      </w:r>
      <w:r w:rsidR="003D07E7" w:rsidRPr="00A32D52">
        <w:rPr>
          <w:rFonts w:ascii="Arial" w:hAnsi="Arial"/>
          <w:i/>
        </w:rPr>
        <w:t>b</w:t>
      </w:r>
      <w:r w:rsidR="00333A19" w:rsidRPr="00A32D52">
        <w:rPr>
          <w:rFonts w:ascii="Arial" w:hAnsi="Arial"/>
          <w:i/>
        </w:rPr>
        <w:t>)</w:t>
      </w:r>
      <w:r w:rsidR="00333A19">
        <w:rPr>
          <w:rFonts w:ascii="Arial" w:hAnsi="Arial"/>
        </w:rPr>
        <w:t xml:space="preserve">, that there was no reasonable basis for the Commission to have made its </w:t>
      </w:r>
      <w:r w:rsidR="003D07E7">
        <w:rPr>
          <w:rFonts w:ascii="Arial" w:hAnsi="Arial"/>
        </w:rPr>
        <w:t>decision</w:t>
      </w:r>
      <w:r w:rsidR="00333A19">
        <w:rPr>
          <w:rFonts w:ascii="Arial" w:hAnsi="Arial"/>
        </w:rPr>
        <w:t xml:space="preserve">, an application to review and set aside </w:t>
      </w:r>
      <w:r w:rsidR="003D07E7">
        <w:rPr>
          <w:rFonts w:ascii="Arial" w:hAnsi="Arial"/>
        </w:rPr>
        <w:t>a decision</w:t>
      </w:r>
      <w:r w:rsidR="00333A19">
        <w:rPr>
          <w:rFonts w:ascii="Arial" w:hAnsi="Arial"/>
        </w:rPr>
        <w:t xml:space="preserve"> made in terms of s 18(1</w:t>
      </w:r>
      <w:proofErr w:type="gramStart"/>
      <w:r w:rsidR="00333A19">
        <w:rPr>
          <w:rFonts w:ascii="Arial" w:hAnsi="Arial"/>
        </w:rPr>
        <w:t>)</w:t>
      </w:r>
      <w:r w:rsidR="00333A19" w:rsidRPr="00A32D52">
        <w:rPr>
          <w:rFonts w:ascii="Arial" w:hAnsi="Arial"/>
          <w:i/>
        </w:rPr>
        <w:t>(</w:t>
      </w:r>
      <w:proofErr w:type="gramEnd"/>
      <w:r w:rsidR="00333A19" w:rsidRPr="00A32D52">
        <w:rPr>
          <w:rFonts w:ascii="Arial" w:hAnsi="Arial"/>
          <w:i/>
        </w:rPr>
        <w:t>b)</w:t>
      </w:r>
      <w:r w:rsidR="00333A19">
        <w:rPr>
          <w:rFonts w:ascii="Arial" w:hAnsi="Arial"/>
        </w:rPr>
        <w:t xml:space="preserve"> will not succeed.</w:t>
      </w:r>
    </w:p>
    <w:p w:rsidR="00B86EC7" w:rsidRDefault="00B86EC7" w:rsidP="00B76BDF">
      <w:pPr>
        <w:pStyle w:val="ListParagraph"/>
        <w:spacing w:line="480" w:lineRule="auto"/>
        <w:ind w:left="0"/>
        <w:jc w:val="both"/>
        <w:rPr>
          <w:rFonts w:ascii="Arial" w:hAnsi="Arial"/>
        </w:rPr>
      </w:pPr>
    </w:p>
    <w:p w:rsidR="00395085" w:rsidRDefault="005261B5" w:rsidP="00B76BDF">
      <w:pPr>
        <w:pStyle w:val="ListParagraph"/>
        <w:numPr>
          <w:ilvl w:val="0"/>
          <w:numId w:val="1"/>
        </w:numPr>
        <w:spacing w:line="480" w:lineRule="auto"/>
        <w:ind w:left="0" w:firstLine="0"/>
        <w:jc w:val="both"/>
        <w:rPr>
          <w:rFonts w:ascii="Arial" w:hAnsi="Arial"/>
        </w:rPr>
      </w:pPr>
      <w:r>
        <w:rPr>
          <w:rFonts w:ascii="Arial" w:hAnsi="Arial"/>
        </w:rPr>
        <w:t xml:space="preserve">Appellant’s reliance on the decision </w:t>
      </w:r>
      <w:r w:rsidR="00C87D28">
        <w:rPr>
          <w:rFonts w:ascii="Arial" w:hAnsi="Arial"/>
          <w:i/>
        </w:rPr>
        <w:t xml:space="preserve">Matador </w:t>
      </w:r>
      <w:r>
        <w:rPr>
          <w:rFonts w:ascii="Arial" w:hAnsi="Arial"/>
          <w:i/>
        </w:rPr>
        <w:t xml:space="preserve">Enterprises (Pty) Ltd v Minister of Trade and Industry </w:t>
      </w:r>
      <w:r w:rsidR="00364056">
        <w:rPr>
          <w:rFonts w:ascii="Arial" w:hAnsi="Arial"/>
          <w:i/>
        </w:rPr>
        <w:t>&amp;</w:t>
      </w:r>
      <w:r>
        <w:rPr>
          <w:rFonts w:ascii="Arial" w:hAnsi="Arial"/>
          <w:i/>
        </w:rPr>
        <w:t xml:space="preserve"> </w:t>
      </w:r>
      <w:r w:rsidR="00364056">
        <w:rPr>
          <w:rFonts w:ascii="Arial" w:hAnsi="Arial"/>
          <w:i/>
        </w:rPr>
        <w:t>o</w:t>
      </w:r>
      <w:r>
        <w:rPr>
          <w:rFonts w:ascii="Arial" w:hAnsi="Arial"/>
          <w:i/>
        </w:rPr>
        <w:t xml:space="preserve">thers; Clover Dairy Namibia (Pty) Ltd </w:t>
      </w:r>
      <w:r w:rsidR="00300C47">
        <w:rPr>
          <w:rFonts w:ascii="Arial" w:hAnsi="Arial"/>
          <w:i/>
        </w:rPr>
        <w:t>&amp;</w:t>
      </w:r>
      <w:r>
        <w:rPr>
          <w:rFonts w:ascii="Arial" w:hAnsi="Arial"/>
          <w:i/>
        </w:rPr>
        <w:t xml:space="preserve"> </w:t>
      </w:r>
      <w:r w:rsidR="00364056">
        <w:rPr>
          <w:rFonts w:ascii="Arial" w:hAnsi="Arial"/>
          <w:i/>
        </w:rPr>
        <w:t>a</w:t>
      </w:r>
      <w:r>
        <w:rPr>
          <w:rFonts w:ascii="Arial" w:hAnsi="Arial"/>
          <w:i/>
        </w:rPr>
        <w:t xml:space="preserve">nother v Minister of Trade and Industry </w:t>
      </w:r>
      <w:r w:rsidR="0069204D">
        <w:rPr>
          <w:rFonts w:ascii="Arial" w:hAnsi="Arial"/>
          <w:i/>
        </w:rPr>
        <w:t>&amp;</w:t>
      </w:r>
      <w:r>
        <w:rPr>
          <w:rFonts w:ascii="Arial" w:hAnsi="Arial"/>
          <w:i/>
        </w:rPr>
        <w:t xml:space="preserve"> </w:t>
      </w:r>
      <w:r w:rsidR="00364056">
        <w:rPr>
          <w:rFonts w:ascii="Arial" w:hAnsi="Arial"/>
          <w:i/>
        </w:rPr>
        <w:t>o</w:t>
      </w:r>
      <w:r>
        <w:rPr>
          <w:rFonts w:ascii="Arial" w:hAnsi="Arial"/>
          <w:i/>
        </w:rPr>
        <w:t>thers</w:t>
      </w:r>
      <w:r w:rsidR="00C87D28">
        <w:rPr>
          <w:rStyle w:val="FootnoteReference"/>
          <w:rFonts w:ascii="Arial" w:hAnsi="Arial"/>
          <w:i/>
        </w:rPr>
        <w:footnoteReference w:id="25"/>
      </w:r>
      <w:r>
        <w:rPr>
          <w:rFonts w:ascii="Arial" w:hAnsi="Arial"/>
          <w:i/>
        </w:rPr>
        <w:t xml:space="preserve"> </w:t>
      </w:r>
      <w:r w:rsidR="00C87D28">
        <w:rPr>
          <w:rFonts w:ascii="Arial" w:hAnsi="Arial"/>
        </w:rPr>
        <w:t xml:space="preserve">also does not assist </w:t>
      </w:r>
      <w:r w:rsidR="00300C47">
        <w:rPr>
          <w:rFonts w:ascii="Arial" w:hAnsi="Arial"/>
        </w:rPr>
        <w:t>a</w:t>
      </w:r>
      <w:r w:rsidR="00C87D28">
        <w:rPr>
          <w:rFonts w:ascii="Arial" w:hAnsi="Arial"/>
        </w:rPr>
        <w:t xml:space="preserve">ppellant.  That case concerned a completely different set of facts and legal issues. </w:t>
      </w:r>
      <w:r w:rsidR="00395085">
        <w:rPr>
          <w:rFonts w:ascii="Arial" w:hAnsi="Arial"/>
        </w:rPr>
        <w:t xml:space="preserve">It </w:t>
      </w:r>
      <w:r w:rsidR="00C87D28">
        <w:rPr>
          <w:rFonts w:ascii="Arial" w:hAnsi="Arial"/>
        </w:rPr>
        <w:t>concerned an application to review and set aside a notice issued in the name of the Minister of Trade and Industry in terms of the Import and Export Control Act 20 of 1994, restricting the importation o</w:t>
      </w:r>
      <w:r w:rsidR="0069204D">
        <w:rPr>
          <w:rFonts w:ascii="Arial" w:hAnsi="Arial"/>
        </w:rPr>
        <w:t xml:space="preserve">f dairy products into Namibia. </w:t>
      </w:r>
      <w:r w:rsidR="00C87D28">
        <w:rPr>
          <w:rFonts w:ascii="Arial" w:hAnsi="Arial"/>
        </w:rPr>
        <w:t xml:space="preserve">The High Court held that the record showed that the decision to impose the restriction was taken by Cabinet rather than by the </w:t>
      </w:r>
      <w:r w:rsidR="00327810">
        <w:rPr>
          <w:rFonts w:ascii="Arial" w:hAnsi="Arial"/>
        </w:rPr>
        <w:t>M</w:t>
      </w:r>
      <w:r w:rsidR="00C87D28">
        <w:rPr>
          <w:rFonts w:ascii="Arial" w:hAnsi="Arial"/>
        </w:rPr>
        <w:t xml:space="preserve">inister who was empowered in terms of the relevant legislation to take the decision. The </w:t>
      </w:r>
      <w:r w:rsidR="00300C47">
        <w:rPr>
          <w:rFonts w:ascii="Arial" w:hAnsi="Arial"/>
        </w:rPr>
        <w:t>c</w:t>
      </w:r>
      <w:r w:rsidR="00C87D28">
        <w:rPr>
          <w:rFonts w:ascii="Arial" w:hAnsi="Arial"/>
        </w:rPr>
        <w:t xml:space="preserve">ourt concluded that the record demonstrated that the Minister </w:t>
      </w:r>
      <w:r w:rsidR="00395085">
        <w:rPr>
          <w:rFonts w:ascii="Arial" w:hAnsi="Arial"/>
        </w:rPr>
        <w:t xml:space="preserve">had </w:t>
      </w:r>
      <w:r w:rsidR="00C87D28">
        <w:rPr>
          <w:rFonts w:ascii="Arial" w:hAnsi="Arial"/>
        </w:rPr>
        <w:t xml:space="preserve">failed properly </w:t>
      </w:r>
      <w:r w:rsidR="00395085">
        <w:rPr>
          <w:rFonts w:ascii="Arial" w:hAnsi="Arial"/>
        </w:rPr>
        <w:t xml:space="preserve">to </w:t>
      </w:r>
      <w:r w:rsidR="00C87D28">
        <w:rPr>
          <w:rFonts w:ascii="Arial" w:hAnsi="Arial"/>
        </w:rPr>
        <w:t xml:space="preserve">appreciate his powers and the statutory context within which they were to be exercised.  </w:t>
      </w:r>
      <w:r w:rsidR="00395085">
        <w:rPr>
          <w:rFonts w:ascii="Arial" w:hAnsi="Arial"/>
        </w:rPr>
        <w:t xml:space="preserve">This conclusion was one of several bases upon which the notice was set aside. </w:t>
      </w:r>
      <w:r w:rsidR="00C87D28">
        <w:rPr>
          <w:rFonts w:ascii="Arial" w:hAnsi="Arial"/>
        </w:rPr>
        <w:t xml:space="preserve">The </w:t>
      </w:r>
      <w:r w:rsidR="00395085">
        <w:rPr>
          <w:rFonts w:ascii="Arial" w:hAnsi="Arial"/>
        </w:rPr>
        <w:t xml:space="preserve">judgment in </w:t>
      </w:r>
      <w:r w:rsidR="00395085">
        <w:rPr>
          <w:rFonts w:ascii="Arial" w:hAnsi="Arial"/>
          <w:i/>
        </w:rPr>
        <w:t xml:space="preserve">Matador </w:t>
      </w:r>
      <w:r w:rsidR="00395085">
        <w:rPr>
          <w:rFonts w:ascii="Arial" w:hAnsi="Arial"/>
        </w:rPr>
        <w:t xml:space="preserve">does not establish that an administrative body empowered to make a decision will bear the burden of proving that it has taken the decision when challenged. In any event, in this case, the affidavits lodged by the Commission demonstrate that after receiving a report from Mr </w:t>
      </w:r>
      <w:proofErr w:type="spellStart"/>
      <w:r w:rsidR="00395085">
        <w:rPr>
          <w:rFonts w:ascii="Arial" w:hAnsi="Arial"/>
        </w:rPr>
        <w:t>Masule</w:t>
      </w:r>
      <w:proofErr w:type="spellEnd"/>
      <w:r w:rsidR="00395085">
        <w:rPr>
          <w:rFonts w:ascii="Arial" w:hAnsi="Arial"/>
        </w:rPr>
        <w:t xml:space="preserve"> in relation to his preliminary investigations, the Director instructed Mr </w:t>
      </w:r>
      <w:proofErr w:type="spellStart"/>
      <w:r w:rsidR="00395085">
        <w:rPr>
          <w:rFonts w:ascii="Arial" w:hAnsi="Arial"/>
        </w:rPr>
        <w:t>Masule</w:t>
      </w:r>
      <w:proofErr w:type="spellEnd"/>
      <w:r w:rsidR="00395085">
        <w:rPr>
          <w:rFonts w:ascii="Arial" w:hAnsi="Arial"/>
        </w:rPr>
        <w:t xml:space="preserve"> to launch a full-scale investigation, which he then did. </w:t>
      </w:r>
    </w:p>
    <w:p w:rsidR="00395085" w:rsidRDefault="00395085" w:rsidP="00B76BDF">
      <w:pPr>
        <w:pStyle w:val="ListParagraph"/>
        <w:spacing w:line="480" w:lineRule="auto"/>
        <w:ind w:left="0"/>
        <w:jc w:val="both"/>
        <w:rPr>
          <w:rFonts w:ascii="Arial" w:hAnsi="Arial"/>
        </w:rPr>
      </w:pPr>
    </w:p>
    <w:p w:rsidR="00744AC6" w:rsidRDefault="00B86EC7" w:rsidP="00B76BDF">
      <w:pPr>
        <w:pStyle w:val="ListParagraph"/>
        <w:numPr>
          <w:ilvl w:val="0"/>
          <w:numId w:val="1"/>
        </w:numPr>
        <w:spacing w:line="480" w:lineRule="auto"/>
        <w:ind w:left="0" w:firstLine="0"/>
        <w:jc w:val="both"/>
        <w:rPr>
          <w:rFonts w:ascii="Arial" w:hAnsi="Arial"/>
        </w:rPr>
      </w:pPr>
      <w:r>
        <w:rPr>
          <w:rFonts w:ascii="Arial" w:hAnsi="Arial"/>
        </w:rPr>
        <w:t xml:space="preserve">On the facts of this case, it is </w:t>
      </w:r>
      <w:r w:rsidR="00395085">
        <w:rPr>
          <w:rFonts w:ascii="Arial" w:hAnsi="Arial"/>
        </w:rPr>
        <w:t xml:space="preserve">thus </w:t>
      </w:r>
      <w:r>
        <w:rPr>
          <w:rFonts w:ascii="Arial" w:hAnsi="Arial"/>
        </w:rPr>
        <w:t>clear that the Commission received a letter from the</w:t>
      </w:r>
      <w:r w:rsidR="00333A19">
        <w:rPr>
          <w:rFonts w:ascii="Arial" w:hAnsi="Arial"/>
        </w:rPr>
        <w:t xml:space="preserve"> Union stating that it</w:t>
      </w:r>
      <w:r>
        <w:rPr>
          <w:rFonts w:ascii="Arial" w:hAnsi="Arial"/>
        </w:rPr>
        <w:t xml:space="preserve"> had received reports from its members that there were corrupt practices at the NHE. This letter constituted a notification to the Commission as contemplated by s 17 of the Act. A file of documents outlining the nature of the allegations was provided by the Union following that letter. Upon receipt of the file, </w:t>
      </w:r>
      <w:r w:rsidR="00327810">
        <w:rPr>
          <w:rFonts w:ascii="Arial" w:hAnsi="Arial"/>
        </w:rPr>
        <w:t xml:space="preserve">and after discussion between the Director of the Commission and Mr </w:t>
      </w:r>
      <w:proofErr w:type="spellStart"/>
      <w:r w:rsidR="00327810">
        <w:rPr>
          <w:rFonts w:ascii="Arial" w:hAnsi="Arial"/>
        </w:rPr>
        <w:t>Masule</w:t>
      </w:r>
      <w:proofErr w:type="spellEnd"/>
      <w:r w:rsidR="00327810">
        <w:rPr>
          <w:rFonts w:ascii="Arial" w:hAnsi="Arial"/>
        </w:rPr>
        <w:t xml:space="preserve">, the Director of </w:t>
      </w:r>
      <w:r>
        <w:rPr>
          <w:rFonts w:ascii="Arial" w:hAnsi="Arial"/>
        </w:rPr>
        <w:t>the Commission decided to institute an investigation as contemplated by s 18(1</w:t>
      </w:r>
      <w:proofErr w:type="gramStart"/>
      <w:r>
        <w:rPr>
          <w:rFonts w:ascii="Arial" w:hAnsi="Arial"/>
        </w:rPr>
        <w:t>)</w:t>
      </w:r>
      <w:r w:rsidRPr="00A32D52">
        <w:rPr>
          <w:rFonts w:ascii="Arial" w:hAnsi="Arial"/>
          <w:i/>
        </w:rPr>
        <w:t>(</w:t>
      </w:r>
      <w:proofErr w:type="gramEnd"/>
      <w:r w:rsidRPr="00A32D52">
        <w:rPr>
          <w:rFonts w:ascii="Arial" w:hAnsi="Arial"/>
          <w:i/>
        </w:rPr>
        <w:t>b)</w:t>
      </w:r>
      <w:r>
        <w:rPr>
          <w:rFonts w:ascii="Arial" w:hAnsi="Arial"/>
        </w:rPr>
        <w:t xml:space="preserve"> and 18(3) of the Act. </w:t>
      </w:r>
      <w:r w:rsidR="00BF14EC">
        <w:rPr>
          <w:rFonts w:ascii="Arial" w:hAnsi="Arial"/>
        </w:rPr>
        <w:t xml:space="preserve">It </w:t>
      </w:r>
      <w:r w:rsidR="00333A19">
        <w:rPr>
          <w:rFonts w:ascii="Arial" w:hAnsi="Arial"/>
        </w:rPr>
        <w:t xml:space="preserve">is clear from </w:t>
      </w:r>
      <w:r w:rsidR="00BF14EC">
        <w:rPr>
          <w:rFonts w:ascii="Arial" w:hAnsi="Arial"/>
        </w:rPr>
        <w:t xml:space="preserve">Mr </w:t>
      </w:r>
      <w:proofErr w:type="spellStart"/>
      <w:r w:rsidR="00BF14EC">
        <w:rPr>
          <w:rFonts w:ascii="Arial" w:hAnsi="Arial"/>
        </w:rPr>
        <w:t>Masule’s</w:t>
      </w:r>
      <w:proofErr w:type="spellEnd"/>
      <w:r w:rsidR="00BF14EC">
        <w:rPr>
          <w:rFonts w:ascii="Arial" w:hAnsi="Arial"/>
        </w:rPr>
        <w:t xml:space="preserve"> affidavit </w:t>
      </w:r>
      <w:r w:rsidR="00333A19">
        <w:rPr>
          <w:rFonts w:ascii="Arial" w:hAnsi="Arial"/>
        </w:rPr>
        <w:t xml:space="preserve">that the </w:t>
      </w:r>
      <w:r w:rsidR="00BF14EC">
        <w:rPr>
          <w:rFonts w:ascii="Arial" w:hAnsi="Arial"/>
        </w:rPr>
        <w:t xml:space="preserve">allegations made </w:t>
      </w:r>
      <w:r w:rsidR="00A01294">
        <w:rPr>
          <w:rFonts w:ascii="Arial" w:hAnsi="Arial"/>
        </w:rPr>
        <w:t xml:space="preserve">by the Union contained </w:t>
      </w:r>
      <w:r>
        <w:rPr>
          <w:rFonts w:ascii="Arial" w:hAnsi="Arial"/>
        </w:rPr>
        <w:t xml:space="preserve">allegations about </w:t>
      </w:r>
      <w:r w:rsidR="00BF14EC">
        <w:rPr>
          <w:rFonts w:ascii="Arial" w:hAnsi="Arial"/>
        </w:rPr>
        <w:t xml:space="preserve">nepotism and </w:t>
      </w:r>
      <w:r>
        <w:rPr>
          <w:rFonts w:ascii="Arial" w:hAnsi="Arial"/>
        </w:rPr>
        <w:t>misuse of funds at the NHE</w:t>
      </w:r>
      <w:r w:rsidR="00A01294">
        <w:rPr>
          <w:rFonts w:ascii="Arial" w:hAnsi="Arial"/>
        </w:rPr>
        <w:t xml:space="preserve">.  Such </w:t>
      </w:r>
      <w:r w:rsidR="00BF14EC">
        <w:rPr>
          <w:rFonts w:ascii="Arial" w:hAnsi="Arial"/>
        </w:rPr>
        <w:t xml:space="preserve">allegations </w:t>
      </w:r>
      <w:r w:rsidR="00890050">
        <w:rPr>
          <w:rFonts w:ascii="Arial" w:hAnsi="Arial"/>
        </w:rPr>
        <w:t xml:space="preserve">relate to corrupt practices (as is discussed further below) and </w:t>
      </w:r>
      <w:r w:rsidR="00BF14EC">
        <w:rPr>
          <w:rFonts w:ascii="Arial" w:hAnsi="Arial"/>
        </w:rPr>
        <w:t>raise</w:t>
      </w:r>
      <w:r>
        <w:rPr>
          <w:rFonts w:ascii="Arial" w:hAnsi="Arial"/>
        </w:rPr>
        <w:t xml:space="preserve"> matter</w:t>
      </w:r>
      <w:r w:rsidR="00BF14EC">
        <w:rPr>
          <w:rFonts w:ascii="Arial" w:hAnsi="Arial"/>
        </w:rPr>
        <w:t>s</w:t>
      </w:r>
      <w:r>
        <w:rPr>
          <w:rFonts w:ascii="Arial" w:hAnsi="Arial"/>
        </w:rPr>
        <w:t xml:space="preserve"> of public importance, that</w:t>
      </w:r>
      <w:r w:rsidR="00333A19">
        <w:rPr>
          <w:rFonts w:ascii="Arial" w:hAnsi="Arial"/>
        </w:rPr>
        <w:t xml:space="preserve">, as long as the allegations seem to have a reasonable foundation, </w:t>
      </w:r>
      <w:r>
        <w:rPr>
          <w:rFonts w:ascii="Arial" w:hAnsi="Arial"/>
        </w:rPr>
        <w:t xml:space="preserve">warrant further investigation. </w:t>
      </w:r>
      <w:r w:rsidR="00333A19">
        <w:rPr>
          <w:rFonts w:ascii="Arial" w:hAnsi="Arial"/>
        </w:rPr>
        <w:t xml:space="preserve">Moreover, although it may have been open to the Commission to refer the investigation to the Namibian Police as </w:t>
      </w:r>
      <w:r w:rsidR="00300C47">
        <w:rPr>
          <w:rFonts w:ascii="Arial" w:hAnsi="Arial"/>
        </w:rPr>
        <w:t>a</w:t>
      </w:r>
      <w:r w:rsidR="00333A19">
        <w:rPr>
          <w:rFonts w:ascii="Arial" w:hAnsi="Arial"/>
        </w:rPr>
        <w:t xml:space="preserve">ppellant suggests, given the powers of the Commission to investigate allegations of corrupt practices there is no reason why the Commission was obliged to refer the investigation to the police. </w:t>
      </w:r>
    </w:p>
    <w:p w:rsidR="00327810" w:rsidRDefault="00327810" w:rsidP="00A32D52">
      <w:pPr>
        <w:pStyle w:val="ListParagraph"/>
        <w:spacing w:line="480" w:lineRule="auto"/>
        <w:ind w:left="0"/>
        <w:jc w:val="both"/>
        <w:rPr>
          <w:rFonts w:ascii="Arial" w:hAnsi="Arial"/>
        </w:rPr>
      </w:pPr>
    </w:p>
    <w:p w:rsidR="00D52069" w:rsidRDefault="00A01294" w:rsidP="00B76BDF">
      <w:pPr>
        <w:pStyle w:val="ListParagraph"/>
        <w:numPr>
          <w:ilvl w:val="0"/>
          <w:numId w:val="1"/>
        </w:numPr>
        <w:spacing w:line="480" w:lineRule="auto"/>
        <w:ind w:left="0" w:firstLine="0"/>
        <w:jc w:val="both"/>
        <w:rPr>
          <w:rFonts w:ascii="Arial" w:hAnsi="Arial"/>
        </w:rPr>
      </w:pPr>
      <w:r>
        <w:rPr>
          <w:rFonts w:ascii="Arial" w:hAnsi="Arial"/>
        </w:rPr>
        <w:t>In relation to</w:t>
      </w:r>
      <w:r w:rsidR="00333A19">
        <w:rPr>
          <w:rFonts w:ascii="Arial" w:hAnsi="Arial"/>
        </w:rPr>
        <w:t xml:space="preserve"> the considerations set out in s 18(2)</w:t>
      </w:r>
      <w:r w:rsidRPr="00A32D52">
        <w:rPr>
          <w:rFonts w:ascii="Arial" w:hAnsi="Arial"/>
          <w:i/>
        </w:rPr>
        <w:t>(b)</w:t>
      </w:r>
      <w:r w:rsidR="00333A19">
        <w:rPr>
          <w:rFonts w:ascii="Arial" w:hAnsi="Arial"/>
        </w:rPr>
        <w:t xml:space="preserve"> of the Act, </w:t>
      </w:r>
      <w:r w:rsidR="00300C47">
        <w:rPr>
          <w:rFonts w:ascii="Arial" w:hAnsi="Arial"/>
        </w:rPr>
        <w:t>a</w:t>
      </w:r>
      <w:r w:rsidR="00D52069">
        <w:rPr>
          <w:rFonts w:ascii="Arial" w:hAnsi="Arial"/>
        </w:rPr>
        <w:t>ppellant points to the memorandum th</w:t>
      </w:r>
      <w:r w:rsidR="00744AC6">
        <w:rPr>
          <w:rFonts w:ascii="Arial" w:hAnsi="Arial"/>
        </w:rPr>
        <w:t>a</w:t>
      </w:r>
      <w:r w:rsidR="00D52069">
        <w:rPr>
          <w:rFonts w:ascii="Arial" w:hAnsi="Arial"/>
        </w:rPr>
        <w:t xml:space="preserve">t he furnished the Commission in October 2007, </w:t>
      </w:r>
      <w:r w:rsidR="00DA19E2">
        <w:rPr>
          <w:rFonts w:ascii="Arial" w:hAnsi="Arial"/>
        </w:rPr>
        <w:t xml:space="preserve">in response to the list of thirteen charges given to him by Mr </w:t>
      </w:r>
      <w:proofErr w:type="spellStart"/>
      <w:r w:rsidR="00DA19E2">
        <w:rPr>
          <w:rFonts w:ascii="Arial" w:hAnsi="Arial"/>
        </w:rPr>
        <w:t>Masule</w:t>
      </w:r>
      <w:proofErr w:type="spellEnd"/>
      <w:r w:rsidR="00DA19E2">
        <w:rPr>
          <w:rFonts w:ascii="Arial" w:hAnsi="Arial"/>
        </w:rPr>
        <w:t xml:space="preserve">. </w:t>
      </w:r>
      <w:r w:rsidR="00744AC6">
        <w:rPr>
          <w:rFonts w:ascii="Arial" w:hAnsi="Arial"/>
        </w:rPr>
        <w:t>In</w:t>
      </w:r>
      <w:r w:rsidR="00D52069">
        <w:rPr>
          <w:rFonts w:ascii="Arial" w:hAnsi="Arial"/>
        </w:rPr>
        <w:t xml:space="preserve"> that memorandum, </w:t>
      </w:r>
      <w:r w:rsidR="00300C47">
        <w:rPr>
          <w:rFonts w:ascii="Arial" w:hAnsi="Arial"/>
        </w:rPr>
        <w:t>a</w:t>
      </w:r>
      <w:r w:rsidR="00D52069">
        <w:rPr>
          <w:rFonts w:ascii="Arial" w:hAnsi="Arial"/>
        </w:rPr>
        <w:t xml:space="preserve">ppellant explained to the </w:t>
      </w:r>
      <w:r w:rsidR="00744AC6">
        <w:rPr>
          <w:rFonts w:ascii="Arial" w:hAnsi="Arial"/>
        </w:rPr>
        <w:t>Commission</w:t>
      </w:r>
      <w:r w:rsidR="00D52069">
        <w:rPr>
          <w:rFonts w:ascii="Arial" w:hAnsi="Arial"/>
        </w:rPr>
        <w:t xml:space="preserve"> that it was his view that the accusations made by the Union were related to the conflict that had arisen as a result of NHE’s decision to retrench workers in 2006.  Appellant argues that this information should have warned the Commission that it was possible that the allegations against </w:t>
      </w:r>
      <w:r w:rsidR="00300C47">
        <w:rPr>
          <w:rFonts w:ascii="Arial" w:hAnsi="Arial"/>
        </w:rPr>
        <w:t>a</w:t>
      </w:r>
      <w:r w:rsidR="00D52069">
        <w:rPr>
          <w:rFonts w:ascii="Arial" w:hAnsi="Arial"/>
        </w:rPr>
        <w:t>ppellant were frivolous, vexatious or not made in good faith, as contemplated in s 18(2)</w:t>
      </w:r>
      <w:r w:rsidRPr="00A32D52">
        <w:rPr>
          <w:rFonts w:ascii="Arial" w:hAnsi="Arial"/>
          <w:i/>
        </w:rPr>
        <w:t>(b)</w:t>
      </w:r>
      <w:r w:rsidR="00D52069">
        <w:rPr>
          <w:rFonts w:ascii="Arial" w:hAnsi="Arial"/>
        </w:rPr>
        <w:t xml:space="preserve"> of the Act.</w:t>
      </w:r>
    </w:p>
    <w:p w:rsidR="00D52069" w:rsidRDefault="00D52069" w:rsidP="00B76BDF">
      <w:pPr>
        <w:pStyle w:val="ListParagraph"/>
        <w:spacing w:line="480" w:lineRule="auto"/>
        <w:ind w:left="0"/>
        <w:jc w:val="both"/>
        <w:rPr>
          <w:rFonts w:ascii="Arial" w:hAnsi="Arial"/>
        </w:rPr>
      </w:pPr>
    </w:p>
    <w:p w:rsidR="00D52069" w:rsidRDefault="00D52069" w:rsidP="00B76BDF">
      <w:pPr>
        <w:pStyle w:val="ListParagraph"/>
        <w:numPr>
          <w:ilvl w:val="0"/>
          <w:numId w:val="1"/>
        </w:numPr>
        <w:spacing w:line="480" w:lineRule="auto"/>
        <w:ind w:left="0" w:firstLine="0"/>
        <w:jc w:val="both"/>
        <w:rPr>
          <w:rFonts w:ascii="Arial" w:hAnsi="Arial"/>
        </w:rPr>
      </w:pPr>
      <w:r>
        <w:rPr>
          <w:rFonts w:ascii="Arial" w:hAnsi="Arial"/>
        </w:rPr>
        <w:t xml:space="preserve">Appellant’s memorandum to the </w:t>
      </w:r>
      <w:r w:rsidR="00DA19E2">
        <w:rPr>
          <w:rFonts w:ascii="Arial" w:hAnsi="Arial"/>
        </w:rPr>
        <w:t>Commission was provided some months</w:t>
      </w:r>
      <w:r>
        <w:rPr>
          <w:rFonts w:ascii="Arial" w:hAnsi="Arial"/>
        </w:rPr>
        <w:t xml:space="preserve"> after the investigation into </w:t>
      </w:r>
      <w:r w:rsidR="00300C47">
        <w:rPr>
          <w:rFonts w:ascii="Arial" w:hAnsi="Arial"/>
        </w:rPr>
        <w:t>a</w:t>
      </w:r>
      <w:r>
        <w:rPr>
          <w:rFonts w:ascii="Arial" w:hAnsi="Arial"/>
        </w:rPr>
        <w:t xml:space="preserve">ppellant had commenced, and after the Commission had taken the decisions to investigate </w:t>
      </w:r>
      <w:r w:rsidR="00300C47">
        <w:rPr>
          <w:rFonts w:ascii="Arial" w:hAnsi="Arial"/>
        </w:rPr>
        <w:t>a</w:t>
      </w:r>
      <w:r>
        <w:rPr>
          <w:rFonts w:ascii="Arial" w:hAnsi="Arial"/>
        </w:rPr>
        <w:t xml:space="preserve">ppellant itself in terms </w:t>
      </w:r>
      <w:proofErr w:type="gramStart"/>
      <w:r>
        <w:rPr>
          <w:rFonts w:ascii="Arial" w:hAnsi="Arial"/>
        </w:rPr>
        <w:t>of</w:t>
      </w:r>
      <w:r w:rsidR="003B37A5">
        <w:rPr>
          <w:rFonts w:ascii="Arial" w:hAnsi="Arial"/>
        </w:rPr>
        <w:t xml:space="preserve"> </w:t>
      </w:r>
      <w:r>
        <w:rPr>
          <w:rFonts w:ascii="Arial" w:hAnsi="Arial"/>
        </w:rPr>
        <w:t xml:space="preserve"> s</w:t>
      </w:r>
      <w:proofErr w:type="gramEnd"/>
      <w:r>
        <w:rPr>
          <w:rFonts w:ascii="Arial" w:hAnsi="Arial"/>
        </w:rPr>
        <w:t xml:space="preserve"> 18 of the Act. Th</w:t>
      </w:r>
      <w:r w:rsidR="00DA19E2">
        <w:rPr>
          <w:rFonts w:ascii="Arial" w:hAnsi="Arial"/>
        </w:rPr>
        <w:t>e Commission cannot be faulted</w:t>
      </w:r>
      <w:r>
        <w:rPr>
          <w:rFonts w:ascii="Arial" w:hAnsi="Arial"/>
        </w:rPr>
        <w:t xml:space="preserve"> for not having considered the memorandum before it took its decisions in terms of s 18.</w:t>
      </w:r>
      <w:r w:rsidR="00333A19">
        <w:rPr>
          <w:rFonts w:ascii="Arial" w:hAnsi="Arial"/>
        </w:rPr>
        <w:t xml:space="preserve"> </w:t>
      </w:r>
    </w:p>
    <w:p w:rsidR="005D591B" w:rsidRDefault="005D591B" w:rsidP="00B76BDF">
      <w:pPr>
        <w:pStyle w:val="ListParagraph"/>
        <w:spacing w:line="480" w:lineRule="auto"/>
        <w:ind w:left="0"/>
        <w:jc w:val="both"/>
        <w:rPr>
          <w:rFonts w:ascii="Arial" w:hAnsi="Arial"/>
        </w:rPr>
      </w:pPr>
    </w:p>
    <w:p w:rsidR="000C172B" w:rsidRDefault="00D52069" w:rsidP="00B76BDF">
      <w:pPr>
        <w:pStyle w:val="ListParagraph"/>
        <w:numPr>
          <w:ilvl w:val="0"/>
          <w:numId w:val="1"/>
        </w:numPr>
        <w:spacing w:line="480" w:lineRule="auto"/>
        <w:ind w:left="0" w:firstLine="0"/>
        <w:jc w:val="both"/>
        <w:rPr>
          <w:rFonts w:ascii="Arial" w:hAnsi="Arial"/>
        </w:rPr>
      </w:pPr>
      <w:r>
        <w:rPr>
          <w:rFonts w:ascii="Arial" w:hAnsi="Arial"/>
        </w:rPr>
        <w:t xml:space="preserve">Appellant argues that </w:t>
      </w:r>
      <w:r w:rsidRPr="00D52069">
        <w:rPr>
          <w:rFonts w:ascii="Arial" w:hAnsi="Arial"/>
        </w:rPr>
        <w:t>the decision</w:t>
      </w:r>
      <w:r>
        <w:rPr>
          <w:rFonts w:ascii="Arial" w:hAnsi="Arial"/>
        </w:rPr>
        <w:t xml:space="preserve">s </w:t>
      </w:r>
      <w:r w:rsidR="00A01294">
        <w:rPr>
          <w:rFonts w:ascii="Arial" w:hAnsi="Arial"/>
        </w:rPr>
        <w:t>in terms of s 18(1</w:t>
      </w:r>
      <w:proofErr w:type="gramStart"/>
      <w:r w:rsidR="00A01294">
        <w:rPr>
          <w:rFonts w:ascii="Arial" w:hAnsi="Arial"/>
        </w:rPr>
        <w:t>)</w:t>
      </w:r>
      <w:r w:rsidR="00A01294" w:rsidRPr="008A2E86">
        <w:rPr>
          <w:rFonts w:ascii="Arial" w:hAnsi="Arial"/>
          <w:i/>
        </w:rPr>
        <w:t>(</w:t>
      </w:r>
      <w:proofErr w:type="gramEnd"/>
      <w:r w:rsidR="00A01294" w:rsidRPr="008A2E86">
        <w:rPr>
          <w:rFonts w:ascii="Arial" w:hAnsi="Arial"/>
          <w:i/>
        </w:rPr>
        <w:t>b)</w:t>
      </w:r>
      <w:r w:rsidR="00A01294">
        <w:rPr>
          <w:rFonts w:ascii="Arial" w:hAnsi="Arial"/>
        </w:rPr>
        <w:t xml:space="preserve"> and 18(3) </w:t>
      </w:r>
      <w:r>
        <w:rPr>
          <w:rFonts w:ascii="Arial" w:hAnsi="Arial"/>
        </w:rPr>
        <w:t>were</w:t>
      </w:r>
      <w:r w:rsidRPr="00D52069">
        <w:rPr>
          <w:rFonts w:ascii="Arial" w:hAnsi="Arial"/>
        </w:rPr>
        <w:t xml:space="preserve"> prompted by ulterior motives, taken in bad faith and for purpose of achieving the reversal of the retrenchment</w:t>
      </w:r>
      <w:r w:rsidR="00A01294">
        <w:rPr>
          <w:rFonts w:ascii="Arial" w:hAnsi="Arial"/>
        </w:rPr>
        <w:t xml:space="preserve"> of former employees of the NHE.  However, at the time the decisions were taken in mid-2007, there is nothing on the record to suggest that the Commission was aware of the dispute at NHE, or the fact that the Union might not have been acting in good faith when it laid the complaint against </w:t>
      </w:r>
      <w:r w:rsidR="00300C47">
        <w:rPr>
          <w:rFonts w:ascii="Arial" w:hAnsi="Arial"/>
        </w:rPr>
        <w:t>a</w:t>
      </w:r>
      <w:r w:rsidR="00A01294">
        <w:rPr>
          <w:rFonts w:ascii="Arial" w:hAnsi="Arial"/>
        </w:rPr>
        <w:t xml:space="preserve">ppellant. Moreover, even if the Commission had </w:t>
      </w:r>
      <w:r w:rsidR="00DA19E2">
        <w:rPr>
          <w:rFonts w:ascii="Arial" w:hAnsi="Arial"/>
        </w:rPr>
        <w:t xml:space="preserve">considered </w:t>
      </w:r>
      <w:r w:rsidR="00A01294">
        <w:rPr>
          <w:rFonts w:ascii="Arial" w:hAnsi="Arial"/>
        </w:rPr>
        <w:t>that the Union was acting with an ulterior purpose in la</w:t>
      </w:r>
      <w:r w:rsidR="000C172B">
        <w:rPr>
          <w:rFonts w:ascii="Arial" w:hAnsi="Arial"/>
        </w:rPr>
        <w:t>y</w:t>
      </w:r>
      <w:r w:rsidR="00A01294">
        <w:rPr>
          <w:rFonts w:ascii="Arial" w:hAnsi="Arial"/>
        </w:rPr>
        <w:t>ing the</w:t>
      </w:r>
      <w:r w:rsidR="00183A8B">
        <w:rPr>
          <w:rFonts w:ascii="Arial" w:hAnsi="Arial"/>
        </w:rPr>
        <w:t xml:space="preserve"> complaint against </w:t>
      </w:r>
      <w:r w:rsidR="00300C47">
        <w:rPr>
          <w:rFonts w:ascii="Arial" w:hAnsi="Arial"/>
        </w:rPr>
        <w:t>a</w:t>
      </w:r>
      <w:r w:rsidR="00183A8B">
        <w:rPr>
          <w:rFonts w:ascii="Arial" w:hAnsi="Arial"/>
        </w:rPr>
        <w:t xml:space="preserve">ppellant, </w:t>
      </w:r>
      <w:r w:rsidR="00A01294">
        <w:rPr>
          <w:rFonts w:ascii="Arial" w:hAnsi="Arial"/>
        </w:rPr>
        <w:t xml:space="preserve">that </w:t>
      </w:r>
      <w:r w:rsidR="00183A8B">
        <w:rPr>
          <w:rFonts w:ascii="Arial" w:hAnsi="Arial"/>
        </w:rPr>
        <w:t xml:space="preserve">fact </w:t>
      </w:r>
      <w:r w:rsidR="00A01294">
        <w:rPr>
          <w:rFonts w:ascii="Arial" w:hAnsi="Arial"/>
        </w:rPr>
        <w:t xml:space="preserve">would not have </w:t>
      </w:r>
      <w:r w:rsidR="00DA19E2">
        <w:rPr>
          <w:rFonts w:ascii="Arial" w:hAnsi="Arial"/>
        </w:rPr>
        <w:t xml:space="preserve">been a bar to </w:t>
      </w:r>
      <w:r w:rsidR="00A01294">
        <w:rPr>
          <w:rFonts w:ascii="Arial" w:hAnsi="Arial"/>
        </w:rPr>
        <w:t xml:space="preserve">the </w:t>
      </w:r>
      <w:r w:rsidR="000C172B">
        <w:rPr>
          <w:rFonts w:ascii="Arial" w:hAnsi="Arial"/>
        </w:rPr>
        <w:t>Commission</w:t>
      </w:r>
      <w:r w:rsidR="00A01294">
        <w:rPr>
          <w:rFonts w:ascii="Arial" w:hAnsi="Arial"/>
        </w:rPr>
        <w:t xml:space="preserve"> </w:t>
      </w:r>
      <w:r w:rsidR="00DA19E2">
        <w:rPr>
          <w:rFonts w:ascii="Arial" w:hAnsi="Arial"/>
        </w:rPr>
        <w:t xml:space="preserve">investigating </w:t>
      </w:r>
      <w:r w:rsidR="0069204D">
        <w:rPr>
          <w:rFonts w:ascii="Arial" w:hAnsi="Arial"/>
        </w:rPr>
        <w:t xml:space="preserve">the complaint. </w:t>
      </w:r>
      <w:r w:rsidR="00DA19E2">
        <w:rPr>
          <w:rFonts w:ascii="Arial" w:hAnsi="Arial"/>
        </w:rPr>
        <w:t>The question for the Commission would have remained whether there were rea</w:t>
      </w:r>
      <w:r w:rsidR="00183A8B">
        <w:rPr>
          <w:rFonts w:ascii="Arial" w:hAnsi="Arial"/>
        </w:rPr>
        <w:t xml:space="preserve">sonable grounds to warrant an </w:t>
      </w:r>
      <w:r w:rsidR="00DA19E2">
        <w:rPr>
          <w:rFonts w:ascii="Arial" w:hAnsi="Arial"/>
        </w:rPr>
        <w:t>investigation. As Damaseb JP observ</w:t>
      </w:r>
      <w:r w:rsidR="00A01294">
        <w:rPr>
          <w:rFonts w:ascii="Arial" w:hAnsi="Arial"/>
        </w:rPr>
        <w:t xml:space="preserve">ed in the High Court, </w:t>
      </w:r>
      <w:r w:rsidR="00300C47">
        <w:rPr>
          <w:rFonts w:ascii="Arial" w:hAnsi="Arial"/>
        </w:rPr>
        <w:t>‘</w:t>
      </w:r>
      <w:r w:rsidR="000C172B">
        <w:rPr>
          <w:rFonts w:ascii="Arial" w:hAnsi="Arial"/>
        </w:rPr>
        <w:t xml:space="preserve">information provided by grudge-bearing whistle-blowers is often the best source of information for investigators, especially in corruption cases which </w:t>
      </w:r>
      <w:r w:rsidR="00300C47">
        <w:rPr>
          <w:rFonts w:ascii="Arial" w:hAnsi="Arial"/>
        </w:rPr>
        <w:t>. . .</w:t>
      </w:r>
      <w:r w:rsidR="00186B1F">
        <w:rPr>
          <w:rFonts w:ascii="Arial" w:hAnsi="Arial"/>
        </w:rPr>
        <w:t xml:space="preserve"> </w:t>
      </w:r>
      <w:r w:rsidR="000C172B">
        <w:rPr>
          <w:rFonts w:ascii="Arial" w:hAnsi="Arial"/>
        </w:rPr>
        <w:t xml:space="preserve">are difficult to uncover </w:t>
      </w:r>
      <w:r w:rsidR="00300C47">
        <w:rPr>
          <w:rFonts w:ascii="Arial" w:hAnsi="Arial"/>
        </w:rPr>
        <w:t>. . . .</w:t>
      </w:r>
      <w:proofErr w:type="gramStart"/>
      <w:r w:rsidR="00300C47">
        <w:rPr>
          <w:rFonts w:ascii="Arial" w:hAnsi="Arial"/>
        </w:rPr>
        <w:t>’</w:t>
      </w:r>
      <w:r w:rsidR="000C172B">
        <w:rPr>
          <w:rFonts w:ascii="Arial" w:hAnsi="Arial"/>
        </w:rPr>
        <w:t>.</w:t>
      </w:r>
      <w:proofErr w:type="gramEnd"/>
      <w:r w:rsidR="000C172B">
        <w:rPr>
          <w:rStyle w:val="FootnoteReference"/>
          <w:rFonts w:ascii="Arial" w:hAnsi="Arial"/>
        </w:rPr>
        <w:footnoteReference w:id="26"/>
      </w:r>
      <w:r w:rsidR="000C172B">
        <w:rPr>
          <w:rFonts w:ascii="Arial" w:hAnsi="Arial"/>
        </w:rPr>
        <w:t xml:space="preserve">  The fact, </w:t>
      </w:r>
      <w:r w:rsidR="003C29F7">
        <w:rPr>
          <w:rFonts w:ascii="Arial" w:hAnsi="Arial"/>
        </w:rPr>
        <w:t>therefore</w:t>
      </w:r>
      <w:r w:rsidR="000C172B">
        <w:rPr>
          <w:rFonts w:ascii="Arial" w:hAnsi="Arial"/>
        </w:rPr>
        <w:t xml:space="preserve">, that a complaint may be laid by someone for an ulterior motive does not </w:t>
      </w:r>
      <w:r w:rsidR="00DA19E2">
        <w:rPr>
          <w:rFonts w:ascii="Arial" w:hAnsi="Arial"/>
        </w:rPr>
        <w:t xml:space="preserve">have the automatic consequence </w:t>
      </w:r>
      <w:r w:rsidR="000C172B">
        <w:rPr>
          <w:rFonts w:ascii="Arial" w:hAnsi="Arial"/>
        </w:rPr>
        <w:t xml:space="preserve">that </w:t>
      </w:r>
      <w:r w:rsidR="00DA19E2">
        <w:rPr>
          <w:rFonts w:ascii="Arial" w:hAnsi="Arial"/>
        </w:rPr>
        <w:t xml:space="preserve">a </w:t>
      </w:r>
      <w:r w:rsidR="000C172B">
        <w:rPr>
          <w:rFonts w:ascii="Arial" w:hAnsi="Arial"/>
        </w:rPr>
        <w:t>complaint should not be investigated.</w:t>
      </w:r>
    </w:p>
    <w:p w:rsidR="003C29F7" w:rsidRDefault="003C29F7" w:rsidP="00B76BDF">
      <w:pPr>
        <w:pStyle w:val="ListParagraph"/>
        <w:spacing w:line="480" w:lineRule="auto"/>
        <w:ind w:left="0"/>
        <w:jc w:val="both"/>
        <w:rPr>
          <w:rFonts w:ascii="Arial" w:hAnsi="Arial"/>
        </w:rPr>
      </w:pPr>
    </w:p>
    <w:p w:rsidR="000C172B" w:rsidRPr="000C172B" w:rsidRDefault="000C172B" w:rsidP="00B76BDF">
      <w:pPr>
        <w:pStyle w:val="ListParagraph"/>
        <w:numPr>
          <w:ilvl w:val="0"/>
          <w:numId w:val="1"/>
        </w:numPr>
        <w:spacing w:line="480" w:lineRule="auto"/>
        <w:ind w:left="0" w:firstLine="0"/>
        <w:jc w:val="both"/>
        <w:rPr>
          <w:rFonts w:ascii="Arial" w:hAnsi="Arial"/>
        </w:rPr>
      </w:pPr>
      <w:r>
        <w:rPr>
          <w:rFonts w:ascii="Arial" w:hAnsi="Arial"/>
        </w:rPr>
        <w:t xml:space="preserve">Appellant also argued that the </w:t>
      </w:r>
      <w:r w:rsidR="00DA19E2">
        <w:rPr>
          <w:rFonts w:ascii="Arial" w:hAnsi="Arial"/>
        </w:rPr>
        <w:t xml:space="preserve">Commission’s </w:t>
      </w:r>
      <w:r>
        <w:rPr>
          <w:rFonts w:ascii="Arial" w:hAnsi="Arial"/>
        </w:rPr>
        <w:t xml:space="preserve">decisions should be set aside on the basis that the </w:t>
      </w:r>
      <w:r w:rsidR="003C29F7">
        <w:rPr>
          <w:rFonts w:ascii="Arial" w:hAnsi="Arial"/>
        </w:rPr>
        <w:t>Commission</w:t>
      </w:r>
      <w:r>
        <w:rPr>
          <w:rFonts w:ascii="Arial" w:hAnsi="Arial"/>
        </w:rPr>
        <w:t xml:space="preserve"> was biased against the </w:t>
      </w:r>
      <w:r w:rsidR="00300C47">
        <w:rPr>
          <w:rFonts w:ascii="Arial" w:hAnsi="Arial"/>
        </w:rPr>
        <w:t>a</w:t>
      </w:r>
      <w:r>
        <w:rPr>
          <w:rFonts w:ascii="Arial" w:hAnsi="Arial"/>
        </w:rPr>
        <w:t xml:space="preserve">ppellant, but </w:t>
      </w:r>
      <w:r w:rsidR="00300C47">
        <w:rPr>
          <w:rFonts w:ascii="Arial" w:hAnsi="Arial"/>
        </w:rPr>
        <w:t>a</w:t>
      </w:r>
      <w:r>
        <w:rPr>
          <w:rFonts w:ascii="Arial" w:hAnsi="Arial"/>
        </w:rPr>
        <w:t xml:space="preserve">ppellant did not point to any evidence to suggest on what basis the Commission was </w:t>
      </w:r>
      <w:r w:rsidR="003C29F7">
        <w:rPr>
          <w:rFonts w:ascii="Arial" w:hAnsi="Arial"/>
        </w:rPr>
        <w:t>biased</w:t>
      </w:r>
      <w:r w:rsidR="00DA19E2">
        <w:rPr>
          <w:rFonts w:ascii="Arial" w:hAnsi="Arial"/>
        </w:rPr>
        <w:t xml:space="preserve"> against </w:t>
      </w:r>
      <w:r w:rsidR="00300C47">
        <w:rPr>
          <w:rFonts w:ascii="Arial" w:hAnsi="Arial"/>
        </w:rPr>
        <w:t>a</w:t>
      </w:r>
      <w:r w:rsidR="00DA19E2">
        <w:rPr>
          <w:rFonts w:ascii="Arial" w:hAnsi="Arial"/>
        </w:rPr>
        <w:t xml:space="preserve">ppellant </w:t>
      </w:r>
      <w:r>
        <w:rPr>
          <w:rFonts w:ascii="Arial" w:hAnsi="Arial"/>
        </w:rPr>
        <w:t>at the time the decisions in terms of s 18</w:t>
      </w:r>
      <w:r w:rsidR="00DA19E2">
        <w:rPr>
          <w:rFonts w:ascii="Arial" w:hAnsi="Arial"/>
        </w:rPr>
        <w:t>(1</w:t>
      </w:r>
      <w:proofErr w:type="gramStart"/>
      <w:r w:rsidR="00DA19E2">
        <w:rPr>
          <w:rFonts w:ascii="Arial" w:hAnsi="Arial"/>
        </w:rPr>
        <w:t>)</w:t>
      </w:r>
      <w:r w:rsidR="00DA19E2" w:rsidRPr="00A32D52">
        <w:rPr>
          <w:rFonts w:ascii="Arial" w:hAnsi="Arial"/>
          <w:i/>
        </w:rPr>
        <w:t>(</w:t>
      </w:r>
      <w:proofErr w:type="gramEnd"/>
      <w:r w:rsidR="00DA19E2" w:rsidRPr="00A32D52">
        <w:rPr>
          <w:rFonts w:ascii="Arial" w:hAnsi="Arial"/>
          <w:i/>
        </w:rPr>
        <w:t>b)</w:t>
      </w:r>
      <w:r w:rsidR="003C29F7">
        <w:rPr>
          <w:rFonts w:ascii="Arial" w:hAnsi="Arial"/>
        </w:rPr>
        <w:t xml:space="preserve"> and 18(3) of the Act were taken. </w:t>
      </w:r>
      <w:r w:rsidR="00183A8B">
        <w:rPr>
          <w:rFonts w:ascii="Arial" w:hAnsi="Arial"/>
        </w:rPr>
        <w:t>Appellant relied on several decisions that are authority for the principle that where a power is not used for the statutory purpose for which it is conferred, but is used instead for an ulterior purpose, the exercise of the power for the ulterior purpose will be declared invalid.</w:t>
      </w:r>
      <w:r w:rsidR="00183A8B">
        <w:rPr>
          <w:rStyle w:val="FootnoteReference"/>
          <w:rFonts w:ascii="Arial" w:hAnsi="Arial"/>
        </w:rPr>
        <w:footnoteReference w:id="27"/>
      </w:r>
      <w:r w:rsidR="00183A8B">
        <w:rPr>
          <w:rFonts w:ascii="Arial" w:hAnsi="Arial"/>
        </w:rPr>
        <w:t xml:space="preserve">  This principle is a salutary one, and indeed it underpinned the High Court’s decision to declare the arrest of </w:t>
      </w:r>
      <w:r w:rsidR="007B4890">
        <w:rPr>
          <w:rFonts w:ascii="Arial" w:hAnsi="Arial"/>
        </w:rPr>
        <w:t>a</w:t>
      </w:r>
      <w:r w:rsidR="00183A8B">
        <w:rPr>
          <w:rFonts w:ascii="Arial" w:hAnsi="Arial"/>
        </w:rPr>
        <w:t xml:space="preserve">ppellant unlawful, but it does not assist </w:t>
      </w:r>
      <w:r w:rsidR="007B4890">
        <w:rPr>
          <w:rFonts w:ascii="Arial" w:hAnsi="Arial"/>
        </w:rPr>
        <w:t>a</w:t>
      </w:r>
      <w:r w:rsidR="00183A8B">
        <w:rPr>
          <w:rFonts w:ascii="Arial" w:hAnsi="Arial"/>
        </w:rPr>
        <w:t xml:space="preserve">ppellant in relation to his challenge to the Commission’s decisions to institute an investigation into his conduct.  The record does not establish that at the time the decisions to investigate were taken, some eighteen months before the arrest of </w:t>
      </w:r>
      <w:r w:rsidR="007B4890">
        <w:rPr>
          <w:rFonts w:ascii="Arial" w:hAnsi="Arial"/>
        </w:rPr>
        <w:t>a</w:t>
      </w:r>
      <w:r w:rsidR="00183A8B">
        <w:rPr>
          <w:rFonts w:ascii="Arial" w:hAnsi="Arial"/>
        </w:rPr>
        <w:t>ppellant, they were taken for an ulterior purpose. In the circumstances, the principle has no application to those decisions.</w:t>
      </w:r>
    </w:p>
    <w:p w:rsidR="000C172B" w:rsidRPr="000C172B" w:rsidRDefault="000C172B" w:rsidP="00B76BDF">
      <w:pPr>
        <w:pStyle w:val="ListParagraph"/>
        <w:spacing w:line="480" w:lineRule="auto"/>
        <w:ind w:left="0"/>
        <w:jc w:val="both"/>
        <w:rPr>
          <w:rFonts w:ascii="Arial" w:hAnsi="Arial"/>
        </w:rPr>
      </w:pPr>
    </w:p>
    <w:p w:rsidR="000C172B" w:rsidRDefault="000C172B" w:rsidP="00B76BDF">
      <w:pPr>
        <w:pStyle w:val="ListParagraph"/>
        <w:numPr>
          <w:ilvl w:val="0"/>
          <w:numId w:val="1"/>
        </w:numPr>
        <w:spacing w:line="480" w:lineRule="auto"/>
        <w:ind w:left="0" w:firstLine="0"/>
        <w:jc w:val="both"/>
        <w:rPr>
          <w:rFonts w:ascii="Arial" w:hAnsi="Arial"/>
        </w:rPr>
      </w:pPr>
      <w:r>
        <w:rPr>
          <w:rFonts w:ascii="Arial" w:hAnsi="Arial"/>
        </w:rPr>
        <w:t xml:space="preserve">It follows from what has been set out above that </w:t>
      </w:r>
      <w:r w:rsidR="007B4890">
        <w:rPr>
          <w:rFonts w:ascii="Arial" w:hAnsi="Arial"/>
        </w:rPr>
        <w:t>a</w:t>
      </w:r>
      <w:r w:rsidR="00D52069">
        <w:rPr>
          <w:rFonts w:ascii="Arial" w:hAnsi="Arial"/>
        </w:rPr>
        <w:t>ppellant</w:t>
      </w:r>
      <w:r>
        <w:rPr>
          <w:rFonts w:ascii="Arial" w:hAnsi="Arial"/>
        </w:rPr>
        <w:t xml:space="preserve">’s argument that </w:t>
      </w:r>
      <w:r w:rsidR="00D52069" w:rsidRPr="00D52069">
        <w:rPr>
          <w:rFonts w:ascii="Arial" w:hAnsi="Arial"/>
        </w:rPr>
        <w:t xml:space="preserve">there was no rational or legitimate connection between the </w:t>
      </w:r>
      <w:r w:rsidR="003C29F7" w:rsidRPr="00D52069">
        <w:rPr>
          <w:rFonts w:ascii="Arial" w:hAnsi="Arial"/>
        </w:rPr>
        <w:t>decision</w:t>
      </w:r>
      <w:r w:rsidR="003C29F7">
        <w:rPr>
          <w:rFonts w:ascii="Arial" w:hAnsi="Arial"/>
        </w:rPr>
        <w:t>s</w:t>
      </w:r>
      <w:r w:rsidR="00D52069" w:rsidRPr="00D52069">
        <w:rPr>
          <w:rFonts w:ascii="Arial" w:hAnsi="Arial"/>
        </w:rPr>
        <w:t xml:space="preserve"> and the evidence before the Commission</w:t>
      </w:r>
      <w:r>
        <w:rPr>
          <w:rFonts w:ascii="Arial" w:hAnsi="Arial"/>
        </w:rPr>
        <w:t xml:space="preserve"> and its</w:t>
      </w:r>
      <w:r w:rsidR="00DA19E2">
        <w:rPr>
          <w:rFonts w:ascii="Arial" w:hAnsi="Arial"/>
        </w:rPr>
        <w:t xml:space="preserve"> argument that the decisions were</w:t>
      </w:r>
      <w:r>
        <w:rPr>
          <w:rFonts w:ascii="Arial" w:hAnsi="Arial"/>
        </w:rPr>
        <w:t xml:space="preserve"> based on irrelevant considerations also cannot succeed. Once the Commission had been furnished with a complaint by the Union, together with a file of documents, and Mr </w:t>
      </w:r>
      <w:proofErr w:type="spellStart"/>
      <w:r>
        <w:rPr>
          <w:rFonts w:ascii="Arial" w:hAnsi="Arial"/>
        </w:rPr>
        <w:t>Masule</w:t>
      </w:r>
      <w:proofErr w:type="spellEnd"/>
      <w:r>
        <w:rPr>
          <w:rFonts w:ascii="Arial" w:hAnsi="Arial"/>
        </w:rPr>
        <w:t xml:space="preserve"> considered the allegations raised </w:t>
      </w:r>
      <w:r w:rsidR="007B4890">
        <w:rPr>
          <w:rFonts w:ascii="Arial" w:hAnsi="Arial"/>
        </w:rPr>
        <w:t>‘</w:t>
      </w:r>
      <w:r>
        <w:rPr>
          <w:rFonts w:ascii="Arial" w:hAnsi="Arial"/>
        </w:rPr>
        <w:t>serious</w:t>
      </w:r>
      <w:r w:rsidR="007B4890">
        <w:rPr>
          <w:rFonts w:ascii="Arial" w:hAnsi="Arial"/>
        </w:rPr>
        <w:t>’</w:t>
      </w:r>
      <w:r>
        <w:rPr>
          <w:rFonts w:ascii="Arial" w:hAnsi="Arial"/>
        </w:rPr>
        <w:t xml:space="preserve"> issues, it was appropriate for the Commission to investigate the complaint. The statutory mandate of the Commission is to investigate allegations that it receives, if after examination it considers there are reasonable grounds to investigate the allegations. </w:t>
      </w:r>
    </w:p>
    <w:p w:rsidR="000C172B" w:rsidRDefault="000C172B" w:rsidP="00B76BDF">
      <w:pPr>
        <w:pStyle w:val="ListParagraph"/>
        <w:spacing w:line="480" w:lineRule="auto"/>
        <w:ind w:left="0"/>
        <w:jc w:val="both"/>
        <w:rPr>
          <w:rFonts w:ascii="Arial" w:hAnsi="Arial"/>
        </w:rPr>
      </w:pPr>
    </w:p>
    <w:p w:rsidR="005B7DA2" w:rsidRDefault="008A2E86" w:rsidP="00B76BDF">
      <w:pPr>
        <w:pStyle w:val="ListParagraph"/>
        <w:numPr>
          <w:ilvl w:val="0"/>
          <w:numId w:val="1"/>
        </w:numPr>
        <w:spacing w:line="480" w:lineRule="auto"/>
        <w:ind w:left="0" w:firstLine="0"/>
        <w:jc w:val="both"/>
        <w:rPr>
          <w:rFonts w:ascii="Arial" w:hAnsi="Arial"/>
        </w:rPr>
      </w:pPr>
      <w:r>
        <w:rPr>
          <w:rFonts w:ascii="Arial" w:hAnsi="Arial"/>
        </w:rPr>
        <w:t>Finally, a</w:t>
      </w:r>
      <w:r w:rsidR="003C29F7">
        <w:rPr>
          <w:rFonts w:ascii="Arial" w:hAnsi="Arial"/>
        </w:rPr>
        <w:t xml:space="preserve">ppellant argued that </w:t>
      </w:r>
      <w:r>
        <w:rPr>
          <w:rFonts w:ascii="Arial" w:hAnsi="Arial"/>
        </w:rPr>
        <w:t>the allegations against a</w:t>
      </w:r>
      <w:r w:rsidR="00A01294" w:rsidRPr="000C172B">
        <w:rPr>
          <w:rFonts w:ascii="Arial" w:hAnsi="Arial"/>
        </w:rPr>
        <w:t xml:space="preserve">ppellant </w:t>
      </w:r>
      <w:r>
        <w:rPr>
          <w:rFonts w:ascii="Arial" w:hAnsi="Arial"/>
        </w:rPr>
        <w:t>did not disclose evidence that a</w:t>
      </w:r>
      <w:r w:rsidR="00A01294" w:rsidRPr="000C172B">
        <w:rPr>
          <w:rFonts w:ascii="Arial" w:hAnsi="Arial"/>
        </w:rPr>
        <w:t xml:space="preserve">ppellant was involved in a </w:t>
      </w:r>
      <w:r w:rsidR="007B4890">
        <w:rPr>
          <w:rFonts w:ascii="Arial" w:hAnsi="Arial"/>
        </w:rPr>
        <w:t>‘</w:t>
      </w:r>
      <w:r w:rsidR="00A01294" w:rsidRPr="000C172B">
        <w:rPr>
          <w:rFonts w:ascii="Arial" w:hAnsi="Arial"/>
        </w:rPr>
        <w:t>corrupt practice</w:t>
      </w:r>
      <w:r w:rsidR="007B4890">
        <w:rPr>
          <w:rFonts w:ascii="Arial" w:hAnsi="Arial"/>
        </w:rPr>
        <w:t>’</w:t>
      </w:r>
      <w:r w:rsidR="00A01294" w:rsidRPr="000C172B">
        <w:rPr>
          <w:rFonts w:ascii="Arial" w:hAnsi="Arial"/>
        </w:rPr>
        <w:t xml:space="preserve"> as contemplated i</w:t>
      </w:r>
      <w:r w:rsidR="003C29F7">
        <w:rPr>
          <w:rFonts w:ascii="Arial" w:hAnsi="Arial"/>
        </w:rPr>
        <w:t xml:space="preserve">n </w:t>
      </w:r>
      <w:proofErr w:type="spellStart"/>
      <w:r w:rsidR="003C29F7">
        <w:rPr>
          <w:rFonts w:ascii="Arial" w:hAnsi="Arial"/>
        </w:rPr>
        <w:t>ss</w:t>
      </w:r>
      <w:proofErr w:type="spellEnd"/>
      <w:r w:rsidR="003C29F7">
        <w:rPr>
          <w:rFonts w:ascii="Arial" w:hAnsi="Arial"/>
        </w:rPr>
        <w:t xml:space="preserve"> 33 – 48 of the Act. The High Court </w:t>
      </w:r>
      <w:r w:rsidR="00F31D3B">
        <w:rPr>
          <w:rFonts w:ascii="Arial" w:hAnsi="Arial"/>
        </w:rPr>
        <w:t>accepted that some of th</w:t>
      </w:r>
      <w:r>
        <w:rPr>
          <w:rFonts w:ascii="Arial" w:hAnsi="Arial"/>
        </w:rPr>
        <w:t>e thirteen charges outlined to a</w:t>
      </w:r>
      <w:r w:rsidR="00F31D3B">
        <w:rPr>
          <w:rFonts w:ascii="Arial" w:hAnsi="Arial"/>
        </w:rPr>
        <w:t xml:space="preserve">ppellant in October 2007 might not have </w:t>
      </w:r>
      <w:r w:rsidR="005B7DA2">
        <w:rPr>
          <w:rFonts w:ascii="Arial" w:hAnsi="Arial"/>
        </w:rPr>
        <w:t xml:space="preserve">constituted </w:t>
      </w:r>
      <w:r w:rsidR="00F31D3B">
        <w:rPr>
          <w:rFonts w:ascii="Arial" w:hAnsi="Arial"/>
        </w:rPr>
        <w:t>corrupt pr</w:t>
      </w:r>
      <w:r w:rsidR="005B7DA2">
        <w:rPr>
          <w:rFonts w:ascii="Arial" w:hAnsi="Arial"/>
        </w:rPr>
        <w:t>a</w:t>
      </w:r>
      <w:r w:rsidR="00F31D3B">
        <w:rPr>
          <w:rFonts w:ascii="Arial" w:hAnsi="Arial"/>
        </w:rPr>
        <w:t>ctices within the meaning of the Act</w:t>
      </w:r>
      <w:r w:rsidR="005B7DA2">
        <w:rPr>
          <w:rFonts w:ascii="Arial" w:hAnsi="Arial"/>
        </w:rPr>
        <w:t>, but it also concluded that the charges relating to the misuse of the NHE credit card and the extension of benefits to a business associate, would fall within the purview of the Act</w:t>
      </w:r>
      <w:r w:rsidR="00F31D3B">
        <w:rPr>
          <w:rFonts w:ascii="Arial" w:hAnsi="Arial"/>
        </w:rPr>
        <w:t xml:space="preserve">. </w:t>
      </w:r>
      <w:r w:rsidR="005B7DA2">
        <w:rPr>
          <w:rFonts w:ascii="Arial" w:hAnsi="Arial"/>
        </w:rPr>
        <w:t xml:space="preserve">This </w:t>
      </w:r>
      <w:r w:rsidR="00AE041D">
        <w:rPr>
          <w:rFonts w:ascii="Arial" w:hAnsi="Arial"/>
        </w:rPr>
        <w:t>c</w:t>
      </w:r>
      <w:r w:rsidR="005B7DA2">
        <w:rPr>
          <w:rFonts w:ascii="Arial" w:hAnsi="Arial"/>
        </w:rPr>
        <w:t xml:space="preserve">ourt has held that the definition of </w:t>
      </w:r>
      <w:r w:rsidR="00AE041D">
        <w:rPr>
          <w:rFonts w:ascii="Arial" w:hAnsi="Arial"/>
        </w:rPr>
        <w:t>‘</w:t>
      </w:r>
      <w:r w:rsidR="005B7DA2">
        <w:rPr>
          <w:rFonts w:ascii="Arial" w:hAnsi="Arial"/>
        </w:rPr>
        <w:t>corrupt practice</w:t>
      </w:r>
      <w:r w:rsidR="00AE041D">
        <w:rPr>
          <w:rFonts w:ascii="Arial" w:hAnsi="Arial"/>
        </w:rPr>
        <w:t>’</w:t>
      </w:r>
      <w:r w:rsidR="005B7DA2">
        <w:rPr>
          <w:rFonts w:ascii="Arial" w:hAnsi="Arial"/>
        </w:rPr>
        <w:t xml:space="preserve"> in the Act has –</w:t>
      </w:r>
    </w:p>
    <w:p w:rsidR="005B7DA2" w:rsidRDefault="005B7DA2" w:rsidP="00B76BDF">
      <w:pPr>
        <w:pStyle w:val="ListParagraph"/>
        <w:spacing w:line="480" w:lineRule="auto"/>
        <w:jc w:val="both"/>
        <w:rPr>
          <w:rFonts w:ascii="Arial" w:hAnsi="Arial"/>
        </w:rPr>
      </w:pPr>
    </w:p>
    <w:p w:rsidR="00A01294" w:rsidRPr="00A32D52" w:rsidRDefault="00AE041D" w:rsidP="00A32D52">
      <w:pPr>
        <w:pStyle w:val="ListParagraph"/>
        <w:spacing w:line="360" w:lineRule="auto"/>
        <w:jc w:val="both"/>
        <w:rPr>
          <w:rFonts w:ascii="Arial" w:hAnsi="Arial"/>
          <w:sz w:val="22"/>
          <w:szCs w:val="22"/>
        </w:rPr>
      </w:pPr>
      <w:proofErr w:type="gramStart"/>
      <w:r w:rsidRPr="00A32D52">
        <w:rPr>
          <w:rFonts w:ascii="Arial" w:hAnsi="Arial"/>
          <w:sz w:val="22"/>
          <w:szCs w:val="22"/>
        </w:rPr>
        <w:t>‘</w:t>
      </w:r>
      <w:r w:rsidR="0069204D" w:rsidRPr="00A32D52">
        <w:rPr>
          <w:rFonts w:ascii="Arial" w:hAnsi="Arial"/>
          <w:sz w:val="22"/>
          <w:szCs w:val="22"/>
        </w:rPr>
        <w:t>Heralded</w:t>
      </w:r>
      <w:r w:rsidR="005B7DA2" w:rsidRPr="00A32D52">
        <w:rPr>
          <w:rFonts w:ascii="Arial" w:hAnsi="Arial"/>
          <w:sz w:val="22"/>
          <w:szCs w:val="22"/>
        </w:rPr>
        <w:t xml:space="preserve"> a new dispensation in the definition, reach and scope of the offence of corruption.</w:t>
      </w:r>
      <w:proofErr w:type="gramEnd"/>
      <w:r w:rsidR="005B7DA2" w:rsidRPr="00A32D52">
        <w:rPr>
          <w:rFonts w:ascii="Arial" w:hAnsi="Arial"/>
          <w:sz w:val="22"/>
          <w:szCs w:val="22"/>
        </w:rPr>
        <w:t xml:space="preserve">  The offence is now broad in its reach and scope.  This appears necessary because corruption may manifest itself in different shapes and forms.  It is also notoriously difficult to prove, because it often does not take place in the full view of the public.</w:t>
      </w:r>
      <w:r w:rsidRPr="00A32D52">
        <w:rPr>
          <w:rFonts w:ascii="Arial" w:hAnsi="Arial"/>
          <w:sz w:val="22"/>
          <w:szCs w:val="22"/>
        </w:rPr>
        <w:t>’</w:t>
      </w:r>
      <w:r w:rsidR="005B7DA2" w:rsidRPr="00A32D52">
        <w:rPr>
          <w:rStyle w:val="FootnoteReference"/>
          <w:rFonts w:ascii="Arial" w:hAnsi="Arial"/>
          <w:sz w:val="22"/>
          <w:szCs w:val="22"/>
        </w:rPr>
        <w:footnoteReference w:id="28"/>
      </w:r>
    </w:p>
    <w:p w:rsidR="005B7DA2" w:rsidRPr="000C172B" w:rsidRDefault="005B7DA2" w:rsidP="00B76BDF">
      <w:pPr>
        <w:pStyle w:val="ListParagraph"/>
        <w:spacing w:line="480" w:lineRule="auto"/>
        <w:jc w:val="both"/>
        <w:rPr>
          <w:rFonts w:ascii="Arial" w:hAnsi="Arial"/>
        </w:rPr>
      </w:pPr>
    </w:p>
    <w:p w:rsidR="00A01294" w:rsidRDefault="005B7DA2" w:rsidP="00B76BDF">
      <w:pPr>
        <w:pStyle w:val="ListParagraph"/>
        <w:numPr>
          <w:ilvl w:val="0"/>
          <w:numId w:val="1"/>
        </w:numPr>
        <w:spacing w:line="480" w:lineRule="auto"/>
        <w:ind w:left="0" w:firstLine="0"/>
        <w:jc w:val="both"/>
        <w:rPr>
          <w:rFonts w:ascii="Arial" w:hAnsi="Arial"/>
        </w:rPr>
      </w:pPr>
      <w:r>
        <w:rPr>
          <w:rFonts w:ascii="Arial" w:hAnsi="Arial"/>
        </w:rPr>
        <w:t xml:space="preserve">The High Court was undoubtedly correct that some of the thirteen charges that according to Mr </w:t>
      </w:r>
      <w:proofErr w:type="spellStart"/>
      <w:r>
        <w:rPr>
          <w:rFonts w:ascii="Arial" w:hAnsi="Arial"/>
        </w:rPr>
        <w:t>Masule</w:t>
      </w:r>
      <w:proofErr w:type="spellEnd"/>
      <w:r>
        <w:rPr>
          <w:rFonts w:ascii="Arial" w:hAnsi="Arial"/>
        </w:rPr>
        <w:t xml:space="preserve"> the Commission </w:t>
      </w:r>
      <w:proofErr w:type="gramStart"/>
      <w:r>
        <w:rPr>
          <w:rFonts w:ascii="Arial" w:hAnsi="Arial"/>
        </w:rPr>
        <w:t>was</w:t>
      </w:r>
      <w:proofErr w:type="gramEnd"/>
      <w:r>
        <w:rPr>
          <w:rFonts w:ascii="Arial" w:hAnsi="Arial"/>
        </w:rPr>
        <w:t xml:space="preserve"> investigatin</w:t>
      </w:r>
      <w:r w:rsidR="00183A8B">
        <w:rPr>
          <w:rFonts w:ascii="Arial" w:hAnsi="Arial"/>
        </w:rPr>
        <w:t xml:space="preserve">g would, if proven, constitute </w:t>
      </w:r>
      <w:r>
        <w:rPr>
          <w:rFonts w:ascii="Arial" w:hAnsi="Arial"/>
        </w:rPr>
        <w:t>corrupt practices within the scope of the Act.  Appellant’s argument to the contrary therefore cannot be sustained.</w:t>
      </w:r>
    </w:p>
    <w:p w:rsidR="00A01294" w:rsidRDefault="00A01294" w:rsidP="00B76BDF">
      <w:pPr>
        <w:pStyle w:val="ListParagraph"/>
        <w:spacing w:line="480" w:lineRule="auto"/>
        <w:ind w:left="0"/>
        <w:jc w:val="both"/>
        <w:rPr>
          <w:rFonts w:ascii="Arial" w:hAnsi="Arial"/>
        </w:rPr>
      </w:pPr>
    </w:p>
    <w:p w:rsidR="00D52069" w:rsidRDefault="003C29F7" w:rsidP="00B76BDF">
      <w:pPr>
        <w:pStyle w:val="ListParagraph"/>
        <w:numPr>
          <w:ilvl w:val="0"/>
          <w:numId w:val="1"/>
        </w:numPr>
        <w:spacing w:line="480" w:lineRule="auto"/>
        <w:ind w:left="0" w:firstLine="0"/>
        <w:jc w:val="both"/>
        <w:rPr>
          <w:rFonts w:ascii="Arial" w:hAnsi="Arial"/>
        </w:rPr>
      </w:pPr>
      <w:r>
        <w:rPr>
          <w:rFonts w:ascii="Arial" w:hAnsi="Arial"/>
        </w:rPr>
        <w:t xml:space="preserve">Accordingly, </w:t>
      </w:r>
      <w:r w:rsidR="00AE041D">
        <w:rPr>
          <w:rFonts w:ascii="Arial" w:hAnsi="Arial"/>
        </w:rPr>
        <w:t>a</w:t>
      </w:r>
      <w:r>
        <w:rPr>
          <w:rFonts w:ascii="Arial" w:hAnsi="Arial"/>
        </w:rPr>
        <w:t>ppellant’s argument that the Commission did not take valid decisions in terms of s 18(1</w:t>
      </w:r>
      <w:proofErr w:type="gramStart"/>
      <w:r>
        <w:rPr>
          <w:rFonts w:ascii="Arial" w:hAnsi="Arial"/>
        </w:rPr>
        <w:t>)</w:t>
      </w:r>
      <w:r w:rsidRPr="00A32D52">
        <w:rPr>
          <w:rFonts w:ascii="Arial" w:hAnsi="Arial"/>
          <w:i/>
        </w:rPr>
        <w:t>(</w:t>
      </w:r>
      <w:proofErr w:type="gramEnd"/>
      <w:r w:rsidRPr="00A32D52">
        <w:rPr>
          <w:rFonts w:ascii="Arial" w:hAnsi="Arial"/>
          <w:i/>
        </w:rPr>
        <w:t>b)</w:t>
      </w:r>
      <w:r>
        <w:rPr>
          <w:rFonts w:ascii="Arial" w:hAnsi="Arial"/>
        </w:rPr>
        <w:t xml:space="preserve"> and 18(3) of the Act cannot be upheld.</w:t>
      </w:r>
    </w:p>
    <w:p w:rsidR="003C29F7" w:rsidRDefault="003C29F7" w:rsidP="00B76BDF">
      <w:pPr>
        <w:pStyle w:val="ListParagraph"/>
        <w:spacing w:line="480" w:lineRule="auto"/>
        <w:ind w:left="0"/>
        <w:jc w:val="both"/>
        <w:rPr>
          <w:rFonts w:ascii="Arial" w:hAnsi="Arial"/>
        </w:rPr>
      </w:pPr>
    </w:p>
    <w:p w:rsidR="003C29F7" w:rsidRPr="00A32D52" w:rsidRDefault="003C29F7" w:rsidP="00B76BDF">
      <w:pPr>
        <w:spacing w:line="480" w:lineRule="auto"/>
        <w:jc w:val="both"/>
        <w:rPr>
          <w:rFonts w:ascii="Arial" w:hAnsi="Arial"/>
          <w:u w:val="single"/>
        </w:rPr>
      </w:pPr>
      <w:r w:rsidRPr="00A32D52">
        <w:rPr>
          <w:rFonts w:ascii="Arial" w:hAnsi="Arial"/>
          <w:u w:val="single"/>
        </w:rPr>
        <w:t>The consequence of the High Court’s finding that the Commission had used the power of arrest to further the interests of those engaged in a labour dispute with the NHE?</w:t>
      </w:r>
    </w:p>
    <w:p w:rsidR="003C29F7" w:rsidRDefault="003C29F7" w:rsidP="00B76BDF">
      <w:pPr>
        <w:pStyle w:val="ListParagraph"/>
        <w:numPr>
          <w:ilvl w:val="0"/>
          <w:numId w:val="1"/>
        </w:numPr>
        <w:spacing w:line="480" w:lineRule="auto"/>
        <w:ind w:left="0" w:firstLine="0"/>
        <w:jc w:val="both"/>
        <w:rPr>
          <w:rFonts w:ascii="Arial" w:hAnsi="Arial"/>
        </w:rPr>
      </w:pPr>
      <w:r>
        <w:rPr>
          <w:rFonts w:ascii="Arial" w:hAnsi="Arial"/>
        </w:rPr>
        <w:t>Appellant argues that the consequence of the High Court</w:t>
      </w:r>
      <w:r w:rsidR="00DA2643">
        <w:rPr>
          <w:rFonts w:ascii="Arial" w:hAnsi="Arial"/>
        </w:rPr>
        <w:t>’s</w:t>
      </w:r>
      <w:r>
        <w:rPr>
          <w:rFonts w:ascii="Arial" w:hAnsi="Arial"/>
        </w:rPr>
        <w:t xml:space="preserve"> finding that </w:t>
      </w:r>
      <w:r w:rsidRPr="003C29F7">
        <w:rPr>
          <w:rFonts w:ascii="Arial" w:hAnsi="Arial"/>
        </w:rPr>
        <w:t>the Commission had used the power of arrest to further the interests of those engaged i</w:t>
      </w:r>
      <w:r>
        <w:rPr>
          <w:rFonts w:ascii="Arial" w:hAnsi="Arial"/>
        </w:rPr>
        <w:t xml:space="preserve">n a labour dispute with the NHE are that the criminal proceedings pending against </w:t>
      </w:r>
      <w:r w:rsidR="00AE041D">
        <w:rPr>
          <w:rFonts w:ascii="Arial" w:hAnsi="Arial"/>
        </w:rPr>
        <w:t>a</w:t>
      </w:r>
      <w:r>
        <w:rPr>
          <w:rFonts w:ascii="Arial" w:hAnsi="Arial"/>
        </w:rPr>
        <w:t xml:space="preserve">ppellant must be declared invalid.  Respondent argues in response that criminal proceedings against </w:t>
      </w:r>
      <w:r w:rsidR="00AE041D">
        <w:rPr>
          <w:rFonts w:ascii="Arial" w:hAnsi="Arial"/>
        </w:rPr>
        <w:t>a</w:t>
      </w:r>
      <w:r>
        <w:rPr>
          <w:rFonts w:ascii="Arial" w:hAnsi="Arial"/>
        </w:rPr>
        <w:t xml:space="preserve">ppellant will only be instituted and prosecuted if the Prosecutor-General decides that there is a case to be made against </w:t>
      </w:r>
      <w:r w:rsidR="00AE041D">
        <w:rPr>
          <w:rFonts w:ascii="Arial" w:hAnsi="Arial"/>
        </w:rPr>
        <w:t>a</w:t>
      </w:r>
      <w:r>
        <w:rPr>
          <w:rFonts w:ascii="Arial" w:hAnsi="Arial"/>
        </w:rPr>
        <w:t xml:space="preserve">ppellant. </w:t>
      </w:r>
      <w:r w:rsidR="00A400CE">
        <w:rPr>
          <w:rFonts w:ascii="Arial" w:hAnsi="Arial"/>
        </w:rPr>
        <w:t xml:space="preserve">Respondent argues that </w:t>
      </w:r>
      <w:r w:rsidR="00AE041D">
        <w:rPr>
          <w:rFonts w:ascii="Arial" w:hAnsi="Arial"/>
        </w:rPr>
        <w:t>a</w:t>
      </w:r>
      <w:r w:rsidR="00A400CE">
        <w:rPr>
          <w:rFonts w:ascii="Arial" w:hAnsi="Arial"/>
        </w:rPr>
        <w:t xml:space="preserve">ppellant makes no claim that there is a conspiracy between the Prosecutor-General and the Union and that therefore the </w:t>
      </w:r>
      <w:r w:rsidR="00AE041D">
        <w:rPr>
          <w:rFonts w:ascii="Arial" w:hAnsi="Arial"/>
        </w:rPr>
        <w:t>c</w:t>
      </w:r>
      <w:r w:rsidR="00A400CE">
        <w:rPr>
          <w:rFonts w:ascii="Arial" w:hAnsi="Arial"/>
        </w:rPr>
        <w:t xml:space="preserve">ourt must assume that the Prosecutor-General will make the decision as to whether criminal proceedings should be instituted against </w:t>
      </w:r>
      <w:r w:rsidR="00AE041D">
        <w:rPr>
          <w:rFonts w:ascii="Arial" w:hAnsi="Arial"/>
        </w:rPr>
        <w:t>a</w:t>
      </w:r>
      <w:r w:rsidR="00A400CE">
        <w:rPr>
          <w:rFonts w:ascii="Arial" w:hAnsi="Arial"/>
        </w:rPr>
        <w:t xml:space="preserve">ppellant in a proper and lawful manner. </w:t>
      </w:r>
    </w:p>
    <w:p w:rsidR="00CD71BA" w:rsidRPr="003C29F7" w:rsidRDefault="00CD71BA" w:rsidP="00CD71BA">
      <w:pPr>
        <w:pStyle w:val="ListParagraph"/>
        <w:spacing w:line="480" w:lineRule="auto"/>
        <w:ind w:left="0"/>
        <w:rPr>
          <w:rFonts w:ascii="Arial" w:hAnsi="Arial"/>
        </w:rPr>
      </w:pPr>
    </w:p>
    <w:p w:rsidR="00EC7C01" w:rsidRDefault="00A400CE" w:rsidP="00B76BDF">
      <w:pPr>
        <w:pStyle w:val="ListParagraph"/>
        <w:numPr>
          <w:ilvl w:val="0"/>
          <w:numId w:val="1"/>
        </w:numPr>
        <w:spacing w:line="480" w:lineRule="auto"/>
        <w:ind w:left="0" w:firstLine="0"/>
        <w:jc w:val="both"/>
        <w:rPr>
          <w:rFonts w:ascii="Arial" w:hAnsi="Arial"/>
        </w:rPr>
      </w:pPr>
      <w:r>
        <w:rPr>
          <w:rFonts w:ascii="Arial" w:hAnsi="Arial"/>
        </w:rPr>
        <w:t>Respondents are correct that decisions to prosecute for corrupt practices are taken by the Prosecutor-General.</w:t>
      </w:r>
      <w:r>
        <w:rPr>
          <w:rStyle w:val="FootnoteReference"/>
          <w:rFonts w:ascii="Arial" w:hAnsi="Arial"/>
        </w:rPr>
        <w:footnoteReference w:id="29"/>
      </w:r>
      <w:r>
        <w:rPr>
          <w:rFonts w:ascii="Arial" w:hAnsi="Arial"/>
        </w:rPr>
        <w:t xml:space="preserve"> </w:t>
      </w:r>
      <w:r w:rsidR="00EC7C01">
        <w:rPr>
          <w:rFonts w:ascii="Arial" w:hAnsi="Arial"/>
        </w:rPr>
        <w:t>If</w:t>
      </w:r>
      <w:r>
        <w:rPr>
          <w:rFonts w:ascii="Arial" w:hAnsi="Arial"/>
        </w:rPr>
        <w:t xml:space="preserve"> it appears to the Director of the Commission</w:t>
      </w:r>
      <w:r w:rsidR="00EC7C01">
        <w:rPr>
          <w:rFonts w:ascii="Arial" w:hAnsi="Arial"/>
        </w:rPr>
        <w:t>,</w:t>
      </w:r>
      <w:r>
        <w:rPr>
          <w:rFonts w:ascii="Arial" w:hAnsi="Arial"/>
        </w:rPr>
        <w:t xml:space="preserve"> once </w:t>
      </w:r>
      <w:r w:rsidR="00EC7C01">
        <w:rPr>
          <w:rFonts w:ascii="Arial" w:hAnsi="Arial"/>
        </w:rPr>
        <w:t>the Commission has completed its</w:t>
      </w:r>
      <w:r>
        <w:rPr>
          <w:rFonts w:ascii="Arial" w:hAnsi="Arial"/>
        </w:rPr>
        <w:t xml:space="preserve"> investigation</w:t>
      </w:r>
      <w:r w:rsidR="00EC7C01">
        <w:rPr>
          <w:rFonts w:ascii="Arial" w:hAnsi="Arial"/>
        </w:rPr>
        <w:t>,</w:t>
      </w:r>
      <w:r>
        <w:rPr>
          <w:rFonts w:ascii="Arial" w:hAnsi="Arial"/>
        </w:rPr>
        <w:t xml:space="preserve"> that any person has </w:t>
      </w:r>
      <w:r w:rsidR="00EC7C01">
        <w:rPr>
          <w:rFonts w:ascii="Arial" w:hAnsi="Arial"/>
        </w:rPr>
        <w:t>committed</w:t>
      </w:r>
      <w:r>
        <w:rPr>
          <w:rFonts w:ascii="Arial" w:hAnsi="Arial"/>
        </w:rPr>
        <w:t xml:space="preserve"> a corrupt practice, the </w:t>
      </w:r>
      <w:r w:rsidR="00EC7C01">
        <w:rPr>
          <w:rFonts w:ascii="Arial" w:hAnsi="Arial"/>
        </w:rPr>
        <w:t>Director</w:t>
      </w:r>
      <w:r>
        <w:rPr>
          <w:rFonts w:ascii="Arial" w:hAnsi="Arial"/>
        </w:rPr>
        <w:t xml:space="preserve"> must refer the matter, and all the relevant information to the Prosecutor-General. </w:t>
      </w:r>
      <w:r w:rsidR="00EC7C01">
        <w:rPr>
          <w:rFonts w:ascii="Arial" w:hAnsi="Arial"/>
        </w:rPr>
        <w:t>The Prosecutor-General will the</w:t>
      </w:r>
      <w:r w:rsidR="0069204D">
        <w:rPr>
          <w:rFonts w:ascii="Arial" w:hAnsi="Arial"/>
        </w:rPr>
        <w:t xml:space="preserve">n decide whether to prosecute. </w:t>
      </w:r>
      <w:r w:rsidR="00EC7C01">
        <w:rPr>
          <w:rFonts w:ascii="Arial" w:hAnsi="Arial"/>
        </w:rPr>
        <w:t xml:space="preserve">Of course, once a prosecution is initiated, the relevant court will determine in the criminal proceedings whether the accused person should be convicted. </w:t>
      </w:r>
    </w:p>
    <w:p w:rsidR="00EC7C01" w:rsidRDefault="00EC7C01" w:rsidP="00B76BDF">
      <w:pPr>
        <w:pStyle w:val="ListParagraph"/>
        <w:spacing w:line="480" w:lineRule="auto"/>
        <w:ind w:left="0"/>
        <w:jc w:val="both"/>
        <w:rPr>
          <w:rFonts w:ascii="Arial" w:hAnsi="Arial"/>
        </w:rPr>
      </w:pPr>
    </w:p>
    <w:p w:rsidR="00CD71BA" w:rsidRDefault="00EC7C01" w:rsidP="00B76BDF">
      <w:pPr>
        <w:pStyle w:val="ListParagraph"/>
        <w:numPr>
          <w:ilvl w:val="0"/>
          <w:numId w:val="1"/>
        </w:numPr>
        <w:spacing w:line="480" w:lineRule="auto"/>
        <w:ind w:left="0" w:firstLine="0"/>
        <w:jc w:val="both"/>
        <w:rPr>
          <w:rFonts w:ascii="Arial" w:hAnsi="Arial"/>
        </w:rPr>
      </w:pPr>
      <w:r>
        <w:rPr>
          <w:rFonts w:ascii="Arial" w:hAnsi="Arial"/>
        </w:rPr>
        <w:t>Appellant’s argument seeks to forestall criminal proceedings. The fact that, as the High Court found, the Commission had used its power of arrest to advance the private cause of the Union and its members in this case, cannot have the consequence that if, on the evidence, the Prosecutor-General forms the view that</w:t>
      </w:r>
      <w:r w:rsidR="00521092">
        <w:rPr>
          <w:rFonts w:ascii="Arial" w:hAnsi="Arial"/>
        </w:rPr>
        <w:t xml:space="preserve"> a</w:t>
      </w:r>
      <w:r>
        <w:rPr>
          <w:rFonts w:ascii="Arial" w:hAnsi="Arial"/>
        </w:rPr>
        <w:t xml:space="preserve"> prosecution is warranted, a prosecution may not be brought. The Prosecutor-General is an office separate and distinct from the Commission, and there is no suggestion that there was any collusion between the Prosecutor-General an</w:t>
      </w:r>
      <w:r w:rsidR="0069204D">
        <w:rPr>
          <w:rFonts w:ascii="Arial" w:hAnsi="Arial"/>
        </w:rPr>
        <w:t xml:space="preserve">d the Commission in this case. </w:t>
      </w:r>
      <w:r>
        <w:rPr>
          <w:rFonts w:ascii="Arial" w:hAnsi="Arial"/>
        </w:rPr>
        <w:t xml:space="preserve">Accordingly, there is no basis for concluding that a decision taken by the Prosecutor-General regarding </w:t>
      </w:r>
      <w:r w:rsidR="00183A8B">
        <w:rPr>
          <w:rFonts w:ascii="Arial" w:hAnsi="Arial"/>
        </w:rPr>
        <w:t xml:space="preserve">the prosecution of </w:t>
      </w:r>
      <w:r w:rsidR="00AE041D">
        <w:rPr>
          <w:rFonts w:ascii="Arial" w:hAnsi="Arial"/>
        </w:rPr>
        <w:t>a</w:t>
      </w:r>
      <w:r>
        <w:rPr>
          <w:rFonts w:ascii="Arial" w:hAnsi="Arial"/>
        </w:rPr>
        <w:t xml:space="preserve">ppellant will necessarily be tainted by the ulterior purpose that vitiated </w:t>
      </w:r>
      <w:r w:rsidR="00AE041D">
        <w:rPr>
          <w:rFonts w:ascii="Arial" w:hAnsi="Arial"/>
        </w:rPr>
        <w:t>a</w:t>
      </w:r>
      <w:r>
        <w:rPr>
          <w:rFonts w:ascii="Arial" w:hAnsi="Arial"/>
        </w:rPr>
        <w:t xml:space="preserve">ppellant’s arrest. Accordingly, </w:t>
      </w:r>
      <w:r w:rsidR="00183A8B">
        <w:rPr>
          <w:rFonts w:ascii="Arial" w:hAnsi="Arial"/>
        </w:rPr>
        <w:t xml:space="preserve">the </w:t>
      </w:r>
      <w:r>
        <w:rPr>
          <w:rFonts w:ascii="Arial" w:hAnsi="Arial"/>
        </w:rPr>
        <w:t xml:space="preserve">High Court was correct in refusing to make an order declaring the criminal proceedings against </w:t>
      </w:r>
      <w:r w:rsidR="00AE041D">
        <w:rPr>
          <w:rFonts w:ascii="Arial" w:hAnsi="Arial"/>
        </w:rPr>
        <w:t>a</w:t>
      </w:r>
      <w:r>
        <w:rPr>
          <w:rFonts w:ascii="Arial" w:hAnsi="Arial"/>
        </w:rPr>
        <w:t>ppellant to be invalid and the appeal on this score must fail.</w:t>
      </w:r>
    </w:p>
    <w:p w:rsidR="00DA2643" w:rsidRDefault="00DA2643" w:rsidP="00B76BDF">
      <w:pPr>
        <w:pStyle w:val="ListParagraph"/>
        <w:spacing w:line="480" w:lineRule="auto"/>
        <w:ind w:left="0"/>
        <w:jc w:val="both"/>
        <w:rPr>
          <w:rFonts w:ascii="Arial" w:hAnsi="Arial"/>
        </w:rPr>
      </w:pPr>
    </w:p>
    <w:p w:rsidR="00DA2643" w:rsidRDefault="002F2A86" w:rsidP="00B76BDF">
      <w:pPr>
        <w:pStyle w:val="ListParagraph"/>
        <w:numPr>
          <w:ilvl w:val="0"/>
          <w:numId w:val="1"/>
        </w:numPr>
        <w:spacing w:line="480" w:lineRule="auto"/>
        <w:ind w:left="0" w:firstLine="0"/>
        <w:jc w:val="both"/>
        <w:rPr>
          <w:rFonts w:ascii="Arial" w:hAnsi="Arial"/>
        </w:rPr>
      </w:pPr>
      <w:r>
        <w:rPr>
          <w:rFonts w:ascii="Arial" w:hAnsi="Arial"/>
        </w:rPr>
        <w:t xml:space="preserve">Appellant also argued that the investigation undertaken by the Commission should also </w:t>
      </w:r>
      <w:r w:rsidR="00DA2643">
        <w:rPr>
          <w:rFonts w:ascii="Arial" w:hAnsi="Arial"/>
        </w:rPr>
        <w:t xml:space="preserve">be vitiated by the High Court’s finding that </w:t>
      </w:r>
      <w:r w:rsidR="00DA2643" w:rsidRPr="003C29F7">
        <w:rPr>
          <w:rFonts w:ascii="Arial" w:hAnsi="Arial"/>
        </w:rPr>
        <w:t>the Commission had used the power of arrest to further the interests of those engaged i</w:t>
      </w:r>
      <w:r w:rsidR="00DA2643">
        <w:rPr>
          <w:rFonts w:ascii="Arial" w:hAnsi="Arial"/>
        </w:rPr>
        <w:t xml:space="preserve">n a labour dispute with the NHE. However, </w:t>
      </w:r>
      <w:r w:rsidR="00AE041D">
        <w:rPr>
          <w:rFonts w:ascii="Arial" w:hAnsi="Arial"/>
        </w:rPr>
        <w:t>a</w:t>
      </w:r>
      <w:r w:rsidR="00DA2643">
        <w:rPr>
          <w:rFonts w:ascii="Arial" w:hAnsi="Arial"/>
        </w:rPr>
        <w:t xml:space="preserve">ppellant did not seek as a prayer for relief, that the investigation undertaken by the Commission should be set aside, and </w:t>
      </w:r>
      <w:r w:rsidR="00AE041D">
        <w:rPr>
          <w:rFonts w:ascii="Arial" w:hAnsi="Arial"/>
        </w:rPr>
        <w:t>a</w:t>
      </w:r>
      <w:r w:rsidR="00DA2643">
        <w:rPr>
          <w:rFonts w:ascii="Arial" w:hAnsi="Arial"/>
        </w:rPr>
        <w:t xml:space="preserve">ppellant’s argument therefore seeks to support a prayer for relief which did not form part of the case made out by </w:t>
      </w:r>
      <w:r w:rsidR="00AE041D">
        <w:rPr>
          <w:rFonts w:ascii="Arial" w:hAnsi="Arial"/>
        </w:rPr>
        <w:t>a</w:t>
      </w:r>
      <w:r w:rsidR="00DA2643">
        <w:rPr>
          <w:rFonts w:ascii="Arial" w:hAnsi="Arial"/>
        </w:rPr>
        <w:t xml:space="preserve">ppellant. </w:t>
      </w:r>
    </w:p>
    <w:p w:rsidR="00DA2643" w:rsidRDefault="00DA2643" w:rsidP="00B76BDF">
      <w:pPr>
        <w:pStyle w:val="ListParagraph"/>
        <w:spacing w:line="480" w:lineRule="auto"/>
        <w:ind w:left="0"/>
        <w:jc w:val="both"/>
        <w:rPr>
          <w:rFonts w:ascii="Arial" w:hAnsi="Arial"/>
        </w:rPr>
      </w:pPr>
    </w:p>
    <w:p w:rsidR="00DA2643" w:rsidRDefault="00DA2643" w:rsidP="00B76BDF">
      <w:pPr>
        <w:pStyle w:val="ListParagraph"/>
        <w:numPr>
          <w:ilvl w:val="0"/>
          <w:numId w:val="1"/>
        </w:numPr>
        <w:spacing w:line="480" w:lineRule="auto"/>
        <w:ind w:left="0" w:firstLine="0"/>
        <w:jc w:val="both"/>
        <w:rPr>
          <w:rFonts w:ascii="Arial" w:hAnsi="Arial"/>
        </w:rPr>
      </w:pPr>
      <w:r>
        <w:rPr>
          <w:rFonts w:ascii="Arial" w:hAnsi="Arial"/>
        </w:rPr>
        <w:t>Appellant did seek an order reviewing and setting aside the Commission’s decisions to investigate in terms of s 18(1</w:t>
      </w:r>
      <w:proofErr w:type="gramStart"/>
      <w:r>
        <w:rPr>
          <w:rFonts w:ascii="Arial" w:hAnsi="Arial"/>
        </w:rPr>
        <w:t>)</w:t>
      </w:r>
      <w:r w:rsidRPr="00A32D52">
        <w:rPr>
          <w:rFonts w:ascii="Arial" w:hAnsi="Arial"/>
          <w:i/>
        </w:rPr>
        <w:t>(</w:t>
      </w:r>
      <w:proofErr w:type="gramEnd"/>
      <w:r w:rsidRPr="00A32D52">
        <w:rPr>
          <w:rFonts w:ascii="Arial" w:hAnsi="Arial"/>
          <w:i/>
        </w:rPr>
        <w:t>b)</w:t>
      </w:r>
      <w:r>
        <w:rPr>
          <w:rFonts w:ascii="Arial" w:hAnsi="Arial"/>
        </w:rPr>
        <w:t xml:space="preserve"> and 18(3) of the Act. This prayer for relief was considered and rejected above.  Those decisions could not have been vitiated by conduct that took place nearly eighteen months late</w:t>
      </w:r>
      <w:r w:rsidR="0069204D">
        <w:rPr>
          <w:rFonts w:ascii="Arial" w:hAnsi="Arial"/>
        </w:rPr>
        <w:t xml:space="preserve">r. </w:t>
      </w:r>
      <w:r>
        <w:rPr>
          <w:rFonts w:ascii="Arial" w:hAnsi="Arial"/>
        </w:rPr>
        <w:t xml:space="preserve">Accordingly, </w:t>
      </w:r>
      <w:r w:rsidR="00AE041D">
        <w:rPr>
          <w:rFonts w:ascii="Arial" w:hAnsi="Arial"/>
        </w:rPr>
        <w:t>a</w:t>
      </w:r>
      <w:r>
        <w:rPr>
          <w:rFonts w:ascii="Arial" w:hAnsi="Arial"/>
        </w:rPr>
        <w:t xml:space="preserve">ppellant’s argument that the High Court’s finding that </w:t>
      </w:r>
      <w:r w:rsidRPr="003C29F7">
        <w:rPr>
          <w:rFonts w:ascii="Arial" w:hAnsi="Arial"/>
        </w:rPr>
        <w:t>the Commission had used the power of arrest to further the interests of those engaged i</w:t>
      </w:r>
      <w:r>
        <w:rPr>
          <w:rFonts w:ascii="Arial" w:hAnsi="Arial"/>
        </w:rPr>
        <w:t>n a labour dispute with the NHE should result in an order reviewing and setting aside the Commission’s investigation cannot succeed.</w:t>
      </w:r>
    </w:p>
    <w:p w:rsidR="00DA2643" w:rsidRDefault="00DA2643" w:rsidP="00B76BDF">
      <w:pPr>
        <w:pStyle w:val="ListParagraph"/>
        <w:spacing w:line="480" w:lineRule="auto"/>
        <w:ind w:left="0"/>
        <w:jc w:val="both"/>
        <w:rPr>
          <w:rFonts w:ascii="Arial" w:hAnsi="Arial"/>
        </w:rPr>
      </w:pPr>
    </w:p>
    <w:p w:rsidR="002F2A86" w:rsidRDefault="00DA2643" w:rsidP="00B76BDF">
      <w:pPr>
        <w:pStyle w:val="ListParagraph"/>
        <w:numPr>
          <w:ilvl w:val="0"/>
          <w:numId w:val="1"/>
        </w:numPr>
        <w:spacing w:line="480" w:lineRule="auto"/>
        <w:ind w:left="0" w:firstLine="0"/>
        <w:jc w:val="both"/>
        <w:rPr>
          <w:rFonts w:ascii="Arial" w:hAnsi="Arial"/>
        </w:rPr>
      </w:pPr>
      <w:r>
        <w:rPr>
          <w:rFonts w:ascii="Arial" w:hAnsi="Arial"/>
        </w:rPr>
        <w:t xml:space="preserve">It is important to add that should a prosecution of </w:t>
      </w:r>
      <w:r w:rsidR="00AE041D">
        <w:rPr>
          <w:rFonts w:ascii="Arial" w:hAnsi="Arial"/>
        </w:rPr>
        <w:t>a</w:t>
      </w:r>
      <w:r>
        <w:rPr>
          <w:rFonts w:ascii="Arial" w:hAnsi="Arial"/>
        </w:rPr>
        <w:t xml:space="preserve">ppellant eventuate, it will be open to </w:t>
      </w:r>
      <w:r w:rsidR="00AE041D">
        <w:rPr>
          <w:rFonts w:ascii="Arial" w:hAnsi="Arial"/>
        </w:rPr>
        <w:t>a</w:t>
      </w:r>
      <w:r>
        <w:rPr>
          <w:rFonts w:ascii="Arial" w:hAnsi="Arial"/>
        </w:rPr>
        <w:t xml:space="preserve">ppellant to argue for the exclusion of any evidence tendered by the prosecution that </w:t>
      </w:r>
      <w:r w:rsidR="00AE041D">
        <w:rPr>
          <w:rFonts w:ascii="Arial" w:hAnsi="Arial"/>
        </w:rPr>
        <w:t>a</w:t>
      </w:r>
      <w:r>
        <w:rPr>
          <w:rFonts w:ascii="Arial" w:hAnsi="Arial"/>
        </w:rPr>
        <w:t>ppellant considers to have been improperly obtained</w:t>
      </w:r>
      <w:r w:rsidR="00137C3F">
        <w:rPr>
          <w:rFonts w:ascii="Arial" w:hAnsi="Arial"/>
        </w:rPr>
        <w:t>.  I</w:t>
      </w:r>
      <w:r>
        <w:rPr>
          <w:rFonts w:ascii="Arial" w:hAnsi="Arial"/>
        </w:rPr>
        <w:t xml:space="preserve">t will be for the trial court, in the first place, to decide whether there is any merit in any such argument. </w:t>
      </w:r>
    </w:p>
    <w:p w:rsidR="00CD71BA" w:rsidRDefault="00CD71BA" w:rsidP="00B76BDF">
      <w:pPr>
        <w:pStyle w:val="ListParagraph"/>
        <w:spacing w:line="480" w:lineRule="auto"/>
        <w:ind w:left="0"/>
        <w:jc w:val="both"/>
        <w:rPr>
          <w:rFonts w:ascii="Arial" w:hAnsi="Arial"/>
        </w:rPr>
      </w:pPr>
    </w:p>
    <w:p w:rsidR="00CD71BA" w:rsidRPr="00A32D52" w:rsidRDefault="00CD71BA" w:rsidP="00B76BDF">
      <w:pPr>
        <w:pStyle w:val="ListParagraph"/>
        <w:spacing w:line="480" w:lineRule="auto"/>
        <w:ind w:left="0"/>
        <w:jc w:val="both"/>
        <w:rPr>
          <w:rFonts w:ascii="Arial" w:hAnsi="Arial"/>
          <w:u w:val="single"/>
        </w:rPr>
      </w:pPr>
      <w:r w:rsidRPr="00A32D52">
        <w:rPr>
          <w:rFonts w:ascii="Arial" w:hAnsi="Arial"/>
          <w:u w:val="single"/>
        </w:rPr>
        <w:t>Outcome of appeal</w:t>
      </w:r>
    </w:p>
    <w:p w:rsidR="00EC7C01" w:rsidRDefault="00CD71BA" w:rsidP="00B76BDF">
      <w:pPr>
        <w:pStyle w:val="ListParagraph"/>
        <w:numPr>
          <w:ilvl w:val="0"/>
          <w:numId w:val="1"/>
        </w:numPr>
        <w:spacing w:line="480" w:lineRule="auto"/>
        <w:ind w:left="0" w:firstLine="0"/>
        <w:jc w:val="both"/>
        <w:rPr>
          <w:rFonts w:ascii="Arial" w:hAnsi="Arial"/>
        </w:rPr>
      </w:pPr>
      <w:r>
        <w:rPr>
          <w:rFonts w:ascii="Arial" w:hAnsi="Arial"/>
        </w:rPr>
        <w:t>Appellant’s arguments on appeal have not succeeded and accordingly his appeal must fail.</w:t>
      </w:r>
      <w:r w:rsidR="00EC7C01">
        <w:rPr>
          <w:rFonts w:ascii="Arial" w:hAnsi="Arial"/>
        </w:rPr>
        <w:t xml:space="preserve"> </w:t>
      </w:r>
    </w:p>
    <w:p w:rsidR="009F0BF6" w:rsidRDefault="009F0BF6" w:rsidP="00B76BDF">
      <w:pPr>
        <w:pStyle w:val="ListParagraph"/>
        <w:spacing w:line="480" w:lineRule="auto"/>
        <w:ind w:left="0"/>
        <w:jc w:val="both"/>
        <w:rPr>
          <w:rFonts w:ascii="Arial" w:hAnsi="Arial"/>
        </w:rPr>
      </w:pPr>
    </w:p>
    <w:p w:rsidR="008A3E9A" w:rsidRDefault="008A3E9A" w:rsidP="00B76BDF">
      <w:pPr>
        <w:pStyle w:val="ListParagraph"/>
        <w:numPr>
          <w:ilvl w:val="0"/>
          <w:numId w:val="1"/>
        </w:numPr>
        <w:spacing w:line="480" w:lineRule="auto"/>
        <w:ind w:left="0" w:firstLine="0"/>
        <w:jc w:val="both"/>
        <w:rPr>
          <w:rFonts w:ascii="Arial" w:hAnsi="Arial"/>
        </w:rPr>
      </w:pPr>
      <w:r>
        <w:rPr>
          <w:rFonts w:ascii="Arial" w:hAnsi="Arial"/>
        </w:rPr>
        <w:t>O</w:t>
      </w:r>
      <w:r w:rsidR="00CD71BA">
        <w:rPr>
          <w:rFonts w:ascii="Arial" w:hAnsi="Arial"/>
        </w:rPr>
        <w:t xml:space="preserve">ne last thing should be said. The fact that </w:t>
      </w:r>
      <w:r w:rsidR="00AE041D">
        <w:rPr>
          <w:rFonts w:ascii="Arial" w:hAnsi="Arial"/>
        </w:rPr>
        <w:t>a</w:t>
      </w:r>
      <w:r w:rsidR="00CD71BA">
        <w:rPr>
          <w:rFonts w:ascii="Arial" w:hAnsi="Arial"/>
        </w:rPr>
        <w:t xml:space="preserve">ppellant has not succeeded in </w:t>
      </w:r>
      <w:r w:rsidR="00B00A80">
        <w:rPr>
          <w:rFonts w:ascii="Arial" w:hAnsi="Arial"/>
        </w:rPr>
        <w:t xml:space="preserve">this appeal </w:t>
      </w:r>
      <w:r w:rsidR="00CD71BA">
        <w:rPr>
          <w:rFonts w:ascii="Arial" w:hAnsi="Arial"/>
        </w:rPr>
        <w:t xml:space="preserve">should not obscure the fact that it is a cause for </w:t>
      </w:r>
      <w:r>
        <w:rPr>
          <w:rFonts w:ascii="Arial" w:hAnsi="Arial"/>
        </w:rPr>
        <w:t xml:space="preserve">grave concern that the Commission </w:t>
      </w:r>
      <w:r w:rsidR="00B00A80">
        <w:rPr>
          <w:rFonts w:ascii="Arial" w:hAnsi="Arial"/>
        </w:rPr>
        <w:t xml:space="preserve">was </w:t>
      </w:r>
      <w:r w:rsidR="009F0BF6">
        <w:rPr>
          <w:rFonts w:ascii="Arial" w:hAnsi="Arial"/>
        </w:rPr>
        <w:t xml:space="preserve">found </w:t>
      </w:r>
      <w:r w:rsidR="00B00A80">
        <w:rPr>
          <w:rFonts w:ascii="Arial" w:hAnsi="Arial"/>
        </w:rPr>
        <w:t xml:space="preserve">by the High Court </w:t>
      </w:r>
      <w:r w:rsidR="009F0BF6">
        <w:rPr>
          <w:rFonts w:ascii="Arial" w:hAnsi="Arial"/>
        </w:rPr>
        <w:t xml:space="preserve">to </w:t>
      </w:r>
      <w:r>
        <w:rPr>
          <w:rFonts w:ascii="Arial" w:hAnsi="Arial"/>
        </w:rPr>
        <w:t xml:space="preserve">have </w:t>
      </w:r>
      <w:r w:rsidR="009F0BF6">
        <w:rPr>
          <w:rFonts w:ascii="Arial" w:hAnsi="Arial"/>
        </w:rPr>
        <w:t xml:space="preserve">advanced the cause of </w:t>
      </w:r>
      <w:r>
        <w:rPr>
          <w:rFonts w:ascii="Arial" w:hAnsi="Arial"/>
        </w:rPr>
        <w:t>the Union</w:t>
      </w:r>
      <w:r w:rsidR="00CD71BA">
        <w:rPr>
          <w:rFonts w:ascii="Arial" w:hAnsi="Arial"/>
        </w:rPr>
        <w:t xml:space="preserve"> and its members</w:t>
      </w:r>
      <w:r>
        <w:rPr>
          <w:rFonts w:ascii="Arial" w:hAnsi="Arial"/>
        </w:rPr>
        <w:t xml:space="preserve"> in effecting </w:t>
      </w:r>
      <w:r w:rsidR="009F0BF6">
        <w:rPr>
          <w:rFonts w:ascii="Arial" w:hAnsi="Arial"/>
        </w:rPr>
        <w:t xml:space="preserve">the arrest of </w:t>
      </w:r>
      <w:r w:rsidR="002C30F9">
        <w:rPr>
          <w:rFonts w:ascii="Arial" w:hAnsi="Arial"/>
        </w:rPr>
        <w:t>a</w:t>
      </w:r>
      <w:r w:rsidR="0069204D">
        <w:rPr>
          <w:rFonts w:ascii="Arial" w:hAnsi="Arial"/>
        </w:rPr>
        <w:t xml:space="preserve">ppellant. </w:t>
      </w:r>
      <w:r w:rsidR="009F0BF6">
        <w:rPr>
          <w:rFonts w:ascii="Arial" w:hAnsi="Arial"/>
        </w:rPr>
        <w:t>Such conduct is deplorable</w:t>
      </w:r>
      <w:r w:rsidR="00DB1563">
        <w:rPr>
          <w:rFonts w:ascii="Arial" w:hAnsi="Arial"/>
        </w:rPr>
        <w:t xml:space="preserve"> and </w:t>
      </w:r>
      <w:r w:rsidR="002C30F9">
        <w:rPr>
          <w:rFonts w:ascii="Arial" w:hAnsi="Arial"/>
        </w:rPr>
        <w:t>a</w:t>
      </w:r>
      <w:r w:rsidR="00DB1563">
        <w:rPr>
          <w:rFonts w:ascii="Arial" w:hAnsi="Arial"/>
        </w:rPr>
        <w:t>ppellant is entitled to feel aggrieved by it</w:t>
      </w:r>
      <w:r w:rsidR="009F0BF6">
        <w:rPr>
          <w:rFonts w:ascii="Arial" w:hAnsi="Arial"/>
        </w:rPr>
        <w:t>. The Commission is established as an independent and impartial institution to prevent and punish corruption. It is an institution of national importance pursuing a goal that is central to the wellb</w:t>
      </w:r>
      <w:r w:rsidR="00B00A80">
        <w:rPr>
          <w:rFonts w:ascii="Arial" w:hAnsi="Arial"/>
        </w:rPr>
        <w:t>eing of Namibia’s</w:t>
      </w:r>
      <w:r w:rsidR="009F0BF6">
        <w:rPr>
          <w:rFonts w:ascii="Arial" w:hAnsi="Arial"/>
        </w:rPr>
        <w:t xml:space="preserve"> democracy. </w:t>
      </w:r>
      <w:r w:rsidR="00CD71BA">
        <w:rPr>
          <w:rFonts w:ascii="Arial" w:hAnsi="Arial"/>
        </w:rPr>
        <w:t xml:space="preserve">Its conduct must be beyond reproach. </w:t>
      </w:r>
      <w:r w:rsidR="009F0BF6">
        <w:rPr>
          <w:rFonts w:ascii="Arial" w:hAnsi="Arial"/>
        </w:rPr>
        <w:t xml:space="preserve">The achievement of </w:t>
      </w:r>
      <w:r w:rsidR="00CD71BA">
        <w:rPr>
          <w:rFonts w:ascii="Arial" w:hAnsi="Arial"/>
        </w:rPr>
        <w:t xml:space="preserve">the Commission’s </w:t>
      </w:r>
      <w:r w:rsidR="009F0BF6">
        <w:rPr>
          <w:rFonts w:ascii="Arial" w:hAnsi="Arial"/>
        </w:rPr>
        <w:t xml:space="preserve">goal will be imperilled if </w:t>
      </w:r>
      <w:r w:rsidR="00CD71BA">
        <w:rPr>
          <w:rFonts w:ascii="Arial" w:hAnsi="Arial"/>
        </w:rPr>
        <w:t xml:space="preserve">its </w:t>
      </w:r>
      <w:r w:rsidR="009F0BF6">
        <w:rPr>
          <w:rFonts w:ascii="Arial" w:hAnsi="Arial"/>
        </w:rPr>
        <w:t xml:space="preserve">reputation is tarnished as it has been in this case by its </w:t>
      </w:r>
      <w:r w:rsidR="00CD71BA">
        <w:rPr>
          <w:rFonts w:ascii="Arial" w:hAnsi="Arial"/>
        </w:rPr>
        <w:t xml:space="preserve">unlawful </w:t>
      </w:r>
      <w:r w:rsidR="009F0BF6">
        <w:rPr>
          <w:rFonts w:ascii="Arial" w:hAnsi="Arial"/>
        </w:rPr>
        <w:t>conduct. Appellant may of course choose to pursue civil re</w:t>
      </w:r>
      <w:r w:rsidR="0069204D">
        <w:rPr>
          <w:rFonts w:ascii="Arial" w:hAnsi="Arial"/>
        </w:rPr>
        <w:t xml:space="preserve">medies against the Commission. </w:t>
      </w:r>
      <w:r w:rsidR="009F0BF6">
        <w:rPr>
          <w:rFonts w:ascii="Arial" w:hAnsi="Arial"/>
        </w:rPr>
        <w:t>Such remedies, however, even if successful, will not repair the Commission’s reputation. Its reputation will</w:t>
      </w:r>
      <w:r w:rsidR="00CD71BA">
        <w:rPr>
          <w:rFonts w:ascii="Arial" w:hAnsi="Arial"/>
        </w:rPr>
        <w:t xml:space="preserve"> only be repaired if the Commission by its conduct and the conduct of its officials demonstrates unwaveringly that it must and will always act in a manner that is independent, impartial and lawful.</w:t>
      </w:r>
    </w:p>
    <w:p w:rsidR="00EC7C01" w:rsidRDefault="00EC7C01" w:rsidP="00B76BDF">
      <w:pPr>
        <w:pStyle w:val="ListParagraph"/>
        <w:spacing w:line="480" w:lineRule="auto"/>
        <w:ind w:left="0"/>
        <w:jc w:val="both"/>
        <w:rPr>
          <w:rFonts w:ascii="Arial" w:hAnsi="Arial"/>
        </w:rPr>
      </w:pPr>
    </w:p>
    <w:p w:rsidR="008A3E9A" w:rsidRPr="00A32D52" w:rsidRDefault="008A3E9A" w:rsidP="00B76BDF">
      <w:pPr>
        <w:pStyle w:val="ListParagraph"/>
        <w:spacing w:line="480" w:lineRule="auto"/>
        <w:ind w:left="0"/>
        <w:jc w:val="both"/>
        <w:rPr>
          <w:rFonts w:ascii="Arial" w:hAnsi="Arial"/>
          <w:u w:val="single"/>
        </w:rPr>
      </w:pPr>
      <w:r w:rsidRPr="00A32D52">
        <w:rPr>
          <w:rFonts w:ascii="Arial" w:hAnsi="Arial"/>
          <w:u w:val="single"/>
        </w:rPr>
        <w:t>Costs</w:t>
      </w:r>
    </w:p>
    <w:p w:rsidR="000031E9" w:rsidRPr="008A3E9A" w:rsidRDefault="008A3E9A" w:rsidP="00B76BDF">
      <w:pPr>
        <w:pStyle w:val="ListParagraph"/>
        <w:numPr>
          <w:ilvl w:val="0"/>
          <w:numId w:val="1"/>
        </w:numPr>
        <w:spacing w:line="480" w:lineRule="auto"/>
        <w:ind w:left="0" w:firstLine="0"/>
        <w:jc w:val="both"/>
        <w:rPr>
          <w:rFonts w:ascii="Arial" w:hAnsi="Arial"/>
        </w:rPr>
      </w:pPr>
      <w:r>
        <w:rPr>
          <w:rFonts w:ascii="Arial" w:hAnsi="Arial"/>
        </w:rPr>
        <w:t xml:space="preserve">Appellant has not succeeded.  There is no reason why costs should not follow the result. </w:t>
      </w:r>
    </w:p>
    <w:p w:rsidR="00B91B86" w:rsidRDefault="00B91B86" w:rsidP="00B76BDF">
      <w:pPr>
        <w:pStyle w:val="ListParagraph"/>
        <w:spacing w:line="480" w:lineRule="auto"/>
        <w:ind w:left="0"/>
        <w:jc w:val="both"/>
        <w:rPr>
          <w:rFonts w:ascii="Arial" w:hAnsi="Arial"/>
        </w:rPr>
      </w:pPr>
    </w:p>
    <w:p w:rsidR="00075C66" w:rsidRPr="00A32D52" w:rsidRDefault="00075C66" w:rsidP="00B76BDF">
      <w:pPr>
        <w:pStyle w:val="ListParagraph"/>
        <w:spacing w:line="480" w:lineRule="auto"/>
        <w:ind w:left="0"/>
        <w:jc w:val="both"/>
        <w:rPr>
          <w:rFonts w:ascii="Arial" w:hAnsi="Arial"/>
          <w:u w:val="single"/>
        </w:rPr>
      </w:pPr>
      <w:r w:rsidRPr="00A32D52">
        <w:rPr>
          <w:rFonts w:ascii="Arial" w:hAnsi="Arial"/>
          <w:u w:val="single"/>
        </w:rPr>
        <w:t>Order</w:t>
      </w:r>
    </w:p>
    <w:p w:rsidR="009042CF" w:rsidRDefault="00075C66" w:rsidP="00B76BDF">
      <w:pPr>
        <w:pStyle w:val="ListParagraph"/>
        <w:numPr>
          <w:ilvl w:val="0"/>
          <w:numId w:val="1"/>
        </w:numPr>
        <w:spacing w:line="480" w:lineRule="auto"/>
        <w:ind w:left="0" w:firstLine="0"/>
        <w:jc w:val="both"/>
        <w:rPr>
          <w:rFonts w:ascii="Arial" w:hAnsi="Arial"/>
        </w:rPr>
      </w:pPr>
      <w:r>
        <w:rPr>
          <w:rFonts w:ascii="Arial" w:hAnsi="Arial"/>
        </w:rPr>
        <w:t>The f</w:t>
      </w:r>
      <w:r w:rsidR="009042CF">
        <w:rPr>
          <w:rFonts w:ascii="Arial" w:hAnsi="Arial"/>
        </w:rPr>
        <w:t>ollowing order is made:</w:t>
      </w:r>
    </w:p>
    <w:p w:rsidR="009042CF" w:rsidRDefault="009042CF" w:rsidP="00A32D52">
      <w:pPr>
        <w:pStyle w:val="ListParagraph"/>
        <w:spacing w:line="480" w:lineRule="auto"/>
        <w:jc w:val="both"/>
        <w:rPr>
          <w:rFonts w:ascii="Arial" w:hAnsi="Arial"/>
        </w:rPr>
      </w:pPr>
    </w:p>
    <w:p w:rsidR="009042CF" w:rsidRDefault="00197952" w:rsidP="00A32D52">
      <w:pPr>
        <w:pStyle w:val="ListParagraph"/>
        <w:spacing w:line="480" w:lineRule="auto"/>
        <w:ind w:left="0" w:firstLine="720"/>
        <w:jc w:val="both"/>
        <w:rPr>
          <w:rFonts w:ascii="Arial" w:hAnsi="Arial"/>
        </w:rPr>
      </w:pPr>
      <w:r>
        <w:rPr>
          <w:rFonts w:ascii="Arial" w:hAnsi="Arial"/>
        </w:rPr>
        <w:t>1.</w:t>
      </w:r>
      <w:r w:rsidR="00137C3F">
        <w:rPr>
          <w:rFonts w:ascii="Arial" w:hAnsi="Arial"/>
        </w:rPr>
        <w:tab/>
      </w:r>
      <w:r w:rsidR="009042CF">
        <w:rPr>
          <w:rFonts w:ascii="Arial" w:hAnsi="Arial"/>
        </w:rPr>
        <w:t>The appeal</w:t>
      </w:r>
      <w:r w:rsidR="00075C66">
        <w:rPr>
          <w:rFonts w:ascii="Arial" w:hAnsi="Arial"/>
        </w:rPr>
        <w:t xml:space="preserve"> </w:t>
      </w:r>
      <w:r w:rsidR="009042CF">
        <w:rPr>
          <w:rFonts w:ascii="Arial" w:hAnsi="Arial"/>
        </w:rPr>
        <w:t>is</w:t>
      </w:r>
      <w:r w:rsidR="008A3E9A">
        <w:rPr>
          <w:rFonts w:ascii="Arial" w:hAnsi="Arial"/>
        </w:rPr>
        <w:t xml:space="preserve"> dismissed</w:t>
      </w:r>
      <w:r w:rsidR="009042CF">
        <w:rPr>
          <w:rFonts w:ascii="Arial" w:hAnsi="Arial"/>
        </w:rPr>
        <w:t>.</w:t>
      </w:r>
    </w:p>
    <w:p w:rsidR="002C30F9" w:rsidRDefault="002C30F9" w:rsidP="00A32D52">
      <w:pPr>
        <w:pStyle w:val="ListParagraph"/>
        <w:spacing w:line="480" w:lineRule="auto"/>
        <w:jc w:val="both"/>
        <w:rPr>
          <w:rFonts w:ascii="Arial" w:hAnsi="Arial"/>
        </w:rPr>
      </w:pPr>
    </w:p>
    <w:p w:rsidR="008A3E9A" w:rsidRDefault="008A3E9A" w:rsidP="00A32D52">
      <w:pPr>
        <w:pStyle w:val="ListParagraph"/>
        <w:spacing w:line="480" w:lineRule="auto"/>
        <w:ind w:left="1440" w:hanging="720"/>
        <w:jc w:val="both"/>
        <w:rPr>
          <w:rFonts w:ascii="Arial" w:hAnsi="Arial"/>
        </w:rPr>
      </w:pPr>
      <w:r>
        <w:rPr>
          <w:rFonts w:ascii="Arial" w:hAnsi="Arial"/>
        </w:rPr>
        <w:t>2</w:t>
      </w:r>
      <w:r w:rsidR="007B4C02">
        <w:rPr>
          <w:rFonts w:ascii="Arial" w:hAnsi="Arial"/>
        </w:rPr>
        <w:t>.</w:t>
      </w:r>
      <w:r w:rsidR="00137C3F">
        <w:rPr>
          <w:rFonts w:ascii="Arial" w:hAnsi="Arial"/>
        </w:rPr>
        <w:tab/>
      </w:r>
      <w:r>
        <w:rPr>
          <w:rFonts w:ascii="Arial" w:hAnsi="Arial"/>
        </w:rPr>
        <w:t xml:space="preserve">Appellant is ordered to pay the costs of the </w:t>
      </w:r>
      <w:r w:rsidR="001F1010">
        <w:rPr>
          <w:rFonts w:ascii="Arial" w:hAnsi="Arial"/>
        </w:rPr>
        <w:t>f</w:t>
      </w:r>
      <w:r>
        <w:rPr>
          <w:rFonts w:ascii="Arial" w:hAnsi="Arial"/>
        </w:rPr>
        <w:t xml:space="preserve">irst, </w:t>
      </w:r>
      <w:r w:rsidR="001F1010">
        <w:rPr>
          <w:rFonts w:ascii="Arial" w:hAnsi="Arial"/>
        </w:rPr>
        <w:t>s</w:t>
      </w:r>
      <w:r>
        <w:rPr>
          <w:rFonts w:ascii="Arial" w:hAnsi="Arial"/>
        </w:rPr>
        <w:t xml:space="preserve">econd and </w:t>
      </w:r>
      <w:r w:rsidR="001F1010">
        <w:rPr>
          <w:rFonts w:ascii="Arial" w:hAnsi="Arial"/>
        </w:rPr>
        <w:t>f</w:t>
      </w:r>
      <w:r>
        <w:rPr>
          <w:rFonts w:ascii="Arial" w:hAnsi="Arial"/>
        </w:rPr>
        <w:t xml:space="preserve">ifth </w:t>
      </w:r>
      <w:r w:rsidR="001F1010">
        <w:rPr>
          <w:rFonts w:ascii="Arial" w:hAnsi="Arial"/>
        </w:rPr>
        <w:t>r</w:t>
      </w:r>
      <w:r>
        <w:rPr>
          <w:rFonts w:ascii="Arial" w:hAnsi="Arial"/>
        </w:rPr>
        <w:t>espondents in this court, such costs to include the costs of two instructed and one instructing counsel.</w:t>
      </w:r>
    </w:p>
    <w:p w:rsidR="008C7341" w:rsidRDefault="008C7341" w:rsidP="0069204D">
      <w:pPr>
        <w:pStyle w:val="ListParagraph"/>
        <w:ind w:left="0"/>
        <w:jc w:val="both"/>
        <w:rPr>
          <w:rFonts w:ascii="Arial" w:hAnsi="Arial"/>
        </w:rPr>
      </w:pPr>
    </w:p>
    <w:p w:rsidR="0069204D" w:rsidRDefault="0069204D" w:rsidP="0069204D">
      <w:pPr>
        <w:pStyle w:val="ListParagraph"/>
        <w:ind w:left="0"/>
        <w:jc w:val="both"/>
        <w:rPr>
          <w:rFonts w:ascii="Arial" w:hAnsi="Arial"/>
        </w:rPr>
      </w:pPr>
    </w:p>
    <w:p w:rsidR="0069204D" w:rsidRDefault="0069204D" w:rsidP="0069204D">
      <w:pPr>
        <w:pStyle w:val="ListParagraph"/>
        <w:ind w:left="0"/>
        <w:jc w:val="both"/>
        <w:rPr>
          <w:rFonts w:ascii="Arial" w:hAnsi="Arial"/>
        </w:rPr>
      </w:pPr>
    </w:p>
    <w:p w:rsidR="0069204D" w:rsidRPr="008C7341" w:rsidRDefault="0069204D" w:rsidP="0069204D">
      <w:pPr>
        <w:pStyle w:val="ListParagraph"/>
        <w:ind w:left="0"/>
        <w:jc w:val="both"/>
        <w:rPr>
          <w:rFonts w:ascii="Arial" w:hAnsi="Arial"/>
        </w:rPr>
      </w:pPr>
    </w:p>
    <w:p w:rsidR="00222C8E" w:rsidRDefault="00222C8E" w:rsidP="0069204D">
      <w:pPr>
        <w:jc w:val="both"/>
      </w:pPr>
      <w:r>
        <w:rPr>
          <w:rFonts w:ascii="Arial" w:hAnsi="Arial"/>
        </w:rPr>
        <w:t>_____________________</w:t>
      </w:r>
    </w:p>
    <w:p w:rsidR="000A7E15" w:rsidRPr="00B76BDF" w:rsidRDefault="00222C8E" w:rsidP="0069204D">
      <w:pPr>
        <w:jc w:val="both"/>
        <w:rPr>
          <w:rFonts w:ascii="Arial" w:hAnsi="Arial"/>
          <w:b/>
        </w:rPr>
      </w:pPr>
      <w:r w:rsidRPr="00B76BDF">
        <w:rPr>
          <w:rFonts w:ascii="Arial" w:hAnsi="Arial"/>
          <w:b/>
        </w:rPr>
        <w:t>O’REGAN AJA</w:t>
      </w:r>
    </w:p>
    <w:p w:rsidR="0005517E" w:rsidRDefault="0005517E" w:rsidP="0069204D">
      <w:pPr>
        <w:jc w:val="both"/>
        <w:rPr>
          <w:rFonts w:ascii="Arial" w:hAnsi="Arial"/>
        </w:rPr>
      </w:pPr>
    </w:p>
    <w:p w:rsidR="0005517E" w:rsidRDefault="0005517E" w:rsidP="0069204D">
      <w:pPr>
        <w:jc w:val="both"/>
        <w:rPr>
          <w:rFonts w:ascii="Arial" w:hAnsi="Arial"/>
        </w:rPr>
      </w:pPr>
    </w:p>
    <w:p w:rsidR="0005517E" w:rsidRDefault="0005517E" w:rsidP="0069204D">
      <w:pPr>
        <w:jc w:val="both"/>
        <w:rPr>
          <w:rFonts w:ascii="Arial" w:hAnsi="Arial"/>
        </w:rPr>
      </w:pPr>
    </w:p>
    <w:p w:rsidR="00523498" w:rsidRDefault="00523498" w:rsidP="0069204D">
      <w:pPr>
        <w:jc w:val="both"/>
        <w:rPr>
          <w:rFonts w:ascii="Arial" w:hAnsi="Arial"/>
        </w:rPr>
      </w:pPr>
    </w:p>
    <w:p w:rsidR="0005517E" w:rsidRDefault="0005517E" w:rsidP="0069204D">
      <w:pPr>
        <w:jc w:val="both"/>
        <w:rPr>
          <w:rFonts w:ascii="Arial" w:hAnsi="Arial"/>
        </w:rPr>
      </w:pPr>
      <w:r>
        <w:rPr>
          <w:rFonts w:ascii="Arial" w:hAnsi="Arial"/>
        </w:rPr>
        <w:t>________</w:t>
      </w:r>
      <w:r w:rsidR="009042CF">
        <w:rPr>
          <w:rFonts w:ascii="Arial" w:hAnsi="Arial"/>
        </w:rPr>
        <w:t>_______________</w:t>
      </w:r>
    </w:p>
    <w:p w:rsidR="009042CF" w:rsidRPr="00B76BDF" w:rsidRDefault="00B00A80" w:rsidP="0069204D">
      <w:pPr>
        <w:jc w:val="both"/>
        <w:rPr>
          <w:rFonts w:ascii="Arial" w:hAnsi="Arial"/>
          <w:b/>
        </w:rPr>
      </w:pPr>
      <w:r w:rsidRPr="00B76BDF">
        <w:rPr>
          <w:rFonts w:ascii="Arial" w:hAnsi="Arial"/>
          <w:b/>
        </w:rPr>
        <w:t xml:space="preserve">MAINGA </w:t>
      </w:r>
      <w:r w:rsidR="009042CF" w:rsidRPr="00B76BDF">
        <w:rPr>
          <w:rFonts w:ascii="Arial" w:hAnsi="Arial"/>
          <w:b/>
        </w:rPr>
        <w:t>JA</w:t>
      </w:r>
    </w:p>
    <w:p w:rsidR="009042CF" w:rsidRPr="00B76BDF" w:rsidRDefault="009042CF" w:rsidP="0069204D">
      <w:pPr>
        <w:jc w:val="both"/>
        <w:rPr>
          <w:rFonts w:ascii="Arial" w:hAnsi="Arial"/>
          <w:b/>
        </w:rPr>
      </w:pPr>
    </w:p>
    <w:p w:rsidR="009042CF" w:rsidRDefault="009042CF" w:rsidP="0069204D">
      <w:pPr>
        <w:jc w:val="both"/>
        <w:rPr>
          <w:rFonts w:ascii="Arial" w:hAnsi="Arial"/>
        </w:rPr>
      </w:pPr>
    </w:p>
    <w:p w:rsidR="002C30F9" w:rsidRDefault="002C30F9" w:rsidP="0069204D">
      <w:pPr>
        <w:jc w:val="both"/>
        <w:rPr>
          <w:rFonts w:ascii="Arial" w:hAnsi="Arial"/>
        </w:rPr>
      </w:pPr>
    </w:p>
    <w:p w:rsidR="002C30F9" w:rsidRDefault="002C30F9" w:rsidP="0069204D">
      <w:pPr>
        <w:jc w:val="both"/>
        <w:rPr>
          <w:rFonts w:ascii="Arial" w:hAnsi="Arial"/>
        </w:rPr>
      </w:pPr>
    </w:p>
    <w:p w:rsidR="002C30F9" w:rsidRDefault="002C30F9" w:rsidP="0069204D">
      <w:pPr>
        <w:jc w:val="both"/>
        <w:rPr>
          <w:rFonts w:ascii="Arial" w:hAnsi="Arial"/>
        </w:rPr>
      </w:pPr>
    </w:p>
    <w:p w:rsidR="008A2E86" w:rsidRDefault="008A2E86" w:rsidP="0069204D">
      <w:pPr>
        <w:jc w:val="both"/>
        <w:rPr>
          <w:rFonts w:ascii="Arial" w:hAnsi="Arial"/>
        </w:rPr>
      </w:pPr>
    </w:p>
    <w:p w:rsidR="009042CF" w:rsidRDefault="009042CF" w:rsidP="0069204D">
      <w:pPr>
        <w:jc w:val="both"/>
        <w:rPr>
          <w:rFonts w:ascii="Arial" w:hAnsi="Arial"/>
        </w:rPr>
      </w:pPr>
      <w:r>
        <w:rPr>
          <w:rFonts w:ascii="Arial" w:hAnsi="Arial"/>
        </w:rPr>
        <w:t>__________________________</w:t>
      </w:r>
    </w:p>
    <w:p w:rsidR="008A2E86" w:rsidRDefault="009042CF" w:rsidP="0069204D">
      <w:pPr>
        <w:jc w:val="both"/>
        <w:rPr>
          <w:rFonts w:ascii="Arial" w:hAnsi="Arial"/>
          <w:b/>
        </w:rPr>
      </w:pPr>
      <w:r w:rsidRPr="00B76BDF">
        <w:rPr>
          <w:rFonts w:ascii="Arial" w:hAnsi="Arial"/>
          <w:b/>
        </w:rPr>
        <w:t>MOKGORO AJA</w:t>
      </w:r>
    </w:p>
    <w:p w:rsidR="008A2E86" w:rsidRDefault="008A2E86" w:rsidP="0069204D">
      <w:pPr>
        <w:rPr>
          <w:rFonts w:ascii="Arial" w:hAnsi="Arial"/>
          <w:b/>
        </w:rPr>
      </w:pPr>
      <w:r>
        <w:rPr>
          <w:rFonts w:ascii="Arial" w:hAnsi="Arial"/>
          <w:b/>
        </w:rPr>
        <w:br w:type="page"/>
      </w:r>
    </w:p>
    <w:p w:rsidR="009042CF" w:rsidRDefault="009042CF" w:rsidP="00B76BDF">
      <w:pPr>
        <w:jc w:val="both"/>
        <w:rPr>
          <w:rFonts w:ascii="Arial" w:hAnsi="Arial"/>
          <w:b/>
        </w:rPr>
      </w:pPr>
    </w:p>
    <w:p w:rsidR="008A2E86" w:rsidRDefault="008A2E86" w:rsidP="00B76BDF">
      <w:pPr>
        <w:jc w:val="both"/>
        <w:rPr>
          <w:rFonts w:ascii="Arial" w:hAnsi="Arial"/>
        </w:rPr>
      </w:pPr>
      <w:r>
        <w:rPr>
          <w:rFonts w:ascii="Arial" w:hAnsi="Arial"/>
        </w:rPr>
        <w:t>APPEARANCES</w:t>
      </w:r>
    </w:p>
    <w:p w:rsidR="008A2E86" w:rsidRDefault="008A2E86" w:rsidP="00B76BDF">
      <w:pPr>
        <w:jc w:val="both"/>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tblGrid>
      <w:tr w:rsidR="008A2E86" w:rsidTr="00E2487E">
        <w:tc>
          <w:tcPr>
            <w:tcW w:w="4145" w:type="dxa"/>
          </w:tcPr>
          <w:p w:rsidR="008A2E86" w:rsidRDefault="00E2487E" w:rsidP="00197952">
            <w:pPr>
              <w:spacing w:line="360" w:lineRule="auto"/>
              <w:ind w:left="-108"/>
              <w:jc w:val="both"/>
              <w:rPr>
                <w:rFonts w:ascii="Arial" w:hAnsi="Arial"/>
              </w:rPr>
            </w:pPr>
            <w:r>
              <w:rPr>
                <w:rFonts w:ascii="Arial" w:hAnsi="Arial"/>
              </w:rPr>
              <w:t>APPELLANT:</w:t>
            </w:r>
          </w:p>
        </w:tc>
        <w:tc>
          <w:tcPr>
            <w:tcW w:w="4145" w:type="dxa"/>
          </w:tcPr>
          <w:p w:rsidR="00E2487E" w:rsidRDefault="00E2487E" w:rsidP="00E2487E">
            <w:pPr>
              <w:spacing w:line="360" w:lineRule="auto"/>
              <w:jc w:val="both"/>
              <w:rPr>
                <w:rFonts w:ascii="Arial" w:hAnsi="Arial"/>
              </w:rPr>
            </w:pPr>
            <w:r>
              <w:rPr>
                <w:rFonts w:ascii="Arial" w:hAnsi="Arial"/>
              </w:rPr>
              <w:t>S Namandje</w:t>
            </w:r>
          </w:p>
          <w:p w:rsidR="00E2487E" w:rsidRDefault="00E2487E" w:rsidP="00E2487E">
            <w:pPr>
              <w:spacing w:line="360" w:lineRule="auto"/>
              <w:jc w:val="both"/>
              <w:rPr>
                <w:rFonts w:ascii="Arial" w:hAnsi="Arial"/>
              </w:rPr>
            </w:pPr>
            <w:r>
              <w:rPr>
                <w:rFonts w:ascii="Arial" w:hAnsi="Arial"/>
              </w:rPr>
              <w:t xml:space="preserve">Instructed by </w:t>
            </w:r>
            <w:proofErr w:type="spellStart"/>
            <w:r>
              <w:rPr>
                <w:rFonts w:ascii="Arial" w:hAnsi="Arial"/>
              </w:rPr>
              <w:t>Sisa</w:t>
            </w:r>
            <w:proofErr w:type="spellEnd"/>
            <w:r>
              <w:rPr>
                <w:rFonts w:ascii="Arial" w:hAnsi="Arial"/>
              </w:rPr>
              <w:t xml:space="preserve"> Namandje &amp; Co </w:t>
            </w:r>
            <w:proofErr w:type="spellStart"/>
            <w:r>
              <w:rPr>
                <w:rFonts w:ascii="Arial" w:hAnsi="Arial"/>
              </w:rPr>
              <w:t>Inc</w:t>
            </w:r>
            <w:proofErr w:type="spellEnd"/>
          </w:p>
          <w:p w:rsidR="008A2E86" w:rsidRDefault="008A2E86" w:rsidP="00E2487E">
            <w:pPr>
              <w:spacing w:line="360" w:lineRule="auto"/>
              <w:jc w:val="both"/>
              <w:rPr>
                <w:rFonts w:ascii="Arial" w:hAnsi="Arial"/>
              </w:rPr>
            </w:pPr>
          </w:p>
        </w:tc>
      </w:tr>
      <w:tr w:rsidR="00E2487E" w:rsidTr="00E2487E">
        <w:tc>
          <w:tcPr>
            <w:tcW w:w="4145" w:type="dxa"/>
          </w:tcPr>
          <w:p w:rsidR="00E2487E" w:rsidRDefault="00E2487E" w:rsidP="00197952">
            <w:pPr>
              <w:spacing w:line="360" w:lineRule="auto"/>
              <w:ind w:left="-108"/>
              <w:jc w:val="both"/>
              <w:rPr>
                <w:rFonts w:ascii="Arial" w:hAnsi="Arial"/>
              </w:rPr>
            </w:pPr>
            <w:r>
              <w:rPr>
                <w:rFonts w:ascii="Arial" w:hAnsi="Arial"/>
              </w:rPr>
              <w:t xml:space="preserve">FIRST, SECOND and FIFTH </w:t>
            </w:r>
          </w:p>
          <w:p w:rsidR="00E2487E" w:rsidRDefault="00E2487E" w:rsidP="00197952">
            <w:pPr>
              <w:spacing w:line="360" w:lineRule="auto"/>
              <w:ind w:left="-108"/>
              <w:jc w:val="both"/>
              <w:rPr>
                <w:rFonts w:ascii="Arial" w:hAnsi="Arial"/>
              </w:rPr>
            </w:pPr>
            <w:r>
              <w:rPr>
                <w:rFonts w:ascii="Arial" w:hAnsi="Arial"/>
              </w:rPr>
              <w:t>RESPONDENTS</w:t>
            </w:r>
            <w:r w:rsidR="009775A7">
              <w:rPr>
                <w:rFonts w:ascii="Arial" w:hAnsi="Arial"/>
              </w:rPr>
              <w:t>:</w:t>
            </w:r>
          </w:p>
        </w:tc>
        <w:tc>
          <w:tcPr>
            <w:tcW w:w="4145" w:type="dxa"/>
          </w:tcPr>
          <w:p w:rsidR="00E2487E" w:rsidRDefault="007C047C" w:rsidP="00E2487E">
            <w:pPr>
              <w:spacing w:line="360" w:lineRule="auto"/>
              <w:jc w:val="both"/>
              <w:rPr>
                <w:rFonts w:ascii="Arial" w:hAnsi="Arial"/>
              </w:rPr>
            </w:pPr>
            <w:r>
              <w:rPr>
                <w:rFonts w:ascii="Arial" w:hAnsi="Arial"/>
              </w:rPr>
              <w:t xml:space="preserve">I </w:t>
            </w:r>
            <w:r w:rsidR="00E2487E">
              <w:rPr>
                <w:rFonts w:ascii="Arial" w:hAnsi="Arial"/>
              </w:rPr>
              <w:t xml:space="preserve">V </w:t>
            </w:r>
            <w:proofErr w:type="spellStart"/>
            <w:r w:rsidR="00E2487E">
              <w:rPr>
                <w:rFonts w:ascii="Arial" w:hAnsi="Arial"/>
              </w:rPr>
              <w:t>Maleka</w:t>
            </w:r>
            <w:proofErr w:type="spellEnd"/>
            <w:r w:rsidR="00E2487E">
              <w:rPr>
                <w:rFonts w:ascii="Arial" w:hAnsi="Arial"/>
              </w:rPr>
              <w:t xml:space="preserve"> SC (with him G </w:t>
            </w:r>
            <w:proofErr w:type="spellStart"/>
            <w:r w:rsidR="00E2487E">
              <w:rPr>
                <w:rFonts w:ascii="Arial" w:hAnsi="Arial"/>
              </w:rPr>
              <w:t>Narib</w:t>
            </w:r>
            <w:proofErr w:type="spellEnd"/>
            <w:r w:rsidR="00E2487E">
              <w:rPr>
                <w:rFonts w:ascii="Arial" w:hAnsi="Arial"/>
              </w:rPr>
              <w:t>)</w:t>
            </w:r>
          </w:p>
          <w:p w:rsidR="00E2487E" w:rsidRPr="008A2E86" w:rsidRDefault="00E2487E" w:rsidP="00E2487E">
            <w:pPr>
              <w:spacing w:line="360" w:lineRule="auto"/>
              <w:jc w:val="both"/>
              <w:rPr>
                <w:rFonts w:ascii="Arial" w:hAnsi="Arial"/>
              </w:rPr>
            </w:pPr>
            <w:r>
              <w:rPr>
                <w:rFonts w:ascii="Arial" w:hAnsi="Arial"/>
              </w:rPr>
              <w:t>Instructed by the Government Attorney</w:t>
            </w:r>
          </w:p>
          <w:p w:rsidR="00E2487E" w:rsidRDefault="00E2487E" w:rsidP="00E2487E">
            <w:pPr>
              <w:spacing w:line="360" w:lineRule="auto"/>
              <w:jc w:val="both"/>
              <w:rPr>
                <w:rFonts w:ascii="Arial" w:hAnsi="Arial"/>
              </w:rPr>
            </w:pPr>
          </w:p>
        </w:tc>
      </w:tr>
    </w:tbl>
    <w:p w:rsidR="008A2E86" w:rsidRDefault="008A2E86" w:rsidP="00B76BDF">
      <w:pPr>
        <w:jc w:val="both"/>
        <w:rPr>
          <w:rFonts w:ascii="Arial" w:hAnsi="Arial"/>
        </w:rPr>
      </w:pPr>
    </w:p>
    <w:sectPr w:rsidR="008A2E86" w:rsidSect="00CB7466">
      <w:headerReference w:type="default" r:id="rId9"/>
      <w:footerReference w:type="even" r:id="rId10"/>
      <w:headerReference w:type="firs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42" w:rsidRDefault="00CD0542" w:rsidP="00556277">
      <w:r>
        <w:separator/>
      </w:r>
    </w:p>
  </w:endnote>
  <w:endnote w:type="continuationSeparator" w:id="0">
    <w:p w:rsidR="00CD0542" w:rsidRDefault="00CD0542" w:rsidP="0055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62" w:rsidRDefault="00946D62" w:rsidP="00556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6D62" w:rsidRDefault="00946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42" w:rsidRDefault="00CD0542" w:rsidP="00556277">
      <w:r>
        <w:separator/>
      </w:r>
    </w:p>
  </w:footnote>
  <w:footnote w:type="continuationSeparator" w:id="0">
    <w:p w:rsidR="00CD0542" w:rsidRDefault="00CD0542" w:rsidP="00556277">
      <w:r>
        <w:continuationSeparator/>
      </w:r>
    </w:p>
  </w:footnote>
  <w:footnote w:id="1">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proofErr w:type="gramStart"/>
      <w:r w:rsidRPr="00CB7466">
        <w:rPr>
          <w:rFonts w:ascii="Arial" w:hAnsi="Arial" w:cs="Arial"/>
          <w:sz w:val="20"/>
          <w:szCs w:val="20"/>
          <w:lang w:val="en-US"/>
        </w:rPr>
        <w:t>Section 20(1) of the Act.</w:t>
      </w:r>
      <w:proofErr w:type="gramEnd"/>
    </w:p>
  </w:footnote>
  <w:footnote w:id="2">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proofErr w:type="gramStart"/>
      <w:r w:rsidRPr="00CB7466">
        <w:rPr>
          <w:rFonts w:ascii="Arial" w:hAnsi="Arial" w:cs="Arial"/>
          <w:sz w:val="20"/>
          <w:szCs w:val="20"/>
          <w:lang w:val="en-US"/>
        </w:rPr>
        <w:t>Section 17 of the Act.</w:t>
      </w:r>
      <w:proofErr w:type="gramEnd"/>
    </w:p>
  </w:footnote>
  <w:footnote w:id="3">
    <w:p w:rsidR="00946D62" w:rsidRPr="00CB7466" w:rsidRDefault="00946D62" w:rsidP="00BA020D">
      <w:pPr>
        <w:pStyle w:val="FootnoteText"/>
        <w:jc w:val="both"/>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r w:rsidRPr="00CB7466">
        <w:rPr>
          <w:rFonts w:ascii="Arial" w:hAnsi="Arial" w:cs="Arial"/>
          <w:sz w:val="20"/>
          <w:szCs w:val="20"/>
          <w:lang w:val="en-US"/>
        </w:rPr>
        <w:t xml:space="preserve">Section 1 of the Act, read with Chapter 4 of the Act, and see </w:t>
      </w:r>
      <w:proofErr w:type="spellStart"/>
      <w:r w:rsidRPr="00CB7466">
        <w:rPr>
          <w:rFonts w:ascii="Arial" w:hAnsi="Arial" w:cs="Arial"/>
          <w:i/>
          <w:sz w:val="20"/>
          <w:szCs w:val="20"/>
          <w:lang w:val="en-US"/>
        </w:rPr>
        <w:t>Lameck</w:t>
      </w:r>
      <w:proofErr w:type="spellEnd"/>
      <w:r w:rsidRPr="00CB7466">
        <w:rPr>
          <w:rFonts w:ascii="Arial" w:hAnsi="Arial" w:cs="Arial"/>
          <w:i/>
          <w:sz w:val="20"/>
          <w:szCs w:val="20"/>
          <w:lang w:val="en-US"/>
        </w:rPr>
        <w:t xml:space="preserve"> </w:t>
      </w:r>
      <w:r>
        <w:rPr>
          <w:rFonts w:ascii="Arial" w:hAnsi="Arial" w:cs="Arial"/>
          <w:i/>
          <w:sz w:val="20"/>
          <w:szCs w:val="20"/>
          <w:lang w:val="en-US"/>
        </w:rPr>
        <w:t>&amp;</w:t>
      </w:r>
      <w:r w:rsidRPr="00CB7466">
        <w:rPr>
          <w:rFonts w:ascii="Arial" w:hAnsi="Arial" w:cs="Arial"/>
          <w:i/>
          <w:sz w:val="20"/>
          <w:szCs w:val="20"/>
          <w:lang w:val="en-US"/>
        </w:rPr>
        <w:t xml:space="preserve"> </w:t>
      </w:r>
      <w:r>
        <w:rPr>
          <w:rFonts w:ascii="Arial" w:hAnsi="Arial" w:cs="Arial"/>
          <w:i/>
          <w:sz w:val="20"/>
          <w:szCs w:val="20"/>
          <w:lang w:val="en-US"/>
        </w:rPr>
        <w:t>a</w:t>
      </w:r>
      <w:r w:rsidRPr="00CB7466">
        <w:rPr>
          <w:rFonts w:ascii="Arial" w:hAnsi="Arial" w:cs="Arial"/>
          <w:i/>
          <w:sz w:val="20"/>
          <w:szCs w:val="20"/>
          <w:lang w:val="en-US"/>
        </w:rPr>
        <w:t xml:space="preserve">nother v President of the Republic of Namibia </w:t>
      </w:r>
      <w:r>
        <w:rPr>
          <w:rFonts w:ascii="Arial" w:hAnsi="Arial" w:cs="Arial"/>
          <w:i/>
          <w:sz w:val="20"/>
          <w:szCs w:val="20"/>
          <w:lang w:val="en-US"/>
        </w:rPr>
        <w:t>&amp;</w:t>
      </w:r>
      <w:r w:rsidRPr="00CB7466">
        <w:rPr>
          <w:rFonts w:ascii="Arial" w:hAnsi="Arial" w:cs="Arial"/>
          <w:i/>
          <w:sz w:val="20"/>
          <w:szCs w:val="20"/>
          <w:lang w:val="en-US"/>
        </w:rPr>
        <w:t xml:space="preserve"> </w:t>
      </w:r>
      <w:r>
        <w:rPr>
          <w:rFonts w:ascii="Arial" w:hAnsi="Arial" w:cs="Arial"/>
          <w:i/>
          <w:sz w:val="20"/>
          <w:szCs w:val="20"/>
          <w:lang w:val="en-US"/>
        </w:rPr>
        <w:t>o</w:t>
      </w:r>
      <w:r w:rsidRPr="00CB7466">
        <w:rPr>
          <w:rFonts w:ascii="Arial" w:hAnsi="Arial" w:cs="Arial"/>
          <w:i/>
          <w:sz w:val="20"/>
          <w:szCs w:val="20"/>
          <w:lang w:val="en-US"/>
        </w:rPr>
        <w:t>thers</w:t>
      </w:r>
      <w:r w:rsidRPr="00CB7466">
        <w:rPr>
          <w:rFonts w:ascii="Arial" w:hAnsi="Arial" w:cs="Arial"/>
          <w:sz w:val="20"/>
          <w:szCs w:val="20"/>
          <w:lang w:val="en-US"/>
        </w:rPr>
        <w:t xml:space="preserve"> 2012 (1) NR 255 (HC), in which the definition of </w:t>
      </w:r>
      <w:r>
        <w:rPr>
          <w:rFonts w:ascii="Arial" w:hAnsi="Arial" w:cs="Arial"/>
          <w:sz w:val="20"/>
          <w:szCs w:val="20"/>
          <w:lang w:val="en-US"/>
        </w:rPr>
        <w:t>‘</w:t>
      </w:r>
      <w:r w:rsidRPr="00CB7466">
        <w:rPr>
          <w:rFonts w:ascii="Arial" w:hAnsi="Arial" w:cs="Arial"/>
          <w:sz w:val="20"/>
          <w:szCs w:val="20"/>
          <w:lang w:val="en-US"/>
        </w:rPr>
        <w:t>corruptly</w:t>
      </w:r>
      <w:r>
        <w:rPr>
          <w:rFonts w:ascii="Arial" w:hAnsi="Arial" w:cs="Arial"/>
          <w:sz w:val="20"/>
          <w:szCs w:val="20"/>
          <w:lang w:val="en-US"/>
        </w:rPr>
        <w:t>’</w:t>
      </w:r>
      <w:r w:rsidRPr="00CB7466">
        <w:rPr>
          <w:rFonts w:ascii="Arial" w:hAnsi="Arial" w:cs="Arial"/>
          <w:sz w:val="20"/>
          <w:szCs w:val="20"/>
          <w:lang w:val="en-US"/>
        </w:rPr>
        <w:t xml:space="preserve"> contained in s 32 of the Act was declared to be inconsistent with the Constitution and invalid.</w:t>
      </w:r>
    </w:p>
  </w:footnote>
  <w:footnote w:id="4">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proofErr w:type="gramStart"/>
      <w:r w:rsidRPr="00CB7466">
        <w:rPr>
          <w:rFonts w:ascii="Arial" w:hAnsi="Arial" w:cs="Arial"/>
          <w:sz w:val="20"/>
          <w:szCs w:val="20"/>
          <w:lang w:val="en-US"/>
        </w:rPr>
        <w:t>Section 31(1) of the Act.</w:t>
      </w:r>
      <w:proofErr w:type="gramEnd"/>
    </w:p>
  </w:footnote>
  <w:footnote w:id="5">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proofErr w:type="gramStart"/>
      <w:r w:rsidRPr="00CB7466">
        <w:rPr>
          <w:rFonts w:ascii="Arial" w:hAnsi="Arial" w:cs="Arial"/>
          <w:sz w:val="20"/>
          <w:szCs w:val="20"/>
          <w:lang w:val="en-US"/>
        </w:rPr>
        <w:t>Section 31(2) of the Act.</w:t>
      </w:r>
      <w:proofErr w:type="gramEnd"/>
    </w:p>
  </w:footnote>
  <w:footnote w:id="6">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r w:rsidRPr="00CB7466">
        <w:rPr>
          <w:rFonts w:ascii="Arial" w:hAnsi="Arial" w:cs="Arial"/>
          <w:sz w:val="20"/>
          <w:szCs w:val="20"/>
          <w:lang w:val="en-US"/>
        </w:rPr>
        <w:t xml:space="preserve">The text of s 18 is set out at </w:t>
      </w:r>
      <w:r>
        <w:rPr>
          <w:rFonts w:ascii="Arial" w:hAnsi="Arial" w:cs="Arial"/>
          <w:sz w:val="20"/>
          <w:szCs w:val="20"/>
          <w:lang w:val="en-US"/>
        </w:rPr>
        <w:t>[</w:t>
      </w:r>
      <w:r w:rsidRPr="00CB7466">
        <w:rPr>
          <w:rFonts w:ascii="Arial" w:hAnsi="Arial" w:cs="Arial"/>
          <w:sz w:val="20"/>
          <w:szCs w:val="20"/>
          <w:lang w:val="en-US"/>
        </w:rPr>
        <w:t>para</w:t>
      </w:r>
      <w:r>
        <w:rPr>
          <w:rFonts w:ascii="Arial" w:hAnsi="Arial" w:cs="Arial"/>
          <w:sz w:val="20"/>
          <w:szCs w:val="20"/>
          <w:lang w:val="en-US"/>
        </w:rPr>
        <w:t>]</w:t>
      </w:r>
      <w:r w:rsidRPr="00CB7466">
        <w:rPr>
          <w:rFonts w:ascii="Arial" w:hAnsi="Arial" w:cs="Arial"/>
          <w:sz w:val="20"/>
          <w:szCs w:val="20"/>
          <w:lang w:val="en-US"/>
        </w:rPr>
        <w:t xml:space="preserve"> 14 above.</w:t>
      </w:r>
    </w:p>
  </w:footnote>
  <w:footnote w:id="7">
    <w:p w:rsidR="00946D62" w:rsidRPr="00CB7466" w:rsidRDefault="00946D62" w:rsidP="00BA020D">
      <w:pPr>
        <w:pStyle w:val="FootnoteText"/>
        <w:jc w:val="both"/>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r w:rsidRPr="00CB7466">
        <w:rPr>
          <w:rFonts w:ascii="Arial" w:hAnsi="Arial" w:cs="Arial"/>
          <w:sz w:val="20"/>
          <w:szCs w:val="20"/>
          <w:lang w:val="en-US"/>
        </w:rPr>
        <w:t>See section 18(2</w:t>
      </w:r>
      <w:proofErr w:type="gramStart"/>
      <w:r w:rsidRPr="00CB7466">
        <w:rPr>
          <w:rFonts w:ascii="Arial" w:hAnsi="Arial" w:cs="Arial"/>
          <w:sz w:val="20"/>
          <w:szCs w:val="20"/>
          <w:lang w:val="en-US"/>
        </w:rPr>
        <w:t>)</w:t>
      </w:r>
      <w:r w:rsidRPr="00013C78">
        <w:rPr>
          <w:rFonts w:ascii="Arial" w:hAnsi="Arial" w:cs="Arial"/>
          <w:i/>
          <w:sz w:val="20"/>
          <w:szCs w:val="20"/>
          <w:lang w:val="en-US"/>
        </w:rPr>
        <w:t>(</w:t>
      </w:r>
      <w:proofErr w:type="gramEnd"/>
      <w:r w:rsidRPr="00013C78">
        <w:rPr>
          <w:rFonts w:ascii="Arial" w:hAnsi="Arial" w:cs="Arial"/>
          <w:i/>
          <w:sz w:val="20"/>
          <w:szCs w:val="20"/>
          <w:lang w:val="en-US"/>
        </w:rPr>
        <w:t>b)</w:t>
      </w:r>
      <w:r w:rsidRPr="00CB7466">
        <w:rPr>
          <w:rFonts w:ascii="Arial" w:hAnsi="Arial" w:cs="Arial"/>
          <w:sz w:val="20"/>
          <w:szCs w:val="20"/>
          <w:lang w:val="en-US"/>
        </w:rPr>
        <w:t xml:space="preserve"> of the Act which stipulates that the Commission may consider </w:t>
      </w:r>
      <w:r>
        <w:rPr>
          <w:rFonts w:ascii="Arial" w:hAnsi="Arial" w:cs="Arial"/>
          <w:sz w:val="20"/>
          <w:szCs w:val="20"/>
          <w:lang w:val="en-US"/>
        </w:rPr>
        <w:t>‘</w:t>
      </w:r>
      <w:r w:rsidRPr="00CB7466">
        <w:rPr>
          <w:rFonts w:ascii="Arial" w:hAnsi="Arial" w:cs="Arial"/>
          <w:sz w:val="20"/>
          <w:szCs w:val="20"/>
          <w:lang w:val="en-US"/>
        </w:rPr>
        <w:t>whether or not the allegation is frivolous or vexatious or is made in good faith</w:t>
      </w:r>
      <w:r>
        <w:rPr>
          <w:rFonts w:ascii="Arial" w:hAnsi="Arial" w:cs="Arial"/>
          <w:sz w:val="20"/>
          <w:szCs w:val="20"/>
          <w:lang w:val="en-US"/>
        </w:rPr>
        <w:t>’</w:t>
      </w:r>
      <w:r w:rsidRPr="00CB7466">
        <w:rPr>
          <w:rFonts w:ascii="Arial" w:hAnsi="Arial" w:cs="Arial"/>
          <w:sz w:val="20"/>
          <w:szCs w:val="20"/>
          <w:lang w:val="en-US"/>
        </w:rPr>
        <w:t>.</w:t>
      </w:r>
    </w:p>
  </w:footnote>
  <w:footnote w:id="8">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proofErr w:type="gramStart"/>
      <w:r w:rsidRPr="00CB7466">
        <w:rPr>
          <w:rFonts w:ascii="Arial" w:hAnsi="Arial" w:cs="Arial"/>
          <w:sz w:val="20"/>
          <w:szCs w:val="20"/>
          <w:lang w:val="en-US"/>
        </w:rPr>
        <w:t>Judgment of the High Court</w:t>
      </w:r>
      <w:r>
        <w:rPr>
          <w:rFonts w:ascii="Arial" w:hAnsi="Arial" w:cs="Arial"/>
          <w:sz w:val="20"/>
          <w:szCs w:val="20"/>
          <w:lang w:val="en-US"/>
        </w:rPr>
        <w:t>,</w:t>
      </w:r>
      <w:r w:rsidRPr="00CB7466">
        <w:rPr>
          <w:rFonts w:ascii="Arial" w:hAnsi="Arial" w:cs="Arial"/>
          <w:sz w:val="20"/>
          <w:szCs w:val="20"/>
          <w:lang w:val="en-US"/>
        </w:rPr>
        <w:t xml:space="preserve"> para 97.</w:t>
      </w:r>
      <w:proofErr w:type="gramEnd"/>
    </w:p>
  </w:footnote>
  <w:footnote w:id="9">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proofErr w:type="gramStart"/>
      <w:r w:rsidRPr="00CB7466">
        <w:rPr>
          <w:rFonts w:ascii="Arial" w:hAnsi="Arial" w:cs="Arial"/>
          <w:sz w:val="20"/>
          <w:szCs w:val="20"/>
          <w:lang w:val="en-US"/>
        </w:rPr>
        <w:t>Section 4(1) of the Act.</w:t>
      </w:r>
      <w:proofErr w:type="gramEnd"/>
    </w:p>
  </w:footnote>
  <w:footnote w:id="10">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proofErr w:type="gramStart"/>
      <w:r w:rsidRPr="00CB7466">
        <w:rPr>
          <w:rFonts w:ascii="Arial" w:hAnsi="Arial" w:cs="Arial"/>
          <w:sz w:val="20"/>
          <w:szCs w:val="20"/>
          <w:lang w:val="en-US"/>
        </w:rPr>
        <w:t>Section 4(2) of the Act.</w:t>
      </w:r>
      <w:proofErr w:type="gramEnd"/>
    </w:p>
  </w:footnote>
  <w:footnote w:id="11">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proofErr w:type="gramStart"/>
      <w:r w:rsidRPr="00CB7466">
        <w:rPr>
          <w:rFonts w:ascii="Arial" w:hAnsi="Arial" w:cs="Arial"/>
          <w:sz w:val="20"/>
          <w:szCs w:val="20"/>
          <w:lang w:val="en-US"/>
        </w:rPr>
        <w:t>Section 3(a) of the Act.</w:t>
      </w:r>
      <w:proofErr w:type="gramEnd"/>
    </w:p>
  </w:footnote>
  <w:footnote w:id="12">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proofErr w:type="gramStart"/>
      <w:r w:rsidRPr="00CB7466">
        <w:rPr>
          <w:rFonts w:ascii="Arial" w:hAnsi="Arial" w:cs="Arial"/>
          <w:sz w:val="20"/>
          <w:szCs w:val="20"/>
          <w:lang w:val="en-US"/>
        </w:rPr>
        <w:t>Section 3(b) of the Act.</w:t>
      </w:r>
      <w:proofErr w:type="gramEnd"/>
    </w:p>
  </w:footnote>
  <w:footnote w:id="13">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proofErr w:type="gramStart"/>
      <w:r w:rsidRPr="00CB7466">
        <w:rPr>
          <w:rFonts w:ascii="Arial" w:hAnsi="Arial" w:cs="Arial"/>
          <w:sz w:val="20"/>
          <w:szCs w:val="20"/>
          <w:lang w:val="en-US"/>
        </w:rPr>
        <w:t>Section 3(c) of the Act.</w:t>
      </w:r>
      <w:proofErr w:type="gramEnd"/>
    </w:p>
  </w:footnote>
  <w:footnote w:id="14">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proofErr w:type="gramStart"/>
      <w:r w:rsidRPr="00CB7466">
        <w:rPr>
          <w:rFonts w:ascii="Arial" w:hAnsi="Arial" w:cs="Arial"/>
          <w:sz w:val="20"/>
          <w:szCs w:val="20"/>
          <w:lang w:val="en-US"/>
        </w:rPr>
        <w:t>Section 3 (e) of the Act.</w:t>
      </w:r>
      <w:proofErr w:type="gramEnd"/>
    </w:p>
  </w:footnote>
  <w:footnote w:id="15">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proofErr w:type="gramStart"/>
      <w:r w:rsidRPr="00CB7466">
        <w:rPr>
          <w:rFonts w:ascii="Arial" w:hAnsi="Arial" w:cs="Arial"/>
          <w:sz w:val="20"/>
          <w:szCs w:val="20"/>
          <w:lang w:val="en-US"/>
        </w:rPr>
        <w:t>Section 3(f) of the Act.</w:t>
      </w:r>
      <w:proofErr w:type="gramEnd"/>
    </w:p>
  </w:footnote>
  <w:footnote w:id="16">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proofErr w:type="gramStart"/>
      <w:r w:rsidRPr="00CB7466">
        <w:rPr>
          <w:rFonts w:ascii="Arial" w:hAnsi="Arial" w:cs="Arial"/>
          <w:sz w:val="20"/>
          <w:szCs w:val="20"/>
          <w:lang w:val="en-US"/>
        </w:rPr>
        <w:t>Section 3(g) of the Act.</w:t>
      </w:r>
      <w:proofErr w:type="gramEnd"/>
    </w:p>
  </w:footnote>
  <w:footnote w:id="17">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r w:rsidRPr="00CB7466">
        <w:rPr>
          <w:rFonts w:ascii="Arial" w:hAnsi="Arial" w:cs="Arial"/>
          <w:sz w:val="20"/>
          <w:szCs w:val="20"/>
          <w:lang w:val="en-US"/>
        </w:rPr>
        <w:t xml:space="preserve">See </w:t>
      </w:r>
      <w:proofErr w:type="spellStart"/>
      <w:r w:rsidRPr="00CB7466">
        <w:rPr>
          <w:rFonts w:ascii="Arial" w:hAnsi="Arial" w:cs="Arial"/>
          <w:sz w:val="20"/>
          <w:szCs w:val="20"/>
          <w:lang w:val="en-US"/>
        </w:rPr>
        <w:t>s</w:t>
      </w:r>
      <w:r>
        <w:rPr>
          <w:rFonts w:ascii="Arial" w:hAnsi="Arial" w:cs="Arial"/>
          <w:sz w:val="20"/>
          <w:szCs w:val="20"/>
          <w:lang w:val="en-US"/>
        </w:rPr>
        <w:t>s</w:t>
      </w:r>
      <w:proofErr w:type="spellEnd"/>
      <w:r w:rsidRPr="00CB7466">
        <w:rPr>
          <w:rFonts w:ascii="Arial" w:hAnsi="Arial" w:cs="Arial"/>
          <w:sz w:val="20"/>
          <w:szCs w:val="20"/>
          <w:lang w:val="en-US"/>
        </w:rPr>
        <w:t xml:space="preserve"> 22, 23 and 24 of the Act.</w:t>
      </w:r>
    </w:p>
  </w:footnote>
  <w:footnote w:id="18">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r w:rsidRPr="00CB7466">
        <w:rPr>
          <w:rFonts w:ascii="Arial" w:hAnsi="Arial" w:cs="Arial"/>
          <w:sz w:val="20"/>
          <w:szCs w:val="20"/>
          <w:lang w:val="en-US"/>
        </w:rPr>
        <w:t>See s 26 of the Act.</w:t>
      </w:r>
    </w:p>
  </w:footnote>
  <w:footnote w:id="19">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r w:rsidRPr="00CB7466">
        <w:rPr>
          <w:rFonts w:ascii="Arial" w:hAnsi="Arial" w:cs="Arial"/>
          <w:sz w:val="20"/>
          <w:szCs w:val="20"/>
          <w:lang w:val="en-US"/>
        </w:rPr>
        <w:t>See s 27 of the Act.</w:t>
      </w:r>
    </w:p>
  </w:footnote>
  <w:footnote w:id="20">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r w:rsidRPr="00CB7466">
        <w:rPr>
          <w:rFonts w:ascii="Arial" w:hAnsi="Arial" w:cs="Arial"/>
          <w:sz w:val="20"/>
          <w:szCs w:val="20"/>
          <w:lang w:val="en-US"/>
        </w:rPr>
        <w:t>See s 28 of the Act.</w:t>
      </w:r>
    </w:p>
  </w:footnote>
  <w:footnote w:id="21">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r w:rsidRPr="00CB7466">
        <w:rPr>
          <w:rFonts w:ascii="Arial" w:hAnsi="Arial" w:cs="Arial"/>
          <w:sz w:val="20"/>
          <w:szCs w:val="20"/>
          <w:lang w:val="en-US"/>
        </w:rPr>
        <w:t xml:space="preserve">See </w:t>
      </w:r>
      <w:proofErr w:type="spellStart"/>
      <w:r w:rsidRPr="00CB7466">
        <w:rPr>
          <w:rFonts w:ascii="Arial" w:hAnsi="Arial" w:cs="Arial"/>
          <w:i/>
          <w:sz w:val="20"/>
          <w:szCs w:val="20"/>
          <w:lang w:val="en-US"/>
        </w:rPr>
        <w:t>Hailulu</w:t>
      </w:r>
      <w:proofErr w:type="spellEnd"/>
      <w:r w:rsidRPr="00CB7466">
        <w:rPr>
          <w:rFonts w:ascii="Arial" w:hAnsi="Arial" w:cs="Arial"/>
          <w:i/>
          <w:sz w:val="20"/>
          <w:szCs w:val="20"/>
          <w:lang w:val="en-US"/>
        </w:rPr>
        <w:t xml:space="preserve"> v Director, Anti-Corruption Commission and </w:t>
      </w:r>
      <w:r>
        <w:rPr>
          <w:rFonts w:ascii="Arial" w:hAnsi="Arial" w:cs="Arial"/>
          <w:i/>
          <w:sz w:val="20"/>
          <w:szCs w:val="20"/>
          <w:lang w:val="en-US"/>
        </w:rPr>
        <w:t>o</w:t>
      </w:r>
      <w:r w:rsidRPr="00CB7466">
        <w:rPr>
          <w:rFonts w:ascii="Arial" w:hAnsi="Arial" w:cs="Arial"/>
          <w:i/>
          <w:sz w:val="20"/>
          <w:szCs w:val="20"/>
          <w:lang w:val="en-US"/>
        </w:rPr>
        <w:t xml:space="preserve">thers, </w:t>
      </w:r>
      <w:r w:rsidRPr="00CB7466">
        <w:rPr>
          <w:rFonts w:ascii="Arial" w:hAnsi="Arial" w:cs="Arial"/>
          <w:sz w:val="20"/>
          <w:szCs w:val="20"/>
          <w:lang w:val="en-US"/>
        </w:rPr>
        <w:t>unreported judgment of the High Court dated 19 July 2013, para 14.</w:t>
      </w:r>
    </w:p>
  </w:footnote>
  <w:footnote w:id="22">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r w:rsidRPr="00CB7466">
        <w:rPr>
          <w:rFonts w:ascii="Arial" w:hAnsi="Arial" w:cs="Arial"/>
          <w:sz w:val="20"/>
          <w:szCs w:val="20"/>
          <w:lang w:val="en-US"/>
        </w:rPr>
        <w:t>Section 18(1</w:t>
      </w:r>
      <w:proofErr w:type="gramStart"/>
      <w:r w:rsidRPr="00CB7466">
        <w:rPr>
          <w:rFonts w:ascii="Arial" w:hAnsi="Arial" w:cs="Arial"/>
          <w:sz w:val="20"/>
          <w:szCs w:val="20"/>
          <w:lang w:val="en-US"/>
        </w:rPr>
        <w:t>)</w:t>
      </w:r>
      <w:r w:rsidRPr="00A32D52">
        <w:rPr>
          <w:rFonts w:ascii="Arial" w:hAnsi="Arial" w:cs="Arial"/>
          <w:i/>
          <w:sz w:val="20"/>
          <w:szCs w:val="20"/>
          <w:lang w:val="en-US"/>
        </w:rPr>
        <w:t>(</w:t>
      </w:r>
      <w:proofErr w:type="gramEnd"/>
      <w:r w:rsidRPr="00A32D52">
        <w:rPr>
          <w:rFonts w:ascii="Arial" w:hAnsi="Arial" w:cs="Arial"/>
          <w:i/>
          <w:sz w:val="20"/>
          <w:szCs w:val="20"/>
          <w:lang w:val="en-US"/>
        </w:rPr>
        <w:t>b)</w:t>
      </w:r>
      <w:r w:rsidRPr="00CB7466">
        <w:rPr>
          <w:rFonts w:ascii="Arial" w:hAnsi="Arial" w:cs="Arial"/>
          <w:sz w:val="20"/>
          <w:szCs w:val="20"/>
          <w:lang w:val="en-US"/>
        </w:rPr>
        <w:t xml:space="preserve"> of the Act.</w:t>
      </w:r>
    </w:p>
  </w:footnote>
  <w:footnote w:id="23">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proofErr w:type="gramStart"/>
      <w:r w:rsidRPr="00CB7466">
        <w:rPr>
          <w:rFonts w:ascii="Arial" w:hAnsi="Arial" w:cs="Arial"/>
          <w:sz w:val="20"/>
          <w:szCs w:val="20"/>
          <w:lang w:val="en-US"/>
        </w:rPr>
        <w:t>Section 18(2) of the Act.</w:t>
      </w:r>
      <w:proofErr w:type="gramEnd"/>
    </w:p>
  </w:footnote>
  <w:footnote w:id="24">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r w:rsidRPr="00CB7466">
        <w:rPr>
          <w:rFonts w:ascii="Arial" w:hAnsi="Arial" w:cs="Arial"/>
          <w:sz w:val="20"/>
          <w:szCs w:val="20"/>
          <w:lang w:val="en-US"/>
        </w:rPr>
        <w:t>See s 18(1</w:t>
      </w:r>
      <w:proofErr w:type="gramStart"/>
      <w:r w:rsidRPr="00CB7466">
        <w:rPr>
          <w:rFonts w:ascii="Arial" w:hAnsi="Arial" w:cs="Arial"/>
          <w:sz w:val="20"/>
          <w:szCs w:val="20"/>
          <w:lang w:val="en-US"/>
        </w:rPr>
        <w:t>)</w:t>
      </w:r>
      <w:r w:rsidRPr="00CB7466">
        <w:rPr>
          <w:rFonts w:ascii="Arial" w:hAnsi="Arial" w:cs="Arial"/>
          <w:i/>
          <w:sz w:val="20"/>
          <w:szCs w:val="20"/>
          <w:lang w:val="en-US"/>
        </w:rPr>
        <w:t>(</w:t>
      </w:r>
      <w:proofErr w:type="gramEnd"/>
      <w:r w:rsidRPr="00CB7466">
        <w:rPr>
          <w:rFonts w:ascii="Arial" w:hAnsi="Arial" w:cs="Arial"/>
          <w:i/>
          <w:sz w:val="20"/>
          <w:szCs w:val="20"/>
          <w:lang w:val="en-US"/>
        </w:rPr>
        <w:t>b).</w:t>
      </w:r>
    </w:p>
  </w:footnote>
  <w:footnote w:id="25">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proofErr w:type="gramStart"/>
      <w:r w:rsidRPr="00CB7466">
        <w:rPr>
          <w:rFonts w:ascii="Arial" w:hAnsi="Arial" w:cs="Arial"/>
          <w:sz w:val="20"/>
          <w:szCs w:val="20"/>
          <w:lang w:val="en-US"/>
        </w:rPr>
        <w:t>2015 (2) NR 477 (HC).</w:t>
      </w:r>
      <w:proofErr w:type="gramEnd"/>
    </w:p>
  </w:footnote>
  <w:footnote w:id="26">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r w:rsidRPr="00CB7466">
        <w:rPr>
          <w:rFonts w:ascii="Arial" w:hAnsi="Arial" w:cs="Arial"/>
          <w:sz w:val="20"/>
          <w:szCs w:val="20"/>
          <w:lang w:val="en-US"/>
        </w:rPr>
        <w:t xml:space="preserve">See High Court judgment cited above n </w:t>
      </w:r>
      <w:r>
        <w:rPr>
          <w:rFonts w:ascii="Arial" w:hAnsi="Arial" w:cs="Arial"/>
          <w:sz w:val="20"/>
          <w:szCs w:val="20"/>
          <w:lang w:val="en-US"/>
        </w:rPr>
        <w:t>21</w:t>
      </w:r>
      <w:r w:rsidRPr="00CB7466">
        <w:rPr>
          <w:rFonts w:ascii="Arial" w:hAnsi="Arial" w:cs="Arial"/>
          <w:sz w:val="20"/>
          <w:szCs w:val="20"/>
          <w:lang w:val="en-US"/>
        </w:rPr>
        <w:t>, para 70.</w:t>
      </w:r>
    </w:p>
  </w:footnote>
  <w:footnote w:id="27">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proofErr w:type="gramStart"/>
      <w:r w:rsidRPr="00CB7466">
        <w:rPr>
          <w:rFonts w:ascii="Arial" w:hAnsi="Arial" w:cs="Arial"/>
          <w:sz w:val="20"/>
          <w:szCs w:val="20"/>
          <w:lang w:val="en-US"/>
        </w:rPr>
        <w:t xml:space="preserve">See </w:t>
      </w:r>
      <w:r w:rsidRPr="00CB7466">
        <w:rPr>
          <w:rFonts w:ascii="Arial" w:hAnsi="Arial" w:cs="Arial"/>
          <w:i/>
          <w:sz w:val="20"/>
          <w:szCs w:val="20"/>
          <w:lang w:val="en-US"/>
        </w:rPr>
        <w:t xml:space="preserve">Van Eck NO </w:t>
      </w:r>
      <w:r>
        <w:rPr>
          <w:rFonts w:ascii="Arial" w:hAnsi="Arial" w:cs="Arial"/>
          <w:i/>
          <w:sz w:val="20"/>
          <w:szCs w:val="20"/>
          <w:lang w:val="en-US"/>
        </w:rPr>
        <w:t>&amp;</w:t>
      </w:r>
      <w:r w:rsidRPr="00CB7466">
        <w:rPr>
          <w:rFonts w:ascii="Arial" w:hAnsi="Arial" w:cs="Arial"/>
          <w:i/>
          <w:sz w:val="20"/>
          <w:szCs w:val="20"/>
          <w:lang w:val="en-US"/>
        </w:rPr>
        <w:t xml:space="preserve">Van </w:t>
      </w:r>
      <w:proofErr w:type="spellStart"/>
      <w:r w:rsidRPr="00CB7466">
        <w:rPr>
          <w:rFonts w:ascii="Arial" w:hAnsi="Arial" w:cs="Arial"/>
          <w:i/>
          <w:sz w:val="20"/>
          <w:szCs w:val="20"/>
          <w:lang w:val="en-US"/>
        </w:rPr>
        <w:t>Rensburg</w:t>
      </w:r>
      <w:proofErr w:type="spellEnd"/>
      <w:r w:rsidRPr="00CB7466">
        <w:rPr>
          <w:rFonts w:ascii="Arial" w:hAnsi="Arial" w:cs="Arial"/>
          <w:i/>
          <w:sz w:val="20"/>
          <w:szCs w:val="20"/>
          <w:lang w:val="en-US"/>
        </w:rPr>
        <w:t xml:space="preserve"> NO v Etna Stores </w:t>
      </w:r>
      <w:r w:rsidRPr="00CB7466">
        <w:rPr>
          <w:rFonts w:ascii="Arial" w:hAnsi="Arial" w:cs="Arial"/>
          <w:sz w:val="20"/>
          <w:szCs w:val="20"/>
          <w:lang w:val="en-US"/>
        </w:rPr>
        <w:t xml:space="preserve">1947 (2) SA 998 (A) and </w:t>
      </w:r>
      <w:r w:rsidRPr="00CB7466">
        <w:rPr>
          <w:rFonts w:ascii="Arial" w:hAnsi="Arial" w:cs="Arial"/>
          <w:i/>
          <w:sz w:val="20"/>
          <w:szCs w:val="20"/>
          <w:lang w:val="en-US"/>
        </w:rPr>
        <w:t xml:space="preserve">Pretoria Portland Cement Co Ltd </w:t>
      </w:r>
      <w:r>
        <w:rPr>
          <w:rFonts w:ascii="Arial" w:hAnsi="Arial" w:cs="Arial"/>
          <w:i/>
          <w:sz w:val="20"/>
          <w:szCs w:val="20"/>
          <w:lang w:val="en-US"/>
        </w:rPr>
        <w:t>&amp; a</w:t>
      </w:r>
      <w:r w:rsidRPr="00CB7466">
        <w:rPr>
          <w:rFonts w:ascii="Arial" w:hAnsi="Arial" w:cs="Arial"/>
          <w:i/>
          <w:sz w:val="20"/>
          <w:szCs w:val="20"/>
          <w:lang w:val="en-US"/>
        </w:rPr>
        <w:t xml:space="preserve">nother v Competition Commission </w:t>
      </w:r>
      <w:r>
        <w:rPr>
          <w:rFonts w:ascii="Arial" w:hAnsi="Arial" w:cs="Arial"/>
          <w:i/>
          <w:sz w:val="20"/>
          <w:szCs w:val="20"/>
          <w:lang w:val="en-US"/>
        </w:rPr>
        <w:t>&amp;</w:t>
      </w:r>
      <w:r w:rsidRPr="00CB7466">
        <w:rPr>
          <w:rFonts w:ascii="Arial" w:hAnsi="Arial" w:cs="Arial"/>
          <w:i/>
          <w:sz w:val="20"/>
          <w:szCs w:val="20"/>
          <w:lang w:val="en-US"/>
        </w:rPr>
        <w:t xml:space="preserve"> </w:t>
      </w:r>
      <w:r>
        <w:rPr>
          <w:rFonts w:ascii="Arial" w:hAnsi="Arial" w:cs="Arial"/>
          <w:i/>
          <w:sz w:val="20"/>
          <w:szCs w:val="20"/>
          <w:lang w:val="en-US"/>
        </w:rPr>
        <w:t>o</w:t>
      </w:r>
      <w:r w:rsidRPr="00CB7466">
        <w:rPr>
          <w:rFonts w:ascii="Arial" w:hAnsi="Arial" w:cs="Arial"/>
          <w:i/>
          <w:sz w:val="20"/>
          <w:szCs w:val="20"/>
          <w:lang w:val="en-US"/>
        </w:rPr>
        <w:t xml:space="preserve">thers </w:t>
      </w:r>
      <w:r w:rsidRPr="00CB7466">
        <w:rPr>
          <w:rFonts w:ascii="Arial" w:hAnsi="Arial" w:cs="Arial"/>
          <w:sz w:val="20"/>
          <w:szCs w:val="20"/>
          <w:lang w:val="en-US"/>
        </w:rPr>
        <w:t>2003 (2</w:t>
      </w:r>
      <w:r>
        <w:rPr>
          <w:rFonts w:ascii="Arial" w:hAnsi="Arial" w:cs="Arial"/>
          <w:sz w:val="20"/>
          <w:szCs w:val="20"/>
          <w:lang w:val="en-US"/>
        </w:rPr>
        <w:t>)</w:t>
      </w:r>
      <w:r w:rsidRPr="00CB7466">
        <w:rPr>
          <w:rFonts w:ascii="Arial" w:hAnsi="Arial" w:cs="Arial"/>
          <w:sz w:val="20"/>
          <w:szCs w:val="20"/>
          <w:lang w:val="en-US"/>
        </w:rPr>
        <w:t xml:space="preserve"> SA 385 (CC).</w:t>
      </w:r>
      <w:proofErr w:type="gramEnd"/>
    </w:p>
  </w:footnote>
  <w:footnote w:id="28">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r w:rsidRPr="00CB7466">
        <w:rPr>
          <w:rFonts w:ascii="Arial" w:hAnsi="Arial" w:cs="Arial"/>
          <w:sz w:val="20"/>
          <w:szCs w:val="20"/>
          <w:lang w:val="en-US"/>
        </w:rPr>
        <w:t xml:space="preserve">See </w:t>
      </w:r>
      <w:r w:rsidRPr="00CB7466">
        <w:rPr>
          <w:rFonts w:ascii="Arial" w:hAnsi="Arial" w:cs="Arial"/>
          <w:i/>
          <w:sz w:val="20"/>
          <w:szCs w:val="20"/>
          <w:lang w:val="en-US"/>
        </w:rPr>
        <w:t xml:space="preserve">S v </w:t>
      </w:r>
      <w:proofErr w:type="spellStart"/>
      <w:r w:rsidRPr="00CB7466">
        <w:rPr>
          <w:rFonts w:ascii="Arial" w:hAnsi="Arial" w:cs="Arial"/>
          <w:i/>
          <w:sz w:val="20"/>
          <w:szCs w:val="20"/>
          <w:lang w:val="en-US"/>
        </w:rPr>
        <w:t>Goabab</w:t>
      </w:r>
      <w:proofErr w:type="spellEnd"/>
      <w:r w:rsidRPr="00CB7466">
        <w:rPr>
          <w:rFonts w:ascii="Arial" w:hAnsi="Arial" w:cs="Arial"/>
          <w:i/>
          <w:sz w:val="20"/>
          <w:szCs w:val="20"/>
          <w:lang w:val="en-US"/>
        </w:rPr>
        <w:t xml:space="preserve"> </w:t>
      </w:r>
      <w:r>
        <w:rPr>
          <w:rFonts w:ascii="Arial" w:hAnsi="Arial" w:cs="Arial"/>
          <w:i/>
          <w:sz w:val="20"/>
          <w:szCs w:val="20"/>
          <w:lang w:val="en-US"/>
        </w:rPr>
        <w:t>&amp;</w:t>
      </w:r>
      <w:r w:rsidRPr="00CB7466">
        <w:rPr>
          <w:rFonts w:ascii="Arial" w:hAnsi="Arial" w:cs="Arial"/>
          <w:i/>
          <w:sz w:val="20"/>
          <w:szCs w:val="20"/>
          <w:lang w:val="en-US"/>
        </w:rPr>
        <w:t xml:space="preserve"> </w:t>
      </w:r>
      <w:r>
        <w:rPr>
          <w:rFonts w:ascii="Arial" w:hAnsi="Arial" w:cs="Arial"/>
          <w:i/>
          <w:sz w:val="20"/>
          <w:szCs w:val="20"/>
          <w:lang w:val="en-US"/>
        </w:rPr>
        <w:t>a</w:t>
      </w:r>
      <w:r w:rsidRPr="00CB7466">
        <w:rPr>
          <w:rFonts w:ascii="Arial" w:hAnsi="Arial" w:cs="Arial"/>
          <w:i/>
          <w:sz w:val="20"/>
          <w:szCs w:val="20"/>
          <w:lang w:val="en-US"/>
        </w:rPr>
        <w:t xml:space="preserve">nother </w:t>
      </w:r>
      <w:r w:rsidRPr="00CB7466">
        <w:rPr>
          <w:rFonts w:ascii="Arial" w:hAnsi="Arial" w:cs="Arial"/>
          <w:sz w:val="20"/>
          <w:szCs w:val="20"/>
          <w:lang w:val="en-US"/>
        </w:rPr>
        <w:t>2013 (3) NR 603 (SC) para 14.</w:t>
      </w:r>
    </w:p>
  </w:footnote>
  <w:footnote w:id="29">
    <w:p w:rsidR="00946D62" w:rsidRPr="00CB7466" w:rsidRDefault="00946D62">
      <w:pPr>
        <w:pStyle w:val="FootnoteText"/>
        <w:rPr>
          <w:rFonts w:ascii="Arial" w:hAnsi="Arial" w:cs="Arial"/>
          <w:sz w:val="20"/>
          <w:szCs w:val="20"/>
          <w:lang w:val="en-US"/>
        </w:rPr>
      </w:pPr>
      <w:r w:rsidRPr="00CB7466">
        <w:rPr>
          <w:rStyle w:val="FootnoteReference"/>
          <w:rFonts w:ascii="Arial" w:hAnsi="Arial" w:cs="Arial"/>
          <w:sz w:val="20"/>
          <w:szCs w:val="20"/>
        </w:rPr>
        <w:footnoteRef/>
      </w:r>
      <w:r w:rsidRPr="00CB7466">
        <w:rPr>
          <w:rFonts w:ascii="Arial" w:hAnsi="Arial" w:cs="Arial"/>
          <w:sz w:val="20"/>
          <w:szCs w:val="20"/>
        </w:rPr>
        <w:t xml:space="preserve"> </w:t>
      </w:r>
      <w:r w:rsidRPr="00CB7466">
        <w:rPr>
          <w:rFonts w:ascii="Arial" w:hAnsi="Arial" w:cs="Arial"/>
          <w:sz w:val="20"/>
          <w:szCs w:val="20"/>
          <w:lang w:val="en-US"/>
        </w:rPr>
        <w:t>See s 31 of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469495"/>
      <w:docPartObj>
        <w:docPartGallery w:val="Page Numbers (Top of Page)"/>
        <w:docPartUnique/>
      </w:docPartObj>
    </w:sdtPr>
    <w:sdtEndPr>
      <w:rPr>
        <w:rFonts w:ascii="Arial" w:hAnsi="Arial" w:cs="Arial"/>
        <w:noProof/>
      </w:rPr>
    </w:sdtEndPr>
    <w:sdtContent>
      <w:p w:rsidR="00946D62" w:rsidRPr="001F1010" w:rsidRDefault="00946D62">
        <w:pPr>
          <w:pStyle w:val="Header"/>
          <w:jc w:val="right"/>
          <w:rPr>
            <w:rFonts w:ascii="Arial" w:hAnsi="Arial" w:cs="Arial"/>
          </w:rPr>
        </w:pPr>
        <w:r w:rsidRPr="001F1010">
          <w:rPr>
            <w:rFonts w:ascii="Arial" w:hAnsi="Arial" w:cs="Arial"/>
          </w:rPr>
          <w:fldChar w:fldCharType="begin"/>
        </w:r>
        <w:r w:rsidRPr="001F1010">
          <w:rPr>
            <w:rFonts w:ascii="Arial" w:hAnsi="Arial" w:cs="Arial"/>
          </w:rPr>
          <w:instrText xml:space="preserve"> PAGE   \* MERGEFORMAT </w:instrText>
        </w:r>
        <w:r w:rsidRPr="001F1010">
          <w:rPr>
            <w:rFonts w:ascii="Arial" w:hAnsi="Arial" w:cs="Arial"/>
          </w:rPr>
          <w:fldChar w:fldCharType="separate"/>
        </w:r>
        <w:r w:rsidR="00C84CC9">
          <w:rPr>
            <w:rFonts w:ascii="Arial" w:hAnsi="Arial" w:cs="Arial"/>
            <w:noProof/>
          </w:rPr>
          <w:t>33</w:t>
        </w:r>
        <w:r w:rsidRPr="001F1010">
          <w:rPr>
            <w:rFonts w:ascii="Arial" w:hAnsi="Arial" w:cs="Arial"/>
            <w:noProof/>
          </w:rPr>
          <w:fldChar w:fldCharType="end"/>
        </w:r>
      </w:p>
    </w:sdtContent>
  </w:sdt>
  <w:p w:rsidR="00946D62" w:rsidRDefault="00946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62" w:rsidRDefault="00946D62">
    <w:pPr>
      <w:pStyle w:val="Header"/>
      <w:jc w:val="right"/>
    </w:pPr>
  </w:p>
  <w:p w:rsidR="00946D62" w:rsidRDefault="00946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19CE"/>
    <w:multiLevelType w:val="hybridMultilevel"/>
    <w:tmpl w:val="38DEEA44"/>
    <w:lvl w:ilvl="0" w:tplc="26A86892">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162718FB"/>
    <w:multiLevelType w:val="hybridMultilevel"/>
    <w:tmpl w:val="CAEC418E"/>
    <w:lvl w:ilvl="0" w:tplc="FF726D4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5F394C1F"/>
    <w:multiLevelType w:val="hybridMultilevel"/>
    <w:tmpl w:val="475E3786"/>
    <w:lvl w:ilvl="0" w:tplc="64AED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8531395"/>
    <w:multiLevelType w:val="hybridMultilevel"/>
    <w:tmpl w:val="E26E53AA"/>
    <w:lvl w:ilvl="0" w:tplc="76D2F6EE">
      <w:start w:val="1"/>
      <w:numFmt w:val="decimal"/>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0250D1"/>
    <w:multiLevelType w:val="hybridMultilevel"/>
    <w:tmpl w:val="F0E665E8"/>
    <w:lvl w:ilvl="0" w:tplc="2640AED0">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795051B0"/>
    <w:multiLevelType w:val="hybridMultilevel"/>
    <w:tmpl w:val="AA12EB20"/>
    <w:lvl w:ilvl="0" w:tplc="4AB214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46"/>
    <w:rsid w:val="000031E9"/>
    <w:rsid w:val="000038C5"/>
    <w:rsid w:val="00005A72"/>
    <w:rsid w:val="00005AAD"/>
    <w:rsid w:val="000138EE"/>
    <w:rsid w:val="00013C78"/>
    <w:rsid w:val="000143C3"/>
    <w:rsid w:val="00016924"/>
    <w:rsid w:val="0001765A"/>
    <w:rsid w:val="00031C4C"/>
    <w:rsid w:val="000354A7"/>
    <w:rsid w:val="00054716"/>
    <w:rsid w:val="0005517E"/>
    <w:rsid w:val="00060BA2"/>
    <w:rsid w:val="00062316"/>
    <w:rsid w:val="00064C76"/>
    <w:rsid w:val="00071443"/>
    <w:rsid w:val="000715BA"/>
    <w:rsid w:val="0007479F"/>
    <w:rsid w:val="00075C66"/>
    <w:rsid w:val="000761E8"/>
    <w:rsid w:val="00077906"/>
    <w:rsid w:val="000857AD"/>
    <w:rsid w:val="0009612D"/>
    <w:rsid w:val="000A510C"/>
    <w:rsid w:val="000A514E"/>
    <w:rsid w:val="000A7E15"/>
    <w:rsid w:val="000B226B"/>
    <w:rsid w:val="000B369F"/>
    <w:rsid w:val="000B7EEB"/>
    <w:rsid w:val="000C0953"/>
    <w:rsid w:val="000C172B"/>
    <w:rsid w:val="000C6DB8"/>
    <w:rsid w:val="000D3EBF"/>
    <w:rsid w:val="000E0074"/>
    <w:rsid w:val="000E2DB9"/>
    <w:rsid w:val="000E6020"/>
    <w:rsid w:val="000F3154"/>
    <w:rsid w:val="00101B2C"/>
    <w:rsid w:val="00105FB9"/>
    <w:rsid w:val="00106D01"/>
    <w:rsid w:val="00107BC5"/>
    <w:rsid w:val="00117F41"/>
    <w:rsid w:val="0012190E"/>
    <w:rsid w:val="0012650A"/>
    <w:rsid w:val="001315B1"/>
    <w:rsid w:val="00132D76"/>
    <w:rsid w:val="001369ED"/>
    <w:rsid w:val="00137C3F"/>
    <w:rsid w:val="001430AC"/>
    <w:rsid w:val="00146AE9"/>
    <w:rsid w:val="001536C9"/>
    <w:rsid w:val="0015453A"/>
    <w:rsid w:val="0016152E"/>
    <w:rsid w:val="00176669"/>
    <w:rsid w:val="00176CCC"/>
    <w:rsid w:val="00177874"/>
    <w:rsid w:val="00182E47"/>
    <w:rsid w:val="00183A8B"/>
    <w:rsid w:val="001850FC"/>
    <w:rsid w:val="00185792"/>
    <w:rsid w:val="00186B1F"/>
    <w:rsid w:val="00187219"/>
    <w:rsid w:val="001875F5"/>
    <w:rsid w:val="0019078D"/>
    <w:rsid w:val="00190BA6"/>
    <w:rsid w:val="00195939"/>
    <w:rsid w:val="00195DC4"/>
    <w:rsid w:val="00195EE4"/>
    <w:rsid w:val="001972BB"/>
    <w:rsid w:val="00197952"/>
    <w:rsid w:val="001A3929"/>
    <w:rsid w:val="001A415D"/>
    <w:rsid w:val="001B0B40"/>
    <w:rsid w:val="001B1F9C"/>
    <w:rsid w:val="001B65F3"/>
    <w:rsid w:val="001B75F2"/>
    <w:rsid w:val="001B7EB0"/>
    <w:rsid w:val="001C46D2"/>
    <w:rsid w:val="001C685C"/>
    <w:rsid w:val="001F1010"/>
    <w:rsid w:val="001F1CBC"/>
    <w:rsid w:val="001F2A6A"/>
    <w:rsid w:val="00200F07"/>
    <w:rsid w:val="00201696"/>
    <w:rsid w:val="00205246"/>
    <w:rsid w:val="002074E2"/>
    <w:rsid w:val="00210318"/>
    <w:rsid w:val="00210D9D"/>
    <w:rsid w:val="00211A50"/>
    <w:rsid w:val="00213822"/>
    <w:rsid w:val="00216234"/>
    <w:rsid w:val="002228D5"/>
    <w:rsid w:val="00222C8E"/>
    <w:rsid w:val="00227515"/>
    <w:rsid w:val="00231968"/>
    <w:rsid w:val="0023618A"/>
    <w:rsid w:val="0023623C"/>
    <w:rsid w:val="00236D99"/>
    <w:rsid w:val="00237911"/>
    <w:rsid w:val="00250B81"/>
    <w:rsid w:val="00251AE0"/>
    <w:rsid w:val="00257185"/>
    <w:rsid w:val="00265905"/>
    <w:rsid w:val="0027050F"/>
    <w:rsid w:val="00271907"/>
    <w:rsid w:val="00276D9C"/>
    <w:rsid w:val="002932B1"/>
    <w:rsid w:val="00294814"/>
    <w:rsid w:val="00295ED6"/>
    <w:rsid w:val="002979B8"/>
    <w:rsid w:val="002A0752"/>
    <w:rsid w:val="002A2157"/>
    <w:rsid w:val="002A2B5B"/>
    <w:rsid w:val="002A75FC"/>
    <w:rsid w:val="002B449B"/>
    <w:rsid w:val="002B5072"/>
    <w:rsid w:val="002C30F9"/>
    <w:rsid w:val="002D6249"/>
    <w:rsid w:val="002D7DF9"/>
    <w:rsid w:val="002E273D"/>
    <w:rsid w:val="002E3339"/>
    <w:rsid w:val="002E482D"/>
    <w:rsid w:val="002F0C62"/>
    <w:rsid w:val="002F1AA5"/>
    <w:rsid w:val="002F2A86"/>
    <w:rsid w:val="00300C47"/>
    <w:rsid w:val="0030211C"/>
    <w:rsid w:val="0030265D"/>
    <w:rsid w:val="003042B5"/>
    <w:rsid w:val="003106E4"/>
    <w:rsid w:val="00312AF6"/>
    <w:rsid w:val="00317A1B"/>
    <w:rsid w:val="00327810"/>
    <w:rsid w:val="003306F5"/>
    <w:rsid w:val="00333A19"/>
    <w:rsid w:val="0033432F"/>
    <w:rsid w:val="003356F9"/>
    <w:rsid w:val="0034584B"/>
    <w:rsid w:val="003478F9"/>
    <w:rsid w:val="0035280E"/>
    <w:rsid w:val="0035428A"/>
    <w:rsid w:val="003551C3"/>
    <w:rsid w:val="00364056"/>
    <w:rsid w:val="00366B13"/>
    <w:rsid w:val="00371431"/>
    <w:rsid w:val="003736E9"/>
    <w:rsid w:val="003743FA"/>
    <w:rsid w:val="00376151"/>
    <w:rsid w:val="00382672"/>
    <w:rsid w:val="00393B8C"/>
    <w:rsid w:val="0039441F"/>
    <w:rsid w:val="00395085"/>
    <w:rsid w:val="00395B05"/>
    <w:rsid w:val="00396C21"/>
    <w:rsid w:val="003A3F4F"/>
    <w:rsid w:val="003A60A3"/>
    <w:rsid w:val="003B2BBA"/>
    <w:rsid w:val="003B37A5"/>
    <w:rsid w:val="003B76C7"/>
    <w:rsid w:val="003C29F7"/>
    <w:rsid w:val="003C3A2B"/>
    <w:rsid w:val="003C3F92"/>
    <w:rsid w:val="003C4D2E"/>
    <w:rsid w:val="003C5B7F"/>
    <w:rsid w:val="003D07E7"/>
    <w:rsid w:val="003D32BE"/>
    <w:rsid w:val="003E21F3"/>
    <w:rsid w:val="003E25D1"/>
    <w:rsid w:val="003F083A"/>
    <w:rsid w:val="003F1A6C"/>
    <w:rsid w:val="003F2FF3"/>
    <w:rsid w:val="00410251"/>
    <w:rsid w:val="00410E83"/>
    <w:rsid w:val="004118D8"/>
    <w:rsid w:val="00425012"/>
    <w:rsid w:val="00436CDB"/>
    <w:rsid w:val="00443E2D"/>
    <w:rsid w:val="00444492"/>
    <w:rsid w:val="004447ED"/>
    <w:rsid w:val="00444E91"/>
    <w:rsid w:val="00447427"/>
    <w:rsid w:val="004502C2"/>
    <w:rsid w:val="004560D3"/>
    <w:rsid w:val="0045797D"/>
    <w:rsid w:val="00463DF9"/>
    <w:rsid w:val="004758A2"/>
    <w:rsid w:val="0048320C"/>
    <w:rsid w:val="00491867"/>
    <w:rsid w:val="00493E84"/>
    <w:rsid w:val="004A2EF3"/>
    <w:rsid w:val="004A517B"/>
    <w:rsid w:val="004B25DC"/>
    <w:rsid w:val="004B545B"/>
    <w:rsid w:val="004C09B6"/>
    <w:rsid w:val="004C0CD8"/>
    <w:rsid w:val="004C3985"/>
    <w:rsid w:val="004D2C1F"/>
    <w:rsid w:val="004D5984"/>
    <w:rsid w:val="004E0137"/>
    <w:rsid w:val="004E45AC"/>
    <w:rsid w:val="004F0B2D"/>
    <w:rsid w:val="004F5210"/>
    <w:rsid w:val="004F764D"/>
    <w:rsid w:val="004F7B83"/>
    <w:rsid w:val="005110F4"/>
    <w:rsid w:val="00511561"/>
    <w:rsid w:val="00511ADE"/>
    <w:rsid w:val="00513F11"/>
    <w:rsid w:val="00515658"/>
    <w:rsid w:val="00515B05"/>
    <w:rsid w:val="00521092"/>
    <w:rsid w:val="0052208F"/>
    <w:rsid w:val="00523498"/>
    <w:rsid w:val="00523AF4"/>
    <w:rsid w:val="0052608B"/>
    <w:rsid w:val="005261B5"/>
    <w:rsid w:val="005304EF"/>
    <w:rsid w:val="00530DEA"/>
    <w:rsid w:val="0053221E"/>
    <w:rsid w:val="005339E8"/>
    <w:rsid w:val="00534475"/>
    <w:rsid w:val="005414A9"/>
    <w:rsid w:val="00541987"/>
    <w:rsid w:val="00542A60"/>
    <w:rsid w:val="005438B9"/>
    <w:rsid w:val="00546374"/>
    <w:rsid w:val="0055134B"/>
    <w:rsid w:val="00556277"/>
    <w:rsid w:val="00563D51"/>
    <w:rsid w:val="00563E8C"/>
    <w:rsid w:val="00564CB3"/>
    <w:rsid w:val="0056540D"/>
    <w:rsid w:val="0056619C"/>
    <w:rsid w:val="00574A8A"/>
    <w:rsid w:val="00583B15"/>
    <w:rsid w:val="00586D38"/>
    <w:rsid w:val="00597D0E"/>
    <w:rsid w:val="005A0ABF"/>
    <w:rsid w:val="005A5174"/>
    <w:rsid w:val="005A5483"/>
    <w:rsid w:val="005A68B2"/>
    <w:rsid w:val="005A6B2D"/>
    <w:rsid w:val="005B4F00"/>
    <w:rsid w:val="005B5A47"/>
    <w:rsid w:val="005B7DA2"/>
    <w:rsid w:val="005C1B9B"/>
    <w:rsid w:val="005C5A0C"/>
    <w:rsid w:val="005D0BCE"/>
    <w:rsid w:val="005D591B"/>
    <w:rsid w:val="005E4A78"/>
    <w:rsid w:val="005F0D6C"/>
    <w:rsid w:val="005F27A4"/>
    <w:rsid w:val="005F33E7"/>
    <w:rsid w:val="005F7285"/>
    <w:rsid w:val="00600C00"/>
    <w:rsid w:val="0060696F"/>
    <w:rsid w:val="00613FB1"/>
    <w:rsid w:val="00621D6B"/>
    <w:rsid w:val="006223B9"/>
    <w:rsid w:val="00625376"/>
    <w:rsid w:val="0062670A"/>
    <w:rsid w:val="00627C6A"/>
    <w:rsid w:val="0063164D"/>
    <w:rsid w:val="00631A10"/>
    <w:rsid w:val="006404CB"/>
    <w:rsid w:val="0065007F"/>
    <w:rsid w:val="00656746"/>
    <w:rsid w:val="006576E7"/>
    <w:rsid w:val="00660630"/>
    <w:rsid w:val="00661478"/>
    <w:rsid w:val="00661CD3"/>
    <w:rsid w:val="00663345"/>
    <w:rsid w:val="0066737C"/>
    <w:rsid w:val="00670C8A"/>
    <w:rsid w:val="006728A5"/>
    <w:rsid w:val="00674B69"/>
    <w:rsid w:val="0068085A"/>
    <w:rsid w:val="006823DC"/>
    <w:rsid w:val="00691262"/>
    <w:rsid w:val="0069204D"/>
    <w:rsid w:val="006924AB"/>
    <w:rsid w:val="006967B1"/>
    <w:rsid w:val="00696918"/>
    <w:rsid w:val="00696FA2"/>
    <w:rsid w:val="0069752C"/>
    <w:rsid w:val="006A3E89"/>
    <w:rsid w:val="006B1450"/>
    <w:rsid w:val="006B278E"/>
    <w:rsid w:val="006B2F0B"/>
    <w:rsid w:val="006B3232"/>
    <w:rsid w:val="006C5FE2"/>
    <w:rsid w:val="006C797D"/>
    <w:rsid w:val="006D08BF"/>
    <w:rsid w:val="006D1142"/>
    <w:rsid w:val="006D1F00"/>
    <w:rsid w:val="006D7DCC"/>
    <w:rsid w:val="006E2AD8"/>
    <w:rsid w:val="006E3AC6"/>
    <w:rsid w:val="006E71DB"/>
    <w:rsid w:val="00724DF2"/>
    <w:rsid w:val="00725A3A"/>
    <w:rsid w:val="007301D9"/>
    <w:rsid w:val="007343B8"/>
    <w:rsid w:val="00744AC6"/>
    <w:rsid w:val="007458EF"/>
    <w:rsid w:val="00745C27"/>
    <w:rsid w:val="00747388"/>
    <w:rsid w:val="0075475B"/>
    <w:rsid w:val="0075618C"/>
    <w:rsid w:val="00762770"/>
    <w:rsid w:val="00765398"/>
    <w:rsid w:val="007743B2"/>
    <w:rsid w:val="00774C81"/>
    <w:rsid w:val="00775807"/>
    <w:rsid w:val="007766E2"/>
    <w:rsid w:val="00777AD5"/>
    <w:rsid w:val="00781AA7"/>
    <w:rsid w:val="00784CEE"/>
    <w:rsid w:val="00792844"/>
    <w:rsid w:val="00794F07"/>
    <w:rsid w:val="00795033"/>
    <w:rsid w:val="00796BDC"/>
    <w:rsid w:val="007A0CED"/>
    <w:rsid w:val="007A530B"/>
    <w:rsid w:val="007B366C"/>
    <w:rsid w:val="007B4890"/>
    <w:rsid w:val="007B4C02"/>
    <w:rsid w:val="007B4DEB"/>
    <w:rsid w:val="007B506F"/>
    <w:rsid w:val="007B78BD"/>
    <w:rsid w:val="007C047C"/>
    <w:rsid w:val="007C378A"/>
    <w:rsid w:val="007C64DC"/>
    <w:rsid w:val="007D4CA5"/>
    <w:rsid w:val="007E3F4F"/>
    <w:rsid w:val="00804F4D"/>
    <w:rsid w:val="00805205"/>
    <w:rsid w:val="00815523"/>
    <w:rsid w:val="0082463B"/>
    <w:rsid w:val="00825378"/>
    <w:rsid w:val="00830944"/>
    <w:rsid w:val="008309C1"/>
    <w:rsid w:val="00832EC1"/>
    <w:rsid w:val="00835A7A"/>
    <w:rsid w:val="00837D4B"/>
    <w:rsid w:val="00844C5B"/>
    <w:rsid w:val="0084609E"/>
    <w:rsid w:val="00863727"/>
    <w:rsid w:val="00867971"/>
    <w:rsid w:val="008747B3"/>
    <w:rsid w:val="008766C0"/>
    <w:rsid w:val="00882782"/>
    <w:rsid w:val="00890050"/>
    <w:rsid w:val="00897420"/>
    <w:rsid w:val="008A2E86"/>
    <w:rsid w:val="008A3113"/>
    <w:rsid w:val="008A33DE"/>
    <w:rsid w:val="008A3E9A"/>
    <w:rsid w:val="008A499E"/>
    <w:rsid w:val="008B1E4D"/>
    <w:rsid w:val="008C2D9B"/>
    <w:rsid w:val="008C720B"/>
    <w:rsid w:val="008C7341"/>
    <w:rsid w:val="008D10DF"/>
    <w:rsid w:val="008D4C37"/>
    <w:rsid w:val="008D6193"/>
    <w:rsid w:val="008D7257"/>
    <w:rsid w:val="008E44F9"/>
    <w:rsid w:val="008E5656"/>
    <w:rsid w:val="008F6A08"/>
    <w:rsid w:val="009010B9"/>
    <w:rsid w:val="009025C2"/>
    <w:rsid w:val="00902CB7"/>
    <w:rsid w:val="009042CF"/>
    <w:rsid w:val="00907706"/>
    <w:rsid w:val="00911047"/>
    <w:rsid w:val="009125E7"/>
    <w:rsid w:val="00912D09"/>
    <w:rsid w:val="00914219"/>
    <w:rsid w:val="00915E7C"/>
    <w:rsid w:val="0092085C"/>
    <w:rsid w:val="009279DC"/>
    <w:rsid w:val="00936C1C"/>
    <w:rsid w:val="00946D62"/>
    <w:rsid w:val="0095345C"/>
    <w:rsid w:val="0095696B"/>
    <w:rsid w:val="00957719"/>
    <w:rsid w:val="00960FD8"/>
    <w:rsid w:val="009615D0"/>
    <w:rsid w:val="00964670"/>
    <w:rsid w:val="009664DB"/>
    <w:rsid w:val="009704C5"/>
    <w:rsid w:val="00972A0C"/>
    <w:rsid w:val="00972F6D"/>
    <w:rsid w:val="009775A7"/>
    <w:rsid w:val="00977F74"/>
    <w:rsid w:val="00981903"/>
    <w:rsid w:val="00982D04"/>
    <w:rsid w:val="00984111"/>
    <w:rsid w:val="00984A66"/>
    <w:rsid w:val="00984C77"/>
    <w:rsid w:val="00985297"/>
    <w:rsid w:val="009A186F"/>
    <w:rsid w:val="009A3163"/>
    <w:rsid w:val="009A4D63"/>
    <w:rsid w:val="009B284A"/>
    <w:rsid w:val="009B4C1C"/>
    <w:rsid w:val="009B6FB3"/>
    <w:rsid w:val="009C48BE"/>
    <w:rsid w:val="009C7ABF"/>
    <w:rsid w:val="009D2D68"/>
    <w:rsid w:val="009D42CF"/>
    <w:rsid w:val="009D7FE6"/>
    <w:rsid w:val="009E00A5"/>
    <w:rsid w:val="009E5D0E"/>
    <w:rsid w:val="009E6FC1"/>
    <w:rsid w:val="009F0BF6"/>
    <w:rsid w:val="009F309F"/>
    <w:rsid w:val="009F3B66"/>
    <w:rsid w:val="009F475F"/>
    <w:rsid w:val="00A01294"/>
    <w:rsid w:val="00A1034A"/>
    <w:rsid w:val="00A146E8"/>
    <w:rsid w:val="00A17946"/>
    <w:rsid w:val="00A24108"/>
    <w:rsid w:val="00A271B4"/>
    <w:rsid w:val="00A32D52"/>
    <w:rsid w:val="00A33C69"/>
    <w:rsid w:val="00A35E97"/>
    <w:rsid w:val="00A36E97"/>
    <w:rsid w:val="00A400CE"/>
    <w:rsid w:val="00A63CD1"/>
    <w:rsid w:val="00A73628"/>
    <w:rsid w:val="00A77360"/>
    <w:rsid w:val="00A87276"/>
    <w:rsid w:val="00A904FF"/>
    <w:rsid w:val="00A96CF9"/>
    <w:rsid w:val="00AA059D"/>
    <w:rsid w:val="00AB0D0B"/>
    <w:rsid w:val="00AB20C6"/>
    <w:rsid w:val="00AB4F5E"/>
    <w:rsid w:val="00AB677E"/>
    <w:rsid w:val="00AB72EA"/>
    <w:rsid w:val="00AC20E1"/>
    <w:rsid w:val="00AC303A"/>
    <w:rsid w:val="00AC3066"/>
    <w:rsid w:val="00AC3559"/>
    <w:rsid w:val="00AC3FCB"/>
    <w:rsid w:val="00AD3341"/>
    <w:rsid w:val="00AD384E"/>
    <w:rsid w:val="00AE041D"/>
    <w:rsid w:val="00AE4271"/>
    <w:rsid w:val="00AE4FD0"/>
    <w:rsid w:val="00AE7F26"/>
    <w:rsid w:val="00AF53C7"/>
    <w:rsid w:val="00AF6D76"/>
    <w:rsid w:val="00AF7FE6"/>
    <w:rsid w:val="00B009DD"/>
    <w:rsid w:val="00B00A80"/>
    <w:rsid w:val="00B010C6"/>
    <w:rsid w:val="00B0502A"/>
    <w:rsid w:val="00B10830"/>
    <w:rsid w:val="00B1352A"/>
    <w:rsid w:val="00B1358F"/>
    <w:rsid w:val="00B15A58"/>
    <w:rsid w:val="00B21208"/>
    <w:rsid w:val="00B24CFD"/>
    <w:rsid w:val="00B254E0"/>
    <w:rsid w:val="00B26C37"/>
    <w:rsid w:val="00B378FA"/>
    <w:rsid w:val="00B51F90"/>
    <w:rsid w:val="00B53BFA"/>
    <w:rsid w:val="00B53EC4"/>
    <w:rsid w:val="00B562ED"/>
    <w:rsid w:val="00B601C7"/>
    <w:rsid w:val="00B62A35"/>
    <w:rsid w:val="00B7086C"/>
    <w:rsid w:val="00B70CC9"/>
    <w:rsid w:val="00B71D66"/>
    <w:rsid w:val="00B744B4"/>
    <w:rsid w:val="00B745B5"/>
    <w:rsid w:val="00B76BDF"/>
    <w:rsid w:val="00B772EA"/>
    <w:rsid w:val="00B80FE8"/>
    <w:rsid w:val="00B86EC7"/>
    <w:rsid w:val="00B87D43"/>
    <w:rsid w:val="00B90327"/>
    <w:rsid w:val="00B91B86"/>
    <w:rsid w:val="00B946A1"/>
    <w:rsid w:val="00BA020D"/>
    <w:rsid w:val="00BA02B3"/>
    <w:rsid w:val="00BA09C5"/>
    <w:rsid w:val="00BA2073"/>
    <w:rsid w:val="00BA348D"/>
    <w:rsid w:val="00BA3BC7"/>
    <w:rsid w:val="00BA490D"/>
    <w:rsid w:val="00BC43CC"/>
    <w:rsid w:val="00BC5B63"/>
    <w:rsid w:val="00BC7A89"/>
    <w:rsid w:val="00BD702C"/>
    <w:rsid w:val="00BD72D9"/>
    <w:rsid w:val="00BD743E"/>
    <w:rsid w:val="00BE1700"/>
    <w:rsid w:val="00BE2199"/>
    <w:rsid w:val="00BF1111"/>
    <w:rsid w:val="00BF14EC"/>
    <w:rsid w:val="00BF1581"/>
    <w:rsid w:val="00BF2676"/>
    <w:rsid w:val="00BF35DE"/>
    <w:rsid w:val="00C01531"/>
    <w:rsid w:val="00C06F07"/>
    <w:rsid w:val="00C071CD"/>
    <w:rsid w:val="00C143D9"/>
    <w:rsid w:val="00C17F07"/>
    <w:rsid w:val="00C21710"/>
    <w:rsid w:val="00C36BF8"/>
    <w:rsid w:val="00C55575"/>
    <w:rsid w:val="00C5642D"/>
    <w:rsid w:val="00C56644"/>
    <w:rsid w:val="00C569ED"/>
    <w:rsid w:val="00C629D7"/>
    <w:rsid w:val="00C66069"/>
    <w:rsid w:val="00C72A7E"/>
    <w:rsid w:val="00C816E0"/>
    <w:rsid w:val="00C84CC9"/>
    <w:rsid w:val="00C85C3E"/>
    <w:rsid w:val="00C86030"/>
    <w:rsid w:val="00C86FB1"/>
    <w:rsid w:val="00C87858"/>
    <w:rsid w:val="00C87D28"/>
    <w:rsid w:val="00C90E00"/>
    <w:rsid w:val="00C9147C"/>
    <w:rsid w:val="00C94B0B"/>
    <w:rsid w:val="00CA1376"/>
    <w:rsid w:val="00CA55D9"/>
    <w:rsid w:val="00CA645D"/>
    <w:rsid w:val="00CB34DA"/>
    <w:rsid w:val="00CB6290"/>
    <w:rsid w:val="00CB6682"/>
    <w:rsid w:val="00CB7466"/>
    <w:rsid w:val="00CC0FF3"/>
    <w:rsid w:val="00CC39A0"/>
    <w:rsid w:val="00CC7A19"/>
    <w:rsid w:val="00CC7C6D"/>
    <w:rsid w:val="00CD0542"/>
    <w:rsid w:val="00CD5EFB"/>
    <w:rsid w:val="00CD71BA"/>
    <w:rsid w:val="00CE3FDE"/>
    <w:rsid w:val="00CE4EEF"/>
    <w:rsid w:val="00CF2ADB"/>
    <w:rsid w:val="00CF4F97"/>
    <w:rsid w:val="00D025EA"/>
    <w:rsid w:val="00D0679B"/>
    <w:rsid w:val="00D07CE6"/>
    <w:rsid w:val="00D116A3"/>
    <w:rsid w:val="00D173CD"/>
    <w:rsid w:val="00D20968"/>
    <w:rsid w:val="00D2629F"/>
    <w:rsid w:val="00D31A47"/>
    <w:rsid w:val="00D371BD"/>
    <w:rsid w:val="00D4220F"/>
    <w:rsid w:val="00D425E4"/>
    <w:rsid w:val="00D4577B"/>
    <w:rsid w:val="00D52069"/>
    <w:rsid w:val="00D526F8"/>
    <w:rsid w:val="00D52FF1"/>
    <w:rsid w:val="00D53290"/>
    <w:rsid w:val="00D804DC"/>
    <w:rsid w:val="00D809D3"/>
    <w:rsid w:val="00D84661"/>
    <w:rsid w:val="00D848C1"/>
    <w:rsid w:val="00DA0250"/>
    <w:rsid w:val="00DA0FF1"/>
    <w:rsid w:val="00DA19E2"/>
    <w:rsid w:val="00DA2643"/>
    <w:rsid w:val="00DA32E2"/>
    <w:rsid w:val="00DB1563"/>
    <w:rsid w:val="00DB212C"/>
    <w:rsid w:val="00DB52EF"/>
    <w:rsid w:val="00DB540A"/>
    <w:rsid w:val="00DC11AD"/>
    <w:rsid w:val="00DC7EC4"/>
    <w:rsid w:val="00DD0555"/>
    <w:rsid w:val="00DD25A5"/>
    <w:rsid w:val="00DE3BC5"/>
    <w:rsid w:val="00DE6AB6"/>
    <w:rsid w:val="00DE7666"/>
    <w:rsid w:val="00DF0261"/>
    <w:rsid w:val="00DF1FF3"/>
    <w:rsid w:val="00DF4A5C"/>
    <w:rsid w:val="00E07481"/>
    <w:rsid w:val="00E14016"/>
    <w:rsid w:val="00E141B5"/>
    <w:rsid w:val="00E164CF"/>
    <w:rsid w:val="00E22AAC"/>
    <w:rsid w:val="00E2487E"/>
    <w:rsid w:val="00E32F62"/>
    <w:rsid w:val="00E35356"/>
    <w:rsid w:val="00E35EB6"/>
    <w:rsid w:val="00E36F22"/>
    <w:rsid w:val="00E3793A"/>
    <w:rsid w:val="00E55735"/>
    <w:rsid w:val="00E62848"/>
    <w:rsid w:val="00E70D66"/>
    <w:rsid w:val="00E76EBD"/>
    <w:rsid w:val="00E774DF"/>
    <w:rsid w:val="00E80BB4"/>
    <w:rsid w:val="00E82B0A"/>
    <w:rsid w:val="00E83B0F"/>
    <w:rsid w:val="00E84176"/>
    <w:rsid w:val="00E96348"/>
    <w:rsid w:val="00E96444"/>
    <w:rsid w:val="00E96731"/>
    <w:rsid w:val="00E9718C"/>
    <w:rsid w:val="00EA3699"/>
    <w:rsid w:val="00EA3FE6"/>
    <w:rsid w:val="00EB0C53"/>
    <w:rsid w:val="00EB17C3"/>
    <w:rsid w:val="00EB6B44"/>
    <w:rsid w:val="00EB7E6F"/>
    <w:rsid w:val="00EC7C01"/>
    <w:rsid w:val="00ED1A00"/>
    <w:rsid w:val="00ED351F"/>
    <w:rsid w:val="00ED496A"/>
    <w:rsid w:val="00ED6645"/>
    <w:rsid w:val="00EE2628"/>
    <w:rsid w:val="00EE565D"/>
    <w:rsid w:val="00F003F0"/>
    <w:rsid w:val="00F1467A"/>
    <w:rsid w:val="00F223CD"/>
    <w:rsid w:val="00F24F0D"/>
    <w:rsid w:val="00F31D3B"/>
    <w:rsid w:val="00F34537"/>
    <w:rsid w:val="00F359C9"/>
    <w:rsid w:val="00F43172"/>
    <w:rsid w:val="00F43C24"/>
    <w:rsid w:val="00F50CF6"/>
    <w:rsid w:val="00F5270E"/>
    <w:rsid w:val="00F55F07"/>
    <w:rsid w:val="00F576CB"/>
    <w:rsid w:val="00F614B4"/>
    <w:rsid w:val="00F63579"/>
    <w:rsid w:val="00F67BF9"/>
    <w:rsid w:val="00F7081F"/>
    <w:rsid w:val="00F73765"/>
    <w:rsid w:val="00F7465C"/>
    <w:rsid w:val="00F7591D"/>
    <w:rsid w:val="00F810DF"/>
    <w:rsid w:val="00F844D3"/>
    <w:rsid w:val="00F85393"/>
    <w:rsid w:val="00F93E5C"/>
    <w:rsid w:val="00F95EA2"/>
    <w:rsid w:val="00F96877"/>
    <w:rsid w:val="00F96EE6"/>
    <w:rsid w:val="00F977D8"/>
    <w:rsid w:val="00FA2A08"/>
    <w:rsid w:val="00FB16D3"/>
    <w:rsid w:val="00FB5AC7"/>
    <w:rsid w:val="00FC04F1"/>
    <w:rsid w:val="00FD01C5"/>
    <w:rsid w:val="00FD0AF8"/>
    <w:rsid w:val="00FD6CAF"/>
    <w:rsid w:val="00FE2875"/>
    <w:rsid w:val="00FE3168"/>
    <w:rsid w:val="00FF12B3"/>
    <w:rsid w:val="00FF14D7"/>
    <w:rsid w:val="00FF62D3"/>
    <w:rsid w:val="00FF68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67A"/>
    <w:pPr>
      <w:ind w:left="720"/>
      <w:contextualSpacing/>
    </w:pPr>
  </w:style>
  <w:style w:type="paragraph" w:styleId="Footer">
    <w:name w:val="footer"/>
    <w:basedOn w:val="Normal"/>
    <w:link w:val="FooterChar"/>
    <w:uiPriority w:val="99"/>
    <w:unhideWhenUsed/>
    <w:rsid w:val="00556277"/>
    <w:pPr>
      <w:tabs>
        <w:tab w:val="center" w:pos="4320"/>
        <w:tab w:val="right" w:pos="8640"/>
      </w:tabs>
    </w:pPr>
  </w:style>
  <w:style w:type="character" w:customStyle="1" w:styleId="FooterChar">
    <w:name w:val="Footer Char"/>
    <w:basedOn w:val="DefaultParagraphFont"/>
    <w:link w:val="Footer"/>
    <w:uiPriority w:val="99"/>
    <w:rsid w:val="00556277"/>
    <w:rPr>
      <w:lang w:val="en-GB"/>
    </w:rPr>
  </w:style>
  <w:style w:type="character" w:styleId="PageNumber">
    <w:name w:val="page number"/>
    <w:basedOn w:val="DefaultParagraphFont"/>
    <w:uiPriority w:val="99"/>
    <w:semiHidden/>
    <w:unhideWhenUsed/>
    <w:rsid w:val="00556277"/>
  </w:style>
  <w:style w:type="paragraph" w:styleId="FootnoteText">
    <w:name w:val="footnote text"/>
    <w:basedOn w:val="Normal"/>
    <w:link w:val="FootnoteTextChar"/>
    <w:uiPriority w:val="99"/>
    <w:unhideWhenUsed/>
    <w:rsid w:val="004C3985"/>
  </w:style>
  <w:style w:type="character" w:customStyle="1" w:styleId="FootnoteTextChar">
    <w:name w:val="Footnote Text Char"/>
    <w:basedOn w:val="DefaultParagraphFont"/>
    <w:link w:val="FootnoteText"/>
    <w:uiPriority w:val="99"/>
    <w:rsid w:val="004C3985"/>
    <w:rPr>
      <w:lang w:val="en-GB"/>
    </w:rPr>
  </w:style>
  <w:style w:type="character" w:styleId="FootnoteReference">
    <w:name w:val="footnote reference"/>
    <w:basedOn w:val="DefaultParagraphFont"/>
    <w:uiPriority w:val="99"/>
    <w:unhideWhenUsed/>
    <w:rsid w:val="004C3985"/>
    <w:rPr>
      <w:vertAlign w:val="superscript"/>
    </w:rPr>
  </w:style>
  <w:style w:type="paragraph" w:styleId="NormalWeb">
    <w:name w:val="Normal (Web)"/>
    <w:basedOn w:val="Normal"/>
    <w:uiPriority w:val="99"/>
    <w:semiHidden/>
    <w:unhideWhenUsed/>
    <w:rsid w:val="00FD0AF8"/>
    <w:rPr>
      <w:rFonts w:ascii="Times New Roman" w:hAnsi="Times New Roman" w:cs="Times New Roman"/>
    </w:rPr>
  </w:style>
  <w:style w:type="paragraph" w:styleId="BalloonText">
    <w:name w:val="Balloon Text"/>
    <w:basedOn w:val="Normal"/>
    <w:link w:val="BalloonTextChar"/>
    <w:uiPriority w:val="99"/>
    <w:semiHidden/>
    <w:unhideWhenUsed/>
    <w:rsid w:val="00AF6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D76"/>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DC11AD"/>
    <w:rPr>
      <w:sz w:val="18"/>
      <w:szCs w:val="18"/>
    </w:rPr>
  </w:style>
  <w:style w:type="paragraph" w:styleId="CommentText">
    <w:name w:val="annotation text"/>
    <w:basedOn w:val="Normal"/>
    <w:link w:val="CommentTextChar"/>
    <w:uiPriority w:val="99"/>
    <w:semiHidden/>
    <w:unhideWhenUsed/>
    <w:rsid w:val="00DC11AD"/>
  </w:style>
  <w:style w:type="character" w:customStyle="1" w:styleId="CommentTextChar">
    <w:name w:val="Comment Text Char"/>
    <w:basedOn w:val="DefaultParagraphFont"/>
    <w:link w:val="CommentText"/>
    <w:uiPriority w:val="99"/>
    <w:semiHidden/>
    <w:rsid w:val="00DC11AD"/>
    <w:rPr>
      <w:lang w:val="en-GB"/>
    </w:rPr>
  </w:style>
  <w:style w:type="paragraph" w:styleId="CommentSubject">
    <w:name w:val="annotation subject"/>
    <w:basedOn w:val="CommentText"/>
    <w:next w:val="CommentText"/>
    <w:link w:val="CommentSubjectChar"/>
    <w:uiPriority w:val="99"/>
    <w:semiHidden/>
    <w:unhideWhenUsed/>
    <w:rsid w:val="00DC11AD"/>
    <w:rPr>
      <w:b/>
      <w:bCs/>
      <w:sz w:val="20"/>
      <w:szCs w:val="20"/>
    </w:rPr>
  </w:style>
  <w:style w:type="character" w:customStyle="1" w:styleId="CommentSubjectChar">
    <w:name w:val="Comment Subject Char"/>
    <w:basedOn w:val="CommentTextChar"/>
    <w:link w:val="CommentSubject"/>
    <w:uiPriority w:val="99"/>
    <w:semiHidden/>
    <w:rsid w:val="00DC11AD"/>
    <w:rPr>
      <w:b/>
      <w:bCs/>
      <w:sz w:val="20"/>
      <w:szCs w:val="20"/>
      <w:lang w:val="en-GB"/>
    </w:rPr>
  </w:style>
  <w:style w:type="paragraph" w:styleId="Header">
    <w:name w:val="header"/>
    <w:basedOn w:val="Normal"/>
    <w:link w:val="HeaderChar"/>
    <w:uiPriority w:val="99"/>
    <w:unhideWhenUsed/>
    <w:rsid w:val="00F24F0D"/>
    <w:pPr>
      <w:tabs>
        <w:tab w:val="center" w:pos="4513"/>
        <w:tab w:val="right" w:pos="9026"/>
      </w:tabs>
    </w:pPr>
  </w:style>
  <w:style w:type="character" w:customStyle="1" w:styleId="HeaderChar">
    <w:name w:val="Header Char"/>
    <w:basedOn w:val="DefaultParagraphFont"/>
    <w:link w:val="Header"/>
    <w:uiPriority w:val="99"/>
    <w:rsid w:val="00F24F0D"/>
    <w:rPr>
      <w:lang w:val="en-GB"/>
    </w:rPr>
  </w:style>
  <w:style w:type="table" w:styleId="TableGrid">
    <w:name w:val="Table Grid"/>
    <w:basedOn w:val="TableNormal"/>
    <w:uiPriority w:val="59"/>
    <w:rsid w:val="00EA3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67A"/>
    <w:pPr>
      <w:ind w:left="720"/>
      <w:contextualSpacing/>
    </w:pPr>
  </w:style>
  <w:style w:type="paragraph" w:styleId="Footer">
    <w:name w:val="footer"/>
    <w:basedOn w:val="Normal"/>
    <w:link w:val="FooterChar"/>
    <w:uiPriority w:val="99"/>
    <w:unhideWhenUsed/>
    <w:rsid w:val="00556277"/>
    <w:pPr>
      <w:tabs>
        <w:tab w:val="center" w:pos="4320"/>
        <w:tab w:val="right" w:pos="8640"/>
      </w:tabs>
    </w:pPr>
  </w:style>
  <w:style w:type="character" w:customStyle="1" w:styleId="FooterChar">
    <w:name w:val="Footer Char"/>
    <w:basedOn w:val="DefaultParagraphFont"/>
    <w:link w:val="Footer"/>
    <w:uiPriority w:val="99"/>
    <w:rsid w:val="00556277"/>
    <w:rPr>
      <w:lang w:val="en-GB"/>
    </w:rPr>
  </w:style>
  <w:style w:type="character" w:styleId="PageNumber">
    <w:name w:val="page number"/>
    <w:basedOn w:val="DefaultParagraphFont"/>
    <w:uiPriority w:val="99"/>
    <w:semiHidden/>
    <w:unhideWhenUsed/>
    <w:rsid w:val="00556277"/>
  </w:style>
  <w:style w:type="paragraph" w:styleId="FootnoteText">
    <w:name w:val="footnote text"/>
    <w:basedOn w:val="Normal"/>
    <w:link w:val="FootnoteTextChar"/>
    <w:uiPriority w:val="99"/>
    <w:unhideWhenUsed/>
    <w:rsid w:val="004C3985"/>
  </w:style>
  <w:style w:type="character" w:customStyle="1" w:styleId="FootnoteTextChar">
    <w:name w:val="Footnote Text Char"/>
    <w:basedOn w:val="DefaultParagraphFont"/>
    <w:link w:val="FootnoteText"/>
    <w:uiPriority w:val="99"/>
    <w:rsid w:val="004C3985"/>
    <w:rPr>
      <w:lang w:val="en-GB"/>
    </w:rPr>
  </w:style>
  <w:style w:type="character" w:styleId="FootnoteReference">
    <w:name w:val="footnote reference"/>
    <w:basedOn w:val="DefaultParagraphFont"/>
    <w:uiPriority w:val="99"/>
    <w:unhideWhenUsed/>
    <w:rsid w:val="004C3985"/>
    <w:rPr>
      <w:vertAlign w:val="superscript"/>
    </w:rPr>
  </w:style>
  <w:style w:type="paragraph" w:styleId="NormalWeb">
    <w:name w:val="Normal (Web)"/>
    <w:basedOn w:val="Normal"/>
    <w:uiPriority w:val="99"/>
    <w:semiHidden/>
    <w:unhideWhenUsed/>
    <w:rsid w:val="00FD0AF8"/>
    <w:rPr>
      <w:rFonts w:ascii="Times New Roman" w:hAnsi="Times New Roman" w:cs="Times New Roman"/>
    </w:rPr>
  </w:style>
  <w:style w:type="paragraph" w:styleId="BalloonText">
    <w:name w:val="Balloon Text"/>
    <w:basedOn w:val="Normal"/>
    <w:link w:val="BalloonTextChar"/>
    <w:uiPriority w:val="99"/>
    <w:semiHidden/>
    <w:unhideWhenUsed/>
    <w:rsid w:val="00AF6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D76"/>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DC11AD"/>
    <w:rPr>
      <w:sz w:val="18"/>
      <w:szCs w:val="18"/>
    </w:rPr>
  </w:style>
  <w:style w:type="paragraph" w:styleId="CommentText">
    <w:name w:val="annotation text"/>
    <w:basedOn w:val="Normal"/>
    <w:link w:val="CommentTextChar"/>
    <w:uiPriority w:val="99"/>
    <w:semiHidden/>
    <w:unhideWhenUsed/>
    <w:rsid w:val="00DC11AD"/>
  </w:style>
  <w:style w:type="character" w:customStyle="1" w:styleId="CommentTextChar">
    <w:name w:val="Comment Text Char"/>
    <w:basedOn w:val="DefaultParagraphFont"/>
    <w:link w:val="CommentText"/>
    <w:uiPriority w:val="99"/>
    <w:semiHidden/>
    <w:rsid w:val="00DC11AD"/>
    <w:rPr>
      <w:lang w:val="en-GB"/>
    </w:rPr>
  </w:style>
  <w:style w:type="paragraph" w:styleId="CommentSubject">
    <w:name w:val="annotation subject"/>
    <w:basedOn w:val="CommentText"/>
    <w:next w:val="CommentText"/>
    <w:link w:val="CommentSubjectChar"/>
    <w:uiPriority w:val="99"/>
    <w:semiHidden/>
    <w:unhideWhenUsed/>
    <w:rsid w:val="00DC11AD"/>
    <w:rPr>
      <w:b/>
      <w:bCs/>
      <w:sz w:val="20"/>
      <w:szCs w:val="20"/>
    </w:rPr>
  </w:style>
  <w:style w:type="character" w:customStyle="1" w:styleId="CommentSubjectChar">
    <w:name w:val="Comment Subject Char"/>
    <w:basedOn w:val="CommentTextChar"/>
    <w:link w:val="CommentSubject"/>
    <w:uiPriority w:val="99"/>
    <w:semiHidden/>
    <w:rsid w:val="00DC11AD"/>
    <w:rPr>
      <w:b/>
      <w:bCs/>
      <w:sz w:val="20"/>
      <w:szCs w:val="20"/>
      <w:lang w:val="en-GB"/>
    </w:rPr>
  </w:style>
  <w:style w:type="paragraph" w:styleId="Header">
    <w:name w:val="header"/>
    <w:basedOn w:val="Normal"/>
    <w:link w:val="HeaderChar"/>
    <w:uiPriority w:val="99"/>
    <w:unhideWhenUsed/>
    <w:rsid w:val="00F24F0D"/>
    <w:pPr>
      <w:tabs>
        <w:tab w:val="center" w:pos="4513"/>
        <w:tab w:val="right" w:pos="9026"/>
      </w:tabs>
    </w:pPr>
  </w:style>
  <w:style w:type="character" w:customStyle="1" w:styleId="HeaderChar">
    <w:name w:val="Header Char"/>
    <w:basedOn w:val="DefaultParagraphFont"/>
    <w:link w:val="Header"/>
    <w:uiPriority w:val="99"/>
    <w:rsid w:val="00F24F0D"/>
    <w:rPr>
      <w:lang w:val="en-GB"/>
    </w:rPr>
  </w:style>
  <w:style w:type="table" w:styleId="TableGrid">
    <w:name w:val="Table Grid"/>
    <w:basedOn w:val="TableNormal"/>
    <w:uiPriority w:val="59"/>
    <w:rsid w:val="00EA3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14511">
      <w:bodyDiv w:val="1"/>
      <w:marLeft w:val="0"/>
      <w:marRight w:val="0"/>
      <w:marTop w:val="0"/>
      <w:marBottom w:val="0"/>
      <w:divBdr>
        <w:top w:val="none" w:sz="0" w:space="0" w:color="auto"/>
        <w:left w:val="none" w:sz="0" w:space="0" w:color="auto"/>
        <w:bottom w:val="none" w:sz="0" w:space="0" w:color="auto"/>
        <w:right w:val="none" w:sz="0" w:space="0" w:color="auto"/>
      </w:divBdr>
      <w:divsChild>
        <w:div w:id="541282389">
          <w:marLeft w:val="0"/>
          <w:marRight w:val="0"/>
          <w:marTop w:val="0"/>
          <w:marBottom w:val="0"/>
          <w:divBdr>
            <w:top w:val="none" w:sz="0" w:space="0" w:color="auto"/>
            <w:left w:val="none" w:sz="0" w:space="0" w:color="auto"/>
            <w:bottom w:val="none" w:sz="0" w:space="0" w:color="auto"/>
            <w:right w:val="none" w:sz="0" w:space="0" w:color="auto"/>
          </w:divBdr>
          <w:divsChild>
            <w:div w:id="178736928">
              <w:marLeft w:val="0"/>
              <w:marRight w:val="0"/>
              <w:marTop w:val="0"/>
              <w:marBottom w:val="0"/>
              <w:divBdr>
                <w:top w:val="none" w:sz="0" w:space="0" w:color="auto"/>
                <w:left w:val="none" w:sz="0" w:space="0" w:color="auto"/>
                <w:bottom w:val="none" w:sz="0" w:space="0" w:color="auto"/>
                <w:right w:val="none" w:sz="0" w:space="0" w:color="auto"/>
              </w:divBdr>
              <w:divsChild>
                <w:div w:id="14945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15241">
      <w:bodyDiv w:val="1"/>
      <w:marLeft w:val="0"/>
      <w:marRight w:val="0"/>
      <w:marTop w:val="0"/>
      <w:marBottom w:val="0"/>
      <w:divBdr>
        <w:top w:val="none" w:sz="0" w:space="0" w:color="auto"/>
        <w:left w:val="none" w:sz="0" w:space="0" w:color="auto"/>
        <w:bottom w:val="none" w:sz="0" w:space="0" w:color="auto"/>
        <w:right w:val="none" w:sz="0" w:space="0" w:color="auto"/>
      </w:divBdr>
      <w:divsChild>
        <w:div w:id="2044672414">
          <w:marLeft w:val="0"/>
          <w:marRight w:val="0"/>
          <w:marTop w:val="0"/>
          <w:marBottom w:val="0"/>
          <w:divBdr>
            <w:top w:val="none" w:sz="0" w:space="0" w:color="auto"/>
            <w:left w:val="none" w:sz="0" w:space="0" w:color="auto"/>
            <w:bottom w:val="none" w:sz="0" w:space="0" w:color="auto"/>
            <w:right w:val="none" w:sz="0" w:space="0" w:color="auto"/>
          </w:divBdr>
          <w:divsChild>
            <w:div w:id="1990401793">
              <w:marLeft w:val="0"/>
              <w:marRight w:val="0"/>
              <w:marTop w:val="0"/>
              <w:marBottom w:val="0"/>
              <w:divBdr>
                <w:top w:val="none" w:sz="0" w:space="0" w:color="auto"/>
                <w:left w:val="none" w:sz="0" w:space="0" w:color="auto"/>
                <w:bottom w:val="none" w:sz="0" w:space="0" w:color="auto"/>
                <w:right w:val="none" w:sz="0" w:space="0" w:color="auto"/>
              </w:divBdr>
              <w:divsChild>
                <w:div w:id="827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2016-10-05T18:30:00+00:00</Judgment_x0020_Date>
    <Year xmlns="63bdd487-88aa-4c54-b893-ddaa81ed2e7c">2016</Year>
  </documentManagement>
</p:properties>
</file>

<file path=customXml/itemProps1.xml><?xml version="1.0" encoding="utf-8"?>
<ds:datastoreItem xmlns:ds="http://schemas.openxmlformats.org/officeDocument/2006/customXml" ds:itemID="{72255664-F637-4EA6-B9FC-8D8461CBD4DC}"/>
</file>

<file path=customXml/itemProps2.xml><?xml version="1.0" encoding="utf-8"?>
<ds:datastoreItem xmlns:ds="http://schemas.openxmlformats.org/officeDocument/2006/customXml" ds:itemID="{3329FB84-458F-424A-944C-25D64E32AA30}"/>
</file>

<file path=customXml/itemProps3.xml><?xml version="1.0" encoding="utf-8"?>
<ds:datastoreItem xmlns:ds="http://schemas.openxmlformats.org/officeDocument/2006/customXml" ds:itemID="{C6CEA8F5-BE3C-4252-8492-C859F6230AA0}"/>
</file>

<file path=customXml/itemProps4.xml><?xml version="1.0" encoding="utf-8"?>
<ds:datastoreItem xmlns:ds="http://schemas.openxmlformats.org/officeDocument/2006/customXml" ds:itemID="{198387B9-93D7-4F13-99D1-FD7214908FAD}"/>
</file>

<file path=docProps/app.xml><?xml version="1.0" encoding="utf-8"?>
<Properties xmlns="http://schemas.openxmlformats.org/officeDocument/2006/extended-properties" xmlns:vt="http://schemas.openxmlformats.org/officeDocument/2006/docPropsVTypes">
  <Template>Normal</Template>
  <TotalTime>1</TotalTime>
  <Pages>33</Pages>
  <Words>6677</Words>
  <Characters>38064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O'Regan</dc:creator>
  <cp:lastModifiedBy>User</cp:lastModifiedBy>
  <cp:revision>2</cp:revision>
  <cp:lastPrinted>2016-10-05T15:08:00Z</cp:lastPrinted>
  <dcterms:created xsi:type="dcterms:W3CDTF">2016-10-17T15:07:00Z</dcterms:created>
  <dcterms:modified xsi:type="dcterms:W3CDTF">2016-10-17T15:07:00Z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