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0F" w:rsidRDefault="00F1390F" w:rsidP="00F1390F">
      <w:pPr>
        <w:keepNext/>
        <w:spacing w:line="360" w:lineRule="auto"/>
        <w:jc w:val="center"/>
        <w:outlineLvl w:val="0"/>
        <w:rPr>
          <w:rFonts w:cs="Arial"/>
          <w:b/>
          <w:bCs/>
          <w:szCs w:val="24"/>
        </w:rPr>
      </w:pPr>
      <w:bookmarkStart w:id="0" w:name="_GoBack"/>
      <w:bookmarkEnd w:id="0"/>
      <w:r w:rsidRPr="00595EA4">
        <w:rPr>
          <w:rFonts w:cs="Arial"/>
          <w:b/>
          <w:bCs/>
          <w:noProof/>
          <w:szCs w:val="24"/>
          <w:lang w:val="en-US"/>
        </w:rPr>
        <w:drawing>
          <wp:inline distT="0" distB="0" distL="0" distR="0">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B91B6B" w:rsidRPr="00595EA4" w:rsidRDefault="00B91B6B" w:rsidP="00F1390F">
      <w:pPr>
        <w:keepNext/>
        <w:spacing w:line="360" w:lineRule="auto"/>
        <w:jc w:val="center"/>
        <w:outlineLvl w:val="0"/>
        <w:rPr>
          <w:rFonts w:cs="Arial"/>
          <w:b/>
          <w:bCs/>
          <w:szCs w:val="24"/>
        </w:rPr>
      </w:pPr>
    </w:p>
    <w:p w:rsidR="005773B2" w:rsidRPr="0010407D" w:rsidRDefault="005773B2" w:rsidP="008603D9">
      <w:pPr>
        <w:jc w:val="right"/>
        <w:rPr>
          <w:rFonts w:cs="Arial"/>
          <w:b/>
          <w:szCs w:val="24"/>
        </w:rPr>
      </w:pPr>
      <w:r w:rsidRPr="0010407D">
        <w:rPr>
          <w:rFonts w:cs="Arial"/>
          <w:b/>
          <w:szCs w:val="24"/>
        </w:rPr>
        <w:t>REPORTABLE</w:t>
      </w:r>
    </w:p>
    <w:p w:rsidR="005773B2" w:rsidRPr="006263C1" w:rsidRDefault="005773B2" w:rsidP="008603D9">
      <w:pPr>
        <w:jc w:val="right"/>
        <w:rPr>
          <w:rFonts w:cs="Arial"/>
          <w:szCs w:val="24"/>
        </w:rPr>
      </w:pPr>
      <w:r w:rsidRPr="006263C1">
        <w:rPr>
          <w:rFonts w:cs="Arial"/>
          <w:szCs w:val="24"/>
        </w:rPr>
        <w:t>CASE NO: S</w:t>
      </w:r>
      <w:r w:rsidR="005A4011">
        <w:rPr>
          <w:rFonts w:cs="Arial"/>
          <w:szCs w:val="24"/>
        </w:rPr>
        <w:t>A</w:t>
      </w:r>
      <w:r>
        <w:rPr>
          <w:rFonts w:cs="Arial"/>
          <w:szCs w:val="24"/>
        </w:rPr>
        <w:t xml:space="preserve"> </w:t>
      </w:r>
      <w:r w:rsidR="00060ECA">
        <w:rPr>
          <w:rFonts w:cs="Arial"/>
          <w:szCs w:val="24"/>
        </w:rPr>
        <w:t>7/2016</w:t>
      </w:r>
    </w:p>
    <w:p w:rsidR="0098142F" w:rsidRPr="0098142F" w:rsidRDefault="0098142F" w:rsidP="00551B72">
      <w:pPr>
        <w:spacing w:line="360" w:lineRule="auto"/>
        <w:rPr>
          <w:rFonts w:cs="Arial"/>
          <w:b/>
          <w:szCs w:val="24"/>
        </w:rPr>
      </w:pPr>
      <w:r w:rsidRPr="0098142F">
        <w:rPr>
          <w:rFonts w:cs="Arial"/>
          <w:b/>
          <w:szCs w:val="24"/>
        </w:rPr>
        <w:t>IN THE SUPREME COURT OF NAMIBIA</w:t>
      </w:r>
    </w:p>
    <w:p w:rsidR="0098142F" w:rsidRDefault="0098142F" w:rsidP="00551B72">
      <w:pPr>
        <w:spacing w:line="360" w:lineRule="auto"/>
        <w:rPr>
          <w:rFonts w:cs="Arial"/>
          <w:szCs w:val="24"/>
        </w:rPr>
      </w:pPr>
    </w:p>
    <w:p w:rsidR="005773B2" w:rsidRDefault="005773B2" w:rsidP="00551B72">
      <w:pPr>
        <w:spacing w:line="360" w:lineRule="auto"/>
        <w:rPr>
          <w:rFonts w:cs="Arial"/>
          <w:szCs w:val="24"/>
        </w:rPr>
      </w:pPr>
      <w:r>
        <w:rPr>
          <w:rFonts w:cs="Arial"/>
          <w:szCs w:val="24"/>
        </w:rPr>
        <w:t>In the matter between:</w:t>
      </w:r>
    </w:p>
    <w:p w:rsidR="005773B2" w:rsidRDefault="005773B2" w:rsidP="00551B72">
      <w:pPr>
        <w:spacing w:line="360" w:lineRule="auto"/>
        <w:rPr>
          <w:rFonts w:cs="Arial"/>
          <w:szCs w:val="24"/>
        </w:rPr>
      </w:pPr>
    </w:p>
    <w:tbl>
      <w:tblPr>
        <w:tblW w:w="0" w:type="auto"/>
        <w:tblLook w:val="04A0" w:firstRow="1" w:lastRow="0" w:firstColumn="1" w:lastColumn="0" w:noHBand="0" w:noVBand="1"/>
      </w:tblPr>
      <w:tblGrid>
        <w:gridCol w:w="5288"/>
        <w:gridCol w:w="3500"/>
      </w:tblGrid>
      <w:tr w:rsidR="005773B2" w:rsidRPr="00500CF6" w:rsidTr="007711A0">
        <w:tc>
          <w:tcPr>
            <w:tcW w:w="5357" w:type="dxa"/>
            <w:shd w:val="clear" w:color="auto" w:fill="auto"/>
          </w:tcPr>
          <w:p w:rsidR="005773B2" w:rsidRPr="00500CF6" w:rsidRDefault="00060ECA" w:rsidP="00551B72">
            <w:pPr>
              <w:spacing w:line="360" w:lineRule="auto"/>
              <w:ind w:left="-108"/>
              <w:rPr>
                <w:rFonts w:cs="Arial"/>
                <w:b/>
                <w:szCs w:val="24"/>
              </w:rPr>
            </w:pPr>
            <w:r>
              <w:rPr>
                <w:rFonts w:cs="Arial"/>
                <w:b/>
                <w:szCs w:val="24"/>
              </w:rPr>
              <w:t>TOBIAS AUPINDI</w:t>
            </w:r>
          </w:p>
        </w:tc>
        <w:tc>
          <w:tcPr>
            <w:tcW w:w="3540" w:type="dxa"/>
            <w:shd w:val="clear" w:color="auto" w:fill="auto"/>
          </w:tcPr>
          <w:p w:rsidR="005773B2" w:rsidRPr="00500CF6" w:rsidRDefault="00551B72" w:rsidP="00551B72">
            <w:pPr>
              <w:spacing w:line="360" w:lineRule="auto"/>
              <w:jc w:val="right"/>
              <w:rPr>
                <w:rFonts w:cs="Arial"/>
                <w:b/>
                <w:szCs w:val="24"/>
              </w:rPr>
            </w:pPr>
            <w:r>
              <w:rPr>
                <w:rFonts w:cs="Arial"/>
                <w:b/>
                <w:szCs w:val="24"/>
              </w:rPr>
              <w:t>Appellant</w:t>
            </w:r>
          </w:p>
        </w:tc>
      </w:tr>
      <w:tr w:rsidR="00037B8C" w:rsidRPr="00500CF6" w:rsidTr="007711A0">
        <w:tc>
          <w:tcPr>
            <w:tcW w:w="5357" w:type="dxa"/>
            <w:shd w:val="clear" w:color="auto" w:fill="auto"/>
          </w:tcPr>
          <w:p w:rsidR="00037B8C" w:rsidRDefault="00037B8C" w:rsidP="00551B72">
            <w:pPr>
              <w:spacing w:line="240" w:lineRule="auto"/>
              <w:ind w:left="-108"/>
              <w:rPr>
                <w:rFonts w:cs="Arial"/>
                <w:b/>
                <w:szCs w:val="24"/>
              </w:rPr>
            </w:pPr>
          </w:p>
        </w:tc>
        <w:tc>
          <w:tcPr>
            <w:tcW w:w="3540" w:type="dxa"/>
            <w:shd w:val="clear" w:color="auto" w:fill="auto"/>
          </w:tcPr>
          <w:p w:rsidR="00037B8C" w:rsidRDefault="00037B8C" w:rsidP="00551B72">
            <w:pPr>
              <w:spacing w:line="360" w:lineRule="auto"/>
              <w:jc w:val="right"/>
              <w:rPr>
                <w:rFonts w:cs="Arial"/>
                <w:b/>
                <w:szCs w:val="24"/>
              </w:rPr>
            </w:pPr>
          </w:p>
        </w:tc>
      </w:tr>
      <w:tr w:rsidR="005773B2" w:rsidRPr="00500CF6" w:rsidTr="007711A0">
        <w:tc>
          <w:tcPr>
            <w:tcW w:w="5357" w:type="dxa"/>
            <w:shd w:val="clear" w:color="auto" w:fill="auto"/>
          </w:tcPr>
          <w:p w:rsidR="005773B2" w:rsidRDefault="00551B72" w:rsidP="00551B72">
            <w:pPr>
              <w:spacing w:line="240" w:lineRule="auto"/>
              <w:ind w:left="-108"/>
              <w:rPr>
                <w:rFonts w:cs="Arial"/>
                <w:szCs w:val="24"/>
              </w:rPr>
            </w:pPr>
            <w:r>
              <w:rPr>
                <w:rFonts w:cs="Arial"/>
                <w:szCs w:val="24"/>
              </w:rPr>
              <w:t>a</w:t>
            </w:r>
            <w:r w:rsidR="005773B2" w:rsidRPr="00500CF6">
              <w:rPr>
                <w:rFonts w:cs="Arial"/>
                <w:szCs w:val="24"/>
              </w:rPr>
              <w:t>nd</w:t>
            </w:r>
          </w:p>
          <w:p w:rsidR="00037B8C" w:rsidRPr="00500CF6" w:rsidRDefault="00037B8C" w:rsidP="00551B72">
            <w:pPr>
              <w:spacing w:after="240" w:line="240" w:lineRule="auto"/>
              <w:ind w:left="-108"/>
              <w:rPr>
                <w:rFonts w:cs="Arial"/>
                <w:szCs w:val="24"/>
              </w:rPr>
            </w:pPr>
          </w:p>
        </w:tc>
        <w:tc>
          <w:tcPr>
            <w:tcW w:w="3540" w:type="dxa"/>
            <w:shd w:val="clear" w:color="auto" w:fill="auto"/>
          </w:tcPr>
          <w:p w:rsidR="005773B2" w:rsidRPr="00500CF6" w:rsidRDefault="005773B2" w:rsidP="00551B72">
            <w:pPr>
              <w:spacing w:line="360" w:lineRule="auto"/>
              <w:jc w:val="right"/>
              <w:rPr>
                <w:rFonts w:cs="Arial"/>
                <w:b/>
                <w:szCs w:val="24"/>
              </w:rPr>
            </w:pPr>
          </w:p>
        </w:tc>
      </w:tr>
      <w:tr w:rsidR="005773B2" w:rsidRPr="00500CF6" w:rsidTr="007711A0">
        <w:tc>
          <w:tcPr>
            <w:tcW w:w="5357" w:type="dxa"/>
            <w:shd w:val="clear" w:color="auto" w:fill="auto"/>
          </w:tcPr>
          <w:p w:rsidR="005773B2" w:rsidRPr="00500CF6" w:rsidRDefault="00060ECA" w:rsidP="00551B72">
            <w:pPr>
              <w:spacing w:line="360" w:lineRule="auto"/>
              <w:ind w:left="-108"/>
              <w:rPr>
                <w:rFonts w:cs="Arial"/>
                <w:b/>
                <w:szCs w:val="24"/>
              </w:rPr>
            </w:pPr>
            <w:r>
              <w:rPr>
                <w:rFonts w:cs="Arial"/>
                <w:b/>
                <w:szCs w:val="24"/>
              </w:rPr>
              <w:t>MAGISTRATE HELVI SHILEMBA</w:t>
            </w:r>
          </w:p>
        </w:tc>
        <w:tc>
          <w:tcPr>
            <w:tcW w:w="3540" w:type="dxa"/>
            <w:shd w:val="clear" w:color="auto" w:fill="auto"/>
          </w:tcPr>
          <w:p w:rsidR="005773B2" w:rsidRPr="00500CF6" w:rsidRDefault="00242A8E" w:rsidP="00551B72">
            <w:pPr>
              <w:spacing w:line="360" w:lineRule="auto"/>
              <w:jc w:val="right"/>
              <w:rPr>
                <w:rFonts w:cs="Arial"/>
                <w:b/>
                <w:szCs w:val="24"/>
              </w:rPr>
            </w:pPr>
            <w:r>
              <w:rPr>
                <w:rFonts w:cs="Arial"/>
                <w:b/>
                <w:szCs w:val="24"/>
              </w:rPr>
              <w:t xml:space="preserve">First </w:t>
            </w:r>
            <w:r w:rsidRPr="00242A8E">
              <w:rPr>
                <w:rFonts w:cs="Arial"/>
                <w:b/>
                <w:szCs w:val="24"/>
              </w:rPr>
              <w:t>Respondent</w:t>
            </w:r>
          </w:p>
        </w:tc>
      </w:tr>
      <w:tr w:rsidR="00C12A36" w:rsidRPr="00500CF6" w:rsidTr="007711A0">
        <w:tc>
          <w:tcPr>
            <w:tcW w:w="5357" w:type="dxa"/>
            <w:shd w:val="clear" w:color="auto" w:fill="auto"/>
          </w:tcPr>
          <w:p w:rsidR="00C12A36" w:rsidRDefault="00060ECA" w:rsidP="00551B72">
            <w:pPr>
              <w:spacing w:line="360" w:lineRule="auto"/>
              <w:ind w:left="-108"/>
              <w:rPr>
                <w:rFonts w:cs="Arial"/>
                <w:b/>
                <w:szCs w:val="24"/>
              </w:rPr>
            </w:pPr>
            <w:r>
              <w:rPr>
                <w:rFonts w:cs="Arial"/>
                <w:b/>
                <w:szCs w:val="24"/>
              </w:rPr>
              <w:t>ARIE HUSSELMAN</w:t>
            </w:r>
          </w:p>
        </w:tc>
        <w:tc>
          <w:tcPr>
            <w:tcW w:w="3540" w:type="dxa"/>
            <w:shd w:val="clear" w:color="auto" w:fill="auto"/>
          </w:tcPr>
          <w:p w:rsidR="00C12A36" w:rsidRDefault="00242A8E" w:rsidP="00551B72">
            <w:pPr>
              <w:spacing w:line="360" w:lineRule="auto"/>
              <w:jc w:val="right"/>
              <w:rPr>
                <w:rFonts w:cs="Arial"/>
                <w:b/>
                <w:szCs w:val="24"/>
              </w:rPr>
            </w:pPr>
            <w:r>
              <w:rPr>
                <w:rFonts w:cs="Arial"/>
                <w:b/>
                <w:szCs w:val="24"/>
              </w:rPr>
              <w:t>Second Respondent</w:t>
            </w:r>
          </w:p>
        </w:tc>
      </w:tr>
      <w:tr w:rsidR="004458EB" w:rsidRPr="00500CF6" w:rsidTr="007711A0">
        <w:tc>
          <w:tcPr>
            <w:tcW w:w="5357" w:type="dxa"/>
            <w:shd w:val="clear" w:color="auto" w:fill="auto"/>
          </w:tcPr>
          <w:p w:rsidR="004458EB" w:rsidRDefault="00060ECA" w:rsidP="00551B72">
            <w:pPr>
              <w:spacing w:line="360" w:lineRule="auto"/>
              <w:ind w:left="-108"/>
              <w:rPr>
                <w:rFonts w:cs="Arial"/>
                <w:b/>
                <w:szCs w:val="24"/>
              </w:rPr>
            </w:pPr>
            <w:r>
              <w:rPr>
                <w:rFonts w:cs="Arial"/>
                <w:b/>
                <w:szCs w:val="24"/>
              </w:rPr>
              <w:t>MINISTER OF JUSTICE</w:t>
            </w:r>
          </w:p>
        </w:tc>
        <w:tc>
          <w:tcPr>
            <w:tcW w:w="3540" w:type="dxa"/>
            <w:shd w:val="clear" w:color="auto" w:fill="auto"/>
          </w:tcPr>
          <w:p w:rsidR="004458EB" w:rsidRDefault="00242A8E" w:rsidP="00551B72">
            <w:pPr>
              <w:spacing w:line="360" w:lineRule="auto"/>
              <w:jc w:val="right"/>
              <w:rPr>
                <w:rFonts w:cs="Arial"/>
                <w:b/>
                <w:szCs w:val="24"/>
              </w:rPr>
            </w:pPr>
            <w:r>
              <w:rPr>
                <w:rFonts w:cs="Arial"/>
                <w:b/>
                <w:szCs w:val="24"/>
              </w:rPr>
              <w:t>Third</w:t>
            </w:r>
            <w:r w:rsidR="004458EB">
              <w:rPr>
                <w:rFonts w:cs="Arial"/>
                <w:b/>
                <w:szCs w:val="24"/>
              </w:rPr>
              <w:t xml:space="preserve"> </w:t>
            </w:r>
            <w:r>
              <w:rPr>
                <w:rFonts w:cs="Arial"/>
                <w:b/>
                <w:szCs w:val="24"/>
              </w:rPr>
              <w:t>Respondent</w:t>
            </w:r>
          </w:p>
        </w:tc>
      </w:tr>
      <w:tr w:rsidR="004458EB" w:rsidRPr="00500CF6" w:rsidTr="007711A0">
        <w:tc>
          <w:tcPr>
            <w:tcW w:w="5357" w:type="dxa"/>
            <w:shd w:val="clear" w:color="auto" w:fill="auto"/>
          </w:tcPr>
          <w:p w:rsidR="004458EB" w:rsidRDefault="00624C86" w:rsidP="00551B72">
            <w:pPr>
              <w:spacing w:line="360" w:lineRule="auto"/>
              <w:ind w:left="-108"/>
              <w:rPr>
                <w:rFonts w:cs="Arial"/>
                <w:b/>
                <w:szCs w:val="24"/>
              </w:rPr>
            </w:pPr>
            <w:r>
              <w:rPr>
                <w:rFonts w:cs="Arial"/>
                <w:b/>
                <w:szCs w:val="24"/>
              </w:rPr>
              <w:t xml:space="preserve">CHAIRPERSON OF </w:t>
            </w:r>
            <w:r w:rsidR="00D5611D">
              <w:rPr>
                <w:rFonts w:cs="Arial"/>
                <w:b/>
                <w:szCs w:val="24"/>
              </w:rPr>
              <w:t xml:space="preserve">THE </w:t>
            </w:r>
            <w:r>
              <w:rPr>
                <w:rFonts w:cs="Arial"/>
                <w:b/>
                <w:szCs w:val="24"/>
              </w:rPr>
              <w:t>MAGISTRATE’S</w:t>
            </w:r>
          </w:p>
          <w:p w:rsidR="00624C86" w:rsidRDefault="00624C86" w:rsidP="00551B72">
            <w:pPr>
              <w:spacing w:line="360" w:lineRule="auto"/>
              <w:ind w:left="-108"/>
              <w:rPr>
                <w:rFonts w:cs="Arial"/>
                <w:b/>
                <w:szCs w:val="24"/>
              </w:rPr>
            </w:pPr>
            <w:r>
              <w:rPr>
                <w:rFonts w:cs="Arial"/>
                <w:b/>
                <w:szCs w:val="24"/>
              </w:rPr>
              <w:t>COMMISSION</w:t>
            </w:r>
          </w:p>
        </w:tc>
        <w:tc>
          <w:tcPr>
            <w:tcW w:w="3540" w:type="dxa"/>
            <w:shd w:val="clear" w:color="auto" w:fill="auto"/>
          </w:tcPr>
          <w:p w:rsidR="001A4647" w:rsidRDefault="001A4647" w:rsidP="00551B72">
            <w:pPr>
              <w:spacing w:line="360" w:lineRule="auto"/>
              <w:jc w:val="right"/>
              <w:rPr>
                <w:rFonts w:cs="Arial"/>
                <w:b/>
                <w:szCs w:val="24"/>
              </w:rPr>
            </w:pPr>
          </w:p>
          <w:p w:rsidR="004458EB" w:rsidRDefault="00242A8E" w:rsidP="00551B72">
            <w:pPr>
              <w:spacing w:line="360" w:lineRule="auto"/>
              <w:jc w:val="right"/>
              <w:rPr>
                <w:rFonts w:cs="Arial"/>
                <w:b/>
                <w:szCs w:val="24"/>
              </w:rPr>
            </w:pPr>
            <w:r>
              <w:rPr>
                <w:rFonts w:cs="Arial"/>
                <w:b/>
                <w:szCs w:val="24"/>
              </w:rPr>
              <w:t>Fourth</w:t>
            </w:r>
            <w:r w:rsidR="004458EB">
              <w:rPr>
                <w:rFonts w:cs="Arial"/>
                <w:b/>
                <w:szCs w:val="24"/>
              </w:rPr>
              <w:t xml:space="preserve"> </w:t>
            </w:r>
            <w:r>
              <w:rPr>
                <w:rFonts w:cs="Arial"/>
                <w:b/>
                <w:szCs w:val="24"/>
              </w:rPr>
              <w:t>Respondent</w:t>
            </w:r>
          </w:p>
        </w:tc>
      </w:tr>
      <w:tr w:rsidR="00624C86" w:rsidRPr="00500CF6" w:rsidTr="007711A0">
        <w:tc>
          <w:tcPr>
            <w:tcW w:w="5357" w:type="dxa"/>
            <w:shd w:val="clear" w:color="auto" w:fill="auto"/>
          </w:tcPr>
          <w:p w:rsidR="00624C86" w:rsidRDefault="00D5611D" w:rsidP="00551B72">
            <w:pPr>
              <w:spacing w:line="360" w:lineRule="auto"/>
              <w:ind w:left="-108"/>
              <w:rPr>
                <w:rFonts w:cs="Arial"/>
                <w:b/>
                <w:szCs w:val="24"/>
              </w:rPr>
            </w:pPr>
            <w:r>
              <w:rPr>
                <w:rFonts w:cs="Arial"/>
                <w:b/>
                <w:szCs w:val="24"/>
              </w:rPr>
              <w:t>PROSECUTOR–</w:t>
            </w:r>
            <w:r w:rsidR="00624C86">
              <w:rPr>
                <w:rFonts w:cs="Arial"/>
                <w:b/>
                <w:szCs w:val="24"/>
              </w:rPr>
              <w:t>GENERAL OF NAMIBIA</w:t>
            </w:r>
          </w:p>
        </w:tc>
        <w:tc>
          <w:tcPr>
            <w:tcW w:w="3540" w:type="dxa"/>
            <w:shd w:val="clear" w:color="auto" w:fill="auto"/>
          </w:tcPr>
          <w:p w:rsidR="00624C86" w:rsidRDefault="00242A8E" w:rsidP="00551B72">
            <w:pPr>
              <w:spacing w:line="360" w:lineRule="auto"/>
              <w:jc w:val="right"/>
              <w:rPr>
                <w:rFonts w:cs="Arial"/>
                <w:b/>
                <w:szCs w:val="24"/>
              </w:rPr>
            </w:pPr>
            <w:r>
              <w:rPr>
                <w:rFonts w:cs="Arial"/>
                <w:b/>
                <w:szCs w:val="24"/>
              </w:rPr>
              <w:t>Fifth</w:t>
            </w:r>
            <w:r w:rsidR="00624C86">
              <w:rPr>
                <w:rFonts w:cs="Arial"/>
                <w:b/>
                <w:szCs w:val="24"/>
              </w:rPr>
              <w:t xml:space="preserve"> </w:t>
            </w:r>
            <w:r>
              <w:rPr>
                <w:rFonts w:cs="Arial"/>
                <w:b/>
                <w:szCs w:val="24"/>
              </w:rPr>
              <w:t>Respondent</w:t>
            </w:r>
          </w:p>
        </w:tc>
      </w:tr>
      <w:tr w:rsidR="00624C86" w:rsidRPr="00500CF6" w:rsidTr="007711A0">
        <w:tc>
          <w:tcPr>
            <w:tcW w:w="5357" w:type="dxa"/>
            <w:shd w:val="clear" w:color="auto" w:fill="auto"/>
          </w:tcPr>
          <w:p w:rsidR="00624C86" w:rsidRDefault="00D5611D" w:rsidP="00551B72">
            <w:pPr>
              <w:spacing w:line="360" w:lineRule="auto"/>
              <w:ind w:left="-108"/>
              <w:rPr>
                <w:rFonts w:cs="Arial"/>
                <w:b/>
                <w:szCs w:val="24"/>
              </w:rPr>
            </w:pPr>
            <w:r>
              <w:rPr>
                <w:rFonts w:cs="Arial"/>
                <w:b/>
                <w:szCs w:val="24"/>
              </w:rPr>
              <w:t>ANTI-</w:t>
            </w:r>
            <w:r w:rsidR="00624C86">
              <w:rPr>
                <w:rFonts w:cs="Arial"/>
                <w:b/>
                <w:szCs w:val="24"/>
              </w:rPr>
              <w:t>CORRUPTION COMMISSION OF</w:t>
            </w:r>
          </w:p>
          <w:p w:rsidR="00624C86" w:rsidRDefault="00624C86" w:rsidP="00551B72">
            <w:pPr>
              <w:spacing w:line="360" w:lineRule="auto"/>
              <w:ind w:left="-108"/>
              <w:rPr>
                <w:rFonts w:cs="Arial"/>
                <w:b/>
                <w:szCs w:val="24"/>
              </w:rPr>
            </w:pPr>
            <w:r>
              <w:rPr>
                <w:rFonts w:cs="Arial"/>
                <w:b/>
                <w:szCs w:val="24"/>
              </w:rPr>
              <w:t>NAMIBIA</w:t>
            </w:r>
          </w:p>
        </w:tc>
        <w:tc>
          <w:tcPr>
            <w:tcW w:w="3540" w:type="dxa"/>
            <w:shd w:val="clear" w:color="auto" w:fill="auto"/>
          </w:tcPr>
          <w:p w:rsidR="001A4647" w:rsidRDefault="001A4647" w:rsidP="00551B72">
            <w:pPr>
              <w:spacing w:line="360" w:lineRule="auto"/>
              <w:jc w:val="right"/>
              <w:rPr>
                <w:rFonts w:cs="Arial"/>
                <w:b/>
                <w:szCs w:val="24"/>
              </w:rPr>
            </w:pPr>
          </w:p>
          <w:p w:rsidR="00624C86" w:rsidRDefault="00242A8E" w:rsidP="00551B72">
            <w:pPr>
              <w:spacing w:line="360" w:lineRule="auto"/>
              <w:jc w:val="right"/>
              <w:rPr>
                <w:rFonts w:cs="Arial"/>
                <w:b/>
                <w:szCs w:val="24"/>
              </w:rPr>
            </w:pPr>
            <w:r>
              <w:rPr>
                <w:rFonts w:cs="Arial"/>
                <w:b/>
                <w:szCs w:val="24"/>
              </w:rPr>
              <w:t>Sixth</w:t>
            </w:r>
            <w:r w:rsidR="00624C86">
              <w:rPr>
                <w:rFonts w:cs="Arial"/>
                <w:b/>
                <w:szCs w:val="24"/>
              </w:rPr>
              <w:t xml:space="preserve"> </w:t>
            </w:r>
            <w:r>
              <w:rPr>
                <w:rFonts w:cs="Arial"/>
                <w:b/>
                <w:szCs w:val="24"/>
              </w:rPr>
              <w:t>Respondent</w:t>
            </w:r>
          </w:p>
        </w:tc>
      </w:tr>
      <w:tr w:rsidR="00624C86" w:rsidRPr="00500CF6" w:rsidTr="007711A0">
        <w:tc>
          <w:tcPr>
            <w:tcW w:w="5357" w:type="dxa"/>
            <w:shd w:val="clear" w:color="auto" w:fill="auto"/>
          </w:tcPr>
          <w:p w:rsidR="00624C86" w:rsidRDefault="001A4647" w:rsidP="00551B72">
            <w:pPr>
              <w:spacing w:line="360" w:lineRule="auto"/>
              <w:ind w:left="-108"/>
              <w:rPr>
                <w:rFonts w:cs="Arial"/>
                <w:b/>
                <w:szCs w:val="24"/>
              </w:rPr>
            </w:pPr>
            <w:r>
              <w:rPr>
                <w:rFonts w:cs="Arial"/>
                <w:b/>
                <w:szCs w:val="24"/>
              </w:rPr>
              <w:t>DIRECTOR OF THE ANTI-</w:t>
            </w:r>
            <w:r w:rsidR="00D9764A">
              <w:rPr>
                <w:rFonts w:cs="Arial"/>
                <w:b/>
                <w:szCs w:val="24"/>
              </w:rPr>
              <w:t>CORRUPTION</w:t>
            </w:r>
          </w:p>
          <w:p w:rsidR="00D9764A" w:rsidRDefault="00D9764A" w:rsidP="00551B72">
            <w:pPr>
              <w:spacing w:line="360" w:lineRule="auto"/>
              <w:ind w:left="-108"/>
              <w:rPr>
                <w:rFonts w:cs="Arial"/>
                <w:b/>
                <w:szCs w:val="24"/>
              </w:rPr>
            </w:pPr>
            <w:r>
              <w:rPr>
                <w:rFonts w:cs="Arial"/>
                <w:b/>
                <w:szCs w:val="24"/>
              </w:rPr>
              <w:t>COMMISSION</w:t>
            </w:r>
            <w:r w:rsidR="0091780E">
              <w:rPr>
                <w:rFonts w:cs="Arial"/>
                <w:b/>
                <w:szCs w:val="24"/>
              </w:rPr>
              <w:t xml:space="preserve"> OF NAMIBIA</w:t>
            </w:r>
          </w:p>
        </w:tc>
        <w:tc>
          <w:tcPr>
            <w:tcW w:w="3540" w:type="dxa"/>
            <w:shd w:val="clear" w:color="auto" w:fill="auto"/>
          </w:tcPr>
          <w:p w:rsidR="001A4647" w:rsidRDefault="001A4647" w:rsidP="00551B72">
            <w:pPr>
              <w:spacing w:line="360" w:lineRule="auto"/>
              <w:jc w:val="right"/>
              <w:rPr>
                <w:rFonts w:cs="Arial"/>
                <w:b/>
                <w:szCs w:val="24"/>
              </w:rPr>
            </w:pPr>
          </w:p>
          <w:p w:rsidR="00624C86" w:rsidRDefault="00242A8E" w:rsidP="00551B72">
            <w:pPr>
              <w:spacing w:line="360" w:lineRule="auto"/>
              <w:jc w:val="right"/>
              <w:rPr>
                <w:rFonts w:cs="Arial"/>
                <w:b/>
                <w:szCs w:val="24"/>
              </w:rPr>
            </w:pPr>
            <w:r>
              <w:rPr>
                <w:rFonts w:cs="Arial"/>
                <w:b/>
                <w:szCs w:val="24"/>
              </w:rPr>
              <w:t>Seventh Respondent</w:t>
            </w:r>
          </w:p>
        </w:tc>
      </w:tr>
      <w:tr w:rsidR="00D9764A" w:rsidRPr="00500CF6" w:rsidTr="007711A0">
        <w:tc>
          <w:tcPr>
            <w:tcW w:w="5357" w:type="dxa"/>
            <w:shd w:val="clear" w:color="auto" w:fill="auto"/>
          </w:tcPr>
          <w:p w:rsidR="00D9764A" w:rsidRDefault="00D5611D" w:rsidP="00551B72">
            <w:pPr>
              <w:spacing w:line="360" w:lineRule="auto"/>
              <w:ind w:left="-108"/>
              <w:rPr>
                <w:rFonts w:cs="Arial"/>
                <w:b/>
                <w:szCs w:val="24"/>
              </w:rPr>
            </w:pPr>
            <w:r>
              <w:rPr>
                <w:rFonts w:cs="Arial"/>
                <w:b/>
                <w:szCs w:val="24"/>
              </w:rPr>
              <w:t>INSPECTOR-</w:t>
            </w:r>
            <w:r w:rsidR="00D9764A">
              <w:rPr>
                <w:rFonts w:cs="Arial"/>
                <w:b/>
                <w:szCs w:val="24"/>
              </w:rPr>
              <w:t>GENERAL OF THE NAMIBIAN</w:t>
            </w:r>
          </w:p>
          <w:p w:rsidR="00D9764A" w:rsidRDefault="00D9764A" w:rsidP="0091780E">
            <w:pPr>
              <w:spacing w:line="360" w:lineRule="auto"/>
              <w:ind w:left="-108"/>
              <w:rPr>
                <w:rFonts w:cs="Arial"/>
                <w:b/>
                <w:szCs w:val="24"/>
              </w:rPr>
            </w:pPr>
            <w:r>
              <w:rPr>
                <w:rFonts w:cs="Arial"/>
                <w:b/>
                <w:szCs w:val="24"/>
              </w:rPr>
              <w:t>POLICE</w:t>
            </w:r>
            <w:r w:rsidR="00D5611D">
              <w:rPr>
                <w:rFonts w:cs="Arial"/>
                <w:b/>
                <w:szCs w:val="24"/>
              </w:rPr>
              <w:t xml:space="preserve"> </w:t>
            </w:r>
          </w:p>
        </w:tc>
        <w:tc>
          <w:tcPr>
            <w:tcW w:w="3540" w:type="dxa"/>
            <w:shd w:val="clear" w:color="auto" w:fill="auto"/>
          </w:tcPr>
          <w:p w:rsidR="001A4647" w:rsidRDefault="001A4647" w:rsidP="00551B72">
            <w:pPr>
              <w:spacing w:line="360" w:lineRule="auto"/>
              <w:jc w:val="right"/>
              <w:rPr>
                <w:rFonts w:cs="Arial"/>
                <w:b/>
                <w:szCs w:val="24"/>
              </w:rPr>
            </w:pPr>
          </w:p>
          <w:p w:rsidR="00D9764A" w:rsidRDefault="00242A8E" w:rsidP="00551B72">
            <w:pPr>
              <w:spacing w:line="360" w:lineRule="auto"/>
              <w:jc w:val="right"/>
              <w:rPr>
                <w:rFonts w:cs="Arial"/>
                <w:b/>
                <w:szCs w:val="24"/>
              </w:rPr>
            </w:pPr>
            <w:r>
              <w:rPr>
                <w:rFonts w:cs="Arial"/>
                <w:b/>
                <w:szCs w:val="24"/>
              </w:rPr>
              <w:t>Eight</w:t>
            </w:r>
            <w:r w:rsidR="00D9764A">
              <w:rPr>
                <w:rFonts w:cs="Arial"/>
                <w:b/>
                <w:szCs w:val="24"/>
              </w:rPr>
              <w:t xml:space="preserve"> </w:t>
            </w:r>
            <w:r>
              <w:rPr>
                <w:rFonts w:cs="Arial"/>
                <w:b/>
                <w:szCs w:val="24"/>
              </w:rPr>
              <w:t>Respondent</w:t>
            </w:r>
          </w:p>
        </w:tc>
      </w:tr>
      <w:tr w:rsidR="00D9764A" w:rsidRPr="00500CF6" w:rsidTr="007711A0">
        <w:tc>
          <w:tcPr>
            <w:tcW w:w="5357" w:type="dxa"/>
            <w:shd w:val="clear" w:color="auto" w:fill="auto"/>
          </w:tcPr>
          <w:p w:rsidR="00D9764A" w:rsidRDefault="00D5611D" w:rsidP="00551B72">
            <w:pPr>
              <w:spacing w:line="360" w:lineRule="auto"/>
              <w:ind w:left="-108"/>
              <w:rPr>
                <w:rFonts w:cs="Arial"/>
                <w:b/>
                <w:szCs w:val="24"/>
              </w:rPr>
            </w:pPr>
            <w:r>
              <w:rPr>
                <w:rFonts w:cs="Arial"/>
                <w:b/>
                <w:szCs w:val="24"/>
              </w:rPr>
              <w:t>ATTORNEY-</w:t>
            </w:r>
            <w:r w:rsidR="00D9764A">
              <w:rPr>
                <w:rFonts w:cs="Arial"/>
                <w:b/>
                <w:szCs w:val="24"/>
              </w:rPr>
              <w:t>GENERAL OF NAMIBIA</w:t>
            </w:r>
          </w:p>
        </w:tc>
        <w:tc>
          <w:tcPr>
            <w:tcW w:w="3540" w:type="dxa"/>
            <w:shd w:val="clear" w:color="auto" w:fill="auto"/>
          </w:tcPr>
          <w:p w:rsidR="00D9764A" w:rsidRDefault="00242A8E" w:rsidP="00551B72">
            <w:pPr>
              <w:spacing w:line="360" w:lineRule="auto"/>
              <w:jc w:val="right"/>
              <w:rPr>
                <w:rFonts w:cs="Arial"/>
                <w:b/>
                <w:szCs w:val="24"/>
              </w:rPr>
            </w:pPr>
            <w:r>
              <w:rPr>
                <w:rFonts w:cs="Arial"/>
                <w:b/>
                <w:szCs w:val="24"/>
              </w:rPr>
              <w:t>Ninth</w:t>
            </w:r>
            <w:r w:rsidR="00D9764A">
              <w:rPr>
                <w:rFonts w:cs="Arial"/>
                <w:b/>
                <w:szCs w:val="24"/>
              </w:rPr>
              <w:t xml:space="preserve"> </w:t>
            </w:r>
            <w:r>
              <w:rPr>
                <w:rFonts w:cs="Arial"/>
                <w:b/>
                <w:szCs w:val="24"/>
              </w:rPr>
              <w:t>Respondent</w:t>
            </w:r>
          </w:p>
        </w:tc>
      </w:tr>
      <w:tr w:rsidR="00977D02" w:rsidRPr="00500CF6" w:rsidTr="007711A0">
        <w:tc>
          <w:tcPr>
            <w:tcW w:w="5357" w:type="dxa"/>
            <w:shd w:val="clear" w:color="auto" w:fill="auto"/>
          </w:tcPr>
          <w:p w:rsidR="00977D02" w:rsidRDefault="00977D02" w:rsidP="00551B72">
            <w:pPr>
              <w:spacing w:line="360" w:lineRule="auto"/>
              <w:ind w:left="-108"/>
              <w:rPr>
                <w:rFonts w:cs="Arial"/>
                <w:b/>
                <w:szCs w:val="24"/>
              </w:rPr>
            </w:pPr>
            <w:r>
              <w:rPr>
                <w:rFonts w:cs="Arial"/>
                <w:b/>
                <w:szCs w:val="24"/>
              </w:rPr>
              <w:t>ANTONIO DI SAVINO</w:t>
            </w:r>
          </w:p>
        </w:tc>
        <w:tc>
          <w:tcPr>
            <w:tcW w:w="3540" w:type="dxa"/>
            <w:shd w:val="clear" w:color="auto" w:fill="auto"/>
          </w:tcPr>
          <w:p w:rsidR="00977D02" w:rsidRDefault="00242A8E" w:rsidP="00551B72">
            <w:pPr>
              <w:spacing w:line="360" w:lineRule="auto"/>
              <w:jc w:val="right"/>
              <w:rPr>
                <w:rFonts w:cs="Arial"/>
                <w:b/>
                <w:szCs w:val="24"/>
              </w:rPr>
            </w:pPr>
            <w:r>
              <w:rPr>
                <w:rFonts w:cs="Arial"/>
                <w:b/>
                <w:szCs w:val="24"/>
              </w:rPr>
              <w:t>Tenth</w:t>
            </w:r>
            <w:r w:rsidR="00977D02">
              <w:rPr>
                <w:rFonts w:cs="Arial"/>
                <w:b/>
                <w:szCs w:val="24"/>
              </w:rPr>
              <w:t xml:space="preserve"> </w:t>
            </w:r>
            <w:r>
              <w:rPr>
                <w:rFonts w:cs="Arial"/>
                <w:b/>
                <w:szCs w:val="24"/>
              </w:rPr>
              <w:t>Respondent</w:t>
            </w:r>
          </w:p>
        </w:tc>
      </w:tr>
    </w:tbl>
    <w:p w:rsidR="005773B2" w:rsidRDefault="005773B2" w:rsidP="008603D9">
      <w:pPr>
        <w:rPr>
          <w:rFonts w:cs="Arial"/>
          <w:szCs w:val="24"/>
        </w:rPr>
      </w:pPr>
    </w:p>
    <w:p w:rsidR="002D6B6A" w:rsidRDefault="002D6B6A" w:rsidP="008603D9">
      <w:pPr>
        <w:rPr>
          <w:rFonts w:cs="Arial"/>
          <w:szCs w:val="24"/>
        </w:rPr>
      </w:pPr>
    </w:p>
    <w:p w:rsidR="005773B2" w:rsidRDefault="005773B2" w:rsidP="008603D9">
      <w:pPr>
        <w:rPr>
          <w:rFonts w:cs="Arial"/>
          <w:szCs w:val="24"/>
        </w:rPr>
      </w:pPr>
      <w:r w:rsidRPr="00594B41">
        <w:rPr>
          <w:rFonts w:cs="Arial"/>
          <w:b/>
          <w:szCs w:val="24"/>
        </w:rPr>
        <w:t>Coram:</w:t>
      </w:r>
      <w:r w:rsidR="008603D9">
        <w:rPr>
          <w:rFonts w:cs="Arial"/>
          <w:b/>
          <w:szCs w:val="24"/>
        </w:rPr>
        <w:tab/>
      </w:r>
      <w:r w:rsidR="00242A8E">
        <w:rPr>
          <w:rFonts w:cs="Arial"/>
          <w:b/>
          <w:szCs w:val="24"/>
        </w:rPr>
        <w:tab/>
      </w:r>
      <w:r w:rsidR="00242A8E" w:rsidRPr="00242A8E">
        <w:rPr>
          <w:rFonts w:cs="Arial"/>
          <w:szCs w:val="24"/>
        </w:rPr>
        <w:t xml:space="preserve">MAINGA JA, HOFF JA </w:t>
      </w:r>
      <w:r w:rsidR="00242A8E">
        <w:rPr>
          <w:rFonts w:cs="Arial"/>
          <w:szCs w:val="24"/>
        </w:rPr>
        <w:t>and</w:t>
      </w:r>
      <w:r w:rsidR="00242A8E" w:rsidRPr="00242A8E">
        <w:rPr>
          <w:rFonts w:cs="Arial"/>
          <w:szCs w:val="24"/>
        </w:rPr>
        <w:t xml:space="preserve"> FRANK AJA</w:t>
      </w:r>
      <w:r>
        <w:rPr>
          <w:rFonts w:cs="Arial"/>
          <w:szCs w:val="24"/>
        </w:rPr>
        <w:tab/>
      </w:r>
      <w:r w:rsidR="00A85D06">
        <w:rPr>
          <w:rFonts w:cs="Arial"/>
          <w:szCs w:val="24"/>
        </w:rPr>
        <w:tab/>
      </w:r>
    </w:p>
    <w:p w:rsidR="005773B2" w:rsidRPr="00594B41" w:rsidRDefault="005773B2" w:rsidP="008603D9">
      <w:pPr>
        <w:rPr>
          <w:rFonts w:cs="Arial"/>
          <w:b/>
          <w:szCs w:val="24"/>
        </w:rPr>
      </w:pPr>
      <w:r w:rsidRPr="00594B41">
        <w:rPr>
          <w:rFonts w:cs="Arial"/>
          <w:b/>
          <w:szCs w:val="24"/>
        </w:rPr>
        <w:t>Heard</w:t>
      </w:r>
      <w:r>
        <w:rPr>
          <w:rFonts w:cs="Arial"/>
          <w:b/>
          <w:szCs w:val="24"/>
        </w:rPr>
        <w:t>:</w:t>
      </w:r>
      <w:r>
        <w:rPr>
          <w:rFonts w:cs="Arial"/>
          <w:b/>
          <w:szCs w:val="24"/>
        </w:rPr>
        <w:tab/>
      </w:r>
      <w:r w:rsidR="008603D9">
        <w:rPr>
          <w:rFonts w:cs="Arial"/>
          <w:b/>
          <w:szCs w:val="24"/>
        </w:rPr>
        <w:tab/>
      </w:r>
      <w:r w:rsidR="00242A8E">
        <w:rPr>
          <w:rFonts w:cs="Arial"/>
          <w:b/>
          <w:szCs w:val="24"/>
        </w:rPr>
        <w:t>23 June 2017</w:t>
      </w:r>
    </w:p>
    <w:p w:rsidR="005773B2" w:rsidRDefault="005773B2" w:rsidP="008603D9">
      <w:pPr>
        <w:rPr>
          <w:rFonts w:cs="Arial"/>
          <w:b/>
          <w:szCs w:val="24"/>
        </w:rPr>
      </w:pPr>
      <w:r w:rsidRPr="00594B41">
        <w:rPr>
          <w:rFonts w:cs="Arial"/>
          <w:b/>
          <w:szCs w:val="24"/>
        </w:rPr>
        <w:lastRenderedPageBreak/>
        <w:t>Delivered:</w:t>
      </w:r>
      <w:r w:rsidRPr="00594B41">
        <w:rPr>
          <w:rFonts w:cs="Arial"/>
          <w:b/>
          <w:szCs w:val="24"/>
        </w:rPr>
        <w:tab/>
      </w:r>
      <w:r w:rsidR="00A85D06">
        <w:rPr>
          <w:rFonts w:cs="Arial"/>
          <w:b/>
          <w:szCs w:val="24"/>
        </w:rPr>
        <w:tab/>
      </w:r>
      <w:r w:rsidR="00100DFE">
        <w:rPr>
          <w:rFonts w:cs="Arial"/>
          <w:b/>
          <w:szCs w:val="24"/>
        </w:rPr>
        <w:t>14 July 2017</w:t>
      </w:r>
    </w:p>
    <w:p w:rsidR="001B5834" w:rsidRDefault="001B5834" w:rsidP="008603D9">
      <w:pPr>
        <w:rPr>
          <w:rFonts w:cs="Arial"/>
          <w:szCs w:val="24"/>
        </w:rPr>
      </w:pPr>
    </w:p>
    <w:p w:rsidR="00D5611D" w:rsidRDefault="00515DB2" w:rsidP="00D5611D">
      <w:pPr>
        <w:pStyle w:val="western"/>
        <w:spacing w:after="0" w:afterAutospacing="0" w:line="480" w:lineRule="auto"/>
        <w:ind w:hanging="11"/>
        <w:jc w:val="both"/>
        <w:rPr>
          <w:rFonts w:ascii="Arial" w:hAnsi="Arial" w:cs="Arial"/>
          <w:lang w:val="en-GB"/>
        </w:rPr>
      </w:pPr>
      <w:r w:rsidRPr="00443CC7">
        <w:rPr>
          <w:rFonts w:ascii="Arial" w:hAnsi="Arial" w:cs="Arial"/>
          <w:b/>
        </w:rPr>
        <w:t>Summary:</w:t>
      </w:r>
      <w:r w:rsidRPr="00D95A35">
        <w:rPr>
          <w:rFonts w:cs="Arial"/>
        </w:rPr>
        <w:tab/>
      </w:r>
      <w:r>
        <w:rPr>
          <w:rFonts w:ascii="Arial" w:hAnsi="Arial" w:cs="Arial"/>
        </w:rPr>
        <w:t xml:space="preserve">This appeal is against the judgment of the High Court dismissing an application brought by the appellant and tenth respondent to review and set aside criminal proceedings before the magistrate’s court. </w:t>
      </w:r>
      <w:r w:rsidRPr="00D95A35">
        <w:rPr>
          <w:rFonts w:ascii="Arial" w:hAnsi="Arial" w:cs="Arial"/>
          <w:lang w:val="en-GB"/>
        </w:rPr>
        <w:t xml:space="preserve">The criminal trial forming the subject matter of this </w:t>
      </w:r>
      <w:r>
        <w:rPr>
          <w:rFonts w:ascii="Arial" w:hAnsi="Arial" w:cs="Arial"/>
          <w:lang w:val="en-GB"/>
        </w:rPr>
        <w:t>appeal has not been finalised as</w:t>
      </w:r>
      <w:r w:rsidRPr="00D95A35">
        <w:rPr>
          <w:rFonts w:ascii="Arial" w:hAnsi="Arial" w:cs="Arial"/>
          <w:lang w:val="en-GB"/>
        </w:rPr>
        <w:t xml:space="preserve"> it has been interrupted during the course of the trial by </w:t>
      </w:r>
      <w:r>
        <w:rPr>
          <w:rFonts w:ascii="Arial" w:hAnsi="Arial" w:cs="Arial"/>
          <w:lang w:val="en-GB"/>
        </w:rPr>
        <w:t>a recusal application</w:t>
      </w:r>
      <w:r w:rsidRPr="00D95A35">
        <w:rPr>
          <w:rFonts w:ascii="Arial" w:hAnsi="Arial" w:cs="Arial"/>
          <w:lang w:val="en-GB"/>
        </w:rPr>
        <w:t>.</w:t>
      </w:r>
      <w:r>
        <w:rPr>
          <w:rFonts w:ascii="Arial" w:hAnsi="Arial" w:cs="Arial"/>
          <w:lang w:val="en-GB"/>
        </w:rPr>
        <w:t xml:space="preserve"> </w:t>
      </w:r>
    </w:p>
    <w:p w:rsidR="00D5611D" w:rsidRDefault="00D5611D" w:rsidP="00D5611D">
      <w:pPr>
        <w:pStyle w:val="western"/>
        <w:spacing w:before="0" w:beforeAutospacing="0" w:after="0" w:afterAutospacing="0" w:line="480" w:lineRule="auto"/>
        <w:ind w:hanging="11"/>
        <w:jc w:val="both"/>
        <w:rPr>
          <w:rFonts w:ascii="Arial" w:hAnsi="Arial" w:cs="Arial"/>
          <w:lang w:val="en-GB"/>
        </w:rPr>
      </w:pPr>
    </w:p>
    <w:p w:rsidR="00515DB2" w:rsidRDefault="00515DB2" w:rsidP="00515DB2">
      <w:pPr>
        <w:pStyle w:val="western"/>
        <w:spacing w:after="0" w:afterAutospacing="0" w:line="480" w:lineRule="auto"/>
        <w:ind w:hanging="11"/>
        <w:jc w:val="both"/>
        <w:rPr>
          <w:rFonts w:ascii="Arial" w:hAnsi="Arial" w:cs="Arial"/>
          <w:lang w:val="en-GB"/>
        </w:rPr>
      </w:pPr>
      <w:r>
        <w:rPr>
          <w:rFonts w:ascii="Arial" w:hAnsi="Arial" w:cs="Arial"/>
          <w:lang w:val="en-GB"/>
        </w:rPr>
        <w:t>Appellant and tenth respondent were a</w:t>
      </w:r>
      <w:r w:rsidRPr="00D95A35">
        <w:rPr>
          <w:rFonts w:ascii="Arial" w:hAnsi="Arial" w:cs="Arial"/>
          <w:lang w:val="en-GB"/>
        </w:rPr>
        <w:t xml:space="preserve">rraigned </w:t>
      </w:r>
      <w:r>
        <w:rPr>
          <w:rFonts w:ascii="Arial" w:hAnsi="Arial" w:cs="Arial"/>
          <w:lang w:val="en-GB"/>
        </w:rPr>
        <w:t>in the magistrate’s court on various charges under the Anti-</w:t>
      </w:r>
      <w:r w:rsidR="000B6760">
        <w:rPr>
          <w:rFonts w:ascii="Arial" w:hAnsi="Arial" w:cs="Arial"/>
          <w:lang w:val="en-GB"/>
        </w:rPr>
        <w:t>Corruption</w:t>
      </w:r>
      <w:r>
        <w:rPr>
          <w:rFonts w:ascii="Arial" w:hAnsi="Arial" w:cs="Arial"/>
          <w:lang w:val="en-GB"/>
        </w:rPr>
        <w:t xml:space="preserve"> Act, 8 of 2003</w:t>
      </w:r>
      <w:r w:rsidRPr="00D95A35">
        <w:rPr>
          <w:rFonts w:ascii="Arial" w:hAnsi="Arial" w:cs="Arial"/>
          <w:lang w:val="en-GB"/>
        </w:rPr>
        <w:t xml:space="preserve">. </w:t>
      </w:r>
      <w:r>
        <w:rPr>
          <w:rFonts w:ascii="Arial" w:hAnsi="Arial" w:cs="Arial"/>
          <w:lang w:val="en-GB"/>
        </w:rPr>
        <w:t>Both accused tendered plea</w:t>
      </w:r>
      <w:r w:rsidR="000B6760">
        <w:rPr>
          <w:rFonts w:ascii="Arial" w:hAnsi="Arial" w:cs="Arial"/>
          <w:lang w:val="en-GB"/>
        </w:rPr>
        <w:t>s</w:t>
      </w:r>
      <w:r>
        <w:rPr>
          <w:rFonts w:ascii="Arial" w:hAnsi="Arial" w:cs="Arial"/>
          <w:lang w:val="en-GB"/>
        </w:rPr>
        <w:t xml:space="preserve"> of not guilty and gave no plea explanations. </w:t>
      </w:r>
      <w:r w:rsidRPr="00D95A35">
        <w:rPr>
          <w:rFonts w:ascii="Arial" w:hAnsi="Arial" w:cs="Arial"/>
          <w:lang w:val="en-GB"/>
        </w:rPr>
        <w:t xml:space="preserve">The trial was presided over by the </w:t>
      </w:r>
      <w:r>
        <w:rPr>
          <w:rFonts w:ascii="Arial" w:hAnsi="Arial" w:cs="Arial"/>
          <w:lang w:val="en-GB"/>
        </w:rPr>
        <w:t>first respondent</w:t>
      </w:r>
      <w:r w:rsidRPr="00D95A35">
        <w:rPr>
          <w:rFonts w:ascii="Arial" w:hAnsi="Arial" w:cs="Arial"/>
          <w:lang w:val="en-GB"/>
        </w:rPr>
        <w:t xml:space="preserve">. </w:t>
      </w:r>
      <w:r>
        <w:rPr>
          <w:rFonts w:ascii="Arial" w:hAnsi="Arial" w:cs="Arial"/>
          <w:lang w:val="en-GB"/>
        </w:rPr>
        <w:t>The S</w:t>
      </w:r>
      <w:r w:rsidRPr="00C723A6">
        <w:rPr>
          <w:rFonts w:ascii="Arial" w:hAnsi="Arial" w:cs="Arial"/>
          <w:lang w:val="en-GB"/>
        </w:rPr>
        <w:t xml:space="preserve">tate led evidence to </w:t>
      </w:r>
      <w:r w:rsidR="00226B37">
        <w:rPr>
          <w:rFonts w:ascii="Arial" w:hAnsi="Arial" w:cs="Arial"/>
          <w:lang w:val="en-GB"/>
        </w:rPr>
        <w:t>establish</w:t>
      </w:r>
      <w:r w:rsidRPr="00C723A6">
        <w:rPr>
          <w:rFonts w:ascii="Arial" w:hAnsi="Arial" w:cs="Arial"/>
          <w:lang w:val="en-GB"/>
        </w:rPr>
        <w:t xml:space="preserve"> that the </w:t>
      </w:r>
      <w:r>
        <w:rPr>
          <w:rFonts w:ascii="Arial" w:hAnsi="Arial" w:cs="Arial"/>
          <w:lang w:val="en-GB"/>
        </w:rPr>
        <w:t xml:space="preserve">appellant </w:t>
      </w:r>
      <w:r w:rsidRPr="00C723A6">
        <w:rPr>
          <w:rFonts w:ascii="Arial" w:hAnsi="Arial" w:cs="Arial"/>
          <w:lang w:val="en-GB"/>
        </w:rPr>
        <w:t>had not</w:t>
      </w:r>
      <w:r>
        <w:rPr>
          <w:rFonts w:ascii="Arial" w:hAnsi="Arial" w:cs="Arial"/>
          <w:lang w:val="en-GB"/>
        </w:rPr>
        <w:t xml:space="preserve"> paid the costs involved in the installation of the pool at his residence. At the conclusion of the S</w:t>
      </w:r>
      <w:r w:rsidRPr="002E7BDA">
        <w:rPr>
          <w:rFonts w:ascii="Arial" w:hAnsi="Arial" w:cs="Arial"/>
          <w:lang w:val="en-GB"/>
        </w:rPr>
        <w:t>tate's case</w:t>
      </w:r>
      <w:r>
        <w:rPr>
          <w:rFonts w:ascii="Arial" w:hAnsi="Arial" w:cs="Arial"/>
          <w:lang w:val="en-GB"/>
        </w:rPr>
        <w:t xml:space="preserve"> both accused </w:t>
      </w:r>
      <w:r w:rsidRPr="006C4435">
        <w:rPr>
          <w:rFonts w:ascii="Arial" w:hAnsi="Arial" w:cs="Arial"/>
          <w:lang w:val="en-GB"/>
        </w:rPr>
        <w:t xml:space="preserve">applied for discharge on all charges </w:t>
      </w:r>
      <w:r>
        <w:rPr>
          <w:rFonts w:ascii="Arial" w:hAnsi="Arial" w:cs="Arial"/>
          <w:lang w:val="en-GB"/>
        </w:rPr>
        <w:t>t</w:t>
      </w:r>
      <w:r w:rsidRPr="006C4435">
        <w:rPr>
          <w:rFonts w:ascii="Arial" w:hAnsi="Arial" w:cs="Arial"/>
          <w:lang w:val="en-GB"/>
        </w:rPr>
        <w:t xml:space="preserve">o which </w:t>
      </w:r>
      <w:r>
        <w:rPr>
          <w:rFonts w:ascii="Arial" w:hAnsi="Arial" w:cs="Arial"/>
          <w:lang w:val="en-GB"/>
        </w:rPr>
        <w:t xml:space="preserve">they </w:t>
      </w:r>
      <w:r w:rsidRPr="006C4435">
        <w:rPr>
          <w:rFonts w:ascii="Arial" w:hAnsi="Arial" w:cs="Arial"/>
          <w:lang w:val="en-GB"/>
        </w:rPr>
        <w:t xml:space="preserve">had pleaded not guilty. </w:t>
      </w:r>
      <w:r>
        <w:rPr>
          <w:rFonts w:ascii="Arial" w:hAnsi="Arial" w:cs="Arial"/>
          <w:lang w:val="en-GB"/>
        </w:rPr>
        <w:t>The magistrate dismissed the application and postponed the trial to a later date for continuation.</w:t>
      </w:r>
    </w:p>
    <w:p w:rsidR="00D5611D" w:rsidRDefault="00D5611D" w:rsidP="00D5611D">
      <w:pPr>
        <w:pStyle w:val="western"/>
        <w:spacing w:before="0" w:beforeAutospacing="0" w:after="0" w:afterAutospacing="0" w:line="480" w:lineRule="auto"/>
        <w:ind w:hanging="11"/>
        <w:jc w:val="both"/>
        <w:rPr>
          <w:rFonts w:ascii="Arial" w:hAnsi="Arial" w:cs="Arial"/>
          <w:lang w:val="en-GB"/>
        </w:rPr>
      </w:pPr>
    </w:p>
    <w:p w:rsidR="00515DB2" w:rsidRDefault="00515DB2" w:rsidP="00515DB2">
      <w:pPr>
        <w:pStyle w:val="western"/>
        <w:spacing w:after="0" w:afterAutospacing="0" w:line="480" w:lineRule="auto"/>
        <w:ind w:hanging="11"/>
        <w:jc w:val="both"/>
        <w:rPr>
          <w:rFonts w:ascii="Arial" w:hAnsi="Arial" w:cs="Arial"/>
          <w:lang w:val="en-GB"/>
        </w:rPr>
      </w:pPr>
      <w:r>
        <w:rPr>
          <w:rFonts w:ascii="Arial" w:hAnsi="Arial" w:cs="Arial"/>
          <w:lang w:val="en-GB"/>
        </w:rPr>
        <w:t>When the trial resumed, the appellant called one witness, Mr. Mckay, an ex-policem</w:t>
      </w:r>
      <w:r w:rsidR="000B6760">
        <w:rPr>
          <w:rFonts w:ascii="Arial" w:hAnsi="Arial" w:cs="Arial"/>
          <w:lang w:val="en-GB"/>
        </w:rPr>
        <w:t>a</w:t>
      </w:r>
      <w:r>
        <w:rPr>
          <w:rFonts w:ascii="Arial" w:hAnsi="Arial" w:cs="Arial"/>
          <w:lang w:val="en-GB"/>
        </w:rPr>
        <w:t xml:space="preserve">n and detective who </w:t>
      </w:r>
      <w:r w:rsidR="005C3921">
        <w:rPr>
          <w:rFonts w:ascii="Arial" w:hAnsi="Arial" w:cs="Arial"/>
          <w:lang w:val="en-GB"/>
        </w:rPr>
        <w:t>appellant ha</w:t>
      </w:r>
      <w:r w:rsidR="002D6B6A">
        <w:rPr>
          <w:rFonts w:ascii="Arial" w:hAnsi="Arial" w:cs="Arial"/>
          <w:lang w:val="en-GB"/>
        </w:rPr>
        <w:t>d</w:t>
      </w:r>
      <w:r>
        <w:rPr>
          <w:rFonts w:ascii="Arial" w:hAnsi="Arial" w:cs="Arial"/>
          <w:lang w:val="en-GB"/>
        </w:rPr>
        <w:t xml:space="preserve"> asked to do certain investigations on his behalf. The witness during his testimony produced statements that he had procured from certain persons. Some of the statements procured by Mckay contained allegations that the first respondent (presiding officer) and the prosecutor were plotting to f</w:t>
      </w:r>
      <w:r w:rsidR="005C3921">
        <w:rPr>
          <w:rFonts w:ascii="Arial" w:hAnsi="Arial" w:cs="Arial"/>
          <w:lang w:val="en-GB"/>
        </w:rPr>
        <w:t>i</w:t>
      </w:r>
      <w:r>
        <w:rPr>
          <w:rFonts w:ascii="Arial" w:hAnsi="Arial" w:cs="Arial"/>
          <w:lang w:val="en-GB"/>
        </w:rPr>
        <w:t>nd the appellant guilty of the charges h</w:t>
      </w:r>
      <w:r w:rsidR="000B6760">
        <w:rPr>
          <w:rFonts w:ascii="Arial" w:hAnsi="Arial" w:cs="Arial"/>
          <w:lang w:val="en-GB"/>
        </w:rPr>
        <w:t>e</w:t>
      </w:r>
      <w:r>
        <w:rPr>
          <w:rFonts w:ascii="Arial" w:hAnsi="Arial" w:cs="Arial"/>
          <w:lang w:val="en-GB"/>
        </w:rPr>
        <w:t xml:space="preserve"> was facing. In </w:t>
      </w:r>
      <w:r w:rsidR="000B6760">
        <w:rPr>
          <w:rFonts w:ascii="Arial" w:hAnsi="Arial" w:cs="Arial"/>
          <w:lang w:val="en-GB"/>
        </w:rPr>
        <w:t xml:space="preserve">the </w:t>
      </w:r>
      <w:r>
        <w:rPr>
          <w:rFonts w:ascii="Arial" w:hAnsi="Arial" w:cs="Arial"/>
          <w:lang w:val="en-GB"/>
        </w:rPr>
        <w:t xml:space="preserve">light </w:t>
      </w:r>
      <w:r w:rsidR="005C3921">
        <w:rPr>
          <w:rFonts w:ascii="Arial" w:hAnsi="Arial" w:cs="Arial"/>
          <w:lang w:val="en-GB"/>
        </w:rPr>
        <w:t xml:space="preserve">of </w:t>
      </w:r>
      <w:r>
        <w:rPr>
          <w:rFonts w:ascii="Arial" w:hAnsi="Arial" w:cs="Arial"/>
          <w:lang w:val="en-GB"/>
        </w:rPr>
        <w:lastRenderedPageBreak/>
        <w:t xml:space="preserve">these allegations, appellant and tenth respondent brought an application for the recusal of the first respondent alleging that </w:t>
      </w:r>
      <w:r>
        <w:rPr>
          <w:rFonts w:ascii="Arial" w:eastAsia="Calibri" w:hAnsi="Arial" w:cs="Arial"/>
        </w:rPr>
        <w:t>they may not receive a fair trial</w:t>
      </w:r>
      <w:r>
        <w:rPr>
          <w:rFonts w:ascii="Arial" w:hAnsi="Arial" w:cs="Arial"/>
          <w:lang w:val="en-GB"/>
        </w:rPr>
        <w:t xml:space="preserve">. </w:t>
      </w:r>
      <w:bookmarkStart w:id="1" w:name="disp"/>
      <w:bookmarkEnd w:id="1"/>
    </w:p>
    <w:p w:rsidR="00515DB2" w:rsidRPr="00362BC6" w:rsidRDefault="00515DB2" w:rsidP="00D5611D">
      <w:pPr>
        <w:pStyle w:val="western"/>
        <w:spacing w:before="0" w:beforeAutospacing="0" w:after="0" w:afterAutospacing="0" w:line="480" w:lineRule="auto"/>
        <w:ind w:hanging="11"/>
        <w:jc w:val="both"/>
        <w:rPr>
          <w:rFonts w:ascii="Arial" w:hAnsi="Arial" w:cs="Arial"/>
          <w:lang w:val="en-GB"/>
        </w:rPr>
      </w:pPr>
    </w:p>
    <w:p w:rsidR="00515DB2" w:rsidRDefault="00515DB2" w:rsidP="00515DB2">
      <w:pPr>
        <w:rPr>
          <w:rFonts w:eastAsia="Calibri" w:cs="Arial"/>
          <w:szCs w:val="24"/>
        </w:rPr>
      </w:pPr>
      <w:r>
        <w:rPr>
          <w:rFonts w:eastAsia="Calibri" w:cs="Arial"/>
          <w:szCs w:val="24"/>
        </w:rPr>
        <w:t xml:space="preserve">After hearing arguments, the first respondent (presiding officer) dismissed the application on the basis that the appellant and tenth respondent have failed to establish facts </w:t>
      </w:r>
      <w:r w:rsidR="000B6760">
        <w:rPr>
          <w:rFonts w:eastAsia="Calibri" w:cs="Arial"/>
          <w:szCs w:val="24"/>
        </w:rPr>
        <w:t xml:space="preserve">to </w:t>
      </w:r>
      <w:r>
        <w:rPr>
          <w:rFonts w:eastAsia="Calibri" w:cs="Arial"/>
          <w:szCs w:val="24"/>
        </w:rPr>
        <w:t>prove that there existed reasonable apprehension of bias on their part.</w:t>
      </w:r>
      <w:r w:rsidRPr="00E44EFE">
        <w:rPr>
          <w:rFonts w:eastAsia="Calibri" w:cs="Arial"/>
          <w:szCs w:val="24"/>
        </w:rPr>
        <w:t xml:space="preserve"> </w:t>
      </w:r>
      <w:r>
        <w:rPr>
          <w:rFonts w:eastAsia="Calibri" w:cs="Arial"/>
          <w:szCs w:val="24"/>
        </w:rPr>
        <w:t xml:space="preserve">Dissatisfied with this ruling, the appellant and tenth respondent brought a review application in the High Court to set aside </w:t>
      </w:r>
      <w:r w:rsidR="005C3921">
        <w:rPr>
          <w:rFonts w:eastAsia="Calibri" w:cs="Arial"/>
          <w:szCs w:val="24"/>
        </w:rPr>
        <w:t xml:space="preserve">the </w:t>
      </w:r>
      <w:r>
        <w:rPr>
          <w:rFonts w:eastAsia="Calibri" w:cs="Arial"/>
          <w:szCs w:val="24"/>
        </w:rPr>
        <w:t>decision of the first respondent. The High Court dismissed the review application and remitted the matter back to the magistrate’s court to proceed with the criminal trial against the appellant and tenth respondent. It is their dissatisfaction that culminated into this appeal.</w:t>
      </w:r>
    </w:p>
    <w:p w:rsidR="00515DB2" w:rsidRDefault="00515DB2" w:rsidP="00515DB2">
      <w:pPr>
        <w:rPr>
          <w:rFonts w:eastAsia="Calibri" w:cs="Arial"/>
          <w:szCs w:val="24"/>
        </w:rPr>
      </w:pPr>
    </w:p>
    <w:p w:rsidR="00515DB2" w:rsidRDefault="00515DB2" w:rsidP="00515DB2">
      <w:pPr>
        <w:rPr>
          <w:rFonts w:eastAsia="Calibri" w:cs="Arial"/>
          <w:szCs w:val="24"/>
        </w:rPr>
      </w:pPr>
      <w:r>
        <w:rPr>
          <w:rFonts w:eastAsia="Calibri" w:cs="Arial"/>
          <w:i/>
          <w:szCs w:val="24"/>
        </w:rPr>
        <w:t xml:space="preserve">On appeal, </w:t>
      </w:r>
      <w:r>
        <w:rPr>
          <w:rFonts w:eastAsia="Calibri" w:cs="Arial"/>
          <w:szCs w:val="24"/>
        </w:rPr>
        <w:t xml:space="preserve">the appellant argued that the investigation by an official of the Anti-Corruption Commission was flawed. In this respect the appellant contended that the official failed to take </w:t>
      </w:r>
      <w:r w:rsidR="000B6760">
        <w:rPr>
          <w:rFonts w:eastAsia="Calibri" w:cs="Arial"/>
          <w:szCs w:val="24"/>
        </w:rPr>
        <w:t xml:space="preserve">a </w:t>
      </w:r>
      <w:r>
        <w:rPr>
          <w:rFonts w:eastAsia="Calibri" w:cs="Arial"/>
          <w:szCs w:val="24"/>
        </w:rPr>
        <w:t>statement from the owner of the entity</w:t>
      </w:r>
      <w:r w:rsidR="005C3921">
        <w:rPr>
          <w:rFonts w:eastAsia="Calibri" w:cs="Arial"/>
          <w:szCs w:val="24"/>
        </w:rPr>
        <w:t xml:space="preserve"> (Mr Kühn)</w:t>
      </w:r>
      <w:r>
        <w:rPr>
          <w:rFonts w:eastAsia="Calibri" w:cs="Arial"/>
          <w:szCs w:val="24"/>
        </w:rPr>
        <w:t xml:space="preserve"> that had installed the pool who corroborated the versions of the appellant and tenth respondent. The appellant further argued </w:t>
      </w:r>
      <w:r w:rsidR="005C3921">
        <w:rPr>
          <w:rFonts w:eastAsia="Calibri" w:cs="Arial"/>
          <w:szCs w:val="24"/>
        </w:rPr>
        <w:t xml:space="preserve">that </w:t>
      </w:r>
      <w:r>
        <w:rPr>
          <w:rFonts w:eastAsia="Calibri" w:cs="Arial"/>
          <w:szCs w:val="24"/>
        </w:rPr>
        <w:t xml:space="preserve">the prosecutor should not have proceeded with </w:t>
      </w:r>
      <w:r w:rsidR="000B6760">
        <w:rPr>
          <w:rFonts w:eastAsia="Calibri" w:cs="Arial"/>
          <w:szCs w:val="24"/>
        </w:rPr>
        <w:t xml:space="preserve">the </w:t>
      </w:r>
      <w:r>
        <w:rPr>
          <w:rFonts w:eastAsia="Calibri" w:cs="Arial"/>
          <w:szCs w:val="24"/>
        </w:rPr>
        <w:t xml:space="preserve">trial as the Prosecutor-General was unaware of the corroborating version by Mr. Kuhn at the time she made her decision to proceed with the prosecution. Regarding the recusal, the gist of appellant’s argument was basically that the statements presented were sworn statements that indicated untoward conduct of the first respondent and this in itself was sufficient to create a reasonable apprehension of bias.   </w:t>
      </w:r>
    </w:p>
    <w:p w:rsidR="00515DB2" w:rsidRDefault="00515DB2" w:rsidP="00515DB2">
      <w:pPr>
        <w:rPr>
          <w:rFonts w:eastAsia="Calibri" w:cs="Arial"/>
          <w:szCs w:val="24"/>
        </w:rPr>
      </w:pPr>
    </w:p>
    <w:p w:rsidR="00515DB2" w:rsidRDefault="00515DB2" w:rsidP="00515DB2">
      <w:pPr>
        <w:rPr>
          <w:rFonts w:eastAsia="Calibri" w:cs="Arial"/>
          <w:color w:val="000000" w:themeColor="text1"/>
          <w:szCs w:val="24"/>
          <w:lang w:val="en-US"/>
        </w:rPr>
      </w:pPr>
      <w:r>
        <w:rPr>
          <w:rFonts w:eastAsia="Calibri" w:cs="Arial"/>
          <w:color w:val="000000" w:themeColor="text1"/>
          <w:szCs w:val="24"/>
          <w:lang w:val="en-US"/>
        </w:rPr>
        <w:t xml:space="preserve">Court on appeal </w:t>
      </w:r>
      <w:r w:rsidRPr="0067318E">
        <w:rPr>
          <w:rFonts w:eastAsia="Calibri" w:cs="Arial"/>
          <w:i/>
          <w:color w:val="000000" w:themeColor="text1"/>
          <w:szCs w:val="24"/>
          <w:lang w:val="en-US"/>
        </w:rPr>
        <w:t>held</w:t>
      </w:r>
      <w:r>
        <w:rPr>
          <w:rFonts w:eastAsia="Calibri" w:cs="Arial"/>
          <w:color w:val="000000" w:themeColor="text1"/>
          <w:szCs w:val="24"/>
          <w:lang w:val="en-US"/>
        </w:rPr>
        <w:t xml:space="preserve"> that the concern raised against the investigation process </w:t>
      </w:r>
      <w:r w:rsidR="000B6760">
        <w:rPr>
          <w:rFonts w:eastAsia="Calibri" w:cs="Arial"/>
          <w:color w:val="000000" w:themeColor="text1"/>
          <w:szCs w:val="24"/>
          <w:lang w:val="en-US"/>
        </w:rPr>
        <w:t xml:space="preserve">assuming </w:t>
      </w:r>
      <w:r w:rsidR="0022729D">
        <w:rPr>
          <w:rFonts w:eastAsia="Calibri" w:cs="Arial"/>
          <w:color w:val="000000" w:themeColor="text1"/>
          <w:szCs w:val="24"/>
          <w:lang w:val="en-US"/>
        </w:rPr>
        <w:t>an irregularity</w:t>
      </w:r>
      <w:r w:rsidR="000B6760">
        <w:rPr>
          <w:rFonts w:eastAsia="Calibri" w:cs="Arial"/>
          <w:color w:val="000000" w:themeColor="text1"/>
          <w:szCs w:val="24"/>
          <w:lang w:val="en-US"/>
        </w:rPr>
        <w:t xml:space="preserve"> was established, was not of such a nature so as to constitute</w:t>
      </w:r>
      <w:r w:rsidR="0022729D">
        <w:rPr>
          <w:rFonts w:eastAsia="Calibri" w:cs="Arial"/>
          <w:color w:val="000000" w:themeColor="text1"/>
          <w:szCs w:val="24"/>
          <w:lang w:val="en-US"/>
        </w:rPr>
        <w:t xml:space="preserve"> a vitiating</w:t>
      </w:r>
      <w:r w:rsidR="00226B37">
        <w:rPr>
          <w:rFonts w:eastAsia="Calibri" w:cs="Arial"/>
          <w:color w:val="000000" w:themeColor="text1"/>
          <w:szCs w:val="24"/>
          <w:lang w:val="en-US"/>
        </w:rPr>
        <w:t xml:space="preserve"> irregularity. T</w:t>
      </w:r>
      <w:r w:rsidR="0022729D">
        <w:rPr>
          <w:rFonts w:eastAsia="Calibri" w:cs="Arial"/>
          <w:color w:val="000000" w:themeColor="text1"/>
          <w:szCs w:val="24"/>
          <w:lang w:val="en-US"/>
        </w:rPr>
        <w:t xml:space="preserve">he refusal by </w:t>
      </w:r>
      <w:r w:rsidR="000B6760">
        <w:rPr>
          <w:rFonts w:eastAsia="Calibri" w:cs="Arial"/>
          <w:color w:val="000000" w:themeColor="text1"/>
          <w:szCs w:val="24"/>
          <w:lang w:val="en-US"/>
        </w:rPr>
        <w:t xml:space="preserve">the Prosecutor-General to terminate the </w:t>
      </w:r>
      <w:r w:rsidR="000B6760">
        <w:rPr>
          <w:rFonts w:eastAsia="Calibri" w:cs="Arial"/>
          <w:color w:val="000000" w:themeColor="text1"/>
          <w:szCs w:val="24"/>
          <w:lang w:val="en-US"/>
        </w:rPr>
        <w:lastRenderedPageBreak/>
        <w:t xml:space="preserve">proceedings against the appellant and </w:t>
      </w:r>
      <w:r w:rsidR="0022729D">
        <w:rPr>
          <w:rFonts w:eastAsia="Calibri" w:cs="Arial"/>
          <w:color w:val="000000" w:themeColor="text1"/>
          <w:szCs w:val="24"/>
          <w:lang w:val="en-US"/>
        </w:rPr>
        <w:t>tenth</w:t>
      </w:r>
      <w:r w:rsidR="000B6760">
        <w:rPr>
          <w:rFonts w:eastAsia="Calibri" w:cs="Arial"/>
          <w:color w:val="000000" w:themeColor="text1"/>
          <w:szCs w:val="24"/>
          <w:lang w:val="en-US"/>
        </w:rPr>
        <w:t xml:space="preserve"> respondent </w:t>
      </w:r>
      <w:r w:rsidR="0022729D">
        <w:rPr>
          <w:rFonts w:eastAsia="Calibri" w:cs="Arial"/>
          <w:color w:val="000000" w:themeColor="text1"/>
          <w:szCs w:val="24"/>
          <w:lang w:val="en-US"/>
        </w:rPr>
        <w:t>could thus not be faulted.</w:t>
      </w:r>
    </w:p>
    <w:p w:rsidR="00515DB2" w:rsidRDefault="00515DB2" w:rsidP="00515DB2">
      <w:pPr>
        <w:rPr>
          <w:rFonts w:eastAsia="Calibri" w:cs="Arial"/>
          <w:color w:val="000000" w:themeColor="text1"/>
          <w:szCs w:val="24"/>
          <w:lang w:val="en-US"/>
        </w:rPr>
      </w:pPr>
    </w:p>
    <w:p w:rsidR="00515DB2" w:rsidRPr="00E30FBD" w:rsidRDefault="00515DB2" w:rsidP="00515DB2">
      <w:pPr>
        <w:rPr>
          <w:rFonts w:eastAsia="Calibri" w:cs="Arial"/>
          <w:color w:val="000000" w:themeColor="text1"/>
          <w:szCs w:val="24"/>
          <w:lang w:val="en-US"/>
        </w:rPr>
      </w:pPr>
      <w:r>
        <w:rPr>
          <w:rFonts w:eastAsia="Calibri" w:cs="Arial"/>
          <w:color w:val="000000" w:themeColor="text1"/>
          <w:szCs w:val="24"/>
          <w:lang w:val="en-US"/>
        </w:rPr>
        <w:t xml:space="preserve">Court on appeal further </w:t>
      </w:r>
      <w:r w:rsidRPr="0067318E">
        <w:rPr>
          <w:rFonts w:eastAsia="Calibri" w:cs="Arial"/>
          <w:i/>
          <w:color w:val="000000" w:themeColor="text1"/>
          <w:szCs w:val="24"/>
          <w:lang w:val="en-US"/>
        </w:rPr>
        <w:t>held</w:t>
      </w:r>
      <w:r>
        <w:rPr>
          <w:rFonts w:eastAsia="Calibri" w:cs="Arial"/>
          <w:color w:val="000000" w:themeColor="text1"/>
          <w:szCs w:val="24"/>
          <w:lang w:val="en-US"/>
        </w:rPr>
        <w:t xml:space="preserve"> that the statements containing the alleged untoward </w:t>
      </w:r>
      <w:r w:rsidR="005C3921">
        <w:rPr>
          <w:rFonts w:eastAsia="Calibri" w:cs="Arial"/>
          <w:color w:val="000000" w:themeColor="text1"/>
          <w:szCs w:val="24"/>
          <w:lang w:val="en-US"/>
        </w:rPr>
        <w:t xml:space="preserve">conduct </w:t>
      </w:r>
      <w:r>
        <w:rPr>
          <w:rFonts w:eastAsia="Calibri" w:cs="Arial"/>
          <w:color w:val="000000" w:themeColor="text1"/>
          <w:szCs w:val="24"/>
          <w:lang w:val="en-US"/>
        </w:rPr>
        <w:t>of the first respondent amounted to inadmissible hearsay evidence and concluded that the appellant and tenth respondent failed to establish the facts necessary for them to e</w:t>
      </w:r>
      <w:r w:rsidR="000B6760">
        <w:rPr>
          <w:rFonts w:eastAsia="Calibri" w:cs="Arial"/>
          <w:color w:val="000000" w:themeColor="text1"/>
          <w:szCs w:val="24"/>
          <w:lang w:val="en-US"/>
        </w:rPr>
        <w:t>i</w:t>
      </w:r>
      <w:r>
        <w:rPr>
          <w:rFonts w:eastAsia="Calibri" w:cs="Arial"/>
          <w:color w:val="000000" w:themeColor="text1"/>
          <w:szCs w:val="24"/>
          <w:lang w:val="en-US"/>
        </w:rPr>
        <w:t xml:space="preserve">ther infer bias or a reasonable apprehension of bias. The appeal dismissed with costs. </w:t>
      </w:r>
    </w:p>
    <w:p w:rsidR="00B91B6B" w:rsidRDefault="00B91B6B" w:rsidP="00037B8C">
      <w:pPr>
        <w:pBdr>
          <w:bottom w:val="single" w:sz="12" w:space="1" w:color="auto"/>
        </w:pBdr>
        <w:spacing w:line="360" w:lineRule="auto"/>
        <w:rPr>
          <w:rFonts w:cs="Arial"/>
          <w:szCs w:val="24"/>
        </w:rPr>
      </w:pPr>
    </w:p>
    <w:p w:rsidR="00037B8C" w:rsidRDefault="00037B8C" w:rsidP="00037B8C">
      <w:pPr>
        <w:spacing w:line="360" w:lineRule="auto"/>
        <w:jc w:val="center"/>
        <w:rPr>
          <w:rFonts w:cs="Arial"/>
          <w:b/>
          <w:szCs w:val="24"/>
        </w:rPr>
      </w:pPr>
    </w:p>
    <w:p w:rsidR="00037B8C" w:rsidRDefault="00037B8C" w:rsidP="00037B8C">
      <w:pPr>
        <w:spacing w:line="360" w:lineRule="auto"/>
        <w:jc w:val="center"/>
        <w:rPr>
          <w:rFonts w:cs="Arial"/>
          <w:b/>
          <w:szCs w:val="24"/>
        </w:rPr>
      </w:pPr>
      <w:r>
        <w:rPr>
          <w:rFonts w:cs="Arial"/>
          <w:b/>
          <w:szCs w:val="24"/>
        </w:rPr>
        <w:t>APPEAL JUDGMENT</w:t>
      </w:r>
    </w:p>
    <w:p w:rsidR="00037B8C" w:rsidRPr="00037B8C" w:rsidRDefault="00037B8C" w:rsidP="00037B8C">
      <w:pPr>
        <w:spacing w:line="360" w:lineRule="auto"/>
        <w:rPr>
          <w:rFonts w:cs="Arial"/>
          <w:b/>
          <w:szCs w:val="24"/>
        </w:rPr>
      </w:pPr>
      <w:r>
        <w:rPr>
          <w:rFonts w:cs="Arial"/>
          <w:b/>
          <w:szCs w:val="24"/>
        </w:rPr>
        <w:t>___________________________________________________________________</w:t>
      </w:r>
    </w:p>
    <w:p w:rsidR="00037B8C" w:rsidRPr="00037B8C" w:rsidRDefault="00037B8C" w:rsidP="00037B8C">
      <w:pPr>
        <w:spacing w:line="360" w:lineRule="auto"/>
        <w:rPr>
          <w:b/>
        </w:rPr>
      </w:pPr>
    </w:p>
    <w:p w:rsidR="00EC600E" w:rsidRDefault="00242A8E" w:rsidP="00EC600E">
      <w:r>
        <w:t xml:space="preserve">FRANK AJA (MAINGA JA </w:t>
      </w:r>
      <w:r w:rsidR="00EC600E">
        <w:t xml:space="preserve">and </w:t>
      </w:r>
      <w:r>
        <w:t xml:space="preserve">HOFF </w:t>
      </w:r>
      <w:r w:rsidR="00EC600E">
        <w:t>JA concurring)</w:t>
      </w:r>
      <w:r>
        <w:t>:</w:t>
      </w:r>
    </w:p>
    <w:p w:rsidR="00866E5E" w:rsidRPr="00242A8E" w:rsidRDefault="000431A2" w:rsidP="003E26E9">
      <w:pPr>
        <w:rPr>
          <w:rFonts w:ascii="Times New Roman" w:hAnsi="Times New Roman"/>
          <w:u w:val="single"/>
        </w:rPr>
      </w:pPr>
      <w:r w:rsidRPr="00242A8E">
        <w:rPr>
          <w:u w:val="single"/>
        </w:rPr>
        <w:t>Introduction</w:t>
      </w:r>
    </w:p>
    <w:p w:rsidR="00E64C04" w:rsidRDefault="00E64C04" w:rsidP="008603D9">
      <w:pPr>
        <w:pStyle w:val="Heading1"/>
      </w:pPr>
      <w:r>
        <w:t xml:space="preserve"> </w:t>
      </w:r>
      <w:r w:rsidR="002A5523">
        <w:t>The appellant</w:t>
      </w:r>
      <w:r w:rsidR="00064F97">
        <w:t xml:space="preserve"> </w:t>
      </w:r>
      <w:r w:rsidR="00D5611D">
        <w:t xml:space="preserve">(Mr Tobias Aupindi) </w:t>
      </w:r>
      <w:r w:rsidR="00064F97">
        <w:t xml:space="preserve">and </w:t>
      </w:r>
      <w:r w:rsidR="005C3921">
        <w:t>ten</w:t>
      </w:r>
      <w:r w:rsidR="00447F18">
        <w:t>th</w:t>
      </w:r>
      <w:r w:rsidR="00064F97">
        <w:t xml:space="preserve"> respondent</w:t>
      </w:r>
      <w:r w:rsidR="005C3921">
        <w:t xml:space="preserve"> (Mr Antonio Di Savino) </w:t>
      </w:r>
      <w:r w:rsidR="002A5523">
        <w:t xml:space="preserve"> w</w:t>
      </w:r>
      <w:r w:rsidR="00EB4D65">
        <w:t>ere</w:t>
      </w:r>
      <w:r w:rsidR="002A5523">
        <w:t xml:space="preserve"> arraigned in the magistrate’s court on charges under the Anti-Corruption Act</w:t>
      </w:r>
      <w:r w:rsidR="00D5611D">
        <w:t xml:space="preserve"> 8 of 2003 (the Act)</w:t>
      </w:r>
      <w:r w:rsidR="002D6B6A">
        <w:t>.</w:t>
      </w:r>
      <w:r w:rsidR="002A5523">
        <w:t xml:space="preserve"> The charges relate to the </w:t>
      </w:r>
      <w:r w:rsidR="006A0BC3">
        <w:t>furnishing of false information to an investigator of the Ant</w:t>
      </w:r>
      <w:r w:rsidR="00D06C2E">
        <w:t>i</w:t>
      </w:r>
      <w:r w:rsidR="006A0BC3">
        <w:t>-Corruption Commission</w:t>
      </w:r>
      <w:r w:rsidR="00D5611D">
        <w:t xml:space="preserve"> (</w:t>
      </w:r>
      <w:r w:rsidR="00D06C2E">
        <w:t>ACC)</w:t>
      </w:r>
      <w:r w:rsidR="006A0BC3">
        <w:t xml:space="preserve">. It is alleged that </w:t>
      </w:r>
      <w:r w:rsidR="00D5611D">
        <w:t>Aupindi</w:t>
      </w:r>
      <w:r w:rsidR="006A0BC3">
        <w:t xml:space="preserve"> falsely indicated that he paid for a swimming pool installed at </w:t>
      </w:r>
      <w:r w:rsidR="00D06C2E">
        <w:t>his</w:t>
      </w:r>
      <w:r w:rsidR="006A0BC3">
        <w:t xml:space="preserve"> residence when, in fact, </w:t>
      </w:r>
      <w:r w:rsidR="00D5611D">
        <w:t>Di Savino</w:t>
      </w:r>
      <w:r w:rsidR="006A0BC3">
        <w:t xml:space="preserve"> paid for the pool. As far as </w:t>
      </w:r>
      <w:r w:rsidR="00D5611D">
        <w:t>Di Savino</w:t>
      </w:r>
      <w:r w:rsidR="006A0BC3">
        <w:t xml:space="preserve"> is concerned it is alleged that he falsely</w:t>
      </w:r>
      <w:r w:rsidR="0028640A">
        <w:t xml:space="preserve"> denied having paid for the said pool. In the alternative both </w:t>
      </w:r>
      <w:r w:rsidR="00EB013D">
        <w:t xml:space="preserve">of them </w:t>
      </w:r>
      <w:r w:rsidR="0028640A">
        <w:t>were charged with attempting to defeat or obstruct the course of justice by makin</w:t>
      </w:r>
      <w:r w:rsidR="00D5611D">
        <w:t>g the alleged false statements.</w:t>
      </w:r>
    </w:p>
    <w:p w:rsidR="0028640A" w:rsidRDefault="0028640A" w:rsidP="0028640A"/>
    <w:p w:rsidR="0028640A" w:rsidRDefault="00D5611D" w:rsidP="0028640A">
      <w:pPr>
        <w:pStyle w:val="Heading1"/>
      </w:pPr>
      <w:r>
        <w:t xml:space="preserve">In the magistrate’s court, Aupindi was accused no 1 and Di Savino was accused no 2. </w:t>
      </w:r>
      <w:r w:rsidR="0028640A">
        <w:t xml:space="preserve">Both </w:t>
      </w:r>
      <w:r w:rsidR="007C22A4">
        <w:t xml:space="preserve">accused </w:t>
      </w:r>
      <w:r w:rsidR="0028640A">
        <w:t xml:space="preserve">pleaded not guilty to the charges they faced, gave no plea explanations and the trial proceeded. During the course of the trial it became common cause that a business known as LIC Pools installed a swimming pool at the premises of </w:t>
      </w:r>
      <w:r>
        <w:t>Aupindi</w:t>
      </w:r>
      <w:r w:rsidR="0028640A">
        <w:t>. The only conten</w:t>
      </w:r>
      <w:r w:rsidR="00B9165D">
        <w:t xml:space="preserve">tious issue became whether or not </w:t>
      </w:r>
      <w:r>
        <w:t>Aupindi</w:t>
      </w:r>
      <w:r w:rsidR="00EB013D">
        <w:t xml:space="preserve"> </w:t>
      </w:r>
      <w:r w:rsidR="00B9165D">
        <w:t xml:space="preserve">paid LIC Pools N$50,000 </w:t>
      </w:r>
      <w:r w:rsidR="00D06C2E">
        <w:t>which</w:t>
      </w:r>
      <w:r w:rsidR="00B9165D">
        <w:t xml:space="preserve"> was the costs involved in the installation of the pool.  </w:t>
      </w:r>
    </w:p>
    <w:p w:rsidR="00B9165D" w:rsidRDefault="00B9165D" w:rsidP="00B9165D"/>
    <w:p w:rsidR="00B9165D" w:rsidRDefault="00B9165D" w:rsidP="00B9165D">
      <w:pPr>
        <w:pStyle w:val="Heading1"/>
      </w:pPr>
      <w:r>
        <w:t xml:space="preserve">At the end of the State’s case both </w:t>
      </w:r>
      <w:r w:rsidR="00EC1DAE">
        <w:t xml:space="preserve">accused </w:t>
      </w:r>
      <w:r w:rsidR="001E616C">
        <w:t xml:space="preserve">sought </w:t>
      </w:r>
      <w:r w:rsidR="00D5611D">
        <w:t xml:space="preserve">a discharge in terms of         </w:t>
      </w:r>
      <w:r>
        <w:t>s 174 of the Criminal Procedure Act</w:t>
      </w:r>
      <w:r w:rsidR="00D5611D">
        <w:t>, Act 51 of 1977 (</w:t>
      </w:r>
      <w:r>
        <w:t>CPA).</w:t>
      </w:r>
      <w:r w:rsidR="00F946E1">
        <w:t xml:space="preserve"> This application was refused by the magistrate and the trial was postponed to a later date </w:t>
      </w:r>
      <w:r w:rsidR="00D5611D">
        <w:t>for continuation</w:t>
      </w:r>
      <w:r w:rsidR="00F946E1">
        <w:t xml:space="preserve">. When the trial resumed the </w:t>
      </w:r>
      <w:r w:rsidR="00D5611D">
        <w:t xml:space="preserve">legal </w:t>
      </w:r>
      <w:r w:rsidR="00195529">
        <w:t xml:space="preserve">practitioner, </w:t>
      </w:r>
      <w:r w:rsidR="00D5611D">
        <w:t>representing</w:t>
      </w:r>
      <w:r w:rsidR="00195529">
        <w:t xml:space="preserve"> Aupindi</w:t>
      </w:r>
      <w:r w:rsidR="00F946E1">
        <w:t xml:space="preserve"> indicated </w:t>
      </w:r>
      <w:r w:rsidR="00195529">
        <w:t xml:space="preserve">that </w:t>
      </w:r>
      <w:r w:rsidR="00F946E1">
        <w:t xml:space="preserve">he was not going to call </w:t>
      </w:r>
      <w:r w:rsidR="00195529">
        <w:t>Aupindi</w:t>
      </w:r>
      <w:r w:rsidR="00F946E1">
        <w:t xml:space="preserve"> as his first witness. According to the record the following transpired between the magistrate and </w:t>
      </w:r>
      <w:r w:rsidR="00195529">
        <w:t>Aupindi’s legal practitioner</w:t>
      </w:r>
      <w:r w:rsidR="00F946E1">
        <w:t xml:space="preserve">:  </w:t>
      </w:r>
    </w:p>
    <w:p w:rsidR="00431583" w:rsidRDefault="00431583" w:rsidP="00431583"/>
    <w:p w:rsidR="00431583" w:rsidRDefault="00242A8E" w:rsidP="00242A8E">
      <w:pPr>
        <w:spacing w:line="360" w:lineRule="auto"/>
        <w:ind w:left="720"/>
        <w:rPr>
          <w:sz w:val="22"/>
          <w:szCs w:val="22"/>
        </w:rPr>
      </w:pPr>
      <w:r>
        <w:rPr>
          <w:sz w:val="22"/>
          <w:szCs w:val="22"/>
        </w:rPr>
        <w:t>‘</w:t>
      </w:r>
      <w:r w:rsidR="00431583">
        <w:rPr>
          <w:sz w:val="22"/>
          <w:szCs w:val="22"/>
          <w:u w:val="single"/>
        </w:rPr>
        <w:t>Court</w:t>
      </w:r>
      <w:r w:rsidR="00431583">
        <w:rPr>
          <w:sz w:val="22"/>
          <w:szCs w:val="22"/>
        </w:rPr>
        <w:t xml:space="preserve">:  In other words the defence is going to call a witness apart from the accused person himself.  </w:t>
      </w:r>
    </w:p>
    <w:p w:rsidR="00431583" w:rsidRDefault="00431583" w:rsidP="00242A8E">
      <w:pPr>
        <w:spacing w:line="360" w:lineRule="auto"/>
        <w:ind w:left="720"/>
        <w:rPr>
          <w:sz w:val="22"/>
          <w:szCs w:val="22"/>
        </w:rPr>
      </w:pPr>
      <w:r>
        <w:rPr>
          <w:sz w:val="22"/>
          <w:szCs w:val="22"/>
          <w:u w:val="single"/>
        </w:rPr>
        <w:t>Mr Metcalfe:</w:t>
      </w:r>
      <w:r>
        <w:rPr>
          <w:sz w:val="22"/>
          <w:szCs w:val="22"/>
        </w:rPr>
        <w:t xml:space="preserve">  Yes, that is indeed correct.  </w:t>
      </w:r>
    </w:p>
    <w:p w:rsidR="00431583" w:rsidRDefault="00431583" w:rsidP="00242A8E">
      <w:pPr>
        <w:spacing w:line="360" w:lineRule="auto"/>
        <w:ind w:left="720"/>
        <w:rPr>
          <w:sz w:val="22"/>
          <w:szCs w:val="22"/>
        </w:rPr>
      </w:pPr>
      <w:r>
        <w:rPr>
          <w:sz w:val="22"/>
          <w:szCs w:val="22"/>
          <w:u w:val="single"/>
        </w:rPr>
        <w:t>Court:</w:t>
      </w:r>
      <w:r>
        <w:rPr>
          <w:sz w:val="22"/>
          <w:szCs w:val="22"/>
        </w:rPr>
        <w:t xml:space="preserve">  And what will be the situation after that.  </w:t>
      </w:r>
    </w:p>
    <w:p w:rsidR="00431583" w:rsidRDefault="00431583" w:rsidP="00242A8E">
      <w:pPr>
        <w:spacing w:line="360" w:lineRule="auto"/>
        <w:ind w:left="720"/>
        <w:rPr>
          <w:sz w:val="22"/>
          <w:szCs w:val="22"/>
        </w:rPr>
      </w:pPr>
      <w:r>
        <w:rPr>
          <w:sz w:val="22"/>
          <w:szCs w:val="22"/>
          <w:u w:val="single"/>
        </w:rPr>
        <w:t>Mr Metcalfe:</w:t>
      </w:r>
      <w:r>
        <w:rPr>
          <w:sz w:val="22"/>
          <w:szCs w:val="22"/>
        </w:rPr>
        <w:t xml:space="preserve">  We will evaluate after that after we heard the</w:t>
      </w:r>
      <w:r w:rsidR="00242A8E">
        <w:rPr>
          <w:sz w:val="22"/>
          <w:szCs w:val="22"/>
        </w:rPr>
        <w:t xml:space="preserve"> evidence of this witness . . . .’</w:t>
      </w:r>
      <w:r>
        <w:rPr>
          <w:sz w:val="22"/>
          <w:szCs w:val="22"/>
        </w:rPr>
        <w:t xml:space="preserve"> </w:t>
      </w:r>
    </w:p>
    <w:p w:rsidR="00431583" w:rsidRDefault="00431583" w:rsidP="00431583">
      <w:pPr>
        <w:ind w:left="720"/>
        <w:rPr>
          <w:sz w:val="22"/>
          <w:szCs w:val="22"/>
        </w:rPr>
      </w:pPr>
    </w:p>
    <w:p w:rsidR="00431583" w:rsidRDefault="0017183C" w:rsidP="00431583">
      <w:pPr>
        <w:pStyle w:val="Heading1"/>
      </w:pPr>
      <w:r>
        <w:t xml:space="preserve">The witness, Mr McKay was then called to testify. It turned out that he was an ex-policeman and detective who had been asked to do certain investigations on behalf of </w:t>
      </w:r>
      <w:r w:rsidR="00195529">
        <w:t>Aupindi</w:t>
      </w:r>
      <w:r w:rsidR="00BB0855">
        <w:t xml:space="preserve">. </w:t>
      </w:r>
      <w:r>
        <w:t xml:space="preserve">He produced statements he procured from certain persons.  One statement was that of </w:t>
      </w:r>
      <w:r w:rsidR="00195529">
        <w:t xml:space="preserve">Mr </w:t>
      </w:r>
      <w:r>
        <w:t>Michael K</w:t>
      </w:r>
      <w:r w:rsidR="00195529">
        <w:rPr>
          <w:rFonts w:cs="Arial"/>
        </w:rPr>
        <w:t>ü</w:t>
      </w:r>
      <w:r>
        <w:t>hn, the owner of LIC Pools at the time the payment for the swimming pool was made</w:t>
      </w:r>
      <w:r w:rsidR="00D06C2E">
        <w:t>,</w:t>
      </w:r>
      <w:r>
        <w:t xml:space="preserve"> </w:t>
      </w:r>
      <w:r w:rsidR="00E900AA">
        <w:t xml:space="preserve">which statement was to the effect that </w:t>
      </w:r>
      <w:r w:rsidR="00195529">
        <w:t>Aupindi</w:t>
      </w:r>
      <w:r w:rsidR="00E900AA">
        <w:t xml:space="preserve"> indeed paid for the swimming pool in two </w:t>
      </w:r>
      <w:r w:rsidR="00D06C2E">
        <w:t xml:space="preserve">cash </w:t>
      </w:r>
      <w:r w:rsidR="00E900AA">
        <w:t>instalments of N$25,000</w:t>
      </w:r>
      <w:r w:rsidR="00242A8E">
        <w:t xml:space="preserve"> </w:t>
      </w:r>
      <w:r w:rsidR="00E900AA">
        <w:t>each. The other statements were to the effect that the magistrate and the prosecutor made statements indicating that they w</w:t>
      </w:r>
      <w:r w:rsidR="00D06C2E">
        <w:t>ere</w:t>
      </w:r>
      <w:r w:rsidR="00E900AA">
        <w:t xml:space="preserve"> determine</w:t>
      </w:r>
      <w:r w:rsidR="00D06C2E">
        <w:t>d</w:t>
      </w:r>
      <w:r w:rsidR="00E900AA">
        <w:t xml:space="preserve"> to </w:t>
      </w:r>
      <w:r w:rsidR="00D06C2E">
        <w:t>en</w:t>
      </w:r>
      <w:r w:rsidR="00E900AA">
        <w:t>sure that the appellant would be convicted and the magistrate would ensure, at least, a short term of imprisonme</w:t>
      </w:r>
      <w:r w:rsidR="0033517F">
        <w:t xml:space="preserve">nt for </w:t>
      </w:r>
      <w:r w:rsidR="00195529">
        <w:t>Aupindi</w:t>
      </w:r>
      <w:r w:rsidR="0033517F">
        <w:t xml:space="preserve"> upon conviction. As it turned out McKay could give no evidence relevant to the merits of the case against the two </w:t>
      </w:r>
      <w:r w:rsidR="00543A0D">
        <w:t>accused</w:t>
      </w:r>
      <w:r w:rsidR="0033517F">
        <w:t xml:space="preserve">.  </w:t>
      </w:r>
    </w:p>
    <w:p w:rsidR="0033517F" w:rsidRDefault="0033517F" w:rsidP="0033517F"/>
    <w:p w:rsidR="0033517F" w:rsidRDefault="0033517F" w:rsidP="0033517F">
      <w:pPr>
        <w:pStyle w:val="Heading1"/>
      </w:pPr>
      <w:r>
        <w:t>Subsequent to the testimony of McKay</w:t>
      </w:r>
      <w:r w:rsidR="00195529">
        <w:t>,</w:t>
      </w:r>
      <w:r>
        <w:t xml:space="preserve"> the </w:t>
      </w:r>
      <w:r w:rsidR="00195529">
        <w:t>legal practitioners</w:t>
      </w:r>
      <w:r>
        <w:t xml:space="preserve"> of both </w:t>
      </w:r>
      <w:r w:rsidR="00543A0D">
        <w:t>accused</w:t>
      </w:r>
      <w:r>
        <w:t xml:space="preserve"> brought an application for the magistrate to recuse herself from the case. At that stage the prosecutor indicated that he would abide the decision of the magistrate as far as the recu</w:t>
      </w:r>
      <w:r w:rsidR="00BB0855">
        <w:t xml:space="preserve">sal application was concerned. </w:t>
      </w:r>
      <w:r>
        <w:t>The magistrate</w:t>
      </w:r>
      <w:r w:rsidR="00195529">
        <w:t>,</w:t>
      </w:r>
      <w:r>
        <w:t xml:space="preserve"> however</w:t>
      </w:r>
      <w:r w:rsidR="00195529">
        <w:t>,</w:t>
      </w:r>
      <w:r>
        <w:t xml:space="preserve"> decided to postpone the matter </w:t>
      </w:r>
      <w:r w:rsidR="00BF77A9">
        <w:t xml:space="preserve">for her further consideration and </w:t>
      </w:r>
      <w:r w:rsidR="00D06C2E">
        <w:t>when the court reconvened</w:t>
      </w:r>
      <w:r w:rsidR="00195529">
        <w:t>, she</w:t>
      </w:r>
      <w:r w:rsidR="00BF77A9">
        <w:t xml:space="preserve"> indicated that the persons who made the statements implicating her in untoward conduct</w:t>
      </w:r>
      <w:r w:rsidR="00D06C2E">
        <w:t xml:space="preserve"> and one person mentioned in the statements</w:t>
      </w:r>
      <w:r w:rsidR="00BF77A9">
        <w:t xml:space="preserve"> should be subpoenaed as witnesses pursuant to s 186 of the CPA.  </w:t>
      </w:r>
    </w:p>
    <w:p w:rsidR="00BF77A9" w:rsidRDefault="00BF77A9" w:rsidP="00BF77A9"/>
    <w:p w:rsidR="007B2235" w:rsidRDefault="007B2235" w:rsidP="00BF77A9">
      <w:pPr>
        <w:pStyle w:val="Heading1"/>
        <w:rPr>
          <w:szCs w:val="24"/>
        </w:rPr>
      </w:pPr>
      <w:r w:rsidRPr="00951822">
        <w:rPr>
          <w:szCs w:val="24"/>
        </w:rPr>
        <w:t>When the court reconvened the prosecutor informed the court that two of the witnesses subpoenaed were present</w:t>
      </w:r>
      <w:r w:rsidR="005C3921">
        <w:rPr>
          <w:szCs w:val="24"/>
        </w:rPr>
        <w:t>,</w:t>
      </w:r>
      <w:r w:rsidRPr="00951822">
        <w:rPr>
          <w:szCs w:val="24"/>
        </w:rPr>
        <w:t xml:space="preserve"> namely Ms Iyambo and Ms Asheke but that Ms Haidula could not be traced to serve the subpoena on her. Without any of the witnesses who had been subpoenaed being called</w:t>
      </w:r>
      <w:r w:rsidR="005C3921">
        <w:rPr>
          <w:szCs w:val="24"/>
        </w:rPr>
        <w:t>,</w:t>
      </w:r>
      <w:r w:rsidRPr="00951822">
        <w:rPr>
          <w:szCs w:val="24"/>
        </w:rPr>
        <w:t xml:space="preserve"> the </w:t>
      </w:r>
      <w:r w:rsidR="00195529">
        <w:rPr>
          <w:szCs w:val="24"/>
        </w:rPr>
        <w:t>legal practitioner representing Aupindi</w:t>
      </w:r>
      <w:r w:rsidRPr="00951822">
        <w:rPr>
          <w:szCs w:val="24"/>
        </w:rPr>
        <w:t xml:space="preserve"> insisted on being heard on the recusal application and addressed the court in this regard</w:t>
      </w:r>
      <w:r w:rsidR="005C3921">
        <w:rPr>
          <w:szCs w:val="24"/>
        </w:rPr>
        <w:t xml:space="preserve">, </w:t>
      </w:r>
      <w:r w:rsidRPr="00951822">
        <w:rPr>
          <w:szCs w:val="24"/>
        </w:rPr>
        <w:t xml:space="preserve">indicating that s 186 of the CPA was inappropriate and </w:t>
      </w:r>
      <w:r w:rsidR="00715CF4" w:rsidRPr="00951822">
        <w:rPr>
          <w:szCs w:val="24"/>
        </w:rPr>
        <w:t>that calling and questioning these witnesses</w:t>
      </w:r>
      <w:r w:rsidRPr="00951822">
        <w:rPr>
          <w:szCs w:val="24"/>
        </w:rPr>
        <w:t xml:space="preserve"> would involve the magistrate being a judge in her own case. At the end of the address the magistrate indicated that she ha</w:t>
      </w:r>
      <w:r w:rsidR="00715CF4" w:rsidRPr="00951822">
        <w:rPr>
          <w:szCs w:val="24"/>
        </w:rPr>
        <w:t>d</w:t>
      </w:r>
      <w:r w:rsidRPr="00951822">
        <w:rPr>
          <w:szCs w:val="24"/>
        </w:rPr>
        <w:t xml:space="preserve"> refused the recusal application. When the </w:t>
      </w:r>
      <w:r w:rsidR="00195529">
        <w:rPr>
          <w:szCs w:val="24"/>
        </w:rPr>
        <w:t>legal practitioner appearing on behalf of Di Savino</w:t>
      </w:r>
      <w:r w:rsidRPr="00951822">
        <w:rPr>
          <w:szCs w:val="24"/>
        </w:rPr>
        <w:t xml:space="preserve"> sought a postponement to approach the High Court in respect of the decision not to recuse her</w:t>
      </w:r>
      <w:r w:rsidR="005C3921">
        <w:rPr>
          <w:szCs w:val="24"/>
        </w:rPr>
        <w:t>self</w:t>
      </w:r>
      <w:r w:rsidRPr="00951822">
        <w:rPr>
          <w:szCs w:val="24"/>
        </w:rPr>
        <w:t>, the magistrate postponed the matter but warned the witnesses subpoenaed that they would be contacted when the matter is to proceed again. It seems that despite her refusal to recuse herself she still intended calling those witnesses. Nevertheless</w:t>
      </w:r>
      <w:r w:rsidR="00195529">
        <w:rPr>
          <w:szCs w:val="24"/>
        </w:rPr>
        <w:t>,</w:t>
      </w:r>
      <w:r w:rsidRPr="00951822">
        <w:rPr>
          <w:szCs w:val="24"/>
        </w:rPr>
        <w:t xml:space="preserve"> this was the state of proceedings when the review </w:t>
      </w:r>
      <w:r w:rsidR="00951822" w:rsidRPr="00951822">
        <w:rPr>
          <w:szCs w:val="24"/>
        </w:rPr>
        <w:t xml:space="preserve">application </w:t>
      </w:r>
      <w:r w:rsidRPr="00951822">
        <w:rPr>
          <w:szCs w:val="24"/>
        </w:rPr>
        <w:t>was launched</w:t>
      </w:r>
      <w:r w:rsidR="00951822" w:rsidRPr="00951822">
        <w:rPr>
          <w:szCs w:val="24"/>
        </w:rPr>
        <w:t xml:space="preserve"> by both accused persons who then became the two applicants in this application.  </w:t>
      </w:r>
    </w:p>
    <w:p w:rsidR="00951822" w:rsidRPr="00951822" w:rsidRDefault="00951822" w:rsidP="00951822"/>
    <w:p w:rsidR="00C4222E" w:rsidRDefault="00F121F5" w:rsidP="00C4222E">
      <w:pPr>
        <w:pStyle w:val="Heading1"/>
      </w:pPr>
      <w:r>
        <w:t xml:space="preserve">What is clear, is that </w:t>
      </w:r>
      <w:r w:rsidR="00951822">
        <w:t>the magistrate’s</w:t>
      </w:r>
      <w:r>
        <w:t xml:space="preserve"> attitude was that she would not recuse herself simply based on the statements that were handed in and wanted to hear the evidence of the people who made these statements so as to determine whether she should recuse herself. I</w:t>
      </w:r>
      <w:r w:rsidR="00582A44">
        <w:t>t must be pointed out that the stance of the prosecution ha</w:t>
      </w:r>
      <w:r w:rsidR="00951822">
        <w:t>d</w:t>
      </w:r>
      <w:r w:rsidR="00582A44">
        <w:t xml:space="preserve"> also changed </w:t>
      </w:r>
      <w:r w:rsidR="00951822">
        <w:t xml:space="preserve">by then </w:t>
      </w:r>
      <w:r w:rsidR="00582A44">
        <w:t xml:space="preserve">from one where it abided the decision of the magistrate to one where it insisted it should be granted an opportunity to deal with the allegations contained in the statements handed in by McKay.  </w:t>
      </w:r>
    </w:p>
    <w:p w:rsidR="00C4222E" w:rsidRPr="00C4222E" w:rsidRDefault="00C4222E" w:rsidP="00C4222E"/>
    <w:p w:rsidR="00582A44" w:rsidRDefault="00582A44" w:rsidP="00C4222E">
      <w:pPr>
        <w:pStyle w:val="Heading1"/>
      </w:pPr>
      <w:r>
        <w:t>At the juncture when the magistrate indicated that the witnesses to the statements handed in by McKay had to be subpoenaed and adjourned the trial for this purpose</w:t>
      </w:r>
      <w:r w:rsidR="00195529">
        <w:t>,</w:t>
      </w:r>
      <w:r w:rsidR="00410C54">
        <w:t xml:space="preserve"> </w:t>
      </w:r>
      <w:r w:rsidR="007B2235">
        <w:t>t</w:t>
      </w:r>
      <w:r w:rsidR="00410C54">
        <w:t xml:space="preserve">he </w:t>
      </w:r>
      <w:r w:rsidR="00195529">
        <w:t>legal practitioner for Aupindi</w:t>
      </w:r>
      <w:r w:rsidR="00410C54">
        <w:t xml:space="preserve"> approached the Prosecutor-General to stop the prosecution. This was premised on the fact that her office was </w:t>
      </w:r>
      <w:r w:rsidR="00951822">
        <w:t xml:space="preserve">allegedly </w:t>
      </w:r>
      <w:r w:rsidR="00410C54">
        <w:t xml:space="preserve">not informed of Mr Michael Kuhn’s version which in fact </w:t>
      </w:r>
      <w:r w:rsidR="00754DA2">
        <w:t xml:space="preserve">corroborated the version of </w:t>
      </w:r>
      <w:r w:rsidR="00195529">
        <w:t>Aupindi</w:t>
      </w:r>
      <w:r w:rsidR="00754DA2">
        <w:t xml:space="preserve"> that he paid for the pool in cash in two instalments and that as a statement </w:t>
      </w:r>
      <w:r w:rsidR="00754DA2" w:rsidRPr="00C4222E">
        <w:t xml:space="preserve">was not obtained from </w:t>
      </w:r>
      <w:r w:rsidR="00754DA2">
        <w:t>K</w:t>
      </w:r>
      <w:r w:rsidR="00195529">
        <w:rPr>
          <w:rFonts w:cs="Arial"/>
        </w:rPr>
        <w:t>ü</w:t>
      </w:r>
      <w:r w:rsidR="00754DA2">
        <w:t xml:space="preserve">hn by the investigator, she made the decision to prosecute without </w:t>
      </w:r>
      <w:r w:rsidR="007B2235">
        <w:t>being in possession or with</w:t>
      </w:r>
      <w:r w:rsidR="00226B37">
        <w:t>out</w:t>
      </w:r>
      <w:r w:rsidR="007B2235">
        <w:t xml:space="preserve"> regard to </w:t>
      </w:r>
      <w:r w:rsidR="00754DA2">
        <w:t>this information.</w:t>
      </w:r>
      <w:r w:rsidR="007B2235">
        <w:t xml:space="preserve"> Implicit in this ground was the suggestion that had the Prosecutor-General been aware of this evidence the decision to prosecute the </w:t>
      </w:r>
      <w:r w:rsidR="00090856">
        <w:t>accused</w:t>
      </w:r>
      <w:r w:rsidR="007B2235">
        <w:t xml:space="preserve"> would not have been made</w:t>
      </w:r>
      <w:r w:rsidR="00F93072">
        <w:t xml:space="preserve"> and that such statement was </w:t>
      </w:r>
      <w:r w:rsidR="0022729D">
        <w:t>destructive o</w:t>
      </w:r>
      <w:r w:rsidR="00F93072">
        <w:t xml:space="preserve">f the prosecution’s case, </w:t>
      </w:r>
      <w:r w:rsidR="0022729D">
        <w:t xml:space="preserve">even </w:t>
      </w:r>
      <w:r w:rsidR="00F93072">
        <w:t xml:space="preserve">subsequent to the refusal of the application </w:t>
      </w:r>
      <w:r w:rsidR="0022729D">
        <w:t>for a discharge.</w:t>
      </w:r>
      <w:r w:rsidR="007B2235">
        <w:t xml:space="preserve"> </w:t>
      </w:r>
      <w:r w:rsidR="00754DA2">
        <w:t>The other basis for</w:t>
      </w:r>
      <w:r w:rsidR="006C0352">
        <w:t xml:space="preserve"> imploring the Prosecutor-General to stop the prosecution was the fact that the magistrate refused to recuse herself and had decided that the witnesses inculpating her in misconduct had to be subpoenaed. The Prosecutor-General refused to stop the prosecution on the basis that the magistrate’s refusal to grant</w:t>
      </w:r>
      <w:r w:rsidR="003104B3">
        <w:t xml:space="preserve"> a discharge after the State’s case, indicated that a </w:t>
      </w:r>
      <w:r w:rsidR="003104B3" w:rsidRPr="00C4222E">
        <w:rPr>
          <w:i/>
        </w:rPr>
        <w:t>prima facie</w:t>
      </w:r>
      <w:r w:rsidR="003104B3">
        <w:t xml:space="preserve"> </w:t>
      </w:r>
      <w:r w:rsidR="00195529">
        <w:t xml:space="preserve">case </w:t>
      </w:r>
      <w:r w:rsidR="003104B3">
        <w:t xml:space="preserve">against </w:t>
      </w:r>
      <w:r w:rsidR="00195529">
        <w:t xml:space="preserve">both </w:t>
      </w:r>
      <w:r w:rsidR="003104B3">
        <w:t xml:space="preserve">the </w:t>
      </w:r>
      <w:r w:rsidR="00345548">
        <w:t xml:space="preserve">accused </w:t>
      </w:r>
      <w:r w:rsidR="003104B3">
        <w:t xml:space="preserve">had been established by the State.  </w:t>
      </w:r>
    </w:p>
    <w:p w:rsidR="003104B3" w:rsidRDefault="003104B3" w:rsidP="003104B3"/>
    <w:p w:rsidR="003104B3" w:rsidRDefault="003104B3" w:rsidP="003104B3">
      <w:pPr>
        <w:pStyle w:val="Heading1"/>
      </w:pPr>
      <w:r>
        <w:t>The upshot of the above was an application to the High Court where the following relief was sought</w:t>
      </w:r>
      <w:r w:rsidR="007B2235">
        <w:t xml:space="preserve">, namely that the respondents had to show cause </w:t>
      </w:r>
      <w:r w:rsidR="00BB0855">
        <w:t>‘</w:t>
      </w:r>
      <w:r w:rsidR="007B2235">
        <w:t>why an order in the following terms ----- should not be made</w:t>
      </w:r>
      <w:r w:rsidR="00BB0855">
        <w:t>’</w:t>
      </w:r>
      <w:r>
        <w:t xml:space="preserve">:  </w:t>
      </w:r>
    </w:p>
    <w:p w:rsidR="00C45577" w:rsidRDefault="00C45577" w:rsidP="00C45577"/>
    <w:p w:rsidR="00C45577" w:rsidRDefault="00BB0855" w:rsidP="00BB0855">
      <w:pPr>
        <w:spacing w:line="360" w:lineRule="auto"/>
        <w:ind w:left="1440" w:hanging="720"/>
        <w:rPr>
          <w:sz w:val="22"/>
          <w:szCs w:val="22"/>
        </w:rPr>
      </w:pPr>
      <w:r>
        <w:rPr>
          <w:sz w:val="22"/>
          <w:szCs w:val="22"/>
        </w:rPr>
        <w:t>‘</w:t>
      </w:r>
      <w:r w:rsidR="00C45577">
        <w:rPr>
          <w:sz w:val="22"/>
          <w:szCs w:val="22"/>
        </w:rPr>
        <w:t>1.</w:t>
      </w:r>
      <w:r w:rsidR="00C45577">
        <w:rPr>
          <w:sz w:val="22"/>
          <w:szCs w:val="22"/>
        </w:rPr>
        <w:tab/>
        <w:t>That the criminal proceedings conducted before</w:t>
      </w:r>
      <w:r w:rsidR="00791B8E">
        <w:rPr>
          <w:sz w:val="22"/>
          <w:szCs w:val="22"/>
        </w:rPr>
        <w:t xml:space="preserve"> the first respondent under case number WKH-CRIM 26731/11, in the Magistrate’s Court for the District of Windhoek, held at Windhoek (“the proceedings”) should not be set aside or reviewed and set aside with immediate effect, and with the effect that the applicants are acquitted on all the charges proffered against them in the proceedings.  </w:t>
      </w:r>
    </w:p>
    <w:p w:rsidR="00791B8E" w:rsidRDefault="00791B8E" w:rsidP="00BB0855">
      <w:pPr>
        <w:spacing w:line="360" w:lineRule="auto"/>
        <w:ind w:left="1440" w:hanging="720"/>
        <w:rPr>
          <w:sz w:val="22"/>
          <w:szCs w:val="22"/>
        </w:rPr>
      </w:pPr>
    </w:p>
    <w:p w:rsidR="00791B8E" w:rsidRDefault="00791B8E" w:rsidP="00BB0855">
      <w:pPr>
        <w:spacing w:line="360" w:lineRule="auto"/>
        <w:ind w:left="1440" w:hanging="720"/>
        <w:rPr>
          <w:sz w:val="22"/>
          <w:szCs w:val="22"/>
        </w:rPr>
      </w:pPr>
      <w:r>
        <w:rPr>
          <w:sz w:val="22"/>
          <w:szCs w:val="22"/>
        </w:rPr>
        <w:t>2.</w:t>
      </w:r>
      <w:r>
        <w:rPr>
          <w:sz w:val="22"/>
          <w:szCs w:val="22"/>
        </w:rPr>
        <w:tab/>
        <w:t xml:space="preserve">In the alternative to prayer 1 above, that the applicants shall be released from the proceedings and any prosecution in terms thereof and to the effect that:  </w:t>
      </w:r>
    </w:p>
    <w:p w:rsidR="00791B8E" w:rsidRDefault="00791B8E" w:rsidP="00BB0855">
      <w:pPr>
        <w:spacing w:line="360" w:lineRule="auto"/>
        <w:ind w:left="2160" w:hanging="720"/>
        <w:rPr>
          <w:sz w:val="22"/>
          <w:szCs w:val="22"/>
        </w:rPr>
      </w:pPr>
      <w:r>
        <w:rPr>
          <w:sz w:val="22"/>
          <w:szCs w:val="22"/>
        </w:rPr>
        <w:t>2.1</w:t>
      </w:r>
      <w:r>
        <w:rPr>
          <w:sz w:val="22"/>
          <w:szCs w:val="22"/>
        </w:rPr>
        <w:tab/>
      </w:r>
      <w:r w:rsidR="004D6CE2">
        <w:rPr>
          <w:sz w:val="22"/>
          <w:szCs w:val="22"/>
        </w:rPr>
        <w:t>T</w:t>
      </w:r>
      <w:r>
        <w:rPr>
          <w:sz w:val="22"/>
          <w:szCs w:val="22"/>
        </w:rPr>
        <w:t xml:space="preserve">hey are acquitted on all charges proffered against them in and </w:t>
      </w:r>
      <w:r w:rsidR="004D6CE2">
        <w:rPr>
          <w:sz w:val="22"/>
          <w:szCs w:val="22"/>
        </w:rPr>
        <w:t>under the proceedings; or</w:t>
      </w:r>
    </w:p>
    <w:p w:rsidR="004D6CE2" w:rsidRDefault="004D6CE2" w:rsidP="00BB0855">
      <w:pPr>
        <w:spacing w:line="360" w:lineRule="auto"/>
        <w:ind w:left="2160" w:hanging="720"/>
        <w:rPr>
          <w:sz w:val="22"/>
          <w:szCs w:val="22"/>
        </w:rPr>
      </w:pPr>
    </w:p>
    <w:p w:rsidR="004D6CE2" w:rsidRDefault="004D6CE2" w:rsidP="00BB0855">
      <w:pPr>
        <w:spacing w:line="360" w:lineRule="auto"/>
        <w:ind w:left="2160" w:hanging="720"/>
        <w:rPr>
          <w:sz w:val="22"/>
          <w:szCs w:val="22"/>
        </w:rPr>
      </w:pPr>
      <w:r>
        <w:rPr>
          <w:sz w:val="22"/>
          <w:szCs w:val="22"/>
        </w:rPr>
        <w:t>2.2</w:t>
      </w:r>
      <w:r>
        <w:rPr>
          <w:sz w:val="22"/>
          <w:szCs w:val="22"/>
        </w:rPr>
        <w:tab/>
        <w:t xml:space="preserve">A permanent stay of prosecution be granted in respect of the charges </w:t>
      </w:r>
      <w:r w:rsidR="00EB55DC">
        <w:rPr>
          <w:sz w:val="22"/>
          <w:szCs w:val="22"/>
        </w:rPr>
        <w:t xml:space="preserve">proffered against the applicants in and under the proceedings.  </w:t>
      </w:r>
    </w:p>
    <w:p w:rsidR="00EB55DC" w:rsidRDefault="00EB55DC" w:rsidP="00BB0855">
      <w:pPr>
        <w:spacing w:line="360" w:lineRule="auto"/>
        <w:rPr>
          <w:sz w:val="22"/>
          <w:szCs w:val="22"/>
        </w:rPr>
      </w:pPr>
    </w:p>
    <w:p w:rsidR="00EB55DC" w:rsidRDefault="00EB55DC" w:rsidP="00BB0855">
      <w:pPr>
        <w:spacing w:line="360" w:lineRule="auto"/>
        <w:rPr>
          <w:sz w:val="22"/>
          <w:szCs w:val="22"/>
        </w:rPr>
      </w:pPr>
      <w:r>
        <w:rPr>
          <w:sz w:val="22"/>
          <w:szCs w:val="22"/>
        </w:rPr>
        <w:tab/>
        <w:t>3.</w:t>
      </w:r>
      <w:r>
        <w:rPr>
          <w:sz w:val="22"/>
          <w:szCs w:val="22"/>
        </w:rPr>
        <w:tab/>
        <w:t xml:space="preserve">In the further alternative to prayers 1 and 2 </w:t>
      </w:r>
      <w:r>
        <w:rPr>
          <w:i/>
          <w:sz w:val="22"/>
          <w:szCs w:val="22"/>
        </w:rPr>
        <w:t>supra</w:t>
      </w:r>
      <w:r>
        <w:rPr>
          <w:sz w:val="22"/>
          <w:szCs w:val="22"/>
        </w:rPr>
        <w:t xml:space="preserve">:  </w:t>
      </w:r>
    </w:p>
    <w:p w:rsidR="00EB55DC" w:rsidRDefault="00EB55DC" w:rsidP="00BB0855">
      <w:pPr>
        <w:spacing w:line="360" w:lineRule="auto"/>
        <w:rPr>
          <w:sz w:val="22"/>
          <w:szCs w:val="22"/>
        </w:rPr>
      </w:pPr>
    </w:p>
    <w:p w:rsidR="00EB55DC" w:rsidRDefault="00EB55DC" w:rsidP="00BB0855">
      <w:pPr>
        <w:spacing w:line="360" w:lineRule="auto"/>
        <w:ind w:left="2160" w:hanging="720"/>
        <w:rPr>
          <w:sz w:val="22"/>
          <w:szCs w:val="22"/>
        </w:rPr>
      </w:pPr>
      <w:r>
        <w:rPr>
          <w:sz w:val="22"/>
          <w:szCs w:val="22"/>
        </w:rPr>
        <w:t>3.1</w:t>
      </w:r>
      <w:r>
        <w:rPr>
          <w:sz w:val="22"/>
          <w:szCs w:val="22"/>
        </w:rPr>
        <w:tab/>
        <w:t xml:space="preserve">That the first respondent’s decision not to recuse herself as the presiding magistrate in and over the proceedings, be reviewed and set aside by the above Honourable Court, alternatively that such decision be declared null and void as being in conflict with the Namibian Constitution and be set aside on that basis;  </w:t>
      </w:r>
    </w:p>
    <w:p w:rsidR="00EB55DC" w:rsidRDefault="00EB55DC" w:rsidP="00BB0855">
      <w:pPr>
        <w:spacing w:line="360" w:lineRule="auto"/>
        <w:ind w:left="2160" w:hanging="720"/>
        <w:rPr>
          <w:sz w:val="22"/>
          <w:szCs w:val="22"/>
        </w:rPr>
      </w:pPr>
    </w:p>
    <w:p w:rsidR="00EB55DC" w:rsidRDefault="00EB55DC" w:rsidP="00BB0855">
      <w:pPr>
        <w:spacing w:line="360" w:lineRule="auto"/>
        <w:ind w:left="2160" w:hanging="720"/>
        <w:rPr>
          <w:sz w:val="22"/>
          <w:szCs w:val="22"/>
        </w:rPr>
      </w:pPr>
      <w:r>
        <w:rPr>
          <w:sz w:val="22"/>
          <w:szCs w:val="22"/>
        </w:rPr>
        <w:t>3.2</w:t>
      </w:r>
      <w:r>
        <w:rPr>
          <w:sz w:val="22"/>
          <w:szCs w:val="22"/>
        </w:rPr>
        <w:tab/>
        <w:t xml:space="preserve">That the above Honourable Court decides that the first respondent recuses herself from presiding in and over the proceedings and that any decision taken by her not to recuse herself as presiding magistrate in the proceedings, </w:t>
      </w:r>
      <w:r w:rsidR="00F500C3">
        <w:rPr>
          <w:sz w:val="22"/>
          <w:szCs w:val="22"/>
        </w:rPr>
        <w:t xml:space="preserve">be substituted by the aforementioned decision taken by this Honourable Court;  </w:t>
      </w:r>
    </w:p>
    <w:p w:rsidR="00F500C3" w:rsidRDefault="00F500C3" w:rsidP="00BB0855">
      <w:pPr>
        <w:spacing w:line="360" w:lineRule="auto"/>
        <w:ind w:left="2160" w:hanging="720"/>
        <w:rPr>
          <w:sz w:val="22"/>
          <w:szCs w:val="22"/>
        </w:rPr>
      </w:pPr>
    </w:p>
    <w:p w:rsidR="00F500C3" w:rsidRDefault="00F500C3" w:rsidP="00BB0855">
      <w:pPr>
        <w:spacing w:line="360" w:lineRule="auto"/>
        <w:ind w:left="2160" w:hanging="720"/>
        <w:rPr>
          <w:sz w:val="22"/>
          <w:szCs w:val="22"/>
        </w:rPr>
      </w:pPr>
      <w:r>
        <w:rPr>
          <w:sz w:val="22"/>
          <w:szCs w:val="22"/>
        </w:rPr>
        <w:t>3.3</w:t>
      </w:r>
      <w:r>
        <w:rPr>
          <w:sz w:val="22"/>
          <w:szCs w:val="22"/>
        </w:rPr>
        <w:tab/>
        <w:t xml:space="preserve">Alternatively to prayers 3.1 and 3.2 above (and only in the event that it be found that the first respondent has not yet taken a decision in respect of the application made in the proceedings for her recusal), that the first respondent be directed to recuse herself as presiding magistrate in the proceedings.  </w:t>
      </w:r>
    </w:p>
    <w:p w:rsidR="00F500C3" w:rsidRDefault="00F500C3" w:rsidP="00BB0855">
      <w:pPr>
        <w:spacing w:line="360" w:lineRule="auto"/>
        <w:rPr>
          <w:sz w:val="22"/>
          <w:szCs w:val="22"/>
        </w:rPr>
      </w:pPr>
    </w:p>
    <w:p w:rsidR="00F500C3" w:rsidRDefault="00F500C3" w:rsidP="00BB0855">
      <w:pPr>
        <w:spacing w:line="360" w:lineRule="auto"/>
        <w:ind w:left="1440" w:hanging="720"/>
        <w:rPr>
          <w:sz w:val="22"/>
          <w:szCs w:val="22"/>
        </w:rPr>
      </w:pPr>
      <w:r>
        <w:rPr>
          <w:sz w:val="22"/>
          <w:szCs w:val="22"/>
        </w:rPr>
        <w:t>4.</w:t>
      </w:r>
      <w:r>
        <w:rPr>
          <w:sz w:val="22"/>
          <w:szCs w:val="22"/>
        </w:rPr>
        <w:tab/>
        <w:t xml:space="preserve">That </w:t>
      </w:r>
      <w:r w:rsidR="00083986">
        <w:rPr>
          <w:sz w:val="22"/>
          <w:szCs w:val="22"/>
        </w:rPr>
        <w:t xml:space="preserve">costs of this application be awarded against those respondents electing to oppose same, which shall include the costs of one instructing and two instructed counsel.  In the event </w:t>
      </w:r>
      <w:r w:rsidR="00403667">
        <w:rPr>
          <w:sz w:val="22"/>
          <w:szCs w:val="22"/>
        </w:rPr>
        <w:t xml:space="preserve">of more than one respondent opposing the application, such costs are sought against all such respondents electing to oppose the application, jointly and severally, the one to pay the other to be absolved.  </w:t>
      </w:r>
    </w:p>
    <w:p w:rsidR="00403667" w:rsidRDefault="00403667" w:rsidP="00BB0855">
      <w:pPr>
        <w:spacing w:line="360" w:lineRule="auto"/>
        <w:ind w:left="1440" w:hanging="720"/>
        <w:rPr>
          <w:sz w:val="22"/>
          <w:szCs w:val="22"/>
        </w:rPr>
      </w:pPr>
    </w:p>
    <w:p w:rsidR="00403667" w:rsidRDefault="00403667" w:rsidP="00BB0855">
      <w:pPr>
        <w:spacing w:line="360" w:lineRule="auto"/>
        <w:ind w:left="1440" w:hanging="720"/>
        <w:rPr>
          <w:sz w:val="22"/>
          <w:szCs w:val="22"/>
        </w:rPr>
      </w:pPr>
      <w:r>
        <w:rPr>
          <w:sz w:val="22"/>
          <w:szCs w:val="22"/>
        </w:rPr>
        <w:t>5.</w:t>
      </w:r>
      <w:r>
        <w:rPr>
          <w:sz w:val="22"/>
          <w:szCs w:val="22"/>
        </w:rPr>
        <w:tab/>
        <w:t>Further or alternative relief.</w:t>
      </w:r>
      <w:r w:rsidR="00BB0855">
        <w:rPr>
          <w:sz w:val="22"/>
          <w:szCs w:val="22"/>
        </w:rPr>
        <w:t>’</w:t>
      </w:r>
      <w:r>
        <w:rPr>
          <w:sz w:val="22"/>
          <w:szCs w:val="22"/>
        </w:rPr>
        <w:t xml:space="preserve"> </w:t>
      </w:r>
    </w:p>
    <w:p w:rsidR="00403667" w:rsidRDefault="00403667" w:rsidP="00083986">
      <w:pPr>
        <w:ind w:left="1440" w:hanging="720"/>
        <w:rPr>
          <w:sz w:val="22"/>
          <w:szCs w:val="22"/>
        </w:rPr>
      </w:pPr>
    </w:p>
    <w:p w:rsidR="00403667" w:rsidRDefault="00403667" w:rsidP="00403667">
      <w:pPr>
        <w:pStyle w:val="Heading1"/>
      </w:pPr>
      <w:r>
        <w:t xml:space="preserve">The review application was dismissed by the High Court and the judge who heard the matter </w:t>
      </w:r>
      <w:r w:rsidR="00941DF4">
        <w:t>concluded as follows</w:t>
      </w:r>
      <w:r>
        <w:t xml:space="preserve">:  </w:t>
      </w:r>
    </w:p>
    <w:p w:rsidR="00403667" w:rsidRDefault="00403667" w:rsidP="00403667"/>
    <w:p w:rsidR="00941DF4" w:rsidRDefault="00BB0855" w:rsidP="00BB0855">
      <w:pPr>
        <w:spacing w:line="360" w:lineRule="auto"/>
        <w:ind w:left="720"/>
        <w:rPr>
          <w:sz w:val="22"/>
          <w:szCs w:val="22"/>
        </w:rPr>
      </w:pPr>
      <w:r>
        <w:rPr>
          <w:sz w:val="22"/>
          <w:szCs w:val="22"/>
        </w:rPr>
        <w:t>‘</w:t>
      </w:r>
      <w:r w:rsidR="00941DF4">
        <w:rPr>
          <w:sz w:val="22"/>
          <w:szCs w:val="22"/>
        </w:rPr>
        <w:t>[16]</w:t>
      </w:r>
      <w:r w:rsidR="00941DF4">
        <w:rPr>
          <w:sz w:val="22"/>
          <w:szCs w:val="22"/>
        </w:rPr>
        <w:tab/>
        <w:t xml:space="preserve">It is further sufficient to say that nothing was put before the court in argument to show that any grave injustice or failure of justice is likely to ensue if the criminal trial against appellants proceeds before the first respondent. An application was not brought for the stay in prosecution as required by law and if prejudice, both financially, socially and reputational and emphasised by the second applicant in his affidavit is the pillar for this review application, it would be prudent for the applicants to present their case and have the matter finalised.  Remedies of appeal and review would in that event be available to the applicants.  </w:t>
      </w:r>
    </w:p>
    <w:p w:rsidR="00941DF4" w:rsidRDefault="00941DF4" w:rsidP="00BB0855">
      <w:pPr>
        <w:spacing w:line="360" w:lineRule="auto"/>
        <w:ind w:left="720"/>
        <w:rPr>
          <w:sz w:val="22"/>
          <w:szCs w:val="22"/>
        </w:rPr>
      </w:pPr>
    </w:p>
    <w:p w:rsidR="00941DF4" w:rsidRDefault="00941DF4" w:rsidP="00BB0855">
      <w:pPr>
        <w:spacing w:line="360" w:lineRule="auto"/>
        <w:ind w:left="720"/>
        <w:rPr>
          <w:sz w:val="22"/>
          <w:szCs w:val="22"/>
        </w:rPr>
      </w:pPr>
      <w:r>
        <w:rPr>
          <w:sz w:val="22"/>
          <w:szCs w:val="22"/>
        </w:rPr>
        <w:t>[17]</w:t>
      </w:r>
      <w:r>
        <w:rPr>
          <w:sz w:val="22"/>
          <w:szCs w:val="22"/>
        </w:rPr>
        <w:tab/>
        <w:t xml:space="preserve">It is thus justified to remit the matter back to the magistrate’s court for the </w:t>
      </w:r>
      <w:r w:rsidR="000F16A8">
        <w:rPr>
          <w:sz w:val="22"/>
          <w:szCs w:val="22"/>
        </w:rPr>
        <w:t>c</w:t>
      </w:r>
      <w:r>
        <w:rPr>
          <w:sz w:val="22"/>
          <w:szCs w:val="22"/>
        </w:rPr>
        <w:t xml:space="preserve">riminal trial to be finalised and it is so ordered.  </w:t>
      </w:r>
    </w:p>
    <w:p w:rsidR="000F16A8" w:rsidRDefault="000F16A8" w:rsidP="00BB0855">
      <w:pPr>
        <w:spacing w:line="360" w:lineRule="auto"/>
        <w:ind w:left="720"/>
        <w:rPr>
          <w:sz w:val="22"/>
          <w:szCs w:val="22"/>
        </w:rPr>
      </w:pPr>
    </w:p>
    <w:p w:rsidR="001E616C" w:rsidRDefault="001E616C" w:rsidP="00BB0855">
      <w:pPr>
        <w:spacing w:line="360" w:lineRule="auto"/>
        <w:ind w:left="720"/>
        <w:rPr>
          <w:sz w:val="22"/>
          <w:szCs w:val="22"/>
        </w:rPr>
      </w:pPr>
    </w:p>
    <w:p w:rsidR="000F16A8" w:rsidRDefault="000F16A8" w:rsidP="00BB0855">
      <w:pPr>
        <w:spacing w:line="360" w:lineRule="auto"/>
        <w:ind w:left="720"/>
        <w:rPr>
          <w:sz w:val="22"/>
          <w:szCs w:val="22"/>
          <w:u w:val="single"/>
        </w:rPr>
      </w:pPr>
      <w:r>
        <w:rPr>
          <w:sz w:val="22"/>
          <w:szCs w:val="22"/>
          <w:u w:val="single"/>
        </w:rPr>
        <w:t>Order</w:t>
      </w:r>
    </w:p>
    <w:p w:rsidR="000F16A8" w:rsidRDefault="000F16A8" w:rsidP="00BB0855">
      <w:pPr>
        <w:spacing w:line="360" w:lineRule="auto"/>
        <w:ind w:left="720"/>
        <w:rPr>
          <w:sz w:val="22"/>
          <w:szCs w:val="22"/>
          <w:u w:val="single"/>
        </w:rPr>
      </w:pPr>
    </w:p>
    <w:p w:rsidR="000F16A8" w:rsidRPr="000F16A8" w:rsidRDefault="000F16A8" w:rsidP="00BB0855">
      <w:pPr>
        <w:pStyle w:val="ListParagraph"/>
        <w:numPr>
          <w:ilvl w:val="0"/>
          <w:numId w:val="20"/>
        </w:numPr>
        <w:spacing w:line="360" w:lineRule="auto"/>
        <w:ind w:left="720" w:firstLine="0"/>
        <w:rPr>
          <w:sz w:val="22"/>
          <w:szCs w:val="22"/>
        </w:rPr>
      </w:pPr>
      <w:r>
        <w:rPr>
          <w:sz w:val="22"/>
          <w:szCs w:val="22"/>
        </w:rPr>
        <w:t xml:space="preserve">The review application is dismissed, with costs.  </w:t>
      </w:r>
    </w:p>
    <w:p w:rsidR="00403667" w:rsidRPr="000F16A8" w:rsidRDefault="00403667" w:rsidP="00BB0855">
      <w:pPr>
        <w:pStyle w:val="ListParagraph"/>
        <w:numPr>
          <w:ilvl w:val="0"/>
          <w:numId w:val="20"/>
        </w:numPr>
        <w:spacing w:line="360" w:lineRule="auto"/>
        <w:ind w:left="720" w:firstLine="0"/>
        <w:rPr>
          <w:sz w:val="22"/>
          <w:szCs w:val="22"/>
        </w:rPr>
      </w:pPr>
      <w:r w:rsidRPr="000F16A8">
        <w:rPr>
          <w:sz w:val="22"/>
          <w:szCs w:val="22"/>
        </w:rPr>
        <w:t>The matter is referred back to the Magistrate’s Court to proceed with the criminal trial against the applicants.</w:t>
      </w:r>
      <w:r w:rsidR="00BB0855">
        <w:rPr>
          <w:sz w:val="22"/>
          <w:szCs w:val="22"/>
        </w:rPr>
        <w:t>’</w:t>
      </w:r>
      <w:r w:rsidRPr="000F16A8">
        <w:rPr>
          <w:sz w:val="22"/>
          <w:szCs w:val="22"/>
        </w:rPr>
        <w:t xml:space="preserve"> </w:t>
      </w:r>
    </w:p>
    <w:p w:rsidR="00403667" w:rsidRDefault="00403667" w:rsidP="00403667">
      <w:pPr>
        <w:rPr>
          <w:sz w:val="22"/>
          <w:szCs w:val="22"/>
        </w:rPr>
      </w:pPr>
    </w:p>
    <w:p w:rsidR="00403667" w:rsidRDefault="0068379E" w:rsidP="00403667">
      <w:pPr>
        <w:rPr>
          <w:szCs w:val="24"/>
        </w:rPr>
      </w:pPr>
      <w:r>
        <w:rPr>
          <w:szCs w:val="24"/>
        </w:rPr>
        <w:t xml:space="preserve">This appeal lies against the judgment </w:t>
      </w:r>
      <w:r w:rsidR="00195529">
        <w:rPr>
          <w:szCs w:val="24"/>
        </w:rPr>
        <w:t xml:space="preserve">and order </w:t>
      </w:r>
      <w:r>
        <w:rPr>
          <w:szCs w:val="24"/>
        </w:rPr>
        <w:t xml:space="preserve">of the High Court.  </w:t>
      </w:r>
    </w:p>
    <w:p w:rsidR="0068379E" w:rsidRDefault="0068379E" w:rsidP="00403667">
      <w:pPr>
        <w:rPr>
          <w:szCs w:val="24"/>
        </w:rPr>
      </w:pPr>
    </w:p>
    <w:p w:rsidR="0068379E" w:rsidRDefault="0068379E" w:rsidP="00403667">
      <w:pPr>
        <w:rPr>
          <w:szCs w:val="24"/>
        </w:rPr>
      </w:pPr>
      <w:r w:rsidRPr="00BB0855">
        <w:rPr>
          <w:szCs w:val="24"/>
          <w:u w:val="single"/>
        </w:rPr>
        <w:t>Review Application</w:t>
      </w:r>
    </w:p>
    <w:p w:rsidR="0068379E" w:rsidRDefault="0068379E" w:rsidP="0068379E">
      <w:pPr>
        <w:pStyle w:val="Heading1"/>
      </w:pPr>
      <w:r>
        <w:t xml:space="preserve">The review application adds </w:t>
      </w:r>
      <w:r w:rsidR="00A04216">
        <w:t xml:space="preserve">very little to the record of the proceedings but maintains that the proceedings are marred by a number of irregularities, some of which on their own, and in any event compoundly are material and vitiate the proceedings and hence </w:t>
      </w:r>
      <w:r w:rsidR="005725A3">
        <w:t>app</w:t>
      </w:r>
      <w:r w:rsidR="004C3FAB">
        <w:t>licant</w:t>
      </w:r>
      <w:r w:rsidR="005725A3">
        <w:t xml:space="preserve">s are entitled to the relief sought. What is added </w:t>
      </w:r>
      <w:r w:rsidR="00195529">
        <w:t>are</w:t>
      </w:r>
      <w:r w:rsidR="005725A3">
        <w:t xml:space="preserve"> facts in relation to the ground that the relief should be granted on the basis of an undue delay in finalising the trial. In this regard facts are stated to demonstrate the alleged prejudice to the app</w:t>
      </w:r>
      <w:r w:rsidR="0000079D">
        <w:t>licants</w:t>
      </w:r>
      <w:r w:rsidR="005725A3">
        <w:t xml:space="preserve"> caused by the delay.  </w:t>
      </w:r>
    </w:p>
    <w:p w:rsidR="005725A3" w:rsidRDefault="005725A3" w:rsidP="005725A3"/>
    <w:p w:rsidR="005725A3" w:rsidRPr="005725A3" w:rsidRDefault="005725A3" w:rsidP="005725A3">
      <w:pPr>
        <w:pStyle w:val="Heading1"/>
      </w:pPr>
      <w:r>
        <w:t>App</w:t>
      </w:r>
      <w:r w:rsidR="0000079D">
        <w:t>licants</w:t>
      </w:r>
      <w:r>
        <w:t>’ attacks are premised on alleged flaws in the conduct of the case and in the application a distinction is made in respect of the following phases relevant to the proceedings; namely, the investigation, the application</w:t>
      </w:r>
      <w:r w:rsidR="007B2AF0">
        <w:t xml:space="preserve"> to discharge</w:t>
      </w:r>
      <w:r>
        <w:t xml:space="preserve">, the refusal of the Prosecutor-General to stop the proceedings and the way the magistrate dealt with the application to recuse herself. </w:t>
      </w:r>
      <w:r w:rsidR="007B2235">
        <w:t xml:space="preserve">As indicated, in addition the issue of </w:t>
      </w:r>
      <w:r w:rsidR="0000079D">
        <w:t xml:space="preserve">undue </w:t>
      </w:r>
      <w:r w:rsidR="007B2235">
        <w:t xml:space="preserve">delay in finalising the trial is also raised as a basis for the relief sought.  </w:t>
      </w:r>
    </w:p>
    <w:p w:rsidR="00D86AB9" w:rsidRDefault="00D86AB9" w:rsidP="008603D9">
      <w:pPr>
        <w:rPr>
          <w:rFonts w:cs="Arial"/>
          <w:szCs w:val="24"/>
        </w:rPr>
      </w:pPr>
    </w:p>
    <w:p w:rsidR="007B2AF0" w:rsidRDefault="00895FC0" w:rsidP="007B2AF0">
      <w:pPr>
        <w:pStyle w:val="Heading1"/>
      </w:pPr>
      <w:r>
        <w:t>It needs to be pointed out that in respect of the review application opposing affidavits were filed by and on behalf of the respondents</w:t>
      </w:r>
      <w:r w:rsidR="007B2235">
        <w:t xml:space="preserve"> as well as replying affidavits in response thereto</w:t>
      </w:r>
      <w:r>
        <w:t xml:space="preserve">.  Reference will be made to such affidavits where necessary when I deal with the issues raised in the review application.  </w:t>
      </w:r>
    </w:p>
    <w:p w:rsidR="00895FC0" w:rsidRDefault="00895FC0" w:rsidP="00895FC0"/>
    <w:p w:rsidR="0070422A" w:rsidRDefault="0070422A" w:rsidP="00895FC0">
      <w:pPr>
        <w:rPr>
          <w:rFonts w:cs="Arial"/>
        </w:rPr>
      </w:pPr>
      <w:r w:rsidRPr="00BB0855">
        <w:rPr>
          <w:rFonts w:cs="Arial"/>
          <w:u w:val="single"/>
        </w:rPr>
        <w:t>Investigation / application for discharge</w:t>
      </w:r>
    </w:p>
    <w:p w:rsidR="0070422A" w:rsidRDefault="0070422A" w:rsidP="0070422A">
      <w:pPr>
        <w:pStyle w:val="Heading1"/>
      </w:pPr>
      <w:r>
        <w:t>At the outset it is necessary to mention t</w:t>
      </w:r>
      <w:r w:rsidR="0000079D">
        <w:t>wo</w:t>
      </w:r>
      <w:r>
        <w:t xml:space="preserve"> aspects under this heading. First, the refusal of a discharge is an interlocutory ruling and cannot </w:t>
      </w:r>
      <w:r w:rsidR="0000079D">
        <w:t xml:space="preserve">normally </w:t>
      </w:r>
      <w:r>
        <w:t xml:space="preserve">be appealed.  The trial simply proceeds to finality. </w:t>
      </w:r>
      <w:r w:rsidR="00FE16A1">
        <w:t>This is so</w:t>
      </w:r>
      <w:r>
        <w:t xml:space="preserve">, because it is not in the interest of justice in general that criminal trials be dealt with in a </w:t>
      </w:r>
      <w:r w:rsidR="003D6976">
        <w:t xml:space="preserve">piece-meal fashion </w:t>
      </w:r>
      <w:r w:rsidR="00FE16A1">
        <w:t xml:space="preserve">and </w:t>
      </w:r>
      <w:r w:rsidR="003D6976">
        <w:t>mid-stream appeals and reviews are discouraged and this is so particularly where recourse can be had by way of an appeal or review at the end of the trial.</w:t>
      </w:r>
      <w:r w:rsidR="007B2235">
        <w:rPr>
          <w:rStyle w:val="FootnoteReference"/>
        </w:rPr>
        <w:footnoteReference w:id="1"/>
      </w:r>
      <w:r w:rsidR="003D6976">
        <w:t xml:space="preserve">  </w:t>
      </w:r>
    </w:p>
    <w:p w:rsidR="003D6976" w:rsidRDefault="003D6976" w:rsidP="003D6976"/>
    <w:p w:rsidR="003D6976" w:rsidRDefault="003D6976" w:rsidP="003D6976">
      <w:pPr>
        <w:pStyle w:val="Heading1"/>
      </w:pPr>
      <w:r>
        <w:t xml:space="preserve">In the present </w:t>
      </w:r>
      <w:r w:rsidR="007208E2">
        <w:t xml:space="preserve">matter the facts underpinning the attacks </w:t>
      </w:r>
      <w:r w:rsidR="00F40298">
        <w:t>on the investigation and the refusal to grant the application for discharge are evident from the record and there is thus no reason to part from the normal approach set out above. The main irregularity complained of is that Mr Lloyd who investigated the matter</w:t>
      </w:r>
      <w:r w:rsidR="00FE16A1">
        <w:t xml:space="preserve"> on behalf of the </w:t>
      </w:r>
      <w:r w:rsidR="00195529">
        <w:t>ACC</w:t>
      </w:r>
      <w:r w:rsidR="00F40298">
        <w:t xml:space="preserve"> did not take a statement from the owner of LIC Pools as he corroborated the version of the app</w:t>
      </w:r>
      <w:r w:rsidR="00440FA3">
        <w:t>licants</w:t>
      </w:r>
      <w:r w:rsidR="00F40298">
        <w:t xml:space="preserve"> that </w:t>
      </w:r>
      <w:r w:rsidR="00195529">
        <w:t>Aupindi</w:t>
      </w:r>
      <w:r w:rsidR="00F40298">
        <w:t xml:space="preserve"> paid for the pool by way of making two cash payments. This version of K</w:t>
      </w:r>
      <w:r w:rsidR="00195529">
        <w:rPr>
          <w:rFonts w:cs="Arial"/>
        </w:rPr>
        <w:t>ü</w:t>
      </w:r>
      <w:r w:rsidR="00F40298">
        <w:t>hn according to app</w:t>
      </w:r>
      <w:r w:rsidR="00477193">
        <w:t>licant</w:t>
      </w:r>
      <w:r w:rsidR="00F40298">
        <w:t xml:space="preserve">s </w:t>
      </w:r>
      <w:r w:rsidR="008A094A">
        <w:t>was also not provided to the office of the Prosecutor-General prior to her deciding to prosecute. Here it must be borne in mind that the investigator of the ACC only investigates</w:t>
      </w:r>
      <w:r w:rsidR="00195529">
        <w:t>,</w:t>
      </w:r>
      <w:r w:rsidR="008A094A">
        <w:t xml:space="preserve"> and once of the view that a crime had been committed refers the matter to the Prosecutor-General for her decision. In making her decision she obviously can call for further investigations and/or statements prior to coming to a final decision. The issue of the failure to take a statement from K</w:t>
      </w:r>
      <w:r w:rsidR="00195529">
        <w:rPr>
          <w:rFonts w:cs="Arial"/>
        </w:rPr>
        <w:t>ü</w:t>
      </w:r>
      <w:r w:rsidR="008A094A">
        <w:t xml:space="preserve">hn and not bringing his version of events </w:t>
      </w:r>
      <w:r w:rsidR="00783682">
        <w:t xml:space="preserve">to the attention of the Prosecutor-General was fully canvassed with Lloyd in cross-examination.  </w:t>
      </w:r>
    </w:p>
    <w:p w:rsidR="00783682" w:rsidRDefault="00783682" w:rsidP="00783682"/>
    <w:p w:rsidR="00C4222E" w:rsidRDefault="00F660AF" w:rsidP="00C4222E">
      <w:pPr>
        <w:pStyle w:val="Heading1"/>
      </w:pPr>
      <w:r>
        <w:t xml:space="preserve">This brings me to the </w:t>
      </w:r>
      <w:r w:rsidR="00440FA3">
        <w:t>second</w:t>
      </w:r>
      <w:r>
        <w:t xml:space="preserve"> factor</w:t>
      </w:r>
      <w:r w:rsidR="00512B99">
        <w:t>,</w:t>
      </w:r>
      <w:r>
        <w:t xml:space="preserve"> namely that not all irregularities are vitiating irregularities. </w:t>
      </w:r>
      <w:r w:rsidR="007B2235">
        <w:t>The position was succinctly summed up by Friedman AJA as follows:</w:t>
      </w:r>
      <w:r w:rsidR="007B2235">
        <w:rPr>
          <w:rStyle w:val="FootnoteReference"/>
        </w:rPr>
        <w:footnoteReference w:id="2"/>
      </w:r>
    </w:p>
    <w:p w:rsidR="00C4222E" w:rsidRDefault="00C4222E" w:rsidP="00C4222E"/>
    <w:p w:rsidR="00C4222E" w:rsidRDefault="00C4222E" w:rsidP="00C4222E">
      <w:pPr>
        <w:spacing w:line="360" w:lineRule="auto"/>
        <w:ind w:left="720"/>
        <w:rPr>
          <w:sz w:val="22"/>
          <w:szCs w:val="22"/>
        </w:rPr>
      </w:pPr>
      <w:r>
        <w:rPr>
          <w:sz w:val="22"/>
          <w:szCs w:val="22"/>
        </w:rPr>
        <w:t xml:space="preserve">‘Irregularities in a criminal trial fall into two categories:  those which are of so gross a nature as per se to vitiate the trial and those of a less serious or fundamental nature which do not per se have that effect.  In regard to the latter category the Court will, on appeal, itself assess the evidence and ‘decide for itself whether, on the evidence and the findings of credibility unaffected by the irregularity or defect, there is proof of guilt beyond reasonable doubt’ per Holmes JA in </w:t>
      </w:r>
      <w:r>
        <w:rPr>
          <w:i/>
          <w:sz w:val="22"/>
          <w:szCs w:val="22"/>
        </w:rPr>
        <w:t>S v Tuge</w:t>
      </w:r>
      <w:r>
        <w:rPr>
          <w:sz w:val="22"/>
          <w:szCs w:val="22"/>
        </w:rPr>
        <w:t xml:space="preserve"> 1966 (4) SA 565 (A) at 568B.  See also </w:t>
      </w:r>
      <w:r>
        <w:rPr>
          <w:i/>
          <w:sz w:val="22"/>
          <w:szCs w:val="22"/>
        </w:rPr>
        <w:t>S v Naido</w:t>
      </w:r>
      <w:r>
        <w:rPr>
          <w:sz w:val="22"/>
          <w:szCs w:val="22"/>
        </w:rPr>
        <w:t xml:space="preserve"> 1962 (4) SA 348 (A) at 354D – and </w:t>
      </w:r>
      <w:r>
        <w:rPr>
          <w:i/>
          <w:sz w:val="22"/>
          <w:szCs w:val="22"/>
        </w:rPr>
        <w:t>S v Mihise and Others</w:t>
      </w:r>
      <w:r>
        <w:rPr>
          <w:sz w:val="22"/>
          <w:szCs w:val="22"/>
        </w:rPr>
        <w:t xml:space="preserve"> 1988 (2) SA 868 (A) where it was stated with reference to the categorisation of irregularities at 872F-G:  </w:t>
      </w:r>
    </w:p>
    <w:p w:rsidR="00C4222E" w:rsidRDefault="00C4222E" w:rsidP="00C4222E">
      <w:pPr>
        <w:spacing w:line="360" w:lineRule="auto"/>
        <w:ind w:left="720"/>
        <w:rPr>
          <w:sz w:val="22"/>
          <w:szCs w:val="22"/>
        </w:rPr>
      </w:pPr>
    </w:p>
    <w:p w:rsidR="00C4222E" w:rsidRPr="007B2235" w:rsidRDefault="00C4222E" w:rsidP="00C4222E">
      <w:pPr>
        <w:spacing w:line="360" w:lineRule="auto"/>
        <w:ind w:left="720"/>
        <w:rPr>
          <w:sz w:val="22"/>
          <w:szCs w:val="22"/>
        </w:rPr>
      </w:pPr>
      <w:r>
        <w:rPr>
          <w:sz w:val="22"/>
          <w:szCs w:val="22"/>
        </w:rPr>
        <w:t xml:space="preserve">As the decisions in our law on the nature of an irregularity bear out, the enquiry in each case is whether it is of so fundamental and serious a nature that the proper administration of justice and the dictates of public policy require it to be regarded as fatal to the proceedings in which it occurred.’ </w:t>
      </w:r>
    </w:p>
    <w:p w:rsidR="00C4222E" w:rsidRPr="00C4222E" w:rsidRDefault="00C4222E" w:rsidP="00C4222E"/>
    <w:p w:rsidR="00783682" w:rsidRDefault="00F660AF" w:rsidP="00C4222E">
      <w:pPr>
        <w:pStyle w:val="Heading1"/>
      </w:pPr>
      <w:r>
        <w:t xml:space="preserve">Assuming for the moment that an irregularity was committed it was not a vitiating one in the context of this case. The </w:t>
      </w:r>
      <w:r w:rsidR="00512B99">
        <w:t>applicants</w:t>
      </w:r>
      <w:r>
        <w:t xml:space="preserve"> knew of the evidence and even had a statement from K</w:t>
      </w:r>
      <w:r w:rsidR="00512B99">
        <w:rPr>
          <w:rFonts w:cs="Arial"/>
        </w:rPr>
        <w:t>ü</w:t>
      </w:r>
      <w:r>
        <w:t>hn and also indicated that they would call him as a witness</w:t>
      </w:r>
      <w:r w:rsidR="006C0CA7">
        <w:t xml:space="preserve"> </w:t>
      </w:r>
      <w:r w:rsidR="002A5FD4">
        <w:t>‘</w:t>
      </w:r>
      <w:r w:rsidR="006C0CA7">
        <w:t>if necessary</w:t>
      </w:r>
      <w:r w:rsidR="002A5FD4">
        <w:t>’</w:t>
      </w:r>
      <w:r w:rsidR="006C0CA7">
        <w:t xml:space="preserve">. In these circumstances there was simply no question of irreparable prejudice to </w:t>
      </w:r>
      <w:r w:rsidR="00512B99">
        <w:t>applicants</w:t>
      </w:r>
      <w:r w:rsidR="006C0CA7">
        <w:t xml:space="preserve"> occasioned by the irregularity complained of. </w:t>
      </w:r>
      <w:r w:rsidR="007B2235">
        <w:t xml:space="preserve">To use the words of the judgment in the </w:t>
      </w:r>
      <w:r w:rsidR="007B2235" w:rsidRPr="00512B99">
        <w:rPr>
          <w:i/>
        </w:rPr>
        <w:t>Strowitzky</w:t>
      </w:r>
      <w:r w:rsidR="007B2235">
        <w:t xml:space="preserve"> case</w:t>
      </w:r>
      <w:r w:rsidR="00421484">
        <w:rPr>
          <w:rStyle w:val="FootnoteReference"/>
        </w:rPr>
        <w:footnoteReference w:id="3"/>
      </w:r>
      <w:r w:rsidR="007B2235">
        <w:t xml:space="preserve"> </w:t>
      </w:r>
      <w:r w:rsidR="00512B99">
        <w:t>‘</w:t>
      </w:r>
      <w:r w:rsidR="007B2235">
        <w:t>this is not a rare case where grave injustice might otherwise result or where justice might not by other means be attained</w:t>
      </w:r>
      <w:r w:rsidR="00512B99">
        <w:t>’</w:t>
      </w:r>
      <w:r w:rsidR="007B2235">
        <w:t>.</w:t>
      </w:r>
      <w:r w:rsidR="00C4222E">
        <w:t xml:space="preserve"> </w:t>
      </w:r>
      <w:r w:rsidR="006C0CA7">
        <w:t xml:space="preserve">In any event it is evident from the evidence of Lloyd and the documentation forwarded to the Prosecutor-General as appears from his opposing affidavit in the review application </w:t>
      </w:r>
      <w:r w:rsidR="007B2235">
        <w:t xml:space="preserve">that </w:t>
      </w:r>
      <w:r w:rsidR="006C0CA7">
        <w:t>the fact that K</w:t>
      </w:r>
      <w:r w:rsidR="00512B99">
        <w:rPr>
          <w:rFonts w:cs="Arial"/>
        </w:rPr>
        <w:t>ü</w:t>
      </w:r>
      <w:r w:rsidR="006C0CA7">
        <w:t xml:space="preserve">hn maintained that </w:t>
      </w:r>
      <w:r w:rsidR="00512B99">
        <w:t>Aupindi</w:t>
      </w:r>
      <w:r w:rsidR="006C0CA7">
        <w:t xml:space="preserve"> did pay for the pool was disclosed to the office of the Prosecutor-General.  Lloyd further explained in his evidence why he did not believe the version of K</w:t>
      </w:r>
      <w:r w:rsidR="00512B99">
        <w:rPr>
          <w:rFonts w:cs="Arial"/>
        </w:rPr>
        <w:t>ü</w:t>
      </w:r>
      <w:r w:rsidR="006C0CA7">
        <w:t xml:space="preserve">hn and </w:t>
      </w:r>
      <w:r w:rsidR="002D5653">
        <w:t>this is also eviden</w:t>
      </w:r>
      <w:r w:rsidR="007B2235">
        <w:t>t</w:t>
      </w:r>
      <w:r w:rsidR="002D5653">
        <w:t xml:space="preserve"> from what is disclosed in his answering affidavit. The entries in the cash book of LIC Pool</w:t>
      </w:r>
      <w:r w:rsidR="00512B99">
        <w:t>s</w:t>
      </w:r>
      <w:r w:rsidR="002D5653">
        <w:t xml:space="preserve"> did not disclose the person or entity that made the cash payments nor could anyone produce </w:t>
      </w:r>
      <w:r w:rsidR="005C3A45">
        <w:t xml:space="preserve">a receipt in this regard. Further, a cheque for the full amount was drawn by </w:t>
      </w:r>
      <w:r w:rsidR="00AB12B6">
        <w:t xml:space="preserve">Di Savino </w:t>
      </w:r>
      <w:r w:rsidR="005C3A45">
        <w:t xml:space="preserve">in respect </w:t>
      </w:r>
      <w:r w:rsidR="007B2235">
        <w:t>of</w:t>
      </w:r>
      <w:r w:rsidR="005C3A45">
        <w:t xml:space="preserve"> an invoice for a Gemini pool which was installed at the dwelling of </w:t>
      </w:r>
      <w:r w:rsidR="00512B99">
        <w:t>Aupindi</w:t>
      </w:r>
      <w:r w:rsidR="005C3A45">
        <w:t xml:space="preserve"> </w:t>
      </w:r>
      <w:r w:rsidR="002810A5">
        <w:t xml:space="preserve">and </w:t>
      </w:r>
      <w:r w:rsidR="007B2235">
        <w:t xml:space="preserve">according to </w:t>
      </w:r>
      <w:r w:rsidR="005C3A45">
        <w:t>Mr Herman K</w:t>
      </w:r>
      <w:r w:rsidR="00512B99">
        <w:rPr>
          <w:rFonts w:cs="Arial"/>
        </w:rPr>
        <w:t>ü</w:t>
      </w:r>
      <w:r w:rsidR="005C3A45">
        <w:t xml:space="preserve">hn (the brother of Mr Michael Kuhn) </w:t>
      </w:r>
      <w:r w:rsidR="003C5955">
        <w:t>who w</w:t>
      </w:r>
      <w:r w:rsidR="007B2235">
        <w:t>as</w:t>
      </w:r>
      <w:r w:rsidR="003C5955">
        <w:t xml:space="preserve"> tasked with the installation of new pools</w:t>
      </w:r>
      <w:r w:rsidR="00AD7AB9">
        <w:t xml:space="preserve">, </w:t>
      </w:r>
      <w:r w:rsidR="00512B99">
        <w:t>Di Savino</w:t>
      </w:r>
      <w:r w:rsidR="003C5955">
        <w:t xml:space="preserve"> paid for the pool installed at the house of </w:t>
      </w:r>
      <w:r w:rsidR="00512B99">
        <w:t>Aupindi</w:t>
      </w:r>
      <w:r w:rsidR="003C5955">
        <w:t xml:space="preserve">.  </w:t>
      </w:r>
      <w:r w:rsidR="00551AE4">
        <w:t>T</w:t>
      </w:r>
      <w:r w:rsidR="003C5955">
        <w:t xml:space="preserve">he evidence of Herman Kuhn at the trial was not as strong as his statement suggested and it was </w:t>
      </w:r>
      <w:r w:rsidR="00DF3297">
        <w:t>substantially watered down and altered during cross-examination. The actions of Lloyd</w:t>
      </w:r>
      <w:r w:rsidR="00512B99">
        <w:t>,</w:t>
      </w:r>
      <w:r w:rsidR="00DF3297">
        <w:t xml:space="preserve"> however</w:t>
      </w:r>
      <w:r w:rsidR="00512B99">
        <w:t>,</w:t>
      </w:r>
      <w:r w:rsidR="00DF3297">
        <w:t xml:space="preserve"> must be seen in the context of what he was initially told and how his investigation proceeded</w:t>
      </w:r>
      <w:r w:rsidR="00512B99">
        <w:t>. I am satisfied that the applic</w:t>
      </w:r>
      <w:r w:rsidR="00DF3297">
        <w:t xml:space="preserve">ants did not establish a vitiating irregularity in the investigation of the matter by Lloyd </w:t>
      </w:r>
      <w:r w:rsidR="00AD1A0F">
        <w:t xml:space="preserve">even if one accepts that the failure to obtain a statement from </w:t>
      </w:r>
      <w:r w:rsidR="00512B99">
        <w:t xml:space="preserve">Michael </w:t>
      </w:r>
      <w:r w:rsidR="00AD1A0F">
        <w:t>K</w:t>
      </w:r>
      <w:r w:rsidR="00512B99">
        <w:rPr>
          <w:rFonts w:cs="Arial"/>
        </w:rPr>
        <w:t>ü</w:t>
      </w:r>
      <w:r w:rsidR="00AD1A0F">
        <w:t xml:space="preserve">hn amounted to an irregularity.  </w:t>
      </w:r>
      <w:r w:rsidR="00DF3297">
        <w:t xml:space="preserve">  </w:t>
      </w:r>
    </w:p>
    <w:p w:rsidR="00DF3297" w:rsidRDefault="00DF3297" w:rsidP="00DF3297"/>
    <w:p w:rsidR="00DF3297" w:rsidRDefault="009F7BEE" w:rsidP="00DF3297">
      <w:pPr>
        <w:pStyle w:val="Heading1"/>
      </w:pPr>
      <w:r>
        <w:t>App</w:t>
      </w:r>
      <w:r w:rsidR="00AD1A0F">
        <w:t>licants</w:t>
      </w:r>
      <w:r>
        <w:t xml:space="preserve"> also aver with reference to certain evidence that the admission of </w:t>
      </w:r>
      <w:r w:rsidR="007B2235">
        <w:t>such</w:t>
      </w:r>
      <w:r>
        <w:t xml:space="preserve"> evidence amounted to irregularities as the evidence was inadmissible. There is no suggestion that the magistrate relied on this evidence when making a ruling on the application for discharg</w:t>
      </w:r>
      <w:r w:rsidR="00512B99">
        <w:t>e and in any event on the applic</w:t>
      </w:r>
      <w:r>
        <w:t xml:space="preserve">ants’ own version the evidence was </w:t>
      </w:r>
      <w:r w:rsidR="00BB0855">
        <w:t>‘</w:t>
      </w:r>
      <w:r>
        <w:t>of no value, also given the witness</w:t>
      </w:r>
      <w:r w:rsidR="00F3318D">
        <w:t>’s poor recollection and fading memory</w:t>
      </w:r>
      <w:r w:rsidR="00BB0855">
        <w:t>’</w:t>
      </w:r>
      <w:r w:rsidR="00F3318D">
        <w:t xml:space="preserve">. If the evidence is of such poor quality that it does not take the matter any further even if wrongly admitted, it simply cannot constitute a vitiating irregularity to have admitted such evidence. In the result it is not necessary to decide whether such evidence was indeed inadmissible or not.  </w:t>
      </w:r>
    </w:p>
    <w:p w:rsidR="00F3318D" w:rsidRDefault="00F3318D" w:rsidP="00F3318D"/>
    <w:p w:rsidR="00F3318D" w:rsidRDefault="00F3318D" w:rsidP="00F3318D">
      <w:pPr>
        <w:pStyle w:val="Heading1"/>
      </w:pPr>
      <w:r>
        <w:t xml:space="preserve">On review the court is primarily engaged in determining </w:t>
      </w:r>
      <w:r w:rsidR="001F072F">
        <w:t xml:space="preserve">the </w:t>
      </w:r>
      <w:r>
        <w:t>regularity of the proceedings sought to be reviewed and not the merits of the findings of the decision maker</w:t>
      </w:r>
      <w:r w:rsidR="007B2235">
        <w:t>s</w:t>
      </w:r>
      <w:r w:rsidR="00BB0855">
        <w:t>.</w:t>
      </w:r>
      <w:r w:rsidR="007B2235">
        <w:rPr>
          <w:rStyle w:val="FootnoteReference"/>
        </w:rPr>
        <w:footnoteReference w:id="4"/>
      </w:r>
      <w:r>
        <w:t xml:space="preserve"> Nevertheless the app</w:t>
      </w:r>
      <w:r w:rsidR="00AD1A0F">
        <w:t>licants</w:t>
      </w:r>
      <w:r>
        <w:t xml:space="preserve"> set out the evidence in detail </w:t>
      </w:r>
      <w:r w:rsidR="005C6496">
        <w:t>and</w:t>
      </w:r>
      <w:r>
        <w:t xml:space="preserve"> their criticism of it, presumably to indicate that the magistrate erred on the facts. This is not the test </w:t>
      </w:r>
      <w:r w:rsidR="00512B99">
        <w:t>on review and in fact the applic</w:t>
      </w:r>
      <w:r>
        <w:t xml:space="preserve">ants seem to attempt to take advantage of the fact that a review of the refusal of the magistrate to recuse herself is a matter which </w:t>
      </w:r>
      <w:r w:rsidR="00281BF4">
        <w:t xml:space="preserve">the courts </w:t>
      </w:r>
      <w:r w:rsidR="00012418">
        <w:t>are more inclined to hear</w:t>
      </w:r>
      <w:r>
        <w:t xml:space="preserve"> even though a case had not </w:t>
      </w:r>
      <w:r w:rsidR="004D2833">
        <w:t>yet been finalized as it may severely impact on the continuation of such trial,</w:t>
      </w:r>
      <w:r w:rsidR="002876D0">
        <w:rPr>
          <w:rStyle w:val="FootnoteReference"/>
        </w:rPr>
        <w:footnoteReference w:id="5"/>
      </w:r>
      <w:r w:rsidR="004D2833">
        <w:t xml:space="preserve"> to add on to this attack one on the refusal to discharge the </w:t>
      </w:r>
      <w:r w:rsidR="00512B99">
        <w:t>applicants</w:t>
      </w:r>
      <w:r w:rsidR="004D2833">
        <w:t xml:space="preserve"> at the end of the State’s case. </w:t>
      </w:r>
      <w:r w:rsidR="00CF71CB">
        <w:t xml:space="preserve">As pointed out the irregularity complained of in respect of the investigation (if it was such) </w:t>
      </w:r>
      <w:r w:rsidR="00012418">
        <w:t xml:space="preserve">was </w:t>
      </w:r>
      <w:r w:rsidR="00CF71CB">
        <w:t xml:space="preserve">not of such a material nature as to vitiate the proceedings and nor </w:t>
      </w:r>
      <w:r w:rsidR="007B2235">
        <w:t>is</w:t>
      </w:r>
      <w:r w:rsidR="00CF71CB">
        <w:t xml:space="preserve"> there any reason at this interim stage to reconsider the refusal to discharge on the basis of the evidence led.</w:t>
      </w:r>
      <w:r w:rsidR="00012418">
        <w:rPr>
          <w:rStyle w:val="FootnoteReference"/>
        </w:rPr>
        <w:footnoteReference w:id="6"/>
      </w:r>
      <w:r w:rsidR="00CF71CB">
        <w:t xml:space="preserve"> There is a suggestion that the magistrate misunderstood the test to be applied </w:t>
      </w:r>
      <w:r w:rsidR="000D25E4">
        <w:t xml:space="preserve">as she did not give a judgment in the kind of detail </w:t>
      </w:r>
      <w:r w:rsidR="00512B99">
        <w:t>Aupindi</w:t>
      </w:r>
      <w:r w:rsidR="000D25E4">
        <w:t xml:space="preserve"> would have liked, but this does not mean that she got the test wrong. </w:t>
      </w:r>
      <w:r w:rsidR="005C3921">
        <w:t xml:space="preserve">I must point out that because of the nature of s 174 application, the court does not always </w:t>
      </w:r>
      <w:r w:rsidR="0022729D">
        <w:t>provide extensive</w:t>
      </w:r>
      <w:r w:rsidR="005C3921">
        <w:t xml:space="preserve"> reasons where </w:t>
      </w:r>
      <w:r w:rsidR="00226B37">
        <w:t>such</w:t>
      </w:r>
      <w:r w:rsidR="005C3921">
        <w:t xml:space="preserve"> applications are </w:t>
      </w:r>
      <w:r w:rsidR="0022729D">
        <w:t>refused</w:t>
      </w:r>
      <w:r w:rsidR="005C3921">
        <w:t xml:space="preserve"> </w:t>
      </w:r>
      <w:r w:rsidR="0022729D">
        <w:t xml:space="preserve">as it is in the interest of justice that criminal trials be finalised and often only provide </w:t>
      </w:r>
      <w:r w:rsidR="00226B37">
        <w:t xml:space="preserve">cursory </w:t>
      </w:r>
      <w:r w:rsidR="0022729D">
        <w:t xml:space="preserve">reasons for such refusal </w:t>
      </w:r>
      <w:r w:rsidR="00226B37">
        <w:t xml:space="preserve">which are then elaborated on, if necessary, </w:t>
      </w:r>
      <w:r w:rsidR="0022729D">
        <w:t xml:space="preserve">when the final judgment is </w:t>
      </w:r>
      <w:r w:rsidR="005C3921">
        <w:t xml:space="preserve">given. </w:t>
      </w:r>
      <w:r w:rsidR="00DE6A52">
        <w:t xml:space="preserve">The attack on the ruling by the magistrate not to discharge the </w:t>
      </w:r>
      <w:r w:rsidR="00512B99">
        <w:t>applicants</w:t>
      </w:r>
      <w:r w:rsidR="00DE6A52">
        <w:t xml:space="preserve"> in terms of s 174 of the CPA must therefore fail.  </w:t>
      </w:r>
    </w:p>
    <w:p w:rsidR="00DE6A52" w:rsidRDefault="00DE6A52" w:rsidP="00DE6A52"/>
    <w:p w:rsidR="00DE6A52" w:rsidRPr="00BB0855" w:rsidRDefault="00DE6A52" w:rsidP="00DE6A52">
      <w:pPr>
        <w:rPr>
          <w:rFonts w:cs="Arial"/>
        </w:rPr>
      </w:pPr>
      <w:r w:rsidRPr="00BB0855">
        <w:rPr>
          <w:rFonts w:cs="Arial"/>
          <w:u w:val="single"/>
        </w:rPr>
        <w:t>Prosecutor-General’s failure to stop the prosecution</w:t>
      </w:r>
    </w:p>
    <w:p w:rsidR="00C4222E" w:rsidRDefault="00CB1F99" w:rsidP="00C4222E">
      <w:pPr>
        <w:pStyle w:val="Heading1"/>
      </w:pPr>
      <w:r>
        <w:t xml:space="preserve">As mentioned above the approach to the Prosecutor-General was made after the magistrate </w:t>
      </w:r>
      <w:r w:rsidR="007B2235">
        <w:t>refused</w:t>
      </w:r>
      <w:r>
        <w:t xml:space="preserve"> the application for a discharge and subsequent to her indicating that she would only consider the recusal application subsequent to hearing the evidence of the </w:t>
      </w:r>
      <w:r w:rsidR="007B2235">
        <w:t xml:space="preserve">persons from whom statements were taken by McKay </w:t>
      </w:r>
      <w:r w:rsidR="00296CF5">
        <w:t xml:space="preserve">and </w:t>
      </w:r>
      <w:r w:rsidR="007B2235">
        <w:t xml:space="preserve">whom </w:t>
      </w:r>
      <w:r>
        <w:t xml:space="preserve">she </w:t>
      </w:r>
      <w:r w:rsidR="007B2235">
        <w:t>directed</w:t>
      </w:r>
      <w:r>
        <w:t xml:space="preserve"> had to be subpoenaed.  </w:t>
      </w:r>
    </w:p>
    <w:p w:rsidR="00C4222E" w:rsidRPr="00C4222E" w:rsidRDefault="00C4222E" w:rsidP="00C4222E"/>
    <w:p w:rsidR="0033552C" w:rsidRDefault="0020793B" w:rsidP="00C4222E">
      <w:pPr>
        <w:pStyle w:val="Heading1"/>
      </w:pPr>
      <w:r>
        <w:t>I can only assume the statemen</w:t>
      </w:r>
      <w:r w:rsidR="00C4222E">
        <w:t>t of K</w:t>
      </w:r>
      <w:r w:rsidR="00512B99">
        <w:rPr>
          <w:rFonts w:cs="Arial"/>
        </w:rPr>
        <w:t>ü</w:t>
      </w:r>
      <w:r w:rsidR="00C4222E">
        <w:t xml:space="preserve">hn handed up by </w:t>
      </w:r>
      <w:r>
        <w:t>McKay in his evidence was for the purpose of this approach to the Prosecutor-General should the recusal application be refused. There was nothing to prevent the statement being forwarded to the Prosecutor-General without it being handed up.  Why this statement had to</w:t>
      </w:r>
      <w:r w:rsidR="005C3921">
        <w:t xml:space="preserve"> be placed on record when it </w:t>
      </w:r>
      <w:r w:rsidR="00226B37">
        <w:t xml:space="preserve">was </w:t>
      </w:r>
      <w:r w:rsidR="005C3921">
        <w:t>remains inexplicable</w:t>
      </w:r>
      <w:r w:rsidR="005E58FA">
        <w:t xml:space="preserve">.  </w:t>
      </w:r>
    </w:p>
    <w:p w:rsidR="005E58FA" w:rsidRDefault="005E58FA" w:rsidP="005E58FA"/>
    <w:p w:rsidR="005E58FA" w:rsidRDefault="005E58FA" w:rsidP="005E58FA">
      <w:pPr>
        <w:pStyle w:val="Heading1"/>
      </w:pPr>
      <w:r>
        <w:t>It must also be borne in mind that the approach to the Prosecutor-General was to stop the proceedings based on the alleged irregularity of not being provided with a statement of Michael Kuhn when she decided to institute proceedings and ignoring the fact that the matter had proceeded to the end of the State’s case and</w:t>
      </w:r>
      <w:r w:rsidR="00226B37">
        <w:t xml:space="preserve"> that</w:t>
      </w:r>
      <w:r>
        <w:t xml:space="preserve"> the magistrate had dismissed the application for a discharge.  </w:t>
      </w:r>
    </w:p>
    <w:p w:rsidR="005E58FA" w:rsidRPr="005E58FA" w:rsidRDefault="005E58FA" w:rsidP="005E58FA"/>
    <w:p w:rsidR="00CB1F99" w:rsidRDefault="00CB1F99" w:rsidP="00CB1F99">
      <w:pPr>
        <w:pStyle w:val="Heading1"/>
      </w:pPr>
      <w:r>
        <w:t xml:space="preserve">If the procedure was not initially flawed nor the refusal of the discharge vitiated by some irregularity as I found above the Prosecutor-General was totally justified in taking the stance she did. It follows that this challenge must likewise fail.  </w:t>
      </w:r>
    </w:p>
    <w:p w:rsidR="00CB1F99" w:rsidRDefault="00CB1F99" w:rsidP="00CB1F99"/>
    <w:p w:rsidR="00BF0461" w:rsidRPr="00BB0855" w:rsidRDefault="00BF0461" w:rsidP="00CB1F99">
      <w:pPr>
        <w:rPr>
          <w:rFonts w:cs="Arial"/>
        </w:rPr>
      </w:pPr>
      <w:r w:rsidRPr="00BB0855">
        <w:rPr>
          <w:rFonts w:cs="Arial"/>
          <w:u w:val="single"/>
        </w:rPr>
        <w:t>Recusal application</w:t>
      </w:r>
    </w:p>
    <w:p w:rsidR="00BF0461" w:rsidRDefault="00BF0461" w:rsidP="00BF0461">
      <w:pPr>
        <w:pStyle w:val="Heading1"/>
      </w:pPr>
      <w:r>
        <w:t>I have s</w:t>
      </w:r>
      <w:r w:rsidR="007B2235">
        <w:t>e</w:t>
      </w:r>
      <w:r>
        <w:t xml:space="preserve">t out the run up to the recusal application above. As is evident from what is stated </w:t>
      </w:r>
      <w:r w:rsidR="004056BB">
        <w:t xml:space="preserve">above </w:t>
      </w:r>
      <w:r>
        <w:t xml:space="preserve">the </w:t>
      </w:r>
      <w:r w:rsidR="007315CB">
        <w:t>legal practitioner for Aupindi</w:t>
      </w:r>
      <w:r>
        <w:t xml:space="preserve"> did not indicate upfront that he would call McKay to give evidence in support of a recusal application</w:t>
      </w:r>
      <w:r w:rsidR="0095061D">
        <w:t xml:space="preserve"> he intended to bring.  He only disclosed this purpose after the witness had testified.  </w:t>
      </w:r>
    </w:p>
    <w:p w:rsidR="0095061D" w:rsidRDefault="0095061D" w:rsidP="0095061D"/>
    <w:p w:rsidR="00BB0855" w:rsidRDefault="0095061D" w:rsidP="00BB0855">
      <w:pPr>
        <w:pStyle w:val="Heading1"/>
      </w:pPr>
      <w:r>
        <w:t>As</w:t>
      </w:r>
      <w:r w:rsidR="007315CB">
        <w:t xml:space="preserve"> it </w:t>
      </w:r>
      <w:r>
        <w:t>will become apparent from what is stated below the basis of the application was</w:t>
      </w:r>
      <w:r w:rsidR="004056BB">
        <w:t xml:space="preserve"> the</w:t>
      </w:r>
      <w:r>
        <w:t xml:space="preserve"> alleged untoward conduct of the magistrate and the </w:t>
      </w:r>
      <w:r w:rsidR="001F072F">
        <w:t>p</w:t>
      </w:r>
      <w:r w:rsidR="00BB0855">
        <w:t xml:space="preserve">rosecutor. </w:t>
      </w:r>
      <w:r>
        <w:t xml:space="preserve">Despite this no advanced warning was given to either the magistrate or the </w:t>
      </w:r>
      <w:r w:rsidR="001F072F">
        <w:t>p</w:t>
      </w:r>
      <w:r>
        <w:t xml:space="preserve">rosecutor. </w:t>
      </w:r>
      <w:r w:rsidR="007B2235">
        <w:t>The usual procedure when it comes to recusal applications, at least in the High Court</w:t>
      </w:r>
      <w:r w:rsidR="00765C92">
        <w:t>,</w:t>
      </w:r>
      <w:r w:rsidR="007B2235">
        <w:t xml:space="preserve"> has been summarised as follows in the </w:t>
      </w:r>
      <w:r w:rsidR="007B2235" w:rsidRPr="00BB0855">
        <w:rPr>
          <w:i/>
        </w:rPr>
        <w:t>SARFU</w:t>
      </w:r>
      <w:r w:rsidR="007B2235">
        <w:t xml:space="preserve"> case:</w:t>
      </w:r>
      <w:r w:rsidR="007B2235">
        <w:rPr>
          <w:rStyle w:val="FootnoteReference"/>
        </w:rPr>
        <w:footnoteReference w:id="7"/>
      </w:r>
      <w:r w:rsidR="007B2235">
        <w:t xml:space="preserve">  </w:t>
      </w:r>
      <w:r>
        <w:t xml:space="preserve"> </w:t>
      </w:r>
    </w:p>
    <w:p w:rsidR="00BB0855" w:rsidRDefault="00BB0855" w:rsidP="00BB0855"/>
    <w:p w:rsidR="00BB0855" w:rsidRPr="007B2235" w:rsidRDefault="00BB0855" w:rsidP="00BB0855">
      <w:pPr>
        <w:spacing w:line="360" w:lineRule="auto"/>
        <w:ind w:left="720"/>
      </w:pPr>
      <w:r>
        <w:rPr>
          <w:sz w:val="22"/>
          <w:szCs w:val="22"/>
        </w:rPr>
        <w:t>‘[50]</w:t>
      </w:r>
      <w:r>
        <w:rPr>
          <w:sz w:val="22"/>
          <w:szCs w:val="22"/>
        </w:rPr>
        <w:tab/>
      </w:r>
      <w:r w:rsidRPr="007B2235">
        <w:rPr>
          <w:sz w:val="22"/>
          <w:szCs w:val="22"/>
        </w:rPr>
        <w:t>The usual procedure in applications for recusal is that counsel for the applicant seeks a meeting in Chambers with the Judge or Judges in the presence of her or his opponent. The grounds for recusal are put to the Judge who would be given an opportunity, if sought, to respond to them. In the event of recusal being refused by the Judge the applicant would, if so advised, move the application in open Court. In this case the procedure adopted by the fourth respondent departs radically from the accepted practice</w:t>
      </w:r>
      <w:r w:rsidRPr="007B2235">
        <w:t>.</w:t>
      </w:r>
      <w:r>
        <w:t>’</w:t>
      </w:r>
    </w:p>
    <w:p w:rsidR="00BB0855" w:rsidRPr="00BB0855" w:rsidRDefault="00BB0855" w:rsidP="00BB0855"/>
    <w:p w:rsidR="0095061D" w:rsidRDefault="001F072F" w:rsidP="00BB0855">
      <w:pPr>
        <w:pStyle w:val="Heading1"/>
      </w:pPr>
      <w:r>
        <w:t xml:space="preserve">As far as I know this is also the approach in the magistrate’s courts and </w:t>
      </w:r>
      <w:r w:rsidR="00474EBF">
        <w:t xml:space="preserve">if not this should be the approach. There is no reason to distinguish between different courts in this context. </w:t>
      </w:r>
      <w:r w:rsidR="0095061D">
        <w:t xml:space="preserve">As a matter of courtesy the </w:t>
      </w:r>
      <w:r w:rsidR="007B2235">
        <w:t>magistrate</w:t>
      </w:r>
      <w:r w:rsidR="0095061D">
        <w:t xml:space="preserve"> should have been apprised of the pending application and in my view so should the </w:t>
      </w:r>
      <w:r w:rsidR="00474EBF">
        <w:t>p</w:t>
      </w:r>
      <w:r w:rsidR="0095061D">
        <w:t xml:space="preserve">rosecutor who is, after all, a colleague of the </w:t>
      </w:r>
      <w:r w:rsidR="007315CB">
        <w:t>legal practitioner for Aupindi</w:t>
      </w:r>
      <w:r w:rsidR="0095061D">
        <w:t xml:space="preserve"> and also an officer of the court.  </w:t>
      </w:r>
      <w:r w:rsidR="00076865">
        <w:t>The magistrate</w:t>
      </w:r>
      <w:r w:rsidR="00765C92">
        <w:t>,</w:t>
      </w:r>
      <w:r w:rsidR="00076865">
        <w:t xml:space="preserve"> quite justifiably</w:t>
      </w:r>
      <w:r w:rsidR="00765C92">
        <w:t>,</w:t>
      </w:r>
      <w:r w:rsidR="00076865">
        <w:t xml:space="preserve"> referred to the manner in which the recusal application was brought as a </w:t>
      </w:r>
      <w:r w:rsidR="002A5FD4">
        <w:t>‘</w:t>
      </w:r>
      <w:r w:rsidR="00076865">
        <w:t>trial by ambush</w:t>
      </w:r>
      <w:r w:rsidR="002A5FD4">
        <w:t>’</w:t>
      </w:r>
      <w:r w:rsidR="00076865">
        <w:t xml:space="preserve">.  </w:t>
      </w:r>
    </w:p>
    <w:p w:rsidR="00076865" w:rsidRDefault="00076865" w:rsidP="00076865"/>
    <w:p w:rsidR="00076865" w:rsidRDefault="00076865" w:rsidP="00076865">
      <w:pPr>
        <w:pStyle w:val="Heading1"/>
      </w:pPr>
      <w:r>
        <w:t xml:space="preserve">A recusal application must be based on facts and such facts must give rise to a reasonable apprehension of bias on the part of a reasonable person or to an inference of bias. </w:t>
      </w:r>
      <w:r w:rsidR="00521FA9">
        <w:t xml:space="preserve">The facts for such application can appear from the record and if not this must be placed on the record. In a criminal trial this can notionally be done by way of the procedure for a special entry. I say notionally because normally </w:t>
      </w:r>
      <w:r w:rsidR="00C50743">
        <w:t>evidence relating to such entry is led subsequent to the trial on the merits for the purpose of placing the evidence on record for an appeal court to consider.</w:t>
      </w:r>
      <w:r w:rsidR="007B2235">
        <w:rPr>
          <w:rStyle w:val="FootnoteReference"/>
        </w:rPr>
        <w:footnoteReference w:id="8"/>
      </w:r>
      <w:r w:rsidR="00C50743">
        <w:t xml:space="preserve"> Lastly</w:t>
      </w:r>
      <w:r w:rsidR="007315CB">
        <w:t>,</w:t>
      </w:r>
      <w:r w:rsidR="00C50743">
        <w:t xml:space="preserve"> it can be put on record by the bringing of an application by way of notice of motion. It must be borne in mind that when it comes to a special entry evidence are tendered </w:t>
      </w:r>
      <w:r w:rsidR="00C50743">
        <w:rPr>
          <w:i/>
        </w:rPr>
        <w:t>viva voce</w:t>
      </w:r>
      <w:r w:rsidR="00C50743">
        <w:t xml:space="preserve"> where</w:t>
      </w:r>
      <w:r w:rsidR="00170A85">
        <w:t xml:space="preserve"> in an application by way of notice of motion the evidence is contained in the exchange of affidavits. It is only when conflicting evidence </w:t>
      </w:r>
      <w:r w:rsidR="00FD3922">
        <w:t xml:space="preserve">that is germane to the issue </w:t>
      </w:r>
      <w:r w:rsidR="00170A85">
        <w:t xml:space="preserve">is contained in the affidavits that </w:t>
      </w:r>
      <w:r w:rsidR="00FD3922">
        <w:t xml:space="preserve">complications arise.  </w:t>
      </w:r>
    </w:p>
    <w:p w:rsidR="00170A85" w:rsidRDefault="00170A85" w:rsidP="00170A85"/>
    <w:p w:rsidR="00170A85" w:rsidRDefault="00170A85" w:rsidP="00170A85">
      <w:pPr>
        <w:pStyle w:val="Heading1"/>
      </w:pPr>
      <w:r>
        <w:t xml:space="preserve">The </w:t>
      </w:r>
      <w:r w:rsidR="007315CB">
        <w:t>presiding</w:t>
      </w:r>
      <w:r>
        <w:t xml:space="preserve"> officer will have to decide whether the facts are such as to recuse him/herself. In this context such </w:t>
      </w:r>
      <w:r w:rsidR="007315CB">
        <w:t xml:space="preserve">presiding </w:t>
      </w:r>
      <w:r>
        <w:t>officer is in a sense the judge in his own case. The presiding officer is entitled to state facts for the record and consider these facts in making up his mind as to whether he</w:t>
      </w:r>
      <w:r w:rsidR="00181A2B">
        <w:t>/she</w:t>
      </w:r>
      <w:r>
        <w:t xml:space="preserve"> should recuse him or herself.</w:t>
      </w:r>
      <w:r w:rsidR="007B2235">
        <w:rPr>
          <w:rStyle w:val="FootnoteReference"/>
        </w:rPr>
        <w:footnoteReference w:id="9"/>
      </w:r>
      <w:r>
        <w:t xml:space="preserve"> </w:t>
      </w:r>
      <w:r w:rsidR="00BE0BD2">
        <w:t xml:space="preserve">The only issue that can arise in this context is when facts </w:t>
      </w:r>
      <w:r w:rsidR="000D0C02">
        <w:t xml:space="preserve">germane to the issue of his/her impartiality </w:t>
      </w:r>
      <w:r w:rsidR="00BE0BD2">
        <w:t xml:space="preserve">stated by the presiding officer </w:t>
      </w:r>
      <w:r w:rsidR="000D0C02">
        <w:t>are</w:t>
      </w:r>
      <w:r w:rsidR="00BE0BD2">
        <w:t xml:space="preserve"> contested by other witnesses. In such case the presiding officer will invariably recuse himself </w:t>
      </w:r>
      <w:r w:rsidR="002A6619">
        <w:t xml:space="preserve">or herself </w:t>
      </w:r>
      <w:r w:rsidR="00BE0BD2">
        <w:t>because the process of determining</w:t>
      </w:r>
      <w:r w:rsidR="00B24520">
        <w:t xml:space="preserve"> which evidence to accept cannot be determined by one of the parties to the dispute, will cause undue delay to the trial and will have the inevitable result that a recusal must follow either because the witness(es) evidence is preferred over that of the presiding officer or, where the presiding officer’s evidence is preferred, of raising an apprehension of </w:t>
      </w:r>
      <w:r w:rsidR="000251CA">
        <w:t xml:space="preserve">bias because of what the presiding officer had to </w:t>
      </w:r>
      <w:r w:rsidR="00181A2B">
        <w:t>endure</w:t>
      </w:r>
      <w:r w:rsidR="000251CA">
        <w:t xml:space="preserve"> to establish the veracity of his </w:t>
      </w:r>
      <w:r w:rsidR="002A6619">
        <w:t xml:space="preserve">or her </w:t>
      </w:r>
      <w:r w:rsidR="000251CA">
        <w:t xml:space="preserve">version.  </w:t>
      </w:r>
      <w:r w:rsidR="00DA6DE9">
        <w:t xml:space="preserve">  </w:t>
      </w:r>
    </w:p>
    <w:p w:rsidR="00DA6DE9" w:rsidRDefault="00DA6DE9" w:rsidP="00DA6DE9"/>
    <w:p w:rsidR="00DA6DE9" w:rsidRDefault="00DA6DE9" w:rsidP="00DA6DE9">
      <w:pPr>
        <w:pStyle w:val="Heading1"/>
      </w:pPr>
      <w:r>
        <w:t xml:space="preserve">As is clear </w:t>
      </w:r>
      <w:r w:rsidR="00A568AB">
        <w:t xml:space="preserve">from the approach taken on behalf of </w:t>
      </w:r>
      <w:r w:rsidR="007315CB">
        <w:t>Aupindi</w:t>
      </w:r>
      <w:r w:rsidR="00A568AB">
        <w:t xml:space="preserve"> in this regard none of the approaches </w:t>
      </w:r>
      <w:r w:rsidR="00AC3742">
        <w:t xml:space="preserve">mentioned </w:t>
      </w:r>
      <w:r w:rsidR="00A568AB">
        <w:t>to recusal applications were followed. What was done was to use a hybrid approach and to let McKay give evidence of statements he took and to have him hand in the statements to which no one had the opportunity to respond</w:t>
      </w:r>
      <w:r w:rsidR="00057319">
        <w:t xml:space="preserve"> to</w:t>
      </w:r>
      <w:r w:rsidR="00A568AB">
        <w:t xml:space="preserve"> and could meaning</w:t>
      </w:r>
      <w:r w:rsidR="00964320">
        <w:t xml:space="preserve">fully respond </w:t>
      </w:r>
      <w:r w:rsidR="00057319">
        <w:t xml:space="preserve">to </w:t>
      </w:r>
      <w:r w:rsidR="00964320">
        <w:t xml:space="preserve">as his statements did not form part of an application. Nor could McKay be cross-examined on the contents of these statements as </w:t>
      </w:r>
      <w:r w:rsidR="00D24F40">
        <w:t xml:space="preserve">it did </w:t>
      </w:r>
      <w:r w:rsidR="00FB6738">
        <w:t xml:space="preserve">not </w:t>
      </w:r>
      <w:r w:rsidR="00D24F40">
        <w:t>fall within his personal knowledge. This procedure flummoxed the prosecutor who explained in his answering affidavit that he did not there and then deny the averments made in these statements against him as the persons were not called as witnesses to come and confirm these statements and hence could not be cross-examined. It</w:t>
      </w:r>
      <w:r w:rsidR="00C078ED">
        <w:t xml:space="preserve"> would obviously had been of no use to canvass this with the witness who was called (McKay) as he had no personal knowledge of what was contained in the statements. </w:t>
      </w:r>
      <w:r w:rsidR="007315CB">
        <w:t>Aupindi’s legal practitioner’s</w:t>
      </w:r>
      <w:r w:rsidR="00C078ED">
        <w:t xml:space="preserve"> stance was that there were sworn statements that indicated untoward conduct by the magistrate and this in itself was sufficient to create a reasonable apprehension of bias. As already indicated the magistrate was of the view that the statements in themselves were mere allegations and she would not recuse herself on the basis of them and would only consider the recusal application after hearing oral evidence and after the </w:t>
      </w:r>
      <w:r w:rsidR="000A33B6">
        <w:t>deponents</w:t>
      </w:r>
      <w:r w:rsidR="00C078ED">
        <w:t xml:space="preserve"> had been examined and cross-examined.  </w:t>
      </w:r>
    </w:p>
    <w:p w:rsidR="00C078ED" w:rsidRDefault="00C078ED" w:rsidP="00C078ED"/>
    <w:p w:rsidR="007B2235" w:rsidRDefault="007B2235" w:rsidP="007B2235">
      <w:pPr>
        <w:pStyle w:val="Heading1"/>
      </w:pPr>
      <w:r>
        <w:t xml:space="preserve">Test for recusal is actual bias or a reasonable apprehension of bias. The </w:t>
      </w:r>
      <w:r w:rsidR="000A33B6">
        <w:t>applicants</w:t>
      </w:r>
      <w:r>
        <w:t xml:space="preserve">’ case </w:t>
      </w:r>
      <w:r w:rsidR="000A33B6">
        <w:t>wa</w:t>
      </w:r>
      <w:r>
        <w:t>s based on an apprehension of bias. In this regard th</w:t>
      </w:r>
      <w:r w:rsidR="00BB0855">
        <w:t>e</w:t>
      </w:r>
      <w:r>
        <w:t xml:space="preserve"> test has been set out as follows:</w:t>
      </w:r>
      <w:r>
        <w:rPr>
          <w:rStyle w:val="FootnoteReference"/>
        </w:rPr>
        <w:footnoteReference w:id="10"/>
      </w:r>
      <w:r>
        <w:t xml:space="preserve">  </w:t>
      </w:r>
    </w:p>
    <w:p w:rsidR="007B2235" w:rsidRDefault="007B2235" w:rsidP="007B2235"/>
    <w:p w:rsidR="007B2235" w:rsidRDefault="00BB0855" w:rsidP="00D42A31">
      <w:pPr>
        <w:spacing w:line="360" w:lineRule="auto"/>
        <w:ind w:left="1440" w:hanging="720"/>
        <w:rPr>
          <w:sz w:val="22"/>
          <w:szCs w:val="22"/>
        </w:rPr>
      </w:pPr>
      <w:r>
        <w:rPr>
          <w:sz w:val="22"/>
          <w:szCs w:val="22"/>
        </w:rPr>
        <w:t>‘[19]</w:t>
      </w:r>
      <w:r>
        <w:rPr>
          <w:sz w:val="22"/>
          <w:szCs w:val="22"/>
        </w:rPr>
        <w:tab/>
      </w:r>
      <w:r w:rsidR="007B2235" w:rsidRPr="007B2235">
        <w:rPr>
          <w:sz w:val="22"/>
          <w:szCs w:val="22"/>
        </w:rPr>
        <w:t xml:space="preserve">First, the test is whether the reasonable, objective and informed person would on the correct facts reasonably apprehend that the Judge will not be impartial.  </w:t>
      </w:r>
    </w:p>
    <w:p w:rsidR="007B2235" w:rsidRDefault="007B2235" w:rsidP="00D42A31">
      <w:pPr>
        <w:spacing w:line="360" w:lineRule="auto"/>
        <w:ind w:left="720"/>
        <w:rPr>
          <w:sz w:val="22"/>
          <w:szCs w:val="22"/>
        </w:rPr>
      </w:pPr>
    </w:p>
    <w:p w:rsidR="007B2235" w:rsidRDefault="00BB0855" w:rsidP="00D42A31">
      <w:pPr>
        <w:spacing w:line="360" w:lineRule="auto"/>
        <w:ind w:left="1440" w:hanging="720"/>
        <w:rPr>
          <w:sz w:val="22"/>
          <w:szCs w:val="22"/>
        </w:rPr>
      </w:pPr>
      <w:r>
        <w:rPr>
          <w:sz w:val="22"/>
          <w:szCs w:val="22"/>
        </w:rPr>
        <w:t>[20]</w:t>
      </w:r>
      <w:r>
        <w:rPr>
          <w:sz w:val="22"/>
          <w:szCs w:val="22"/>
        </w:rPr>
        <w:tab/>
      </w:r>
      <w:r w:rsidR="007B2235" w:rsidRPr="007B2235">
        <w:rPr>
          <w:sz w:val="22"/>
          <w:szCs w:val="22"/>
        </w:rPr>
        <w:t xml:space="preserve">Secondly, the test is an objective one. The requirement is described </w:t>
      </w:r>
      <w:r w:rsidR="007315CB">
        <w:rPr>
          <w:sz w:val="22"/>
          <w:szCs w:val="22"/>
        </w:rPr>
        <w:t xml:space="preserve">. . . </w:t>
      </w:r>
      <w:r w:rsidR="007B2235" w:rsidRPr="007B2235">
        <w:rPr>
          <w:sz w:val="22"/>
          <w:szCs w:val="22"/>
        </w:rPr>
        <w:t xml:space="preserve">as one of 'double reasonableness'. Not only must the person apprehending the bias be a reasonable person in the position of the applicant for recusal but the apprehension must also be reasonable. Moreover, apprehension that the Judge may be biased is not enough. What is required is an apprehension, based on reasonable grounds, that the Judge will not be impartial.  </w:t>
      </w:r>
    </w:p>
    <w:p w:rsidR="007B2235" w:rsidRPr="007B2235" w:rsidRDefault="007B2235" w:rsidP="00D42A31">
      <w:pPr>
        <w:spacing w:line="360" w:lineRule="auto"/>
        <w:ind w:left="720"/>
        <w:rPr>
          <w:sz w:val="22"/>
          <w:szCs w:val="22"/>
        </w:rPr>
      </w:pPr>
    </w:p>
    <w:p w:rsidR="007B2235" w:rsidRDefault="00BB0855" w:rsidP="00D42A31">
      <w:pPr>
        <w:spacing w:line="360" w:lineRule="auto"/>
        <w:ind w:left="1440" w:hanging="720"/>
        <w:rPr>
          <w:sz w:val="22"/>
          <w:szCs w:val="22"/>
        </w:rPr>
      </w:pPr>
      <w:r>
        <w:rPr>
          <w:sz w:val="22"/>
          <w:szCs w:val="22"/>
        </w:rPr>
        <w:t>[21]</w:t>
      </w:r>
      <w:r>
        <w:rPr>
          <w:sz w:val="22"/>
          <w:szCs w:val="22"/>
        </w:rPr>
        <w:tab/>
      </w:r>
      <w:r w:rsidR="007B2235" w:rsidRPr="007B2235">
        <w:rPr>
          <w:sz w:val="22"/>
          <w:szCs w:val="22"/>
        </w:rPr>
        <w:t xml:space="preserve">Thirdly, there is a built-in presumption that, particularly since Judges are bound by a solemn oath of office to administer justice without fear or favour, they will be impartial in adjudicating disputes. As a consequence, the applicant for recusal bears the onus of rebutting the weighty presumption of judicial impartiality. As was pointed out by Cameron AJ </w:t>
      </w:r>
      <w:r w:rsidR="007315CB">
        <w:rPr>
          <w:sz w:val="22"/>
          <w:szCs w:val="22"/>
        </w:rPr>
        <w:t>. . .</w:t>
      </w:r>
      <w:r w:rsidR="007B2235" w:rsidRPr="007B2235">
        <w:rPr>
          <w:sz w:val="22"/>
          <w:szCs w:val="22"/>
        </w:rPr>
        <w:t xml:space="preserve"> the purpose of formulating the test as one of 'double-reasonableness' is to emphasise the weight of the burden resting on the appellant for recusal.</w:t>
      </w:r>
    </w:p>
    <w:p w:rsidR="007B2235" w:rsidRPr="007B2235" w:rsidRDefault="007B2235" w:rsidP="00D42A31">
      <w:pPr>
        <w:spacing w:line="360" w:lineRule="auto"/>
        <w:ind w:left="720"/>
        <w:rPr>
          <w:sz w:val="22"/>
          <w:szCs w:val="22"/>
        </w:rPr>
      </w:pPr>
    </w:p>
    <w:p w:rsidR="007B2235" w:rsidRPr="007B2235" w:rsidRDefault="00BB0855" w:rsidP="00D42A31">
      <w:pPr>
        <w:spacing w:line="360" w:lineRule="auto"/>
        <w:ind w:left="1440" w:hanging="720"/>
        <w:rPr>
          <w:sz w:val="22"/>
          <w:szCs w:val="22"/>
        </w:rPr>
      </w:pPr>
      <w:r>
        <w:rPr>
          <w:sz w:val="22"/>
          <w:szCs w:val="22"/>
        </w:rPr>
        <w:t>[22]</w:t>
      </w:r>
      <w:r>
        <w:rPr>
          <w:sz w:val="22"/>
          <w:szCs w:val="22"/>
        </w:rPr>
        <w:tab/>
      </w:r>
      <w:r w:rsidR="007B2235" w:rsidRPr="007B2235">
        <w:rPr>
          <w:sz w:val="22"/>
          <w:szCs w:val="22"/>
        </w:rPr>
        <w:t>Fourthly, what is required of a Judge is judicial impartiality and not complete neutrality. It is accepted that Judges are human and that they bring their life experiences to the Bench. They are not expected to divorce themselves from these experiences and to become judicial stereotypes. What Judges are required to be is impartial, that is, to approach the matter with a mind open to persuasion by the evidence and the submissions of counsel.</w:t>
      </w:r>
      <w:r>
        <w:rPr>
          <w:sz w:val="22"/>
          <w:szCs w:val="22"/>
        </w:rPr>
        <w:t>’</w:t>
      </w:r>
    </w:p>
    <w:p w:rsidR="007B2235" w:rsidRDefault="007B2235" w:rsidP="007B2235">
      <w:pPr>
        <w:rPr>
          <w:sz w:val="22"/>
          <w:szCs w:val="22"/>
        </w:rPr>
      </w:pPr>
    </w:p>
    <w:p w:rsidR="00AC3742" w:rsidRDefault="00D34F36" w:rsidP="00AC3742">
      <w:pPr>
        <w:pStyle w:val="Heading1"/>
      </w:pPr>
      <w:r>
        <w:t xml:space="preserve">The double reasonableness test has recently been confirmed in this court </w:t>
      </w:r>
      <w:r w:rsidR="00D42A31">
        <w:t xml:space="preserve">as also applicable in Namibia. </w:t>
      </w:r>
      <w:r>
        <w:t>So ha</w:t>
      </w:r>
      <w:r w:rsidR="007315CB">
        <w:t>s</w:t>
      </w:r>
      <w:r>
        <w:t xml:space="preserve"> </w:t>
      </w:r>
      <w:r w:rsidR="0086500D">
        <w:t xml:space="preserve">the presumption of impartiality when it comes to judges with its concomitant that this presumption can only be </w:t>
      </w:r>
      <w:r w:rsidR="00181E2E">
        <w:t>rebutted by cogent and convincing evid</w:t>
      </w:r>
      <w:r w:rsidR="00D42A31">
        <w:t>ence to the contrary.</w:t>
      </w:r>
      <w:r w:rsidR="00181E2E">
        <w:t xml:space="preserve"> The onus </w:t>
      </w:r>
      <w:r w:rsidR="00E72C29">
        <w:t>was</w:t>
      </w:r>
      <w:r w:rsidR="00181E2E">
        <w:t xml:space="preserve"> on the applicant in </w:t>
      </w:r>
      <w:r w:rsidR="00E12FE4">
        <w:t>the</w:t>
      </w:r>
      <w:r w:rsidR="00181E2E">
        <w:t xml:space="preserve"> recusal application </w:t>
      </w:r>
      <w:r w:rsidR="008B357A">
        <w:t>to so rebut the perception of impartiality.</w:t>
      </w:r>
      <w:r w:rsidR="008B357A">
        <w:rPr>
          <w:rStyle w:val="FootnoteReference"/>
        </w:rPr>
        <w:footnoteReference w:id="11"/>
      </w:r>
      <w:r w:rsidR="008B357A">
        <w:t xml:space="preserve"> </w:t>
      </w:r>
      <w:r w:rsidR="00250F36">
        <w:t>In the context of recusal applications</w:t>
      </w:r>
      <w:r w:rsidR="007315CB">
        <w:t>,</w:t>
      </w:r>
      <w:r w:rsidR="00250F36">
        <w:t xml:space="preserve"> I can see no reason why magistrates should be treated differently from judges.  </w:t>
      </w:r>
    </w:p>
    <w:p w:rsidR="00AC3742" w:rsidRPr="007B2235" w:rsidRDefault="00AC3742" w:rsidP="007B2235">
      <w:pPr>
        <w:rPr>
          <w:sz w:val="22"/>
          <w:szCs w:val="22"/>
        </w:rPr>
      </w:pPr>
    </w:p>
    <w:p w:rsidR="007B2235" w:rsidRPr="007B2235" w:rsidRDefault="007B2235" w:rsidP="007B2235">
      <w:pPr>
        <w:pStyle w:val="Heading1"/>
      </w:pPr>
      <w:r>
        <w:t xml:space="preserve">A judicial officer must not treat an application for recusal as a personal </w:t>
      </w:r>
      <w:r w:rsidR="00905B82">
        <w:t>affront</w:t>
      </w:r>
      <w:r>
        <w:t>:</w:t>
      </w:r>
      <w:r>
        <w:rPr>
          <w:rStyle w:val="FootnoteReference"/>
        </w:rPr>
        <w:footnoteReference w:id="12"/>
      </w:r>
    </w:p>
    <w:p w:rsidR="007B2235" w:rsidRDefault="007B2235" w:rsidP="00C078ED">
      <w:pPr>
        <w:rPr>
          <w:sz w:val="22"/>
          <w:szCs w:val="22"/>
        </w:rPr>
      </w:pPr>
    </w:p>
    <w:p w:rsidR="007B2235" w:rsidRPr="007B2235" w:rsidRDefault="00D42A31" w:rsidP="00D42A31">
      <w:pPr>
        <w:spacing w:line="360" w:lineRule="auto"/>
        <w:ind w:left="720"/>
        <w:rPr>
          <w:sz w:val="22"/>
          <w:szCs w:val="22"/>
        </w:rPr>
      </w:pPr>
      <w:r>
        <w:rPr>
          <w:sz w:val="22"/>
          <w:szCs w:val="22"/>
        </w:rPr>
        <w:t>‘</w:t>
      </w:r>
      <w:r w:rsidR="007B2235" w:rsidRPr="007B2235">
        <w:rPr>
          <w:sz w:val="22"/>
          <w:szCs w:val="22"/>
        </w:rPr>
        <w:t xml:space="preserve">A judicial officer should not be unduly sensitive and ought not to regard an application for his recusal as a personal affront. (Compare S v Bam 1972 (4) SA 41 (E) at 43G-44.) If he does, he is likely to get his judgment clouded; and, should he in a case like the present openly convey his resentment to the parties, the result will most likely be to fuel the fire of suspicion on the part of the applicant for recusal. After all, where a reasonable suspicion of bias is alleged, a Judge is primarily concerned with the perceptions of the applicant for his recusal for, as Trollip AJA said in </w:t>
      </w:r>
      <w:r w:rsidR="007B2235" w:rsidRPr="007315CB">
        <w:rPr>
          <w:i/>
          <w:sz w:val="22"/>
          <w:szCs w:val="22"/>
        </w:rPr>
        <w:t>S v Rall</w:t>
      </w:r>
      <w:r w:rsidR="007B2235" w:rsidRPr="007B2235">
        <w:rPr>
          <w:sz w:val="22"/>
          <w:szCs w:val="22"/>
        </w:rPr>
        <w:t xml:space="preserve"> 1982 (1) SA 828 (A) at 831 in fin-832:  </w:t>
      </w:r>
    </w:p>
    <w:p w:rsidR="007B2235" w:rsidRDefault="007B2235" w:rsidP="00D42A31">
      <w:pPr>
        <w:spacing w:line="360" w:lineRule="auto"/>
        <w:ind w:left="720"/>
        <w:rPr>
          <w:sz w:val="22"/>
          <w:szCs w:val="22"/>
        </w:rPr>
      </w:pPr>
    </w:p>
    <w:p w:rsidR="007B2235" w:rsidRDefault="00D42A31" w:rsidP="00D42A31">
      <w:pPr>
        <w:spacing w:line="360" w:lineRule="auto"/>
        <w:ind w:left="1440"/>
        <w:rPr>
          <w:sz w:val="22"/>
          <w:szCs w:val="22"/>
        </w:rPr>
      </w:pPr>
      <w:r>
        <w:rPr>
          <w:sz w:val="22"/>
          <w:szCs w:val="22"/>
        </w:rPr>
        <w:t>“</w:t>
      </w:r>
      <w:r w:rsidR="007B2235" w:rsidRPr="007B2235">
        <w:rPr>
          <w:sz w:val="22"/>
          <w:szCs w:val="22"/>
        </w:rPr>
        <w:t>(T)he Judge must ensure that "justice is done". It is equally important, I think, that he should also ensure that justice is seen to be done. After all, that is a fundamental principle of our law and public policy. He should therefore so conduct the trial that his open-mindedness, his impartiality and his fairness are manifest to all those who are concerned in the trial and its o</w:t>
      </w:r>
      <w:r>
        <w:rPr>
          <w:sz w:val="22"/>
          <w:szCs w:val="22"/>
        </w:rPr>
        <w:t>utcome, especially the accused.”</w:t>
      </w:r>
    </w:p>
    <w:p w:rsidR="007B2235" w:rsidRPr="007B2235" w:rsidRDefault="007B2235" w:rsidP="00D42A31">
      <w:pPr>
        <w:spacing w:line="360" w:lineRule="auto"/>
        <w:ind w:left="1440"/>
        <w:rPr>
          <w:sz w:val="22"/>
          <w:szCs w:val="22"/>
        </w:rPr>
      </w:pPr>
    </w:p>
    <w:p w:rsidR="007B2235" w:rsidRDefault="007B2235" w:rsidP="00D42A31">
      <w:pPr>
        <w:spacing w:line="360" w:lineRule="auto"/>
        <w:ind w:left="720"/>
        <w:rPr>
          <w:sz w:val="22"/>
          <w:szCs w:val="22"/>
        </w:rPr>
      </w:pPr>
      <w:r w:rsidRPr="007B2235">
        <w:rPr>
          <w:sz w:val="22"/>
          <w:szCs w:val="22"/>
        </w:rPr>
        <w:t xml:space="preserve">(See also </w:t>
      </w:r>
      <w:r w:rsidRPr="007315CB">
        <w:rPr>
          <w:i/>
          <w:sz w:val="22"/>
          <w:szCs w:val="22"/>
        </w:rPr>
        <w:t>S v Malindi and Others</w:t>
      </w:r>
      <w:r w:rsidRPr="007B2235">
        <w:rPr>
          <w:sz w:val="22"/>
          <w:szCs w:val="22"/>
        </w:rPr>
        <w:t xml:space="preserve"> 1990 (1) SA 962 (A) at 969G-I and cf </w:t>
      </w:r>
      <w:r w:rsidRPr="004F5927">
        <w:rPr>
          <w:i/>
          <w:sz w:val="22"/>
          <w:szCs w:val="22"/>
        </w:rPr>
        <w:t>Solomon and Another NNO v De Waal</w:t>
      </w:r>
      <w:r w:rsidRPr="007B2235">
        <w:rPr>
          <w:sz w:val="22"/>
          <w:szCs w:val="22"/>
        </w:rPr>
        <w:t> 1972 (1) SA 575 (A) at 580H; S v Meyer 1972 (3) SA 480 (A) at 484C-F.) A Judge whose recusal is sought should accordingly bear in mind that what is required, particularly in dealing with the application for recusal itself, is 'conspicuous impartiality'</w:t>
      </w:r>
      <w:r>
        <w:rPr>
          <w:sz w:val="22"/>
          <w:szCs w:val="22"/>
        </w:rPr>
        <w:t>.”</w:t>
      </w:r>
      <w:r w:rsidR="00D42A31">
        <w:rPr>
          <w:sz w:val="22"/>
          <w:szCs w:val="22"/>
        </w:rPr>
        <w:t>’</w:t>
      </w:r>
    </w:p>
    <w:p w:rsidR="007B2235" w:rsidRDefault="007B2235" w:rsidP="007B2235">
      <w:pPr>
        <w:ind w:left="720"/>
        <w:rPr>
          <w:sz w:val="22"/>
          <w:szCs w:val="22"/>
        </w:rPr>
      </w:pPr>
    </w:p>
    <w:p w:rsidR="007B2235" w:rsidRDefault="007B2235" w:rsidP="007B2235">
      <w:pPr>
        <w:pStyle w:val="Heading1"/>
      </w:pPr>
      <w:r>
        <w:t>Lastly, in respect of the approach to such applications it should be stressed that whereas a judicial officer should recuse himself where the facts warrant this, it is also his/her duty not to do so where the facts do not warrant a recusal:</w:t>
      </w:r>
      <w:r>
        <w:rPr>
          <w:rStyle w:val="FootnoteReference"/>
        </w:rPr>
        <w:footnoteReference w:id="13"/>
      </w:r>
      <w:r>
        <w:t xml:space="preserve">  </w:t>
      </w:r>
    </w:p>
    <w:p w:rsidR="007B2235" w:rsidRDefault="007B2235" w:rsidP="00C078ED">
      <w:pPr>
        <w:rPr>
          <w:sz w:val="22"/>
          <w:szCs w:val="22"/>
        </w:rPr>
      </w:pPr>
    </w:p>
    <w:p w:rsidR="007B2235" w:rsidRDefault="00D42A31" w:rsidP="00D42A31">
      <w:pPr>
        <w:spacing w:line="360" w:lineRule="auto"/>
        <w:ind w:left="1440" w:hanging="720"/>
        <w:rPr>
          <w:sz w:val="22"/>
          <w:szCs w:val="22"/>
        </w:rPr>
      </w:pPr>
      <w:r>
        <w:rPr>
          <w:sz w:val="22"/>
          <w:szCs w:val="22"/>
        </w:rPr>
        <w:t>‘[35]</w:t>
      </w:r>
      <w:r>
        <w:rPr>
          <w:sz w:val="22"/>
          <w:szCs w:val="22"/>
        </w:rPr>
        <w:tab/>
      </w:r>
      <w:r w:rsidR="007B2235" w:rsidRPr="007B2235">
        <w:rPr>
          <w:sz w:val="22"/>
          <w:szCs w:val="22"/>
        </w:rPr>
        <w:t>The presumption of impartiality and the double requirement of reasonableness underscore the formidable nature of the burden resting upon the litigant who alleges bias or its apprehension. The idea is not to permit a disgruntled litigant to successfully complain of bias simply because the judicial officer has ruled against him or her. Nor should litigants be encouraged to believe that, by seeking the disqualification of a judicial officer, they will have their case heard by another judicial officer who is likely to decide the case in their favour.  Judicial officers have a duty to sit in all cases in which they are not disqualified from sitting.  This flows from their duty to exercise their judicial functions. As has been rightly observed, '(j)udges do not choose their cases; and litigants do not choose their judges'.  An application for recusal should not prevail, unless it is based on substantial grounds for contending a reasonable apprehension of bias.</w:t>
      </w:r>
      <w:r>
        <w:rPr>
          <w:sz w:val="22"/>
          <w:szCs w:val="22"/>
        </w:rPr>
        <w:t>’</w:t>
      </w:r>
    </w:p>
    <w:p w:rsidR="007B2235" w:rsidRPr="007B2235" w:rsidRDefault="007B2235" w:rsidP="00C078ED">
      <w:pPr>
        <w:rPr>
          <w:szCs w:val="24"/>
        </w:rPr>
      </w:pPr>
    </w:p>
    <w:p w:rsidR="00C078ED" w:rsidRPr="007B2235" w:rsidRDefault="00C078ED" w:rsidP="00C078ED">
      <w:pPr>
        <w:pStyle w:val="Heading1"/>
        <w:rPr>
          <w:szCs w:val="24"/>
        </w:rPr>
      </w:pPr>
      <w:r w:rsidRPr="007B2235">
        <w:rPr>
          <w:szCs w:val="24"/>
        </w:rPr>
        <w:t>It is clear that it w</w:t>
      </w:r>
      <w:r w:rsidR="007B2235">
        <w:rPr>
          <w:szCs w:val="24"/>
        </w:rPr>
        <w:t>a</w:t>
      </w:r>
      <w:r w:rsidRPr="007B2235">
        <w:rPr>
          <w:szCs w:val="24"/>
        </w:rPr>
        <w:t xml:space="preserve">s for the </w:t>
      </w:r>
      <w:r w:rsidR="00A13070">
        <w:rPr>
          <w:szCs w:val="24"/>
        </w:rPr>
        <w:t>applicants</w:t>
      </w:r>
      <w:r w:rsidRPr="007B2235">
        <w:rPr>
          <w:szCs w:val="24"/>
        </w:rPr>
        <w:t xml:space="preserve"> to establish the facts </w:t>
      </w:r>
      <w:r w:rsidR="00A13070">
        <w:rPr>
          <w:szCs w:val="24"/>
        </w:rPr>
        <w:t>they</w:t>
      </w:r>
      <w:r w:rsidRPr="007B2235">
        <w:rPr>
          <w:szCs w:val="24"/>
        </w:rPr>
        <w:t xml:space="preserve"> relied on to seek the recusal of the magistrate</w:t>
      </w:r>
      <w:r w:rsidR="005027ED">
        <w:rPr>
          <w:szCs w:val="24"/>
        </w:rPr>
        <w:t xml:space="preserve"> by way of cogent and convincing evidence</w:t>
      </w:r>
      <w:r w:rsidRPr="007B2235">
        <w:rPr>
          <w:szCs w:val="24"/>
        </w:rPr>
        <w:t xml:space="preserve">. As pointed out in a trial this is done by leading </w:t>
      </w:r>
      <w:r w:rsidRPr="007B2235">
        <w:rPr>
          <w:i/>
          <w:szCs w:val="24"/>
        </w:rPr>
        <w:t>viva voce</w:t>
      </w:r>
      <w:r w:rsidRPr="007B2235">
        <w:rPr>
          <w:szCs w:val="24"/>
        </w:rPr>
        <w:t xml:space="preserve"> evidence and in application proceedings this is done by way of affidavits. In the </w:t>
      </w:r>
      <w:r w:rsidR="007A0F2E" w:rsidRPr="007B2235">
        <w:rPr>
          <w:szCs w:val="24"/>
        </w:rPr>
        <w:t xml:space="preserve">latter proceedings there are special rules governing conflict of facts arising from the affidavits. Where such conflict arises </w:t>
      </w:r>
      <w:r w:rsidR="00477E2E">
        <w:rPr>
          <w:szCs w:val="24"/>
        </w:rPr>
        <w:t>in the context of a recusal application which cannot be resolved without the hearing of oral evidence including that of the</w:t>
      </w:r>
      <w:r w:rsidR="00CA1F4F">
        <w:rPr>
          <w:szCs w:val="24"/>
        </w:rPr>
        <w:t xml:space="preserve"> </w:t>
      </w:r>
      <w:r w:rsidR="00477E2E">
        <w:rPr>
          <w:szCs w:val="24"/>
        </w:rPr>
        <w:t>presiding officer</w:t>
      </w:r>
      <w:r w:rsidR="006F7346">
        <w:rPr>
          <w:szCs w:val="24"/>
        </w:rPr>
        <w:t>,</w:t>
      </w:r>
      <w:r w:rsidR="00477E2E">
        <w:rPr>
          <w:szCs w:val="24"/>
        </w:rPr>
        <w:t xml:space="preserve"> the presiding officer will normally </w:t>
      </w:r>
      <w:r w:rsidR="006F7346">
        <w:rPr>
          <w:szCs w:val="24"/>
        </w:rPr>
        <w:t xml:space="preserve">recuse himself or </w:t>
      </w:r>
      <w:r w:rsidR="00CA1F4F">
        <w:rPr>
          <w:szCs w:val="24"/>
        </w:rPr>
        <w:t>herself as pointed out above.</w:t>
      </w:r>
      <w:r w:rsidR="007A0F2E" w:rsidRPr="007B2235">
        <w:rPr>
          <w:szCs w:val="24"/>
        </w:rPr>
        <w:t xml:space="preserve"> It is clear that the hybrid procedure </w:t>
      </w:r>
      <w:r w:rsidR="006C4168" w:rsidRPr="007B2235">
        <w:rPr>
          <w:szCs w:val="24"/>
        </w:rPr>
        <w:t xml:space="preserve">followed on behalf of </w:t>
      </w:r>
      <w:r w:rsidR="006F7346">
        <w:rPr>
          <w:szCs w:val="24"/>
        </w:rPr>
        <w:t>applicants</w:t>
      </w:r>
      <w:r w:rsidR="006C4168" w:rsidRPr="007B2235">
        <w:rPr>
          <w:szCs w:val="24"/>
        </w:rPr>
        <w:t xml:space="preserve"> caused problems. The magistrate was of the view that as McKay gave oral evidence, the other witnesses should continue in this trend</w:t>
      </w:r>
      <w:r w:rsidR="006F7346">
        <w:rPr>
          <w:szCs w:val="24"/>
        </w:rPr>
        <w:t>,</w:t>
      </w:r>
      <w:r w:rsidR="006C4168" w:rsidRPr="007B2235">
        <w:rPr>
          <w:szCs w:val="24"/>
        </w:rPr>
        <w:t xml:space="preserve"> and did not place any facts on record as to her stance or her version of the events or commentary in respect of the averments made against her and she presumably would have taken this up with the witnesses when they testified. </w:t>
      </w:r>
      <w:r w:rsidR="007575D7" w:rsidRPr="007B2235">
        <w:rPr>
          <w:szCs w:val="24"/>
        </w:rPr>
        <w:t>The prosecutor was of the same view. It was clearly not correct to launch a recusal application on the basis of statements or affidavits without giving the State and/or the magistrate an opportunity to respond to such statements an</w:t>
      </w:r>
      <w:r w:rsidR="002D4B15" w:rsidRPr="007B2235">
        <w:rPr>
          <w:szCs w:val="24"/>
        </w:rPr>
        <w:t xml:space="preserve">d to simply state their responses would be irrelevant because it is a matter of perception and also not correct as the perception must be a reasonable perception of a reasonable man taking cognisance of the </w:t>
      </w:r>
      <w:r w:rsidR="007B2235">
        <w:rPr>
          <w:szCs w:val="24"/>
        </w:rPr>
        <w:t>established facts</w:t>
      </w:r>
      <w:r w:rsidR="002D4B15" w:rsidRPr="007B2235">
        <w:rPr>
          <w:szCs w:val="24"/>
        </w:rPr>
        <w:t>.</w:t>
      </w:r>
      <w:r w:rsidR="007B2235">
        <w:rPr>
          <w:rStyle w:val="FootnoteReference"/>
          <w:szCs w:val="24"/>
        </w:rPr>
        <w:footnoteReference w:id="14"/>
      </w:r>
      <w:r w:rsidR="002D4B15" w:rsidRPr="007B2235">
        <w:rPr>
          <w:szCs w:val="24"/>
        </w:rPr>
        <w:t xml:space="preserve"> </w:t>
      </w:r>
      <w:r w:rsidR="005027ED">
        <w:rPr>
          <w:szCs w:val="24"/>
        </w:rPr>
        <w:t>I inter</w:t>
      </w:r>
      <w:r w:rsidR="00BD1AD9">
        <w:rPr>
          <w:szCs w:val="24"/>
        </w:rPr>
        <w:t>pose</w:t>
      </w:r>
      <w:r w:rsidR="005027ED">
        <w:rPr>
          <w:szCs w:val="24"/>
        </w:rPr>
        <w:t xml:space="preserve"> here to mention that in the review application both the magistrate and the prosecutor deny the allegations levelled at them.  </w:t>
      </w:r>
    </w:p>
    <w:p w:rsidR="002D4B15" w:rsidRPr="007B2235" w:rsidRDefault="002D4B15" w:rsidP="002D4B15">
      <w:pPr>
        <w:rPr>
          <w:szCs w:val="24"/>
        </w:rPr>
      </w:pPr>
    </w:p>
    <w:p w:rsidR="002D4B15" w:rsidRPr="007B2235" w:rsidRDefault="002D4B15" w:rsidP="002D4B15">
      <w:pPr>
        <w:pStyle w:val="Heading1"/>
        <w:rPr>
          <w:szCs w:val="24"/>
        </w:rPr>
      </w:pPr>
      <w:r w:rsidRPr="007B2235">
        <w:rPr>
          <w:szCs w:val="24"/>
        </w:rPr>
        <w:t>The gravamen of the allegations in respect of the recusal application is that the prosecutor conveyed to certain person</w:t>
      </w:r>
      <w:r w:rsidR="007B2235">
        <w:rPr>
          <w:szCs w:val="24"/>
        </w:rPr>
        <w:t>s</w:t>
      </w:r>
      <w:r w:rsidRPr="007B2235">
        <w:rPr>
          <w:szCs w:val="24"/>
        </w:rPr>
        <w:t xml:space="preserve"> that the magistrate indicated that </w:t>
      </w:r>
      <w:r w:rsidR="003909A0">
        <w:rPr>
          <w:szCs w:val="24"/>
        </w:rPr>
        <w:t>Aupindi</w:t>
      </w:r>
      <w:r w:rsidRPr="007B2235">
        <w:rPr>
          <w:szCs w:val="24"/>
        </w:rPr>
        <w:t xml:space="preserve"> must be convicted and be imprisoned even if it is for a short period and if need be evidence must be fabricated to do so as there </w:t>
      </w:r>
      <w:r w:rsidR="00E76E8D" w:rsidRPr="007B2235">
        <w:rPr>
          <w:szCs w:val="24"/>
        </w:rPr>
        <w:t xml:space="preserve">is a group </w:t>
      </w:r>
      <w:r w:rsidR="004056BB">
        <w:rPr>
          <w:szCs w:val="24"/>
        </w:rPr>
        <w:t xml:space="preserve">of </w:t>
      </w:r>
      <w:r w:rsidR="00E76E8D" w:rsidRPr="007B2235">
        <w:rPr>
          <w:szCs w:val="24"/>
        </w:rPr>
        <w:t>well-to-do persons who</w:t>
      </w:r>
      <w:r w:rsidR="004056BB">
        <w:rPr>
          <w:szCs w:val="24"/>
        </w:rPr>
        <w:t xml:space="preserve"> would</w:t>
      </w:r>
      <w:r w:rsidR="00E76E8D" w:rsidRPr="007B2235">
        <w:rPr>
          <w:szCs w:val="24"/>
        </w:rPr>
        <w:t xml:space="preserve"> look after her and documents of ABSA Bank was present in her office with names on it including a name of a person the magistrate met in a car in front of the court.  </w:t>
      </w:r>
    </w:p>
    <w:p w:rsidR="00E76E8D" w:rsidRPr="007B2235" w:rsidRDefault="00E76E8D" w:rsidP="00E76E8D">
      <w:pPr>
        <w:rPr>
          <w:szCs w:val="24"/>
        </w:rPr>
      </w:pPr>
    </w:p>
    <w:p w:rsidR="00955EFF" w:rsidRPr="007B2235" w:rsidRDefault="00E76E8D" w:rsidP="00E76E8D">
      <w:pPr>
        <w:pStyle w:val="Heading1"/>
        <w:rPr>
          <w:szCs w:val="24"/>
        </w:rPr>
      </w:pPr>
      <w:r w:rsidRPr="007B2235">
        <w:rPr>
          <w:szCs w:val="24"/>
        </w:rPr>
        <w:t xml:space="preserve">It is now necessary to establish what facts were placed before the magistrate </w:t>
      </w:r>
      <w:r w:rsidR="007B2235">
        <w:rPr>
          <w:szCs w:val="24"/>
        </w:rPr>
        <w:t>to</w:t>
      </w:r>
      <w:r w:rsidRPr="007B2235">
        <w:rPr>
          <w:szCs w:val="24"/>
        </w:rPr>
        <w:t xml:space="preserve"> establish the basis of the recusal application. Needless to say</w:t>
      </w:r>
      <w:r w:rsidR="003909A0">
        <w:rPr>
          <w:szCs w:val="24"/>
        </w:rPr>
        <w:t>,</w:t>
      </w:r>
      <w:r w:rsidRPr="007B2235">
        <w:rPr>
          <w:szCs w:val="24"/>
        </w:rPr>
        <w:t xml:space="preserve"> if the matter is to be regarded as a </w:t>
      </w:r>
      <w:r w:rsidR="00607C3B" w:rsidRPr="007B2235">
        <w:rPr>
          <w:szCs w:val="24"/>
        </w:rPr>
        <w:t>trial no facts were placed before the magistrate as none of the persons who made the statements were called as witnesses and the magistrate certainly did not consent to the statements in lieu of evidence. I can mention in passing that neither did the prosecutor</w:t>
      </w:r>
      <w:r w:rsidR="007B2235">
        <w:rPr>
          <w:szCs w:val="24"/>
        </w:rPr>
        <w:t>. He did not</w:t>
      </w:r>
      <w:r w:rsidR="00607C3B" w:rsidRPr="007B2235">
        <w:rPr>
          <w:szCs w:val="24"/>
        </w:rPr>
        <w:t xml:space="preserve"> object to the statements</w:t>
      </w:r>
      <w:r w:rsidR="00955EFF" w:rsidRPr="007B2235">
        <w:rPr>
          <w:szCs w:val="24"/>
        </w:rPr>
        <w:t xml:space="preserve"> being read into the record on the basis that the deponents to such statements would be called as witnesses. It must be borne in mind that the establishment of facts must be by way of admissible evidence. Assuming however for the moment that the statements need to be considered as affidavits in application proceedings </w:t>
      </w:r>
      <w:r w:rsidR="00CA1F4F">
        <w:rPr>
          <w:szCs w:val="24"/>
        </w:rPr>
        <w:t xml:space="preserve">I deal with them on this basis.  </w:t>
      </w:r>
    </w:p>
    <w:p w:rsidR="00955EFF" w:rsidRPr="007B2235" w:rsidRDefault="00955EFF" w:rsidP="00955EFF">
      <w:pPr>
        <w:pStyle w:val="Heading1"/>
        <w:numPr>
          <w:ilvl w:val="0"/>
          <w:numId w:val="0"/>
        </w:numPr>
        <w:rPr>
          <w:szCs w:val="24"/>
        </w:rPr>
      </w:pPr>
    </w:p>
    <w:p w:rsidR="00E349CC" w:rsidRPr="007B2235" w:rsidRDefault="00955EFF" w:rsidP="00955EFF">
      <w:pPr>
        <w:pStyle w:val="Heading1"/>
        <w:rPr>
          <w:sz w:val="22"/>
          <w:szCs w:val="22"/>
        </w:rPr>
      </w:pPr>
      <w:r w:rsidRPr="007B2235">
        <w:rPr>
          <w:szCs w:val="24"/>
        </w:rPr>
        <w:t>The first statement handed in by McKay was one of Michael K</w:t>
      </w:r>
      <w:r w:rsidR="003909A0">
        <w:rPr>
          <w:rFonts w:cs="Arial"/>
          <w:szCs w:val="24"/>
        </w:rPr>
        <w:t>ü</w:t>
      </w:r>
      <w:r w:rsidRPr="007B2235">
        <w:rPr>
          <w:szCs w:val="24"/>
        </w:rPr>
        <w:t xml:space="preserve">hn. This statement dealt with who made payments </w:t>
      </w:r>
      <w:r w:rsidR="00E133F9" w:rsidRPr="007B2235">
        <w:rPr>
          <w:szCs w:val="24"/>
        </w:rPr>
        <w:t xml:space="preserve">for the pool installed at </w:t>
      </w:r>
      <w:r w:rsidR="003909A0">
        <w:rPr>
          <w:szCs w:val="24"/>
        </w:rPr>
        <w:t>Aupindi’s</w:t>
      </w:r>
      <w:r w:rsidR="00E133F9" w:rsidRPr="007B2235">
        <w:rPr>
          <w:szCs w:val="24"/>
        </w:rPr>
        <w:t xml:space="preserve"> house and is irrelevant to the recusal application. The second statement handed in by McKay was one from the wife of </w:t>
      </w:r>
      <w:r w:rsidR="003909A0">
        <w:rPr>
          <w:szCs w:val="24"/>
        </w:rPr>
        <w:t>Di Savino</w:t>
      </w:r>
      <w:r w:rsidR="004056BB">
        <w:rPr>
          <w:szCs w:val="24"/>
        </w:rPr>
        <w:t>, Ms Calabrese</w:t>
      </w:r>
      <w:r w:rsidR="00E133F9" w:rsidRPr="007B2235">
        <w:rPr>
          <w:szCs w:val="24"/>
        </w:rPr>
        <w:t xml:space="preserve">. Her affidavit contained no </w:t>
      </w:r>
      <w:r w:rsidR="005B7AC3">
        <w:rPr>
          <w:szCs w:val="24"/>
        </w:rPr>
        <w:t>direct</w:t>
      </w:r>
      <w:r w:rsidR="00E133F9" w:rsidRPr="007B2235">
        <w:rPr>
          <w:szCs w:val="24"/>
        </w:rPr>
        <w:t xml:space="preserve"> evidence at all but </w:t>
      </w:r>
      <w:r w:rsidR="000F54FF" w:rsidRPr="007B2235">
        <w:rPr>
          <w:szCs w:val="24"/>
        </w:rPr>
        <w:t xml:space="preserve">consists solely of hearsay conveyed to her by the wife of </w:t>
      </w:r>
      <w:r w:rsidR="003909A0">
        <w:rPr>
          <w:szCs w:val="24"/>
        </w:rPr>
        <w:t>Aupindi</w:t>
      </w:r>
      <w:r w:rsidR="000F54FF" w:rsidRPr="007B2235">
        <w:rPr>
          <w:szCs w:val="24"/>
        </w:rPr>
        <w:t xml:space="preserve"> as to alleged conversations at the magistrate’s court. The third statement handed in by McKay was one of Ms Helvi Iyambo. Once again this statement (affidavit) contains no </w:t>
      </w:r>
      <w:r w:rsidR="005B7AC3">
        <w:rPr>
          <w:szCs w:val="24"/>
        </w:rPr>
        <w:t>direct</w:t>
      </w:r>
      <w:r w:rsidR="000F54FF" w:rsidRPr="007B2235">
        <w:rPr>
          <w:szCs w:val="24"/>
        </w:rPr>
        <w:t xml:space="preserve"> evidence and consists wholly of hearsay. This much </w:t>
      </w:r>
      <w:r w:rsidR="00E349CC" w:rsidRPr="007B2235">
        <w:rPr>
          <w:szCs w:val="24"/>
        </w:rPr>
        <w:t xml:space="preserve">was appreciated by the </w:t>
      </w:r>
      <w:r w:rsidR="003909A0">
        <w:rPr>
          <w:szCs w:val="24"/>
        </w:rPr>
        <w:t>legal practitioner for Aupindi</w:t>
      </w:r>
      <w:r w:rsidR="00E349CC" w:rsidRPr="007B2235">
        <w:rPr>
          <w:szCs w:val="24"/>
        </w:rPr>
        <w:t xml:space="preserve"> and McKay as appear from the following extract from the record: </w:t>
      </w:r>
      <w:r w:rsidR="00E349CC" w:rsidRPr="007B2235">
        <w:rPr>
          <w:sz w:val="22"/>
          <w:szCs w:val="22"/>
        </w:rPr>
        <w:t xml:space="preserve"> </w:t>
      </w:r>
    </w:p>
    <w:p w:rsidR="00E349CC" w:rsidRPr="007B2235" w:rsidRDefault="00E349CC" w:rsidP="00BD714E">
      <w:pPr>
        <w:pStyle w:val="Heading1"/>
        <w:numPr>
          <w:ilvl w:val="0"/>
          <w:numId w:val="0"/>
        </w:numPr>
        <w:rPr>
          <w:sz w:val="22"/>
          <w:szCs w:val="22"/>
        </w:rPr>
      </w:pPr>
    </w:p>
    <w:p w:rsidR="00BD714E" w:rsidRPr="007B2235" w:rsidRDefault="00D42A31" w:rsidP="00D42A31">
      <w:pPr>
        <w:spacing w:line="360" w:lineRule="auto"/>
        <w:ind w:left="720"/>
        <w:rPr>
          <w:sz w:val="22"/>
          <w:szCs w:val="22"/>
        </w:rPr>
      </w:pPr>
      <w:r>
        <w:rPr>
          <w:sz w:val="22"/>
          <w:szCs w:val="22"/>
        </w:rPr>
        <w:t>‘</w:t>
      </w:r>
      <w:r w:rsidR="00BD714E" w:rsidRPr="007B2235">
        <w:rPr>
          <w:sz w:val="22"/>
          <w:szCs w:val="22"/>
        </w:rPr>
        <w:t xml:space="preserve">Now Mr McKay you obviously this was basically hearsay which you had on that stage, is it correct?  </w:t>
      </w:r>
    </w:p>
    <w:p w:rsidR="00BD714E" w:rsidRPr="007B2235" w:rsidRDefault="00BD714E" w:rsidP="00D42A31">
      <w:pPr>
        <w:spacing w:line="360" w:lineRule="auto"/>
        <w:ind w:left="720"/>
        <w:rPr>
          <w:sz w:val="22"/>
          <w:szCs w:val="22"/>
        </w:rPr>
      </w:pPr>
      <w:r w:rsidRPr="007B2235">
        <w:rPr>
          <w:sz w:val="22"/>
          <w:szCs w:val="22"/>
        </w:rPr>
        <w:t>--- That is correct.</w:t>
      </w:r>
    </w:p>
    <w:p w:rsidR="00BD714E" w:rsidRPr="007B2235" w:rsidRDefault="00BD714E" w:rsidP="00D42A31">
      <w:pPr>
        <w:spacing w:line="360" w:lineRule="auto"/>
        <w:ind w:left="720"/>
        <w:rPr>
          <w:sz w:val="22"/>
          <w:szCs w:val="22"/>
        </w:rPr>
      </w:pPr>
      <w:r w:rsidRPr="007B2235">
        <w:rPr>
          <w:sz w:val="22"/>
          <w:szCs w:val="22"/>
        </w:rPr>
        <w:t xml:space="preserve">Now you then went to the source from which it was suppose to originate, did you take a statement?  </w:t>
      </w:r>
    </w:p>
    <w:p w:rsidR="00BD714E" w:rsidRPr="007B2235" w:rsidRDefault="00BD714E" w:rsidP="00D42A31">
      <w:pPr>
        <w:spacing w:line="360" w:lineRule="auto"/>
        <w:ind w:left="720"/>
        <w:rPr>
          <w:sz w:val="22"/>
          <w:szCs w:val="22"/>
        </w:rPr>
      </w:pPr>
      <w:r w:rsidRPr="007B2235">
        <w:rPr>
          <w:sz w:val="22"/>
          <w:szCs w:val="22"/>
        </w:rPr>
        <w:t>--- That is correct.</w:t>
      </w:r>
      <w:r w:rsidR="00D42A31">
        <w:rPr>
          <w:sz w:val="22"/>
          <w:szCs w:val="22"/>
        </w:rPr>
        <w:t>’</w:t>
      </w:r>
    </w:p>
    <w:p w:rsidR="00BD714E" w:rsidRDefault="00BD714E" w:rsidP="005B7AC3">
      <w:pPr>
        <w:rPr>
          <w:sz w:val="22"/>
          <w:szCs w:val="22"/>
        </w:rPr>
      </w:pPr>
    </w:p>
    <w:p w:rsidR="005B7AC3" w:rsidRDefault="00F2089E" w:rsidP="00F2089E">
      <w:pPr>
        <w:pStyle w:val="Heading1"/>
      </w:pPr>
      <w:r>
        <w:t>Two questions arise in the context of the mentioned hearsay statements, namely</w:t>
      </w:r>
      <w:r w:rsidR="003909A0">
        <w:t>,</w:t>
      </w:r>
      <w:r>
        <w:t xml:space="preserve"> whether they are admissible as evidence at all</w:t>
      </w:r>
      <w:r w:rsidR="003909A0">
        <w:t>,</w:t>
      </w:r>
      <w:r>
        <w:t xml:space="preserve"> and if so, what are the</w:t>
      </w:r>
      <w:r w:rsidR="00A8782A">
        <w:t>i</w:t>
      </w:r>
      <w:r>
        <w:t xml:space="preserve">r evidential value. When </w:t>
      </w:r>
      <w:r w:rsidR="00A8782A">
        <w:t xml:space="preserve">it comes to their admissibility counsel for </w:t>
      </w:r>
      <w:r w:rsidR="003909A0">
        <w:t>Aupindi submit</w:t>
      </w:r>
      <w:r w:rsidR="00A8782A">
        <w:t xml:space="preserve">ted that they are admissible as they were not tendered as proof of their contents </w:t>
      </w:r>
      <w:r w:rsidR="00675EEF">
        <w:t xml:space="preserve">but as proof of a state of mind of the magistrate. </w:t>
      </w:r>
      <w:r w:rsidR="008C6CFA">
        <w:t>I</w:t>
      </w:r>
      <w:r w:rsidR="00851C5C">
        <w:t xml:space="preserve">n criminal matters an accused is entitled to rely on evidence </w:t>
      </w:r>
      <w:r w:rsidR="007C4FED">
        <w:t xml:space="preserve">of statements or conduct of others to establish his state of mind. An example would be where an accused is found in possession of stolen property </w:t>
      </w:r>
      <w:r w:rsidR="000053B4">
        <w:t xml:space="preserve">he can give evidence as to what the commercial </w:t>
      </w:r>
      <w:r w:rsidR="00B70169">
        <w:t>traveller from wh</w:t>
      </w:r>
      <w:r w:rsidR="008C6CFA">
        <w:t>om</w:t>
      </w:r>
      <w:r w:rsidR="00B70169">
        <w:t xml:space="preserve"> he purchased the property informed him at the time he purchased it without calling the traveller as this would be relevant to his state of mind, </w:t>
      </w:r>
      <w:r w:rsidR="003909A0">
        <w:t>i.e.</w:t>
      </w:r>
      <w:r w:rsidR="00B70169">
        <w:t xml:space="preserve"> whether he knew that the goods were stolen.</w:t>
      </w:r>
      <w:r w:rsidR="00B70169">
        <w:rPr>
          <w:rStyle w:val="FootnoteReference"/>
        </w:rPr>
        <w:footnoteReference w:id="15"/>
      </w:r>
      <w:r w:rsidR="00947AD3">
        <w:t xml:space="preserve"> In civil matters such evidence has been received where it was tendered to </w:t>
      </w:r>
      <w:r w:rsidR="00D42A31">
        <w:t xml:space="preserve">corroborate other evidence. </w:t>
      </w:r>
      <w:r w:rsidR="00A910C2">
        <w:t>Thus</w:t>
      </w:r>
      <w:r w:rsidR="003909A0">
        <w:t>,</w:t>
      </w:r>
      <w:r w:rsidR="00A910C2">
        <w:t xml:space="preserve"> a person claiming ownership of cows was allowed to present evidence of a conversation he had with his brother to borrow money from the latter to purchase cows, so as to establish his intention to become the owner of the cows.</w:t>
      </w:r>
      <w:r w:rsidR="00A910C2">
        <w:rPr>
          <w:rStyle w:val="FootnoteReference"/>
        </w:rPr>
        <w:footnoteReference w:id="16"/>
      </w:r>
      <w:r w:rsidR="00593321">
        <w:t xml:space="preserve">  Hoffmann</w:t>
      </w:r>
      <w:r w:rsidR="00593321">
        <w:rPr>
          <w:rStyle w:val="FootnoteReference"/>
        </w:rPr>
        <w:footnoteReference w:id="17"/>
      </w:r>
      <w:r w:rsidR="00D47778">
        <w:t xml:space="preserve"> refers to this topic in civil law as a </w:t>
      </w:r>
      <w:r w:rsidR="00D42A31">
        <w:t>‘</w:t>
      </w:r>
      <w:r w:rsidR="00D47778">
        <w:t>vexed</w:t>
      </w:r>
      <w:r w:rsidR="00D42A31">
        <w:t>’</w:t>
      </w:r>
      <w:r w:rsidR="00D47778">
        <w:t xml:space="preserve"> one and points out that </w:t>
      </w:r>
      <w:r w:rsidR="00D42A31">
        <w:t>‘</w:t>
      </w:r>
      <w:r w:rsidR="00D47778">
        <w:t>in England, at least in civil cases, statements of intention have been received to corroborate other evidence</w:t>
      </w:r>
      <w:r w:rsidR="00D42A31">
        <w:t>’</w:t>
      </w:r>
      <w:r w:rsidR="00D47778">
        <w:t xml:space="preserve"> and that in Ameri</w:t>
      </w:r>
      <w:r w:rsidR="008B765B">
        <w:t xml:space="preserve">ca this is also the position.  </w:t>
      </w:r>
    </w:p>
    <w:p w:rsidR="008B765B" w:rsidRDefault="008B765B" w:rsidP="008B765B"/>
    <w:p w:rsidR="008B765B" w:rsidRDefault="008B765B" w:rsidP="008B765B">
      <w:pPr>
        <w:pStyle w:val="Heading1"/>
      </w:pPr>
      <w:r>
        <w:t xml:space="preserve">As pointed out in Halsbury’s </w:t>
      </w:r>
      <w:r w:rsidR="003E39DB">
        <w:t>hearsay may be first hand, second hand or more dist</w:t>
      </w:r>
      <w:r w:rsidR="008C6CFA">
        <w:t>ant</w:t>
      </w:r>
      <w:r w:rsidR="003E39DB">
        <w:t>.</w:t>
      </w:r>
      <w:r w:rsidR="003E39DB">
        <w:rPr>
          <w:rStyle w:val="FootnoteReference"/>
        </w:rPr>
        <w:footnoteReference w:id="18"/>
      </w:r>
      <w:r w:rsidR="003E39DB">
        <w:t xml:space="preserve"> It is first hand when a witness says what he heard someone else </w:t>
      </w:r>
      <w:r w:rsidR="00057319">
        <w:t>said</w:t>
      </w:r>
      <w:r w:rsidR="003E39DB">
        <w:t>. It is second hand</w:t>
      </w:r>
      <w:r w:rsidR="003909A0">
        <w:t>,</w:t>
      </w:r>
      <w:r w:rsidR="003E39DB">
        <w:t xml:space="preserve"> when the witness relates </w:t>
      </w:r>
      <w:r w:rsidR="00483443">
        <w:t xml:space="preserve">what he was told someone else said and so on. From a perusal of the cases referred to by the parties in their </w:t>
      </w:r>
      <w:r w:rsidR="00031A56">
        <w:t>re</w:t>
      </w:r>
      <w:r w:rsidR="000D6D95">
        <w:t xml:space="preserve">spective </w:t>
      </w:r>
      <w:r w:rsidR="00031A56">
        <w:t>heads of argument and from my own research</w:t>
      </w:r>
      <w:r w:rsidR="003909A0">
        <w:t>,</w:t>
      </w:r>
      <w:r w:rsidR="00031A56">
        <w:t xml:space="preserve"> it appears that the hearsay evidence </w:t>
      </w:r>
      <w:r w:rsidR="005C3921">
        <w:t xml:space="preserve">is </w:t>
      </w:r>
      <w:r w:rsidR="00031A56">
        <w:t xml:space="preserve">admissible and relevant where the state of mind of a person has to be proved is only first hand </w:t>
      </w:r>
      <w:r w:rsidR="008C6CFA">
        <w:t xml:space="preserve">hearsay </w:t>
      </w:r>
      <w:r w:rsidR="00031A56">
        <w:t xml:space="preserve">evidence. As is also evident from what is stated above the evidence must also corroborate other evidence. </w:t>
      </w:r>
      <w:r w:rsidR="005D6147">
        <w:t xml:space="preserve">Other evidence in this context refers to </w:t>
      </w:r>
      <w:r w:rsidR="005A2374">
        <w:t xml:space="preserve">factual </w:t>
      </w:r>
      <w:r w:rsidR="005D6147">
        <w:t xml:space="preserve">evidence other than further hearsay evidence relating to the relevant state of mind in issue in a particular case.  </w:t>
      </w:r>
    </w:p>
    <w:p w:rsidR="000D6D95" w:rsidRDefault="000D6D95" w:rsidP="000D6D95"/>
    <w:p w:rsidR="000D6D95" w:rsidRDefault="00D66DA9" w:rsidP="000D6D95">
      <w:pPr>
        <w:pStyle w:val="Heading1"/>
      </w:pPr>
      <w:r>
        <w:t xml:space="preserve">The statement of the wife of </w:t>
      </w:r>
      <w:r w:rsidR="003909A0">
        <w:t>Di Savino</w:t>
      </w:r>
      <w:r>
        <w:t xml:space="preserve"> falls short in respect of both the requirements stated. </w:t>
      </w:r>
      <w:r w:rsidR="005A2374">
        <w:t>She nar</w:t>
      </w:r>
      <w:r w:rsidR="00B67B51">
        <w:t>r</w:t>
      </w:r>
      <w:r w:rsidR="005A2374">
        <w:t>ates</w:t>
      </w:r>
      <w:r>
        <w:t xml:space="preserve"> to what the wife of </w:t>
      </w:r>
      <w:r w:rsidR="003909A0">
        <w:t>Aupindi</w:t>
      </w:r>
      <w:r>
        <w:t xml:space="preserve"> </w:t>
      </w:r>
      <w:r w:rsidR="00B67B51">
        <w:t xml:space="preserve">told her she </w:t>
      </w:r>
      <w:r>
        <w:t xml:space="preserve">was told by an employee at the magistrate’s court. There is also no evidence whatsoever indicating bias or from which an inference of bias may be inferred when it comes to the conduct of the magistrate. </w:t>
      </w:r>
      <w:r w:rsidR="00B67B51">
        <w:t xml:space="preserve">The statement thus stands in isolation and not as corroboration of other admissible factual evidence.  </w:t>
      </w:r>
    </w:p>
    <w:p w:rsidR="00D66DA9" w:rsidRDefault="00D66DA9" w:rsidP="00D66DA9"/>
    <w:p w:rsidR="00D66DA9" w:rsidRDefault="00997FBD" w:rsidP="00D66DA9">
      <w:pPr>
        <w:pStyle w:val="Heading1"/>
      </w:pPr>
      <w:r>
        <w:t xml:space="preserve">The statement of Iyambo also involves second hand hearsay when it comes to the magistrate. According to this statement a person known as Nangula told her that the prosecutor told Nangula that the magistrate told the prosecutor that </w:t>
      </w:r>
      <w:r w:rsidR="003909A0">
        <w:t>Aupindi</w:t>
      </w:r>
      <w:r>
        <w:t xml:space="preserve"> must go to jail. Apart from this, and as already pointed out above, this statement cannot be used to corroborate any other </w:t>
      </w:r>
      <w:r w:rsidR="00053C66">
        <w:t xml:space="preserve">relevant factual </w:t>
      </w:r>
      <w:r>
        <w:t xml:space="preserve">evidence as there is none.  </w:t>
      </w:r>
    </w:p>
    <w:p w:rsidR="00997FBD" w:rsidRDefault="00997FBD" w:rsidP="00997FBD"/>
    <w:p w:rsidR="00997FBD" w:rsidRPr="00997FBD" w:rsidRDefault="00997FBD" w:rsidP="00997FBD">
      <w:pPr>
        <w:pStyle w:val="Heading1"/>
      </w:pPr>
      <w:r>
        <w:t xml:space="preserve">Even assuming for the moment that the evidence contained in the two statements is admissible the probative value thereof is virtually nothing. </w:t>
      </w:r>
      <w:r w:rsidR="00DC1D89">
        <w:t>None of the deponents can cast light on the veracity of the statement</w:t>
      </w:r>
      <w:r w:rsidR="00053C66">
        <w:t>s</w:t>
      </w:r>
      <w:r w:rsidR="00DC1D89">
        <w:t xml:space="preserve"> and there is no other evidence indicating any kind of untoward conduct by the magistrate to which the statements can add anything to. In such circumstances the statements are not sufficient to rebut the presumption of impartiality which requires cogent and convincing evidence, which the double hearsay statements certainly do not do. They amount to </w:t>
      </w:r>
      <w:r w:rsidR="000B5B24">
        <w:t xml:space="preserve">rumour </w:t>
      </w:r>
      <w:r w:rsidR="00053C66">
        <w:t xml:space="preserve">mongering </w:t>
      </w:r>
      <w:r w:rsidR="000B5B24">
        <w:t xml:space="preserve">under oath.  </w:t>
      </w:r>
    </w:p>
    <w:p w:rsidR="005B7AC3" w:rsidRPr="007B2235" w:rsidRDefault="005B7AC3" w:rsidP="005B7AC3">
      <w:pPr>
        <w:rPr>
          <w:sz w:val="22"/>
          <w:szCs w:val="22"/>
        </w:rPr>
      </w:pPr>
    </w:p>
    <w:p w:rsidR="00BD714E" w:rsidRPr="007B2235" w:rsidRDefault="002B1CF0" w:rsidP="00BD714E">
      <w:pPr>
        <w:pStyle w:val="Heading1"/>
        <w:rPr>
          <w:szCs w:val="24"/>
        </w:rPr>
      </w:pPr>
      <w:r w:rsidRPr="007B2235">
        <w:rPr>
          <w:szCs w:val="24"/>
        </w:rPr>
        <w:t>The statement McKay said he took from the source of the information disclosed to him in the aforesaid hearsay statements w</w:t>
      </w:r>
      <w:r w:rsidR="007B2235">
        <w:rPr>
          <w:szCs w:val="24"/>
        </w:rPr>
        <w:t>as</w:t>
      </w:r>
      <w:r w:rsidRPr="007B2235">
        <w:rPr>
          <w:szCs w:val="24"/>
        </w:rPr>
        <w:t xml:space="preserve"> from a person </w:t>
      </w:r>
      <w:r w:rsidR="00D15927">
        <w:rPr>
          <w:szCs w:val="24"/>
        </w:rPr>
        <w:t xml:space="preserve">referred to </w:t>
      </w:r>
      <w:r w:rsidRPr="007B2235">
        <w:rPr>
          <w:szCs w:val="24"/>
        </w:rPr>
        <w:t xml:space="preserve">as </w:t>
      </w:r>
      <w:r w:rsidR="004056BB">
        <w:rPr>
          <w:szCs w:val="24"/>
        </w:rPr>
        <w:t>Mweukoya</w:t>
      </w:r>
      <w:r w:rsidRPr="007B2235">
        <w:rPr>
          <w:szCs w:val="24"/>
        </w:rPr>
        <w:t xml:space="preserve"> Haidula. According to this statement Ms Haidula was employed at the magistrate’s court as a data capturer. According to her the prosecutor at a conversation at that court informed those present that the magistrate informed him that she would ensure </w:t>
      </w:r>
      <w:r w:rsidR="003909A0">
        <w:rPr>
          <w:szCs w:val="24"/>
        </w:rPr>
        <w:t>Aupindi</w:t>
      </w:r>
      <w:r w:rsidRPr="007B2235">
        <w:rPr>
          <w:szCs w:val="24"/>
        </w:rPr>
        <w:t xml:space="preserve"> would be convicted </w:t>
      </w:r>
      <w:r w:rsidR="00E85FA0" w:rsidRPr="007B2235">
        <w:rPr>
          <w:szCs w:val="24"/>
        </w:rPr>
        <w:t xml:space="preserve">and be imprisoned even if it was only for a short period and she would see to this even if the evidence did not justify this. </w:t>
      </w:r>
      <w:r w:rsidR="003909A0">
        <w:rPr>
          <w:szCs w:val="24"/>
        </w:rPr>
        <w:t>T</w:t>
      </w:r>
      <w:r w:rsidR="00E85FA0" w:rsidRPr="007B2235">
        <w:rPr>
          <w:szCs w:val="24"/>
        </w:rPr>
        <w:t xml:space="preserve">he prosecutor </w:t>
      </w:r>
      <w:r w:rsidR="003909A0">
        <w:rPr>
          <w:szCs w:val="24"/>
        </w:rPr>
        <w:t>further</w:t>
      </w:r>
      <w:r w:rsidR="00E85FA0" w:rsidRPr="007B2235">
        <w:rPr>
          <w:szCs w:val="24"/>
        </w:rPr>
        <w:t xml:space="preserve"> said that the magistrate told him that there were a group of well-to-do people who would take care of her and that she would keep on postponing the matter if necessary until they could </w:t>
      </w:r>
      <w:r w:rsidR="00D42A31">
        <w:rPr>
          <w:szCs w:val="24"/>
        </w:rPr>
        <w:t>‘</w:t>
      </w:r>
      <w:r w:rsidR="00E85FA0" w:rsidRPr="007B2235">
        <w:rPr>
          <w:szCs w:val="24"/>
        </w:rPr>
        <w:t>fix</w:t>
      </w:r>
      <w:r w:rsidR="00D42A31">
        <w:rPr>
          <w:szCs w:val="24"/>
        </w:rPr>
        <w:t>’</w:t>
      </w:r>
      <w:r w:rsidR="00E85FA0" w:rsidRPr="007B2235">
        <w:rPr>
          <w:szCs w:val="24"/>
        </w:rPr>
        <w:t xml:space="preserve"> </w:t>
      </w:r>
      <w:r w:rsidR="003909A0">
        <w:rPr>
          <w:szCs w:val="24"/>
        </w:rPr>
        <w:t>Aupindi</w:t>
      </w:r>
      <w:r w:rsidR="00D33DAF" w:rsidRPr="007B2235">
        <w:rPr>
          <w:szCs w:val="24"/>
        </w:rPr>
        <w:t xml:space="preserve">. She also states that she saw a document from ABSA Bank which indicated amounts that had to </w:t>
      </w:r>
      <w:r w:rsidR="00D42A31">
        <w:rPr>
          <w:szCs w:val="24"/>
        </w:rPr>
        <w:t>‘</w:t>
      </w:r>
      <w:r w:rsidR="00D33DAF" w:rsidRPr="007B2235">
        <w:rPr>
          <w:szCs w:val="24"/>
        </w:rPr>
        <w:t>be given</w:t>
      </w:r>
      <w:r w:rsidR="00D42A31">
        <w:rPr>
          <w:szCs w:val="24"/>
        </w:rPr>
        <w:t>’</w:t>
      </w:r>
      <w:r w:rsidR="00D33DAF" w:rsidRPr="007B2235">
        <w:rPr>
          <w:szCs w:val="24"/>
        </w:rPr>
        <w:t xml:space="preserve"> by a list of persons and w</w:t>
      </w:r>
      <w:r w:rsidR="00D42A31">
        <w:rPr>
          <w:szCs w:val="24"/>
        </w:rPr>
        <w:t>hich added up to about N$60</w:t>
      </w:r>
      <w:r w:rsidR="003909A0">
        <w:rPr>
          <w:szCs w:val="24"/>
        </w:rPr>
        <w:t xml:space="preserve"> </w:t>
      </w:r>
      <w:r w:rsidR="00D42A31">
        <w:rPr>
          <w:szCs w:val="24"/>
        </w:rPr>
        <w:t>000</w:t>
      </w:r>
      <w:r w:rsidR="00D33DAF" w:rsidRPr="007B2235">
        <w:rPr>
          <w:szCs w:val="24"/>
        </w:rPr>
        <w:t>. As she was looking at this document the magistrate came and fetched it. One of the names in the document was of a person named Jackie Ashe</w:t>
      </w:r>
      <w:r w:rsidR="005817A1">
        <w:rPr>
          <w:szCs w:val="24"/>
        </w:rPr>
        <w:t>e</w:t>
      </w:r>
      <w:r w:rsidR="00D33DAF" w:rsidRPr="007B2235">
        <w:rPr>
          <w:szCs w:val="24"/>
        </w:rPr>
        <w:t xml:space="preserve">ke. On </w:t>
      </w:r>
      <w:r w:rsidR="005817A1">
        <w:rPr>
          <w:szCs w:val="24"/>
        </w:rPr>
        <w:t xml:space="preserve">one </w:t>
      </w:r>
      <w:r w:rsidR="00D33DAF" w:rsidRPr="007B2235">
        <w:rPr>
          <w:szCs w:val="24"/>
        </w:rPr>
        <w:t xml:space="preserve">occasion she overheard a telephone conversation where the magistrate mentioned this name </w:t>
      </w:r>
      <w:r w:rsidR="00D42A31">
        <w:rPr>
          <w:szCs w:val="24"/>
        </w:rPr>
        <w:t>‘</w:t>
      </w:r>
      <w:r w:rsidR="00D33DAF" w:rsidRPr="007B2235">
        <w:rPr>
          <w:szCs w:val="24"/>
        </w:rPr>
        <w:t>a couple of times</w:t>
      </w:r>
      <w:r w:rsidR="00D42A31">
        <w:rPr>
          <w:szCs w:val="24"/>
        </w:rPr>
        <w:t>’</w:t>
      </w:r>
      <w:r w:rsidR="00D33DAF" w:rsidRPr="007B2235">
        <w:rPr>
          <w:szCs w:val="24"/>
        </w:rPr>
        <w:t xml:space="preserve"> and where she said the case would be postponed so that </w:t>
      </w:r>
      <w:r w:rsidR="00D42A31">
        <w:rPr>
          <w:szCs w:val="24"/>
        </w:rPr>
        <w:t>‘</w:t>
      </w:r>
      <w:r w:rsidR="00D33DAF" w:rsidRPr="007B2235">
        <w:rPr>
          <w:szCs w:val="24"/>
        </w:rPr>
        <w:t>they can try to get the pool man on their side</w:t>
      </w:r>
      <w:r w:rsidR="00D42A31">
        <w:rPr>
          <w:szCs w:val="24"/>
        </w:rPr>
        <w:t>’</w:t>
      </w:r>
      <w:r w:rsidR="00D33DAF" w:rsidRPr="007B2235">
        <w:rPr>
          <w:szCs w:val="24"/>
        </w:rPr>
        <w:t>. On a later occasion she saw Jackie Ashe</w:t>
      </w:r>
      <w:r w:rsidR="005817A1">
        <w:rPr>
          <w:szCs w:val="24"/>
        </w:rPr>
        <w:t>e</w:t>
      </w:r>
      <w:r w:rsidR="00D33DAF" w:rsidRPr="007B2235">
        <w:rPr>
          <w:szCs w:val="24"/>
        </w:rPr>
        <w:t>ke at the office of the magistrate where the magistrate told her that they should go outside and they then went and sat in Jackie Ashe</w:t>
      </w:r>
      <w:r w:rsidR="005817A1">
        <w:rPr>
          <w:szCs w:val="24"/>
        </w:rPr>
        <w:t>e</w:t>
      </w:r>
      <w:r w:rsidR="00D33DAF" w:rsidRPr="007B2235">
        <w:rPr>
          <w:szCs w:val="24"/>
        </w:rPr>
        <w:t xml:space="preserve">ke’s car in front of the court.  </w:t>
      </w:r>
    </w:p>
    <w:p w:rsidR="00D33DAF" w:rsidRPr="007B2235" w:rsidRDefault="00D33DAF" w:rsidP="00D33DAF">
      <w:pPr>
        <w:rPr>
          <w:szCs w:val="24"/>
        </w:rPr>
      </w:pPr>
    </w:p>
    <w:p w:rsidR="00D33DAF" w:rsidRPr="007B2235" w:rsidRDefault="00D33DAF" w:rsidP="00D33DAF">
      <w:pPr>
        <w:pStyle w:val="Heading1"/>
        <w:rPr>
          <w:szCs w:val="24"/>
        </w:rPr>
      </w:pPr>
      <w:r w:rsidRPr="007B2235">
        <w:rPr>
          <w:szCs w:val="24"/>
        </w:rPr>
        <w:t xml:space="preserve">The statement of Haidula handed in, unlike those of the other persons handed in by McKay, was not an affidavit. It does contain stamps certifying </w:t>
      </w:r>
      <w:r w:rsidR="002834DC" w:rsidRPr="007B2235">
        <w:rPr>
          <w:szCs w:val="24"/>
        </w:rPr>
        <w:t xml:space="preserve">that it is a true copy of an original </w:t>
      </w:r>
      <w:r w:rsidR="000A1276" w:rsidRPr="007B2235">
        <w:rPr>
          <w:szCs w:val="24"/>
        </w:rPr>
        <w:t xml:space="preserve">document but no inscription indicating that it was deposed to so as to </w:t>
      </w:r>
      <w:r w:rsidR="007B2235">
        <w:rPr>
          <w:szCs w:val="24"/>
        </w:rPr>
        <w:t xml:space="preserve">serve </w:t>
      </w:r>
      <w:r w:rsidR="000A1276" w:rsidRPr="007B2235">
        <w:rPr>
          <w:szCs w:val="24"/>
        </w:rPr>
        <w:t xml:space="preserve">as an affidavit by Haidula. As indicated the magistrate postponed the matter to consider </w:t>
      </w:r>
      <w:r w:rsidR="00D15927">
        <w:rPr>
          <w:szCs w:val="24"/>
        </w:rPr>
        <w:t xml:space="preserve">the recusal application </w:t>
      </w:r>
      <w:r w:rsidR="000A1276" w:rsidRPr="007B2235">
        <w:rPr>
          <w:szCs w:val="24"/>
        </w:rPr>
        <w:t>and at the resumption of the trial she indicated that she wanted the authors of the statements</w:t>
      </w:r>
      <w:r w:rsidR="005817A1">
        <w:rPr>
          <w:szCs w:val="24"/>
        </w:rPr>
        <w:t>,</w:t>
      </w:r>
      <w:r w:rsidR="000A1276" w:rsidRPr="007B2235">
        <w:rPr>
          <w:szCs w:val="24"/>
        </w:rPr>
        <w:t xml:space="preserve"> </w:t>
      </w:r>
      <w:r w:rsidR="001D3D22">
        <w:rPr>
          <w:szCs w:val="24"/>
        </w:rPr>
        <w:t>as well as Jackie Ash</w:t>
      </w:r>
      <w:r w:rsidR="005817A1">
        <w:rPr>
          <w:szCs w:val="24"/>
        </w:rPr>
        <w:t>e</w:t>
      </w:r>
      <w:r w:rsidR="001D3D22">
        <w:rPr>
          <w:szCs w:val="24"/>
        </w:rPr>
        <w:t xml:space="preserve">eke </w:t>
      </w:r>
      <w:r w:rsidR="000A1276" w:rsidRPr="007B2235">
        <w:rPr>
          <w:szCs w:val="24"/>
        </w:rPr>
        <w:t xml:space="preserve">subpoenaed in terms of s 186 of the CPA. She said the purpose of this was for her to put questions to them and let the State cross-examine them </w:t>
      </w:r>
      <w:r w:rsidR="00D42A31">
        <w:rPr>
          <w:szCs w:val="24"/>
        </w:rPr>
        <w:t>‘</w:t>
      </w:r>
      <w:r w:rsidR="000A1276" w:rsidRPr="007B2235">
        <w:rPr>
          <w:szCs w:val="24"/>
        </w:rPr>
        <w:t>so that I can make an informed decision</w:t>
      </w:r>
      <w:r w:rsidR="00D42A31">
        <w:rPr>
          <w:szCs w:val="24"/>
        </w:rPr>
        <w:t>’</w:t>
      </w:r>
      <w:r w:rsidR="000A1276" w:rsidRPr="007B2235">
        <w:rPr>
          <w:szCs w:val="24"/>
        </w:rPr>
        <w:t xml:space="preserve">.  </w:t>
      </w:r>
    </w:p>
    <w:p w:rsidR="007B2235" w:rsidRDefault="007B2235" w:rsidP="000A1276">
      <w:pPr>
        <w:rPr>
          <w:szCs w:val="24"/>
        </w:rPr>
      </w:pPr>
    </w:p>
    <w:p w:rsidR="007B2235" w:rsidRDefault="007B2235" w:rsidP="007B2235">
      <w:pPr>
        <w:pStyle w:val="Heading1"/>
      </w:pPr>
      <w:r>
        <w:t>The magistrate was clearly taken aback by the turn of events brought abo</w:t>
      </w:r>
      <w:r w:rsidR="00D42A31">
        <w:t>ut by the evidence of McKay.</w:t>
      </w:r>
      <w:r>
        <w:t xml:space="preserve"> She referred to it as a </w:t>
      </w:r>
      <w:r w:rsidR="00D42A31">
        <w:t>‘</w:t>
      </w:r>
      <w:r>
        <w:t>trial by ambush</w:t>
      </w:r>
      <w:r w:rsidR="00D42A31">
        <w:t>’</w:t>
      </w:r>
      <w:r>
        <w:t xml:space="preserve">, could not see why she should recuse herself because of </w:t>
      </w:r>
      <w:r w:rsidR="00D42A31">
        <w:t>‘</w:t>
      </w:r>
      <w:r>
        <w:t>mere allegations</w:t>
      </w:r>
      <w:r w:rsidR="00D42A31">
        <w:t>’</w:t>
      </w:r>
      <w:r>
        <w:t xml:space="preserve">, refer to </w:t>
      </w:r>
      <w:r w:rsidR="00D42A31">
        <w:t>‘</w:t>
      </w:r>
      <w:r>
        <w:t>no proper basis was laid for recusal application</w:t>
      </w:r>
      <w:r w:rsidR="00D42A31">
        <w:t>’</w:t>
      </w:r>
      <w:r>
        <w:t xml:space="preserve"> and stated she would only consider the application once the statement</w:t>
      </w:r>
      <w:r w:rsidR="000B5B24">
        <w:t>s</w:t>
      </w:r>
      <w:r>
        <w:t xml:space="preserve">, handed in by McKay </w:t>
      </w:r>
      <w:r w:rsidR="00D42A31">
        <w:t>‘</w:t>
      </w:r>
      <w:r>
        <w:t>be confirmed by the author</w:t>
      </w:r>
      <w:r w:rsidR="00D42A31">
        <w:t>’</w:t>
      </w:r>
      <w:r>
        <w:t xml:space="preserve">. She was adamant and stated:  </w:t>
      </w:r>
    </w:p>
    <w:p w:rsidR="007B2235" w:rsidRDefault="007B2235" w:rsidP="007B2235"/>
    <w:p w:rsidR="007B2235" w:rsidRPr="007B2235" w:rsidRDefault="00D42A31" w:rsidP="00D42A31">
      <w:pPr>
        <w:spacing w:line="360" w:lineRule="auto"/>
        <w:ind w:left="720"/>
        <w:rPr>
          <w:sz w:val="22"/>
          <w:szCs w:val="22"/>
        </w:rPr>
      </w:pPr>
      <w:r>
        <w:rPr>
          <w:sz w:val="22"/>
          <w:szCs w:val="22"/>
        </w:rPr>
        <w:t>‘</w:t>
      </w:r>
      <w:r w:rsidR="007B2235">
        <w:rPr>
          <w:sz w:val="22"/>
          <w:szCs w:val="22"/>
        </w:rPr>
        <w:t>I am caring for myself for my myself for my name, for whatever has been said and I will not leave until those pe</w:t>
      </w:r>
      <w:r w:rsidR="005817A1">
        <w:rPr>
          <w:sz w:val="22"/>
          <w:szCs w:val="22"/>
        </w:rPr>
        <w:t>ople they came and also confirm . . .’</w:t>
      </w:r>
      <w:r w:rsidR="007B2235">
        <w:rPr>
          <w:sz w:val="22"/>
          <w:szCs w:val="22"/>
        </w:rPr>
        <w:t xml:space="preserve"> </w:t>
      </w:r>
    </w:p>
    <w:p w:rsidR="007B2235" w:rsidRDefault="007B2235" w:rsidP="000A1276">
      <w:pPr>
        <w:rPr>
          <w:szCs w:val="24"/>
        </w:rPr>
      </w:pPr>
    </w:p>
    <w:p w:rsidR="002D5673" w:rsidRPr="00C4222E" w:rsidRDefault="0076796D" w:rsidP="00C4222E">
      <w:pPr>
        <w:pStyle w:val="Heading1"/>
        <w:rPr>
          <w:szCs w:val="24"/>
        </w:rPr>
      </w:pPr>
      <w:r>
        <w:t xml:space="preserve">Whereas the magistrate clearly regarded the allegations made </w:t>
      </w:r>
      <w:r w:rsidR="00305809">
        <w:t>in</w:t>
      </w:r>
      <w:r>
        <w:t xml:space="preserve"> support </w:t>
      </w:r>
      <w:r w:rsidR="00305809">
        <w:t xml:space="preserve">of </w:t>
      </w:r>
      <w:r w:rsidR="00B94261">
        <w:t>the recusal application as a personal affront as is evident from her comments made above and wanted to clear her name which was not the correct approach or attitude</w:t>
      </w:r>
      <w:r w:rsidR="00DD559C">
        <w:t>, t</w:t>
      </w:r>
      <w:r w:rsidR="009E36DF" w:rsidRPr="007B2235">
        <w:t xml:space="preserve">he problem for the </w:t>
      </w:r>
      <w:r w:rsidR="00DD559C">
        <w:t>applicants</w:t>
      </w:r>
      <w:r w:rsidR="009E36DF" w:rsidRPr="007B2235">
        <w:t xml:space="preserve"> is that at the time the recusal application was refused there was no factual basis established for the magistrate to consider the application. McKay could not and did not establish any of the </w:t>
      </w:r>
      <w:r w:rsidR="00D42A31">
        <w:t xml:space="preserve">allegations sought to rely on. </w:t>
      </w:r>
      <w:r w:rsidR="009E36DF" w:rsidRPr="007B2235">
        <w:t xml:space="preserve">The statements of Calabrese and Iyambo contained inadmissible </w:t>
      </w:r>
      <w:r w:rsidR="00514D6E">
        <w:t xml:space="preserve">and worthless </w:t>
      </w:r>
      <w:r w:rsidR="009E36DF" w:rsidRPr="007B2235">
        <w:t>hearsay evidence and the statement of Haidul</w:t>
      </w:r>
      <w:r w:rsidR="004056BB">
        <w:t>a</w:t>
      </w:r>
      <w:r w:rsidR="009E36DF" w:rsidRPr="007B2235">
        <w:t xml:space="preserve">, not being under oath, also did not amount to evidence. </w:t>
      </w:r>
      <w:r w:rsidR="002D5673">
        <w:t>There was simply no facts placed before the magistrate, never mind cogent and c</w:t>
      </w:r>
      <w:r w:rsidR="00E91E18">
        <w:t xml:space="preserve">onvincing facts by the applicant who bore the onus in this regard.  </w:t>
      </w:r>
    </w:p>
    <w:p w:rsidR="002D5673" w:rsidRPr="002D5673" w:rsidRDefault="002D5673" w:rsidP="002D5673"/>
    <w:p w:rsidR="009E36DF" w:rsidRPr="007B2235" w:rsidRDefault="00DD559C" w:rsidP="009E36DF">
      <w:pPr>
        <w:pStyle w:val="Heading1"/>
        <w:rPr>
          <w:szCs w:val="24"/>
        </w:rPr>
      </w:pPr>
      <w:r>
        <w:rPr>
          <w:szCs w:val="24"/>
        </w:rPr>
        <w:t xml:space="preserve">The manner in which the magistrate acted in response to the recusal application is not beyond criticism as mentioned above. She was clearly upset by the manner in which the application was launched, and justifiably so, but it was not for her </w:t>
      </w:r>
      <w:r w:rsidR="006200B5">
        <w:rPr>
          <w:szCs w:val="24"/>
        </w:rPr>
        <w:t>to subpoena witnesses who she intended interrogating and have cross-examined by the prosecutor so as to consider the recusal application and cle</w:t>
      </w:r>
      <w:r w:rsidR="00D42A31">
        <w:rPr>
          <w:szCs w:val="24"/>
        </w:rPr>
        <w:t xml:space="preserve">ar her name. </w:t>
      </w:r>
      <w:r w:rsidR="006200B5">
        <w:rPr>
          <w:szCs w:val="24"/>
        </w:rPr>
        <w:t>She had to, as dispassionately as poss</w:t>
      </w:r>
      <w:r w:rsidR="00D42A31">
        <w:rPr>
          <w:szCs w:val="24"/>
        </w:rPr>
        <w:t>ible, determine the application.</w:t>
      </w:r>
      <w:r w:rsidR="006200B5">
        <w:rPr>
          <w:szCs w:val="24"/>
        </w:rPr>
        <w:t xml:space="preserve"> I am</w:t>
      </w:r>
      <w:r w:rsidR="005817A1">
        <w:rPr>
          <w:szCs w:val="24"/>
        </w:rPr>
        <w:t>,</w:t>
      </w:r>
      <w:r w:rsidR="006200B5">
        <w:rPr>
          <w:szCs w:val="24"/>
        </w:rPr>
        <w:t xml:space="preserve"> however</w:t>
      </w:r>
      <w:r w:rsidR="005817A1">
        <w:rPr>
          <w:szCs w:val="24"/>
        </w:rPr>
        <w:t>,</w:t>
      </w:r>
      <w:r w:rsidR="006200B5">
        <w:rPr>
          <w:szCs w:val="24"/>
        </w:rPr>
        <w:t xml:space="preserve"> of the view that her conduct did not </w:t>
      </w:r>
      <w:r w:rsidR="00287041">
        <w:rPr>
          <w:szCs w:val="24"/>
        </w:rPr>
        <w:t xml:space="preserve">create an apprehension of bias as it is clear that </w:t>
      </w:r>
      <w:r w:rsidR="00305809">
        <w:rPr>
          <w:szCs w:val="24"/>
        </w:rPr>
        <w:t xml:space="preserve">she wanted </w:t>
      </w:r>
      <w:r w:rsidR="00287041">
        <w:rPr>
          <w:szCs w:val="24"/>
        </w:rPr>
        <w:t xml:space="preserve">the allegations confirmed </w:t>
      </w:r>
      <w:r w:rsidR="00053DA3">
        <w:rPr>
          <w:szCs w:val="24"/>
        </w:rPr>
        <w:t>under oath before she would consider her re</w:t>
      </w:r>
      <w:r w:rsidR="00D42A31">
        <w:rPr>
          <w:szCs w:val="24"/>
        </w:rPr>
        <w:t xml:space="preserve">cusal, as she was entitled to. </w:t>
      </w:r>
      <w:r w:rsidR="00053DA3">
        <w:rPr>
          <w:szCs w:val="24"/>
        </w:rPr>
        <w:t xml:space="preserve">This is not an instance where her approach was such </w:t>
      </w:r>
      <w:r w:rsidR="00305809">
        <w:rPr>
          <w:szCs w:val="24"/>
        </w:rPr>
        <w:t xml:space="preserve">so as </w:t>
      </w:r>
      <w:r w:rsidR="00053DA3">
        <w:rPr>
          <w:szCs w:val="24"/>
        </w:rPr>
        <w:t xml:space="preserve">to raise an apprehension that she would not apply her mind properly even if the allegations were made under oath. </w:t>
      </w:r>
      <w:r w:rsidR="009E36DF" w:rsidRPr="007B2235">
        <w:rPr>
          <w:szCs w:val="24"/>
        </w:rPr>
        <w:t xml:space="preserve">The </w:t>
      </w:r>
      <w:r w:rsidR="005817A1">
        <w:rPr>
          <w:szCs w:val="24"/>
        </w:rPr>
        <w:t>applicants</w:t>
      </w:r>
      <w:r w:rsidR="009E36DF" w:rsidRPr="007B2235">
        <w:rPr>
          <w:szCs w:val="24"/>
        </w:rPr>
        <w:t xml:space="preserve"> thus failed to establish the facts necessary </w:t>
      </w:r>
      <w:r w:rsidR="00C21D45" w:rsidRPr="007B2235">
        <w:rPr>
          <w:szCs w:val="24"/>
        </w:rPr>
        <w:t xml:space="preserve">for them to either infer bias from or a reasonable apprehension of bias.  </w:t>
      </w:r>
    </w:p>
    <w:p w:rsidR="00C21D45" w:rsidRPr="007B2235" w:rsidRDefault="00C21D45" w:rsidP="00C21D45">
      <w:pPr>
        <w:rPr>
          <w:szCs w:val="24"/>
        </w:rPr>
      </w:pPr>
    </w:p>
    <w:p w:rsidR="00C21D45" w:rsidRPr="007B2235" w:rsidRDefault="00C21D45" w:rsidP="00C21D45">
      <w:pPr>
        <w:pStyle w:val="Heading1"/>
        <w:rPr>
          <w:szCs w:val="24"/>
        </w:rPr>
      </w:pPr>
      <w:r w:rsidRPr="007B2235">
        <w:rPr>
          <w:szCs w:val="24"/>
        </w:rPr>
        <w:t xml:space="preserve">Whereas the magistrate did not have to take the matter further in view of the fact that no admissible facts were placed before her in respect of her alleged untoward conduct she was within her rights to consider the complaint as an important one and to insist that </w:t>
      </w:r>
      <w:r w:rsidR="00D92790">
        <w:rPr>
          <w:szCs w:val="24"/>
        </w:rPr>
        <w:t>applicants</w:t>
      </w:r>
      <w:r w:rsidR="00240F8A">
        <w:rPr>
          <w:szCs w:val="24"/>
        </w:rPr>
        <w:t>,</w:t>
      </w:r>
      <w:r w:rsidR="007B2235">
        <w:rPr>
          <w:szCs w:val="24"/>
        </w:rPr>
        <w:t xml:space="preserve"> </w:t>
      </w:r>
      <w:r w:rsidR="00240F8A">
        <w:rPr>
          <w:szCs w:val="24"/>
        </w:rPr>
        <w:t>i</w:t>
      </w:r>
      <w:r w:rsidR="00BA71A2" w:rsidRPr="007B2235">
        <w:rPr>
          <w:szCs w:val="24"/>
        </w:rPr>
        <w:t>f they wish</w:t>
      </w:r>
      <w:r w:rsidR="00D92790">
        <w:rPr>
          <w:szCs w:val="24"/>
        </w:rPr>
        <w:t>ed</w:t>
      </w:r>
      <w:r w:rsidR="00BA71A2" w:rsidRPr="007B2235">
        <w:rPr>
          <w:szCs w:val="24"/>
        </w:rPr>
        <w:t xml:space="preserve"> to continue with their recusal application, call at least Haidula and Ashe</w:t>
      </w:r>
      <w:r w:rsidR="005817A1">
        <w:rPr>
          <w:szCs w:val="24"/>
        </w:rPr>
        <w:t>e</w:t>
      </w:r>
      <w:r w:rsidR="00BA71A2" w:rsidRPr="007B2235">
        <w:rPr>
          <w:szCs w:val="24"/>
        </w:rPr>
        <w:t>ke as these persons implicated her directly and neither had put their respective versions under oath.</w:t>
      </w:r>
      <w:r w:rsidR="007B2235">
        <w:rPr>
          <w:szCs w:val="24"/>
        </w:rPr>
        <w:t xml:space="preserve"> The former had provided a written statement in which reference is made to the latter.  There was nothing from Ashe</w:t>
      </w:r>
      <w:r w:rsidR="005817A1">
        <w:rPr>
          <w:szCs w:val="24"/>
        </w:rPr>
        <w:t>e</w:t>
      </w:r>
      <w:r w:rsidR="007B2235">
        <w:rPr>
          <w:szCs w:val="24"/>
        </w:rPr>
        <w:t xml:space="preserve">ke. </w:t>
      </w:r>
      <w:r w:rsidR="00BA71A2" w:rsidRPr="007B2235">
        <w:rPr>
          <w:szCs w:val="24"/>
        </w:rPr>
        <w:t xml:space="preserve">One does not know what would have happened had she acted in this manner, but from the review application it is clear that Haidula </w:t>
      </w:r>
      <w:r w:rsidR="00240F8A">
        <w:rPr>
          <w:szCs w:val="24"/>
        </w:rPr>
        <w:t>gave</w:t>
      </w:r>
      <w:r w:rsidR="00BA71A2" w:rsidRPr="007B2235">
        <w:rPr>
          <w:szCs w:val="24"/>
        </w:rPr>
        <w:t xml:space="preserve"> the wrong contact details in her statement, that neither the </w:t>
      </w:r>
      <w:r w:rsidR="005817A1">
        <w:rPr>
          <w:szCs w:val="24"/>
        </w:rPr>
        <w:t>applicants</w:t>
      </w:r>
      <w:r w:rsidR="00BA71A2" w:rsidRPr="007B2235">
        <w:rPr>
          <w:szCs w:val="24"/>
        </w:rPr>
        <w:t xml:space="preserve"> nor respondents have been able to </w:t>
      </w:r>
      <w:r w:rsidR="00B749AC" w:rsidRPr="007B2235">
        <w:rPr>
          <w:szCs w:val="24"/>
        </w:rPr>
        <w:t>trace her for the purposes of the review application and it is doubtful whether a person of her name was ever employed at the magistrates</w:t>
      </w:r>
      <w:r w:rsidR="005817A1">
        <w:rPr>
          <w:szCs w:val="24"/>
        </w:rPr>
        <w:t>’</w:t>
      </w:r>
      <w:r w:rsidR="00B749AC" w:rsidRPr="007B2235">
        <w:rPr>
          <w:szCs w:val="24"/>
        </w:rPr>
        <w:t xml:space="preserve"> court as suggested in her statement handed in by McKay. </w:t>
      </w:r>
      <w:r w:rsidR="00A63B66" w:rsidRPr="007B2235">
        <w:rPr>
          <w:szCs w:val="24"/>
        </w:rPr>
        <w:t xml:space="preserve">I point out in passing that the magistrate </w:t>
      </w:r>
      <w:r w:rsidR="00D92790">
        <w:rPr>
          <w:szCs w:val="24"/>
        </w:rPr>
        <w:t>could not</w:t>
      </w:r>
      <w:r w:rsidR="00A63B66" w:rsidRPr="007B2235">
        <w:rPr>
          <w:szCs w:val="24"/>
        </w:rPr>
        <w:t xml:space="preserve"> subpoena th</w:t>
      </w:r>
      <w:r w:rsidR="005817A1">
        <w:rPr>
          <w:szCs w:val="24"/>
        </w:rPr>
        <w:t xml:space="preserve">e persons she did pursuant to </w:t>
      </w:r>
      <w:r w:rsidR="00D42A31">
        <w:rPr>
          <w:szCs w:val="24"/>
        </w:rPr>
        <w:t>s</w:t>
      </w:r>
      <w:r w:rsidR="00A63B66" w:rsidRPr="007B2235">
        <w:rPr>
          <w:szCs w:val="24"/>
        </w:rPr>
        <w:t xml:space="preserve"> 186 of the CPA as they </w:t>
      </w:r>
      <w:r w:rsidR="00195CD4">
        <w:rPr>
          <w:szCs w:val="24"/>
        </w:rPr>
        <w:t>we</w:t>
      </w:r>
      <w:r w:rsidR="00A63B66" w:rsidRPr="007B2235">
        <w:rPr>
          <w:szCs w:val="24"/>
        </w:rPr>
        <w:t xml:space="preserve">re not and </w:t>
      </w:r>
      <w:r w:rsidR="00195CD4">
        <w:rPr>
          <w:szCs w:val="24"/>
        </w:rPr>
        <w:t>could not</w:t>
      </w:r>
      <w:r w:rsidR="00A63B66" w:rsidRPr="007B2235">
        <w:rPr>
          <w:szCs w:val="24"/>
        </w:rPr>
        <w:t xml:space="preserve"> be essential or relevant to the charges that the </w:t>
      </w:r>
      <w:r w:rsidR="005817A1">
        <w:rPr>
          <w:szCs w:val="24"/>
        </w:rPr>
        <w:t>applicants</w:t>
      </w:r>
      <w:r w:rsidR="00A63B66" w:rsidRPr="007B2235">
        <w:rPr>
          <w:szCs w:val="24"/>
        </w:rPr>
        <w:t xml:space="preserve"> faced. They c</w:t>
      </w:r>
      <w:r w:rsidR="00240F8A">
        <w:rPr>
          <w:szCs w:val="24"/>
        </w:rPr>
        <w:t>ould</w:t>
      </w:r>
      <w:r w:rsidR="00A63B66" w:rsidRPr="007B2235">
        <w:rPr>
          <w:szCs w:val="24"/>
        </w:rPr>
        <w:t xml:space="preserve"> only be relevant in respect of the recusal application where it was </w:t>
      </w:r>
      <w:r w:rsidR="007B2235">
        <w:rPr>
          <w:szCs w:val="24"/>
        </w:rPr>
        <w:t xml:space="preserve">for </w:t>
      </w:r>
      <w:r w:rsidR="00A63B66" w:rsidRPr="007B2235">
        <w:rPr>
          <w:szCs w:val="24"/>
        </w:rPr>
        <w:t>the applicants in such application to lay the basis for the</w:t>
      </w:r>
      <w:r w:rsidR="005817A1">
        <w:rPr>
          <w:szCs w:val="24"/>
        </w:rPr>
        <w:t>ir</w:t>
      </w:r>
      <w:r w:rsidR="00A63B66" w:rsidRPr="007B2235">
        <w:rPr>
          <w:szCs w:val="24"/>
        </w:rPr>
        <w:t xml:space="preserve"> application. If they d</w:t>
      </w:r>
      <w:r w:rsidR="00195CD4">
        <w:rPr>
          <w:szCs w:val="24"/>
        </w:rPr>
        <w:t>id</w:t>
      </w:r>
      <w:r w:rsidR="00A63B66" w:rsidRPr="007B2235">
        <w:rPr>
          <w:szCs w:val="24"/>
        </w:rPr>
        <w:t xml:space="preserve"> not lay such basis by way of admissible evidence they simply </w:t>
      </w:r>
      <w:r w:rsidR="00195CD4">
        <w:rPr>
          <w:szCs w:val="24"/>
        </w:rPr>
        <w:t>could not</w:t>
      </w:r>
      <w:r w:rsidR="00A63B66" w:rsidRPr="007B2235">
        <w:rPr>
          <w:szCs w:val="24"/>
        </w:rPr>
        <w:t xml:space="preserve"> succeed. Lastly on this aspect, </w:t>
      </w:r>
      <w:r w:rsidR="00A65FF4">
        <w:rPr>
          <w:szCs w:val="24"/>
        </w:rPr>
        <w:t>applicants</w:t>
      </w:r>
      <w:r w:rsidR="00A63B66" w:rsidRPr="007B2235">
        <w:rPr>
          <w:szCs w:val="24"/>
        </w:rPr>
        <w:t xml:space="preserve"> in the</w:t>
      </w:r>
      <w:r w:rsidR="00A65FF4">
        <w:rPr>
          <w:szCs w:val="24"/>
        </w:rPr>
        <w:t>ir</w:t>
      </w:r>
      <w:r w:rsidR="00A63B66" w:rsidRPr="007B2235">
        <w:rPr>
          <w:szCs w:val="24"/>
        </w:rPr>
        <w:t xml:space="preserve"> replying affidavits seek to rectify the statement of Haidula by an affidavit from the Commissioner of Oaths who certified that it was </w:t>
      </w:r>
      <w:r w:rsidR="00057319">
        <w:rPr>
          <w:szCs w:val="24"/>
        </w:rPr>
        <w:t xml:space="preserve">a </w:t>
      </w:r>
      <w:r w:rsidR="00A63B66" w:rsidRPr="007B2235">
        <w:rPr>
          <w:szCs w:val="24"/>
        </w:rPr>
        <w:t xml:space="preserve">true copy stating that she in fact also administered the oath to Haidula prior to the latter signing it. This evidence was not before the magistrate when she made </w:t>
      </w:r>
      <w:r w:rsidR="007B2235">
        <w:rPr>
          <w:szCs w:val="24"/>
        </w:rPr>
        <w:t>the</w:t>
      </w:r>
      <w:r w:rsidR="00A63B66" w:rsidRPr="007B2235">
        <w:rPr>
          <w:szCs w:val="24"/>
        </w:rPr>
        <w:t xml:space="preserve"> decision and hence cannot be used to attack her decision and in any event should have been dealt with in the founding papers and not in reply.  </w:t>
      </w:r>
    </w:p>
    <w:p w:rsidR="00A63B66" w:rsidRPr="007B2235" w:rsidRDefault="00A63B66" w:rsidP="00A63B66">
      <w:pPr>
        <w:rPr>
          <w:szCs w:val="24"/>
        </w:rPr>
      </w:pPr>
    </w:p>
    <w:p w:rsidR="00A63B66" w:rsidRPr="007B2235" w:rsidRDefault="00A63B66" w:rsidP="00A63B66">
      <w:pPr>
        <w:pStyle w:val="Heading1"/>
        <w:rPr>
          <w:sz w:val="22"/>
          <w:szCs w:val="22"/>
        </w:rPr>
      </w:pPr>
      <w:r w:rsidRPr="007B2235">
        <w:rPr>
          <w:szCs w:val="24"/>
        </w:rPr>
        <w:t>Whereas the way in which the recusal application arose clearly cause</w:t>
      </w:r>
      <w:r w:rsidR="00195CD4">
        <w:rPr>
          <w:szCs w:val="24"/>
        </w:rPr>
        <w:t>d</w:t>
      </w:r>
      <w:r w:rsidRPr="007B2235">
        <w:rPr>
          <w:szCs w:val="24"/>
        </w:rPr>
        <w:t xml:space="preserve"> some confusion and the magistrate erred in seeking to subpoena witnesses in this regard pursuant to s</w:t>
      </w:r>
      <w:r w:rsidR="00D42A31">
        <w:rPr>
          <w:szCs w:val="24"/>
        </w:rPr>
        <w:t xml:space="preserve"> </w:t>
      </w:r>
      <w:r w:rsidRPr="007B2235">
        <w:rPr>
          <w:szCs w:val="24"/>
        </w:rPr>
        <w:t>186 of the CPA</w:t>
      </w:r>
      <w:r w:rsidR="00A65FF4">
        <w:rPr>
          <w:szCs w:val="24"/>
        </w:rPr>
        <w:t>,</w:t>
      </w:r>
      <w:r w:rsidRPr="007B2235">
        <w:rPr>
          <w:szCs w:val="24"/>
        </w:rPr>
        <w:t xml:space="preserve"> her decision not to recuse herself on what was presented to her through the witness McKay was correct even though her reasons for this might not have been. It thus follows that the review application in respect of her refusal to recuse herself must fail.  </w:t>
      </w:r>
    </w:p>
    <w:p w:rsidR="00A63B66" w:rsidRPr="007B2235" w:rsidRDefault="00A63B66" w:rsidP="00A63B66">
      <w:pPr>
        <w:rPr>
          <w:sz w:val="22"/>
          <w:szCs w:val="22"/>
        </w:rPr>
      </w:pPr>
    </w:p>
    <w:p w:rsidR="00A63B66" w:rsidRPr="00D42A31" w:rsidRDefault="00A63B66" w:rsidP="00A63B66">
      <w:pPr>
        <w:rPr>
          <w:rFonts w:cs="Arial"/>
        </w:rPr>
      </w:pPr>
      <w:r w:rsidRPr="00D42A31">
        <w:rPr>
          <w:rFonts w:cs="Arial"/>
          <w:u w:val="single"/>
        </w:rPr>
        <w:t>Undue delay</w:t>
      </w:r>
    </w:p>
    <w:p w:rsidR="00A63B66" w:rsidRDefault="00A63B66" w:rsidP="00A63B66">
      <w:pPr>
        <w:pStyle w:val="Heading1"/>
      </w:pPr>
      <w:r>
        <w:t>The question or issue of undue delay did not arise prior to the launching of the review proceedings. There is nothing on the record of th</w:t>
      </w:r>
      <w:r w:rsidR="00A65FF4">
        <w:t>e proceedings at the magistrate</w:t>
      </w:r>
      <w:r>
        <w:t>s</w:t>
      </w:r>
      <w:r w:rsidR="00A65FF4">
        <w:t>’</w:t>
      </w:r>
      <w:r>
        <w:t xml:space="preserve"> court indicating that this was ever a concern for either of the </w:t>
      </w:r>
      <w:r w:rsidR="00E63C61">
        <w:t>applicants</w:t>
      </w:r>
      <w:r>
        <w:t xml:space="preserve">.  None of the </w:t>
      </w:r>
      <w:r w:rsidR="000612CD">
        <w:t xml:space="preserve">postponements were objected to on this basis. </w:t>
      </w:r>
      <w:r w:rsidR="00514D6E">
        <w:t>In fact, on the record, the delays only commenced subsequent to the refusal to discharge the accused, ie after the State case had been finali</w:t>
      </w:r>
      <w:r w:rsidR="00A65FF4">
        <w:t>s</w:t>
      </w:r>
      <w:r w:rsidR="00514D6E">
        <w:t xml:space="preserve">ed.  </w:t>
      </w:r>
    </w:p>
    <w:p w:rsidR="000612CD" w:rsidRDefault="000612CD" w:rsidP="000612CD"/>
    <w:p w:rsidR="000612CD" w:rsidRDefault="000612CD" w:rsidP="000612CD">
      <w:pPr>
        <w:pStyle w:val="Heading1"/>
      </w:pPr>
      <w:r>
        <w:t>The delays caused to the finalisation of the trial cannot be laid at the door of th</w:t>
      </w:r>
      <w:r w:rsidR="007B2235">
        <w:t>e</w:t>
      </w:r>
      <w:r>
        <w:t xml:space="preserve"> prosecution. The </w:t>
      </w:r>
      <w:r w:rsidR="00514D6E">
        <w:t xml:space="preserve">further </w:t>
      </w:r>
      <w:r>
        <w:t xml:space="preserve">delays were caused by the </w:t>
      </w:r>
      <w:r w:rsidR="00E63C61">
        <w:t>applicant</w:t>
      </w:r>
      <w:r>
        <w:t xml:space="preserve">s’ review and </w:t>
      </w:r>
      <w:r w:rsidR="00240F8A">
        <w:t xml:space="preserve">this </w:t>
      </w:r>
      <w:r>
        <w:t xml:space="preserve">appeal with </w:t>
      </w:r>
      <w:r w:rsidR="007B2235">
        <w:t xml:space="preserve">the </w:t>
      </w:r>
      <w:r>
        <w:t xml:space="preserve">concomitant delays inherent in the judicial process unfortunately exacerbated by the fact that the record went missing in the High Court assumedly due to the disruption caused by the major renovations undertaken at that court at the time.  </w:t>
      </w:r>
    </w:p>
    <w:p w:rsidR="000612CD" w:rsidRDefault="000612CD" w:rsidP="000612CD"/>
    <w:p w:rsidR="000612CD" w:rsidRDefault="000612CD" w:rsidP="000612CD">
      <w:pPr>
        <w:pStyle w:val="Heading1"/>
      </w:pPr>
      <w:r>
        <w:t xml:space="preserve">In the above circumstances there is no basis for the orders </w:t>
      </w:r>
      <w:r w:rsidR="00E63C61">
        <w:t>applicants</w:t>
      </w:r>
      <w:r>
        <w:t xml:space="preserve"> </w:t>
      </w:r>
      <w:r w:rsidR="00E63C61">
        <w:t>sought</w:t>
      </w:r>
      <w:r>
        <w:t xml:space="preserve"> as to the release from prosecution caused by undue delay in their trial being finali</w:t>
      </w:r>
      <w:r w:rsidR="00A65FF4">
        <w:t>s</w:t>
      </w:r>
      <w:r>
        <w:t xml:space="preserve">ed.  </w:t>
      </w:r>
    </w:p>
    <w:p w:rsidR="000612CD" w:rsidRDefault="000612CD" w:rsidP="000612CD"/>
    <w:p w:rsidR="00E63C61" w:rsidRPr="00D42A31" w:rsidRDefault="003D4392" w:rsidP="000612CD">
      <w:pPr>
        <w:rPr>
          <w:rFonts w:cs="Arial"/>
          <w:u w:val="single"/>
        </w:rPr>
      </w:pPr>
      <w:r w:rsidRPr="00D42A31">
        <w:rPr>
          <w:rFonts w:cs="Arial"/>
          <w:u w:val="single"/>
        </w:rPr>
        <w:t>Condonation application</w:t>
      </w:r>
    </w:p>
    <w:p w:rsidR="00913A9B" w:rsidRDefault="00913A9B" w:rsidP="00913A9B">
      <w:pPr>
        <w:pStyle w:val="Heading1"/>
      </w:pPr>
      <w:r>
        <w:t>The record for this appeal was filed late which caused</w:t>
      </w:r>
      <w:r w:rsidR="00A65FF4">
        <w:t xml:space="preserve"> the appeal to lapse.  Aupindi</w:t>
      </w:r>
      <w:r>
        <w:t xml:space="preserve"> applie</w:t>
      </w:r>
      <w:r w:rsidR="005364F0">
        <w:t>d</w:t>
      </w:r>
      <w:r>
        <w:t xml:space="preserve"> for the condonation of the late filing of the appeal and s</w:t>
      </w:r>
      <w:r w:rsidR="005364F0">
        <w:t>ought</w:t>
      </w:r>
      <w:r>
        <w:t xml:space="preserve"> the reinstatement of the appeal.  </w:t>
      </w:r>
    </w:p>
    <w:p w:rsidR="00913A9B" w:rsidRDefault="00913A9B" w:rsidP="00913A9B"/>
    <w:p w:rsidR="00913A9B" w:rsidRDefault="00913A9B" w:rsidP="00913A9B">
      <w:pPr>
        <w:pStyle w:val="Heading1"/>
      </w:pPr>
      <w:r>
        <w:t xml:space="preserve">The reason for the late filing of the appeal is the fact that the </w:t>
      </w:r>
      <w:r w:rsidR="00CC2A16">
        <w:t>record of the application proceedings went missing in the High Court. A</w:t>
      </w:r>
      <w:r w:rsidR="00A65FF4">
        <w:t>upindi</w:t>
      </w:r>
      <w:r w:rsidR="00CC2A16">
        <w:t xml:space="preserve">’s attorneys, more or less on a weekly basis, followed this up with the Registrar of the </w:t>
      </w:r>
      <w:r w:rsidR="00D42A31">
        <w:t>High</w:t>
      </w:r>
      <w:r w:rsidR="00CC2A16">
        <w:t xml:space="preserve"> Court and also, virtually simultaneously, commenced with the reconstruction of the record. As no </w:t>
      </w:r>
      <w:r w:rsidR="00ED72A7">
        <w:t xml:space="preserve">blame </w:t>
      </w:r>
      <w:r w:rsidR="006425A0">
        <w:t xml:space="preserve">for the late filing of the </w:t>
      </w:r>
      <w:r w:rsidR="00A65FF4">
        <w:t>r</w:t>
      </w:r>
      <w:r w:rsidR="006425A0">
        <w:t xml:space="preserve">ecord can be attributed to </w:t>
      </w:r>
      <w:r w:rsidR="00A65FF4">
        <w:t>Aupindi</w:t>
      </w:r>
      <w:r w:rsidR="006425A0">
        <w:t xml:space="preserve"> or his lawyers, the explanation tendered by </w:t>
      </w:r>
      <w:r w:rsidR="00A65FF4">
        <w:t>Aupindi</w:t>
      </w:r>
      <w:r w:rsidR="006425A0">
        <w:t xml:space="preserve"> was eminently reasonable and acceptable. I point out that no criticism was levelled against the appellant on this score by the respondents </w:t>
      </w:r>
      <w:r w:rsidR="00D41FA8">
        <w:t xml:space="preserve">who did not oppose the application, </w:t>
      </w:r>
      <w:r w:rsidR="006425A0">
        <w:t xml:space="preserve">and in my view correctly so.  </w:t>
      </w:r>
    </w:p>
    <w:p w:rsidR="006425A0" w:rsidRDefault="006425A0" w:rsidP="006425A0"/>
    <w:p w:rsidR="006425A0" w:rsidRPr="006425A0" w:rsidRDefault="00A65FF4" w:rsidP="006425A0">
      <w:pPr>
        <w:pStyle w:val="Heading1"/>
      </w:pPr>
      <w:r>
        <w:t>Aupindi</w:t>
      </w:r>
      <w:r w:rsidR="007E2A8E">
        <w:t xml:space="preserve"> in his appl</w:t>
      </w:r>
      <w:r w:rsidR="006425A0">
        <w:t xml:space="preserve">ication for condonation submitted that </w:t>
      </w:r>
      <w:r>
        <w:t>he</w:t>
      </w:r>
      <w:r w:rsidR="006425A0">
        <w:t xml:space="preserve"> had </w:t>
      </w:r>
      <w:r w:rsidR="007E2A8E">
        <w:t xml:space="preserve">prospects of success. As </w:t>
      </w:r>
      <w:r>
        <w:t xml:space="preserve">it </w:t>
      </w:r>
      <w:r w:rsidR="007E2A8E">
        <w:t xml:space="preserve">is evident from this judgment the matters raised by </w:t>
      </w:r>
      <w:r>
        <w:t>Aupindi</w:t>
      </w:r>
      <w:r w:rsidR="007E2A8E">
        <w:t xml:space="preserve">, especially the issues relating to the recusal application, were eminently arguable and could not be dismissed out of hand as devoid of any prospects of success. In the result the appeal was </w:t>
      </w:r>
      <w:r w:rsidR="00965898">
        <w:t xml:space="preserve">reinstated at the commencement of the hearing. </w:t>
      </w:r>
    </w:p>
    <w:p w:rsidR="00913A9B" w:rsidRDefault="00913A9B" w:rsidP="000612CD">
      <w:pPr>
        <w:rPr>
          <w:rFonts w:cs="Arial"/>
          <w:b/>
          <w:u w:val="single"/>
        </w:rPr>
      </w:pPr>
    </w:p>
    <w:p w:rsidR="000612CD" w:rsidRPr="00D42A31" w:rsidRDefault="000612CD" w:rsidP="000612CD">
      <w:pPr>
        <w:rPr>
          <w:rFonts w:cs="Arial"/>
        </w:rPr>
      </w:pPr>
      <w:r w:rsidRPr="00D42A31">
        <w:rPr>
          <w:rFonts w:cs="Arial"/>
          <w:u w:val="single"/>
        </w:rPr>
        <w:t>Conclusion</w:t>
      </w:r>
    </w:p>
    <w:p w:rsidR="00DA27A2" w:rsidRDefault="00DE7065" w:rsidP="00DA27A2">
      <w:pPr>
        <w:pStyle w:val="Heading1"/>
      </w:pPr>
      <w:r>
        <w:t xml:space="preserve">The judge </w:t>
      </w:r>
      <w:r>
        <w:rPr>
          <w:i/>
        </w:rPr>
        <w:t>a quo</w:t>
      </w:r>
      <w:r>
        <w:t xml:space="preserve"> was thus correct to conclude that there was nothing put before him </w:t>
      </w:r>
      <w:r w:rsidR="00D42A31">
        <w:t>‘</w:t>
      </w:r>
      <w:r>
        <w:t>to show that any grave injustice or failure of justice</w:t>
      </w:r>
      <w:r w:rsidR="00D42A31">
        <w:t>’</w:t>
      </w:r>
      <w:r>
        <w:t xml:space="preserve"> is likely to ensue if the criminal trial proceed.</w:t>
      </w:r>
      <w:r w:rsidR="00184CE4">
        <w:t xml:space="preserve"> The dismissal of the review application on this basis was sound.</w:t>
      </w:r>
      <w:r w:rsidR="00184CE4">
        <w:rPr>
          <w:rStyle w:val="FootnoteReference"/>
        </w:rPr>
        <w:footnoteReference w:id="19"/>
      </w:r>
    </w:p>
    <w:p w:rsidR="007711A0" w:rsidRPr="00184CE4" w:rsidRDefault="007711A0" w:rsidP="00184CE4"/>
    <w:p w:rsidR="000612CD" w:rsidRPr="000612CD" w:rsidRDefault="000612CD" w:rsidP="000612CD">
      <w:pPr>
        <w:pStyle w:val="Heading1"/>
      </w:pPr>
      <w:r>
        <w:t>It follows from what is stated above that the appeal against the decision of the High Court is dismissed with costs, including the cost of one instruct</w:t>
      </w:r>
      <w:r w:rsidR="00A65FF4">
        <w:t>ing</w:t>
      </w:r>
      <w:r>
        <w:t xml:space="preserve"> and two instructed counsel</w:t>
      </w:r>
      <w:r w:rsidR="00D41FA8">
        <w:t xml:space="preserve"> in respect of </w:t>
      </w:r>
      <w:r w:rsidR="00A65FF4">
        <w:t>second</w:t>
      </w:r>
      <w:r w:rsidR="00D41FA8">
        <w:t xml:space="preserve"> to </w:t>
      </w:r>
      <w:r w:rsidR="00A65FF4">
        <w:t>ninth</w:t>
      </w:r>
      <w:r w:rsidR="00D41FA8">
        <w:t xml:space="preserve"> respondents.</w:t>
      </w:r>
      <w:r>
        <w:t xml:space="preserve">  </w:t>
      </w:r>
    </w:p>
    <w:p w:rsidR="00A63B66" w:rsidRDefault="00A63B66" w:rsidP="00A63B66"/>
    <w:p w:rsidR="001E616C" w:rsidRDefault="001E616C" w:rsidP="008603D9">
      <w:pPr>
        <w:rPr>
          <w:rFonts w:cs="Arial"/>
          <w:szCs w:val="24"/>
        </w:rPr>
      </w:pPr>
    </w:p>
    <w:p w:rsidR="00A65FF4" w:rsidRDefault="00A65FF4" w:rsidP="008603D9">
      <w:pPr>
        <w:rPr>
          <w:rFonts w:cs="Arial"/>
          <w:szCs w:val="24"/>
        </w:rPr>
      </w:pPr>
    </w:p>
    <w:p w:rsidR="00563B8F" w:rsidRPr="002A5FD4" w:rsidRDefault="000612CD" w:rsidP="002A5FD4">
      <w:pPr>
        <w:spacing w:line="360" w:lineRule="auto"/>
        <w:rPr>
          <w:rFonts w:cs="Arial"/>
          <w:b/>
          <w:szCs w:val="24"/>
        </w:rPr>
      </w:pPr>
      <w:r w:rsidRPr="002A5FD4">
        <w:rPr>
          <w:rFonts w:cs="Arial"/>
          <w:b/>
          <w:szCs w:val="24"/>
        </w:rPr>
        <w:t>_______</w:t>
      </w:r>
      <w:r w:rsidR="00563B8F" w:rsidRPr="002A5FD4">
        <w:rPr>
          <w:rFonts w:cs="Arial"/>
          <w:b/>
          <w:szCs w:val="24"/>
        </w:rPr>
        <w:t>__________________</w:t>
      </w:r>
    </w:p>
    <w:p w:rsidR="00563B8F" w:rsidRDefault="00F6278D" w:rsidP="002A5FD4">
      <w:pPr>
        <w:spacing w:line="360" w:lineRule="auto"/>
        <w:rPr>
          <w:rFonts w:cs="Arial"/>
          <w:b/>
          <w:szCs w:val="24"/>
        </w:rPr>
      </w:pPr>
      <w:r w:rsidRPr="002A5FD4">
        <w:rPr>
          <w:rFonts w:cs="Arial"/>
          <w:b/>
          <w:szCs w:val="24"/>
        </w:rPr>
        <w:t>FRANK AJA</w:t>
      </w:r>
    </w:p>
    <w:p w:rsidR="002A5FD4" w:rsidRDefault="002A5FD4" w:rsidP="002A5FD4">
      <w:pPr>
        <w:spacing w:line="360" w:lineRule="auto"/>
        <w:rPr>
          <w:rFonts w:cs="Arial"/>
          <w:b/>
          <w:szCs w:val="24"/>
        </w:rPr>
      </w:pPr>
    </w:p>
    <w:p w:rsidR="001E616C" w:rsidRDefault="001E616C" w:rsidP="002A5FD4">
      <w:pPr>
        <w:spacing w:line="360" w:lineRule="auto"/>
        <w:rPr>
          <w:rFonts w:cs="Arial"/>
          <w:b/>
          <w:szCs w:val="24"/>
        </w:rPr>
      </w:pPr>
    </w:p>
    <w:p w:rsidR="00A65FF4" w:rsidRDefault="00A65FF4" w:rsidP="002A5FD4">
      <w:pPr>
        <w:spacing w:line="360" w:lineRule="auto"/>
        <w:rPr>
          <w:rFonts w:cs="Arial"/>
          <w:b/>
          <w:szCs w:val="24"/>
        </w:rPr>
      </w:pPr>
    </w:p>
    <w:p w:rsidR="002A5FD4" w:rsidRDefault="002A5FD4" w:rsidP="002A5FD4">
      <w:pPr>
        <w:spacing w:line="360" w:lineRule="auto"/>
        <w:rPr>
          <w:rFonts w:cs="Arial"/>
          <w:b/>
          <w:szCs w:val="24"/>
        </w:rPr>
      </w:pPr>
    </w:p>
    <w:p w:rsidR="002A5FD4" w:rsidRDefault="002A5FD4" w:rsidP="002A5FD4">
      <w:pPr>
        <w:spacing w:line="360" w:lineRule="auto"/>
        <w:rPr>
          <w:rFonts w:cs="Arial"/>
          <w:b/>
          <w:szCs w:val="24"/>
        </w:rPr>
      </w:pPr>
      <w:r>
        <w:rPr>
          <w:rFonts w:cs="Arial"/>
          <w:b/>
          <w:szCs w:val="24"/>
        </w:rPr>
        <w:t>_________________________</w:t>
      </w:r>
    </w:p>
    <w:p w:rsidR="002A5FD4" w:rsidRDefault="002A5FD4" w:rsidP="002A5FD4">
      <w:pPr>
        <w:spacing w:line="360" w:lineRule="auto"/>
        <w:rPr>
          <w:rFonts w:cs="Arial"/>
          <w:b/>
          <w:szCs w:val="24"/>
        </w:rPr>
      </w:pPr>
      <w:r>
        <w:rPr>
          <w:rFonts w:cs="Arial"/>
          <w:b/>
          <w:szCs w:val="24"/>
        </w:rPr>
        <w:t>MAINGA JA</w:t>
      </w:r>
    </w:p>
    <w:p w:rsidR="002A5FD4" w:rsidRDefault="002A5FD4" w:rsidP="002A5FD4">
      <w:pPr>
        <w:spacing w:line="360" w:lineRule="auto"/>
        <w:rPr>
          <w:rFonts w:cs="Arial"/>
          <w:b/>
          <w:szCs w:val="24"/>
        </w:rPr>
      </w:pPr>
    </w:p>
    <w:p w:rsidR="001E616C" w:rsidRDefault="001E616C" w:rsidP="002A5FD4">
      <w:pPr>
        <w:spacing w:line="360" w:lineRule="auto"/>
        <w:rPr>
          <w:rFonts w:cs="Arial"/>
          <w:b/>
          <w:szCs w:val="24"/>
        </w:rPr>
      </w:pPr>
    </w:p>
    <w:p w:rsidR="00A65FF4" w:rsidRDefault="00A65FF4" w:rsidP="002A5FD4">
      <w:pPr>
        <w:spacing w:line="360" w:lineRule="auto"/>
        <w:rPr>
          <w:rFonts w:cs="Arial"/>
          <w:b/>
          <w:szCs w:val="24"/>
        </w:rPr>
      </w:pPr>
    </w:p>
    <w:p w:rsidR="002A5FD4" w:rsidRDefault="002A5FD4" w:rsidP="002A5FD4">
      <w:pPr>
        <w:spacing w:line="360" w:lineRule="auto"/>
        <w:rPr>
          <w:rFonts w:cs="Arial"/>
          <w:b/>
          <w:szCs w:val="24"/>
        </w:rPr>
      </w:pPr>
    </w:p>
    <w:p w:rsidR="002A5FD4" w:rsidRDefault="002A5FD4" w:rsidP="002A5FD4">
      <w:pPr>
        <w:spacing w:line="360" w:lineRule="auto"/>
        <w:rPr>
          <w:rFonts w:cs="Arial"/>
          <w:b/>
          <w:szCs w:val="24"/>
        </w:rPr>
      </w:pPr>
      <w:r>
        <w:rPr>
          <w:rFonts w:cs="Arial"/>
          <w:b/>
          <w:szCs w:val="24"/>
        </w:rPr>
        <w:t>_________________________</w:t>
      </w:r>
    </w:p>
    <w:p w:rsidR="002A5FD4" w:rsidRPr="002A5FD4" w:rsidRDefault="002A5FD4" w:rsidP="002A5FD4">
      <w:pPr>
        <w:spacing w:line="360" w:lineRule="auto"/>
        <w:rPr>
          <w:rFonts w:cs="Arial"/>
          <w:b/>
          <w:szCs w:val="24"/>
        </w:rPr>
      </w:pPr>
      <w:r>
        <w:rPr>
          <w:rFonts w:cs="Arial"/>
          <w:b/>
          <w:szCs w:val="24"/>
        </w:rPr>
        <w:t>HOFF JA</w:t>
      </w:r>
    </w:p>
    <w:p w:rsidR="00563B8F" w:rsidRDefault="00563B8F" w:rsidP="008603D9">
      <w:pPr>
        <w:rPr>
          <w:rFonts w:cs="Arial"/>
          <w:b/>
          <w:szCs w:val="24"/>
        </w:rPr>
      </w:pPr>
    </w:p>
    <w:p w:rsidR="00B02424" w:rsidRDefault="00B02424">
      <w:pPr>
        <w:widowControl/>
        <w:spacing w:line="240" w:lineRule="auto"/>
        <w:jc w:val="left"/>
        <w:rPr>
          <w:rFonts w:cs="Arial"/>
          <w:b/>
          <w:szCs w:val="24"/>
        </w:rPr>
      </w:pPr>
    </w:p>
    <w:p w:rsidR="007711A0" w:rsidRDefault="007711A0">
      <w:r>
        <w:br w:type="page"/>
      </w:r>
    </w:p>
    <w:tbl>
      <w:tblPr>
        <w:tblW w:w="9039" w:type="dxa"/>
        <w:tblLook w:val="04A0" w:firstRow="1" w:lastRow="0" w:firstColumn="1" w:lastColumn="0" w:noHBand="0" w:noVBand="1"/>
      </w:tblPr>
      <w:tblGrid>
        <w:gridCol w:w="4219"/>
        <w:gridCol w:w="4820"/>
      </w:tblGrid>
      <w:tr w:rsidR="00563B8F" w:rsidRPr="00500CF6" w:rsidTr="007711A0">
        <w:tc>
          <w:tcPr>
            <w:tcW w:w="4219" w:type="dxa"/>
            <w:shd w:val="clear" w:color="auto" w:fill="auto"/>
          </w:tcPr>
          <w:p w:rsidR="00563B8F" w:rsidRDefault="002A5FD4" w:rsidP="008603D9">
            <w:pPr>
              <w:ind w:right="-146"/>
              <w:rPr>
                <w:rFonts w:cs="Arial"/>
                <w:szCs w:val="24"/>
              </w:rPr>
            </w:pPr>
            <w:r>
              <w:rPr>
                <w:rFonts w:cs="Arial"/>
                <w:szCs w:val="24"/>
              </w:rPr>
              <w:t>APPEARANCES</w:t>
            </w:r>
          </w:p>
          <w:p w:rsidR="00D42A31" w:rsidRPr="00500CF6" w:rsidRDefault="00D42A31" w:rsidP="008603D9">
            <w:pPr>
              <w:ind w:right="-146"/>
              <w:rPr>
                <w:rFonts w:cs="Arial"/>
                <w:szCs w:val="24"/>
              </w:rPr>
            </w:pPr>
          </w:p>
          <w:p w:rsidR="00563B8F" w:rsidRPr="00500CF6" w:rsidRDefault="002A5FD4" w:rsidP="00965898">
            <w:pPr>
              <w:ind w:right="-146"/>
              <w:rPr>
                <w:rFonts w:cs="Arial"/>
                <w:szCs w:val="24"/>
              </w:rPr>
            </w:pPr>
            <w:r>
              <w:rPr>
                <w:rFonts w:cs="Arial"/>
                <w:szCs w:val="24"/>
              </w:rPr>
              <w:t>APPELLANT</w:t>
            </w:r>
            <w:r w:rsidRPr="00500CF6">
              <w:rPr>
                <w:rFonts w:cs="Arial"/>
                <w:szCs w:val="24"/>
              </w:rPr>
              <w:t>:</w:t>
            </w:r>
          </w:p>
        </w:tc>
        <w:tc>
          <w:tcPr>
            <w:tcW w:w="4820" w:type="dxa"/>
            <w:shd w:val="clear" w:color="auto" w:fill="auto"/>
          </w:tcPr>
          <w:p w:rsidR="00563B8F" w:rsidRPr="00500CF6" w:rsidRDefault="00563B8F" w:rsidP="008603D9">
            <w:pPr>
              <w:rPr>
                <w:rFonts w:cs="Arial"/>
                <w:szCs w:val="24"/>
              </w:rPr>
            </w:pPr>
          </w:p>
          <w:p w:rsidR="00D42A31" w:rsidRDefault="00D42A31" w:rsidP="004307DD">
            <w:pPr>
              <w:rPr>
                <w:rFonts w:cs="Arial"/>
                <w:szCs w:val="24"/>
              </w:rPr>
            </w:pPr>
          </w:p>
          <w:p w:rsidR="004307DD" w:rsidRPr="00500CF6" w:rsidRDefault="005444BA" w:rsidP="002A5FD4">
            <w:pPr>
              <w:rPr>
                <w:rFonts w:cs="Arial"/>
                <w:szCs w:val="24"/>
              </w:rPr>
            </w:pPr>
            <w:r>
              <w:rPr>
                <w:rFonts w:cs="Arial"/>
                <w:szCs w:val="24"/>
              </w:rPr>
              <w:t>R Tötemeyer</w:t>
            </w:r>
            <w:r w:rsidR="002A5FD4">
              <w:rPr>
                <w:rFonts w:cs="Arial"/>
                <w:szCs w:val="24"/>
              </w:rPr>
              <w:t>, SC (with him</w:t>
            </w:r>
            <w:r>
              <w:rPr>
                <w:rFonts w:cs="Arial"/>
                <w:szCs w:val="24"/>
              </w:rPr>
              <w:t xml:space="preserve"> D Obbes</w:t>
            </w:r>
            <w:r w:rsidR="002A5FD4">
              <w:rPr>
                <w:rFonts w:cs="Arial"/>
                <w:szCs w:val="24"/>
              </w:rPr>
              <w:t>)</w:t>
            </w:r>
          </w:p>
        </w:tc>
      </w:tr>
      <w:tr w:rsidR="00563B8F" w:rsidRPr="00500CF6" w:rsidTr="007711A0">
        <w:tc>
          <w:tcPr>
            <w:tcW w:w="4219" w:type="dxa"/>
            <w:shd w:val="clear" w:color="auto" w:fill="auto"/>
          </w:tcPr>
          <w:p w:rsidR="00563B8F" w:rsidRPr="00500CF6" w:rsidRDefault="00563B8F" w:rsidP="008603D9">
            <w:pPr>
              <w:rPr>
                <w:rFonts w:cs="Arial"/>
                <w:szCs w:val="24"/>
              </w:rPr>
            </w:pPr>
          </w:p>
        </w:tc>
        <w:tc>
          <w:tcPr>
            <w:tcW w:w="4820" w:type="dxa"/>
            <w:shd w:val="clear" w:color="auto" w:fill="auto"/>
          </w:tcPr>
          <w:p w:rsidR="00563B8F" w:rsidRDefault="00563B8F" w:rsidP="004307DD">
            <w:pPr>
              <w:rPr>
                <w:rFonts w:cs="Arial"/>
                <w:szCs w:val="24"/>
              </w:rPr>
            </w:pPr>
            <w:r>
              <w:rPr>
                <w:rFonts w:cs="Arial"/>
                <w:szCs w:val="24"/>
              </w:rPr>
              <w:t>Instructed by</w:t>
            </w:r>
            <w:r w:rsidR="005444BA">
              <w:rPr>
                <w:rFonts w:cs="Arial"/>
                <w:szCs w:val="24"/>
              </w:rPr>
              <w:t xml:space="preserve"> Metcalfe Attorneys</w:t>
            </w:r>
            <w:r w:rsidR="002A5FD4">
              <w:rPr>
                <w:rFonts w:cs="Arial"/>
                <w:szCs w:val="24"/>
              </w:rPr>
              <w:t>, Windhoek</w:t>
            </w:r>
            <w:r>
              <w:rPr>
                <w:rFonts w:cs="Arial"/>
                <w:szCs w:val="24"/>
              </w:rPr>
              <w:t xml:space="preserve"> </w:t>
            </w:r>
          </w:p>
          <w:p w:rsidR="004307DD" w:rsidRPr="00500CF6" w:rsidRDefault="004307DD" w:rsidP="004307DD">
            <w:pPr>
              <w:rPr>
                <w:rFonts w:cs="Arial"/>
                <w:szCs w:val="24"/>
              </w:rPr>
            </w:pPr>
          </w:p>
        </w:tc>
      </w:tr>
      <w:tr w:rsidR="004F0811" w:rsidRPr="00500CF6" w:rsidTr="007711A0">
        <w:tc>
          <w:tcPr>
            <w:tcW w:w="4219" w:type="dxa"/>
            <w:shd w:val="clear" w:color="auto" w:fill="auto"/>
          </w:tcPr>
          <w:p w:rsidR="004F0811" w:rsidRDefault="002A5FD4" w:rsidP="00D42A31">
            <w:pPr>
              <w:rPr>
                <w:rFonts w:cs="Arial"/>
                <w:szCs w:val="24"/>
              </w:rPr>
            </w:pPr>
            <w:r>
              <w:rPr>
                <w:rFonts w:cs="Arial"/>
                <w:szCs w:val="24"/>
              </w:rPr>
              <w:t>FIRST RESPONDENT:</w:t>
            </w:r>
          </w:p>
        </w:tc>
        <w:tc>
          <w:tcPr>
            <w:tcW w:w="4820" w:type="dxa"/>
            <w:shd w:val="clear" w:color="auto" w:fill="auto"/>
          </w:tcPr>
          <w:p w:rsidR="004F0811" w:rsidRDefault="00EB1186" w:rsidP="008603D9">
            <w:pPr>
              <w:rPr>
                <w:rFonts w:cs="Arial"/>
                <w:szCs w:val="24"/>
              </w:rPr>
            </w:pPr>
            <w:r>
              <w:rPr>
                <w:rFonts w:cs="Arial"/>
                <w:szCs w:val="24"/>
              </w:rPr>
              <w:t>O</w:t>
            </w:r>
            <w:r w:rsidR="002A5FD4">
              <w:rPr>
                <w:rFonts w:cs="Arial"/>
                <w:szCs w:val="24"/>
              </w:rPr>
              <w:t xml:space="preserve"> </w:t>
            </w:r>
            <w:r>
              <w:rPr>
                <w:rFonts w:cs="Arial"/>
                <w:szCs w:val="24"/>
              </w:rPr>
              <w:t>S Sibeya</w:t>
            </w:r>
          </w:p>
          <w:p w:rsidR="00EB1186" w:rsidRDefault="00EB1186" w:rsidP="008603D9">
            <w:pPr>
              <w:rPr>
                <w:rFonts w:cs="Arial"/>
                <w:szCs w:val="24"/>
              </w:rPr>
            </w:pPr>
            <w:r>
              <w:rPr>
                <w:rFonts w:cs="Arial"/>
                <w:szCs w:val="24"/>
              </w:rPr>
              <w:t>Sibeya &amp; Partners Legal</w:t>
            </w:r>
          </w:p>
          <w:p w:rsidR="00EB1186" w:rsidRDefault="00EB1186" w:rsidP="008603D9">
            <w:pPr>
              <w:rPr>
                <w:rFonts w:cs="Arial"/>
                <w:szCs w:val="24"/>
              </w:rPr>
            </w:pPr>
            <w:r>
              <w:rPr>
                <w:rFonts w:cs="Arial"/>
                <w:szCs w:val="24"/>
              </w:rPr>
              <w:t>Practitioners</w:t>
            </w:r>
            <w:r w:rsidR="002A5FD4">
              <w:rPr>
                <w:rFonts w:cs="Arial"/>
                <w:szCs w:val="24"/>
              </w:rPr>
              <w:t>, Windhoek</w:t>
            </w:r>
          </w:p>
          <w:p w:rsidR="00D42A31" w:rsidRDefault="00D42A31" w:rsidP="008603D9">
            <w:pPr>
              <w:rPr>
                <w:rFonts w:cs="Arial"/>
                <w:szCs w:val="24"/>
              </w:rPr>
            </w:pPr>
          </w:p>
        </w:tc>
      </w:tr>
      <w:tr w:rsidR="00563B8F" w:rsidRPr="00500CF6" w:rsidTr="007711A0">
        <w:tc>
          <w:tcPr>
            <w:tcW w:w="4219" w:type="dxa"/>
            <w:shd w:val="clear" w:color="auto" w:fill="auto"/>
          </w:tcPr>
          <w:p w:rsidR="00F319D9" w:rsidRDefault="002A5FD4" w:rsidP="00F319D9">
            <w:pPr>
              <w:rPr>
                <w:rFonts w:cs="Arial"/>
                <w:szCs w:val="24"/>
              </w:rPr>
            </w:pPr>
            <w:r>
              <w:rPr>
                <w:rFonts w:cs="Arial"/>
                <w:szCs w:val="24"/>
              </w:rPr>
              <w:t>SECOND</w:t>
            </w:r>
            <w:r w:rsidR="00F319D9">
              <w:rPr>
                <w:rFonts w:cs="Arial"/>
                <w:szCs w:val="24"/>
              </w:rPr>
              <w:t xml:space="preserve">, THIRD, FIFTH, </w:t>
            </w:r>
          </w:p>
          <w:p w:rsidR="00F319D9" w:rsidRDefault="00F319D9" w:rsidP="00F319D9">
            <w:pPr>
              <w:rPr>
                <w:rFonts w:cs="Arial"/>
                <w:szCs w:val="24"/>
              </w:rPr>
            </w:pPr>
            <w:r>
              <w:rPr>
                <w:rFonts w:cs="Arial"/>
                <w:szCs w:val="24"/>
              </w:rPr>
              <w:t xml:space="preserve">SIXTH, SEVENTH and </w:t>
            </w:r>
          </w:p>
          <w:p w:rsidR="00563B8F" w:rsidRPr="00500CF6" w:rsidRDefault="002A5FD4" w:rsidP="00F319D9">
            <w:pPr>
              <w:rPr>
                <w:rFonts w:cs="Arial"/>
                <w:szCs w:val="24"/>
              </w:rPr>
            </w:pPr>
            <w:r>
              <w:rPr>
                <w:rFonts w:cs="Arial"/>
                <w:szCs w:val="24"/>
              </w:rPr>
              <w:t>NINTH RESPONDENTS:</w:t>
            </w:r>
          </w:p>
        </w:tc>
        <w:tc>
          <w:tcPr>
            <w:tcW w:w="4820" w:type="dxa"/>
            <w:shd w:val="clear" w:color="auto" w:fill="auto"/>
          </w:tcPr>
          <w:p w:rsidR="00563B8F" w:rsidRDefault="0018117B" w:rsidP="008603D9">
            <w:pPr>
              <w:rPr>
                <w:rFonts w:cs="Arial"/>
                <w:szCs w:val="24"/>
              </w:rPr>
            </w:pPr>
            <w:r>
              <w:rPr>
                <w:rFonts w:cs="Arial"/>
                <w:szCs w:val="24"/>
              </w:rPr>
              <w:t>PA van Wyk</w:t>
            </w:r>
            <w:r w:rsidR="002A5FD4">
              <w:rPr>
                <w:rFonts w:cs="Arial"/>
                <w:szCs w:val="24"/>
              </w:rPr>
              <w:t>,</w:t>
            </w:r>
            <w:r>
              <w:rPr>
                <w:rFonts w:cs="Arial"/>
                <w:szCs w:val="24"/>
              </w:rPr>
              <w:t xml:space="preserve"> SC</w:t>
            </w:r>
            <w:r w:rsidR="002A5FD4">
              <w:rPr>
                <w:rFonts w:cs="Arial"/>
                <w:szCs w:val="24"/>
              </w:rPr>
              <w:t xml:space="preserve"> (with him </w:t>
            </w:r>
            <w:r>
              <w:rPr>
                <w:rFonts w:cs="Arial"/>
                <w:szCs w:val="24"/>
              </w:rPr>
              <w:t>M</w:t>
            </w:r>
            <w:r w:rsidR="002A5FD4">
              <w:rPr>
                <w:rFonts w:cs="Arial"/>
                <w:szCs w:val="24"/>
              </w:rPr>
              <w:t xml:space="preserve"> </w:t>
            </w:r>
            <w:r>
              <w:rPr>
                <w:rFonts w:cs="Arial"/>
                <w:szCs w:val="24"/>
              </w:rPr>
              <w:t>G Boonzaier</w:t>
            </w:r>
            <w:r w:rsidR="002A5FD4">
              <w:rPr>
                <w:rFonts w:cs="Arial"/>
                <w:szCs w:val="24"/>
              </w:rPr>
              <w:t>)</w:t>
            </w:r>
          </w:p>
          <w:p w:rsidR="00563B8F" w:rsidRPr="00500CF6" w:rsidRDefault="00563B8F" w:rsidP="0018117B">
            <w:pPr>
              <w:rPr>
                <w:rFonts w:cs="Arial"/>
                <w:szCs w:val="24"/>
              </w:rPr>
            </w:pPr>
            <w:r>
              <w:rPr>
                <w:rFonts w:cs="Arial"/>
                <w:szCs w:val="24"/>
              </w:rPr>
              <w:t xml:space="preserve">Instructed by </w:t>
            </w:r>
            <w:r w:rsidR="0018117B">
              <w:rPr>
                <w:rFonts w:cs="Arial"/>
                <w:szCs w:val="24"/>
              </w:rPr>
              <w:t>Government Attorney</w:t>
            </w:r>
            <w:r w:rsidR="00F871D7">
              <w:rPr>
                <w:rFonts w:cs="Arial"/>
                <w:szCs w:val="24"/>
              </w:rPr>
              <w:t>, Windhoek</w:t>
            </w:r>
          </w:p>
        </w:tc>
      </w:tr>
    </w:tbl>
    <w:p w:rsidR="00AA56EC" w:rsidRDefault="00AA56EC" w:rsidP="00AA56EC"/>
    <w:sectPr w:rsidR="00AA56EC" w:rsidSect="00242A8E">
      <w:headerReference w:type="even" r:id="rId9"/>
      <w:headerReference w:type="default" r:id="rId10"/>
      <w:type w:val="continuous"/>
      <w:pgSz w:w="11907" w:h="16840" w:code="9"/>
      <w:pgMar w:top="811" w:right="1418" w:bottom="1418" w:left="1701"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C5" w:rsidRDefault="000911C5" w:rsidP="00635FB7">
      <w:pPr>
        <w:spacing w:line="240" w:lineRule="auto"/>
      </w:pPr>
      <w:r>
        <w:separator/>
      </w:r>
    </w:p>
  </w:endnote>
  <w:endnote w:type="continuationSeparator" w:id="0">
    <w:p w:rsidR="000911C5" w:rsidRDefault="000911C5" w:rsidP="00635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C5" w:rsidRDefault="000911C5" w:rsidP="00635FB7">
      <w:pPr>
        <w:spacing w:line="240" w:lineRule="auto"/>
      </w:pPr>
      <w:r>
        <w:separator/>
      </w:r>
    </w:p>
  </w:footnote>
  <w:footnote w:type="continuationSeparator" w:id="0">
    <w:p w:rsidR="000911C5" w:rsidRDefault="000911C5" w:rsidP="00635FB7">
      <w:pPr>
        <w:spacing w:line="240" w:lineRule="auto"/>
      </w:pPr>
      <w:r>
        <w:continuationSeparator/>
      </w:r>
    </w:p>
  </w:footnote>
  <w:footnote w:id="1">
    <w:p w:rsidR="00E91E18" w:rsidRPr="007B2235" w:rsidRDefault="00E91E18" w:rsidP="007711A0">
      <w:pPr>
        <w:pStyle w:val="FootnoteText"/>
        <w:spacing w:line="240" w:lineRule="auto"/>
        <w:rPr>
          <w:lang w:val="en-ZA"/>
        </w:rPr>
      </w:pPr>
      <w:r>
        <w:rPr>
          <w:rStyle w:val="FootnoteReference"/>
        </w:rPr>
        <w:footnoteRef/>
      </w:r>
      <w:r>
        <w:t xml:space="preserve"> </w:t>
      </w:r>
      <w:r w:rsidRPr="007711A0">
        <w:rPr>
          <w:i/>
          <w:lang w:val="en-ZA"/>
        </w:rPr>
        <w:t xml:space="preserve">Wahlhaus </w:t>
      </w:r>
      <w:r w:rsidR="007711A0">
        <w:rPr>
          <w:i/>
          <w:lang w:val="en-ZA"/>
        </w:rPr>
        <w:t>&amp;</w:t>
      </w:r>
      <w:r w:rsidRPr="007711A0">
        <w:rPr>
          <w:i/>
          <w:lang w:val="en-ZA"/>
        </w:rPr>
        <w:t xml:space="preserve"> </w:t>
      </w:r>
      <w:r w:rsidR="007711A0">
        <w:rPr>
          <w:i/>
          <w:lang w:val="en-ZA"/>
        </w:rPr>
        <w:t>o</w:t>
      </w:r>
      <w:r w:rsidRPr="007711A0">
        <w:rPr>
          <w:i/>
          <w:lang w:val="en-ZA"/>
        </w:rPr>
        <w:t>thers v Addition</w:t>
      </w:r>
      <w:r w:rsidR="007711A0">
        <w:rPr>
          <w:i/>
          <w:lang w:val="en-ZA"/>
        </w:rPr>
        <w:t>al Magistrate, Johannesburg &amp; a</w:t>
      </w:r>
      <w:r w:rsidRPr="007711A0">
        <w:rPr>
          <w:i/>
          <w:lang w:val="en-ZA"/>
        </w:rPr>
        <w:t>nother</w:t>
      </w:r>
      <w:r>
        <w:rPr>
          <w:lang w:val="en-ZA"/>
        </w:rPr>
        <w:t xml:space="preserve"> 1959 (3) SA 133 (A) and </w:t>
      </w:r>
      <w:r w:rsidRPr="007711A0">
        <w:rPr>
          <w:i/>
          <w:lang w:val="en-ZA"/>
        </w:rPr>
        <w:t>S v Strowitsky</w:t>
      </w:r>
      <w:r>
        <w:rPr>
          <w:lang w:val="en-ZA"/>
        </w:rPr>
        <w:t xml:space="preserve"> 1999 NR 265 (HC).  </w:t>
      </w:r>
    </w:p>
  </w:footnote>
  <w:footnote w:id="2">
    <w:p w:rsidR="00E91E18" w:rsidRPr="007B2235" w:rsidRDefault="00E91E18" w:rsidP="007711A0">
      <w:pPr>
        <w:pStyle w:val="FootnoteText"/>
        <w:spacing w:line="240" w:lineRule="auto"/>
        <w:rPr>
          <w:lang w:val="en-ZA"/>
        </w:rPr>
      </w:pPr>
      <w:r>
        <w:rPr>
          <w:rStyle w:val="FootnoteReference"/>
        </w:rPr>
        <w:footnoteRef/>
      </w:r>
      <w:r>
        <w:t xml:space="preserve"> </w:t>
      </w:r>
      <w:r w:rsidRPr="002A5FD4">
        <w:rPr>
          <w:i/>
          <w:lang w:val="en-ZA"/>
        </w:rPr>
        <w:t xml:space="preserve">S v Mnyamana </w:t>
      </w:r>
      <w:r w:rsidR="002A5FD4">
        <w:rPr>
          <w:i/>
          <w:lang w:val="en-ZA"/>
        </w:rPr>
        <w:t>&amp;</w:t>
      </w:r>
      <w:r w:rsidRPr="002A5FD4">
        <w:rPr>
          <w:i/>
          <w:lang w:val="en-ZA"/>
        </w:rPr>
        <w:t xml:space="preserve"> </w:t>
      </w:r>
      <w:r w:rsidR="00512B99">
        <w:rPr>
          <w:i/>
          <w:lang w:val="en-ZA"/>
        </w:rPr>
        <w:t>a</w:t>
      </w:r>
      <w:r w:rsidRPr="002A5FD4">
        <w:rPr>
          <w:i/>
          <w:lang w:val="en-ZA"/>
        </w:rPr>
        <w:t>nother</w:t>
      </w:r>
      <w:r>
        <w:rPr>
          <w:lang w:val="en-ZA"/>
        </w:rPr>
        <w:t xml:space="preserve"> 1990 (1) SACR 137 (A) at 141F-H.  See also </w:t>
      </w:r>
      <w:r w:rsidRPr="002A5FD4">
        <w:rPr>
          <w:i/>
          <w:lang w:val="en-ZA"/>
        </w:rPr>
        <w:t xml:space="preserve">S v Shikunga </w:t>
      </w:r>
      <w:r w:rsidR="002A5FD4">
        <w:rPr>
          <w:i/>
          <w:lang w:val="en-ZA"/>
        </w:rPr>
        <w:t>&amp;</w:t>
      </w:r>
      <w:r w:rsidRPr="002A5FD4">
        <w:rPr>
          <w:i/>
          <w:lang w:val="en-ZA"/>
        </w:rPr>
        <w:t xml:space="preserve"> </w:t>
      </w:r>
      <w:r w:rsidR="00512B99">
        <w:rPr>
          <w:i/>
          <w:lang w:val="en-ZA"/>
        </w:rPr>
        <w:t>a</w:t>
      </w:r>
      <w:r w:rsidRPr="002A5FD4">
        <w:rPr>
          <w:i/>
          <w:lang w:val="en-ZA"/>
        </w:rPr>
        <w:t>nother</w:t>
      </w:r>
      <w:r>
        <w:rPr>
          <w:lang w:val="en-ZA"/>
        </w:rPr>
        <w:t xml:space="preserve"> 1997 NR 156 (SC).  </w:t>
      </w:r>
    </w:p>
  </w:footnote>
  <w:footnote w:id="3">
    <w:p w:rsidR="00E91E18" w:rsidRPr="00421484" w:rsidRDefault="00E91E18" w:rsidP="007711A0">
      <w:pPr>
        <w:pStyle w:val="FootnoteText"/>
        <w:spacing w:line="240" w:lineRule="auto"/>
        <w:rPr>
          <w:lang w:val="en-ZA"/>
        </w:rPr>
      </w:pPr>
      <w:r>
        <w:rPr>
          <w:rStyle w:val="FootnoteReference"/>
        </w:rPr>
        <w:footnoteRef/>
      </w:r>
      <w:r>
        <w:t xml:space="preserve"> </w:t>
      </w:r>
      <w:r>
        <w:rPr>
          <w:lang w:val="en-ZA"/>
        </w:rPr>
        <w:t>Note 3 above</w:t>
      </w:r>
      <w:r w:rsidR="002A5FD4">
        <w:rPr>
          <w:lang w:val="en-ZA"/>
        </w:rPr>
        <w:t>.</w:t>
      </w:r>
    </w:p>
  </w:footnote>
  <w:footnote w:id="4">
    <w:p w:rsidR="00E91E18" w:rsidRPr="007B2235" w:rsidRDefault="00E91E18" w:rsidP="007711A0">
      <w:pPr>
        <w:pStyle w:val="FootnoteText"/>
        <w:spacing w:line="240" w:lineRule="auto"/>
        <w:rPr>
          <w:lang w:val="en-ZA"/>
        </w:rPr>
      </w:pPr>
      <w:r>
        <w:rPr>
          <w:rStyle w:val="FootnoteReference"/>
        </w:rPr>
        <w:footnoteRef/>
      </w:r>
      <w:r>
        <w:t xml:space="preserve"> </w:t>
      </w:r>
      <w:r w:rsidRPr="002A5FD4">
        <w:rPr>
          <w:i/>
          <w:lang w:val="en-ZA"/>
        </w:rPr>
        <w:t>S v Bushebi</w:t>
      </w:r>
      <w:r>
        <w:rPr>
          <w:lang w:val="en-ZA"/>
        </w:rPr>
        <w:t xml:space="preserve"> 1998 NR 239 (SC)</w:t>
      </w:r>
      <w:r w:rsidR="002A5FD4">
        <w:rPr>
          <w:lang w:val="en-ZA"/>
        </w:rPr>
        <w:t>.</w:t>
      </w:r>
    </w:p>
  </w:footnote>
  <w:footnote w:id="5">
    <w:p w:rsidR="00E91E18" w:rsidRPr="0033552C" w:rsidRDefault="00E91E18" w:rsidP="007711A0">
      <w:pPr>
        <w:pStyle w:val="FootnoteText"/>
        <w:spacing w:line="240" w:lineRule="auto"/>
        <w:rPr>
          <w:lang w:val="en-ZA"/>
        </w:rPr>
      </w:pPr>
      <w:r>
        <w:rPr>
          <w:rStyle w:val="FootnoteReference"/>
        </w:rPr>
        <w:footnoteRef/>
      </w:r>
      <w:r>
        <w:t xml:space="preserve"> </w:t>
      </w:r>
      <w:r w:rsidRPr="002A5FD4">
        <w:rPr>
          <w:i/>
          <w:lang w:val="en-ZA"/>
        </w:rPr>
        <w:t xml:space="preserve">Teckla Nandjila Lameck </w:t>
      </w:r>
      <w:r w:rsidR="002A5FD4">
        <w:rPr>
          <w:i/>
          <w:lang w:val="en-ZA"/>
        </w:rPr>
        <w:t>&amp;</w:t>
      </w:r>
      <w:r w:rsidRPr="002A5FD4">
        <w:rPr>
          <w:i/>
          <w:lang w:val="en-ZA"/>
        </w:rPr>
        <w:t xml:space="preserve"> </w:t>
      </w:r>
      <w:r w:rsidR="00512B99">
        <w:rPr>
          <w:i/>
          <w:lang w:val="en-ZA"/>
        </w:rPr>
        <w:t>o</w:t>
      </w:r>
      <w:r w:rsidRPr="002A5FD4">
        <w:rPr>
          <w:i/>
          <w:lang w:val="en-ZA"/>
        </w:rPr>
        <w:t>thers v State</w:t>
      </w:r>
      <w:r>
        <w:rPr>
          <w:lang w:val="en-ZA"/>
        </w:rPr>
        <w:t xml:space="preserve">, </w:t>
      </w:r>
      <w:r w:rsidR="00512B99">
        <w:rPr>
          <w:lang w:val="en-ZA"/>
        </w:rPr>
        <w:t xml:space="preserve">No </w:t>
      </w:r>
      <w:r>
        <w:rPr>
          <w:lang w:val="en-ZA"/>
        </w:rPr>
        <w:t>SA15/2015 delivered on 19/06/2017</w:t>
      </w:r>
      <w:r w:rsidR="002A5FD4">
        <w:rPr>
          <w:lang w:val="en-ZA"/>
        </w:rPr>
        <w:t>.</w:t>
      </w:r>
    </w:p>
  </w:footnote>
  <w:footnote w:id="6">
    <w:p w:rsidR="00E91E18" w:rsidRPr="00012418" w:rsidRDefault="00E91E18" w:rsidP="007711A0">
      <w:pPr>
        <w:pStyle w:val="FootnoteText"/>
        <w:spacing w:line="240" w:lineRule="auto"/>
        <w:rPr>
          <w:lang w:val="en-ZA"/>
        </w:rPr>
      </w:pPr>
      <w:r>
        <w:rPr>
          <w:rStyle w:val="FootnoteReference"/>
        </w:rPr>
        <w:footnoteRef/>
      </w:r>
      <w:r>
        <w:t xml:space="preserve"> </w:t>
      </w:r>
      <w:r w:rsidRPr="002A5FD4">
        <w:rPr>
          <w:i/>
          <w:lang w:val="en-ZA"/>
        </w:rPr>
        <w:t>S v Teek</w:t>
      </w:r>
      <w:r>
        <w:rPr>
          <w:lang w:val="en-ZA"/>
        </w:rPr>
        <w:t xml:space="preserve"> 2009 (1) NR 127 (SC) 130 par</w:t>
      </w:r>
      <w:r w:rsidR="007315CB">
        <w:rPr>
          <w:lang w:val="en-ZA"/>
        </w:rPr>
        <w:t>a</w:t>
      </w:r>
      <w:r>
        <w:rPr>
          <w:lang w:val="en-ZA"/>
        </w:rPr>
        <w:t xml:space="preserve"> </w:t>
      </w:r>
      <w:r w:rsidR="007315CB">
        <w:rPr>
          <w:lang w:val="en-ZA"/>
        </w:rPr>
        <w:t>7</w:t>
      </w:r>
      <w:r w:rsidR="002A5FD4">
        <w:rPr>
          <w:lang w:val="en-ZA"/>
        </w:rPr>
        <w:t>.</w:t>
      </w:r>
    </w:p>
  </w:footnote>
  <w:footnote w:id="7">
    <w:p w:rsidR="00E91E18" w:rsidRPr="007B2235" w:rsidRDefault="00E91E18" w:rsidP="007711A0">
      <w:pPr>
        <w:pStyle w:val="FootnoteText"/>
        <w:spacing w:line="240" w:lineRule="auto"/>
        <w:rPr>
          <w:lang w:val="en-ZA"/>
        </w:rPr>
      </w:pPr>
      <w:r>
        <w:rPr>
          <w:rStyle w:val="FootnoteReference"/>
        </w:rPr>
        <w:footnoteRef/>
      </w:r>
      <w:r>
        <w:t xml:space="preserve"> </w:t>
      </w:r>
      <w:r w:rsidRPr="002A5FD4">
        <w:rPr>
          <w:i/>
          <w:lang w:val="en-ZA"/>
        </w:rPr>
        <w:t xml:space="preserve">President of the Republic of South Africa </w:t>
      </w:r>
      <w:r w:rsidR="007315CB">
        <w:rPr>
          <w:i/>
          <w:lang w:val="en-ZA"/>
        </w:rPr>
        <w:t>&amp; o</w:t>
      </w:r>
      <w:r w:rsidRPr="002A5FD4">
        <w:rPr>
          <w:i/>
          <w:lang w:val="en-ZA"/>
        </w:rPr>
        <w:t xml:space="preserve">thers v South African Rugby Football Union </w:t>
      </w:r>
      <w:r w:rsidR="007315CB">
        <w:rPr>
          <w:i/>
          <w:lang w:val="en-ZA"/>
        </w:rPr>
        <w:t>&amp; o</w:t>
      </w:r>
      <w:r w:rsidRPr="002A5FD4">
        <w:rPr>
          <w:i/>
          <w:lang w:val="en-ZA"/>
        </w:rPr>
        <w:t>thers</w:t>
      </w:r>
      <w:r w:rsidR="007315CB">
        <w:rPr>
          <w:lang w:val="en-ZA"/>
        </w:rPr>
        <w:t xml:space="preserve"> 1999 (4) SA 147 (CC)</w:t>
      </w:r>
      <w:r>
        <w:rPr>
          <w:lang w:val="en-ZA"/>
        </w:rPr>
        <w:t xml:space="preserve"> par</w:t>
      </w:r>
      <w:r w:rsidR="007315CB">
        <w:rPr>
          <w:lang w:val="en-ZA"/>
        </w:rPr>
        <w:t xml:space="preserve">a </w:t>
      </w:r>
      <w:r>
        <w:rPr>
          <w:lang w:val="en-ZA"/>
        </w:rPr>
        <w:t>50</w:t>
      </w:r>
      <w:r w:rsidR="002A5FD4">
        <w:rPr>
          <w:lang w:val="en-ZA"/>
        </w:rPr>
        <w:t>.</w:t>
      </w:r>
    </w:p>
  </w:footnote>
  <w:footnote w:id="8">
    <w:p w:rsidR="00E91E18" w:rsidRPr="007B2235" w:rsidRDefault="00E91E18" w:rsidP="007711A0">
      <w:pPr>
        <w:pStyle w:val="FootnoteText"/>
        <w:spacing w:line="240" w:lineRule="auto"/>
        <w:rPr>
          <w:lang w:val="en-ZA"/>
        </w:rPr>
      </w:pPr>
      <w:r>
        <w:rPr>
          <w:rStyle w:val="FootnoteReference"/>
        </w:rPr>
        <w:footnoteRef/>
      </w:r>
      <w:r>
        <w:t xml:space="preserve"> </w:t>
      </w:r>
      <w:r w:rsidRPr="002A5FD4">
        <w:rPr>
          <w:i/>
          <w:lang w:val="en-ZA"/>
        </w:rPr>
        <w:t>S v Shackell</w:t>
      </w:r>
      <w:r>
        <w:rPr>
          <w:lang w:val="en-ZA"/>
        </w:rPr>
        <w:t xml:space="preserve"> 2001 (4) SA 1 (SCA)</w:t>
      </w:r>
      <w:r w:rsidR="002A5FD4">
        <w:rPr>
          <w:lang w:val="en-ZA"/>
        </w:rPr>
        <w:t>.</w:t>
      </w:r>
    </w:p>
  </w:footnote>
  <w:footnote w:id="9">
    <w:p w:rsidR="00E91E18" w:rsidRPr="007B2235" w:rsidRDefault="00E91E18" w:rsidP="007711A0">
      <w:pPr>
        <w:pStyle w:val="FootnoteText"/>
        <w:spacing w:line="240" w:lineRule="auto"/>
        <w:rPr>
          <w:lang w:val="en-ZA"/>
        </w:rPr>
      </w:pPr>
      <w:r>
        <w:rPr>
          <w:rStyle w:val="FootnoteReference"/>
        </w:rPr>
        <w:footnoteRef/>
      </w:r>
      <w:r>
        <w:t xml:space="preserve"> </w:t>
      </w:r>
      <w:r w:rsidRPr="002A5FD4">
        <w:rPr>
          <w:i/>
          <w:lang w:val="en-ZA"/>
        </w:rPr>
        <w:t>SARFU</w:t>
      </w:r>
      <w:r w:rsidR="002A5FD4">
        <w:rPr>
          <w:lang w:val="en-ZA"/>
        </w:rPr>
        <w:t xml:space="preserve"> case, above par</w:t>
      </w:r>
      <w:r w:rsidR="007315CB">
        <w:rPr>
          <w:lang w:val="en-ZA"/>
        </w:rPr>
        <w:t>a 23</w:t>
      </w:r>
      <w:r w:rsidR="002A5FD4">
        <w:rPr>
          <w:lang w:val="en-ZA"/>
        </w:rPr>
        <w:t>.</w:t>
      </w:r>
    </w:p>
  </w:footnote>
  <w:footnote w:id="10">
    <w:p w:rsidR="00E91E18" w:rsidRPr="007B2235" w:rsidRDefault="00E91E18" w:rsidP="007711A0">
      <w:pPr>
        <w:pStyle w:val="FootnoteText"/>
        <w:spacing w:line="240" w:lineRule="auto"/>
        <w:rPr>
          <w:u w:val="single"/>
          <w:lang w:val="en-ZA"/>
        </w:rPr>
      </w:pPr>
      <w:r>
        <w:rPr>
          <w:rStyle w:val="FootnoteReference"/>
        </w:rPr>
        <w:footnoteRef/>
      </w:r>
      <w:r>
        <w:t xml:space="preserve"> </w:t>
      </w:r>
      <w:r w:rsidRPr="002A5FD4">
        <w:rPr>
          <w:i/>
          <w:lang w:val="en-ZA"/>
        </w:rPr>
        <w:t>S v Shackell</w:t>
      </w:r>
      <w:r>
        <w:rPr>
          <w:lang w:val="en-ZA"/>
        </w:rPr>
        <w:t xml:space="preserve"> 2001 (4) SA (SCA) paras </w:t>
      </w:r>
      <w:r w:rsidR="007315CB">
        <w:rPr>
          <w:lang w:val="en-ZA"/>
        </w:rPr>
        <w:t>19</w:t>
      </w:r>
      <w:r>
        <w:rPr>
          <w:lang w:val="en-ZA"/>
        </w:rPr>
        <w:t xml:space="preserve">, </w:t>
      </w:r>
      <w:r w:rsidR="007315CB">
        <w:rPr>
          <w:lang w:val="en-ZA"/>
        </w:rPr>
        <w:t xml:space="preserve">20, </w:t>
      </w:r>
      <w:r>
        <w:rPr>
          <w:lang w:val="en-ZA"/>
        </w:rPr>
        <w:t>21</w:t>
      </w:r>
      <w:r w:rsidR="007315CB">
        <w:rPr>
          <w:lang w:val="en-ZA"/>
        </w:rPr>
        <w:t xml:space="preserve"> and </w:t>
      </w:r>
      <w:r>
        <w:rPr>
          <w:lang w:val="en-ZA"/>
        </w:rPr>
        <w:t xml:space="preserve">22;  See also </w:t>
      </w:r>
      <w:r w:rsidRPr="002A5FD4">
        <w:rPr>
          <w:i/>
          <w:lang w:val="en-ZA"/>
        </w:rPr>
        <w:t xml:space="preserve">Christian t/a Hope Financial Services v Chairman of Namibia Financial Institutions Supervisory Authority </w:t>
      </w:r>
      <w:r w:rsidR="007711A0">
        <w:rPr>
          <w:i/>
          <w:lang w:val="en-ZA"/>
        </w:rPr>
        <w:t>&amp;</w:t>
      </w:r>
      <w:r w:rsidRPr="002A5FD4">
        <w:rPr>
          <w:i/>
          <w:lang w:val="en-ZA"/>
        </w:rPr>
        <w:t xml:space="preserve"> </w:t>
      </w:r>
      <w:r w:rsidR="007315CB">
        <w:rPr>
          <w:i/>
          <w:lang w:val="en-ZA"/>
        </w:rPr>
        <w:t>o</w:t>
      </w:r>
      <w:r w:rsidRPr="002A5FD4">
        <w:rPr>
          <w:i/>
          <w:lang w:val="en-ZA"/>
        </w:rPr>
        <w:t>thers</w:t>
      </w:r>
      <w:r>
        <w:rPr>
          <w:lang w:val="en-ZA"/>
        </w:rPr>
        <w:t xml:space="preserve"> 2009 (1) NR 22 (HC).  </w:t>
      </w:r>
      <w:r>
        <w:rPr>
          <w:u w:val="single"/>
          <w:lang w:val="en-ZA"/>
        </w:rPr>
        <w:t xml:space="preserve"> </w:t>
      </w:r>
    </w:p>
  </w:footnote>
  <w:footnote w:id="11">
    <w:p w:rsidR="00E91E18" w:rsidRPr="008B357A" w:rsidRDefault="00E91E18" w:rsidP="007711A0">
      <w:pPr>
        <w:pStyle w:val="FootnoteText"/>
        <w:spacing w:line="240" w:lineRule="auto"/>
        <w:rPr>
          <w:lang w:val="en-ZA"/>
        </w:rPr>
      </w:pPr>
      <w:r>
        <w:rPr>
          <w:rStyle w:val="FootnoteReference"/>
        </w:rPr>
        <w:footnoteRef/>
      </w:r>
      <w:r>
        <w:t xml:space="preserve"> </w:t>
      </w:r>
      <w:r w:rsidRPr="002A5FD4">
        <w:rPr>
          <w:i/>
          <w:lang w:val="en-ZA"/>
        </w:rPr>
        <w:t>Lameck</w:t>
      </w:r>
      <w:r>
        <w:rPr>
          <w:lang w:val="en-ZA"/>
        </w:rPr>
        <w:t xml:space="preserve"> case, above, para’s [39], [52] and [66]</w:t>
      </w:r>
      <w:r w:rsidR="002A5FD4">
        <w:rPr>
          <w:lang w:val="en-ZA"/>
        </w:rPr>
        <w:t>.</w:t>
      </w:r>
    </w:p>
  </w:footnote>
  <w:footnote w:id="12">
    <w:p w:rsidR="00E91E18" w:rsidRPr="007B2235" w:rsidRDefault="00E91E18" w:rsidP="007711A0">
      <w:pPr>
        <w:pStyle w:val="FootnoteText"/>
        <w:spacing w:line="240" w:lineRule="auto"/>
        <w:rPr>
          <w:lang w:val="en-ZA"/>
        </w:rPr>
      </w:pPr>
      <w:r>
        <w:rPr>
          <w:rStyle w:val="FootnoteReference"/>
        </w:rPr>
        <w:footnoteRef/>
      </w:r>
      <w:r>
        <w:t xml:space="preserve"> </w:t>
      </w:r>
      <w:r w:rsidRPr="002A5FD4">
        <w:rPr>
          <w:i/>
          <w:lang w:val="en-ZA"/>
        </w:rPr>
        <w:t>Moch v Nedtravel (Pty) Ltd t/a American Express Travel Service</w:t>
      </w:r>
      <w:r>
        <w:rPr>
          <w:lang w:val="en-ZA"/>
        </w:rPr>
        <w:t xml:space="preserve"> 1996 (3) SA 1 at 13 H – 14 C.  </w:t>
      </w:r>
    </w:p>
  </w:footnote>
  <w:footnote w:id="13">
    <w:p w:rsidR="00E91E18" w:rsidRPr="007B2235" w:rsidRDefault="00E91E18" w:rsidP="007711A0">
      <w:pPr>
        <w:pStyle w:val="FootnoteText"/>
        <w:spacing w:line="240" w:lineRule="auto"/>
        <w:rPr>
          <w:lang w:val="en-ZA"/>
        </w:rPr>
      </w:pPr>
      <w:r>
        <w:rPr>
          <w:rStyle w:val="FootnoteReference"/>
        </w:rPr>
        <w:footnoteRef/>
      </w:r>
      <w:r>
        <w:t xml:space="preserve"> </w:t>
      </w:r>
      <w:r w:rsidRPr="002A5FD4">
        <w:rPr>
          <w:i/>
        </w:rPr>
        <w:t>Bernert v ABSA Bank Limited</w:t>
      </w:r>
      <w:r>
        <w:t xml:space="preserve"> 2001 (3) SA 92 (CC) par [35]</w:t>
      </w:r>
      <w:r w:rsidR="002A5FD4">
        <w:t>.</w:t>
      </w:r>
    </w:p>
  </w:footnote>
  <w:footnote w:id="14">
    <w:p w:rsidR="006F7346" w:rsidRDefault="00E91E18" w:rsidP="007711A0">
      <w:pPr>
        <w:pStyle w:val="FootnoteText"/>
        <w:spacing w:line="240" w:lineRule="auto"/>
        <w:rPr>
          <w:lang w:val="en-ZA"/>
        </w:rPr>
      </w:pPr>
      <w:r>
        <w:rPr>
          <w:rStyle w:val="FootnoteReference"/>
        </w:rPr>
        <w:footnoteRef/>
      </w:r>
      <w:r>
        <w:t xml:space="preserve"> </w:t>
      </w:r>
      <w:r w:rsidRPr="002A5FD4">
        <w:rPr>
          <w:i/>
          <w:lang w:val="en-ZA"/>
        </w:rPr>
        <w:t>SARFU</w:t>
      </w:r>
      <w:r>
        <w:rPr>
          <w:lang w:val="en-ZA"/>
        </w:rPr>
        <w:t xml:space="preserve"> case above par</w:t>
      </w:r>
      <w:r w:rsidR="006F7346">
        <w:rPr>
          <w:lang w:val="en-ZA"/>
        </w:rPr>
        <w:t xml:space="preserve">a </w:t>
      </w:r>
      <w:r>
        <w:rPr>
          <w:lang w:val="en-ZA"/>
        </w:rPr>
        <w:t xml:space="preserve">32, </w:t>
      </w:r>
      <w:r w:rsidRPr="002A5FD4">
        <w:rPr>
          <w:i/>
          <w:lang w:val="en-ZA"/>
        </w:rPr>
        <w:t>Moch</w:t>
      </w:r>
      <w:r>
        <w:rPr>
          <w:lang w:val="en-ZA"/>
        </w:rPr>
        <w:t xml:space="preserve"> case above at 12G-H and </w:t>
      </w:r>
      <w:r w:rsidRPr="002A5FD4">
        <w:rPr>
          <w:i/>
          <w:lang w:val="en-ZA"/>
        </w:rPr>
        <w:t>Shackell</w:t>
      </w:r>
      <w:r>
        <w:rPr>
          <w:lang w:val="en-ZA"/>
        </w:rPr>
        <w:t xml:space="preserve"> case above par</w:t>
      </w:r>
      <w:r w:rsidR="006F7346">
        <w:rPr>
          <w:lang w:val="en-ZA"/>
        </w:rPr>
        <w:t>a 19.</w:t>
      </w:r>
    </w:p>
    <w:p w:rsidR="00E91E18" w:rsidRPr="007B2235" w:rsidRDefault="00E91E18" w:rsidP="007711A0">
      <w:pPr>
        <w:pStyle w:val="FootnoteText"/>
        <w:spacing w:line="240" w:lineRule="auto"/>
        <w:rPr>
          <w:lang w:val="en-ZA"/>
        </w:rPr>
      </w:pPr>
      <w:r>
        <w:rPr>
          <w:lang w:val="en-ZA"/>
        </w:rPr>
        <w:t xml:space="preserve"> </w:t>
      </w:r>
    </w:p>
  </w:footnote>
  <w:footnote w:id="15">
    <w:p w:rsidR="00E91E18" w:rsidRPr="00947AD3" w:rsidRDefault="00E91E18" w:rsidP="007711A0">
      <w:pPr>
        <w:pStyle w:val="FootnoteText"/>
        <w:spacing w:line="240" w:lineRule="auto"/>
        <w:rPr>
          <w:lang w:val="en-ZA"/>
        </w:rPr>
      </w:pPr>
      <w:r>
        <w:rPr>
          <w:rStyle w:val="FootnoteReference"/>
        </w:rPr>
        <w:footnoteRef/>
      </w:r>
      <w:r>
        <w:t xml:space="preserve"> </w:t>
      </w:r>
      <w:r w:rsidRPr="002A5FD4">
        <w:rPr>
          <w:i/>
          <w:lang w:val="en-ZA"/>
        </w:rPr>
        <w:t>R v Lalla</w:t>
      </w:r>
      <w:r>
        <w:rPr>
          <w:lang w:val="en-ZA"/>
        </w:rPr>
        <w:t xml:space="preserve"> 1945 EDL 156</w:t>
      </w:r>
      <w:r w:rsidR="002A5FD4">
        <w:rPr>
          <w:lang w:val="en-ZA"/>
        </w:rPr>
        <w:t>.</w:t>
      </w:r>
    </w:p>
  </w:footnote>
  <w:footnote w:id="16">
    <w:p w:rsidR="00E91E18" w:rsidRPr="00593321" w:rsidRDefault="00E91E18" w:rsidP="007711A0">
      <w:pPr>
        <w:pStyle w:val="FootnoteText"/>
        <w:spacing w:line="240" w:lineRule="auto"/>
        <w:rPr>
          <w:lang w:val="en-ZA"/>
        </w:rPr>
      </w:pPr>
      <w:r>
        <w:rPr>
          <w:rStyle w:val="FootnoteReference"/>
        </w:rPr>
        <w:footnoteRef/>
      </w:r>
      <w:r>
        <w:t xml:space="preserve"> </w:t>
      </w:r>
      <w:r w:rsidRPr="002A5FD4">
        <w:rPr>
          <w:i/>
          <w:lang w:val="en-ZA"/>
        </w:rPr>
        <w:t>Gleneagles Farm Dairy v Schoombee</w:t>
      </w:r>
      <w:r>
        <w:rPr>
          <w:lang w:val="en-ZA"/>
        </w:rPr>
        <w:t xml:space="preserve"> 1947 (4) SA 66 (E)</w:t>
      </w:r>
      <w:r w:rsidR="002A5FD4">
        <w:rPr>
          <w:lang w:val="en-ZA"/>
        </w:rPr>
        <w:t>.</w:t>
      </w:r>
    </w:p>
  </w:footnote>
  <w:footnote w:id="17">
    <w:p w:rsidR="00E91E18" w:rsidRPr="00C30A97" w:rsidRDefault="00E91E18" w:rsidP="007711A0">
      <w:pPr>
        <w:pStyle w:val="FootnoteText"/>
        <w:spacing w:line="240" w:lineRule="auto"/>
        <w:rPr>
          <w:lang w:val="en-ZA"/>
        </w:rPr>
      </w:pPr>
      <w:r>
        <w:rPr>
          <w:rStyle w:val="FootnoteReference"/>
        </w:rPr>
        <w:footnoteRef/>
      </w:r>
      <w:r>
        <w:t xml:space="preserve"> </w:t>
      </w:r>
      <w:r>
        <w:rPr>
          <w:lang w:val="en-ZA"/>
        </w:rPr>
        <w:t xml:space="preserve">Hoffmann &amp; Zeffert: </w:t>
      </w:r>
      <w:r w:rsidRPr="002A5FD4">
        <w:rPr>
          <w:i/>
          <w:lang w:val="en-ZA"/>
        </w:rPr>
        <w:t>South African Law of Evidence</w:t>
      </w:r>
      <w:r>
        <w:rPr>
          <w:lang w:val="en-ZA"/>
        </w:rPr>
        <w:t>, 3</w:t>
      </w:r>
      <w:r w:rsidRPr="00C30A97">
        <w:rPr>
          <w:vertAlign w:val="superscript"/>
          <w:lang w:val="en-ZA"/>
        </w:rPr>
        <w:t>rd</w:t>
      </w:r>
      <w:r>
        <w:rPr>
          <w:lang w:val="en-ZA"/>
        </w:rPr>
        <w:t xml:space="preserve"> ed at 116</w:t>
      </w:r>
      <w:r w:rsidR="002A5FD4">
        <w:rPr>
          <w:lang w:val="en-ZA"/>
        </w:rPr>
        <w:t>.</w:t>
      </w:r>
    </w:p>
  </w:footnote>
  <w:footnote w:id="18">
    <w:p w:rsidR="00E91E18" w:rsidRPr="003E39DB" w:rsidRDefault="00E91E18" w:rsidP="007711A0">
      <w:pPr>
        <w:pStyle w:val="FootnoteText"/>
        <w:spacing w:line="240" w:lineRule="auto"/>
        <w:rPr>
          <w:lang w:val="en-ZA"/>
        </w:rPr>
      </w:pPr>
      <w:r>
        <w:rPr>
          <w:rStyle w:val="FootnoteReference"/>
        </w:rPr>
        <w:footnoteRef/>
      </w:r>
      <w:r>
        <w:t xml:space="preserve"> </w:t>
      </w:r>
      <w:r>
        <w:rPr>
          <w:lang w:val="en-ZA"/>
        </w:rPr>
        <w:t xml:space="preserve">Halsbury: </w:t>
      </w:r>
      <w:r w:rsidRPr="002A5FD4">
        <w:rPr>
          <w:i/>
          <w:lang w:val="en-ZA"/>
        </w:rPr>
        <w:t>Laws of Engling</w:t>
      </w:r>
      <w:r>
        <w:rPr>
          <w:lang w:val="en-ZA"/>
        </w:rPr>
        <w:t xml:space="preserve"> 4</w:t>
      </w:r>
      <w:r w:rsidRPr="003E39DB">
        <w:rPr>
          <w:vertAlign w:val="superscript"/>
          <w:lang w:val="en-ZA"/>
        </w:rPr>
        <w:t>th</w:t>
      </w:r>
      <w:r>
        <w:rPr>
          <w:lang w:val="en-ZA"/>
        </w:rPr>
        <w:t xml:space="preserve"> ed, vol 17 at 39 par 53</w:t>
      </w:r>
      <w:r w:rsidR="002A5FD4">
        <w:rPr>
          <w:lang w:val="en-ZA"/>
        </w:rPr>
        <w:t>.</w:t>
      </w:r>
    </w:p>
  </w:footnote>
  <w:footnote w:id="19">
    <w:p w:rsidR="00E91E18" w:rsidRPr="00184CE4" w:rsidRDefault="00E91E18" w:rsidP="007711A0">
      <w:pPr>
        <w:pStyle w:val="FootnoteText"/>
        <w:spacing w:line="240" w:lineRule="auto"/>
        <w:rPr>
          <w:lang w:val="en-ZA"/>
        </w:rPr>
      </w:pPr>
      <w:r>
        <w:rPr>
          <w:rStyle w:val="FootnoteReference"/>
        </w:rPr>
        <w:footnoteRef/>
      </w:r>
      <w:r>
        <w:t xml:space="preserve"> </w:t>
      </w:r>
      <w:r w:rsidRPr="002A5FD4">
        <w:rPr>
          <w:i/>
          <w:lang w:val="en-ZA"/>
        </w:rPr>
        <w:t xml:space="preserve">Malama-Kean v Magistrate, District of Oshakati </w:t>
      </w:r>
      <w:r w:rsidR="00A65FF4">
        <w:rPr>
          <w:i/>
          <w:lang w:val="en-ZA"/>
        </w:rPr>
        <w:t>&amp;</w:t>
      </w:r>
      <w:r w:rsidRPr="002A5FD4">
        <w:rPr>
          <w:i/>
          <w:lang w:val="en-ZA"/>
        </w:rPr>
        <w:t xml:space="preserve"> </w:t>
      </w:r>
      <w:r w:rsidR="00C4222E">
        <w:rPr>
          <w:i/>
          <w:lang w:val="en-ZA"/>
        </w:rPr>
        <w:t>a</w:t>
      </w:r>
      <w:r w:rsidRPr="002A5FD4">
        <w:rPr>
          <w:i/>
          <w:lang w:val="en-ZA"/>
        </w:rPr>
        <w:t>nother</w:t>
      </w:r>
      <w:r>
        <w:rPr>
          <w:lang w:val="en-ZA"/>
        </w:rPr>
        <w:t xml:space="preserve"> 2002 NR 413 (SC) at 440C-H.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18" w:rsidRDefault="00E91E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E18" w:rsidRDefault="00E91E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18" w:rsidRDefault="00E91E18">
    <w:pPr>
      <w:ind w:right="360"/>
      <w:jc w:val="right"/>
    </w:pPr>
    <w:r>
      <w:rPr>
        <w:rStyle w:val="PageNumber"/>
      </w:rPr>
      <w:fldChar w:fldCharType="begin"/>
    </w:r>
    <w:r>
      <w:rPr>
        <w:rStyle w:val="PageNumber"/>
      </w:rPr>
      <w:instrText xml:space="preserve"> PAGE </w:instrText>
    </w:r>
    <w:r>
      <w:rPr>
        <w:rStyle w:val="PageNumber"/>
      </w:rPr>
      <w:fldChar w:fldCharType="separate"/>
    </w:r>
    <w:r w:rsidR="00A44FF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BA80808"/>
    <w:lvl w:ilvl="0">
      <w:start w:val="1"/>
      <w:numFmt w:val="decimal"/>
      <w:lvlText w:val="%1."/>
      <w:lvlJc w:val="left"/>
      <w:pPr>
        <w:tabs>
          <w:tab w:val="num" w:pos="360"/>
        </w:tabs>
        <w:ind w:left="360" w:hanging="360"/>
      </w:pPr>
    </w:lvl>
  </w:abstractNum>
  <w:abstractNum w:abstractNumId="1">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92CC138A"/>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3">
    <w:nsid w:val="0F16775B"/>
    <w:multiLevelType w:val="hybridMultilevel"/>
    <w:tmpl w:val="C9D808DE"/>
    <w:lvl w:ilvl="0" w:tplc="5518D5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FB4C93"/>
    <w:multiLevelType w:val="hybridMultilevel"/>
    <w:tmpl w:val="A76A2E90"/>
    <w:lvl w:ilvl="0" w:tplc="A7167FB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0C26BB6"/>
    <w:multiLevelType w:val="hybridMultilevel"/>
    <w:tmpl w:val="08002C04"/>
    <w:lvl w:ilvl="0" w:tplc="3352429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34F42B8"/>
    <w:multiLevelType w:val="hybridMultilevel"/>
    <w:tmpl w:val="7E88A474"/>
    <w:lvl w:ilvl="0" w:tplc="9E9C3A42">
      <w:start w:val="1"/>
      <w:numFmt w:val="upperRoman"/>
      <w:lvlText w:val="%1."/>
      <w:lvlJc w:val="left"/>
      <w:pPr>
        <w:ind w:left="1080" w:hanging="72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DD34E1"/>
    <w:multiLevelType w:val="hybridMultilevel"/>
    <w:tmpl w:val="46CC7D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4D612FF"/>
    <w:multiLevelType w:val="hybridMultilevel"/>
    <w:tmpl w:val="F330234C"/>
    <w:lvl w:ilvl="0" w:tplc="B224C4E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0">
    <w:nsid w:val="64734A31"/>
    <w:multiLevelType w:val="hybridMultilevel"/>
    <w:tmpl w:val="07663A70"/>
    <w:lvl w:ilvl="0" w:tplc="39E681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9"/>
  </w:num>
  <w:num w:numId="13">
    <w:abstractNumId w:val="2"/>
  </w:num>
  <w:num w:numId="14">
    <w:abstractNumId w:val="3"/>
  </w:num>
  <w:num w:numId="15">
    <w:abstractNumId w:val="5"/>
  </w:num>
  <w:num w:numId="16">
    <w:abstractNumId w:val="8"/>
  </w:num>
  <w:num w:numId="17">
    <w:abstractNumId w:val="7"/>
  </w:num>
  <w:num w:numId="18">
    <w:abstractNumId w:val="6"/>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B2"/>
    <w:rsid w:val="0000079D"/>
    <w:rsid w:val="000053B4"/>
    <w:rsid w:val="00006DE8"/>
    <w:rsid w:val="00012418"/>
    <w:rsid w:val="00015C40"/>
    <w:rsid w:val="00016ED3"/>
    <w:rsid w:val="00020C26"/>
    <w:rsid w:val="000251CA"/>
    <w:rsid w:val="00026700"/>
    <w:rsid w:val="00031A56"/>
    <w:rsid w:val="00037B8C"/>
    <w:rsid w:val="00043013"/>
    <w:rsid w:val="000431A2"/>
    <w:rsid w:val="00047A0C"/>
    <w:rsid w:val="00053C66"/>
    <w:rsid w:val="00053DA3"/>
    <w:rsid w:val="00057319"/>
    <w:rsid w:val="00060ECA"/>
    <w:rsid w:val="000612CD"/>
    <w:rsid w:val="00064F97"/>
    <w:rsid w:val="00072E4E"/>
    <w:rsid w:val="00076865"/>
    <w:rsid w:val="000837A3"/>
    <w:rsid w:val="00083986"/>
    <w:rsid w:val="00090856"/>
    <w:rsid w:val="000911C5"/>
    <w:rsid w:val="00094F2D"/>
    <w:rsid w:val="00097646"/>
    <w:rsid w:val="000A1276"/>
    <w:rsid w:val="000A128F"/>
    <w:rsid w:val="000A33B6"/>
    <w:rsid w:val="000B4AAF"/>
    <w:rsid w:val="000B5B24"/>
    <w:rsid w:val="000B6760"/>
    <w:rsid w:val="000C1B3C"/>
    <w:rsid w:val="000C24B2"/>
    <w:rsid w:val="000D0C02"/>
    <w:rsid w:val="000D25E4"/>
    <w:rsid w:val="000D6D95"/>
    <w:rsid w:val="000E3810"/>
    <w:rsid w:val="000E57B6"/>
    <w:rsid w:val="000F1600"/>
    <w:rsid w:val="000F16A8"/>
    <w:rsid w:val="000F528F"/>
    <w:rsid w:val="000F54FF"/>
    <w:rsid w:val="000F700F"/>
    <w:rsid w:val="00100DFE"/>
    <w:rsid w:val="00101DEC"/>
    <w:rsid w:val="00136D33"/>
    <w:rsid w:val="00156332"/>
    <w:rsid w:val="001635AF"/>
    <w:rsid w:val="00170A85"/>
    <w:rsid w:val="0017183C"/>
    <w:rsid w:val="001720B1"/>
    <w:rsid w:val="0018117B"/>
    <w:rsid w:val="00181A2B"/>
    <w:rsid w:val="00181E2E"/>
    <w:rsid w:val="00183C36"/>
    <w:rsid w:val="00184CE4"/>
    <w:rsid w:val="00195529"/>
    <w:rsid w:val="00195CD4"/>
    <w:rsid w:val="001971F2"/>
    <w:rsid w:val="001A4647"/>
    <w:rsid w:val="001A7F5B"/>
    <w:rsid w:val="001B5834"/>
    <w:rsid w:val="001B7021"/>
    <w:rsid w:val="001D3D22"/>
    <w:rsid w:val="001E616C"/>
    <w:rsid w:val="001E76DD"/>
    <w:rsid w:val="001F072F"/>
    <w:rsid w:val="001F6B25"/>
    <w:rsid w:val="002032CC"/>
    <w:rsid w:val="0020793B"/>
    <w:rsid w:val="00222175"/>
    <w:rsid w:val="00226B37"/>
    <w:rsid w:val="0022729D"/>
    <w:rsid w:val="0023712B"/>
    <w:rsid w:val="00240F8A"/>
    <w:rsid w:val="00241484"/>
    <w:rsid w:val="00242A8E"/>
    <w:rsid w:val="00246D32"/>
    <w:rsid w:val="00250F36"/>
    <w:rsid w:val="00263902"/>
    <w:rsid w:val="00264528"/>
    <w:rsid w:val="00267415"/>
    <w:rsid w:val="00273A50"/>
    <w:rsid w:val="002810A5"/>
    <w:rsid w:val="00281BF4"/>
    <w:rsid w:val="002834DC"/>
    <w:rsid w:val="0028640A"/>
    <w:rsid w:val="00287041"/>
    <w:rsid w:val="002876D0"/>
    <w:rsid w:val="002876D2"/>
    <w:rsid w:val="00293F8C"/>
    <w:rsid w:val="00296CF5"/>
    <w:rsid w:val="00296F67"/>
    <w:rsid w:val="002A1187"/>
    <w:rsid w:val="002A1F62"/>
    <w:rsid w:val="002A5523"/>
    <w:rsid w:val="002A5FD4"/>
    <w:rsid w:val="002A6619"/>
    <w:rsid w:val="002B1CF0"/>
    <w:rsid w:val="002B248F"/>
    <w:rsid w:val="002B7F1A"/>
    <w:rsid w:val="002C3B49"/>
    <w:rsid w:val="002D051B"/>
    <w:rsid w:val="002D2A20"/>
    <w:rsid w:val="002D398C"/>
    <w:rsid w:val="002D4B15"/>
    <w:rsid w:val="002D5653"/>
    <w:rsid w:val="002D5673"/>
    <w:rsid w:val="002D6B6A"/>
    <w:rsid w:val="002E4A2A"/>
    <w:rsid w:val="00301CD1"/>
    <w:rsid w:val="00305809"/>
    <w:rsid w:val="003104B3"/>
    <w:rsid w:val="00313D89"/>
    <w:rsid w:val="0033517F"/>
    <w:rsid w:val="0033552C"/>
    <w:rsid w:val="00345325"/>
    <w:rsid w:val="00345548"/>
    <w:rsid w:val="00345851"/>
    <w:rsid w:val="0035048A"/>
    <w:rsid w:val="00364BE8"/>
    <w:rsid w:val="00375C5A"/>
    <w:rsid w:val="00377B18"/>
    <w:rsid w:val="00385035"/>
    <w:rsid w:val="003909A0"/>
    <w:rsid w:val="003A1454"/>
    <w:rsid w:val="003A6660"/>
    <w:rsid w:val="003B626C"/>
    <w:rsid w:val="003B6E94"/>
    <w:rsid w:val="003C5955"/>
    <w:rsid w:val="003C782C"/>
    <w:rsid w:val="003D4392"/>
    <w:rsid w:val="003D6976"/>
    <w:rsid w:val="003E26E9"/>
    <w:rsid w:val="003E39DB"/>
    <w:rsid w:val="003F07E6"/>
    <w:rsid w:val="003F5612"/>
    <w:rsid w:val="0040303E"/>
    <w:rsid w:val="00403667"/>
    <w:rsid w:val="004056BB"/>
    <w:rsid w:val="00405D0F"/>
    <w:rsid w:val="004070D7"/>
    <w:rsid w:val="00410C54"/>
    <w:rsid w:val="00412ABF"/>
    <w:rsid w:val="00414F24"/>
    <w:rsid w:val="00421484"/>
    <w:rsid w:val="004236F3"/>
    <w:rsid w:val="00427577"/>
    <w:rsid w:val="004307DD"/>
    <w:rsid w:val="00431583"/>
    <w:rsid w:val="00440FA3"/>
    <w:rsid w:val="004458EB"/>
    <w:rsid w:val="00446A6D"/>
    <w:rsid w:val="00447F18"/>
    <w:rsid w:val="00457D2B"/>
    <w:rsid w:val="00471CA8"/>
    <w:rsid w:val="00472A81"/>
    <w:rsid w:val="00474EBF"/>
    <w:rsid w:val="00477193"/>
    <w:rsid w:val="00477E2E"/>
    <w:rsid w:val="00483443"/>
    <w:rsid w:val="004858F9"/>
    <w:rsid w:val="0048744D"/>
    <w:rsid w:val="004A178E"/>
    <w:rsid w:val="004A3CFC"/>
    <w:rsid w:val="004A553F"/>
    <w:rsid w:val="004B230D"/>
    <w:rsid w:val="004C2449"/>
    <w:rsid w:val="004C3FAB"/>
    <w:rsid w:val="004C6389"/>
    <w:rsid w:val="004D0E66"/>
    <w:rsid w:val="004D23EB"/>
    <w:rsid w:val="004D2833"/>
    <w:rsid w:val="004D53C0"/>
    <w:rsid w:val="004D6CE2"/>
    <w:rsid w:val="004E1925"/>
    <w:rsid w:val="004E3754"/>
    <w:rsid w:val="004F0811"/>
    <w:rsid w:val="004F1C9B"/>
    <w:rsid w:val="004F5297"/>
    <w:rsid w:val="004F5927"/>
    <w:rsid w:val="0050048F"/>
    <w:rsid w:val="005027ED"/>
    <w:rsid w:val="005072CC"/>
    <w:rsid w:val="00512B99"/>
    <w:rsid w:val="00514D6E"/>
    <w:rsid w:val="00515DB2"/>
    <w:rsid w:val="00521FA9"/>
    <w:rsid w:val="0053137A"/>
    <w:rsid w:val="005364F0"/>
    <w:rsid w:val="0054339E"/>
    <w:rsid w:val="00543A0D"/>
    <w:rsid w:val="005444BA"/>
    <w:rsid w:val="00551AE4"/>
    <w:rsid w:val="00551B72"/>
    <w:rsid w:val="005541C8"/>
    <w:rsid w:val="005575DE"/>
    <w:rsid w:val="00560623"/>
    <w:rsid w:val="00563B8F"/>
    <w:rsid w:val="005725A3"/>
    <w:rsid w:val="005727A0"/>
    <w:rsid w:val="0057720C"/>
    <w:rsid w:val="005773B2"/>
    <w:rsid w:val="005817A1"/>
    <w:rsid w:val="00582A44"/>
    <w:rsid w:val="00593321"/>
    <w:rsid w:val="005A2374"/>
    <w:rsid w:val="005A4011"/>
    <w:rsid w:val="005B7AC3"/>
    <w:rsid w:val="005C0FE1"/>
    <w:rsid w:val="005C3921"/>
    <w:rsid w:val="005C3A45"/>
    <w:rsid w:val="005C6496"/>
    <w:rsid w:val="005D1EB1"/>
    <w:rsid w:val="005D6147"/>
    <w:rsid w:val="005D7835"/>
    <w:rsid w:val="005E58FA"/>
    <w:rsid w:val="005E61FB"/>
    <w:rsid w:val="005F68B6"/>
    <w:rsid w:val="00607C3B"/>
    <w:rsid w:val="0061266A"/>
    <w:rsid w:val="006200B5"/>
    <w:rsid w:val="00624C86"/>
    <w:rsid w:val="00635FB7"/>
    <w:rsid w:val="00637182"/>
    <w:rsid w:val="00641D58"/>
    <w:rsid w:val="006425A0"/>
    <w:rsid w:val="006442BA"/>
    <w:rsid w:val="00656CE6"/>
    <w:rsid w:val="006635D3"/>
    <w:rsid w:val="006649EE"/>
    <w:rsid w:val="00671449"/>
    <w:rsid w:val="00675EEF"/>
    <w:rsid w:val="0067679A"/>
    <w:rsid w:val="0068379E"/>
    <w:rsid w:val="00684E72"/>
    <w:rsid w:val="006866CF"/>
    <w:rsid w:val="00691E1B"/>
    <w:rsid w:val="006970A2"/>
    <w:rsid w:val="006A0BC3"/>
    <w:rsid w:val="006A0D26"/>
    <w:rsid w:val="006A5382"/>
    <w:rsid w:val="006A7BD8"/>
    <w:rsid w:val="006B51C9"/>
    <w:rsid w:val="006C0352"/>
    <w:rsid w:val="006C05FA"/>
    <w:rsid w:val="006C0CA7"/>
    <w:rsid w:val="006C4168"/>
    <w:rsid w:val="006D2B80"/>
    <w:rsid w:val="006E67D8"/>
    <w:rsid w:val="006E7439"/>
    <w:rsid w:val="006F16CC"/>
    <w:rsid w:val="006F2DC8"/>
    <w:rsid w:val="006F7346"/>
    <w:rsid w:val="0070247E"/>
    <w:rsid w:val="0070422A"/>
    <w:rsid w:val="00714478"/>
    <w:rsid w:val="00715CF4"/>
    <w:rsid w:val="00717051"/>
    <w:rsid w:val="007208E2"/>
    <w:rsid w:val="00721832"/>
    <w:rsid w:val="007278F4"/>
    <w:rsid w:val="007315CB"/>
    <w:rsid w:val="0073799F"/>
    <w:rsid w:val="0074374B"/>
    <w:rsid w:val="007540DE"/>
    <w:rsid w:val="00754DA2"/>
    <w:rsid w:val="0075594E"/>
    <w:rsid w:val="00757472"/>
    <w:rsid w:val="007575D7"/>
    <w:rsid w:val="00765C92"/>
    <w:rsid w:val="0076796D"/>
    <w:rsid w:val="007711A0"/>
    <w:rsid w:val="00783682"/>
    <w:rsid w:val="00784084"/>
    <w:rsid w:val="00791B8E"/>
    <w:rsid w:val="00797EB4"/>
    <w:rsid w:val="007A0F2E"/>
    <w:rsid w:val="007A2FA5"/>
    <w:rsid w:val="007A689F"/>
    <w:rsid w:val="007B1686"/>
    <w:rsid w:val="007B2235"/>
    <w:rsid w:val="007B2AF0"/>
    <w:rsid w:val="007B343D"/>
    <w:rsid w:val="007C22A4"/>
    <w:rsid w:val="007C4FED"/>
    <w:rsid w:val="007D271B"/>
    <w:rsid w:val="007E2A8E"/>
    <w:rsid w:val="007E4C3A"/>
    <w:rsid w:val="007E7941"/>
    <w:rsid w:val="00810BFD"/>
    <w:rsid w:val="0081337A"/>
    <w:rsid w:val="0081665C"/>
    <w:rsid w:val="0082390D"/>
    <w:rsid w:val="008334C1"/>
    <w:rsid w:val="008425D7"/>
    <w:rsid w:val="008448DB"/>
    <w:rsid w:val="00847B0C"/>
    <w:rsid w:val="00851C5C"/>
    <w:rsid w:val="0085314F"/>
    <w:rsid w:val="00855040"/>
    <w:rsid w:val="008603D9"/>
    <w:rsid w:val="0086500D"/>
    <w:rsid w:val="00866E5E"/>
    <w:rsid w:val="00877E98"/>
    <w:rsid w:val="00886668"/>
    <w:rsid w:val="00892676"/>
    <w:rsid w:val="00895FC0"/>
    <w:rsid w:val="008A094A"/>
    <w:rsid w:val="008A237F"/>
    <w:rsid w:val="008B1CEE"/>
    <w:rsid w:val="008B357A"/>
    <w:rsid w:val="008B765B"/>
    <w:rsid w:val="008C3340"/>
    <w:rsid w:val="008C33C5"/>
    <w:rsid w:val="008C6CFA"/>
    <w:rsid w:val="008C7E05"/>
    <w:rsid w:val="008E4EC0"/>
    <w:rsid w:val="008F4EBB"/>
    <w:rsid w:val="008F5A63"/>
    <w:rsid w:val="00903944"/>
    <w:rsid w:val="009043AD"/>
    <w:rsid w:val="00905B82"/>
    <w:rsid w:val="00906B6A"/>
    <w:rsid w:val="00913834"/>
    <w:rsid w:val="00913A9B"/>
    <w:rsid w:val="00916696"/>
    <w:rsid w:val="0091780E"/>
    <w:rsid w:val="009341CB"/>
    <w:rsid w:val="00941CBD"/>
    <w:rsid w:val="00941DF4"/>
    <w:rsid w:val="00947AD3"/>
    <w:rsid w:val="0095061D"/>
    <w:rsid w:val="00951822"/>
    <w:rsid w:val="00955EFF"/>
    <w:rsid w:val="00961368"/>
    <w:rsid w:val="00964320"/>
    <w:rsid w:val="00965898"/>
    <w:rsid w:val="00977D02"/>
    <w:rsid w:val="0098142F"/>
    <w:rsid w:val="00983FFC"/>
    <w:rsid w:val="00997FBD"/>
    <w:rsid w:val="009A13A2"/>
    <w:rsid w:val="009A64C6"/>
    <w:rsid w:val="009A7BE4"/>
    <w:rsid w:val="009C3241"/>
    <w:rsid w:val="009C59AA"/>
    <w:rsid w:val="009E0AF5"/>
    <w:rsid w:val="009E36DF"/>
    <w:rsid w:val="009F099A"/>
    <w:rsid w:val="009F199D"/>
    <w:rsid w:val="009F1F90"/>
    <w:rsid w:val="009F40E3"/>
    <w:rsid w:val="009F7BEE"/>
    <w:rsid w:val="00A04216"/>
    <w:rsid w:val="00A13070"/>
    <w:rsid w:val="00A260BD"/>
    <w:rsid w:val="00A272CE"/>
    <w:rsid w:val="00A348EB"/>
    <w:rsid w:val="00A411B4"/>
    <w:rsid w:val="00A43D73"/>
    <w:rsid w:val="00A44FFB"/>
    <w:rsid w:val="00A45C1E"/>
    <w:rsid w:val="00A46438"/>
    <w:rsid w:val="00A51E63"/>
    <w:rsid w:val="00A55A4B"/>
    <w:rsid w:val="00A568AB"/>
    <w:rsid w:val="00A63B66"/>
    <w:rsid w:val="00A65E79"/>
    <w:rsid w:val="00A65FF4"/>
    <w:rsid w:val="00A75F51"/>
    <w:rsid w:val="00A77444"/>
    <w:rsid w:val="00A80AE5"/>
    <w:rsid w:val="00A85D06"/>
    <w:rsid w:val="00A8671A"/>
    <w:rsid w:val="00A8782A"/>
    <w:rsid w:val="00A87D37"/>
    <w:rsid w:val="00A9104D"/>
    <w:rsid w:val="00A910C2"/>
    <w:rsid w:val="00AA26E5"/>
    <w:rsid w:val="00AA56EC"/>
    <w:rsid w:val="00AA5B39"/>
    <w:rsid w:val="00AB12B6"/>
    <w:rsid w:val="00AB64A2"/>
    <w:rsid w:val="00AC3742"/>
    <w:rsid w:val="00AC5101"/>
    <w:rsid w:val="00AC7DEE"/>
    <w:rsid w:val="00AD1A0F"/>
    <w:rsid w:val="00AD7278"/>
    <w:rsid w:val="00AD7AB9"/>
    <w:rsid w:val="00AE21B4"/>
    <w:rsid w:val="00AF4EFA"/>
    <w:rsid w:val="00AF56ED"/>
    <w:rsid w:val="00AF5C2F"/>
    <w:rsid w:val="00B02424"/>
    <w:rsid w:val="00B052A8"/>
    <w:rsid w:val="00B0739B"/>
    <w:rsid w:val="00B10194"/>
    <w:rsid w:val="00B123CE"/>
    <w:rsid w:val="00B12536"/>
    <w:rsid w:val="00B24520"/>
    <w:rsid w:val="00B24C2B"/>
    <w:rsid w:val="00B30741"/>
    <w:rsid w:val="00B32985"/>
    <w:rsid w:val="00B37430"/>
    <w:rsid w:val="00B44035"/>
    <w:rsid w:val="00B44F75"/>
    <w:rsid w:val="00B53FBC"/>
    <w:rsid w:val="00B67104"/>
    <w:rsid w:val="00B67B51"/>
    <w:rsid w:val="00B70169"/>
    <w:rsid w:val="00B702AA"/>
    <w:rsid w:val="00B749AC"/>
    <w:rsid w:val="00B857A9"/>
    <w:rsid w:val="00B85D9E"/>
    <w:rsid w:val="00B9165D"/>
    <w:rsid w:val="00B91B6B"/>
    <w:rsid w:val="00B94261"/>
    <w:rsid w:val="00B97732"/>
    <w:rsid w:val="00BA71A2"/>
    <w:rsid w:val="00BB0855"/>
    <w:rsid w:val="00BB37F1"/>
    <w:rsid w:val="00BD1AD9"/>
    <w:rsid w:val="00BD714E"/>
    <w:rsid w:val="00BE0BD2"/>
    <w:rsid w:val="00BF0461"/>
    <w:rsid w:val="00BF15BA"/>
    <w:rsid w:val="00BF6027"/>
    <w:rsid w:val="00BF77A9"/>
    <w:rsid w:val="00C078ED"/>
    <w:rsid w:val="00C07E44"/>
    <w:rsid w:val="00C12A36"/>
    <w:rsid w:val="00C21D45"/>
    <w:rsid w:val="00C2260E"/>
    <w:rsid w:val="00C2586F"/>
    <w:rsid w:val="00C30A97"/>
    <w:rsid w:val="00C36C8A"/>
    <w:rsid w:val="00C4222E"/>
    <w:rsid w:val="00C4480D"/>
    <w:rsid w:val="00C45577"/>
    <w:rsid w:val="00C45D12"/>
    <w:rsid w:val="00C50743"/>
    <w:rsid w:val="00C80DA9"/>
    <w:rsid w:val="00C95059"/>
    <w:rsid w:val="00CA03CC"/>
    <w:rsid w:val="00CA1228"/>
    <w:rsid w:val="00CA1F4F"/>
    <w:rsid w:val="00CB1F99"/>
    <w:rsid w:val="00CC05AC"/>
    <w:rsid w:val="00CC2A16"/>
    <w:rsid w:val="00CD06E2"/>
    <w:rsid w:val="00CD2B55"/>
    <w:rsid w:val="00CD40EA"/>
    <w:rsid w:val="00CE0BFF"/>
    <w:rsid w:val="00CE4FC9"/>
    <w:rsid w:val="00CF71CB"/>
    <w:rsid w:val="00D02C2D"/>
    <w:rsid w:val="00D06A08"/>
    <w:rsid w:val="00D06C2E"/>
    <w:rsid w:val="00D07EA1"/>
    <w:rsid w:val="00D13CAD"/>
    <w:rsid w:val="00D15927"/>
    <w:rsid w:val="00D15A03"/>
    <w:rsid w:val="00D21D04"/>
    <w:rsid w:val="00D22533"/>
    <w:rsid w:val="00D23FB0"/>
    <w:rsid w:val="00D24F40"/>
    <w:rsid w:val="00D26D24"/>
    <w:rsid w:val="00D30B7B"/>
    <w:rsid w:val="00D311E1"/>
    <w:rsid w:val="00D32B80"/>
    <w:rsid w:val="00D33DAF"/>
    <w:rsid w:val="00D34F36"/>
    <w:rsid w:val="00D41FA8"/>
    <w:rsid w:val="00D42A31"/>
    <w:rsid w:val="00D433E8"/>
    <w:rsid w:val="00D47778"/>
    <w:rsid w:val="00D5611D"/>
    <w:rsid w:val="00D66DA9"/>
    <w:rsid w:val="00D85624"/>
    <w:rsid w:val="00D86AB9"/>
    <w:rsid w:val="00D901C7"/>
    <w:rsid w:val="00D92790"/>
    <w:rsid w:val="00D9404F"/>
    <w:rsid w:val="00D94B12"/>
    <w:rsid w:val="00D9764A"/>
    <w:rsid w:val="00DA27A2"/>
    <w:rsid w:val="00DA6DE9"/>
    <w:rsid w:val="00DB6DA6"/>
    <w:rsid w:val="00DC1D89"/>
    <w:rsid w:val="00DC4AAA"/>
    <w:rsid w:val="00DD559C"/>
    <w:rsid w:val="00DD7CD1"/>
    <w:rsid w:val="00DE163B"/>
    <w:rsid w:val="00DE6A52"/>
    <w:rsid w:val="00DE7065"/>
    <w:rsid w:val="00DF3297"/>
    <w:rsid w:val="00DF676F"/>
    <w:rsid w:val="00DF76AD"/>
    <w:rsid w:val="00E12FE4"/>
    <w:rsid w:val="00E133F9"/>
    <w:rsid w:val="00E13AC2"/>
    <w:rsid w:val="00E30AAA"/>
    <w:rsid w:val="00E30C5C"/>
    <w:rsid w:val="00E31C4A"/>
    <w:rsid w:val="00E349CC"/>
    <w:rsid w:val="00E63C61"/>
    <w:rsid w:val="00E64C04"/>
    <w:rsid w:val="00E71784"/>
    <w:rsid w:val="00E72C29"/>
    <w:rsid w:val="00E76CA8"/>
    <w:rsid w:val="00E76E8D"/>
    <w:rsid w:val="00E85FA0"/>
    <w:rsid w:val="00E900AA"/>
    <w:rsid w:val="00E91E18"/>
    <w:rsid w:val="00E93708"/>
    <w:rsid w:val="00EB013D"/>
    <w:rsid w:val="00EB1186"/>
    <w:rsid w:val="00EB4D65"/>
    <w:rsid w:val="00EB53E8"/>
    <w:rsid w:val="00EB55DC"/>
    <w:rsid w:val="00EB723D"/>
    <w:rsid w:val="00EC1DAE"/>
    <w:rsid w:val="00EC412A"/>
    <w:rsid w:val="00EC600E"/>
    <w:rsid w:val="00ED201C"/>
    <w:rsid w:val="00ED72A7"/>
    <w:rsid w:val="00EE1CCF"/>
    <w:rsid w:val="00EF1205"/>
    <w:rsid w:val="00F121F5"/>
    <w:rsid w:val="00F1390F"/>
    <w:rsid w:val="00F140D7"/>
    <w:rsid w:val="00F14F97"/>
    <w:rsid w:val="00F15EAC"/>
    <w:rsid w:val="00F2089E"/>
    <w:rsid w:val="00F20B89"/>
    <w:rsid w:val="00F2239F"/>
    <w:rsid w:val="00F22C28"/>
    <w:rsid w:val="00F248BC"/>
    <w:rsid w:val="00F27D3B"/>
    <w:rsid w:val="00F319D9"/>
    <w:rsid w:val="00F3318D"/>
    <w:rsid w:val="00F40298"/>
    <w:rsid w:val="00F41618"/>
    <w:rsid w:val="00F42329"/>
    <w:rsid w:val="00F500C3"/>
    <w:rsid w:val="00F50440"/>
    <w:rsid w:val="00F54B91"/>
    <w:rsid w:val="00F60ADF"/>
    <w:rsid w:val="00F6278D"/>
    <w:rsid w:val="00F63257"/>
    <w:rsid w:val="00F660AF"/>
    <w:rsid w:val="00F67E36"/>
    <w:rsid w:val="00F75D47"/>
    <w:rsid w:val="00F85F52"/>
    <w:rsid w:val="00F871D7"/>
    <w:rsid w:val="00F93072"/>
    <w:rsid w:val="00F946E1"/>
    <w:rsid w:val="00F947DF"/>
    <w:rsid w:val="00F9679B"/>
    <w:rsid w:val="00F96C07"/>
    <w:rsid w:val="00F97D62"/>
    <w:rsid w:val="00FA321E"/>
    <w:rsid w:val="00FB39DC"/>
    <w:rsid w:val="00FB4385"/>
    <w:rsid w:val="00FB444A"/>
    <w:rsid w:val="00FB5B07"/>
    <w:rsid w:val="00FB6738"/>
    <w:rsid w:val="00FD0112"/>
    <w:rsid w:val="00FD0ADB"/>
    <w:rsid w:val="00FD3922"/>
    <w:rsid w:val="00FD3979"/>
    <w:rsid w:val="00FD7375"/>
    <w:rsid w:val="00FE16A1"/>
    <w:rsid w:val="00FE68F4"/>
    <w:rsid w:val="00FF00B9"/>
    <w:rsid w:val="00FF4D4B"/>
    <w:rsid w:val="00FF65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7FBEBC-61FC-430C-AC00-2EBE29D6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21E"/>
    <w:pPr>
      <w:widowControl w:val="0"/>
      <w:spacing w:line="480" w:lineRule="auto"/>
      <w:jc w:val="both"/>
    </w:pPr>
    <w:rPr>
      <w:rFonts w:ascii="Arial" w:hAnsi="Arial"/>
      <w:spacing w:val="-3"/>
      <w:sz w:val="24"/>
      <w:lang w:val="en-GB" w:eastAsia="en-US"/>
    </w:rPr>
  </w:style>
  <w:style w:type="paragraph" w:styleId="Heading1">
    <w:name w:val="heading 1"/>
    <w:basedOn w:val="Normal"/>
    <w:next w:val="Normal"/>
    <w:qFormat/>
    <w:rsid w:val="00ED201C"/>
    <w:pPr>
      <w:numPr>
        <w:numId w:val="13"/>
      </w:numPr>
      <w:ind w:left="0" w:firstLine="0"/>
      <w:outlineLvl w:val="0"/>
    </w:pPr>
  </w:style>
  <w:style w:type="paragraph" w:styleId="Heading2">
    <w:name w:val="heading 2"/>
    <w:basedOn w:val="Normal"/>
    <w:next w:val="Normal"/>
    <w:qFormat/>
    <w:rsid w:val="00717051"/>
    <w:pPr>
      <w:numPr>
        <w:ilvl w:val="1"/>
        <w:numId w:val="13"/>
      </w:numPr>
      <w:ind w:left="720" w:firstLine="0"/>
      <w:outlineLvl w:val="1"/>
    </w:pPr>
  </w:style>
  <w:style w:type="paragraph" w:styleId="Heading3">
    <w:name w:val="heading 3"/>
    <w:basedOn w:val="Normal"/>
    <w:next w:val="Normal"/>
    <w:qFormat/>
    <w:rsid w:val="00E76CA8"/>
    <w:pPr>
      <w:numPr>
        <w:ilvl w:val="2"/>
        <w:numId w:val="13"/>
      </w:numPr>
      <w:tabs>
        <w:tab w:val="clear" w:pos="1571"/>
      </w:tabs>
      <w:ind w:left="2290" w:hanging="850"/>
      <w:outlineLvl w:val="2"/>
    </w:pPr>
  </w:style>
  <w:style w:type="paragraph" w:styleId="Heading4">
    <w:name w:val="heading 4"/>
    <w:basedOn w:val="Normal"/>
    <w:next w:val="Normal"/>
    <w:qFormat/>
    <w:rsid w:val="00FA321E"/>
    <w:pPr>
      <w:numPr>
        <w:ilvl w:val="3"/>
        <w:numId w:val="13"/>
      </w:numPr>
      <w:outlineLvl w:val="3"/>
    </w:pPr>
  </w:style>
  <w:style w:type="paragraph" w:styleId="Heading5">
    <w:name w:val="heading 5"/>
    <w:basedOn w:val="Normal"/>
    <w:next w:val="Normal"/>
    <w:qFormat/>
    <w:rsid w:val="00FA321E"/>
    <w:pPr>
      <w:numPr>
        <w:ilvl w:val="4"/>
        <w:numId w:val="13"/>
      </w:numPr>
      <w:outlineLvl w:val="4"/>
    </w:pPr>
  </w:style>
  <w:style w:type="paragraph" w:styleId="Heading6">
    <w:name w:val="heading 6"/>
    <w:basedOn w:val="Normal"/>
    <w:next w:val="Normal"/>
    <w:qFormat/>
    <w:rsid w:val="007A689F"/>
    <w:pPr>
      <w:numPr>
        <w:ilvl w:val="5"/>
        <w:numId w:val="13"/>
      </w:numPr>
      <w:outlineLvl w:val="5"/>
    </w:pPr>
    <w:rPr>
      <w:i/>
      <w:sz w:val="22"/>
    </w:rPr>
  </w:style>
  <w:style w:type="paragraph" w:styleId="Heading7">
    <w:name w:val="heading 7"/>
    <w:basedOn w:val="Normal"/>
    <w:next w:val="Normal"/>
    <w:qFormat/>
    <w:rsid w:val="007A689F"/>
    <w:pPr>
      <w:numPr>
        <w:ilvl w:val="6"/>
        <w:numId w:val="13"/>
      </w:numPr>
      <w:outlineLvl w:val="6"/>
    </w:pPr>
  </w:style>
  <w:style w:type="paragraph" w:styleId="Heading8">
    <w:name w:val="heading 8"/>
    <w:basedOn w:val="Normal"/>
    <w:next w:val="Normal"/>
    <w:qFormat/>
    <w:rsid w:val="007A689F"/>
    <w:pPr>
      <w:numPr>
        <w:ilvl w:val="7"/>
        <w:numId w:val="13"/>
      </w:numPr>
      <w:outlineLvl w:val="7"/>
    </w:pPr>
    <w:rPr>
      <w:i/>
    </w:rPr>
  </w:style>
  <w:style w:type="paragraph" w:styleId="Heading9">
    <w:name w:val="heading 9"/>
    <w:basedOn w:val="Normal"/>
    <w:next w:val="Normal"/>
    <w:qFormat/>
    <w:rsid w:val="007A689F"/>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7A689F"/>
  </w:style>
  <w:style w:type="paragraph" w:styleId="EnvelopeReturn">
    <w:name w:val="envelope return"/>
    <w:basedOn w:val="Normal"/>
    <w:semiHidden/>
    <w:rsid w:val="007A689F"/>
    <w:pPr>
      <w:spacing w:line="360" w:lineRule="auto"/>
    </w:pPr>
    <w:rPr>
      <w:sz w:val="16"/>
    </w:rPr>
  </w:style>
  <w:style w:type="paragraph" w:styleId="Footer">
    <w:name w:val="footer"/>
    <w:basedOn w:val="Normal"/>
    <w:semiHidden/>
    <w:rsid w:val="007A689F"/>
    <w:pPr>
      <w:tabs>
        <w:tab w:val="center" w:pos="4320"/>
        <w:tab w:val="right" w:pos="8640"/>
      </w:tabs>
      <w:spacing w:line="360" w:lineRule="auto"/>
    </w:pPr>
  </w:style>
  <w:style w:type="paragraph" w:styleId="Header">
    <w:name w:val="header"/>
    <w:basedOn w:val="Normal"/>
    <w:semiHidden/>
    <w:rsid w:val="007A689F"/>
    <w:pPr>
      <w:tabs>
        <w:tab w:val="center" w:pos="4320"/>
        <w:tab w:val="right" w:pos="8640"/>
      </w:tabs>
      <w:spacing w:line="360" w:lineRule="auto"/>
    </w:pPr>
  </w:style>
  <w:style w:type="paragraph" w:styleId="ListBullet">
    <w:name w:val="List Bullet"/>
    <w:basedOn w:val="Normal"/>
    <w:next w:val="Normal"/>
    <w:autoRedefine/>
    <w:semiHidden/>
    <w:rsid w:val="007A689F"/>
    <w:pPr>
      <w:spacing w:after="360" w:line="360" w:lineRule="auto"/>
      <w:ind w:left="357" w:hanging="357"/>
    </w:pPr>
  </w:style>
  <w:style w:type="paragraph" w:styleId="ListNumber">
    <w:name w:val="List Number"/>
    <w:basedOn w:val="Normal"/>
    <w:semiHidden/>
    <w:rsid w:val="007A689F"/>
    <w:pPr>
      <w:spacing w:line="360" w:lineRule="auto"/>
      <w:ind w:left="360" w:hanging="360"/>
    </w:pPr>
  </w:style>
  <w:style w:type="character" w:styleId="PageNumber">
    <w:name w:val="page number"/>
    <w:basedOn w:val="DefaultParagraphFont"/>
    <w:semiHidden/>
    <w:rsid w:val="007A689F"/>
    <w:rPr>
      <w:rFonts w:ascii="Arial" w:hAnsi="Arial"/>
    </w:rPr>
  </w:style>
  <w:style w:type="paragraph" w:styleId="Subtitle">
    <w:name w:val="Subtitle"/>
    <w:basedOn w:val="Normal"/>
    <w:qFormat/>
    <w:rsid w:val="007A689F"/>
    <w:pPr>
      <w:spacing w:after="60"/>
      <w:jc w:val="center"/>
    </w:pPr>
    <w:rPr>
      <w:i/>
    </w:rPr>
  </w:style>
  <w:style w:type="paragraph" w:styleId="FootnoteText">
    <w:name w:val="footnote text"/>
    <w:basedOn w:val="Normal"/>
    <w:link w:val="FootnoteTextChar"/>
    <w:uiPriority w:val="99"/>
    <w:unhideWhenUsed/>
    <w:rsid w:val="00136D33"/>
    <w:rPr>
      <w:sz w:val="20"/>
    </w:rPr>
  </w:style>
  <w:style w:type="character" w:customStyle="1" w:styleId="FootnoteTextChar">
    <w:name w:val="Footnote Text Char"/>
    <w:basedOn w:val="DefaultParagraphFont"/>
    <w:link w:val="FootnoteText"/>
    <w:uiPriority w:val="99"/>
    <w:rsid w:val="00136D33"/>
    <w:rPr>
      <w:rFonts w:ascii="Arial" w:hAnsi="Arial"/>
      <w:spacing w:val="-3"/>
      <w:lang w:val="en-GB" w:eastAsia="en-US"/>
    </w:rPr>
  </w:style>
  <w:style w:type="character" w:styleId="FootnoteReference">
    <w:name w:val="footnote reference"/>
    <w:basedOn w:val="DefaultParagraphFont"/>
    <w:uiPriority w:val="99"/>
    <w:semiHidden/>
    <w:unhideWhenUsed/>
    <w:rsid w:val="00136D33"/>
    <w:rPr>
      <w:vertAlign w:val="superscript"/>
    </w:rPr>
  </w:style>
  <w:style w:type="paragraph" w:styleId="ListParagraph">
    <w:name w:val="List Paragraph"/>
    <w:basedOn w:val="Normal"/>
    <w:uiPriority w:val="34"/>
    <w:qFormat/>
    <w:rsid w:val="00DC4AAA"/>
    <w:pPr>
      <w:ind w:left="720"/>
      <w:contextualSpacing/>
    </w:pPr>
  </w:style>
  <w:style w:type="paragraph" w:styleId="BalloonText">
    <w:name w:val="Balloon Text"/>
    <w:basedOn w:val="Normal"/>
    <w:link w:val="BalloonTextChar"/>
    <w:uiPriority w:val="99"/>
    <w:semiHidden/>
    <w:unhideWhenUsed/>
    <w:rsid w:val="00F139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0F"/>
    <w:rPr>
      <w:rFonts w:ascii="Tahoma" w:hAnsi="Tahoma" w:cs="Tahoma"/>
      <w:spacing w:val="-3"/>
      <w:sz w:val="16"/>
      <w:szCs w:val="16"/>
      <w:lang w:val="en-GB" w:eastAsia="en-US"/>
    </w:rPr>
  </w:style>
  <w:style w:type="paragraph" w:styleId="NoSpacing">
    <w:name w:val="No Spacing"/>
    <w:uiPriority w:val="1"/>
    <w:qFormat/>
    <w:rsid w:val="00C4222E"/>
    <w:pPr>
      <w:widowControl w:val="0"/>
      <w:jc w:val="both"/>
    </w:pPr>
    <w:rPr>
      <w:rFonts w:ascii="Arial" w:hAnsi="Arial"/>
      <w:spacing w:val="-3"/>
      <w:sz w:val="24"/>
      <w:lang w:val="en-GB" w:eastAsia="en-US"/>
    </w:rPr>
  </w:style>
  <w:style w:type="paragraph" w:customStyle="1" w:styleId="western">
    <w:name w:val="western"/>
    <w:basedOn w:val="Normal"/>
    <w:rsid w:val="00515DB2"/>
    <w:pPr>
      <w:widowControl/>
      <w:spacing w:before="100" w:beforeAutospacing="1" w:after="100" w:afterAutospacing="1" w:line="240" w:lineRule="auto"/>
      <w:jc w:val="left"/>
    </w:pPr>
    <w:rPr>
      <w:rFonts w:ascii="Times New Roman" w:hAnsi="Times New Roman"/>
      <w:spacing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NEW\Supreme%20Cou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682A9-C81D-4700-8114-06ED3D06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Supreme Court</Template>
  <TotalTime>0</TotalTime>
  <Pages>15</Pages>
  <Words>7992</Words>
  <Characters>45561</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53447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creator>Monica</dc:creator>
  <cp:lastModifiedBy>W P. Oosthuizen</cp:lastModifiedBy>
  <cp:revision>2</cp:revision>
  <cp:lastPrinted>2017-07-12T11:50:00Z</cp:lastPrinted>
  <dcterms:created xsi:type="dcterms:W3CDTF">2017-07-14T13:06:00Z</dcterms:created>
  <dcterms:modified xsi:type="dcterms:W3CDTF">2017-07-14T13:06:00Z</dcterms:modified>
</cp:coreProperties>
</file>