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A4" w:rsidRPr="00595EA4" w:rsidRDefault="00595EA4" w:rsidP="00595EA4">
      <w:pPr>
        <w:jc w:val="center"/>
        <w:rPr>
          <w:rFonts w:ascii="Arial" w:hAnsi="Arial" w:cs="Arial"/>
          <w:b/>
          <w:noProof/>
          <w:sz w:val="24"/>
          <w:szCs w:val="24"/>
          <w:lang w:val="en-US"/>
        </w:rPr>
      </w:pPr>
      <w:bookmarkStart w:id="0" w:name="_GoBack"/>
      <w:bookmarkEnd w:id="0"/>
      <w:r w:rsidRPr="00595EA4">
        <w:rPr>
          <w:rFonts w:ascii="Arial" w:hAnsi="Arial" w:cs="Arial"/>
          <w:b/>
          <w:sz w:val="24"/>
          <w:szCs w:val="24"/>
        </w:rPr>
        <w:t>REPUBLIC OF NAMIBIA</w:t>
      </w:r>
    </w:p>
    <w:p w:rsidR="00595EA4" w:rsidRPr="00595EA4" w:rsidRDefault="00595EA4" w:rsidP="00595EA4">
      <w:pPr>
        <w:keepNext/>
        <w:spacing w:line="360" w:lineRule="auto"/>
        <w:jc w:val="center"/>
        <w:outlineLvl w:val="0"/>
        <w:rPr>
          <w:rFonts w:ascii="Arial" w:hAnsi="Arial" w:cs="Arial"/>
          <w:b/>
          <w:bCs/>
          <w:sz w:val="24"/>
          <w:szCs w:val="24"/>
        </w:rPr>
      </w:pPr>
      <w:r w:rsidRPr="00595EA4">
        <w:rPr>
          <w:rFonts w:ascii="Arial" w:hAnsi="Arial" w:cs="Arial"/>
          <w:b/>
          <w:bCs/>
          <w:noProof/>
          <w:sz w:val="24"/>
          <w:szCs w:val="24"/>
          <w:lang w:val="en-ZA" w:eastAsia="en-ZA"/>
        </w:rPr>
        <w:drawing>
          <wp:inline distT="0" distB="0" distL="0" distR="0" wp14:anchorId="3E257201" wp14:editId="3D9360F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595EA4" w:rsidRPr="00595EA4" w:rsidRDefault="00595EA4" w:rsidP="00595EA4">
      <w:pPr>
        <w:keepNext/>
        <w:spacing w:line="360" w:lineRule="auto"/>
        <w:jc w:val="center"/>
        <w:outlineLvl w:val="0"/>
        <w:rPr>
          <w:rFonts w:ascii="Arial" w:hAnsi="Arial" w:cs="Arial"/>
          <w:b/>
          <w:bCs/>
          <w:sz w:val="24"/>
          <w:szCs w:val="24"/>
        </w:rPr>
      </w:pPr>
    </w:p>
    <w:p w:rsidR="00595EA4" w:rsidRPr="00595EA4" w:rsidRDefault="00E4325C" w:rsidP="00595EA4">
      <w:pPr>
        <w:spacing w:line="360" w:lineRule="auto"/>
        <w:jc w:val="center"/>
        <w:rPr>
          <w:rFonts w:ascii="Arial" w:hAnsi="Arial" w:cs="Arial"/>
          <w:b/>
          <w:sz w:val="24"/>
          <w:szCs w:val="24"/>
        </w:rPr>
      </w:pPr>
      <w:r>
        <w:rPr>
          <w:rFonts w:ascii="Arial" w:hAnsi="Arial" w:cs="Arial"/>
          <w:b/>
          <w:sz w:val="24"/>
          <w:szCs w:val="24"/>
        </w:rPr>
        <w:t>SUPREME</w:t>
      </w:r>
      <w:r w:rsidR="00595EA4" w:rsidRPr="00595EA4">
        <w:rPr>
          <w:rFonts w:ascii="Arial" w:hAnsi="Arial" w:cs="Arial"/>
          <w:b/>
          <w:sz w:val="24"/>
          <w:szCs w:val="24"/>
        </w:rPr>
        <w:t xml:space="preserve"> COURT OF NAMIBIA, WINDHOEK</w:t>
      </w:r>
    </w:p>
    <w:p w:rsidR="00595EA4" w:rsidRPr="00595EA4" w:rsidRDefault="00595EA4" w:rsidP="00595EA4">
      <w:pPr>
        <w:spacing w:line="360" w:lineRule="auto"/>
        <w:jc w:val="center"/>
        <w:rPr>
          <w:rFonts w:ascii="Arial" w:hAnsi="Arial" w:cs="Arial"/>
          <w:b/>
          <w:sz w:val="24"/>
          <w:szCs w:val="24"/>
        </w:rPr>
      </w:pPr>
    </w:p>
    <w:p w:rsidR="00595EA4" w:rsidRPr="00595EA4" w:rsidRDefault="00595EA4" w:rsidP="00595EA4">
      <w:pPr>
        <w:spacing w:line="360" w:lineRule="auto"/>
        <w:jc w:val="center"/>
        <w:rPr>
          <w:rFonts w:ascii="Arial" w:hAnsi="Arial" w:cs="Arial"/>
          <w:b/>
          <w:sz w:val="24"/>
          <w:szCs w:val="24"/>
        </w:rPr>
      </w:pPr>
      <w:r w:rsidRPr="00595EA4">
        <w:rPr>
          <w:rFonts w:ascii="Arial" w:hAnsi="Arial" w:cs="Arial"/>
          <w:b/>
          <w:sz w:val="24"/>
          <w:szCs w:val="24"/>
        </w:rPr>
        <w:t>JUDGMENT</w:t>
      </w:r>
    </w:p>
    <w:p w:rsidR="00595EA4" w:rsidRPr="00595EA4" w:rsidRDefault="00595EA4" w:rsidP="00595EA4">
      <w:pPr>
        <w:spacing w:line="360" w:lineRule="auto"/>
        <w:jc w:val="center"/>
        <w:rPr>
          <w:rFonts w:ascii="Arial" w:hAnsi="Arial" w:cs="Arial"/>
          <w:b/>
          <w:sz w:val="24"/>
          <w:szCs w:val="24"/>
        </w:rPr>
      </w:pPr>
    </w:p>
    <w:p w:rsidR="00C05498" w:rsidRPr="003C78A2" w:rsidRDefault="004813EC" w:rsidP="00BD22D9">
      <w:pPr>
        <w:spacing w:line="480" w:lineRule="auto"/>
        <w:ind w:left="1701"/>
        <w:jc w:val="right"/>
        <w:rPr>
          <w:rFonts w:ascii="Arial" w:hAnsi="Arial" w:cs="Arial"/>
          <w:b/>
          <w:sz w:val="24"/>
          <w:szCs w:val="24"/>
          <w:lang w:val="en-ZA"/>
        </w:rPr>
      </w:pPr>
      <w:r w:rsidRPr="003C78A2">
        <w:rPr>
          <w:rFonts w:ascii="Arial" w:hAnsi="Arial" w:cs="Arial"/>
          <w:b/>
          <w:sz w:val="24"/>
          <w:szCs w:val="24"/>
          <w:lang w:val="en-ZA"/>
        </w:rPr>
        <w:t xml:space="preserve">                 </w:t>
      </w:r>
      <w:r w:rsidR="00C05498" w:rsidRPr="003C78A2">
        <w:rPr>
          <w:rFonts w:ascii="Arial" w:hAnsi="Arial" w:cs="Arial"/>
          <w:b/>
          <w:sz w:val="24"/>
          <w:szCs w:val="24"/>
          <w:lang w:val="en-ZA"/>
        </w:rPr>
        <w:t>REPORTABLE</w:t>
      </w:r>
    </w:p>
    <w:p w:rsidR="00316E8E" w:rsidRDefault="00D37627" w:rsidP="00BD22D9">
      <w:pPr>
        <w:spacing w:line="480" w:lineRule="auto"/>
        <w:ind w:left="1701"/>
        <w:jc w:val="right"/>
        <w:rPr>
          <w:rFonts w:ascii="Arial" w:hAnsi="Arial" w:cs="Arial"/>
          <w:sz w:val="24"/>
          <w:szCs w:val="24"/>
          <w:lang w:val="en-ZA"/>
        </w:rPr>
      </w:pPr>
      <w:r w:rsidRPr="003C78A2">
        <w:rPr>
          <w:rFonts w:ascii="Arial" w:hAnsi="Arial" w:cs="Arial"/>
          <w:sz w:val="24"/>
          <w:szCs w:val="24"/>
          <w:lang w:val="en-ZA"/>
        </w:rPr>
        <w:t>CASE NO</w:t>
      </w:r>
      <w:r w:rsidR="00C05498" w:rsidRPr="003C78A2">
        <w:rPr>
          <w:rFonts w:ascii="Arial" w:hAnsi="Arial" w:cs="Arial"/>
          <w:sz w:val="24"/>
          <w:szCs w:val="24"/>
          <w:lang w:val="en-ZA"/>
        </w:rPr>
        <w:t xml:space="preserve">: SA </w:t>
      </w:r>
      <w:r w:rsidR="002664BA" w:rsidRPr="003C78A2">
        <w:rPr>
          <w:rFonts w:ascii="Arial" w:hAnsi="Arial" w:cs="Arial"/>
          <w:sz w:val="24"/>
          <w:szCs w:val="24"/>
          <w:lang w:val="en-ZA"/>
        </w:rPr>
        <w:t>23</w:t>
      </w:r>
      <w:r w:rsidR="00963836" w:rsidRPr="003C78A2">
        <w:rPr>
          <w:rFonts w:ascii="Arial" w:hAnsi="Arial" w:cs="Arial"/>
          <w:sz w:val="24"/>
          <w:szCs w:val="24"/>
          <w:lang w:val="en-ZA"/>
        </w:rPr>
        <w:t>/</w:t>
      </w:r>
      <w:r w:rsidR="006F7699" w:rsidRPr="003C78A2">
        <w:rPr>
          <w:rFonts w:ascii="Arial" w:hAnsi="Arial" w:cs="Arial"/>
          <w:sz w:val="24"/>
          <w:szCs w:val="24"/>
          <w:lang w:val="en-ZA"/>
        </w:rPr>
        <w:t>201</w:t>
      </w:r>
      <w:r w:rsidR="002664BA" w:rsidRPr="003C78A2">
        <w:rPr>
          <w:rFonts w:ascii="Arial" w:hAnsi="Arial" w:cs="Arial"/>
          <w:sz w:val="24"/>
          <w:szCs w:val="24"/>
          <w:lang w:val="en-ZA"/>
        </w:rPr>
        <w:t>6</w:t>
      </w:r>
    </w:p>
    <w:p w:rsidR="00595EA4" w:rsidRPr="003C78A2" w:rsidRDefault="00595EA4" w:rsidP="00BD22D9">
      <w:pPr>
        <w:spacing w:line="480" w:lineRule="auto"/>
        <w:ind w:left="1701"/>
        <w:jc w:val="right"/>
        <w:rPr>
          <w:rFonts w:ascii="Arial" w:hAnsi="Arial" w:cs="Arial"/>
          <w:sz w:val="24"/>
          <w:szCs w:val="24"/>
          <w:lang w:val="en-ZA"/>
        </w:rPr>
      </w:pPr>
    </w:p>
    <w:p w:rsidR="007D23A3" w:rsidRPr="003C78A2" w:rsidRDefault="007D23A3" w:rsidP="00BD22D9">
      <w:pPr>
        <w:spacing w:line="480" w:lineRule="auto"/>
        <w:jc w:val="both"/>
        <w:rPr>
          <w:rFonts w:ascii="Arial" w:hAnsi="Arial" w:cs="Arial"/>
          <w:b/>
          <w:sz w:val="24"/>
          <w:szCs w:val="24"/>
          <w:lang w:val="en-ZA"/>
        </w:rPr>
      </w:pPr>
      <w:r w:rsidRPr="003C78A2">
        <w:rPr>
          <w:rFonts w:ascii="Arial" w:hAnsi="Arial" w:cs="Arial"/>
          <w:b/>
          <w:sz w:val="24"/>
          <w:szCs w:val="24"/>
          <w:lang w:val="en-ZA"/>
        </w:rPr>
        <w:t>IN THE SUPREME COURT OF NAMIBIA</w:t>
      </w:r>
    </w:p>
    <w:p w:rsidR="007D23A3" w:rsidRPr="00BD2EDA" w:rsidRDefault="00F90F7B" w:rsidP="00BD22D9">
      <w:pPr>
        <w:spacing w:line="480" w:lineRule="auto"/>
        <w:jc w:val="both"/>
        <w:rPr>
          <w:rFonts w:ascii="Arial" w:hAnsi="Arial" w:cs="Arial"/>
          <w:sz w:val="24"/>
          <w:szCs w:val="24"/>
          <w:lang w:val="en-ZA"/>
        </w:rPr>
      </w:pPr>
      <w:r w:rsidRPr="00BD2EDA">
        <w:rPr>
          <w:rFonts w:ascii="Arial" w:hAnsi="Arial" w:cs="Arial"/>
          <w:sz w:val="24"/>
          <w:szCs w:val="24"/>
          <w:lang w:val="en-ZA"/>
        </w:rPr>
        <w:t>In the matter between</w:t>
      </w:r>
      <w:r w:rsidR="007D23A3" w:rsidRPr="00BD2EDA">
        <w:rPr>
          <w:rFonts w:ascii="Arial" w:hAnsi="Arial" w:cs="Arial"/>
          <w:sz w:val="24"/>
          <w:szCs w:val="24"/>
          <w:lang w:val="en-ZA"/>
        </w:rPr>
        <w:t>:</w:t>
      </w:r>
    </w:p>
    <w:p w:rsidR="00CF6A18" w:rsidRPr="00BD2EDA" w:rsidRDefault="00CF6A18" w:rsidP="003C78A2">
      <w:pPr>
        <w:spacing w:line="240" w:lineRule="auto"/>
        <w:jc w:val="both"/>
        <w:rPr>
          <w:rFonts w:ascii="Arial" w:hAnsi="Arial" w:cs="Arial"/>
          <w:sz w:val="24"/>
          <w:szCs w:val="24"/>
          <w:lang w:val="en-ZA"/>
        </w:rPr>
      </w:pPr>
    </w:p>
    <w:tbl>
      <w:tblPr>
        <w:tblW w:w="8897" w:type="dxa"/>
        <w:tblInd w:w="-142" w:type="dxa"/>
        <w:tblLook w:val="04A0" w:firstRow="1" w:lastRow="0" w:firstColumn="1" w:lastColumn="0" w:noHBand="0" w:noVBand="1"/>
      </w:tblPr>
      <w:tblGrid>
        <w:gridCol w:w="6204"/>
        <w:gridCol w:w="2693"/>
      </w:tblGrid>
      <w:tr w:rsidR="00496CEE" w:rsidRPr="00BD2EDA" w:rsidTr="009C79A7">
        <w:tc>
          <w:tcPr>
            <w:tcW w:w="6204" w:type="dxa"/>
            <w:shd w:val="clear" w:color="auto" w:fill="auto"/>
          </w:tcPr>
          <w:p w:rsidR="00BD22D9" w:rsidRPr="00BD2EDA" w:rsidRDefault="002664BA" w:rsidP="00BD22D9">
            <w:pPr>
              <w:spacing w:line="240" w:lineRule="auto"/>
              <w:jc w:val="both"/>
              <w:rPr>
                <w:rFonts w:ascii="Arial" w:hAnsi="Arial" w:cs="Arial"/>
                <w:b/>
                <w:sz w:val="24"/>
                <w:szCs w:val="24"/>
                <w:lang w:val="en-ZA"/>
              </w:rPr>
            </w:pPr>
            <w:r w:rsidRPr="00BD2EDA">
              <w:rPr>
                <w:rFonts w:ascii="Arial" w:hAnsi="Arial" w:cs="Arial"/>
                <w:b/>
                <w:sz w:val="24"/>
                <w:szCs w:val="24"/>
                <w:lang w:val="en-ZA"/>
              </w:rPr>
              <w:t>MERIT INVESTMENT ELEVEN (PTY) LTD</w:t>
            </w:r>
            <w:r w:rsidR="00BD22D9" w:rsidRPr="00BD2EDA">
              <w:rPr>
                <w:rFonts w:ascii="Arial" w:hAnsi="Arial" w:cs="Arial"/>
                <w:b/>
                <w:sz w:val="24"/>
                <w:szCs w:val="24"/>
                <w:lang w:val="en-ZA"/>
              </w:rPr>
              <w:t xml:space="preserve"> </w:t>
            </w:r>
          </w:p>
          <w:p w:rsidR="00CF6A18" w:rsidRPr="00BD2EDA" w:rsidRDefault="002664BA" w:rsidP="002664BA">
            <w:pPr>
              <w:tabs>
                <w:tab w:val="left" w:pos="4050"/>
              </w:tabs>
              <w:spacing w:line="240" w:lineRule="auto"/>
              <w:jc w:val="both"/>
              <w:rPr>
                <w:rFonts w:ascii="Arial" w:hAnsi="Arial" w:cs="Arial"/>
                <w:b/>
                <w:sz w:val="24"/>
                <w:szCs w:val="24"/>
                <w:lang w:val="en-ZA"/>
              </w:rPr>
            </w:pPr>
            <w:r w:rsidRPr="00BD2EDA">
              <w:rPr>
                <w:rFonts w:ascii="Arial" w:hAnsi="Arial" w:cs="Arial"/>
                <w:b/>
                <w:sz w:val="24"/>
                <w:szCs w:val="24"/>
                <w:lang w:val="en-ZA"/>
              </w:rPr>
              <w:tab/>
            </w:r>
          </w:p>
        </w:tc>
        <w:tc>
          <w:tcPr>
            <w:tcW w:w="2693" w:type="dxa"/>
            <w:shd w:val="clear" w:color="auto" w:fill="auto"/>
          </w:tcPr>
          <w:p w:rsidR="0009602D" w:rsidRPr="00BD2EDA" w:rsidRDefault="009505F5" w:rsidP="00BD22D9">
            <w:pPr>
              <w:spacing w:line="240" w:lineRule="auto"/>
              <w:jc w:val="right"/>
              <w:rPr>
                <w:rFonts w:ascii="Arial" w:hAnsi="Arial" w:cs="Arial"/>
                <w:b/>
                <w:sz w:val="24"/>
                <w:szCs w:val="24"/>
                <w:lang w:val="en-ZA"/>
              </w:rPr>
            </w:pPr>
            <w:r w:rsidRPr="00BD2EDA">
              <w:rPr>
                <w:rFonts w:ascii="Arial" w:hAnsi="Arial" w:cs="Arial"/>
                <w:b/>
                <w:sz w:val="24"/>
                <w:szCs w:val="24"/>
                <w:lang w:val="en-ZA"/>
              </w:rPr>
              <w:t>Appellant</w:t>
            </w:r>
          </w:p>
        </w:tc>
      </w:tr>
      <w:tr w:rsidR="00496CEE" w:rsidRPr="00BD2EDA" w:rsidTr="009C79A7">
        <w:tc>
          <w:tcPr>
            <w:tcW w:w="6204" w:type="dxa"/>
            <w:shd w:val="clear" w:color="auto" w:fill="auto"/>
          </w:tcPr>
          <w:p w:rsidR="0009602D" w:rsidRPr="00BD2EDA" w:rsidRDefault="00AC6BE1" w:rsidP="00BD22D9">
            <w:pPr>
              <w:pStyle w:val="NoSpacing"/>
              <w:jc w:val="both"/>
              <w:rPr>
                <w:rFonts w:ascii="Arial" w:hAnsi="Arial" w:cs="Arial"/>
                <w:sz w:val="24"/>
                <w:szCs w:val="24"/>
              </w:rPr>
            </w:pPr>
            <w:r>
              <w:rPr>
                <w:rFonts w:ascii="Arial" w:hAnsi="Arial" w:cs="Arial"/>
                <w:sz w:val="24"/>
                <w:szCs w:val="24"/>
              </w:rPr>
              <w:t>a</w:t>
            </w:r>
            <w:r w:rsidR="006F7699" w:rsidRPr="00BD2EDA">
              <w:rPr>
                <w:rFonts w:ascii="Arial" w:hAnsi="Arial" w:cs="Arial"/>
                <w:sz w:val="24"/>
                <w:szCs w:val="24"/>
              </w:rPr>
              <w:t>nd</w:t>
            </w:r>
          </w:p>
        </w:tc>
        <w:tc>
          <w:tcPr>
            <w:tcW w:w="2693" w:type="dxa"/>
            <w:shd w:val="clear" w:color="auto" w:fill="auto"/>
          </w:tcPr>
          <w:p w:rsidR="0009602D" w:rsidRPr="00BD2EDA" w:rsidRDefault="0009602D" w:rsidP="00BD22D9">
            <w:pPr>
              <w:pStyle w:val="NoSpacing"/>
              <w:jc w:val="both"/>
              <w:rPr>
                <w:rFonts w:ascii="Arial" w:hAnsi="Arial" w:cs="Arial"/>
                <w:b/>
                <w:sz w:val="24"/>
                <w:szCs w:val="24"/>
              </w:rPr>
            </w:pPr>
          </w:p>
        </w:tc>
      </w:tr>
      <w:tr w:rsidR="00496CEE" w:rsidRPr="00BD2EDA" w:rsidTr="009C79A7">
        <w:tc>
          <w:tcPr>
            <w:tcW w:w="6204" w:type="dxa"/>
            <w:shd w:val="clear" w:color="auto" w:fill="auto"/>
          </w:tcPr>
          <w:p w:rsidR="00B9123F" w:rsidRPr="00BD2EDA" w:rsidRDefault="00B9123F" w:rsidP="00BD22D9">
            <w:pPr>
              <w:pStyle w:val="NoSpacing"/>
              <w:jc w:val="both"/>
              <w:rPr>
                <w:rFonts w:ascii="Arial" w:hAnsi="Arial" w:cs="Arial"/>
                <w:b/>
                <w:sz w:val="24"/>
                <w:szCs w:val="24"/>
              </w:rPr>
            </w:pPr>
          </w:p>
        </w:tc>
        <w:tc>
          <w:tcPr>
            <w:tcW w:w="2693" w:type="dxa"/>
            <w:shd w:val="clear" w:color="auto" w:fill="auto"/>
          </w:tcPr>
          <w:p w:rsidR="00B9123F" w:rsidRPr="00BD2EDA" w:rsidRDefault="00B9123F" w:rsidP="00BD22D9">
            <w:pPr>
              <w:pStyle w:val="NoSpacing"/>
              <w:jc w:val="both"/>
              <w:rPr>
                <w:rFonts w:ascii="Arial" w:hAnsi="Arial" w:cs="Arial"/>
                <w:b/>
                <w:sz w:val="24"/>
                <w:szCs w:val="24"/>
              </w:rPr>
            </w:pPr>
          </w:p>
        </w:tc>
      </w:tr>
      <w:tr w:rsidR="00496CEE" w:rsidRPr="00BD2EDA" w:rsidTr="009C79A7">
        <w:tc>
          <w:tcPr>
            <w:tcW w:w="6204" w:type="dxa"/>
            <w:shd w:val="clear" w:color="auto" w:fill="auto"/>
          </w:tcPr>
          <w:p w:rsidR="00B9123F" w:rsidRPr="00BD2EDA" w:rsidRDefault="002664BA" w:rsidP="00BD22D9">
            <w:pPr>
              <w:pStyle w:val="NoSpacing"/>
              <w:jc w:val="both"/>
              <w:rPr>
                <w:rFonts w:ascii="Arial" w:hAnsi="Arial" w:cs="Arial"/>
                <w:b/>
                <w:sz w:val="24"/>
                <w:szCs w:val="24"/>
              </w:rPr>
            </w:pPr>
            <w:r w:rsidRPr="00BD2EDA">
              <w:rPr>
                <w:rFonts w:ascii="Arial" w:hAnsi="Arial" w:cs="Arial"/>
                <w:b/>
                <w:sz w:val="24"/>
                <w:szCs w:val="24"/>
              </w:rPr>
              <w:t>NAMSOV FISHING ENTERPRISES (PTY) LTD</w:t>
            </w:r>
          </w:p>
        </w:tc>
        <w:tc>
          <w:tcPr>
            <w:tcW w:w="2693" w:type="dxa"/>
            <w:shd w:val="clear" w:color="auto" w:fill="auto"/>
          </w:tcPr>
          <w:p w:rsidR="00B9123F" w:rsidRPr="00BD2EDA" w:rsidRDefault="00B9123F" w:rsidP="00BD22D9">
            <w:pPr>
              <w:pStyle w:val="NoSpacing"/>
              <w:jc w:val="right"/>
              <w:rPr>
                <w:rFonts w:ascii="Arial" w:hAnsi="Arial" w:cs="Arial"/>
                <w:b/>
                <w:sz w:val="24"/>
                <w:szCs w:val="24"/>
              </w:rPr>
            </w:pPr>
            <w:r w:rsidRPr="00BD2EDA">
              <w:rPr>
                <w:rFonts w:ascii="Arial" w:hAnsi="Arial" w:cs="Arial"/>
                <w:b/>
                <w:sz w:val="24"/>
                <w:szCs w:val="24"/>
              </w:rPr>
              <w:t>Respondent</w:t>
            </w:r>
          </w:p>
        </w:tc>
      </w:tr>
      <w:tr w:rsidR="00496CEE" w:rsidRPr="00BD2EDA" w:rsidTr="009C79A7">
        <w:tc>
          <w:tcPr>
            <w:tcW w:w="6204" w:type="dxa"/>
            <w:shd w:val="clear" w:color="auto" w:fill="auto"/>
          </w:tcPr>
          <w:p w:rsidR="005F115C" w:rsidRPr="00BD2EDA" w:rsidRDefault="005F115C" w:rsidP="00BD22D9">
            <w:pPr>
              <w:pStyle w:val="NoSpacing"/>
              <w:jc w:val="both"/>
              <w:rPr>
                <w:rFonts w:ascii="Arial" w:hAnsi="Arial" w:cs="Arial"/>
                <w:b/>
                <w:sz w:val="24"/>
                <w:szCs w:val="24"/>
              </w:rPr>
            </w:pPr>
          </w:p>
        </w:tc>
        <w:tc>
          <w:tcPr>
            <w:tcW w:w="2693" w:type="dxa"/>
            <w:shd w:val="clear" w:color="auto" w:fill="auto"/>
          </w:tcPr>
          <w:p w:rsidR="005F115C" w:rsidRPr="00BD2EDA" w:rsidRDefault="005F115C" w:rsidP="00BD22D9">
            <w:pPr>
              <w:pStyle w:val="NoSpacing"/>
              <w:jc w:val="both"/>
              <w:rPr>
                <w:rFonts w:ascii="Arial" w:hAnsi="Arial" w:cs="Arial"/>
                <w:b/>
                <w:sz w:val="24"/>
                <w:szCs w:val="24"/>
              </w:rPr>
            </w:pPr>
          </w:p>
        </w:tc>
      </w:tr>
      <w:tr w:rsidR="00496CEE" w:rsidRPr="00BD2EDA" w:rsidTr="009C79A7">
        <w:tc>
          <w:tcPr>
            <w:tcW w:w="6204" w:type="dxa"/>
            <w:shd w:val="clear" w:color="auto" w:fill="auto"/>
          </w:tcPr>
          <w:p w:rsidR="005F115C" w:rsidRDefault="005F115C" w:rsidP="00BD22D9">
            <w:pPr>
              <w:pStyle w:val="NoSpacing"/>
              <w:jc w:val="both"/>
              <w:rPr>
                <w:rFonts w:ascii="Arial" w:hAnsi="Arial" w:cs="Arial"/>
                <w:b/>
                <w:sz w:val="24"/>
                <w:szCs w:val="24"/>
              </w:rPr>
            </w:pPr>
          </w:p>
          <w:p w:rsidR="00595EA4" w:rsidRPr="00BD2EDA" w:rsidRDefault="00595EA4" w:rsidP="00BD22D9">
            <w:pPr>
              <w:pStyle w:val="NoSpacing"/>
              <w:jc w:val="both"/>
              <w:rPr>
                <w:rFonts w:ascii="Arial" w:hAnsi="Arial" w:cs="Arial"/>
                <w:b/>
                <w:sz w:val="24"/>
                <w:szCs w:val="24"/>
              </w:rPr>
            </w:pPr>
          </w:p>
        </w:tc>
        <w:tc>
          <w:tcPr>
            <w:tcW w:w="2693" w:type="dxa"/>
            <w:shd w:val="clear" w:color="auto" w:fill="auto"/>
          </w:tcPr>
          <w:p w:rsidR="005F115C" w:rsidRPr="00BD2EDA" w:rsidRDefault="005F115C" w:rsidP="00BD22D9">
            <w:pPr>
              <w:pStyle w:val="NoSpacing"/>
              <w:jc w:val="both"/>
              <w:rPr>
                <w:rFonts w:ascii="Arial" w:hAnsi="Arial" w:cs="Arial"/>
                <w:b/>
                <w:sz w:val="24"/>
                <w:szCs w:val="24"/>
              </w:rPr>
            </w:pPr>
          </w:p>
        </w:tc>
      </w:tr>
    </w:tbl>
    <w:p w:rsidR="007D23A3" w:rsidRPr="00BD2EDA" w:rsidRDefault="00C301D8" w:rsidP="00BD22D9">
      <w:pPr>
        <w:spacing w:line="480" w:lineRule="auto"/>
        <w:jc w:val="both"/>
        <w:rPr>
          <w:rFonts w:ascii="Arial" w:hAnsi="Arial" w:cs="Arial"/>
          <w:sz w:val="24"/>
          <w:szCs w:val="24"/>
          <w:lang w:val="en-ZA"/>
        </w:rPr>
      </w:pPr>
      <w:r w:rsidRPr="00BD2EDA">
        <w:rPr>
          <w:rFonts w:ascii="Arial" w:hAnsi="Arial" w:cs="Arial"/>
          <w:b/>
          <w:sz w:val="24"/>
          <w:szCs w:val="24"/>
          <w:lang w:val="en-ZA"/>
        </w:rPr>
        <w:t>Coram:</w:t>
      </w:r>
      <w:r w:rsidRPr="00BD2EDA">
        <w:rPr>
          <w:rFonts w:ascii="Arial" w:hAnsi="Arial" w:cs="Arial"/>
          <w:sz w:val="24"/>
          <w:szCs w:val="24"/>
          <w:lang w:val="en-ZA"/>
        </w:rPr>
        <w:tab/>
      </w:r>
      <w:r w:rsidRPr="00BD2EDA">
        <w:rPr>
          <w:rFonts w:ascii="Arial" w:hAnsi="Arial" w:cs="Arial"/>
          <w:sz w:val="24"/>
          <w:szCs w:val="24"/>
          <w:lang w:val="en-ZA"/>
        </w:rPr>
        <w:tab/>
      </w:r>
      <w:r w:rsidR="002664BA" w:rsidRPr="00BD2EDA">
        <w:rPr>
          <w:rFonts w:ascii="Arial" w:hAnsi="Arial" w:cs="Arial"/>
          <w:sz w:val="24"/>
          <w:szCs w:val="24"/>
          <w:lang w:val="en-ZA"/>
        </w:rPr>
        <w:t xml:space="preserve">DAMASEB DCJ, MAINGA JA and </w:t>
      </w:r>
      <w:r w:rsidR="008600BA" w:rsidRPr="00BD2EDA">
        <w:rPr>
          <w:rFonts w:ascii="Arial" w:hAnsi="Arial" w:cs="Arial"/>
          <w:sz w:val="24"/>
          <w:szCs w:val="24"/>
          <w:lang w:val="en-ZA"/>
        </w:rPr>
        <w:t>SMUTS</w:t>
      </w:r>
      <w:r w:rsidR="00401A23" w:rsidRPr="00BD2EDA">
        <w:rPr>
          <w:rFonts w:ascii="Arial" w:hAnsi="Arial" w:cs="Arial"/>
          <w:sz w:val="24"/>
          <w:szCs w:val="24"/>
          <w:lang w:val="en-ZA"/>
        </w:rPr>
        <w:t xml:space="preserve"> </w:t>
      </w:r>
      <w:r w:rsidR="008600BA" w:rsidRPr="00BD2EDA">
        <w:rPr>
          <w:rFonts w:ascii="Arial" w:hAnsi="Arial" w:cs="Arial"/>
          <w:sz w:val="24"/>
          <w:szCs w:val="24"/>
          <w:lang w:val="en-ZA"/>
        </w:rPr>
        <w:t>JA</w:t>
      </w:r>
    </w:p>
    <w:p w:rsidR="007D23A3" w:rsidRPr="00BD2EDA" w:rsidRDefault="007D23A3" w:rsidP="00BD22D9">
      <w:pPr>
        <w:spacing w:line="480" w:lineRule="auto"/>
        <w:jc w:val="both"/>
        <w:rPr>
          <w:rFonts w:ascii="Arial" w:hAnsi="Arial" w:cs="Arial"/>
          <w:b/>
          <w:sz w:val="24"/>
          <w:szCs w:val="24"/>
          <w:lang w:val="en-ZA"/>
        </w:rPr>
      </w:pPr>
      <w:r w:rsidRPr="00BD2EDA">
        <w:rPr>
          <w:rFonts w:ascii="Arial" w:hAnsi="Arial" w:cs="Arial"/>
          <w:b/>
          <w:sz w:val="24"/>
          <w:szCs w:val="24"/>
          <w:lang w:val="en-ZA"/>
        </w:rPr>
        <w:t>H</w:t>
      </w:r>
      <w:r w:rsidR="00C05498" w:rsidRPr="00BD2EDA">
        <w:rPr>
          <w:rFonts w:ascii="Arial" w:hAnsi="Arial" w:cs="Arial"/>
          <w:b/>
          <w:sz w:val="24"/>
          <w:szCs w:val="24"/>
          <w:lang w:val="en-ZA"/>
        </w:rPr>
        <w:t>eard</w:t>
      </w:r>
      <w:r w:rsidRPr="00BD2EDA">
        <w:rPr>
          <w:rFonts w:ascii="Arial" w:hAnsi="Arial" w:cs="Arial"/>
          <w:b/>
          <w:sz w:val="24"/>
          <w:szCs w:val="24"/>
          <w:lang w:val="en-ZA"/>
        </w:rPr>
        <w:t>:</w:t>
      </w:r>
      <w:r w:rsidRPr="00BD2EDA">
        <w:rPr>
          <w:rFonts w:ascii="Arial" w:hAnsi="Arial" w:cs="Arial"/>
          <w:b/>
          <w:sz w:val="24"/>
          <w:szCs w:val="24"/>
          <w:lang w:val="en-ZA"/>
        </w:rPr>
        <w:tab/>
      </w:r>
      <w:r w:rsidRPr="00BD2EDA">
        <w:rPr>
          <w:rFonts w:ascii="Arial" w:hAnsi="Arial" w:cs="Arial"/>
          <w:b/>
          <w:sz w:val="24"/>
          <w:szCs w:val="24"/>
          <w:lang w:val="en-ZA"/>
        </w:rPr>
        <w:tab/>
      </w:r>
      <w:r w:rsidR="00CE3EA8" w:rsidRPr="00BD2EDA">
        <w:rPr>
          <w:rFonts w:ascii="Arial" w:hAnsi="Arial" w:cs="Arial"/>
          <w:b/>
          <w:sz w:val="24"/>
          <w:szCs w:val="24"/>
          <w:lang w:val="en-ZA"/>
        </w:rPr>
        <w:t>1</w:t>
      </w:r>
      <w:r w:rsidR="002664BA" w:rsidRPr="00BD2EDA">
        <w:rPr>
          <w:rFonts w:ascii="Arial" w:hAnsi="Arial" w:cs="Arial"/>
          <w:b/>
          <w:sz w:val="24"/>
          <w:szCs w:val="24"/>
          <w:lang w:val="en-ZA"/>
        </w:rPr>
        <w:t>3</w:t>
      </w:r>
      <w:r w:rsidR="00A361EF" w:rsidRPr="00BD2EDA">
        <w:rPr>
          <w:rFonts w:ascii="Arial" w:hAnsi="Arial" w:cs="Arial"/>
          <w:b/>
          <w:sz w:val="24"/>
          <w:szCs w:val="24"/>
          <w:lang w:val="en-ZA"/>
        </w:rPr>
        <w:t xml:space="preserve"> </w:t>
      </w:r>
      <w:r w:rsidR="002664BA" w:rsidRPr="00BD2EDA">
        <w:rPr>
          <w:rFonts w:ascii="Arial" w:hAnsi="Arial" w:cs="Arial"/>
          <w:b/>
          <w:sz w:val="24"/>
          <w:szCs w:val="24"/>
          <w:lang w:val="en-ZA"/>
        </w:rPr>
        <w:t>March</w:t>
      </w:r>
      <w:r w:rsidR="00360184" w:rsidRPr="00BD2EDA">
        <w:rPr>
          <w:rFonts w:ascii="Arial" w:hAnsi="Arial" w:cs="Arial"/>
          <w:b/>
          <w:sz w:val="24"/>
          <w:szCs w:val="24"/>
          <w:lang w:val="en-ZA"/>
        </w:rPr>
        <w:t xml:space="preserve"> </w:t>
      </w:r>
      <w:r w:rsidRPr="00BD2EDA">
        <w:rPr>
          <w:rFonts w:ascii="Arial" w:hAnsi="Arial" w:cs="Arial"/>
          <w:b/>
          <w:sz w:val="24"/>
          <w:szCs w:val="24"/>
          <w:lang w:val="en-ZA"/>
        </w:rPr>
        <w:t>201</w:t>
      </w:r>
      <w:r w:rsidR="002664BA" w:rsidRPr="00BD2EDA">
        <w:rPr>
          <w:rFonts w:ascii="Arial" w:hAnsi="Arial" w:cs="Arial"/>
          <w:b/>
          <w:sz w:val="24"/>
          <w:szCs w:val="24"/>
          <w:lang w:val="en-ZA"/>
        </w:rPr>
        <w:t>7</w:t>
      </w:r>
    </w:p>
    <w:p w:rsidR="007D23A3" w:rsidRPr="00BD2EDA" w:rsidRDefault="00C05498" w:rsidP="0090146D">
      <w:pPr>
        <w:spacing w:line="480" w:lineRule="auto"/>
        <w:jc w:val="both"/>
        <w:rPr>
          <w:rFonts w:ascii="Arial" w:hAnsi="Arial" w:cs="Arial"/>
          <w:b/>
          <w:sz w:val="24"/>
          <w:szCs w:val="24"/>
          <w:lang w:val="en-ZA"/>
        </w:rPr>
      </w:pPr>
      <w:r w:rsidRPr="00BD2EDA">
        <w:rPr>
          <w:rFonts w:ascii="Arial" w:hAnsi="Arial" w:cs="Arial"/>
          <w:b/>
          <w:sz w:val="24"/>
          <w:szCs w:val="24"/>
          <w:lang w:val="en-ZA"/>
        </w:rPr>
        <w:t>Delivered</w:t>
      </w:r>
      <w:r w:rsidR="007D23A3" w:rsidRPr="00BD2EDA">
        <w:rPr>
          <w:rFonts w:ascii="Arial" w:hAnsi="Arial" w:cs="Arial"/>
          <w:b/>
          <w:sz w:val="24"/>
          <w:szCs w:val="24"/>
          <w:lang w:val="en-ZA"/>
        </w:rPr>
        <w:t>:</w:t>
      </w:r>
      <w:r w:rsidR="00642639" w:rsidRPr="00BD2EDA">
        <w:rPr>
          <w:rFonts w:ascii="Arial" w:hAnsi="Arial" w:cs="Arial"/>
          <w:b/>
          <w:sz w:val="24"/>
          <w:szCs w:val="24"/>
          <w:lang w:val="en-ZA"/>
        </w:rPr>
        <w:tab/>
      </w:r>
      <w:r w:rsidR="00BB3B17" w:rsidRPr="00BD2EDA">
        <w:rPr>
          <w:rFonts w:ascii="Arial" w:hAnsi="Arial" w:cs="Arial"/>
          <w:b/>
          <w:sz w:val="24"/>
          <w:szCs w:val="24"/>
          <w:lang w:val="en-ZA"/>
        </w:rPr>
        <w:tab/>
      </w:r>
      <w:r w:rsidR="00AC6BE1">
        <w:rPr>
          <w:rFonts w:ascii="Arial" w:hAnsi="Arial" w:cs="Arial"/>
          <w:b/>
          <w:sz w:val="24"/>
          <w:szCs w:val="24"/>
          <w:lang w:val="en-ZA"/>
        </w:rPr>
        <w:t>24</w:t>
      </w:r>
      <w:r w:rsidR="00B60443" w:rsidRPr="00BD2EDA">
        <w:rPr>
          <w:rFonts w:ascii="Arial" w:hAnsi="Arial" w:cs="Arial"/>
          <w:b/>
          <w:sz w:val="24"/>
          <w:szCs w:val="24"/>
          <w:lang w:val="en-ZA"/>
        </w:rPr>
        <w:t xml:space="preserve"> March</w:t>
      </w:r>
      <w:r w:rsidR="002664BA" w:rsidRPr="00BD2EDA">
        <w:rPr>
          <w:rFonts w:ascii="Arial" w:hAnsi="Arial" w:cs="Arial"/>
          <w:b/>
          <w:sz w:val="24"/>
          <w:szCs w:val="24"/>
          <w:lang w:val="en-ZA"/>
        </w:rPr>
        <w:t xml:space="preserve"> 2017</w:t>
      </w:r>
    </w:p>
    <w:p w:rsidR="00C05498" w:rsidRPr="00BD2EDA" w:rsidRDefault="00C05498" w:rsidP="00BD22D9">
      <w:pPr>
        <w:pBdr>
          <w:top w:val="single" w:sz="12" w:space="1" w:color="auto"/>
          <w:bottom w:val="single" w:sz="12" w:space="1" w:color="auto"/>
        </w:pBdr>
        <w:spacing w:line="240" w:lineRule="auto"/>
        <w:jc w:val="both"/>
        <w:rPr>
          <w:rFonts w:ascii="Arial" w:hAnsi="Arial" w:cs="Arial"/>
          <w:b/>
          <w:sz w:val="24"/>
          <w:szCs w:val="24"/>
          <w:lang w:val="en-ZA"/>
        </w:rPr>
      </w:pPr>
    </w:p>
    <w:p w:rsidR="007D23A3" w:rsidRPr="00BD2EDA" w:rsidRDefault="00C05498" w:rsidP="00BD22D9">
      <w:pPr>
        <w:pBdr>
          <w:top w:val="single" w:sz="12" w:space="1" w:color="auto"/>
          <w:bottom w:val="single" w:sz="12" w:space="1" w:color="auto"/>
        </w:pBdr>
        <w:spacing w:line="240" w:lineRule="auto"/>
        <w:jc w:val="center"/>
        <w:rPr>
          <w:rFonts w:ascii="Arial" w:hAnsi="Arial" w:cs="Arial"/>
          <w:b/>
          <w:sz w:val="24"/>
          <w:szCs w:val="24"/>
          <w:lang w:val="en-ZA"/>
        </w:rPr>
      </w:pPr>
      <w:r w:rsidRPr="00BD2EDA">
        <w:rPr>
          <w:rFonts w:ascii="Arial" w:hAnsi="Arial" w:cs="Arial"/>
          <w:b/>
          <w:sz w:val="24"/>
          <w:szCs w:val="24"/>
          <w:lang w:val="en-ZA"/>
        </w:rPr>
        <w:t>APPEAL JUDGMENT</w:t>
      </w:r>
    </w:p>
    <w:p w:rsidR="00C05498" w:rsidRPr="00BD2EDA" w:rsidRDefault="00C05498" w:rsidP="00BD22D9">
      <w:pPr>
        <w:pBdr>
          <w:top w:val="single" w:sz="12" w:space="1" w:color="auto"/>
          <w:bottom w:val="single" w:sz="12" w:space="1" w:color="auto"/>
        </w:pBdr>
        <w:spacing w:line="240" w:lineRule="auto"/>
        <w:jc w:val="both"/>
        <w:rPr>
          <w:rFonts w:ascii="Arial" w:hAnsi="Arial" w:cs="Arial"/>
          <w:b/>
          <w:sz w:val="24"/>
          <w:szCs w:val="24"/>
          <w:lang w:val="en-ZA"/>
        </w:rPr>
      </w:pPr>
    </w:p>
    <w:p w:rsidR="00814008" w:rsidRPr="00BD2EDA" w:rsidRDefault="00814008" w:rsidP="00BD22D9">
      <w:pPr>
        <w:spacing w:line="480" w:lineRule="auto"/>
        <w:jc w:val="both"/>
        <w:rPr>
          <w:rFonts w:ascii="Arial" w:hAnsi="Arial" w:cs="Arial"/>
          <w:sz w:val="24"/>
          <w:szCs w:val="24"/>
          <w:lang w:val="en-ZA"/>
        </w:rPr>
      </w:pPr>
    </w:p>
    <w:p w:rsidR="00BE11B8" w:rsidRPr="00BD2EDA" w:rsidRDefault="00E9044B" w:rsidP="001F5422">
      <w:pPr>
        <w:spacing w:line="480" w:lineRule="auto"/>
        <w:jc w:val="both"/>
        <w:rPr>
          <w:rFonts w:ascii="Arial" w:hAnsi="Arial" w:cs="Arial"/>
          <w:sz w:val="24"/>
          <w:szCs w:val="24"/>
          <w:lang w:val="en-ZA"/>
        </w:rPr>
      </w:pPr>
      <w:r w:rsidRPr="00BD2EDA">
        <w:rPr>
          <w:rFonts w:ascii="Arial" w:hAnsi="Arial" w:cs="Arial"/>
          <w:sz w:val="24"/>
          <w:szCs w:val="24"/>
          <w:lang w:val="en-ZA"/>
        </w:rPr>
        <w:t xml:space="preserve">SMUTS </w:t>
      </w:r>
      <w:r w:rsidR="00C05498" w:rsidRPr="00BD2EDA">
        <w:rPr>
          <w:rFonts w:ascii="Arial" w:hAnsi="Arial" w:cs="Arial"/>
          <w:sz w:val="24"/>
          <w:szCs w:val="24"/>
          <w:lang w:val="en-ZA"/>
        </w:rPr>
        <w:t>JA (</w:t>
      </w:r>
      <w:r w:rsidR="002664BA" w:rsidRPr="00BD2EDA">
        <w:rPr>
          <w:rFonts w:ascii="Arial" w:hAnsi="Arial" w:cs="Arial"/>
          <w:sz w:val="24"/>
          <w:szCs w:val="24"/>
          <w:lang w:val="en-ZA"/>
        </w:rPr>
        <w:t xml:space="preserve">MAINGA </w:t>
      </w:r>
      <w:r w:rsidR="00B9123F" w:rsidRPr="00BD2EDA">
        <w:rPr>
          <w:rFonts w:ascii="Arial" w:hAnsi="Arial" w:cs="Arial"/>
          <w:sz w:val="24"/>
          <w:szCs w:val="24"/>
          <w:lang w:val="en-ZA"/>
        </w:rPr>
        <w:t xml:space="preserve">JA </w:t>
      </w:r>
      <w:r w:rsidR="00C05498" w:rsidRPr="00BD2EDA">
        <w:rPr>
          <w:rFonts w:ascii="Arial" w:hAnsi="Arial" w:cs="Arial"/>
          <w:sz w:val="24"/>
          <w:szCs w:val="24"/>
          <w:lang w:val="en-ZA"/>
        </w:rPr>
        <w:t>concurring):</w:t>
      </w:r>
    </w:p>
    <w:p w:rsidR="00BD22D9" w:rsidRDefault="002664BA"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respondent in this appeal </w:t>
      </w:r>
      <w:r w:rsidR="007865F5" w:rsidRPr="00BD2EDA">
        <w:rPr>
          <w:rFonts w:ascii="Arial" w:hAnsi="Arial" w:cs="Arial"/>
          <w:sz w:val="24"/>
          <w:szCs w:val="24"/>
          <w:lang w:val="en-ZA"/>
        </w:rPr>
        <w:t xml:space="preserve">(Namsov) successfully applied to the High Court to make an arbitration award in its favour against the appellant </w:t>
      </w:r>
      <w:r w:rsidR="00B60443" w:rsidRPr="00BD2EDA">
        <w:rPr>
          <w:rFonts w:ascii="Arial" w:hAnsi="Arial" w:cs="Arial"/>
          <w:sz w:val="24"/>
          <w:szCs w:val="24"/>
          <w:lang w:val="en-ZA"/>
        </w:rPr>
        <w:t xml:space="preserve">(Merit) </w:t>
      </w:r>
      <w:r w:rsidR="007865F5" w:rsidRPr="00BD2EDA">
        <w:rPr>
          <w:rFonts w:ascii="Arial" w:hAnsi="Arial" w:cs="Arial"/>
          <w:sz w:val="24"/>
          <w:szCs w:val="24"/>
          <w:lang w:val="en-ZA"/>
        </w:rPr>
        <w:t xml:space="preserve">an order of that </w:t>
      </w:r>
      <w:r w:rsidR="00B15955" w:rsidRPr="00BD2EDA">
        <w:rPr>
          <w:rFonts w:ascii="Arial" w:hAnsi="Arial" w:cs="Arial"/>
          <w:sz w:val="24"/>
          <w:szCs w:val="24"/>
          <w:lang w:val="en-ZA"/>
        </w:rPr>
        <w:t>c</w:t>
      </w:r>
      <w:r w:rsidR="007865F5" w:rsidRPr="00BD2EDA">
        <w:rPr>
          <w:rFonts w:ascii="Arial" w:hAnsi="Arial" w:cs="Arial"/>
          <w:sz w:val="24"/>
          <w:szCs w:val="24"/>
          <w:lang w:val="en-ZA"/>
        </w:rPr>
        <w:t xml:space="preserve">ourt </w:t>
      </w:r>
      <w:r w:rsidR="007865F5" w:rsidRPr="00BD2EDA">
        <w:rPr>
          <w:rFonts w:ascii="Arial" w:hAnsi="Arial" w:cs="Arial"/>
          <w:sz w:val="24"/>
          <w:szCs w:val="24"/>
          <w:lang w:val="en-ZA"/>
        </w:rPr>
        <w:lastRenderedPageBreak/>
        <w:t>in terms of</w:t>
      </w:r>
      <w:r w:rsidR="009A335E" w:rsidRPr="00BD2EDA">
        <w:rPr>
          <w:rFonts w:ascii="Arial" w:hAnsi="Arial" w:cs="Arial"/>
          <w:sz w:val="24"/>
          <w:szCs w:val="24"/>
          <w:lang w:val="en-ZA"/>
        </w:rPr>
        <w:t xml:space="preserve"> s 31</w:t>
      </w:r>
      <w:r w:rsidR="007865F5" w:rsidRPr="00BD2EDA">
        <w:rPr>
          <w:rFonts w:ascii="Arial" w:hAnsi="Arial" w:cs="Arial"/>
          <w:sz w:val="24"/>
          <w:szCs w:val="24"/>
          <w:lang w:val="en-ZA"/>
        </w:rPr>
        <w:t xml:space="preserve"> the Arbitration Act, 42 of 1965</w:t>
      </w:r>
      <w:r w:rsidR="00B60443" w:rsidRPr="00BD2EDA">
        <w:rPr>
          <w:rFonts w:ascii="Arial" w:hAnsi="Arial" w:cs="Arial"/>
          <w:sz w:val="24"/>
          <w:szCs w:val="24"/>
          <w:lang w:val="en-ZA"/>
        </w:rPr>
        <w:t xml:space="preserve"> (the Act)</w:t>
      </w:r>
      <w:r w:rsidR="007865F5" w:rsidRPr="00BD2EDA">
        <w:rPr>
          <w:rFonts w:ascii="Arial" w:hAnsi="Arial" w:cs="Arial"/>
          <w:sz w:val="24"/>
          <w:szCs w:val="24"/>
          <w:lang w:val="en-ZA"/>
        </w:rPr>
        <w:t xml:space="preserve">. That application </w:t>
      </w:r>
      <w:r w:rsidR="00781025" w:rsidRPr="00BD2EDA">
        <w:rPr>
          <w:rFonts w:ascii="Arial" w:hAnsi="Arial" w:cs="Arial"/>
          <w:sz w:val="24"/>
          <w:szCs w:val="24"/>
          <w:lang w:val="en-ZA"/>
        </w:rPr>
        <w:t>was opposed by Merit on the ground that the award did not dispose of all obligations between the parties, essentially seeking a postponement of its obligations under the award until other disputes had been resolved.</w:t>
      </w:r>
    </w:p>
    <w:p w:rsidR="00595EA4" w:rsidRPr="00BD2EDA" w:rsidRDefault="00595EA4" w:rsidP="00595EA4">
      <w:pPr>
        <w:pStyle w:val="ListParagraph"/>
        <w:spacing w:line="480" w:lineRule="auto"/>
        <w:ind w:left="0"/>
        <w:jc w:val="both"/>
        <w:rPr>
          <w:rFonts w:ascii="Arial" w:hAnsi="Arial" w:cs="Arial"/>
          <w:sz w:val="24"/>
          <w:szCs w:val="24"/>
          <w:lang w:val="en-ZA"/>
        </w:rPr>
      </w:pPr>
    </w:p>
    <w:p w:rsidR="00781025" w:rsidRPr="00BD2EDA" w:rsidRDefault="00781025"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High Court rejected that opposition and granted its order. Merit’s opposition raised in the High Court </w:t>
      </w:r>
      <w:r w:rsidR="00327521" w:rsidRPr="00BD2EDA">
        <w:rPr>
          <w:rFonts w:ascii="Arial" w:hAnsi="Arial" w:cs="Arial"/>
          <w:sz w:val="24"/>
          <w:szCs w:val="24"/>
          <w:lang w:val="en-ZA"/>
        </w:rPr>
        <w:t>is no longer in issue. Instead a single new point is raised by Merit on appeal for the first time, namely that Namsov did not meet the requisites of the Act</w:t>
      </w:r>
      <w:r w:rsidR="00B15955" w:rsidRPr="00BD2EDA">
        <w:rPr>
          <w:rFonts w:ascii="Arial" w:hAnsi="Arial" w:cs="Arial"/>
          <w:sz w:val="24"/>
          <w:szCs w:val="24"/>
          <w:lang w:val="en-ZA"/>
        </w:rPr>
        <w:t xml:space="preserve"> when applying to make the award an order of court</w:t>
      </w:r>
      <w:r w:rsidR="00B60443" w:rsidRPr="00BD2EDA">
        <w:rPr>
          <w:rFonts w:ascii="Arial" w:hAnsi="Arial" w:cs="Arial"/>
          <w:sz w:val="24"/>
          <w:szCs w:val="24"/>
          <w:lang w:val="en-ZA"/>
        </w:rPr>
        <w:t>, contendin</w:t>
      </w:r>
      <w:r w:rsidR="00327521" w:rsidRPr="00BD2EDA">
        <w:rPr>
          <w:rFonts w:ascii="Arial" w:hAnsi="Arial" w:cs="Arial"/>
          <w:sz w:val="24"/>
          <w:szCs w:val="24"/>
          <w:lang w:val="en-ZA"/>
        </w:rPr>
        <w:t>g</w:t>
      </w:r>
      <w:r w:rsidR="00B60443" w:rsidRPr="00BD2EDA">
        <w:rPr>
          <w:rFonts w:ascii="Arial" w:hAnsi="Arial" w:cs="Arial"/>
          <w:sz w:val="24"/>
          <w:szCs w:val="24"/>
          <w:lang w:val="en-ZA"/>
        </w:rPr>
        <w:t xml:space="preserve"> that Namsov failed</w:t>
      </w:r>
      <w:r w:rsidR="00327521" w:rsidRPr="00BD2EDA">
        <w:rPr>
          <w:rFonts w:ascii="Arial" w:hAnsi="Arial" w:cs="Arial"/>
          <w:sz w:val="24"/>
          <w:szCs w:val="24"/>
          <w:lang w:val="en-ZA"/>
        </w:rPr>
        <w:t xml:space="preserve"> to establish that the arbitration itself proceeded in terms of a valid agreement in writing to arbitrate. As a consequence of failing to do so, it is contended that the award </w:t>
      </w:r>
      <w:r w:rsidR="00E24B10" w:rsidRPr="00BD2EDA">
        <w:rPr>
          <w:rFonts w:ascii="Arial" w:hAnsi="Arial" w:cs="Arial"/>
          <w:sz w:val="24"/>
          <w:szCs w:val="24"/>
          <w:lang w:val="en-ZA"/>
        </w:rPr>
        <w:t>would be</w:t>
      </w:r>
      <w:r w:rsidR="00327521" w:rsidRPr="00BD2EDA">
        <w:rPr>
          <w:rFonts w:ascii="Arial" w:hAnsi="Arial" w:cs="Arial"/>
          <w:sz w:val="24"/>
          <w:szCs w:val="24"/>
          <w:lang w:val="en-ZA"/>
        </w:rPr>
        <w:t xml:space="preserve"> null and void. Namsov’s counsel, Mr S P Rosenberg SC, contends that Merit is preclud</w:t>
      </w:r>
      <w:r w:rsidR="00E512A8" w:rsidRPr="00BD2EDA">
        <w:rPr>
          <w:rFonts w:ascii="Arial" w:hAnsi="Arial" w:cs="Arial"/>
          <w:sz w:val="24"/>
          <w:szCs w:val="24"/>
          <w:lang w:val="en-ZA"/>
        </w:rPr>
        <w:t>ed</w:t>
      </w:r>
      <w:r w:rsidR="00327521" w:rsidRPr="00BD2EDA">
        <w:rPr>
          <w:rFonts w:ascii="Arial" w:hAnsi="Arial" w:cs="Arial"/>
          <w:sz w:val="24"/>
          <w:szCs w:val="24"/>
          <w:lang w:val="en-ZA"/>
        </w:rPr>
        <w:t xml:space="preserve"> from raising this new point on appeal and that it is </w:t>
      </w:r>
      <w:r w:rsidR="001F5422" w:rsidRPr="00BD2EDA">
        <w:rPr>
          <w:rFonts w:ascii="Arial" w:hAnsi="Arial" w:cs="Arial"/>
          <w:sz w:val="24"/>
          <w:szCs w:val="24"/>
          <w:lang w:val="en-ZA"/>
        </w:rPr>
        <w:t xml:space="preserve">in any event without </w:t>
      </w:r>
      <w:r w:rsidR="00B15955" w:rsidRPr="00BD2EDA">
        <w:rPr>
          <w:rFonts w:ascii="Arial" w:hAnsi="Arial" w:cs="Arial"/>
          <w:sz w:val="24"/>
          <w:szCs w:val="24"/>
          <w:lang w:val="en-ZA"/>
        </w:rPr>
        <w:t>foundation</w:t>
      </w:r>
      <w:r w:rsidR="001F5422" w:rsidRPr="00BD2EDA">
        <w:rPr>
          <w:rFonts w:ascii="Arial" w:hAnsi="Arial" w:cs="Arial"/>
          <w:sz w:val="24"/>
          <w:szCs w:val="24"/>
          <w:lang w:val="en-ZA"/>
        </w:rPr>
        <w:t xml:space="preserve"> in fact and in law.</w:t>
      </w:r>
    </w:p>
    <w:p w:rsidR="001F5422" w:rsidRPr="00BD2EDA" w:rsidRDefault="001F5422" w:rsidP="00F378E1">
      <w:pPr>
        <w:pStyle w:val="ListParagraph"/>
        <w:spacing w:line="480" w:lineRule="auto"/>
        <w:rPr>
          <w:rFonts w:ascii="Arial" w:hAnsi="Arial" w:cs="Arial"/>
          <w:sz w:val="24"/>
          <w:szCs w:val="24"/>
          <w:lang w:val="en-ZA"/>
        </w:rPr>
      </w:pPr>
    </w:p>
    <w:p w:rsidR="001F5422" w:rsidRPr="00BD2EDA" w:rsidRDefault="001F5422" w:rsidP="00F378E1">
      <w:pPr>
        <w:spacing w:line="480" w:lineRule="auto"/>
        <w:rPr>
          <w:rFonts w:ascii="Arial" w:hAnsi="Arial" w:cs="Arial"/>
          <w:sz w:val="24"/>
          <w:szCs w:val="24"/>
          <w:u w:val="single"/>
          <w:lang w:val="en-ZA"/>
        </w:rPr>
      </w:pPr>
      <w:r w:rsidRPr="00BD2EDA">
        <w:rPr>
          <w:rFonts w:ascii="Arial" w:hAnsi="Arial" w:cs="Arial"/>
          <w:sz w:val="24"/>
          <w:szCs w:val="24"/>
          <w:u w:val="single"/>
          <w:lang w:val="en-ZA"/>
        </w:rPr>
        <w:t>Background facts</w:t>
      </w:r>
    </w:p>
    <w:p w:rsidR="001F5422" w:rsidRPr="00BD2EDA" w:rsidRDefault="001F5422"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Namsov instituted an action against Merit in October 2013. After Merit entered an appearance to defend, Namsov applied for summary judgment. In resisting summary judgment, Merit raised a preliminary point that </w:t>
      </w:r>
      <w:r w:rsidR="009A335E" w:rsidRPr="00BD2EDA">
        <w:rPr>
          <w:rFonts w:ascii="Arial" w:hAnsi="Arial" w:cs="Arial"/>
          <w:sz w:val="24"/>
          <w:szCs w:val="24"/>
          <w:lang w:val="en-ZA"/>
        </w:rPr>
        <w:t xml:space="preserve">clause 6 of </w:t>
      </w:r>
      <w:r w:rsidRPr="00BD2EDA">
        <w:rPr>
          <w:rFonts w:ascii="Arial" w:hAnsi="Arial" w:cs="Arial"/>
          <w:sz w:val="24"/>
          <w:szCs w:val="24"/>
          <w:lang w:val="en-ZA"/>
        </w:rPr>
        <w:t xml:space="preserve">the </w:t>
      </w:r>
      <w:r w:rsidR="00B60443" w:rsidRPr="00BD2EDA">
        <w:rPr>
          <w:rFonts w:ascii="Arial" w:hAnsi="Arial" w:cs="Arial"/>
          <w:sz w:val="24"/>
          <w:szCs w:val="24"/>
          <w:lang w:val="en-ZA"/>
        </w:rPr>
        <w:t>q</w:t>
      </w:r>
      <w:r w:rsidRPr="00BD2EDA">
        <w:rPr>
          <w:rFonts w:ascii="Arial" w:hAnsi="Arial" w:cs="Arial"/>
          <w:sz w:val="24"/>
          <w:szCs w:val="24"/>
          <w:lang w:val="en-ZA"/>
        </w:rPr>
        <w:t>uota sourcing fee agreement between the parties required that disputes between them be resolved by arbitration. The matter then proceeded to arbitratio</w:t>
      </w:r>
      <w:r w:rsidR="00B15955" w:rsidRPr="00BD2EDA">
        <w:rPr>
          <w:rFonts w:ascii="Arial" w:hAnsi="Arial" w:cs="Arial"/>
          <w:sz w:val="24"/>
          <w:szCs w:val="24"/>
          <w:lang w:val="en-ZA"/>
        </w:rPr>
        <w:t xml:space="preserve">n. </w:t>
      </w:r>
      <w:r w:rsidR="00E24B10" w:rsidRPr="00BD2EDA">
        <w:rPr>
          <w:rFonts w:ascii="Arial" w:hAnsi="Arial" w:cs="Arial"/>
          <w:sz w:val="24"/>
          <w:szCs w:val="24"/>
          <w:lang w:val="en-ZA"/>
        </w:rPr>
        <w:t>The claim</w:t>
      </w:r>
      <w:r w:rsidR="00B15955" w:rsidRPr="00BD2EDA">
        <w:rPr>
          <w:rFonts w:ascii="Arial" w:hAnsi="Arial" w:cs="Arial"/>
          <w:sz w:val="24"/>
          <w:szCs w:val="24"/>
          <w:lang w:val="en-ZA"/>
        </w:rPr>
        <w:t xml:space="preserve"> was</w:t>
      </w:r>
      <w:r w:rsidRPr="00BD2EDA">
        <w:rPr>
          <w:rFonts w:ascii="Arial" w:hAnsi="Arial" w:cs="Arial"/>
          <w:sz w:val="24"/>
          <w:szCs w:val="24"/>
          <w:lang w:val="en-ZA"/>
        </w:rPr>
        <w:t xml:space="preserve"> opposed</w:t>
      </w:r>
      <w:r w:rsidR="00E24B10" w:rsidRPr="00BD2EDA">
        <w:rPr>
          <w:rFonts w:ascii="Arial" w:hAnsi="Arial" w:cs="Arial"/>
          <w:sz w:val="24"/>
          <w:szCs w:val="24"/>
          <w:lang w:val="en-ZA"/>
        </w:rPr>
        <w:t xml:space="preserve"> in the arbitration</w:t>
      </w:r>
      <w:r w:rsidRPr="00BD2EDA">
        <w:rPr>
          <w:rFonts w:ascii="Arial" w:hAnsi="Arial" w:cs="Arial"/>
          <w:sz w:val="24"/>
          <w:szCs w:val="24"/>
          <w:lang w:val="en-ZA"/>
        </w:rPr>
        <w:t xml:space="preserve"> by Merit which also raised a counterclaim. The arbitrator made an award in favour of Namsov, ordering Merit to pay the amounts of N$7,360,000 and N$3,750,000 together with interest and costs and dismissed Merit’s counterclaim.</w:t>
      </w:r>
    </w:p>
    <w:p w:rsidR="001F5422" w:rsidRPr="00BD2EDA" w:rsidRDefault="001F5422" w:rsidP="00F378E1">
      <w:pPr>
        <w:pStyle w:val="ListParagraph"/>
        <w:spacing w:line="480" w:lineRule="auto"/>
        <w:rPr>
          <w:rFonts w:ascii="Arial" w:hAnsi="Arial" w:cs="Arial"/>
          <w:sz w:val="24"/>
          <w:szCs w:val="24"/>
          <w:lang w:val="en-ZA"/>
        </w:rPr>
      </w:pPr>
    </w:p>
    <w:p w:rsidR="006D4C8E" w:rsidRPr="00BD2EDA" w:rsidRDefault="006D4C8E" w:rsidP="00F378E1">
      <w:pPr>
        <w:pStyle w:val="ListParagraph"/>
        <w:spacing w:line="480" w:lineRule="auto"/>
        <w:rPr>
          <w:rFonts w:ascii="Arial" w:hAnsi="Arial" w:cs="Arial"/>
          <w:sz w:val="24"/>
          <w:szCs w:val="24"/>
          <w:lang w:val="en-ZA"/>
        </w:rPr>
      </w:pPr>
    </w:p>
    <w:p w:rsidR="001F5422" w:rsidRPr="00BD2EDA" w:rsidRDefault="001F5422"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Namsov thereafter </w:t>
      </w:r>
      <w:r w:rsidR="00B60443" w:rsidRPr="00BD2EDA">
        <w:rPr>
          <w:rFonts w:ascii="Arial" w:hAnsi="Arial" w:cs="Arial"/>
          <w:sz w:val="24"/>
          <w:szCs w:val="24"/>
          <w:lang w:val="en-ZA"/>
        </w:rPr>
        <w:t xml:space="preserve">successfully </w:t>
      </w:r>
      <w:r w:rsidRPr="00BD2EDA">
        <w:rPr>
          <w:rFonts w:ascii="Arial" w:hAnsi="Arial" w:cs="Arial"/>
          <w:sz w:val="24"/>
          <w:szCs w:val="24"/>
          <w:lang w:val="en-ZA"/>
        </w:rPr>
        <w:t>applied to make the award an order of court under the Act. In its founding papers, Namsov referred to and attached the sourcing fee agreement which</w:t>
      </w:r>
      <w:r w:rsidR="00B15955" w:rsidRPr="00BD2EDA">
        <w:rPr>
          <w:rFonts w:ascii="Arial" w:hAnsi="Arial" w:cs="Arial"/>
          <w:sz w:val="24"/>
          <w:szCs w:val="24"/>
          <w:lang w:val="en-ZA"/>
        </w:rPr>
        <w:t xml:space="preserve"> included the arbitration clause</w:t>
      </w:r>
      <w:r w:rsidRPr="00BD2EDA">
        <w:rPr>
          <w:rFonts w:ascii="Arial" w:hAnsi="Arial" w:cs="Arial"/>
          <w:sz w:val="24"/>
          <w:szCs w:val="24"/>
          <w:lang w:val="en-ZA"/>
        </w:rPr>
        <w:t xml:space="preserve"> </w:t>
      </w:r>
      <w:r w:rsidR="00E24B10" w:rsidRPr="00BD2EDA">
        <w:rPr>
          <w:rFonts w:ascii="Arial" w:hAnsi="Arial" w:cs="Arial"/>
          <w:sz w:val="24"/>
          <w:szCs w:val="24"/>
          <w:lang w:val="en-ZA"/>
        </w:rPr>
        <w:t xml:space="preserve">which </w:t>
      </w:r>
      <w:r w:rsidR="009B5652" w:rsidRPr="00BD2EDA">
        <w:rPr>
          <w:rFonts w:ascii="Arial" w:hAnsi="Arial" w:cs="Arial"/>
          <w:sz w:val="24"/>
          <w:szCs w:val="24"/>
          <w:lang w:val="en-ZA"/>
        </w:rPr>
        <w:t>had</w:t>
      </w:r>
      <w:r w:rsidRPr="00BD2EDA">
        <w:rPr>
          <w:rFonts w:ascii="Arial" w:hAnsi="Arial" w:cs="Arial"/>
          <w:sz w:val="24"/>
          <w:szCs w:val="24"/>
          <w:lang w:val="en-ZA"/>
        </w:rPr>
        <w:t xml:space="preserve"> formed the bas</w:t>
      </w:r>
      <w:r w:rsidR="009B5652" w:rsidRPr="00BD2EDA">
        <w:rPr>
          <w:rFonts w:ascii="Arial" w:hAnsi="Arial" w:cs="Arial"/>
          <w:sz w:val="24"/>
          <w:szCs w:val="24"/>
          <w:lang w:val="en-ZA"/>
        </w:rPr>
        <w:t>i</w:t>
      </w:r>
      <w:r w:rsidRPr="00BD2EDA">
        <w:rPr>
          <w:rFonts w:ascii="Arial" w:hAnsi="Arial" w:cs="Arial"/>
          <w:sz w:val="24"/>
          <w:szCs w:val="24"/>
          <w:lang w:val="en-ZA"/>
        </w:rPr>
        <w:t>s of the pre</w:t>
      </w:r>
      <w:r w:rsidR="009B5652" w:rsidRPr="00BD2EDA">
        <w:rPr>
          <w:rFonts w:ascii="Arial" w:hAnsi="Arial" w:cs="Arial"/>
          <w:sz w:val="24"/>
          <w:szCs w:val="24"/>
          <w:lang w:val="en-ZA"/>
        </w:rPr>
        <w:t xml:space="preserve">liminary point in the summary judgment application. </w:t>
      </w:r>
    </w:p>
    <w:p w:rsidR="001F5422" w:rsidRPr="00BD2EDA" w:rsidRDefault="001F5422" w:rsidP="00F378E1">
      <w:pPr>
        <w:pStyle w:val="ListParagraph"/>
        <w:spacing w:line="480" w:lineRule="auto"/>
        <w:rPr>
          <w:rFonts w:ascii="Arial" w:hAnsi="Arial" w:cs="Arial"/>
          <w:sz w:val="24"/>
          <w:szCs w:val="24"/>
          <w:lang w:val="en-ZA"/>
        </w:rPr>
      </w:pPr>
    </w:p>
    <w:p w:rsidR="001F5422" w:rsidRPr="00BD2EDA" w:rsidRDefault="009B5652"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It</w:t>
      </w:r>
      <w:r w:rsidR="00B15955" w:rsidRPr="00BD2EDA">
        <w:rPr>
          <w:rFonts w:ascii="Arial" w:hAnsi="Arial" w:cs="Arial"/>
          <w:sz w:val="24"/>
          <w:szCs w:val="24"/>
          <w:lang w:val="en-ZA"/>
        </w:rPr>
        <w:t xml:space="preserve"> was</w:t>
      </w:r>
      <w:r w:rsidRPr="00BD2EDA">
        <w:rPr>
          <w:rFonts w:ascii="Arial" w:hAnsi="Arial" w:cs="Arial"/>
          <w:sz w:val="24"/>
          <w:szCs w:val="24"/>
          <w:lang w:val="en-ZA"/>
        </w:rPr>
        <w:t xml:space="preserve"> also stated in Namsov’s founding affidavit that the parties agreed upon the appointment of an arbitrator and agreed that the arbitration be conducted in accordance with the Standard Procedure Rules applicable in South Africa under the Act. The terms of the agreement governing the conduct of the arbitration were set out in a letter by Namsov’s lawyers to Merit’s lawyers</w:t>
      </w:r>
      <w:r w:rsidR="009755C5" w:rsidRPr="00BD2EDA">
        <w:rPr>
          <w:rFonts w:ascii="Arial" w:hAnsi="Arial" w:cs="Arial"/>
          <w:sz w:val="24"/>
          <w:szCs w:val="24"/>
          <w:lang w:val="en-ZA"/>
        </w:rPr>
        <w:t xml:space="preserve"> on 21</w:t>
      </w:r>
      <w:r w:rsidR="00B15955" w:rsidRPr="00BD2EDA">
        <w:rPr>
          <w:rFonts w:ascii="Arial" w:hAnsi="Arial" w:cs="Arial"/>
          <w:sz w:val="24"/>
          <w:szCs w:val="24"/>
          <w:lang w:val="en-ZA"/>
        </w:rPr>
        <w:t xml:space="preserve"> February 2014</w:t>
      </w:r>
      <w:r w:rsidRPr="00BD2EDA">
        <w:rPr>
          <w:rFonts w:ascii="Arial" w:hAnsi="Arial" w:cs="Arial"/>
          <w:sz w:val="24"/>
          <w:szCs w:val="24"/>
          <w:lang w:val="en-ZA"/>
        </w:rPr>
        <w:t>, also a</w:t>
      </w:r>
      <w:r w:rsidR="009A335E" w:rsidRPr="00BD2EDA">
        <w:rPr>
          <w:rFonts w:ascii="Arial" w:hAnsi="Arial" w:cs="Arial"/>
          <w:sz w:val="24"/>
          <w:szCs w:val="24"/>
          <w:lang w:val="en-ZA"/>
        </w:rPr>
        <w:t>ttached to the founding papers.</w:t>
      </w:r>
    </w:p>
    <w:p w:rsidR="001F5422" w:rsidRPr="00BD2EDA" w:rsidRDefault="001F5422" w:rsidP="00F378E1">
      <w:pPr>
        <w:pStyle w:val="ListParagraph"/>
        <w:spacing w:line="480" w:lineRule="auto"/>
        <w:rPr>
          <w:rFonts w:ascii="Arial" w:hAnsi="Arial" w:cs="Arial"/>
          <w:sz w:val="24"/>
          <w:szCs w:val="24"/>
          <w:lang w:val="en-ZA"/>
        </w:rPr>
      </w:pPr>
    </w:p>
    <w:p w:rsidR="001F5422" w:rsidRPr="00BD2EDA" w:rsidRDefault="009B5652"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It was further stated that the arbitrat</w:t>
      </w:r>
      <w:r w:rsidR="009755C5" w:rsidRPr="00BD2EDA">
        <w:rPr>
          <w:rFonts w:ascii="Arial" w:hAnsi="Arial" w:cs="Arial"/>
          <w:sz w:val="24"/>
          <w:szCs w:val="24"/>
          <w:lang w:val="en-ZA"/>
        </w:rPr>
        <w:t>or</w:t>
      </w:r>
      <w:r w:rsidRPr="00BD2EDA">
        <w:rPr>
          <w:rFonts w:ascii="Arial" w:hAnsi="Arial" w:cs="Arial"/>
          <w:sz w:val="24"/>
          <w:szCs w:val="24"/>
          <w:lang w:val="en-ZA"/>
        </w:rPr>
        <w:t xml:space="preserve"> accepted his appointment and that the arbitration proceeded</w:t>
      </w:r>
      <w:r w:rsidR="009755C5" w:rsidRPr="00BD2EDA">
        <w:rPr>
          <w:rFonts w:ascii="Arial" w:hAnsi="Arial" w:cs="Arial"/>
          <w:sz w:val="24"/>
          <w:szCs w:val="24"/>
          <w:lang w:val="en-ZA"/>
        </w:rPr>
        <w:t>,</w:t>
      </w:r>
      <w:r w:rsidRPr="00BD2EDA">
        <w:rPr>
          <w:rFonts w:ascii="Arial" w:hAnsi="Arial" w:cs="Arial"/>
          <w:sz w:val="24"/>
          <w:szCs w:val="24"/>
          <w:lang w:val="en-ZA"/>
        </w:rPr>
        <w:t xml:space="preserve"> culminating in the arbitrator’s award. These facts were not disputed. In opposition to making the award an order of court, Merit </w:t>
      </w:r>
      <w:r w:rsidR="009A335E" w:rsidRPr="00BD2EDA">
        <w:rPr>
          <w:rFonts w:ascii="Arial" w:hAnsi="Arial" w:cs="Arial"/>
          <w:sz w:val="24"/>
          <w:szCs w:val="24"/>
          <w:lang w:val="en-ZA"/>
        </w:rPr>
        <w:t xml:space="preserve">also </w:t>
      </w:r>
      <w:r w:rsidRPr="00BD2EDA">
        <w:rPr>
          <w:rFonts w:ascii="Arial" w:hAnsi="Arial" w:cs="Arial"/>
          <w:sz w:val="24"/>
          <w:szCs w:val="24"/>
          <w:lang w:val="en-ZA"/>
        </w:rPr>
        <w:t xml:space="preserve">did not raise any </w:t>
      </w:r>
      <w:r w:rsidR="009A335E" w:rsidRPr="00BD2EDA">
        <w:rPr>
          <w:rFonts w:ascii="Arial" w:hAnsi="Arial" w:cs="Arial"/>
          <w:sz w:val="24"/>
          <w:szCs w:val="24"/>
          <w:lang w:val="en-ZA"/>
        </w:rPr>
        <w:t>non-compliance</w:t>
      </w:r>
      <w:r w:rsidRPr="00BD2EDA">
        <w:rPr>
          <w:rFonts w:ascii="Arial" w:hAnsi="Arial" w:cs="Arial"/>
          <w:sz w:val="24"/>
          <w:szCs w:val="24"/>
          <w:lang w:val="en-ZA"/>
        </w:rPr>
        <w:t xml:space="preserve"> </w:t>
      </w:r>
      <w:r w:rsidR="009A335E" w:rsidRPr="00BD2EDA">
        <w:rPr>
          <w:rFonts w:ascii="Arial" w:hAnsi="Arial" w:cs="Arial"/>
          <w:sz w:val="24"/>
          <w:szCs w:val="24"/>
          <w:lang w:val="en-ZA"/>
        </w:rPr>
        <w:t xml:space="preserve">with </w:t>
      </w:r>
      <w:r w:rsidRPr="00BD2EDA">
        <w:rPr>
          <w:rFonts w:ascii="Arial" w:hAnsi="Arial" w:cs="Arial"/>
          <w:sz w:val="24"/>
          <w:szCs w:val="24"/>
          <w:lang w:val="en-ZA"/>
        </w:rPr>
        <w:t xml:space="preserve">s 31 of the Act. It instead contended that the obligations </w:t>
      </w:r>
      <w:r w:rsidR="00B15955" w:rsidRPr="00BD2EDA">
        <w:rPr>
          <w:rFonts w:ascii="Arial" w:hAnsi="Arial" w:cs="Arial"/>
          <w:sz w:val="24"/>
          <w:szCs w:val="24"/>
          <w:lang w:val="en-ZA"/>
        </w:rPr>
        <w:t xml:space="preserve">between the parties </w:t>
      </w:r>
      <w:r w:rsidRPr="00BD2EDA">
        <w:rPr>
          <w:rFonts w:ascii="Arial" w:hAnsi="Arial" w:cs="Arial"/>
          <w:sz w:val="24"/>
          <w:szCs w:val="24"/>
          <w:lang w:val="en-ZA"/>
        </w:rPr>
        <w:t xml:space="preserve">were not complete and that a court order </w:t>
      </w:r>
      <w:r w:rsidR="00B15955" w:rsidRPr="00BD2EDA">
        <w:rPr>
          <w:rFonts w:ascii="Arial" w:hAnsi="Arial" w:cs="Arial"/>
          <w:sz w:val="24"/>
          <w:szCs w:val="24"/>
          <w:lang w:val="en-ZA"/>
        </w:rPr>
        <w:t>sh</w:t>
      </w:r>
      <w:r w:rsidRPr="00BD2EDA">
        <w:rPr>
          <w:rFonts w:ascii="Arial" w:hAnsi="Arial" w:cs="Arial"/>
          <w:sz w:val="24"/>
          <w:szCs w:val="24"/>
          <w:lang w:val="en-ZA"/>
        </w:rPr>
        <w:t>ould only be granted when other obligations had been resolved or finalised. As I have already said, the High Court correctly rejected that argument.</w:t>
      </w:r>
    </w:p>
    <w:p w:rsidR="001F5422" w:rsidRPr="00BD2EDA" w:rsidRDefault="001F5422" w:rsidP="00F378E1">
      <w:pPr>
        <w:pStyle w:val="ListParagraph"/>
        <w:spacing w:line="480" w:lineRule="auto"/>
        <w:rPr>
          <w:rFonts w:ascii="Arial" w:hAnsi="Arial" w:cs="Arial"/>
          <w:sz w:val="24"/>
          <w:szCs w:val="24"/>
          <w:lang w:val="en-ZA"/>
        </w:rPr>
      </w:pPr>
    </w:p>
    <w:p w:rsidR="001F5422" w:rsidRPr="00BD2EDA" w:rsidRDefault="000F117E"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At no stage did Merit</w:t>
      </w:r>
      <w:r w:rsidR="00E512A8" w:rsidRPr="00BD2EDA">
        <w:rPr>
          <w:rFonts w:ascii="Arial" w:hAnsi="Arial" w:cs="Arial"/>
          <w:sz w:val="24"/>
          <w:szCs w:val="24"/>
          <w:lang w:val="en-ZA"/>
        </w:rPr>
        <w:t>,</w:t>
      </w:r>
      <w:r w:rsidRPr="00BD2EDA">
        <w:rPr>
          <w:rFonts w:ascii="Arial" w:hAnsi="Arial" w:cs="Arial"/>
          <w:sz w:val="24"/>
          <w:szCs w:val="24"/>
          <w:lang w:val="en-ZA"/>
        </w:rPr>
        <w:t xml:space="preserve"> in its answering affidavit</w:t>
      </w:r>
      <w:r w:rsidR="00E512A8" w:rsidRPr="00BD2EDA">
        <w:rPr>
          <w:rFonts w:ascii="Arial" w:hAnsi="Arial" w:cs="Arial"/>
          <w:sz w:val="24"/>
          <w:szCs w:val="24"/>
          <w:lang w:val="en-ZA"/>
        </w:rPr>
        <w:t>,</w:t>
      </w:r>
      <w:r w:rsidRPr="00BD2EDA">
        <w:rPr>
          <w:rFonts w:ascii="Arial" w:hAnsi="Arial" w:cs="Arial"/>
          <w:sz w:val="24"/>
          <w:szCs w:val="24"/>
          <w:lang w:val="en-ZA"/>
        </w:rPr>
        <w:t xml:space="preserve"> seek to retract its position that the sourcing fee agreement required a referral to arbitration. Nor was the subsequent agreement concerning the </w:t>
      </w:r>
      <w:r w:rsidR="009755C5" w:rsidRPr="00BD2EDA">
        <w:rPr>
          <w:rFonts w:ascii="Arial" w:hAnsi="Arial" w:cs="Arial"/>
          <w:sz w:val="24"/>
          <w:szCs w:val="24"/>
          <w:lang w:val="en-ZA"/>
        </w:rPr>
        <w:t xml:space="preserve">terms of </w:t>
      </w:r>
      <w:r w:rsidRPr="00BD2EDA">
        <w:rPr>
          <w:rFonts w:ascii="Arial" w:hAnsi="Arial" w:cs="Arial"/>
          <w:sz w:val="24"/>
          <w:szCs w:val="24"/>
          <w:lang w:val="en-ZA"/>
        </w:rPr>
        <w:t xml:space="preserve">arbitration contained in the </w:t>
      </w:r>
      <w:r w:rsidR="00B15955" w:rsidRPr="00BD2EDA">
        <w:rPr>
          <w:rFonts w:ascii="Arial" w:hAnsi="Arial" w:cs="Arial"/>
          <w:sz w:val="24"/>
          <w:szCs w:val="24"/>
          <w:lang w:val="en-ZA"/>
        </w:rPr>
        <w:t>letter of 21 February 2014</w:t>
      </w:r>
      <w:r w:rsidRPr="00BD2EDA">
        <w:rPr>
          <w:rFonts w:ascii="Arial" w:hAnsi="Arial" w:cs="Arial"/>
          <w:sz w:val="24"/>
          <w:szCs w:val="24"/>
          <w:lang w:val="en-ZA"/>
        </w:rPr>
        <w:t xml:space="preserve"> </w:t>
      </w:r>
      <w:r w:rsidRPr="00BD2EDA">
        <w:rPr>
          <w:rFonts w:ascii="Arial" w:hAnsi="Arial" w:cs="Arial"/>
          <w:sz w:val="24"/>
          <w:szCs w:val="24"/>
          <w:lang w:val="en-ZA"/>
        </w:rPr>
        <w:lastRenderedPageBreak/>
        <w:t xml:space="preserve">placed in issue. On the contrary, the opposition contained in the answering affidavit accepts </w:t>
      </w:r>
      <w:r w:rsidR="00E24B10" w:rsidRPr="00BD2EDA">
        <w:rPr>
          <w:rFonts w:ascii="Arial" w:hAnsi="Arial" w:cs="Arial"/>
          <w:sz w:val="24"/>
          <w:szCs w:val="24"/>
          <w:lang w:val="en-ZA"/>
        </w:rPr>
        <w:t xml:space="preserve">that </w:t>
      </w:r>
      <w:r w:rsidRPr="00BD2EDA">
        <w:rPr>
          <w:rFonts w:ascii="Arial" w:hAnsi="Arial" w:cs="Arial"/>
          <w:sz w:val="24"/>
          <w:szCs w:val="24"/>
          <w:lang w:val="en-ZA"/>
        </w:rPr>
        <w:t>a valid award</w:t>
      </w:r>
      <w:r w:rsidR="00E24B10" w:rsidRPr="00BD2EDA">
        <w:rPr>
          <w:rFonts w:ascii="Arial" w:hAnsi="Arial" w:cs="Arial"/>
          <w:sz w:val="24"/>
          <w:szCs w:val="24"/>
          <w:lang w:val="en-ZA"/>
        </w:rPr>
        <w:t xml:space="preserve"> had been made</w:t>
      </w:r>
      <w:r w:rsidRPr="00BD2EDA">
        <w:rPr>
          <w:rFonts w:ascii="Arial" w:hAnsi="Arial" w:cs="Arial"/>
          <w:sz w:val="24"/>
          <w:szCs w:val="24"/>
          <w:lang w:val="en-ZA"/>
        </w:rPr>
        <w:t xml:space="preserve"> but essentially seeks its postponement.</w:t>
      </w:r>
    </w:p>
    <w:p w:rsidR="001F5422" w:rsidRPr="00BD2EDA" w:rsidRDefault="001F5422" w:rsidP="00F378E1">
      <w:pPr>
        <w:spacing w:line="480" w:lineRule="auto"/>
        <w:rPr>
          <w:rFonts w:ascii="Arial" w:hAnsi="Arial" w:cs="Arial"/>
          <w:sz w:val="24"/>
          <w:szCs w:val="24"/>
          <w:lang w:val="en-ZA"/>
        </w:rPr>
      </w:pPr>
    </w:p>
    <w:p w:rsidR="00486993" w:rsidRPr="00BD2EDA" w:rsidRDefault="00486993" w:rsidP="00F378E1">
      <w:pPr>
        <w:spacing w:line="480" w:lineRule="auto"/>
        <w:rPr>
          <w:rFonts w:ascii="Arial" w:hAnsi="Arial" w:cs="Arial"/>
          <w:sz w:val="24"/>
          <w:szCs w:val="24"/>
          <w:u w:val="single"/>
          <w:lang w:val="en-ZA"/>
        </w:rPr>
      </w:pPr>
      <w:r w:rsidRPr="00BD2EDA">
        <w:rPr>
          <w:rFonts w:ascii="Arial" w:hAnsi="Arial" w:cs="Arial"/>
          <w:sz w:val="24"/>
          <w:szCs w:val="24"/>
          <w:u w:val="single"/>
          <w:lang w:val="en-ZA"/>
        </w:rPr>
        <w:t>New point on appeal</w:t>
      </w:r>
    </w:p>
    <w:p w:rsidR="001F5422" w:rsidRPr="00BD2EDA" w:rsidRDefault="00091CA0"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Mr Heathcote SC, who together with Ms Bassinghtwaite </w:t>
      </w:r>
      <w:r w:rsidR="00812BB3">
        <w:rPr>
          <w:rFonts w:ascii="Arial" w:hAnsi="Arial" w:cs="Arial"/>
          <w:sz w:val="24"/>
          <w:szCs w:val="24"/>
          <w:lang w:val="en-ZA"/>
        </w:rPr>
        <w:t xml:space="preserve">who </w:t>
      </w:r>
      <w:r w:rsidRPr="00BD2EDA">
        <w:rPr>
          <w:rFonts w:ascii="Arial" w:hAnsi="Arial" w:cs="Arial"/>
          <w:sz w:val="24"/>
          <w:szCs w:val="24"/>
          <w:lang w:val="en-ZA"/>
        </w:rPr>
        <w:t>appeared</w:t>
      </w:r>
      <w:r w:rsidR="00486993" w:rsidRPr="00BD2EDA">
        <w:rPr>
          <w:rFonts w:ascii="Arial" w:hAnsi="Arial" w:cs="Arial"/>
          <w:sz w:val="24"/>
          <w:szCs w:val="24"/>
          <w:lang w:val="en-ZA"/>
        </w:rPr>
        <w:t xml:space="preserve"> for Merit</w:t>
      </w:r>
      <w:r w:rsidRPr="00BD2EDA">
        <w:rPr>
          <w:rFonts w:ascii="Arial" w:hAnsi="Arial" w:cs="Arial"/>
          <w:sz w:val="24"/>
          <w:szCs w:val="24"/>
          <w:lang w:val="en-ZA"/>
        </w:rPr>
        <w:t>,</w:t>
      </w:r>
      <w:r w:rsidR="00486993" w:rsidRPr="00BD2EDA">
        <w:rPr>
          <w:rFonts w:ascii="Arial" w:hAnsi="Arial" w:cs="Arial"/>
          <w:sz w:val="24"/>
          <w:szCs w:val="24"/>
          <w:lang w:val="en-ZA"/>
        </w:rPr>
        <w:t xml:space="preserve"> argue</w:t>
      </w:r>
      <w:r w:rsidR="009755C5" w:rsidRPr="00BD2EDA">
        <w:rPr>
          <w:rFonts w:ascii="Arial" w:hAnsi="Arial" w:cs="Arial"/>
          <w:sz w:val="24"/>
          <w:szCs w:val="24"/>
          <w:lang w:val="en-ZA"/>
        </w:rPr>
        <w:t>d</w:t>
      </w:r>
      <w:r w:rsidR="00486993" w:rsidRPr="00BD2EDA">
        <w:rPr>
          <w:rFonts w:ascii="Arial" w:hAnsi="Arial" w:cs="Arial"/>
          <w:sz w:val="24"/>
          <w:szCs w:val="24"/>
          <w:lang w:val="en-ZA"/>
        </w:rPr>
        <w:t xml:space="preserve"> that a court</w:t>
      </w:r>
      <w:r w:rsidR="00E512A8" w:rsidRPr="00BD2EDA">
        <w:rPr>
          <w:rFonts w:ascii="Arial" w:hAnsi="Arial" w:cs="Arial"/>
          <w:sz w:val="24"/>
          <w:szCs w:val="24"/>
          <w:lang w:val="en-ZA"/>
        </w:rPr>
        <w:t>,</w:t>
      </w:r>
      <w:r w:rsidR="00486993" w:rsidRPr="00BD2EDA">
        <w:rPr>
          <w:rFonts w:ascii="Arial" w:hAnsi="Arial" w:cs="Arial"/>
          <w:sz w:val="24"/>
          <w:szCs w:val="24"/>
          <w:lang w:val="en-ZA"/>
        </w:rPr>
        <w:t xml:space="preserve"> before making an award</w:t>
      </w:r>
      <w:r w:rsidR="00E512A8" w:rsidRPr="00BD2EDA">
        <w:rPr>
          <w:rFonts w:ascii="Arial" w:hAnsi="Arial" w:cs="Arial"/>
          <w:sz w:val="24"/>
          <w:szCs w:val="24"/>
          <w:lang w:val="en-ZA"/>
        </w:rPr>
        <w:t>,</w:t>
      </w:r>
      <w:r w:rsidR="00486993" w:rsidRPr="00BD2EDA">
        <w:rPr>
          <w:rFonts w:ascii="Arial" w:hAnsi="Arial" w:cs="Arial"/>
          <w:sz w:val="24"/>
          <w:szCs w:val="24"/>
          <w:lang w:val="en-ZA"/>
        </w:rPr>
        <w:t xml:space="preserve"> an order </w:t>
      </w:r>
      <w:r w:rsidR="00B15955" w:rsidRPr="00BD2EDA">
        <w:rPr>
          <w:rFonts w:ascii="Arial" w:hAnsi="Arial" w:cs="Arial"/>
          <w:sz w:val="24"/>
          <w:szCs w:val="24"/>
          <w:lang w:val="en-ZA"/>
        </w:rPr>
        <w:t>o</w:t>
      </w:r>
      <w:r w:rsidR="00486993" w:rsidRPr="00BD2EDA">
        <w:rPr>
          <w:rFonts w:ascii="Arial" w:hAnsi="Arial" w:cs="Arial"/>
          <w:sz w:val="24"/>
          <w:szCs w:val="24"/>
          <w:lang w:val="en-ZA"/>
        </w:rPr>
        <w:t>f court must be satisfied that the award was made pursuant to a valid arbitration agreement.</w:t>
      </w:r>
      <w:r w:rsidR="009A335E" w:rsidRPr="00BD2EDA">
        <w:rPr>
          <w:rStyle w:val="FootnoteReference"/>
          <w:rFonts w:ascii="Arial" w:hAnsi="Arial" w:cs="Arial"/>
          <w:sz w:val="24"/>
          <w:szCs w:val="24"/>
          <w:lang w:val="en-ZA"/>
        </w:rPr>
        <w:footnoteReference w:id="1"/>
      </w:r>
      <w:r w:rsidR="00486993" w:rsidRPr="00BD2EDA">
        <w:rPr>
          <w:rFonts w:ascii="Arial" w:hAnsi="Arial" w:cs="Arial"/>
          <w:sz w:val="24"/>
          <w:szCs w:val="24"/>
          <w:lang w:val="en-ZA"/>
        </w:rPr>
        <w:t xml:space="preserve"> Counsel submit</w:t>
      </w:r>
      <w:r w:rsidR="009755C5" w:rsidRPr="00BD2EDA">
        <w:rPr>
          <w:rFonts w:ascii="Arial" w:hAnsi="Arial" w:cs="Arial"/>
          <w:sz w:val="24"/>
          <w:szCs w:val="24"/>
          <w:lang w:val="en-ZA"/>
        </w:rPr>
        <w:t>ted</w:t>
      </w:r>
      <w:r w:rsidR="00486993" w:rsidRPr="00BD2EDA">
        <w:rPr>
          <w:rFonts w:ascii="Arial" w:hAnsi="Arial" w:cs="Arial"/>
          <w:sz w:val="24"/>
          <w:szCs w:val="24"/>
          <w:lang w:val="en-ZA"/>
        </w:rPr>
        <w:t xml:space="preserve"> that </w:t>
      </w:r>
      <w:r w:rsidR="009A335E" w:rsidRPr="00BD2EDA">
        <w:rPr>
          <w:rFonts w:ascii="Arial" w:hAnsi="Arial" w:cs="Arial"/>
          <w:sz w:val="24"/>
          <w:szCs w:val="24"/>
          <w:lang w:val="en-ZA"/>
        </w:rPr>
        <w:t>Namsov</w:t>
      </w:r>
      <w:r w:rsidR="00486993" w:rsidRPr="00BD2EDA">
        <w:rPr>
          <w:rFonts w:ascii="Arial" w:hAnsi="Arial" w:cs="Arial"/>
          <w:sz w:val="24"/>
          <w:szCs w:val="24"/>
          <w:lang w:val="en-ZA"/>
        </w:rPr>
        <w:t xml:space="preserve"> did not establish a valid written arbitration agreement as required by s 31 read with the definition of an arbitration agreement in s 1 of the Act. </w:t>
      </w:r>
      <w:r w:rsidR="009A335E" w:rsidRPr="00BD2EDA">
        <w:rPr>
          <w:rFonts w:ascii="Arial" w:hAnsi="Arial" w:cs="Arial"/>
          <w:sz w:val="24"/>
          <w:szCs w:val="24"/>
          <w:lang w:val="en-ZA"/>
        </w:rPr>
        <w:t xml:space="preserve">It was </w:t>
      </w:r>
      <w:r w:rsidRPr="00BD2EDA">
        <w:rPr>
          <w:rFonts w:ascii="Arial" w:hAnsi="Arial" w:cs="Arial"/>
          <w:sz w:val="24"/>
          <w:szCs w:val="24"/>
          <w:lang w:val="en-ZA"/>
        </w:rPr>
        <w:t xml:space="preserve">correctly </w:t>
      </w:r>
      <w:r w:rsidR="009A335E" w:rsidRPr="00BD2EDA">
        <w:rPr>
          <w:rFonts w:ascii="Arial" w:hAnsi="Arial" w:cs="Arial"/>
          <w:sz w:val="24"/>
          <w:szCs w:val="24"/>
          <w:lang w:val="en-ZA"/>
        </w:rPr>
        <w:t>pointed out that Namsov had the onus to do so.</w:t>
      </w:r>
      <w:r w:rsidR="009A335E" w:rsidRPr="00BD2EDA">
        <w:rPr>
          <w:rStyle w:val="FootnoteReference"/>
          <w:rFonts w:ascii="Arial" w:hAnsi="Arial" w:cs="Arial"/>
          <w:sz w:val="24"/>
          <w:szCs w:val="24"/>
          <w:lang w:val="en-ZA"/>
        </w:rPr>
        <w:footnoteReference w:id="2"/>
      </w:r>
      <w:r w:rsidR="009A335E" w:rsidRPr="00BD2EDA">
        <w:rPr>
          <w:rFonts w:ascii="Arial" w:hAnsi="Arial" w:cs="Arial"/>
          <w:sz w:val="24"/>
          <w:szCs w:val="24"/>
          <w:lang w:val="en-ZA"/>
        </w:rPr>
        <w:t xml:space="preserve"> </w:t>
      </w:r>
      <w:r w:rsidR="008F33E7" w:rsidRPr="00BD2EDA">
        <w:rPr>
          <w:rFonts w:ascii="Arial" w:hAnsi="Arial" w:cs="Arial"/>
          <w:sz w:val="24"/>
          <w:szCs w:val="24"/>
          <w:lang w:val="en-ZA"/>
        </w:rPr>
        <w:t>Counsel</w:t>
      </w:r>
      <w:r w:rsidR="00486993" w:rsidRPr="00BD2EDA">
        <w:rPr>
          <w:rFonts w:ascii="Arial" w:hAnsi="Arial" w:cs="Arial"/>
          <w:sz w:val="24"/>
          <w:szCs w:val="24"/>
          <w:lang w:val="en-ZA"/>
        </w:rPr>
        <w:t xml:space="preserve"> point</w:t>
      </w:r>
      <w:r w:rsidR="009755C5" w:rsidRPr="00BD2EDA">
        <w:rPr>
          <w:rFonts w:ascii="Arial" w:hAnsi="Arial" w:cs="Arial"/>
          <w:sz w:val="24"/>
          <w:szCs w:val="24"/>
          <w:lang w:val="en-ZA"/>
        </w:rPr>
        <w:t>ed</w:t>
      </w:r>
      <w:r w:rsidR="00486993" w:rsidRPr="00BD2EDA">
        <w:rPr>
          <w:rFonts w:ascii="Arial" w:hAnsi="Arial" w:cs="Arial"/>
          <w:sz w:val="24"/>
          <w:szCs w:val="24"/>
          <w:lang w:val="en-ZA"/>
        </w:rPr>
        <w:t xml:space="preserve"> out that the arbitrator found that the quota sourcing fee agreement had become superseded by a subsequent cession agreement</w:t>
      </w:r>
      <w:r w:rsidR="00E24B10" w:rsidRPr="00BD2EDA">
        <w:rPr>
          <w:rFonts w:ascii="Arial" w:hAnsi="Arial" w:cs="Arial"/>
          <w:sz w:val="24"/>
          <w:szCs w:val="24"/>
          <w:lang w:val="en-ZA"/>
        </w:rPr>
        <w:t xml:space="preserve"> which did not contain an arbitration clause</w:t>
      </w:r>
      <w:r w:rsidR="00486993" w:rsidRPr="00BD2EDA">
        <w:rPr>
          <w:rFonts w:ascii="Arial" w:hAnsi="Arial" w:cs="Arial"/>
          <w:sz w:val="24"/>
          <w:szCs w:val="24"/>
          <w:lang w:val="en-ZA"/>
        </w:rPr>
        <w:t>. Reliance upon the former agreement as an arbitration agreement was thus</w:t>
      </w:r>
      <w:r w:rsidR="00B15955" w:rsidRPr="00BD2EDA">
        <w:rPr>
          <w:rFonts w:ascii="Arial" w:hAnsi="Arial" w:cs="Arial"/>
          <w:sz w:val="24"/>
          <w:szCs w:val="24"/>
          <w:lang w:val="en-ZA"/>
        </w:rPr>
        <w:t>,</w:t>
      </w:r>
      <w:r w:rsidR="00486993" w:rsidRPr="00BD2EDA">
        <w:rPr>
          <w:rFonts w:ascii="Arial" w:hAnsi="Arial" w:cs="Arial"/>
          <w:sz w:val="24"/>
          <w:szCs w:val="24"/>
          <w:lang w:val="en-ZA"/>
        </w:rPr>
        <w:t xml:space="preserve"> </w:t>
      </w:r>
      <w:r w:rsidR="009755C5" w:rsidRPr="00BD2EDA">
        <w:rPr>
          <w:rFonts w:ascii="Arial" w:hAnsi="Arial" w:cs="Arial"/>
          <w:sz w:val="24"/>
          <w:szCs w:val="24"/>
          <w:lang w:val="en-ZA"/>
        </w:rPr>
        <w:t xml:space="preserve">according to </w:t>
      </w:r>
      <w:r w:rsidR="008F33E7" w:rsidRPr="00BD2EDA">
        <w:rPr>
          <w:rFonts w:ascii="Arial" w:hAnsi="Arial" w:cs="Arial"/>
          <w:sz w:val="24"/>
          <w:szCs w:val="24"/>
          <w:lang w:val="en-ZA"/>
        </w:rPr>
        <w:t>counsel</w:t>
      </w:r>
      <w:r w:rsidR="009755C5" w:rsidRPr="00BD2EDA">
        <w:rPr>
          <w:rFonts w:ascii="Arial" w:hAnsi="Arial" w:cs="Arial"/>
          <w:sz w:val="24"/>
          <w:szCs w:val="24"/>
          <w:lang w:val="en-ZA"/>
        </w:rPr>
        <w:t xml:space="preserve">, </w:t>
      </w:r>
      <w:r w:rsidR="00486993" w:rsidRPr="00BD2EDA">
        <w:rPr>
          <w:rFonts w:ascii="Arial" w:hAnsi="Arial" w:cs="Arial"/>
          <w:sz w:val="24"/>
          <w:szCs w:val="24"/>
          <w:lang w:val="en-ZA"/>
        </w:rPr>
        <w:t xml:space="preserve">misplaced. </w:t>
      </w:r>
      <w:r w:rsidR="008F33E7" w:rsidRPr="00BD2EDA">
        <w:rPr>
          <w:rFonts w:ascii="Arial" w:hAnsi="Arial" w:cs="Arial"/>
          <w:sz w:val="24"/>
          <w:szCs w:val="24"/>
          <w:lang w:val="en-ZA"/>
        </w:rPr>
        <w:t>It was</w:t>
      </w:r>
      <w:r w:rsidR="00486993" w:rsidRPr="00BD2EDA">
        <w:rPr>
          <w:rFonts w:ascii="Arial" w:hAnsi="Arial" w:cs="Arial"/>
          <w:sz w:val="24"/>
          <w:szCs w:val="24"/>
          <w:lang w:val="en-ZA"/>
        </w:rPr>
        <w:t xml:space="preserve"> further contended that the letter </w:t>
      </w:r>
      <w:r w:rsidR="009755C5" w:rsidRPr="00BD2EDA">
        <w:rPr>
          <w:rFonts w:ascii="Arial" w:hAnsi="Arial" w:cs="Arial"/>
          <w:sz w:val="24"/>
          <w:szCs w:val="24"/>
          <w:lang w:val="en-ZA"/>
        </w:rPr>
        <w:t>of 21 February</w:t>
      </w:r>
      <w:r w:rsidR="00812BB3">
        <w:rPr>
          <w:rFonts w:ascii="Arial" w:hAnsi="Arial" w:cs="Arial"/>
          <w:sz w:val="24"/>
          <w:szCs w:val="24"/>
          <w:lang w:val="en-ZA"/>
        </w:rPr>
        <w:t xml:space="preserve"> 2014</w:t>
      </w:r>
      <w:r w:rsidR="009755C5" w:rsidRPr="00BD2EDA">
        <w:rPr>
          <w:rFonts w:ascii="Arial" w:hAnsi="Arial" w:cs="Arial"/>
          <w:sz w:val="24"/>
          <w:szCs w:val="24"/>
          <w:lang w:val="en-ZA"/>
        </w:rPr>
        <w:t xml:space="preserve"> </w:t>
      </w:r>
      <w:r w:rsidR="00486993" w:rsidRPr="00BD2EDA">
        <w:rPr>
          <w:rFonts w:ascii="Arial" w:hAnsi="Arial" w:cs="Arial"/>
          <w:sz w:val="24"/>
          <w:szCs w:val="24"/>
          <w:lang w:val="en-ZA"/>
        </w:rPr>
        <w:t>by Namsov’s lawyers had not been confirmed in writing</w:t>
      </w:r>
      <w:r w:rsidR="009755C5" w:rsidRPr="00BD2EDA">
        <w:rPr>
          <w:rFonts w:ascii="Arial" w:hAnsi="Arial" w:cs="Arial"/>
          <w:sz w:val="24"/>
          <w:szCs w:val="24"/>
          <w:lang w:val="en-ZA"/>
        </w:rPr>
        <w:t xml:space="preserve"> by Merit</w:t>
      </w:r>
      <w:r w:rsidR="00486993" w:rsidRPr="00BD2EDA">
        <w:rPr>
          <w:rFonts w:ascii="Arial" w:hAnsi="Arial" w:cs="Arial"/>
          <w:sz w:val="24"/>
          <w:szCs w:val="24"/>
          <w:lang w:val="en-ZA"/>
        </w:rPr>
        <w:t xml:space="preserve"> and did not amount to a written arbitration agreement. The arbitration award, so counsel contend</w:t>
      </w:r>
      <w:r w:rsidR="009755C5" w:rsidRPr="00BD2EDA">
        <w:rPr>
          <w:rFonts w:ascii="Arial" w:hAnsi="Arial" w:cs="Arial"/>
          <w:sz w:val="24"/>
          <w:szCs w:val="24"/>
          <w:lang w:val="en-ZA"/>
        </w:rPr>
        <w:t>ed</w:t>
      </w:r>
      <w:r w:rsidR="001854F9" w:rsidRPr="00BD2EDA">
        <w:rPr>
          <w:rFonts w:ascii="Arial" w:hAnsi="Arial" w:cs="Arial"/>
          <w:sz w:val="24"/>
          <w:szCs w:val="24"/>
          <w:lang w:val="en-ZA"/>
        </w:rPr>
        <w:t xml:space="preserve"> in heads of argument</w:t>
      </w:r>
      <w:r w:rsidR="00486993" w:rsidRPr="00BD2EDA">
        <w:rPr>
          <w:rFonts w:ascii="Arial" w:hAnsi="Arial" w:cs="Arial"/>
          <w:sz w:val="24"/>
          <w:szCs w:val="24"/>
          <w:lang w:val="en-ZA"/>
        </w:rPr>
        <w:t>, was a nullity as a consequence</w:t>
      </w:r>
      <w:r w:rsidR="009A335E" w:rsidRPr="00BD2EDA">
        <w:rPr>
          <w:rFonts w:ascii="Arial" w:hAnsi="Arial" w:cs="Arial"/>
          <w:sz w:val="24"/>
          <w:szCs w:val="24"/>
          <w:lang w:val="en-ZA"/>
        </w:rPr>
        <w:t xml:space="preserve">, because the arbitrator lacked jurisdiction to conduct the arbitration. </w:t>
      </w:r>
      <w:r w:rsidR="001854F9" w:rsidRPr="00BD2EDA">
        <w:rPr>
          <w:rFonts w:ascii="Arial" w:hAnsi="Arial" w:cs="Arial"/>
          <w:sz w:val="24"/>
          <w:szCs w:val="24"/>
          <w:lang w:val="en-ZA"/>
        </w:rPr>
        <w:t xml:space="preserve">This stance shifted in oral argument (presumably because of the common law) and it was rather contended that an absence of a written agreement to arbitrate would mean that the High Court would not have jurisdiction to make the award an order of court under s 31. </w:t>
      </w:r>
      <w:r w:rsidR="009A335E" w:rsidRPr="00BD2EDA">
        <w:rPr>
          <w:rFonts w:ascii="Arial" w:hAnsi="Arial" w:cs="Arial"/>
          <w:sz w:val="24"/>
          <w:szCs w:val="24"/>
          <w:lang w:val="en-ZA"/>
        </w:rPr>
        <w:t>Counsel further argued in reply that the parties could not by agreement confer the court with jurisdiction if it lacked it in the first place</w:t>
      </w:r>
      <w:r w:rsidR="00486993" w:rsidRPr="00BD2EDA">
        <w:rPr>
          <w:rFonts w:ascii="Arial" w:hAnsi="Arial" w:cs="Arial"/>
          <w:sz w:val="24"/>
          <w:szCs w:val="24"/>
          <w:lang w:val="en-ZA"/>
        </w:rPr>
        <w:t>.</w:t>
      </w:r>
    </w:p>
    <w:p w:rsidR="001F5422" w:rsidRPr="00BD2EDA" w:rsidRDefault="001F5422" w:rsidP="00F378E1">
      <w:pPr>
        <w:pStyle w:val="ListParagraph"/>
        <w:spacing w:line="480" w:lineRule="auto"/>
        <w:rPr>
          <w:rFonts w:ascii="Arial" w:hAnsi="Arial" w:cs="Arial"/>
          <w:sz w:val="24"/>
          <w:szCs w:val="24"/>
          <w:lang w:val="en-ZA"/>
        </w:rPr>
      </w:pPr>
    </w:p>
    <w:p w:rsidR="001F5422" w:rsidRPr="00BD2EDA" w:rsidRDefault="001823C7"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principles applicable to the raising of new defences on appeal were recently summarised by this court in </w:t>
      </w:r>
      <w:r w:rsidRPr="00BD2EDA">
        <w:rPr>
          <w:rFonts w:ascii="Arial" w:hAnsi="Arial" w:cs="Arial"/>
          <w:i/>
          <w:sz w:val="24"/>
          <w:szCs w:val="24"/>
          <w:lang w:val="en-ZA"/>
        </w:rPr>
        <w:t>Di Savino v Nedbank Namibia Ltd.</w:t>
      </w:r>
      <w:r w:rsidRPr="00BD2EDA">
        <w:rPr>
          <w:rStyle w:val="FootnoteReference"/>
          <w:rFonts w:ascii="Arial" w:hAnsi="Arial" w:cs="Arial"/>
          <w:i/>
          <w:sz w:val="24"/>
          <w:szCs w:val="24"/>
          <w:lang w:val="en-ZA"/>
        </w:rPr>
        <w:footnoteReference w:id="3"/>
      </w:r>
    </w:p>
    <w:p w:rsidR="001823C7" w:rsidRPr="00BD2EDA" w:rsidRDefault="001823C7" w:rsidP="00F378E1">
      <w:pPr>
        <w:pStyle w:val="ListParagraph"/>
        <w:spacing w:line="480" w:lineRule="auto"/>
        <w:rPr>
          <w:rFonts w:ascii="Arial" w:hAnsi="Arial" w:cs="Arial"/>
          <w:sz w:val="24"/>
          <w:szCs w:val="24"/>
          <w:lang w:val="en-ZA"/>
        </w:rPr>
      </w:pPr>
    </w:p>
    <w:p w:rsidR="001F5422" w:rsidRPr="00BD2EDA" w:rsidRDefault="001823C7" w:rsidP="00A92E30">
      <w:pPr>
        <w:pStyle w:val="ListParagraph"/>
        <w:spacing w:line="360" w:lineRule="auto"/>
        <w:jc w:val="both"/>
        <w:rPr>
          <w:rFonts w:ascii="Arial" w:hAnsi="Arial" w:cs="Arial"/>
          <w:lang w:val="en-ZA"/>
        </w:rPr>
      </w:pPr>
      <w:r w:rsidRPr="00BD2EDA">
        <w:rPr>
          <w:rFonts w:ascii="Arial" w:hAnsi="Arial" w:cs="Arial"/>
          <w:lang w:val="en-ZA"/>
        </w:rPr>
        <w:t>‘</w:t>
      </w:r>
      <w:r w:rsidR="007B0EC9" w:rsidRPr="00BD2EDA">
        <w:rPr>
          <w:rFonts w:ascii="Arial" w:hAnsi="Arial" w:cs="Arial"/>
          <w:lang w:val="en-ZA"/>
        </w:rPr>
        <w:t>As a general matter the appeal court is disinclined to allow a party to raise a point for the first time on appeal because having chosen the battle-ground, a party should ordinarily not be allowed to move to a different terrain. However, the court has a discretion whether or not to allow a litigant to raise a new point on appeal. In the exercise of its discretion, the appeal court will have regard to whether: the point is covered by the pleadings; there would be unfairness to the other party; the facts upon which it is based are disputed; and the other party would have conducted its case differently had the point been raised earlier in litigation. In Cole v Government of the Union of SA, supra, Innes J, as he then was, put the matter thus:</w:t>
      </w:r>
    </w:p>
    <w:p w:rsidR="007B0EC9" w:rsidRPr="00BD2EDA" w:rsidRDefault="007B0EC9" w:rsidP="00A92E30">
      <w:pPr>
        <w:pStyle w:val="ListParagraph"/>
        <w:spacing w:line="360" w:lineRule="auto"/>
        <w:jc w:val="both"/>
        <w:rPr>
          <w:rFonts w:ascii="Arial" w:hAnsi="Arial" w:cs="Arial"/>
          <w:lang w:val="en-ZA"/>
        </w:rPr>
      </w:pPr>
    </w:p>
    <w:p w:rsidR="007B0EC9" w:rsidRPr="00BD2EDA" w:rsidRDefault="00253531" w:rsidP="00A92E30">
      <w:pPr>
        <w:pStyle w:val="ListParagraph"/>
        <w:spacing w:line="360" w:lineRule="auto"/>
        <w:ind w:left="1440"/>
        <w:jc w:val="both"/>
        <w:rPr>
          <w:rFonts w:ascii="Arial" w:hAnsi="Arial" w:cs="Arial"/>
          <w:lang w:val="en-ZA"/>
        </w:rPr>
      </w:pPr>
      <w:r w:rsidRPr="00BD2EDA">
        <w:rPr>
          <w:rFonts w:ascii="Arial" w:hAnsi="Arial" w:cs="Arial"/>
          <w:lang w:val="en-ZA"/>
        </w:rPr>
        <w:t>“The duty of an appellate tribunal is to ascertain whether the Court below came to a correct conclusion on the case submitted to it. And the mere fact that a point of law brought to its notice was not taken at an earlier stage is not in itself a sufficient reason for refusing to give effect to it. If the point is covered by the pleadings, and if its consideration on appeal involves no unfairness to the party against whom it is directed, the Court is bound to deal with it. And no such unfairness can exist if the facts upon which the legal point depends are common cause, or if they are clear beyond doubt upon the record, and there is no ground for thinking that further or other evidence would have been produced had the point been raised at the outset.”’</w:t>
      </w:r>
    </w:p>
    <w:p w:rsidR="00B15955" w:rsidRPr="00BD2EDA" w:rsidRDefault="00B15955" w:rsidP="00A92E30">
      <w:pPr>
        <w:pStyle w:val="ListParagraph"/>
        <w:spacing w:line="360" w:lineRule="auto"/>
        <w:ind w:left="1440"/>
        <w:jc w:val="both"/>
        <w:rPr>
          <w:rFonts w:ascii="Arial" w:hAnsi="Arial" w:cs="Arial"/>
          <w:lang w:val="en-ZA"/>
        </w:rPr>
      </w:pPr>
      <w:r w:rsidRPr="00BD2EDA">
        <w:rPr>
          <w:rFonts w:ascii="Arial" w:hAnsi="Arial" w:cs="Arial"/>
          <w:lang w:val="en-ZA"/>
        </w:rPr>
        <w:t>(Footnotes excluded)</w:t>
      </w:r>
    </w:p>
    <w:p w:rsidR="001823C7" w:rsidRPr="00BD2EDA" w:rsidRDefault="001823C7" w:rsidP="00F378E1">
      <w:pPr>
        <w:pStyle w:val="ListParagraph"/>
        <w:spacing w:line="480" w:lineRule="auto"/>
        <w:rPr>
          <w:rFonts w:ascii="Arial" w:hAnsi="Arial" w:cs="Arial"/>
          <w:sz w:val="24"/>
          <w:szCs w:val="24"/>
          <w:lang w:val="en-ZA"/>
        </w:rPr>
      </w:pPr>
    </w:p>
    <w:p w:rsidR="001F5422" w:rsidRPr="00BD2EDA" w:rsidRDefault="001823C7"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Mr Rosenberg pointed out that this point was not taken in the answering affidavit. Furthermore, had it been raised, he argues that Merit would need to </w:t>
      </w:r>
      <w:r w:rsidR="009755C5" w:rsidRPr="00BD2EDA">
        <w:rPr>
          <w:rFonts w:ascii="Arial" w:hAnsi="Arial" w:cs="Arial"/>
          <w:sz w:val="24"/>
          <w:szCs w:val="24"/>
          <w:lang w:val="en-ZA"/>
        </w:rPr>
        <w:t>d</w:t>
      </w:r>
      <w:r w:rsidRPr="00BD2EDA">
        <w:rPr>
          <w:rFonts w:ascii="Arial" w:hAnsi="Arial" w:cs="Arial"/>
          <w:sz w:val="24"/>
          <w:szCs w:val="24"/>
          <w:lang w:val="en-ZA"/>
        </w:rPr>
        <w:t xml:space="preserve">eal with why the arbitration clause in the sourcing fee </w:t>
      </w:r>
      <w:r w:rsidR="009755C5" w:rsidRPr="00BD2EDA">
        <w:rPr>
          <w:rFonts w:ascii="Arial" w:hAnsi="Arial" w:cs="Arial"/>
          <w:sz w:val="24"/>
          <w:szCs w:val="24"/>
          <w:lang w:val="en-ZA"/>
        </w:rPr>
        <w:t>agree</w:t>
      </w:r>
      <w:r w:rsidR="00B15955" w:rsidRPr="00BD2EDA">
        <w:rPr>
          <w:rFonts w:ascii="Arial" w:hAnsi="Arial" w:cs="Arial"/>
          <w:sz w:val="24"/>
          <w:szCs w:val="24"/>
          <w:lang w:val="en-ZA"/>
        </w:rPr>
        <w:t>ment</w:t>
      </w:r>
      <w:r w:rsidR="009755C5" w:rsidRPr="00BD2EDA">
        <w:rPr>
          <w:rFonts w:ascii="Arial" w:hAnsi="Arial" w:cs="Arial"/>
          <w:sz w:val="24"/>
          <w:szCs w:val="24"/>
          <w:lang w:val="en-ZA"/>
        </w:rPr>
        <w:t>, relied upon to sta</w:t>
      </w:r>
      <w:r w:rsidR="00B15955" w:rsidRPr="00BD2EDA">
        <w:rPr>
          <w:rFonts w:ascii="Arial" w:hAnsi="Arial" w:cs="Arial"/>
          <w:sz w:val="24"/>
          <w:szCs w:val="24"/>
          <w:lang w:val="en-ZA"/>
        </w:rPr>
        <w:t>v</w:t>
      </w:r>
      <w:r w:rsidR="009755C5" w:rsidRPr="00BD2EDA">
        <w:rPr>
          <w:rFonts w:ascii="Arial" w:hAnsi="Arial" w:cs="Arial"/>
          <w:sz w:val="24"/>
          <w:szCs w:val="24"/>
          <w:lang w:val="en-ZA"/>
        </w:rPr>
        <w:t xml:space="preserve">e off </w:t>
      </w:r>
      <w:r w:rsidRPr="00BD2EDA">
        <w:rPr>
          <w:rFonts w:ascii="Arial" w:hAnsi="Arial" w:cs="Arial"/>
          <w:sz w:val="24"/>
          <w:szCs w:val="24"/>
          <w:lang w:val="en-ZA"/>
        </w:rPr>
        <w:t>summary judgment and for the referral to arbitration</w:t>
      </w:r>
      <w:r w:rsidR="00E24B10" w:rsidRPr="00BD2EDA">
        <w:rPr>
          <w:rFonts w:ascii="Arial" w:hAnsi="Arial" w:cs="Arial"/>
          <w:sz w:val="24"/>
          <w:szCs w:val="24"/>
          <w:lang w:val="en-ZA"/>
        </w:rPr>
        <w:t>,</w:t>
      </w:r>
      <w:r w:rsidRPr="00BD2EDA">
        <w:rPr>
          <w:rFonts w:ascii="Arial" w:hAnsi="Arial" w:cs="Arial"/>
          <w:sz w:val="24"/>
          <w:szCs w:val="24"/>
          <w:lang w:val="en-ZA"/>
        </w:rPr>
        <w:t xml:space="preserve"> should not apply. He also argued that Merit </w:t>
      </w:r>
      <w:r w:rsidRPr="00BD2EDA">
        <w:rPr>
          <w:rFonts w:ascii="Arial" w:hAnsi="Arial" w:cs="Arial"/>
          <w:sz w:val="24"/>
          <w:szCs w:val="24"/>
          <w:lang w:val="en-ZA"/>
        </w:rPr>
        <w:lastRenderedPageBreak/>
        <w:t xml:space="preserve">would have needed to address why the recordal in the letter of 21 February </w:t>
      </w:r>
      <w:r w:rsidR="00B15955" w:rsidRPr="00BD2EDA">
        <w:rPr>
          <w:rFonts w:ascii="Arial" w:hAnsi="Arial" w:cs="Arial"/>
          <w:sz w:val="24"/>
          <w:szCs w:val="24"/>
          <w:lang w:val="en-ZA"/>
        </w:rPr>
        <w:t xml:space="preserve">2014 </w:t>
      </w:r>
      <w:r w:rsidRPr="00BD2EDA">
        <w:rPr>
          <w:rFonts w:ascii="Arial" w:hAnsi="Arial" w:cs="Arial"/>
          <w:sz w:val="24"/>
          <w:szCs w:val="24"/>
          <w:lang w:val="en-ZA"/>
        </w:rPr>
        <w:t xml:space="preserve">was not a proper record of the </w:t>
      </w:r>
      <w:r w:rsidR="009755C5" w:rsidRPr="00BD2EDA">
        <w:rPr>
          <w:rFonts w:ascii="Arial" w:hAnsi="Arial" w:cs="Arial"/>
          <w:sz w:val="24"/>
          <w:szCs w:val="24"/>
          <w:lang w:val="en-ZA"/>
        </w:rPr>
        <w:t xml:space="preserve">terms of the </w:t>
      </w:r>
      <w:r w:rsidRPr="00BD2EDA">
        <w:rPr>
          <w:rFonts w:ascii="Arial" w:hAnsi="Arial" w:cs="Arial"/>
          <w:sz w:val="24"/>
          <w:szCs w:val="24"/>
          <w:lang w:val="en-ZA"/>
        </w:rPr>
        <w:t>agreement to arbitrate.</w:t>
      </w:r>
    </w:p>
    <w:p w:rsidR="001F5422" w:rsidRPr="00BD2EDA" w:rsidRDefault="001F5422" w:rsidP="00F378E1">
      <w:pPr>
        <w:pStyle w:val="ListParagraph"/>
        <w:spacing w:line="480" w:lineRule="auto"/>
        <w:rPr>
          <w:rFonts w:ascii="Arial" w:hAnsi="Arial" w:cs="Arial"/>
          <w:sz w:val="24"/>
          <w:szCs w:val="24"/>
          <w:lang w:val="en-ZA"/>
        </w:rPr>
      </w:pPr>
    </w:p>
    <w:p w:rsidR="001F5422" w:rsidRPr="00BD2EDA" w:rsidRDefault="001823C7"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As I have already said, Merit</w:t>
      </w:r>
      <w:r w:rsidR="009755C5" w:rsidRPr="00BD2EDA">
        <w:rPr>
          <w:rFonts w:ascii="Arial" w:hAnsi="Arial" w:cs="Arial"/>
          <w:sz w:val="24"/>
          <w:szCs w:val="24"/>
          <w:lang w:val="en-ZA"/>
        </w:rPr>
        <w:t xml:space="preserve"> not only did not </w:t>
      </w:r>
      <w:r w:rsidR="00B15955" w:rsidRPr="00BD2EDA">
        <w:rPr>
          <w:rFonts w:ascii="Arial" w:hAnsi="Arial" w:cs="Arial"/>
          <w:sz w:val="24"/>
          <w:szCs w:val="24"/>
          <w:lang w:val="en-ZA"/>
        </w:rPr>
        <w:t xml:space="preserve">dispute </w:t>
      </w:r>
      <w:r w:rsidR="004606F4" w:rsidRPr="00BD2EDA">
        <w:rPr>
          <w:rFonts w:ascii="Arial" w:hAnsi="Arial" w:cs="Arial"/>
          <w:sz w:val="24"/>
          <w:szCs w:val="24"/>
          <w:lang w:val="en-ZA"/>
        </w:rPr>
        <w:t xml:space="preserve">the </w:t>
      </w:r>
      <w:r w:rsidR="009755C5" w:rsidRPr="00BD2EDA">
        <w:rPr>
          <w:rFonts w:ascii="Arial" w:hAnsi="Arial" w:cs="Arial"/>
          <w:sz w:val="24"/>
          <w:szCs w:val="24"/>
          <w:lang w:val="en-ZA"/>
        </w:rPr>
        <w:t>arbitration clause relied upon and the recordal of the terms of arbitration set out in the letter of 21 February</w:t>
      </w:r>
      <w:r w:rsidR="00B15955" w:rsidRPr="00BD2EDA">
        <w:rPr>
          <w:rFonts w:ascii="Arial" w:hAnsi="Arial" w:cs="Arial"/>
          <w:sz w:val="24"/>
          <w:szCs w:val="24"/>
          <w:lang w:val="en-ZA"/>
        </w:rPr>
        <w:t xml:space="preserve"> 2014</w:t>
      </w:r>
      <w:r w:rsidR="009755C5" w:rsidRPr="00BD2EDA">
        <w:rPr>
          <w:rFonts w:ascii="Arial" w:hAnsi="Arial" w:cs="Arial"/>
          <w:sz w:val="24"/>
          <w:szCs w:val="24"/>
          <w:lang w:val="en-ZA"/>
        </w:rPr>
        <w:t>, but had earlier in the summary judgment proceedings sought the referral of the claim against it to arbitration</w:t>
      </w:r>
      <w:r w:rsidR="00B15955" w:rsidRPr="00BD2EDA">
        <w:rPr>
          <w:rFonts w:ascii="Arial" w:hAnsi="Arial" w:cs="Arial"/>
          <w:sz w:val="24"/>
          <w:szCs w:val="24"/>
          <w:lang w:val="en-ZA"/>
        </w:rPr>
        <w:t xml:space="preserve"> under the arbitration clause</w:t>
      </w:r>
      <w:r w:rsidR="009755C5" w:rsidRPr="00BD2EDA">
        <w:rPr>
          <w:rFonts w:ascii="Arial" w:hAnsi="Arial" w:cs="Arial"/>
          <w:sz w:val="24"/>
          <w:szCs w:val="24"/>
          <w:lang w:val="en-ZA"/>
        </w:rPr>
        <w:t>.</w:t>
      </w:r>
    </w:p>
    <w:p w:rsidR="001F5422" w:rsidRPr="00BD2EDA" w:rsidRDefault="001F5422" w:rsidP="00F378E1">
      <w:pPr>
        <w:pStyle w:val="ListParagraph"/>
        <w:spacing w:line="480" w:lineRule="auto"/>
        <w:rPr>
          <w:rFonts w:ascii="Arial" w:hAnsi="Arial" w:cs="Arial"/>
          <w:sz w:val="24"/>
          <w:szCs w:val="24"/>
          <w:lang w:val="en-ZA"/>
        </w:rPr>
      </w:pPr>
    </w:p>
    <w:p w:rsidR="00B16FDD" w:rsidRPr="00BD2EDA" w:rsidRDefault="009755C5"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After Namsov obtained the award in its favour, it referred to and attached the sourcing fee agreement to the application to make the award an order of court. The founding affidavit also</w:t>
      </w:r>
      <w:r w:rsidR="00B15955" w:rsidRPr="00BD2EDA">
        <w:rPr>
          <w:rFonts w:ascii="Arial" w:hAnsi="Arial" w:cs="Arial"/>
          <w:sz w:val="24"/>
          <w:szCs w:val="24"/>
          <w:lang w:val="en-ZA"/>
        </w:rPr>
        <w:t xml:space="preserve"> expressly</w:t>
      </w:r>
      <w:r w:rsidRPr="00BD2EDA">
        <w:rPr>
          <w:rFonts w:ascii="Arial" w:hAnsi="Arial" w:cs="Arial"/>
          <w:sz w:val="24"/>
          <w:szCs w:val="24"/>
          <w:lang w:val="en-ZA"/>
        </w:rPr>
        <w:t xml:space="preserve"> refers to agreement reached on the appointment of the arbitrator and the terms of the agreement to conduct the arbitration in accordance with certain rules and the other terms set out in the letter of 21 February 2014. The founding affidavit proceeds to refer to the arbitration proceedings which culminated in the award.</w:t>
      </w:r>
    </w:p>
    <w:p w:rsidR="00B16FDD" w:rsidRPr="00BD2EDA" w:rsidRDefault="00B16FDD" w:rsidP="00F378E1">
      <w:pPr>
        <w:pStyle w:val="ListParagraph"/>
        <w:spacing w:line="480" w:lineRule="auto"/>
        <w:rPr>
          <w:rFonts w:ascii="Arial" w:hAnsi="Arial" w:cs="Arial"/>
          <w:sz w:val="24"/>
          <w:szCs w:val="24"/>
          <w:lang w:val="en-ZA"/>
        </w:rPr>
      </w:pPr>
    </w:p>
    <w:p w:rsidR="007557DF" w:rsidRPr="00BD2EDA" w:rsidRDefault="009755C5" w:rsidP="00920148">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In the answering affidavit, the managing director of Merit does not deny </w:t>
      </w:r>
      <w:r w:rsidR="00E24B10" w:rsidRPr="00BD2EDA">
        <w:rPr>
          <w:rFonts w:ascii="Arial" w:hAnsi="Arial" w:cs="Arial"/>
          <w:sz w:val="24"/>
          <w:szCs w:val="24"/>
          <w:lang w:val="en-ZA"/>
        </w:rPr>
        <w:t xml:space="preserve">any of </w:t>
      </w:r>
      <w:r w:rsidRPr="00BD2EDA">
        <w:rPr>
          <w:rFonts w:ascii="Arial" w:hAnsi="Arial" w:cs="Arial"/>
          <w:sz w:val="24"/>
          <w:szCs w:val="24"/>
          <w:lang w:val="en-ZA"/>
        </w:rPr>
        <w:t>th</w:t>
      </w:r>
      <w:r w:rsidR="00371469" w:rsidRPr="00BD2EDA">
        <w:rPr>
          <w:rFonts w:ascii="Arial" w:hAnsi="Arial" w:cs="Arial"/>
          <w:sz w:val="24"/>
          <w:szCs w:val="24"/>
          <w:lang w:val="en-ZA"/>
        </w:rPr>
        <w:t>ese allegations</w:t>
      </w:r>
      <w:r w:rsidR="00B15955" w:rsidRPr="00BD2EDA">
        <w:rPr>
          <w:rFonts w:ascii="Arial" w:hAnsi="Arial" w:cs="Arial"/>
          <w:sz w:val="24"/>
          <w:szCs w:val="24"/>
          <w:lang w:val="en-ZA"/>
        </w:rPr>
        <w:t xml:space="preserve">. </w:t>
      </w:r>
      <w:r w:rsidR="00E24B10" w:rsidRPr="00BD2EDA">
        <w:rPr>
          <w:rFonts w:ascii="Arial" w:hAnsi="Arial" w:cs="Arial"/>
          <w:sz w:val="24"/>
          <w:szCs w:val="24"/>
          <w:lang w:val="en-ZA"/>
        </w:rPr>
        <w:t>On the contrary, h</w:t>
      </w:r>
      <w:r w:rsidR="00B15955" w:rsidRPr="00BD2EDA">
        <w:rPr>
          <w:rFonts w:ascii="Arial" w:hAnsi="Arial" w:cs="Arial"/>
          <w:sz w:val="24"/>
          <w:szCs w:val="24"/>
          <w:lang w:val="en-ZA"/>
        </w:rPr>
        <w:t xml:space="preserve">e </w:t>
      </w:r>
      <w:r w:rsidR="00371469" w:rsidRPr="00BD2EDA">
        <w:rPr>
          <w:rFonts w:ascii="Arial" w:hAnsi="Arial" w:cs="Arial"/>
          <w:sz w:val="24"/>
          <w:szCs w:val="24"/>
          <w:lang w:val="en-ZA"/>
        </w:rPr>
        <w:t>in fact states that ‘</w:t>
      </w:r>
      <w:r w:rsidR="00E24B10" w:rsidRPr="00BD2EDA">
        <w:rPr>
          <w:rFonts w:ascii="Arial" w:hAnsi="Arial" w:cs="Arial"/>
          <w:sz w:val="24"/>
          <w:szCs w:val="24"/>
          <w:lang w:val="en-ZA"/>
        </w:rPr>
        <w:t xml:space="preserve">. . . </w:t>
      </w:r>
      <w:r w:rsidR="00371469" w:rsidRPr="00BD2EDA">
        <w:rPr>
          <w:rFonts w:ascii="Arial" w:hAnsi="Arial" w:cs="Arial"/>
          <w:sz w:val="24"/>
          <w:szCs w:val="24"/>
          <w:lang w:val="en-ZA"/>
        </w:rPr>
        <w:t xml:space="preserve">during the first half of 2014 the terms of the arbitration agreement were settled and the parties filed statements of claim, defence and counterclaim, which were later amended’. The agreement to arbitrate and the amplified terms of referral were not only undisputed but were </w:t>
      </w:r>
      <w:r w:rsidR="00B15955" w:rsidRPr="00BD2EDA">
        <w:rPr>
          <w:rFonts w:ascii="Arial" w:hAnsi="Arial" w:cs="Arial"/>
          <w:sz w:val="24"/>
          <w:szCs w:val="24"/>
          <w:lang w:val="en-ZA"/>
        </w:rPr>
        <w:t>indeed confirmed by Merit under oath. The amplified terms were also given effect to.</w:t>
      </w:r>
      <w:r w:rsidR="007557DF" w:rsidRPr="00BD2EDA">
        <w:rPr>
          <w:rFonts w:ascii="Arial" w:hAnsi="Arial" w:cs="Arial"/>
          <w:sz w:val="24"/>
          <w:szCs w:val="24"/>
          <w:lang w:val="en-ZA"/>
        </w:rPr>
        <w:t xml:space="preserve"> The arbitration proceeded with Merit filing a counterclaim. No objection was raised to it. Nor was any point taken in the answering affidavit of an absence of a </w:t>
      </w:r>
      <w:r w:rsidR="007557DF" w:rsidRPr="00BD2EDA">
        <w:rPr>
          <w:rFonts w:ascii="Arial" w:hAnsi="Arial" w:cs="Arial"/>
          <w:i/>
          <w:sz w:val="24"/>
          <w:szCs w:val="24"/>
          <w:lang w:val="en-ZA"/>
        </w:rPr>
        <w:t>prima facie</w:t>
      </w:r>
      <w:r w:rsidR="007557DF" w:rsidRPr="00BD2EDA">
        <w:rPr>
          <w:rFonts w:ascii="Arial" w:hAnsi="Arial" w:cs="Arial"/>
          <w:sz w:val="24"/>
          <w:szCs w:val="24"/>
          <w:lang w:val="en-ZA"/>
        </w:rPr>
        <w:t xml:space="preserve"> case in </w:t>
      </w:r>
      <w:r w:rsidR="009A335E" w:rsidRPr="00BD2EDA">
        <w:rPr>
          <w:rFonts w:ascii="Arial" w:hAnsi="Arial" w:cs="Arial"/>
          <w:sz w:val="24"/>
          <w:szCs w:val="24"/>
          <w:lang w:val="en-ZA"/>
        </w:rPr>
        <w:t xml:space="preserve">by failing to </w:t>
      </w:r>
      <w:r w:rsidR="009A335E" w:rsidRPr="00BD2EDA">
        <w:rPr>
          <w:rFonts w:ascii="Arial" w:hAnsi="Arial" w:cs="Arial"/>
          <w:sz w:val="24"/>
          <w:szCs w:val="24"/>
          <w:lang w:val="en-ZA"/>
        </w:rPr>
        <w:lastRenderedPageBreak/>
        <w:t>meet</w:t>
      </w:r>
      <w:r w:rsidR="007557DF" w:rsidRPr="00BD2EDA">
        <w:rPr>
          <w:rFonts w:ascii="Arial" w:hAnsi="Arial" w:cs="Arial"/>
          <w:sz w:val="24"/>
          <w:szCs w:val="24"/>
          <w:lang w:val="en-ZA"/>
        </w:rPr>
        <w:t xml:space="preserve"> the requisites for making the award an order of court.</w:t>
      </w:r>
      <w:r w:rsidR="007557DF" w:rsidRPr="00BD2EDA">
        <w:rPr>
          <w:rStyle w:val="FootnoteReference"/>
          <w:rFonts w:ascii="Arial" w:hAnsi="Arial" w:cs="Arial"/>
          <w:sz w:val="24"/>
          <w:szCs w:val="24"/>
          <w:lang w:val="en-ZA"/>
        </w:rPr>
        <w:footnoteReference w:id="4"/>
      </w:r>
      <w:r w:rsidR="009A335E" w:rsidRPr="00BD2EDA">
        <w:rPr>
          <w:rFonts w:ascii="Arial" w:hAnsi="Arial" w:cs="Arial"/>
          <w:sz w:val="24"/>
          <w:szCs w:val="24"/>
          <w:lang w:val="en-ZA"/>
        </w:rPr>
        <w:t xml:space="preserve"> On the contrary, Merit’s opposition is premised upon a valid agreement to arbitrate </w:t>
      </w:r>
      <w:r w:rsidR="00225158" w:rsidRPr="00BD2EDA">
        <w:rPr>
          <w:rFonts w:ascii="Arial" w:hAnsi="Arial" w:cs="Arial"/>
          <w:sz w:val="24"/>
          <w:szCs w:val="24"/>
          <w:lang w:val="en-ZA"/>
        </w:rPr>
        <w:t>a valid award</w:t>
      </w:r>
      <w:r w:rsidR="001854F9" w:rsidRPr="00BD2EDA">
        <w:rPr>
          <w:rFonts w:ascii="Arial" w:hAnsi="Arial" w:cs="Arial"/>
          <w:sz w:val="24"/>
          <w:szCs w:val="24"/>
          <w:lang w:val="en-ZA"/>
        </w:rPr>
        <w:t xml:space="preserve"> and as a matter of fact confirmed the terms of the arbitration (which had been set out in the letter of 21 February)</w:t>
      </w:r>
      <w:r w:rsidR="00225158" w:rsidRPr="00BD2EDA">
        <w:rPr>
          <w:rFonts w:ascii="Arial" w:hAnsi="Arial" w:cs="Arial"/>
          <w:sz w:val="24"/>
          <w:szCs w:val="24"/>
          <w:lang w:val="en-ZA"/>
        </w:rPr>
        <w:t>.</w:t>
      </w:r>
    </w:p>
    <w:p w:rsidR="00B16FDD" w:rsidRPr="00BD2EDA" w:rsidRDefault="00B16FDD" w:rsidP="00F378E1">
      <w:pPr>
        <w:pStyle w:val="ListParagraph"/>
        <w:spacing w:line="480" w:lineRule="auto"/>
        <w:rPr>
          <w:rFonts w:ascii="Arial" w:hAnsi="Arial" w:cs="Arial"/>
          <w:sz w:val="24"/>
          <w:szCs w:val="24"/>
          <w:lang w:val="en-ZA"/>
        </w:rPr>
      </w:pPr>
    </w:p>
    <w:p w:rsidR="00B16FDD" w:rsidRPr="00BD2EDA" w:rsidRDefault="00371469"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point taken for the first time on appeal is </w:t>
      </w:r>
      <w:r w:rsidR="00B15955" w:rsidRPr="00BD2EDA">
        <w:rPr>
          <w:rFonts w:ascii="Arial" w:hAnsi="Arial" w:cs="Arial"/>
          <w:sz w:val="24"/>
          <w:szCs w:val="24"/>
          <w:lang w:val="en-ZA"/>
        </w:rPr>
        <w:t>contrary to</w:t>
      </w:r>
      <w:r w:rsidRPr="00BD2EDA">
        <w:rPr>
          <w:rFonts w:ascii="Arial" w:hAnsi="Arial" w:cs="Arial"/>
          <w:sz w:val="24"/>
          <w:szCs w:val="24"/>
          <w:lang w:val="en-ZA"/>
        </w:rPr>
        <w:t xml:space="preserve"> admissions contained in Merit’s answering affidavit</w:t>
      </w:r>
      <w:r w:rsidR="00B15955" w:rsidRPr="00BD2EDA">
        <w:rPr>
          <w:rFonts w:ascii="Arial" w:hAnsi="Arial" w:cs="Arial"/>
          <w:sz w:val="24"/>
          <w:szCs w:val="24"/>
          <w:lang w:val="en-ZA"/>
        </w:rPr>
        <w:t xml:space="preserve"> as well as the position taken by it. It was plainly never in dispute that there was a valid agreement to arbitrate.</w:t>
      </w:r>
    </w:p>
    <w:p w:rsidR="00B16FDD" w:rsidRPr="00BD2EDA" w:rsidRDefault="00B16FDD" w:rsidP="00F378E1">
      <w:pPr>
        <w:pStyle w:val="ListParagraph"/>
        <w:spacing w:line="480" w:lineRule="auto"/>
        <w:rPr>
          <w:rFonts w:ascii="Arial" w:hAnsi="Arial" w:cs="Arial"/>
          <w:sz w:val="24"/>
          <w:szCs w:val="24"/>
          <w:lang w:val="en-ZA"/>
        </w:rPr>
      </w:pPr>
    </w:p>
    <w:p w:rsidR="00B16FDD" w:rsidRPr="00BD2EDA" w:rsidRDefault="00371469"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This </w:t>
      </w:r>
      <w:r w:rsidRPr="00BD2EDA">
        <w:rPr>
          <w:rFonts w:ascii="Arial" w:hAnsi="Arial" w:cs="Arial"/>
          <w:i/>
          <w:sz w:val="24"/>
          <w:szCs w:val="24"/>
          <w:lang w:val="en-ZA"/>
        </w:rPr>
        <w:t>volte face</w:t>
      </w:r>
      <w:r w:rsidRPr="00BD2EDA">
        <w:rPr>
          <w:rFonts w:ascii="Arial" w:hAnsi="Arial" w:cs="Arial"/>
          <w:sz w:val="24"/>
          <w:szCs w:val="24"/>
          <w:lang w:val="en-ZA"/>
        </w:rPr>
        <w:t xml:space="preserve"> on the part of Merit</w:t>
      </w:r>
      <w:r w:rsidR="00543519" w:rsidRPr="00BD2EDA">
        <w:rPr>
          <w:rFonts w:ascii="Arial" w:hAnsi="Arial" w:cs="Arial"/>
          <w:sz w:val="24"/>
          <w:szCs w:val="24"/>
          <w:lang w:val="en-ZA"/>
        </w:rPr>
        <w:t xml:space="preserve"> is </w:t>
      </w:r>
      <w:r w:rsidR="00E24B10" w:rsidRPr="00BD2EDA">
        <w:rPr>
          <w:rFonts w:ascii="Arial" w:hAnsi="Arial" w:cs="Arial"/>
          <w:sz w:val="24"/>
          <w:szCs w:val="24"/>
          <w:lang w:val="en-ZA"/>
        </w:rPr>
        <w:t xml:space="preserve">thus </w:t>
      </w:r>
      <w:r w:rsidR="00543519" w:rsidRPr="00BD2EDA">
        <w:rPr>
          <w:rFonts w:ascii="Arial" w:hAnsi="Arial" w:cs="Arial"/>
          <w:sz w:val="24"/>
          <w:szCs w:val="24"/>
          <w:lang w:val="en-ZA"/>
        </w:rPr>
        <w:t xml:space="preserve">contrary to its pleaded position on the facts </w:t>
      </w:r>
      <w:r w:rsidR="007557DF" w:rsidRPr="00BD2EDA">
        <w:rPr>
          <w:rFonts w:ascii="Arial" w:hAnsi="Arial" w:cs="Arial"/>
          <w:sz w:val="24"/>
          <w:szCs w:val="24"/>
          <w:lang w:val="en-ZA"/>
        </w:rPr>
        <w:t>concerning the very issue now raised on appeal. It</w:t>
      </w:r>
      <w:r w:rsidR="00543519" w:rsidRPr="00BD2EDA">
        <w:rPr>
          <w:rFonts w:ascii="Arial" w:hAnsi="Arial" w:cs="Arial"/>
          <w:sz w:val="24"/>
          <w:szCs w:val="24"/>
          <w:lang w:val="en-ZA"/>
        </w:rPr>
        <w:t xml:space="preserve"> is </w:t>
      </w:r>
      <w:r w:rsidR="007557DF" w:rsidRPr="00BD2EDA">
        <w:rPr>
          <w:rFonts w:ascii="Arial" w:hAnsi="Arial" w:cs="Arial"/>
          <w:sz w:val="24"/>
          <w:szCs w:val="24"/>
          <w:lang w:val="en-ZA"/>
        </w:rPr>
        <w:t>accordingly</w:t>
      </w:r>
      <w:r w:rsidR="00543519" w:rsidRPr="00BD2EDA">
        <w:rPr>
          <w:rFonts w:ascii="Arial" w:hAnsi="Arial" w:cs="Arial"/>
          <w:sz w:val="24"/>
          <w:szCs w:val="24"/>
          <w:lang w:val="en-ZA"/>
        </w:rPr>
        <w:t xml:space="preserve"> not permissible </w:t>
      </w:r>
      <w:r w:rsidR="007557DF" w:rsidRPr="00BD2EDA">
        <w:rPr>
          <w:rFonts w:ascii="Arial" w:hAnsi="Arial" w:cs="Arial"/>
          <w:sz w:val="24"/>
          <w:szCs w:val="24"/>
          <w:lang w:val="en-ZA"/>
        </w:rPr>
        <w:t xml:space="preserve">for Merit </w:t>
      </w:r>
      <w:r w:rsidR="00543519" w:rsidRPr="00BD2EDA">
        <w:rPr>
          <w:rFonts w:ascii="Arial" w:hAnsi="Arial" w:cs="Arial"/>
          <w:sz w:val="24"/>
          <w:szCs w:val="24"/>
          <w:lang w:val="en-ZA"/>
        </w:rPr>
        <w:t xml:space="preserve">to raise </w:t>
      </w:r>
      <w:r w:rsidR="007557DF" w:rsidRPr="00BD2EDA">
        <w:rPr>
          <w:rFonts w:ascii="Arial" w:hAnsi="Arial" w:cs="Arial"/>
          <w:sz w:val="24"/>
          <w:szCs w:val="24"/>
          <w:lang w:val="en-ZA"/>
        </w:rPr>
        <w:t xml:space="preserve">the point </w:t>
      </w:r>
      <w:r w:rsidR="00543519" w:rsidRPr="00BD2EDA">
        <w:rPr>
          <w:rFonts w:ascii="Arial" w:hAnsi="Arial" w:cs="Arial"/>
          <w:sz w:val="24"/>
          <w:szCs w:val="24"/>
          <w:lang w:val="en-ZA"/>
        </w:rPr>
        <w:t xml:space="preserve">for the first time </w:t>
      </w:r>
      <w:r w:rsidR="00E512A8" w:rsidRPr="00BD2EDA">
        <w:rPr>
          <w:rFonts w:ascii="Arial" w:hAnsi="Arial" w:cs="Arial"/>
          <w:sz w:val="24"/>
          <w:szCs w:val="24"/>
          <w:lang w:val="en-ZA"/>
        </w:rPr>
        <w:t>o</w:t>
      </w:r>
      <w:r w:rsidR="00543519" w:rsidRPr="00BD2EDA">
        <w:rPr>
          <w:rFonts w:ascii="Arial" w:hAnsi="Arial" w:cs="Arial"/>
          <w:sz w:val="24"/>
          <w:szCs w:val="24"/>
          <w:lang w:val="en-ZA"/>
        </w:rPr>
        <w:t>n appeal.</w:t>
      </w:r>
    </w:p>
    <w:p w:rsidR="00B16FDD" w:rsidRPr="00BD2EDA" w:rsidRDefault="00B16FDD" w:rsidP="00F378E1">
      <w:pPr>
        <w:pStyle w:val="ListParagraph"/>
        <w:spacing w:line="480" w:lineRule="auto"/>
        <w:rPr>
          <w:rFonts w:ascii="Arial" w:hAnsi="Arial" w:cs="Arial"/>
          <w:sz w:val="24"/>
          <w:szCs w:val="24"/>
          <w:lang w:val="en-ZA"/>
        </w:rPr>
      </w:pPr>
    </w:p>
    <w:p w:rsidR="00B16FDD" w:rsidRPr="00BD2EDA" w:rsidRDefault="00225158"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I</w:t>
      </w:r>
      <w:r w:rsidR="00E512A8" w:rsidRPr="00BD2EDA">
        <w:rPr>
          <w:rFonts w:ascii="Arial" w:hAnsi="Arial" w:cs="Arial"/>
          <w:sz w:val="24"/>
          <w:szCs w:val="24"/>
          <w:lang w:val="en-ZA"/>
        </w:rPr>
        <w:t>t i</w:t>
      </w:r>
      <w:r w:rsidR="00543519" w:rsidRPr="00BD2EDA">
        <w:rPr>
          <w:rFonts w:ascii="Arial" w:hAnsi="Arial" w:cs="Arial"/>
          <w:sz w:val="24"/>
          <w:szCs w:val="24"/>
          <w:lang w:val="en-ZA"/>
        </w:rPr>
        <w:t xml:space="preserve">s </w:t>
      </w:r>
      <w:r w:rsidR="007557DF" w:rsidRPr="00BD2EDA">
        <w:rPr>
          <w:rFonts w:ascii="Arial" w:hAnsi="Arial" w:cs="Arial"/>
          <w:sz w:val="24"/>
          <w:szCs w:val="24"/>
          <w:lang w:val="en-ZA"/>
        </w:rPr>
        <w:t xml:space="preserve">in any event </w:t>
      </w:r>
      <w:r w:rsidR="00543519" w:rsidRPr="00BD2EDA">
        <w:rPr>
          <w:rFonts w:ascii="Arial" w:hAnsi="Arial" w:cs="Arial"/>
          <w:sz w:val="24"/>
          <w:szCs w:val="24"/>
          <w:lang w:val="en-ZA"/>
        </w:rPr>
        <w:t>entirely unsustainable on the facts</w:t>
      </w:r>
      <w:r w:rsidR="00E24B10" w:rsidRPr="00BD2EDA">
        <w:rPr>
          <w:rFonts w:ascii="Arial" w:hAnsi="Arial" w:cs="Arial"/>
          <w:sz w:val="24"/>
          <w:szCs w:val="24"/>
          <w:lang w:val="en-ZA"/>
        </w:rPr>
        <w:t xml:space="preserve">, being </w:t>
      </w:r>
      <w:r w:rsidR="00543519" w:rsidRPr="00BD2EDA">
        <w:rPr>
          <w:rFonts w:ascii="Arial" w:hAnsi="Arial" w:cs="Arial"/>
          <w:sz w:val="24"/>
          <w:szCs w:val="24"/>
          <w:lang w:val="en-ZA"/>
        </w:rPr>
        <w:t>against both the evidence and established legal principles.</w:t>
      </w:r>
    </w:p>
    <w:p w:rsidR="00B16FDD" w:rsidRPr="00BD2EDA" w:rsidRDefault="00B16FDD" w:rsidP="00F378E1">
      <w:pPr>
        <w:pStyle w:val="ListParagraph"/>
        <w:spacing w:line="480" w:lineRule="auto"/>
        <w:rPr>
          <w:rFonts w:ascii="Arial" w:hAnsi="Arial" w:cs="Arial"/>
          <w:sz w:val="24"/>
          <w:szCs w:val="24"/>
          <w:lang w:val="en-ZA"/>
        </w:rPr>
      </w:pPr>
    </w:p>
    <w:p w:rsidR="00543519" w:rsidRPr="00BD2EDA" w:rsidRDefault="00543519" w:rsidP="004525F7">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Act </w:t>
      </w:r>
      <w:r w:rsidR="008F33E7" w:rsidRPr="00BD2EDA">
        <w:rPr>
          <w:rFonts w:ascii="Arial" w:hAnsi="Arial" w:cs="Arial"/>
          <w:sz w:val="24"/>
          <w:szCs w:val="24"/>
          <w:lang w:val="en-ZA"/>
        </w:rPr>
        <w:t>defines</w:t>
      </w:r>
      <w:r w:rsidRPr="00BD2EDA">
        <w:rPr>
          <w:rFonts w:ascii="Arial" w:hAnsi="Arial" w:cs="Arial"/>
          <w:sz w:val="24"/>
          <w:szCs w:val="24"/>
          <w:lang w:val="en-ZA"/>
        </w:rPr>
        <w:t xml:space="preserve"> </w:t>
      </w:r>
      <w:r w:rsidR="00E24B10" w:rsidRPr="00BD2EDA">
        <w:rPr>
          <w:rFonts w:ascii="Arial" w:hAnsi="Arial" w:cs="Arial"/>
          <w:sz w:val="24"/>
          <w:szCs w:val="24"/>
          <w:lang w:val="en-ZA"/>
        </w:rPr>
        <w:t>an</w:t>
      </w:r>
      <w:r w:rsidRPr="00BD2EDA">
        <w:rPr>
          <w:rFonts w:ascii="Arial" w:hAnsi="Arial" w:cs="Arial"/>
          <w:sz w:val="24"/>
          <w:szCs w:val="24"/>
          <w:lang w:val="en-ZA"/>
        </w:rPr>
        <w:t xml:space="preserve"> agreement to arbitrate </w:t>
      </w:r>
      <w:r w:rsidR="008F33E7" w:rsidRPr="00BD2EDA">
        <w:rPr>
          <w:rFonts w:ascii="Arial" w:hAnsi="Arial" w:cs="Arial"/>
          <w:sz w:val="24"/>
          <w:szCs w:val="24"/>
          <w:lang w:val="en-ZA"/>
        </w:rPr>
        <w:t>as one</w:t>
      </w:r>
      <w:r w:rsidRPr="00BD2EDA">
        <w:rPr>
          <w:rFonts w:ascii="Arial" w:hAnsi="Arial" w:cs="Arial"/>
          <w:sz w:val="24"/>
          <w:szCs w:val="24"/>
          <w:lang w:val="en-ZA"/>
        </w:rPr>
        <w:t xml:space="preserve"> in writing. But that requirement does not itself require that the agreement needs to be signed by the parties</w:t>
      </w:r>
      <w:r w:rsidR="00225158" w:rsidRPr="00BD2EDA">
        <w:rPr>
          <w:rFonts w:ascii="Arial" w:hAnsi="Arial" w:cs="Arial"/>
          <w:sz w:val="24"/>
          <w:szCs w:val="24"/>
          <w:lang w:val="en-ZA"/>
        </w:rPr>
        <w:t>, as has been held</w:t>
      </w:r>
      <w:r w:rsidR="004525F7" w:rsidRPr="00BD2EDA">
        <w:rPr>
          <w:rFonts w:ascii="Arial" w:hAnsi="Arial" w:cs="Arial"/>
          <w:sz w:val="24"/>
          <w:szCs w:val="24"/>
          <w:lang w:val="en-ZA"/>
        </w:rPr>
        <w:t xml:space="preserve"> </w:t>
      </w:r>
      <w:r w:rsidRPr="00BD2EDA">
        <w:rPr>
          <w:rFonts w:ascii="Arial" w:hAnsi="Arial" w:cs="Arial"/>
          <w:sz w:val="24"/>
          <w:szCs w:val="24"/>
          <w:lang w:val="en-ZA"/>
        </w:rPr>
        <w:t>in South Africa</w:t>
      </w:r>
      <w:r w:rsidR="004525F7" w:rsidRPr="00BD2EDA">
        <w:rPr>
          <w:rFonts w:ascii="Arial" w:hAnsi="Arial" w:cs="Arial"/>
          <w:sz w:val="24"/>
          <w:szCs w:val="24"/>
          <w:lang w:val="en-ZA"/>
        </w:rPr>
        <w:t xml:space="preserve"> where the position was succinctly summarised in a full bench decision in </w:t>
      </w:r>
      <w:r w:rsidR="004525F7" w:rsidRPr="00BD2EDA">
        <w:rPr>
          <w:rFonts w:ascii="Arial" w:hAnsi="Arial" w:cs="Arial"/>
          <w:i/>
          <w:lang w:val="en-ZA"/>
        </w:rPr>
        <w:t>M</w:t>
      </w:r>
      <w:r w:rsidR="001854F9" w:rsidRPr="00BD2EDA">
        <w:rPr>
          <w:rFonts w:ascii="Arial" w:hAnsi="Arial" w:cs="Arial"/>
          <w:i/>
          <w:lang w:val="en-ZA"/>
        </w:rPr>
        <w:t>e</w:t>
      </w:r>
      <w:r w:rsidR="004525F7" w:rsidRPr="00BD2EDA">
        <w:rPr>
          <w:rFonts w:ascii="Arial" w:hAnsi="Arial" w:cs="Arial"/>
          <w:i/>
          <w:lang w:val="en-ZA"/>
        </w:rPr>
        <w:t>rvis Bros v Interior Acoustics and another</w:t>
      </w:r>
      <w:r w:rsidRPr="00BD2EDA">
        <w:rPr>
          <w:rStyle w:val="FootnoteReference"/>
          <w:rFonts w:ascii="Arial" w:hAnsi="Arial" w:cs="Arial"/>
          <w:sz w:val="24"/>
          <w:szCs w:val="24"/>
          <w:lang w:val="en-ZA"/>
        </w:rPr>
        <w:footnoteReference w:id="5"/>
      </w:r>
      <w:r w:rsidR="00CA0FD7" w:rsidRPr="00BD2EDA">
        <w:rPr>
          <w:rFonts w:ascii="Arial" w:hAnsi="Arial" w:cs="Arial"/>
          <w:sz w:val="24"/>
          <w:szCs w:val="24"/>
          <w:lang w:val="en-ZA"/>
        </w:rPr>
        <w:t xml:space="preserve"> </w:t>
      </w:r>
      <w:r w:rsidR="004525F7" w:rsidRPr="00BD2EDA">
        <w:rPr>
          <w:rFonts w:ascii="Arial" w:hAnsi="Arial" w:cs="Arial"/>
          <w:sz w:val="24"/>
          <w:szCs w:val="24"/>
          <w:lang w:val="en-ZA"/>
        </w:rPr>
        <w:t>in the following way:</w:t>
      </w:r>
    </w:p>
    <w:p w:rsidR="006D4C8E" w:rsidRPr="00BD2EDA" w:rsidRDefault="006D4C8E" w:rsidP="00A92E30">
      <w:pPr>
        <w:pStyle w:val="ListParagraph"/>
        <w:spacing w:line="360" w:lineRule="auto"/>
        <w:ind w:left="0"/>
        <w:jc w:val="both"/>
        <w:rPr>
          <w:rFonts w:ascii="Arial" w:hAnsi="Arial" w:cs="Arial"/>
          <w:sz w:val="24"/>
          <w:szCs w:val="24"/>
          <w:lang w:val="en-ZA"/>
        </w:rPr>
      </w:pPr>
    </w:p>
    <w:p w:rsidR="00435FF5" w:rsidRPr="00BD2EDA" w:rsidRDefault="004525F7" w:rsidP="00A92E30">
      <w:pPr>
        <w:pStyle w:val="ListParagraph"/>
        <w:spacing w:line="360" w:lineRule="auto"/>
        <w:jc w:val="both"/>
        <w:rPr>
          <w:rFonts w:ascii="Arial" w:hAnsi="Arial" w:cs="Arial"/>
          <w:lang w:val="en-ZA"/>
        </w:rPr>
      </w:pPr>
      <w:r w:rsidRPr="00BD2EDA">
        <w:rPr>
          <w:rFonts w:ascii="Arial" w:hAnsi="Arial" w:cs="Arial"/>
          <w:lang w:val="en-ZA"/>
        </w:rPr>
        <w:lastRenderedPageBreak/>
        <w:t>‘</w:t>
      </w:r>
      <w:r w:rsidR="00435FF5" w:rsidRPr="00BD2EDA">
        <w:rPr>
          <w:rFonts w:ascii="Arial" w:hAnsi="Arial" w:cs="Arial"/>
          <w:lang w:val="en-ZA"/>
        </w:rPr>
        <w:t>In terms of s 1 of the Arbitration Act 42 of 1965, an agreement providing for reference of a dispute to arbitration is required to be in writing. Generally such a provision postulates signature by both parties. However, a document may constitute an agreement in writing though it is signed by only one party. That the signature of one party is lacking does not matter, depending</w:t>
      </w:r>
      <w:r w:rsidR="006B4D7F" w:rsidRPr="00BD2EDA">
        <w:rPr>
          <w:rFonts w:ascii="Arial" w:hAnsi="Arial" w:cs="Arial"/>
          <w:lang w:val="en-ZA"/>
        </w:rPr>
        <w:t xml:space="preserve"> on the circumstances of the ca</w:t>
      </w:r>
      <w:r w:rsidR="00435FF5" w:rsidRPr="00BD2EDA">
        <w:rPr>
          <w:rFonts w:ascii="Arial" w:hAnsi="Arial" w:cs="Arial"/>
          <w:lang w:val="en-ZA"/>
        </w:rPr>
        <w:t>s</w:t>
      </w:r>
      <w:r w:rsidR="006B4D7F" w:rsidRPr="00BD2EDA">
        <w:rPr>
          <w:rFonts w:ascii="Arial" w:hAnsi="Arial" w:cs="Arial"/>
          <w:lang w:val="en-ZA"/>
        </w:rPr>
        <w:t>e.</w:t>
      </w:r>
      <w:r w:rsidR="00435FF5" w:rsidRPr="00BD2EDA">
        <w:rPr>
          <w:rFonts w:ascii="Arial" w:hAnsi="Arial" w:cs="Arial"/>
          <w:lang w:val="en-ZA"/>
        </w:rPr>
        <w:t xml:space="preserve"> The test is whether the parties have deliberately intended to record the</w:t>
      </w:r>
      <w:r w:rsidR="006B4D7F" w:rsidRPr="00BD2EDA">
        <w:rPr>
          <w:rFonts w:ascii="Arial" w:hAnsi="Arial" w:cs="Arial"/>
          <w:lang w:val="en-ZA"/>
        </w:rPr>
        <w:t>ir</w:t>
      </w:r>
      <w:r w:rsidR="00435FF5" w:rsidRPr="00BD2EDA">
        <w:rPr>
          <w:rFonts w:ascii="Arial" w:hAnsi="Arial" w:cs="Arial"/>
          <w:lang w:val="en-ZA"/>
        </w:rPr>
        <w:t xml:space="preserve"> agreement in writing and have shown that the document so produce</w:t>
      </w:r>
      <w:r w:rsidR="006B4D7F" w:rsidRPr="00BD2EDA">
        <w:rPr>
          <w:rFonts w:ascii="Arial" w:hAnsi="Arial" w:cs="Arial"/>
          <w:lang w:val="en-ZA"/>
        </w:rPr>
        <w:t>d</w:t>
      </w:r>
      <w:r w:rsidR="00435FF5" w:rsidRPr="00BD2EDA">
        <w:rPr>
          <w:rFonts w:ascii="Arial" w:hAnsi="Arial" w:cs="Arial"/>
          <w:lang w:val="en-ZA"/>
        </w:rPr>
        <w:t xml:space="preserve"> constitutes the agreement between them. </w:t>
      </w:r>
      <w:r w:rsidR="00435FF5" w:rsidRPr="00BD2EDA">
        <w:rPr>
          <w:rFonts w:ascii="Arial" w:hAnsi="Arial" w:cs="Arial"/>
          <w:i/>
          <w:iCs/>
          <w:lang w:val="en-ZA"/>
        </w:rPr>
        <w:t xml:space="preserve">Union Government (Minister of Finance) v Chatwin </w:t>
      </w:r>
      <w:r w:rsidR="00435FF5" w:rsidRPr="00BD2EDA">
        <w:rPr>
          <w:rFonts w:ascii="Arial" w:hAnsi="Arial" w:cs="Arial"/>
          <w:lang w:val="en-ZA"/>
        </w:rPr>
        <w:t>1931 TPD 317.</w:t>
      </w:r>
    </w:p>
    <w:p w:rsidR="00435FF5" w:rsidRPr="00BD2EDA" w:rsidRDefault="00435FF5" w:rsidP="00A92E30">
      <w:pPr>
        <w:pStyle w:val="ListParagraph"/>
        <w:spacing w:line="360" w:lineRule="auto"/>
        <w:jc w:val="both"/>
        <w:rPr>
          <w:rFonts w:ascii="Arial" w:hAnsi="Arial" w:cs="Arial"/>
          <w:lang w:val="en-ZA"/>
        </w:rPr>
      </w:pPr>
      <w:r w:rsidRPr="00BD2EDA">
        <w:rPr>
          <w:rFonts w:ascii="Arial" w:hAnsi="Arial" w:cs="Arial"/>
          <w:lang w:val="en-ZA"/>
        </w:rPr>
        <w:t>In the present case the second document was sent in response to the first and constituted a counter-offer to the proposal of arbitration. It was received without demur and the parties proceeded to arbitration. By its</w:t>
      </w:r>
      <w:r w:rsidR="006B4D7F" w:rsidRPr="00BD2EDA">
        <w:rPr>
          <w:rFonts w:ascii="Arial" w:hAnsi="Arial" w:cs="Arial"/>
          <w:lang w:val="en-ZA"/>
        </w:rPr>
        <w:t xml:space="preserve"> </w:t>
      </w:r>
      <w:r w:rsidRPr="00BD2EDA">
        <w:rPr>
          <w:rFonts w:ascii="Arial" w:hAnsi="Arial" w:cs="Arial"/>
          <w:lang w:val="en-ZA"/>
        </w:rPr>
        <w:t>conduct the appellant accepted the terms expressed therein. In my opinion it is clearly part of a written agreement within the meaning of s 1 of the Act.’</w:t>
      </w:r>
    </w:p>
    <w:p w:rsidR="004525F7" w:rsidRPr="00BD2EDA" w:rsidRDefault="004525F7" w:rsidP="00A92E30">
      <w:pPr>
        <w:pStyle w:val="ListParagraph"/>
        <w:spacing w:line="360" w:lineRule="auto"/>
        <w:jc w:val="both"/>
        <w:rPr>
          <w:rFonts w:ascii="Arial" w:hAnsi="Arial" w:cs="Arial"/>
          <w:lang w:val="en-ZA"/>
        </w:rPr>
      </w:pPr>
    </w:p>
    <w:p w:rsidR="001854F9" w:rsidRPr="00BD2EDA" w:rsidRDefault="004525F7" w:rsidP="001854F9">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This accords with the position in England.</w:t>
      </w:r>
      <w:r w:rsidRPr="00BD2EDA">
        <w:rPr>
          <w:rStyle w:val="FootnoteReference"/>
          <w:rFonts w:ascii="Arial" w:hAnsi="Arial" w:cs="Arial"/>
          <w:sz w:val="24"/>
          <w:szCs w:val="24"/>
          <w:lang w:val="en-ZA"/>
        </w:rPr>
        <w:footnoteReference w:id="6"/>
      </w:r>
      <w:r w:rsidRPr="00BD2EDA">
        <w:rPr>
          <w:rFonts w:ascii="Arial" w:hAnsi="Arial" w:cs="Arial"/>
          <w:sz w:val="24"/>
          <w:szCs w:val="24"/>
          <w:lang w:val="en-ZA"/>
        </w:rPr>
        <w:t xml:space="preserve"> </w:t>
      </w:r>
    </w:p>
    <w:p w:rsidR="001854F9" w:rsidRPr="00BD2EDA" w:rsidRDefault="001854F9" w:rsidP="001854F9">
      <w:pPr>
        <w:pStyle w:val="ListParagraph"/>
        <w:spacing w:line="480" w:lineRule="auto"/>
        <w:ind w:left="0"/>
        <w:jc w:val="both"/>
        <w:rPr>
          <w:rFonts w:ascii="Arial" w:hAnsi="Arial" w:cs="Arial"/>
          <w:sz w:val="24"/>
          <w:szCs w:val="24"/>
          <w:lang w:val="en-ZA"/>
        </w:rPr>
      </w:pPr>
    </w:p>
    <w:p w:rsidR="00CA0FD7" w:rsidRPr="00BD2EDA" w:rsidRDefault="00CA0FD7" w:rsidP="001854F9">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As had occurred in </w:t>
      </w:r>
      <w:r w:rsidRPr="00BD2EDA">
        <w:rPr>
          <w:rFonts w:ascii="Arial" w:hAnsi="Arial" w:cs="Arial"/>
          <w:i/>
          <w:sz w:val="24"/>
          <w:szCs w:val="24"/>
          <w:lang w:val="en-ZA"/>
        </w:rPr>
        <w:t>M</w:t>
      </w:r>
      <w:r w:rsidR="001854F9" w:rsidRPr="00BD2EDA">
        <w:rPr>
          <w:rFonts w:ascii="Arial" w:hAnsi="Arial" w:cs="Arial"/>
          <w:i/>
          <w:sz w:val="24"/>
          <w:szCs w:val="24"/>
          <w:lang w:val="en-ZA"/>
        </w:rPr>
        <w:t>e</w:t>
      </w:r>
      <w:r w:rsidRPr="00BD2EDA">
        <w:rPr>
          <w:rFonts w:ascii="Arial" w:hAnsi="Arial" w:cs="Arial"/>
          <w:i/>
          <w:sz w:val="24"/>
          <w:szCs w:val="24"/>
          <w:lang w:val="en-ZA"/>
        </w:rPr>
        <w:t>rvis Bros</w:t>
      </w:r>
      <w:r w:rsidRPr="00BD2EDA">
        <w:rPr>
          <w:rFonts w:ascii="Arial" w:hAnsi="Arial" w:cs="Arial"/>
          <w:sz w:val="24"/>
          <w:szCs w:val="24"/>
          <w:lang w:val="en-ZA"/>
        </w:rPr>
        <w:t>, the letter of 21 February 2014 was received without demur</w:t>
      </w:r>
      <w:r w:rsidR="00225158" w:rsidRPr="00BD2EDA">
        <w:rPr>
          <w:rFonts w:ascii="Arial" w:hAnsi="Arial" w:cs="Arial"/>
          <w:sz w:val="24"/>
          <w:szCs w:val="24"/>
          <w:lang w:val="en-ZA"/>
        </w:rPr>
        <w:t>. An a</w:t>
      </w:r>
      <w:r w:rsidRPr="00BD2EDA">
        <w:rPr>
          <w:rFonts w:ascii="Arial" w:hAnsi="Arial" w:cs="Arial"/>
          <w:sz w:val="24"/>
          <w:szCs w:val="24"/>
          <w:lang w:val="en-ZA"/>
        </w:rPr>
        <w:t>rbitrator was appointed</w:t>
      </w:r>
      <w:r w:rsidR="00E24B10" w:rsidRPr="00BD2EDA">
        <w:rPr>
          <w:rFonts w:ascii="Arial" w:hAnsi="Arial" w:cs="Arial"/>
          <w:sz w:val="24"/>
          <w:szCs w:val="24"/>
          <w:lang w:val="en-ZA"/>
        </w:rPr>
        <w:t>. T</w:t>
      </w:r>
      <w:r w:rsidR="007557DF" w:rsidRPr="00BD2EDA">
        <w:rPr>
          <w:rFonts w:ascii="Arial" w:hAnsi="Arial" w:cs="Arial"/>
          <w:sz w:val="24"/>
          <w:szCs w:val="24"/>
          <w:lang w:val="en-ZA"/>
        </w:rPr>
        <w:t xml:space="preserve">he arbitration itself </w:t>
      </w:r>
      <w:r w:rsidR="00E24B10" w:rsidRPr="00BD2EDA">
        <w:rPr>
          <w:rFonts w:ascii="Arial" w:hAnsi="Arial" w:cs="Arial"/>
          <w:sz w:val="24"/>
          <w:szCs w:val="24"/>
          <w:lang w:val="en-ZA"/>
        </w:rPr>
        <w:t xml:space="preserve">also </w:t>
      </w:r>
      <w:r w:rsidRPr="00BD2EDA">
        <w:rPr>
          <w:rFonts w:ascii="Arial" w:hAnsi="Arial" w:cs="Arial"/>
          <w:sz w:val="24"/>
          <w:szCs w:val="24"/>
          <w:lang w:val="en-ZA"/>
        </w:rPr>
        <w:t>proceeded to finality. By its conduct, Merit</w:t>
      </w:r>
      <w:r w:rsidRPr="00BD2EDA">
        <w:rPr>
          <w:rFonts w:ascii="Arial" w:hAnsi="Arial" w:cs="Arial"/>
          <w:i/>
          <w:sz w:val="24"/>
          <w:szCs w:val="24"/>
          <w:lang w:val="en-ZA"/>
        </w:rPr>
        <w:t xml:space="preserve"> </w:t>
      </w:r>
      <w:r w:rsidRPr="00BD2EDA">
        <w:rPr>
          <w:rFonts w:ascii="Arial" w:hAnsi="Arial" w:cs="Arial"/>
          <w:sz w:val="24"/>
          <w:szCs w:val="24"/>
          <w:lang w:val="en-ZA"/>
        </w:rPr>
        <w:t xml:space="preserve">plainly accepted the terms of the arbitration </w:t>
      </w:r>
      <w:r w:rsidR="00E24B10" w:rsidRPr="00BD2EDA">
        <w:rPr>
          <w:rFonts w:ascii="Arial" w:hAnsi="Arial" w:cs="Arial"/>
          <w:sz w:val="24"/>
          <w:szCs w:val="24"/>
          <w:lang w:val="en-ZA"/>
        </w:rPr>
        <w:t xml:space="preserve">as </w:t>
      </w:r>
      <w:r w:rsidRPr="00BD2EDA">
        <w:rPr>
          <w:rFonts w:ascii="Arial" w:hAnsi="Arial" w:cs="Arial"/>
          <w:sz w:val="24"/>
          <w:szCs w:val="24"/>
          <w:lang w:val="en-ZA"/>
        </w:rPr>
        <w:t>set out in the letter of 21 February 2014. This is quite apart from not disputing the arbitration clause in the sourcing fee agreement which Merit had itself invoked</w:t>
      </w:r>
      <w:r w:rsidR="007557DF" w:rsidRPr="00BD2EDA">
        <w:rPr>
          <w:rFonts w:ascii="Arial" w:hAnsi="Arial" w:cs="Arial"/>
          <w:sz w:val="24"/>
          <w:szCs w:val="24"/>
          <w:lang w:val="en-ZA"/>
        </w:rPr>
        <w:t xml:space="preserve"> to resist summary judgment</w:t>
      </w:r>
      <w:r w:rsidRPr="00BD2EDA">
        <w:rPr>
          <w:rFonts w:ascii="Arial" w:hAnsi="Arial" w:cs="Arial"/>
          <w:sz w:val="24"/>
          <w:szCs w:val="24"/>
          <w:lang w:val="en-ZA"/>
        </w:rPr>
        <w:t>.</w:t>
      </w:r>
    </w:p>
    <w:p w:rsidR="00225158" w:rsidRPr="00BD2EDA" w:rsidRDefault="00225158" w:rsidP="00225158">
      <w:pPr>
        <w:pStyle w:val="ListParagraph"/>
        <w:spacing w:line="480" w:lineRule="auto"/>
        <w:rPr>
          <w:rFonts w:ascii="Arial" w:hAnsi="Arial" w:cs="Arial"/>
          <w:sz w:val="24"/>
          <w:szCs w:val="24"/>
          <w:lang w:val="en-ZA"/>
        </w:rPr>
      </w:pPr>
    </w:p>
    <w:p w:rsidR="00225158" w:rsidRPr="00BD2EDA" w:rsidRDefault="00225158" w:rsidP="00225158">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fact that the arbitrator found that the </w:t>
      </w:r>
      <w:r w:rsidR="001854F9" w:rsidRPr="00BD2EDA">
        <w:rPr>
          <w:rFonts w:ascii="Arial" w:hAnsi="Arial" w:cs="Arial"/>
          <w:sz w:val="24"/>
          <w:szCs w:val="24"/>
          <w:lang w:val="en-ZA"/>
        </w:rPr>
        <w:t>sourcing</w:t>
      </w:r>
      <w:r w:rsidRPr="00BD2EDA">
        <w:rPr>
          <w:rFonts w:ascii="Arial" w:hAnsi="Arial" w:cs="Arial"/>
          <w:sz w:val="24"/>
          <w:szCs w:val="24"/>
          <w:lang w:val="en-ZA"/>
        </w:rPr>
        <w:t xml:space="preserve"> fee agreement was superceded by the cession agreement between the parties did not mean that there was no jurisdiction to arbitrate and for the court to subsequently made the award an order of court. Clause 6 provided:</w:t>
      </w:r>
    </w:p>
    <w:p w:rsidR="00225158" w:rsidRPr="00BD2EDA" w:rsidRDefault="00225158" w:rsidP="00225158">
      <w:pPr>
        <w:pStyle w:val="ListParagraph"/>
        <w:spacing w:line="360" w:lineRule="auto"/>
        <w:rPr>
          <w:rFonts w:ascii="Arial" w:hAnsi="Arial" w:cs="Arial"/>
          <w:sz w:val="24"/>
          <w:szCs w:val="24"/>
          <w:lang w:val="en-ZA"/>
        </w:rPr>
      </w:pPr>
    </w:p>
    <w:p w:rsidR="00225158" w:rsidRPr="00BD2EDA" w:rsidRDefault="00225158" w:rsidP="00A92E30">
      <w:pPr>
        <w:pStyle w:val="ListParagraph"/>
        <w:spacing w:line="360" w:lineRule="auto"/>
        <w:jc w:val="both"/>
        <w:rPr>
          <w:rFonts w:ascii="Arial" w:hAnsi="Arial" w:cs="Arial"/>
          <w:lang w:val="en-ZA"/>
        </w:rPr>
      </w:pPr>
      <w:r w:rsidRPr="00BD2EDA">
        <w:rPr>
          <w:rFonts w:ascii="Arial" w:hAnsi="Arial" w:cs="Arial"/>
          <w:lang w:val="en-ZA"/>
        </w:rPr>
        <w:t xml:space="preserve">‘Should a dispute arise between the parties in regard to the interpretation, effect, breach or termination of this agreement or any other matter arising out of the termination of the agreement, then in such </w:t>
      </w:r>
      <w:r w:rsidR="00800A47" w:rsidRPr="00BD2EDA">
        <w:rPr>
          <w:rFonts w:ascii="Arial" w:hAnsi="Arial" w:cs="Arial"/>
          <w:lang w:val="en-ZA"/>
        </w:rPr>
        <w:t xml:space="preserve">event that dispute may be referred to arbitration by either party </w:t>
      </w:r>
      <w:r w:rsidR="00800A47" w:rsidRPr="00BD2EDA">
        <w:rPr>
          <w:rFonts w:ascii="Arial" w:hAnsi="Arial" w:cs="Arial"/>
          <w:lang w:val="en-ZA"/>
        </w:rPr>
        <w:lastRenderedPageBreak/>
        <w:t>to that dispute and if so referred shall be decided by the unanimous arbitration of two arbitrators of whom one shall be nominated by Merit and one by Namsov.’</w:t>
      </w:r>
    </w:p>
    <w:p w:rsidR="00225158" w:rsidRPr="00BD2EDA" w:rsidRDefault="00225158" w:rsidP="00225158">
      <w:pPr>
        <w:pStyle w:val="ListParagraph"/>
        <w:spacing w:line="360" w:lineRule="auto"/>
        <w:rPr>
          <w:rFonts w:ascii="Arial" w:hAnsi="Arial" w:cs="Arial"/>
          <w:sz w:val="24"/>
          <w:szCs w:val="24"/>
          <w:lang w:val="en-ZA"/>
        </w:rPr>
      </w:pPr>
    </w:p>
    <w:p w:rsidR="00225158" w:rsidRPr="00BD2EDA" w:rsidRDefault="00800A47" w:rsidP="00225158">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Merit after</w:t>
      </w:r>
      <w:r w:rsidR="001854F9" w:rsidRPr="00BD2EDA">
        <w:rPr>
          <w:rFonts w:ascii="Arial" w:hAnsi="Arial" w:cs="Arial"/>
          <w:sz w:val="24"/>
          <w:szCs w:val="24"/>
          <w:lang w:val="en-ZA"/>
        </w:rPr>
        <w:t xml:space="preserve"> all</w:t>
      </w:r>
      <w:r w:rsidRPr="00BD2EDA">
        <w:rPr>
          <w:rFonts w:ascii="Arial" w:hAnsi="Arial" w:cs="Arial"/>
          <w:sz w:val="24"/>
          <w:szCs w:val="24"/>
          <w:lang w:val="en-ZA"/>
        </w:rPr>
        <w:t xml:space="preserve"> invoked clause 6</w:t>
      </w:r>
      <w:r w:rsidR="001854F9" w:rsidRPr="00BD2EDA">
        <w:rPr>
          <w:rFonts w:ascii="Arial" w:hAnsi="Arial" w:cs="Arial"/>
          <w:sz w:val="24"/>
          <w:szCs w:val="24"/>
          <w:lang w:val="en-ZA"/>
        </w:rPr>
        <w:t xml:space="preserve">. In the ensuing arbitration it </w:t>
      </w:r>
      <w:r w:rsidRPr="00BD2EDA">
        <w:rPr>
          <w:rFonts w:ascii="Arial" w:hAnsi="Arial" w:cs="Arial"/>
          <w:sz w:val="24"/>
          <w:szCs w:val="24"/>
          <w:lang w:val="en-ZA"/>
        </w:rPr>
        <w:t xml:space="preserve">sought to resist Namsov’s claim and advanced a counter claim based upon the sourcing fee agreement. The dispute thus referred </w:t>
      </w:r>
      <w:r w:rsidR="001854F9" w:rsidRPr="00BD2EDA">
        <w:rPr>
          <w:rFonts w:ascii="Arial" w:hAnsi="Arial" w:cs="Arial"/>
          <w:sz w:val="24"/>
          <w:szCs w:val="24"/>
          <w:lang w:val="en-ZA"/>
        </w:rPr>
        <w:t xml:space="preserve">to arbitration </w:t>
      </w:r>
      <w:r w:rsidRPr="00BD2EDA">
        <w:rPr>
          <w:rFonts w:ascii="Arial" w:hAnsi="Arial" w:cs="Arial"/>
          <w:sz w:val="24"/>
          <w:szCs w:val="24"/>
          <w:lang w:val="en-ZA"/>
        </w:rPr>
        <w:t xml:space="preserve">entailed a determination as to whether Merit could rely upon its terms to resist the claim and for its counter claim. The dispute concerned an interpretation of the agreement and Merit’s alleged entitlements under it. The arbitration clause </w:t>
      </w:r>
      <w:r w:rsidR="001854F9" w:rsidRPr="00BD2EDA">
        <w:rPr>
          <w:rFonts w:ascii="Arial" w:hAnsi="Arial" w:cs="Arial"/>
          <w:sz w:val="24"/>
          <w:szCs w:val="24"/>
          <w:lang w:val="en-ZA"/>
        </w:rPr>
        <w:t>w</w:t>
      </w:r>
      <w:r w:rsidRPr="00BD2EDA">
        <w:rPr>
          <w:rFonts w:ascii="Arial" w:hAnsi="Arial" w:cs="Arial"/>
          <w:sz w:val="24"/>
          <w:szCs w:val="24"/>
          <w:lang w:val="en-ZA"/>
        </w:rPr>
        <w:t xml:space="preserve">ould thus find application on that basis. But there is </w:t>
      </w:r>
      <w:r w:rsidR="001854F9" w:rsidRPr="00BD2EDA">
        <w:rPr>
          <w:rFonts w:ascii="Arial" w:hAnsi="Arial" w:cs="Arial"/>
          <w:sz w:val="24"/>
          <w:szCs w:val="24"/>
          <w:lang w:val="en-ZA"/>
        </w:rPr>
        <w:t xml:space="preserve">in any event </w:t>
      </w:r>
      <w:r w:rsidRPr="00BD2EDA">
        <w:rPr>
          <w:rFonts w:ascii="Arial" w:hAnsi="Arial" w:cs="Arial"/>
          <w:sz w:val="24"/>
          <w:szCs w:val="24"/>
          <w:lang w:val="en-ZA"/>
        </w:rPr>
        <w:t>the further agreement, recorded in writing in the letter of 21 February</w:t>
      </w:r>
      <w:r w:rsidR="00812BB3">
        <w:rPr>
          <w:rFonts w:ascii="Arial" w:hAnsi="Arial" w:cs="Arial"/>
          <w:sz w:val="24"/>
          <w:szCs w:val="24"/>
          <w:lang w:val="en-ZA"/>
        </w:rPr>
        <w:t xml:space="preserve"> 2014</w:t>
      </w:r>
      <w:r w:rsidR="001854F9" w:rsidRPr="00BD2EDA">
        <w:rPr>
          <w:rFonts w:ascii="Arial" w:hAnsi="Arial" w:cs="Arial"/>
          <w:sz w:val="24"/>
          <w:szCs w:val="24"/>
          <w:lang w:val="en-ZA"/>
        </w:rPr>
        <w:t>,</w:t>
      </w:r>
      <w:r w:rsidRPr="00BD2EDA">
        <w:rPr>
          <w:rFonts w:ascii="Arial" w:hAnsi="Arial" w:cs="Arial"/>
          <w:sz w:val="24"/>
          <w:szCs w:val="24"/>
          <w:lang w:val="en-ZA"/>
        </w:rPr>
        <w:t xml:space="preserve"> which also constituted a written agreement to arbitrate.</w:t>
      </w:r>
    </w:p>
    <w:p w:rsidR="008F33E7" w:rsidRPr="00BD2EDA" w:rsidRDefault="008F33E7" w:rsidP="00225158">
      <w:pPr>
        <w:pStyle w:val="ListParagraph"/>
        <w:spacing w:line="480" w:lineRule="auto"/>
        <w:rPr>
          <w:rFonts w:ascii="Arial" w:hAnsi="Arial" w:cs="Arial"/>
          <w:sz w:val="24"/>
          <w:szCs w:val="24"/>
          <w:lang w:val="en-ZA"/>
        </w:rPr>
      </w:pPr>
    </w:p>
    <w:p w:rsidR="00800A47" w:rsidRPr="00BD2EDA" w:rsidRDefault="008F33E7" w:rsidP="006B4D7F">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Counsel for the appellant contended that if the agreement was not a written agreement as envisaged in the Act</w:t>
      </w:r>
      <w:r w:rsidR="00E512A8" w:rsidRPr="00BD2EDA">
        <w:rPr>
          <w:rFonts w:ascii="Arial" w:hAnsi="Arial" w:cs="Arial"/>
          <w:sz w:val="24"/>
          <w:szCs w:val="24"/>
          <w:lang w:val="en-ZA"/>
        </w:rPr>
        <w:t>,</w:t>
      </w:r>
      <w:r w:rsidRPr="00BD2EDA">
        <w:rPr>
          <w:rFonts w:ascii="Arial" w:hAnsi="Arial" w:cs="Arial"/>
          <w:sz w:val="24"/>
          <w:szCs w:val="24"/>
          <w:lang w:val="en-ZA"/>
        </w:rPr>
        <w:t xml:space="preserve"> ‘then </w:t>
      </w:r>
      <w:r w:rsidR="00B60F6C" w:rsidRPr="00BD2EDA">
        <w:rPr>
          <w:rFonts w:ascii="Arial" w:hAnsi="Arial" w:cs="Arial"/>
          <w:sz w:val="24"/>
          <w:szCs w:val="24"/>
          <w:lang w:val="en-ZA"/>
        </w:rPr>
        <w:t xml:space="preserve">no conduct whatsoever can make it written’. This contention fails to </w:t>
      </w:r>
      <w:r w:rsidR="00800A47" w:rsidRPr="00BD2EDA">
        <w:rPr>
          <w:rFonts w:ascii="Arial" w:hAnsi="Arial" w:cs="Arial"/>
          <w:sz w:val="24"/>
          <w:szCs w:val="24"/>
          <w:lang w:val="en-ZA"/>
        </w:rPr>
        <w:t>take into account</w:t>
      </w:r>
      <w:r w:rsidR="00B60F6C" w:rsidRPr="00BD2EDA">
        <w:rPr>
          <w:rFonts w:ascii="Arial" w:hAnsi="Arial" w:cs="Arial"/>
          <w:sz w:val="24"/>
          <w:szCs w:val="24"/>
          <w:lang w:val="en-ZA"/>
        </w:rPr>
        <w:t xml:space="preserve"> fundamental contractual principles. In this matter, it is clear that there was an agreement to arbitrate. Merit itself proposed that the claim be referred to arbitration</w:t>
      </w:r>
      <w:r w:rsidR="00800A47" w:rsidRPr="00BD2EDA">
        <w:rPr>
          <w:rFonts w:ascii="Arial" w:hAnsi="Arial" w:cs="Arial"/>
          <w:sz w:val="24"/>
          <w:szCs w:val="24"/>
          <w:lang w:val="en-ZA"/>
        </w:rPr>
        <w:t xml:space="preserve"> under clause 6</w:t>
      </w:r>
      <w:r w:rsidR="00B60F6C" w:rsidRPr="00BD2EDA">
        <w:rPr>
          <w:rFonts w:ascii="Arial" w:hAnsi="Arial" w:cs="Arial"/>
          <w:sz w:val="24"/>
          <w:szCs w:val="24"/>
          <w:lang w:val="en-ZA"/>
        </w:rPr>
        <w:t xml:space="preserve">. Namsov agreed to this. </w:t>
      </w:r>
      <w:r w:rsidR="00007FBC" w:rsidRPr="00BD2EDA">
        <w:rPr>
          <w:rFonts w:ascii="Arial" w:hAnsi="Arial" w:cs="Arial"/>
          <w:sz w:val="24"/>
          <w:szCs w:val="24"/>
          <w:lang w:val="en-ZA"/>
        </w:rPr>
        <w:t xml:space="preserve">The terms of the referral were </w:t>
      </w:r>
      <w:r w:rsidR="00800A47" w:rsidRPr="00BD2EDA">
        <w:rPr>
          <w:rFonts w:ascii="Arial" w:hAnsi="Arial" w:cs="Arial"/>
          <w:sz w:val="24"/>
          <w:szCs w:val="24"/>
          <w:lang w:val="en-ZA"/>
        </w:rPr>
        <w:t xml:space="preserve">agreed upon and </w:t>
      </w:r>
      <w:r w:rsidR="00007FBC" w:rsidRPr="00BD2EDA">
        <w:rPr>
          <w:rFonts w:ascii="Arial" w:hAnsi="Arial" w:cs="Arial"/>
          <w:sz w:val="24"/>
          <w:szCs w:val="24"/>
          <w:lang w:val="en-ZA"/>
        </w:rPr>
        <w:t>set out in writing and embodied in a letter set by Namsov’s lawyers to Merit’s lawyers (of 21 February 201</w:t>
      </w:r>
      <w:r w:rsidR="001854F9" w:rsidRPr="00BD2EDA">
        <w:rPr>
          <w:rFonts w:ascii="Arial" w:hAnsi="Arial" w:cs="Arial"/>
          <w:sz w:val="24"/>
          <w:szCs w:val="24"/>
          <w:lang w:val="en-ZA"/>
        </w:rPr>
        <w:t>4</w:t>
      </w:r>
      <w:r w:rsidR="00007FBC" w:rsidRPr="00BD2EDA">
        <w:rPr>
          <w:rFonts w:ascii="Arial" w:hAnsi="Arial" w:cs="Arial"/>
          <w:sz w:val="24"/>
          <w:szCs w:val="24"/>
          <w:lang w:val="en-ZA"/>
        </w:rPr>
        <w:t>). The terms were thus in writing and Merit’s conduct throughout</w:t>
      </w:r>
      <w:r w:rsidR="00E512A8" w:rsidRPr="00BD2EDA">
        <w:rPr>
          <w:rFonts w:ascii="Arial" w:hAnsi="Arial" w:cs="Arial"/>
          <w:sz w:val="24"/>
          <w:szCs w:val="24"/>
          <w:lang w:val="en-ZA"/>
        </w:rPr>
        <w:t>,</w:t>
      </w:r>
      <w:r w:rsidR="00007FBC" w:rsidRPr="00BD2EDA">
        <w:rPr>
          <w:rFonts w:ascii="Arial" w:hAnsi="Arial" w:cs="Arial"/>
          <w:sz w:val="24"/>
          <w:szCs w:val="24"/>
          <w:lang w:val="en-ZA"/>
        </w:rPr>
        <w:t xml:space="preserve"> and particularly in agree</w:t>
      </w:r>
      <w:r w:rsidR="00800A47" w:rsidRPr="00BD2EDA">
        <w:rPr>
          <w:rFonts w:ascii="Arial" w:hAnsi="Arial" w:cs="Arial"/>
          <w:sz w:val="24"/>
          <w:szCs w:val="24"/>
          <w:lang w:val="en-ZA"/>
        </w:rPr>
        <w:t>ing to the appointment of the arbitrator</w:t>
      </w:r>
      <w:r w:rsidR="00007FBC" w:rsidRPr="00BD2EDA">
        <w:rPr>
          <w:rFonts w:ascii="Arial" w:hAnsi="Arial" w:cs="Arial"/>
          <w:sz w:val="24"/>
          <w:szCs w:val="24"/>
          <w:lang w:val="en-ZA"/>
        </w:rPr>
        <w:t xml:space="preserve"> and </w:t>
      </w:r>
      <w:r w:rsidR="00800A47" w:rsidRPr="00BD2EDA">
        <w:rPr>
          <w:rFonts w:ascii="Arial" w:hAnsi="Arial" w:cs="Arial"/>
          <w:sz w:val="24"/>
          <w:szCs w:val="24"/>
          <w:lang w:val="en-ZA"/>
        </w:rPr>
        <w:t xml:space="preserve">its </w:t>
      </w:r>
      <w:r w:rsidR="00007FBC" w:rsidRPr="00BD2EDA">
        <w:rPr>
          <w:rFonts w:ascii="Arial" w:hAnsi="Arial" w:cs="Arial"/>
          <w:sz w:val="24"/>
          <w:szCs w:val="24"/>
          <w:lang w:val="en-ZA"/>
        </w:rPr>
        <w:t>participation in the arbitration</w:t>
      </w:r>
      <w:r w:rsidR="00E512A8" w:rsidRPr="00BD2EDA">
        <w:rPr>
          <w:rFonts w:ascii="Arial" w:hAnsi="Arial" w:cs="Arial"/>
          <w:sz w:val="24"/>
          <w:szCs w:val="24"/>
          <w:lang w:val="en-ZA"/>
        </w:rPr>
        <w:t>,</w:t>
      </w:r>
      <w:r w:rsidR="00007FBC" w:rsidRPr="00BD2EDA">
        <w:rPr>
          <w:rFonts w:ascii="Arial" w:hAnsi="Arial" w:cs="Arial"/>
          <w:sz w:val="24"/>
          <w:szCs w:val="24"/>
          <w:lang w:val="en-ZA"/>
        </w:rPr>
        <w:t xml:space="preserve"> plainly manifested its acceptance to the </w:t>
      </w:r>
      <w:r w:rsidR="00800A47" w:rsidRPr="00BD2EDA">
        <w:rPr>
          <w:rFonts w:ascii="Arial" w:hAnsi="Arial" w:cs="Arial"/>
          <w:sz w:val="24"/>
          <w:szCs w:val="24"/>
          <w:lang w:val="en-ZA"/>
        </w:rPr>
        <w:t xml:space="preserve">written </w:t>
      </w:r>
      <w:r w:rsidR="00007FBC" w:rsidRPr="00BD2EDA">
        <w:rPr>
          <w:rFonts w:ascii="Arial" w:hAnsi="Arial" w:cs="Arial"/>
          <w:sz w:val="24"/>
          <w:szCs w:val="24"/>
          <w:lang w:val="en-ZA"/>
        </w:rPr>
        <w:t>terms of the agreement by its condu</w:t>
      </w:r>
      <w:r w:rsidR="001854F9" w:rsidRPr="00BD2EDA">
        <w:rPr>
          <w:rFonts w:ascii="Arial" w:hAnsi="Arial" w:cs="Arial"/>
          <w:sz w:val="24"/>
          <w:szCs w:val="24"/>
          <w:lang w:val="en-ZA"/>
        </w:rPr>
        <w:t xml:space="preserve">ct. There was thus </w:t>
      </w:r>
      <w:r w:rsidR="009F7ABA" w:rsidRPr="00BD2EDA">
        <w:rPr>
          <w:rFonts w:ascii="Arial" w:hAnsi="Arial" w:cs="Arial"/>
          <w:sz w:val="24"/>
          <w:szCs w:val="24"/>
          <w:lang w:val="en-ZA"/>
        </w:rPr>
        <w:t xml:space="preserve">Merit’s acquiescence to those </w:t>
      </w:r>
      <w:r w:rsidR="00800A47" w:rsidRPr="00BD2EDA">
        <w:rPr>
          <w:rFonts w:ascii="Arial" w:hAnsi="Arial" w:cs="Arial"/>
          <w:sz w:val="24"/>
          <w:szCs w:val="24"/>
          <w:lang w:val="en-ZA"/>
        </w:rPr>
        <w:t xml:space="preserve">written </w:t>
      </w:r>
      <w:r w:rsidR="009F7ABA" w:rsidRPr="00BD2EDA">
        <w:rPr>
          <w:rFonts w:ascii="Arial" w:hAnsi="Arial" w:cs="Arial"/>
          <w:sz w:val="24"/>
          <w:szCs w:val="24"/>
          <w:lang w:val="en-ZA"/>
        </w:rPr>
        <w:t>terms by it</w:t>
      </w:r>
      <w:r w:rsidR="004606F4" w:rsidRPr="00BD2EDA">
        <w:rPr>
          <w:rFonts w:ascii="Arial" w:hAnsi="Arial" w:cs="Arial"/>
          <w:sz w:val="24"/>
          <w:szCs w:val="24"/>
          <w:lang w:val="en-ZA"/>
        </w:rPr>
        <w:t>s</w:t>
      </w:r>
      <w:r w:rsidR="009F7ABA" w:rsidRPr="00BD2EDA">
        <w:rPr>
          <w:rFonts w:ascii="Arial" w:hAnsi="Arial" w:cs="Arial"/>
          <w:sz w:val="24"/>
          <w:szCs w:val="24"/>
          <w:lang w:val="en-ZA"/>
        </w:rPr>
        <w:t xml:space="preserve"> conduct. This was confirmed under oath on behalf of Merit. The terms of the agreement were</w:t>
      </w:r>
      <w:r w:rsidR="00800A47" w:rsidRPr="00BD2EDA">
        <w:rPr>
          <w:rFonts w:ascii="Arial" w:hAnsi="Arial" w:cs="Arial"/>
          <w:sz w:val="24"/>
          <w:szCs w:val="24"/>
          <w:lang w:val="en-ZA"/>
        </w:rPr>
        <w:t xml:space="preserve"> thus</w:t>
      </w:r>
      <w:r w:rsidR="009F7ABA" w:rsidRPr="00BD2EDA">
        <w:rPr>
          <w:rFonts w:ascii="Arial" w:hAnsi="Arial" w:cs="Arial"/>
          <w:sz w:val="24"/>
          <w:szCs w:val="24"/>
          <w:lang w:val="en-ZA"/>
        </w:rPr>
        <w:t xml:space="preserve"> in writing and thus a written agreement, as contemplated by the Act, was clearly established. </w:t>
      </w:r>
    </w:p>
    <w:p w:rsidR="006B4D7F" w:rsidRPr="00BD2EDA" w:rsidRDefault="006B4D7F" w:rsidP="006B4D7F">
      <w:pPr>
        <w:pStyle w:val="ListParagraph"/>
        <w:spacing w:line="480" w:lineRule="auto"/>
        <w:ind w:left="0"/>
        <w:jc w:val="both"/>
        <w:rPr>
          <w:rFonts w:ascii="Arial" w:hAnsi="Arial" w:cs="Arial"/>
          <w:sz w:val="24"/>
          <w:szCs w:val="24"/>
          <w:lang w:val="en-ZA"/>
        </w:rPr>
      </w:pPr>
    </w:p>
    <w:p w:rsidR="009F7ABA" w:rsidRPr="00BD2EDA" w:rsidRDefault="009F7ABA" w:rsidP="006B4D7F">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lastRenderedPageBreak/>
        <w:t>The fact that the letter of 21 February 201</w:t>
      </w:r>
      <w:r w:rsidR="001854F9" w:rsidRPr="00BD2EDA">
        <w:rPr>
          <w:rFonts w:ascii="Arial" w:hAnsi="Arial" w:cs="Arial"/>
          <w:sz w:val="24"/>
          <w:szCs w:val="24"/>
          <w:lang w:val="en-ZA"/>
        </w:rPr>
        <w:t>4</w:t>
      </w:r>
      <w:r w:rsidRPr="00BD2EDA">
        <w:rPr>
          <w:rFonts w:ascii="Arial" w:hAnsi="Arial" w:cs="Arial"/>
          <w:sz w:val="24"/>
          <w:szCs w:val="24"/>
          <w:lang w:val="en-ZA"/>
        </w:rPr>
        <w:t xml:space="preserve"> called for written confirmation does not avail Merit in the facts of this case.</w:t>
      </w:r>
      <w:r w:rsidRPr="00BD2EDA">
        <w:rPr>
          <w:rStyle w:val="FootnoteReference"/>
          <w:rFonts w:ascii="Arial" w:hAnsi="Arial" w:cs="Arial"/>
          <w:sz w:val="24"/>
          <w:szCs w:val="24"/>
          <w:lang w:val="en-ZA"/>
        </w:rPr>
        <w:footnoteReference w:id="7"/>
      </w:r>
      <w:r w:rsidRPr="00BD2EDA">
        <w:rPr>
          <w:rFonts w:ascii="Arial" w:hAnsi="Arial" w:cs="Arial"/>
          <w:sz w:val="24"/>
          <w:szCs w:val="24"/>
          <w:lang w:val="en-ZA"/>
        </w:rPr>
        <w:t xml:space="preserve"> It was </w:t>
      </w:r>
      <w:r w:rsidR="00B948A3" w:rsidRPr="00BD2EDA">
        <w:rPr>
          <w:rFonts w:ascii="Arial" w:hAnsi="Arial" w:cs="Arial"/>
          <w:sz w:val="24"/>
          <w:szCs w:val="24"/>
          <w:lang w:val="en-ZA"/>
        </w:rPr>
        <w:t>open</w:t>
      </w:r>
      <w:r w:rsidRPr="00BD2EDA">
        <w:rPr>
          <w:rFonts w:ascii="Arial" w:hAnsi="Arial" w:cs="Arial"/>
          <w:sz w:val="24"/>
          <w:szCs w:val="24"/>
          <w:lang w:val="en-ZA"/>
        </w:rPr>
        <w:t xml:space="preserve"> to Namso</w:t>
      </w:r>
      <w:r w:rsidR="00B948A3" w:rsidRPr="00BD2EDA">
        <w:rPr>
          <w:rFonts w:ascii="Arial" w:hAnsi="Arial" w:cs="Arial"/>
          <w:sz w:val="24"/>
          <w:szCs w:val="24"/>
          <w:lang w:val="en-ZA"/>
        </w:rPr>
        <w:t>v</w:t>
      </w:r>
      <w:r w:rsidRPr="00BD2EDA">
        <w:rPr>
          <w:rFonts w:ascii="Arial" w:hAnsi="Arial" w:cs="Arial"/>
          <w:sz w:val="24"/>
          <w:szCs w:val="24"/>
          <w:lang w:val="en-ZA"/>
        </w:rPr>
        <w:t xml:space="preserve"> to dispense with that requirement </w:t>
      </w:r>
      <w:r w:rsidR="00B948A3" w:rsidRPr="00BD2EDA">
        <w:rPr>
          <w:rFonts w:ascii="Arial" w:hAnsi="Arial" w:cs="Arial"/>
          <w:sz w:val="24"/>
          <w:szCs w:val="24"/>
          <w:lang w:val="en-ZA"/>
        </w:rPr>
        <w:t xml:space="preserve">in its favour </w:t>
      </w:r>
      <w:r w:rsidRPr="00BD2EDA">
        <w:rPr>
          <w:rFonts w:ascii="Arial" w:hAnsi="Arial" w:cs="Arial"/>
          <w:sz w:val="24"/>
          <w:szCs w:val="24"/>
          <w:lang w:val="en-ZA"/>
        </w:rPr>
        <w:t xml:space="preserve">which it did by proceeding with the arbitration. The letter should be read in its entirety </w:t>
      </w:r>
      <w:r w:rsidR="00CD5B8E" w:rsidRPr="00BD2EDA">
        <w:rPr>
          <w:rFonts w:ascii="Arial" w:hAnsi="Arial" w:cs="Arial"/>
          <w:sz w:val="24"/>
          <w:szCs w:val="24"/>
          <w:lang w:val="en-ZA"/>
        </w:rPr>
        <w:t>and portions not grasped and latched onto out of context. The letter commences by confirming that the parties had agreed to arbitration on the terms thereafter set out</w:t>
      </w:r>
      <w:r w:rsidR="001854F9" w:rsidRPr="00BD2EDA">
        <w:rPr>
          <w:rFonts w:ascii="Arial" w:hAnsi="Arial" w:cs="Arial"/>
          <w:sz w:val="24"/>
          <w:szCs w:val="24"/>
          <w:lang w:val="en-ZA"/>
        </w:rPr>
        <w:t xml:space="preserve"> in writing</w:t>
      </w:r>
      <w:r w:rsidR="00CD5B8E" w:rsidRPr="00BD2EDA">
        <w:rPr>
          <w:rFonts w:ascii="Arial" w:hAnsi="Arial" w:cs="Arial"/>
          <w:sz w:val="24"/>
          <w:szCs w:val="24"/>
          <w:lang w:val="en-ZA"/>
        </w:rPr>
        <w:t xml:space="preserve">. It also proposed that time periods referred to in the rules and procedure agreed upon be doubled. It concluded by requesting Merit’s lawyers to confirm in writing the contents of the letter as soon as possible and revert with suggestions on any other adaptations of the procedure rules. </w:t>
      </w:r>
      <w:r w:rsidR="001854F9" w:rsidRPr="00BD2EDA">
        <w:rPr>
          <w:rFonts w:ascii="Arial" w:hAnsi="Arial" w:cs="Arial"/>
          <w:sz w:val="24"/>
          <w:szCs w:val="24"/>
          <w:lang w:val="en-ZA"/>
        </w:rPr>
        <w:t>While t</w:t>
      </w:r>
      <w:r w:rsidR="00CD5B8E" w:rsidRPr="00BD2EDA">
        <w:rPr>
          <w:rFonts w:ascii="Arial" w:hAnsi="Arial" w:cs="Arial"/>
          <w:sz w:val="24"/>
          <w:szCs w:val="24"/>
          <w:lang w:val="en-ZA"/>
        </w:rPr>
        <w:t>here is no evidence of a response by Merit’s lawyers in writing</w:t>
      </w:r>
      <w:r w:rsidR="001854F9" w:rsidRPr="00BD2EDA">
        <w:rPr>
          <w:rFonts w:ascii="Arial" w:hAnsi="Arial" w:cs="Arial"/>
          <w:sz w:val="24"/>
          <w:szCs w:val="24"/>
          <w:lang w:val="en-ZA"/>
        </w:rPr>
        <w:t>, p</w:t>
      </w:r>
      <w:r w:rsidR="00CD5B8E" w:rsidRPr="00BD2EDA">
        <w:rPr>
          <w:rFonts w:ascii="Arial" w:hAnsi="Arial" w:cs="Arial"/>
          <w:sz w:val="24"/>
          <w:szCs w:val="24"/>
          <w:lang w:val="en-ZA"/>
        </w:rPr>
        <w:t>leading</w:t>
      </w:r>
      <w:r w:rsidR="001854F9" w:rsidRPr="00BD2EDA">
        <w:rPr>
          <w:rFonts w:ascii="Arial" w:hAnsi="Arial" w:cs="Arial"/>
          <w:sz w:val="24"/>
          <w:szCs w:val="24"/>
          <w:lang w:val="en-ZA"/>
        </w:rPr>
        <w:t>s</w:t>
      </w:r>
      <w:r w:rsidR="00CD5B8E" w:rsidRPr="00BD2EDA">
        <w:rPr>
          <w:rFonts w:ascii="Arial" w:hAnsi="Arial" w:cs="Arial"/>
          <w:sz w:val="24"/>
          <w:szCs w:val="24"/>
          <w:lang w:val="en-ZA"/>
        </w:rPr>
        <w:t xml:space="preserve"> were thereafter exchanged, including a counter claim by Merit and the arbitration proceedings went ahead to finality.</w:t>
      </w:r>
      <w:r w:rsidR="00B948A3" w:rsidRPr="00BD2EDA">
        <w:rPr>
          <w:rFonts w:ascii="Arial" w:hAnsi="Arial" w:cs="Arial"/>
          <w:sz w:val="24"/>
          <w:szCs w:val="24"/>
          <w:lang w:val="en-ZA"/>
        </w:rPr>
        <w:t xml:space="preserve"> Counsel for Merit did not dispute </w:t>
      </w:r>
      <w:r w:rsidR="00E512A8" w:rsidRPr="00BD2EDA">
        <w:rPr>
          <w:rFonts w:ascii="Arial" w:hAnsi="Arial" w:cs="Arial"/>
          <w:sz w:val="24"/>
          <w:szCs w:val="24"/>
          <w:lang w:val="en-ZA"/>
        </w:rPr>
        <w:t xml:space="preserve">that </w:t>
      </w:r>
      <w:r w:rsidR="00B948A3" w:rsidRPr="00BD2EDA">
        <w:rPr>
          <w:rFonts w:ascii="Arial" w:hAnsi="Arial" w:cs="Arial"/>
          <w:sz w:val="24"/>
          <w:szCs w:val="24"/>
          <w:lang w:val="en-ZA"/>
        </w:rPr>
        <w:t>an agreement to arbitrate</w:t>
      </w:r>
      <w:r w:rsidR="001854F9" w:rsidRPr="00BD2EDA">
        <w:rPr>
          <w:rFonts w:ascii="Arial" w:hAnsi="Arial" w:cs="Arial"/>
          <w:sz w:val="24"/>
          <w:szCs w:val="24"/>
          <w:lang w:val="en-ZA"/>
        </w:rPr>
        <w:t xml:space="preserve"> had been reached but </w:t>
      </w:r>
      <w:r w:rsidR="004C33B8" w:rsidRPr="00BD2EDA">
        <w:rPr>
          <w:rFonts w:ascii="Arial" w:hAnsi="Arial" w:cs="Arial"/>
          <w:sz w:val="24"/>
          <w:szCs w:val="24"/>
          <w:lang w:val="en-ZA"/>
        </w:rPr>
        <w:t xml:space="preserve">instead </w:t>
      </w:r>
      <w:r w:rsidR="001854F9" w:rsidRPr="00BD2EDA">
        <w:rPr>
          <w:rFonts w:ascii="Arial" w:hAnsi="Arial" w:cs="Arial"/>
          <w:sz w:val="24"/>
          <w:szCs w:val="24"/>
          <w:lang w:val="en-ZA"/>
        </w:rPr>
        <w:t>raised o</w:t>
      </w:r>
      <w:r w:rsidR="00B948A3" w:rsidRPr="00BD2EDA">
        <w:rPr>
          <w:rFonts w:ascii="Arial" w:hAnsi="Arial" w:cs="Arial"/>
          <w:sz w:val="24"/>
          <w:szCs w:val="24"/>
          <w:lang w:val="en-ZA"/>
        </w:rPr>
        <w:t>n appeal for the first time that Namsov had not</w:t>
      </w:r>
      <w:r w:rsidR="00E512A8" w:rsidRPr="00BD2EDA">
        <w:rPr>
          <w:rFonts w:ascii="Arial" w:hAnsi="Arial" w:cs="Arial"/>
          <w:sz w:val="24"/>
          <w:szCs w:val="24"/>
          <w:lang w:val="en-ZA"/>
        </w:rPr>
        <w:t>,</w:t>
      </w:r>
      <w:r w:rsidR="00B948A3" w:rsidRPr="00BD2EDA">
        <w:rPr>
          <w:rFonts w:ascii="Arial" w:hAnsi="Arial" w:cs="Arial"/>
          <w:sz w:val="24"/>
          <w:szCs w:val="24"/>
          <w:lang w:val="en-ZA"/>
        </w:rPr>
        <w:t xml:space="preserve"> in its founding affidavit</w:t>
      </w:r>
      <w:r w:rsidR="00E512A8" w:rsidRPr="00BD2EDA">
        <w:rPr>
          <w:rFonts w:ascii="Arial" w:hAnsi="Arial" w:cs="Arial"/>
          <w:sz w:val="24"/>
          <w:szCs w:val="24"/>
          <w:lang w:val="en-ZA"/>
        </w:rPr>
        <w:t>,</w:t>
      </w:r>
      <w:r w:rsidR="00B948A3" w:rsidRPr="00BD2EDA">
        <w:rPr>
          <w:rFonts w:ascii="Arial" w:hAnsi="Arial" w:cs="Arial"/>
          <w:sz w:val="24"/>
          <w:szCs w:val="24"/>
          <w:lang w:val="en-ZA"/>
        </w:rPr>
        <w:t xml:space="preserve"> discharged its onus to show that it was a written agreement</w:t>
      </w:r>
      <w:r w:rsidR="00AB025F" w:rsidRPr="00BD2EDA">
        <w:rPr>
          <w:rFonts w:ascii="Arial" w:hAnsi="Arial" w:cs="Arial"/>
          <w:sz w:val="24"/>
          <w:szCs w:val="24"/>
          <w:lang w:val="en-ZA"/>
        </w:rPr>
        <w:t>, despite Merit’s express confirmation of the terms of the agreement under oath with reference to the 21 February letter</w:t>
      </w:r>
      <w:r w:rsidR="004C33B8" w:rsidRPr="00BD2EDA">
        <w:rPr>
          <w:rFonts w:ascii="Arial" w:hAnsi="Arial" w:cs="Arial"/>
          <w:sz w:val="24"/>
          <w:szCs w:val="24"/>
          <w:lang w:val="en-ZA"/>
        </w:rPr>
        <w:t xml:space="preserve"> and prior invocation of the arbitration clause in the sourcing fee agreement</w:t>
      </w:r>
      <w:r w:rsidR="00AB025F" w:rsidRPr="00BD2EDA">
        <w:rPr>
          <w:rFonts w:ascii="Arial" w:hAnsi="Arial" w:cs="Arial"/>
          <w:sz w:val="24"/>
          <w:szCs w:val="24"/>
          <w:lang w:val="en-ZA"/>
        </w:rPr>
        <w:t>.</w:t>
      </w:r>
    </w:p>
    <w:p w:rsidR="00CA0FD7" w:rsidRPr="00BD2EDA" w:rsidRDefault="00CA0FD7" w:rsidP="008F33E7">
      <w:pPr>
        <w:pStyle w:val="ListParagraph"/>
        <w:spacing w:line="480" w:lineRule="auto"/>
        <w:rPr>
          <w:rFonts w:ascii="Arial" w:hAnsi="Arial" w:cs="Arial"/>
          <w:sz w:val="24"/>
          <w:szCs w:val="24"/>
          <w:lang w:val="en-ZA"/>
        </w:rPr>
      </w:pPr>
    </w:p>
    <w:p w:rsidR="00CA0FD7" w:rsidRPr="00BD2EDA" w:rsidRDefault="00E24B10" w:rsidP="00C92F73">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new point thus raised on appeal is without </w:t>
      </w:r>
      <w:r w:rsidR="001854F9" w:rsidRPr="00BD2EDA">
        <w:rPr>
          <w:rFonts w:ascii="Arial" w:hAnsi="Arial" w:cs="Arial"/>
          <w:sz w:val="24"/>
          <w:szCs w:val="24"/>
          <w:lang w:val="en-ZA"/>
        </w:rPr>
        <w:t xml:space="preserve">any </w:t>
      </w:r>
      <w:r w:rsidRPr="00BD2EDA">
        <w:rPr>
          <w:rFonts w:ascii="Arial" w:hAnsi="Arial" w:cs="Arial"/>
          <w:sz w:val="24"/>
          <w:szCs w:val="24"/>
          <w:lang w:val="en-ZA"/>
        </w:rPr>
        <w:t xml:space="preserve">merit </w:t>
      </w:r>
      <w:r w:rsidR="00CD5B8E" w:rsidRPr="00BD2EDA">
        <w:rPr>
          <w:rFonts w:ascii="Arial" w:hAnsi="Arial" w:cs="Arial"/>
          <w:sz w:val="24"/>
          <w:szCs w:val="24"/>
          <w:lang w:val="en-ZA"/>
        </w:rPr>
        <w:t xml:space="preserve">and is </w:t>
      </w:r>
      <w:r w:rsidR="004C33B8" w:rsidRPr="00BD2EDA">
        <w:rPr>
          <w:rFonts w:ascii="Arial" w:hAnsi="Arial" w:cs="Arial"/>
          <w:sz w:val="24"/>
          <w:szCs w:val="24"/>
          <w:lang w:val="en-ZA"/>
        </w:rPr>
        <w:t xml:space="preserve">utterly </w:t>
      </w:r>
      <w:r w:rsidR="00CD5B8E" w:rsidRPr="00BD2EDA">
        <w:rPr>
          <w:rFonts w:ascii="Arial" w:hAnsi="Arial" w:cs="Arial"/>
          <w:sz w:val="24"/>
          <w:szCs w:val="24"/>
          <w:lang w:val="en-ZA"/>
        </w:rPr>
        <w:t>cont</w:t>
      </w:r>
      <w:r w:rsidR="00AB025F" w:rsidRPr="00BD2EDA">
        <w:rPr>
          <w:rFonts w:ascii="Arial" w:hAnsi="Arial" w:cs="Arial"/>
          <w:sz w:val="24"/>
          <w:szCs w:val="24"/>
          <w:lang w:val="en-ZA"/>
        </w:rPr>
        <w:t>riv</w:t>
      </w:r>
      <w:r w:rsidR="00CD5B8E" w:rsidRPr="00BD2EDA">
        <w:rPr>
          <w:rFonts w:ascii="Arial" w:hAnsi="Arial" w:cs="Arial"/>
          <w:sz w:val="24"/>
          <w:szCs w:val="24"/>
          <w:lang w:val="en-ZA"/>
        </w:rPr>
        <w:t>ed</w:t>
      </w:r>
      <w:r w:rsidRPr="00BD2EDA">
        <w:rPr>
          <w:rFonts w:ascii="Arial" w:hAnsi="Arial" w:cs="Arial"/>
          <w:sz w:val="24"/>
          <w:szCs w:val="24"/>
          <w:lang w:val="en-ZA"/>
        </w:rPr>
        <w:t xml:space="preserve">. </w:t>
      </w:r>
      <w:r w:rsidR="00CA0FD7" w:rsidRPr="00BD2EDA">
        <w:rPr>
          <w:rFonts w:ascii="Arial" w:hAnsi="Arial" w:cs="Arial"/>
          <w:sz w:val="24"/>
          <w:szCs w:val="24"/>
          <w:lang w:val="en-ZA"/>
        </w:rPr>
        <w:t xml:space="preserve">Merit’s approach is not only unsustainable </w:t>
      </w:r>
      <w:r w:rsidR="007557DF" w:rsidRPr="00BD2EDA">
        <w:rPr>
          <w:rFonts w:ascii="Arial" w:hAnsi="Arial" w:cs="Arial"/>
          <w:sz w:val="24"/>
          <w:szCs w:val="24"/>
          <w:lang w:val="en-ZA"/>
        </w:rPr>
        <w:t xml:space="preserve">on the facts and </w:t>
      </w:r>
      <w:r w:rsidR="00CA0FD7" w:rsidRPr="00BD2EDA">
        <w:rPr>
          <w:rFonts w:ascii="Arial" w:hAnsi="Arial" w:cs="Arial"/>
          <w:sz w:val="24"/>
          <w:szCs w:val="24"/>
          <w:lang w:val="en-ZA"/>
        </w:rPr>
        <w:t>as a matter of law, but is also unprincipled in the context of</w:t>
      </w:r>
      <w:r w:rsidR="00AB025F" w:rsidRPr="00BD2EDA">
        <w:rPr>
          <w:rFonts w:ascii="Arial" w:hAnsi="Arial" w:cs="Arial"/>
          <w:sz w:val="24"/>
          <w:szCs w:val="24"/>
          <w:lang w:val="en-ZA"/>
        </w:rPr>
        <w:t xml:space="preserve"> all</w:t>
      </w:r>
      <w:r w:rsidR="00CA0FD7" w:rsidRPr="00BD2EDA">
        <w:rPr>
          <w:rFonts w:ascii="Arial" w:hAnsi="Arial" w:cs="Arial"/>
          <w:sz w:val="24"/>
          <w:szCs w:val="24"/>
          <w:lang w:val="en-ZA"/>
        </w:rPr>
        <w:t xml:space="preserve"> the facts of this matter. Namsov has sought a special order</w:t>
      </w:r>
      <w:r w:rsidR="007557DF" w:rsidRPr="00BD2EDA">
        <w:rPr>
          <w:rFonts w:ascii="Arial" w:hAnsi="Arial" w:cs="Arial"/>
          <w:sz w:val="24"/>
          <w:szCs w:val="24"/>
          <w:lang w:val="en-ZA"/>
        </w:rPr>
        <w:t xml:space="preserve"> as to</w:t>
      </w:r>
      <w:r w:rsidR="00CA0FD7" w:rsidRPr="00BD2EDA">
        <w:rPr>
          <w:rFonts w:ascii="Arial" w:hAnsi="Arial" w:cs="Arial"/>
          <w:sz w:val="24"/>
          <w:szCs w:val="24"/>
          <w:lang w:val="en-ZA"/>
        </w:rPr>
        <w:t xml:space="preserve"> </w:t>
      </w:r>
      <w:r w:rsidR="007557DF" w:rsidRPr="00BD2EDA">
        <w:rPr>
          <w:rFonts w:ascii="Arial" w:hAnsi="Arial" w:cs="Arial"/>
          <w:sz w:val="24"/>
          <w:szCs w:val="24"/>
          <w:lang w:val="en-ZA"/>
        </w:rPr>
        <w:t xml:space="preserve">costs </w:t>
      </w:r>
      <w:r w:rsidR="00CA0FD7" w:rsidRPr="00BD2EDA">
        <w:rPr>
          <w:rFonts w:ascii="Arial" w:hAnsi="Arial" w:cs="Arial"/>
          <w:sz w:val="24"/>
          <w:szCs w:val="24"/>
          <w:lang w:val="en-ZA"/>
        </w:rPr>
        <w:t>against Merit by reason of its conduct in this litigation.</w:t>
      </w:r>
      <w:r w:rsidR="00AB025F" w:rsidRPr="00BD2EDA">
        <w:rPr>
          <w:rFonts w:ascii="Arial" w:hAnsi="Arial" w:cs="Arial"/>
          <w:sz w:val="24"/>
          <w:szCs w:val="24"/>
          <w:lang w:val="en-ZA"/>
        </w:rPr>
        <w:t xml:space="preserve"> Mr Rose</w:t>
      </w:r>
      <w:r w:rsidR="00C92F73" w:rsidRPr="00BD2EDA">
        <w:rPr>
          <w:rFonts w:ascii="Arial" w:hAnsi="Arial" w:cs="Arial"/>
          <w:sz w:val="24"/>
          <w:szCs w:val="24"/>
          <w:lang w:val="en-ZA"/>
        </w:rPr>
        <w:t>n</w:t>
      </w:r>
      <w:r w:rsidR="00AB025F" w:rsidRPr="00BD2EDA">
        <w:rPr>
          <w:rFonts w:ascii="Arial" w:hAnsi="Arial" w:cs="Arial"/>
          <w:sz w:val="24"/>
          <w:szCs w:val="24"/>
          <w:lang w:val="en-ZA"/>
        </w:rPr>
        <w:t xml:space="preserve">berg argued that Merit’s approach to the litigation is in bad faith and purely directed at delaying </w:t>
      </w:r>
      <w:r w:rsidR="001854F9" w:rsidRPr="00BD2EDA">
        <w:rPr>
          <w:rFonts w:ascii="Arial" w:hAnsi="Arial" w:cs="Arial"/>
          <w:sz w:val="24"/>
          <w:szCs w:val="24"/>
          <w:lang w:val="en-ZA"/>
        </w:rPr>
        <w:t xml:space="preserve">making </w:t>
      </w:r>
      <w:r w:rsidR="00AB025F" w:rsidRPr="00BD2EDA">
        <w:rPr>
          <w:rFonts w:ascii="Arial" w:hAnsi="Arial" w:cs="Arial"/>
          <w:sz w:val="24"/>
          <w:szCs w:val="24"/>
          <w:lang w:val="en-ZA"/>
        </w:rPr>
        <w:t>payments due to Namsov.</w:t>
      </w:r>
    </w:p>
    <w:p w:rsidR="00F378E1" w:rsidRPr="00BD2EDA" w:rsidRDefault="00CA0FD7" w:rsidP="00BD2EDA">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lastRenderedPageBreak/>
        <w:t xml:space="preserve">The </w:t>
      </w:r>
      <w:r w:rsidR="00E24B10" w:rsidRPr="00BD2EDA">
        <w:rPr>
          <w:rFonts w:ascii="Arial" w:hAnsi="Arial" w:cs="Arial"/>
          <w:sz w:val="24"/>
          <w:szCs w:val="24"/>
          <w:lang w:val="en-ZA"/>
        </w:rPr>
        <w:t>award found</w:t>
      </w:r>
      <w:r w:rsidRPr="00BD2EDA">
        <w:rPr>
          <w:rFonts w:ascii="Arial" w:hAnsi="Arial" w:cs="Arial"/>
          <w:sz w:val="24"/>
          <w:szCs w:val="24"/>
          <w:lang w:val="en-ZA"/>
        </w:rPr>
        <w:t xml:space="preserve"> that Merit had been overpaid the substantial sums reflected in the award. When sued, it invoked the arbitration clause. After an award had been obtained against it, Namsov was obliged to apply to make it an order of court</w:t>
      </w:r>
      <w:r w:rsidR="00455656" w:rsidRPr="00BD2EDA">
        <w:rPr>
          <w:rFonts w:ascii="Arial" w:hAnsi="Arial" w:cs="Arial"/>
          <w:sz w:val="24"/>
          <w:szCs w:val="24"/>
          <w:lang w:val="en-ZA"/>
        </w:rPr>
        <w:t xml:space="preserve"> </w:t>
      </w:r>
      <w:r w:rsidR="00E24B10" w:rsidRPr="00BD2EDA">
        <w:rPr>
          <w:rFonts w:ascii="Arial" w:hAnsi="Arial" w:cs="Arial"/>
          <w:sz w:val="24"/>
          <w:szCs w:val="24"/>
          <w:lang w:val="en-ZA"/>
        </w:rPr>
        <w:t xml:space="preserve">under s 31 </w:t>
      </w:r>
      <w:r w:rsidR="00455656" w:rsidRPr="00BD2EDA">
        <w:rPr>
          <w:rFonts w:ascii="Arial" w:hAnsi="Arial" w:cs="Arial"/>
          <w:sz w:val="24"/>
          <w:szCs w:val="24"/>
          <w:lang w:val="en-ZA"/>
        </w:rPr>
        <w:t>in order to secure payment</w:t>
      </w:r>
      <w:r w:rsidRPr="00BD2EDA">
        <w:rPr>
          <w:rFonts w:ascii="Arial" w:hAnsi="Arial" w:cs="Arial"/>
          <w:sz w:val="24"/>
          <w:szCs w:val="24"/>
          <w:lang w:val="en-ZA"/>
        </w:rPr>
        <w:t xml:space="preserve">. When doing so, Merit confirmed </w:t>
      </w:r>
      <w:r w:rsidR="00F378E1" w:rsidRPr="00BD2EDA">
        <w:rPr>
          <w:rFonts w:ascii="Arial" w:hAnsi="Arial" w:cs="Arial"/>
          <w:sz w:val="24"/>
          <w:szCs w:val="24"/>
          <w:lang w:val="en-ZA"/>
        </w:rPr>
        <w:t xml:space="preserve">the agreement to arbitrate but raised an unmeritorious point which the High Court roundly rejected. On appeal, Merit endeavoured to raise a point for the first time which was completely </w:t>
      </w:r>
      <w:r w:rsidR="00E24B10" w:rsidRPr="00BD2EDA">
        <w:rPr>
          <w:rFonts w:ascii="Arial" w:hAnsi="Arial" w:cs="Arial"/>
          <w:sz w:val="24"/>
          <w:szCs w:val="24"/>
          <w:lang w:val="en-ZA"/>
        </w:rPr>
        <w:t>at variance</w:t>
      </w:r>
      <w:r w:rsidR="00F378E1" w:rsidRPr="00BD2EDA">
        <w:rPr>
          <w:rFonts w:ascii="Arial" w:hAnsi="Arial" w:cs="Arial"/>
          <w:sz w:val="24"/>
          <w:szCs w:val="24"/>
          <w:lang w:val="en-ZA"/>
        </w:rPr>
        <w:t xml:space="preserve"> with its prior stance and the case it had pleaded and </w:t>
      </w:r>
      <w:r w:rsidR="00E24B10" w:rsidRPr="00BD2EDA">
        <w:rPr>
          <w:rFonts w:ascii="Arial" w:hAnsi="Arial" w:cs="Arial"/>
          <w:sz w:val="24"/>
          <w:szCs w:val="24"/>
          <w:lang w:val="en-ZA"/>
        </w:rPr>
        <w:t xml:space="preserve">which </w:t>
      </w:r>
      <w:r w:rsidR="00F378E1" w:rsidRPr="00BD2EDA">
        <w:rPr>
          <w:rFonts w:ascii="Arial" w:hAnsi="Arial" w:cs="Arial"/>
          <w:sz w:val="24"/>
          <w:szCs w:val="24"/>
          <w:lang w:val="en-ZA"/>
        </w:rPr>
        <w:t xml:space="preserve">was </w:t>
      </w:r>
      <w:r w:rsidR="00E24B10" w:rsidRPr="00BD2EDA">
        <w:rPr>
          <w:rFonts w:ascii="Arial" w:hAnsi="Arial" w:cs="Arial"/>
          <w:sz w:val="24"/>
          <w:szCs w:val="24"/>
          <w:lang w:val="en-ZA"/>
        </w:rPr>
        <w:t xml:space="preserve">also </w:t>
      </w:r>
      <w:r w:rsidR="00F378E1" w:rsidRPr="00BD2EDA">
        <w:rPr>
          <w:rFonts w:ascii="Arial" w:hAnsi="Arial" w:cs="Arial"/>
          <w:sz w:val="24"/>
          <w:szCs w:val="24"/>
          <w:lang w:val="en-ZA"/>
        </w:rPr>
        <w:t>demonstrably unsustainable. The unprincipled conduct in this litigation on the part of Merit</w:t>
      </w:r>
      <w:r w:rsidR="00E512A8" w:rsidRPr="00BD2EDA">
        <w:rPr>
          <w:rFonts w:ascii="Arial" w:hAnsi="Arial" w:cs="Arial"/>
          <w:sz w:val="24"/>
          <w:szCs w:val="24"/>
          <w:lang w:val="en-ZA"/>
        </w:rPr>
        <w:t>,</w:t>
      </w:r>
      <w:r w:rsidR="00F378E1" w:rsidRPr="00BD2EDA">
        <w:rPr>
          <w:rFonts w:ascii="Arial" w:hAnsi="Arial" w:cs="Arial"/>
          <w:sz w:val="24"/>
          <w:szCs w:val="24"/>
          <w:lang w:val="en-ZA"/>
        </w:rPr>
        <w:t xml:space="preserve"> in my view</w:t>
      </w:r>
      <w:r w:rsidR="00E512A8" w:rsidRPr="00BD2EDA">
        <w:rPr>
          <w:rFonts w:ascii="Arial" w:hAnsi="Arial" w:cs="Arial"/>
          <w:sz w:val="24"/>
          <w:szCs w:val="24"/>
          <w:lang w:val="en-ZA"/>
        </w:rPr>
        <w:t>,</w:t>
      </w:r>
      <w:r w:rsidR="00F378E1" w:rsidRPr="00BD2EDA">
        <w:rPr>
          <w:rFonts w:ascii="Arial" w:hAnsi="Arial" w:cs="Arial"/>
          <w:sz w:val="24"/>
          <w:szCs w:val="24"/>
          <w:lang w:val="en-ZA"/>
        </w:rPr>
        <w:t xml:space="preserve"> warrants censure and justifies a special order of costs on appeal.</w:t>
      </w:r>
    </w:p>
    <w:p w:rsidR="006D4C8E" w:rsidRPr="00BD2EDA" w:rsidRDefault="006D4C8E" w:rsidP="00F378E1">
      <w:pPr>
        <w:pStyle w:val="ListParagraph"/>
        <w:spacing w:line="480" w:lineRule="auto"/>
        <w:rPr>
          <w:rFonts w:ascii="Arial" w:hAnsi="Arial" w:cs="Arial"/>
          <w:sz w:val="24"/>
          <w:szCs w:val="24"/>
          <w:lang w:val="en-ZA"/>
        </w:rPr>
      </w:pPr>
    </w:p>
    <w:p w:rsidR="00CA0FD7" w:rsidRPr="00BD2EDA" w:rsidRDefault="00F378E1" w:rsidP="00F378E1">
      <w:pPr>
        <w:pStyle w:val="ListParagraph"/>
        <w:numPr>
          <w:ilvl w:val="0"/>
          <w:numId w:val="18"/>
        </w:numPr>
        <w:spacing w:line="480" w:lineRule="auto"/>
        <w:ind w:left="0" w:firstLine="0"/>
        <w:jc w:val="both"/>
        <w:rPr>
          <w:rFonts w:ascii="Arial" w:hAnsi="Arial" w:cs="Arial"/>
          <w:sz w:val="24"/>
          <w:szCs w:val="24"/>
          <w:lang w:val="en-ZA"/>
        </w:rPr>
      </w:pPr>
      <w:r w:rsidRPr="00BD2EDA">
        <w:rPr>
          <w:rFonts w:ascii="Arial" w:hAnsi="Arial" w:cs="Arial"/>
          <w:sz w:val="24"/>
          <w:szCs w:val="24"/>
          <w:lang w:val="en-ZA"/>
        </w:rPr>
        <w:t xml:space="preserve">The following order is made. </w:t>
      </w:r>
    </w:p>
    <w:p w:rsidR="00CA0FD7" w:rsidRPr="00BD2EDA" w:rsidRDefault="00CA0FD7" w:rsidP="00F378E1">
      <w:pPr>
        <w:pStyle w:val="ListParagraph"/>
        <w:spacing w:line="480" w:lineRule="auto"/>
        <w:rPr>
          <w:rFonts w:ascii="Arial" w:hAnsi="Arial" w:cs="Arial"/>
          <w:sz w:val="24"/>
          <w:szCs w:val="24"/>
          <w:lang w:val="en-ZA"/>
        </w:rPr>
      </w:pPr>
    </w:p>
    <w:p w:rsidR="00CA0FD7" w:rsidRPr="00BD2EDA" w:rsidRDefault="001854F9" w:rsidP="00F378E1">
      <w:pPr>
        <w:pStyle w:val="ListParagraph"/>
        <w:numPr>
          <w:ilvl w:val="0"/>
          <w:numId w:val="19"/>
        </w:numPr>
        <w:spacing w:line="480" w:lineRule="auto"/>
        <w:ind w:left="1134" w:hanging="414"/>
        <w:jc w:val="both"/>
        <w:rPr>
          <w:rFonts w:ascii="Arial" w:hAnsi="Arial" w:cs="Arial"/>
          <w:sz w:val="24"/>
          <w:szCs w:val="24"/>
          <w:lang w:val="en-ZA"/>
        </w:rPr>
      </w:pPr>
      <w:r w:rsidRPr="00BD2EDA">
        <w:rPr>
          <w:rFonts w:ascii="Arial" w:hAnsi="Arial" w:cs="Arial"/>
          <w:sz w:val="24"/>
          <w:szCs w:val="24"/>
          <w:lang w:val="en-ZA"/>
        </w:rPr>
        <w:t>The a</w:t>
      </w:r>
      <w:r w:rsidR="00F378E1" w:rsidRPr="00BD2EDA">
        <w:rPr>
          <w:rFonts w:ascii="Arial" w:hAnsi="Arial" w:cs="Arial"/>
          <w:sz w:val="24"/>
          <w:szCs w:val="24"/>
          <w:lang w:val="en-ZA"/>
        </w:rPr>
        <w:t>ppeal is dismissed with costs on the scale as between legal practitioner and client.</w:t>
      </w:r>
      <w:r w:rsidRPr="00BD2EDA">
        <w:rPr>
          <w:rFonts w:ascii="Arial" w:hAnsi="Arial" w:cs="Arial"/>
          <w:sz w:val="24"/>
          <w:szCs w:val="24"/>
          <w:lang w:val="en-ZA"/>
        </w:rPr>
        <w:t xml:space="preserve"> T</w:t>
      </w:r>
      <w:r w:rsidR="00CD5B8E" w:rsidRPr="00BD2EDA">
        <w:rPr>
          <w:rFonts w:ascii="Arial" w:hAnsi="Arial" w:cs="Arial"/>
          <w:sz w:val="24"/>
          <w:szCs w:val="24"/>
          <w:lang w:val="en-ZA"/>
        </w:rPr>
        <w:t>he costs include those of one instructed and one instructing counsel.</w:t>
      </w:r>
    </w:p>
    <w:p w:rsidR="00E512A8" w:rsidRDefault="00E512A8" w:rsidP="0090146D">
      <w:pPr>
        <w:spacing w:line="240" w:lineRule="auto"/>
        <w:jc w:val="both"/>
        <w:rPr>
          <w:rFonts w:ascii="Arial" w:hAnsi="Arial" w:cs="Arial"/>
          <w:b/>
          <w:sz w:val="24"/>
          <w:szCs w:val="24"/>
          <w:lang w:val="en-ZA"/>
        </w:rPr>
      </w:pPr>
    </w:p>
    <w:p w:rsidR="00595EA4" w:rsidRDefault="00595EA4" w:rsidP="0090146D">
      <w:pPr>
        <w:spacing w:line="240" w:lineRule="auto"/>
        <w:jc w:val="both"/>
        <w:rPr>
          <w:rFonts w:ascii="Arial" w:hAnsi="Arial" w:cs="Arial"/>
          <w:b/>
          <w:sz w:val="24"/>
          <w:szCs w:val="24"/>
          <w:lang w:val="en-ZA"/>
        </w:rPr>
      </w:pPr>
    </w:p>
    <w:p w:rsidR="0090146D" w:rsidRPr="00BD2EDA" w:rsidRDefault="0090146D" w:rsidP="0090146D">
      <w:pPr>
        <w:spacing w:line="240" w:lineRule="auto"/>
        <w:jc w:val="both"/>
        <w:rPr>
          <w:rFonts w:ascii="Arial" w:hAnsi="Arial" w:cs="Arial"/>
          <w:b/>
          <w:sz w:val="24"/>
          <w:szCs w:val="24"/>
          <w:lang w:val="en-ZA"/>
        </w:rPr>
      </w:pPr>
    </w:p>
    <w:p w:rsidR="006C3DDF" w:rsidRPr="00BD2EDA" w:rsidRDefault="006C3DDF" w:rsidP="0090146D">
      <w:pPr>
        <w:spacing w:line="240" w:lineRule="auto"/>
        <w:jc w:val="both"/>
        <w:rPr>
          <w:rFonts w:ascii="Arial" w:hAnsi="Arial" w:cs="Arial"/>
          <w:sz w:val="24"/>
          <w:szCs w:val="24"/>
          <w:lang w:val="en-ZA"/>
        </w:rPr>
      </w:pPr>
      <w:r w:rsidRPr="00BD2EDA">
        <w:rPr>
          <w:rFonts w:ascii="Arial" w:hAnsi="Arial" w:cs="Arial"/>
          <w:sz w:val="24"/>
          <w:szCs w:val="24"/>
          <w:lang w:val="en-ZA"/>
        </w:rPr>
        <w:t>_____________________</w:t>
      </w:r>
      <w:r w:rsidR="00812BB3">
        <w:rPr>
          <w:rFonts w:ascii="Arial" w:hAnsi="Arial" w:cs="Arial"/>
          <w:sz w:val="24"/>
          <w:szCs w:val="24"/>
          <w:lang w:val="en-ZA"/>
        </w:rPr>
        <w:t>___</w:t>
      </w:r>
    </w:p>
    <w:p w:rsidR="00812BB3" w:rsidRDefault="006C3DDF" w:rsidP="0090146D">
      <w:pPr>
        <w:spacing w:line="240" w:lineRule="auto"/>
        <w:jc w:val="both"/>
        <w:rPr>
          <w:rFonts w:ascii="Arial" w:hAnsi="Arial" w:cs="Arial"/>
          <w:b/>
          <w:sz w:val="24"/>
          <w:szCs w:val="24"/>
          <w:lang w:val="en-ZA"/>
        </w:rPr>
      </w:pPr>
      <w:r w:rsidRPr="00BD2EDA">
        <w:rPr>
          <w:rFonts w:ascii="Arial" w:hAnsi="Arial" w:cs="Arial"/>
          <w:b/>
          <w:sz w:val="24"/>
          <w:szCs w:val="24"/>
          <w:lang w:val="en-ZA"/>
        </w:rPr>
        <w:t>SMUTS JA</w:t>
      </w:r>
    </w:p>
    <w:p w:rsidR="00BE2108" w:rsidRDefault="00BE2108" w:rsidP="0090146D">
      <w:pPr>
        <w:spacing w:line="240" w:lineRule="auto"/>
        <w:jc w:val="both"/>
        <w:rPr>
          <w:rFonts w:ascii="Arial" w:hAnsi="Arial" w:cs="Arial"/>
          <w:b/>
          <w:sz w:val="24"/>
          <w:szCs w:val="24"/>
          <w:lang w:val="en-ZA"/>
        </w:rPr>
      </w:pPr>
    </w:p>
    <w:p w:rsidR="00453BAE" w:rsidRDefault="00453BAE" w:rsidP="0090146D">
      <w:pPr>
        <w:spacing w:line="240" w:lineRule="auto"/>
        <w:jc w:val="both"/>
        <w:rPr>
          <w:rFonts w:ascii="Arial" w:hAnsi="Arial" w:cs="Arial"/>
          <w:b/>
          <w:sz w:val="24"/>
          <w:szCs w:val="24"/>
          <w:lang w:val="en-ZA"/>
        </w:rPr>
      </w:pPr>
    </w:p>
    <w:p w:rsidR="0090146D" w:rsidRDefault="0090146D" w:rsidP="0090146D">
      <w:pPr>
        <w:spacing w:line="240" w:lineRule="auto"/>
        <w:jc w:val="both"/>
        <w:rPr>
          <w:rFonts w:ascii="Arial" w:hAnsi="Arial" w:cs="Arial"/>
          <w:b/>
          <w:sz w:val="24"/>
          <w:szCs w:val="24"/>
          <w:lang w:val="en-ZA"/>
        </w:rPr>
      </w:pPr>
    </w:p>
    <w:p w:rsidR="0090146D" w:rsidRDefault="0090146D" w:rsidP="0090146D">
      <w:pPr>
        <w:spacing w:line="240" w:lineRule="auto"/>
        <w:jc w:val="both"/>
        <w:rPr>
          <w:rFonts w:ascii="Arial" w:hAnsi="Arial" w:cs="Arial"/>
          <w:b/>
          <w:sz w:val="24"/>
          <w:szCs w:val="24"/>
          <w:lang w:val="en-ZA"/>
        </w:rPr>
      </w:pPr>
    </w:p>
    <w:p w:rsidR="00BE2108" w:rsidRPr="00BD2EDA" w:rsidRDefault="00BE2108" w:rsidP="0090146D">
      <w:pPr>
        <w:spacing w:line="240" w:lineRule="auto"/>
        <w:jc w:val="both"/>
        <w:rPr>
          <w:rFonts w:ascii="Arial" w:hAnsi="Arial" w:cs="Arial"/>
          <w:sz w:val="24"/>
          <w:szCs w:val="24"/>
          <w:lang w:val="en-ZA"/>
        </w:rPr>
      </w:pPr>
      <w:r w:rsidRPr="00BD2EDA">
        <w:rPr>
          <w:rFonts w:ascii="Arial" w:hAnsi="Arial" w:cs="Arial"/>
          <w:sz w:val="24"/>
          <w:szCs w:val="24"/>
          <w:lang w:val="en-ZA"/>
        </w:rPr>
        <w:t>_____________________</w:t>
      </w:r>
      <w:r w:rsidR="00EB45F9">
        <w:rPr>
          <w:rFonts w:ascii="Arial" w:hAnsi="Arial" w:cs="Arial"/>
          <w:sz w:val="24"/>
          <w:szCs w:val="24"/>
          <w:lang w:val="en-ZA"/>
        </w:rPr>
        <w:t>___</w:t>
      </w:r>
    </w:p>
    <w:p w:rsidR="00BE2108" w:rsidRDefault="00BE2108" w:rsidP="0090146D">
      <w:pPr>
        <w:spacing w:line="240" w:lineRule="auto"/>
        <w:jc w:val="both"/>
        <w:rPr>
          <w:rFonts w:ascii="Arial" w:hAnsi="Arial" w:cs="Arial"/>
          <w:b/>
          <w:sz w:val="24"/>
          <w:szCs w:val="24"/>
          <w:lang w:val="en-ZA"/>
        </w:rPr>
      </w:pPr>
      <w:r w:rsidRPr="00BD2EDA">
        <w:rPr>
          <w:rFonts w:ascii="Arial" w:hAnsi="Arial" w:cs="Arial"/>
          <w:b/>
          <w:sz w:val="24"/>
          <w:szCs w:val="24"/>
          <w:lang w:val="en-ZA"/>
        </w:rPr>
        <w:t>MAINGA JA</w:t>
      </w:r>
    </w:p>
    <w:p w:rsidR="00BE2108" w:rsidRDefault="00BE2108" w:rsidP="0090146D">
      <w:pPr>
        <w:spacing w:line="240" w:lineRule="auto"/>
        <w:jc w:val="both"/>
        <w:rPr>
          <w:rFonts w:ascii="Arial" w:hAnsi="Arial" w:cs="Arial"/>
          <w:b/>
          <w:sz w:val="24"/>
          <w:szCs w:val="24"/>
          <w:lang w:val="en-ZA"/>
        </w:rPr>
      </w:pPr>
    </w:p>
    <w:p w:rsidR="0090146D" w:rsidRDefault="0090146D" w:rsidP="0090146D">
      <w:pPr>
        <w:spacing w:line="240" w:lineRule="auto"/>
        <w:jc w:val="both"/>
        <w:rPr>
          <w:rFonts w:ascii="Arial" w:hAnsi="Arial" w:cs="Arial"/>
          <w:sz w:val="24"/>
          <w:szCs w:val="24"/>
          <w:lang w:val="en-ZA"/>
        </w:rPr>
      </w:pPr>
    </w:p>
    <w:p w:rsidR="00E00E6B" w:rsidRDefault="00453BAE" w:rsidP="0090146D">
      <w:pPr>
        <w:spacing w:line="240" w:lineRule="auto"/>
        <w:jc w:val="both"/>
        <w:rPr>
          <w:rFonts w:ascii="Arial" w:hAnsi="Arial" w:cs="Arial"/>
          <w:sz w:val="24"/>
          <w:szCs w:val="24"/>
          <w:lang w:val="en-ZA"/>
        </w:rPr>
      </w:pPr>
      <w:r w:rsidRPr="00453BAE">
        <w:rPr>
          <w:rFonts w:ascii="Arial" w:hAnsi="Arial" w:cs="Arial"/>
          <w:sz w:val="24"/>
          <w:szCs w:val="24"/>
          <w:lang w:val="en-ZA"/>
        </w:rPr>
        <w:t>DAMASEB DCJ</w:t>
      </w:r>
      <w:r>
        <w:rPr>
          <w:rFonts w:ascii="Arial" w:hAnsi="Arial" w:cs="Arial"/>
          <w:sz w:val="24"/>
          <w:szCs w:val="24"/>
          <w:lang w:val="en-ZA"/>
        </w:rPr>
        <w:t xml:space="preserve"> </w:t>
      </w:r>
      <w:r w:rsidRPr="00EB45F9">
        <w:rPr>
          <w:rFonts w:ascii="Arial" w:hAnsi="Arial" w:cs="Arial"/>
          <w:sz w:val="24"/>
          <w:szCs w:val="24"/>
          <w:lang w:val="en-ZA"/>
        </w:rPr>
        <w:t>(concurring)</w:t>
      </w:r>
    </w:p>
    <w:p w:rsidR="00595EA4" w:rsidRPr="00453BAE" w:rsidRDefault="00595EA4" w:rsidP="0090146D">
      <w:pPr>
        <w:spacing w:line="240" w:lineRule="auto"/>
        <w:jc w:val="both"/>
        <w:rPr>
          <w:rFonts w:ascii="Arial" w:hAnsi="Arial" w:cs="Arial"/>
          <w:sz w:val="24"/>
          <w:szCs w:val="24"/>
          <w:lang w:val="en-ZA"/>
        </w:rPr>
      </w:pPr>
    </w:p>
    <w:p w:rsidR="00812BB3" w:rsidRPr="00812BB3" w:rsidRDefault="00812BB3" w:rsidP="00812BB3">
      <w:pPr>
        <w:spacing w:line="480" w:lineRule="auto"/>
        <w:jc w:val="both"/>
        <w:rPr>
          <w:rFonts w:ascii="Arial" w:hAnsi="Arial" w:cs="Arial"/>
          <w:sz w:val="24"/>
          <w:szCs w:val="24"/>
          <w:lang w:val="nl-NL"/>
        </w:rPr>
      </w:pPr>
      <w:r w:rsidRPr="00812BB3">
        <w:rPr>
          <w:rFonts w:ascii="Arial" w:hAnsi="Arial" w:cs="Arial"/>
          <w:sz w:val="24"/>
          <w:szCs w:val="24"/>
          <w:lang w:val="nl-NL"/>
        </w:rPr>
        <w:t>[27]</w:t>
      </w:r>
      <w:r w:rsidRPr="00812BB3">
        <w:rPr>
          <w:rFonts w:ascii="Arial" w:hAnsi="Arial" w:cs="Arial"/>
          <w:sz w:val="24"/>
          <w:szCs w:val="24"/>
          <w:lang w:val="nl-NL"/>
        </w:rPr>
        <w:tab/>
      </w:r>
      <w:r w:rsidR="00BE2108">
        <w:rPr>
          <w:rFonts w:ascii="Arial" w:hAnsi="Arial" w:cs="Arial"/>
          <w:sz w:val="24"/>
          <w:szCs w:val="24"/>
          <w:lang w:val="nl-NL"/>
        </w:rPr>
        <w:t>I have read</w:t>
      </w:r>
      <w:r w:rsidRPr="00812BB3">
        <w:rPr>
          <w:rFonts w:ascii="Arial" w:hAnsi="Arial" w:cs="Arial"/>
          <w:sz w:val="24"/>
          <w:szCs w:val="24"/>
          <w:lang w:val="nl-NL"/>
        </w:rPr>
        <w:t xml:space="preserve"> the judgement prepared by Smuts JA and wish to record that I agree with his reasoning and the order he proposes. I wish to add a few remarks of my own in </w:t>
      </w:r>
      <w:r w:rsidRPr="00812BB3">
        <w:rPr>
          <w:rFonts w:ascii="Arial" w:hAnsi="Arial" w:cs="Arial"/>
          <w:sz w:val="24"/>
          <w:szCs w:val="24"/>
          <w:lang w:val="en-GB"/>
        </w:rPr>
        <w:t>support</w:t>
      </w:r>
      <w:r w:rsidRPr="00812BB3">
        <w:rPr>
          <w:rFonts w:ascii="Arial" w:hAnsi="Arial" w:cs="Arial"/>
          <w:sz w:val="24"/>
          <w:szCs w:val="24"/>
          <w:lang w:val="nl-NL"/>
        </w:rPr>
        <w:t xml:space="preserve"> of the order that my learned brother proposes.</w:t>
      </w:r>
    </w:p>
    <w:p w:rsidR="00812BB3" w:rsidRPr="00812BB3" w:rsidRDefault="00812BB3" w:rsidP="00812BB3">
      <w:pPr>
        <w:spacing w:line="480" w:lineRule="auto"/>
        <w:jc w:val="both"/>
        <w:rPr>
          <w:rFonts w:ascii="Arial" w:hAnsi="Arial" w:cs="Arial"/>
          <w:sz w:val="24"/>
          <w:szCs w:val="24"/>
          <w:lang w:val="nl-NL"/>
        </w:rPr>
      </w:pPr>
    </w:p>
    <w:p w:rsidR="00812BB3" w:rsidRPr="00812BB3" w:rsidRDefault="00812BB3" w:rsidP="00812BB3">
      <w:pPr>
        <w:spacing w:line="480" w:lineRule="auto"/>
        <w:jc w:val="both"/>
        <w:rPr>
          <w:rFonts w:ascii="Arial" w:hAnsi="Arial" w:cs="Arial"/>
          <w:sz w:val="24"/>
          <w:szCs w:val="24"/>
          <w:lang w:val="en-GB"/>
        </w:rPr>
      </w:pPr>
      <w:r w:rsidRPr="00812BB3">
        <w:rPr>
          <w:rFonts w:ascii="Arial" w:hAnsi="Arial" w:cs="Arial"/>
          <w:sz w:val="24"/>
          <w:szCs w:val="24"/>
          <w:lang w:val="en-GB"/>
        </w:rPr>
        <w:t>[28</w:t>
      </w:r>
      <w:r>
        <w:rPr>
          <w:rFonts w:ascii="Arial" w:hAnsi="Arial" w:cs="Arial"/>
          <w:sz w:val="24"/>
          <w:szCs w:val="24"/>
          <w:lang w:val="en-GB"/>
        </w:rPr>
        <w:t>]</w:t>
      </w:r>
      <w:r>
        <w:rPr>
          <w:rFonts w:ascii="Arial" w:hAnsi="Arial" w:cs="Arial"/>
          <w:sz w:val="24"/>
          <w:szCs w:val="24"/>
          <w:lang w:val="en-GB"/>
        </w:rPr>
        <w:tab/>
      </w:r>
      <w:r w:rsidRPr="00812BB3">
        <w:rPr>
          <w:rFonts w:ascii="Arial" w:hAnsi="Arial" w:cs="Arial"/>
          <w:sz w:val="24"/>
          <w:szCs w:val="24"/>
          <w:lang w:val="en-GB"/>
        </w:rPr>
        <w:t>There is something called the ‘tyranny of litigation’. Its dangers are real and ever-present as shown by the facts of this case. It is to combat it that modern legal systems apply the principle, rooted in public legal policy, that parties must ventilate all justiciable legal issues and disputes during the course of the same legal contest. That principle is to be departed from in only the rarest of cases. I need not go into them on this occasion as the appeal does not turn on that issue.</w:t>
      </w:r>
    </w:p>
    <w:p w:rsidR="00812BB3" w:rsidRPr="00812BB3" w:rsidRDefault="00812BB3" w:rsidP="00812BB3">
      <w:pPr>
        <w:spacing w:line="480" w:lineRule="auto"/>
        <w:jc w:val="both"/>
        <w:rPr>
          <w:rFonts w:ascii="Arial" w:hAnsi="Arial" w:cs="Arial"/>
          <w:sz w:val="24"/>
          <w:szCs w:val="24"/>
          <w:lang w:val="en-GB"/>
        </w:rPr>
      </w:pPr>
    </w:p>
    <w:p w:rsidR="00812BB3" w:rsidRPr="00812BB3" w:rsidRDefault="00812BB3" w:rsidP="00812BB3">
      <w:pPr>
        <w:spacing w:line="480" w:lineRule="auto"/>
        <w:jc w:val="both"/>
        <w:rPr>
          <w:rFonts w:ascii="Arial" w:hAnsi="Arial" w:cs="Arial"/>
          <w:sz w:val="24"/>
          <w:szCs w:val="24"/>
          <w:lang w:val="en-GB"/>
        </w:rPr>
      </w:pPr>
      <w:r w:rsidRPr="00812BB3">
        <w:rPr>
          <w:rFonts w:ascii="Arial" w:hAnsi="Arial" w:cs="Arial"/>
          <w:sz w:val="24"/>
          <w:szCs w:val="24"/>
          <w:lang w:val="en-GB"/>
        </w:rPr>
        <w:t>[29</w:t>
      </w:r>
      <w:r>
        <w:rPr>
          <w:rFonts w:ascii="Arial" w:hAnsi="Arial" w:cs="Arial"/>
          <w:sz w:val="24"/>
          <w:szCs w:val="24"/>
          <w:lang w:val="en-GB"/>
        </w:rPr>
        <w:t>]</w:t>
      </w:r>
      <w:r>
        <w:rPr>
          <w:rFonts w:ascii="Arial" w:hAnsi="Arial" w:cs="Arial"/>
          <w:sz w:val="24"/>
          <w:szCs w:val="24"/>
          <w:lang w:val="en-GB"/>
        </w:rPr>
        <w:tab/>
      </w:r>
      <w:r w:rsidRPr="00812BB3">
        <w:rPr>
          <w:rFonts w:ascii="Arial" w:hAnsi="Arial" w:cs="Arial"/>
          <w:sz w:val="24"/>
          <w:szCs w:val="24"/>
          <w:lang w:val="en-GB"/>
        </w:rPr>
        <w:t xml:space="preserve">Foundational to the appellant’s (Merit) argument in this court, for the first time on appeal I may add, is the proposition made with great enthusiasm that a party who seeks to enforce an arbitration award in terms of s 31 of the Arbitration Act 42 of 1965  (the Act) must allege and prove that the arbitration took place in terms of a valid ‘written’ arbitration agreement. Now, that proposition is both simple and trite. Yet we have not the slightest hint from the litigation history why it was never made in the High Court either in the pleadings, in </w:t>
      </w:r>
      <w:r w:rsidRPr="00812BB3">
        <w:rPr>
          <w:rFonts w:ascii="Arial" w:hAnsi="Arial" w:cs="Arial"/>
          <w:i/>
          <w:sz w:val="24"/>
          <w:szCs w:val="24"/>
          <w:lang w:val="en-GB"/>
        </w:rPr>
        <w:t xml:space="preserve">limine </w:t>
      </w:r>
      <w:r w:rsidRPr="00812BB3">
        <w:rPr>
          <w:rFonts w:ascii="Arial" w:hAnsi="Arial" w:cs="Arial"/>
          <w:sz w:val="24"/>
          <w:szCs w:val="24"/>
          <w:lang w:val="en-GB"/>
        </w:rPr>
        <w:t xml:space="preserve">or, for that matter, during the course of the argument in that court. </w:t>
      </w:r>
    </w:p>
    <w:p w:rsidR="00812BB3" w:rsidRPr="00812BB3" w:rsidRDefault="00812BB3" w:rsidP="00812BB3">
      <w:pPr>
        <w:spacing w:line="480" w:lineRule="auto"/>
        <w:jc w:val="both"/>
        <w:rPr>
          <w:rFonts w:ascii="Arial" w:hAnsi="Arial" w:cs="Arial"/>
          <w:sz w:val="24"/>
          <w:szCs w:val="24"/>
          <w:lang w:val="en-GB"/>
        </w:rPr>
      </w:pPr>
    </w:p>
    <w:p w:rsidR="00812BB3" w:rsidRPr="00812BB3" w:rsidRDefault="00812BB3" w:rsidP="00812BB3">
      <w:pPr>
        <w:spacing w:line="480" w:lineRule="auto"/>
        <w:jc w:val="both"/>
        <w:rPr>
          <w:rFonts w:ascii="Arial" w:hAnsi="Arial" w:cs="Arial"/>
          <w:sz w:val="24"/>
          <w:szCs w:val="24"/>
          <w:lang w:val="en-GB"/>
        </w:rPr>
      </w:pPr>
      <w:r w:rsidRPr="00812BB3">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r>
      <w:r w:rsidRPr="00812BB3">
        <w:rPr>
          <w:rFonts w:ascii="Arial" w:hAnsi="Arial" w:cs="Arial"/>
          <w:sz w:val="24"/>
          <w:szCs w:val="24"/>
          <w:lang w:val="en-GB"/>
        </w:rPr>
        <w:t xml:space="preserve">I agree with Smuts JA that the appellant had accepted in the court </w:t>
      </w:r>
      <w:r w:rsidRPr="00812BB3">
        <w:rPr>
          <w:rFonts w:ascii="Arial" w:hAnsi="Arial" w:cs="Arial"/>
          <w:i/>
          <w:sz w:val="24"/>
          <w:szCs w:val="24"/>
          <w:lang w:val="en-GB"/>
        </w:rPr>
        <w:t>a quo</w:t>
      </w:r>
      <w:r w:rsidRPr="00812BB3">
        <w:rPr>
          <w:rFonts w:ascii="Arial" w:hAnsi="Arial" w:cs="Arial"/>
          <w:sz w:val="24"/>
          <w:szCs w:val="24"/>
          <w:lang w:val="en-GB"/>
        </w:rPr>
        <w:t xml:space="preserve"> that the arbitration proceeding, which followed after it demanded that course, was based on a written agreement as contemplated under the Act. Miller AJ proceeded from that premise and it is untenable to now accuse him of having misdirected himself in not engaging in some inquiry, independent of the pleadings or the parties’ contentions, whether in fact the arbitration proceeding followed upon a written agreement. </w:t>
      </w:r>
    </w:p>
    <w:p w:rsidR="00812BB3" w:rsidRPr="00812BB3" w:rsidRDefault="00812BB3" w:rsidP="00812BB3">
      <w:pPr>
        <w:spacing w:line="480" w:lineRule="auto"/>
        <w:jc w:val="both"/>
        <w:rPr>
          <w:rFonts w:ascii="Arial" w:hAnsi="Arial" w:cs="Arial"/>
          <w:sz w:val="24"/>
          <w:szCs w:val="24"/>
          <w:lang w:val="nl-NL"/>
        </w:rPr>
      </w:pPr>
    </w:p>
    <w:p w:rsidR="00812BB3" w:rsidRPr="00812BB3" w:rsidRDefault="00812BB3" w:rsidP="00812BB3">
      <w:pPr>
        <w:spacing w:line="480" w:lineRule="auto"/>
        <w:jc w:val="both"/>
        <w:rPr>
          <w:rFonts w:ascii="Arial" w:eastAsiaTheme="minorHAnsi" w:hAnsi="Arial" w:cs="Arial"/>
          <w:sz w:val="24"/>
          <w:szCs w:val="24"/>
          <w:lang w:val="en-ZA"/>
        </w:rPr>
      </w:pPr>
      <w:r>
        <w:rPr>
          <w:rFonts w:ascii="Arial" w:eastAsiaTheme="minorHAnsi" w:hAnsi="Arial" w:cs="Arial"/>
          <w:sz w:val="24"/>
          <w:szCs w:val="24"/>
          <w:lang w:val="nl-NL"/>
        </w:rPr>
        <w:t>[31]</w:t>
      </w:r>
      <w:r>
        <w:rPr>
          <w:rFonts w:ascii="Arial" w:eastAsiaTheme="minorHAnsi" w:hAnsi="Arial" w:cs="Arial"/>
          <w:sz w:val="24"/>
          <w:szCs w:val="24"/>
          <w:lang w:val="nl-NL"/>
        </w:rPr>
        <w:tab/>
      </w:r>
      <w:r w:rsidRPr="00812BB3">
        <w:rPr>
          <w:rFonts w:ascii="Arial" w:eastAsiaTheme="minorHAnsi" w:hAnsi="Arial" w:cs="Arial"/>
          <w:sz w:val="24"/>
          <w:szCs w:val="24"/>
          <w:lang w:val="en-ZA"/>
        </w:rPr>
        <w:t xml:space="preserve">In argument, counsel for the appellant placed great store by the English case of </w:t>
      </w:r>
      <w:r w:rsidRPr="00812BB3">
        <w:rPr>
          <w:rFonts w:ascii="Arial" w:eastAsiaTheme="minorHAnsi" w:hAnsi="Arial" w:cs="Arial"/>
          <w:i/>
          <w:sz w:val="24"/>
          <w:szCs w:val="24"/>
          <w:lang w:val="en-ZA"/>
        </w:rPr>
        <w:t>Christopher Brown Ltd v Genossenschaft Oesterreichissher</w:t>
      </w:r>
      <w:r w:rsidRPr="00812BB3">
        <w:rPr>
          <w:rFonts w:ascii="Arial" w:eastAsiaTheme="minorHAnsi" w:hAnsi="Arial" w:cs="Arial"/>
          <w:sz w:val="24"/>
          <w:szCs w:val="24"/>
          <w:lang w:val="en-ZA"/>
        </w:rPr>
        <w:t xml:space="preserve"> etc 1953 Q.B.D. 1039. In </w:t>
      </w:r>
      <w:r w:rsidRPr="00812BB3">
        <w:rPr>
          <w:rFonts w:ascii="Arial" w:eastAsiaTheme="minorHAnsi" w:hAnsi="Arial" w:cs="Arial"/>
          <w:sz w:val="24"/>
          <w:szCs w:val="24"/>
          <w:lang w:val="en-ZA"/>
        </w:rPr>
        <w:lastRenderedPageBreak/>
        <w:t xml:space="preserve">that case, after investigating the circumstances that vested him jurisdiction the arbitrator proceeded to issue an award which was then challenged in the High Court. Devlin J was called upon to decide if the arbitrator properly assumed jurisdiction. Devlin J observed (at 1042D-H) that an arbitrator had the duty to investigate the circumstances from which his jurisdiction arose because the principle of </w:t>
      </w:r>
      <w:r w:rsidRPr="00F16D91">
        <w:rPr>
          <w:rFonts w:ascii="Arial" w:eastAsiaTheme="minorHAnsi" w:hAnsi="Arial" w:cs="Arial"/>
          <w:i/>
          <w:sz w:val="24"/>
          <w:szCs w:val="24"/>
          <w:lang w:val="en-ZA"/>
        </w:rPr>
        <w:t>omnia praesemuntur rite esse acta</w:t>
      </w:r>
      <w:r w:rsidRPr="00812BB3">
        <w:rPr>
          <w:rFonts w:ascii="Arial" w:eastAsiaTheme="minorHAnsi" w:hAnsi="Arial" w:cs="Arial"/>
          <w:sz w:val="24"/>
          <w:szCs w:val="24"/>
          <w:lang w:val="en-ZA"/>
        </w:rPr>
        <w:t xml:space="preserve"> finds no application to ‘proceedings of arbitration tribunals or, indeed, to the proceedings of inferior tribunals of any sort.’  That is the first distinguishing feature of </w:t>
      </w:r>
      <w:r w:rsidRPr="00812BB3">
        <w:rPr>
          <w:rFonts w:ascii="Arial" w:eastAsiaTheme="minorHAnsi" w:hAnsi="Arial" w:cs="Arial"/>
          <w:i/>
          <w:sz w:val="24"/>
          <w:szCs w:val="24"/>
          <w:lang w:val="en-ZA"/>
        </w:rPr>
        <w:t>Christopher Brown</w:t>
      </w:r>
      <w:r w:rsidRPr="00812BB3">
        <w:rPr>
          <w:rFonts w:ascii="Arial" w:eastAsiaTheme="minorHAnsi" w:hAnsi="Arial" w:cs="Arial"/>
          <w:sz w:val="24"/>
          <w:szCs w:val="24"/>
          <w:lang w:val="en-ZA"/>
        </w:rPr>
        <w:t xml:space="preserve"> from the present case: The case primarily concerned </w:t>
      </w:r>
      <w:r w:rsidR="00F16D91">
        <w:rPr>
          <w:rFonts w:ascii="Arial" w:eastAsiaTheme="minorHAnsi" w:hAnsi="Arial" w:cs="Arial"/>
          <w:sz w:val="24"/>
          <w:szCs w:val="24"/>
          <w:lang w:val="en-ZA"/>
        </w:rPr>
        <w:t xml:space="preserve">the </w:t>
      </w:r>
      <w:r w:rsidRPr="00812BB3">
        <w:rPr>
          <w:rFonts w:ascii="Arial" w:eastAsiaTheme="minorHAnsi" w:hAnsi="Arial" w:cs="Arial"/>
          <w:sz w:val="24"/>
          <w:szCs w:val="24"/>
          <w:lang w:val="en-ZA"/>
        </w:rPr>
        <w:t xml:space="preserve">assumption of jurisdiction by an adjudicator other than a court of law. </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812BB3">
      <w:pPr>
        <w:spacing w:line="480" w:lineRule="auto"/>
        <w:jc w:val="both"/>
        <w:rPr>
          <w:rFonts w:ascii="Arial" w:eastAsiaTheme="minorHAnsi" w:hAnsi="Arial" w:cs="Arial"/>
          <w:sz w:val="24"/>
          <w:szCs w:val="24"/>
          <w:lang w:val="en-ZA"/>
        </w:rPr>
      </w:pPr>
      <w:r>
        <w:rPr>
          <w:rFonts w:ascii="Arial" w:eastAsiaTheme="minorHAnsi" w:hAnsi="Arial" w:cs="Arial"/>
          <w:sz w:val="24"/>
          <w:szCs w:val="24"/>
          <w:lang w:val="en-ZA"/>
        </w:rPr>
        <w:t>[32]</w:t>
      </w:r>
      <w:r>
        <w:rPr>
          <w:rFonts w:ascii="Arial" w:eastAsiaTheme="minorHAnsi" w:hAnsi="Arial" w:cs="Arial"/>
          <w:sz w:val="24"/>
          <w:szCs w:val="24"/>
          <w:lang w:val="en-ZA"/>
        </w:rPr>
        <w:tab/>
      </w:r>
      <w:r w:rsidRPr="00812BB3">
        <w:rPr>
          <w:rFonts w:ascii="Arial" w:eastAsiaTheme="minorHAnsi" w:hAnsi="Arial" w:cs="Arial"/>
          <w:sz w:val="24"/>
          <w:szCs w:val="24"/>
          <w:lang w:val="en-ZA"/>
        </w:rPr>
        <w:t>Devlin J put it thus at the same page:</w:t>
      </w:r>
    </w:p>
    <w:p w:rsidR="00812BB3" w:rsidRPr="00812BB3" w:rsidRDefault="00812BB3" w:rsidP="00812BB3">
      <w:pPr>
        <w:spacing w:line="360" w:lineRule="auto"/>
        <w:jc w:val="both"/>
        <w:rPr>
          <w:rFonts w:ascii="Arial" w:eastAsiaTheme="minorHAnsi" w:hAnsi="Arial" w:cs="Arial"/>
          <w:lang w:val="en-ZA"/>
        </w:rPr>
      </w:pPr>
    </w:p>
    <w:p w:rsidR="00812BB3" w:rsidRDefault="00812BB3" w:rsidP="00812BB3">
      <w:pPr>
        <w:spacing w:line="360" w:lineRule="auto"/>
        <w:ind w:left="720"/>
        <w:jc w:val="both"/>
        <w:rPr>
          <w:rFonts w:ascii="Arial" w:eastAsiaTheme="minorHAnsi" w:hAnsi="Arial" w:cs="Arial"/>
          <w:lang w:val="en-ZA"/>
        </w:rPr>
      </w:pPr>
      <w:r w:rsidRPr="00812BB3">
        <w:rPr>
          <w:rFonts w:ascii="Arial" w:eastAsiaTheme="minorHAnsi" w:hAnsi="Arial" w:cs="Arial"/>
          <w:lang w:val="en-ZA"/>
        </w:rPr>
        <w:t>‘It is clear that at the beginning of any arbitration one side or the other may challenge the jurisdiction of the arbitrator. It is not the law that arbitrators, if their jurisdiction is challenged or questioned, are bound immediately to cease to act, and to refuse to act, until their jurisdiction has been determined by some court which has the power to determine it finally.</w:t>
      </w:r>
    </w:p>
    <w:p w:rsidR="00812BB3" w:rsidRPr="00812BB3" w:rsidRDefault="00812BB3" w:rsidP="00812BB3">
      <w:pPr>
        <w:spacing w:line="360" w:lineRule="auto"/>
        <w:ind w:left="720"/>
        <w:jc w:val="both"/>
        <w:rPr>
          <w:rFonts w:ascii="Arial" w:eastAsiaTheme="minorHAnsi" w:hAnsi="Arial" w:cs="Arial"/>
          <w:lang w:val="en-ZA"/>
        </w:rPr>
      </w:pPr>
    </w:p>
    <w:p w:rsidR="00812BB3" w:rsidRDefault="00812BB3" w:rsidP="00812BB3">
      <w:pPr>
        <w:spacing w:line="360" w:lineRule="auto"/>
        <w:ind w:firstLine="720"/>
        <w:jc w:val="both"/>
        <w:rPr>
          <w:rFonts w:ascii="Arial" w:eastAsiaTheme="minorHAnsi" w:hAnsi="Arial" w:cs="Arial"/>
          <w:lang w:val="en-ZA"/>
        </w:rPr>
      </w:pPr>
      <w:r w:rsidRPr="00812BB3">
        <w:rPr>
          <w:rFonts w:ascii="Arial" w:eastAsiaTheme="minorHAnsi" w:hAnsi="Arial" w:cs="Arial"/>
          <w:lang w:val="en-ZA"/>
        </w:rPr>
        <w:t>…</w:t>
      </w:r>
    </w:p>
    <w:p w:rsidR="00812BB3" w:rsidRPr="00812BB3" w:rsidRDefault="00812BB3" w:rsidP="00812BB3">
      <w:pPr>
        <w:spacing w:line="360" w:lineRule="auto"/>
        <w:ind w:firstLine="720"/>
        <w:jc w:val="both"/>
        <w:rPr>
          <w:rFonts w:ascii="Arial" w:eastAsiaTheme="minorHAnsi" w:hAnsi="Arial" w:cs="Arial"/>
          <w:lang w:val="en-ZA"/>
        </w:rPr>
      </w:pPr>
    </w:p>
    <w:p w:rsidR="00812BB3" w:rsidRPr="00812BB3" w:rsidRDefault="00812BB3" w:rsidP="00812BB3">
      <w:pPr>
        <w:spacing w:line="360" w:lineRule="auto"/>
        <w:ind w:left="720"/>
        <w:jc w:val="both"/>
        <w:rPr>
          <w:rFonts w:ascii="Arial" w:eastAsiaTheme="minorHAnsi" w:hAnsi="Arial" w:cs="Arial"/>
          <w:lang w:val="en-ZA"/>
        </w:rPr>
      </w:pPr>
      <w:r w:rsidRPr="00812BB3">
        <w:rPr>
          <w:rFonts w:ascii="Arial" w:eastAsiaTheme="minorHAnsi" w:hAnsi="Arial" w:cs="Arial"/>
          <w:lang w:val="en-ZA"/>
        </w:rPr>
        <w:t>They are entitled, in short, to make their own inquiries in order to determine their own course of action, but the result of that inquiry has no effect whatsoever on the rights of the parties.’</w:t>
      </w:r>
    </w:p>
    <w:p w:rsidR="00812BB3" w:rsidRPr="00812BB3" w:rsidRDefault="00812BB3" w:rsidP="00812BB3">
      <w:pPr>
        <w:spacing w:line="360" w:lineRule="auto"/>
        <w:jc w:val="both"/>
        <w:rPr>
          <w:rFonts w:ascii="Arial" w:eastAsiaTheme="minorHAnsi" w:hAnsi="Arial" w:cs="Arial"/>
          <w:lang w:val="en-ZA"/>
        </w:rPr>
      </w:pPr>
    </w:p>
    <w:p w:rsidR="00812BB3" w:rsidRPr="00812BB3" w:rsidRDefault="00812BB3" w:rsidP="005C70E3">
      <w:pPr>
        <w:spacing w:line="480" w:lineRule="auto"/>
        <w:jc w:val="both"/>
        <w:rPr>
          <w:rFonts w:ascii="Arial" w:eastAsiaTheme="minorHAnsi" w:hAnsi="Arial" w:cs="Arial"/>
          <w:sz w:val="24"/>
          <w:szCs w:val="24"/>
          <w:lang w:val="en-ZA"/>
        </w:rPr>
      </w:pPr>
      <w:r>
        <w:rPr>
          <w:rFonts w:ascii="Arial" w:eastAsiaTheme="minorHAnsi" w:hAnsi="Arial" w:cs="Arial"/>
          <w:sz w:val="24"/>
          <w:szCs w:val="24"/>
          <w:lang w:val="en-ZA"/>
        </w:rPr>
        <w:t>[33]</w:t>
      </w:r>
      <w:r>
        <w:rPr>
          <w:rFonts w:ascii="Arial" w:eastAsiaTheme="minorHAnsi" w:hAnsi="Arial" w:cs="Arial"/>
          <w:sz w:val="24"/>
          <w:szCs w:val="24"/>
          <w:lang w:val="en-ZA"/>
        </w:rPr>
        <w:tab/>
      </w:r>
      <w:r w:rsidRPr="00812BB3">
        <w:rPr>
          <w:rFonts w:ascii="Arial" w:eastAsiaTheme="minorHAnsi" w:hAnsi="Arial" w:cs="Arial"/>
          <w:sz w:val="24"/>
          <w:szCs w:val="24"/>
          <w:lang w:val="en-ZA"/>
        </w:rPr>
        <w:t>But even then</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it was recognised in </w:t>
      </w:r>
      <w:r w:rsidRPr="00812BB3">
        <w:rPr>
          <w:rFonts w:ascii="Arial" w:eastAsiaTheme="minorHAnsi" w:hAnsi="Arial" w:cs="Arial"/>
          <w:i/>
          <w:sz w:val="24"/>
          <w:szCs w:val="24"/>
          <w:lang w:val="en-ZA"/>
        </w:rPr>
        <w:t>Christopher Brown</w:t>
      </w:r>
      <w:r w:rsidRPr="00812BB3">
        <w:rPr>
          <w:rFonts w:ascii="Arial" w:eastAsiaTheme="minorHAnsi" w:hAnsi="Arial" w:cs="Arial"/>
          <w:sz w:val="24"/>
          <w:szCs w:val="24"/>
          <w:lang w:val="en-ZA"/>
        </w:rPr>
        <w:t xml:space="preserve"> that an arbitrator is entitled to assume jurisdiction if there is </w:t>
      </w:r>
      <w:r w:rsidRPr="00EB45F9">
        <w:rPr>
          <w:rFonts w:ascii="Arial" w:eastAsiaTheme="minorHAnsi" w:hAnsi="Arial" w:cs="Arial"/>
          <w:i/>
          <w:sz w:val="24"/>
          <w:szCs w:val="24"/>
          <w:lang w:val="en-ZA"/>
        </w:rPr>
        <w:t>prima facie</w:t>
      </w:r>
      <w:r w:rsidRPr="00812BB3">
        <w:rPr>
          <w:rFonts w:ascii="Arial" w:eastAsiaTheme="minorHAnsi" w:hAnsi="Arial" w:cs="Arial"/>
          <w:sz w:val="24"/>
          <w:szCs w:val="24"/>
          <w:lang w:val="en-ZA"/>
        </w:rPr>
        <w:t xml:space="preserve"> proof of jurisdiction. According to Devlin J at 1043H:</w:t>
      </w:r>
    </w:p>
    <w:p w:rsidR="00812BB3" w:rsidRPr="00812BB3" w:rsidRDefault="00812BB3" w:rsidP="005C70E3">
      <w:pPr>
        <w:spacing w:line="480" w:lineRule="auto"/>
        <w:jc w:val="both"/>
        <w:rPr>
          <w:rFonts w:ascii="Arial" w:eastAsiaTheme="minorHAnsi" w:hAnsi="Arial" w:cs="Arial"/>
          <w:lang w:val="en-ZA"/>
        </w:rPr>
      </w:pPr>
    </w:p>
    <w:p w:rsidR="00812BB3" w:rsidRPr="00812BB3" w:rsidRDefault="00812BB3" w:rsidP="00812BB3">
      <w:pPr>
        <w:spacing w:line="360" w:lineRule="auto"/>
        <w:ind w:left="720"/>
        <w:jc w:val="both"/>
        <w:rPr>
          <w:rFonts w:ascii="Arial" w:eastAsiaTheme="minorHAnsi" w:hAnsi="Arial" w:cs="Arial"/>
          <w:lang w:val="en-ZA"/>
        </w:rPr>
      </w:pPr>
      <w:r w:rsidRPr="00812BB3">
        <w:rPr>
          <w:rFonts w:ascii="Arial" w:eastAsiaTheme="minorHAnsi" w:hAnsi="Arial" w:cs="Arial"/>
          <w:lang w:val="en-ZA"/>
        </w:rPr>
        <w:t xml:space="preserve">‘They have thus discharged all that they are required to do by tendering prima facie proof that a valid submission was made, and </w:t>
      </w:r>
      <w:r w:rsidR="00832A0C">
        <w:rPr>
          <w:rFonts w:ascii="Arial" w:eastAsiaTheme="minorHAnsi" w:hAnsi="Arial" w:cs="Arial"/>
          <w:lang w:val="en-ZA"/>
        </w:rPr>
        <w:t xml:space="preserve">. . . . </w:t>
      </w:r>
      <w:r w:rsidRPr="00812BB3">
        <w:rPr>
          <w:rFonts w:ascii="Arial" w:eastAsiaTheme="minorHAnsi" w:hAnsi="Arial" w:cs="Arial"/>
          <w:lang w:val="en-ZA"/>
        </w:rPr>
        <w:t xml:space="preserve">the arbitrators were entitled to act on the submission. That </w:t>
      </w:r>
      <w:r w:rsidRPr="00BE2108">
        <w:rPr>
          <w:rFonts w:ascii="Arial" w:eastAsiaTheme="minorHAnsi" w:hAnsi="Arial" w:cs="Arial"/>
          <w:i/>
          <w:lang w:val="en-ZA"/>
        </w:rPr>
        <w:t>prima facie</w:t>
      </w:r>
      <w:r w:rsidRPr="00812BB3">
        <w:rPr>
          <w:rFonts w:ascii="Arial" w:eastAsiaTheme="minorHAnsi" w:hAnsi="Arial" w:cs="Arial"/>
          <w:lang w:val="en-ZA"/>
        </w:rPr>
        <w:t xml:space="preserve"> proof is sufficient for their purpose. They are not obliged to </w:t>
      </w:r>
      <w:r w:rsidRPr="00812BB3">
        <w:rPr>
          <w:rFonts w:ascii="Arial" w:eastAsiaTheme="minorHAnsi" w:hAnsi="Arial" w:cs="Arial"/>
          <w:lang w:val="en-ZA"/>
        </w:rPr>
        <w:lastRenderedPageBreak/>
        <w:t>go into matters which might have been raised by the defence if that had been heard, and which might have rebutted the prima facie presumption to be drawn from the execution of the document that the document was binding on the parties’.</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812BB3">
      <w:pPr>
        <w:spacing w:line="480" w:lineRule="auto"/>
        <w:jc w:val="both"/>
        <w:rPr>
          <w:rFonts w:ascii="Arial" w:eastAsiaTheme="minorHAnsi" w:hAnsi="Arial" w:cs="Arial"/>
          <w:sz w:val="24"/>
          <w:szCs w:val="24"/>
          <w:lang w:val="en-ZA"/>
        </w:rPr>
      </w:pPr>
      <w:r w:rsidRPr="00812BB3">
        <w:rPr>
          <w:rFonts w:ascii="Arial" w:eastAsiaTheme="minorHAnsi" w:hAnsi="Arial" w:cs="Arial"/>
          <w:sz w:val="24"/>
          <w:szCs w:val="24"/>
          <w:lang w:val="en-ZA"/>
        </w:rPr>
        <w:t>[34</w:t>
      </w:r>
      <w:r w:rsidR="005C70E3">
        <w:rPr>
          <w:rFonts w:ascii="Arial" w:eastAsiaTheme="minorHAnsi" w:hAnsi="Arial" w:cs="Arial"/>
          <w:sz w:val="24"/>
          <w:szCs w:val="24"/>
          <w:lang w:val="en-ZA"/>
        </w:rPr>
        <w:t>]</w:t>
      </w:r>
      <w:r w:rsidR="005C70E3">
        <w:rPr>
          <w:rFonts w:ascii="Arial" w:eastAsiaTheme="minorHAnsi" w:hAnsi="Arial" w:cs="Arial"/>
          <w:sz w:val="24"/>
          <w:szCs w:val="24"/>
          <w:lang w:val="en-ZA"/>
        </w:rPr>
        <w:tab/>
      </w:r>
      <w:r w:rsidRPr="00812BB3">
        <w:rPr>
          <w:rFonts w:ascii="Arial" w:eastAsiaTheme="minorHAnsi" w:hAnsi="Arial" w:cs="Arial"/>
          <w:sz w:val="24"/>
          <w:szCs w:val="24"/>
          <w:lang w:val="en-ZA"/>
        </w:rPr>
        <w:t xml:space="preserve">It hardly needs emphasising that a court of law is subject to a different discipline from arbitrators. It was expressed in the following terms by Shivute CJ in </w:t>
      </w:r>
      <w:r w:rsidRPr="00812BB3">
        <w:rPr>
          <w:rFonts w:ascii="Arial" w:eastAsiaTheme="minorHAnsi" w:hAnsi="Arial" w:cs="Arial"/>
          <w:i/>
          <w:sz w:val="24"/>
          <w:szCs w:val="24"/>
          <w:lang w:val="en-ZA"/>
        </w:rPr>
        <w:t xml:space="preserve">Namib Plains Farming &amp; Tourism CC v Valencia Uranium (Pty) Ltd and </w:t>
      </w:r>
      <w:r w:rsidR="00F16D91">
        <w:rPr>
          <w:rFonts w:ascii="Arial" w:eastAsiaTheme="minorHAnsi" w:hAnsi="Arial" w:cs="Arial"/>
          <w:i/>
          <w:sz w:val="24"/>
          <w:szCs w:val="24"/>
          <w:lang w:val="en-ZA"/>
        </w:rPr>
        <w:t xml:space="preserve">5 </w:t>
      </w:r>
      <w:r w:rsidRPr="00812BB3">
        <w:rPr>
          <w:rFonts w:ascii="Arial" w:eastAsiaTheme="minorHAnsi" w:hAnsi="Arial" w:cs="Arial"/>
          <w:i/>
          <w:sz w:val="24"/>
          <w:szCs w:val="24"/>
          <w:lang w:val="en-ZA"/>
        </w:rPr>
        <w:t>others</w:t>
      </w:r>
      <w:r w:rsidRPr="00812BB3">
        <w:rPr>
          <w:rFonts w:ascii="Arial" w:eastAsiaTheme="minorHAnsi" w:hAnsi="Arial" w:cs="Arial"/>
          <w:sz w:val="24"/>
          <w:szCs w:val="24"/>
          <w:lang w:val="en-ZA"/>
        </w:rPr>
        <w:t xml:space="preserve"> 2011 (2) NR 469 (SC) at 483:</w:t>
      </w:r>
    </w:p>
    <w:p w:rsidR="005C70E3" w:rsidRDefault="005C70E3" w:rsidP="00812BB3">
      <w:pPr>
        <w:spacing w:line="480" w:lineRule="auto"/>
        <w:jc w:val="both"/>
        <w:rPr>
          <w:rFonts w:ascii="Arial" w:eastAsiaTheme="minorHAnsi" w:hAnsi="Arial" w:cs="Arial"/>
          <w:sz w:val="24"/>
          <w:szCs w:val="24"/>
          <w:lang w:val="en-ZA"/>
        </w:rPr>
      </w:pPr>
    </w:p>
    <w:p w:rsidR="00812BB3" w:rsidRPr="00812BB3" w:rsidRDefault="00812BB3" w:rsidP="00EB45F9">
      <w:pPr>
        <w:spacing w:line="360" w:lineRule="auto"/>
        <w:ind w:left="1440" w:hanging="720"/>
        <w:jc w:val="both"/>
        <w:rPr>
          <w:rFonts w:ascii="Arial" w:eastAsiaTheme="minorHAnsi" w:hAnsi="Arial" w:cs="Arial"/>
          <w:lang w:val="en-ZA"/>
        </w:rPr>
      </w:pPr>
      <w:r w:rsidRPr="00812BB3">
        <w:rPr>
          <w:rFonts w:ascii="Arial" w:eastAsiaTheme="minorHAnsi" w:hAnsi="Arial" w:cs="Arial"/>
          <w:lang w:val="en-ZA"/>
        </w:rPr>
        <w:t>‘</w:t>
      </w:r>
      <w:r w:rsidR="005C70E3" w:rsidRPr="005C70E3">
        <w:rPr>
          <w:rFonts w:ascii="Arial" w:eastAsiaTheme="minorHAnsi" w:hAnsi="Arial" w:cs="Arial"/>
          <w:lang w:val="en-ZA"/>
        </w:rPr>
        <w:t>[39]</w:t>
      </w:r>
      <w:r w:rsidR="005C70E3" w:rsidRPr="005C70E3">
        <w:rPr>
          <w:rFonts w:ascii="Arial" w:eastAsiaTheme="minorHAnsi" w:hAnsi="Arial" w:cs="Arial"/>
          <w:lang w:val="en-ZA"/>
        </w:rPr>
        <w:tab/>
      </w:r>
      <w:r w:rsidRPr="00812BB3">
        <w:rPr>
          <w:rFonts w:ascii="Arial" w:eastAsiaTheme="minorHAnsi" w:hAnsi="Arial" w:cs="Arial"/>
          <w:lang w:val="en-ZA"/>
        </w:rPr>
        <w:t>It would be wrong for judicial officers to rely for their decisions on matters not put before them by litigants either in evidence or in oral or written submissions. If a point which a judge considers material to the outcome of the case was not argued before the judge, it is the judge’s duty to inform counsel on both sides and to invite them to submit arguments.</w:t>
      </w:r>
    </w:p>
    <w:p w:rsidR="005C70E3" w:rsidRDefault="005C70E3" w:rsidP="00EB45F9">
      <w:pPr>
        <w:spacing w:line="360" w:lineRule="auto"/>
        <w:ind w:left="1440" w:hanging="720"/>
        <w:jc w:val="both"/>
        <w:rPr>
          <w:rFonts w:ascii="Arial" w:eastAsiaTheme="minorHAnsi" w:hAnsi="Arial" w:cs="Arial"/>
          <w:lang w:val="en-ZA"/>
        </w:rPr>
      </w:pPr>
    </w:p>
    <w:p w:rsidR="00812BB3" w:rsidRPr="00812BB3" w:rsidRDefault="00812BB3" w:rsidP="00EB45F9">
      <w:pPr>
        <w:spacing w:line="360" w:lineRule="auto"/>
        <w:ind w:left="1440" w:hanging="720"/>
        <w:jc w:val="both"/>
        <w:rPr>
          <w:rFonts w:ascii="Arial" w:eastAsiaTheme="minorHAnsi" w:hAnsi="Arial" w:cs="Arial"/>
          <w:sz w:val="24"/>
          <w:szCs w:val="24"/>
          <w:lang w:val="en-ZA"/>
        </w:rPr>
      </w:pPr>
      <w:r w:rsidRPr="00812BB3">
        <w:rPr>
          <w:rFonts w:ascii="Arial" w:eastAsiaTheme="minorHAnsi" w:hAnsi="Arial" w:cs="Arial"/>
          <w:lang w:val="en-ZA"/>
        </w:rPr>
        <w:t xml:space="preserve">[40] </w:t>
      </w:r>
      <w:r w:rsidR="005C70E3" w:rsidRPr="005C70E3">
        <w:rPr>
          <w:rFonts w:ascii="Arial" w:eastAsiaTheme="minorHAnsi" w:hAnsi="Arial" w:cs="Arial"/>
          <w:lang w:val="en-ZA"/>
        </w:rPr>
        <w:tab/>
      </w:r>
      <w:r w:rsidRPr="00812BB3">
        <w:rPr>
          <w:rFonts w:ascii="Arial" w:eastAsiaTheme="minorHAnsi" w:hAnsi="Arial" w:cs="Arial"/>
          <w:lang w:val="en-ZA"/>
        </w:rPr>
        <w:t xml:space="preserve">[I]n a civil case a judge cannot go on a frolic of his or her own and decide issues which were not put or fully argued before him or her. The cases also establish that when at some stage of the proceedings, parties are limited to particular issues either by agreement or a ruling of the court, the same principles would generally apply. The cases furthermore demonstrate that relaxation of these </w:t>
      </w:r>
      <w:r w:rsidR="005C70E3" w:rsidRPr="00812BB3">
        <w:rPr>
          <w:rFonts w:ascii="Arial" w:eastAsiaTheme="minorHAnsi" w:hAnsi="Arial" w:cs="Arial"/>
          <w:lang w:val="en-ZA"/>
        </w:rPr>
        <w:t>principles</w:t>
      </w:r>
      <w:r w:rsidRPr="00812BB3">
        <w:rPr>
          <w:rFonts w:ascii="Arial" w:eastAsiaTheme="minorHAnsi" w:hAnsi="Arial" w:cs="Arial"/>
          <w:lang w:val="en-ZA"/>
        </w:rPr>
        <w:t xml:space="preserve"> is normally only possible with the consent or agreement of the parties’. (Footnotes omitted)</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EB45F9">
      <w:pPr>
        <w:spacing w:line="480" w:lineRule="auto"/>
        <w:jc w:val="both"/>
        <w:rPr>
          <w:rFonts w:ascii="Arial" w:eastAsiaTheme="minorHAnsi" w:hAnsi="Arial" w:cs="Arial"/>
          <w:sz w:val="24"/>
          <w:szCs w:val="24"/>
          <w:lang w:val="en-ZA"/>
        </w:rPr>
      </w:pPr>
      <w:r w:rsidRPr="00812BB3">
        <w:rPr>
          <w:rFonts w:ascii="Arial" w:eastAsiaTheme="minorHAnsi" w:hAnsi="Arial" w:cs="Arial"/>
          <w:sz w:val="24"/>
          <w:szCs w:val="24"/>
          <w:lang w:val="en-ZA"/>
        </w:rPr>
        <w:t>[3</w:t>
      </w:r>
      <w:r w:rsidR="005C70E3">
        <w:rPr>
          <w:rFonts w:ascii="Arial" w:eastAsiaTheme="minorHAnsi" w:hAnsi="Arial" w:cs="Arial"/>
          <w:sz w:val="24"/>
          <w:szCs w:val="24"/>
          <w:lang w:val="en-ZA"/>
        </w:rPr>
        <w:t>5</w:t>
      </w:r>
      <w:r w:rsidR="00E94794">
        <w:rPr>
          <w:rFonts w:ascii="Arial" w:eastAsiaTheme="minorHAnsi" w:hAnsi="Arial" w:cs="Arial"/>
          <w:sz w:val="24"/>
          <w:szCs w:val="24"/>
          <w:lang w:val="en-ZA"/>
        </w:rPr>
        <w:t>]</w:t>
      </w:r>
      <w:r w:rsidR="00E94794">
        <w:rPr>
          <w:rFonts w:ascii="Arial" w:eastAsiaTheme="minorHAnsi" w:hAnsi="Arial" w:cs="Arial"/>
          <w:sz w:val="24"/>
          <w:szCs w:val="24"/>
          <w:lang w:val="en-ZA"/>
        </w:rPr>
        <w:tab/>
      </w:r>
      <w:r w:rsidRPr="00812BB3">
        <w:rPr>
          <w:rFonts w:ascii="Arial" w:eastAsiaTheme="minorHAnsi" w:hAnsi="Arial" w:cs="Arial"/>
          <w:sz w:val="24"/>
          <w:szCs w:val="24"/>
          <w:lang w:val="en-ZA"/>
        </w:rPr>
        <w:t xml:space="preserve">The second, perhaps the most important, distinguishing feature of the </w:t>
      </w:r>
      <w:r w:rsidRPr="00EB45F9">
        <w:rPr>
          <w:rFonts w:ascii="Arial" w:eastAsiaTheme="minorHAnsi" w:hAnsi="Arial" w:cs="Arial"/>
          <w:i/>
          <w:sz w:val="24"/>
          <w:szCs w:val="24"/>
          <w:lang w:val="en-ZA"/>
        </w:rPr>
        <w:t>Christopher Brown</w:t>
      </w:r>
      <w:r w:rsidRPr="00812BB3">
        <w:rPr>
          <w:rFonts w:ascii="Arial" w:eastAsiaTheme="minorHAnsi" w:hAnsi="Arial" w:cs="Arial"/>
          <w:sz w:val="24"/>
          <w:szCs w:val="24"/>
          <w:lang w:val="en-ZA"/>
        </w:rPr>
        <w:t xml:space="preserve"> matter is that, unlike in the present case, in the former the party against whom the award was being enforced had</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in the High Court proceedings</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squarely placed lack of jurisdiction in issue.  As Devlin J recorded in the course of his judgement at 104A: </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5C70E3">
      <w:pPr>
        <w:spacing w:line="360" w:lineRule="auto"/>
        <w:ind w:left="720"/>
        <w:jc w:val="both"/>
        <w:rPr>
          <w:rFonts w:ascii="Arial" w:eastAsiaTheme="minorHAnsi" w:hAnsi="Arial" w:cs="Arial"/>
          <w:lang w:val="en-ZA"/>
        </w:rPr>
      </w:pPr>
      <w:r w:rsidRPr="00812BB3">
        <w:rPr>
          <w:rFonts w:ascii="Arial" w:eastAsiaTheme="minorHAnsi" w:hAnsi="Arial" w:cs="Arial"/>
          <w:lang w:val="en-ZA"/>
        </w:rPr>
        <w:t>‘This, of course, naturally directs attention to the fact that the defendants are denying that the contract [containing the arbitration clause] was validly made and was binding on them.</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5C70E3">
      <w:pPr>
        <w:spacing w:line="480" w:lineRule="auto"/>
        <w:ind w:firstLine="720"/>
        <w:jc w:val="both"/>
        <w:rPr>
          <w:rFonts w:ascii="Arial" w:eastAsiaTheme="minorHAnsi" w:hAnsi="Arial" w:cs="Arial"/>
          <w:sz w:val="24"/>
          <w:szCs w:val="24"/>
          <w:lang w:val="en-ZA"/>
        </w:rPr>
      </w:pPr>
      <w:r w:rsidRPr="00812BB3">
        <w:rPr>
          <w:rFonts w:ascii="Arial" w:eastAsiaTheme="minorHAnsi" w:hAnsi="Arial" w:cs="Arial"/>
          <w:sz w:val="24"/>
          <w:szCs w:val="24"/>
          <w:lang w:val="en-ZA"/>
        </w:rPr>
        <w:lastRenderedPageBreak/>
        <w:t>And at H of the same page:</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5C70E3">
      <w:pPr>
        <w:spacing w:line="360" w:lineRule="auto"/>
        <w:ind w:left="720"/>
        <w:jc w:val="both"/>
        <w:rPr>
          <w:rFonts w:ascii="Arial" w:eastAsiaTheme="minorHAnsi" w:hAnsi="Arial" w:cs="Arial"/>
          <w:lang w:val="en-ZA"/>
        </w:rPr>
      </w:pPr>
      <w:r w:rsidRPr="00812BB3">
        <w:rPr>
          <w:rFonts w:ascii="Arial" w:eastAsiaTheme="minorHAnsi" w:hAnsi="Arial" w:cs="Arial"/>
          <w:lang w:val="en-ZA"/>
        </w:rPr>
        <w:t>‘The correspondence indicated the points which I have mentioned and also that the defendants were contending that the contract was not valid and was not binding on them’.</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812BB3">
      <w:pPr>
        <w:spacing w:line="480" w:lineRule="auto"/>
        <w:jc w:val="both"/>
        <w:rPr>
          <w:rFonts w:ascii="Arial" w:eastAsiaTheme="minorHAnsi" w:hAnsi="Arial" w:cs="Arial"/>
          <w:sz w:val="24"/>
          <w:szCs w:val="24"/>
          <w:lang w:val="en-ZA"/>
        </w:rPr>
      </w:pPr>
      <w:r w:rsidRPr="00812BB3">
        <w:rPr>
          <w:rFonts w:ascii="Arial" w:eastAsiaTheme="minorHAnsi" w:hAnsi="Arial" w:cs="Arial"/>
          <w:sz w:val="24"/>
          <w:szCs w:val="24"/>
          <w:lang w:val="en-ZA"/>
        </w:rPr>
        <w:t>[3</w:t>
      </w:r>
      <w:r w:rsidR="005C70E3">
        <w:rPr>
          <w:rFonts w:ascii="Arial" w:eastAsiaTheme="minorHAnsi" w:hAnsi="Arial" w:cs="Arial"/>
          <w:sz w:val="24"/>
          <w:szCs w:val="24"/>
          <w:lang w:val="en-ZA"/>
        </w:rPr>
        <w:t>6]</w:t>
      </w:r>
      <w:r w:rsidR="005C70E3">
        <w:rPr>
          <w:rFonts w:ascii="Arial" w:eastAsiaTheme="minorHAnsi" w:hAnsi="Arial" w:cs="Arial"/>
          <w:sz w:val="24"/>
          <w:szCs w:val="24"/>
          <w:lang w:val="en-ZA"/>
        </w:rPr>
        <w:tab/>
      </w:r>
      <w:r w:rsidRPr="00812BB3">
        <w:rPr>
          <w:rFonts w:ascii="Arial" w:eastAsiaTheme="minorHAnsi" w:hAnsi="Arial" w:cs="Arial"/>
          <w:sz w:val="24"/>
          <w:szCs w:val="24"/>
          <w:lang w:val="en-ZA"/>
        </w:rPr>
        <w:t>I wish to make plain that I am by no means to be understood to be saying that a court of law can validly make an order in a matter where it ha</w:t>
      </w:r>
      <w:r w:rsidR="00EB45F9">
        <w:rPr>
          <w:rFonts w:ascii="Arial" w:eastAsiaTheme="minorHAnsi" w:hAnsi="Arial" w:cs="Arial"/>
          <w:sz w:val="24"/>
          <w:szCs w:val="24"/>
          <w:lang w:val="en-ZA"/>
        </w:rPr>
        <w:t>s</w:t>
      </w:r>
      <w:r w:rsidRPr="00812BB3">
        <w:rPr>
          <w:rFonts w:ascii="Arial" w:eastAsiaTheme="minorHAnsi" w:hAnsi="Arial" w:cs="Arial"/>
          <w:sz w:val="24"/>
          <w:szCs w:val="24"/>
          <w:lang w:val="en-ZA"/>
        </w:rPr>
        <w:t xml:space="preserve"> no jurisdiction. The point</w:t>
      </w:r>
      <w:r w:rsidR="00EB45F9">
        <w:rPr>
          <w:rFonts w:ascii="Arial" w:eastAsiaTheme="minorHAnsi" w:hAnsi="Arial" w:cs="Arial"/>
          <w:sz w:val="24"/>
          <w:szCs w:val="24"/>
          <w:lang w:val="en-ZA"/>
        </w:rPr>
        <w:t>,</w:t>
      </w:r>
      <w:r w:rsidRPr="00812BB3">
        <w:rPr>
          <w:rFonts w:ascii="Arial" w:eastAsiaTheme="minorHAnsi" w:hAnsi="Arial" w:cs="Arial"/>
          <w:sz w:val="24"/>
          <w:szCs w:val="24"/>
          <w:lang w:val="en-ZA"/>
        </w:rPr>
        <w:t xml:space="preserve"> rather</w:t>
      </w:r>
      <w:r w:rsidR="00EB45F9">
        <w:rPr>
          <w:rFonts w:ascii="Arial" w:eastAsiaTheme="minorHAnsi" w:hAnsi="Arial" w:cs="Arial"/>
          <w:sz w:val="24"/>
          <w:szCs w:val="24"/>
          <w:lang w:val="en-ZA"/>
        </w:rPr>
        <w:t>,</w:t>
      </w:r>
      <w:r w:rsidRPr="00812BB3">
        <w:rPr>
          <w:rFonts w:ascii="Arial" w:eastAsiaTheme="minorHAnsi" w:hAnsi="Arial" w:cs="Arial"/>
          <w:sz w:val="24"/>
          <w:szCs w:val="24"/>
          <w:lang w:val="en-ZA"/>
        </w:rPr>
        <w:t xml:space="preserve"> is how it goes about the issue of jurisdiction. Once the parties before it accept as established the facts necessary to bestow it with jurisdiction, it is not its place to second-guess them and to make inquiries of its own what the true facts are upon which its jurisdiction vests. In the present case, as found by Smuts JA, Merit</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by its conduct</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demonstrated that the arbitration was the result of a written agreement. The High Court</w:t>
      </w:r>
      <w:r w:rsidR="00EB45F9">
        <w:rPr>
          <w:rFonts w:ascii="Arial" w:eastAsiaTheme="minorHAnsi" w:hAnsi="Arial" w:cs="Arial"/>
          <w:sz w:val="24"/>
          <w:szCs w:val="24"/>
          <w:lang w:val="en-ZA"/>
        </w:rPr>
        <w:t>,</w:t>
      </w:r>
      <w:r w:rsidRPr="00812BB3">
        <w:rPr>
          <w:rFonts w:ascii="Arial" w:eastAsiaTheme="minorHAnsi" w:hAnsi="Arial" w:cs="Arial"/>
          <w:sz w:val="24"/>
          <w:szCs w:val="24"/>
          <w:lang w:val="en-ZA"/>
        </w:rPr>
        <w:t xml:space="preserve"> therefore</w:t>
      </w:r>
      <w:r w:rsidR="00EB45F9">
        <w:rPr>
          <w:rFonts w:ascii="Arial" w:eastAsiaTheme="minorHAnsi" w:hAnsi="Arial" w:cs="Arial"/>
          <w:sz w:val="24"/>
          <w:szCs w:val="24"/>
          <w:lang w:val="en-ZA"/>
        </w:rPr>
        <w:t>,</w:t>
      </w:r>
      <w:r w:rsidRPr="00812BB3">
        <w:rPr>
          <w:rFonts w:ascii="Arial" w:eastAsiaTheme="minorHAnsi" w:hAnsi="Arial" w:cs="Arial"/>
          <w:sz w:val="24"/>
          <w:szCs w:val="24"/>
          <w:lang w:val="en-ZA"/>
        </w:rPr>
        <w:t xml:space="preserve"> was entitled to assume that the jurisdictional facts for the invocation of s 31 of the Act were established.</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EB45F9" w:rsidRDefault="00812BB3" w:rsidP="00812BB3">
      <w:pPr>
        <w:spacing w:line="480" w:lineRule="auto"/>
        <w:jc w:val="both"/>
        <w:rPr>
          <w:rFonts w:ascii="Arial" w:eastAsiaTheme="minorHAnsi" w:hAnsi="Arial" w:cs="Arial"/>
          <w:sz w:val="24"/>
          <w:szCs w:val="24"/>
          <w:lang w:val="en-ZA"/>
        </w:rPr>
      </w:pPr>
      <w:r w:rsidRPr="00812BB3">
        <w:rPr>
          <w:rFonts w:ascii="Arial" w:eastAsiaTheme="minorHAnsi" w:hAnsi="Arial" w:cs="Arial"/>
          <w:sz w:val="24"/>
          <w:szCs w:val="24"/>
          <w:lang w:val="en-ZA"/>
        </w:rPr>
        <w:t>[3</w:t>
      </w:r>
      <w:r w:rsidR="005C70E3">
        <w:rPr>
          <w:rFonts w:ascii="Arial" w:eastAsiaTheme="minorHAnsi" w:hAnsi="Arial" w:cs="Arial"/>
          <w:sz w:val="24"/>
          <w:szCs w:val="24"/>
          <w:lang w:val="en-ZA"/>
        </w:rPr>
        <w:t>7</w:t>
      </w:r>
      <w:r w:rsidRPr="00812BB3">
        <w:rPr>
          <w:rFonts w:ascii="Arial" w:eastAsiaTheme="minorHAnsi" w:hAnsi="Arial" w:cs="Arial"/>
          <w:sz w:val="24"/>
          <w:szCs w:val="24"/>
          <w:lang w:val="en-ZA"/>
        </w:rPr>
        <w:t>]</w:t>
      </w:r>
      <w:r w:rsidR="005C70E3">
        <w:rPr>
          <w:rFonts w:ascii="Arial" w:eastAsiaTheme="minorHAnsi" w:hAnsi="Arial" w:cs="Arial"/>
          <w:sz w:val="24"/>
          <w:szCs w:val="24"/>
          <w:lang w:val="en-ZA"/>
        </w:rPr>
        <w:tab/>
      </w:r>
      <w:r w:rsidRPr="00812BB3">
        <w:rPr>
          <w:rFonts w:ascii="Arial" w:eastAsiaTheme="minorHAnsi" w:hAnsi="Arial" w:cs="Arial"/>
          <w:sz w:val="24"/>
          <w:szCs w:val="24"/>
          <w:lang w:val="en-ZA"/>
        </w:rPr>
        <w:t xml:space="preserve">Once alerted by the pleadings or in legal argument to the absence of jurisdiction, a court of law would fall in error if it does not address that issue </w:t>
      </w:r>
      <w:r w:rsidRPr="00812BB3">
        <w:rPr>
          <w:rFonts w:ascii="Arial" w:eastAsiaTheme="minorHAnsi" w:hAnsi="Arial" w:cs="Arial"/>
          <w:i/>
          <w:sz w:val="24"/>
          <w:szCs w:val="24"/>
          <w:lang w:val="en-ZA"/>
        </w:rPr>
        <w:t>mero motu</w:t>
      </w:r>
      <w:r w:rsidRPr="00812BB3">
        <w:rPr>
          <w:rFonts w:ascii="Arial" w:eastAsiaTheme="minorHAnsi" w:hAnsi="Arial" w:cs="Arial"/>
          <w:sz w:val="24"/>
          <w:szCs w:val="24"/>
          <w:lang w:val="en-ZA"/>
        </w:rPr>
        <w:t>, not otherwise; as in that case</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litigation would become unpredictable. What was Miller J to do when the litigants came to him after they had gone through an arbitration which, in the first place, was undertaken because it was insisted upon by the party who now wants to avoid it? In the second place</w:t>
      </w:r>
      <w:r w:rsidR="00F16D91">
        <w:rPr>
          <w:rFonts w:ascii="Arial" w:eastAsiaTheme="minorHAnsi" w:hAnsi="Arial" w:cs="Arial"/>
          <w:sz w:val="24"/>
          <w:szCs w:val="24"/>
          <w:lang w:val="en-ZA"/>
        </w:rPr>
        <w:t>,</w:t>
      </w:r>
      <w:r w:rsidRPr="00812BB3">
        <w:rPr>
          <w:rFonts w:ascii="Arial" w:eastAsiaTheme="minorHAnsi" w:hAnsi="Arial" w:cs="Arial"/>
          <w:sz w:val="24"/>
          <w:szCs w:val="24"/>
          <w:lang w:val="en-ZA"/>
        </w:rPr>
        <w:t xml:space="preserve"> when faced with an arbitration which,  as Smuts JA observes, was participated in without as much as a whisper by the party who brought it about in the first place - and who was not only invited to confirm the terms under which it was to take place - but did not offer even the slightest protest  but proceeded with due deliberation to take part in it on the very terms which it is now said on appeal it ought to have, but did not, </w:t>
      </w:r>
      <w:r w:rsidRPr="00812BB3">
        <w:rPr>
          <w:rFonts w:ascii="Arial" w:eastAsiaTheme="minorHAnsi" w:hAnsi="Arial" w:cs="Arial"/>
          <w:sz w:val="24"/>
          <w:szCs w:val="24"/>
          <w:lang w:val="en-ZA"/>
        </w:rPr>
        <w:lastRenderedPageBreak/>
        <w:t>confirm in writing?</w:t>
      </w:r>
      <w:r w:rsidR="00EB45F9">
        <w:rPr>
          <w:rFonts w:ascii="Arial" w:eastAsiaTheme="minorHAnsi" w:hAnsi="Arial" w:cs="Arial"/>
          <w:sz w:val="24"/>
          <w:szCs w:val="24"/>
          <w:lang w:val="en-ZA"/>
        </w:rPr>
        <w:t xml:space="preserve"> The High Court had </w:t>
      </w:r>
      <w:r w:rsidR="00EB45F9">
        <w:rPr>
          <w:rFonts w:ascii="Arial" w:eastAsiaTheme="minorHAnsi" w:hAnsi="Arial" w:cs="Arial"/>
          <w:i/>
          <w:sz w:val="24"/>
          <w:szCs w:val="24"/>
          <w:lang w:val="en-ZA"/>
        </w:rPr>
        <w:t>prima facie</w:t>
      </w:r>
      <w:r w:rsidR="00EB45F9">
        <w:rPr>
          <w:rFonts w:ascii="Arial" w:eastAsiaTheme="minorHAnsi" w:hAnsi="Arial" w:cs="Arial"/>
          <w:sz w:val="24"/>
          <w:szCs w:val="24"/>
          <w:lang w:val="en-ZA"/>
        </w:rPr>
        <w:t xml:space="preserve"> evidence before it that the arbitration was the result of a written agreement.</w:t>
      </w:r>
    </w:p>
    <w:p w:rsidR="00812BB3" w:rsidRPr="00812BB3" w:rsidRDefault="00812BB3" w:rsidP="00812BB3">
      <w:pPr>
        <w:spacing w:line="480" w:lineRule="auto"/>
        <w:jc w:val="both"/>
        <w:rPr>
          <w:rFonts w:ascii="Arial" w:eastAsiaTheme="minorHAnsi" w:hAnsi="Arial" w:cs="Arial"/>
          <w:sz w:val="24"/>
          <w:szCs w:val="24"/>
          <w:lang w:val="en-ZA"/>
        </w:rPr>
      </w:pPr>
    </w:p>
    <w:p w:rsidR="00812BB3" w:rsidRPr="00812BB3" w:rsidRDefault="00812BB3" w:rsidP="00812BB3">
      <w:pPr>
        <w:spacing w:line="480" w:lineRule="auto"/>
        <w:jc w:val="both"/>
        <w:rPr>
          <w:rFonts w:ascii="Arial" w:eastAsiaTheme="minorHAnsi" w:hAnsi="Arial" w:cs="Arial"/>
          <w:sz w:val="24"/>
          <w:szCs w:val="24"/>
          <w:lang w:val="en-ZA"/>
        </w:rPr>
      </w:pPr>
      <w:r w:rsidRPr="00812BB3">
        <w:rPr>
          <w:rFonts w:ascii="Arial" w:eastAsiaTheme="minorHAnsi" w:hAnsi="Arial" w:cs="Arial"/>
          <w:sz w:val="24"/>
          <w:szCs w:val="24"/>
          <w:lang w:val="en-ZA"/>
        </w:rPr>
        <w:t>[3</w:t>
      </w:r>
      <w:r w:rsidR="005C70E3">
        <w:rPr>
          <w:rFonts w:ascii="Arial" w:eastAsiaTheme="minorHAnsi" w:hAnsi="Arial" w:cs="Arial"/>
          <w:sz w:val="24"/>
          <w:szCs w:val="24"/>
          <w:lang w:val="en-ZA"/>
        </w:rPr>
        <w:t>8]</w:t>
      </w:r>
      <w:r w:rsidR="005C70E3">
        <w:rPr>
          <w:rFonts w:ascii="Arial" w:eastAsiaTheme="minorHAnsi" w:hAnsi="Arial" w:cs="Arial"/>
          <w:sz w:val="24"/>
          <w:szCs w:val="24"/>
          <w:lang w:val="en-ZA"/>
        </w:rPr>
        <w:tab/>
      </w:r>
      <w:r w:rsidRPr="00812BB3">
        <w:rPr>
          <w:rFonts w:ascii="Arial" w:eastAsiaTheme="minorHAnsi" w:hAnsi="Arial" w:cs="Arial"/>
          <w:sz w:val="24"/>
          <w:szCs w:val="24"/>
          <w:lang w:val="en-ZA"/>
        </w:rPr>
        <w:t xml:space="preserve">Merit’s appeal </w:t>
      </w:r>
      <w:r w:rsidR="00EB45F9">
        <w:rPr>
          <w:rFonts w:ascii="Arial" w:eastAsiaTheme="minorHAnsi" w:hAnsi="Arial" w:cs="Arial"/>
          <w:sz w:val="24"/>
          <w:szCs w:val="24"/>
          <w:lang w:val="en-ZA"/>
        </w:rPr>
        <w:t>is without</w:t>
      </w:r>
      <w:r w:rsidRPr="00812BB3">
        <w:rPr>
          <w:rFonts w:ascii="Arial" w:eastAsiaTheme="minorHAnsi" w:hAnsi="Arial" w:cs="Arial"/>
          <w:sz w:val="24"/>
          <w:szCs w:val="24"/>
          <w:lang w:val="en-ZA"/>
        </w:rPr>
        <w:t xml:space="preserve"> </w:t>
      </w:r>
      <w:r w:rsidR="00BE2108" w:rsidRPr="00812BB3">
        <w:rPr>
          <w:rFonts w:ascii="Arial" w:eastAsiaTheme="minorHAnsi" w:hAnsi="Arial" w:cs="Arial"/>
          <w:sz w:val="24"/>
          <w:szCs w:val="24"/>
          <w:lang w:val="en-ZA"/>
        </w:rPr>
        <w:t>merit</w:t>
      </w:r>
      <w:r w:rsidR="00BE2108">
        <w:rPr>
          <w:rFonts w:ascii="Arial" w:eastAsiaTheme="minorHAnsi" w:hAnsi="Arial" w:cs="Arial"/>
          <w:sz w:val="24"/>
          <w:szCs w:val="24"/>
          <w:lang w:val="en-ZA"/>
        </w:rPr>
        <w:t>; accordingly, I concur in the order proposed by my colleagues.</w:t>
      </w:r>
    </w:p>
    <w:p w:rsidR="00812BB3" w:rsidRDefault="00812BB3" w:rsidP="00BD22D9">
      <w:pPr>
        <w:spacing w:line="360" w:lineRule="auto"/>
        <w:jc w:val="both"/>
        <w:rPr>
          <w:rFonts w:ascii="Arial" w:hAnsi="Arial" w:cs="Arial"/>
          <w:b/>
          <w:sz w:val="24"/>
          <w:szCs w:val="24"/>
          <w:lang w:val="en-ZA"/>
        </w:rPr>
      </w:pPr>
    </w:p>
    <w:p w:rsidR="005C70E3" w:rsidRDefault="005C70E3" w:rsidP="00BD22D9">
      <w:pPr>
        <w:spacing w:line="360" w:lineRule="auto"/>
        <w:jc w:val="both"/>
        <w:rPr>
          <w:rFonts w:ascii="Arial" w:hAnsi="Arial" w:cs="Arial"/>
          <w:b/>
          <w:sz w:val="24"/>
          <w:szCs w:val="24"/>
          <w:lang w:val="en-ZA"/>
        </w:rPr>
      </w:pPr>
    </w:p>
    <w:p w:rsidR="00B813CE" w:rsidRPr="00BD2EDA" w:rsidRDefault="00B813CE" w:rsidP="00BD22D9">
      <w:pPr>
        <w:spacing w:line="240" w:lineRule="auto"/>
        <w:jc w:val="both"/>
        <w:rPr>
          <w:rFonts w:ascii="Arial" w:hAnsi="Arial" w:cs="Arial"/>
          <w:sz w:val="24"/>
          <w:szCs w:val="24"/>
          <w:lang w:val="en-ZA"/>
        </w:rPr>
      </w:pPr>
    </w:p>
    <w:p w:rsidR="00BD22D9" w:rsidRDefault="00BD22D9" w:rsidP="00BD22D9">
      <w:pPr>
        <w:spacing w:line="240" w:lineRule="auto"/>
        <w:jc w:val="both"/>
        <w:rPr>
          <w:rFonts w:ascii="Arial" w:hAnsi="Arial" w:cs="Arial"/>
          <w:sz w:val="24"/>
          <w:szCs w:val="24"/>
          <w:lang w:val="en-ZA"/>
        </w:rPr>
      </w:pPr>
    </w:p>
    <w:p w:rsidR="00453BAE" w:rsidRPr="00BD2EDA" w:rsidRDefault="00453BAE" w:rsidP="00453BAE">
      <w:pPr>
        <w:spacing w:line="360" w:lineRule="auto"/>
        <w:jc w:val="both"/>
        <w:rPr>
          <w:rFonts w:ascii="Arial" w:hAnsi="Arial" w:cs="Arial"/>
          <w:sz w:val="24"/>
          <w:szCs w:val="24"/>
          <w:lang w:val="en-ZA"/>
        </w:rPr>
      </w:pPr>
      <w:r w:rsidRPr="00BD2EDA">
        <w:rPr>
          <w:rFonts w:ascii="Arial" w:hAnsi="Arial" w:cs="Arial"/>
          <w:sz w:val="24"/>
          <w:szCs w:val="24"/>
          <w:lang w:val="en-ZA"/>
        </w:rPr>
        <w:t>_____________________</w:t>
      </w:r>
      <w:r>
        <w:rPr>
          <w:rFonts w:ascii="Arial" w:hAnsi="Arial" w:cs="Arial"/>
          <w:sz w:val="24"/>
          <w:szCs w:val="24"/>
          <w:lang w:val="en-ZA"/>
        </w:rPr>
        <w:t>___</w:t>
      </w:r>
    </w:p>
    <w:p w:rsidR="00453BAE" w:rsidRPr="00BD2EDA" w:rsidRDefault="00453BAE" w:rsidP="00453BAE">
      <w:pPr>
        <w:spacing w:line="360" w:lineRule="auto"/>
        <w:jc w:val="both"/>
        <w:rPr>
          <w:rFonts w:ascii="Arial" w:hAnsi="Arial" w:cs="Arial"/>
          <w:b/>
          <w:sz w:val="24"/>
          <w:szCs w:val="24"/>
          <w:lang w:val="en-ZA"/>
        </w:rPr>
      </w:pPr>
      <w:r w:rsidRPr="00BD2EDA">
        <w:rPr>
          <w:rFonts w:ascii="Arial" w:hAnsi="Arial" w:cs="Arial"/>
          <w:b/>
          <w:sz w:val="24"/>
          <w:szCs w:val="24"/>
          <w:lang w:val="en-ZA"/>
        </w:rPr>
        <w:t>DAMASEB DCJ</w:t>
      </w:r>
      <w:r>
        <w:rPr>
          <w:rFonts w:ascii="Arial" w:hAnsi="Arial" w:cs="Arial"/>
          <w:b/>
          <w:sz w:val="24"/>
          <w:szCs w:val="24"/>
          <w:lang w:val="en-ZA"/>
        </w:rPr>
        <w:t xml:space="preserve"> </w:t>
      </w:r>
    </w:p>
    <w:p w:rsidR="000C6E64" w:rsidRPr="00BD2EDA" w:rsidRDefault="000C6E64" w:rsidP="00BD22D9">
      <w:pPr>
        <w:spacing w:line="240" w:lineRule="auto"/>
        <w:jc w:val="both"/>
        <w:rPr>
          <w:rFonts w:ascii="Arial" w:hAnsi="Arial" w:cs="Arial"/>
          <w:sz w:val="24"/>
          <w:szCs w:val="24"/>
          <w:lang w:val="en-ZA"/>
        </w:rPr>
      </w:pPr>
    </w:p>
    <w:p w:rsidR="00BD22D9" w:rsidRPr="00BD2EDA" w:rsidRDefault="00BD22D9" w:rsidP="00BE2108">
      <w:pPr>
        <w:spacing w:line="240" w:lineRule="auto"/>
        <w:ind w:firstLine="720"/>
        <w:jc w:val="both"/>
        <w:rPr>
          <w:rFonts w:ascii="Arial" w:hAnsi="Arial" w:cs="Arial"/>
          <w:sz w:val="24"/>
          <w:szCs w:val="24"/>
          <w:lang w:val="en-ZA"/>
        </w:rPr>
      </w:pPr>
    </w:p>
    <w:p w:rsidR="00466A73" w:rsidRPr="00BD2EDA" w:rsidRDefault="009A0DF8" w:rsidP="00BD22D9">
      <w:pPr>
        <w:spacing w:line="480" w:lineRule="auto"/>
        <w:jc w:val="both"/>
        <w:rPr>
          <w:rFonts w:ascii="Arial" w:hAnsi="Arial" w:cs="Arial"/>
          <w:sz w:val="24"/>
          <w:szCs w:val="24"/>
          <w:lang w:val="en-ZA"/>
        </w:rPr>
      </w:pPr>
      <w:r w:rsidRPr="00BD2EDA">
        <w:rPr>
          <w:rFonts w:ascii="Arial" w:hAnsi="Arial" w:cs="Arial"/>
          <w:b/>
          <w:sz w:val="24"/>
          <w:szCs w:val="24"/>
          <w:lang w:val="en-ZA"/>
        </w:rPr>
        <w:br w:type="page"/>
      </w:r>
      <w:r w:rsidR="00466A73" w:rsidRPr="00BD2EDA">
        <w:rPr>
          <w:rFonts w:ascii="Arial" w:hAnsi="Arial" w:cs="Arial"/>
          <w:sz w:val="24"/>
          <w:szCs w:val="24"/>
          <w:lang w:val="en-ZA"/>
        </w:rPr>
        <w:lastRenderedPageBreak/>
        <w:t>APPEARANCES</w:t>
      </w:r>
    </w:p>
    <w:p w:rsidR="00466A73" w:rsidRPr="00BD2EDA" w:rsidRDefault="00466A73" w:rsidP="00BD22D9">
      <w:pPr>
        <w:spacing w:line="360" w:lineRule="auto"/>
        <w:jc w:val="both"/>
        <w:rPr>
          <w:rFonts w:ascii="Arial" w:hAnsi="Arial" w:cs="Arial"/>
          <w:sz w:val="24"/>
          <w:szCs w:val="24"/>
          <w:lang w:val="en-ZA"/>
        </w:rPr>
      </w:pPr>
    </w:p>
    <w:tbl>
      <w:tblPr>
        <w:tblW w:w="0" w:type="auto"/>
        <w:tblLook w:val="04A0" w:firstRow="1" w:lastRow="0" w:firstColumn="1" w:lastColumn="0" w:noHBand="0" w:noVBand="1"/>
      </w:tblPr>
      <w:tblGrid>
        <w:gridCol w:w="4476"/>
        <w:gridCol w:w="4527"/>
      </w:tblGrid>
      <w:tr w:rsidR="00496CEE" w:rsidRPr="00BD2EDA" w:rsidTr="00466A73">
        <w:tc>
          <w:tcPr>
            <w:tcW w:w="4476" w:type="dxa"/>
            <w:shd w:val="clear" w:color="auto" w:fill="auto"/>
          </w:tcPr>
          <w:p w:rsidR="00466A73" w:rsidRPr="00BD2EDA" w:rsidRDefault="00466A73" w:rsidP="00666656">
            <w:pPr>
              <w:spacing w:line="360" w:lineRule="auto"/>
              <w:ind w:left="-108"/>
              <w:jc w:val="both"/>
              <w:rPr>
                <w:rFonts w:ascii="Arial" w:hAnsi="Arial" w:cs="Arial"/>
                <w:sz w:val="24"/>
                <w:szCs w:val="24"/>
                <w:lang w:val="en-ZA"/>
              </w:rPr>
            </w:pPr>
            <w:r w:rsidRPr="00BD2EDA">
              <w:rPr>
                <w:rFonts w:ascii="Arial" w:hAnsi="Arial" w:cs="Arial"/>
                <w:sz w:val="24"/>
                <w:szCs w:val="24"/>
                <w:lang w:val="en-ZA"/>
              </w:rPr>
              <w:t>APPELLANT</w:t>
            </w:r>
            <w:r w:rsidR="00B17F7F" w:rsidRPr="00BD2EDA">
              <w:rPr>
                <w:rFonts w:ascii="Arial" w:hAnsi="Arial" w:cs="Arial"/>
                <w:sz w:val="24"/>
                <w:szCs w:val="24"/>
                <w:lang w:val="en-ZA"/>
              </w:rPr>
              <w:t>:</w:t>
            </w:r>
          </w:p>
        </w:tc>
        <w:tc>
          <w:tcPr>
            <w:tcW w:w="4527" w:type="dxa"/>
            <w:shd w:val="clear" w:color="auto" w:fill="auto"/>
          </w:tcPr>
          <w:p w:rsidR="00666656" w:rsidRPr="00BD2EDA" w:rsidRDefault="00C0327E" w:rsidP="00CD5B8E">
            <w:pPr>
              <w:spacing w:line="360" w:lineRule="auto"/>
              <w:jc w:val="both"/>
              <w:rPr>
                <w:rFonts w:ascii="Arial" w:hAnsi="Arial" w:cs="Arial"/>
                <w:sz w:val="24"/>
                <w:szCs w:val="24"/>
                <w:lang w:val="en-ZA"/>
              </w:rPr>
            </w:pPr>
            <w:r>
              <w:rPr>
                <w:rFonts w:ascii="Arial" w:hAnsi="Arial" w:cs="Arial"/>
                <w:sz w:val="24"/>
                <w:szCs w:val="24"/>
                <w:lang w:val="en-ZA"/>
              </w:rPr>
              <w:t xml:space="preserve">R </w:t>
            </w:r>
            <w:r w:rsidR="00CD5B8E" w:rsidRPr="00BD2EDA">
              <w:rPr>
                <w:rFonts w:ascii="Arial" w:hAnsi="Arial" w:cs="Arial"/>
                <w:sz w:val="24"/>
                <w:szCs w:val="24"/>
                <w:lang w:val="en-ZA"/>
              </w:rPr>
              <w:t>Heathcote</w:t>
            </w:r>
            <w:r w:rsidR="00FF6CCF" w:rsidRPr="00BD2EDA">
              <w:rPr>
                <w:rFonts w:ascii="Arial" w:hAnsi="Arial" w:cs="Arial"/>
                <w:sz w:val="24"/>
                <w:szCs w:val="24"/>
                <w:lang w:val="en-ZA"/>
              </w:rPr>
              <w:t>, SC</w:t>
            </w:r>
            <w:r w:rsidR="00455DDC">
              <w:rPr>
                <w:rFonts w:ascii="Arial" w:hAnsi="Arial" w:cs="Arial"/>
                <w:sz w:val="24"/>
                <w:szCs w:val="24"/>
                <w:lang w:val="en-ZA"/>
              </w:rPr>
              <w:t xml:space="preserve"> (with him</w:t>
            </w:r>
            <w:r w:rsidR="00972E78" w:rsidRPr="00BD2EDA">
              <w:rPr>
                <w:rFonts w:ascii="Arial" w:hAnsi="Arial" w:cs="Arial"/>
                <w:sz w:val="24"/>
                <w:szCs w:val="24"/>
                <w:lang w:val="en-ZA"/>
              </w:rPr>
              <w:t xml:space="preserve"> </w:t>
            </w:r>
            <w:r w:rsidR="00666656" w:rsidRPr="00BD2EDA">
              <w:rPr>
                <w:rFonts w:ascii="Arial" w:hAnsi="Arial" w:cs="Arial"/>
                <w:sz w:val="24"/>
                <w:szCs w:val="24"/>
                <w:lang w:val="en-ZA"/>
              </w:rPr>
              <w:t>N Bassingthwaighte</w:t>
            </w:r>
            <w:r w:rsidR="00CD5B8E" w:rsidRPr="00BD2EDA">
              <w:rPr>
                <w:rFonts w:ascii="Arial" w:hAnsi="Arial" w:cs="Arial"/>
                <w:sz w:val="24"/>
                <w:szCs w:val="24"/>
                <w:lang w:val="en-ZA"/>
              </w:rPr>
              <w:t>)</w:t>
            </w:r>
          </w:p>
        </w:tc>
      </w:tr>
      <w:tr w:rsidR="00496CEE" w:rsidRPr="00BD2EDA" w:rsidTr="00466A73">
        <w:tc>
          <w:tcPr>
            <w:tcW w:w="4476" w:type="dxa"/>
            <w:shd w:val="clear" w:color="auto" w:fill="auto"/>
          </w:tcPr>
          <w:p w:rsidR="00466A73" w:rsidRPr="00BD2EDA" w:rsidRDefault="00466A73" w:rsidP="00BD22D9">
            <w:pPr>
              <w:spacing w:line="360" w:lineRule="auto"/>
              <w:jc w:val="both"/>
              <w:rPr>
                <w:rFonts w:ascii="Arial" w:hAnsi="Arial" w:cs="Arial"/>
                <w:sz w:val="24"/>
                <w:szCs w:val="24"/>
                <w:lang w:val="en-ZA"/>
              </w:rPr>
            </w:pPr>
          </w:p>
        </w:tc>
        <w:tc>
          <w:tcPr>
            <w:tcW w:w="4527" w:type="dxa"/>
            <w:shd w:val="clear" w:color="auto" w:fill="auto"/>
          </w:tcPr>
          <w:p w:rsidR="00666656" w:rsidRPr="00BD2EDA" w:rsidRDefault="00666656" w:rsidP="00BD22D9">
            <w:pPr>
              <w:spacing w:line="360" w:lineRule="auto"/>
              <w:jc w:val="both"/>
              <w:rPr>
                <w:rFonts w:ascii="Arial" w:hAnsi="Arial" w:cs="Arial"/>
                <w:sz w:val="24"/>
                <w:szCs w:val="24"/>
                <w:lang w:val="en-ZA"/>
              </w:rPr>
            </w:pPr>
          </w:p>
          <w:p w:rsidR="00466A73" w:rsidRPr="00BD2EDA" w:rsidRDefault="00666656" w:rsidP="00BD22D9">
            <w:pPr>
              <w:spacing w:line="360" w:lineRule="auto"/>
              <w:jc w:val="both"/>
              <w:rPr>
                <w:rFonts w:ascii="Arial" w:hAnsi="Arial" w:cs="Arial"/>
                <w:sz w:val="24"/>
                <w:szCs w:val="24"/>
                <w:lang w:val="en-ZA"/>
              </w:rPr>
            </w:pPr>
            <w:r w:rsidRPr="00BD2EDA">
              <w:rPr>
                <w:rFonts w:ascii="Arial" w:hAnsi="Arial" w:cs="Arial"/>
                <w:sz w:val="24"/>
                <w:szCs w:val="24"/>
                <w:lang w:val="en-ZA"/>
              </w:rPr>
              <w:t xml:space="preserve">Instructed by </w:t>
            </w:r>
            <w:r w:rsidR="00124F49" w:rsidRPr="00BD2EDA">
              <w:rPr>
                <w:rFonts w:ascii="Arial" w:hAnsi="Arial" w:cs="Arial"/>
                <w:sz w:val="24"/>
                <w:szCs w:val="24"/>
                <w:lang w:val="en-ZA"/>
              </w:rPr>
              <w:t>Theunissen, Louw &amp; Partners</w:t>
            </w:r>
            <w:r w:rsidR="00455DDC">
              <w:rPr>
                <w:rFonts w:ascii="Arial" w:hAnsi="Arial" w:cs="Arial"/>
                <w:sz w:val="24"/>
                <w:szCs w:val="24"/>
                <w:lang w:val="en-ZA"/>
              </w:rPr>
              <w:t>, Windhoek</w:t>
            </w:r>
          </w:p>
          <w:p w:rsidR="00CE4D5B" w:rsidRPr="00BD2EDA" w:rsidRDefault="00CE4D5B" w:rsidP="00BD22D9">
            <w:pPr>
              <w:spacing w:line="360" w:lineRule="auto"/>
              <w:jc w:val="both"/>
              <w:rPr>
                <w:rFonts w:ascii="Arial" w:hAnsi="Arial" w:cs="Arial"/>
                <w:sz w:val="24"/>
                <w:szCs w:val="24"/>
                <w:lang w:val="en-ZA"/>
              </w:rPr>
            </w:pPr>
          </w:p>
        </w:tc>
      </w:tr>
      <w:tr w:rsidR="00496CEE" w:rsidRPr="00BD2EDA" w:rsidTr="00466A73">
        <w:trPr>
          <w:trHeight w:val="328"/>
        </w:trPr>
        <w:tc>
          <w:tcPr>
            <w:tcW w:w="4476" w:type="dxa"/>
            <w:shd w:val="clear" w:color="auto" w:fill="auto"/>
          </w:tcPr>
          <w:p w:rsidR="00C335C2" w:rsidRPr="00BD2EDA" w:rsidRDefault="00C0327E" w:rsidP="00BD22D9">
            <w:pPr>
              <w:spacing w:line="360" w:lineRule="auto"/>
              <w:ind w:left="-108"/>
              <w:jc w:val="both"/>
              <w:rPr>
                <w:rFonts w:ascii="Arial" w:hAnsi="Arial" w:cs="Arial"/>
                <w:sz w:val="24"/>
                <w:szCs w:val="24"/>
                <w:lang w:val="en-ZA"/>
              </w:rPr>
            </w:pPr>
            <w:r>
              <w:rPr>
                <w:rFonts w:ascii="Arial" w:hAnsi="Arial" w:cs="Arial"/>
                <w:sz w:val="24"/>
                <w:szCs w:val="24"/>
                <w:lang w:val="en-ZA"/>
              </w:rPr>
              <w:t>RESPONDENT</w:t>
            </w:r>
            <w:r w:rsidR="00C335C2" w:rsidRPr="00BD2EDA">
              <w:rPr>
                <w:rFonts w:ascii="Arial" w:hAnsi="Arial" w:cs="Arial"/>
                <w:sz w:val="24"/>
                <w:szCs w:val="24"/>
                <w:lang w:val="en-ZA"/>
              </w:rPr>
              <w:t>:</w:t>
            </w:r>
          </w:p>
        </w:tc>
        <w:tc>
          <w:tcPr>
            <w:tcW w:w="4527" w:type="dxa"/>
            <w:shd w:val="clear" w:color="auto" w:fill="auto"/>
          </w:tcPr>
          <w:p w:rsidR="00666656" w:rsidRPr="00BD2EDA" w:rsidRDefault="00455656" w:rsidP="00BD22D9">
            <w:pPr>
              <w:spacing w:line="360" w:lineRule="auto"/>
              <w:jc w:val="both"/>
              <w:rPr>
                <w:rFonts w:ascii="Arial" w:hAnsi="Arial" w:cs="Arial"/>
                <w:sz w:val="24"/>
                <w:szCs w:val="24"/>
                <w:lang w:val="en-ZA"/>
              </w:rPr>
            </w:pPr>
            <w:r w:rsidRPr="00BD2EDA">
              <w:rPr>
                <w:rFonts w:ascii="Arial" w:hAnsi="Arial" w:cs="Arial"/>
                <w:sz w:val="24"/>
                <w:szCs w:val="24"/>
                <w:lang w:val="en-ZA"/>
              </w:rPr>
              <w:t>S P Rosenberg, SC</w:t>
            </w:r>
          </w:p>
          <w:p w:rsidR="00666656" w:rsidRPr="00BD2EDA" w:rsidRDefault="00666656" w:rsidP="00BD22D9">
            <w:pPr>
              <w:spacing w:line="360" w:lineRule="auto"/>
              <w:jc w:val="both"/>
              <w:rPr>
                <w:rFonts w:ascii="Arial" w:hAnsi="Arial" w:cs="Arial"/>
                <w:sz w:val="24"/>
                <w:szCs w:val="24"/>
                <w:lang w:val="en-ZA"/>
              </w:rPr>
            </w:pPr>
          </w:p>
          <w:p w:rsidR="00666656" w:rsidRPr="00BD2EDA" w:rsidRDefault="00666656" w:rsidP="00BD22D9">
            <w:pPr>
              <w:spacing w:line="360" w:lineRule="auto"/>
              <w:jc w:val="both"/>
              <w:rPr>
                <w:rFonts w:ascii="Arial" w:hAnsi="Arial" w:cs="Arial"/>
                <w:sz w:val="24"/>
                <w:szCs w:val="24"/>
                <w:lang w:val="en-ZA"/>
              </w:rPr>
            </w:pPr>
            <w:r w:rsidRPr="00BD2EDA">
              <w:rPr>
                <w:rFonts w:ascii="Arial" w:hAnsi="Arial" w:cs="Arial"/>
                <w:sz w:val="24"/>
                <w:szCs w:val="24"/>
                <w:lang w:val="en-ZA"/>
              </w:rPr>
              <w:t xml:space="preserve">Instructed by </w:t>
            </w:r>
            <w:r w:rsidR="00667043">
              <w:rPr>
                <w:rFonts w:ascii="Arial" w:hAnsi="Arial" w:cs="Arial"/>
                <w:sz w:val="24"/>
                <w:szCs w:val="24"/>
                <w:lang w:val="en-ZA"/>
              </w:rPr>
              <w:t>Francois Erasmus &amp; Partners</w:t>
            </w:r>
            <w:r w:rsidR="00455DDC">
              <w:rPr>
                <w:rFonts w:ascii="Arial" w:hAnsi="Arial" w:cs="Arial"/>
                <w:sz w:val="24"/>
                <w:szCs w:val="24"/>
                <w:lang w:val="en-ZA"/>
              </w:rPr>
              <w:t xml:space="preserve">, Windhoek </w:t>
            </w:r>
          </w:p>
          <w:p w:rsidR="00C335C2" w:rsidRPr="00BD2EDA" w:rsidRDefault="00C335C2" w:rsidP="00BD22D9">
            <w:pPr>
              <w:spacing w:line="360" w:lineRule="auto"/>
              <w:jc w:val="both"/>
              <w:rPr>
                <w:rFonts w:ascii="Arial" w:hAnsi="Arial" w:cs="Arial"/>
                <w:sz w:val="24"/>
                <w:szCs w:val="24"/>
                <w:lang w:val="en-ZA"/>
              </w:rPr>
            </w:pPr>
          </w:p>
        </w:tc>
      </w:tr>
    </w:tbl>
    <w:p w:rsidR="00FB3FC1" w:rsidRDefault="00FB3FC1" w:rsidP="00BD22D9">
      <w:pPr>
        <w:pStyle w:val="MediumGrid1-Accent21"/>
        <w:spacing w:line="480" w:lineRule="auto"/>
        <w:ind w:left="0"/>
        <w:jc w:val="both"/>
        <w:rPr>
          <w:rFonts w:ascii="Arial" w:hAnsi="Arial" w:cs="Arial"/>
          <w:sz w:val="24"/>
          <w:szCs w:val="24"/>
          <w:lang w:val="en-ZA"/>
        </w:rPr>
      </w:pPr>
    </w:p>
    <w:p w:rsidR="00FB3FC1" w:rsidRDefault="00FB3FC1">
      <w:pPr>
        <w:rPr>
          <w:rFonts w:ascii="Arial" w:hAnsi="Arial" w:cs="Arial"/>
          <w:sz w:val="24"/>
          <w:szCs w:val="24"/>
          <w:lang w:val="en-ZA"/>
        </w:rPr>
      </w:pPr>
      <w:r>
        <w:rPr>
          <w:rFonts w:ascii="Arial" w:hAnsi="Arial" w:cs="Arial"/>
          <w:sz w:val="24"/>
          <w:szCs w:val="24"/>
          <w:lang w:val="en-ZA"/>
        </w:rPr>
        <w:br w:type="page"/>
      </w:r>
    </w:p>
    <w:p w:rsidR="00FB3FC1" w:rsidRPr="00FB3FC1" w:rsidRDefault="00FB3FC1" w:rsidP="00FB3FC1">
      <w:pPr>
        <w:spacing w:after="160" w:line="240" w:lineRule="auto"/>
        <w:jc w:val="both"/>
        <w:rPr>
          <w:rFonts w:ascii="Arial" w:eastAsiaTheme="minorHAnsi" w:hAnsi="Arial" w:cs="Arial"/>
          <w:sz w:val="24"/>
          <w:szCs w:val="24"/>
          <w:lang w:val="en-GB"/>
        </w:rPr>
      </w:pPr>
    </w:p>
    <w:p w:rsidR="00FB3FC1" w:rsidRPr="00FB3FC1" w:rsidRDefault="00FB3FC1" w:rsidP="00FB3FC1">
      <w:pPr>
        <w:spacing w:line="240" w:lineRule="auto"/>
        <w:jc w:val="center"/>
        <w:rPr>
          <w:rFonts w:ascii="Arial" w:hAnsi="Arial" w:cs="Arial"/>
          <w:b/>
          <w:noProof/>
          <w:sz w:val="24"/>
          <w:szCs w:val="24"/>
          <w:lang w:val="en-US"/>
        </w:rPr>
      </w:pPr>
      <w:r w:rsidRPr="00FB3FC1">
        <w:rPr>
          <w:rFonts w:ascii="Arial" w:hAnsi="Arial" w:cs="Arial"/>
          <w:b/>
          <w:sz w:val="24"/>
          <w:szCs w:val="24"/>
        </w:rPr>
        <w:t>REPUBLIC OF NAMIBIA</w:t>
      </w:r>
    </w:p>
    <w:p w:rsidR="00FB3FC1" w:rsidRPr="00FB3FC1" w:rsidRDefault="00FB3FC1" w:rsidP="00FB3FC1">
      <w:pPr>
        <w:keepNext/>
        <w:spacing w:line="240" w:lineRule="auto"/>
        <w:jc w:val="center"/>
        <w:outlineLvl w:val="0"/>
        <w:rPr>
          <w:rFonts w:ascii="Arial" w:hAnsi="Arial" w:cs="Arial"/>
          <w:b/>
          <w:bCs/>
          <w:sz w:val="24"/>
          <w:szCs w:val="24"/>
        </w:rPr>
      </w:pPr>
      <w:r w:rsidRPr="00FB3FC1">
        <w:rPr>
          <w:rFonts w:ascii="Arial" w:hAnsi="Arial" w:cs="Arial"/>
          <w:b/>
          <w:bCs/>
          <w:noProof/>
          <w:sz w:val="24"/>
          <w:szCs w:val="24"/>
          <w:lang w:val="en-ZA" w:eastAsia="en-ZA"/>
        </w:rPr>
        <w:drawing>
          <wp:inline distT="0" distB="0" distL="0" distR="0" wp14:anchorId="6137E456" wp14:editId="383F9BCC">
            <wp:extent cx="1073150" cy="1132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FB3FC1" w:rsidRPr="00FB3FC1" w:rsidRDefault="00FB3FC1" w:rsidP="00FB3FC1">
      <w:pPr>
        <w:keepNext/>
        <w:spacing w:line="240" w:lineRule="auto"/>
        <w:jc w:val="center"/>
        <w:outlineLvl w:val="0"/>
        <w:rPr>
          <w:rFonts w:ascii="Arial" w:hAnsi="Arial" w:cs="Arial"/>
          <w:b/>
          <w:bCs/>
          <w:sz w:val="24"/>
          <w:szCs w:val="24"/>
        </w:rPr>
      </w:pPr>
    </w:p>
    <w:p w:rsidR="00FB3FC1" w:rsidRPr="00FB3FC1" w:rsidRDefault="00FB3FC1" w:rsidP="00FB3FC1">
      <w:pPr>
        <w:spacing w:line="240" w:lineRule="auto"/>
        <w:jc w:val="center"/>
        <w:rPr>
          <w:rFonts w:ascii="Arial" w:hAnsi="Arial" w:cs="Arial"/>
          <w:b/>
          <w:sz w:val="24"/>
          <w:szCs w:val="24"/>
        </w:rPr>
      </w:pPr>
      <w:r w:rsidRPr="00FB3FC1">
        <w:rPr>
          <w:rFonts w:ascii="Arial" w:hAnsi="Arial" w:cs="Arial"/>
          <w:b/>
          <w:sz w:val="24"/>
          <w:szCs w:val="24"/>
        </w:rPr>
        <w:t>SUPREME COURT OF NAMIBIA, WINDHOEK</w:t>
      </w:r>
    </w:p>
    <w:p w:rsidR="00FB3FC1" w:rsidRPr="00FB3FC1" w:rsidRDefault="00FB3FC1" w:rsidP="00FB3FC1">
      <w:pPr>
        <w:spacing w:line="240" w:lineRule="auto"/>
        <w:jc w:val="center"/>
        <w:rPr>
          <w:rFonts w:ascii="Arial" w:hAnsi="Arial" w:cs="Arial"/>
          <w:b/>
          <w:sz w:val="24"/>
          <w:szCs w:val="24"/>
        </w:rPr>
      </w:pPr>
    </w:p>
    <w:p w:rsidR="00FB3FC1" w:rsidRPr="00FB3FC1" w:rsidRDefault="00FB3FC1" w:rsidP="00FB3FC1">
      <w:pPr>
        <w:spacing w:line="240" w:lineRule="auto"/>
        <w:jc w:val="right"/>
        <w:rPr>
          <w:rFonts w:ascii="Arial" w:eastAsiaTheme="minorHAnsi" w:hAnsi="Arial" w:cs="Arial"/>
          <w:b/>
          <w:sz w:val="24"/>
          <w:szCs w:val="24"/>
          <w:lang w:val="en-ZA"/>
        </w:rPr>
      </w:pPr>
    </w:p>
    <w:p w:rsidR="00FB3FC1" w:rsidRPr="00FB3FC1" w:rsidRDefault="00FB3FC1" w:rsidP="00FB3FC1">
      <w:pPr>
        <w:spacing w:line="240" w:lineRule="auto"/>
        <w:jc w:val="right"/>
        <w:rPr>
          <w:rFonts w:ascii="Arial" w:eastAsiaTheme="minorHAnsi" w:hAnsi="Arial" w:cs="Arial"/>
          <w:b/>
          <w:sz w:val="24"/>
          <w:szCs w:val="24"/>
          <w:lang w:val="en-ZA"/>
        </w:rPr>
      </w:pPr>
    </w:p>
    <w:p w:rsidR="00FB3FC1" w:rsidRPr="00FB3FC1" w:rsidRDefault="00FB3FC1" w:rsidP="00FB3FC1">
      <w:pPr>
        <w:spacing w:line="240" w:lineRule="auto"/>
        <w:jc w:val="right"/>
        <w:rPr>
          <w:rFonts w:ascii="Arial" w:eastAsiaTheme="minorHAnsi" w:hAnsi="Arial" w:cs="Arial"/>
          <w:b/>
          <w:sz w:val="24"/>
          <w:szCs w:val="24"/>
          <w:lang w:val="en-ZA"/>
        </w:rPr>
      </w:pPr>
      <w:r w:rsidRPr="00FB3FC1">
        <w:rPr>
          <w:rFonts w:ascii="Arial" w:eastAsiaTheme="minorHAnsi" w:hAnsi="Arial" w:cs="Arial"/>
          <w:b/>
          <w:sz w:val="24"/>
          <w:szCs w:val="24"/>
          <w:lang w:val="en-ZA"/>
        </w:rPr>
        <w:t>CASE NO: SA 23/2016</w:t>
      </w:r>
    </w:p>
    <w:p w:rsidR="00FB3FC1" w:rsidRPr="00FB3FC1" w:rsidRDefault="00FB3FC1" w:rsidP="00FB3FC1">
      <w:pPr>
        <w:spacing w:line="240" w:lineRule="auto"/>
        <w:rPr>
          <w:rFonts w:ascii="Arial" w:eastAsiaTheme="minorHAnsi" w:hAnsi="Arial" w:cs="Arial"/>
          <w:b/>
          <w:sz w:val="24"/>
          <w:szCs w:val="24"/>
          <w:lang w:val="en-ZA"/>
        </w:rPr>
      </w:pPr>
    </w:p>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hAnsi="Arial" w:cs="Arial"/>
          <w:b/>
          <w:sz w:val="24"/>
          <w:szCs w:val="24"/>
          <w:lang w:val="en-ZA"/>
        </w:rPr>
      </w:pPr>
      <w:r w:rsidRPr="00FB3FC1">
        <w:rPr>
          <w:rFonts w:ascii="Arial" w:hAnsi="Arial" w:cs="Arial"/>
          <w:b/>
          <w:sz w:val="24"/>
          <w:szCs w:val="24"/>
          <w:lang w:val="en-ZA"/>
        </w:rPr>
        <w:t>IN THE SUPREME COURT OF NAMIBIA</w:t>
      </w:r>
    </w:p>
    <w:p w:rsidR="00FB3FC1" w:rsidRPr="00FB3FC1" w:rsidRDefault="00FB3FC1" w:rsidP="00FB3FC1">
      <w:pPr>
        <w:spacing w:line="240" w:lineRule="auto"/>
        <w:jc w:val="both"/>
        <w:rPr>
          <w:rFonts w:ascii="Arial" w:hAnsi="Arial" w:cs="Arial"/>
          <w:sz w:val="24"/>
          <w:szCs w:val="24"/>
          <w:lang w:val="en-ZA"/>
        </w:rPr>
      </w:pPr>
    </w:p>
    <w:p w:rsidR="00FB3FC1" w:rsidRPr="00FB3FC1" w:rsidRDefault="00FB3FC1" w:rsidP="00FB3FC1">
      <w:pPr>
        <w:spacing w:line="240" w:lineRule="auto"/>
        <w:jc w:val="both"/>
        <w:rPr>
          <w:rFonts w:ascii="Arial" w:hAnsi="Arial" w:cs="Arial"/>
          <w:sz w:val="24"/>
          <w:szCs w:val="24"/>
          <w:lang w:val="en-ZA"/>
        </w:rPr>
      </w:pPr>
      <w:r w:rsidRPr="00FB3FC1">
        <w:rPr>
          <w:rFonts w:ascii="Arial" w:hAnsi="Arial" w:cs="Arial"/>
          <w:sz w:val="24"/>
          <w:szCs w:val="24"/>
          <w:lang w:val="en-ZA"/>
        </w:rPr>
        <w:t>In the matter between:</w:t>
      </w:r>
    </w:p>
    <w:p w:rsidR="00FB3FC1" w:rsidRPr="00FB3FC1" w:rsidRDefault="00FB3FC1" w:rsidP="00FB3FC1">
      <w:pPr>
        <w:spacing w:line="240" w:lineRule="auto"/>
        <w:jc w:val="both"/>
        <w:rPr>
          <w:rFonts w:ascii="Arial" w:hAnsi="Arial" w:cs="Arial"/>
          <w:sz w:val="24"/>
          <w:szCs w:val="24"/>
          <w:lang w:val="en-ZA"/>
        </w:rPr>
      </w:pPr>
    </w:p>
    <w:p w:rsidR="00FB3FC1" w:rsidRPr="00FB3FC1" w:rsidRDefault="00FB3FC1" w:rsidP="00FB3FC1">
      <w:pPr>
        <w:spacing w:line="240" w:lineRule="auto"/>
        <w:jc w:val="both"/>
        <w:rPr>
          <w:rFonts w:ascii="Arial" w:hAnsi="Arial" w:cs="Arial"/>
          <w:sz w:val="24"/>
          <w:szCs w:val="24"/>
          <w:lang w:val="en-ZA"/>
        </w:rPr>
      </w:pPr>
    </w:p>
    <w:tbl>
      <w:tblPr>
        <w:tblW w:w="8897" w:type="dxa"/>
        <w:tblInd w:w="-142" w:type="dxa"/>
        <w:tblLook w:val="04A0" w:firstRow="1" w:lastRow="0" w:firstColumn="1" w:lastColumn="0" w:noHBand="0" w:noVBand="1"/>
      </w:tblPr>
      <w:tblGrid>
        <w:gridCol w:w="6204"/>
        <w:gridCol w:w="2693"/>
      </w:tblGrid>
      <w:tr w:rsidR="00FB3FC1" w:rsidRPr="00FB3FC1" w:rsidTr="00E7744D">
        <w:tc>
          <w:tcPr>
            <w:tcW w:w="6204" w:type="dxa"/>
            <w:shd w:val="clear" w:color="auto" w:fill="auto"/>
          </w:tcPr>
          <w:p w:rsidR="00FB3FC1" w:rsidRPr="00FB3FC1" w:rsidRDefault="00FB3FC1" w:rsidP="00FB3FC1">
            <w:pPr>
              <w:spacing w:line="240" w:lineRule="auto"/>
              <w:jc w:val="both"/>
              <w:rPr>
                <w:rFonts w:ascii="Arial" w:hAnsi="Arial" w:cs="Arial"/>
                <w:b/>
                <w:sz w:val="24"/>
                <w:szCs w:val="24"/>
                <w:lang w:val="en-ZA"/>
              </w:rPr>
            </w:pPr>
            <w:r w:rsidRPr="00FB3FC1">
              <w:rPr>
                <w:rFonts w:ascii="Arial" w:hAnsi="Arial" w:cs="Arial"/>
                <w:b/>
                <w:sz w:val="24"/>
                <w:szCs w:val="24"/>
                <w:lang w:val="en-ZA"/>
              </w:rPr>
              <w:t xml:space="preserve">MERIT INVESTMENT ELEVEN (PTY) LTD </w:t>
            </w:r>
          </w:p>
          <w:p w:rsidR="00FB3FC1" w:rsidRPr="00FB3FC1" w:rsidRDefault="00FB3FC1" w:rsidP="00FB3FC1">
            <w:pPr>
              <w:tabs>
                <w:tab w:val="left" w:pos="4050"/>
              </w:tabs>
              <w:spacing w:line="240" w:lineRule="auto"/>
              <w:jc w:val="both"/>
              <w:rPr>
                <w:rFonts w:ascii="Arial" w:hAnsi="Arial" w:cs="Arial"/>
                <w:b/>
                <w:sz w:val="24"/>
                <w:szCs w:val="24"/>
                <w:lang w:val="en-ZA"/>
              </w:rPr>
            </w:pPr>
            <w:r w:rsidRPr="00FB3FC1">
              <w:rPr>
                <w:rFonts w:ascii="Arial" w:hAnsi="Arial" w:cs="Arial"/>
                <w:b/>
                <w:sz w:val="24"/>
                <w:szCs w:val="24"/>
                <w:lang w:val="en-ZA"/>
              </w:rPr>
              <w:tab/>
            </w:r>
          </w:p>
        </w:tc>
        <w:tc>
          <w:tcPr>
            <w:tcW w:w="2693" w:type="dxa"/>
            <w:shd w:val="clear" w:color="auto" w:fill="auto"/>
          </w:tcPr>
          <w:p w:rsidR="00FB3FC1" w:rsidRPr="00FB3FC1" w:rsidRDefault="00FB3FC1" w:rsidP="00FB3FC1">
            <w:pPr>
              <w:spacing w:line="240" w:lineRule="auto"/>
              <w:jc w:val="right"/>
              <w:rPr>
                <w:rFonts w:ascii="Arial" w:hAnsi="Arial" w:cs="Arial"/>
                <w:b/>
                <w:sz w:val="24"/>
                <w:szCs w:val="24"/>
                <w:lang w:val="en-ZA"/>
              </w:rPr>
            </w:pPr>
            <w:r w:rsidRPr="00FB3FC1">
              <w:rPr>
                <w:rFonts w:ascii="Arial" w:hAnsi="Arial" w:cs="Arial"/>
                <w:b/>
                <w:sz w:val="24"/>
                <w:szCs w:val="24"/>
                <w:lang w:val="en-ZA"/>
              </w:rPr>
              <w:t>Appellant</w:t>
            </w:r>
          </w:p>
        </w:tc>
      </w:tr>
      <w:tr w:rsidR="00FB3FC1" w:rsidRPr="00FB3FC1" w:rsidTr="00E7744D">
        <w:tc>
          <w:tcPr>
            <w:tcW w:w="6204" w:type="dxa"/>
            <w:shd w:val="clear" w:color="auto" w:fill="auto"/>
          </w:tcPr>
          <w:p w:rsidR="00FB3FC1" w:rsidRPr="00FB3FC1" w:rsidRDefault="00FB3FC1" w:rsidP="00FB3FC1">
            <w:pPr>
              <w:spacing w:line="240" w:lineRule="auto"/>
              <w:jc w:val="both"/>
              <w:rPr>
                <w:rFonts w:ascii="Arial" w:hAnsi="Arial" w:cs="Arial"/>
                <w:sz w:val="24"/>
                <w:szCs w:val="24"/>
                <w:lang w:val="en-ZA"/>
              </w:rPr>
            </w:pPr>
            <w:r w:rsidRPr="00FB3FC1">
              <w:rPr>
                <w:rFonts w:ascii="Arial" w:hAnsi="Arial" w:cs="Arial"/>
                <w:sz w:val="24"/>
                <w:szCs w:val="24"/>
                <w:lang w:val="en-ZA"/>
              </w:rPr>
              <w:t>and</w:t>
            </w:r>
          </w:p>
        </w:tc>
        <w:tc>
          <w:tcPr>
            <w:tcW w:w="2693" w:type="dxa"/>
            <w:shd w:val="clear" w:color="auto" w:fill="auto"/>
          </w:tcPr>
          <w:p w:rsidR="00FB3FC1" w:rsidRPr="00FB3FC1" w:rsidRDefault="00FB3FC1" w:rsidP="00FB3FC1">
            <w:pPr>
              <w:spacing w:line="240" w:lineRule="auto"/>
              <w:jc w:val="both"/>
              <w:rPr>
                <w:rFonts w:ascii="Arial" w:hAnsi="Arial" w:cs="Arial"/>
                <w:b/>
                <w:sz w:val="24"/>
                <w:szCs w:val="24"/>
                <w:lang w:val="en-ZA"/>
              </w:rPr>
            </w:pPr>
          </w:p>
        </w:tc>
      </w:tr>
      <w:tr w:rsidR="00FB3FC1" w:rsidRPr="00FB3FC1" w:rsidTr="00E7744D">
        <w:tc>
          <w:tcPr>
            <w:tcW w:w="6204" w:type="dxa"/>
            <w:shd w:val="clear" w:color="auto" w:fill="auto"/>
          </w:tcPr>
          <w:p w:rsidR="00FB3FC1" w:rsidRPr="00FB3FC1" w:rsidRDefault="00FB3FC1" w:rsidP="00FB3FC1">
            <w:pPr>
              <w:spacing w:line="240" w:lineRule="auto"/>
              <w:jc w:val="both"/>
              <w:rPr>
                <w:rFonts w:ascii="Arial" w:hAnsi="Arial" w:cs="Arial"/>
                <w:b/>
                <w:sz w:val="24"/>
                <w:szCs w:val="24"/>
                <w:lang w:val="en-ZA"/>
              </w:rPr>
            </w:pPr>
          </w:p>
        </w:tc>
        <w:tc>
          <w:tcPr>
            <w:tcW w:w="2693" w:type="dxa"/>
            <w:shd w:val="clear" w:color="auto" w:fill="auto"/>
          </w:tcPr>
          <w:p w:rsidR="00FB3FC1" w:rsidRPr="00FB3FC1" w:rsidRDefault="00FB3FC1" w:rsidP="00FB3FC1">
            <w:pPr>
              <w:spacing w:line="240" w:lineRule="auto"/>
              <w:jc w:val="both"/>
              <w:rPr>
                <w:rFonts w:ascii="Arial" w:hAnsi="Arial" w:cs="Arial"/>
                <w:b/>
                <w:sz w:val="24"/>
                <w:szCs w:val="24"/>
                <w:lang w:val="en-ZA"/>
              </w:rPr>
            </w:pPr>
          </w:p>
        </w:tc>
      </w:tr>
      <w:tr w:rsidR="00FB3FC1" w:rsidRPr="00FB3FC1" w:rsidTr="00E7744D">
        <w:tc>
          <w:tcPr>
            <w:tcW w:w="6204" w:type="dxa"/>
            <w:shd w:val="clear" w:color="auto" w:fill="auto"/>
          </w:tcPr>
          <w:p w:rsidR="00FB3FC1" w:rsidRPr="00FB3FC1" w:rsidRDefault="00FB3FC1" w:rsidP="00FB3FC1">
            <w:pPr>
              <w:spacing w:line="240" w:lineRule="auto"/>
              <w:jc w:val="both"/>
              <w:rPr>
                <w:rFonts w:ascii="Arial" w:hAnsi="Arial" w:cs="Arial"/>
                <w:b/>
                <w:sz w:val="24"/>
                <w:szCs w:val="24"/>
                <w:lang w:val="en-ZA"/>
              </w:rPr>
            </w:pPr>
            <w:r w:rsidRPr="00FB3FC1">
              <w:rPr>
                <w:rFonts w:ascii="Arial" w:hAnsi="Arial" w:cs="Arial"/>
                <w:b/>
                <w:sz w:val="24"/>
                <w:szCs w:val="24"/>
                <w:lang w:val="en-ZA"/>
              </w:rPr>
              <w:t>NAMSOV FISHING ENTERPRISES (PTY) LTD</w:t>
            </w:r>
          </w:p>
        </w:tc>
        <w:tc>
          <w:tcPr>
            <w:tcW w:w="2693" w:type="dxa"/>
            <w:shd w:val="clear" w:color="auto" w:fill="auto"/>
          </w:tcPr>
          <w:p w:rsidR="00FB3FC1" w:rsidRPr="00FB3FC1" w:rsidRDefault="00FB3FC1" w:rsidP="00FB3FC1">
            <w:pPr>
              <w:spacing w:line="240" w:lineRule="auto"/>
              <w:jc w:val="right"/>
              <w:rPr>
                <w:rFonts w:ascii="Arial" w:hAnsi="Arial" w:cs="Arial"/>
                <w:b/>
                <w:sz w:val="24"/>
                <w:szCs w:val="24"/>
                <w:lang w:val="en-ZA"/>
              </w:rPr>
            </w:pPr>
            <w:r w:rsidRPr="00FB3FC1">
              <w:rPr>
                <w:rFonts w:ascii="Arial" w:hAnsi="Arial" w:cs="Arial"/>
                <w:b/>
                <w:sz w:val="24"/>
                <w:szCs w:val="24"/>
                <w:lang w:val="en-ZA"/>
              </w:rPr>
              <w:t>Respondent</w:t>
            </w:r>
          </w:p>
        </w:tc>
      </w:tr>
    </w:tbl>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hAnsi="Arial" w:cs="Arial"/>
          <w:sz w:val="24"/>
          <w:szCs w:val="24"/>
          <w:lang w:val="en-ZA"/>
        </w:rPr>
      </w:pPr>
      <w:r w:rsidRPr="00FB3FC1">
        <w:rPr>
          <w:rFonts w:ascii="Arial" w:hAnsi="Arial" w:cs="Arial"/>
          <w:b/>
          <w:sz w:val="24"/>
          <w:szCs w:val="24"/>
          <w:lang w:val="en-ZA"/>
        </w:rPr>
        <w:t>Coram:</w:t>
      </w:r>
      <w:r w:rsidRPr="00FB3FC1">
        <w:rPr>
          <w:rFonts w:ascii="Arial" w:hAnsi="Arial" w:cs="Arial"/>
          <w:sz w:val="24"/>
          <w:szCs w:val="24"/>
          <w:lang w:val="en-ZA"/>
        </w:rPr>
        <w:tab/>
      </w:r>
      <w:r w:rsidRPr="00FB3FC1">
        <w:rPr>
          <w:rFonts w:ascii="Arial" w:hAnsi="Arial" w:cs="Arial"/>
          <w:sz w:val="24"/>
          <w:szCs w:val="24"/>
          <w:lang w:val="en-ZA"/>
        </w:rPr>
        <w:tab/>
        <w:t>DAMASEB DCJ, MAINGA JA and SMUTS JA</w:t>
      </w:r>
    </w:p>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hAnsi="Arial" w:cs="Arial"/>
          <w:b/>
          <w:sz w:val="24"/>
          <w:szCs w:val="24"/>
          <w:lang w:val="en-ZA"/>
        </w:rPr>
      </w:pPr>
      <w:r w:rsidRPr="00FB3FC1">
        <w:rPr>
          <w:rFonts w:ascii="Arial" w:hAnsi="Arial" w:cs="Arial"/>
          <w:b/>
          <w:sz w:val="24"/>
          <w:szCs w:val="24"/>
          <w:lang w:val="en-ZA"/>
        </w:rPr>
        <w:t>Heard:</w:t>
      </w:r>
      <w:r w:rsidRPr="00FB3FC1">
        <w:rPr>
          <w:rFonts w:ascii="Arial" w:hAnsi="Arial" w:cs="Arial"/>
          <w:b/>
          <w:sz w:val="24"/>
          <w:szCs w:val="24"/>
          <w:lang w:val="en-ZA"/>
        </w:rPr>
        <w:tab/>
      </w:r>
      <w:r w:rsidRPr="00FB3FC1">
        <w:rPr>
          <w:rFonts w:ascii="Arial" w:hAnsi="Arial" w:cs="Arial"/>
          <w:b/>
          <w:sz w:val="24"/>
          <w:szCs w:val="24"/>
          <w:lang w:val="en-ZA"/>
        </w:rPr>
        <w:tab/>
        <w:t>13 March 2017</w:t>
      </w:r>
    </w:p>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hAnsi="Arial" w:cs="Arial"/>
          <w:b/>
          <w:sz w:val="24"/>
          <w:szCs w:val="24"/>
          <w:lang w:val="en-ZA"/>
        </w:rPr>
      </w:pPr>
      <w:r w:rsidRPr="00FB3FC1">
        <w:rPr>
          <w:rFonts w:ascii="Arial" w:hAnsi="Arial" w:cs="Arial"/>
          <w:b/>
          <w:sz w:val="24"/>
          <w:szCs w:val="24"/>
          <w:lang w:val="en-ZA"/>
        </w:rPr>
        <w:t>Delivered:</w:t>
      </w:r>
      <w:r w:rsidRPr="00FB3FC1">
        <w:rPr>
          <w:rFonts w:ascii="Arial" w:hAnsi="Arial" w:cs="Arial"/>
          <w:b/>
          <w:sz w:val="24"/>
          <w:szCs w:val="24"/>
          <w:lang w:val="en-ZA"/>
        </w:rPr>
        <w:tab/>
      </w:r>
      <w:r w:rsidRPr="00FB3FC1">
        <w:rPr>
          <w:rFonts w:ascii="Arial" w:hAnsi="Arial" w:cs="Arial"/>
          <w:b/>
          <w:sz w:val="24"/>
          <w:szCs w:val="24"/>
          <w:lang w:val="en-ZA"/>
        </w:rPr>
        <w:tab/>
        <w:t>24 March 2017</w:t>
      </w:r>
    </w:p>
    <w:p w:rsidR="00FB3FC1" w:rsidRPr="00FB3FC1" w:rsidRDefault="00FB3FC1" w:rsidP="00FB3FC1">
      <w:pPr>
        <w:spacing w:line="240" w:lineRule="auto"/>
        <w:jc w:val="both"/>
        <w:rPr>
          <w:rFonts w:ascii="Arial" w:hAnsi="Arial" w:cs="Arial"/>
          <w:b/>
          <w:sz w:val="24"/>
          <w:szCs w:val="24"/>
          <w:lang w:val="en-ZA"/>
        </w:rPr>
      </w:pPr>
    </w:p>
    <w:p w:rsidR="00FB3FC1" w:rsidRPr="00FB3FC1" w:rsidRDefault="00FB3FC1" w:rsidP="00FB3FC1">
      <w:pPr>
        <w:spacing w:line="240" w:lineRule="auto"/>
        <w:jc w:val="both"/>
        <w:rPr>
          <w:rFonts w:ascii="Arial" w:eastAsiaTheme="minorHAnsi" w:hAnsi="Arial" w:cs="Arial"/>
          <w:b/>
          <w:sz w:val="24"/>
          <w:szCs w:val="24"/>
          <w:lang w:val="en-GB"/>
        </w:rPr>
      </w:pPr>
    </w:p>
    <w:p w:rsidR="00FB3FC1" w:rsidRPr="00FB3FC1" w:rsidRDefault="00FB3FC1" w:rsidP="00FB3FC1">
      <w:pPr>
        <w:spacing w:line="240" w:lineRule="auto"/>
        <w:jc w:val="both"/>
        <w:rPr>
          <w:rFonts w:ascii="Arial" w:eastAsiaTheme="minorHAnsi" w:hAnsi="Arial" w:cs="Arial"/>
          <w:b/>
          <w:sz w:val="24"/>
          <w:szCs w:val="24"/>
          <w:u w:val="single"/>
          <w:lang w:val="en-GB"/>
        </w:rPr>
      </w:pPr>
      <w:r w:rsidRPr="00FB3FC1">
        <w:rPr>
          <w:rFonts w:ascii="Arial" w:eastAsiaTheme="minorHAnsi" w:hAnsi="Arial" w:cs="Arial"/>
          <w:b/>
          <w:sz w:val="24"/>
          <w:szCs w:val="24"/>
          <w:u w:val="single"/>
          <w:lang w:val="en-GB"/>
        </w:rPr>
        <w:t>Summary:</w:t>
      </w:r>
    </w:p>
    <w:p w:rsidR="00FB3FC1" w:rsidRPr="00FB3FC1" w:rsidRDefault="00FB3FC1" w:rsidP="00FB3FC1">
      <w:pPr>
        <w:spacing w:line="240" w:lineRule="auto"/>
        <w:jc w:val="both"/>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Namsov Fishing Enterprises (Pty) Ltd (the respondent) and Merit Investments Eleven (Pty) Ltd (appellant), entered into a sourcing fee agreement which included an arbitration clause. A disagreement pertaining to payments for fishing quota exploitation rights arose between the parties.</w:t>
      </w:r>
    </w:p>
    <w:p w:rsidR="00FB3FC1" w:rsidRPr="00FB3FC1" w:rsidRDefault="00FB3FC1" w:rsidP="00FB3FC1">
      <w:pPr>
        <w:spacing w:after="160" w:line="259" w:lineRule="auto"/>
        <w:ind w:left="567"/>
        <w:contextualSpacing/>
        <w:jc w:val="both"/>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Namsov instituted an action against Merit for payment of the sums of                       N$ 7,360 000 and N$ 3,750 000. Merit resisted an application for summary judgment by relying upon the arbitration clause in their sourcing fee agreement. The matter proceeded to arbitration. The parties agreed upon an arbitrator and the terms of arbitration. This was confirmed in writing in a letter by Namsov’s lawyers to Merit’s lawyers.</w:t>
      </w: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The arbitrator appointed to adjudicate the dispute between the parties made an award in favour of Namsov for payment of those sums. Namsov then applied to the High Court to make the award an order of court in terms of section 31 of the Arbitration Act 42 of 1965. The application was opposed on the basis that the award did not dispose of all obligations between the parties. The High Court rejected this defence.</w:t>
      </w: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On appeal, Merit no longer pursued its defence in the High Court but raised a new point for the first time, namely that Namsov had not established a written arbitration agreement in its application papers as required by s 31 of the Arbitration Act.</w:t>
      </w: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The court reiterated the test for raising a point for the first time on appeal. It must be covered by the pleadings and its consideration should raise no unfairness to the other side. The court found that these requirements were not met and that there was also no basis for the point on the facts.</w:t>
      </w: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The court found that Merit’s answering affidavit in the application confirmed the terms of the arbitration agreement set out in the letter by Namsov’s lawyers. A written agreement need not have all the parties’ signatures, but be reduced to writing. Merit’s opposition in the High Court accepted the existence of a valid arbitration agreement. Furthermore, Merit would have had to deal with the arbitration clause relied upon it for the referral to arbitration and why the recordal of the terms of the arbitration as set out in Namsov’s lawyer’s letters was not a proper record of the agreement to arbitrate, particularly given the fact that Merit had participated in the arbitration and raised no point there or in the High Court as to a lack of jurisdiction by the arbitrator.</w:t>
      </w: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The court found that the new point raised on appeal was contrary to Merit’s pleaded position on the facts and further found that a written agreement to arbitrate as contemplated by the Arbitration Act was established by Namsov.</w:t>
      </w:r>
    </w:p>
    <w:p w:rsidR="00FB3FC1" w:rsidRPr="00FB3FC1" w:rsidRDefault="00FB3FC1" w:rsidP="00FB3FC1">
      <w:pPr>
        <w:spacing w:after="160" w:line="259" w:lineRule="auto"/>
        <w:ind w:left="720"/>
        <w:contextualSpacing/>
        <w:rPr>
          <w:rFonts w:ascii="Arial" w:eastAsiaTheme="minorHAnsi" w:hAnsi="Arial" w:cs="Arial"/>
          <w:sz w:val="24"/>
          <w:szCs w:val="24"/>
          <w:lang w:val="en-GB"/>
        </w:rPr>
      </w:pPr>
    </w:p>
    <w:p w:rsidR="00FB3FC1" w:rsidRPr="00FB3FC1" w:rsidRDefault="00FB3FC1" w:rsidP="00FB3FC1">
      <w:pPr>
        <w:numPr>
          <w:ilvl w:val="0"/>
          <w:numId w:val="20"/>
        </w:numPr>
        <w:spacing w:after="160" w:line="259" w:lineRule="auto"/>
        <w:ind w:left="567" w:hanging="567"/>
        <w:contextualSpacing/>
        <w:jc w:val="both"/>
        <w:rPr>
          <w:rFonts w:ascii="Arial" w:eastAsiaTheme="minorHAnsi" w:hAnsi="Arial" w:cs="Arial"/>
          <w:sz w:val="24"/>
          <w:szCs w:val="24"/>
          <w:lang w:val="en-GB"/>
        </w:rPr>
      </w:pPr>
      <w:r w:rsidRPr="00FB3FC1">
        <w:rPr>
          <w:rFonts w:ascii="Arial" w:eastAsiaTheme="minorHAnsi" w:hAnsi="Arial" w:cs="Arial"/>
          <w:sz w:val="24"/>
          <w:szCs w:val="24"/>
          <w:lang w:val="en-GB"/>
        </w:rPr>
        <w:t>In a concurring judgment, the Deputy Chief Justice found that the primary case relied upon in argument by Merit did not support the point taken on appeal for the first time. He also held that once the parties had accepted the High Court had jurisdiction, it was not for the presiding judge to second-guess them and make his own enquiry into the issue as to the true facts concerning jurisdiction. He held that the High Court was on the fact entitled to assume jurisdiction on the facts of the case.</w:t>
      </w:r>
    </w:p>
    <w:p w:rsidR="00B66B25" w:rsidRPr="00BD2EDA" w:rsidRDefault="00B66B25" w:rsidP="00BD22D9">
      <w:pPr>
        <w:pStyle w:val="MediumGrid1-Accent21"/>
        <w:spacing w:line="480" w:lineRule="auto"/>
        <w:ind w:left="0"/>
        <w:jc w:val="both"/>
        <w:rPr>
          <w:rFonts w:ascii="Arial" w:hAnsi="Arial" w:cs="Arial"/>
          <w:sz w:val="24"/>
          <w:szCs w:val="24"/>
          <w:lang w:val="en-ZA"/>
        </w:rPr>
      </w:pPr>
    </w:p>
    <w:sectPr w:rsidR="00B66B25" w:rsidRPr="00BD2EDA" w:rsidSect="0090146D">
      <w:headerReference w:type="default" r:id="rId9"/>
      <w:headerReference w:type="first" r:id="rId10"/>
      <w:pgSz w:w="11906" w:h="16838" w:code="9"/>
      <w:pgMar w:top="811" w:right="1134" w:bottom="1440" w:left="1440" w:header="81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A3" w:rsidRDefault="005209A3" w:rsidP="00245E78">
      <w:pPr>
        <w:spacing w:line="240" w:lineRule="auto"/>
      </w:pPr>
      <w:r>
        <w:separator/>
      </w:r>
    </w:p>
  </w:endnote>
  <w:endnote w:type="continuationSeparator" w:id="0">
    <w:p w:rsidR="005209A3" w:rsidRDefault="005209A3" w:rsidP="0024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A3" w:rsidRDefault="005209A3" w:rsidP="00245E78">
      <w:pPr>
        <w:spacing w:line="240" w:lineRule="auto"/>
      </w:pPr>
      <w:r>
        <w:separator/>
      </w:r>
    </w:p>
  </w:footnote>
  <w:footnote w:type="continuationSeparator" w:id="0">
    <w:p w:rsidR="005209A3" w:rsidRDefault="005209A3" w:rsidP="00245E78">
      <w:pPr>
        <w:spacing w:line="240" w:lineRule="auto"/>
      </w:pPr>
      <w:r>
        <w:continuationSeparator/>
      </w:r>
    </w:p>
  </w:footnote>
  <w:footnote w:id="1">
    <w:p w:rsidR="009A335E" w:rsidRPr="0090146D" w:rsidRDefault="009A335E">
      <w:pPr>
        <w:pStyle w:val="FootnoteText"/>
        <w:rPr>
          <w:rFonts w:ascii="Arial" w:hAnsi="Arial" w:cs="Arial"/>
          <w:lang w:val="en-ZA"/>
        </w:rPr>
      </w:pPr>
      <w:r w:rsidRPr="0090146D">
        <w:rPr>
          <w:rStyle w:val="FootnoteReference"/>
          <w:rFonts w:ascii="Arial" w:hAnsi="Arial" w:cs="Arial"/>
        </w:rPr>
        <w:footnoteRef/>
      </w:r>
      <w:r w:rsidRPr="0090146D">
        <w:rPr>
          <w:rFonts w:ascii="Arial" w:hAnsi="Arial" w:cs="Arial"/>
        </w:rPr>
        <w:t xml:space="preserve"> </w:t>
      </w:r>
      <w:r w:rsidRPr="0090146D">
        <w:rPr>
          <w:rFonts w:ascii="Arial" w:hAnsi="Arial" w:cs="Arial"/>
          <w:i/>
          <w:lang w:val="en-ZA"/>
        </w:rPr>
        <w:t xml:space="preserve">Da Cunha do Rego v Beerwinkel t/a JC Builders </w:t>
      </w:r>
      <w:r w:rsidRPr="0090146D">
        <w:rPr>
          <w:rFonts w:ascii="Arial" w:hAnsi="Arial" w:cs="Arial"/>
          <w:lang w:val="en-ZA"/>
        </w:rPr>
        <w:t>2012(2) NR 769 (SC) at para 29</w:t>
      </w:r>
      <w:r w:rsidR="00FF6CCF" w:rsidRPr="0090146D">
        <w:rPr>
          <w:rFonts w:ascii="Arial" w:hAnsi="Arial" w:cs="Arial"/>
          <w:lang w:val="en-ZA"/>
        </w:rPr>
        <w:t xml:space="preserve"> where the requirements of an application under s 31 are neatly set out</w:t>
      </w:r>
      <w:r w:rsidRPr="0090146D">
        <w:rPr>
          <w:rFonts w:ascii="Arial" w:hAnsi="Arial" w:cs="Arial"/>
          <w:lang w:val="en-ZA"/>
        </w:rPr>
        <w:t>.</w:t>
      </w:r>
    </w:p>
  </w:footnote>
  <w:footnote w:id="2">
    <w:p w:rsidR="009A335E" w:rsidRPr="0090146D" w:rsidRDefault="009A335E" w:rsidP="00832A0C">
      <w:pPr>
        <w:rPr>
          <w:rFonts w:ascii="Arial" w:hAnsi="Arial" w:cs="Arial"/>
          <w:sz w:val="20"/>
          <w:szCs w:val="20"/>
          <w:lang w:val="en-ZA"/>
        </w:rPr>
      </w:pPr>
      <w:r w:rsidRPr="0090146D">
        <w:rPr>
          <w:rStyle w:val="FootnoteReference"/>
          <w:rFonts w:ascii="Arial" w:hAnsi="Arial" w:cs="Arial"/>
          <w:sz w:val="20"/>
          <w:szCs w:val="20"/>
        </w:rPr>
        <w:footnoteRef/>
      </w:r>
      <w:r w:rsidRPr="0090146D">
        <w:rPr>
          <w:rFonts w:ascii="Arial" w:hAnsi="Arial" w:cs="Arial"/>
          <w:sz w:val="20"/>
          <w:szCs w:val="20"/>
        </w:rPr>
        <w:t xml:space="preserve"> </w:t>
      </w:r>
      <w:r w:rsidRPr="0090146D">
        <w:rPr>
          <w:rFonts w:ascii="Arial" w:hAnsi="Arial" w:cs="Arial"/>
          <w:i/>
          <w:sz w:val="20"/>
          <w:szCs w:val="20"/>
          <w:lang w:val="en-ZA"/>
        </w:rPr>
        <w:t>Christopher Brown Ltd v Genossenschaft Oesterrichascher</w:t>
      </w:r>
      <w:r w:rsidR="00832A0C" w:rsidRPr="0090146D">
        <w:rPr>
          <w:rFonts w:ascii="Arial" w:hAnsi="Arial" w:cs="Arial"/>
          <w:i/>
          <w:sz w:val="20"/>
          <w:szCs w:val="20"/>
          <w:lang w:val="en-ZA"/>
        </w:rPr>
        <w:t xml:space="preserve"> </w:t>
      </w:r>
      <w:r w:rsidR="00832A0C" w:rsidRPr="0090146D">
        <w:rPr>
          <w:rFonts w:ascii="Arial" w:eastAsiaTheme="minorEastAsia" w:hAnsi="Arial" w:cs="Arial"/>
          <w:i/>
          <w:spacing w:val="17"/>
          <w:sz w:val="20"/>
          <w:szCs w:val="20"/>
          <w:lang w:val="en-US" w:eastAsia="en-GB"/>
        </w:rPr>
        <w:t>Genossenscaft Oesrerreichischer Waldbesitzer Holzwirtschaftsbertriebe Registrierte Genossenschaft Mitt Beschrankter Haftung</w:t>
      </w:r>
      <w:r w:rsidRPr="0090146D">
        <w:rPr>
          <w:rFonts w:ascii="Arial" w:hAnsi="Arial" w:cs="Arial"/>
          <w:i/>
          <w:sz w:val="20"/>
          <w:szCs w:val="20"/>
          <w:lang w:val="en-ZA"/>
        </w:rPr>
        <w:t xml:space="preserve"> </w:t>
      </w:r>
      <w:r w:rsidRPr="0090146D">
        <w:rPr>
          <w:rFonts w:ascii="Arial" w:hAnsi="Arial" w:cs="Arial"/>
          <w:sz w:val="20"/>
          <w:szCs w:val="20"/>
          <w:lang w:val="en-ZA"/>
        </w:rPr>
        <w:t>[1953] 2 All ER 1039 (QB)</w:t>
      </w:r>
      <w:r w:rsidR="00FF6CCF" w:rsidRPr="0090146D">
        <w:rPr>
          <w:rFonts w:ascii="Arial" w:hAnsi="Arial" w:cs="Arial"/>
          <w:sz w:val="20"/>
          <w:szCs w:val="20"/>
          <w:lang w:val="en-ZA"/>
        </w:rPr>
        <w:t xml:space="preserve"> at 1040 d-e</w:t>
      </w:r>
      <w:r w:rsidRPr="0090146D">
        <w:rPr>
          <w:rFonts w:ascii="Arial" w:hAnsi="Arial" w:cs="Arial"/>
          <w:sz w:val="20"/>
          <w:szCs w:val="20"/>
          <w:lang w:val="en-ZA"/>
        </w:rPr>
        <w:t>.</w:t>
      </w:r>
    </w:p>
  </w:footnote>
  <w:footnote w:id="3">
    <w:p w:rsidR="001823C7" w:rsidRPr="0090146D" w:rsidRDefault="001823C7">
      <w:pPr>
        <w:pStyle w:val="FootnoteText"/>
        <w:rPr>
          <w:rFonts w:ascii="Arial" w:hAnsi="Arial" w:cs="Arial"/>
          <w:lang w:val="en-ZA"/>
        </w:rPr>
      </w:pPr>
      <w:r w:rsidRPr="0090146D">
        <w:rPr>
          <w:rStyle w:val="FootnoteReference"/>
          <w:rFonts w:ascii="Arial" w:hAnsi="Arial" w:cs="Arial"/>
        </w:rPr>
        <w:footnoteRef/>
      </w:r>
      <w:r w:rsidRPr="0090146D">
        <w:rPr>
          <w:rFonts w:ascii="Arial" w:hAnsi="Arial" w:cs="Arial"/>
        </w:rPr>
        <w:t xml:space="preserve"> </w:t>
      </w:r>
      <w:r w:rsidRPr="0090146D">
        <w:rPr>
          <w:rFonts w:ascii="Arial" w:hAnsi="Arial" w:cs="Arial"/>
          <w:lang w:val="en-ZA"/>
        </w:rPr>
        <w:t>2012 (2) NR 507 (SC).</w:t>
      </w:r>
    </w:p>
  </w:footnote>
  <w:footnote w:id="4">
    <w:p w:rsidR="007557DF" w:rsidRPr="0090146D" w:rsidRDefault="007557DF">
      <w:pPr>
        <w:pStyle w:val="FootnoteText"/>
        <w:rPr>
          <w:rFonts w:ascii="Arial" w:hAnsi="Arial" w:cs="Arial"/>
          <w:lang w:val="en-ZA"/>
        </w:rPr>
      </w:pPr>
      <w:r w:rsidRPr="0090146D">
        <w:rPr>
          <w:rStyle w:val="FootnoteReference"/>
          <w:rFonts w:ascii="Arial" w:hAnsi="Arial" w:cs="Arial"/>
        </w:rPr>
        <w:footnoteRef/>
      </w:r>
      <w:r w:rsidRPr="0090146D">
        <w:rPr>
          <w:rFonts w:ascii="Arial" w:hAnsi="Arial" w:cs="Arial"/>
        </w:rPr>
        <w:t xml:space="preserve"> </w:t>
      </w:r>
      <w:r w:rsidRPr="0090146D">
        <w:rPr>
          <w:rFonts w:ascii="Arial" w:hAnsi="Arial" w:cs="Arial"/>
          <w:lang w:val="en-ZA"/>
        </w:rPr>
        <w:t xml:space="preserve">On the basis of a respondent’s right to argue that an applicant has not made out a case for the relief claimed as acknowledged </w:t>
      </w:r>
      <w:r w:rsidR="00225158" w:rsidRPr="0090146D">
        <w:rPr>
          <w:rFonts w:ascii="Arial" w:hAnsi="Arial" w:cs="Arial"/>
          <w:lang w:val="en-ZA"/>
        </w:rPr>
        <w:t xml:space="preserve">by this </w:t>
      </w:r>
      <w:r w:rsidR="001854F9" w:rsidRPr="0090146D">
        <w:rPr>
          <w:rFonts w:ascii="Arial" w:hAnsi="Arial" w:cs="Arial"/>
          <w:lang w:val="en-ZA"/>
        </w:rPr>
        <w:t>court</w:t>
      </w:r>
      <w:r w:rsidR="00225158" w:rsidRPr="0090146D">
        <w:rPr>
          <w:rFonts w:ascii="Arial" w:hAnsi="Arial" w:cs="Arial"/>
          <w:lang w:val="en-ZA"/>
        </w:rPr>
        <w:t xml:space="preserve"> in </w:t>
      </w:r>
      <w:r w:rsidR="00225158" w:rsidRPr="0090146D">
        <w:rPr>
          <w:rFonts w:ascii="Arial" w:hAnsi="Arial" w:cs="Arial"/>
          <w:i/>
          <w:lang w:val="en-ZA"/>
        </w:rPr>
        <w:t xml:space="preserve">Stipp and another v Shade Centre and others </w:t>
      </w:r>
      <w:r w:rsidR="00225158" w:rsidRPr="0090146D">
        <w:rPr>
          <w:rFonts w:ascii="Arial" w:hAnsi="Arial" w:cs="Arial"/>
          <w:lang w:val="en-ZA"/>
        </w:rPr>
        <w:t>2007(2) (SC). See also</w:t>
      </w:r>
      <w:r w:rsidRPr="0090146D">
        <w:rPr>
          <w:rFonts w:ascii="Arial" w:hAnsi="Arial" w:cs="Arial"/>
          <w:lang w:val="en-ZA"/>
        </w:rPr>
        <w:t xml:space="preserve"> </w:t>
      </w:r>
      <w:r w:rsidRPr="0090146D">
        <w:rPr>
          <w:rFonts w:ascii="Arial" w:hAnsi="Arial" w:cs="Arial"/>
          <w:i/>
          <w:lang w:val="en-ZA"/>
        </w:rPr>
        <w:t xml:space="preserve">Valentino Globe BV v Phillips and Another </w:t>
      </w:r>
      <w:r w:rsidRPr="0090146D">
        <w:rPr>
          <w:rFonts w:ascii="Arial" w:hAnsi="Arial" w:cs="Arial"/>
          <w:lang w:val="en-ZA"/>
        </w:rPr>
        <w:t>1998 (3) SA 775 (SCA) at 779.</w:t>
      </w:r>
      <w:r w:rsidR="00225158" w:rsidRPr="0090146D">
        <w:rPr>
          <w:rFonts w:ascii="Arial" w:hAnsi="Arial" w:cs="Arial"/>
          <w:lang w:val="en-ZA"/>
        </w:rPr>
        <w:t xml:space="preserve"> The </w:t>
      </w:r>
      <w:r w:rsidR="00225158" w:rsidRPr="0090146D">
        <w:rPr>
          <w:rFonts w:ascii="Arial" w:hAnsi="Arial" w:cs="Arial"/>
          <w:i/>
          <w:lang w:val="en-ZA"/>
        </w:rPr>
        <w:t xml:space="preserve">Stipp </w:t>
      </w:r>
      <w:r w:rsidR="00225158" w:rsidRPr="0090146D">
        <w:rPr>
          <w:rFonts w:ascii="Arial" w:hAnsi="Arial" w:cs="Arial"/>
          <w:lang w:val="en-ZA"/>
        </w:rPr>
        <w:t>matter is distinguishable because the preliminary point was squarely taken in the answering affidavit</w:t>
      </w:r>
      <w:r w:rsidR="001854F9" w:rsidRPr="0090146D">
        <w:rPr>
          <w:rFonts w:ascii="Arial" w:hAnsi="Arial" w:cs="Arial"/>
          <w:lang w:val="en-ZA"/>
        </w:rPr>
        <w:t xml:space="preserve"> whereas in this matter the factual basis </w:t>
      </w:r>
      <w:r w:rsidR="004C33B8" w:rsidRPr="0090146D">
        <w:rPr>
          <w:rFonts w:ascii="Arial" w:hAnsi="Arial" w:cs="Arial"/>
          <w:lang w:val="en-ZA"/>
        </w:rPr>
        <w:t>to raise</w:t>
      </w:r>
      <w:r w:rsidR="001854F9" w:rsidRPr="0090146D">
        <w:rPr>
          <w:rFonts w:ascii="Arial" w:hAnsi="Arial" w:cs="Arial"/>
          <w:lang w:val="en-ZA"/>
        </w:rPr>
        <w:t xml:space="preserve"> the point </w:t>
      </w:r>
      <w:r w:rsidR="004C33B8" w:rsidRPr="0090146D">
        <w:rPr>
          <w:rFonts w:ascii="Arial" w:hAnsi="Arial" w:cs="Arial"/>
          <w:lang w:val="en-ZA"/>
        </w:rPr>
        <w:t>had</w:t>
      </w:r>
      <w:r w:rsidR="001854F9" w:rsidRPr="0090146D">
        <w:rPr>
          <w:rFonts w:ascii="Arial" w:hAnsi="Arial" w:cs="Arial"/>
          <w:lang w:val="en-ZA"/>
        </w:rPr>
        <w:t xml:space="preserve"> not </w:t>
      </w:r>
      <w:r w:rsidR="004C33B8" w:rsidRPr="0090146D">
        <w:rPr>
          <w:rFonts w:ascii="Arial" w:hAnsi="Arial" w:cs="Arial"/>
          <w:lang w:val="en-ZA"/>
        </w:rPr>
        <w:t xml:space="preserve">been </w:t>
      </w:r>
      <w:r w:rsidR="001854F9" w:rsidRPr="0090146D">
        <w:rPr>
          <w:rFonts w:ascii="Arial" w:hAnsi="Arial" w:cs="Arial"/>
          <w:lang w:val="en-ZA"/>
        </w:rPr>
        <w:t>placed in issue</w:t>
      </w:r>
      <w:r w:rsidR="00225158" w:rsidRPr="0090146D">
        <w:rPr>
          <w:rFonts w:ascii="Arial" w:hAnsi="Arial" w:cs="Arial"/>
          <w:lang w:val="en-ZA"/>
        </w:rPr>
        <w:t>.</w:t>
      </w:r>
    </w:p>
  </w:footnote>
  <w:footnote w:id="5">
    <w:p w:rsidR="00543519" w:rsidRPr="0090146D" w:rsidRDefault="00543519">
      <w:pPr>
        <w:pStyle w:val="FootnoteText"/>
        <w:rPr>
          <w:rFonts w:ascii="Arial" w:hAnsi="Arial" w:cs="Arial"/>
          <w:lang w:val="en-ZA"/>
        </w:rPr>
      </w:pPr>
      <w:r w:rsidRPr="0090146D">
        <w:rPr>
          <w:rStyle w:val="FootnoteReference"/>
          <w:rFonts w:ascii="Arial" w:hAnsi="Arial" w:cs="Arial"/>
        </w:rPr>
        <w:footnoteRef/>
      </w:r>
      <w:r w:rsidRPr="0090146D">
        <w:rPr>
          <w:rFonts w:ascii="Arial" w:hAnsi="Arial" w:cs="Arial"/>
        </w:rPr>
        <w:t xml:space="preserve"> </w:t>
      </w:r>
      <w:r w:rsidR="00CA0FD7" w:rsidRPr="0090146D">
        <w:rPr>
          <w:rFonts w:ascii="Arial" w:hAnsi="Arial" w:cs="Arial"/>
          <w:lang w:val="en-ZA"/>
        </w:rPr>
        <w:t>1999</w:t>
      </w:r>
      <w:r w:rsidR="007557DF" w:rsidRPr="0090146D">
        <w:rPr>
          <w:rFonts w:ascii="Arial" w:hAnsi="Arial" w:cs="Arial"/>
          <w:lang w:val="en-ZA"/>
        </w:rPr>
        <w:t xml:space="preserve"> </w:t>
      </w:r>
      <w:r w:rsidR="00CA0FD7" w:rsidRPr="0090146D">
        <w:rPr>
          <w:rFonts w:ascii="Arial" w:hAnsi="Arial" w:cs="Arial"/>
          <w:lang w:val="en-ZA"/>
        </w:rPr>
        <w:t xml:space="preserve">(3) </w:t>
      </w:r>
      <w:r w:rsidR="00E24B10" w:rsidRPr="0090146D">
        <w:rPr>
          <w:rFonts w:ascii="Arial" w:hAnsi="Arial" w:cs="Arial"/>
          <w:lang w:val="en-ZA"/>
        </w:rPr>
        <w:t xml:space="preserve">SA </w:t>
      </w:r>
      <w:r w:rsidR="00CA0FD7" w:rsidRPr="0090146D">
        <w:rPr>
          <w:rFonts w:ascii="Arial" w:hAnsi="Arial" w:cs="Arial"/>
          <w:lang w:val="en-ZA"/>
        </w:rPr>
        <w:t>607 (W) at 610.</w:t>
      </w:r>
    </w:p>
  </w:footnote>
  <w:footnote w:id="6">
    <w:p w:rsidR="004525F7" w:rsidRPr="0090146D" w:rsidRDefault="004525F7">
      <w:pPr>
        <w:pStyle w:val="FootnoteText"/>
        <w:rPr>
          <w:rFonts w:ascii="Arial" w:hAnsi="Arial" w:cs="Arial"/>
          <w:lang w:val="en-ZA"/>
        </w:rPr>
      </w:pPr>
      <w:r w:rsidRPr="0090146D">
        <w:rPr>
          <w:rStyle w:val="FootnoteReference"/>
          <w:rFonts w:ascii="Arial" w:hAnsi="Arial" w:cs="Arial"/>
        </w:rPr>
        <w:footnoteRef/>
      </w:r>
      <w:r w:rsidRPr="0090146D">
        <w:rPr>
          <w:rFonts w:ascii="Arial" w:hAnsi="Arial" w:cs="Arial"/>
        </w:rPr>
        <w:t xml:space="preserve"> Halsbury’s </w:t>
      </w:r>
      <w:r w:rsidRPr="0090146D">
        <w:rPr>
          <w:rFonts w:ascii="Arial" w:hAnsi="Arial" w:cs="Arial"/>
          <w:i/>
        </w:rPr>
        <w:t xml:space="preserve">Laws of England </w:t>
      </w:r>
      <w:r w:rsidRPr="0090146D">
        <w:rPr>
          <w:rFonts w:ascii="Arial" w:hAnsi="Arial" w:cs="Arial"/>
        </w:rPr>
        <w:t>4</w:t>
      </w:r>
      <w:r w:rsidRPr="0090146D">
        <w:rPr>
          <w:rFonts w:ascii="Arial" w:hAnsi="Arial" w:cs="Arial"/>
          <w:vertAlign w:val="superscript"/>
        </w:rPr>
        <w:t>th</w:t>
      </w:r>
      <w:r w:rsidRPr="0090146D">
        <w:rPr>
          <w:rFonts w:ascii="Arial" w:hAnsi="Arial" w:cs="Arial"/>
        </w:rPr>
        <w:t xml:space="preserve"> ed Vol 2 at 267 para 521.</w:t>
      </w:r>
    </w:p>
  </w:footnote>
  <w:footnote w:id="7">
    <w:p w:rsidR="009F7ABA" w:rsidRPr="0090146D" w:rsidRDefault="009F7ABA">
      <w:pPr>
        <w:pStyle w:val="FootnoteText"/>
        <w:rPr>
          <w:rFonts w:ascii="Arial" w:hAnsi="Arial" w:cs="Arial"/>
          <w:lang w:val="en-ZA"/>
        </w:rPr>
      </w:pPr>
      <w:r w:rsidRPr="0090146D">
        <w:rPr>
          <w:rStyle w:val="FootnoteReference"/>
          <w:rFonts w:ascii="Arial" w:hAnsi="Arial" w:cs="Arial"/>
        </w:rPr>
        <w:footnoteRef/>
      </w:r>
      <w:r w:rsidRPr="0090146D">
        <w:rPr>
          <w:rFonts w:ascii="Arial" w:hAnsi="Arial" w:cs="Arial"/>
        </w:rPr>
        <w:t xml:space="preserve"> </w:t>
      </w:r>
      <w:r w:rsidRPr="0090146D">
        <w:rPr>
          <w:rFonts w:ascii="Arial" w:hAnsi="Arial" w:cs="Arial"/>
          <w:i/>
          <w:lang w:val="en-ZA"/>
        </w:rPr>
        <w:t xml:space="preserve">R v Nel </w:t>
      </w:r>
      <w:r w:rsidRPr="0090146D">
        <w:rPr>
          <w:rFonts w:ascii="Arial" w:hAnsi="Arial" w:cs="Arial"/>
          <w:lang w:val="en-ZA"/>
        </w:rPr>
        <w:t xml:space="preserve">1921 AD 339; </w:t>
      </w:r>
      <w:r w:rsidRPr="0090146D">
        <w:rPr>
          <w:rFonts w:ascii="Arial" w:hAnsi="Arial" w:cs="Arial"/>
          <w:i/>
          <w:lang w:val="en-ZA"/>
        </w:rPr>
        <w:t xml:space="preserve">Seeff Commercial and Industrial Properties (Pty) Ltd v Silberman </w:t>
      </w:r>
      <w:r w:rsidRPr="0090146D">
        <w:rPr>
          <w:rFonts w:ascii="Arial" w:hAnsi="Arial" w:cs="Arial"/>
          <w:lang w:val="en-ZA"/>
        </w:rPr>
        <w:t>2001 (3) SA 952 (SCA) at 958 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Pr="00C378CC" w:rsidRDefault="00701C80">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B51360">
      <w:rPr>
        <w:rFonts w:ascii="Arial" w:hAnsi="Arial" w:cs="Arial"/>
        <w:noProof/>
        <w:sz w:val="24"/>
        <w:szCs w:val="24"/>
      </w:rPr>
      <w:t>2</w:t>
    </w:r>
    <w:r w:rsidRPr="00C378CC">
      <w:rPr>
        <w:rFonts w:ascii="Arial" w:hAnsi="Arial" w:cs="Arial"/>
        <w:noProof/>
        <w:sz w:val="24"/>
        <w:szCs w:val="24"/>
      </w:rPr>
      <w:fldChar w:fldCharType="end"/>
    </w:r>
  </w:p>
  <w:p w:rsidR="00701C80" w:rsidRDefault="00701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Default="00701C80"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9ED"/>
    <w:multiLevelType w:val="hybridMultilevel"/>
    <w:tmpl w:val="40A2E70E"/>
    <w:lvl w:ilvl="0" w:tplc="97B0E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99522C0"/>
    <w:multiLevelType w:val="hybridMultilevel"/>
    <w:tmpl w:val="831C3E8A"/>
    <w:lvl w:ilvl="0" w:tplc="DCA2F682">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0A64759"/>
    <w:multiLevelType w:val="hybridMultilevel"/>
    <w:tmpl w:val="8C3AED6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5457A1"/>
    <w:multiLevelType w:val="hybridMultilevel"/>
    <w:tmpl w:val="E90274E0"/>
    <w:lvl w:ilvl="0" w:tplc="662E7772">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94C0CA7"/>
    <w:multiLevelType w:val="hybridMultilevel"/>
    <w:tmpl w:val="06960646"/>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D00DFD"/>
    <w:multiLevelType w:val="hybridMultilevel"/>
    <w:tmpl w:val="1340E6C8"/>
    <w:lvl w:ilvl="0" w:tplc="9222C26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675255"/>
    <w:multiLevelType w:val="hybridMultilevel"/>
    <w:tmpl w:val="E10E7DD8"/>
    <w:lvl w:ilvl="0" w:tplc="408C8DA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7CC4AA6"/>
    <w:multiLevelType w:val="hybridMultilevel"/>
    <w:tmpl w:val="107A614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926E75"/>
    <w:multiLevelType w:val="hybridMultilevel"/>
    <w:tmpl w:val="BDB69B7E"/>
    <w:lvl w:ilvl="0" w:tplc="483A64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4D72CF7"/>
    <w:multiLevelType w:val="hybridMultilevel"/>
    <w:tmpl w:val="7130BA9E"/>
    <w:lvl w:ilvl="0" w:tplc="0409000F">
      <w:start w:val="3"/>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9562133"/>
    <w:multiLevelType w:val="hybridMultilevel"/>
    <w:tmpl w:val="4F6071EE"/>
    <w:lvl w:ilvl="0" w:tplc="D7B86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A4435F"/>
    <w:multiLevelType w:val="hybridMultilevel"/>
    <w:tmpl w:val="E3A85AC6"/>
    <w:lvl w:ilvl="0" w:tplc="4C48C60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16B97"/>
    <w:multiLevelType w:val="hybridMultilevel"/>
    <w:tmpl w:val="FBD0FDB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E661831"/>
    <w:multiLevelType w:val="hybridMultilevel"/>
    <w:tmpl w:val="6EF4F424"/>
    <w:lvl w:ilvl="0" w:tplc="AA3070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78D41FD4"/>
    <w:multiLevelType w:val="hybridMultilevel"/>
    <w:tmpl w:val="79D0B9F2"/>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9D069B5"/>
    <w:multiLevelType w:val="hybridMultilevel"/>
    <w:tmpl w:val="D8C80776"/>
    <w:lvl w:ilvl="0" w:tplc="8CCA84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0A2DB9"/>
    <w:multiLevelType w:val="hybridMultilevel"/>
    <w:tmpl w:val="62469918"/>
    <w:lvl w:ilvl="0" w:tplc="C6ECE2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18"/>
  </w:num>
  <w:num w:numId="3">
    <w:abstractNumId w:val="9"/>
  </w:num>
  <w:num w:numId="4">
    <w:abstractNumId w:val="13"/>
  </w:num>
  <w:num w:numId="5">
    <w:abstractNumId w:val="19"/>
  </w:num>
  <w:num w:numId="6">
    <w:abstractNumId w:val="6"/>
  </w:num>
  <w:num w:numId="7">
    <w:abstractNumId w:val="10"/>
  </w:num>
  <w:num w:numId="8">
    <w:abstractNumId w:val="8"/>
  </w:num>
  <w:num w:numId="9">
    <w:abstractNumId w:val="3"/>
  </w:num>
  <w:num w:numId="10">
    <w:abstractNumId w:val="1"/>
  </w:num>
  <w:num w:numId="11">
    <w:abstractNumId w:val="7"/>
  </w:num>
  <w:num w:numId="12">
    <w:abstractNumId w:val="4"/>
  </w:num>
  <w:num w:numId="13">
    <w:abstractNumId w:val="17"/>
  </w:num>
  <w:num w:numId="14">
    <w:abstractNumId w:val="2"/>
  </w:num>
  <w:num w:numId="15">
    <w:abstractNumId w:val="12"/>
  </w:num>
  <w:num w:numId="16">
    <w:abstractNumId w:val="16"/>
  </w:num>
  <w:num w:numId="17">
    <w:abstractNumId w:val="11"/>
  </w:num>
  <w:num w:numId="18">
    <w:abstractNumId w:val="15"/>
  </w:num>
  <w:num w:numId="19">
    <w:abstractNumId w:val="0"/>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A3"/>
    <w:rsid w:val="0000050A"/>
    <w:rsid w:val="00001382"/>
    <w:rsid w:val="00001845"/>
    <w:rsid w:val="0000489F"/>
    <w:rsid w:val="000054C3"/>
    <w:rsid w:val="0000612F"/>
    <w:rsid w:val="00007FBC"/>
    <w:rsid w:val="00010219"/>
    <w:rsid w:val="00011732"/>
    <w:rsid w:val="0001223B"/>
    <w:rsid w:val="000126D0"/>
    <w:rsid w:val="00012A9F"/>
    <w:rsid w:val="000130F1"/>
    <w:rsid w:val="0001380C"/>
    <w:rsid w:val="000149C6"/>
    <w:rsid w:val="00017FBE"/>
    <w:rsid w:val="000211F5"/>
    <w:rsid w:val="0002276B"/>
    <w:rsid w:val="0002389A"/>
    <w:rsid w:val="000249D0"/>
    <w:rsid w:val="000253F8"/>
    <w:rsid w:val="00027F3F"/>
    <w:rsid w:val="0003019B"/>
    <w:rsid w:val="000302CB"/>
    <w:rsid w:val="00032FC0"/>
    <w:rsid w:val="0003311E"/>
    <w:rsid w:val="000332C4"/>
    <w:rsid w:val="000340A7"/>
    <w:rsid w:val="000363A7"/>
    <w:rsid w:val="000368D4"/>
    <w:rsid w:val="00036CB4"/>
    <w:rsid w:val="00037733"/>
    <w:rsid w:val="00037F69"/>
    <w:rsid w:val="00041DA7"/>
    <w:rsid w:val="0004289E"/>
    <w:rsid w:val="00043E1C"/>
    <w:rsid w:val="000460D4"/>
    <w:rsid w:val="00046D61"/>
    <w:rsid w:val="00053A56"/>
    <w:rsid w:val="00056B6C"/>
    <w:rsid w:val="00057782"/>
    <w:rsid w:val="00057D48"/>
    <w:rsid w:val="000608CC"/>
    <w:rsid w:val="000662E1"/>
    <w:rsid w:val="00070F79"/>
    <w:rsid w:val="000727FE"/>
    <w:rsid w:val="000738F1"/>
    <w:rsid w:val="00074967"/>
    <w:rsid w:val="00074B66"/>
    <w:rsid w:val="00076843"/>
    <w:rsid w:val="00076AE8"/>
    <w:rsid w:val="00080490"/>
    <w:rsid w:val="00080F04"/>
    <w:rsid w:val="000813F2"/>
    <w:rsid w:val="000819B5"/>
    <w:rsid w:val="00081C2A"/>
    <w:rsid w:val="000820E0"/>
    <w:rsid w:val="00085356"/>
    <w:rsid w:val="00085E55"/>
    <w:rsid w:val="00090207"/>
    <w:rsid w:val="000905CF"/>
    <w:rsid w:val="00091CA0"/>
    <w:rsid w:val="0009420F"/>
    <w:rsid w:val="00094EDC"/>
    <w:rsid w:val="000955AB"/>
    <w:rsid w:val="00095770"/>
    <w:rsid w:val="0009602D"/>
    <w:rsid w:val="00096544"/>
    <w:rsid w:val="000968B3"/>
    <w:rsid w:val="000A0453"/>
    <w:rsid w:val="000A07D8"/>
    <w:rsid w:val="000A167D"/>
    <w:rsid w:val="000A4256"/>
    <w:rsid w:val="000A463A"/>
    <w:rsid w:val="000A6654"/>
    <w:rsid w:val="000A73ED"/>
    <w:rsid w:val="000B0DA2"/>
    <w:rsid w:val="000B1342"/>
    <w:rsid w:val="000B211F"/>
    <w:rsid w:val="000B2D52"/>
    <w:rsid w:val="000B416D"/>
    <w:rsid w:val="000B4B52"/>
    <w:rsid w:val="000B56FD"/>
    <w:rsid w:val="000B6ECA"/>
    <w:rsid w:val="000C1313"/>
    <w:rsid w:val="000C3EBF"/>
    <w:rsid w:val="000C47C2"/>
    <w:rsid w:val="000C49C2"/>
    <w:rsid w:val="000C4A45"/>
    <w:rsid w:val="000C6E64"/>
    <w:rsid w:val="000C7ABE"/>
    <w:rsid w:val="000D0CE3"/>
    <w:rsid w:val="000D0CE8"/>
    <w:rsid w:val="000D2BDB"/>
    <w:rsid w:val="000D4A2D"/>
    <w:rsid w:val="000D5F43"/>
    <w:rsid w:val="000D75E7"/>
    <w:rsid w:val="000D79D6"/>
    <w:rsid w:val="000D7FAF"/>
    <w:rsid w:val="000E0AA9"/>
    <w:rsid w:val="000E769D"/>
    <w:rsid w:val="000F002A"/>
    <w:rsid w:val="000F117E"/>
    <w:rsid w:val="000F2776"/>
    <w:rsid w:val="000F2A17"/>
    <w:rsid w:val="000F3BEE"/>
    <w:rsid w:val="000F41EA"/>
    <w:rsid w:val="00100A26"/>
    <w:rsid w:val="00101375"/>
    <w:rsid w:val="00102093"/>
    <w:rsid w:val="00102A61"/>
    <w:rsid w:val="00103659"/>
    <w:rsid w:val="00103B1E"/>
    <w:rsid w:val="00103FE6"/>
    <w:rsid w:val="00115982"/>
    <w:rsid w:val="00116516"/>
    <w:rsid w:val="00121693"/>
    <w:rsid w:val="001241C1"/>
    <w:rsid w:val="00124F49"/>
    <w:rsid w:val="00125813"/>
    <w:rsid w:val="00125906"/>
    <w:rsid w:val="00127DC3"/>
    <w:rsid w:val="00127E1B"/>
    <w:rsid w:val="0013286E"/>
    <w:rsid w:val="00132C07"/>
    <w:rsid w:val="0013354C"/>
    <w:rsid w:val="00134CDA"/>
    <w:rsid w:val="00136E92"/>
    <w:rsid w:val="001371E0"/>
    <w:rsid w:val="00137E4D"/>
    <w:rsid w:val="00140A8D"/>
    <w:rsid w:val="00140E41"/>
    <w:rsid w:val="0014333F"/>
    <w:rsid w:val="00145495"/>
    <w:rsid w:val="00146B45"/>
    <w:rsid w:val="00146C4E"/>
    <w:rsid w:val="001512E4"/>
    <w:rsid w:val="00151FEC"/>
    <w:rsid w:val="00154A87"/>
    <w:rsid w:val="00155441"/>
    <w:rsid w:val="00155445"/>
    <w:rsid w:val="00160783"/>
    <w:rsid w:val="0016446F"/>
    <w:rsid w:val="0016615E"/>
    <w:rsid w:val="00167EB3"/>
    <w:rsid w:val="001705AB"/>
    <w:rsid w:val="0017108F"/>
    <w:rsid w:val="00171112"/>
    <w:rsid w:val="00171362"/>
    <w:rsid w:val="001714BC"/>
    <w:rsid w:val="00177538"/>
    <w:rsid w:val="0017756F"/>
    <w:rsid w:val="00181C60"/>
    <w:rsid w:val="001823C7"/>
    <w:rsid w:val="001852F8"/>
    <w:rsid w:val="001854F9"/>
    <w:rsid w:val="00185B2F"/>
    <w:rsid w:val="001868C0"/>
    <w:rsid w:val="00190801"/>
    <w:rsid w:val="00192C4F"/>
    <w:rsid w:val="00193394"/>
    <w:rsid w:val="00193C81"/>
    <w:rsid w:val="001943A2"/>
    <w:rsid w:val="00195F37"/>
    <w:rsid w:val="001A2D92"/>
    <w:rsid w:val="001A2F3A"/>
    <w:rsid w:val="001A3198"/>
    <w:rsid w:val="001A5E7F"/>
    <w:rsid w:val="001B0768"/>
    <w:rsid w:val="001B14DD"/>
    <w:rsid w:val="001B1968"/>
    <w:rsid w:val="001B1D29"/>
    <w:rsid w:val="001B2441"/>
    <w:rsid w:val="001B2D3B"/>
    <w:rsid w:val="001B3FBD"/>
    <w:rsid w:val="001B4583"/>
    <w:rsid w:val="001B5DF1"/>
    <w:rsid w:val="001B6C70"/>
    <w:rsid w:val="001B785F"/>
    <w:rsid w:val="001B79C2"/>
    <w:rsid w:val="001B7BB7"/>
    <w:rsid w:val="001C08AC"/>
    <w:rsid w:val="001C0F47"/>
    <w:rsid w:val="001C1086"/>
    <w:rsid w:val="001C379E"/>
    <w:rsid w:val="001C5DC1"/>
    <w:rsid w:val="001D27FE"/>
    <w:rsid w:val="001D66C7"/>
    <w:rsid w:val="001E1513"/>
    <w:rsid w:val="001E1B4E"/>
    <w:rsid w:val="001E374A"/>
    <w:rsid w:val="001E7859"/>
    <w:rsid w:val="001E7D13"/>
    <w:rsid w:val="001F18F4"/>
    <w:rsid w:val="001F1E38"/>
    <w:rsid w:val="001F4A98"/>
    <w:rsid w:val="001F5422"/>
    <w:rsid w:val="001F547A"/>
    <w:rsid w:val="001F59C0"/>
    <w:rsid w:val="001F6628"/>
    <w:rsid w:val="00200DB4"/>
    <w:rsid w:val="00201197"/>
    <w:rsid w:val="00203894"/>
    <w:rsid w:val="002046B0"/>
    <w:rsid w:val="00204A72"/>
    <w:rsid w:val="00205954"/>
    <w:rsid w:val="002105B7"/>
    <w:rsid w:val="00212483"/>
    <w:rsid w:val="002129D8"/>
    <w:rsid w:val="00214745"/>
    <w:rsid w:val="00222EB9"/>
    <w:rsid w:val="00224574"/>
    <w:rsid w:val="00224CD2"/>
    <w:rsid w:val="00225158"/>
    <w:rsid w:val="00225936"/>
    <w:rsid w:val="002305EF"/>
    <w:rsid w:val="002312D3"/>
    <w:rsid w:val="00233EEF"/>
    <w:rsid w:val="0023412A"/>
    <w:rsid w:val="002377FF"/>
    <w:rsid w:val="00240D5F"/>
    <w:rsid w:val="00240DE6"/>
    <w:rsid w:val="00241A32"/>
    <w:rsid w:val="002421FE"/>
    <w:rsid w:val="002435F1"/>
    <w:rsid w:val="00245E78"/>
    <w:rsid w:val="002470BB"/>
    <w:rsid w:val="00247DF4"/>
    <w:rsid w:val="0025062D"/>
    <w:rsid w:val="00253488"/>
    <w:rsid w:val="00253531"/>
    <w:rsid w:val="002536A5"/>
    <w:rsid w:val="002612AC"/>
    <w:rsid w:val="00261376"/>
    <w:rsid w:val="00261AD9"/>
    <w:rsid w:val="002627CB"/>
    <w:rsid w:val="002655C3"/>
    <w:rsid w:val="002664BA"/>
    <w:rsid w:val="00266949"/>
    <w:rsid w:val="00266A86"/>
    <w:rsid w:val="00270968"/>
    <w:rsid w:val="00270A45"/>
    <w:rsid w:val="00272A80"/>
    <w:rsid w:val="00274BB7"/>
    <w:rsid w:val="002808BD"/>
    <w:rsid w:val="00283775"/>
    <w:rsid w:val="00283CA2"/>
    <w:rsid w:val="0028656E"/>
    <w:rsid w:val="00286AFE"/>
    <w:rsid w:val="00286C35"/>
    <w:rsid w:val="0028703E"/>
    <w:rsid w:val="00291D67"/>
    <w:rsid w:val="00292CA0"/>
    <w:rsid w:val="0029329E"/>
    <w:rsid w:val="00293BBA"/>
    <w:rsid w:val="0029402F"/>
    <w:rsid w:val="00295C62"/>
    <w:rsid w:val="0029648E"/>
    <w:rsid w:val="00296878"/>
    <w:rsid w:val="002977F5"/>
    <w:rsid w:val="00297CBE"/>
    <w:rsid w:val="002A12F7"/>
    <w:rsid w:val="002A4D89"/>
    <w:rsid w:val="002A5813"/>
    <w:rsid w:val="002A5B09"/>
    <w:rsid w:val="002A600A"/>
    <w:rsid w:val="002A767F"/>
    <w:rsid w:val="002A7F24"/>
    <w:rsid w:val="002B016E"/>
    <w:rsid w:val="002B07C3"/>
    <w:rsid w:val="002B160F"/>
    <w:rsid w:val="002B1D7F"/>
    <w:rsid w:val="002B3648"/>
    <w:rsid w:val="002C19A5"/>
    <w:rsid w:val="002C1E45"/>
    <w:rsid w:val="002C33B6"/>
    <w:rsid w:val="002C4251"/>
    <w:rsid w:val="002C6E4D"/>
    <w:rsid w:val="002C708D"/>
    <w:rsid w:val="002D03F0"/>
    <w:rsid w:val="002D09F8"/>
    <w:rsid w:val="002D0EAB"/>
    <w:rsid w:val="002D5199"/>
    <w:rsid w:val="002D785D"/>
    <w:rsid w:val="002E1047"/>
    <w:rsid w:val="002E1AD3"/>
    <w:rsid w:val="002E1FCD"/>
    <w:rsid w:val="002E2478"/>
    <w:rsid w:val="002E411F"/>
    <w:rsid w:val="002E65D3"/>
    <w:rsid w:val="002F0EFE"/>
    <w:rsid w:val="002F2161"/>
    <w:rsid w:val="002F24A8"/>
    <w:rsid w:val="002F3B1E"/>
    <w:rsid w:val="002F40CF"/>
    <w:rsid w:val="002F4959"/>
    <w:rsid w:val="002F7CC1"/>
    <w:rsid w:val="003003E8"/>
    <w:rsid w:val="003011E1"/>
    <w:rsid w:val="00301921"/>
    <w:rsid w:val="00301D98"/>
    <w:rsid w:val="00302692"/>
    <w:rsid w:val="00303933"/>
    <w:rsid w:val="00306B8F"/>
    <w:rsid w:val="0031114D"/>
    <w:rsid w:val="00312A34"/>
    <w:rsid w:val="00312DFB"/>
    <w:rsid w:val="00313D6C"/>
    <w:rsid w:val="003142F2"/>
    <w:rsid w:val="00316E8E"/>
    <w:rsid w:val="003170BD"/>
    <w:rsid w:val="003175B7"/>
    <w:rsid w:val="00323095"/>
    <w:rsid w:val="003238E5"/>
    <w:rsid w:val="003249F5"/>
    <w:rsid w:val="0032633B"/>
    <w:rsid w:val="00326488"/>
    <w:rsid w:val="00326CB7"/>
    <w:rsid w:val="00327521"/>
    <w:rsid w:val="00332FC6"/>
    <w:rsid w:val="00335CF9"/>
    <w:rsid w:val="003403DB"/>
    <w:rsid w:val="00340C0F"/>
    <w:rsid w:val="003454AE"/>
    <w:rsid w:val="003467A8"/>
    <w:rsid w:val="00346AC9"/>
    <w:rsid w:val="003471CD"/>
    <w:rsid w:val="003517F1"/>
    <w:rsid w:val="003531EC"/>
    <w:rsid w:val="00353AB1"/>
    <w:rsid w:val="00356A53"/>
    <w:rsid w:val="00356DE3"/>
    <w:rsid w:val="00360184"/>
    <w:rsid w:val="00360382"/>
    <w:rsid w:val="003619EA"/>
    <w:rsid w:val="00362200"/>
    <w:rsid w:val="00363368"/>
    <w:rsid w:val="00364988"/>
    <w:rsid w:val="00365816"/>
    <w:rsid w:val="00367A9F"/>
    <w:rsid w:val="00367FCB"/>
    <w:rsid w:val="00370CFF"/>
    <w:rsid w:val="00371469"/>
    <w:rsid w:val="00371CDD"/>
    <w:rsid w:val="003756E5"/>
    <w:rsid w:val="00375B3A"/>
    <w:rsid w:val="00375F30"/>
    <w:rsid w:val="00377A05"/>
    <w:rsid w:val="00381346"/>
    <w:rsid w:val="003819DD"/>
    <w:rsid w:val="0038252B"/>
    <w:rsid w:val="0038264A"/>
    <w:rsid w:val="003836BD"/>
    <w:rsid w:val="00392865"/>
    <w:rsid w:val="00393169"/>
    <w:rsid w:val="00393260"/>
    <w:rsid w:val="003A04E9"/>
    <w:rsid w:val="003A2741"/>
    <w:rsid w:val="003A4DA6"/>
    <w:rsid w:val="003A52CC"/>
    <w:rsid w:val="003B0619"/>
    <w:rsid w:val="003B2FB1"/>
    <w:rsid w:val="003B3441"/>
    <w:rsid w:val="003B536F"/>
    <w:rsid w:val="003B6BB1"/>
    <w:rsid w:val="003C1432"/>
    <w:rsid w:val="003C4BF6"/>
    <w:rsid w:val="003C4DEB"/>
    <w:rsid w:val="003C4E36"/>
    <w:rsid w:val="003C7018"/>
    <w:rsid w:val="003C78A2"/>
    <w:rsid w:val="003D296D"/>
    <w:rsid w:val="003D4985"/>
    <w:rsid w:val="003D5998"/>
    <w:rsid w:val="003D694F"/>
    <w:rsid w:val="003D7260"/>
    <w:rsid w:val="003E462B"/>
    <w:rsid w:val="003E479F"/>
    <w:rsid w:val="003E4807"/>
    <w:rsid w:val="003E4EF8"/>
    <w:rsid w:val="003E5556"/>
    <w:rsid w:val="003E5CAC"/>
    <w:rsid w:val="003E6659"/>
    <w:rsid w:val="003E6AA6"/>
    <w:rsid w:val="003F0E20"/>
    <w:rsid w:val="003F13C4"/>
    <w:rsid w:val="003F3697"/>
    <w:rsid w:val="003F38ED"/>
    <w:rsid w:val="003F4E8A"/>
    <w:rsid w:val="003F6DDA"/>
    <w:rsid w:val="003F79CD"/>
    <w:rsid w:val="003F7F85"/>
    <w:rsid w:val="004006B8"/>
    <w:rsid w:val="00400A86"/>
    <w:rsid w:val="0040140B"/>
    <w:rsid w:val="00401A23"/>
    <w:rsid w:val="00402CD5"/>
    <w:rsid w:val="004044A8"/>
    <w:rsid w:val="004107B7"/>
    <w:rsid w:val="004111B2"/>
    <w:rsid w:val="004114EE"/>
    <w:rsid w:val="00412A1A"/>
    <w:rsid w:val="00412AC8"/>
    <w:rsid w:val="00412C7D"/>
    <w:rsid w:val="0041348B"/>
    <w:rsid w:val="00413C93"/>
    <w:rsid w:val="0041599B"/>
    <w:rsid w:val="00416584"/>
    <w:rsid w:val="0041796D"/>
    <w:rsid w:val="004217FB"/>
    <w:rsid w:val="00421C97"/>
    <w:rsid w:val="00424B19"/>
    <w:rsid w:val="00424C69"/>
    <w:rsid w:val="00425A42"/>
    <w:rsid w:val="0042639F"/>
    <w:rsid w:val="004263C9"/>
    <w:rsid w:val="004269B2"/>
    <w:rsid w:val="00427189"/>
    <w:rsid w:val="00430F6C"/>
    <w:rsid w:val="0043107C"/>
    <w:rsid w:val="00431306"/>
    <w:rsid w:val="00431CC4"/>
    <w:rsid w:val="00431F80"/>
    <w:rsid w:val="00431FCC"/>
    <w:rsid w:val="0043227B"/>
    <w:rsid w:val="00433CB6"/>
    <w:rsid w:val="0043420C"/>
    <w:rsid w:val="00434299"/>
    <w:rsid w:val="00435489"/>
    <w:rsid w:val="00435D19"/>
    <w:rsid w:val="00435FF5"/>
    <w:rsid w:val="0044201D"/>
    <w:rsid w:val="0044664F"/>
    <w:rsid w:val="0044684F"/>
    <w:rsid w:val="004518E6"/>
    <w:rsid w:val="004519FF"/>
    <w:rsid w:val="004525F7"/>
    <w:rsid w:val="00452C84"/>
    <w:rsid w:val="00453966"/>
    <w:rsid w:val="00453BAE"/>
    <w:rsid w:val="004548E3"/>
    <w:rsid w:val="00455656"/>
    <w:rsid w:val="00455DDC"/>
    <w:rsid w:val="00457022"/>
    <w:rsid w:val="004606F4"/>
    <w:rsid w:val="00460BB7"/>
    <w:rsid w:val="00461302"/>
    <w:rsid w:val="00461AD9"/>
    <w:rsid w:val="00461B2E"/>
    <w:rsid w:val="00463886"/>
    <w:rsid w:val="00466A73"/>
    <w:rsid w:val="00470C60"/>
    <w:rsid w:val="00470F96"/>
    <w:rsid w:val="00472674"/>
    <w:rsid w:val="00472C3D"/>
    <w:rsid w:val="00472CB8"/>
    <w:rsid w:val="004739DB"/>
    <w:rsid w:val="004743A4"/>
    <w:rsid w:val="00474486"/>
    <w:rsid w:val="0047622F"/>
    <w:rsid w:val="0047749F"/>
    <w:rsid w:val="0048002D"/>
    <w:rsid w:val="004803A0"/>
    <w:rsid w:val="004813EC"/>
    <w:rsid w:val="004822E7"/>
    <w:rsid w:val="00482452"/>
    <w:rsid w:val="004826A5"/>
    <w:rsid w:val="00485A99"/>
    <w:rsid w:val="00486993"/>
    <w:rsid w:val="0048776F"/>
    <w:rsid w:val="00487B58"/>
    <w:rsid w:val="00492184"/>
    <w:rsid w:val="0049255D"/>
    <w:rsid w:val="004955FA"/>
    <w:rsid w:val="00496CEE"/>
    <w:rsid w:val="004A033E"/>
    <w:rsid w:val="004A13FE"/>
    <w:rsid w:val="004A24F8"/>
    <w:rsid w:val="004A47C0"/>
    <w:rsid w:val="004A4C93"/>
    <w:rsid w:val="004A52B2"/>
    <w:rsid w:val="004A68B8"/>
    <w:rsid w:val="004B014B"/>
    <w:rsid w:val="004B1B9C"/>
    <w:rsid w:val="004C33B8"/>
    <w:rsid w:val="004C413E"/>
    <w:rsid w:val="004C66B3"/>
    <w:rsid w:val="004C72BE"/>
    <w:rsid w:val="004D1853"/>
    <w:rsid w:val="004E1360"/>
    <w:rsid w:val="004E371E"/>
    <w:rsid w:val="004E4A2E"/>
    <w:rsid w:val="004F0714"/>
    <w:rsid w:val="004F079B"/>
    <w:rsid w:val="004F4511"/>
    <w:rsid w:val="004F5BB6"/>
    <w:rsid w:val="004F5F15"/>
    <w:rsid w:val="004F6244"/>
    <w:rsid w:val="00501B2A"/>
    <w:rsid w:val="00503254"/>
    <w:rsid w:val="005037D6"/>
    <w:rsid w:val="00506072"/>
    <w:rsid w:val="00506F15"/>
    <w:rsid w:val="00507095"/>
    <w:rsid w:val="005072DE"/>
    <w:rsid w:val="00507879"/>
    <w:rsid w:val="0051163B"/>
    <w:rsid w:val="005125E5"/>
    <w:rsid w:val="0051409C"/>
    <w:rsid w:val="00516042"/>
    <w:rsid w:val="00516549"/>
    <w:rsid w:val="005209A3"/>
    <w:rsid w:val="00520E9B"/>
    <w:rsid w:val="00521281"/>
    <w:rsid w:val="0052147D"/>
    <w:rsid w:val="00522A1E"/>
    <w:rsid w:val="00524044"/>
    <w:rsid w:val="005261A3"/>
    <w:rsid w:val="00526D94"/>
    <w:rsid w:val="00527787"/>
    <w:rsid w:val="0053073D"/>
    <w:rsid w:val="0053110D"/>
    <w:rsid w:val="00531D94"/>
    <w:rsid w:val="005346BF"/>
    <w:rsid w:val="00536870"/>
    <w:rsid w:val="00536B2D"/>
    <w:rsid w:val="00541A7F"/>
    <w:rsid w:val="00541C34"/>
    <w:rsid w:val="00542E42"/>
    <w:rsid w:val="00543519"/>
    <w:rsid w:val="005447E7"/>
    <w:rsid w:val="00544966"/>
    <w:rsid w:val="00545AEA"/>
    <w:rsid w:val="00550A92"/>
    <w:rsid w:val="0055105D"/>
    <w:rsid w:val="005515BC"/>
    <w:rsid w:val="00553934"/>
    <w:rsid w:val="005550FF"/>
    <w:rsid w:val="005633D8"/>
    <w:rsid w:val="005647A6"/>
    <w:rsid w:val="0056491B"/>
    <w:rsid w:val="00564E2D"/>
    <w:rsid w:val="005662C6"/>
    <w:rsid w:val="00566C4A"/>
    <w:rsid w:val="00567728"/>
    <w:rsid w:val="00570312"/>
    <w:rsid w:val="005738FA"/>
    <w:rsid w:val="005742EE"/>
    <w:rsid w:val="00575D47"/>
    <w:rsid w:val="00576567"/>
    <w:rsid w:val="00577290"/>
    <w:rsid w:val="00580B3B"/>
    <w:rsid w:val="005812CC"/>
    <w:rsid w:val="00582E94"/>
    <w:rsid w:val="00583258"/>
    <w:rsid w:val="00583284"/>
    <w:rsid w:val="00583CC4"/>
    <w:rsid w:val="00584013"/>
    <w:rsid w:val="005862C7"/>
    <w:rsid w:val="0059028D"/>
    <w:rsid w:val="00593135"/>
    <w:rsid w:val="00593AD0"/>
    <w:rsid w:val="0059596D"/>
    <w:rsid w:val="00595EA4"/>
    <w:rsid w:val="0059600F"/>
    <w:rsid w:val="00596493"/>
    <w:rsid w:val="005A038D"/>
    <w:rsid w:val="005A0DAE"/>
    <w:rsid w:val="005A48FA"/>
    <w:rsid w:val="005A4A03"/>
    <w:rsid w:val="005A563E"/>
    <w:rsid w:val="005B10A9"/>
    <w:rsid w:val="005B1644"/>
    <w:rsid w:val="005B2D00"/>
    <w:rsid w:val="005B4119"/>
    <w:rsid w:val="005B4A76"/>
    <w:rsid w:val="005B55A9"/>
    <w:rsid w:val="005B5661"/>
    <w:rsid w:val="005B5C67"/>
    <w:rsid w:val="005C4BB0"/>
    <w:rsid w:val="005C5442"/>
    <w:rsid w:val="005C5DA2"/>
    <w:rsid w:val="005C66B6"/>
    <w:rsid w:val="005C70E3"/>
    <w:rsid w:val="005D0301"/>
    <w:rsid w:val="005D13D3"/>
    <w:rsid w:val="005D6E74"/>
    <w:rsid w:val="005E0763"/>
    <w:rsid w:val="005E1E13"/>
    <w:rsid w:val="005E1E19"/>
    <w:rsid w:val="005E3AA0"/>
    <w:rsid w:val="005F115C"/>
    <w:rsid w:val="005F40B3"/>
    <w:rsid w:val="005F4E34"/>
    <w:rsid w:val="005F6322"/>
    <w:rsid w:val="005F6333"/>
    <w:rsid w:val="005F6CD6"/>
    <w:rsid w:val="00600DDE"/>
    <w:rsid w:val="0060150B"/>
    <w:rsid w:val="006047FE"/>
    <w:rsid w:val="006054BF"/>
    <w:rsid w:val="00607622"/>
    <w:rsid w:val="00607C95"/>
    <w:rsid w:val="00607F1F"/>
    <w:rsid w:val="00610CB4"/>
    <w:rsid w:val="006114FA"/>
    <w:rsid w:val="006117A1"/>
    <w:rsid w:val="00613A54"/>
    <w:rsid w:val="006145D8"/>
    <w:rsid w:val="00614F72"/>
    <w:rsid w:val="00615237"/>
    <w:rsid w:val="00615253"/>
    <w:rsid w:val="006161CE"/>
    <w:rsid w:val="00617F3C"/>
    <w:rsid w:val="00622148"/>
    <w:rsid w:val="0062259A"/>
    <w:rsid w:val="00625941"/>
    <w:rsid w:val="00627F8F"/>
    <w:rsid w:val="006305AC"/>
    <w:rsid w:val="006334D1"/>
    <w:rsid w:val="00634170"/>
    <w:rsid w:val="00634421"/>
    <w:rsid w:val="00635737"/>
    <w:rsid w:val="006377E7"/>
    <w:rsid w:val="0064062F"/>
    <w:rsid w:val="00641C07"/>
    <w:rsid w:val="00641CFA"/>
    <w:rsid w:val="00642261"/>
    <w:rsid w:val="00642639"/>
    <w:rsid w:val="00643BAA"/>
    <w:rsid w:val="00645B34"/>
    <w:rsid w:val="006473B6"/>
    <w:rsid w:val="006538F7"/>
    <w:rsid w:val="00655030"/>
    <w:rsid w:val="00655F4C"/>
    <w:rsid w:val="006572C5"/>
    <w:rsid w:val="00660F7B"/>
    <w:rsid w:val="00664893"/>
    <w:rsid w:val="00664EB2"/>
    <w:rsid w:val="006660CC"/>
    <w:rsid w:val="00666656"/>
    <w:rsid w:val="0066691F"/>
    <w:rsid w:val="00667043"/>
    <w:rsid w:val="006673A3"/>
    <w:rsid w:val="006706E3"/>
    <w:rsid w:val="00671AAE"/>
    <w:rsid w:val="00672857"/>
    <w:rsid w:val="00675BF0"/>
    <w:rsid w:val="00676104"/>
    <w:rsid w:val="00680C2C"/>
    <w:rsid w:val="00681FC2"/>
    <w:rsid w:val="00682D5F"/>
    <w:rsid w:val="006830FF"/>
    <w:rsid w:val="00684D49"/>
    <w:rsid w:val="00684DDD"/>
    <w:rsid w:val="00684F58"/>
    <w:rsid w:val="00685431"/>
    <w:rsid w:val="00693EE3"/>
    <w:rsid w:val="00694C66"/>
    <w:rsid w:val="0069745F"/>
    <w:rsid w:val="00697484"/>
    <w:rsid w:val="006A0D66"/>
    <w:rsid w:val="006A15FC"/>
    <w:rsid w:val="006A23AE"/>
    <w:rsid w:val="006A5746"/>
    <w:rsid w:val="006A6004"/>
    <w:rsid w:val="006A6112"/>
    <w:rsid w:val="006A62D0"/>
    <w:rsid w:val="006B01A9"/>
    <w:rsid w:val="006B08A1"/>
    <w:rsid w:val="006B0D70"/>
    <w:rsid w:val="006B0EB2"/>
    <w:rsid w:val="006B4D7F"/>
    <w:rsid w:val="006B6286"/>
    <w:rsid w:val="006B6333"/>
    <w:rsid w:val="006B7031"/>
    <w:rsid w:val="006C0539"/>
    <w:rsid w:val="006C0BC7"/>
    <w:rsid w:val="006C3DDF"/>
    <w:rsid w:val="006C4FA6"/>
    <w:rsid w:val="006C5B5E"/>
    <w:rsid w:val="006C7BA2"/>
    <w:rsid w:val="006D00E7"/>
    <w:rsid w:val="006D1939"/>
    <w:rsid w:val="006D352C"/>
    <w:rsid w:val="006D41B0"/>
    <w:rsid w:val="006D4C8E"/>
    <w:rsid w:val="006D55F2"/>
    <w:rsid w:val="006D58B3"/>
    <w:rsid w:val="006E097F"/>
    <w:rsid w:val="006E1051"/>
    <w:rsid w:val="006E1301"/>
    <w:rsid w:val="006E163C"/>
    <w:rsid w:val="006E1E43"/>
    <w:rsid w:val="006E3378"/>
    <w:rsid w:val="006E34B9"/>
    <w:rsid w:val="006E3E35"/>
    <w:rsid w:val="006E4F0F"/>
    <w:rsid w:val="006E5430"/>
    <w:rsid w:val="006F0600"/>
    <w:rsid w:val="006F1E8D"/>
    <w:rsid w:val="006F544A"/>
    <w:rsid w:val="006F7699"/>
    <w:rsid w:val="007016EB"/>
    <w:rsid w:val="007019C1"/>
    <w:rsid w:val="00701C80"/>
    <w:rsid w:val="00702513"/>
    <w:rsid w:val="00702A84"/>
    <w:rsid w:val="00702DDF"/>
    <w:rsid w:val="00703433"/>
    <w:rsid w:val="007044CD"/>
    <w:rsid w:val="00705002"/>
    <w:rsid w:val="007104BD"/>
    <w:rsid w:val="00710C4A"/>
    <w:rsid w:val="00712F8B"/>
    <w:rsid w:val="00713100"/>
    <w:rsid w:val="007146D1"/>
    <w:rsid w:val="007153AA"/>
    <w:rsid w:val="00715548"/>
    <w:rsid w:val="00717413"/>
    <w:rsid w:val="00717642"/>
    <w:rsid w:val="0072132B"/>
    <w:rsid w:val="00721FBC"/>
    <w:rsid w:val="00722B7E"/>
    <w:rsid w:val="00722C0A"/>
    <w:rsid w:val="0072321E"/>
    <w:rsid w:val="00725332"/>
    <w:rsid w:val="00727993"/>
    <w:rsid w:val="00731C65"/>
    <w:rsid w:val="007332CC"/>
    <w:rsid w:val="00733B8F"/>
    <w:rsid w:val="00734011"/>
    <w:rsid w:val="007340C5"/>
    <w:rsid w:val="0073471B"/>
    <w:rsid w:val="00735E74"/>
    <w:rsid w:val="00736406"/>
    <w:rsid w:val="00736B2A"/>
    <w:rsid w:val="00741D3E"/>
    <w:rsid w:val="00742C37"/>
    <w:rsid w:val="00743DEC"/>
    <w:rsid w:val="007441BC"/>
    <w:rsid w:val="00746373"/>
    <w:rsid w:val="00746738"/>
    <w:rsid w:val="00747FD0"/>
    <w:rsid w:val="00750299"/>
    <w:rsid w:val="00752FE7"/>
    <w:rsid w:val="00753A4F"/>
    <w:rsid w:val="007557DF"/>
    <w:rsid w:val="007561EF"/>
    <w:rsid w:val="007566B0"/>
    <w:rsid w:val="00760061"/>
    <w:rsid w:val="00760092"/>
    <w:rsid w:val="00763661"/>
    <w:rsid w:val="007663C9"/>
    <w:rsid w:val="007701BD"/>
    <w:rsid w:val="00771410"/>
    <w:rsid w:val="00771D6D"/>
    <w:rsid w:val="00774ACA"/>
    <w:rsid w:val="00775463"/>
    <w:rsid w:val="0077594F"/>
    <w:rsid w:val="00775964"/>
    <w:rsid w:val="00780129"/>
    <w:rsid w:val="00780FEC"/>
    <w:rsid w:val="00781025"/>
    <w:rsid w:val="00782440"/>
    <w:rsid w:val="007827EE"/>
    <w:rsid w:val="00784912"/>
    <w:rsid w:val="00786579"/>
    <w:rsid w:val="007865F5"/>
    <w:rsid w:val="00786E4E"/>
    <w:rsid w:val="007900EA"/>
    <w:rsid w:val="00791313"/>
    <w:rsid w:val="007915CF"/>
    <w:rsid w:val="007924EF"/>
    <w:rsid w:val="00792DAC"/>
    <w:rsid w:val="00793E8E"/>
    <w:rsid w:val="007941AE"/>
    <w:rsid w:val="00794487"/>
    <w:rsid w:val="0079459B"/>
    <w:rsid w:val="00795B90"/>
    <w:rsid w:val="00796114"/>
    <w:rsid w:val="007966A5"/>
    <w:rsid w:val="007A07C0"/>
    <w:rsid w:val="007A5E6B"/>
    <w:rsid w:val="007B03E3"/>
    <w:rsid w:val="007B0EC9"/>
    <w:rsid w:val="007B172F"/>
    <w:rsid w:val="007B17F8"/>
    <w:rsid w:val="007B28AC"/>
    <w:rsid w:val="007B3382"/>
    <w:rsid w:val="007B351B"/>
    <w:rsid w:val="007B7DFE"/>
    <w:rsid w:val="007C0056"/>
    <w:rsid w:val="007C0EFE"/>
    <w:rsid w:val="007C1E9A"/>
    <w:rsid w:val="007C38B8"/>
    <w:rsid w:val="007C5D1A"/>
    <w:rsid w:val="007C7E83"/>
    <w:rsid w:val="007D00BA"/>
    <w:rsid w:val="007D1656"/>
    <w:rsid w:val="007D23A3"/>
    <w:rsid w:val="007D3288"/>
    <w:rsid w:val="007D3FEA"/>
    <w:rsid w:val="007D50D3"/>
    <w:rsid w:val="007D55D2"/>
    <w:rsid w:val="007D60FE"/>
    <w:rsid w:val="007D63FA"/>
    <w:rsid w:val="007D6B60"/>
    <w:rsid w:val="007E010C"/>
    <w:rsid w:val="007E034E"/>
    <w:rsid w:val="007E05E1"/>
    <w:rsid w:val="007E4B28"/>
    <w:rsid w:val="007E4FB7"/>
    <w:rsid w:val="007E6826"/>
    <w:rsid w:val="007F32F6"/>
    <w:rsid w:val="007F3E4F"/>
    <w:rsid w:val="007F4F16"/>
    <w:rsid w:val="007F5814"/>
    <w:rsid w:val="007F6333"/>
    <w:rsid w:val="00800A47"/>
    <w:rsid w:val="00802372"/>
    <w:rsid w:val="00805F0D"/>
    <w:rsid w:val="00805F3C"/>
    <w:rsid w:val="00810BD4"/>
    <w:rsid w:val="00811284"/>
    <w:rsid w:val="008116A4"/>
    <w:rsid w:val="00811CA3"/>
    <w:rsid w:val="00812578"/>
    <w:rsid w:val="00812BB3"/>
    <w:rsid w:val="0081315A"/>
    <w:rsid w:val="00814008"/>
    <w:rsid w:val="00815134"/>
    <w:rsid w:val="00821609"/>
    <w:rsid w:val="00822419"/>
    <w:rsid w:val="00823930"/>
    <w:rsid w:val="00824A2A"/>
    <w:rsid w:val="00826D9D"/>
    <w:rsid w:val="008300B5"/>
    <w:rsid w:val="008328BF"/>
    <w:rsid w:val="00832A0C"/>
    <w:rsid w:val="0083332A"/>
    <w:rsid w:val="00833DE4"/>
    <w:rsid w:val="008344B4"/>
    <w:rsid w:val="00835980"/>
    <w:rsid w:val="008407A0"/>
    <w:rsid w:val="00845E10"/>
    <w:rsid w:val="0084676C"/>
    <w:rsid w:val="00847119"/>
    <w:rsid w:val="00847194"/>
    <w:rsid w:val="00850066"/>
    <w:rsid w:val="00851633"/>
    <w:rsid w:val="0085253D"/>
    <w:rsid w:val="00853686"/>
    <w:rsid w:val="0085478B"/>
    <w:rsid w:val="0085572D"/>
    <w:rsid w:val="008600BA"/>
    <w:rsid w:val="00860880"/>
    <w:rsid w:val="00861788"/>
    <w:rsid w:val="00862F75"/>
    <w:rsid w:val="00864FBB"/>
    <w:rsid w:val="00866791"/>
    <w:rsid w:val="008673BE"/>
    <w:rsid w:val="00870442"/>
    <w:rsid w:val="008711D8"/>
    <w:rsid w:val="0087238A"/>
    <w:rsid w:val="00872CAD"/>
    <w:rsid w:val="00873D14"/>
    <w:rsid w:val="00875590"/>
    <w:rsid w:val="00876333"/>
    <w:rsid w:val="0087646E"/>
    <w:rsid w:val="00876767"/>
    <w:rsid w:val="0088354F"/>
    <w:rsid w:val="008904DB"/>
    <w:rsid w:val="00895EF0"/>
    <w:rsid w:val="00896021"/>
    <w:rsid w:val="008964DD"/>
    <w:rsid w:val="008A02FE"/>
    <w:rsid w:val="008A298F"/>
    <w:rsid w:val="008A2BBD"/>
    <w:rsid w:val="008A417D"/>
    <w:rsid w:val="008A4E51"/>
    <w:rsid w:val="008A7807"/>
    <w:rsid w:val="008A7CE6"/>
    <w:rsid w:val="008B0B62"/>
    <w:rsid w:val="008B2FC4"/>
    <w:rsid w:val="008B41C5"/>
    <w:rsid w:val="008B53E0"/>
    <w:rsid w:val="008B552B"/>
    <w:rsid w:val="008B564D"/>
    <w:rsid w:val="008B791A"/>
    <w:rsid w:val="008C7FFC"/>
    <w:rsid w:val="008D0CF7"/>
    <w:rsid w:val="008D2129"/>
    <w:rsid w:val="008D31F2"/>
    <w:rsid w:val="008D5A33"/>
    <w:rsid w:val="008E32FA"/>
    <w:rsid w:val="008E49E7"/>
    <w:rsid w:val="008E4C9A"/>
    <w:rsid w:val="008E53D0"/>
    <w:rsid w:val="008E646A"/>
    <w:rsid w:val="008F02B6"/>
    <w:rsid w:val="008F2EF1"/>
    <w:rsid w:val="008F3196"/>
    <w:rsid w:val="008F33E7"/>
    <w:rsid w:val="008F4DC6"/>
    <w:rsid w:val="008F6434"/>
    <w:rsid w:val="008F6A05"/>
    <w:rsid w:val="00900FD1"/>
    <w:rsid w:val="0090146D"/>
    <w:rsid w:val="0090278A"/>
    <w:rsid w:val="00903891"/>
    <w:rsid w:val="00903F23"/>
    <w:rsid w:val="00904567"/>
    <w:rsid w:val="0090539F"/>
    <w:rsid w:val="00906E29"/>
    <w:rsid w:val="00910D94"/>
    <w:rsid w:val="00912503"/>
    <w:rsid w:val="00916457"/>
    <w:rsid w:val="00917B71"/>
    <w:rsid w:val="00921934"/>
    <w:rsid w:val="00921BB7"/>
    <w:rsid w:val="009239AA"/>
    <w:rsid w:val="00925394"/>
    <w:rsid w:val="0092578D"/>
    <w:rsid w:val="00926930"/>
    <w:rsid w:val="0093084B"/>
    <w:rsid w:val="00933723"/>
    <w:rsid w:val="009410BD"/>
    <w:rsid w:val="009417FA"/>
    <w:rsid w:val="0094221D"/>
    <w:rsid w:val="00942D80"/>
    <w:rsid w:val="00943509"/>
    <w:rsid w:val="00946BCF"/>
    <w:rsid w:val="00946BE7"/>
    <w:rsid w:val="00946DEF"/>
    <w:rsid w:val="00946F67"/>
    <w:rsid w:val="009505F5"/>
    <w:rsid w:val="00952168"/>
    <w:rsid w:val="00952FCF"/>
    <w:rsid w:val="009533C6"/>
    <w:rsid w:val="00953C3A"/>
    <w:rsid w:val="00953EBE"/>
    <w:rsid w:val="009563CA"/>
    <w:rsid w:val="00961F96"/>
    <w:rsid w:val="00963338"/>
    <w:rsid w:val="00963836"/>
    <w:rsid w:val="00963AA9"/>
    <w:rsid w:val="00964063"/>
    <w:rsid w:val="0096481A"/>
    <w:rsid w:val="00965DC0"/>
    <w:rsid w:val="009673BF"/>
    <w:rsid w:val="00970C8A"/>
    <w:rsid w:val="00970F54"/>
    <w:rsid w:val="00972CE4"/>
    <w:rsid w:val="00972E78"/>
    <w:rsid w:val="009755C5"/>
    <w:rsid w:val="0097600E"/>
    <w:rsid w:val="0097664A"/>
    <w:rsid w:val="009767BC"/>
    <w:rsid w:val="0097779C"/>
    <w:rsid w:val="0097786B"/>
    <w:rsid w:val="00977D67"/>
    <w:rsid w:val="00980A29"/>
    <w:rsid w:val="00980BE2"/>
    <w:rsid w:val="009840E8"/>
    <w:rsid w:val="009917EE"/>
    <w:rsid w:val="00991A3B"/>
    <w:rsid w:val="00993427"/>
    <w:rsid w:val="00995011"/>
    <w:rsid w:val="009957FF"/>
    <w:rsid w:val="00996D73"/>
    <w:rsid w:val="0099766E"/>
    <w:rsid w:val="009A0A85"/>
    <w:rsid w:val="009A0DF8"/>
    <w:rsid w:val="009A276C"/>
    <w:rsid w:val="009A335E"/>
    <w:rsid w:val="009A374E"/>
    <w:rsid w:val="009A6CB0"/>
    <w:rsid w:val="009A721C"/>
    <w:rsid w:val="009A72B9"/>
    <w:rsid w:val="009A79B5"/>
    <w:rsid w:val="009B0B54"/>
    <w:rsid w:val="009B21F6"/>
    <w:rsid w:val="009B26D4"/>
    <w:rsid w:val="009B3430"/>
    <w:rsid w:val="009B5652"/>
    <w:rsid w:val="009B625F"/>
    <w:rsid w:val="009B79A3"/>
    <w:rsid w:val="009B7BA1"/>
    <w:rsid w:val="009B7F0B"/>
    <w:rsid w:val="009C08B5"/>
    <w:rsid w:val="009C2702"/>
    <w:rsid w:val="009C2C87"/>
    <w:rsid w:val="009C379F"/>
    <w:rsid w:val="009C5D9E"/>
    <w:rsid w:val="009C6C97"/>
    <w:rsid w:val="009C7171"/>
    <w:rsid w:val="009C79A7"/>
    <w:rsid w:val="009D017B"/>
    <w:rsid w:val="009D2223"/>
    <w:rsid w:val="009D2C8D"/>
    <w:rsid w:val="009D5207"/>
    <w:rsid w:val="009E26C0"/>
    <w:rsid w:val="009E2FCA"/>
    <w:rsid w:val="009E3C47"/>
    <w:rsid w:val="009E4188"/>
    <w:rsid w:val="009E5AA3"/>
    <w:rsid w:val="009E62D0"/>
    <w:rsid w:val="009E64F3"/>
    <w:rsid w:val="009E66E8"/>
    <w:rsid w:val="009E70B7"/>
    <w:rsid w:val="009E797F"/>
    <w:rsid w:val="009F1896"/>
    <w:rsid w:val="009F23AE"/>
    <w:rsid w:val="009F277B"/>
    <w:rsid w:val="009F2CC4"/>
    <w:rsid w:val="009F37E7"/>
    <w:rsid w:val="009F3949"/>
    <w:rsid w:val="009F7ABA"/>
    <w:rsid w:val="00A000BC"/>
    <w:rsid w:val="00A002DF"/>
    <w:rsid w:val="00A01620"/>
    <w:rsid w:val="00A03EAB"/>
    <w:rsid w:val="00A0577D"/>
    <w:rsid w:val="00A07E35"/>
    <w:rsid w:val="00A124A3"/>
    <w:rsid w:val="00A12B2D"/>
    <w:rsid w:val="00A15228"/>
    <w:rsid w:val="00A15702"/>
    <w:rsid w:val="00A167E2"/>
    <w:rsid w:val="00A1727F"/>
    <w:rsid w:val="00A178A9"/>
    <w:rsid w:val="00A230DA"/>
    <w:rsid w:val="00A252C4"/>
    <w:rsid w:val="00A26EE4"/>
    <w:rsid w:val="00A30756"/>
    <w:rsid w:val="00A30773"/>
    <w:rsid w:val="00A30FDE"/>
    <w:rsid w:val="00A31555"/>
    <w:rsid w:val="00A330AF"/>
    <w:rsid w:val="00A33244"/>
    <w:rsid w:val="00A33ADC"/>
    <w:rsid w:val="00A34070"/>
    <w:rsid w:val="00A34AF2"/>
    <w:rsid w:val="00A34DF4"/>
    <w:rsid w:val="00A3574D"/>
    <w:rsid w:val="00A35B5C"/>
    <w:rsid w:val="00A361EF"/>
    <w:rsid w:val="00A36245"/>
    <w:rsid w:val="00A41285"/>
    <w:rsid w:val="00A41B5E"/>
    <w:rsid w:val="00A42592"/>
    <w:rsid w:val="00A43023"/>
    <w:rsid w:val="00A4531A"/>
    <w:rsid w:val="00A5250A"/>
    <w:rsid w:val="00A526C2"/>
    <w:rsid w:val="00A554C5"/>
    <w:rsid w:val="00A55C4C"/>
    <w:rsid w:val="00A56452"/>
    <w:rsid w:val="00A574FA"/>
    <w:rsid w:val="00A618D7"/>
    <w:rsid w:val="00A62678"/>
    <w:rsid w:val="00A62A08"/>
    <w:rsid w:val="00A638D0"/>
    <w:rsid w:val="00A668A7"/>
    <w:rsid w:val="00A67D4A"/>
    <w:rsid w:val="00A67DC2"/>
    <w:rsid w:val="00A71F28"/>
    <w:rsid w:val="00A730A8"/>
    <w:rsid w:val="00A763F4"/>
    <w:rsid w:val="00A7758E"/>
    <w:rsid w:val="00A779BD"/>
    <w:rsid w:val="00A80D93"/>
    <w:rsid w:val="00A82337"/>
    <w:rsid w:val="00A825D8"/>
    <w:rsid w:val="00A84ACE"/>
    <w:rsid w:val="00A84D3E"/>
    <w:rsid w:val="00A91BE0"/>
    <w:rsid w:val="00A926A6"/>
    <w:rsid w:val="00A92E30"/>
    <w:rsid w:val="00A92EB1"/>
    <w:rsid w:val="00A953B6"/>
    <w:rsid w:val="00A97ABF"/>
    <w:rsid w:val="00AA01FD"/>
    <w:rsid w:val="00AA1EB1"/>
    <w:rsid w:val="00AA4706"/>
    <w:rsid w:val="00AA7252"/>
    <w:rsid w:val="00AA742E"/>
    <w:rsid w:val="00AB025F"/>
    <w:rsid w:val="00AB0324"/>
    <w:rsid w:val="00AB3496"/>
    <w:rsid w:val="00AB536C"/>
    <w:rsid w:val="00AB57FF"/>
    <w:rsid w:val="00AB583D"/>
    <w:rsid w:val="00AB6873"/>
    <w:rsid w:val="00AB73B6"/>
    <w:rsid w:val="00AC1945"/>
    <w:rsid w:val="00AC2536"/>
    <w:rsid w:val="00AC2D14"/>
    <w:rsid w:val="00AC45C9"/>
    <w:rsid w:val="00AC4E30"/>
    <w:rsid w:val="00AC6BE1"/>
    <w:rsid w:val="00AC7E5B"/>
    <w:rsid w:val="00AD1DB8"/>
    <w:rsid w:val="00AD3CAB"/>
    <w:rsid w:val="00AD4395"/>
    <w:rsid w:val="00AE0736"/>
    <w:rsid w:val="00AE0F77"/>
    <w:rsid w:val="00AE242B"/>
    <w:rsid w:val="00AE49D9"/>
    <w:rsid w:val="00AE6A44"/>
    <w:rsid w:val="00AE6C39"/>
    <w:rsid w:val="00AE7B60"/>
    <w:rsid w:val="00AF2277"/>
    <w:rsid w:val="00AF2B3C"/>
    <w:rsid w:val="00AF7AA5"/>
    <w:rsid w:val="00B01190"/>
    <w:rsid w:val="00B020C2"/>
    <w:rsid w:val="00B07333"/>
    <w:rsid w:val="00B0747C"/>
    <w:rsid w:val="00B0779E"/>
    <w:rsid w:val="00B10BFC"/>
    <w:rsid w:val="00B144D4"/>
    <w:rsid w:val="00B15955"/>
    <w:rsid w:val="00B167FD"/>
    <w:rsid w:val="00B16FDD"/>
    <w:rsid w:val="00B17F7F"/>
    <w:rsid w:val="00B227BD"/>
    <w:rsid w:val="00B2442C"/>
    <w:rsid w:val="00B24E80"/>
    <w:rsid w:val="00B255A1"/>
    <w:rsid w:val="00B26257"/>
    <w:rsid w:val="00B2665D"/>
    <w:rsid w:val="00B3068F"/>
    <w:rsid w:val="00B30CBE"/>
    <w:rsid w:val="00B30E44"/>
    <w:rsid w:val="00B30F42"/>
    <w:rsid w:val="00B320A4"/>
    <w:rsid w:val="00B321C3"/>
    <w:rsid w:val="00B328F2"/>
    <w:rsid w:val="00B33165"/>
    <w:rsid w:val="00B34A93"/>
    <w:rsid w:val="00B358AE"/>
    <w:rsid w:val="00B35FDC"/>
    <w:rsid w:val="00B3667A"/>
    <w:rsid w:val="00B369C9"/>
    <w:rsid w:val="00B36CAA"/>
    <w:rsid w:val="00B37E39"/>
    <w:rsid w:val="00B40BBA"/>
    <w:rsid w:val="00B42F2E"/>
    <w:rsid w:val="00B4393D"/>
    <w:rsid w:val="00B43B3B"/>
    <w:rsid w:val="00B43C05"/>
    <w:rsid w:val="00B43F9E"/>
    <w:rsid w:val="00B441F7"/>
    <w:rsid w:val="00B4563C"/>
    <w:rsid w:val="00B459D5"/>
    <w:rsid w:val="00B46CAF"/>
    <w:rsid w:val="00B46E5D"/>
    <w:rsid w:val="00B477E6"/>
    <w:rsid w:val="00B50F49"/>
    <w:rsid w:val="00B51360"/>
    <w:rsid w:val="00B523FD"/>
    <w:rsid w:val="00B530F6"/>
    <w:rsid w:val="00B554C0"/>
    <w:rsid w:val="00B55FB1"/>
    <w:rsid w:val="00B57567"/>
    <w:rsid w:val="00B57582"/>
    <w:rsid w:val="00B60443"/>
    <w:rsid w:val="00B608EB"/>
    <w:rsid w:val="00B60F6C"/>
    <w:rsid w:val="00B643D5"/>
    <w:rsid w:val="00B64A34"/>
    <w:rsid w:val="00B64E6E"/>
    <w:rsid w:val="00B66B25"/>
    <w:rsid w:val="00B73B4C"/>
    <w:rsid w:val="00B743B1"/>
    <w:rsid w:val="00B74FC7"/>
    <w:rsid w:val="00B753A7"/>
    <w:rsid w:val="00B76BCD"/>
    <w:rsid w:val="00B77392"/>
    <w:rsid w:val="00B77723"/>
    <w:rsid w:val="00B77CBD"/>
    <w:rsid w:val="00B813CE"/>
    <w:rsid w:val="00B8242B"/>
    <w:rsid w:val="00B84723"/>
    <w:rsid w:val="00B85700"/>
    <w:rsid w:val="00B9123F"/>
    <w:rsid w:val="00B92FFB"/>
    <w:rsid w:val="00B93F41"/>
    <w:rsid w:val="00B948A3"/>
    <w:rsid w:val="00B96783"/>
    <w:rsid w:val="00B969EB"/>
    <w:rsid w:val="00B96C3D"/>
    <w:rsid w:val="00B977D6"/>
    <w:rsid w:val="00BA0A44"/>
    <w:rsid w:val="00BA0D99"/>
    <w:rsid w:val="00BA14A7"/>
    <w:rsid w:val="00BA3411"/>
    <w:rsid w:val="00BA480B"/>
    <w:rsid w:val="00BA6823"/>
    <w:rsid w:val="00BA7CF7"/>
    <w:rsid w:val="00BB0BD4"/>
    <w:rsid w:val="00BB39F4"/>
    <w:rsid w:val="00BB3B17"/>
    <w:rsid w:val="00BB43F2"/>
    <w:rsid w:val="00BB441E"/>
    <w:rsid w:val="00BB5DEF"/>
    <w:rsid w:val="00BB617C"/>
    <w:rsid w:val="00BC1430"/>
    <w:rsid w:val="00BC3EBC"/>
    <w:rsid w:val="00BC467B"/>
    <w:rsid w:val="00BC4B5D"/>
    <w:rsid w:val="00BC5F34"/>
    <w:rsid w:val="00BC7D86"/>
    <w:rsid w:val="00BD13BE"/>
    <w:rsid w:val="00BD1E58"/>
    <w:rsid w:val="00BD22D9"/>
    <w:rsid w:val="00BD2C51"/>
    <w:rsid w:val="00BD2EDA"/>
    <w:rsid w:val="00BD409D"/>
    <w:rsid w:val="00BD5AC0"/>
    <w:rsid w:val="00BD7825"/>
    <w:rsid w:val="00BD7D22"/>
    <w:rsid w:val="00BE088E"/>
    <w:rsid w:val="00BE11B8"/>
    <w:rsid w:val="00BE2108"/>
    <w:rsid w:val="00BE2142"/>
    <w:rsid w:val="00BE3431"/>
    <w:rsid w:val="00BE57AC"/>
    <w:rsid w:val="00BE592D"/>
    <w:rsid w:val="00BE7AED"/>
    <w:rsid w:val="00BF0933"/>
    <w:rsid w:val="00BF1EB1"/>
    <w:rsid w:val="00BF264D"/>
    <w:rsid w:val="00BF4C40"/>
    <w:rsid w:val="00BF5D8D"/>
    <w:rsid w:val="00BF723C"/>
    <w:rsid w:val="00BF7274"/>
    <w:rsid w:val="00BF7EED"/>
    <w:rsid w:val="00C000D9"/>
    <w:rsid w:val="00C02A0E"/>
    <w:rsid w:val="00C0327E"/>
    <w:rsid w:val="00C05498"/>
    <w:rsid w:val="00C1060F"/>
    <w:rsid w:val="00C13CA4"/>
    <w:rsid w:val="00C143A0"/>
    <w:rsid w:val="00C16039"/>
    <w:rsid w:val="00C16A32"/>
    <w:rsid w:val="00C21969"/>
    <w:rsid w:val="00C223EB"/>
    <w:rsid w:val="00C22909"/>
    <w:rsid w:val="00C22A2E"/>
    <w:rsid w:val="00C235FF"/>
    <w:rsid w:val="00C23A3A"/>
    <w:rsid w:val="00C23DAB"/>
    <w:rsid w:val="00C24173"/>
    <w:rsid w:val="00C24A4F"/>
    <w:rsid w:val="00C255DF"/>
    <w:rsid w:val="00C27517"/>
    <w:rsid w:val="00C301D8"/>
    <w:rsid w:val="00C31E7B"/>
    <w:rsid w:val="00C32708"/>
    <w:rsid w:val="00C335C2"/>
    <w:rsid w:val="00C342F5"/>
    <w:rsid w:val="00C343BF"/>
    <w:rsid w:val="00C34661"/>
    <w:rsid w:val="00C378CC"/>
    <w:rsid w:val="00C37BAF"/>
    <w:rsid w:val="00C40FC1"/>
    <w:rsid w:val="00C43BC6"/>
    <w:rsid w:val="00C44521"/>
    <w:rsid w:val="00C45438"/>
    <w:rsid w:val="00C455AB"/>
    <w:rsid w:val="00C45C19"/>
    <w:rsid w:val="00C45CF4"/>
    <w:rsid w:val="00C51F09"/>
    <w:rsid w:val="00C522C0"/>
    <w:rsid w:val="00C52395"/>
    <w:rsid w:val="00C52403"/>
    <w:rsid w:val="00C545B0"/>
    <w:rsid w:val="00C54F3F"/>
    <w:rsid w:val="00C5544C"/>
    <w:rsid w:val="00C61034"/>
    <w:rsid w:val="00C612E7"/>
    <w:rsid w:val="00C65240"/>
    <w:rsid w:val="00C673E0"/>
    <w:rsid w:val="00C67A22"/>
    <w:rsid w:val="00C67C05"/>
    <w:rsid w:val="00C67FC4"/>
    <w:rsid w:val="00C704DC"/>
    <w:rsid w:val="00C70CFB"/>
    <w:rsid w:val="00C74F51"/>
    <w:rsid w:val="00C769E0"/>
    <w:rsid w:val="00C80342"/>
    <w:rsid w:val="00C80BE2"/>
    <w:rsid w:val="00C812DF"/>
    <w:rsid w:val="00C81FE9"/>
    <w:rsid w:val="00C824B4"/>
    <w:rsid w:val="00C836DB"/>
    <w:rsid w:val="00C8486D"/>
    <w:rsid w:val="00C8501A"/>
    <w:rsid w:val="00C865C6"/>
    <w:rsid w:val="00C86B33"/>
    <w:rsid w:val="00C872D4"/>
    <w:rsid w:val="00C87579"/>
    <w:rsid w:val="00C91912"/>
    <w:rsid w:val="00C92848"/>
    <w:rsid w:val="00C92F73"/>
    <w:rsid w:val="00C936F1"/>
    <w:rsid w:val="00C95386"/>
    <w:rsid w:val="00C95BB5"/>
    <w:rsid w:val="00C96EEF"/>
    <w:rsid w:val="00C97A3B"/>
    <w:rsid w:val="00C97AED"/>
    <w:rsid w:val="00CA0FD7"/>
    <w:rsid w:val="00CA149C"/>
    <w:rsid w:val="00CA68CB"/>
    <w:rsid w:val="00CA7002"/>
    <w:rsid w:val="00CB1594"/>
    <w:rsid w:val="00CB29CE"/>
    <w:rsid w:val="00CB2CBD"/>
    <w:rsid w:val="00CB3DFC"/>
    <w:rsid w:val="00CC0641"/>
    <w:rsid w:val="00CC1A21"/>
    <w:rsid w:val="00CC3A4C"/>
    <w:rsid w:val="00CC68FC"/>
    <w:rsid w:val="00CC76A3"/>
    <w:rsid w:val="00CD04C0"/>
    <w:rsid w:val="00CD118B"/>
    <w:rsid w:val="00CD1A24"/>
    <w:rsid w:val="00CD2EAF"/>
    <w:rsid w:val="00CD410A"/>
    <w:rsid w:val="00CD5B8E"/>
    <w:rsid w:val="00CE0F4F"/>
    <w:rsid w:val="00CE13FE"/>
    <w:rsid w:val="00CE1AE6"/>
    <w:rsid w:val="00CE328E"/>
    <w:rsid w:val="00CE3306"/>
    <w:rsid w:val="00CE347F"/>
    <w:rsid w:val="00CE39F1"/>
    <w:rsid w:val="00CE3EA8"/>
    <w:rsid w:val="00CE4470"/>
    <w:rsid w:val="00CE4626"/>
    <w:rsid w:val="00CE4D5B"/>
    <w:rsid w:val="00CE5AAB"/>
    <w:rsid w:val="00CE72EF"/>
    <w:rsid w:val="00CF1274"/>
    <w:rsid w:val="00CF6A18"/>
    <w:rsid w:val="00D0075C"/>
    <w:rsid w:val="00D049BF"/>
    <w:rsid w:val="00D04F7C"/>
    <w:rsid w:val="00D05701"/>
    <w:rsid w:val="00D0794F"/>
    <w:rsid w:val="00D10964"/>
    <w:rsid w:val="00D13151"/>
    <w:rsid w:val="00D13629"/>
    <w:rsid w:val="00D14BB9"/>
    <w:rsid w:val="00D15317"/>
    <w:rsid w:val="00D15A1B"/>
    <w:rsid w:val="00D1617C"/>
    <w:rsid w:val="00D165BC"/>
    <w:rsid w:val="00D16FF2"/>
    <w:rsid w:val="00D201A4"/>
    <w:rsid w:val="00D2326E"/>
    <w:rsid w:val="00D24A71"/>
    <w:rsid w:val="00D25B0B"/>
    <w:rsid w:val="00D25B65"/>
    <w:rsid w:val="00D26D39"/>
    <w:rsid w:val="00D27F31"/>
    <w:rsid w:val="00D307EF"/>
    <w:rsid w:val="00D308BD"/>
    <w:rsid w:val="00D31C9C"/>
    <w:rsid w:val="00D34935"/>
    <w:rsid w:val="00D358EB"/>
    <w:rsid w:val="00D37191"/>
    <w:rsid w:val="00D37627"/>
    <w:rsid w:val="00D37BE7"/>
    <w:rsid w:val="00D37E8A"/>
    <w:rsid w:val="00D408E1"/>
    <w:rsid w:val="00D44BC5"/>
    <w:rsid w:val="00D45254"/>
    <w:rsid w:val="00D45261"/>
    <w:rsid w:val="00D47683"/>
    <w:rsid w:val="00D47B39"/>
    <w:rsid w:val="00D517D0"/>
    <w:rsid w:val="00D51EC1"/>
    <w:rsid w:val="00D51F5C"/>
    <w:rsid w:val="00D535DA"/>
    <w:rsid w:val="00D546CF"/>
    <w:rsid w:val="00D55F4B"/>
    <w:rsid w:val="00D565EC"/>
    <w:rsid w:val="00D57E5F"/>
    <w:rsid w:val="00D603D2"/>
    <w:rsid w:val="00D65EC1"/>
    <w:rsid w:val="00D668D7"/>
    <w:rsid w:val="00D66BEE"/>
    <w:rsid w:val="00D66EF5"/>
    <w:rsid w:val="00D70F91"/>
    <w:rsid w:val="00D72266"/>
    <w:rsid w:val="00D74098"/>
    <w:rsid w:val="00D74D3D"/>
    <w:rsid w:val="00D805EF"/>
    <w:rsid w:val="00D80CFC"/>
    <w:rsid w:val="00D87F4F"/>
    <w:rsid w:val="00D9331A"/>
    <w:rsid w:val="00D933D6"/>
    <w:rsid w:val="00D94A29"/>
    <w:rsid w:val="00D95C7A"/>
    <w:rsid w:val="00D97469"/>
    <w:rsid w:val="00D97966"/>
    <w:rsid w:val="00DA18E5"/>
    <w:rsid w:val="00DA5D18"/>
    <w:rsid w:val="00DA6199"/>
    <w:rsid w:val="00DB05FE"/>
    <w:rsid w:val="00DB0C6A"/>
    <w:rsid w:val="00DB1D05"/>
    <w:rsid w:val="00DB5132"/>
    <w:rsid w:val="00DB52E8"/>
    <w:rsid w:val="00DB6428"/>
    <w:rsid w:val="00DB70A1"/>
    <w:rsid w:val="00DC0C6A"/>
    <w:rsid w:val="00DC13AD"/>
    <w:rsid w:val="00DD131A"/>
    <w:rsid w:val="00DD3923"/>
    <w:rsid w:val="00DD41D7"/>
    <w:rsid w:val="00DD435E"/>
    <w:rsid w:val="00DD4B50"/>
    <w:rsid w:val="00DD5AC4"/>
    <w:rsid w:val="00DD5E64"/>
    <w:rsid w:val="00DD6700"/>
    <w:rsid w:val="00DE239F"/>
    <w:rsid w:val="00DE32E9"/>
    <w:rsid w:val="00DE333D"/>
    <w:rsid w:val="00DE37E9"/>
    <w:rsid w:val="00DE56E5"/>
    <w:rsid w:val="00DE592E"/>
    <w:rsid w:val="00DE6F63"/>
    <w:rsid w:val="00DE7B05"/>
    <w:rsid w:val="00DF03BC"/>
    <w:rsid w:val="00DF05E4"/>
    <w:rsid w:val="00DF1E2E"/>
    <w:rsid w:val="00DF212B"/>
    <w:rsid w:val="00DF28F5"/>
    <w:rsid w:val="00DF35B1"/>
    <w:rsid w:val="00DF410E"/>
    <w:rsid w:val="00DF5513"/>
    <w:rsid w:val="00DF5550"/>
    <w:rsid w:val="00DF58C4"/>
    <w:rsid w:val="00DF609D"/>
    <w:rsid w:val="00E00D58"/>
    <w:rsid w:val="00E00E6B"/>
    <w:rsid w:val="00E01454"/>
    <w:rsid w:val="00E02711"/>
    <w:rsid w:val="00E02CC1"/>
    <w:rsid w:val="00E03A60"/>
    <w:rsid w:val="00E048B1"/>
    <w:rsid w:val="00E06BE7"/>
    <w:rsid w:val="00E06D97"/>
    <w:rsid w:val="00E074BD"/>
    <w:rsid w:val="00E075FB"/>
    <w:rsid w:val="00E1057F"/>
    <w:rsid w:val="00E1209E"/>
    <w:rsid w:val="00E1591F"/>
    <w:rsid w:val="00E15BE1"/>
    <w:rsid w:val="00E16C16"/>
    <w:rsid w:val="00E16C89"/>
    <w:rsid w:val="00E214C7"/>
    <w:rsid w:val="00E21C69"/>
    <w:rsid w:val="00E22169"/>
    <w:rsid w:val="00E23F88"/>
    <w:rsid w:val="00E240FD"/>
    <w:rsid w:val="00E24B10"/>
    <w:rsid w:val="00E2651A"/>
    <w:rsid w:val="00E266ED"/>
    <w:rsid w:val="00E26861"/>
    <w:rsid w:val="00E27B32"/>
    <w:rsid w:val="00E30419"/>
    <w:rsid w:val="00E30525"/>
    <w:rsid w:val="00E30E0C"/>
    <w:rsid w:val="00E3175C"/>
    <w:rsid w:val="00E33BF3"/>
    <w:rsid w:val="00E344DB"/>
    <w:rsid w:val="00E36B69"/>
    <w:rsid w:val="00E36F7F"/>
    <w:rsid w:val="00E373CB"/>
    <w:rsid w:val="00E41BD2"/>
    <w:rsid w:val="00E42991"/>
    <w:rsid w:val="00E42D1F"/>
    <w:rsid w:val="00E4325C"/>
    <w:rsid w:val="00E45EB3"/>
    <w:rsid w:val="00E46E80"/>
    <w:rsid w:val="00E512A8"/>
    <w:rsid w:val="00E5213E"/>
    <w:rsid w:val="00E52FC5"/>
    <w:rsid w:val="00E53266"/>
    <w:rsid w:val="00E54AD5"/>
    <w:rsid w:val="00E551D2"/>
    <w:rsid w:val="00E55D7E"/>
    <w:rsid w:val="00E56540"/>
    <w:rsid w:val="00E5692D"/>
    <w:rsid w:val="00E61251"/>
    <w:rsid w:val="00E613E4"/>
    <w:rsid w:val="00E61CF3"/>
    <w:rsid w:val="00E63B63"/>
    <w:rsid w:val="00E651EF"/>
    <w:rsid w:val="00E71CCD"/>
    <w:rsid w:val="00E71DC7"/>
    <w:rsid w:val="00E746A4"/>
    <w:rsid w:val="00E7749E"/>
    <w:rsid w:val="00E80FC2"/>
    <w:rsid w:val="00E82754"/>
    <w:rsid w:val="00E87DFA"/>
    <w:rsid w:val="00E9044B"/>
    <w:rsid w:val="00E91CBB"/>
    <w:rsid w:val="00E9254E"/>
    <w:rsid w:val="00E928DD"/>
    <w:rsid w:val="00E94794"/>
    <w:rsid w:val="00E94C90"/>
    <w:rsid w:val="00E965D7"/>
    <w:rsid w:val="00E97B7D"/>
    <w:rsid w:val="00EA208A"/>
    <w:rsid w:val="00EA5BEA"/>
    <w:rsid w:val="00EA5DB4"/>
    <w:rsid w:val="00EA634E"/>
    <w:rsid w:val="00EA641D"/>
    <w:rsid w:val="00EA65C0"/>
    <w:rsid w:val="00EA6768"/>
    <w:rsid w:val="00EA6C30"/>
    <w:rsid w:val="00EA6F54"/>
    <w:rsid w:val="00EA73C9"/>
    <w:rsid w:val="00EB014E"/>
    <w:rsid w:val="00EB07B0"/>
    <w:rsid w:val="00EB1EEC"/>
    <w:rsid w:val="00EB2229"/>
    <w:rsid w:val="00EB45F9"/>
    <w:rsid w:val="00EB50C8"/>
    <w:rsid w:val="00EB753F"/>
    <w:rsid w:val="00EB7DC4"/>
    <w:rsid w:val="00EC0639"/>
    <w:rsid w:val="00EC14DF"/>
    <w:rsid w:val="00EC1582"/>
    <w:rsid w:val="00EC1628"/>
    <w:rsid w:val="00EC189B"/>
    <w:rsid w:val="00EC2F97"/>
    <w:rsid w:val="00EC370A"/>
    <w:rsid w:val="00EC4998"/>
    <w:rsid w:val="00EC5FB8"/>
    <w:rsid w:val="00EC6C87"/>
    <w:rsid w:val="00EC7FF5"/>
    <w:rsid w:val="00ED061B"/>
    <w:rsid w:val="00ED0646"/>
    <w:rsid w:val="00ED158F"/>
    <w:rsid w:val="00ED21DD"/>
    <w:rsid w:val="00ED2C84"/>
    <w:rsid w:val="00ED3644"/>
    <w:rsid w:val="00ED553D"/>
    <w:rsid w:val="00EE26F8"/>
    <w:rsid w:val="00EE517D"/>
    <w:rsid w:val="00EE5950"/>
    <w:rsid w:val="00EE5C50"/>
    <w:rsid w:val="00EF027A"/>
    <w:rsid w:val="00EF2B76"/>
    <w:rsid w:val="00EF6833"/>
    <w:rsid w:val="00EF7015"/>
    <w:rsid w:val="00EF7237"/>
    <w:rsid w:val="00F0015A"/>
    <w:rsid w:val="00F03101"/>
    <w:rsid w:val="00F04715"/>
    <w:rsid w:val="00F05CF8"/>
    <w:rsid w:val="00F070BD"/>
    <w:rsid w:val="00F13796"/>
    <w:rsid w:val="00F14B91"/>
    <w:rsid w:val="00F153A4"/>
    <w:rsid w:val="00F16D91"/>
    <w:rsid w:val="00F2151C"/>
    <w:rsid w:val="00F22963"/>
    <w:rsid w:val="00F23EFB"/>
    <w:rsid w:val="00F27EF9"/>
    <w:rsid w:val="00F30B06"/>
    <w:rsid w:val="00F30B3A"/>
    <w:rsid w:val="00F31B5A"/>
    <w:rsid w:val="00F327F4"/>
    <w:rsid w:val="00F34787"/>
    <w:rsid w:val="00F3539B"/>
    <w:rsid w:val="00F35F19"/>
    <w:rsid w:val="00F3748F"/>
    <w:rsid w:val="00F378E1"/>
    <w:rsid w:val="00F40908"/>
    <w:rsid w:val="00F4123F"/>
    <w:rsid w:val="00F419CE"/>
    <w:rsid w:val="00F41FE8"/>
    <w:rsid w:val="00F433C2"/>
    <w:rsid w:val="00F4344B"/>
    <w:rsid w:val="00F4622F"/>
    <w:rsid w:val="00F476E7"/>
    <w:rsid w:val="00F52F00"/>
    <w:rsid w:val="00F54B8B"/>
    <w:rsid w:val="00F55DE7"/>
    <w:rsid w:val="00F6452E"/>
    <w:rsid w:val="00F649D5"/>
    <w:rsid w:val="00F64BCC"/>
    <w:rsid w:val="00F66B55"/>
    <w:rsid w:val="00F70656"/>
    <w:rsid w:val="00F72A01"/>
    <w:rsid w:val="00F73207"/>
    <w:rsid w:val="00F8133E"/>
    <w:rsid w:val="00F81C0C"/>
    <w:rsid w:val="00F834B6"/>
    <w:rsid w:val="00F83D35"/>
    <w:rsid w:val="00F85447"/>
    <w:rsid w:val="00F8553C"/>
    <w:rsid w:val="00F85DFC"/>
    <w:rsid w:val="00F86916"/>
    <w:rsid w:val="00F8759C"/>
    <w:rsid w:val="00F90F7B"/>
    <w:rsid w:val="00F94E23"/>
    <w:rsid w:val="00F94F36"/>
    <w:rsid w:val="00F95420"/>
    <w:rsid w:val="00F95428"/>
    <w:rsid w:val="00F95494"/>
    <w:rsid w:val="00F95D14"/>
    <w:rsid w:val="00F96C10"/>
    <w:rsid w:val="00F9753B"/>
    <w:rsid w:val="00FA0D6F"/>
    <w:rsid w:val="00FA1EC0"/>
    <w:rsid w:val="00FA3468"/>
    <w:rsid w:val="00FA421D"/>
    <w:rsid w:val="00FA51C7"/>
    <w:rsid w:val="00FA5FD1"/>
    <w:rsid w:val="00FA7A54"/>
    <w:rsid w:val="00FB0B0C"/>
    <w:rsid w:val="00FB0C1A"/>
    <w:rsid w:val="00FB1721"/>
    <w:rsid w:val="00FB3FC1"/>
    <w:rsid w:val="00FB40E9"/>
    <w:rsid w:val="00FB5110"/>
    <w:rsid w:val="00FB6207"/>
    <w:rsid w:val="00FB7D3C"/>
    <w:rsid w:val="00FC045F"/>
    <w:rsid w:val="00FC0595"/>
    <w:rsid w:val="00FC061F"/>
    <w:rsid w:val="00FC0F5C"/>
    <w:rsid w:val="00FC1209"/>
    <w:rsid w:val="00FC3980"/>
    <w:rsid w:val="00FC67D9"/>
    <w:rsid w:val="00FD3EE9"/>
    <w:rsid w:val="00FD4912"/>
    <w:rsid w:val="00FE051A"/>
    <w:rsid w:val="00FE1228"/>
    <w:rsid w:val="00FE1AD1"/>
    <w:rsid w:val="00FE2248"/>
    <w:rsid w:val="00FE3E89"/>
    <w:rsid w:val="00FE407F"/>
    <w:rsid w:val="00FF1525"/>
    <w:rsid w:val="00FF361A"/>
    <w:rsid w:val="00FF4159"/>
    <w:rsid w:val="00FF4256"/>
    <w:rsid w:val="00FF6C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F8B8E-D30A-4011-BAC2-53DECCFB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C19A5"/>
    <w:pPr>
      <w:ind w:left="720"/>
      <w:contextualSpacing/>
    </w:pPr>
  </w:style>
  <w:style w:type="paragraph" w:styleId="Header">
    <w:name w:val="header"/>
    <w:basedOn w:val="Normal"/>
    <w:link w:val="HeaderChar"/>
    <w:uiPriority w:val="99"/>
    <w:unhideWhenUsed/>
    <w:rsid w:val="00245E78"/>
    <w:pPr>
      <w:tabs>
        <w:tab w:val="center" w:pos="4513"/>
        <w:tab w:val="right" w:pos="9026"/>
      </w:tabs>
      <w:spacing w:line="240" w:lineRule="auto"/>
    </w:pPr>
  </w:style>
  <w:style w:type="character" w:customStyle="1" w:styleId="HeaderChar">
    <w:name w:val="Header Char"/>
    <w:basedOn w:val="DefaultParagraphFont"/>
    <w:link w:val="Header"/>
    <w:uiPriority w:val="99"/>
    <w:rsid w:val="00245E78"/>
  </w:style>
  <w:style w:type="paragraph" w:styleId="Footer">
    <w:name w:val="footer"/>
    <w:basedOn w:val="Normal"/>
    <w:link w:val="FooterChar"/>
    <w:uiPriority w:val="99"/>
    <w:unhideWhenUsed/>
    <w:rsid w:val="00245E78"/>
    <w:pPr>
      <w:tabs>
        <w:tab w:val="center" w:pos="4513"/>
        <w:tab w:val="right" w:pos="9026"/>
      </w:tabs>
      <w:spacing w:line="240" w:lineRule="auto"/>
    </w:pPr>
  </w:style>
  <w:style w:type="character" w:customStyle="1" w:styleId="FooterChar">
    <w:name w:val="Footer Char"/>
    <w:basedOn w:val="DefaultParagraphFont"/>
    <w:link w:val="Footer"/>
    <w:uiPriority w:val="99"/>
    <w:rsid w:val="00245E78"/>
  </w:style>
  <w:style w:type="paragraph" w:styleId="BalloonText">
    <w:name w:val="Balloon Text"/>
    <w:basedOn w:val="Normal"/>
    <w:link w:val="BalloonTextChar"/>
    <w:uiPriority w:val="99"/>
    <w:semiHidden/>
    <w:unhideWhenUsed/>
    <w:rsid w:val="0026137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376"/>
    <w:rPr>
      <w:rFonts w:ascii="Tahoma" w:hAnsi="Tahoma" w:cs="Tahoma"/>
      <w:sz w:val="16"/>
      <w:szCs w:val="16"/>
    </w:rPr>
  </w:style>
  <w:style w:type="table" w:styleId="TableGrid">
    <w:name w:val="Table Grid"/>
    <w:basedOn w:val="TableNormal"/>
    <w:uiPriority w:val="59"/>
    <w:rsid w:val="00C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44B"/>
    <w:rPr>
      <w:sz w:val="22"/>
      <w:szCs w:val="22"/>
      <w:lang w:eastAsia="en-US"/>
    </w:rPr>
  </w:style>
  <w:style w:type="paragraph" w:styleId="FootnoteText">
    <w:name w:val="footnote text"/>
    <w:basedOn w:val="Normal"/>
    <w:link w:val="FootnoteTextChar"/>
    <w:uiPriority w:val="99"/>
    <w:unhideWhenUsed/>
    <w:rsid w:val="00EB014E"/>
    <w:rPr>
      <w:sz w:val="20"/>
      <w:szCs w:val="20"/>
      <w:lang w:eastAsia="x-none"/>
    </w:rPr>
  </w:style>
  <w:style w:type="character" w:customStyle="1" w:styleId="FootnoteTextChar">
    <w:name w:val="Footnote Text Char"/>
    <w:link w:val="FootnoteText"/>
    <w:uiPriority w:val="99"/>
    <w:rsid w:val="00EB014E"/>
    <w:rPr>
      <w:lang w:val="en-ZW"/>
    </w:rPr>
  </w:style>
  <w:style w:type="character" w:styleId="FootnoteReference">
    <w:name w:val="footnote reference"/>
    <w:uiPriority w:val="99"/>
    <w:semiHidden/>
    <w:unhideWhenUsed/>
    <w:rsid w:val="00EB014E"/>
    <w:rPr>
      <w:vertAlign w:val="superscript"/>
    </w:rPr>
  </w:style>
  <w:style w:type="paragraph" w:styleId="EndnoteText">
    <w:name w:val="endnote text"/>
    <w:basedOn w:val="Normal"/>
    <w:link w:val="EndnoteTextChar"/>
    <w:uiPriority w:val="99"/>
    <w:semiHidden/>
    <w:unhideWhenUsed/>
    <w:rsid w:val="003C1432"/>
    <w:rPr>
      <w:sz w:val="20"/>
      <w:szCs w:val="20"/>
      <w:lang w:eastAsia="x-none"/>
    </w:rPr>
  </w:style>
  <w:style w:type="character" w:customStyle="1" w:styleId="EndnoteTextChar">
    <w:name w:val="Endnote Text Char"/>
    <w:link w:val="EndnoteText"/>
    <w:uiPriority w:val="99"/>
    <w:semiHidden/>
    <w:rsid w:val="003C1432"/>
    <w:rPr>
      <w:lang w:val="en-ZW"/>
    </w:rPr>
  </w:style>
  <w:style w:type="character" w:styleId="EndnoteReference">
    <w:name w:val="endnote reference"/>
    <w:uiPriority w:val="99"/>
    <w:semiHidden/>
    <w:unhideWhenUsed/>
    <w:rsid w:val="003C1432"/>
    <w:rPr>
      <w:vertAlign w:val="superscript"/>
    </w:rPr>
  </w:style>
  <w:style w:type="paragraph" w:customStyle="1" w:styleId="ColorfulList-Accent11">
    <w:name w:val="Colorful List - Accent 11"/>
    <w:basedOn w:val="Normal"/>
    <w:uiPriority w:val="34"/>
    <w:qFormat/>
    <w:rsid w:val="00312DFB"/>
    <w:pPr>
      <w:ind w:left="720"/>
    </w:pPr>
  </w:style>
  <w:style w:type="character" w:styleId="CommentReference">
    <w:name w:val="annotation reference"/>
    <w:uiPriority w:val="99"/>
    <w:semiHidden/>
    <w:unhideWhenUsed/>
    <w:rsid w:val="00C22909"/>
    <w:rPr>
      <w:sz w:val="18"/>
      <w:szCs w:val="18"/>
    </w:rPr>
  </w:style>
  <w:style w:type="paragraph" w:styleId="CommentText">
    <w:name w:val="annotation text"/>
    <w:basedOn w:val="Normal"/>
    <w:link w:val="CommentTextChar"/>
    <w:uiPriority w:val="99"/>
    <w:semiHidden/>
    <w:unhideWhenUsed/>
    <w:rsid w:val="00C22909"/>
    <w:rPr>
      <w:sz w:val="24"/>
      <w:szCs w:val="24"/>
      <w:lang w:eastAsia="x-none"/>
    </w:rPr>
  </w:style>
  <w:style w:type="character" w:customStyle="1" w:styleId="CommentTextChar">
    <w:name w:val="Comment Text Char"/>
    <w:link w:val="CommentText"/>
    <w:uiPriority w:val="99"/>
    <w:semiHidden/>
    <w:rsid w:val="00C22909"/>
    <w:rPr>
      <w:sz w:val="24"/>
      <w:szCs w:val="24"/>
      <w:lang w:val="en-ZW"/>
    </w:rPr>
  </w:style>
  <w:style w:type="paragraph" w:styleId="CommentSubject">
    <w:name w:val="annotation subject"/>
    <w:basedOn w:val="CommentText"/>
    <w:next w:val="CommentText"/>
    <w:link w:val="CommentSubjectChar"/>
    <w:uiPriority w:val="99"/>
    <w:semiHidden/>
    <w:unhideWhenUsed/>
    <w:rsid w:val="00C22909"/>
    <w:rPr>
      <w:b/>
      <w:bCs/>
    </w:rPr>
  </w:style>
  <w:style w:type="character" w:customStyle="1" w:styleId="CommentSubjectChar">
    <w:name w:val="Comment Subject Char"/>
    <w:link w:val="CommentSubject"/>
    <w:uiPriority w:val="99"/>
    <w:semiHidden/>
    <w:rsid w:val="00C22909"/>
    <w:rPr>
      <w:b/>
      <w:bCs/>
      <w:sz w:val="24"/>
      <w:szCs w:val="24"/>
      <w:lang w:val="en-ZW"/>
    </w:rPr>
  </w:style>
  <w:style w:type="paragraph" w:styleId="ListParagraph">
    <w:name w:val="List Paragraph"/>
    <w:basedOn w:val="Normal"/>
    <w:uiPriority w:val="34"/>
    <w:qFormat/>
    <w:rsid w:val="00CB29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3529-2C5B-4F18-A1F8-149D1CBE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c:creator>
  <cp:keywords/>
  <cp:lastModifiedBy>User</cp:lastModifiedBy>
  <cp:revision>2</cp:revision>
  <cp:lastPrinted>2017-03-24T08:35:00Z</cp:lastPrinted>
  <dcterms:created xsi:type="dcterms:W3CDTF">2017-03-24T11:02:00Z</dcterms:created>
  <dcterms:modified xsi:type="dcterms:W3CDTF">2017-03-24T11:02:00Z</dcterms:modified>
</cp:coreProperties>
</file>