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bookmarkStart w:id="0" w:name="_GoBack"/>
      <w:bookmarkEnd w:id="0"/>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38D0D6BB" wp14:editId="3ECA9648">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C25CA" w:rsidRDefault="008C3367" w:rsidP="008C3367">
      <w:pPr>
        <w:spacing w:line="480" w:lineRule="auto"/>
        <w:ind w:left="1701"/>
        <w:jc w:val="right"/>
        <w:rPr>
          <w:rFonts w:ascii="Arial" w:hAnsi="Arial" w:cs="Arial"/>
          <w:b/>
          <w:sz w:val="24"/>
          <w:szCs w:val="24"/>
        </w:rPr>
      </w:pPr>
      <w:r w:rsidRPr="001C25CA">
        <w:rPr>
          <w:rFonts w:ascii="Arial" w:hAnsi="Arial" w:cs="Arial"/>
          <w:b/>
          <w:sz w:val="24"/>
          <w:szCs w:val="24"/>
        </w:rPr>
        <w:t>REPORTABLE</w:t>
      </w:r>
    </w:p>
    <w:p w:rsidR="008C3367"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CF5C58">
        <w:rPr>
          <w:rFonts w:ascii="Arial" w:hAnsi="Arial" w:cs="Arial"/>
          <w:sz w:val="24"/>
          <w:szCs w:val="24"/>
        </w:rPr>
        <w:t>58</w:t>
      </w:r>
      <w:r w:rsidRPr="001C25CA">
        <w:rPr>
          <w:rFonts w:ascii="Arial" w:hAnsi="Arial" w:cs="Arial"/>
          <w:sz w:val="24"/>
          <w:szCs w:val="24"/>
        </w:rPr>
        <w:t>/201</w:t>
      </w:r>
      <w:r w:rsidR="00D76EC6">
        <w:rPr>
          <w:rFonts w:ascii="Arial" w:hAnsi="Arial" w:cs="Arial"/>
          <w:sz w:val="24"/>
          <w:szCs w:val="24"/>
        </w:rPr>
        <w:t>7</w:t>
      </w:r>
    </w:p>
    <w:p w:rsidR="00BF7EC1" w:rsidRDefault="00BF7EC1" w:rsidP="00BF7EC1">
      <w:pPr>
        <w:spacing w:after="0" w:line="240" w:lineRule="auto"/>
        <w:jc w:val="right"/>
        <w:rPr>
          <w:rFonts w:ascii="Arial" w:hAnsi="Arial" w:cs="Arial"/>
          <w:sz w:val="24"/>
          <w:szCs w:val="24"/>
        </w:rPr>
      </w:pPr>
      <w:r w:rsidRPr="001C25CA">
        <w:rPr>
          <w:rFonts w:ascii="Arial" w:hAnsi="Arial" w:cs="Arial"/>
          <w:sz w:val="24"/>
          <w:szCs w:val="24"/>
        </w:rPr>
        <w:t xml:space="preserve">CASE NO: SA </w:t>
      </w:r>
      <w:r>
        <w:rPr>
          <w:rFonts w:ascii="Arial" w:hAnsi="Arial" w:cs="Arial"/>
          <w:sz w:val="24"/>
          <w:szCs w:val="24"/>
        </w:rPr>
        <w:t>37</w:t>
      </w:r>
      <w:r w:rsidRPr="001C25CA">
        <w:rPr>
          <w:rFonts w:ascii="Arial" w:hAnsi="Arial" w:cs="Arial"/>
          <w:sz w:val="24"/>
          <w:szCs w:val="24"/>
        </w:rPr>
        <w:t>/201</w:t>
      </w:r>
      <w:r>
        <w:rPr>
          <w:rFonts w:ascii="Arial" w:hAnsi="Arial" w:cs="Arial"/>
          <w:sz w:val="24"/>
          <w:szCs w:val="24"/>
        </w:rPr>
        <w:t>7</w:t>
      </w:r>
    </w:p>
    <w:p w:rsidR="00BF7EC1" w:rsidRPr="001C25CA" w:rsidRDefault="00BF7EC1" w:rsidP="007C732D">
      <w:pPr>
        <w:spacing w:after="0" w:line="240" w:lineRule="auto"/>
        <w:jc w:val="right"/>
        <w:rPr>
          <w:rFonts w:ascii="Arial" w:hAnsi="Arial" w:cs="Arial"/>
          <w:sz w:val="24"/>
          <w:szCs w:val="24"/>
        </w:rPr>
      </w:pPr>
    </w:p>
    <w:p w:rsidR="008C3367" w:rsidRPr="001C25CA" w:rsidRDefault="008C3367"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Default="008C3367" w:rsidP="00B40CD3">
      <w:pPr>
        <w:spacing w:line="240" w:lineRule="auto"/>
        <w:jc w:val="both"/>
        <w:rPr>
          <w:rFonts w:ascii="Arial" w:hAnsi="Arial" w:cs="Arial"/>
          <w:sz w:val="24"/>
          <w:szCs w:val="24"/>
        </w:rPr>
      </w:pPr>
      <w:r w:rsidRPr="001C25CA">
        <w:rPr>
          <w:rFonts w:ascii="Arial" w:hAnsi="Arial" w:cs="Arial"/>
          <w:sz w:val="24"/>
          <w:szCs w:val="24"/>
        </w:rPr>
        <w:t>In the matter between:</w:t>
      </w:r>
    </w:p>
    <w:p w:rsidR="00DF0D25" w:rsidRPr="001C25CA" w:rsidRDefault="00DF0D25"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1C25CA" w:rsidTr="00B40CD3">
        <w:tc>
          <w:tcPr>
            <w:tcW w:w="6204" w:type="dxa"/>
            <w:shd w:val="clear" w:color="auto" w:fill="auto"/>
          </w:tcPr>
          <w:p w:rsidR="002212AD" w:rsidRPr="001C25CA" w:rsidRDefault="00CD04E3" w:rsidP="00B40CD3">
            <w:pPr>
              <w:spacing w:line="240" w:lineRule="auto"/>
              <w:jc w:val="both"/>
              <w:rPr>
                <w:rFonts w:ascii="Arial" w:hAnsi="Arial" w:cs="Arial"/>
                <w:b/>
                <w:sz w:val="24"/>
                <w:szCs w:val="24"/>
              </w:rPr>
            </w:pPr>
            <w:r>
              <w:rPr>
                <w:rFonts w:ascii="Arial" w:hAnsi="Arial" w:cs="Arial"/>
                <w:b/>
                <w:sz w:val="24"/>
                <w:szCs w:val="24"/>
              </w:rPr>
              <w:t>CHRISTIAN CONGREGATION OF JEHOVAH’S WITNESSES OF NAMIBIA (INCORPORATED ASSOCIATION NOT FOR GAIN)</w:t>
            </w:r>
          </w:p>
        </w:tc>
        <w:tc>
          <w:tcPr>
            <w:tcW w:w="3011" w:type="dxa"/>
            <w:shd w:val="clear" w:color="auto" w:fill="auto"/>
          </w:tcPr>
          <w:p w:rsidR="008C3367" w:rsidRPr="001C25CA" w:rsidRDefault="008C3367" w:rsidP="00B40CD3">
            <w:pPr>
              <w:spacing w:line="240" w:lineRule="auto"/>
              <w:jc w:val="right"/>
              <w:rPr>
                <w:rFonts w:ascii="Arial" w:hAnsi="Arial" w:cs="Arial"/>
                <w:b/>
                <w:sz w:val="24"/>
                <w:szCs w:val="24"/>
              </w:rPr>
            </w:pPr>
            <w:r w:rsidRPr="001C25CA">
              <w:rPr>
                <w:rFonts w:ascii="Arial" w:hAnsi="Arial" w:cs="Arial"/>
                <w:b/>
                <w:sz w:val="24"/>
                <w:szCs w:val="24"/>
              </w:rPr>
              <w:t>Appellant</w:t>
            </w:r>
          </w:p>
        </w:tc>
      </w:tr>
      <w:tr w:rsidR="008C3367" w:rsidRPr="001C25CA" w:rsidTr="00B40CD3">
        <w:tc>
          <w:tcPr>
            <w:tcW w:w="6204" w:type="dxa"/>
            <w:shd w:val="clear" w:color="auto" w:fill="auto"/>
          </w:tcPr>
          <w:p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C25CA" w:rsidRDefault="008C3367" w:rsidP="00B40CD3">
            <w:pPr>
              <w:spacing w:line="240" w:lineRule="auto"/>
              <w:jc w:val="right"/>
              <w:rPr>
                <w:rFonts w:ascii="Arial" w:hAnsi="Arial" w:cs="Arial"/>
                <w:b/>
                <w:sz w:val="24"/>
                <w:szCs w:val="24"/>
              </w:rPr>
            </w:pPr>
          </w:p>
        </w:tc>
      </w:tr>
      <w:tr w:rsidR="008C3367" w:rsidRPr="001C25CA" w:rsidTr="00B40CD3">
        <w:tc>
          <w:tcPr>
            <w:tcW w:w="6204" w:type="dxa"/>
            <w:shd w:val="clear" w:color="auto" w:fill="auto"/>
          </w:tcPr>
          <w:p w:rsidR="008C3367" w:rsidRPr="001C25CA" w:rsidRDefault="007C732D" w:rsidP="00B40CD3">
            <w:pPr>
              <w:spacing w:line="240" w:lineRule="auto"/>
              <w:jc w:val="both"/>
              <w:rPr>
                <w:rFonts w:ascii="Arial" w:hAnsi="Arial" w:cs="Arial"/>
                <w:sz w:val="24"/>
                <w:szCs w:val="24"/>
              </w:rPr>
            </w:pPr>
            <w:r w:rsidRPr="001C25CA">
              <w:rPr>
                <w:rFonts w:ascii="Arial" w:hAnsi="Arial" w:cs="Arial"/>
                <w:sz w:val="24"/>
                <w:szCs w:val="24"/>
              </w:rPr>
              <w:t>a</w:t>
            </w:r>
            <w:r w:rsidR="008C3367" w:rsidRPr="001C25CA">
              <w:rPr>
                <w:rFonts w:ascii="Arial" w:hAnsi="Arial" w:cs="Arial"/>
                <w:sz w:val="24"/>
                <w:szCs w:val="24"/>
              </w:rPr>
              <w:t>nd</w:t>
            </w: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1C25CA"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C25CA" w:rsidRDefault="008C3367" w:rsidP="00B40CD3">
            <w:pPr>
              <w:spacing w:line="240" w:lineRule="auto"/>
              <w:jc w:val="both"/>
              <w:rPr>
                <w:rFonts w:ascii="Arial" w:hAnsi="Arial" w:cs="Arial"/>
                <w:b/>
                <w:sz w:val="24"/>
                <w:szCs w:val="24"/>
              </w:rPr>
            </w:pPr>
          </w:p>
        </w:tc>
      </w:tr>
      <w:tr w:rsidR="008C3367" w:rsidRPr="001C25CA" w:rsidTr="00B40CD3">
        <w:tc>
          <w:tcPr>
            <w:tcW w:w="6204" w:type="dxa"/>
            <w:shd w:val="clear" w:color="auto" w:fill="auto"/>
          </w:tcPr>
          <w:p w:rsidR="008C3367" w:rsidRPr="001C25CA" w:rsidRDefault="00CD04E3" w:rsidP="00B40CD3">
            <w:pPr>
              <w:spacing w:line="240" w:lineRule="auto"/>
              <w:jc w:val="both"/>
              <w:rPr>
                <w:rFonts w:ascii="Arial" w:hAnsi="Arial" w:cs="Arial"/>
                <w:b/>
                <w:sz w:val="24"/>
                <w:szCs w:val="24"/>
              </w:rPr>
            </w:pPr>
            <w:r>
              <w:rPr>
                <w:rFonts w:ascii="Arial" w:hAnsi="Arial" w:cs="Arial"/>
                <w:b/>
                <w:sz w:val="24"/>
                <w:szCs w:val="24"/>
              </w:rPr>
              <w:t xml:space="preserve">SOCIAL SECURITY </w:t>
            </w:r>
            <w:r w:rsidR="008C5CBC">
              <w:rPr>
                <w:rFonts w:ascii="Arial" w:hAnsi="Arial" w:cs="Arial"/>
                <w:b/>
                <w:sz w:val="24"/>
                <w:szCs w:val="24"/>
              </w:rPr>
              <w:t xml:space="preserve">COMMISSION </w:t>
            </w:r>
            <w:r>
              <w:rPr>
                <w:rFonts w:ascii="Arial" w:hAnsi="Arial" w:cs="Arial"/>
                <w:b/>
                <w:sz w:val="24"/>
                <w:szCs w:val="24"/>
              </w:rPr>
              <w:t>OF NAMIBIA</w:t>
            </w:r>
          </w:p>
        </w:tc>
        <w:tc>
          <w:tcPr>
            <w:tcW w:w="3011" w:type="dxa"/>
            <w:shd w:val="clear" w:color="auto" w:fill="auto"/>
          </w:tcPr>
          <w:p w:rsidR="00584213" w:rsidRPr="001C25CA" w:rsidRDefault="00584213" w:rsidP="00B40CD3">
            <w:pPr>
              <w:spacing w:line="240" w:lineRule="auto"/>
              <w:jc w:val="right"/>
              <w:rPr>
                <w:rFonts w:ascii="Arial" w:hAnsi="Arial" w:cs="Arial"/>
                <w:b/>
                <w:sz w:val="24"/>
                <w:szCs w:val="24"/>
              </w:rPr>
            </w:pPr>
            <w:r w:rsidRPr="001C25CA">
              <w:rPr>
                <w:rFonts w:ascii="Arial" w:hAnsi="Arial" w:cs="Arial"/>
                <w:b/>
                <w:sz w:val="24"/>
                <w:szCs w:val="24"/>
              </w:rPr>
              <w:t>Respondent</w:t>
            </w:r>
          </w:p>
        </w:tc>
      </w:tr>
    </w:tbl>
    <w:p w:rsidR="00DF0D25" w:rsidRDefault="00DF0D25" w:rsidP="00B40CD3">
      <w:pPr>
        <w:spacing w:line="240" w:lineRule="auto"/>
        <w:ind w:left="-142" w:firstLine="142"/>
        <w:jc w:val="both"/>
        <w:rPr>
          <w:rFonts w:ascii="Arial" w:hAnsi="Arial" w:cs="Arial"/>
          <w:b/>
          <w:sz w:val="24"/>
          <w:szCs w:val="24"/>
        </w:rPr>
      </w:pPr>
    </w:p>
    <w:p w:rsidR="00DF0D25" w:rsidRDefault="00DF0D25" w:rsidP="00B40CD3">
      <w:pPr>
        <w:spacing w:line="240" w:lineRule="auto"/>
        <w:ind w:left="-142" w:firstLine="142"/>
        <w:jc w:val="both"/>
        <w:rPr>
          <w:rFonts w:ascii="Arial" w:hAnsi="Arial" w:cs="Arial"/>
          <w:b/>
          <w:sz w:val="24"/>
          <w:szCs w:val="24"/>
        </w:rPr>
      </w:pPr>
    </w:p>
    <w:p w:rsidR="008C3367" w:rsidRPr="001C25CA" w:rsidRDefault="008C3367" w:rsidP="00B40CD3">
      <w:pPr>
        <w:spacing w:line="240" w:lineRule="auto"/>
        <w:ind w:left="-142" w:firstLine="142"/>
        <w:jc w:val="both"/>
        <w:rPr>
          <w:rFonts w:ascii="Arial" w:hAnsi="Arial" w:cs="Arial"/>
          <w:sz w:val="24"/>
          <w:szCs w:val="24"/>
        </w:rPr>
      </w:pPr>
      <w:r w:rsidRPr="001C25CA">
        <w:rPr>
          <w:rFonts w:ascii="Arial" w:hAnsi="Arial" w:cs="Arial"/>
          <w:b/>
          <w:sz w:val="24"/>
          <w:szCs w:val="24"/>
        </w:rPr>
        <w:t>Coram:</w:t>
      </w:r>
      <w:r w:rsidRPr="001C25CA">
        <w:rPr>
          <w:rFonts w:ascii="Arial" w:hAnsi="Arial" w:cs="Arial"/>
          <w:sz w:val="24"/>
          <w:szCs w:val="24"/>
        </w:rPr>
        <w:tab/>
      </w:r>
      <w:r w:rsidRPr="001C25CA">
        <w:rPr>
          <w:rFonts w:ascii="Arial" w:hAnsi="Arial" w:cs="Arial"/>
          <w:sz w:val="24"/>
          <w:szCs w:val="24"/>
        </w:rPr>
        <w:tab/>
      </w:r>
      <w:r w:rsidR="00CD04E3">
        <w:rPr>
          <w:rFonts w:ascii="Arial" w:hAnsi="Arial" w:cs="Arial"/>
          <w:sz w:val="24"/>
          <w:szCs w:val="24"/>
        </w:rPr>
        <w:t>DAMASEB</w:t>
      </w:r>
      <w:r w:rsidR="00DF0D25">
        <w:rPr>
          <w:rFonts w:ascii="Arial" w:hAnsi="Arial" w:cs="Arial"/>
          <w:sz w:val="24"/>
          <w:szCs w:val="24"/>
        </w:rPr>
        <w:t xml:space="preserve"> </w:t>
      </w:r>
      <w:r w:rsidR="00CD04E3">
        <w:rPr>
          <w:rFonts w:ascii="Arial" w:hAnsi="Arial" w:cs="Arial"/>
          <w:sz w:val="24"/>
          <w:szCs w:val="24"/>
        </w:rPr>
        <w:t>D</w:t>
      </w:r>
      <w:r w:rsidR="00DF0D25">
        <w:rPr>
          <w:rFonts w:ascii="Arial" w:hAnsi="Arial" w:cs="Arial"/>
          <w:sz w:val="24"/>
          <w:szCs w:val="24"/>
        </w:rPr>
        <w:t>CJ</w:t>
      </w:r>
      <w:r w:rsidRPr="001C25CA">
        <w:rPr>
          <w:rFonts w:ascii="Arial" w:hAnsi="Arial" w:cs="Arial"/>
          <w:sz w:val="24"/>
          <w:szCs w:val="24"/>
        </w:rPr>
        <w:t xml:space="preserve">, </w:t>
      </w:r>
      <w:r w:rsidR="00CD04E3">
        <w:rPr>
          <w:rFonts w:ascii="Arial" w:hAnsi="Arial" w:cs="Arial"/>
          <w:sz w:val="24"/>
          <w:szCs w:val="24"/>
        </w:rPr>
        <w:t xml:space="preserve">MAINGA JA and </w:t>
      </w:r>
      <w:r w:rsidRPr="001C25CA">
        <w:rPr>
          <w:rFonts w:ascii="Arial" w:hAnsi="Arial" w:cs="Arial"/>
          <w:sz w:val="24"/>
          <w:szCs w:val="24"/>
        </w:rPr>
        <w:t>SMUTS JA</w:t>
      </w:r>
    </w:p>
    <w:p w:rsidR="008C3367" w:rsidRPr="001C25CA" w:rsidRDefault="008C3367" w:rsidP="00B40CD3">
      <w:pPr>
        <w:spacing w:line="240" w:lineRule="auto"/>
        <w:ind w:left="-142" w:firstLine="142"/>
        <w:jc w:val="both"/>
        <w:rPr>
          <w:rFonts w:ascii="Arial" w:hAnsi="Arial" w:cs="Arial"/>
          <w:b/>
          <w:sz w:val="24"/>
          <w:szCs w:val="24"/>
        </w:rPr>
      </w:pPr>
      <w:r w:rsidRPr="001C25CA">
        <w:rPr>
          <w:rFonts w:ascii="Arial" w:hAnsi="Arial" w:cs="Arial"/>
          <w:b/>
          <w:sz w:val="24"/>
          <w:szCs w:val="24"/>
        </w:rPr>
        <w:t>Heard:</w:t>
      </w:r>
      <w:r w:rsidRPr="001C25CA">
        <w:rPr>
          <w:rFonts w:ascii="Arial" w:hAnsi="Arial" w:cs="Arial"/>
          <w:b/>
          <w:sz w:val="24"/>
          <w:szCs w:val="24"/>
        </w:rPr>
        <w:tab/>
      </w:r>
      <w:r w:rsidRPr="001C25CA">
        <w:rPr>
          <w:rFonts w:ascii="Arial" w:hAnsi="Arial" w:cs="Arial"/>
          <w:b/>
          <w:sz w:val="24"/>
          <w:szCs w:val="24"/>
        </w:rPr>
        <w:tab/>
      </w:r>
      <w:r w:rsidR="00CD04E3">
        <w:rPr>
          <w:rFonts w:ascii="Arial" w:hAnsi="Arial" w:cs="Arial"/>
          <w:b/>
          <w:sz w:val="24"/>
          <w:szCs w:val="24"/>
        </w:rPr>
        <w:t>7</w:t>
      </w:r>
      <w:r w:rsidR="00513468">
        <w:rPr>
          <w:rFonts w:ascii="Arial" w:hAnsi="Arial" w:cs="Arial"/>
          <w:b/>
          <w:sz w:val="24"/>
          <w:szCs w:val="24"/>
        </w:rPr>
        <w:t xml:space="preserve"> </w:t>
      </w:r>
      <w:r w:rsidR="00F70927">
        <w:rPr>
          <w:rFonts w:ascii="Arial" w:hAnsi="Arial" w:cs="Arial"/>
          <w:b/>
          <w:sz w:val="24"/>
          <w:szCs w:val="24"/>
        </w:rPr>
        <w:t>March</w:t>
      </w:r>
      <w:r w:rsidR="00DF0D25">
        <w:rPr>
          <w:rFonts w:ascii="Arial" w:hAnsi="Arial" w:cs="Arial"/>
          <w:b/>
          <w:sz w:val="24"/>
          <w:szCs w:val="24"/>
        </w:rPr>
        <w:t xml:space="preserve"> 2019</w:t>
      </w: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BF7EC1">
        <w:rPr>
          <w:rFonts w:ascii="Arial" w:hAnsi="Arial" w:cs="Arial"/>
          <w:b/>
          <w:sz w:val="24"/>
          <w:szCs w:val="24"/>
        </w:rPr>
        <w:t>3</w:t>
      </w:r>
      <w:r w:rsidR="00F70927">
        <w:rPr>
          <w:rFonts w:ascii="Arial" w:hAnsi="Arial" w:cs="Arial"/>
          <w:b/>
          <w:sz w:val="24"/>
          <w:szCs w:val="24"/>
        </w:rPr>
        <w:t xml:space="preserve"> </w:t>
      </w:r>
      <w:r w:rsidR="00197AB6">
        <w:rPr>
          <w:rFonts w:ascii="Arial" w:hAnsi="Arial" w:cs="Arial"/>
          <w:b/>
          <w:sz w:val="24"/>
          <w:szCs w:val="24"/>
        </w:rPr>
        <w:t>April</w:t>
      </w:r>
      <w:r w:rsidR="00F70927">
        <w:rPr>
          <w:rFonts w:ascii="Arial" w:hAnsi="Arial" w:cs="Arial"/>
          <w:b/>
          <w:sz w:val="24"/>
          <w:szCs w:val="24"/>
        </w:rPr>
        <w:t xml:space="preserve"> </w:t>
      </w:r>
      <w:r w:rsidR="00DF0D25">
        <w:rPr>
          <w:rFonts w:ascii="Arial" w:hAnsi="Arial" w:cs="Arial"/>
          <w:b/>
          <w:sz w:val="24"/>
          <w:szCs w:val="24"/>
        </w:rPr>
        <w:t>2019</w:t>
      </w:r>
    </w:p>
    <w:p w:rsidR="009D0845" w:rsidRDefault="009D0845" w:rsidP="009D0845">
      <w:pPr>
        <w:spacing w:after="0" w:line="360" w:lineRule="auto"/>
        <w:jc w:val="both"/>
        <w:rPr>
          <w:rFonts w:ascii="Arial" w:hAnsi="Arial" w:cs="Arial"/>
          <w:b/>
          <w:sz w:val="24"/>
          <w:szCs w:val="24"/>
          <w:lang w:val="en-GB"/>
        </w:rPr>
      </w:pPr>
    </w:p>
    <w:p w:rsidR="003F316F" w:rsidRDefault="003F316F" w:rsidP="009D0845">
      <w:pPr>
        <w:spacing w:after="0" w:line="360" w:lineRule="auto"/>
        <w:jc w:val="both"/>
        <w:rPr>
          <w:rFonts w:ascii="Arial" w:hAnsi="Arial" w:cs="Arial"/>
          <w:b/>
          <w:sz w:val="24"/>
          <w:szCs w:val="24"/>
          <w:lang w:val="en-GB"/>
        </w:rPr>
      </w:pPr>
    </w:p>
    <w:p w:rsidR="003F316F" w:rsidRDefault="008C3367" w:rsidP="003F316F">
      <w:pPr>
        <w:pStyle w:val="ListParagraph"/>
        <w:spacing w:after="0" w:line="480" w:lineRule="auto"/>
        <w:ind w:left="0"/>
        <w:jc w:val="both"/>
        <w:rPr>
          <w:rFonts w:ascii="Arial" w:hAnsi="Arial" w:cs="Arial"/>
          <w:sz w:val="24"/>
          <w:szCs w:val="24"/>
        </w:rPr>
      </w:pPr>
      <w:r w:rsidRPr="00C92CA9">
        <w:rPr>
          <w:rFonts w:ascii="Arial" w:hAnsi="Arial" w:cs="Arial"/>
          <w:b/>
          <w:sz w:val="24"/>
          <w:szCs w:val="24"/>
          <w:lang w:val="en-GB"/>
        </w:rPr>
        <w:t>Summary:</w:t>
      </w:r>
      <w:r w:rsidR="00721889" w:rsidRPr="00C92CA9">
        <w:rPr>
          <w:rFonts w:ascii="Arial" w:hAnsi="Arial" w:cs="Arial"/>
          <w:b/>
          <w:sz w:val="24"/>
          <w:szCs w:val="24"/>
          <w:lang w:val="en-GB"/>
        </w:rPr>
        <w:tab/>
      </w:r>
      <w:r w:rsidR="003F316F">
        <w:rPr>
          <w:rFonts w:ascii="Arial" w:hAnsi="Arial" w:cs="Arial"/>
          <w:sz w:val="24"/>
          <w:szCs w:val="24"/>
        </w:rPr>
        <w:t>This appeal concerns a group of Jehovah’s Witnesses members belonging to an international religious order known as the Worldwide Order of Special Full Time Servants of Jehovah’s Witnesses.</w:t>
      </w:r>
    </w:p>
    <w:p w:rsidR="003F316F" w:rsidRDefault="003F316F" w:rsidP="003F316F">
      <w:pPr>
        <w:pStyle w:val="ListParagraph"/>
        <w:spacing w:after="0" w:line="480" w:lineRule="auto"/>
        <w:ind w:left="0"/>
        <w:jc w:val="both"/>
        <w:rPr>
          <w:rFonts w:ascii="Arial" w:hAnsi="Arial" w:cs="Arial"/>
          <w:sz w:val="24"/>
          <w:szCs w:val="24"/>
        </w:rPr>
      </w:pPr>
    </w:p>
    <w:p w:rsidR="003F316F" w:rsidRDefault="003F316F" w:rsidP="003F316F">
      <w:pPr>
        <w:pStyle w:val="ListParagraph"/>
        <w:spacing w:after="0" w:line="480" w:lineRule="auto"/>
        <w:ind w:left="0"/>
        <w:jc w:val="both"/>
        <w:rPr>
          <w:rFonts w:ascii="Arial" w:hAnsi="Arial" w:cs="Arial"/>
          <w:sz w:val="24"/>
          <w:szCs w:val="24"/>
        </w:rPr>
      </w:pPr>
      <w:r w:rsidRPr="007F1906">
        <w:rPr>
          <w:rFonts w:ascii="Arial" w:hAnsi="Arial" w:cs="Arial"/>
          <w:sz w:val="24"/>
          <w:szCs w:val="24"/>
        </w:rPr>
        <w:lastRenderedPageBreak/>
        <w:t xml:space="preserve">The court </w:t>
      </w:r>
      <w:r w:rsidRPr="00B26340">
        <w:rPr>
          <w:rFonts w:ascii="Arial" w:hAnsi="Arial" w:cs="Arial"/>
          <w:i/>
          <w:sz w:val="24"/>
          <w:szCs w:val="24"/>
        </w:rPr>
        <w:t>a quo</w:t>
      </w:r>
      <w:r w:rsidRPr="007F1906">
        <w:rPr>
          <w:rFonts w:ascii="Arial" w:hAnsi="Arial" w:cs="Arial"/>
          <w:sz w:val="24"/>
          <w:szCs w:val="24"/>
        </w:rPr>
        <w:t xml:space="preserve"> dismiss</w:t>
      </w:r>
      <w:r w:rsidR="00A62733">
        <w:rPr>
          <w:rFonts w:ascii="Arial" w:hAnsi="Arial" w:cs="Arial"/>
          <w:sz w:val="24"/>
          <w:szCs w:val="24"/>
        </w:rPr>
        <w:t>ed</w:t>
      </w:r>
      <w:r w:rsidRPr="007F1906">
        <w:rPr>
          <w:rFonts w:ascii="Arial" w:hAnsi="Arial" w:cs="Arial"/>
          <w:sz w:val="24"/>
          <w:szCs w:val="24"/>
        </w:rPr>
        <w:t xml:space="preserve"> the appellant’s appeal in terms of the Social Security Act, 34 of 1994 against a decision</w:t>
      </w:r>
      <w:r w:rsidRPr="007F1906">
        <w:rPr>
          <w:rFonts w:ascii="Arial" w:hAnsi="Arial" w:cs="Arial"/>
          <w:spacing w:val="-5"/>
          <w:sz w:val="24"/>
          <w:szCs w:val="24"/>
        </w:rPr>
        <w:t xml:space="preserve"> </w:t>
      </w:r>
      <w:r w:rsidRPr="007F1906">
        <w:rPr>
          <w:rFonts w:ascii="Arial" w:hAnsi="Arial" w:cs="Arial"/>
          <w:sz w:val="24"/>
          <w:szCs w:val="24"/>
        </w:rPr>
        <w:t>taken</w:t>
      </w:r>
      <w:r w:rsidRPr="007F1906">
        <w:rPr>
          <w:rFonts w:ascii="Arial" w:hAnsi="Arial" w:cs="Arial"/>
          <w:spacing w:val="-5"/>
          <w:sz w:val="24"/>
          <w:szCs w:val="24"/>
        </w:rPr>
        <w:t xml:space="preserve"> </w:t>
      </w:r>
      <w:r w:rsidRPr="007F1906">
        <w:rPr>
          <w:rFonts w:ascii="Arial" w:hAnsi="Arial" w:cs="Arial"/>
          <w:sz w:val="24"/>
          <w:szCs w:val="24"/>
        </w:rPr>
        <w:t>by</w:t>
      </w:r>
      <w:r w:rsidRPr="007F1906">
        <w:rPr>
          <w:rFonts w:ascii="Arial" w:hAnsi="Arial" w:cs="Arial"/>
          <w:spacing w:val="-6"/>
          <w:sz w:val="24"/>
          <w:szCs w:val="24"/>
        </w:rPr>
        <w:t xml:space="preserve"> </w:t>
      </w:r>
      <w:r w:rsidRPr="007F1906">
        <w:rPr>
          <w:rFonts w:ascii="Arial" w:hAnsi="Arial" w:cs="Arial"/>
          <w:sz w:val="24"/>
          <w:szCs w:val="24"/>
        </w:rPr>
        <w:t>the</w:t>
      </w:r>
      <w:r w:rsidRPr="007F1906">
        <w:rPr>
          <w:rFonts w:ascii="Arial" w:hAnsi="Arial" w:cs="Arial"/>
          <w:spacing w:val="-5"/>
          <w:sz w:val="24"/>
          <w:szCs w:val="24"/>
        </w:rPr>
        <w:t xml:space="preserve"> </w:t>
      </w:r>
      <w:r w:rsidRPr="007F1906">
        <w:rPr>
          <w:rFonts w:ascii="Arial" w:hAnsi="Arial" w:cs="Arial"/>
          <w:sz w:val="24"/>
          <w:szCs w:val="24"/>
        </w:rPr>
        <w:t>Social</w:t>
      </w:r>
      <w:r w:rsidRPr="007F1906">
        <w:rPr>
          <w:rFonts w:ascii="Arial" w:hAnsi="Arial" w:cs="Arial"/>
          <w:spacing w:val="-6"/>
          <w:sz w:val="24"/>
          <w:szCs w:val="24"/>
        </w:rPr>
        <w:t xml:space="preserve"> </w:t>
      </w:r>
      <w:r w:rsidRPr="007F1906">
        <w:rPr>
          <w:rFonts w:ascii="Arial" w:hAnsi="Arial" w:cs="Arial"/>
          <w:sz w:val="24"/>
          <w:szCs w:val="24"/>
        </w:rPr>
        <w:t>Security</w:t>
      </w:r>
      <w:r w:rsidRPr="007F1906">
        <w:rPr>
          <w:rFonts w:ascii="Arial" w:hAnsi="Arial" w:cs="Arial"/>
          <w:spacing w:val="-5"/>
          <w:sz w:val="24"/>
          <w:szCs w:val="24"/>
        </w:rPr>
        <w:t xml:space="preserve"> </w:t>
      </w:r>
      <w:r w:rsidRPr="007F1906">
        <w:rPr>
          <w:rFonts w:ascii="Arial" w:hAnsi="Arial" w:cs="Arial"/>
          <w:sz w:val="24"/>
          <w:szCs w:val="24"/>
        </w:rPr>
        <w:t>Commission</w:t>
      </w:r>
      <w:r w:rsidRPr="007F1906">
        <w:rPr>
          <w:rFonts w:ascii="Arial" w:hAnsi="Arial" w:cs="Arial"/>
          <w:spacing w:val="-5"/>
          <w:sz w:val="24"/>
          <w:szCs w:val="24"/>
        </w:rPr>
        <w:t xml:space="preserve"> </w:t>
      </w:r>
      <w:r w:rsidRPr="007F1906">
        <w:rPr>
          <w:rFonts w:ascii="Arial" w:hAnsi="Arial" w:cs="Arial"/>
          <w:sz w:val="24"/>
          <w:szCs w:val="24"/>
        </w:rPr>
        <w:t>not</w:t>
      </w:r>
      <w:r w:rsidRPr="007F1906">
        <w:rPr>
          <w:rFonts w:ascii="Arial" w:hAnsi="Arial" w:cs="Arial"/>
          <w:spacing w:val="-5"/>
          <w:sz w:val="24"/>
          <w:szCs w:val="24"/>
        </w:rPr>
        <w:t xml:space="preserve"> </w:t>
      </w:r>
      <w:r w:rsidRPr="007F1906">
        <w:rPr>
          <w:rFonts w:ascii="Arial" w:hAnsi="Arial" w:cs="Arial"/>
          <w:sz w:val="24"/>
          <w:szCs w:val="24"/>
        </w:rPr>
        <w:t>to</w:t>
      </w:r>
      <w:r w:rsidRPr="007F1906">
        <w:rPr>
          <w:rFonts w:ascii="Arial" w:hAnsi="Arial" w:cs="Arial"/>
          <w:spacing w:val="-4"/>
          <w:sz w:val="24"/>
          <w:szCs w:val="24"/>
        </w:rPr>
        <w:t xml:space="preserve"> </w:t>
      </w:r>
      <w:r>
        <w:rPr>
          <w:rFonts w:ascii="Arial" w:hAnsi="Arial" w:cs="Arial"/>
          <w:sz w:val="24"/>
          <w:szCs w:val="24"/>
        </w:rPr>
        <w:t>de</w:t>
      </w:r>
      <w:r w:rsidRPr="007F1906">
        <w:rPr>
          <w:rFonts w:ascii="Arial" w:hAnsi="Arial" w:cs="Arial"/>
          <w:sz w:val="24"/>
          <w:szCs w:val="24"/>
        </w:rPr>
        <w:t>register</w:t>
      </w:r>
      <w:r w:rsidRPr="007F1906">
        <w:rPr>
          <w:rFonts w:ascii="Arial" w:hAnsi="Arial" w:cs="Arial"/>
          <w:spacing w:val="-4"/>
          <w:sz w:val="24"/>
          <w:szCs w:val="24"/>
        </w:rPr>
        <w:t xml:space="preserve"> </w:t>
      </w:r>
      <w:r w:rsidRPr="007F1906">
        <w:rPr>
          <w:rFonts w:ascii="Arial" w:hAnsi="Arial" w:cs="Arial"/>
          <w:sz w:val="24"/>
          <w:szCs w:val="24"/>
        </w:rPr>
        <w:t>it</w:t>
      </w:r>
      <w:r w:rsidRPr="007F1906">
        <w:rPr>
          <w:rFonts w:ascii="Arial" w:hAnsi="Arial" w:cs="Arial"/>
          <w:spacing w:val="-6"/>
          <w:sz w:val="24"/>
          <w:szCs w:val="24"/>
        </w:rPr>
        <w:t xml:space="preserve"> </w:t>
      </w:r>
      <w:r w:rsidRPr="007F1906">
        <w:rPr>
          <w:rFonts w:ascii="Arial" w:hAnsi="Arial" w:cs="Arial"/>
          <w:sz w:val="24"/>
          <w:szCs w:val="24"/>
        </w:rPr>
        <w:t>as</w:t>
      </w:r>
      <w:r w:rsidRPr="007F1906">
        <w:rPr>
          <w:rFonts w:ascii="Arial" w:hAnsi="Arial" w:cs="Arial"/>
          <w:spacing w:val="-6"/>
          <w:sz w:val="24"/>
          <w:szCs w:val="24"/>
        </w:rPr>
        <w:t xml:space="preserve"> </w:t>
      </w:r>
      <w:r w:rsidRPr="007F1906">
        <w:rPr>
          <w:rFonts w:ascii="Arial" w:hAnsi="Arial" w:cs="Arial"/>
          <w:sz w:val="24"/>
          <w:szCs w:val="24"/>
        </w:rPr>
        <w:t>an</w:t>
      </w:r>
      <w:r w:rsidRPr="007F1906">
        <w:rPr>
          <w:rFonts w:ascii="Arial" w:hAnsi="Arial" w:cs="Arial"/>
          <w:spacing w:val="-5"/>
          <w:sz w:val="24"/>
          <w:szCs w:val="24"/>
        </w:rPr>
        <w:t xml:space="preserve"> </w:t>
      </w:r>
      <w:r>
        <w:rPr>
          <w:rFonts w:ascii="Arial" w:hAnsi="Arial" w:cs="Arial"/>
          <w:sz w:val="24"/>
          <w:szCs w:val="24"/>
        </w:rPr>
        <w:t xml:space="preserve">employer as defined in the Act because it contended that members of the Worldwide Order were not employees for the purpose of the Act. After conducting an investigation the Commission decided on 1 March 2016 that the definitions of employer and employee in the Act read with section 128A of the Labour Act, 7 of 2011 applied to the appellant and members of the Worldwide Order and declined to deregister the appellant as an employer. The appeal is in terms of section 45 of the Social Security Act (appealing against a decision of the </w:t>
      </w:r>
      <w:r w:rsidR="00A62733">
        <w:rPr>
          <w:rFonts w:ascii="Arial" w:hAnsi="Arial" w:cs="Arial"/>
          <w:sz w:val="24"/>
          <w:szCs w:val="24"/>
        </w:rPr>
        <w:t>Commission</w:t>
      </w:r>
      <w:r>
        <w:rPr>
          <w:rFonts w:ascii="Arial" w:hAnsi="Arial" w:cs="Arial"/>
          <w:sz w:val="24"/>
          <w:szCs w:val="24"/>
        </w:rPr>
        <w:t xml:space="preserve">). Appellant filed </w:t>
      </w:r>
      <w:r w:rsidR="00A62733">
        <w:rPr>
          <w:rFonts w:ascii="Arial" w:hAnsi="Arial" w:cs="Arial"/>
          <w:sz w:val="24"/>
          <w:szCs w:val="24"/>
        </w:rPr>
        <w:t xml:space="preserve">an affidavit and </w:t>
      </w:r>
      <w:r>
        <w:rPr>
          <w:rFonts w:ascii="Arial" w:hAnsi="Arial" w:cs="Arial"/>
          <w:sz w:val="24"/>
          <w:szCs w:val="24"/>
        </w:rPr>
        <w:t xml:space="preserve">66 affidavits on appeal </w:t>
      </w:r>
      <w:r w:rsidR="00A62733">
        <w:rPr>
          <w:rFonts w:ascii="Arial" w:hAnsi="Arial" w:cs="Arial"/>
          <w:sz w:val="24"/>
          <w:szCs w:val="24"/>
        </w:rPr>
        <w:t xml:space="preserve">of Order members </w:t>
      </w:r>
      <w:r>
        <w:rPr>
          <w:rFonts w:ascii="Arial" w:hAnsi="Arial" w:cs="Arial"/>
          <w:sz w:val="24"/>
          <w:szCs w:val="24"/>
        </w:rPr>
        <w:t>consenting to be bound by the judgment of the Labour Court and waiving the right to be joined and supporting the appeal. These affidavits did not serve before the Commission</w:t>
      </w:r>
      <w:r w:rsidR="00A62733">
        <w:rPr>
          <w:rFonts w:ascii="Arial" w:hAnsi="Arial" w:cs="Arial"/>
          <w:sz w:val="24"/>
          <w:szCs w:val="24"/>
        </w:rPr>
        <w:t>. T</w:t>
      </w:r>
      <w:r>
        <w:rPr>
          <w:rFonts w:ascii="Arial" w:hAnsi="Arial" w:cs="Arial"/>
          <w:sz w:val="24"/>
          <w:szCs w:val="24"/>
        </w:rPr>
        <w:t xml:space="preserve">hey </w:t>
      </w:r>
      <w:r w:rsidR="00A62733">
        <w:rPr>
          <w:rFonts w:ascii="Arial" w:hAnsi="Arial" w:cs="Arial"/>
          <w:sz w:val="24"/>
          <w:szCs w:val="24"/>
        </w:rPr>
        <w:t xml:space="preserve">also </w:t>
      </w:r>
      <w:r>
        <w:rPr>
          <w:rFonts w:ascii="Arial" w:hAnsi="Arial" w:cs="Arial"/>
          <w:sz w:val="24"/>
          <w:szCs w:val="24"/>
        </w:rPr>
        <w:t xml:space="preserve">did not disclose how many registered employees the appellant currently has and why all members of the </w:t>
      </w:r>
      <w:r w:rsidR="00A62733">
        <w:rPr>
          <w:rFonts w:ascii="Arial" w:hAnsi="Arial" w:cs="Arial"/>
          <w:sz w:val="24"/>
          <w:szCs w:val="24"/>
        </w:rPr>
        <w:t>O</w:t>
      </w:r>
      <w:r>
        <w:rPr>
          <w:rFonts w:ascii="Arial" w:hAnsi="Arial" w:cs="Arial"/>
          <w:sz w:val="24"/>
          <w:szCs w:val="24"/>
        </w:rPr>
        <w:t>rder ha</w:t>
      </w:r>
      <w:r w:rsidR="00A62733">
        <w:rPr>
          <w:rFonts w:ascii="Arial" w:hAnsi="Arial" w:cs="Arial"/>
          <w:sz w:val="24"/>
          <w:szCs w:val="24"/>
        </w:rPr>
        <w:t>d not</w:t>
      </w:r>
      <w:r>
        <w:rPr>
          <w:rFonts w:ascii="Arial" w:hAnsi="Arial" w:cs="Arial"/>
          <w:sz w:val="24"/>
          <w:szCs w:val="24"/>
        </w:rPr>
        <w:t xml:space="preserve"> deposed to affidavits. The affidavits do not explain how and why the appellant registered itself as an employer in the first place and which persons were registered as employees and why.</w:t>
      </w:r>
    </w:p>
    <w:p w:rsidR="003F316F" w:rsidRDefault="003F316F" w:rsidP="003F316F">
      <w:pPr>
        <w:pStyle w:val="ListParagraph"/>
        <w:spacing w:after="0" w:line="480" w:lineRule="auto"/>
        <w:ind w:left="0"/>
        <w:jc w:val="both"/>
        <w:rPr>
          <w:rFonts w:ascii="Arial" w:hAnsi="Arial" w:cs="Arial"/>
          <w:sz w:val="24"/>
          <w:szCs w:val="24"/>
        </w:rPr>
      </w:pPr>
    </w:p>
    <w:p w:rsidR="003F316F" w:rsidRDefault="003F316F" w:rsidP="003F316F">
      <w:pPr>
        <w:pStyle w:val="ListParagraph"/>
        <w:spacing w:after="0" w:line="480" w:lineRule="auto"/>
        <w:ind w:left="0"/>
        <w:jc w:val="both"/>
        <w:rPr>
          <w:rFonts w:ascii="Arial" w:hAnsi="Arial" w:cs="Arial"/>
          <w:sz w:val="24"/>
          <w:szCs w:val="24"/>
        </w:rPr>
      </w:pPr>
      <w:r w:rsidRPr="00273B3C">
        <w:rPr>
          <w:rFonts w:ascii="Arial" w:hAnsi="Arial" w:cs="Arial"/>
          <w:i/>
          <w:sz w:val="24"/>
          <w:szCs w:val="24"/>
        </w:rPr>
        <w:t>Held that</w:t>
      </w:r>
      <w:r>
        <w:rPr>
          <w:rFonts w:ascii="Arial" w:hAnsi="Arial" w:cs="Arial"/>
          <w:sz w:val="24"/>
          <w:szCs w:val="24"/>
        </w:rPr>
        <w:t xml:space="preserve">, the Commission was correct in declining to deregister, even though its interpretation of section 128A is defective. The </w:t>
      </w:r>
      <w:r w:rsidR="00A62733">
        <w:rPr>
          <w:rFonts w:ascii="Arial" w:hAnsi="Arial" w:cs="Arial"/>
          <w:sz w:val="24"/>
          <w:szCs w:val="24"/>
        </w:rPr>
        <w:t xml:space="preserve">factual </w:t>
      </w:r>
      <w:r>
        <w:rPr>
          <w:rFonts w:ascii="Arial" w:hAnsi="Arial" w:cs="Arial"/>
          <w:sz w:val="24"/>
          <w:szCs w:val="24"/>
        </w:rPr>
        <w:t>material put before the Commission w</w:t>
      </w:r>
      <w:r w:rsidR="00A62733">
        <w:rPr>
          <w:rFonts w:ascii="Arial" w:hAnsi="Arial" w:cs="Arial"/>
          <w:sz w:val="24"/>
          <w:szCs w:val="24"/>
        </w:rPr>
        <w:t>as</w:t>
      </w:r>
      <w:r>
        <w:rPr>
          <w:rFonts w:ascii="Arial" w:hAnsi="Arial" w:cs="Arial"/>
          <w:sz w:val="24"/>
          <w:szCs w:val="24"/>
        </w:rPr>
        <w:t xml:space="preserve"> sparse </w:t>
      </w:r>
      <w:r w:rsidR="00A62733">
        <w:rPr>
          <w:rFonts w:ascii="Arial" w:hAnsi="Arial" w:cs="Arial"/>
          <w:sz w:val="24"/>
          <w:szCs w:val="24"/>
        </w:rPr>
        <w:t>and largely comprised</w:t>
      </w:r>
      <w:r>
        <w:rPr>
          <w:rFonts w:ascii="Arial" w:hAnsi="Arial" w:cs="Arial"/>
          <w:sz w:val="24"/>
          <w:szCs w:val="24"/>
        </w:rPr>
        <w:t xml:space="preserve"> a series of contentions in correspondence. There was no further documentation comprising the terms of appointment, rules and/or the constitution of the appellant or the order which govern appointments placed before the Commission.</w:t>
      </w:r>
    </w:p>
    <w:p w:rsidR="003F316F" w:rsidRDefault="003F316F" w:rsidP="003F316F">
      <w:pPr>
        <w:pStyle w:val="ListParagraph"/>
        <w:spacing w:after="0" w:line="480" w:lineRule="auto"/>
        <w:ind w:left="0"/>
        <w:jc w:val="both"/>
        <w:rPr>
          <w:rFonts w:ascii="Arial" w:hAnsi="Arial" w:cs="Arial"/>
          <w:sz w:val="24"/>
          <w:szCs w:val="24"/>
        </w:rPr>
      </w:pPr>
    </w:p>
    <w:p w:rsidR="003F316F" w:rsidRDefault="003F316F" w:rsidP="003F316F">
      <w:pPr>
        <w:pStyle w:val="ListParagraph"/>
        <w:spacing w:after="0" w:line="480" w:lineRule="auto"/>
        <w:ind w:left="0"/>
        <w:jc w:val="both"/>
        <w:rPr>
          <w:rFonts w:ascii="Arial" w:hAnsi="Arial" w:cs="Arial"/>
          <w:sz w:val="24"/>
          <w:szCs w:val="24"/>
        </w:rPr>
      </w:pPr>
      <w:r w:rsidRPr="00F77B30">
        <w:rPr>
          <w:rFonts w:ascii="Arial" w:hAnsi="Arial" w:cs="Arial"/>
          <w:i/>
          <w:sz w:val="24"/>
          <w:szCs w:val="24"/>
        </w:rPr>
        <w:lastRenderedPageBreak/>
        <w:t>Held</w:t>
      </w:r>
      <w:r>
        <w:rPr>
          <w:rFonts w:ascii="Arial" w:hAnsi="Arial" w:cs="Arial"/>
          <w:i/>
          <w:sz w:val="24"/>
          <w:szCs w:val="24"/>
        </w:rPr>
        <w:t xml:space="preserve"> </w:t>
      </w:r>
      <w:r w:rsidRPr="00F77B30">
        <w:rPr>
          <w:rFonts w:ascii="Arial" w:hAnsi="Arial" w:cs="Arial"/>
          <w:i/>
          <w:sz w:val="24"/>
          <w:szCs w:val="24"/>
        </w:rPr>
        <w:t>that</w:t>
      </w:r>
      <w:r>
        <w:rPr>
          <w:rFonts w:ascii="Arial" w:hAnsi="Arial" w:cs="Arial"/>
          <w:sz w:val="24"/>
          <w:szCs w:val="24"/>
        </w:rPr>
        <w:t>, section 128A should be accorded a meaning within the context of the section construed as a whole. It is not correct to first establish a legally enforceable agreement for the presumption to arise.</w:t>
      </w:r>
    </w:p>
    <w:p w:rsidR="003F316F" w:rsidRDefault="003F316F" w:rsidP="003F316F">
      <w:pPr>
        <w:pStyle w:val="ListParagraph"/>
        <w:spacing w:after="0" w:line="480" w:lineRule="auto"/>
        <w:ind w:left="0"/>
        <w:jc w:val="both"/>
        <w:rPr>
          <w:rFonts w:ascii="Arial" w:hAnsi="Arial" w:cs="Arial"/>
          <w:sz w:val="24"/>
          <w:szCs w:val="24"/>
        </w:rPr>
      </w:pPr>
    </w:p>
    <w:p w:rsidR="003F316F" w:rsidRPr="001D6DB9" w:rsidRDefault="003F316F" w:rsidP="003F316F">
      <w:pPr>
        <w:pStyle w:val="ListParagraph"/>
        <w:spacing w:after="0" w:line="480" w:lineRule="auto"/>
        <w:ind w:left="0"/>
        <w:jc w:val="both"/>
        <w:rPr>
          <w:rFonts w:ascii="Arial" w:hAnsi="Arial" w:cs="Arial"/>
          <w:sz w:val="24"/>
          <w:szCs w:val="24"/>
        </w:rPr>
      </w:pPr>
      <w:r w:rsidRPr="00273B3C">
        <w:rPr>
          <w:rFonts w:ascii="Arial" w:hAnsi="Arial" w:cs="Arial"/>
          <w:i/>
          <w:sz w:val="24"/>
          <w:szCs w:val="24"/>
        </w:rPr>
        <w:t>Further held that</w:t>
      </w:r>
      <w:r>
        <w:rPr>
          <w:rFonts w:ascii="Arial" w:hAnsi="Arial" w:cs="Arial"/>
          <w:sz w:val="24"/>
          <w:szCs w:val="24"/>
        </w:rPr>
        <w:t xml:space="preserve">, section 128A presumption is intended to assist the trier of fact in resolving who is an employer and employee for the purpose of the labour legislation, including the Act, and ‘each case must be considered on its own facts and that the trier of facts must look at the substance of the relationship’ – see </w:t>
      </w:r>
      <w:r w:rsidRPr="001D6DB9">
        <w:rPr>
          <w:rFonts w:ascii="Arial" w:hAnsi="Arial" w:cs="Arial"/>
          <w:i/>
          <w:sz w:val="24"/>
          <w:szCs w:val="24"/>
        </w:rPr>
        <w:t>Swart v Flex-O-Tube</w:t>
      </w:r>
      <w:r>
        <w:rPr>
          <w:rFonts w:ascii="Arial" w:hAnsi="Arial" w:cs="Arial"/>
          <w:sz w:val="24"/>
          <w:szCs w:val="24"/>
        </w:rPr>
        <w:t>.</w:t>
      </w:r>
    </w:p>
    <w:p w:rsidR="003F316F" w:rsidRDefault="003F316F" w:rsidP="003F316F">
      <w:pPr>
        <w:pStyle w:val="ListParagraph"/>
        <w:spacing w:after="0" w:line="480" w:lineRule="auto"/>
        <w:ind w:left="0"/>
        <w:jc w:val="both"/>
        <w:rPr>
          <w:rFonts w:ascii="Arial" w:hAnsi="Arial" w:cs="Arial"/>
          <w:sz w:val="24"/>
          <w:szCs w:val="24"/>
        </w:rPr>
      </w:pPr>
    </w:p>
    <w:p w:rsidR="003F316F" w:rsidRDefault="003F316F" w:rsidP="003F316F">
      <w:pPr>
        <w:pStyle w:val="ListParagraph"/>
        <w:spacing w:after="0" w:line="480" w:lineRule="auto"/>
        <w:ind w:left="0"/>
        <w:jc w:val="both"/>
        <w:rPr>
          <w:rFonts w:ascii="Arial" w:hAnsi="Arial" w:cs="Arial"/>
          <w:sz w:val="24"/>
          <w:szCs w:val="24"/>
        </w:rPr>
      </w:pPr>
      <w:r w:rsidRPr="008A7D2A">
        <w:rPr>
          <w:rFonts w:ascii="Arial" w:hAnsi="Arial" w:cs="Arial"/>
          <w:i/>
          <w:sz w:val="24"/>
          <w:szCs w:val="24"/>
        </w:rPr>
        <w:t xml:space="preserve">It is </w:t>
      </w:r>
      <w:r>
        <w:rPr>
          <w:rFonts w:ascii="Arial" w:hAnsi="Arial" w:cs="Arial"/>
          <w:i/>
          <w:sz w:val="24"/>
          <w:szCs w:val="24"/>
        </w:rPr>
        <w:t xml:space="preserve">further </w:t>
      </w:r>
      <w:r w:rsidRPr="008A7D2A">
        <w:rPr>
          <w:rFonts w:ascii="Arial" w:hAnsi="Arial" w:cs="Arial"/>
          <w:i/>
          <w:sz w:val="24"/>
          <w:szCs w:val="24"/>
        </w:rPr>
        <w:t>held that</w:t>
      </w:r>
      <w:r>
        <w:rPr>
          <w:rFonts w:ascii="Arial" w:hAnsi="Arial" w:cs="Arial"/>
          <w:sz w:val="24"/>
          <w:szCs w:val="24"/>
        </w:rPr>
        <w:t>, to make an assessment as to whether the nature of the relationship is employment or not, each case is to be assessed with reference to the rules and practices of the specific religious order or church and any special arrangements made with minister</w:t>
      </w:r>
      <w:r w:rsidR="00A62733">
        <w:rPr>
          <w:rFonts w:ascii="Arial" w:hAnsi="Arial" w:cs="Arial"/>
          <w:sz w:val="24"/>
          <w:szCs w:val="24"/>
        </w:rPr>
        <w:t>(s)</w:t>
      </w:r>
      <w:r>
        <w:rPr>
          <w:rFonts w:ascii="Arial" w:hAnsi="Arial" w:cs="Arial"/>
          <w:sz w:val="24"/>
          <w:szCs w:val="24"/>
        </w:rPr>
        <w:t xml:space="preserve"> to determine ‘whether their actions were intended in any respect to give rise to contractual rights and obligations’ –</w:t>
      </w:r>
      <w:r w:rsidR="00A62733">
        <w:rPr>
          <w:rFonts w:ascii="Arial" w:hAnsi="Arial" w:cs="Arial"/>
          <w:sz w:val="24"/>
          <w:szCs w:val="24"/>
        </w:rPr>
        <w:t xml:space="preserve"> </w:t>
      </w:r>
      <w:r>
        <w:rPr>
          <w:rFonts w:ascii="Arial" w:hAnsi="Arial" w:cs="Arial"/>
          <w:sz w:val="24"/>
          <w:szCs w:val="24"/>
        </w:rPr>
        <w:t xml:space="preserve">see </w:t>
      </w:r>
      <w:r w:rsidRPr="001D6CC5">
        <w:rPr>
          <w:rFonts w:ascii="Arial" w:hAnsi="Arial" w:cs="Arial"/>
          <w:i/>
          <w:sz w:val="24"/>
          <w:szCs w:val="24"/>
        </w:rPr>
        <w:t xml:space="preserve">De Lange v Presiding Bishop of the Methodist Church of Southern Africa for the time being and another </w:t>
      </w:r>
      <w:r>
        <w:rPr>
          <w:rFonts w:ascii="Arial" w:hAnsi="Arial" w:cs="Arial"/>
          <w:sz w:val="24"/>
          <w:szCs w:val="24"/>
        </w:rPr>
        <w:t xml:space="preserve">and </w:t>
      </w:r>
      <w:r w:rsidRPr="001D6CC5">
        <w:rPr>
          <w:rFonts w:ascii="Arial" w:hAnsi="Arial" w:cs="Arial"/>
          <w:i/>
          <w:sz w:val="24"/>
          <w:szCs w:val="24"/>
        </w:rPr>
        <w:t>Preston (formerly Moore) v President of the Methodist Conference</w:t>
      </w:r>
      <w:r>
        <w:rPr>
          <w:rFonts w:ascii="Arial" w:hAnsi="Arial" w:cs="Arial"/>
          <w:sz w:val="24"/>
          <w:szCs w:val="24"/>
        </w:rPr>
        <w:t>.</w:t>
      </w:r>
    </w:p>
    <w:p w:rsidR="003F316F" w:rsidRPr="001D6CC5" w:rsidRDefault="003F316F" w:rsidP="003F316F">
      <w:pPr>
        <w:pStyle w:val="ListParagraph"/>
        <w:spacing w:after="0" w:line="480" w:lineRule="auto"/>
        <w:ind w:left="0"/>
        <w:jc w:val="both"/>
        <w:rPr>
          <w:rFonts w:ascii="Arial" w:hAnsi="Arial" w:cs="Arial"/>
          <w:sz w:val="24"/>
          <w:szCs w:val="24"/>
        </w:rPr>
      </w:pPr>
    </w:p>
    <w:p w:rsidR="00C92CA9" w:rsidRPr="00C92CA9" w:rsidRDefault="003F316F" w:rsidP="003F316F">
      <w:pPr>
        <w:pStyle w:val="ListParagraph"/>
        <w:spacing w:after="0" w:line="480" w:lineRule="auto"/>
        <w:ind w:left="0"/>
        <w:jc w:val="both"/>
        <w:rPr>
          <w:rFonts w:ascii="Arial" w:hAnsi="Arial" w:cs="Arial"/>
          <w:sz w:val="24"/>
          <w:szCs w:val="24"/>
        </w:rPr>
      </w:pPr>
      <w:r w:rsidRPr="00273B3C">
        <w:rPr>
          <w:rFonts w:ascii="Arial" w:hAnsi="Arial" w:cs="Arial"/>
          <w:i/>
          <w:sz w:val="24"/>
          <w:szCs w:val="24"/>
        </w:rPr>
        <w:t>Held that</w:t>
      </w:r>
      <w:r>
        <w:rPr>
          <w:rFonts w:ascii="Arial" w:hAnsi="Arial" w:cs="Arial"/>
          <w:sz w:val="24"/>
          <w:szCs w:val="24"/>
        </w:rPr>
        <w:t xml:space="preserve">, the court </w:t>
      </w:r>
      <w:r w:rsidRPr="00273B3C">
        <w:rPr>
          <w:rFonts w:ascii="Arial" w:hAnsi="Arial" w:cs="Arial"/>
          <w:i/>
          <w:sz w:val="24"/>
          <w:szCs w:val="24"/>
        </w:rPr>
        <w:t>a quo</w:t>
      </w:r>
      <w:r>
        <w:rPr>
          <w:rFonts w:ascii="Arial" w:hAnsi="Arial" w:cs="Arial"/>
          <w:sz w:val="24"/>
          <w:szCs w:val="24"/>
        </w:rPr>
        <w:t xml:space="preserve"> was correct to dismiss the appeal.</w:t>
      </w:r>
    </w:p>
    <w:p w:rsidR="00EF6EF1" w:rsidRPr="001C25CA" w:rsidRDefault="00EF6EF1" w:rsidP="00C92CA9">
      <w:pPr>
        <w:spacing w:after="0" w:line="360" w:lineRule="auto"/>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8C3367" w:rsidRPr="001C25CA" w:rsidRDefault="008C3367" w:rsidP="00594EA3">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8C3367" w:rsidP="00395B99">
      <w:pPr>
        <w:spacing w:line="480" w:lineRule="auto"/>
        <w:jc w:val="both"/>
        <w:rPr>
          <w:rFonts w:ascii="Arial" w:hAnsi="Arial" w:cs="Arial"/>
          <w:sz w:val="24"/>
          <w:szCs w:val="24"/>
        </w:rPr>
      </w:pPr>
      <w:r w:rsidRPr="001C25CA">
        <w:rPr>
          <w:rFonts w:ascii="Arial" w:hAnsi="Arial" w:cs="Arial"/>
          <w:sz w:val="24"/>
          <w:szCs w:val="24"/>
        </w:rPr>
        <w:t>SMUTS JA (</w:t>
      </w:r>
      <w:r w:rsidR="00CD04E3">
        <w:rPr>
          <w:rFonts w:ascii="Arial" w:hAnsi="Arial" w:cs="Arial"/>
          <w:sz w:val="24"/>
          <w:szCs w:val="24"/>
        </w:rPr>
        <w:t>DAMASEB</w:t>
      </w:r>
      <w:r w:rsidR="00DF0D25">
        <w:rPr>
          <w:rFonts w:ascii="Arial" w:hAnsi="Arial" w:cs="Arial"/>
          <w:sz w:val="24"/>
          <w:szCs w:val="24"/>
        </w:rPr>
        <w:t xml:space="preserve"> </w:t>
      </w:r>
      <w:r w:rsidR="00CD04E3">
        <w:rPr>
          <w:rFonts w:ascii="Arial" w:hAnsi="Arial" w:cs="Arial"/>
          <w:sz w:val="24"/>
          <w:szCs w:val="24"/>
        </w:rPr>
        <w:t>D</w:t>
      </w:r>
      <w:r w:rsidR="00DF0D25">
        <w:rPr>
          <w:rFonts w:ascii="Arial" w:hAnsi="Arial" w:cs="Arial"/>
          <w:sz w:val="24"/>
          <w:szCs w:val="24"/>
        </w:rPr>
        <w:t>CJ</w:t>
      </w:r>
      <w:r w:rsidR="00451609" w:rsidRPr="001C25CA">
        <w:rPr>
          <w:rFonts w:ascii="Arial" w:hAnsi="Arial" w:cs="Arial"/>
          <w:sz w:val="24"/>
          <w:szCs w:val="24"/>
        </w:rPr>
        <w:t xml:space="preserve"> and</w:t>
      </w:r>
      <w:r w:rsidRPr="001C25CA">
        <w:rPr>
          <w:rFonts w:ascii="Arial" w:hAnsi="Arial" w:cs="Arial"/>
          <w:sz w:val="24"/>
          <w:szCs w:val="24"/>
        </w:rPr>
        <w:t xml:space="preserve"> </w:t>
      </w:r>
      <w:r w:rsidR="00CD04E3">
        <w:rPr>
          <w:rFonts w:ascii="Arial" w:hAnsi="Arial" w:cs="Arial"/>
          <w:sz w:val="24"/>
          <w:szCs w:val="24"/>
        </w:rPr>
        <w:t>MAINGA</w:t>
      </w:r>
      <w:r w:rsidR="008B2795" w:rsidRPr="001C25CA">
        <w:rPr>
          <w:rFonts w:ascii="Arial" w:hAnsi="Arial" w:cs="Arial"/>
          <w:sz w:val="24"/>
          <w:szCs w:val="24"/>
        </w:rPr>
        <w:t xml:space="preserve"> JA</w:t>
      </w:r>
      <w:r w:rsidRPr="001C25CA">
        <w:rPr>
          <w:rFonts w:ascii="Arial" w:hAnsi="Arial" w:cs="Arial"/>
          <w:sz w:val="24"/>
          <w:szCs w:val="24"/>
        </w:rPr>
        <w:t xml:space="preserve"> concurring):</w:t>
      </w:r>
    </w:p>
    <w:p w:rsidR="009500EF" w:rsidRDefault="00CD04E3" w:rsidP="00CD04E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T</w:t>
      </w:r>
      <w:r w:rsidR="00C04C53">
        <w:rPr>
          <w:rFonts w:ascii="Arial" w:hAnsi="Arial" w:cs="Arial"/>
          <w:sz w:val="24"/>
          <w:szCs w:val="24"/>
        </w:rPr>
        <w:t xml:space="preserve">he appellant </w:t>
      </w:r>
      <w:r w:rsidR="00CE34D1">
        <w:rPr>
          <w:rFonts w:ascii="Arial" w:hAnsi="Arial" w:cs="Arial"/>
          <w:sz w:val="24"/>
          <w:szCs w:val="24"/>
        </w:rPr>
        <w:t xml:space="preserve">is the Christian Congregation of Jehovah’s Witnesses of Namibia, a </w:t>
      </w:r>
      <w:r w:rsidR="00961426">
        <w:rPr>
          <w:rFonts w:ascii="Arial" w:hAnsi="Arial" w:cs="Arial"/>
          <w:sz w:val="24"/>
          <w:szCs w:val="24"/>
        </w:rPr>
        <w:t xml:space="preserve">religious organisation incorporated as an association not for gain under s 21 of the </w:t>
      </w:r>
      <w:r w:rsidR="009D4739">
        <w:rPr>
          <w:rFonts w:ascii="Arial" w:hAnsi="Arial" w:cs="Arial"/>
          <w:sz w:val="24"/>
          <w:szCs w:val="24"/>
        </w:rPr>
        <w:t xml:space="preserve">Companies Act, 2004. The appellant has a membership of over 2500 active members in Namibia and is part of a religion </w:t>
      </w:r>
      <w:r w:rsidR="008C5CBC">
        <w:rPr>
          <w:rFonts w:ascii="Arial" w:hAnsi="Arial" w:cs="Arial"/>
          <w:sz w:val="24"/>
          <w:szCs w:val="24"/>
        </w:rPr>
        <w:t xml:space="preserve">active </w:t>
      </w:r>
      <w:r w:rsidR="009D4739">
        <w:rPr>
          <w:rFonts w:ascii="Arial" w:hAnsi="Arial" w:cs="Arial"/>
          <w:sz w:val="24"/>
          <w:szCs w:val="24"/>
        </w:rPr>
        <w:t>in most countries of the world. This appeal concerns a group of Jehovah’s Witnesses who belong to an international religious order known as the Worldwide Order of Special Full Time Servants of Jehovah’s Witnesses (</w:t>
      </w:r>
      <w:r w:rsidR="00E24EE0">
        <w:rPr>
          <w:rFonts w:ascii="Arial" w:hAnsi="Arial" w:cs="Arial"/>
          <w:sz w:val="24"/>
          <w:szCs w:val="24"/>
        </w:rPr>
        <w:t>‘</w:t>
      </w:r>
      <w:r w:rsidR="009D4739">
        <w:rPr>
          <w:rFonts w:ascii="Arial" w:hAnsi="Arial" w:cs="Arial"/>
          <w:sz w:val="24"/>
          <w:szCs w:val="24"/>
        </w:rPr>
        <w:t>the Worldwide Order</w:t>
      </w:r>
      <w:r w:rsidR="00E24EE0">
        <w:rPr>
          <w:rFonts w:ascii="Arial" w:hAnsi="Arial" w:cs="Arial"/>
          <w:sz w:val="24"/>
          <w:szCs w:val="24"/>
        </w:rPr>
        <w:t>’</w:t>
      </w:r>
      <w:r w:rsidR="009D4739">
        <w:rPr>
          <w:rFonts w:ascii="Arial" w:hAnsi="Arial" w:cs="Arial"/>
          <w:sz w:val="24"/>
          <w:szCs w:val="24"/>
        </w:rPr>
        <w:t>).</w:t>
      </w:r>
    </w:p>
    <w:p w:rsidR="009D4739" w:rsidRDefault="004A03B8" w:rsidP="004A03B8">
      <w:pPr>
        <w:pStyle w:val="NoSpacing"/>
        <w:tabs>
          <w:tab w:val="left" w:pos="3795"/>
        </w:tabs>
        <w:spacing w:line="480" w:lineRule="auto"/>
        <w:jc w:val="both"/>
        <w:rPr>
          <w:rFonts w:ascii="Arial" w:hAnsi="Arial" w:cs="Arial"/>
          <w:sz w:val="24"/>
          <w:szCs w:val="24"/>
        </w:rPr>
      </w:pPr>
      <w:r>
        <w:rPr>
          <w:rFonts w:ascii="Arial" w:hAnsi="Arial" w:cs="Arial"/>
          <w:sz w:val="24"/>
          <w:szCs w:val="24"/>
        </w:rPr>
        <w:tab/>
      </w:r>
    </w:p>
    <w:p w:rsidR="009D4739" w:rsidRDefault="009D4739" w:rsidP="00CD04E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 </w:t>
      </w:r>
      <w:r w:rsidR="000A0532">
        <w:rPr>
          <w:rFonts w:ascii="Arial" w:hAnsi="Arial" w:cs="Arial"/>
          <w:sz w:val="24"/>
          <w:szCs w:val="24"/>
        </w:rPr>
        <w:t>applied to</w:t>
      </w:r>
      <w:r>
        <w:rPr>
          <w:rFonts w:ascii="Arial" w:hAnsi="Arial" w:cs="Arial"/>
          <w:sz w:val="24"/>
          <w:szCs w:val="24"/>
        </w:rPr>
        <w:t xml:space="preserve"> the respondent, the Social Security Commission (the Commission) established under the Social Security Act, </w:t>
      </w:r>
      <w:r w:rsidR="008C5CBC">
        <w:rPr>
          <w:rFonts w:ascii="Arial" w:hAnsi="Arial" w:cs="Arial"/>
          <w:sz w:val="24"/>
          <w:szCs w:val="24"/>
        </w:rPr>
        <w:t>34</w:t>
      </w:r>
      <w:r>
        <w:rPr>
          <w:rFonts w:ascii="Arial" w:hAnsi="Arial" w:cs="Arial"/>
          <w:sz w:val="24"/>
          <w:szCs w:val="24"/>
        </w:rPr>
        <w:t xml:space="preserve"> </w:t>
      </w:r>
      <w:r w:rsidR="00E50E3E">
        <w:rPr>
          <w:rFonts w:ascii="Arial" w:hAnsi="Arial" w:cs="Arial"/>
          <w:sz w:val="24"/>
          <w:szCs w:val="24"/>
        </w:rPr>
        <w:t xml:space="preserve">of </w:t>
      </w:r>
      <w:r>
        <w:rPr>
          <w:rFonts w:ascii="Arial" w:hAnsi="Arial" w:cs="Arial"/>
          <w:sz w:val="24"/>
          <w:szCs w:val="24"/>
        </w:rPr>
        <w:t xml:space="preserve">1994 (the Act) </w:t>
      </w:r>
      <w:r w:rsidR="000A0532">
        <w:rPr>
          <w:rFonts w:ascii="Arial" w:hAnsi="Arial" w:cs="Arial"/>
          <w:sz w:val="24"/>
          <w:szCs w:val="24"/>
        </w:rPr>
        <w:t>to be deregistered as</w:t>
      </w:r>
      <w:r>
        <w:rPr>
          <w:rFonts w:ascii="Arial" w:hAnsi="Arial" w:cs="Arial"/>
          <w:sz w:val="24"/>
          <w:szCs w:val="24"/>
        </w:rPr>
        <w:t xml:space="preserve"> an employer as defined </w:t>
      </w:r>
      <w:r w:rsidR="00C6005A">
        <w:rPr>
          <w:rFonts w:ascii="Arial" w:hAnsi="Arial" w:cs="Arial"/>
          <w:sz w:val="24"/>
          <w:szCs w:val="24"/>
        </w:rPr>
        <w:t>in</w:t>
      </w:r>
      <w:r>
        <w:rPr>
          <w:rFonts w:ascii="Arial" w:hAnsi="Arial" w:cs="Arial"/>
          <w:sz w:val="24"/>
          <w:szCs w:val="24"/>
        </w:rPr>
        <w:t xml:space="preserve"> the Act</w:t>
      </w:r>
      <w:r w:rsidR="00D159C8">
        <w:rPr>
          <w:rFonts w:ascii="Arial" w:hAnsi="Arial" w:cs="Arial"/>
          <w:sz w:val="24"/>
          <w:szCs w:val="24"/>
        </w:rPr>
        <w:t xml:space="preserve"> because it contended that m</w:t>
      </w:r>
      <w:r>
        <w:rPr>
          <w:rFonts w:ascii="Arial" w:hAnsi="Arial" w:cs="Arial"/>
          <w:sz w:val="24"/>
          <w:szCs w:val="24"/>
        </w:rPr>
        <w:t xml:space="preserve">embers of </w:t>
      </w:r>
      <w:r w:rsidR="00C6005A">
        <w:rPr>
          <w:rFonts w:ascii="Arial" w:hAnsi="Arial" w:cs="Arial"/>
          <w:sz w:val="24"/>
          <w:szCs w:val="24"/>
        </w:rPr>
        <w:t>the World</w:t>
      </w:r>
      <w:r w:rsidR="00E50E3E">
        <w:rPr>
          <w:rFonts w:ascii="Arial" w:hAnsi="Arial" w:cs="Arial"/>
          <w:sz w:val="24"/>
          <w:szCs w:val="24"/>
        </w:rPr>
        <w:t>wide</w:t>
      </w:r>
      <w:r w:rsidR="00C6005A">
        <w:rPr>
          <w:rFonts w:ascii="Arial" w:hAnsi="Arial" w:cs="Arial"/>
          <w:sz w:val="24"/>
          <w:szCs w:val="24"/>
        </w:rPr>
        <w:t xml:space="preserve"> O</w:t>
      </w:r>
      <w:r>
        <w:rPr>
          <w:rFonts w:ascii="Arial" w:hAnsi="Arial" w:cs="Arial"/>
          <w:sz w:val="24"/>
          <w:szCs w:val="24"/>
        </w:rPr>
        <w:t>rder</w:t>
      </w:r>
      <w:r w:rsidR="00D159C8">
        <w:rPr>
          <w:rFonts w:ascii="Arial" w:hAnsi="Arial" w:cs="Arial"/>
          <w:sz w:val="24"/>
          <w:szCs w:val="24"/>
        </w:rPr>
        <w:t xml:space="preserve"> were not employees for the purpose of the Act</w:t>
      </w:r>
      <w:r>
        <w:rPr>
          <w:rFonts w:ascii="Arial" w:hAnsi="Arial" w:cs="Arial"/>
          <w:sz w:val="24"/>
          <w:szCs w:val="24"/>
        </w:rPr>
        <w:t>.</w:t>
      </w:r>
    </w:p>
    <w:p w:rsidR="007E42FC" w:rsidRDefault="007E42FC" w:rsidP="007E42FC">
      <w:pPr>
        <w:pStyle w:val="ListParagraph"/>
        <w:rPr>
          <w:rFonts w:ascii="Arial" w:hAnsi="Arial" w:cs="Arial"/>
          <w:sz w:val="24"/>
          <w:szCs w:val="24"/>
        </w:rPr>
      </w:pPr>
    </w:p>
    <w:p w:rsidR="007E42FC" w:rsidRDefault="007E42FC" w:rsidP="00CD04E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Commission conducted an investigation and </w:t>
      </w:r>
      <w:r w:rsidR="00E50E3E">
        <w:rPr>
          <w:rFonts w:ascii="Arial" w:hAnsi="Arial" w:cs="Arial"/>
          <w:sz w:val="24"/>
          <w:szCs w:val="24"/>
        </w:rPr>
        <w:t xml:space="preserve">on 1 March 2016 </w:t>
      </w:r>
      <w:r w:rsidR="008C5CBC">
        <w:rPr>
          <w:rFonts w:ascii="Arial" w:hAnsi="Arial" w:cs="Arial"/>
          <w:sz w:val="24"/>
          <w:szCs w:val="24"/>
        </w:rPr>
        <w:t>determined</w:t>
      </w:r>
      <w:r>
        <w:rPr>
          <w:rFonts w:ascii="Arial" w:hAnsi="Arial" w:cs="Arial"/>
          <w:sz w:val="24"/>
          <w:szCs w:val="24"/>
        </w:rPr>
        <w:t xml:space="preserve"> that the definitions of employer and employee in the Act read with </w:t>
      </w:r>
      <w:r w:rsidR="003F316F">
        <w:rPr>
          <w:rFonts w:ascii="Arial" w:hAnsi="Arial" w:cs="Arial"/>
          <w:sz w:val="24"/>
          <w:szCs w:val="24"/>
        </w:rPr>
        <w:t xml:space="preserve">            </w:t>
      </w:r>
      <w:r>
        <w:rPr>
          <w:rFonts w:ascii="Arial" w:hAnsi="Arial" w:cs="Arial"/>
          <w:sz w:val="24"/>
          <w:szCs w:val="24"/>
        </w:rPr>
        <w:t>s 128A of the Labour Act, 7 of 2011 (the Labour Act)</w:t>
      </w:r>
      <w:r w:rsidR="000A0532">
        <w:rPr>
          <w:rFonts w:ascii="Arial" w:hAnsi="Arial" w:cs="Arial"/>
          <w:sz w:val="24"/>
          <w:szCs w:val="24"/>
        </w:rPr>
        <w:t xml:space="preserve"> applied to the appellant and members of the </w:t>
      </w:r>
      <w:r w:rsidR="003F316F">
        <w:rPr>
          <w:rFonts w:ascii="Arial" w:hAnsi="Arial" w:cs="Arial"/>
          <w:sz w:val="24"/>
          <w:szCs w:val="24"/>
        </w:rPr>
        <w:t>O</w:t>
      </w:r>
      <w:r w:rsidR="000A0532">
        <w:rPr>
          <w:rFonts w:ascii="Arial" w:hAnsi="Arial" w:cs="Arial"/>
          <w:sz w:val="24"/>
          <w:szCs w:val="24"/>
        </w:rPr>
        <w:t>rder</w:t>
      </w:r>
      <w:r>
        <w:rPr>
          <w:rFonts w:ascii="Arial" w:hAnsi="Arial" w:cs="Arial"/>
          <w:sz w:val="24"/>
          <w:szCs w:val="24"/>
        </w:rPr>
        <w:t xml:space="preserve"> </w:t>
      </w:r>
      <w:r w:rsidR="00761B18">
        <w:rPr>
          <w:rFonts w:ascii="Arial" w:hAnsi="Arial" w:cs="Arial"/>
          <w:sz w:val="24"/>
          <w:szCs w:val="24"/>
        </w:rPr>
        <w:t>and declined to deregister</w:t>
      </w:r>
      <w:r>
        <w:rPr>
          <w:rFonts w:ascii="Arial" w:hAnsi="Arial" w:cs="Arial"/>
          <w:sz w:val="24"/>
          <w:szCs w:val="24"/>
        </w:rPr>
        <w:t xml:space="preserve"> the appellant </w:t>
      </w:r>
      <w:r w:rsidR="00761B18">
        <w:rPr>
          <w:rFonts w:ascii="Arial" w:hAnsi="Arial" w:cs="Arial"/>
          <w:sz w:val="24"/>
          <w:szCs w:val="24"/>
        </w:rPr>
        <w:t xml:space="preserve">as </w:t>
      </w:r>
      <w:r w:rsidR="000A0532">
        <w:rPr>
          <w:rFonts w:ascii="Arial" w:hAnsi="Arial" w:cs="Arial"/>
          <w:sz w:val="24"/>
          <w:szCs w:val="24"/>
        </w:rPr>
        <w:t xml:space="preserve">an </w:t>
      </w:r>
      <w:r>
        <w:rPr>
          <w:rFonts w:ascii="Arial" w:hAnsi="Arial" w:cs="Arial"/>
          <w:sz w:val="24"/>
          <w:szCs w:val="24"/>
        </w:rPr>
        <w:t>employer.</w:t>
      </w:r>
    </w:p>
    <w:p w:rsidR="009D4739" w:rsidRDefault="009D4739" w:rsidP="009D4739">
      <w:pPr>
        <w:pStyle w:val="ListParagraph"/>
        <w:rPr>
          <w:rFonts w:ascii="Arial" w:hAnsi="Arial" w:cs="Arial"/>
          <w:sz w:val="24"/>
          <w:szCs w:val="24"/>
        </w:rPr>
      </w:pPr>
    </w:p>
    <w:p w:rsidR="009D4739" w:rsidRDefault="007E42FC" w:rsidP="00CD04E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 appealed against that decision to the Labour Court in terms of s 45 of the Act which provides:</w:t>
      </w:r>
    </w:p>
    <w:p w:rsidR="00D02CCB" w:rsidRDefault="00D02CCB" w:rsidP="00D02CCB">
      <w:pPr>
        <w:pStyle w:val="ListParagraph"/>
        <w:rPr>
          <w:rFonts w:ascii="Arial" w:hAnsi="Arial" w:cs="Arial"/>
          <w:sz w:val="24"/>
          <w:szCs w:val="24"/>
        </w:rPr>
      </w:pPr>
    </w:p>
    <w:p w:rsidR="00D655D2" w:rsidRPr="00D655D2" w:rsidRDefault="00D655D2" w:rsidP="00D655D2">
      <w:pPr>
        <w:spacing w:after="0" w:line="360" w:lineRule="auto"/>
        <w:ind w:left="720"/>
        <w:jc w:val="both"/>
        <w:rPr>
          <w:rFonts w:ascii="Arial" w:hAnsi="Arial" w:cs="Arial"/>
        </w:rPr>
      </w:pPr>
      <w:r w:rsidRPr="00D655D2">
        <w:rPr>
          <w:rFonts w:ascii="Arial" w:hAnsi="Arial" w:cs="Arial"/>
        </w:rPr>
        <w:t>‘45. (1) Any person aggrieved by any decision of the Commission taken in the performance of the Commission’s functions in terms of this Act may, within a period of 60 days from the date upon which he or she was notified of such decision, appeal by notice in the prescribed form against such decision to the Labour Court established by section 15(1</w:t>
      </w:r>
      <w:proofErr w:type="gramStart"/>
      <w:r w:rsidRPr="00D655D2">
        <w:rPr>
          <w:rFonts w:ascii="Arial" w:hAnsi="Arial" w:cs="Arial"/>
        </w:rPr>
        <w:t>)(</w:t>
      </w:r>
      <w:proofErr w:type="gramEnd"/>
      <w:r w:rsidRPr="00D655D2">
        <w:rPr>
          <w:rFonts w:ascii="Arial" w:hAnsi="Arial" w:cs="Arial"/>
        </w:rPr>
        <w:t>a) of the Labour Act.</w:t>
      </w:r>
    </w:p>
    <w:p w:rsidR="00D655D2" w:rsidRPr="00D655D2" w:rsidRDefault="00D655D2" w:rsidP="00D655D2">
      <w:pPr>
        <w:spacing w:after="0" w:line="360" w:lineRule="auto"/>
        <w:jc w:val="both"/>
        <w:rPr>
          <w:rFonts w:ascii="Arial" w:hAnsi="Arial" w:cs="Arial"/>
        </w:rPr>
      </w:pPr>
    </w:p>
    <w:p w:rsidR="00D655D2" w:rsidRPr="00D655D2" w:rsidRDefault="00D655D2" w:rsidP="00D655D2">
      <w:pPr>
        <w:spacing w:after="0" w:line="360" w:lineRule="auto"/>
        <w:ind w:left="720"/>
        <w:jc w:val="both"/>
        <w:rPr>
          <w:rFonts w:ascii="Arial" w:hAnsi="Arial" w:cs="Arial"/>
        </w:rPr>
      </w:pPr>
      <w:r w:rsidRPr="00D655D2">
        <w:rPr>
          <w:rFonts w:ascii="Arial" w:hAnsi="Arial" w:cs="Arial"/>
        </w:rPr>
        <w:lastRenderedPageBreak/>
        <w:t>(2) The Labour Court may, on good cause shown, allow an appeal to be noted in terms of subsection (1) notwithstanding the expiry of the said period of 60 days.</w:t>
      </w:r>
    </w:p>
    <w:p w:rsidR="00D655D2" w:rsidRPr="00D655D2" w:rsidRDefault="00D655D2" w:rsidP="00D655D2">
      <w:pPr>
        <w:spacing w:after="0" w:line="360" w:lineRule="auto"/>
        <w:jc w:val="both"/>
        <w:rPr>
          <w:rFonts w:ascii="Arial" w:hAnsi="Arial" w:cs="Arial"/>
        </w:rPr>
      </w:pPr>
    </w:p>
    <w:p w:rsidR="00D655D2" w:rsidRDefault="00D655D2" w:rsidP="00D655D2">
      <w:pPr>
        <w:spacing w:after="0" w:line="360" w:lineRule="auto"/>
        <w:ind w:left="720"/>
        <w:jc w:val="both"/>
        <w:rPr>
          <w:rFonts w:ascii="Arial" w:hAnsi="Arial" w:cs="Arial"/>
          <w:sz w:val="24"/>
          <w:szCs w:val="24"/>
        </w:rPr>
      </w:pPr>
      <w:r w:rsidRPr="00D655D2">
        <w:rPr>
          <w:rFonts w:ascii="Arial" w:hAnsi="Arial" w:cs="Arial"/>
        </w:rPr>
        <w:t>(3) An appeal to the Labour Court in terms of this section shall be subject to the provisions of the Labour Act and its regulations and such appeal shall, for the purposes of that Act, be deemed to be an appeal from a district labour court established by section 15(1)(b) of that Act.’</w:t>
      </w:r>
    </w:p>
    <w:p w:rsidR="00D02CCB" w:rsidRPr="00F3281F" w:rsidRDefault="00D02CCB" w:rsidP="00D02CCB">
      <w:pPr>
        <w:pStyle w:val="NoSpacing"/>
        <w:spacing w:line="480" w:lineRule="auto"/>
        <w:ind w:left="720"/>
        <w:jc w:val="both"/>
        <w:rPr>
          <w:rFonts w:ascii="Arial" w:hAnsi="Arial" w:cs="Arial"/>
          <w:b/>
          <w:sz w:val="24"/>
          <w:szCs w:val="24"/>
        </w:rPr>
      </w:pPr>
    </w:p>
    <w:p w:rsidR="00374519" w:rsidRPr="007E42FC" w:rsidRDefault="00374519" w:rsidP="00374519">
      <w:pPr>
        <w:rPr>
          <w:rFonts w:ascii="Arial" w:hAnsi="Arial" w:cs="Arial"/>
          <w:sz w:val="24"/>
          <w:szCs w:val="24"/>
          <w:u w:val="single"/>
        </w:rPr>
      </w:pPr>
      <w:r>
        <w:rPr>
          <w:rFonts w:ascii="Arial" w:hAnsi="Arial" w:cs="Arial"/>
          <w:sz w:val="24"/>
          <w:szCs w:val="24"/>
          <w:u w:val="single"/>
        </w:rPr>
        <w:t>The appeal to the Labour Court</w:t>
      </w:r>
    </w:p>
    <w:p w:rsidR="00374519" w:rsidRDefault="00374519" w:rsidP="0037451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appellant’s notice of appeal was stated to be against ‘the whole of the decision’ of the Commission dated 1 March 2016 in which the appellant’s application for deregistration as an employer was declined. The appellant however sought the following order on appeal:</w:t>
      </w:r>
    </w:p>
    <w:p w:rsidR="00374519" w:rsidRDefault="00374519" w:rsidP="00374519">
      <w:pPr>
        <w:pStyle w:val="ListParagraph"/>
        <w:rPr>
          <w:rFonts w:ascii="Arial" w:hAnsi="Arial" w:cs="Arial"/>
          <w:sz w:val="24"/>
          <w:szCs w:val="24"/>
        </w:rPr>
      </w:pPr>
    </w:p>
    <w:p w:rsidR="00374519" w:rsidRPr="00831D86" w:rsidRDefault="00374519" w:rsidP="00374519">
      <w:pPr>
        <w:pStyle w:val="NoSpacing"/>
        <w:tabs>
          <w:tab w:val="left" w:pos="1418"/>
        </w:tabs>
        <w:spacing w:line="360" w:lineRule="auto"/>
        <w:ind w:left="1418" w:hanging="698"/>
        <w:jc w:val="both"/>
        <w:rPr>
          <w:rFonts w:ascii="Arial" w:hAnsi="Arial" w:cs="Arial"/>
        </w:rPr>
      </w:pPr>
      <w:r w:rsidRPr="00831D86">
        <w:rPr>
          <w:rFonts w:ascii="Arial" w:hAnsi="Arial" w:cs="Arial"/>
        </w:rPr>
        <w:t>‘1.1</w:t>
      </w:r>
      <w:r w:rsidRPr="00831D86">
        <w:rPr>
          <w:rFonts w:ascii="Arial" w:hAnsi="Arial" w:cs="Arial"/>
        </w:rPr>
        <w:tab/>
      </w:r>
      <w:proofErr w:type="gramStart"/>
      <w:r w:rsidRPr="00831D86">
        <w:rPr>
          <w:rFonts w:ascii="Arial" w:hAnsi="Arial" w:cs="Arial"/>
        </w:rPr>
        <w:t>the</w:t>
      </w:r>
      <w:proofErr w:type="gramEnd"/>
      <w:r w:rsidRPr="00831D86">
        <w:rPr>
          <w:rFonts w:ascii="Arial" w:hAnsi="Arial" w:cs="Arial"/>
        </w:rPr>
        <w:t xml:space="preserve"> appellant is not an employer in terms of the Social Security Act, 1994;</w:t>
      </w:r>
    </w:p>
    <w:p w:rsidR="00374519" w:rsidRPr="00831D86" w:rsidRDefault="00374519" w:rsidP="00374519">
      <w:pPr>
        <w:pStyle w:val="NoSpacing"/>
        <w:spacing w:line="360" w:lineRule="auto"/>
        <w:ind w:left="1418" w:hanging="698"/>
        <w:jc w:val="both"/>
        <w:rPr>
          <w:rFonts w:ascii="Arial" w:hAnsi="Arial" w:cs="Arial"/>
        </w:rPr>
      </w:pPr>
      <w:r w:rsidRPr="00831D86">
        <w:rPr>
          <w:rFonts w:ascii="Arial" w:hAnsi="Arial" w:cs="Arial"/>
        </w:rPr>
        <w:t>1.2</w:t>
      </w:r>
      <w:r w:rsidRPr="00831D86">
        <w:rPr>
          <w:rFonts w:ascii="Arial" w:hAnsi="Arial" w:cs="Arial"/>
        </w:rPr>
        <w:tab/>
      </w:r>
      <w:proofErr w:type="gramStart"/>
      <w:r w:rsidRPr="00831D86">
        <w:rPr>
          <w:rFonts w:ascii="Arial" w:hAnsi="Arial" w:cs="Arial"/>
        </w:rPr>
        <w:t>the</w:t>
      </w:r>
      <w:proofErr w:type="gramEnd"/>
      <w:r w:rsidRPr="00831D86">
        <w:rPr>
          <w:rFonts w:ascii="Arial" w:hAnsi="Arial" w:cs="Arial"/>
        </w:rPr>
        <w:t xml:space="preserve"> Social Security Commission decision (hereinafter called the SSC decision) dated 1 March 2016 may be set aside;</w:t>
      </w:r>
    </w:p>
    <w:p w:rsidR="00374519" w:rsidRPr="00831D86" w:rsidRDefault="00374519" w:rsidP="00374519">
      <w:pPr>
        <w:pStyle w:val="NoSpacing"/>
        <w:spacing w:line="360" w:lineRule="auto"/>
        <w:ind w:left="1418" w:hanging="698"/>
        <w:jc w:val="both"/>
        <w:rPr>
          <w:rFonts w:ascii="Arial" w:hAnsi="Arial" w:cs="Arial"/>
        </w:rPr>
      </w:pPr>
      <w:r w:rsidRPr="00831D86">
        <w:rPr>
          <w:rFonts w:ascii="Arial" w:hAnsi="Arial" w:cs="Arial"/>
        </w:rPr>
        <w:t>1.3</w:t>
      </w:r>
      <w:r w:rsidRPr="00831D86">
        <w:rPr>
          <w:rFonts w:ascii="Arial" w:hAnsi="Arial" w:cs="Arial"/>
        </w:rPr>
        <w:tab/>
      </w:r>
      <w:proofErr w:type="gramStart"/>
      <w:r w:rsidRPr="00831D86">
        <w:rPr>
          <w:rFonts w:ascii="Arial" w:hAnsi="Arial" w:cs="Arial"/>
        </w:rPr>
        <w:t>the</w:t>
      </w:r>
      <w:proofErr w:type="gramEnd"/>
      <w:r w:rsidRPr="00831D86">
        <w:rPr>
          <w:rFonts w:ascii="Arial" w:hAnsi="Arial" w:cs="Arial"/>
        </w:rPr>
        <w:t xml:space="preserve"> Respondent may be ordered to de-register the Appellant as an employer; and</w:t>
      </w:r>
    </w:p>
    <w:p w:rsidR="00374519" w:rsidRPr="00831D86" w:rsidRDefault="00374519" w:rsidP="00374519">
      <w:pPr>
        <w:pStyle w:val="NoSpacing"/>
        <w:spacing w:line="360" w:lineRule="auto"/>
        <w:ind w:left="1418" w:hanging="698"/>
        <w:jc w:val="both"/>
        <w:rPr>
          <w:rFonts w:ascii="Arial" w:hAnsi="Arial" w:cs="Arial"/>
        </w:rPr>
      </w:pPr>
      <w:r w:rsidRPr="00831D86">
        <w:rPr>
          <w:rFonts w:ascii="Arial" w:hAnsi="Arial" w:cs="Arial"/>
        </w:rPr>
        <w:t>1.4</w:t>
      </w:r>
      <w:r w:rsidRPr="00831D86">
        <w:rPr>
          <w:rFonts w:ascii="Arial" w:hAnsi="Arial" w:cs="Arial"/>
        </w:rPr>
        <w:tab/>
      </w:r>
      <w:proofErr w:type="gramStart"/>
      <w:r w:rsidRPr="00831D86">
        <w:rPr>
          <w:rFonts w:ascii="Arial" w:hAnsi="Arial" w:cs="Arial"/>
        </w:rPr>
        <w:t>the</w:t>
      </w:r>
      <w:proofErr w:type="gramEnd"/>
      <w:r w:rsidRPr="00831D86">
        <w:rPr>
          <w:rFonts w:ascii="Arial" w:hAnsi="Arial" w:cs="Arial"/>
        </w:rPr>
        <w:t xml:space="preserve"> Respondent may be ordered to de-register the members of the Worldwide Order of Special Full-Time Servants of Jehovah’s Witnesses performing religious duties for the Appellant.’</w:t>
      </w:r>
    </w:p>
    <w:p w:rsidR="00374519" w:rsidRDefault="00374519" w:rsidP="00374519">
      <w:pPr>
        <w:pStyle w:val="ListParagraph"/>
        <w:rPr>
          <w:rFonts w:ascii="Arial" w:hAnsi="Arial" w:cs="Arial"/>
          <w:sz w:val="24"/>
          <w:szCs w:val="24"/>
        </w:rPr>
      </w:pPr>
    </w:p>
    <w:p w:rsidR="00374519" w:rsidRDefault="00374519" w:rsidP="0037451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Attached to the notice of appeal is an affidavit by the appellant’s chairperson attaching affidavits, documents and correspondence. Certain affidavits </w:t>
      </w:r>
      <w:r w:rsidR="00D159C8">
        <w:rPr>
          <w:rFonts w:ascii="Arial" w:hAnsi="Arial" w:cs="Arial"/>
          <w:sz w:val="24"/>
          <w:szCs w:val="24"/>
        </w:rPr>
        <w:t xml:space="preserve">and </w:t>
      </w:r>
      <w:r>
        <w:rPr>
          <w:rFonts w:ascii="Arial" w:hAnsi="Arial" w:cs="Arial"/>
          <w:sz w:val="24"/>
          <w:szCs w:val="24"/>
        </w:rPr>
        <w:t>documents and some of the factual matter contained in the affidavit did not serve before the Commission and should not have served before the Labour Court in the appeal</w:t>
      </w:r>
      <w:r w:rsidR="00D159C8">
        <w:rPr>
          <w:rFonts w:ascii="Arial" w:hAnsi="Arial" w:cs="Arial"/>
          <w:sz w:val="24"/>
          <w:szCs w:val="24"/>
        </w:rPr>
        <w:t>,</w:t>
      </w:r>
      <w:r>
        <w:rPr>
          <w:rFonts w:ascii="Arial" w:hAnsi="Arial" w:cs="Arial"/>
          <w:sz w:val="24"/>
          <w:szCs w:val="24"/>
        </w:rPr>
        <w:t xml:space="preserve"> including 66 affidavits from members of the </w:t>
      </w:r>
      <w:r w:rsidR="001949C8">
        <w:rPr>
          <w:rFonts w:ascii="Arial" w:hAnsi="Arial" w:cs="Arial"/>
          <w:sz w:val="24"/>
          <w:szCs w:val="24"/>
        </w:rPr>
        <w:t>O</w:t>
      </w:r>
      <w:r>
        <w:rPr>
          <w:rFonts w:ascii="Arial" w:hAnsi="Arial" w:cs="Arial"/>
          <w:sz w:val="24"/>
          <w:szCs w:val="24"/>
        </w:rPr>
        <w:t xml:space="preserve">rder consenting to the order sought and waiving the right to be joined. </w:t>
      </w:r>
    </w:p>
    <w:p w:rsidR="00374519" w:rsidRDefault="00374519" w:rsidP="00374519">
      <w:pPr>
        <w:pStyle w:val="ListParagraph"/>
        <w:rPr>
          <w:rFonts w:ascii="Arial" w:hAnsi="Arial" w:cs="Arial"/>
          <w:sz w:val="24"/>
          <w:szCs w:val="24"/>
        </w:rPr>
      </w:pPr>
    </w:p>
    <w:p w:rsidR="002C770B" w:rsidRDefault="00374519" w:rsidP="002C770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Commission opposed the appeal and </w:t>
      </w:r>
      <w:r w:rsidR="00D159C8">
        <w:rPr>
          <w:rFonts w:ascii="Arial" w:hAnsi="Arial" w:cs="Arial"/>
          <w:sz w:val="24"/>
          <w:szCs w:val="24"/>
        </w:rPr>
        <w:t>set out</w:t>
      </w:r>
      <w:r>
        <w:rPr>
          <w:rFonts w:ascii="Arial" w:hAnsi="Arial" w:cs="Arial"/>
          <w:sz w:val="24"/>
          <w:szCs w:val="24"/>
        </w:rPr>
        <w:t xml:space="preserve"> its grounds of opposition. The point was taken that the appeal was accompanied by material which did not serv</w:t>
      </w:r>
      <w:r w:rsidR="00D159C8">
        <w:rPr>
          <w:rFonts w:ascii="Arial" w:hAnsi="Arial" w:cs="Arial"/>
          <w:sz w:val="24"/>
          <w:szCs w:val="24"/>
        </w:rPr>
        <w:t>e before the Commission and it wa</w:t>
      </w:r>
      <w:r>
        <w:rPr>
          <w:rFonts w:ascii="Arial" w:hAnsi="Arial" w:cs="Arial"/>
          <w:sz w:val="24"/>
          <w:szCs w:val="24"/>
        </w:rPr>
        <w:t xml:space="preserve">s also contended that the decision to decline to deregister the appellant was correct. </w:t>
      </w:r>
      <w:r w:rsidR="000A0532">
        <w:rPr>
          <w:rFonts w:ascii="Arial" w:hAnsi="Arial" w:cs="Arial"/>
          <w:sz w:val="24"/>
          <w:szCs w:val="24"/>
        </w:rPr>
        <w:t xml:space="preserve">Attached to the notice of opposition was the record of the decision. </w:t>
      </w:r>
      <w:r>
        <w:rPr>
          <w:rFonts w:ascii="Arial" w:hAnsi="Arial" w:cs="Arial"/>
          <w:sz w:val="24"/>
          <w:szCs w:val="24"/>
        </w:rPr>
        <w:t xml:space="preserve">That record comprised an investigation by the Commissioner’s Chief Compliance and Risk Officer which included interviews with five members of the Order, correspondence exchanged between the appellant and the Commission and documents provided to the Commission such as the vow of obedience and poverty made by members of the </w:t>
      </w:r>
      <w:r w:rsidR="001949C8">
        <w:rPr>
          <w:rFonts w:ascii="Arial" w:hAnsi="Arial" w:cs="Arial"/>
          <w:sz w:val="24"/>
          <w:szCs w:val="24"/>
        </w:rPr>
        <w:t>O</w:t>
      </w:r>
      <w:r>
        <w:rPr>
          <w:rFonts w:ascii="Arial" w:hAnsi="Arial" w:cs="Arial"/>
          <w:sz w:val="24"/>
          <w:szCs w:val="24"/>
        </w:rPr>
        <w:t>rder. In deciding th</w:t>
      </w:r>
      <w:r w:rsidR="00923212">
        <w:rPr>
          <w:rFonts w:ascii="Arial" w:hAnsi="Arial" w:cs="Arial"/>
          <w:sz w:val="24"/>
          <w:szCs w:val="24"/>
        </w:rPr>
        <w:t>e</w:t>
      </w:r>
      <w:r>
        <w:rPr>
          <w:rFonts w:ascii="Arial" w:hAnsi="Arial" w:cs="Arial"/>
          <w:sz w:val="24"/>
          <w:szCs w:val="24"/>
        </w:rPr>
        <w:t xml:space="preserve"> appeal</w:t>
      </w:r>
      <w:r w:rsidR="00923212">
        <w:rPr>
          <w:rFonts w:ascii="Arial" w:hAnsi="Arial" w:cs="Arial"/>
          <w:sz w:val="24"/>
          <w:szCs w:val="24"/>
        </w:rPr>
        <w:t xml:space="preserve"> before it</w:t>
      </w:r>
      <w:r>
        <w:rPr>
          <w:rFonts w:ascii="Arial" w:hAnsi="Arial" w:cs="Arial"/>
          <w:sz w:val="24"/>
          <w:szCs w:val="24"/>
        </w:rPr>
        <w:t>,</w:t>
      </w:r>
      <w:r w:rsidR="00354397">
        <w:rPr>
          <w:rFonts w:ascii="Arial" w:hAnsi="Arial" w:cs="Arial"/>
          <w:sz w:val="24"/>
          <w:szCs w:val="24"/>
        </w:rPr>
        <w:t xml:space="preserve"> th</w:t>
      </w:r>
      <w:r w:rsidR="00923212">
        <w:rPr>
          <w:rFonts w:ascii="Arial" w:hAnsi="Arial" w:cs="Arial"/>
          <w:sz w:val="24"/>
          <w:szCs w:val="24"/>
        </w:rPr>
        <w:t>e Labour</w:t>
      </w:r>
      <w:r>
        <w:rPr>
          <w:rFonts w:ascii="Arial" w:hAnsi="Arial" w:cs="Arial"/>
          <w:sz w:val="24"/>
          <w:szCs w:val="24"/>
        </w:rPr>
        <w:t xml:space="preserve"> </w:t>
      </w:r>
      <w:r w:rsidR="00D86BF7">
        <w:rPr>
          <w:rFonts w:ascii="Arial" w:hAnsi="Arial" w:cs="Arial"/>
          <w:sz w:val="24"/>
          <w:szCs w:val="24"/>
        </w:rPr>
        <w:t xml:space="preserve">Court </w:t>
      </w:r>
      <w:r>
        <w:rPr>
          <w:rFonts w:ascii="Arial" w:hAnsi="Arial" w:cs="Arial"/>
          <w:sz w:val="24"/>
          <w:szCs w:val="24"/>
        </w:rPr>
        <w:t>is to decide whether the ruling or decision is right or wrong according to the facts which served before the Commission.</w:t>
      </w:r>
      <w:r w:rsidR="000A0532">
        <w:rPr>
          <w:rFonts w:ascii="Arial" w:hAnsi="Arial" w:cs="Arial"/>
          <w:sz w:val="24"/>
          <w:szCs w:val="24"/>
        </w:rPr>
        <w:t xml:space="preserve"> </w:t>
      </w:r>
      <w:r w:rsidR="00923212">
        <w:rPr>
          <w:rFonts w:ascii="Arial" w:hAnsi="Arial" w:cs="Arial"/>
          <w:sz w:val="24"/>
          <w:szCs w:val="24"/>
        </w:rPr>
        <w:t xml:space="preserve">This court is in turn to determine the correctness or otherwise of the Labour Court’s decision. </w:t>
      </w:r>
      <w:r w:rsidR="000A0532">
        <w:rPr>
          <w:rFonts w:ascii="Arial" w:hAnsi="Arial" w:cs="Arial"/>
          <w:sz w:val="24"/>
          <w:szCs w:val="24"/>
        </w:rPr>
        <w:t>An appeal is after all confined to the matter which served before the decision making body.</w:t>
      </w:r>
    </w:p>
    <w:p w:rsidR="002C770B" w:rsidRDefault="002C770B" w:rsidP="002C770B">
      <w:pPr>
        <w:pStyle w:val="NoSpacing"/>
        <w:spacing w:line="480" w:lineRule="auto"/>
        <w:jc w:val="both"/>
        <w:rPr>
          <w:rFonts w:ascii="Arial" w:hAnsi="Arial" w:cs="Arial"/>
          <w:sz w:val="24"/>
          <w:szCs w:val="24"/>
        </w:rPr>
      </w:pPr>
    </w:p>
    <w:p w:rsidR="002C770B" w:rsidRPr="00243A65" w:rsidRDefault="002C770B" w:rsidP="002C770B">
      <w:pPr>
        <w:rPr>
          <w:rFonts w:ascii="Arial" w:hAnsi="Arial" w:cs="Arial"/>
          <w:sz w:val="24"/>
          <w:szCs w:val="24"/>
          <w:u w:val="single"/>
        </w:rPr>
      </w:pPr>
      <w:r>
        <w:rPr>
          <w:rFonts w:ascii="Arial" w:hAnsi="Arial" w:cs="Arial"/>
          <w:sz w:val="24"/>
          <w:szCs w:val="24"/>
          <w:u w:val="single"/>
        </w:rPr>
        <w:t>Ambit of the appeal under s 45</w:t>
      </w:r>
    </w:p>
    <w:p w:rsidR="002C770B" w:rsidRDefault="000A0532"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 xml:space="preserve">The remedy contained in s 45 of the Act invoked by the appellant is an appeal against the </w:t>
      </w:r>
      <w:r w:rsidR="002C770B">
        <w:rPr>
          <w:rFonts w:ascii="Arial" w:hAnsi="Arial" w:cs="Arial"/>
          <w:sz w:val="24"/>
          <w:szCs w:val="24"/>
        </w:rPr>
        <w:t xml:space="preserve">Commission’s </w:t>
      </w:r>
      <w:r w:rsidRPr="002C770B">
        <w:rPr>
          <w:rFonts w:ascii="Arial" w:hAnsi="Arial" w:cs="Arial"/>
          <w:sz w:val="24"/>
          <w:szCs w:val="24"/>
        </w:rPr>
        <w:t>decision. It is well established that an appeal is confined to the record of the decision including reasons given for it in determining whether the Commission came to a wrong conclusion on the facts or upon the law. The appellant does not seek to attack the method of the determination in which case a review would have been the appropriate course. Even though procedural matters may conceivably be raised in a statutory appeal of the k</w:t>
      </w:r>
      <w:r w:rsidR="002C770B">
        <w:rPr>
          <w:rFonts w:ascii="Arial" w:hAnsi="Arial" w:cs="Arial"/>
          <w:sz w:val="24"/>
          <w:szCs w:val="24"/>
        </w:rPr>
        <w:t xml:space="preserve">ind contemplated in s 45, </w:t>
      </w:r>
      <w:r w:rsidRPr="002C770B">
        <w:rPr>
          <w:rFonts w:ascii="Arial" w:hAnsi="Arial" w:cs="Arial"/>
          <w:sz w:val="24"/>
          <w:szCs w:val="24"/>
        </w:rPr>
        <w:t xml:space="preserve">it is not necessary for present purposes to determine whether </w:t>
      </w:r>
      <w:r w:rsidR="002C770B">
        <w:rPr>
          <w:rFonts w:ascii="Arial" w:hAnsi="Arial" w:cs="Arial"/>
          <w:sz w:val="24"/>
          <w:szCs w:val="24"/>
        </w:rPr>
        <w:t xml:space="preserve">and </w:t>
      </w:r>
      <w:r w:rsidRPr="002C770B">
        <w:rPr>
          <w:rFonts w:ascii="Arial" w:hAnsi="Arial" w:cs="Arial"/>
          <w:sz w:val="24"/>
          <w:szCs w:val="24"/>
        </w:rPr>
        <w:t xml:space="preserve">the extent to which the method of proceedings can be raised in an appeal of this kind as the appellant does not raise procedural matters. </w:t>
      </w:r>
      <w:r w:rsidR="00D159C8">
        <w:rPr>
          <w:rFonts w:ascii="Arial" w:hAnsi="Arial" w:cs="Arial"/>
          <w:sz w:val="24"/>
          <w:szCs w:val="24"/>
        </w:rPr>
        <w:t xml:space="preserve">As to the </w:t>
      </w:r>
      <w:r w:rsidR="00E50E3E">
        <w:rPr>
          <w:rFonts w:ascii="Arial" w:hAnsi="Arial" w:cs="Arial"/>
          <w:sz w:val="24"/>
          <w:szCs w:val="24"/>
        </w:rPr>
        <w:t>factual matter</w:t>
      </w:r>
      <w:r w:rsidRPr="002C770B">
        <w:rPr>
          <w:rFonts w:ascii="Arial" w:hAnsi="Arial" w:cs="Arial"/>
          <w:sz w:val="24"/>
          <w:szCs w:val="24"/>
        </w:rPr>
        <w:t xml:space="preserve"> raised</w:t>
      </w:r>
      <w:r w:rsidR="00D159C8">
        <w:rPr>
          <w:rFonts w:ascii="Arial" w:hAnsi="Arial" w:cs="Arial"/>
          <w:sz w:val="24"/>
          <w:szCs w:val="24"/>
        </w:rPr>
        <w:t xml:space="preserve"> in the affidavit filed </w:t>
      </w:r>
      <w:r w:rsidR="00D159C8">
        <w:rPr>
          <w:rFonts w:ascii="Arial" w:hAnsi="Arial" w:cs="Arial"/>
          <w:sz w:val="24"/>
          <w:szCs w:val="24"/>
        </w:rPr>
        <w:lastRenderedPageBreak/>
        <w:t xml:space="preserve">in support of the appeal which did not serve </w:t>
      </w:r>
      <w:r w:rsidR="001949C8">
        <w:rPr>
          <w:rFonts w:ascii="Arial" w:hAnsi="Arial" w:cs="Arial"/>
          <w:sz w:val="24"/>
          <w:szCs w:val="24"/>
        </w:rPr>
        <w:t xml:space="preserve">before </w:t>
      </w:r>
      <w:r w:rsidR="00D159C8">
        <w:rPr>
          <w:rFonts w:ascii="Arial" w:hAnsi="Arial" w:cs="Arial"/>
          <w:sz w:val="24"/>
          <w:szCs w:val="24"/>
        </w:rPr>
        <w:t xml:space="preserve">the Commission, this is not </w:t>
      </w:r>
      <w:r w:rsidRPr="002C770B">
        <w:rPr>
          <w:rFonts w:ascii="Arial" w:hAnsi="Arial" w:cs="Arial"/>
          <w:sz w:val="24"/>
          <w:szCs w:val="24"/>
        </w:rPr>
        <w:t xml:space="preserve">an instance where a party is not satisfied with the completeness of the record and intends to correct that upon notice to the Commission. Nor is it a case where further material is provided by agreement or </w:t>
      </w:r>
      <w:r w:rsidR="002C770B">
        <w:rPr>
          <w:rFonts w:ascii="Arial" w:hAnsi="Arial" w:cs="Arial"/>
          <w:sz w:val="24"/>
          <w:szCs w:val="24"/>
        </w:rPr>
        <w:t>is said to have arisen</w:t>
      </w:r>
      <w:r w:rsidRPr="002C770B">
        <w:rPr>
          <w:rFonts w:ascii="Arial" w:hAnsi="Arial" w:cs="Arial"/>
          <w:sz w:val="24"/>
          <w:szCs w:val="24"/>
        </w:rPr>
        <w:t xml:space="preserve"> after the decision was taken. The Commission expressly objected to</w:t>
      </w:r>
      <w:r w:rsidR="002C770B">
        <w:rPr>
          <w:rFonts w:ascii="Arial" w:hAnsi="Arial" w:cs="Arial"/>
          <w:sz w:val="24"/>
          <w:szCs w:val="24"/>
        </w:rPr>
        <w:t xml:space="preserve"> the </w:t>
      </w:r>
      <w:r w:rsidRPr="002C770B">
        <w:rPr>
          <w:rFonts w:ascii="Arial" w:hAnsi="Arial" w:cs="Arial"/>
          <w:sz w:val="24"/>
          <w:szCs w:val="24"/>
        </w:rPr>
        <w:t xml:space="preserve">further material being placed before the Labour Court and understandably so, because it had not served before it. It is accordingly not open to the appellant to seek a range of relief in the appeal which had not been sought or raised before the Commission </w:t>
      </w:r>
      <w:r w:rsidR="00D159C8">
        <w:rPr>
          <w:rFonts w:ascii="Arial" w:hAnsi="Arial" w:cs="Arial"/>
          <w:sz w:val="24"/>
          <w:szCs w:val="24"/>
        </w:rPr>
        <w:t>or rely upon</w:t>
      </w:r>
      <w:r w:rsidR="002C770B">
        <w:rPr>
          <w:rFonts w:ascii="Arial" w:hAnsi="Arial" w:cs="Arial"/>
          <w:sz w:val="24"/>
          <w:szCs w:val="24"/>
        </w:rPr>
        <w:t xml:space="preserve"> facts not put</w:t>
      </w:r>
      <w:r w:rsidRPr="002C770B">
        <w:rPr>
          <w:rFonts w:ascii="Arial" w:hAnsi="Arial" w:cs="Arial"/>
          <w:sz w:val="24"/>
          <w:szCs w:val="24"/>
        </w:rPr>
        <w:t xml:space="preserve"> before it.</w:t>
      </w:r>
    </w:p>
    <w:p w:rsidR="002C770B" w:rsidRDefault="002C770B" w:rsidP="002C770B">
      <w:pPr>
        <w:pStyle w:val="NoSpacing"/>
        <w:spacing w:line="480" w:lineRule="auto"/>
        <w:jc w:val="both"/>
        <w:rPr>
          <w:rFonts w:ascii="Arial" w:hAnsi="Arial" w:cs="Arial"/>
          <w:sz w:val="24"/>
          <w:szCs w:val="24"/>
        </w:rPr>
      </w:pPr>
    </w:p>
    <w:p w:rsidR="002C770B" w:rsidRPr="00761B18" w:rsidRDefault="002C770B" w:rsidP="002C770B">
      <w:pPr>
        <w:pStyle w:val="NoSpacing"/>
        <w:spacing w:line="480" w:lineRule="auto"/>
        <w:jc w:val="both"/>
        <w:rPr>
          <w:rFonts w:ascii="Arial" w:hAnsi="Arial" w:cs="Arial"/>
          <w:sz w:val="24"/>
          <w:szCs w:val="24"/>
          <w:u w:val="single"/>
        </w:rPr>
      </w:pPr>
      <w:r>
        <w:rPr>
          <w:rFonts w:ascii="Arial" w:hAnsi="Arial" w:cs="Arial"/>
          <w:sz w:val="24"/>
          <w:szCs w:val="24"/>
          <w:u w:val="single"/>
        </w:rPr>
        <w:t>The record of decision making</w:t>
      </w:r>
    </w:p>
    <w:p w:rsidR="00C9781C" w:rsidRDefault="00D02CCB" w:rsidP="00C9781C">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 xml:space="preserve">The appellant </w:t>
      </w:r>
      <w:r w:rsidR="00C6005A" w:rsidRPr="002C770B">
        <w:rPr>
          <w:rFonts w:ascii="Arial" w:hAnsi="Arial" w:cs="Arial"/>
          <w:sz w:val="24"/>
          <w:szCs w:val="24"/>
        </w:rPr>
        <w:t xml:space="preserve">first </w:t>
      </w:r>
      <w:r w:rsidRPr="002C770B">
        <w:rPr>
          <w:rFonts w:ascii="Arial" w:hAnsi="Arial" w:cs="Arial"/>
          <w:sz w:val="24"/>
          <w:szCs w:val="24"/>
        </w:rPr>
        <w:t xml:space="preserve">approached </w:t>
      </w:r>
      <w:r w:rsidR="00C6005A" w:rsidRPr="002C770B">
        <w:rPr>
          <w:rFonts w:ascii="Arial" w:hAnsi="Arial" w:cs="Arial"/>
          <w:sz w:val="24"/>
          <w:szCs w:val="24"/>
        </w:rPr>
        <w:t xml:space="preserve">the Commission </w:t>
      </w:r>
      <w:r w:rsidRPr="002C770B">
        <w:rPr>
          <w:rFonts w:ascii="Arial" w:hAnsi="Arial" w:cs="Arial"/>
          <w:sz w:val="24"/>
          <w:szCs w:val="24"/>
        </w:rPr>
        <w:t>in 2012</w:t>
      </w:r>
      <w:r w:rsidR="00761B18" w:rsidRPr="002C770B">
        <w:rPr>
          <w:rFonts w:ascii="Arial" w:hAnsi="Arial" w:cs="Arial"/>
          <w:sz w:val="24"/>
          <w:szCs w:val="24"/>
        </w:rPr>
        <w:t>,</w:t>
      </w:r>
      <w:r w:rsidRPr="002C770B">
        <w:rPr>
          <w:rFonts w:ascii="Arial" w:hAnsi="Arial" w:cs="Arial"/>
          <w:sz w:val="24"/>
          <w:szCs w:val="24"/>
        </w:rPr>
        <w:t xml:space="preserve"> according to the record of the decision appealed against,</w:t>
      </w:r>
      <w:r w:rsidR="001F1F0A" w:rsidRPr="002C770B">
        <w:rPr>
          <w:rFonts w:ascii="Arial" w:hAnsi="Arial" w:cs="Arial"/>
          <w:sz w:val="24"/>
          <w:szCs w:val="24"/>
        </w:rPr>
        <w:t xml:space="preserve"> expressing the view that it was not an employer for the purpose of the Act. This approach</w:t>
      </w:r>
      <w:r w:rsidR="00C6005A" w:rsidRPr="002C770B">
        <w:rPr>
          <w:rFonts w:ascii="Arial" w:hAnsi="Arial" w:cs="Arial"/>
          <w:sz w:val="24"/>
          <w:szCs w:val="24"/>
        </w:rPr>
        <w:t xml:space="preserve"> had</w:t>
      </w:r>
      <w:r w:rsidR="001F1F0A" w:rsidRPr="002C770B">
        <w:rPr>
          <w:rFonts w:ascii="Arial" w:hAnsi="Arial" w:cs="Arial"/>
          <w:sz w:val="24"/>
          <w:szCs w:val="24"/>
        </w:rPr>
        <w:t xml:space="preserve"> followed a similar approach made</w:t>
      </w:r>
      <w:r w:rsidR="00C6005A" w:rsidRPr="002C770B">
        <w:rPr>
          <w:rFonts w:ascii="Arial" w:hAnsi="Arial" w:cs="Arial"/>
          <w:sz w:val="24"/>
          <w:szCs w:val="24"/>
        </w:rPr>
        <w:t xml:space="preserve"> to</w:t>
      </w:r>
      <w:r w:rsidR="001F1F0A" w:rsidRPr="002C770B">
        <w:rPr>
          <w:rFonts w:ascii="Arial" w:hAnsi="Arial" w:cs="Arial"/>
          <w:sz w:val="24"/>
          <w:szCs w:val="24"/>
        </w:rPr>
        <w:t xml:space="preserve"> the Employment Equity Commissioner (EEC) in October 2009 in respect of the Affirmative Action Act, 29 of 1998 (the ‘AA Act’). At that stage</w:t>
      </w:r>
      <w:r w:rsidR="00C6005A" w:rsidRPr="002C770B">
        <w:rPr>
          <w:rFonts w:ascii="Arial" w:hAnsi="Arial" w:cs="Arial"/>
          <w:sz w:val="24"/>
          <w:szCs w:val="24"/>
        </w:rPr>
        <w:t xml:space="preserve"> one of the criteria for</w:t>
      </w:r>
      <w:r w:rsidR="001F1F0A" w:rsidRPr="002C770B">
        <w:rPr>
          <w:rFonts w:ascii="Arial" w:hAnsi="Arial" w:cs="Arial"/>
          <w:sz w:val="24"/>
          <w:szCs w:val="24"/>
        </w:rPr>
        <w:t xml:space="preserve"> </w:t>
      </w:r>
      <w:r w:rsidR="00761B18" w:rsidRPr="002C770B">
        <w:rPr>
          <w:rFonts w:ascii="Arial" w:hAnsi="Arial" w:cs="Arial"/>
          <w:sz w:val="24"/>
          <w:szCs w:val="24"/>
        </w:rPr>
        <w:t>‘</w:t>
      </w:r>
      <w:r w:rsidR="001F1F0A" w:rsidRPr="002C770B">
        <w:rPr>
          <w:rFonts w:ascii="Arial" w:hAnsi="Arial" w:cs="Arial"/>
          <w:sz w:val="24"/>
          <w:szCs w:val="24"/>
        </w:rPr>
        <w:t>relevant employers</w:t>
      </w:r>
      <w:r w:rsidR="00761B18" w:rsidRPr="002C770B">
        <w:rPr>
          <w:rFonts w:ascii="Arial" w:hAnsi="Arial" w:cs="Arial"/>
          <w:sz w:val="24"/>
          <w:szCs w:val="24"/>
        </w:rPr>
        <w:t>’</w:t>
      </w:r>
      <w:r w:rsidR="001F1F0A" w:rsidRPr="002C770B">
        <w:rPr>
          <w:rFonts w:ascii="Arial" w:hAnsi="Arial" w:cs="Arial"/>
          <w:sz w:val="24"/>
          <w:szCs w:val="24"/>
        </w:rPr>
        <w:t xml:space="preserve"> for the purpose of that Act </w:t>
      </w:r>
      <w:r w:rsidR="00C6005A" w:rsidRPr="002C770B">
        <w:rPr>
          <w:rFonts w:ascii="Arial" w:hAnsi="Arial" w:cs="Arial"/>
          <w:sz w:val="24"/>
          <w:szCs w:val="24"/>
        </w:rPr>
        <w:t>was t</w:t>
      </w:r>
      <w:r w:rsidR="001801DB" w:rsidRPr="002C770B">
        <w:rPr>
          <w:rFonts w:ascii="Arial" w:hAnsi="Arial" w:cs="Arial"/>
          <w:sz w:val="24"/>
          <w:szCs w:val="24"/>
        </w:rPr>
        <w:t>he</w:t>
      </w:r>
      <w:r w:rsidR="001F1F0A" w:rsidRPr="002C770B">
        <w:rPr>
          <w:rFonts w:ascii="Arial" w:hAnsi="Arial" w:cs="Arial"/>
          <w:sz w:val="24"/>
          <w:szCs w:val="24"/>
        </w:rPr>
        <w:t xml:space="preserve"> employ</w:t>
      </w:r>
      <w:r w:rsidR="001801DB" w:rsidRPr="002C770B">
        <w:rPr>
          <w:rFonts w:ascii="Arial" w:hAnsi="Arial" w:cs="Arial"/>
          <w:sz w:val="24"/>
          <w:szCs w:val="24"/>
        </w:rPr>
        <w:t>ment of</w:t>
      </w:r>
      <w:r w:rsidR="001F1F0A" w:rsidRPr="002C770B">
        <w:rPr>
          <w:rFonts w:ascii="Arial" w:hAnsi="Arial" w:cs="Arial"/>
          <w:sz w:val="24"/>
          <w:szCs w:val="24"/>
        </w:rPr>
        <w:t xml:space="preserve"> 25 </w:t>
      </w:r>
      <w:r w:rsidR="001801DB" w:rsidRPr="002C770B">
        <w:rPr>
          <w:rFonts w:ascii="Arial" w:hAnsi="Arial" w:cs="Arial"/>
          <w:sz w:val="24"/>
          <w:szCs w:val="24"/>
        </w:rPr>
        <w:t xml:space="preserve">or more employees. </w:t>
      </w:r>
      <w:r w:rsidR="00D159C8">
        <w:rPr>
          <w:rFonts w:ascii="Arial" w:hAnsi="Arial" w:cs="Arial"/>
          <w:sz w:val="24"/>
          <w:szCs w:val="24"/>
        </w:rPr>
        <w:t>T</w:t>
      </w:r>
      <w:r w:rsidR="001801DB" w:rsidRPr="002C770B">
        <w:rPr>
          <w:rFonts w:ascii="Arial" w:hAnsi="Arial" w:cs="Arial"/>
          <w:sz w:val="24"/>
          <w:szCs w:val="24"/>
        </w:rPr>
        <w:t xml:space="preserve">he appellant’s translators were </w:t>
      </w:r>
      <w:r w:rsidR="00D159C8">
        <w:rPr>
          <w:rFonts w:ascii="Arial" w:hAnsi="Arial" w:cs="Arial"/>
          <w:sz w:val="24"/>
          <w:szCs w:val="24"/>
        </w:rPr>
        <w:t xml:space="preserve">then </w:t>
      </w:r>
      <w:r w:rsidR="001801DB" w:rsidRPr="002C770B">
        <w:rPr>
          <w:rFonts w:ascii="Arial" w:hAnsi="Arial" w:cs="Arial"/>
          <w:sz w:val="24"/>
          <w:szCs w:val="24"/>
        </w:rPr>
        <w:t xml:space="preserve">stated to </w:t>
      </w:r>
      <w:r w:rsidR="001972B6" w:rsidRPr="002C770B">
        <w:rPr>
          <w:rFonts w:ascii="Arial" w:hAnsi="Arial" w:cs="Arial"/>
          <w:sz w:val="24"/>
          <w:szCs w:val="24"/>
        </w:rPr>
        <w:t>number 27</w:t>
      </w:r>
      <w:r w:rsidR="00761B18" w:rsidRPr="002C770B">
        <w:rPr>
          <w:rFonts w:ascii="Arial" w:hAnsi="Arial" w:cs="Arial"/>
          <w:sz w:val="24"/>
          <w:szCs w:val="24"/>
        </w:rPr>
        <w:t xml:space="preserve"> and </w:t>
      </w:r>
      <w:r w:rsidR="00D159C8">
        <w:rPr>
          <w:rFonts w:ascii="Arial" w:hAnsi="Arial" w:cs="Arial"/>
          <w:sz w:val="24"/>
          <w:szCs w:val="24"/>
        </w:rPr>
        <w:t>the appellant</w:t>
      </w:r>
      <w:r w:rsidR="002C770B" w:rsidRPr="002C770B">
        <w:rPr>
          <w:rFonts w:ascii="Arial" w:hAnsi="Arial" w:cs="Arial"/>
          <w:sz w:val="24"/>
          <w:szCs w:val="24"/>
        </w:rPr>
        <w:t xml:space="preserve"> </w:t>
      </w:r>
      <w:r w:rsidR="00761B18" w:rsidRPr="002C770B">
        <w:rPr>
          <w:rFonts w:ascii="Arial" w:hAnsi="Arial" w:cs="Arial"/>
          <w:sz w:val="24"/>
          <w:szCs w:val="24"/>
        </w:rPr>
        <w:t>sought a ruling that it was not a relevant employer for the purposes of th</w:t>
      </w:r>
      <w:r w:rsidR="002C770B" w:rsidRPr="002C770B">
        <w:rPr>
          <w:rFonts w:ascii="Arial" w:hAnsi="Arial" w:cs="Arial"/>
          <w:sz w:val="24"/>
          <w:szCs w:val="24"/>
        </w:rPr>
        <w:t>at</w:t>
      </w:r>
      <w:r w:rsidR="00761B18" w:rsidRPr="002C770B">
        <w:rPr>
          <w:rFonts w:ascii="Arial" w:hAnsi="Arial" w:cs="Arial"/>
          <w:sz w:val="24"/>
          <w:szCs w:val="24"/>
        </w:rPr>
        <w:t xml:space="preserve"> Act</w:t>
      </w:r>
      <w:r w:rsidR="001972B6" w:rsidRPr="002C770B">
        <w:rPr>
          <w:rFonts w:ascii="Arial" w:hAnsi="Arial" w:cs="Arial"/>
          <w:sz w:val="24"/>
          <w:szCs w:val="24"/>
        </w:rPr>
        <w:t>. The EEC, after taking advice from the Attorney General</w:t>
      </w:r>
      <w:r w:rsidR="00FA77AE" w:rsidRPr="002C770B">
        <w:rPr>
          <w:rFonts w:ascii="Arial" w:hAnsi="Arial" w:cs="Arial"/>
          <w:sz w:val="24"/>
          <w:szCs w:val="24"/>
        </w:rPr>
        <w:t>,</w:t>
      </w:r>
      <w:r w:rsidR="001972B6" w:rsidRPr="002C770B">
        <w:rPr>
          <w:rFonts w:ascii="Arial" w:hAnsi="Arial" w:cs="Arial"/>
          <w:sz w:val="24"/>
          <w:szCs w:val="24"/>
        </w:rPr>
        <w:t xml:space="preserve"> on 31 January 2014 decided that the AA Act did not apply to the Jehovah’s Witnesses and that the appellant was not a relevant </w:t>
      </w:r>
      <w:r w:rsidR="00712F43" w:rsidRPr="002C770B">
        <w:rPr>
          <w:rFonts w:ascii="Arial" w:hAnsi="Arial" w:cs="Arial"/>
          <w:sz w:val="24"/>
          <w:szCs w:val="24"/>
        </w:rPr>
        <w:t xml:space="preserve">employer for the purpose of that Act. </w:t>
      </w:r>
    </w:p>
    <w:p w:rsidR="00C9781C" w:rsidRDefault="00C9781C" w:rsidP="00C9781C">
      <w:pPr>
        <w:pStyle w:val="NoSpacing"/>
        <w:spacing w:line="480" w:lineRule="auto"/>
        <w:jc w:val="both"/>
        <w:rPr>
          <w:rFonts w:ascii="Arial" w:hAnsi="Arial" w:cs="Arial"/>
          <w:sz w:val="24"/>
          <w:szCs w:val="24"/>
        </w:rPr>
      </w:pPr>
    </w:p>
    <w:p w:rsidR="00D159C8" w:rsidRDefault="00712F43" w:rsidP="00C9781C">
      <w:pPr>
        <w:pStyle w:val="NoSpacing"/>
        <w:numPr>
          <w:ilvl w:val="0"/>
          <w:numId w:val="4"/>
        </w:numPr>
        <w:spacing w:line="480" w:lineRule="auto"/>
        <w:ind w:left="0" w:firstLine="0"/>
        <w:jc w:val="both"/>
        <w:rPr>
          <w:rFonts w:ascii="Arial" w:hAnsi="Arial" w:cs="Arial"/>
          <w:sz w:val="24"/>
          <w:szCs w:val="24"/>
        </w:rPr>
      </w:pPr>
      <w:r w:rsidRPr="00C9781C">
        <w:rPr>
          <w:rFonts w:ascii="Arial" w:hAnsi="Arial" w:cs="Arial"/>
          <w:sz w:val="24"/>
          <w:szCs w:val="24"/>
        </w:rPr>
        <w:t xml:space="preserve">The appellant by way of a letter dated 20 May 2014 approached the Commission to </w:t>
      </w:r>
      <w:r w:rsidR="00D159C8">
        <w:rPr>
          <w:rFonts w:ascii="Arial" w:hAnsi="Arial" w:cs="Arial"/>
          <w:sz w:val="24"/>
          <w:szCs w:val="24"/>
        </w:rPr>
        <w:t>be deregistered</w:t>
      </w:r>
      <w:r w:rsidRPr="00C9781C">
        <w:rPr>
          <w:rFonts w:ascii="Arial" w:hAnsi="Arial" w:cs="Arial"/>
          <w:sz w:val="24"/>
          <w:szCs w:val="24"/>
        </w:rPr>
        <w:t xml:space="preserve"> as an employer under the Act. In support of this application for deregistration, the correspondence to and </w:t>
      </w:r>
      <w:r w:rsidR="001801DB" w:rsidRPr="00C9781C">
        <w:rPr>
          <w:rFonts w:ascii="Arial" w:hAnsi="Arial" w:cs="Arial"/>
          <w:sz w:val="24"/>
          <w:szCs w:val="24"/>
        </w:rPr>
        <w:t xml:space="preserve">the </w:t>
      </w:r>
      <w:r w:rsidRPr="00C9781C">
        <w:rPr>
          <w:rFonts w:ascii="Arial" w:hAnsi="Arial" w:cs="Arial"/>
          <w:sz w:val="24"/>
          <w:szCs w:val="24"/>
        </w:rPr>
        <w:t xml:space="preserve">ruling of </w:t>
      </w:r>
      <w:r w:rsidR="00042839" w:rsidRPr="00C9781C">
        <w:rPr>
          <w:rFonts w:ascii="Arial" w:hAnsi="Arial" w:cs="Arial"/>
          <w:sz w:val="24"/>
          <w:szCs w:val="24"/>
        </w:rPr>
        <w:t xml:space="preserve">the EEC were </w:t>
      </w:r>
      <w:r w:rsidR="00007D90" w:rsidRPr="00C9781C">
        <w:rPr>
          <w:rFonts w:ascii="Arial" w:hAnsi="Arial" w:cs="Arial"/>
          <w:sz w:val="24"/>
          <w:szCs w:val="24"/>
        </w:rPr>
        <w:lastRenderedPageBreak/>
        <w:t>attached</w:t>
      </w:r>
      <w:r w:rsidR="00CA2574" w:rsidRPr="00C9781C">
        <w:rPr>
          <w:rFonts w:ascii="Arial" w:hAnsi="Arial" w:cs="Arial"/>
          <w:sz w:val="24"/>
          <w:szCs w:val="24"/>
        </w:rPr>
        <w:t xml:space="preserve"> together with the contention that the definitions of employee and employer for the purpose of the AA Act and the Act were virtually identical and that deregistration under the Act should follow. In the attached correspondence to the EEC, it was explained that full time members of the </w:t>
      </w:r>
      <w:r w:rsidR="003F316F">
        <w:rPr>
          <w:rFonts w:ascii="Arial" w:hAnsi="Arial" w:cs="Arial"/>
          <w:sz w:val="24"/>
          <w:szCs w:val="24"/>
        </w:rPr>
        <w:t>O</w:t>
      </w:r>
      <w:r w:rsidR="00CA2574" w:rsidRPr="00C9781C">
        <w:rPr>
          <w:rFonts w:ascii="Arial" w:hAnsi="Arial" w:cs="Arial"/>
          <w:sz w:val="24"/>
          <w:szCs w:val="24"/>
        </w:rPr>
        <w:t xml:space="preserve">rder must complete a course in bible studies and its teachings, dedicate their lives to their religion by way of a vow and then serve the religion full time in a variety of capacities. </w:t>
      </w:r>
      <w:r w:rsidR="00C9781C" w:rsidRPr="00C9781C">
        <w:rPr>
          <w:rFonts w:ascii="Arial" w:hAnsi="Arial" w:cs="Arial"/>
          <w:sz w:val="24"/>
          <w:szCs w:val="24"/>
        </w:rPr>
        <w:t xml:space="preserve">In terms of the vow, a member agrees to serve the </w:t>
      </w:r>
      <w:r w:rsidR="003F316F">
        <w:rPr>
          <w:rFonts w:ascii="Arial" w:hAnsi="Arial" w:cs="Arial"/>
          <w:sz w:val="24"/>
          <w:szCs w:val="24"/>
        </w:rPr>
        <w:t>O</w:t>
      </w:r>
      <w:r w:rsidR="00C9781C" w:rsidRPr="00C9781C">
        <w:rPr>
          <w:rFonts w:ascii="Arial" w:hAnsi="Arial" w:cs="Arial"/>
          <w:sz w:val="24"/>
          <w:szCs w:val="24"/>
        </w:rPr>
        <w:t xml:space="preserve">rder without any expectation of remuneration or other financial reward from the </w:t>
      </w:r>
      <w:r w:rsidR="003F316F">
        <w:rPr>
          <w:rFonts w:ascii="Arial" w:hAnsi="Arial" w:cs="Arial"/>
          <w:sz w:val="24"/>
          <w:szCs w:val="24"/>
        </w:rPr>
        <w:t>O</w:t>
      </w:r>
      <w:r w:rsidR="00C9781C" w:rsidRPr="00C9781C">
        <w:rPr>
          <w:rFonts w:ascii="Arial" w:hAnsi="Arial" w:cs="Arial"/>
          <w:sz w:val="24"/>
          <w:szCs w:val="24"/>
        </w:rPr>
        <w:t xml:space="preserve">rder. Members of the </w:t>
      </w:r>
      <w:r w:rsidR="003F316F">
        <w:rPr>
          <w:rFonts w:ascii="Arial" w:hAnsi="Arial" w:cs="Arial"/>
          <w:sz w:val="24"/>
          <w:szCs w:val="24"/>
        </w:rPr>
        <w:t>O</w:t>
      </w:r>
      <w:r w:rsidR="00C9781C" w:rsidRPr="00C9781C">
        <w:rPr>
          <w:rFonts w:ascii="Arial" w:hAnsi="Arial" w:cs="Arial"/>
          <w:sz w:val="24"/>
          <w:szCs w:val="24"/>
        </w:rPr>
        <w:t xml:space="preserve">rder live in a monastery like community and receive a modest allowance of N$940, as well as full board and medical care so that they can forego secular employment and attend to their religious duties on a full time basis. The allowance is paid regardless </w:t>
      </w:r>
      <w:r w:rsidR="00004782">
        <w:rPr>
          <w:rFonts w:ascii="Arial" w:hAnsi="Arial" w:cs="Arial"/>
          <w:sz w:val="24"/>
          <w:szCs w:val="24"/>
        </w:rPr>
        <w:t>of</w:t>
      </w:r>
      <w:r w:rsidR="00C9781C" w:rsidRPr="00C9781C">
        <w:rPr>
          <w:rFonts w:ascii="Arial" w:hAnsi="Arial" w:cs="Arial"/>
          <w:sz w:val="24"/>
          <w:szCs w:val="24"/>
        </w:rPr>
        <w:t xml:space="preserve"> the task assigned and also regardless as to whether they are unable to do so because of sickness or disability. The allowance is also not related to the performance of a service or the nature of assignments.</w:t>
      </w:r>
      <w:r w:rsidR="00C9781C">
        <w:rPr>
          <w:rFonts w:ascii="Arial" w:hAnsi="Arial" w:cs="Arial"/>
          <w:sz w:val="24"/>
          <w:szCs w:val="24"/>
        </w:rPr>
        <w:t xml:space="preserve"> </w:t>
      </w:r>
    </w:p>
    <w:p w:rsidR="00D159C8" w:rsidRDefault="00D159C8" w:rsidP="00D159C8">
      <w:pPr>
        <w:pStyle w:val="NoSpacing"/>
        <w:spacing w:line="480" w:lineRule="auto"/>
        <w:jc w:val="both"/>
        <w:rPr>
          <w:rFonts w:ascii="Arial" w:hAnsi="Arial" w:cs="Arial"/>
          <w:sz w:val="24"/>
          <w:szCs w:val="24"/>
        </w:rPr>
      </w:pPr>
    </w:p>
    <w:p w:rsidR="002C770B" w:rsidRPr="00C9781C" w:rsidRDefault="00CA2574" w:rsidP="00C9781C">
      <w:pPr>
        <w:pStyle w:val="NoSpacing"/>
        <w:numPr>
          <w:ilvl w:val="0"/>
          <w:numId w:val="4"/>
        </w:numPr>
        <w:spacing w:line="480" w:lineRule="auto"/>
        <w:ind w:left="0" w:firstLine="0"/>
        <w:jc w:val="both"/>
        <w:rPr>
          <w:rFonts w:ascii="Arial" w:hAnsi="Arial" w:cs="Arial"/>
          <w:sz w:val="24"/>
          <w:szCs w:val="24"/>
        </w:rPr>
      </w:pPr>
      <w:r w:rsidRPr="00C9781C">
        <w:rPr>
          <w:rFonts w:ascii="Arial" w:hAnsi="Arial" w:cs="Arial"/>
          <w:sz w:val="24"/>
          <w:szCs w:val="24"/>
        </w:rPr>
        <w:t xml:space="preserve">The 2009 letter to the EEC referred to 27 ‘special religious ministers’ at its translation office and </w:t>
      </w:r>
      <w:r w:rsidR="001801DB" w:rsidRPr="00C9781C">
        <w:rPr>
          <w:rFonts w:ascii="Arial" w:hAnsi="Arial" w:cs="Arial"/>
          <w:sz w:val="24"/>
          <w:szCs w:val="24"/>
        </w:rPr>
        <w:t xml:space="preserve">elsewhere to </w:t>
      </w:r>
      <w:r w:rsidRPr="00C9781C">
        <w:rPr>
          <w:rFonts w:ascii="Arial" w:hAnsi="Arial" w:cs="Arial"/>
          <w:sz w:val="24"/>
          <w:szCs w:val="24"/>
        </w:rPr>
        <w:t xml:space="preserve">19 special ministers preaching full time. It is further stated in that letter that neither the appellant nor the religious ministers of the </w:t>
      </w:r>
      <w:r w:rsidR="006370EE">
        <w:rPr>
          <w:rFonts w:ascii="Arial" w:hAnsi="Arial" w:cs="Arial"/>
          <w:sz w:val="24"/>
          <w:szCs w:val="24"/>
        </w:rPr>
        <w:t>O</w:t>
      </w:r>
      <w:r w:rsidRPr="00C9781C">
        <w:rPr>
          <w:rFonts w:ascii="Arial" w:hAnsi="Arial" w:cs="Arial"/>
          <w:sz w:val="24"/>
          <w:szCs w:val="24"/>
        </w:rPr>
        <w:t xml:space="preserve">rder regard their relationship as employment and that: </w:t>
      </w:r>
    </w:p>
    <w:p w:rsidR="009506E0" w:rsidRDefault="009506E0" w:rsidP="009506E0">
      <w:pPr>
        <w:pStyle w:val="NoSpacing"/>
        <w:spacing w:line="360" w:lineRule="auto"/>
        <w:ind w:left="720"/>
        <w:jc w:val="both"/>
        <w:rPr>
          <w:rFonts w:ascii="Arial" w:hAnsi="Arial" w:cs="Arial"/>
        </w:rPr>
      </w:pPr>
    </w:p>
    <w:p w:rsidR="00A053B3" w:rsidRPr="00A053B3" w:rsidRDefault="002C770B" w:rsidP="009506E0">
      <w:pPr>
        <w:pStyle w:val="NoSpacing"/>
        <w:spacing w:line="360" w:lineRule="auto"/>
        <w:ind w:left="720"/>
        <w:jc w:val="both"/>
        <w:rPr>
          <w:rFonts w:ascii="Arial" w:hAnsi="Arial" w:cs="Arial"/>
        </w:rPr>
      </w:pPr>
      <w:r w:rsidRPr="00A053B3">
        <w:rPr>
          <w:rFonts w:ascii="Arial" w:hAnsi="Arial" w:cs="Arial"/>
        </w:rPr>
        <w:t>‘</w:t>
      </w:r>
      <w:r w:rsidR="00A053B3" w:rsidRPr="00A053B3">
        <w:rPr>
          <w:rFonts w:ascii="Arial" w:hAnsi="Arial" w:cs="Arial"/>
        </w:rPr>
        <w:t xml:space="preserve">(A) </w:t>
      </w:r>
      <w:r w:rsidRPr="00A053B3">
        <w:rPr>
          <w:rFonts w:ascii="Arial" w:hAnsi="Arial" w:cs="Arial"/>
        </w:rPr>
        <w:t xml:space="preserve">member is at liberty to terminate his service at the translation office at any time. Preferably a person must give a month’s notice so that we can locate and train another translator but that is not a requirement’. </w:t>
      </w:r>
    </w:p>
    <w:p w:rsidR="00A053B3" w:rsidRDefault="00A053B3" w:rsidP="00A053B3">
      <w:pPr>
        <w:pStyle w:val="NoSpacing"/>
        <w:spacing w:line="480" w:lineRule="auto"/>
        <w:jc w:val="both"/>
        <w:rPr>
          <w:rFonts w:ascii="Arial" w:hAnsi="Arial" w:cs="Arial"/>
          <w:sz w:val="24"/>
          <w:szCs w:val="24"/>
        </w:rPr>
      </w:pPr>
    </w:p>
    <w:p w:rsidR="002C770B" w:rsidRDefault="009B443B"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The Commission responded on 16 June 2014 referring to s 128A of the Labour Act</w:t>
      </w:r>
      <w:r>
        <w:rPr>
          <w:rStyle w:val="FootnoteReference"/>
          <w:rFonts w:ascii="Arial" w:hAnsi="Arial" w:cs="Arial"/>
          <w:sz w:val="24"/>
          <w:szCs w:val="24"/>
        </w:rPr>
        <w:footnoteReference w:id="1"/>
      </w:r>
      <w:r w:rsidRPr="002C770B">
        <w:rPr>
          <w:rFonts w:ascii="Arial" w:hAnsi="Arial" w:cs="Arial"/>
          <w:sz w:val="24"/>
          <w:szCs w:val="24"/>
        </w:rPr>
        <w:t xml:space="preserve"> (introduced by Act 2 of 2012) – which was said to have come into </w:t>
      </w:r>
      <w:r w:rsidRPr="002C770B">
        <w:rPr>
          <w:rFonts w:ascii="Arial" w:hAnsi="Arial" w:cs="Arial"/>
          <w:sz w:val="24"/>
          <w:szCs w:val="24"/>
        </w:rPr>
        <w:lastRenderedPageBreak/>
        <w:t xml:space="preserve">operation after the EEC made its determination. </w:t>
      </w:r>
      <w:r w:rsidR="00B50A7C" w:rsidRPr="002C770B">
        <w:rPr>
          <w:rFonts w:ascii="Arial" w:hAnsi="Arial" w:cs="Arial"/>
          <w:sz w:val="24"/>
          <w:szCs w:val="24"/>
        </w:rPr>
        <w:t xml:space="preserve">The Commission’s </w:t>
      </w:r>
      <w:r w:rsidRPr="002C770B">
        <w:rPr>
          <w:rFonts w:ascii="Arial" w:hAnsi="Arial" w:cs="Arial"/>
          <w:sz w:val="24"/>
          <w:szCs w:val="24"/>
        </w:rPr>
        <w:t>position</w:t>
      </w:r>
      <w:r w:rsidR="001801DB" w:rsidRPr="002C770B">
        <w:rPr>
          <w:rFonts w:ascii="Arial" w:hAnsi="Arial" w:cs="Arial"/>
          <w:sz w:val="24"/>
          <w:szCs w:val="24"/>
        </w:rPr>
        <w:t xml:space="preserve"> was </w:t>
      </w:r>
      <w:r w:rsidR="00B50A7C" w:rsidRPr="002C770B">
        <w:rPr>
          <w:rFonts w:ascii="Arial" w:hAnsi="Arial" w:cs="Arial"/>
          <w:sz w:val="24"/>
          <w:szCs w:val="24"/>
        </w:rPr>
        <w:t xml:space="preserve">that the presence of two or more of the factors referred to in s 128A would mean that the category of persons </w:t>
      </w:r>
      <w:r w:rsidR="000D060C">
        <w:rPr>
          <w:rFonts w:ascii="Arial" w:hAnsi="Arial" w:cs="Arial"/>
          <w:sz w:val="24"/>
          <w:szCs w:val="24"/>
        </w:rPr>
        <w:t>‘</w:t>
      </w:r>
      <w:r w:rsidR="00B50A7C" w:rsidRPr="002C770B">
        <w:rPr>
          <w:rFonts w:ascii="Arial" w:hAnsi="Arial" w:cs="Arial"/>
          <w:sz w:val="24"/>
          <w:szCs w:val="24"/>
        </w:rPr>
        <w:t xml:space="preserve">are presumed to be employees (of the appellant) . . . and must therefore be registered’. </w:t>
      </w:r>
    </w:p>
    <w:p w:rsidR="002C770B" w:rsidRDefault="002C770B" w:rsidP="002C770B">
      <w:pPr>
        <w:pStyle w:val="ListParagraph"/>
        <w:rPr>
          <w:rFonts w:ascii="Arial" w:hAnsi="Arial" w:cs="Arial"/>
          <w:sz w:val="24"/>
          <w:szCs w:val="24"/>
        </w:rPr>
      </w:pPr>
    </w:p>
    <w:p w:rsidR="002C770B" w:rsidRDefault="00B50A7C"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The appellant again addressed the Commission in January 2015 re</w:t>
      </w:r>
      <w:r w:rsidR="00396D29" w:rsidRPr="002C770B">
        <w:rPr>
          <w:rFonts w:ascii="Arial" w:hAnsi="Arial" w:cs="Arial"/>
          <w:sz w:val="24"/>
          <w:szCs w:val="24"/>
        </w:rPr>
        <w:t>questing the further consideration of the issue</w:t>
      </w:r>
      <w:r w:rsidR="001801DB" w:rsidRPr="002C770B">
        <w:rPr>
          <w:rFonts w:ascii="Arial" w:hAnsi="Arial" w:cs="Arial"/>
          <w:sz w:val="24"/>
          <w:szCs w:val="24"/>
        </w:rPr>
        <w:t>,</w:t>
      </w:r>
      <w:r w:rsidR="00396D29" w:rsidRPr="002C770B">
        <w:rPr>
          <w:rFonts w:ascii="Arial" w:hAnsi="Arial" w:cs="Arial"/>
          <w:sz w:val="24"/>
          <w:szCs w:val="24"/>
        </w:rPr>
        <w:t xml:space="preserve"> arguing that the allowance of N$940 to members of the </w:t>
      </w:r>
      <w:r w:rsidR="003F316F">
        <w:rPr>
          <w:rFonts w:ascii="Arial" w:hAnsi="Arial" w:cs="Arial"/>
          <w:sz w:val="24"/>
          <w:szCs w:val="24"/>
        </w:rPr>
        <w:t>O</w:t>
      </w:r>
      <w:r w:rsidR="00396D29" w:rsidRPr="002C770B">
        <w:rPr>
          <w:rFonts w:ascii="Arial" w:hAnsi="Arial" w:cs="Arial"/>
          <w:sz w:val="24"/>
          <w:szCs w:val="24"/>
        </w:rPr>
        <w:t xml:space="preserve">rder did not constitute remuneration for the purpose of the Act. Following this request, the Commission’s Chief Compliance Officer visited the appellant’s premises on 19 October </w:t>
      </w:r>
      <w:r w:rsidR="001801DB" w:rsidRPr="002C770B">
        <w:rPr>
          <w:rFonts w:ascii="Arial" w:hAnsi="Arial" w:cs="Arial"/>
          <w:sz w:val="24"/>
          <w:szCs w:val="24"/>
        </w:rPr>
        <w:t xml:space="preserve">2015 </w:t>
      </w:r>
      <w:r w:rsidR="00396D29" w:rsidRPr="002C770B">
        <w:rPr>
          <w:rFonts w:ascii="Arial" w:hAnsi="Arial" w:cs="Arial"/>
          <w:sz w:val="24"/>
          <w:szCs w:val="24"/>
        </w:rPr>
        <w:t xml:space="preserve">and conducted interviews with members of the </w:t>
      </w:r>
      <w:r w:rsidR="003F316F">
        <w:rPr>
          <w:rFonts w:ascii="Arial" w:hAnsi="Arial" w:cs="Arial"/>
          <w:sz w:val="24"/>
          <w:szCs w:val="24"/>
        </w:rPr>
        <w:t>O</w:t>
      </w:r>
      <w:r w:rsidR="00396D29" w:rsidRPr="002C770B">
        <w:rPr>
          <w:rFonts w:ascii="Arial" w:hAnsi="Arial" w:cs="Arial"/>
          <w:sz w:val="24"/>
          <w:szCs w:val="24"/>
        </w:rPr>
        <w:t>rder and</w:t>
      </w:r>
      <w:r w:rsidR="001801DB" w:rsidRPr="002C770B">
        <w:rPr>
          <w:rFonts w:ascii="Arial" w:hAnsi="Arial" w:cs="Arial"/>
          <w:sz w:val="24"/>
          <w:szCs w:val="24"/>
        </w:rPr>
        <w:t xml:space="preserve"> in his report</w:t>
      </w:r>
      <w:r w:rsidR="00396D29" w:rsidRPr="002C770B">
        <w:rPr>
          <w:rFonts w:ascii="Arial" w:hAnsi="Arial" w:cs="Arial"/>
          <w:sz w:val="24"/>
          <w:szCs w:val="24"/>
        </w:rPr>
        <w:t xml:space="preserve"> set out in some detail the answers given to questions posed to them. The report included </w:t>
      </w:r>
      <w:r w:rsidR="001801DB" w:rsidRPr="002C770B">
        <w:rPr>
          <w:rFonts w:ascii="Arial" w:hAnsi="Arial" w:cs="Arial"/>
          <w:sz w:val="24"/>
          <w:szCs w:val="24"/>
        </w:rPr>
        <w:t xml:space="preserve">a </w:t>
      </w:r>
      <w:r w:rsidR="00396D29" w:rsidRPr="002C770B">
        <w:rPr>
          <w:rFonts w:ascii="Arial" w:hAnsi="Arial" w:cs="Arial"/>
          <w:sz w:val="24"/>
          <w:szCs w:val="24"/>
        </w:rPr>
        <w:t xml:space="preserve">reference to the vow made by members of the </w:t>
      </w:r>
      <w:r w:rsidR="003F316F">
        <w:rPr>
          <w:rFonts w:ascii="Arial" w:hAnsi="Arial" w:cs="Arial"/>
          <w:sz w:val="24"/>
          <w:szCs w:val="24"/>
        </w:rPr>
        <w:t>O</w:t>
      </w:r>
      <w:r w:rsidR="00396D29" w:rsidRPr="002C770B">
        <w:rPr>
          <w:rFonts w:ascii="Arial" w:hAnsi="Arial" w:cs="Arial"/>
          <w:sz w:val="24"/>
          <w:szCs w:val="24"/>
        </w:rPr>
        <w:t xml:space="preserve">rder </w:t>
      </w:r>
      <w:r w:rsidR="009B443B" w:rsidRPr="002C770B">
        <w:rPr>
          <w:rFonts w:ascii="Arial" w:hAnsi="Arial" w:cs="Arial"/>
          <w:sz w:val="24"/>
          <w:szCs w:val="24"/>
        </w:rPr>
        <w:t xml:space="preserve">which was </w:t>
      </w:r>
      <w:r w:rsidR="00396D29" w:rsidRPr="002C770B">
        <w:rPr>
          <w:rFonts w:ascii="Arial" w:hAnsi="Arial" w:cs="Arial"/>
          <w:sz w:val="24"/>
          <w:szCs w:val="24"/>
        </w:rPr>
        <w:t xml:space="preserve">attached to the record. The report referred to </w:t>
      </w:r>
      <w:proofErr w:type="spellStart"/>
      <w:r w:rsidR="00396D29" w:rsidRPr="002C770B">
        <w:rPr>
          <w:rFonts w:ascii="Arial" w:hAnsi="Arial" w:cs="Arial"/>
          <w:sz w:val="24"/>
          <w:szCs w:val="24"/>
        </w:rPr>
        <w:t>s</w:t>
      </w:r>
      <w:proofErr w:type="spellEnd"/>
      <w:r w:rsidR="00396D29" w:rsidRPr="002C770B">
        <w:rPr>
          <w:rFonts w:ascii="Arial" w:hAnsi="Arial" w:cs="Arial"/>
          <w:sz w:val="24"/>
          <w:szCs w:val="24"/>
        </w:rPr>
        <w:t xml:space="preserve"> 128A and found that more than two of the factors listed in s 128A were present ‘in terms of which an individual can be presumed to be an employee’ and then concluded that the appellant ‘is an employ</w:t>
      </w:r>
      <w:r w:rsidR="002C770B">
        <w:rPr>
          <w:rFonts w:ascii="Arial" w:hAnsi="Arial" w:cs="Arial"/>
          <w:sz w:val="24"/>
          <w:szCs w:val="24"/>
        </w:rPr>
        <w:t>er for the purpose of the Act.’</w:t>
      </w:r>
    </w:p>
    <w:p w:rsidR="002C770B" w:rsidRDefault="002C770B" w:rsidP="002C770B">
      <w:pPr>
        <w:pStyle w:val="ListParagraph"/>
        <w:rPr>
          <w:rFonts w:ascii="Arial" w:hAnsi="Arial" w:cs="Arial"/>
          <w:sz w:val="24"/>
          <w:szCs w:val="24"/>
        </w:rPr>
      </w:pPr>
    </w:p>
    <w:p w:rsidR="002C770B" w:rsidRDefault="00396D29"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The Commiss</w:t>
      </w:r>
      <w:r w:rsidR="001801DB" w:rsidRPr="002C770B">
        <w:rPr>
          <w:rFonts w:ascii="Arial" w:hAnsi="Arial" w:cs="Arial"/>
          <w:sz w:val="24"/>
          <w:szCs w:val="24"/>
        </w:rPr>
        <w:t>ion</w:t>
      </w:r>
      <w:r w:rsidR="009B443B" w:rsidRPr="002C770B">
        <w:rPr>
          <w:rFonts w:ascii="Arial" w:hAnsi="Arial" w:cs="Arial"/>
          <w:sz w:val="24"/>
          <w:szCs w:val="24"/>
        </w:rPr>
        <w:t xml:space="preserve"> embraced that conclusion and its </w:t>
      </w:r>
      <w:r w:rsidRPr="002C770B">
        <w:rPr>
          <w:rFonts w:ascii="Arial" w:hAnsi="Arial" w:cs="Arial"/>
          <w:sz w:val="24"/>
          <w:szCs w:val="24"/>
        </w:rPr>
        <w:t>ruling was embodied in its letter of 1 March 2016. It referred to the investigation which found two or more of the factors to be present and that the individuals are presumed to be employees. The response also stated that the Commission is not empowered to exe</w:t>
      </w:r>
      <w:r w:rsidR="001801DB" w:rsidRPr="002C770B">
        <w:rPr>
          <w:rFonts w:ascii="Arial" w:hAnsi="Arial" w:cs="Arial"/>
          <w:sz w:val="24"/>
          <w:szCs w:val="24"/>
        </w:rPr>
        <w:t>m</w:t>
      </w:r>
      <w:r w:rsidRPr="002C770B">
        <w:rPr>
          <w:rFonts w:ascii="Arial" w:hAnsi="Arial" w:cs="Arial"/>
          <w:sz w:val="24"/>
          <w:szCs w:val="24"/>
        </w:rPr>
        <w:t xml:space="preserve">pt </w:t>
      </w:r>
      <w:r w:rsidR="00F3281F" w:rsidRPr="002C770B">
        <w:rPr>
          <w:rFonts w:ascii="Arial" w:hAnsi="Arial" w:cs="Arial"/>
          <w:sz w:val="24"/>
          <w:szCs w:val="24"/>
        </w:rPr>
        <w:t xml:space="preserve">employers from the provisions of the Act and concluded: </w:t>
      </w:r>
    </w:p>
    <w:p w:rsidR="002C770B" w:rsidRDefault="002C770B" w:rsidP="002C770B">
      <w:pPr>
        <w:pStyle w:val="ListParagraph"/>
        <w:rPr>
          <w:rFonts w:ascii="Arial" w:hAnsi="Arial" w:cs="Arial"/>
          <w:sz w:val="24"/>
          <w:szCs w:val="24"/>
        </w:rPr>
      </w:pPr>
    </w:p>
    <w:p w:rsidR="002C770B" w:rsidRPr="000D060C" w:rsidRDefault="002C770B" w:rsidP="000D060C">
      <w:pPr>
        <w:pStyle w:val="NoSpacing"/>
        <w:spacing w:line="360" w:lineRule="auto"/>
        <w:ind w:left="720"/>
        <w:jc w:val="both"/>
        <w:rPr>
          <w:rFonts w:ascii="Arial" w:hAnsi="Arial" w:cs="Arial"/>
        </w:rPr>
      </w:pPr>
      <w:r w:rsidRPr="000D060C">
        <w:rPr>
          <w:rFonts w:ascii="Arial" w:hAnsi="Arial" w:cs="Arial"/>
        </w:rPr>
        <w:t xml:space="preserve">‘Therefore your request for exemption from the provisions of the Act cannot be entertained’.       </w:t>
      </w:r>
    </w:p>
    <w:p w:rsidR="000D060C" w:rsidRDefault="00712F43" w:rsidP="000D060C">
      <w:pPr>
        <w:pStyle w:val="NoSpacing"/>
        <w:spacing w:line="480" w:lineRule="auto"/>
        <w:jc w:val="both"/>
        <w:rPr>
          <w:rFonts w:ascii="Arial" w:hAnsi="Arial" w:cs="Arial"/>
          <w:sz w:val="24"/>
          <w:szCs w:val="24"/>
        </w:rPr>
      </w:pPr>
      <w:r w:rsidRPr="002C770B">
        <w:rPr>
          <w:rFonts w:ascii="Arial" w:hAnsi="Arial" w:cs="Arial"/>
          <w:sz w:val="24"/>
          <w:szCs w:val="24"/>
        </w:rPr>
        <w:t xml:space="preserve">                                                                                                                                                                                   </w:t>
      </w:r>
    </w:p>
    <w:p w:rsidR="000D060C" w:rsidRDefault="000D060C" w:rsidP="002C770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This is the ruling appealed against to the Labour Court.</w:t>
      </w:r>
    </w:p>
    <w:p w:rsidR="003F316F" w:rsidRDefault="003F316F" w:rsidP="00D159C8">
      <w:pPr>
        <w:rPr>
          <w:rFonts w:ascii="Arial" w:hAnsi="Arial" w:cs="Arial"/>
          <w:sz w:val="24"/>
          <w:szCs w:val="24"/>
          <w:u w:val="single"/>
        </w:rPr>
      </w:pPr>
    </w:p>
    <w:p w:rsidR="000D060C" w:rsidRDefault="00D159C8" w:rsidP="00D159C8">
      <w:pPr>
        <w:rPr>
          <w:rFonts w:ascii="Arial" w:hAnsi="Arial" w:cs="Arial"/>
          <w:sz w:val="24"/>
          <w:szCs w:val="24"/>
        </w:rPr>
      </w:pPr>
      <w:r w:rsidRPr="00D159C8">
        <w:rPr>
          <w:rFonts w:ascii="Arial" w:hAnsi="Arial" w:cs="Arial"/>
          <w:sz w:val="24"/>
          <w:szCs w:val="24"/>
          <w:u w:val="single"/>
        </w:rPr>
        <w:t>The approach of the Labour Court</w:t>
      </w:r>
    </w:p>
    <w:p w:rsidR="002C770B" w:rsidRDefault="003935D5"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In the grounds of opposition</w:t>
      </w:r>
      <w:r w:rsidR="00374519" w:rsidRPr="002C770B">
        <w:rPr>
          <w:rFonts w:ascii="Arial" w:hAnsi="Arial" w:cs="Arial"/>
          <w:sz w:val="24"/>
          <w:szCs w:val="24"/>
        </w:rPr>
        <w:t xml:space="preserve"> to the appeal</w:t>
      </w:r>
      <w:r w:rsidRPr="002C770B">
        <w:rPr>
          <w:rFonts w:ascii="Arial" w:hAnsi="Arial" w:cs="Arial"/>
          <w:sz w:val="24"/>
          <w:szCs w:val="24"/>
        </w:rPr>
        <w:t>, the point was taken that the notice of appeal was defective because it was not in accordance with the Labour Court Rules in that it was not accompanied by a duly completed form 11 as provided for in rule 17 of those rul</w:t>
      </w:r>
      <w:r w:rsidR="00E2787A" w:rsidRPr="002C770B">
        <w:rPr>
          <w:rFonts w:ascii="Arial" w:hAnsi="Arial" w:cs="Arial"/>
          <w:sz w:val="24"/>
          <w:szCs w:val="24"/>
        </w:rPr>
        <w:t>es. The Commission also opposed the appeal on the merits.</w:t>
      </w:r>
    </w:p>
    <w:p w:rsidR="002C770B" w:rsidRDefault="002C770B" w:rsidP="002C770B">
      <w:pPr>
        <w:pStyle w:val="ListParagraph"/>
        <w:rPr>
          <w:rFonts w:ascii="Arial" w:hAnsi="Arial" w:cs="Arial"/>
          <w:sz w:val="24"/>
          <w:szCs w:val="24"/>
        </w:rPr>
      </w:pPr>
    </w:p>
    <w:p w:rsidR="002C770B" w:rsidRDefault="00E2787A"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As to th</w:t>
      </w:r>
      <w:r w:rsidR="001E67BA" w:rsidRPr="002C770B">
        <w:rPr>
          <w:rFonts w:ascii="Arial" w:hAnsi="Arial" w:cs="Arial"/>
          <w:sz w:val="24"/>
          <w:szCs w:val="24"/>
        </w:rPr>
        <w:t>is</w:t>
      </w:r>
      <w:r w:rsidRPr="002C770B">
        <w:rPr>
          <w:rFonts w:ascii="Arial" w:hAnsi="Arial" w:cs="Arial"/>
          <w:sz w:val="24"/>
          <w:szCs w:val="24"/>
        </w:rPr>
        <w:t xml:space="preserve"> preliminary point, the Labour Court found that the appeal was not properly before it because the notice of appeal had not complied with the rules of that court as it did not comply with form 11. The court also referred to the rules relating to the conduct of conciliation and arbitration before the Labour Commissioner which required that an appeal be noted on a form attached to those rules even though the decision appealed against did not relate to proceedings before an arbitrator or the Labour Commissioner. By not using those forms, the Labour Court found that the appeal was not properly before it. Yet, despite this ruling, the court proceeded to deal with the merits of the appeal and dismissed it.</w:t>
      </w:r>
    </w:p>
    <w:p w:rsidR="002C770B" w:rsidRDefault="002C770B" w:rsidP="002C770B">
      <w:pPr>
        <w:pStyle w:val="NoSpacing"/>
        <w:spacing w:line="480" w:lineRule="auto"/>
        <w:jc w:val="both"/>
        <w:rPr>
          <w:rFonts w:ascii="Arial" w:hAnsi="Arial" w:cs="Arial"/>
          <w:sz w:val="24"/>
          <w:szCs w:val="24"/>
        </w:rPr>
      </w:pPr>
    </w:p>
    <w:p w:rsidR="002C770B" w:rsidRDefault="00F3281F"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Th</w:t>
      </w:r>
      <w:r w:rsidR="001E67BA" w:rsidRPr="002C770B">
        <w:rPr>
          <w:rFonts w:ascii="Arial" w:hAnsi="Arial" w:cs="Arial"/>
          <w:sz w:val="24"/>
          <w:szCs w:val="24"/>
        </w:rPr>
        <w:t>e preliminary</w:t>
      </w:r>
      <w:r w:rsidRPr="002C770B">
        <w:rPr>
          <w:rFonts w:ascii="Arial" w:hAnsi="Arial" w:cs="Arial"/>
          <w:sz w:val="24"/>
          <w:szCs w:val="24"/>
        </w:rPr>
        <w:t xml:space="preserve"> point has cor</w:t>
      </w:r>
      <w:r w:rsidR="001E67BA" w:rsidRPr="002C770B">
        <w:rPr>
          <w:rFonts w:ascii="Arial" w:hAnsi="Arial" w:cs="Arial"/>
          <w:sz w:val="24"/>
          <w:szCs w:val="24"/>
        </w:rPr>
        <w:t>rectly not been persisted with o</w:t>
      </w:r>
      <w:r w:rsidRPr="002C770B">
        <w:rPr>
          <w:rFonts w:ascii="Arial" w:hAnsi="Arial" w:cs="Arial"/>
          <w:sz w:val="24"/>
          <w:szCs w:val="24"/>
        </w:rPr>
        <w:t xml:space="preserve">n appeal. There is an omission in the rules of the Labour Court to set out a procedure for appeals in terms of s 45 of the Act. Rule 22 of the Labour Court </w:t>
      </w:r>
      <w:r w:rsidR="004A2386" w:rsidRPr="002C770B">
        <w:rPr>
          <w:rFonts w:ascii="Arial" w:hAnsi="Arial" w:cs="Arial"/>
          <w:sz w:val="24"/>
          <w:szCs w:val="24"/>
        </w:rPr>
        <w:t xml:space="preserve">rules </w:t>
      </w:r>
      <w:r w:rsidR="001E67BA" w:rsidRPr="002C770B">
        <w:rPr>
          <w:rFonts w:ascii="Arial" w:hAnsi="Arial" w:cs="Arial"/>
          <w:sz w:val="24"/>
          <w:szCs w:val="24"/>
        </w:rPr>
        <w:t xml:space="preserve">however </w:t>
      </w:r>
      <w:r w:rsidR="004A2386" w:rsidRPr="002C770B">
        <w:rPr>
          <w:rFonts w:ascii="Arial" w:hAnsi="Arial" w:cs="Arial"/>
          <w:sz w:val="24"/>
          <w:szCs w:val="24"/>
        </w:rPr>
        <w:t xml:space="preserve">provides: </w:t>
      </w:r>
    </w:p>
    <w:p w:rsidR="002C770B" w:rsidRDefault="002C770B" w:rsidP="002C770B">
      <w:pPr>
        <w:pStyle w:val="ListParagraph"/>
        <w:rPr>
          <w:rFonts w:ascii="Arial" w:hAnsi="Arial" w:cs="Arial"/>
          <w:sz w:val="24"/>
          <w:szCs w:val="24"/>
        </w:rPr>
      </w:pPr>
    </w:p>
    <w:p w:rsidR="002C770B" w:rsidRPr="000D060C" w:rsidRDefault="002C770B" w:rsidP="002C770B">
      <w:pPr>
        <w:pStyle w:val="Default"/>
        <w:spacing w:line="360" w:lineRule="auto"/>
        <w:ind w:left="720"/>
        <w:jc w:val="both"/>
        <w:rPr>
          <w:sz w:val="22"/>
          <w:szCs w:val="22"/>
        </w:rPr>
      </w:pPr>
      <w:r w:rsidRPr="000D060C">
        <w:rPr>
          <w:sz w:val="22"/>
          <w:szCs w:val="22"/>
        </w:rPr>
        <w:t>‘(1) Subject to the Act and these rules, where these rules do not make provision for the procedure to be followed in any matter before the court, the rules applicable to civil proceedings in the High Court made in terms of section 39(1) of the High Court Act, 1990 (Act 16 of 1990) do apply to proceedings before the court with such qualifications, modifications and adaptations as the court may deem necessary.</w:t>
      </w:r>
    </w:p>
    <w:p w:rsidR="002C770B" w:rsidRPr="000D060C" w:rsidRDefault="002C770B" w:rsidP="002C770B">
      <w:pPr>
        <w:pStyle w:val="Default"/>
        <w:spacing w:line="360" w:lineRule="auto"/>
        <w:jc w:val="both"/>
        <w:rPr>
          <w:sz w:val="22"/>
          <w:szCs w:val="22"/>
        </w:rPr>
      </w:pPr>
    </w:p>
    <w:p w:rsidR="002C770B" w:rsidRPr="000D060C" w:rsidRDefault="002C770B" w:rsidP="002C770B">
      <w:pPr>
        <w:pStyle w:val="NoSpacing"/>
        <w:spacing w:line="480" w:lineRule="auto"/>
        <w:ind w:left="720"/>
        <w:jc w:val="both"/>
        <w:rPr>
          <w:rFonts w:ascii="Arial" w:hAnsi="Arial" w:cs="Arial"/>
        </w:rPr>
      </w:pPr>
      <w:r w:rsidRPr="000D060C">
        <w:rPr>
          <w:rFonts w:ascii="Arial" w:hAnsi="Arial" w:cs="Arial"/>
        </w:rPr>
        <w:lastRenderedPageBreak/>
        <w:t xml:space="preserve">(2) The judicial case management rules in terms of the rules of the High Court referred to in </w:t>
      </w:r>
      <w:proofErr w:type="spellStart"/>
      <w:r w:rsidRPr="000D060C">
        <w:rPr>
          <w:rFonts w:ascii="Arial" w:hAnsi="Arial" w:cs="Arial"/>
        </w:rPr>
        <w:t>subrule</w:t>
      </w:r>
      <w:proofErr w:type="spellEnd"/>
      <w:r w:rsidRPr="000D060C">
        <w:rPr>
          <w:rFonts w:ascii="Arial" w:hAnsi="Arial" w:cs="Arial"/>
        </w:rPr>
        <w:t xml:space="preserve"> (1) apply to proceedings before the court with such qualifications, modifications and adaptations as the managing judge may deem necessary.’</w:t>
      </w:r>
    </w:p>
    <w:p w:rsidR="002C770B" w:rsidRDefault="002C770B" w:rsidP="002C770B">
      <w:pPr>
        <w:pStyle w:val="ListParagraph"/>
        <w:rPr>
          <w:rFonts w:ascii="Arial" w:hAnsi="Arial" w:cs="Arial"/>
          <w:sz w:val="24"/>
          <w:szCs w:val="24"/>
        </w:rPr>
      </w:pPr>
    </w:p>
    <w:p w:rsidR="002C770B" w:rsidRDefault="004A2386"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Rule 119 of the rules of the High Court concern</w:t>
      </w:r>
      <w:r w:rsidR="001E67BA" w:rsidRPr="002C770B">
        <w:rPr>
          <w:rFonts w:ascii="Arial" w:hAnsi="Arial" w:cs="Arial"/>
          <w:sz w:val="24"/>
          <w:szCs w:val="24"/>
        </w:rPr>
        <w:t>s</w:t>
      </w:r>
      <w:r w:rsidRPr="002C770B">
        <w:rPr>
          <w:rFonts w:ascii="Arial" w:hAnsi="Arial" w:cs="Arial"/>
          <w:sz w:val="24"/>
          <w:szCs w:val="24"/>
        </w:rPr>
        <w:t xml:space="preserve"> appeals (to that court) from </w:t>
      </w:r>
      <w:r w:rsidR="001E67BA" w:rsidRPr="002C770B">
        <w:rPr>
          <w:rFonts w:ascii="Arial" w:hAnsi="Arial" w:cs="Arial"/>
          <w:sz w:val="24"/>
          <w:szCs w:val="24"/>
        </w:rPr>
        <w:t>a</w:t>
      </w:r>
      <w:r w:rsidRPr="002C770B">
        <w:rPr>
          <w:rFonts w:ascii="Arial" w:hAnsi="Arial" w:cs="Arial"/>
          <w:sz w:val="24"/>
          <w:szCs w:val="24"/>
        </w:rPr>
        <w:t xml:space="preserve"> decision of a statutory body and would thus find application to appeals in terms </w:t>
      </w:r>
      <w:proofErr w:type="gramStart"/>
      <w:r w:rsidRPr="002C770B">
        <w:rPr>
          <w:rFonts w:ascii="Arial" w:hAnsi="Arial" w:cs="Arial"/>
          <w:sz w:val="24"/>
          <w:szCs w:val="24"/>
        </w:rPr>
        <w:t>of  s</w:t>
      </w:r>
      <w:proofErr w:type="gramEnd"/>
      <w:r w:rsidRPr="002C770B">
        <w:rPr>
          <w:rFonts w:ascii="Arial" w:hAnsi="Arial" w:cs="Arial"/>
          <w:sz w:val="24"/>
          <w:szCs w:val="24"/>
        </w:rPr>
        <w:t xml:space="preserve"> 45. It adequately address appeals </w:t>
      </w:r>
      <w:r w:rsidR="00374519" w:rsidRPr="002C770B">
        <w:rPr>
          <w:rFonts w:ascii="Arial" w:hAnsi="Arial" w:cs="Arial"/>
          <w:sz w:val="24"/>
          <w:szCs w:val="24"/>
        </w:rPr>
        <w:t>of</w:t>
      </w:r>
      <w:r w:rsidRPr="002C770B">
        <w:rPr>
          <w:rFonts w:ascii="Arial" w:hAnsi="Arial" w:cs="Arial"/>
          <w:sz w:val="24"/>
          <w:szCs w:val="24"/>
        </w:rPr>
        <w:t xml:space="preserve"> this nature.</w:t>
      </w:r>
    </w:p>
    <w:p w:rsidR="002C770B" w:rsidRDefault="002C770B" w:rsidP="002C770B">
      <w:pPr>
        <w:pStyle w:val="NoSpacing"/>
        <w:spacing w:line="480" w:lineRule="auto"/>
        <w:jc w:val="both"/>
        <w:rPr>
          <w:rFonts w:ascii="Arial" w:hAnsi="Arial" w:cs="Arial"/>
          <w:sz w:val="24"/>
          <w:szCs w:val="24"/>
        </w:rPr>
      </w:pPr>
    </w:p>
    <w:p w:rsidR="002C770B" w:rsidRDefault="000D060C" w:rsidP="002C770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to the merits of the appeal, t</w:t>
      </w:r>
      <w:r w:rsidR="00E2787A" w:rsidRPr="002C770B">
        <w:rPr>
          <w:rFonts w:ascii="Arial" w:hAnsi="Arial" w:cs="Arial"/>
          <w:sz w:val="24"/>
          <w:szCs w:val="24"/>
        </w:rPr>
        <w:t>he Labour Court referred to the presumption contained in s 128A of the Labour Act which</w:t>
      </w:r>
      <w:r>
        <w:rPr>
          <w:rFonts w:ascii="Arial" w:hAnsi="Arial" w:cs="Arial"/>
          <w:sz w:val="24"/>
          <w:szCs w:val="24"/>
        </w:rPr>
        <w:t xml:space="preserve"> it found</w:t>
      </w:r>
      <w:r w:rsidR="00E2787A" w:rsidRPr="002C770B">
        <w:rPr>
          <w:rFonts w:ascii="Arial" w:hAnsi="Arial" w:cs="Arial"/>
          <w:sz w:val="24"/>
          <w:szCs w:val="24"/>
        </w:rPr>
        <w:t xml:space="preserve"> arose because of the service rendered b</w:t>
      </w:r>
      <w:r w:rsidR="00374519" w:rsidRPr="002C770B">
        <w:rPr>
          <w:rFonts w:ascii="Arial" w:hAnsi="Arial" w:cs="Arial"/>
          <w:sz w:val="24"/>
          <w:szCs w:val="24"/>
        </w:rPr>
        <w:t>y and</w:t>
      </w:r>
      <w:r w:rsidR="00E2787A" w:rsidRPr="002C770B">
        <w:rPr>
          <w:rFonts w:ascii="Arial" w:hAnsi="Arial" w:cs="Arial"/>
          <w:sz w:val="24"/>
          <w:szCs w:val="24"/>
        </w:rPr>
        <w:t xml:space="preserve"> remuneration paid to </w:t>
      </w:r>
      <w:r w:rsidR="004A2386" w:rsidRPr="002C770B">
        <w:rPr>
          <w:rFonts w:ascii="Arial" w:hAnsi="Arial" w:cs="Arial"/>
          <w:sz w:val="24"/>
          <w:szCs w:val="24"/>
        </w:rPr>
        <w:t xml:space="preserve">members of the </w:t>
      </w:r>
      <w:r w:rsidR="003F316F">
        <w:rPr>
          <w:rFonts w:ascii="Arial" w:hAnsi="Arial" w:cs="Arial"/>
          <w:sz w:val="24"/>
          <w:szCs w:val="24"/>
        </w:rPr>
        <w:t>O</w:t>
      </w:r>
      <w:r w:rsidR="004A2386" w:rsidRPr="002C770B">
        <w:rPr>
          <w:rFonts w:ascii="Arial" w:hAnsi="Arial" w:cs="Arial"/>
          <w:sz w:val="24"/>
          <w:szCs w:val="24"/>
        </w:rPr>
        <w:t xml:space="preserve">rder </w:t>
      </w:r>
      <w:r w:rsidR="00E2787A" w:rsidRPr="002C770B">
        <w:rPr>
          <w:rFonts w:ascii="Arial" w:hAnsi="Arial" w:cs="Arial"/>
          <w:sz w:val="24"/>
          <w:szCs w:val="24"/>
        </w:rPr>
        <w:t xml:space="preserve">in the form of stipends </w:t>
      </w:r>
      <w:r w:rsidR="00374519" w:rsidRPr="002C770B">
        <w:rPr>
          <w:rFonts w:ascii="Arial" w:hAnsi="Arial" w:cs="Arial"/>
          <w:sz w:val="24"/>
          <w:szCs w:val="24"/>
        </w:rPr>
        <w:t>as well as</w:t>
      </w:r>
      <w:r w:rsidR="00E2787A" w:rsidRPr="002C770B">
        <w:rPr>
          <w:rFonts w:ascii="Arial" w:hAnsi="Arial" w:cs="Arial"/>
          <w:sz w:val="24"/>
          <w:szCs w:val="24"/>
        </w:rPr>
        <w:t xml:space="preserve"> </w:t>
      </w:r>
      <w:r w:rsidR="004A2386" w:rsidRPr="002C770B">
        <w:rPr>
          <w:rFonts w:ascii="Arial" w:hAnsi="Arial" w:cs="Arial"/>
          <w:sz w:val="24"/>
          <w:szCs w:val="24"/>
        </w:rPr>
        <w:t xml:space="preserve">the </w:t>
      </w:r>
      <w:r w:rsidR="00E2787A" w:rsidRPr="002C770B">
        <w:rPr>
          <w:rFonts w:ascii="Arial" w:hAnsi="Arial" w:cs="Arial"/>
          <w:sz w:val="24"/>
          <w:szCs w:val="24"/>
        </w:rPr>
        <w:t>degree of supervision and control</w:t>
      </w:r>
      <w:r w:rsidR="001E67BA" w:rsidRPr="002C770B">
        <w:rPr>
          <w:rFonts w:ascii="Arial" w:hAnsi="Arial" w:cs="Arial"/>
          <w:sz w:val="24"/>
          <w:szCs w:val="24"/>
        </w:rPr>
        <w:t xml:space="preserve">, thus meeting three of the listed factors and giving rise to the presumption of employment which </w:t>
      </w:r>
      <w:r w:rsidR="00374519" w:rsidRPr="002C770B">
        <w:rPr>
          <w:rFonts w:ascii="Arial" w:hAnsi="Arial" w:cs="Arial"/>
          <w:sz w:val="24"/>
          <w:szCs w:val="24"/>
        </w:rPr>
        <w:t xml:space="preserve">it found </w:t>
      </w:r>
      <w:r w:rsidR="001E67BA" w:rsidRPr="002C770B">
        <w:rPr>
          <w:rFonts w:ascii="Arial" w:hAnsi="Arial" w:cs="Arial"/>
          <w:sz w:val="24"/>
          <w:szCs w:val="24"/>
        </w:rPr>
        <w:t>the appellant had not rebutted</w:t>
      </w:r>
      <w:r w:rsidR="00E2787A" w:rsidRPr="002C770B">
        <w:rPr>
          <w:rFonts w:ascii="Arial" w:hAnsi="Arial" w:cs="Arial"/>
          <w:sz w:val="24"/>
          <w:szCs w:val="24"/>
        </w:rPr>
        <w:t xml:space="preserve">. The court </w:t>
      </w:r>
      <w:r w:rsidR="00D159C8">
        <w:rPr>
          <w:rFonts w:ascii="Arial" w:hAnsi="Arial" w:cs="Arial"/>
          <w:sz w:val="24"/>
          <w:szCs w:val="24"/>
        </w:rPr>
        <w:t xml:space="preserve">further </w:t>
      </w:r>
      <w:r w:rsidR="00E2787A" w:rsidRPr="002C770B">
        <w:rPr>
          <w:rFonts w:ascii="Arial" w:hAnsi="Arial" w:cs="Arial"/>
          <w:sz w:val="24"/>
          <w:szCs w:val="24"/>
        </w:rPr>
        <w:t>held that the appellant was seeking to evade the Act and rejected the main relief sought in the appeal.</w:t>
      </w:r>
    </w:p>
    <w:p w:rsidR="002C770B" w:rsidRDefault="002C770B" w:rsidP="002C770B">
      <w:pPr>
        <w:pStyle w:val="ListParagraph"/>
        <w:rPr>
          <w:rFonts w:ascii="Arial" w:hAnsi="Arial" w:cs="Arial"/>
          <w:sz w:val="24"/>
          <w:szCs w:val="24"/>
        </w:rPr>
      </w:pPr>
    </w:p>
    <w:p w:rsidR="002C770B" w:rsidRDefault="00E2787A"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 xml:space="preserve">The court also found that the Commission had no power to deregister employers </w:t>
      </w:r>
      <w:r w:rsidR="00D159C8">
        <w:rPr>
          <w:rFonts w:ascii="Arial" w:hAnsi="Arial" w:cs="Arial"/>
          <w:sz w:val="24"/>
          <w:szCs w:val="24"/>
        </w:rPr>
        <w:t xml:space="preserve">as a ground to </w:t>
      </w:r>
      <w:r w:rsidRPr="002C770B">
        <w:rPr>
          <w:rFonts w:ascii="Arial" w:hAnsi="Arial" w:cs="Arial"/>
          <w:sz w:val="24"/>
          <w:szCs w:val="24"/>
        </w:rPr>
        <w:t>decline the further relief sought in the appeal.</w:t>
      </w:r>
    </w:p>
    <w:p w:rsidR="002C770B" w:rsidRDefault="002C770B" w:rsidP="002C770B">
      <w:pPr>
        <w:pStyle w:val="ListParagraph"/>
        <w:rPr>
          <w:rFonts w:ascii="Arial" w:hAnsi="Arial" w:cs="Arial"/>
          <w:sz w:val="24"/>
          <w:szCs w:val="24"/>
        </w:rPr>
      </w:pPr>
    </w:p>
    <w:p w:rsidR="002C770B" w:rsidRDefault="00E2787A"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The appellant has, with the leave of the Labour Court, appealed against its judgment</w:t>
      </w:r>
      <w:r w:rsidR="004A2386" w:rsidRPr="002C770B">
        <w:rPr>
          <w:rFonts w:ascii="Arial" w:hAnsi="Arial" w:cs="Arial"/>
          <w:sz w:val="24"/>
          <w:szCs w:val="24"/>
        </w:rPr>
        <w:t xml:space="preserve"> and orders</w:t>
      </w:r>
      <w:r w:rsidRPr="002C770B">
        <w:rPr>
          <w:rFonts w:ascii="Arial" w:hAnsi="Arial" w:cs="Arial"/>
          <w:sz w:val="24"/>
          <w:szCs w:val="24"/>
        </w:rPr>
        <w:t>.</w:t>
      </w:r>
    </w:p>
    <w:p w:rsidR="002C770B" w:rsidRDefault="002C770B" w:rsidP="002C770B">
      <w:pPr>
        <w:pStyle w:val="ListParagraph"/>
        <w:rPr>
          <w:rFonts w:ascii="Arial" w:hAnsi="Arial" w:cs="Arial"/>
          <w:sz w:val="24"/>
          <w:szCs w:val="24"/>
        </w:rPr>
      </w:pPr>
    </w:p>
    <w:p w:rsidR="002C770B" w:rsidRPr="002C770B" w:rsidRDefault="002C770B" w:rsidP="002C770B">
      <w:pPr>
        <w:rPr>
          <w:rFonts w:ascii="Arial" w:hAnsi="Arial" w:cs="Arial"/>
          <w:sz w:val="24"/>
          <w:szCs w:val="24"/>
          <w:u w:val="single"/>
        </w:rPr>
      </w:pPr>
      <w:r>
        <w:rPr>
          <w:rFonts w:ascii="Arial" w:hAnsi="Arial" w:cs="Arial"/>
          <w:sz w:val="24"/>
          <w:szCs w:val="24"/>
          <w:u w:val="single"/>
        </w:rPr>
        <w:t>Submissions on appeal</w:t>
      </w:r>
    </w:p>
    <w:p w:rsidR="002C770B" w:rsidRDefault="00E2787A"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 xml:space="preserve">In detailed written and oral argument, Mr </w:t>
      </w:r>
      <w:proofErr w:type="spellStart"/>
      <w:r w:rsidRPr="002C770B">
        <w:rPr>
          <w:rFonts w:ascii="Arial" w:hAnsi="Arial" w:cs="Arial"/>
          <w:sz w:val="24"/>
          <w:szCs w:val="24"/>
        </w:rPr>
        <w:t>Tötemeyer</w:t>
      </w:r>
      <w:proofErr w:type="spellEnd"/>
      <w:r w:rsidR="00174A78" w:rsidRPr="002C770B">
        <w:rPr>
          <w:rFonts w:ascii="Arial" w:hAnsi="Arial" w:cs="Arial"/>
          <w:sz w:val="24"/>
          <w:szCs w:val="24"/>
        </w:rPr>
        <w:t xml:space="preserve">, SC, who together with Mr </w:t>
      </w:r>
      <w:proofErr w:type="spellStart"/>
      <w:r w:rsidR="00174A78" w:rsidRPr="002C770B">
        <w:rPr>
          <w:rFonts w:ascii="Arial" w:hAnsi="Arial" w:cs="Arial"/>
          <w:sz w:val="24"/>
          <w:szCs w:val="24"/>
        </w:rPr>
        <w:t>Denk</w:t>
      </w:r>
      <w:proofErr w:type="spellEnd"/>
      <w:r w:rsidR="00174A78" w:rsidRPr="002C770B">
        <w:rPr>
          <w:rFonts w:ascii="Arial" w:hAnsi="Arial" w:cs="Arial"/>
          <w:sz w:val="24"/>
          <w:szCs w:val="24"/>
        </w:rPr>
        <w:t>,</w:t>
      </w:r>
      <w:r w:rsidR="004A2386" w:rsidRPr="002C770B">
        <w:rPr>
          <w:rFonts w:ascii="Arial" w:hAnsi="Arial" w:cs="Arial"/>
          <w:sz w:val="24"/>
          <w:szCs w:val="24"/>
        </w:rPr>
        <w:t xml:space="preserve"> appeared for appellant,</w:t>
      </w:r>
      <w:r w:rsidR="00174A78" w:rsidRPr="002C770B">
        <w:rPr>
          <w:rFonts w:ascii="Arial" w:hAnsi="Arial" w:cs="Arial"/>
          <w:sz w:val="24"/>
          <w:szCs w:val="24"/>
        </w:rPr>
        <w:t xml:space="preserve"> argued that a religious calling do</w:t>
      </w:r>
      <w:r w:rsidR="000D060C">
        <w:rPr>
          <w:rFonts w:ascii="Arial" w:hAnsi="Arial" w:cs="Arial"/>
          <w:sz w:val="24"/>
          <w:szCs w:val="24"/>
        </w:rPr>
        <w:t xml:space="preserve">es not constitute </w:t>
      </w:r>
      <w:r w:rsidR="000D060C">
        <w:rPr>
          <w:rFonts w:ascii="Arial" w:hAnsi="Arial" w:cs="Arial"/>
          <w:sz w:val="24"/>
          <w:szCs w:val="24"/>
        </w:rPr>
        <w:lastRenderedPageBreak/>
        <w:t>employment. H</w:t>
      </w:r>
      <w:r w:rsidR="00174A78" w:rsidRPr="002C770B">
        <w:rPr>
          <w:rFonts w:ascii="Arial" w:hAnsi="Arial" w:cs="Arial"/>
          <w:sz w:val="24"/>
          <w:szCs w:val="24"/>
        </w:rPr>
        <w:t xml:space="preserve">is </w:t>
      </w:r>
      <w:r w:rsidR="003F316F" w:rsidRPr="002C770B">
        <w:rPr>
          <w:rFonts w:ascii="Arial" w:hAnsi="Arial" w:cs="Arial"/>
          <w:sz w:val="24"/>
          <w:szCs w:val="24"/>
        </w:rPr>
        <w:t>well-researched</w:t>
      </w:r>
      <w:r w:rsidR="001E67BA" w:rsidRPr="002C770B">
        <w:rPr>
          <w:rFonts w:ascii="Arial" w:hAnsi="Arial" w:cs="Arial"/>
          <w:sz w:val="24"/>
          <w:szCs w:val="24"/>
        </w:rPr>
        <w:t xml:space="preserve"> </w:t>
      </w:r>
      <w:r w:rsidR="00174A78" w:rsidRPr="002C770B">
        <w:rPr>
          <w:rFonts w:ascii="Arial" w:hAnsi="Arial" w:cs="Arial"/>
          <w:sz w:val="24"/>
          <w:szCs w:val="24"/>
        </w:rPr>
        <w:t xml:space="preserve">argument </w:t>
      </w:r>
      <w:r w:rsidR="000D060C">
        <w:rPr>
          <w:rFonts w:ascii="Arial" w:hAnsi="Arial" w:cs="Arial"/>
          <w:sz w:val="24"/>
          <w:szCs w:val="24"/>
        </w:rPr>
        <w:t>included</w:t>
      </w:r>
      <w:r w:rsidR="00174A78" w:rsidRPr="002C770B">
        <w:rPr>
          <w:rFonts w:ascii="Arial" w:hAnsi="Arial" w:cs="Arial"/>
          <w:sz w:val="24"/>
          <w:szCs w:val="24"/>
        </w:rPr>
        <w:t xml:space="preserve"> extensive reference </w:t>
      </w:r>
      <w:r w:rsidR="004A2386" w:rsidRPr="002C770B">
        <w:rPr>
          <w:rFonts w:ascii="Arial" w:hAnsi="Arial" w:cs="Arial"/>
          <w:sz w:val="24"/>
          <w:szCs w:val="24"/>
        </w:rPr>
        <w:t xml:space="preserve">to </w:t>
      </w:r>
      <w:r w:rsidR="00174A78" w:rsidRPr="002C770B">
        <w:rPr>
          <w:rFonts w:ascii="Arial" w:hAnsi="Arial" w:cs="Arial"/>
          <w:sz w:val="24"/>
          <w:szCs w:val="24"/>
        </w:rPr>
        <w:t>the decisions of other jurisdiction</w:t>
      </w:r>
      <w:r w:rsidR="004A2386" w:rsidRPr="002C770B">
        <w:rPr>
          <w:rFonts w:ascii="Arial" w:hAnsi="Arial" w:cs="Arial"/>
          <w:sz w:val="24"/>
          <w:szCs w:val="24"/>
        </w:rPr>
        <w:t>s including from England, South Africa, Canada and Swaziland. He also argued that</w:t>
      </w:r>
      <w:r w:rsidR="00174A78" w:rsidRPr="002C770B">
        <w:rPr>
          <w:rFonts w:ascii="Arial" w:hAnsi="Arial" w:cs="Arial"/>
          <w:sz w:val="24"/>
          <w:szCs w:val="24"/>
        </w:rPr>
        <w:t xml:space="preserve"> the approach of this court in </w:t>
      </w:r>
      <w:r w:rsidR="00174A78" w:rsidRPr="002C770B">
        <w:rPr>
          <w:rFonts w:ascii="Arial" w:hAnsi="Arial" w:cs="Arial"/>
          <w:i/>
          <w:sz w:val="24"/>
          <w:szCs w:val="24"/>
        </w:rPr>
        <w:t>Petrus v Roman Catholic Archdiocese</w:t>
      </w:r>
      <w:r w:rsidR="00174A78">
        <w:rPr>
          <w:rStyle w:val="FootnoteReference"/>
          <w:rFonts w:ascii="Arial" w:hAnsi="Arial" w:cs="Arial"/>
          <w:i/>
          <w:sz w:val="24"/>
          <w:szCs w:val="24"/>
        </w:rPr>
        <w:footnoteReference w:id="2"/>
      </w:r>
      <w:r w:rsidR="00174A78" w:rsidRPr="002C770B">
        <w:rPr>
          <w:rFonts w:ascii="Arial" w:hAnsi="Arial" w:cs="Arial"/>
          <w:sz w:val="24"/>
          <w:szCs w:val="24"/>
        </w:rPr>
        <w:t xml:space="preserve"> and the High Court in </w:t>
      </w:r>
      <w:r w:rsidR="00174A78" w:rsidRPr="002C770B">
        <w:rPr>
          <w:rFonts w:ascii="Arial" w:hAnsi="Arial" w:cs="Arial"/>
          <w:i/>
          <w:sz w:val="24"/>
          <w:szCs w:val="24"/>
        </w:rPr>
        <w:t xml:space="preserve">New African Methodist Episcopal Church in the Republic of Namibia v </w:t>
      </w:r>
      <w:proofErr w:type="spellStart"/>
      <w:r w:rsidR="00174A78" w:rsidRPr="002C770B">
        <w:rPr>
          <w:rFonts w:ascii="Arial" w:hAnsi="Arial" w:cs="Arial"/>
          <w:i/>
          <w:sz w:val="24"/>
          <w:szCs w:val="24"/>
        </w:rPr>
        <w:t>Kooper</w:t>
      </w:r>
      <w:proofErr w:type="spellEnd"/>
      <w:r w:rsidR="00174A78" w:rsidRPr="002C770B">
        <w:rPr>
          <w:rFonts w:ascii="Arial" w:hAnsi="Arial" w:cs="Arial"/>
          <w:i/>
          <w:sz w:val="24"/>
          <w:szCs w:val="24"/>
        </w:rPr>
        <w:t xml:space="preserve"> &amp; others</w:t>
      </w:r>
      <w:r w:rsidR="00174A78">
        <w:rPr>
          <w:rStyle w:val="FootnoteReference"/>
          <w:rFonts w:ascii="Arial" w:hAnsi="Arial" w:cs="Arial"/>
          <w:i/>
          <w:sz w:val="24"/>
          <w:szCs w:val="24"/>
        </w:rPr>
        <w:footnoteReference w:id="3"/>
      </w:r>
      <w:r w:rsidR="00174A78" w:rsidRPr="002C770B">
        <w:rPr>
          <w:rFonts w:ascii="Arial" w:hAnsi="Arial" w:cs="Arial"/>
          <w:sz w:val="24"/>
          <w:szCs w:val="24"/>
        </w:rPr>
        <w:t xml:space="preserve"> </w:t>
      </w:r>
      <w:r w:rsidR="004A2386" w:rsidRPr="002C770B">
        <w:rPr>
          <w:rFonts w:ascii="Arial" w:hAnsi="Arial" w:cs="Arial"/>
          <w:sz w:val="24"/>
          <w:szCs w:val="24"/>
        </w:rPr>
        <w:t>was to the effect</w:t>
      </w:r>
      <w:r w:rsidR="00DE72EF" w:rsidRPr="002C770B">
        <w:rPr>
          <w:rFonts w:ascii="Arial" w:hAnsi="Arial" w:cs="Arial"/>
          <w:sz w:val="24"/>
          <w:szCs w:val="24"/>
        </w:rPr>
        <w:t xml:space="preserve"> that ecumenical issues fell outside the court’s jurisdiction. English and South African cases were cited where employment remedies were found not to apply to clergy.</w:t>
      </w:r>
      <w:r w:rsidR="00DE72EF">
        <w:rPr>
          <w:rStyle w:val="FootnoteReference"/>
          <w:rFonts w:ascii="Arial" w:hAnsi="Arial" w:cs="Arial"/>
          <w:sz w:val="24"/>
          <w:szCs w:val="24"/>
        </w:rPr>
        <w:footnoteReference w:id="4"/>
      </w:r>
    </w:p>
    <w:p w:rsidR="002C770B" w:rsidRDefault="002C770B" w:rsidP="002C770B">
      <w:pPr>
        <w:pStyle w:val="NoSpacing"/>
        <w:spacing w:line="480" w:lineRule="auto"/>
        <w:jc w:val="both"/>
        <w:rPr>
          <w:rFonts w:ascii="Arial" w:hAnsi="Arial" w:cs="Arial"/>
          <w:sz w:val="24"/>
          <w:szCs w:val="24"/>
        </w:rPr>
      </w:pPr>
    </w:p>
    <w:p w:rsidR="002C770B" w:rsidRDefault="00DE72EF"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 xml:space="preserve">Mr </w:t>
      </w:r>
      <w:proofErr w:type="spellStart"/>
      <w:r w:rsidRPr="002C770B">
        <w:rPr>
          <w:rFonts w:ascii="Arial" w:hAnsi="Arial" w:cs="Arial"/>
          <w:sz w:val="24"/>
          <w:szCs w:val="24"/>
        </w:rPr>
        <w:t>Tötemeyer</w:t>
      </w:r>
      <w:proofErr w:type="spellEnd"/>
      <w:r w:rsidRPr="002C770B">
        <w:rPr>
          <w:rFonts w:ascii="Arial" w:hAnsi="Arial" w:cs="Arial"/>
          <w:sz w:val="24"/>
          <w:szCs w:val="24"/>
        </w:rPr>
        <w:t xml:space="preserve"> also referred to a decision of the Labour Court of South Africa</w:t>
      </w:r>
      <w:r w:rsidR="00027BDB" w:rsidRPr="002C770B">
        <w:rPr>
          <w:rFonts w:ascii="Arial" w:hAnsi="Arial" w:cs="Arial"/>
          <w:sz w:val="24"/>
          <w:szCs w:val="24"/>
        </w:rPr>
        <w:t xml:space="preserve"> where that court ruled that members of the Worldwide </w:t>
      </w:r>
      <w:r w:rsidR="003F316F">
        <w:rPr>
          <w:rFonts w:ascii="Arial" w:hAnsi="Arial" w:cs="Arial"/>
          <w:sz w:val="24"/>
          <w:szCs w:val="24"/>
        </w:rPr>
        <w:t>O</w:t>
      </w:r>
      <w:r w:rsidR="00027BDB" w:rsidRPr="002C770B">
        <w:rPr>
          <w:rFonts w:ascii="Arial" w:hAnsi="Arial" w:cs="Arial"/>
          <w:sz w:val="24"/>
          <w:szCs w:val="24"/>
        </w:rPr>
        <w:t>rder in South Africa were not employees for the purpose of similar legislation in South Africa.</w:t>
      </w:r>
      <w:r w:rsidR="00027BDB">
        <w:rPr>
          <w:rStyle w:val="FootnoteReference"/>
          <w:rFonts w:ascii="Arial" w:hAnsi="Arial" w:cs="Arial"/>
          <w:sz w:val="24"/>
          <w:szCs w:val="24"/>
        </w:rPr>
        <w:footnoteReference w:id="5"/>
      </w:r>
    </w:p>
    <w:p w:rsidR="002C770B" w:rsidRDefault="002C770B" w:rsidP="002C770B">
      <w:pPr>
        <w:pStyle w:val="ListParagraph"/>
        <w:rPr>
          <w:rFonts w:ascii="Arial" w:hAnsi="Arial" w:cs="Arial"/>
          <w:sz w:val="24"/>
          <w:szCs w:val="24"/>
        </w:rPr>
      </w:pPr>
    </w:p>
    <w:p w:rsidR="002C770B" w:rsidRDefault="00027BDB"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 xml:space="preserve">Mr </w:t>
      </w:r>
      <w:proofErr w:type="spellStart"/>
      <w:r w:rsidRPr="002C770B">
        <w:rPr>
          <w:rFonts w:ascii="Arial" w:hAnsi="Arial" w:cs="Arial"/>
          <w:sz w:val="24"/>
          <w:szCs w:val="24"/>
        </w:rPr>
        <w:t>Tötemeyer</w:t>
      </w:r>
      <w:proofErr w:type="spellEnd"/>
      <w:r w:rsidRPr="002C770B">
        <w:rPr>
          <w:rFonts w:ascii="Arial" w:hAnsi="Arial" w:cs="Arial"/>
          <w:sz w:val="24"/>
          <w:szCs w:val="24"/>
        </w:rPr>
        <w:t xml:space="preserve"> argued that Art 21 (1</w:t>
      </w:r>
      <w:proofErr w:type="gramStart"/>
      <w:r w:rsidRPr="002C770B">
        <w:rPr>
          <w:rFonts w:ascii="Arial" w:hAnsi="Arial" w:cs="Arial"/>
          <w:sz w:val="24"/>
          <w:szCs w:val="24"/>
        </w:rPr>
        <w:t>)</w:t>
      </w:r>
      <w:r w:rsidRPr="002C770B">
        <w:rPr>
          <w:rFonts w:ascii="Arial" w:hAnsi="Arial" w:cs="Arial"/>
          <w:i/>
          <w:sz w:val="24"/>
          <w:szCs w:val="24"/>
        </w:rPr>
        <w:t>(</w:t>
      </w:r>
      <w:proofErr w:type="gramEnd"/>
      <w:r w:rsidRPr="002C770B">
        <w:rPr>
          <w:rFonts w:ascii="Arial" w:hAnsi="Arial" w:cs="Arial"/>
          <w:i/>
          <w:sz w:val="24"/>
          <w:szCs w:val="24"/>
        </w:rPr>
        <w:t xml:space="preserve">c) </w:t>
      </w:r>
      <w:r w:rsidRPr="002C770B">
        <w:rPr>
          <w:rFonts w:ascii="Arial" w:hAnsi="Arial" w:cs="Arial"/>
          <w:sz w:val="24"/>
          <w:szCs w:val="24"/>
        </w:rPr>
        <w:t>which protects the right of persons to practi</w:t>
      </w:r>
      <w:r w:rsidR="00374519" w:rsidRPr="002C770B">
        <w:rPr>
          <w:rFonts w:ascii="Arial" w:hAnsi="Arial" w:cs="Arial"/>
          <w:sz w:val="24"/>
          <w:szCs w:val="24"/>
        </w:rPr>
        <w:t>s</w:t>
      </w:r>
      <w:r w:rsidRPr="002C770B">
        <w:rPr>
          <w:rFonts w:ascii="Arial" w:hAnsi="Arial" w:cs="Arial"/>
          <w:sz w:val="24"/>
          <w:szCs w:val="24"/>
        </w:rPr>
        <w:t xml:space="preserve">e any religion supports </w:t>
      </w:r>
      <w:r w:rsidR="004A2386" w:rsidRPr="002C770B">
        <w:rPr>
          <w:rFonts w:ascii="Arial" w:hAnsi="Arial" w:cs="Arial"/>
          <w:sz w:val="24"/>
          <w:szCs w:val="24"/>
        </w:rPr>
        <w:t>an</w:t>
      </w:r>
      <w:r w:rsidRPr="002C770B">
        <w:rPr>
          <w:rFonts w:ascii="Arial" w:hAnsi="Arial" w:cs="Arial"/>
          <w:sz w:val="24"/>
          <w:szCs w:val="24"/>
        </w:rPr>
        <w:t xml:space="preserve"> approach </w:t>
      </w:r>
      <w:r w:rsidR="004A2386" w:rsidRPr="002C770B">
        <w:rPr>
          <w:rFonts w:ascii="Arial" w:hAnsi="Arial" w:cs="Arial"/>
          <w:sz w:val="24"/>
          <w:szCs w:val="24"/>
        </w:rPr>
        <w:t>where</w:t>
      </w:r>
      <w:r w:rsidRPr="002C770B">
        <w:rPr>
          <w:rFonts w:ascii="Arial" w:hAnsi="Arial" w:cs="Arial"/>
          <w:sz w:val="24"/>
          <w:szCs w:val="24"/>
        </w:rPr>
        <w:t xml:space="preserve"> court</w:t>
      </w:r>
      <w:r w:rsidR="00BE5C6B">
        <w:rPr>
          <w:rFonts w:ascii="Arial" w:hAnsi="Arial" w:cs="Arial"/>
          <w:sz w:val="24"/>
          <w:szCs w:val="24"/>
        </w:rPr>
        <w:t>s should</w:t>
      </w:r>
      <w:r w:rsidRPr="002C770B">
        <w:rPr>
          <w:rFonts w:ascii="Arial" w:hAnsi="Arial" w:cs="Arial"/>
          <w:sz w:val="24"/>
          <w:szCs w:val="24"/>
        </w:rPr>
        <w:t xml:space="preserve"> declin</w:t>
      </w:r>
      <w:r w:rsidR="004A2386" w:rsidRPr="002C770B">
        <w:rPr>
          <w:rFonts w:ascii="Arial" w:hAnsi="Arial" w:cs="Arial"/>
          <w:sz w:val="24"/>
          <w:szCs w:val="24"/>
        </w:rPr>
        <w:t>e</w:t>
      </w:r>
      <w:r w:rsidRPr="002C770B">
        <w:rPr>
          <w:rFonts w:ascii="Arial" w:hAnsi="Arial" w:cs="Arial"/>
          <w:sz w:val="24"/>
          <w:szCs w:val="24"/>
        </w:rPr>
        <w:t xml:space="preserve"> to interfere with the practi</w:t>
      </w:r>
      <w:r w:rsidR="004A2386" w:rsidRPr="002C770B">
        <w:rPr>
          <w:rFonts w:ascii="Arial" w:hAnsi="Arial" w:cs="Arial"/>
          <w:sz w:val="24"/>
          <w:szCs w:val="24"/>
        </w:rPr>
        <w:t>s</w:t>
      </w:r>
      <w:r w:rsidRPr="002C770B">
        <w:rPr>
          <w:rFonts w:ascii="Arial" w:hAnsi="Arial" w:cs="Arial"/>
          <w:sz w:val="24"/>
          <w:szCs w:val="24"/>
        </w:rPr>
        <w:t>ing of religion.</w:t>
      </w:r>
    </w:p>
    <w:p w:rsidR="002C770B" w:rsidRDefault="002C770B" w:rsidP="002C770B">
      <w:pPr>
        <w:pStyle w:val="ListParagraph"/>
        <w:rPr>
          <w:rFonts w:ascii="Arial" w:hAnsi="Arial" w:cs="Arial"/>
          <w:sz w:val="24"/>
          <w:szCs w:val="24"/>
        </w:rPr>
      </w:pPr>
    </w:p>
    <w:p w:rsidR="002C770B" w:rsidRDefault="00027BDB"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 xml:space="preserve">Turning </w:t>
      </w:r>
      <w:r w:rsidR="003F316F">
        <w:rPr>
          <w:rFonts w:ascii="Arial" w:hAnsi="Arial" w:cs="Arial"/>
          <w:sz w:val="24"/>
          <w:szCs w:val="24"/>
        </w:rPr>
        <w:t xml:space="preserve">to </w:t>
      </w:r>
      <w:r w:rsidRPr="002C770B">
        <w:rPr>
          <w:rFonts w:ascii="Arial" w:hAnsi="Arial" w:cs="Arial"/>
          <w:sz w:val="24"/>
          <w:szCs w:val="24"/>
        </w:rPr>
        <w:t>the definition</w:t>
      </w:r>
      <w:r w:rsidR="000D060C">
        <w:rPr>
          <w:rFonts w:ascii="Arial" w:hAnsi="Arial" w:cs="Arial"/>
          <w:sz w:val="24"/>
          <w:szCs w:val="24"/>
        </w:rPr>
        <w:t>s</w:t>
      </w:r>
      <w:r w:rsidRPr="002C770B">
        <w:rPr>
          <w:rFonts w:ascii="Arial" w:hAnsi="Arial" w:cs="Arial"/>
          <w:sz w:val="24"/>
          <w:szCs w:val="24"/>
        </w:rPr>
        <w:t xml:space="preserve"> of employee</w:t>
      </w:r>
      <w:r w:rsidR="000D060C">
        <w:rPr>
          <w:rFonts w:ascii="Arial" w:hAnsi="Arial" w:cs="Arial"/>
          <w:sz w:val="24"/>
          <w:szCs w:val="24"/>
        </w:rPr>
        <w:t xml:space="preserve"> and employer</w:t>
      </w:r>
      <w:r w:rsidRPr="002C770B">
        <w:rPr>
          <w:rFonts w:ascii="Arial" w:hAnsi="Arial" w:cs="Arial"/>
          <w:sz w:val="24"/>
          <w:szCs w:val="24"/>
        </w:rPr>
        <w:t xml:space="preserve"> in labour legislation and the Act, Mr </w:t>
      </w:r>
      <w:proofErr w:type="spellStart"/>
      <w:r w:rsidRPr="002C770B">
        <w:rPr>
          <w:rFonts w:ascii="Arial" w:hAnsi="Arial" w:cs="Arial"/>
          <w:sz w:val="24"/>
          <w:szCs w:val="24"/>
        </w:rPr>
        <w:t>Tötemeyer</w:t>
      </w:r>
      <w:proofErr w:type="spellEnd"/>
      <w:r w:rsidRPr="002C770B">
        <w:rPr>
          <w:rFonts w:ascii="Arial" w:hAnsi="Arial" w:cs="Arial"/>
          <w:sz w:val="24"/>
          <w:szCs w:val="24"/>
        </w:rPr>
        <w:t xml:space="preserve"> argued that the presumption of employment in s 128A of the Labour Act did not apply, given the </w:t>
      </w:r>
      <w:r w:rsidR="00060A9A" w:rsidRPr="002C770B">
        <w:rPr>
          <w:rFonts w:ascii="Arial" w:hAnsi="Arial" w:cs="Arial"/>
          <w:sz w:val="24"/>
          <w:szCs w:val="24"/>
        </w:rPr>
        <w:t xml:space="preserve">fact that there was not any form of employment contract between members </w:t>
      </w:r>
      <w:r w:rsidR="00C41986" w:rsidRPr="002C770B">
        <w:rPr>
          <w:rFonts w:ascii="Arial" w:hAnsi="Arial" w:cs="Arial"/>
          <w:sz w:val="24"/>
          <w:szCs w:val="24"/>
        </w:rPr>
        <w:t xml:space="preserve">of the </w:t>
      </w:r>
      <w:r w:rsidR="003F316F">
        <w:rPr>
          <w:rFonts w:ascii="Arial" w:hAnsi="Arial" w:cs="Arial"/>
          <w:sz w:val="24"/>
          <w:szCs w:val="24"/>
        </w:rPr>
        <w:t>O</w:t>
      </w:r>
      <w:r w:rsidR="00C41986" w:rsidRPr="002C770B">
        <w:rPr>
          <w:rFonts w:ascii="Arial" w:hAnsi="Arial" w:cs="Arial"/>
          <w:sz w:val="24"/>
          <w:szCs w:val="24"/>
        </w:rPr>
        <w:t xml:space="preserve">rder and the appellant. He argued that the </w:t>
      </w:r>
      <w:r w:rsidR="004A2386" w:rsidRPr="002C770B">
        <w:rPr>
          <w:rFonts w:ascii="Arial" w:hAnsi="Arial" w:cs="Arial"/>
          <w:sz w:val="24"/>
          <w:szCs w:val="24"/>
        </w:rPr>
        <w:t>v</w:t>
      </w:r>
      <w:r w:rsidR="00C41986" w:rsidRPr="002C770B">
        <w:rPr>
          <w:rFonts w:ascii="Arial" w:hAnsi="Arial" w:cs="Arial"/>
          <w:sz w:val="24"/>
          <w:szCs w:val="24"/>
        </w:rPr>
        <w:t xml:space="preserve">ow which members make is one to their religion (to the Almighty) and not to the appellant and that there was no intention to enter into a contractual relationship of </w:t>
      </w:r>
      <w:r w:rsidR="00C41986" w:rsidRPr="002C770B">
        <w:rPr>
          <w:rFonts w:ascii="Arial" w:hAnsi="Arial" w:cs="Arial"/>
          <w:sz w:val="24"/>
          <w:szCs w:val="24"/>
        </w:rPr>
        <w:lastRenderedPageBreak/>
        <w:t>any kind. The relationship</w:t>
      </w:r>
      <w:r w:rsidR="000D060C" w:rsidRPr="000D060C">
        <w:rPr>
          <w:rFonts w:ascii="Arial" w:hAnsi="Arial" w:cs="Arial"/>
          <w:sz w:val="24"/>
          <w:szCs w:val="24"/>
        </w:rPr>
        <w:t xml:space="preserve"> </w:t>
      </w:r>
      <w:r w:rsidR="000D060C" w:rsidRPr="002C770B">
        <w:rPr>
          <w:rFonts w:ascii="Arial" w:hAnsi="Arial" w:cs="Arial"/>
          <w:sz w:val="24"/>
          <w:szCs w:val="24"/>
        </w:rPr>
        <w:t>in pursuing that calling on a full time basis</w:t>
      </w:r>
      <w:r w:rsidR="00C41986" w:rsidRPr="002C770B">
        <w:rPr>
          <w:rFonts w:ascii="Arial" w:hAnsi="Arial" w:cs="Arial"/>
          <w:sz w:val="24"/>
          <w:szCs w:val="24"/>
        </w:rPr>
        <w:t xml:space="preserve">, he contended, was ecclesiastical in nature and not a commercial or employment one. Mr </w:t>
      </w:r>
      <w:proofErr w:type="spellStart"/>
      <w:r w:rsidR="00C41986" w:rsidRPr="002C770B">
        <w:rPr>
          <w:rFonts w:ascii="Arial" w:hAnsi="Arial" w:cs="Arial"/>
          <w:sz w:val="24"/>
          <w:szCs w:val="24"/>
        </w:rPr>
        <w:t>Tötemeyer</w:t>
      </w:r>
      <w:proofErr w:type="spellEnd"/>
      <w:r w:rsidR="00C41986" w:rsidRPr="002C770B">
        <w:rPr>
          <w:rFonts w:ascii="Arial" w:hAnsi="Arial" w:cs="Arial"/>
          <w:sz w:val="24"/>
          <w:szCs w:val="24"/>
        </w:rPr>
        <w:t xml:space="preserve"> also argued that the amount received by members of the </w:t>
      </w:r>
      <w:r w:rsidR="003F316F">
        <w:rPr>
          <w:rFonts w:ascii="Arial" w:hAnsi="Arial" w:cs="Arial"/>
          <w:sz w:val="24"/>
          <w:szCs w:val="24"/>
        </w:rPr>
        <w:t>O</w:t>
      </w:r>
      <w:r w:rsidR="00C41986" w:rsidRPr="002C770B">
        <w:rPr>
          <w:rFonts w:ascii="Arial" w:hAnsi="Arial" w:cs="Arial"/>
          <w:sz w:val="24"/>
          <w:szCs w:val="24"/>
        </w:rPr>
        <w:t xml:space="preserve">rder </w:t>
      </w:r>
      <w:r w:rsidR="00912DEA" w:rsidRPr="002C770B">
        <w:rPr>
          <w:rFonts w:ascii="Arial" w:hAnsi="Arial" w:cs="Arial"/>
          <w:sz w:val="24"/>
          <w:szCs w:val="24"/>
        </w:rPr>
        <w:t>together with</w:t>
      </w:r>
      <w:r w:rsidR="00C41986" w:rsidRPr="002C770B">
        <w:rPr>
          <w:rFonts w:ascii="Arial" w:hAnsi="Arial" w:cs="Arial"/>
          <w:sz w:val="24"/>
          <w:szCs w:val="24"/>
        </w:rPr>
        <w:t xml:space="preserve"> full board and lodging d</w:t>
      </w:r>
      <w:r w:rsidR="001E67BA" w:rsidRPr="002C770B">
        <w:rPr>
          <w:rFonts w:ascii="Arial" w:hAnsi="Arial" w:cs="Arial"/>
          <w:sz w:val="24"/>
          <w:szCs w:val="24"/>
        </w:rPr>
        <w:t>id</w:t>
      </w:r>
      <w:r w:rsidR="00C41986" w:rsidRPr="002C770B">
        <w:rPr>
          <w:rFonts w:ascii="Arial" w:hAnsi="Arial" w:cs="Arial"/>
          <w:sz w:val="24"/>
          <w:szCs w:val="24"/>
        </w:rPr>
        <w:t xml:space="preserve"> not arise from an employment relationship but</w:t>
      </w:r>
      <w:r w:rsidR="00912DEA" w:rsidRPr="002C770B">
        <w:rPr>
          <w:rFonts w:ascii="Arial" w:hAnsi="Arial" w:cs="Arial"/>
          <w:sz w:val="24"/>
          <w:szCs w:val="24"/>
        </w:rPr>
        <w:t xml:space="preserve"> is</w:t>
      </w:r>
      <w:r w:rsidR="00C41986" w:rsidRPr="002C770B">
        <w:rPr>
          <w:rFonts w:ascii="Arial" w:hAnsi="Arial" w:cs="Arial"/>
          <w:sz w:val="24"/>
          <w:szCs w:val="24"/>
        </w:rPr>
        <w:t xml:space="preserve"> based upon that</w:t>
      </w:r>
      <w:r w:rsidR="000575A2" w:rsidRPr="002C770B">
        <w:rPr>
          <w:rFonts w:ascii="Arial" w:hAnsi="Arial" w:cs="Arial"/>
          <w:sz w:val="24"/>
          <w:szCs w:val="24"/>
        </w:rPr>
        <w:t xml:space="preserve"> member’s commitment to the </w:t>
      </w:r>
      <w:r w:rsidR="003F316F">
        <w:rPr>
          <w:rFonts w:ascii="Arial" w:hAnsi="Arial" w:cs="Arial"/>
          <w:sz w:val="24"/>
          <w:szCs w:val="24"/>
        </w:rPr>
        <w:t>O</w:t>
      </w:r>
      <w:r w:rsidR="000575A2" w:rsidRPr="002C770B">
        <w:rPr>
          <w:rFonts w:ascii="Arial" w:hAnsi="Arial" w:cs="Arial"/>
          <w:sz w:val="24"/>
          <w:szCs w:val="24"/>
        </w:rPr>
        <w:t xml:space="preserve">rder and not for services rendered. </w:t>
      </w:r>
      <w:r w:rsidR="00275AEC" w:rsidRPr="002C770B">
        <w:rPr>
          <w:rFonts w:ascii="Arial" w:hAnsi="Arial" w:cs="Arial"/>
          <w:sz w:val="24"/>
          <w:szCs w:val="24"/>
        </w:rPr>
        <w:t xml:space="preserve">Mr </w:t>
      </w:r>
      <w:proofErr w:type="spellStart"/>
      <w:r w:rsidR="00275AEC" w:rsidRPr="002C770B">
        <w:rPr>
          <w:rFonts w:ascii="Arial" w:hAnsi="Arial" w:cs="Arial"/>
          <w:sz w:val="24"/>
          <w:szCs w:val="24"/>
        </w:rPr>
        <w:t>Tötemeyer</w:t>
      </w:r>
      <w:proofErr w:type="spellEnd"/>
      <w:r w:rsidR="00275AEC" w:rsidRPr="002C770B">
        <w:rPr>
          <w:rFonts w:ascii="Arial" w:hAnsi="Arial" w:cs="Arial"/>
          <w:sz w:val="24"/>
          <w:szCs w:val="24"/>
        </w:rPr>
        <w:t xml:space="preserve"> also argued that the Commissioner had the power to deregister an employer as this power would be inherent in</w:t>
      </w:r>
      <w:r w:rsidR="00912DEA" w:rsidRPr="002C770B">
        <w:rPr>
          <w:rFonts w:ascii="Arial" w:hAnsi="Arial" w:cs="Arial"/>
          <w:sz w:val="24"/>
          <w:szCs w:val="24"/>
        </w:rPr>
        <w:t xml:space="preserve"> and </w:t>
      </w:r>
      <w:r w:rsidR="001E67BA" w:rsidRPr="002C770B">
        <w:rPr>
          <w:rFonts w:ascii="Arial" w:hAnsi="Arial" w:cs="Arial"/>
          <w:sz w:val="24"/>
          <w:szCs w:val="24"/>
        </w:rPr>
        <w:t>implied</w:t>
      </w:r>
      <w:r w:rsidR="00912DEA" w:rsidRPr="002C770B">
        <w:rPr>
          <w:rFonts w:ascii="Arial" w:hAnsi="Arial" w:cs="Arial"/>
          <w:sz w:val="24"/>
          <w:szCs w:val="24"/>
        </w:rPr>
        <w:t xml:space="preserve"> to</w:t>
      </w:r>
      <w:r w:rsidR="00275AEC" w:rsidRPr="002C770B">
        <w:rPr>
          <w:rFonts w:ascii="Arial" w:hAnsi="Arial" w:cs="Arial"/>
          <w:sz w:val="24"/>
          <w:szCs w:val="24"/>
        </w:rPr>
        <w:t xml:space="preserve"> the power to register.</w:t>
      </w:r>
    </w:p>
    <w:p w:rsidR="002C770B" w:rsidRDefault="002C770B" w:rsidP="002C770B">
      <w:pPr>
        <w:pStyle w:val="ListParagraph"/>
        <w:rPr>
          <w:rFonts w:ascii="Arial" w:hAnsi="Arial" w:cs="Arial"/>
          <w:sz w:val="24"/>
          <w:szCs w:val="24"/>
        </w:rPr>
      </w:pPr>
    </w:p>
    <w:p w:rsidR="002C770B" w:rsidRDefault="00275AEC"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Mr Tjombe, who appeared for the Commission</w:t>
      </w:r>
      <w:r w:rsidR="00912DEA" w:rsidRPr="002C770B">
        <w:rPr>
          <w:rFonts w:ascii="Arial" w:hAnsi="Arial" w:cs="Arial"/>
          <w:sz w:val="24"/>
          <w:szCs w:val="24"/>
        </w:rPr>
        <w:t>,</w:t>
      </w:r>
      <w:r w:rsidRPr="002C770B">
        <w:rPr>
          <w:rFonts w:ascii="Arial" w:hAnsi="Arial" w:cs="Arial"/>
          <w:sz w:val="24"/>
          <w:szCs w:val="24"/>
        </w:rPr>
        <w:t xml:space="preserve"> argued that the relationship between members of the </w:t>
      </w:r>
      <w:r w:rsidR="003F316F">
        <w:rPr>
          <w:rFonts w:ascii="Arial" w:hAnsi="Arial" w:cs="Arial"/>
          <w:sz w:val="24"/>
          <w:szCs w:val="24"/>
        </w:rPr>
        <w:t>O</w:t>
      </w:r>
      <w:r w:rsidRPr="002C770B">
        <w:rPr>
          <w:rFonts w:ascii="Arial" w:hAnsi="Arial" w:cs="Arial"/>
          <w:sz w:val="24"/>
          <w:szCs w:val="24"/>
        </w:rPr>
        <w:t xml:space="preserve">rder and the appellant was one of employment. He argued that the appellant, an incorporated legal entity, must comply with the laws of the land, including the Act. </w:t>
      </w:r>
      <w:r w:rsidR="007E4608">
        <w:rPr>
          <w:rFonts w:ascii="Arial" w:hAnsi="Arial" w:cs="Arial"/>
          <w:sz w:val="24"/>
          <w:szCs w:val="24"/>
        </w:rPr>
        <w:t>D</w:t>
      </w:r>
      <w:r w:rsidRPr="002C770B">
        <w:rPr>
          <w:rFonts w:ascii="Arial" w:hAnsi="Arial" w:cs="Arial"/>
          <w:sz w:val="24"/>
          <w:szCs w:val="24"/>
        </w:rPr>
        <w:t xml:space="preserve">oing so would not, so </w:t>
      </w:r>
      <w:r w:rsidR="001E67BA" w:rsidRPr="002C770B">
        <w:rPr>
          <w:rFonts w:ascii="Arial" w:hAnsi="Arial" w:cs="Arial"/>
          <w:sz w:val="24"/>
          <w:szCs w:val="24"/>
        </w:rPr>
        <w:t>h</w:t>
      </w:r>
      <w:r w:rsidRPr="002C770B">
        <w:rPr>
          <w:rFonts w:ascii="Arial" w:hAnsi="Arial" w:cs="Arial"/>
          <w:sz w:val="24"/>
          <w:szCs w:val="24"/>
        </w:rPr>
        <w:t>e contended, infringe upon freedom of religion embodied in Art 21(1</w:t>
      </w:r>
      <w:proofErr w:type="gramStart"/>
      <w:r w:rsidRPr="002C770B">
        <w:rPr>
          <w:rFonts w:ascii="Arial" w:hAnsi="Arial" w:cs="Arial"/>
          <w:sz w:val="24"/>
          <w:szCs w:val="24"/>
        </w:rPr>
        <w:t>)</w:t>
      </w:r>
      <w:r w:rsidRPr="002C770B">
        <w:rPr>
          <w:rFonts w:ascii="Arial" w:hAnsi="Arial" w:cs="Arial"/>
          <w:i/>
          <w:sz w:val="24"/>
          <w:szCs w:val="24"/>
        </w:rPr>
        <w:t>(</w:t>
      </w:r>
      <w:proofErr w:type="gramEnd"/>
      <w:r w:rsidRPr="002C770B">
        <w:rPr>
          <w:rFonts w:ascii="Arial" w:hAnsi="Arial" w:cs="Arial"/>
          <w:i/>
          <w:sz w:val="24"/>
          <w:szCs w:val="24"/>
        </w:rPr>
        <w:t xml:space="preserve">c) </w:t>
      </w:r>
      <w:r w:rsidRPr="002C770B">
        <w:rPr>
          <w:rFonts w:ascii="Arial" w:hAnsi="Arial" w:cs="Arial"/>
          <w:sz w:val="24"/>
          <w:szCs w:val="24"/>
        </w:rPr>
        <w:t>of the Constitution.</w:t>
      </w:r>
      <w:r w:rsidR="00E8320B" w:rsidRPr="002C770B">
        <w:rPr>
          <w:rFonts w:ascii="Arial" w:hAnsi="Arial" w:cs="Arial"/>
          <w:sz w:val="24"/>
          <w:szCs w:val="24"/>
        </w:rPr>
        <w:t xml:space="preserve"> Mr Tjombe stressed that the determination as to whether an employment relationship exists is objective and not what the parties believe their relationship to be. Mr Tjombe argued that the guidelines set out in </w:t>
      </w:r>
      <w:r w:rsidR="00E8320B" w:rsidRPr="002C770B">
        <w:rPr>
          <w:rFonts w:ascii="Arial" w:hAnsi="Arial" w:cs="Arial"/>
          <w:i/>
          <w:sz w:val="24"/>
          <w:szCs w:val="24"/>
        </w:rPr>
        <w:t xml:space="preserve">Engelbrecht v </w:t>
      </w:r>
      <w:proofErr w:type="spellStart"/>
      <w:r w:rsidR="00E8320B" w:rsidRPr="002C770B">
        <w:rPr>
          <w:rFonts w:ascii="Arial" w:hAnsi="Arial" w:cs="Arial"/>
          <w:i/>
          <w:sz w:val="24"/>
          <w:szCs w:val="24"/>
        </w:rPr>
        <w:t>Hennes</w:t>
      </w:r>
      <w:proofErr w:type="spellEnd"/>
      <w:r w:rsidR="00E8320B">
        <w:rPr>
          <w:rStyle w:val="FootnoteReference"/>
          <w:rFonts w:ascii="Arial" w:hAnsi="Arial" w:cs="Arial"/>
          <w:sz w:val="24"/>
          <w:szCs w:val="24"/>
        </w:rPr>
        <w:footnoteReference w:id="6"/>
      </w:r>
      <w:r w:rsidR="00E8320B" w:rsidRPr="002C770B">
        <w:rPr>
          <w:rFonts w:ascii="Arial" w:hAnsi="Arial" w:cs="Arial"/>
          <w:i/>
          <w:sz w:val="24"/>
          <w:szCs w:val="24"/>
        </w:rPr>
        <w:t xml:space="preserve"> </w:t>
      </w:r>
      <w:r w:rsidR="00E8320B" w:rsidRPr="002C770B">
        <w:rPr>
          <w:rFonts w:ascii="Arial" w:hAnsi="Arial" w:cs="Arial"/>
          <w:sz w:val="24"/>
          <w:szCs w:val="24"/>
        </w:rPr>
        <w:t xml:space="preserve">apply, even though decided before the introduction of s 128A. He submitted that the most pertinent factor in </w:t>
      </w:r>
      <w:r w:rsidR="00E8320B" w:rsidRPr="002C770B">
        <w:rPr>
          <w:rFonts w:ascii="Arial" w:hAnsi="Arial" w:cs="Arial"/>
          <w:i/>
          <w:sz w:val="24"/>
          <w:szCs w:val="24"/>
        </w:rPr>
        <w:t>Engelbrecht</w:t>
      </w:r>
      <w:r w:rsidR="00E8320B" w:rsidRPr="002C770B">
        <w:rPr>
          <w:rFonts w:ascii="Arial" w:hAnsi="Arial" w:cs="Arial"/>
          <w:sz w:val="24"/>
          <w:szCs w:val="24"/>
        </w:rPr>
        <w:t xml:space="preserve"> is that of remuneration. He referred to the amount received by members of the </w:t>
      </w:r>
      <w:r w:rsidR="003F316F">
        <w:rPr>
          <w:rFonts w:ascii="Arial" w:hAnsi="Arial" w:cs="Arial"/>
          <w:sz w:val="24"/>
          <w:szCs w:val="24"/>
        </w:rPr>
        <w:t>O</w:t>
      </w:r>
      <w:r w:rsidR="00E8320B" w:rsidRPr="002C770B">
        <w:rPr>
          <w:rFonts w:ascii="Arial" w:hAnsi="Arial" w:cs="Arial"/>
          <w:sz w:val="24"/>
          <w:szCs w:val="24"/>
        </w:rPr>
        <w:t>rder (N$9</w:t>
      </w:r>
      <w:r w:rsidR="00912DEA" w:rsidRPr="002C770B">
        <w:rPr>
          <w:rFonts w:ascii="Arial" w:hAnsi="Arial" w:cs="Arial"/>
          <w:sz w:val="24"/>
          <w:szCs w:val="24"/>
        </w:rPr>
        <w:t>4</w:t>
      </w:r>
      <w:r w:rsidR="00E8320B" w:rsidRPr="002C770B">
        <w:rPr>
          <w:rFonts w:ascii="Arial" w:hAnsi="Arial" w:cs="Arial"/>
          <w:sz w:val="24"/>
          <w:szCs w:val="24"/>
        </w:rPr>
        <w:t>0 per month) in addition to full board, lodging and medical care, paid at the end of each month. Mr Tjombe referred to the factor</w:t>
      </w:r>
      <w:r w:rsidR="00912DEA" w:rsidRPr="002C770B">
        <w:rPr>
          <w:rFonts w:ascii="Arial" w:hAnsi="Arial" w:cs="Arial"/>
          <w:sz w:val="24"/>
          <w:szCs w:val="24"/>
        </w:rPr>
        <w:t>s</w:t>
      </w:r>
      <w:r w:rsidR="00E8320B" w:rsidRPr="002C770B">
        <w:rPr>
          <w:rFonts w:ascii="Arial" w:hAnsi="Arial" w:cs="Arial"/>
          <w:sz w:val="24"/>
          <w:szCs w:val="24"/>
        </w:rPr>
        <w:t xml:space="preserve"> </w:t>
      </w:r>
      <w:r w:rsidR="001E67BA" w:rsidRPr="002C770B">
        <w:rPr>
          <w:rFonts w:ascii="Arial" w:hAnsi="Arial" w:cs="Arial"/>
          <w:sz w:val="24"/>
          <w:szCs w:val="24"/>
        </w:rPr>
        <w:t xml:space="preserve">listed in s </w:t>
      </w:r>
      <w:proofErr w:type="gramStart"/>
      <w:r w:rsidR="001E67BA" w:rsidRPr="002C770B">
        <w:rPr>
          <w:rFonts w:ascii="Arial" w:hAnsi="Arial" w:cs="Arial"/>
          <w:sz w:val="24"/>
          <w:szCs w:val="24"/>
        </w:rPr>
        <w:t>128A</w:t>
      </w:r>
      <w:r w:rsidR="00E8320B" w:rsidRPr="002C770B">
        <w:rPr>
          <w:rFonts w:ascii="Arial" w:hAnsi="Arial" w:cs="Arial"/>
          <w:sz w:val="24"/>
          <w:szCs w:val="24"/>
        </w:rPr>
        <w:t>(</w:t>
      </w:r>
      <w:proofErr w:type="gramEnd"/>
      <w:r w:rsidR="00E8320B" w:rsidRPr="002C770B">
        <w:rPr>
          <w:rFonts w:ascii="Arial" w:hAnsi="Arial" w:cs="Arial"/>
          <w:sz w:val="24"/>
          <w:szCs w:val="24"/>
        </w:rPr>
        <w:t xml:space="preserve">d) of working at least an average of 20 hours per week and the fact that members of the </w:t>
      </w:r>
      <w:r w:rsidR="003F316F">
        <w:rPr>
          <w:rFonts w:ascii="Arial" w:hAnsi="Arial" w:cs="Arial"/>
          <w:sz w:val="24"/>
          <w:szCs w:val="24"/>
        </w:rPr>
        <w:t>O</w:t>
      </w:r>
      <w:r w:rsidR="00E8320B" w:rsidRPr="002C770B">
        <w:rPr>
          <w:rFonts w:ascii="Arial" w:hAnsi="Arial" w:cs="Arial"/>
          <w:sz w:val="24"/>
          <w:szCs w:val="24"/>
        </w:rPr>
        <w:t>rder performed duties from 7h45 to 16h45 daily from Monday to Friday. He also argued that</w:t>
      </w:r>
      <w:r w:rsidR="00421E0F" w:rsidRPr="002C770B">
        <w:rPr>
          <w:rFonts w:ascii="Arial" w:hAnsi="Arial" w:cs="Arial"/>
          <w:sz w:val="24"/>
          <w:szCs w:val="24"/>
        </w:rPr>
        <w:t xml:space="preserve"> the presumption in</w:t>
      </w:r>
      <w:r w:rsidR="00E8320B" w:rsidRPr="002C770B">
        <w:rPr>
          <w:rFonts w:ascii="Arial" w:hAnsi="Arial" w:cs="Arial"/>
          <w:sz w:val="24"/>
          <w:szCs w:val="24"/>
        </w:rPr>
        <w:t xml:space="preserve"> s </w:t>
      </w:r>
      <w:proofErr w:type="gramStart"/>
      <w:r w:rsidR="00E8320B" w:rsidRPr="002C770B">
        <w:rPr>
          <w:rFonts w:ascii="Arial" w:hAnsi="Arial" w:cs="Arial"/>
          <w:sz w:val="24"/>
          <w:szCs w:val="24"/>
        </w:rPr>
        <w:t>128A(</w:t>
      </w:r>
      <w:proofErr w:type="gramEnd"/>
      <w:r w:rsidR="00E8320B" w:rsidRPr="002C770B">
        <w:rPr>
          <w:rFonts w:ascii="Arial" w:hAnsi="Arial" w:cs="Arial"/>
          <w:sz w:val="24"/>
          <w:szCs w:val="24"/>
        </w:rPr>
        <w:t xml:space="preserve">a) </w:t>
      </w:r>
      <w:r w:rsidR="00421E0F" w:rsidRPr="002C770B">
        <w:rPr>
          <w:rFonts w:ascii="Arial" w:hAnsi="Arial" w:cs="Arial"/>
          <w:sz w:val="24"/>
          <w:szCs w:val="24"/>
        </w:rPr>
        <w:t>arose</w:t>
      </w:r>
      <w:r w:rsidR="00E8320B" w:rsidRPr="002C770B">
        <w:rPr>
          <w:rFonts w:ascii="Arial" w:hAnsi="Arial" w:cs="Arial"/>
          <w:sz w:val="24"/>
          <w:szCs w:val="24"/>
        </w:rPr>
        <w:t xml:space="preserve">, given the degree of control the appellant </w:t>
      </w:r>
      <w:r w:rsidR="00E8320B" w:rsidRPr="002C770B">
        <w:rPr>
          <w:rFonts w:ascii="Arial" w:hAnsi="Arial" w:cs="Arial"/>
          <w:sz w:val="24"/>
          <w:szCs w:val="24"/>
        </w:rPr>
        <w:lastRenderedPageBreak/>
        <w:t>exercised over members</w:t>
      </w:r>
      <w:r w:rsidR="00D5161B" w:rsidRPr="002C770B">
        <w:rPr>
          <w:rFonts w:ascii="Arial" w:hAnsi="Arial" w:cs="Arial"/>
          <w:sz w:val="24"/>
          <w:szCs w:val="24"/>
        </w:rPr>
        <w:t xml:space="preserve"> of the order. Mr Tjombe argued that the appellant was thus an employer for the purpose of the Act. </w:t>
      </w:r>
    </w:p>
    <w:p w:rsidR="002C770B" w:rsidRDefault="002C770B" w:rsidP="002C770B">
      <w:pPr>
        <w:pStyle w:val="NoSpacing"/>
        <w:spacing w:line="480" w:lineRule="auto"/>
        <w:jc w:val="both"/>
        <w:rPr>
          <w:rFonts w:ascii="Arial" w:hAnsi="Arial" w:cs="Arial"/>
          <w:sz w:val="24"/>
          <w:szCs w:val="24"/>
        </w:rPr>
      </w:pPr>
    </w:p>
    <w:p w:rsidR="007E4608" w:rsidRDefault="00D5161B" w:rsidP="00354397">
      <w:pPr>
        <w:pStyle w:val="NoSpacing"/>
        <w:numPr>
          <w:ilvl w:val="0"/>
          <w:numId w:val="4"/>
        </w:numPr>
        <w:spacing w:line="480" w:lineRule="auto"/>
        <w:ind w:left="0" w:firstLine="0"/>
        <w:jc w:val="both"/>
        <w:rPr>
          <w:rFonts w:ascii="Arial" w:hAnsi="Arial" w:cs="Arial"/>
          <w:sz w:val="24"/>
          <w:szCs w:val="24"/>
        </w:rPr>
      </w:pPr>
      <w:r w:rsidRPr="007E4608">
        <w:rPr>
          <w:rFonts w:ascii="Arial" w:hAnsi="Arial" w:cs="Arial"/>
          <w:sz w:val="24"/>
          <w:szCs w:val="24"/>
        </w:rPr>
        <w:t xml:space="preserve">As to the issue of deregistration, Mr Tjombe </w:t>
      </w:r>
      <w:r w:rsidR="00912DEA" w:rsidRPr="007E4608">
        <w:rPr>
          <w:rFonts w:ascii="Arial" w:hAnsi="Arial" w:cs="Arial"/>
          <w:sz w:val="24"/>
          <w:szCs w:val="24"/>
        </w:rPr>
        <w:t>correctly conceded</w:t>
      </w:r>
      <w:r w:rsidRPr="007E4608">
        <w:rPr>
          <w:rFonts w:ascii="Arial" w:hAnsi="Arial" w:cs="Arial"/>
          <w:sz w:val="24"/>
          <w:szCs w:val="24"/>
        </w:rPr>
        <w:t xml:space="preserve"> that </w:t>
      </w:r>
      <w:r w:rsidR="00912DEA" w:rsidRPr="007E4608">
        <w:rPr>
          <w:rFonts w:ascii="Arial" w:hAnsi="Arial" w:cs="Arial"/>
          <w:sz w:val="24"/>
          <w:szCs w:val="24"/>
        </w:rPr>
        <w:t>although not expressly provided for</w:t>
      </w:r>
      <w:r w:rsidR="00421E0F" w:rsidRPr="007E4608">
        <w:rPr>
          <w:rFonts w:ascii="Arial" w:hAnsi="Arial" w:cs="Arial"/>
          <w:sz w:val="24"/>
          <w:szCs w:val="24"/>
        </w:rPr>
        <w:t>,</w:t>
      </w:r>
      <w:r w:rsidR="00912DEA" w:rsidRPr="007E4608">
        <w:rPr>
          <w:rFonts w:ascii="Arial" w:hAnsi="Arial" w:cs="Arial"/>
          <w:sz w:val="24"/>
          <w:szCs w:val="24"/>
        </w:rPr>
        <w:t xml:space="preserve"> </w:t>
      </w:r>
      <w:r w:rsidRPr="007E4608">
        <w:rPr>
          <w:rFonts w:ascii="Arial" w:hAnsi="Arial" w:cs="Arial"/>
          <w:sz w:val="24"/>
          <w:szCs w:val="24"/>
        </w:rPr>
        <w:t xml:space="preserve">the Act afforded the Commission </w:t>
      </w:r>
      <w:r w:rsidR="00912DEA" w:rsidRPr="007E4608">
        <w:rPr>
          <w:rFonts w:ascii="Arial" w:hAnsi="Arial" w:cs="Arial"/>
          <w:sz w:val="24"/>
          <w:szCs w:val="24"/>
        </w:rPr>
        <w:t>the</w:t>
      </w:r>
      <w:r w:rsidRPr="007E4608">
        <w:rPr>
          <w:rFonts w:ascii="Arial" w:hAnsi="Arial" w:cs="Arial"/>
          <w:sz w:val="24"/>
          <w:szCs w:val="24"/>
        </w:rPr>
        <w:t xml:space="preserve"> power to deregister </w:t>
      </w:r>
      <w:r w:rsidR="00912DEA" w:rsidRPr="007E4608">
        <w:rPr>
          <w:rFonts w:ascii="Arial" w:hAnsi="Arial" w:cs="Arial"/>
          <w:sz w:val="24"/>
          <w:szCs w:val="24"/>
        </w:rPr>
        <w:t>an employer provided that that entity ceased to employ any employees</w:t>
      </w:r>
      <w:r w:rsidR="007E4608" w:rsidRPr="007E4608">
        <w:rPr>
          <w:rFonts w:ascii="Arial" w:hAnsi="Arial" w:cs="Arial"/>
          <w:sz w:val="24"/>
          <w:szCs w:val="24"/>
        </w:rPr>
        <w:t>.</w:t>
      </w:r>
      <w:r w:rsidR="00421E0F" w:rsidRPr="007E4608">
        <w:rPr>
          <w:rFonts w:ascii="Arial" w:hAnsi="Arial" w:cs="Arial"/>
          <w:sz w:val="24"/>
          <w:szCs w:val="24"/>
        </w:rPr>
        <w:t xml:space="preserve"> </w:t>
      </w:r>
    </w:p>
    <w:p w:rsidR="002C770B" w:rsidRPr="007E4608" w:rsidRDefault="002C770B" w:rsidP="00354397">
      <w:pPr>
        <w:pStyle w:val="NoSpacing"/>
        <w:spacing w:line="480" w:lineRule="auto"/>
        <w:jc w:val="both"/>
        <w:rPr>
          <w:rFonts w:ascii="Arial" w:hAnsi="Arial" w:cs="Arial"/>
          <w:sz w:val="24"/>
          <w:szCs w:val="24"/>
        </w:rPr>
      </w:pPr>
    </w:p>
    <w:p w:rsidR="002C770B" w:rsidRDefault="00912DEA"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Mr Tjombe submitted that the approach of the appellant was misconceived. Given the relief sought by it</w:t>
      </w:r>
      <w:r w:rsidR="002B1937">
        <w:rPr>
          <w:rFonts w:ascii="Arial" w:hAnsi="Arial" w:cs="Arial"/>
          <w:sz w:val="24"/>
          <w:szCs w:val="24"/>
        </w:rPr>
        <w:t xml:space="preserve"> on appeal</w:t>
      </w:r>
      <w:r w:rsidRPr="002C770B">
        <w:rPr>
          <w:rFonts w:ascii="Arial" w:hAnsi="Arial" w:cs="Arial"/>
          <w:sz w:val="24"/>
          <w:szCs w:val="24"/>
        </w:rPr>
        <w:t xml:space="preserve">, the proper remedy would </w:t>
      </w:r>
      <w:r w:rsidR="002B1937">
        <w:rPr>
          <w:rFonts w:ascii="Arial" w:hAnsi="Arial" w:cs="Arial"/>
          <w:sz w:val="24"/>
          <w:szCs w:val="24"/>
        </w:rPr>
        <w:t xml:space="preserve">instead </w:t>
      </w:r>
      <w:r w:rsidRPr="002C770B">
        <w:rPr>
          <w:rFonts w:ascii="Arial" w:hAnsi="Arial" w:cs="Arial"/>
          <w:sz w:val="24"/>
          <w:szCs w:val="24"/>
        </w:rPr>
        <w:t>have been to apply for a declaratory order supported by all relevant facts such as the full value of full board and lodging and medical expenses to members. Mr Tjombe criticised the procedure followed by the appellant in approaching the Commission to deregister as an employer without qualification and without the support and consent of the affected employees. He also argued that the appeal is confined to what served before the Commission and that the further factual matter included in the affidavit to the Labour Court is to be disregarded.</w:t>
      </w:r>
    </w:p>
    <w:p w:rsidR="002C770B" w:rsidRDefault="002C770B" w:rsidP="002C770B">
      <w:pPr>
        <w:pStyle w:val="ListParagraph"/>
        <w:rPr>
          <w:rFonts w:ascii="Arial" w:hAnsi="Arial" w:cs="Arial"/>
          <w:sz w:val="24"/>
          <w:szCs w:val="24"/>
        </w:rPr>
      </w:pPr>
    </w:p>
    <w:p w:rsidR="002C770B" w:rsidRPr="007D5603" w:rsidRDefault="002C770B" w:rsidP="002C770B">
      <w:pPr>
        <w:rPr>
          <w:rFonts w:ascii="Arial" w:hAnsi="Arial" w:cs="Arial"/>
          <w:sz w:val="24"/>
          <w:szCs w:val="24"/>
          <w:u w:val="single"/>
        </w:rPr>
      </w:pPr>
      <w:r>
        <w:rPr>
          <w:rFonts w:ascii="Arial" w:hAnsi="Arial" w:cs="Arial"/>
          <w:sz w:val="24"/>
          <w:szCs w:val="24"/>
          <w:u w:val="single"/>
        </w:rPr>
        <w:t>The statutory framework</w:t>
      </w:r>
    </w:p>
    <w:p w:rsidR="002C770B" w:rsidRDefault="007D5603"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The Act’s purpose is to provide for the payment of certain employment benefits such as maternity leave, sick leave, death and other benefits to employees. It does so by requiring employe</w:t>
      </w:r>
      <w:r w:rsidR="000D060C">
        <w:rPr>
          <w:rFonts w:ascii="Arial" w:hAnsi="Arial" w:cs="Arial"/>
          <w:sz w:val="24"/>
          <w:szCs w:val="24"/>
        </w:rPr>
        <w:t>r</w:t>
      </w:r>
      <w:r w:rsidRPr="002C770B">
        <w:rPr>
          <w:rFonts w:ascii="Arial" w:hAnsi="Arial" w:cs="Arial"/>
          <w:sz w:val="24"/>
          <w:szCs w:val="24"/>
        </w:rPr>
        <w:t xml:space="preserve">s to register with it and to pay contributions to </w:t>
      </w:r>
      <w:r w:rsidR="00912DEA" w:rsidRPr="002C770B">
        <w:rPr>
          <w:rFonts w:ascii="Arial" w:hAnsi="Arial" w:cs="Arial"/>
          <w:sz w:val="24"/>
          <w:szCs w:val="24"/>
        </w:rPr>
        <w:t>the</w:t>
      </w:r>
      <w:r w:rsidRPr="002C770B">
        <w:rPr>
          <w:rFonts w:ascii="Arial" w:hAnsi="Arial" w:cs="Arial"/>
          <w:sz w:val="24"/>
          <w:szCs w:val="24"/>
        </w:rPr>
        <w:t xml:space="preserve"> funds </w:t>
      </w:r>
      <w:r w:rsidR="00912DEA" w:rsidRPr="002C770B">
        <w:rPr>
          <w:rFonts w:ascii="Arial" w:hAnsi="Arial" w:cs="Arial"/>
          <w:sz w:val="24"/>
          <w:szCs w:val="24"/>
        </w:rPr>
        <w:t xml:space="preserve">created by the Act </w:t>
      </w:r>
      <w:r w:rsidR="00421E0F" w:rsidRPr="002C770B">
        <w:rPr>
          <w:rFonts w:ascii="Arial" w:hAnsi="Arial" w:cs="Arial"/>
          <w:sz w:val="24"/>
          <w:szCs w:val="24"/>
        </w:rPr>
        <w:t>by</w:t>
      </w:r>
      <w:r w:rsidRPr="002C770B">
        <w:rPr>
          <w:rFonts w:ascii="Arial" w:hAnsi="Arial" w:cs="Arial"/>
          <w:sz w:val="24"/>
          <w:szCs w:val="24"/>
        </w:rPr>
        <w:t xml:space="preserve"> collect</w:t>
      </w:r>
      <w:r w:rsidR="00421E0F" w:rsidRPr="002C770B">
        <w:rPr>
          <w:rFonts w:ascii="Arial" w:hAnsi="Arial" w:cs="Arial"/>
          <w:sz w:val="24"/>
          <w:szCs w:val="24"/>
        </w:rPr>
        <w:t>ing</w:t>
      </w:r>
      <w:r w:rsidRPr="002C770B">
        <w:rPr>
          <w:rFonts w:ascii="Arial" w:hAnsi="Arial" w:cs="Arial"/>
          <w:sz w:val="24"/>
          <w:szCs w:val="24"/>
        </w:rPr>
        <w:t xml:space="preserve"> and pay</w:t>
      </w:r>
      <w:r w:rsidR="00421E0F" w:rsidRPr="002C770B">
        <w:rPr>
          <w:rFonts w:ascii="Arial" w:hAnsi="Arial" w:cs="Arial"/>
          <w:sz w:val="24"/>
          <w:szCs w:val="24"/>
        </w:rPr>
        <w:t>ing</w:t>
      </w:r>
      <w:r w:rsidRPr="002C770B">
        <w:rPr>
          <w:rFonts w:ascii="Arial" w:hAnsi="Arial" w:cs="Arial"/>
          <w:sz w:val="24"/>
          <w:szCs w:val="24"/>
        </w:rPr>
        <w:t xml:space="preserve"> over contributions levied from employees</w:t>
      </w:r>
      <w:r w:rsidR="00912DEA" w:rsidRPr="002C770B">
        <w:rPr>
          <w:rFonts w:ascii="Arial" w:hAnsi="Arial" w:cs="Arial"/>
          <w:sz w:val="24"/>
          <w:szCs w:val="24"/>
        </w:rPr>
        <w:t xml:space="preserve"> and pay</w:t>
      </w:r>
      <w:r w:rsidR="00421E0F" w:rsidRPr="002C770B">
        <w:rPr>
          <w:rFonts w:ascii="Arial" w:hAnsi="Arial" w:cs="Arial"/>
          <w:sz w:val="24"/>
          <w:szCs w:val="24"/>
        </w:rPr>
        <w:t>ing</w:t>
      </w:r>
      <w:r w:rsidR="00912DEA" w:rsidRPr="002C770B">
        <w:rPr>
          <w:rFonts w:ascii="Arial" w:hAnsi="Arial" w:cs="Arial"/>
          <w:sz w:val="24"/>
          <w:szCs w:val="24"/>
        </w:rPr>
        <w:t xml:space="preserve"> its own prescribed contributions</w:t>
      </w:r>
      <w:r w:rsidRPr="002C770B">
        <w:rPr>
          <w:rFonts w:ascii="Arial" w:hAnsi="Arial" w:cs="Arial"/>
          <w:sz w:val="24"/>
          <w:szCs w:val="24"/>
        </w:rPr>
        <w:t xml:space="preserve">. The Act </w:t>
      </w:r>
      <w:r w:rsidR="00421E0F" w:rsidRPr="002C770B">
        <w:rPr>
          <w:rFonts w:ascii="Arial" w:hAnsi="Arial" w:cs="Arial"/>
          <w:sz w:val="24"/>
          <w:szCs w:val="24"/>
        </w:rPr>
        <w:t>constitutes</w:t>
      </w:r>
      <w:r w:rsidRPr="002C770B">
        <w:rPr>
          <w:rFonts w:ascii="Arial" w:hAnsi="Arial" w:cs="Arial"/>
          <w:sz w:val="24"/>
          <w:szCs w:val="24"/>
        </w:rPr>
        <w:t xml:space="preserve"> </w:t>
      </w:r>
      <w:r w:rsidR="00575CA4" w:rsidRPr="002C770B">
        <w:rPr>
          <w:rFonts w:ascii="Arial" w:hAnsi="Arial" w:cs="Arial"/>
          <w:sz w:val="24"/>
          <w:szCs w:val="24"/>
        </w:rPr>
        <w:t xml:space="preserve">protective </w:t>
      </w:r>
      <w:r w:rsidRPr="002C770B">
        <w:rPr>
          <w:rFonts w:ascii="Arial" w:hAnsi="Arial" w:cs="Arial"/>
          <w:sz w:val="24"/>
          <w:szCs w:val="24"/>
        </w:rPr>
        <w:t>social legislation to facilitate the payment of certain minimum benefits to employees.</w:t>
      </w:r>
    </w:p>
    <w:p w:rsidR="002C770B" w:rsidRDefault="002C770B" w:rsidP="002C770B">
      <w:pPr>
        <w:pStyle w:val="NoSpacing"/>
        <w:spacing w:line="480" w:lineRule="auto"/>
        <w:jc w:val="both"/>
        <w:rPr>
          <w:rFonts w:ascii="Arial" w:hAnsi="Arial" w:cs="Arial"/>
          <w:sz w:val="24"/>
          <w:szCs w:val="24"/>
        </w:rPr>
      </w:pPr>
    </w:p>
    <w:p w:rsidR="002C770B" w:rsidRDefault="007D5603"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lastRenderedPageBreak/>
        <w:t>All employers are required to register</w:t>
      </w:r>
      <w:r w:rsidR="00575CA4" w:rsidRPr="002C770B">
        <w:rPr>
          <w:rFonts w:ascii="Arial" w:hAnsi="Arial" w:cs="Arial"/>
          <w:sz w:val="24"/>
          <w:szCs w:val="24"/>
        </w:rPr>
        <w:t xml:space="preserve"> under s 20</w:t>
      </w:r>
      <w:r w:rsidRPr="002C770B">
        <w:rPr>
          <w:rFonts w:ascii="Arial" w:hAnsi="Arial" w:cs="Arial"/>
          <w:sz w:val="24"/>
          <w:szCs w:val="24"/>
        </w:rPr>
        <w:t>.</w:t>
      </w:r>
      <w:r w:rsidR="00575CA4" w:rsidRPr="002C770B">
        <w:rPr>
          <w:rFonts w:ascii="Arial" w:hAnsi="Arial" w:cs="Arial"/>
          <w:sz w:val="24"/>
          <w:szCs w:val="24"/>
        </w:rPr>
        <w:t xml:space="preserve"> That section not only requires employers to register themselves but every employee employed by them as an employee. The obligation to so register is at pai</w:t>
      </w:r>
      <w:r w:rsidR="00421E0F" w:rsidRPr="002C770B">
        <w:rPr>
          <w:rFonts w:ascii="Arial" w:hAnsi="Arial" w:cs="Arial"/>
          <w:sz w:val="24"/>
          <w:szCs w:val="24"/>
        </w:rPr>
        <w:t>n</w:t>
      </w:r>
      <w:r w:rsidR="00575CA4" w:rsidRPr="002C770B">
        <w:rPr>
          <w:rFonts w:ascii="Arial" w:hAnsi="Arial" w:cs="Arial"/>
          <w:sz w:val="24"/>
          <w:szCs w:val="24"/>
        </w:rPr>
        <w:t xml:space="preserve"> of criminal sanction.</w:t>
      </w:r>
      <w:r w:rsidRPr="002C770B">
        <w:rPr>
          <w:rFonts w:ascii="Arial" w:hAnsi="Arial" w:cs="Arial"/>
          <w:sz w:val="24"/>
          <w:szCs w:val="24"/>
        </w:rPr>
        <w:t xml:space="preserve"> The Act defines both employers and employees in its definition</w:t>
      </w:r>
      <w:r w:rsidR="007E4608">
        <w:rPr>
          <w:rFonts w:ascii="Arial" w:hAnsi="Arial" w:cs="Arial"/>
          <w:sz w:val="24"/>
          <w:szCs w:val="24"/>
        </w:rPr>
        <w:t>s</w:t>
      </w:r>
      <w:r w:rsidRPr="002C770B">
        <w:rPr>
          <w:rFonts w:ascii="Arial" w:hAnsi="Arial" w:cs="Arial"/>
          <w:sz w:val="24"/>
          <w:szCs w:val="24"/>
        </w:rPr>
        <w:t xml:space="preserve"> section.</w:t>
      </w:r>
      <w:r w:rsidR="00575CA4">
        <w:rPr>
          <w:rStyle w:val="FootnoteReference"/>
          <w:rFonts w:ascii="Arial" w:hAnsi="Arial" w:cs="Arial"/>
          <w:sz w:val="24"/>
          <w:szCs w:val="24"/>
        </w:rPr>
        <w:footnoteReference w:id="7"/>
      </w:r>
      <w:r w:rsidR="00FD0D92" w:rsidRPr="002C770B">
        <w:rPr>
          <w:rFonts w:ascii="Arial" w:hAnsi="Arial" w:cs="Arial"/>
          <w:sz w:val="24"/>
          <w:szCs w:val="24"/>
        </w:rPr>
        <w:t xml:space="preserve"> An employer is defined as</w:t>
      </w:r>
      <w:r w:rsidR="00374519" w:rsidRPr="002C770B">
        <w:rPr>
          <w:rFonts w:ascii="Arial" w:hAnsi="Arial" w:cs="Arial"/>
          <w:sz w:val="24"/>
          <w:szCs w:val="24"/>
        </w:rPr>
        <w:t>:</w:t>
      </w:r>
      <w:r w:rsidR="00FD0D92" w:rsidRPr="002C770B">
        <w:rPr>
          <w:rFonts w:ascii="Arial" w:hAnsi="Arial" w:cs="Arial"/>
          <w:sz w:val="24"/>
          <w:szCs w:val="24"/>
        </w:rPr>
        <w:t xml:space="preserve"> </w:t>
      </w:r>
    </w:p>
    <w:p w:rsidR="002C770B" w:rsidRDefault="002C770B" w:rsidP="002C770B">
      <w:pPr>
        <w:pStyle w:val="ListParagraph"/>
        <w:rPr>
          <w:rFonts w:ascii="Arial" w:hAnsi="Arial" w:cs="Arial"/>
          <w:sz w:val="24"/>
          <w:szCs w:val="24"/>
        </w:rPr>
      </w:pPr>
    </w:p>
    <w:p w:rsidR="002C770B" w:rsidRPr="00243A65" w:rsidRDefault="002C770B" w:rsidP="002C770B">
      <w:pPr>
        <w:pStyle w:val="NoSpacing"/>
        <w:spacing w:line="360" w:lineRule="auto"/>
        <w:ind w:firstLine="720"/>
        <w:jc w:val="both"/>
        <w:rPr>
          <w:rFonts w:ascii="Arial" w:hAnsi="Arial" w:cs="Arial"/>
        </w:rPr>
      </w:pPr>
      <w:r w:rsidRPr="00243A65">
        <w:rPr>
          <w:rFonts w:ascii="Arial" w:hAnsi="Arial" w:cs="Arial"/>
        </w:rPr>
        <w:t xml:space="preserve">‘Any person, including the State – </w:t>
      </w:r>
    </w:p>
    <w:p w:rsidR="002C770B" w:rsidRPr="00243A65" w:rsidRDefault="002C770B" w:rsidP="002C770B">
      <w:pPr>
        <w:pStyle w:val="ListParagraph"/>
        <w:spacing w:after="0" w:line="360" w:lineRule="auto"/>
        <w:rPr>
          <w:rFonts w:ascii="Arial" w:hAnsi="Arial" w:cs="Arial"/>
        </w:rPr>
      </w:pPr>
    </w:p>
    <w:p w:rsidR="002C770B" w:rsidRPr="00243A65" w:rsidRDefault="002C770B" w:rsidP="002C770B">
      <w:pPr>
        <w:pStyle w:val="NoSpacing"/>
        <w:numPr>
          <w:ilvl w:val="0"/>
          <w:numId w:val="24"/>
        </w:numPr>
        <w:spacing w:line="360" w:lineRule="auto"/>
        <w:ind w:left="2116" w:hanging="698"/>
        <w:jc w:val="both"/>
        <w:rPr>
          <w:rFonts w:ascii="Arial" w:hAnsi="Arial" w:cs="Arial"/>
        </w:rPr>
      </w:pPr>
      <w:r w:rsidRPr="00243A65">
        <w:rPr>
          <w:rFonts w:ascii="Arial" w:hAnsi="Arial" w:cs="Arial"/>
        </w:rPr>
        <w:t xml:space="preserve">who employs, or provides work for, any person and who remunerates or expressly or tacitly undertakes to remunerate that person; </w:t>
      </w:r>
    </w:p>
    <w:p w:rsidR="002C770B" w:rsidRPr="00243A65" w:rsidRDefault="002C770B" w:rsidP="002C770B">
      <w:pPr>
        <w:pStyle w:val="NoSpacing"/>
        <w:spacing w:line="360" w:lineRule="auto"/>
        <w:ind w:left="1418"/>
        <w:jc w:val="both"/>
        <w:rPr>
          <w:rFonts w:ascii="Arial" w:hAnsi="Arial" w:cs="Arial"/>
        </w:rPr>
      </w:pPr>
    </w:p>
    <w:p w:rsidR="002C770B" w:rsidRPr="00243A65" w:rsidRDefault="002C770B" w:rsidP="002C770B">
      <w:pPr>
        <w:pStyle w:val="NoSpacing"/>
        <w:numPr>
          <w:ilvl w:val="0"/>
          <w:numId w:val="24"/>
        </w:numPr>
        <w:spacing w:line="360" w:lineRule="auto"/>
        <w:ind w:left="2116" w:hanging="698"/>
        <w:jc w:val="both"/>
        <w:rPr>
          <w:rFonts w:ascii="Arial" w:hAnsi="Arial" w:cs="Arial"/>
        </w:rPr>
      </w:pPr>
      <w:proofErr w:type="gramStart"/>
      <w:r w:rsidRPr="00243A65">
        <w:rPr>
          <w:rFonts w:ascii="Arial" w:hAnsi="Arial" w:cs="Arial"/>
        </w:rPr>
        <w:t>who</w:t>
      </w:r>
      <w:proofErr w:type="gramEnd"/>
      <w:r w:rsidRPr="00243A65">
        <w:rPr>
          <w:rFonts w:ascii="Arial" w:hAnsi="Arial" w:cs="Arial"/>
        </w:rPr>
        <w:t xml:space="preserve"> permits any person to assist him or her in any manner in the carrying on, or conducting of, his or her business’. </w:t>
      </w:r>
    </w:p>
    <w:p w:rsidR="002C770B" w:rsidRPr="00243A65" w:rsidRDefault="002C770B" w:rsidP="002C770B">
      <w:pPr>
        <w:pStyle w:val="ListParagraph"/>
        <w:spacing w:after="0" w:line="360" w:lineRule="auto"/>
        <w:rPr>
          <w:rFonts w:ascii="Arial" w:hAnsi="Arial" w:cs="Arial"/>
        </w:rPr>
      </w:pPr>
    </w:p>
    <w:p w:rsidR="002C770B" w:rsidRPr="00243A65" w:rsidRDefault="002C770B" w:rsidP="002C770B">
      <w:pPr>
        <w:pStyle w:val="NoSpacing"/>
        <w:spacing w:line="360" w:lineRule="auto"/>
        <w:jc w:val="both"/>
        <w:rPr>
          <w:rFonts w:ascii="Arial" w:hAnsi="Arial" w:cs="Arial"/>
        </w:rPr>
      </w:pPr>
      <w:r w:rsidRPr="00243A65">
        <w:rPr>
          <w:rFonts w:ascii="Arial" w:hAnsi="Arial" w:cs="Arial"/>
        </w:rPr>
        <w:t>An employee is in turn defined as:</w:t>
      </w:r>
    </w:p>
    <w:p w:rsidR="002C770B" w:rsidRPr="00243A65" w:rsidRDefault="002C770B" w:rsidP="002C770B">
      <w:pPr>
        <w:pStyle w:val="NoSpacing"/>
        <w:spacing w:line="360" w:lineRule="auto"/>
        <w:ind w:left="720"/>
        <w:jc w:val="both"/>
        <w:rPr>
          <w:rFonts w:ascii="Arial" w:hAnsi="Arial" w:cs="Arial"/>
        </w:rPr>
      </w:pPr>
    </w:p>
    <w:p w:rsidR="002C770B" w:rsidRPr="00243A65" w:rsidRDefault="002C770B" w:rsidP="002C770B">
      <w:pPr>
        <w:pStyle w:val="NoSpacing"/>
        <w:spacing w:line="360" w:lineRule="auto"/>
        <w:ind w:left="720"/>
        <w:jc w:val="both"/>
        <w:rPr>
          <w:rFonts w:ascii="Arial" w:hAnsi="Arial" w:cs="Arial"/>
        </w:rPr>
      </w:pPr>
      <w:r w:rsidRPr="00243A65">
        <w:rPr>
          <w:rFonts w:ascii="Arial" w:hAnsi="Arial" w:cs="Arial"/>
        </w:rPr>
        <w:t xml:space="preserve">‘Any person younger than 65 years, other than an independent contractor, who – </w:t>
      </w:r>
    </w:p>
    <w:p w:rsidR="002C770B" w:rsidRPr="00243A65" w:rsidRDefault="002C770B" w:rsidP="002C770B">
      <w:pPr>
        <w:pStyle w:val="ListParagraph"/>
        <w:spacing w:after="0" w:line="360" w:lineRule="auto"/>
        <w:rPr>
          <w:rFonts w:ascii="Arial" w:hAnsi="Arial" w:cs="Arial"/>
        </w:rPr>
      </w:pPr>
    </w:p>
    <w:p w:rsidR="002C770B" w:rsidRPr="00243A65" w:rsidRDefault="002C770B" w:rsidP="002C770B">
      <w:pPr>
        <w:pStyle w:val="NoSpacing"/>
        <w:numPr>
          <w:ilvl w:val="0"/>
          <w:numId w:val="25"/>
        </w:numPr>
        <w:spacing w:line="360" w:lineRule="auto"/>
        <w:ind w:left="1985" w:hanging="545"/>
        <w:jc w:val="both"/>
        <w:rPr>
          <w:rFonts w:ascii="Arial" w:hAnsi="Arial" w:cs="Arial"/>
        </w:rPr>
      </w:pPr>
      <w:r w:rsidRPr="00243A65">
        <w:rPr>
          <w:rFonts w:ascii="Arial" w:hAnsi="Arial" w:cs="Arial"/>
        </w:rPr>
        <w:t xml:space="preserve">is employed by or working for any employer and who is receiving or entitled to receive any remuneration in respect thereof; or </w:t>
      </w:r>
    </w:p>
    <w:p w:rsidR="002C770B" w:rsidRPr="00243A65" w:rsidRDefault="002C770B" w:rsidP="002C770B">
      <w:pPr>
        <w:pStyle w:val="NoSpacing"/>
        <w:spacing w:line="360" w:lineRule="auto"/>
        <w:ind w:left="1985"/>
        <w:jc w:val="both"/>
        <w:rPr>
          <w:rFonts w:ascii="Arial" w:hAnsi="Arial" w:cs="Arial"/>
        </w:rPr>
      </w:pPr>
    </w:p>
    <w:p w:rsidR="002C770B" w:rsidRPr="00243A65" w:rsidRDefault="002C770B" w:rsidP="002C770B">
      <w:pPr>
        <w:pStyle w:val="NoSpacing"/>
        <w:numPr>
          <w:ilvl w:val="0"/>
          <w:numId w:val="25"/>
        </w:numPr>
        <w:spacing w:line="360" w:lineRule="auto"/>
        <w:ind w:left="1985" w:hanging="545"/>
        <w:jc w:val="both"/>
        <w:rPr>
          <w:rFonts w:ascii="Arial" w:hAnsi="Arial" w:cs="Arial"/>
        </w:rPr>
      </w:pPr>
      <w:r w:rsidRPr="00243A65">
        <w:rPr>
          <w:rFonts w:ascii="Arial" w:hAnsi="Arial" w:cs="Arial"/>
        </w:rPr>
        <w:t xml:space="preserve">in any manner assists in the carrying on or the conducting of the business of an employer, </w:t>
      </w:r>
    </w:p>
    <w:p w:rsidR="002C770B" w:rsidRPr="00243A65" w:rsidRDefault="002C770B" w:rsidP="002C770B">
      <w:pPr>
        <w:pStyle w:val="ListParagraph"/>
        <w:spacing w:line="360" w:lineRule="auto"/>
        <w:rPr>
          <w:rFonts w:ascii="Arial" w:hAnsi="Arial" w:cs="Arial"/>
        </w:rPr>
      </w:pPr>
    </w:p>
    <w:p w:rsidR="002C770B" w:rsidRPr="00243A65" w:rsidRDefault="002C770B" w:rsidP="002C770B">
      <w:pPr>
        <w:pStyle w:val="NoSpacing"/>
        <w:numPr>
          <w:ilvl w:val="0"/>
          <w:numId w:val="25"/>
        </w:numPr>
        <w:spacing w:line="360" w:lineRule="auto"/>
        <w:ind w:left="1985" w:hanging="545"/>
        <w:jc w:val="both"/>
        <w:rPr>
          <w:rFonts w:ascii="Arial" w:hAnsi="Arial" w:cs="Arial"/>
        </w:rPr>
      </w:pPr>
      <w:r w:rsidRPr="00243A65">
        <w:rPr>
          <w:rFonts w:ascii="Arial" w:hAnsi="Arial" w:cs="Arial"/>
        </w:rPr>
        <w:t xml:space="preserve">and includes, in the case of an employer who carries on or conducts business mainly within Namibia, any such natural person so employed by, or working for, such employer outside Namibia or assisting such employer in the carrying on or conducting of such business outside Republic of Namibia if such person is a Namibian citizen or lawfully admitted to Namibia for permanent residence therein, and ‘employed’ and ‘employment’ shall have corresponding meanings’. </w:t>
      </w:r>
    </w:p>
    <w:p w:rsidR="002C770B" w:rsidRDefault="002C770B" w:rsidP="002C770B">
      <w:pPr>
        <w:pStyle w:val="ListParagraph"/>
        <w:rPr>
          <w:rFonts w:ascii="Arial" w:hAnsi="Arial" w:cs="Arial"/>
          <w:sz w:val="24"/>
          <w:szCs w:val="24"/>
        </w:rPr>
      </w:pPr>
    </w:p>
    <w:p w:rsidR="002C770B" w:rsidRDefault="00706CC2"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lastRenderedPageBreak/>
        <w:t>Also relevant</w:t>
      </w:r>
      <w:r w:rsidR="00504695" w:rsidRPr="002C770B">
        <w:rPr>
          <w:rFonts w:ascii="Arial" w:hAnsi="Arial" w:cs="Arial"/>
          <w:sz w:val="24"/>
          <w:szCs w:val="24"/>
        </w:rPr>
        <w:t xml:space="preserve"> to these proceedings is s 128A of the Labour Act which provides:-</w:t>
      </w:r>
    </w:p>
    <w:p w:rsidR="002C770B" w:rsidRDefault="002C770B" w:rsidP="002C770B">
      <w:pPr>
        <w:pStyle w:val="NoSpacing"/>
        <w:spacing w:line="480" w:lineRule="auto"/>
        <w:jc w:val="both"/>
        <w:rPr>
          <w:rFonts w:ascii="Arial" w:hAnsi="Arial" w:cs="Arial"/>
          <w:sz w:val="24"/>
          <w:szCs w:val="24"/>
        </w:rPr>
      </w:pPr>
    </w:p>
    <w:p w:rsidR="002C770B" w:rsidRDefault="002C770B" w:rsidP="002C770B">
      <w:pPr>
        <w:pStyle w:val="NoSpacing"/>
        <w:spacing w:line="360" w:lineRule="auto"/>
        <w:ind w:left="720"/>
        <w:jc w:val="both"/>
        <w:rPr>
          <w:rFonts w:ascii="Arial" w:hAnsi="Arial" w:cs="Arial"/>
        </w:rPr>
      </w:pPr>
      <w:r w:rsidRPr="00504695">
        <w:rPr>
          <w:rFonts w:ascii="Arial" w:hAnsi="Arial" w:cs="Arial"/>
        </w:rPr>
        <w:t xml:space="preserve">‘For the purposes of this Act or any other employment law, until the contrary is proved, an individual who works for or renders services to any other person, is presumed to be an employee of that other person, regardless of the form of the contract or the designation of the individual, if any one or more of the following factors is present: </w:t>
      </w:r>
    </w:p>
    <w:p w:rsidR="002C770B" w:rsidRDefault="002C770B" w:rsidP="002C770B">
      <w:pPr>
        <w:pStyle w:val="NoSpacing"/>
        <w:spacing w:line="360" w:lineRule="auto"/>
        <w:ind w:left="720"/>
        <w:jc w:val="both"/>
        <w:rPr>
          <w:rFonts w:ascii="Arial" w:hAnsi="Arial" w:cs="Arial"/>
        </w:rPr>
      </w:pPr>
    </w:p>
    <w:p w:rsidR="002C770B" w:rsidRDefault="002C770B" w:rsidP="002C770B">
      <w:pPr>
        <w:pStyle w:val="NoSpacing"/>
        <w:numPr>
          <w:ilvl w:val="0"/>
          <w:numId w:val="23"/>
        </w:numPr>
        <w:spacing w:line="360" w:lineRule="auto"/>
        <w:jc w:val="both"/>
        <w:rPr>
          <w:rFonts w:ascii="Arial" w:hAnsi="Arial" w:cs="Arial"/>
        </w:rPr>
      </w:pPr>
      <w:r w:rsidRPr="00504695">
        <w:rPr>
          <w:rFonts w:ascii="Arial" w:hAnsi="Arial" w:cs="Arial"/>
        </w:rPr>
        <w:t xml:space="preserve">the manner in which the individual works is subject to the control or direction of that other person; </w:t>
      </w:r>
    </w:p>
    <w:p w:rsidR="002C770B" w:rsidRDefault="002C770B" w:rsidP="002C770B">
      <w:pPr>
        <w:pStyle w:val="NoSpacing"/>
        <w:spacing w:line="360" w:lineRule="auto"/>
        <w:ind w:left="1800"/>
        <w:jc w:val="both"/>
        <w:rPr>
          <w:rFonts w:ascii="Arial" w:hAnsi="Arial" w:cs="Arial"/>
        </w:rPr>
      </w:pPr>
    </w:p>
    <w:p w:rsidR="002C770B" w:rsidRDefault="002C770B" w:rsidP="002C770B">
      <w:pPr>
        <w:pStyle w:val="NoSpacing"/>
        <w:numPr>
          <w:ilvl w:val="0"/>
          <w:numId w:val="23"/>
        </w:numPr>
        <w:spacing w:line="360" w:lineRule="auto"/>
        <w:jc w:val="both"/>
        <w:rPr>
          <w:rFonts w:ascii="Arial" w:hAnsi="Arial" w:cs="Arial"/>
        </w:rPr>
      </w:pPr>
      <w:r w:rsidRPr="00504695">
        <w:rPr>
          <w:rFonts w:ascii="Arial" w:hAnsi="Arial" w:cs="Arial"/>
        </w:rPr>
        <w:t xml:space="preserve">the individual’s hours of work are subject to the control or direction of that other person; </w:t>
      </w:r>
    </w:p>
    <w:p w:rsidR="002C770B" w:rsidRDefault="002C770B" w:rsidP="002C770B">
      <w:pPr>
        <w:pStyle w:val="ListParagraph"/>
        <w:spacing w:after="0" w:line="360" w:lineRule="auto"/>
        <w:rPr>
          <w:rFonts w:ascii="Arial" w:hAnsi="Arial" w:cs="Arial"/>
        </w:rPr>
      </w:pPr>
    </w:p>
    <w:p w:rsidR="002C770B" w:rsidRDefault="002C770B" w:rsidP="002C770B">
      <w:pPr>
        <w:pStyle w:val="NoSpacing"/>
        <w:numPr>
          <w:ilvl w:val="0"/>
          <w:numId w:val="23"/>
        </w:numPr>
        <w:spacing w:line="360" w:lineRule="auto"/>
        <w:jc w:val="both"/>
        <w:rPr>
          <w:rFonts w:ascii="Arial" w:hAnsi="Arial" w:cs="Arial"/>
        </w:rPr>
      </w:pPr>
      <w:r w:rsidRPr="00504695">
        <w:rPr>
          <w:rFonts w:ascii="Arial" w:hAnsi="Arial" w:cs="Arial"/>
        </w:rPr>
        <w:t xml:space="preserve">in the case of an individual who works for an organisation, the individual’s work forms an integral part of the organisation; </w:t>
      </w:r>
    </w:p>
    <w:p w:rsidR="002C770B" w:rsidRDefault="002C770B" w:rsidP="002C770B">
      <w:pPr>
        <w:pStyle w:val="ListParagraph"/>
        <w:spacing w:after="0" w:line="360" w:lineRule="auto"/>
        <w:rPr>
          <w:rFonts w:ascii="Arial" w:hAnsi="Arial" w:cs="Arial"/>
        </w:rPr>
      </w:pPr>
    </w:p>
    <w:p w:rsidR="002C770B" w:rsidRDefault="002C770B" w:rsidP="002C770B">
      <w:pPr>
        <w:pStyle w:val="NoSpacing"/>
        <w:numPr>
          <w:ilvl w:val="0"/>
          <w:numId w:val="23"/>
        </w:numPr>
        <w:spacing w:line="360" w:lineRule="auto"/>
        <w:jc w:val="both"/>
        <w:rPr>
          <w:rFonts w:ascii="Arial" w:hAnsi="Arial" w:cs="Arial"/>
        </w:rPr>
      </w:pPr>
      <w:r w:rsidRPr="00504695">
        <w:rPr>
          <w:rFonts w:ascii="Arial" w:hAnsi="Arial" w:cs="Arial"/>
        </w:rPr>
        <w:t xml:space="preserve">the individual has worked for that other person for an average of at least 20 hours per month over the past three months; </w:t>
      </w:r>
    </w:p>
    <w:p w:rsidR="002C770B" w:rsidRDefault="002C770B" w:rsidP="002C770B">
      <w:pPr>
        <w:pStyle w:val="ListParagraph"/>
        <w:spacing w:after="0" w:line="360" w:lineRule="auto"/>
        <w:rPr>
          <w:rFonts w:ascii="Arial" w:hAnsi="Arial" w:cs="Arial"/>
        </w:rPr>
      </w:pPr>
    </w:p>
    <w:p w:rsidR="002C770B" w:rsidRDefault="002C770B" w:rsidP="002C770B">
      <w:pPr>
        <w:pStyle w:val="NoSpacing"/>
        <w:numPr>
          <w:ilvl w:val="0"/>
          <w:numId w:val="23"/>
        </w:numPr>
        <w:spacing w:line="360" w:lineRule="auto"/>
        <w:jc w:val="both"/>
        <w:rPr>
          <w:rFonts w:ascii="Arial" w:hAnsi="Arial" w:cs="Arial"/>
        </w:rPr>
      </w:pPr>
      <w:r w:rsidRPr="00504695">
        <w:rPr>
          <w:rFonts w:ascii="Arial" w:hAnsi="Arial" w:cs="Arial"/>
        </w:rPr>
        <w:t xml:space="preserve">the individual is economically dependent on that person for whom he or she works or renders services; </w:t>
      </w:r>
    </w:p>
    <w:p w:rsidR="002C770B" w:rsidRDefault="002C770B" w:rsidP="002C770B">
      <w:pPr>
        <w:pStyle w:val="ListParagraph"/>
        <w:spacing w:after="0" w:line="360" w:lineRule="auto"/>
        <w:rPr>
          <w:rFonts w:ascii="Arial" w:hAnsi="Arial" w:cs="Arial"/>
        </w:rPr>
      </w:pPr>
    </w:p>
    <w:p w:rsidR="002C770B" w:rsidRDefault="002C770B" w:rsidP="002C770B">
      <w:pPr>
        <w:pStyle w:val="NoSpacing"/>
        <w:numPr>
          <w:ilvl w:val="0"/>
          <w:numId w:val="23"/>
        </w:numPr>
        <w:spacing w:line="360" w:lineRule="auto"/>
        <w:jc w:val="both"/>
        <w:rPr>
          <w:rFonts w:ascii="Arial" w:hAnsi="Arial" w:cs="Arial"/>
        </w:rPr>
      </w:pPr>
      <w:r w:rsidRPr="00504695">
        <w:rPr>
          <w:rFonts w:ascii="Arial" w:hAnsi="Arial" w:cs="Arial"/>
        </w:rPr>
        <w:t xml:space="preserve">the individual is provided with tools of trade or work equipment by that other person; </w:t>
      </w:r>
    </w:p>
    <w:p w:rsidR="002C770B" w:rsidRDefault="002C770B" w:rsidP="002C770B">
      <w:pPr>
        <w:pStyle w:val="ListParagraph"/>
        <w:spacing w:line="360" w:lineRule="auto"/>
        <w:rPr>
          <w:rFonts w:ascii="Arial" w:hAnsi="Arial" w:cs="Arial"/>
        </w:rPr>
      </w:pPr>
    </w:p>
    <w:p w:rsidR="002C770B" w:rsidRDefault="002C770B" w:rsidP="002C770B">
      <w:pPr>
        <w:pStyle w:val="NoSpacing"/>
        <w:numPr>
          <w:ilvl w:val="0"/>
          <w:numId w:val="23"/>
        </w:numPr>
        <w:spacing w:line="360" w:lineRule="auto"/>
        <w:jc w:val="both"/>
        <w:rPr>
          <w:rFonts w:ascii="Arial" w:hAnsi="Arial" w:cs="Arial"/>
        </w:rPr>
      </w:pPr>
      <w:r w:rsidRPr="00504695">
        <w:rPr>
          <w:rFonts w:ascii="Arial" w:hAnsi="Arial" w:cs="Arial"/>
        </w:rPr>
        <w:t>the individual only works for or renders se</w:t>
      </w:r>
      <w:r>
        <w:rPr>
          <w:rFonts w:ascii="Arial" w:hAnsi="Arial" w:cs="Arial"/>
        </w:rPr>
        <w:t>rvices to that other person; or</w:t>
      </w:r>
    </w:p>
    <w:p w:rsidR="002C770B" w:rsidRDefault="002C770B" w:rsidP="002C770B">
      <w:pPr>
        <w:pStyle w:val="ListParagraph"/>
        <w:spacing w:after="0" w:line="360" w:lineRule="auto"/>
        <w:rPr>
          <w:rFonts w:ascii="Arial" w:hAnsi="Arial" w:cs="Arial"/>
        </w:rPr>
      </w:pPr>
    </w:p>
    <w:p w:rsidR="002C770B" w:rsidRPr="00504695" w:rsidRDefault="002C770B" w:rsidP="002C770B">
      <w:pPr>
        <w:pStyle w:val="NoSpacing"/>
        <w:numPr>
          <w:ilvl w:val="0"/>
          <w:numId w:val="23"/>
        </w:numPr>
        <w:spacing w:line="360" w:lineRule="auto"/>
        <w:jc w:val="both"/>
        <w:rPr>
          <w:rFonts w:ascii="Arial" w:hAnsi="Arial" w:cs="Arial"/>
        </w:rPr>
      </w:pPr>
      <w:proofErr w:type="gramStart"/>
      <w:r w:rsidRPr="00504695">
        <w:rPr>
          <w:rFonts w:ascii="Arial" w:hAnsi="Arial" w:cs="Arial"/>
        </w:rPr>
        <w:t>any</w:t>
      </w:r>
      <w:proofErr w:type="gramEnd"/>
      <w:r w:rsidRPr="00504695">
        <w:rPr>
          <w:rFonts w:ascii="Arial" w:hAnsi="Arial" w:cs="Arial"/>
        </w:rPr>
        <w:t xml:space="preserve"> other prescribed factor.’</w:t>
      </w:r>
    </w:p>
    <w:p w:rsidR="002C770B" w:rsidRDefault="002C770B" w:rsidP="002C770B">
      <w:pPr>
        <w:pStyle w:val="NoSpacing"/>
        <w:spacing w:line="480" w:lineRule="auto"/>
        <w:ind w:left="720"/>
        <w:jc w:val="both"/>
        <w:rPr>
          <w:rFonts w:ascii="Arial" w:hAnsi="Arial" w:cs="Arial"/>
          <w:sz w:val="24"/>
          <w:szCs w:val="24"/>
        </w:rPr>
      </w:pPr>
    </w:p>
    <w:p w:rsidR="005002C6" w:rsidRDefault="00504695" w:rsidP="005002C6">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lastRenderedPageBreak/>
        <w:t xml:space="preserve">As was pointed out by this court in </w:t>
      </w:r>
      <w:r w:rsidRPr="002C770B">
        <w:rPr>
          <w:rFonts w:ascii="Arial" w:hAnsi="Arial" w:cs="Arial"/>
          <w:i/>
          <w:sz w:val="24"/>
          <w:szCs w:val="24"/>
        </w:rPr>
        <w:t>Swart v Tube-O-Flex Namibia (Pty) Ltd</w:t>
      </w:r>
      <w:r w:rsidR="00C5534D" w:rsidRPr="002C770B">
        <w:rPr>
          <w:rFonts w:ascii="Arial" w:hAnsi="Arial" w:cs="Arial"/>
          <w:i/>
          <w:sz w:val="24"/>
          <w:szCs w:val="24"/>
        </w:rPr>
        <w:t xml:space="preserve"> and another</w:t>
      </w:r>
      <w:r w:rsidR="00B67F6C" w:rsidRPr="002C770B">
        <w:rPr>
          <w:rFonts w:ascii="Arial" w:hAnsi="Arial" w:cs="Arial"/>
          <w:i/>
          <w:sz w:val="24"/>
          <w:szCs w:val="24"/>
        </w:rPr>
        <w:t>,</w:t>
      </w:r>
      <w:r w:rsidR="00C5534D">
        <w:rPr>
          <w:rStyle w:val="FootnoteReference"/>
          <w:rFonts w:ascii="Arial" w:hAnsi="Arial" w:cs="Arial"/>
          <w:i/>
          <w:sz w:val="24"/>
          <w:szCs w:val="24"/>
        </w:rPr>
        <w:footnoteReference w:id="8"/>
      </w:r>
      <w:r w:rsidR="00C5534D" w:rsidRPr="002C770B">
        <w:rPr>
          <w:rFonts w:ascii="Arial" w:hAnsi="Arial" w:cs="Arial"/>
          <w:sz w:val="24"/>
          <w:szCs w:val="24"/>
        </w:rPr>
        <w:t xml:space="preserve"> this provision was enacted by way of amendment</w:t>
      </w:r>
      <w:r w:rsidR="00C5534D">
        <w:rPr>
          <w:rStyle w:val="FootnoteReference"/>
          <w:rFonts w:ascii="Arial" w:hAnsi="Arial" w:cs="Arial"/>
          <w:sz w:val="24"/>
          <w:szCs w:val="24"/>
        </w:rPr>
        <w:footnoteReference w:id="9"/>
      </w:r>
      <w:r w:rsidR="00C5534D" w:rsidRPr="002C770B">
        <w:rPr>
          <w:rFonts w:ascii="Arial" w:hAnsi="Arial" w:cs="Arial"/>
          <w:sz w:val="24"/>
          <w:szCs w:val="24"/>
        </w:rPr>
        <w:t xml:space="preserve"> following the judgment of this court in </w:t>
      </w:r>
      <w:r w:rsidR="00C5534D" w:rsidRPr="002C770B">
        <w:rPr>
          <w:rFonts w:ascii="Arial" w:hAnsi="Arial" w:cs="Arial"/>
          <w:i/>
          <w:sz w:val="24"/>
          <w:szCs w:val="24"/>
        </w:rPr>
        <w:t>Africa Personnel Services (Pty) Ltd v Government of the Republic of Namibia</w:t>
      </w:r>
      <w:r w:rsidR="00C5534D" w:rsidRPr="002C770B">
        <w:rPr>
          <w:rFonts w:ascii="Arial" w:hAnsi="Arial" w:cs="Arial"/>
          <w:sz w:val="24"/>
          <w:szCs w:val="24"/>
        </w:rPr>
        <w:t>.</w:t>
      </w:r>
      <w:r w:rsidR="00C5534D">
        <w:rPr>
          <w:rStyle w:val="FootnoteReference"/>
          <w:rFonts w:ascii="Arial" w:hAnsi="Arial" w:cs="Arial"/>
          <w:sz w:val="24"/>
          <w:szCs w:val="24"/>
        </w:rPr>
        <w:footnoteReference w:id="10"/>
      </w:r>
    </w:p>
    <w:p w:rsidR="005002C6" w:rsidRDefault="005002C6" w:rsidP="005002C6">
      <w:pPr>
        <w:pStyle w:val="NoSpacing"/>
        <w:spacing w:line="480" w:lineRule="auto"/>
        <w:jc w:val="both"/>
        <w:rPr>
          <w:rFonts w:ascii="Arial" w:hAnsi="Arial" w:cs="Arial"/>
          <w:sz w:val="24"/>
          <w:szCs w:val="24"/>
        </w:rPr>
      </w:pPr>
    </w:p>
    <w:p w:rsidR="005002C6" w:rsidRPr="005002C6" w:rsidRDefault="005002C6" w:rsidP="005002C6">
      <w:pPr>
        <w:pStyle w:val="NoSpacing"/>
        <w:numPr>
          <w:ilvl w:val="0"/>
          <w:numId w:val="4"/>
        </w:numPr>
        <w:spacing w:line="480" w:lineRule="auto"/>
        <w:ind w:left="0" w:firstLine="0"/>
        <w:jc w:val="both"/>
        <w:rPr>
          <w:rFonts w:ascii="Arial" w:hAnsi="Arial" w:cs="Arial"/>
          <w:sz w:val="24"/>
          <w:szCs w:val="24"/>
        </w:rPr>
      </w:pPr>
      <w:r w:rsidRPr="005002C6">
        <w:rPr>
          <w:rFonts w:ascii="Arial" w:hAnsi="Arial" w:cs="Arial"/>
          <w:sz w:val="24"/>
          <w:szCs w:val="24"/>
        </w:rPr>
        <w:t xml:space="preserve">This court in </w:t>
      </w:r>
      <w:r w:rsidRPr="005002C6">
        <w:rPr>
          <w:rFonts w:ascii="Arial" w:hAnsi="Arial" w:cs="Arial"/>
          <w:i/>
          <w:sz w:val="24"/>
          <w:szCs w:val="24"/>
        </w:rPr>
        <w:t>Swart</w:t>
      </w:r>
      <w:r w:rsidRPr="005002C6">
        <w:rPr>
          <w:rFonts w:ascii="Arial" w:hAnsi="Arial" w:cs="Arial"/>
          <w:sz w:val="24"/>
          <w:szCs w:val="24"/>
        </w:rPr>
        <w:t xml:space="preserve"> held that the dominant purpose discernible from s 128A read with the definitions of employer and employee in the Labour Act is ‘the protection of workers from contrivances aimed at circumventing the protection afforded by labour legislation’. Turning to the presumption created in s 128A, this court in </w:t>
      </w:r>
      <w:r w:rsidRPr="005002C6">
        <w:rPr>
          <w:rFonts w:ascii="Arial" w:hAnsi="Arial" w:cs="Arial"/>
          <w:i/>
          <w:sz w:val="24"/>
          <w:szCs w:val="24"/>
        </w:rPr>
        <w:t xml:space="preserve">Swart </w:t>
      </w:r>
      <w:r w:rsidRPr="005002C6">
        <w:rPr>
          <w:rFonts w:ascii="Arial" w:hAnsi="Arial" w:cs="Arial"/>
          <w:sz w:val="24"/>
          <w:szCs w:val="24"/>
        </w:rPr>
        <w:t>stated:</w:t>
      </w:r>
    </w:p>
    <w:p w:rsidR="005002C6" w:rsidRDefault="005002C6" w:rsidP="005002C6">
      <w:pPr>
        <w:pStyle w:val="ListParagraph"/>
        <w:rPr>
          <w:rFonts w:ascii="Arial" w:hAnsi="Arial" w:cs="Arial"/>
          <w:sz w:val="24"/>
          <w:szCs w:val="24"/>
        </w:rPr>
      </w:pPr>
    </w:p>
    <w:p w:rsidR="005002C6" w:rsidRPr="001E606D" w:rsidRDefault="005002C6" w:rsidP="005002C6">
      <w:pPr>
        <w:pStyle w:val="NoSpacing"/>
        <w:spacing w:line="360" w:lineRule="auto"/>
        <w:ind w:left="720"/>
        <w:jc w:val="both"/>
        <w:rPr>
          <w:rFonts w:ascii="Arial" w:hAnsi="Arial" w:cs="Arial"/>
        </w:rPr>
      </w:pPr>
      <w:r w:rsidRPr="001E606D">
        <w:rPr>
          <w:rFonts w:ascii="Arial" w:hAnsi="Arial" w:cs="Arial"/>
        </w:rPr>
        <w:t xml:space="preserve">‘There is a rebuttable presumption of employment if any of the factors set out in </w:t>
      </w:r>
      <w:r w:rsidR="003F316F">
        <w:rPr>
          <w:rFonts w:ascii="Arial" w:hAnsi="Arial" w:cs="Arial"/>
        </w:rPr>
        <w:t xml:space="preserve">        </w:t>
      </w:r>
      <w:r w:rsidRPr="001E606D">
        <w:rPr>
          <w:rFonts w:ascii="Arial" w:hAnsi="Arial" w:cs="Arial"/>
        </w:rPr>
        <w:t>s 128A are present.  It is rebuttable because the parties may choose that there be no employment relationship even when one or more of the factors giving rise to a particular presumption are present.  The consequence of a rebuttable presumption is to cast the onus on the person who wants to avoid an employer/employee relationship to show that, irrespective of the presence of the factors giving rise to the presumption of employment, the parties did not intend same and none in fact arose.</w:t>
      </w:r>
      <w:r>
        <w:rPr>
          <w:rFonts w:ascii="Arial" w:hAnsi="Arial" w:cs="Arial"/>
        </w:rPr>
        <w:t>’</w:t>
      </w:r>
    </w:p>
    <w:p w:rsidR="005002C6" w:rsidRDefault="005002C6" w:rsidP="005002C6">
      <w:pPr>
        <w:pStyle w:val="ListParagraph"/>
        <w:rPr>
          <w:rFonts w:ascii="Arial" w:hAnsi="Arial" w:cs="Arial"/>
          <w:sz w:val="24"/>
          <w:szCs w:val="24"/>
        </w:rPr>
      </w:pPr>
    </w:p>
    <w:p w:rsidR="005002C6" w:rsidRDefault="005002C6" w:rsidP="005002C6">
      <w:pPr>
        <w:pStyle w:val="NoSpacing"/>
        <w:numPr>
          <w:ilvl w:val="0"/>
          <w:numId w:val="4"/>
        </w:numPr>
        <w:spacing w:line="480" w:lineRule="auto"/>
        <w:ind w:left="0" w:firstLine="0"/>
        <w:jc w:val="both"/>
        <w:rPr>
          <w:rFonts w:ascii="Arial" w:hAnsi="Arial" w:cs="Arial"/>
          <w:sz w:val="24"/>
          <w:szCs w:val="24"/>
        </w:rPr>
      </w:pPr>
      <w:r w:rsidRPr="00A053B3">
        <w:rPr>
          <w:rFonts w:ascii="Arial" w:hAnsi="Arial" w:cs="Arial"/>
          <w:sz w:val="24"/>
          <w:szCs w:val="24"/>
        </w:rPr>
        <w:t xml:space="preserve">The presumption itself furthermore only arises if an individual works for </w:t>
      </w:r>
      <w:r w:rsidR="00BC089D">
        <w:rPr>
          <w:rFonts w:ascii="Arial" w:hAnsi="Arial" w:cs="Arial"/>
          <w:sz w:val="24"/>
          <w:szCs w:val="24"/>
        </w:rPr>
        <w:t xml:space="preserve">or </w:t>
      </w:r>
      <w:r w:rsidRPr="00A053B3">
        <w:rPr>
          <w:rFonts w:ascii="Arial" w:hAnsi="Arial" w:cs="Arial"/>
          <w:sz w:val="24"/>
          <w:szCs w:val="24"/>
        </w:rPr>
        <w:t>renders services to another by virtue of the introductory portion to s 128A. Once that is shown as well as the presence of one or more of the listed factors, then the presumption arises and then it is open to a party to rebut the presumption by showing that an employment relationship was not intended despite the presence of one or more of the factors</w:t>
      </w:r>
      <w:r w:rsidR="002B1937">
        <w:rPr>
          <w:rFonts w:ascii="Arial" w:hAnsi="Arial" w:cs="Arial"/>
          <w:sz w:val="24"/>
          <w:szCs w:val="24"/>
        </w:rPr>
        <w:t xml:space="preserve"> and regardless of the form of contract between the parties and a person’s designation</w:t>
      </w:r>
      <w:r w:rsidRPr="00A053B3">
        <w:rPr>
          <w:rFonts w:ascii="Arial" w:hAnsi="Arial" w:cs="Arial"/>
          <w:sz w:val="24"/>
          <w:szCs w:val="24"/>
        </w:rPr>
        <w:t xml:space="preserve">. The presumption in s 128A has plainly been </w:t>
      </w:r>
      <w:r>
        <w:rPr>
          <w:rFonts w:ascii="Arial" w:hAnsi="Arial" w:cs="Arial"/>
          <w:sz w:val="24"/>
          <w:szCs w:val="24"/>
        </w:rPr>
        <w:t>inserted</w:t>
      </w:r>
      <w:r w:rsidRPr="00A053B3">
        <w:rPr>
          <w:rFonts w:ascii="Arial" w:hAnsi="Arial" w:cs="Arial"/>
          <w:sz w:val="24"/>
          <w:szCs w:val="24"/>
        </w:rPr>
        <w:t xml:space="preserve"> to </w:t>
      </w:r>
      <w:r w:rsidRPr="00A053B3">
        <w:rPr>
          <w:rFonts w:ascii="Arial" w:hAnsi="Arial" w:cs="Arial"/>
          <w:sz w:val="24"/>
          <w:szCs w:val="24"/>
        </w:rPr>
        <w:lastRenderedPageBreak/>
        <w:t>‘assist the courts guard against ruses aimed at evading the protection afforded by a worker being an employee’.</w:t>
      </w:r>
      <w:r>
        <w:rPr>
          <w:rStyle w:val="FootnoteReference"/>
          <w:rFonts w:ascii="Arial" w:hAnsi="Arial" w:cs="Arial"/>
          <w:sz w:val="24"/>
          <w:szCs w:val="24"/>
        </w:rPr>
        <w:footnoteReference w:id="11"/>
      </w:r>
      <w:r w:rsidRPr="00A053B3">
        <w:rPr>
          <w:rFonts w:ascii="Arial" w:hAnsi="Arial" w:cs="Arial"/>
          <w:sz w:val="24"/>
          <w:szCs w:val="24"/>
        </w:rPr>
        <w:t xml:space="preserve"> </w:t>
      </w:r>
    </w:p>
    <w:p w:rsidR="005002C6" w:rsidRDefault="005002C6" w:rsidP="005002C6">
      <w:pPr>
        <w:pStyle w:val="NoSpacing"/>
        <w:spacing w:line="480" w:lineRule="auto"/>
        <w:jc w:val="both"/>
        <w:rPr>
          <w:rFonts w:ascii="Arial" w:hAnsi="Arial" w:cs="Arial"/>
          <w:sz w:val="24"/>
          <w:szCs w:val="24"/>
        </w:rPr>
      </w:pPr>
    </w:p>
    <w:p w:rsidR="005002C6" w:rsidRDefault="005002C6" w:rsidP="005002C6">
      <w:pPr>
        <w:pStyle w:val="NoSpacing"/>
        <w:numPr>
          <w:ilvl w:val="0"/>
          <w:numId w:val="4"/>
        </w:numPr>
        <w:spacing w:line="480" w:lineRule="auto"/>
        <w:ind w:left="0" w:firstLine="0"/>
        <w:jc w:val="both"/>
        <w:rPr>
          <w:rFonts w:ascii="Arial" w:hAnsi="Arial" w:cs="Arial"/>
          <w:sz w:val="24"/>
          <w:szCs w:val="24"/>
        </w:rPr>
      </w:pPr>
      <w:r w:rsidRPr="00A053B3">
        <w:rPr>
          <w:rFonts w:ascii="Arial" w:hAnsi="Arial" w:cs="Arial"/>
          <w:sz w:val="24"/>
          <w:szCs w:val="24"/>
        </w:rPr>
        <w:t xml:space="preserve">Mr </w:t>
      </w:r>
      <w:proofErr w:type="spellStart"/>
      <w:r w:rsidRPr="00A053B3">
        <w:rPr>
          <w:rFonts w:ascii="Arial" w:hAnsi="Arial" w:cs="Arial"/>
          <w:sz w:val="24"/>
          <w:szCs w:val="24"/>
        </w:rPr>
        <w:t>T</w:t>
      </w:r>
      <w:r>
        <w:rPr>
          <w:rFonts w:ascii="Arial" w:hAnsi="Arial" w:cs="Arial"/>
          <w:sz w:val="24"/>
          <w:szCs w:val="24"/>
        </w:rPr>
        <w:t>ö</w:t>
      </w:r>
      <w:r w:rsidRPr="00A053B3">
        <w:rPr>
          <w:rFonts w:ascii="Arial" w:hAnsi="Arial" w:cs="Arial"/>
          <w:sz w:val="24"/>
          <w:szCs w:val="24"/>
        </w:rPr>
        <w:t>temeyer</w:t>
      </w:r>
      <w:proofErr w:type="spellEnd"/>
      <w:r w:rsidRPr="00A053B3">
        <w:rPr>
          <w:rFonts w:ascii="Arial" w:hAnsi="Arial" w:cs="Arial"/>
          <w:sz w:val="24"/>
          <w:szCs w:val="24"/>
        </w:rPr>
        <w:t xml:space="preserve"> argued that there would </w:t>
      </w:r>
      <w:r w:rsidR="002B1937">
        <w:rPr>
          <w:rFonts w:ascii="Arial" w:hAnsi="Arial" w:cs="Arial"/>
          <w:sz w:val="24"/>
          <w:szCs w:val="24"/>
        </w:rPr>
        <w:t xml:space="preserve">first </w:t>
      </w:r>
      <w:r w:rsidRPr="00A053B3">
        <w:rPr>
          <w:rFonts w:ascii="Arial" w:hAnsi="Arial" w:cs="Arial"/>
          <w:sz w:val="24"/>
          <w:szCs w:val="24"/>
        </w:rPr>
        <w:t>need to exist an employment contract or another form of contractual relationship before the listed factors can give rise to the pres</w:t>
      </w:r>
      <w:r>
        <w:rPr>
          <w:rFonts w:ascii="Arial" w:hAnsi="Arial" w:cs="Arial"/>
          <w:sz w:val="24"/>
          <w:szCs w:val="24"/>
        </w:rPr>
        <w:t>um</w:t>
      </w:r>
      <w:r w:rsidRPr="00A053B3">
        <w:rPr>
          <w:rFonts w:ascii="Arial" w:hAnsi="Arial" w:cs="Arial"/>
          <w:sz w:val="24"/>
          <w:szCs w:val="24"/>
        </w:rPr>
        <w:t xml:space="preserve">ption of being an employee. In support of this contention, he referred to a decision of the South African Labour Appeal Court in </w:t>
      </w:r>
      <w:r w:rsidRPr="00A053B3">
        <w:rPr>
          <w:rFonts w:ascii="Arial" w:hAnsi="Arial" w:cs="Arial"/>
          <w:i/>
          <w:sz w:val="24"/>
          <w:szCs w:val="24"/>
        </w:rPr>
        <w:t xml:space="preserve">Universal Church of the Kingdom of God v </w:t>
      </w:r>
      <w:proofErr w:type="spellStart"/>
      <w:r w:rsidRPr="00A053B3">
        <w:rPr>
          <w:rFonts w:ascii="Arial" w:hAnsi="Arial" w:cs="Arial"/>
          <w:i/>
          <w:sz w:val="24"/>
          <w:szCs w:val="24"/>
        </w:rPr>
        <w:t>Myeni</w:t>
      </w:r>
      <w:proofErr w:type="spellEnd"/>
      <w:r w:rsidRPr="00A053B3">
        <w:rPr>
          <w:rFonts w:ascii="Arial" w:hAnsi="Arial" w:cs="Arial"/>
          <w:i/>
          <w:sz w:val="24"/>
          <w:szCs w:val="24"/>
        </w:rPr>
        <w:t xml:space="preserve"> and others</w:t>
      </w:r>
      <w:r w:rsidRPr="00A053B3">
        <w:rPr>
          <w:rFonts w:ascii="Arial" w:hAnsi="Arial" w:cs="Arial"/>
          <w:sz w:val="24"/>
          <w:szCs w:val="24"/>
        </w:rPr>
        <w:t>.</w:t>
      </w:r>
      <w:r>
        <w:rPr>
          <w:rStyle w:val="FootnoteReference"/>
          <w:rFonts w:ascii="Arial" w:hAnsi="Arial" w:cs="Arial"/>
          <w:sz w:val="24"/>
          <w:szCs w:val="24"/>
        </w:rPr>
        <w:footnoteReference w:id="12"/>
      </w:r>
      <w:r w:rsidRPr="00A053B3">
        <w:rPr>
          <w:rFonts w:ascii="Arial" w:hAnsi="Arial" w:cs="Arial"/>
          <w:sz w:val="24"/>
          <w:szCs w:val="24"/>
        </w:rPr>
        <w:t xml:space="preserve"> The court in that matter held that in the similarly worded s 200A of the South African Labour Relation Act</w:t>
      </w:r>
      <w:r>
        <w:rPr>
          <w:rStyle w:val="FootnoteReference"/>
          <w:rFonts w:ascii="Arial" w:hAnsi="Arial" w:cs="Arial"/>
          <w:sz w:val="24"/>
          <w:szCs w:val="24"/>
        </w:rPr>
        <w:footnoteReference w:id="13"/>
      </w:r>
      <w:r w:rsidRPr="00A053B3">
        <w:rPr>
          <w:rFonts w:ascii="Arial" w:hAnsi="Arial" w:cs="Arial"/>
          <w:sz w:val="24"/>
          <w:szCs w:val="24"/>
        </w:rPr>
        <w:t xml:space="preserve"> the phrase ‘regardless of the form of the contract’ meant that it presupposed</w:t>
      </w:r>
      <w:r w:rsidR="002B1937">
        <w:rPr>
          <w:rFonts w:ascii="Arial" w:hAnsi="Arial" w:cs="Arial"/>
          <w:sz w:val="24"/>
          <w:szCs w:val="24"/>
        </w:rPr>
        <w:t xml:space="preserve"> establishing in evidence</w:t>
      </w:r>
      <w:r w:rsidRPr="00A053B3">
        <w:rPr>
          <w:rFonts w:ascii="Arial" w:hAnsi="Arial" w:cs="Arial"/>
          <w:sz w:val="24"/>
          <w:szCs w:val="24"/>
        </w:rPr>
        <w:t xml:space="preserve"> the existence a legally enforceable contract between the parties.</w:t>
      </w:r>
      <w:r>
        <w:rPr>
          <w:rFonts w:ascii="Arial" w:hAnsi="Arial" w:cs="Arial"/>
          <w:sz w:val="24"/>
          <w:szCs w:val="24"/>
        </w:rPr>
        <w:t xml:space="preserve"> Despite similarities, t</w:t>
      </w:r>
      <w:r w:rsidRPr="00A053B3">
        <w:rPr>
          <w:rFonts w:ascii="Arial" w:hAnsi="Arial" w:cs="Arial"/>
          <w:sz w:val="24"/>
          <w:szCs w:val="24"/>
        </w:rPr>
        <w:t xml:space="preserve">he wording of s 128A does however differ from that of s 200A. In </w:t>
      </w:r>
      <w:r w:rsidR="005F2F71">
        <w:rPr>
          <w:rFonts w:ascii="Arial" w:hAnsi="Arial" w:cs="Arial"/>
          <w:sz w:val="24"/>
          <w:szCs w:val="24"/>
        </w:rPr>
        <w:t xml:space="preserve">              </w:t>
      </w:r>
      <w:r w:rsidRPr="00A053B3">
        <w:rPr>
          <w:rFonts w:ascii="Arial" w:hAnsi="Arial" w:cs="Arial"/>
          <w:sz w:val="24"/>
          <w:szCs w:val="24"/>
        </w:rPr>
        <w:t>s</w:t>
      </w:r>
      <w:r w:rsidR="005F2F71">
        <w:rPr>
          <w:rFonts w:ascii="Arial" w:hAnsi="Arial" w:cs="Arial"/>
          <w:sz w:val="24"/>
          <w:szCs w:val="24"/>
        </w:rPr>
        <w:t xml:space="preserve"> </w:t>
      </w:r>
      <w:r w:rsidRPr="00A053B3">
        <w:rPr>
          <w:rFonts w:ascii="Arial" w:hAnsi="Arial" w:cs="Arial"/>
          <w:sz w:val="24"/>
          <w:szCs w:val="24"/>
        </w:rPr>
        <w:t>128</w:t>
      </w:r>
      <w:r>
        <w:rPr>
          <w:rFonts w:ascii="Arial" w:hAnsi="Arial" w:cs="Arial"/>
          <w:sz w:val="24"/>
          <w:szCs w:val="24"/>
        </w:rPr>
        <w:t>A</w:t>
      </w:r>
      <w:r w:rsidRPr="00A053B3">
        <w:rPr>
          <w:rFonts w:ascii="Arial" w:hAnsi="Arial" w:cs="Arial"/>
          <w:sz w:val="24"/>
          <w:szCs w:val="24"/>
        </w:rPr>
        <w:t xml:space="preserve">, the phrase is ‘regardless of the form of the contract or designation of the individual’. </w:t>
      </w:r>
    </w:p>
    <w:p w:rsidR="005002C6" w:rsidRDefault="005002C6" w:rsidP="005002C6">
      <w:pPr>
        <w:pStyle w:val="ListParagraph"/>
        <w:rPr>
          <w:rFonts w:ascii="Arial" w:hAnsi="Arial" w:cs="Arial"/>
          <w:sz w:val="24"/>
          <w:szCs w:val="24"/>
        </w:rPr>
      </w:pPr>
    </w:p>
    <w:p w:rsidR="00FA6E7B" w:rsidRDefault="002B1937" w:rsidP="00AB7CE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Section 128A i</w:t>
      </w:r>
      <w:r w:rsidR="005002C6" w:rsidRPr="009506E0">
        <w:rPr>
          <w:rFonts w:ascii="Arial" w:hAnsi="Arial" w:cs="Arial"/>
          <w:sz w:val="24"/>
          <w:szCs w:val="24"/>
        </w:rPr>
        <w:t>t is to be accorded a meaning within the context of the section construed as a whole.</w:t>
      </w:r>
      <w:r w:rsidR="00BC089D" w:rsidRPr="009506E0">
        <w:rPr>
          <w:rFonts w:ascii="Arial" w:hAnsi="Arial" w:cs="Arial"/>
          <w:sz w:val="24"/>
          <w:szCs w:val="24"/>
        </w:rPr>
        <w:t xml:space="preserve"> </w:t>
      </w:r>
      <w:r w:rsidR="005002C6" w:rsidRPr="009506E0">
        <w:rPr>
          <w:rFonts w:ascii="Arial" w:hAnsi="Arial" w:cs="Arial"/>
          <w:sz w:val="24"/>
          <w:szCs w:val="24"/>
        </w:rPr>
        <w:t xml:space="preserve">I do not agree that </w:t>
      </w:r>
      <w:r>
        <w:rPr>
          <w:rFonts w:ascii="Arial" w:hAnsi="Arial" w:cs="Arial"/>
          <w:sz w:val="24"/>
          <w:szCs w:val="24"/>
        </w:rPr>
        <w:t>s 128A requires</w:t>
      </w:r>
      <w:r w:rsidR="005002C6" w:rsidRPr="009506E0">
        <w:rPr>
          <w:rFonts w:ascii="Arial" w:hAnsi="Arial" w:cs="Arial"/>
          <w:sz w:val="24"/>
          <w:szCs w:val="24"/>
        </w:rPr>
        <w:t xml:space="preserve"> that legally enforceable agreement is first to be established before the presumption </w:t>
      </w:r>
      <w:r w:rsidR="00E50E3E">
        <w:rPr>
          <w:rFonts w:ascii="Arial" w:hAnsi="Arial" w:cs="Arial"/>
          <w:sz w:val="24"/>
          <w:szCs w:val="24"/>
        </w:rPr>
        <w:t>can arise</w:t>
      </w:r>
      <w:r w:rsidR="005002C6" w:rsidRPr="009506E0">
        <w:rPr>
          <w:rFonts w:ascii="Arial" w:hAnsi="Arial" w:cs="Arial"/>
          <w:sz w:val="24"/>
          <w:szCs w:val="24"/>
        </w:rPr>
        <w:t>. What</w:t>
      </w:r>
      <w:r>
        <w:rPr>
          <w:rFonts w:ascii="Arial" w:hAnsi="Arial" w:cs="Arial"/>
          <w:sz w:val="24"/>
          <w:szCs w:val="24"/>
        </w:rPr>
        <w:t xml:space="preserve"> first</w:t>
      </w:r>
      <w:r w:rsidR="005002C6" w:rsidRPr="009506E0">
        <w:rPr>
          <w:rFonts w:ascii="Arial" w:hAnsi="Arial" w:cs="Arial"/>
          <w:sz w:val="24"/>
          <w:szCs w:val="24"/>
        </w:rPr>
        <w:t xml:space="preserve"> needs to be established is that a person works or renders a service to another. The quoted ph</w:t>
      </w:r>
      <w:r w:rsidR="00E50E3E">
        <w:rPr>
          <w:rFonts w:ascii="Arial" w:hAnsi="Arial" w:cs="Arial"/>
          <w:sz w:val="24"/>
          <w:szCs w:val="24"/>
        </w:rPr>
        <w:t>r</w:t>
      </w:r>
      <w:r w:rsidR="005002C6" w:rsidRPr="009506E0">
        <w:rPr>
          <w:rFonts w:ascii="Arial" w:hAnsi="Arial" w:cs="Arial"/>
          <w:sz w:val="24"/>
          <w:szCs w:val="24"/>
        </w:rPr>
        <w:t xml:space="preserve">ase in the context of the purpose of the section means that once </w:t>
      </w:r>
      <w:r w:rsidR="005002C6" w:rsidRPr="002B1937">
        <w:rPr>
          <w:rFonts w:ascii="Arial" w:hAnsi="Arial" w:cs="Arial"/>
          <w:sz w:val="24"/>
          <w:szCs w:val="24"/>
          <w:u w:val="single"/>
        </w:rPr>
        <w:t>that</w:t>
      </w:r>
      <w:r w:rsidR="005002C6" w:rsidRPr="009506E0">
        <w:rPr>
          <w:rFonts w:ascii="Arial" w:hAnsi="Arial" w:cs="Arial"/>
          <w:sz w:val="24"/>
          <w:szCs w:val="24"/>
        </w:rPr>
        <w:t xml:space="preserve"> </w:t>
      </w:r>
      <w:r>
        <w:rPr>
          <w:rFonts w:ascii="Arial" w:hAnsi="Arial" w:cs="Arial"/>
          <w:sz w:val="24"/>
          <w:szCs w:val="24"/>
        </w:rPr>
        <w:t xml:space="preserve">(rendering a service or working for another) </w:t>
      </w:r>
      <w:r w:rsidR="005002C6" w:rsidRPr="009506E0">
        <w:rPr>
          <w:rFonts w:ascii="Arial" w:hAnsi="Arial" w:cs="Arial"/>
          <w:sz w:val="24"/>
          <w:szCs w:val="24"/>
        </w:rPr>
        <w:t xml:space="preserve">is established it matters not what form of contract or designation is used if </w:t>
      </w:r>
      <w:r>
        <w:rPr>
          <w:rFonts w:ascii="Arial" w:hAnsi="Arial" w:cs="Arial"/>
          <w:sz w:val="24"/>
          <w:szCs w:val="24"/>
        </w:rPr>
        <w:t xml:space="preserve">the listed factors in s 128A are present. The </w:t>
      </w:r>
      <w:r>
        <w:rPr>
          <w:rFonts w:ascii="Arial" w:hAnsi="Arial" w:cs="Arial"/>
          <w:sz w:val="24"/>
          <w:szCs w:val="24"/>
        </w:rPr>
        <w:lastRenderedPageBreak/>
        <w:t xml:space="preserve">presumption of employment would </w:t>
      </w:r>
      <w:r w:rsidR="00E50E3E">
        <w:rPr>
          <w:rFonts w:ascii="Arial" w:hAnsi="Arial" w:cs="Arial"/>
          <w:sz w:val="24"/>
          <w:szCs w:val="24"/>
        </w:rPr>
        <w:t xml:space="preserve">then </w:t>
      </w:r>
      <w:r>
        <w:rPr>
          <w:rFonts w:ascii="Arial" w:hAnsi="Arial" w:cs="Arial"/>
          <w:sz w:val="24"/>
          <w:szCs w:val="24"/>
        </w:rPr>
        <w:t>arise. The interpretation contended for is not only contrived but</w:t>
      </w:r>
      <w:r w:rsidR="005002C6" w:rsidRPr="009506E0">
        <w:rPr>
          <w:rFonts w:ascii="Arial" w:hAnsi="Arial" w:cs="Arial"/>
          <w:sz w:val="24"/>
          <w:szCs w:val="24"/>
        </w:rPr>
        <w:t xml:space="preserve"> would severely undermine the purpose intended by s 128A. </w:t>
      </w:r>
    </w:p>
    <w:p w:rsidR="009506E0" w:rsidRDefault="009506E0" w:rsidP="009506E0">
      <w:pPr>
        <w:pStyle w:val="ListParagraph"/>
        <w:rPr>
          <w:rFonts w:ascii="Arial" w:hAnsi="Arial" w:cs="Arial"/>
          <w:sz w:val="24"/>
          <w:szCs w:val="24"/>
        </w:rPr>
      </w:pPr>
    </w:p>
    <w:p w:rsidR="009506E0" w:rsidRPr="009506E0" w:rsidRDefault="00EE4B6D" w:rsidP="00AB7CE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phrase in question </w:t>
      </w:r>
      <w:r w:rsidR="00E50E3E">
        <w:rPr>
          <w:rFonts w:ascii="Arial" w:hAnsi="Arial" w:cs="Arial"/>
          <w:sz w:val="24"/>
          <w:szCs w:val="24"/>
        </w:rPr>
        <w:t xml:space="preserve">thus </w:t>
      </w:r>
      <w:r>
        <w:rPr>
          <w:rFonts w:ascii="Arial" w:hAnsi="Arial" w:cs="Arial"/>
          <w:sz w:val="24"/>
          <w:szCs w:val="24"/>
        </w:rPr>
        <w:t>rather means that s 128A envisages that regard is to be had to substance rather than the form of the co</w:t>
      </w:r>
      <w:r w:rsidR="00E50E3E">
        <w:rPr>
          <w:rFonts w:ascii="Arial" w:hAnsi="Arial" w:cs="Arial"/>
          <w:sz w:val="24"/>
          <w:szCs w:val="24"/>
        </w:rPr>
        <w:t>ntract or a person’s designation</w:t>
      </w:r>
      <w:r>
        <w:rPr>
          <w:rFonts w:ascii="Arial" w:hAnsi="Arial" w:cs="Arial"/>
          <w:sz w:val="24"/>
          <w:szCs w:val="24"/>
        </w:rPr>
        <w:t xml:space="preserve">. This was made clear by this court in </w:t>
      </w:r>
      <w:r>
        <w:rPr>
          <w:rFonts w:ascii="Arial" w:hAnsi="Arial" w:cs="Arial"/>
          <w:i/>
          <w:sz w:val="24"/>
          <w:szCs w:val="24"/>
        </w:rPr>
        <w:t>Swart</w:t>
      </w:r>
      <w:r>
        <w:rPr>
          <w:rStyle w:val="FootnoteReference"/>
          <w:rFonts w:ascii="Arial" w:hAnsi="Arial" w:cs="Arial"/>
          <w:i/>
          <w:sz w:val="24"/>
          <w:szCs w:val="24"/>
        </w:rPr>
        <w:footnoteReference w:id="14"/>
      </w:r>
      <w:r>
        <w:rPr>
          <w:rFonts w:ascii="Arial" w:hAnsi="Arial" w:cs="Arial"/>
          <w:sz w:val="24"/>
          <w:szCs w:val="24"/>
        </w:rPr>
        <w:t xml:space="preserve"> in order to advance the statutory purpose for which it was enacted, namely to combat the use of disguised contracts by unscrupulous employers to avoid labour legislation intended to protect and safeguard vulnerable employees.</w:t>
      </w:r>
      <w:r>
        <w:rPr>
          <w:rStyle w:val="FootnoteReference"/>
          <w:rFonts w:ascii="Arial" w:hAnsi="Arial" w:cs="Arial"/>
          <w:sz w:val="24"/>
          <w:szCs w:val="24"/>
        </w:rPr>
        <w:footnoteReference w:id="15"/>
      </w:r>
      <w:r>
        <w:rPr>
          <w:rFonts w:ascii="Arial" w:hAnsi="Arial" w:cs="Arial"/>
          <w:sz w:val="24"/>
          <w:szCs w:val="24"/>
        </w:rPr>
        <w:t xml:space="preserve">  Section 128A serves to ensure that the courts will carefully scrutinise any arrangement to avoid the application of the Act and Labour Act. As was stressed in </w:t>
      </w:r>
      <w:r>
        <w:rPr>
          <w:rFonts w:ascii="Arial" w:hAnsi="Arial" w:cs="Arial"/>
          <w:i/>
          <w:sz w:val="24"/>
          <w:szCs w:val="24"/>
        </w:rPr>
        <w:t>Swart,</w:t>
      </w:r>
      <w:r>
        <w:rPr>
          <w:rStyle w:val="FootnoteReference"/>
          <w:rFonts w:ascii="Arial" w:hAnsi="Arial" w:cs="Arial"/>
          <w:i/>
          <w:sz w:val="24"/>
          <w:szCs w:val="24"/>
        </w:rPr>
        <w:footnoteReference w:id="16"/>
      </w:r>
      <w:r>
        <w:rPr>
          <w:rFonts w:ascii="Arial" w:hAnsi="Arial" w:cs="Arial"/>
          <w:sz w:val="24"/>
          <w:szCs w:val="24"/>
        </w:rPr>
        <w:t xml:space="preserve"> the s 128A presumption is intended to assist a trier of fact in resolving who is an employer and employee for the purpose of the labour legislation, including the Act</w:t>
      </w:r>
      <w:r w:rsidR="00AA2B5B">
        <w:rPr>
          <w:rFonts w:ascii="Arial" w:hAnsi="Arial" w:cs="Arial"/>
          <w:sz w:val="24"/>
          <w:szCs w:val="24"/>
        </w:rPr>
        <w:t>,</w:t>
      </w:r>
      <w:r>
        <w:rPr>
          <w:rFonts w:ascii="Arial" w:hAnsi="Arial" w:cs="Arial"/>
          <w:sz w:val="24"/>
          <w:szCs w:val="24"/>
        </w:rPr>
        <w:t xml:space="preserve"> and ‘each case must be considered on its own facts and that the trier of facts must look at the substance of the relationship’.</w:t>
      </w:r>
      <w:r>
        <w:rPr>
          <w:rStyle w:val="FootnoteReference"/>
          <w:rFonts w:ascii="Arial" w:hAnsi="Arial" w:cs="Arial"/>
          <w:sz w:val="24"/>
          <w:szCs w:val="24"/>
        </w:rPr>
        <w:footnoteReference w:id="17"/>
      </w:r>
    </w:p>
    <w:p w:rsidR="007C4447" w:rsidRPr="007C4447" w:rsidRDefault="007C4447" w:rsidP="009506E0">
      <w:pPr>
        <w:pStyle w:val="NoSpacing"/>
        <w:spacing w:line="480" w:lineRule="auto"/>
        <w:jc w:val="both"/>
        <w:rPr>
          <w:rFonts w:ascii="Arial" w:hAnsi="Arial" w:cs="Arial"/>
          <w:sz w:val="24"/>
          <w:szCs w:val="24"/>
        </w:rPr>
      </w:pPr>
    </w:p>
    <w:p w:rsidR="002C770B" w:rsidRPr="008C3657" w:rsidRDefault="002C770B" w:rsidP="002C770B">
      <w:pPr>
        <w:rPr>
          <w:rFonts w:ascii="Arial" w:hAnsi="Arial" w:cs="Arial"/>
          <w:sz w:val="24"/>
          <w:szCs w:val="24"/>
          <w:u w:val="single"/>
        </w:rPr>
      </w:pPr>
      <w:r>
        <w:rPr>
          <w:rFonts w:ascii="Arial" w:hAnsi="Arial" w:cs="Arial"/>
          <w:sz w:val="24"/>
          <w:szCs w:val="24"/>
          <w:u w:val="single"/>
        </w:rPr>
        <w:t>Was the Commission’s decision correct?</w:t>
      </w:r>
    </w:p>
    <w:p w:rsidR="002C770B" w:rsidRDefault="00C5534D"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The Commission</w:t>
      </w:r>
      <w:r w:rsidR="00421E0F" w:rsidRPr="002C770B">
        <w:rPr>
          <w:rFonts w:ascii="Arial" w:hAnsi="Arial" w:cs="Arial"/>
          <w:sz w:val="24"/>
          <w:szCs w:val="24"/>
        </w:rPr>
        <w:t xml:space="preserve"> declined to deregister the appellant as an employer, having</w:t>
      </w:r>
      <w:r w:rsidRPr="002C770B">
        <w:rPr>
          <w:rFonts w:ascii="Arial" w:hAnsi="Arial" w:cs="Arial"/>
          <w:sz w:val="24"/>
          <w:szCs w:val="24"/>
        </w:rPr>
        <w:t xml:space="preserve"> found the appellant to be an employer because three of the factors referred to in s 128A</w:t>
      </w:r>
      <w:r w:rsidR="00706CC2" w:rsidRPr="002C770B">
        <w:rPr>
          <w:rFonts w:ascii="Arial" w:hAnsi="Arial" w:cs="Arial"/>
          <w:sz w:val="24"/>
          <w:szCs w:val="24"/>
        </w:rPr>
        <w:t xml:space="preserve"> were found</w:t>
      </w:r>
      <w:r w:rsidRPr="002C770B">
        <w:rPr>
          <w:rFonts w:ascii="Arial" w:hAnsi="Arial" w:cs="Arial"/>
          <w:sz w:val="24"/>
          <w:szCs w:val="24"/>
        </w:rPr>
        <w:t xml:space="preserve"> to exist.</w:t>
      </w:r>
    </w:p>
    <w:p w:rsidR="002C770B" w:rsidRDefault="002C770B" w:rsidP="002C770B">
      <w:pPr>
        <w:pStyle w:val="NoSpacing"/>
        <w:spacing w:line="480" w:lineRule="auto"/>
        <w:jc w:val="both"/>
        <w:rPr>
          <w:rFonts w:ascii="Arial" w:hAnsi="Arial" w:cs="Arial"/>
          <w:sz w:val="24"/>
          <w:szCs w:val="24"/>
        </w:rPr>
      </w:pPr>
    </w:p>
    <w:p w:rsidR="002C770B" w:rsidRDefault="00C5534D"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 xml:space="preserve">In </w:t>
      </w:r>
      <w:r w:rsidR="00243A65" w:rsidRPr="002C770B">
        <w:rPr>
          <w:rFonts w:ascii="Arial" w:hAnsi="Arial" w:cs="Arial"/>
          <w:sz w:val="24"/>
          <w:szCs w:val="24"/>
        </w:rPr>
        <w:t>rea</w:t>
      </w:r>
      <w:r w:rsidR="000D060C">
        <w:rPr>
          <w:rFonts w:ascii="Arial" w:hAnsi="Arial" w:cs="Arial"/>
          <w:sz w:val="24"/>
          <w:szCs w:val="24"/>
        </w:rPr>
        <w:t>ch</w:t>
      </w:r>
      <w:r w:rsidR="00243A65" w:rsidRPr="002C770B">
        <w:rPr>
          <w:rFonts w:ascii="Arial" w:hAnsi="Arial" w:cs="Arial"/>
          <w:sz w:val="24"/>
          <w:szCs w:val="24"/>
        </w:rPr>
        <w:t>ing its decision</w:t>
      </w:r>
      <w:r w:rsidRPr="002C770B">
        <w:rPr>
          <w:rFonts w:ascii="Arial" w:hAnsi="Arial" w:cs="Arial"/>
          <w:sz w:val="24"/>
          <w:szCs w:val="24"/>
        </w:rPr>
        <w:t xml:space="preserve">, the </w:t>
      </w:r>
      <w:r w:rsidR="00421E0F" w:rsidRPr="002C770B">
        <w:rPr>
          <w:rFonts w:ascii="Arial" w:hAnsi="Arial" w:cs="Arial"/>
          <w:sz w:val="24"/>
          <w:szCs w:val="24"/>
        </w:rPr>
        <w:t>C</w:t>
      </w:r>
      <w:r w:rsidRPr="002C770B">
        <w:rPr>
          <w:rFonts w:ascii="Arial" w:hAnsi="Arial" w:cs="Arial"/>
          <w:sz w:val="24"/>
          <w:szCs w:val="24"/>
        </w:rPr>
        <w:t xml:space="preserve">ommission </w:t>
      </w:r>
      <w:r w:rsidR="00081BF1" w:rsidRPr="002C770B">
        <w:rPr>
          <w:rFonts w:ascii="Arial" w:hAnsi="Arial" w:cs="Arial"/>
          <w:sz w:val="24"/>
          <w:szCs w:val="24"/>
        </w:rPr>
        <w:t>would appear to have</w:t>
      </w:r>
      <w:r w:rsidRPr="002C770B">
        <w:rPr>
          <w:rFonts w:ascii="Arial" w:hAnsi="Arial" w:cs="Arial"/>
          <w:sz w:val="24"/>
          <w:szCs w:val="24"/>
        </w:rPr>
        <w:t xml:space="preserve"> assu</w:t>
      </w:r>
      <w:r w:rsidR="00706CC2" w:rsidRPr="002C770B">
        <w:rPr>
          <w:rFonts w:ascii="Arial" w:hAnsi="Arial" w:cs="Arial"/>
          <w:sz w:val="24"/>
          <w:szCs w:val="24"/>
        </w:rPr>
        <w:t>m</w:t>
      </w:r>
      <w:r w:rsidR="00081BF1" w:rsidRPr="002C770B">
        <w:rPr>
          <w:rFonts w:ascii="Arial" w:hAnsi="Arial" w:cs="Arial"/>
          <w:sz w:val="24"/>
          <w:szCs w:val="24"/>
        </w:rPr>
        <w:t>ed</w:t>
      </w:r>
      <w:r w:rsidRPr="002C770B">
        <w:rPr>
          <w:rFonts w:ascii="Arial" w:hAnsi="Arial" w:cs="Arial"/>
          <w:sz w:val="24"/>
          <w:szCs w:val="24"/>
        </w:rPr>
        <w:t xml:space="preserve"> that once </w:t>
      </w:r>
      <w:r w:rsidR="00706CC2" w:rsidRPr="002C770B">
        <w:rPr>
          <w:rFonts w:ascii="Arial" w:hAnsi="Arial" w:cs="Arial"/>
          <w:sz w:val="24"/>
          <w:szCs w:val="24"/>
        </w:rPr>
        <w:t>one or</w:t>
      </w:r>
      <w:r w:rsidRPr="002C770B">
        <w:rPr>
          <w:rFonts w:ascii="Arial" w:hAnsi="Arial" w:cs="Arial"/>
          <w:sz w:val="24"/>
          <w:szCs w:val="24"/>
        </w:rPr>
        <w:t xml:space="preserve"> more of the listed factors </w:t>
      </w:r>
      <w:r w:rsidR="00B53F8E">
        <w:rPr>
          <w:rFonts w:ascii="Arial" w:hAnsi="Arial" w:cs="Arial"/>
          <w:sz w:val="24"/>
          <w:szCs w:val="24"/>
        </w:rPr>
        <w:t xml:space="preserve">in s 128A </w:t>
      </w:r>
      <w:r w:rsidRPr="002C770B">
        <w:rPr>
          <w:rFonts w:ascii="Arial" w:hAnsi="Arial" w:cs="Arial"/>
          <w:sz w:val="24"/>
          <w:szCs w:val="24"/>
        </w:rPr>
        <w:t xml:space="preserve">exist, then an </w:t>
      </w:r>
      <w:r w:rsidR="008C3657" w:rsidRPr="002C770B">
        <w:rPr>
          <w:rFonts w:ascii="Arial" w:hAnsi="Arial" w:cs="Arial"/>
          <w:sz w:val="24"/>
          <w:szCs w:val="24"/>
        </w:rPr>
        <w:t xml:space="preserve">employment </w:t>
      </w:r>
      <w:r w:rsidR="008C3657" w:rsidRPr="002C770B">
        <w:rPr>
          <w:rFonts w:ascii="Arial" w:hAnsi="Arial" w:cs="Arial"/>
          <w:sz w:val="24"/>
          <w:szCs w:val="24"/>
        </w:rPr>
        <w:lastRenderedPageBreak/>
        <w:t xml:space="preserve">relationship </w:t>
      </w:r>
      <w:r w:rsidR="00B53F8E">
        <w:rPr>
          <w:rFonts w:ascii="Arial" w:hAnsi="Arial" w:cs="Arial"/>
          <w:sz w:val="24"/>
          <w:szCs w:val="24"/>
        </w:rPr>
        <w:t>is</w:t>
      </w:r>
      <w:r w:rsidR="00081BF1" w:rsidRPr="002C770B">
        <w:rPr>
          <w:rFonts w:ascii="Arial" w:hAnsi="Arial" w:cs="Arial"/>
          <w:sz w:val="24"/>
          <w:szCs w:val="24"/>
        </w:rPr>
        <w:t xml:space="preserve"> established, without considering whether </w:t>
      </w:r>
      <w:r w:rsidR="00B53F8E">
        <w:rPr>
          <w:rFonts w:ascii="Arial" w:hAnsi="Arial" w:cs="Arial"/>
          <w:sz w:val="24"/>
          <w:szCs w:val="24"/>
        </w:rPr>
        <w:t xml:space="preserve">or not </w:t>
      </w:r>
      <w:r w:rsidR="00081BF1" w:rsidRPr="002C770B">
        <w:rPr>
          <w:rFonts w:ascii="Arial" w:hAnsi="Arial" w:cs="Arial"/>
          <w:sz w:val="24"/>
          <w:szCs w:val="24"/>
        </w:rPr>
        <w:t>the presumption had been rebutted</w:t>
      </w:r>
      <w:r w:rsidR="002B1937">
        <w:rPr>
          <w:rFonts w:ascii="Arial" w:hAnsi="Arial" w:cs="Arial"/>
          <w:sz w:val="24"/>
          <w:szCs w:val="24"/>
        </w:rPr>
        <w:t xml:space="preserve"> which it should have done</w:t>
      </w:r>
      <w:r w:rsidR="00081BF1" w:rsidRPr="002C770B">
        <w:rPr>
          <w:rFonts w:ascii="Arial" w:hAnsi="Arial" w:cs="Arial"/>
          <w:sz w:val="24"/>
          <w:szCs w:val="24"/>
        </w:rPr>
        <w:t>. The Labour Court found the presumption arose but hel</w:t>
      </w:r>
      <w:r w:rsidR="002B1937">
        <w:rPr>
          <w:rFonts w:ascii="Arial" w:hAnsi="Arial" w:cs="Arial"/>
          <w:sz w:val="24"/>
          <w:szCs w:val="24"/>
        </w:rPr>
        <w:t xml:space="preserve">d that it had not been rebutted, although without specifying </w:t>
      </w:r>
      <w:r w:rsidR="00AA2B5B">
        <w:rPr>
          <w:rFonts w:ascii="Arial" w:hAnsi="Arial" w:cs="Arial"/>
          <w:sz w:val="24"/>
          <w:szCs w:val="24"/>
        </w:rPr>
        <w:t>in what respects the appellant had failed to rebut the presumption</w:t>
      </w:r>
      <w:r w:rsidR="002B1937">
        <w:rPr>
          <w:rFonts w:ascii="Arial" w:hAnsi="Arial" w:cs="Arial"/>
          <w:sz w:val="24"/>
          <w:szCs w:val="24"/>
        </w:rPr>
        <w:t>.</w:t>
      </w:r>
    </w:p>
    <w:p w:rsidR="00035C3A" w:rsidRDefault="00035C3A" w:rsidP="00035C3A">
      <w:pPr>
        <w:pStyle w:val="ListParagraph"/>
        <w:rPr>
          <w:rFonts w:ascii="Arial" w:hAnsi="Arial" w:cs="Arial"/>
          <w:sz w:val="24"/>
          <w:szCs w:val="24"/>
        </w:rPr>
      </w:pPr>
    </w:p>
    <w:p w:rsidR="00035C3A" w:rsidRDefault="00035C3A" w:rsidP="002C770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Pr="002C770B">
        <w:rPr>
          <w:rFonts w:ascii="Arial" w:hAnsi="Arial" w:cs="Arial"/>
          <w:sz w:val="24"/>
          <w:szCs w:val="24"/>
        </w:rPr>
        <w:t xml:space="preserve">nature of the enquiry </w:t>
      </w:r>
      <w:r>
        <w:rPr>
          <w:rFonts w:ascii="Arial" w:hAnsi="Arial" w:cs="Arial"/>
          <w:sz w:val="24"/>
          <w:szCs w:val="24"/>
        </w:rPr>
        <w:t>before</w:t>
      </w:r>
      <w:r w:rsidRPr="002C770B">
        <w:rPr>
          <w:rFonts w:ascii="Arial" w:hAnsi="Arial" w:cs="Arial"/>
          <w:sz w:val="24"/>
          <w:szCs w:val="24"/>
        </w:rPr>
        <w:t xml:space="preserve"> this court is the correctness or otherwise of the Commission’s decision appealed against. I have in some detail set out the nature of the decision – </w:t>
      </w:r>
      <w:r>
        <w:rPr>
          <w:rFonts w:ascii="Arial" w:hAnsi="Arial" w:cs="Arial"/>
          <w:sz w:val="24"/>
          <w:szCs w:val="24"/>
        </w:rPr>
        <w:t xml:space="preserve">an application </w:t>
      </w:r>
      <w:r w:rsidRPr="002C770B">
        <w:rPr>
          <w:rFonts w:ascii="Arial" w:hAnsi="Arial" w:cs="Arial"/>
          <w:sz w:val="24"/>
          <w:szCs w:val="24"/>
        </w:rPr>
        <w:t>for deregistration as an employer –</w:t>
      </w:r>
      <w:r>
        <w:rPr>
          <w:rFonts w:ascii="Arial" w:hAnsi="Arial" w:cs="Arial"/>
          <w:sz w:val="24"/>
          <w:szCs w:val="24"/>
        </w:rPr>
        <w:t xml:space="preserve"> </w:t>
      </w:r>
      <w:r w:rsidRPr="002C770B">
        <w:rPr>
          <w:rFonts w:ascii="Arial" w:hAnsi="Arial" w:cs="Arial"/>
          <w:sz w:val="24"/>
          <w:szCs w:val="24"/>
        </w:rPr>
        <w:t>to the Commission and the documentation which served before the Commission in reaching its decision (to decline the appellant’s request t</w:t>
      </w:r>
      <w:r>
        <w:rPr>
          <w:rFonts w:ascii="Arial" w:hAnsi="Arial" w:cs="Arial"/>
          <w:sz w:val="24"/>
          <w:szCs w:val="24"/>
        </w:rPr>
        <w:t>o deregister it as an employer).</w:t>
      </w:r>
    </w:p>
    <w:p w:rsidR="002C770B" w:rsidRPr="00B53F8E" w:rsidRDefault="002C770B" w:rsidP="00B53F8E">
      <w:pPr>
        <w:pStyle w:val="NoSpacing"/>
        <w:spacing w:line="480" w:lineRule="auto"/>
        <w:jc w:val="both"/>
        <w:rPr>
          <w:rFonts w:ascii="Arial" w:hAnsi="Arial" w:cs="Arial"/>
          <w:sz w:val="24"/>
          <w:szCs w:val="24"/>
        </w:rPr>
      </w:pPr>
    </w:p>
    <w:p w:rsidR="002C770B" w:rsidRDefault="000A6CCC" w:rsidP="002C770B">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t>The starting point is s 20 of the Act which deals with registration. It provides:</w:t>
      </w:r>
    </w:p>
    <w:p w:rsidR="002C770B" w:rsidRDefault="002C770B" w:rsidP="002C770B">
      <w:pPr>
        <w:pStyle w:val="ListParagraph"/>
        <w:rPr>
          <w:rFonts w:ascii="Arial" w:hAnsi="Arial" w:cs="Arial"/>
          <w:sz w:val="24"/>
          <w:szCs w:val="24"/>
        </w:rPr>
      </w:pPr>
    </w:p>
    <w:p w:rsidR="002C770B" w:rsidRPr="00D655D2" w:rsidRDefault="002C770B" w:rsidP="002C770B">
      <w:pPr>
        <w:spacing w:after="0" w:line="360" w:lineRule="auto"/>
        <w:ind w:left="720"/>
        <w:jc w:val="both"/>
        <w:rPr>
          <w:rFonts w:ascii="Arial" w:hAnsi="Arial" w:cs="Arial"/>
        </w:rPr>
      </w:pPr>
      <w:r w:rsidRPr="00D655D2">
        <w:rPr>
          <w:rFonts w:ascii="Arial" w:hAnsi="Arial" w:cs="Arial"/>
        </w:rPr>
        <w:t>‘</w:t>
      </w:r>
      <w:proofErr w:type="gramStart"/>
      <w:r w:rsidRPr="00D655D2">
        <w:rPr>
          <w:rFonts w:ascii="Arial" w:hAnsi="Arial" w:cs="Arial"/>
        </w:rPr>
        <w:t>s</w:t>
      </w:r>
      <w:proofErr w:type="gramEnd"/>
      <w:r w:rsidRPr="00D655D2">
        <w:rPr>
          <w:rFonts w:ascii="Arial" w:hAnsi="Arial" w:cs="Arial"/>
        </w:rPr>
        <w:t xml:space="preserve"> 20. (1) Subject to subsection (3), every employer shall, in the prescribed manner and within the prescribed period, register – </w:t>
      </w:r>
    </w:p>
    <w:p w:rsidR="002C770B" w:rsidRPr="00D655D2" w:rsidRDefault="002C770B" w:rsidP="002C770B">
      <w:pPr>
        <w:spacing w:after="0" w:line="360" w:lineRule="auto"/>
        <w:ind w:left="720" w:firstLine="720"/>
        <w:jc w:val="both"/>
        <w:rPr>
          <w:rFonts w:ascii="Arial" w:hAnsi="Arial" w:cs="Arial"/>
        </w:rPr>
      </w:pPr>
    </w:p>
    <w:p w:rsidR="002C770B" w:rsidRPr="00D655D2" w:rsidRDefault="002C770B" w:rsidP="002C770B">
      <w:pPr>
        <w:spacing w:after="0" w:line="360" w:lineRule="auto"/>
        <w:ind w:left="720" w:firstLine="720"/>
        <w:jc w:val="both"/>
        <w:rPr>
          <w:rFonts w:ascii="Arial" w:hAnsi="Arial" w:cs="Arial"/>
        </w:rPr>
      </w:pPr>
      <w:r w:rsidRPr="00D655D2">
        <w:rPr>
          <w:rFonts w:ascii="Arial" w:hAnsi="Arial" w:cs="Arial"/>
        </w:rPr>
        <w:t>(a)</w:t>
      </w:r>
      <w:r w:rsidRPr="00D655D2">
        <w:rPr>
          <w:rFonts w:ascii="Arial" w:hAnsi="Arial" w:cs="Arial"/>
        </w:rPr>
        <w:tab/>
      </w:r>
      <w:proofErr w:type="gramStart"/>
      <w:r w:rsidRPr="00D655D2">
        <w:rPr>
          <w:rFonts w:ascii="Arial" w:hAnsi="Arial" w:cs="Arial"/>
        </w:rPr>
        <w:t>himself</w:t>
      </w:r>
      <w:proofErr w:type="gramEnd"/>
      <w:r w:rsidRPr="00D655D2">
        <w:rPr>
          <w:rFonts w:ascii="Arial" w:hAnsi="Arial" w:cs="Arial"/>
        </w:rPr>
        <w:t xml:space="preserve"> or herself with the Commission as an employer; and </w:t>
      </w:r>
    </w:p>
    <w:p w:rsidR="002C770B" w:rsidRPr="00D655D2" w:rsidRDefault="002C770B" w:rsidP="002C770B">
      <w:pPr>
        <w:spacing w:after="0" w:line="360" w:lineRule="auto"/>
        <w:ind w:left="2160" w:hanging="720"/>
        <w:jc w:val="both"/>
        <w:rPr>
          <w:rFonts w:ascii="Arial" w:hAnsi="Arial" w:cs="Arial"/>
        </w:rPr>
      </w:pPr>
      <w:r w:rsidRPr="00D655D2">
        <w:rPr>
          <w:rFonts w:ascii="Arial" w:hAnsi="Arial" w:cs="Arial"/>
        </w:rPr>
        <w:t>(b)</w:t>
      </w:r>
      <w:r w:rsidRPr="00D655D2">
        <w:rPr>
          <w:rFonts w:ascii="Arial" w:hAnsi="Arial" w:cs="Arial"/>
        </w:rPr>
        <w:tab/>
      </w:r>
      <w:proofErr w:type="gramStart"/>
      <w:r w:rsidRPr="00D655D2">
        <w:rPr>
          <w:rFonts w:ascii="Arial" w:hAnsi="Arial" w:cs="Arial"/>
        </w:rPr>
        <w:t>every</w:t>
      </w:r>
      <w:proofErr w:type="gramEnd"/>
      <w:r w:rsidRPr="00D655D2">
        <w:rPr>
          <w:rFonts w:ascii="Arial" w:hAnsi="Arial" w:cs="Arial"/>
        </w:rPr>
        <w:t xml:space="preserve"> employee employed by him or her, as an employee, for the purposes of this Act. </w:t>
      </w:r>
    </w:p>
    <w:p w:rsidR="002C770B" w:rsidRPr="00D655D2" w:rsidRDefault="002C770B" w:rsidP="002C770B">
      <w:pPr>
        <w:spacing w:after="0" w:line="360" w:lineRule="auto"/>
        <w:ind w:left="720" w:firstLine="720"/>
        <w:jc w:val="both"/>
        <w:rPr>
          <w:rFonts w:ascii="Arial" w:hAnsi="Arial" w:cs="Arial"/>
        </w:rPr>
      </w:pPr>
    </w:p>
    <w:p w:rsidR="002C770B" w:rsidRPr="00D655D2" w:rsidRDefault="002C770B" w:rsidP="002C770B">
      <w:pPr>
        <w:spacing w:after="0" w:line="360" w:lineRule="auto"/>
        <w:ind w:left="720"/>
        <w:jc w:val="both"/>
        <w:rPr>
          <w:rFonts w:ascii="Arial" w:hAnsi="Arial" w:cs="Arial"/>
        </w:rPr>
      </w:pPr>
      <w:r w:rsidRPr="00D655D2">
        <w:rPr>
          <w:rFonts w:ascii="Arial" w:hAnsi="Arial" w:cs="Arial"/>
        </w:rPr>
        <w:t xml:space="preserve">2) </w:t>
      </w:r>
      <w:r>
        <w:rPr>
          <w:rFonts w:ascii="Arial" w:hAnsi="Arial" w:cs="Arial"/>
        </w:rPr>
        <w:t xml:space="preserve">. . . </w:t>
      </w:r>
      <w:r w:rsidRPr="00D655D2">
        <w:rPr>
          <w:rFonts w:ascii="Arial" w:hAnsi="Arial" w:cs="Arial"/>
        </w:rPr>
        <w:t>.</w:t>
      </w:r>
    </w:p>
    <w:p w:rsidR="002C770B" w:rsidRPr="00D655D2" w:rsidRDefault="002C770B" w:rsidP="002C770B">
      <w:pPr>
        <w:spacing w:after="0" w:line="360" w:lineRule="auto"/>
        <w:jc w:val="both"/>
        <w:rPr>
          <w:rFonts w:ascii="Arial" w:hAnsi="Arial" w:cs="Arial"/>
        </w:rPr>
      </w:pPr>
    </w:p>
    <w:p w:rsidR="002C770B" w:rsidRPr="00D655D2" w:rsidRDefault="002C770B" w:rsidP="002C770B">
      <w:pPr>
        <w:spacing w:after="0" w:line="360" w:lineRule="auto"/>
        <w:ind w:left="720"/>
        <w:jc w:val="both"/>
        <w:rPr>
          <w:rFonts w:ascii="Arial" w:hAnsi="Arial" w:cs="Arial"/>
        </w:rPr>
      </w:pPr>
      <w:r w:rsidRPr="00D655D2">
        <w:rPr>
          <w:rFonts w:ascii="Arial" w:hAnsi="Arial" w:cs="Arial"/>
        </w:rPr>
        <w:t>(3) The name and such other prescribed particulars of every employer and employee registered under this section shall be recorded in a prescribed register to be kept by the Commission, and a prescribed certificate of registration, which shall, in the case of an employee, be known as a social security card, shall be issued to every employer and employee so registered.</w:t>
      </w:r>
    </w:p>
    <w:p w:rsidR="002C770B" w:rsidRPr="00D655D2" w:rsidRDefault="002C770B" w:rsidP="002C770B">
      <w:pPr>
        <w:spacing w:after="0" w:line="360" w:lineRule="auto"/>
        <w:jc w:val="both"/>
        <w:rPr>
          <w:rFonts w:ascii="Arial" w:hAnsi="Arial" w:cs="Arial"/>
        </w:rPr>
      </w:pPr>
    </w:p>
    <w:p w:rsidR="002C770B" w:rsidRDefault="002C770B" w:rsidP="002C770B">
      <w:pPr>
        <w:spacing w:after="0" w:line="360" w:lineRule="auto"/>
        <w:ind w:left="720"/>
        <w:jc w:val="both"/>
        <w:rPr>
          <w:rFonts w:ascii="Arial" w:hAnsi="Arial" w:cs="Arial"/>
          <w:sz w:val="24"/>
          <w:szCs w:val="24"/>
        </w:rPr>
      </w:pPr>
      <w:r w:rsidRPr="00D655D2">
        <w:rPr>
          <w:rFonts w:ascii="Arial" w:hAnsi="Arial" w:cs="Arial"/>
        </w:rPr>
        <w:t xml:space="preserve">(4) </w:t>
      </w:r>
      <w:proofErr w:type="gramStart"/>
      <w:r w:rsidRPr="00D655D2">
        <w:rPr>
          <w:rFonts w:ascii="Arial" w:hAnsi="Arial" w:cs="Arial"/>
        </w:rPr>
        <w:t>Any</w:t>
      </w:r>
      <w:proofErr w:type="gramEnd"/>
      <w:r w:rsidRPr="00D655D2">
        <w:rPr>
          <w:rFonts w:ascii="Arial" w:hAnsi="Arial" w:cs="Arial"/>
        </w:rPr>
        <w:t xml:space="preserve"> person who fails to comply with subsection (1) shall be guilty of an offence.’</w:t>
      </w:r>
    </w:p>
    <w:p w:rsidR="002C770B" w:rsidRDefault="002C770B" w:rsidP="002C770B">
      <w:pPr>
        <w:pStyle w:val="ListParagraph"/>
        <w:rPr>
          <w:rFonts w:ascii="Arial" w:hAnsi="Arial" w:cs="Arial"/>
          <w:sz w:val="24"/>
          <w:szCs w:val="24"/>
        </w:rPr>
      </w:pPr>
    </w:p>
    <w:p w:rsidR="00A053B3" w:rsidRDefault="000A6CCC" w:rsidP="00A053B3">
      <w:pPr>
        <w:pStyle w:val="NoSpacing"/>
        <w:numPr>
          <w:ilvl w:val="0"/>
          <w:numId w:val="4"/>
        </w:numPr>
        <w:spacing w:line="480" w:lineRule="auto"/>
        <w:ind w:left="0" w:firstLine="0"/>
        <w:jc w:val="both"/>
        <w:rPr>
          <w:rFonts w:ascii="Arial" w:hAnsi="Arial" w:cs="Arial"/>
          <w:sz w:val="24"/>
          <w:szCs w:val="24"/>
        </w:rPr>
      </w:pPr>
      <w:r w:rsidRPr="002C770B">
        <w:rPr>
          <w:rFonts w:ascii="Arial" w:hAnsi="Arial" w:cs="Arial"/>
          <w:sz w:val="24"/>
          <w:szCs w:val="24"/>
        </w:rPr>
        <w:lastRenderedPageBreak/>
        <w:t>This provision requires that not only every employer – at pain of criminal sanction – must register itself as an employer but also must register every employee employed by it as an employee.</w:t>
      </w:r>
    </w:p>
    <w:p w:rsidR="00A053B3" w:rsidRDefault="00A053B3" w:rsidP="00A053B3">
      <w:pPr>
        <w:pStyle w:val="NoSpacing"/>
        <w:spacing w:line="480" w:lineRule="auto"/>
        <w:jc w:val="both"/>
        <w:rPr>
          <w:rFonts w:ascii="Arial" w:hAnsi="Arial" w:cs="Arial"/>
          <w:sz w:val="24"/>
          <w:szCs w:val="24"/>
        </w:rPr>
      </w:pPr>
    </w:p>
    <w:p w:rsidR="00A053B3" w:rsidRDefault="000A6CCC" w:rsidP="00A053B3">
      <w:pPr>
        <w:pStyle w:val="NoSpacing"/>
        <w:numPr>
          <w:ilvl w:val="0"/>
          <w:numId w:val="4"/>
        </w:numPr>
        <w:spacing w:line="480" w:lineRule="auto"/>
        <w:ind w:left="0" w:firstLine="0"/>
        <w:jc w:val="both"/>
        <w:rPr>
          <w:rFonts w:ascii="Arial" w:hAnsi="Arial" w:cs="Arial"/>
          <w:sz w:val="24"/>
          <w:szCs w:val="24"/>
        </w:rPr>
      </w:pPr>
      <w:r w:rsidRPr="00A053B3">
        <w:rPr>
          <w:rFonts w:ascii="Arial" w:hAnsi="Arial" w:cs="Arial"/>
          <w:sz w:val="24"/>
          <w:szCs w:val="24"/>
        </w:rPr>
        <w:t>In its letter of 20 May 2014 to which a letter to the EEC was attached the appellant refers to 27 special religious minister</w:t>
      </w:r>
      <w:r w:rsidR="00243A65" w:rsidRPr="00A053B3">
        <w:rPr>
          <w:rFonts w:ascii="Arial" w:hAnsi="Arial" w:cs="Arial"/>
          <w:sz w:val="24"/>
          <w:szCs w:val="24"/>
        </w:rPr>
        <w:t>s</w:t>
      </w:r>
      <w:r w:rsidRPr="00A053B3">
        <w:rPr>
          <w:rFonts w:ascii="Arial" w:hAnsi="Arial" w:cs="Arial"/>
          <w:sz w:val="24"/>
          <w:szCs w:val="24"/>
        </w:rPr>
        <w:t xml:space="preserve"> at its translation office w</w:t>
      </w:r>
      <w:r w:rsidR="00F44DAB">
        <w:rPr>
          <w:rFonts w:ascii="Arial" w:hAnsi="Arial" w:cs="Arial"/>
          <w:sz w:val="24"/>
          <w:szCs w:val="24"/>
        </w:rPr>
        <w:t>ho</w:t>
      </w:r>
      <w:r w:rsidRPr="00A053B3">
        <w:rPr>
          <w:rFonts w:ascii="Arial" w:hAnsi="Arial" w:cs="Arial"/>
          <w:sz w:val="24"/>
          <w:szCs w:val="24"/>
        </w:rPr>
        <w:t xml:space="preserve"> are referred to separately from 19 special m</w:t>
      </w:r>
      <w:r w:rsidR="00D32C80" w:rsidRPr="00A053B3">
        <w:rPr>
          <w:rFonts w:ascii="Arial" w:hAnsi="Arial" w:cs="Arial"/>
          <w:sz w:val="24"/>
          <w:szCs w:val="24"/>
        </w:rPr>
        <w:t xml:space="preserve">inisters who preach full time in congregations who are stated to be ‘special ministers serving God and </w:t>
      </w:r>
      <w:r w:rsidR="002B1937">
        <w:rPr>
          <w:rFonts w:ascii="Arial" w:hAnsi="Arial" w:cs="Arial"/>
          <w:sz w:val="24"/>
          <w:szCs w:val="24"/>
        </w:rPr>
        <w:t>not</w:t>
      </w:r>
      <w:r w:rsidR="00D32C80" w:rsidRPr="00A053B3">
        <w:rPr>
          <w:rFonts w:ascii="Arial" w:hAnsi="Arial" w:cs="Arial"/>
          <w:sz w:val="24"/>
          <w:szCs w:val="24"/>
        </w:rPr>
        <w:t xml:space="preserve"> employees’. It is however stated in the same letter that all the members of the </w:t>
      </w:r>
      <w:r w:rsidR="003F316F">
        <w:rPr>
          <w:rFonts w:ascii="Arial" w:hAnsi="Arial" w:cs="Arial"/>
          <w:sz w:val="24"/>
          <w:szCs w:val="24"/>
        </w:rPr>
        <w:t>O</w:t>
      </w:r>
      <w:r w:rsidR="00D32C80" w:rsidRPr="00A053B3">
        <w:rPr>
          <w:rFonts w:ascii="Arial" w:hAnsi="Arial" w:cs="Arial"/>
          <w:sz w:val="24"/>
          <w:szCs w:val="24"/>
        </w:rPr>
        <w:t>rder take the vow.</w:t>
      </w:r>
    </w:p>
    <w:p w:rsidR="00A053B3" w:rsidRDefault="00A053B3" w:rsidP="00A053B3">
      <w:pPr>
        <w:pStyle w:val="ListParagraph"/>
        <w:rPr>
          <w:rFonts w:ascii="Arial" w:hAnsi="Arial" w:cs="Arial"/>
          <w:sz w:val="24"/>
          <w:szCs w:val="24"/>
        </w:rPr>
      </w:pPr>
    </w:p>
    <w:p w:rsidR="00A053B3" w:rsidRDefault="00D32C80" w:rsidP="00A053B3">
      <w:pPr>
        <w:pStyle w:val="NoSpacing"/>
        <w:numPr>
          <w:ilvl w:val="0"/>
          <w:numId w:val="4"/>
        </w:numPr>
        <w:spacing w:line="480" w:lineRule="auto"/>
        <w:ind w:left="0" w:firstLine="0"/>
        <w:jc w:val="both"/>
        <w:rPr>
          <w:rFonts w:ascii="Arial" w:hAnsi="Arial" w:cs="Arial"/>
          <w:sz w:val="24"/>
          <w:szCs w:val="24"/>
        </w:rPr>
      </w:pPr>
      <w:r w:rsidRPr="00A053B3">
        <w:rPr>
          <w:rFonts w:ascii="Arial" w:hAnsi="Arial" w:cs="Arial"/>
          <w:sz w:val="24"/>
          <w:szCs w:val="24"/>
        </w:rPr>
        <w:t>It is not stated in the request which</w:t>
      </w:r>
      <w:r w:rsidR="002B1937">
        <w:rPr>
          <w:rFonts w:ascii="Arial" w:hAnsi="Arial" w:cs="Arial"/>
          <w:sz w:val="24"/>
          <w:szCs w:val="24"/>
        </w:rPr>
        <w:t xml:space="preserve"> category of</w:t>
      </w:r>
      <w:r w:rsidRPr="00A053B3">
        <w:rPr>
          <w:rFonts w:ascii="Arial" w:hAnsi="Arial" w:cs="Arial"/>
          <w:sz w:val="24"/>
          <w:szCs w:val="24"/>
        </w:rPr>
        <w:t xml:space="preserve"> members of the </w:t>
      </w:r>
      <w:r w:rsidR="00F44DAB">
        <w:rPr>
          <w:rFonts w:ascii="Arial" w:hAnsi="Arial" w:cs="Arial"/>
          <w:sz w:val="24"/>
          <w:szCs w:val="24"/>
        </w:rPr>
        <w:t>O</w:t>
      </w:r>
      <w:r w:rsidRPr="00A053B3">
        <w:rPr>
          <w:rFonts w:ascii="Arial" w:hAnsi="Arial" w:cs="Arial"/>
          <w:sz w:val="24"/>
          <w:szCs w:val="24"/>
        </w:rPr>
        <w:t xml:space="preserve">rder are registered as employees by the appellant. Mr Tjombe correctly accepted that the power to register would include the power to deregister if an employer ceased to employ employees.  That would be an implied power and inherent in the structure of the registration scheme contemplated by the legislature. But that scheme cannot in my view contemplate deregistration whilst employees remain registered. The Commission was thus in my view correct to decline to deregister the appellant. Its decision arrived at cannot be faulted on the basis of what was placed before it. It would certainly not be competent for the Commission to deregister an employer whilst its employees are registered as employees. Nowhere in the appellant’s application for deregistration is this issue addressed. Nor is it stated if it has </w:t>
      </w:r>
      <w:r w:rsidR="003F37F7" w:rsidRPr="00A053B3">
        <w:rPr>
          <w:rFonts w:ascii="Arial" w:hAnsi="Arial" w:cs="Arial"/>
          <w:sz w:val="24"/>
          <w:szCs w:val="24"/>
        </w:rPr>
        <w:t xml:space="preserve">employees apart from members of the </w:t>
      </w:r>
      <w:r w:rsidR="003F316F">
        <w:rPr>
          <w:rFonts w:ascii="Arial" w:hAnsi="Arial" w:cs="Arial"/>
          <w:sz w:val="24"/>
          <w:szCs w:val="24"/>
        </w:rPr>
        <w:t>O</w:t>
      </w:r>
      <w:r w:rsidR="003F37F7" w:rsidRPr="00A053B3">
        <w:rPr>
          <w:rFonts w:ascii="Arial" w:hAnsi="Arial" w:cs="Arial"/>
          <w:sz w:val="24"/>
          <w:szCs w:val="24"/>
        </w:rPr>
        <w:t xml:space="preserve">rder. Nor was there any statement to the effect (and proof of this) that members of the </w:t>
      </w:r>
      <w:r w:rsidR="003F316F">
        <w:rPr>
          <w:rFonts w:ascii="Arial" w:hAnsi="Arial" w:cs="Arial"/>
          <w:sz w:val="24"/>
          <w:szCs w:val="24"/>
        </w:rPr>
        <w:t>O</w:t>
      </w:r>
      <w:r w:rsidR="003F37F7" w:rsidRPr="00A053B3">
        <w:rPr>
          <w:rFonts w:ascii="Arial" w:hAnsi="Arial" w:cs="Arial"/>
          <w:sz w:val="24"/>
          <w:szCs w:val="24"/>
        </w:rPr>
        <w:t xml:space="preserve">rder had received notice of the application to deregister. That would in any event have been necessary and the Commission would also have been justified to refuse the application for this </w:t>
      </w:r>
      <w:r w:rsidR="00D003E3" w:rsidRPr="00A053B3">
        <w:rPr>
          <w:rFonts w:ascii="Arial" w:hAnsi="Arial" w:cs="Arial"/>
          <w:sz w:val="24"/>
          <w:szCs w:val="24"/>
        </w:rPr>
        <w:t>reason</w:t>
      </w:r>
      <w:r w:rsidR="003F37F7" w:rsidRPr="00A053B3">
        <w:rPr>
          <w:rFonts w:ascii="Arial" w:hAnsi="Arial" w:cs="Arial"/>
          <w:sz w:val="24"/>
          <w:szCs w:val="24"/>
        </w:rPr>
        <w:t xml:space="preserve">. </w:t>
      </w:r>
    </w:p>
    <w:p w:rsidR="00A053B3" w:rsidRDefault="00A053B3" w:rsidP="00A053B3">
      <w:pPr>
        <w:pStyle w:val="NoSpacing"/>
        <w:spacing w:line="480" w:lineRule="auto"/>
        <w:jc w:val="both"/>
        <w:rPr>
          <w:rFonts w:ascii="Arial" w:hAnsi="Arial" w:cs="Arial"/>
          <w:sz w:val="24"/>
          <w:szCs w:val="24"/>
        </w:rPr>
      </w:pPr>
    </w:p>
    <w:p w:rsidR="00A053B3" w:rsidRDefault="00D003E3" w:rsidP="00A053B3">
      <w:pPr>
        <w:pStyle w:val="NoSpacing"/>
        <w:numPr>
          <w:ilvl w:val="0"/>
          <w:numId w:val="4"/>
        </w:numPr>
        <w:spacing w:line="480" w:lineRule="auto"/>
        <w:ind w:left="0" w:firstLine="0"/>
        <w:jc w:val="both"/>
        <w:rPr>
          <w:rFonts w:ascii="Arial" w:hAnsi="Arial" w:cs="Arial"/>
          <w:sz w:val="24"/>
          <w:szCs w:val="24"/>
        </w:rPr>
      </w:pPr>
      <w:r w:rsidRPr="00A053B3">
        <w:rPr>
          <w:rFonts w:ascii="Arial" w:hAnsi="Arial" w:cs="Arial"/>
          <w:sz w:val="24"/>
          <w:szCs w:val="24"/>
        </w:rPr>
        <w:t xml:space="preserve">Mr </w:t>
      </w:r>
      <w:proofErr w:type="spellStart"/>
      <w:r w:rsidRPr="00A053B3">
        <w:rPr>
          <w:rFonts w:ascii="Arial" w:hAnsi="Arial" w:cs="Arial"/>
          <w:sz w:val="24"/>
          <w:szCs w:val="24"/>
        </w:rPr>
        <w:t>Tötemeyer</w:t>
      </w:r>
      <w:proofErr w:type="spellEnd"/>
      <w:r w:rsidRPr="00A053B3">
        <w:rPr>
          <w:rFonts w:ascii="Arial" w:hAnsi="Arial" w:cs="Arial"/>
          <w:sz w:val="24"/>
          <w:szCs w:val="24"/>
        </w:rPr>
        <w:t xml:space="preserve"> argued that members of the </w:t>
      </w:r>
      <w:r w:rsidR="003F316F">
        <w:rPr>
          <w:rFonts w:ascii="Arial" w:hAnsi="Arial" w:cs="Arial"/>
          <w:sz w:val="24"/>
          <w:szCs w:val="24"/>
        </w:rPr>
        <w:t>O</w:t>
      </w:r>
      <w:r w:rsidRPr="00A053B3">
        <w:rPr>
          <w:rFonts w:ascii="Arial" w:hAnsi="Arial" w:cs="Arial"/>
          <w:sz w:val="24"/>
          <w:szCs w:val="24"/>
        </w:rPr>
        <w:t xml:space="preserve">rder had filed affidavits on appeal consenting to be bound by the judgment of the Labour Court and waiving the right to be joined and supporting the appeal. 66 affidavits to this effect were filed. </w:t>
      </w:r>
      <w:r w:rsidR="00462522" w:rsidRPr="00A053B3">
        <w:rPr>
          <w:rFonts w:ascii="Arial" w:hAnsi="Arial" w:cs="Arial"/>
          <w:sz w:val="24"/>
          <w:szCs w:val="24"/>
        </w:rPr>
        <w:t>Quite apart from the fact that these affidavits did not serve before the Commission,</w:t>
      </w:r>
      <w:r w:rsidRPr="00A053B3">
        <w:rPr>
          <w:rFonts w:ascii="Arial" w:hAnsi="Arial" w:cs="Arial"/>
          <w:sz w:val="24"/>
          <w:szCs w:val="24"/>
        </w:rPr>
        <w:t xml:space="preserve"> the affidavit</w:t>
      </w:r>
      <w:r w:rsidR="00462522" w:rsidRPr="00A053B3">
        <w:rPr>
          <w:rFonts w:ascii="Arial" w:hAnsi="Arial" w:cs="Arial"/>
          <w:sz w:val="24"/>
          <w:szCs w:val="24"/>
        </w:rPr>
        <w:t>s</w:t>
      </w:r>
      <w:r w:rsidRPr="00A053B3">
        <w:rPr>
          <w:rFonts w:ascii="Arial" w:hAnsi="Arial" w:cs="Arial"/>
          <w:sz w:val="24"/>
          <w:szCs w:val="24"/>
        </w:rPr>
        <w:t xml:space="preserve"> in sup</w:t>
      </w:r>
      <w:r w:rsidR="00462522" w:rsidRPr="00A053B3">
        <w:rPr>
          <w:rFonts w:ascii="Arial" w:hAnsi="Arial" w:cs="Arial"/>
          <w:sz w:val="24"/>
          <w:szCs w:val="24"/>
        </w:rPr>
        <w:t>port of the appeal not only do</w:t>
      </w:r>
      <w:r w:rsidRPr="00A053B3">
        <w:rPr>
          <w:rFonts w:ascii="Arial" w:hAnsi="Arial" w:cs="Arial"/>
          <w:sz w:val="24"/>
          <w:szCs w:val="24"/>
        </w:rPr>
        <w:t xml:space="preserve"> not disclose how many registered employees the appellant currently has and why not all members of the </w:t>
      </w:r>
      <w:r w:rsidR="003F316F">
        <w:rPr>
          <w:rFonts w:ascii="Arial" w:hAnsi="Arial" w:cs="Arial"/>
          <w:sz w:val="24"/>
          <w:szCs w:val="24"/>
        </w:rPr>
        <w:t>O</w:t>
      </w:r>
      <w:r w:rsidRPr="00A053B3">
        <w:rPr>
          <w:rFonts w:ascii="Arial" w:hAnsi="Arial" w:cs="Arial"/>
          <w:sz w:val="24"/>
          <w:szCs w:val="24"/>
        </w:rPr>
        <w:t xml:space="preserve">rder have deposed to affidavits. No explanation is provided in these respects. Nor is any given as to how and why the appellant registered itself as an employer in the first place and which persons were registered as employees and why. On the basis of the </w:t>
      </w:r>
      <w:proofErr w:type="spellStart"/>
      <w:r w:rsidRPr="00A053B3">
        <w:rPr>
          <w:rFonts w:ascii="Arial" w:hAnsi="Arial" w:cs="Arial"/>
          <w:sz w:val="24"/>
          <w:szCs w:val="24"/>
        </w:rPr>
        <w:t>aforegoing</w:t>
      </w:r>
      <w:proofErr w:type="spellEnd"/>
      <w:r w:rsidRPr="00A053B3">
        <w:rPr>
          <w:rFonts w:ascii="Arial" w:hAnsi="Arial" w:cs="Arial"/>
          <w:sz w:val="24"/>
          <w:szCs w:val="24"/>
        </w:rPr>
        <w:t xml:space="preserve"> the Commission </w:t>
      </w:r>
      <w:r w:rsidR="002B7E93" w:rsidRPr="00A053B3">
        <w:rPr>
          <w:rFonts w:ascii="Arial" w:hAnsi="Arial" w:cs="Arial"/>
          <w:sz w:val="24"/>
          <w:szCs w:val="24"/>
        </w:rPr>
        <w:t xml:space="preserve">was correct in declining to deregister, even though its interpretation of s 128A </w:t>
      </w:r>
      <w:r w:rsidR="00462522" w:rsidRPr="00A053B3">
        <w:rPr>
          <w:rFonts w:ascii="Arial" w:hAnsi="Arial" w:cs="Arial"/>
          <w:sz w:val="24"/>
          <w:szCs w:val="24"/>
        </w:rPr>
        <w:t xml:space="preserve">is </w:t>
      </w:r>
      <w:r w:rsidR="002B7E93" w:rsidRPr="00A053B3">
        <w:rPr>
          <w:rFonts w:ascii="Arial" w:hAnsi="Arial" w:cs="Arial"/>
          <w:sz w:val="24"/>
          <w:szCs w:val="24"/>
        </w:rPr>
        <w:t>defective. An appeal is after all against the order given and not the reasoning supplied for it. The appeal against that ruling did not succeed even though the Labour Court approached the matter on the basis</w:t>
      </w:r>
      <w:r w:rsidR="00FC68E0">
        <w:rPr>
          <w:rFonts w:ascii="Arial" w:hAnsi="Arial" w:cs="Arial"/>
          <w:sz w:val="24"/>
          <w:szCs w:val="24"/>
        </w:rPr>
        <w:t xml:space="preserve"> that</w:t>
      </w:r>
      <w:r w:rsidR="002B7E93" w:rsidRPr="00A053B3">
        <w:rPr>
          <w:rFonts w:ascii="Arial" w:hAnsi="Arial" w:cs="Arial"/>
          <w:sz w:val="24"/>
          <w:szCs w:val="24"/>
        </w:rPr>
        <w:t xml:space="preserve"> the presumption in s 128A had not been rebutted. The dismissal of the appeal was the correct outcome.</w:t>
      </w:r>
    </w:p>
    <w:p w:rsidR="00A053B3" w:rsidRDefault="00A053B3" w:rsidP="00A053B3">
      <w:pPr>
        <w:pStyle w:val="NoSpacing"/>
        <w:spacing w:line="480" w:lineRule="auto"/>
        <w:jc w:val="both"/>
        <w:rPr>
          <w:rFonts w:ascii="Arial" w:hAnsi="Arial" w:cs="Arial"/>
          <w:sz w:val="24"/>
          <w:szCs w:val="24"/>
        </w:rPr>
      </w:pPr>
    </w:p>
    <w:p w:rsidR="00A053B3" w:rsidRDefault="00035C3A" w:rsidP="00A053B3">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When it was put to </w:t>
      </w:r>
      <w:r w:rsidR="002B7E93" w:rsidRPr="00A053B3">
        <w:rPr>
          <w:rFonts w:ascii="Arial" w:hAnsi="Arial" w:cs="Arial"/>
          <w:sz w:val="24"/>
          <w:szCs w:val="24"/>
        </w:rPr>
        <w:t xml:space="preserve">Mr </w:t>
      </w:r>
      <w:proofErr w:type="spellStart"/>
      <w:r w:rsidR="002B7E93" w:rsidRPr="00A053B3">
        <w:rPr>
          <w:rFonts w:ascii="Arial" w:hAnsi="Arial" w:cs="Arial"/>
          <w:sz w:val="24"/>
          <w:szCs w:val="24"/>
        </w:rPr>
        <w:t>Tötemeyer</w:t>
      </w:r>
      <w:proofErr w:type="spellEnd"/>
      <w:r w:rsidR="002B7E93" w:rsidRPr="00A053B3">
        <w:rPr>
          <w:rFonts w:ascii="Arial" w:hAnsi="Arial" w:cs="Arial"/>
          <w:sz w:val="24"/>
          <w:szCs w:val="24"/>
        </w:rPr>
        <w:t xml:space="preserve"> </w:t>
      </w:r>
      <w:r w:rsidR="00BC089D">
        <w:rPr>
          <w:rFonts w:ascii="Arial" w:hAnsi="Arial" w:cs="Arial"/>
          <w:sz w:val="24"/>
          <w:szCs w:val="24"/>
        </w:rPr>
        <w:t xml:space="preserve">that deregistration was sought without any statement as to whether it had other employees, he </w:t>
      </w:r>
      <w:r w:rsidR="002B7E93" w:rsidRPr="00A053B3">
        <w:rPr>
          <w:rFonts w:ascii="Arial" w:hAnsi="Arial" w:cs="Arial"/>
          <w:sz w:val="24"/>
          <w:szCs w:val="24"/>
        </w:rPr>
        <w:t xml:space="preserve">argued that the appellant had established that it was not an employer for the purpose of members of the </w:t>
      </w:r>
      <w:r w:rsidR="003F316F">
        <w:rPr>
          <w:rFonts w:ascii="Arial" w:hAnsi="Arial" w:cs="Arial"/>
          <w:sz w:val="24"/>
          <w:szCs w:val="24"/>
        </w:rPr>
        <w:t>O</w:t>
      </w:r>
      <w:r w:rsidR="002B7E93" w:rsidRPr="00A053B3">
        <w:rPr>
          <w:rFonts w:ascii="Arial" w:hAnsi="Arial" w:cs="Arial"/>
          <w:sz w:val="24"/>
          <w:szCs w:val="24"/>
        </w:rPr>
        <w:t xml:space="preserve">rder and sought an order to that effect. Whilst it is correct that the Commission misconstrued s 128A, several obstacles would prevent any order to this effect. </w:t>
      </w:r>
      <w:r w:rsidR="00462522" w:rsidRPr="00A053B3">
        <w:rPr>
          <w:rFonts w:ascii="Arial" w:hAnsi="Arial" w:cs="Arial"/>
          <w:sz w:val="24"/>
          <w:szCs w:val="24"/>
        </w:rPr>
        <w:t xml:space="preserve">Firstly this was not the ruling sought </w:t>
      </w:r>
      <w:r w:rsidR="006141AC">
        <w:rPr>
          <w:rFonts w:ascii="Arial" w:hAnsi="Arial" w:cs="Arial"/>
          <w:sz w:val="24"/>
          <w:szCs w:val="24"/>
        </w:rPr>
        <w:t>from the Commission. D</w:t>
      </w:r>
      <w:r w:rsidR="00462522" w:rsidRPr="00A053B3">
        <w:rPr>
          <w:rFonts w:ascii="Arial" w:hAnsi="Arial" w:cs="Arial"/>
          <w:sz w:val="24"/>
          <w:szCs w:val="24"/>
        </w:rPr>
        <w:t>eregistration</w:t>
      </w:r>
      <w:r w:rsidR="006141AC">
        <w:rPr>
          <w:rFonts w:ascii="Arial" w:hAnsi="Arial" w:cs="Arial"/>
          <w:sz w:val="24"/>
          <w:szCs w:val="24"/>
        </w:rPr>
        <w:t xml:space="preserve"> as an employer</w:t>
      </w:r>
      <w:r w:rsidR="00462522" w:rsidRPr="00A053B3">
        <w:rPr>
          <w:rFonts w:ascii="Arial" w:hAnsi="Arial" w:cs="Arial"/>
          <w:sz w:val="24"/>
          <w:szCs w:val="24"/>
        </w:rPr>
        <w:t xml:space="preserve"> was sought. Furthermore there was </w:t>
      </w:r>
      <w:r w:rsidR="002B7E93" w:rsidRPr="00A053B3">
        <w:rPr>
          <w:rFonts w:ascii="Arial" w:hAnsi="Arial" w:cs="Arial"/>
          <w:sz w:val="24"/>
          <w:szCs w:val="24"/>
        </w:rPr>
        <w:t xml:space="preserve">the failure to disclose the number and identity of persons registered as employees of the </w:t>
      </w:r>
      <w:r w:rsidR="003F316F">
        <w:rPr>
          <w:rFonts w:ascii="Arial" w:hAnsi="Arial" w:cs="Arial"/>
          <w:sz w:val="24"/>
          <w:szCs w:val="24"/>
        </w:rPr>
        <w:t>O</w:t>
      </w:r>
      <w:r w:rsidR="002B7E93" w:rsidRPr="00A053B3">
        <w:rPr>
          <w:rFonts w:ascii="Arial" w:hAnsi="Arial" w:cs="Arial"/>
          <w:sz w:val="24"/>
          <w:szCs w:val="24"/>
        </w:rPr>
        <w:t>rder and whether there are any other employees</w:t>
      </w:r>
      <w:r w:rsidR="006141AC">
        <w:rPr>
          <w:rFonts w:ascii="Arial" w:hAnsi="Arial" w:cs="Arial"/>
          <w:sz w:val="24"/>
          <w:szCs w:val="24"/>
        </w:rPr>
        <w:t xml:space="preserve"> in addition to members of the </w:t>
      </w:r>
      <w:r w:rsidR="003F316F">
        <w:rPr>
          <w:rFonts w:ascii="Arial" w:hAnsi="Arial" w:cs="Arial"/>
          <w:sz w:val="24"/>
          <w:szCs w:val="24"/>
        </w:rPr>
        <w:t>O</w:t>
      </w:r>
      <w:r w:rsidR="006141AC">
        <w:rPr>
          <w:rFonts w:ascii="Arial" w:hAnsi="Arial" w:cs="Arial"/>
          <w:sz w:val="24"/>
          <w:szCs w:val="24"/>
        </w:rPr>
        <w:t>rder</w:t>
      </w:r>
      <w:r w:rsidR="002B7E93" w:rsidRPr="00A053B3">
        <w:rPr>
          <w:rFonts w:ascii="Arial" w:hAnsi="Arial" w:cs="Arial"/>
          <w:sz w:val="24"/>
          <w:szCs w:val="24"/>
        </w:rPr>
        <w:t>.</w:t>
      </w:r>
    </w:p>
    <w:p w:rsidR="00A053B3" w:rsidRDefault="00A053B3" w:rsidP="00A053B3">
      <w:pPr>
        <w:pStyle w:val="ListParagraph"/>
        <w:rPr>
          <w:rFonts w:ascii="Arial" w:hAnsi="Arial" w:cs="Arial"/>
          <w:sz w:val="24"/>
          <w:szCs w:val="24"/>
        </w:rPr>
      </w:pPr>
    </w:p>
    <w:p w:rsidR="00A053B3" w:rsidRPr="002D673F" w:rsidRDefault="002B7E93" w:rsidP="00A053B3">
      <w:pPr>
        <w:pStyle w:val="NoSpacing"/>
        <w:numPr>
          <w:ilvl w:val="0"/>
          <w:numId w:val="4"/>
        </w:numPr>
        <w:spacing w:line="480" w:lineRule="auto"/>
        <w:ind w:left="0" w:firstLine="0"/>
        <w:jc w:val="both"/>
        <w:rPr>
          <w:rFonts w:ascii="Arial" w:hAnsi="Arial" w:cs="Arial"/>
          <w:sz w:val="24"/>
          <w:szCs w:val="24"/>
        </w:rPr>
      </w:pPr>
      <w:r w:rsidRPr="002D673F">
        <w:rPr>
          <w:rFonts w:ascii="Arial" w:hAnsi="Arial" w:cs="Arial"/>
          <w:sz w:val="24"/>
          <w:szCs w:val="24"/>
        </w:rPr>
        <w:t>Quite apart from these shortcomings</w:t>
      </w:r>
      <w:r w:rsidR="006141AC">
        <w:rPr>
          <w:rFonts w:ascii="Arial" w:hAnsi="Arial" w:cs="Arial"/>
          <w:sz w:val="24"/>
          <w:szCs w:val="24"/>
        </w:rPr>
        <w:t>,</w:t>
      </w:r>
      <w:r w:rsidRPr="002D673F">
        <w:rPr>
          <w:rFonts w:ascii="Arial" w:hAnsi="Arial" w:cs="Arial"/>
          <w:sz w:val="24"/>
          <w:szCs w:val="24"/>
        </w:rPr>
        <w:t xml:space="preserve"> it is </w:t>
      </w:r>
      <w:r w:rsidR="00A943DA" w:rsidRPr="002D673F">
        <w:rPr>
          <w:rFonts w:ascii="Arial" w:hAnsi="Arial" w:cs="Arial"/>
          <w:sz w:val="24"/>
          <w:szCs w:val="24"/>
        </w:rPr>
        <w:t>moreover</w:t>
      </w:r>
      <w:r w:rsidRPr="002D673F">
        <w:rPr>
          <w:rFonts w:ascii="Arial" w:hAnsi="Arial" w:cs="Arial"/>
          <w:sz w:val="24"/>
          <w:szCs w:val="24"/>
        </w:rPr>
        <w:t xml:space="preserve"> clear to me on the basis of the material provided to the Commission, </w:t>
      </w:r>
      <w:r w:rsidR="00A943DA" w:rsidRPr="002D673F">
        <w:rPr>
          <w:rFonts w:ascii="Arial" w:hAnsi="Arial" w:cs="Arial"/>
          <w:sz w:val="24"/>
          <w:szCs w:val="24"/>
        </w:rPr>
        <w:t>that it</w:t>
      </w:r>
      <w:r w:rsidRPr="002D673F">
        <w:rPr>
          <w:rFonts w:ascii="Arial" w:hAnsi="Arial" w:cs="Arial"/>
          <w:sz w:val="24"/>
          <w:szCs w:val="24"/>
        </w:rPr>
        <w:t xml:space="preserve"> would have been justified to decline an application for deregistration. The mere</w:t>
      </w:r>
      <w:r w:rsidR="00BC089D" w:rsidRPr="002D673F">
        <w:rPr>
          <w:rFonts w:ascii="Arial" w:hAnsi="Arial" w:cs="Arial"/>
          <w:sz w:val="24"/>
          <w:szCs w:val="24"/>
        </w:rPr>
        <w:t xml:space="preserve"> assertion </w:t>
      </w:r>
      <w:r w:rsidR="006141AC">
        <w:rPr>
          <w:rFonts w:ascii="Arial" w:hAnsi="Arial" w:cs="Arial"/>
          <w:sz w:val="24"/>
          <w:szCs w:val="24"/>
        </w:rPr>
        <w:t>of</w:t>
      </w:r>
      <w:r w:rsidRPr="002D673F">
        <w:rPr>
          <w:rFonts w:ascii="Arial" w:hAnsi="Arial" w:cs="Arial"/>
          <w:sz w:val="24"/>
          <w:szCs w:val="24"/>
        </w:rPr>
        <w:t xml:space="preserve"> following a calling in</w:t>
      </w:r>
      <w:r w:rsidR="00A943DA" w:rsidRPr="002D673F">
        <w:rPr>
          <w:rFonts w:ascii="Arial" w:hAnsi="Arial" w:cs="Arial"/>
          <w:sz w:val="24"/>
          <w:szCs w:val="24"/>
        </w:rPr>
        <w:t xml:space="preserve"> a</w:t>
      </w:r>
      <w:r w:rsidRPr="002D673F">
        <w:rPr>
          <w:rFonts w:ascii="Arial" w:hAnsi="Arial" w:cs="Arial"/>
          <w:sz w:val="24"/>
          <w:szCs w:val="24"/>
        </w:rPr>
        <w:t xml:space="preserve"> </w:t>
      </w:r>
      <w:r w:rsidR="00F37248" w:rsidRPr="002D673F">
        <w:rPr>
          <w:rFonts w:ascii="Arial" w:hAnsi="Arial" w:cs="Arial"/>
          <w:sz w:val="24"/>
          <w:szCs w:val="24"/>
        </w:rPr>
        <w:t>religious</w:t>
      </w:r>
      <w:r w:rsidRPr="002D673F">
        <w:rPr>
          <w:rFonts w:ascii="Arial" w:hAnsi="Arial" w:cs="Arial"/>
          <w:sz w:val="24"/>
          <w:szCs w:val="24"/>
        </w:rPr>
        <w:t xml:space="preserve"> </w:t>
      </w:r>
      <w:r w:rsidR="00F37248" w:rsidRPr="002D673F">
        <w:rPr>
          <w:rFonts w:ascii="Arial" w:hAnsi="Arial" w:cs="Arial"/>
          <w:sz w:val="24"/>
          <w:szCs w:val="24"/>
        </w:rPr>
        <w:t xml:space="preserve">order </w:t>
      </w:r>
      <w:r w:rsidRPr="002D673F">
        <w:rPr>
          <w:rFonts w:ascii="Arial" w:hAnsi="Arial" w:cs="Arial"/>
          <w:sz w:val="24"/>
          <w:szCs w:val="24"/>
        </w:rPr>
        <w:t xml:space="preserve">and </w:t>
      </w:r>
      <w:r w:rsidR="00A943DA" w:rsidRPr="002D673F">
        <w:rPr>
          <w:rFonts w:ascii="Arial" w:hAnsi="Arial" w:cs="Arial"/>
          <w:sz w:val="24"/>
          <w:szCs w:val="24"/>
        </w:rPr>
        <w:t>t</w:t>
      </w:r>
      <w:r w:rsidR="00F37248" w:rsidRPr="002D673F">
        <w:rPr>
          <w:rFonts w:ascii="Arial" w:hAnsi="Arial" w:cs="Arial"/>
          <w:sz w:val="24"/>
          <w:szCs w:val="24"/>
        </w:rPr>
        <w:t>a</w:t>
      </w:r>
      <w:r w:rsidRPr="002D673F">
        <w:rPr>
          <w:rFonts w:ascii="Arial" w:hAnsi="Arial" w:cs="Arial"/>
          <w:sz w:val="24"/>
          <w:szCs w:val="24"/>
        </w:rPr>
        <w:t xml:space="preserve">king a vow </w:t>
      </w:r>
      <w:r w:rsidR="00AA2B5B">
        <w:rPr>
          <w:rFonts w:ascii="Arial" w:hAnsi="Arial" w:cs="Arial"/>
          <w:sz w:val="24"/>
          <w:szCs w:val="24"/>
        </w:rPr>
        <w:t>would</w:t>
      </w:r>
      <w:r w:rsidRPr="002D673F">
        <w:rPr>
          <w:rFonts w:ascii="Arial" w:hAnsi="Arial" w:cs="Arial"/>
          <w:sz w:val="24"/>
          <w:szCs w:val="24"/>
        </w:rPr>
        <w:t xml:space="preserve"> in my view be</w:t>
      </w:r>
      <w:r w:rsidR="00F37248" w:rsidRPr="002D673F">
        <w:rPr>
          <w:rFonts w:ascii="Arial" w:hAnsi="Arial" w:cs="Arial"/>
          <w:sz w:val="24"/>
          <w:szCs w:val="24"/>
        </w:rPr>
        <w:t xml:space="preserve"> insufficient to avoid the</w:t>
      </w:r>
      <w:r w:rsidRPr="002D673F">
        <w:rPr>
          <w:rFonts w:ascii="Arial" w:hAnsi="Arial" w:cs="Arial"/>
          <w:sz w:val="24"/>
          <w:szCs w:val="24"/>
        </w:rPr>
        <w:t xml:space="preserve"> definition of employee or employer for the purpose of the Act. </w:t>
      </w:r>
      <w:r w:rsidR="00ED56C7" w:rsidRPr="002D673F">
        <w:rPr>
          <w:rFonts w:ascii="Arial" w:hAnsi="Arial" w:cs="Arial"/>
          <w:sz w:val="24"/>
          <w:szCs w:val="24"/>
        </w:rPr>
        <w:t>This is the trend of recent</w:t>
      </w:r>
      <w:r w:rsidR="00EB1515" w:rsidRPr="002D673F">
        <w:rPr>
          <w:rFonts w:ascii="Arial" w:hAnsi="Arial" w:cs="Arial"/>
          <w:sz w:val="24"/>
          <w:szCs w:val="24"/>
        </w:rPr>
        <w:t xml:space="preserve"> jurisprudence in both England and South Africa. The approach </w:t>
      </w:r>
      <w:r w:rsidR="00AA2B5B">
        <w:rPr>
          <w:rFonts w:ascii="Arial" w:hAnsi="Arial" w:cs="Arial"/>
          <w:sz w:val="24"/>
          <w:szCs w:val="24"/>
        </w:rPr>
        <w:t xml:space="preserve">of </w:t>
      </w:r>
      <w:r w:rsidR="00EB1515" w:rsidRPr="002D673F">
        <w:rPr>
          <w:rFonts w:ascii="Arial" w:hAnsi="Arial" w:cs="Arial"/>
          <w:sz w:val="24"/>
          <w:szCs w:val="24"/>
        </w:rPr>
        <w:t xml:space="preserve">Lord </w:t>
      </w:r>
      <w:proofErr w:type="spellStart"/>
      <w:r w:rsidR="00EB1515" w:rsidRPr="002D673F">
        <w:rPr>
          <w:rFonts w:ascii="Arial" w:hAnsi="Arial" w:cs="Arial"/>
          <w:sz w:val="24"/>
          <w:szCs w:val="24"/>
        </w:rPr>
        <w:t>Sumption</w:t>
      </w:r>
      <w:proofErr w:type="spellEnd"/>
      <w:r w:rsidR="00EB1515" w:rsidRPr="002D673F">
        <w:rPr>
          <w:rFonts w:ascii="Arial" w:hAnsi="Arial" w:cs="Arial"/>
          <w:sz w:val="24"/>
          <w:szCs w:val="24"/>
        </w:rPr>
        <w:t xml:space="preserve"> in the UK Supreme Court in </w:t>
      </w:r>
      <w:r w:rsidR="00EB1515" w:rsidRPr="002D673F">
        <w:rPr>
          <w:rFonts w:ascii="Arial" w:hAnsi="Arial" w:cs="Arial"/>
          <w:i/>
          <w:sz w:val="24"/>
          <w:szCs w:val="24"/>
        </w:rPr>
        <w:t>Preston</w:t>
      </w:r>
      <w:r w:rsidR="00EB1515" w:rsidRPr="002D673F">
        <w:rPr>
          <w:rFonts w:ascii="Arial" w:hAnsi="Arial" w:cs="Arial"/>
          <w:sz w:val="24"/>
          <w:szCs w:val="24"/>
        </w:rPr>
        <w:t xml:space="preserve"> and Wallis JA in his concurring judgment in the SCA in </w:t>
      </w:r>
      <w:r w:rsidR="00EB1515" w:rsidRPr="002D673F">
        <w:rPr>
          <w:rFonts w:ascii="Arial" w:hAnsi="Arial" w:cs="Arial"/>
          <w:i/>
          <w:sz w:val="24"/>
          <w:szCs w:val="24"/>
        </w:rPr>
        <w:t>De Lange</w:t>
      </w:r>
      <w:r w:rsidR="006141AC">
        <w:rPr>
          <w:rStyle w:val="FootnoteReference"/>
          <w:rFonts w:ascii="Arial" w:hAnsi="Arial" w:cs="Arial"/>
          <w:i/>
          <w:sz w:val="24"/>
          <w:szCs w:val="24"/>
        </w:rPr>
        <w:footnoteReference w:id="18"/>
      </w:r>
      <w:r w:rsidR="00EB1515" w:rsidRPr="002D673F">
        <w:rPr>
          <w:rFonts w:ascii="Arial" w:hAnsi="Arial" w:cs="Arial"/>
          <w:sz w:val="24"/>
          <w:szCs w:val="24"/>
        </w:rPr>
        <w:t xml:space="preserve"> have much to rec</w:t>
      </w:r>
      <w:r w:rsidR="006141AC">
        <w:rPr>
          <w:rFonts w:ascii="Arial" w:hAnsi="Arial" w:cs="Arial"/>
          <w:sz w:val="24"/>
          <w:szCs w:val="24"/>
        </w:rPr>
        <w:t>ommend themselves to this court</w:t>
      </w:r>
      <w:r w:rsidR="00EB1515" w:rsidRPr="002D673F">
        <w:rPr>
          <w:rFonts w:ascii="Arial" w:hAnsi="Arial" w:cs="Arial"/>
          <w:sz w:val="24"/>
          <w:szCs w:val="24"/>
        </w:rPr>
        <w:t>.</w:t>
      </w:r>
    </w:p>
    <w:p w:rsidR="00A053B3" w:rsidRDefault="00A053B3" w:rsidP="00A053B3">
      <w:pPr>
        <w:pStyle w:val="ListParagraph"/>
        <w:rPr>
          <w:rFonts w:ascii="Arial" w:hAnsi="Arial" w:cs="Arial"/>
          <w:sz w:val="24"/>
          <w:szCs w:val="24"/>
        </w:rPr>
      </w:pPr>
    </w:p>
    <w:p w:rsidR="006141AC" w:rsidRDefault="00170640" w:rsidP="00A053B3">
      <w:pPr>
        <w:pStyle w:val="NoSpacing"/>
        <w:numPr>
          <w:ilvl w:val="0"/>
          <w:numId w:val="4"/>
        </w:numPr>
        <w:spacing w:line="480" w:lineRule="auto"/>
        <w:ind w:left="0" w:firstLine="0"/>
        <w:jc w:val="both"/>
        <w:rPr>
          <w:rFonts w:ascii="Arial" w:hAnsi="Arial" w:cs="Arial"/>
          <w:sz w:val="24"/>
          <w:szCs w:val="24"/>
        </w:rPr>
      </w:pPr>
      <w:r w:rsidRPr="00A053B3">
        <w:rPr>
          <w:rFonts w:ascii="Arial" w:hAnsi="Arial" w:cs="Arial"/>
          <w:sz w:val="24"/>
          <w:szCs w:val="24"/>
        </w:rPr>
        <w:t>Although the question as to whether ordained persons in religious order</w:t>
      </w:r>
      <w:r w:rsidR="005A5E12" w:rsidRPr="00A053B3">
        <w:rPr>
          <w:rFonts w:ascii="Arial" w:hAnsi="Arial" w:cs="Arial"/>
          <w:sz w:val="24"/>
          <w:szCs w:val="24"/>
        </w:rPr>
        <w:t>s</w:t>
      </w:r>
      <w:r w:rsidRPr="00A053B3">
        <w:rPr>
          <w:rFonts w:ascii="Arial" w:hAnsi="Arial" w:cs="Arial"/>
          <w:sz w:val="24"/>
          <w:szCs w:val="24"/>
        </w:rPr>
        <w:t xml:space="preserve"> in full time religious work are employees for the purpose of labour legislation has not served before Namibian courts, the issue is by no means novel in other jurisdictions. A survey of English and South African cases would indicate that the question </w:t>
      </w:r>
      <w:r w:rsidR="00674D64" w:rsidRPr="00A053B3">
        <w:rPr>
          <w:rFonts w:ascii="Arial" w:hAnsi="Arial" w:cs="Arial"/>
          <w:sz w:val="24"/>
          <w:szCs w:val="24"/>
        </w:rPr>
        <w:t xml:space="preserve">has </w:t>
      </w:r>
      <w:r w:rsidRPr="00A053B3">
        <w:rPr>
          <w:rFonts w:ascii="Arial" w:hAnsi="Arial" w:cs="Arial"/>
          <w:sz w:val="24"/>
          <w:szCs w:val="24"/>
        </w:rPr>
        <w:t>mostly arise</w:t>
      </w:r>
      <w:r w:rsidR="00674D64" w:rsidRPr="00A053B3">
        <w:rPr>
          <w:rFonts w:ascii="Arial" w:hAnsi="Arial" w:cs="Arial"/>
          <w:sz w:val="24"/>
          <w:szCs w:val="24"/>
        </w:rPr>
        <w:t>n</w:t>
      </w:r>
      <w:r w:rsidRPr="00A053B3">
        <w:rPr>
          <w:rFonts w:ascii="Arial" w:hAnsi="Arial" w:cs="Arial"/>
          <w:sz w:val="24"/>
          <w:szCs w:val="24"/>
        </w:rPr>
        <w:t xml:space="preserve"> when a member of clergy seeks to invoke a remedy </w:t>
      </w:r>
      <w:r w:rsidR="00674D64" w:rsidRPr="00A053B3">
        <w:rPr>
          <w:rFonts w:ascii="Arial" w:hAnsi="Arial" w:cs="Arial"/>
          <w:sz w:val="24"/>
          <w:szCs w:val="24"/>
        </w:rPr>
        <w:t xml:space="preserve">in employment legislation </w:t>
      </w:r>
      <w:r w:rsidRPr="00A053B3">
        <w:rPr>
          <w:rFonts w:ascii="Arial" w:hAnsi="Arial" w:cs="Arial"/>
          <w:sz w:val="24"/>
          <w:szCs w:val="24"/>
        </w:rPr>
        <w:t xml:space="preserve">against his or her religious order. </w:t>
      </w:r>
    </w:p>
    <w:p w:rsidR="006141AC" w:rsidRDefault="006141AC" w:rsidP="006141AC">
      <w:pPr>
        <w:pStyle w:val="ListParagraph"/>
        <w:rPr>
          <w:rFonts w:ascii="Arial" w:hAnsi="Arial" w:cs="Arial"/>
          <w:sz w:val="24"/>
          <w:szCs w:val="24"/>
        </w:rPr>
      </w:pPr>
    </w:p>
    <w:p w:rsidR="00A053B3" w:rsidRDefault="00170640" w:rsidP="00A053B3">
      <w:pPr>
        <w:pStyle w:val="NoSpacing"/>
        <w:numPr>
          <w:ilvl w:val="0"/>
          <w:numId w:val="4"/>
        </w:numPr>
        <w:spacing w:line="480" w:lineRule="auto"/>
        <w:ind w:left="0" w:firstLine="0"/>
        <w:jc w:val="both"/>
        <w:rPr>
          <w:rFonts w:ascii="Arial" w:hAnsi="Arial" w:cs="Arial"/>
          <w:sz w:val="24"/>
          <w:szCs w:val="24"/>
        </w:rPr>
      </w:pPr>
      <w:r w:rsidRPr="00A053B3">
        <w:rPr>
          <w:rFonts w:ascii="Arial" w:hAnsi="Arial" w:cs="Arial"/>
          <w:sz w:val="24"/>
          <w:szCs w:val="24"/>
        </w:rPr>
        <w:t>In England, it was not until relatively recently that minister</w:t>
      </w:r>
      <w:r w:rsidR="00674D64" w:rsidRPr="00A053B3">
        <w:rPr>
          <w:rFonts w:ascii="Arial" w:hAnsi="Arial" w:cs="Arial"/>
          <w:sz w:val="24"/>
          <w:szCs w:val="24"/>
        </w:rPr>
        <w:t>s</w:t>
      </w:r>
      <w:r w:rsidRPr="00A053B3">
        <w:rPr>
          <w:rFonts w:ascii="Arial" w:hAnsi="Arial" w:cs="Arial"/>
          <w:sz w:val="24"/>
          <w:szCs w:val="24"/>
        </w:rPr>
        <w:t xml:space="preserve"> of religion </w:t>
      </w:r>
      <w:r w:rsidR="006141AC">
        <w:rPr>
          <w:rFonts w:ascii="Arial" w:hAnsi="Arial" w:cs="Arial"/>
          <w:sz w:val="24"/>
          <w:szCs w:val="24"/>
        </w:rPr>
        <w:t>could, depending upon the factual context, be</w:t>
      </w:r>
      <w:r w:rsidRPr="00A053B3">
        <w:rPr>
          <w:rFonts w:ascii="Arial" w:hAnsi="Arial" w:cs="Arial"/>
          <w:sz w:val="24"/>
          <w:szCs w:val="24"/>
        </w:rPr>
        <w:t xml:space="preserve"> regarded as employees of their religious organisation. The reasons for </w:t>
      </w:r>
      <w:r w:rsidR="006141AC">
        <w:rPr>
          <w:rFonts w:ascii="Arial" w:hAnsi="Arial" w:cs="Arial"/>
          <w:sz w:val="24"/>
          <w:szCs w:val="24"/>
        </w:rPr>
        <w:t>the previous position</w:t>
      </w:r>
      <w:r w:rsidRPr="00A053B3">
        <w:rPr>
          <w:rFonts w:ascii="Arial" w:hAnsi="Arial" w:cs="Arial"/>
          <w:sz w:val="24"/>
          <w:szCs w:val="24"/>
        </w:rPr>
        <w:t xml:space="preserve"> related to the</w:t>
      </w:r>
      <w:r w:rsidR="00674D64" w:rsidRPr="00A053B3">
        <w:rPr>
          <w:rFonts w:ascii="Arial" w:hAnsi="Arial" w:cs="Arial"/>
          <w:sz w:val="24"/>
          <w:szCs w:val="24"/>
        </w:rPr>
        <w:t>ir</w:t>
      </w:r>
      <w:r w:rsidRPr="00A053B3">
        <w:rPr>
          <w:rFonts w:ascii="Arial" w:hAnsi="Arial" w:cs="Arial"/>
          <w:sz w:val="24"/>
          <w:szCs w:val="24"/>
        </w:rPr>
        <w:t xml:space="preserve"> spiritual duties or that there was a presumption that the parties did not intend to create a contractual relationship of employment or that duties arose from a special institutional framework of religious law. But, as </w:t>
      </w:r>
      <w:r w:rsidR="002D673F">
        <w:rPr>
          <w:rFonts w:ascii="Arial" w:hAnsi="Arial" w:cs="Arial"/>
          <w:sz w:val="24"/>
          <w:szCs w:val="24"/>
        </w:rPr>
        <w:t>was recently</w:t>
      </w:r>
      <w:r w:rsidRPr="00A053B3">
        <w:rPr>
          <w:rFonts w:ascii="Arial" w:hAnsi="Arial" w:cs="Arial"/>
          <w:sz w:val="24"/>
          <w:szCs w:val="24"/>
        </w:rPr>
        <w:t xml:space="preserve"> pointed out in </w:t>
      </w:r>
      <w:r w:rsidRPr="00A053B3">
        <w:rPr>
          <w:rFonts w:ascii="Arial" w:hAnsi="Arial" w:cs="Arial"/>
          <w:i/>
          <w:sz w:val="24"/>
          <w:szCs w:val="24"/>
        </w:rPr>
        <w:t xml:space="preserve">Sharp v Bishop of </w:t>
      </w:r>
      <w:r w:rsidRPr="00A053B3">
        <w:rPr>
          <w:rFonts w:ascii="Arial" w:hAnsi="Arial" w:cs="Arial"/>
          <w:i/>
          <w:sz w:val="24"/>
          <w:szCs w:val="24"/>
        </w:rPr>
        <w:lastRenderedPageBreak/>
        <w:t>Worcester,</w:t>
      </w:r>
      <w:r>
        <w:rPr>
          <w:rStyle w:val="FootnoteReference"/>
          <w:rFonts w:ascii="Arial" w:hAnsi="Arial" w:cs="Arial"/>
          <w:i/>
          <w:sz w:val="24"/>
          <w:szCs w:val="24"/>
        </w:rPr>
        <w:footnoteReference w:id="19"/>
      </w:r>
      <w:r w:rsidRPr="00A053B3">
        <w:rPr>
          <w:rFonts w:ascii="Arial" w:hAnsi="Arial" w:cs="Arial"/>
          <w:sz w:val="24"/>
          <w:szCs w:val="24"/>
        </w:rPr>
        <w:t xml:space="preserve"> </w:t>
      </w:r>
      <w:r w:rsidR="002D673F" w:rsidRPr="002D673F">
        <w:rPr>
          <w:rFonts w:ascii="Arial" w:hAnsi="Arial" w:cs="Arial"/>
          <w:sz w:val="24"/>
          <w:szCs w:val="24"/>
        </w:rPr>
        <w:t>by the Court of Appeals</w:t>
      </w:r>
      <w:r w:rsidR="006141AC">
        <w:rPr>
          <w:rFonts w:ascii="Arial" w:hAnsi="Arial" w:cs="Arial"/>
          <w:sz w:val="24"/>
          <w:szCs w:val="24"/>
        </w:rPr>
        <w:t>,</w:t>
      </w:r>
      <w:r w:rsidR="002D673F" w:rsidRPr="00A053B3">
        <w:rPr>
          <w:rFonts w:ascii="Arial" w:hAnsi="Arial" w:cs="Arial"/>
          <w:sz w:val="24"/>
          <w:szCs w:val="24"/>
        </w:rPr>
        <w:t xml:space="preserve"> </w:t>
      </w:r>
      <w:r w:rsidRPr="00A053B3">
        <w:rPr>
          <w:rFonts w:ascii="Arial" w:hAnsi="Arial" w:cs="Arial"/>
          <w:sz w:val="24"/>
          <w:szCs w:val="24"/>
        </w:rPr>
        <w:t xml:space="preserve">the law gradually underwent development </w:t>
      </w:r>
      <w:r w:rsidR="00674D64" w:rsidRPr="00A053B3">
        <w:rPr>
          <w:rFonts w:ascii="Arial" w:hAnsi="Arial" w:cs="Arial"/>
          <w:sz w:val="24"/>
          <w:szCs w:val="24"/>
        </w:rPr>
        <w:t>because</w:t>
      </w:r>
      <w:r w:rsidRPr="00A053B3">
        <w:rPr>
          <w:rFonts w:ascii="Arial" w:hAnsi="Arial" w:cs="Arial"/>
          <w:sz w:val="24"/>
          <w:szCs w:val="24"/>
        </w:rPr>
        <w:t xml:space="preserve"> </w:t>
      </w:r>
      <w:r w:rsidR="002D673F">
        <w:rPr>
          <w:rFonts w:ascii="Arial" w:hAnsi="Arial" w:cs="Arial"/>
          <w:sz w:val="24"/>
          <w:szCs w:val="24"/>
        </w:rPr>
        <w:t xml:space="preserve">it was </w:t>
      </w:r>
      <w:r w:rsidRPr="00A053B3">
        <w:rPr>
          <w:rFonts w:ascii="Arial" w:hAnsi="Arial" w:cs="Arial"/>
          <w:sz w:val="24"/>
          <w:szCs w:val="24"/>
        </w:rPr>
        <w:t xml:space="preserve">difficult to justify the exclusion of </w:t>
      </w:r>
      <w:r w:rsidR="00AA2B5B">
        <w:rPr>
          <w:rFonts w:ascii="Arial" w:hAnsi="Arial" w:cs="Arial"/>
          <w:sz w:val="24"/>
          <w:szCs w:val="24"/>
        </w:rPr>
        <w:t xml:space="preserve">religious </w:t>
      </w:r>
      <w:r w:rsidRPr="00A053B3">
        <w:rPr>
          <w:rFonts w:ascii="Arial" w:hAnsi="Arial" w:cs="Arial"/>
          <w:sz w:val="24"/>
          <w:szCs w:val="24"/>
        </w:rPr>
        <w:t xml:space="preserve">ministers from protective employment legislation. The courts had </w:t>
      </w:r>
      <w:r w:rsidR="00674D64" w:rsidRPr="00A053B3">
        <w:rPr>
          <w:rFonts w:ascii="Arial" w:hAnsi="Arial" w:cs="Arial"/>
          <w:sz w:val="24"/>
          <w:szCs w:val="24"/>
        </w:rPr>
        <w:t>earlier</w:t>
      </w:r>
      <w:r w:rsidRPr="00A053B3">
        <w:rPr>
          <w:rFonts w:ascii="Arial" w:hAnsi="Arial" w:cs="Arial"/>
          <w:sz w:val="24"/>
          <w:szCs w:val="24"/>
        </w:rPr>
        <w:t xml:space="preserve"> held that ministers of religion could not be employees because of the spiritual nature of their functions in the absence of clear indicat</w:t>
      </w:r>
      <w:r w:rsidR="00674D64" w:rsidRPr="00A053B3">
        <w:rPr>
          <w:rFonts w:ascii="Arial" w:hAnsi="Arial" w:cs="Arial"/>
          <w:sz w:val="24"/>
          <w:szCs w:val="24"/>
        </w:rPr>
        <w:t>ion</w:t>
      </w:r>
      <w:r w:rsidRPr="00A053B3">
        <w:rPr>
          <w:rFonts w:ascii="Arial" w:hAnsi="Arial" w:cs="Arial"/>
          <w:sz w:val="24"/>
          <w:szCs w:val="24"/>
        </w:rPr>
        <w:t>s to the contrary.</w:t>
      </w:r>
      <w:r>
        <w:rPr>
          <w:rStyle w:val="FootnoteReference"/>
          <w:rFonts w:ascii="Arial" w:hAnsi="Arial" w:cs="Arial"/>
          <w:sz w:val="24"/>
          <w:szCs w:val="24"/>
        </w:rPr>
        <w:footnoteReference w:id="20"/>
      </w:r>
      <w:r w:rsidRPr="00A053B3">
        <w:rPr>
          <w:rFonts w:ascii="Arial" w:hAnsi="Arial" w:cs="Arial"/>
          <w:sz w:val="24"/>
          <w:szCs w:val="24"/>
        </w:rPr>
        <w:t xml:space="preserve"> </w:t>
      </w:r>
      <w:r w:rsidR="00707D59" w:rsidRPr="00A053B3">
        <w:rPr>
          <w:rFonts w:ascii="Arial" w:hAnsi="Arial" w:cs="Arial"/>
          <w:sz w:val="24"/>
          <w:szCs w:val="24"/>
        </w:rPr>
        <w:t xml:space="preserve">A series of cases </w:t>
      </w:r>
      <w:r w:rsidR="00674D64" w:rsidRPr="00A053B3">
        <w:rPr>
          <w:rFonts w:ascii="Arial" w:hAnsi="Arial" w:cs="Arial"/>
          <w:sz w:val="24"/>
          <w:szCs w:val="24"/>
        </w:rPr>
        <w:t xml:space="preserve">which </w:t>
      </w:r>
      <w:r w:rsidR="00707D59" w:rsidRPr="00A053B3">
        <w:rPr>
          <w:rFonts w:ascii="Arial" w:hAnsi="Arial" w:cs="Arial"/>
          <w:sz w:val="24"/>
          <w:szCs w:val="24"/>
        </w:rPr>
        <w:t>followed includ</w:t>
      </w:r>
      <w:r w:rsidR="00674D64" w:rsidRPr="00A053B3">
        <w:rPr>
          <w:rFonts w:ascii="Arial" w:hAnsi="Arial" w:cs="Arial"/>
          <w:sz w:val="24"/>
          <w:szCs w:val="24"/>
        </w:rPr>
        <w:t xml:space="preserve">ed one before </w:t>
      </w:r>
      <w:r w:rsidR="00707D59" w:rsidRPr="00A053B3">
        <w:rPr>
          <w:rFonts w:ascii="Arial" w:hAnsi="Arial" w:cs="Arial"/>
          <w:sz w:val="24"/>
          <w:szCs w:val="24"/>
        </w:rPr>
        <w:t>the Court of Appeals</w:t>
      </w:r>
      <w:r w:rsidR="00674D64" w:rsidRPr="00A053B3">
        <w:rPr>
          <w:rFonts w:ascii="Arial" w:hAnsi="Arial" w:cs="Arial"/>
          <w:sz w:val="24"/>
          <w:szCs w:val="24"/>
        </w:rPr>
        <w:t xml:space="preserve"> which</w:t>
      </w:r>
      <w:r w:rsidR="00707D59" w:rsidRPr="00A053B3">
        <w:rPr>
          <w:rFonts w:ascii="Arial" w:hAnsi="Arial" w:cs="Arial"/>
          <w:sz w:val="24"/>
          <w:szCs w:val="24"/>
        </w:rPr>
        <w:t xml:space="preserve"> upheld a finding that a minister was an employee,</w:t>
      </w:r>
      <w:r w:rsidR="00707D59">
        <w:rPr>
          <w:rStyle w:val="FootnoteReference"/>
          <w:rFonts w:ascii="Arial" w:hAnsi="Arial" w:cs="Arial"/>
          <w:sz w:val="24"/>
          <w:szCs w:val="24"/>
        </w:rPr>
        <w:footnoteReference w:id="21"/>
      </w:r>
      <w:r w:rsidR="00707D59" w:rsidRPr="00A053B3">
        <w:rPr>
          <w:rFonts w:ascii="Arial" w:hAnsi="Arial" w:cs="Arial"/>
          <w:sz w:val="24"/>
          <w:szCs w:val="24"/>
        </w:rPr>
        <w:t xml:space="preserve"> emphasising that each case turned on its </w:t>
      </w:r>
      <w:r w:rsidR="00674D64" w:rsidRPr="00A053B3">
        <w:rPr>
          <w:rFonts w:ascii="Arial" w:hAnsi="Arial" w:cs="Arial"/>
          <w:sz w:val="24"/>
          <w:szCs w:val="24"/>
        </w:rPr>
        <w:t xml:space="preserve">own </w:t>
      </w:r>
      <w:r w:rsidR="00707D59" w:rsidRPr="00A053B3">
        <w:rPr>
          <w:rFonts w:ascii="Arial" w:hAnsi="Arial" w:cs="Arial"/>
          <w:sz w:val="24"/>
          <w:szCs w:val="24"/>
        </w:rPr>
        <w:t xml:space="preserve">facts. Then followed the seminal case in the UK Supreme Court </w:t>
      </w:r>
      <w:r w:rsidR="00674D64" w:rsidRPr="00A053B3">
        <w:rPr>
          <w:rFonts w:ascii="Arial" w:hAnsi="Arial" w:cs="Arial"/>
          <w:sz w:val="24"/>
          <w:szCs w:val="24"/>
        </w:rPr>
        <w:t xml:space="preserve">of </w:t>
      </w:r>
      <w:r w:rsidR="00707D59" w:rsidRPr="00A053B3">
        <w:rPr>
          <w:rFonts w:ascii="Arial" w:hAnsi="Arial" w:cs="Arial"/>
          <w:i/>
          <w:sz w:val="24"/>
          <w:szCs w:val="24"/>
        </w:rPr>
        <w:t>Preston (formerly Moore) v President of the Methodist Conference</w:t>
      </w:r>
      <w:r w:rsidR="00674D64">
        <w:rPr>
          <w:rStyle w:val="FootnoteReference"/>
          <w:rFonts w:ascii="Arial" w:hAnsi="Arial" w:cs="Arial"/>
          <w:i/>
          <w:sz w:val="24"/>
          <w:szCs w:val="24"/>
        </w:rPr>
        <w:footnoteReference w:id="22"/>
      </w:r>
      <w:r w:rsidR="00707D59" w:rsidRPr="00A053B3">
        <w:rPr>
          <w:rFonts w:ascii="Arial" w:hAnsi="Arial" w:cs="Arial"/>
          <w:sz w:val="24"/>
          <w:szCs w:val="24"/>
        </w:rPr>
        <w:t xml:space="preserve"> where Lord </w:t>
      </w:r>
      <w:proofErr w:type="spellStart"/>
      <w:r w:rsidR="00707D59" w:rsidRPr="00A053B3">
        <w:rPr>
          <w:rFonts w:ascii="Arial" w:hAnsi="Arial" w:cs="Arial"/>
          <w:sz w:val="24"/>
          <w:szCs w:val="24"/>
        </w:rPr>
        <w:t>Sumption</w:t>
      </w:r>
      <w:proofErr w:type="spellEnd"/>
      <w:r w:rsidR="00707D59" w:rsidRPr="00A053B3">
        <w:rPr>
          <w:rFonts w:ascii="Arial" w:hAnsi="Arial" w:cs="Arial"/>
          <w:sz w:val="24"/>
          <w:szCs w:val="24"/>
        </w:rPr>
        <w:t xml:space="preserve"> </w:t>
      </w:r>
      <w:r w:rsidR="00674D64" w:rsidRPr="00A053B3">
        <w:rPr>
          <w:rFonts w:ascii="Arial" w:hAnsi="Arial" w:cs="Arial"/>
          <w:sz w:val="24"/>
          <w:szCs w:val="24"/>
        </w:rPr>
        <w:t xml:space="preserve">for the majority </w:t>
      </w:r>
      <w:r w:rsidR="00707D59" w:rsidRPr="00A053B3">
        <w:rPr>
          <w:rFonts w:ascii="Arial" w:hAnsi="Arial" w:cs="Arial"/>
          <w:sz w:val="24"/>
          <w:szCs w:val="24"/>
        </w:rPr>
        <w:t>held in a case where a minister sought to challenge her dismissal in an employment tribunal:</w:t>
      </w:r>
    </w:p>
    <w:p w:rsidR="00A053B3" w:rsidRDefault="00A053B3" w:rsidP="00A053B3">
      <w:pPr>
        <w:pStyle w:val="NoSpacing"/>
        <w:spacing w:line="480" w:lineRule="auto"/>
        <w:jc w:val="both"/>
        <w:rPr>
          <w:rFonts w:ascii="Arial" w:hAnsi="Arial" w:cs="Arial"/>
          <w:sz w:val="24"/>
          <w:szCs w:val="24"/>
        </w:rPr>
      </w:pPr>
    </w:p>
    <w:p w:rsidR="00A053B3" w:rsidRPr="00107D04" w:rsidRDefault="00A053B3" w:rsidP="00A053B3">
      <w:pPr>
        <w:pStyle w:val="NoSpacing"/>
        <w:spacing w:line="360" w:lineRule="auto"/>
        <w:ind w:left="720"/>
        <w:jc w:val="both"/>
        <w:rPr>
          <w:rFonts w:ascii="Arial" w:hAnsi="Arial" w:cs="Arial"/>
        </w:rPr>
      </w:pPr>
      <w:r w:rsidRPr="00107D04">
        <w:rPr>
          <w:rFonts w:ascii="Arial" w:hAnsi="Arial" w:cs="Arial"/>
        </w:rPr>
        <w:t>‘It is clear from the judgments of the majority in Percy’s that the question whether a minister of religion serves under a contract of employment can no longer be answered simply by classifying the minister’s occupation by type: office or employment, spiritual or secular. Nor, in the generality of cases, can it be answered by reference to any presumption against the contractual character of the service of ministers of religion generally: see, in particular, Lady Hale at [151]. The primary considerations are the manner in which the minister was engaged, and the character of the rules or terms governing his or her service. But, as with all exercises in contractual construction, these documents and any other admissible evidence on the parties’ intentions fall to be construed against their factual background. Part of that background is the fundamentally spiritual purpose of the functions of a minister of religion.</w:t>
      </w:r>
      <w:r>
        <w:rPr>
          <w:rFonts w:ascii="Arial" w:hAnsi="Arial" w:cs="Arial"/>
        </w:rPr>
        <w:t>’</w:t>
      </w:r>
    </w:p>
    <w:p w:rsidR="00A053B3" w:rsidRDefault="00A053B3" w:rsidP="00A053B3">
      <w:pPr>
        <w:pStyle w:val="NoSpacing"/>
        <w:spacing w:line="480" w:lineRule="auto"/>
        <w:jc w:val="both"/>
        <w:rPr>
          <w:rFonts w:ascii="Arial" w:hAnsi="Arial" w:cs="Arial"/>
          <w:sz w:val="24"/>
          <w:szCs w:val="24"/>
        </w:rPr>
      </w:pPr>
    </w:p>
    <w:p w:rsidR="00A053B3" w:rsidRDefault="00707D59" w:rsidP="00A053B3">
      <w:pPr>
        <w:pStyle w:val="NoSpacing"/>
        <w:numPr>
          <w:ilvl w:val="0"/>
          <w:numId w:val="4"/>
        </w:numPr>
        <w:spacing w:line="480" w:lineRule="auto"/>
        <w:ind w:left="0" w:firstLine="0"/>
        <w:jc w:val="both"/>
        <w:rPr>
          <w:rFonts w:ascii="Arial" w:hAnsi="Arial" w:cs="Arial"/>
          <w:sz w:val="24"/>
          <w:szCs w:val="24"/>
        </w:rPr>
      </w:pPr>
      <w:r w:rsidRPr="00A053B3">
        <w:rPr>
          <w:rFonts w:ascii="Arial" w:hAnsi="Arial" w:cs="Arial"/>
          <w:sz w:val="24"/>
          <w:szCs w:val="24"/>
        </w:rPr>
        <w:t xml:space="preserve">After analysing the rules and standing orders of the church in question and the facts of that matter, Lord </w:t>
      </w:r>
      <w:proofErr w:type="spellStart"/>
      <w:r w:rsidRPr="00A053B3">
        <w:rPr>
          <w:rFonts w:ascii="Arial" w:hAnsi="Arial" w:cs="Arial"/>
          <w:sz w:val="24"/>
          <w:szCs w:val="24"/>
        </w:rPr>
        <w:t>Sumption</w:t>
      </w:r>
      <w:proofErr w:type="spellEnd"/>
      <w:r w:rsidRPr="00A053B3">
        <w:rPr>
          <w:rFonts w:ascii="Arial" w:hAnsi="Arial" w:cs="Arial"/>
          <w:sz w:val="24"/>
          <w:szCs w:val="24"/>
        </w:rPr>
        <w:t xml:space="preserve"> </w:t>
      </w:r>
      <w:r w:rsidR="00674D64" w:rsidRPr="00A053B3">
        <w:rPr>
          <w:rFonts w:ascii="Arial" w:hAnsi="Arial" w:cs="Arial"/>
          <w:sz w:val="24"/>
          <w:szCs w:val="24"/>
        </w:rPr>
        <w:t>con</w:t>
      </w:r>
      <w:r w:rsidRPr="00A053B3">
        <w:rPr>
          <w:rFonts w:ascii="Arial" w:hAnsi="Arial" w:cs="Arial"/>
          <w:sz w:val="24"/>
          <w:szCs w:val="24"/>
        </w:rPr>
        <w:t>cluded:</w:t>
      </w:r>
      <w:r>
        <w:rPr>
          <w:rStyle w:val="FootnoteReference"/>
          <w:rFonts w:ascii="Arial" w:hAnsi="Arial" w:cs="Arial"/>
          <w:sz w:val="24"/>
          <w:szCs w:val="24"/>
        </w:rPr>
        <w:footnoteReference w:id="23"/>
      </w:r>
    </w:p>
    <w:p w:rsidR="00A053B3" w:rsidRDefault="00A053B3" w:rsidP="00A053B3">
      <w:pPr>
        <w:pStyle w:val="NoSpacing"/>
        <w:spacing w:line="480" w:lineRule="auto"/>
        <w:jc w:val="both"/>
        <w:rPr>
          <w:rFonts w:ascii="Arial" w:hAnsi="Arial" w:cs="Arial"/>
          <w:sz w:val="24"/>
          <w:szCs w:val="24"/>
        </w:rPr>
      </w:pPr>
    </w:p>
    <w:p w:rsidR="00A053B3" w:rsidRDefault="00A053B3" w:rsidP="007C02CF">
      <w:pPr>
        <w:pStyle w:val="NoSpacing"/>
        <w:spacing w:line="360" w:lineRule="auto"/>
        <w:ind w:left="720"/>
        <w:jc w:val="both"/>
        <w:rPr>
          <w:rFonts w:ascii="Arial" w:hAnsi="Arial" w:cs="Arial"/>
          <w:sz w:val="24"/>
          <w:szCs w:val="24"/>
        </w:rPr>
      </w:pPr>
      <w:r w:rsidRPr="004176EF">
        <w:rPr>
          <w:rFonts w:ascii="Arial" w:hAnsi="Arial" w:cs="Arial"/>
        </w:rPr>
        <w:t xml:space="preserve">‘The question whether an arrangement is a legally binding contract depends on the intentions of the parties. The mere fact that the arrangement includes the payment of a stipend, the provision of accommodation and recognised duties to be performed by the minister, does not without more resolve the issue. The question is whether the parties intended these benefits and burdens of the ministry to be the subject of a legally binding agreement between them. The decision in </w:t>
      </w:r>
      <w:r w:rsidRPr="00674D64">
        <w:rPr>
          <w:rFonts w:ascii="Arial" w:hAnsi="Arial" w:cs="Arial"/>
          <w:i/>
        </w:rPr>
        <w:t>Percy</w:t>
      </w:r>
      <w:r w:rsidRPr="004176EF">
        <w:rPr>
          <w:rFonts w:ascii="Arial" w:hAnsi="Arial" w:cs="Arial"/>
        </w:rPr>
        <w:t xml:space="preserve"> is authority for the proposition that the spiritual character of the ministry did not give rise to a presumption against the contractual intention. But the majority did not suggest that the spiritual character of the ministry was irrelevant. It was a significant part of the background against which the overt arrangements governing the service of ministers must be interpreted. Nor did they suggest that the only material which might be relevant for deciding whether the arrangements were contractual were the statements marking the minister’s engagement, although it so happened that there was no other significant material in Ms Percy’s case. Part of the vice of the earlier authorities was that many of them proceeded by way of abstract categorisation of ministers of religion generally. The correct approach is to examine the rules and practices of the particular church and any special arrangements made with the particular minister. What Lord Nicholls was saying was that the arrangements, properly examined, might well prove to be inconsistent with contractual intention, even though there was no presumption to that effect. He cited the arrangements governing the service of Methodist ministers considered in </w:t>
      </w:r>
      <w:r w:rsidRPr="00674D64">
        <w:rPr>
          <w:rFonts w:ascii="Arial" w:hAnsi="Arial" w:cs="Arial"/>
          <w:i/>
        </w:rPr>
        <w:t>Parfitt</w:t>
      </w:r>
      <w:r w:rsidRPr="004176EF">
        <w:rPr>
          <w:rFonts w:ascii="Arial" w:hAnsi="Arial" w:cs="Arial"/>
        </w:rPr>
        <w:t xml:space="preserve"> as an example of this, mainly for the reasons given in that case by Dillon LJ. These were, essentially, the lifelong commitment of the minister, the exclusion of any right of unilateral resignation and the characterisation of the stipend as maintenance and support. There is nothing inconsistent between his view on these points and the more general statements of principle appearing in his speech and in the speeches of those who agreed with him.</w:t>
      </w:r>
      <w:r w:rsidR="007C02CF">
        <w:rPr>
          <w:rFonts w:ascii="Arial" w:hAnsi="Arial" w:cs="Arial"/>
        </w:rPr>
        <w:t>’</w:t>
      </w:r>
    </w:p>
    <w:p w:rsidR="00A053B3" w:rsidRDefault="00A053B3" w:rsidP="00A053B3">
      <w:pPr>
        <w:pStyle w:val="NoSpacing"/>
        <w:spacing w:line="480" w:lineRule="auto"/>
        <w:jc w:val="both"/>
        <w:rPr>
          <w:rFonts w:ascii="Arial" w:hAnsi="Arial" w:cs="Arial"/>
          <w:sz w:val="24"/>
          <w:szCs w:val="24"/>
        </w:rPr>
      </w:pPr>
    </w:p>
    <w:p w:rsidR="00A053B3" w:rsidRDefault="00E82A5A" w:rsidP="00A053B3">
      <w:pPr>
        <w:pStyle w:val="NoSpacing"/>
        <w:numPr>
          <w:ilvl w:val="0"/>
          <w:numId w:val="4"/>
        </w:numPr>
        <w:spacing w:line="480" w:lineRule="auto"/>
        <w:ind w:left="0" w:firstLine="0"/>
        <w:jc w:val="both"/>
        <w:rPr>
          <w:rFonts w:ascii="Arial" w:hAnsi="Arial" w:cs="Arial"/>
          <w:sz w:val="24"/>
          <w:szCs w:val="24"/>
        </w:rPr>
      </w:pPr>
      <w:r w:rsidRPr="00A053B3">
        <w:rPr>
          <w:rFonts w:ascii="Arial" w:hAnsi="Arial" w:cs="Arial"/>
          <w:sz w:val="24"/>
          <w:szCs w:val="24"/>
        </w:rPr>
        <w:t xml:space="preserve">In his concurring judgment in </w:t>
      </w:r>
      <w:r w:rsidRPr="00A053B3">
        <w:rPr>
          <w:rFonts w:ascii="Arial" w:hAnsi="Arial" w:cs="Arial"/>
          <w:i/>
          <w:sz w:val="24"/>
          <w:szCs w:val="24"/>
        </w:rPr>
        <w:t>De Lange v Presiding Bishop of the Methodist Church of Southern Africa for the time being and another</w:t>
      </w:r>
      <w:r w:rsidRPr="00A053B3">
        <w:rPr>
          <w:rFonts w:ascii="Arial" w:hAnsi="Arial" w:cs="Arial"/>
          <w:sz w:val="24"/>
          <w:szCs w:val="24"/>
        </w:rPr>
        <w:t>,</w:t>
      </w:r>
      <w:r w:rsidRPr="00E82A5A">
        <w:rPr>
          <w:rStyle w:val="FootnoteReference"/>
          <w:rFonts w:ascii="Arial" w:hAnsi="Arial" w:cs="Arial"/>
          <w:sz w:val="24"/>
          <w:szCs w:val="24"/>
        </w:rPr>
        <w:footnoteReference w:id="24"/>
      </w:r>
      <w:r w:rsidRPr="00A053B3">
        <w:rPr>
          <w:rFonts w:ascii="Arial" w:hAnsi="Arial" w:cs="Arial"/>
          <w:sz w:val="24"/>
          <w:szCs w:val="24"/>
        </w:rPr>
        <w:t xml:space="preserve"> Wallis JA provided a useful summary of the position in South Africa, also referring with approval to the approach of the UK Supreme Court in </w:t>
      </w:r>
      <w:r w:rsidRPr="00A053B3">
        <w:rPr>
          <w:rFonts w:ascii="Arial" w:hAnsi="Arial" w:cs="Arial"/>
          <w:i/>
          <w:sz w:val="24"/>
          <w:szCs w:val="24"/>
        </w:rPr>
        <w:t xml:space="preserve">Preston. </w:t>
      </w:r>
      <w:r w:rsidRPr="00A053B3">
        <w:rPr>
          <w:rFonts w:ascii="Arial" w:hAnsi="Arial" w:cs="Arial"/>
          <w:sz w:val="24"/>
          <w:szCs w:val="24"/>
        </w:rPr>
        <w:t xml:space="preserve">Wallis JA referred to a trilogy of </w:t>
      </w:r>
      <w:r w:rsidRPr="00A053B3">
        <w:rPr>
          <w:rFonts w:ascii="Arial" w:hAnsi="Arial" w:cs="Arial"/>
          <w:sz w:val="24"/>
          <w:szCs w:val="24"/>
        </w:rPr>
        <w:lastRenderedPageBreak/>
        <w:t xml:space="preserve">cases in the Labour Court in South Africa. In </w:t>
      </w:r>
      <w:proofErr w:type="spellStart"/>
      <w:r w:rsidRPr="00A053B3">
        <w:rPr>
          <w:rFonts w:ascii="Arial" w:hAnsi="Arial" w:cs="Arial"/>
          <w:i/>
          <w:sz w:val="24"/>
          <w:szCs w:val="24"/>
        </w:rPr>
        <w:t>Schreuder</w:t>
      </w:r>
      <w:proofErr w:type="spellEnd"/>
      <w:r w:rsidRPr="00A053B3">
        <w:rPr>
          <w:rFonts w:ascii="Arial" w:hAnsi="Arial" w:cs="Arial"/>
          <w:i/>
          <w:sz w:val="24"/>
          <w:szCs w:val="24"/>
        </w:rPr>
        <w:t xml:space="preserve"> v </w:t>
      </w:r>
      <w:proofErr w:type="spellStart"/>
      <w:r w:rsidR="00192AD9" w:rsidRPr="00A053B3">
        <w:rPr>
          <w:rFonts w:ascii="Arial" w:hAnsi="Arial" w:cs="Arial"/>
          <w:i/>
          <w:sz w:val="24"/>
          <w:szCs w:val="24"/>
        </w:rPr>
        <w:t>Nederduitse</w:t>
      </w:r>
      <w:proofErr w:type="spellEnd"/>
      <w:r w:rsidR="00192AD9" w:rsidRPr="00A053B3">
        <w:rPr>
          <w:rFonts w:ascii="Arial" w:hAnsi="Arial" w:cs="Arial"/>
          <w:i/>
          <w:sz w:val="24"/>
          <w:szCs w:val="24"/>
        </w:rPr>
        <w:t xml:space="preserve"> </w:t>
      </w:r>
      <w:proofErr w:type="spellStart"/>
      <w:r w:rsidR="00192AD9" w:rsidRPr="00A053B3">
        <w:rPr>
          <w:rFonts w:ascii="Arial" w:hAnsi="Arial" w:cs="Arial"/>
          <w:i/>
          <w:sz w:val="24"/>
          <w:szCs w:val="24"/>
        </w:rPr>
        <w:t>Gereformeerde</w:t>
      </w:r>
      <w:proofErr w:type="spellEnd"/>
      <w:r w:rsidR="00192AD9" w:rsidRPr="00A053B3">
        <w:rPr>
          <w:rFonts w:ascii="Arial" w:hAnsi="Arial" w:cs="Arial"/>
          <w:i/>
          <w:sz w:val="24"/>
          <w:szCs w:val="24"/>
        </w:rPr>
        <w:t xml:space="preserve"> </w:t>
      </w:r>
      <w:proofErr w:type="spellStart"/>
      <w:r w:rsidR="00192AD9" w:rsidRPr="00A053B3">
        <w:rPr>
          <w:rFonts w:ascii="Arial" w:hAnsi="Arial" w:cs="Arial"/>
          <w:i/>
          <w:sz w:val="24"/>
          <w:szCs w:val="24"/>
        </w:rPr>
        <w:t>Kerk</w:t>
      </w:r>
      <w:proofErr w:type="spellEnd"/>
      <w:r w:rsidR="00192AD9" w:rsidRPr="00A053B3">
        <w:rPr>
          <w:rFonts w:ascii="Arial" w:hAnsi="Arial" w:cs="Arial"/>
          <w:i/>
          <w:sz w:val="24"/>
          <w:szCs w:val="24"/>
        </w:rPr>
        <w:t xml:space="preserve">, </w:t>
      </w:r>
      <w:proofErr w:type="spellStart"/>
      <w:r w:rsidR="00192AD9" w:rsidRPr="00A053B3">
        <w:rPr>
          <w:rFonts w:ascii="Arial" w:hAnsi="Arial" w:cs="Arial"/>
          <w:i/>
          <w:sz w:val="24"/>
          <w:szCs w:val="24"/>
        </w:rPr>
        <w:t>Wilgespruit</w:t>
      </w:r>
      <w:proofErr w:type="spellEnd"/>
      <w:r w:rsidR="00192AD9" w:rsidRPr="00A053B3">
        <w:rPr>
          <w:rFonts w:ascii="Arial" w:hAnsi="Arial" w:cs="Arial"/>
          <w:i/>
          <w:sz w:val="24"/>
          <w:szCs w:val="24"/>
        </w:rPr>
        <w:t>,</w:t>
      </w:r>
      <w:r w:rsidR="00192AD9">
        <w:rPr>
          <w:rStyle w:val="FootnoteReference"/>
          <w:rFonts w:ascii="Arial" w:hAnsi="Arial" w:cs="Arial"/>
          <w:i/>
          <w:sz w:val="24"/>
          <w:szCs w:val="24"/>
        </w:rPr>
        <w:footnoteReference w:id="25"/>
      </w:r>
      <w:r w:rsidR="00192AD9" w:rsidRPr="00A053B3">
        <w:rPr>
          <w:rFonts w:ascii="Arial" w:hAnsi="Arial" w:cs="Arial"/>
          <w:sz w:val="24"/>
          <w:szCs w:val="24"/>
        </w:rPr>
        <w:t xml:space="preserve"> a minister had been given a letter of appointment by a congregation which set out his duties and his salary and other benefits due to him in return for his performance of those duties. The court held that this amounted to a contract of employment. In another matter concerning a challenge to the dismissal of an Anglican priest, the Labour Court held that the ordination of the priest in accordance with the rites and </w:t>
      </w:r>
      <w:r w:rsidR="006141AC">
        <w:rPr>
          <w:rFonts w:ascii="Arial" w:hAnsi="Arial" w:cs="Arial"/>
          <w:sz w:val="24"/>
          <w:szCs w:val="24"/>
        </w:rPr>
        <w:t xml:space="preserve">canons </w:t>
      </w:r>
      <w:r w:rsidR="00192AD9" w:rsidRPr="00A053B3">
        <w:rPr>
          <w:rFonts w:ascii="Arial" w:hAnsi="Arial" w:cs="Arial"/>
          <w:sz w:val="24"/>
          <w:szCs w:val="24"/>
        </w:rPr>
        <w:t>of that church, did not constitute a contract of employment, finding that the basis of the process was religious.</w:t>
      </w:r>
      <w:r w:rsidR="006141AC">
        <w:rPr>
          <w:rStyle w:val="FootnoteReference"/>
          <w:rFonts w:ascii="Arial" w:hAnsi="Arial" w:cs="Arial"/>
          <w:sz w:val="24"/>
          <w:szCs w:val="24"/>
        </w:rPr>
        <w:footnoteReference w:id="26"/>
      </w:r>
      <w:r w:rsidR="00192AD9" w:rsidRPr="00A053B3">
        <w:rPr>
          <w:rFonts w:ascii="Arial" w:hAnsi="Arial" w:cs="Arial"/>
          <w:sz w:val="24"/>
          <w:szCs w:val="24"/>
        </w:rPr>
        <w:t xml:space="preserve"> The third matter involved an officer of the Salvation Army where the Labour Court found that the relationship </w:t>
      </w:r>
      <w:r w:rsidR="000A68DE">
        <w:rPr>
          <w:rFonts w:ascii="Arial" w:hAnsi="Arial" w:cs="Arial"/>
          <w:sz w:val="24"/>
          <w:szCs w:val="24"/>
        </w:rPr>
        <w:t xml:space="preserve">was a spiritual one governed by religious </w:t>
      </w:r>
      <w:r w:rsidR="003826D0" w:rsidRPr="00A053B3">
        <w:rPr>
          <w:rFonts w:ascii="Arial" w:hAnsi="Arial" w:cs="Arial"/>
          <w:sz w:val="24"/>
          <w:szCs w:val="24"/>
        </w:rPr>
        <w:t>conscience (because it flowed from an understanding of being called of God to a special ministry) and not a contract of employment.</w:t>
      </w:r>
      <w:r w:rsidR="003826D0">
        <w:rPr>
          <w:rStyle w:val="FootnoteReference"/>
          <w:rFonts w:ascii="Arial" w:hAnsi="Arial" w:cs="Arial"/>
          <w:sz w:val="24"/>
          <w:szCs w:val="24"/>
        </w:rPr>
        <w:footnoteReference w:id="27"/>
      </w:r>
    </w:p>
    <w:p w:rsidR="00A053B3" w:rsidRDefault="00A053B3" w:rsidP="00A053B3">
      <w:pPr>
        <w:pStyle w:val="NoSpacing"/>
        <w:spacing w:line="480" w:lineRule="auto"/>
        <w:jc w:val="both"/>
        <w:rPr>
          <w:rFonts w:ascii="Arial" w:hAnsi="Arial" w:cs="Arial"/>
          <w:sz w:val="24"/>
          <w:szCs w:val="24"/>
        </w:rPr>
      </w:pPr>
    </w:p>
    <w:p w:rsidR="00A053B3" w:rsidRDefault="003826D0" w:rsidP="00A053B3">
      <w:pPr>
        <w:pStyle w:val="NoSpacing"/>
        <w:numPr>
          <w:ilvl w:val="0"/>
          <w:numId w:val="4"/>
        </w:numPr>
        <w:spacing w:line="480" w:lineRule="auto"/>
        <w:ind w:left="0" w:firstLine="0"/>
        <w:jc w:val="both"/>
        <w:rPr>
          <w:rFonts w:ascii="Arial" w:hAnsi="Arial" w:cs="Arial"/>
          <w:sz w:val="24"/>
          <w:szCs w:val="24"/>
        </w:rPr>
      </w:pPr>
      <w:r w:rsidRPr="00A053B3">
        <w:rPr>
          <w:rFonts w:ascii="Arial" w:hAnsi="Arial" w:cs="Arial"/>
          <w:sz w:val="24"/>
          <w:szCs w:val="24"/>
        </w:rPr>
        <w:t xml:space="preserve">Wallis JA </w:t>
      </w:r>
      <w:r w:rsidR="000A68DE">
        <w:rPr>
          <w:rFonts w:ascii="Arial" w:hAnsi="Arial" w:cs="Arial"/>
          <w:sz w:val="24"/>
          <w:szCs w:val="24"/>
        </w:rPr>
        <w:t xml:space="preserve">in </w:t>
      </w:r>
      <w:r w:rsidR="000A68DE">
        <w:rPr>
          <w:rFonts w:ascii="Arial" w:hAnsi="Arial" w:cs="Arial"/>
          <w:i/>
          <w:sz w:val="24"/>
          <w:szCs w:val="24"/>
        </w:rPr>
        <w:t xml:space="preserve">De Lange </w:t>
      </w:r>
      <w:r w:rsidRPr="00A053B3">
        <w:rPr>
          <w:rFonts w:ascii="Arial" w:hAnsi="Arial" w:cs="Arial"/>
          <w:sz w:val="24"/>
          <w:szCs w:val="24"/>
        </w:rPr>
        <w:t xml:space="preserve">stressed – as did Lord </w:t>
      </w:r>
      <w:proofErr w:type="spellStart"/>
      <w:r w:rsidRPr="00A053B3">
        <w:rPr>
          <w:rFonts w:ascii="Arial" w:hAnsi="Arial" w:cs="Arial"/>
          <w:sz w:val="24"/>
          <w:szCs w:val="24"/>
        </w:rPr>
        <w:t>Sumption</w:t>
      </w:r>
      <w:proofErr w:type="spellEnd"/>
      <w:r w:rsidRPr="00A053B3">
        <w:rPr>
          <w:rFonts w:ascii="Arial" w:hAnsi="Arial" w:cs="Arial"/>
          <w:sz w:val="24"/>
          <w:szCs w:val="24"/>
        </w:rPr>
        <w:t xml:space="preserve"> in </w:t>
      </w:r>
      <w:r w:rsidRPr="00A053B3">
        <w:rPr>
          <w:rFonts w:ascii="Arial" w:hAnsi="Arial" w:cs="Arial"/>
          <w:i/>
          <w:sz w:val="24"/>
          <w:szCs w:val="24"/>
        </w:rPr>
        <w:t>Preston</w:t>
      </w:r>
      <w:r w:rsidRPr="00A053B3">
        <w:rPr>
          <w:rFonts w:ascii="Arial" w:hAnsi="Arial" w:cs="Arial"/>
          <w:sz w:val="24"/>
          <w:szCs w:val="24"/>
        </w:rPr>
        <w:t xml:space="preserve"> – </w:t>
      </w:r>
      <w:r w:rsidR="00B142D8">
        <w:rPr>
          <w:rFonts w:ascii="Arial" w:hAnsi="Arial" w:cs="Arial"/>
          <w:sz w:val="24"/>
          <w:szCs w:val="24"/>
        </w:rPr>
        <w:t xml:space="preserve">that </w:t>
      </w:r>
      <w:r w:rsidRPr="00A053B3">
        <w:rPr>
          <w:rFonts w:ascii="Arial" w:hAnsi="Arial" w:cs="Arial"/>
          <w:sz w:val="24"/>
          <w:szCs w:val="24"/>
        </w:rPr>
        <w:t>in making an assessment as to whether the nature of the relationship is employment or not, each case is to be assessed with reference to the rules and practices of the specific religious order or church and any special arrangements made with the minister to determine ‘whether their actions were intended in any respect to give rise to contractual rights and obligations’.</w:t>
      </w:r>
      <w:r w:rsidR="000A68DE">
        <w:rPr>
          <w:rFonts w:ascii="Arial" w:hAnsi="Arial" w:cs="Arial"/>
          <w:sz w:val="24"/>
          <w:szCs w:val="24"/>
        </w:rPr>
        <w:t xml:space="preserve"> That would also be the approach to be followed in Namibia. Each case would need to be considered on its own facts as to how a minister </w:t>
      </w:r>
      <w:r w:rsidR="00AA2B5B">
        <w:rPr>
          <w:rFonts w:ascii="Arial" w:hAnsi="Arial" w:cs="Arial"/>
          <w:sz w:val="24"/>
          <w:szCs w:val="24"/>
        </w:rPr>
        <w:t>is</w:t>
      </w:r>
      <w:r w:rsidR="000A68DE">
        <w:rPr>
          <w:rFonts w:ascii="Arial" w:hAnsi="Arial" w:cs="Arial"/>
          <w:sz w:val="24"/>
          <w:szCs w:val="24"/>
        </w:rPr>
        <w:t xml:space="preserve"> engaged, the chara</w:t>
      </w:r>
      <w:r w:rsidR="00AA2B5B">
        <w:rPr>
          <w:rFonts w:ascii="Arial" w:hAnsi="Arial" w:cs="Arial"/>
          <w:sz w:val="24"/>
          <w:szCs w:val="24"/>
        </w:rPr>
        <w:t xml:space="preserve">cter of the rules or terms for </w:t>
      </w:r>
      <w:r w:rsidR="000A68DE">
        <w:rPr>
          <w:rFonts w:ascii="Arial" w:hAnsi="Arial" w:cs="Arial"/>
          <w:sz w:val="24"/>
          <w:szCs w:val="24"/>
        </w:rPr>
        <w:t>his o</w:t>
      </w:r>
      <w:r w:rsidR="00AA2B5B">
        <w:rPr>
          <w:rFonts w:ascii="Arial" w:hAnsi="Arial" w:cs="Arial"/>
          <w:sz w:val="24"/>
          <w:szCs w:val="24"/>
        </w:rPr>
        <w:t>r her service and then determining</w:t>
      </w:r>
      <w:r w:rsidR="000A68DE">
        <w:rPr>
          <w:rFonts w:ascii="Arial" w:hAnsi="Arial" w:cs="Arial"/>
          <w:sz w:val="24"/>
          <w:szCs w:val="24"/>
        </w:rPr>
        <w:t xml:space="preserve"> whether these documents and the evidence of the parties would give rise to an intention to form a contract of employment or not.</w:t>
      </w:r>
    </w:p>
    <w:p w:rsidR="00A053B3" w:rsidRDefault="00A053B3" w:rsidP="00A053B3">
      <w:pPr>
        <w:pStyle w:val="ListParagraph"/>
        <w:rPr>
          <w:rFonts w:ascii="Arial" w:hAnsi="Arial" w:cs="Arial"/>
          <w:sz w:val="24"/>
          <w:szCs w:val="24"/>
        </w:rPr>
      </w:pPr>
    </w:p>
    <w:p w:rsidR="00A053B3" w:rsidRDefault="003826D0" w:rsidP="00A053B3">
      <w:pPr>
        <w:pStyle w:val="NoSpacing"/>
        <w:numPr>
          <w:ilvl w:val="0"/>
          <w:numId w:val="4"/>
        </w:numPr>
        <w:spacing w:line="480" w:lineRule="auto"/>
        <w:ind w:left="0" w:firstLine="0"/>
        <w:jc w:val="both"/>
        <w:rPr>
          <w:rFonts w:ascii="Arial" w:hAnsi="Arial" w:cs="Arial"/>
          <w:sz w:val="24"/>
          <w:szCs w:val="24"/>
        </w:rPr>
      </w:pPr>
      <w:r w:rsidRPr="00A053B3">
        <w:rPr>
          <w:rFonts w:ascii="Arial" w:hAnsi="Arial" w:cs="Arial"/>
          <w:sz w:val="24"/>
          <w:szCs w:val="24"/>
        </w:rPr>
        <w:t xml:space="preserve">In this instance, all the appellant put </w:t>
      </w:r>
      <w:r w:rsidR="00AA2B5B">
        <w:rPr>
          <w:rFonts w:ascii="Arial" w:hAnsi="Arial" w:cs="Arial"/>
          <w:sz w:val="24"/>
          <w:szCs w:val="24"/>
        </w:rPr>
        <w:t>before</w:t>
      </w:r>
      <w:r w:rsidRPr="00A053B3">
        <w:rPr>
          <w:rFonts w:ascii="Arial" w:hAnsi="Arial" w:cs="Arial"/>
          <w:sz w:val="24"/>
          <w:szCs w:val="24"/>
        </w:rPr>
        <w:t xml:space="preserve"> the Commission were sparse factual </w:t>
      </w:r>
      <w:r w:rsidR="00AA2B5B">
        <w:rPr>
          <w:rFonts w:ascii="Arial" w:hAnsi="Arial" w:cs="Arial"/>
          <w:sz w:val="24"/>
          <w:szCs w:val="24"/>
        </w:rPr>
        <w:t>assertions</w:t>
      </w:r>
      <w:r w:rsidR="000A68DE">
        <w:rPr>
          <w:rFonts w:ascii="Arial" w:hAnsi="Arial" w:cs="Arial"/>
          <w:sz w:val="24"/>
          <w:szCs w:val="24"/>
        </w:rPr>
        <w:t xml:space="preserve"> and a series of</w:t>
      </w:r>
      <w:r w:rsidRPr="00A053B3">
        <w:rPr>
          <w:rFonts w:ascii="Arial" w:hAnsi="Arial" w:cs="Arial"/>
          <w:sz w:val="24"/>
          <w:szCs w:val="24"/>
        </w:rPr>
        <w:t xml:space="preserve"> contentio</w:t>
      </w:r>
      <w:r w:rsidR="000A68DE">
        <w:rPr>
          <w:rFonts w:ascii="Arial" w:hAnsi="Arial" w:cs="Arial"/>
          <w:sz w:val="24"/>
          <w:szCs w:val="24"/>
        </w:rPr>
        <w:t>n</w:t>
      </w:r>
      <w:r w:rsidRPr="00A053B3">
        <w:rPr>
          <w:rFonts w:ascii="Arial" w:hAnsi="Arial" w:cs="Arial"/>
          <w:sz w:val="24"/>
          <w:szCs w:val="24"/>
        </w:rPr>
        <w:t xml:space="preserve">s in correspondence and the vow. No further documentation comprising </w:t>
      </w:r>
      <w:r w:rsidR="000A68DE">
        <w:rPr>
          <w:rFonts w:ascii="Arial" w:hAnsi="Arial" w:cs="Arial"/>
          <w:sz w:val="24"/>
          <w:szCs w:val="24"/>
        </w:rPr>
        <w:t xml:space="preserve">the terms of </w:t>
      </w:r>
      <w:r w:rsidRPr="00A053B3">
        <w:rPr>
          <w:rFonts w:ascii="Arial" w:hAnsi="Arial" w:cs="Arial"/>
          <w:sz w:val="24"/>
          <w:szCs w:val="24"/>
        </w:rPr>
        <w:t xml:space="preserve">appointments, rules and/or the constitution of the appellant or the </w:t>
      </w:r>
      <w:r w:rsidR="003E1DEA">
        <w:rPr>
          <w:rFonts w:ascii="Arial" w:hAnsi="Arial" w:cs="Arial"/>
          <w:sz w:val="24"/>
          <w:szCs w:val="24"/>
        </w:rPr>
        <w:t>O</w:t>
      </w:r>
      <w:r w:rsidRPr="00A053B3">
        <w:rPr>
          <w:rFonts w:ascii="Arial" w:hAnsi="Arial" w:cs="Arial"/>
          <w:sz w:val="24"/>
          <w:szCs w:val="24"/>
        </w:rPr>
        <w:t xml:space="preserve">rder </w:t>
      </w:r>
      <w:r w:rsidR="00AA2B5B">
        <w:rPr>
          <w:rFonts w:ascii="Arial" w:hAnsi="Arial" w:cs="Arial"/>
          <w:sz w:val="24"/>
          <w:szCs w:val="24"/>
        </w:rPr>
        <w:t xml:space="preserve">which </w:t>
      </w:r>
      <w:r w:rsidR="000A68DE">
        <w:rPr>
          <w:rFonts w:ascii="Arial" w:hAnsi="Arial" w:cs="Arial"/>
          <w:sz w:val="24"/>
          <w:szCs w:val="24"/>
        </w:rPr>
        <w:t xml:space="preserve">govern appointments </w:t>
      </w:r>
      <w:r w:rsidRPr="00A053B3">
        <w:rPr>
          <w:rFonts w:ascii="Arial" w:hAnsi="Arial" w:cs="Arial"/>
          <w:sz w:val="24"/>
          <w:szCs w:val="24"/>
        </w:rPr>
        <w:t>were placed before the Commission. As against this paucity</w:t>
      </w:r>
      <w:r w:rsidR="000A0532" w:rsidRPr="00A053B3">
        <w:rPr>
          <w:rFonts w:ascii="Arial" w:hAnsi="Arial" w:cs="Arial"/>
          <w:sz w:val="24"/>
          <w:szCs w:val="24"/>
        </w:rPr>
        <w:t xml:space="preserve"> of material is the fact that the appellant had previously itself regarded</w:t>
      </w:r>
      <w:r w:rsidR="00487D9F">
        <w:rPr>
          <w:rFonts w:ascii="Arial" w:hAnsi="Arial" w:cs="Arial"/>
          <w:sz w:val="24"/>
          <w:szCs w:val="24"/>
        </w:rPr>
        <w:t xml:space="preserve"> itself as an employer and</w:t>
      </w:r>
      <w:r w:rsidR="000A0532" w:rsidRPr="00A053B3">
        <w:rPr>
          <w:rFonts w:ascii="Arial" w:hAnsi="Arial" w:cs="Arial"/>
          <w:sz w:val="24"/>
          <w:szCs w:val="24"/>
        </w:rPr>
        <w:t xml:space="preserve"> that i</w:t>
      </w:r>
      <w:r w:rsidR="00AA2B5B">
        <w:rPr>
          <w:rFonts w:ascii="Arial" w:hAnsi="Arial" w:cs="Arial"/>
          <w:sz w:val="24"/>
          <w:szCs w:val="24"/>
        </w:rPr>
        <w:t>t</w:t>
      </w:r>
      <w:r w:rsidR="000A0532" w:rsidRPr="00A053B3">
        <w:rPr>
          <w:rFonts w:ascii="Arial" w:hAnsi="Arial" w:cs="Arial"/>
          <w:sz w:val="24"/>
          <w:szCs w:val="24"/>
        </w:rPr>
        <w:t xml:space="preserve"> should register and did so</w:t>
      </w:r>
      <w:r w:rsidR="00AA2B5B">
        <w:rPr>
          <w:rFonts w:ascii="Arial" w:hAnsi="Arial" w:cs="Arial"/>
          <w:sz w:val="24"/>
          <w:szCs w:val="24"/>
        </w:rPr>
        <w:t>,</w:t>
      </w:r>
      <w:r w:rsidR="000A0532" w:rsidRPr="00A053B3">
        <w:rPr>
          <w:rFonts w:ascii="Arial" w:hAnsi="Arial" w:cs="Arial"/>
          <w:sz w:val="24"/>
          <w:szCs w:val="24"/>
        </w:rPr>
        <w:t xml:space="preserve"> and </w:t>
      </w:r>
      <w:r w:rsidR="00487D9F" w:rsidRPr="00A053B3">
        <w:rPr>
          <w:rFonts w:ascii="Arial" w:hAnsi="Arial" w:cs="Arial"/>
          <w:sz w:val="24"/>
          <w:szCs w:val="24"/>
        </w:rPr>
        <w:t xml:space="preserve">provided </w:t>
      </w:r>
      <w:r w:rsidR="000A0532" w:rsidRPr="00A053B3">
        <w:rPr>
          <w:rFonts w:ascii="Arial" w:hAnsi="Arial" w:cs="Arial"/>
          <w:sz w:val="24"/>
          <w:szCs w:val="24"/>
        </w:rPr>
        <w:t>no explanation as to the change in its stance.</w:t>
      </w:r>
    </w:p>
    <w:p w:rsidR="00A053B3" w:rsidRDefault="00A053B3" w:rsidP="00A053B3">
      <w:pPr>
        <w:pStyle w:val="ListParagraph"/>
        <w:rPr>
          <w:rFonts w:ascii="Arial" w:hAnsi="Arial" w:cs="Arial"/>
          <w:sz w:val="24"/>
          <w:szCs w:val="24"/>
        </w:rPr>
      </w:pPr>
    </w:p>
    <w:p w:rsidR="00A053B3" w:rsidRDefault="000A0532" w:rsidP="00A053B3">
      <w:pPr>
        <w:pStyle w:val="NoSpacing"/>
        <w:numPr>
          <w:ilvl w:val="0"/>
          <w:numId w:val="4"/>
        </w:numPr>
        <w:spacing w:line="480" w:lineRule="auto"/>
        <w:ind w:left="0" w:firstLine="0"/>
        <w:jc w:val="both"/>
        <w:rPr>
          <w:rFonts w:ascii="Arial" w:hAnsi="Arial" w:cs="Arial"/>
          <w:sz w:val="24"/>
          <w:szCs w:val="24"/>
        </w:rPr>
      </w:pPr>
      <w:r w:rsidRPr="00A053B3">
        <w:rPr>
          <w:rFonts w:ascii="Arial" w:hAnsi="Arial" w:cs="Arial"/>
          <w:sz w:val="24"/>
          <w:szCs w:val="24"/>
        </w:rPr>
        <w:t xml:space="preserve">It would follow that on the material placed before the Commission, the appellant would in any event not have been entitled to the order proposed by Mr </w:t>
      </w:r>
      <w:proofErr w:type="spellStart"/>
      <w:r w:rsidRPr="00A053B3">
        <w:rPr>
          <w:rFonts w:ascii="Arial" w:hAnsi="Arial" w:cs="Arial"/>
          <w:sz w:val="24"/>
          <w:szCs w:val="24"/>
        </w:rPr>
        <w:t>Tötemeyer</w:t>
      </w:r>
      <w:proofErr w:type="spellEnd"/>
      <w:r w:rsidRPr="00A053B3">
        <w:rPr>
          <w:rFonts w:ascii="Arial" w:hAnsi="Arial" w:cs="Arial"/>
          <w:sz w:val="24"/>
          <w:szCs w:val="24"/>
        </w:rPr>
        <w:t>.</w:t>
      </w:r>
      <w:r w:rsidR="003826D0" w:rsidRPr="00A053B3">
        <w:rPr>
          <w:rFonts w:ascii="Arial" w:hAnsi="Arial" w:cs="Arial"/>
          <w:sz w:val="24"/>
          <w:szCs w:val="24"/>
        </w:rPr>
        <w:t xml:space="preserve"> </w:t>
      </w:r>
    </w:p>
    <w:p w:rsidR="00A053B3" w:rsidRDefault="00A053B3" w:rsidP="00A053B3">
      <w:pPr>
        <w:rPr>
          <w:rFonts w:ascii="Arial" w:hAnsi="Arial" w:cs="Arial"/>
          <w:sz w:val="24"/>
          <w:szCs w:val="24"/>
        </w:rPr>
      </w:pPr>
    </w:p>
    <w:p w:rsidR="00A053B3" w:rsidRDefault="00A053B3" w:rsidP="00A053B3">
      <w:pPr>
        <w:rPr>
          <w:rFonts w:ascii="Arial" w:hAnsi="Arial" w:cs="Arial"/>
          <w:sz w:val="24"/>
          <w:szCs w:val="24"/>
          <w:u w:val="single"/>
        </w:rPr>
      </w:pPr>
      <w:r>
        <w:rPr>
          <w:rFonts w:ascii="Arial" w:hAnsi="Arial" w:cs="Arial"/>
          <w:sz w:val="24"/>
          <w:szCs w:val="24"/>
          <w:u w:val="single"/>
        </w:rPr>
        <w:t>Costs</w:t>
      </w:r>
    </w:p>
    <w:p w:rsidR="00A053B3" w:rsidRDefault="00835535" w:rsidP="00A053B3">
      <w:pPr>
        <w:pStyle w:val="NoSpacing"/>
        <w:numPr>
          <w:ilvl w:val="0"/>
          <w:numId w:val="4"/>
        </w:numPr>
        <w:spacing w:line="480" w:lineRule="auto"/>
        <w:ind w:left="0" w:firstLine="0"/>
        <w:jc w:val="both"/>
        <w:rPr>
          <w:rFonts w:ascii="Arial" w:hAnsi="Arial" w:cs="Arial"/>
          <w:sz w:val="24"/>
          <w:szCs w:val="24"/>
        </w:rPr>
      </w:pPr>
      <w:r w:rsidRPr="00A053B3">
        <w:rPr>
          <w:rFonts w:ascii="Arial" w:hAnsi="Arial" w:cs="Arial"/>
          <w:sz w:val="24"/>
          <w:szCs w:val="24"/>
        </w:rPr>
        <w:t xml:space="preserve">During oral argument, the court raised several unsatisfactory features in the preparation of the record with a view to </w:t>
      </w:r>
      <w:r w:rsidR="002D673F">
        <w:rPr>
          <w:rFonts w:ascii="Arial" w:hAnsi="Arial" w:cs="Arial"/>
          <w:sz w:val="24"/>
          <w:szCs w:val="24"/>
        </w:rPr>
        <w:t xml:space="preserve">considering whether </w:t>
      </w:r>
      <w:r w:rsidRPr="00A053B3">
        <w:rPr>
          <w:rFonts w:ascii="Arial" w:hAnsi="Arial" w:cs="Arial"/>
          <w:sz w:val="24"/>
          <w:szCs w:val="24"/>
        </w:rPr>
        <w:t>an adverse cost</w:t>
      </w:r>
      <w:r w:rsidR="003E1DEA">
        <w:rPr>
          <w:rFonts w:ascii="Arial" w:hAnsi="Arial" w:cs="Arial"/>
          <w:sz w:val="24"/>
          <w:szCs w:val="24"/>
        </w:rPr>
        <w:t>s</w:t>
      </w:r>
      <w:r w:rsidRPr="00A053B3">
        <w:rPr>
          <w:rFonts w:ascii="Arial" w:hAnsi="Arial" w:cs="Arial"/>
          <w:sz w:val="24"/>
          <w:szCs w:val="24"/>
        </w:rPr>
        <w:t xml:space="preserve"> order in respect of the preparation of the record </w:t>
      </w:r>
      <w:r w:rsidR="002D673F">
        <w:rPr>
          <w:rFonts w:ascii="Arial" w:hAnsi="Arial" w:cs="Arial"/>
          <w:sz w:val="24"/>
          <w:szCs w:val="24"/>
        </w:rPr>
        <w:t xml:space="preserve">should be made </w:t>
      </w:r>
      <w:r w:rsidRPr="00A053B3">
        <w:rPr>
          <w:rFonts w:ascii="Arial" w:hAnsi="Arial" w:cs="Arial"/>
          <w:sz w:val="24"/>
          <w:szCs w:val="24"/>
        </w:rPr>
        <w:t xml:space="preserve">in the event of the appeal succeeding. </w:t>
      </w:r>
      <w:r w:rsidR="00487D9F">
        <w:rPr>
          <w:rFonts w:ascii="Arial" w:hAnsi="Arial" w:cs="Arial"/>
          <w:sz w:val="24"/>
          <w:szCs w:val="24"/>
        </w:rPr>
        <w:t>Given the outcome of this appeal, that issue no longer</w:t>
      </w:r>
      <w:r w:rsidRPr="00A053B3">
        <w:rPr>
          <w:rFonts w:ascii="Arial" w:hAnsi="Arial" w:cs="Arial"/>
          <w:sz w:val="24"/>
          <w:szCs w:val="24"/>
        </w:rPr>
        <w:t xml:space="preserve"> arise</w:t>
      </w:r>
      <w:r w:rsidR="002D673F">
        <w:rPr>
          <w:rFonts w:ascii="Arial" w:hAnsi="Arial" w:cs="Arial"/>
          <w:sz w:val="24"/>
          <w:szCs w:val="24"/>
        </w:rPr>
        <w:t>s</w:t>
      </w:r>
      <w:r w:rsidRPr="00A053B3">
        <w:rPr>
          <w:rFonts w:ascii="Arial" w:hAnsi="Arial" w:cs="Arial"/>
          <w:sz w:val="24"/>
          <w:szCs w:val="24"/>
        </w:rPr>
        <w:t xml:space="preserve">. It is however appropriate to sound a warning about the consequences of records not conforming to the rules – an all too frequent occurrence in the appeals serving before this court. The inclusion of </w:t>
      </w:r>
      <w:r w:rsidR="002D673F">
        <w:rPr>
          <w:rFonts w:ascii="Arial" w:hAnsi="Arial" w:cs="Arial"/>
          <w:sz w:val="24"/>
          <w:szCs w:val="24"/>
        </w:rPr>
        <w:t xml:space="preserve">a matter </w:t>
      </w:r>
      <w:r w:rsidRPr="00A053B3">
        <w:rPr>
          <w:rFonts w:ascii="Arial" w:hAnsi="Arial" w:cs="Arial"/>
          <w:sz w:val="24"/>
          <w:szCs w:val="24"/>
        </w:rPr>
        <w:t>which does not form part of the record, such as transcripts of oral argument and written argument in the court below and u</w:t>
      </w:r>
      <w:r w:rsidR="002D673F">
        <w:rPr>
          <w:rFonts w:ascii="Arial" w:hAnsi="Arial" w:cs="Arial"/>
          <w:sz w:val="24"/>
          <w:szCs w:val="24"/>
        </w:rPr>
        <w:t>nduly repetitious documentation</w:t>
      </w:r>
      <w:r w:rsidRPr="00A053B3">
        <w:rPr>
          <w:rFonts w:ascii="Arial" w:hAnsi="Arial" w:cs="Arial"/>
          <w:sz w:val="24"/>
          <w:szCs w:val="24"/>
        </w:rPr>
        <w:t xml:space="preserve"> which can easily be avoided can and </w:t>
      </w:r>
      <w:r w:rsidR="00487D9F">
        <w:rPr>
          <w:rFonts w:ascii="Arial" w:hAnsi="Arial" w:cs="Arial"/>
          <w:sz w:val="24"/>
          <w:szCs w:val="24"/>
        </w:rPr>
        <w:t>may</w:t>
      </w:r>
      <w:r w:rsidRPr="00A053B3">
        <w:rPr>
          <w:rFonts w:ascii="Arial" w:hAnsi="Arial" w:cs="Arial"/>
          <w:sz w:val="24"/>
          <w:szCs w:val="24"/>
        </w:rPr>
        <w:t xml:space="preserve"> result in adverse costs orders. </w:t>
      </w:r>
    </w:p>
    <w:p w:rsidR="00A053B3" w:rsidRDefault="00A053B3" w:rsidP="00A053B3">
      <w:pPr>
        <w:pStyle w:val="NoSpacing"/>
        <w:spacing w:line="480" w:lineRule="auto"/>
        <w:jc w:val="both"/>
        <w:rPr>
          <w:rFonts w:ascii="Arial" w:hAnsi="Arial" w:cs="Arial"/>
          <w:sz w:val="24"/>
          <w:szCs w:val="24"/>
        </w:rPr>
      </w:pPr>
    </w:p>
    <w:p w:rsidR="00BF7EC1" w:rsidRDefault="00BF7EC1" w:rsidP="00A053B3">
      <w:pPr>
        <w:rPr>
          <w:rFonts w:ascii="Arial" w:hAnsi="Arial" w:cs="Arial"/>
          <w:sz w:val="24"/>
          <w:szCs w:val="24"/>
          <w:u w:val="single"/>
        </w:rPr>
      </w:pPr>
    </w:p>
    <w:p w:rsidR="00BF7EC1" w:rsidRPr="00BF7EC1" w:rsidRDefault="00B142D8" w:rsidP="00BF7EC1">
      <w:pPr>
        <w:rPr>
          <w:rFonts w:ascii="Arial" w:hAnsi="Arial" w:cs="Arial"/>
          <w:sz w:val="24"/>
          <w:szCs w:val="24"/>
          <w:u w:val="single"/>
        </w:rPr>
      </w:pPr>
      <w:r>
        <w:rPr>
          <w:rFonts w:ascii="Arial" w:hAnsi="Arial" w:cs="Arial"/>
          <w:sz w:val="24"/>
          <w:szCs w:val="24"/>
          <w:u w:val="single"/>
        </w:rPr>
        <w:lastRenderedPageBreak/>
        <w:t>Conclusion and o</w:t>
      </w:r>
      <w:r w:rsidR="00A053B3">
        <w:rPr>
          <w:rFonts w:ascii="Arial" w:hAnsi="Arial" w:cs="Arial"/>
          <w:sz w:val="24"/>
          <w:szCs w:val="24"/>
          <w:u w:val="single"/>
        </w:rPr>
        <w:t>rder</w:t>
      </w:r>
    </w:p>
    <w:p w:rsidR="00835535" w:rsidRPr="00A053B3" w:rsidRDefault="00835535" w:rsidP="00A053B3">
      <w:pPr>
        <w:pStyle w:val="NoSpacing"/>
        <w:numPr>
          <w:ilvl w:val="0"/>
          <w:numId w:val="4"/>
        </w:numPr>
        <w:spacing w:line="480" w:lineRule="auto"/>
        <w:ind w:left="0" w:firstLine="0"/>
        <w:jc w:val="both"/>
        <w:rPr>
          <w:rFonts w:ascii="Arial" w:hAnsi="Arial" w:cs="Arial"/>
          <w:sz w:val="24"/>
          <w:szCs w:val="24"/>
        </w:rPr>
      </w:pPr>
      <w:r w:rsidRPr="00A053B3">
        <w:rPr>
          <w:rFonts w:ascii="Arial" w:hAnsi="Arial" w:cs="Arial"/>
          <w:sz w:val="24"/>
          <w:szCs w:val="24"/>
        </w:rPr>
        <w:t>This appeal is dismissed with costs.</w:t>
      </w:r>
    </w:p>
    <w:p w:rsidR="00754A3A" w:rsidRDefault="00754A3A" w:rsidP="002E426A">
      <w:pPr>
        <w:pStyle w:val="NoSpacing"/>
        <w:spacing w:line="480" w:lineRule="auto"/>
        <w:jc w:val="both"/>
        <w:rPr>
          <w:rFonts w:ascii="Arial" w:hAnsi="Arial" w:cs="Arial"/>
          <w:sz w:val="24"/>
          <w:szCs w:val="24"/>
        </w:rPr>
      </w:pPr>
    </w:p>
    <w:p w:rsidR="00835535" w:rsidRPr="001C25CA" w:rsidRDefault="00835535" w:rsidP="002E426A">
      <w:pPr>
        <w:pStyle w:val="NoSpacing"/>
        <w:spacing w:line="480" w:lineRule="auto"/>
        <w:jc w:val="both"/>
        <w:rPr>
          <w:rFonts w:ascii="Arial" w:hAnsi="Arial" w:cs="Arial"/>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SMUTS JA</w:t>
      </w: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305FE9" w:rsidRPr="001C25CA" w:rsidRDefault="00305FE9"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CD04E3" w:rsidP="002E426A">
      <w:pPr>
        <w:pStyle w:val="NoSpacing"/>
        <w:spacing w:line="360" w:lineRule="auto"/>
        <w:rPr>
          <w:rFonts w:ascii="Arial" w:hAnsi="Arial" w:cs="Arial"/>
          <w:b/>
          <w:sz w:val="24"/>
          <w:szCs w:val="24"/>
        </w:rPr>
      </w:pPr>
      <w:r>
        <w:rPr>
          <w:rFonts w:ascii="Arial" w:hAnsi="Arial" w:cs="Arial"/>
          <w:b/>
          <w:sz w:val="24"/>
          <w:szCs w:val="24"/>
        </w:rPr>
        <w:t>DAMASEB</w:t>
      </w:r>
      <w:r w:rsidR="00DF0D25">
        <w:rPr>
          <w:rFonts w:ascii="Arial" w:hAnsi="Arial" w:cs="Arial"/>
          <w:b/>
          <w:sz w:val="24"/>
          <w:szCs w:val="24"/>
        </w:rPr>
        <w:t xml:space="preserve"> </w:t>
      </w:r>
      <w:r>
        <w:rPr>
          <w:rFonts w:ascii="Arial" w:hAnsi="Arial" w:cs="Arial"/>
          <w:b/>
          <w:sz w:val="24"/>
          <w:szCs w:val="24"/>
        </w:rPr>
        <w:t>D</w:t>
      </w:r>
      <w:r w:rsidR="00DF0D25">
        <w:rPr>
          <w:rFonts w:ascii="Arial" w:hAnsi="Arial" w:cs="Arial"/>
          <w:b/>
          <w:sz w:val="24"/>
          <w:szCs w:val="24"/>
        </w:rPr>
        <w:t>CJ</w:t>
      </w: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305FE9" w:rsidRPr="001C25CA" w:rsidRDefault="00305FE9" w:rsidP="002E426A">
      <w:pPr>
        <w:pStyle w:val="NoSpacing"/>
        <w:rPr>
          <w:rFonts w:ascii="Arial" w:hAnsi="Arial" w:cs="Arial"/>
          <w:b/>
          <w:sz w:val="24"/>
          <w:szCs w:val="24"/>
        </w:rPr>
      </w:pPr>
    </w:p>
    <w:p w:rsidR="002E426A" w:rsidRPr="001C25CA" w:rsidRDefault="002E426A" w:rsidP="002E426A">
      <w:pPr>
        <w:pStyle w:val="NoSpacing"/>
        <w:rPr>
          <w:rFonts w:ascii="Arial" w:hAnsi="Arial" w:cs="Arial"/>
          <w:b/>
          <w:sz w:val="24"/>
          <w:szCs w:val="24"/>
        </w:rPr>
      </w:pPr>
    </w:p>
    <w:p w:rsidR="002E426A" w:rsidRPr="001C25CA" w:rsidRDefault="002E426A" w:rsidP="002E426A">
      <w:pPr>
        <w:pStyle w:val="NoSpacing"/>
        <w:spacing w:line="360" w:lineRule="auto"/>
        <w:rPr>
          <w:rFonts w:ascii="Arial" w:hAnsi="Arial" w:cs="Arial"/>
          <w:b/>
          <w:sz w:val="24"/>
          <w:szCs w:val="24"/>
        </w:rPr>
      </w:pPr>
      <w:r w:rsidRPr="001C25CA">
        <w:rPr>
          <w:rFonts w:ascii="Arial" w:hAnsi="Arial" w:cs="Arial"/>
          <w:b/>
          <w:sz w:val="24"/>
          <w:szCs w:val="24"/>
        </w:rPr>
        <w:t>___________________</w:t>
      </w:r>
    </w:p>
    <w:p w:rsidR="002E426A" w:rsidRPr="001C25CA" w:rsidRDefault="00CD04E3" w:rsidP="002E426A">
      <w:pPr>
        <w:pStyle w:val="NoSpacing"/>
        <w:spacing w:line="480" w:lineRule="auto"/>
        <w:jc w:val="both"/>
        <w:rPr>
          <w:rFonts w:ascii="Arial" w:hAnsi="Arial" w:cs="Arial"/>
          <w:sz w:val="24"/>
          <w:szCs w:val="24"/>
        </w:rPr>
      </w:pPr>
      <w:r>
        <w:rPr>
          <w:rFonts w:ascii="Arial" w:hAnsi="Arial" w:cs="Arial"/>
          <w:b/>
          <w:sz w:val="24"/>
          <w:szCs w:val="24"/>
        </w:rPr>
        <w:t xml:space="preserve">MAINGA </w:t>
      </w:r>
      <w:r w:rsidR="002E426A" w:rsidRPr="001C25CA">
        <w:rPr>
          <w:rFonts w:ascii="Arial" w:hAnsi="Arial" w:cs="Arial"/>
          <w:b/>
          <w:sz w:val="24"/>
          <w:szCs w:val="24"/>
        </w:rPr>
        <w:t>JA</w:t>
      </w:r>
      <w:r w:rsidR="002E426A" w:rsidRPr="001C25CA">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lastRenderedPageBreak/>
              <w:t>APPEARANCES</w:t>
            </w:r>
          </w:p>
          <w:p w:rsidR="00721889" w:rsidRPr="001C25CA" w:rsidRDefault="00721889" w:rsidP="00503269">
            <w:pPr>
              <w:ind w:right="-146"/>
              <w:rPr>
                <w:rFonts w:ascii="Arial" w:hAnsi="Arial" w:cs="Arial"/>
                <w:sz w:val="24"/>
                <w:szCs w:val="24"/>
              </w:rPr>
            </w:pPr>
          </w:p>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APPELLANT</w:t>
            </w:r>
            <w:r w:rsidR="00AE5A44">
              <w:rPr>
                <w:rFonts w:ascii="Arial" w:hAnsi="Arial" w:cs="Arial"/>
                <w:sz w:val="24"/>
                <w:szCs w:val="24"/>
              </w:rPr>
              <w:t>S</w:t>
            </w:r>
            <w:r w:rsidRPr="001C25CA">
              <w:rPr>
                <w:rFonts w:ascii="Arial" w:hAnsi="Arial" w:cs="Arial"/>
                <w:sz w:val="24"/>
                <w:szCs w:val="24"/>
              </w:rPr>
              <w:t>:</w:t>
            </w:r>
          </w:p>
        </w:tc>
        <w:tc>
          <w:tcPr>
            <w:tcW w:w="4261" w:type="dxa"/>
            <w:shd w:val="clear" w:color="auto" w:fill="auto"/>
          </w:tcPr>
          <w:p w:rsidR="00721889" w:rsidRPr="001C25CA" w:rsidRDefault="00721889" w:rsidP="00503269">
            <w:pPr>
              <w:rPr>
                <w:rFonts w:ascii="Arial" w:hAnsi="Arial" w:cs="Arial"/>
                <w:sz w:val="24"/>
                <w:szCs w:val="24"/>
              </w:rPr>
            </w:pPr>
          </w:p>
          <w:p w:rsidR="00721889" w:rsidRPr="001C25CA" w:rsidRDefault="00721889" w:rsidP="00503269">
            <w:pPr>
              <w:rPr>
                <w:rFonts w:ascii="Arial" w:hAnsi="Arial" w:cs="Arial"/>
                <w:sz w:val="24"/>
                <w:szCs w:val="24"/>
              </w:rPr>
            </w:pPr>
          </w:p>
          <w:p w:rsidR="00721889" w:rsidRPr="001C25CA" w:rsidRDefault="00AA2B5B" w:rsidP="00503269">
            <w:pPr>
              <w:rPr>
                <w:rFonts w:ascii="Arial" w:hAnsi="Arial" w:cs="Arial"/>
                <w:sz w:val="24"/>
                <w:szCs w:val="24"/>
              </w:rPr>
            </w:pPr>
            <w:r>
              <w:rPr>
                <w:rFonts w:ascii="Arial" w:hAnsi="Arial" w:cs="Arial"/>
                <w:sz w:val="24"/>
                <w:szCs w:val="24"/>
              </w:rPr>
              <w:t xml:space="preserve">R </w:t>
            </w:r>
            <w:proofErr w:type="spellStart"/>
            <w:r>
              <w:rPr>
                <w:rFonts w:ascii="Arial" w:hAnsi="Arial" w:cs="Arial"/>
                <w:sz w:val="24"/>
                <w:szCs w:val="24"/>
              </w:rPr>
              <w:t>Tötemeyer</w:t>
            </w:r>
            <w:proofErr w:type="spellEnd"/>
            <w:r>
              <w:rPr>
                <w:rFonts w:ascii="Arial" w:hAnsi="Arial" w:cs="Arial"/>
                <w:sz w:val="24"/>
                <w:szCs w:val="24"/>
              </w:rPr>
              <w:t xml:space="preserve"> SC,</w:t>
            </w:r>
            <w:r w:rsidR="00674D64">
              <w:rPr>
                <w:rFonts w:ascii="Arial" w:hAnsi="Arial" w:cs="Arial"/>
                <w:sz w:val="24"/>
                <w:szCs w:val="24"/>
              </w:rPr>
              <w:t xml:space="preserve"> with A </w:t>
            </w:r>
            <w:proofErr w:type="spellStart"/>
            <w:r w:rsidR="00674D64">
              <w:rPr>
                <w:rFonts w:ascii="Arial" w:hAnsi="Arial" w:cs="Arial"/>
                <w:sz w:val="24"/>
                <w:szCs w:val="24"/>
              </w:rPr>
              <w:t>Denk</w:t>
            </w:r>
            <w:proofErr w:type="spellEnd"/>
          </w:p>
          <w:p w:rsidR="00860DA9" w:rsidRPr="001C25CA" w:rsidRDefault="00860DA9" w:rsidP="00CD04E3">
            <w:pPr>
              <w:rPr>
                <w:rFonts w:ascii="Arial" w:hAnsi="Arial" w:cs="Arial"/>
                <w:sz w:val="24"/>
                <w:szCs w:val="24"/>
              </w:rPr>
            </w:pPr>
            <w:r w:rsidRPr="001C25CA">
              <w:rPr>
                <w:rFonts w:ascii="Arial" w:hAnsi="Arial" w:cs="Arial"/>
                <w:sz w:val="24"/>
                <w:szCs w:val="24"/>
              </w:rPr>
              <w:t xml:space="preserve">Instructed by </w:t>
            </w:r>
            <w:r w:rsidR="00CD04E3">
              <w:rPr>
                <w:rFonts w:ascii="Arial" w:hAnsi="Arial" w:cs="Arial"/>
                <w:sz w:val="24"/>
                <w:szCs w:val="24"/>
              </w:rPr>
              <w:t xml:space="preserve">Dr </w:t>
            </w:r>
            <w:proofErr w:type="spellStart"/>
            <w:r w:rsidR="00CD04E3">
              <w:rPr>
                <w:rFonts w:ascii="Arial" w:hAnsi="Arial" w:cs="Arial"/>
                <w:sz w:val="24"/>
                <w:szCs w:val="24"/>
              </w:rPr>
              <w:t>Weder</w:t>
            </w:r>
            <w:proofErr w:type="spellEnd"/>
            <w:r w:rsidR="00CD04E3">
              <w:rPr>
                <w:rFonts w:ascii="Arial" w:hAnsi="Arial" w:cs="Arial"/>
                <w:sz w:val="24"/>
                <w:szCs w:val="24"/>
              </w:rPr>
              <w:t xml:space="preserve">, </w:t>
            </w:r>
            <w:proofErr w:type="spellStart"/>
            <w:r w:rsidR="00CD04E3">
              <w:rPr>
                <w:rFonts w:ascii="Arial" w:hAnsi="Arial" w:cs="Arial"/>
                <w:sz w:val="24"/>
                <w:szCs w:val="24"/>
              </w:rPr>
              <w:t>Kauta</w:t>
            </w:r>
            <w:proofErr w:type="spellEnd"/>
            <w:r w:rsidR="00CD04E3">
              <w:rPr>
                <w:rFonts w:ascii="Arial" w:hAnsi="Arial" w:cs="Arial"/>
                <w:sz w:val="24"/>
                <w:szCs w:val="24"/>
              </w:rPr>
              <w:t xml:space="preserve"> &amp; </w:t>
            </w:r>
            <w:proofErr w:type="spellStart"/>
            <w:r w:rsidR="00CD04E3">
              <w:rPr>
                <w:rFonts w:ascii="Arial" w:hAnsi="Arial" w:cs="Arial"/>
                <w:sz w:val="24"/>
                <w:szCs w:val="24"/>
              </w:rPr>
              <w:t>Hoveka</w:t>
            </w:r>
            <w:proofErr w:type="spellEnd"/>
            <w:r w:rsidR="00CD04E3">
              <w:rPr>
                <w:rFonts w:ascii="Arial" w:hAnsi="Arial" w:cs="Arial"/>
                <w:sz w:val="24"/>
                <w:szCs w:val="24"/>
              </w:rPr>
              <w:t xml:space="preserve"> </w:t>
            </w:r>
            <w:proofErr w:type="spellStart"/>
            <w:r w:rsidR="00CD04E3">
              <w:rPr>
                <w:rFonts w:ascii="Arial" w:hAnsi="Arial" w:cs="Arial"/>
                <w:sz w:val="24"/>
                <w:szCs w:val="24"/>
              </w:rPr>
              <w:t>Inc</w:t>
            </w:r>
            <w:proofErr w:type="spellEnd"/>
          </w:p>
        </w:tc>
      </w:tr>
      <w:tr w:rsidR="00721889" w:rsidRPr="001C25CA" w:rsidTr="005C0BAB">
        <w:tc>
          <w:tcPr>
            <w:tcW w:w="4386" w:type="dxa"/>
            <w:shd w:val="clear" w:color="auto" w:fill="auto"/>
          </w:tcPr>
          <w:p w:rsidR="00721889" w:rsidRPr="001C25CA" w:rsidRDefault="00721889" w:rsidP="00503269">
            <w:pPr>
              <w:rPr>
                <w:rFonts w:ascii="Arial" w:hAnsi="Arial" w:cs="Arial"/>
                <w:sz w:val="24"/>
                <w:szCs w:val="24"/>
              </w:rPr>
            </w:pPr>
          </w:p>
          <w:p w:rsidR="00721889" w:rsidRPr="001C25CA" w:rsidRDefault="00721889" w:rsidP="002E426A">
            <w:pPr>
              <w:ind w:left="-108"/>
              <w:rPr>
                <w:rFonts w:ascii="Arial" w:hAnsi="Arial" w:cs="Arial"/>
                <w:sz w:val="24"/>
                <w:szCs w:val="24"/>
              </w:rPr>
            </w:pPr>
            <w:r w:rsidRPr="001C25CA">
              <w:rPr>
                <w:rFonts w:ascii="Arial" w:hAnsi="Arial" w:cs="Arial"/>
                <w:sz w:val="24"/>
                <w:szCs w:val="24"/>
              </w:rPr>
              <w:t>RESPONDENT</w:t>
            </w:r>
            <w:r w:rsidR="005D3137" w:rsidRPr="001C25CA">
              <w:rPr>
                <w:rFonts w:ascii="Arial" w:hAnsi="Arial" w:cs="Arial"/>
                <w:sz w:val="24"/>
                <w:szCs w:val="24"/>
              </w:rPr>
              <w:t>S</w:t>
            </w:r>
            <w:r w:rsidRPr="001C25CA">
              <w:rPr>
                <w:rFonts w:ascii="Arial" w:hAnsi="Arial" w:cs="Arial"/>
                <w:sz w:val="24"/>
                <w:szCs w:val="24"/>
              </w:rPr>
              <w:t>:</w:t>
            </w:r>
          </w:p>
        </w:tc>
        <w:tc>
          <w:tcPr>
            <w:tcW w:w="4261" w:type="dxa"/>
            <w:shd w:val="clear" w:color="auto" w:fill="auto"/>
          </w:tcPr>
          <w:p w:rsidR="00721889" w:rsidRPr="001C25CA" w:rsidRDefault="00721889" w:rsidP="00503269">
            <w:pPr>
              <w:rPr>
                <w:rFonts w:ascii="Arial" w:hAnsi="Arial" w:cs="Arial"/>
                <w:sz w:val="24"/>
                <w:szCs w:val="24"/>
              </w:rPr>
            </w:pPr>
          </w:p>
          <w:p w:rsidR="008A6323" w:rsidRDefault="00674D64" w:rsidP="00864712">
            <w:pPr>
              <w:rPr>
                <w:rFonts w:ascii="Arial" w:hAnsi="Arial" w:cs="Arial"/>
                <w:sz w:val="24"/>
                <w:szCs w:val="24"/>
              </w:rPr>
            </w:pPr>
            <w:r>
              <w:rPr>
                <w:rFonts w:ascii="Arial" w:hAnsi="Arial" w:cs="Arial"/>
                <w:sz w:val="24"/>
                <w:szCs w:val="24"/>
              </w:rPr>
              <w:t>N Tjombe</w:t>
            </w:r>
          </w:p>
          <w:p w:rsidR="00721889" w:rsidRPr="001C25CA" w:rsidRDefault="008A6323" w:rsidP="00CD04E3">
            <w:pPr>
              <w:rPr>
                <w:rFonts w:ascii="Arial" w:hAnsi="Arial" w:cs="Arial"/>
                <w:sz w:val="24"/>
                <w:szCs w:val="24"/>
              </w:rPr>
            </w:pPr>
            <w:r>
              <w:rPr>
                <w:rFonts w:ascii="Arial" w:hAnsi="Arial" w:cs="Arial"/>
                <w:sz w:val="24"/>
                <w:szCs w:val="24"/>
              </w:rPr>
              <w:t xml:space="preserve">Instructed by </w:t>
            </w:r>
            <w:r w:rsidR="00CD04E3">
              <w:rPr>
                <w:rFonts w:ascii="Arial" w:hAnsi="Arial" w:cs="Arial"/>
                <w:sz w:val="24"/>
                <w:szCs w:val="24"/>
              </w:rPr>
              <w:t xml:space="preserve">Tjombe-Elago </w:t>
            </w:r>
            <w:proofErr w:type="spellStart"/>
            <w:r w:rsidR="00CD04E3">
              <w:rPr>
                <w:rFonts w:ascii="Arial" w:hAnsi="Arial" w:cs="Arial"/>
                <w:sz w:val="24"/>
                <w:szCs w:val="24"/>
              </w:rPr>
              <w:t>Inc</w:t>
            </w:r>
            <w:proofErr w:type="spellEnd"/>
            <w:r w:rsidR="00721889" w:rsidRPr="001C25CA">
              <w:rPr>
                <w:rFonts w:ascii="Arial" w:hAnsi="Arial" w:cs="Arial"/>
                <w:sz w:val="24"/>
                <w:szCs w:val="24"/>
              </w:rPr>
              <w:t xml:space="preserve"> </w:t>
            </w:r>
          </w:p>
        </w:tc>
      </w:tr>
    </w:tbl>
    <w:p w:rsidR="00721889" w:rsidRPr="001C25CA" w:rsidRDefault="00721889" w:rsidP="00721889">
      <w:pPr>
        <w:pStyle w:val="NoSpacing"/>
        <w:jc w:val="both"/>
        <w:rPr>
          <w:rFonts w:ascii="Arial" w:hAnsi="Arial" w:cs="Arial"/>
          <w:sz w:val="24"/>
          <w:szCs w:val="24"/>
        </w:rPr>
      </w:pPr>
    </w:p>
    <w:sectPr w:rsidR="00721889" w:rsidRPr="001C25CA"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C76" w:rsidRDefault="002D7C76" w:rsidP="00B5013F">
      <w:pPr>
        <w:spacing w:after="0" w:line="240" w:lineRule="auto"/>
      </w:pPr>
      <w:r>
        <w:separator/>
      </w:r>
    </w:p>
  </w:endnote>
  <w:endnote w:type="continuationSeparator" w:id="0">
    <w:p w:rsidR="002D7C76" w:rsidRDefault="002D7C76"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C76" w:rsidRDefault="002D7C76" w:rsidP="00B5013F">
      <w:pPr>
        <w:spacing w:after="0" w:line="240" w:lineRule="auto"/>
      </w:pPr>
      <w:r>
        <w:separator/>
      </w:r>
    </w:p>
  </w:footnote>
  <w:footnote w:type="continuationSeparator" w:id="0">
    <w:p w:rsidR="002D7C76" w:rsidRDefault="002D7C76" w:rsidP="00B5013F">
      <w:pPr>
        <w:spacing w:after="0" w:line="240" w:lineRule="auto"/>
      </w:pPr>
      <w:r>
        <w:continuationSeparator/>
      </w:r>
    </w:p>
  </w:footnote>
  <w:footnote w:id="1">
    <w:p w:rsidR="00035C3A" w:rsidRPr="005F2F71" w:rsidRDefault="00035C3A"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Act 7 of 2011</w:t>
      </w:r>
      <w:r w:rsidR="00D159C8" w:rsidRPr="005F2F71">
        <w:rPr>
          <w:rFonts w:ascii="Arial" w:hAnsi="Arial" w:cs="Arial"/>
        </w:rPr>
        <w:t>, as amended.</w:t>
      </w:r>
    </w:p>
  </w:footnote>
  <w:footnote w:id="2">
    <w:p w:rsidR="00035C3A" w:rsidRPr="005F2F71" w:rsidRDefault="00035C3A"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2011 (2) NR 637 (SC).</w:t>
      </w:r>
    </w:p>
  </w:footnote>
  <w:footnote w:id="3">
    <w:p w:rsidR="00035C3A" w:rsidRPr="005F2F71" w:rsidRDefault="00035C3A"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2015 (3) NR 705 (HC).</w:t>
      </w:r>
    </w:p>
  </w:footnote>
  <w:footnote w:id="4">
    <w:p w:rsidR="00035C3A" w:rsidRPr="005F2F71" w:rsidRDefault="00035C3A"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w:t>
      </w:r>
      <w:r w:rsidRPr="005F2F71">
        <w:rPr>
          <w:rFonts w:ascii="Arial" w:hAnsi="Arial" w:cs="Arial"/>
          <w:i/>
        </w:rPr>
        <w:t xml:space="preserve">Preston v President of the Methodist Conference </w:t>
      </w:r>
      <w:r w:rsidRPr="005F2F71">
        <w:rPr>
          <w:rFonts w:ascii="Arial" w:hAnsi="Arial" w:cs="Arial"/>
        </w:rPr>
        <w:t xml:space="preserve">[2013] UKSC 29 (15 May 2013); </w:t>
      </w:r>
      <w:r w:rsidRPr="005F2F71">
        <w:rPr>
          <w:rFonts w:ascii="Arial" w:hAnsi="Arial" w:cs="Arial"/>
          <w:i/>
        </w:rPr>
        <w:t xml:space="preserve">Church of the Province of SA (Diocese of Cape Town) v CCMA and others </w:t>
      </w:r>
      <w:r w:rsidRPr="005F2F71">
        <w:rPr>
          <w:rFonts w:ascii="Arial" w:hAnsi="Arial" w:cs="Arial"/>
        </w:rPr>
        <w:t xml:space="preserve">[2001] 11 BLLR 1213 (LC); </w:t>
      </w:r>
      <w:r w:rsidRPr="005F2F71">
        <w:rPr>
          <w:rFonts w:ascii="Arial" w:hAnsi="Arial" w:cs="Arial"/>
          <w:i/>
        </w:rPr>
        <w:t xml:space="preserve">Universal Church of the Kingdom of God v </w:t>
      </w:r>
      <w:proofErr w:type="spellStart"/>
      <w:r w:rsidRPr="005F2F71">
        <w:rPr>
          <w:rFonts w:ascii="Arial" w:hAnsi="Arial" w:cs="Arial"/>
          <w:i/>
        </w:rPr>
        <w:t>Myeni</w:t>
      </w:r>
      <w:proofErr w:type="spellEnd"/>
      <w:r w:rsidRPr="005F2F71">
        <w:rPr>
          <w:rFonts w:ascii="Arial" w:hAnsi="Arial" w:cs="Arial"/>
          <w:i/>
        </w:rPr>
        <w:t xml:space="preserve"> and others</w:t>
      </w:r>
      <w:r w:rsidRPr="005F2F71">
        <w:rPr>
          <w:rFonts w:ascii="Arial" w:hAnsi="Arial" w:cs="Arial"/>
        </w:rPr>
        <w:t xml:space="preserve"> [2015] 9 BLLR 918 (LAC)</w:t>
      </w:r>
      <w:r w:rsidR="00D159C8" w:rsidRPr="005F2F71">
        <w:rPr>
          <w:rFonts w:ascii="Arial" w:hAnsi="Arial" w:cs="Arial"/>
        </w:rPr>
        <w:t xml:space="preserve"> amongst others</w:t>
      </w:r>
      <w:r w:rsidRPr="005F2F71">
        <w:rPr>
          <w:rFonts w:ascii="Arial" w:hAnsi="Arial" w:cs="Arial"/>
        </w:rPr>
        <w:t>.</w:t>
      </w:r>
    </w:p>
  </w:footnote>
  <w:footnote w:id="5">
    <w:p w:rsidR="00035C3A" w:rsidRPr="005F2F71" w:rsidRDefault="00035C3A"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w:t>
      </w:r>
      <w:r w:rsidRPr="005F2F71">
        <w:rPr>
          <w:rFonts w:ascii="Arial" w:hAnsi="Arial" w:cs="Arial"/>
          <w:i/>
        </w:rPr>
        <w:t xml:space="preserve">Watch Tower Bible &amp; Tract Society of Pennsylvania and Watch Tower Bible Tract Society of South Africa v Minister of Labour </w:t>
      </w:r>
      <w:r w:rsidRPr="005F2F71">
        <w:rPr>
          <w:rFonts w:ascii="Arial" w:hAnsi="Arial" w:cs="Arial"/>
        </w:rPr>
        <w:t>Case No 747/06 Labour Court unreported 16 March 2009.</w:t>
      </w:r>
    </w:p>
  </w:footnote>
  <w:footnote w:id="6">
    <w:p w:rsidR="00035C3A" w:rsidRPr="005F2F71" w:rsidRDefault="00035C3A"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2007 (1) NR 236 (LC) at 238E-239H.</w:t>
      </w:r>
    </w:p>
  </w:footnote>
  <w:footnote w:id="7">
    <w:p w:rsidR="00035C3A" w:rsidRPr="005F2F71" w:rsidRDefault="00035C3A"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Section 1.</w:t>
      </w:r>
    </w:p>
  </w:footnote>
  <w:footnote w:id="8">
    <w:p w:rsidR="00035C3A" w:rsidRPr="005F2F71" w:rsidRDefault="00035C3A"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2016 (3) NR 849 (SC) at para 15.</w:t>
      </w:r>
    </w:p>
  </w:footnote>
  <w:footnote w:id="9">
    <w:p w:rsidR="00035C3A" w:rsidRPr="005F2F71" w:rsidRDefault="00035C3A"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Act 2 of 2012.</w:t>
      </w:r>
    </w:p>
  </w:footnote>
  <w:footnote w:id="10">
    <w:p w:rsidR="00035C3A" w:rsidRPr="005F2F71" w:rsidRDefault="00035C3A"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2009 (2) NR 596 (SC).</w:t>
      </w:r>
    </w:p>
  </w:footnote>
  <w:footnote w:id="11">
    <w:p w:rsidR="00035C3A" w:rsidRPr="005F2F71" w:rsidRDefault="00035C3A" w:rsidP="005F2F71">
      <w:pPr>
        <w:pStyle w:val="FootnoteText"/>
        <w:jc w:val="both"/>
        <w:rPr>
          <w:rFonts w:ascii="Arial" w:hAnsi="Arial" w:cs="Arial"/>
          <w:i/>
        </w:rPr>
      </w:pPr>
      <w:r w:rsidRPr="005F2F71">
        <w:rPr>
          <w:rStyle w:val="FootnoteReference"/>
          <w:rFonts w:ascii="Arial" w:hAnsi="Arial" w:cs="Arial"/>
        </w:rPr>
        <w:footnoteRef/>
      </w:r>
      <w:r w:rsidRPr="005F2F71">
        <w:rPr>
          <w:rFonts w:ascii="Arial" w:hAnsi="Arial" w:cs="Arial"/>
        </w:rPr>
        <w:t xml:space="preserve"> </w:t>
      </w:r>
      <w:r w:rsidRPr="005F2F71">
        <w:rPr>
          <w:rFonts w:ascii="Arial" w:hAnsi="Arial" w:cs="Arial"/>
          <w:i/>
        </w:rPr>
        <w:t xml:space="preserve">Swart </w:t>
      </w:r>
      <w:r w:rsidRPr="005F2F71">
        <w:rPr>
          <w:rFonts w:ascii="Arial" w:hAnsi="Arial" w:cs="Arial"/>
        </w:rPr>
        <w:t>at para 52.</w:t>
      </w:r>
    </w:p>
  </w:footnote>
  <w:footnote w:id="12">
    <w:p w:rsidR="00035C3A" w:rsidRPr="005F2F71" w:rsidRDefault="00035C3A"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[2015] 9 BLLR 918 (LAC) at 930-931.</w:t>
      </w:r>
    </w:p>
  </w:footnote>
  <w:footnote w:id="13">
    <w:p w:rsidR="00035C3A" w:rsidRPr="005F2F71" w:rsidRDefault="00035C3A"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66 of 1995.</w:t>
      </w:r>
    </w:p>
  </w:footnote>
  <w:footnote w:id="14">
    <w:p w:rsidR="00EE4B6D" w:rsidRPr="005F2F71" w:rsidRDefault="00EE4B6D"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At para </w:t>
      </w:r>
      <w:r w:rsidR="005F2F71" w:rsidRPr="005F2F71">
        <w:rPr>
          <w:rFonts w:ascii="Arial" w:hAnsi="Arial" w:cs="Arial"/>
        </w:rPr>
        <w:t>38.</w:t>
      </w:r>
    </w:p>
  </w:footnote>
  <w:footnote w:id="15">
    <w:p w:rsidR="00EE4B6D" w:rsidRPr="005F2F71" w:rsidRDefault="00EE4B6D"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w:t>
      </w:r>
      <w:r w:rsidRPr="005F2F71">
        <w:rPr>
          <w:rFonts w:ascii="Arial" w:hAnsi="Arial" w:cs="Arial"/>
          <w:i/>
        </w:rPr>
        <w:t xml:space="preserve">Swart </w:t>
      </w:r>
      <w:r w:rsidRPr="005F2F71">
        <w:rPr>
          <w:rFonts w:ascii="Arial" w:hAnsi="Arial" w:cs="Arial"/>
        </w:rPr>
        <w:t xml:space="preserve">at para </w:t>
      </w:r>
      <w:r w:rsidR="007C02CF">
        <w:rPr>
          <w:rFonts w:ascii="Arial" w:hAnsi="Arial" w:cs="Arial"/>
        </w:rPr>
        <w:t>40.</w:t>
      </w:r>
    </w:p>
  </w:footnote>
  <w:footnote w:id="16">
    <w:p w:rsidR="00EE4B6D" w:rsidRPr="005F2F71" w:rsidRDefault="00EE4B6D"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w:t>
      </w:r>
      <w:r w:rsidRPr="005F2F71">
        <w:rPr>
          <w:rFonts w:ascii="Arial" w:hAnsi="Arial" w:cs="Arial"/>
          <w:i/>
        </w:rPr>
        <w:t xml:space="preserve">Swart </w:t>
      </w:r>
      <w:r w:rsidRPr="005F2F71">
        <w:rPr>
          <w:rFonts w:ascii="Arial" w:hAnsi="Arial" w:cs="Arial"/>
        </w:rPr>
        <w:t xml:space="preserve">at para 34, </w:t>
      </w:r>
      <w:r w:rsidRPr="005F2F71">
        <w:rPr>
          <w:rFonts w:ascii="Arial" w:hAnsi="Arial" w:cs="Arial"/>
          <w:i/>
        </w:rPr>
        <w:t xml:space="preserve">Smith v Workman’s Compensation Commissioner </w:t>
      </w:r>
      <w:r w:rsidRPr="005F2F71">
        <w:rPr>
          <w:rFonts w:ascii="Arial" w:hAnsi="Arial" w:cs="Arial"/>
        </w:rPr>
        <w:t>1979 (1) SA 51 (A) at 61A-B.</w:t>
      </w:r>
    </w:p>
  </w:footnote>
  <w:footnote w:id="17">
    <w:p w:rsidR="00EE4B6D" w:rsidRPr="005F2F71" w:rsidRDefault="00EE4B6D"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At para 38.</w:t>
      </w:r>
    </w:p>
  </w:footnote>
  <w:footnote w:id="18">
    <w:p w:rsidR="006141AC" w:rsidRPr="005F2F71" w:rsidRDefault="006141AC"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w:t>
      </w:r>
      <w:r w:rsidRPr="005F2F71">
        <w:rPr>
          <w:rFonts w:ascii="Arial" w:hAnsi="Arial" w:cs="Arial"/>
          <w:i/>
        </w:rPr>
        <w:t>De Lange</w:t>
      </w:r>
      <w:r w:rsidRPr="005F2F71">
        <w:rPr>
          <w:rFonts w:ascii="Arial" w:hAnsi="Arial" w:cs="Arial"/>
        </w:rPr>
        <w:t xml:space="preserve"> in para 50.</w:t>
      </w:r>
    </w:p>
  </w:footnote>
  <w:footnote w:id="19">
    <w:p w:rsidR="00035C3A" w:rsidRPr="005F2F71" w:rsidRDefault="00035C3A"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[2015] EWCA </w:t>
      </w:r>
      <w:proofErr w:type="spellStart"/>
      <w:r w:rsidRPr="005F2F71">
        <w:rPr>
          <w:rFonts w:ascii="Arial" w:hAnsi="Arial" w:cs="Arial"/>
        </w:rPr>
        <w:t>Civ</w:t>
      </w:r>
      <w:proofErr w:type="spellEnd"/>
      <w:r w:rsidRPr="005F2F71">
        <w:rPr>
          <w:rFonts w:ascii="Arial" w:hAnsi="Arial" w:cs="Arial"/>
        </w:rPr>
        <w:t xml:space="preserve"> 399 at para 60.</w:t>
      </w:r>
    </w:p>
  </w:footnote>
  <w:footnote w:id="20">
    <w:p w:rsidR="00035C3A" w:rsidRPr="005F2F71" w:rsidRDefault="00035C3A"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w:t>
      </w:r>
      <w:r w:rsidRPr="005F2F71">
        <w:rPr>
          <w:rFonts w:ascii="Arial" w:hAnsi="Arial" w:cs="Arial"/>
          <w:i/>
        </w:rPr>
        <w:t xml:space="preserve">President of the Methodist Conference v Parfitt </w:t>
      </w:r>
      <w:r w:rsidRPr="005F2F71">
        <w:rPr>
          <w:rFonts w:ascii="Arial" w:hAnsi="Arial" w:cs="Arial"/>
        </w:rPr>
        <w:t xml:space="preserve">[1984] QB 369, as discussed in </w:t>
      </w:r>
      <w:r w:rsidRPr="005F2F71">
        <w:rPr>
          <w:rFonts w:ascii="Arial" w:hAnsi="Arial" w:cs="Arial"/>
          <w:i/>
        </w:rPr>
        <w:t xml:space="preserve">Sharpe </w:t>
      </w:r>
      <w:r w:rsidRPr="005F2F71">
        <w:rPr>
          <w:rFonts w:ascii="Arial" w:hAnsi="Arial" w:cs="Arial"/>
        </w:rPr>
        <w:t>at para 60.</w:t>
      </w:r>
    </w:p>
  </w:footnote>
  <w:footnote w:id="21">
    <w:p w:rsidR="00035C3A" w:rsidRPr="005F2F71" w:rsidRDefault="00035C3A"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w:t>
      </w:r>
      <w:r w:rsidRPr="005F2F71">
        <w:rPr>
          <w:rFonts w:ascii="Arial" w:hAnsi="Arial" w:cs="Arial"/>
          <w:i/>
        </w:rPr>
        <w:t xml:space="preserve">New Testament Church of God v Steward </w:t>
      </w:r>
      <w:r w:rsidRPr="005F2F71">
        <w:rPr>
          <w:rFonts w:ascii="Arial" w:hAnsi="Arial" w:cs="Arial"/>
        </w:rPr>
        <w:t>[2008] ICR 282.</w:t>
      </w:r>
    </w:p>
  </w:footnote>
  <w:footnote w:id="22">
    <w:p w:rsidR="00035C3A" w:rsidRPr="005F2F71" w:rsidRDefault="00035C3A"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[2013] UKSC 29 [2013] 4 All ER 477 (SC).</w:t>
      </w:r>
    </w:p>
  </w:footnote>
  <w:footnote w:id="23">
    <w:p w:rsidR="00035C3A" w:rsidRPr="005F2F71" w:rsidRDefault="00035C3A"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In para 26.</w:t>
      </w:r>
    </w:p>
  </w:footnote>
  <w:footnote w:id="24">
    <w:p w:rsidR="00035C3A" w:rsidRPr="005F2F71" w:rsidRDefault="00035C3A"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(726/13) [2014] ZA SCA 151 (29 September 2014).</w:t>
      </w:r>
    </w:p>
  </w:footnote>
  <w:footnote w:id="25">
    <w:p w:rsidR="00035C3A" w:rsidRPr="005F2F71" w:rsidRDefault="00035C3A"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w:t>
      </w:r>
      <w:r w:rsidRPr="005F2F71">
        <w:rPr>
          <w:rFonts w:ascii="Arial" w:hAnsi="Arial" w:cs="Arial"/>
          <w:i/>
        </w:rPr>
        <w:t>Church of the Province of Southern Africa Diocese of Cape Town v CCMA and others</w:t>
      </w:r>
      <w:r w:rsidRPr="005F2F71">
        <w:rPr>
          <w:rFonts w:ascii="Arial" w:hAnsi="Arial" w:cs="Arial"/>
        </w:rPr>
        <w:t xml:space="preserve"> (2001) 22 ILJ 2274 (LC).</w:t>
      </w:r>
    </w:p>
  </w:footnote>
  <w:footnote w:id="26">
    <w:p w:rsidR="006141AC" w:rsidRPr="005F2F71" w:rsidRDefault="006141AC" w:rsidP="005F2F71">
      <w:pPr>
        <w:pStyle w:val="FootnoteText"/>
        <w:jc w:val="both"/>
        <w:rPr>
          <w:rFonts w:ascii="Arial" w:hAnsi="Arial" w:cs="Arial"/>
        </w:rPr>
      </w:pPr>
      <w:r w:rsidRPr="005F2F71">
        <w:rPr>
          <w:rStyle w:val="FootnoteReference"/>
          <w:rFonts w:ascii="Arial" w:hAnsi="Arial" w:cs="Arial"/>
        </w:rPr>
        <w:footnoteRef/>
      </w:r>
      <w:r w:rsidRPr="005F2F71">
        <w:rPr>
          <w:rFonts w:ascii="Arial" w:hAnsi="Arial" w:cs="Arial"/>
        </w:rPr>
        <w:t xml:space="preserve"> (1999) 20 ILJ 1936 (LC).</w:t>
      </w:r>
    </w:p>
  </w:footnote>
  <w:footnote w:id="27">
    <w:p w:rsidR="00035C3A" w:rsidRPr="005F2F71" w:rsidRDefault="00035C3A" w:rsidP="005F2F71">
      <w:pPr>
        <w:pStyle w:val="FootnoteText"/>
        <w:jc w:val="both"/>
        <w:rPr>
          <w:rFonts w:ascii="Arial" w:hAnsi="Arial" w:cs="Arial"/>
          <w:i/>
        </w:rPr>
      </w:pPr>
      <w:r w:rsidRPr="005F2F71">
        <w:rPr>
          <w:rStyle w:val="FootnoteReference"/>
          <w:rFonts w:ascii="Arial" w:hAnsi="Arial" w:cs="Arial"/>
        </w:rPr>
        <w:footnoteRef/>
      </w:r>
      <w:r w:rsidRPr="005F2F71">
        <w:rPr>
          <w:rFonts w:ascii="Arial" w:hAnsi="Arial" w:cs="Arial"/>
        </w:rPr>
        <w:t xml:space="preserve"> </w:t>
      </w:r>
      <w:r w:rsidRPr="005F2F71">
        <w:rPr>
          <w:rFonts w:ascii="Arial" w:hAnsi="Arial" w:cs="Arial"/>
          <w:i/>
        </w:rPr>
        <w:t>Salvation Army (South Africa</w:t>
      </w:r>
      <w:r w:rsidR="00487D9F" w:rsidRPr="005F2F71">
        <w:rPr>
          <w:rFonts w:ascii="Arial" w:hAnsi="Arial" w:cs="Arial"/>
          <w:i/>
        </w:rPr>
        <w:t>n</w:t>
      </w:r>
      <w:r w:rsidRPr="005F2F71">
        <w:rPr>
          <w:rFonts w:ascii="Arial" w:hAnsi="Arial" w:cs="Arial"/>
          <w:i/>
        </w:rPr>
        <w:t xml:space="preserve"> Territory) v Minister of Labour </w:t>
      </w:r>
      <w:r w:rsidRPr="005F2F71">
        <w:rPr>
          <w:rFonts w:ascii="Arial" w:hAnsi="Arial" w:cs="Arial"/>
        </w:rPr>
        <w:t>(2005) 26 ILJ 126 (LC).</w:t>
      </w:r>
      <w:r w:rsidR="000A68DE" w:rsidRPr="005F2F71">
        <w:rPr>
          <w:rFonts w:ascii="Arial" w:hAnsi="Arial" w:cs="Arial"/>
        </w:rPr>
        <w:t xml:space="preserve"> The approach in this matter was followed by the Labour Appellant Court in </w:t>
      </w:r>
      <w:proofErr w:type="spellStart"/>
      <w:r w:rsidR="000A68DE" w:rsidRPr="005F2F71">
        <w:rPr>
          <w:rFonts w:ascii="Arial" w:hAnsi="Arial" w:cs="Arial"/>
          <w:i/>
        </w:rPr>
        <w:t>Mwenyi</w:t>
      </w:r>
      <w:proofErr w:type="spellEnd"/>
      <w:r w:rsidR="000A68DE" w:rsidRPr="005F2F71">
        <w:rPr>
          <w:rFonts w:ascii="Arial" w:hAnsi="Arial" w:cs="Arial"/>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035C3A" w:rsidRPr="00ED46B6" w:rsidRDefault="00035C3A">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394E07">
          <w:rPr>
            <w:rFonts w:ascii="Arial" w:hAnsi="Arial" w:cs="Arial"/>
            <w:noProof/>
            <w:sz w:val="24"/>
            <w:szCs w:val="24"/>
          </w:rPr>
          <w:t>21</w:t>
        </w:r>
        <w:r w:rsidRPr="00ED46B6">
          <w:rPr>
            <w:rFonts w:ascii="Arial" w:hAnsi="Arial" w:cs="Arial"/>
            <w:noProof/>
            <w:sz w:val="24"/>
            <w:szCs w:val="24"/>
          </w:rPr>
          <w:fldChar w:fldCharType="end"/>
        </w:r>
      </w:p>
    </w:sdtContent>
  </w:sdt>
  <w:p w:rsidR="00035C3A" w:rsidRDefault="00035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884"/>
    <w:multiLevelType w:val="hybridMultilevel"/>
    <w:tmpl w:val="1E38C6EC"/>
    <w:lvl w:ilvl="0" w:tplc="710C72B6">
      <w:start w:val="1"/>
      <w:numFmt w:val="decimal"/>
      <w:lvlText w:val="[%1]"/>
      <w:lvlJc w:val="left"/>
      <w:pPr>
        <w:ind w:left="1353"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3"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46140"/>
    <w:multiLevelType w:val="hybridMultilevel"/>
    <w:tmpl w:val="1E0C1008"/>
    <w:lvl w:ilvl="0" w:tplc="C2A4B57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3C8331D9"/>
    <w:multiLevelType w:val="hybridMultilevel"/>
    <w:tmpl w:val="00EA6134"/>
    <w:lvl w:ilvl="0" w:tplc="75ACA66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445B134E"/>
    <w:multiLevelType w:val="hybridMultilevel"/>
    <w:tmpl w:val="48BCECD0"/>
    <w:lvl w:ilvl="0" w:tplc="710C72B6">
      <w:start w:val="1"/>
      <w:numFmt w:val="decimal"/>
      <w:lvlText w:val="[%1]"/>
      <w:lvlJc w:val="left"/>
      <w:pPr>
        <w:ind w:left="1353"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19"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3"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AA3986"/>
    <w:multiLevelType w:val="hybridMultilevel"/>
    <w:tmpl w:val="329044EC"/>
    <w:lvl w:ilvl="0" w:tplc="6B1449A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6"/>
  </w:num>
  <w:num w:numId="2">
    <w:abstractNumId w:val="17"/>
  </w:num>
  <w:num w:numId="3">
    <w:abstractNumId w:val="24"/>
  </w:num>
  <w:num w:numId="4">
    <w:abstractNumId w:val="13"/>
  </w:num>
  <w:num w:numId="5">
    <w:abstractNumId w:val="18"/>
  </w:num>
  <w:num w:numId="6">
    <w:abstractNumId w:val="1"/>
  </w:num>
  <w:num w:numId="7">
    <w:abstractNumId w:val="21"/>
  </w:num>
  <w:num w:numId="8">
    <w:abstractNumId w:val="5"/>
  </w:num>
  <w:num w:numId="9">
    <w:abstractNumId w:val="22"/>
  </w:num>
  <w:num w:numId="10">
    <w:abstractNumId w:val="12"/>
  </w:num>
  <w:num w:numId="11">
    <w:abstractNumId w:val="4"/>
  </w:num>
  <w:num w:numId="12">
    <w:abstractNumId w:val="2"/>
  </w:num>
  <w:num w:numId="13">
    <w:abstractNumId w:val="8"/>
  </w:num>
  <w:num w:numId="14">
    <w:abstractNumId w:val="14"/>
  </w:num>
  <w:num w:numId="15">
    <w:abstractNumId w:val="10"/>
  </w:num>
  <w:num w:numId="16">
    <w:abstractNumId w:val="9"/>
  </w:num>
  <w:num w:numId="17">
    <w:abstractNumId w:val="19"/>
  </w:num>
  <w:num w:numId="18">
    <w:abstractNumId w:val="23"/>
  </w:num>
  <w:num w:numId="19">
    <w:abstractNumId w:val="15"/>
  </w:num>
  <w:num w:numId="20">
    <w:abstractNumId w:val="20"/>
  </w:num>
  <w:num w:numId="21">
    <w:abstractNumId w:val="16"/>
  </w:num>
  <w:num w:numId="22">
    <w:abstractNumId w:val="3"/>
  </w:num>
  <w:num w:numId="23">
    <w:abstractNumId w:val="25"/>
  </w:num>
  <w:num w:numId="24">
    <w:abstractNumId w:val="11"/>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75"/>
    <w:rsid w:val="0000045D"/>
    <w:rsid w:val="00000E0B"/>
    <w:rsid w:val="0000225F"/>
    <w:rsid w:val="00004782"/>
    <w:rsid w:val="00007D90"/>
    <w:rsid w:val="00011EB9"/>
    <w:rsid w:val="00012D59"/>
    <w:rsid w:val="00020736"/>
    <w:rsid w:val="00021ECC"/>
    <w:rsid w:val="00022452"/>
    <w:rsid w:val="00022644"/>
    <w:rsid w:val="000231F7"/>
    <w:rsid w:val="00026DD5"/>
    <w:rsid w:val="0002744F"/>
    <w:rsid w:val="000276F0"/>
    <w:rsid w:val="00027BDB"/>
    <w:rsid w:val="00031EBA"/>
    <w:rsid w:val="00033256"/>
    <w:rsid w:val="00035C3A"/>
    <w:rsid w:val="000400C4"/>
    <w:rsid w:val="00042839"/>
    <w:rsid w:val="00042A20"/>
    <w:rsid w:val="00052B8A"/>
    <w:rsid w:val="00055805"/>
    <w:rsid w:val="000575A2"/>
    <w:rsid w:val="00057B7B"/>
    <w:rsid w:val="00060A9A"/>
    <w:rsid w:val="000610A3"/>
    <w:rsid w:val="000626CC"/>
    <w:rsid w:val="000643B5"/>
    <w:rsid w:val="0006511B"/>
    <w:rsid w:val="00065459"/>
    <w:rsid w:val="00066723"/>
    <w:rsid w:val="00073046"/>
    <w:rsid w:val="000753D3"/>
    <w:rsid w:val="00076790"/>
    <w:rsid w:val="00076931"/>
    <w:rsid w:val="00076F53"/>
    <w:rsid w:val="00077B52"/>
    <w:rsid w:val="0008009C"/>
    <w:rsid w:val="00081BF1"/>
    <w:rsid w:val="000840CA"/>
    <w:rsid w:val="00084121"/>
    <w:rsid w:val="000847F4"/>
    <w:rsid w:val="000851F2"/>
    <w:rsid w:val="00090085"/>
    <w:rsid w:val="00090954"/>
    <w:rsid w:val="00090B47"/>
    <w:rsid w:val="00092565"/>
    <w:rsid w:val="00092D5D"/>
    <w:rsid w:val="00094C79"/>
    <w:rsid w:val="000A0532"/>
    <w:rsid w:val="000A2345"/>
    <w:rsid w:val="000A2F02"/>
    <w:rsid w:val="000A3C68"/>
    <w:rsid w:val="000A3CA0"/>
    <w:rsid w:val="000A3F6B"/>
    <w:rsid w:val="000A4DEC"/>
    <w:rsid w:val="000A687A"/>
    <w:rsid w:val="000A68DE"/>
    <w:rsid w:val="000A6CCC"/>
    <w:rsid w:val="000B06C9"/>
    <w:rsid w:val="000B0A11"/>
    <w:rsid w:val="000C2A58"/>
    <w:rsid w:val="000C2D19"/>
    <w:rsid w:val="000D060C"/>
    <w:rsid w:val="000D1ADC"/>
    <w:rsid w:val="000D2762"/>
    <w:rsid w:val="000E008B"/>
    <w:rsid w:val="000E0BFC"/>
    <w:rsid w:val="000E3196"/>
    <w:rsid w:val="000E3DF0"/>
    <w:rsid w:val="000E6B27"/>
    <w:rsid w:val="000F1A59"/>
    <w:rsid w:val="000F4BBD"/>
    <w:rsid w:val="000F61A4"/>
    <w:rsid w:val="000F7D77"/>
    <w:rsid w:val="00101FDB"/>
    <w:rsid w:val="0010254D"/>
    <w:rsid w:val="00107552"/>
    <w:rsid w:val="00107D04"/>
    <w:rsid w:val="00111339"/>
    <w:rsid w:val="00112DA2"/>
    <w:rsid w:val="00114682"/>
    <w:rsid w:val="00121972"/>
    <w:rsid w:val="001227DB"/>
    <w:rsid w:val="0012439B"/>
    <w:rsid w:val="00124C4F"/>
    <w:rsid w:val="00126E64"/>
    <w:rsid w:val="00132216"/>
    <w:rsid w:val="001327CE"/>
    <w:rsid w:val="0013608D"/>
    <w:rsid w:val="00140678"/>
    <w:rsid w:val="00140A9D"/>
    <w:rsid w:val="00141FF6"/>
    <w:rsid w:val="001423E7"/>
    <w:rsid w:val="0014303A"/>
    <w:rsid w:val="00151FFA"/>
    <w:rsid w:val="001578CD"/>
    <w:rsid w:val="00170640"/>
    <w:rsid w:val="0017081A"/>
    <w:rsid w:val="00173EBC"/>
    <w:rsid w:val="00174A78"/>
    <w:rsid w:val="001801DB"/>
    <w:rsid w:val="00180CE0"/>
    <w:rsid w:val="001838C9"/>
    <w:rsid w:val="00185996"/>
    <w:rsid w:val="00186627"/>
    <w:rsid w:val="00190F70"/>
    <w:rsid w:val="00192AD9"/>
    <w:rsid w:val="00193825"/>
    <w:rsid w:val="001949C8"/>
    <w:rsid w:val="00194D51"/>
    <w:rsid w:val="001957EE"/>
    <w:rsid w:val="00195AE1"/>
    <w:rsid w:val="001972B6"/>
    <w:rsid w:val="00197AB6"/>
    <w:rsid w:val="001A0E25"/>
    <w:rsid w:val="001A1A47"/>
    <w:rsid w:val="001A2B18"/>
    <w:rsid w:val="001A4A99"/>
    <w:rsid w:val="001A666A"/>
    <w:rsid w:val="001A6B0E"/>
    <w:rsid w:val="001A7909"/>
    <w:rsid w:val="001C1802"/>
    <w:rsid w:val="001C25CA"/>
    <w:rsid w:val="001C353F"/>
    <w:rsid w:val="001C558D"/>
    <w:rsid w:val="001C7DF6"/>
    <w:rsid w:val="001D08D7"/>
    <w:rsid w:val="001D4856"/>
    <w:rsid w:val="001D485C"/>
    <w:rsid w:val="001D4EB4"/>
    <w:rsid w:val="001D58BA"/>
    <w:rsid w:val="001D608A"/>
    <w:rsid w:val="001E299E"/>
    <w:rsid w:val="001E3888"/>
    <w:rsid w:val="001E4033"/>
    <w:rsid w:val="001E44D9"/>
    <w:rsid w:val="001E4C77"/>
    <w:rsid w:val="001E606D"/>
    <w:rsid w:val="001E67BA"/>
    <w:rsid w:val="001F1F0A"/>
    <w:rsid w:val="001F4CB8"/>
    <w:rsid w:val="001F7942"/>
    <w:rsid w:val="0020312C"/>
    <w:rsid w:val="00207960"/>
    <w:rsid w:val="00207D05"/>
    <w:rsid w:val="00215D8F"/>
    <w:rsid w:val="002212AD"/>
    <w:rsid w:val="00224757"/>
    <w:rsid w:val="002317A5"/>
    <w:rsid w:val="002337F7"/>
    <w:rsid w:val="00235E57"/>
    <w:rsid w:val="0023748C"/>
    <w:rsid w:val="00243A65"/>
    <w:rsid w:val="002441F9"/>
    <w:rsid w:val="002447B6"/>
    <w:rsid w:val="002457A4"/>
    <w:rsid w:val="0025005A"/>
    <w:rsid w:val="00251412"/>
    <w:rsid w:val="00253234"/>
    <w:rsid w:val="00254471"/>
    <w:rsid w:val="00262874"/>
    <w:rsid w:val="00263481"/>
    <w:rsid w:val="002658ED"/>
    <w:rsid w:val="002662E3"/>
    <w:rsid w:val="00266E2B"/>
    <w:rsid w:val="00273405"/>
    <w:rsid w:val="00273EE9"/>
    <w:rsid w:val="00274F4E"/>
    <w:rsid w:val="00275AEC"/>
    <w:rsid w:val="00284DB8"/>
    <w:rsid w:val="002855CF"/>
    <w:rsid w:val="00286029"/>
    <w:rsid w:val="00286F17"/>
    <w:rsid w:val="002929DB"/>
    <w:rsid w:val="002A2B5C"/>
    <w:rsid w:val="002A317A"/>
    <w:rsid w:val="002A4C01"/>
    <w:rsid w:val="002B0CAC"/>
    <w:rsid w:val="002B1937"/>
    <w:rsid w:val="002B1C90"/>
    <w:rsid w:val="002B1CE3"/>
    <w:rsid w:val="002B7E93"/>
    <w:rsid w:val="002C0FC3"/>
    <w:rsid w:val="002C2E55"/>
    <w:rsid w:val="002C568C"/>
    <w:rsid w:val="002C770B"/>
    <w:rsid w:val="002D1064"/>
    <w:rsid w:val="002D1B71"/>
    <w:rsid w:val="002D1E38"/>
    <w:rsid w:val="002D1F1E"/>
    <w:rsid w:val="002D37CF"/>
    <w:rsid w:val="002D673F"/>
    <w:rsid w:val="002D7C76"/>
    <w:rsid w:val="002E426A"/>
    <w:rsid w:val="002E4E6A"/>
    <w:rsid w:val="002E708E"/>
    <w:rsid w:val="003039EF"/>
    <w:rsid w:val="00305FE9"/>
    <w:rsid w:val="00306CA5"/>
    <w:rsid w:val="0030702B"/>
    <w:rsid w:val="0030737F"/>
    <w:rsid w:val="0030775E"/>
    <w:rsid w:val="00310940"/>
    <w:rsid w:val="00314A28"/>
    <w:rsid w:val="00317522"/>
    <w:rsid w:val="003212CE"/>
    <w:rsid w:val="0032148F"/>
    <w:rsid w:val="00321ED1"/>
    <w:rsid w:val="0032319A"/>
    <w:rsid w:val="00323902"/>
    <w:rsid w:val="00324725"/>
    <w:rsid w:val="0032579A"/>
    <w:rsid w:val="00333E58"/>
    <w:rsid w:val="0033772A"/>
    <w:rsid w:val="00337BE9"/>
    <w:rsid w:val="00346C25"/>
    <w:rsid w:val="00352985"/>
    <w:rsid w:val="00354397"/>
    <w:rsid w:val="003551AC"/>
    <w:rsid w:val="00357C85"/>
    <w:rsid w:val="0036033A"/>
    <w:rsid w:val="00362560"/>
    <w:rsid w:val="00363974"/>
    <w:rsid w:val="00364B6B"/>
    <w:rsid w:val="00370025"/>
    <w:rsid w:val="00374519"/>
    <w:rsid w:val="003745AA"/>
    <w:rsid w:val="003801E5"/>
    <w:rsid w:val="00381349"/>
    <w:rsid w:val="003826D0"/>
    <w:rsid w:val="003863FC"/>
    <w:rsid w:val="003935D5"/>
    <w:rsid w:val="00394E07"/>
    <w:rsid w:val="00395B99"/>
    <w:rsid w:val="00396D29"/>
    <w:rsid w:val="003A1DAC"/>
    <w:rsid w:val="003A2101"/>
    <w:rsid w:val="003A31DE"/>
    <w:rsid w:val="003A56E1"/>
    <w:rsid w:val="003A78BA"/>
    <w:rsid w:val="003B0665"/>
    <w:rsid w:val="003B72EC"/>
    <w:rsid w:val="003B7CB7"/>
    <w:rsid w:val="003C231E"/>
    <w:rsid w:val="003C4C67"/>
    <w:rsid w:val="003D4A07"/>
    <w:rsid w:val="003D6A9C"/>
    <w:rsid w:val="003D7216"/>
    <w:rsid w:val="003E1056"/>
    <w:rsid w:val="003E1DEA"/>
    <w:rsid w:val="003E289D"/>
    <w:rsid w:val="003E34C8"/>
    <w:rsid w:val="003E4037"/>
    <w:rsid w:val="003E77F5"/>
    <w:rsid w:val="003E7F28"/>
    <w:rsid w:val="003F316F"/>
    <w:rsid w:val="003F37F7"/>
    <w:rsid w:val="003F3800"/>
    <w:rsid w:val="003F5965"/>
    <w:rsid w:val="003F5B12"/>
    <w:rsid w:val="004023CC"/>
    <w:rsid w:val="00406D6A"/>
    <w:rsid w:val="0041044E"/>
    <w:rsid w:val="004107D3"/>
    <w:rsid w:val="00413FB2"/>
    <w:rsid w:val="00414C3B"/>
    <w:rsid w:val="004154C8"/>
    <w:rsid w:val="0041592B"/>
    <w:rsid w:val="004176EF"/>
    <w:rsid w:val="00417BF1"/>
    <w:rsid w:val="004211CC"/>
    <w:rsid w:val="004215C2"/>
    <w:rsid w:val="00421E0F"/>
    <w:rsid w:val="00427400"/>
    <w:rsid w:val="00431601"/>
    <w:rsid w:val="00432E79"/>
    <w:rsid w:val="00436AEB"/>
    <w:rsid w:val="00450915"/>
    <w:rsid w:val="00451609"/>
    <w:rsid w:val="00456D8B"/>
    <w:rsid w:val="00457F24"/>
    <w:rsid w:val="00461B37"/>
    <w:rsid w:val="00462522"/>
    <w:rsid w:val="00462703"/>
    <w:rsid w:val="004738B5"/>
    <w:rsid w:val="004741BC"/>
    <w:rsid w:val="00475114"/>
    <w:rsid w:val="004774C0"/>
    <w:rsid w:val="00482955"/>
    <w:rsid w:val="00485805"/>
    <w:rsid w:val="00485BB6"/>
    <w:rsid w:val="00487D9F"/>
    <w:rsid w:val="00490A27"/>
    <w:rsid w:val="00492B12"/>
    <w:rsid w:val="00494F8E"/>
    <w:rsid w:val="00497D6A"/>
    <w:rsid w:val="00497DB0"/>
    <w:rsid w:val="004A03B8"/>
    <w:rsid w:val="004A2386"/>
    <w:rsid w:val="004A5FD0"/>
    <w:rsid w:val="004A60BA"/>
    <w:rsid w:val="004A64D1"/>
    <w:rsid w:val="004B2A80"/>
    <w:rsid w:val="004B4AEE"/>
    <w:rsid w:val="004B584B"/>
    <w:rsid w:val="004B6477"/>
    <w:rsid w:val="004C0E0B"/>
    <w:rsid w:val="004C4D6B"/>
    <w:rsid w:val="004D1969"/>
    <w:rsid w:val="004E0F45"/>
    <w:rsid w:val="004E198A"/>
    <w:rsid w:val="004E2834"/>
    <w:rsid w:val="004E2A24"/>
    <w:rsid w:val="004F0B37"/>
    <w:rsid w:val="004F0C0D"/>
    <w:rsid w:val="004F15DB"/>
    <w:rsid w:val="004F2F0E"/>
    <w:rsid w:val="004F41EF"/>
    <w:rsid w:val="005002C6"/>
    <w:rsid w:val="00503269"/>
    <w:rsid w:val="00504695"/>
    <w:rsid w:val="00510B8B"/>
    <w:rsid w:val="00511905"/>
    <w:rsid w:val="00512CAD"/>
    <w:rsid w:val="00513468"/>
    <w:rsid w:val="00514E90"/>
    <w:rsid w:val="005157B4"/>
    <w:rsid w:val="005168D5"/>
    <w:rsid w:val="00516EBB"/>
    <w:rsid w:val="005171C3"/>
    <w:rsid w:val="00517EF4"/>
    <w:rsid w:val="00525868"/>
    <w:rsid w:val="005301BD"/>
    <w:rsid w:val="0053087E"/>
    <w:rsid w:val="00532C17"/>
    <w:rsid w:val="0055044E"/>
    <w:rsid w:val="00551CFA"/>
    <w:rsid w:val="00552F70"/>
    <w:rsid w:val="00563855"/>
    <w:rsid w:val="005653A5"/>
    <w:rsid w:val="005717E1"/>
    <w:rsid w:val="00571EB3"/>
    <w:rsid w:val="00573289"/>
    <w:rsid w:val="00573E12"/>
    <w:rsid w:val="00575CA4"/>
    <w:rsid w:val="00576598"/>
    <w:rsid w:val="005821BB"/>
    <w:rsid w:val="00582D9F"/>
    <w:rsid w:val="00584213"/>
    <w:rsid w:val="00584D15"/>
    <w:rsid w:val="00587010"/>
    <w:rsid w:val="0059472F"/>
    <w:rsid w:val="00594EA3"/>
    <w:rsid w:val="005A0E6E"/>
    <w:rsid w:val="005A531E"/>
    <w:rsid w:val="005A5E12"/>
    <w:rsid w:val="005A73A9"/>
    <w:rsid w:val="005B0D47"/>
    <w:rsid w:val="005B483F"/>
    <w:rsid w:val="005C0BAB"/>
    <w:rsid w:val="005C38CD"/>
    <w:rsid w:val="005C5B26"/>
    <w:rsid w:val="005D1CBE"/>
    <w:rsid w:val="005D3137"/>
    <w:rsid w:val="005D54CF"/>
    <w:rsid w:val="005D6CA4"/>
    <w:rsid w:val="005D6E01"/>
    <w:rsid w:val="005E21FC"/>
    <w:rsid w:val="005E22D2"/>
    <w:rsid w:val="005E3190"/>
    <w:rsid w:val="005E4D0E"/>
    <w:rsid w:val="005F2A59"/>
    <w:rsid w:val="005F2F71"/>
    <w:rsid w:val="005F5C10"/>
    <w:rsid w:val="005F68D7"/>
    <w:rsid w:val="00607F6F"/>
    <w:rsid w:val="006105DE"/>
    <w:rsid w:val="006141AC"/>
    <w:rsid w:val="00615059"/>
    <w:rsid w:val="00634C4D"/>
    <w:rsid w:val="006370EE"/>
    <w:rsid w:val="0063734D"/>
    <w:rsid w:val="00642FBC"/>
    <w:rsid w:val="00643C33"/>
    <w:rsid w:val="00644C54"/>
    <w:rsid w:val="006515A9"/>
    <w:rsid w:val="00653E17"/>
    <w:rsid w:val="00662CAC"/>
    <w:rsid w:val="00662DCC"/>
    <w:rsid w:val="00662F25"/>
    <w:rsid w:val="00664FBB"/>
    <w:rsid w:val="00670783"/>
    <w:rsid w:val="00673B76"/>
    <w:rsid w:val="00674D64"/>
    <w:rsid w:val="00675D54"/>
    <w:rsid w:val="00676179"/>
    <w:rsid w:val="00682C7E"/>
    <w:rsid w:val="00684CD4"/>
    <w:rsid w:val="00692548"/>
    <w:rsid w:val="0069532C"/>
    <w:rsid w:val="006A06DE"/>
    <w:rsid w:val="006A29CE"/>
    <w:rsid w:val="006A368C"/>
    <w:rsid w:val="006A7919"/>
    <w:rsid w:val="006B30C3"/>
    <w:rsid w:val="006B79FA"/>
    <w:rsid w:val="006C367B"/>
    <w:rsid w:val="006C50CB"/>
    <w:rsid w:val="006C7E78"/>
    <w:rsid w:val="006D094B"/>
    <w:rsid w:val="006D7412"/>
    <w:rsid w:val="006E698F"/>
    <w:rsid w:val="006F1A08"/>
    <w:rsid w:val="006F4B7D"/>
    <w:rsid w:val="00703AD3"/>
    <w:rsid w:val="00706CC2"/>
    <w:rsid w:val="00707D59"/>
    <w:rsid w:val="00710062"/>
    <w:rsid w:val="007104EF"/>
    <w:rsid w:val="00711D32"/>
    <w:rsid w:val="00712D3F"/>
    <w:rsid w:val="00712F43"/>
    <w:rsid w:val="0071658A"/>
    <w:rsid w:val="007217AA"/>
    <w:rsid w:val="00721889"/>
    <w:rsid w:val="00722186"/>
    <w:rsid w:val="007233CE"/>
    <w:rsid w:val="00725ABD"/>
    <w:rsid w:val="00726AAE"/>
    <w:rsid w:val="00730DB7"/>
    <w:rsid w:val="0073324C"/>
    <w:rsid w:val="007402BF"/>
    <w:rsid w:val="00742D5B"/>
    <w:rsid w:val="00744D03"/>
    <w:rsid w:val="00745BF5"/>
    <w:rsid w:val="0075142F"/>
    <w:rsid w:val="007531D6"/>
    <w:rsid w:val="007545D2"/>
    <w:rsid w:val="00754A3A"/>
    <w:rsid w:val="00761B18"/>
    <w:rsid w:val="00765464"/>
    <w:rsid w:val="00766963"/>
    <w:rsid w:val="00770A11"/>
    <w:rsid w:val="00770A4B"/>
    <w:rsid w:val="00771623"/>
    <w:rsid w:val="0077206A"/>
    <w:rsid w:val="00772B97"/>
    <w:rsid w:val="007807B5"/>
    <w:rsid w:val="007841FA"/>
    <w:rsid w:val="0078589B"/>
    <w:rsid w:val="00786153"/>
    <w:rsid w:val="00786211"/>
    <w:rsid w:val="00787313"/>
    <w:rsid w:val="007973FE"/>
    <w:rsid w:val="007A0174"/>
    <w:rsid w:val="007A1203"/>
    <w:rsid w:val="007A345B"/>
    <w:rsid w:val="007A45D9"/>
    <w:rsid w:val="007B02CA"/>
    <w:rsid w:val="007B28AB"/>
    <w:rsid w:val="007B65BB"/>
    <w:rsid w:val="007C02CF"/>
    <w:rsid w:val="007C4447"/>
    <w:rsid w:val="007C732D"/>
    <w:rsid w:val="007D0D27"/>
    <w:rsid w:val="007D5428"/>
    <w:rsid w:val="007D5603"/>
    <w:rsid w:val="007E01C2"/>
    <w:rsid w:val="007E349A"/>
    <w:rsid w:val="007E42FC"/>
    <w:rsid w:val="007E4608"/>
    <w:rsid w:val="007E4BD8"/>
    <w:rsid w:val="007E5D66"/>
    <w:rsid w:val="007E6108"/>
    <w:rsid w:val="007F632F"/>
    <w:rsid w:val="007F6CEC"/>
    <w:rsid w:val="007F7AA0"/>
    <w:rsid w:val="0081132C"/>
    <w:rsid w:val="00811FDA"/>
    <w:rsid w:val="008150CF"/>
    <w:rsid w:val="00817BE0"/>
    <w:rsid w:val="0082655F"/>
    <w:rsid w:val="00826CA7"/>
    <w:rsid w:val="008301A4"/>
    <w:rsid w:val="00831D86"/>
    <w:rsid w:val="00832B89"/>
    <w:rsid w:val="00835535"/>
    <w:rsid w:val="00844974"/>
    <w:rsid w:val="00852FF1"/>
    <w:rsid w:val="0085364C"/>
    <w:rsid w:val="00854DD1"/>
    <w:rsid w:val="00856376"/>
    <w:rsid w:val="0086095A"/>
    <w:rsid w:val="00860CDF"/>
    <w:rsid w:val="00860DA9"/>
    <w:rsid w:val="00864712"/>
    <w:rsid w:val="0086653F"/>
    <w:rsid w:val="008730E4"/>
    <w:rsid w:val="00874C97"/>
    <w:rsid w:val="0088149D"/>
    <w:rsid w:val="00881C6C"/>
    <w:rsid w:val="00894EF0"/>
    <w:rsid w:val="008A1028"/>
    <w:rsid w:val="008A1B3F"/>
    <w:rsid w:val="008A3ADD"/>
    <w:rsid w:val="008A55C8"/>
    <w:rsid w:val="008A5BE0"/>
    <w:rsid w:val="008A606F"/>
    <w:rsid w:val="008A6323"/>
    <w:rsid w:val="008B0649"/>
    <w:rsid w:val="008B2795"/>
    <w:rsid w:val="008B65FB"/>
    <w:rsid w:val="008C024E"/>
    <w:rsid w:val="008C0F34"/>
    <w:rsid w:val="008C1A41"/>
    <w:rsid w:val="008C3367"/>
    <w:rsid w:val="008C3657"/>
    <w:rsid w:val="008C3CCB"/>
    <w:rsid w:val="008C5CBC"/>
    <w:rsid w:val="008C79ED"/>
    <w:rsid w:val="008D5032"/>
    <w:rsid w:val="008E6FF0"/>
    <w:rsid w:val="008E7A2B"/>
    <w:rsid w:val="008F0180"/>
    <w:rsid w:val="008F3E78"/>
    <w:rsid w:val="008F45CA"/>
    <w:rsid w:val="009019E9"/>
    <w:rsid w:val="009021BA"/>
    <w:rsid w:val="00906CCA"/>
    <w:rsid w:val="00912DEA"/>
    <w:rsid w:val="00914143"/>
    <w:rsid w:val="00915E6F"/>
    <w:rsid w:val="00920232"/>
    <w:rsid w:val="0092134E"/>
    <w:rsid w:val="00922881"/>
    <w:rsid w:val="00923212"/>
    <w:rsid w:val="00923375"/>
    <w:rsid w:val="00924775"/>
    <w:rsid w:val="00934B73"/>
    <w:rsid w:val="00942183"/>
    <w:rsid w:val="009435D3"/>
    <w:rsid w:val="00945FA9"/>
    <w:rsid w:val="009500EF"/>
    <w:rsid w:val="009506E0"/>
    <w:rsid w:val="009509F3"/>
    <w:rsid w:val="009510CB"/>
    <w:rsid w:val="00951A76"/>
    <w:rsid w:val="00953906"/>
    <w:rsid w:val="009602DC"/>
    <w:rsid w:val="00960DA5"/>
    <w:rsid w:val="00961426"/>
    <w:rsid w:val="00963EDF"/>
    <w:rsid w:val="009667A6"/>
    <w:rsid w:val="00971638"/>
    <w:rsid w:val="00971880"/>
    <w:rsid w:val="00975830"/>
    <w:rsid w:val="009845A3"/>
    <w:rsid w:val="00985510"/>
    <w:rsid w:val="00985768"/>
    <w:rsid w:val="00986AA9"/>
    <w:rsid w:val="00990236"/>
    <w:rsid w:val="0099048E"/>
    <w:rsid w:val="00991227"/>
    <w:rsid w:val="00991729"/>
    <w:rsid w:val="00992B07"/>
    <w:rsid w:val="00997979"/>
    <w:rsid w:val="009A41F4"/>
    <w:rsid w:val="009A5DA5"/>
    <w:rsid w:val="009A655A"/>
    <w:rsid w:val="009B3D7F"/>
    <w:rsid w:val="009B443B"/>
    <w:rsid w:val="009B6CF2"/>
    <w:rsid w:val="009B712C"/>
    <w:rsid w:val="009C0964"/>
    <w:rsid w:val="009C3086"/>
    <w:rsid w:val="009C51C5"/>
    <w:rsid w:val="009C70E6"/>
    <w:rsid w:val="009D0357"/>
    <w:rsid w:val="009D0845"/>
    <w:rsid w:val="009D4739"/>
    <w:rsid w:val="009E035A"/>
    <w:rsid w:val="009E7CF0"/>
    <w:rsid w:val="009F02EB"/>
    <w:rsid w:val="009F369D"/>
    <w:rsid w:val="009F7D37"/>
    <w:rsid w:val="00A001B5"/>
    <w:rsid w:val="00A053B3"/>
    <w:rsid w:val="00A05D1A"/>
    <w:rsid w:val="00A066DB"/>
    <w:rsid w:val="00A07047"/>
    <w:rsid w:val="00A106B4"/>
    <w:rsid w:val="00A14789"/>
    <w:rsid w:val="00A20498"/>
    <w:rsid w:val="00A25AFC"/>
    <w:rsid w:val="00A26B21"/>
    <w:rsid w:val="00A35FE3"/>
    <w:rsid w:val="00A44318"/>
    <w:rsid w:val="00A45FF9"/>
    <w:rsid w:val="00A501D5"/>
    <w:rsid w:val="00A528F9"/>
    <w:rsid w:val="00A54F78"/>
    <w:rsid w:val="00A5797F"/>
    <w:rsid w:val="00A62733"/>
    <w:rsid w:val="00A62E75"/>
    <w:rsid w:val="00A63522"/>
    <w:rsid w:val="00A64F96"/>
    <w:rsid w:val="00A6519D"/>
    <w:rsid w:val="00A66719"/>
    <w:rsid w:val="00A8275B"/>
    <w:rsid w:val="00A8322C"/>
    <w:rsid w:val="00A87FF2"/>
    <w:rsid w:val="00A92144"/>
    <w:rsid w:val="00A932C8"/>
    <w:rsid w:val="00A943DA"/>
    <w:rsid w:val="00A94967"/>
    <w:rsid w:val="00AA2B5B"/>
    <w:rsid w:val="00AA32F2"/>
    <w:rsid w:val="00AA341C"/>
    <w:rsid w:val="00AA4F7E"/>
    <w:rsid w:val="00AA7AAB"/>
    <w:rsid w:val="00AA7B0A"/>
    <w:rsid w:val="00AB06FA"/>
    <w:rsid w:val="00AB1DAB"/>
    <w:rsid w:val="00AB3F69"/>
    <w:rsid w:val="00AB4D39"/>
    <w:rsid w:val="00AB58A9"/>
    <w:rsid w:val="00AC0134"/>
    <w:rsid w:val="00AD6D9C"/>
    <w:rsid w:val="00AD7F23"/>
    <w:rsid w:val="00AE14F9"/>
    <w:rsid w:val="00AE369C"/>
    <w:rsid w:val="00AE3877"/>
    <w:rsid w:val="00AE4FE7"/>
    <w:rsid w:val="00AE5A44"/>
    <w:rsid w:val="00AE6161"/>
    <w:rsid w:val="00AE78DB"/>
    <w:rsid w:val="00AF2889"/>
    <w:rsid w:val="00AF3085"/>
    <w:rsid w:val="00AF3BF0"/>
    <w:rsid w:val="00AF7B6D"/>
    <w:rsid w:val="00B02B85"/>
    <w:rsid w:val="00B02CAE"/>
    <w:rsid w:val="00B032CF"/>
    <w:rsid w:val="00B040F4"/>
    <w:rsid w:val="00B06B54"/>
    <w:rsid w:val="00B06BAE"/>
    <w:rsid w:val="00B13B3A"/>
    <w:rsid w:val="00B142D8"/>
    <w:rsid w:val="00B231CE"/>
    <w:rsid w:val="00B23B40"/>
    <w:rsid w:val="00B25242"/>
    <w:rsid w:val="00B26C68"/>
    <w:rsid w:val="00B26D24"/>
    <w:rsid w:val="00B30010"/>
    <w:rsid w:val="00B30288"/>
    <w:rsid w:val="00B32436"/>
    <w:rsid w:val="00B40CD3"/>
    <w:rsid w:val="00B41390"/>
    <w:rsid w:val="00B44617"/>
    <w:rsid w:val="00B45E78"/>
    <w:rsid w:val="00B45FBC"/>
    <w:rsid w:val="00B47863"/>
    <w:rsid w:val="00B5013F"/>
    <w:rsid w:val="00B501DF"/>
    <w:rsid w:val="00B50A7C"/>
    <w:rsid w:val="00B51071"/>
    <w:rsid w:val="00B539E3"/>
    <w:rsid w:val="00B53ED8"/>
    <w:rsid w:val="00B53F8E"/>
    <w:rsid w:val="00B551E3"/>
    <w:rsid w:val="00B55A60"/>
    <w:rsid w:val="00B56B94"/>
    <w:rsid w:val="00B56F30"/>
    <w:rsid w:val="00B577DA"/>
    <w:rsid w:val="00B57A5E"/>
    <w:rsid w:val="00B61CA0"/>
    <w:rsid w:val="00B62F28"/>
    <w:rsid w:val="00B65AAF"/>
    <w:rsid w:val="00B665DC"/>
    <w:rsid w:val="00B67F6C"/>
    <w:rsid w:val="00B756B8"/>
    <w:rsid w:val="00B76AE2"/>
    <w:rsid w:val="00B85752"/>
    <w:rsid w:val="00B863A6"/>
    <w:rsid w:val="00B94BF9"/>
    <w:rsid w:val="00B95F70"/>
    <w:rsid w:val="00BA09F8"/>
    <w:rsid w:val="00BA17FA"/>
    <w:rsid w:val="00BA4655"/>
    <w:rsid w:val="00BA5821"/>
    <w:rsid w:val="00BA6518"/>
    <w:rsid w:val="00BB108F"/>
    <w:rsid w:val="00BB2C10"/>
    <w:rsid w:val="00BC05AF"/>
    <w:rsid w:val="00BC089D"/>
    <w:rsid w:val="00BC1430"/>
    <w:rsid w:val="00BC5BFA"/>
    <w:rsid w:val="00BD0CB3"/>
    <w:rsid w:val="00BD1121"/>
    <w:rsid w:val="00BD1685"/>
    <w:rsid w:val="00BD4E60"/>
    <w:rsid w:val="00BD516C"/>
    <w:rsid w:val="00BE0BE7"/>
    <w:rsid w:val="00BE1790"/>
    <w:rsid w:val="00BE3075"/>
    <w:rsid w:val="00BE33DA"/>
    <w:rsid w:val="00BE3CC2"/>
    <w:rsid w:val="00BE5C6B"/>
    <w:rsid w:val="00BF0146"/>
    <w:rsid w:val="00BF17E1"/>
    <w:rsid w:val="00BF3B10"/>
    <w:rsid w:val="00BF42DD"/>
    <w:rsid w:val="00BF7EC1"/>
    <w:rsid w:val="00C01777"/>
    <w:rsid w:val="00C03DC2"/>
    <w:rsid w:val="00C04C53"/>
    <w:rsid w:val="00C0504D"/>
    <w:rsid w:val="00C0774A"/>
    <w:rsid w:val="00C13AB5"/>
    <w:rsid w:val="00C141AD"/>
    <w:rsid w:val="00C15776"/>
    <w:rsid w:val="00C17592"/>
    <w:rsid w:val="00C21C41"/>
    <w:rsid w:val="00C25ACC"/>
    <w:rsid w:val="00C27B12"/>
    <w:rsid w:val="00C31EDE"/>
    <w:rsid w:val="00C3277B"/>
    <w:rsid w:val="00C40889"/>
    <w:rsid w:val="00C41986"/>
    <w:rsid w:val="00C479DB"/>
    <w:rsid w:val="00C50740"/>
    <w:rsid w:val="00C522BA"/>
    <w:rsid w:val="00C53D6F"/>
    <w:rsid w:val="00C543B6"/>
    <w:rsid w:val="00C54BFE"/>
    <w:rsid w:val="00C5534D"/>
    <w:rsid w:val="00C55F13"/>
    <w:rsid w:val="00C5715F"/>
    <w:rsid w:val="00C57BF0"/>
    <w:rsid w:val="00C6005A"/>
    <w:rsid w:val="00C65A0E"/>
    <w:rsid w:val="00C720A8"/>
    <w:rsid w:val="00C726FE"/>
    <w:rsid w:val="00C76FB3"/>
    <w:rsid w:val="00C7748D"/>
    <w:rsid w:val="00C8032B"/>
    <w:rsid w:val="00C82509"/>
    <w:rsid w:val="00C85199"/>
    <w:rsid w:val="00C87343"/>
    <w:rsid w:val="00C92CA9"/>
    <w:rsid w:val="00C9781C"/>
    <w:rsid w:val="00CA1800"/>
    <w:rsid w:val="00CA2574"/>
    <w:rsid w:val="00CA3D0A"/>
    <w:rsid w:val="00CB32A7"/>
    <w:rsid w:val="00CB754A"/>
    <w:rsid w:val="00CC108A"/>
    <w:rsid w:val="00CC7A02"/>
    <w:rsid w:val="00CD04E3"/>
    <w:rsid w:val="00CD1D09"/>
    <w:rsid w:val="00CE34D1"/>
    <w:rsid w:val="00CE3A02"/>
    <w:rsid w:val="00CE6404"/>
    <w:rsid w:val="00CF5C58"/>
    <w:rsid w:val="00D003E3"/>
    <w:rsid w:val="00D019CC"/>
    <w:rsid w:val="00D01CF5"/>
    <w:rsid w:val="00D02CCB"/>
    <w:rsid w:val="00D03039"/>
    <w:rsid w:val="00D05BB6"/>
    <w:rsid w:val="00D06C67"/>
    <w:rsid w:val="00D07A51"/>
    <w:rsid w:val="00D11E3A"/>
    <w:rsid w:val="00D141B9"/>
    <w:rsid w:val="00D159C8"/>
    <w:rsid w:val="00D16EC4"/>
    <w:rsid w:val="00D20E1D"/>
    <w:rsid w:val="00D301B6"/>
    <w:rsid w:val="00D3235C"/>
    <w:rsid w:val="00D32C80"/>
    <w:rsid w:val="00D3451B"/>
    <w:rsid w:val="00D36DE1"/>
    <w:rsid w:val="00D479D5"/>
    <w:rsid w:val="00D5161B"/>
    <w:rsid w:val="00D644FB"/>
    <w:rsid w:val="00D655D2"/>
    <w:rsid w:val="00D65D0E"/>
    <w:rsid w:val="00D74C8C"/>
    <w:rsid w:val="00D76EC6"/>
    <w:rsid w:val="00D8490D"/>
    <w:rsid w:val="00D84BAC"/>
    <w:rsid w:val="00D85432"/>
    <w:rsid w:val="00D864C0"/>
    <w:rsid w:val="00D86876"/>
    <w:rsid w:val="00D86BF7"/>
    <w:rsid w:val="00D87798"/>
    <w:rsid w:val="00D916AA"/>
    <w:rsid w:val="00D94F14"/>
    <w:rsid w:val="00D95C1E"/>
    <w:rsid w:val="00DA7694"/>
    <w:rsid w:val="00DB39B3"/>
    <w:rsid w:val="00DB6B70"/>
    <w:rsid w:val="00DB77E5"/>
    <w:rsid w:val="00DC0068"/>
    <w:rsid w:val="00DC016F"/>
    <w:rsid w:val="00DC594F"/>
    <w:rsid w:val="00DD018F"/>
    <w:rsid w:val="00DD145F"/>
    <w:rsid w:val="00DD165B"/>
    <w:rsid w:val="00DD3B6E"/>
    <w:rsid w:val="00DD6800"/>
    <w:rsid w:val="00DD7541"/>
    <w:rsid w:val="00DD756E"/>
    <w:rsid w:val="00DE039D"/>
    <w:rsid w:val="00DE1A54"/>
    <w:rsid w:val="00DE4719"/>
    <w:rsid w:val="00DE72EF"/>
    <w:rsid w:val="00DF0D25"/>
    <w:rsid w:val="00DF1F9C"/>
    <w:rsid w:val="00DF2594"/>
    <w:rsid w:val="00E02EDF"/>
    <w:rsid w:val="00E059A9"/>
    <w:rsid w:val="00E0755A"/>
    <w:rsid w:val="00E10EEA"/>
    <w:rsid w:val="00E16776"/>
    <w:rsid w:val="00E1692E"/>
    <w:rsid w:val="00E1729A"/>
    <w:rsid w:val="00E17E65"/>
    <w:rsid w:val="00E2050D"/>
    <w:rsid w:val="00E24EE0"/>
    <w:rsid w:val="00E2787A"/>
    <w:rsid w:val="00E3218C"/>
    <w:rsid w:val="00E34535"/>
    <w:rsid w:val="00E350CD"/>
    <w:rsid w:val="00E42454"/>
    <w:rsid w:val="00E454C2"/>
    <w:rsid w:val="00E46EBC"/>
    <w:rsid w:val="00E50E3E"/>
    <w:rsid w:val="00E50E95"/>
    <w:rsid w:val="00E5164B"/>
    <w:rsid w:val="00E52942"/>
    <w:rsid w:val="00E54957"/>
    <w:rsid w:val="00E62AEF"/>
    <w:rsid w:val="00E63D3D"/>
    <w:rsid w:val="00E65443"/>
    <w:rsid w:val="00E71546"/>
    <w:rsid w:val="00E7527A"/>
    <w:rsid w:val="00E75B15"/>
    <w:rsid w:val="00E76268"/>
    <w:rsid w:val="00E76B62"/>
    <w:rsid w:val="00E76EE1"/>
    <w:rsid w:val="00E770D7"/>
    <w:rsid w:val="00E81F72"/>
    <w:rsid w:val="00E82A5A"/>
    <w:rsid w:val="00E8320B"/>
    <w:rsid w:val="00E84B55"/>
    <w:rsid w:val="00E870EB"/>
    <w:rsid w:val="00E90AFE"/>
    <w:rsid w:val="00E929CF"/>
    <w:rsid w:val="00EA0987"/>
    <w:rsid w:val="00EA5644"/>
    <w:rsid w:val="00EA6B24"/>
    <w:rsid w:val="00EB1515"/>
    <w:rsid w:val="00EB403B"/>
    <w:rsid w:val="00EB4261"/>
    <w:rsid w:val="00EB4AB3"/>
    <w:rsid w:val="00EB6C94"/>
    <w:rsid w:val="00EC48CC"/>
    <w:rsid w:val="00EC5C7D"/>
    <w:rsid w:val="00EC7850"/>
    <w:rsid w:val="00ED04F8"/>
    <w:rsid w:val="00ED46B6"/>
    <w:rsid w:val="00ED56C7"/>
    <w:rsid w:val="00EE4B6D"/>
    <w:rsid w:val="00EE7401"/>
    <w:rsid w:val="00EF4407"/>
    <w:rsid w:val="00EF5EE7"/>
    <w:rsid w:val="00EF68AC"/>
    <w:rsid w:val="00EF6EF1"/>
    <w:rsid w:val="00F00E47"/>
    <w:rsid w:val="00F01D36"/>
    <w:rsid w:val="00F03ABF"/>
    <w:rsid w:val="00F11EC3"/>
    <w:rsid w:val="00F221DC"/>
    <w:rsid w:val="00F255FF"/>
    <w:rsid w:val="00F25A0A"/>
    <w:rsid w:val="00F2608D"/>
    <w:rsid w:val="00F3281F"/>
    <w:rsid w:val="00F35ACA"/>
    <w:rsid w:val="00F36521"/>
    <w:rsid w:val="00F36A17"/>
    <w:rsid w:val="00F36C83"/>
    <w:rsid w:val="00F36D85"/>
    <w:rsid w:val="00F37248"/>
    <w:rsid w:val="00F41D83"/>
    <w:rsid w:val="00F44DAB"/>
    <w:rsid w:val="00F468F2"/>
    <w:rsid w:val="00F50379"/>
    <w:rsid w:val="00F507DB"/>
    <w:rsid w:val="00F5582B"/>
    <w:rsid w:val="00F560A6"/>
    <w:rsid w:val="00F653DE"/>
    <w:rsid w:val="00F7039E"/>
    <w:rsid w:val="00F70927"/>
    <w:rsid w:val="00F7134F"/>
    <w:rsid w:val="00F71373"/>
    <w:rsid w:val="00F713EC"/>
    <w:rsid w:val="00F732B8"/>
    <w:rsid w:val="00F741A7"/>
    <w:rsid w:val="00F8652B"/>
    <w:rsid w:val="00F92A4A"/>
    <w:rsid w:val="00F9698D"/>
    <w:rsid w:val="00F96BC1"/>
    <w:rsid w:val="00FA0DDF"/>
    <w:rsid w:val="00FA147E"/>
    <w:rsid w:val="00FA2A00"/>
    <w:rsid w:val="00FA4B55"/>
    <w:rsid w:val="00FA6E7B"/>
    <w:rsid w:val="00FA77AE"/>
    <w:rsid w:val="00FB1B6F"/>
    <w:rsid w:val="00FB1DB0"/>
    <w:rsid w:val="00FB31DF"/>
    <w:rsid w:val="00FB5BE0"/>
    <w:rsid w:val="00FC02A9"/>
    <w:rsid w:val="00FC060D"/>
    <w:rsid w:val="00FC4AEE"/>
    <w:rsid w:val="00FC672E"/>
    <w:rsid w:val="00FC68E0"/>
    <w:rsid w:val="00FC6CE4"/>
    <w:rsid w:val="00FC7A6B"/>
    <w:rsid w:val="00FD0D92"/>
    <w:rsid w:val="00FD1E6B"/>
    <w:rsid w:val="00FD247C"/>
    <w:rsid w:val="00FD2C12"/>
    <w:rsid w:val="00FD2E1C"/>
    <w:rsid w:val="00FE21AF"/>
    <w:rsid w:val="00FE5E27"/>
    <w:rsid w:val="00FE5E3B"/>
    <w:rsid w:val="00FE7278"/>
    <w:rsid w:val="00FF37E6"/>
    <w:rsid w:val="00FF3ADC"/>
    <w:rsid w:val="00FF41DA"/>
    <w:rsid w:val="00FF4487"/>
    <w:rsid w:val="00FF4533"/>
    <w:rsid w:val="00FF75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paragraph" w:customStyle="1" w:styleId="Default">
    <w:name w:val="Default"/>
    <w:rsid w:val="00D655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12A-02B8-4A34-AB91-FC529BC6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6594</Words>
  <Characters>37591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Petrus T. Damaseb</dc:creator>
  <cp:lastModifiedBy>Sevelia Nghitumbwa</cp:lastModifiedBy>
  <cp:revision>2</cp:revision>
  <cp:lastPrinted>2019-04-03T09:51:00Z</cp:lastPrinted>
  <dcterms:created xsi:type="dcterms:W3CDTF">2019-04-03T10:02:00Z</dcterms:created>
  <dcterms:modified xsi:type="dcterms:W3CDTF">2019-04-03T10:02:00Z</dcterms:modified>
</cp:coreProperties>
</file>