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DD" w:rsidRPr="006A55DD" w:rsidRDefault="006A55DD" w:rsidP="006A55DD">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6A55DD" w:rsidRPr="00A05C06" w:rsidRDefault="00D67D59" w:rsidP="00A05C06">
      <w:pPr>
        <w:pStyle w:val="NoSpacing"/>
        <w:jc w:val="right"/>
        <w:rPr>
          <w:rFonts w:ascii="Arial" w:hAnsi="Arial" w:cs="Arial"/>
          <w:b/>
          <w:sz w:val="24"/>
          <w:szCs w:val="24"/>
        </w:rPr>
      </w:pPr>
      <w:r>
        <w:rPr>
          <w:rFonts w:ascii="Arial" w:hAnsi="Arial" w:cs="Arial"/>
          <w:b/>
          <w:sz w:val="24"/>
          <w:szCs w:val="24"/>
        </w:rPr>
        <w:t xml:space="preserve">NOT </w:t>
      </w:r>
      <w:r w:rsidR="00B856CA">
        <w:rPr>
          <w:rFonts w:ascii="Arial" w:hAnsi="Arial" w:cs="Arial"/>
          <w:b/>
          <w:sz w:val="24"/>
          <w:szCs w:val="24"/>
        </w:rPr>
        <w:t>REPORTABLE</w:t>
      </w:r>
    </w:p>
    <w:p w:rsidR="00701260" w:rsidRPr="00A05C06" w:rsidRDefault="00701260" w:rsidP="00A05C06">
      <w:pPr>
        <w:pStyle w:val="NoSpacing"/>
        <w:jc w:val="right"/>
        <w:rPr>
          <w:rFonts w:ascii="Arial" w:hAnsi="Arial" w:cs="Arial"/>
          <w:sz w:val="24"/>
          <w:szCs w:val="24"/>
        </w:rPr>
      </w:pPr>
    </w:p>
    <w:p w:rsidR="00CC4D0B" w:rsidRPr="006078B1" w:rsidRDefault="006A55DD" w:rsidP="00A05C06">
      <w:pPr>
        <w:pStyle w:val="NoSpacing"/>
        <w:jc w:val="right"/>
        <w:rPr>
          <w:rFonts w:ascii="Arial" w:hAnsi="Arial" w:cs="Arial"/>
          <w:sz w:val="24"/>
          <w:szCs w:val="24"/>
        </w:rPr>
      </w:pPr>
      <w:r w:rsidRPr="006078B1">
        <w:rPr>
          <w:rFonts w:ascii="Arial" w:hAnsi="Arial" w:cs="Arial"/>
          <w:sz w:val="24"/>
          <w:szCs w:val="24"/>
        </w:rPr>
        <w:t>C</w:t>
      </w:r>
      <w:r w:rsidR="00C2392B" w:rsidRPr="006078B1">
        <w:rPr>
          <w:rFonts w:ascii="Arial" w:hAnsi="Arial" w:cs="Arial"/>
          <w:sz w:val="24"/>
          <w:szCs w:val="24"/>
        </w:rPr>
        <w:t>ASE NO</w:t>
      </w:r>
      <w:r w:rsidR="00965713">
        <w:rPr>
          <w:rFonts w:ascii="Arial" w:hAnsi="Arial" w:cs="Arial"/>
          <w:sz w:val="24"/>
          <w:szCs w:val="24"/>
        </w:rPr>
        <w:t>: SA 4</w:t>
      </w:r>
      <w:r w:rsidR="00980EE0" w:rsidRPr="006078B1">
        <w:rPr>
          <w:rFonts w:ascii="Arial" w:hAnsi="Arial" w:cs="Arial"/>
          <w:sz w:val="24"/>
          <w:szCs w:val="24"/>
        </w:rPr>
        <w:t>0/2017</w:t>
      </w:r>
    </w:p>
    <w:p w:rsidR="00CC4D0B" w:rsidRPr="00A05C06" w:rsidRDefault="00CC4D0B" w:rsidP="00A05C06">
      <w:pPr>
        <w:pStyle w:val="NoSpacing"/>
        <w:rPr>
          <w:rFonts w:ascii="Arial" w:hAnsi="Arial" w:cs="Arial"/>
          <w:sz w:val="24"/>
          <w:szCs w:val="24"/>
        </w:rPr>
      </w:pPr>
    </w:p>
    <w:p w:rsidR="00DC7926" w:rsidRPr="00A05C06" w:rsidRDefault="000256ED" w:rsidP="00A05C06">
      <w:pPr>
        <w:pStyle w:val="NoSpacing"/>
        <w:rPr>
          <w:rFonts w:ascii="Arial" w:hAnsi="Arial" w:cs="Arial"/>
          <w:b/>
          <w:sz w:val="24"/>
          <w:szCs w:val="24"/>
        </w:rPr>
      </w:pPr>
      <w:r w:rsidRPr="00A05C06">
        <w:rPr>
          <w:rFonts w:ascii="Arial" w:hAnsi="Arial" w:cs="Arial"/>
          <w:b/>
          <w:sz w:val="24"/>
          <w:szCs w:val="24"/>
        </w:rPr>
        <w:t>IN THE SUPREME COURT OF NAMIB</w:t>
      </w:r>
      <w:r w:rsidR="00F83DB9" w:rsidRPr="00A05C06">
        <w:rPr>
          <w:rFonts w:ascii="Arial" w:hAnsi="Arial" w:cs="Arial"/>
          <w:b/>
          <w:sz w:val="24"/>
          <w:szCs w:val="24"/>
        </w:rPr>
        <w:t>IA</w:t>
      </w:r>
    </w:p>
    <w:p w:rsidR="00A05C06" w:rsidRDefault="00A05C06" w:rsidP="00A05C06">
      <w:pPr>
        <w:pStyle w:val="NoSpacing"/>
        <w:rPr>
          <w:rFonts w:ascii="Arial" w:hAnsi="Arial" w:cs="Arial"/>
          <w:sz w:val="24"/>
          <w:szCs w:val="24"/>
        </w:rPr>
      </w:pPr>
    </w:p>
    <w:p w:rsidR="00A05C06" w:rsidRDefault="00A05C06" w:rsidP="00A05C06">
      <w:pPr>
        <w:pStyle w:val="NoSpacing"/>
        <w:rPr>
          <w:rFonts w:ascii="Arial" w:hAnsi="Arial" w:cs="Arial"/>
          <w:sz w:val="24"/>
          <w:szCs w:val="24"/>
        </w:rPr>
      </w:pPr>
    </w:p>
    <w:p w:rsidR="000256ED" w:rsidRPr="00A05C06" w:rsidRDefault="000256ED" w:rsidP="00A05C06">
      <w:pPr>
        <w:pStyle w:val="NoSpacing"/>
        <w:rPr>
          <w:rFonts w:ascii="Arial" w:hAnsi="Arial" w:cs="Arial"/>
          <w:sz w:val="24"/>
          <w:szCs w:val="24"/>
        </w:rPr>
      </w:pPr>
      <w:r w:rsidRPr="00A05C06">
        <w:rPr>
          <w:rFonts w:ascii="Arial" w:hAnsi="Arial" w:cs="Arial"/>
          <w:sz w:val="24"/>
          <w:szCs w:val="24"/>
        </w:rPr>
        <w:t>In the matter between:</w:t>
      </w:r>
    </w:p>
    <w:p w:rsidR="000256ED" w:rsidRPr="00A05C06" w:rsidRDefault="000256ED" w:rsidP="00A05C06">
      <w:pPr>
        <w:pStyle w:val="NoSpacing"/>
        <w:rPr>
          <w:rFonts w:ascii="Arial" w:hAnsi="Arial" w:cs="Arial"/>
          <w:sz w:val="24"/>
          <w:szCs w:val="24"/>
        </w:rPr>
      </w:pPr>
    </w:p>
    <w:p w:rsidR="00A05C06" w:rsidRDefault="00A05C06" w:rsidP="00A05C06">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E94B11" w:rsidRPr="00E94B11" w:rsidTr="00E94B11">
        <w:tc>
          <w:tcPr>
            <w:tcW w:w="4555" w:type="dxa"/>
          </w:tcPr>
          <w:p w:rsidR="00E94B11" w:rsidRPr="00E94B11" w:rsidRDefault="00E94B11" w:rsidP="003D3628">
            <w:pPr>
              <w:pStyle w:val="NoSpacing"/>
              <w:spacing w:line="360" w:lineRule="auto"/>
              <w:ind w:left="-113"/>
              <w:rPr>
                <w:rFonts w:ascii="Arial" w:hAnsi="Arial" w:cs="Arial"/>
                <w:b/>
                <w:sz w:val="24"/>
                <w:szCs w:val="24"/>
              </w:rPr>
            </w:pPr>
            <w:r w:rsidRPr="00E94B11">
              <w:rPr>
                <w:rFonts w:ascii="Arial" w:hAnsi="Arial" w:cs="Arial"/>
                <w:b/>
                <w:sz w:val="24"/>
                <w:szCs w:val="24"/>
              </w:rPr>
              <w:t>NICOLAAS JACOBUS KOCH</w:t>
            </w:r>
          </w:p>
        </w:tc>
        <w:tc>
          <w:tcPr>
            <w:tcW w:w="4556" w:type="dxa"/>
          </w:tcPr>
          <w:p w:rsidR="00E94B11" w:rsidRPr="00E94B11" w:rsidRDefault="00E94B11" w:rsidP="003D3628">
            <w:pPr>
              <w:pStyle w:val="NoSpacing"/>
              <w:spacing w:line="360" w:lineRule="auto"/>
              <w:jc w:val="right"/>
              <w:rPr>
                <w:rFonts w:ascii="Arial" w:hAnsi="Arial" w:cs="Arial"/>
                <w:b/>
                <w:sz w:val="24"/>
                <w:szCs w:val="24"/>
              </w:rPr>
            </w:pPr>
            <w:r w:rsidRPr="00E94B11">
              <w:rPr>
                <w:rFonts w:ascii="Arial" w:hAnsi="Arial" w:cs="Arial"/>
                <w:b/>
                <w:sz w:val="24"/>
                <w:szCs w:val="24"/>
              </w:rPr>
              <w:t>Appellant</w:t>
            </w:r>
          </w:p>
        </w:tc>
      </w:tr>
      <w:tr w:rsidR="00E94B11" w:rsidTr="00E94B11">
        <w:tc>
          <w:tcPr>
            <w:tcW w:w="4555" w:type="dxa"/>
          </w:tcPr>
          <w:p w:rsidR="00E94B11" w:rsidRDefault="00E94B11" w:rsidP="003D3628">
            <w:pPr>
              <w:pStyle w:val="NoSpacing"/>
              <w:spacing w:line="360" w:lineRule="auto"/>
              <w:ind w:left="-113"/>
              <w:rPr>
                <w:rFonts w:ascii="Arial" w:hAnsi="Arial" w:cs="Arial"/>
                <w:sz w:val="24"/>
                <w:szCs w:val="24"/>
              </w:rPr>
            </w:pPr>
          </w:p>
        </w:tc>
        <w:tc>
          <w:tcPr>
            <w:tcW w:w="4556" w:type="dxa"/>
          </w:tcPr>
          <w:p w:rsidR="00E94B11" w:rsidRDefault="00E94B11" w:rsidP="003D3628">
            <w:pPr>
              <w:pStyle w:val="NoSpacing"/>
              <w:spacing w:line="360" w:lineRule="auto"/>
              <w:jc w:val="right"/>
              <w:rPr>
                <w:rFonts w:ascii="Arial" w:hAnsi="Arial" w:cs="Arial"/>
                <w:sz w:val="24"/>
                <w:szCs w:val="24"/>
              </w:rPr>
            </w:pPr>
          </w:p>
        </w:tc>
      </w:tr>
      <w:tr w:rsidR="00E94B11" w:rsidTr="00E94B11">
        <w:tc>
          <w:tcPr>
            <w:tcW w:w="4555" w:type="dxa"/>
          </w:tcPr>
          <w:p w:rsidR="00E94B11" w:rsidRDefault="00B86A78" w:rsidP="003D3628">
            <w:pPr>
              <w:pStyle w:val="NoSpacing"/>
              <w:spacing w:line="360" w:lineRule="auto"/>
              <w:ind w:left="-113"/>
              <w:rPr>
                <w:rFonts w:ascii="Arial" w:hAnsi="Arial" w:cs="Arial"/>
                <w:sz w:val="24"/>
                <w:szCs w:val="24"/>
              </w:rPr>
            </w:pPr>
            <w:r>
              <w:rPr>
                <w:rFonts w:ascii="Arial" w:hAnsi="Arial" w:cs="Arial"/>
                <w:sz w:val="24"/>
                <w:szCs w:val="24"/>
              </w:rPr>
              <w:t>A</w:t>
            </w:r>
            <w:r w:rsidR="00E94B11">
              <w:rPr>
                <w:rFonts w:ascii="Arial" w:hAnsi="Arial" w:cs="Arial"/>
                <w:sz w:val="24"/>
                <w:szCs w:val="24"/>
              </w:rPr>
              <w:t>nd</w:t>
            </w:r>
          </w:p>
        </w:tc>
        <w:tc>
          <w:tcPr>
            <w:tcW w:w="4556" w:type="dxa"/>
          </w:tcPr>
          <w:p w:rsidR="00E94B11" w:rsidRDefault="00E94B11" w:rsidP="003D3628">
            <w:pPr>
              <w:pStyle w:val="NoSpacing"/>
              <w:spacing w:line="360" w:lineRule="auto"/>
              <w:jc w:val="right"/>
              <w:rPr>
                <w:rFonts w:ascii="Arial" w:hAnsi="Arial" w:cs="Arial"/>
                <w:sz w:val="24"/>
                <w:szCs w:val="24"/>
              </w:rPr>
            </w:pPr>
          </w:p>
        </w:tc>
      </w:tr>
      <w:tr w:rsidR="00E94B11" w:rsidTr="00E94B11">
        <w:tc>
          <w:tcPr>
            <w:tcW w:w="4555" w:type="dxa"/>
          </w:tcPr>
          <w:p w:rsidR="00E94B11" w:rsidRDefault="00E94B11" w:rsidP="003D3628">
            <w:pPr>
              <w:pStyle w:val="NoSpacing"/>
              <w:spacing w:line="360" w:lineRule="auto"/>
              <w:ind w:left="-113"/>
              <w:rPr>
                <w:rFonts w:ascii="Arial" w:hAnsi="Arial" w:cs="Arial"/>
                <w:sz w:val="24"/>
                <w:szCs w:val="24"/>
              </w:rPr>
            </w:pPr>
          </w:p>
        </w:tc>
        <w:tc>
          <w:tcPr>
            <w:tcW w:w="4556" w:type="dxa"/>
          </w:tcPr>
          <w:p w:rsidR="00E94B11" w:rsidRDefault="00E94B11" w:rsidP="003D3628">
            <w:pPr>
              <w:pStyle w:val="NoSpacing"/>
              <w:spacing w:line="360" w:lineRule="auto"/>
              <w:jc w:val="right"/>
              <w:rPr>
                <w:rFonts w:ascii="Arial" w:hAnsi="Arial" w:cs="Arial"/>
                <w:sz w:val="24"/>
                <w:szCs w:val="24"/>
              </w:rPr>
            </w:pPr>
          </w:p>
        </w:tc>
      </w:tr>
      <w:tr w:rsidR="00E94B11" w:rsidRPr="00E94B11" w:rsidTr="00E94B11">
        <w:tc>
          <w:tcPr>
            <w:tcW w:w="4555" w:type="dxa"/>
          </w:tcPr>
          <w:p w:rsidR="00E94B11" w:rsidRPr="00E94B11" w:rsidRDefault="00E94B11" w:rsidP="003D3628">
            <w:pPr>
              <w:pStyle w:val="NoSpacing"/>
              <w:spacing w:line="360" w:lineRule="auto"/>
              <w:ind w:left="-113"/>
              <w:rPr>
                <w:rFonts w:ascii="Arial" w:hAnsi="Arial" w:cs="Arial"/>
                <w:b/>
                <w:sz w:val="24"/>
                <w:szCs w:val="24"/>
              </w:rPr>
            </w:pPr>
            <w:r w:rsidRPr="00E94B11">
              <w:rPr>
                <w:rFonts w:ascii="Arial" w:hAnsi="Arial" w:cs="Arial"/>
                <w:b/>
                <w:sz w:val="24"/>
                <w:szCs w:val="24"/>
              </w:rPr>
              <w:t>WILLEM ALBERTUS KOCH</w:t>
            </w:r>
          </w:p>
        </w:tc>
        <w:tc>
          <w:tcPr>
            <w:tcW w:w="4556" w:type="dxa"/>
          </w:tcPr>
          <w:p w:rsidR="00E94B11" w:rsidRPr="00E94B11" w:rsidRDefault="00E94B11" w:rsidP="003D3628">
            <w:pPr>
              <w:pStyle w:val="NoSpacing"/>
              <w:spacing w:line="360" w:lineRule="auto"/>
              <w:jc w:val="right"/>
              <w:rPr>
                <w:rFonts w:ascii="Arial" w:hAnsi="Arial" w:cs="Arial"/>
                <w:b/>
                <w:sz w:val="24"/>
                <w:szCs w:val="24"/>
              </w:rPr>
            </w:pPr>
            <w:r w:rsidRPr="00E94B11">
              <w:rPr>
                <w:rFonts w:ascii="Arial" w:hAnsi="Arial" w:cs="Arial"/>
                <w:b/>
                <w:sz w:val="24"/>
                <w:szCs w:val="24"/>
              </w:rPr>
              <w:t>First Respondent</w:t>
            </w:r>
          </w:p>
        </w:tc>
      </w:tr>
      <w:tr w:rsidR="00E94B11" w:rsidRPr="00E94B11" w:rsidTr="00E94B11">
        <w:tc>
          <w:tcPr>
            <w:tcW w:w="4555" w:type="dxa"/>
          </w:tcPr>
          <w:p w:rsidR="00E94B11" w:rsidRPr="00E94B11" w:rsidRDefault="00E94B11" w:rsidP="003D3628">
            <w:pPr>
              <w:pStyle w:val="NoSpacing"/>
              <w:spacing w:line="360" w:lineRule="auto"/>
              <w:ind w:left="-113"/>
              <w:rPr>
                <w:rFonts w:ascii="Arial" w:hAnsi="Arial" w:cs="Arial"/>
                <w:b/>
                <w:sz w:val="24"/>
                <w:szCs w:val="24"/>
              </w:rPr>
            </w:pPr>
            <w:r w:rsidRPr="00E94B11">
              <w:rPr>
                <w:rFonts w:ascii="Arial" w:hAnsi="Arial" w:cs="Arial"/>
                <w:b/>
                <w:sz w:val="24"/>
                <w:szCs w:val="24"/>
              </w:rPr>
              <w:t>HENDRIEKA DE VILLLIERS</w:t>
            </w:r>
          </w:p>
        </w:tc>
        <w:tc>
          <w:tcPr>
            <w:tcW w:w="4556" w:type="dxa"/>
          </w:tcPr>
          <w:p w:rsidR="00E94B11" w:rsidRPr="00E94B11" w:rsidRDefault="00E94B11" w:rsidP="003D3628">
            <w:pPr>
              <w:pStyle w:val="NoSpacing"/>
              <w:spacing w:line="360" w:lineRule="auto"/>
              <w:jc w:val="right"/>
              <w:rPr>
                <w:rFonts w:ascii="Arial" w:hAnsi="Arial" w:cs="Arial"/>
                <w:b/>
                <w:sz w:val="24"/>
                <w:szCs w:val="24"/>
              </w:rPr>
            </w:pPr>
            <w:r w:rsidRPr="00E94B11">
              <w:rPr>
                <w:rFonts w:ascii="Arial" w:hAnsi="Arial" w:cs="Arial"/>
                <w:b/>
                <w:sz w:val="24"/>
                <w:szCs w:val="24"/>
              </w:rPr>
              <w:t>Second Respondent</w:t>
            </w:r>
          </w:p>
        </w:tc>
      </w:tr>
    </w:tbl>
    <w:p w:rsidR="003D3628" w:rsidRDefault="003D3628" w:rsidP="00A05C06">
      <w:pPr>
        <w:pStyle w:val="NoSpacing"/>
        <w:rPr>
          <w:rFonts w:ascii="Arial" w:hAnsi="Arial" w:cs="Arial"/>
          <w:sz w:val="24"/>
          <w:szCs w:val="24"/>
        </w:rPr>
      </w:pPr>
    </w:p>
    <w:p w:rsidR="00A05C06" w:rsidRPr="00A05C06" w:rsidRDefault="00A05C06" w:rsidP="00A05C06">
      <w:pPr>
        <w:pStyle w:val="NoSpacing"/>
        <w:rPr>
          <w:rFonts w:ascii="Arial" w:hAnsi="Arial" w:cs="Arial"/>
          <w:sz w:val="24"/>
          <w:szCs w:val="24"/>
        </w:rPr>
      </w:pPr>
    </w:p>
    <w:p w:rsidR="000C024E" w:rsidRPr="00A05C06" w:rsidRDefault="000C024E" w:rsidP="00A05C06">
      <w:pPr>
        <w:pStyle w:val="NoSpacing"/>
        <w:rPr>
          <w:rFonts w:ascii="Arial" w:hAnsi="Arial" w:cs="Arial"/>
          <w:sz w:val="24"/>
          <w:szCs w:val="24"/>
        </w:rPr>
      </w:pPr>
      <w:r w:rsidRPr="00A05C06">
        <w:rPr>
          <w:rFonts w:ascii="Arial" w:hAnsi="Arial" w:cs="Arial"/>
          <w:b/>
          <w:sz w:val="24"/>
          <w:szCs w:val="24"/>
        </w:rPr>
        <w:t>C</w:t>
      </w:r>
      <w:r w:rsidR="006078B1">
        <w:rPr>
          <w:rFonts w:ascii="Arial" w:hAnsi="Arial" w:cs="Arial"/>
          <w:b/>
          <w:sz w:val="24"/>
          <w:szCs w:val="24"/>
        </w:rPr>
        <w:t>oram</w:t>
      </w:r>
      <w:r w:rsidRPr="00A05C06">
        <w:rPr>
          <w:rFonts w:ascii="Arial" w:hAnsi="Arial" w:cs="Arial"/>
          <w:sz w:val="24"/>
          <w:szCs w:val="24"/>
        </w:rPr>
        <w:t>:</w:t>
      </w:r>
      <w:r w:rsidRPr="00A05C06">
        <w:rPr>
          <w:rFonts w:ascii="Arial" w:hAnsi="Arial" w:cs="Arial"/>
          <w:sz w:val="24"/>
          <w:szCs w:val="24"/>
        </w:rPr>
        <w:tab/>
      </w:r>
      <w:r w:rsidR="00073BFE" w:rsidRPr="00A05C06">
        <w:rPr>
          <w:rFonts w:ascii="Arial" w:hAnsi="Arial" w:cs="Arial"/>
          <w:sz w:val="24"/>
          <w:szCs w:val="24"/>
        </w:rPr>
        <w:t>H</w:t>
      </w:r>
      <w:r w:rsidRPr="00A05C06">
        <w:rPr>
          <w:rFonts w:ascii="Arial" w:hAnsi="Arial" w:cs="Arial"/>
          <w:sz w:val="24"/>
          <w:szCs w:val="24"/>
        </w:rPr>
        <w:t>OFF JA, MOKGORO AJA and NKA</w:t>
      </w:r>
      <w:r w:rsidR="00073BFE" w:rsidRPr="00A05C06">
        <w:rPr>
          <w:rFonts w:ascii="Arial" w:hAnsi="Arial" w:cs="Arial"/>
          <w:sz w:val="24"/>
          <w:szCs w:val="24"/>
        </w:rPr>
        <w:t>B</w:t>
      </w:r>
      <w:r w:rsidRPr="00A05C06">
        <w:rPr>
          <w:rFonts w:ascii="Arial" w:hAnsi="Arial" w:cs="Arial"/>
          <w:sz w:val="24"/>
          <w:szCs w:val="24"/>
        </w:rPr>
        <w:t>INDE AJA</w:t>
      </w:r>
    </w:p>
    <w:p w:rsidR="00A05C06" w:rsidRDefault="00A05C06" w:rsidP="00A05C06">
      <w:pPr>
        <w:pStyle w:val="NoSpacing"/>
        <w:rPr>
          <w:rFonts w:ascii="Arial" w:hAnsi="Arial" w:cs="Arial"/>
          <w:sz w:val="24"/>
          <w:szCs w:val="24"/>
        </w:rPr>
      </w:pPr>
    </w:p>
    <w:p w:rsidR="000C024E" w:rsidRPr="00A05C06" w:rsidRDefault="000C024E" w:rsidP="00A05C06">
      <w:pPr>
        <w:pStyle w:val="NoSpacing"/>
        <w:rPr>
          <w:rFonts w:ascii="Arial" w:hAnsi="Arial" w:cs="Arial"/>
          <w:b/>
          <w:sz w:val="24"/>
          <w:szCs w:val="24"/>
        </w:rPr>
      </w:pPr>
      <w:r w:rsidRPr="00A05C06">
        <w:rPr>
          <w:rFonts w:ascii="Arial" w:hAnsi="Arial" w:cs="Arial"/>
          <w:b/>
          <w:sz w:val="24"/>
          <w:szCs w:val="24"/>
        </w:rPr>
        <w:t>Heard:</w:t>
      </w:r>
      <w:r w:rsidRPr="00A05C06">
        <w:rPr>
          <w:rFonts w:ascii="Arial" w:hAnsi="Arial" w:cs="Arial"/>
          <w:sz w:val="24"/>
          <w:szCs w:val="24"/>
        </w:rPr>
        <w:t xml:space="preserve"> </w:t>
      </w:r>
      <w:r w:rsidRPr="00A05C06">
        <w:rPr>
          <w:rFonts w:ascii="Arial" w:hAnsi="Arial" w:cs="Arial"/>
          <w:sz w:val="24"/>
          <w:szCs w:val="24"/>
        </w:rPr>
        <w:tab/>
      </w:r>
      <w:r w:rsidR="009346D9">
        <w:rPr>
          <w:rFonts w:ascii="Arial" w:hAnsi="Arial" w:cs="Arial"/>
          <w:b/>
          <w:sz w:val="24"/>
          <w:szCs w:val="24"/>
        </w:rPr>
        <w:t xml:space="preserve">5 </w:t>
      </w:r>
      <w:r w:rsidR="006078B1">
        <w:rPr>
          <w:rFonts w:ascii="Arial" w:hAnsi="Arial" w:cs="Arial"/>
          <w:b/>
          <w:sz w:val="24"/>
          <w:szCs w:val="24"/>
        </w:rPr>
        <w:t>June</w:t>
      </w:r>
      <w:r w:rsidR="0054062E">
        <w:rPr>
          <w:rFonts w:ascii="Arial" w:hAnsi="Arial" w:cs="Arial"/>
          <w:b/>
          <w:sz w:val="24"/>
          <w:szCs w:val="24"/>
        </w:rPr>
        <w:t xml:space="preserve"> </w:t>
      </w:r>
      <w:r w:rsidRPr="00A05C06">
        <w:rPr>
          <w:rFonts w:ascii="Arial" w:hAnsi="Arial" w:cs="Arial"/>
          <w:b/>
          <w:sz w:val="24"/>
          <w:szCs w:val="24"/>
        </w:rPr>
        <w:t>2019</w:t>
      </w:r>
    </w:p>
    <w:p w:rsidR="00A05C06" w:rsidRPr="00A05C06" w:rsidRDefault="00A05C06" w:rsidP="00A05C06">
      <w:pPr>
        <w:pStyle w:val="NoSpacing"/>
        <w:rPr>
          <w:rFonts w:ascii="Arial" w:hAnsi="Arial" w:cs="Arial"/>
          <w:b/>
          <w:sz w:val="24"/>
          <w:szCs w:val="24"/>
        </w:rPr>
      </w:pPr>
    </w:p>
    <w:p w:rsidR="000C024E" w:rsidRPr="00A05C06" w:rsidRDefault="000C024E" w:rsidP="00A05C06">
      <w:pPr>
        <w:pStyle w:val="NoSpacing"/>
        <w:rPr>
          <w:rFonts w:ascii="Arial" w:hAnsi="Arial" w:cs="Arial"/>
          <w:b/>
          <w:sz w:val="24"/>
          <w:szCs w:val="24"/>
        </w:rPr>
      </w:pPr>
      <w:r w:rsidRPr="00A05C06">
        <w:rPr>
          <w:rFonts w:ascii="Arial" w:hAnsi="Arial" w:cs="Arial"/>
          <w:b/>
          <w:sz w:val="24"/>
          <w:szCs w:val="24"/>
        </w:rPr>
        <w:t>Delivered:</w:t>
      </w:r>
      <w:r w:rsidRPr="00A05C06">
        <w:rPr>
          <w:rFonts w:ascii="Arial" w:hAnsi="Arial" w:cs="Arial"/>
          <w:b/>
          <w:sz w:val="24"/>
          <w:szCs w:val="24"/>
        </w:rPr>
        <w:tab/>
      </w:r>
      <w:r w:rsidR="00CE6F0A">
        <w:rPr>
          <w:rFonts w:ascii="Arial" w:hAnsi="Arial" w:cs="Arial"/>
          <w:b/>
          <w:sz w:val="24"/>
          <w:szCs w:val="24"/>
        </w:rPr>
        <w:t>14</w:t>
      </w:r>
      <w:r w:rsidRPr="00A05C06">
        <w:rPr>
          <w:rFonts w:ascii="Arial" w:hAnsi="Arial" w:cs="Arial"/>
          <w:b/>
          <w:sz w:val="24"/>
          <w:szCs w:val="24"/>
        </w:rPr>
        <w:t xml:space="preserve"> </w:t>
      </w:r>
      <w:r w:rsidR="006078B1">
        <w:rPr>
          <w:rFonts w:ascii="Arial" w:hAnsi="Arial" w:cs="Arial"/>
          <w:b/>
          <w:sz w:val="24"/>
          <w:szCs w:val="24"/>
        </w:rPr>
        <w:t xml:space="preserve">October </w:t>
      </w:r>
      <w:r w:rsidRPr="00A05C06">
        <w:rPr>
          <w:rFonts w:ascii="Arial" w:hAnsi="Arial" w:cs="Arial"/>
          <w:b/>
          <w:sz w:val="24"/>
          <w:szCs w:val="24"/>
        </w:rPr>
        <w:t>2019</w:t>
      </w:r>
    </w:p>
    <w:p w:rsidR="00FF47DE" w:rsidRDefault="00FF47DE" w:rsidP="00A05C06">
      <w:pPr>
        <w:pStyle w:val="NoSpacing"/>
        <w:jc w:val="both"/>
        <w:rPr>
          <w:rFonts w:ascii="Arial" w:hAnsi="Arial" w:cs="Arial"/>
          <w:sz w:val="24"/>
          <w:szCs w:val="24"/>
        </w:rPr>
      </w:pPr>
    </w:p>
    <w:p w:rsidR="00A05C06" w:rsidRDefault="00A05C06" w:rsidP="00A05C06">
      <w:pPr>
        <w:pStyle w:val="NoSpacing"/>
        <w:jc w:val="both"/>
        <w:rPr>
          <w:rFonts w:ascii="Arial" w:hAnsi="Arial" w:cs="Arial"/>
          <w:sz w:val="24"/>
          <w:szCs w:val="24"/>
        </w:rPr>
      </w:pPr>
    </w:p>
    <w:p w:rsidR="00546E53" w:rsidRDefault="00FF47DE" w:rsidP="00E94B11">
      <w:pPr>
        <w:pStyle w:val="NoSpacing"/>
        <w:spacing w:line="360" w:lineRule="auto"/>
        <w:jc w:val="both"/>
        <w:rPr>
          <w:rFonts w:ascii="Arial" w:hAnsi="Arial" w:cs="Arial"/>
          <w:sz w:val="24"/>
          <w:szCs w:val="24"/>
        </w:rPr>
      </w:pPr>
      <w:r w:rsidRPr="00FF47DE">
        <w:rPr>
          <w:rFonts w:ascii="Arial" w:hAnsi="Arial" w:cs="Arial"/>
          <w:b/>
          <w:sz w:val="24"/>
          <w:szCs w:val="24"/>
        </w:rPr>
        <w:t>S</w:t>
      </w:r>
      <w:r>
        <w:rPr>
          <w:rFonts w:ascii="Arial" w:hAnsi="Arial" w:cs="Arial"/>
          <w:b/>
          <w:sz w:val="24"/>
          <w:szCs w:val="24"/>
        </w:rPr>
        <w:t>ummary:</w:t>
      </w:r>
      <w:r>
        <w:rPr>
          <w:rFonts w:ascii="Arial" w:hAnsi="Arial" w:cs="Arial"/>
          <w:b/>
          <w:sz w:val="24"/>
          <w:szCs w:val="24"/>
        </w:rPr>
        <w:tab/>
      </w:r>
      <w:r w:rsidR="000C024E" w:rsidRPr="00FF47DE">
        <w:rPr>
          <w:rFonts w:ascii="Arial" w:hAnsi="Arial" w:cs="Arial"/>
          <w:sz w:val="24"/>
          <w:szCs w:val="24"/>
        </w:rPr>
        <w:t xml:space="preserve">This appeal concerns a dispute between two brothers regarding possession of immovable property situated in the premises of and owned by of the first respondent. The brothers had agreed that the appellant will stay in the flat and money advanced by him to the first respondent was allegedly used to refurbish to make it habitable. The appellant only stayed in the flat on two occasion over a period of six years and undisputedly </w:t>
      </w:r>
      <w:r w:rsidR="00546E53" w:rsidRPr="00FF47DE">
        <w:rPr>
          <w:rFonts w:ascii="Arial" w:hAnsi="Arial" w:cs="Arial"/>
          <w:sz w:val="24"/>
          <w:szCs w:val="24"/>
        </w:rPr>
        <w:t xml:space="preserve">abandoned </w:t>
      </w:r>
      <w:r w:rsidR="000C024E" w:rsidRPr="00FF47DE">
        <w:rPr>
          <w:rFonts w:ascii="Arial" w:hAnsi="Arial" w:cs="Arial"/>
          <w:sz w:val="24"/>
          <w:szCs w:val="24"/>
        </w:rPr>
        <w:t>flat</w:t>
      </w:r>
      <w:r w:rsidR="00F83DB9">
        <w:rPr>
          <w:rFonts w:ascii="Arial" w:hAnsi="Arial" w:cs="Arial"/>
          <w:sz w:val="24"/>
          <w:szCs w:val="24"/>
        </w:rPr>
        <w:t>.</w:t>
      </w:r>
    </w:p>
    <w:p w:rsidR="00E94B11" w:rsidRPr="00FF47DE" w:rsidRDefault="00E94B11" w:rsidP="00E94B11">
      <w:pPr>
        <w:pStyle w:val="NoSpacing"/>
        <w:spacing w:line="360" w:lineRule="auto"/>
        <w:jc w:val="both"/>
        <w:rPr>
          <w:rFonts w:ascii="Arial" w:hAnsi="Arial" w:cs="Arial"/>
          <w:sz w:val="24"/>
          <w:szCs w:val="24"/>
        </w:rPr>
      </w:pPr>
    </w:p>
    <w:p w:rsidR="00FC6BF1" w:rsidRDefault="00546E53" w:rsidP="00E94B11">
      <w:pPr>
        <w:pStyle w:val="NoSpacing"/>
        <w:spacing w:line="360" w:lineRule="auto"/>
        <w:jc w:val="both"/>
        <w:rPr>
          <w:rFonts w:ascii="Arial" w:hAnsi="Arial" w:cs="Arial"/>
          <w:sz w:val="24"/>
          <w:szCs w:val="24"/>
        </w:rPr>
      </w:pPr>
      <w:r w:rsidRPr="00FF47DE">
        <w:rPr>
          <w:rFonts w:ascii="Arial" w:hAnsi="Arial" w:cs="Arial"/>
          <w:sz w:val="24"/>
          <w:szCs w:val="24"/>
        </w:rPr>
        <w:t xml:space="preserve">The first respondent advised the appellant of the need to move their elderly and ailing aunt into the flat and asked him to remove his movable assets. </w:t>
      </w:r>
      <w:r w:rsidR="00A46924">
        <w:rPr>
          <w:rFonts w:ascii="Arial" w:hAnsi="Arial" w:cs="Arial"/>
          <w:sz w:val="24"/>
          <w:szCs w:val="24"/>
        </w:rPr>
        <w:t xml:space="preserve">This strained the </w:t>
      </w:r>
      <w:r w:rsidR="00A46924">
        <w:rPr>
          <w:rFonts w:ascii="Arial" w:hAnsi="Arial" w:cs="Arial"/>
          <w:sz w:val="24"/>
          <w:szCs w:val="24"/>
        </w:rPr>
        <w:lastRenderedPageBreak/>
        <w:t xml:space="preserve">relationship between the siblings. </w:t>
      </w:r>
      <w:r w:rsidRPr="00FF47DE">
        <w:rPr>
          <w:rFonts w:ascii="Arial" w:hAnsi="Arial" w:cs="Arial"/>
          <w:sz w:val="24"/>
          <w:szCs w:val="24"/>
        </w:rPr>
        <w:t>The appellant sought a spoliation order on t</w:t>
      </w:r>
      <w:r w:rsidR="00FF47DE" w:rsidRPr="00FF47DE">
        <w:rPr>
          <w:rFonts w:ascii="Arial" w:hAnsi="Arial" w:cs="Arial"/>
          <w:sz w:val="24"/>
          <w:szCs w:val="24"/>
        </w:rPr>
        <w:t>h</w:t>
      </w:r>
      <w:r w:rsidRPr="00FF47DE">
        <w:rPr>
          <w:rFonts w:ascii="Arial" w:hAnsi="Arial" w:cs="Arial"/>
          <w:sz w:val="24"/>
          <w:szCs w:val="24"/>
        </w:rPr>
        <w:t xml:space="preserve">e basis that the first respondent unlawfully </w:t>
      </w:r>
      <w:r w:rsidR="006810E1" w:rsidRPr="00FF47DE">
        <w:rPr>
          <w:rFonts w:ascii="Arial" w:hAnsi="Arial" w:cs="Arial"/>
          <w:sz w:val="24"/>
          <w:szCs w:val="24"/>
        </w:rPr>
        <w:t>dispos</w:t>
      </w:r>
      <w:r w:rsidR="006810E1">
        <w:rPr>
          <w:rFonts w:ascii="Arial" w:hAnsi="Arial" w:cs="Arial"/>
          <w:sz w:val="24"/>
          <w:szCs w:val="24"/>
        </w:rPr>
        <w:t>s</w:t>
      </w:r>
      <w:r w:rsidR="006810E1" w:rsidRPr="00FF47DE">
        <w:rPr>
          <w:rFonts w:ascii="Arial" w:hAnsi="Arial" w:cs="Arial"/>
          <w:sz w:val="24"/>
          <w:szCs w:val="24"/>
        </w:rPr>
        <w:t>e</w:t>
      </w:r>
      <w:r w:rsidR="006810E1">
        <w:rPr>
          <w:rFonts w:ascii="Arial" w:hAnsi="Arial" w:cs="Arial"/>
          <w:sz w:val="24"/>
          <w:szCs w:val="24"/>
        </w:rPr>
        <w:t>ssed</w:t>
      </w:r>
      <w:r w:rsidRPr="00FF47DE">
        <w:rPr>
          <w:rFonts w:ascii="Arial" w:hAnsi="Arial" w:cs="Arial"/>
          <w:sz w:val="24"/>
          <w:szCs w:val="24"/>
        </w:rPr>
        <w:t xml:space="preserve"> him of the flat and deprived him of his peaceful and undisturbed possession of the flat. Because he had the physical possession and control of the keys of the flat, the High Court held that he satisfied the first requirements of possession, physical possession and control of the flat. </w:t>
      </w:r>
    </w:p>
    <w:p w:rsidR="00FC6BF1" w:rsidRDefault="00FC6BF1" w:rsidP="00E94B11">
      <w:pPr>
        <w:pStyle w:val="NoSpacing"/>
        <w:spacing w:line="360" w:lineRule="auto"/>
        <w:jc w:val="both"/>
        <w:rPr>
          <w:rFonts w:ascii="Arial" w:hAnsi="Arial" w:cs="Arial"/>
          <w:sz w:val="24"/>
          <w:szCs w:val="24"/>
        </w:rPr>
      </w:pPr>
    </w:p>
    <w:p w:rsidR="000C024E" w:rsidRPr="00FF47DE" w:rsidRDefault="00546E53" w:rsidP="00E94B11">
      <w:pPr>
        <w:pStyle w:val="NoSpacing"/>
        <w:spacing w:line="360" w:lineRule="auto"/>
        <w:jc w:val="both"/>
        <w:rPr>
          <w:rFonts w:ascii="Arial" w:hAnsi="Arial" w:cs="Arial"/>
          <w:sz w:val="24"/>
          <w:szCs w:val="24"/>
        </w:rPr>
      </w:pPr>
      <w:r w:rsidRPr="00FF47DE">
        <w:rPr>
          <w:rFonts w:ascii="Arial" w:hAnsi="Arial" w:cs="Arial"/>
          <w:sz w:val="24"/>
          <w:szCs w:val="24"/>
        </w:rPr>
        <w:t>The High Court</w:t>
      </w:r>
      <w:r w:rsidR="006810E1">
        <w:rPr>
          <w:rFonts w:ascii="Arial" w:hAnsi="Arial" w:cs="Arial"/>
          <w:sz w:val="24"/>
          <w:szCs w:val="24"/>
        </w:rPr>
        <w:t>,</w:t>
      </w:r>
      <w:r w:rsidRPr="00FF47DE">
        <w:rPr>
          <w:rFonts w:ascii="Arial" w:hAnsi="Arial" w:cs="Arial"/>
          <w:sz w:val="24"/>
          <w:szCs w:val="24"/>
        </w:rPr>
        <w:t xml:space="preserve"> however</w:t>
      </w:r>
      <w:r w:rsidR="006810E1">
        <w:rPr>
          <w:rFonts w:ascii="Arial" w:hAnsi="Arial" w:cs="Arial"/>
          <w:sz w:val="24"/>
          <w:szCs w:val="24"/>
        </w:rPr>
        <w:t>,</w:t>
      </w:r>
      <w:r w:rsidRPr="00FF47DE">
        <w:rPr>
          <w:rFonts w:ascii="Arial" w:hAnsi="Arial" w:cs="Arial"/>
          <w:sz w:val="24"/>
          <w:szCs w:val="24"/>
        </w:rPr>
        <w:t xml:space="preserve"> held that the appellant </w:t>
      </w:r>
      <w:r w:rsidR="00FF47DE" w:rsidRPr="00FF47DE">
        <w:rPr>
          <w:rFonts w:ascii="Arial" w:hAnsi="Arial" w:cs="Arial"/>
          <w:sz w:val="24"/>
          <w:szCs w:val="24"/>
        </w:rPr>
        <w:t>failed to establish the second requirement of possession, namely</w:t>
      </w:r>
      <w:r w:rsidR="00FF47DE" w:rsidRPr="00FF47DE">
        <w:rPr>
          <w:rFonts w:ascii="Arial" w:hAnsi="Arial" w:cs="Arial"/>
          <w:i/>
          <w:sz w:val="24"/>
          <w:szCs w:val="24"/>
        </w:rPr>
        <w:t xml:space="preserve"> animus possidendi.</w:t>
      </w:r>
      <w:r w:rsidR="00FF47DE" w:rsidRPr="00FF47DE">
        <w:rPr>
          <w:rFonts w:ascii="Arial" w:hAnsi="Arial" w:cs="Arial"/>
          <w:sz w:val="24"/>
          <w:szCs w:val="24"/>
        </w:rPr>
        <w:t xml:space="preserve"> </w:t>
      </w:r>
      <w:r w:rsidR="0067267E">
        <w:rPr>
          <w:rFonts w:ascii="Arial" w:hAnsi="Arial" w:cs="Arial"/>
          <w:sz w:val="24"/>
          <w:szCs w:val="24"/>
        </w:rPr>
        <w:t>The appellant had left the flat in a state</w:t>
      </w:r>
      <w:r w:rsidR="00457A3E">
        <w:rPr>
          <w:rFonts w:ascii="Arial" w:hAnsi="Arial" w:cs="Arial"/>
          <w:sz w:val="24"/>
          <w:szCs w:val="24"/>
        </w:rPr>
        <w:t xml:space="preserve"> of neglect for six years.</w:t>
      </w:r>
      <w:r w:rsidR="0067267E">
        <w:rPr>
          <w:rFonts w:ascii="Arial" w:hAnsi="Arial" w:cs="Arial"/>
          <w:sz w:val="24"/>
          <w:szCs w:val="24"/>
        </w:rPr>
        <w:t xml:space="preserve"> The flat was, unquestionably covered in a thick of layer of dust and of rodent faeces which had accumulated over a period of six years. The fla</w:t>
      </w:r>
      <w:r w:rsidR="00457A3E">
        <w:rPr>
          <w:rFonts w:ascii="Arial" w:hAnsi="Arial" w:cs="Arial"/>
          <w:sz w:val="24"/>
          <w:szCs w:val="24"/>
        </w:rPr>
        <w:t>t was</w:t>
      </w:r>
      <w:r w:rsidR="006810E1">
        <w:rPr>
          <w:rFonts w:ascii="Arial" w:hAnsi="Arial" w:cs="Arial"/>
          <w:sz w:val="24"/>
          <w:szCs w:val="24"/>
        </w:rPr>
        <w:t>,</w:t>
      </w:r>
      <w:r w:rsidR="00457A3E">
        <w:rPr>
          <w:rFonts w:ascii="Arial" w:hAnsi="Arial" w:cs="Arial"/>
          <w:sz w:val="24"/>
          <w:szCs w:val="24"/>
        </w:rPr>
        <w:t xml:space="preserve"> therefore</w:t>
      </w:r>
      <w:r w:rsidR="006810E1">
        <w:rPr>
          <w:rFonts w:ascii="Arial" w:hAnsi="Arial" w:cs="Arial"/>
          <w:sz w:val="24"/>
          <w:szCs w:val="24"/>
        </w:rPr>
        <w:t>,</w:t>
      </w:r>
      <w:r w:rsidR="00457A3E">
        <w:rPr>
          <w:rFonts w:ascii="Arial" w:hAnsi="Arial" w:cs="Arial"/>
          <w:sz w:val="24"/>
          <w:szCs w:val="24"/>
        </w:rPr>
        <w:t xml:space="preserve"> uninhabitable. </w:t>
      </w:r>
      <w:r w:rsidR="0067267E">
        <w:rPr>
          <w:rFonts w:ascii="Arial" w:hAnsi="Arial" w:cs="Arial"/>
          <w:sz w:val="24"/>
          <w:szCs w:val="24"/>
        </w:rPr>
        <w:t xml:space="preserve">The cumulative effect of all these facts, the High Court surmised, demonstrated an absence of a mental state necessary to sustain possession of the flat. </w:t>
      </w:r>
      <w:r w:rsidR="00FF47DE" w:rsidRPr="00FF47DE">
        <w:rPr>
          <w:rFonts w:ascii="Arial" w:hAnsi="Arial" w:cs="Arial"/>
          <w:sz w:val="24"/>
          <w:szCs w:val="24"/>
        </w:rPr>
        <w:t>This appeal is in respect of th</w:t>
      </w:r>
      <w:r w:rsidR="00FF47DE">
        <w:rPr>
          <w:rFonts w:ascii="Arial" w:hAnsi="Arial" w:cs="Arial"/>
          <w:sz w:val="24"/>
          <w:szCs w:val="24"/>
        </w:rPr>
        <w:t>is</w:t>
      </w:r>
      <w:r w:rsidR="00FF47DE" w:rsidRPr="00FF47DE">
        <w:rPr>
          <w:rFonts w:ascii="Arial" w:hAnsi="Arial" w:cs="Arial"/>
          <w:sz w:val="24"/>
          <w:szCs w:val="24"/>
        </w:rPr>
        <w:t xml:space="preserve"> latter holding.</w:t>
      </w:r>
    </w:p>
    <w:p w:rsidR="00FF47DE" w:rsidRPr="00FF47DE" w:rsidRDefault="00FF47DE" w:rsidP="00E94B11">
      <w:pPr>
        <w:pStyle w:val="NoSpacing"/>
        <w:pBdr>
          <w:bottom w:val="single" w:sz="12" w:space="1" w:color="auto"/>
        </w:pBdr>
        <w:spacing w:line="360" w:lineRule="auto"/>
        <w:jc w:val="both"/>
        <w:rPr>
          <w:rFonts w:ascii="Arial" w:hAnsi="Arial" w:cs="Arial"/>
          <w:i/>
          <w:sz w:val="24"/>
          <w:szCs w:val="24"/>
        </w:rPr>
      </w:pPr>
    </w:p>
    <w:p w:rsidR="00FF47DE" w:rsidRPr="00FF47DE" w:rsidRDefault="00FF47DE" w:rsidP="00E94B11">
      <w:pPr>
        <w:pStyle w:val="NoSpacing"/>
        <w:pBdr>
          <w:bottom w:val="single" w:sz="12" w:space="1" w:color="auto"/>
        </w:pBdr>
        <w:spacing w:line="360" w:lineRule="auto"/>
        <w:jc w:val="both"/>
        <w:rPr>
          <w:rFonts w:ascii="Arial" w:hAnsi="Arial" w:cs="Arial"/>
          <w:sz w:val="24"/>
          <w:szCs w:val="24"/>
        </w:rPr>
      </w:pPr>
      <w:r w:rsidRPr="00FF47DE">
        <w:rPr>
          <w:rFonts w:ascii="Arial" w:hAnsi="Arial" w:cs="Arial"/>
          <w:i/>
          <w:sz w:val="24"/>
          <w:szCs w:val="24"/>
        </w:rPr>
        <w:t>On appeal</w:t>
      </w:r>
      <w:r w:rsidRPr="00FF47DE">
        <w:rPr>
          <w:rFonts w:ascii="Arial" w:hAnsi="Arial" w:cs="Arial"/>
          <w:sz w:val="24"/>
          <w:szCs w:val="24"/>
        </w:rPr>
        <w:t xml:space="preserve"> this Court </w:t>
      </w:r>
      <w:r w:rsidRPr="00FF47DE">
        <w:rPr>
          <w:rFonts w:ascii="Arial" w:hAnsi="Arial" w:cs="Arial"/>
          <w:i/>
          <w:sz w:val="24"/>
          <w:szCs w:val="24"/>
        </w:rPr>
        <w:t>held</w:t>
      </w:r>
      <w:r w:rsidRPr="00FF47DE">
        <w:rPr>
          <w:rFonts w:ascii="Arial" w:hAnsi="Arial" w:cs="Arial"/>
          <w:sz w:val="24"/>
          <w:szCs w:val="24"/>
        </w:rPr>
        <w:t xml:space="preserve"> that the High Court did not misdire</w:t>
      </w:r>
      <w:r w:rsidR="00073BFE">
        <w:rPr>
          <w:rFonts w:ascii="Arial" w:hAnsi="Arial" w:cs="Arial"/>
          <w:sz w:val="24"/>
          <w:szCs w:val="24"/>
        </w:rPr>
        <w:t>ct itself, neither on the law or</w:t>
      </w:r>
      <w:r w:rsidRPr="00FF47DE">
        <w:rPr>
          <w:rFonts w:ascii="Arial" w:hAnsi="Arial" w:cs="Arial"/>
          <w:sz w:val="24"/>
          <w:szCs w:val="24"/>
        </w:rPr>
        <w:t xml:space="preserve"> facts. This Court endorsed the High Court’s </w:t>
      </w:r>
      <w:r w:rsidR="00DC3906">
        <w:rPr>
          <w:rFonts w:ascii="Arial" w:hAnsi="Arial" w:cs="Arial"/>
          <w:sz w:val="24"/>
          <w:szCs w:val="24"/>
        </w:rPr>
        <w:t xml:space="preserve">decision </w:t>
      </w:r>
      <w:r w:rsidRPr="00FF47DE">
        <w:rPr>
          <w:rFonts w:ascii="Arial" w:hAnsi="Arial" w:cs="Arial"/>
          <w:sz w:val="24"/>
          <w:szCs w:val="24"/>
        </w:rPr>
        <w:t>and dismissed the appeal with costs including costs of one instructing and one instructed</w:t>
      </w:r>
      <w:r w:rsidR="00CE6F0A">
        <w:rPr>
          <w:rFonts w:ascii="Arial" w:hAnsi="Arial" w:cs="Arial"/>
          <w:sz w:val="24"/>
          <w:szCs w:val="24"/>
        </w:rPr>
        <w:t xml:space="preserve"> legal practitioner</w:t>
      </w:r>
      <w:r w:rsidRPr="00FF47DE">
        <w:rPr>
          <w:rFonts w:ascii="Arial" w:hAnsi="Arial" w:cs="Arial"/>
          <w:sz w:val="24"/>
          <w:szCs w:val="24"/>
        </w:rPr>
        <w:t>.</w:t>
      </w:r>
    </w:p>
    <w:p w:rsidR="00FF47DE" w:rsidRDefault="00FF47DE" w:rsidP="009A1D4D">
      <w:pPr>
        <w:pStyle w:val="NoSpacing"/>
        <w:pBdr>
          <w:bottom w:val="single" w:sz="12" w:space="1" w:color="auto"/>
        </w:pBdr>
        <w:spacing w:line="480" w:lineRule="auto"/>
        <w:jc w:val="both"/>
        <w:rPr>
          <w:rFonts w:ascii="Arial" w:hAnsi="Arial" w:cs="Arial"/>
          <w:b/>
          <w:sz w:val="24"/>
          <w:szCs w:val="24"/>
        </w:rPr>
      </w:pPr>
    </w:p>
    <w:p w:rsidR="000256ED" w:rsidRPr="0043656E" w:rsidRDefault="000256ED" w:rsidP="00A05C06">
      <w:pPr>
        <w:pStyle w:val="NoSpacing"/>
        <w:jc w:val="both"/>
        <w:rPr>
          <w:rFonts w:ascii="Arial" w:hAnsi="Arial" w:cs="Arial"/>
          <w:sz w:val="24"/>
          <w:szCs w:val="24"/>
        </w:rPr>
      </w:pPr>
    </w:p>
    <w:p w:rsidR="000256ED" w:rsidRDefault="00C74807" w:rsidP="00C74807">
      <w:pPr>
        <w:pStyle w:val="NoSpacing"/>
        <w:jc w:val="center"/>
        <w:rPr>
          <w:rFonts w:ascii="Arial" w:hAnsi="Arial" w:cs="Arial"/>
          <w:b/>
          <w:sz w:val="24"/>
          <w:szCs w:val="24"/>
        </w:rPr>
      </w:pPr>
      <w:r>
        <w:rPr>
          <w:rFonts w:ascii="Arial" w:hAnsi="Arial" w:cs="Arial"/>
          <w:b/>
          <w:sz w:val="24"/>
          <w:szCs w:val="24"/>
        </w:rPr>
        <w:t>APPEAL JUDGMENT</w:t>
      </w:r>
    </w:p>
    <w:p w:rsidR="000256ED" w:rsidRPr="0043656E" w:rsidRDefault="000256ED" w:rsidP="00E94B11">
      <w:pPr>
        <w:pStyle w:val="NoSpacing"/>
        <w:pBdr>
          <w:bottom w:val="single" w:sz="12" w:space="1" w:color="auto"/>
        </w:pBdr>
        <w:rPr>
          <w:rFonts w:ascii="Arial" w:hAnsi="Arial" w:cs="Arial"/>
          <w:sz w:val="24"/>
          <w:szCs w:val="24"/>
        </w:rPr>
      </w:pPr>
    </w:p>
    <w:p w:rsidR="000256ED" w:rsidRDefault="000256ED" w:rsidP="00E94B11">
      <w:pPr>
        <w:pStyle w:val="NoSpacing"/>
        <w:rPr>
          <w:rFonts w:ascii="Arial" w:hAnsi="Arial" w:cs="Arial"/>
          <w:sz w:val="24"/>
          <w:szCs w:val="24"/>
        </w:rPr>
      </w:pPr>
    </w:p>
    <w:p w:rsidR="00E94B11" w:rsidRPr="00E94B11" w:rsidRDefault="00E94B11" w:rsidP="00E94B11">
      <w:pPr>
        <w:pStyle w:val="NoSpacing"/>
        <w:rPr>
          <w:rFonts w:ascii="Arial" w:hAnsi="Arial" w:cs="Arial"/>
          <w:sz w:val="24"/>
          <w:szCs w:val="24"/>
        </w:rPr>
      </w:pPr>
    </w:p>
    <w:p w:rsidR="00DB3888" w:rsidRDefault="00E81D7D" w:rsidP="0043656E">
      <w:pPr>
        <w:pStyle w:val="NoSpacing"/>
        <w:spacing w:line="480" w:lineRule="auto"/>
        <w:rPr>
          <w:rFonts w:ascii="Arial" w:hAnsi="Arial" w:cs="Arial"/>
          <w:sz w:val="24"/>
          <w:szCs w:val="24"/>
        </w:rPr>
      </w:pPr>
      <w:r w:rsidRPr="006810E1">
        <w:rPr>
          <w:rFonts w:ascii="Arial" w:hAnsi="Arial" w:cs="Arial"/>
          <w:sz w:val="24"/>
          <w:szCs w:val="24"/>
        </w:rPr>
        <w:t>NKABINDE AJA (</w:t>
      </w:r>
      <w:r w:rsidR="00073BFE" w:rsidRPr="006810E1">
        <w:rPr>
          <w:rFonts w:ascii="Arial" w:hAnsi="Arial" w:cs="Arial"/>
          <w:sz w:val="24"/>
          <w:szCs w:val="24"/>
        </w:rPr>
        <w:t>HOFF JA and MOKGORO AJA</w:t>
      </w:r>
      <w:r w:rsidR="00DB3888" w:rsidRPr="006810E1">
        <w:rPr>
          <w:rFonts w:ascii="Arial" w:hAnsi="Arial" w:cs="Arial"/>
          <w:sz w:val="24"/>
          <w:szCs w:val="24"/>
        </w:rPr>
        <w:t xml:space="preserve"> concurring)</w:t>
      </w:r>
    </w:p>
    <w:p w:rsidR="0038357B" w:rsidRDefault="0038357B" w:rsidP="005C7DE5">
      <w:pPr>
        <w:pStyle w:val="NoSpacing"/>
        <w:spacing w:line="480" w:lineRule="auto"/>
        <w:jc w:val="both"/>
        <w:rPr>
          <w:rFonts w:ascii="Arial" w:hAnsi="Arial" w:cs="Arial"/>
          <w:sz w:val="24"/>
          <w:szCs w:val="24"/>
          <w:u w:val="single"/>
        </w:rPr>
      </w:pPr>
      <w:r w:rsidRPr="0038357B">
        <w:rPr>
          <w:rFonts w:ascii="Arial" w:hAnsi="Arial" w:cs="Arial"/>
          <w:sz w:val="24"/>
          <w:szCs w:val="24"/>
          <w:u w:val="single"/>
        </w:rPr>
        <w:t>Introduction</w:t>
      </w:r>
    </w:p>
    <w:p w:rsidR="0038357B" w:rsidRPr="007F030E" w:rsidRDefault="00DB3888" w:rsidP="005C7DE5">
      <w:pPr>
        <w:pStyle w:val="NoSpacing"/>
        <w:numPr>
          <w:ilvl w:val="0"/>
          <w:numId w:val="13"/>
        </w:numPr>
        <w:spacing w:line="480" w:lineRule="auto"/>
        <w:ind w:left="0" w:firstLine="0"/>
        <w:jc w:val="both"/>
        <w:rPr>
          <w:rFonts w:ascii="Arial" w:hAnsi="Arial" w:cs="Arial"/>
          <w:sz w:val="24"/>
          <w:szCs w:val="24"/>
          <w:u w:val="single"/>
        </w:rPr>
      </w:pPr>
      <w:r w:rsidRPr="00D51A61">
        <w:rPr>
          <w:rFonts w:ascii="Arial" w:hAnsi="Arial" w:cs="Arial"/>
          <w:sz w:val="24"/>
          <w:szCs w:val="24"/>
        </w:rPr>
        <w:t xml:space="preserve">This </w:t>
      </w:r>
      <w:r w:rsidR="0038357B" w:rsidRPr="00D51A61">
        <w:rPr>
          <w:rFonts w:ascii="Arial" w:hAnsi="Arial" w:cs="Arial"/>
          <w:sz w:val="24"/>
          <w:szCs w:val="24"/>
        </w:rPr>
        <w:t xml:space="preserve">opposed </w:t>
      </w:r>
      <w:r w:rsidRPr="00D51A61">
        <w:rPr>
          <w:rFonts w:ascii="Arial" w:hAnsi="Arial" w:cs="Arial"/>
          <w:sz w:val="24"/>
          <w:szCs w:val="24"/>
        </w:rPr>
        <w:t>appeal concerns a partly unsuccessful application in the High Court where the appellant sought a spoliation order against the respondent</w:t>
      </w:r>
      <w:r w:rsidR="00DA1F5F" w:rsidRPr="00D51A61">
        <w:rPr>
          <w:rFonts w:ascii="Arial" w:hAnsi="Arial" w:cs="Arial"/>
          <w:sz w:val="24"/>
          <w:szCs w:val="24"/>
        </w:rPr>
        <w:t>s</w:t>
      </w:r>
      <w:r w:rsidRPr="00D51A61">
        <w:rPr>
          <w:rFonts w:ascii="Arial" w:hAnsi="Arial" w:cs="Arial"/>
          <w:sz w:val="24"/>
          <w:szCs w:val="24"/>
        </w:rPr>
        <w:t xml:space="preserve"> based on </w:t>
      </w:r>
      <w:r w:rsidR="00DA1F5F" w:rsidRPr="00D51A61">
        <w:rPr>
          <w:rFonts w:ascii="Arial" w:hAnsi="Arial" w:cs="Arial"/>
          <w:i/>
          <w:sz w:val="24"/>
          <w:szCs w:val="24"/>
        </w:rPr>
        <w:t xml:space="preserve">mandament </w:t>
      </w:r>
      <w:r w:rsidR="001A1B1F" w:rsidRPr="00D51A61">
        <w:rPr>
          <w:rFonts w:ascii="Arial" w:hAnsi="Arial" w:cs="Arial"/>
          <w:i/>
          <w:sz w:val="24"/>
          <w:szCs w:val="24"/>
        </w:rPr>
        <w:t>van spolie</w:t>
      </w:r>
      <w:r w:rsidR="000032C1" w:rsidRPr="00D51A61">
        <w:rPr>
          <w:rFonts w:ascii="Arial" w:hAnsi="Arial" w:cs="Arial"/>
          <w:sz w:val="24"/>
          <w:szCs w:val="24"/>
        </w:rPr>
        <w:t>.</w:t>
      </w:r>
      <w:r w:rsidRPr="00DB3888">
        <w:rPr>
          <w:rStyle w:val="FootnoteReference"/>
          <w:rFonts w:ascii="Arial" w:hAnsi="Arial" w:cs="Arial"/>
          <w:sz w:val="24"/>
          <w:szCs w:val="24"/>
        </w:rPr>
        <w:footnoteReference w:id="1"/>
      </w:r>
      <w:r w:rsidRPr="00D51A61">
        <w:rPr>
          <w:rFonts w:ascii="Arial" w:hAnsi="Arial" w:cs="Arial"/>
          <w:sz w:val="24"/>
          <w:szCs w:val="24"/>
        </w:rPr>
        <w:t xml:space="preserve"> </w:t>
      </w:r>
      <w:r w:rsidR="000032C1" w:rsidRPr="00D51A61">
        <w:rPr>
          <w:rFonts w:ascii="Arial" w:hAnsi="Arial" w:cs="Arial"/>
          <w:sz w:val="24"/>
          <w:szCs w:val="24"/>
        </w:rPr>
        <w:t xml:space="preserve">In a spoliation application an applicant </w:t>
      </w:r>
      <w:r w:rsidR="001A1B1F" w:rsidRPr="00D51A61">
        <w:rPr>
          <w:rFonts w:ascii="Arial" w:hAnsi="Arial" w:cs="Arial"/>
          <w:sz w:val="24"/>
          <w:szCs w:val="24"/>
        </w:rPr>
        <w:t xml:space="preserve">has to establish certain </w:t>
      </w:r>
      <w:r w:rsidR="001A1B1F" w:rsidRPr="00D51A61">
        <w:rPr>
          <w:rFonts w:ascii="Arial" w:hAnsi="Arial" w:cs="Arial"/>
          <w:sz w:val="24"/>
          <w:szCs w:val="24"/>
        </w:rPr>
        <w:lastRenderedPageBreak/>
        <w:t>essentia</w:t>
      </w:r>
      <w:r w:rsidR="00C43A60" w:rsidRPr="00D51A61">
        <w:rPr>
          <w:rFonts w:ascii="Arial" w:hAnsi="Arial" w:cs="Arial"/>
          <w:sz w:val="24"/>
          <w:szCs w:val="24"/>
        </w:rPr>
        <w:t xml:space="preserve">ls </w:t>
      </w:r>
      <w:r w:rsidR="001A1B1F" w:rsidRPr="00D51A61">
        <w:rPr>
          <w:rFonts w:ascii="Arial" w:hAnsi="Arial" w:cs="Arial"/>
          <w:sz w:val="24"/>
          <w:szCs w:val="24"/>
        </w:rPr>
        <w:t xml:space="preserve">before the order </w:t>
      </w:r>
      <w:r w:rsidR="00DA1F5F" w:rsidRPr="00D51A61">
        <w:rPr>
          <w:rFonts w:ascii="Arial" w:hAnsi="Arial" w:cs="Arial"/>
          <w:sz w:val="24"/>
          <w:szCs w:val="24"/>
        </w:rPr>
        <w:t>may be granted</w:t>
      </w:r>
      <w:r w:rsidR="001A1B1F" w:rsidRPr="00D51A61">
        <w:rPr>
          <w:rFonts w:ascii="Arial" w:hAnsi="Arial" w:cs="Arial"/>
          <w:sz w:val="24"/>
          <w:szCs w:val="24"/>
        </w:rPr>
        <w:t xml:space="preserve">. The High Court held that the appellant had </w:t>
      </w:r>
      <w:r w:rsidR="00C9211A" w:rsidRPr="00D51A61">
        <w:rPr>
          <w:rFonts w:ascii="Arial" w:hAnsi="Arial" w:cs="Arial"/>
          <w:sz w:val="24"/>
          <w:szCs w:val="24"/>
        </w:rPr>
        <w:t xml:space="preserve">the </w:t>
      </w:r>
      <w:r w:rsidR="00BB41D0" w:rsidRPr="00D51A61">
        <w:rPr>
          <w:rFonts w:ascii="Arial" w:hAnsi="Arial" w:cs="Arial"/>
          <w:sz w:val="24"/>
          <w:szCs w:val="24"/>
        </w:rPr>
        <w:t>p</w:t>
      </w:r>
      <w:r w:rsidR="00C9211A" w:rsidRPr="00D51A61">
        <w:rPr>
          <w:rFonts w:ascii="Arial" w:hAnsi="Arial" w:cs="Arial"/>
          <w:sz w:val="24"/>
          <w:szCs w:val="24"/>
        </w:rPr>
        <w:t>hysical possession of the immovable property (flat) concerned through his possession of the key</w:t>
      </w:r>
      <w:r w:rsidR="006810E1" w:rsidRPr="00D51A61">
        <w:rPr>
          <w:rFonts w:ascii="Arial" w:hAnsi="Arial" w:cs="Arial"/>
          <w:sz w:val="24"/>
          <w:szCs w:val="24"/>
        </w:rPr>
        <w:t xml:space="preserve"> and</w:t>
      </w:r>
      <w:r w:rsidR="00C9211A" w:rsidRPr="00D51A61">
        <w:rPr>
          <w:rFonts w:ascii="Arial" w:hAnsi="Arial" w:cs="Arial"/>
          <w:sz w:val="24"/>
          <w:szCs w:val="24"/>
        </w:rPr>
        <w:t xml:space="preserve"> dismissed the application with costs on the basis that he lacked the requisite intention to possess that immovable property and the movable assets which he had abandoned together with the flat. The latter decision of the Court </w:t>
      </w:r>
      <w:r w:rsidR="00C9211A" w:rsidRPr="00D51A61">
        <w:rPr>
          <w:rFonts w:ascii="Arial" w:hAnsi="Arial" w:cs="Arial"/>
          <w:i/>
          <w:sz w:val="24"/>
          <w:szCs w:val="24"/>
        </w:rPr>
        <w:t>a quo</w:t>
      </w:r>
      <w:r w:rsidR="00C9211A" w:rsidRPr="00D51A61">
        <w:rPr>
          <w:rFonts w:ascii="Arial" w:hAnsi="Arial" w:cs="Arial"/>
          <w:sz w:val="24"/>
          <w:szCs w:val="24"/>
        </w:rPr>
        <w:t xml:space="preserve"> is the subject matter of this appeal.</w:t>
      </w:r>
      <w:r w:rsidR="00C3417E" w:rsidRPr="00D51A61">
        <w:rPr>
          <w:rFonts w:ascii="Arial" w:hAnsi="Arial" w:cs="Arial"/>
          <w:sz w:val="24"/>
          <w:szCs w:val="24"/>
        </w:rPr>
        <w:t xml:space="preserve"> Essentially, the issue for determination is whether the app</w:t>
      </w:r>
      <w:r w:rsidR="0038357B" w:rsidRPr="00D51A61">
        <w:rPr>
          <w:rFonts w:ascii="Arial" w:hAnsi="Arial" w:cs="Arial"/>
          <w:sz w:val="24"/>
          <w:szCs w:val="24"/>
        </w:rPr>
        <w:t>ellants satisfied the requisite of being in peaceful and undisturbed possession of the flat and whether he was unlawfully dispossessed of such possession.</w:t>
      </w:r>
    </w:p>
    <w:p w:rsidR="007F030E" w:rsidRDefault="007F030E" w:rsidP="007F030E">
      <w:pPr>
        <w:pStyle w:val="NoSpacing"/>
        <w:spacing w:line="480" w:lineRule="auto"/>
        <w:jc w:val="both"/>
        <w:rPr>
          <w:rFonts w:ascii="Arial" w:hAnsi="Arial" w:cs="Arial"/>
          <w:sz w:val="24"/>
          <w:szCs w:val="24"/>
          <w:u w:val="single"/>
        </w:rPr>
      </w:pPr>
    </w:p>
    <w:p w:rsidR="007F030E" w:rsidRPr="0038357B" w:rsidRDefault="007F030E" w:rsidP="007F030E">
      <w:pPr>
        <w:pStyle w:val="NoSpacing"/>
        <w:spacing w:line="480" w:lineRule="auto"/>
        <w:jc w:val="both"/>
        <w:rPr>
          <w:rFonts w:ascii="Arial" w:hAnsi="Arial" w:cs="Arial"/>
          <w:sz w:val="24"/>
          <w:szCs w:val="24"/>
          <w:u w:val="single"/>
        </w:rPr>
      </w:pPr>
      <w:r>
        <w:rPr>
          <w:rFonts w:ascii="Arial" w:hAnsi="Arial" w:cs="Arial"/>
          <w:sz w:val="24"/>
          <w:szCs w:val="24"/>
          <w:u w:val="single"/>
        </w:rPr>
        <w:t>Background facts and litigation history</w:t>
      </w:r>
    </w:p>
    <w:p w:rsidR="00C04B5B" w:rsidRPr="007F030E" w:rsidRDefault="0038357B" w:rsidP="005C7DE5">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The appellant and first respondents are brothers. The second respondent is their aunt who has found herself in the centre of a bi</w:t>
      </w:r>
      <w:r w:rsidR="00532FFB" w:rsidRPr="007F030E">
        <w:rPr>
          <w:rFonts w:ascii="Arial" w:hAnsi="Arial" w:cs="Arial"/>
          <w:sz w:val="24"/>
          <w:szCs w:val="24"/>
        </w:rPr>
        <w:t xml:space="preserve">tter feud between her nephews. </w:t>
      </w:r>
      <w:r w:rsidR="00C04B5B" w:rsidRPr="007F030E">
        <w:rPr>
          <w:rFonts w:ascii="Arial" w:hAnsi="Arial" w:cs="Arial"/>
          <w:sz w:val="24"/>
          <w:szCs w:val="24"/>
        </w:rPr>
        <w:t xml:space="preserve">She is a more than eighty four years old widow and, due to poor health, unable to take care of herself. </w:t>
      </w:r>
    </w:p>
    <w:p w:rsidR="007F030E" w:rsidRPr="007F030E" w:rsidRDefault="007F030E" w:rsidP="007F030E">
      <w:pPr>
        <w:pStyle w:val="NoSpacing"/>
        <w:spacing w:line="480" w:lineRule="auto"/>
        <w:jc w:val="both"/>
        <w:rPr>
          <w:rFonts w:ascii="Arial" w:hAnsi="Arial" w:cs="Arial"/>
          <w:sz w:val="24"/>
          <w:szCs w:val="24"/>
          <w:u w:val="single"/>
        </w:rPr>
      </w:pPr>
    </w:p>
    <w:p w:rsidR="00BA185D" w:rsidRPr="007F030E" w:rsidRDefault="0038357B" w:rsidP="005C7DE5">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The dispute between the brothers concerns possession of a fl</w:t>
      </w:r>
      <w:r w:rsidR="00F41B93" w:rsidRPr="007F030E">
        <w:rPr>
          <w:rFonts w:ascii="Arial" w:hAnsi="Arial" w:cs="Arial"/>
          <w:sz w:val="24"/>
          <w:szCs w:val="24"/>
        </w:rPr>
        <w:t>at owned by the first responde</w:t>
      </w:r>
      <w:r w:rsidRPr="007F030E">
        <w:rPr>
          <w:rFonts w:ascii="Arial" w:hAnsi="Arial" w:cs="Arial"/>
          <w:sz w:val="24"/>
          <w:szCs w:val="24"/>
        </w:rPr>
        <w:t>nt and situated in his yard</w:t>
      </w:r>
      <w:r w:rsidR="00532FFB" w:rsidRPr="007F030E">
        <w:rPr>
          <w:rFonts w:ascii="Arial" w:hAnsi="Arial" w:cs="Arial"/>
          <w:sz w:val="24"/>
          <w:szCs w:val="24"/>
        </w:rPr>
        <w:t xml:space="preserve">. </w:t>
      </w:r>
      <w:r w:rsidR="00474787" w:rsidRPr="007F030E">
        <w:rPr>
          <w:rFonts w:ascii="Arial" w:hAnsi="Arial" w:cs="Arial"/>
          <w:sz w:val="24"/>
          <w:szCs w:val="24"/>
        </w:rPr>
        <w:t xml:space="preserve">It is common cause that the </w:t>
      </w:r>
      <w:r w:rsidR="00F41B93" w:rsidRPr="007F030E">
        <w:rPr>
          <w:rFonts w:ascii="Arial" w:hAnsi="Arial" w:cs="Arial"/>
          <w:sz w:val="24"/>
          <w:szCs w:val="24"/>
        </w:rPr>
        <w:t>flat was made available to the appellant</w:t>
      </w:r>
      <w:r w:rsidR="00474787" w:rsidRPr="007F030E">
        <w:rPr>
          <w:rFonts w:ascii="Arial" w:hAnsi="Arial" w:cs="Arial"/>
          <w:sz w:val="24"/>
          <w:szCs w:val="24"/>
        </w:rPr>
        <w:t xml:space="preserve"> for use</w:t>
      </w:r>
      <w:r w:rsidR="00C76976" w:rsidRPr="007F030E">
        <w:rPr>
          <w:rFonts w:ascii="Arial" w:hAnsi="Arial" w:cs="Arial"/>
          <w:sz w:val="24"/>
          <w:szCs w:val="24"/>
        </w:rPr>
        <w:t xml:space="preserve">. </w:t>
      </w:r>
      <w:r w:rsidR="00A46094" w:rsidRPr="007F030E">
        <w:rPr>
          <w:rFonts w:ascii="Arial" w:hAnsi="Arial" w:cs="Arial"/>
          <w:sz w:val="24"/>
          <w:szCs w:val="24"/>
        </w:rPr>
        <w:t>There are conflicting reasons why the appell</w:t>
      </w:r>
      <w:r w:rsidR="006810E1" w:rsidRPr="007F030E">
        <w:rPr>
          <w:rFonts w:ascii="Arial" w:hAnsi="Arial" w:cs="Arial"/>
          <w:sz w:val="24"/>
          <w:szCs w:val="24"/>
        </w:rPr>
        <w:t>ant occupied the flat. According</w:t>
      </w:r>
      <w:r w:rsidR="00A46094" w:rsidRPr="007F030E">
        <w:rPr>
          <w:rFonts w:ascii="Arial" w:hAnsi="Arial" w:cs="Arial"/>
          <w:sz w:val="24"/>
          <w:szCs w:val="24"/>
        </w:rPr>
        <w:t xml:space="preserve"> to</w:t>
      </w:r>
      <w:r w:rsidR="006810E1" w:rsidRPr="007F030E">
        <w:rPr>
          <w:rFonts w:ascii="Arial" w:hAnsi="Arial" w:cs="Arial"/>
          <w:sz w:val="24"/>
          <w:szCs w:val="24"/>
        </w:rPr>
        <w:t xml:space="preserve"> him they had concluded an oral </w:t>
      </w:r>
      <w:r w:rsidR="00A46094" w:rsidRPr="007F030E">
        <w:rPr>
          <w:rFonts w:ascii="Arial" w:hAnsi="Arial" w:cs="Arial"/>
          <w:sz w:val="24"/>
          <w:szCs w:val="24"/>
        </w:rPr>
        <w:t>agreement</w:t>
      </w:r>
      <w:r w:rsidR="00474787" w:rsidRPr="007F030E">
        <w:rPr>
          <w:rFonts w:ascii="Arial" w:hAnsi="Arial" w:cs="Arial"/>
          <w:sz w:val="24"/>
          <w:szCs w:val="24"/>
        </w:rPr>
        <w:t xml:space="preserve"> </w:t>
      </w:r>
      <w:r w:rsidR="00A46094" w:rsidRPr="007F030E">
        <w:rPr>
          <w:rFonts w:ascii="Arial" w:hAnsi="Arial" w:cs="Arial"/>
          <w:sz w:val="24"/>
          <w:szCs w:val="24"/>
        </w:rPr>
        <w:t xml:space="preserve">in terms of which he would upgrade the flat and furnish it at his costs and that the first respondent </w:t>
      </w:r>
      <w:r w:rsidR="006810E1" w:rsidRPr="007F030E">
        <w:rPr>
          <w:rFonts w:ascii="Arial" w:hAnsi="Arial" w:cs="Arial"/>
          <w:sz w:val="24"/>
          <w:szCs w:val="24"/>
        </w:rPr>
        <w:t xml:space="preserve">would not allow </w:t>
      </w:r>
      <w:r w:rsidR="00A46094" w:rsidRPr="007F030E">
        <w:rPr>
          <w:rFonts w:ascii="Arial" w:hAnsi="Arial" w:cs="Arial"/>
          <w:sz w:val="24"/>
          <w:szCs w:val="24"/>
        </w:rPr>
        <w:t>anyone into that flat. The first respondent, he stated, breached the agreem</w:t>
      </w:r>
      <w:r w:rsidR="00BA185D" w:rsidRPr="007F030E">
        <w:rPr>
          <w:rFonts w:ascii="Arial" w:hAnsi="Arial" w:cs="Arial"/>
          <w:sz w:val="24"/>
          <w:szCs w:val="24"/>
        </w:rPr>
        <w:t xml:space="preserve">ent </w:t>
      </w:r>
      <w:r w:rsidR="00A46094" w:rsidRPr="007F030E">
        <w:rPr>
          <w:rFonts w:ascii="Arial" w:hAnsi="Arial" w:cs="Arial"/>
          <w:sz w:val="24"/>
          <w:szCs w:val="24"/>
        </w:rPr>
        <w:t xml:space="preserve">when </w:t>
      </w:r>
      <w:r w:rsidR="00BA185D" w:rsidRPr="007F030E">
        <w:rPr>
          <w:rFonts w:ascii="Arial" w:hAnsi="Arial" w:cs="Arial"/>
          <w:sz w:val="24"/>
          <w:szCs w:val="24"/>
        </w:rPr>
        <w:t xml:space="preserve">the first respondent allowed their aunt to stay in the flat and was asked to remove his belongings. </w:t>
      </w:r>
    </w:p>
    <w:p w:rsidR="007F030E" w:rsidRDefault="007F030E" w:rsidP="007F030E">
      <w:pPr>
        <w:pStyle w:val="ListParagraph"/>
        <w:spacing w:after="0" w:line="480" w:lineRule="auto"/>
        <w:rPr>
          <w:rFonts w:ascii="Arial" w:hAnsi="Arial" w:cs="Arial"/>
          <w:sz w:val="24"/>
          <w:szCs w:val="24"/>
          <w:u w:val="single"/>
        </w:rPr>
      </w:pPr>
    </w:p>
    <w:p w:rsidR="00F112B1" w:rsidRPr="007F030E" w:rsidRDefault="00BA185D" w:rsidP="005C7DE5">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lastRenderedPageBreak/>
        <w:t>However, according to the first respond</w:t>
      </w:r>
      <w:r w:rsidR="003C7476">
        <w:rPr>
          <w:rFonts w:ascii="Arial" w:hAnsi="Arial" w:cs="Arial"/>
          <w:sz w:val="24"/>
          <w:szCs w:val="24"/>
        </w:rPr>
        <w:t xml:space="preserve">ent the appellant lent him N$23 </w:t>
      </w:r>
      <w:r w:rsidRPr="007F030E">
        <w:rPr>
          <w:rFonts w:ascii="Arial" w:hAnsi="Arial" w:cs="Arial"/>
          <w:sz w:val="24"/>
          <w:szCs w:val="24"/>
        </w:rPr>
        <w:t xml:space="preserve">400 </w:t>
      </w:r>
      <w:r w:rsidR="007562BA" w:rsidRPr="007F030E">
        <w:rPr>
          <w:rFonts w:ascii="Arial" w:hAnsi="Arial" w:cs="Arial"/>
          <w:sz w:val="24"/>
          <w:szCs w:val="24"/>
        </w:rPr>
        <w:t xml:space="preserve">for his relocation from South Africa to Namibia. Appellant purchased floor tiles and two </w:t>
      </w:r>
      <w:r w:rsidR="00C04702" w:rsidRPr="007F030E">
        <w:rPr>
          <w:rFonts w:ascii="Arial" w:hAnsi="Arial" w:cs="Arial"/>
          <w:sz w:val="24"/>
          <w:szCs w:val="24"/>
        </w:rPr>
        <w:t>wi</w:t>
      </w:r>
      <w:r w:rsidR="007562BA" w:rsidRPr="007F030E">
        <w:rPr>
          <w:rFonts w:ascii="Arial" w:hAnsi="Arial" w:cs="Arial"/>
          <w:sz w:val="24"/>
          <w:szCs w:val="24"/>
        </w:rPr>
        <w:t xml:space="preserve">ndow frames for the flat. In exchange of these items the appellant </w:t>
      </w:r>
      <w:r w:rsidR="00A46094" w:rsidRPr="007F030E">
        <w:rPr>
          <w:rFonts w:ascii="Arial" w:hAnsi="Arial" w:cs="Arial"/>
          <w:sz w:val="24"/>
          <w:szCs w:val="24"/>
        </w:rPr>
        <w:t xml:space="preserve">would </w:t>
      </w:r>
      <w:r w:rsidR="00C04702" w:rsidRPr="007F030E">
        <w:rPr>
          <w:rFonts w:ascii="Arial" w:hAnsi="Arial" w:cs="Arial"/>
          <w:sz w:val="24"/>
          <w:szCs w:val="24"/>
        </w:rPr>
        <w:t>use the flat when</w:t>
      </w:r>
      <w:r w:rsidR="004F040B" w:rsidRPr="007F030E">
        <w:rPr>
          <w:rFonts w:ascii="Arial" w:hAnsi="Arial" w:cs="Arial"/>
          <w:sz w:val="24"/>
          <w:szCs w:val="24"/>
        </w:rPr>
        <w:t xml:space="preserve"> visiting </w:t>
      </w:r>
      <w:r w:rsidR="00474787" w:rsidRPr="007F030E">
        <w:rPr>
          <w:rFonts w:ascii="Arial" w:hAnsi="Arial" w:cs="Arial"/>
          <w:sz w:val="24"/>
          <w:szCs w:val="24"/>
        </w:rPr>
        <w:t xml:space="preserve">and </w:t>
      </w:r>
      <w:r w:rsidR="00C04702" w:rsidRPr="007F030E">
        <w:rPr>
          <w:rFonts w:ascii="Arial" w:hAnsi="Arial" w:cs="Arial"/>
          <w:sz w:val="24"/>
          <w:szCs w:val="24"/>
        </w:rPr>
        <w:t>would not pay rent, water and electricity. T</w:t>
      </w:r>
      <w:r w:rsidR="00474787" w:rsidRPr="007F030E">
        <w:rPr>
          <w:rFonts w:ascii="Arial" w:hAnsi="Arial" w:cs="Arial"/>
          <w:sz w:val="24"/>
          <w:szCs w:val="24"/>
        </w:rPr>
        <w:t>he a</w:t>
      </w:r>
      <w:r w:rsidR="00C04702" w:rsidRPr="007F030E">
        <w:rPr>
          <w:rFonts w:ascii="Arial" w:hAnsi="Arial" w:cs="Arial"/>
          <w:sz w:val="24"/>
          <w:szCs w:val="24"/>
        </w:rPr>
        <w:t xml:space="preserve">ppellant took possession </w:t>
      </w:r>
      <w:r w:rsidR="003B69AE" w:rsidRPr="007F030E">
        <w:rPr>
          <w:rFonts w:ascii="Arial" w:hAnsi="Arial" w:cs="Arial"/>
          <w:sz w:val="24"/>
          <w:szCs w:val="24"/>
        </w:rPr>
        <w:t xml:space="preserve">of and </w:t>
      </w:r>
      <w:r w:rsidR="00C04702" w:rsidRPr="007F030E">
        <w:rPr>
          <w:rFonts w:ascii="Arial" w:hAnsi="Arial" w:cs="Arial"/>
          <w:sz w:val="24"/>
          <w:szCs w:val="24"/>
        </w:rPr>
        <w:t xml:space="preserve">moved </w:t>
      </w:r>
      <w:r w:rsidR="00F41B93" w:rsidRPr="007F030E">
        <w:rPr>
          <w:rFonts w:ascii="Arial" w:hAnsi="Arial" w:cs="Arial"/>
          <w:sz w:val="24"/>
          <w:szCs w:val="24"/>
        </w:rPr>
        <w:t xml:space="preserve">his furniture </w:t>
      </w:r>
      <w:r w:rsidR="003B69AE" w:rsidRPr="007F030E">
        <w:rPr>
          <w:rFonts w:ascii="Arial" w:hAnsi="Arial" w:cs="Arial"/>
          <w:sz w:val="24"/>
          <w:szCs w:val="24"/>
        </w:rPr>
        <w:t xml:space="preserve">into the flat </w:t>
      </w:r>
      <w:r w:rsidR="00F41B93" w:rsidRPr="007F030E">
        <w:rPr>
          <w:rFonts w:ascii="Arial" w:hAnsi="Arial" w:cs="Arial"/>
          <w:sz w:val="24"/>
          <w:szCs w:val="24"/>
        </w:rPr>
        <w:t>but</w:t>
      </w:r>
      <w:r w:rsidR="00474787" w:rsidRPr="007F030E">
        <w:rPr>
          <w:rFonts w:ascii="Arial" w:hAnsi="Arial" w:cs="Arial"/>
          <w:sz w:val="24"/>
          <w:szCs w:val="24"/>
        </w:rPr>
        <w:t xml:space="preserve"> allegedly </w:t>
      </w:r>
      <w:r w:rsidR="00F41B93" w:rsidRPr="007F030E">
        <w:rPr>
          <w:rFonts w:ascii="Arial" w:hAnsi="Arial" w:cs="Arial"/>
          <w:sz w:val="24"/>
          <w:szCs w:val="24"/>
        </w:rPr>
        <w:t xml:space="preserve">stayed there </w:t>
      </w:r>
      <w:r w:rsidR="00474787" w:rsidRPr="007F030E">
        <w:rPr>
          <w:rFonts w:ascii="Arial" w:hAnsi="Arial" w:cs="Arial"/>
          <w:sz w:val="24"/>
          <w:szCs w:val="24"/>
        </w:rPr>
        <w:t>only on t</w:t>
      </w:r>
      <w:r w:rsidR="00F41B93" w:rsidRPr="007F030E">
        <w:rPr>
          <w:rFonts w:ascii="Arial" w:hAnsi="Arial" w:cs="Arial"/>
          <w:sz w:val="24"/>
          <w:szCs w:val="24"/>
        </w:rPr>
        <w:t>wo occasions.</w:t>
      </w:r>
      <w:r w:rsidR="004F040B" w:rsidRPr="007F030E">
        <w:rPr>
          <w:rFonts w:ascii="Arial" w:hAnsi="Arial" w:cs="Arial"/>
          <w:sz w:val="24"/>
          <w:szCs w:val="24"/>
        </w:rPr>
        <w:t xml:space="preserve"> He changed locks of the flat without notifying the first respondent or giving him spare keys.</w:t>
      </w:r>
      <w:r w:rsidR="00F41B93" w:rsidRPr="007F030E">
        <w:rPr>
          <w:rFonts w:ascii="Arial" w:hAnsi="Arial" w:cs="Arial"/>
          <w:sz w:val="24"/>
          <w:szCs w:val="24"/>
        </w:rPr>
        <w:t xml:space="preserve"> After </w:t>
      </w:r>
      <w:r w:rsidR="00C04B5B" w:rsidRPr="007F030E">
        <w:rPr>
          <w:rFonts w:ascii="Arial" w:hAnsi="Arial" w:cs="Arial"/>
          <w:sz w:val="24"/>
          <w:szCs w:val="24"/>
        </w:rPr>
        <w:t xml:space="preserve">the appellant’s alleged </w:t>
      </w:r>
      <w:r w:rsidR="00F41B93" w:rsidRPr="007F030E">
        <w:rPr>
          <w:rFonts w:ascii="Arial" w:hAnsi="Arial" w:cs="Arial"/>
          <w:sz w:val="24"/>
          <w:szCs w:val="24"/>
        </w:rPr>
        <w:t xml:space="preserve">long absence from the </w:t>
      </w:r>
      <w:r w:rsidR="00C04B5B" w:rsidRPr="007F030E">
        <w:rPr>
          <w:rFonts w:ascii="Arial" w:hAnsi="Arial" w:cs="Arial"/>
          <w:sz w:val="24"/>
          <w:szCs w:val="24"/>
        </w:rPr>
        <w:t xml:space="preserve">neglected </w:t>
      </w:r>
      <w:r w:rsidR="00F41B93" w:rsidRPr="007F030E">
        <w:rPr>
          <w:rFonts w:ascii="Arial" w:hAnsi="Arial" w:cs="Arial"/>
          <w:sz w:val="24"/>
          <w:szCs w:val="24"/>
        </w:rPr>
        <w:t xml:space="preserve">flat </w:t>
      </w:r>
      <w:r w:rsidR="00AF3C0A" w:rsidRPr="007F030E">
        <w:rPr>
          <w:rFonts w:ascii="Arial" w:hAnsi="Arial" w:cs="Arial"/>
          <w:sz w:val="24"/>
          <w:szCs w:val="24"/>
        </w:rPr>
        <w:t xml:space="preserve">he was requested in writing to remove his belonging so that the </w:t>
      </w:r>
      <w:r w:rsidR="00F41B93" w:rsidRPr="007F030E">
        <w:rPr>
          <w:rFonts w:ascii="Arial" w:hAnsi="Arial" w:cs="Arial"/>
          <w:sz w:val="24"/>
          <w:szCs w:val="24"/>
        </w:rPr>
        <w:t>elderly</w:t>
      </w:r>
      <w:r w:rsidR="00C04B5B" w:rsidRPr="007F030E">
        <w:rPr>
          <w:rFonts w:ascii="Arial" w:hAnsi="Arial" w:cs="Arial"/>
          <w:sz w:val="24"/>
          <w:szCs w:val="24"/>
        </w:rPr>
        <w:t xml:space="preserve"> and frail </w:t>
      </w:r>
      <w:r w:rsidR="00F41B93" w:rsidRPr="007F030E">
        <w:rPr>
          <w:rFonts w:ascii="Arial" w:hAnsi="Arial" w:cs="Arial"/>
          <w:sz w:val="24"/>
          <w:szCs w:val="24"/>
        </w:rPr>
        <w:t xml:space="preserve">aunt </w:t>
      </w:r>
      <w:r w:rsidR="00AF3C0A" w:rsidRPr="007F030E">
        <w:rPr>
          <w:rFonts w:ascii="Arial" w:hAnsi="Arial" w:cs="Arial"/>
          <w:sz w:val="24"/>
          <w:szCs w:val="24"/>
        </w:rPr>
        <w:t xml:space="preserve">could be </w:t>
      </w:r>
      <w:r w:rsidR="00C04B5B" w:rsidRPr="007F030E">
        <w:rPr>
          <w:rFonts w:ascii="Arial" w:hAnsi="Arial" w:cs="Arial"/>
          <w:sz w:val="24"/>
          <w:szCs w:val="24"/>
        </w:rPr>
        <w:t xml:space="preserve">moved </w:t>
      </w:r>
      <w:r w:rsidR="00F41B93" w:rsidRPr="007F030E">
        <w:rPr>
          <w:rFonts w:ascii="Arial" w:hAnsi="Arial" w:cs="Arial"/>
          <w:sz w:val="24"/>
          <w:szCs w:val="24"/>
        </w:rPr>
        <w:t>into th</w:t>
      </w:r>
      <w:r w:rsidR="00AF3C0A" w:rsidRPr="007F030E">
        <w:rPr>
          <w:rFonts w:ascii="Arial" w:hAnsi="Arial" w:cs="Arial"/>
          <w:sz w:val="24"/>
          <w:szCs w:val="24"/>
        </w:rPr>
        <w:t xml:space="preserve">at </w:t>
      </w:r>
      <w:r w:rsidR="00F41B93" w:rsidRPr="007F030E">
        <w:rPr>
          <w:rFonts w:ascii="Arial" w:hAnsi="Arial" w:cs="Arial"/>
          <w:sz w:val="24"/>
          <w:szCs w:val="24"/>
        </w:rPr>
        <w:t>flat</w:t>
      </w:r>
      <w:r w:rsidR="00AF3C0A" w:rsidRPr="007F030E">
        <w:rPr>
          <w:rFonts w:ascii="Arial" w:hAnsi="Arial" w:cs="Arial"/>
          <w:sz w:val="24"/>
          <w:szCs w:val="24"/>
        </w:rPr>
        <w:t>. The reason was to enable the first respondent and his wife to take care of her</w:t>
      </w:r>
      <w:r w:rsidR="00F41B93" w:rsidRPr="007F030E">
        <w:rPr>
          <w:rFonts w:ascii="Arial" w:hAnsi="Arial" w:cs="Arial"/>
          <w:sz w:val="24"/>
          <w:szCs w:val="24"/>
        </w:rPr>
        <w:t>.</w:t>
      </w:r>
    </w:p>
    <w:p w:rsidR="007F030E" w:rsidRDefault="007F030E" w:rsidP="007F030E">
      <w:pPr>
        <w:pStyle w:val="ListParagraph"/>
        <w:spacing w:after="0" w:line="480" w:lineRule="auto"/>
        <w:rPr>
          <w:rFonts w:ascii="Arial" w:hAnsi="Arial" w:cs="Arial"/>
          <w:sz w:val="24"/>
          <w:szCs w:val="24"/>
          <w:u w:val="single"/>
        </w:rPr>
      </w:pPr>
    </w:p>
    <w:p w:rsidR="00F112B1" w:rsidRPr="007F030E" w:rsidRDefault="00F41B93" w:rsidP="00073BFE">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Th</w:t>
      </w:r>
      <w:r w:rsidR="00AF3C0A" w:rsidRPr="007F030E">
        <w:rPr>
          <w:rFonts w:ascii="Arial" w:hAnsi="Arial" w:cs="Arial"/>
          <w:sz w:val="24"/>
          <w:szCs w:val="24"/>
        </w:rPr>
        <w:t>e appellant considered the request to constitute spoliation</w:t>
      </w:r>
      <w:r w:rsidR="0026378D" w:rsidRPr="007F030E">
        <w:rPr>
          <w:rFonts w:ascii="Arial" w:hAnsi="Arial" w:cs="Arial"/>
          <w:sz w:val="24"/>
          <w:szCs w:val="24"/>
        </w:rPr>
        <w:t xml:space="preserve">. That </w:t>
      </w:r>
      <w:r w:rsidR="00AF3C0A" w:rsidRPr="007F030E">
        <w:rPr>
          <w:rFonts w:ascii="Arial" w:hAnsi="Arial" w:cs="Arial"/>
          <w:sz w:val="24"/>
          <w:szCs w:val="24"/>
        </w:rPr>
        <w:t>caused an acrimonious relationship between these siblings</w:t>
      </w:r>
      <w:r w:rsidR="0026378D" w:rsidRPr="007F030E">
        <w:rPr>
          <w:rFonts w:ascii="Arial" w:hAnsi="Arial" w:cs="Arial"/>
          <w:sz w:val="24"/>
          <w:szCs w:val="24"/>
        </w:rPr>
        <w:t xml:space="preserve"> and </w:t>
      </w:r>
      <w:r w:rsidR="00AF3C0A" w:rsidRPr="007F030E">
        <w:rPr>
          <w:rFonts w:ascii="Arial" w:hAnsi="Arial" w:cs="Arial"/>
          <w:sz w:val="24"/>
          <w:szCs w:val="24"/>
        </w:rPr>
        <w:t xml:space="preserve">gave rise </w:t>
      </w:r>
      <w:r w:rsidR="005C7DE5" w:rsidRPr="007F030E">
        <w:rPr>
          <w:rFonts w:ascii="Arial" w:hAnsi="Arial" w:cs="Arial"/>
          <w:sz w:val="24"/>
          <w:szCs w:val="24"/>
        </w:rPr>
        <w:t>to litigation in the Magistrate’s C</w:t>
      </w:r>
      <w:r w:rsidR="00CE6F0A">
        <w:rPr>
          <w:rFonts w:ascii="Arial" w:hAnsi="Arial" w:cs="Arial"/>
          <w:sz w:val="24"/>
          <w:szCs w:val="24"/>
        </w:rPr>
        <w:t>ourt in which the appellant</w:t>
      </w:r>
      <w:r w:rsidR="00AF3C0A" w:rsidRPr="007F030E">
        <w:rPr>
          <w:rFonts w:ascii="Arial" w:hAnsi="Arial" w:cs="Arial"/>
          <w:sz w:val="24"/>
          <w:szCs w:val="24"/>
        </w:rPr>
        <w:t xml:space="preserve"> </w:t>
      </w:r>
      <w:r w:rsidR="00104440" w:rsidRPr="007F030E">
        <w:rPr>
          <w:rFonts w:ascii="Arial" w:hAnsi="Arial" w:cs="Arial"/>
          <w:sz w:val="24"/>
          <w:szCs w:val="24"/>
        </w:rPr>
        <w:t>sought damages arising out of an alleged loan to the first respondent. Allegedly, the fu</w:t>
      </w:r>
      <w:r w:rsidR="00C76976" w:rsidRPr="007F030E">
        <w:rPr>
          <w:rFonts w:ascii="Arial" w:hAnsi="Arial" w:cs="Arial"/>
          <w:sz w:val="24"/>
          <w:szCs w:val="24"/>
        </w:rPr>
        <w:t xml:space="preserve">nds were used to refurbish the </w:t>
      </w:r>
      <w:r w:rsidR="00104440" w:rsidRPr="007F030E">
        <w:rPr>
          <w:rFonts w:ascii="Arial" w:hAnsi="Arial" w:cs="Arial"/>
          <w:sz w:val="24"/>
          <w:szCs w:val="24"/>
        </w:rPr>
        <w:t>flat</w:t>
      </w:r>
      <w:r w:rsidR="00D35F38" w:rsidRPr="007F030E">
        <w:rPr>
          <w:rFonts w:ascii="Arial" w:hAnsi="Arial" w:cs="Arial"/>
          <w:sz w:val="24"/>
          <w:szCs w:val="24"/>
        </w:rPr>
        <w:t xml:space="preserve"> into a habitable setting </w:t>
      </w:r>
      <w:r w:rsidR="00CE6F0A">
        <w:rPr>
          <w:rFonts w:ascii="Arial" w:hAnsi="Arial" w:cs="Arial"/>
          <w:sz w:val="24"/>
          <w:szCs w:val="24"/>
        </w:rPr>
        <w:t>for occupation by the appellant</w:t>
      </w:r>
      <w:r w:rsidR="00D35F38" w:rsidRPr="007F030E">
        <w:rPr>
          <w:rFonts w:ascii="Arial" w:hAnsi="Arial" w:cs="Arial"/>
          <w:sz w:val="24"/>
          <w:szCs w:val="24"/>
        </w:rPr>
        <w:t>, his family and friends</w:t>
      </w:r>
      <w:r w:rsidR="00104440" w:rsidRPr="007F030E">
        <w:rPr>
          <w:rFonts w:ascii="Arial" w:hAnsi="Arial" w:cs="Arial"/>
          <w:sz w:val="24"/>
          <w:szCs w:val="24"/>
        </w:rPr>
        <w:t>. The first respondent also applied for the eviction of the appellant from the flat.</w:t>
      </w:r>
    </w:p>
    <w:p w:rsidR="007F030E" w:rsidRDefault="007F030E" w:rsidP="007F030E">
      <w:pPr>
        <w:pStyle w:val="ListParagraph"/>
        <w:spacing w:after="0" w:line="480" w:lineRule="auto"/>
        <w:rPr>
          <w:rFonts w:ascii="Arial" w:hAnsi="Arial" w:cs="Arial"/>
          <w:sz w:val="24"/>
          <w:szCs w:val="24"/>
          <w:u w:val="single"/>
        </w:rPr>
      </w:pPr>
    </w:p>
    <w:p w:rsidR="005C7DE5" w:rsidRPr="007F030E" w:rsidRDefault="00F112B1" w:rsidP="005C7DE5">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 xml:space="preserve">In the meantime </w:t>
      </w:r>
      <w:r w:rsidR="00104440" w:rsidRPr="007F030E">
        <w:rPr>
          <w:rFonts w:ascii="Arial" w:hAnsi="Arial" w:cs="Arial"/>
          <w:sz w:val="24"/>
          <w:szCs w:val="24"/>
        </w:rPr>
        <w:t>the appellant sought a spoliation order in the High Court</w:t>
      </w:r>
      <w:r w:rsidRPr="007F030E">
        <w:rPr>
          <w:rFonts w:ascii="Arial" w:hAnsi="Arial" w:cs="Arial"/>
          <w:sz w:val="24"/>
          <w:szCs w:val="24"/>
        </w:rPr>
        <w:t xml:space="preserve"> </w:t>
      </w:r>
      <w:r w:rsidR="00104440" w:rsidRPr="007F030E">
        <w:rPr>
          <w:rFonts w:ascii="Arial" w:hAnsi="Arial" w:cs="Arial"/>
          <w:sz w:val="24"/>
          <w:szCs w:val="24"/>
        </w:rPr>
        <w:t>−</w:t>
      </w:r>
      <w:r w:rsidRPr="007F030E">
        <w:rPr>
          <w:rFonts w:ascii="Arial" w:hAnsi="Arial" w:cs="Arial"/>
          <w:sz w:val="24"/>
          <w:szCs w:val="24"/>
        </w:rPr>
        <w:t xml:space="preserve"> </w:t>
      </w:r>
      <w:r w:rsidR="00104440" w:rsidRPr="007F030E">
        <w:rPr>
          <w:rFonts w:ascii="Arial" w:hAnsi="Arial" w:cs="Arial"/>
          <w:sz w:val="24"/>
          <w:szCs w:val="24"/>
        </w:rPr>
        <w:t xml:space="preserve">proceedings that are a sequel to </w:t>
      </w:r>
      <w:r w:rsidRPr="007F030E">
        <w:rPr>
          <w:rFonts w:ascii="Arial" w:hAnsi="Arial" w:cs="Arial"/>
          <w:sz w:val="24"/>
          <w:szCs w:val="24"/>
        </w:rPr>
        <w:t xml:space="preserve">this appeal. </w:t>
      </w:r>
      <w:r w:rsidR="0026378D" w:rsidRPr="007F030E">
        <w:rPr>
          <w:rFonts w:ascii="Arial" w:hAnsi="Arial" w:cs="Arial"/>
          <w:sz w:val="24"/>
          <w:szCs w:val="24"/>
        </w:rPr>
        <w:t>H</w:t>
      </w:r>
      <w:r w:rsidRPr="007F030E">
        <w:rPr>
          <w:rFonts w:ascii="Arial" w:hAnsi="Arial" w:cs="Arial"/>
          <w:sz w:val="24"/>
          <w:szCs w:val="24"/>
        </w:rPr>
        <w:t>e</w:t>
      </w:r>
      <w:r w:rsidR="00B00B90" w:rsidRPr="007F030E">
        <w:rPr>
          <w:rFonts w:ascii="Arial" w:hAnsi="Arial" w:cs="Arial"/>
          <w:sz w:val="24"/>
          <w:szCs w:val="24"/>
        </w:rPr>
        <w:t xml:space="preserve"> contended that he was in peaceful possession of the flat</w:t>
      </w:r>
      <w:r w:rsidRPr="007F030E">
        <w:rPr>
          <w:rFonts w:ascii="Arial" w:hAnsi="Arial" w:cs="Arial"/>
          <w:sz w:val="24"/>
          <w:szCs w:val="24"/>
        </w:rPr>
        <w:t xml:space="preserve"> and </w:t>
      </w:r>
      <w:r w:rsidR="00B00B90" w:rsidRPr="007F030E">
        <w:rPr>
          <w:rFonts w:ascii="Arial" w:hAnsi="Arial" w:cs="Arial"/>
          <w:sz w:val="24"/>
          <w:szCs w:val="24"/>
        </w:rPr>
        <w:t xml:space="preserve">was unlawfully dispossessed </w:t>
      </w:r>
      <w:r w:rsidRPr="007F030E">
        <w:rPr>
          <w:rFonts w:ascii="Arial" w:hAnsi="Arial" w:cs="Arial"/>
          <w:sz w:val="24"/>
          <w:szCs w:val="24"/>
        </w:rPr>
        <w:t xml:space="preserve">of the flat </w:t>
      </w:r>
      <w:r w:rsidR="00B00B90" w:rsidRPr="007F030E">
        <w:rPr>
          <w:rFonts w:ascii="Arial" w:hAnsi="Arial" w:cs="Arial"/>
          <w:sz w:val="24"/>
          <w:szCs w:val="24"/>
        </w:rPr>
        <w:t>by the respondents</w:t>
      </w:r>
      <w:r w:rsidR="005C7DE5" w:rsidRPr="007F030E">
        <w:rPr>
          <w:rFonts w:ascii="Arial" w:hAnsi="Arial" w:cs="Arial"/>
          <w:sz w:val="24"/>
          <w:szCs w:val="24"/>
        </w:rPr>
        <w:t xml:space="preserve"> who took the law in his hands</w:t>
      </w:r>
      <w:r w:rsidR="00B00B90" w:rsidRPr="007F030E">
        <w:rPr>
          <w:rFonts w:ascii="Arial" w:hAnsi="Arial" w:cs="Arial"/>
          <w:sz w:val="24"/>
          <w:szCs w:val="24"/>
        </w:rPr>
        <w:t xml:space="preserve">. </w:t>
      </w:r>
      <w:r w:rsidR="0026378D" w:rsidRPr="007F030E">
        <w:rPr>
          <w:rFonts w:ascii="Arial" w:hAnsi="Arial" w:cs="Arial"/>
          <w:sz w:val="24"/>
          <w:szCs w:val="24"/>
        </w:rPr>
        <w:t xml:space="preserve">The appellant’s claim for </w:t>
      </w:r>
      <w:r w:rsidR="005C7DE5" w:rsidRPr="007F030E">
        <w:rPr>
          <w:rFonts w:ascii="Arial" w:hAnsi="Arial" w:cs="Arial"/>
          <w:sz w:val="24"/>
          <w:szCs w:val="24"/>
        </w:rPr>
        <w:t>possession</w:t>
      </w:r>
      <w:r w:rsidR="00F41C26" w:rsidRPr="007F030E">
        <w:rPr>
          <w:rFonts w:ascii="Arial" w:hAnsi="Arial" w:cs="Arial"/>
          <w:sz w:val="24"/>
          <w:szCs w:val="24"/>
        </w:rPr>
        <w:t>,</w:t>
      </w:r>
      <w:r w:rsidR="0026378D" w:rsidRPr="007F030E">
        <w:rPr>
          <w:rFonts w:ascii="Arial" w:hAnsi="Arial" w:cs="Arial"/>
          <w:sz w:val="24"/>
          <w:szCs w:val="24"/>
        </w:rPr>
        <w:t xml:space="preserve"> </w:t>
      </w:r>
      <w:r w:rsidR="00F41C26" w:rsidRPr="007F030E">
        <w:rPr>
          <w:rFonts w:ascii="Arial" w:hAnsi="Arial" w:cs="Arial"/>
          <w:sz w:val="24"/>
          <w:szCs w:val="24"/>
        </w:rPr>
        <w:t xml:space="preserve">relying </w:t>
      </w:r>
      <w:r w:rsidR="0026378D" w:rsidRPr="007F030E">
        <w:rPr>
          <w:rFonts w:ascii="Arial" w:hAnsi="Arial" w:cs="Arial"/>
          <w:sz w:val="24"/>
          <w:szCs w:val="24"/>
        </w:rPr>
        <w:t>on</w:t>
      </w:r>
      <w:r w:rsidR="00A55742" w:rsidRPr="007F030E">
        <w:rPr>
          <w:rFonts w:ascii="Arial" w:hAnsi="Arial" w:cs="Arial"/>
          <w:sz w:val="24"/>
          <w:szCs w:val="24"/>
        </w:rPr>
        <w:t xml:space="preserve"> the </w:t>
      </w:r>
      <w:r w:rsidR="00B7006E" w:rsidRPr="007F030E">
        <w:rPr>
          <w:rFonts w:ascii="Arial" w:hAnsi="Arial" w:cs="Arial"/>
          <w:sz w:val="24"/>
          <w:szCs w:val="24"/>
        </w:rPr>
        <w:lastRenderedPageBreak/>
        <w:t>S</w:t>
      </w:r>
      <w:r w:rsidR="00A55742" w:rsidRPr="007F030E">
        <w:rPr>
          <w:rFonts w:ascii="Arial" w:hAnsi="Arial" w:cs="Arial"/>
          <w:sz w:val="24"/>
          <w:szCs w:val="24"/>
        </w:rPr>
        <w:t xml:space="preserve">outh African Supreme Court decision in </w:t>
      </w:r>
      <w:r w:rsidR="00A55742" w:rsidRPr="007F030E">
        <w:rPr>
          <w:rFonts w:ascii="Arial" w:hAnsi="Arial" w:cs="Arial"/>
          <w:i/>
          <w:sz w:val="24"/>
          <w:szCs w:val="24"/>
        </w:rPr>
        <w:t>Wightman</w:t>
      </w:r>
      <w:r w:rsidR="00F41C26" w:rsidRPr="007F030E">
        <w:rPr>
          <w:rFonts w:ascii="Arial" w:hAnsi="Arial" w:cs="Arial"/>
          <w:sz w:val="24"/>
          <w:szCs w:val="24"/>
        </w:rPr>
        <w:t>,</w:t>
      </w:r>
      <w:r w:rsidR="00A55742" w:rsidRPr="00F41C26">
        <w:rPr>
          <w:rStyle w:val="FootnoteReference"/>
          <w:rFonts w:ascii="Arial" w:hAnsi="Arial" w:cs="Arial"/>
          <w:sz w:val="24"/>
          <w:szCs w:val="24"/>
        </w:rPr>
        <w:footnoteReference w:id="2"/>
      </w:r>
      <w:r w:rsidR="00F41C26" w:rsidRPr="007F030E">
        <w:rPr>
          <w:rFonts w:ascii="Arial" w:hAnsi="Arial" w:cs="Arial"/>
          <w:i/>
          <w:sz w:val="24"/>
          <w:szCs w:val="24"/>
        </w:rPr>
        <w:t xml:space="preserve"> </w:t>
      </w:r>
      <w:r w:rsidR="00F41C26" w:rsidRPr="007F030E">
        <w:rPr>
          <w:rFonts w:ascii="Arial" w:hAnsi="Arial" w:cs="Arial"/>
          <w:sz w:val="24"/>
          <w:szCs w:val="24"/>
        </w:rPr>
        <w:t>was</w:t>
      </w:r>
      <w:r w:rsidR="00F41C26" w:rsidRPr="007F030E">
        <w:rPr>
          <w:rFonts w:ascii="Arial" w:hAnsi="Arial" w:cs="Arial"/>
          <w:i/>
          <w:sz w:val="24"/>
          <w:szCs w:val="24"/>
        </w:rPr>
        <w:t xml:space="preserve"> </w:t>
      </w:r>
      <w:r w:rsidR="005C7DE5" w:rsidRPr="007F030E">
        <w:rPr>
          <w:rFonts w:ascii="Arial" w:hAnsi="Arial" w:cs="Arial"/>
          <w:sz w:val="24"/>
          <w:szCs w:val="24"/>
        </w:rPr>
        <w:t>based on the fact that he was in possession of the keys of the flat and thus exercised control over it.</w:t>
      </w:r>
      <w:r w:rsidR="00271C2E" w:rsidRPr="007F030E">
        <w:rPr>
          <w:rFonts w:ascii="Arial" w:hAnsi="Arial" w:cs="Arial"/>
          <w:sz w:val="24"/>
          <w:szCs w:val="24"/>
        </w:rPr>
        <w:t xml:space="preserve"> He admitted not having occupied the flat for six years consecutively</w:t>
      </w:r>
      <w:r w:rsidR="007F030E">
        <w:rPr>
          <w:rFonts w:ascii="Arial" w:hAnsi="Arial" w:cs="Arial"/>
          <w:sz w:val="24"/>
          <w:szCs w:val="24"/>
        </w:rPr>
        <w:t>.</w:t>
      </w:r>
    </w:p>
    <w:p w:rsidR="007F030E" w:rsidRDefault="007F030E" w:rsidP="007F030E">
      <w:pPr>
        <w:pStyle w:val="ListParagraph"/>
        <w:spacing w:after="0" w:line="480" w:lineRule="auto"/>
        <w:rPr>
          <w:rFonts w:ascii="Arial" w:hAnsi="Arial" w:cs="Arial"/>
          <w:sz w:val="24"/>
          <w:szCs w:val="24"/>
          <w:u w:val="single"/>
        </w:rPr>
      </w:pPr>
    </w:p>
    <w:p w:rsidR="00F41B93" w:rsidRPr="007F030E" w:rsidRDefault="00B00B90" w:rsidP="00F348C8">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 xml:space="preserve">The first respondent </w:t>
      </w:r>
      <w:r w:rsidR="00F112B1" w:rsidRPr="007F030E">
        <w:rPr>
          <w:rFonts w:ascii="Arial" w:hAnsi="Arial" w:cs="Arial"/>
          <w:sz w:val="24"/>
          <w:szCs w:val="24"/>
        </w:rPr>
        <w:t>opposed the application and deposed to an affidavit also on behalf of the second respondent –</w:t>
      </w:r>
      <w:r w:rsidR="005C7DE5" w:rsidRPr="007F030E">
        <w:rPr>
          <w:rFonts w:ascii="Arial" w:hAnsi="Arial" w:cs="Arial"/>
          <w:sz w:val="24"/>
          <w:szCs w:val="24"/>
        </w:rPr>
        <w:t xml:space="preserve"> </w:t>
      </w:r>
      <w:r w:rsidR="00F112B1" w:rsidRPr="007F030E">
        <w:rPr>
          <w:rFonts w:ascii="Arial" w:hAnsi="Arial" w:cs="Arial"/>
          <w:sz w:val="24"/>
          <w:szCs w:val="24"/>
        </w:rPr>
        <w:t xml:space="preserve">the aunt, </w:t>
      </w:r>
      <w:r w:rsidRPr="007F030E">
        <w:rPr>
          <w:rFonts w:ascii="Arial" w:hAnsi="Arial" w:cs="Arial"/>
          <w:sz w:val="24"/>
          <w:szCs w:val="24"/>
        </w:rPr>
        <w:t>disput</w:t>
      </w:r>
      <w:r w:rsidR="00F112B1" w:rsidRPr="007F030E">
        <w:rPr>
          <w:rFonts w:ascii="Arial" w:hAnsi="Arial" w:cs="Arial"/>
          <w:sz w:val="24"/>
          <w:szCs w:val="24"/>
        </w:rPr>
        <w:t xml:space="preserve">ing the appellant’s </w:t>
      </w:r>
      <w:r w:rsidRPr="007F030E">
        <w:rPr>
          <w:rFonts w:ascii="Arial" w:hAnsi="Arial" w:cs="Arial"/>
          <w:sz w:val="24"/>
          <w:szCs w:val="24"/>
        </w:rPr>
        <w:t>claims. He argued that the flat was unoccupied for almost six years</w:t>
      </w:r>
      <w:r w:rsidR="00474787" w:rsidRPr="007F030E">
        <w:rPr>
          <w:rFonts w:ascii="Arial" w:hAnsi="Arial" w:cs="Arial"/>
          <w:sz w:val="24"/>
          <w:szCs w:val="24"/>
        </w:rPr>
        <w:t xml:space="preserve"> and therefore was </w:t>
      </w:r>
      <w:r w:rsidRPr="007F030E">
        <w:rPr>
          <w:rFonts w:ascii="Arial" w:hAnsi="Arial" w:cs="Arial"/>
          <w:sz w:val="24"/>
          <w:szCs w:val="24"/>
        </w:rPr>
        <w:t>abandoned</w:t>
      </w:r>
      <w:r w:rsidR="00474787" w:rsidRPr="007F030E">
        <w:rPr>
          <w:rFonts w:ascii="Arial" w:hAnsi="Arial" w:cs="Arial"/>
          <w:sz w:val="24"/>
          <w:szCs w:val="24"/>
        </w:rPr>
        <w:t xml:space="preserve">.  Indisputably, the flat was left for years with rodent </w:t>
      </w:r>
      <w:r w:rsidR="00073BFE" w:rsidRPr="007F030E">
        <w:rPr>
          <w:rFonts w:ascii="Arial" w:hAnsi="Arial" w:cs="Arial"/>
          <w:sz w:val="24"/>
          <w:szCs w:val="24"/>
        </w:rPr>
        <w:t xml:space="preserve">faeces </w:t>
      </w:r>
      <w:r w:rsidR="00474787" w:rsidRPr="007F030E">
        <w:rPr>
          <w:rFonts w:ascii="Arial" w:hAnsi="Arial" w:cs="Arial"/>
          <w:sz w:val="24"/>
          <w:szCs w:val="24"/>
        </w:rPr>
        <w:t>and dust all over.</w:t>
      </w:r>
    </w:p>
    <w:p w:rsidR="007F030E" w:rsidRDefault="007F030E" w:rsidP="007F030E">
      <w:pPr>
        <w:pStyle w:val="ListParagraph"/>
        <w:spacing w:after="0" w:line="480" w:lineRule="auto"/>
        <w:rPr>
          <w:rFonts w:ascii="Arial" w:hAnsi="Arial" w:cs="Arial"/>
          <w:sz w:val="24"/>
          <w:szCs w:val="24"/>
          <w:u w:val="single"/>
        </w:rPr>
      </w:pPr>
    </w:p>
    <w:p w:rsidR="007F030E" w:rsidRPr="007F030E" w:rsidRDefault="002A2A29" w:rsidP="007F030E">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 xml:space="preserve">The High Court, </w:t>
      </w:r>
      <w:r w:rsidR="00EC3220" w:rsidRPr="007F030E">
        <w:rPr>
          <w:rFonts w:ascii="Arial" w:hAnsi="Arial" w:cs="Arial"/>
          <w:sz w:val="24"/>
          <w:szCs w:val="24"/>
        </w:rPr>
        <w:t>having considered the applicable legal principles and case law</w:t>
      </w:r>
      <w:r w:rsidR="007B633C" w:rsidRPr="007F030E">
        <w:rPr>
          <w:rFonts w:ascii="Arial" w:hAnsi="Arial" w:cs="Arial"/>
          <w:sz w:val="24"/>
          <w:szCs w:val="24"/>
        </w:rPr>
        <w:t xml:space="preserve"> and having applied them to the facts</w:t>
      </w:r>
      <w:r w:rsidR="00EC3220" w:rsidRPr="007F030E">
        <w:rPr>
          <w:rFonts w:ascii="Arial" w:hAnsi="Arial" w:cs="Arial"/>
          <w:sz w:val="24"/>
          <w:szCs w:val="24"/>
        </w:rPr>
        <w:t>, correctly held that in order to succeed the appellant bore the onus to establish on balance that he was in peaceful and undisturbed possession of the flat and that he was unlawfully deprived of the possession which consists of both an objective and subjective elements – to wit,</w:t>
      </w:r>
      <w:r w:rsidR="00645B0F" w:rsidRPr="007F030E">
        <w:rPr>
          <w:rFonts w:ascii="Arial" w:hAnsi="Arial" w:cs="Arial"/>
          <w:sz w:val="24"/>
          <w:szCs w:val="24"/>
        </w:rPr>
        <w:t xml:space="preserve"> </w:t>
      </w:r>
      <w:r w:rsidR="00EC3220" w:rsidRPr="007F030E">
        <w:rPr>
          <w:rFonts w:ascii="Arial" w:hAnsi="Arial" w:cs="Arial"/>
          <w:sz w:val="24"/>
          <w:szCs w:val="24"/>
        </w:rPr>
        <w:t xml:space="preserve">physical </w:t>
      </w:r>
      <w:r w:rsidR="00645B0F" w:rsidRPr="007F030E">
        <w:rPr>
          <w:rFonts w:ascii="Arial" w:hAnsi="Arial" w:cs="Arial"/>
          <w:sz w:val="24"/>
          <w:szCs w:val="24"/>
        </w:rPr>
        <w:t xml:space="preserve">control </w:t>
      </w:r>
      <w:r w:rsidR="00EC3220" w:rsidRPr="007F030E">
        <w:rPr>
          <w:rFonts w:ascii="Arial" w:hAnsi="Arial" w:cs="Arial"/>
          <w:sz w:val="24"/>
          <w:szCs w:val="24"/>
        </w:rPr>
        <w:t xml:space="preserve">and </w:t>
      </w:r>
      <w:r w:rsidR="00645B0F" w:rsidRPr="007F030E">
        <w:rPr>
          <w:rFonts w:ascii="Arial" w:hAnsi="Arial" w:cs="Arial"/>
          <w:sz w:val="24"/>
          <w:szCs w:val="24"/>
        </w:rPr>
        <w:t xml:space="preserve">an </w:t>
      </w:r>
      <w:r w:rsidR="00EC3220" w:rsidRPr="007F030E">
        <w:rPr>
          <w:rFonts w:ascii="Arial" w:hAnsi="Arial" w:cs="Arial"/>
          <w:sz w:val="24"/>
          <w:szCs w:val="24"/>
        </w:rPr>
        <w:t xml:space="preserve">intention to possess. </w:t>
      </w:r>
      <w:r w:rsidR="00642FE3" w:rsidRPr="007F030E">
        <w:rPr>
          <w:rFonts w:ascii="Arial" w:hAnsi="Arial" w:cs="Arial"/>
          <w:sz w:val="24"/>
          <w:szCs w:val="24"/>
        </w:rPr>
        <w:t>Regarding the physical control</w:t>
      </w:r>
      <w:r w:rsidR="00007B01" w:rsidRPr="007F030E">
        <w:rPr>
          <w:rFonts w:ascii="Arial" w:hAnsi="Arial" w:cs="Arial"/>
          <w:sz w:val="24"/>
          <w:szCs w:val="24"/>
        </w:rPr>
        <w:t xml:space="preserve"> of the flat</w:t>
      </w:r>
      <w:r w:rsidR="00642FE3" w:rsidRPr="007F030E">
        <w:rPr>
          <w:rFonts w:ascii="Arial" w:hAnsi="Arial" w:cs="Arial"/>
          <w:sz w:val="24"/>
          <w:szCs w:val="24"/>
        </w:rPr>
        <w:t xml:space="preserve"> the Court </w:t>
      </w:r>
      <w:r w:rsidR="00642FE3" w:rsidRPr="007F030E">
        <w:rPr>
          <w:rFonts w:ascii="Arial" w:hAnsi="Arial" w:cs="Arial"/>
          <w:i/>
          <w:sz w:val="24"/>
          <w:szCs w:val="24"/>
        </w:rPr>
        <w:t>a quo</w:t>
      </w:r>
      <w:r w:rsidR="00642FE3" w:rsidRPr="007F030E">
        <w:rPr>
          <w:rFonts w:ascii="Arial" w:hAnsi="Arial" w:cs="Arial"/>
          <w:sz w:val="24"/>
          <w:szCs w:val="24"/>
        </w:rPr>
        <w:t xml:space="preserve"> held that </w:t>
      </w:r>
      <w:r w:rsidR="00382EDC" w:rsidRPr="007F030E">
        <w:rPr>
          <w:rFonts w:ascii="Arial" w:hAnsi="Arial" w:cs="Arial"/>
          <w:sz w:val="24"/>
          <w:szCs w:val="24"/>
        </w:rPr>
        <w:t>the appellant had succeeded in proving that he had physical possession and control</w:t>
      </w:r>
      <w:r w:rsidR="00935E34" w:rsidRPr="007F030E">
        <w:rPr>
          <w:rFonts w:ascii="Arial" w:hAnsi="Arial" w:cs="Arial"/>
          <w:sz w:val="24"/>
          <w:szCs w:val="24"/>
        </w:rPr>
        <w:t xml:space="preserve"> over the flat through the keys and, so the Court’s observations continued, appeared to ‘be using the physical possession of the flat as a bargaining chip or as a tool to settle scores o</w:t>
      </w:r>
      <w:r w:rsidR="00532FFB" w:rsidRPr="007F030E">
        <w:rPr>
          <w:rFonts w:ascii="Arial" w:hAnsi="Arial" w:cs="Arial"/>
          <w:sz w:val="24"/>
          <w:szCs w:val="24"/>
        </w:rPr>
        <w:t>r harass the first respondent</w:t>
      </w:r>
      <w:r w:rsidR="006810E1" w:rsidRPr="007F030E">
        <w:rPr>
          <w:rFonts w:ascii="Arial" w:hAnsi="Arial" w:cs="Arial"/>
          <w:sz w:val="24"/>
          <w:szCs w:val="24"/>
        </w:rPr>
        <w:t>’</w:t>
      </w:r>
      <w:r w:rsidR="00532FFB" w:rsidRPr="007F030E">
        <w:rPr>
          <w:rFonts w:ascii="Arial" w:hAnsi="Arial" w:cs="Arial"/>
          <w:sz w:val="24"/>
          <w:szCs w:val="24"/>
        </w:rPr>
        <w:t xml:space="preserve">. </w:t>
      </w:r>
      <w:r w:rsidR="00935E34" w:rsidRPr="007F030E">
        <w:rPr>
          <w:rFonts w:ascii="Arial" w:hAnsi="Arial" w:cs="Arial"/>
          <w:sz w:val="24"/>
          <w:szCs w:val="24"/>
        </w:rPr>
        <w:t>The Court mentioned certain instances to bolster the proposition:</w:t>
      </w:r>
    </w:p>
    <w:p w:rsidR="0043656E" w:rsidRDefault="0043656E" w:rsidP="0043656E">
      <w:pPr>
        <w:pStyle w:val="NoSpacing"/>
        <w:spacing w:line="360" w:lineRule="auto"/>
        <w:jc w:val="both"/>
        <w:rPr>
          <w:rFonts w:ascii="Arial" w:hAnsi="Arial" w:cs="Arial"/>
          <w:sz w:val="24"/>
          <w:szCs w:val="24"/>
        </w:rPr>
      </w:pPr>
      <w:r>
        <w:rPr>
          <w:rFonts w:ascii="Arial" w:hAnsi="Arial" w:cs="Arial"/>
          <w:sz w:val="24"/>
          <w:szCs w:val="24"/>
        </w:rPr>
        <w:tab/>
      </w:r>
    </w:p>
    <w:p w:rsidR="00935E34" w:rsidRDefault="0043656E" w:rsidP="0043656E">
      <w:pPr>
        <w:pStyle w:val="NoSpacing"/>
        <w:spacing w:line="360" w:lineRule="auto"/>
        <w:ind w:left="720"/>
        <w:jc w:val="both"/>
        <w:rPr>
          <w:rFonts w:ascii="Arial" w:hAnsi="Arial" w:cs="Arial"/>
        </w:rPr>
      </w:pPr>
      <w:r>
        <w:rPr>
          <w:rFonts w:ascii="Arial" w:hAnsi="Arial" w:cs="Arial"/>
          <w:i/>
        </w:rPr>
        <w:t>‘</w:t>
      </w:r>
      <w:r w:rsidR="00935E34" w:rsidRPr="00073BFE">
        <w:rPr>
          <w:rFonts w:ascii="Arial" w:hAnsi="Arial" w:cs="Arial"/>
        </w:rPr>
        <w:t xml:space="preserve">On the first occasion in 2009 when the first respondent requested him to remove his movables </w:t>
      </w:r>
      <w:r w:rsidR="00715CEF" w:rsidRPr="00073BFE">
        <w:rPr>
          <w:rFonts w:ascii="Arial" w:hAnsi="Arial" w:cs="Arial"/>
        </w:rPr>
        <w:t xml:space="preserve">from the flat, the [appellant]caused summons to be issued against the first </w:t>
      </w:r>
      <w:r w:rsidR="00715CEF" w:rsidRPr="0043656E">
        <w:rPr>
          <w:rFonts w:ascii="Arial" w:hAnsi="Arial" w:cs="Arial"/>
        </w:rPr>
        <w:lastRenderedPageBreak/>
        <w:t>respondent, which he claimed refund of the money he had lent and advanced to the first respondent. Then he unilaterally changed the locks of the flat</w:t>
      </w:r>
      <w:r w:rsidR="007A36BB" w:rsidRPr="0043656E">
        <w:rPr>
          <w:rFonts w:ascii="Arial" w:hAnsi="Arial" w:cs="Arial"/>
        </w:rPr>
        <w:t xml:space="preserve"> without giving a spare key to the first respondent who is the owner of the premises. I pause here to observe that plain decency dictates that the applicant should have left a spare key with the first respondent in consideration of an emergency such as a geyser burst or fire on the premises, for that matter. I accordingly consider the applicant’s conduct rather mean if not just plainly vindictive.</w:t>
      </w:r>
    </w:p>
    <w:p w:rsidR="0043656E" w:rsidRPr="0043656E" w:rsidRDefault="0043656E" w:rsidP="0043656E">
      <w:pPr>
        <w:pStyle w:val="NoSpacing"/>
        <w:spacing w:line="360" w:lineRule="auto"/>
        <w:ind w:left="720"/>
        <w:jc w:val="both"/>
        <w:rPr>
          <w:rFonts w:ascii="Arial" w:hAnsi="Arial" w:cs="Arial"/>
        </w:rPr>
      </w:pPr>
    </w:p>
    <w:p w:rsidR="007A36BB" w:rsidRDefault="007A36BB" w:rsidP="0043656E">
      <w:pPr>
        <w:pStyle w:val="Quote"/>
        <w:spacing w:before="0" w:line="360" w:lineRule="auto"/>
        <w:ind w:left="720" w:right="49"/>
        <w:jc w:val="both"/>
        <w:rPr>
          <w:rFonts w:ascii="Arial" w:hAnsi="Arial" w:cs="Arial"/>
          <w:i w:val="0"/>
          <w:color w:val="auto"/>
        </w:rPr>
      </w:pPr>
      <w:r w:rsidRPr="00073BFE">
        <w:rPr>
          <w:rFonts w:ascii="Arial" w:hAnsi="Arial" w:cs="Arial"/>
          <w:i w:val="0"/>
          <w:color w:val="auto"/>
        </w:rPr>
        <w:t xml:space="preserve">Thereafter he stayed away for eight months just to reappear to collect some movables from the flat. The last straw was when the [appellant] was requested by the respondent to remove his movables from the flat in order for the first respondent to accommodate their aunt in the </w:t>
      </w:r>
      <w:r w:rsidR="00532FFB" w:rsidRPr="00073BFE">
        <w:rPr>
          <w:rFonts w:ascii="Arial" w:hAnsi="Arial" w:cs="Arial"/>
          <w:i w:val="0"/>
          <w:color w:val="auto"/>
        </w:rPr>
        <w:t xml:space="preserve">flat. </w:t>
      </w:r>
      <w:r w:rsidRPr="00073BFE">
        <w:rPr>
          <w:rFonts w:ascii="Arial" w:hAnsi="Arial" w:cs="Arial"/>
          <w:i w:val="0"/>
          <w:color w:val="auto"/>
        </w:rPr>
        <w:t>The [appellant] refused to collect his movables</w:t>
      </w:r>
      <w:r w:rsidR="00FD4570" w:rsidRPr="00073BFE">
        <w:rPr>
          <w:rFonts w:ascii="Arial" w:hAnsi="Arial" w:cs="Arial"/>
          <w:i w:val="0"/>
          <w:color w:val="auto"/>
        </w:rPr>
        <w:t xml:space="preserve"> and shortly thereafter lau</w:t>
      </w:r>
      <w:r w:rsidR="00532FFB" w:rsidRPr="00073BFE">
        <w:rPr>
          <w:rFonts w:ascii="Arial" w:hAnsi="Arial" w:cs="Arial"/>
          <w:i w:val="0"/>
          <w:color w:val="auto"/>
        </w:rPr>
        <w:t xml:space="preserve">nched the present application. </w:t>
      </w:r>
      <w:r w:rsidR="00FD4570" w:rsidRPr="00073BFE">
        <w:rPr>
          <w:rFonts w:ascii="Arial" w:hAnsi="Arial" w:cs="Arial"/>
          <w:i w:val="0"/>
          <w:color w:val="auto"/>
        </w:rPr>
        <w:t>In my view the [appellant’s]assertion in his replying affidavit that he did not want to collect his movable from the flat but he wanted to return to the flat, rings hollow. Given the rather sour relationship between him and the first respondent, it is in my view highly improbable that he honestly wishes to return to the flat. If he had any genuine intention to use the flat beneficially he would not have stayed away from the flat for six consecutive years.</w:t>
      </w:r>
      <w:r w:rsidR="00271C2E" w:rsidRPr="00073BFE">
        <w:rPr>
          <w:rFonts w:ascii="Arial" w:hAnsi="Arial" w:cs="Arial"/>
          <w:i w:val="0"/>
          <w:color w:val="auto"/>
        </w:rPr>
        <w:t>’</w:t>
      </w:r>
      <w:r w:rsidR="00271C2E" w:rsidRPr="00073BFE">
        <w:rPr>
          <w:rStyle w:val="FootnoteReference"/>
          <w:rFonts w:ascii="Arial" w:hAnsi="Arial" w:cs="Arial"/>
          <w:i w:val="0"/>
          <w:color w:val="auto"/>
        </w:rPr>
        <w:footnoteReference w:id="3"/>
      </w:r>
    </w:p>
    <w:p w:rsidR="007F030E" w:rsidRPr="007F030E" w:rsidRDefault="007F030E" w:rsidP="007F030E">
      <w:pPr>
        <w:spacing w:after="0" w:line="480" w:lineRule="auto"/>
        <w:rPr>
          <w:rFonts w:ascii="Arial" w:hAnsi="Arial" w:cs="Arial"/>
          <w:sz w:val="24"/>
          <w:szCs w:val="24"/>
        </w:rPr>
      </w:pPr>
    </w:p>
    <w:p w:rsidR="00935E34" w:rsidRPr="007F030E" w:rsidRDefault="00271C2E" w:rsidP="00F348C8">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The High Court was</w:t>
      </w:r>
      <w:r w:rsidR="006810E1" w:rsidRPr="007F030E">
        <w:rPr>
          <w:rFonts w:ascii="Arial" w:hAnsi="Arial" w:cs="Arial"/>
          <w:sz w:val="24"/>
          <w:szCs w:val="24"/>
        </w:rPr>
        <w:t>,</w:t>
      </w:r>
      <w:r w:rsidRPr="007F030E">
        <w:rPr>
          <w:rFonts w:ascii="Arial" w:hAnsi="Arial" w:cs="Arial"/>
          <w:sz w:val="24"/>
          <w:szCs w:val="24"/>
        </w:rPr>
        <w:t xml:space="preserve"> however</w:t>
      </w:r>
      <w:r w:rsidR="006810E1" w:rsidRPr="007F030E">
        <w:rPr>
          <w:rFonts w:ascii="Arial" w:hAnsi="Arial" w:cs="Arial"/>
          <w:sz w:val="24"/>
          <w:szCs w:val="24"/>
        </w:rPr>
        <w:t>,</w:t>
      </w:r>
      <w:r w:rsidRPr="007F030E">
        <w:rPr>
          <w:rFonts w:ascii="Arial" w:hAnsi="Arial" w:cs="Arial"/>
          <w:sz w:val="24"/>
          <w:szCs w:val="24"/>
        </w:rPr>
        <w:t xml:space="preserve"> not oblivious of the principle that once possession has been acquired, continuous physical possession or use is not necessary for the retention</w:t>
      </w:r>
      <w:r w:rsidR="00891EB1" w:rsidRPr="007F030E">
        <w:rPr>
          <w:rFonts w:ascii="Arial" w:hAnsi="Arial" w:cs="Arial"/>
          <w:sz w:val="24"/>
          <w:szCs w:val="24"/>
        </w:rPr>
        <w:t xml:space="preserve"> </w:t>
      </w:r>
      <w:r w:rsidRPr="007F030E">
        <w:rPr>
          <w:rFonts w:ascii="Arial" w:hAnsi="Arial" w:cs="Arial"/>
          <w:sz w:val="24"/>
          <w:szCs w:val="24"/>
        </w:rPr>
        <w:t>of such possession</w:t>
      </w:r>
      <w:r w:rsidR="00532FFB" w:rsidRPr="007F030E">
        <w:rPr>
          <w:rFonts w:ascii="Arial" w:hAnsi="Arial" w:cs="Arial"/>
          <w:sz w:val="24"/>
          <w:szCs w:val="24"/>
        </w:rPr>
        <w:t xml:space="preserve">. </w:t>
      </w:r>
      <w:r w:rsidR="00891EB1" w:rsidRPr="007F030E">
        <w:rPr>
          <w:rFonts w:ascii="Arial" w:hAnsi="Arial" w:cs="Arial"/>
          <w:sz w:val="24"/>
          <w:szCs w:val="24"/>
        </w:rPr>
        <w:t xml:space="preserve">However, relying </w:t>
      </w:r>
      <w:r w:rsidR="00722577" w:rsidRPr="007F030E">
        <w:rPr>
          <w:rFonts w:ascii="Arial" w:hAnsi="Arial" w:cs="Arial"/>
          <w:sz w:val="24"/>
          <w:szCs w:val="24"/>
        </w:rPr>
        <w:t>on a</w:t>
      </w:r>
      <w:r w:rsidR="00891EB1" w:rsidRPr="007F030E">
        <w:rPr>
          <w:rFonts w:ascii="Arial" w:hAnsi="Arial" w:cs="Arial"/>
          <w:sz w:val="24"/>
          <w:szCs w:val="24"/>
        </w:rPr>
        <w:t xml:space="preserve"> South Africa High Court decision in </w:t>
      </w:r>
      <w:r w:rsidR="00891EB1" w:rsidRPr="007F030E">
        <w:rPr>
          <w:rFonts w:ascii="Arial" w:hAnsi="Arial" w:cs="Arial"/>
          <w:i/>
          <w:sz w:val="24"/>
          <w:szCs w:val="24"/>
        </w:rPr>
        <w:t>Welgemoed</w:t>
      </w:r>
      <w:r w:rsidR="00891EB1" w:rsidRPr="00891EB1">
        <w:rPr>
          <w:rStyle w:val="FootnoteReference"/>
          <w:rFonts w:ascii="Arial" w:hAnsi="Arial" w:cs="Arial"/>
          <w:sz w:val="24"/>
          <w:szCs w:val="24"/>
        </w:rPr>
        <w:footnoteReference w:id="4"/>
      </w:r>
      <w:r w:rsidR="00722577" w:rsidRPr="007F030E">
        <w:rPr>
          <w:rFonts w:ascii="Arial" w:hAnsi="Arial" w:cs="Arial"/>
          <w:i/>
          <w:sz w:val="24"/>
          <w:szCs w:val="24"/>
        </w:rPr>
        <w:t xml:space="preserve"> </w:t>
      </w:r>
      <w:r w:rsidR="00891EB1" w:rsidRPr="007F030E">
        <w:rPr>
          <w:rFonts w:ascii="Arial" w:hAnsi="Arial" w:cs="Arial"/>
          <w:sz w:val="24"/>
          <w:szCs w:val="24"/>
        </w:rPr>
        <w:t xml:space="preserve">− quoted with approval by this Court, per Maritz JA in </w:t>
      </w:r>
      <w:r w:rsidR="00081F4A" w:rsidRPr="007F030E">
        <w:rPr>
          <w:rFonts w:ascii="Arial" w:hAnsi="Arial" w:cs="Arial"/>
          <w:i/>
          <w:sz w:val="24"/>
          <w:szCs w:val="24"/>
        </w:rPr>
        <w:t>Ku</w:t>
      </w:r>
      <w:r w:rsidR="00B60B30" w:rsidRPr="007F030E">
        <w:rPr>
          <w:rFonts w:ascii="Arial" w:hAnsi="Arial" w:cs="Arial"/>
          <w:i/>
          <w:sz w:val="24"/>
          <w:szCs w:val="24"/>
        </w:rPr>
        <w:t>i</w:t>
      </w:r>
      <w:r w:rsidR="00081F4A" w:rsidRPr="007F030E">
        <w:rPr>
          <w:rFonts w:ascii="Arial" w:hAnsi="Arial" w:cs="Arial"/>
          <w:i/>
          <w:sz w:val="24"/>
          <w:szCs w:val="24"/>
        </w:rPr>
        <w:t>i</w:t>
      </w:r>
      <w:r w:rsidR="00891EB1" w:rsidRPr="007F030E">
        <w:rPr>
          <w:rFonts w:ascii="Arial" w:hAnsi="Arial" w:cs="Arial"/>
          <w:i/>
          <w:sz w:val="24"/>
          <w:szCs w:val="24"/>
        </w:rPr>
        <w:t>ri</w:t>
      </w:r>
      <w:r w:rsidR="00891EB1">
        <w:rPr>
          <w:rStyle w:val="FootnoteReference"/>
          <w:rFonts w:ascii="Arial" w:hAnsi="Arial" w:cs="Arial"/>
          <w:i/>
          <w:sz w:val="24"/>
          <w:szCs w:val="24"/>
        </w:rPr>
        <w:footnoteReference w:id="5"/>
      </w:r>
      <w:r w:rsidR="00891EB1" w:rsidRPr="007F030E">
        <w:rPr>
          <w:rFonts w:ascii="Arial" w:hAnsi="Arial" w:cs="Arial"/>
          <w:sz w:val="24"/>
          <w:szCs w:val="24"/>
        </w:rPr>
        <w:t xml:space="preserve"> </w:t>
      </w:r>
      <w:r w:rsidR="00722577" w:rsidRPr="007F030E">
        <w:rPr>
          <w:rFonts w:ascii="Arial" w:hAnsi="Arial" w:cs="Arial"/>
          <w:sz w:val="24"/>
          <w:szCs w:val="24"/>
        </w:rPr>
        <w:t xml:space="preserve">that ‘. . . the required continuity of occupation need not be absolute continuity, </w:t>
      </w:r>
      <w:r w:rsidR="00722577" w:rsidRPr="007F030E">
        <w:rPr>
          <w:rFonts w:ascii="Arial" w:hAnsi="Arial" w:cs="Arial"/>
          <w:i/>
          <w:sz w:val="24"/>
          <w:szCs w:val="24"/>
        </w:rPr>
        <w:t>for it is enough if the right is exercised from time to time as occasion requires and with reasonable continuity</w:t>
      </w:r>
      <w:r w:rsidR="00722577" w:rsidRPr="007F030E">
        <w:rPr>
          <w:rFonts w:ascii="Arial" w:hAnsi="Arial" w:cs="Arial"/>
          <w:sz w:val="24"/>
          <w:szCs w:val="24"/>
        </w:rPr>
        <w:t>’</w:t>
      </w:r>
      <w:r w:rsidR="00722577">
        <w:rPr>
          <w:rStyle w:val="FootnoteReference"/>
          <w:rFonts w:ascii="Arial" w:hAnsi="Arial" w:cs="Arial"/>
          <w:sz w:val="24"/>
          <w:szCs w:val="24"/>
        </w:rPr>
        <w:footnoteReference w:id="6"/>
      </w:r>
      <w:r w:rsidR="00996E3D" w:rsidRPr="007F030E">
        <w:rPr>
          <w:rFonts w:ascii="Arial" w:hAnsi="Arial" w:cs="Arial"/>
          <w:sz w:val="24"/>
          <w:szCs w:val="24"/>
        </w:rPr>
        <w:t xml:space="preserve"> (emphasis added),</w:t>
      </w:r>
      <w:r w:rsidR="009B0C4B" w:rsidRPr="007F030E">
        <w:rPr>
          <w:rFonts w:ascii="Arial" w:hAnsi="Arial" w:cs="Arial"/>
          <w:sz w:val="24"/>
          <w:szCs w:val="24"/>
        </w:rPr>
        <w:t xml:space="preserve"> the Court </w:t>
      </w:r>
      <w:r w:rsidR="009B0C4B" w:rsidRPr="007F030E">
        <w:rPr>
          <w:rFonts w:ascii="Arial" w:hAnsi="Arial" w:cs="Arial"/>
          <w:i/>
          <w:sz w:val="24"/>
          <w:szCs w:val="24"/>
        </w:rPr>
        <w:t>a quo</w:t>
      </w:r>
      <w:r w:rsidR="00722577" w:rsidRPr="007F030E">
        <w:rPr>
          <w:rFonts w:ascii="Arial" w:hAnsi="Arial" w:cs="Arial"/>
          <w:sz w:val="24"/>
          <w:szCs w:val="24"/>
        </w:rPr>
        <w:t xml:space="preserve"> </w:t>
      </w:r>
      <w:r w:rsidR="00891EB1" w:rsidRPr="007F030E">
        <w:rPr>
          <w:rFonts w:ascii="Arial" w:hAnsi="Arial" w:cs="Arial"/>
          <w:sz w:val="24"/>
          <w:szCs w:val="24"/>
        </w:rPr>
        <w:t xml:space="preserve">said that six years of continuous </w:t>
      </w:r>
      <w:r w:rsidR="00891EB1" w:rsidRPr="007F030E">
        <w:rPr>
          <w:rFonts w:ascii="Arial" w:hAnsi="Arial" w:cs="Arial"/>
          <w:sz w:val="24"/>
          <w:szCs w:val="24"/>
        </w:rPr>
        <w:lastRenderedPageBreak/>
        <w:t>absence or non-beneficial use of the flat goes beyond reasonable tolerance of the requirement of c</w:t>
      </w:r>
      <w:r w:rsidR="009B0C4B" w:rsidRPr="007F030E">
        <w:rPr>
          <w:rFonts w:ascii="Arial" w:hAnsi="Arial" w:cs="Arial"/>
          <w:sz w:val="24"/>
          <w:szCs w:val="24"/>
        </w:rPr>
        <w:t>ontinuous possession principle.</w:t>
      </w:r>
    </w:p>
    <w:p w:rsidR="007F030E" w:rsidRPr="007F030E" w:rsidRDefault="007F030E" w:rsidP="007F030E">
      <w:pPr>
        <w:pStyle w:val="NoSpacing"/>
        <w:spacing w:line="480" w:lineRule="auto"/>
        <w:jc w:val="both"/>
        <w:rPr>
          <w:rFonts w:ascii="Arial" w:hAnsi="Arial" w:cs="Arial"/>
          <w:sz w:val="24"/>
          <w:szCs w:val="24"/>
          <w:u w:val="single"/>
        </w:rPr>
      </w:pPr>
    </w:p>
    <w:p w:rsidR="003B69AE" w:rsidRPr="007F030E" w:rsidRDefault="00624D01" w:rsidP="00F348C8">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 xml:space="preserve">The </w:t>
      </w:r>
      <w:r w:rsidR="00A3175B" w:rsidRPr="007F030E">
        <w:rPr>
          <w:rFonts w:ascii="Arial" w:hAnsi="Arial" w:cs="Arial"/>
          <w:sz w:val="24"/>
          <w:szCs w:val="24"/>
        </w:rPr>
        <w:t xml:space="preserve">High </w:t>
      </w:r>
      <w:r w:rsidRPr="007F030E">
        <w:rPr>
          <w:rFonts w:ascii="Arial" w:hAnsi="Arial" w:cs="Arial"/>
          <w:sz w:val="24"/>
          <w:szCs w:val="24"/>
        </w:rPr>
        <w:t xml:space="preserve">Court further remarked that there has been an absolute absence of exercise of right of use or occupation of the flat for a continuous period of six years and during that time the flat was not used or occupied from time to time. It drew a reasonable inference from </w:t>
      </w:r>
      <w:r w:rsidR="004E0F36" w:rsidRPr="007F030E">
        <w:rPr>
          <w:rFonts w:ascii="Arial" w:hAnsi="Arial" w:cs="Arial"/>
          <w:sz w:val="24"/>
          <w:szCs w:val="24"/>
        </w:rPr>
        <w:t>the admitted facts that the appellant abandoned</w:t>
      </w:r>
      <w:r w:rsidR="00AC2F42" w:rsidRPr="007F030E">
        <w:rPr>
          <w:rFonts w:ascii="Arial" w:hAnsi="Arial" w:cs="Arial"/>
          <w:sz w:val="24"/>
          <w:szCs w:val="24"/>
        </w:rPr>
        <w:t xml:space="preserve"> the flat. Th</w:t>
      </w:r>
      <w:r w:rsidR="00A3175B" w:rsidRPr="007F030E">
        <w:rPr>
          <w:rFonts w:ascii="Arial" w:hAnsi="Arial" w:cs="Arial"/>
          <w:sz w:val="24"/>
          <w:szCs w:val="24"/>
        </w:rPr>
        <w:t xml:space="preserve">at, according to the Court </w:t>
      </w:r>
      <w:r w:rsidR="00A3175B" w:rsidRPr="007F030E">
        <w:rPr>
          <w:rFonts w:ascii="Arial" w:hAnsi="Arial" w:cs="Arial"/>
          <w:i/>
          <w:sz w:val="24"/>
          <w:szCs w:val="24"/>
        </w:rPr>
        <w:t>a quo</w:t>
      </w:r>
      <w:r w:rsidR="00A3175B" w:rsidRPr="007F030E">
        <w:rPr>
          <w:rFonts w:ascii="Arial" w:hAnsi="Arial" w:cs="Arial"/>
          <w:sz w:val="24"/>
          <w:szCs w:val="24"/>
        </w:rPr>
        <w:t xml:space="preserve">, was </w:t>
      </w:r>
      <w:r w:rsidR="00264A30" w:rsidRPr="007F030E">
        <w:rPr>
          <w:rFonts w:ascii="Arial" w:hAnsi="Arial" w:cs="Arial"/>
          <w:sz w:val="24"/>
          <w:szCs w:val="24"/>
        </w:rPr>
        <w:t xml:space="preserve">bolstered by the undisputed evidence of the first respondent </w:t>
      </w:r>
      <w:r w:rsidR="00975087" w:rsidRPr="007F030E">
        <w:rPr>
          <w:rFonts w:ascii="Arial" w:hAnsi="Arial" w:cs="Arial"/>
          <w:sz w:val="24"/>
          <w:szCs w:val="24"/>
        </w:rPr>
        <w:t xml:space="preserve">that the appellant left the flat </w:t>
      </w:r>
      <w:r w:rsidR="002A4C78" w:rsidRPr="007F030E">
        <w:rPr>
          <w:rFonts w:ascii="Arial" w:hAnsi="Arial" w:cs="Arial"/>
          <w:sz w:val="24"/>
          <w:szCs w:val="24"/>
        </w:rPr>
        <w:t>in a state of dereliction resulting in it being covered in a thick of layer of dust and of rodent faeces which had accumulated over a period of six years. The flat was therefore uninhabitable.</w:t>
      </w:r>
      <w:r w:rsidR="00532FFB" w:rsidRPr="007F030E">
        <w:rPr>
          <w:rFonts w:ascii="Arial" w:hAnsi="Arial" w:cs="Arial"/>
          <w:sz w:val="24"/>
          <w:szCs w:val="24"/>
        </w:rPr>
        <w:t xml:space="preserve"> </w:t>
      </w:r>
      <w:r w:rsidR="00AD25AC" w:rsidRPr="007F030E">
        <w:rPr>
          <w:rFonts w:ascii="Arial" w:hAnsi="Arial" w:cs="Arial"/>
          <w:sz w:val="24"/>
          <w:szCs w:val="24"/>
        </w:rPr>
        <w:t>The cumulative effect of all these facts, the Court su</w:t>
      </w:r>
      <w:r w:rsidR="006C3C36" w:rsidRPr="007F030E">
        <w:rPr>
          <w:rFonts w:ascii="Arial" w:hAnsi="Arial" w:cs="Arial"/>
          <w:sz w:val="24"/>
          <w:szCs w:val="24"/>
        </w:rPr>
        <w:t>r</w:t>
      </w:r>
      <w:r w:rsidR="00AD25AC" w:rsidRPr="007F030E">
        <w:rPr>
          <w:rFonts w:ascii="Arial" w:hAnsi="Arial" w:cs="Arial"/>
          <w:sz w:val="24"/>
          <w:szCs w:val="24"/>
        </w:rPr>
        <w:t>mised</w:t>
      </w:r>
      <w:r w:rsidR="006C3C36" w:rsidRPr="007F030E">
        <w:rPr>
          <w:rFonts w:ascii="Arial" w:hAnsi="Arial" w:cs="Arial"/>
          <w:sz w:val="24"/>
          <w:szCs w:val="24"/>
        </w:rPr>
        <w:t>, demonstrated an absence of a mental state necessary to su</w:t>
      </w:r>
      <w:r w:rsidR="007F030E">
        <w:rPr>
          <w:rFonts w:ascii="Arial" w:hAnsi="Arial" w:cs="Arial"/>
          <w:sz w:val="24"/>
          <w:szCs w:val="24"/>
        </w:rPr>
        <w:t>stain possession of the flat.</w:t>
      </w:r>
    </w:p>
    <w:p w:rsidR="007F030E" w:rsidRDefault="007F030E" w:rsidP="007F030E">
      <w:pPr>
        <w:pStyle w:val="ListParagraph"/>
        <w:spacing w:after="0" w:line="480" w:lineRule="auto"/>
        <w:rPr>
          <w:rFonts w:ascii="Arial" w:hAnsi="Arial" w:cs="Arial"/>
          <w:sz w:val="24"/>
          <w:szCs w:val="24"/>
          <w:u w:val="single"/>
        </w:rPr>
      </w:pPr>
    </w:p>
    <w:p w:rsidR="00624D01" w:rsidRPr="007F030E" w:rsidRDefault="006C3C36" w:rsidP="00F348C8">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 xml:space="preserve">On these facts, the Court concluded that the appellant failed to prove the second requirement of possession, </w:t>
      </w:r>
      <w:r w:rsidRPr="007F030E">
        <w:rPr>
          <w:rFonts w:ascii="Arial" w:hAnsi="Arial" w:cs="Arial"/>
          <w:i/>
          <w:sz w:val="24"/>
          <w:szCs w:val="24"/>
        </w:rPr>
        <w:t>animus possidendi</w:t>
      </w:r>
      <w:r w:rsidR="00AD76FD" w:rsidRPr="007F030E">
        <w:rPr>
          <w:rFonts w:ascii="Arial" w:hAnsi="Arial" w:cs="Arial"/>
          <w:sz w:val="24"/>
          <w:szCs w:val="24"/>
        </w:rPr>
        <w:t xml:space="preserve">, </w:t>
      </w:r>
      <w:r w:rsidRPr="007F030E">
        <w:rPr>
          <w:rFonts w:ascii="Arial" w:hAnsi="Arial" w:cs="Arial"/>
          <w:sz w:val="24"/>
          <w:szCs w:val="24"/>
        </w:rPr>
        <w:t>and had no intention to possess the flat for any use to him or to derive any benefit from such possession.</w:t>
      </w:r>
      <w:r w:rsidR="00AD76FD">
        <w:rPr>
          <w:rStyle w:val="FootnoteReference"/>
          <w:rFonts w:ascii="Arial" w:hAnsi="Arial" w:cs="Arial"/>
          <w:sz w:val="24"/>
          <w:szCs w:val="24"/>
        </w:rPr>
        <w:footnoteReference w:id="7"/>
      </w:r>
    </w:p>
    <w:p w:rsidR="007F030E" w:rsidRDefault="007F030E" w:rsidP="007F030E">
      <w:pPr>
        <w:pStyle w:val="ListParagraph"/>
        <w:spacing w:after="0" w:line="480" w:lineRule="auto"/>
        <w:rPr>
          <w:rFonts w:ascii="Arial" w:hAnsi="Arial" w:cs="Arial"/>
          <w:sz w:val="24"/>
          <w:szCs w:val="24"/>
          <w:u w:val="single"/>
        </w:rPr>
      </w:pPr>
    </w:p>
    <w:p w:rsidR="000256ED" w:rsidRPr="007F030E" w:rsidRDefault="00007B01" w:rsidP="00F348C8">
      <w:pPr>
        <w:pStyle w:val="NoSpacing"/>
        <w:numPr>
          <w:ilvl w:val="0"/>
          <w:numId w:val="13"/>
        </w:numPr>
        <w:spacing w:line="480" w:lineRule="auto"/>
        <w:ind w:left="0" w:firstLine="0"/>
        <w:jc w:val="both"/>
        <w:rPr>
          <w:rFonts w:ascii="Arial" w:hAnsi="Arial" w:cs="Arial"/>
          <w:sz w:val="24"/>
          <w:szCs w:val="24"/>
          <w:u w:val="single"/>
        </w:rPr>
      </w:pPr>
      <w:r w:rsidRPr="007F030E">
        <w:rPr>
          <w:rFonts w:ascii="Arial" w:hAnsi="Arial" w:cs="Arial"/>
          <w:sz w:val="24"/>
          <w:szCs w:val="24"/>
        </w:rPr>
        <w:t>As to the appellant</w:t>
      </w:r>
      <w:r w:rsidR="00E86C19" w:rsidRPr="007F030E">
        <w:rPr>
          <w:rFonts w:ascii="Arial" w:hAnsi="Arial" w:cs="Arial"/>
          <w:sz w:val="24"/>
          <w:szCs w:val="24"/>
        </w:rPr>
        <w:t>’</w:t>
      </w:r>
      <w:r w:rsidRPr="007F030E">
        <w:rPr>
          <w:rFonts w:ascii="Arial" w:hAnsi="Arial" w:cs="Arial"/>
          <w:sz w:val="24"/>
          <w:szCs w:val="24"/>
        </w:rPr>
        <w:t xml:space="preserve">s </w:t>
      </w:r>
      <w:r w:rsidR="00E86C19" w:rsidRPr="007F030E">
        <w:rPr>
          <w:rFonts w:ascii="Arial" w:hAnsi="Arial" w:cs="Arial"/>
          <w:sz w:val="24"/>
          <w:szCs w:val="24"/>
        </w:rPr>
        <w:t>movable assets</w:t>
      </w:r>
      <w:r w:rsidRPr="007F030E">
        <w:rPr>
          <w:rFonts w:ascii="Arial" w:hAnsi="Arial" w:cs="Arial"/>
          <w:sz w:val="24"/>
          <w:szCs w:val="24"/>
        </w:rPr>
        <w:t xml:space="preserve"> in the flat </w:t>
      </w:r>
      <w:r w:rsidR="00E86C19" w:rsidRPr="007F030E">
        <w:rPr>
          <w:rFonts w:ascii="Arial" w:hAnsi="Arial" w:cs="Arial"/>
          <w:sz w:val="24"/>
          <w:szCs w:val="24"/>
        </w:rPr>
        <w:t xml:space="preserve">the High </w:t>
      </w:r>
      <w:r w:rsidR="009A44A1" w:rsidRPr="007F030E">
        <w:rPr>
          <w:rFonts w:ascii="Arial" w:hAnsi="Arial" w:cs="Arial"/>
          <w:sz w:val="24"/>
          <w:szCs w:val="24"/>
        </w:rPr>
        <w:t xml:space="preserve">Court </w:t>
      </w:r>
      <w:r w:rsidR="002E47C7" w:rsidRPr="007F030E">
        <w:rPr>
          <w:rFonts w:ascii="Arial" w:hAnsi="Arial" w:cs="Arial"/>
          <w:sz w:val="24"/>
          <w:szCs w:val="24"/>
        </w:rPr>
        <w:t>was of the view that no useful purpose would be served to treat the possession of the movables separately from the flat and that to the extent it was necessary to a make a finding regarding the possession of those movables, it said that its findings in respect of the</w:t>
      </w:r>
      <w:r w:rsidR="007F030E">
        <w:rPr>
          <w:rFonts w:ascii="Arial" w:hAnsi="Arial" w:cs="Arial"/>
          <w:sz w:val="24"/>
          <w:szCs w:val="24"/>
        </w:rPr>
        <w:t xml:space="preserve"> </w:t>
      </w:r>
      <w:r w:rsidR="002E47C7" w:rsidRPr="007F030E">
        <w:rPr>
          <w:rFonts w:ascii="Arial" w:hAnsi="Arial" w:cs="Arial"/>
          <w:sz w:val="24"/>
          <w:szCs w:val="24"/>
        </w:rPr>
        <w:lastRenderedPageBreak/>
        <w:t xml:space="preserve">possession of the flat apply with equal </w:t>
      </w:r>
      <w:r w:rsidR="006810E1" w:rsidRPr="007F030E">
        <w:rPr>
          <w:rFonts w:ascii="Arial" w:hAnsi="Arial" w:cs="Arial"/>
          <w:sz w:val="24"/>
          <w:szCs w:val="24"/>
        </w:rPr>
        <w:t xml:space="preserve">force </w:t>
      </w:r>
      <w:r w:rsidR="002E47C7" w:rsidRPr="007F030E">
        <w:rPr>
          <w:rFonts w:ascii="Arial" w:hAnsi="Arial" w:cs="Arial"/>
          <w:sz w:val="24"/>
          <w:szCs w:val="24"/>
        </w:rPr>
        <w:t>to the possession of the movables as the appellant had abandoned them together with the flat.</w:t>
      </w:r>
      <w:r w:rsidR="002E47C7">
        <w:rPr>
          <w:rStyle w:val="FootnoteReference"/>
          <w:rFonts w:ascii="Arial" w:hAnsi="Arial" w:cs="Arial"/>
          <w:sz w:val="24"/>
          <w:szCs w:val="24"/>
        </w:rPr>
        <w:footnoteReference w:id="8"/>
      </w:r>
      <w:r w:rsidR="00532FFB" w:rsidRPr="007F030E">
        <w:rPr>
          <w:rFonts w:ascii="Arial" w:hAnsi="Arial" w:cs="Arial"/>
          <w:sz w:val="24"/>
          <w:szCs w:val="24"/>
        </w:rPr>
        <w:t xml:space="preserve"> </w:t>
      </w:r>
      <w:r w:rsidR="002E47C7" w:rsidRPr="007F030E">
        <w:rPr>
          <w:rFonts w:ascii="Arial" w:hAnsi="Arial" w:cs="Arial"/>
          <w:sz w:val="24"/>
          <w:szCs w:val="24"/>
        </w:rPr>
        <w:t>The Court</w:t>
      </w:r>
      <w:r w:rsidR="006810E1" w:rsidRPr="007F030E">
        <w:rPr>
          <w:rFonts w:ascii="Arial" w:hAnsi="Arial" w:cs="Arial"/>
          <w:sz w:val="24"/>
          <w:szCs w:val="24"/>
        </w:rPr>
        <w:t>,</w:t>
      </w:r>
      <w:r w:rsidR="002E47C7" w:rsidRPr="007F030E">
        <w:rPr>
          <w:rFonts w:ascii="Arial" w:hAnsi="Arial" w:cs="Arial"/>
          <w:sz w:val="24"/>
          <w:szCs w:val="24"/>
        </w:rPr>
        <w:t xml:space="preserve"> therefore</w:t>
      </w:r>
      <w:r w:rsidR="006810E1" w:rsidRPr="007F030E">
        <w:rPr>
          <w:rFonts w:ascii="Arial" w:hAnsi="Arial" w:cs="Arial"/>
          <w:sz w:val="24"/>
          <w:szCs w:val="24"/>
        </w:rPr>
        <w:t>,</w:t>
      </w:r>
      <w:r w:rsidR="002E47C7" w:rsidRPr="007F030E">
        <w:rPr>
          <w:rFonts w:ascii="Arial" w:hAnsi="Arial" w:cs="Arial"/>
          <w:sz w:val="24"/>
          <w:szCs w:val="24"/>
        </w:rPr>
        <w:t xml:space="preserve"> </w:t>
      </w:r>
      <w:r w:rsidR="009A44A1" w:rsidRPr="007F030E">
        <w:rPr>
          <w:rFonts w:ascii="Arial" w:hAnsi="Arial" w:cs="Arial"/>
          <w:sz w:val="24"/>
          <w:szCs w:val="24"/>
        </w:rPr>
        <w:t>dismissed the spoliation application with costs.</w:t>
      </w:r>
    </w:p>
    <w:p w:rsidR="007F030E" w:rsidRDefault="007F030E" w:rsidP="007F030E">
      <w:pPr>
        <w:spacing w:after="0" w:line="480" w:lineRule="auto"/>
        <w:rPr>
          <w:rFonts w:ascii="Arial" w:hAnsi="Arial" w:cs="Arial"/>
          <w:sz w:val="24"/>
          <w:szCs w:val="24"/>
          <w:u w:val="single"/>
        </w:rPr>
      </w:pPr>
    </w:p>
    <w:p w:rsidR="007F030E" w:rsidRPr="009E277B" w:rsidRDefault="007F030E" w:rsidP="007F030E">
      <w:pPr>
        <w:pStyle w:val="NoSpacing"/>
        <w:spacing w:line="480" w:lineRule="auto"/>
        <w:jc w:val="both"/>
        <w:rPr>
          <w:rFonts w:ascii="Arial" w:hAnsi="Arial" w:cs="Arial"/>
          <w:sz w:val="24"/>
          <w:szCs w:val="24"/>
          <w:u w:val="single"/>
        </w:rPr>
      </w:pPr>
      <w:r w:rsidRPr="009E277B">
        <w:rPr>
          <w:rFonts w:ascii="Arial" w:hAnsi="Arial" w:cs="Arial"/>
          <w:sz w:val="24"/>
          <w:szCs w:val="24"/>
          <w:u w:val="single"/>
        </w:rPr>
        <w:t>On appeal</w:t>
      </w:r>
    </w:p>
    <w:p w:rsidR="00D56860" w:rsidRPr="00877424" w:rsidRDefault="004D58DE" w:rsidP="00F348C8">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T</w:t>
      </w:r>
      <w:r w:rsidR="002E47C7" w:rsidRPr="00877424">
        <w:rPr>
          <w:rFonts w:ascii="Arial" w:hAnsi="Arial" w:cs="Arial"/>
          <w:sz w:val="24"/>
          <w:szCs w:val="24"/>
        </w:rPr>
        <w:t xml:space="preserve">he appellant </w:t>
      </w:r>
      <w:r w:rsidRPr="00877424">
        <w:rPr>
          <w:rFonts w:ascii="Arial" w:hAnsi="Arial" w:cs="Arial"/>
          <w:sz w:val="24"/>
          <w:szCs w:val="24"/>
        </w:rPr>
        <w:t xml:space="preserve">noted an appeal to this Court against the whole of the </w:t>
      </w:r>
      <w:r w:rsidR="00935E34" w:rsidRPr="00877424">
        <w:rPr>
          <w:rFonts w:ascii="Arial" w:hAnsi="Arial" w:cs="Arial"/>
          <w:sz w:val="24"/>
          <w:szCs w:val="24"/>
        </w:rPr>
        <w:t xml:space="preserve">High Court’s </w:t>
      </w:r>
      <w:r w:rsidRPr="00877424">
        <w:rPr>
          <w:rFonts w:ascii="Arial" w:hAnsi="Arial" w:cs="Arial"/>
          <w:sz w:val="24"/>
          <w:szCs w:val="24"/>
        </w:rPr>
        <w:t>judgment including the costs award</w:t>
      </w:r>
      <w:r w:rsidR="00935E34" w:rsidRPr="00877424">
        <w:rPr>
          <w:rFonts w:ascii="Arial" w:hAnsi="Arial" w:cs="Arial"/>
          <w:sz w:val="24"/>
          <w:szCs w:val="24"/>
        </w:rPr>
        <w:t xml:space="preserve">, </w:t>
      </w:r>
      <w:r w:rsidRPr="00877424">
        <w:rPr>
          <w:rFonts w:ascii="Arial" w:hAnsi="Arial" w:cs="Arial"/>
          <w:sz w:val="24"/>
          <w:szCs w:val="24"/>
        </w:rPr>
        <w:t xml:space="preserve">excluding the part of the judgment which favoured him. </w:t>
      </w:r>
      <w:r w:rsidR="009E277B" w:rsidRPr="00877424">
        <w:rPr>
          <w:rFonts w:ascii="Arial" w:hAnsi="Arial" w:cs="Arial"/>
          <w:sz w:val="24"/>
          <w:szCs w:val="24"/>
        </w:rPr>
        <w:t xml:space="preserve">In </w:t>
      </w:r>
      <w:r w:rsidR="002743E1" w:rsidRPr="00877424">
        <w:rPr>
          <w:rFonts w:ascii="Arial" w:hAnsi="Arial" w:cs="Arial"/>
          <w:sz w:val="24"/>
          <w:szCs w:val="24"/>
        </w:rPr>
        <w:t>other words, excluding the High Court’s finding that the appellant was in physical possessio</w:t>
      </w:r>
      <w:r w:rsidR="00532FFB" w:rsidRPr="00877424">
        <w:rPr>
          <w:rFonts w:ascii="Arial" w:hAnsi="Arial" w:cs="Arial"/>
          <w:sz w:val="24"/>
          <w:szCs w:val="24"/>
        </w:rPr>
        <w:t xml:space="preserve">n and control of the movables. </w:t>
      </w:r>
      <w:r w:rsidR="00672110" w:rsidRPr="00877424">
        <w:rPr>
          <w:rFonts w:ascii="Arial" w:hAnsi="Arial" w:cs="Arial"/>
          <w:sz w:val="24"/>
          <w:szCs w:val="24"/>
        </w:rPr>
        <w:t xml:space="preserve">Although the appellant accepted in his submissions, as correct and referred to what the </w:t>
      </w:r>
      <w:r w:rsidR="00B23E8D" w:rsidRPr="00877424">
        <w:rPr>
          <w:rFonts w:ascii="Arial" w:hAnsi="Arial" w:cs="Arial"/>
          <w:sz w:val="24"/>
          <w:szCs w:val="24"/>
        </w:rPr>
        <w:t>High Court</w:t>
      </w:r>
      <w:r w:rsidR="00672110" w:rsidRPr="00877424">
        <w:rPr>
          <w:rFonts w:ascii="Arial" w:hAnsi="Arial" w:cs="Arial"/>
          <w:sz w:val="24"/>
          <w:szCs w:val="24"/>
        </w:rPr>
        <w:t xml:space="preserve">’s recital of </w:t>
      </w:r>
      <w:r w:rsidR="00B23E8D" w:rsidRPr="00877424">
        <w:rPr>
          <w:rFonts w:ascii="Arial" w:hAnsi="Arial" w:cs="Arial"/>
          <w:sz w:val="24"/>
          <w:szCs w:val="24"/>
        </w:rPr>
        <w:t>the legal principles applicable to the losing of possession</w:t>
      </w:r>
      <w:r w:rsidR="00672110" w:rsidRPr="00877424">
        <w:rPr>
          <w:rFonts w:ascii="Arial" w:hAnsi="Arial" w:cs="Arial"/>
          <w:sz w:val="24"/>
          <w:szCs w:val="24"/>
        </w:rPr>
        <w:t>, he argued</w:t>
      </w:r>
      <w:r w:rsidR="00D56860" w:rsidRPr="00877424">
        <w:rPr>
          <w:rFonts w:ascii="Arial" w:hAnsi="Arial" w:cs="Arial"/>
          <w:sz w:val="24"/>
          <w:szCs w:val="24"/>
        </w:rPr>
        <w:t>,</w:t>
      </w:r>
      <w:r w:rsidR="00672110" w:rsidRPr="00877424">
        <w:rPr>
          <w:rFonts w:ascii="Arial" w:hAnsi="Arial" w:cs="Arial"/>
          <w:sz w:val="24"/>
          <w:szCs w:val="24"/>
        </w:rPr>
        <w:t xml:space="preserve"> that the </w:t>
      </w:r>
      <w:r w:rsidR="009E277B" w:rsidRPr="00877424">
        <w:rPr>
          <w:rFonts w:ascii="Arial" w:hAnsi="Arial" w:cs="Arial"/>
          <w:sz w:val="24"/>
          <w:szCs w:val="24"/>
        </w:rPr>
        <w:t xml:space="preserve">Court erred and misdirected </w:t>
      </w:r>
      <w:r w:rsidR="009A44A1" w:rsidRPr="00877424">
        <w:rPr>
          <w:rFonts w:ascii="Arial" w:hAnsi="Arial" w:cs="Arial"/>
          <w:sz w:val="24"/>
          <w:szCs w:val="24"/>
        </w:rPr>
        <w:t>itse</w:t>
      </w:r>
      <w:r w:rsidR="00D56860" w:rsidRPr="00877424">
        <w:rPr>
          <w:rFonts w:ascii="Arial" w:hAnsi="Arial" w:cs="Arial"/>
          <w:sz w:val="24"/>
          <w:szCs w:val="24"/>
        </w:rPr>
        <w:t xml:space="preserve">lf in its wrong application of the legal principles set out in </w:t>
      </w:r>
      <w:r w:rsidR="00D56860" w:rsidRPr="00877424">
        <w:rPr>
          <w:rFonts w:ascii="Arial" w:hAnsi="Arial" w:cs="Arial"/>
          <w:i/>
          <w:sz w:val="24"/>
          <w:szCs w:val="24"/>
        </w:rPr>
        <w:t>Kuiiri</w:t>
      </w:r>
      <w:r w:rsidR="00D56860" w:rsidRPr="00877424">
        <w:rPr>
          <w:rFonts w:ascii="Arial" w:hAnsi="Arial" w:cs="Arial"/>
          <w:sz w:val="24"/>
          <w:szCs w:val="24"/>
        </w:rPr>
        <w:t xml:space="preserve"> to the relevant facts.</w:t>
      </w:r>
    </w:p>
    <w:p w:rsidR="00877424" w:rsidRPr="00877424" w:rsidRDefault="00877424" w:rsidP="00877424">
      <w:pPr>
        <w:pStyle w:val="NoSpacing"/>
        <w:spacing w:line="480" w:lineRule="auto"/>
        <w:jc w:val="both"/>
        <w:rPr>
          <w:rFonts w:ascii="Arial" w:hAnsi="Arial" w:cs="Arial"/>
          <w:sz w:val="24"/>
          <w:szCs w:val="24"/>
          <w:u w:val="single"/>
        </w:rPr>
      </w:pPr>
    </w:p>
    <w:p w:rsidR="009E277B" w:rsidRPr="00877424" w:rsidRDefault="00D56860" w:rsidP="00F348C8">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 xml:space="preserve">The appellant submitted </w:t>
      </w:r>
      <w:r w:rsidR="00190E79" w:rsidRPr="00877424">
        <w:rPr>
          <w:rFonts w:ascii="Arial" w:hAnsi="Arial" w:cs="Arial"/>
          <w:sz w:val="24"/>
          <w:szCs w:val="24"/>
        </w:rPr>
        <w:t xml:space="preserve">that even if the facts regarding purpose of the use of the flat were accepted to be true, that aspect was irrelevant as it related to the underlying cause of possession. He argued that applying the </w:t>
      </w:r>
      <w:r w:rsidR="00567123" w:rsidRPr="00877424">
        <w:rPr>
          <w:rFonts w:ascii="Arial" w:hAnsi="Arial" w:cs="Arial"/>
          <w:sz w:val="24"/>
          <w:szCs w:val="24"/>
        </w:rPr>
        <w:t xml:space="preserve">principles enunciated in </w:t>
      </w:r>
      <w:r w:rsidR="00190E79" w:rsidRPr="00877424">
        <w:rPr>
          <w:rFonts w:ascii="Arial" w:hAnsi="Arial" w:cs="Arial"/>
          <w:i/>
          <w:sz w:val="24"/>
          <w:szCs w:val="24"/>
        </w:rPr>
        <w:t>Plascon-Evans</w:t>
      </w:r>
      <w:r>
        <w:rPr>
          <w:rStyle w:val="FootnoteReference"/>
          <w:rFonts w:ascii="Arial" w:hAnsi="Arial" w:cs="Arial"/>
          <w:i/>
          <w:sz w:val="24"/>
          <w:szCs w:val="24"/>
        </w:rPr>
        <w:footnoteReference w:id="9"/>
      </w:r>
      <w:r w:rsidR="00190E79" w:rsidRPr="00877424">
        <w:rPr>
          <w:rFonts w:ascii="Arial" w:hAnsi="Arial" w:cs="Arial"/>
          <w:sz w:val="24"/>
          <w:szCs w:val="24"/>
        </w:rPr>
        <w:t xml:space="preserve"> to the irrelevant facts </w:t>
      </w:r>
      <w:r w:rsidR="00567123" w:rsidRPr="00877424">
        <w:rPr>
          <w:rFonts w:ascii="Arial" w:hAnsi="Arial" w:cs="Arial"/>
          <w:sz w:val="24"/>
          <w:szCs w:val="24"/>
        </w:rPr>
        <w:t>and making incorrect findings the Court misdirected itself by ignoring established facts</w:t>
      </w:r>
      <w:r w:rsidRPr="00877424">
        <w:rPr>
          <w:rFonts w:ascii="Arial" w:hAnsi="Arial" w:cs="Arial"/>
          <w:sz w:val="24"/>
          <w:szCs w:val="24"/>
        </w:rPr>
        <w:t xml:space="preserve"> including the following, </w:t>
      </w:r>
      <w:r w:rsidR="00567123" w:rsidRPr="00877424">
        <w:rPr>
          <w:rFonts w:ascii="Arial" w:hAnsi="Arial" w:cs="Arial"/>
          <w:sz w:val="24"/>
          <w:szCs w:val="24"/>
        </w:rPr>
        <w:t>that</w:t>
      </w:r>
      <w:r w:rsidRPr="00877424">
        <w:rPr>
          <w:rFonts w:ascii="Arial" w:hAnsi="Arial" w:cs="Arial"/>
          <w:sz w:val="24"/>
          <w:szCs w:val="24"/>
        </w:rPr>
        <w:t xml:space="preserve">: </w:t>
      </w:r>
      <w:r w:rsidR="00567123" w:rsidRPr="00877424">
        <w:rPr>
          <w:rFonts w:ascii="Arial" w:hAnsi="Arial" w:cs="Arial"/>
          <w:sz w:val="24"/>
          <w:szCs w:val="24"/>
        </w:rPr>
        <w:t>on the first occasion when his possession was threatened he brought a spoliation application and his possession was restored; thereafter he secured his possession by changing locks</w:t>
      </w:r>
      <w:r w:rsidRPr="00877424">
        <w:rPr>
          <w:rFonts w:ascii="Arial" w:hAnsi="Arial" w:cs="Arial"/>
          <w:sz w:val="24"/>
          <w:szCs w:val="24"/>
        </w:rPr>
        <w:t xml:space="preserve"> and keeping the only key and leaving his movables in the flat until the spoliation, an </w:t>
      </w:r>
      <w:r w:rsidRPr="00877424">
        <w:rPr>
          <w:rFonts w:ascii="Arial" w:hAnsi="Arial" w:cs="Arial"/>
          <w:sz w:val="24"/>
          <w:szCs w:val="24"/>
        </w:rPr>
        <w:lastRenderedPageBreak/>
        <w:t>unpleasant situation he stated, was committed – when the first respondent gained entry to the flat without a key</w:t>
      </w:r>
      <w:r w:rsidR="00F348C8" w:rsidRPr="00877424">
        <w:rPr>
          <w:rFonts w:ascii="Arial" w:hAnsi="Arial" w:cs="Arial"/>
          <w:sz w:val="24"/>
          <w:szCs w:val="24"/>
        </w:rPr>
        <w:t>.</w:t>
      </w:r>
    </w:p>
    <w:p w:rsidR="00877424" w:rsidRDefault="00877424" w:rsidP="00877424">
      <w:pPr>
        <w:pStyle w:val="ListParagraph"/>
        <w:spacing w:after="0" w:line="480" w:lineRule="auto"/>
        <w:rPr>
          <w:rFonts w:ascii="Arial" w:hAnsi="Arial" w:cs="Arial"/>
          <w:sz w:val="24"/>
          <w:szCs w:val="24"/>
          <w:u w:val="single"/>
        </w:rPr>
      </w:pPr>
    </w:p>
    <w:p w:rsidR="00F348C8" w:rsidRPr="00877424" w:rsidRDefault="00F348C8" w:rsidP="00F348C8">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The respondents opposed the appeal and maintained that the appellant abandoned the flat and left it derelict. They argued that in addition to physical control of the flat the appellant had to have intention to possess it.</w:t>
      </w:r>
      <w:r w:rsidR="000B0321" w:rsidRPr="00877424">
        <w:rPr>
          <w:rFonts w:ascii="Arial" w:hAnsi="Arial" w:cs="Arial"/>
          <w:sz w:val="24"/>
          <w:szCs w:val="24"/>
        </w:rPr>
        <w:t xml:space="preserve"> The</w:t>
      </w:r>
      <w:r w:rsidR="00EB0A91" w:rsidRPr="00877424">
        <w:rPr>
          <w:rFonts w:ascii="Arial" w:hAnsi="Arial" w:cs="Arial"/>
          <w:sz w:val="24"/>
          <w:szCs w:val="24"/>
        </w:rPr>
        <w:t xml:space="preserve"> respondents</w:t>
      </w:r>
      <w:r w:rsidR="000B0321" w:rsidRPr="00877424">
        <w:rPr>
          <w:rFonts w:ascii="Arial" w:hAnsi="Arial" w:cs="Arial"/>
          <w:sz w:val="24"/>
          <w:szCs w:val="24"/>
        </w:rPr>
        <w:t xml:space="preserve"> implored this Court not to interfere with the impugned judgment of the Court </w:t>
      </w:r>
      <w:r w:rsidR="000B0321" w:rsidRPr="00877424">
        <w:rPr>
          <w:rFonts w:ascii="Arial" w:hAnsi="Arial" w:cs="Arial"/>
          <w:i/>
          <w:sz w:val="24"/>
          <w:szCs w:val="24"/>
        </w:rPr>
        <w:t>a quo.</w:t>
      </w:r>
    </w:p>
    <w:p w:rsidR="00877424" w:rsidRDefault="00877424" w:rsidP="00877424">
      <w:pPr>
        <w:pStyle w:val="ListParagraph"/>
        <w:spacing w:after="0" w:line="480" w:lineRule="auto"/>
        <w:rPr>
          <w:rFonts w:ascii="Arial" w:hAnsi="Arial" w:cs="Arial"/>
          <w:sz w:val="24"/>
          <w:szCs w:val="24"/>
          <w:u w:val="single"/>
        </w:rPr>
      </w:pPr>
    </w:p>
    <w:p w:rsidR="00CC4D0B" w:rsidRPr="00877424" w:rsidRDefault="00F348C8" w:rsidP="00877424">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 xml:space="preserve">It is trite that </w:t>
      </w:r>
      <w:r w:rsidR="00646E20" w:rsidRPr="00877424">
        <w:rPr>
          <w:rFonts w:ascii="Arial" w:hAnsi="Arial" w:cs="Arial"/>
          <w:sz w:val="24"/>
          <w:szCs w:val="24"/>
        </w:rPr>
        <w:t>where there is no misdirection of fac</w:t>
      </w:r>
      <w:r w:rsidR="000B0321" w:rsidRPr="00877424">
        <w:rPr>
          <w:rFonts w:ascii="Arial" w:hAnsi="Arial" w:cs="Arial"/>
          <w:sz w:val="24"/>
          <w:szCs w:val="24"/>
        </w:rPr>
        <w:t>ts</w:t>
      </w:r>
      <w:r w:rsidR="00646E20" w:rsidRPr="00877424">
        <w:rPr>
          <w:rFonts w:ascii="Arial" w:hAnsi="Arial" w:cs="Arial"/>
          <w:sz w:val="24"/>
          <w:szCs w:val="24"/>
        </w:rPr>
        <w:t xml:space="preserve"> by the trier of facts, the presumption is that his or her conclusion is correct and can</w:t>
      </w:r>
      <w:r w:rsidR="000B0321" w:rsidRPr="00877424">
        <w:rPr>
          <w:rFonts w:ascii="Arial" w:hAnsi="Arial" w:cs="Arial"/>
          <w:sz w:val="24"/>
          <w:szCs w:val="24"/>
        </w:rPr>
        <w:t xml:space="preserve">not be interfered </w:t>
      </w:r>
      <w:r w:rsidR="00646E20" w:rsidRPr="00877424">
        <w:rPr>
          <w:rFonts w:ascii="Arial" w:hAnsi="Arial" w:cs="Arial"/>
          <w:sz w:val="24"/>
          <w:szCs w:val="24"/>
        </w:rPr>
        <w:t xml:space="preserve">with on appeal. </w:t>
      </w:r>
      <w:r w:rsidR="000B0321" w:rsidRPr="00877424">
        <w:rPr>
          <w:rFonts w:ascii="Arial" w:hAnsi="Arial" w:cs="Arial"/>
          <w:sz w:val="24"/>
          <w:szCs w:val="24"/>
        </w:rPr>
        <w:t xml:space="preserve">An </w:t>
      </w:r>
      <w:r w:rsidR="00646E20" w:rsidRPr="00877424">
        <w:rPr>
          <w:rFonts w:ascii="Arial" w:hAnsi="Arial" w:cs="Arial"/>
          <w:sz w:val="24"/>
          <w:szCs w:val="24"/>
        </w:rPr>
        <w:t xml:space="preserve">appeal court will </w:t>
      </w:r>
      <w:r w:rsidR="002F62BD" w:rsidRPr="00877424">
        <w:rPr>
          <w:rFonts w:ascii="Arial" w:hAnsi="Arial" w:cs="Arial"/>
          <w:sz w:val="24"/>
          <w:szCs w:val="24"/>
        </w:rPr>
        <w:t xml:space="preserve">generally </w:t>
      </w:r>
      <w:r w:rsidR="00646E20" w:rsidRPr="00877424">
        <w:rPr>
          <w:rFonts w:ascii="Arial" w:hAnsi="Arial" w:cs="Arial"/>
          <w:sz w:val="24"/>
          <w:szCs w:val="24"/>
        </w:rPr>
        <w:t>only interfere if it is convinced</w:t>
      </w:r>
      <w:r w:rsidR="000B0321" w:rsidRPr="00877424">
        <w:rPr>
          <w:rFonts w:ascii="Arial" w:hAnsi="Arial" w:cs="Arial"/>
          <w:sz w:val="24"/>
          <w:szCs w:val="24"/>
        </w:rPr>
        <w:t>, among other things,</w:t>
      </w:r>
      <w:r w:rsidR="00646E20" w:rsidRPr="00877424">
        <w:rPr>
          <w:rFonts w:ascii="Arial" w:hAnsi="Arial" w:cs="Arial"/>
          <w:sz w:val="24"/>
          <w:szCs w:val="24"/>
        </w:rPr>
        <w:t xml:space="preserve"> that the conclusion is demonstrably wrong</w:t>
      </w:r>
      <w:r w:rsidR="000B0321" w:rsidRPr="00877424">
        <w:rPr>
          <w:rFonts w:ascii="Arial" w:hAnsi="Arial" w:cs="Arial"/>
          <w:sz w:val="24"/>
          <w:szCs w:val="24"/>
        </w:rPr>
        <w:t xml:space="preserve"> and the discretional power of the lower court was not properly exercised, moved by a wrong principle of law or an incorrect appreciation of the facts.</w:t>
      </w:r>
      <w:r w:rsidR="00646E20">
        <w:rPr>
          <w:rStyle w:val="FootnoteReference"/>
          <w:rFonts w:ascii="Arial" w:hAnsi="Arial" w:cs="Arial"/>
          <w:sz w:val="24"/>
          <w:szCs w:val="24"/>
        </w:rPr>
        <w:footnoteReference w:id="10"/>
      </w:r>
    </w:p>
    <w:p w:rsidR="00877424" w:rsidRDefault="00877424" w:rsidP="00877424">
      <w:pPr>
        <w:pStyle w:val="ListParagraph"/>
        <w:spacing w:after="0" w:line="480" w:lineRule="auto"/>
        <w:rPr>
          <w:rFonts w:ascii="Arial" w:hAnsi="Arial" w:cs="Arial"/>
          <w:sz w:val="24"/>
          <w:szCs w:val="24"/>
          <w:u w:val="single"/>
        </w:rPr>
      </w:pPr>
    </w:p>
    <w:p w:rsidR="000B0321" w:rsidRPr="00877424" w:rsidRDefault="00B511ED" w:rsidP="0067267E">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The appellant has correctly accepted that the High Court’s restatement of the</w:t>
      </w:r>
      <w:r w:rsidR="00532FFB" w:rsidRPr="00877424">
        <w:rPr>
          <w:rFonts w:ascii="Arial" w:hAnsi="Arial" w:cs="Arial"/>
          <w:sz w:val="24"/>
          <w:szCs w:val="24"/>
        </w:rPr>
        <w:t xml:space="preserve"> legal principles was correct. </w:t>
      </w:r>
      <w:r w:rsidRPr="00877424">
        <w:rPr>
          <w:rFonts w:ascii="Arial" w:hAnsi="Arial" w:cs="Arial"/>
          <w:sz w:val="24"/>
          <w:szCs w:val="24"/>
        </w:rPr>
        <w:t xml:space="preserve">To avoid prolixity, it is not </w:t>
      </w:r>
      <w:r w:rsidR="00B110FE" w:rsidRPr="00877424">
        <w:rPr>
          <w:rFonts w:ascii="Arial" w:hAnsi="Arial" w:cs="Arial"/>
          <w:sz w:val="24"/>
          <w:szCs w:val="24"/>
        </w:rPr>
        <w:t xml:space="preserve">necessary to repeat same here. </w:t>
      </w:r>
      <w:r w:rsidRPr="00877424">
        <w:rPr>
          <w:rFonts w:ascii="Arial" w:hAnsi="Arial" w:cs="Arial"/>
          <w:sz w:val="24"/>
          <w:szCs w:val="24"/>
        </w:rPr>
        <w:t xml:space="preserve">It bears </w:t>
      </w:r>
      <w:r w:rsidR="00541274" w:rsidRPr="00877424">
        <w:rPr>
          <w:rFonts w:ascii="Arial" w:hAnsi="Arial" w:cs="Arial"/>
          <w:sz w:val="24"/>
          <w:szCs w:val="24"/>
        </w:rPr>
        <w:t xml:space="preserve">underlining </w:t>
      </w:r>
      <w:r w:rsidRPr="00877424">
        <w:rPr>
          <w:rFonts w:ascii="Arial" w:hAnsi="Arial" w:cs="Arial"/>
          <w:sz w:val="24"/>
          <w:szCs w:val="24"/>
        </w:rPr>
        <w:t xml:space="preserve">however that </w:t>
      </w:r>
      <w:r w:rsidR="00541274" w:rsidRPr="00877424">
        <w:rPr>
          <w:rFonts w:ascii="Arial" w:hAnsi="Arial" w:cs="Arial"/>
          <w:sz w:val="24"/>
          <w:szCs w:val="24"/>
        </w:rPr>
        <w:t xml:space="preserve">to sustain a claim based on </w:t>
      </w:r>
      <w:r w:rsidRPr="00877424">
        <w:rPr>
          <w:rFonts w:ascii="Arial" w:hAnsi="Arial" w:cs="Arial"/>
          <w:sz w:val="24"/>
          <w:szCs w:val="24"/>
        </w:rPr>
        <w:t xml:space="preserve">spoliation </w:t>
      </w:r>
      <w:r w:rsidR="00541274" w:rsidRPr="00877424">
        <w:rPr>
          <w:rFonts w:ascii="Arial" w:hAnsi="Arial" w:cs="Arial"/>
          <w:sz w:val="24"/>
          <w:szCs w:val="24"/>
        </w:rPr>
        <w:t xml:space="preserve">an applicant </w:t>
      </w:r>
      <w:r w:rsidRPr="00877424">
        <w:rPr>
          <w:rFonts w:ascii="Arial" w:hAnsi="Arial" w:cs="Arial"/>
          <w:sz w:val="24"/>
          <w:szCs w:val="24"/>
        </w:rPr>
        <w:t xml:space="preserve">requires possession which, borrowing the words used in </w:t>
      </w:r>
      <w:r w:rsidRPr="00877424">
        <w:rPr>
          <w:rFonts w:ascii="Arial" w:hAnsi="Arial" w:cs="Arial"/>
          <w:i/>
          <w:sz w:val="24"/>
          <w:szCs w:val="24"/>
        </w:rPr>
        <w:t>Ness</w:t>
      </w:r>
      <w:r w:rsidRPr="00877424">
        <w:rPr>
          <w:rFonts w:ascii="Arial" w:hAnsi="Arial" w:cs="Arial"/>
          <w:sz w:val="24"/>
          <w:szCs w:val="24"/>
        </w:rPr>
        <w:t>,</w:t>
      </w:r>
      <w:r>
        <w:rPr>
          <w:rStyle w:val="FootnoteReference"/>
          <w:rFonts w:ascii="Arial" w:hAnsi="Arial" w:cs="Arial"/>
          <w:i/>
          <w:sz w:val="24"/>
          <w:szCs w:val="24"/>
        </w:rPr>
        <w:footnoteReference w:id="11"/>
      </w:r>
      <w:r w:rsidRPr="00877424">
        <w:rPr>
          <w:rFonts w:ascii="Arial" w:hAnsi="Arial" w:cs="Arial"/>
          <w:sz w:val="24"/>
          <w:szCs w:val="24"/>
        </w:rPr>
        <w:t xml:space="preserve"> has become </w:t>
      </w:r>
      <w:r w:rsidRPr="00877424">
        <w:rPr>
          <w:rFonts w:ascii="Arial" w:hAnsi="Arial" w:cs="Arial"/>
          <w:sz w:val="24"/>
          <w:szCs w:val="24"/>
        </w:rPr>
        <w:lastRenderedPageBreak/>
        <w:t xml:space="preserve">‘ensconced’. The question remains whether, given all the circumstances, it can safely be said that the High Court was wrong in </w:t>
      </w:r>
      <w:r w:rsidR="00541274" w:rsidRPr="00877424">
        <w:rPr>
          <w:rFonts w:ascii="Arial" w:hAnsi="Arial" w:cs="Arial"/>
          <w:sz w:val="24"/>
          <w:szCs w:val="24"/>
        </w:rPr>
        <w:t>its conclusion.</w:t>
      </w:r>
      <w:r w:rsidR="00B60B30" w:rsidRPr="00877424">
        <w:rPr>
          <w:rFonts w:ascii="Arial" w:hAnsi="Arial" w:cs="Arial"/>
          <w:sz w:val="24"/>
          <w:szCs w:val="24"/>
        </w:rPr>
        <w:t xml:space="preserve"> The answer is NO.</w:t>
      </w:r>
      <w:r w:rsidR="00541274" w:rsidRPr="00877424">
        <w:rPr>
          <w:rFonts w:ascii="Arial" w:hAnsi="Arial" w:cs="Arial"/>
          <w:sz w:val="24"/>
          <w:szCs w:val="24"/>
        </w:rPr>
        <w:t xml:space="preserve"> </w:t>
      </w:r>
    </w:p>
    <w:p w:rsidR="00877424" w:rsidRDefault="00877424" w:rsidP="00877424">
      <w:pPr>
        <w:pStyle w:val="ListParagraph"/>
        <w:spacing w:after="0" w:line="480" w:lineRule="auto"/>
        <w:rPr>
          <w:rFonts w:ascii="Arial" w:hAnsi="Arial" w:cs="Arial"/>
          <w:sz w:val="24"/>
          <w:szCs w:val="24"/>
          <w:u w:val="single"/>
        </w:rPr>
      </w:pPr>
    </w:p>
    <w:p w:rsidR="00541274" w:rsidRPr="00877424" w:rsidRDefault="00541274" w:rsidP="0067267E">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The High Court dealt with the established principles regarding, among other things, onus by the appellant to establish on balance a peaceful an</w:t>
      </w:r>
      <w:r w:rsidR="00073BFE" w:rsidRPr="00877424">
        <w:rPr>
          <w:rFonts w:ascii="Arial" w:hAnsi="Arial" w:cs="Arial"/>
          <w:sz w:val="24"/>
          <w:szCs w:val="24"/>
        </w:rPr>
        <w:t>d undisturbed possession and that</w:t>
      </w:r>
      <w:r w:rsidRPr="00877424">
        <w:rPr>
          <w:rFonts w:ascii="Arial" w:hAnsi="Arial" w:cs="Arial"/>
          <w:sz w:val="24"/>
          <w:szCs w:val="24"/>
        </w:rPr>
        <w:t xml:space="preserve"> he was unlaw</w:t>
      </w:r>
      <w:r w:rsidR="00081F4A" w:rsidRPr="00877424">
        <w:rPr>
          <w:rFonts w:ascii="Arial" w:hAnsi="Arial" w:cs="Arial"/>
          <w:sz w:val="24"/>
          <w:szCs w:val="24"/>
        </w:rPr>
        <w:t>fully deprived of possession; that possession consisted of an objective and subjective elements – (i) the physical control</w:t>
      </w:r>
      <w:r w:rsidR="00A83FCA" w:rsidRPr="00877424">
        <w:rPr>
          <w:rFonts w:ascii="Arial" w:hAnsi="Arial" w:cs="Arial"/>
          <w:sz w:val="24"/>
          <w:szCs w:val="24"/>
        </w:rPr>
        <w:t>,</w:t>
      </w:r>
      <w:r w:rsidR="00081F4A" w:rsidRPr="00877424">
        <w:rPr>
          <w:rFonts w:ascii="Arial" w:hAnsi="Arial" w:cs="Arial"/>
          <w:sz w:val="24"/>
          <w:szCs w:val="24"/>
        </w:rPr>
        <w:t xml:space="preserve"> (ii) the intention to possess – the latter entailing, inter alia, the intention to exercise the control and occupation of the thing for the occupier’s benefit and (iii) not just measure of possession (however technical and remote, tenuous or brief will suffice). The Court must</w:t>
      </w:r>
      <w:r w:rsidR="006810E1" w:rsidRPr="00877424">
        <w:rPr>
          <w:rFonts w:ascii="Arial" w:hAnsi="Arial" w:cs="Arial"/>
          <w:sz w:val="24"/>
          <w:szCs w:val="24"/>
        </w:rPr>
        <w:t>,</w:t>
      </w:r>
      <w:r w:rsidR="00081F4A" w:rsidRPr="00877424">
        <w:rPr>
          <w:rFonts w:ascii="Arial" w:hAnsi="Arial" w:cs="Arial"/>
          <w:sz w:val="24"/>
          <w:szCs w:val="24"/>
        </w:rPr>
        <w:t xml:space="preserve"> however</w:t>
      </w:r>
      <w:r w:rsidR="006810E1" w:rsidRPr="00877424">
        <w:rPr>
          <w:rFonts w:ascii="Arial" w:hAnsi="Arial" w:cs="Arial"/>
          <w:sz w:val="24"/>
          <w:szCs w:val="24"/>
        </w:rPr>
        <w:t>,</w:t>
      </w:r>
      <w:r w:rsidR="00081F4A" w:rsidRPr="00877424">
        <w:rPr>
          <w:rFonts w:ascii="Arial" w:hAnsi="Arial" w:cs="Arial"/>
          <w:sz w:val="24"/>
          <w:szCs w:val="24"/>
        </w:rPr>
        <w:t xml:space="preserve"> be satisfied that the despoiled possession was sufficiently stable and durable t</w:t>
      </w:r>
      <w:r w:rsidR="00B60B30" w:rsidRPr="00877424">
        <w:rPr>
          <w:rFonts w:ascii="Arial" w:hAnsi="Arial" w:cs="Arial"/>
          <w:sz w:val="24"/>
          <w:szCs w:val="24"/>
        </w:rPr>
        <w:t>o</w:t>
      </w:r>
      <w:r w:rsidR="00081F4A" w:rsidRPr="00877424">
        <w:rPr>
          <w:rFonts w:ascii="Arial" w:hAnsi="Arial" w:cs="Arial"/>
          <w:sz w:val="24"/>
          <w:szCs w:val="24"/>
        </w:rPr>
        <w:t xml:space="preserve"> constitute peaceful and undisturbed possession as was said by this Court in </w:t>
      </w:r>
      <w:r w:rsidR="00081F4A" w:rsidRPr="00877424">
        <w:rPr>
          <w:rFonts w:ascii="Arial" w:hAnsi="Arial" w:cs="Arial"/>
          <w:i/>
          <w:sz w:val="24"/>
          <w:szCs w:val="24"/>
        </w:rPr>
        <w:t>Ku</w:t>
      </w:r>
      <w:r w:rsidR="00B60B30" w:rsidRPr="00877424">
        <w:rPr>
          <w:rFonts w:ascii="Arial" w:hAnsi="Arial" w:cs="Arial"/>
          <w:i/>
          <w:sz w:val="24"/>
          <w:szCs w:val="24"/>
        </w:rPr>
        <w:t>i</w:t>
      </w:r>
      <w:r w:rsidR="00081F4A" w:rsidRPr="00877424">
        <w:rPr>
          <w:rFonts w:ascii="Arial" w:hAnsi="Arial" w:cs="Arial"/>
          <w:i/>
          <w:sz w:val="24"/>
          <w:szCs w:val="24"/>
        </w:rPr>
        <w:t>iri</w:t>
      </w:r>
      <w:r w:rsidR="00081F4A" w:rsidRPr="00877424">
        <w:rPr>
          <w:rFonts w:ascii="Arial" w:hAnsi="Arial" w:cs="Arial"/>
          <w:sz w:val="24"/>
          <w:szCs w:val="24"/>
        </w:rPr>
        <w:t>.</w:t>
      </w:r>
    </w:p>
    <w:p w:rsidR="00877424" w:rsidRDefault="00877424" w:rsidP="00877424">
      <w:pPr>
        <w:pStyle w:val="ListParagraph"/>
        <w:spacing w:after="0" w:line="480" w:lineRule="auto"/>
        <w:rPr>
          <w:rFonts w:ascii="Arial" w:hAnsi="Arial" w:cs="Arial"/>
          <w:sz w:val="24"/>
          <w:szCs w:val="24"/>
          <w:u w:val="single"/>
        </w:rPr>
      </w:pPr>
    </w:p>
    <w:p w:rsidR="00986A07" w:rsidRPr="00877424" w:rsidRDefault="00B60B30" w:rsidP="00986A07">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The High Court was correct that possession is lost when the possessor abandons the thing and that the extent of the use and occupation are some of the factors to be taken into consideration to determine physical or mental control.</w:t>
      </w:r>
      <w:r>
        <w:rPr>
          <w:rStyle w:val="FootnoteReference"/>
          <w:rFonts w:ascii="Arial" w:hAnsi="Arial" w:cs="Arial"/>
          <w:sz w:val="24"/>
          <w:szCs w:val="24"/>
        </w:rPr>
        <w:footnoteReference w:id="12"/>
      </w:r>
      <w:r w:rsidRPr="00877424">
        <w:rPr>
          <w:rFonts w:ascii="Arial" w:hAnsi="Arial" w:cs="Arial"/>
          <w:sz w:val="24"/>
          <w:szCs w:val="24"/>
        </w:rPr>
        <w:t xml:space="preserve"> The High Court </w:t>
      </w:r>
      <w:r w:rsidR="00E60D34" w:rsidRPr="00877424">
        <w:rPr>
          <w:rFonts w:ascii="Arial" w:hAnsi="Arial" w:cs="Arial"/>
          <w:sz w:val="24"/>
          <w:szCs w:val="24"/>
        </w:rPr>
        <w:t xml:space="preserve">appropriately </w:t>
      </w:r>
      <w:r w:rsidRPr="00877424">
        <w:rPr>
          <w:rFonts w:ascii="Arial" w:hAnsi="Arial" w:cs="Arial"/>
          <w:sz w:val="24"/>
          <w:szCs w:val="24"/>
        </w:rPr>
        <w:t>dealt with the disputed facts regarding the purpose of coming to the flat to det</w:t>
      </w:r>
      <w:r w:rsidR="00E60D34" w:rsidRPr="00877424">
        <w:rPr>
          <w:rFonts w:ascii="Arial" w:hAnsi="Arial" w:cs="Arial"/>
          <w:sz w:val="24"/>
          <w:szCs w:val="24"/>
        </w:rPr>
        <w:t>er</w:t>
      </w:r>
      <w:r w:rsidR="00532FFB" w:rsidRPr="00877424">
        <w:rPr>
          <w:rFonts w:ascii="Arial" w:hAnsi="Arial" w:cs="Arial"/>
          <w:sz w:val="24"/>
          <w:szCs w:val="24"/>
        </w:rPr>
        <w:t xml:space="preserve">mine the intention to possess. </w:t>
      </w:r>
      <w:r w:rsidR="00E60D34" w:rsidRPr="00877424">
        <w:rPr>
          <w:rFonts w:ascii="Arial" w:hAnsi="Arial" w:cs="Arial"/>
          <w:sz w:val="24"/>
          <w:szCs w:val="24"/>
        </w:rPr>
        <w:t xml:space="preserve">In my view, the Court </w:t>
      </w:r>
      <w:r w:rsidR="00E60D34" w:rsidRPr="00877424">
        <w:rPr>
          <w:rFonts w:ascii="Arial" w:hAnsi="Arial" w:cs="Arial"/>
          <w:i/>
          <w:sz w:val="24"/>
          <w:szCs w:val="24"/>
        </w:rPr>
        <w:t>a quo</w:t>
      </w:r>
      <w:r w:rsidR="00E60D34" w:rsidRPr="00877424">
        <w:rPr>
          <w:rFonts w:ascii="Arial" w:hAnsi="Arial" w:cs="Arial"/>
          <w:sz w:val="24"/>
          <w:szCs w:val="24"/>
        </w:rPr>
        <w:t xml:space="preserve"> cannot be faulted in its conclusion that the appellant lost possession </w:t>
      </w:r>
      <w:r w:rsidR="00073BFE" w:rsidRPr="00877424">
        <w:rPr>
          <w:rFonts w:ascii="Arial" w:hAnsi="Arial" w:cs="Arial"/>
          <w:sz w:val="24"/>
          <w:szCs w:val="24"/>
        </w:rPr>
        <w:t xml:space="preserve">through </w:t>
      </w:r>
      <w:r w:rsidR="00E60D34" w:rsidRPr="00877424">
        <w:rPr>
          <w:rFonts w:ascii="Arial" w:hAnsi="Arial" w:cs="Arial"/>
          <w:sz w:val="24"/>
          <w:szCs w:val="24"/>
        </w:rPr>
        <w:t>his long period of six years of absence −</w:t>
      </w:r>
      <w:r w:rsidR="00532FFB" w:rsidRPr="00877424">
        <w:rPr>
          <w:rFonts w:ascii="Arial" w:hAnsi="Arial" w:cs="Arial"/>
          <w:sz w:val="24"/>
          <w:szCs w:val="24"/>
        </w:rPr>
        <w:t xml:space="preserve"> </w:t>
      </w:r>
      <w:r w:rsidR="00E60D34" w:rsidRPr="00877424">
        <w:rPr>
          <w:rFonts w:ascii="Arial" w:hAnsi="Arial" w:cs="Arial"/>
          <w:sz w:val="24"/>
          <w:szCs w:val="24"/>
        </w:rPr>
        <w:t xml:space="preserve">which he has admitted. </w:t>
      </w:r>
    </w:p>
    <w:p w:rsidR="00877424" w:rsidRDefault="00877424" w:rsidP="00877424">
      <w:pPr>
        <w:pStyle w:val="ListParagraph"/>
        <w:spacing w:after="0" w:line="480" w:lineRule="auto"/>
        <w:rPr>
          <w:rFonts w:ascii="Arial" w:hAnsi="Arial" w:cs="Arial"/>
          <w:sz w:val="24"/>
          <w:szCs w:val="24"/>
          <w:u w:val="single"/>
        </w:rPr>
      </w:pPr>
    </w:p>
    <w:p w:rsidR="00986A07" w:rsidRPr="00877424" w:rsidRDefault="00E60D34" w:rsidP="00986A07">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lastRenderedPageBreak/>
        <w:t>Needless to say, six-years of continuous absence or non-beneficial use (given the agreed purpose of use) of the flat was beyond reasonable tolerance of the requirement of continuous possession principle. I say this not unmindful of the fact that absolute continuity is not a prerequisite. However, the right is and must be exercised from time to time as occasion requires and with reasonable continuity.</w:t>
      </w:r>
      <w:r>
        <w:rPr>
          <w:rStyle w:val="FootnoteReference"/>
          <w:rFonts w:ascii="Arial" w:hAnsi="Arial" w:cs="Arial"/>
          <w:sz w:val="24"/>
          <w:szCs w:val="24"/>
        </w:rPr>
        <w:footnoteReference w:id="13"/>
      </w:r>
      <w:r w:rsidR="00532FFB" w:rsidRPr="00877424">
        <w:rPr>
          <w:rFonts w:ascii="Arial" w:hAnsi="Arial" w:cs="Arial"/>
          <w:sz w:val="24"/>
          <w:szCs w:val="24"/>
        </w:rPr>
        <w:t xml:space="preserve"> </w:t>
      </w:r>
      <w:r w:rsidR="005D0317" w:rsidRPr="00877424">
        <w:rPr>
          <w:rFonts w:ascii="Arial" w:hAnsi="Arial" w:cs="Arial"/>
          <w:sz w:val="24"/>
          <w:szCs w:val="24"/>
        </w:rPr>
        <w:t xml:space="preserve">The High Court was correct that, in </w:t>
      </w:r>
      <w:r w:rsidR="005D0317" w:rsidRPr="00877424">
        <w:rPr>
          <w:rFonts w:ascii="Arial" w:hAnsi="Arial" w:cs="Arial"/>
          <w:i/>
          <w:sz w:val="24"/>
          <w:szCs w:val="24"/>
        </w:rPr>
        <w:t>casu</w:t>
      </w:r>
      <w:r w:rsidR="005D0317" w:rsidRPr="00877424">
        <w:rPr>
          <w:rFonts w:ascii="Arial" w:hAnsi="Arial" w:cs="Arial"/>
          <w:sz w:val="24"/>
          <w:szCs w:val="24"/>
        </w:rPr>
        <w:t xml:space="preserve">, there has, unquestionably, been absolute absence of the exercise of the right of use or occupation for a continuous period of six years and that the only reasonable inference to be drawn from the facts is that the appellant abandoned and lost intention to possess or continue occupying the flat. </w:t>
      </w:r>
    </w:p>
    <w:p w:rsidR="00877424" w:rsidRDefault="00877424" w:rsidP="00877424">
      <w:pPr>
        <w:pStyle w:val="ListParagraph"/>
        <w:spacing w:after="0" w:line="480" w:lineRule="auto"/>
        <w:rPr>
          <w:rFonts w:ascii="Arial" w:hAnsi="Arial" w:cs="Arial"/>
          <w:sz w:val="24"/>
          <w:szCs w:val="24"/>
          <w:u w:val="single"/>
        </w:rPr>
      </w:pPr>
    </w:p>
    <w:p w:rsidR="00877424" w:rsidRPr="00877424" w:rsidRDefault="00A666EB" w:rsidP="00877424">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As regards the principle on inferential reasoning, t</w:t>
      </w:r>
      <w:r w:rsidR="008C71D5" w:rsidRPr="00877424">
        <w:rPr>
          <w:rFonts w:ascii="Arial" w:hAnsi="Arial" w:cs="Arial"/>
          <w:sz w:val="24"/>
          <w:szCs w:val="24"/>
        </w:rPr>
        <w:t xml:space="preserve">his Court in </w:t>
      </w:r>
      <w:r w:rsidR="008C71D5" w:rsidRPr="00877424">
        <w:rPr>
          <w:rFonts w:ascii="Arial" w:hAnsi="Arial" w:cs="Arial"/>
          <w:i/>
          <w:sz w:val="24"/>
          <w:szCs w:val="24"/>
        </w:rPr>
        <w:t xml:space="preserve">Kuiiri </w:t>
      </w:r>
      <w:r w:rsidRPr="00877424">
        <w:rPr>
          <w:rFonts w:ascii="Arial" w:hAnsi="Arial" w:cs="Arial"/>
          <w:sz w:val="24"/>
          <w:szCs w:val="24"/>
        </w:rPr>
        <w:t>remarked:</w:t>
      </w:r>
    </w:p>
    <w:p w:rsidR="0043656E" w:rsidRDefault="0043656E" w:rsidP="0043656E">
      <w:pPr>
        <w:pStyle w:val="NoSpacing"/>
        <w:spacing w:line="360" w:lineRule="auto"/>
        <w:jc w:val="both"/>
        <w:rPr>
          <w:rFonts w:ascii="Arial" w:hAnsi="Arial" w:cs="Arial"/>
          <w:sz w:val="24"/>
          <w:szCs w:val="24"/>
        </w:rPr>
      </w:pPr>
      <w:r>
        <w:rPr>
          <w:rFonts w:ascii="Arial" w:hAnsi="Arial" w:cs="Arial"/>
          <w:sz w:val="24"/>
          <w:szCs w:val="24"/>
        </w:rPr>
        <w:tab/>
      </w:r>
    </w:p>
    <w:p w:rsidR="008C71D5" w:rsidRPr="0043656E" w:rsidRDefault="008C71D5" w:rsidP="0043656E">
      <w:pPr>
        <w:pStyle w:val="NoSpacing"/>
        <w:spacing w:line="360" w:lineRule="auto"/>
        <w:ind w:left="720"/>
        <w:jc w:val="both"/>
        <w:rPr>
          <w:rFonts w:ascii="Arial" w:hAnsi="Arial" w:cs="Arial"/>
          <w:sz w:val="24"/>
          <w:szCs w:val="24"/>
        </w:rPr>
      </w:pPr>
      <w:r w:rsidRPr="0043656E">
        <w:rPr>
          <w:rFonts w:ascii="Arial" w:hAnsi="Arial" w:cs="Arial"/>
        </w:rPr>
        <w:t xml:space="preserve">‘Possession of an immovable thing may, of course, be lost for a number of reasons. </w:t>
      </w:r>
      <w:r w:rsidR="00A666EB" w:rsidRPr="0043656E">
        <w:rPr>
          <w:rFonts w:ascii="Arial" w:hAnsi="Arial" w:cs="Arial"/>
        </w:rPr>
        <w:t>Whether the possessor’s physical absence f</w:t>
      </w:r>
      <w:r w:rsidR="00532FFB" w:rsidRPr="0043656E">
        <w:rPr>
          <w:rFonts w:ascii="Arial" w:hAnsi="Arial" w:cs="Arial"/>
        </w:rPr>
        <w:t xml:space="preserve">rom the immovable thing or </w:t>
      </w:r>
      <w:r w:rsidR="00A666EB" w:rsidRPr="0043656E">
        <w:rPr>
          <w:rFonts w:ascii="Arial" w:hAnsi="Arial" w:cs="Arial"/>
        </w:rPr>
        <w:t>the nature and extent of the use, occupation or control thereof by another party justifies the inference that the physical and/or mental requirements necessary to sustain possession are no longer present, must be determined with regard to the circumstances of each case.’</w:t>
      </w:r>
      <w:r w:rsidR="00207222" w:rsidRPr="0043656E">
        <w:rPr>
          <w:rStyle w:val="FootnoteReference"/>
          <w:rFonts w:ascii="Arial" w:hAnsi="Arial" w:cs="Arial"/>
        </w:rPr>
        <w:footnoteReference w:id="14"/>
      </w:r>
      <w:r w:rsidR="00207222" w:rsidRPr="0043656E">
        <w:rPr>
          <w:rFonts w:ascii="Arial" w:hAnsi="Arial" w:cs="Arial"/>
        </w:rPr>
        <w:t xml:space="preserve"> (Footnotes omitted.)</w:t>
      </w:r>
    </w:p>
    <w:p w:rsidR="00986A07" w:rsidRDefault="00986A07" w:rsidP="00986A07">
      <w:pPr>
        <w:pStyle w:val="NoSpacing"/>
        <w:spacing w:line="480" w:lineRule="auto"/>
        <w:jc w:val="both"/>
        <w:rPr>
          <w:rFonts w:ascii="Arial" w:hAnsi="Arial" w:cs="Arial"/>
          <w:sz w:val="24"/>
          <w:szCs w:val="24"/>
        </w:rPr>
      </w:pPr>
    </w:p>
    <w:p w:rsidR="00301822" w:rsidRPr="00877424" w:rsidRDefault="0059147E" w:rsidP="00986A07">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 xml:space="preserve">The appellant argued that even if the facts regarding purpose of the use of the flat were accepted to be true, that aspect was irrelevant as it related to the underlying cause of possession. </w:t>
      </w:r>
      <w:r w:rsidR="004318A2" w:rsidRPr="00877424">
        <w:rPr>
          <w:rFonts w:ascii="Arial" w:hAnsi="Arial" w:cs="Arial"/>
          <w:sz w:val="24"/>
          <w:szCs w:val="24"/>
        </w:rPr>
        <w:t>There is no merit in the argument</w:t>
      </w:r>
      <w:r w:rsidRPr="00877424">
        <w:rPr>
          <w:rFonts w:ascii="Arial" w:hAnsi="Arial" w:cs="Arial"/>
          <w:sz w:val="24"/>
          <w:szCs w:val="24"/>
        </w:rPr>
        <w:t>. The circumstances of this case justified the taking into account of the purpose for which the property was intended to be used</w:t>
      </w:r>
      <w:r w:rsidR="00301822" w:rsidRPr="00877424">
        <w:rPr>
          <w:rFonts w:ascii="Arial" w:hAnsi="Arial" w:cs="Arial"/>
          <w:sz w:val="24"/>
          <w:szCs w:val="24"/>
        </w:rPr>
        <w:t xml:space="preserve"> as was al</w:t>
      </w:r>
      <w:r w:rsidR="00532FFB" w:rsidRPr="00877424">
        <w:rPr>
          <w:rFonts w:ascii="Arial" w:hAnsi="Arial" w:cs="Arial"/>
          <w:sz w:val="24"/>
          <w:szCs w:val="24"/>
        </w:rPr>
        <w:t xml:space="preserve">leged by the first respondent. </w:t>
      </w:r>
      <w:r w:rsidR="004318A2" w:rsidRPr="00877424">
        <w:rPr>
          <w:rFonts w:ascii="Arial" w:hAnsi="Arial" w:cs="Arial"/>
          <w:sz w:val="24"/>
          <w:szCs w:val="24"/>
        </w:rPr>
        <w:t xml:space="preserve">The </w:t>
      </w:r>
      <w:r w:rsidR="00301822" w:rsidRPr="00877424">
        <w:rPr>
          <w:rFonts w:ascii="Arial" w:hAnsi="Arial" w:cs="Arial"/>
          <w:sz w:val="24"/>
          <w:szCs w:val="24"/>
        </w:rPr>
        <w:t xml:space="preserve">appellant did not dispute the </w:t>
      </w:r>
      <w:r w:rsidR="00301822" w:rsidRPr="00877424">
        <w:rPr>
          <w:rFonts w:ascii="Arial" w:hAnsi="Arial" w:cs="Arial"/>
          <w:sz w:val="24"/>
          <w:szCs w:val="24"/>
        </w:rPr>
        <w:lastRenderedPageBreak/>
        <w:t>averment.</w:t>
      </w:r>
      <w:r w:rsidRPr="00877424">
        <w:rPr>
          <w:rFonts w:ascii="Arial" w:hAnsi="Arial" w:cs="Arial"/>
          <w:sz w:val="24"/>
          <w:szCs w:val="24"/>
        </w:rPr>
        <w:t xml:space="preserve"> </w:t>
      </w:r>
      <w:r w:rsidR="004318A2" w:rsidRPr="00877424">
        <w:rPr>
          <w:rFonts w:ascii="Arial" w:hAnsi="Arial" w:cs="Arial"/>
          <w:sz w:val="24"/>
          <w:szCs w:val="24"/>
        </w:rPr>
        <w:t xml:space="preserve">As a matter of fact, he admitted </w:t>
      </w:r>
      <w:r w:rsidR="00301822" w:rsidRPr="00877424">
        <w:rPr>
          <w:rFonts w:ascii="Arial" w:hAnsi="Arial" w:cs="Arial"/>
          <w:sz w:val="24"/>
          <w:szCs w:val="24"/>
        </w:rPr>
        <w:t xml:space="preserve">that they had agreed that the flat will be converted into a suitable living apartment </w:t>
      </w:r>
      <w:r w:rsidR="004318A2" w:rsidRPr="00877424">
        <w:rPr>
          <w:rFonts w:ascii="Arial" w:hAnsi="Arial" w:cs="Arial"/>
          <w:sz w:val="24"/>
          <w:szCs w:val="24"/>
        </w:rPr>
        <w:t xml:space="preserve">is telling and bolsters the point made by the first respondent. In his founding papers the appellant stated that the agreement between him and his brother (first respondent) was to ‘convert </w:t>
      </w:r>
      <w:r w:rsidR="00D35F38" w:rsidRPr="00877424">
        <w:rPr>
          <w:rFonts w:ascii="Arial" w:hAnsi="Arial" w:cs="Arial"/>
          <w:sz w:val="24"/>
          <w:szCs w:val="24"/>
        </w:rPr>
        <w:t xml:space="preserve">. . . </w:t>
      </w:r>
      <w:r w:rsidR="004318A2" w:rsidRPr="00877424">
        <w:rPr>
          <w:rFonts w:ascii="Arial" w:hAnsi="Arial" w:cs="Arial"/>
          <w:sz w:val="24"/>
          <w:szCs w:val="24"/>
        </w:rPr>
        <w:t>the existing outbuilding …into an apartment suitable for living</w:t>
      </w:r>
      <w:r w:rsidR="00D35F38" w:rsidRPr="00877424">
        <w:rPr>
          <w:rFonts w:ascii="Arial" w:hAnsi="Arial" w:cs="Arial"/>
          <w:sz w:val="24"/>
          <w:szCs w:val="24"/>
        </w:rPr>
        <w:t xml:space="preserve"> . . .</w:t>
      </w:r>
      <w:r w:rsidR="004318A2" w:rsidRPr="00877424">
        <w:rPr>
          <w:rFonts w:ascii="Arial" w:hAnsi="Arial" w:cs="Arial"/>
          <w:sz w:val="24"/>
          <w:szCs w:val="24"/>
        </w:rPr>
        <w:t>’ and the first respondent granted him a ‘life-long and exclusive right of habitation [residence] and use</w:t>
      </w:r>
      <w:r w:rsidR="00D35F38" w:rsidRPr="00877424">
        <w:rPr>
          <w:rFonts w:ascii="Arial" w:hAnsi="Arial" w:cs="Arial"/>
          <w:sz w:val="24"/>
          <w:szCs w:val="24"/>
        </w:rPr>
        <w:t xml:space="preserve"> of the said </w:t>
      </w:r>
      <w:r w:rsidR="004318A2" w:rsidRPr="00877424">
        <w:rPr>
          <w:rFonts w:ascii="Arial" w:hAnsi="Arial" w:cs="Arial"/>
          <w:sz w:val="24"/>
          <w:szCs w:val="24"/>
        </w:rPr>
        <w:t>apartment for myself and my family and/or my friends</w:t>
      </w:r>
      <w:r w:rsidR="00841662" w:rsidRPr="00877424">
        <w:rPr>
          <w:rFonts w:ascii="Arial" w:hAnsi="Arial" w:cs="Arial"/>
          <w:sz w:val="24"/>
          <w:szCs w:val="24"/>
        </w:rPr>
        <w:t xml:space="preserve">’. </w:t>
      </w:r>
      <w:r w:rsidR="00D35F38" w:rsidRPr="00877424">
        <w:rPr>
          <w:rFonts w:ascii="Arial" w:hAnsi="Arial" w:cs="Arial"/>
          <w:sz w:val="24"/>
          <w:szCs w:val="24"/>
        </w:rPr>
        <w:t xml:space="preserve">These statements are telling: </w:t>
      </w:r>
      <w:r w:rsidR="004318A2" w:rsidRPr="00877424">
        <w:rPr>
          <w:rFonts w:ascii="Arial" w:hAnsi="Arial" w:cs="Arial"/>
          <w:sz w:val="24"/>
          <w:szCs w:val="24"/>
        </w:rPr>
        <w:t>The flat was</w:t>
      </w:r>
      <w:r w:rsidR="00D35F38" w:rsidRPr="00877424">
        <w:rPr>
          <w:rFonts w:ascii="Arial" w:hAnsi="Arial" w:cs="Arial"/>
          <w:sz w:val="24"/>
          <w:szCs w:val="24"/>
        </w:rPr>
        <w:t>,</w:t>
      </w:r>
      <w:r w:rsidR="004318A2" w:rsidRPr="00877424">
        <w:rPr>
          <w:rFonts w:ascii="Arial" w:hAnsi="Arial" w:cs="Arial"/>
          <w:sz w:val="24"/>
          <w:szCs w:val="24"/>
        </w:rPr>
        <w:t xml:space="preserve"> admittedly</w:t>
      </w:r>
      <w:r w:rsidR="00D35F38" w:rsidRPr="00877424">
        <w:rPr>
          <w:rFonts w:ascii="Arial" w:hAnsi="Arial" w:cs="Arial"/>
          <w:sz w:val="24"/>
          <w:szCs w:val="24"/>
        </w:rPr>
        <w:t>,</w:t>
      </w:r>
      <w:r w:rsidR="004318A2" w:rsidRPr="00877424">
        <w:rPr>
          <w:rFonts w:ascii="Arial" w:hAnsi="Arial" w:cs="Arial"/>
          <w:sz w:val="24"/>
          <w:szCs w:val="24"/>
        </w:rPr>
        <w:t xml:space="preserve"> not for storage.</w:t>
      </w:r>
    </w:p>
    <w:p w:rsidR="00877424" w:rsidRPr="00877424" w:rsidRDefault="00877424" w:rsidP="00877424">
      <w:pPr>
        <w:pStyle w:val="NoSpacing"/>
        <w:spacing w:line="480" w:lineRule="auto"/>
        <w:jc w:val="both"/>
        <w:rPr>
          <w:rFonts w:ascii="Arial" w:hAnsi="Arial" w:cs="Arial"/>
          <w:sz w:val="24"/>
          <w:szCs w:val="24"/>
          <w:u w:val="single"/>
        </w:rPr>
      </w:pPr>
    </w:p>
    <w:p w:rsidR="00B60B30" w:rsidRPr="00877424" w:rsidRDefault="00301822" w:rsidP="00986A07">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T</w:t>
      </w:r>
      <w:r w:rsidR="005D0317" w:rsidRPr="00877424">
        <w:rPr>
          <w:rFonts w:ascii="Arial" w:hAnsi="Arial" w:cs="Arial"/>
          <w:sz w:val="24"/>
          <w:szCs w:val="24"/>
        </w:rPr>
        <w:t>h</w:t>
      </w:r>
      <w:r w:rsidR="00986A07" w:rsidRPr="00877424">
        <w:rPr>
          <w:rFonts w:ascii="Arial" w:hAnsi="Arial" w:cs="Arial"/>
          <w:sz w:val="24"/>
          <w:szCs w:val="24"/>
        </w:rPr>
        <w:t>e</w:t>
      </w:r>
      <w:r w:rsidR="005D0317" w:rsidRPr="00877424">
        <w:rPr>
          <w:rFonts w:ascii="Arial" w:hAnsi="Arial" w:cs="Arial"/>
          <w:sz w:val="24"/>
          <w:szCs w:val="24"/>
        </w:rPr>
        <w:t xml:space="preserve"> inference </w:t>
      </w:r>
      <w:r w:rsidR="008C71D5" w:rsidRPr="00877424">
        <w:rPr>
          <w:rFonts w:ascii="Arial" w:hAnsi="Arial" w:cs="Arial"/>
          <w:sz w:val="24"/>
          <w:szCs w:val="24"/>
        </w:rPr>
        <w:t xml:space="preserve">drawn in </w:t>
      </w:r>
      <w:r w:rsidR="008C71D5" w:rsidRPr="00877424">
        <w:rPr>
          <w:rFonts w:ascii="Arial" w:hAnsi="Arial" w:cs="Arial"/>
          <w:i/>
          <w:sz w:val="24"/>
          <w:szCs w:val="24"/>
        </w:rPr>
        <w:t>casu</w:t>
      </w:r>
      <w:r w:rsidR="008C71D5" w:rsidRPr="00877424">
        <w:rPr>
          <w:rFonts w:ascii="Arial" w:hAnsi="Arial" w:cs="Arial"/>
          <w:sz w:val="24"/>
          <w:szCs w:val="24"/>
        </w:rPr>
        <w:t xml:space="preserve"> </w:t>
      </w:r>
      <w:r w:rsidR="005D0317" w:rsidRPr="00877424">
        <w:rPr>
          <w:rFonts w:ascii="Arial" w:hAnsi="Arial" w:cs="Arial"/>
          <w:sz w:val="24"/>
          <w:szCs w:val="24"/>
        </w:rPr>
        <w:t>was supported by the additional undisputed evidence that the appellant left the flat in a derelict state – with thick layer of accumulated dust and of rodent faeces that had accumulated over six years a</w:t>
      </w:r>
      <w:r w:rsidR="00532FFB" w:rsidRPr="00877424">
        <w:rPr>
          <w:rFonts w:ascii="Arial" w:hAnsi="Arial" w:cs="Arial"/>
          <w:sz w:val="24"/>
          <w:szCs w:val="24"/>
        </w:rPr>
        <w:t xml:space="preserve">nd that the flat was run-down. </w:t>
      </w:r>
      <w:r w:rsidR="005D0317" w:rsidRPr="00877424">
        <w:rPr>
          <w:rFonts w:ascii="Arial" w:hAnsi="Arial" w:cs="Arial"/>
          <w:sz w:val="24"/>
          <w:szCs w:val="24"/>
        </w:rPr>
        <w:t xml:space="preserve">Clearly, </w:t>
      </w:r>
      <w:r w:rsidR="008E2F65" w:rsidRPr="00877424">
        <w:rPr>
          <w:rFonts w:ascii="Arial" w:hAnsi="Arial" w:cs="Arial"/>
          <w:sz w:val="24"/>
          <w:szCs w:val="24"/>
        </w:rPr>
        <w:t xml:space="preserve">as the High Court correctly found, </w:t>
      </w:r>
      <w:r w:rsidR="005D0317" w:rsidRPr="00877424">
        <w:rPr>
          <w:rFonts w:ascii="Arial" w:hAnsi="Arial" w:cs="Arial"/>
          <w:sz w:val="24"/>
          <w:szCs w:val="24"/>
        </w:rPr>
        <w:t>the cumulative effect of these factors demonstrate an abs</w:t>
      </w:r>
      <w:r w:rsidR="00986A07" w:rsidRPr="00877424">
        <w:rPr>
          <w:rFonts w:ascii="Arial" w:hAnsi="Arial" w:cs="Arial"/>
          <w:sz w:val="24"/>
          <w:szCs w:val="24"/>
        </w:rPr>
        <w:t>e</w:t>
      </w:r>
      <w:r w:rsidR="005D0317" w:rsidRPr="00877424">
        <w:rPr>
          <w:rFonts w:ascii="Arial" w:hAnsi="Arial" w:cs="Arial"/>
          <w:sz w:val="24"/>
          <w:szCs w:val="24"/>
        </w:rPr>
        <w:t>nce of a mental state necessary to sustain possession</w:t>
      </w:r>
      <w:r w:rsidR="00986A07" w:rsidRPr="00877424">
        <w:rPr>
          <w:rFonts w:ascii="Arial" w:hAnsi="Arial" w:cs="Arial"/>
          <w:sz w:val="24"/>
          <w:szCs w:val="24"/>
        </w:rPr>
        <w:t>.</w:t>
      </w:r>
      <w:r w:rsidR="008E2F65" w:rsidRPr="00877424">
        <w:rPr>
          <w:rFonts w:ascii="Arial" w:hAnsi="Arial" w:cs="Arial"/>
          <w:sz w:val="24"/>
          <w:szCs w:val="24"/>
        </w:rPr>
        <w:t xml:space="preserve"> But, </w:t>
      </w:r>
      <w:r w:rsidR="00986A07" w:rsidRPr="00877424">
        <w:rPr>
          <w:rFonts w:ascii="Arial" w:hAnsi="Arial" w:cs="Arial"/>
          <w:sz w:val="24"/>
          <w:szCs w:val="24"/>
        </w:rPr>
        <w:t>even without the aid of inferential reasoning, the facts demonstrably showed lack of intention to possess the flat for use or to derive a</w:t>
      </w:r>
      <w:r w:rsidR="00532FFB" w:rsidRPr="00877424">
        <w:rPr>
          <w:rFonts w:ascii="Arial" w:hAnsi="Arial" w:cs="Arial"/>
          <w:sz w:val="24"/>
          <w:szCs w:val="24"/>
        </w:rPr>
        <w:t xml:space="preserve"> benefit from such possession. </w:t>
      </w:r>
      <w:r w:rsidR="00B42CF0" w:rsidRPr="00877424">
        <w:rPr>
          <w:rFonts w:ascii="Arial" w:hAnsi="Arial" w:cs="Arial"/>
          <w:sz w:val="24"/>
          <w:szCs w:val="24"/>
        </w:rPr>
        <w:t>Additionally, e</w:t>
      </w:r>
      <w:r w:rsidR="00986A07" w:rsidRPr="00877424">
        <w:rPr>
          <w:rFonts w:ascii="Arial" w:hAnsi="Arial" w:cs="Arial"/>
          <w:sz w:val="24"/>
          <w:szCs w:val="24"/>
        </w:rPr>
        <w:t>ven if the appellant did have such an intention, so the Court correctly found, it did not relate to usage for deriving benefit other than for storage – using it as a bargaining chip to settle score to harass the first respondent.</w:t>
      </w:r>
      <w:r w:rsidR="008E2F65" w:rsidRPr="00877424">
        <w:rPr>
          <w:rFonts w:ascii="Arial" w:hAnsi="Arial" w:cs="Arial"/>
          <w:sz w:val="24"/>
          <w:szCs w:val="24"/>
        </w:rPr>
        <w:t xml:space="preserve"> Besides, </w:t>
      </w:r>
      <w:r w:rsidR="00454855" w:rsidRPr="00877424">
        <w:rPr>
          <w:rFonts w:ascii="Arial" w:hAnsi="Arial" w:cs="Arial"/>
          <w:sz w:val="24"/>
          <w:szCs w:val="24"/>
        </w:rPr>
        <w:t>the obverse finding would, in the circumstance</w:t>
      </w:r>
      <w:r w:rsidR="00422B91" w:rsidRPr="00877424">
        <w:rPr>
          <w:rFonts w:ascii="Arial" w:hAnsi="Arial" w:cs="Arial"/>
          <w:sz w:val="24"/>
          <w:szCs w:val="24"/>
        </w:rPr>
        <w:t>s</w:t>
      </w:r>
      <w:r w:rsidR="00454855" w:rsidRPr="00877424">
        <w:rPr>
          <w:rFonts w:ascii="Arial" w:hAnsi="Arial" w:cs="Arial"/>
          <w:sz w:val="24"/>
          <w:szCs w:val="24"/>
        </w:rPr>
        <w:t xml:space="preserve">, work injustice rather than </w:t>
      </w:r>
      <w:r w:rsidR="00E7006A" w:rsidRPr="00877424">
        <w:rPr>
          <w:rFonts w:ascii="Arial" w:hAnsi="Arial" w:cs="Arial"/>
          <w:sz w:val="24"/>
          <w:szCs w:val="24"/>
        </w:rPr>
        <w:t xml:space="preserve">operate </w:t>
      </w:r>
      <w:r w:rsidR="00C26C2F" w:rsidRPr="00877424">
        <w:rPr>
          <w:rFonts w:ascii="Arial" w:hAnsi="Arial" w:cs="Arial"/>
          <w:sz w:val="24"/>
          <w:szCs w:val="24"/>
        </w:rPr>
        <w:t xml:space="preserve">in furtherance of a policy designed to discourage self-help. </w:t>
      </w:r>
    </w:p>
    <w:p w:rsidR="00877424" w:rsidRDefault="00877424" w:rsidP="00877424">
      <w:pPr>
        <w:pStyle w:val="ListParagraph"/>
        <w:spacing w:after="0" w:line="480" w:lineRule="auto"/>
        <w:rPr>
          <w:rFonts w:ascii="Arial" w:hAnsi="Arial" w:cs="Arial"/>
          <w:sz w:val="24"/>
          <w:szCs w:val="24"/>
          <w:u w:val="single"/>
        </w:rPr>
      </w:pPr>
    </w:p>
    <w:p w:rsidR="00B42CF0" w:rsidRPr="00877424" w:rsidRDefault="00B42CF0" w:rsidP="00986A07">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It is also correct that the app</w:t>
      </w:r>
      <w:r w:rsidR="00CE6F0A">
        <w:rPr>
          <w:rFonts w:ascii="Arial" w:hAnsi="Arial" w:cs="Arial"/>
          <w:sz w:val="24"/>
          <w:szCs w:val="24"/>
        </w:rPr>
        <w:t>ellant</w:t>
      </w:r>
      <w:r w:rsidRPr="00877424">
        <w:rPr>
          <w:rFonts w:ascii="Arial" w:hAnsi="Arial" w:cs="Arial"/>
          <w:sz w:val="24"/>
          <w:szCs w:val="24"/>
        </w:rPr>
        <w:t xml:space="preserve">’s ostensible intention to return to the flat rang hollow. This was so because it was highly improbable that the appellant would have </w:t>
      </w:r>
      <w:r w:rsidRPr="00877424">
        <w:rPr>
          <w:rFonts w:ascii="Arial" w:hAnsi="Arial" w:cs="Arial"/>
          <w:sz w:val="24"/>
          <w:szCs w:val="24"/>
        </w:rPr>
        <w:lastRenderedPageBreak/>
        <w:t xml:space="preserve">wanted to return to the flat in light of the strained relationship with his brother. </w:t>
      </w:r>
      <w:r w:rsidR="0024118E" w:rsidRPr="00877424">
        <w:rPr>
          <w:rFonts w:ascii="Arial" w:hAnsi="Arial" w:cs="Arial"/>
          <w:sz w:val="24"/>
          <w:szCs w:val="24"/>
        </w:rPr>
        <w:t>Fittingly, in his written submission in this Court</w:t>
      </w:r>
      <w:r w:rsidR="006810E1" w:rsidRPr="00877424">
        <w:rPr>
          <w:rFonts w:ascii="Arial" w:hAnsi="Arial" w:cs="Arial"/>
          <w:sz w:val="24"/>
          <w:szCs w:val="24"/>
        </w:rPr>
        <w:t>,</w:t>
      </w:r>
      <w:r w:rsidR="0024118E" w:rsidRPr="00877424">
        <w:rPr>
          <w:rFonts w:ascii="Arial" w:hAnsi="Arial" w:cs="Arial"/>
          <w:sz w:val="24"/>
          <w:szCs w:val="24"/>
        </w:rPr>
        <w:t xml:space="preserve"> the appellant describe</w:t>
      </w:r>
      <w:r w:rsidR="006810E1" w:rsidRPr="00877424">
        <w:rPr>
          <w:rFonts w:ascii="Arial" w:hAnsi="Arial" w:cs="Arial"/>
          <w:sz w:val="24"/>
          <w:szCs w:val="24"/>
        </w:rPr>
        <w:t>d</w:t>
      </w:r>
      <w:r w:rsidR="0024118E" w:rsidRPr="00877424">
        <w:rPr>
          <w:rFonts w:ascii="Arial" w:hAnsi="Arial" w:cs="Arial"/>
          <w:sz w:val="24"/>
          <w:szCs w:val="24"/>
        </w:rPr>
        <w:t xml:space="preserve"> the situation as </w:t>
      </w:r>
      <w:r w:rsidR="008C71D5" w:rsidRPr="00877424">
        <w:rPr>
          <w:rFonts w:ascii="Arial" w:hAnsi="Arial" w:cs="Arial"/>
          <w:sz w:val="24"/>
          <w:szCs w:val="24"/>
        </w:rPr>
        <w:t>‘unpleasant’</w:t>
      </w:r>
      <w:r w:rsidR="00532FFB" w:rsidRPr="00877424">
        <w:rPr>
          <w:rFonts w:ascii="Arial" w:hAnsi="Arial" w:cs="Arial"/>
          <w:sz w:val="24"/>
          <w:szCs w:val="24"/>
        </w:rPr>
        <w:t xml:space="preserve">. </w:t>
      </w:r>
      <w:r w:rsidR="00D35F38" w:rsidRPr="00877424">
        <w:rPr>
          <w:rFonts w:ascii="Arial" w:hAnsi="Arial" w:cs="Arial"/>
          <w:sz w:val="24"/>
          <w:szCs w:val="24"/>
        </w:rPr>
        <w:t xml:space="preserve">This </w:t>
      </w:r>
      <w:r w:rsidR="008C71D5" w:rsidRPr="00877424">
        <w:rPr>
          <w:rFonts w:ascii="Arial" w:hAnsi="Arial" w:cs="Arial"/>
          <w:sz w:val="24"/>
          <w:szCs w:val="24"/>
        </w:rPr>
        <w:t>beg</w:t>
      </w:r>
      <w:r w:rsidR="00D35F38" w:rsidRPr="00877424">
        <w:rPr>
          <w:rFonts w:ascii="Arial" w:hAnsi="Arial" w:cs="Arial"/>
          <w:sz w:val="24"/>
          <w:szCs w:val="24"/>
        </w:rPr>
        <w:t>s</w:t>
      </w:r>
      <w:r w:rsidR="008C71D5" w:rsidRPr="00877424">
        <w:rPr>
          <w:rFonts w:ascii="Arial" w:hAnsi="Arial" w:cs="Arial"/>
          <w:sz w:val="24"/>
          <w:szCs w:val="24"/>
        </w:rPr>
        <w:t xml:space="preserve"> the question why he would return to that hostile setting after a protracted period of absence.</w:t>
      </w:r>
    </w:p>
    <w:p w:rsidR="00877424" w:rsidRDefault="00877424" w:rsidP="00877424">
      <w:pPr>
        <w:pStyle w:val="ListParagraph"/>
        <w:spacing w:after="0" w:line="480" w:lineRule="auto"/>
        <w:rPr>
          <w:rFonts w:ascii="Arial" w:hAnsi="Arial" w:cs="Arial"/>
          <w:sz w:val="24"/>
          <w:szCs w:val="24"/>
          <w:u w:val="single"/>
        </w:rPr>
      </w:pPr>
    </w:p>
    <w:p w:rsidR="008C71D5" w:rsidRPr="00877424" w:rsidRDefault="0048373D" w:rsidP="00986A07">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 xml:space="preserve">Regarding </w:t>
      </w:r>
      <w:r w:rsidR="00841662" w:rsidRPr="00877424">
        <w:rPr>
          <w:rFonts w:ascii="Arial" w:hAnsi="Arial" w:cs="Arial"/>
          <w:sz w:val="24"/>
          <w:szCs w:val="24"/>
        </w:rPr>
        <w:t xml:space="preserve">the decision </w:t>
      </w:r>
      <w:r w:rsidR="00841662" w:rsidRPr="00877424">
        <w:rPr>
          <w:rFonts w:ascii="Arial" w:hAnsi="Arial" w:cs="Arial"/>
          <w:i/>
          <w:sz w:val="24"/>
          <w:szCs w:val="24"/>
        </w:rPr>
        <w:t>a quo</w:t>
      </w:r>
      <w:r w:rsidR="00841662" w:rsidRPr="00877424">
        <w:rPr>
          <w:rFonts w:ascii="Arial" w:hAnsi="Arial" w:cs="Arial"/>
          <w:sz w:val="24"/>
          <w:szCs w:val="24"/>
        </w:rPr>
        <w:t xml:space="preserve"> concerning the appellant’s movable assets, </w:t>
      </w:r>
      <w:r w:rsidRPr="00877424">
        <w:rPr>
          <w:rFonts w:ascii="Arial" w:hAnsi="Arial" w:cs="Arial"/>
          <w:sz w:val="24"/>
          <w:szCs w:val="24"/>
        </w:rPr>
        <w:t xml:space="preserve">the appellant has not made out a case why this Court should upset that finding. Nonetheless, </w:t>
      </w:r>
      <w:r w:rsidR="00841662" w:rsidRPr="00877424">
        <w:rPr>
          <w:rFonts w:ascii="Arial" w:hAnsi="Arial" w:cs="Arial"/>
          <w:sz w:val="24"/>
          <w:szCs w:val="24"/>
        </w:rPr>
        <w:t>this Court was informed that the first respondent had advised the appell</w:t>
      </w:r>
      <w:r w:rsidRPr="00877424">
        <w:rPr>
          <w:rFonts w:ascii="Arial" w:hAnsi="Arial" w:cs="Arial"/>
          <w:sz w:val="24"/>
          <w:szCs w:val="24"/>
        </w:rPr>
        <w:t>ant to collect his movable asse</w:t>
      </w:r>
      <w:r w:rsidR="00841662" w:rsidRPr="00877424">
        <w:rPr>
          <w:rFonts w:ascii="Arial" w:hAnsi="Arial" w:cs="Arial"/>
          <w:sz w:val="24"/>
          <w:szCs w:val="24"/>
        </w:rPr>
        <w:t xml:space="preserve">ts stored in the flat. Seemingly, the invitation </w:t>
      </w:r>
      <w:r w:rsidRPr="00877424">
        <w:rPr>
          <w:rFonts w:ascii="Arial" w:hAnsi="Arial" w:cs="Arial"/>
          <w:sz w:val="24"/>
          <w:szCs w:val="24"/>
        </w:rPr>
        <w:t>remains.</w:t>
      </w:r>
      <w:r w:rsidR="00D35F38" w:rsidRPr="00877424">
        <w:rPr>
          <w:rFonts w:ascii="Arial" w:hAnsi="Arial" w:cs="Arial"/>
          <w:sz w:val="24"/>
          <w:szCs w:val="24"/>
        </w:rPr>
        <w:t xml:space="preserve"> </w:t>
      </w:r>
      <w:r w:rsidR="00841662" w:rsidRPr="00877424">
        <w:rPr>
          <w:rFonts w:ascii="Arial" w:hAnsi="Arial" w:cs="Arial"/>
          <w:sz w:val="24"/>
          <w:szCs w:val="24"/>
        </w:rPr>
        <w:t xml:space="preserve">There is therefore no basis in law or on the findings of </w:t>
      </w:r>
      <w:r w:rsidR="00D35F38" w:rsidRPr="00877424">
        <w:rPr>
          <w:rFonts w:ascii="Arial" w:hAnsi="Arial" w:cs="Arial"/>
          <w:sz w:val="24"/>
          <w:szCs w:val="24"/>
        </w:rPr>
        <w:t>fact</w:t>
      </w:r>
      <w:r w:rsidR="00841662" w:rsidRPr="00877424">
        <w:rPr>
          <w:rFonts w:ascii="Arial" w:hAnsi="Arial" w:cs="Arial"/>
          <w:sz w:val="24"/>
          <w:szCs w:val="24"/>
        </w:rPr>
        <w:t xml:space="preserve"> which entitles this Court to interfere</w:t>
      </w:r>
      <w:r w:rsidR="00D35F38" w:rsidRPr="00877424">
        <w:rPr>
          <w:rFonts w:ascii="Arial" w:hAnsi="Arial" w:cs="Arial"/>
          <w:sz w:val="24"/>
          <w:szCs w:val="24"/>
        </w:rPr>
        <w:t>, on appeal,</w:t>
      </w:r>
      <w:r w:rsidR="00841662" w:rsidRPr="00877424">
        <w:rPr>
          <w:rFonts w:ascii="Arial" w:hAnsi="Arial" w:cs="Arial"/>
          <w:sz w:val="24"/>
          <w:szCs w:val="24"/>
        </w:rPr>
        <w:t xml:space="preserve"> with the</w:t>
      </w:r>
      <w:r w:rsidRPr="00877424">
        <w:rPr>
          <w:rFonts w:ascii="Arial" w:hAnsi="Arial" w:cs="Arial"/>
          <w:sz w:val="24"/>
          <w:szCs w:val="24"/>
        </w:rPr>
        <w:t xml:space="preserve"> impugned </w:t>
      </w:r>
      <w:r w:rsidR="00532FFB" w:rsidRPr="00877424">
        <w:rPr>
          <w:rFonts w:ascii="Arial" w:hAnsi="Arial" w:cs="Arial"/>
          <w:sz w:val="24"/>
          <w:szCs w:val="24"/>
        </w:rPr>
        <w:t xml:space="preserve">decision </w:t>
      </w:r>
      <w:r w:rsidR="00532FFB" w:rsidRPr="00877424">
        <w:rPr>
          <w:rFonts w:ascii="Arial" w:hAnsi="Arial" w:cs="Arial"/>
          <w:i/>
          <w:sz w:val="24"/>
          <w:szCs w:val="24"/>
        </w:rPr>
        <w:t>a quo</w:t>
      </w:r>
      <w:r w:rsidR="00532FFB" w:rsidRPr="00877424">
        <w:rPr>
          <w:rFonts w:ascii="Arial" w:hAnsi="Arial" w:cs="Arial"/>
          <w:sz w:val="24"/>
          <w:szCs w:val="24"/>
        </w:rPr>
        <w:t xml:space="preserve">. </w:t>
      </w:r>
      <w:r w:rsidRPr="00877424">
        <w:rPr>
          <w:rFonts w:ascii="Arial" w:hAnsi="Arial" w:cs="Arial"/>
          <w:sz w:val="24"/>
          <w:szCs w:val="24"/>
        </w:rPr>
        <w:t>The appeal should be dismissed</w:t>
      </w:r>
      <w:r w:rsidR="00D35F38" w:rsidRPr="00877424">
        <w:rPr>
          <w:rFonts w:ascii="Arial" w:hAnsi="Arial" w:cs="Arial"/>
          <w:sz w:val="24"/>
          <w:szCs w:val="24"/>
        </w:rPr>
        <w:t xml:space="preserve"> with cost.</w:t>
      </w:r>
    </w:p>
    <w:p w:rsidR="00877424" w:rsidRPr="00877424" w:rsidRDefault="00877424" w:rsidP="00877424">
      <w:pPr>
        <w:spacing w:after="0" w:line="480" w:lineRule="auto"/>
        <w:rPr>
          <w:rFonts w:ascii="Arial" w:hAnsi="Arial" w:cs="Arial"/>
          <w:sz w:val="24"/>
          <w:szCs w:val="24"/>
          <w:u w:val="single"/>
        </w:rPr>
      </w:pPr>
    </w:p>
    <w:p w:rsidR="00877424" w:rsidRDefault="00877424" w:rsidP="00877424">
      <w:pPr>
        <w:pStyle w:val="NoSpacing"/>
        <w:spacing w:line="480" w:lineRule="auto"/>
        <w:jc w:val="both"/>
        <w:rPr>
          <w:rFonts w:ascii="Arial" w:hAnsi="Arial" w:cs="Arial"/>
          <w:sz w:val="24"/>
          <w:szCs w:val="24"/>
          <w:u w:val="single"/>
        </w:rPr>
      </w:pPr>
      <w:r w:rsidRPr="00D35F38">
        <w:rPr>
          <w:rFonts w:ascii="Arial" w:hAnsi="Arial" w:cs="Arial"/>
          <w:sz w:val="24"/>
          <w:szCs w:val="24"/>
          <w:u w:val="single"/>
        </w:rPr>
        <w:t>Order</w:t>
      </w:r>
    </w:p>
    <w:p w:rsidR="00D35F38" w:rsidRPr="00877424" w:rsidRDefault="00D35F38" w:rsidP="00986A07">
      <w:pPr>
        <w:pStyle w:val="NoSpacing"/>
        <w:numPr>
          <w:ilvl w:val="0"/>
          <w:numId w:val="13"/>
        </w:numPr>
        <w:spacing w:line="480" w:lineRule="auto"/>
        <w:ind w:left="0" w:firstLine="0"/>
        <w:jc w:val="both"/>
        <w:rPr>
          <w:rFonts w:ascii="Arial" w:hAnsi="Arial" w:cs="Arial"/>
          <w:sz w:val="24"/>
          <w:szCs w:val="24"/>
          <w:u w:val="single"/>
        </w:rPr>
      </w:pPr>
      <w:r w:rsidRPr="00877424">
        <w:rPr>
          <w:rFonts w:ascii="Arial" w:hAnsi="Arial" w:cs="Arial"/>
          <w:sz w:val="24"/>
          <w:szCs w:val="24"/>
        </w:rPr>
        <w:t>In the event, the following order is made:</w:t>
      </w:r>
    </w:p>
    <w:p w:rsidR="00E94B11" w:rsidRDefault="00E94B11" w:rsidP="00986A07">
      <w:pPr>
        <w:pStyle w:val="NoSpacing"/>
        <w:spacing w:line="480" w:lineRule="auto"/>
        <w:jc w:val="both"/>
        <w:rPr>
          <w:rFonts w:ascii="Arial" w:hAnsi="Arial" w:cs="Arial"/>
          <w:sz w:val="24"/>
          <w:szCs w:val="24"/>
        </w:rPr>
      </w:pPr>
    </w:p>
    <w:p w:rsidR="00016B17" w:rsidRDefault="00D35F38" w:rsidP="00E94B11">
      <w:pPr>
        <w:pStyle w:val="NoSpacing"/>
        <w:spacing w:line="480" w:lineRule="auto"/>
        <w:ind w:left="720"/>
        <w:jc w:val="both"/>
        <w:rPr>
          <w:rFonts w:ascii="Arial" w:hAnsi="Arial" w:cs="Arial"/>
          <w:sz w:val="24"/>
          <w:szCs w:val="24"/>
        </w:rPr>
      </w:pPr>
      <w:r>
        <w:rPr>
          <w:rFonts w:ascii="Arial" w:hAnsi="Arial" w:cs="Arial"/>
          <w:sz w:val="24"/>
          <w:szCs w:val="24"/>
        </w:rPr>
        <w:t xml:space="preserve">The appeal is dismissed with costs </w:t>
      </w:r>
      <w:r w:rsidR="00016B17">
        <w:rPr>
          <w:rFonts w:ascii="Arial" w:hAnsi="Arial" w:cs="Arial"/>
          <w:sz w:val="24"/>
          <w:szCs w:val="24"/>
        </w:rPr>
        <w:t>including costs consequent upon the employment of one instructing and one instructed</w:t>
      </w:r>
      <w:r w:rsidR="003C7476">
        <w:rPr>
          <w:rFonts w:ascii="Arial" w:hAnsi="Arial" w:cs="Arial"/>
          <w:sz w:val="24"/>
          <w:szCs w:val="24"/>
        </w:rPr>
        <w:t xml:space="preserve"> legal p</w:t>
      </w:r>
      <w:r w:rsidR="006810E1">
        <w:rPr>
          <w:rFonts w:ascii="Arial" w:hAnsi="Arial" w:cs="Arial"/>
          <w:sz w:val="24"/>
          <w:szCs w:val="24"/>
        </w:rPr>
        <w:t>ractitioner</w:t>
      </w:r>
      <w:r w:rsidR="00016B17">
        <w:rPr>
          <w:rFonts w:ascii="Arial" w:hAnsi="Arial" w:cs="Arial"/>
          <w:sz w:val="24"/>
          <w:szCs w:val="24"/>
        </w:rPr>
        <w:t>.</w:t>
      </w:r>
    </w:p>
    <w:p w:rsidR="00016B17" w:rsidRPr="00D35F38" w:rsidRDefault="00016B17" w:rsidP="00E94B11">
      <w:pPr>
        <w:pStyle w:val="NoSpacing"/>
        <w:jc w:val="both"/>
        <w:rPr>
          <w:rFonts w:ascii="Arial" w:hAnsi="Arial" w:cs="Arial"/>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CC4D0B" w:rsidRPr="00F4471E" w:rsidRDefault="00CC4D0B" w:rsidP="00E94B11">
      <w:pPr>
        <w:spacing w:after="0" w:line="240" w:lineRule="auto"/>
        <w:jc w:val="both"/>
        <w:rPr>
          <w:rFonts w:ascii="Arial" w:hAnsi="Arial" w:cs="Arial"/>
          <w:b/>
          <w:sz w:val="24"/>
          <w:szCs w:val="24"/>
        </w:rPr>
      </w:pPr>
      <w:r>
        <w:rPr>
          <w:rFonts w:ascii="Arial" w:hAnsi="Arial" w:cs="Arial"/>
          <w:b/>
          <w:sz w:val="24"/>
          <w:szCs w:val="24"/>
        </w:rPr>
        <w:t>__________________</w:t>
      </w:r>
    </w:p>
    <w:p w:rsidR="009A1D4D" w:rsidRDefault="009A1D4D" w:rsidP="00E94B11">
      <w:pPr>
        <w:spacing w:after="0" w:line="240" w:lineRule="auto"/>
        <w:jc w:val="both"/>
        <w:rPr>
          <w:rFonts w:ascii="Arial" w:hAnsi="Arial" w:cs="Arial"/>
          <w:b/>
          <w:sz w:val="24"/>
          <w:szCs w:val="24"/>
        </w:rPr>
      </w:pPr>
      <w:r w:rsidRPr="009A1D4D">
        <w:rPr>
          <w:rFonts w:ascii="Arial" w:hAnsi="Arial" w:cs="Arial"/>
          <w:b/>
          <w:sz w:val="24"/>
          <w:szCs w:val="24"/>
        </w:rPr>
        <w:t>NKABINDE AJA</w:t>
      </w:r>
    </w:p>
    <w:p w:rsidR="00A76749" w:rsidRDefault="00A76749" w:rsidP="00E94B11">
      <w:pPr>
        <w:spacing w:after="0" w:line="240" w:lineRule="auto"/>
        <w:jc w:val="both"/>
        <w:rPr>
          <w:rFonts w:ascii="Arial" w:hAnsi="Arial" w:cs="Arial"/>
          <w:b/>
          <w:sz w:val="24"/>
          <w:szCs w:val="24"/>
        </w:rPr>
      </w:pPr>
    </w:p>
    <w:p w:rsidR="00E94B11" w:rsidRDefault="00E94B11"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CC4D0B" w:rsidRDefault="00CC4D0B" w:rsidP="00E94B11">
      <w:pPr>
        <w:spacing w:after="0" w:line="240" w:lineRule="auto"/>
        <w:jc w:val="both"/>
        <w:rPr>
          <w:rFonts w:ascii="Arial" w:hAnsi="Arial" w:cs="Arial"/>
          <w:b/>
          <w:sz w:val="24"/>
          <w:szCs w:val="24"/>
        </w:rPr>
      </w:pPr>
      <w:r>
        <w:rPr>
          <w:rFonts w:ascii="Arial" w:hAnsi="Arial" w:cs="Arial"/>
          <w:b/>
          <w:sz w:val="24"/>
          <w:szCs w:val="24"/>
        </w:rPr>
        <w:t>__________________</w:t>
      </w:r>
    </w:p>
    <w:p w:rsidR="00E94B11" w:rsidRDefault="00016B17" w:rsidP="00E94B11">
      <w:pPr>
        <w:spacing w:after="0" w:line="240" w:lineRule="auto"/>
        <w:jc w:val="both"/>
        <w:rPr>
          <w:rFonts w:ascii="Arial" w:hAnsi="Arial" w:cs="Arial"/>
          <w:b/>
          <w:sz w:val="24"/>
          <w:szCs w:val="24"/>
        </w:rPr>
      </w:pPr>
      <w:r>
        <w:rPr>
          <w:rFonts w:ascii="Arial" w:hAnsi="Arial" w:cs="Arial"/>
          <w:b/>
          <w:sz w:val="24"/>
          <w:szCs w:val="24"/>
        </w:rPr>
        <w:t xml:space="preserve">HOFF </w:t>
      </w:r>
      <w:r w:rsidR="00877740">
        <w:rPr>
          <w:rFonts w:ascii="Arial" w:hAnsi="Arial" w:cs="Arial"/>
          <w:b/>
          <w:sz w:val="24"/>
          <w:szCs w:val="24"/>
        </w:rPr>
        <w:t>JA</w:t>
      </w:r>
    </w:p>
    <w:p w:rsidR="00A76749" w:rsidRDefault="00A76749"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070EAE" w:rsidRDefault="00070EAE" w:rsidP="00E94B11">
      <w:pPr>
        <w:spacing w:after="0" w:line="240" w:lineRule="auto"/>
        <w:jc w:val="both"/>
        <w:rPr>
          <w:rFonts w:ascii="Arial" w:hAnsi="Arial" w:cs="Arial"/>
          <w:b/>
          <w:sz w:val="24"/>
          <w:szCs w:val="24"/>
        </w:rPr>
      </w:pPr>
    </w:p>
    <w:p w:rsidR="00CC4D0B" w:rsidRDefault="00CC4D0B" w:rsidP="00E94B11">
      <w:pPr>
        <w:spacing w:after="0" w:line="240" w:lineRule="auto"/>
        <w:jc w:val="both"/>
        <w:rPr>
          <w:rFonts w:ascii="Arial" w:hAnsi="Arial" w:cs="Arial"/>
          <w:b/>
          <w:sz w:val="24"/>
          <w:szCs w:val="24"/>
        </w:rPr>
      </w:pPr>
      <w:r>
        <w:rPr>
          <w:rFonts w:ascii="Arial" w:hAnsi="Arial" w:cs="Arial"/>
          <w:b/>
          <w:sz w:val="24"/>
          <w:szCs w:val="24"/>
        </w:rPr>
        <w:t>__________________</w:t>
      </w:r>
    </w:p>
    <w:p w:rsidR="00CC4D0B" w:rsidRDefault="009A1D4D" w:rsidP="00E94B11">
      <w:pPr>
        <w:pStyle w:val="BodyText"/>
        <w:autoSpaceDE w:val="0"/>
        <w:autoSpaceDN w:val="0"/>
        <w:adjustRightInd w:val="0"/>
        <w:jc w:val="both"/>
        <w:rPr>
          <w:rFonts w:ascii="Arial" w:hAnsi="Arial" w:cs="Arial"/>
        </w:rPr>
      </w:pPr>
      <w:r w:rsidRPr="009A1D4D">
        <w:rPr>
          <w:rFonts w:ascii="Arial" w:hAnsi="Arial" w:cs="Arial"/>
          <w:b/>
        </w:rPr>
        <w:t>MOKGORO AJA</w:t>
      </w:r>
    </w:p>
    <w:p w:rsidR="00CC4D0B" w:rsidRDefault="00CC4D0B" w:rsidP="00FE18AB">
      <w:pPr>
        <w:pStyle w:val="NoSpacing"/>
        <w:spacing w:line="480" w:lineRule="auto"/>
        <w:rPr>
          <w:rFonts w:ascii="Arial" w:hAnsi="Arial" w:cs="Arial"/>
          <w:sz w:val="24"/>
          <w:szCs w:val="24"/>
        </w:rPr>
      </w:pPr>
    </w:p>
    <w:p w:rsidR="00070EAE" w:rsidRDefault="00070EAE">
      <w:pPr>
        <w:rPr>
          <w:rFonts w:ascii="Arial" w:hAnsi="Arial" w:cs="Arial"/>
          <w:sz w:val="24"/>
          <w:szCs w:val="24"/>
        </w:rPr>
      </w:pPr>
      <w:r>
        <w:rPr>
          <w:rFonts w:ascii="Arial" w:hAnsi="Arial" w:cs="Arial"/>
          <w:sz w:val="24"/>
          <w:szCs w:val="24"/>
        </w:rPr>
        <w:br w:type="page"/>
      </w:r>
    </w:p>
    <w:p w:rsidR="00070EAE" w:rsidRPr="00FE18AB" w:rsidRDefault="00070EAE" w:rsidP="00FE18AB">
      <w:pPr>
        <w:pStyle w:val="NoSpacing"/>
        <w:spacing w:line="480" w:lineRule="auto"/>
        <w:rPr>
          <w:rFonts w:ascii="Arial" w:hAnsi="Arial" w:cs="Arial"/>
          <w:sz w:val="24"/>
          <w:szCs w:val="24"/>
        </w:rPr>
      </w:pPr>
    </w:p>
    <w:p w:rsidR="00CC4D0B" w:rsidRPr="00FE18AB" w:rsidRDefault="006810E1" w:rsidP="00FE18AB">
      <w:pPr>
        <w:pStyle w:val="NoSpacing"/>
        <w:spacing w:line="480" w:lineRule="auto"/>
        <w:rPr>
          <w:rFonts w:ascii="Arial" w:hAnsi="Arial" w:cs="Arial"/>
          <w:sz w:val="24"/>
          <w:szCs w:val="24"/>
        </w:rPr>
      </w:pPr>
      <w:r w:rsidRPr="00FE18AB">
        <w:rPr>
          <w:rFonts w:ascii="Arial" w:hAnsi="Arial" w:cs="Arial"/>
          <w:sz w:val="24"/>
          <w:szCs w:val="24"/>
        </w:rPr>
        <w:t>APPEARANCES</w:t>
      </w:r>
      <w:r w:rsidR="001B6349" w:rsidRPr="00FE18AB">
        <w:rPr>
          <w:rFonts w:ascii="Arial" w:hAnsi="Arial" w:cs="Arial"/>
          <w:sz w:val="24"/>
          <w:szCs w:val="24"/>
        </w:rPr>
        <w:t>:</w:t>
      </w:r>
    </w:p>
    <w:p w:rsidR="00FE18AB" w:rsidRDefault="00FE18AB" w:rsidP="00FE18AB">
      <w:pPr>
        <w:pStyle w:val="NoSpacing"/>
        <w:spacing w:line="48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FE18AB" w:rsidTr="00FE18AB">
        <w:tc>
          <w:tcPr>
            <w:tcW w:w="4555" w:type="dxa"/>
          </w:tcPr>
          <w:p w:rsidR="00FE18AB" w:rsidRDefault="00FE18AB" w:rsidP="00FE18AB">
            <w:pPr>
              <w:pStyle w:val="NoSpacing"/>
              <w:spacing w:line="480" w:lineRule="auto"/>
              <w:ind w:left="-108"/>
              <w:rPr>
                <w:rFonts w:ascii="Arial" w:hAnsi="Arial" w:cs="Arial"/>
                <w:sz w:val="24"/>
                <w:szCs w:val="24"/>
              </w:rPr>
            </w:pPr>
            <w:r>
              <w:rPr>
                <w:rFonts w:ascii="Arial" w:hAnsi="Arial" w:cs="Arial"/>
                <w:sz w:val="24"/>
                <w:szCs w:val="24"/>
              </w:rPr>
              <w:t>APPELLANT:</w:t>
            </w:r>
          </w:p>
        </w:tc>
        <w:tc>
          <w:tcPr>
            <w:tcW w:w="4556" w:type="dxa"/>
          </w:tcPr>
          <w:p w:rsidR="00FE18AB" w:rsidRDefault="00FE18AB" w:rsidP="00FE18AB">
            <w:pPr>
              <w:pStyle w:val="NoSpacing"/>
              <w:spacing w:line="480" w:lineRule="auto"/>
              <w:rPr>
                <w:rFonts w:ascii="Arial" w:hAnsi="Arial" w:cs="Arial"/>
                <w:sz w:val="24"/>
                <w:szCs w:val="24"/>
              </w:rPr>
            </w:pPr>
            <w:r>
              <w:rPr>
                <w:rFonts w:ascii="Arial" w:hAnsi="Arial" w:cs="Arial"/>
                <w:sz w:val="24"/>
                <w:szCs w:val="24"/>
              </w:rPr>
              <w:t>J S Jacobs</w:t>
            </w:r>
          </w:p>
        </w:tc>
      </w:tr>
      <w:tr w:rsidR="00FE18AB" w:rsidTr="00FE18AB">
        <w:tc>
          <w:tcPr>
            <w:tcW w:w="4555" w:type="dxa"/>
          </w:tcPr>
          <w:p w:rsidR="00FE18AB" w:rsidRDefault="00FE18AB" w:rsidP="00FE18AB">
            <w:pPr>
              <w:pStyle w:val="NoSpacing"/>
              <w:spacing w:line="480" w:lineRule="auto"/>
              <w:ind w:left="-108"/>
              <w:rPr>
                <w:rFonts w:ascii="Arial" w:hAnsi="Arial" w:cs="Arial"/>
                <w:sz w:val="24"/>
                <w:szCs w:val="24"/>
              </w:rPr>
            </w:pPr>
          </w:p>
        </w:tc>
        <w:tc>
          <w:tcPr>
            <w:tcW w:w="4556" w:type="dxa"/>
          </w:tcPr>
          <w:p w:rsidR="00FE18AB" w:rsidRDefault="00FE18AB" w:rsidP="00FE18AB">
            <w:pPr>
              <w:pStyle w:val="NoSpacing"/>
              <w:spacing w:line="480" w:lineRule="auto"/>
              <w:rPr>
                <w:rFonts w:ascii="Arial" w:hAnsi="Arial" w:cs="Arial"/>
                <w:sz w:val="24"/>
                <w:szCs w:val="24"/>
              </w:rPr>
            </w:pPr>
            <w:r>
              <w:rPr>
                <w:rFonts w:ascii="Arial" w:hAnsi="Arial" w:cs="Arial"/>
                <w:sz w:val="24"/>
                <w:szCs w:val="24"/>
              </w:rPr>
              <w:t>Instructed by Francois Erasmus &amp; Partners, Windhoek</w:t>
            </w:r>
          </w:p>
        </w:tc>
      </w:tr>
      <w:tr w:rsidR="00FE18AB" w:rsidTr="00FE18AB">
        <w:tc>
          <w:tcPr>
            <w:tcW w:w="4555" w:type="dxa"/>
          </w:tcPr>
          <w:p w:rsidR="00FE18AB" w:rsidRDefault="00FE18AB" w:rsidP="00FE18AB">
            <w:pPr>
              <w:pStyle w:val="NoSpacing"/>
              <w:spacing w:line="480" w:lineRule="auto"/>
              <w:ind w:left="-108"/>
              <w:rPr>
                <w:rFonts w:ascii="Arial" w:hAnsi="Arial" w:cs="Arial"/>
                <w:sz w:val="24"/>
                <w:szCs w:val="24"/>
              </w:rPr>
            </w:pPr>
          </w:p>
        </w:tc>
        <w:tc>
          <w:tcPr>
            <w:tcW w:w="4556" w:type="dxa"/>
          </w:tcPr>
          <w:p w:rsidR="00FE18AB" w:rsidRDefault="00FE18AB" w:rsidP="00FE18AB">
            <w:pPr>
              <w:pStyle w:val="NoSpacing"/>
              <w:spacing w:line="480" w:lineRule="auto"/>
              <w:rPr>
                <w:rFonts w:ascii="Arial" w:hAnsi="Arial" w:cs="Arial"/>
                <w:sz w:val="24"/>
                <w:szCs w:val="24"/>
              </w:rPr>
            </w:pPr>
          </w:p>
        </w:tc>
      </w:tr>
      <w:tr w:rsidR="00FE18AB" w:rsidTr="00FE18AB">
        <w:tc>
          <w:tcPr>
            <w:tcW w:w="4555" w:type="dxa"/>
          </w:tcPr>
          <w:p w:rsidR="00FE18AB" w:rsidRDefault="00FE18AB" w:rsidP="00FE18AB">
            <w:pPr>
              <w:pStyle w:val="NoSpacing"/>
              <w:spacing w:line="480" w:lineRule="auto"/>
              <w:ind w:left="-108"/>
              <w:rPr>
                <w:rFonts w:ascii="Arial" w:hAnsi="Arial" w:cs="Arial"/>
                <w:sz w:val="24"/>
                <w:szCs w:val="24"/>
              </w:rPr>
            </w:pPr>
          </w:p>
        </w:tc>
        <w:tc>
          <w:tcPr>
            <w:tcW w:w="4556" w:type="dxa"/>
          </w:tcPr>
          <w:p w:rsidR="00FE18AB" w:rsidRDefault="00FE18AB" w:rsidP="00FE18AB">
            <w:pPr>
              <w:pStyle w:val="NoSpacing"/>
              <w:spacing w:line="480" w:lineRule="auto"/>
              <w:rPr>
                <w:rFonts w:ascii="Arial" w:hAnsi="Arial" w:cs="Arial"/>
                <w:sz w:val="24"/>
                <w:szCs w:val="24"/>
              </w:rPr>
            </w:pPr>
          </w:p>
        </w:tc>
      </w:tr>
      <w:tr w:rsidR="00FE18AB" w:rsidTr="00FE18AB">
        <w:tc>
          <w:tcPr>
            <w:tcW w:w="4555" w:type="dxa"/>
          </w:tcPr>
          <w:p w:rsidR="00FE18AB" w:rsidRDefault="00FE18AB" w:rsidP="00FE18AB">
            <w:pPr>
              <w:pStyle w:val="NoSpacing"/>
              <w:spacing w:line="480" w:lineRule="auto"/>
              <w:ind w:left="-108"/>
              <w:rPr>
                <w:rFonts w:ascii="Arial" w:hAnsi="Arial" w:cs="Arial"/>
                <w:sz w:val="24"/>
                <w:szCs w:val="24"/>
              </w:rPr>
            </w:pPr>
            <w:r>
              <w:rPr>
                <w:rFonts w:ascii="Arial" w:hAnsi="Arial" w:cs="Arial"/>
                <w:sz w:val="24"/>
                <w:szCs w:val="24"/>
              </w:rPr>
              <w:t xml:space="preserve">FIRST and SECOND </w:t>
            </w:r>
          </w:p>
          <w:p w:rsidR="00FE18AB" w:rsidRDefault="00FE18AB" w:rsidP="00FE18AB">
            <w:pPr>
              <w:pStyle w:val="NoSpacing"/>
              <w:spacing w:line="480" w:lineRule="auto"/>
              <w:ind w:left="-108"/>
              <w:rPr>
                <w:rFonts w:ascii="Arial" w:hAnsi="Arial" w:cs="Arial"/>
                <w:sz w:val="24"/>
                <w:szCs w:val="24"/>
              </w:rPr>
            </w:pPr>
            <w:r>
              <w:rPr>
                <w:rFonts w:ascii="Arial" w:hAnsi="Arial" w:cs="Arial"/>
                <w:sz w:val="24"/>
                <w:szCs w:val="24"/>
              </w:rPr>
              <w:t>RESPONDENTS:</w:t>
            </w:r>
          </w:p>
        </w:tc>
        <w:tc>
          <w:tcPr>
            <w:tcW w:w="4556" w:type="dxa"/>
          </w:tcPr>
          <w:p w:rsidR="00FE18AB" w:rsidRDefault="00FE18AB" w:rsidP="00FE18AB">
            <w:pPr>
              <w:pStyle w:val="NoSpacing"/>
              <w:spacing w:line="480" w:lineRule="auto"/>
              <w:rPr>
                <w:rFonts w:ascii="Arial" w:hAnsi="Arial" w:cs="Arial"/>
                <w:sz w:val="24"/>
                <w:szCs w:val="24"/>
              </w:rPr>
            </w:pPr>
            <w:r>
              <w:rPr>
                <w:rFonts w:ascii="Arial" w:hAnsi="Arial" w:cs="Arial"/>
                <w:sz w:val="24"/>
                <w:szCs w:val="24"/>
              </w:rPr>
              <w:t>T M Wylie</w:t>
            </w:r>
          </w:p>
          <w:p w:rsidR="00FE18AB" w:rsidRDefault="00FE18AB" w:rsidP="00FE18AB">
            <w:pPr>
              <w:pStyle w:val="NoSpacing"/>
              <w:spacing w:line="480" w:lineRule="auto"/>
              <w:rPr>
                <w:rFonts w:ascii="Arial" w:hAnsi="Arial" w:cs="Arial"/>
                <w:sz w:val="24"/>
                <w:szCs w:val="24"/>
              </w:rPr>
            </w:pPr>
            <w:r>
              <w:rPr>
                <w:rFonts w:ascii="Arial" w:hAnsi="Arial" w:cs="Arial"/>
                <w:sz w:val="24"/>
                <w:szCs w:val="24"/>
              </w:rPr>
              <w:t>Instructed by Engling, Stritter &amp; Partners, Windhoek</w:t>
            </w:r>
          </w:p>
        </w:tc>
      </w:tr>
    </w:tbl>
    <w:p w:rsidR="00FE18AB" w:rsidRPr="00FE18AB" w:rsidRDefault="00FE18AB" w:rsidP="00070EAE">
      <w:pPr>
        <w:pStyle w:val="NoSpacing"/>
        <w:spacing w:line="480" w:lineRule="auto"/>
        <w:rPr>
          <w:rFonts w:ascii="Arial" w:hAnsi="Arial" w:cs="Arial"/>
          <w:sz w:val="24"/>
          <w:szCs w:val="24"/>
        </w:rPr>
      </w:pPr>
    </w:p>
    <w:sectPr w:rsidR="00FE18AB" w:rsidRPr="00FE18AB" w:rsidSect="000E3A44">
      <w:headerReference w:type="even" r:id="rId9"/>
      <w:headerReference w:type="default" r:id="rId10"/>
      <w:type w:val="oddPage"/>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D0" w:rsidRDefault="007610D0" w:rsidP="004D6713">
      <w:pPr>
        <w:spacing w:after="0" w:line="240" w:lineRule="auto"/>
      </w:pPr>
      <w:r>
        <w:separator/>
      </w:r>
    </w:p>
  </w:endnote>
  <w:endnote w:type="continuationSeparator" w:id="0">
    <w:p w:rsidR="007610D0" w:rsidRDefault="007610D0" w:rsidP="004D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D0" w:rsidRDefault="007610D0" w:rsidP="004D6713">
      <w:pPr>
        <w:spacing w:after="0" w:line="240" w:lineRule="auto"/>
      </w:pPr>
      <w:r>
        <w:separator/>
      </w:r>
    </w:p>
  </w:footnote>
  <w:footnote w:type="continuationSeparator" w:id="0">
    <w:p w:rsidR="007610D0" w:rsidRDefault="007610D0" w:rsidP="004D6713">
      <w:pPr>
        <w:spacing w:after="0" w:line="240" w:lineRule="auto"/>
      </w:pPr>
      <w:r>
        <w:continuationSeparator/>
      </w:r>
    </w:p>
  </w:footnote>
  <w:footnote w:id="1">
    <w:p w:rsidR="00DB3888" w:rsidRPr="00546E53" w:rsidRDefault="00DB3888" w:rsidP="00073BFE">
      <w:pPr>
        <w:pStyle w:val="FootnoteText"/>
        <w:jc w:val="both"/>
        <w:rPr>
          <w:rFonts w:ascii="Arial" w:hAnsi="Arial" w:cs="Arial"/>
        </w:rPr>
      </w:pPr>
      <w:r w:rsidRPr="00546E53">
        <w:rPr>
          <w:rStyle w:val="FootnoteReference"/>
          <w:rFonts w:ascii="Arial" w:hAnsi="Arial" w:cs="Arial"/>
        </w:rPr>
        <w:footnoteRef/>
      </w:r>
      <w:r w:rsidRPr="00546E53">
        <w:rPr>
          <w:rFonts w:ascii="Arial" w:hAnsi="Arial" w:cs="Arial"/>
        </w:rPr>
        <w:t xml:space="preserve"> </w:t>
      </w:r>
      <w:r w:rsidR="00546E53" w:rsidRPr="00546E53">
        <w:rPr>
          <w:rFonts w:ascii="Arial" w:hAnsi="Arial" w:cs="Arial"/>
        </w:rPr>
        <w:t>The remedy is aimed at every unlawful and involuntary loss of possession by a possessor of a thing and it</w:t>
      </w:r>
      <w:r w:rsidR="00073BFE">
        <w:rPr>
          <w:rFonts w:ascii="Arial" w:hAnsi="Arial" w:cs="Arial"/>
        </w:rPr>
        <w:t>s</w:t>
      </w:r>
      <w:r w:rsidR="00546E53" w:rsidRPr="00546E53">
        <w:rPr>
          <w:rFonts w:ascii="Arial" w:hAnsi="Arial" w:cs="Arial"/>
        </w:rPr>
        <w:t xml:space="preserve"> o</w:t>
      </w:r>
      <w:r w:rsidR="00546E53">
        <w:rPr>
          <w:rFonts w:ascii="Arial" w:hAnsi="Arial" w:cs="Arial"/>
        </w:rPr>
        <w:t>b</w:t>
      </w:r>
      <w:r w:rsidR="00546E53" w:rsidRPr="00546E53">
        <w:rPr>
          <w:rFonts w:ascii="Arial" w:hAnsi="Arial" w:cs="Arial"/>
        </w:rPr>
        <w:t xml:space="preserve">ject is the restoration of the status </w:t>
      </w:r>
      <w:r w:rsidR="00546E53" w:rsidRPr="00546E53">
        <w:rPr>
          <w:rFonts w:ascii="Arial" w:hAnsi="Arial" w:cs="Arial"/>
          <w:i/>
        </w:rPr>
        <w:t>quo ante</w:t>
      </w:r>
      <w:r w:rsidR="00546E53" w:rsidRPr="00546E53">
        <w:rPr>
          <w:rFonts w:ascii="Arial" w:hAnsi="Arial" w:cs="Arial"/>
        </w:rPr>
        <w:t xml:space="preserve"> as a preliminary to any enquiry into the merits of the respective claims of the parties to a thing in question.</w:t>
      </w:r>
    </w:p>
  </w:footnote>
  <w:footnote w:id="2">
    <w:p w:rsidR="00A55742" w:rsidRDefault="00A55742" w:rsidP="00073BFE">
      <w:pPr>
        <w:pStyle w:val="FootnoteText"/>
        <w:jc w:val="both"/>
      </w:pPr>
      <w:r w:rsidRPr="00A55742">
        <w:rPr>
          <w:rStyle w:val="FootnoteReference"/>
          <w:rFonts w:ascii="Arial" w:hAnsi="Arial" w:cs="Arial"/>
        </w:rPr>
        <w:footnoteRef/>
      </w:r>
      <w:r w:rsidR="00D17936" w:rsidRPr="00D17936">
        <w:t xml:space="preserve"> </w:t>
      </w:r>
      <w:r w:rsidR="00D17936" w:rsidRPr="00D17936">
        <w:rPr>
          <w:rFonts w:ascii="Arial" w:hAnsi="Arial" w:cs="Arial"/>
          <w:i/>
        </w:rPr>
        <w:t>Wightman t/a JW Constr</w:t>
      </w:r>
      <w:r w:rsidR="009216FF">
        <w:rPr>
          <w:rFonts w:ascii="Arial" w:hAnsi="Arial" w:cs="Arial"/>
          <w:i/>
        </w:rPr>
        <w:t xml:space="preserve">uction v Headfour (Pty) Ltd &amp; another </w:t>
      </w:r>
      <w:r w:rsidR="00D17936" w:rsidRPr="00D17936">
        <w:rPr>
          <w:rFonts w:ascii="Arial" w:hAnsi="Arial" w:cs="Arial"/>
        </w:rPr>
        <w:t>2008 (3) SA 371 (SCA)</w:t>
      </w:r>
      <w:r w:rsidRPr="00A55742">
        <w:rPr>
          <w:rFonts w:ascii="Arial" w:hAnsi="Arial" w:cs="Arial"/>
        </w:rPr>
        <w:t>.</w:t>
      </w:r>
    </w:p>
  </w:footnote>
  <w:footnote w:id="3">
    <w:p w:rsidR="00271C2E" w:rsidRPr="00271C2E" w:rsidRDefault="00271C2E" w:rsidP="00073BFE">
      <w:pPr>
        <w:pStyle w:val="FootnoteText"/>
        <w:jc w:val="both"/>
        <w:rPr>
          <w:rFonts w:ascii="Arial" w:hAnsi="Arial" w:cs="Arial"/>
        </w:rPr>
      </w:pPr>
      <w:r w:rsidRPr="00271C2E">
        <w:rPr>
          <w:rStyle w:val="FootnoteReference"/>
          <w:rFonts w:ascii="Arial" w:hAnsi="Arial" w:cs="Arial"/>
        </w:rPr>
        <w:footnoteRef/>
      </w:r>
      <w:r w:rsidRPr="00271C2E">
        <w:rPr>
          <w:rFonts w:ascii="Arial" w:hAnsi="Arial" w:cs="Arial"/>
        </w:rPr>
        <w:t xml:space="preserve"> High Court judgment at paras 33 – </w:t>
      </w:r>
      <w:r w:rsidR="006810E1">
        <w:rPr>
          <w:rFonts w:ascii="Arial" w:hAnsi="Arial" w:cs="Arial"/>
        </w:rPr>
        <w:t>3</w:t>
      </w:r>
      <w:r w:rsidRPr="00271C2E">
        <w:rPr>
          <w:rFonts w:ascii="Arial" w:hAnsi="Arial" w:cs="Arial"/>
        </w:rPr>
        <w:t>4.</w:t>
      </w:r>
    </w:p>
  </w:footnote>
  <w:footnote w:id="4">
    <w:p w:rsidR="00891EB1" w:rsidRPr="00891EB1" w:rsidRDefault="00891EB1" w:rsidP="00073BFE">
      <w:pPr>
        <w:pStyle w:val="FootnoteText"/>
        <w:jc w:val="both"/>
        <w:rPr>
          <w:rFonts w:ascii="Arial" w:hAnsi="Arial" w:cs="Arial"/>
        </w:rPr>
      </w:pPr>
      <w:r w:rsidRPr="00891EB1">
        <w:rPr>
          <w:rStyle w:val="FootnoteReference"/>
          <w:rFonts w:ascii="Arial" w:hAnsi="Arial" w:cs="Arial"/>
        </w:rPr>
        <w:footnoteRef/>
      </w:r>
      <w:r w:rsidRPr="00891EB1">
        <w:rPr>
          <w:rFonts w:ascii="Arial" w:hAnsi="Arial" w:cs="Arial"/>
        </w:rPr>
        <w:t xml:space="preserve"> </w:t>
      </w:r>
      <w:r w:rsidRPr="00891EB1">
        <w:rPr>
          <w:rFonts w:ascii="Arial" w:hAnsi="Arial" w:cs="Arial"/>
          <w:i/>
        </w:rPr>
        <w:t xml:space="preserve">Welgemoed v Coetzer </w:t>
      </w:r>
      <w:r w:rsidR="005D0317">
        <w:rPr>
          <w:rFonts w:ascii="Arial" w:hAnsi="Arial" w:cs="Arial"/>
        </w:rPr>
        <w:t>1946 TPD 701 at 702 (</w:t>
      </w:r>
      <w:r w:rsidR="005D0317" w:rsidRPr="00891EB1">
        <w:rPr>
          <w:rFonts w:ascii="Arial" w:hAnsi="Arial" w:cs="Arial"/>
          <w:i/>
        </w:rPr>
        <w:t>Welgemoed</w:t>
      </w:r>
      <w:r w:rsidR="005D0317">
        <w:rPr>
          <w:rFonts w:ascii="Arial" w:hAnsi="Arial" w:cs="Arial"/>
          <w:i/>
        </w:rPr>
        <w:t>).</w:t>
      </w:r>
    </w:p>
  </w:footnote>
  <w:footnote w:id="5">
    <w:p w:rsidR="00891EB1" w:rsidRPr="00B736DA" w:rsidRDefault="00891EB1" w:rsidP="00073BFE">
      <w:pPr>
        <w:pStyle w:val="FootnoteText"/>
        <w:jc w:val="both"/>
        <w:rPr>
          <w:rFonts w:ascii="Arial" w:hAnsi="Arial" w:cs="Arial"/>
        </w:rPr>
      </w:pPr>
      <w:r w:rsidRPr="00B736DA">
        <w:rPr>
          <w:rStyle w:val="FootnoteReference"/>
          <w:rFonts w:ascii="Arial" w:hAnsi="Arial" w:cs="Arial"/>
        </w:rPr>
        <w:footnoteRef/>
      </w:r>
      <w:r w:rsidRPr="00B736DA">
        <w:rPr>
          <w:rFonts w:ascii="Arial" w:hAnsi="Arial" w:cs="Arial"/>
        </w:rPr>
        <w:t xml:space="preserve"> </w:t>
      </w:r>
      <w:r w:rsidR="00B736DA" w:rsidRPr="00B736DA">
        <w:rPr>
          <w:rFonts w:ascii="Arial" w:hAnsi="Arial" w:cs="Arial"/>
          <w:i/>
        </w:rPr>
        <w:t>Ku</w:t>
      </w:r>
      <w:r w:rsidR="00B60B30">
        <w:rPr>
          <w:rFonts w:ascii="Arial" w:hAnsi="Arial" w:cs="Arial"/>
          <w:i/>
        </w:rPr>
        <w:t>i</w:t>
      </w:r>
      <w:r w:rsidR="00D56860">
        <w:rPr>
          <w:rFonts w:ascii="Arial" w:hAnsi="Arial" w:cs="Arial"/>
          <w:i/>
        </w:rPr>
        <w:t>i</w:t>
      </w:r>
      <w:r w:rsidR="00B736DA" w:rsidRPr="00B736DA">
        <w:rPr>
          <w:rFonts w:ascii="Arial" w:hAnsi="Arial" w:cs="Arial"/>
          <w:i/>
        </w:rPr>
        <w:t>ri &amp; Another v Kandjoze</w:t>
      </w:r>
      <w:r w:rsidR="009216FF">
        <w:rPr>
          <w:rFonts w:ascii="Arial" w:hAnsi="Arial" w:cs="Arial"/>
          <w:i/>
        </w:rPr>
        <w:t xml:space="preserve"> &amp; others</w:t>
      </w:r>
      <w:r w:rsidR="00081F4A">
        <w:rPr>
          <w:rFonts w:ascii="Arial" w:hAnsi="Arial" w:cs="Arial"/>
        </w:rPr>
        <w:t xml:space="preserve"> 2009 (2) NR 447 (SC) (</w:t>
      </w:r>
      <w:r w:rsidR="00081F4A" w:rsidRPr="00B736DA">
        <w:rPr>
          <w:rFonts w:ascii="Arial" w:hAnsi="Arial" w:cs="Arial"/>
          <w:i/>
        </w:rPr>
        <w:t>Ku</w:t>
      </w:r>
      <w:r w:rsidR="00081F4A">
        <w:rPr>
          <w:rFonts w:ascii="Arial" w:hAnsi="Arial" w:cs="Arial"/>
          <w:i/>
        </w:rPr>
        <w:t>i</w:t>
      </w:r>
      <w:r w:rsidR="00B60B30">
        <w:rPr>
          <w:rFonts w:ascii="Arial" w:hAnsi="Arial" w:cs="Arial"/>
          <w:i/>
        </w:rPr>
        <w:t>i</w:t>
      </w:r>
      <w:r w:rsidR="00081F4A" w:rsidRPr="00B736DA">
        <w:rPr>
          <w:rFonts w:ascii="Arial" w:hAnsi="Arial" w:cs="Arial"/>
          <w:i/>
        </w:rPr>
        <w:t>ri</w:t>
      </w:r>
      <w:r w:rsidR="00081F4A">
        <w:rPr>
          <w:rFonts w:ascii="Arial" w:hAnsi="Arial" w:cs="Arial"/>
          <w:i/>
        </w:rPr>
        <w:t>).</w:t>
      </w:r>
    </w:p>
  </w:footnote>
  <w:footnote w:id="6">
    <w:p w:rsidR="00722577" w:rsidRPr="00B856CA" w:rsidRDefault="00722577" w:rsidP="00073BFE">
      <w:pPr>
        <w:pStyle w:val="FootnoteText"/>
        <w:jc w:val="both"/>
        <w:rPr>
          <w:rFonts w:ascii="Arial" w:hAnsi="Arial" w:cs="Arial"/>
        </w:rPr>
      </w:pPr>
      <w:r w:rsidRPr="00B856CA">
        <w:rPr>
          <w:rStyle w:val="FootnoteReference"/>
          <w:rFonts w:ascii="Arial" w:hAnsi="Arial" w:cs="Arial"/>
        </w:rPr>
        <w:footnoteRef/>
      </w:r>
      <w:r w:rsidRPr="00B856CA">
        <w:rPr>
          <w:rFonts w:ascii="Arial" w:hAnsi="Arial" w:cs="Arial"/>
        </w:rPr>
        <w:t xml:space="preserve"> High Court judgment </w:t>
      </w:r>
      <w:r w:rsidR="002C64B2" w:rsidRPr="00B856CA">
        <w:rPr>
          <w:rFonts w:ascii="Arial" w:hAnsi="Arial" w:cs="Arial"/>
        </w:rPr>
        <w:t>at para 31.</w:t>
      </w:r>
    </w:p>
  </w:footnote>
  <w:footnote w:id="7">
    <w:p w:rsidR="00AD76FD" w:rsidRPr="00AD76FD" w:rsidRDefault="00AD76FD" w:rsidP="00073BFE">
      <w:pPr>
        <w:pStyle w:val="FootnoteText"/>
        <w:jc w:val="both"/>
        <w:rPr>
          <w:rFonts w:ascii="Arial" w:hAnsi="Arial" w:cs="Arial"/>
        </w:rPr>
      </w:pPr>
      <w:r w:rsidRPr="00AD76FD">
        <w:rPr>
          <w:rStyle w:val="FootnoteReference"/>
          <w:rFonts w:ascii="Arial" w:hAnsi="Arial" w:cs="Arial"/>
        </w:rPr>
        <w:footnoteRef/>
      </w:r>
      <w:r w:rsidRPr="00AD76FD">
        <w:rPr>
          <w:rFonts w:ascii="Arial" w:hAnsi="Arial" w:cs="Arial"/>
        </w:rPr>
        <w:t xml:space="preserve"> Id at para 32.</w:t>
      </w:r>
    </w:p>
  </w:footnote>
  <w:footnote w:id="8">
    <w:p w:rsidR="002E47C7" w:rsidRPr="002E47C7" w:rsidRDefault="002E47C7" w:rsidP="00073BFE">
      <w:pPr>
        <w:pStyle w:val="FootnoteText"/>
        <w:jc w:val="both"/>
        <w:rPr>
          <w:rFonts w:ascii="Arial" w:hAnsi="Arial" w:cs="Arial"/>
        </w:rPr>
      </w:pPr>
      <w:r w:rsidRPr="002E47C7">
        <w:rPr>
          <w:rStyle w:val="FootnoteReference"/>
          <w:rFonts w:ascii="Arial" w:hAnsi="Arial" w:cs="Arial"/>
        </w:rPr>
        <w:footnoteRef/>
      </w:r>
      <w:r>
        <w:rPr>
          <w:rFonts w:ascii="Arial" w:hAnsi="Arial" w:cs="Arial"/>
        </w:rPr>
        <w:t xml:space="preserve"> </w:t>
      </w:r>
      <w:r w:rsidR="00AD76FD">
        <w:rPr>
          <w:rFonts w:ascii="Arial" w:hAnsi="Arial" w:cs="Arial"/>
        </w:rPr>
        <w:t xml:space="preserve">Id </w:t>
      </w:r>
      <w:r>
        <w:rPr>
          <w:rFonts w:ascii="Arial" w:hAnsi="Arial" w:cs="Arial"/>
        </w:rPr>
        <w:t>at para 37.</w:t>
      </w:r>
    </w:p>
  </w:footnote>
  <w:footnote w:id="9">
    <w:p w:rsidR="00D56860" w:rsidRPr="00207222" w:rsidRDefault="00D56860" w:rsidP="00073BFE">
      <w:pPr>
        <w:pStyle w:val="FootnoteText"/>
        <w:jc w:val="both"/>
        <w:rPr>
          <w:rFonts w:ascii="Arial" w:hAnsi="Arial" w:cs="Arial"/>
        </w:rPr>
      </w:pPr>
      <w:r w:rsidRPr="00207222">
        <w:rPr>
          <w:rStyle w:val="FootnoteReference"/>
          <w:rFonts w:ascii="Arial" w:hAnsi="Arial" w:cs="Arial"/>
        </w:rPr>
        <w:footnoteRef/>
      </w:r>
      <w:r w:rsidRPr="00207222">
        <w:rPr>
          <w:rFonts w:ascii="Arial" w:hAnsi="Arial" w:cs="Arial"/>
        </w:rPr>
        <w:t xml:space="preserve"> </w:t>
      </w:r>
      <w:r w:rsidR="00073BFE" w:rsidRPr="00073BFE">
        <w:rPr>
          <w:rFonts w:ascii="Arial" w:hAnsi="Arial" w:cs="Arial"/>
        </w:rPr>
        <w:t>Evans Paints (TVL) Ltd. v Van Riebeck Paints (Pty) Ltd [1984] 2 All SA 366 (A)</w:t>
      </w:r>
      <w:r w:rsidR="00F83DB9">
        <w:rPr>
          <w:rFonts w:ascii="Arial" w:hAnsi="Arial" w:cs="Arial"/>
        </w:rPr>
        <w:t>.</w:t>
      </w:r>
    </w:p>
  </w:footnote>
  <w:footnote w:id="10">
    <w:p w:rsidR="00646E20" w:rsidRDefault="00646E20" w:rsidP="00073BFE">
      <w:pPr>
        <w:pStyle w:val="FootnoteText"/>
        <w:jc w:val="both"/>
      </w:pPr>
      <w:r w:rsidRPr="001B6349">
        <w:rPr>
          <w:rStyle w:val="FootnoteReference"/>
        </w:rPr>
        <w:footnoteRef/>
      </w:r>
      <w:r w:rsidRPr="001B6349">
        <w:t xml:space="preserve"> </w:t>
      </w:r>
      <w:r w:rsidR="008E02C4" w:rsidRPr="001B6349">
        <w:rPr>
          <w:rFonts w:ascii="Arial" w:hAnsi="Arial" w:cs="Arial"/>
        </w:rPr>
        <w:t xml:space="preserve">See </w:t>
      </w:r>
      <w:r w:rsidR="002F62BD" w:rsidRPr="001B6349">
        <w:rPr>
          <w:rFonts w:ascii="Arial" w:hAnsi="Arial" w:cs="Arial"/>
        </w:rPr>
        <w:t>in this regard</w:t>
      </w:r>
      <w:r w:rsidR="008E02C4" w:rsidRPr="001B6349">
        <w:t xml:space="preserve"> </w:t>
      </w:r>
      <w:r w:rsidR="001B6349" w:rsidRPr="001B6349">
        <w:rPr>
          <w:rFonts w:ascii="Arial" w:hAnsi="Arial" w:cs="Arial"/>
          <w:i/>
        </w:rPr>
        <w:t xml:space="preserve">Rally for Democracy and Progress </w:t>
      </w:r>
      <w:r w:rsidR="00AA5730">
        <w:rPr>
          <w:rFonts w:ascii="Arial" w:hAnsi="Arial" w:cs="Arial"/>
          <w:i/>
        </w:rPr>
        <w:t xml:space="preserve">&amp; </w:t>
      </w:r>
      <w:r w:rsidR="001B6349" w:rsidRPr="001B6349">
        <w:rPr>
          <w:rFonts w:ascii="Arial" w:hAnsi="Arial" w:cs="Arial"/>
          <w:i/>
        </w:rPr>
        <w:t xml:space="preserve">others v Electoral Commission for Namibia </w:t>
      </w:r>
      <w:r w:rsidR="00AA5730">
        <w:rPr>
          <w:rFonts w:ascii="Arial" w:hAnsi="Arial" w:cs="Arial"/>
          <w:i/>
        </w:rPr>
        <w:t>&amp;</w:t>
      </w:r>
      <w:r w:rsidR="001B6349" w:rsidRPr="001B6349">
        <w:rPr>
          <w:rFonts w:ascii="Arial" w:hAnsi="Arial" w:cs="Arial"/>
          <w:i/>
        </w:rPr>
        <w:t xml:space="preserve"> others </w:t>
      </w:r>
      <w:r w:rsidR="008E02C4" w:rsidRPr="001B6349">
        <w:rPr>
          <w:rFonts w:ascii="Arial" w:hAnsi="Arial" w:cs="Arial"/>
        </w:rPr>
        <w:t>2013 (3) NR 664 (SC);</w:t>
      </w:r>
      <w:r w:rsidR="008E02C4" w:rsidRPr="001B6349">
        <w:t xml:space="preserve"> </w:t>
      </w:r>
      <w:r w:rsidR="001B6349" w:rsidRPr="001B6349">
        <w:rPr>
          <w:rFonts w:ascii="Arial" w:hAnsi="Arial" w:cs="Arial"/>
          <w:i/>
        </w:rPr>
        <w:t>Du Toit</w:t>
      </w:r>
      <w:r w:rsidR="008E02C4" w:rsidRPr="001B6349">
        <w:rPr>
          <w:rFonts w:ascii="Arial" w:hAnsi="Arial" w:cs="Arial"/>
          <w:i/>
        </w:rPr>
        <w:t xml:space="preserve"> v </w:t>
      </w:r>
      <w:r w:rsidR="001B6349" w:rsidRPr="001B6349">
        <w:rPr>
          <w:rFonts w:ascii="Arial" w:hAnsi="Arial" w:cs="Arial"/>
          <w:i/>
        </w:rPr>
        <w:t>Dreyer</w:t>
      </w:r>
      <w:r w:rsidR="008E02C4" w:rsidRPr="001B6349">
        <w:rPr>
          <w:rFonts w:ascii="Arial" w:hAnsi="Arial" w:cs="Arial"/>
          <w:i/>
        </w:rPr>
        <w:t xml:space="preserve"> </w:t>
      </w:r>
      <w:r w:rsidR="00AA5730">
        <w:rPr>
          <w:rFonts w:ascii="Arial" w:hAnsi="Arial" w:cs="Arial"/>
          <w:i/>
        </w:rPr>
        <w:t xml:space="preserve">&amp; </w:t>
      </w:r>
      <w:r w:rsidR="001B6349" w:rsidRPr="001B6349">
        <w:rPr>
          <w:rFonts w:ascii="Arial" w:hAnsi="Arial" w:cs="Arial"/>
          <w:i/>
        </w:rPr>
        <w:t>others</w:t>
      </w:r>
      <w:r w:rsidR="001B6349" w:rsidRPr="001B6349">
        <w:rPr>
          <w:rFonts w:ascii="Arial" w:hAnsi="Arial" w:cs="Arial"/>
        </w:rPr>
        <w:t xml:space="preserve"> </w:t>
      </w:r>
      <w:r w:rsidR="008E02C4" w:rsidRPr="001B6349">
        <w:rPr>
          <w:rFonts w:ascii="Arial" w:hAnsi="Arial" w:cs="Arial"/>
        </w:rPr>
        <w:t>2017 (1) NR 190 (SC);</w:t>
      </w:r>
      <w:r w:rsidR="001B6349" w:rsidRPr="001B6349">
        <w:t xml:space="preserve"> </w:t>
      </w:r>
      <w:r w:rsidR="001B6349" w:rsidRPr="001B6349">
        <w:rPr>
          <w:rFonts w:ascii="Arial" w:hAnsi="Arial" w:cs="Arial"/>
          <w:i/>
        </w:rPr>
        <w:t>S v Shapumba</w:t>
      </w:r>
      <w:r w:rsidR="001B6349" w:rsidRPr="001B6349">
        <w:rPr>
          <w:rFonts w:ascii="Arial" w:hAnsi="Arial" w:cs="Arial"/>
        </w:rPr>
        <w:t xml:space="preserve"> 1999 NR 342 (SC);</w:t>
      </w:r>
      <w:r w:rsidR="008E02C4" w:rsidRPr="001B6349">
        <w:rPr>
          <w:rFonts w:ascii="Arial" w:hAnsi="Arial" w:cs="Arial"/>
        </w:rPr>
        <w:t xml:space="preserve"> </w:t>
      </w:r>
      <w:r w:rsidR="008E02C4" w:rsidRPr="001B6349">
        <w:rPr>
          <w:rFonts w:ascii="Arial" w:hAnsi="Arial" w:cs="Arial"/>
          <w:i/>
        </w:rPr>
        <w:t>S v Teek</w:t>
      </w:r>
      <w:r w:rsidR="008E02C4" w:rsidRPr="001B6349">
        <w:rPr>
          <w:rFonts w:ascii="Arial" w:hAnsi="Arial" w:cs="Arial"/>
        </w:rPr>
        <w:t xml:space="preserve"> (SA 12-2017) [2018] NASC (3 December 2018)</w:t>
      </w:r>
      <w:r w:rsidRPr="001B6349">
        <w:rPr>
          <w:rFonts w:ascii="Arial" w:hAnsi="Arial" w:cs="Arial"/>
        </w:rPr>
        <w:t>.</w:t>
      </w:r>
      <w:r>
        <w:rPr>
          <w:rFonts w:ascii="Arial" w:hAnsi="Arial" w:cs="Arial"/>
        </w:rPr>
        <w:t xml:space="preserve"> See </w:t>
      </w:r>
      <w:r w:rsidR="002F62BD">
        <w:rPr>
          <w:rFonts w:ascii="Arial" w:hAnsi="Arial" w:cs="Arial"/>
        </w:rPr>
        <w:t>also</w:t>
      </w:r>
      <w:r w:rsidR="00207222">
        <w:rPr>
          <w:rFonts w:ascii="Arial" w:hAnsi="Arial" w:cs="Arial"/>
        </w:rPr>
        <w:t xml:space="preserve"> the recent South African Constitutional Court’s decision in </w:t>
      </w:r>
      <w:r w:rsidR="00AA5730">
        <w:rPr>
          <w:rFonts w:ascii="Arial" w:hAnsi="Arial" w:cs="Arial"/>
          <w:i/>
        </w:rPr>
        <w:t>Jacobs &amp;</w:t>
      </w:r>
      <w:r w:rsidR="004B21CA" w:rsidRPr="002F62BD">
        <w:rPr>
          <w:rFonts w:ascii="Arial" w:hAnsi="Arial" w:cs="Arial"/>
          <w:i/>
        </w:rPr>
        <w:t xml:space="preserve"> </w:t>
      </w:r>
      <w:r w:rsidR="002F62BD" w:rsidRPr="002F62BD">
        <w:rPr>
          <w:rFonts w:ascii="Arial" w:hAnsi="Arial" w:cs="Arial"/>
          <w:i/>
        </w:rPr>
        <w:t>o</w:t>
      </w:r>
      <w:r w:rsidR="004B21CA" w:rsidRPr="002F62BD">
        <w:rPr>
          <w:rFonts w:ascii="Arial" w:hAnsi="Arial" w:cs="Arial"/>
          <w:i/>
        </w:rPr>
        <w:t xml:space="preserve">thers v S </w:t>
      </w:r>
      <w:r w:rsidR="004B21CA">
        <w:rPr>
          <w:rFonts w:ascii="Arial" w:hAnsi="Arial" w:cs="Arial"/>
        </w:rPr>
        <w:t xml:space="preserve">[2019] ZACC 4; 2019 (5) </w:t>
      </w:r>
      <w:r w:rsidR="002F62BD">
        <w:rPr>
          <w:rFonts w:ascii="Arial" w:hAnsi="Arial" w:cs="Arial"/>
        </w:rPr>
        <w:t>SAC</w:t>
      </w:r>
      <w:r w:rsidR="00AA5730">
        <w:rPr>
          <w:rFonts w:ascii="Arial" w:hAnsi="Arial" w:cs="Arial"/>
        </w:rPr>
        <w:t>R 623 (CC) (14 February 2019)</w:t>
      </w:r>
      <w:r w:rsidR="002F62BD">
        <w:rPr>
          <w:rFonts w:ascii="Arial" w:hAnsi="Arial" w:cs="Arial"/>
        </w:rPr>
        <w:t xml:space="preserve"> para 104</w:t>
      </w:r>
      <w:r w:rsidR="00207222">
        <w:rPr>
          <w:rFonts w:ascii="Arial" w:hAnsi="Arial" w:cs="Arial"/>
        </w:rPr>
        <w:t xml:space="preserve"> and </w:t>
      </w:r>
      <w:r w:rsidR="004B21CA" w:rsidRPr="002F62BD">
        <w:rPr>
          <w:rFonts w:ascii="Arial" w:hAnsi="Arial" w:cs="Arial"/>
          <w:i/>
        </w:rPr>
        <w:t>Buffalo City Metropolitan Municipality v Metgovis</w:t>
      </w:r>
      <w:r w:rsidR="004B21CA">
        <w:rPr>
          <w:rFonts w:ascii="Arial" w:hAnsi="Arial" w:cs="Arial"/>
        </w:rPr>
        <w:t xml:space="preserve"> [2019] ZA</w:t>
      </w:r>
      <w:r w:rsidR="00AA5730">
        <w:rPr>
          <w:rFonts w:ascii="Arial" w:hAnsi="Arial" w:cs="Arial"/>
        </w:rPr>
        <w:t xml:space="preserve">CC 9; 2019 (5) BCLR 533 (CC) </w:t>
      </w:r>
      <w:r w:rsidR="004B21CA">
        <w:rPr>
          <w:rFonts w:ascii="Arial" w:hAnsi="Arial" w:cs="Arial"/>
        </w:rPr>
        <w:t xml:space="preserve">para 34 </w:t>
      </w:r>
      <w:r w:rsidR="00207222">
        <w:rPr>
          <w:rFonts w:ascii="Arial" w:hAnsi="Arial" w:cs="Arial"/>
        </w:rPr>
        <w:t xml:space="preserve">and the South African Supreme Court’s decision in </w:t>
      </w:r>
      <w:r w:rsidR="00207222" w:rsidRPr="002F62BD">
        <w:rPr>
          <w:rFonts w:ascii="Arial" w:hAnsi="Arial" w:cs="Arial"/>
          <w:i/>
        </w:rPr>
        <w:t>Carneiro v S</w:t>
      </w:r>
      <w:r w:rsidR="00207222">
        <w:rPr>
          <w:rFonts w:ascii="Arial" w:hAnsi="Arial" w:cs="Arial"/>
        </w:rPr>
        <w:t xml:space="preserve"> ZASCA 45 2019 (1) S</w:t>
      </w:r>
      <w:r w:rsidR="00AA5730">
        <w:rPr>
          <w:rFonts w:ascii="Arial" w:hAnsi="Arial" w:cs="Arial"/>
        </w:rPr>
        <w:t xml:space="preserve">ACR 675  (SCA) 29 March 2019 </w:t>
      </w:r>
      <w:r w:rsidR="00207222">
        <w:rPr>
          <w:rFonts w:ascii="Arial" w:hAnsi="Arial" w:cs="Arial"/>
        </w:rPr>
        <w:t>para 23</w:t>
      </w:r>
      <w:r w:rsidR="00207222" w:rsidRPr="00D0252E">
        <w:rPr>
          <w:rFonts w:ascii="Arial" w:hAnsi="Arial" w:cs="Arial"/>
        </w:rPr>
        <w:t xml:space="preserve">; See also </w:t>
      </w:r>
      <w:r w:rsidRPr="00646E20">
        <w:rPr>
          <w:rFonts w:ascii="Arial" w:hAnsi="Arial" w:cs="Arial"/>
          <w:i/>
        </w:rPr>
        <w:t xml:space="preserve">JMYK Investments CC v 600 SA Holdings (Pty) Ltd </w:t>
      </w:r>
      <w:r w:rsidRPr="00646E20">
        <w:rPr>
          <w:rFonts w:ascii="Arial" w:hAnsi="Arial" w:cs="Arial"/>
        </w:rPr>
        <w:t xml:space="preserve">2003 (3) SA 470 (W) at 472. </w:t>
      </w:r>
    </w:p>
  </w:footnote>
  <w:footnote w:id="11">
    <w:p w:rsidR="00B511ED" w:rsidRDefault="00B511ED" w:rsidP="00073BFE">
      <w:pPr>
        <w:pStyle w:val="FootnoteText"/>
        <w:jc w:val="both"/>
      </w:pPr>
      <w:r w:rsidRPr="00207222">
        <w:rPr>
          <w:rStyle w:val="FootnoteReference"/>
          <w:rFonts w:ascii="Arial" w:hAnsi="Arial" w:cs="Arial"/>
        </w:rPr>
        <w:footnoteRef/>
      </w:r>
      <w:r w:rsidRPr="00207222">
        <w:rPr>
          <w:rFonts w:ascii="Arial" w:hAnsi="Arial" w:cs="Arial"/>
        </w:rPr>
        <w:t xml:space="preserve"> </w:t>
      </w:r>
      <w:r w:rsidRPr="00207222">
        <w:rPr>
          <w:rFonts w:ascii="Arial" w:hAnsi="Arial" w:cs="Arial"/>
          <w:i/>
        </w:rPr>
        <w:t>Ness</w:t>
      </w:r>
      <w:r w:rsidR="00AA5730">
        <w:rPr>
          <w:rFonts w:ascii="Arial" w:hAnsi="Arial" w:cs="Arial"/>
          <w:i/>
        </w:rPr>
        <w:t xml:space="preserve"> &amp; </w:t>
      </w:r>
      <w:r w:rsidR="001B6349">
        <w:rPr>
          <w:rFonts w:ascii="Arial" w:hAnsi="Arial" w:cs="Arial"/>
          <w:i/>
        </w:rPr>
        <w:t>a</w:t>
      </w:r>
      <w:r w:rsidR="002F62BD" w:rsidRPr="00207222">
        <w:rPr>
          <w:rFonts w:ascii="Arial" w:hAnsi="Arial" w:cs="Arial"/>
          <w:i/>
        </w:rPr>
        <w:t>nother v Greef</w:t>
      </w:r>
      <w:r w:rsidR="002F62BD" w:rsidRPr="00207222">
        <w:rPr>
          <w:rFonts w:ascii="Arial" w:hAnsi="Arial" w:cs="Arial"/>
        </w:rPr>
        <w:t xml:space="preserve"> 1985 </w:t>
      </w:r>
      <w:r w:rsidR="00D17936">
        <w:rPr>
          <w:rFonts w:ascii="Arial" w:hAnsi="Arial" w:cs="Arial"/>
        </w:rPr>
        <w:t>(</w:t>
      </w:r>
      <w:r w:rsidR="002F62BD" w:rsidRPr="00207222">
        <w:rPr>
          <w:rFonts w:ascii="Arial" w:hAnsi="Arial" w:cs="Arial"/>
        </w:rPr>
        <w:t>4</w:t>
      </w:r>
      <w:r w:rsidR="00D17936">
        <w:rPr>
          <w:rFonts w:ascii="Arial" w:hAnsi="Arial" w:cs="Arial"/>
        </w:rPr>
        <w:t>)</w:t>
      </w:r>
      <w:r w:rsidR="002F62BD" w:rsidRPr="00207222">
        <w:rPr>
          <w:rFonts w:ascii="Arial" w:hAnsi="Arial" w:cs="Arial"/>
        </w:rPr>
        <w:t xml:space="preserve"> SA 641 (C)</w:t>
      </w:r>
      <w:r w:rsidR="00207222">
        <w:rPr>
          <w:rFonts w:ascii="Arial" w:hAnsi="Arial" w:cs="Arial"/>
        </w:rPr>
        <w:t xml:space="preserve"> at p</w:t>
      </w:r>
      <w:r w:rsidR="000D646D">
        <w:rPr>
          <w:rFonts w:ascii="Arial" w:hAnsi="Arial" w:cs="Arial"/>
        </w:rPr>
        <w:t xml:space="preserve"> 649</w:t>
      </w:r>
      <w:r w:rsidRPr="00207222">
        <w:t>.</w:t>
      </w:r>
    </w:p>
  </w:footnote>
  <w:footnote w:id="12">
    <w:p w:rsidR="00B60B30" w:rsidRDefault="00B60B30" w:rsidP="00073BFE">
      <w:pPr>
        <w:pStyle w:val="FootnoteText"/>
        <w:jc w:val="both"/>
      </w:pPr>
      <w:r>
        <w:rPr>
          <w:rStyle w:val="FootnoteReference"/>
        </w:rPr>
        <w:footnoteRef/>
      </w:r>
      <w:r>
        <w:t xml:space="preserve"> </w:t>
      </w:r>
      <w:r w:rsidRPr="00B60B30">
        <w:rPr>
          <w:rFonts w:ascii="Arial" w:hAnsi="Arial" w:cs="Arial"/>
        </w:rPr>
        <w:t xml:space="preserve">See </w:t>
      </w:r>
      <w:r w:rsidRPr="00B60B30">
        <w:rPr>
          <w:rFonts w:ascii="Arial" w:hAnsi="Arial" w:cs="Arial"/>
          <w:i/>
        </w:rPr>
        <w:t>Kuiiri</w:t>
      </w:r>
      <w:r w:rsidRPr="00B60B30">
        <w:rPr>
          <w:rFonts w:ascii="Arial" w:hAnsi="Arial" w:cs="Arial"/>
        </w:rPr>
        <w:t xml:space="preserve"> at para 34.</w:t>
      </w:r>
      <w:r>
        <w:rPr>
          <w:rFonts w:ascii="Arial" w:hAnsi="Arial" w:cs="Arial"/>
        </w:rPr>
        <w:t xml:space="preserve"> See also ‘Willies Principles of SA Law’ at p 264.</w:t>
      </w:r>
    </w:p>
  </w:footnote>
  <w:footnote w:id="13">
    <w:p w:rsidR="00E60D34" w:rsidRPr="00E60D34" w:rsidRDefault="00E60D34" w:rsidP="00073BFE">
      <w:pPr>
        <w:pStyle w:val="FootnoteText"/>
        <w:jc w:val="both"/>
        <w:rPr>
          <w:rFonts w:ascii="Arial" w:hAnsi="Arial" w:cs="Arial"/>
        </w:rPr>
      </w:pPr>
      <w:r w:rsidRPr="00E60D34">
        <w:rPr>
          <w:rStyle w:val="FootnoteReference"/>
          <w:rFonts w:ascii="Arial" w:hAnsi="Arial" w:cs="Arial"/>
        </w:rPr>
        <w:footnoteRef/>
      </w:r>
      <w:r w:rsidRPr="00E60D34">
        <w:rPr>
          <w:rFonts w:ascii="Arial" w:hAnsi="Arial" w:cs="Arial"/>
        </w:rPr>
        <w:t xml:space="preserve"> See </w:t>
      </w:r>
      <w:r w:rsidRPr="00E60D34">
        <w:rPr>
          <w:rFonts w:ascii="Arial" w:hAnsi="Arial" w:cs="Arial"/>
          <w:i/>
        </w:rPr>
        <w:t>Kuiiri</w:t>
      </w:r>
      <w:r w:rsidRPr="00E60D34">
        <w:rPr>
          <w:rFonts w:ascii="Arial" w:hAnsi="Arial" w:cs="Arial"/>
        </w:rPr>
        <w:t xml:space="preserve"> at para 30, citing with approval </w:t>
      </w:r>
      <w:r w:rsidRPr="00E60D34">
        <w:rPr>
          <w:rFonts w:ascii="Arial" w:hAnsi="Arial" w:cs="Arial"/>
          <w:i/>
        </w:rPr>
        <w:t>Welgemoed</w:t>
      </w:r>
      <w:r w:rsidRPr="00E60D34">
        <w:rPr>
          <w:rFonts w:ascii="Arial" w:hAnsi="Arial" w:cs="Arial"/>
        </w:rPr>
        <w:t xml:space="preserve"> and </w:t>
      </w:r>
      <w:r w:rsidRPr="00E60D34">
        <w:rPr>
          <w:rFonts w:ascii="Arial" w:hAnsi="Arial" w:cs="Arial"/>
          <w:i/>
        </w:rPr>
        <w:t>Mocke v Beaufort West Municipality</w:t>
      </w:r>
      <w:r w:rsidRPr="00E60D34">
        <w:rPr>
          <w:rFonts w:ascii="Arial" w:hAnsi="Arial" w:cs="Arial"/>
        </w:rPr>
        <w:t xml:space="preserve"> 1939 CPD at 142.</w:t>
      </w:r>
    </w:p>
  </w:footnote>
  <w:footnote w:id="14">
    <w:p w:rsidR="00207222" w:rsidRPr="00207222" w:rsidRDefault="00207222" w:rsidP="00073BFE">
      <w:pPr>
        <w:pStyle w:val="FootnoteText"/>
        <w:jc w:val="both"/>
        <w:rPr>
          <w:rFonts w:ascii="Arial" w:hAnsi="Arial" w:cs="Arial"/>
        </w:rPr>
      </w:pPr>
      <w:r w:rsidRPr="00207222">
        <w:rPr>
          <w:rStyle w:val="FootnoteReference"/>
          <w:rFonts w:ascii="Arial" w:hAnsi="Arial" w:cs="Arial"/>
        </w:rPr>
        <w:footnoteRef/>
      </w:r>
      <w:r w:rsidRPr="00207222">
        <w:rPr>
          <w:rFonts w:ascii="Arial" w:hAnsi="Arial" w:cs="Arial"/>
        </w:rPr>
        <w:t xml:space="preserve"> </w:t>
      </w:r>
      <w:r w:rsidRPr="00207222">
        <w:rPr>
          <w:rFonts w:ascii="Arial" w:hAnsi="Arial" w:cs="Arial"/>
          <w:i/>
        </w:rPr>
        <w:t>Kuiiri</w:t>
      </w:r>
      <w:r w:rsidRPr="00207222">
        <w:rPr>
          <w:rFonts w:ascii="Arial" w:hAnsi="Arial" w:cs="Arial"/>
        </w:rPr>
        <w:t xml:space="preserve"> at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F77FFC" w:rsidRDefault="00F77F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77FFC" w:rsidRDefault="00F77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F77FFC" w:rsidRPr="00E856AA" w:rsidRDefault="00F77FFC">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6F1106">
          <w:rPr>
            <w:rFonts w:ascii="Arial" w:hAnsi="Arial" w:cs="Arial"/>
            <w:noProof/>
          </w:rPr>
          <w:t>15</w:t>
        </w:r>
        <w:r w:rsidRPr="00E856AA">
          <w:rPr>
            <w:rFonts w:ascii="Arial" w:hAnsi="Arial" w:cs="Arial"/>
            <w:noProof/>
          </w:rPr>
          <w:fldChar w:fldCharType="end"/>
        </w:r>
      </w:p>
    </w:sdtContent>
  </w:sdt>
  <w:p w:rsidR="00F77FFC" w:rsidRDefault="00F77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424D"/>
    <w:multiLevelType w:val="hybridMultilevel"/>
    <w:tmpl w:val="936862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5644C6"/>
    <w:multiLevelType w:val="hybridMultilevel"/>
    <w:tmpl w:val="4CC460B0"/>
    <w:lvl w:ilvl="0" w:tplc="0F9060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1F0D37"/>
    <w:multiLevelType w:val="hybridMultilevel"/>
    <w:tmpl w:val="9DE02140"/>
    <w:lvl w:ilvl="0" w:tplc="BC2A085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2581D3E"/>
    <w:multiLevelType w:val="hybridMultilevel"/>
    <w:tmpl w:val="FDE017C2"/>
    <w:lvl w:ilvl="0" w:tplc="E0B2BBF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411061"/>
    <w:multiLevelType w:val="hybridMultilevel"/>
    <w:tmpl w:val="ADE011A4"/>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543912"/>
    <w:multiLevelType w:val="hybridMultilevel"/>
    <w:tmpl w:val="DBAA9A12"/>
    <w:lvl w:ilvl="0" w:tplc="4B9C125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4F582E8C"/>
    <w:multiLevelType w:val="hybridMultilevel"/>
    <w:tmpl w:val="FFDAF772"/>
    <w:lvl w:ilvl="0" w:tplc="6430F9E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016165F"/>
    <w:multiLevelType w:val="hybridMultilevel"/>
    <w:tmpl w:val="4E3E317A"/>
    <w:lvl w:ilvl="0" w:tplc="C4DCB2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65959B1"/>
    <w:multiLevelType w:val="hybridMultilevel"/>
    <w:tmpl w:val="31782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55365E3"/>
    <w:multiLevelType w:val="hybridMultilevel"/>
    <w:tmpl w:val="5C942B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9604860"/>
    <w:multiLevelType w:val="hybridMultilevel"/>
    <w:tmpl w:val="B652DDBC"/>
    <w:lvl w:ilvl="0" w:tplc="B6A8ED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E5F133C"/>
    <w:multiLevelType w:val="hybridMultilevel"/>
    <w:tmpl w:val="2BCCA688"/>
    <w:lvl w:ilvl="0" w:tplc="D05CD170">
      <w:start w:val="1"/>
      <w:numFmt w:val="lowerLetter"/>
      <w:lvlText w:val="(%1)"/>
      <w:lvlJc w:val="left"/>
      <w:pPr>
        <w:ind w:left="1800" w:hanging="360"/>
      </w:pPr>
      <w:rPr>
        <w:rFonts w:hint="default"/>
        <w:u w:val="non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7E833426"/>
    <w:multiLevelType w:val="hybridMultilevel"/>
    <w:tmpl w:val="F6D85C4A"/>
    <w:lvl w:ilvl="0" w:tplc="05E477F8">
      <w:start w:val="3"/>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4"/>
  </w:num>
  <w:num w:numId="3">
    <w:abstractNumId w:val="9"/>
  </w:num>
  <w:num w:numId="4">
    <w:abstractNumId w:val="8"/>
  </w:num>
  <w:num w:numId="5">
    <w:abstractNumId w:val="7"/>
  </w:num>
  <w:num w:numId="6">
    <w:abstractNumId w:val="6"/>
  </w:num>
  <w:num w:numId="7">
    <w:abstractNumId w:val="5"/>
  </w:num>
  <w:num w:numId="8">
    <w:abstractNumId w:val="2"/>
  </w:num>
  <w:num w:numId="9">
    <w:abstractNumId w:val="11"/>
  </w:num>
  <w:num w:numId="10">
    <w:abstractNumId w:val="0"/>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0B"/>
    <w:rsid w:val="00002095"/>
    <w:rsid w:val="000032C1"/>
    <w:rsid w:val="0000481B"/>
    <w:rsid w:val="00007B01"/>
    <w:rsid w:val="00012F61"/>
    <w:rsid w:val="00013F8D"/>
    <w:rsid w:val="00016B17"/>
    <w:rsid w:val="00020E43"/>
    <w:rsid w:val="00023E12"/>
    <w:rsid w:val="000256ED"/>
    <w:rsid w:val="00027872"/>
    <w:rsid w:val="00030C68"/>
    <w:rsid w:val="000326A9"/>
    <w:rsid w:val="00032BC8"/>
    <w:rsid w:val="00034792"/>
    <w:rsid w:val="00035A82"/>
    <w:rsid w:val="00035DB1"/>
    <w:rsid w:val="00043ACB"/>
    <w:rsid w:val="00045EF4"/>
    <w:rsid w:val="00047E41"/>
    <w:rsid w:val="000517A7"/>
    <w:rsid w:val="00056937"/>
    <w:rsid w:val="00070EAE"/>
    <w:rsid w:val="00073BFE"/>
    <w:rsid w:val="00075E2F"/>
    <w:rsid w:val="00076B81"/>
    <w:rsid w:val="00081247"/>
    <w:rsid w:val="00081F4A"/>
    <w:rsid w:val="000855ED"/>
    <w:rsid w:val="000911ED"/>
    <w:rsid w:val="000A30C4"/>
    <w:rsid w:val="000A3182"/>
    <w:rsid w:val="000A398A"/>
    <w:rsid w:val="000B0321"/>
    <w:rsid w:val="000B7C49"/>
    <w:rsid w:val="000C024E"/>
    <w:rsid w:val="000C1716"/>
    <w:rsid w:val="000D0A42"/>
    <w:rsid w:val="000D4FDB"/>
    <w:rsid w:val="000D646D"/>
    <w:rsid w:val="000D75E4"/>
    <w:rsid w:val="000E0A3F"/>
    <w:rsid w:val="000E0A8B"/>
    <w:rsid w:val="000E3A44"/>
    <w:rsid w:val="000E3AE2"/>
    <w:rsid w:val="000E4E93"/>
    <w:rsid w:val="000E7AF2"/>
    <w:rsid w:val="00102142"/>
    <w:rsid w:val="00104440"/>
    <w:rsid w:val="00104A08"/>
    <w:rsid w:val="00111A4E"/>
    <w:rsid w:val="00114080"/>
    <w:rsid w:val="00114FBE"/>
    <w:rsid w:val="00122341"/>
    <w:rsid w:val="0012710F"/>
    <w:rsid w:val="00131F8C"/>
    <w:rsid w:val="001320A8"/>
    <w:rsid w:val="0013523F"/>
    <w:rsid w:val="00137FBC"/>
    <w:rsid w:val="00150B5F"/>
    <w:rsid w:val="00154BC0"/>
    <w:rsid w:val="00160D5F"/>
    <w:rsid w:val="00172D33"/>
    <w:rsid w:val="00175F05"/>
    <w:rsid w:val="0017675F"/>
    <w:rsid w:val="00180AFD"/>
    <w:rsid w:val="0018327D"/>
    <w:rsid w:val="00190808"/>
    <w:rsid w:val="00190E79"/>
    <w:rsid w:val="00191F53"/>
    <w:rsid w:val="001A1B1F"/>
    <w:rsid w:val="001B3231"/>
    <w:rsid w:val="001B3991"/>
    <w:rsid w:val="001B6349"/>
    <w:rsid w:val="001B7FB1"/>
    <w:rsid w:val="001C0516"/>
    <w:rsid w:val="001C1FC5"/>
    <w:rsid w:val="001C3051"/>
    <w:rsid w:val="001C4FD0"/>
    <w:rsid w:val="001C6511"/>
    <w:rsid w:val="001D1F26"/>
    <w:rsid w:val="001D223F"/>
    <w:rsid w:val="001D550B"/>
    <w:rsid w:val="001E09EA"/>
    <w:rsid w:val="001E2CAF"/>
    <w:rsid w:val="001E43C1"/>
    <w:rsid w:val="001F0E84"/>
    <w:rsid w:val="001F743D"/>
    <w:rsid w:val="00203077"/>
    <w:rsid w:val="00207222"/>
    <w:rsid w:val="0021507B"/>
    <w:rsid w:val="00217F2C"/>
    <w:rsid w:val="00221601"/>
    <w:rsid w:val="0022423C"/>
    <w:rsid w:val="002316AD"/>
    <w:rsid w:val="0023309F"/>
    <w:rsid w:val="00234ECD"/>
    <w:rsid w:val="00236D91"/>
    <w:rsid w:val="0024118E"/>
    <w:rsid w:val="0024280E"/>
    <w:rsid w:val="00243BD6"/>
    <w:rsid w:val="00246A54"/>
    <w:rsid w:val="00246FF3"/>
    <w:rsid w:val="00251CD8"/>
    <w:rsid w:val="0026378D"/>
    <w:rsid w:val="00264098"/>
    <w:rsid w:val="002647AD"/>
    <w:rsid w:val="00264A30"/>
    <w:rsid w:val="00265747"/>
    <w:rsid w:val="0026614D"/>
    <w:rsid w:val="00267912"/>
    <w:rsid w:val="00270A9B"/>
    <w:rsid w:val="00271C2E"/>
    <w:rsid w:val="002743E1"/>
    <w:rsid w:val="0027524C"/>
    <w:rsid w:val="0027663E"/>
    <w:rsid w:val="00276906"/>
    <w:rsid w:val="0027782B"/>
    <w:rsid w:val="00280179"/>
    <w:rsid w:val="00296E0D"/>
    <w:rsid w:val="002A2A29"/>
    <w:rsid w:val="002A39DB"/>
    <w:rsid w:val="002A4C78"/>
    <w:rsid w:val="002A5D46"/>
    <w:rsid w:val="002B7F15"/>
    <w:rsid w:val="002C1605"/>
    <w:rsid w:val="002C64B2"/>
    <w:rsid w:val="002C6600"/>
    <w:rsid w:val="002D39BB"/>
    <w:rsid w:val="002D741C"/>
    <w:rsid w:val="002D7B63"/>
    <w:rsid w:val="002E35C5"/>
    <w:rsid w:val="002E47C7"/>
    <w:rsid w:val="002E7FEC"/>
    <w:rsid w:val="002F2B3F"/>
    <w:rsid w:val="002F518E"/>
    <w:rsid w:val="002F62BD"/>
    <w:rsid w:val="00301822"/>
    <w:rsid w:val="00301D32"/>
    <w:rsid w:val="00304139"/>
    <w:rsid w:val="00304D88"/>
    <w:rsid w:val="00306CBB"/>
    <w:rsid w:val="00313B94"/>
    <w:rsid w:val="00315780"/>
    <w:rsid w:val="00322655"/>
    <w:rsid w:val="00326F70"/>
    <w:rsid w:val="00335F65"/>
    <w:rsid w:val="00336A48"/>
    <w:rsid w:val="00346466"/>
    <w:rsid w:val="00351EC3"/>
    <w:rsid w:val="00355D07"/>
    <w:rsid w:val="00360C1A"/>
    <w:rsid w:val="00360C33"/>
    <w:rsid w:val="00362EA0"/>
    <w:rsid w:val="00365F05"/>
    <w:rsid w:val="003704AB"/>
    <w:rsid w:val="003817FF"/>
    <w:rsid w:val="00382EDC"/>
    <w:rsid w:val="0038357B"/>
    <w:rsid w:val="00391E15"/>
    <w:rsid w:val="00397569"/>
    <w:rsid w:val="003A2AAC"/>
    <w:rsid w:val="003B0395"/>
    <w:rsid w:val="003B27B1"/>
    <w:rsid w:val="003B4A41"/>
    <w:rsid w:val="003B69AE"/>
    <w:rsid w:val="003B7955"/>
    <w:rsid w:val="003C00E0"/>
    <w:rsid w:val="003C3204"/>
    <w:rsid w:val="003C6074"/>
    <w:rsid w:val="003C6082"/>
    <w:rsid w:val="003C7476"/>
    <w:rsid w:val="003D2B86"/>
    <w:rsid w:val="003D3628"/>
    <w:rsid w:val="003E2B5D"/>
    <w:rsid w:val="003F6467"/>
    <w:rsid w:val="003F74E9"/>
    <w:rsid w:val="00400964"/>
    <w:rsid w:val="00405ECB"/>
    <w:rsid w:val="004133D7"/>
    <w:rsid w:val="00413D50"/>
    <w:rsid w:val="00414B60"/>
    <w:rsid w:val="00415370"/>
    <w:rsid w:val="004159AA"/>
    <w:rsid w:val="00422B91"/>
    <w:rsid w:val="004237BF"/>
    <w:rsid w:val="004301F4"/>
    <w:rsid w:val="004318A2"/>
    <w:rsid w:val="0043418A"/>
    <w:rsid w:val="0043656E"/>
    <w:rsid w:val="00447B63"/>
    <w:rsid w:val="004523EA"/>
    <w:rsid w:val="00452C35"/>
    <w:rsid w:val="00454855"/>
    <w:rsid w:val="00455FFF"/>
    <w:rsid w:val="00457A3E"/>
    <w:rsid w:val="004616DD"/>
    <w:rsid w:val="00471CA7"/>
    <w:rsid w:val="004724E1"/>
    <w:rsid w:val="00474787"/>
    <w:rsid w:val="004755CD"/>
    <w:rsid w:val="0048373D"/>
    <w:rsid w:val="004860A5"/>
    <w:rsid w:val="00486A8E"/>
    <w:rsid w:val="0049376B"/>
    <w:rsid w:val="00493C14"/>
    <w:rsid w:val="004A4424"/>
    <w:rsid w:val="004A69C2"/>
    <w:rsid w:val="004B21CA"/>
    <w:rsid w:val="004B2F77"/>
    <w:rsid w:val="004B43A2"/>
    <w:rsid w:val="004D28CA"/>
    <w:rsid w:val="004D380A"/>
    <w:rsid w:val="004D58DE"/>
    <w:rsid w:val="004D6713"/>
    <w:rsid w:val="004E0F36"/>
    <w:rsid w:val="004E2367"/>
    <w:rsid w:val="004E2444"/>
    <w:rsid w:val="004E46FB"/>
    <w:rsid w:val="004E4B9C"/>
    <w:rsid w:val="004F02DE"/>
    <w:rsid w:val="004F040B"/>
    <w:rsid w:val="004F3B4E"/>
    <w:rsid w:val="004F4DD3"/>
    <w:rsid w:val="004F6349"/>
    <w:rsid w:val="0050040C"/>
    <w:rsid w:val="00505FA0"/>
    <w:rsid w:val="00511194"/>
    <w:rsid w:val="00512D8F"/>
    <w:rsid w:val="00515354"/>
    <w:rsid w:val="005166A0"/>
    <w:rsid w:val="00520C6B"/>
    <w:rsid w:val="00521BDB"/>
    <w:rsid w:val="00524F80"/>
    <w:rsid w:val="005325D3"/>
    <w:rsid w:val="00532FFB"/>
    <w:rsid w:val="00533EB8"/>
    <w:rsid w:val="0054062E"/>
    <w:rsid w:val="00541144"/>
    <w:rsid w:val="00541274"/>
    <w:rsid w:val="00546E53"/>
    <w:rsid w:val="0055284F"/>
    <w:rsid w:val="0055405E"/>
    <w:rsid w:val="00554762"/>
    <w:rsid w:val="00554C31"/>
    <w:rsid w:val="005551D6"/>
    <w:rsid w:val="0055765C"/>
    <w:rsid w:val="00564AB8"/>
    <w:rsid w:val="00567123"/>
    <w:rsid w:val="00567C01"/>
    <w:rsid w:val="00574006"/>
    <w:rsid w:val="0059147E"/>
    <w:rsid w:val="00595ABD"/>
    <w:rsid w:val="00595F11"/>
    <w:rsid w:val="00596EB1"/>
    <w:rsid w:val="00597857"/>
    <w:rsid w:val="00597A9F"/>
    <w:rsid w:val="005B050F"/>
    <w:rsid w:val="005C589E"/>
    <w:rsid w:val="005C7DE5"/>
    <w:rsid w:val="005D0317"/>
    <w:rsid w:val="005D1513"/>
    <w:rsid w:val="005F1766"/>
    <w:rsid w:val="005F1ED2"/>
    <w:rsid w:val="006078B1"/>
    <w:rsid w:val="006127E5"/>
    <w:rsid w:val="0062125D"/>
    <w:rsid w:val="00621411"/>
    <w:rsid w:val="00624D01"/>
    <w:rsid w:val="00630E90"/>
    <w:rsid w:val="00632CF1"/>
    <w:rsid w:val="00634BED"/>
    <w:rsid w:val="0063671D"/>
    <w:rsid w:val="00642FE3"/>
    <w:rsid w:val="00645B0F"/>
    <w:rsid w:val="00646E20"/>
    <w:rsid w:val="00647C66"/>
    <w:rsid w:val="006509DA"/>
    <w:rsid w:val="00650E06"/>
    <w:rsid w:val="00663681"/>
    <w:rsid w:val="00664078"/>
    <w:rsid w:val="00665A90"/>
    <w:rsid w:val="006716E9"/>
    <w:rsid w:val="00672110"/>
    <w:rsid w:val="0067267E"/>
    <w:rsid w:val="006746CE"/>
    <w:rsid w:val="006810E1"/>
    <w:rsid w:val="00683C0F"/>
    <w:rsid w:val="00686A2A"/>
    <w:rsid w:val="006929F5"/>
    <w:rsid w:val="00695D3F"/>
    <w:rsid w:val="006967E6"/>
    <w:rsid w:val="006A04ED"/>
    <w:rsid w:val="006A2F3B"/>
    <w:rsid w:val="006A55DD"/>
    <w:rsid w:val="006B02A1"/>
    <w:rsid w:val="006B60DA"/>
    <w:rsid w:val="006C1CCA"/>
    <w:rsid w:val="006C1D13"/>
    <w:rsid w:val="006C311F"/>
    <w:rsid w:val="006C3346"/>
    <w:rsid w:val="006C3C36"/>
    <w:rsid w:val="006C4E3B"/>
    <w:rsid w:val="006D1D67"/>
    <w:rsid w:val="006D37EA"/>
    <w:rsid w:val="006D7AC1"/>
    <w:rsid w:val="006E0A12"/>
    <w:rsid w:val="006E1FD5"/>
    <w:rsid w:val="006F1106"/>
    <w:rsid w:val="006F25EE"/>
    <w:rsid w:val="006F6CDF"/>
    <w:rsid w:val="00701260"/>
    <w:rsid w:val="007114E5"/>
    <w:rsid w:val="0071326B"/>
    <w:rsid w:val="0071383D"/>
    <w:rsid w:val="00714D00"/>
    <w:rsid w:val="00715CEF"/>
    <w:rsid w:val="00716908"/>
    <w:rsid w:val="00721FB6"/>
    <w:rsid w:val="00722577"/>
    <w:rsid w:val="0073214A"/>
    <w:rsid w:val="00740204"/>
    <w:rsid w:val="00755982"/>
    <w:rsid w:val="007562BA"/>
    <w:rsid w:val="00757865"/>
    <w:rsid w:val="00757B35"/>
    <w:rsid w:val="007610D0"/>
    <w:rsid w:val="007616C2"/>
    <w:rsid w:val="00764092"/>
    <w:rsid w:val="00775FC4"/>
    <w:rsid w:val="00776D35"/>
    <w:rsid w:val="00777183"/>
    <w:rsid w:val="00777C09"/>
    <w:rsid w:val="007805DE"/>
    <w:rsid w:val="007832D1"/>
    <w:rsid w:val="00785644"/>
    <w:rsid w:val="00785684"/>
    <w:rsid w:val="00786721"/>
    <w:rsid w:val="00792B66"/>
    <w:rsid w:val="00794B1B"/>
    <w:rsid w:val="007953DC"/>
    <w:rsid w:val="007A1974"/>
    <w:rsid w:val="007A2286"/>
    <w:rsid w:val="007A28F5"/>
    <w:rsid w:val="007A34DC"/>
    <w:rsid w:val="007A36BB"/>
    <w:rsid w:val="007A3BAB"/>
    <w:rsid w:val="007B633C"/>
    <w:rsid w:val="007D5BD6"/>
    <w:rsid w:val="007F030E"/>
    <w:rsid w:val="00813B51"/>
    <w:rsid w:val="0081566A"/>
    <w:rsid w:val="00821996"/>
    <w:rsid w:val="00822CC4"/>
    <w:rsid w:val="008248D5"/>
    <w:rsid w:val="00830141"/>
    <w:rsid w:val="00831B98"/>
    <w:rsid w:val="00841662"/>
    <w:rsid w:val="00852B28"/>
    <w:rsid w:val="00852B78"/>
    <w:rsid w:val="00873E27"/>
    <w:rsid w:val="00877424"/>
    <w:rsid w:val="00877740"/>
    <w:rsid w:val="00881DC9"/>
    <w:rsid w:val="00883E8E"/>
    <w:rsid w:val="008872C6"/>
    <w:rsid w:val="00891EB1"/>
    <w:rsid w:val="00893E5F"/>
    <w:rsid w:val="008A49B9"/>
    <w:rsid w:val="008B1EC2"/>
    <w:rsid w:val="008B2B7D"/>
    <w:rsid w:val="008B7556"/>
    <w:rsid w:val="008C4A22"/>
    <w:rsid w:val="008C500F"/>
    <w:rsid w:val="008C71D5"/>
    <w:rsid w:val="008D0E71"/>
    <w:rsid w:val="008E02C4"/>
    <w:rsid w:val="008E0580"/>
    <w:rsid w:val="008E1989"/>
    <w:rsid w:val="008E1C36"/>
    <w:rsid w:val="008E2F65"/>
    <w:rsid w:val="008E4972"/>
    <w:rsid w:val="008F530D"/>
    <w:rsid w:val="00906DA4"/>
    <w:rsid w:val="00911F58"/>
    <w:rsid w:val="009156AE"/>
    <w:rsid w:val="00917940"/>
    <w:rsid w:val="009216FF"/>
    <w:rsid w:val="00922851"/>
    <w:rsid w:val="00923E47"/>
    <w:rsid w:val="0092426D"/>
    <w:rsid w:val="00925634"/>
    <w:rsid w:val="00927063"/>
    <w:rsid w:val="00927F1C"/>
    <w:rsid w:val="0093112E"/>
    <w:rsid w:val="009346D9"/>
    <w:rsid w:val="00935E34"/>
    <w:rsid w:val="009368D9"/>
    <w:rsid w:val="0093744F"/>
    <w:rsid w:val="00937555"/>
    <w:rsid w:val="0095223C"/>
    <w:rsid w:val="009573F1"/>
    <w:rsid w:val="00965713"/>
    <w:rsid w:val="009733D2"/>
    <w:rsid w:val="00973765"/>
    <w:rsid w:val="00975087"/>
    <w:rsid w:val="00980EE0"/>
    <w:rsid w:val="00981553"/>
    <w:rsid w:val="009831A9"/>
    <w:rsid w:val="00984516"/>
    <w:rsid w:val="00986A07"/>
    <w:rsid w:val="009874FB"/>
    <w:rsid w:val="00993EAB"/>
    <w:rsid w:val="009945E6"/>
    <w:rsid w:val="00996E3D"/>
    <w:rsid w:val="009A1D4D"/>
    <w:rsid w:val="009A29F4"/>
    <w:rsid w:val="009A41D1"/>
    <w:rsid w:val="009A44A1"/>
    <w:rsid w:val="009B0C4B"/>
    <w:rsid w:val="009B746C"/>
    <w:rsid w:val="009C1401"/>
    <w:rsid w:val="009C294B"/>
    <w:rsid w:val="009C790C"/>
    <w:rsid w:val="009C7A95"/>
    <w:rsid w:val="009D312E"/>
    <w:rsid w:val="009D5312"/>
    <w:rsid w:val="009E277B"/>
    <w:rsid w:val="009F2BBE"/>
    <w:rsid w:val="009F2F3B"/>
    <w:rsid w:val="00A00A04"/>
    <w:rsid w:val="00A01A8F"/>
    <w:rsid w:val="00A02948"/>
    <w:rsid w:val="00A04A34"/>
    <w:rsid w:val="00A05C06"/>
    <w:rsid w:val="00A05C23"/>
    <w:rsid w:val="00A064BD"/>
    <w:rsid w:val="00A07CF0"/>
    <w:rsid w:val="00A10039"/>
    <w:rsid w:val="00A149B0"/>
    <w:rsid w:val="00A25C51"/>
    <w:rsid w:val="00A270DA"/>
    <w:rsid w:val="00A3131D"/>
    <w:rsid w:val="00A3175B"/>
    <w:rsid w:val="00A41CEE"/>
    <w:rsid w:val="00A41DFA"/>
    <w:rsid w:val="00A420B2"/>
    <w:rsid w:val="00A4493F"/>
    <w:rsid w:val="00A46094"/>
    <w:rsid w:val="00A46924"/>
    <w:rsid w:val="00A46D84"/>
    <w:rsid w:val="00A52496"/>
    <w:rsid w:val="00A54D9C"/>
    <w:rsid w:val="00A55742"/>
    <w:rsid w:val="00A571C7"/>
    <w:rsid w:val="00A6174A"/>
    <w:rsid w:val="00A617FF"/>
    <w:rsid w:val="00A666EB"/>
    <w:rsid w:val="00A728EF"/>
    <w:rsid w:val="00A76749"/>
    <w:rsid w:val="00A76CC2"/>
    <w:rsid w:val="00A838A3"/>
    <w:rsid w:val="00A8397D"/>
    <w:rsid w:val="00A83FCA"/>
    <w:rsid w:val="00A867CB"/>
    <w:rsid w:val="00A94F81"/>
    <w:rsid w:val="00A95599"/>
    <w:rsid w:val="00AA18ED"/>
    <w:rsid w:val="00AA5730"/>
    <w:rsid w:val="00AB0D99"/>
    <w:rsid w:val="00AB2C22"/>
    <w:rsid w:val="00AB36B3"/>
    <w:rsid w:val="00AB453B"/>
    <w:rsid w:val="00AC2F42"/>
    <w:rsid w:val="00AC3BEE"/>
    <w:rsid w:val="00AC55E5"/>
    <w:rsid w:val="00AC6BD9"/>
    <w:rsid w:val="00AD22F7"/>
    <w:rsid w:val="00AD25AC"/>
    <w:rsid w:val="00AD47CD"/>
    <w:rsid w:val="00AD4A0A"/>
    <w:rsid w:val="00AD6A34"/>
    <w:rsid w:val="00AD76FD"/>
    <w:rsid w:val="00AD7B5A"/>
    <w:rsid w:val="00AE07EE"/>
    <w:rsid w:val="00AE3330"/>
    <w:rsid w:val="00AE6952"/>
    <w:rsid w:val="00AE71EE"/>
    <w:rsid w:val="00AE7592"/>
    <w:rsid w:val="00AF2928"/>
    <w:rsid w:val="00AF3C0A"/>
    <w:rsid w:val="00AF4497"/>
    <w:rsid w:val="00AF781C"/>
    <w:rsid w:val="00B00B90"/>
    <w:rsid w:val="00B02541"/>
    <w:rsid w:val="00B110FE"/>
    <w:rsid w:val="00B23E8D"/>
    <w:rsid w:val="00B33922"/>
    <w:rsid w:val="00B42CF0"/>
    <w:rsid w:val="00B4680E"/>
    <w:rsid w:val="00B47BA6"/>
    <w:rsid w:val="00B511ED"/>
    <w:rsid w:val="00B547A3"/>
    <w:rsid w:val="00B56B1C"/>
    <w:rsid w:val="00B5768B"/>
    <w:rsid w:val="00B60870"/>
    <w:rsid w:val="00B60B30"/>
    <w:rsid w:val="00B60C50"/>
    <w:rsid w:val="00B7006E"/>
    <w:rsid w:val="00B71926"/>
    <w:rsid w:val="00B726D1"/>
    <w:rsid w:val="00B736DA"/>
    <w:rsid w:val="00B75C65"/>
    <w:rsid w:val="00B76C20"/>
    <w:rsid w:val="00B820F5"/>
    <w:rsid w:val="00B856CA"/>
    <w:rsid w:val="00B86A78"/>
    <w:rsid w:val="00B9301F"/>
    <w:rsid w:val="00BA185D"/>
    <w:rsid w:val="00BA375A"/>
    <w:rsid w:val="00BA44D0"/>
    <w:rsid w:val="00BA6F6B"/>
    <w:rsid w:val="00BB01C7"/>
    <w:rsid w:val="00BB1B3F"/>
    <w:rsid w:val="00BB41D0"/>
    <w:rsid w:val="00BB7C82"/>
    <w:rsid w:val="00BC3470"/>
    <w:rsid w:val="00BD1ED2"/>
    <w:rsid w:val="00BE414C"/>
    <w:rsid w:val="00BE5325"/>
    <w:rsid w:val="00BF1C62"/>
    <w:rsid w:val="00BF30CE"/>
    <w:rsid w:val="00BF52DC"/>
    <w:rsid w:val="00C02AE0"/>
    <w:rsid w:val="00C04702"/>
    <w:rsid w:val="00C04B5B"/>
    <w:rsid w:val="00C06A97"/>
    <w:rsid w:val="00C11378"/>
    <w:rsid w:val="00C114BD"/>
    <w:rsid w:val="00C162E1"/>
    <w:rsid w:val="00C16766"/>
    <w:rsid w:val="00C2392B"/>
    <w:rsid w:val="00C26C2F"/>
    <w:rsid w:val="00C302CE"/>
    <w:rsid w:val="00C330E6"/>
    <w:rsid w:val="00C3417E"/>
    <w:rsid w:val="00C373DC"/>
    <w:rsid w:val="00C424AE"/>
    <w:rsid w:val="00C43A60"/>
    <w:rsid w:val="00C44212"/>
    <w:rsid w:val="00C504ED"/>
    <w:rsid w:val="00C51391"/>
    <w:rsid w:val="00C60D19"/>
    <w:rsid w:val="00C63BE5"/>
    <w:rsid w:val="00C63D84"/>
    <w:rsid w:val="00C64182"/>
    <w:rsid w:val="00C73B6F"/>
    <w:rsid w:val="00C74807"/>
    <w:rsid w:val="00C75316"/>
    <w:rsid w:val="00C75865"/>
    <w:rsid w:val="00C76976"/>
    <w:rsid w:val="00C802F7"/>
    <w:rsid w:val="00C82BD1"/>
    <w:rsid w:val="00C91D5A"/>
    <w:rsid w:val="00C9211A"/>
    <w:rsid w:val="00CA526D"/>
    <w:rsid w:val="00CC0442"/>
    <w:rsid w:val="00CC320C"/>
    <w:rsid w:val="00CC4D0B"/>
    <w:rsid w:val="00CC5D81"/>
    <w:rsid w:val="00CC6536"/>
    <w:rsid w:val="00CC66DF"/>
    <w:rsid w:val="00CD1217"/>
    <w:rsid w:val="00CD50D1"/>
    <w:rsid w:val="00CE6AC1"/>
    <w:rsid w:val="00CE6B95"/>
    <w:rsid w:val="00CE6F0A"/>
    <w:rsid w:val="00CF36D3"/>
    <w:rsid w:val="00CF375E"/>
    <w:rsid w:val="00D0252E"/>
    <w:rsid w:val="00D0366C"/>
    <w:rsid w:val="00D11EF7"/>
    <w:rsid w:val="00D17936"/>
    <w:rsid w:val="00D2773B"/>
    <w:rsid w:val="00D27EA5"/>
    <w:rsid w:val="00D31C50"/>
    <w:rsid w:val="00D31E71"/>
    <w:rsid w:val="00D357E8"/>
    <w:rsid w:val="00D35F38"/>
    <w:rsid w:val="00D4538D"/>
    <w:rsid w:val="00D455B0"/>
    <w:rsid w:val="00D51A61"/>
    <w:rsid w:val="00D525EC"/>
    <w:rsid w:val="00D56860"/>
    <w:rsid w:val="00D60F94"/>
    <w:rsid w:val="00D63372"/>
    <w:rsid w:val="00D666F0"/>
    <w:rsid w:val="00D67D59"/>
    <w:rsid w:val="00D75947"/>
    <w:rsid w:val="00D7698D"/>
    <w:rsid w:val="00D879A8"/>
    <w:rsid w:val="00D914E0"/>
    <w:rsid w:val="00D97AEF"/>
    <w:rsid w:val="00DA09C2"/>
    <w:rsid w:val="00DA1F5F"/>
    <w:rsid w:val="00DA4967"/>
    <w:rsid w:val="00DA5A9B"/>
    <w:rsid w:val="00DB0A9A"/>
    <w:rsid w:val="00DB2C21"/>
    <w:rsid w:val="00DB3888"/>
    <w:rsid w:val="00DC0BFF"/>
    <w:rsid w:val="00DC3906"/>
    <w:rsid w:val="00DC7926"/>
    <w:rsid w:val="00DD2193"/>
    <w:rsid w:val="00DD4351"/>
    <w:rsid w:val="00DE0DE0"/>
    <w:rsid w:val="00DE5414"/>
    <w:rsid w:val="00DE60AB"/>
    <w:rsid w:val="00DE7640"/>
    <w:rsid w:val="00DE7DBC"/>
    <w:rsid w:val="00DF476F"/>
    <w:rsid w:val="00E0013B"/>
    <w:rsid w:val="00E02B31"/>
    <w:rsid w:val="00E11F5E"/>
    <w:rsid w:val="00E31FD2"/>
    <w:rsid w:val="00E461BE"/>
    <w:rsid w:val="00E473EA"/>
    <w:rsid w:val="00E47E04"/>
    <w:rsid w:val="00E60D34"/>
    <w:rsid w:val="00E7006A"/>
    <w:rsid w:val="00E716F7"/>
    <w:rsid w:val="00E80F72"/>
    <w:rsid w:val="00E81D7D"/>
    <w:rsid w:val="00E856AA"/>
    <w:rsid w:val="00E86C19"/>
    <w:rsid w:val="00E9183A"/>
    <w:rsid w:val="00E94B11"/>
    <w:rsid w:val="00E9523C"/>
    <w:rsid w:val="00EA12C4"/>
    <w:rsid w:val="00EA4983"/>
    <w:rsid w:val="00EA5149"/>
    <w:rsid w:val="00EB0A91"/>
    <w:rsid w:val="00EB38A0"/>
    <w:rsid w:val="00EB7A9F"/>
    <w:rsid w:val="00EC0762"/>
    <w:rsid w:val="00EC3220"/>
    <w:rsid w:val="00EC3BAD"/>
    <w:rsid w:val="00ED272E"/>
    <w:rsid w:val="00ED3BD9"/>
    <w:rsid w:val="00EE36F8"/>
    <w:rsid w:val="00EE394A"/>
    <w:rsid w:val="00EE486F"/>
    <w:rsid w:val="00EE5668"/>
    <w:rsid w:val="00EE7676"/>
    <w:rsid w:val="00F01468"/>
    <w:rsid w:val="00F02C67"/>
    <w:rsid w:val="00F06E57"/>
    <w:rsid w:val="00F07747"/>
    <w:rsid w:val="00F112B1"/>
    <w:rsid w:val="00F11D09"/>
    <w:rsid w:val="00F17491"/>
    <w:rsid w:val="00F262E8"/>
    <w:rsid w:val="00F3246F"/>
    <w:rsid w:val="00F325E3"/>
    <w:rsid w:val="00F348C8"/>
    <w:rsid w:val="00F36E5B"/>
    <w:rsid w:val="00F419CE"/>
    <w:rsid w:val="00F41B93"/>
    <w:rsid w:val="00F41C26"/>
    <w:rsid w:val="00F52228"/>
    <w:rsid w:val="00F534D7"/>
    <w:rsid w:val="00F552D3"/>
    <w:rsid w:val="00F56C1A"/>
    <w:rsid w:val="00F603DB"/>
    <w:rsid w:val="00F675AD"/>
    <w:rsid w:val="00F723E0"/>
    <w:rsid w:val="00F7302B"/>
    <w:rsid w:val="00F77FFC"/>
    <w:rsid w:val="00F82D1E"/>
    <w:rsid w:val="00F83DB9"/>
    <w:rsid w:val="00F8729B"/>
    <w:rsid w:val="00F87B2B"/>
    <w:rsid w:val="00F9137C"/>
    <w:rsid w:val="00FA0657"/>
    <w:rsid w:val="00FA1573"/>
    <w:rsid w:val="00FA6FCD"/>
    <w:rsid w:val="00FA7740"/>
    <w:rsid w:val="00FB08C9"/>
    <w:rsid w:val="00FB0928"/>
    <w:rsid w:val="00FB4054"/>
    <w:rsid w:val="00FC188E"/>
    <w:rsid w:val="00FC6BF1"/>
    <w:rsid w:val="00FD4570"/>
    <w:rsid w:val="00FE18AB"/>
    <w:rsid w:val="00FE349E"/>
    <w:rsid w:val="00FE36AC"/>
    <w:rsid w:val="00FE3C1B"/>
    <w:rsid w:val="00FE55EF"/>
    <w:rsid w:val="00FF2D88"/>
    <w:rsid w:val="00FF47D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6CB5F-1A99-40C0-9155-F766B490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D0B"/>
    <w:pPr>
      <w:spacing w:after="0" w:line="240" w:lineRule="auto"/>
    </w:pPr>
  </w:style>
  <w:style w:type="paragraph" w:styleId="BodyText">
    <w:name w:val="Body Text"/>
    <w:basedOn w:val="Normal"/>
    <w:link w:val="BodyTextChar"/>
    <w:rsid w:val="00CC4D0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C4D0B"/>
    <w:rPr>
      <w:rFonts w:ascii="Times New Roman" w:eastAsia="Times New Roman" w:hAnsi="Times New Roman" w:cs="Times New Roman"/>
      <w:sz w:val="24"/>
      <w:szCs w:val="24"/>
      <w:lang w:val="en-GB"/>
    </w:rPr>
  </w:style>
  <w:style w:type="table" w:styleId="TableGrid">
    <w:name w:val="Table Grid"/>
    <w:basedOn w:val="TableNormal"/>
    <w:uiPriority w:val="39"/>
    <w:rsid w:val="00CC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13"/>
  </w:style>
  <w:style w:type="paragraph" w:styleId="Footer">
    <w:name w:val="footer"/>
    <w:basedOn w:val="Normal"/>
    <w:link w:val="FooterChar"/>
    <w:uiPriority w:val="99"/>
    <w:unhideWhenUsed/>
    <w:rsid w:val="004D6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13"/>
  </w:style>
  <w:style w:type="paragraph" w:styleId="ListParagraph">
    <w:name w:val="List Paragraph"/>
    <w:basedOn w:val="Normal"/>
    <w:uiPriority w:val="34"/>
    <w:qFormat/>
    <w:rsid w:val="003C6074"/>
    <w:pPr>
      <w:ind w:left="720"/>
      <w:contextualSpacing/>
    </w:pPr>
  </w:style>
  <w:style w:type="paragraph" w:styleId="BalloonText">
    <w:name w:val="Balloon Text"/>
    <w:basedOn w:val="Normal"/>
    <w:link w:val="BalloonTextChar"/>
    <w:uiPriority w:val="99"/>
    <w:semiHidden/>
    <w:unhideWhenUsed/>
    <w:rsid w:val="00A4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B2"/>
    <w:rPr>
      <w:rFonts w:ascii="Tahoma" w:hAnsi="Tahoma" w:cs="Tahoma"/>
      <w:sz w:val="16"/>
      <w:szCs w:val="16"/>
    </w:rPr>
  </w:style>
  <w:style w:type="paragraph" w:styleId="FootnoteText">
    <w:name w:val="footnote text"/>
    <w:basedOn w:val="Normal"/>
    <w:link w:val="FootnoteTextChar"/>
    <w:uiPriority w:val="99"/>
    <w:semiHidden/>
    <w:unhideWhenUsed/>
    <w:rsid w:val="00692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9F5"/>
    <w:rPr>
      <w:sz w:val="20"/>
      <w:szCs w:val="20"/>
    </w:rPr>
  </w:style>
  <w:style w:type="character" w:styleId="FootnoteReference">
    <w:name w:val="footnote reference"/>
    <w:basedOn w:val="DefaultParagraphFont"/>
    <w:uiPriority w:val="99"/>
    <w:semiHidden/>
    <w:unhideWhenUsed/>
    <w:rsid w:val="006929F5"/>
    <w:rPr>
      <w:vertAlign w:val="superscript"/>
    </w:rPr>
  </w:style>
  <w:style w:type="paragraph" w:styleId="Quote">
    <w:name w:val="Quote"/>
    <w:basedOn w:val="Normal"/>
    <w:next w:val="Normal"/>
    <w:link w:val="QuoteChar"/>
    <w:uiPriority w:val="29"/>
    <w:qFormat/>
    <w:rsid w:val="00C162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62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2019-10-13T18:30:00+00:00</Judgment_x0020_Date>
    <Year xmlns="63bdd487-88aa-4c54-b893-ddaa81ed2e7c">2019</Year>
  </documentManagement>
</p:properties>
</file>

<file path=customXml/itemProps1.xml><?xml version="1.0" encoding="utf-8"?>
<ds:datastoreItem xmlns:ds="http://schemas.openxmlformats.org/officeDocument/2006/customXml" ds:itemID="{601DC748-4FFD-4FD4-AE63-4819ECF31030}"/>
</file>

<file path=customXml/itemProps2.xml><?xml version="1.0" encoding="utf-8"?>
<ds:datastoreItem xmlns:ds="http://schemas.openxmlformats.org/officeDocument/2006/customXml" ds:itemID="{ACB5960B-F0DA-4599-BD19-DA2902A437BC}"/>
</file>

<file path=customXml/itemProps3.xml><?xml version="1.0" encoding="utf-8"?>
<ds:datastoreItem xmlns:ds="http://schemas.openxmlformats.org/officeDocument/2006/customXml" ds:itemID="{45C16863-0018-4143-8768-016D81DE6945}"/>
</file>

<file path=customXml/itemProps4.xml><?xml version="1.0" encoding="utf-8"?>
<ds:datastoreItem xmlns:ds="http://schemas.openxmlformats.org/officeDocument/2006/customXml" ds:itemID="{D7869901-C76C-4411-A75A-3DF6904C5DFC}"/>
</file>

<file path=docProps/app.xml><?xml version="1.0" encoding="utf-8"?>
<Properties xmlns="http://schemas.openxmlformats.org/officeDocument/2006/extended-properties" xmlns:vt="http://schemas.openxmlformats.org/officeDocument/2006/docPropsVTypes">
  <Template>Normal</Template>
  <TotalTime>0</TotalTime>
  <Pages>15</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Koch v Koch (SA 40-2017) 2019 NASC (14 October 2019)</dc:title>
  <dc:subject/>
  <dc:creator>User</dc:creator>
  <cp:keywords/>
  <dc:description/>
  <cp:lastModifiedBy>Eklien E.P. Kharases</cp:lastModifiedBy>
  <cp:revision>2</cp:revision>
  <cp:lastPrinted>2019-10-10T14:08:00Z</cp:lastPrinted>
  <dcterms:created xsi:type="dcterms:W3CDTF">2019-10-16T13:24:00Z</dcterms:created>
  <dcterms:modified xsi:type="dcterms:W3CDTF">2019-10-16T13:24:00Z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