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C25CA" w:rsidRDefault="00D76EC6" w:rsidP="008C3367">
      <w:pPr>
        <w:keepNext/>
        <w:spacing w:line="360" w:lineRule="auto"/>
        <w:jc w:val="center"/>
        <w:outlineLvl w:val="0"/>
        <w:rPr>
          <w:rFonts w:ascii="Arial" w:hAnsi="Arial" w:cs="Arial"/>
          <w:b/>
          <w:bCs/>
          <w:sz w:val="24"/>
          <w:szCs w:val="24"/>
        </w:rPr>
      </w:pPr>
      <w:bookmarkStart w:id="0" w:name="_GoBack"/>
      <w:bookmarkEnd w:id="0"/>
      <w:r>
        <w:rPr>
          <w:rFonts w:ascii="Arial" w:hAnsi="Arial" w:cs="Arial"/>
          <w:b/>
          <w:bCs/>
          <w:sz w:val="24"/>
          <w:szCs w:val="24"/>
        </w:rPr>
        <w:t xml:space="preserve"> </w:t>
      </w:r>
      <w:r w:rsidR="008C3367" w:rsidRPr="001C25CA">
        <w:rPr>
          <w:rFonts w:ascii="Arial" w:hAnsi="Arial" w:cs="Arial"/>
          <w:b/>
          <w:bCs/>
          <w:noProof/>
          <w:sz w:val="24"/>
          <w:szCs w:val="24"/>
          <w:lang w:eastAsia="en-ZA"/>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C25CA" w:rsidRDefault="008C3367" w:rsidP="008C3367">
      <w:pPr>
        <w:spacing w:line="480" w:lineRule="auto"/>
        <w:ind w:left="1701"/>
        <w:jc w:val="right"/>
        <w:rPr>
          <w:rFonts w:ascii="Arial" w:hAnsi="Arial" w:cs="Arial"/>
          <w:b/>
          <w:sz w:val="24"/>
          <w:szCs w:val="24"/>
        </w:rPr>
      </w:pPr>
      <w:r w:rsidRPr="001C25CA">
        <w:rPr>
          <w:rFonts w:ascii="Arial" w:hAnsi="Arial" w:cs="Arial"/>
          <w:b/>
          <w:sz w:val="24"/>
          <w:szCs w:val="24"/>
        </w:rPr>
        <w:t>REPORTABLE</w:t>
      </w:r>
    </w:p>
    <w:p w:rsidR="008C3367" w:rsidRPr="001C25CA" w:rsidRDefault="008C3367" w:rsidP="007C732D">
      <w:pPr>
        <w:spacing w:after="0" w:line="240" w:lineRule="auto"/>
        <w:jc w:val="right"/>
        <w:rPr>
          <w:rFonts w:ascii="Arial" w:hAnsi="Arial" w:cs="Arial"/>
          <w:sz w:val="24"/>
          <w:szCs w:val="24"/>
        </w:rPr>
      </w:pPr>
      <w:r w:rsidRPr="001C25CA">
        <w:rPr>
          <w:rFonts w:ascii="Arial" w:hAnsi="Arial" w:cs="Arial"/>
          <w:sz w:val="24"/>
          <w:szCs w:val="24"/>
        </w:rPr>
        <w:t xml:space="preserve">CASE NO: SA </w:t>
      </w:r>
      <w:r w:rsidR="00BE44A1">
        <w:rPr>
          <w:rFonts w:ascii="Arial" w:hAnsi="Arial" w:cs="Arial"/>
          <w:sz w:val="24"/>
          <w:szCs w:val="24"/>
        </w:rPr>
        <w:t>72</w:t>
      </w:r>
      <w:r w:rsidRPr="001C25CA">
        <w:rPr>
          <w:rFonts w:ascii="Arial" w:hAnsi="Arial" w:cs="Arial"/>
          <w:sz w:val="24"/>
          <w:szCs w:val="24"/>
        </w:rPr>
        <w:t>/2</w:t>
      </w:r>
      <w:r w:rsidR="00CD0281">
        <w:rPr>
          <w:rFonts w:ascii="Arial" w:hAnsi="Arial" w:cs="Arial"/>
          <w:sz w:val="24"/>
          <w:szCs w:val="24"/>
        </w:rPr>
        <w:t>0</w:t>
      </w:r>
      <w:r w:rsidR="00CE6ABC">
        <w:rPr>
          <w:rFonts w:ascii="Arial" w:hAnsi="Arial" w:cs="Arial"/>
          <w:sz w:val="24"/>
          <w:szCs w:val="24"/>
        </w:rPr>
        <w:t>1</w:t>
      </w:r>
      <w:r w:rsidR="00AF326F">
        <w:rPr>
          <w:rFonts w:ascii="Arial" w:hAnsi="Arial" w:cs="Arial"/>
          <w:sz w:val="24"/>
          <w:szCs w:val="24"/>
        </w:rPr>
        <w:t>9</w:t>
      </w:r>
    </w:p>
    <w:p w:rsidR="00105960" w:rsidRPr="001C25CA" w:rsidRDefault="00105960" w:rsidP="008C3367">
      <w:pPr>
        <w:spacing w:line="240" w:lineRule="auto"/>
        <w:ind w:left="-142"/>
        <w:jc w:val="both"/>
        <w:rPr>
          <w:rFonts w:ascii="Arial" w:hAnsi="Arial" w:cs="Arial"/>
          <w:b/>
          <w:sz w:val="24"/>
          <w:szCs w:val="24"/>
        </w:rPr>
      </w:pPr>
    </w:p>
    <w:p w:rsidR="008C3367" w:rsidRPr="001C25CA" w:rsidRDefault="008C3367" w:rsidP="00B40CD3">
      <w:pPr>
        <w:spacing w:line="240" w:lineRule="auto"/>
        <w:jc w:val="both"/>
        <w:rPr>
          <w:rFonts w:ascii="Arial" w:hAnsi="Arial" w:cs="Arial"/>
          <w:b/>
          <w:sz w:val="24"/>
          <w:szCs w:val="24"/>
        </w:rPr>
      </w:pPr>
      <w:r w:rsidRPr="001C25CA">
        <w:rPr>
          <w:rFonts w:ascii="Arial" w:hAnsi="Arial" w:cs="Arial"/>
          <w:b/>
          <w:sz w:val="24"/>
          <w:szCs w:val="24"/>
        </w:rPr>
        <w:t>IN THE SUPREME COURT OF NAMIBIA</w:t>
      </w:r>
    </w:p>
    <w:p w:rsidR="008C3367" w:rsidRPr="001C25CA" w:rsidRDefault="008C3367" w:rsidP="00B40CD3">
      <w:pPr>
        <w:spacing w:line="240" w:lineRule="auto"/>
        <w:jc w:val="both"/>
        <w:rPr>
          <w:rFonts w:ascii="Arial" w:hAnsi="Arial" w:cs="Arial"/>
          <w:sz w:val="24"/>
          <w:szCs w:val="24"/>
        </w:rPr>
      </w:pPr>
    </w:p>
    <w:p w:rsidR="008C3367" w:rsidRPr="00E43FB9" w:rsidRDefault="008C3367" w:rsidP="00B40CD3">
      <w:pPr>
        <w:spacing w:line="240" w:lineRule="auto"/>
        <w:jc w:val="both"/>
        <w:rPr>
          <w:rFonts w:ascii="Arial" w:hAnsi="Arial" w:cs="Arial"/>
          <w:sz w:val="24"/>
          <w:szCs w:val="24"/>
        </w:rPr>
      </w:pPr>
      <w:r w:rsidRPr="00E43FB9">
        <w:rPr>
          <w:rFonts w:ascii="Arial" w:hAnsi="Arial" w:cs="Arial"/>
          <w:sz w:val="24"/>
          <w:szCs w:val="24"/>
        </w:rPr>
        <w:t>In the matter between:</w:t>
      </w:r>
    </w:p>
    <w:p w:rsidR="00396B62" w:rsidRPr="00E43FB9" w:rsidRDefault="00396B6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8C3367" w:rsidRPr="00E43FB9" w:rsidTr="00B40CD3">
        <w:tc>
          <w:tcPr>
            <w:tcW w:w="6204" w:type="dxa"/>
            <w:shd w:val="clear" w:color="auto" w:fill="auto"/>
          </w:tcPr>
          <w:p w:rsidR="002212AD" w:rsidRPr="00E43FB9" w:rsidRDefault="0046269D" w:rsidP="00C5513A">
            <w:pPr>
              <w:pStyle w:val="NoSpacing"/>
              <w:spacing w:line="360" w:lineRule="auto"/>
              <w:rPr>
                <w:rFonts w:ascii="Arial" w:hAnsi="Arial" w:cs="Arial"/>
                <w:b/>
                <w:sz w:val="24"/>
                <w:szCs w:val="24"/>
              </w:rPr>
            </w:pPr>
            <w:r>
              <w:rPr>
                <w:rFonts w:ascii="Arial" w:hAnsi="Arial" w:cs="Arial"/>
                <w:b/>
                <w:sz w:val="24"/>
                <w:szCs w:val="24"/>
              </w:rPr>
              <w:t>MA</w:t>
            </w:r>
          </w:p>
        </w:tc>
        <w:tc>
          <w:tcPr>
            <w:tcW w:w="3011" w:type="dxa"/>
            <w:shd w:val="clear" w:color="auto" w:fill="auto"/>
          </w:tcPr>
          <w:p w:rsidR="008C3367" w:rsidRPr="00E43FB9" w:rsidRDefault="00BE44A1" w:rsidP="00161C35">
            <w:pPr>
              <w:pStyle w:val="NoSpacing"/>
              <w:spacing w:line="360" w:lineRule="auto"/>
              <w:jc w:val="right"/>
              <w:rPr>
                <w:rFonts w:ascii="Arial" w:hAnsi="Arial" w:cs="Arial"/>
                <w:b/>
                <w:sz w:val="24"/>
                <w:szCs w:val="24"/>
              </w:rPr>
            </w:pPr>
            <w:r>
              <w:rPr>
                <w:rFonts w:ascii="Arial" w:hAnsi="Arial" w:cs="Arial"/>
                <w:b/>
                <w:sz w:val="24"/>
                <w:szCs w:val="24"/>
              </w:rPr>
              <w:t xml:space="preserve">First </w:t>
            </w:r>
            <w:r w:rsidR="008C3367" w:rsidRPr="00E43FB9">
              <w:rPr>
                <w:rFonts w:ascii="Arial" w:hAnsi="Arial" w:cs="Arial"/>
                <w:b/>
                <w:sz w:val="24"/>
                <w:szCs w:val="24"/>
              </w:rPr>
              <w:t>Appellant</w:t>
            </w:r>
          </w:p>
        </w:tc>
      </w:tr>
      <w:tr w:rsidR="00BE44A1" w:rsidRPr="00E43FB9" w:rsidTr="00B40CD3">
        <w:tc>
          <w:tcPr>
            <w:tcW w:w="6204" w:type="dxa"/>
            <w:shd w:val="clear" w:color="auto" w:fill="auto"/>
          </w:tcPr>
          <w:p w:rsidR="00BE44A1" w:rsidRDefault="0046269D" w:rsidP="00C5513A">
            <w:pPr>
              <w:pStyle w:val="NoSpacing"/>
              <w:spacing w:line="360" w:lineRule="auto"/>
              <w:rPr>
                <w:rFonts w:ascii="Arial" w:hAnsi="Arial" w:cs="Arial"/>
                <w:b/>
                <w:sz w:val="24"/>
                <w:szCs w:val="24"/>
              </w:rPr>
            </w:pPr>
            <w:r>
              <w:rPr>
                <w:rFonts w:ascii="Arial" w:hAnsi="Arial" w:cs="Arial"/>
                <w:b/>
                <w:sz w:val="24"/>
                <w:szCs w:val="24"/>
              </w:rPr>
              <w:t>IA</w:t>
            </w:r>
          </w:p>
        </w:tc>
        <w:tc>
          <w:tcPr>
            <w:tcW w:w="3011" w:type="dxa"/>
            <w:shd w:val="clear" w:color="auto" w:fill="auto"/>
          </w:tcPr>
          <w:p w:rsidR="00BE44A1" w:rsidRPr="00E43FB9" w:rsidRDefault="00BE44A1" w:rsidP="00161C35">
            <w:pPr>
              <w:pStyle w:val="NoSpacing"/>
              <w:spacing w:line="360" w:lineRule="auto"/>
              <w:jc w:val="right"/>
              <w:rPr>
                <w:rFonts w:ascii="Arial" w:hAnsi="Arial" w:cs="Arial"/>
                <w:b/>
                <w:sz w:val="24"/>
                <w:szCs w:val="24"/>
              </w:rPr>
            </w:pPr>
            <w:r>
              <w:rPr>
                <w:rFonts w:ascii="Arial" w:hAnsi="Arial" w:cs="Arial"/>
                <w:b/>
                <w:sz w:val="24"/>
                <w:szCs w:val="24"/>
              </w:rPr>
              <w:t>Second Appellant</w:t>
            </w:r>
          </w:p>
        </w:tc>
      </w:tr>
      <w:tr w:rsidR="00BE44A1" w:rsidRPr="00E43FB9" w:rsidTr="00B40CD3">
        <w:tc>
          <w:tcPr>
            <w:tcW w:w="6204" w:type="dxa"/>
            <w:shd w:val="clear" w:color="auto" w:fill="auto"/>
          </w:tcPr>
          <w:p w:rsidR="00BE44A1" w:rsidRDefault="0046269D" w:rsidP="00C5513A">
            <w:pPr>
              <w:pStyle w:val="NoSpacing"/>
              <w:spacing w:line="360" w:lineRule="auto"/>
              <w:rPr>
                <w:rFonts w:ascii="Arial" w:hAnsi="Arial" w:cs="Arial"/>
                <w:b/>
                <w:sz w:val="24"/>
                <w:szCs w:val="24"/>
              </w:rPr>
            </w:pPr>
            <w:r>
              <w:rPr>
                <w:rFonts w:ascii="Arial" w:hAnsi="Arial" w:cs="Arial"/>
                <w:b/>
                <w:sz w:val="24"/>
                <w:szCs w:val="24"/>
              </w:rPr>
              <w:t>JA</w:t>
            </w:r>
          </w:p>
        </w:tc>
        <w:tc>
          <w:tcPr>
            <w:tcW w:w="3011" w:type="dxa"/>
            <w:shd w:val="clear" w:color="auto" w:fill="auto"/>
          </w:tcPr>
          <w:p w:rsidR="00BE44A1" w:rsidRDefault="00BE44A1" w:rsidP="00161C35">
            <w:pPr>
              <w:pStyle w:val="NoSpacing"/>
              <w:spacing w:line="360" w:lineRule="auto"/>
              <w:jc w:val="right"/>
              <w:rPr>
                <w:rFonts w:ascii="Arial" w:hAnsi="Arial" w:cs="Arial"/>
                <w:b/>
                <w:sz w:val="24"/>
                <w:szCs w:val="24"/>
              </w:rPr>
            </w:pPr>
            <w:r>
              <w:rPr>
                <w:rFonts w:ascii="Arial" w:hAnsi="Arial" w:cs="Arial"/>
                <w:b/>
                <w:sz w:val="24"/>
                <w:szCs w:val="24"/>
              </w:rPr>
              <w:t>Third Appellant</w:t>
            </w:r>
          </w:p>
        </w:tc>
      </w:tr>
      <w:tr w:rsidR="00AF326F" w:rsidRPr="00E43FB9" w:rsidTr="00B40CD3">
        <w:tc>
          <w:tcPr>
            <w:tcW w:w="6204" w:type="dxa"/>
            <w:shd w:val="clear" w:color="auto" w:fill="auto"/>
          </w:tcPr>
          <w:p w:rsidR="00AF326F" w:rsidRPr="00E43FB9" w:rsidRDefault="00AF326F" w:rsidP="00161C35">
            <w:pPr>
              <w:pStyle w:val="NoSpacing"/>
              <w:spacing w:line="360" w:lineRule="auto"/>
              <w:rPr>
                <w:rFonts w:ascii="Arial" w:hAnsi="Arial" w:cs="Arial"/>
                <w:b/>
                <w:sz w:val="24"/>
                <w:szCs w:val="24"/>
              </w:rPr>
            </w:pPr>
          </w:p>
        </w:tc>
        <w:tc>
          <w:tcPr>
            <w:tcW w:w="3011" w:type="dxa"/>
            <w:shd w:val="clear" w:color="auto" w:fill="auto"/>
          </w:tcPr>
          <w:p w:rsidR="00AF326F" w:rsidRPr="00E43FB9" w:rsidRDefault="00AF326F"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7C732D" w:rsidP="00161C35">
            <w:pPr>
              <w:pStyle w:val="NoSpacing"/>
              <w:spacing w:line="360" w:lineRule="auto"/>
              <w:rPr>
                <w:rFonts w:ascii="Arial" w:hAnsi="Arial" w:cs="Arial"/>
                <w:sz w:val="24"/>
                <w:szCs w:val="24"/>
              </w:rPr>
            </w:pPr>
            <w:r w:rsidRPr="00E43FB9">
              <w:rPr>
                <w:rFonts w:ascii="Arial" w:hAnsi="Arial" w:cs="Arial"/>
                <w:sz w:val="24"/>
                <w:szCs w:val="24"/>
              </w:rPr>
              <w:t>a</w:t>
            </w:r>
            <w:r w:rsidR="008C3367" w:rsidRPr="00E43FB9">
              <w:rPr>
                <w:rFonts w:ascii="Arial" w:hAnsi="Arial" w:cs="Arial"/>
                <w:sz w:val="24"/>
                <w:szCs w:val="24"/>
              </w:rPr>
              <w:t>nd</w:t>
            </w:r>
          </w:p>
        </w:tc>
        <w:tc>
          <w:tcPr>
            <w:tcW w:w="3011" w:type="dxa"/>
            <w:shd w:val="clear" w:color="auto" w:fill="auto"/>
          </w:tcPr>
          <w:p w:rsidR="008C3367" w:rsidRPr="00E43FB9" w:rsidRDefault="008C3367" w:rsidP="00161C35">
            <w:pPr>
              <w:pStyle w:val="NoSpacing"/>
              <w:spacing w:line="360" w:lineRule="auto"/>
              <w:rPr>
                <w:rFonts w:ascii="Arial" w:hAnsi="Arial" w:cs="Arial"/>
                <w:sz w:val="24"/>
                <w:szCs w:val="24"/>
              </w:rPr>
            </w:pPr>
          </w:p>
        </w:tc>
      </w:tr>
      <w:tr w:rsidR="008C3367" w:rsidRPr="00E43FB9" w:rsidTr="00B40CD3">
        <w:tc>
          <w:tcPr>
            <w:tcW w:w="6204" w:type="dxa"/>
            <w:shd w:val="clear" w:color="auto" w:fill="auto"/>
          </w:tcPr>
          <w:p w:rsidR="008C3367" w:rsidRPr="00E43FB9" w:rsidRDefault="008C3367" w:rsidP="00161C35">
            <w:pPr>
              <w:pStyle w:val="NoSpacing"/>
              <w:spacing w:line="360" w:lineRule="auto"/>
              <w:rPr>
                <w:rFonts w:ascii="Arial" w:hAnsi="Arial" w:cs="Arial"/>
                <w:b/>
                <w:sz w:val="24"/>
                <w:szCs w:val="24"/>
              </w:rPr>
            </w:pPr>
          </w:p>
        </w:tc>
        <w:tc>
          <w:tcPr>
            <w:tcW w:w="3011" w:type="dxa"/>
            <w:shd w:val="clear" w:color="auto" w:fill="auto"/>
          </w:tcPr>
          <w:p w:rsidR="008C3367" w:rsidRPr="00E43FB9" w:rsidRDefault="008C3367" w:rsidP="00161C35">
            <w:pPr>
              <w:pStyle w:val="NoSpacing"/>
              <w:spacing w:line="360" w:lineRule="auto"/>
              <w:rPr>
                <w:rFonts w:ascii="Arial" w:hAnsi="Arial" w:cs="Arial"/>
                <w:b/>
                <w:sz w:val="24"/>
                <w:szCs w:val="24"/>
              </w:rPr>
            </w:pPr>
          </w:p>
        </w:tc>
      </w:tr>
      <w:tr w:rsidR="008C3367" w:rsidRPr="00E43FB9" w:rsidTr="00B40CD3">
        <w:tc>
          <w:tcPr>
            <w:tcW w:w="6204" w:type="dxa"/>
            <w:shd w:val="clear" w:color="auto" w:fill="auto"/>
          </w:tcPr>
          <w:p w:rsidR="008C3367" w:rsidRPr="00E43FB9" w:rsidRDefault="0046269D" w:rsidP="007F76A6">
            <w:pPr>
              <w:pStyle w:val="NoSpacing"/>
              <w:spacing w:line="360" w:lineRule="auto"/>
              <w:rPr>
                <w:rFonts w:ascii="Arial" w:hAnsi="Arial" w:cs="Arial"/>
                <w:b/>
                <w:sz w:val="24"/>
                <w:szCs w:val="24"/>
              </w:rPr>
            </w:pPr>
            <w:r>
              <w:rPr>
                <w:rFonts w:ascii="Arial" w:hAnsi="Arial" w:cs="Arial"/>
                <w:b/>
                <w:sz w:val="24"/>
                <w:szCs w:val="24"/>
              </w:rPr>
              <w:t>AG</w:t>
            </w:r>
          </w:p>
        </w:tc>
        <w:tc>
          <w:tcPr>
            <w:tcW w:w="3011" w:type="dxa"/>
            <w:shd w:val="clear" w:color="auto" w:fill="auto"/>
          </w:tcPr>
          <w:p w:rsidR="00584213" w:rsidRPr="00E43FB9" w:rsidRDefault="00584213" w:rsidP="00235497">
            <w:pPr>
              <w:pStyle w:val="NoSpacing"/>
              <w:spacing w:line="360" w:lineRule="auto"/>
              <w:jc w:val="right"/>
              <w:rPr>
                <w:rFonts w:ascii="Arial" w:hAnsi="Arial" w:cs="Arial"/>
                <w:b/>
                <w:sz w:val="24"/>
                <w:szCs w:val="24"/>
              </w:rPr>
            </w:pPr>
            <w:r w:rsidRPr="00E43FB9">
              <w:rPr>
                <w:rFonts w:ascii="Arial" w:hAnsi="Arial" w:cs="Arial"/>
                <w:b/>
                <w:sz w:val="24"/>
                <w:szCs w:val="24"/>
              </w:rPr>
              <w:t>Respondent</w:t>
            </w:r>
          </w:p>
        </w:tc>
      </w:tr>
    </w:tbl>
    <w:p w:rsidR="00AA0F94" w:rsidRDefault="00AA0F94" w:rsidP="00B40CD3">
      <w:pPr>
        <w:spacing w:line="240" w:lineRule="auto"/>
        <w:ind w:left="-142" w:firstLine="142"/>
        <w:jc w:val="both"/>
        <w:rPr>
          <w:rFonts w:ascii="Arial" w:hAnsi="Arial" w:cs="Arial"/>
          <w:b/>
          <w:sz w:val="24"/>
          <w:szCs w:val="24"/>
        </w:rPr>
      </w:pPr>
    </w:p>
    <w:p w:rsidR="00105960" w:rsidRPr="00E43FB9" w:rsidRDefault="00105960" w:rsidP="00B40CD3">
      <w:pPr>
        <w:spacing w:line="240" w:lineRule="auto"/>
        <w:ind w:left="-142" w:firstLine="142"/>
        <w:jc w:val="both"/>
        <w:rPr>
          <w:rFonts w:ascii="Arial" w:hAnsi="Arial" w:cs="Arial"/>
          <w:b/>
          <w:sz w:val="24"/>
          <w:szCs w:val="24"/>
        </w:rPr>
      </w:pPr>
    </w:p>
    <w:p w:rsidR="008C3367" w:rsidRPr="00E43FB9" w:rsidRDefault="008C3367" w:rsidP="00161C35">
      <w:pPr>
        <w:spacing w:line="240" w:lineRule="auto"/>
        <w:jc w:val="both"/>
        <w:rPr>
          <w:rFonts w:ascii="Arial" w:hAnsi="Arial" w:cs="Arial"/>
          <w:sz w:val="24"/>
          <w:szCs w:val="24"/>
        </w:rPr>
      </w:pPr>
      <w:r w:rsidRPr="00E43FB9">
        <w:rPr>
          <w:rFonts w:ascii="Arial" w:hAnsi="Arial" w:cs="Arial"/>
          <w:b/>
          <w:sz w:val="24"/>
          <w:szCs w:val="24"/>
        </w:rPr>
        <w:t>Coram:</w:t>
      </w:r>
      <w:r w:rsidRPr="00E43FB9">
        <w:rPr>
          <w:rFonts w:ascii="Arial" w:hAnsi="Arial" w:cs="Arial"/>
          <w:sz w:val="24"/>
          <w:szCs w:val="24"/>
        </w:rPr>
        <w:tab/>
      </w:r>
      <w:r w:rsidRPr="00E43FB9">
        <w:rPr>
          <w:rFonts w:ascii="Arial" w:hAnsi="Arial" w:cs="Arial"/>
          <w:sz w:val="24"/>
          <w:szCs w:val="24"/>
        </w:rPr>
        <w:tab/>
      </w:r>
      <w:r w:rsidR="00BA6DC9">
        <w:rPr>
          <w:rFonts w:ascii="Arial" w:hAnsi="Arial" w:cs="Arial"/>
          <w:sz w:val="24"/>
          <w:szCs w:val="24"/>
        </w:rPr>
        <w:t xml:space="preserve">SHIVUTE CJ, </w:t>
      </w:r>
      <w:r w:rsidR="009B7016" w:rsidRPr="00E43FB9">
        <w:rPr>
          <w:rFonts w:ascii="Arial" w:hAnsi="Arial" w:cs="Arial"/>
          <w:sz w:val="24"/>
          <w:szCs w:val="24"/>
        </w:rPr>
        <w:t xml:space="preserve">SMUTS JA </w:t>
      </w:r>
      <w:r w:rsidR="00BA6DC9" w:rsidRPr="00E43FB9">
        <w:rPr>
          <w:rFonts w:ascii="Arial" w:hAnsi="Arial" w:cs="Arial"/>
          <w:sz w:val="24"/>
          <w:szCs w:val="24"/>
        </w:rPr>
        <w:t xml:space="preserve">and </w:t>
      </w:r>
      <w:r w:rsidR="009B7016">
        <w:rPr>
          <w:rFonts w:ascii="Arial" w:hAnsi="Arial" w:cs="Arial"/>
          <w:sz w:val="24"/>
          <w:szCs w:val="24"/>
        </w:rPr>
        <w:t>HOFF JA</w:t>
      </w:r>
    </w:p>
    <w:p w:rsidR="008C3367" w:rsidRPr="00E43FB9" w:rsidRDefault="008C3367" w:rsidP="00161C35">
      <w:pPr>
        <w:spacing w:line="240" w:lineRule="auto"/>
        <w:jc w:val="both"/>
        <w:rPr>
          <w:rFonts w:ascii="Arial" w:hAnsi="Arial" w:cs="Arial"/>
          <w:b/>
          <w:sz w:val="24"/>
          <w:szCs w:val="24"/>
        </w:rPr>
      </w:pPr>
      <w:r w:rsidRPr="00E43FB9">
        <w:rPr>
          <w:rFonts w:ascii="Arial" w:hAnsi="Arial" w:cs="Arial"/>
          <w:b/>
          <w:sz w:val="24"/>
          <w:szCs w:val="24"/>
        </w:rPr>
        <w:t>Heard:</w:t>
      </w:r>
      <w:r w:rsidRPr="00E43FB9">
        <w:rPr>
          <w:rFonts w:ascii="Arial" w:hAnsi="Arial" w:cs="Arial"/>
          <w:b/>
          <w:sz w:val="24"/>
          <w:szCs w:val="24"/>
        </w:rPr>
        <w:tab/>
      </w:r>
      <w:r w:rsidRPr="00E43FB9">
        <w:rPr>
          <w:rFonts w:ascii="Arial" w:hAnsi="Arial" w:cs="Arial"/>
          <w:b/>
          <w:sz w:val="24"/>
          <w:szCs w:val="24"/>
        </w:rPr>
        <w:tab/>
      </w:r>
      <w:r w:rsidR="0008263C">
        <w:rPr>
          <w:rFonts w:ascii="Arial" w:hAnsi="Arial" w:cs="Arial"/>
          <w:b/>
          <w:sz w:val="24"/>
          <w:szCs w:val="24"/>
        </w:rPr>
        <w:t>1</w:t>
      </w:r>
      <w:r w:rsidR="00C70ECA">
        <w:rPr>
          <w:rFonts w:ascii="Arial" w:hAnsi="Arial" w:cs="Arial"/>
          <w:b/>
          <w:sz w:val="24"/>
          <w:szCs w:val="24"/>
        </w:rPr>
        <w:t xml:space="preserve"> </w:t>
      </w:r>
      <w:r w:rsidR="00123F14">
        <w:rPr>
          <w:rFonts w:ascii="Arial" w:hAnsi="Arial" w:cs="Arial"/>
          <w:b/>
          <w:sz w:val="24"/>
          <w:szCs w:val="24"/>
        </w:rPr>
        <w:t>March</w:t>
      </w:r>
      <w:r w:rsidR="003C276A" w:rsidRPr="00E43FB9">
        <w:rPr>
          <w:rFonts w:ascii="Arial" w:hAnsi="Arial" w:cs="Arial"/>
          <w:b/>
          <w:sz w:val="24"/>
          <w:szCs w:val="24"/>
        </w:rPr>
        <w:t xml:space="preserve"> 20</w:t>
      </w:r>
      <w:r w:rsidR="00CD0281" w:rsidRPr="00E43FB9">
        <w:rPr>
          <w:rFonts w:ascii="Arial" w:hAnsi="Arial" w:cs="Arial"/>
          <w:b/>
          <w:sz w:val="24"/>
          <w:szCs w:val="24"/>
        </w:rPr>
        <w:t>2</w:t>
      </w:r>
      <w:r w:rsidR="00123F14">
        <w:rPr>
          <w:rFonts w:ascii="Arial" w:hAnsi="Arial" w:cs="Arial"/>
          <w:b/>
          <w:sz w:val="24"/>
          <w:szCs w:val="24"/>
        </w:rPr>
        <w:t>1</w:t>
      </w:r>
    </w:p>
    <w:p w:rsidR="008C3367" w:rsidRPr="001C25CA" w:rsidRDefault="008C3367" w:rsidP="00161C35">
      <w:pPr>
        <w:spacing w:line="240" w:lineRule="auto"/>
        <w:jc w:val="both"/>
        <w:rPr>
          <w:rFonts w:ascii="Arial" w:hAnsi="Arial" w:cs="Arial"/>
          <w:b/>
          <w:sz w:val="24"/>
          <w:szCs w:val="24"/>
        </w:rPr>
      </w:pPr>
      <w:r w:rsidRPr="001C25CA">
        <w:rPr>
          <w:rFonts w:ascii="Arial" w:hAnsi="Arial" w:cs="Arial"/>
          <w:b/>
          <w:sz w:val="24"/>
          <w:szCs w:val="24"/>
        </w:rPr>
        <w:t>Delivered:</w:t>
      </w:r>
      <w:r w:rsidRPr="001C25CA">
        <w:rPr>
          <w:rFonts w:ascii="Arial" w:hAnsi="Arial" w:cs="Arial"/>
          <w:b/>
          <w:sz w:val="24"/>
          <w:szCs w:val="24"/>
        </w:rPr>
        <w:tab/>
      </w:r>
      <w:r w:rsidR="00B40CD3" w:rsidRPr="001C25CA">
        <w:rPr>
          <w:rFonts w:ascii="Arial" w:hAnsi="Arial" w:cs="Arial"/>
          <w:b/>
          <w:sz w:val="24"/>
          <w:szCs w:val="24"/>
        </w:rPr>
        <w:tab/>
      </w:r>
      <w:r w:rsidR="007E1055">
        <w:rPr>
          <w:rFonts w:ascii="Arial" w:hAnsi="Arial" w:cs="Arial"/>
          <w:b/>
          <w:sz w:val="24"/>
          <w:szCs w:val="24"/>
        </w:rPr>
        <w:t>10</w:t>
      </w:r>
      <w:r w:rsidR="00123F14">
        <w:rPr>
          <w:rFonts w:ascii="Arial" w:hAnsi="Arial" w:cs="Arial"/>
          <w:b/>
          <w:sz w:val="24"/>
          <w:szCs w:val="24"/>
        </w:rPr>
        <w:t xml:space="preserve"> March</w:t>
      </w:r>
      <w:r w:rsidR="00236C2D">
        <w:rPr>
          <w:rFonts w:ascii="Arial" w:hAnsi="Arial" w:cs="Arial"/>
          <w:b/>
          <w:sz w:val="24"/>
          <w:szCs w:val="24"/>
        </w:rPr>
        <w:t xml:space="preserve"> </w:t>
      </w:r>
      <w:r w:rsidR="00CD0281">
        <w:rPr>
          <w:rFonts w:ascii="Arial" w:hAnsi="Arial" w:cs="Arial"/>
          <w:b/>
          <w:sz w:val="24"/>
          <w:szCs w:val="24"/>
        </w:rPr>
        <w:t>202</w:t>
      </w:r>
      <w:r w:rsidR="00123F14">
        <w:rPr>
          <w:rFonts w:ascii="Arial" w:hAnsi="Arial" w:cs="Arial"/>
          <w:b/>
          <w:sz w:val="24"/>
          <w:szCs w:val="24"/>
        </w:rPr>
        <w:t>1</w:t>
      </w:r>
    </w:p>
    <w:p w:rsidR="00105960" w:rsidRPr="001C25CA" w:rsidRDefault="00105960" w:rsidP="00E02269">
      <w:pPr>
        <w:spacing w:line="240" w:lineRule="auto"/>
        <w:jc w:val="both"/>
        <w:rPr>
          <w:rFonts w:ascii="Arial" w:hAnsi="Arial" w:cs="Arial"/>
          <w:b/>
          <w:sz w:val="24"/>
          <w:szCs w:val="24"/>
          <w:lang w:val="en-GB"/>
        </w:rPr>
      </w:pPr>
    </w:p>
    <w:p w:rsidR="00E02269" w:rsidRDefault="008C3367" w:rsidP="00E02269">
      <w:pPr>
        <w:pStyle w:val="NoSpacing"/>
        <w:spacing w:line="360" w:lineRule="auto"/>
        <w:jc w:val="both"/>
        <w:rPr>
          <w:rFonts w:ascii="Arial" w:hAnsi="Arial" w:cs="Arial"/>
          <w:sz w:val="24"/>
          <w:szCs w:val="24"/>
        </w:rPr>
      </w:pPr>
      <w:r w:rsidRPr="00EF6EF1">
        <w:rPr>
          <w:rFonts w:ascii="Arial" w:hAnsi="Arial" w:cs="Arial"/>
          <w:b/>
          <w:sz w:val="24"/>
          <w:szCs w:val="24"/>
          <w:lang w:val="en-GB"/>
        </w:rPr>
        <w:t>Summary:</w:t>
      </w:r>
      <w:r w:rsidR="002B6F2A">
        <w:rPr>
          <w:rFonts w:ascii="Arial" w:hAnsi="Arial" w:cs="Arial"/>
          <w:b/>
          <w:sz w:val="24"/>
          <w:szCs w:val="24"/>
          <w:lang w:val="en-GB"/>
        </w:rPr>
        <w:tab/>
      </w:r>
      <w:r w:rsidR="00E02269" w:rsidRPr="00863BC6">
        <w:rPr>
          <w:rFonts w:ascii="Arial" w:hAnsi="Arial" w:cs="Arial"/>
          <w:sz w:val="24"/>
          <w:szCs w:val="24"/>
        </w:rPr>
        <w:t xml:space="preserve">This dispute concerns the guardianship of a minor child, G, aged seven years, following the death of her mother on 19 September 2017. The deceased mother was not married to the father of G, the respondent in this appeal. </w:t>
      </w:r>
      <w:r w:rsidR="00E02269">
        <w:rPr>
          <w:rFonts w:ascii="Arial" w:hAnsi="Arial" w:cs="Arial"/>
          <w:sz w:val="24"/>
          <w:szCs w:val="24"/>
        </w:rPr>
        <w:t xml:space="preserve">The High Court found that the children’s court has jurisdiction to hear and determine the guardianship of G including the effect of the first appellant’s nomination as a guardian of G in a testamentary disposition to the exclusion of the respondent. As a consequence, the court </w:t>
      </w:r>
      <w:r w:rsidR="00E02269" w:rsidRPr="004D3B06">
        <w:rPr>
          <w:rFonts w:ascii="Arial" w:hAnsi="Arial" w:cs="Arial"/>
          <w:i/>
          <w:sz w:val="24"/>
          <w:szCs w:val="24"/>
        </w:rPr>
        <w:t>a quo</w:t>
      </w:r>
      <w:r w:rsidR="00E02269">
        <w:rPr>
          <w:rFonts w:ascii="Arial" w:hAnsi="Arial" w:cs="Arial"/>
          <w:sz w:val="24"/>
          <w:szCs w:val="24"/>
        </w:rPr>
        <w:t xml:space="preserve"> declined jurisdiction</w:t>
      </w:r>
      <w:r w:rsidR="0049692A">
        <w:rPr>
          <w:rFonts w:ascii="Arial" w:hAnsi="Arial" w:cs="Arial"/>
          <w:sz w:val="24"/>
          <w:szCs w:val="24"/>
        </w:rPr>
        <w:t xml:space="preserve"> to determine the guardianship application as a court of first instance</w:t>
      </w:r>
      <w:r w:rsidR="00E02269">
        <w:rPr>
          <w:rFonts w:ascii="Arial" w:hAnsi="Arial" w:cs="Arial"/>
          <w:sz w:val="24"/>
          <w:szCs w:val="24"/>
        </w:rPr>
        <w:t>.</w:t>
      </w:r>
    </w:p>
    <w:p w:rsidR="00E02269" w:rsidRDefault="00E02269" w:rsidP="00E02269">
      <w:pPr>
        <w:spacing w:after="0" w:line="360" w:lineRule="auto"/>
        <w:jc w:val="both"/>
        <w:rPr>
          <w:rFonts w:ascii="Arial" w:hAnsi="Arial" w:cs="Arial"/>
          <w:sz w:val="24"/>
          <w:szCs w:val="24"/>
        </w:rPr>
      </w:pPr>
    </w:p>
    <w:p w:rsidR="00E02269" w:rsidRDefault="00C540B4" w:rsidP="00E02269">
      <w:pPr>
        <w:spacing w:after="0" w:line="360" w:lineRule="auto"/>
        <w:jc w:val="both"/>
        <w:rPr>
          <w:rFonts w:ascii="Arial" w:hAnsi="Arial" w:cs="Arial"/>
          <w:sz w:val="24"/>
          <w:szCs w:val="24"/>
        </w:rPr>
      </w:pPr>
      <w:r>
        <w:rPr>
          <w:rFonts w:ascii="Arial" w:hAnsi="Arial" w:cs="Arial"/>
          <w:sz w:val="24"/>
          <w:szCs w:val="24"/>
        </w:rPr>
        <w:t>The appellant</w:t>
      </w:r>
      <w:r w:rsidR="00E02269">
        <w:rPr>
          <w:rFonts w:ascii="Arial" w:hAnsi="Arial" w:cs="Arial"/>
          <w:sz w:val="24"/>
          <w:szCs w:val="24"/>
        </w:rPr>
        <w:t xml:space="preserve"> </w:t>
      </w:r>
      <w:r w:rsidR="0049692A">
        <w:rPr>
          <w:rFonts w:ascii="Arial" w:hAnsi="Arial" w:cs="Arial"/>
          <w:sz w:val="24"/>
          <w:szCs w:val="24"/>
        </w:rPr>
        <w:t>noted</w:t>
      </w:r>
      <w:r w:rsidR="00E02269">
        <w:rPr>
          <w:rFonts w:ascii="Arial" w:hAnsi="Arial" w:cs="Arial"/>
          <w:sz w:val="24"/>
          <w:szCs w:val="24"/>
        </w:rPr>
        <w:t xml:space="preserve"> an appeal </w:t>
      </w:r>
      <w:r w:rsidR="0049692A">
        <w:rPr>
          <w:rFonts w:ascii="Arial" w:hAnsi="Arial" w:cs="Arial"/>
          <w:sz w:val="24"/>
          <w:szCs w:val="24"/>
        </w:rPr>
        <w:t>to</w:t>
      </w:r>
      <w:r w:rsidR="00E02269">
        <w:rPr>
          <w:rFonts w:ascii="Arial" w:hAnsi="Arial" w:cs="Arial"/>
          <w:sz w:val="24"/>
          <w:szCs w:val="24"/>
        </w:rPr>
        <w:t xml:space="preserve"> the Supreme Court </w:t>
      </w:r>
      <w:r w:rsidR="0049692A">
        <w:rPr>
          <w:rFonts w:ascii="Arial" w:hAnsi="Arial" w:cs="Arial"/>
          <w:sz w:val="24"/>
          <w:szCs w:val="24"/>
        </w:rPr>
        <w:t xml:space="preserve">within the prescribed time. </w:t>
      </w:r>
      <w:r w:rsidR="00E02269">
        <w:rPr>
          <w:rFonts w:ascii="Arial" w:hAnsi="Arial" w:cs="Arial"/>
          <w:sz w:val="24"/>
          <w:szCs w:val="24"/>
        </w:rPr>
        <w:t xml:space="preserve"> </w:t>
      </w:r>
      <w:r w:rsidR="0049692A">
        <w:rPr>
          <w:rFonts w:ascii="Arial" w:hAnsi="Arial" w:cs="Arial"/>
          <w:sz w:val="24"/>
          <w:szCs w:val="24"/>
        </w:rPr>
        <w:t>The</w:t>
      </w:r>
      <w:r w:rsidR="00E02269">
        <w:rPr>
          <w:rFonts w:ascii="Arial" w:hAnsi="Arial" w:cs="Arial"/>
          <w:sz w:val="24"/>
          <w:szCs w:val="24"/>
        </w:rPr>
        <w:t xml:space="preserve"> record of appeal was </w:t>
      </w:r>
      <w:r w:rsidR="0049692A">
        <w:rPr>
          <w:rFonts w:ascii="Arial" w:hAnsi="Arial" w:cs="Arial"/>
          <w:sz w:val="24"/>
          <w:szCs w:val="24"/>
        </w:rPr>
        <w:t xml:space="preserve">however </w:t>
      </w:r>
      <w:r w:rsidR="00E02269">
        <w:rPr>
          <w:rFonts w:ascii="Arial" w:hAnsi="Arial" w:cs="Arial"/>
          <w:sz w:val="24"/>
          <w:szCs w:val="24"/>
        </w:rPr>
        <w:t>filed two weeks late result</w:t>
      </w:r>
      <w:r w:rsidR="0049692A">
        <w:rPr>
          <w:rFonts w:ascii="Arial" w:hAnsi="Arial" w:cs="Arial"/>
          <w:sz w:val="24"/>
          <w:szCs w:val="24"/>
        </w:rPr>
        <w:t>ing</w:t>
      </w:r>
      <w:r w:rsidR="00E02269">
        <w:rPr>
          <w:rFonts w:ascii="Arial" w:hAnsi="Arial" w:cs="Arial"/>
          <w:sz w:val="24"/>
          <w:szCs w:val="24"/>
        </w:rPr>
        <w:t xml:space="preserve"> in the appeal being deemed to have been withdrawn. The appellant only filed a condonation application and </w:t>
      </w:r>
      <w:r w:rsidR="0049692A">
        <w:rPr>
          <w:rFonts w:ascii="Arial" w:hAnsi="Arial" w:cs="Arial"/>
          <w:sz w:val="24"/>
          <w:szCs w:val="24"/>
        </w:rPr>
        <w:t xml:space="preserve">did </w:t>
      </w:r>
      <w:r w:rsidR="00E02269">
        <w:rPr>
          <w:rFonts w:ascii="Arial" w:hAnsi="Arial" w:cs="Arial"/>
          <w:sz w:val="24"/>
          <w:szCs w:val="24"/>
        </w:rPr>
        <w:t xml:space="preserve">not </w:t>
      </w:r>
      <w:r w:rsidR="0049692A">
        <w:rPr>
          <w:rFonts w:ascii="Arial" w:hAnsi="Arial" w:cs="Arial"/>
          <w:sz w:val="24"/>
          <w:szCs w:val="24"/>
        </w:rPr>
        <w:t xml:space="preserve">apply to </w:t>
      </w:r>
      <w:r w:rsidR="00E02269">
        <w:rPr>
          <w:rFonts w:ascii="Arial" w:hAnsi="Arial" w:cs="Arial"/>
          <w:sz w:val="24"/>
          <w:szCs w:val="24"/>
        </w:rPr>
        <w:t>reinstate the appeal.</w:t>
      </w:r>
      <w:r w:rsidR="00550AEE">
        <w:rPr>
          <w:rFonts w:ascii="Arial" w:hAnsi="Arial" w:cs="Arial"/>
          <w:sz w:val="24"/>
          <w:szCs w:val="24"/>
        </w:rPr>
        <w:t xml:space="preserve"> The condonation application is opposed by the respondent.</w:t>
      </w:r>
    </w:p>
    <w:p w:rsidR="00E02269" w:rsidRDefault="00E02269" w:rsidP="00E02269">
      <w:pPr>
        <w:spacing w:after="0" w:line="360" w:lineRule="auto"/>
        <w:jc w:val="both"/>
        <w:rPr>
          <w:rFonts w:ascii="Arial" w:hAnsi="Arial" w:cs="Arial"/>
          <w:sz w:val="24"/>
          <w:szCs w:val="24"/>
        </w:rPr>
      </w:pPr>
    </w:p>
    <w:p w:rsidR="00E02269" w:rsidRDefault="0049692A" w:rsidP="00E02269">
      <w:pPr>
        <w:spacing w:after="0" w:line="360" w:lineRule="auto"/>
        <w:jc w:val="both"/>
        <w:rPr>
          <w:rFonts w:ascii="Arial" w:hAnsi="Arial" w:cs="Arial"/>
          <w:sz w:val="24"/>
          <w:szCs w:val="24"/>
        </w:rPr>
      </w:pPr>
      <w:r>
        <w:rPr>
          <w:rFonts w:ascii="Arial" w:hAnsi="Arial" w:cs="Arial"/>
          <w:sz w:val="24"/>
          <w:szCs w:val="24"/>
        </w:rPr>
        <w:t>O</w:t>
      </w:r>
      <w:r w:rsidR="00E02269">
        <w:rPr>
          <w:rFonts w:ascii="Arial" w:hAnsi="Arial" w:cs="Arial"/>
          <w:sz w:val="24"/>
          <w:szCs w:val="24"/>
        </w:rPr>
        <w:t xml:space="preserve">n the question of condonation and reinstatement of the appeal, the </w:t>
      </w:r>
      <w:r>
        <w:rPr>
          <w:rFonts w:ascii="Arial" w:hAnsi="Arial" w:cs="Arial"/>
          <w:sz w:val="24"/>
          <w:szCs w:val="24"/>
        </w:rPr>
        <w:t xml:space="preserve">issue to be determined is whether </w:t>
      </w:r>
      <w:r w:rsidR="00E02269">
        <w:rPr>
          <w:rFonts w:ascii="Arial" w:hAnsi="Arial" w:cs="Arial"/>
          <w:sz w:val="24"/>
          <w:szCs w:val="24"/>
        </w:rPr>
        <w:t>appellant provided a reasonable and acceptable explanation for the non-compliance and whether there are reasonable prospects of success on appeal?</w:t>
      </w:r>
    </w:p>
    <w:p w:rsidR="00E02269" w:rsidRDefault="00E02269" w:rsidP="00E02269">
      <w:pPr>
        <w:spacing w:after="0" w:line="360" w:lineRule="auto"/>
        <w:jc w:val="both"/>
        <w:rPr>
          <w:rFonts w:ascii="Arial" w:hAnsi="Arial" w:cs="Arial"/>
          <w:sz w:val="24"/>
          <w:szCs w:val="24"/>
        </w:rPr>
      </w:pPr>
    </w:p>
    <w:p w:rsidR="00E02269" w:rsidRDefault="00E02269" w:rsidP="00E02269">
      <w:pPr>
        <w:spacing w:after="0" w:line="360" w:lineRule="auto"/>
        <w:jc w:val="both"/>
        <w:rPr>
          <w:rFonts w:ascii="Arial" w:hAnsi="Arial" w:cs="Arial"/>
          <w:sz w:val="24"/>
          <w:szCs w:val="24"/>
        </w:rPr>
      </w:pPr>
      <w:r w:rsidRPr="00AE1C30">
        <w:rPr>
          <w:rFonts w:ascii="Arial" w:hAnsi="Arial" w:cs="Arial"/>
          <w:i/>
          <w:sz w:val="24"/>
          <w:szCs w:val="24"/>
        </w:rPr>
        <w:t>Hel</w:t>
      </w:r>
      <w:r>
        <w:rPr>
          <w:rFonts w:ascii="Arial" w:hAnsi="Arial" w:cs="Arial"/>
          <w:i/>
          <w:sz w:val="24"/>
          <w:szCs w:val="24"/>
        </w:rPr>
        <w:t>d</w:t>
      </w:r>
      <w:r>
        <w:rPr>
          <w:rFonts w:ascii="Arial" w:hAnsi="Arial" w:cs="Arial"/>
          <w:sz w:val="24"/>
          <w:szCs w:val="24"/>
        </w:rPr>
        <w:t>,</w:t>
      </w:r>
      <w:r>
        <w:rPr>
          <w:rFonts w:ascii="Arial" w:hAnsi="Arial" w:cs="Arial"/>
          <w:i/>
          <w:sz w:val="24"/>
          <w:szCs w:val="24"/>
        </w:rPr>
        <w:t xml:space="preserve"> </w:t>
      </w:r>
      <w:r w:rsidR="0049692A">
        <w:rPr>
          <w:rFonts w:ascii="Arial" w:hAnsi="Arial" w:cs="Arial"/>
          <w:sz w:val="24"/>
          <w:szCs w:val="24"/>
        </w:rPr>
        <w:t>the condonation application was defective</w:t>
      </w:r>
      <w:r>
        <w:rPr>
          <w:rFonts w:ascii="Arial" w:hAnsi="Arial" w:cs="Arial"/>
          <w:sz w:val="24"/>
          <w:szCs w:val="24"/>
        </w:rPr>
        <w:t xml:space="preserve"> by </w:t>
      </w:r>
      <w:r w:rsidR="00FD0D33">
        <w:rPr>
          <w:rFonts w:ascii="Arial" w:hAnsi="Arial" w:cs="Arial"/>
          <w:sz w:val="24"/>
          <w:szCs w:val="24"/>
        </w:rPr>
        <w:t>reason of</w:t>
      </w:r>
      <w:r>
        <w:rPr>
          <w:rFonts w:ascii="Arial" w:hAnsi="Arial" w:cs="Arial"/>
          <w:sz w:val="24"/>
          <w:szCs w:val="24"/>
        </w:rPr>
        <w:t xml:space="preserve"> the comprehensive failure to provide an acceptable or satisfactory exp</w:t>
      </w:r>
      <w:r w:rsidR="0049692A">
        <w:rPr>
          <w:rFonts w:ascii="Arial" w:hAnsi="Arial" w:cs="Arial"/>
          <w:sz w:val="24"/>
          <w:szCs w:val="24"/>
        </w:rPr>
        <w:t>lanation for the non-compliance. I</w:t>
      </w:r>
      <w:r>
        <w:rPr>
          <w:rFonts w:ascii="Arial" w:hAnsi="Arial" w:cs="Arial"/>
          <w:sz w:val="24"/>
          <w:szCs w:val="24"/>
        </w:rPr>
        <w:t>t follow</w:t>
      </w:r>
      <w:r w:rsidR="0049692A">
        <w:rPr>
          <w:rFonts w:ascii="Arial" w:hAnsi="Arial" w:cs="Arial"/>
          <w:sz w:val="24"/>
          <w:szCs w:val="24"/>
        </w:rPr>
        <w:t>ed</w:t>
      </w:r>
      <w:r>
        <w:rPr>
          <w:rFonts w:ascii="Arial" w:hAnsi="Arial" w:cs="Arial"/>
          <w:sz w:val="24"/>
          <w:szCs w:val="24"/>
        </w:rPr>
        <w:t xml:space="preserve"> that the application for condonation would ordinarily fall to be dismissed for th</w:t>
      </w:r>
      <w:r w:rsidR="00FD0D33">
        <w:rPr>
          <w:rFonts w:ascii="Arial" w:hAnsi="Arial" w:cs="Arial"/>
          <w:sz w:val="24"/>
          <w:szCs w:val="24"/>
        </w:rPr>
        <w:t>is</w:t>
      </w:r>
      <w:r>
        <w:rPr>
          <w:rFonts w:ascii="Arial" w:hAnsi="Arial" w:cs="Arial"/>
          <w:sz w:val="24"/>
          <w:szCs w:val="24"/>
        </w:rPr>
        <w:t xml:space="preserve"> reason alone and without the need to consider the prospects of success of the appeal.</w:t>
      </w:r>
    </w:p>
    <w:p w:rsidR="00E02269" w:rsidRDefault="00E02269" w:rsidP="00E02269">
      <w:pPr>
        <w:spacing w:after="0" w:line="360" w:lineRule="auto"/>
        <w:jc w:val="both"/>
        <w:rPr>
          <w:rFonts w:ascii="Arial" w:hAnsi="Arial" w:cs="Arial"/>
          <w:sz w:val="24"/>
          <w:szCs w:val="24"/>
        </w:rPr>
      </w:pPr>
    </w:p>
    <w:p w:rsidR="00E02269" w:rsidRDefault="00E02269" w:rsidP="00E02269">
      <w:pPr>
        <w:spacing w:after="0" w:line="360" w:lineRule="auto"/>
        <w:jc w:val="both"/>
        <w:rPr>
          <w:rFonts w:ascii="Arial" w:hAnsi="Arial" w:cs="Arial"/>
          <w:sz w:val="24"/>
          <w:szCs w:val="24"/>
        </w:rPr>
      </w:pPr>
      <w:r w:rsidRPr="00AE1C30">
        <w:rPr>
          <w:rFonts w:ascii="Arial" w:hAnsi="Arial" w:cs="Arial"/>
          <w:i/>
          <w:sz w:val="24"/>
          <w:szCs w:val="24"/>
        </w:rPr>
        <w:t>Held</w:t>
      </w:r>
      <w:r>
        <w:rPr>
          <w:rFonts w:ascii="Arial" w:hAnsi="Arial" w:cs="Arial"/>
          <w:sz w:val="24"/>
          <w:szCs w:val="24"/>
        </w:rPr>
        <w:t>, because of the public importance of the case</w:t>
      </w:r>
      <w:r w:rsidR="00C540B4">
        <w:rPr>
          <w:rFonts w:ascii="Arial" w:hAnsi="Arial" w:cs="Arial"/>
          <w:sz w:val="24"/>
          <w:szCs w:val="24"/>
        </w:rPr>
        <w:t>,</w:t>
      </w:r>
      <w:r>
        <w:rPr>
          <w:rFonts w:ascii="Arial" w:hAnsi="Arial" w:cs="Arial"/>
          <w:sz w:val="24"/>
          <w:szCs w:val="24"/>
        </w:rPr>
        <w:t xml:space="preserve"> which involve</w:t>
      </w:r>
      <w:r w:rsidR="00C540B4">
        <w:rPr>
          <w:rFonts w:ascii="Arial" w:hAnsi="Arial" w:cs="Arial"/>
          <w:sz w:val="24"/>
          <w:szCs w:val="24"/>
        </w:rPr>
        <w:t>s</w:t>
      </w:r>
      <w:r>
        <w:rPr>
          <w:rFonts w:ascii="Arial" w:hAnsi="Arial" w:cs="Arial"/>
          <w:sz w:val="24"/>
          <w:szCs w:val="24"/>
        </w:rPr>
        <w:t xml:space="preserve"> the interests of a minor child, the court considered the merits of the case.</w:t>
      </w:r>
    </w:p>
    <w:p w:rsidR="00E02269" w:rsidRDefault="00E02269" w:rsidP="00E02269">
      <w:pPr>
        <w:spacing w:after="0" w:line="360" w:lineRule="auto"/>
        <w:jc w:val="both"/>
        <w:rPr>
          <w:rFonts w:ascii="Arial" w:hAnsi="Arial" w:cs="Arial"/>
          <w:sz w:val="24"/>
          <w:szCs w:val="24"/>
        </w:rPr>
      </w:pPr>
    </w:p>
    <w:p w:rsidR="00E02269" w:rsidRPr="003935D1" w:rsidRDefault="00E02269" w:rsidP="00E02269">
      <w:pPr>
        <w:spacing w:after="0" w:line="360" w:lineRule="auto"/>
        <w:jc w:val="both"/>
        <w:rPr>
          <w:rFonts w:ascii="Arial" w:hAnsi="Arial" w:cs="Arial"/>
          <w:sz w:val="24"/>
          <w:szCs w:val="24"/>
        </w:rPr>
      </w:pPr>
      <w:r w:rsidRPr="005033B5">
        <w:rPr>
          <w:rFonts w:ascii="Arial" w:hAnsi="Arial" w:cs="Arial"/>
          <w:i/>
          <w:sz w:val="24"/>
          <w:szCs w:val="24"/>
        </w:rPr>
        <w:t>Held</w:t>
      </w:r>
      <w:r>
        <w:rPr>
          <w:rFonts w:ascii="Arial" w:hAnsi="Arial" w:cs="Arial"/>
          <w:sz w:val="24"/>
          <w:szCs w:val="24"/>
        </w:rPr>
        <w:t>, after the respondent withdrew his challenge to the validity of the will, any basis for the High Court to assume jurisdiction fell away. The High Court did not err by declining jurisdiction when the legislature specifically ordained the children’s court to hear and determine applications for guardianship.</w:t>
      </w:r>
    </w:p>
    <w:p w:rsidR="00E02269" w:rsidRDefault="00E02269" w:rsidP="00E02269">
      <w:pPr>
        <w:spacing w:after="0" w:line="360" w:lineRule="auto"/>
        <w:jc w:val="both"/>
        <w:rPr>
          <w:rFonts w:ascii="Arial" w:hAnsi="Arial" w:cs="Arial"/>
          <w:sz w:val="24"/>
          <w:szCs w:val="24"/>
        </w:rPr>
      </w:pPr>
    </w:p>
    <w:p w:rsidR="00E02269" w:rsidRPr="003935D1" w:rsidRDefault="00E02269" w:rsidP="00E02269">
      <w:pPr>
        <w:spacing w:after="0" w:line="360" w:lineRule="auto"/>
        <w:jc w:val="both"/>
        <w:rPr>
          <w:rFonts w:ascii="Arial" w:hAnsi="Arial" w:cs="Arial"/>
          <w:sz w:val="24"/>
          <w:szCs w:val="24"/>
        </w:rPr>
      </w:pPr>
      <w:r>
        <w:rPr>
          <w:rFonts w:ascii="Arial" w:hAnsi="Arial" w:cs="Arial"/>
          <w:sz w:val="24"/>
          <w:szCs w:val="24"/>
        </w:rPr>
        <w:t>Consequently, the application for condonation is dismissed with costs and the matter is struck from the roll</w:t>
      </w:r>
      <w:r w:rsidR="00550AEE">
        <w:rPr>
          <w:rFonts w:ascii="Arial" w:hAnsi="Arial" w:cs="Arial"/>
          <w:sz w:val="24"/>
          <w:szCs w:val="24"/>
        </w:rPr>
        <w:t xml:space="preserve"> with costs</w:t>
      </w:r>
      <w:r>
        <w:rPr>
          <w:rFonts w:ascii="Arial" w:hAnsi="Arial" w:cs="Arial"/>
          <w:sz w:val="24"/>
          <w:szCs w:val="24"/>
        </w:rPr>
        <w:t>.</w:t>
      </w:r>
      <w:r w:rsidR="009A19CD">
        <w:rPr>
          <w:rFonts w:ascii="Arial" w:hAnsi="Arial" w:cs="Arial"/>
          <w:sz w:val="24"/>
          <w:szCs w:val="24"/>
        </w:rPr>
        <w:t xml:space="preserve"> The orders of the High Court </w:t>
      </w:r>
      <w:r w:rsidR="000C28BD">
        <w:rPr>
          <w:rFonts w:ascii="Arial" w:hAnsi="Arial" w:cs="Arial"/>
          <w:sz w:val="24"/>
          <w:szCs w:val="24"/>
        </w:rPr>
        <w:t>are</w:t>
      </w:r>
      <w:r w:rsidR="009A19CD">
        <w:rPr>
          <w:rFonts w:ascii="Arial" w:hAnsi="Arial" w:cs="Arial"/>
          <w:sz w:val="24"/>
          <w:szCs w:val="24"/>
        </w:rPr>
        <w:t xml:space="preserve"> replaced by a single order declining jurisdiction.</w:t>
      </w:r>
    </w:p>
    <w:p w:rsidR="00EF6EF1" w:rsidRPr="001C25CA" w:rsidRDefault="00EF6EF1" w:rsidP="002B6F2A">
      <w:pPr>
        <w:pStyle w:val="NoSpacing"/>
        <w:jc w:val="both"/>
        <w:rPr>
          <w:rFonts w:ascii="Arial" w:hAnsi="Arial" w:cs="Arial"/>
          <w:sz w:val="24"/>
          <w:szCs w:val="24"/>
        </w:rPr>
      </w:pP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957589" w:rsidRPr="001C25CA" w:rsidRDefault="008C3367" w:rsidP="00957589">
      <w:pPr>
        <w:pBdr>
          <w:top w:val="single" w:sz="12" w:space="1" w:color="auto"/>
          <w:bottom w:val="single" w:sz="12" w:space="1" w:color="auto"/>
        </w:pBdr>
        <w:spacing w:after="0" w:line="240" w:lineRule="auto"/>
        <w:jc w:val="center"/>
        <w:rPr>
          <w:rFonts w:ascii="Arial" w:hAnsi="Arial" w:cs="Arial"/>
          <w:b/>
          <w:sz w:val="24"/>
          <w:szCs w:val="24"/>
        </w:rPr>
      </w:pPr>
      <w:r w:rsidRPr="001C25CA">
        <w:rPr>
          <w:rFonts w:ascii="Arial" w:hAnsi="Arial" w:cs="Arial"/>
          <w:b/>
          <w:sz w:val="24"/>
          <w:szCs w:val="24"/>
        </w:rPr>
        <w:t>APPEAL JUDGMENT</w:t>
      </w:r>
    </w:p>
    <w:p w:rsidR="008C3367" w:rsidRPr="001C25CA"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C25CA" w:rsidRDefault="00B40CD3" w:rsidP="00A26B21">
      <w:pPr>
        <w:pStyle w:val="NoSpacing"/>
        <w:rPr>
          <w:rFonts w:ascii="Arial" w:hAnsi="Arial" w:cs="Arial"/>
          <w:sz w:val="24"/>
          <w:szCs w:val="24"/>
        </w:rPr>
      </w:pPr>
    </w:p>
    <w:p w:rsidR="008C3367" w:rsidRPr="001C25CA" w:rsidRDefault="0071730B" w:rsidP="00AB791E">
      <w:pPr>
        <w:spacing w:after="0" w:line="480" w:lineRule="auto"/>
        <w:jc w:val="both"/>
        <w:rPr>
          <w:rFonts w:ascii="Arial" w:hAnsi="Arial" w:cs="Arial"/>
          <w:sz w:val="24"/>
          <w:szCs w:val="24"/>
        </w:rPr>
      </w:pPr>
      <w:r>
        <w:rPr>
          <w:rFonts w:ascii="Arial" w:hAnsi="Arial" w:cs="Arial"/>
          <w:sz w:val="24"/>
          <w:szCs w:val="24"/>
        </w:rPr>
        <w:t>SMUTS</w:t>
      </w:r>
      <w:r w:rsidRPr="001C25CA">
        <w:rPr>
          <w:rFonts w:ascii="Arial" w:hAnsi="Arial" w:cs="Arial"/>
          <w:sz w:val="24"/>
          <w:szCs w:val="24"/>
        </w:rPr>
        <w:t xml:space="preserve"> JA </w:t>
      </w:r>
      <w:r w:rsidR="008C3367" w:rsidRPr="001C25CA">
        <w:rPr>
          <w:rFonts w:ascii="Arial" w:hAnsi="Arial" w:cs="Arial"/>
          <w:sz w:val="24"/>
          <w:szCs w:val="24"/>
        </w:rPr>
        <w:t>(</w:t>
      </w:r>
      <w:r w:rsidR="0008263C">
        <w:rPr>
          <w:rFonts w:ascii="Arial" w:hAnsi="Arial" w:cs="Arial"/>
          <w:sz w:val="24"/>
          <w:szCs w:val="24"/>
        </w:rPr>
        <w:t xml:space="preserve">SHIVUTE CJ and </w:t>
      </w:r>
      <w:r w:rsidR="00BE44A1">
        <w:rPr>
          <w:rFonts w:ascii="Arial" w:hAnsi="Arial" w:cs="Arial"/>
          <w:sz w:val="24"/>
          <w:szCs w:val="24"/>
        </w:rPr>
        <w:t>HOFF JA</w:t>
      </w:r>
      <w:r w:rsidR="00CD0281" w:rsidRPr="001C25CA">
        <w:rPr>
          <w:rFonts w:ascii="Arial" w:hAnsi="Arial" w:cs="Arial"/>
          <w:sz w:val="24"/>
          <w:szCs w:val="24"/>
        </w:rPr>
        <w:t xml:space="preserve"> concurring</w:t>
      </w:r>
      <w:r w:rsidR="008C3367" w:rsidRPr="001C25CA">
        <w:rPr>
          <w:rFonts w:ascii="Arial" w:hAnsi="Arial" w:cs="Arial"/>
          <w:sz w:val="24"/>
          <w:szCs w:val="24"/>
        </w:rPr>
        <w:t>):</w:t>
      </w:r>
    </w:p>
    <w:p w:rsidR="00430321" w:rsidRDefault="00B9404B"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w:t>
      </w:r>
      <w:r w:rsidR="007F76A6">
        <w:rPr>
          <w:rFonts w:ascii="Arial" w:hAnsi="Arial" w:cs="Arial"/>
          <w:sz w:val="24"/>
          <w:szCs w:val="24"/>
        </w:rPr>
        <w:t>his</w:t>
      </w:r>
      <w:r w:rsidR="00AE15C1">
        <w:rPr>
          <w:rFonts w:ascii="Arial" w:hAnsi="Arial" w:cs="Arial"/>
          <w:sz w:val="24"/>
          <w:szCs w:val="24"/>
        </w:rPr>
        <w:t xml:space="preserve"> </w:t>
      </w:r>
      <w:r w:rsidR="00123F14">
        <w:rPr>
          <w:rFonts w:ascii="Arial" w:hAnsi="Arial" w:cs="Arial"/>
          <w:sz w:val="24"/>
          <w:szCs w:val="24"/>
        </w:rPr>
        <w:t xml:space="preserve">dispute concerns </w:t>
      </w:r>
      <w:r w:rsidR="001A709E">
        <w:rPr>
          <w:rFonts w:ascii="Arial" w:hAnsi="Arial" w:cs="Arial"/>
          <w:sz w:val="24"/>
          <w:szCs w:val="24"/>
        </w:rPr>
        <w:t>the guardianship of a young minor child, G, aged seven years</w:t>
      </w:r>
      <w:r w:rsidR="0046269D">
        <w:rPr>
          <w:rFonts w:ascii="Arial" w:hAnsi="Arial" w:cs="Arial"/>
          <w:sz w:val="24"/>
          <w:szCs w:val="24"/>
        </w:rPr>
        <w:t>,</w:t>
      </w:r>
      <w:r w:rsidR="001A709E">
        <w:rPr>
          <w:rFonts w:ascii="Arial" w:hAnsi="Arial" w:cs="Arial"/>
          <w:sz w:val="24"/>
          <w:szCs w:val="24"/>
        </w:rPr>
        <w:t xml:space="preserve"> following the sad death of her mother on 19 September</w:t>
      </w:r>
      <w:r w:rsidR="0046269D">
        <w:rPr>
          <w:rFonts w:ascii="Arial" w:hAnsi="Arial" w:cs="Arial"/>
          <w:sz w:val="24"/>
          <w:szCs w:val="24"/>
        </w:rPr>
        <w:t xml:space="preserve"> 2017</w:t>
      </w:r>
      <w:r w:rsidR="001A709E">
        <w:rPr>
          <w:rFonts w:ascii="Arial" w:hAnsi="Arial" w:cs="Arial"/>
          <w:sz w:val="24"/>
          <w:szCs w:val="24"/>
        </w:rPr>
        <w:t>. The deceased mother was not married to the father of G</w:t>
      </w:r>
      <w:r w:rsidR="0046269D">
        <w:rPr>
          <w:rFonts w:ascii="Arial" w:hAnsi="Arial" w:cs="Arial"/>
          <w:sz w:val="24"/>
          <w:szCs w:val="24"/>
        </w:rPr>
        <w:t>, the respondent in this appeal</w:t>
      </w:r>
      <w:r w:rsidR="001A709E">
        <w:rPr>
          <w:rFonts w:ascii="Arial" w:hAnsi="Arial" w:cs="Arial"/>
          <w:sz w:val="24"/>
          <w:szCs w:val="24"/>
        </w:rPr>
        <w:t>. The</w:t>
      </w:r>
      <w:r w:rsidR="00C16E89">
        <w:rPr>
          <w:rFonts w:ascii="Arial" w:hAnsi="Arial" w:cs="Arial"/>
          <w:sz w:val="24"/>
          <w:szCs w:val="24"/>
        </w:rPr>
        <w:t xml:space="preserve"> issue for determination in this </w:t>
      </w:r>
      <w:r w:rsidR="000C4A72">
        <w:rPr>
          <w:rFonts w:ascii="Arial" w:hAnsi="Arial" w:cs="Arial"/>
          <w:sz w:val="24"/>
          <w:szCs w:val="24"/>
        </w:rPr>
        <w:t>c</w:t>
      </w:r>
      <w:r w:rsidR="00C16E89">
        <w:rPr>
          <w:rFonts w:ascii="Arial" w:hAnsi="Arial" w:cs="Arial"/>
          <w:sz w:val="24"/>
          <w:szCs w:val="24"/>
        </w:rPr>
        <w:t>ourt i</w:t>
      </w:r>
      <w:r w:rsidR="001A709E">
        <w:rPr>
          <w:rFonts w:ascii="Arial" w:hAnsi="Arial" w:cs="Arial"/>
          <w:sz w:val="24"/>
          <w:szCs w:val="24"/>
        </w:rPr>
        <w:t xml:space="preserve">s whether </w:t>
      </w:r>
      <w:r w:rsidR="00C16E89">
        <w:rPr>
          <w:rFonts w:ascii="Arial" w:hAnsi="Arial" w:cs="Arial"/>
          <w:sz w:val="24"/>
          <w:szCs w:val="24"/>
        </w:rPr>
        <w:t>the High Court</w:t>
      </w:r>
      <w:r w:rsidR="001A709E">
        <w:rPr>
          <w:rFonts w:ascii="Arial" w:hAnsi="Arial" w:cs="Arial"/>
          <w:sz w:val="24"/>
          <w:szCs w:val="24"/>
        </w:rPr>
        <w:t xml:space="preserve"> had </w:t>
      </w:r>
      <w:r w:rsidR="00CB5338">
        <w:rPr>
          <w:rFonts w:ascii="Arial" w:hAnsi="Arial" w:cs="Arial"/>
          <w:sz w:val="24"/>
          <w:szCs w:val="24"/>
        </w:rPr>
        <w:t xml:space="preserve">erred in declining </w:t>
      </w:r>
      <w:r w:rsidR="00956170">
        <w:rPr>
          <w:rFonts w:ascii="Arial" w:hAnsi="Arial" w:cs="Arial"/>
          <w:sz w:val="24"/>
          <w:szCs w:val="24"/>
        </w:rPr>
        <w:t xml:space="preserve">to exercise </w:t>
      </w:r>
      <w:r w:rsidR="001A709E">
        <w:rPr>
          <w:rFonts w:ascii="Arial" w:hAnsi="Arial" w:cs="Arial"/>
          <w:sz w:val="24"/>
          <w:szCs w:val="24"/>
        </w:rPr>
        <w:t>jurisdiction to determine an application for guardianship</w:t>
      </w:r>
      <w:r w:rsidR="00975DE7">
        <w:rPr>
          <w:rFonts w:ascii="Arial" w:hAnsi="Arial" w:cs="Arial"/>
          <w:sz w:val="24"/>
          <w:szCs w:val="24"/>
        </w:rPr>
        <w:t xml:space="preserve"> as a court of first instance</w:t>
      </w:r>
      <w:r w:rsidR="001A709E">
        <w:rPr>
          <w:rFonts w:ascii="Arial" w:hAnsi="Arial" w:cs="Arial"/>
          <w:sz w:val="24"/>
          <w:szCs w:val="24"/>
        </w:rPr>
        <w:t xml:space="preserve"> which would ordinarily resort under the jurisdiction of the </w:t>
      </w:r>
      <w:r w:rsidR="00CB5338">
        <w:rPr>
          <w:rFonts w:ascii="Arial" w:hAnsi="Arial" w:cs="Arial"/>
          <w:sz w:val="24"/>
          <w:szCs w:val="24"/>
        </w:rPr>
        <w:t>children’s court</w:t>
      </w:r>
      <w:r w:rsidR="001A709E">
        <w:rPr>
          <w:rFonts w:ascii="Arial" w:hAnsi="Arial" w:cs="Arial"/>
          <w:sz w:val="24"/>
          <w:szCs w:val="24"/>
        </w:rPr>
        <w:t xml:space="preserve"> established under the </w:t>
      </w:r>
      <w:r w:rsidR="000C4A72">
        <w:rPr>
          <w:rFonts w:ascii="Arial" w:hAnsi="Arial" w:cs="Arial"/>
          <w:sz w:val="24"/>
          <w:szCs w:val="24"/>
        </w:rPr>
        <w:t>Child Care and Protection Act</w:t>
      </w:r>
      <w:r w:rsidR="0046269D">
        <w:rPr>
          <w:rFonts w:ascii="Arial" w:hAnsi="Arial" w:cs="Arial"/>
          <w:sz w:val="24"/>
          <w:szCs w:val="24"/>
        </w:rPr>
        <w:t xml:space="preserve"> 3 of 2015 (the Act)</w:t>
      </w:r>
      <w:r w:rsidR="001A709E">
        <w:rPr>
          <w:rFonts w:ascii="Arial" w:hAnsi="Arial" w:cs="Arial"/>
          <w:sz w:val="24"/>
          <w:szCs w:val="24"/>
        </w:rPr>
        <w:t xml:space="preserve">. The High Court found that the </w:t>
      </w:r>
      <w:r w:rsidR="00CB5338">
        <w:rPr>
          <w:rFonts w:ascii="Arial" w:hAnsi="Arial" w:cs="Arial"/>
          <w:sz w:val="24"/>
          <w:szCs w:val="24"/>
        </w:rPr>
        <w:t>children’s court</w:t>
      </w:r>
      <w:r w:rsidR="001A709E">
        <w:rPr>
          <w:rFonts w:ascii="Arial" w:hAnsi="Arial" w:cs="Arial"/>
          <w:sz w:val="24"/>
          <w:szCs w:val="24"/>
        </w:rPr>
        <w:t xml:space="preserve"> has jurisdiction to hear and determine </w:t>
      </w:r>
      <w:r w:rsidR="00956170">
        <w:rPr>
          <w:rFonts w:ascii="Arial" w:hAnsi="Arial" w:cs="Arial"/>
          <w:sz w:val="24"/>
          <w:szCs w:val="24"/>
        </w:rPr>
        <w:t>the guardianship of G</w:t>
      </w:r>
      <w:r w:rsidR="00C540B4">
        <w:rPr>
          <w:rFonts w:ascii="Arial" w:hAnsi="Arial" w:cs="Arial"/>
          <w:sz w:val="24"/>
          <w:szCs w:val="24"/>
        </w:rPr>
        <w:t>,</w:t>
      </w:r>
      <w:r w:rsidR="00956170">
        <w:rPr>
          <w:rFonts w:ascii="Arial" w:hAnsi="Arial" w:cs="Arial"/>
          <w:sz w:val="24"/>
          <w:szCs w:val="24"/>
        </w:rPr>
        <w:t xml:space="preserve"> including the effect of the </w:t>
      </w:r>
      <w:r w:rsidR="00C540B4">
        <w:rPr>
          <w:rFonts w:ascii="Arial" w:hAnsi="Arial" w:cs="Arial"/>
          <w:sz w:val="24"/>
          <w:szCs w:val="24"/>
        </w:rPr>
        <w:t xml:space="preserve">first </w:t>
      </w:r>
      <w:r w:rsidR="00956170">
        <w:rPr>
          <w:rFonts w:ascii="Arial" w:hAnsi="Arial" w:cs="Arial"/>
          <w:sz w:val="24"/>
          <w:szCs w:val="24"/>
        </w:rPr>
        <w:t>appellant’s</w:t>
      </w:r>
      <w:r w:rsidR="001A709E">
        <w:rPr>
          <w:rFonts w:ascii="Arial" w:hAnsi="Arial" w:cs="Arial"/>
          <w:sz w:val="24"/>
          <w:szCs w:val="24"/>
        </w:rPr>
        <w:t xml:space="preserve"> </w:t>
      </w:r>
      <w:r w:rsidR="00C16E89">
        <w:rPr>
          <w:rFonts w:ascii="Arial" w:hAnsi="Arial" w:cs="Arial"/>
          <w:sz w:val="24"/>
          <w:szCs w:val="24"/>
        </w:rPr>
        <w:t>nomination</w:t>
      </w:r>
      <w:r w:rsidR="00956170">
        <w:rPr>
          <w:rFonts w:ascii="Arial" w:hAnsi="Arial" w:cs="Arial"/>
          <w:sz w:val="24"/>
          <w:szCs w:val="24"/>
        </w:rPr>
        <w:t xml:space="preserve"> as a guardian of G</w:t>
      </w:r>
      <w:r w:rsidR="00C16E89">
        <w:rPr>
          <w:rFonts w:ascii="Arial" w:hAnsi="Arial" w:cs="Arial"/>
          <w:sz w:val="24"/>
          <w:szCs w:val="24"/>
        </w:rPr>
        <w:t xml:space="preserve"> in a </w:t>
      </w:r>
      <w:r w:rsidR="001A709E">
        <w:rPr>
          <w:rFonts w:ascii="Arial" w:hAnsi="Arial" w:cs="Arial"/>
          <w:sz w:val="24"/>
          <w:szCs w:val="24"/>
        </w:rPr>
        <w:t xml:space="preserve">testamentary </w:t>
      </w:r>
      <w:r w:rsidR="00A73BEC">
        <w:rPr>
          <w:rFonts w:ascii="Arial" w:hAnsi="Arial" w:cs="Arial"/>
          <w:sz w:val="24"/>
          <w:szCs w:val="24"/>
        </w:rPr>
        <w:t>disposition to the exclusion of the respondent</w:t>
      </w:r>
      <w:r w:rsidR="00CB5338">
        <w:rPr>
          <w:rFonts w:ascii="Arial" w:hAnsi="Arial" w:cs="Arial"/>
          <w:sz w:val="24"/>
          <w:szCs w:val="24"/>
        </w:rPr>
        <w:t xml:space="preserve"> and</w:t>
      </w:r>
      <w:r w:rsidR="00550AEE">
        <w:rPr>
          <w:rFonts w:ascii="Arial" w:hAnsi="Arial" w:cs="Arial"/>
          <w:sz w:val="24"/>
          <w:szCs w:val="24"/>
        </w:rPr>
        <w:t>,</w:t>
      </w:r>
      <w:r w:rsidR="00CB5338">
        <w:rPr>
          <w:rFonts w:ascii="Arial" w:hAnsi="Arial" w:cs="Arial"/>
          <w:sz w:val="24"/>
          <w:szCs w:val="24"/>
        </w:rPr>
        <w:t xml:space="preserve"> </w:t>
      </w:r>
      <w:r w:rsidR="00956170">
        <w:rPr>
          <w:rFonts w:ascii="Arial" w:hAnsi="Arial" w:cs="Arial"/>
          <w:sz w:val="24"/>
          <w:szCs w:val="24"/>
        </w:rPr>
        <w:t>as a consequence</w:t>
      </w:r>
      <w:r w:rsidR="00550AEE">
        <w:rPr>
          <w:rFonts w:ascii="Arial" w:hAnsi="Arial" w:cs="Arial"/>
          <w:sz w:val="24"/>
          <w:szCs w:val="24"/>
        </w:rPr>
        <w:t>,</w:t>
      </w:r>
      <w:r w:rsidR="00956170">
        <w:rPr>
          <w:rFonts w:ascii="Arial" w:hAnsi="Arial" w:cs="Arial"/>
          <w:sz w:val="24"/>
          <w:szCs w:val="24"/>
        </w:rPr>
        <w:t xml:space="preserve"> </w:t>
      </w:r>
      <w:r w:rsidR="00CB5338">
        <w:rPr>
          <w:rFonts w:ascii="Arial" w:hAnsi="Arial" w:cs="Arial"/>
          <w:sz w:val="24"/>
          <w:szCs w:val="24"/>
        </w:rPr>
        <w:t>declined jurisdiction</w:t>
      </w:r>
      <w:r w:rsidR="00A73BEC">
        <w:rPr>
          <w:rFonts w:ascii="Arial" w:hAnsi="Arial" w:cs="Arial"/>
          <w:sz w:val="24"/>
          <w:szCs w:val="24"/>
        </w:rPr>
        <w:t>.</w:t>
      </w:r>
    </w:p>
    <w:p w:rsidR="00A73BEC" w:rsidRDefault="00A73BEC" w:rsidP="00AB791E">
      <w:pPr>
        <w:pStyle w:val="NoSpacing"/>
        <w:spacing w:line="480" w:lineRule="auto"/>
        <w:jc w:val="both"/>
        <w:rPr>
          <w:rFonts w:ascii="Arial" w:hAnsi="Arial" w:cs="Arial"/>
          <w:sz w:val="24"/>
          <w:szCs w:val="24"/>
        </w:rPr>
      </w:pPr>
    </w:p>
    <w:p w:rsidR="00A73BEC" w:rsidRDefault="00A73BEC"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w:t>
      </w:r>
      <w:r w:rsidR="00975DE7">
        <w:rPr>
          <w:rFonts w:ascii="Arial" w:hAnsi="Arial" w:cs="Arial"/>
          <w:sz w:val="24"/>
          <w:szCs w:val="24"/>
        </w:rPr>
        <w:t xml:space="preserve"> designated</w:t>
      </w:r>
      <w:r>
        <w:rPr>
          <w:rFonts w:ascii="Arial" w:hAnsi="Arial" w:cs="Arial"/>
          <w:sz w:val="24"/>
          <w:szCs w:val="24"/>
        </w:rPr>
        <w:t xml:space="preserve"> first appellant, </w:t>
      </w:r>
      <w:r w:rsidR="0046269D">
        <w:rPr>
          <w:rFonts w:ascii="Arial" w:hAnsi="Arial" w:cs="Arial"/>
          <w:sz w:val="24"/>
          <w:szCs w:val="24"/>
        </w:rPr>
        <w:t>a sister to the deceased mother</w:t>
      </w:r>
      <w:r w:rsidR="00CB5338">
        <w:rPr>
          <w:rFonts w:ascii="Arial" w:hAnsi="Arial" w:cs="Arial"/>
          <w:sz w:val="24"/>
          <w:szCs w:val="24"/>
        </w:rPr>
        <w:t xml:space="preserve"> of G,</w:t>
      </w:r>
      <w:r w:rsidR="0046269D">
        <w:rPr>
          <w:rFonts w:ascii="Arial" w:hAnsi="Arial" w:cs="Arial"/>
          <w:sz w:val="24"/>
          <w:szCs w:val="24"/>
        </w:rPr>
        <w:t xml:space="preserve"> was </w:t>
      </w:r>
      <w:r>
        <w:rPr>
          <w:rFonts w:ascii="Arial" w:hAnsi="Arial" w:cs="Arial"/>
          <w:sz w:val="24"/>
          <w:szCs w:val="24"/>
        </w:rPr>
        <w:t xml:space="preserve">nominated as guardian by the deceased mother </w:t>
      </w:r>
      <w:r w:rsidR="0046269D">
        <w:rPr>
          <w:rFonts w:ascii="Arial" w:hAnsi="Arial" w:cs="Arial"/>
          <w:sz w:val="24"/>
          <w:szCs w:val="24"/>
        </w:rPr>
        <w:t>in her las</w:t>
      </w:r>
      <w:r w:rsidR="00CB5338">
        <w:rPr>
          <w:rFonts w:ascii="Arial" w:hAnsi="Arial" w:cs="Arial"/>
          <w:sz w:val="24"/>
          <w:szCs w:val="24"/>
        </w:rPr>
        <w:t>t</w:t>
      </w:r>
      <w:r w:rsidR="0046269D">
        <w:rPr>
          <w:rFonts w:ascii="Arial" w:hAnsi="Arial" w:cs="Arial"/>
          <w:sz w:val="24"/>
          <w:szCs w:val="24"/>
        </w:rPr>
        <w:t xml:space="preserve"> will. Th</w:t>
      </w:r>
      <w:r w:rsidR="00975DE7">
        <w:rPr>
          <w:rFonts w:ascii="Arial" w:hAnsi="Arial" w:cs="Arial"/>
          <w:sz w:val="24"/>
          <w:szCs w:val="24"/>
        </w:rPr>
        <w:t>is</w:t>
      </w:r>
      <w:r w:rsidR="0046269D">
        <w:rPr>
          <w:rFonts w:ascii="Arial" w:hAnsi="Arial" w:cs="Arial"/>
          <w:sz w:val="24"/>
          <w:szCs w:val="24"/>
        </w:rPr>
        <w:t xml:space="preserve"> appellant </w:t>
      </w:r>
      <w:r>
        <w:rPr>
          <w:rFonts w:ascii="Arial" w:hAnsi="Arial" w:cs="Arial"/>
          <w:sz w:val="24"/>
          <w:szCs w:val="24"/>
        </w:rPr>
        <w:t>together with her parents who assist her in caring for G</w:t>
      </w:r>
      <w:r w:rsidR="00CB5338">
        <w:rPr>
          <w:rFonts w:ascii="Arial" w:hAnsi="Arial" w:cs="Arial"/>
          <w:sz w:val="24"/>
          <w:szCs w:val="24"/>
        </w:rPr>
        <w:t xml:space="preserve"> (</w:t>
      </w:r>
      <w:r w:rsidR="00956170">
        <w:rPr>
          <w:rFonts w:ascii="Arial" w:hAnsi="Arial" w:cs="Arial"/>
          <w:sz w:val="24"/>
          <w:szCs w:val="24"/>
        </w:rPr>
        <w:t xml:space="preserve">cited as </w:t>
      </w:r>
      <w:r w:rsidR="00CB5338">
        <w:rPr>
          <w:rFonts w:ascii="Arial" w:hAnsi="Arial" w:cs="Arial"/>
          <w:sz w:val="24"/>
          <w:szCs w:val="24"/>
        </w:rPr>
        <w:t>second and third appellants)</w:t>
      </w:r>
      <w:r>
        <w:rPr>
          <w:rFonts w:ascii="Arial" w:hAnsi="Arial" w:cs="Arial"/>
          <w:sz w:val="24"/>
          <w:szCs w:val="24"/>
        </w:rPr>
        <w:t>, seek to appeal against the High Court’s ruling.</w:t>
      </w:r>
      <w:r w:rsidR="00956170">
        <w:rPr>
          <w:rFonts w:ascii="Arial" w:hAnsi="Arial" w:cs="Arial"/>
          <w:sz w:val="24"/>
          <w:szCs w:val="24"/>
        </w:rPr>
        <w:t xml:space="preserve"> In the application </w:t>
      </w:r>
      <w:r w:rsidR="00FD0D33">
        <w:rPr>
          <w:rFonts w:ascii="Arial" w:hAnsi="Arial" w:cs="Arial"/>
          <w:sz w:val="24"/>
          <w:szCs w:val="24"/>
        </w:rPr>
        <w:t xml:space="preserve">proceedings </w:t>
      </w:r>
      <w:r w:rsidR="00956170">
        <w:rPr>
          <w:rFonts w:ascii="Arial" w:hAnsi="Arial" w:cs="Arial"/>
          <w:sz w:val="24"/>
          <w:szCs w:val="24"/>
        </w:rPr>
        <w:t xml:space="preserve">which </w:t>
      </w:r>
      <w:r w:rsidR="00FD0D33">
        <w:rPr>
          <w:rFonts w:ascii="Arial" w:hAnsi="Arial" w:cs="Arial"/>
          <w:sz w:val="24"/>
          <w:szCs w:val="24"/>
        </w:rPr>
        <w:t>form</w:t>
      </w:r>
      <w:r w:rsidR="00956170">
        <w:rPr>
          <w:rFonts w:ascii="Arial" w:hAnsi="Arial" w:cs="Arial"/>
          <w:sz w:val="24"/>
          <w:szCs w:val="24"/>
        </w:rPr>
        <w:t xml:space="preserve"> the subject of this appeal, the first appellant was the sole applicant. I have not traced a joinder application by her parents in the record. It is not clear why they have been cited as second and third appellants</w:t>
      </w:r>
      <w:r w:rsidR="00550AEE">
        <w:rPr>
          <w:rFonts w:ascii="Arial" w:hAnsi="Arial" w:cs="Arial"/>
          <w:sz w:val="24"/>
          <w:szCs w:val="24"/>
        </w:rPr>
        <w:t>, although they were referred to as fellow applicants in a</w:t>
      </w:r>
      <w:r w:rsidR="00FD0D33">
        <w:rPr>
          <w:rFonts w:ascii="Arial" w:hAnsi="Arial" w:cs="Arial"/>
          <w:sz w:val="24"/>
          <w:szCs w:val="24"/>
        </w:rPr>
        <w:t xml:space="preserve"> subsequent</w:t>
      </w:r>
      <w:r w:rsidR="00550AEE">
        <w:rPr>
          <w:rFonts w:ascii="Arial" w:hAnsi="Arial" w:cs="Arial"/>
          <w:sz w:val="24"/>
          <w:szCs w:val="24"/>
        </w:rPr>
        <w:t xml:space="preserve"> interlocutory proceeding brought to stay the proceedings in the children’s court. But they did not file any affidavits in that </w:t>
      </w:r>
      <w:r w:rsidR="00FD0D33">
        <w:rPr>
          <w:rFonts w:ascii="Arial" w:hAnsi="Arial" w:cs="Arial"/>
          <w:sz w:val="24"/>
          <w:szCs w:val="24"/>
        </w:rPr>
        <w:t xml:space="preserve">interlocutory </w:t>
      </w:r>
      <w:r w:rsidR="00550AEE">
        <w:rPr>
          <w:rFonts w:ascii="Arial" w:hAnsi="Arial" w:cs="Arial"/>
          <w:sz w:val="24"/>
          <w:szCs w:val="24"/>
        </w:rPr>
        <w:t>application and the appellant’s founding affidavit</w:t>
      </w:r>
      <w:r w:rsidR="00FD0D33">
        <w:rPr>
          <w:rFonts w:ascii="Arial" w:hAnsi="Arial" w:cs="Arial"/>
          <w:sz w:val="24"/>
          <w:szCs w:val="24"/>
        </w:rPr>
        <w:t xml:space="preserve"> in that application</w:t>
      </w:r>
      <w:r w:rsidR="00550AEE">
        <w:rPr>
          <w:rFonts w:ascii="Arial" w:hAnsi="Arial" w:cs="Arial"/>
          <w:sz w:val="24"/>
          <w:szCs w:val="24"/>
        </w:rPr>
        <w:t xml:space="preserve"> did not explain quite why they featured in the heading. Indeed</w:t>
      </w:r>
      <w:r w:rsidR="00C540B4">
        <w:rPr>
          <w:rFonts w:ascii="Arial" w:hAnsi="Arial" w:cs="Arial"/>
          <w:sz w:val="24"/>
          <w:szCs w:val="24"/>
        </w:rPr>
        <w:t>,</w:t>
      </w:r>
      <w:r w:rsidR="00550AEE">
        <w:rPr>
          <w:rFonts w:ascii="Arial" w:hAnsi="Arial" w:cs="Arial"/>
          <w:sz w:val="24"/>
          <w:szCs w:val="24"/>
        </w:rPr>
        <w:t xml:space="preserve"> apart from their reference in their heading, they are not </w:t>
      </w:r>
      <w:r w:rsidR="009A19CD">
        <w:rPr>
          <w:rFonts w:ascii="Arial" w:hAnsi="Arial" w:cs="Arial"/>
          <w:sz w:val="24"/>
          <w:szCs w:val="24"/>
        </w:rPr>
        <w:t>further</w:t>
      </w:r>
      <w:r w:rsidR="00550AEE">
        <w:rPr>
          <w:rFonts w:ascii="Arial" w:hAnsi="Arial" w:cs="Arial"/>
          <w:sz w:val="24"/>
          <w:szCs w:val="24"/>
        </w:rPr>
        <w:t xml:space="preserve"> mentioned </w:t>
      </w:r>
      <w:r w:rsidR="00FD0D33">
        <w:rPr>
          <w:rFonts w:ascii="Arial" w:hAnsi="Arial" w:cs="Arial"/>
          <w:sz w:val="24"/>
          <w:szCs w:val="24"/>
        </w:rPr>
        <w:t>in that application</w:t>
      </w:r>
      <w:r w:rsidR="00956170">
        <w:rPr>
          <w:rFonts w:ascii="Arial" w:hAnsi="Arial" w:cs="Arial"/>
          <w:sz w:val="24"/>
          <w:szCs w:val="24"/>
        </w:rPr>
        <w:t>. Th</w:t>
      </w:r>
      <w:r w:rsidR="00550AEE">
        <w:rPr>
          <w:rFonts w:ascii="Arial" w:hAnsi="Arial" w:cs="Arial"/>
          <w:sz w:val="24"/>
          <w:szCs w:val="24"/>
        </w:rPr>
        <w:t>e citation of the second and third appellants</w:t>
      </w:r>
      <w:r w:rsidR="00956170">
        <w:rPr>
          <w:rFonts w:ascii="Arial" w:hAnsi="Arial" w:cs="Arial"/>
          <w:sz w:val="24"/>
          <w:szCs w:val="24"/>
        </w:rPr>
        <w:t xml:space="preserve"> would appear to be an error</w:t>
      </w:r>
      <w:r w:rsidR="00975DE7">
        <w:rPr>
          <w:rFonts w:ascii="Arial" w:hAnsi="Arial" w:cs="Arial"/>
          <w:sz w:val="24"/>
          <w:szCs w:val="24"/>
        </w:rPr>
        <w:t xml:space="preserve"> in the compilation of the record</w:t>
      </w:r>
      <w:r w:rsidR="00956170">
        <w:rPr>
          <w:rFonts w:ascii="Arial" w:hAnsi="Arial" w:cs="Arial"/>
          <w:sz w:val="24"/>
          <w:szCs w:val="24"/>
        </w:rPr>
        <w:t xml:space="preserve">. Only the appellant filed a power of attorney </w:t>
      </w:r>
      <w:r w:rsidR="00956170">
        <w:rPr>
          <w:rFonts w:ascii="Arial" w:hAnsi="Arial" w:cs="Arial"/>
          <w:sz w:val="24"/>
          <w:szCs w:val="24"/>
        </w:rPr>
        <w:lastRenderedPageBreak/>
        <w:t>and</w:t>
      </w:r>
      <w:r w:rsidR="00975DE7">
        <w:rPr>
          <w:rFonts w:ascii="Arial" w:hAnsi="Arial" w:cs="Arial"/>
          <w:sz w:val="24"/>
          <w:szCs w:val="24"/>
        </w:rPr>
        <w:t xml:space="preserve"> </w:t>
      </w:r>
      <w:r w:rsidR="00956170">
        <w:rPr>
          <w:rFonts w:ascii="Arial" w:hAnsi="Arial" w:cs="Arial"/>
          <w:sz w:val="24"/>
          <w:szCs w:val="24"/>
        </w:rPr>
        <w:t xml:space="preserve">will </w:t>
      </w:r>
      <w:r w:rsidR="0049692A">
        <w:rPr>
          <w:rFonts w:ascii="Arial" w:hAnsi="Arial" w:cs="Arial"/>
          <w:sz w:val="24"/>
          <w:szCs w:val="24"/>
        </w:rPr>
        <w:t xml:space="preserve">further </w:t>
      </w:r>
      <w:r w:rsidR="00956170">
        <w:rPr>
          <w:rFonts w:ascii="Arial" w:hAnsi="Arial" w:cs="Arial"/>
          <w:sz w:val="24"/>
          <w:szCs w:val="24"/>
        </w:rPr>
        <w:t xml:space="preserve">be referred to as appellant despite </w:t>
      </w:r>
      <w:r w:rsidR="00550AEE">
        <w:rPr>
          <w:rFonts w:ascii="Arial" w:hAnsi="Arial" w:cs="Arial"/>
          <w:sz w:val="24"/>
          <w:szCs w:val="24"/>
        </w:rPr>
        <w:t>her</w:t>
      </w:r>
      <w:r w:rsidR="00956170">
        <w:rPr>
          <w:rFonts w:ascii="Arial" w:hAnsi="Arial" w:cs="Arial"/>
          <w:sz w:val="24"/>
          <w:szCs w:val="24"/>
        </w:rPr>
        <w:t xml:space="preserve"> designation</w:t>
      </w:r>
      <w:r w:rsidR="00550AEE">
        <w:rPr>
          <w:rFonts w:ascii="Arial" w:hAnsi="Arial" w:cs="Arial"/>
          <w:sz w:val="24"/>
          <w:szCs w:val="24"/>
        </w:rPr>
        <w:t xml:space="preserve"> as first appellant</w:t>
      </w:r>
      <w:r w:rsidR="00956170">
        <w:rPr>
          <w:rFonts w:ascii="Arial" w:hAnsi="Arial" w:cs="Arial"/>
          <w:sz w:val="24"/>
          <w:szCs w:val="24"/>
        </w:rPr>
        <w:t xml:space="preserve"> in the record.</w:t>
      </w:r>
    </w:p>
    <w:p w:rsidR="00A73BEC" w:rsidRDefault="00A73BEC" w:rsidP="00AB791E">
      <w:pPr>
        <w:pStyle w:val="ListParagraph"/>
        <w:spacing w:after="0" w:line="480" w:lineRule="auto"/>
        <w:rPr>
          <w:rFonts w:ascii="Arial" w:hAnsi="Arial" w:cs="Arial"/>
          <w:sz w:val="24"/>
          <w:szCs w:val="24"/>
        </w:rPr>
      </w:pPr>
    </w:p>
    <w:p w:rsidR="00A73BEC" w:rsidRDefault="00A73BEC"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appeal record </w:t>
      </w:r>
      <w:r w:rsidR="0046269D">
        <w:rPr>
          <w:rFonts w:ascii="Arial" w:hAnsi="Arial" w:cs="Arial"/>
          <w:sz w:val="24"/>
          <w:szCs w:val="24"/>
        </w:rPr>
        <w:t>w</w:t>
      </w:r>
      <w:r>
        <w:rPr>
          <w:rFonts w:ascii="Arial" w:hAnsi="Arial" w:cs="Arial"/>
          <w:sz w:val="24"/>
          <w:szCs w:val="24"/>
        </w:rPr>
        <w:t>as however filed out of time and the appellant ha</w:t>
      </w:r>
      <w:r w:rsidR="00956170">
        <w:rPr>
          <w:rFonts w:ascii="Arial" w:hAnsi="Arial" w:cs="Arial"/>
          <w:sz w:val="24"/>
          <w:szCs w:val="24"/>
        </w:rPr>
        <w:t xml:space="preserve">s </w:t>
      </w:r>
      <w:r>
        <w:rPr>
          <w:rFonts w:ascii="Arial" w:hAnsi="Arial" w:cs="Arial"/>
          <w:sz w:val="24"/>
          <w:szCs w:val="24"/>
        </w:rPr>
        <w:t>filed an application to condone the late filing of the record. That application is opposed and will be addressed after first setting out the background facts to these proceedings.</w:t>
      </w:r>
    </w:p>
    <w:p w:rsidR="00A73BEC" w:rsidRDefault="00A73BEC" w:rsidP="00AB791E">
      <w:pPr>
        <w:spacing w:after="0" w:line="480" w:lineRule="auto"/>
        <w:rPr>
          <w:rFonts w:ascii="Arial" w:hAnsi="Arial" w:cs="Arial"/>
          <w:sz w:val="24"/>
          <w:szCs w:val="24"/>
        </w:rPr>
      </w:pPr>
    </w:p>
    <w:p w:rsidR="00A73BEC" w:rsidRPr="00A73BEC" w:rsidRDefault="00A73BEC" w:rsidP="00AB791E">
      <w:pPr>
        <w:spacing w:after="0" w:line="480" w:lineRule="auto"/>
        <w:rPr>
          <w:rFonts w:ascii="Arial" w:hAnsi="Arial" w:cs="Arial"/>
          <w:sz w:val="24"/>
          <w:szCs w:val="24"/>
          <w:u w:val="single"/>
        </w:rPr>
      </w:pPr>
      <w:r>
        <w:rPr>
          <w:rFonts w:ascii="Arial" w:hAnsi="Arial" w:cs="Arial"/>
          <w:sz w:val="24"/>
          <w:szCs w:val="24"/>
          <w:u w:val="single"/>
        </w:rPr>
        <w:t>Factual background</w:t>
      </w:r>
    </w:p>
    <w:p w:rsidR="00A73BEC" w:rsidRDefault="00A73BEC"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deceased mother of G, who hailed from Namibia</w:t>
      </w:r>
      <w:r w:rsidR="0046269D">
        <w:rPr>
          <w:rFonts w:ascii="Arial" w:hAnsi="Arial" w:cs="Arial"/>
          <w:sz w:val="24"/>
          <w:szCs w:val="24"/>
        </w:rPr>
        <w:t>,</w:t>
      </w:r>
      <w:r>
        <w:rPr>
          <w:rFonts w:ascii="Arial" w:hAnsi="Arial" w:cs="Arial"/>
          <w:sz w:val="24"/>
          <w:szCs w:val="24"/>
        </w:rPr>
        <w:t xml:space="preserve"> was residing in South Africa when she became involved in a relationship with the respondent. Their daughter G was born from this relationship. G lived with </w:t>
      </w:r>
      <w:r w:rsidR="00C16E89">
        <w:rPr>
          <w:rFonts w:ascii="Arial" w:hAnsi="Arial" w:cs="Arial"/>
          <w:sz w:val="24"/>
          <w:szCs w:val="24"/>
        </w:rPr>
        <w:t>her</w:t>
      </w:r>
      <w:r>
        <w:rPr>
          <w:rFonts w:ascii="Arial" w:hAnsi="Arial" w:cs="Arial"/>
          <w:sz w:val="24"/>
          <w:szCs w:val="24"/>
        </w:rPr>
        <w:t xml:space="preserve"> deceased mother until her untimely death from a terminal illness. G was </w:t>
      </w:r>
      <w:r w:rsidR="0046269D">
        <w:rPr>
          <w:rFonts w:ascii="Arial" w:hAnsi="Arial" w:cs="Arial"/>
          <w:sz w:val="24"/>
          <w:szCs w:val="24"/>
        </w:rPr>
        <w:t xml:space="preserve">three </w:t>
      </w:r>
      <w:r>
        <w:rPr>
          <w:rFonts w:ascii="Arial" w:hAnsi="Arial" w:cs="Arial"/>
          <w:sz w:val="24"/>
          <w:szCs w:val="24"/>
        </w:rPr>
        <w:t>years</w:t>
      </w:r>
      <w:r w:rsidR="0046269D">
        <w:rPr>
          <w:rFonts w:ascii="Arial" w:hAnsi="Arial" w:cs="Arial"/>
          <w:sz w:val="24"/>
          <w:szCs w:val="24"/>
        </w:rPr>
        <w:t xml:space="preserve"> and </w:t>
      </w:r>
      <w:r w:rsidR="00C540B4">
        <w:rPr>
          <w:rFonts w:ascii="Arial" w:hAnsi="Arial" w:cs="Arial"/>
          <w:sz w:val="24"/>
          <w:szCs w:val="24"/>
        </w:rPr>
        <w:t>ten</w:t>
      </w:r>
      <w:r w:rsidR="0046269D">
        <w:rPr>
          <w:rFonts w:ascii="Arial" w:hAnsi="Arial" w:cs="Arial"/>
          <w:sz w:val="24"/>
          <w:szCs w:val="24"/>
        </w:rPr>
        <w:t xml:space="preserve"> months</w:t>
      </w:r>
      <w:r>
        <w:rPr>
          <w:rFonts w:ascii="Arial" w:hAnsi="Arial" w:cs="Arial"/>
          <w:sz w:val="24"/>
          <w:szCs w:val="24"/>
        </w:rPr>
        <w:t xml:space="preserve"> old when her mother succumbed to her illness. Prior to that unfortunate event</w:t>
      </w:r>
      <w:r w:rsidR="0046269D">
        <w:rPr>
          <w:rFonts w:ascii="Arial" w:hAnsi="Arial" w:cs="Arial"/>
          <w:sz w:val="24"/>
          <w:szCs w:val="24"/>
        </w:rPr>
        <w:t>,</w:t>
      </w:r>
      <w:r>
        <w:rPr>
          <w:rFonts w:ascii="Arial" w:hAnsi="Arial" w:cs="Arial"/>
          <w:sz w:val="24"/>
          <w:szCs w:val="24"/>
        </w:rPr>
        <w:t xml:space="preserve"> the respondent had access to G and</w:t>
      </w:r>
      <w:r w:rsidR="00956170">
        <w:rPr>
          <w:rFonts w:ascii="Arial" w:hAnsi="Arial" w:cs="Arial"/>
          <w:sz w:val="24"/>
          <w:szCs w:val="24"/>
        </w:rPr>
        <w:t>,</w:t>
      </w:r>
      <w:r>
        <w:rPr>
          <w:rFonts w:ascii="Arial" w:hAnsi="Arial" w:cs="Arial"/>
          <w:sz w:val="24"/>
          <w:szCs w:val="24"/>
        </w:rPr>
        <w:t xml:space="preserve"> for certain periods</w:t>
      </w:r>
      <w:r w:rsidR="00956170">
        <w:rPr>
          <w:rFonts w:ascii="Arial" w:hAnsi="Arial" w:cs="Arial"/>
          <w:sz w:val="24"/>
          <w:szCs w:val="24"/>
        </w:rPr>
        <w:t>,</w:t>
      </w:r>
      <w:r>
        <w:rPr>
          <w:rFonts w:ascii="Arial" w:hAnsi="Arial" w:cs="Arial"/>
          <w:sz w:val="24"/>
          <w:szCs w:val="24"/>
        </w:rPr>
        <w:t xml:space="preserve"> her deceased mother</w:t>
      </w:r>
      <w:r w:rsidR="00CB5338">
        <w:rPr>
          <w:rFonts w:ascii="Arial" w:hAnsi="Arial" w:cs="Arial"/>
          <w:sz w:val="24"/>
          <w:szCs w:val="24"/>
        </w:rPr>
        <w:t xml:space="preserve"> </w:t>
      </w:r>
      <w:r w:rsidR="00C16E89">
        <w:rPr>
          <w:rFonts w:ascii="Arial" w:hAnsi="Arial" w:cs="Arial"/>
          <w:sz w:val="24"/>
          <w:szCs w:val="24"/>
        </w:rPr>
        <w:t>cohabitated</w:t>
      </w:r>
      <w:r w:rsidR="00CB5338">
        <w:rPr>
          <w:rFonts w:ascii="Arial" w:hAnsi="Arial" w:cs="Arial"/>
          <w:sz w:val="24"/>
          <w:szCs w:val="24"/>
        </w:rPr>
        <w:t xml:space="preserve"> with him</w:t>
      </w:r>
      <w:r w:rsidR="00C16E89">
        <w:rPr>
          <w:rFonts w:ascii="Arial" w:hAnsi="Arial" w:cs="Arial"/>
          <w:sz w:val="24"/>
          <w:szCs w:val="24"/>
        </w:rPr>
        <w:t>, together with G</w:t>
      </w:r>
      <w:r>
        <w:rPr>
          <w:rFonts w:ascii="Arial" w:hAnsi="Arial" w:cs="Arial"/>
          <w:sz w:val="24"/>
          <w:szCs w:val="24"/>
        </w:rPr>
        <w:t>.</w:t>
      </w:r>
    </w:p>
    <w:p w:rsidR="00A73BEC" w:rsidRDefault="00A73BEC" w:rsidP="00AB791E">
      <w:pPr>
        <w:pStyle w:val="ListParagraph"/>
        <w:spacing w:after="0" w:line="480" w:lineRule="auto"/>
        <w:rPr>
          <w:rFonts w:ascii="Arial" w:hAnsi="Arial" w:cs="Arial"/>
          <w:sz w:val="24"/>
          <w:szCs w:val="24"/>
        </w:rPr>
      </w:pPr>
    </w:p>
    <w:p w:rsidR="00A73BEC" w:rsidRDefault="00A73BEC"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Prior to her death, the deceased executed a will in which she nominated the appellant as guardian of G in the event of her death in the following terms:</w:t>
      </w:r>
    </w:p>
    <w:p w:rsidR="00A73BEC" w:rsidRPr="008A16AA" w:rsidRDefault="00A73BEC" w:rsidP="00AB791E">
      <w:pPr>
        <w:pStyle w:val="ListParagraph"/>
        <w:spacing w:after="0" w:line="360" w:lineRule="auto"/>
        <w:rPr>
          <w:rFonts w:ascii="Arial" w:hAnsi="Arial" w:cs="Arial"/>
        </w:rPr>
      </w:pPr>
    </w:p>
    <w:p w:rsidR="00A73BEC" w:rsidRPr="008A16AA" w:rsidRDefault="00A73BEC" w:rsidP="00AB791E">
      <w:pPr>
        <w:pStyle w:val="NoSpacing"/>
        <w:spacing w:line="360" w:lineRule="auto"/>
        <w:ind w:left="720"/>
        <w:jc w:val="both"/>
        <w:rPr>
          <w:rFonts w:ascii="Arial" w:hAnsi="Arial" w:cs="Arial"/>
        </w:rPr>
      </w:pPr>
      <w:r w:rsidRPr="008A16AA">
        <w:rPr>
          <w:rFonts w:ascii="Arial" w:hAnsi="Arial" w:cs="Arial"/>
        </w:rPr>
        <w:t>‘In so far as I am legally entitled to do so</w:t>
      </w:r>
      <w:r w:rsidR="00CB5338">
        <w:rPr>
          <w:rFonts w:ascii="Arial" w:hAnsi="Arial" w:cs="Arial"/>
        </w:rPr>
        <w:t>,</w:t>
      </w:r>
      <w:r w:rsidRPr="008A16AA">
        <w:rPr>
          <w:rFonts w:ascii="Arial" w:hAnsi="Arial" w:cs="Arial"/>
        </w:rPr>
        <w:t xml:space="preserve"> as guardian of my minor daughter, </w:t>
      </w:r>
      <w:r w:rsidR="00CB5338">
        <w:rPr>
          <w:rFonts w:ascii="Arial" w:hAnsi="Arial" w:cs="Arial"/>
        </w:rPr>
        <w:t>(</w:t>
      </w:r>
      <w:r w:rsidRPr="008A16AA">
        <w:rPr>
          <w:rFonts w:ascii="Arial" w:hAnsi="Arial" w:cs="Arial"/>
        </w:rPr>
        <w:t>G</w:t>
      </w:r>
      <w:r w:rsidR="00CB5338">
        <w:rPr>
          <w:rFonts w:ascii="Arial" w:hAnsi="Arial" w:cs="Arial"/>
        </w:rPr>
        <w:t>)</w:t>
      </w:r>
      <w:r w:rsidRPr="008A16AA">
        <w:rPr>
          <w:rFonts w:ascii="Arial" w:hAnsi="Arial" w:cs="Arial"/>
        </w:rPr>
        <w:t xml:space="preserve">, I nominate my sister </w:t>
      </w:r>
      <w:r w:rsidR="00CB5338">
        <w:rPr>
          <w:rFonts w:ascii="Arial" w:hAnsi="Arial" w:cs="Arial"/>
        </w:rPr>
        <w:t>(</w:t>
      </w:r>
      <w:r w:rsidR="0046269D">
        <w:rPr>
          <w:rFonts w:ascii="Arial" w:hAnsi="Arial" w:cs="Arial"/>
        </w:rPr>
        <w:t>MA</w:t>
      </w:r>
      <w:r w:rsidR="00CB5338">
        <w:rPr>
          <w:rFonts w:ascii="Arial" w:hAnsi="Arial" w:cs="Arial"/>
        </w:rPr>
        <w:t>)</w:t>
      </w:r>
      <w:r w:rsidR="008A16AA" w:rsidRPr="008A16AA">
        <w:rPr>
          <w:rFonts w:ascii="Arial" w:hAnsi="Arial" w:cs="Arial"/>
        </w:rPr>
        <w:t xml:space="preserve"> who shall not be required to furnish security for acting in that capacity.’</w:t>
      </w:r>
    </w:p>
    <w:p w:rsidR="00A73BEC" w:rsidRPr="008A16AA" w:rsidRDefault="00A73BEC" w:rsidP="00AB791E">
      <w:pPr>
        <w:pStyle w:val="ListParagraph"/>
        <w:spacing w:after="0" w:line="360" w:lineRule="auto"/>
        <w:rPr>
          <w:rFonts w:ascii="Arial" w:hAnsi="Arial" w:cs="Arial"/>
        </w:rPr>
      </w:pPr>
    </w:p>
    <w:p w:rsidR="00A73BEC" w:rsidRDefault="008A16AA"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Shortly before her death, the deceased mother returned to Namibia </w:t>
      </w:r>
      <w:r w:rsidR="00CB5338">
        <w:rPr>
          <w:rFonts w:ascii="Arial" w:hAnsi="Arial" w:cs="Arial"/>
          <w:sz w:val="24"/>
          <w:szCs w:val="24"/>
        </w:rPr>
        <w:t xml:space="preserve">from South Africa </w:t>
      </w:r>
      <w:r w:rsidR="00956170">
        <w:rPr>
          <w:rFonts w:ascii="Arial" w:hAnsi="Arial" w:cs="Arial"/>
          <w:sz w:val="24"/>
          <w:szCs w:val="24"/>
        </w:rPr>
        <w:t>and stayed with her parents</w:t>
      </w:r>
      <w:r>
        <w:rPr>
          <w:rFonts w:ascii="Arial" w:hAnsi="Arial" w:cs="Arial"/>
          <w:sz w:val="24"/>
          <w:szCs w:val="24"/>
        </w:rPr>
        <w:t xml:space="preserve"> after being discharged f</w:t>
      </w:r>
      <w:r w:rsidR="00CB5338">
        <w:rPr>
          <w:rFonts w:ascii="Arial" w:hAnsi="Arial" w:cs="Arial"/>
          <w:sz w:val="24"/>
          <w:szCs w:val="24"/>
        </w:rPr>
        <w:t>ro</w:t>
      </w:r>
      <w:r>
        <w:rPr>
          <w:rFonts w:ascii="Arial" w:hAnsi="Arial" w:cs="Arial"/>
          <w:sz w:val="24"/>
          <w:szCs w:val="24"/>
        </w:rPr>
        <w:t>m hospital. G accompanied by the respondent arrived in Windhoek a week after the deceased</w:t>
      </w:r>
      <w:r w:rsidR="0046269D">
        <w:rPr>
          <w:rFonts w:ascii="Arial" w:hAnsi="Arial" w:cs="Arial"/>
          <w:sz w:val="24"/>
          <w:szCs w:val="24"/>
        </w:rPr>
        <w:t xml:space="preserve">’s </w:t>
      </w:r>
      <w:r w:rsidR="0046269D">
        <w:rPr>
          <w:rFonts w:ascii="Arial" w:hAnsi="Arial" w:cs="Arial"/>
          <w:sz w:val="24"/>
          <w:szCs w:val="24"/>
        </w:rPr>
        <w:lastRenderedPageBreak/>
        <w:t>return to Windhoek</w:t>
      </w:r>
      <w:r>
        <w:rPr>
          <w:rFonts w:ascii="Arial" w:hAnsi="Arial" w:cs="Arial"/>
          <w:sz w:val="24"/>
          <w:szCs w:val="24"/>
        </w:rPr>
        <w:t xml:space="preserve"> and G stayed with the appellant’s parents and thereafter with the</w:t>
      </w:r>
      <w:r w:rsidR="0046269D">
        <w:rPr>
          <w:rFonts w:ascii="Arial" w:hAnsi="Arial" w:cs="Arial"/>
          <w:sz w:val="24"/>
          <w:szCs w:val="24"/>
        </w:rPr>
        <w:t xml:space="preserve"> appellant or her parents since then</w:t>
      </w:r>
      <w:r w:rsidR="00956170">
        <w:rPr>
          <w:rFonts w:ascii="Arial" w:hAnsi="Arial" w:cs="Arial"/>
          <w:sz w:val="24"/>
          <w:szCs w:val="24"/>
        </w:rPr>
        <w:t>,</w:t>
      </w:r>
      <w:r w:rsidR="0046269D">
        <w:rPr>
          <w:rFonts w:ascii="Arial" w:hAnsi="Arial" w:cs="Arial"/>
          <w:sz w:val="24"/>
          <w:szCs w:val="24"/>
        </w:rPr>
        <w:t xml:space="preserve"> save </w:t>
      </w:r>
      <w:r w:rsidR="00CB5338">
        <w:rPr>
          <w:rFonts w:ascii="Arial" w:hAnsi="Arial" w:cs="Arial"/>
          <w:sz w:val="24"/>
          <w:szCs w:val="24"/>
        </w:rPr>
        <w:t xml:space="preserve">for </w:t>
      </w:r>
      <w:r w:rsidR="0046269D">
        <w:rPr>
          <w:rFonts w:ascii="Arial" w:hAnsi="Arial" w:cs="Arial"/>
          <w:sz w:val="24"/>
          <w:szCs w:val="24"/>
        </w:rPr>
        <w:t xml:space="preserve">a </w:t>
      </w:r>
      <w:r w:rsidR="00CB5338">
        <w:rPr>
          <w:rFonts w:ascii="Arial" w:hAnsi="Arial" w:cs="Arial"/>
          <w:sz w:val="24"/>
          <w:szCs w:val="24"/>
        </w:rPr>
        <w:t xml:space="preserve">very </w:t>
      </w:r>
      <w:r w:rsidR="0046269D">
        <w:rPr>
          <w:rFonts w:ascii="Arial" w:hAnsi="Arial" w:cs="Arial"/>
          <w:sz w:val="24"/>
          <w:szCs w:val="24"/>
        </w:rPr>
        <w:t>brief period with the respondent.</w:t>
      </w:r>
    </w:p>
    <w:p w:rsidR="00A73BEC" w:rsidRDefault="00A73BEC" w:rsidP="00AB791E">
      <w:pPr>
        <w:pStyle w:val="ListParagraph"/>
        <w:spacing w:after="0" w:line="480" w:lineRule="auto"/>
        <w:rPr>
          <w:rFonts w:ascii="Arial" w:hAnsi="Arial" w:cs="Arial"/>
          <w:sz w:val="24"/>
          <w:szCs w:val="24"/>
        </w:rPr>
      </w:pPr>
    </w:p>
    <w:p w:rsidR="00A73BEC" w:rsidRDefault="008A16AA"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in </w:t>
      </w:r>
      <w:r w:rsidR="0046269D">
        <w:rPr>
          <w:rFonts w:ascii="Arial" w:hAnsi="Arial" w:cs="Arial"/>
          <w:sz w:val="24"/>
          <w:szCs w:val="24"/>
        </w:rPr>
        <w:t>March</w:t>
      </w:r>
      <w:r>
        <w:rPr>
          <w:rFonts w:ascii="Arial" w:hAnsi="Arial" w:cs="Arial"/>
          <w:sz w:val="24"/>
          <w:szCs w:val="24"/>
        </w:rPr>
        <w:t xml:space="preserve"> 201</w:t>
      </w:r>
      <w:r w:rsidR="0046269D">
        <w:rPr>
          <w:rFonts w:ascii="Arial" w:hAnsi="Arial" w:cs="Arial"/>
          <w:sz w:val="24"/>
          <w:szCs w:val="24"/>
        </w:rPr>
        <w:t>8</w:t>
      </w:r>
      <w:r>
        <w:rPr>
          <w:rFonts w:ascii="Arial" w:hAnsi="Arial" w:cs="Arial"/>
          <w:sz w:val="24"/>
          <w:szCs w:val="24"/>
        </w:rPr>
        <w:t xml:space="preserve"> file</w:t>
      </w:r>
      <w:r w:rsidR="00C16E89">
        <w:rPr>
          <w:rFonts w:ascii="Arial" w:hAnsi="Arial" w:cs="Arial"/>
          <w:sz w:val="24"/>
          <w:szCs w:val="24"/>
        </w:rPr>
        <w:t>d</w:t>
      </w:r>
      <w:r>
        <w:rPr>
          <w:rFonts w:ascii="Arial" w:hAnsi="Arial" w:cs="Arial"/>
          <w:sz w:val="24"/>
          <w:szCs w:val="24"/>
        </w:rPr>
        <w:t xml:space="preserve"> an application for custody, control and guardianship of G in the </w:t>
      </w:r>
      <w:r w:rsidR="00CB5338">
        <w:rPr>
          <w:rFonts w:ascii="Arial" w:hAnsi="Arial" w:cs="Arial"/>
          <w:sz w:val="24"/>
          <w:szCs w:val="24"/>
        </w:rPr>
        <w:t>children’s court</w:t>
      </w:r>
      <w:r>
        <w:rPr>
          <w:rFonts w:ascii="Arial" w:hAnsi="Arial" w:cs="Arial"/>
          <w:sz w:val="24"/>
          <w:szCs w:val="24"/>
        </w:rPr>
        <w:t>, Windhoek</w:t>
      </w:r>
      <w:r w:rsidR="00CB5338">
        <w:rPr>
          <w:rFonts w:ascii="Arial" w:hAnsi="Arial" w:cs="Arial"/>
          <w:sz w:val="24"/>
          <w:szCs w:val="24"/>
        </w:rPr>
        <w:t xml:space="preserve"> relying upon her nomination in the deceased’s will</w:t>
      </w:r>
      <w:r>
        <w:rPr>
          <w:rFonts w:ascii="Arial" w:hAnsi="Arial" w:cs="Arial"/>
          <w:sz w:val="24"/>
          <w:szCs w:val="24"/>
        </w:rPr>
        <w:t>. This application was opposed by the</w:t>
      </w:r>
      <w:r w:rsidR="000C4A72">
        <w:rPr>
          <w:rFonts w:ascii="Arial" w:hAnsi="Arial" w:cs="Arial"/>
          <w:sz w:val="24"/>
          <w:szCs w:val="24"/>
        </w:rPr>
        <w:t xml:space="preserve"> respondent who filed a counter-</w:t>
      </w:r>
      <w:r>
        <w:rPr>
          <w:rFonts w:ascii="Arial" w:hAnsi="Arial" w:cs="Arial"/>
          <w:sz w:val="24"/>
          <w:szCs w:val="24"/>
        </w:rPr>
        <w:t>application for guardianship and custody of G.</w:t>
      </w:r>
      <w:r w:rsidR="0046269D">
        <w:rPr>
          <w:rFonts w:ascii="Arial" w:hAnsi="Arial" w:cs="Arial"/>
          <w:sz w:val="24"/>
          <w:szCs w:val="24"/>
        </w:rPr>
        <w:t xml:space="preserve"> In his opposition to the appellant’s application, he challenged the validity of the deceased’s will.</w:t>
      </w:r>
    </w:p>
    <w:p w:rsidR="00A73BEC" w:rsidRDefault="00A73BEC" w:rsidP="00AB791E">
      <w:pPr>
        <w:pStyle w:val="ListParagraph"/>
        <w:spacing w:after="0" w:line="480" w:lineRule="auto"/>
        <w:rPr>
          <w:rFonts w:ascii="Arial" w:hAnsi="Arial" w:cs="Arial"/>
          <w:sz w:val="24"/>
          <w:szCs w:val="24"/>
        </w:rPr>
      </w:pPr>
    </w:p>
    <w:p w:rsidR="00CD440F" w:rsidRDefault="00FD0D33"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a preliminary</w:t>
      </w:r>
      <w:r w:rsidR="009A19CD">
        <w:rPr>
          <w:rFonts w:ascii="Arial" w:hAnsi="Arial" w:cs="Arial"/>
          <w:sz w:val="24"/>
          <w:szCs w:val="24"/>
        </w:rPr>
        <w:t xml:space="preserve"> ruling</w:t>
      </w:r>
      <w:r>
        <w:rPr>
          <w:rFonts w:ascii="Arial" w:hAnsi="Arial" w:cs="Arial"/>
          <w:sz w:val="24"/>
          <w:szCs w:val="24"/>
        </w:rPr>
        <w:t>, t</w:t>
      </w:r>
      <w:r w:rsidR="00C16E89">
        <w:rPr>
          <w:rFonts w:ascii="Arial" w:hAnsi="Arial" w:cs="Arial"/>
          <w:sz w:val="24"/>
          <w:szCs w:val="24"/>
        </w:rPr>
        <w:t>he children’s court found that it lacked jurisdiction to determine the validity of the will</w:t>
      </w:r>
      <w:r>
        <w:rPr>
          <w:rFonts w:ascii="Arial" w:hAnsi="Arial" w:cs="Arial"/>
          <w:sz w:val="24"/>
          <w:szCs w:val="24"/>
        </w:rPr>
        <w:t>.</w:t>
      </w:r>
      <w:r w:rsidR="00C16E89">
        <w:rPr>
          <w:rFonts w:ascii="Arial" w:hAnsi="Arial" w:cs="Arial"/>
          <w:sz w:val="24"/>
          <w:szCs w:val="24"/>
        </w:rPr>
        <w:t xml:space="preserve"> </w:t>
      </w:r>
      <w:r>
        <w:rPr>
          <w:rFonts w:ascii="Arial" w:hAnsi="Arial" w:cs="Arial"/>
          <w:sz w:val="24"/>
          <w:szCs w:val="24"/>
        </w:rPr>
        <w:t>T</w:t>
      </w:r>
      <w:r w:rsidR="00CB5338">
        <w:rPr>
          <w:rFonts w:ascii="Arial" w:hAnsi="Arial" w:cs="Arial"/>
          <w:sz w:val="24"/>
          <w:szCs w:val="24"/>
        </w:rPr>
        <w:t>he application and counter-applicat</w:t>
      </w:r>
      <w:r w:rsidR="00C16E89">
        <w:rPr>
          <w:rFonts w:ascii="Arial" w:hAnsi="Arial" w:cs="Arial"/>
          <w:sz w:val="24"/>
          <w:szCs w:val="24"/>
        </w:rPr>
        <w:t>ion</w:t>
      </w:r>
      <w:r w:rsidR="00CB5338">
        <w:rPr>
          <w:rFonts w:ascii="Arial" w:hAnsi="Arial" w:cs="Arial"/>
          <w:sz w:val="24"/>
          <w:szCs w:val="24"/>
        </w:rPr>
        <w:t xml:space="preserve"> in the children’s court became postponed and t</w:t>
      </w:r>
      <w:r w:rsidR="008A16AA">
        <w:rPr>
          <w:rFonts w:ascii="Arial" w:hAnsi="Arial" w:cs="Arial"/>
          <w:sz w:val="24"/>
          <w:szCs w:val="24"/>
        </w:rPr>
        <w:t xml:space="preserve">he appellant in April 2019 launched an application to the High Court seeking to be appointed as guardian and </w:t>
      </w:r>
      <w:r w:rsidR="00550AEE">
        <w:rPr>
          <w:rFonts w:ascii="Arial" w:hAnsi="Arial" w:cs="Arial"/>
          <w:sz w:val="24"/>
          <w:szCs w:val="24"/>
        </w:rPr>
        <w:t xml:space="preserve">for </w:t>
      </w:r>
      <w:r w:rsidR="008A16AA">
        <w:rPr>
          <w:rFonts w:ascii="Arial" w:hAnsi="Arial" w:cs="Arial"/>
          <w:sz w:val="24"/>
          <w:szCs w:val="24"/>
        </w:rPr>
        <w:t xml:space="preserve">custody of G with reasonable access </w:t>
      </w:r>
      <w:r w:rsidR="001566B8">
        <w:rPr>
          <w:rFonts w:ascii="Arial" w:hAnsi="Arial" w:cs="Arial"/>
          <w:sz w:val="24"/>
          <w:szCs w:val="24"/>
        </w:rPr>
        <w:t>by</w:t>
      </w:r>
      <w:r w:rsidR="008A16AA">
        <w:rPr>
          <w:rFonts w:ascii="Arial" w:hAnsi="Arial" w:cs="Arial"/>
          <w:sz w:val="24"/>
          <w:szCs w:val="24"/>
        </w:rPr>
        <w:t xml:space="preserve"> the respondent, on the grounds of the testamentary nomination. The appellant further sought an order suspending the proceedings in the </w:t>
      </w:r>
      <w:r w:rsidR="00CB5338">
        <w:rPr>
          <w:rFonts w:ascii="Arial" w:hAnsi="Arial" w:cs="Arial"/>
          <w:sz w:val="24"/>
          <w:szCs w:val="24"/>
        </w:rPr>
        <w:t>children’s court</w:t>
      </w:r>
      <w:r w:rsidR="008A16AA">
        <w:rPr>
          <w:rFonts w:ascii="Arial" w:hAnsi="Arial" w:cs="Arial"/>
          <w:sz w:val="24"/>
          <w:szCs w:val="24"/>
        </w:rPr>
        <w:t xml:space="preserve">. The respondent </w:t>
      </w:r>
      <w:r w:rsidR="0046269D">
        <w:rPr>
          <w:rFonts w:ascii="Arial" w:hAnsi="Arial" w:cs="Arial"/>
          <w:sz w:val="24"/>
          <w:szCs w:val="24"/>
        </w:rPr>
        <w:t xml:space="preserve">also </w:t>
      </w:r>
      <w:r w:rsidR="008A16AA">
        <w:rPr>
          <w:rFonts w:ascii="Arial" w:hAnsi="Arial" w:cs="Arial"/>
          <w:sz w:val="24"/>
          <w:szCs w:val="24"/>
        </w:rPr>
        <w:t xml:space="preserve">opposed the </w:t>
      </w:r>
      <w:r w:rsidR="00CD440F">
        <w:rPr>
          <w:rFonts w:ascii="Arial" w:hAnsi="Arial" w:cs="Arial"/>
          <w:sz w:val="24"/>
          <w:szCs w:val="24"/>
        </w:rPr>
        <w:t xml:space="preserve">High Court </w:t>
      </w:r>
      <w:r w:rsidR="008A16AA">
        <w:rPr>
          <w:rFonts w:ascii="Arial" w:hAnsi="Arial" w:cs="Arial"/>
          <w:sz w:val="24"/>
          <w:szCs w:val="24"/>
        </w:rPr>
        <w:t xml:space="preserve">application. </w:t>
      </w:r>
    </w:p>
    <w:p w:rsidR="00CD440F" w:rsidRDefault="00CD440F" w:rsidP="00AE4498">
      <w:pPr>
        <w:pStyle w:val="ListParagraph"/>
        <w:spacing w:after="0" w:line="480" w:lineRule="auto"/>
        <w:rPr>
          <w:rFonts w:ascii="Arial" w:hAnsi="Arial" w:cs="Arial"/>
          <w:sz w:val="24"/>
          <w:szCs w:val="24"/>
        </w:rPr>
      </w:pPr>
    </w:p>
    <w:p w:rsidR="00A73BEC" w:rsidRDefault="008A16AA"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w:t>
      </w:r>
      <w:r w:rsidR="006865D5">
        <w:rPr>
          <w:rFonts w:ascii="Arial" w:hAnsi="Arial" w:cs="Arial"/>
          <w:sz w:val="24"/>
          <w:szCs w:val="24"/>
        </w:rPr>
        <w:t>appellant</w:t>
      </w:r>
      <w:r w:rsidR="009A19CD">
        <w:rPr>
          <w:rFonts w:ascii="Arial" w:hAnsi="Arial" w:cs="Arial"/>
          <w:sz w:val="24"/>
          <w:szCs w:val="24"/>
        </w:rPr>
        <w:t>’</w:t>
      </w:r>
      <w:r>
        <w:rPr>
          <w:rFonts w:ascii="Arial" w:hAnsi="Arial" w:cs="Arial"/>
          <w:sz w:val="24"/>
          <w:szCs w:val="24"/>
        </w:rPr>
        <w:t xml:space="preserve">s basis for approaching the High Court was that the </w:t>
      </w:r>
      <w:r w:rsidR="00CB5338">
        <w:rPr>
          <w:rFonts w:ascii="Arial" w:hAnsi="Arial" w:cs="Arial"/>
          <w:sz w:val="24"/>
          <w:szCs w:val="24"/>
        </w:rPr>
        <w:t>children’s court</w:t>
      </w:r>
      <w:r>
        <w:rPr>
          <w:rFonts w:ascii="Arial" w:hAnsi="Arial" w:cs="Arial"/>
          <w:sz w:val="24"/>
          <w:szCs w:val="24"/>
        </w:rPr>
        <w:t xml:space="preserve"> lacked jurisdiction to det</w:t>
      </w:r>
      <w:r w:rsidR="006865D5">
        <w:rPr>
          <w:rFonts w:ascii="Arial" w:hAnsi="Arial" w:cs="Arial"/>
          <w:sz w:val="24"/>
          <w:szCs w:val="24"/>
        </w:rPr>
        <w:t xml:space="preserve">ermine the validity of the will, given </w:t>
      </w:r>
      <w:r>
        <w:rPr>
          <w:rFonts w:ascii="Arial" w:hAnsi="Arial" w:cs="Arial"/>
          <w:sz w:val="24"/>
          <w:szCs w:val="24"/>
        </w:rPr>
        <w:t>the respondent</w:t>
      </w:r>
      <w:r w:rsidR="00C16E89">
        <w:rPr>
          <w:rFonts w:ascii="Arial" w:hAnsi="Arial" w:cs="Arial"/>
          <w:sz w:val="24"/>
          <w:szCs w:val="24"/>
        </w:rPr>
        <w:t>’s</w:t>
      </w:r>
      <w:r>
        <w:rPr>
          <w:rFonts w:ascii="Arial" w:hAnsi="Arial" w:cs="Arial"/>
          <w:sz w:val="24"/>
          <w:szCs w:val="24"/>
        </w:rPr>
        <w:t xml:space="preserve"> challenge</w:t>
      </w:r>
      <w:r w:rsidR="006865D5">
        <w:rPr>
          <w:rFonts w:ascii="Arial" w:hAnsi="Arial" w:cs="Arial"/>
          <w:sz w:val="24"/>
          <w:szCs w:val="24"/>
        </w:rPr>
        <w:t xml:space="preserve"> to its</w:t>
      </w:r>
      <w:r>
        <w:rPr>
          <w:rFonts w:ascii="Arial" w:hAnsi="Arial" w:cs="Arial"/>
          <w:sz w:val="24"/>
          <w:szCs w:val="24"/>
        </w:rPr>
        <w:t xml:space="preserve"> validity.</w:t>
      </w:r>
      <w:r w:rsidR="00CD440F">
        <w:rPr>
          <w:rFonts w:ascii="Arial" w:hAnsi="Arial" w:cs="Arial"/>
          <w:sz w:val="24"/>
          <w:szCs w:val="24"/>
        </w:rPr>
        <w:t xml:space="preserve"> At the hearing in the High Court, senior counsel representing the respondent informed the court that </w:t>
      </w:r>
      <w:r w:rsidR="007E1055">
        <w:rPr>
          <w:rFonts w:ascii="Arial" w:hAnsi="Arial" w:cs="Arial"/>
          <w:sz w:val="24"/>
          <w:szCs w:val="24"/>
        </w:rPr>
        <w:t>he</w:t>
      </w:r>
      <w:r>
        <w:rPr>
          <w:rFonts w:ascii="Arial" w:hAnsi="Arial" w:cs="Arial"/>
          <w:sz w:val="24"/>
          <w:szCs w:val="24"/>
        </w:rPr>
        <w:t xml:space="preserve"> </w:t>
      </w:r>
      <w:r w:rsidR="00CF18FF">
        <w:rPr>
          <w:rFonts w:ascii="Arial" w:hAnsi="Arial" w:cs="Arial"/>
          <w:sz w:val="24"/>
          <w:szCs w:val="24"/>
        </w:rPr>
        <w:t>withdrew his challenge to the will’s validity</w:t>
      </w:r>
      <w:r w:rsidR="00FD0D33">
        <w:rPr>
          <w:rFonts w:ascii="Arial" w:hAnsi="Arial" w:cs="Arial"/>
          <w:sz w:val="24"/>
          <w:szCs w:val="24"/>
        </w:rPr>
        <w:t xml:space="preserve"> (</w:t>
      </w:r>
      <w:r w:rsidR="007E1055">
        <w:rPr>
          <w:rFonts w:ascii="Arial" w:hAnsi="Arial" w:cs="Arial"/>
          <w:sz w:val="24"/>
          <w:szCs w:val="24"/>
        </w:rPr>
        <w:t>and</w:t>
      </w:r>
      <w:r w:rsidR="00FD0D33">
        <w:rPr>
          <w:rFonts w:ascii="Arial" w:hAnsi="Arial" w:cs="Arial"/>
          <w:sz w:val="24"/>
          <w:szCs w:val="24"/>
        </w:rPr>
        <w:t xml:space="preserve"> in fact </w:t>
      </w:r>
      <w:r w:rsidR="009A19CD">
        <w:rPr>
          <w:rFonts w:ascii="Arial" w:hAnsi="Arial" w:cs="Arial"/>
          <w:sz w:val="24"/>
          <w:szCs w:val="24"/>
        </w:rPr>
        <w:t xml:space="preserve">stated that the respondent </w:t>
      </w:r>
      <w:r w:rsidR="00FD0D33">
        <w:rPr>
          <w:rFonts w:ascii="Arial" w:hAnsi="Arial" w:cs="Arial"/>
          <w:sz w:val="24"/>
          <w:szCs w:val="24"/>
        </w:rPr>
        <w:t>accepted the validity of the will)</w:t>
      </w:r>
      <w:r w:rsidR="00CF18FF">
        <w:rPr>
          <w:rFonts w:ascii="Arial" w:hAnsi="Arial" w:cs="Arial"/>
          <w:sz w:val="24"/>
          <w:szCs w:val="24"/>
        </w:rPr>
        <w:t xml:space="preserve">, but contended that a testamentary </w:t>
      </w:r>
      <w:r w:rsidR="00CD440F">
        <w:rPr>
          <w:rFonts w:ascii="Arial" w:hAnsi="Arial" w:cs="Arial"/>
          <w:sz w:val="24"/>
          <w:szCs w:val="24"/>
        </w:rPr>
        <w:t>‘</w:t>
      </w:r>
      <w:r w:rsidR="00CF18FF">
        <w:rPr>
          <w:rFonts w:ascii="Arial" w:hAnsi="Arial" w:cs="Arial"/>
          <w:sz w:val="24"/>
          <w:szCs w:val="24"/>
        </w:rPr>
        <w:t>grant</w:t>
      </w:r>
      <w:r w:rsidR="00CD440F">
        <w:rPr>
          <w:rFonts w:ascii="Arial" w:hAnsi="Arial" w:cs="Arial"/>
          <w:sz w:val="24"/>
          <w:szCs w:val="24"/>
        </w:rPr>
        <w:t>’</w:t>
      </w:r>
      <w:r w:rsidR="00CF18FF">
        <w:rPr>
          <w:rFonts w:ascii="Arial" w:hAnsi="Arial" w:cs="Arial"/>
          <w:sz w:val="24"/>
          <w:szCs w:val="24"/>
        </w:rPr>
        <w:t xml:space="preserve"> of guardianship would be unenforceable as he is the biological father of G and an equal guardian. </w:t>
      </w:r>
      <w:r w:rsidR="00CD440F">
        <w:rPr>
          <w:rFonts w:ascii="Arial" w:hAnsi="Arial" w:cs="Arial"/>
          <w:sz w:val="24"/>
          <w:szCs w:val="24"/>
        </w:rPr>
        <w:t>I point out that the term</w:t>
      </w:r>
      <w:r w:rsidR="00C16E89">
        <w:rPr>
          <w:rFonts w:ascii="Arial" w:hAnsi="Arial" w:cs="Arial"/>
          <w:sz w:val="24"/>
          <w:szCs w:val="24"/>
        </w:rPr>
        <w:t>s</w:t>
      </w:r>
      <w:r w:rsidR="00CD440F">
        <w:rPr>
          <w:rFonts w:ascii="Arial" w:hAnsi="Arial" w:cs="Arial"/>
          <w:sz w:val="24"/>
          <w:szCs w:val="24"/>
        </w:rPr>
        <w:t xml:space="preserve"> ‘grant’ </w:t>
      </w:r>
      <w:r w:rsidR="00C16E89">
        <w:rPr>
          <w:rFonts w:ascii="Arial" w:hAnsi="Arial" w:cs="Arial"/>
          <w:sz w:val="24"/>
          <w:szCs w:val="24"/>
        </w:rPr>
        <w:t xml:space="preserve">or ‘appoint’ </w:t>
      </w:r>
      <w:r w:rsidR="00956170">
        <w:rPr>
          <w:rFonts w:ascii="Arial" w:hAnsi="Arial" w:cs="Arial"/>
          <w:sz w:val="24"/>
          <w:szCs w:val="24"/>
        </w:rPr>
        <w:t>in this context</w:t>
      </w:r>
      <w:r w:rsidR="00550AEE">
        <w:rPr>
          <w:rFonts w:ascii="Arial" w:hAnsi="Arial" w:cs="Arial"/>
          <w:sz w:val="24"/>
          <w:szCs w:val="24"/>
        </w:rPr>
        <w:t>,</w:t>
      </w:r>
      <w:r w:rsidR="00956170">
        <w:rPr>
          <w:rFonts w:ascii="Arial" w:hAnsi="Arial" w:cs="Arial"/>
          <w:sz w:val="24"/>
          <w:szCs w:val="24"/>
        </w:rPr>
        <w:t xml:space="preserve"> </w:t>
      </w:r>
      <w:r w:rsidR="00C16E89">
        <w:rPr>
          <w:rFonts w:ascii="Arial" w:hAnsi="Arial" w:cs="Arial"/>
          <w:sz w:val="24"/>
          <w:szCs w:val="24"/>
        </w:rPr>
        <w:t xml:space="preserve">as used by </w:t>
      </w:r>
      <w:r w:rsidR="009A19CD">
        <w:rPr>
          <w:rFonts w:ascii="Arial" w:hAnsi="Arial" w:cs="Arial"/>
          <w:sz w:val="24"/>
          <w:szCs w:val="24"/>
        </w:rPr>
        <w:t>the parties</w:t>
      </w:r>
      <w:r w:rsidR="00550AEE">
        <w:rPr>
          <w:rFonts w:ascii="Arial" w:hAnsi="Arial" w:cs="Arial"/>
          <w:sz w:val="24"/>
          <w:szCs w:val="24"/>
        </w:rPr>
        <w:t>,</w:t>
      </w:r>
      <w:r w:rsidR="00C16E89">
        <w:rPr>
          <w:rFonts w:ascii="Arial" w:hAnsi="Arial" w:cs="Arial"/>
          <w:sz w:val="24"/>
          <w:szCs w:val="24"/>
        </w:rPr>
        <w:t xml:space="preserve"> </w:t>
      </w:r>
      <w:r w:rsidR="00CD440F">
        <w:rPr>
          <w:rFonts w:ascii="Arial" w:hAnsi="Arial" w:cs="Arial"/>
          <w:sz w:val="24"/>
          <w:szCs w:val="24"/>
        </w:rPr>
        <w:t xml:space="preserve">would be incorrect. It is a </w:t>
      </w:r>
      <w:r w:rsidR="00CD440F" w:rsidRPr="00C16E89">
        <w:rPr>
          <w:rFonts w:ascii="Arial" w:hAnsi="Arial" w:cs="Arial"/>
          <w:sz w:val="24"/>
          <w:szCs w:val="24"/>
          <w:u w:val="single"/>
        </w:rPr>
        <w:lastRenderedPageBreak/>
        <w:t>nomination</w:t>
      </w:r>
      <w:r w:rsidR="00CD440F">
        <w:rPr>
          <w:rFonts w:ascii="Arial" w:hAnsi="Arial" w:cs="Arial"/>
          <w:sz w:val="24"/>
          <w:szCs w:val="24"/>
        </w:rPr>
        <w:t xml:space="preserve"> as </w:t>
      </w:r>
      <w:r w:rsidR="00C16E89">
        <w:rPr>
          <w:rFonts w:ascii="Arial" w:hAnsi="Arial" w:cs="Arial"/>
          <w:sz w:val="24"/>
          <w:szCs w:val="24"/>
        </w:rPr>
        <w:t>is plainly</w:t>
      </w:r>
      <w:r w:rsidR="00CD440F">
        <w:rPr>
          <w:rFonts w:ascii="Arial" w:hAnsi="Arial" w:cs="Arial"/>
          <w:sz w:val="24"/>
          <w:szCs w:val="24"/>
        </w:rPr>
        <w:t xml:space="preserve"> stated</w:t>
      </w:r>
      <w:r w:rsidR="00C16E89">
        <w:rPr>
          <w:rFonts w:ascii="Arial" w:hAnsi="Arial" w:cs="Arial"/>
          <w:sz w:val="24"/>
          <w:szCs w:val="24"/>
        </w:rPr>
        <w:t xml:space="preserve"> in the will</w:t>
      </w:r>
      <w:r w:rsidR="00CD440F">
        <w:rPr>
          <w:rFonts w:ascii="Arial" w:hAnsi="Arial" w:cs="Arial"/>
          <w:sz w:val="24"/>
          <w:szCs w:val="24"/>
        </w:rPr>
        <w:t xml:space="preserve"> and the children’s court would still be required to determine what would be in the best interest</w:t>
      </w:r>
      <w:r w:rsidR="00956170">
        <w:rPr>
          <w:rFonts w:ascii="Arial" w:hAnsi="Arial" w:cs="Arial"/>
          <w:sz w:val="24"/>
          <w:szCs w:val="24"/>
        </w:rPr>
        <w:t>s</w:t>
      </w:r>
      <w:r w:rsidR="00CD440F">
        <w:rPr>
          <w:rFonts w:ascii="Arial" w:hAnsi="Arial" w:cs="Arial"/>
          <w:sz w:val="24"/>
          <w:szCs w:val="24"/>
        </w:rPr>
        <w:t xml:space="preserve"> of G</w:t>
      </w:r>
      <w:r w:rsidR="00975DE7">
        <w:rPr>
          <w:rFonts w:ascii="Arial" w:hAnsi="Arial" w:cs="Arial"/>
          <w:sz w:val="24"/>
          <w:szCs w:val="24"/>
        </w:rPr>
        <w:t>, and tak</w:t>
      </w:r>
      <w:r w:rsidR="00FD0D33">
        <w:rPr>
          <w:rFonts w:ascii="Arial" w:hAnsi="Arial" w:cs="Arial"/>
          <w:sz w:val="24"/>
          <w:szCs w:val="24"/>
        </w:rPr>
        <w:t>e</w:t>
      </w:r>
      <w:r w:rsidR="00975DE7">
        <w:rPr>
          <w:rFonts w:ascii="Arial" w:hAnsi="Arial" w:cs="Arial"/>
          <w:sz w:val="24"/>
          <w:szCs w:val="24"/>
        </w:rPr>
        <w:t xml:space="preserve"> into account the wishes of the deceased when doing so</w:t>
      </w:r>
      <w:r w:rsidR="00CD440F">
        <w:rPr>
          <w:rFonts w:ascii="Arial" w:hAnsi="Arial" w:cs="Arial"/>
          <w:sz w:val="24"/>
          <w:szCs w:val="24"/>
        </w:rPr>
        <w:t xml:space="preserve">. The respondent </w:t>
      </w:r>
      <w:r w:rsidR="00CF18FF">
        <w:rPr>
          <w:rFonts w:ascii="Arial" w:hAnsi="Arial" w:cs="Arial"/>
          <w:sz w:val="24"/>
          <w:szCs w:val="24"/>
        </w:rPr>
        <w:t xml:space="preserve">asserted that he was involved in G’s life and that it </w:t>
      </w:r>
      <w:r w:rsidR="00CD440F">
        <w:rPr>
          <w:rFonts w:ascii="Arial" w:hAnsi="Arial" w:cs="Arial"/>
          <w:sz w:val="24"/>
          <w:szCs w:val="24"/>
        </w:rPr>
        <w:t>would be</w:t>
      </w:r>
      <w:r w:rsidR="00CF18FF">
        <w:rPr>
          <w:rFonts w:ascii="Arial" w:hAnsi="Arial" w:cs="Arial"/>
          <w:sz w:val="24"/>
          <w:szCs w:val="24"/>
        </w:rPr>
        <w:t xml:space="preserve"> in </w:t>
      </w:r>
      <w:r w:rsidR="00550AEE">
        <w:rPr>
          <w:rFonts w:ascii="Arial" w:hAnsi="Arial" w:cs="Arial"/>
          <w:sz w:val="24"/>
          <w:szCs w:val="24"/>
        </w:rPr>
        <w:t>the</w:t>
      </w:r>
      <w:r w:rsidR="00CF18FF">
        <w:rPr>
          <w:rFonts w:ascii="Arial" w:hAnsi="Arial" w:cs="Arial"/>
          <w:sz w:val="24"/>
          <w:szCs w:val="24"/>
        </w:rPr>
        <w:t xml:space="preserve"> best interest</w:t>
      </w:r>
      <w:r w:rsidR="00956170">
        <w:rPr>
          <w:rFonts w:ascii="Arial" w:hAnsi="Arial" w:cs="Arial"/>
          <w:sz w:val="24"/>
          <w:szCs w:val="24"/>
        </w:rPr>
        <w:t>s of G</w:t>
      </w:r>
      <w:r w:rsidR="00CF18FF">
        <w:rPr>
          <w:rFonts w:ascii="Arial" w:hAnsi="Arial" w:cs="Arial"/>
          <w:sz w:val="24"/>
          <w:szCs w:val="24"/>
        </w:rPr>
        <w:t xml:space="preserve"> for guardianship to be awarded to him. Th</w:t>
      </w:r>
      <w:r w:rsidR="00C540B4">
        <w:rPr>
          <w:rFonts w:ascii="Arial" w:hAnsi="Arial" w:cs="Arial"/>
          <w:sz w:val="24"/>
          <w:szCs w:val="24"/>
        </w:rPr>
        <w:t>is is disputed by the appellant</w:t>
      </w:r>
      <w:r w:rsidR="00CF18FF">
        <w:rPr>
          <w:rFonts w:ascii="Arial" w:hAnsi="Arial" w:cs="Arial"/>
          <w:sz w:val="24"/>
          <w:szCs w:val="24"/>
        </w:rPr>
        <w:t>.</w:t>
      </w:r>
    </w:p>
    <w:p w:rsidR="00E02269" w:rsidRDefault="00E02269" w:rsidP="00AB791E">
      <w:pPr>
        <w:spacing w:after="0" w:line="480" w:lineRule="auto"/>
        <w:rPr>
          <w:rFonts w:ascii="Arial" w:hAnsi="Arial" w:cs="Arial"/>
          <w:sz w:val="24"/>
          <w:szCs w:val="24"/>
        </w:rPr>
      </w:pPr>
    </w:p>
    <w:p w:rsidR="00CF18FF" w:rsidRPr="00CF18FF" w:rsidRDefault="00CF18FF" w:rsidP="00AB791E">
      <w:pPr>
        <w:spacing w:after="0" w:line="480" w:lineRule="auto"/>
        <w:rPr>
          <w:rFonts w:ascii="Arial" w:hAnsi="Arial" w:cs="Arial"/>
          <w:sz w:val="24"/>
          <w:szCs w:val="24"/>
          <w:u w:val="single"/>
        </w:rPr>
      </w:pPr>
      <w:r>
        <w:rPr>
          <w:rFonts w:ascii="Arial" w:hAnsi="Arial" w:cs="Arial"/>
          <w:sz w:val="24"/>
          <w:szCs w:val="24"/>
          <w:u w:val="single"/>
        </w:rPr>
        <w:t>Proceedings in the High Court</w:t>
      </w:r>
    </w:p>
    <w:p w:rsidR="00A73BEC" w:rsidRDefault="00CF18FF"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issue to be determined by the High Court was thus whether the </w:t>
      </w:r>
      <w:r w:rsidR="006865D5">
        <w:rPr>
          <w:rFonts w:ascii="Arial" w:hAnsi="Arial" w:cs="Arial"/>
          <w:sz w:val="24"/>
          <w:szCs w:val="24"/>
        </w:rPr>
        <w:t>High</w:t>
      </w:r>
      <w:r>
        <w:rPr>
          <w:rFonts w:ascii="Arial" w:hAnsi="Arial" w:cs="Arial"/>
          <w:sz w:val="24"/>
          <w:szCs w:val="24"/>
        </w:rPr>
        <w:t xml:space="preserve"> Court</w:t>
      </w:r>
      <w:r w:rsidR="006865D5">
        <w:rPr>
          <w:rFonts w:ascii="Arial" w:hAnsi="Arial" w:cs="Arial"/>
          <w:sz w:val="24"/>
          <w:szCs w:val="24"/>
        </w:rPr>
        <w:t xml:space="preserve"> as a </w:t>
      </w:r>
      <w:r>
        <w:rPr>
          <w:rFonts w:ascii="Arial" w:hAnsi="Arial" w:cs="Arial"/>
          <w:sz w:val="24"/>
          <w:szCs w:val="24"/>
        </w:rPr>
        <w:t xml:space="preserve">court of first instance </w:t>
      </w:r>
      <w:r w:rsidR="00CD440F">
        <w:rPr>
          <w:rFonts w:ascii="Arial" w:hAnsi="Arial" w:cs="Arial"/>
          <w:sz w:val="24"/>
          <w:szCs w:val="24"/>
        </w:rPr>
        <w:t xml:space="preserve">should </w:t>
      </w:r>
      <w:r w:rsidR="00C16E89">
        <w:rPr>
          <w:rFonts w:ascii="Arial" w:hAnsi="Arial" w:cs="Arial"/>
          <w:sz w:val="24"/>
          <w:szCs w:val="24"/>
        </w:rPr>
        <w:t xml:space="preserve">usurp the children’s court and </w:t>
      </w:r>
      <w:r w:rsidR="00CD440F">
        <w:rPr>
          <w:rFonts w:ascii="Arial" w:hAnsi="Arial" w:cs="Arial"/>
          <w:sz w:val="24"/>
          <w:szCs w:val="24"/>
        </w:rPr>
        <w:t>assume</w:t>
      </w:r>
      <w:r>
        <w:rPr>
          <w:rFonts w:ascii="Arial" w:hAnsi="Arial" w:cs="Arial"/>
          <w:sz w:val="24"/>
          <w:szCs w:val="24"/>
        </w:rPr>
        <w:t xml:space="preserve"> jurisdiction to determine matters relating to custody, guardianship and </w:t>
      </w:r>
      <w:r w:rsidR="006865D5">
        <w:rPr>
          <w:rFonts w:ascii="Arial" w:hAnsi="Arial" w:cs="Arial"/>
          <w:sz w:val="24"/>
          <w:szCs w:val="24"/>
        </w:rPr>
        <w:t xml:space="preserve">control of minor children </w:t>
      </w:r>
      <w:r w:rsidR="00CD440F">
        <w:rPr>
          <w:rFonts w:ascii="Arial" w:hAnsi="Arial" w:cs="Arial"/>
          <w:sz w:val="24"/>
          <w:szCs w:val="24"/>
        </w:rPr>
        <w:t xml:space="preserve">which would </w:t>
      </w:r>
      <w:r w:rsidR="006865D5">
        <w:rPr>
          <w:rFonts w:ascii="Arial" w:hAnsi="Arial" w:cs="Arial"/>
          <w:sz w:val="24"/>
          <w:szCs w:val="24"/>
        </w:rPr>
        <w:t xml:space="preserve">otherwise resort under the jurisdiction of the </w:t>
      </w:r>
      <w:r w:rsidR="00CB5338">
        <w:rPr>
          <w:rFonts w:ascii="Arial" w:hAnsi="Arial" w:cs="Arial"/>
          <w:sz w:val="24"/>
          <w:szCs w:val="24"/>
        </w:rPr>
        <w:t>children’s court</w:t>
      </w:r>
      <w:r w:rsidR="006865D5">
        <w:rPr>
          <w:rFonts w:ascii="Arial" w:hAnsi="Arial" w:cs="Arial"/>
          <w:sz w:val="24"/>
          <w:szCs w:val="24"/>
        </w:rPr>
        <w:t>.</w:t>
      </w:r>
      <w:r w:rsidR="00C50479">
        <w:rPr>
          <w:rFonts w:ascii="Arial" w:hAnsi="Arial" w:cs="Arial"/>
          <w:sz w:val="24"/>
          <w:szCs w:val="24"/>
        </w:rPr>
        <w:t xml:space="preserve"> Counsel who appeared for the appellant</w:t>
      </w:r>
      <w:r w:rsidR="00FD0D33">
        <w:rPr>
          <w:rFonts w:ascii="Arial" w:hAnsi="Arial" w:cs="Arial"/>
          <w:sz w:val="24"/>
          <w:szCs w:val="24"/>
        </w:rPr>
        <w:t xml:space="preserve"> in this court</w:t>
      </w:r>
      <w:r w:rsidR="00C50479">
        <w:rPr>
          <w:rFonts w:ascii="Arial" w:hAnsi="Arial" w:cs="Arial"/>
          <w:sz w:val="24"/>
          <w:szCs w:val="24"/>
        </w:rPr>
        <w:t xml:space="preserve"> submitted that the court below wrongly delineated the issue as it was the stay application which served before </w:t>
      </w:r>
      <w:r w:rsidR="00FD0D33">
        <w:rPr>
          <w:rFonts w:ascii="Arial" w:hAnsi="Arial" w:cs="Arial"/>
          <w:sz w:val="24"/>
          <w:szCs w:val="24"/>
        </w:rPr>
        <w:t>it</w:t>
      </w:r>
      <w:r w:rsidR="00C50479">
        <w:rPr>
          <w:rFonts w:ascii="Arial" w:hAnsi="Arial" w:cs="Arial"/>
          <w:sz w:val="24"/>
          <w:szCs w:val="24"/>
        </w:rPr>
        <w:t xml:space="preserve">. The stay application was brought as one of urgency </w:t>
      </w:r>
      <w:r w:rsidR="00FD0D33">
        <w:rPr>
          <w:rFonts w:ascii="Arial" w:hAnsi="Arial" w:cs="Arial"/>
          <w:sz w:val="24"/>
          <w:szCs w:val="24"/>
        </w:rPr>
        <w:t xml:space="preserve">at an advanced stage </w:t>
      </w:r>
      <w:r w:rsidR="00C50479">
        <w:rPr>
          <w:rFonts w:ascii="Arial" w:hAnsi="Arial" w:cs="Arial"/>
          <w:sz w:val="24"/>
          <w:szCs w:val="24"/>
        </w:rPr>
        <w:t>and was postponed by the duty judge for a status hearing before the managing judge in the main application ‘to enable the parties to consider all pending litigation between them . . . to determine the best suitable manner in which those issues – including that relating to jurisdiction – are to be resolved</w:t>
      </w:r>
      <w:r w:rsidR="009A19CD">
        <w:rPr>
          <w:rFonts w:ascii="Arial" w:hAnsi="Arial" w:cs="Arial"/>
          <w:sz w:val="24"/>
          <w:szCs w:val="24"/>
        </w:rPr>
        <w:t>’</w:t>
      </w:r>
      <w:r w:rsidR="00C50479">
        <w:rPr>
          <w:rFonts w:ascii="Arial" w:hAnsi="Arial" w:cs="Arial"/>
          <w:sz w:val="24"/>
          <w:szCs w:val="24"/>
        </w:rPr>
        <w:t xml:space="preserve">. Counsels’ oral argument in the court below </w:t>
      </w:r>
      <w:r w:rsidR="009A19CD">
        <w:rPr>
          <w:rFonts w:ascii="Arial" w:hAnsi="Arial" w:cs="Arial"/>
          <w:sz w:val="24"/>
          <w:szCs w:val="24"/>
        </w:rPr>
        <w:t>was</w:t>
      </w:r>
      <w:r w:rsidR="00C50479">
        <w:rPr>
          <w:rFonts w:ascii="Arial" w:hAnsi="Arial" w:cs="Arial"/>
          <w:sz w:val="24"/>
          <w:szCs w:val="24"/>
        </w:rPr>
        <w:t xml:space="preserve"> transcribed</w:t>
      </w:r>
      <w:r w:rsidR="00FD0D33">
        <w:rPr>
          <w:rFonts w:ascii="Arial" w:hAnsi="Arial" w:cs="Arial"/>
          <w:sz w:val="24"/>
          <w:szCs w:val="24"/>
        </w:rPr>
        <w:t xml:space="preserve"> and included in the record. I</w:t>
      </w:r>
      <w:r w:rsidR="00C50479">
        <w:rPr>
          <w:rFonts w:ascii="Arial" w:hAnsi="Arial" w:cs="Arial"/>
          <w:sz w:val="24"/>
          <w:szCs w:val="24"/>
        </w:rPr>
        <w:t xml:space="preserve">t is apparent from </w:t>
      </w:r>
      <w:r w:rsidR="009A19CD">
        <w:rPr>
          <w:rFonts w:ascii="Arial" w:hAnsi="Arial" w:cs="Arial"/>
          <w:sz w:val="24"/>
          <w:szCs w:val="24"/>
        </w:rPr>
        <w:t xml:space="preserve">the submission from </w:t>
      </w:r>
      <w:r w:rsidR="00C50479">
        <w:rPr>
          <w:rFonts w:ascii="Arial" w:hAnsi="Arial" w:cs="Arial"/>
          <w:sz w:val="24"/>
          <w:szCs w:val="24"/>
        </w:rPr>
        <w:t>both sides that the issue argued was tha</w:t>
      </w:r>
      <w:r w:rsidR="00FD0D33">
        <w:rPr>
          <w:rFonts w:ascii="Arial" w:hAnsi="Arial" w:cs="Arial"/>
          <w:sz w:val="24"/>
          <w:szCs w:val="24"/>
        </w:rPr>
        <w:t xml:space="preserve">t </w:t>
      </w:r>
      <w:r w:rsidR="009A19CD">
        <w:rPr>
          <w:rFonts w:ascii="Arial" w:hAnsi="Arial" w:cs="Arial"/>
          <w:sz w:val="24"/>
          <w:szCs w:val="24"/>
        </w:rPr>
        <w:t xml:space="preserve">as </w:t>
      </w:r>
      <w:r w:rsidR="00FD0D33">
        <w:rPr>
          <w:rFonts w:ascii="Arial" w:hAnsi="Arial" w:cs="Arial"/>
          <w:sz w:val="24"/>
          <w:szCs w:val="24"/>
        </w:rPr>
        <w:t>summarised by the High Court</w:t>
      </w:r>
      <w:r w:rsidR="009A19CD">
        <w:rPr>
          <w:rFonts w:ascii="Arial" w:hAnsi="Arial" w:cs="Arial"/>
          <w:sz w:val="24"/>
          <w:szCs w:val="24"/>
        </w:rPr>
        <w:t>, namely jurisdiction, which had</w:t>
      </w:r>
      <w:r w:rsidR="00FD0D33">
        <w:rPr>
          <w:rFonts w:ascii="Arial" w:hAnsi="Arial" w:cs="Arial"/>
          <w:sz w:val="24"/>
          <w:szCs w:val="24"/>
        </w:rPr>
        <w:t xml:space="preserve"> no doubt crystallised as the crux of the dispute as foreshadowed by the duty judge in the urgent stay application. This point taking not raised in written argument is of no moment as the High Court and counsel directed their attention </w:t>
      </w:r>
      <w:r w:rsidR="000C28BD">
        <w:rPr>
          <w:rFonts w:ascii="Arial" w:hAnsi="Arial" w:cs="Arial"/>
          <w:sz w:val="24"/>
          <w:szCs w:val="24"/>
        </w:rPr>
        <w:t>to</w:t>
      </w:r>
      <w:r w:rsidR="00FD0D33">
        <w:rPr>
          <w:rFonts w:ascii="Arial" w:hAnsi="Arial" w:cs="Arial"/>
          <w:sz w:val="24"/>
          <w:szCs w:val="24"/>
        </w:rPr>
        <w:t xml:space="preserve"> the real issue </w:t>
      </w:r>
      <w:r w:rsidR="009A19CD">
        <w:rPr>
          <w:rFonts w:ascii="Arial" w:hAnsi="Arial" w:cs="Arial"/>
          <w:sz w:val="24"/>
          <w:szCs w:val="24"/>
        </w:rPr>
        <w:t xml:space="preserve">in </w:t>
      </w:r>
      <w:r w:rsidR="00FD0D33">
        <w:rPr>
          <w:rFonts w:ascii="Arial" w:hAnsi="Arial" w:cs="Arial"/>
          <w:sz w:val="24"/>
          <w:szCs w:val="24"/>
        </w:rPr>
        <w:t xml:space="preserve">dispute being that of jurisdiction. That after all </w:t>
      </w:r>
      <w:r w:rsidR="009A19CD">
        <w:rPr>
          <w:rFonts w:ascii="Arial" w:hAnsi="Arial" w:cs="Arial"/>
          <w:sz w:val="24"/>
          <w:szCs w:val="24"/>
        </w:rPr>
        <w:t xml:space="preserve">is </w:t>
      </w:r>
      <w:r w:rsidR="00FD0D33">
        <w:rPr>
          <w:rFonts w:ascii="Arial" w:hAnsi="Arial" w:cs="Arial"/>
          <w:sz w:val="24"/>
          <w:szCs w:val="24"/>
        </w:rPr>
        <w:t xml:space="preserve">what case management seeks to achieve </w:t>
      </w:r>
      <w:r w:rsidR="009A19CD">
        <w:rPr>
          <w:rFonts w:ascii="Arial" w:hAnsi="Arial" w:cs="Arial"/>
          <w:sz w:val="24"/>
          <w:szCs w:val="24"/>
        </w:rPr>
        <w:t xml:space="preserve">– to </w:t>
      </w:r>
      <w:r w:rsidR="00FD0D33">
        <w:rPr>
          <w:rFonts w:ascii="Arial" w:hAnsi="Arial" w:cs="Arial"/>
          <w:sz w:val="24"/>
          <w:szCs w:val="24"/>
        </w:rPr>
        <w:t>determin</w:t>
      </w:r>
      <w:r w:rsidR="009A19CD">
        <w:rPr>
          <w:rFonts w:ascii="Arial" w:hAnsi="Arial" w:cs="Arial"/>
          <w:sz w:val="24"/>
          <w:szCs w:val="24"/>
        </w:rPr>
        <w:t>e</w:t>
      </w:r>
      <w:r w:rsidR="00FD0D33">
        <w:rPr>
          <w:rFonts w:ascii="Arial" w:hAnsi="Arial" w:cs="Arial"/>
          <w:sz w:val="24"/>
          <w:szCs w:val="24"/>
        </w:rPr>
        <w:t xml:space="preserve"> the real disputes </w:t>
      </w:r>
      <w:r w:rsidR="00FD0D33">
        <w:rPr>
          <w:rFonts w:ascii="Arial" w:hAnsi="Arial" w:cs="Arial"/>
          <w:sz w:val="24"/>
          <w:szCs w:val="24"/>
        </w:rPr>
        <w:lastRenderedPageBreak/>
        <w:t>between parties. The High Court (and counsel before it) cannot be faulted for doing so.</w:t>
      </w:r>
    </w:p>
    <w:p w:rsidR="00A73BEC" w:rsidRDefault="00A73BEC" w:rsidP="00AB791E">
      <w:pPr>
        <w:pStyle w:val="ListParagraph"/>
        <w:spacing w:after="0" w:line="480" w:lineRule="auto"/>
        <w:rPr>
          <w:rFonts w:ascii="Arial" w:hAnsi="Arial" w:cs="Arial"/>
          <w:sz w:val="24"/>
          <w:szCs w:val="24"/>
        </w:rPr>
      </w:pPr>
    </w:p>
    <w:p w:rsidR="006865D5" w:rsidRDefault="00CF18FF"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After a</w:t>
      </w:r>
      <w:r w:rsidR="006865D5">
        <w:rPr>
          <w:rFonts w:ascii="Arial" w:hAnsi="Arial" w:cs="Arial"/>
          <w:sz w:val="24"/>
          <w:szCs w:val="24"/>
        </w:rPr>
        <w:t xml:space="preserve"> careful</w:t>
      </w:r>
      <w:r>
        <w:rPr>
          <w:rFonts w:ascii="Arial" w:hAnsi="Arial" w:cs="Arial"/>
          <w:sz w:val="24"/>
          <w:szCs w:val="24"/>
        </w:rPr>
        <w:t xml:space="preserve"> analysis of the Act, the High Court concluded that it was the intention of the legislature that the </w:t>
      </w:r>
      <w:r w:rsidR="00CB5338">
        <w:rPr>
          <w:rFonts w:ascii="Arial" w:hAnsi="Arial" w:cs="Arial"/>
          <w:sz w:val="24"/>
          <w:szCs w:val="24"/>
        </w:rPr>
        <w:t>children’s court</w:t>
      </w:r>
      <w:r>
        <w:rPr>
          <w:rFonts w:ascii="Arial" w:hAnsi="Arial" w:cs="Arial"/>
          <w:sz w:val="24"/>
          <w:szCs w:val="24"/>
        </w:rPr>
        <w:t xml:space="preserve"> should be the first port of call in all matters affecting issues of custody, guardianship and access to children born out of wedlock in the position of G</w:t>
      </w:r>
      <w:r w:rsidR="006865D5">
        <w:rPr>
          <w:rFonts w:ascii="Arial" w:hAnsi="Arial" w:cs="Arial"/>
          <w:sz w:val="24"/>
          <w:szCs w:val="24"/>
        </w:rPr>
        <w:t>,</w:t>
      </w:r>
      <w:r>
        <w:rPr>
          <w:rFonts w:ascii="Arial" w:hAnsi="Arial" w:cs="Arial"/>
          <w:sz w:val="24"/>
          <w:szCs w:val="24"/>
        </w:rPr>
        <w:t xml:space="preserve"> including adjudicating upon applications for guardianship of children on the death of the custodial parent. The High Court further referred to the right of parties to appeal against decisions of the </w:t>
      </w:r>
      <w:r w:rsidR="00CB5338">
        <w:rPr>
          <w:rFonts w:ascii="Arial" w:hAnsi="Arial" w:cs="Arial"/>
          <w:sz w:val="24"/>
          <w:szCs w:val="24"/>
        </w:rPr>
        <w:t>children’s court</w:t>
      </w:r>
      <w:r>
        <w:rPr>
          <w:rFonts w:ascii="Arial" w:hAnsi="Arial" w:cs="Arial"/>
          <w:sz w:val="24"/>
          <w:szCs w:val="24"/>
        </w:rPr>
        <w:t xml:space="preserve"> to the High Court. As the validity of the will was</w:t>
      </w:r>
      <w:r w:rsidR="00956170">
        <w:rPr>
          <w:rFonts w:ascii="Arial" w:hAnsi="Arial" w:cs="Arial"/>
          <w:sz w:val="24"/>
          <w:szCs w:val="24"/>
        </w:rPr>
        <w:t xml:space="preserve">, </w:t>
      </w:r>
      <w:r w:rsidR="00C50479">
        <w:rPr>
          <w:rFonts w:ascii="Arial" w:hAnsi="Arial" w:cs="Arial"/>
          <w:sz w:val="24"/>
          <w:szCs w:val="24"/>
        </w:rPr>
        <w:t xml:space="preserve">as termed by the High Court, </w:t>
      </w:r>
      <w:r>
        <w:rPr>
          <w:rFonts w:ascii="Arial" w:hAnsi="Arial" w:cs="Arial"/>
          <w:sz w:val="24"/>
          <w:szCs w:val="24"/>
        </w:rPr>
        <w:t>no longer in issue</w:t>
      </w:r>
      <w:r w:rsidR="006865D5">
        <w:rPr>
          <w:rFonts w:ascii="Arial" w:hAnsi="Arial" w:cs="Arial"/>
          <w:sz w:val="24"/>
          <w:szCs w:val="24"/>
        </w:rPr>
        <w:t>,</w:t>
      </w:r>
      <w:r>
        <w:rPr>
          <w:rFonts w:ascii="Arial" w:hAnsi="Arial" w:cs="Arial"/>
          <w:sz w:val="24"/>
          <w:szCs w:val="24"/>
        </w:rPr>
        <w:t xml:space="preserve"> the question for </w:t>
      </w:r>
      <w:r w:rsidR="00C50479">
        <w:rPr>
          <w:rFonts w:ascii="Arial" w:hAnsi="Arial" w:cs="Arial"/>
          <w:sz w:val="24"/>
          <w:szCs w:val="24"/>
        </w:rPr>
        <w:t xml:space="preserve">the </w:t>
      </w:r>
      <w:r w:rsidR="00CB5338">
        <w:rPr>
          <w:rFonts w:ascii="Arial" w:hAnsi="Arial" w:cs="Arial"/>
          <w:sz w:val="24"/>
          <w:szCs w:val="24"/>
        </w:rPr>
        <w:t>children’s court</w:t>
      </w:r>
      <w:r w:rsidR="00AB791E">
        <w:rPr>
          <w:rFonts w:ascii="Arial" w:hAnsi="Arial" w:cs="Arial"/>
          <w:sz w:val="24"/>
          <w:szCs w:val="24"/>
        </w:rPr>
        <w:t xml:space="preserve"> to consider</w:t>
      </w:r>
      <w:r w:rsidR="007D5E56">
        <w:rPr>
          <w:rFonts w:ascii="Arial" w:hAnsi="Arial" w:cs="Arial"/>
          <w:sz w:val="24"/>
          <w:szCs w:val="24"/>
        </w:rPr>
        <w:t xml:space="preserve"> was the </w:t>
      </w:r>
      <w:r w:rsidR="00FD0FD5">
        <w:rPr>
          <w:rFonts w:ascii="Arial" w:hAnsi="Arial" w:cs="Arial"/>
          <w:sz w:val="24"/>
          <w:szCs w:val="24"/>
        </w:rPr>
        <w:t>‘</w:t>
      </w:r>
      <w:r w:rsidR="007D5E56">
        <w:rPr>
          <w:rFonts w:ascii="Arial" w:hAnsi="Arial" w:cs="Arial"/>
          <w:sz w:val="24"/>
          <w:szCs w:val="24"/>
        </w:rPr>
        <w:t>prop</w:t>
      </w:r>
      <w:r w:rsidR="00FD0FD5">
        <w:rPr>
          <w:rFonts w:ascii="Arial" w:hAnsi="Arial" w:cs="Arial"/>
          <w:sz w:val="24"/>
          <w:szCs w:val="24"/>
        </w:rPr>
        <w:t>riety’</w:t>
      </w:r>
      <w:r w:rsidR="007D5E56">
        <w:rPr>
          <w:rFonts w:ascii="Arial" w:hAnsi="Arial" w:cs="Arial"/>
          <w:sz w:val="24"/>
          <w:szCs w:val="24"/>
        </w:rPr>
        <w:t xml:space="preserve"> of the deceased’s</w:t>
      </w:r>
      <w:r w:rsidR="00AB791E">
        <w:rPr>
          <w:rFonts w:ascii="Arial" w:hAnsi="Arial" w:cs="Arial"/>
          <w:sz w:val="24"/>
          <w:szCs w:val="24"/>
        </w:rPr>
        <w:t xml:space="preserve"> </w:t>
      </w:r>
      <w:r w:rsidR="00975DE7">
        <w:rPr>
          <w:rFonts w:ascii="Arial" w:hAnsi="Arial" w:cs="Arial"/>
          <w:sz w:val="24"/>
          <w:szCs w:val="24"/>
        </w:rPr>
        <w:t>‘award’ of guardianship of G to the appellant</w:t>
      </w:r>
      <w:r w:rsidR="00AB791E">
        <w:rPr>
          <w:rFonts w:ascii="Arial" w:hAnsi="Arial" w:cs="Arial"/>
          <w:sz w:val="24"/>
          <w:szCs w:val="24"/>
        </w:rPr>
        <w:t xml:space="preserve">. </w:t>
      </w:r>
    </w:p>
    <w:p w:rsidR="006865D5" w:rsidRDefault="006865D5" w:rsidP="00AE4498">
      <w:pPr>
        <w:pStyle w:val="ListParagraph"/>
        <w:spacing w:after="0" w:line="480" w:lineRule="auto"/>
        <w:rPr>
          <w:rFonts w:ascii="Arial" w:hAnsi="Arial" w:cs="Arial"/>
          <w:sz w:val="24"/>
          <w:szCs w:val="24"/>
        </w:rPr>
      </w:pPr>
    </w:p>
    <w:p w:rsidR="00A73BEC" w:rsidRDefault="00AB791E"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High Court concluded that the </w:t>
      </w:r>
      <w:r w:rsidR="00CB5338">
        <w:rPr>
          <w:rFonts w:ascii="Arial" w:hAnsi="Arial" w:cs="Arial"/>
          <w:sz w:val="24"/>
          <w:szCs w:val="24"/>
        </w:rPr>
        <w:t>children’s court</w:t>
      </w:r>
      <w:r>
        <w:rPr>
          <w:rFonts w:ascii="Arial" w:hAnsi="Arial" w:cs="Arial"/>
          <w:sz w:val="24"/>
          <w:szCs w:val="24"/>
        </w:rPr>
        <w:t xml:space="preserve"> had jurisdiction to determine whether it was open to the deceased to make such a nomination to a person other than a biological parent without regard to the latter’s wishes and made a declaratory order to that effect. The court further directed that each party pay its own costs. This order was given on 20 September 2019 </w:t>
      </w:r>
      <w:r w:rsidR="00CD440F">
        <w:rPr>
          <w:rFonts w:ascii="Arial" w:hAnsi="Arial" w:cs="Arial"/>
          <w:sz w:val="24"/>
          <w:szCs w:val="24"/>
        </w:rPr>
        <w:t>including</w:t>
      </w:r>
      <w:r>
        <w:rPr>
          <w:rFonts w:ascii="Arial" w:hAnsi="Arial" w:cs="Arial"/>
          <w:sz w:val="24"/>
          <w:szCs w:val="24"/>
        </w:rPr>
        <w:t xml:space="preserve"> a further order postponing the matter to 10 October 2019 ‘for a determination of the future conduct of the matter before this court, if at all</w:t>
      </w:r>
      <w:r w:rsidR="006865D5">
        <w:rPr>
          <w:rFonts w:ascii="Arial" w:hAnsi="Arial" w:cs="Arial"/>
          <w:sz w:val="24"/>
          <w:szCs w:val="24"/>
        </w:rPr>
        <w:t>’</w:t>
      </w:r>
      <w:r>
        <w:rPr>
          <w:rFonts w:ascii="Arial" w:hAnsi="Arial" w:cs="Arial"/>
          <w:sz w:val="24"/>
          <w:szCs w:val="24"/>
        </w:rPr>
        <w:t>.</w:t>
      </w:r>
    </w:p>
    <w:p w:rsidR="00A73BEC" w:rsidRDefault="00A73BEC" w:rsidP="00AB791E">
      <w:pPr>
        <w:pStyle w:val="ListParagraph"/>
        <w:spacing w:after="0" w:line="480" w:lineRule="auto"/>
        <w:rPr>
          <w:rFonts w:ascii="Arial" w:hAnsi="Arial" w:cs="Arial"/>
          <w:sz w:val="24"/>
          <w:szCs w:val="24"/>
        </w:rPr>
      </w:pPr>
    </w:p>
    <w:p w:rsidR="00A73BEC" w:rsidRDefault="00AB791E"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17 October</w:t>
      </w:r>
      <w:r w:rsidR="000C4A72">
        <w:rPr>
          <w:rFonts w:ascii="Arial" w:hAnsi="Arial" w:cs="Arial"/>
          <w:sz w:val="24"/>
          <w:szCs w:val="24"/>
        </w:rPr>
        <w:t xml:space="preserve"> 2019</w:t>
      </w:r>
      <w:r w:rsidR="00CD440F">
        <w:rPr>
          <w:rFonts w:ascii="Arial" w:hAnsi="Arial" w:cs="Arial"/>
          <w:sz w:val="24"/>
          <w:szCs w:val="24"/>
        </w:rPr>
        <w:t>,</w:t>
      </w:r>
      <w:r>
        <w:rPr>
          <w:rFonts w:ascii="Arial" w:hAnsi="Arial" w:cs="Arial"/>
          <w:sz w:val="24"/>
          <w:szCs w:val="24"/>
        </w:rPr>
        <w:t xml:space="preserve"> the </w:t>
      </w:r>
      <w:r w:rsidR="00CD440F">
        <w:rPr>
          <w:rFonts w:ascii="Arial" w:hAnsi="Arial" w:cs="Arial"/>
          <w:sz w:val="24"/>
          <w:szCs w:val="24"/>
        </w:rPr>
        <w:t xml:space="preserve">High </w:t>
      </w:r>
      <w:r w:rsidR="009E4240">
        <w:rPr>
          <w:rFonts w:ascii="Arial" w:hAnsi="Arial" w:cs="Arial"/>
          <w:sz w:val="24"/>
          <w:szCs w:val="24"/>
        </w:rPr>
        <w:t>C</w:t>
      </w:r>
      <w:r>
        <w:rPr>
          <w:rFonts w:ascii="Arial" w:hAnsi="Arial" w:cs="Arial"/>
          <w:sz w:val="24"/>
          <w:szCs w:val="24"/>
        </w:rPr>
        <w:t xml:space="preserve">ourt issued an order that it lacked jurisdiction to adjudicate the matter </w:t>
      </w:r>
      <w:r w:rsidR="006865D5">
        <w:rPr>
          <w:rFonts w:ascii="Arial" w:hAnsi="Arial" w:cs="Arial"/>
          <w:sz w:val="24"/>
          <w:szCs w:val="24"/>
        </w:rPr>
        <w:t xml:space="preserve">as the matter resided in the </w:t>
      </w:r>
      <w:r w:rsidR="00CB5338">
        <w:rPr>
          <w:rFonts w:ascii="Arial" w:hAnsi="Arial" w:cs="Arial"/>
          <w:sz w:val="24"/>
          <w:szCs w:val="24"/>
        </w:rPr>
        <w:t>children’s court</w:t>
      </w:r>
      <w:r w:rsidR="006865D5">
        <w:rPr>
          <w:rFonts w:ascii="Arial" w:hAnsi="Arial" w:cs="Arial"/>
          <w:sz w:val="24"/>
          <w:szCs w:val="24"/>
        </w:rPr>
        <w:t xml:space="preserve"> </w:t>
      </w:r>
      <w:r>
        <w:rPr>
          <w:rFonts w:ascii="Arial" w:hAnsi="Arial" w:cs="Arial"/>
          <w:sz w:val="24"/>
          <w:szCs w:val="24"/>
        </w:rPr>
        <w:t>and removed it from the roll.</w:t>
      </w:r>
    </w:p>
    <w:p w:rsidR="00AB791E" w:rsidRDefault="00AB791E" w:rsidP="00AB791E">
      <w:pPr>
        <w:spacing w:after="0" w:line="480" w:lineRule="auto"/>
        <w:rPr>
          <w:rFonts w:ascii="Arial" w:hAnsi="Arial" w:cs="Arial"/>
          <w:sz w:val="24"/>
          <w:szCs w:val="24"/>
        </w:rPr>
      </w:pPr>
    </w:p>
    <w:p w:rsidR="009A19CD" w:rsidRDefault="009A19CD" w:rsidP="00AB791E">
      <w:pPr>
        <w:spacing w:after="0" w:line="480" w:lineRule="auto"/>
        <w:rPr>
          <w:rFonts w:ascii="Arial" w:hAnsi="Arial" w:cs="Arial"/>
          <w:sz w:val="24"/>
          <w:szCs w:val="24"/>
        </w:rPr>
      </w:pPr>
    </w:p>
    <w:p w:rsidR="00AB791E" w:rsidRPr="00AB791E" w:rsidRDefault="00AB791E" w:rsidP="00AB791E">
      <w:pPr>
        <w:spacing w:after="0" w:line="480" w:lineRule="auto"/>
        <w:rPr>
          <w:rFonts w:ascii="Arial" w:hAnsi="Arial" w:cs="Arial"/>
          <w:sz w:val="24"/>
          <w:szCs w:val="24"/>
          <w:u w:val="single"/>
        </w:rPr>
      </w:pPr>
      <w:r>
        <w:rPr>
          <w:rFonts w:ascii="Arial" w:hAnsi="Arial" w:cs="Arial"/>
          <w:sz w:val="24"/>
          <w:szCs w:val="24"/>
          <w:u w:val="single"/>
        </w:rPr>
        <w:lastRenderedPageBreak/>
        <w:t>Application for condonation</w:t>
      </w:r>
    </w:p>
    <w:p w:rsidR="00AB791E" w:rsidRDefault="00AB791E" w:rsidP="00AB791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 timeously noted her appeal on 12 November 2019 – as calculated from the order</w:t>
      </w:r>
      <w:r w:rsidR="00C16E89">
        <w:rPr>
          <w:rFonts w:ascii="Arial" w:hAnsi="Arial" w:cs="Arial"/>
          <w:sz w:val="24"/>
          <w:szCs w:val="24"/>
        </w:rPr>
        <w:t xml:space="preserve"> given</w:t>
      </w:r>
      <w:r>
        <w:rPr>
          <w:rFonts w:ascii="Arial" w:hAnsi="Arial" w:cs="Arial"/>
          <w:sz w:val="24"/>
          <w:szCs w:val="24"/>
        </w:rPr>
        <w:t xml:space="preserve"> on 17 October 2019. The record </w:t>
      </w:r>
      <w:r w:rsidR="000C4A72">
        <w:rPr>
          <w:rFonts w:ascii="Arial" w:hAnsi="Arial" w:cs="Arial"/>
          <w:sz w:val="24"/>
          <w:szCs w:val="24"/>
        </w:rPr>
        <w:t xml:space="preserve">of appeal </w:t>
      </w:r>
      <w:r>
        <w:rPr>
          <w:rFonts w:ascii="Arial" w:hAnsi="Arial" w:cs="Arial"/>
          <w:sz w:val="24"/>
          <w:szCs w:val="24"/>
        </w:rPr>
        <w:t xml:space="preserve">was however only filed on 30 January 2020, two weeks late. The failure to have done so results in the appeal </w:t>
      </w:r>
      <w:r w:rsidR="006865D5">
        <w:rPr>
          <w:rFonts w:ascii="Arial" w:hAnsi="Arial" w:cs="Arial"/>
          <w:sz w:val="24"/>
          <w:szCs w:val="24"/>
        </w:rPr>
        <w:t>deemed to have been withdrawn</w:t>
      </w:r>
      <w:r>
        <w:rPr>
          <w:rFonts w:ascii="Arial" w:hAnsi="Arial" w:cs="Arial"/>
          <w:sz w:val="24"/>
          <w:szCs w:val="24"/>
        </w:rPr>
        <w:t>.</w:t>
      </w:r>
      <w:r w:rsidR="006865D5">
        <w:rPr>
          <w:rStyle w:val="FootnoteReference"/>
          <w:rFonts w:ascii="Arial" w:hAnsi="Arial" w:cs="Arial"/>
          <w:sz w:val="24"/>
          <w:szCs w:val="24"/>
        </w:rPr>
        <w:footnoteReference w:id="1"/>
      </w:r>
      <w:r>
        <w:rPr>
          <w:rFonts w:ascii="Arial" w:hAnsi="Arial" w:cs="Arial"/>
          <w:sz w:val="24"/>
          <w:szCs w:val="24"/>
        </w:rPr>
        <w:t xml:space="preserve"> Yet the appellant</w:t>
      </w:r>
      <w:r w:rsidR="00956170">
        <w:rPr>
          <w:rFonts w:ascii="Arial" w:hAnsi="Arial" w:cs="Arial"/>
          <w:sz w:val="24"/>
          <w:szCs w:val="24"/>
        </w:rPr>
        <w:t xml:space="preserve">’s </w:t>
      </w:r>
      <w:r>
        <w:rPr>
          <w:rFonts w:ascii="Arial" w:hAnsi="Arial" w:cs="Arial"/>
          <w:sz w:val="24"/>
          <w:szCs w:val="24"/>
        </w:rPr>
        <w:t xml:space="preserve">application for condonation merely seeks condonation for the late filing of the record and not reinstatement of the appeal. This is but one of the </w:t>
      </w:r>
      <w:r w:rsidR="007D5E56">
        <w:rPr>
          <w:rFonts w:ascii="Arial" w:hAnsi="Arial" w:cs="Arial"/>
          <w:sz w:val="24"/>
          <w:szCs w:val="24"/>
        </w:rPr>
        <w:t>sever</w:t>
      </w:r>
      <w:r w:rsidR="00FD0FD5">
        <w:rPr>
          <w:rFonts w:ascii="Arial" w:hAnsi="Arial" w:cs="Arial"/>
          <w:sz w:val="24"/>
          <w:szCs w:val="24"/>
        </w:rPr>
        <w:t>al</w:t>
      </w:r>
      <w:r>
        <w:rPr>
          <w:rFonts w:ascii="Arial" w:hAnsi="Arial" w:cs="Arial"/>
          <w:sz w:val="24"/>
          <w:szCs w:val="24"/>
        </w:rPr>
        <w:t xml:space="preserve"> flaws which </w:t>
      </w:r>
      <w:r w:rsidR="00F56905">
        <w:rPr>
          <w:rFonts w:ascii="Arial" w:hAnsi="Arial" w:cs="Arial"/>
          <w:sz w:val="24"/>
          <w:szCs w:val="24"/>
        </w:rPr>
        <w:t xml:space="preserve">beset this </w:t>
      </w:r>
      <w:r w:rsidR="006865D5">
        <w:rPr>
          <w:rFonts w:ascii="Arial" w:hAnsi="Arial" w:cs="Arial"/>
          <w:sz w:val="24"/>
          <w:szCs w:val="24"/>
        </w:rPr>
        <w:t xml:space="preserve">condonation </w:t>
      </w:r>
      <w:r w:rsidR="00F56905">
        <w:rPr>
          <w:rFonts w:ascii="Arial" w:hAnsi="Arial" w:cs="Arial"/>
          <w:sz w:val="24"/>
          <w:szCs w:val="24"/>
        </w:rPr>
        <w:t>application.</w:t>
      </w:r>
      <w:r w:rsidR="007D5E56">
        <w:rPr>
          <w:rFonts w:ascii="Arial" w:hAnsi="Arial" w:cs="Arial"/>
          <w:sz w:val="24"/>
          <w:szCs w:val="24"/>
        </w:rPr>
        <w:t xml:space="preserve"> When this was pointed out to counsel for the appellant, an application was made </w:t>
      </w:r>
      <w:r w:rsidR="001B758C">
        <w:rPr>
          <w:rFonts w:ascii="Arial" w:hAnsi="Arial" w:cs="Arial"/>
          <w:sz w:val="24"/>
          <w:szCs w:val="24"/>
        </w:rPr>
        <w:t xml:space="preserve">from the bar </w:t>
      </w:r>
      <w:r w:rsidR="007D5E56">
        <w:rPr>
          <w:rFonts w:ascii="Arial" w:hAnsi="Arial" w:cs="Arial"/>
          <w:sz w:val="24"/>
          <w:szCs w:val="24"/>
        </w:rPr>
        <w:t xml:space="preserve">to </w:t>
      </w:r>
      <w:r w:rsidR="00FD0FD5">
        <w:rPr>
          <w:rFonts w:ascii="Arial" w:hAnsi="Arial" w:cs="Arial"/>
          <w:sz w:val="24"/>
          <w:szCs w:val="24"/>
        </w:rPr>
        <w:t>amend</w:t>
      </w:r>
      <w:r w:rsidR="007D5E56">
        <w:rPr>
          <w:rFonts w:ascii="Arial" w:hAnsi="Arial" w:cs="Arial"/>
          <w:sz w:val="24"/>
          <w:szCs w:val="24"/>
        </w:rPr>
        <w:t xml:space="preserve"> the notice of motion to </w:t>
      </w:r>
      <w:r w:rsidR="00FD0FD5">
        <w:rPr>
          <w:rFonts w:ascii="Arial" w:hAnsi="Arial" w:cs="Arial"/>
          <w:sz w:val="24"/>
          <w:szCs w:val="24"/>
        </w:rPr>
        <w:t>seek</w:t>
      </w:r>
      <w:r w:rsidR="007D5E56">
        <w:rPr>
          <w:rFonts w:ascii="Arial" w:hAnsi="Arial" w:cs="Arial"/>
          <w:sz w:val="24"/>
          <w:szCs w:val="24"/>
        </w:rPr>
        <w:t xml:space="preserve"> relief directed at reinstating the appeal.</w:t>
      </w:r>
    </w:p>
    <w:p w:rsidR="00AB791E" w:rsidRDefault="00AB791E" w:rsidP="00F56905">
      <w:pPr>
        <w:pStyle w:val="ListParagraph"/>
        <w:spacing w:after="0" w:line="480" w:lineRule="auto"/>
        <w:rPr>
          <w:rFonts w:ascii="Arial" w:hAnsi="Arial" w:cs="Arial"/>
          <w:sz w:val="24"/>
          <w:szCs w:val="24"/>
        </w:rPr>
      </w:pPr>
    </w:p>
    <w:p w:rsidR="00AB791E" w:rsidRDefault="00F56905" w:rsidP="00F5690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legal practitioner tasked with compiling the record states that she was under the impression that the record was due </w:t>
      </w:r>
      <w:r w:rsidR="000C4A72">
        <w:rPr>
          <w:rFonts w:ascii="Arial" w:hAnsi="Arial" w:cs="Arial"/>
          <w:sz w:val="24"/>
          <w:szCs w:val="24"/>
        </w:rPr>
        <w:t>three</w:t>
      </w:r>
      <w:r>
        <w:rPr>
          <w:rFonts w:ascii="Arial" w:hAnsi="Arial" w:cs="Arial"/>
          <w:sz w:val="24"/>
          <w:szCs w:val="24"/>
        </w:rPr>
        <w:t xml:space="preserve"> months after filing the notice of appeal. (The practitioner also explained that she was busy with other matters, went on leave and </w:t>
      </w:r>
      <w:r w:rsidR="006865D5">
        <w:rPr>
          <w:rFonts w:ascii="Arial" w:hAnsi="Arial" w:cs="Arial"/>
          <w:sz w:val="24"/>
          <w:szCs w:val="24"/>
        </w:rPr>
        <w:t>there was a further</w:t>
      </w:r>
      <w:r>
        <w:rPr>
          <w:rFonts w:ascii="Arial" w:hAnsi="Arial" w:cs="Arial"/>
          <w:sz w:val="24"/>
          <w:szCs w:val="24"/>
        </w:rPr>
        <w:t xml:space="preserve"> delay in waiting for the input of her senior</w:t>
      </w:r>
      <w:r w:rsidR="006865D5">
        <w:rPr>
          <w:rFonts w:ascii="Arial" w:hAnsi="Arial" w:cs="Arial"/>
          <w:sz w:val="24"/>
          <w:szCs w:val="24"/>
        </w:rPr>
        <w:t xml:space="preserve"> colleague </w:t>
      </w:r>
      <w:r>
        <w:rPr>
          <w:rFonts w:ascii="Arial" w:hAnsi="Arial" w:cs="Arial"/>
          <w:sz w:val="24"/>
          <w:szCs w:val="24"/>
        </w:rPr>
        <w:t>o</w:t>
      </w:r>
      <w:r w:rsidR="009E4240">
        <w:rPr>
          <w:rFonts w:ascii="Arial" w:hAnsi="Arial" w:cs="Arial"/>
          <w:sz w:val="24"/>
          <w:szCs w:val="24"/>
        </w:rPr>
        <w:t>n the composition of the record</w:t>
      </w:r>
      <w:r>
        <w:rPr>
          <w:rFonts w:ascii="Arial" w:hAnsi="Arial" w:cs="Arial"/>
          <w:sz w:val="24"/>
          <w:szCs w:val="24"/>
        </w:rPr>
        <w:t>)</w:t>
      </w:r>
      <w:r w:rsidR="009E4240">
        <w:rPr>
          <w:rFonts w:ascii="Arial" w:hAnsi="Arial" w:cs="Arial"/>
          <w:sz w:val="24"/>
          <w:szCs w:val="24"/>
        </w:rPr>
        <w:t>.</w:t>
      </w:r>
      <w:r>
        <w:rPr>
          <w:rFonts w:ascii="Arial" w:hAnsi="Arial" w:cs="Arial"/>
          <w:sz w:val="24"/>
          <w:szCs w:val="24"/>
        </w:rPr>
        <w:t xml:space="preserve"> </w:t>
      </w:r>
    </w:p>
    <w:p w:rsidR="00AB791E" w:rsidRDefault="00AB791E" w:rsidP="00421FAC">
      <w:pPr>
        <w:pStyle w:val="ListParagraph"/>
        <w:spacing w:after="0" w:line="480" w:lineRule="auto"/>
        <w:rPr>
          <w:rFonts w:ascii="Arial" w:hAnsi="Arial" w:cs="Arial"/>
          <w:sz w:val="24"/>
          <w:szCs w:val="24"/>
        </w:rPr>
      </w:pPr>
    </w:p>
    <w:p w:rsidR="00AB791E" w:rsidRDefault="00F56905" w:rsidP="00F56905">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test in condonation applications is well settled and </w:t>
      </w:r>
      <w:r w:rsidR="006865D5">
        <w:rPr>
          <w:rFonts w:ascii="Arial" w:hAnsi="Arial" w:cs="Arial"/>
          <w:sz w:val="24"/>
          <w:szCs w:val="24"/>
        </w:rPr>
        <w:t xml:space="preserve">oft </w:t>
      </w:r>
      <w:r>
        <w:rPr>
          <w:rFonts w:ascii="Arial" w:hAnsi="Arial" w:cs="Arial"/>
          <w:sz w:val="24"/>
          <w:szCs w:val="24"/>
        </w:rPr>
        <w:t>repeated</w:t>
      </w:r>
      <w:r w:rsidR="00CD440F">
        <w:rPr>
          <w:rFonts w:ascii="Arial" w:hAnsi="Arial" w:cs="Arial"/>
          <w:sz w:val="24"/>
          <w:szCs w:val="24"/>
        </w:rPr>
        <w:t>,</w:t>
      </w:r>
      <w:r>
        <w:rPr>
          <w:rFonts w:ascii="Arial" w:hAnsi="Arial" w:cs="Arial"/>
          <w:sz w:val="24"/>
          <w:szCs w:val="24"/>
        </w:rPr>
        <w:t xml:space="preserve"> given the </w:t>
      </w:r>
      <w:r w:rsidR="00FD0FD5">
        <w:rPr>
          <w:rFonts w:ascii="Arial" w:hAnsi="Arial" w:cs="Arial"/>
          <w:sz w:val="24"/>
          <w:szCs w:val="24"/>
        </w:rPr>
        <w:t>disturbing</w:t>
      </w:r>
      <w:r>
        <w:rPr>
          <w:rFonts w:ascii="Arial" w:hAnsi="Arial" w:cs="Arial"/>
          <w:sz w:val="24"/>
          <w:szCs w:val="24"/>
        </w:rPr>
        <w:t xml:space="preserve"> frequency with which th</w:t>
      </w:r>
      <w:r w:rsidR="006865D5">
        <w:rPr>
          <w:rFonts w:ascii="Arial" w:hAnsi="Arial" w:cs="Arial"/>
          <w:sz w:val="24"/>
          <w:szCs w:val="24"/>
        </w:rPr>
        <w:t>e</w:t>
      </w:r>
      <w:r>
        <w:rPr>
          <w:rFonts w:ascii="Arial" w:hAnsi="Arial" w:cs="Arial"/>
          <w:sz w:val="24"/>
          <w:szCs w:val="24"/>
        </w:rPr>
        <w:t xml:space="preserve">se applications are necessitated by practitioners failing to comply with the rules of this court. The test requires applicants seeking condonation to provide a reasonable and acceptable explanation for the non-compliance and secondly </w:t>
      </w:r>
      <w:r w:rsidR="00CD440F">
        <w:rPr>
          <w:rFonts w:ascii="Arial" w:hAnsi="Arial" w:cs="Arial"/>
          <w:sz w:val="24"/>
          <w:szCs w:val="24"/>
        </w:rPr>
        <w:t xml:space="preserve">to </w:t>
      </w:r>
      <w:r w:rsidR="00421FAC">
        <w:rPr>
          <w:rFonts w:ascii="Arial" w:hAnsi="Arial" w:cs="Arial"/>
          <w:sz w:val="24"/>
          <w:szCs w:val="24"/>
        </w:rPr>
        <w:t>satisfy this court that there are reasonable prospects of success on appeal. As has been repeatedly stressed, there can be some interplay between these two criteria</w:t>
      </w:r>
      <w:r w:rsidR="006865D5">
        <w:rPr>
          <w:rFonts w:ascii="Arial" w:hAnsi="Arial" w:cs="Arial"/>
          <w:sz w:val="24"/>
          <w:szCs w:val="24"/>
        </w:rPr>
        <w:t>,</w:t>
      </w:r>
      <w:r w:rsidR="00421FAC">
        <w:rPr>
          <w:rFonts w:ascii="Arial" w:hAnsi="Arial" w:cs="Arial"/>
          <w:sz w:val="24"/>
          <w:szCs w:val="24"/>
        </w:rPr>
        <w:t xml:space="preserve"> such as may occur where prospects of success are overwhelming and the public importance of an issue may lead to the </w:t>
      </w:r>
      <w:r w:rsidR="00421FAC">
        <w:rPr>
          <w:rFonts w:ascii="Arial" w:hAnsi="Arial" w:cs="Arial"/>
          <w:sz w:val="24"/>
          <w:szCs w:val="24"/>
        </w:rPr>
        <w:lastRenderedPageBreak/>
        <w:t xml:space="preserve">condonation being granted even where the </w:t>
      </w:r>
      <w:r w:rsidR="006865D5">
        <w:rPr>
          <w:rFonts w:ascii="Arial" w:hAnsi="Arial" w:cs="Arial"/>
          <w:sz w:val="24"/>
          <w:szCs w:val="24"/>
        </w:rPr>
        <w:t>non-compliance</w:t>
      </w:r>
      <w:r w:rsidR="00421FAC">
        <w:rPr>
          <w:rFonts w:ascii="Arial" w:hAnsi="Arial" w:cs="Arial"/>
          <w:sz w:val="24"/>
          <w:szCs w:val="24"/>
        </w:rPr>
        <w:t xml:space="preserve"> was not satisfactorily explained.</w:t>
      </w:r>
      <w:r w:rsidR="00421FAC">
        <w:rPr>
          <w:rStyle w:val="FootnoteReference"/>
          <w:rFonts w:ascii="Arial" w:hAnsi="Arial" w:cs="Arial"/>
          <w:sz w:val="24"/>
          <w:szCs w:val="24"/>
        </w:rPr>
        <w:footnoteReference w:id="2"/>
      </w:r>
      <w:r w:rsidR="006865D5">
        <w:rPr>
          <w:rFonts w:ascii="Arial" w:hAnsi="Arial" w:cs="Arial"/>
          <w:sz w:val="24"/>
          <w:szCs w:val="24"/>
        </w:rPr>
        <w:t xml:space="preserve"> It has however also been held that </w:t>
      </w:r>
      <w:r w:rsidR="00CD440F">
        <w:rPr>
          <w:rFonts w:ascii="Arial" w:hAnsi="Arial" w:cs="Arial"/>
          <w:sz w:val="24"/>
          <w:szCs w:val="24"/>
        </w:rPr>
        <w:t xml:space="preserve">ordinarily </w:t>
      </w:r>
      <w:r w:rsidR="006865D5">
        <w:rPr>
          <w:rFonts w:ascii="Arial" w:hAnsi="Arial" w:cs="Arial"/>
          <w:sz w:val="24"/>
          <w:szCs w:val="24"/>
        </w:rPr>
        <w:t>wh</w:t>
      </w:r>
      <w:r w:rsidR="00B80D81">
        <w:rPr>
          <w:rFonts w:ascii="Arial" w:hAnsi="Arial" w:cs="Arial"/>
          <w:sz w:val="24"/>
          <w:szCs w:val="24"/>
        </w:rPr>
        <w:t>e</w:t>
      </w:r>
      <w:r w:rsidR="006865D5">
        <w:rPr>
          <w:rFonts w:ascii="Arial" w:hAnsi="Arial" w:cs="Arial"/>
          <w:sz w:val="24"/>
          <w:szCs w:val="24"/>
        </w:rPr>
        <w:t>re there is no acceptable explanation</w:t>
      </w:r>
      <w:r w:rsidR="00B80D81">
        <w:rPr>
          <w:rFonts w:ascii="Arial" w:hAnsi="Arial" w:cs="Arial"/>
          <w:sz w:val="24"/>
          <w:szCs w:val="24"/>
        </w:rPr>
        <w:t xml:space="preserve"> for</w:t>
      </w:r>
      <w:r w:rsidR="00975DE7">
        <w:rPr>
          <w:rFonts w:ascii="Arial" w:hAnsi="Arial" w:cs="Arial"/>
          <w:sz w:val="24"/>
          <w:szCs w:val="24"/>
        </w:rPr>
        <w:t xml:space="preserve"> a</w:t>
      </w:r>
      <w:r w:rsidR="00B80D81">
        <w:rPr>
          <w:rFonts w:ascii="Arial" w:hAnsi="Arial" w:cs="Arial"/>
          <w:sz w:val="24"/>
          <w:szCs w:val="24"/>
        </w:rPr>
        <w:t xml:space="preserve"> glaring or flagrant non-compliance with the rules, the application may be dismissed without consideration of the prospects of success on appeal.</w:t>
      </w:r>
      <w:r w:rsidR="00B80D81">
        <w:rPr>
          <w:rStyle w:val="FootnoteReference"/>
          <w:rFonts w:ascii="Arial" w:hAnsi="Arial" w:cs="Arial"/>
          <w:sz w:val="24"/>
          <w:szCs w:val="24"/>
        </w:rPr>
        <w:footnoteReference w:id="3"/>
      </w:r>
    </w:p>
    <w:p w:rsidR="00AB791E" w:rsidRDefault="00AB791E" w:rsidP="00421FAC">
      <w:pPr>
        <w:spacing w:after="0" w:line="480" w:lineRule="auto"/>
        <w:rPr>
          <w:rFonts w:ascii="Arial" w:hAnsi="Arial" w:cs="Arial"/>
          <w:sz w:val="24"/>
          <w:szCs w:val="24"/>
        </w:rPr>
      </w:pPr>
    </w:p>
    <w:p w:rsidR="00421FAC" w:rsidRPr="00421FAC" w:rsidRDefault="00421FAC" w:rsidP="00421FAC">
      <w:pPr>
        <w:spacing w:after="0" w:line="480" w:lineRule="auto"/>
        <w:rPr>
          <w:rFonts w:ascii="Arial" w:hAnsi="Arial" w:cs="Arial"/>
          <w:sz w:val="24"/>
          <w:szCs w:val="24"/>
          <w:u w:val="single"/>
        </w:rPr>
      </w:pPr>
      <w:r>
        <w:rPr>
          <w:rFonts w:ascii="Arial" w:hAnsi="Arial" w:cs="Arial"/>
          <w:sz w:val="24"/>
          <w:szCs w:val="24"/>
          <w:u w:val="single"/>
        </w:rPr>
        <w:t>Explanation for non-compliance</w:t>
      </w:r>
    </w:p>
    <w:p w:rsidR="00AB791E" w:rsidRDefault="00421FAC" w:rsidP="00421FA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judgment actually appealed against was handed down already on 20 September 2019 although the </w:t>
      </w:r>
      <w:r w:rsidR="00B80D81">
        <w:rPr>
          <w:rFonts w:ascii="Arial" w:hAnsi="Arial" w:cs="Arial"/>
          <w:sz w:val="24"/>
          <w:szCs w:val="24"/>
        </w:rPr>
        <w:t xml:space="preserve">last </w:t>
      </w:r>
      <w:r>
        <w:rPr>
          <w:rFonts w:ascii="Arial" w:hAnsi="Arial" w:cs="Arial"/>
          <w:sz w:val="24"/>
          <w:szCs w:val="24"/>
        </w:rPr>
        <w:t>paragraph of the order indicated that it was not as yet final</w:t>
      </w:r>
      <w:r w:rsidR="00B80D81">
        <w:rPr>
          <w:rFonts w:ascii="Arial" w:hAnsi="Arial" w:cs="Arial"/>
          <w:sz w:val="24"/>
          <w:szCs w:val="24"/>
        </w:rPr>
        <w:t xml:space="preserve">. This </w:t>
      </w:r>
      <w:r>
        <w:rPr>
          <w:rFonts w:ascii="Arial" w:hAnsi="Arial" w:cs="Arial"/>
          <w:sz w:val="24"/>
          <w:szCs w:val="24"/>
        </w:rPr>
        <w:t>then was clarified</w:t>
      </w:r>
      <w:r w:rsidR="00B80D81">
        <w:rPr>
          <w:rFonts w:ascii="Arial" w:hAnsi="Arial" w:cs="Arial"/>
          <w:sz w:val="24"/>
          <w:szCs w:val="24"/>
        </w:rPr>
        <w:t xml:space="preserve"> in the subsequent order</w:t>
      </w:r>
      <w:r w:rsidR="00975DE7">
        <w:rPr>
          <w:rFonts w:ascii="Arial" w:hAnsi="Arial" w:cs="Arial"/>
          <w:sz w:val="24"/>
          <w:szCs w:val="24"/>
        </w:rPr>
        <w:t xml:space="preserve"> on 17 October 2019. Yet</w:t>
      </w:r>
      <w:r>
        <w:rPr>
          <w:rFonts w:ascii="Arial" w:hAnsi="Arial" w:cs="Arial"/>
          <w:sz w:val="24"/>
          <w:szCs w:val="24"/>
        </w:rPr>
        <w:t xml:space="preserve"> the practitioner responsible for the record on her own version </w:t>
      </w:r>
      <w:r w:rsidR="00956170">
        <w:rPr>
          <w:rFonts w:ascii="Arial" w:hAnsi="Arial" w:cs="Arial"/>
          <w:sz w:val="24"/>
          <w:szCs w:val="24"/>
        </w:rPr>
        <w:t>for the first time</w:t>
      </w:r>
      <w:r>
        <w:rPr>
          <w:rFonts w:ascii="Arial" w:hAnsi="Arial" w:cs="Arial"/>
          <w:sz w:val="24"/>
          <w:szCs w:val="24"/>
        </w:rPr>
        <w:t xml:space="preserve"> only turned to </w:t>
      </w:r>
      <w:r w:rsidR="00B80D81">
        <w:rPr>
          <w:rFonts w:ascii="Arial" w:hAnsi="Arial" w:cs="Arial"/>
          <w:sz w:val="24"/>
          <w:szCs w:val="24"/>
        </w:rPr>
        <w:t xml:space="preserve">attend to </w:t>
      </w:r>
      <w:r>
        <w:rPr>
          <w:rFonts w:ascii="Arial" w:hAnsi="Arial" w:cs="Arial"/>
          <w:sz w:val="24"/>
          <w:szCs w:val="24"/>
        </w:rPr>
        <w:t>the record on 15 January 2020, the day before it was due</w:t>
      </w:r>
      <w:r w:rsidR="006F381E">
        <w:rPr>
          <w:rFonts w:ascii="Arial" w:hAnsi="Arial" w:cs="Arial"/>
          <w:sz w:val="24"/>
          <w:szCs w:val="24"/>
        </w:rPr>
        <w:t xml:space="preserve"> as calculated from 17 October 2019</w:t>
      </w:r>
      <w:r w:rsidR="00B80D81">
        <w:rPr>
          <w:rFonts w:ascii="Arial" w:hAnsi="Arial" w:cs="Arial"/>
          <w:sz w:val="24"/>
          <w:szCs w:val="24"/>
        </w:rPr>
        <w:t xml:space="preserve">. </w:t>
      </w:r>
      <w:r w:rsidR="006F381E">
        <w:rPr>
          <w:rFonts w:ascii="Arial" w:hAnsi="Arial" w:cs="Arial"/>
          <w:sz w:val="24"/>
          <w:szCs w:val="24"/>
        </w:rPr>
        <w:t>I pause to point out that</w:t>
      </w:r>
      <w:r w:rsidR="00B80D81">
        <w:rPr>
          <w:rFonts w:ascii="Arial" w:hAnsi="Arial" w:cs="Arial"/>
          <w:sz w:val="24"/>
          <w:szCs w:val="24"/>
        </w:rPr>
        <w:t xml:space="preserve"> the record </w:t>
      </w:r>
      <w:r w:rsidR="006F381E">
        <w:rPr>
          <w:rFonts w:ascii="Arial" w:hAnsi="Arial" w:cs="Arial"/>
          <w:sz w:val="24"/>
          <w:szCs w:val="24"/>
        </w:rPr>
        <w:t xml:space="preserve">in this matter </w:t>
      </w:r>
      <w:r w:rsidR="00B80D81">
        <w:rPr>
          <w:rFonts w:ascii="Arial" w:hAnsi="Arial" w:cs="Arial"/>
          <w:sz w:val="24"/>
          <w:szCs w:val="24"/>
        </w:rPr>
        <w:t>is</w:t>
      </w:r>
      <w:r>
        <w:rPr>
          <w:rFonts w:ascii="Arial" w:hAnsi="Arial" w:cs="Arial"/>
          <w:sz w:val="24"/>
          <w:szCs w:val="24"/>
        </w:rPr>
        <w:t xml:space="preserve"> entirely uncomplicated </w:t>
      </w:r>
      <w:r w:rsidR="00B80D81">
        <w:rPr>
          <w:rFonts w:ascii="Arial" w:hAnsi="Arial" w:cs="Arial"/>
          <w:sz w:val="24"/>
          <w:szCs w:val="24"/>
        </w:rPr>
        <w:t>as</w:t>
      </w:r>
      <w:r>
        <w:rPr>
          <w:rFonts w:ascii="Arial" w:hAnsi="Arial" w:cs="Arial"/>
          <w:sz w:val="24"/>
          <w:szCs w:val="24"/>
        </w:rPr>
        <w:t xml:space="preserve"> an opposed application</w:t>
      </w:r>
      <w:r w:rsidR="006F381E">
        <w:rPr>
          <w:rFonts w:ascii="Arial" w:hAnsi="Arial" w:cs="Arial"/>
          <w:sz w:val="24"/>
          <w:szCs w:val="24"/>
        </w:rPr>
        <w:t xml:space="preserve">. </w:t>
      </w:r>
      <w:r w:rsidR="001B758C">
        <w:rPr>
          <w:rFonts w:ascii="Arial" w:hAnsi="Arial" w:cs="Arial"/>
          <w:sz w:val="24"/>
          <w:szCs w:val="24"/>
        </w:rPr>
        <w:t>No</w:t>
      </w:r>
      <w:r>
        <w:rPr>
          <w:rFonts w:ascii="Arial" w:hAnsi="Arial" w:cs="Arial"/>
          <w:sz w:val="24"/>
          <w:szCs w:val="24"/>
        </w:rPr>
        <w:t xml:space="preserve"> transcription</w:t>
      </w:r>
      <w:r w:rsidR="001B758C">
        <w:rPr>
          <w:rFonts w:ascii="Arial" w:hAnsi="Arial" w:cs="Arial"/>
          <w:sz w:val="24"/>
          <w:szCs w:val="24"/>
        </w:rPr>
        <w:t xml:space="preserve"> was requried</w:t>
      </w:r>
      <w:r w:rsidR="006F381E">
        <w:rPr>
          <w:rFonts w:ascii="Arial" w:hAnsi="Arial" w:cs="Arial"/>
          <w:sz w:val="24"/>
          <w:szCs w:val="24"/>
        </w:rPr>
        <w:t xml:space="preserve"> in this matter</w:t>
      </w:r>
      <w:r w:rsidR="001B758C">
        <w:rPr>
          <w:rFonts w:ascii="Arial" w:hAnsi="Arial" w:cs="Arial"/>
          <w:sz w:val="24"/>
          <w:szCs w:val="24"/>
        </w:rPr>
        <w:t>.</w:t>
      </w:r>
      <w:r w:rsidR="00E26DC8">
        <w:rPr>
          <w:rStyle w:val="FootnoteReference"/>
          <w:rFonts w:ascii="Arial" w:hAnsi="Arial" w:cs="Arial"/>
          <w:sz w:val="24"/>
          <w:szCs w:val="24"/>
        </w:rPr>
        <w:footnoteReference w:id="4"/>
      </w:r>
      <w:r>
        <w:rPr>
          <w:rFonts w:ascii="Arial" w:hAnsi="Arial" w:cs="Arial"/>
          <w:sz w:val="24"/>
          <w:szCs w:val="24"/>
        </w:rPr>
        <w:t xml:space="preserve"> </w:t>
      </w:r>
      <w:r w:rsidR="001B758C">
        <w:rPr>
          <w:rFonts w:ascii="Arial" w:hAnsi="Arial" w:cs="Arial"/>
          <w:sz w:val="24"/>
          <w:szCs w:val="24"/>
        </w:rPr>
        <w:t>T</w:t>
      </w:r>
      <w:r>
        <w:rPr>
          <w:rFonts w:ascii="Arial" w:hAnsi="Arial" w:cs="Arial"/>
          <w:sz w:val="24"/>
          <w:szCs w:val="24"/>
        </w:rPr>
        <w:t xml:space="preserve">he </w:t>
      </w:r>
      <w:r w:rsidR="00FD0FD5">
        <w:rPr>
          <w:rFonts w:ascii="Arial" w:hAnsi="Arial" w:cs="Arial"/>
          <w:sz w:val="24"/>
          <w:szCs w:val="24"/>
        </w:rPr>
        <w:t xml:space="preserve">full </w:t>
      </w:r>
      <w:r>
        <w:rPr>
          <w:rFonts w:ascii="Arial" w:hAnsi="Arial" w:cs="Arial"/>
          <w:sz w:val="24"/>
          <w:szCs w:val="24"/>
        </w:rPr>
        <w:t xml:space="preserve">application papers needed </w:t>
      </w:r>
      <w:r w:rsidR="004664A0">
        <w:rPr>
          <w:rFonts w:ascii="Arial" w:hAnsi="Arial" w:cs="Arial"/>
          <w:sz w:val="24"/>
          <w:szCs w:val="24"/>
        </w:rPr>
        <w:t xml:space="preserve">to be </w:t>
      </w:r>
      <w:r w:rsidR="00B80D81">
        <w:rPr>
          <w:rFonts w:ascii="Arial" w:hAnsi="Arial" w:cs="Arial"/>
          <w:sz w:val="24"/>
          <w:szCs w:val="24"/>
        </w:rPr>
        <w:t xml:space="preserve">properly </w:t>
      </w:r>
      <w:r w:rsidR="004664A0">
        <w:rPr>
          <w:rFonts w:ascii="Arial" w:hAnsi="Arial" w:cs="Arial"/>
          <w:sz w:val="24"/>
          <w:szCs w:val="24"/>
        </w:rPr>
        <w:t xml:space="preserve">bound and indexed together with the judgment, </w:t>
      </w:r>
      <w:r w:rsidR="006F381E">
        <w:rPr>
          <w:rFonts w:ascii="Arial" w:hAnsi="Arial" w:cs="Arial"/>
          <w:sz w:val="24"/>
          <w:szCs w:val="24"/>
        </w:rPr>
        <w:t xml:space="preserve">the </w:t>
      </w:r>
      <w:r w:rsidR="004664A0">
        <w:rPr>
          <w:rFonts w:ascii="Arial" w:hAnsi="Arial" w:cs="Arial"/>
          <w:sz w:val="24"/>
          <w:szCs w:val="24"/>
        </w:rPr>
        <w:t xml:space="preserve">further court order </w:t>
      </w:r>
      <w:r w:rsidR="00C16E89">
        <w:rPr>
          <w:rFonts w:ascii="Arial" w:hAnsi="Arial" w:cs="Arial"/>
          <w:sz w:val="24"/>
          <w:szCs w:val="24"/>
        </w:rPr>
        <w:t xml:space="preserve">of 17 October 2019 </w:t>
      </w:r>
      <w:r w:rsidR="004664A0">
        <w:rPr>
          <w:rFonts w:ascii="Arial" w:hAnsi="Arial" w:cs="Arial"/>
          <w:sz w:val="24"/>
          <w:szCs w:val="24"/>
        </w:rPr>
        <w:t xml:space="preserve">and </w:t>
      </w:r>
      <w:r w:rsidR="001B758C">
        <w:rPr>
          <w:rFonts w:ascii="Arial" w:hAnsi="Arial" w:cs="Arial"/>
          <w:sz w:val="24"/>
          <w:szCs w:val="24"/>
        </w:rPr>
        <w:t xml:space="preserve">the </w:t>
      </w:r>
      <w:r w:rsidR="004664A0">
        <w:rPr>
          <w:rFonts w:ascii="Arial" w:hAnsi="Arial" w:cs="Arial"/>
          <w:sz w:val="24"/>
          <w:szCs w:val="24"/>
        </w:rPr>
        <w:t>notice of appeal.</w:t>
      </w:r>
    </w:p>
    <w:p w:rsidR="00AB791E" w:rsidRDefault="00AB791E" w:rsidP="00421FAC">
      <w:pPr>
        <w:pStyle w:val="ListParagraph"/>
        <w:spacing w:after="0" w:line="480" w:lineRule="auto"/>
        <w:rPr>
          <w:rFonts w:ascii="Arial" w:hAnsi="Arial" w:cs="Arial"/>
          <w:sz w:val="24"/>
          <w:szCs w:val="24"/>
        </w:rPr>
      </w:pPr>
    </w:p>
    <w:p w:rsidR="00AB791E" w:rsidRDefault="00B80D81" w:rsidP="00421FAC">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explanation </w:t>
      </w:r>
      <w:r w:rsidR="00821C05">
        <w:rPr>
          <w:rFonts w:ascii="Arial" w:hAnsi="Arial" w:cs="Arial"/>
          <w:sz w:val="24"/>
          <w:szCs w:val="24"/>
        </w:rPr>
        <w:t xml:space="preserve">tendered </w:t>
      </w:r>
      <w:r>
        <w:rPr>
          <w:rFonts w:ascii="Arial" w:hAnsi="Arial" w:cs="Arial"/>
          <w:sz w:val="24"/>
          <w:szCs w:val="24"/>
        </w:rPr>
        <w:t>for the delay is</w:t>
      </w:r>
      <w:r w:rsidR="004664A0">
        <w:rPr>
          <w:rFonts w:ascii="Arial" w:hAnsi="Arial" w:cs="Arial"/>
          <w:sz w:val="24"/>
          <w:szCs w:val="24"/>
        </w:rPr>
        <w:t xml:space="preserve"> essentially that the practitioner had the ‘impression’ that the record had to be filed three months from the date of the notice of appeal. </w:t>
      </w:r>
      <w:r w:rsidR="00CD440F">
        <w:rPr>
          <w:rFonts w:ascii="Arial" w:hAnsi="Arial" w:cs="Arial"/>
          <w:sz w:val="24"/>
          <w:szCs w:val="24"/>
        </w:rPr>
        <w:t xml:space="preserve">The practitioner does not take this court into her confidence as to quite how she laboured under </w:t>
      </w:r>
      <w:r w:rsidR="00C16E89">
        <w:rPr>
          <w:rFonts w:ascii="Arial" w:hAnsi="Arial" w:cs="Arial"/>
          <w:sz w:val="24"/>
          <w:szCs w:val="24"/>
        </w:rPr>
        <w:t xml:space="preserve">such </w:t>
      </w:r>
      <w:r w:rsidR="00CD440F">
        <w:rPr>
          <w:rFonts w:ascii="Arial" w:hAnsi="Arial" w:cs="Arial"/>
          <w:sz w:val="24"/>
          <w:szCs w:val="24"/>
        </w:rPr>
        <w:t xml:space="preserve">an ‘impression’. Rule 8(2) of the rules of this court </w:t>
      </w:r>
      <w:r w:rsidR="00E26DC8">
        <w:rPr>
          <w:rFonts w:ascii="Arial" w:hAnsi="Arial" w:cs="Arial"/>
          <w:sz w:val="24"/>
          <w:szCs w:val="24"/>
        </w:rPr>
        <w:t>spells out in plain language</w:t>
      </w:r>
      <w:r w:rsidR="00CD440F">
        <w:rPr>
          <w:rFonts w:ascii="Arial" w:hAnsi="Arial" w:cs="Arial"/>
          <w:sz w:val="24"/>
          <w:szCs w:val="24"/>
        </w:rPr>
        <w:t xml:space="preserve"> that a record is to be filed within </w:t>
      </w:r>
      <w:r w:rsidR="009E4240">
        <w:rPr>
          <w:rFonts w:ascii="Arial" w:hAnsi="Arial" w:cs="Arial"/>
          <w:sz w:val="24"/>
          <w:szCs w:val="24"/>
        </w:rPr>
        <w:t>three</w:t>
      </w:r>
      <w:r w:rsidR="00CD440F">
        <w:rPr>
          <w:rFonts w:ascii="Arial" w:hAnsi="Arial" w:cs="Arial"/>
          <w:sz w:val="24"/>
          <w:szCs w:val="24"/>
        </w:rPr>
        <w:t xml:space="preserve"> months of </w:t>
      </w:r>
      <w:r w:rsidR="00E26DC8">
        <w:rPr>
          <w:rFonts w:ascii="Arial" w:hAnsi="Arial" w:cs="Arial"/>
          <w:sz w:val="24"/>
          <w:szCs w:val="24"/>
        </w:rPr>
        <w:lastRenderedPageBreak/>
        <w:t xml:space="preserve">the </w:t>
      </w:r>
      <w:r w:rsidR="00CD440F">
        <w:rPr>
          <w:rFonts w:ascii="Arial" w:hAnsi="Arial" w:cs="Arial"/>
          <w:sz w:val="24"/>
          <w:szCs w:val="24"/>
        </w:rPr>
        <w:t xml:space="preserve">date of judgment appealed against. Precisely the same time limit applied in the previous rules of this court which </w:t>
      </w:r>
      <w:r w:rsidR="001B758C">
        <w:rPr>
          <w:rFonts w:ascii="Arial" w:hAnsi="Arial" w:cs="Arial"/>
          <w:sz w:val="24"/>
          <w:szCs w:val="24"/>
        </w:rPr>
        <w:t>were in</w:t>
      </w:r>
      <w:r w:rsidR="00332577">
        <w:rPr>
          <w:rFonts w:ascii="Arial" w:hAnsi="Arial" w:cs="Arial"/>
          <w:sz w:val="24"/>
          <w:szCs w:val="24"/>
        </w:rPr>
        <w:t xml:space="preserve"> </w:t>
      </w:r>
      <w:r w:rsidR="001B758C">
        <w:rPr>
          <w:rFonts w:ascii="Arial" w:hAnsi="Arial" w:cs="Arial"/>
          <w:sz w:val="24"/>
          <w:szCs w:val="24"/>
        </w:rPr>
        <w:t xml:space="preserve">force </w:t>
      </w:r>
      <w:r w:rsidR="00CD440F">
        <w:rPr>
          <w:rFonts w:ascii="Arial" w:hAnsi="Arial" w:cs="Arial"/>
          <w:sz w:val="24"/>
          <w:szCs w:val="24"/>
        </w:rPr>
        <w:t xml:space="preserve">from 1990 to 2017. The same time limit </w:t>
      </w:r>
      <w:r w:rsidR="00975DE7">
        <w:rPr>
          <w:rFonts w:ascii="Arial" w:hAnsi="Arial" w:cs="Arial"/>
          <w:sz w:val="24"/>
          <w:szCs w:val="24"/>
        </w:rPr>
        <w:t xml:space="preserve">also </w:t>
      </w:r>
      <w:r w:rsidR="00CD440F">
        <w:rPr>
          <w:rFonts w:ascii="Arial" w:hAnsi="Arial" w:cs="Arial"/>
          <w:sz w:val="24"/>
          <w:szCs w:val="24"/>
        </w:rPr>
        <w:t>applied to appeals to the South African Appellate Division prior to independence when that court was the final court of appeal in respect of appeals from Namibia. Th</w:t>
      </w:r>
      <w:r w:rsidR="00821C05">
        <w:rPr>
          <w:rFonts w:ascii="Arial" w:hAnsi="Arial" w:cs="Arial"/>
          <w:sz w:val="24"/>
          <w:szCs w:val="24"/>
        </w:rPr>
        <w:t>i</w:t>
      </w:r>
      <w:r w:rsidR="00CD440F">
        <w:rPr>
          <w:rFonts w:ascii="Arial" w:hAnsi="Arial" w:cs="Arial"/>
          <w:sz w:val="24"/>
          <w:szCs w:val="24"/>
        </w:rPr>
        <w:t>s ‘impression’</w:t>
      </w:r>
      <w:r w:rsidR="004664A0">
        <w:rPr>
          <w:rFonts w:ascii="Arial" w:hAnsi="Arial" w:cs="Arial"/>
          <w:sz w:val="24"/>
          <w:szCs w:val="24"/>
        </w:rPr>
        <w:t xml:space="preserve"> can </w:t>
      </w:r>
      <w:r w:rsidR="006F381E">
        <w:rPr>
          <w:rFonts w:ascii="Arial" w:hAnsi="Arial" w:cs="Arial"/>
          <w:sz w:val="24"/>
          <w:szCs w:val="24"/>
        </w:rPr>
        <w:t xml:space="preserve">thus </w:t>
      </w:r>
      <w:r w:rsidR="004664A0">
        <w:rPr>
          <w:rFonts w:ascii="Arial" w:hAnsi="Arial" w:cs="Arial"/>
          <w:sz w:val="24"/>
          <w:szCs w:val="24"/>
        </w:rPr>
        <w:t xml:space="preserve">have no basis </w:t>
      </w:r>
      <w:r w:rsidR="00FD0FD5">
        <w:rPr>
          <w:rFonts w:ascii="Arial" w:hAnsi="Arial" w:cs="Arial"/>
          <w:sz w:val="24"/>
          <w:szCs w:val="24"/>
        </w:rPr>
        <w:t>i</w:t>
      </w:r>
      <w:r w:rsidR="004664A0">
        <w:rPr>
          <w:rFonts w:ascii="Arial" w:hAnsi="Arial" w:cs="Arial"/>
          <w:sz w:val="24"/>
          <w:szCs w:val="24"/>
        </w:rPr>
        <w:t>n any prior formulation of rules.</w:t>
      </w:r>
      <w:r>
        <w:rPr>
          <w:rFonts w:ascii="Arial" w:hAnsi="Arial" w:cs="Arial"/>
          <w:sz w:val="24"/>
          <w:szCs w:val="24"/>
        </w:rPr>
        <w:t xml:space="preserve"> </w:t>
      </w:r>
    </w:p>
    <w:p w:rsidR="00AB791E" w:rsidRDefault="00AB791E" w:rsidP="00421FAC">
      <w:pPr>
        <w:pStyle w:val="ListParagraph"/>
        <w:spacing w:after="0" w:line="480" w:lineRule="auto"/>
        <w:rPr>
          <w:rFonts w:ascii="Arial" w:hAnsi="Arial" w:cs="Arial"/>
          <w:sz w:val="24"/>
          <w:szCs w:val="24"/>
        </w:rPr>
      </w:pPr>
    </w:p>
    <w:p w:rsidR="00821C05" w:rsidRDefault="004664A0" w:rsidP="00B80D81">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absence of the ‘impr</w:t>
      </w:r>
      <w:r w:rsidR="00B80D81">
        <w:rPr>
          <w:rFonts w:ascii="Arial" w:hAnsi="Arial" w:cs="Arial"/>
          <w:sz w:val="24"/>
          <w:szCs w:val="24"/>
        </w:rPr>
        <w:t>ession’ being explained</w:t>
      </w:r>
      <w:r w:rsidR="00975DE7">
        <w:rPr>
          <w:rFonts w:ascii="Arial" w:hAnsi="Arial" w:cs="Arial"/>
          <w:sz w:val="24"/>
          <w:szCs w:val="24"/>
        </w:rPr>
        <w:t xml:space="preserve"> at all (and where an explanation is certainly called for)</w:t>
      </w:r>
      <w:r w:rsidR="00B80D81">
        <w:rPr>
          <w:rFonts w:ascii="Arial" w:hAnsi="Arial" w:cs="Arial"/>
          <w:sz w:val="24"/>
          <w:szCs w:val="24"/>
        </w:rPr>
        <w:t xml:space="preserve">, it </w:t>
      </w:r>
      <w:r w:rsidR="006F381E">
        <w:rPr>
          <w:rFonts w:ascii="Arial" w:hAnsi="Arial" w:cs="Arial"/>
          <w:sz w:val="24"/>
          <w:szCs w:val="24"/>
        </w:rPr>
        <w:t>is nothing more than</w:t>
      </w:r>
      <w:r>
        <w:rPr>
          <w:rFonts w:ascii="Arial" w:hAnsi="Arial" w:cs="Arial"/>
          <w:sz w:val="24"/>
          <w:szCs w:val="24"/>
        </w:rPr>
        <w:t xml:space="preserve"> a self-serving statement </w:t>
      </w:r>
      <w:r w:rsidR="00B80D81">
        <w:rPr>
          <w:rFonts w:ascii="Arial" w:hAnsi="Arial" w:cs="Arial"/>
          <w:sz w:val="24"/>
          <w:szCs w:val="24"/>
        </w:rPr>
        <w:t>set up</w:t>
      </w:r>
      <w:r>
        <w:rPr>
          <w:rFonts w:ascii="Arial" w:hAnsi="Arial" w:cs="Arial"/>
          <w:sz w:val="24"/>
          <w:szCs w:val="24"/>
        </w:rPr>
        <w:t xml:space="preserve"> to suit </w:t>
      </w:r>
      <w:r w:rsidR="00B80D81">
        <w:rPr>
          <w:rFonts w:ascii="Arial" w:hAnsi="Arial" w:cs="Arial"/>
          <w:sz w:val="24"/>
          <w:szCs w:val="24"/>
        </w:rPr>
        <w:t>the timing of her</w:t>
      </w:r>
      <w:r w:rsidR="00E26DC8">
        <w:rPr>
          <w:rFonts w:ascii="Arial" w:hAnsi="Arial" w:cs="Arial"/>
          <w:sz w:val="24"/>
          <w:szCs w:val="24"/>
        </w:rPr>
        <w:t xml:space="preserve"> </w:t>
      </w:r>
      <w:r w:rsidR="00FD0FD5">
        <w:rPr>
          <w:rFonts w:ascii="Arial" w:hAnsi="Arial" w:cs="Arial"/>
          <w:sz w:val="24"/>
          <w:szCs w:val="24"/>
        </w:rPr>
        <w:t>eventual filing of the record</w:t>
      </w:r>
      <w:r w:rsidR="006F381E">
        <w:rPr>
          <w:rFonts w:ascii="Arial" w:hAnsi="Arial" w:cs="Arial"/>
          <w:sz w:val="24"/>
          <w:szCs w:val="24"/>
        </w:rPr>
        <w:t xml:space="preserve">, </w:t>
      </w:r>
      <w:r w:rsidR="00B80D81">
        <w:rPr>
          <w:rFonts w:ascii="Arial" w:hAnsi="Arial" w:cs="Arial"/>
          <w:sz w:val="24"/>
          <w:szCs w:val="24"/>
        </w:rPr>
        <w:t>without a</w:t>
      </w:r>
      <w:r w:rsidR="00E26DC8">
        <w:rPr>
          <w:rFonts w:ascii="Arial" w:hAnsi="Arial" w:cs="Arial"/>
          <w:sz w:val="24"/>
          <w:szCs w:val="24"/>
        </w:rPr>
        <w:t>ny</w:t>
      </w:r>
      <w:r w:rsidR="00B80D81">
        <w:rPr>
          <w:rFonts w:ascii="Arial" w:hAnsi="Arial" w:cs="Arial"/>
          <w:sz w:val="24"/>
          <w:szCs w:val="24"/>
        </w:rPr>
        <w:t xml:space="preserve"> plausible basis and thus lacking in</w:t>
      </w:r>
      <w:r>
        <w:rPr>
          <w:rFonts w:ascii="Arial" w:hAnsi="Arial" w:cs="Arial"/>
          <w:sz w:val="24"/>
          <w:szCs w:val="24"/>
        </w:rPr>
        <w:t xml:space="preserve"> credibility. What is clear from this extremely unsatisfactory explanation is that the practitioner </w:t>
      </w:r>
      <w:r w:rsidR="00E26DC8">
        <w:rPr>
          <w:rFonts w:ascii="Arial" w:hAnsi="Arial" w:cs="Arial"/>
          <w:sz w:val="24"/>
          <w:szCs w:val="24"/>
        </w:rPr>
        <w:t>plainly</w:t>
      </w:r>
      <w:r>
        <w:rPr>
          <w:rFonts w:ascii="Arial" w:hAnsi="Arial" w:cs="Arial"/>
          <w:sz w:val="24"/>
          <w:szCs w:val="24"/>
        </w:rPr>
        <w:t xml:space="preserve"> did not have the slightest regard for the applicable rule which is clear and unambiguous</w:t>
      </w:r>
      <w:r w:rsidR="00B80D81">
        <w:rPr>
          <w:rFonts w:ascii="Arial" w:hAnsi="Arial" w:cs="Arial"/>
          <w:sz w:val="24"/>
          <w:szCs w:val="24"/>
        </w:rPr>
        <w:t xml:space="preserve"> in its requirement</w:t>
      </w:r>
      <w:r>
        <w:rPr>
          <w:rFonts w:ascii="Arial" w:hAnsi="Arial" w:cs="Arial"/>
          <w:sz w:val="24"/>
          <w:szCs w:val="24"/>
        </w:rPr>
        <w:t xml:space="preserve">. The practitioner </w:t>
      </w:r>
      <w:r w:rsidR="00975DE7">
        <w:rPr>
          <w:rFonts w:ascii="Arial" w:hAnsi="Arial" w:cs="Arial"/>
          <w:sz w:val="24"/>
          <w:szCs w:val="24"/>
        </w:rPr>
        <w:t xml:space="preserve">furthermore </w:t>
      </w:r>
      <w:r>
        <w:rPr>
          <w:rFonts w:ascii="Arial" w:hAnsi="Arial" w:cs="Arial"/>
          <w:sz w:val="24"/>
          <w:szCs w:val="24"/>
        </w:rPr>
        <w:t xml:space="preserve">does not state when she </w:t>
      </w:r>
      <w:r w:rsidR="00821C05">
        <w:rPr>
          <w:rFonts w:ascii="Arial" w:hAnsi="Arial" w:cs="Arial"/>
          <w:sz w:val="24"/>
          <w:szCs w:val="24"/>
        </w:rPr>
        <w:t>was eventually moved</w:t>
      </w:r>
      <w:r>
        <w:rPr>
          <w:rFonts w:ascii="Arial" w:hAnsi="Arial" w:cs="Arial"/>
          <w:sz w:val="24"/>
          <w:szCs w:val="24"/>
        </w:rPr>
        <w:t xml:space="preserve"> to look at the rules </w:t>
      </w:r>
      <w:r w:rsidR="00FD0FD5">
        <w:rPr>
          <w:rFonts w:ascii="Arial" w:hAnsi="Arial" w:cs="Arial"/>
          <w:sz w:val="24"/>
          <w:szCs w:val="24"/>
        </w:rPr>
        <w:t>and establish what i</w:t>
      </w:r>
      <w:r w:rsidR="00B80D81">
        <w:rPr>
          <w:rFonts w:ascii="Arial" w:hAnsi="Arial" w:cs="Arial"/>
          <w:sz w:val="24"/>
          <w:szCs w:val="24"/>
        </w:rPr>
        <w:t>s required</w:t>
      </w:r>
      <w:r w:rsidR="00FD0FD5">
        <w:rPr>
          <w:rFonts w:ascii="Arial" w:hAnsi="Arial" w:cs="Arial"/>
          <w:sz w:val="24"/>
          <w:szCs w:val="24"/>
        </w:rPr>
        <w:t xml:space="preserve"> by the rules</w:t>
      </w:r>
      <w:r w:rsidR="00821C05">
        <w:rPr>
          <w:rFonts w:ascii="Arial" w:hAnsi="Arial" w:cs="Arial"/>
          <w:sz w:val="24"/>
          <w:szCs w:val="24"/>
        </w:rPr>
        <w:t xml:space="preserve"> and what so moved her to do so. T</w:t>
      </w:r>
      <w:r>
        <w:rPr>
          <w:rFonts w:ascii="Arial" w:hAnsi="Arial" w:cs="Arial"/>
          <w:sz w:val="24"/>
          <w:szCs w:val="24"/>
        </w:rPr>
        <w:t xml:space="preserve">he condonation application is only filed on 24 March 2020 – nearly two months after the record was filed. This </w:t>
      </w:r>
      <w:r w:rsidR="00821C05">
        <w:rPr>
          <w:rFonts w:ascii="Arial" w:hAnsi="Arial" w:cs="Arial"/>
          <w:sz w:val="24"/>
          <w:szCs w:val="24"/>
        </w:rPr>
        <w:t xml:space="preserve">fact is relevant in applications of this nature, given </w:t>
      </w:r>
      <w:r>
        <w:rPr>
          <w:rFonts w:ascii="Arial" w:hAnsi="Arial" w:cs="Arial"/>
          <w:sz w:val="24"/>
          <w:szCs w:val="24"/>
        </w:rPr>
        <w:t>the obligation on a practitioner to bring a condonation promptly after becoming aware of the non-compliance</w:t>
      </w:r>
      <w:r w:rsidR="00975DE7">
        <w:rPr>
          <w:rFonts w:ascii="Arial" w:hAnsi="Arial" w:cs="Arial"/>
          <w:sz w:val="24"/>
          <w:szCs w:val="24"/>
        </w:rPr>
        <w:t xml:space="preserve"> in question</w:t>
      </w:r>
      <w:r>
        <w:rPr>
          <w:rFonts w:ascii="Arial" w:hAnsi="Arial" w:cs="Arial"/>
          <w:sz w:val="24"/>
          <w:szCs w:val="24"/>
        </w:rPr>
        <w:t>.</w:t>
      </w:r>
    </w:p>
    <w:p w:rsidR="00821C05" w:rsidRDefault="00821C05" w:rsidP="00AE4498">
      <w:pPr>
        <w:pStyle w:val="ListParagraph"/>
        <w:spacing w:after="0" w:line="480" w:lineRule="auto"/>
        <w:rPr>
          <w:rFonts w:ascii="Arial" w:hAnsi="Arial" w:cs="Arial"/>
          <w:sz w:val="24"/>
          <w:szCs w:val="24"/>
        </w:rPr>
      </w:pPr>
    </w:p>
    <w:p w:rsidR="00355FCD" w:rsidRDefault="00355FCD" w:rsidP="00B80D81">
      <w:pPr>
        <w:pStyle w:val="NoSpacing"/>
        <w:numPr>
          <w:ilvl w:val="0"/>
          <w:numId w:val="4"/>
        </w:numPr>
        <w:spacing w:line="480" w:lineRule="auto"/>
        <w:ind w:left="0" w:firstLine="0"/>
        <w:jc w:val="both"/>
        <w:rPr>
          <w:rFonts w:ascii="Arial" w:hAnsi="Arial" w:cs="Arial"/>
          <w:sz w:val="24"/>
          <w:szCs w:val="24"/>
        </w:rPr>
      </w:pPr>
      <w:r w:rsidRPr="00821C05">
        <w:rPr>
          <w:rFonts w:ascii="Arial" w:hAnsi="Arial" w:cs="Arial"/>
          <w:sz w:val="24"/>
          <w:szCs w:val="24"/>
        </w:rPr>
        <w:t>The duty upon legal practitioners to acquaint themselves with the rules has been repeatedly and emphatically stressed by this court</w:t>
      </w:r>
      <w:r w:rsidR="00821C05">
        <w:rPr>
          <w:rFonts w:ascii="Arial" w:hAnsi="Arial" w:cs="Arial"/>
          <w:sz w:val="24"/>
          <w:szCs w:val="24"/>
        </w:rPr>
        <w:t>,</w:t>
      </w:r>
      <w:r w:rsidRPr="000C4A72">
        <w:rPr>
          <w:rFonts w:ascii="Arial" w:hAnsi="Arial" w:cs="Arial"/>
          <w:sz w:val="24"/>
          <w:szCs w:val="24"/>
          <w:vertAlign w:val="superscript"/>
        </w:rPr>
        <w:footnoteReference w:id="5"/>
      </w:r>
      <w:r w:rsidRPr="00821C05">
        <w:rPr>
          <w:rFonts w:ascii="Arial" w:hAnsi="Arial" w:cs="Arial"/>
          <w:sz w:val="24"/>
          <w:szCs w:val="24"/>
        </w:rPr>
        <w:t xml:space="preserve"> </w:t>
      </w:r>
      <w:r w:rsidR="00975DE7">
        <w:rPr>
          <w:rFonts w:ascii="Arial" w:hAnsi="Arial" w:cs="Arial"/>
          <w:sz w:val="24"/>
          <w:szCs w:val="24"/>
        </w:rPr>
        <w:t>as</w:t>
      </w:r>
      <w:r w:rsidR="007D5E56">
        <w:rPr>
          <w:rFonts w:ascii="Arial" w:hAnsi="Arial" w:cs="Arial"/>
          <w:sz w:val="24"/>
          <w:szCs w:val="24"/>
        </w:rPr>
        <w:t xml:space="preserve"> was</w:t>
      </w:r>
      <w:r w:rsidR="00B80D81" w:rsidRPr="00821C05">
        <w:rPr>
          <w:rFonts w:ascii="Arial" w:hAnsi="Arial" w:cs="Arial"/>
          <w:sz w:val="24"/>
          <w:szCs w:val="24"/>
        </w:rPr>
        <w:t xml:space="preserve"> </w:t>
      </w:r>
      <w:r w:rsidRPr="00821C05">
        <w:rPr>
          <w:rFonts w:ascii="Arial" w:hAnsi="Arial" w:cs="Arial"/>
          <w:sz w:val="24"/>
          <w:szCs w:val="24"/>
        </w:rPr>
        <w:t xml:space="preserve">very recently again </w:t>
      </w:r>
      <w:r w:rsidRPr="00821C05">
        <w:rPr>
          <w:rFonts w:ascii="Arial" w:hAnsi="Arial" w:cs="Arial"/>
          <w:sz w:val="24"/>
          <w:szCs w:val="24"/>
        </w:rPr>
        <w:lastRenderedPageBreak/>
        <w:t xml:space="preserve">summarised in </w:t>
      </w:r>
      <w:r w:rsidRPr="00821C05">
        <w:rPr>
          <w:rFonts w:ascii="Arial" w:hAnsi="Arial" w:cs="Arial"/>
          <w:i/>
          <w:sz w:val="24"/>
          <w:szCs w:val="24"/>
        </w:rPr>
        <w:t>Sun Square Hotel (Pty) Ltd v Southern Sun Africa &amp; another</w:t>
      </w:r>
      <w:r w:rsidRPr="000C4A72">
        <w:rPr>
          <w:rFonts w:ascii="Arial" w:hAnsi="Arial" w:cs="Arial"/>
          <w:sz w:val="24"/>
          <w:szCs w:val="24"/>
          <w:vertAlign w:val="superscript"/>
        </w:rPr>
        <w:footnoteReference w:id="6"/>
      </w:r>
      <w:r w:rsidRPr="00821C05">
        <w:rPr>
          <w:rFonts w:ascii="Arial" w:hAnsi="Arial" w:cs="Arial"/>
          <w:i/>
          <w:sz w:val="24"/>
          <w:szCs w:val="24"/>
        </w:rPr>
        <w:t xml:space="preserve"> </w:t>
      </w:r>
      <w:r w:rsidRPr="00821C05">
        <w:rPr>
          <w:rFonts w:ascii="Arial" w:hAnsi="Arial" w:cs="Arial"/>
          <w:sz w:val="24"/>
          <w:szCs w:val="24"/>
        </w:rPr>
        <w:t>with reference to</w:t>
      </w:r>
      <w:r w:rsidR="00821C05">
        <w:rPr>
          <w:rFonts w:ascii="Arial" w:hAnsi="Arial" w:cs="Arial"/>
          <w:sz w:val="24"/>
          <w:szCs w:val="24"/>
        </w:rPr>
        <w:t xml:space="preserve"> the</w:t>
      </w:r>
      <w:r w:rsidRPr="00821C05">
        <w:rPr>
          <w:rFonts w:ascii="Arial" w:hAnsi="Arial" w:cs="Arial"/>
          <w:sz w:val="24"/>
          <w:szCs w:val="24"/>
        </w:rPr>
        <w:t xml:space="preserve"> leading prior judgments </w:t>
      </w:r>
      <w:r w:rsidR="00B80D81" w:rsidRPr="00821C05">
        <w:rPr>
          <w:rFonts w:ascii="Arial" w:hAnsi="Arial" w:cs="Arial"/>
          <w:sz w:val="24"/>
          <w:szCs w:val="24"/>
        </w:rPr>
        <w:t>of this court</w:t>
      </w:r>
      <w:r w:rsidR="00FD0FD5">
        <w:rPr>
          <w:rFonts w:ascii="Arial" w:hAnsi="Arial" w:cs="Arial"/>
          <w:sz w:val="24"/>
          <w:szCs w:val="24"/>
        </w:rPr>
        <w:t xml:space="preserve"> in the following way</w:t>
      </w:r>
      <w:r w:rsidRPr="00821C05">
        <w:rPr>
          <w:rFonts w:ascii="Arial" w:hAnsi="Arial" w:cs="Arial"/>
          <w:sz w:val="24"/>
          <w:szCs w:val="24"/>
        </w:rPr>
        <w:t>:</w:t>
      </w:r>
    </w:p>
    <w:p w:rsidR="00B77C66" w:rsidRPr="00355FCD" w:rsidRDefault="00B77C66" w:rsidP="00FE022E">
      <w:pPr>
        <w:spacing w:after="0" w:line="360" w:lineRule="auto"/>
        <w:ind w:left="720"/>
        <w:contextualSpacing/>
        <w:jc w:val="both"/>
        <w:rPr>
          <w:rFonts w:ascii="Arial" w:hAnsi="Arial" w:cs="Arial"/>
        </w:rPr>
      </w:pPr>
    </w:p>
    <w:p w:rsidR="00B77C66" w:rsidRPr="00FE022E" w:rsidRDefault="00B77C66" w:rsidP="00FE022E">
      <w:pPr>
        <w:pStyle w:val="NoSpacing"/>
        <w:spacing w:line="360" w:lineRule="auto"/>
        <w:ind w:left="720"/>
        <w:jc w:val="both"/>
        <w:rPr>
          <w:rFonts w:ascii="Arial" w:hAnsi="Arial" w:cs="Arial"/>
          <w:lang w:eastAsia="en-ZA"/>
        </w:rPr>
      </w:pPr>
      <w:r w:rsidRPr="00FE022E">
        <w:rPr>
          <w:rFonts w:ascii="Arial" w:hAnsi="Arial" w:cs="Arial"/>
          <w:lang w:eastAsia="en-ZA"/>
        </w:rPr>
        <w:t>‘[8]</w:t>
      </w:r>
      <w:r w:rsidRPr="00FE022E">
        <w:rPr>
          <w:rFonts w:ascii="Arial" w:hAnsi="Arial" w:cs="Arial"/>
          <w:lang w:eastAsia="en-ZA"/>
        </w:rPr>
        <w:tab/>
        <w:t>In </w:t>
      </w:r>
      <w:r w:rsidRPr="00FE022E">
        <w:rPr>
          <w:rFonts w:ascii="Arial" w:hAnsi="Arial" w:cs="Arial"/>
          <w:i/>
          <w:iCs/>
          <w:lang w:eastAsia="en-ZA"/>
        </w:rPr>
        <w:t>Channel Life Namibia Ltd v Otto</w:t>
      </w:r>
      <w:bookmarkStart w:id="1" w:name="_ftnref4"/>
      <w:r w:rsidRPr="00FE022E">
        <w:rPr>
          <w:rFonts w:ascii="Arial" w:hAnsi="Arial" w:cs="Arial"/>
          <w:i/>
          <w:iCs/>
          <w:lang w:eastAsia="en-ZA"/>
        </w:rPr>
        <w:t xml:space="preserve"> </w:t>
      </w:r>
      <w:hyperlink r:id="rId12" w:anchor="_ftn4" w:history="1"/>
      <w:bookmarkEnd w:id="1"/>
      <w:r w:rsidRPr="00FE022E">
        <w:rPr>
          <w:rFonts w:ascii="Arial" w:hAnsi="Arial" w:cs="Arial"/>
          <w:lang w:eastAsia="en-ZA"/>
        </w:rPr>
        <w:t>the then Chief Justice lamented the fact that so many appeals had to be preceded by condonation applications involving non-compliance with the rules of court. He addressed the role of legal practitioners as follows:</w:t>
      </w:r>
    </w:p>
    <w:p w:rsidR="00FE022E" w:rsidRDefault="00FE022E" w:rsidP="00FE022E">
      <w:pPr>
        <w:pStyle w:val="NoSpacing"/>
        <w:spacing w:line="360" w:lineRule="auto"/>
        <w:jc w:val="both"/>
        <w:rPr>
          <w:rFonts w:ascii="Arial" w:hAnsi="Arial" w:cs="Arial"/>
          <w:lang w:eastAsia="en-ZA"/>
        </w:rPr>
      </w:pPr>
    </w:p>
    <w:p w:rsidR="00B77C66" w:rsidRPr="00FE022E" w:rsidRDefault="00B77C66" w:rsidP="00FE022E">
      <w:pPr>
        <w:pStyle w:val="NoSpacing"/>
        <w:spacing w:line="360" w:lineRule="auto"/>
        <w:ind w:left="1440"/>
        <w:jc w:val="both"/>
        <w:rPr>
          <w:rFonts w:ascii="Arial" w:hAnsi="Arial" w:cs="Arial"/>
          <w:lang w:eastAsia="en-ZA"/>
        </w:rPr>
      </w:pPr>
      <w:r w:rsidRPr="00FE022E">
        <w:rPr>
          <w:rFonts w:ascii="Arial" w:hAnsi="Arial" w:cs="Arial"/>
          <w:lang w:eastAsia="en-ZA"/>
        </w:rPr>
        <w:t xml:space="preserve">“Before doing so I must point out that at each session of the Supreme Court there are various applications for condonation because of non-compliance with some or other of the rules of the court. Many of these applications could have been avoided through the application of diligence and by giving the process a little more attention. Practitioners should inform themselves of the provisions of the Rules of the Supreme Court and cannot accept that those rules are the same as that of the High Court.” </w:t>
      </w:r>
    </w:p>
    <w:p w:rsidR="00FE022E" w:rsidRDefault="00FE022E" w:rsidP="00FE022E">
      <w:pPr>
        <w:pStyle w:val="NoSpacing"/>
        <w:spacing w:line="360" w:lineRule="auto"/>
        <w:jc w:val="both"/>
        <w:rPr>
          <w:rFonts w:ascii="Arial" w:hAnsi="Arial" w:cs="Arial"/>
          <w:lang w:eastAsia="en-ZA"/>
        </w:rPr>
      </w:pPr>
    </w:p>
    <w:p w:rsidR="00B77C66" w:rsidRPr="00FE022E" w:rsidRDefault="00B77C66" w:rsidP="00FE022E">
      <w:pPr>
        <w:pStyle w:val="NoSpacing"/>
        <w:spacing w:line="360" w:lineRule="auto"/>
        <w:ind w:left="720"/>
        <w:jc w:val="both"/>
        <w:rPr>
          <w:rFonts w:ascii="Arial" w:hAnsi="Arial" w:cs="Arial"/>
          <w:lang w:eastAsia="en-ZA"/>
        </w:rPr>
      </w:pPr>
      <w:r w:rsidRPr="00FE022E">
        <w:rPr>
          <w:rFonts w:ascii="Arial" w:hAnsi="Arial" w:cs="Arial"/>
          <w:lang w:eastAsia="en-ZA"/>
        </w:rPr>
        <w:t>[9]        In </w:t>
      </w:r>
      <w:r w:rsidRPr="00FE022E">
        <w:rPr>
          <w:rFonts w:ascii="Arial" w:hAnsi="Arial" w:cs="Arial"/>
          <w:i/>
          <w:iCs/>
          <w:lang w:eastAsia="en-ZA"/>
        </w:rPr>
        <w:t>Kleynhans v Chairperson of the Council of the Municipality of Walvis Bay &amp; others</w:t>
      </w:r>
      <w:r w:rsidRPr="00FE022E">
        <w:rPr>
          <w:rFonts w:ascii="Arial" w:hAnsi="Arial" w:cs="Arial"/>
          <w:lang w:eastAsia="en-ZA"/>
        </w:rPr>
        <w:t> the court referred with approval to the following remarks from Friedman AJA in the South African Appellate Division:</w:t>
      </w:r>
    </w:p>
    <w:p w:rsidR="00FE022E" w:rsidRDefault="00FE022E" w:rsidP="00FE022E">
      <w:pPr>
        <w:pStyle w:val="NoSpacing"/>
        <w:spacing w:line="360" w:lineRule="auto"/>
        <w:jc w:val="both"/>
        <w:rPr>
          <w:rFonts w:ascii="Arial" w:hAnsi="Arial" w:cs="Arial"/>
          <w:lang w:eastAsia="en-ZA"/>
        </w:rPr>
      </w:pPr>
    </w:p>
    <w:p w:rsidR="00B77C66" w:rsidRPr="00FE022E" w:rsidRDefault="00B77C66" w:rsidP="00FE022E">
      <w:pPr>
        <w:pStyle w:val="NoSpacing"/>
        <w:spacing w:line="360" w:lineRule="auto"/>
        <w:ind w:left="1440"/>
        <w:jc w:val="both"/>
        <w:rPr>
          <w:rFonts w:ascii="Arial" w:hAnsi="Arial" w:cs="Arial"/>
          <w:lang w:eastAsia="en-ZA"/>
        </w:rPr>
      </w:pPr>
      <w:r w:rsidRPr="00FE022E">
        <w:rPr>
          <w:rFonts w:ascii="Arial" w:hAnsi="Arial" w:cs="Arial"/>
          <w:lang w:eastAsia="en-ZA"/>
        </w:rPr>
        <w:t>“An attorney instructed to note an appeal is in duty bound to acquaint himself with the Rules of the Court in which the appeal is to be prosecuted. See </w:t>
      </w:r>
      <w:r w:rsidRPr="00FE022E">
        <w:rPr>
          <w:rFonts w:ascii="Arial" w:hAnsi="Arial" w:cs="Arial"/>
          <w:i/>
          <w:iCs/>
          <w:lang w:eastAsia="en-ZA"/>
        </w:rPr>
        <w:t>Moaki v Reckitt and Colman (Africa) Ltd and Another</w:t>
      </w:r>
      <w:r w:rsidRPr="00FE022E">
        <w:rPr>
          <w:rFonts w:ascii="Arial" w:hAnsi="Arial" w:cs="Arial"/>
          <w:lang w:eastAsia="en-ZA"/>
        </w:rPr>
        <w:t> 1968 (3) SA 98 (A) at 101; </w:t>
      </w:r>
      <w:r w:rsidRPr="00FE022E">
        <w:rPr>
          <w:rFonts w:ascii="Arial" w:hAnsi="Arial" w:cs="Arial"/>
          <w:i/>
          <w:iCs/>
          <w:lang w:eastAsia="en-ZA"/>
        </w:rPr>
        <w:t>Mbutuma v Xhosa Development Corporation Ltd</w:t>
      </w:r>
      <w:r w:rsidRPr="00FE022E">
        <w:rPr>
          <w:rFonts w:ascii="Arial" w:hAnsi="Arial" w:cs="Arial"/>
          <w:lang w:eastAsia="en-ZA"/>
        </w:rPr>
        <w:t> 1978 (1) SA 681 (A) at 685A-B.”</w:t>
      </w:r>
    </w:p>
    <w:p w:rsidR="00FE022E" w:rsidRDefault="00FE022E" w:rsidP="00FE022E">
      <w:pPr>
        <w:pStyle w:val="NoSpacing"/>
        <w:spacing w:line="360" w:lineRule="auto"/>
        <w:jc w:val="both"/>
        <w:rPr>
          <w:rFonts w:ascii="Arial" w:hAnsi="Arial" w:cs="Arial"/>
          <w:lang w:eastAsia="en-ZA"/>
        </w:rPr>
      </w:pPr>
    </w:p>
    <w:p w:rsidR="00B77C66" w:rsidRPr="00FE022E" w:rsidRDefault="00B77C66" w:rsidP="00FE022E">
      <w:pPr>
        <w:pStyle w:val="NoSpacing"/>
        <w:spacing w:line="360" w:lineRule="auto"/>
        <w:ind w:left="720"/>
        <w:jc w:val="both"/>
        <w:rPr>
          <w:rFonts w:ascii="Arial" w:hAnsi="Arial" w:cs="Arial"/>
          <w:lang w:eastAsia="en-ZA"/>
        </w:rPr>
      </w:pPr>
      <w:r w:rsidRPr="00FE022E">
        <w:rPr>
          <w:rFonts w:ascii="Arial" w:hAnsi="Arial" w:cs="Arial"/>
          <w:lang w:eastAsia="en-ZA"/>
        </w:rPr>
        <w:t>As it is evident from what is stated above, the duty of a legal practitioner when representing a client on appeal has often been emphasised in past decisions and has been settled law for a very long period of time.</w:t>
      </w:r>
    </w:p>
    <w:p w:rsidR="00FE022E" w:rsidRDefault="00FE022E" w:rsidP="00FE022E">
      <w:pPr>
        <w:pStyle w:val="NoSpacing"/>
        <w:spacing w:line="360" w:lineRule="auto"/>
        <w:jc w:val="both"/>
        <w:rPr>
          <w:rFonts w:ascii="Arial" w:hAnsi="Arial" w:cs="Arial"/>
          <w:lang w:eastAsia="en-ZA"/>
        </w:rPr>
      </w:pPr>
    </w:p>
    <w:p w:rsidR="00B77C66" w:rsidRPr="00FE022E" w:rsidRDefault="00B77C66" w:rsidP="00FE022E">
      <w:pPr>
        <w:pStyle w:val="NoSpacing"/>
        <w:spacing w:line="360" w:lineRule="auto"/>
        <w:ind w:left="720"/>
        <w:jc w:val="both"/>
        <w:rPr>
          <w:rFonts w:ascii="Arial" w:hAnsi="Arial" w:cs="Arial"/>
          <w:lang w:eastAsia="en-ZA"/>
        </w:rPr>
      </w:pPr>
      <w:r w:rsidRPr="00FE022E">
        <w:rPr>
          <w:rFonts w:ascii="Arial" w:hAnsi="Arial" w:cs="Arial"/>
          <w:lang w:eastAsia="en-ZA"/>
        </w:rPr>
        <w:t>[10]      The warning was reiterated by the Chief Justice in the case of </w:t>
      </w:r>
      <w:r w:rsidRPr="00FE022E">
        <w:rPr>
          <w:rFonts w:ascii="Arial" w:hAnsi="Arial" w:cs="Arial"/>
          <w:i/>
          <w:iCs/>
          <w:lang w:eastAsia="en-ZA"/>
        </w:rPr>
        <w:t>Shilongo v Church Council of the Evangelical Lutheran Church in the Republic of Namibia</w:t>
      </w:r>
      <w:r w:rsidRPr="00FE022E">
        <w:rPr>
          <w:rFonts w:ascii="Arial" w:hAnsi="Arial" w:cs="Arial"/>
          <w:lang w:eastAsia="en-ZA"/>
        </w:rPr>
        <w:t> in the following terms:</w:t>
      </w:r>
    </w:p>
    <w:p w:rsidR="00FE022E" w:rsidRDefault="00FE022E" w:rsidP="00FE022E">
      <w:pPr>
        <w:pStyle w:val="NoSpacing"/>
        <w:spacing w:line="360" w:lineRule="auto"/>
        <w:jc w:val="both"/>
        <w:rPr>
          <w:rFonts w:ascii="Arial" w:hAnsi="Arial" w:cs="Arial"/>
          <w:lang w:eastAsia="en-ZA"/>
        </w:rPr>
      </w:pPr>
    </w:p>
    <w:p w:rsidR="00B77C66" w:rsidRPr="00FE022E" w:rsidRDefault="00B77C66" w:rsidP="00FE022E">
      <w:pPr>
        <w:pStyle w:val="NoSpacing"/>
        <w:spacing w:line="360" w:lineRule="auto"/>
        <w:ind w:left="1440"/>
        <w:jc w:val="both"/>
        <w:rPr>
          <w:rFonts w:ascii="Arial" w:hAnsi="Arial" w:cs="Arial"/>
          <w:lang w:eastAsia="en-ZA"/>
        </w:rPr>
      </w:pPr>
      <w:r w:rsidRPr="00FE022E">
        <w:rPr>
          <w:rFonts w:ascii="Arial" w:hAnsi="Arial" w:cs="Arial"/>
          <w:lang w:eastAsia="en-ZA"/>
        </w:rPr>
        <w:lastRenderedPageBreak/>
        <w:t>“Virtually every appeal that I was involved in during the recent session of the court was preceded by an application for condonation for the failure to comply with one or other rule of the Rules of Court. In all those appeal matters, valuable time and resources were spent on arguing preliminary issues relating to condonation instead of dealing with the merits of the appeals. In spite of observations in the past that the court views the disregard of the rules in a serious light, the situation continues unabated and the attitude of some legal practitioners appears to be that it is all well as long as an application for condonation is made. Such an attitude is unhelpful and is to be deprecated.</w:t>
      </w:r>
    </w:p>
    <w:p w:rsidR="00FE022E" w:rsidRDefault="00FE022E" w:rsidP="00FE022E">
      <w:pPr>
        <w:pStyle w:val="NoSpacing"/>
        <w:spacing w:line="360" w:lineRule="auto"/>
        <w:jc w:val="both"/>
        <w:rPr>
          <w:rFonts w:ascii="Arial" w:hAnsi="Arial" w:cs="Arial"/>
          <w:lang w:eastAsia="en-ZA"/>
        </w:rPr>
      </w:pPr>
    </w:p>
    <w:p w:rsidR="00B77C66" w:rsidRPr="00FE022E" w:rsidRDefault="00B77C66" w:rsidP="00FE022E">
      <w:pPr>
        <w:pStyle w:val="NoSpacing"/>
        <w:spacing w:line="360" w:lineRule="auto"/>
        <w:ind w:left="720" w:firstLine="720"/>
        <w:jc w:val="both"/>
        <w:rPr>
          <w:rFonts w:ascii="Arial" w:hAnsi="Arial" w:cs="Arial"/>
          <w:lang w:eastAsia="en-ZA"/>
        </w:rPr>
      </w:pPr>
      <w:r w:rsidRPr="00FE022E">
        <w:rPr>
          <w:rFonts w:ascii="Arial" w:hAnsi="Arial" w:cs="Arial"/>
          <w:lang w:eastAsia="en-ZA"/>
        </w:rPr>
        <w:t>and at p 169G-H para 6:</w:t>
      </w:r>
    </w:p>
    <w:p w:rsidR="00FE022E" w:rsidRDefault="00FE022E" w:rsidP="00FE022E">
      <w:pPr>
        <w:pStyle w:val="NoSpacing"/>
        <w:spacing w:line="360" w:lineRule="auto"/>
        <w:jc w:val="both"/>
        <w:rPr>
          <w:rFonts w:ascii="Arial" w:hAnsi="Arial" w:cs="Arial"/>
          <w:lang w:eastAsia="en-ZA"/>
        </w:rPr>
      </w:pPr>
    </w:p>
    <w:p w:rsidR="00B77C66" w:rsidRPr="00FE022E" w:rsidRDefault="00B77C66" w:rsidP="00FE022E">
      <w:pPr>
        <w:pStyle w:val="NoSpacing"/>
        <w:spacing w:line="360" w:lineRule="auto"/>
        <w:ind w:left="1440"/>
        <w:jc w:val="both"/>
        <w:rPr>
          <w:rFonts w:ascii="Arial" w:hAnsi="Arial" w:cs="Arial"/>
          <w:lang w:eastAsia="en-ZA"/>
        </w:rPr>
      </w:pPr>
      <w:r w:rsidRPr="00FE022E">
        <w:rPr>
          <w:rFonts w:ascii="Arial" w:hAnsi="Arial" w:cs="Arial"/>
          <w:lang w:eastAsia="en-ZA"/>
        </w:rPr>
        <w:t>It is therefore of cardinal importance that practitioners who intend to practice at the Supreme Court and who are not familiar with its rules take time to study the rules and apply them correctly to turn the tide of applications for condonation that is seriously hampering the court's ability to deal with the merits of appeals brought to it with attendant expedition.”</w:t>
      </w:r>
    </w:p>
    <w:p w:rsidR="00FE022E" w:rsidRDefault="00FE022E" w:rsidP="00FE022E">
      <w:pPr>
        <w:pStyle w:val="NoSpacing"/>
        <w:spacing w:line="360" w:lineRule="auto"/>
        <w:jc w:val="both"/>
        <w:rPr>
          <w:rFonts w:ascii="Arial" w:hAnsi="Arial" w:cs="Arial"/>
          <w:lang w:eastAsia="en-ZA"/>
        </w:rPr>
      </w:pPr>
    </w:p>
    <w:p w:rsidR="00B77C66" w:rsidRPr="00FE022E" w:rsidRDefault="00B77C66" w:rsidP="00FE022E">
      <w:pPr>
        <w:pStyle w:val="NoSpacing"/>
        <w:spacing w:line="360" w:lineRule="auto"/>
        <w:ind w:left="720"/>
        <w:jc w:val="both"/>
        <w:rPr>
          <w:rFonts w:ascii="Arial" w:hAnsi="Arial" w:cs="Arial"/>
          <w:lang w:eastAsia="en-ZA"/>
        </w:rPr>
      </w:pPr>
      <w:r w:rsidRPr="00FE022E">
        <w:rPr>
          <w:rFonts w:ascii="Arial" w:hAnsi="Arial" w:cs="Arial"/>
          <w:lang w:eastAsia="en-ZA"/>
        </w:rPr>
        <w:t>[11]      In the </w:t>
      </w:r>
      <w:r w:rsidRPr="00FE022E">
        <w:rPr>
          <w:rFonts w:ascii="Arial" w:hAnsi="Arial" w:cs="Arial"/>
          <w:i/>
          <w:iCs/>
          <w:lang w:eastAsia="en-ZA"/>
        </w:rPr>
        <w:t>Katjaimo v Katjaimo</w:t>
      </w:r>
      <w:r w:rsidRPr="00FE022E">
        <w:rPr>
          <w:rFonts w:ascii="Arial" w:hAnsi="Arial" w:cs="Arial"/>
          <w:lang w:eastAsia="en-ZA"/>
        </w:rPr>
        <w:t> case the same issue was taken up by the Deputy Chief Justice who made the following statement in this regard:</w:t>
      </w:r>
    </w:p>
    <w:p w:rsidR="00FE022E" w:rsidRDefault="00FE022E" w:rsidP="00FE022E">
      <w:pPr>
        <w:pStyle w:val="NoSpacing"/>
        <w:spacing w:line="360" w:lineRule="auto"/>
        <w:jc w:val="both"/>
        <w:rPr>
          <w:rFonts w:ascii="Arial" w:hAnsi="Arial" w:cs="Arial"/>
          <w:lang w:eastAsia="en-ZA"/>
        </w:rPr>
      </w:pPr>
    </w:p>
    <w:p w:rsidR="00B77C66" w:rsidRPr="00FE022E" w:rsidRDefault="00B77C66" w:rsidP="00FE022E">
      <w:pPr>
        <w:pStyle w:val="NoSpacing"/>
        <w:spacing w:line="360" w:lineRule="auto"/>
        <w:ind w:left="1440"/>
        <w:jc w:val="both"/>
        <w:rPr>
          <w:rFonts w:ascii="Arial" w:hAnsi="Arial" w:cs="Arial"/>
          <w:color w:val="000000" w:themeColor="text1"/>
          <w:lang w:eastAsia="en-ZA"/>
        </w:rPr>
      </w:pPr>
      <w:r w:rsidRPr="00FE022E">
        <w:rPr>
          <w:rFonts w:ascii="Arial" w:hAnsi="Arial" w:cs="Arial"/>
          <w:lang w:eastAsia="en-ZA"/>
        </w:rPr>
        <w:t xml:space="preserve">“Sufficient warning has been given by this court that the non-compliance with its rules is hampering the work of the court. The rules of this court, regrettably, are often more honoured in the breach than in the observance. </w:t>
      </w:r>
      <w:r w:rsidRPr="00FE022E">
        <w:rPr>
          <w:rFonts w:ascii="Arial" w:hAnsi="Arial" w:cs="Arial"/>
          <w:color w:val="000000" w:themeColor="text1"/>
          <w:lang w:eastAsia="en-ZA"/>
        </w:rPr>
        <w:t>That is intolerable. The excuse that a practitioner did not understand the rules can no longer be allowed to pass without greater scrutiny. The time is fast approaching when this court will shut the door to a litigant for the unreasonable non-observance of the rules by his or her legal practitioner.”’</w:t>
      </w:r>
    </w:p>
    <w:p w:rsidR="00FE022E" w:rsidRDefault="00FE022E" w:rsidP="00FE022E">
      <w:pPr>
        <w:pStyle w:val="NoSpacing"/>
        <w:spacing w:line="360" w:lineRule="auto"/>
        <w:jc w:val="both"/>
        <w:rPr>
          <w:rFonts w:ascii="Arial" w:hAnsi="Arial" w:cs="Arial"/>
          <w:color w:val="000000" w:themeColor="text1"/>
          <w:lang w:eastAsia="en-ZA"/>
        </w:rPr>
      </w:pPr>
    </w:p>
    <w:p w:rsidR="00B77C66" w:rsidRPr="00FE022E" w:rsidRDefault="00B77C66" w:rsidP="00FE022E">
      <w:pPr>
        <w:pStyle w:val="NoSpacing"/>
        <w:spacing w:line="360" w:lineRule="auto"/>
        <w:ind w:left="720" w:firstLine="720"/>
        <w:jc w:val="both"/>
        <w:rPr>
          <w:rFonts w:ascii="Arial" w:hAnsi="Arial" w:cs="Arial"/>
          <w:lang w:eastAsia="en-ZA"/>
        </w:rPr>
      </w:pPr>
      <w:r w:rsidRPr="00FE022E">
        <w:rPr>
          <w:rFonts w:ascii="Arial" w:hAnsi="Arial" w:cs="Arial"/>
          <w:color w:val="000000" w:themeColor="text1"/>
          <w:lang w:eastAsia="en-ZA"/>
        </w:rPr>
        <w:t>(footnotes excluded</w:t>
      </w:r>
      <w:r w:rsidRPr="00FE022E">
        <w:rPr>
          <w:rFonts w:ascii="Arial" w:hAnsi="Arial" w:cs="Arial"/>
          <w:lang w:eastAsia="en-ZA"/>
        </w:rPr>
        <w:t>)</w:t>
      </w:r>
    </w:p>
    <w:p w:rsidR="00B77C66" w:rsidRPr="00FE022E" w:rsidRDefault="00B77C66" w:rsidP="00FE022E">
      <w:pPr>
        <w:pStyle w:val="NoSpacing"/>
        <w:spacing w:line="360" w:lineRule="auto"/>
        <w:jc w:val="both"/>
        <w:rPr>
          <w:rFonts w:ascii="Arial" w:hAnsi="Arial" w:cs="Arial"/>
          <w:lang w:eastAsia="en-ZA"/>
        </w:rPr>
      </w:pPr>
    </w:p>
    <w:p w:rsidR="00355FCD" w:rsidRDefault="00355FCD"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These frequent and repeated warnings by this</w:t>
      </w:r>
      <w:r w:rsidR="002B285C">
        <w:rPr>
          <w:rFonts w:ascii="Arial" w:hAnsi="Arial" w:cs="Arial"/>
          <w:sz w:val="24"/>
          <w:szCs w:val="24"/>
        </w:rPr>
        <w:t xml:space="preserve"> court concerning the laxity of practitioners and the</w:t>
      </w:r>
      <w:r w:rsidR="00E26DC8">
        <w:rPr>
          <w:rFonts w:ascii="Arial" w:hAnsi="Arial" w:cs="Arial"/>
          <w:sz w:val="24"/>
          <w:szCs w:val="24"/>
        </w:rPr>
        <w:t>ir</w:t>
      </w:r>
      <w:r w:rsidR="002B285C">
        <w:rPr>
          <w:rFonts w:ascii="Arial" w:hAnsi="Arial" w:cs="Arial"/>
          <w:sz w:val="24"/>
          <w:szCs w:val="24"/>
        </w:rPr>
        <w:t xml:space="preserve"> duty to acquaint themselves with the rules</w:t>
      </w:r>
      <w:r w:rsidR="00994BC2">
        <w:rPr>
          <w:rFonts w:ascii="Arial" w:hAnsi="Arial" w:cs="Arial"/>
          <w:sz w:val="24"/>
          <w:szCs w:val="24"/>
        </w:rPr>
        <w:t>,</w:t>
      </w:r>
      <w:r w:rsidR="002B285C">
        <w:rPr>
          <w:rFonts w:ascii="Arial" w:hAnsi="Arial" w:cs="Arial"/>
          <w:sz w:val="24"/>
          <w:szCs w:val="24"/>
        </w:rPr>
        <w:t xml:space="preserve"> </w:t>
      </w:r>
      <w:r w:rsidR="00FD0FD5">
        <w:rPr>
          <w:rFonts w:ascii="Arial" w:hAnsi="Arial" w:cs="Arial"/>
          <w:sz w:val="24"/>
          <w:szCs w:val="24"/>
        </w:rPr>
        <w:t xml:space="preserve">thus </w:t>
      </w:r>
      <w:r w:rsidR="002B285C">
        <w:rPr>
          <w:rFonts w:ascii="Arial" w:hAnsi="Arial" w:cs="Arial"/>
          <w:sz w:val="24"/>
          <w:szCs w:val="24"/>
        </w:rPr>
        <w:t>reiterated in the most recently reported judg</w:t>
      </w:r>
      <w:r w:rsidR="00B77C66">
        <w:rPr>
          <w:rFonts w:ascii="Arial" w:hAnsi="Arial" w:cs="Arial"/>
          <w:sz w:val="24"/>
          <w:szCs w:val="24"/>
        </w:rPr>
        <w:t>ment of this court on the issue,</w:t>
      </w:r>
      <w:r w:rsidR="00E26DC8">
        <w:rPr>
          <w:rStyle w:val="FootnoteReference"/>
          <w:rFonts w:ascii="Arial" w:hAnsi="Arial" w:cs="Arial"/>
          <w:sz w:val="24"/>
          <w:szCs w:val="24"/>
        </w:rPr>
        <w:footnoteReference w:id="7"/>
      </w:r>
      <w:r w:rsidR="002B285C">
        <w:rPr>
          <w:rFonts w:ascii="Arial" w:hAnsi="Arial" w:cs="Arial"/>
          <w:sz w:val="24"/>
          <w:szCs w:val="24"/>
        </w:rPr>
        <w:t xml:space="preserve"> find application</w:t>
      </w:r>
      <w:r w:rsidR="00FD0FD5">
        <w:rPr>
          <w:rFonts w:ascii="Arial" w:hAnsi="Arial" w:cs="Arial"/>
          <w:sz w:val="24"/>
          <w:szCs w:val="24"/>
        </w:rPr>
        <w:t xml:space="preserve">. </w:t>
      </w:r>
      <w:r w:rsidR="002B285C">
        <w:rPr>
          <w:rFonts w:ascii="Arial" w:hAnsi="Arial" w:cs="Arial"/>
          <w:sz w:val="24"/>
          <w:szCs w:val="24"/>
        </w:rPr>
        <w:lastRenderedPageBreak/>
        <w:t>What is all the more disturbing</w:t>
      </w:r>
      <w:r w:rsidR="00B77C66">
        <w:rPr>
          <w:rFonts w:ascii="Arial" w:hAnsi="Arial" w:cs="Arial"/>
          <w:sz w:val="24"/>
          <w:szCs w:val="24"/>
        </w:rPr>
        <w:t xml:space="preserve"> in this matter </w:t>
      </w:r>
      <w:r w:rsidR="002B285C">
        <w:rPr>
          <w:rFonts w:ascii="Arial" w:hAnsi="Arial" w:cs="Arial"/>
          <w:sz w:val="24"/>
          <w:szCs w:val="24"/>
        </w:rPr>
        <w:t xml:space="preserve">is that </w:t>
      </w:r>
      <w:r w:rsidR="00E26DC8">
        <w:rPr>
          <w:rFonts w:ascii="Arial" w:hAnsi="Arial" w:cs="Arial"/>
          <w:sz w:val="24"/>
          <w:szCs w:val="24"/>
        </w:rPr>
        <w:t xml:space="preserve">there is </w:t>
      </w:r>
      <w:r w:rsidR="00B77C66">
        <w:rPr>
          <w:rFonts w:ascii="Arial" w:hAnsi="Arial" w:cs="Arial"/>
          <w:sz w:val="24"/>
          <w:szCs w:val="24"/>
        </w:rPr>
        <w:t>t</w:t>
      </w:r>
      <w:r w:rsidR="002B285C">
        <w:rPr>
          <w:rFonts w:ascii="Arial" w:hAnsi="Arial" w:cs="Arial"/>
          <w:sz w:val="24"/>
          <w:szCs w:val="24"/>
        </w:rPr>
        <w:t xml:space="preserve">he self-same attempt at an explanation </w:t>
      </w:r>
      <w:r w:rsidR="00E26DC8">
        <w:rPr>
          <w:rFonts w:ascii="Arial" w:hAnsi="Arial" w:cs="Arial"/>
          <w:sz w:val="24"/>
          <w:szCs w:val="24"/>
        </w:rPr>
        <w:t xml:space="preserve">which </w:t>
      </w:r>
      <w:r w:rsidR="002B285C">
        <w:rPr>
          <w:rFonts w:ascii="Arial" w:hAnsi="Arial" w:cs="Arial"/>
          <w:sz w:val="24"/>
          <w:szCs w:val="24"/>
        </w:rPr>
        <w:t>was tendered</w:t>
      </w:r>
      <w:r w:rsidR="00994BC2">
        <w:rPr>
          <w:rFonts w:ascii="Arial" w:hAnsi="Arial" w:cs="Arial"/>
          <w:sz w:val="24"/>
          <w:szCs w:val="24"/>
        </w:rPr>
        <w:t xml:space="preserve"> and </w:t>
      </w:r>
      <w:r w:rsidR="00FD0FD5">
        <w:rPr>
          <w:rFonts w:ascii="Arial" w:hAnsi="Arial" w:cs="Arial"/>
          <w:sz w:val="24"/>
          <w:szCs w:val="24"/>
        </w:rPr>
        <w:t xml:space="preserve">so </w:t>
      </w:r>
      <w:r w:rsidR="00994BC2">
        <w:rPr>
          <w:rFonts w:ascii="Arial" w:hAnsi="Arial" w:cs="Arial"/>
          <w:sz w:val="24"/>
          <w:szCs w:val="24"/>
        </w:rPr>
        <w:t>roundly rejected</w:t>
      </w:r>
      <w:r w:rsidR="002B285C">
        <w:rPr>
          <w:rFonts w:ascii="Arial" w:hAnsi="Arial" w:cs="Arial"/>
          <w:sz w:val="24"/>
          <w:szCs w:val="24"/>
        </w:rPr>
        <w:t xml:space="preserve"> in </w:t>
      </w:r>
      <w:r w:rsidR="002B285C">
        <w:rPr>
          <w:rFonts w:ascii="Arial" w:hAnsi="Arial" w:cs="Arial"/>
          <w:i/>
          <w:sz w:val="24"/>
          <w:szCs w:val="24"/>
        </w:rPr>
        <w:t>Sun Square</w:t>
      </w:r>
      <w:r w:rsidR="002B285C">
        <w:rPr>
          <w:rFonts w:ascii="Arial" w:hAnsi="Arial" w:cs="Arial"/>
          <w:sz w:val="24"/>
          <w:szCs w:val="24"/>
        </w:rPr>
        <w:t xml:space="preserve"> – </w:t>
      </w:r>
      <w:r w:rsidR="00994BC2">
        <w:rPr>
          <w:rFonts w:ascii="Arial" w:hAnsi="Arial" w:cs="Arial"/>
          <w:sz w:val="24"/>
          <w:szCs w:val="24"/>
        </w:rPr>
        <w:t xml:space="preserve">of </w:t>
      </w:r>
      <w:r w:rsidR="002B285C">
        <w:rPr>
          <w:rFonts w:ascii="Arial" w:hAnsi="Arial" w:cs="Arial"/>
          <w:sz w:val="24"/>
          <w:szCs w:val="24"/>
        </w:rPr>
        <w:t xml:space="preserve">labouring under the misapprehension of the </w:t>
      </w:r>
      <w:r w:rsidR="00994BC2">
        <w:rPr>
          <w:rFonts w:ascii="Arial" w:hAnsi="Arial" w:cs="Arial"/>
          <w:sz w:val="24"/>
          <w:szCs w:val="24"/>
        </w:rPr>
        <w:t xml:space="preserve">same </w:t>
      </w:r>
      <w:r w:rsidR="002B285C">
        <w:rPr>
          <w:rFonts w:ascii="Arial" w:hAnsi="Arial" w:cs="Arial"/>
          <w:sz w:val="24"/>
          <w:szCs w:val="24"/>
        </w:rPr>
        <w:t>requirement in the rule</w:t>
      </w:r>
      <w:r w:rsidR="00994BC2">
        <w:rPr>
          <w:rFonts w:ascii="Arial" w:hAnsi="Arial" w:cs="Arial"/>
          <w:sz w:val="24"/>
          <w:szCs w:val="24"/>
        </w:rPr>
        <w:t>s</w:t>
      </w:r>
      <w:r w:rsidR="002B285C">
        <w:rPr>
          <w:rFonts w:ascii="Arial" w:hAnsi="Arial" w:cs="Arial"/>
          <w:sz w:val="24"/>
          <w:szCs w:val="24"/>
        </w:rPr>
        <w:t xml:space="preserve"> </w:t>
      </w:r>
      <w:r w:rsidR="00E26DC8">
        <w:rPr>
          <w:rFonts w:ascii="Arial" w:hAnsi="Arial" w:cs="Arial"/>
          <w:sz w:val="24"/>
          <w:szCs w:val="24"/>
        </w:rPr>
        <w:t xml:space="preserve">- </w:t>
      </w:r>
      <w:r w:rsidR="002B285C">
        <w:rPr>
          <w:rFonts w:ascii="Arial" w:hAnsi="Arial" w:cs="Arial"/>
          <w:sz w:val="24"/>
          <w:szCs w:val="24"/>
        </w:rPr>
        <w:t>when it is obvious in both case</w:t>
      </w:r>
      <w:r w:rsidR="00B77C66">
        <w:rPr>
          <w:rFonts w:ascii="Arial" w:hAnsi="Arial" w:cs="Arial"/>
          <w:sz w:val="24"/>
          <w:szCs w:val="24"/>
        </w:rPr>
        <w:t xml:space="preserve">s that </w:t>
      </w:r>
      <w:r w:rsidR="002B285C">
        <w:rPr>
          <w:rFonts w:ascii="Arial" w:hAnsi="Arial" w:cs="Arial"/>
          <w:sz w:val="24"/>
          <w:szCs w:val="24"/>
        </w:rPr>
        <w:t>the practitioner</w:t>
      </w:r>
      <w:r w:rsidR="00B77C66">
        <w:rPr>
          <w:rFonts w:ascii="Arial" w:hAnsi="Arial" w:cs="Arial"/>
          <w:sz w:val="24"/>
          <w:szCs w:val="24"/>
        </w:rPr>
        <w:t>s in question</w:t>
      </w:r>
      <w:r w:rsidR="002B285C">
        <w:rPr>
          <w:rFonts w:ascii="Arial" w:hAnsi="Arial" w:cs="Arial"/>
          <w:sz w:val="24"/>
          <w:szCs w:val="24"/>
        </w:rPr>
        <w:t xml:space="preserve"> did not</w:t>
      </w:r>
      <w:r w:rsidR="00994BC2">
        <w:rPr>
          <w:rFonts w:ascii="Arial" w:hAnsi="Arial" w:cs="Arial"/>
          <w:sz w:val="24"/>
          <w:szCs w:val="24"/>
        </w:rPr>
        <w:t xml:space="preserve"> even </w:t>
      </w:r>
      <w:r w:rsidR="002B285C">
        <w:rPr>
          <w:rFonts w:ascii="Arial" w:hAnsi="Arial" w:cs="Arial"/>
          <w:sz w:val="24"/>
          <w:szCs w:val="24"/>
        </w:rPr>
        <w:t xml:space="preserve">bother to look at </w:t>
      </w:r>
      <w:r w:rsidR="00B77C66">
        <w:rPr>
          <w:rFonts w:ascii="Arial" w:hAnsi="Arial" w:cs="Arial"/>
          <w:sz w:val="24"/>
          <w:szCs w:val="24"/>
        </w:rPr>
        <w:t xml:space="preserve">the </w:t>
      </w:r>
      <w:r w:rsidR="002B285C">
        <w:rPr>
          <w:rFonts w:ascii="Arial" w:hAnsi="Arial" w:cs="Arial"/>
          <w:sz w:val="24"/>
          <w:szCs w:val="24"/>
        </w:rPr>
        <w:t>rule</w:t>
      </w:r>
      <w:r w:rsidR="00B77C66">
        <w:rPr>
          <w:rFonts w:ascii="Arial" w:hAnsi="Arial" w:cs="Arial"/>
          <w:sz w:val="24"/>
          <w:szCs w:val="24"/>
        </w:rPr>
        <w:t>s</w:t>
      </w:r>
      <w:r w:rsidR="002B285C">
        <w:rPr>
          <w:rFonts w:ascii="Arial" w:hAnsi="Arial" w:cs="Arial"/>
          <w:sz w:val="24"/>
          <w:szCs w:val="24"/>
        </w:rPr>
        <w:t xml:space="preserve">. In </w:t>
      </w:r>
      <w:r w:rsidR="002B285C">
        <w:rPr>
          <w:rFonts w:ascii="Arial" w:hAnsi="Arial" w:cs="Arial"/>
          <w:i/>
          <w:sz w:val="24"/>
          <w:szCs w:val="24"/>
        </w:rPr>
        <w:t>Sun Square</w:t>
      </w:r>
      <w:r w:rsidR="00994BC2">
        <w:rPr>
          <w:rFonts w:ascii="Arial" w:hAnsi="Arial" w:cs="Arial"/>
          <w:sz w:val="24"/>
          <w:szCs w:val="24"/>
        </w:rPr>
        <w:t>,</w:t>
      </w:r>
      <w:r w:rsidR="002B285C">
        <w:rPr>
          <w:rFonts w:ascii="Arial" w:hAnsi="Arial" w:cs="Arial"/>
          <w:sz w:val="24"/>
          <w:szCs w:val="24"/>
        </w:rPr>
        <w:t xml:space="preserve"> th</w:t>
      </w:r>
      <w:r w:rsidR="00994BC2">
        <w:rPr>
          <w:rFonts w:ascii="Arial" w:hAnsi="Arial" w:cs="Arial"/>
          <w:sz w:val="24"/>
          <w:szCs w:val="24"/>
        </w:rPr>
        <w:t>is</w:t>
      </w:r>
      <w:r w:rsidR="002B285C">
        <w:rPr>
          <w:rFonts w:ascii="Arial" w:hAnsi="Arial" w:cs="Arial"/>
          <w:sz w:val="24"/>
          <w:szCs w:val="24"/>
        </w:rPr>
        <w:t xml:space="preserve"> court found </w:t>
      </w:r>
      <w:r w:rsidR="00E26DC8">
        <w:rPr>
          <w:rFonts w:ascii="Arial" w:hAnsi="Arial" w:cs="Arial"/>
          <w:sz w:val="24"/>
          <w:szCs w:val="24"/>
        </w:rPr>
        <w:t xml:space="preserve">that </w:t>
      </w:r>
      <w:r w:rsidR="002B285C">
        <w:rPr>
          <w:rFonts w:ascii="Arial" w:hAnsi="Arial" w:cs="Arial"/>
          <w:sz w:val="24"/>
          <w:szCs w:val="24"/>
        </w:rPr>
        <w:t>an ‘explanation’ amounting to ignorance of</w:t>
      </w:r>
      <w:r w:rsidR="00994BC2">
        <w:rPr>
          <w:rFonts w:ascii="Arial" w:hAnsi="Arial" w:cs="Arial"/>
          <w:sz w:val="24"/>
          <w:szCs w:val="24"/>
        </w:rPr>
        <w:t xml:space="preserve"> a</w:t>
      </w:r>
      <w:r w:rsidR="002B285C">
        <w:rPr>
          <w:rFonts w:ascii="Arial" w:hAnsi="Arial" w:cs="Arial"/>
          <w:sz w:val="24"/>
          <w:szCs w:val="24"/>
        </w:rPr>
        <w:t xml:space="preserve"> rule amounted to no explanation</w:t>
      </w:r>
      <w:r w:rsidR="00E26DC8">
        <w:rPr>
          <w:rFonts w:ascii="Arial" w:hAnsi="Arial" w:cs="Arial"/>
          <w:sz w:val="24"/>
          <w:szCs w:val="24"/>
        </w:rPr>
        <w:t>,</w:t>
      </w:r>
      <w:r w:rsidR="00B77C66">
        <w:rPr>
          <w:rFonts w:ascii="Arial" w:hAnsi="Arial" w:cs="Arial"/>
          <w:sz w:val="24"/>
          <w:szCs w:val="24"/>
        </w:rPr>
        <w:t xml:space="preserve"> with reference to the same flawed explanation</w:t>
      </w:r>
      <w:r w:rsidR="002B285C">
        <w:rPr>
          <w:rFonts w:ascii="Arial" w:hAnsi="Arial" w:cs="Arial"/>
          <w:sz w:val="24"/>
          <w:szCs w:val="24"/>
        </w:rPr>
        <w:t xml:space="preserve">. As was pointed out in </w:t>
      </w:r>
      <w:r w:rsidR="002B285C">
        <w:rPr>
          <w:rFonts w:ascii="Arial" w:hAnsi="Arial" w:cs="Arial"/>
          <w:i/>
          <w:sz w:val="24"/>
          <w:szCs w:val="24"/>
        </w:rPr>
        <w:t>Sun Square</w:t>
      </w:r>
      <w:r w:rsidR="002B285C">
        <w:rPr>
          <w:rFonts w:ascii="Arial" w:hAnsi="Arial" w:cs="Arial"/>
          <w:sz w:val="24"/>
          <w:szCs w:val="24"/>
        </w:rPr>
        <w:t>, if such an explanation were to be accepted, this court would be obliged to accept every other explanation for failing to comply with the rules.</w:t>
      </w:r>
    </w:p>
    <w:p w:rsidR="007D5E56" w:rsidRDefault="007D5E56" w:rsidP="007D5E56">
      <w:pPr>
        <w:pStyle w:val="NoSpacing"/>
        <w:spacing w:line="480" w:lineRule="auto"/>
        <w:jc w:val="both"/>
        <w:rPr>
          <w:rFonts w:ascii="Arial" w:hAnsi="Arial" w:cs="Arial"/>
          <w:sz w:val="24"/>
          <w:szCs w:val="24"/>
        </w:rPr>
      </w:pPr>
    </w:p>
    <w:p w:rsidR="007D5E56" w:rsidRDefault="007D5E56"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Another defe</w:t>
      </w:r>
      <w:r w:rsidR="00FD0FD5">
        <w:rPr>
          <w:rFonts w:ascii="Arial" w:hAnsi="Arial" w:cs="Arial"/>
          <w:sz w:val="24"/>
          <w:szCs w:val="24"/>
        </w:rPr>
        <w:t>c</w:t>
      </w:r>
      <w:r>
        <w:rPr>
          <w:rFonts w:ascii="Arial" w:hAnsi="Arial" w:cs="Arial"/>
          <w:sz w:val="24"/>
          <w:szCs w:val="24"/>
        </w:rPr>
        <w:t xml:space="preserve">t in the condonation application is the failure to address the question </w:t>
      </w:r>
      <w:r w:rsidR="005100F2">
        <w:rPr>
          <w:rFonts w:ascii="Arial" w:hAnsi="Arial" w:cs="Arial"/>
          <w:sz w:val="24"/>
          <w:szCs w:val="24"/>
        </w:rPr>
        <w:t xml:space="preserve">of prospects of success of the appeal </w:t>
      </w:r>
      <w:r w:rsidR="00FD0FD5">
        <w:rPr>
          <w:rFonts w:ascii="Arial" w:hAnsi="Arial" w:cs="Arial"/>
          <w:sz w:val="24"/>
          <w:szCs w:val="24"/>
        </w:rPr>
        <w:t>and even to</w:t>
      </w:r>
      <w:r w:rsidR="005100F2">
        <w:rPr>
          <w:rFonts w:ascii="Arial" w:hAnsi="Arial" w:cs="Arial"/>
          <w:sz w:val="24"/>
          <w:szCs w:val="24"/>
        </w:rPr>
        <w:t xml:space="preserve"> refer to this requirement.</w:t>
      </w:r>
    </w:p>
    <w:p w:rsidR="00355FCD" w:rsidRDefault="00355FCD" w:rsidP="00355FCD">
      <w:pPr>
        <w:pStyle w:val="ListParagraph"/>
        <w:spacing w:after="0" w:line="480" w:lineRule="auto"/>
        <w:rPr>
          <w:rFonts w:ascii="Arial" w:hAnsi="Arial" w:cs="Arial"/>
          <w:sz w:val="24"/>
          <w:szCs w:val="24"/>
        </w:rPr>
      </w:pPr>
    </w:p>
    <w:p w:rsidR="00355FCD" w:rsidRDefault="002B285C"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Given the </w:t>
      </w:r>
      <w:r w:rsidR="00B77C66">
        <w:rPr>
          <w:rFonts w:ascii="Arial" w:hAnsi="Arial" w:cs="Arial"/>
          <w:sz w:val="24"/>
          <w:szCs w:val="24"/>
        </w:rPr>
        <w:t xml:space="preserve">comprehensive </w:t>
      </w:r>
      <w:r>
        <w:rPr>
          <w:rFonts w:ascii="Arial" w:hAnsi="Arial" w:cs="Arial"/>
          <w:sz w:val="24"/>
          <w:szCs w:val="24"/>
        </w:rPr>
        <w:t>failure to provide an acceptable or satisfactory explanation for the non-compliance, it follows that the application for condonation</w:t>
      </w:r>
      <w:r w:rsidR="00C86D90">
        <w:rPr>
          <w:rFonts w:ascii="Arial" w:hAnsi="Arial" w:cs="Arial"/>
          <w:sz w:val="24"/>
          <w:szCs w:val="24"/>
        </w:rPr>
        <w:t xml:space="preserve"> </w:t>
      </w:r>
      <w:r w:rsidR="00E26DC8">
        <w:rPr>
          <w:rFonts w:ascii="Arial" w:hAnsi="Arial" w:cs="Arial"/>
          <w:sz w:val="24"/>
          <w:szCs w:val="24"/>
        </w:rPr>
        <w:t xml:space="preserve">would </w:t>
      </w:r>
      <w:r w:rsidR="00C86D90">
        <w:rPr>
          <w:rFonts w:ascii="Arial" w:hAnsi="Arial" w:cs="Arial"/>
          <w:sz w:val="24"/>
          <w:szCs w:val="24"/>
        </w:rPr>
        <w:t xml:space="preserve">ordinarily </w:t>
      </w:r>
      <w:r w:rsidR="00B77C66">
        <w:rPr>
          <w:rFonts w:ascii="Arial" w:hAnsi="Arial" w:cs="Arial"/>
          <w:sz w:val="24"/>
          <w:szCs w:val="24"/>
        </w:rPr>
        <w:t>fall</w:t>
      </w:r>
      <w:r>
        <w:rPr>
          <w:rFonts w:ascii="Arial" w:hAnsi="Arial" w:cs="Arial"/>
          <w:sz w:val="24"/>
          <w:szCs w:val="24"/>
        </w:rPr>
        <w:t xml:space="preserve"> to be dismissed for th</w:t>
      </w:r>
      <w:r w:rsidR="00FD0FD5">
        <w:rPr>
          <w:rFonts w:ascii="Arial" w:hAnsi="Arial" w:cs="Arial"/>
          <w:sz w:val="24"/>
          <w:szCs w:val="24"/>
        </w:rPr>
        <w:t>is</w:t>
      </w:r>
      <w:r>
        <w:rPr>
          <w:rFonts w:ascii="Arial" w:hAnsi="Arial" w:cs="Arial"/>
          <w:sz w:val="24"/>
          <w:szCs w:val="24"/>
        </w:rPr>
        <w:t xml:space="preserve"> reason alone and without the need to consider the prospects of success of the appeal. </w:t>
      </w:r>
      <w:r w:rsidR="00994BC2">
        <w:rPr>
          <w:rFonts w:ascii="Arial" w:hAnsi="Arial" w:cs="Arial"/>
          <w:sz w:val="24"/>
          <w:szCs w:val="24"/>
        </w:rPr>
        <w:t>Whilst no doubt appreciating the hopeless inadequacy of the explanation, appellant</w:t>
      </w:r>
      <w:r w:rsidR="00956170">
        <w:rPr>
          <w:rFonts w:ascii="Arial" w:hAnsi="Arial" w:cs="Arial"/>
          <w:sz w:val="24"/>
          <w:szCs w:val="24"/>
        </w:rPr>
        <w:t>’</w:t>
      </w:r>
      <w:r w:rsidR="00994BC2">
        <w:rPr>
          <w:rFonts w:ascii="Arial" w:hAnsi="Arial" w:cs="Arial"/>
          <w:sz w:val="24"/>
          <w:szCs w:val="24"/>
        </w:rPr>
        <w:t>s counsel urged this court to overlook it</w:t>
      </w:r>
      <w:r w:rsidR="00C86D90">
        <w:rPr>
          <w:rFonts w:ascii="Arial" w:hAnsi="Arial" w:cs="Arial"/>
          <w:sz w:val="24"/>
          <w:szCs w:val="24"/>
        </w:rPr>
        <w:t>,</w:t>
      </w:r>
      <w:r w:rsidR="00994BC2">
        <w:rPr>
          <w:rFonts w:ascii="Arial" w:hAnsi="Arial" w:cs="Arial"/>
          <w:sz w:val="24"/>
          <w:szCs w:val="24"/>
        </w:rPr>
        <w:t xml:space="preserve"> given the public importance of this case, </w:t>
      </w:r>
      <w:r>
        <w:rPr>
          <w:rFonts w:ascii="Arial" w:hAnsi="Arial" w:cs="Arial"/>
          <w:sz w:val="24"/>
          <w:szCs w:val="24"/>
        </w:rPr>
        <w:t>because the interest</w:t>
      </w:r>
      <w:r w:rsidR="00DC6C5A">
        <w:rPr>
          <w:rFonts w:ascii="Arial" w:hAnsi="Arial" w:cs="Arial"/>
          <w:sz w:val="24"/>
          <w:szCs w:val="24"/>
        </w:rPr>
        <w:t>s</w:t>
      </w:r>
      <w:r>
        <w:rPr>
          <w:rFonts w:ascii="Arial" w:hAnsi="Arial" w:cs="Arial"/>
          <w:sz w:val="24"/>
          <w:szCs w:val="24"/>
        </w:rPr>
        <w:t xml:space="preserve"> of a minor child are at stake</w:t>
      </w:r>
      <w:r w:rsidR="00DC6C5A">
        <w:rPr>
          <w:rFonts w:ascii="Arial" w:hAnsi="Arial" w:cs="Arial"/>
          <w:sz w:val="24"/>
          <w:szCs w:val="24"/>
        </w:rPr>
        <w:t>.</w:t>
      </w:r>
      <w:r>
        <w:rPr>
          <w:rFonts w:ascii="Arial" w:hAnsi="Arial" w:cs="Arial"/>
          <w:sz w:val="24"/>
          <w:szCs w:val="24"/>
        </w:rPr>
        <w:t xml:space="preserve"> </w:t>
      </w:r>
    </w:p>
    <w:p w:rsidR="009A19CD" w:rsidRDefault="009A19CD" w:rsidP="0033360D">
      <w:pPr>
        <w:spacing w:after="0" w:line="480" w:lineRule="auto"/>
        <w:rPr>
          <w:rFonts w:ascii="Arial" w:hAnsi="Arial" w:cs="Arial"/>
          <w:sz w:val="24"/>
          <w:szCs w:val="24"/>
          <w:u w:val="single"/>
        </w:rPr>
      </w:pPr>
    </w:p>
    <w:p w:rsidR="0033360D" w:rsidRPr="0033360D" w:rsidRDefault="0033360D" w:rsidP="0033360D">
      <w:pPr>
        <w:spacing w:after="0" w:line="480" w:lineRule="auto"/>
        <w:rPr>
          <w:rFonts w:ascii="Arial" w:hAnsi="Arial" w:cs="Arial"/>
          <w:sz w:val="24"/>
          <w:szCs w:val="24"/>
          <w:u w:val="single"/>
        </w:rPr>
      </w:pPr>
      <w:r>
        <w:rPr>
          <w:rFonts w:ascii="Arial" w:hAnsi="Arial" w:cs="Arial"/>
          <w:sz w:val="24"/>
          <w:szCs w:val="24"/>
          <w:u w:val="single"/>
        </w:rPr>
        <w:t>The merits of the appeal</w:t>
      </w:r>
    </w:p>
    <w:p w:rsidR="00975DE7" w:rsidRDefault="0033360D"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Given the public importance of the issues raised in this appeal which concern a minor child of seven years</w:t>
      </w:r>
      <w:r w:rsidR="00975DE7">
        <w:rPr>
          <w:rFonts w:ascii="Arial" w:hAnsi="Arial" w:cs="Arial"/>
          <w:sz w:val="24"/>
          <w:szCs w:val="24"/>
        </w:rPr>
        <w:t xml:space="preserve"> and the jurisdiction of children’s courts</w:t>
      </w:r>
      <w:r>
        <w:rPr>
          <w:rFonts w:ascii="Arial" w:hAnsi="Arial" w:cs="Arial"/>
          <w:sz w:val="24"/>
          <w:szCs w:val="24"/>
        </w:rPr>
        <w:t>, I turn to address the merits</w:t>
      </w:r>
      <w:r w:rsidR="00C86D90">
        <w:rPr>
          <w:rFonts w:ascii="Arial" w:hAnsi="Arial" w:cs="Arial"/>
          <w:sz w:val="24"/>
          <w:szCs w:val="24"/>
        </w:rPr>
        <w:t xml:space="preserve"> of the appeal</w:t>
      </w:r>
      <w:r>
        <w:rPr>
          <w:rFonts w:ascii="Arial" w:hAnsi="Arial" w:cs="Arial"/>
          <w:sz w:val="24"/>
          <w:szCs w:val="24"/>
        </w:rPr>
        <w:t xml:space="preserve">. </w:t>
      </w:r>
    </w:p>
    <w:p w:rsidR="00975DE7" w:rsidRDefault="00975DE7" w:rsidP="00975DE7">
      <w:pPr>
        <w:pStyle w:val="NoSpacing"/>
        <w:spacing w:line="480" w:lineRule="auto"/>
        <w:jc w:val="both"/>
        <w:rPr>
          <w:rFonts w:ascii="Arial" w:hAnsi="Arial" w:cs="Arial"/>
          <w:sz w:val="24"/>
          <w:szCs w:val="24"/>
        </w:rPr>
      </w:pPr>
    </w:p>
    <w:p w:rsidR="00355FCD" w:rsidRDefault="0033360D"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crisp question</w:t>
      </w:r>
      <w:r w:rsidR="00DC6C5A">
        <w:rPr>
          <w:rFonts w:ascii="Arial" w:hAnsi="Arial" w:cs="Arial"/>
          <w:sz w:val="24"/>
          <w:szCs w:val="24"/>
        </w:rPr>
        <w:t xml:space="preserve"> raised by the merits of this matter</w:t>
      </w:r>
      <w:r>
        <w:rPr>
          <w:rFonts w:ascii="Arial" w:hAnsi="Arial" w:cs="Arial"/>
          <w:sz w:val="24"/>
          <w:szCs w:val="24"/>
        </w:rPr>
        <w:t xml:space="preserve"> is whether the High Court erred in </w:t>
      </w:r>
      <w:r w:rsidR="00E26DC8">
        <w:rPr>
          <w:rFonts w:ascii="Arial" w:hAnsi="Arial" w:cs="Arial"/>
          <w:sz w:val="24"/>
          <w:szCs w:val="24"/>
        </w:rPr>
        <w:t>declining to exercise</w:t>
      </w:r>
      <w:r>
        <w:rPr>
          <w:rFonts w:ascii="Arial" w:hAnsi="Arial" w:cs="Arial"/>
          <w:sz w:val="24"/>
          <w:szCs w:val="24"/>
        </w:rPr>
        <w:t xml:space="preserve"> jurisdiction to hear and determine </w:t>
      </w:r>
      <w:r w:rsidR="00956170">
        <w:rPr>
          <w:rFonts w:ascii="Arial" w:hAnsi="Arial" w:cs="Arial"/>
          <w:sz w:val="24"/>
          <w:szCs w:val="24"/>
        </w:rPr>
        <w:t xml:space="preserve">an application for </w:t>
      </w:r>
      <w:r>
        <w:rPr>
          <w:rFonts w:ascii="Arial" w:hAnsi="Arial" w:cs="Arial"/>
          <w:sz w:val="24"/>
          <w:szCs w:val="24"/>
        </w:rPr>
        <w:t xml:space="preserve">the </w:t>
      </w:r>
      <w:r w:rsidR="00DC6C5A">
        <w:rPr>
          <w:rFonts w:ascii="Arial" w:hAnsi="Arial" w:cs="Arial"/>
          <w:sz w:val="24"/>
          <w:szCs w:val="24"/>
        </w:rPr>
        <w:t>guardianship of G</w:t>
      </w:r>
      <w:r w:rsidR="00E26DC8">
        <w:rPr>
          <w:rFonts w:ascii="Arial" w:hAnsi="Arial" w:cs="Arial"/>
          <w:sz w:val="24"/>
          <w:szCs w:val="24"/>
        </w:rPr>
        <w:t xml:space="preserve"> as a court of first instance, including what the court termed</w:t>
      </w:r>
      <w:r w:rsidR="00DC6C5A">
        <w:rPr>
          <w:rFonts w:ascii="Arial" w:hAnsi="Arial" w:cs="Arial"/>
          <w:sz w:val="24"/>
          <w:szCs w:val="24"/>
        </w:rPr>
        <w:t xml:space="preserve"> the </w:t>
      </w:r>
      <w:r>
        <w:rPr>
          <w:rFonts w:ascii="Arial" w:hAnsi="Arial" w:cs="Arial"/>
          <w:sz w:val="24"/>
          <w:szCs w:val="24"/>
        </w:rPr>
        <w:t xml:space="preserve">propriety of the deceased </w:t>
      </w:r>
      <w:r w:rsidR="005100F2">
        <w:rPr>
          <w:rFonts w:ascii="Arial" w:hAnsi="Arial" w:cs="Arial"/>
          <w:sz w:val="24"/>
          <w:szCs w:val="24"/>
        </w:rPr>
        <w:t>‘</w:t>
      </w:r>
      <w:r>
        <w:rPr>
          <w:rFonts w:ascii="Arial" w:hAnsi="Arial" w:cs="Arial"/>
          <w:sz w:val="24"/>
          <w:szCs w:val="24"/>
        </w:rPr>
        <w:t>awarding</w:t>
      </w:r>
      <w:r w:rsidR="005100F2">
        <w:rPr>
          <w:rFonts w:ascii="Arial" w:hAnsi="Arial" w:cs="Arial"/>
          <w:sz w:val="24"/>
          <w:szCs w:val="24"/>
        </w:rPr>
        <w:t>’</w:t>
      </w:r>
      <w:r>
        <w:rPr>
          <w:rFonts w:ascii="Arial" w:hAnsi="Arial" w:cs="Arial"/>
          <w:sz w:val="24"/>
          <w:szCs w:val="24"/>
        </w:rPr>
        <w:t xml:space="preserve"> guardianship of G to the appellant to the exclusion of the respondent in her last will</w:t>
      </w:r>
      <w:r w:rsidR="00DC6C5A">
        <w:rPr>
          <w:rFonts w:ascii="Arial" w:hAnsi="Arial" w:cs="Arial"/>
          <w:sz w:val="24"/>
          <w:szCs w:val="24"/>
        </w:rPr>
        <w:t>.</w:t>
      </w:r>
      <w:r w:rsidR="00E26DC8">
        <w:rPr>
          <w:rFonts w:ascii="Arial" w:hAnsi="Arial" w:cs="Arial"/>
          <w:sz w:val="24"/>
          <w:szCs w:val="24"/>
        </w:rPr>
        <w:t xml:space="preserve"> </w:t>
      </w:r>
      <w:r w:rsidR="00956170">
        <w:rPr>
          <w:rFonts w:ascii="Arial" w:hAnsi="Arial" w:cs="Arial"/>
          <w:sz w:val="24"/>
          <w:szCs w:val="24"/>
        </w:rPr>
        <w:t>At the outset, it would seem that th</w:t>
      </w:r>
      <w:r w:rsidR="0049692A">
        <w:rPr>
          <w:rFonts w:ascii="Arial" w:hAnsi="Arial" w:cs="Arial"/>
          <w:sz w:val="24"/>
          <w:szCs w:val="24"/>
        </w:rPr>
        <w:t>is</w:t>
      </w:r>
      <w:r w:rsidR="00956170">
        <w:rPr>
          <w:rFonts w:ascii="Arial" w:hAnsi="Arial" w:cs="Arial"/>
          <w:sz w:val="24"/>
          <w:szCs w:val="24"/>
        </w:rPr>
        <w:t xml:space="preserve"> terminology used would appear to be incorrect. </w:t>
      </w:r>
      <w:r w:rsidR="00E26DC8">
        <w:rPr>
          <w:rFonts w:ascii="Arial" w:hAnsi="Arial" w:cs="Arial"/>
          <w:sz w:val="24"/>
          <w:szCs w:val="24"/>
        </w:rPr>
        <w:t>It is not clear to me that the deceased</w:t>
      </w:r>
      <w:r w:rsidR="00975DE7">
        <w:rPr>
          <w:rFonts w:ascii="Arial" w:hAnsi="Arial" w:cs="Arial"/>
          <w:sz w:val="24"/>
          <w:szCs w:val="24"/>
        </w:rPr>
        <w:t xml:space="preserve"> in this matter</w:t>
      </w:r>
      <w:r w:rsidR="00956170">
        <w:rPr>
          <w:rFonts w:ascii="Arial" w:hAnsi="Arial" w:cs="Arial"/>
          <w:sz w:val="24"/>
          <w:szCs w:val="24"/>
        </w:rPr>
        <w:t xml:space="preserve"> sought to</w:t>
      </w:r>
      <w:r w:rsidR="00E26DC8">
        <w:rPr>
          <w:rFonts w:ascii="Arial" w:hAnsi="Arial" w:cs="Arial"/>
          <w:sz w:val="24"/>
          <w:szCs w:val="24"/>
        </w:rPr>
        <w:t xml:space="preserve"> ‘award’ the guardianship to the appellant</w:t>
      </w:r>
      <w:r w:rsidR="00975DE7">
        <w:rPr>
          <w:rFonts w:ascii="Arial" w:hAnsi="Arial" w:cs="Arial"/>
          <w:sz w:val="24"/>
          <w:szCs w:val="24"/>
        </w:rPr>
        <w:t xml:space="preserve"> and whether this</w:t>
      </w:r>
      <w:r w:rsidR="005100F2">
        <w:rPr>
          <w:rFonts w:ascii="Arial" w:hAnsi="Arial" w:cs="Arial"/>
          <w:sz w:val="24"/>
          <w:szCs w:val="24"/>
        </w:rPr>
        <w:t xml:space="preserve"> of </w:t>
      </w:r>
      <w:r w:rsidR="0049692A">
        <w:rPr>
          <w:rFonts w:ascii="Arial" w:hAnsi="Arial" w:cs="Arial"/>
          <w:sz w:val="24"/>
          <w:szCs w:val="24"/>
        </w:rPr>
        <w:t xml:space="preserve">its own </w:t>
      </w:r>
      <w:r w:rsidR="00975DE7">
        <w:rPr>
          <w:rFonts w:ascii="Arial" w:hAnsi="Arial" w:cs="Arial"/>
          <w:sz w:val="24"/>
          <w:szCs w:val="24"/>
        </w:rPr>
        <w:t>could in any event be competent</w:t>
      </w:r>
      <w:r w:rsidR="00E26DC8">
        <w:rPr>
          <w:rFonts w:ascii="Arial" w:hAnsi="Arial" w:cs="Arial"/>
          <w:sz w:val="24"/>
          <w:szCs w:val="24"/>
        </w:rPr>
        <w:t xml:space="preserve">. Not only </w:t>
      </w:r>
      <w:r w:rsidR="00956170">
        <w:rPr>
          <w:rFonts w:ascii="Arial" w:hAnsi="Arial" w:cs="Arial"/>
          <w:sz w:val="24"/>
          <w:szCs w:val="24"/>
        </w:rPr>
        <w:t xml:space="preserve">would </w:t>
      </w:r>
      <w:r w:rsidR="00FD0FD5">
        <w:rPr>
          <w:rFonts w:ascii="Arial" w:hAnsi="Arial" w:cs="Arial"/>
          <w:sz w:val="24"/>
          <w:szCs w:val="24"/>
        </w:rPr>
        <w:t>applications for guardianship</w:t>
      </w:r>
      <w:r w:rsidR="0049692A">
        <w:rPr>
          <w:rFonts w:ascii="Arial" w:hAnsi="Arial" w:cs="Arial"/>
          <w:sz w:val="24"/>
          <w:szCs w:val="24"/>
        </w:rPr>
        <w:t xml:space="preserve"> </w:t>
      </w:r>
      <w:r w:rsidR="005100F2">
        <w:rPr>
          <w:rFonts w:ascii="Arial" w:hAnsi="Arial" w:cs="Arial"/>
          <w:sz w:val="24"/>
          <w:szCs w:val="24"/>
        </w:rPr>
        <w:t xml:space="preserve">be </w:t>
      </w:r>
      <w:r w:rsidR="00E26DC8">
        <w:rPr>
          <w:rFonts w:ascii="Arial" w:hAnsi="Arial" w:cs="Arial"/>
          <w:sz w:val="24"/>
          <w:szCs w:val="24"/>
        </w:rPr>
        <w:t xml:space="preserve">a matter for the children’s court to determine in the best interests of G, but the deceased herself </w:t>
      </w:r>
      <w:r w:rsidR="00FD0FD5">
        <w:rPr>
          <w:rFonts w:ascii="Arial" w:hAnsi="Arial" w:cs="Arial"/>
          <w:sz w:val="24"/>
          <w:szCs w:val="24"/>
        </w:rPr>
        <w:t xml:space="preserve">in her will </w:t>
      </w:r>
      <w:r w:rsidR="00E26DC8">
        <w:rPr>
          <w:rFonts w:ascii="Arial" w:hAnsi="Arial" w:cs="Arial"/>
          <w:sz w:val="24"/>
          <w:szCs w:val="24"/>
        </w:rPr>
        <w:t>instead chose the term ‘nominate’ which</w:t>
      </w:r>
      <w:r w:rsidR="008B1753">
        <w:rPr>
          <w:rFonts w:ascii="Arial" w:hAnsi="Arial" w:cs="Arial"/>
          <w:sz w:val="24"/>
          <w:szCs w:val="24"/>
        </w:rPr>
        <w:t xml:space="preserve"> is dist</w:t>
      </w:r>
      <w:r w:rsidR="00E26DC8">
        <w:rPr>
          <w:rFonts w:ascii="Arial" w:hAnsi="Arial" w:cs="Arial"/>
          <w:sz w:val="24"/>
          <w:szCs w:val="24"/>
        </w:rPr>
        <w:t>i</w:t>
      </w:r>
      <w:r w:rsidR="008B1753">
        <w:rPr>
          <w:rFonts w:ascii="Arial" w:hAnsi="Arial" w:cs="Arial"/>
          <w:sz w:val="24"/>
          <w:szCs w:val="24"/>
        </w:rPr>
        <w:t>n</w:t>
      </w:r>
      <w:r w:rsidR="00E26DC8">
        <w:rPr>
          <w:rFonts w:ascii="Arial" w:hAnsi="Arial" w:cs="Arial"/>
          <w:sz w:val="24"/>
          <w:szCs w:val="24"/>
        </w:rPr>
        <w:t xml:space="preserve">ctly </w:t>
      </w:r>
      <w:r w:rsidR="008B1753">
        <w:rPr>
          <w:rFonts w:ascii="Arial" w:hAnsi="Arial" w:cs="Arial"/>
          <w:sz w:val="24"/>
          <w:szCs w:val="24"/>
        </w:rPr>
        <w:t>different from purporting to appoint</w:t>
      </w:r>
      <w:r w:rsidR="005100F2">
        <w:rPr>
          <w:rFonts w:ascii="Arial" w:hAnsi="Arial" w:cs="Arial"/>
          <w:sz w:val="24"/>
          <w:szCs w:val="24"/>
        </w:rPr>
        <w:t xml:space="preserve"> or award guardianship</w:t>
      </w:r>
      <w:r w:rsidR="008B1753">
        <w:rPr>
          <w:rFonts w:ascii="Arial" w:hAnsi="Arial" w:cs="Arial"/>
          <w:sz w:val="24"/>
          <w:szCs w:val="24"/>
        </w:rPr>
        <w:t xml:space="preserve"> and</w:t>
      </w:r>
      <w:r w:rsidR="00956170">
        <w:rPr>
          <w:rFonts w:ascii="Arial" w:hAnsi="Arial" w:cs="Arial"/>
          <w:sz w:val="24"/>
          <w:szCs w:val="24"/>
        </w:rPr>
        <w:t xml:space="preserve"> thereby</w:t>
      </w:r>
      <w:r w:rsidR="008B1753">
        <w:rPr>
          <w:rFonts w:ascii="Arial" w:hAnsi="Arial" w:cs="Arial"/>
          <w:sz w:val="24"/>
          <w:szCs w:val="24"/>
        </w:rPr>
        <w:t xml:space="preserve"> acknowledging that a guardian is appointed by </w:t>
      </w:r>
      <w:r w:rsidR="00975DE7">
        <w:rPr>
          <w:rFonts w:ascii="Arial" w:hAnsi="Arial" w:cs="Arial"/>
          <w:sz w:val="24"/>
          <w:szCs w:val="24"/>
        </w:rPr>
        <w:t>the children’s</w:t>
      </w:r>
      <w:r w:rsidR="008B1753">
        <w:rPr>
          <w:rFonts w:ascii="Arial" w:hAnsi="Arial" w:cs="Arial"/>
          <w:sz w:val="24"/>
          <w:szCs w:val="24"/>
        </w:rPr>
        <w:t xml:space="preserve"> court in the best interest of the child.</w:t>
      </w:r>
      <w:r w:rsidR="00FD0FD5">
        <w:rPr>
          <w:rFonts w:ascii="Arial" w:hAnsi="Arial" w:cs="Arial"/>
          <w:sz w:val="24"/>
          <w:szCs w:val="24"/>
        </w:rPr>
        <w:t xml:space="preserve"> By directing an application for guardianship in the children’s court, the appellant correctly acknowledges this.</w:t>
      </w:r>
    </w:p>
    <w:p w:rsidR="00355FCD" w:rsidRDefault="00355FCD" w:rsidP="00355FCD">
      <w:pPr>
        <w:pStyle w:val="ListParagraph"/>
        <w:spacing w:after="0" w:line="480" w:lineRule="auto"/>
        <w:rPr>
          <w:rFonts w:ascii="Arial" w:hAnsi="Arial" w:cs="Arial"/>
          <w:sz w:val="24"/>
          <w:szCs w:val="24"/>
        </w:rPr>
      </w:pPr>
    </w:p>
    <w:p w:rsidR="00355FCD" w:rsidRDefault="00FF3120"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Counsel for the appellant argued that exceptional circumstances exist for the High Court to assume jurisdiction</w:t>
      </w:r>
      <w:r w:rsidR="009A19CD">
        <w:rPr>
          <w:rFonts w:ascii="Arial" w:hAnsi="Arial" w:cs="Arial"/>
          <w:sz w:val="24"/>
          <w:szCs w:val="24"/>
        </w:rPr>
        <w:t xml:space="preserve"> in the application for guardianship</w:t>
      </w:r>
      <w:r>
        <w:rPr>
          <w:rFonts w:ascii="Arial" w:hAnsi="Arial" w:cs="Arial"/>
          <w:sz w:val="24"/>
          <w:szCs w:val="24"/>
        </w:rPr>
        <w:t xml:space="preserve">, given the fact that the </w:t>
      </w:r>
      <w:r w:rsidR="00CB5338">
        <w:rPr>
          <w:rFonts w:ascii="Arial" w:hAnsi="Arial" w:cs="Arial"/>
          <w:sz w:val="24"/>
          <w:szCs w:val="24"/>
        </w:rPr>
        <w:t>children’s court</w:t>
      </w:r>
      <w:r>
        <w:rPr>
          <w:rFonts w:ascii="Arial" w:hAnsi="Arial" w:cs="Arial"/>
          <w:sz w:val="24"/>
          <w:szCs w:val="24"/>
        </w:rPr>
        <w:t xml:space="preserve"> decided to proceed with </w:t>
      </w:r>
      <w:r w:rsidR="00975DE7">
        <w:rPr>
          <w:rFonts w:ascii="Arial" w:hAnsi="Arial" w:cs="Arial"/>
          <w:sz w:val="24"/>
          <w:szCs w:val="24"/>
        </w:rPr>
        <w:t xml:space="preserve">a formal enquiry to </w:t>
      </w:r>
      <w:r>
        <w:rPr>
          <w:rFonts w:ascii="Arial" w:hAnsi="Arial" w:cs="Arial"/>
          <w:sz w:val="24"/>
          <w:szCs w:val="24"/>
        </w:rPr>
        <w:t>determin</w:t>
      </w:r>
      <w:r w:rsidR="005100F2">
        <w:rPr>
          <w:rFonts w:ascii="Arial" w:hAnsi="Arial" w:cs="Arial"/>
          <w:sz w:val="24"/>
          <w:szCs w:val="24"/>
        </w:rPr>
        <w:t>e</w:t>
      </w:r>
      <w:r>
        <w:rPr>
          <w:rFonts w:ascii="Arial" w:hAnsi="Arial" w:cs="Arial"/>
          <w:sz w:val="24"/>
          <w:szCs w:val="24"/>
        </w:rPr>
        <w:t xml:space="preserve"> guardianship and custody</w:t>
      </w:r>
      <w:r w:rsidR="00975DE7">
        <w:rPr>
          <w:rFonts w:ascii="Arial" w:hAnsi="Arial" w:cs="Arial"/>
          <w:sz w:val="24"/>
          <w:szCs w:val="24"/>
        </w:rPr>
        <w:t>,</w:t>
      </w:r>
      <w:r>
        <w:rPr>
          <w:rFonts w:ascii="Arial" w:hAnsi="Arial" w:cs="Arial"/>
          <w:sz w:val="24"/>
          <w:szCs w:val="24"/>
        </w:rPr>
        <w:t xml:space="preserve"> despite the fact that the validity of the will was challenged </w:t>
      </w:r>
      <w:r w:rsidR="00C86D90">
        <w:rPr>
          <w:rFonts w:ascii="Arial" w:hAnsi="Arial" w:cs="Arial"/>
          <w:sz w:val="24"/>
          <w:szCs w:val="24"/>
        </w:rPr>
        <w:t>which the latter court accepted it did not have jurisdiction to determine. Whilst this strictly speaking reflects what is contained in that court’s ruling on preliminary issues, the proceedings were then</w:t>
      </w:r>
      <w:r w:rsidR="00DC6C5A">
        <w:rPr>
          <w:rFonts w:ascii="Arial" w:hAnsi="Arial" w:cs="Arial"/>
          <w:sz w:val="24"/>
          <w:szCs w:val="24"/>
        </w:rPr>
        <w:t xml:space="preserve"> postponed </w:t>
      </w:r>
      <w:r w:rsidR="009A19CD">
        <w:rPr>
          <w:rFonts w:ascii="Arial" w:hAnsi="Arial" w:cs="Arial"/>
          <w:sz w:val="24"/>
          <w:szCs w:val="24"/>
        </w:rPr>
        <w:t xml:space="preserve">and </w:t>
      </w:r>
      <w:r w:rsidR="00DC6C5A">
        <w:rPr>
          <w:rFonts w:ascii="Arial" w:hAnsi="Arial" w:cs="Arial"/>
          <w:sz w:val="24"/>
          <w:szCs w:val="24"/>
        </w:rPr>
        <w:t>the High Court application</w:t>
      </w:r>
      <w:r w:rsidR="0049692A">
        <w:rPr>
          <w:rFonts w:ascii="Arial" w:hAnsi="Arial" w:cs="Arial"/>
          <w:sz w:val="24"/>
          <w:szCs w:val="24"/>
        </w:rPr>
        <w:t>,</w:t>
      </w:r>
      <w:r w:rsidR="00DC6C5A">
        <w:rPr>
          <w:rFonts w:ascii="Arial" w:hAnsi="Arial" w:cs="Arial"/>
          <w:sz w:val="24"/>
          <w:szCs w:val="24"/>
        </w:rPr>
        <w:t xml:space="preserve"> as well as </w:t>
      </w:r>
      <w:r w:rsidR="005100F2">
        <w:rPr>
          <w:rFonts w:ascii="Arial" w:hAnsi="Arial" w:cs="Arial"/>
          <w:sz w:val="24"/>
          <w:szCs w:val="24"/>
        </w:rPr>
        <w:t>a later application</w:t>
      </w:r>
      <w:r w:rsidR="00DC6C5A">
        <w:rPr>
          <w:rFonts w:ascii="Arial" w:hAnsi="Arial" w:cs="Arial"/>
          <w:sz w:val="24"/>
          <w:szCs w:val="24"/>
        </w:rPr>
        <w:t xml:space="preserve"> for interim relief staying the </w:t>
      </w:r>
      <w:r w:rsidR="00CB5338">
        <w:rPr>
          <w:rFonts w:ascii="Arial" w:hAnsi="Arial" w:cs="Arial"/>
          <w:sz w:val="24"/>
          <w:szCs w:val="24"/>
        </w:rPr>
        <w:t>children’s court</w:t>
      </w:r>
      <w:r w:rsidR="00C86D90">
        <w:rPr>
          <w:rFonts w:ascii="Arial" w:hAnsi="Arial" w:cs="Arial"/>
          <w:sz w:val="24"/>
          <w:szCs w:val="24"/>
        </w:rPr>
        <w:t xml:space="preserve"> </w:t>
      </w:r>
      <w:r w:rsidR="008B1753">
        <w:rPr>
          <w:rFonts w:ascii="Arial" w:hAnsi="Arial" w:cs="Arial"/>
          <w:sz w:val="24"/>
          <w:szCs w:val="24"/>
        </w:rPr>
        <w:t>enquiry</w:t>
      </w:r>
      <w:r w:rsidR="0049692A">
        <w:rPr>
          <w:rFonts w:ascii="Arial" w:hAnsi="Arial" w:cs="Arial"/>
          <w:sz w:val="24"/>
          <w:szCs w:val="24"/>
        </w:rPr>
        <w:t>,</w:t>
      </w:r>
      <w:r w:rsidR="00C86D90">
        <w:rPr>
          <w:rFonts w:ascii="Arial" w:hAnsi="Arial" w:cs="Arial"/>
          <w:sz w:val="24"/>
          <w:szCs w:val="24"/>
        </w:rPr>
        <w:t xml:space="preserve"> proceeded</w:t>
      </w:r>
      <w:r>
        <w:rPr>
          <w:rFonts w:ascii="Arial" w:hAnsi="Arial" w:cs="Arial"/>
          <w:sz w:val="24"/>
          <w:szCs w:val="24"/>
        </w:rPr>
        <w:t xml:space="preserve">. </w:t>
      </w:r>
      <w:r w:rsidR="00FD0FD5">
        <w:rPr>
          <w:rFonts w:ascii="Arial" w:hAnsi="Arial" w:cs="Arial"/>
          <w:sz w:val="24"/>
          <w:szCs w:val="24"/>
        </w:rPr>
        <w:t>Appellant’s</w:t>
      </w:r>
      <w:r w:rsidR="005100F2">
        <w:rPr>
          <w:rFonts w:ascii="Arial" w:hAnsi="Arial" w:cs="Arial"/>
          <w:sz w:val="24"/>
          <w:szCs w:val="24"/>
        </w:rPr>
        <w:t xml:space="preserve"> c</w:t>
      </w:r>
      <w:r>
        <w:rPr>
          <w:rFonts w:ascii="Arial" w:hAnsi="Arial" w:cs="Arial"/>
          <w:sz w:val="24"/>
          <w:szCs w:val="24"/>
        </w:rPr>
        <w:t xml:space="preserve">ounsel contended that the </w:t>
      </w:r>
      <w:r w:rsidR="00C86D90">
        <w:rPr>
          <w:rFonts w:ascii="Arial" w:hAnsi="Arial" w:cs="Arial"/>
          <w:sz w:val="24"/>
          <w:szCs w:val="24"/>
        </w:rPr>
        <w:t xml:space="preserve">issue of jurisdiction then became </w:t>
      </w:r>
      <w:r w:rsidR="00C86D90">
        <w:rPr>
          <w:rFonts w:ascii="Arial" w:hAnsi="Arial" w:cs="Arial"/>
          <w:i/>
          <w:sz w:val="24"/>
          <w:szCs w:val="24"/>
        </w:rPr>
        <w:t>res judicat</w:t>
      </w:r>
      <w:r w:rsidR="000D2D5A">
        <w:rPr>
          <w:rFonts w:ascii="Arial" w:hAnsi="Arial" w:cs="Arial"/>
          <w:i/>
          <w:sz w:val="24"/>
          <w:szCs w:val="24"/>
        </w:rPr>
        <w:t>a</w:t>
      </w:r>
      <w:r w:rsidR="005C5725">
        <w:rPr>
          <w:rFonts w:ascii="Arial" w:hAnsi="Arial" w:cs="Arial"/>
          <w:sz w:val="24"/>
          <w:szCs w:val="24"/>
        </w:rPr>
        <w:t>,</w:t>
      </w:r>
      <w:r w:rsidR="008B1753">
        <w:rPr>
          <w:rFonts w:ascii="Arial" w:hAnsi="Arial" w:cs="Arial"/>
          <w:sz w:val="24"/>
          <w:szCs w:val="24"/>
        </w:rPr>
        <w:t xml:space="preserve"> upon the children’s court ruling</w:t>
      </w:r>
      <w:r w:rsidR="00975DE7">
        <w:rPr>
          <w:rFonts w:ascii="Arial" w:hAnsi="Arial" w:cs="Arial"/>
          <w:sz w:val="24"/>
          <w:szCs w:val="24"/>
        </w:rPr>
        <w:t xml:space="preserve"> on preliminary issues</w:t>
      </w:r>
      <w:r w:rsidR="000D2D5A">
        <w:rPr>
          <w:rFonts w:ascii="Arial" w:hAnsi="Arial" w:cs="Arial"/>
          <w:i/>
          <w:sz w:val="24"/>
          <w:szCs w:val="24"/>
        </w:rPr>
        <w:t>.</w:t>
      </w:r>
      <w:r w:rsidR="000D2D5A">
        <w:rPr>
          <w:rFonts w:ascii="Arial" w:hAnsi="Arial" w:cs="Arial"/>
          <w:sz w:val="24"/>
          <w:szCs w:val="24"/>
        </w:rPr>
        <w:t xml:space="preserve"> This, so it was argued, </w:t>
      </w:r>
      <w:r w:rsidR="0049692A">
        <w:rPr>
          <w:rFonts w:ascii="Arial" w:hAnsi="Arial" w:cs="Arial"/>
          <w:sz w:val="24"/>
          <w:szCs w:val="24"/>
        </w:rPr>
        <w:t xml:space="preserve">would </w:t>
      </w:r>
      <w:r w:rsidR="000D2D5A">
        <w:rPr>
          <w:rFonts w:ascii="Arial" w:hAnsi="Arial" w:cs="Arial"/>
          <w:sz w:val="24"/>
          <w:szCs w:val="24"/>
        </w:rPr>
        <w:t xml:space="preserve">constitute ‘exceptional circumstances’ for the High Court to assume </w:t>
      </w:r>
      <w:r w:rsidR="000D2D5A">
        <w:rPr>
          <w:rFonts w:ascii="Arial" w:hAnsi="Arial" w:cs="Arial"/>
          <w:sz w:val="24"/>
          <w:szCs w:val="24"/>
        </w:rPr>
        <w:lastRenderedPageBreak/>
        <w:t>jurisdiction</w:t>
      </w:r>
      <w:r w:rsidR="008B1753">
        <w:rPr>
          <w:rFonts w:ascii="Arial" w:hAnsi="Arial" w:cs="Arial"/>
          <w:sz w:val="24"/>
          <w:szCs w:val="24"/>
        </w:rPr>
        <w:t xml:space="preserve">, even though this was not the basis of the application to that court which </w:t>
      </w:r>
      <w:r w:rsidR="00FD0FD5">
        <w:rPr>
          <w:rFonts w:ascii="Arial" w:hAnsi="Arial" w:cs="Arial"/>
          <w:sz w:val="24"/>
          <w:szCs w:val="24"/>
        </w:rPr>
        <w:t xml:space="preserve">did not refer to exceptional circumstances and </w:t>
      </w:r>
      <w:r w:rsidR="008B1753">
        <w:rPr>
          <w:rFonts w:ascii="Arial" w:hAnsi="Arial" w:cs="Arial"/>
          <w:sz w:val="24"/>
          <w:szCs w:val="24"/>
        </w:rPr>
        <w:t>rather centred on the lack of jurisdiction of the children’s court to express itself on the validity or otherwise of the will</w:t>
      </w:r>
      <w:r w:rsidR="000D2D5A">
        <w:rPr>
          <w:rFonts w:ascii="Arial" w:hAnsi="Arial" w:cs="Arial"/>
          <w:sz w:val="24"/>
          <w:szCs w:val="24"/>
        </w:rPr>
        <w:t>.</w:t>
      </w:r>
    </w:p>
    <w:p w:rsidR="00143DFC" w:rsidRDefault="00143DFC" w:rsidP="00AE4498">
      <w:pPr>
        <w:pStyle w:val="ListParagraph"/>
        <w:spacing w:after="0" w:line="480" w:lineRule="auto"/>
        <w:rPr>
          <w:rFonts w:ascii="Arial" w:hAnsi="Arial" w:cs="Arial"/>
          <w:sz w:val="24"/>
          <w:szCs w:val="24"/>
        </w:rPr>
      </w:pPr>
    </w:p>
    <w:p w:rsidR="00143DFC" w:rsidRDefault="00975DE7"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Appellant’s c</w:t>
      </w:r>
      <w:r w:rsidR="00143DFC">
        <w:rPr>
          <w:rFonts w:ascii="Arial" w:hAnsi="Arial" w:cs="Arial"/>
          <w:sz w:val="24"/>
          <w:szCs w:val="24"/>
        </w:rPr>
        <w:t>ounsel submitted that the time for assessing jurisdiction is when proceedings are instituted. That proposition, as a general principle, is sound.</w:t>
      </w:r>
      <w:r w:rsidR="0066593E">
        <w:rPr>
          <w:rStyle w:val="FootnoteReference"/>
          <w:rFonts w:ascii="Arial" w:hAnsi="Arial" w:cs="Arial"/>
          <w:sz w:val="24"/>
          <w:szCs w:val="24"/>
        </w:rPr>
        <w:footnoteReference w:id="8"/>
      </w:r>
      <w:r w:rsidR="00143DFC">
        <w:rPr>
          <w:rFonts w:ascii="Arial" w:hAnsi="Arial" w:cs="Arial"/>
          <w:sz w:val="24"/>
          <w:szCs w:val="24"/>
        </w:rPr>
        <w:t xml:space="preserve"> Counsel proceeded to argue that once the children’s court ruled that it had no jurisdiction to determine the validity of the will, it was </w:t>
      </w:r>
      <w:r w:rsidR="00FD0FD5">
        <w:rPr>
          <w:rFonts w:ascii="Arial" w:hAnsi="Arial" w:cs="Arial"/>
          <w:sz w:val="24"/>
          <w:szCs w:val="24"/>
        </w:rPr>
        <w:t xml:space="preserve">then </w:t>
      </w:r>
      <w:r w:rsidR="008B1753">
        <w:rPr>
          <w:rFonts w:ascii="Arial" w:hAnsi="Arial" w:cs="Arial"/>
          <w:sz w:val="24"/>
          <w:szCs w:val="24"/>
        </w:rPr>
        <w:t>deprived</w:t>
      </w:r>
      <w:r w:rsidR="00143DFC">
        <w:rPr>
          <w:rFonts w:ascii="Arial" w:hAnsi="Arial" w:cs="Arial"/>
          <w:sz w:val="24"/>
          <w:szCs w:val="24"/>
        </w:rPr>
        <w:t xml:space="preserve"> of jurisdiction </w:t>
      </w:r>
      <w:r w:rsidR="0066593E">
        <w:rPr>
          <w:rFonts w:ascii="Arial" w:hAnsi="Arial" w:cs="Arial"/>
          <w:sz w:val="24"/>
          <w:szCs w:val="24"/>
        </w:rPr>
        <w:t xml:space="preserve">(having determined its own jurisdiction) </w:t>
      </w:r>
      <w:r w:rsidR="00143DFC">
        <w:rPr>
          <w:rFonts w:ascii="Arial" w:hAnsi="Arial" w:cs="Arial"/>
          <w:sz w:val="24"/>
          <w:szCs w:val="24"/>
        </w:rPr>
        <w:t>and</w:t>
      </w:r>
      <w:r w:rsidR="005C5725">
        <w:rPr>
          <w:rFonts w:ascii="Arial" w:hAnsi="Arial" w:cs="Arial"/>
          <w:sz w:val="24"/>
          <w:szCs w:val="24"/>
        </w:rPr>
        <w:t xml:space="preserve">, so it was </w:t>
      </w:r>
      <w:r w:rsidR="00FD0FD5">
        <w:rPr>
          <w:rFonts w:ascii="Arial" w:hAnsi="Arial" w:cs="Arial"/>
          <w:sz w:val="24"/>
          <w:szCs w:val="24"/>
        </w:rPr>
        <w:t>argued</w:t>
      </w:r>
      <w:r w:rsidR="005C5725">
        <w:rPr>
          <w:rFonts w:ascii="Arial" w:hAnsi="Arial" w:cs="Arial"/>
          <w:sz w:val="24"/>
          <w:szCs w:val="24"/>
        </w:rPr>
        <w:t>,</w:t>
      </w:r>
      <w:r w:rsidR="00143DFC">
        <w:rPr>
          <w:rFonts w:ascii="Arial" w:hAnsi="Arial" w:cs="Arial"/>
          <w:sz w:val="24"/>
          <w:szCs w:val="24"/>
        </w:rPr>
        <w:t xml:space="preserve"> exceptional circumstances existed for the High Court to assume jurisdiction.</w:t>
      </w:r>
    </w:p>
    <w:p w:rsidR="00143DFC" w:rsidRDefault="00143DFC" w:rsidP="00AE4498">
      <w:pPr>
        <w:pStyle w:val="ListParagraph"/>
        <w:spacing w:after="0" w:line="480" w:lineRule="auto"/>
        <w:rPr>
          <w:rFonts w:ascii="Arial" w:hAnsi="Arial" w:cs="Arial"/>
          <w:sz w:val="24"/>
          <w:szCs w:val="24"/>
        </w:rPr>
      </w:pPr>
    </w:p>
    <w:p w:rsidR="00143DFC" w:rsidRDefault="00143DFC"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w:t>
      </w:r>
      <w:r w:rsidR="0049692A">
        <w:rPr>
          <w:rFonts w:ascii="Arial" w:hAnsi="Arial" w:cs="Arial"/>
          <w:sz w:val="24"/>
          <w:szCs w:val="24"/>
        </w:rPr>
        <w:t>at</w:t>
      </w:r>
      <w:r>
        <w:rPr>
          <w:rFonts w:ascii="Arial" w:hAnsi="Arial" w:cs="Arial"/>
          <w:sz w:val="24"/>
          <w:szCs w:val="24"/>
        </w:rPr>
        <w:t xml:space="preserve"> argument </w:t>
      </w:r>
      <w:r w:rsidR="0049692A">
        <w:rPr>
          <w:rFonts w:ascii="Arial" w:hAnsi="Arial" w:cs="Arial"/>
          <w:sz w:val="24"/>
          <w:szCs w:val="24"/>
        </w:rPr>
        <w:t xml:space="preserve">is however unsound and </w:t>
      </w:r>
      <w:r>
        <w:rPr>
          <w:rFonts w:ascii="Arial" w:hAnsi="Arial" w:cs="Arial"/>
          <w:sz w:val="24"/>
          <w:szCs w:val="24"/>
        </w:rPr>
        <w:t>fails to take into account that the children’s court correctly found that it lacked jurisdiction to rule on the validity of the will</w:t>
      </w:r>
      <w:r w:rsidR="0054155C">
        <w:rPr>
          <w:rFonts w:ascii="Arial" w:hAnsi="Arial" w:cs="Arial"/>
          <w:sz w:val="24"/>
          <w:szCs w:val="24"/>
        </w:rPr>
        <w:t xml:space="preserve"> and that issue only</w:t>
      </w:r>
      <w:r>
        <w:rPr>
          <w:rFonts w:ascii="Arial" w:hAnsi="Arial" w:cs="Arial"/>
          <w:sz w:val="24"/>
          <w:szCs w:val="24"/>
        </w:rPr>
        <w:t>. That court however did not f</w:t>
      </w:r>
      <w:r w:rsidR="008B1753">
        <w:rPr>
          <w:rFonts w:ascii="Arial" w:hAnsi="Arial" w:cs="Arial"/>
          <w:sz w:val="24"/>
          <w:szCs w:val="24"/>
        </w:rPr>
        <w:t>i</w:t>
      </w:r>
      <w:r>
        <w:rPr>
          <w:rFonts w:ascii="Arial" w:hAnsi="Arial" w:cs="Arial"/>
          <w:sz w:val="24"/>
          <w:szCs w:val="24"/>
        </w:rPr>
        <w:t>nd it lacked jurisdiction to determine the application for guardianship</w:t>
      </w:r>
      <w:r w:rsidR="005C5725">
        <w:rPr>
          <w:rFonts w:ascii="Arial" w:hAnsi="Arial" w:cs="Arial"/>
          <w:sz w:val="24"/>
          <w:szCs w:val="24"/>
        </w:rPr>
        <w:t>. On the contrary</w:t>
      </w:r>
      <w:r w:rsidR="009A19CD">
        <w:rPr>
          <w:rFonts w:ascii="Arial" w:hAnsi="Arial" w:cs="Arial"/>
          <w:sz w:val="24"/>
          <w:szCs w:val="24"/>
        </w:rPr>
        <w:t>,</w:t>
      </w:r>
      <w:r w:rsidR="005C5725">
        <w:rPr>
          <w:rFonts w:ascii="Arial" w:hAnsi="Arial" w:cs="Arial"/>
          <w:sz w:val="24"/>
          <w:szCs w:val="24"/>
        </w:rPr>
        <w:t xml:space="preserve"> that court </w:t>
      </w:r>
      <w:r>
        <w:rPr>
          <w:rFonts w:ascii="Arial" w:hAnsi="Arial" w:cs="Arial"/>
          <w:sz w:val="24"/>
          <w:szCs w:val="24"/>
        </w:rPr>
        <w:t>in fact postponed it.</w:t>
      </w:r>
    </w:p>
    <w:p w:rsidR="00355FCD" w:rsidRDefault="00355FCD" w:rsidP="00355FCD">
      <w:pPr>
        <w:pStyle w:val="ListParagraph"/>
        <w:spacing w:after="0" w:line="480" w:lineRule="auto"/>
        <w:rPr>
          <w:rFonts w:ascii="Arial" w:hAnsi="Arial" w:cs="Arial"/>
          <w:sz w:val="24"/>
          <w:szCs w:val="24"/>
        </w:rPr>
      </w:pPr>
    </w:p>
    <w:p w:rsidR="00DC6C5A" w:rsidRDefault="00FF3120" w:rsidP="00FF312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appellant </w:t>
      </w:r>
      <w:r w:rsidR="003026B6">
        <w:rPr>
          <w:rFonts w:ascii="Arial" w:hAnsi="Arial" w:cs="Arial"/>
          <w:sz w:val="24"/>
          <w:szCs w:val="24"/>
        </w:rPr>
        <w:t xml:space="preserve">thereafter </w:t>
      </w:r>
      <w:r>
        <w:rPr>
          <w:rFonts w:ascii="Arial" w:hAnsi="Arial" w:cs="Arial"/>
          <w:sz w:val="24"/>
          <w:szCs w:val="24"/>
        </w:rPr>
        <w:t xml:space="preserve">approached the High Court to determine guardianship </w:t>
      </w:r>
      <w:r w:rsidR="00DC6C5A">
        <w:rPr>
          <w:rFonts w:ascii="Arial" w:hAnsi="Arial" w:cs="Arial"/>
          <w:sz w:val="24"/>
          <w:szCs w:val="24"/>
        </w:rPr>
        <w:t>on the basis that</w:t>
      </w:r>
      <w:r>
        <w:rPr>
          <w:rFonts w:ascii="Arial" w:hAnsi="Arial" w:cs="Arial"/>
          <w:sz w:val="24"/>
          <w:szCs w:val="24"/>
        </w:rPr>
        <w:t xml:space="preserve"> the </w:t>
      </w:r>
      <w:r w:rsidR="00CB5338">
        <w:rPr>
          <w:rFonts w:ascii="Arial" w:hAnsi="Arial" w:cs="Arial"/>
          <w:sz w:val="24"/>
          <w:szCs w:val="24"/>
        </w:rPr>
        <w:t>children’s court</w:t>
      </w:r>
      <w:r>
        <w:rPr>
          <w:rFonts w:ascii="Arial" w:hAnsi="Arial" w:cs="Arial"/>
          <w:sz w:val="24"/>
          <w:szCs w:val="24"/>
        </w:rPr>
        <w:t xml:space="preserve"> had no jurisdiction to determine the validity of the deceased’s will. </w:t>
      </w:r>
      <w:r w:rsidR="008B1753">
        <w:rPr>
          <w:rFonts w:ascii="Arial" w:hAnsi="Arial" w:cs="Arial"/>
          <w:sz w:val="24"/>
          <w:szCs w:val="24"/>
        </w:rPr>
        <w:t>At an advanced stage</w:t>
      </w:r>
      <w:r w:rsidR="003026B6">
        <w:rPr>
          <w:rFonts w:ascii="Arial" w:hAnsi="Arial" w:cs="Arial"/>
          <w:sz w:val="24"/>
          <w:szCs w:val="24"/>
        </w:rPr>
        <w:t xml:space="preserve"> of the</w:t>
      </w:r>
      <w:r w:rsidR="00DC6C5A">
        <w:rPr>
          <w:rFonts w:ascii="Arial" w:hAnsi="Arial" w:cs="Arial"/>
          <w:sz w:val="24"/>
          <w:szCs w:val="24"/>
        </w:rPr>
        <w:t xml:space="preserve"> proceedings i</w:t>
      </w:r>
      <w:r>
        <w:rPr>
          <w:rFonts w:ascii="Arial" w:hAnsi="Arial" w:cs="Arial"/>
          <w:sz w:val="24"/>
          <w:szCs w:val="24"/>
        </w:rPr>
        <w:t xml:space="preserve">n the court </w:t>
      </w:r>
      <w:r w:rsidRPr="00FF3120">
        <w:rPr>
          <w:rFonts w:ascii="Arial" w:hAnsi="Arial" w:cs="Arial"/>
          <w:i/>
          <w:sz w:val="24"/>
          <w:szCs w:val="24"/>
        </w:rPr>
        <w:t>a quo</w:t>
      </w:r>
      <w:r w:rsidR="00DC6C5A">
        <w:rPr>
          <w:rFonts w:ascii="Arial" w:hAnsi="Arial" w:cs="Arial"/>
          <w:sz w:val="24"/>
          <w:szCs w:val="24"/>
        </w:rPr>
        <w:t>,</w:t>
      </w:r>
      <w:r>
        <w:rPr>
          <w:rFonts w:ascii="Arial" w:hAnsi="Arial" w:cs="Arial"/>
          <w:sz w:val="24"/>
          <w:szCs w:val="24"/>
        </w:rPr>
        <w:t xml:space="preserve"> the respondent made it clear that he no longer contested the validity of the will</w:t>
      </w:r>
      <w:r w:rsidR="00FD0FD5">
        <w:rPr>
          <w:rFonts w:ascii="Arial" w:hAnsi="Arial" w:cs="Arial"/>
          <w:sz w:val="24"/>
          <w:szCs w:val="24"/>
        </w:rPr>
        <w:t xml:space="preserve"> (in correspondence shortly beforehand and by counsel during oral argument)</w:t>
      </w:r>
      <w:r>
        <w:rPr>
          <w:rFonts w:ascii="Arial" w:hAnsi="Arial" w:cs="Arial"/>
          <w:sz w:val="24"/>
          <w:szCs w:val="24"/>
        </w:rPr>
        <w:t xml:space="preserve">. </w:t>
      </w:r>
    </w:p>
    <w:p w:rsidR="00DC6C5A" w:rsidRDefault="00DC6C5A" w:rsidP="00AE4498">
      <w:pPr>
        <w:pStyle w:val="ListParagraph"/>
        <w:spacing w:after="0" w:line="480" w:lineRule="auto"/>
        <w:rPr>
          <w:rFonts w:ascii="Arial" w:hAnsi="Arial" w:cs="Arial"/>
          <w:sz w:val="24"/>
          <w:szCs w:val="24"/>
        </w:rPr>
      </w:pPr>
    </w:p>
    <w:p w:rsidR="00FD0FD5" w:rsidRDefault="00FF3120" w:rsidP="00DC6C5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Once that </w:t>
      </w:r>
      <w:r w:rsidR="0054155C">
        <w:rPr>
          <w:rFonts w:ascii="Arial" w:hAnsi="Arial" w:cs="Arial"/>
          <w:sz w:val="24"/>
          <w:szCs w:val="24"/>
        </w:rPr>
        <w:t xml:space="preserve">was no longer an </w:t>
      </w:r>
      <w:r>
        <w:rPr>
          <w:rFonts w:ascii="Arial" w:hAnsi="Arial" w:cs="Arial"/>
          <w:sz w:val="24"/>
          <w:szCs w:val="24"/>
        </w:rPr>
        <w:t xml:space="preserve">issue, so too was </w:t>
      </w:r>
      <w:r w:rsidR="008B1753">
        <w:rPr>
          <w:rFonts w:ascii="Arial" w:hAnsi="Arial" w:cs="Arial"/>
          <w:sz w:val="24"/>
          <w:szCs w:val="24"/>
        </w:rPr>
        <w:t>the basis</w:t>
      </w:r>
      <w:r>
        <w:rPr>
          <w:rFonts w:ascii="Arial" w:hAnsi="Arial" w:cs="Arial"/>
          <w:sz w:val="24"/>
          <w:szCs w:val="24"/>
        </w:rPr>
        <w:t xml:space="preserve"> </w:t>
      </w:r>
      <w:r w:rsidR="0054155C">
        <w:rPr>
          <w:rFonts w:ascii="Arial" w:hAnsi="Arial" w:cs="Arial"/>
          <w:sz w:val="24"/>
          <w:szCs w:val="24"/>
        </w:rPr>
        <w:t>for</w:t>
      </w:r>
      <w:r>
        <w:rPr>
          <w:rFonts w:ascii="Arial" w:hAnsi="Arial" w:cs="Arial"/>
          <w:sz w:val="24"/>
          <w:szCs w:val="24"/>
        </w:rPr>
        <w:t xml:space="preserve"> the </w:t>
      </w:r>
      <w:r w:rsidR="008B1753">
        <w:rPr>
          <w:rFonts w:ascii="Arial" w:hAnsi="Arial" w:cs="Arial"/>
          <w:sz w:val="24"/>
          <w:szCs w:val="24"/>
        </w:rPr>
        <w:t xml:space="preserve">approach </w:t>
      </w:r>
      <w:r w:rsidR="0054155C">
        <w:rPr>
          <w:rFonts w:ascii="Arial" w:hAnsi="Arial" w:cs="Arial"/>
          <w:sz w:val="24"/>
          <w:szCs w:val="24"/>
        </w:rPr>
        <w:t>to</w:t>
      </w:r>
      <w:r w:rsidR="008B1753">
        <w:rPr>
          <w:rFonts w:ascii="Arial" w:hAnsi="Arial" w:cs="Arial"/>
          <w:sz w:val="24"/>
          <w:szCs w:val="24"/>
        </w:rPr>
        <w:t xml:space="preserve"> the High Court</w:t>
      </w:r>
      <w:r>
        <w:rPr>
          <w:rFonts w:ascii="Arial" w:hAnsi="Arial" w:cs="Arial"/>
          <w:sz w:val="24"/>
          <w:szCs w:val="24"/>
        </w:rPr>
        <w:t xml:space="preserve"> to </w:t>
      </w:r>
      <w:r w:rsidR="0066593E">
        <w:rPr>
          <w:rFonts w:ascii="Arial" w:hAnsi="Arial" w:cs="Arial"/>
          <w:sz w:val="24"/>
          <w:szCs w:val="24"/>
        </w:rPr>
        <w:t xml:space="preserve">assume jurisdiction to </w:t>
      </w:r>
      <w:r>
        <w:rPr>
          <w:rFonts w:ascii="Arial" w:hAnsi="Arial" w:cs="Arial"/>
          <w:sz w:val="24"/>
          <w:szCs w:val="24"/>
        </w:rPr>
        <w:t>determine the matter.</w:t>
      </w:r>
      <w:r w:rsidR="005C5725">
        <w:rPr>
          <w:rFonts w:ascii="Arial" w:hAnsi="Arial" w:cs="Arial"/>
          <w:sz w:val="24"/>
          <w:szCs w:val="24"/>
        </w:rPr>
        <w:t xml:space="preserve"> Counsel for the appellant however in oral argument asserted that the point</w:t>
      </w:r>
      <w:r w:rsidR="009A19CD">
        <w:rPr>
          <w:rFonts w:ascii="Arial" w:hAnsi="Arial" w:cs="Arial"/>
          <w:sz w:val="24"/>
          <w:szCs w:val="24"/>
        </w:rPr>
        <w:t xml:space="preserve"> (challenging the validity of the will)</w:t>
      </w:r>
      <w:r w:rsidR="005C5725">
        <w:rPr>
          <w:rFonts w:ascii="Arial" w:hAnsi="Arial" w:cs="Arial"/>
          <w:sz w:val="24"/>
          <w:szCs w:val="24"/>
        </w:rPr>
        <w:t xml:space="preserve"> had not been abandoned and could be raised again if the matter were to be referred back to the children’s court. This despite the concession by counsel for the respondent in</w:t>
      </w:r>
      <w:r w:rsidR="001B758C">
        <w:rPr>
          <w:rFonts w:ascii="Arial" w:hAnsi="Arial" w:cs="Arial"/>
          <w:sz w:val="24"/>
          <w:szCs w:val="24"/>
        </w:rPr>
        <w:t xml:space="preserve"> the court below that the will wa</w:t>
      </w:r>
      <w:r w:rsidR="005C5725">
        <w:rPr>
          <w:rFonts w:ascii="Arial" w:hAnsi="Arial" w:cs="Arial"/>
          <w:sz w:val="24"/>
          <w:szCs w:val="24"/>
        </w:rPr>
        <w:t>s valid and the statement on the respondent’s behalf that before the court below that the point was not persisted with</w:t>
      </w:r>
      <w:r w:rsidR="00FD0FD5">
        <w:rPr>
          <w:rFonts w:ascii="Arial" w:hAnsi="Arial" w:cs="Arial"/>
          <w:sz w:val="24"/>
          <w:szCs w:val="24"/>
        </w:rPr>
        <w:t xml:space="preserve"> as well as the correspondence to that effect shortly before the date of hearing included in the record</w:t>
      </w:r>
      <w:r w:rsidR="005C5725">
        <w:rPr>
          <w:rFonts w:ascii="Arial" w:hAnsi="Arial" w:cs="Arial"/>
          <w:sz w:val="24"/>
          <w:szCs w:val="24"/>
        </w:rPr>
        <w:t xml:space="preserve">. </w:t>
      </w:r>
    </w:p>
    <w:p w:rsidR="00FD0FD5" w:rsidRDefault="00FD0FD5" w:rsidP="00FD0FD5">
      <w:pPr>
        <w:pStyle w:val="ListParagraph"/>
        <w:rPr>
          <w:rFonts w:ascii="Arial" w:hAnsi="Arial" w:cs="Arial"/>
          <w:sz w:val="24"/>
          <w:szCs w:val="24"/>
        </w:rPr>
      </w:pPr>
    </w:p>
    <w:p w:rsidR="009A19CD" w:rsidRDefault="005C5725" w:rsidP="00DC6C5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the respondent in </w:t>
      </w:r>
      <w:r w:rsidR="00FD0FD5">
        <w:rPr>
          <w:rFonts w:ascii="Arial" w:hAnsi="Arial" w:cs="Arial"/>
          <w:sz w:val="24"/>
          <w:szCs w:val="24"/>
        </w:rPr>
        <w:t>this court</w:t>
      </w:r>
      <w:r>
        <w:rPr>
          <w:rFonts w:ascii="Arial" w:hAnsi="Arial" w:cs="Arial"/>
          <w:sz w:val="24"/>
          <w:szCs w:val="24"/>
        </w:rPr>
        <w:t xml:space="preserve"> confirmed that the </w:t>
      </w:r>
      <w:r w:rsidR="00FD0FD5">
        <w:rPr>
          <w:rFonts w:ascii="Arial" w:hAnsi="Arial" w:cs="Arial"/>
          <w:sz w:val="24"/>
          <w:szCs w:val="24"/>
        </w:rPr>
        <w:t>point</w:t>
      </w:r>
      <w:r>
        <w:rPr>
          <w:rFonts w:ascii="Arial" w:hAnsi="Arial" w:cs="Arial"/>
          <w:sz w:val="24"/>
          <w:szCs w:val="24"/>
        </w:rPr>
        <w:t xml:space="preserve"> was withdrawn and abandoned. Counsel for the appellant’s response was that</w:t>
      </w:r>
      <w:r w:rsidR="00FD0FD5">
        <w:rPr>
          <w:rFonts w:ascii="Arial" w:hAnsi="Arial" w:cs="Arial"/>
          <w:sz w:val="24"/>
          <w:szCs w:val="24"/>
        </w:rPr>
        <w:t>,</w:t>
      </w:r>
      <w:r>
        <w:rPr>
          <w:rFonts w:ascii="Arial" w:hAnsi="Arial" w:cs="Arial"/>
          <w:sz w:val="24"/>
          <w:szCs w:val="24"/>
        </w:rPr>
        <w:t xml:space="preserve"> had this been made clear – </w:t>
      </w:r>
      <w:r w:rsidR="009A19CD">
        <w:rPr>
          <w:rFonts w:ascii="Arial" w:hAnsi="Arial" w:cs="Arial"/>
          <w:sz w:val="24"/>
          <w:szCs w:val="24"/>
        </w:rPr>
        <w:t>b</w:t>
      </w:r>
      <w:r>
        <w:rPr>
          <w:rFonts w:ascii="Arial" w:hAnsi="Arial" w:cs="Arial"/>
          <w:sz w:val="24"/>
          <w:szCs w:val="24"/>
        </w:rPr>
        <w:t xml:space="preserve">y way of an unequivocal abandonment – the appeal would not have proceeded </w:t>
      </w:r>
      <w:r w:rsidR="009A19CD">
        <w:rPr>
          <w:rFonts w:ascii="Arial" w:hAnsi="Arial" w:cs="Arial"/>
          <w:sz w:val="24"/>
          <w:szCs w:val="24"/>
        </w:rPr>
        <w:t>because</w:t>
      </w:r>
      <w:r>
        <w:rPr>
          <w:rFonts w:ascii="Arial" w:hAnsi="Arial" w:cs="Arial"/>
          <w:sz w:val="24"/>
          <w:szCs w:val="24"/>
        </w:rPr>
        <w:t xml:space="preserve"> the determination of the validity of the will or its interpretation constituted the ‘exceptional circumstances’ </w:t>
      </w:r>
      <w:r w:rsidR="009A19CD">
        <w:rPr>
          <w:rFonts w:ascii="Arial" w:hAnsi="Arial" w:cs="Arial"/>
          <w:sz w:val="24"/>
          <w:szCs w:val="24"/>
        </w:rPr>
        <w:t>in support of the</w:t>
      </w:r>
      <w:r>
        <w:rPr>
          <w:rFonts w:ascii="Arial" w:hAnsi="Arial" w:cs="Arial"/>
          <w:sz w:val="24"/>
          <w:szCs w:val="24"/>
        </w:rPr>
        <w:t xml:space="preserve"> appellant’s claim for the High Court to assume jurisdiction. </w:t>
      </w:r>
    </w:p>
    <w:p w:rsidR="009A19CD" w:rsidRDefault="009A19CD" w:rsidP="009A19CD">
      <w:pPr>
        <w:pStyle w:val="ListParagraph"/>
        <w:rPr>
          <w:rFonts w:ascii="Arial" w:hAnsi="Arial" w:cs="Arial"/>
          <w:sz w:val="24"/>
          <w:szCs w:val="24"/>
        </w:rPr>
      </w:pPr>
    </w:p>
    <w:p w:rsidR="00423744" w:rsidRDefault="005C5725" w:rsidP="00DC6C5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 plainly understood the position to have been that the point was withdrawn and no longe</w:t>
      </w:r>
      <w:r w:rsidR="00FD0FD5">
        <w:rPr>
          <w:rFonts w:ascii="Arial" w:hAnsi="Arial" w:cs="Arial"/>
          <w:sz w:val="24"/>
          <w:szCs w:val="24"/>
        </w:rPr>
        <w:t>r in issue</w:t>
      </w:r>
      <w:r w:rsidR="009A19CD">
        <w:rPr>
          <w:rFonts w:ascii="Arial" w:hAnsi="Arial" w:cs="Arial"/>
          <w:sz w:val="24"/>
          <w:szCs w:val="24"/>
        </w:rPr>
        <w:t xml:space="preserve"> and stated this in as many words in its judgment</w:t>
      </w:r>
      <w:r w:rsidR="00FD0FD5">
        <w:rPr>
          <w:rFonts w:ascii="Arial" w:hAnsi="Arial" w:cs="Arial"/>
          <w:sz w:val="24"/>
          <w:szCs w:val="24"/>
        </w:rPr>
        <w:t xml:space="preserve">. That understanding </w:t>
      </w:r>
      <w:r>
        <w:rPr>
          <w:rFonts w:ascii="Arial" w:hAnsi="Arial" w:cs="Arial"/>
          <w:sz w:val="24"/>
          <w:szCs w:val="24"/>
        </w:rPr>
        <w:t>was in my view well founded</w:t>
      </w:r>
      <w:r w:rsidR="00FD0FD5">
        <w:rPr>
          <w:rFonts w:ascii="Arial" w:hAnsi="Arial" w:cs="Arial"/>
          <w:sz w:val="24"/>
          <w:szCs w:val="24"/>
        </w:rPr>
        <w:t xml:space="preserve"> with reference to the correspondence</w:t>
      </w:r>
      <w:r>
        <w:rPr>
          <w:rFonts w:ascii="Arial" w:hAnsi="Arial" w:cs="Arial"/>
          <w:sz w:val="24"/>
          <w:szCs w:val="24"/>
        </w:rPr>
        <w:t xml:space="preserve"> and was confirmed by respondent’s counsel. </w:t>
      </w:r>
    </w:p>
    <w:p w:rsidR="00423744" w:rsidRDefault="00423744" w:rsidP="00423744">
      <w:pPr>
        <w:pStyle w:val="ListParagraph"/>
        <w:rPr>
          <w:rFonts w:ascii="Arial" w:hAnsi="Arial" w:cs="Arial"/>
          <w:sz w:val="24"/>
          <w:szCs w:val="24"/>
        </w:rPr>
      </w:pPr>
    </w:p>
    <w:p w:rsidR="00DC6C5A" w:rsidRDefault="00423744" w:rsidP="00DC6C5A">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Even though not termed an abandonment</w:t>
      </w:r>
      <w:r w:rsidR="000C28BD">
        <w:rPr>
          <w:rFonts w:ascii="Arial" w:hAnsi="Arial" w:cs="Arial"/>
          <w:sz w:val="24"/>
          <w:szCs w:val="24"/>
        </w:rPr>
        <w:t>,</w:t>
      </w:r>
      <w:r>
        <w:rPr>
          <w:rFonts w:ascii="Arial" w:hAnsi="Arial" w:cs="Arial"/>
          <w:sz w:val="24"/>
          <w:szCs w:val="24"/>
        </w:rPr>
        <w:t xml:space="preserve"> the withdrawal of the challenge to the validity of the will could not be res</w:t>
      </w:r>
      <w:r w:rsidR="009A19CD">
        <w:rPr>
          <w:rFonts w:ascii="Arial" w:hAnsi="Arial" w:cs="Arial"/>
          <w:sz w:val="24"/>
          <w:szCs w:val="24"/>
        </w:rPr>
        <w:t xml:space="preserve">uscitated in these proceedings. The </w:t>
      </w:r>
      <w:r>
        <w:rPr>
          <w:rFonts w:ascii="Arial" w:hAnsi="Arial" w:cs="Arial"/>
          <w:sz w:val="24"/>
          <w:szCs w:val="24"/>
        </w:rPr>
        <w:t>withdraw</w:t>
      </w:r>
      <w:r w:rsidR="001B758C">
        <w:rPr>
          <w:rFonts w:ascii="Arial" w:hAnsi="Arial" w:cs="Arial"/>
          <w:sz w:val="24"/>
          <w:szCs w:val="24"/>
        </w:rPr>
        <w:t>al</w:t>
      </w:r>
      <w:r>
        <w:rPr>
          <w:rFonts w:ascii="Arial" w:hAnsi="Arial" w:cs="Arial"/>
          <w:sz w:val="24"/>
          <w:szCs w:val="24"/>
        </w:rPr>
        <w:t xml:space="preserve"> </w:t>
      </w:r>
      <w:r w:rsidR="000C28BD">
        <w:rPr>
          <w:rFonts w:ascii="Arial" w:hAnsi="Arial" w:cs="Arial"/>
          <w:sz w:val="24"/>
          <w:szCs w:val="24"/>
        </w:rPr>
        <w:t xml:space="preserve">of </w:t>
      </w:r>
      <w:r>
        <w:rPr>
          <w:rFonts w:ascii="Arial" w:hAnsi="Arial" w:cs="Arial"/>
          <w:sz w:val="24"/>
          <w:szCs w:val="24"/>
        </w:rPr>
        <w:t xml:space="preserve">the challenge and </w:t>
      </w:r>
      <w:r w:rsidR="001B758C">
        <w:rPr>
          <w:rFonts w:ascii="Arial" w:hAnsi="Arial" w:cs="Arial"/>
          <w:sz w:val="24"/>
          <w:szCs w:val="24"/>
        </w:rPr>
        <w:t xml:space="preserve">the </w:t>
      </w:r>
      <w:r>
        <w:rPr>
          <w:rFonts w:ascii="Arial" w:hAnsi="Arial" w:cs="Arial"/>
          <w:sz w:val="24"/>
          <w:szCs w:val="24"/>
        </w:rPr>
        <w:t>accept</w:t>
      </w:r>
      <w:r w:rsidR="001B758C">
        <w:rPr>
          <w:rFonts w:ascii="Arial" w:hAnsi="Arial" w:cs="Arial"/>
          <w:sz w:val="24"/>
          <w:szCs w:val="24"/>
        </w:rPr>
        <w:t>ance of</w:t>
      </w:r>
      <w:r>
        <w:rPr>
          <w:rFonts w:ascii="Arial" w:hAnsi="Arial" w:cs="Arial"/>
          <w:sz w:val="24"/>
          <w:szCs w:val="24"/>
        </w:rPr>
        <w:t xml:space="preserve"> the validity of the will</w:t>
      </w:r>
      <w:r w:rsidR="00904A7A">
        <w:rPr>
          <w:rFonts w:ascii="Arial" w:hAnsi="Arial" w:cs="Arial"/>
          <w:sz w:val="24"/>
          <w:szCs w:val="24"/>
        </w:rPr>
        <w:t xml:space="preserve"> had th</w:t>
      </w:r>
      <w:r w:rsidR="001B758C">
        <w:rPr>
          <w:rFonts w:ascii="Arial" w:hAnsi="Arial" w:cs="Arial"/>
          <w:sz w:val="24"/>
          <w:szCs w:val="24"/>
        </w:rPr>
        <w:t>e</w:t>
      </w:r>
      <w:r w:rsidR="00904A7A">
        <w:rPr>
          <w:rFonts w:ascii="Arial" w:hAnsi="Arial" w:cs="Arial"/>
          <w:sz w:val="24"/>
          <w:szCs w:val="24"/>
        </w:rPr>
        <w:t xml:space="preserve"> effect of </w:t>
      </w:r>
      <w:r w:rsidR="00904A7A">
        <w:rPr>
          <w:rFonts w:ascii="Arial" w:hAnsi="Arial" w:cs="Arial"/>
          <w:sz w:val="24"/>
          <w:szCs w:val="24"/>
        </w:rPr>
        <w:lastRenderedPageBreak/>
        <w:t>abandoning that challenge.</w:t>
      </w:r>
      <w:r>
        <w:rPr>
          <w:rFonts w:ascii="Arial" w:hAnsi="Arial" w:cs="Arial"/>
          <w:sz w:val="24"/>
          <w:szCs w:val="24"/>
        </w:rPr>
        <w:t xml:space="preserve"> </w:t>
      </w:r>
      <w:r w:rsidR="005C5725">
        <w:rPr>
          <w:rFonts w:ascii="Arial" w:hAnsi="Arial" w:cs="Arial"/>
          <w:sz w:val="24"/>
          <w:szCs w:val="24"/>
        </w:rPr>
        <w:t>If the appellant was unsure of this,</w:t>
      </w:r>
      <w:r>
        <w:rPr>
          <w:rFonts w:ascii="Arial" w:hAnsi="Arial" w:cs="Arial"/>
          <w:sz w:val="24"/>
          <w:szCs w:val="24"/>
        </w:rPr>
        <w:t xml:space="preserve"> as</w:t>
      </w:r>
      <w:r w:rsidR="005C5725">
        <w:rPr>
          <w:rFonts w:ascii="Arial" w:hAnsi="Arial" w:cs="Arial"/>
          <w:sz w:val="24"/>
          <w:szCs w:val="24"/>
        </w:rPr>
        <w:t xml:space="preserve"> was argued on her behalf, this could have been clarified in correspondence instead of embarking upon this appeal, particularly given the concession, correctly made by counsel, th</w:t>
      </w:r>
      <w:r>
        <w:rPr>
          <w:rFonts w:ascii="Arial" w:hAnsi="Arial" w:cs="Arial"/>
          <w:sz w:val="24"/>
          <w:szCs w:val="24"/>
        </w:rPr>
        <w:t>at</w:t>
      </w:r>
      <w:r w:rsidR="005C5725">
        <w:rPr>
          <w:rFonts w:ascii="Arial" w:hAnsi="Arial" w:cs="Arial"/>
          <w:sz w:val="24"/>
          <w:szCs w:val="24"/>
        </w:rPr>
        <w:t xml:space="preserve"> the basis for the High Court to assume jurisdiction </w:t>
      </w:r>
      <w:r>
        <w:rPr>
          <w:rFonts w:ascii="Arial" w:hAnsi="Arial" w:cs="Arial"/>
          <w:sz w:val="24"/>
          <w:szCs w:val="24"/>
        </w:rPr>
        <w:t>would then fa</w:t>
      </w:r>
      <w:r w:rsidR="005C5725">
        <w:rPr>
          <w:rFonts w:ascii="Arial" w:hAnsi="Arial" w:cs="Arial"/>
          <w:sz w:val="24"/>
          <w:szCs w:val="24"/>
        </w:rPr>
        <w:t>ll away. Even though this concession</w:t>
      </w:r>
      <w:r w:rsidR="009A19CD">
        <w:rPr>
          <w:rFonts w:ascii="Arial" w:hAnsi="Arial" w:cs="Arial"/>
          <w:sz w:val="24"/>
          <w:szCs w:val="24"/>
        </w:rPr>
        <w:t>,</w:t>
      </w:r>
      <w:r w:rsidR="005C5725">
        <w:rPr>
          <w:rFonts w:ascii="Arial" w:hAnsi="Arial" w:cs="Arial"/>
          <w:sz w:val="24"/>
          <w:szCs w:val="24"/>
        </w:rPr>
        <w:t xml:space="preserve"> </w:t>
      </w:r>
      <w:r>
        <w:rPr>
          <w:rFonts w:ascii="Arial" w:hAnsi="Arial" w:cs="Arial"/>
          <w:sz w:val="24"/>
          <w:szCs w:val="24"/>
        </w:rPr>
        <w:t>very properly made</w:t>
      </w:r>
      <w:r w:rsidR="009A19CD">
        <w:rPr>
          <w:rFonts w:ascii="Arial" w:hAnsi="Arial" w:cs="Arial"/>
          <w:sz w:val="24"/>
          <w:szCs w:val="24"/>
        </w:rPr>
        <w:t>,</w:t>
      </w:r>
      <w:r>
        <w:rPr>
          <w:rFonts w:ascii="Arial" w:hAnsi="Arial" w:cs="Arial"/>
          <w:sz w:val="24"/>
          <w:szCs w:val="24"/>
        </w:rPr>
        <w:t xml:space="preserve"> </w:t>
      </w:r>
      <w:r w:rsidR="005C5725">
        <w:rPr>
          <w:rFonts w:ascii="Arial" w:hAnsi="Arial" w:cs="Arial"/>
          <w:sz w:val="24"/>
          <w:szCs w:val="24"/>
        </w:rPr>
        <w:t>would mean that this appeal against the court’s finding o</w:t>
      </w:r>
      <w:r w:rsidR="000C28BD">
        <w:rPr>
          <w:rFonts w:ascii="Arial" w:hAnsi="Arial" w:cs="Arial"/>
          <w:sz w:val="24"/>
          <w:szCs w:val="24"/>
        </w:rPr>
        <w:t>n</w:t>
      </w:r>
      <w:r w:rsidR="001B758C">
        <w:rPr>
          <w:rFonts w:ascii="Arial" w:hAnsi="Arial" w:cs="Arial"/>
          <w:sz w:val="24"/>
          <w:szCs w:val="24"/>
        </w:rPr>
        <w:t xml:space="preserve"> jurisdiction would fall away, i</w:t>
      </w:r>
      <w:r w:rsidR="005C5725">
        <w:rPr>
          <w:rFonts w:ascii="Arial" w:hAnsi="Arial" w:cs="Arial"/>
          <w:sz w:val="24"/>
          <w:szCs w:val="24"/>
        </w:rPr>
        <w:t xml:space="preserve">t </w:t>
      </w:r>
      <w:r>
        <w:rPr>
          <w:rFonts w:ascii="Arial" w:hAnsi="Arial" w:cs="Arial"/>
          <w:sz w:val="24"/>
          <w:szCs w:val="24"/>
        </w:rPr>
        <w:t xml:space="preserve">however </w:t>
      </w:r>
      <w:r w:rsidR="005C5725">
        <w:rPr>
          <w:rFonts w:ascii="Arial" w:hAnsi="Arial" w:cs="Arial"/>
          <w:sz w:val="24"/>
          <w:szCs w:val="24"/>
        </w:rPr>
        <w:t>remains apposite to refer to the pertinent provisions of the Act concerning jurisdiction and the High Court’s ruling on that issue</w:t>
      </w:r>
      <w:r>
        <w:rPr>
          <w:rFonts w:ascii="Arial" w:hAnsi="Arial" w:cs="Arial"/>
          <w:sz w:val="24"/>
          <w:szCs w:val="24"/>
        </w:rPr>
        <w:t xml:space="preserve"> to provide clarity on those issues</w:t>
      </w:r>
      <w:r w:rsidR="005C5725">
        <w:rPr>
          <w:rFonts w:ascii="Arial" w:hAnsi="Arial" w:cs="Arial"/>
          <w:sz w:val="24"/>
          <w:szCs w:val="24"/>
        </w:rPr>
        <w:t>.</w:t>
      </w:r>
    </w:p>
    <w:p w:rsidR="00DC6C5A" w:rsidRDefault="00DC6C5A" w:rsidP="00DC6C5A">
      <w:pPr>
        <w:pStyle w:val="ListParagraph"/>
        <w:rPr>
          <w:rFonts w:ascii="Arial" w:hAnsi="Arial" w:cs="Arial"/>
          <w:sz w:val="24"/>
          <w:szCs w:val="24"/>
        </w:rPr>
      </w:pPr>
    </w:p>
    <w:p w:rsidR="00FF3120" w:rsidRPr="00DC6C5A" w:rsidRDefault="00FF3120" w:rsidP="00DC6C5A">
      <w:pPr>
        <w:pStyle w:val="NoSpacing"/>
        <w:numPr>
          <w:ilvl w:val="0"/>
          <w:numId w:val="4"/>
        </w:numPr>
        <w:spacing w:line="480" w:lineRule="auto"/>
        <w:ind w:left="0" w:firstLine="0"/>
        <w:jc w:val="both"/>
        <w:rPr>
          <w:rFonts w:ascii="Arial" w:hAnsi="Arial" w:cs="Arial"/>
          <w:sz w:val="24"/>
          <w:szCs w:val="24"/>
        </w:rPr>
      </w:pPr>
      <w:r w:rsidRPr="00DC6C5A">
        <w:rPr>
          <w:rFonts w:ascii="Arial" w:hAnsi="Arial" w:cs="Arial"/>
          <w:sz w:val="24"/>
          <w:szCs w:val="24"/>
        </w:rPr>
        <w:t xml:space="preserve">The </w:t>
      </w:r>
      <w:r w:rsidR="00DC6C5A">
        <w:rPr>
          <w:rFonts w:ascii="Arial" w:hAnsi="Arial" w:cs="Arial"/>
          <w:sz w:val="24"/>
          <w:szCs w:val="24"/>
        </w:rPr>
        <w:t>Act deal</w:t>
      </w:r>
      <w:r w:rsidR="003026B6">
        <w:rPr>
          <w:rFonts w:ascii="Arial" w:hAnsi="Arial" w:cs="Arial"/>
          <w:sz w:val="24"/>
          <w:szCs w:val="24"/>
        </w:rPr>
        <w:t>s in detail</w:t>
      </w:r>
      <w:r w:rsidR="00B06A94" w:rsidRPr="00DC6C5A">
        <w:rPr>
          <w:rFonts w:ascii="Arial" w:hAnsi="Arial" w:cs="Arial"/>
          <w:sz w:val="24"/>
          <w:szCs w:val="24"/>
        </w:rPr>
        <w:t xml:space="preserve"> with matters relating to children, their protection and development, as </w:t>
      </w:r>
      <w:r w:rsidR="0066593E">
        <w:rPr>
          <w:rFonts w:ascii="Arial" w:hAnsi="Arial" w:cs="Arial"/>
          <w:sz w:val="24"/>
          <w:szCs w:val="24"/>
        </w:rPr>
        <w:t xml:space="preserve">is </w:t>
      </w:r>
      <w:r w:rsidR="00B06A94" w:rsidRPr="00DC6C5A">
        <w:rPr>
          <w:rFonts w:ascii="Arial" w:hAnsi="Arial" w:cs="Arial"/>
          <w:sz w:val="24"/>
          <w:szCs w:val="24"/>
        </w:rPr>
        <w:t xml:space="preserve">spelt out </w:t>
      </w:r>
      <w:r w:rsidR="003026B6">
        <w:rPr>
          <w:rFonts w:ascii="Arial" w:hAnsi="Arial" w:cs="Arial"/>
          <w:sz w:val="24"/>
          <w:szCs w:val="24"/>
        </w:rPr>
        <w:t>at</w:t>
      </w:r>
      <w:r w:rsidR="00B06A94" w:rsidRPr="00DC6C5A">
        <w:rPr>
          <w:rFonts w:ascii="Arial" w:hAnsi="Arial" w:cs="Arial"/>
          <w:sz w:val="24"/>
          <w:szCs w:val="24"/>
        </w:rPr>
        <w:t xml:space="preserve"> </w:t>
      </w:r>
      <w:r w:rsidR="00DC6C5A">
        <w:rPr>
          <w:rFonts w:ascii="Arial" w:hAnsi="Arial" w:cs="Arial"/>
          <w:sz w:val="24"/>
          <w:szCs w:val="24"/>
        </w:rPr>
        <w:t xml:space="preserve">the outset </w:t>
      </w:r>
      <w:r w:rsidR="00B06A94" w:rsidRPr="00DC6C5A">
        <w:rPr>
          <w:rFonts w:ascii="Arial" w:hAnsi="Arial" w:cs="Arial"/>
          <w:sz w:val="24"/>
          <w:szCs w:val="24"/>
        </w:rPr>
        <w:t xml:space="preserve">of the Act </w:t>
      </w:r>
      <w:r w:rsidR="003026B6">
        <w:rPr>
          <w:rFonts w:ascii="Arial" w:hAnsi="Arial" w:cs="Arial"/>
          <w:sz w:val="24"/>
          <w:szCs w:val="24"/>
        </w:rPr>
        <w:t xml:space="preserve">in </w:t>
      </w:r>
      <w:r w:rsidR="003026B6" w:rsidRPr="00DC6C5A">
        <w:rPr>
          <w:rFonts w:ascii="Arial" w:hAnsi="Arial" w:cs="Arial"/>
          <w:sz w:val="24"/>
          <w:szCs w:val="24"/>
        </w:rPr>
        <w:t xml:space="preserve">s 2 </w:t>
      </w:r>
      <w:r w:rsidR="00B06A94" w:rsidRPr="00DC6C5A">
        <w:rPr>
          <w:rFonts w:ascii="Arial" w:hAnsi="Arial" w:cs="Arial"/>
          <w:sz w:val="24"/>
          <w:szCs w:val="24"/>
        </w:rPr>
        <w:t xml:space="preserve">which </w:t>
      </w:r>
      <w:r w:rsidR="00DC6C5A">
        <w:rPr>
          <w:rFonts w:ascii="Arial" w:hAnsi="Arial" w:cs="Arial"/>
          <w:sz w:val="24"/>
          <w:szCs w:val="24"/>
        </w:rPr>
        <w:t xml:space="preserve">sets forth </w:t>
      </w:r>
      <w:r w:rsidR="00B06A94" w:rsidRPr="00DC6C5A">
        <w:rPr>
          <w:rFonts w:ascii="Arial" w:hAnsi="Arial" w:cs="Arial"/>
          <w:sz w:val="24"/>
          <w:szCs w:val="24"/>
        </w:rPr>
        <w:t>the objects of the Act</w:t>
      </w:r>
      <w:r w:rsidR="008B1753">
        <w:rPr>
          <w:rFonts w:ascii="Arial" w:hAnsi="Arial" w:cs="Arial"/>
          <w:sz w:val="24"/>
          <w:szCs w:val="24"/>
        </w:rPr>
        <w:t xml:space="preserve">, which are </w:t>
      </w:r>
      <w:r w:rsidR="0066593E">
        <w:rPr>
          <w:rFonts w:ascii="Arial" w:hAnsi="Arial" w:cs="Arial"/>
          <w:sz w:val="24"/>
          <w:szCs w:val="24"/>
        </w:rPr>
        <w:t xml:space="preserve">under subsection 2(2) </w:t>
      </w:r>
      <w:r w:rsidR="008B1753">
        <w:rPr>
          <w:rFonts w:ascii="Arial" w:hAnsi="Arial" w:cs="Arial"/>
          <w:sz w:val="24"/>
          <w:szCs w:val="24"/>
        </w:rPr>
        <w:t>to be considered in interpreti</w:t>
      </w:r>
      <w:r w:rsidR="0066593E">
        <w:rPr>
          <w:rFonts w:ascii="Arial" w:hAnsi="Arial" w:cs="Arial"/>
          <w:sz w:val="24"/>
          <w:szCs w:val="24"/>
        </w:rPr>
        <w:t>ng and giving effect to the Act:</w:t>
      </w:r>
    </w:p>
    <w:p w:rsidR="00FF3120" w:rsidRDefault="00FF3120" w:rsidP="0008554B">
      <w:pPr>
        <w:pStyle w:val="ListParagraph"/>
        <w:spacing w:after="0" w:line="360" w:lineRule="auto"/>
        <w:rPr>
          <w:rFonts w:ascii="Arial" w:hAnsi="Arial" w:cs="Arial"/>
          <w:sz w:val="24"/>
          <w:szCs w:val="24"/>
        </w:rPr>
      </w:pPr>
    </w:p>
    <w:p w:rsidR="000B4941" w:rsidRDefault="000B4941" w:rsidP="0008554B">
      <w:pPr>
        <w:pStyle w:val="NoSpacing"/>
        <w:spacing w:line="360" w:lineRule="auto"/>
        <w:ind w:left="720"/>
        <w:jc w:val="both"/>
        <w:rPr>
          <w:rFonts w:ascii="Arial" w:hAnsi="Arial" w:cs="Arial"/>
        </w:rPr>
      </w:pPr>
      <w:r>
        <w:rPr>
          <w:rFonts w:ascii="Arial" w:hAnsi="Arial" w:cs="Arial"/>
        </w:rPr>
        <w:t>‘2. (1)</w:t>
      </w:r>
      <w:r>
        <w:rPr>
          <w:rFonts w:ascii="Arial" w:hAnsi="Arial" w:cs="Arial"/>
        </w:rPr>
        <w:tab/>
      </w:r>
      <w:r w:rsidRPr="000B4941">
        <w:rPr>
          <w:rFonts w:ascii="Arial" w:hAnsi="Arial" w:cs="Arial"/>
        </w:rPr>
        <w:t xml:space="preserve">The objects of this Act are to </w:t>
      </w:r>
      <w:r>
        <w:rPr>
          <w:rFonts w:ascii="Arial" w:hAnsi="Arial" w:cs="Arial"/>
        </w:rPr>
        <w:t>–</w:t>
      </w:r>
      <w:r w:rsidRPr="000B4941">
        <w:rPr>
          <w:rFonts w:ascii="Arial" w:hAnsi="Arial" w:cs="Arial"/>
        </w:rPr>
        <w:t xml:space="preserve"> </w:t>
      </w:r>
    </w:p>
    <w:p w:rsidR="000B4941" w:rsidRDefault="000B4941" w:rsidP="0008554B">
      <w:pPr>
        <w:pStyle w:val="NoSpacing"/>
        <w:spacing w:line="360" w:lineRule="auto"/>
        <w:ind w:left="720"/>
        <w:jc w:val="both"/>
        <w:rPr>
          <w:rFonts w:ascii="Arial" w:hAnsi="Arial" w:cs="Arial"/>
        </w:rPr>
      </w:pPr>
    </w:p>
    <w:p w:rsidR="000B4941" w:rsidRDefault="000B4941" w:rsidP="0008554B">
      <w:pPr>
        <w:pStyle w:val="NoSpacing"/>
        <w:spacing w:line="360" w:lineRule="auto"/>
        <w:ind w:left="1440"/>
        <w:jc w:val="both"/>
        <w:rPr>
          <w:rFonts w:ascii="Arial" w:hAnsi="Arial" w:cs="Arial"/>
        </w:rPr>
      </w:pPr>
      <w:r>
        <w:rPr>
          <w:rFonts w:ascii="Arial" w:hAnsi="Arial" w:cs="Arial"/>
        </w:rPr>
        <w:t>(a)</w:t>
      </w:r>
      <w:r>
        <w:rPr>
          <w:rFonts w:ascii="Arial" w:hAnsi="Arial" w:cs="Arial"/>
        </w:rPr>
        <w:tab/>
      </w:r>
      <w:r w:rsidRPr="000B4941">
        <w:rPr>
          <w:rFonts w:ascii="Arial" w:hAnsi="Arial" w:cs="Arial"/>
        </w:rPr>
        <w:t xml:space="preserve">protect and promote the well-being of all children; </w:t>
      </w:r>
    </w:p>
    <w:p w:rsidR="000B4941" w:rsidRDefault="000B4941" w:rsidP="0008554B">
      <w:pPr>
        <w:pStyle w:val="NoSpacing"/>
        <w:spacing w:line="360" w:lineRule="auto"/>
        <w:ind w:left="2160" w:hanging="720"/>
        <w:jc w:val="both"/>
        <w:rPr>
          <w:rFonts w:ascii="Arial" w:hAnsi="Arial" w:cs="Arial"/>
        </w:rPr>
      </w:pPr>
      <w:r>
        <w:rPr>
          <w:rFonts w:ascii="Arial" w:hAnsi="Arial" w:cs="Arial"/>
        </w:rPr>
        <w:t>(b)</w:t>
      </w:r>
      <w:r>
        <w:rPr>
          <w:rFonts w:ascii="Arial" w:hAnsi="Arial" w:cs="Arial"/>
        </w:rPr>
        <w:tab/>
      </w:r>
      <w:r w:rsidRPr="000B4941">
        <w:rPr>
          <w:rFonts w:ascii="Arial" w:hAnsi="Arial" w:cs="Arial"/>
        </w:rPr>
        <w:t xml:space="preserve">give effect to children’s rights as contained in the Namibian Constitution; </w:t>
      </w:r>
    </w:p>
    <w:p w:rsidR="000B4941" w:rsidRDefault="000B4941" w:rsidP="0008554B">
      <w:pPr>
        <w:pStyle w:val="NoSpacing"/>
        <w:spacing w:line="360" w:lineRule="auto"/>
        <w:ind w:left="2160" w:hanging="720"/>
        <w:jc w:val="both"/>
        <w:rPr>
          <w:rFonts w:ascii="Arial" w:hAnsi="Arial" w:cs="Arial"/>
        </w:rPr>
      </w:pPr>
      <w:r>
        <w:rPr>
          <w:rFonts w:ascii="Arial" w:hAnsi="Arial" w:cs="Arial"/>
        </w:rPr>
        <w:t>(c)</w:t>
      </w:r>
      <w:r>
        <w:rPr>
          <w:rFonts w:ascii="Arial" w:hAnsi="Arial" w:cs="Arial"/>
        </w:rPr>
        <w:tab/>
      </w:r>
      <w:r w:rsidRPr="000B4941">
        <w:rPr>
          <w:rFonts w:ascii="Arial" w:hAnsi="Arial" w:cs="Arial"/>
        </w:rPr>
        <w:t xml:space="preserve">give effect to Namibia’s obligations concerning the well-being, development and protection of children in terms of the United Nations Convention on the Rights of the Child, the African Charter on the Rights and Welfare of the Child and other international agreements binding on Namibia; </w:t>
      </w:r>
    </w:p>
    <w:p w:rsidR="000B4941" w:rsidRDefault="000B4941" w:rsidP="0008554B">
      <w:pPr>
        <w:pStyle w:val="NoSpacing"/>
        <w:spacing w:line="360" w:lineRule="auto"/>
        <w:ind w:left="2160" w:hanging="720"/>
        <w:jc w:val="both"/>
        <w:rPr>
          <w:rFonts w:ascii="Arial" w:hAnsi="Arial" w:cs="Arial"/>
        </w:rPr>
      </w:pPr>
      <w:r>
        <w:rPr>
          <w:rFonts w:ascii="Arial" w:hAnsi="Arial" w:cs="Arial"/>
        </w:rPr>
        <w:t>(d)</w:t>
      </w:r>
      <w:r>
        <w:rPr>
          <w:rFonts w:ascii="Arial" w:hAnsi="Arial" w:cs="Arial"/>
        </w:rPr>
        <w:tab/>
      </w:r>
      <w:r w:rsidRPr="000B4941">
        <w:rPr>
          <w:rFonts w:ascii="Arial" w:hAnsi="Arial" w:cs="Arial"/>
        </w:rPr>
        <w:t xml:space="preserve">promote the protection of families and actively involve families in resolving problems which may be detrimental to the well-being of the children in the family; </w:t>
      </w:r>
    </w:p>
    <w:p w:rsidR="000B4941" w:rsidRDefault="000B4941" w:rsidP="0008554B">
      <w:pPr>
        <w:pStyle w:val="NoSpacing"/>
        <w:spacing w:line="360" w:lineRule="auto"/>
        <w:ind w:left="2160" w:hanging="720"/>
        <w:jc w:val="both"/>
        <w:rPr>
          <w:rFonts w:ascii="Arial" w:hAnsi="Arial" w:cs="Arial"/>
        </w:rPr>
      </w:pPr>
      <w:r>
        <w:rPr>
          <w:rFonts w:ascii="Arial" w:hAnsi="Arial" w:cs="Arial"/>
        </w:rPr>
        <w:t>(e)</w:t>
      </w:r>
      <w:r>
        <w:rPr>
          <w:rFonts w:ascii="Arial" w:hAnsi="Arial" w:cs="Arial"/>
        </w:rPr>
        <w:tab/>
      </w:r>
      <w:r w:rsidRPr="000B4941">
        <w:rPr>
          <w:rFonts w:ascii="Arial" w:hAnsi="Arial" w:cs="Arial"/>
        </w:rPr>
        <w:t xml:space="preserve">develop and strengthen community structures which can assist in providing care and protection for children; </w:t>
      </w:r>
    </w:p>
    <w:p w:rsidR="000B4941" w:rsidRDefault="000B4941" w:rsidP="0008554B">
      <w:pPr>
        <w:pStyle w:val="NoSpacing"/>
        <w:spacing w:line="360" w:lineRule="auto"/>
        <w:ind w:left="2160" w:hanging="720"/>
        <w:jc w:val="both"/>
        <w:rPr>
          <w:rFonts w:ascii="Arial" w:hAnsi="Arial" w:cs="Arial"/>
        </w:rPr>
      </w:pPr>
      <w:r>
        <w:rPr>
          <w:rFonts w:ascii="Arial" w:hAnsi="Arial" w:cs="Arial"/>
        </w:rPr>
        <w:t>(f)</w:t>
      </w:r>
      <w:r>
        <w:rPr>
          <w:rFonts w:ascii="Arial" w:hAnsi="Arial" w:cs="Arial"/>
        </w:rPr>
        <w:tab/>
      </w:r>
      <w:r w:rsidRPr="000B4941">
        <w:rPr>
          <w:rFonts w:ascii="Arial" w:hAnsi="Arial" w:cs="Arial"/>
        </w:rPr>
        <w:t xml:space="preserve">establish, promote and co-ordinate services and facilities designed to advance the well-being of children and prevent, remedy or assist </w:t>
      </w:r>
      <w:r w:rsidRPr="000B4941">
        <w:rPr>
          <w:rFonts w:ascii="Arial" w:hAnsi="Arial" w:cs="Arial"/>
        </w:rPr>
        <w:lastRenderedPageBreak/>
        <w:t xml:space="preserve">in solving problems which may place children in need of protective services; </w:t>
      </w:r>
    </w:p>
    <w:p w:rsidR="000B4941" w:rsidRDefault="000B4941" w:rsidP="0008554B">
      <w:pPr>
        <w:pStyle w:val="NoSpacing"/>
        <w:spacing w:line="360" w:lineRule="auto"/>
        <w:ind w:left="2160" w:hanging="720"/>
        <w:jc w:val="both"/>
        <w:rPr>
          <w:rFonts w:ascii="Arial" w:hAnsi="Arial" w:cs="Arial"/>
        </w:rPr>
      </w:pPr>
      <w:r>
        <w:rPr>
          <w:rFonts w:ascii="Arial" w:hAnsi="Arial" w:cs="Arial"/>
        </w:rPr>
        <w:t>(g)</w:t>
      </w:r>
      <w:r>
        <w:rPr>
          <w:rFonts w:ascii="Arial" w:hAnsi="Arial" w:cs="Arial"/>
        </w:rPr>
        <w:tab/>
      </w:r>
      <w:r w:rsidRPr="000B4941">
        <w:rPr>
          <w:rFonts w:ascii="Arial" w:hAnsi="Arial" w:cs="Arial"/>
        </w:rPr>
        <w:t xml:space="preserve">provide protective services to children who are in need of such services; </w:t>
      </w:r>
    </w:p>
    <w:p w:rsidR="000B4941" w:rsidRDefault="000B4941" w:rsidP="0008554B">
      <w:pPr>
        <w:pStyle w:val="NoSpacing"/>
        <w:spacing w:line="360" w:lineRule="auto"/>
        <w:ind w:left="2160" w:hanging="720"/>
        <w:jc w:val="both"/>
        <w:rPr>
          <w:rFonts w:ascii="Arial" w:hAnsi="Arial" w:cs="Arial"/>
        </w:rPr>
      </w:pPr>
      <w:r>
        <w:rPr>
          <w:rFonts w:ascii="Arial" w:hAnsi="Arial" w:cs="Arial"/>
        </w:rPr>
        <w:t>(h)</w:t>
      </w:r>
      <w:r>
        <w:rPr>
          <w:rFonts w:ascii="Arial" w:hAnsi="Arial" w:cs="Arial"/>
        </w:rPr>
        <w:tab/>
      </w:r>
      <w:r w:rsidRPr="000B4941">
        <w:rPr>
          <w:rFonts w:ascii="Arial" w:hAnsi="Arial" w:cs="Arial"/>
        </w:rPr>
        <w:t xml:space="preserve">protect children from discrimination, exploitation and other physical, emotional or moral harm or hazards; </w:t>
      </w:r>
    </w:p>
    <w:p w:rsidR="000B4941" w:rsidRDefault="000B4941" w:rsidP="0008554B">
      <w:pPr>
        <w:pStyle w:val="NoSpacing"/>
        <w:spacing w:line="360" w:lineRule="auto"/>
        <w:ind w:left="2160" w:hanging="720"/>
        <w:jc w:val="both"/>
        <w:rPr>
          <w:rFonts w:ascii="Arial" w:hAnsi="Arial" w:cs="Arial"/>
        </w:rPr>
      </w:pPr>
      <w:r>
        <w:rPr>
          <w:rFonts w:ascii="Arial" w:hAnsi="Arial" w:cs="Arial"/>
        </w:rPr>
        <w:t>(i)</w:t>
      </w:r>
      <w:r>
        <w:rPr>
          <w:rFonts w:ascii="Arial" w:hAnsi="Arial" w:cs="Arial"/>
        </w:rPr>
        <w:tab/>
      </w:r>
      <w:r w:rsidRPr="000B4941">
        <w:rPr>
          <w:rFonts w:ascii="Arial" w:hAnsi="Arial" w:cs="Arial"/>
        </w:rPr>
        <w:t xml:space="preserve">ensure that a child does not suffer any discrimination or disadvantage because of the marital status of his or her parents; and </w:t>
      </w:r>
    </w:p>
    <w:p w:rsidR="000B4941" w:rsidRDefault="000B4941" w:rsidP="0008554B">
      <w:pPr>
        <w:pStyle w:val="NoSpacing"/>
        <w:spacing w:line="360" w:lineRule="auto"/>
        <w:ind w:left="2160" w:hanging="720"/>
        <w:jc w:val="both"/>
        <w:rPr>
          <w:rFonts w:ascii="Arial" w:hAnsi="Arial" w:cs="Arial"/>
        </w:rPr>
      </w:pPr>
      <w:r>
        <w:rPr>
          <w:rFonts w:ascii="Arial" w:hAnsi="Arial" w:cs="Arial"/>
        </w:rPr>
        <w:t>(j)</w:t>
      </w:r>
      <w:r>
        <w:rPr>
          <w:rFonts w:ascii="Arial" w:hAnsi="Arial" w:cs="Arial"/>
        </w:rPr>
        <w:tab/>
      </w:r>
      <w:r w:rsidRPr="000B4941">
        <w:rPr>
          <w:rFonts w:ascii="Arial" w:hAnsi="Arial" w:cs="Arial"/>
        </w:rPr>
        <w:t xml:space="preserve">recognise the special needs that children with disabilities or chronic illnesses may have. </w:t>
      </w:r>
    </w:p>
    <w:p w:rsidR="000B4941" w:rsidRDefault="000B4941" w:rsidP="0008554B">
      <w:pPr>
        <w:pStyle w:val="NoSpacing"/>
        <w:spacing w:line="360" w:lineRule="auto"/>
        <w:jc w:val="both"/>
        <w:rPr>
          <w:rFonts w:ascii="Arial" w:hAnsi="Arial" w:cs="Arial"/>
        </w:rPr>
      </w:pPr>
    </w:p>
    <w:p w:rsidR="00FF3120" w:rsidRPr="000B4941" w:rsidRDefault="000B4941" w:rsidP="0008554B">
      <w:pPr>
        <w:pStyle w:val="NoSpacing"/>
        <w:spacing w:line="360" w:lineRule="auto"/>
        <w:ind w:left="1440" w:hanging="720"/>
        <w:jc w:val="both"/>
        <w:rPr>
          <w:rFonts w:ascii="Arial" w:hAnsi="Arial" w:cs="Arial"/>
        </w:rPr>
      </w:pPr>
      <w:r>
        <w:rPr>
          <w:rFonts w:ascii="Arial" w:hAnsi="Arial" w:cs="Arial"/>
        </w:rPr>
        <w:t>(2)</w:t>
      </w:r>
      <w:r>
        <w:rPr>
          <w:rFonts w:ascii="Arial" w:hAnsi="Arial" w:cs="Arial"/>
        </w:rPr>
        <w:tab/>
      </w:r>
      <w:r w:rsidRPr="000B4941">
        <w:rPr>
          <w:rFonts w:ascii="Arial" w:hAnsi="Arial" w:cs="Arial"/>
        </w:rPr>
        <w:t>The objects referred to in subsection (1) must be given due consideration in the interpretation and application of any provision of this Act.</w:t>
      </w:r>
      <w:r>
        <w:rPr>
          <w:rFonts w:ascii="Arial" w:hAnsi="Arial" w:cs="Arial"/>
        </w:rPr>
        <w:t>’</w:t>
      </w:r>
    </w:p>
    <w:p w:rsidR="00FF3120" w:rsidRDefault="00FF3120" w:rsidP="0008554B">
      <w:pPr>
        <w:pStyle w:val="ListParagraph"/>
        <w:spacing w:after="0" w:line="360" w:lineRule="auto"/>
        <w:rPr>
          <w:rFonts w:ascii="Arial" w:hAnsi="Arial" w:cs="Arial"/>
          <w:sz w:val="24"/>
          <w:szCs w:val="24"/>
        </w:rPr>
      </w:pPr>
    </w:p>
    <w:p w:rsidR="00FF3120" w:rsidRDefault="00B06A94" w:rsidP="00FF3120">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w:t>
      </w:r>
      <w:r w:rsidR="00DC6C5A">
        <w:rPr>
          <w:rFonts w:ascii="Arial" w:hAnsi="Arial" w:cs="Arial"/>
          <w:sz w:val="24"/>
          <w:szCs w:val="24"/>
        </w:rPr>
        <w:t>e very next</w:t>
      </w:r>
      <w:r>
        <w:rPr>
          <w:rFonts w:ascii="Arial" w:hAnsi="Arial" w:cs="Arial"/>
          <w:sz w:val="24"/>
          <w:szCs w:val="24"/>
        </w:rPr>
        <w:t xml:space="preserve"> section</w:t>
      </w:r>
      <w:r w:rsidR="003026B6">
        <w:rPr>
          <w:rFonts w:ascii="Arial" w:hAnsi="Arial" w:cs="Arial"/>
          <w:sz w:val="24"/>
          <w:szCs w:val="24"/>
        </w:rPr>
        <w:t xml:space="preserve"> in the Act</w:t>
      </w:r>
      <w:r w:rsidR="00DC6C5A">
        <w:rPr>
          <w:rFonts w:ascii="Arial" w:hAnsi="Arial" w:cs="Arial"/>
          <w:sz w:val="24"/>
          <w:szCs w:val="24"/>
        </w:rPr>
        <w:t xml:space="preserve"> sets out the central </w:t>
      </w:r>
      <w:r w:rsidR="003026B6">
        <w:rPr>
          <w:rFonts w:ascii="Arial" w:hAnsi="Arial" w:cs="Arial"/>
          <w:sz w:val="24"/>
          <w:szCs w:val="24"/>
        </w:rPr>
        <w:t>principle underpinning</w:t>
      </w:r>
      <w:r w:rsidR="00DC6C5A">
        <w:rPr>
          <w:rFonts w:ascii="Arial" w:hAnsi="Arial" w:cs="Arial"/>
          <w:sz w:val="24"/>
          <w:szCs w:val="24"/>
        </w:rPr>
        <w:t xml:space="preserve"> the Act</w:t>
      </w:r>
      <w:r w:rsidR="0066593E">
        <w:rPr>
          <w:rFonts w:ascii="Arial" w:hAnsi="Arial" w:cs="Arial"/>
          <w:sz w:val="24"/>
          <w:szCs w:val="24"/>
        </w:rPr>
        <w:t xml:space="preserve"> and its application</w:t>
      </w:r>
      <w:r w:rsidR="003026B6">
        <w:rPr>
          <w:rFonts w:ascii="Arial" w:hAnsi="Arial" w:cs="Arial"/>
          <w:sz w:val="24"/>
          <w:szCs w:val="24"/>
        </w:rPr>
        <w:t xml:space="preserve">. It </w:t>
      </w:r>
      <w:r>
        <w:rPr>
          <w:rFonts w:ascii="Arial" w:hAnsi="Arial" w:cs="Arial"/>
          <w:sz w:val="24"/>
          <w:szCs w:val="24"/>
        </w:rPr>
        <w:t>is entitled ‘Best interests of the child’. Section 3(1) provides:</w:t>
      </w:r>
    </w:p>
    <w:p w:rsidR="00B06A94" w:rsidRPr="000B4941" w:rsidRDefault="00B06A94" w:rsidP="000B4941">
      <w:pPr>
        <w:pStyle w:val="NoSpacing"/>
        <w:spacing w:line="360" w:lineRule="auto"/>
        <w:jc w:val="both"/>
        <w:rPr>
          <w:rFonts w:ascii="Arial" w:hAnsi="Arial" w:cs="Arial"/>
        </w:rPr>
      </w:pPr>
    </w:p>
    <w:p w:rsidR="00B06A94" w:rsidRPr="000B4941" w:rsidRDefault="000B4941" w:rsidP="000B4941">
      <w:pPr>
        <w:pStyle w:val="NoSpacing"/>
        <w:spacing w:line="360" w:lineRule="auto"/>
        <w:ind w:left="1440" w:hanging="720"/>
        <w:jc w:val="both"/>
        <w:rPr>
          <w:rFonts w:ascii="Arial" w:hAnsi="Arial" w:cs="Arial"/>
        </w:rPr>
      </w:pPr>
      <w:r w:rsidRPr="000B4941">
        <w:rPr>
          <w:rFonts w:ascii="Arial" w:hAnsi="Arial" w:cs="Arial"/>
        </w:rPr>
        <w:t>‘</w:t>
      </w:r>
      <w:r>
        <w:rPr>
          <w:rFonts w:ascii="Arial" w:hAnsi="Arial" w:cs="Arial"/>
        </w:rPr>
        <w:t>3.(1)</w:t>
      </w:r>
      <w:r>
        <w:rPr>
          <w:rFonts w:ascii="Arial" w:hAnsi="Arial" w:cs="Arial"/>
        </w:rPr>
        <w:tab/>
      </w:r>
      <w:r w:rsidRPr="000B4941">
        <w:rPr>
          <w:rFonts w:ascii="Arial" w:hAnsi="Arial" w:cs="Arial"/>
        </w:rPr>
        <w:t>This Act must be interpreted and applied so that in all matters concerning the care, protection and well-being of a child arising under this Act or under any proceedings, actions and decisions by an organ of state in any matter concerning a child or children in general, the best interests of the child concerned is the paramount consideration.’</w:t>
      </w:r>
    </w:p>
    <w:p w:rsidR="00FF3120" w:rsidRPr="000B4941" w:rsidRDefault="00FF3120" w:rsidP="000B4941">
      <w:pPr>
        <w:pStyle w:val="ListParagraph"/>
        <w:spacing w:line="360" w:lineRule="auto"/>
        <w:rPr>
          <w:rFonts w:ascii="Arial" w:hAnsi="Arial" w:cs="Arial"/>
        </w:rPr>
      </w:pPr>
    </w:p>
    <w:p w:rsidR="00DC6C5A" w:rsidRDefault="00B06A94"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Section 3(2) then proceeds to list factors to be taken into account in determining the best interest</w:t>
      </w:r>
      <w:r w:rsidR="009A608B">
        <w:rPr>
          <w:rFonts w:ascii="Arial" w:hAnsi="Arial" w:cs="Arial"/>
          <w:sz w:val="24"/>
          <w:szCs w:val="24"/>
        </w:rPr>
        <w:t>s</w:t>
      </w:r>
      <w:r>
        <w:rPr>
          <w:rFonts w:ascii="Arial" w:hAnsi="Arial" w:cs="Arial"/>
          <w:sz w:val="24"/>
          <w:szCs w:val="24"/>
        </w:rPr>
        <w:t xml:space="preserve"> of the child. </w:t>
      </w:r>
    </w:p>
    <w:p w:rsidR="00DC6C5A" w:rsidRDefault="00DC6C5A" w:rsidP="00DC6C5A">
      <w:pPr>
        <w:pStyle w:val="NoSpacing"/>
        <w:spacing w:line="480" w:lineRule="auto"/>
        <w:jc w:val="both"/>
        <w:rPr>
          <w:rFonts w:ascii="Arial" w:hAnsi="Arial" w:cs="Arial"/>
          <w:sz w:val="24"/>
          <w:szCs w:val="24"/>
        </w:rPr>
      </w:pPr>
    </w:p>
    <w:p w:rsidR="00FF3120" w:rsidRDefault="00B06A94"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w:t>
      </w:r>
      <w:r w:rsidR="009A608B">
        <w:rPr>
          <w:rFonts w:ascii="Arial" w:hAnsi="Arial" w:cs="Arial"/>
          <w:sz w:val="24"/>
          <w:szCs w:val="24"/>
        </w:rPr>
        <w:t xml:space="preserve">s 38 of </w:t>
      </w:r>
      <w:r>
        <w:rPr>
          <w:rFonts w:ascii="Arial" w:hAnsi="Arial" w:cs="Arial"/>
          <w:sz w:val="24"/>
          <w:szCs w:val="24"/>
        </w:rPr>
        <w:t xml:space="preserve">chapter </w:t>
      </w:r>
      <w:r w:rsidR="00DC6C5A">
        <w:rPr>
          <w:rFonts w:ascii="Arial" w:hAnsi="Arial" w:cs="Arial"/>
          <w:sz w:val="24"/>
          <w:szCs w:val="24"/>
        </w:rPr>
        <w:t>4</w:t>
      </w:r>
      <w:r>
        <w:rPr>
          <w:rFonts w:ascii="Arial" w:hAnsi="Arial" w:cs="Arial"/>
          <w:sz w:val="24"/>
          <w:szCs w:val="24"/>
        </w:rPr>
        <w:t xml:space="preserve"> of the Act, </w:t>
      </w:r>
      <w:r w:rsidR="00CB5338">
        <w:rPr>
          <w:rFonts w:ascii="Arial" w:hAnsi="Arial" w:cs="Arial"/>
          <w:sz w:val="24"/>
          <w:szCs w:val="24"/>
        </w:rPr>
        <w:t>children’s court</w:t>
      </w:r>
      <w:r>
        <w:rPr>
          <w:rFonts w:ascii="Arial" w:hAnsi="Arial" w:cs="Arial"/>
          <w:sz w:val="24"/>
          <w:szCs w:val="24"/>
        </w:rPr>
        <w:t>s and commissioners are established and appointed</w:t>
      </w:r>
      <w:r w:rsidR="009A608B">
        <w:rPr>
          <w:rFonts w:ascii="Arial" w:hAnsi="Arial" w:cs="Arial"/>
          <w:sz w:val="24"/>
          <w:szCs w:val="24"/>
        </w:rPr>
        <w:t>. It provides</w:t>
      </w:r>
      <w:r>
        <w:rPr>
          <w:rFonts w:ascii="Arial" w:hAnsi="Arial" w:cs="Arial"/>
          <w:sz w:val="24"/>
          <w:szCs w:val="24"/>
        </w:rPr>
        <w:t>:</w:t>
      </w:r>
    </w:p>
    <w:p w:rsidR="00B06A94" w:rsidRPr="00A63797" w:rsidRDefault="00B06A94" w:rsidP="00A63797">
      <w:pPr>
        <w:pStyle w:val="NoSpacing"/>
        <w:spacing w:line="360" w:lineRule="auto"/>
        <w:jc w:val="both"/>
        <w:rPr>
          <w:rFonts w:ascii="Arial" w:hAnsi="Arial" w:cs="Arial"/>
        </w:rPr>
      </w:pPr>
    </w:p>
    <w:p w:rsidR="000B4941" w:rsidRPr="00A63797" w:rsidRDefault="000B4941" w:rsidP="00A63797">
      <w:pPr>
        <w:pStyle w:val="NoSpacing"/>
        <w:tabs>
          <w:tab w:val="left" w:pos="2127"/>
        </w:tabs>
        <w:spacing w:line="360" w:lineRule="auto"/>
        <w:ind w:left="1440" w:hanging="720"/>
        <w:jc w:val="both"/>
        <w:rPr>
          <w:rFonts w:ascii="Arial" w:hAnsi="Arial" w:cs="Arial"/>
        </w:rPr>
      </w:pPr>
      <w:r w:rsidRPr="00A63797">
        <w:rPr>
          <w:rFonts w:ascii="Arial" w:hAnsi="Arial" w:cs="Arial"/>
        </w:rPr>
        <w:t>‘</w:t>
      </w:r>
      <w:r w:rsidR="00A63797" w:rsidRPr="00A63797">
        <w:rPr>
          <w:rFonts w:ascii="Arial" w:hAnsi="Arial" w:cs="Arial"/>
        </w:rPr>
        <w:t>(1)</w:t>
      </w:r>
      <w:r w:rsidR="00A63797" w:rsidRPr="00A63797">
        <w:rPr>
          <w:rFonts w:ascii="Arial" w:hAnsi="Arial" w:cs="Arial"/>
        </w:rPr>
        <w:tab/>
      </w:r>
      <w:r w:rsidRPr="00A63797">
        <w:rPr>
          <w:rFonts w:ascii="Arial" w:hAnsi="Arial" w:cs="Arial"/>
        </w:rPr>
        <w:t xml:space="preserve">For the purpose of this Act, every magistrate’s court is a </w:t>
      </w:r>
      <w:r w:rsidR="00CB5338">
        <w:rPr>
          <w:rFonts w:ascii="Arial" w:hAnsi="Arial" w:cs="Arial"/>
        </w:rPr>
        <w:t>children’s court</w:t>
      </w:r>
      <w:r w:rsidRPr="00A63797">
        <w:rPr>
          <w:rFonts w:ascii="Arial" w:hAnsi="Arial" w:cs="Arial"/>
        </w:rPr>
        <w:t xml:space="preserve"> and has jurisdiction in any matter arising from the application of this Act for its area of jurisdiction. </w:t>
      </w:r>
    </w:p>
    <w:p w:rsidR="000B4941" w:rsidRPr="00A63797" w:rsidRDefault="000B4941" w:rsidP="00A63797">
      <w:pPr>
        <w:pStyle w:val="NoSpacing"/>
        <w:spacing w:line="360" w:lineRule="auto"/>
        <w:ind w:left="1418" w:hanging="709"/>
        <w:jc w:val="both"/>
        <w:rPr>
          <w:rFonts w:ascii="Arial" w:hAnsi="Arial" w:cs="Arial"/>
        </w:rPr>
      </w:pPr>
      <w:r w:rsidRPr="00A63797">
        <w:rPr>
          <w:rFonts w:ascii="Arial" w:hAnsi="Arial" w:cs="Arial"/>
        </w:rPr>
        <w:lastRenderedPageBreak/>
        <w:t>(2)</w:t>
      </w:r>
      <w:r w:rsidRPr="00A63797">
        <w:rPr>
          <w:rFonts w:ascii="Arial" w:hAnsi="Arial" w:cs="Arial"/>
        </w:rPr>
        <w:tab/>
        <w:t xml:space="preserve">The law as applicable to magistrates’ courts applies to a </w:t>
      </w:r>
      <w:r w:rsidR="00CB5338">
        <w:rPr>
          <w:rFonts w:ascii="Arial" w:hAnsi="Arial" w:cs="Arial"/>
        </w:rPr>
        <w:t>children’s court</w:t>
      </w:r>
      <w:r w:rsidRPr="00A63797">
        <w:rPr>
          <w:rFonts w:ascii="Arial" w:hAnsi="Arial" w:cs="Arial"/>
        </w:rPr>
        <w:t xml:space="preserve"> when it is exercising jurisdiction in respect of matters it may adjudicate on. </w:t>
      </w:r>
    </w:p>
    <w:p w:rsidR="000B4941" w:rsidRPr="00A63797" w:rsidRDefault="000B4941" w:rsidP="00A63797">
      <w:pPr>
        <w:pStyle w:val="NoSpacing"/>
        <w:spacing w:line="360" w:lineRule="auto"/>
        <w:ind w:left="1418" w:hanging="709"/>
        <w:jc w:val="both"/>
        <w:rPr>
          <w:rFonts w:ascii="Arial" w:hAnsi="Arial" w:cs="Arial"/>
        </w:rPr>
      </w:pPr>
      <w:r w:rsidRPr="00A63797">
        <w:rPr>
          <w:rFonts w:ascii="Arial" w:hAnsi="Arial" w:cs="Arial"/>
        </w:rPr>
        <w:t xml:space="preserve">(3) </w:t>
      </w:r>
      <w:r w:rsidRPr="00A63797">
        <w:rPr>
          <w:rFonts w:ascii="Arial" w:hAnsi="Arial" w:cs="Arial"/>
        </w:rPr>
        <w:tab/>
        <w:t xml:space="preserve">A </w:t>
      </w:r>
      <w:r w:rsidR="00CB5338">
        <w:rPr>
          <w:rFonts w:ascii="Arial" w:hAnsi="Arial" w:cs="Arial"/>
        </w:rPr>
        <w:t>children’s court</w:t>
      </w:r>
      <w:r w:rsidRPr="00A63797">
        <w:rPr>
          <w:rFonts w:ascii="Arial" w:hAnsi="Arial" w:cs="Arial"/>
        </w:rPr>
        <w:t xml:space="preserve"> is a court of record and has a similar status to that of a magistrate’s court at a district level. </w:t>
      </w:r>
    </w:p>
    <w:p w:rsidR="000B4941" w:rsidRPr="00A63797" w:rsidRDefault="000B4941" w:rsidP="00A63797">
      <w:pPr>
        <w:pStyle w:val="NoSpacing"/>
        <w:spacing w:line="360" w:lineRule="auto"/>
        <w:ind w:left="1418" w:hanging="709"/>
        <w:jc w:val="both"/>
        <w:rPr>
          <w:rFonts w:ascii="Arial" w:hAnsi="Arial" w:cs="Arial"/>
        </w:rPr>
      </w:pPr>
      <w:r w:rsidRPr="00A63797">
        <w:rPr>
          <w:rFonts w:ascii="Arial" w:hAnsi="Arial" w:cs="Arial"/>
        </w:rPr>
        <w:t xml:space="preserve">(4) </w:t>
      </w:r>
      <w:r w:rsidRPr="00A63797">
        <w:rPr>
          <w:rFonts w:ascii="Arial" w:hAnsi="Arial" w:cs="Arial"/>
        </w:rPr>
        <w:tab/>
        <w:t xml:space="preserve">Every magistrate appointed for a district is a children’s commissioner for that district. </w:t>
      </w:r>
    </w:p>
    <w:p w:rsidR="000B4941" w:rsidRPr="00A63797" w:rsidRDefault="000B4941" w:rsidP="00A63797">
      <w:pPr>
        <w:pStyle w:val="NoSpacing"/>
        <w:spacing w:line="360" w:lineRule="auto"/>
        <w:ind w:left="1418" w:hanging="709"/>
        <w:jc w:val="both"/>
        <w:rPr>
          <w:rFonts w:ascii="Arial" w:hAnsi="Arial" w:cs="Arial"/>
        </w:rPr>
      </w:pPr>
      <w:r w:rsidRPr="00A63797">
        <w:rPr>
          <w:rFonts w:ascii="Arial" w:hAnsi="Arial" w:cs="Arial"/>
        </w:rPr>
        <w:t xml:space="preserve">(5) </w:t>
      </w:r>
      <w:r w:rsidRPr="00A63797">
        <w:rPr>
          <w:rFonts w:ascii="Arial" w:hAnsi="Arial" w:cs="Arial"/>
        </w:rPr>
        <w:tab/>
        <w:t xml:space="preserve">For the purposes of this Act, the Magistrates Commission may assign magistrates as dedicated children’s commissioners for a specific </w:t>
      </w:r>
      <w:r w:rsidR="00CB5338">
        <w:rPr>
          <w:rFonts w:ascii="Arial" w:hAnsi="Arial" w:cs="Arial"/>
        </w:rPr>
        <w:t>children’s court</w:t>
      </w:r>
      <w:r w:rsidRPr="00A63797">
        <w:rPr>
          <w:rFonts w:ascii="Arial" w:hAnsi="Arial" w:cs="Arial"/>
        </w:rPr>
        <w:t xml:space="preserve"> or for more than one </w:t>
      </w:r>
      <w:r w:rsidR="00CB5338">
        <w:rPr>
          <w:rFonts w:ascii="Arial" w:hAnsi="Arial" w:cs="Arial"/>
        </w:rPr>
        <w:t>children’s court</w:t>
      </w:r>
      <w:r w:rsidRPr="00A63797">
        <w:rPr>
          <w:rFonts w:ascii="Arial" w:hAnsi="Arial" w:cs="Arial"/>
        </w:rPr>
        <w:t xml:space="preserve">. </w:t>
      </w:r>
    </w:p>
    <w:p w:rsidR="000B4941" w:rsidRPr="00A63797" w:rsidRDefault="000B4941" w:rsidP="00A63797">
      <w:pPr>
        <w:pStyle w:val="NoSpacing"/>
        <w:spacing w:line="360" w:lineRule="auto"/>
        <w:ind w:left="1418" w:hanging="709"/>
        <w:jc w:val="both"/>
        <w:rPr>
          <w:rFonts w:ascii="Arial" w:hAnsi="Arial" w:cs="Arial"/>
        </w:rPr>
      </w:pPr>
      <w:r w:rsidRPr="00A63797">
        <w:rPr>
          <w:rFonts w:ascii="Arial" w:hAnsi="Arial" w:cs="Arial"/>
        </w:rPr>
        <w:t>(6)</w:t>
      </w:r>
      <w:r w:rsidRPr="00A63797">
        <w:rPr>
          <w:rFonts w:ascii="Arial" w:hAnsi="Arial" w:cs="Arial"/>
        </w:rPr>
        <w:tab/>
        <w:t xml:space="preserve">A children’s commissioner is subject to the Magistrates Act, 2003 (Act No. 3 of 2003). </w:t>
      </w:r>
    </w:p>
    <w:p w:rsidR="000B4941" w:rsidRPr="00A63797" w:rsidRDefault="000B4941" w:rsidP="00A63797">
      <w:pPr>
        <w:pStyle w:val="NoSpacing"/>
        <w:spacing w:line="360" w:lineRule="auto"/>
        <w:ind w:left="1418" w:hanging="709"/>
        <w:jc w:val="both"/>
        <w:rPr>
          <w:rFonts w:ascii="Arial" w:hAnsi="Arial" w:cs="Arial"/>
        </w:rPr>
      </w:pPr>
      <w:r w:rsidRPr="00A63797">
        <w:rPr>
          <w:rFonts w:ascii="Arial" w:hAnsi="Arial" w:cs="Arial"/>
        </w:rPr>
        <w:t>(7)</w:t>
      </w:r>
      <w:r w:rsidRPr="00A63797">
        <w:rPr>
          <w:rFonts w:ascii="Arial" w:hAnsi="Arial" w:cs="Arial"/>
        </w:rPr>
        <w:tab/>
        <w:t xml:space="preserve">A children’s commissioner must preside over every session of a </w:t>
      </w:r>
      <w:r w:rsidR="00CB5338">
        <w:rPr>
          <w:rFonts w:ascii="Arial" w:hAnsi="Arial" w:cs="Arial"/>
        </w:rPr>
        <w:t>children’s court</w:t>
      </w:r>
      <w:r w:rsidRPr="00A63797">
        <w:rPr>
          <w:rFonts w:ascii="Arial" w:hAnsi="Arial" w:cs="Arial"/>
        </w:rPr>
        <w:t>.</w:t>
      </w:r>
    </w:p>
    <w:p w:rsidR="000B4941" w:rsidRPr="00A63797" w:rsidRDefault="000B4941" w:rsidP="00A63797">
      <w:pPr>
        <w:pStyle w:val="NoSpacing"/>
        <w:spacing w:line="360" w:lineRule="auto"/>
        <w:ind w:left="1418" w:hanging="709"/>
        <w:jc w:val="both"/>
        <w:rPr>
          <w:rFonts w:ascii="Arial" w:hAnsi="Arial" w:cs="Arial"/>
        </w:rPr>
      </w:pPr>
      <w:r w:rsidRPr="00A63797">
        <w:rPr>
          <w:rFonts w:ascii="Arial" w:hAnsi="Arial" w:cs="Arial"/>
        </w:rPr>
        <w:t>(8)</w:t>
      </w:r>
      <w:r w:rsidRPr="00A63797">
        <w:rPr>
          <w:rFonts w:ascii="Arial" w:hAnsi="Arial" w:cs="Arial"/>
        </w:rPr>
        <w:tab/>
        <w:t xml:space="preserve">A children’s commissioner must promote and protect the best interests of a child who comes before a </w:t>
      </w:r>
      <w:r w:rsidR="00CB5338">
        <w:rPr>
          <w:rFonts w:ascii="Arial" w:hAnsi="Arial" w:cs="Arial"/>
        </w:rPr>
        <w:t>children’s court</w:t>
      </w:r>
      <w:r w:rsidRPr="00A63797">
        <w:rPr>
          <w:rFonts w:ascii="Arial" w:hAnsi="Arial" w:cs="Arial"/>
        </w:rPr>
        <w:t xml:space="preserve"> in terms of this Act or any other law. </w:t>
      </w:r>
    </w:p>
    <w:p w:rsidR="000B4941" w:rsidRPr="00A63797" w:rsidRDefault="000B4941" w:rsidP="00A63797">
      <w:pPr>
        <w:pStyle w:val="NoSpacing"/>
        <w:spacing w:line="360" w:lineRule="auto"/>
        <w:ind w:left="1418" w:hanging="709"/>
        <w:jc w:val="both"/>
        <w:rPr>
          <w:rFonts w:ascii="Arial" w:hAnsi="Arial" w:cs="Arial"/>
        </w:rPr>
      </w:pPr>
      <w:r w:rsidRPr="00A63797">
        <w:rPr>
          <w:rFonts w:ascii="Arial" w:hAnsi="Arial" w:cs="Arial"/>
        </w:rPr>
        <w:t>(9)</w:t>
      </w:r>
      <w:r w:rsidRPr="00A63797">
        <w:rPr>
          <w:rFonts w:ascii="Arial" w:hAnsi="Arial" w:cs="Arial"/>
        </w:rPr>
        <w:tab/>
        <w:t xml:space="preserve">A children’s commissioner must perform such functions as may be assigned to him or her under this Act or any other law. </w:t>
      </w:r>
    </w:p>
    <w:p w:rsidR="000B4941" w:rsidRPr="00A63797" w:rsidRDefault="000B4941" w:rsidP="00A63797">
      <w:pPr>
        <w:pStyle w:val="NoSpacing"/>
        <w:spacing w:line="360" w:lineRule="auto"/>
        <w:ind w:left="1418" w:hanging="709"/>
        <w:jc w:val="both"/>
        <w:rPr>
          <w:rFonts w:ascii="Arial" w:hAnsi="Arial" w:cs="Arial"/>
        </w:rPr>
      </w:pPr>
      <w:r w:rsidRPr="00A63797">
        <w:rPr>
          <w:rFonts w:ascii="Arial" w:hAnsi="Arial" w:cs="Arial"/>
        </w:rPr>
        <w:t>(10)</w:t>
      </w:r>
      <w:r w:rsidRPr="00A63797">
        <w:rPr>
          <w:rFonts w:ascii="Arial" w:hAnsi="Arial" w:cs="Arial"/>
        </w:rPr>
        <w:tab/>
        <w:t xml:space="preserve">Any officer delegated by the Prosecutor-General to conduct prosecutions before the magistrate’s court of any district is ex officio a </w:t>
      </w:r>
      <w:r w:rsidR="00CB5338">
        <w:rPr>
          <w:rFonts w:ascii="Arial" w:hAnsi="Arial" w:cs="Arial"/>
        </w:rPr>
        <w:t>children’s court</w:t>
      </w:r>
      <w:r w:rsidRPr="00A63797">
        <w:rPr>
          <w:rFonts w:ascii="Arial" w:hAnsi="Arial" w:cs="Arial"/>
        </w:rPr>
        <w:t xml:space="preserve"> assistant of any </w:t>
      </w:r>
      <w:r w:rsidR="00CB5338">
        <w:rPr>
          <w:rFonts w:ascii="Arial" w:hAnsi="Arial" w:cs="Arial"/>
        </w:rPr>
        <w:t>children’s court</w:t>
      </w:r>
      <w:r w:rsidRPr="00A63797">
        <w:rPr>
          <w:rFonts w:ascii="Arial" w:hAnsi="Arial" w:cs="Arial"/>
        </w:rPr>
        <w:t xml:space="preserve"> held within that district.</w:t>
      </w:r>
    </w:p>
    <w:p w:rsidR="000B4941" w:rsidRPr="00A63797" w:rsidRDefault="000B4941" w:rsidP="00A63797">
      <w:pPr>
        <w:pStyle w:val="NoSpacing"/>
        <w:spacing w:line="360" w:lineRule="auto"/>
        <w:ind w:left="1418" w:hanging="709"/>
        <w:jc w:val="both"/>
        <w:rPr>
          <w:rFonts w:ascii="Arial" w:hAnsi="Arial" w:cs="Arial"/>
        </w:rPr>
      </w:pPr>
      <w:r w:rsidRPr="00A63797">
        <w:rPr>
          <w:rFonts w:ascii="Arial" w:hAnsi="Arial" w:cs="Arial"/>
        </w:rPr>
        <w:t>(11)</w:t>
      </w:r>
      <w:r w:rsidRPr="00A63797">
        <w:rPr>
          <w:rFonts w:ascii="Arial" w:hAnsi="Arial" w:cs="Arial"/>
        </w:rPr>
        <w:tab/>
        <w:t xml:space="preserve">The minister responsible for justice – </w:t>
      </w:r>
    </w:p>
    <w:p w:rsidR="000B4941" w:rsidRPr="00A63797" w:rsidRDefault="000B4941" w:rsidP="00A63797">
      <w:pPr>
        <w:pStyle w:val="NoSpacing"/>
        <w:spacing w:line="360" w:lineRule="auto"/>
        <w:ind w:left="1985" w:hanging="567"/>
        <w:jc w:val="both"/>
        <w:rPr>
          <w:rFonts w:ascii="Arial" w:hAnsi="Arial" w:cs="Arial"/>
        </w:rPr>
      </w:pPr>
      <w:r w:rsidRPr="00A63797">
        <w:rPr>
          <w:rFonts w:ascii="Arial" w:hAnsi="Arial" w:cs="Arial"/>
        </w:rPr>
        <w:t>(a)</w:t>
      </w:r>
      <w:r w:rsidRPr="00A63797">
        <w:rPr>
          <w:rFonts w:ascii="Arial" w:hAnsi="Arial" w:cs="Arial"/>
        </w:rPr>
        <w:tab/>
        <w:t xml:space="preserve">must ensure that children’s commissioners receive training regarding the implementation of this Act and in their specific duties and functions; and </w:t>
      </w:r>
    </w:p>
    <w:p w:rsidR="000B4941" w:rsidRPr="00A63797" w:rsidRDefault="000B4941" w:rsidP="00A63797">
      <w:pPr>
        <w:pStyle w:val="NoSpacing"/>
        <w:spacing w:line="360" w:lineRule="auto"/>
        <w:ind w:left="1985" w:hanging="567"/>
        <w:jc w:val="both"/>
        <w:rPr>
          <w:rFonts w:ascii="Arial" w:hAnsi="Arial" w:cs="Arial"/>
        </w:rPr>
      </w:pPr>
      <w:r w:rsidRPr="00A63797">
        <w:rPr>
          <w:rFonts w:ascii="Arial" w:hAnsi="Arial" w:cs="Arial"/>
        </w:rPr>
        <w:t>(b)</w:t>
      </w:r>
      <w:r w:rsidRPr="00A63797">
        <w:rPr>
          <w:rFonts w:ascii="Arial" w:hAnsi="Arial" w:cs="Arial"/>
        </w:rPr>
        <w:tab/>
        <w:t xml:space="preserve">may appoint dedicated </w:t>
      </w:r>
      <w:r w:rsidR="00CB5338">
        <w:rPr>
          <w:rFonts w:ascii="Arial" w:hAnsi="Arial" w:cs="Arial"/>
        </w:rPr>
        <w:t>children’s court</w:t>
      </w:r>
      <w:r w:rsidRPr="00A63797">
        <w:rPr>
          <w:rFonts w:ascii="Arial" w:hAnsi="Arial" w:cs="Arial"/>
        </w:rPr>
        <w:t xml:space="preserve"> assistants for any </w:t>
      </w:r>
      <w:r w:rsidR="00CB5338">
        <w:rPr>
          <w:rFonts w:ascii="Arial" w:hAnsi="Arial" w:cs="Arial"/>
        </w:rPr>
        <w:t>children’s court</w:t>
      </w:r>
      <w:r w:rsidRPr="00A63797">
        <w:rPr>
          <w:rFonts w:ascii="Arial" w:hAnsi="Arial" w:cs="Arial"/>
        </w:rPr>
        <w:t xml:space="preserve"> to assist such court in the manner contemplated in section 58(6). </w:t>
      </w:r>
    </w:p>
    <w:p w:rsidR="00B06A94" w:rsidRPr="00A63797" w:rsidRDefault="000B4941" w:rsidP="00A63797">
      <w:pPr>
        <w:pStyle w:val="NoSpacing"/>
        <w:spacing w:line="360" w:lineRule="auto"/>
        <w:ind w:left="720" w:hanging="11"/>
        <w:jc w:val="both"/>
        <w:rPr>
          <w:rFonts w:ascii="Arial" w:hAnsi="Arial" w:cs="Arial"/>
        </w:rPr>
      </w:pPr>
      <w:r w:rsidRPr="00A63797">
        <w:rPr>
          <w:rFonts w:ascii="Arial" w:hAnsi="Arial" w:cs="Arial"/>
        </w:rPr>
        <w:t>(12)</w:t>
      </w:r>
      <w:r w:rsidRPr="00A63797">
        <w:rPr>
          <w:rFonts w:ascii="Arial" w:hAnsi="Arial" w:cs="Arial"/>
        </w:rPr>
        <w:tab/>
        <w:t xml:space="preserve">The functions of a </w:t>
      </w:r>
      <w:r w:rsidR="00CB5338">
        <w:rPr>
          <w:rFonts w:ascii="Arial" w:hAnsi="Arial" w:cs="Arial"/>
        </w:rPr>
        <w:t>children’s court</w:t>
      </w:r>
      <w:r w:rsidRPr="00A63797">
        <w:rPr>
          <w:rFonts w:ascii="Arial" w:hAnsi="Arial" w:cs="Arial"/>
        </w:rPr>
        <w:t xml:space="preserve"> assistant are as prescribed</w:t>
      </w:r>
      <w:r w:rsidR="00A63797" w:rsidRPr="00A63797">
        <w:rPr>
          <w:rFonts w:ascii="Arial" w:hAnsi="Arial" w:cs="Arial"/>
        </w:rPr>
        <w:t>.’</w:t>
      </w:r>
    </w:p>
    <w:p w:rsidR="00FF3120" w:rsidRPr="00A63797" w:rsidRDefault="00FF3120" w:rsidP="00A63797">
      <w:pPr>
        <w:pStyle w:val="ListParagraph"/>
        <w:spacing w:line="360" w:lineRule="auto"/>
        <w:jc w:val="both"/>
        <w:rPr>
          <w:rFonts w:ascii="Arial" w:hAnsi="Arial" w:cs="Arial"/>
        </w:rPr>
      </w:pPr>
    </w:p>
    <w:p w:rsidR="00FF3120" w:rsidRDefault="00B06A94"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Section 46 of the Act affords a party involved in a matter before a </w:t>
      </w:r>
      <w:r w:rsidR="00CB5338">
        <w:rPr>
          <w:rFonts w:ascii="Arial" w:hAnsi="Arial" w:cs="Arial"/>
          <w:sz w:val="24"/>
          <w:szCs w:val="24"/>
        </w:rPr>
        <w:t>children’s court</w:t>
      </w:r>
      <w:r>
        <w:rPr>
          <w:rFonts w:ascii="Arial" w:hAnsi="Arial" w:cs="Arial"/>
          <w:sz w:val="24"/>
          <w:szCs w:val="24"/>
        </w:rPr>
        <w:t xml:space="preserve"> the right to appeal against an order made by that court to the High Court.</w:t>
      </w:r>
    </w:p>
    <w:p w:rsidR="00B06A94" w:rsidRDefault="00B06A94" w:rsidP="00B06A94">
      <w:pPr>
        <w:pStyle w:val="NoSpacing"/>
        <w:spacing w:line="480" w:lineRule="auto"/>
        <w:jc w:val="both"/>
        <w:rPr>
          <w:rFonts w:ascii="Arial" w:hAnsi="Arial" w:cs="Arial"/>
          <w:sz w:val="24"/>
          <w:szCs w:val="24"/>
        </w:rPr>
      </w:pPr>
    </w:p>
    <w:p w:rsidR="00B06A94" w:rsidRDefault="0054155C"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c</w:t>
      </w:r>
      <w:r w:rsidR="00CB5338">
        <w:rPr>
          <w:rFonts w:ascii="Arial" w:hAnsi="Arial" w:cs="Arial"/>
          <w:sz w:val="24"/>
          <w:szCs w:val="24"/>
        </w:rPr>
        <w:t>hildren’s court</w:t>
      </w:r>
      <w:r w:rsidR="00B06A94">
        <w:rPr>
          <w:rFonts w:ascii="Arial" w:hAnsi="Arial" w:cs="Arial"/>
          <w:sz w:val="24"/>
          <w:szCs w:val="24"/>
        </w:rPr>
        <w:t xml:space="preserve"> may</w:t>
      </w:r>
      <w:r w:rsidR="008B1753">
        <w:rPr>
          <w:rFonts w:ascii="Arial" w:hAnsi="Arial" w:cs="Arial"/>
          <w:sz w:val="24"/>
          <w:szCs w:val="24"/>
        </w:rPr>
        <w:t>,</w:t>
      </w:r>
      <w:r w:rsidR="00B06A94">
        <w:rPr>
          <w:rFonts w:ascii="Arial" w:hAnsi="Arial" w:cs="Arial"/>
          <w:sz w:val="24"/>
          <w:szCs w:val="24"/>
        </w:rPr>
        <w:t xml:space="preserve"> in addition to </w:t>
      </w:r>
      <w:r w:rsidR="0066593E">
        <w:rPr>
          <w:rFonts w:ascii="Arial" w:hAnsi="Arial" w:cs="Arial"/>
          <w:sz w:val="24"/>
          <w:szCs w:val="24"/>
        </w:rPr>
        <w:t>its</w:t>
      </w:r>
      <w:r w:rsidR="008B1753">
        <w:rPr>
          <w:rFonts w:ascii="Arial" w:hAnsi="Arial" w:cs="Arial"/>
          <w:sz w:val="24"/>
          <w:szCs w:val="24"/>
        </w:rPr>
        <w:t xml:space="preserve"> power</w:t>
      </w:r>
      <w:r w:rsidR="0066593E">
        <w:rPr>
          <w:rFonts w:ascii="Arial" w:hAnsi="Arial" w:cs="Arial"/>
          <w:sz w:val="24"/>
          <w:szCs w:val="24"/>
        </w:rPr>
        <w:t>s</w:t>
      </w:r>
      <w:r w:rsidR="008B1753">
        <w:rPr>
          <w:rFonts w:ascii="Arial" w:hAnsi="Arial" w:cs="Arial"/>
          <w:sz w:val="24"/>
          <w:szCs w:val="24"/>
        </w:rPr>
        <w:t xml:space="preserve"> to make </w:t>
      </w:r>
      <w:r w:rsidR="00B06A94">
        <w:rPr>
          <w:rFonts w:ascii="Arial" w:hAnsi="Arial" w:cs="Arial"/>
          <w:sz w:val="24"/>
          <w:szCs w:val="24"/>
        </w:rPr>
        <w:t xml:space="preserve">orders under the Act, appoint a </w:t>
      </w:r>
      <w:r w:rsidR="00B06A94" w:rsidRPr="00B06A94">
        <w:rPr>
          <w:rFonts w:ascii="Arial" w:hAnsi="Arial" w:cs="Arial"/>
          <w:i/>
          <w:sz w:val="24"/>
          <w:szCs w:val="24"/>
        </w:rPr>
        <w:t>curator-ad-litem</w:t>
      </w:r>
      <w:r w:rsidR="00B06A94">
        <w:rPr>
          <w:rFonts w:ascii="Arial" w:hAnsi="Arial" w:cs="Arial"/>
          <w:sz w:val="24"/>
          <w:szCs w:val="24"/>
        </w:rPr>
        <w:t xml:space="preserve"> in respect of a child if that would in the opinion of the court </w:t>
      </w:r>
      <w:r w:rsidR="00B06A94">
        <w:rPr>
          <w:rFonts w:ascii="Arial" w:hAnsi="Arial" w:cs="Arial"/>
          <w:sz w:val="24"/>
          <w:szCs w:val="24"/>
        </w:rPr>
        <w:lastRenderedPageBreak/>
        <w:t>be in the best interest</w:t>
      </w:r>
      <w:r w:rsidR="00D704BB">
        <w:rPr>
          <w:rFonts w:ascii="Arial" w:hAnsi="Arial" w:cs="Arial"/>
          <w:sz w:val="24"/>
          <w:szCs w:val="24"/>
        </w:rPr>
        <w:t>s</w:t>
      </w:r>
      <w:r w:rsidR="00B06A94">
        <w:rPr>
          <w:rFonts w:ascii="Arial" w:hAnsi="Arial" w:cs="Arial"/>
          <w:sz w:val="24"/>
          <w:szCs w:val="24"/>
        </w:rPr>
        <w:t xml:space="preserve"> of the child even if the child is legally represented.</w:t>
      </w:r>
      <w:r w:rsidR="00B06A94">
        <w:rPr>
          <w:rStyle w:val="FootnoteReference"/>
          <w:rFonts w:ascii="Arial" w:hAnsi="Arial" w:cs="Arial"/>
          <w:sz w:val="24"/>
          <w:szCs w:val="24"/>
        </w:rPr>
        <w:footnoteReference w:id="9"/>
      </w:r>
      <w:r w:rsidR="00B06A94">
        <w:rPr>
          <w:rFonts w:ascii="Arial" w:hAnsi="Arial" w:cs="Arial"/>
          <w:sz w:val="24"/>
          <w:szCs w:val="24"/>
        </w:rPr>
        <w:t xml:space="preserve"> Th</w:t>
      </w:r>
      <w:r>
        <w:rPr>
          <w:rFonts w:ascii="Arial" w:hAnsi="Arial" w:cs="Arial"/>
          <w:sz w:val="24"/>
          <w:szCs w:val="24"/>
        </w:rPr>
        <w:t>at</w:t>
      </w:r>
      <w:r w:rsidR="00B06A94">
        <w:rPr>
          <w:rFonts w:ascii="Arial" w:hAnsi="Arial" w:cs="Arial"/>
          <w:sz w:val="24"/>
          <w:szCs w:val="24"/>
        </w:rPr>
        <w:t xml:space="preserve"> court also has the power to order a designated social worker, medical practitioner, psychologist, educational practitioner or any other person with appropriate expertise to carry out </w:t>
      </w:r>
      <w:r w:rsidR="002A4847">
        <w:rPr>
          <w:rFonts w:ascii="Arial" w:hAnsi="Arial" w:cs="Arial"/>
          <w:sz w:val="24"/>
          <w:szCs w:val="24"/>
        </w:rPr>
        <w:t>a further investigation into the circumstances of a child and compile a written report addressing such matters as the court may require.</w:t>
      </w:r>
      <w:r w:rsidR="002A4847">
        <w:rPr>
          <w:rStyle w:val="FootnoteReference"/>
          <w:rFonts w:ascii="Arial" w:hAnsi="Arial" w:cs="Arial"/>
          <w:sz w:val="24"/>
          <w:szCs w:val="24"/>
        </w:rPr>
        <w:footnoteReference w:id="10"/>
      </w:r>
      <w:r w:rsidR="002A4847">
        <w:rPr>
          <w:rFonts w:ascii="Arial" w:hAnsi="Arial" w:cs="Arial"/>
          <w:sz w:val="24"/>
          <w:szCs w:val="24"/>
        </w:rPr>
        <w:t xml:space="preserve"> A person who compile</w:t>
      </w:r>
      <w:r w:rsidR="00D704BB">
        <w:rPr>
          <w:rFonts w:ascii="Arial" w:hAnsi="Arial" w:cs="Arial"/>
          <w:sz w:val="24"/>
          <w:szCs w:val="24"/>
        </w:rPr>
        <w:t>s</w:t>
      </w:r>
      <w:r w:rsidR="002A4847">
        <w:rPr>
          <w:rFonts w:ascii="Arial" w:hAnsi="Arial" w:cs="Arial"/>
          <w:sz w:val="24"/>
          <w:szCs w:val="24"/>
        </w:rPr>
        <w:t xml:space="preserve"> such a report may obtain supplementary evidenc</w:t>
      </w:r>
      <w:r w:rsidR="00D704BB">
        <w:rPr>
          <w:rFonts w:ascii="Arial" w:hAnsi="Arial" w:cs="Arial"/>
          <w:sz w:val="24"/>
          <w:szCs w:val="24"/>
        </w:rPr>
        <w:t>e or reports from other suitably</w:t>
      </w:r>
      <w:r w:rsidR="002A4847">
        <w:rPr>
          <w:rFonts w:ascii="Arial" w:hAnsi="Arial" w:cs="Arial"/>
          <w:sz w:val="24"/>
          <w:szCs w:val="24"/>
        </w:rPr>
        <w:t xml:space="preserve"> qualified persons and be required by the court to present the findings by testifying before court.</w:t>
      </w:r>
      <w:r w:rsidR="00D704BB">
        <w:rPr>
          <w:rStyle w:val="FootnoteReference"/>
          <w:rFonts w:ascii="Arial" w:hAnsi="Arial" w:cs="Arial"/>
          <w:sz w:val="24"/>
          <w:szCs w:val="24"/>
        </w:rPr>
        <w:footnoteReference w:id="11"/>
      </w:r>
    </w:p>
    <w:p w:rsidR="002A4847" w:rsidRDefault="002A4847" w:rsidP="00AE4498">
      <w:pPr>
        <w:pStyle w:val="ListParagraph"/>
        <w:spacing w:after="0" w:line="480" w:lineRule="auto"/>
        <w:rPr>
          <w:rFonts w:ascii="Arial" w:hAnsi="Arial" w:cs="Arial"/>
          <w:sz w:val="24"/>
          <w:szCs w:val="24"/>
        </w:rPr>
      </w:pPr>
    </w:p>
    <w:p w:rsidR="002A4847" w:rsidRDefault="002A4847"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Act also </w:t>
      </w:r>
      <w:r w:rsidR="00D704BB">
        <w:rPr>
          <w:rFonts w:ascii="Arial" w:hAnsi="Arial" w:cs="Arial"/>
          <w:sz w:val="24"/>
          <w:szCs w:val="24"/>
        </w:rPr>
        <w:t xml:space="preserve">contains </w:t>
      </w:r>
      <w:r>
        <w:rPr>
          <w:rFonts w:ascii="Arial" w:hAnsi="Arial" w:cs="Arial"/>
          <w:sz w:val="24"/>
          <w:szCs w:val="24"/>
        </w:rPr>
        <w:t>provisions concerning the court’s environment</w:t>
      </w:r>
      <w:r>
        <w:rPr>
          <w:rStyle w:val="FootnoteReference"/>
          <w:rFonts w:ascii="Arial" w:hAnsi="Arial" w:cs="Arial"/>
          <w:sz w:val="24"/>
          <w:szCs w:val="24"/>
        </w:rPr>
        <w:footnoteReference w:id="12"/>
      </w:r>
      <w:r>
        <w:rPr>
          <w:rFonts w:ascii="Arial" w:hAnsi="Arial" w:cs="Arial"/>
          <w:sz w:val="24"/>
          <w:szCs w:val="24"/>
        </w:rPr>
        <w:t xml:space="preserve"> and </w:t>
      </w:r>
      <w:r w:rsidR="001B758C">
        <w:rPr>
          <w:rFonts w:ascii="Arial" w:hAnsi="Arial" w:cs="Arial"/>
          <w:sz w:val="24"/>
          <w:szCs w:val="24"/>
        </w:rPr>
        <w:t xml:space="preserve">requires </w:t>
      </w:r>
      <w:r>
        <w:rPr>
          <w:rFonts w:ascii="Arial" w:hAnsi="Arial" w:cs="Arial"/>
          <w:sz w:val="24"/>
          <w:szCs w:val="24"/>
        </w:rPr>
        <w:t>that the proceedings are held in private.</w:t>
      </w:r>
      <w:r>
        <w:rPr>
          <w:rStyle w:val="FootnoteReference"/>
          <w:rFonts w:ascii="Arial" w:hAnsi="Arial" w:cs="Arial"/>
          <w:sz w:val="24"/>
          <w:szCs w:val="24"/>
        </w:rPr>
        <w:footnoteReference w:id="13"/>
      </w:r>
      <w:r>
        <w:rPr>
          <w:rFonts w:ascii="Arial" w:hAnsi="Arial" w:cs="Arial"/>
          <w:sz w:val="24"/>
          <w:szCs w:val="24"/>
        </w:rPr>
        <w:t xml:space="preserve"> The court is also empowered to conduct its proceedings in an informal manner conducive to obtaining the co-operation and participation of those involved in the proceedings.</w:t>
      </w:r>
      <w:r>
        <w:rPr>
          <w:rStyle w:val="FootnoteReference"/>
          <w:rFonts w:ascii="Arial" w:hAnsi="Arial" w:cs="Arial"/>
          <w:sz w:val="24"/>
          <w:szCs w:val="24"/>
        </w:rPr>
        <w:footnoteReference w:id="14"/>
      </w:r>
      <w:r>
        <w:rPr>
          <w:rFonts w:ascii="Arial" w:hAnsi="Arial" w:cs="Arial"/>
          <w:sz w:val="24"/>
          <w:szCs w:val="24"/>
        </w:rPr>
        <w:t xml:space="preserve"> The court is also empowered to call persons to give evidence and</w:t>
      </w:r>
      <w:r w:rsidR="001B758C">
        <w:rPr>
          <w:rFonts w:ascii="Arial" w:hAnsi="Arial" w:cs="Arial"/>
          <w:sz w:val="24"/>
          <w:szCs w:val="24"/>
        </w:rPr>
        <w:t xml:space="preserve"> to</w:t>
      </w:r>
      <w:r>
        <w:rPr>
          <w:rFonts w:ascii="Arial" w:hAnsi="Arial" w:cs="Arial"/>
          <w:sz w:val="24"/>
          <w:szCs w:val="24"/>
        </w:rPr>
        <w:t xml:space="preserve"> question or cross-examine </w:t>
      </w:r>
      <w:r w:rsidR="001B758C">
        <w:rPr>
          <w:rFonts w:ascii="Arial" w:hAnsi="Arial" w:cs="Arial"/>
          <w:sz w:val="24"/>
          <w:szCs w:val="24"/>
        </w:rPr>
        <w:t>such persons</w:t>
      </w:r>
      <w:r>
        <w:rPr>
          <w:rStyle w:val="FootnoteReference"/>
          <w:rFonts w:ascii="Arial" w:hAnsi="Arial" w:cs="Arial"/>
          <w:sz w:val="24"/>
          <w:szCs w:val="24"/>
        </w:rPr>
        <w:footnoteReference w:id="15"/>
      </w:r>
      <w:r>
        <w:rPr>
          <w:rFonts w:ascii="Arial" w:hAnsi="Arial" w:cs="Arial"/>
          <w:sz w:val="24"/>
          <w:szCs w:val="24"/>
        </w:rPr>
        <w:t xml:space="preserve"> and may also give directions for the attendance of interested and relevant persons.</w:t>
      </w:r>
      <w:r w:rsidR="00876DDA">
        <w:rPr>
          <w:rStyle w:val="FootnoteReference"/>
          <w:rFonts w:ascii="Arial" w:hAnsi="Arial" w:cs="Arial"/>
          <w:sz w:val="24"/>
          <w:szCs w:val="24"/>
        </w:rPr>
        <w:footnoteReference w:id="16"/>
      </w:r>
    </w:p>
    <w:p w:rsidR="00B06A94" w:rsidRDefault="00B06A94" w:rsidP="00B06A94">
      <w:pPr>
        <w:pStyle w:val="NoSpacing"/>
        <w:spacing w:line="480" w:lineRule="auto"/>
        <w:jc w:val="both"/>
        <w:rPr>
          <w:rFonts w:ascii="Arial" w:hAnsi="Arial" w:cs="Arial"/>
          <w:sz w:val="24"/>
          <w:szCs w:val="24"/>
        </w:rPr>
      </w:pPr>
    </w:p>
    <w:p w:rsidR="00B06A94" w:rsidRPr="005370C1" w:rsidRDefault="0029124C" w:rsidP="00425043">
      <w:pPr>
        <w:pStyle w:val="NoSpacing"/>
        <w:numPr>
          <w:ilvl w:val="0"/>
          <w:numId w:val="4"/>
        </w:numPr>
        <w:spacing w:line="480" w:lineRule="auto"/>
        <w:ind w:left="0" w:firstLine="0"/>
        <w:jc w:val="both"/>
        <w:rPr>
          <w:rFonts w:ascii="Arial" w:hAnsi="Arial" w:cs="Arial"/>
          <w:sz w:val="24"/>
          <w:szCs w:val="24"/>
        </w:rPr>
      </w:pPr>
      <w:r w:rsidRPr="005370C1">
        <w:rPr>
          <w:rFonts w:ascii="Arial" w:hAnsi="Arial" w:cs="Arial"/>
          <w:sz w:val="24"/>
          <w:szCs w:val="24"/>
        </w:rPr>
        <w:t xml:space="preserve">It is thus </w:t>
      </w:r>
      <w:r w:rsidR="002A4847" w:rsidRPr="005370C1">
        <w:rPr>
          <w:rFonts w:ascii="Arial" w:hAnsi="Arial" w:cs="Arial"/>
          <w:sz w:val="24"/>
          <w:szCs w:val="24"/>
        </w:rPr>
        <w:t>clear</w:t>
      </w:r>
      <w:r w:rsidRPr="005370C1">
        <w:rPr>
          <w:rFonts w:ascii="Arial" w:hAnsi="Arial" w:cs="Arial"/>
          <w:sz w:val="24"/>
          <w:szCs w:val="24"/>
        </w:rPr>
        <w:t xml:space="preserve"> from the scheme of the Act that the legislature </w:t>
      </w:r>
      <w:r w:rsidR="002A4847" w:rsidRPr="005370C1">
        <w:rPr>
          <w:rFonts w:ascii="Arial" w:hAnsi="Arial" w:cs="Arial"/>
          <w:sz w:val="24"/>
          <w:szCs w:val="24"/>
        </w:rPr>
        <w:t xml:space="preserve">envisages a specialist court with its </w:t>
      </w:r>
      <w:r w:rsidR="00D704BB" w:rsidRPr="005370C1">
        <w:rPr>
          <w:rFonts w:ascii="Arial" w:hAnsi="Arial" w:cs="Arial"/>
          <w:sz w:val="24"/>
          <w:szCs w:val="24"/>
        </w:rPr>
        <w:t>specifically ordained</w:t>
      </w:r>
      <w:r w:rsidR="002A4847" w:rsidRPr="005370C1">
        <w:rPr>
          <w:rFonts w:ascii="Arial" w:hAnsi="Arial" w:cs="Arial"/>
          <w:sz w:val="24"/>
          <w:szCs w:val="24"/>
        </w:rPr>
        <w:t xml:space="preserve"> powers and procedure and </w:t>
      </w:r>
      <w:r w:rsidRPr="005370C1">
        <w:rPr>
          <w:rFonts w:ascii="Arial" w:hAnsi="Arial" w:cs="Arial"/>
          <w:sz w:val="24"/>
          <w:szCs w:val="24"/>
        </w:rPr>
        <w:t xml:space="preserve">an </w:t>
      </w:r>
      <w:r w:rsidR="002A4847" w:rsidRPr="005370C1">
        <w:rPr>
          <w:rFonts w:ascii="Arial" w:hAnsi="Arial" w:cs="Arial"/>
          <w:sz w:val="24"/>
          <w:szCs w:val="24"/>
        </w:rPr>
        <w:t xml:space="preserve">environment appropriate to </w:t>
      </w:r>
      <w:r w:rsidR="0054155C">
        <w:rPr>
          <w:rFonts w:ascii="Arial" w:hAnsi="Arial" w:cs="Arial"/>
          <w:sz w:val="24"/>
          <w:szCs w:val="24"/>
        </w:rPr>
        <w:t xml:space="preserve">and tailored </w:t>
      </w:r>
      <w:r w:rsidR="005C5725">
        <w:rPr>
          <w:rFonts w:ascii="Arial" w:hAnsi="Arial" w:cs="Arial"/>
          <w:sz w:val="24"/>
          <w:szCs w:val="24"/>
        </w:rPr>
        <w:t>for</w:t>
      </w:r>
      <w:r w:rsidR="0054155C">
        <w:rPr>
          <w:rFonts w:ascii="Arial" w:hAnsi="Arial" w:cs="Arial"/>
          <w:sz w:val="24"/>
          <w:szCs w:val="24"/>
        </w:rPr>
        <w:t xml:space="preserve"> </w:t>
      </w:r>
      <w:r w:rsidR="002A4847" w:rsidRPr="005370C1">
        <w:rPr>
          <w:rFonts w:ascii="Arial" w:hAnsi="Arial" w:cs="Arial"/>
          <w:sz w:val="24"/>
          <w:szCs w:val="24"/>
        </w:rPr>
        <w:t>the nature of enquiries to be held by that court.</w:t>
      </w:r>
      <w:r w:rsidRPr="005370C1">
        <w:rPr>
          <w:rFonts w:ascii="Arial" w:hAnsi="Arial" w:cs="Arial"/>
          <w:sz w:val="24"/>
          <w:szCs w:val="24"/>
        </w:rPr>
        <w:t xml:space="preserve"> One such enquiry</w:t>
      </w:r>
      <w:r w:rsidR="005370C1" w:rsidRPr="005370C1">
        <w:rPr>
          <w:rFonts w:ascii="Arial" w:hAnsi="Arial" w:cs="Arial"/>
          <w:sz w:val="24"/>
          <w:szCs w:val="24"/>
        </w:rPr>
        <w:t xml:space="preserve"> pertains to </w:t>
      </w:r>
      <w:r w:rsidR="002A4847" w:rsidRPr="005370C1">
        <w:rPr>
          <w:rFonts w:ascii="Arial" w:hAnsi="Arial" w:cs="Arial"/>
          <w:sz w:val="24"/>
          <w:szCs w:val="24"/>
        </w:rPr>
        <w:t xml:space="preserve">applications for </w:t>
      </w:r>
      <w:r w:rsidR="001B758C" w:rsidRPr="005370C1">
        <w:rPr>
          <w:rFonts w:ascii="Arial" w:hAnsi="Arial" w:cs="Arial"/>
          <w:sz w:val="24"/>
          <w:szCs w:val="24"/>
        </w:rPr>
        <w:t xml:space="preserve">custody </w:t>
      </w:r>
      <w:r w:rsidR="002A4847" w:rsidRPr="005370C1">
        <w:rPr>
          <w:rFonts w:ascii="Arial" w:hAnsi="Arial" w:cs="Arial"/>
          <w:sz w:val="24"/>
          <w:szCs w:val="24"/>
        </w:rPr>
        <w:t xml:space="preserve">and </w:t>
      </w:r>
      <w:r w:rsidR="001B758C" w:rsidRPr="005370C1">
        <w:rPr>
          <w:rFonts w:ascii="Arial" w:hAnsi="Arial" w:cs="Arial"/>
          <w:sz w:val="24"/>
          <w:szCs w:val="24"/>
        </w:rPr>
        <w:t>guardianship</w:t>
      </w:r>
      <w:r w:rsidR="002A4847" w:rsidRPr="005370C1">
        <w:rPr>
          <w:rFonts w:ascii="Arial" w:hAnsi="Arial" w:cs="Arial"/>
          <w:sz w:val="24"/>
          <w:szCs w:val="24"/>
        </w:rPr>
        <w:t>.</w:t>
      </w:r>
      <w:r w:rsidR="002A4847">
        <w:rPr>
          <w:rStyle w:val="FootnoteReference"/>
          <w:rFonts w:ascii="Arial" w:hAnsi="Arial" w:cs="Arial"/>
          <w:sz w:val="24"/>
          <w:szCs w:val="24"/>
        </w:rPr>
        <w:footnoteReference w:id="17"/>
      </w:r>
    </w:p>
    <w:p w:rsidR="00B06A94" w:rsidRDefault="00B06A94" w:rsidP="00B06A94">
      <w:pPr>
        <w:pStyle w:val="NoSpacing"/>
        <w:spacing w:line="480" w:lineRule="auto"/>
        <w:jc w:val="both"/>
        <w:rPr>
          <w:rFonts w:ascii="Arial" w:hAnsi="Arial" w:cs="Arial"/>
          <w:sz w:val="24"/>
          <w:szCs w:val="24"/>
        </w:rPr>
      </w:pPr>
    </w:p>
    <w:p w:rsidR="00B06A94" w:rsidRDefault="002A4847"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appellant</w:t>
      </w:r>
      <w:r w:rsidR="00D704BB">
        <w:rPr>
          <w:rFonts w:ascii="Arial" w:hAnsi="Arial" w:cs="Arial"/>
          <w:sz w:val="24"/>
          <w:szCs w:val="24"/>
        </w:rPr>
        <w:t xml:space="preserve"> herself</w:t>
      </w:r>
      <w:r>
        <w:rPr>
          <w:rFonts w:ascii="Arial" w:hAnsi="Arial" w:cs="Arial"/>
          <w:sz w:val="24"/>
          <w:szCs w:val="24"/>
        </w:rPr>
        <w:t xml:space="preserve"> initially applied to the </w:t>
      </w:r>
      <w:r w:rsidR="00CB5338">
        <w:rPr>
          <w:rFonts w:ascii="Arial" w:hAnsi="Arial" w:cs="Arial"/>
          <w:sz w:val="24"/>
          <w:szCs w:val="24"/>
        </w:rPr>
        <w:t>children’s court</w:t>
      </w:r>
      <w:r>
        <w:rPr>
          <w:rFonts w:ascii="Arial" w:hAnsi="Arial" w:cs="Arial"/>
          <w:sz w:val="24"/>
          <w:szCs w:val="24"/>
        </w:rPr>
        <w:t xml:space="preserve"> for guardianship and custody </w:t>
      </w:r>
      <w:r w:rsidR="0066593E">
        <w:rPr>
          <w:rFonts w:ascii="Arial" w:hAnsi="Arial" w:cs="Arial"/>
          <w:sz w:val="24"/>
          <w:szCs w:val="24"/>
        </w:rPr>
        <w:t xml:space="preserve">of G </w:t>
      </w:r>
      <w:r>
        <w:rPr>
          <w:rFonts w:ascii="Arial" w:hAnsi="Arial" w:cs="Arial"/>
          <w:sz w:val="24"/>
          <w:szCs w:val="24"/>
        </w:rPr>
        <w:t>on the strength of her nomination in the deceased’s will</w:t>
      </w:r>
      <w:r w:rsidR="005370C1">
        <w:rPr>
          <w:rFonts w:ascii="Arial" w:hAnsi="Arial" w:cs="Arial"/>
          <w:sz w:val="24"/>
          <w:szCs w:val="24"/>
        </w:rPr>
        <w:t>, correctly accepting its jurisdiction</w:t>
      </w:r>
      <w:r>
        <w:rPr>
          <w:rFonts w:ascii="Arial" w:hAnsi="Arial" w:cs="Arial"/>
          <w:sz w:val="24"/>
          <w:szCs w:val="24"/>
        </w:rPr>
        <w:t>. It was only when the respondent opposed that application and brought a counter</w:t>
      </w:r>
      <w:r w:rsidR="000C4A72">
        <w:rPr>
          <w:rFonts w:ascii="Arial" w:hAnsi="Arial" w:cs="Arial"/>
          <w:sz w:val="24"/>
          <w:szCs w:val="24"/>
        </w:rPr>
        <w:t>-</w:t>
      </w:r>
      <w:r>
        <w:rPr>
          <w:rFonts w:ascii="Arial" w:hAnsi="Arial" w:cs="Arial"/>
          <w:sz w:val="24"/>
          <w:szCs w:val="24"/>
        </w:rPr>
        <w:t xml:space="preserve">application for guardianship, contesting the validity of the nomination in the will, that the appellant approached the High Court </w:t>
      </w:r>
      <w:r w:rsidR="00D704BB">
        <w:rPr>
          <w:rFonts w:ascii="Arial" w:hAnsi="Arial" w:cs="Arial"/>
          <w:sz w:val="24"/>
          <w:szCs w:val="24"/>
        </w:rPr>
        <w:t>to exercise</w:t>
      </w:r>
      <w:r>
        <w:rPr>
          <w:rFonts w:ascii="Arial" w:hAnsi="Arial" w:cs="Arial"/>
          <w:sz w:val="24"/>
          <w:szCs w:val="24"/>
        </w:rPr>
        <w:t xml:space="preserve"> jurisdiction</w:t>
      </w:r>
      <w:r w:rsidR="008B1753">
        <w:rPr>
          <w:rFonts w:ascii="Arial" w:hAnsi="Arial" w:cs="Arial"/>
          <w:sz w:val="24"/>
          <w:szCs w:val="24"/>
        </w:rPr>
        <w:t xml:space="preserve"> to determine the application and counter</w:t>
      </w:r>
      <w:r w:rsidR="000C4A72">
        <w:rPr>
          <w:rFonts w:ascii="Arial" w:hAnsi="Arial" w:cs="Arial"/>
          <w:sz w:val="24"/>
          <w:szCs w:val="24"/>
        </w:rPr>
        <w:t>-</w:t>
      </w:r>
      <w:r w:rsidR="008B1753">
        <w:rPr>
          <w:rFonts w:ascii="Arial" w:hAnsi="Arial" w:cs="Arial"/>
          <w:sz w:val="24"/>
          <w:szCs w:val="24"/>
        </w:rPr>
        <w:t>application for guardianship</w:t>
      </w:r>
      <w:r w:rsidR="005370C1">
        <w:rPr>
          <w:rFonts w:ascii="Arial" w:hAnsi="Arial" w:cs="Arial"/>
          <w:sz w:val="24"/>
          <w:szCs w:val="24"/>
        </w:rPr>
        <w:t>,</w:t>
      </w:r>
      <w:r w:rsidR="00D704BB">
        <w:rPr>
          <w:rFonts w:ascii="Arial" w:hAnsi="Arial" w:cs="Arial"/>
          <w:sz w:val="24"/>
          <w:szCs w:val="24"/>
        </w:rPr>
        <w:t xml:space="preserve"> given the fact that the </w:t>
      </w:r>
      <w:r w:rsidR="00CB5338">
        <w:rPr>
          <w:rFonts w:ascii="Arial" w:hAnsi="Arial" w:cs="Arial"/>
          <w:sz w:val="24"/>
          <w:szCs w:val="24"/>
        </w:rPr>
        <w:t>children’s court</w:t>
      </w:r>
      <w:r w:rsidR="00D704BB">
        <w:rPr>
          <w:rFonts w:ascii="Arial" w:hAnsi="Arial" w:cs="Arial"/>
          <w:sz w:val="24"/>
          <w:szCs w:val="24"/>
        </w:rPr>
        <w:t xml:space="preserve"> did not have jurisdiction to determine the validity of the will</w:t>
      </w:r>
      <w:r>
        <w:rPr>
          <w:rFonts w:ascii="Arial" w:hAnsi="Arial" w:cs="Arial"/>
          <w:sz w:val="24"/>
          <w:szCs w:val="24"/>
        </w:rPr>
        <w:t>.</w:t>
      </w:r>
      <w:r w:rsidR="005370C1">
        <w:rPr>
          <w:rFonts w:ascii="Arial" w:hAnsi="Arial" w:cs="Arial"/>
          <w:sz w:val="24"/>
          <w:szCs w:val="24"/>
        </w:rPr>
        <w:t xml:space="preserve"> But once the respondent withdrew his challenge to the will’s validity, any basis for the High Court to assume jurisdiction</w:t>
      </w:r>
      <w:r w:rsidR="008B1753">
        <w:rPr>
          <w:rFonts w:ascii="Arial" w:hAnsi="Arial" w:cs="Arial"/>
          <w:sz w:val="24"/>
          <w:szCs w:val="24"/>
        </w:rPr>
        <w:t xml:space="preserve"> fell away. </w:t>
      </w:r>
      <w:r w:rsidR="00FB1D57">
        <w:rPr>
          <w:rFonts w:ascii="Arial" w:hAnsi="Arial" w:cs="Arial"/>
          <w:sz w:val="24"/>
          <w:szCs w:val="24"/>
        </w:rPr>
        <w:t>Furthermore, t</w:t>
      </w:r>
      <w:r w:rsidR="008B1753">
        <w:rPr>
          <w:rFonts w:ascii="Arial" w:hAnsi="Arial" w:cs="Arial"/>
          <w:sz w:val="24"/>
          <w:szCs w:val="24"/>
        </w:rPr>
        <w:t>he High Court</w:t>
      </w:r>
      <w:r w:rsidR="0054155C">
        <w:rPr>
          <w:rFonts w:ascii="Arial" w:hAnsi="Arial" w:cs="Arial"/>
          <w:sz w:val="24"/>
          <w:szCs w:val="24"/>
        </w:rPr>
        <w:t>’s</w:t>
      </w:r>
      <w:r w:rsidR="008B1753">
        <w:rPr>
          <w:rFonts w:ascii="Arial" w:hAnsi="Arial" w:cs="Arial"/>
          <w:sz w:val="24"/>
          <w:szCs w:val="24"/>
        </w:rPr>
        <w:t xml:space="preserve"> jurisdiction</w:t>
      </w:r>
      <w:r w:rsidR="005370C1">
        <w:rPr>
          <w:rFonts w:ascii="Arial" w:hAnsi="Arial" w:cs="Arial"/>
          <w:sz w:val="24"/>
          <w:szCs w:val="24"/>
        </w:rPr>
        <w:t xml:space="preserve"> </w:t>
      </w:r>
      <w:r w:rsidR="00904A7A">
        <w:rPr>
          <w:rFonts w:ascii="Arial" w:hAnsi="Arial" w:cs="Arial"/>
          <w:sz w:val="24"/>
          <w:szCs w:val="24"/>
        </w:rPr>
        <w:t xml:space="preserve">in that instance </w:t>
      </w:r>
      <w:r w:rsidR="005370C1">
        <w:rPr>
          <w:rFonts w:ascii="Arial" w:hAnsi="Arial" w:cs="Arial"/>
          <w:sz w:val="24"/>
          <w:szCs w:val="24"/>
        </w:rPr>
        <w:t xml:space="preserve">would </w:t>
      </w:r>
      <w:r w:rsidR="0066593E">
        <w:rPr>
          <w:rFonts w:ascii="Arial" w:hAnsi="Arial" w:cs="Arial"/>
          <w:sz w:val="24"/>
          <w:szCs w:val="24"/>
        </w:rPr>
        <w:t xml:space="preserve">have </w:t>
      </w:r>
      <w:r w:rsidR="005370C1">
        <w:rPr>
          <w:rFonts w:ascii="Arial" w:hAnsi="Arial" w:cs="Arial"/>
          <w:sz w:val="24"/>
          <w:szCs w:val="24"/>
        </w:rPr>
        <w:t xml:space="preserve">in my view </w:t>
      </w:r>
      <w:r w:rsidR="0054155C">
        <w:rPr>
          <w:rFonts w:ascii="Arial" w:hAnsi="Arial" w:cs="Arial"/>
          <w:sz w:val="24"/>
          <w:szCs w:val="24"/>
        </w:rPr>
        <w:t xml:space="preserve">only </w:t>
      </w:r>
      <w:r w:rsidR="005370C1">
        <w:rPr>
          <w:rFonts w:ascii="Arial" w:hAnsi="Arial" w:cs="Arial"/>
          <w:sz w:val="24"/>
          <w:szCs w:val="24"/>
        </w:rPr>
        <w:t>extend</w:t>
      </w:r>
      <w:r w:rsidR="0066593E">
        <w:rPr>
          <w:rFonts w:ascii="Arial" w:hAnsi="Arial" w:cs="Arial"/>
          <w:sz w:val="24"/>
          <w:szCs w:val="24"/>
        </w:rPr>
        <w:t>ed</w:t>
      </w:r>
      <w:r w:rsidR="005370C1">
        <w:rPr>
          <w:rFonts w:ascii="Arial" w:hAnsi="Arial" w:cs="Arial"/>
          <w:sz w:val="24"/>
          <w:szCs w:val="24"/>
        </w:rPr>
        <w:t xml:space="preserve"> to determining the validity of the will and</w:t>
      </w:r>
      <w:r w:rsidR="0054155C">
        <w:rPr>
          <w:rFonts w:ascii="Arial" w:hAnsi="Arial" w:cs="Arial"/>
          <w:sz w:val="24"/>
          <w:szCs w:val="24"/>
        </w:rPr>
        <w:t xml:space="preserve"> </w:t>
      </w:r>
      <w:r w:rsidR="00904A7A">
        <w:rPr>
          <w:rFonts w:ascii="Arial" w:hAnsi="Arial" w:cs="Arial"/>
          <w:sz w:val="24"/>
          <w:szCs w:val="24"/>
        </w:rPr>
        <w:t xml:space="preserve">once </w:t>
      </w:r>
      <w:r w:rsidR="009A19CD">
        <w:rPr>
          <w:rFonts w:ascii="Arial" w:hAnsi="Arial" w:cs="Arial"/>
          <w:sz w:val="24"/>
          <w:szCs w:val="24"/>
        </w:rPr>
        <w:t xml:space="preserve">that issue is </w:t>
      </w:r>
      <w:r w:rsidR="00904A7A">
        <w:rPr>
          <w:rFonts w:ascii="Arial" w:hAnsi="Arial" w:cs="Arial"/>
          <w:sz w:val="24"/>
          <w:szCs w:val="24"/>
        </w:rPr>
        <w:t xml:space="preserve">determined, the High Court </w:t>
      </w:r>
      <w:r w:rsidR="0054155C">
        <w:rPr>
          <w:rFonts w:ascii="Arial" w:hAnsi="Arial" w:cs="Arial"/>
          <w:sz w:val="24"/>
          <w:szCs w:val="24"/>
        </w:rPr>
        <w:t>would</w:t>
      </w:r>
      <w:r w:rsidR="005370C1">
        <w:rPr>
          <w:rFonts w:ascii="Arial" w:hAnsi="Arial" w:cs="Arial"/>
          <w:sz w:val="24"/>
          <w:szCs w:val="24"/>
        </w:rPr>
        <w:t xml:space="preserve"> thereafter refer the matter back to the children’s court to proceed with the enquiry entrusted to it by the legislature as a specialist court.</w:t>
      </w:r>
    </w:p>
    <w:p w:rsidR="005370C1" w:rsidRDefault="005370C1" w:rsidP="00AE4498">
      <w:pPr>
        <w:pStyle w:val="ListParagraph"/>
        <w:spacing w:after="0" w:line="480" w:lineRule="auto"/>
        <w:rPr>
          <w:rFonts w:ascii="Arial" w:hAnsi="Arial" w:cs="Arial"/>
          <w:sz w:val="24"/>
          <w:szCs w:val="24"/>
        </w:rPr>
      </w:pPr>
    </w:p>
    <w:p w:rsidR="005370C1" w:rsidRDefault="005370C1"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High Court can thus not be faulted in declining jurisdiction when the legislature specifically ordained a specialist court in the form of the children’s court to hear and determine applications for guardianship</w:t>
      </w:r>
      <w:r w:rsidR="0054155C">
        <w:rPr>
          <w:rFonts w:ascii="Arial" w:hAnsi="Arial" w:cs="Arial"/>
          <w:sz w:val="24"/>
          <w:szCs w:val="24"/>
        </w:rPr>
        <w:t xml:space="preserve"> as a court of first instance (with the High Court as the court of appeal)</w:t>
      </w:r>
      <w:r>
        <w:rPr>
          <w:rFonts w:ascii="Arial" w:hAnsi="Arial" w:cs="Arial"/>
          <w:sz w:val="24"/>
          <w:szCs w:val="24"/>
        </w:rPr>
        <w:t>.</w:t>
      </w:r>
    </w:p>
    <w:p w:rsidR="005370C1" w:rsidRDefault="005370C1" w:rsidP="00AE4498">
      <w:pPr>
        <w:pStyle w:val="ListParagraph"/>
        <w:spacing w:after="0" w:line="480" w:lineRule="auto"/>
        <w:rPr>
          <w:rFonts w:ascii="Arial" w:hAnsi="Arial" w:cs="Arial"/>
          <w:sz w:val="24"/>
          <w:szCs w:val="24"/>
        </w:rPr>
      </w:pPr>
    </w:p>
    <w:p w:rsidR="005370C1" w:rsidRDefault="005370C1"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that an appeal against the judgment and order of the High Court does not enjoy </w:t>
      </w:r>
      <w:r w:rsidR="0054155C">
        <w:rPr>
          <w:rFonts w:ascii="Arial" w:hAnsi="Arial" w:cs="Arial"/>
          <w:sz w:val="24"/>
          <w:szCs w:val="24"/>
        </w:rPr>
        <w:t xml:space="preserve">any </w:t>
      </w:r>
      <w:r>
        <w:rPr>
          <w:rFonts w:ascii="Arial" w:hAnsi="Arial" w:cs="Arial"/>
          <w:sz w:val="24"/>
          <w:szCs w:val="24"/>
        </w:rPr>
        <w:t>prospects of success. It further follows that the condonation application would fail on this ground as well.</w:t>
      </w:r>
    </w:p>
    <w:p w:rsidR="005370C1" w:rsidRDefault="005370C1" w:rsidP="00AE4498">
      <w:pPr>
        <w:spacing w:after="0" w:line="480" w:lineRule="auto"/>
        <w:rPr>
          <w:rFonts w:ascii="Arial" w:hAnsi="Arial" w:cs="Arial"/>
          <w:sz w:val="24"/>
          <w:szCs w:val="24"/>
        </w:rPr>
      </w:pPr>
    </w:p>
    <w:p w:rsidR="00266EBB" w:rsidRDefault="0066593E" w:rsidP="00266EB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Even though the appeal falls to be struck, it is apparent that the formulation of the declaratory order in paragraph 1 of the order of 20 September 2019 requires </w:t>
      </w:r>
      <w:r>
        <w:rPr>
          <w:rFonts w:ascii="Arial" w:hAnsi="Arial" w:cs="Arial"/>
          <w:sz w:val="24"/>
          <w:szCs w:val="24"/>
        </w:rPr>
        <w:lastRenderedPageBreak/>
        <w:t>mod</w:t>
      </w:r>
      <w:r w:rsidR="0054155C">
        <w:rPr>
          <w:rFonts w:ascii="Arial" w:hAnsi="Arial" w:cs="Arial"/>
          <w:sz w:val="24"/>
          <w:szCs w:val="24"/>
        </w:rPr>
        <w:t>ification</w:t>
      </w:r>
      <w:r w:rsidR="00904A7A">
        <w:rPr>
          <w:rFonts w:ascii="Arial" w:hAnsi="Arial" w:cs="Arial"/>
          <w:sz w:val="24"/>
          <w:szCs w:val="24"/>
        </w:rPr>
        <w:t>.</w:t>
      </w:r>
      <w:r w:rsidR="0054155C">
        <w:rPr>
          <w:rFonts w:ascii="Arial" w:hAnsi="Arial" w:cs="Arial"/>
          <w:sz w:val="24"/>
          <w:szCs w:val="24"/>
        </w:rPr>
        <w:t xml:space="preserve"> </w:t>
      </w:r>
      <w:r w:rsidR="00904A7A">
        <w:rPr>
          <w:rFonts w:ascii="Arial" w:hAnsi="Arial" w:cs="Arial"/>
          <w:sz w:val="24"/>
          <w:szCs w:val="24"/>
        </w:rPr>
        <w:t>T</w:t>
      </w:r>
      <w:r w:rsidR="0054155C">
        <w:rPr>
          <w:rFonts w:ascii="Arial" w:hAnsi="Arial" w:cs="Arial"/>
          <w:sz w:val="24"/>
          <w:szCs w:val="24"/>
        </w:rPr>
        <w:t>he term</w:t>
      </w:r>
      <w:r>
        <w:rPr>
          <w:rFonts w:ascii="Arial" w:hAnsi="Arial" w:cs="Arial"/>
          <w:sz w:val="24"/>
          <w:szCs w:val="24"/>
        </w:rPr>
        <w:t xml:space="preserve"> ‘award’ in that order </w:t>
      </w:r>
      <w:r w:rsidR="00904A7A">
        <w:rPr>
          <w:rFonts w:ascii="Arial" w:hAnsi="Arial" w:cs="Arial"/>
          <w:sz w:val="24"/>
          <w:szCs w:val="24"/>
        </w:rPr>
        <w:t>is inapposite</w:t>
      </w:r>
      <w:r w:rsidR="009A19CD">
        <w:rPr>
          <w:rFonts w:ascii="Arial" w:hAnsi="Arial" w:cs="Arial"/>
          <w:sz w:val="24"/>
          <w:szCs w:val="24"/>
        </w:rPr>
        <w:t>. I</w:t>
      </w:r>
      <w:r w:rsidR="00904A7A">
        <w:rPr>
          <w:rFonts w:ascii="Arial" w:hAnsi="Arial" w:cs="Arial"/>
          <w:sz w:val="24"/>
          <w:szCs w:val="24"/>
        </w:rPr>
        <w:t xml:space="preserve">f any term were to be used at all, </w:t>
      </w:r>
      <w:r w:rsidR="009A19CD">
        <w:rPr>
          <w:rFonts w:ascii="Arial" w:hAnsi="Arial" w:cs="Arial"/>
          <w:sz w:val="24"/>
          <w:szCs w:val="24"/>
        </w:rPr>
        <w:t xml:space="preserve">it should </w:t>
      </w:r>
      <w:r w:rsidR="00904A7A">
        <w:rPr>
          <w:rFonts w:ascii="Arial" w:hAnsi="Arial" w:cs="Arial"/>
          <w:sz w:val="24"/>
          <w:szCs w:val="24"/>
        </w:rPr>
        <w:t>rather be</w:t>
      </w:r>
      <w:r>
        <w:rPr>
          <w:rFonts w:ascii="Arial" w:hAnsi="Arial" w:cs="Arial"/>
          <w:sz w:val="24"/>
          <w:szCs w:val="24"/>
        </w:rPr>
        <w:t xml:space="preserve"> the term ‘name’</w:t>
      </w:r>
      <w:r w:rsidR="0054155C">
        <w:rPr>
          <w:rFonts w:ascii="Arial" w:hAnsi="Arial" w:cs="Arial"/>
          <w:sz w:val="24"/>
          <w:szCs w:val="24"/>
        </w:rPr>
        <w:t>, as</w:t>
      </w:r>
      <w:r>
        <w:rPr>
          <w:rFonts w:ascii="Arial" w:hAnsi="Arial" w:cs="Arial"/>
          <w:sz w:val="24"/>
          <w:szCs w:val="24"/>
        </w:rPr>
        <w:t xml:space="preserve"> used in s 113(2) of the Act</w:t>
      </w:r>
      <w:r w:rsidR="0054155C">
        <w:rPr>
          <w:rFonts w:ascii="Arial" w:hAnsi="Arial" w:cs="Arial"/>
          <w:sz w:val="24"/>
          <w:szCs w:val="24"/>
        </w:rPr>
        <w:t>,</w:t>
      </w:r>
      <w:r>
        <w:rPr>
          <w:rFonts w:ascii="Arial" w:hAnsi="Arial" w:cs="Arial"/>
          <w:sz w:val="24"/>
          <w:szCs w:val="24"/>
        </w:rPr>
        <w:t xml:space="preserve"> in the event </w:t>
      </w:r>
      <w:r w:rsidR="009B7016">
        <w:rPr>
          <w:rFonts w:ascii="Arial" w:hAnsi="Arial" w:cs="Arial"/>
          <w:sz w:val="24"/>
          <w:szCs w:val="24"/>
        </w:rPr>
        <w:t xml:space="preserve">the </w:t>
      </w:r>
      <w:r w:rsidR="0054155C">
        <w:rPr>
          <w:rFonts w:ascii="Arial" w:hAnsi="Arial" w:cs="Arial"/>
          <w:sz w:val="24"/>
          <w:szCs w:val="24"/>
        </w:rPr>
        <w:t xml:space="preserve">children’s </w:t>
      </w:r>
      <w:r w:rsidR="009B7016">
        <w:rPr>
          <w:rFonts w:ascii="Arial" w:hAnsi="Arial" w:cs="Arial"/>
          <w:sz w:val="24"/>
          <w:szCs w:val="24"/>
        </w:rPr>
        <w:t>court</w:t>
      </w:r>
      <w:r w:rsidR="0049692A">
        <w:rPr>
          <w:rFonts w:ascii="Arial" w:hAnsi="Arial" w:cs="Arial"/>
          <w:sz w:val="24"/>
          <w:szCs w:val="24"/>
        </w:rPr>
        <w:t xml:space="preserve"> were to</w:t>
      </w:r>
      <w:r w:rsidR="009B7016">
        <w:rPr>
          <w:rFonts w:ascii="Arial" w:hAnsi="Arial" w:cs="Arial"/>
          <w:sz w:val="24"/>
          <w:szCs w:val="24"/>
        </w:rPr>
        <w:t xml:space="preserve"> decide that the deceased was sole guardian. The respondent would appear to place this</w:t>
      </w:r>
      <w:r w:rsidR="0054155C">
        <w:rPr>
          <w:rFonts w:ascii="Arial" w:hAnsi="Arial" w:cs="Arial"/>
          <w:sz w:val="24"/>
          <w:szCs w:val="24"/>
        </w:rPr>
        <w:t xml:space="preserve"> latter aspect</w:t>
      </w:r>
      <w:r w:rsidR="009B7016">
        <w:rPr>
          <w:rFonts w:ascii="Arial" w:hAnsi="Arial" w:cs="Arial"/>
          <w:sz w:val="24"/>
          <w:szCs w:val="24"/>
        </w:rPr>
        <w:t xml:space="preserve"> in issue</w:t>
      </w:r>
      <w:r w:rsidR="00D70731" w:rsidRPr="00D70731">
        <w:rPr>
          <w:rFonts w:ascii="Arial" w:hAnsi="Arial" w:cs="Arial"/>
          <w:sz w:val="24"/>
          <w:szCs w:val="24"/>
        </w:rPr>
        <w:t xml:space="preserve"> </w:t>
      </w:r>
      <w:r w:rsidR="00D70731">
        <w:rPr>
          <w:rFonts w:ascii="Arial" w:hAnsi="Arial" w:cs="Arial"/>
          <w:sz w:val="24"/>
          <w:szCs w:val="24"/>
        </w:rPr>
        <w:t xml:space="preserve">and </w:t>
      </w:r>
      <w:r w:rsidR="00297107">
        <w:rPr>
          <w:rFonts w:ascii="Arial" w:hAnsi="Arial" w:cs="Arial"/>
          <w:sz w:val="24"/>
          <w:szCs w:val="24"/>
        </w:rPr>
        <w:t xml:space="preserve">it would </w:t>
      </w:r>
      <w:r w:rsidR="00D70731">
        <w:rPr>
          <w:rFonts w:ascii="Arial" w:hAnsi="Arial" w:cs="Arial"/>
          <w:sz w:val="24"/>
          <w:szCs w:val="24"/>
        </w:rPr>
        <w:t xml:space="preserve">be a matter for the children’s court to determine. The term ‘award’ is also inapposite on the facts as the deceased </w:t>
      </w:r>
      <w:r w:rsidR="00D70731">
        <w:rPr>
          <w:rFonts w:ascii="Arial" w:hAnsi="Arial" w:cs="Arial"/>
          <w:sz w:val="24"/>
          <w:szCs w:val="24"/>
          <w:u w:val="single"/>
        </w:rPr>
        <w:t>nominated</w:t>
      </w:r>
      <w:r w:rsidR="00D70731">
        <w:rPr>
          <w:rFonts w:ascii="Arial" w:hAnsi="Arial" w:cs="Arial"/>
          <w:sz w:val="24"/>
          <w:szCs w:val="24"/>
        </w:rPr>
        <w:t xml:space="preserve"> the appellant as guardian in her will</w:t>
      </w:r>
      <w:r w:rsidR="009B7016">
        <w:rPr>
          <w:rFonts w:ascii="Arial" w:hAnsi="Arial" w:cs="Arial"/>
          <w:sz w:val="24"/>
          <w:szCs w:val="24"/>
        </w:rPr>
        <w:t>.</w:t>
      </w:r>
      <w:r w:rsidR="00266EBB" w:rsidRPr="00266EBB">
        <w:rPr>
          <w:rFonts w:ascii="Arial" w:hAnsi="Arial" w:cs="Arial"/>
          <w:sz w:val="24"/>
          <w:szCs w:val="24"/>
        </w:rPr>
        <w:t xml:space="preserve"> </w:t>
      </w:r>
      <w:r w:rsidR="00266EBB" w:rsidRPr="00D70731">
        <w:rPr>
          <w:rFonts w:ascii="Arial" w:hAnsi="Arial" w:cs="Arial"/>
          <w:sz w:val="24"/>
          <w:szCs w:val="24"/>
        </w:rPr>
        <w:t>This is also after all how the appellant approached the issue by applying to that court for guardianship on the strength of her nomination to that position by the deceased.</w:t>
      </w:r>
      <w:r w:rsidR="009B7016">
        <w:rPr>
          <w:rFonts w:ascii="Arial" w:hAnsi="Arial" w:cs="Arial"/>
          <w:sz w:val="24"/>
          <w:szCs w:val="24"/>
        </w:rPr>
        <w:t xml:space="preserve"> </w:t>
      </w:r>
    </w:p>
    <w:p w:rsidR="00266EBB" w:rsidRDefault="00266EBB" w:rsidP="00266EBB">
      <w:pPr>
        <w:pStyle w:val="ListParagraph"/>
        <w:rPr>
          <w:rFonts w:ascii="Arial" w:hAnsi="Arial" w:cs="Arial"/>
          <w:sz w:val="24"/>
          <w:szCs w:val="24"/>
        </w:rPr>
      </w:pPr>
    </w:p>
    <w:p w:rsidR="009B7016" w:rsidRPr="00266EBB" w:rsidRDefault="009A19CD" w:rsidP="00266EBB">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wa</w:t>
      </w:r>
      <w:r w:rsidR="00904A7A">
        <w:rPr>
          <w:rFonts w:ascii="Arial" w:hAnsi="Arial" w:cs="Arial"/>
          <w:sz w:val="24"/>
          <w:szCs w:val="24"/>
        </w:rPr>
        <w:t xml:space="preserve">s in my view unnecessary to make a declaratory order on this issue and the order </w:t>
      </w:r>
      <w:r w:rsidR="00266EBB">
        <w:rPr>
          <w:rFonts w:ascii="Arial" w:hAnsi="Arial" w:cs="Arial"/>
          <w:sz w:val="24"/>
          <w:szCs w:val="24"/>
        </w:rPr>
        <w:t xml:space="preserve">of the High Court </w:t>
      </w:r>
      <w:r w:rsidR="00904A7A">
        <w:rPr>
          <w:rFonts w:ascii="Arial" w:hAnsi="Arial" w:cs="Arial"/>
          <w:sz w:val="24"/>
          <w:szCs w:val="24"/>
        </w:rPr>
        <w:t>should best be confined to the issue of jurisdiction and the consequence of the lack of it.</w:t>
      </w:r>
      <w:r w:rsidR="00D70731">
        <w:rPr>
          <w:rFonts w:ascii="Arial" w:hAnsi="Arial" w:cs="Arial"/>
          <w:sz w:val="24"/>
          <w:szCs w:val="24"/>
        </w:rPr>
        <w:t xml:space="preserve"> It is not necessary for present purposes to express a view on the interpretation to be given to s 113(2) of the Act. This issue was not ventilated in argument before us</w:t>
      </w:r>
      <w:r w:rsidR="00D95E08" w:rsidRPr="00266EBB">
        <w:rPr>
          <w:rFonts w:ascii="Arial" w:hAnsi="Arial" w:cs="Arial"/>
          <w:sz w:val="24"/>
          <w:szCs w:val="24"/>
        </w:rPr>
        <w:t xml:space="preserve">. </w:t>
      </w:r>
    </w:p>
    <w:p w:rsidR="009337EB" w:rsidRDefault="009337EB" w:rsidP="009337EB">
      <w:pPr>
        <w:pStyle w:val="ListParagraph"/>
        <w:rPr>
          <w:rFonts w:ascii="Arial" w:hAnsi="Arial" w:cs="Arial"/>
          <w:sz w:val="24"/>
          <w:szCs w:val="24"/>
        </w:rPr>
      </w:pPr>
    </w:p>
    <w:p w:rsidR="009337EB" w:rsidRDefault="009337EB"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It follows that the </w:t>
      </w:r>
      <w:r w:rsidR="000C28BD">
        <w:rPr>
          <w:rFonts w:ascii="Arial" w:hAnsi="Arial" w:cs="Arial"/>
          <w:sz w:val="24"/>
          <w:szCs w:val="24"/>
        </w:rPr>
        <w:t xml:space="preserve">wording of the </w:t>
      </w:r>
      <w:r>
        <w:rPr>
          <w:rFonts w:ascii="Arial" w:hAnsi="Arial" w:cs="Arial"/>
          <w:sz w:val="24"/>
          <w:szCs w:val="24"/>
        </w:rPr>
        <w:t xml:space="preserve">declaratory order issued by the High Court referring to determining the propriety of </w:t>
      </w:r>
      <w:r>
        <w:rPr>
          <w:rFonts w:ascii="Arial" w:hAnsi="Arial" w:cs="Arial"/>
          <w:sz w:val="24"/>
          <w:szCs w:val="24"/>
          <w:u w:val="single"/>
        </w:rPr>
        <w:t>awarding</w:t>
      </w:r>
      <w:r>
        <w:rPr>
          <w:rFonts w:ascii="Arial" w:hAnsi="Arial" w:cs="Arial"/>
          <w:sz w:val="24"/>
          <w:szCs w:val="24"/>
        </w:rPr>
        <w:t xml:space="preserve"> guardianship is incorrect and is to be set aside, both by virtue of the interpretation of s 113 in the context of the Act and on the facts where the deceased chose to nominate the appellant in her will.</w:t>
      </w:r>
      <w:r w:rsidR="00336139" w:rsidRPr="00336139">
        <w:rPr>
          <w:rFonts w:ascii="Arial" w:hAnsi="Arial" w:cs="Arial"/>
          <w:sz w:val="24"/>
          <w:szCs w:val="24"/>
        </w:rPr>
        <w:t xml:space="preserve"> </w:t>
      </w:r>
      <w:r w:rsidR="00336139">
        <w:rPr>
          <w:rFonts w:ascii="Arial" w:hAnsi="Arial" w:cs="Arial"/>
          <w:sz w:val="24"/>
          <w:szCs w:val="24"/>
        </w:rPr>
        <w:t xml:space="preserve">The subsequent order given on 17 October 2019 </w:t>
      </w:r>
      <w:r w:rsidR="000C28BD">
        <w:rPr>
          <w:rFonts w:ascii="Arial" w:hAnsi="Arial" w:cs="Arial"/>
          <w:sz w:val="24"/>
          <w:szCs w:val="24"/>
        </w:rPr>
        <w:t xml:space="preserve">was </w:t>
      </w:r>
      <w:r w:rsidR="00336139">
        <w:rPr>
          <w:rFonts w:ascii="Arial" w:hAnsi="Arial" w:cs="Arial"/>
          <w:sz w:val="24"/>
          <w:szCs w:val="24"/>
        </w:rPr>
        <w:t xml:space="preserve">confined to declining jurisdiction </w:t>
      </w:r>
      <w:r w:rsidR="000C28BD">
        <w:rPr>
          <w:rFonts w:ascii="Arial" w:hAnsi="Arial" w:cs="Arial"/>
          <w:sz w:val="24"/>
          <w:szCs w:val="24"/>
        </w:rPr>
        <w:t xml:space="preserve">and </w:t>
      </w:r>
      <w:r w:rsidR="00336139">
        <w:rPr>
          <w:rFonts w:ascii="Arial" w:hAnsi="Arial" w:cs="Arial"/>
          <w:sz w:val="24"/>
          <w:szCs w:val="24"/>
        </w:rPr>
        <w:t>is what was required and is confirmed in the refined term</w:t>
      </w:r>
      <w:r w:rsidR="000C28BD">
        <w:rPr>
          <w:rFonts w:ascii="Arial" w:hAnsi="Arial" w:cs="Arial"/>
          <w:sz w:val="24"/>
          <w:szCs w:val="24"/>
        </w:rPr>
        <w:t>s</w:t>
      </w:r>
      <w:r w:rsidR="00336139">
        <w:rPr>
          <w:rFonts w:ascii="Arial" w:hAnsi="Arial" w:cs="Arial"/>
          <w:sz w:val="24"/>
          <w:szCs w:val="24"/>
        </w:rPr>
        <w:t xml:space="preserve"> set out below.</w:t>
      </w:r>
    </w:p>
    <w:p w:rsidR="00FB1D57" w:rsidRDefault="00FB1D57" w:rsidP="00FB1D57">
      <w:pPr>
        <w:pStyle w:val="ListParagraph"/>
        <w:rPr>
          <w:rFonts w:ascii="Arial" w:hAnsi="Arial" w:cs="Arial"/>
          <w:sz w:val="24"/>
          <w:szCs w:val="24"/>
        </w:rPr>
      </w:pPr>
    </w:p>
    <w:p w:rsidR="00FB1D57" w:rsidRDefault="00E3343C"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During </w:t>
      </w:r>
      <w:r w:rsidR="00FB1D57">
        <w:rPr>
          <w:rFonts w:ascii="Arial" w:hAnsi="Arial" w:cs="Arial"/>
          <w:sz w:val="24"/>
          <w:szCs w:val="24"/>
        </w:rPr>
        <w:t>oral argument</w:t>
      </w:r>
      <w:r>
        <w:rPr>
          <w:rFonts w:ascii="Arial" w:hAnsi="Arial" w:cs="Arial"/>
          <w:sz w:val="24"/>
          <w:szCs w:val="24"/>
        </w:rPr>
        <w:t xml:space="preserve"> in this court</w:t>
      </w:r>
      <w:r w:rsidR="00FB1D57">
        <w:rPr>
          <w:rFonts w:ascii="Arial" w:hAnsi="Arial" w:cs="Arial"/>
          <w:sz w:val="24"/>
          <w:szCs w:val="24"/>
        </w:rPr>
        <w:t>, it emerged that the respondent ha</w:t>
      </w:r>
      <w:r w:rsidR="00475018">
        <w:rPr>
          <w:rFonts w:ascii="Arial" w:hAnsi="Arial" w:cs="Arial"/>
          <w:sz w:val="24"/>
          <w:szCs w:val="24"/>
        </w:rPr>
        <w:t>d</w:t>
      </w:r>
      <w:r w:rsidR="00FB1D57">
        <w:rPr>
          <w:rFonts w:ascii="Arial" w:hAnsi="Arial" w:cs="Arial"/>
          <w:sz w:val="24"/>
          <w:szCs w:val="24"/>
        </w:rPr>
        <w:t xml:space="preserve"> himself brought an application to the High Court</w:t>
      </w:r>
      <w:r>
        <w:rPr>
          <w:rFonts w:ascii="Arial" w:hAnsi="Arial" w:cs="Arial"/>
          <w:sz w:val="24"/>
          <w:szCs w:val="24"/>
        </w:rPr>
        <w:t xml:space="preserve"> (subsequent to </w:t>
      </w:r>
      <w:r w:rsidR="009337EB">
        <w:rPr>
          <w:rFonts w:ascii="Arial" w:hAnsi="Arial" w:cs="Arial"/>
          <w:sz w:val="24"/>
          <w:szCs w:val="24"/>
        </w:rPr>
        <w:t>the application on</w:t>
      </w:r>
      <w:r>
        <w:rPr>
          <w:rFonts w:ascii="Arial" w:hAnsi="Arial" w:cs="Arial"/>
          <w:sz w:val="24"/>
          <w:szCs w:val="24"/>
        </w:rPr>
        <w:t xml:space="preserve"> appeal)</w:t>
      </w:r>
      <w:r w:rsidR="00FB1D57">
        <w:rPr>
          <w:rFonts w:ascii="Arial" w:hAnsi="Arial" w:cs="Arial"/>
          <w:sz w:val="24"/>
          <w:szCs w:val="24"/>
        </w:rPr>
        <w:t>, seeking to be appointed as G’s sole guardian and</w:t>
      </w:r>
      <w:r>
        <w:rPr>
          <w:rFonts w:ascii="Arial" w:hAnsi="Arial" w:cs="Arial"/>
          <w:sz w:val="24"/>
          <w:szCs w:val="24"/>
        </w:rPr>
        <w:t xml:space="preserve"> for custody and </w:t>
      </w:r>
      <w:r w:rsidR="00FB1D57">
        <w:rPr>
          <w:rFonts w:ascii="Arial" w:hAnsi="Arial" w:cs="Arial"/>
          <w:sz w:val="24"/>
          <w:szCs w:val="24"/>
        </w:rPr>
        <w:t xml:space="preserve">to relocate her. </w:t>
      </w:r>
      <w:r w:rsidR="00FB1D57">
        <w:rPr>
          <w:rFonts w:ascii="Arial" w:hAnsi="Arial" w:cs="Arial"/>
          <w:sz w:val="24"/>
          <w:szCs w:val="24"/>
        </w:rPr>
        <w:lastRenderedPageBreak/>
        <w:t xml:space="preserve">This despite the stance taken </w:t>
      </w:r>
      <w:r w:rsidR="009337EB">
        <w:rPr>
          <w:rFonts w:ascii="Arial" w:hAnsi="Arial" w:cs="Arial"/>
          <w:sz w:val="24"/>
          <w:szCs w:val="24"/>
        </w:rPr>
        <w:t xml:space="preserve">by the respondent </w:t>
      </w:r>
      <w:r w:rsidR="00FB1D57">
        <w:rPr>
          <w:rFonts w:ascii="Arial" w:hAnsi="Arial" w:cs="Arial"/>
          <w:sz w:val="24"/>
          <w:szCs w:val="24"/>
        </w:rPr>
        <w:t>in the proceedings on appeal</w:t>
      </w:r>
      <w:r>
        <w:rPr>
          <w:rFonts w:ascii="Arial" w:hAnsi="Arial" w:cs="Arial"/>
          <w:sz w:val="24"/>
          <w:szCs w:val="24"/>
        </w:rPr>
        <w:t xml:space="preserve"> (that the High Court d</w:t>
      </w:r>
      <w:r w:rsidR="00475018">
        <w:rPr>
          <w:rFonts w:ascii="Arial" w:hAnsi="Arial" w:cs="Arial"/>
          <w:sz w:val="24"/>
          <w:szCs w:val="24"/>
        </w:rPr>
        <w:t>id</w:t>
      </w:r>
      <w:r>
        <w:rPr>
          <w:rFonts w:ascii="Arial" w:hAnsi="Arial" w:cs="Arial"/>
          <w:sz w:val="24"/>
          <w:szCs w:val="24"/>
        </w:rPr>
        <w:t xml:space="preserve"> not have jurisdiction to determine applications </w:t>
      </w:r>
      <w:r w:rsidR="009337EB">
        <w:rPr>
          <w:rFonts w:ascii="Arial" w:hAnsi="Arial" w:cs="Arial"/>
          <w:sz w:val="24"/>
          <w:szCs w:val="24"/>
        </w:rPr>
        <w:t xml:space="preserve">for guardianship </w:t>
      </w:r>
      <w:r>
        <w:rPr>
          <w:rFonts w:ascii="Arial" w:hAnsi="Arial" w:cs="Arial"/>
          <w:sz w:val="24"/>
          <w:szCs w:val="24"/>
        </w:rPr>
        <w:t>as a court of first instance)</w:t>
      </w:r>
      <w:r w:rsidR="00FB1D57">
        <w:rPr>
          <w:rFonts w:ascii="Arial" w:hAnsi="Arial" w:cs="Arial"/>
          <w:sz w:val="24"/>
          <w:szCs w:val="24"/>
        </w:rPr>
        <w:t xml:space="preserve">. </w:t>
      </w:r>
      <w:r w:rsidR="009337EB">
        <w:rPr>
          <w:rFonts w:ascii="Arial" w:hAnsi="Arial" w:cs="Arial"/>
          <w:sz w:val="24"/>
          <w:szCs w:val="24"/>
        </w:rPr>
        <w:t>C</w:t>
      </w:r>
      <w:r>
        <w:rPr>
          <w:rFonts w:ascii="Arial" w:hAnsi="Arial" w:cs="Arial"/>
          <w:sz w:val="24"/>
          <w:szCs w:val="24"/>
        </w:rPr>
        <w:t xml:space="preserve">ounsel </w:t>
      </w:r>
      <w:r w:rsidR="000C28BD">
        <w:rPr>
          <w:rFonts w:ascii="Arial" w:hAnsi="Arial" w:cs="Arial"/>
          <w:sz w:val="24"/>
          <w:szCs w:val="24"/>
        </w:rPr>
        <w:t xml:space="preserve">for the respondent </w:t>
      </w:r>
      <w:r>
        <w:rPr>
          <w:rFonts w:ascii="Arial" w:hAnsi="Arial" w:cs="Arial"/>
          <w:sz w:val="24"/>
          <w:szCs w:val="24"/>
        </w:rPr>
        <w:t xml:space="preserve">sought to explain </w:t>
      </w:r>
      <w:r w:rsidR="009337EB">
        <w:rPr>
          <w:rFonts w:ascii="Arial" w:hAnsi="Arial" w:cs="Arial"/>
          <w:sz w:val="24"/>
          <w:szCs w:val="24"/>
        </w:rPr>
        <w:t xml:space="preserve">the </w:t>
      </w:r>
      <w:r>
        <w:rPr>
          <w:rFonts w:ascii="Arial" w:hAnsi="Arial" w:cs="Arial"/>
          <w:sz w:val="24"/>
          <w:szCs w:val="24"/>
        </w:rPr>
        <w:t xml:space="preserve">apparent contradiction on the basis </w:t>
      </w:r>
      <w:r w:rsidR="009337EB">
        <w:rPr>
          <w:rFonts w:ascii="Arial" w:hAnsi="Arial" w:cs="Arial"/>
          <w:sz w:val="24"/>
          <w:szCs w:val="24"/>
        </w:rPr>
        <w:t>that</w:t>
      </w:r>
      <w:r>
        <w:rPr>
          <w:rFonts w:ascii="Arial" w:hAnsi="Arial" w:cs="Arial"/>
          <w:sz w:val="24"/>
          <w:szCs w:val="24"/>
        </w:rPr>
        <w:t xml:space="preserve"> relocation to another country was </w:t>
      </w:r>
      <w:r w:rsidR="009337EB">
        <w:rPr>
          <w:rFonts w:ascii="Arial" w:hAnsi="Arial" w:cs="Arial"/>
          <w:sz w:val="24"/>
          <w:szCs w:val="24"/>
        </w:rPr>
        <w:t xml:space="preserve">also </w:t>
      </w:r>
      <w:r>
        <w:rPr>
          <w:rFonts w:ascii="Arial" w:hAnsi="Arial" w:cs="Arial"/>
          <w:sz w:val="24"/>
          <w:szCs w:val="24"/>
        </w:rPr>
        <w:t>being sought which he said was not covered by the Act</w:t>
      </w:r>
      <w:r w:rsidR="00FB1D57">
        <w:rPr>
          <w:rFonts w:ascii="Arial" w:hAnsi="Arial" w:cs="Arial"/>
          <w:sz w:val="24"/>
          <w:szCs w:val="24"/>
        </w:rPr>
        <w:t xml:space="preserve">. </w:t>
      </w:r>
      <w:r w:rsidR="009337EB">
        <w:rPr>
          <w:rFonts w:ascii="Arial" w:hAnsi="Arial" w:cs="Arial"/>
          <w:sz w:val="24"/>
          <w:szCs w:val="24"/>
        </w:rPr>
        <w:t>Those proceedings are not before us. The respondent’s legal practitioner sought to supplement counsel’s answer in correspondence directed to the court</w:t>
      </w:r>
      <w:r w:rsidR="000C28BD">
        <w:rPr>
          <w:rFonts w:ascii="Arial" w:hAnsi="Arial" w:cs="Arial"/>
          <w:sz w:val="24"/>
          <w:szCs w:val="24"/>
        </w:rPr>
        <w:t xml:space="preserve"> subsequent to the hearing</w:t>
      </w:r>
      <w:r w:rsidR="009337EB">
        <w:rPr>
          <w:rFonts w:ascii="Arial" w:hAnsi="Arial" w:cs="Arial"/>
          <w:sz w:val="24"/>
          <w:szCs w:val="24"/>
        </w:rPr>
        <w:t xml:space="preserve">. This was done without the leave of the court </w:t>
      </w:r>
      <w:r w:rsidR="000C28BD">
        <w:rPr>
          <w:rFonts w:ascii="Arial" w:hAnsi="Arial" w:cs="Arial"/>
          <w:sz w:val="24"/>
          <w:szCs w:val="24"/>
        </w:rPr>
        <w:t>and without the</w:t>
      </w:r>
      <w:r w:rsidR="00A2472C">
        <w:rPr>
          <w:rFonts w:ascii="Arial" w:hAnsi="Arial" w:cs="Arial"/>
          <w:sz w:val="24"/>
          <w:szCs w:val="24"/>
        </w:rPr>
        <w:t xml:space="preserve"> consent of the appellant’s practitioners and is improper as no subsequent development justified such correspondence. Had counsel not considered that his state of knowledge of those proceedings was sufficient, it was open to him to apply to the court to place further material before it. This was not done. He instead took instructions and answered the question posed by the court to him. It was accordingly improper for a protagonist to address correspondence unilaterally on the issue to the court </w:t>
      </w:r>
      <w:r w:rsidR="000C28BD">
        <w:rPr>
          <w:rFonts w:ascii="Arial" w:hAnsi="Arial" w:cs="Arial"/>
          <w:sz w:val="24"/>
          <w:szCs w:val="24"/>
        </w:rPr>
        <w:t>afterwards. That correspondence is</w:t>
      </w:r>
      <w:r w:rsidR="00A2472C">
        <w:rPr>
          <w:rFonts w:ascii="Arial" w:hAnsi="Arial" w:cs="Arial"/>
          <w:sz w:val="24"/>
          <w:szCs w:val="24"/>
        </w:rPr>
        <w:t xml:space="preserve"> disregarded. </w:t>
      </w:r>
      <w:r w:rsidR="00FB1D57">
        <w:rPr>
          <w:rFonts w:ascii="Arial" w:hAnsi="Arial" w:cs="Arial"/>
          <w:sz w:val="24"/>
          <w:szCs w:val="24"/>
        </w:rPr>
        <w:t>What is however a cause for concern</w:t>
      </w:r>
      <w:r>
        <w:rPr>
          <w:rFonts w:ascii="Arial" w:hAnsi="Arial" w:cs="Arial"/>
          <w:sz w:val="24"/>
          <w:szCs w:val="24"/>
        </w:rPr>
        <w:t xml:space="preserve"> i</w:t>
      </w:r>
      <w:r w:rsidR="009337EB">
        <w:rPr>
          <w:rFonts w:ascii="Arial" w:hAnsi="Arial" w:cs="Arial"/>
          <w:sz w:val="24"/>
          <w:szCs w:val="24"/>
        </w:rPr>
        <w:t>s</w:t>
      </w:r>
      <w:r>
        <w:rPr>
          <w:rFonts w:ascii="Arial" w:hAnsi="Arial" w:cs="Arial"/>
          <w:sz w:val="24"/>
          <w:szCs w:val="24"/>
        </w:rPr>
        <w:t xml:space="preserve"> the</w:t>
      </w:r>
      <w:r w:rsidR="00FB1D57">
        <w:rPr>
          <w:rFonts w:ascii="Arial" w:hAnsi="Arial" w:cs="Arial"/>
          <w:sz w:val="24"/>
          <w:szCs w:val="24"/>
        </w:rPr>
        <w:t xml:space="preserve"> manner in which </w:t>
      </w:r>
      <w:r w:rsidR="009337EB">
        <w:rPr>
          <w:rFonts w:ascii="Arial" w:hAnsi="Arial" w:cs="Arial"/>
          <w:sz w:val="24"/>
          <w:szCs w:val="24"/>
        </w:rPr>
        <w:t>disputatio</w:t>
      </w:r>
      <w:r w:rsidR="000C28BD">
        <w:rPr>
          <w:rFonts w:ascii="Arial" w:hAnsi="Arial" w:cs="Arial"/>
          <w:sz w:val="24"/>
          <w:szCs w:val="24"/>
        </w:rPr>
        <w:t>u</w:t>
      </w:r>
      <w:r w:rsidR="009337EB">
        <w:rPr>
          <w:rFonts w:ascii="Arial" w:hAnsi="Arial" w:cs="Arial"/>
          <w:sz w:val="24"/>
          <w:szCs w:val="24"/>
        </w:rPr>
        <w:t xml:space="preserve">s </w:t>
      </w:r>
      <w:r w:rsidR="00FB1D57">
        <w:rPr>
          <w:rFonts w:ascii="Arial" w:hAnsi="Arial" w:cs="Arial"/>
          <w:sz w:val="24"/>
          <w:szCs w:val="24"/>
        </w:rPr>
        <w:t xml:space="preserve">proceedings have proliferated </w:t>
      </w:r>
      <w:r>
        <w:rPr>
          <w:rFonts w:ascii="Arial" w:hAnsi="Arial" w:cs="Arial"/>
          <w:sz w:val="24"/>
          <w:szCs w:val="24"/>
        </w:rPr>
        <w:t>concerning</w:t>
      </w:r>
      <w:r w:rsidR="00FB1D57">
        <w:rPr>
          <w:rFonts w:ascii="Arial" w:hAnsi="Arial" w:cs="Arial"/>
          <w:sz w:val="24"/>
          <w:szCs w:val="24"/>
        </w:rPr>
        <w:t xml:space="preserve"> the issue of the guardianship of this minor child.</w:t>
      </w:r>
      <w:r>
        <w:rPr>
          <w:rFonts w:ascii="Arial" w:hAnsi="Arial" w:cs="Arial"/>
          <w:sz w:val="24"/>
          <w:szCs w:val="24"/>
        </w:rPr>
        <w:t xml:space="preserve"> The parties </w:t>
      </w:r>
      <w:r w:rsidR="009337EB">
        <w:rPr>
          <w:rFonts w:ascii="Arial" w:hAnsi="Arial" w:cs="Arial"/>
          <w:sz w:val="24"/>
          <w:szCs w:val="24"/>
        </w:rPr>
        <w:t>would do well</w:t>
      </w:r>
      <w:r>
        <w:rPr>
          <w:rFonts w:ascii="Arial" w:hAnsi="Arial" w:cs="Arial"/>
          <w:sz w:val="24"/>
          <w:szCs w:val="24"/>
        </w:rPr>
        <w:t xml:space="preserve"> to heed to the principle underpinning the Act, being the best interests of the child</w:t>
      </w:r>
      <w:r w:rsidR="00A2472C">
        <w:rPr>
          <w:rFonts w:ascii="Arial" w:hAnsi="Arial" w:cs="Arial"/>
          <w:sz w:val="24"/>
          <w:szCs w:val="24"/>
        </w:rPr>
        <w:t>,</w:t>
      </w:r>
      <w:r>
        <w:rPr>
          <w:rFonts w:ascii="Arial" w:hAnsi="Arial" w:cs="Arial"/>
          <w:sz w:val="24"/>
          <w:szCs w:val="24"/>
        </w:rPr>
        <w:t xml:space="preserve"> in the conduct of their litigation</w:t>
      </w:r>
      <w:r w:rsidR="009337EB">
        <w:rPr>
          <w:rFonts w:ascii="Arial" w:hAnsi="Arial" w:cs="Arial"/>
          <w:sz w:val="24"/>
          <w:szCs w:val="24"/>
        </w:rPr>
        <w:t>.</w:t>
      </w:r>
    </w:p>
    <w:p w:rsidR="009B7016" w:rsidRDefault="009B7016" w:rsidP="009B7016">
      <w:pPr>
        <w:pStyle w:val="NoSpacing"/>
        <w:spacing w:line="480" w:lineRule="auto"/>
        <w:jc w:val="both"/>
        <w:rPr>
          <w:rFonts w:ascii="Arial" w:hAnsi="Arial" w:cs="Arial"/>
          <w:sz w:val="24"/>
          <w:szCs w:val="24"/>
        </w:rPr>
      </w:pPr>
    </w:p>
    <w:p w:rsidR="00C33B66" w:rsidRPr="00C33B66" w:rsidRDefault="00C33B66" w:rsidP="009B7016">
      <w:pPr>
        <w:pStyle w:val="NoSpacing"/>
        <w:spacing w:line="480" w:lineRule="auto"/>
        <w:jc w:val="both"/>
        <w:rPr>
          <w:rFonts w:ascii="Arial" w:hAnsi="Arial" w:cs="Arial"/>
          <w:sz w:val="24"/>
          <w:szCs w:val="24"/>
          <w:u w:val="single"/>
        </w:rPr>
      </w:pPr>
      <w:r>
        <w:rPr>
          <w:rFonts w:ascii="Arial" w:hAnsi="Arial" w:cs="Arial"/>
          <w:sz w:val="24"/>
          <w:szCs w:val="24"/>
          <w:u w:val="single"/>
        </w:rPr>
        <w:t>Costs</w:t>
      </w:r>
    </w:p>
    <w:p w:rsidR="00A2472C" w:rsidRPr="00336139" w:rsidRDefault="009B7016" w:rsidP="0033613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 </w:t>
      </w:r>
      <w:r w:rsidR="00E3343C">
        <w:rPr>
          <w:rFonts w:ascii="Arial" w:hAnsi="Arial" w:cs="Arial"/>
          <w:sz w:val="24"/>
          <w:szCs w:val="24"/>
        </w:rPr>
        <w:t xml:space="preserve">Appellant’s counsel argued that the respondent should pay the costs of appeal because of his contention that the withdrawal of the challenge to the validity of the will </w:t>
      </w:r>
      <w:r w:rsidR="009337EB">
        <w:rPr>
          <w:rFonts w:ascii="Arial" w:hAnsi="Arial" w:cs="Arial"/>
          <w:sz w:val="24"/>
          <w:szCs w:val="24"/>
        </w:rPr>
        <w:t>did not amount to</w:t>
      </w:r>
      <w:r w:rsidR="00E3343C">
        <w:rPr>
          <w:rFonts w:ascii="Arial" w:hAnsi="Arial" w:cs="Arial"/>
          <w:sz w:val="24"/>
          <w:szCs w:val="24"/>
        </w:rPr>
        <w:t xml:space="preserve"> an unequivocal abandonment or </w:t>
      </w:r>
      <w:r w:rsidR="009337EB">
        <w:rPr>
          <w:rFonts w:ascii="Arial" w:hAnsi="Arial" w:cs="Arial"/>
          <w:sz w:val="24"/>
          <w:szCs w:val="24"/>
        </w:rPr>
        <w:t xml:space="preserve">alternatively </w:t>
      </w:r>
      <w:r w:rsidR="00E3343C">
        <w:rPr>
          <w:rFonts w:ascii="Arial" w:hAnsi="Arial" w:cs="Arial"/>
          <w:sz w:val="24"/>
          <w:szCs w:val="24"/>
        </w:rPr>
        <w:t>that there should be no order as to costs. That approach has been shown to be unsound and will have no impact upon the cost order</w:t>
      </w:r>
      <w:r w:rsidR="009337EB">
        <w:rPr>
          <w:rFonts w:ascii="Arial" w:hAnsi="Arial" w:cs="Arial"/>
          <w:sz w:val="24"/>
          <w:szCs w:val="24"/>
        </w:rPr>
        <w:t xml:space="preserve"> </w:t>
      </w:r>
      <w:r w:rsidR="000C28BD">
        <w:rPr>
          <w:rFonts w:ascii="Arial" w:hAnsi="Arial" w:cs="Arial"/>
          <w:sz w:val="24"/>
          <w:szCs w:val="24"/>
        </w:rPr>
        <w:t>of</w:t>
      </w:r>
      <w:r w:rsidR="009337EB">
        <w:rPr>
          <w:rFonts w:ascii="Arial" w:hAnsi="Arial" w:cs="Arial"/>
          <w:sz w:val="24"/>
          <w:szCs w:val="24"/>
        </w:rPr>
        <w:t xml:space="preserve"> this court</w:t>
      </w:r>
      <w:r w:rsidR="00E3343C">
        <w:rPr>
          <w:rFonts w:ascii="Arial" w:hAnsi="Arial" w:cs="Arial"/>
          <w:sz w:val="24"/>
          <w:szCs w:val="24"/>
        </w:rPr>
        <w:t xml:space="preserve">. </w:t>
      </w:r>
    </w:p>
    <w:p w:rsidR="009337EB" w:rsidRDefault="009337EB" w:rsidP="009337EB">
      <w:pPr>
        <w:pStyle w:val="NoSpacing"/>
        <w:spacing w:line="480" w:lineRule="auto"/>
        <w:jc w:val="both"/>
        <w:rPr>
          <w:rFonts w:ascii="Arial" w:hAnsi="Arial" w:cs="Arial"/>
          <w:sz w:val="24"/>
          <w:szCs w:val="24"/>
        </w:rPr>
      </w:pPr>
    </w:p>
    <w:p w:rsidR="005370C1" w:rsidRDefault="00E3343C"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lack of prospects of success </w:t>
      </w:r>
      <w:r w:rsidR="009337EB">
        <w:rPr>
          <w:rFonts w:ascii="Arial" w:hAnsi="Arial" w:cs="Arial"/>
          <w:sz w:val="24"/>
          <w:szCs w:val="24"/>
        </w:rPr>
        <w:t>o</w:t>
      </w:r>
      <w:r>
        <w:rPr>
          <w:rFonts w:ascii="Arial" w:hAnsi="Arial" w:cs="Arial"/>
          <w:sz w:val="24"/>
          <w:szCs w:val="24"/>
        </w:rPr>
        <w:t xml:space="preserve">n appeal has meant that the condonation application must fail and the appeal should be struck. </w:t>
      </w:r>
      <w:r w:rsidR="005370C1" w:rsidRPr="009B7016">
        <w:rPr>
          <w:rFonts w:ascii="Arial" w:hAnsi="Arial" w:cs="Arial"/>
          <w:sz w:val="24"/>
          <w:szCs w:val="24"/>
        </w:rPr>
        <w:t>The</w:t>
      </w:r>
      <w:r w:rsidR="005370C1">
        <w:rPr>
          <w:rFonts w:ascii="Arial" w:hAnsi="Arial" w:cs="Arial"/>
          <w:sz w:val="24"/>
          <w:szCs w:val="24"/>
        </w:rPr>
        <w:t xml:space="preserve"> respondent is entitled to his costs occasioned by the dismissal</w:t>
      </w:r>
      <w:r w:rsidR="008B1753">
        <w:rPr>
          <w:rFonts w:ascii="Arial" w:hAnsi="Arial" w:cs="Arial"/>
          <w:sz w:val="24"/>
          <w:szCs w:val="24"/>
        </w:rPr>
        <w:t xml:space="preserve"> of the condonation application</w:t>
      </w:r>
      <w:r w:rsidR="007E3B08">
        <w:rPr>
          <w:rFonts w:ascii="Arial" w:hAnsi="Arial" w:cs="Arial"/>
          <w:sz w:val="24"/>
          <w:szCs w:val="24"/>
        </w:rPr>
        <w:t xml:space="preserve"> and the striking of </w:t>
      </w:r>
      <w:r w:rsidR="00BE73CA">
        <w:rPr>
          <w:rFonts w:ascii="Arial" w:hAnsi="Arial" w:cs="Arial"/>
          <w:sz w:val="24"/>
          <w:szCs w:val="24"/>
        </w:rPr>
        <w:t xml:space="preserve">the </w:t>
      </w:r>
      <w:r w:rsidR="007E3B08">
        <w:rPr>
          <w:rFonts w:ascii="Arial" w:hAnsi="Arial" w:cs="Arial"/>
          <w:sz w:val="24"/>
          <w:szCs w:val="24"/>
        </w:rPr>
        <w:t>appeal</w:t>
      </w:r>
      <w:r w:rsidR="009B7016">
        <w:rPr>
          <w:rFonts w:ascii="Arial" w:hAnsi="Arial" w:cs="Arial"/>
          <w:sz w:val="24"/>
          <w:szCs w:val="24"/>
        </w:rPr>
        <w:t>. B</w:t>
      </w:r>
      <w:r w:rsidR="008B1753">
        <w:rPr>
          <w:rFonts w:ascii="Arial" w:hAnsi="Arial" w:cs="Arial"/>
          <w:sz w:val="24"/>
          <w:szCs w:val="24"/>
        </w:rPr>
        <w:t xml:space="preserve">oth sides have engaged the services of two instructed counsel </w:t>
      </w:r>
      <w:r w:rsidR="009337EB">
        <w:rPr>
          <w:rFonts w:ascii="Arial" w:hAnsi="Arial" w:cs="Arial"/>
          <w:sz w:val="24"/>
          <w:szCs w:val="24"/>
        </w:rPr>
        <w:t xml:space="preserve">on appeal </w:t>
      </w:r>
      <w:r w:rsidR="008B1753">
        <w:rPr>
          <w:rFonts w:ascii="Arial" w:hAnsi="Arial" w:cs="Arial"/>
          <w:sz w:val="24"/>
          <w:szCs w:val="24"/>
        </w:rPr>
        <w:t>and a costs order should also reflect that.</w:t>
      </w:r>
      <w:r w:rsidR="007E3B08">
        <w:rPr>
          <w:rFonts w:ascii="Arial" w:hAnsi="Arial" w:cs="Arial"/>
          <w:sz w:val="24"/>
          <w:szCs w:val="24"/>
        </w:rPr>
        <w:t xml:space="preserve"> </w:t>
      </w:r>
      <w:r w:rsidR="00FB1D57">
        <w:rPr>
          <w:rFonts w:ascii="Arial" w:hAnsi="Arial" w:cs="Arial"/>
          <w:sz w:val="24"/>
          <w:szCs w:val="24"/>
        </w:rPr>
        <w:t>T</w:t>
      </w:r>
      <w:r w:rsidR="009337EB">
        <w:rPr>
          <w:rFonts w:ascii="Arial" w:hAnsi="Arial" w:cs="Arial"/>
          <w:sz w:val="24"/>
          <w:szCs w:val="24"/>
        </w:rPr>
        <w:t>here is no cross appeal against t</w:t>
      </w:r>
      <w:r w:rsidR="00FB1D57">
        <w:rPr>
          <w:rFonts w:ascii="Arial" w:hAnsi="Arial" w:cs="Arial"/>
          <w:sz w:val="24"/>
          <w:szCs w:val="24"/>
        </w:rPr>
        <w:t>he</w:t>
      </w:r>
      <w:r w:rsidR="007E3B08">
        <w:rPr>
          <w:rFonts w:ascii="Arial" w:hAnsi="Arial" w:cs="Arial"/>
          <w:sz w:val="24"/>
          <w:szCs w:val="24"/>
        </w:rPr>
        <w:t xml:space="preserve"> costs order of the High Court</w:t>
      </w:r>
      <w:r w:rsidR="009337EB">
        <w:rPr>
          <w:rFonts w:ascii="Arial" w:hAnsi="Arial" w:cs="Arial"/>
          <w:sz w:val="24"/>
          <w:szCs w:val="24"/>
        </w:rPr>
        <w:t>. This i</w:t>
      </w:r>
      <w:r w:rsidR="007E3B08">
        <w:rPr>
          <w:rFonts w:ascii="Arial" w:hAnsi="Arial" w:cs="Arial"/>
          <w:sz w:val="24"/>
          <w:szCs w:val="24"/>
        </w:rPr>
        <w:t>s understandabl</w:t>
      </w:r>
      <w:r w:rsidR="009337EB">
        <w:rPr>
          <w:rFonts w:ascii="Arial" w:hAnsi="Arial" w:cs="Arial"/>
          <w:sz w:val="24"/>
          <w:szCs w:val="24"/>
        </w:rPr>
        <w:t xml:space="preserve">e, </w:t>
      </w:r>
      <w:r w:rsidR="007E3B08">
        <w:rPr>
          <w:rFonts w:ascii="Arial" w:hAnsi="Arial" w:cs="Arial"/>
          <w:sz w:val="24"/>
          <w:szCs w:val="24"/>
        </w:rPr>
        <w:t>given the late change of stance of the respondent in no longer persisting with this challenge to the validity of the will.</w:t>
      </w:r>
    </w:p>
    <w:p w:rsidR="00FF3120" w:rsidRDefault="00FF3120" w:rsidP="00AE4498">
      <w:pPr>
        <w:spacing w:after="0" w:line="480" w:lineRule="auto"/>
        <w:rPr>
          <w:rFonts w:ascii="Arial" w:hAnsi="Arial" w:cs="Arial"/>
          <w:sz w:val="24"/>
          <w:szCs w:val="24"/>
        </w:rPr>
      </w:pPr>
    </w:p>
    <w:p w:rsidR="005370C1" w:rsidRPr="005370C1" w:rsidRDefault="005370C1" w:rsidP="00E3343C">
      <w:pPr>
        <w:spacing w:after="0" w:line="480" w:lineRule="auto"/>
        <w:rPr>
          <w:rFonts w:ascii="Arial" w:hAnsi="Arial" w:cs="Arial"/>
          <w:sz w:val="24"/>
          <w:szCs w:val="24"/>
          <w:u w:val="single"/>
        </w:rPr>
      </w:pPr>
      <w:r>
        <w:rPr>
          <w:rFonts w:ascii="Arial" w:hAnsi="Arial" w:cs="Arial"/>
          <w:sz w:val="24"/>
          <w:szCs w:val="24"/>
          <w:u w:val="single"/>
        </w:rPr>
        <w:t xml:space="preserve">Order </w:t>
      </w:r>
    </w:p>
    <w:p w:rsidR="00FF3120" w:rsidRDefault="005370C1" w:rsidP="00355FCD">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following order is made:</w:t>
      </w:r>
    </w:p>
    <w:p w:rsidR="005370C1" w:rsidRDefault="005370C1" w:rsidP="005370C1">
      <w:pPr>
        <w:pStyle w:val="NoSpacing"/>
        <w:spacing w:line="480" w:lineRule="auto"/>
        <w:ind w:left="720"/>
        <w:jc w:val="both"/>
        <w:rPr>
          <w:rFonts w:ascii="Arial" w:hAnsi="Arial" w:cs="Arial"/>
          <w:sz w:val="24"/>
          <w:szCs w:val="24"/>
        </w:rPr>
      </w:pPr>
    </w:p>
    <w:p w:rsidR="005370C1" w:rsidRDefault="005370C1" w:rsidP="005370C1">
      <w:pPr>
        <w:pStyle w:val="NoSpacing"/>
        <w:numPr>
          <w:ilvl w:val="0"/>
          <w:numId w:val="35"/>
        </w:numPr>
        <w:spacing w:line="480" w:lineRule="auto"/>
        <w:ind w:left="1418" w:hanging="698"/>
        <w:jc w:val="both"/>
        <w:rPr>
          <w:rFonts w:ascii="Arial" w:hAnsi="Arial" w:cs="Arial"/>
          <w:sz w:val="24"/>
          <w:szCs w:val="24"/>
        </w:rPr>
      </w:pPr>
      <w:r>
        <w:rPr>
          <w:rFonts w:ascii="Arial" w:hAnsi="Arial" w:cs="Arial"/>
          <w:sz w:val="24"/>
          <w:szCs w:val="24"/>
        </w:rPr>
        <w:t>The appellants’ application for condonation is dismissed with costs</w:t>
      </w:r>
      <w:r w:rsidR="00BC7986">
        <w:rPr>
          <w:rFonts w:ascii="Arial" w:hAnsi="Arial" w:cs="Arial"/>
          <w:sz w:val="24"/>
          <w:szCs w:val="24"/>
        </w:rPr>
        <w:t>.</w:t>
      </w:r>
      <w:r>
        <w:rPr>
          <w:rFonts w:ascii="Arial" w:hAnsi="Arial" w:cs="Arial"/>
          <w:sz w:val="24"/>
          <w:szCs w:val="24"/>
        </w:rPr>
        <w:t xml:space="preserve"> </w:t>
      </w:r>
    </w:p>
    <w:p w:rsidR="005370C1" w:rsidRDefault="005370C1" w:rsidP="005370C1">
      <w:pPr>
        <w:pStyle w:val="NoSpacing"/>
        <w:spacing w:line="480" w:lineRule="auto"/>
        <w:ind w:left="1418"/>
        <w:jc w:val="both"/>
        <w:rPr>
          <w:rFonts w:ascii="Arial" w:hAnsi="Arial" w:cs="Arial"/>
          <w:sz w:val="24"/>
          <w:szCs w:val="24"/>
        </w:rPr>
      </w:pPr>
    </w:p>
    <w:p w:rsidR="005370C1" w:rsidRDefault="005370C1" w:rsidP="005370C1">
      <w:pPr>
        <w:pStyle w:val="NoSpacing"/>
        <w:numPr>
          <w:ilvl w:val="0"/>
          <w:numId w:val="35"/>
        </w:numPr>
        <w:spacing w:line="480" w:lineRule="auto"/>
        <w:ind w:left="1418" w:hanging="698"/>
        <w:jc w:val="both"/>
        <w:rPr>
          <w:rFonts w:ascii="Arial" w:hAnsi="Arial" w:cs="Arial"/>
          <w:sz w:val="24"/>
          <w:szCs w:val="24"/>
        </w:rPr>
      </w:pPr>
      <w:r>
        <w:rPr>
          <w:rFonts w:ascii="Arial" w:hAnsi="Arial" w:cs="Arial"/>
          <w:sz w:val="24"/>
          <w:szCs w:val="24"/>
        </w:rPr>
        <w:t>The matter is struck from the roll</w:t>
      </w:r>
      <w:r w:rsidR="003E019E">
        <w:rPr>
          <w:rFonts w:ascii="Arial" w:hAnsi="Arial" w:cs="Arial"/>
          <w:sz w:val="24"/>
          <w:szCs w:val="24"/>
        </w:rPr>
        <w:t xml:space="preserve"> with costs</w:t>
      </w:r>
      <w:r>
        <w:rPr>
          <w:rFonts w:ascii="Arial" w:hAnsi="Arial" w:cs="Arial"/>
          <w:sz w:val="24"/>
          <w:szCs w:val="24"/>
        </w:rPr>
        <w:t>.</w:t>
      </w:r>
    </w:p>
    <w:p w:rsidR="003E019E" w:rsidRPr="007E3B08" w:rsidRDefault="003E019E" w:rsidP="007E3B08">
      <w:pPr>
        <w:rPr>
          <w:rFonts w:ascii="Arial" w:hAnsi="Arial" w:cs="Arial"/>
          <w:sz w:val="24"/>
          <w:szCs w:val="24"/>
        </w:rPr>
      </w:pPr>
    </w:p>
    <w:p w:rsidR="003E019E" w:rsidRDefault="003E019E" w:rsidP="005370C1">
      <w:pPr>
        <w:pStyle w:val="NoSpacing"/>
        <w:numPr>
          <w:ilvl w:val="0"/>
          <w:numId w:val="35"/>
        </w:numPr>
        <w:spacing w:line="480" w:lineRule="auto"/>
        <w:ind w:left="1418" w:hanging="698"/>
        <w:jc w:val="both"/>
        <w:rPr>
          <w:rFonts w:ascii="Arial" w:hAnsi="Arial" w:cs="Arial"/>
          <w:sz w:val="24"/>
          <w:szCs w:val="24"/>
        </w:rPr>
      </w:pPr>
      <w:r>
        <w:rPr>
          <w:rFonts w:ascii="Arial" w:hAnsi="Arial" w:cs="Arial"/>
          <w:sz w:val="24"/>
          <w:szCs w:val="24"/>
        </w:rPr>
        <w:t xml:space="preserve">The costs </w:t>
      </w:r>
      <w:r w:rsidR="007E3B08">
        <w:rPr>
          <w:rFonts w:ascii="Arial" w:hAnsi="Arial" w:cs="Arial"/>
          <w:sz w:val="24"/>
          <w:szCs w:val="24"/>
        </w:rPr>
        <w:t xml:space="preserve">thus </w:t>
      </w:r>
      <w:r>
        <w:rPr>
          <w:rFonts w:ascii="Arial" w:hAnsi="Arial" w:cs="Arial"/>
          <w:sz w:val="24"/>
          <w:szCs w:val="24"/>
        </w:rPr>
        <w:t xml:space="preserve">awarded are to include </w:t>
      </w:r>
      <w:r w:rsidR="00BC7986">
        <w:rPr>
          <w:rFonts w:ascii="Arial" w:hAnsi="Arial" w:cs="Arial"/>
          <w:sz w:val="24"/>
          <w:szCs w:val="24"/>
        </w:rPr>
        <w:t>the costs of one instructing and two instructed legal practitioners.</w:t>
      </w:r>
    </w:p>
    <w:p w:rsidR="00BC7986" w:rsidRDefault="00BC7986" w:rsidP="00BC7986">
      <w:pPr>
        <w:pStyle w:val="ListParagraph"/>
        <w:rPr>
          <w:rFonts w:ascii="Arial" w:hAnsi="Arial" w:cs="Arial"/>
          <w:sz w:val="24"/>
          <w:szCs w:val="24"/>
        </w:rPr>
      </w:pPr>
    </w:p>
    <w:p w:rsidR="00BC7986" w:rsidRDefault="00BC7986" w:rsidP="005370C1">
      <w:pPr>
        <w:pStyle w:val="NoSpacing"/>
        <w:numPr>
          <w:ilvl w:val="0"/>
          <w:numId w:val="35"/>
        </w:numPr>
        <w:spacing w:line="480" w:lineRule="auto"/>
        <w:ind w:left="1418" w:hanging="698"/>
        <w:jc w:val="both"/>
        <w:rPr>
          <w:rFonts w:ascii="Arial" w:hAnsi="Arial" w:cs="Arial"/>
          <w:sz w:val="24"/>
          <w:szCs w:val="24"/>
        </w:rPr>
      </w:pPr>
      <w:r>
        <w:rPr>
          <w:rFonts w:ascii="Arial" w:hAnsi="Arial" w:cs="Arial"/>
          <w:sz w:val="24"/>
          <w:szCs w:val="24"/>
        </w:rPr>
        <w:t xml:space="preserve">The orders of the High Court </w:t>
      </w:r>
      <w:r w:rsidR="00A2472C">
        <w:rPr>
          <w:rFonts w:ascii="Arial" w:hAnsi="Arial" w:cs="Arial"/>
          <w:sz w:val="24"/>
          <w:szCs w:val="24"/>
        </w:rPr>
        <w:t xml:space="preserve">of 20 September 2019 and 17 October 2019 </w:t>
      </w:r>
      <w:r w:rsidR="007E3B08">
        <w:rPr>
          <w:rFonts w:ascii="Arial" w:hAnsi="Arial" w:cs="Arial"/>
          <w:sz w:val="24"/>
          <w:szCs w:val="24"/>
        </w:rPr>
        <w:t>are</w:t>
      </w:r>
      <w:r>
        <w:rPr>
          <w:rFonts w:ascii="Arial" w:hAnsi="Arial" w:cs="Arial"/>
          <w:sz w:val="24"/>
          <w:szCs w:val="24"/>
        </w:rPr>
        <w:t xml:space="preserve"> to be replaced by the following order:</w:t>
      </w:r>
    </w:p>
    <w:p w:rsidR="00BC7986" w:rsidRDefault="00BC7986" w:rsidP="00BC7986">
      <w:pPr>
        <w:pStyle w:val="ListParagraph"/>
        <w:rPr>
          <w:rFonts w:ascii="Arial" w:hAnsi="Arial" w:cs="Arial"/>
          <w:sz w:val="24"/>
          <w:szCs w:val="24"/>
        </w:rPr>
      </w:pPr>
    </w:p>
    <w:p w:rsidR="007E3B08" w:rsidRDefault="007E3B08" w:rsidP="007E3B08">
      <w:pPr>
        <w:pStyle w:val="NoSpacing"/>
        <w:spacing w:line="480" w:lineRule="auto"/>
        <w:ind w:left="2138" w:hanging="698"/>
        <w:jc w:val="both"/>
        <w:rPr>
          <w:rFonts w:ascii="Arial" w:hAnsi="Arial" w:cs="Arial"/>
          <w:sz w:val="24"/>
          <w:szCs w:val="24"/>
        </w:rPr>
      </w:pPr>
      <w:r>
        <w:rPr>
          <w:rFonts w:ascii="Arial" w:hAnsi="Arial" w:cs="Arial"/>
          <w:sz w:val="24"/>
          <w:szCs w:val="24"/>
        </w:rPr>
        <w:t>‘(i)</w:t>
      </w:r>
      <w:r>
        <w:rPr>
          <w:rFonts w:ascii="Arial" w:hAnsi="Arial" w:cs="Arial"/>
          <w:sz w:val="24"/>
          <w:szCs w:val="24"/>
        </w:rPr>
        <w:tab/>
      </w:r>
      <w:r w:rsidR="00BC7986">
        <w:rPr>
          <w:rFonts w:ascii="Arial" w:hAnsi="Arial" w:cs="Arial"/>
          <w:sz w:val="24"/>
          <w:szCs w:val="24"/>
        </w:rPr>
        <w:t xml:space="preserve">This court declines to exercise jurisdiction to adjudicate this application, such jurisdiction residing in the children’s court, established under Act 3 of 2015 which court should continue </w:t>
      </w:r>
      <w:r w:rsidR="00BC7986">
        <w:rPr>
          <w:rFonts w:ascii="Arial" w:hAnsi="Arial" w:cs="Arial"/>
          <w:sz w:val="24"/>
          <w:szCs w:val="24"/>
        </w:rPr>
        <w:lastRenderedPageBreak/>
        <w:t>with the application and counter-application for the guardianship and custody of G</w:t>
      </w:r>
      <w:r w:rsidR="00A2472C">
        <w:rPr>
          <w:rFonts w:ascii="Arial" w:hAnsi="Arial" w:cs="Arial"/>
          <w:sz w:val="24"/>
          <w:szCs w:val="24"/>
        </w:rPr>
        <w:t xml:space="preserve"> with</w:t>
      </w:r>
      <w:r w:rsidR="00BC7986">
        <w:rPr>
          <w:rFonts w:ascii="Arial" w:hAnsi="Arial" w:cs="Arial"/>
          <w:sz w:val="24"/>
          <w:szCs w:val="24"/>
        </w:rPr>
        <w:t xml:space="preserve"> wh</w:t>
      </w:r>
      <w:r>
        <w:rPr>
          <w:rFonts w:ascii="Arial" w:hAnsi="Arial" w:cs="Arial"/>
          <w:sz w:val="24"/>
          <w:szCs w:val="24"/>
        </w:rPr>
        <w:t>ich it is currently seized;</w:t>
      </w:r>
    </w:p>
    <w:p w:rsidR="000C28BD" w:rsidRDefault="000C28BD" w:rsidP="007E3B08">
      <w:pPr>
        <w:pStyle w:val="NoSpacing"/>
        <w:spacing w:line="480" w:lineRule="auto"/>
        <w:ind w:left="2138" w:hanging="698"/>
        <w:jc w:val="both"/>
        <w:rPr>
          <w:rFonts w:ascii="Arial" w:hAnsi="Arial" w:cs="Arial"/>
          <w:sz w:val="24"/>
          <w:szCs w:val="24"/>
        </w:rPr>
      </w:pPr>
    </w:p>
    <w:p w:rsidR="00BC7986" w:rsidRDefault="007E3B08" w:rsidP="007E3B08">
      <w:pPr>
        <w:pStyle w:val="NoSpacing"/>
        <w:spacing w:line="480" w:lineRule="auto"/>
        <w:ind w:left="2138" w:hanging="698"/>
        <w:jc w:val="both"/>
        <w:rPr>
          <w:rFonts w:ascii="Arial" w:hAnsi="Arial" w:cs="Arial"/>
          <w:sz w:val="24"/>
          <w:szCs w:val="24"/>
        </w:rPr>
      </w:pPr>
      <w:r>
        <w:rPr>
          <w:rFonts w:ascii="Arial" w:hAnsi="Arial" w:cs="Arial"/>
          <w:sz w:val="24"/>
          <w:szCs w:val="24"/>
        </w:rPr>
        <w:t>(ii)</w:t>
      </w:r>
      <w:r>
        <w:rPr>
          <w:rFonts w:ascii="Arial" w:hAnsi="Arial" w:cs="Arial"/>
          <w:sz w:val="24"/>
          <w:szCs w:val="24"/>
        </w:rPr>
        <w:tab/>
      </w:r>
      <w:r w:rsidR="00BC7986">
        <w:rPr>
          <w:rFonts w:ascii="Arial" w:hAnsi="Arial" w:cs="Arial"/>
          <w:sz w:val="24"/>
          <w:szCs w:val="24"/>
        </w:rPr>
        <w:t>The application is removed from the roll and no order is made as to the costs of this application.</w:t>
      </w:r>
      <w:r>
        <w:rPr>
          <w:rFonts w:ascii="Arial" w:hAnsi="Arial" w:cs="Arial"/>
          <w:sz w:val="24"/>
          <w:szCs w:val="24"/>
        </w:rPr>
        <w:t>’</w:t>
      </w:r>
    </w:p>
    <w:p w:rsidR="00F04676" w:rsidRDefault="00F04676" w:rsidP="00BD55B9">
      <w:pPr>
        <w:pStyle w:val="ListParagraph"/>
        <w:spacing w:after="0"/>
        <w:rPr>
          <w:rFonts w:ascii="Arial" w:hAnsi="Arial" w:cs="Arial"/>
          <w:sz w:val="24"/>
          <w:szCs w:val="24"/>
        </w:rPr>
      </w:pPr>
    </w:p>
    <w:p w:rsidR="00D95E08" w:rsidRDefault="00D95E08" w:rsidP="00BD55B9">
      <w:pPr>
        <w:pStyle w:val="ListParagraph"/>
        <w:spacing w:after="0"/>
        <w:rPr>
          <w:rFonts w:ascii="Arial" w:hAnsi="Arial" w:cs="Arial"/>
          <w:sz w:val="24"/>
          <w:szCs w:val="24"/>
        </w:rPr>
      </w:pPr>
    </w:p>
    <w:p w:rsidR="007E1055" w:rsidRDefault="007E1055" w:rsidP="00BD55B9">
      <w:pPr>
        <w:pStyle w:val="ListParagraph"/>
        <w:spacing w:after="0"/>
        <w:rPr>
          <w:rFonts w:ascii="Arial" w:hAnsi="Arial" w:cs="Arial"/>
          <w:sz w:val="24"/>
          <w:szCs w:val="24"/>
        </w:rPr>
      </w:pPr>
    </w:p>
    <w:p w:rsidR="002772FF" w:rsidRDefault="002772FF" w:rsidP="00BD55B9">
      <w:pPr>
        <w:pStyle w:val="ListParagraph"/>
        <w:spacing w:after="0"/>
        <w:rPr>
          <w:rFonts w:ascii="Arial" w:hAnsi="Arial" w:cs="Arial"/>
          <w:sz w:val="24"/>
          <w:szCs w:val="24"/>
        </w:rPr>
      </w:pPr>
    </w:p>
    <w:p w:rsidR="00030C69"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r w:rsidR="001C2720" w:rsidRPr="0044790E">
        <w:rPr>
          <w:rFonts w:ascii="Arial" w:hAnsi="Arial" w:cs="Arial"/>
          <w:b/>
          <w:sz w:val="24"/>
          <w:szCs w:val="24"/>
        </w:rPr>
        <w:tab/>
      </w:r>
    </w:p>
    <w:p w:rsidR="001C2720" w:rsidRPr="0044790E" w:rsidRDefault="00030C69" w:rsidP="0044790E">
      <w:pPr>
        <w:pStyle w:val="NoSpacing"/>
        <w:spacing w:line="360" w:lineRule="auto"/>
        <w:rPr>
          <w:rFonts w:ascii="Arial" w:hAnsi="Arial" w:cs="Arial"/>
          <w:b/>
          <w:sz w:val="24"/>
          <w:szCs w:val="24"/>
        </w:rPr>
      </w:pPr>
      <w:r w:rsidRPr="0044790E">
        <w:rPr>
          <w:rFonts w:ascii="Arial" w:hAnsi="Arial" w:cs="Arial"/>
          <w:b/>
          <w:sz w:val="24"/>
          <w:szCs w:val="24"/>
        </w:rPr>
        <w:t>SMUTS JA</w:t>
      </w:r>
    </w:p>
    <w:p w:rsidR="00207296" w:rsidRDefault="00207296" w:rsidP="0044790E">
      <w:pPr>
        <w:pStyle w:val="NoSpacing"/>
        <w:spacing w:line="360" w:lineRule="auto"/>
        <w:jc w:val="both"/>
        <w:rPr>
          <w:rFonts w:ascii="Arial" w:hAnsi="Arial" w:cs="Arial"/>
          <w:b/>
          <w:sz w:val="24"/>
          <w:szCs w:val="24"/>
        </w:rPr>
      </w:pPr>
    </w:p>
    <w:p w:rsidR="00D95E08" w:rsidRDefault="00D95E08" w:rsidP="0044790E">
      <w:pPr>
        <w:pStyle w:val="NoSpacing"/>
        <w:spacing w:line="360" w:lineRule="auto"/>
        <w:rPr>
          <w:rFonts w:ascii="Arial" w:hAnsi="Arial" w:cs="Arial"/>
          <w:b/>
          <w:sz w:val="24"/>
          <w:szCs w:val="24"/>
        </w:rPr>
      </w:pPr>
    </w:p>
    <w:p w:rsidR="00D95E08" w:rsidRDefault="00D95E08" w:rsidP="0044790E">
      <w:pPr>
        <w:pStyle w:val="NoSpacing"/>
        <w:spacing w:line="360" w:lineRule="auto"/>
        <w:rPr>
          <w:rFonts w:ascii="Arial" w:hAnsi="Arial" w:cs="Arial"/>
          <w:b/>
          <w:sz w:val="24"/>
          <w:szCs w:val="24"/>
        </w:rPr>
      </w:pPr>
    </w:p>
    <w:p w:rsidR="002E426A" w:rsidRPr="0044790E" w:rsidRDefault="002E426A" w:rsidP="0044790E">
      <w:pPr>
        <w:pStyle w:val="NoSpacing"/>
        <w:spacing w:line="360" w:lineRule="auto"/>
        <w:rPr>
          <w:rFonts w:ascii="Arial" w:hAnsi="Arial" w:cs="Arial"/>
          <w:b/>
          <w:sz w:val="24"/>
          <w:szCs w:val="24"/>
        </w:rPr>
      </w:pPr>
      <w:r w:rsidRPr="0044790E">
        <w:rPr>
          <w:rFonts w:ascii="Arial" w:hAnsi="Arial" w:cs="Arial"/>
          <w:b/>
          <w:sz w:val="24"/>
          <w:szCs w:val="24"/>
        </w:rPr>
        <w:t>___________________</w:t>
      </w:r>
    </w:p>
    <w:p w:rsidR="004F7B5B" w:rsidRDefault="0008263C" w:rsidP="0044790E">
      <w:pPr>
        <w:pStyle w:val="NoSpacing"/>
        <w:spacing w:line="360" w:lineRule="auto"/>
        <w:rPr>
          <w:rFonts w:ascii="Arial" w:hAnsi="Arial" w:cs="Arial"/>
          <w:b/>
          <w:sz w:val="24"/>
          <w:szCs w:val="24"/>
        </w:rPr>
      </w:pPr>
      <w:r>
        <w:rPr>
          <w:rFonts w:ascii="Arial" w:hAnsi="Arial" w:cs="Arial"/>
          <w:b/>
          <w:sz w:val="24"/>
          <w:szCs w:val="24"/>
        </w:rPr>
        <w:t>SHIVUTE CJ</w:t>
      </w:r>
    </w:p>
    <w:p w:rsidR="00F04676" w:rsidRDefault="00F04676" w:rsidP="0044790E">
      <w:pPr>
        <w:pStyle w:val="NoSpacing"/>
        <w:spacing w:line="360" w:lineRule="auto"/>
        <w:rPr>
          <w:rFonts w:ascii="Arial" w:hAnsi="Arial" w:cs="Arial"/>
          <w:b/>
          <w:sz w:val="24"/>
          <w:szCs w:val="24"/>
        </w:rPr>
      </w:pPr>
    </w:p>
    <w:p w:rsidR="001C518C" w:rsidRDefault="001C518C" w:rsidP="0044790E">
      <w:pPr>
        <w:pStyle w:val="NoSpacing"/>
        <w:spacing w:line="360" w:lineRule="auto"/>
        <w:rPr>
          <w:rFonts w:ascii="Arial" w:hAnsi="Arial" w:cs="Arial"/>
          <w:b/>
          <w:sz w:val="24"/>
          <w:szCs w:val="24"/>
        </w:rPr>
      </w:pPr>
    </w:p>
    <w:p w:rsidR="002772FF" w:rsidRPr="0044790E" w:rsidRDefault="002772FF" w:rsidP="0044790E">
      <w:pPr>
        <w:pStyle w:val="NoSpacing"/>
        <w:spacing w:line="360" w:lineRule="auto"/>
        <w:rPr>
          <w:rFonts w:ascii="Arial" w:hAnsi="Arial" w:cs="Arial"/>
          <w:b/>
          <w:sz w:val="24"/>
          <w:szCs w:val="24"/>
        </w:rPr>
      </w:pPr>
    </w:p>
    <w:p w:rsidR="0044790E" w:rsidRPr="0044790E" w:rsidRDefault="0044790E" w:rsidP="0044790E">
      <w:pPr>
        <w:pStyle w:val="NoSpacing"/>
        <w:spacing w:line="360" w:lineRule="auto"/>
        <w:jc w:val="both"/>
        <w:rPr>
          <w:rFonts w:ascii="Arial" w:hAnsi="Arial" w:cs="Arial"/>
          <w:b/>
          <w:sz w:val="24"/>
          <w:szCs w:val="24"/>
        </w:rPr>
      </w:pPr>
      <w:r w:rsidRPr="0044790E">
        <w:rPr>
          <w:rFonts w:ascii="Arial" w:hAnsi="Arial" w:cs="Arial"/>
          <w:b/>
          <w:sz w:val="24"/>
          <w:szCs w:val="24"/>
        </w:rPr>
        <w:t>___________________</w:t>
      </w:r>
    </w:p>
    <w:p w:rsidR="0008263C" w:rsidRPr="0044790E" w:rsidRDefault="00BE44A1" w:rsidP="0008263C">
      <w:pPr>
        <w:pStyle w:val="NoSpacing"/>
        <w:spacing w:line="360" w:lineRule="auto"/>
        <w:rPr>
          <w:rFonts w:ascii="Arial" w:hAnsi="Arial" w:cs="Arial"/>
          <w:b/>
          <w:sz w:val="24"/>
          <w:szCs w:val="24"/>
        </w:rPr>
      </w:pPr>
      <w:r>
        <w:rPr>
          <w:rFonts w:ascii="Arial" w:hAnsi="Arial" w:cs="Arial"/>
          <w:b/>
          <w:sz w:val="24"/>
          <w:szCs w:val="24"/>
        </w:rPr>
        <w:t>HOFF JA</w:t>
      </w:r>
    </w:p>
    <w:p w:rsidR="007E3B08" w:rsidRDefault="007E3B08">
      <w:r>
        <w:br w:type="page"/>
      </w:r>
    </w:p>
    <w:tbl>
      <w:tblPr>
        <w:tblW w:w="0" w:type="auto"/>
        <w:tblLook w:val="04A0" w:firstRow="1" w:lastRow="0" w:firstColumn="1" w:lastColumn="0" w:noHBand="0" w:noVBand="1"/>
      </w:tblPr>
      <w:tblGrid>
        <w:gridCol w:w="4386"/>
        <w:gridCol w:w="4261"/>
      </w:tblGrid>
      <w:tr w:rsidR="00721889" w:rsidRPr="001C25CA" w:rsidTr="005C0BAB">
        <w:tc>
          <w:tcPr>
            <w:tcW w:w="4386" w:type="dxa"/>
            <w:shd w:val="clear" w:color="auto" w:fill="auto"/>
          </w:tcPr>
          <w:p w:rsidR="00721889" w:rsidRPr="001C25CA" w:rsidRDefault="00721889" w:rsidP="002E426A">
            <w:pPr>
              <w:ind w:left="-108" w:right="-146"/>
              <w:rPr>
                <w:rFonts w:ascii="Arial" w:hAnsi="Arial" w:cs="Arial"/>
                <w:sz w:val="24"/>
                <w:szCs w:val="24"/>
              </w:rPr>
            </w:pPr>
            <w:r w:rsidRPr="001C25CA">
              <w:rPr>
                <w:rFonts w:ascii="Arial" w:hAnsi="Arial" w:cs="Arial"/>
                <w:sz w:val="24"/>
                <w:szCs w:val="24"/>
              </w:rPr>
              <w:lastRenderedPageBreak/>
              <w:t>APPEARANCES</w:t>
            </w:r>
          </w:p>
          <w:p w:rsidR="00721889" w:rsidRPr="001C25CA" w:rsidRDefault="00721889" w:rsidP="00503269">
            <w:pPr>
              <w:ind w:right="-146"/>
              <w:rPr>
                <w:rFonts w:ascii="Arial" w:hAnsi="Arial" w:cs="Arial"/>
                <w:sz w:val="24"/>
                <w:szCs w:val="24"/>
              </w:rPr>
            </w:pPr>
          </w:p>
          <w:p w:rsidR="00721889" w:rsidRPr="001C25CA" w:rsidRDefault="00721889" w:rsidP="002E426A">
            <w:pPr>
              <w:ind w:left="-108" w:right="-146"/>
              <w:rPr>
                <w:rFonts w:ascii="Arial" w:hAnsi="Arial" w:cs="Arial"/>
                <w:sz w:val="24"/>
                <w:szCs w:val="24"/>
              </w:rPr>
            </w:pPr>
            <w:r w:rsidRPr="001C25CA">
              <w:rPr>
                <w:rFonts w:ascii="Arial" w:hAnsi="Arial" w:cs="Arial"/>
                <w:sz w:val="24"/>
                <w:szCs w:val="24"/>
              </w:rPr>
              <w:t>APPELLANT</w:t>
            </w:r>
            <w:r w:rsidR="007C7E3C">
              <w:rPr>
                <w:rFonts w:ascii="Arial" w:hAnsi="Arial" w:cs="Arial"/>
                <w:sz w:val="24"/>
                <w:szCs w:val="24"/>
              </w:rPr>
              <w:t>S</w:t>
            </w:r>
            <w:r w:rsidRPr="001C25CA">
              <w:rPr>
                <w:rFonts w:ascii="Arial" w:hAnsi="Arial" w:cs="Arial"/>
                <w:sz w:val="24"/>
                <w:szCs w:val="24"/>
              </w:rPr>
              <w:t>:</w:t>
            </w:r>
          </w:p>
        </w:tc>
        <w:tc>
          <w:tcPr>
            <w:tcW w:w="4261" w:type="dxa"/>
            <w:shd w:val="clear" w:color="auto" w:fill="auto"/>
          </w:tcPr>
          <w:p w:rsidR="00721889" w:rsidRPr="001C25CA" w:rsidRDefault="00721889" w:rsidP="00503269">
            <w:pPr>
              <w:rPr>
                <w:rFonts w:ascii="Arial" w:hAnsi="Arial" w:cs="Arial"/>
                <w:sz w:val="24"/>
                <w:szCs w:val="24"/>
              </w:rPr>
            </w:pPr>
          </w:p>
          <w:p w:rsidR="00721889" w:rsidRPr="001C25CA" w:rsidRDefault="00721889" w:rsidP="00503269">
            <w:pPr>
              <w:rPr>
                <w:rFonts w:ascii="Arial" w:hAnsi="Arial" w:cs="Arial"/>
                <w:sz w:val="24"/>
                <w:szCs w:val="24"/>
              </w:rPr>
            </w:pPr>
          </w:p>
          <w:p w:rsidR="00721889" w:rsidRPr="00013AB7" w:rsidRDefault="00123F14" w:rsidP="00503269">
            <w:pPr>
              <w:rPr>
                <w:rFonts w:ascii="Arial" w:hAnsi="Arial" w:cs="Arial"/>
                <w:sz w:val="24"/>
                <w:szCs w:val="24"/>
              </w:rPr>
            </w:pPr>
            <w:r>
              <w:rPr>
                <w:rFonts w:ascii="Arial" w:hAnsi="Arial" w:cs="Arial"/>
                <w:sz w:val="24"/>
                <w:szCs w:val="24"/>
              </w:rPr>
              <w:t>R Heathcote</w:t>
            </w:r>
            <w:r w:rsidR="002D392F">
              <w:rPr>
                <w:rFonts w:ascii="Arial" w:hAnsi="Arial" w:cs="Arial"/>
                <w:sz w:val="24"/>
                <w:szCs w:val="24"/>
              </w:rPr>
              <w:t xml:space="preserve"> (with him J Jacobs)</w:t>
            </w:r>
          </w:p>
          <w:p w:rsidR="00644878" w:rsidRPr="001C25CA" w:rsidRDefault="00123F14" w:rsidP="00F37388">
            <w:pPr>
              <w:rPr>
                <w:rFonts w:ascii="Arial" w:hAnsi="Arial" w:cs="Arial"/>
                <w:sz w:val="24"/>
                <w:szCs w:val="24"/>
              </w:rPr>
            </w:pPr>
            <w:r>
              <w:rPr>
                <w:rFonts w:ascii="Arial" w:hAnsi="Arial" w:cs="Arial"/>
                <w:sz w:val="24"/>
                <w:szCs w:val="24"/>
              </w:rPr>
              <w:t>Instructed by AngulaCo Inc</w:t>
            </w:r>
            <w:r w:rsidR="00AA7233">
              <w:rPr>
                <w:rFonts w:ascii="Arial" w:hAnsi="Arial" w:cs="Arial"/>
                <w:sz w:val="24"/>
                <w:szCs w:val="24"/>
              </w:rPr>
              <w:t>.</w:t>
            </w:r>
            <w:r w:rsidR="007C7E3C">
              <w:rPr>
                <w:rFonts w:ascii="Arial" w:hAnsi="Arial" w:cs="Arial"/>
                <w:sz w:val="24"/>
                <w:szCs w:val="24"/>
              </w:rPr>
              <w:t>,</w:t>
            </w:r>
            <w:r w:rsidR="0090388B" w:rsidRPr="00013AB7">
              <w:rPr>
                <w:rFonts w:ascii="Arial" w:hAnsi="Arial" w:cs="Arial"/>
                <w:sz w:val="24"/>
                <w:szCs w:val="24"/>
              </w:rPr>
              <w:t xml:space="preserve"> Windhoek</w:t>
            </w:r>
          </w:p>
        </w:tc>
      </w:tr>
      <w:tr w:rsidR="00721889" w:rsidRPr="001C25CA" w:rsidTr="005C0BAB">
        <w:tc>
          <w:tcPr>
            <w:tcW w:w="4386" w:type="dxa"/>
            <w:shd w:val="clear" w:color="auto" w:fill="auto"/>
          </w:tcPr>
          <w:p w:rsidR="00721889" w:rsidRPr="001C25CA" w:rsidRDefault="00721889" w:rsidP="00503269">
            <w:pPr>
              <w:rPr>
                <w:rFonts w:ascii="Arial" w:hAnsi="Arial" w:cs="Arial"/>
                <w:sz w:val="24"/>
                <w:szCs w:val="24"/>
              </w:rPr>
            </w:pPr>
          </w:p>
          <w:p w:rsidR="00721889" w:rsidRPr="001C25CA" w:rsidRDefault="00721889" w:rsidP="007C7E3C">
            <w:pPr>
              <w:ind w:left="-108"/>
              <w:rPr>
                <w:rFonts w:ascii="Arial" w:hAnsi="Arial" w:cs="Arial"/>
                <w:sz w:val="24"/>
                <w:szCs w:val="24"/>
              </w:rPr>
            </w:pPr>
            <w:r w:rsidRPr="001C25CA">
              <w:rPr>
                <w:rFonts w:ascii="Arial" w:hAnsi="Arial" w:cs="Arial"/>
                <w:sz w:val="24"/>
                <w:szCs w:val="24"/>
              </w:rPr>
              <w:t>RESPONDENT:</w:t>
            </w:r>
          </w:p>
        </w:tc>
        <w:tc>
          <w:tcPr>
            <w:tcW w:w="4261" w:type="dxa"/>
            <w:shd w:val="clear" w:color="auto" w:fill="auto"/>
          </w:tcPr>
          <w:p w:rsidR="00721889" w:rsidRPr="001C25CA" w:rsidRDefault="00721889" w:rsidP="00503269">
            <w:pPr>
              <w:rPr>
                <w:rFonts w:ascii="Arial" w:hAnsi="Arial" w:cs="Arial"/>
                <w:sz w:val="24"/>
                <w:szCs w:val="24"/>
              </w:rPr>
            </w:pPr>
          </w:p>
          <w:p w:rsidR="008A6323" w:rsidRPr="00013AB7" w:rsidRDefault="002D392F" w:rsidP="00864712">
            <w:pPr>
              <w:rPr>
                <w:rFonts w:ascii="Arial" w:hAnsi="Arial" w:cs="Arial"/>
                <w:sz w:val="24"/>
                <w:szCs w:val="24"/>
              </w:rPr>
            </w:pPr>
            <w:r>
              <w:rPr>
                <w:rFonts w:ascii="Arial" w:hAnsi="Arial" w:cs="Arial"/>
                <w:sz w:val="24"/>
                <w:szCs w:val="24"/>
              </w:rPr>
              <w:t>T A Barnard (with him H Garbers-Kirsten)</w:t>
            </w:r>
          </w:p>
          <w:p w:rsidR="00721889" w:rsidRPr="001C25CA" w:rsidRDefault="002D392F" w:rsidP="00D16C3A">
            <w:pPr>
              <w:rPr>
                <w:rFonts w:ascii="Arial" w:hAnsi="Arial" w:cs="Arial"/>
                <w:sz w:val="24"/>
                <w:szCs w:val="24"/>
              </w:rPr>
            </w:pPr>
            <w:r>
              <w:rPr>
                <w:rFonts w:ascii="Arial" w:hAnsi="Arial" w:cs="Arial"/>
                <w:sz w:val="24"/>
                <w:szCs w:val="24"/>
              </w:rPr>
              <w:t>Instructed by Dr. Weder, Kauta &amp; Hoveka Inc.</w:t>
            </w:r>
            <w:r w:rsidR="007C7E3C">
              <w:rPr>
                <w:rFonts w:ascii="Arial" w:hAnsi="Arial" w:cs="Arial"/>
                <w:sz w:val="24"/>
                <w:szCs w:val="24"/>
              </w:rPr>
              <w:t>,</w:t>
            </w:r>
            <w:r w:rsidR="0090388B" w:rsidRPr="00013AB7">
              <w:rPr>
                <w:rFonts w:ascii="Arial" w:hAnsi="Arial" w:cs="Arial"/>
                <w:sz w:val="24"/>
                <w:szCs w:val="24"/>
              </w:rPr>
              <w:t xml:space="preserve"> Windhoek</w:t>
            </w:r>
          </w:p>
        </w:tc>
      </w:tr>
    </w:tbl>
    <w:p w:rsidR="00721889" w:rsidRPr="001C25CA" w:rsidRDefault="00721889" w:rsidP="00721889">
      <w:pPr>
        <w:pStyle w:val="NoSpacing"/>
        <w:jc w:val="both"/>
        <w:rPr>
          <w:rFonts w:ascii="Arial" w:hAnsi="Arial" w:cs="Arial"/>
          <w:sz w:val="24"/>
          <w:szCs w:val="24"/>
        </w:rPr>
      </w:pPr>
    </w:p>
    <w:sectPr w:rsidR="00721889" w:rsidRPr="001C25CA" w:rsidSect="00430321">
      <w:headerReference w:type="default" r:id="rId13"/>
      <w:pgSz w:w="11906" w:h="16838"/>
      <w:pgMar w:top="811" w:right="1418"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17" w:rsidRDefault="00A11B17" w:rsidP="00B5013F">
      <w:pPr>
        <w:spacing w:after="0" w:line="240" w:lineRule="auto"/>
      </w:pPr>
      <w:r>
        <w:separator/>
      </w:r>
    </w:p>
  </w:endnote>
  <w:endnote w:type="continuationSeparator" w:id="0">
    <w:p w:rsidR="00A11B17" w:rsidRDefault="00A11B17"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17" w:rsidRDefault="00A11B17" w:rsidP="00B5013F">
      <w:pPr>
        <w:spacing w:after="0" w:line="240" w:lineRule="auto"/>
      </w:pPr>
      <w:r>
        <w:separator/>
      </w:r>
    </w:p>
  </w:footnote>
  <w:footnote w:type="continuationSeparator" w:id="0">
    <w:p w:rsidR="00A11B17" w:rsidRDefault="00A11B17" w:rsidP="00B5013F">
      <w:pPr>
        <w:spacing w:after="0" w:line="240" w:lineRule="auto"/>
      </w:pPr>
      <w:r>
        <w:continuationSeparator/>
      </w:r>
    </w:p>
  </w:footnote>
  <w:footnote w:id="1">
    <w:p w:rsidR="006865D5" w:rsidRPr="009337EB" w:rsidRDefault="006865D5"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In terms of rule 9 of the rules of this court.</w:t>
      </w:r>
    </w:p>
  </w:footnote>
  <w:footnote w:id="2">
    <w:p w:rsidR="00FF3120" w:rsidRPr="009337EB" w:rsidRDefault="00FF3120"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w:t>
      </w:r>
      <w:r w:rsidRPr="009337EB">
        <w:rPr>
          <w:rFonts w:ascii="Arial" w:hAnsi="Arial" w:cs="Arial"/>
          <w:i/>
        </w:rPr>
        <w:t xml:space="preserve">Road Fund Administration v Scorpion Mining Company </w:t>
      </w:r>
      <w:r w:rsidRPr="009337EB">
        <w:rPr>
          <w:rFonts w:ascii="Arial" w:hAnsi="Arial" w:cs="Arial"/>
        </w:rPr>
        <w:t>20</w:t>
      </w:r>
      <w:r w:rsidR="00CD440F" w:rsidRPr="009337EB">
        <w:rPr>
          <w:rFonts w:ascii="Arial" w:hAnsi="Arial" w:cs="Arial"/>
        </w:rPr>
        <w:t>18 (3) NR 829 (SC) paras 2-3</w:t>
      </w:r>
      <w:r w:rsidRPr="009337EB">
        <w:rPr>
          <w:rFonts w:ascii="Arial" w:hAnsi="Arial" w:cs="Arial"/>
        </w:rPr>
        <w:t>.</w:t>
      </w:r>
    </w:p>
  </w:footnote>
  <w:footnote w:id="3">
    <w:p w:rsidR="00B80D81" w:rsidRPr="009337EB" w:rsidRDefault="00B80D81" w:rsidP="00C33B66">
      <w:pPr>
        <w:pStyle w:val="FootnoteText"/>
        <w:jc w:val="both"/>
        <w:rPr>
          <w:rFonts w:ascii="Arial" w:hAnsi="Arial" w:cs="Arial"/>
          <w:i/>
        </w:rPr>
      </w:pPr>
      <w:r w:rsidRPr="009337EB">
        <w:rPr>
          <w:rStyle w:val="FootnoteReference"/>
          <w:rFonts w:ascii="Arial" w:hAnsi="Arial" w:cs="Arial"/>
        </w:rPr>
        <w:footnoteRef/>
      </w:r>
      <w:r w:rsidRPr="009337EB">
        <w:rPr>
          <w:rFonts w:ascii="Arial" w:hAnsi="Arial" w:cs="Arial"/>
        </w:rPr>
        <w:t xml:space="preserve"> </w:t>
      </w:r>
      <w:r w:rsidRPr="009337EB">
        <w:rPr>
          <w:rFonts w:ascii="Arial" w:hAnsi="Arial" w:cs="Arial"/>
          <w:i/>
        </w:rPr>
        <w:t xml:space="preserve">Katjaimo v Katjaimo &amp; others </w:t>
      </w:r>
      <w:r w:rsidRPr="009337EB">
        <w:rPr>
          <w:rFonts w:ascii="Arial" w:hAnsi="Arial" w:cs="Arial"/>
        </w:rPr>
        <w:t xml:space="preserve">2015 (2) NR 340 (SC) para 34 and as applied in </w:t>
      </w:r>
      <w:r w:rsidRPr="009337EB">
        <w:rPr>
          <w:rFonts w:ascii="Arial" w:hAnsi="Arial" w:cs="Arial"/>
          <w:i/>
        </w:rPr>
        <w:t xml:space="preserve">Tweya </w:t>
      </w:r>
      <w:r w:rsidR="000C4A72" w:rsidRPr="009337EB">
        <w:rPr>
          <w:rFonts w:ascii="Arial" w:hAnsi="Arial" w:cs="Arial"/>
          <w:i/>
        </w:rPr>
        <w:t>&amp;</w:t>
      </w:r>
      <w:r w:rsidRPr="009337EB">
        <w:rPr>
          <w:rFonts w:ascii="Arial" w:hAnsi="Arial" w:cs="Arial"/>
          <w:i/>
        </w:rPr>
        <w:t xml:space="preserve"> others v Herbert</w:t>
      </w:r>
      <w:r w:rsidR="006F381E" w:rsidRPr="009337EB">
        <w:rPr>
          <w:rFonts w:ascii="Arial" w:hAnsi="Arial" w:cs="Arial"/>
          <w:i/>
        </w:rPr>
        <w:t xml:space="preserve"> &amp; others </w:t>
      </w:r>
      <w:r w:rsidR="00E26DC8" w:rsidRPr="009337EB">
        <w:rPr>
          <w:rFonts w:ascii="Arial" w:hAnsi="Arial" w:cs="Arial"/>
        </w:rPr>
        <w:t>(SA 76/2014) [2016] NASC (6 July 2016).</w:t>
      </w:r>
    </w:p>
  </w:footnote>
  <w:footnote w:id="4">
    <w:p w:rsidR="00E26DC8" w:rsidRPr="009337EB" w:rsidRDefault="00E26DC8"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Even though the record includes the transcript of oral argument in the High Court.</w:t>
      </w:r>
    </w:p>
  </w:footnote>
  <w:footnote w:id="5">
    <w:p w:rsidR="00FF3120" w:rsidRPr="009337EB" w:rsidRDefault="00FF3120"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w:t>
      </w:r>
      <w:r w:rsidRPr="009337EB">
        <w:rPr>
          <w:rFonts w:ascii="Arial" w:hAnsi="Arial" w:cs="Arial"/>
          <w:i/>
        </w:rPr>
        <w:t xml:space="preserve">Channel Life Namibia (Pty) Ltd v Otto </w:t>
      </w:r>
      <w:r w:rsidRPr="009337EB">
        <w:rPr>
          <w:rFonts w:ascii="Arial" w:hAnsi="Arial" w:cs="Arial"/>
        </w:rPr>
        <w:t xml:space="preserve">2008 (2) NR 432 (SC); </w:t>
      </w:r>
      <w:r w:rsidRPr="009337EB">
        <w:rPr>
          <w:rFonts w:ascii="Arial" w:hAnsi="Arial" w:cs="Arial"/>
          <w:i/>
        </w:rPr>
        <w:t>Kleynhans v Chairperson of the Council for the Municipality of Walvis Bay &amp; others</w:t>
      </w:r>
      <w:r w:rsidRPr="009337EB">
        <w:rPr>
          <w:rFonts w:ascii="Arial" w:hAnsi="Arial" w:cs="Arial"/>
        </w:rPr>
        <w:t xml:space="preserve"> 2013 (4) NR 1029 (SC); </w:t>
      </w:r>
      <w:r w:rsidRPr="009337EB">
        <w:rPr>
          <w:rFonts w:ascii="Arial" w:hAnsi="Arial" w:cs="Arial"/>
          <w:i/>
        </w:rPr>
        <w:t>Shilongo v Church Council of the Evangelical Lutheran Church in the Republic of Namibia</w:t>
      </w:r>
      <w:r w:rsidRPr="009337EB">
        <w:rPr>
          <w:rFonts w:ascii="Arial" w:hAnsi="Arial" w:cs="Arial"/>
        </w:rPr>
        <w:t xml:space="preserve"> 2014 (1) NR 166 (SC); </w:t>
      </w:r>
      <w:r w:rsidRPr="009337EB">
        <w:rPr>
          <w:rFonts w:ascii="Arial" w:hAnsi="Arial" w:cs="Arial"/>
          <w:i/>
        </w:rPr>
        <w:t>Katjaimo v Katjaimo &amp; others</w:t>
      </w:r>
      <w:r w:rsidRPr="009337EB">
        <w:rPr>
          <w:rFonts w:ascii="Arial" w:hAnsi="Arial" w:cs="Arial"/>
        </w:rPr>
        <w:t xml:space="preserve"> 2015 (2) NR 340 (SC) para 34; </w:t>
      </w:r>
      <w:r w:rsidRPr="009337EB">
        <w:rPr>
          <w:rFonts w:ascii="Arial" w:hAnsi="Arial" w:cs="Arial"/>
          <w:i/>
        </w:rPr>
        <w:t>Tweya &amp; others v Herbert &amp; others</w:t>
      </w:r>
      <w:r w:rsidRPr="009337EB">
        <w:rPr>
          <w:rFonts w:ascii="Arial" w:hAnsi="Arial" w:cs="Arial"/>
        </w:rPr>
        <w:t xml:space="preserve"> (SA 76/2014) [2016] NASC (6 July 2016).</w:t>
      </w:r>
    </w:p>
  </w:footnote>
  <w:footnote w:id="6">
    <w:p w:rsidR="00FF3120" w:rsidRPr="009337EB" w:rsidRDefault="00FF3120"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w:t>
      </w:r>
      <w:r w:rsidR="00994BC2" w:rsidRPr="009337EB">
        <w:rPr>
          <w:rFonts w:ascii="Arial" w:hAnsi="Arial" w:cs="Arial"/>
        </w:rPr>
        <w:t>2020 (1) NR 19 (SC) paras 8-11</w:t>
      </w:r>
      <w:r w:rsidR="000C4A72" w:rsidRPr="009337EB">
        <w:rPr>
          <w:rFonts w:ascii="Arial" w:hAnsi="Arial" w:cs="Arial"/>
        </w:rPr>
        <w:t xml:space="preserve"> (</w:t>
      </w:r>
      <w:r w:rsidR="000C4A72" w:rsidRPr="009337EB">
        <w:rPr>
          <w:rFonts w:ascii="Arial" w:hAnsi="Arial" w:cs="Arial"/>
          <w:i/>
        </w:rPr>
        <w:t>Sun Square</w:t>
      </w:r>
      <w:r w:rsidR="000C4A72" w:rsidRPr="009337EB">
        <w:rPr>
          <w:rFonts w:ascii="Arial" w:hAnsi="Arial" w:cs="Arial"/>
        </w:rPr>
        <w:t>)</w:t>
      </w:r>
      <w:r w:rsidRPr="009337EB">
        <w:rPr>
          <w:rFonts w:ascii="Arial" w:hAnsi="Arial" w:cs="Arial"/>
        </w:rPr>
        <w:t>.</w:t>
      </w:r>
    </w:p>
  </w:footnote>
  <w:footnote w:id="7">
    <w:p w:rsidR="00E26DC8" w:rsidRPr="009337EB" w:rsidRDefault="00E26DC8"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w:t>
      </w:r>
      <w:r w:rsidR="000C4A72" w:rsidRPr="009337EB">
        <w:rPr>
          <w:rFonts w:ascii="Arial" w:hAnsi="Arial" w:cs="Arial"/>
        </w:rPr>
        <w:t>See</w:t>
      </w:r>
      <w:r w:rsidRPr="009337EB">
        <w:rPr>
          <w:rFonts w:ascii="Arial" w:hAnsi="Arial" w:cs="Arial"/>
        </w:rPr>
        <w:t xml:space="preserve"> </w:t>
      </w:r>
      <w:r w:rsidRPr="009337EB">
        <w:rPr>
          <w:rFonts w:ascii="Arial" w:hAnsi="Arial" w:cs="Arial"/>
          <w:i/>
        </w:rPr>
        <w:t>Sun Square</w:t>
      </w:r>
      <w:r w:rsidRPr="009337EB">
        <w:rPr>
          <w:rFonts w:ascii="Arial" w:hAnsi="Arial" w:cs="Arial"/>
        </w:rPr>
        <w:t>.</w:t>
      </w:r>
    </w:p>
  </w:footnote>
  <w:footnote w:id="8">
    <w:p w:rsidR="0066593E" w:rsidRPr="009337EB" w:rsidRDefault="0066593E"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w:t>
      </w:r>
      <w:r w:rsidRPr="009337EB">
        <w:rPr>
          <w:rFonts w:ascii="Arial" w:hAnsi="Arial" w:cs="Arial"/>
          <w:i/>
        </w:rPr>
        <w:t xml:space="preserve">Coin Security Group (Pty) Ltd v Smit N.O. &amp; others </w:t>
      </w:r>
      <w:r w:rsidRPr="009337EB">
        <w:rPr>
          <w:rFonts w:ascii="Arial" w:hAnsi="Arial" w:cs="Arial"/>
        </w:rPr>
        <w:t xml:space="preserve">1992 (3) SA 333 (A) at 343G-345C; </w:t>
      </w:r>
      <w:r w:rsidRPr="009337EB">
        <w:rPr>
          <w:rFonts w:ascii="Arial" w:hAnsi="Arial" w:cs="Arial"/>
          <w:i/>
        </w:rPr>
        <w:t xml:space="preserve">Thermo Radiant Oven Sales (Pty) Ltd v Nelspruit Bakeries (Pty) Ltd </w:t>
      </w:r>
      <w:r w:rsidRPr="009337EB">
        <w:rPr>
          <w:rFonts w:ascii="Arial" w:hAnsi="Arial" w:cs="Arial"/>
        </w:rPr>
        <w:t>1969 (2) SA 295 (A) at 301C-D.</w:t>
      </w:r>
    </w:p>
  </w:footnote>
  <w:footnote w:id="9">
    <w:p w:rsidR="00B06A94" w:rsidRPr="009337EB" w:rsidRDefault="00B06A94"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Section 47(2</w:t>
      </w:r>
      <w:r w:rsidRPr="007E1055">
        <w:rPr>
          <w:rFonts w:ascii="Arial" w:hAnsi="Arial" w:cs="Arial"/>
          <w:i/>
        </w:rPr>
        <w:t>)(f).</w:t>
      </w:r>
    </w:p>
  </w:footnote>
  <w:footnote w:id="10">
    <w:p w:rsidR="002A4847" w:rsidRPr="009337EB" w:rsidRDefault="002A4847"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Section 47(2)</w:t>
      </w:r>
      <w:r w:rsidRPr="007E1055">
        <w:rPr>
          <w:rFonts w:ascii="Arial" w:hAnsi="Arial" w:cs="Arial"/>
          <w:i/>
        </w:rPr>
        <w:t>(g)</w:t>
      </w:r>
      <w:r w:rsidR="007E1055">
        <w:rPr>
          <w:rFonts w:ascii="Arial" w:hAnsi="Arial" w:cs="Arial"/>
        </w:rPr>
        <w:t xml:space="preserve"> </w:t>
      </w:r>
      <w:r w:rsidRPr="009337EB">
        <w:rPr>
          <w:rFonts w:ascii="Arial" w:hAnsi="Arial" w:cs="Arial"/>
        </w:rPr>
        <w:t>.</w:t>
      </w:r>
    </w:p>
  </w:footnote>
  <w:footnote w:id="11">
    <w:p w:rsidR="00D704BB" w:rsidRPr="009337EB" w:rsidRDefault="00D704BB"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Section 48(3).</w:t>
      </w:r>
    </w:p>
  </w:footnote>
  <w:footnote w:id="12">
    <w:p w:rsidR="002A4847" w:rsidRPr="009337EB" w:rsidRDefault="002A4847"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Section 54.</w:t>
      </w:r>
    </w:p>
  </w:footnote>
  <w:footnote w:id="13">
    <w:p w:rsidR="002A4847" w:rsidRPr="009337EB" w:rsidRDefault="002A4847"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Section 55.</w:t>
      </w:r>
    </w:p>
  </w:footnote>
  <w:footnote w:id="14">
    <w:p w:rsidR="002A4847" w:rsidRPr="009337EB" w:rsidRDefault="002A4847"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Section 56</w:t>
      </w:r>
      <w:r w:rsidR="001B758C">
        <w:rPr>
          <w:rFonts w:ascii="Arial" w:hAnsi="Arial" w:cs="Arial"/>
        </w:rPr>
        <w:t>(2)</w:t>
      </w:r>
      <w:r w:rsidRPr="009337EB">
        <w:rPr>
          <w:rFonts w:ascii="Arial" w:hAnsi="Arial" w:cs="Arial"/>
        </w:rPr>
        <w:t>.</w:t>
      </w:r>
    </w:p>
  </w:footnote>
  <w:footnote w:id="15">
    <w:p w:rsidR="002A4847" w:rsidRPr="009337EB" w:rsidRDefault="002A4847"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Section 56(1).</w:t>
      </w:r>
    </w:p>
  </w:footnote>
  <w:footnote w:id="16">
    <w:p w:rsidR="00876DDA" w:rsidRPr="009337EB" w:rsidRDefault="00876DDA"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Section 56(3)</w:t>
      </w:r>
      <w:r w:rsidR="005C5725" w:rsidRPr="009337EB">
        <w:rPr>
          <w:rFonts w:ascii="Arial" w:hAnsi="Arial" w:cs="Arial"/>
        </w:rPr>
        <w:t>.</w:t>
      </w:r>
    </w:p>
  </w:footnote>
  <w:footnote w:id="17">
    <w:p w:rsidR="002A4847" w:rsidRPr="009337EB" w:rsidRDefault="002A4847" w:rsidP="00C33B66">
      <w:pPr>
        <w:pStyle w:val="FootnoteText"/>
        <w:jc w:val="both"/>
        <w:rPr>
          <w:rFonts w:ascii="Arial" w:hAnsi="Arial" w:cs="Arial"/>
        </w:rPr>
      </w:pPr>
      <w:r w:rsidRPr="009337EB">
        <w:rPr>
          <w:rStyle w:val="FootnoteReference"/>
          <w:rFonts w:ascii="Arial" w:hAnsi="Arial" w:cs="Arial"/>
        </w:rPr>
        <w:footnoteRef/>
      </w:r>
      <w:r w:rsidRPr="009337EB">
        <w:rPr>
          <w:rFonts w:ascii="Arial" w:hAnsi="Arial" w:cs="Arial"/>
        </w:rPr>
        <w:t xml:space="preserve"> Section</w:t>
      </w:r>
      <w:r w:rsidR="00155CF4">
        <w:rPr>
          <w:rFonts w:ascii="Arial" w:hAnsi="Arial" w:cs="Arial"/>
        </w:rPr>
        <w:t>s</w:t>
      </w:r>
      <w:r w:rsidRPr="009337EB">
        <w:rPr>
          <w:rFonts w:ascii="Arial" w:hAnsi="Arial" w:cs="Arial"/>
        </w:rPr>
        <w:t xml:space="preserve"> </w:t>
      </w:r>
      <w:r w:rsidR="00876DDA" w:rsidRPr="009337EB">
        <w:rPr>
          <w:rFonts w:ascii="Arial" w:hAnsi="Arial" w:cs="Arial"/>
        </w:rPr>
        <w:t>100</w:t>
      </w:r>
      <w:r w:rsidR="00155CF4">
        <w:rPr>
          <w:rFonts w:ascii="Arial" w:hAnsi="Arial" w:cs="Arial"/>
        </w:rPr>
        <w:t>, 101 and 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20135474"/>
      <w:docPartObj>
        <w:docPartGallery w:val="Page Numbers (Top of Page)"/>
        <w:docPartUnique/>
      </w:docPartObj>
    </w:sdtPr>
    <w:sdtEndPr>
      <w:rPr>
        <w:noProof/>
      </w:rPr>
    </w:sdtEndPr>
    <w:sdtContent>
      <w:p w:rsidR="00FF3120" w:rsidRPr="00111C5B" w:rsidRDefault="00FF3120">
        <w:pPr>
          <w:pStyle w:val="Header"/>
          <w:jc w:val="right"/>
          <w:rPr>
            <w:rFonts w:ascii="Arial" w:hAnsi="Arial" w:cs="Arial"/>
            <w:sz w:val="24"/>
            <w:szCs w:val="24"/>
          </w:rPr>
        </w:pPr>
        <w:r w:rsidRPr="00111C5B">
          <w:rPr>
            <w:rFonts w:ascii="Arial" w:hAnsi="Arial" w:cs="Arial"/>
            <w:sz w:val="24"/>
            <w:szCs w:val="24"/>
          </w:rPr>
          <w:fldChar w:fldCharType="begin"/>
        </w:r>
        <w:r w:rsidRPr="00111C5B">
          <w:rPr>
            <w:rFonts w:ascii="Arial" w:hAnsi="Arial" w:cs="Arial"/>
            <w:sz w:val="24"/>
            <w:szCs w:val="24"/>
          </w:rPr>
          <w:instrText xml:space="preserve"> PAGE   \* MERGEFORMAT </w:instrText>
        </w:r>
        <w:r w:rsidRPr="00111C5B">
          <w:rPr>
            <w:rFonts w:ascii="Arial" w:hAnsi="Arial" w:cs="Arial"/>
            <w:sz w:val="24"/>
            <w:szCs w:val="24"/>
          </w:rPr>
          <w:fldChar w:fldCharType="separate"/>
        </w:r>
        <w:r w:rsidR="00B01FDE">
          <w:rPr>
            <w:rFonts w:ascii="Arial" w:hAnsi="Arial" w:cs="Arial"/>
            <w:noProof/>
            <w:sz w:val="24"/>
            <w:szCs w:val="24"/>
          </w:rPr>
          <w:t>20</w:t>
        </w:r>
        <w:r w:rsidRPr="00111C5B">
          <w:rPr>
            <w:rFonts w:ascii="Arial" w:hAnsi="Arial" w:cs="Arial"/>
            <w:noProof/>
            <w:sz w:val="24"/>
            <w:szCs w:val="24"/>
          </w:rPr>
          <w:fldChar w:fldCharType="end"/>
        </w:r>
      </w:p>
    </w:sdtContent>
  </w:sdt>
  <w:p w:rsidR="00FF3120" w:rsidRDefault="00FF3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2BB"/>
    <w:multiLevelType w:val="hybridMultilevel"/>
    <w:tmpl w:val="734CB8EE"/>
    <w:lvl w:ilvl="0" w:tplc="12103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2146B6"/>
    <w:multiLevelType w:val="hybridMultilevel"/>
    <w:tmpl w:val="E9F62704"/>
    <w:lvl w:ilvl="0" w:tplc="BF42B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8FD79E5"/>
    <w:multiLevelType w:val="hybridMultilevel"/>
    <w:tmpl w:val="FF261B72"/>
    <w:lvl w:ilvl="0" w:tplc="DF30DBA6">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A8F39BD"/>
    <w:multiLevelType w:val="hybridMultilevel"/>
    <w:tmpl w:val="20560220"/>
    <w:lvl w:ilvl="0" w:tplc="2B84F1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0D093590"/>
    <w:multiLevelType w:val="hybridMultilevel"/>
    <w:tmpl w:val="0E982DB4"/>
    <w:lvl w:ilvl="0" w:tplc="48E87E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7"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135E6F"/>
    <w:multiLevelType w:val="hybridMultilevel"/>
    <w:tmpl w:val="AAD8D012"/>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1DD24AE7"/>
    <w:multiLevelType w:val="hybridMultilevel"/>
    <w:tmpl w:val="9B72D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6C3ACC"/>
    <w:multiLevelType w:val="hybridMultilevel"/>
    <w:tmpl w:val="044ACCC6"/>
    <w:lvl w:ilvl="0" w:tplc="3A288C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0D421D3"/>
    <w:multiLevelType w:val="hybridMultilevel"/>
    <w:tmpl w:val="B5F04B00"/>
    <w:lvl w:ilvl="0" w:tplc="04B030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EA50F7"/>
    <w:multiLevelType w:val="hybridMultilevel"/>
    <w:tmpl w:val="54024B86"/>
    <w:lvl w:ilvl="0" w:tplc="4FEA56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04D2B69"/>
    <w:multiLevelType w:val="hybridMultilevel"/>
    <w:tmpl w:val="53485B1E"/>
    <w:lvl w:ilvl="0" w:tplc="714860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40FB25B4"/>
    <w:multiLevelType w:val="hybridMultilevel"/>
    <w:tmpl w:val="9DFC34D2"/>
    <w:lvl w:ilvl="0" w:tplc="FEE09EAC">
      <w:start w:val="1"/>
      <w:numFmt w:val="lowerLetter"/>
      <w:lvlText w:val="(%1)"/>
      <w:lvlJc w:val="left"/>
      <w:pPr>
        <w:ind w:left="1080" w:hanging="360"/>
      </w:pPr>
      <w:rPr>
        <w:rFonts w:asciiTheme="minorHAnsi" w:hAnsiTheme="minorHAnsi" w:cstheme="minorBid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45B134E"/>
    <w:multiLevelType w:val="hybridMultilevel"/>
    <w:tmpl w:val="8EAE15B8"/>
    <w:lvl w:ilvl="0" w:tplc="710C72B6">
      <w:start w:val="1"/>
      <w:numFmt w:val="decimal"/>
      <w:lvlText w:val="[%1]"/>
      <w:lvlJc w:val="left"/>
      <w:pPr>
        <w:ind w:left="234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D6B4D67"/>
    <w:multiLevelType w:val="hybridMultilevel"/>
    <w:tmpl w:val="17E89458"/>
    <w:lvl w:ilvl="0" w:tplc="2D627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4EA42A60"/>
    <w:multiLevelType w:val="hybridMultilevel"/>
    <w:tmpl w:val="6B609B84"/>
    <w:lvl w:ilvl="0" w:tplc="79B6B640">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8"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30"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8"/>
  </w:num>
  <w:num w:numId="3">
    <w:abstractNumId w:val="35"/>
  </w:num>
  <w:num w:numId="4">
    <w:abstractNumId w:val="22"/>
  </w:num>
  <w:num w:numId="5">
    <w:abstractNumId w:val="29"/>
  </w:num>
  <w:num w:numId="6">
    <w:abstractNumId w:val="2"/>
  </w:num>
  <w:num w:numId="7">
    <w:abstractNumId w:val="32"/>
  </w:num>
  <w:num w:numId="8">
    <w:abstractNumId w:val="13"/>
  </w:num>
  <w:num w:numId="9">
    <w:abstractNumId w:val="33"/>
  </w:num>
  <w:num w:numId="10">
    <w:abstractNumId w:val="20"/>
  </w:num>
  <w:num w:numId="11">
    <w:abstractNumId w:val="9"/>
  </w:num>
  <w:num w:numId="12">
    <w:abstractNumId w:val="6"/>
  </w:num>
  <w:num w:numId="13">
    <w:abstractNumId w:val="17"/>
  </w:num>
  <w:num w:numId="14">
    <w:abstractNumId w:val="23"/>
  </w:num>
  <w:num w:numId="15">
    <w:abstractNumId w:val="19"/>
  </w:num>
  <w:num w:numId="16">
    <w:abstractNumId w:val="18"/>
  </w:num>
  <w:num w:numId="17">
    <w:abstractNumId w:val="30"/>
  </w:num>
  <w:num w:numId="18">
    <w:abstractNumId w:val="34"/>
  </w:num>
  <w:num w:numId="19">
    <w:abstractNumId w:val="24"/>
  </w:num>
  <w:num w:numId="20">
    <w:abstractNumId w:val="31"/>
  </w:num>
  <w:num w:numId="21">
    <w:abstractNumId w:val="26"/>
  </w:num>
  <w:num w:numId="22">
    <w:abstractNumId w:val="7"/>
  </w:num>
  <w:num w:numId="23">
    <w:abstractNumId w:val="16"/>
  </w:num>
  <w:num w:numId="24">
    <w:abstractNumId w:val="4"/>
  </w:num>
  <w:num w:numId="25">
    <w:abstractNumId w:val="5"/>
  </w:num>
  <w:num w:numId="26">
    <w:abstractNumId w:val="25"/>
  </w:num>
  <w:num w:numId="27">
    <w:abstractNumId w:val="0"/>
  </w:num>
  <w:num w:numId="28">
    <w:abstractNumId w:val="3"/>
  </w:num>
  <w:num w:numId="29">
    <w:abstractNumId w:val="8"/>
  </w:num>
  <w:num w:numId="30">
    <w:abstractNumId w:val="21"/>
  </w:num>
  <w:num w:numId="31">
    <w:abstractNumId w:val="12"/>
  </w:num>
  <w:num w:numId="32">
    <w:abstractNumId w:val="1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15F4"/>
    <w:rsid w:val="0000225F"/>
    <w:rsid w:val="00004C4D"/>
    <w:rsid w:val="0000525D"/>
    <w:rsid w:val="00010CA6"/>
    <w:rsid w:val="00011B9E"/>
    <w:rsid w:val="00011EB9"/>
    <w:rsid w:val="00012D59"/>
    <w:rsid w:val="00012FAA"/>
    <w:rsid w:val="00013AB7"/>
    <w:rsid w:val="00016703"/>
    <w:rsid w:val="000177B8"/>
    <w:rsid w:val="00020736"/>
    <w:rsid w:val="00021ECC"/>
    <w:rsid w:val="00022452"/>
    <w:rsid w:val="00022644"/>
    <w:rsid w:val="000231F7"/>
    <w:rsid w:val="00026DD5"/>
    <w:rsid w:val="0002744F"/>
    <w:rsid w:val="000276F0"/>
    <w:rsid w:val="00030C69"/>
    <w:rsid w:val="00031EBA"/>
    <w:rsid w:val="00033256"/>
    <w:rsid w:val="00034839"/>
    <w:rsid w:val="000400C4"/>
    <w:rsid w:val="00040AC4"/>
    <w:rsid w:val="00042A20"/>
    <w:rsid w:val="00042B3A"/>
    <w:rsid w:val="000433D8"/>
    <w:rsid w:val="00043713"/>
    <w:rsid w:val="00044AD2"/>
    <w:rsid w:val="00045931"/>
    <w:rsid w:val="000478EF"/>
    <w:rsid w:val="00052B8A"/>
    <w:rsid w:val="00055805"/>
    <w:rsid w:val="00057B7B"/>
    <w:rsid w:val="000610A3"/>
    <w:rsid w:val="000626CC"/>
    <w:rsid w:val="000643B5"/>
    <w:rsid w:val="00065459"/>
    <w:rsid w:val="00066723"/>
    <w:rsid w:val="0007080A"/>
    <w:rsid w:val="00071EB4"/>
    <w:rsid w:val="00073046"/>
    <w:rsid w:val="00073FC7"/>
    <w:rsid w:val="00074D92"/>
    <w:rsid w:val="00075ABD"/>
    <w:rsid w:val="00076790"/>
    <w:rsid w:val="00076931"/>
    <w:rsid w:val="00076F53"/>
    <w:rsid w:val="00077B52"/>
    <w:rsid w:val="0008009C"/>
    <w:rsid w:val="00081A0D"/>
    <w:rsid w:val="0008263C"/>
    <w:rsid w:val="000840CA"/>
    <w:rsid w:val="00084121"/>
    <w:rsid w:val="0008554B"/>
    <w:rsid w:val="00090B47"/>
    <w:rsid w:val="000918CB"/>
    <w:rsid w:val="00092565"/>
    <w:rsid w:val="00092A31"/>
    <w:rsid w:val="00092D5D"/>
    <w:rsid w:val="00094C79"/>
    <w:rsid w:val="00096D67"/>
    <w:rsid w:val="000A2F02"/>
    <w:rsid w:val="000A3C68"/>
    <w:rsid w:val="000A3CA0"/>
    <w:rsid w:val="000A3CE5"/>
    <w:rsid w:val="000A3F6B"/>
    <w:rsid w:val="000A4DEC"/>
    <w:rsid w:val="000B06C9"/>
    <w:rsid w:val="000B0A11"/>
    <w:rsid w:val="000B4941"/>
    <w:rsid w:val="000B587E"/>
    <w:rsid w:val="000B5B95"/>
    <w:rsid w:val="000B6715"/>
    <w:rsid w:val="000B75AB"/>
    <w:rsid w:val="000C1390"/>
    <w:rsid w:val="000C28BD"/>
    <w:rsid w:val="000C2A58"/>
    <w:rsid w:val="000C2D19"/>
    <w:rsid w:val="000C4126"/>
    <w:rsid w:val="000C4A72"/>
    <w:rsid w:val="000C5C13"/>
    <w:rsid w:val="000D1ADC"/>
    <w:rsid w:val="000D1E08"/>
    <w:rsid w:val="000D1F3C"/>
    <w:rsid w:val="000D2762"/>
    <w:rsid w:val="000D2D5A"/>
    <w:rsid w:val="000D3FA5"/>
    <w:rsid w:val="000D5AC2"/>
    <w:rsid w:val="000E008B"/>
    <w:rsid w:val="000E0BFC"/>
    <w:rsid w:val="000E3DF0"/>
    <w:rsid w:val="000E4E76"/>
    <w:rsid w:val="000E5305"/>
    <w:rsid w:val="000E6B27"/>
    <w:rsid w:val="000E6CCD"/>
    <w:rsid w:val="000F1A59"/>
    <w:rsid w:val="000F27F1"/>
    <w:rsid w:val="000F3DA6"/>
    <w:rsid w:val="000F4BBD"/>
    <w:rsid w:val="000F4E2E"/>
    <w:rsid w:val="000F542F"/>
    <w:rsid w:val="000F613E"/>
    <w:rsid w:val="000F61A4"/>
    <w:rsid w:val="000F7D77"/>
    <w:rsid w:val="00101FDB"/>
    <w:rsid w:val="0010254D"/>
    <w:rsid w:val="00104BAD"/>
    <w:rsid w:val="00105960"/>
    <w:rsid w:val="00105AAF"/>
    <w:rsid w:val="00107552"/>
    <w:rsid w:val="00111339"/>
    <w:rsid w:val="00111C5B"/>
    <w:rsid w:val="00112DA2"/>
    <w:rsid w:val="00114682"/>
    <w:rsid w:val="00114929"/>
    <w:rsid w:val="00115687"/>
    <w:rsid w:val="00115A1F"/>
    <w:rsid w:val="00117CE3"/>
    <w:rsid w:val="00120911"/>
    <w:rsid w:val="00120F58"/>
    <w:rsid w:val="00121972"/>
    <w:rsid w:val="001222DE"/>
    <w:rsid w:val="001227DB"/>
    <w:rsid w:val="00123F14"/>
    <w:rsid w:val="0012439B"/>
    <w:rsid w:val="00125DEC"/>
    <w:rsid w:val="00126312"/>
    <w:rsid w:val="00126E64"/>
    <w:rsid w:val="00126F0A"/>
    <w:rsid w:val="00127445"/>
    <w:rsid w:val="00130103"/>
    <w:rsid w:val="00132216"/>
    <w:rsid w:val="001327CE"/>
    <w:rsid w:val="0013380E"/>
    <w:rsid w:val="00135038"/>
    <w:rsid w:val="0013608D"/>
    <w:rsid w:val="00136880"/>
    <w:rsid w:val="00140678"/>
    <w:rsid w:val="00140A9D"/>
    <w:rsid w:val="00141D30"/>
    <w:rsid w:val="001423E7"/>
    <w:rsid w:val="0014303A"/>
    <w:rsid w:val="00143DFC"/>
    <w:rsid w:val="0015020C"/>
    <w:rsid w:val="0015083E"/>
    <w:rsid w:val="00151FFA"/>
    <w:rsid w:val="00153F19"/>
    <w:rsid w:val="001548B9"/>
    <w:rsid w:val="00155CF4"/>
    <w:rsid w:val="001566B8"/>
    <w:rsid w:val="0015782D"/>
    <w:rsid w:val="001578CD"/>
    <w:rsid w:val="001617C5"/>
    <w:rsid w:val="00161C35"/>
    <w:rsid w:val="00162A82"/>
    <w:rsid w:val="001634AF"/>
    <w:rsid w:val="00163660"/>
    <w:rsid w:val="00167F33"/>
    <w:rsid w:val="0017081A"/>
    <w:rsid w:val="0017115B"/>
    <w:rsid w:val="00173532"/>
    <w:rsid w:val="00180CE0"/>
    <w:rsid w:val="001838C9"/>
    <w:rsid w:val="00184D66"/>
    <w:rsid w:val="00185996"/>
    <w:rsid w:val="00190F70"/>
    <w:rsid w:val="00192135"/>
    <w:rsid w:val="00192C22"/>
    <w:rsid w:val="00193825"/>
    <w:rsid w:val="00194D51"/>
    <w:rsid w:val="001957EE"/>
    <w:rsid w:val="001A0E25"/>
    <w:rsid w:val="001A2B18"/>
    <w:rsid w:val="001A4A99"/>
    <w:rsid w:val="001A582C"/>
    <w:rsid w:val="001A666A"/>
    <w:rsid w:val="001A6B0E"/>
    <w:rsid w:val="001A709E"/>
    <w:rsid w:val="001A77B8"/>
    <w:rsid w:val="001A7909"/>
    <w:rsid w:val="001B4200"/>
    <w:rsid w:val="001B4618"/>
    <w:rsid w:val="001B61E6"/>
    <w:rsid w:val="001B758C"/>
    <w:rsid w:val="001C1FD2"/>
    <w:rsid w:val="001C25C8"/>
    <w:rsid w:val="001C25CA"/>
    <w:rsid w:val="001C2720"/>
    <w:rsid w:val="001C518C"/>
    <w:rsid w:val="001C558D"/>
    <w:rsid w:val="001C7DF6"/>
    <w:rsid w:val="001D0810"/>
    <w:rsid w:val="001D08D7"/>
    <w:rsid w:val="001D3506"/>
    <w:rsid w:val="001D4398"/>
    <w:rsid w:val="001D4856"/>
    <w:rsid w:val="001D4EB4"/>
    <w:rsid w:val="001D54FB"/>
    <w:rsid w:val="001D58BA"/>
    <w:rsid w:val="001D608A"/>
    <w:rsid w:val="001D636E"/>
    <w:rsid w:val="001E18DF"/>
    <w:rsid w:val="001E299E"/>
    <w:rsid w:val="001E3888"/>
    <w:rsid w:val="001E44D9"/>
    <w:rsid w:val="001E4C77"/>
    <w:rsid w:val="001F004F"/>
    <w:rsid w:val="001F4CB8"/>
    <w:rsid w:val="001F7942"/>
    <w:rsid w:val="0020220F"/>
    <w:rsid w:val="0020312C"/>
    <w:rsid w:val="0020572A"/>
    <w:rsid w:val="00206744"/>
    <w:rsid w:val="00207296"/>
    <w:rsid w:val="00207960"/>
    <w:rsid w:val="00207D05"/>
    <w:rsid w:val="0021448D"/>
    <w:rsid w:val="00215D8F"/>
    <w:rsid w:val="002212AD"/>
    <w:rsid w:val="002245DA"/>
    <w:rsid w:val="00224757"/>
    <w:rsid w:val="002317A5"/>
    <w:rsid w:val="002337F7"/>
    <w:rsid w:val="00235497"/>
    <w:rsid w:val="00235E57"/>
    <w:rsid w:val="00236C2D"/>
    <w:rsid w:val="0023748C"/>
    <w:rsid w:val="002441F9"/>
    <w:rsid w:val="002444CD"/>
    <w:rsid w:val="002447B6"/>
    <w:rsid w:val="002457A4"/>
    <w:rsid w:val="00251412"/>
    <w:rsid w:val="00262874"/>
    <w:rsid w:val="00262EF8"/>
    <w:rsid w:val="0026340F"/>
    <w:rsid w:val="00263481"/>
    <w:rsid w:val="002658ED"/>
    <w:rsid w:val="002662E3"/>
    <w:rsid w:val="00266E2B"/>
    <w:rsid w:val="00266EBB"/>
    <w:rsid w:val="00273EE9"/>
    <w:rsid w:val="00274F4E"/>
    <w:rsid w:val="002755A3"/>
    <w:rsid w:val="00277291"/>
    <w:rsid w:val="002772FF"/>
    <w:rsid w:val="002834E8"/>
    <w:rsid w:val="002855CF"/>
    <w:rsid w:val="00285C4B"/>
    <w:rsid w:val="00286029"/>
    <w:rsid w:val="00286F17"/>
    <w:rsid w:val="00290EE3"/>
    <w:rsid w:val="0029124C"/>
    <w:rsid w:val="00291956"/>
    <w:rsid w:val="002933AF"/>
    <w:rsid w:val="00294302"/>
    <w:rsid w:val="00297107"/>
    <w:rsid w:val="002A2B5C"/>
    <w:rsid w:val="002A4847"/>
    <w:rsid w:val="002A4C01"/>
    <w:rsid w:val="002B0CAC"/>
    <w:rsid w:val="002B1CE3"/>
    <w:rsid w:val="002B285C"/>
    <w:rsid w:val="002B2DA3"/>
    <w:rsid w:val="002B6F2A"/>
    <w:rsid w:val="002C0FC3"/>
    <w:rsid w:val="002C0FF2"/>
    <w:rsid w:val="002C1199"/>
    <w:rsid w:val="002C2CDC"/>
    <w:rsid w:val="002C3E6D"/>
    <w:rsid w:val="002C568C"/>
    <w:rsid w:val="002C758D"/>
    <w:rsid w:val="002D1B71"/>
    <w:rsid w:val="002D1D8D"/>
    <w:rsid w:val="002D1E38"/>
    <w:rsid w:val="002D1F1E"/>
    <w:rsid w:val="002D392F"/>
    <w:rsid w:val="002D5D6D"/>
    <w:rsid w:val="002D60C7"/>
    <w:rsid w:val="002E426A"/>
    <w:rsid w:val="002E43C6"/>
    <w:rsid w:val="002E4E6A"/>
    <w:rsid w:val="002E708E"/>
    <w:rsid w:val="002F12B3"/>
    <w:rsid w:val="002F1E29"/>
    <w:rsid w:val="002F27EF"/>
    <w:rsid w:val="002F52F9"/>
    <w:rsid w:val="002F7D7C"/>
    <w:rsid w:val="0030014D"/>
    <w:rsid w:val="00300CD3"/>
    <w:rsid w:val="003026B6"/>
    <w:rsid w:val="003039EF"/>
    <w:rsid w:val="003042AF"/>
    <w:rsid w:val="00305FE9"/>
    <w:rsid w:val="00306CA5"/>
    <w:rsid w:val="0030702B"/>
    <w:rsid w:val="0030737F"/>
    <w:rsid w:val="0030775E"/>
    <w:rsid w:val="00310940"/>
    <w:rsid w:val="00312262"/>
    <w:rsid w:val="00317522"/>
    <w:rsid w:val="003212CE"/>
    <w:rsid w:val="0032135C"/>
    <w:rsid w:val="0032148F"/>
    <w:rsid w:val="00321ED1"/>
    <w:rsid w:val="00324725"/>
    <w:rsid w:val="0032579A"/>
    <w:rsid w:val="003276F9"/>
    <w:rsid w:val="00332577"/>
    <w:rsid w:val="0033360D"/>
    <w:rsid w:val="00333E58"/>
    <w:rsid w:val="003346AE"/>
    <w:rsid w:val="00336139"/>
    <w:rsid w:val="0033772A"/>
    <w:rsid w:val="00337BE9"/>
    <w:rsid w:val="00346C25"/>
    <w:rsid w:val="00351E20"/>
    <w:rsid w:val="00352985"/>
    <w:rsid w:val="003551AC"/>
    <w:rsid w:val="00355FCD"/>
    <w:rsid w:val="00357C85"/>
    <w:rsid w:val="003619CC"/>
    <w:rsid w:val="00361E96"/>
    <w:rsid w:val="00362560"/>
    <w:rsid w:val="00363974"/>
    <w:rsid w:val="00370025"/>
    <w:rsid w:val="003745AA"/>
    <w:rsid w:val="0037609A"/>
    <w:rsid w:val="003801E5"/>
    <w:rsid w:val="00381349"/>
    <w:rsid w:val="003863FC"/>
    <w:rsid w:val="003879E0"/>
    <w:rsid w:val="00387E33"/>
    <w:rsid w:val="00395B99"/>
    <w:rsid w:val="00396B62"/>
    <w:rsid w:val="003A1DAC"/>
    <w:rsid w:val="003A2101"/>
    <w:rsid w:val="003A31DE"/>
    <w:rsid w:val="003A4CE3"/>
    <w:rsid w:val="003A78BA"/>
    <w:rsid w:val="003B0665"/>
    <w:rsid w:val="003B1AAE"/>
    <w:rsid w:val="003B5B36"/>
    <w:rsid w:val="003B72EC"/>
    <w:rsid w:val="003B782C"/>
    <w:rsid w:val="003B7CB7"/>
    <w:rsid w:val="003C231E"/>
    <w:rsid w:val="003C276A"/>
    <w:rsid w:val="003C3011"/>
    <w:rsid w:val="003C4C67"/>
    <w:rsid w:val="003D0CE6"/>
    <w:rsid w:val="003D2579"/>
    <w:rsid w:val="003D4A07"/>
    <w:rsid w:val="003D5DB5"/>
    <w:rsid w:val="003D6A9C"/>
    <w:rsid w:val="003D6C13"/>
    <w:rsid w:val="003D7216"/>
    <w:rsid w:val="003E019E"/>
    <w:rsid w:val="003E1056"/>
    <w:rsid w:val="003E289D"/>
    <w:rsid w:val="003E2DB6"/>
    <w:rsid w:val="003E322E"/>
    <w:rsid w:val="003E34C8"/>
    <w:rsid w:val="003E46F3"/>
    <w:rsid w:val="003E51AD"/>
    <w:rsid w:val="003E77F5"/>
    <w:rsid w:val="003E7F28"/>
    <w:rsid w:val="003F0E71"/>
    <w:rsid w:val="003F0F43"/>
    <w:rsid w:val="003F1463"/>
    <w:rsid w:val="003F2001"/>
    <w:rsid w:val="003F3800"/>
    <w:rsid w:val="003F5965"/>
    <w:rsid w:val="003F5E62"/>
    <w:rsid w:val="00400FC6"/>
    <w:rsid w:val="004023CC"/>
    <w:rsid w:val="00406D6A"/>
    <w:rsid w:val="00407728"/>
    <w:rsid w:val="004107D3"/>
    <w:rsid w:val="00413FB2"/>
    <w:rsid w:val="00414081"/>
    <w:rsid w:val="00414C3B"/>
    <w:rsid w:val="004154C8"/>
    <w:rsid w:val="0041592B"/>
    <w:rsid w:val="004165C2"/>
    <w:rsid w:val="00416D26"/>
    <w:rsid w:val="00416EF2"/>
    <w:rsid w:val="00417945"/>
    <w:rsid w:val="00417BF1"/>
    <w:rsid w:val="004211CC"/>
    <w:rsid w:val="004215C2"/>
    <w:rsid w:val="00421FAC"/>
    <w:rsid w:val="00422686"/>
    <w:rsid w:val="00423744"/>
    <w:rsid w:val="00424142"/>
    <w:rsid w:val="00427400"/>
    <w:rsid w:val="00430321"/>
    <w:rsid w:val="00431601"/>
    <w:rsid w:val="00432E79"/>
    <w:rsid w:val="00436AEB"/>
    <w:rsid w:val="00437C60"/>
    <w:rsid w:val="004425FC"/>
    <w:rsid w:val="0044790E"/>
    <w:rsid w:val="00450915"/>
    <w:rsid w:val="00451609"/>
    <w:rsid w:val="00454EC2"/>
    <w:rsid w:val="00456D8B"/>
    <w:rsid w:val="004577FF"/>
    <w:rsid w:val="00457F24"/>
    <w:rsid w:val="00461B37"/>
    <w:rsid w:val="0046269D"/>
    <w:rsid w:val="00464AAA"/>
    <w:rsid w:val="004664A0"/>
    <w:rsid w:val="00470864"/>
    <w:rsid w:val="004732FD"/>
    <w:rsid w:val="004738B5"/>
    <w:rsid w:val="00475018"/>
    <w:rsid w:val="00475114"/>
    <w:rsid w:val="00475F4A"/>
    <w:rsid w:val="004774C0"/>
    <w:rsid w:val="00481680"/>
    <w:rsid w:val="00485805"/>
    <w:rsid w:val="00485BB6"/>
    <w:rsid w:val="004921A4"/>
    <w:rsid w:val="00492B12"/>
    <w:rsid w:val="00493B5A"/>
    <w:rsid w:val="00494F8E"/>
    <w:rsid w:val="0049692A"/>
    <w:rsid w:val="00497D6A"/>
    <w:rsid w:val="00497DB0"/>
    <w:rsid w:val="004A2184"/>
    <w:rsid w:val="004A3815"/>
    <w:rsid w:val="004A4108"/>
    <w:rsid w:val="004A4875"/>
    <w:rsid w:val="004A4E9A"/>
    <w:rsid w:val="004A5FD0"/>
    <w:rsid w:val="004A60BA"/>
    <w:rsid w:val="004A64D1"/>
    <w:rsid w:val="004B07A4"/>
    <w:rsid w:val="004B1588"/>
    <w:rsid w:val="004B2A80"/>
    <w:rsid w:val="004B31D9"/>
    <w:rsid w:val="004B4AEE"/>
    <w:rsid w:val="004B584B"/>
    <w:rsid w:val="004B6477"/>
    <w:rsid w:val="004B6BA4"/>
    <w:rsid w:val="004C0E0B"/>
    <w:rsid w:val="004C0E72"/>
    <w:rsid w:val="004C4D6B"/>
    <w:rsid w:val="004C50CB"/>
    <w:rsid w:val="004D1969"/>
    <w:rsid w:val="004D77F2"/>
    <w:rsid w:val="004E0F45"/>
    <w:rsid w:val="004E198A"/>
    <w:rsid w:val="004E21E1"/>
    <w:rsid w:val="004E2834"/>
    <w:rsid w:val="004E2A24"/>
    <w:rsid w:val="004E503B"/>
    <w:rsid w:val="004E6C81"/>
    <w:rsid w:val="004E7000"/>
    <w:rsid w:val="004F0B37"/>
    <w:rsid w:val="004F0C0D"/>
    <w:rsid w:val="004F15DB"/>
    <w:rsid w:val="004F2F0E"/>
    <w:rsid w:val="004F41EF"/>
    <w:rsid w:val="004F44AA"/>
    <w:rsid w:val="004F5128"/>
    <w:rsid w:val="004F5883"/>
    <w:rsid w:val="004F7B5B"/>
    <w:rsid w:val="004F7C7C"/>
    <w:rsid w:val="00501505"/>
    <w:rsid w:val="00503269"/>
    <w:rsid w:val="005100F2"/>
    <w:rsid w:val="00510B8B"/>
    <w:rsid w:val="00511905"/>
    <w:rsid w:val="00512CAD"/>
    <w:rsid w:val="00513468"/>
    <w:rsid w:val="005157B4"/>
    <w:rsid w:val="005168D5"/>
    <w:rsid w:val="00516EBB"/>
    <w:rsid w:val="005171C3"/>
    <w:rsid w:val="0051747D"/>
    <w:rsid w:val="00517EF4"/>
    <w:rsid w:val="005221AF"/>
    <w:rsid w:val="00524ED7"/>
    <w:rsid w:val="00525451"/>
    <w:rsid w:val="00525868"/>
    <w:rsid w:val="005301B6"/>
    <w:rsid w:val="0053087E"/>
    <w:rsid w:val="005318B8"/>
    <w:rsid w:val="00532C17"/>
    <w:rsid w:val="00532D93"/>
    <w:rsid w:val="00534547"/>
    <w:rsid w:val="0053623E"/>
    <w:rsid w:val="00536A02"/>
    <w:rsid w:val="005370C1"/>
    <w:rsid w:val="0053799E"/>
    <w:rsid w:val="0054155C"/>
    <w:rsid w:val="00543606"/>
    <w:rsid w:val="0055044E"/>
    <w:rsid w:val="00550AEE"/>
    <w:rsid w:val="00550DE2"/>
    <w:rsid w:val="00551CFA"/>
    <w:rsid w:val="0055212E"/>
    <w:rsid w:val="00552F70"/>
    <w:rsid w:val="00553981"/>
    <w:rsid w:val="00554FF4"/>
    <w:rsid w:val="00556075"/>
    <w:rsid w:val="00556D82"/>
    <w:rsid w:val="005617D0"/>
    <w:rsid w:val="00562666"/>
    <w:rsid w:val="00563855"/>
    <w:rsid w:val="005653A5"/>
    <w:rsid w:val="005717E1"/>
    <w:rsid w:val="00571EB3"/>
    <w:rsid w:val="00573289"/>
    <w:rsid w:val="00573E12"/>
    <w:rsid w:val="00576598"/>
    <w:rsid w:val="0058160A"/>
    <w:rsid w:val="00581EA3"/>
    <w:rsid w:val="005821BB"/>
    <w:rsid w:val="00582D9F"/>
    <w:rsid w:val="00584213"/>
    <w:rsid w:val="00584D15"/>
    <w:rsid w:val="00587010"/>
    <w:rsid w:val="00592466"/>
    <w:rsid w:val="0059472F"/>
    <w:rsid w:val="00594EA3"/>
    <w:rsid w:val="005A05CC"/>
    <w:rsid w:val="005A0E6E"/>
    <w:rsid w:val="005A2269"/>
    <w:rsid w:val="005A3F59"/>
    <w:rsid w:val="005A531E"/>
    <w:rsid w:val="005A73A9"/>
    <w:rsid w:val="005B365F"/>
    <w:rsid w:val="005B4417"/>
    <w:rsid w:val="005B483F"/>
    <w:rsid w:val="005B496A"/>
    <w:rsid w:val="005B66B4"/>
    <w:rsid w:val="005C0BAB"/>
    <w:rsid w:val="005C38CD"/>
    <w:rsid w:val="005C40C0"/>
    <w:rsid w:val="005C5725"/>
    <w:rsid w:val="005C577D"/>
    <w:rsid w:val="005C5B26"/>
    <w:rsid w:val="005C6696"/>
    <w:rsid w:val="005D057E"/>
    <w:rsid w:val="005D1CBE"/>
    <w:rsid w:val="005D3137"/>
    <w:rsid w:val="005D54CF"/>
    <w:rsid w:val="005D6CA4"/>
    <w:rsid w:val="005D6E01"/>
    <w:rsid w:val="005E22D2"/>
    <w:rsid w:val="005E3089"/>
    <w:rsid w:val="005E3190"/>
    <w:rsid w:val="005E4D0E"/>
    <w:rsid w:val="005F2A59"/>
    <w:rsid w:val="005F2BE5"/>
    <w:rsid w:val="005F68D7"/>
    <w:rsid w:val="005F71EA"/>
    <w:rsid w:val="00603C78"/>
    <w:rsid w:val="00607F6F"/>
    <w:rsid w:val="006105DE"/>
    <w:rsid w:val="00611352"/>
    <w:rsid w:val="0061491A"/>
    <w:rsid w:val="006160AD"/>
    <w:rsid w:val="006166D8"/>
    <w:rsid w:val="00623F46"/>
    <w:rsid w:val="00624D99"/>
    <w:rsid w:val="00626913"/>
    <w:rsid w:val="00626A9F"/>
    <w:rsid w:val="00630329"/>
    <w:rsid w:val="00633338"/>
    <w:rsid w:val="00634C4D"/>
    <w:rsid w:val="00637546"/>
    <w:rsid w:val="006406F0"/>
    <w:rsid w:val="00642FBC"/>
    <w:rsid w:val="00643C33"/>
    <w:rsid w:val="006445D0"/>
    <w:rsid w:val="00644878"/>
    <w:rsid w:val="00644C54"/>
    <w:rsid w:val="006515A9"/>
    <w:rsid w:val="00653333"/>
    <w:rsid w:val="00653E17"/>
    <w:rsid w:val="006556C0"/>
    <w:rsid w:val="00656CD1"/>
    <w:rsid w:val="00662CAC"/>
    <w:rsid w:val="00662DCC"/>
    <w:rsid w:val="00662F25"/>
    <w:rsid w:val="0066593E"/>
    <w:rsid w:val="006673D0"/>
    <w:rsid w:val="00670783"/>
    <w:rsid w:val="00673B76"/>
    <w:rsid w:val="00673E44"/>
    <w:rsid w:val="00673FBC"/>
    <w:rsid w:val="0067405A"/>
    <w:rsid w:val="00675D54"/>
    <w:rsid w:val="00676179"/>
    <w:rsid w:val="00676260"/>
    <w:rsid w:val="00676451"/>
    <w:rsid w:val="006816E8"/>
    <w:rsid w:val="00682C7E"/>
    <w:rsid w:val="00683671"/>
    <w:rsid w:val="0068387E"/>
    <w:rsid w:val="00684CD4"/>
    <w:rsid w:val="00684F4E"/>
    <w:rsid w:val="00685B56"/>
    <w:rsid w:val="006865D5"/>
    <w:rsid w:val="006908E6"/>
    <w:rsid w:val="00692548"/>
    <w:rsid w:val="0069532C"/>
    <w:rsid w:val="006A06DE"/>
    <w:rsid w:val="006A29CE"/>
    <w:rsid w:val="006A368C"/>
    <w:rsid w:val="006A6418"/>
    <w:rsid w:val="006A660B"/>
    <w:rsid w:val="006A7919"/>
    <w:rsid w:val="006A7F7A"/>
    <w:rsid w:val="006B30C3"/>
    <w:rsid w:val="006B428A"/>
    <w:rsid w:val="006B79FA"/>
    <w:rsid w:val="006C367B"/>
    <w:rsid w:val="006C3C07"/>
    <w:rsid w:val="006C4BC6"/>
    <w:rsid w:val="006C50CB"/>
    <w:rsid w:val="006C7E78"/>
    <w:rsid w:val="006D094B"/>
    <w:rsid w:val="006D47AF"/>
    <w:rsid w:val="006D6DA9"/>
    <w:rsid w:val="006D7412"/>
    <w:rsid w:val="006E190D"/>
    <w:rsid w:val="006E2ABB"/>
    <w:rsid w:val="006E5B7E"/>
    <w:rsid w:val="006E698F"/>
    <w:rsid w:val="006F1A08"/>
    <w:rsid w:val="006F381E"/>
    <w:rsid w:val="006F4B7D"/>
    <w:rsid w:val="006F6A61"/>
    <w:rsid w:val="00700E33"/>
    <w:rsid w:val="0070158E"/>
    <w:rsid w:val="00701F58"/>
    <w:rsid w:val="00703AD3"/>
    <w:rsid w:val="00707ADB"/>
    <w:rsid w:val="00710062"/>
    <w:rsid w:val="007104EF"/>
    <w:rsid w:val="00711D32"/>
    <w:rsid w:val="00712D3F"/>
    <w:rsid w:val="007138EE"/>
    <w:rsid w:val="00715FFD"/>
    <w:rsid w:val="0071730B"/>
    <w:rsid w:val="0071760F"/>
    <w:rsid w:val="007217AA"/>
    <w:rsid w:val="00721889"/>
    <w:rsid w:val="007233CE"/>
    <w:rsid w:val="00725ABD"/>
    <w:rsid w:val="00726AAE"/>
    <w:rsid w:val="00730A27"/>
    <w:rsid w:val="00730DB7"/>
    <w:rsid w:val="0073324C"/>
    <w:rsid w:val="00735106"/>
    <w:rsid w:val="00736B0D"/>
    <w:rsid w:val="007402BF"/>
    <w:rsid w:val="00742201"/>
    <w:rsid w:val="00742AE8"/>
    <w:rsid w:val="00742D5B"/>
    <w:rsid w:val="00744D03"/>
    <w:rsid w:val="00745BF5"/>
    <w:rsid w:val="00747138"/>
    <w:rsid w:val="00747300"/>
    <w:rsid w:val="00751F49"/>
    <w:rsid w:val="007531D6"/>
    <w:rsid w:val="007545D2"/>
    <w:rsid w:val="00765464"/>
    <w:rsid w:val="0076561C"/>
    <w:rsid w:val="00766963"/>
    <w:rsid w:val="00770A11"/>
    <w:rsid w:val="00770A4B"/>
    <w:rsid w:val="00771515"/>
    <w:rsid w:val="00771623"/>
    <w:rsid w:val="0077206A"/>
    <w:rsid w:val="00773E32"/>
    <w:rsid w:val="007740F6"/>
    <w:rsid w:val="007767BD"/>
    <w:rsid w:val="007807B5"/>
    <w:rsid w:val="00782A80"/>
    <w:rsid w:val="007841FA"/>
    <w:rsid w:val="0078589B"/>
    <w:rsid w:val="00786153"/>
    <w:rsid w:val="00786211"/>
    <w:rsid w:val="007867BC"/>
    <w:rsid w:val="00786DD2"/>
    <w:rsid w:val="00786DEA"/>
    <w:rsid w:val="00787313"/>
    <w:rsid w:val="00797315"/>
    <w:rsid w:val="007973FE"/>
    <w:rsid w:val="007A0174"/>
    <w:rsid w:val="007A073F"/>
    <w:rsid w:val="007A1203"/>
    <w:rsid w:val="007A6033"/>
    <w:rsid w:val="007B02CA"/>
    <w:rsid w:val="007B28AB"/>
    <w:rsid w:val="007B42C4"/>
    <w:rsid w:val="007B5B9E"/>
    <w:rsid w:val="007B65BB"/>
    <w:rsid w:val="007B6930"/>
    <w:rsid w:val="007B728B"/>
    <w:rsid w:val="007C094C"/>
    <w:rsid w:val="007C19D8"/>
    <w:rsid w:val="007C3931"/>
    <w:rsid w:val="007C66D9"/>
    <w:rsid w:val="007C732D"/>
    <w:rsid w:val="007C7E3C"/>
    <w:rsid w:val="007D0D4C"/>
    <w:rsid w:val="007D43B8"/>
    <w:rsid w:val="007D5428"/>
    <w:rsid w:val="007D5E56"/>
    <w:rsid w:val="007D6B6E"/>
    <w:rsid w:val="007E1055"/>
    <w:rsid w:val="007E349A"/>
    <w:rsid w:val="007E3B08"/>
    <w:rsid w:val="007E4BD8"/>
    <w:rsid w:val="007E5807"/>
    <w:rsid w:val="007E5D66"/>
    <w:rsid w:val="007E667C"/>
    <w:rsid w:val="007E7563"/>
    <w:rsid w:val="007F18E3"/>
    <w:rsid w:val="007F3458"/>
    <w:rsid w:val="007F5573"/>
    <w:rsid w:val="007F632F"/>
    <w:rsid w:val="007F6CEC"/>
    <w:rsid w:val="007F7003"/>
    <w:rsid w:val="007F76A6"/>
    <w:rsid w:val="007F7AA0"/>
    <w:rsid w:val="008005BF"/>
    <w:rsid w:val="00804852"/>
    <w:rsid w:val="008059C3"/>
    <w:rsid w:val="008077D6"/>
    <w:rsid w:val="008111C7"/>
    <w:rsid w:val="00811FDA"/>
    <w:rsid w:val="008150CF"/>
    <w:rsid w:val="00817BE0"/>
    <w:rsid w:val="008217EC"/>
    <w:rsid w:val="00821C05"/>
    <w:rsid w:val="008251AD"/>
    <w:rsid w:val="0082655F"/>
    <w:rsid w:val="00826CA7"/>
    <w:rsid w:val="008278FB"/>
    <w:rsid w:val="008301A4"/>
    <w:rsid w:val="00832B89"/>
    <w:rsid w:val="00837450"/>
    <w:rsid w:val="0084133D"/>
    <w:rsid w:val="00844974"/>
    <w:rsid w:val="00844A3F"/>
    <w:rsid w:val="00852FF1"/>
    <w:rsid w:val="00853E8A"/>
    <w:rsid w:val="008545FD"/>
    <w:rsid w:val="008547AD"/>
    <w:rsid w:val="00854DD1"/>
    <w:rsid w:val="00856376"/>
    <w:rsid w:val="0086095A"/>
    <w:rsid w:val="00860CDF"/>
    <w:rsid w:val="00860DA9"/>
    <w:rsid w:val="008641FA"/>
    <w:rsid w:val="00864712"/>
    <w:rsid w:val="0086653F"/>
    <w:rsid w:val="00866B3A"/>
    <w:rsid w:val="0087241B"/>
    <w:rsid w:val="00872FFE"/>
    <w:rsid w:val="008730E4"/>
    <w:rsid w:val="00874C97"/>
    <w:rsid w:val="00876DDA"/>
    <w:rsid w:val="0088149D"/>
    <w:rsid w:val="00887D83"/>
    <w:rsid w:val="0089243C"/>
    <w:rsid w:val="008948B8"/>
    <w:rsid w:val="00894EF0"/>
    <w:rsid w:val="008950C6"/>
    <w:rsid w:val="008A1028"/>
    <w:rsid w:val="008A16AA"/>
    <w:rsid w:val="008A1B3F"/>
    <w:rsid w:val="008A3ADD"/>
    <w:rsid w:val="008A470A"/>
    <w:rsid w:val="008A55C8"/>
    <w:rsid w:val="008A5BE0"/>
    <w:rsid w:val="008A6323"/>
    <w:rsid w:val="008A76A0"/>
    <w:rsid w:val="008B14FB"/>
    <w:rsid w:val="008B1753"/>
    <w:rsid w:val="008B2795"/>
    <w:rsid w:val="008B65FB"/>
    <w:rsid w:val="008C024E"/>
    <w:rsid w:val="008C1A41"/>
    <w:rsid w:val="008C3367"/>
    <w:rsid w:val="008C3CCB"/>
    <w:rsid w:val="008D13E9"/>
    <w:rsid w:val="008D2384"/>
    <w:rsid w:val="008D259D"/>
    <w:rsid w:val="008D28F6"/>
    <w:rsid w:val="008D4E59"/>
    <w:rsid w:val="008D5ECE"/>
    <w:rsid w:val="008E0763"/>
    <w:rsid w:val="008E3D60"/>
    <w:rsid w:val="008E5BF5"/>
    <w:rsid w:val="008E6FF0"/>
    <w:rsid w:val="008E7A2B"/>
    <w:rsid w:val="008F0180"/>
    <w:rsid w:val="008F3E78"/>
    <w:rsid w:val="008F45CA"/>
    <w:rsid w:val="008F5849"/>
    <w:rsid w:val="009019E9"/>
    <w:rsid w:val="009021BA"/>
    <w:rsid w:val="0090388B"/>
    <w:rsid w:val="00904A7A"/>
    <w:rsid w:val="00906CCA"/>
    <w:rsid w:val="00912521"/>
    <w:rsid w:val="00913D27"/>
    <w:rsid w:val="00914143"/>
    <w:rsid w:val="00915E6F"/>
    <w:rsid w:val="00917F9A"/>
    <w:rsid w:val="0092134E"/>
    <w:rsid w:val="00922881"/>
    <w:rsid w:val="00923375"/>
    <w:rsid w:val="00924775"/>
    <w:rsid w:val="009337EB"/>
    <w:rsid w:val="00934B73"/>
    <w:rsid w:val="00934E1D"/>
    <w:rsid w:val="00935D36"/>
    <w:rsid w:val="009408BB"/>
    <w:rsid w:val="00942DC9"/>
    <w:rsid w:val="009435D3"/>
    <w:rsid w:val="00945FA9"/>
    <w:rsid w:val="009509F3"/>
    <w:rsid w:val="009510CB"/>
    <w:rsid w:val="00951A76"/>
    <w:rsid w:val="00953906"/>
    <w:rsid w:val="00956170"/>
    <w:rsid w:val="00957243"/>
    <w:rsid w:val="00957589"/>
    <w:rsid w:val="00960030"/>
    <w:rsid w:val="009602DC"/>
    <w:rsid w:val="00960DA5"/>
    <w:rsid w:val="00962918"/>
    <w:rsid w:val="009637EC"/>
    <w:rsid w:val="00963EDF"/>
    <w:rsid w:val="009659C2"/>
    <w:rsid w:val="009667A6"/>
    <w:rsid w:val="009678DB"/>
    <w:rsid w:val="00971638"/>
    <w:rsid w:val="00975830"/>
    <w:rsid w:val="00975DE7"/>
    <w:rsid w:val="00975FA0"/>
    <w:rsid w:val="00980095"/>
    <w:rsid w:val="009845A3"/>
    <w:rsid w:val="00985510"/>
    <w:rsid w:val="00985768"/>
    <w:rsid w:val="00986AA9"/>
    <w:rsid w:val="0098715F"/>
    <w:rsid w:val="00990236"/>
    <w:rsid w:val="0099048E"/>
    <w:rsid w:val="00991227"/>
    <w:rsid w:val="009914CB"/>
    <w:rsid w:val="00991642"/>
    <w:rsid w:val="00991729"/>
    <w:rsid w:val="00992B07"/>
    <w:rsid w:val="00994BC2"/>
    <w:rsid w:val="00997979"/>
    <w:rsid w:val="009A19CD"/>
    <w:rsid w:val="009A3276"/>
    <w:rsid w:val="009A394A"/>
    <w:rsid w:val="009A41F4"/>
    <w:rsid w:val="009A543F"/>
    <w:rsid w:val="009A5DA5"/>
    <w:rsid w:val="009A608B"/>
    <w:rsid w:val="009A6366"/>
    <w:rsid w:val="009A655A"/>
    <w:rsid w:val="009A7C26"/>
    <w:rsid w:val="009B1CB6"/>
    <w:rsid w:val="009B3D7F"/>
    <w:rsid w:val="009B657B"/>
    <w:rsid w:val="009B6CF2"/>
    <w:rsid w:val="009B7016"/>
    <w:rsid w:val="009B712C"/>
    <w:rsid w:val="009C07C9"/>
    <w:rsid w:val="009C0964"/>
    <w:rsid w:val="009C51C5"/>
    <w:rsid w:val="009C6F69"/>
    <w:rsid w:val="009C70E6"/>
    <w:rsid w:val="009D0357"/>
    <w:rsid w:val="009D0604"/>
    <w:rsid w:val="009D117E"/>
    <w:rsid w:val="009E035A"/>
    <w:rsid w:val="009E4240"/>
    <w:rsid w:val="009E7CF0"/>
    <w:rsid w:val="009F02EB"/>
    <w:rsid w:val="009F1C11"/>
    <w:rsid w:val="009F7D37"/>
    <w:rsid w:val="00A001B5"/>
    <w:rsid w:val="00A00E4E"/>
    <w:rsid w:val="00A02C21"/>
    <w:rsid w:val="00A040EA"/>
    <w:rsid w:val="00A057D6"/>
    <w:rsid w:val="00A066DB"/>
    <w:rsid w:val="00A06886"/>
    <w:rsid w:val="00A07047"/>
    <w:rsid w:val="00A07A5C"/>
    <w:rsid w:val="00A106B4"/>
    <w:rsid w:val="00A11B17"/>
    <w:rsid w:val="00A1240B"/>
    <w:rsid w:val="00A12E19"/>
    <w:rsid w:val="00A14789"/>
    <w:rsid w:val="00A17C0E"/>
    <w:rsid w:val="00A17CF2"/>
    <w:rsid w:val="00A20498"/>
    <w:rsid w:val="00A22B94"/>
    <w:rsid w:val="00A23540"/>
    <w:rsid w:val="00A2465D"/>
    <w:rsid w:val="00A2472C"/>
    <w:rsid w:val="00A25AFC"/>
    <w:rsid w:val="00A25EFA"/>
    <w:rsid w:val="00A26B21"/>
    <w:rsid w:val="00A34E98"/>
    <w:rsid w:val="00A356B9"/>
    <w:rsid w:val="00A36DC1"/>
    <w:rsid w:val="00A44318"/>
    <w:rsid w:val="00A44FA1"/>
    <w:rsid w:val="00A4522B"/>
    <w:rsid w:val="00A45FF9"/>
    <w:rsid w:val="00A47669"/>
    <w:rsid w:val="00A501D5"/>
    <w:rsid w:val="00A528F9"/>
    <w:rsid w:val="00A52E70"/>
    <w:rsid w:val="00A54F78"/>
    <w:rsid w:val="00A567BA"/>
    <w:rsid w:val="00A5797F"/>
    <w:rsid w:val="00A63522"/>
    <w:rsid w:val="00A63797"/>
    <w:rsid w:val="00A64B26"/>
    <w:rsid w:val="00A64F96"/>
    <w:rsid w:val="00A6519D"/>
    <w:rsid w:val="00A66719"/>
    <w:rsid w:val="00A67B61"/>
    <w:rsid w:val="00A73BEC"/>
    <w:rsid w:val="00A8275B"/>
    <w:rsid w:val="00A82ACF"/>
    <w:rsid w:val="00A82D85"/>
    <w:rsid w:val="00A8322C"/>
    <w:rsid w:val="00A8499D"/>
    <w:rsid w:val="00A92144"/>
    <w:rsid w:val="00A932C8"/>
    <w:rsid w:val="00A94967"/>
    <w:rsid w:val="00A97558"/>
    <w:rsid w:val="00A979D0"/>
    <w:rsid w:val="00AA0F94"/>
    <w:rsid w:val="00AA341C"/>
    <w:rsid w:val="00AA4F7E"/>
    <w:rsid w:val="00AA5D68"/>
    <w:rsid w:val="00AA7233"/>
    <w:rsid w:val="00AA7AAB"/>
    <w:rsid w:val="00AA7B0A"/>
    <w:rsid w:val="00AA7FA0"/>
    <w:rsid w:val="00AB05EF"/>
    <w:rsid w:val="00AB06FA"/>
    <w:rsid w:val="00AB1CEF"/>
    <w:rsid w:val="00AB3F69"/>
    <w:rsid w:val="00AB4D39"/>
    <w:rsid w:val="00AB58A9"/>
    <w:rsid w:val="00AB791E"/>
    <w:rsid w:val="00AC0134"/>
    <w:rsid w:val="00AC11CF"/>
    <w:rsid w:val="00AC1872"/>
    <w:rsid w:val="00AC668A"/>
    <w:rsid w:val="00AD1804"/>
    <w:rsid w:val="00AD3A9E"/>
    <w:rsid w:val="00AD6D9C"/>
    <w:rsid w:val="00AD7F23"/>
    <w:rsid w:val="00AE0C13"/>
    <w:rsid w:val="00AE140F"/>
    <w:rsid w:val="00AE15C1"/>
    <w:rsid w:val="00AE369C"/>
    <w:rsid w:val="00AE3877"/>
    <w:rsid w:val="00AE4498"/>
    <w:rsid w:val="00AE4FE7"/>
    <w:rsid w:val="00AE6161"/>
    <w:rsid w:val="00AE78DB"/>
    <w:rsid w:val="00AF0A60"/>
    <w:rsid w:val="00AF16D0"/>
    <w:rsid w:val="00AF1B4D"/>
    <w:rsid w:val="00AF2889"/>
    <w:rsid w:val="00AF3229"/>
    <w:rsid w:val="00AF326F"/>
    <w:rsid w:val="00AF34C2"/>
    <w:rsid w:val="00AF7042"/>
    <w:rsid w:val="00AF7B6D"/>
    <w:rsid w:val="00B01FDE"/>
    <w:rsid w:val="00B02B85"/>
    <w:rsid w:val="00B02CAE"/>
    <w:rsid w:val="00B032CF"/>
    <w:rsid w:val="00B040F4"/>
    <w:rsid w:val="00B06A94"/>
    <w:rsid w:val="00B06B54"/>
    <w:rsid w:val="00B06BAE"/>
    <w:rsid w:val="00B07140"/>
    <w:rsid w:val="00B075A2"/>
    <w:rsid w:val="00B13A45"/>
    <w:rsid w:val="00B13B3A"/>
    <w:rsid w:val="00B1473F"/>
    <w:rsid w:val="00B231CE"/>
    <w:rsid w:val="00B23B40"/>
    <w:rsid w:val="00B23DF3"/>
    <w:rsid w:val="00B25242"/>
    <w:rsid w:val="00B26C68"/>
    <w:rsid w:val="00B27122"/>
    <w:rsid w:val="00B27C54"/>
    <w:rsid w:val="00B30010"/>
    <w:rsid w:val="00B30288"/>
    <w:rsid w:val="00B31C7E"/>
    <w:rsid w:val="00B321E9"/>
    <w:rsid w:val="00B32436"/>
    <w:rsid w:val="00B337A2"/>
    <w:rsid w:val="00B37F89"/>
    <w:rsid w:val="00B4005A"/>
    <w:rsid w:val="00B40CD3"/>
    <w:rsid w:val="00B41390"/>
    <w:rsid w:val="00B443B2"/>
    <w:rsid w:val="00B44617"/>
    <w:rsid w:val="00B45E78"/>
    <w:rsid w:val="00B45FBC"/>
    <w:rsid w:val="00B46062"/>
    <w:rsid w:val="00B5013F"/>
    <w:rsid w:val="00B501DF"/>
    <w:rsid w:val="00B51071"/>
    <w:rsid w:val="00B539E3"/>
    <w:rsid w:val="00B53ED8"/>
    <w:rsid w:val="00B551E3"/>
    <w:rsid w:val="00B558A2"/>
    <w:rsid w:val="00B55A60"/>
    <w:rsid w:val="00B56701"/>
    <w:rsid w:val="00B56B94"/>
    <w:rsid w:val="00B56F30"/>
    <w:rsid w:val="00B57A5E"/>
    <w:rsid w:val="00B62F28"/>
    <w:rsid w:val="00B63FA5"/>
    <w:rsid w:val="00B65AAF"/>
    <w:rsid w:val="00B65D05"/>
    <w:rsid w:val="00B665DC"/>
    <w:rsid w:val="00B673DD"/>
    <w:rsid w:val="00B6750B"/>
    <w:rsid w:val="00B756B8"/>
    <w:rsid w:val="00B76AE2"/>
    <w:rsid w:val="00B77C66"/>
    <w:rsid w:val="00B80D81"/>
    <w:rsid w:val="00B82DFC"/>
    <w:rsid w:val="00B83B9F"/>
    <w:rsid w:val="00B842C6"/>
    <w:rsid w:val="00B85752"/>
    <w:rsid w:val="00B863A6"/>
    <w:rsid w:val="00B9404B"/>
    <w:rsid w:val="00B94BF9"/>
    <w:rsid w:val="00B94C64"/>
    <w:rsid w:val="00B95E84"/>
    <w:rsid w:val="00B95F70"/>
    <w:rsid w:val="00BA07C6"/>
    <w:rsid w:val="00BA084B"/>
    <w:rsid w:val="00BA09F8"/>
    <w:rsid w:val="00BA2181"/>
    <w:rsid w:val="00BA2888"/>
    <w:rsid w:val="00BA42CC"/>
    <w:rsid w:val="00BA460A"/>
    <w:rsid w:val="00BA5821"/>
    <w:rsid w:val="00BA6518"/>
    <w:rsid w:val="00BA6DC9"/>
    <w:rsid w:val="00BB108F"/>
    <w:rsid w:val="00BB6962"/>
    <w:rsid w:val="00BC05AF"/>
    <w:rsid w:val="00BC27C7"/>
    <w:rsid w:val="00BC2B32"/>
    <w:rsid w:val="00BC5201"/>
    <w:rsid w:val="00BC5BFA"/>
    <w:rsid w:val="00BC7986"/>
    <w:rsid w:val="00BD0CB3"/>
    <w:rsid w:val="00BD0D29"/>
    <w:rsid w:val="00BD1121"/>
    <w:rsid w:val="00BD1685"/>
    <w:rsid w:val="00BD2FC0"/>
    <w:rsid w:val="00BD516C"/>
    <w:rsid w:val="00BD55B9"/>
    <w:rsid w:val="00BE009E"/>
    <w:rsid w:val="00BE0BE7"/>
    <w:rsid w:val="00BE3075"/>
    <w:rsid w:val="00BE3CC2"/>
    <w:rsid w:val="00BE44A1"/>
    <w:rsid w:val="00BE73CA"/>
    <w:rsid w:val="00BF0146"/>
    <w:rsid w:val="00BF036C"/>
    <w:rsid w:val="00BF17E1"/>
    <w:rsid w:val="00BF2CB2"/>
    <w:rsid w:val="00BF3B10"/>
    <w:rsid w:val="00BF42DD"/>
    <w:rsid w:val="00BF4406"/>
    <w:rsid w:val="00BF5DE1"/>
    <w:rsid w:val="00C01777"/>
    <w:rsid w:val="00C017E7"/>
    <w:rsid w:val="00C031FD"/>
    <w:rsid w:val="00C03DC2"/>
    <w:rsid w:val="00C04C67"/>
    <w:rsid w:val="00C15776"/>
    <w:rsid w:val="00C16E89"/>
    <w:rsid w:val="00C17055"/>
    <w:rsid w:val="00C17592"/>
    <w:rsid w:val="00C17EAE"/>
    <w:rsid w:val="00C21162"/>
    <w:rsid w:val="00C21C41"/>
    <w:rsid w:val="00C22523"/>
    <w:rsid w:val="00C24B1F"/>
    <w:rsid w:val="00C25ACC"/>
    <w:rsid w:val="00C27B12"/>
    <w:rsid w:val="00C31EDE"/>
    <w:rsid w:val="00C3277B"/>
    <w:rsid w:val="00C33B66"/>
    <w:rsid w:val="00C40889"/>
    <w:rsid w:val="00C40904"/>
    <w:rsid w:val="00C40FE2"/>
    <w:rsid w:val="00C452F5"/>
    <w:rsid w:val="00C45C12"/>
    <w:rsid w:val="00C47094"/>
    <w:rsid w:val="00C50479"/>
    <w:rsid w:val="00C50740"/>
    <w:rsid w:val="00C51AC0"/>
    <w:rsid w:val="00C522BA"/>
    <w:rsid w:val="00C53D6F"/>
    <w:rsid w:val="00C540B4"/>
    <w:rsid w:val="00C543B6"/>
    <w:rsid w:val="00C54BFE"/>
    <w:rsid w:val="00C5513A"/>
    <w:rsid w:val="00C55F13"/>
    <w:rsid w:val="00C5715F"/>
    <w:rsid w:val="00C57BF0"/>
    <w:rsid w:val="00C65A0E"/>
    <w:rsid w:val="00C6761E"/>
    <w:rsid w:val="00C70ECA"/>
    <w:rsid w:val="00C71369"/>
    <w:rsid w:val="00C720A8"/>
    <w:rsid w:val="00C726FE"/>
    <w:rsid w:val="00C76FB3"/>
    <w:rsid w:val="00C7748D"/>
    <w:rsid w:val="00C8032B"/>
    <w:rsid w:val="00C82509"/>
    <w:rsid w:val="00C83CF6"/>
    <w:rsid w:val="00C85199"/>
    <w:rsid w:val="00C8542E"/>
    <w:rsid w:val="00C86D90"/>
    <w:rsid w:val="00C86EDB"/>
    <w:rsid w:val="00C87343"/>
    <w:rsid w:val="00C91DFD"/>
    <w:rsid w:val="00C971C0"/>
    <w:rsid w:val="00CA0D2D"/>
    <w:rsid w:val="00CA1800"/>
    <w:rsid w:val="00CA3D0A"/>
    <w:rsid w:val="00CA7917"/>
    <w:rsid w:val="00CB10DF"/>
    <w:rsid w:val="00CB32A7"/>
    <w:rsid w:val="00CB3B91"/>
    <w:rsid w:val="00CB3D41"/>
    <w:rsid w:val="00CB4C75"/>
    <w:rsid w:val="00CB5338"/>
    <w:rsid w:val="00CB754A"/>
    <w:rsid w:val="00CC108A"/>
    <w:rsid w:val="00CC7A02"/>
    <w:rsid w:val="00CD0281"/>
    <w:rsid w:val="00CD0B62"/>
    <w:rsid w:val="00CD1D09"/>
    <w:rsid w:val="00CD440F"/>
    <w:rsid w:val="00CD765F"/>
    <w:rsid w:val="00CE2AC5"/>
    <w:rsid w:val="00CE2F39"/>
    <w:rsid w:val="00CE3A02"/>
    <w:rsid w:val="00CE6404"/>
    <w:rsid w:val="00CE6ABC"/>
    <w:rsid w:val="00CF11C4"/>
    <w:rsid w:val="00CF18FF"/>
    <w:rsid w:val="00CF4304"/>
    <w:rsid w:val="00CF6154"/>
    <w:rsid w:val="00CF649F"/>
    <w:rsid w:val="00D019CC"/>
    <w:rsid w:val="00D01CF5"/>
    <w:rsid w:val="00D03039"/>
    <w:rsid w:val="00D05662"/>
    <w:rsid w:val="00D05BB6"/>
    <w:rsid w:val="00D05E6A"/>
    <w:rsid w:val="00D07A51"/>
    <w:rsid w:val="00D11E3A"/>
    <w:rsid w:val="00D15527"/>
    <w:rsid w:val="00D16C3A"/>
    <w:rsid w:val="00D16EC4"/>
    <w:rsid w:val="00D20E1D"/>
    <w:rsid w:val="00D27B21"/>
    <w:rsid w:val="00D27B24"/>
    <w:rsid w:val="00D27E99"/>
    <w:rsid w:val="00D301B6"/>
    <w:rsid w:val="00D33DC9"/>
    <w:rsid w:val="00D3451B"/>
    <w:rsid w:val="00D36DE1"/>
    <w:rsid w:val="00D475ED"/>
    <w:rsid w:val="00D479D5"/>
    <w:rsid w:val="00D61686"/>
    <w:rsid w:val="00D644FB"/>
    <w:rsid w:val="00D648D1"/>
    <w:rsid w:val="00D65D0E"/>
    <w:rsid w:val="00D66580"/>
    <w:rsid w:val="00D704BB"/>
    <w:rsid w:val="00D70731"/>
    <w:rsid w:val="00D7278C"/>
    <w:rsid w:val="00D72D29"/>
    <w:rsid w:val="00D76EC6"/>
    <w:rsid w:val="00D80458"/>
    <w:rsid w:val="00D8490D"/>
    <w:rsid w:val="00D84BAC"/>
    <w:rsid w:val="00D85432"/>
    <w:rsid w:val="00D864C0"/>
    <w:rsid w:val="00D86844"/>
    <w:rsid w:val="00D86876"/>
    <w:rsid w:val="00D87798"/>
    <w:rsid w:val="00D916AA"/>
    <w:rsid w:val="00D931C1"/>
    <w:rsid w:val="00D94F14"/>
    <w:rsid w:val="00D95C1E"/>
    <w:rsid w:val="00D95E08"/>
    <w:rsid w:val="00DA3A3B"/>
    <w:rsid w:val="00DA3E01"/>
    <w:rsid w:val="00DA42B7"/>
    <w:rsid w:val="00DA4FA9"/>
    <w:rsid w:val="00DA5C08"/>
    <w:rsid w:val="00DA7694"/>
    <w:rsid w:val="00DB1956"/>
    <w:rsid w:val="00DB1FA6"/>
    <w:rsid w:val="00DB39B3"/>
    <w:rsid w:val="00DB5741"/>
    <w:rsid w:val="00DB6B70"/>
    <w:rsid w:val="00DB77E5"/>
    <w:rsid w:val="00DC0068"/>
    <w:rsid w:val="00DC016F"/>
    <w:rsid w:val="00DC516F"/>
    <w:rsid w:val="00DC594F"/>
    <w:rsid w:val="00DC5D28"/>
    <w:rsid w:val="00DC681C"/>
    <w:rsid w:val="00DC6C5A"/>
    <w:rsid w:val="00DD165B"/>
    <w:rsid w:val="00DD3B6E"/>
    <w:rsid w:val="00DD7541"/>
    <w:rsid w:val="00DD756E"/>
    <w:rsid w:val="00DE039D"/>
    <w:rsid w:val="00DE1A54"/>
    <w:rsid w:val="00DE4719"/>
    <w:rsid w:val="00DE6231"/>
    <w:rsid w:val="00DE7014"/>
    <w:rsid w:val="00DE7BC4"/>
    <w:rsid w:val="00DF1F9C"/>
    <w:rsid w:val="00DF2594"/>
    <w:rsid w:val="00DF374C"/>
    <w:rsid w:val="00E02269"/>
    <w:rsid w:val="00E02EDF"/>
    <w:rsid w:val="00E05748"/>
    <w:rsid w:val="00E059A9"/>
    <w:rsid w:val="00E0755A"/>
    <w:rsid w:val="00E10EEA"/>
    <w:rsid w:val="00E141BF"/>
    <w:rsid w:val="00E16776"/>
    <w:rsid w:val="00E1692E"/>
    <w:rsid w:val="00E1729A"/>
    <w:rsid w:val="00E174AB"/>
    <w:rsid w:val="00E17E65"/>
    <w:rsid w:val="00E2050D"/>
    <w:rsid w:val="00E22919"/>
    <w:rsid w:val="00E26DC8"/>
    <w:rsid w:val="00E31947"/>
    <w:rsid w:val="00E3218C"/>
    <w:rsid w:val="00E3343C"/>
    <w:rsid w:val="00E34406"/>
    <w:rsid w:val="00E34535"/>
    <w:rsid w:val="00E350CD"/>
    <w:rsid w:val="00E36848"/>
    <w:rsid w:val="00E42454"/>
    <w:rsid w:val="00E43FB9"/>
    <w:rsid w:val="00E4534A"/>
    <w:rsid w:val="00E45487"/>
    <w:rsid w:val="00E454C2"/>
    <w:rsid w:val="00E46EBC"/>
    <w:rsid w:val="00E5011B"/>
    <w:rsid w:val="00E50E95"/>
    <w:rsid w:val="00E52942"/>
    <w:rsid w:val="00E54957"/>
    <w:rsid w:val="00E57BCA"/>
    <w:rsid w:val="00E62AEF"/>
    <w:rsid w:val="00E63D3D"/>
    <w:rsid w:val="00E65443"/>
    <w:rsid w:val="00E66801"/>
    <w:rsid w:val="00E71546"/>
    <w:rsid w:val="00E71CBA"/>
    <w:rsid w:val="00E72932"/>
    <w:rsid w:val="00E7527A"/>
    <w:rsid w:val="00E75B15"/>
    <w:rsid w:val="00E76268"/>
    <w:rsid w:val="00E76B62"/>
    <w:rsid w:val="00E76EE1"/>
    <w:rsid w:val="00E770D7"/>
    <w:rsid w:val="00E81F72"/>
    <w:rsid w:val="00E84B55"/>
    <w:rsid w:val="00E85EBC"/>
    <w:rsid w:val="00E870EB"/>
    <w:rsid w:val="00E87B9A"/>
    <w:rsid w:val="00E90AFE"/>
    <w:rsid w:val="00E933E3"/>
    <w:rsid w:val="00E950C2"/>
    <w:rsid w:val="00EA0987"/>
    <w:rsid w:val="00EA1012"/>
    <w:rsid w:val="00EA3097"/>
    <w:rsid w:val="00EA5644"/>
    <w:rsid w:val="00EA6B24"/>
    <w:rsid w:val="00EB0CBE"/>
    <w:rsid w:val="00EB403B"/>
    <w:rsid w:val="00EB4AB3"/>
    <w:rsid w:val="00EB6C94"/>
    <w:rsid w:val="00EC0E8C"/>
    <w:rsid w:val="00EC48CC"/>
    <w:rsid w:val="00EC52A5"/>
    <w:rsid w:val="00EC5C7D"/>
    <w:rsid w:val="00EC7850"/>
    <w:rsid w:val="00ED04F8"/>
    <w:rsid w:val="00ED0730"/>
    <w:rsid w:val="00ED252F"/>
    <w:rsid w:val="00ED46B6"/>
    <w:rsid w:val="00EE021A"/>
    <w:rsid w:val="00EE372C"/>
    <w:rsid w:val="00EE644B"/>
    <w:rsid w:val="00EE7401"/>
    <w:rsid w:val="00EF4407"/>
    <w:rsid w:val="00EF4C4C"/>
    <w:rsid w:val="00EF4E74"/>
    <w:rsid w:val="00EF68AC"/>
    <w:rsid w:val="00EF6EF1"/>
    <w:rsid w:val="00F009A4"/>
    <w:rsid w:val="00F00E47"/>
    <w:rsid w:val="00F01D36"/>
    <w:rsid w:val="00F02AE5"/>
    <w:rsid w:val="00F03ABF"/>
    <w:rsid w:val="00F04676"/>
    <w:rsid w:val="00F12B14"/>
    <w:rsid w:val="00F12EF4"/>
    <w:rsid w:val="00F1564F"/>
    <w:rsid w:val="00F221DC"/>
    <w:rsid w:val="00F255FF"/>
    <w:rsid w:val="00F25A0A"/>
    <w:rsid w:val="00F2608D"/>
    <w:rsid w:val="00F35ACA"/>
    <w:rsid w:val="00F362EB"/>
    <w:rsid w:val="00F36521"/>
    <w:rsid w:val="00F36C83"/>
    <w:rsid w:val="00F37388"/>
    <w:rsid w:val="00F41D83"/>
    <w:rsid w:val="00F437EB"/>
    <w:rsid w:val="00F45878"/>
    <w:rsid w:val="00F468F2"/>
    <w:rsid w:val="00F47291"/>
    <w:rsid w:val="00F50379"/>
    <w:rsid w:val="00F507DB"/>
    <w:rsid w:val="00F54752"/>
    <w:rsid w:val="00F5582B"/>
    <w:rsid w:val="00F55C3C"/>
    <w:rsid w:val="00F560A6"/>
    <w:rsid w:val="00F56905"/>
    <w:rsid w:val="00F626FB"/>
    <w:rsid w:val="00F653DE"/>
    <w:rsid w:val="00F7039E"/>
    <w:rsid w:val="00F7134F"/>
    <w:rsid w:val="00F71373"/>
    <w:rsid w:val="00F713EC"/>
    <w:rsid w:val="00F71C20"/>
    <w:rsid w:val="00F732B8"/>
    <w:rsid w:val="00F73889"/>
    <w:rsid w:val="00F741A7"/>
    <w:rsid w:val="00F7451B"/>
    <w:rsid w:val="00F7494F"/>
    <w:rsid w:val="00F84318"/>
    <w:rsid w:val="00F92A4A"/>
    <w:rsid w:val="00F933AE"/>
    <w:rsid w:val="00F93B9C"/>
    <w:rsid w:val="00F94D1E"/>
    <w:rsid w:val="00F95BDB"/>
    <w:rsid w:val="00F9698D"/>
    <w:rsid w:val="00F96BC1"/>
    <w:rsid w:val="00F96E59"/>
    <w:rsid w:val="00FA0DDF"/>
    <w:rsid w:val="00FA147E"/>
    <w:rsid w:val="00FA2A00"/>
    <w:rsid w:val="00FA4B55"/>
    <w:rsid w:val="00FA61FB"/>
    <w:rsid w:val="00FB1479"/>
    <w:rsid w:val="00FB1B6F"/>
    <w:rsid w:val="00FB1D57"/>
    <w:rsid w:val="00FB1DB0"/>
    <w:rsid w:val="00FB31DF"/>
    <w:rsid w:val="00FB4A17"/>
    <w:rsid w:val="00FB53EE"/>
    <w:rsid w:val="00FB5BE0"/>
    <w:rsid w:val="00FC02A9"/>
    <w:rsid w:val="00FC060D"/>
    <w:rsid w:val="00FC1EA5"/>
    <w:rsid w:val="00FC4AEE"/>
    <w:rsid w:val="00FC4E87"/>
    <w:rsid w:val="00FC5809"/>
    <w:rsid w:val="00FC672E"/>
    <w:rsid w:val="00FC6CE4"/>
    <w:rsid w:val="00FC7A6B"/>
    <w:rsid w:val="00FD0D33"/>
    <w:rsid w:val="00FD0FD5"/>
    <w:rsid w:val="00FD1E6B"/>
    <w:rsid w:val="00FD247C"/>
    <w:rsid w:val="00FD2C12"/>
    <w:rsid w:val="00FD2E1C"/>
    <w:rsid w:val="00FD5B72"/>
    <w:rsid w:val="00FD6FB2"/>
    <w:rsid w:val="00FE022E"/>
    <w:rsid w:val="00FE16D3"/>
    <w:rsid w:val="00FE4CB0"/>
    <w:rsid w:val="00FE5677"/>
    <w:rsid w:val="00FE5E27"/>
    <w:rsid w:val="00FE5E3B"/>
    <w:rsid w:val="00FE7278"/>
    <w:rsid w:val="00FF198B"/>
    <w:rsid w:val="00FF3120"/>
    <w:rsid w:val="00FF37E6"/>
    <w:rsid w:val="00FF3ADC"/>
    <w:rsid w:val="00FF41DA"/>
    <w:rsid w:val="00FF4533"/>
    <w:rsid w:val="00FF6170"/>
    <w:rsid w:val="00FF63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 w:type="character" w:customStyle="1" w:styleId="akn-term">
    <w:name w:val="akn-term"/>
    <w:basedOn w:val="DefaultParagraphFont"/>
    <w:rsid w:val="007867BC"/>
  </w:style>
  <w:style w:type="character" w:customStyle="1" w:styleId="akn-num">
    <w:name w:val="akn-num"/>
    <w:basedOn w:val="DefaultParagraphFont"/>
    <w:rsid w:val="00D7278C"/>
  </w:style>
  <w:style w:type="character" w:customStyle="1" w:styleId="akn-p">
    <w:name w:val="akn-p"/>
    <w:basedOn w:val="DefaultParagraphFont"/>
    <w:rsid w:val="00D7278C"/>
  </w:style>
  <w:style w:type="character" w:customStyle="1" w:styleId="akn-listintroduction">
    <w:name w:val="akn-listintroduction"/>
    <w:basedOn w:val="DefaultParagraphFont"/>
    <w:rsid w:val="00637546"/>
  </w:style>
  <w:style w:type="paragraph" w:styleId="NormalWeb">
    <w:name w:val="Normal (Web)"/>
    <w:basedOn w:val="Normal"/>
    <w:uiPriority w:val="99"/>
    <w:semiHidden/>
    <w:unhideWhenUsed/>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A02C21"/>
    <w:rPr>
      <w:color w:val="0000FF"/>
      <w:u w:val="single"/>
    </w:rPr>
  </w:style>
  <w:style w:type="paragraph" w:customStyle="1" w:styleId="rteindent1">
    <w:name w:val="rteindent1"/>
    <w:basedOn w:val="Normal"/>
    <w:rsid w:val="00A02C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A0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38315">
      <w:bodyDiv w:val="1"/>
      <w:marLeft w:val="0"/>
      <w:marRight w:val="0"/>
      <w:marTop w:val="0"/>
      <w:marBottom w:val="0"/>
      <w:divBdr>
        <w:top w:val="none" w:sz="0" w:space="0" w:color="auto"/>
        <w:left w:val="none" w:sz="0" w:space="0" w:color="auto"/>
        <w:bottom w:val="none" w:sz="0" w:space="0" w:color="auto"/>
        <w:right w:val="none" w:sz="0" w:space="0" w:color="auto"/>
      </w:divBdr>
    </w:div>
    <w:div w:id="376783885">
      <w:bodyDiv w:val="1"/>
      <w:marLeft w:val="0"/>
      <w:marRight w:val="0"/>
      <w:marTop w:val="0"/>
      <w:marBottom w:val="0"/>
      <w:divBdr>
        <w:top w:val="none" w:sz="0" w:space="0" w:color="auto"/>
        <w:left w:val="none" w:sz="0" w:space="0" w:color="auto"/>
        <w:bottom w:val="none" w:sz="0" w:space="0" w:color="auto"/>
        <w:right w:val="none" w:sz="0" w:space="0" w:color="auto"/>
      </w:divBdr>
    </w:div>
    <w:div w:id="1021707445">
      <w:bodyDiv w:val="1"/>
      <w:marLeft w:val="0"/>
      <w:marRight w:val="0"/>
      <w:marTop w:val="0"/>
      <w:marBottom w:val="0"/>
      <w:divBdr>
        <w:top w:val="none" w:sz="0" w:space="0" w:color="auto"/>
        <w:left w:val="none" w:sz="0" w:space="0" w:color="auto"/>
        <w:bottom w:val="none" w:sz="0" w:space="0" w:color="auto"/>
        <w:right w:val="none" w:sz="0" w:space="0" w:color="auto"/>
      </w:divBdr>
    </w:div>
    <w:div w:id="1312439422">
      <w:bodyDiv w:val="1"/>
      <w:marLeft w:val="0"/>
      <w:marRight w:val="0"/>
      <w:marTop w:val="0"/>
      <w:marBottom w:val="0"/>
      <w:divBdr>
        <w:top w:val="none" w:sz="0" w:space="0" w:color="auto"/>
        <w:left w:val="none" w:sz="0" w:space="0" w:color="auto"/>
        <w:bottom w:val="none" w:sz="0" w:space="0" w:color="auto"/>
        <w:right w:val="none" w:sz="0" w:space="0" w:color="auto"/>
      </w:divBdr>
    </w:div>
    <w:div w:id="1429622641">
      <w:bodyDiv w:val="1"/>
      <w:marLeft w:val="0"/>
      <w:marRight w:val="0"/>
      <w:marTop w:val="0"/>
      <w:marBottom w:val="0"/>
      <w:divBdr>
        <w:top w:val="none" w:sz="0" w:space="0" w:color="auto"/>
        <w:left w:val="none" w:sz="0" w:space="0" w:color="auto"/>
        <w:bottom w:val="none" w:sz="0" w:space="0" w:color="auto"/>
        <w:right w:val="none" w:sz="0" w:space="0" w:color="auto"/>
      </w:divBdr>
    </w:div>
    <w:div w:id="179884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iblii.org/na/judgment/supreme-court/2019/59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2021-03-09T18:30:00+00:00</Judgment_x0020_Date>
    <Year xmlns="63bdd487-88aa-4c54-b893-ddaa81ed2e7c">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C8CAC-A278-42E0-9C93-3060BB8B8CED}">
  <ds:schemaRefs>
    <ds:schemaRef ds:uri="http://schemas.microsoft.com/sharepoint/v3/contenttype/forms"/>
  </ds:schemaRefs>
</ds:datastoreItem>
</file>

<file path=customXml/itemProps2.xml><?xml version="1.0" encoding="utf-8"?>
<ds:datastoreItem xmlns:ds="http://schemas.openxmlformats.org/officeDocument/2006/customXml" ds:itemID="{482AB916-59BE-406E-8E57-FB031BD8D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A0EDF-509C-4FB4-B526-63AE6695CE6B}">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79B336DF-6CDB-407F-8E50-88740B3E7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6078</Words>
  <Characters>34645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MA v AG </vt:lpstr>
    </vt:vector>
  </TitlesOfParts>
  <Company/>
  <LinksUpToDate>false</LinksUpToDate>
  <CharactersWithSpaces>40642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v AG</dc:title>
  <dc:creator>David</dc:creator>
  <cp:lastModifiedBy>HOME</cp:lastModifiedBy>
  <cp:revision>2</cp:revision>
  <cp:lastPrinted>2021-03-09T10:43:00Z</cp:lastPrinted>
  <dcterms:created xsi:type="dcterms:W3CDTF">2021-07-08T14:08:00Z</dcterms:created>
  <dcterms:modified xsi:type="dcterms:W3CDTF">2021-07-08T14:08:00Z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