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DD" w:rsidRPr="006A55DD" w:rsidRDefault="006A55DD" w:rsidP="006A55DD">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526683A7" wp14:editId="41D57735">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CC4D0B" w:rsidRDefault="006A55DD" w:rsidP="005D5EEF">
      <w:pPr>
        <w:pStyle w:val="NoSpacing"/>
        <w:jc w:val="right"/>
        <w:rPr>
          <w:rFonts w:ascii="Arial" w:hAnsi="Arial" w:cs="Arial"/>
          <w:sz w:val="24"/>
          <w:szCs w:val="24"/>
        </w:rPr>
      </w:pPr>
      <w:r>
        <w:rPr>
          <w:rFonts w:ascii="Arial" w:hAnsi="Arial" w:cs="Arial"/>
          <w:sz w:val="24"/>
          <w:szCs w:val="24"/>
        </w:rPr>
        <w:t>C</w:t>
      </w:r>
      <w:r w:rsidR="00C2392B">
        <w:rPr>
          <w:rFonts w:ascii="Arial" w:hAnsi="Arial" w:cs="Arial"/>
          <w:sz w:val="24"/>
          <w:szCs w:val="24"/>
        </w:rPr>
        <w:t>ASE NO</w:t>
      </w:r>
      <w:r w:rsidR="00035A82">
        <w:rPr>
          <w:rFonts w:ascii="Arial" w:hAnsi="Arial" w:cs="Arial"/>
          <w:sz w:val="24"/>
          <w:szCs w:val="24"/>
        </w:rPr>
        <w:t xml:space="preserve">: SA </w:t>
      </w:r>
      <w:r w:rsidR="004C0CB1">
        <w:rPr>
          <w:rFonts w:ascii="Arial" w:hAnsi="Arial" w:cs="Arial"/>
          <w:sz w:val="24"/>
          <w:szCs w:val="24"/>
        </w:rPr>
        <w:t>47/2017</w:t>
      </w:r>
    </w:p>
    <w:p w:rsidR="00CC4D0B" w:rsidRDefault="00CC4D0B" w:rsidP="005D5EEF">
      <w:pPr>
        <w:pStyle w:val="NoSpacing"/>
        <w:rPr>
          <w:rFonts w:ascii="Arial" w:hAnsi="Arial" w:cs="Arial"/>
          <w:sz w:val="24"/>
          <w:szCs w:val="24"/>
        </w:rPr>
      </w:pPr>
    </w:p>
    <w:p w:rsidR="00701260" w:rsidRPr="00991107" w:rsidRDefault="00701260" w:rsidP="005D5EEF">
      <w:pPr>
        <w:pStyle w:val="NoSpacing"/>
        <w:rPr>
          <w:rFonts w:ascii="Arial" w:hAnsi="Arial" w:cs="Arial"/>
          <w:sz w:val="24"/>
          <w:szCs w:val="24"/>
        </w:rPr>
      </w:pPr>
    </w:p>
    <w:p w:rsidR="00CC4D0B" w:rsidRPr="00970591" w:rsidRDefault="00CC4D0B" w:rsidP="005D5EEF">
      <w:pPr>
        <w:pStyle w:val="NoSpacing"/>
        <w:rPr>
          <w:rFonts w:ascii="Arial" w:hAnsi="Arial" w:cs="Arial"/>
          <w:b/>
          <w:sz w:val="24"/>
          <w:szCs w:val="24"/>
        </w:rPr>
      </w:pPr>
      <w:r w:rsidRPr="00970591">
        <w:rPr>
          <w:rFonts w:ascii="Arial" w:hAnsi="Arial" w:cs="Arial"/>
          <w:b/>
          <w:sz w:val="24"/>
          <w:szCs w:val="24"/>
        </w:rPr>
        <w:t>IN THE SUPREME COURT OF NAMIBIA</w:t>
      </w:r>
    </w:p>
    <w:p w:rsidR="00CC4D0B" w:rsidRDefault="00CC4D0B" w:rsidP="005D5EEF">
      <w:pPr>
        <w:pStyle w:val="NoSpacing"/>
        <w:rPr>
          <w:rFonts w:ascii="Arial" w:hAnsi="Arial" w:cs="Arial"/>
          <w:sz w:val="24"/>
          <w:szCs w:val="24"/>
        </w:rPr>
      </w:pPr>
    </w:p>
    <w:p w:rsidR="00CC4D0B" w:rsidRDefault="00CC4D0B" w:rsidP="005D5EEF">
      <w:pPr>
        <w:pStyle w:val="NoSpacing"/>
        <w:rPr>
          <w:rFonts w:ascii="Arial" w:hAnsi="Arial" w:cs="Arial"/>
          <w:sz w:val="24"/>
          <w:szCs w:val="24"/>
        </w:rPr>
      </w:pPr>
    </w:p>
    <w:p w:rsidR="00CC4D0B" w:rsidRDefault="00CC4D0B" w:rsidP="005D5EEF">
      <w:pPr>
        <w:pStyle w:val="NoSpacing"/>
        <w:rPr>
          <w:rFonts w:ascii="Arial" w:hAnsi="Arial" w:cs="Arial"/>
          <w:sz w:val="24"/>
          <w:szCs w:val="24"/>
        </w:rPr>
      </w:pPr>
      <w:r>
        <w:rPr>
          <w:rFonts w:ascii="Arial" w:hAnsi="Arial" w:cs="Arial"/>
          <w:sz w:val="24"/>
          <w:szCs w:val="24"/>
        </w:rPr>
        <w:t>In the matter between:</w:t>
      </w:r>
    </w:p>
    <w:p w:rsidR="00CC4D0B" w:rsidRDefault="00CC4D0B" w:rsidP="005D5EEF">
      <w:pPr>
        <w:pStyle w:val="NoSpacing"/>
        <w:rPr>
          <w:rFonts w:ascii="Arial" w:hAnsi="Arial" w:cs="Arial"/>
          <w:sz w:val="24"/>
          <w:szCs w:val="24"/>
        </w:rPr>
      </w:pPr>
    </w:p>
    <w:p w:rsidR="00617897" w:rsidRDefault="00617897" w:rsidP="005D5EEF">
      <w:pPr>
        <w:pStyle w:val="NoSpacing"/>
        <w:rPr>
          <w:rFonts w:ascii="Arial" w:hAnsi="Arial" w:cs="Arial"/>
          <w:sz w:val="24"/>
          <w:szCs w:val="24"/>
        </w:rPr>
      </w:pPr>
    </w:p>
    <w:p w:rsidR="004C0CB1" w:rsidRPr="004C0CB1" w:rsidRDefault="004C0CB1" w:rsidP="00617897">
      <w:pPr>
        <w:pStyle w:val="NoSpacing"/>
        <w:spacing w:line="360" w:lineRule="auto"/>
        <w:rPr>
          <w:rFonts w:ascii="Arial" w:hAnsi="Arial" w:cs="Arial"/>
          <w:b/>
          <w:sz w:val="24"/>
          <w:szCs w:val="24"/>
        </w:rPr>
      </w:pPr>
      <w:r w:rsidRPr="004C0CB1">
        <w:rPr>
          <w:rFonts w:ascii="Arial" w:hAnsi="Arial" w:cs="Arial"/>
          <w:b/>
          <w:sz w:val="24"/>
          <w:szCs w:val="24"/>
        </w:rPr>
        <w:t>MINISTER OF SAFETY AND SECURITY</w:t>
      </w:r>
      <w:r w:rsidRPr="004C0CB1">
        <w:rPr>
          <w:rFonts w:ascii="Arial" w:hAnsi="Arial" w:cs="Arial"/>
          <w:b/>
          <w:sz w:val="24"/>
          <w:szCs w:val="24"/>
        </w:rPr>
        <w:tab/>
      </w:r>
      <w:r w:rsidRPr="004C0CB1">
        <w:rPr>
          <w:rFonts w:ascii="Arial" w:hAnsi="Arial" w:cs="Arial"/>
          <w:b/>
          <w:sz w:val="24"/>
          <w:szCs w:val="24"/>
        </w:rPr>
        <w:tab/>
      </w:r>
      <w:r w:rsidRPr="004C0CB1">
        <w:rPr>
          <w:rFonts w:ascii="Arial" w:hAnsi="Arial" w:cs="Arial"/>
          <w:b/>
          <w:sz w:val="24"/>
          <w:szCs w:val="24"/>
        </w:rPr>
        <w:tab/>
      </w:r>
      <w:r w:rsidRPr="004C0CB1">
        <w:rPr>
          <w:rFonts w:ascii="Arial" w:hAnsi="Arial" w:cs="Arial"/>
          <w:b/>
          <w:sz w:val="24"/>
          <w:szCs w:val="24"/>
        </w:rPr>
        <w:tab/>
      </w:r>
      <w:r w:rsidR="00617897">
        <w:rPr>
          <w:rFonts w:ascii="Arial" w:hAnsi="Arial" w:cs="Arial"/>
          <w:b/>
          <w:sz w:val="24"/>
          <w:szCs w:val="24"/>
        </w:rPr>
        <w:t xml:space="preserve">    First appellant</w:t>
      </w:r>
    </w:p>
    <w:p w:rsidR="004C0CB1" w:rsidRPr="004C0CB1" w:rsidRDefault="00617897" w:rsidP="00617897">
      <w:pPr>
        <w:pStyle w:val="NoSpacing"/>
        <w:spacing w:line="360" w:lineRule="auto"/>
        <w:rPr>
          <w:rFonts w:ascii="Arial" w:hAnsi="Arial" w:cs="Arial"/>
          <w:b/>
          <w:sz w:val="24"/>
          <w:szCs w:val="24"/>
        </w:rPr>
      </w:pPr>
      <w:r>
        <w:rPr>
          <w:rFonts w:ascii="Arial" w:hAnsi="Arial" w:cs="Arial"/>
          <w:b/>
          <w:sz w:val="24"/>
          <w:szCs w:val="24"/>
        </w:rPr>
        <w:t>PROSECUTOR–GENERAL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Second appellant</w:t>
      </w:r>
    </w:p>
    <w:p w:rsidR="004C0CB1" w:rsidRPr="004C0CB1" w:rsidRDefault="004C0CB1" w:rsidP="00617897">
      <w:pPr>
        <w:pStyle w:val="NoSpacing"/>
        <w:spacing w:line="360" w:lineRule="auto"/>
        <w:rPr>
          <w:rFonts w:ascii="Arial" w:hAnsi="Arial" w:cs="Arial"/>
          <w:b/>
          <w:sz w:val="24"/>
          <w:szCs w:val="24"/>
        </w:rPr>
      </w:pPr>
      <w:r w:rsidRPr="004C0CB1">
        <w:rPr>
          <w:rFonts w:ascii="Arial" w:hAnsi="Arial" w:cs="Arial"/>
          <w:b/>
          <w:sz w:val="24"/>
          <w:szCs w:val="24"/>
        </w:rPr>
        <w:t>GOVERNMENT OF THE REPUBLIC OF NAMIBIA</w:t>
      </w:r>
      <w:r w:rsidRPr="004C0CB1">
        <w:rPr>
          <w:rFonts w:ascii="Arial" w:hAnsi="Arial" w:cs="Arial"/>
          <w:b/>
          <w:sz w:val="24"/>
          <w:szCs w:val="24"/>
        </w:rPr>
        <w:tab/>
      </w:r>
      <w:r w:rsidRPr="004C0CB1">
        <w:rPr>
          <w:rFonts w:ascii="Arial" w:hAnsi="Arial" w:cs="Arial"/>
          <w:b/>
          <w:sz w:val="24"/>
          <w:szCs w:val="24"/>
        </w:rPr>
        <w:tab/>
      </w:r>
      <w:r w:rsidRPr="004C0CB1">
        <w:rPr>
          <w:rFonts w:ascii="Arial" w:hAnsi="Arial" w:cs="Arial"/>
          <w:b/>
          <w:sz w:val="24"/>
          <w:szCs w:val="24"/>
        </w:rPr>
        <w:tab/>
      </w:r>
      <w:r w:rsidR="00617897">
        <w:rPr>
          <w:rFonts w:ascii="Arial" w:hAnsi="Arial" w:cs="Arial"/>
          <w:b/>
          <w:sz w:val="24"/>
          <w:szCs w:val="24"/>
        </w:rPr>
        <w:t xml:space="preserve">   Third appellant</w:t>
      </w:r>
    </w:p>
    <w:p w:rsidR="00617897" w:rsidRDefault="00617897" w:rsidP="00617897">
      <w:pPr>
        <w:pStyle w:val="NoSpacing"/>
        <w:spacing w:line="360" w:lineRule="auto"/>
        <w:rPr>
          <w:rFonts w:ascii="Arial" w:hAnsi="Arial" w:cs="Arial"/>
          <w:sz w:val="24"/>
          <w:szCs w:val="24"/>
        </w:rPr>
      </w:pPr>
    </w:p>
    <w:p w:rsidR="00617897" w:rsidRPr="00617897" w:rsidRDefault="00617897" w:rsidP="00617897">
      <w:pPr>
        <w:pStyle w:val="NoSpacing"/>
        <w:spacing w:line="360" w:lineRule="auto"/>
        <w:rPr>
          <w:rFonts w:ascii="Arial" w:hAnsi="Arial" w:cs="Arial"/>
          <w:sz w:val="24"/>
          <w:szCs w:val="24"/>
        </w:rPr>
      </w:pPr>
      <w:r w:rsidRPr="00617897">
        <w:rPr>
          <w:rFonts w:ascii="Arial" w:hAnsi="Arial" w:cs="Arial"/>
          <w:sz w:val="24"/>
          <w:szCs w:val="24"/>
        </w:rPr>
        <w:t>and</w:t>
      </w:r>
    </w:p>
    <w:p w:rsidR="00617897" w:rsidRDefault="00617897" w:rsidP="00617897">
      <w:pPr>
        <w:pStyle w:val="NoSpacing"/>
        <w:spacing w:line="360" w:lineRule="auto"/>
        <w:rPr>
          <w:rFonts w:ascii="Arial" w:hAnsi="Arial" w:cs="Arial"/>
          <w:b/>
          <w:sz w:val="24"/>
          <w:szCs w:val="24"/>
        </w:rPr>
      </w:pPr>
    </w:p>
    <w:p w:rsidR="00617897" w:rsidRDefault="00617897" w:rsidP="00617897">
      <w:pPr>
        <w:pStyle w:val="NoSpacing"/>
        <w:spacing w:line="360" w:lineRule="auto"/>
        <w:rPr>
          <w:rFonts w:ascii="Arial" w:hAnsi="Arial" w:cs="Arial"/>
          <w:b/>
          <w:sz w:val="24"/>
          <w:szCs w:val="24"/>
        </w:rPr>
      </w:pPr>
      <w:r>
        <w:rPr>
          <w:rFonts w:ascii="Arial" w:hAnsi="Arial" w:cs="Arial"/>
          <w:b/>
          <w:sz w:val="24"/>
          <w:szCs w:val="24"/>
        </w:rPr>
        <w:t>GEORGE LIFUMBELA MUTANIMIYE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Respondent </w:t>
      </w:r>
    </w:p>
    <w:p w:rsidR="00617897" w:rsidRDefault="00617897" w:rsidP="00617897">
      <w:pPr>
        <w:pStyle w:val="NoSpacing"/>
        <w:spacing w:line="360" w:lineRule="auto"/>
        <w:rPr>
          <w:rFonts w:ascii="Arial" w:hAnsi="Arial" w:cs="Arial"/>
          <w:b/>
          <w:sz w:val="24"/>
          <w:szCs w:val="24"/>
        </w:rPr>
      </w:pPr>
    </w:p>
    <w:p w:rsidR="00CC4D0B" w:rsidRDefault="00CC4D0B" w:rsidP="00CC4D0B">
      <w:pPr>
        <w:pStyle w:val="NoSpacing"/>
        <w:rPr>
          <w:rFonts w:ascii="Arial" w:hAnsi="Arial" w:cs="Arial"/>
          <w:sz w:val="24"/>
          <w:szCs w:val="24"/>
        </w:rPr>
      </w:pPr>
      <w:r w:rsidRPr="00970591">
        <w:rPr>
          <w:rFonts w:ascii="Arial" w:hAnsi="Arial" w:cs="Arial"/>
          <w:b/>
          <w:sz w:val="24"/>
          <w:szCs w:val="24"/>
        </w:rPr>
        <w:t>Coram:</w:t>
      </w:r>
      <w:r w:rsidR="002D4847">
        <w:rPr>
          <w:rFonts w:ascii="Arial" w:hAnsi="Arial" w:cs="Arial"/>
          <w:sz w:val="24"/>
          <w:szCs w:val="24"/>
        </w:rPr>
        <w:t xml:space="preserve"> </w:t>
      </w:r>
      <w:r w:rsidR="007229D5">
        <w:rPr>
          <w:rFonts w:ascii="Arial" w:hAnsi="Arial" w:cs="Arial"/>
          <w:sz w:val="24"/>
          <w:szCs w:val="24"/>
        </w:rPr>
        <w:tab/>
      </w:r>
      <w:r w:rsidR="002D4847">
        <w:rPr>
          <w:rFonts w:ascii="Arial" w:hAnsi="Arial" w:cs="Arial"/>
          <w:sz w:val="24"/>
          <w:szCs w:val="24"/>
        </w:rPr>
        <w:t>SHIVUTE CJ, MOKGORO AJA</w:t>
      </w:r>
      <w:r w:rsidR="00646AA4">
        <w:rPr>
          <w:rFonts w:ascii="Arial" w:hAnsi="Arial" w:cs="Arial"/>
          <w:sz w:val="24"/>
          <w:szCs w:val="24"/>
        </w:rPr>
        <w:t xml:space="preserve"> </w:t>
      </w:r>
      <w:r>
        <w:rPr>
          <w:rFonts w:ascii="Arial" w:hAnsi="Arial" w:cs="Arial"/>
          <w:sz w:val="24"/>
          <w:szCs w:val="24"/>
        </w:rPr>
        <w:t xml:space="preserve">and </w:t>
      </w:r>
      <w:r w:rsidR="002D4847">
        <w:rPr>
          <w:rFonts w:ascii="Arial" w:hAnsi="Arial" w:cs="Arial"/>
          <w:sz w:val="24"/>
          <w:szCs w:val="24"/>
        </w:rPr>
        <w:t>NKABINDE AJA</w:t>
      </w:r>
    </w:p>
    <w:p w:rsidR="002D4847" w:rsidRPr="00466830" w:rsidRDefault="002D4847" w:rsidP="00CC4D0B">
      <w:pPr>
        <w:pStyle w:val="NoSpacing"/>
        <w:rPr>
          <w:rFonts w:ascii="Arial" w:hAnsi="Arial" w:cs="Arial"/>
          <w:b/>
          <w:sz w:val="24"/>
          <w:szCs w:val="24"/>
        </w:rPr>
      </w:pPr>
    </w:p>
    <w:p w:rsidR="00CC4D0B" w:rsidRPr="00466830" w:rsidRDefault="001E09EA" w:rsidP="00CC4D0B">
      <w:pPr>
        <w:pStyle w:val="NoSpacing"/>
        <w:rPr>
          <w:rFonts w:ascii="Arial" w:hAnsi="Arial" w:cs="Arial"/>
          <w:b/>
          <w:sz w:val="24"/>
          <w:szCs w:val="24"/>
        </w:rPr>
      </w:pPr>
      <w:r>
        <w:rPr>
          <w:rFonts w:ascii="Arial" w:hAnsi="Arial" w:cs="Arial"/>
          <w:b/>
          <w:sz w:val="24"/>
          <w:szCs w:val="24"/>
        </w:rPr>
        <w:t>Heard:</w:t>
      </w:r>
      <w:r w:rsidR="002D4847">
        <w:rPr>
          <w:rFonts w:ascii="Arial" w:hAnsi="Arial" w:cs="Arial"/>
          <w:b/>
          <w:sz w:val="24"/>
          <w:szCs w:val="24"/>
        </w:rPr>
        <w:t xml:space="preserve"> </w:t>
      </w:r>
      <w:r w:rsidR="007229D5">
        <w:rPr>
          <w:rFonts w:ascii="Arial" w:hAnsi="Arial" w:cs="Arial"/>
          <w:b/>
          <w:sz w:val="24"/>
          <w:szCs w:val="24"/>
        </w:rPr>
        <w:tab/>
      </w:r>
      <w:r w:rsidR="002D4847">
        <w:rPr>
          <w:rFonts w:ascii="Arial" w:hAnsi="Arial" w:cs="Arial"/>
          <w:b/>
          <w:sz w:val="24"/>
          <w:szCs w:val="24"/>
        </w:rPr>
        <w:t>3 October 2019</w:t>
      </w:r>
      <w:r w:rsidR="001D1F26">
        <w:rPr>
          <w:rFonts w:ascii="Arial" w:hAnsi="Arial" w:cs="Arial"/>
          <w:b/>
          <w:sz w:val="24"/>
          <w:szCs w:val="24"/>
        </w:rPr>
        <w:t xml:space="preserve"> </w:t>
      </w:r>
    </w:p>
    <w:p w:rsidR="00CC4D0B" w:rsidRPr="00466830" w:rsidRDefault="00CC4D0B" w:rsidP="00CC4D0B">
      <w:pPr>
        <w:pStyle w:val="NoSpacing"/>
        <w:rPr>
          <w:rFonts w:ascii="Arial" w:hAnsi="Arial" w:cs="Arial"/>
          <w:b/>
          <w:sz w:val="24"/>
          <w:szCs w:val="24"/>
        </w:rPr>
      </w:pPr>
    </w:p>
    <w:p w:rsidR="00CC4D0B" w:rsidRPr="00466830" w:rsidRDefault="004239BD" w:rsidP="00CC4D0B">
      <w:pPr>
        <w:pStyle w:val="NoSpacing"/>
        <w:rPr>
          <w:rFonts w:ascii="Arial" w:hAnsi="Arial" w:cs="Arial"/>
          <w:b/>
          <w:sz w:val="24"/>
          <w:szCs w:val="24"/>
        </w:rPr>
      </w:pPr>
      <w:r>
        <w:rPr>
          <w:rFonts w:ascii="Arial" w:hAnsi="Arial" w:cs="Arial"/>
          <w:b/>
          <w:sz w:val="24"/>
          <w:szCs w:val="24"/>
        </w:rPr>
        <w:t xml:space="preserve">Delivered: </w:t>
      </w:r>
      <w:r w:rsidR="007229D5">
        <w:rPr>
          <w:rFonts w:ascii="Arial" w:hAnsi="Arial" w:cs="Arial"/>
          <w:b/>
          <w:sz w:val="24"/>
          <w:szCs w:val="24"/>
        </w:rPr>
        <w:tab/>
      </w:r>
      <w:r>
        <w:rPr>
          <w:rFonts w:ascii="Arial" w:hAnsi="Arial" w:cs="Arial"/>
          <w:b/>
          <w:sz w:val="24"/>
          <w:szCs w:val="24"/>
        </w:rPr>
        <w:t xml:space="preserve">5 </w:t>
      </w:r>
      <w:r w:rsidR="00460267">
        <w:rPr>
          <w:rFonts w:ascii="Arial" w:hAnsi="Arial" w:cs="Arial"/>
          <w:b/>
          <w:sz w:val="24"/>
          <w:szCs w:val="24"/>
        </w:rPr>
        <w:t>February 2020</w:t>
      </w:r>
    </w:p>
    <w:p w:rsidR="00CC4D0B" w:rsidRDefault="00CC4D0B" w:rsidP="00CC4D0B">
      <w:pPr>
        <w:pStyle w:val="NoSpacing"/>
        <w:rPr>
          <w:rFonts w:ascii="Arial" w:hAnsi="Arial" w:cs="Arial"/>
          <w:sz w:val="24"/>
          <w:szCs w:val="24"/>
        </w:rPr>
      </w:pPr>
    </w:p>
    <w:p w:rsidR="006A55DD" w:rsidRDefault="006A55DD" w:rsidP="00CC4D0B">
      <w:pPr>
        <w:pStyle w:val="NoSpacing"/>
        <w:rPr>
          <w:rFonts w:ascii="Arial" w:hAnsi="Arial" w:cs="Arial"/>
          <w:sz w:val="24"/>
          <w:szCs w:val="24"/>
        </w:rPr>
      </w:pPr>
    </w:p>
    <w:p w:rsidR="00152A5F" w:rsidRDefault="006A55DD" w:rsidP="00152A5F">
      <w:pPr>
        <w:pStyle w:val="NoSpacing"/>
        <w:spacing w:line="360" w:lineRule="auto"/>
        <w:jc w:val="both"/>
        <w:rPr>
          <w:rFonts w:ascii="Arial" w:eastAsia="Calibri"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152A5F" w:rsidRPr="00152A5F">
        <w:rPr>
          <w:rFonts w:ascii="Arial" w:eastAsia="Calibri" w:hAnsi="Arial" w:cs="Arial"/>
          <w:sz w:val="24"/>
          <w:szCs w:val="24"/>
        </w:rPr>
        <w:t>The respondent was amongst the 125 people who were arrested following the violent and fatal attacks in Katima Mulilo in 1999. During these attacks, people were killed and properties were destroyed. The respondent was said to have been involved as an organiser and supporter of the United Democratic Party and was indicted together with approximately 122 accused persons on 278 high treason charges. He was prosecuted in what became known as the Caprivi Treason trial and later discharged in terms of s</w:t>
      </w:r>
      <w:r w:rsidR="007149CE">
        <w:rPr>
          <w:rFonts w:ascii="Arial" w:eastAsia="Calibri" w:hAnsi="Arial" w:cs="Arial"/>
          <w:sz w:val="24"/>
          <w:szCs w:val="24"/>
        </w:rPr>
        <w:t xml:space="preserve"> </w:t>
      </w:r>
      <w:r w:rsidR="00152A5F" w:rsidRPr="00152A5F">
        <w:rPr>
          <w:rFonts w:ascii="Arial" w:eastAsia="Calibri" w:hAnsi="Arial" w:cs="Arial"/>
          <w:sz w:val="24"/>
          <w:szCs w:val="24"/>
        </w:rPr>
        <w:t xml:space="preserve">174 of the Criminal Procedure Act. </w:t>
      </w:r>
    </w:p>
    <w:p w:rsidR="00617897" w:rsidRPr="00152A5F" w:rsidRDefault="00617897" w:rsidP="00152A5F">
      <w:pPr>
        <w:pStyle w:val="NoSpacing"/>
        <w:spacing w:line="360" w:lineRule="auto"/>
        <w:jc w:val="both"/>
        <w:rPr>
          <w:rFonts w:ascii="Arial" w:eastAsia="Calibri" w:hAnsi="Arial" w:cs="Arial"/>
          <w:sz w:val="24"/>
          <w:szCs w:val="24"/>
        </w:rPr>
      </w:pPr>
    </w:p>
    <w:p w:rsidR="006C6579" w:rsidRDefault="006C6579" w:rsidP="00152A5F">
      <w:pPr>
        <w:spacing w:after="0" w:line="360" w:lineRule="auto"/>
        <w:jc w:val="both"/>
        <w:rPr>
          <w:rFonts w:ascii="Arial" w:eastAsia="Calibri" w:hAnsi="Arial" w:cs="Arial"/>
          <w:sz w:val="24"/>
          <w:szCs w:val="24"/>
        </w:rPr>
      </w:pPr>
      <w:r>
        <w:rPr>
          <w:rFonts w:ascii="Arial" w:eastAsia="Calibri" w:hAnsi="Arial" w:cs="Arial"/>
          <w:sz w:val="24"/>
          <w:szCs w:val="24"/>
        </w:rPr>
        <w:lastRenderedPageBreak/>
        <w:t xml:space="preserve">Following the discharge, the respondent instituted a delictual action against the appellants claiming damages for malicious instigation of prosecution. Alternatively to that claim, the respondent sought damages for malicious continuation of the prosecution. </w:t>
      </w:r>
      <w:r w:rsidR="004239BD">
        <w:rPr>
          <w:rFonts w:ascii="Arial" w:eastAsia="Calibri" w:hAnsi="Arial" w:cs="Arial"/>
          <w:sz w:val="24"/>
          <w:szCs w:val="24"/>
        </w:rPr>
        <w:t xml:space="preserve">He also sought constitutional damages for the alleged breach of certain constitutional rights. </w:t>
      </w:r>
      <w:r>
        <w:rPr>
          <w:rFonts w:ascii="Arial" w:eastAsia="Calibri" w:hAnsi="Arial" w:cs="Arial"/>
          <w:sz w:val="24"/>
          <w:szCs w:val="24"/>
        </w:rPr>
        <w:t xml:space="preserve"> </w:t>
      </w:r>
    </w:p>
    <w:p w:rsidR="006C6579" w:rsidRDefault="006C6579" w:rsidP="00152A5F">
      <w:pPr>
        <w:spacing w:after="0" w:line="360" w:lineRule="auto"/>
        <w:jc w:val="both"/>
        <w:rPr>
          <w:rFonts w:ascii="Arial" w:eastAsia="Calibri" w:hAnsi="Arial" w:cs="Arial"/>
          <w:sz w:val="24"/>
          <w:szCs w:val="24"/>
        </w:rPr>
      </w:pPr>
    </w:p>
    <w:p w:rsidR="00152A5F" w:rsidRPr="00152A5F" w:rsidRDefault="006C6579" w:rsidP="00152A5F">
      <w:pPr>
        <w:spacing w:after="0" w:line="360" w:lineRule="auto"/>
        <w:jc w:val="both"/>
        <w:rPr>
          <w:rFonts w:ascii="Arial" w:eastAsia="Calibri" w:hAnsi="Arial" w:cs="Arial"/>
          <w:sz w:val="24"/>
          <w:szCs w:val="24"/>
        </w:rPr>
      </w:pPr>
      <w:r>
        <w:rPr>
          <w:rFonts w:ascii="Arial" w:eastAsia="Calibri" w:hAnsi="Arial" w:cs="Arial"/>
          <w:sz w:val="24"/>
          <w:szCs w:val="24"/>
        </w:rPr>
        <w:t>Regarding the mai</w:t>
      </w:r>
      <w:r w:rsidR="006E2766">
        <w:rPr>
          <w:rFonts w:ascii="Arial" w:eastAsia="Calibri" w:hAnsi="Arial" w:cs="Arial"/>
          <w:sz w:val="24"/>
          <w:szCs w:val="24"/>
        </w:rPr>
        <w:t xml:space="preserve">n claim, the High Court </w:t>
      </w:r>
      <w:r w:rsidR="006E2766" w:rsidRPr="006E2766">
        <w:rPr>
          <w:rFonts w:ascii="Arial" w:eastAsia="Calibri" w:hAnsi="Arial" w:cs="Arial"/>
          <w:sz w:val="24"/>
          <w:szCs w:val="24"/>
        </w:rPr>
        <w:t>considered</w:t>
      </w:r>
      <w:r w:rsidRPr="006E2766">
        <w:rPr>
          <w:rFonts w:ascii="Arial" w:eastAsia="Calibri" w:hAnsi="Arial" w:cs="Arial"/>
          <w:sz w:val="24"/>
          <w:szCs w:val="24"/>
        </w:rPr>
        <w:t xml:space="preserve"> </w:t>
      </w:r>
      <w:r w:rsidR="00617897">
        <w:rPr>
          <w:rFonts w:ascii="Arial" w:eastAsia="Calibri" w:hAnsi="Arial" w:cs="Arial"/>
          <w:sz w:val="24"/>
          <w:szCs w:val="24"/>
        </w:rPr>
        <w:t>the evidence available to the S</w:t>
      </w:r>
      <w:r>
        <w:rPr>
          <w:rFonts w:ascii="Arial" w:eastAsia="Calibri" w:hAnsi="Arial" w:cs="Arial"/>
          <w:sz w:val="24"/>
          <w:szCs w:val="24"/>
        </w:rPr>
        <w:t>tate as constituting reasonable and probable cause and absolved the Minister</w:t>
      </w:r>
      <w:r w:rsidR="004239BD">
        <w:rPr>
          <w:rFonts w:ascii="Arial" w:eastAsia="Calibri" w:hAnsi="Arial" w:cs="Arial"/>
          <w:sz w:val="24"/>
          <w:szCs w:val="24"/>
        </w:rPr>
        <w:t xml:space="preserve">. It also concluded that there was a probable and reasonable cause for the prosecution to initiate the proceedings. The court held that the prosecution did not act with malice. </w:t>
      </w:r>
      <w:r w:rsidR="005E5894">
        <w:rPr>
          <w:rFonts w:ascii="Arial" w:eastAsia="Calibri" w:hAnsi="Arial" w:cs="Arial"/>
          <w:sz w:val="24"/>
          <w:szCs w:val="24"/>
        </w:rPr>
        <w:t xml:space="preserve">It </w:t>
      </w:r>
      <w:r w:rsidR="004239BD">
        <w:rPr>
          <w:rFonts w:ascii="Arial" w:eastAsia="Calibri" w:hAnsi="Arial" w:cs="Arial"/>
          <w:sz w:val="24"/>
          <w:szCs w:val="24"/>
        </w:rPr>
        <w:t xml:space="preserve">did not decide the constitutional claim. Regarding the alternative claim the court, however, found for the respondent, hence this appeal.  </w:t>
      </w:r>
    </w:p>
    <w:p w:rsidR="00152A5F" w:rsidRPr="00152A5F" w:rsidRDefault="00152A5F" w:rsidP="00152A5F">
      <w:pPr>
        <w:spacing w:after="0" w:line="360" w:lineRule="auto"/>
        <w:jc w:val="both"/>
        <w:rPr>
          <w:rFonts w:ascii="Arial" w:eastAsia="Calibri" w:hAnsi="Arial" w:cs="Arial"/>
          <w:sz w:val="24"/>
          <w:szCs w:val="24"/>
        </w:rPr>
      </w:pPr>
    </w:p>
    <w:p w:rsidR="005E5894" w:rsidRDefault="00152A5F" w:rsidP="00152A5F">
      <w:pPr>
        <w:spacing w:after="0" w:line="360" w:lineRule="auto"/>
        <w:jc w:val="both"/>
        <w:rPr>
          <w:rFonts w:ascii="Arial" w:eastAsia="Calibri" w:hAnsi="Arial" w:cs="Arial"/>
          <w:sz w:val="24"/>
          <w:szCs w:val="24"/>
        </w:rPr>
      </w:pPr>
      <w:r w:rsidRPr="00152A5F">
        <w:rPr>
          <w:rFonts w:ascii="Arial" w:eastAsia="Calibri" w:hAnsi="Arial" w:cs="Arial"/>
          <w:sz w:val="24"/>
          <w:szCs w:val="24"/>
        </w:rPr>
        <w:t xml:space="preserve">On appeal </w:t>
      </w:r>
      <w:r w:rsidR="006E2766" w:rsidRPr="006E2766">
        <w:rPr>
          <w:rFonts w:ascii="Arial" w:eastAsia="Calibri" w:hAnsi="Arial" w:cs="Arial"/>
          <w:sz w:val="24"/>
          <w:szCs w:val="24"/>
        </w:rPr>
        <w:t>this</w:t>
      </w:r>
      <w:r w:rsidR="005E5894" w:rsidRPr="006E2766">
        <w:rPr>
          <w:rFonts w:ascii="Arial" w:eastAsia="Calibri" w:hAnsi="Arial" w:cs="Arial"/>
          <w:sz w:val="24"/>
          <w:szCs w:val="24"/>
        </w:rPr>
        <w:t xml:space="preserve"> </w:t>
      </w:r>
      <w:r w:rsidR="00BB558F">
        <w:rPr>
          <w:rFonts w:ascii="Arial" w:eastAsia="Calibri" w:hAnsi="Arial" w:cs="Arial"/>
          <w:sz w:val="24"/>
          <w:szCs w:val="24"/>
        </w:rPr>
        <w:t>c</w:t>
      </w:r>
      <w:r w:rsidR="005E5894">
        <w:rPr>
          <w:rFonts w:ascii="Arial" w:eastAsia="Calibri" w:hAnsi="Arial" w:cs="Arial"/>
          <w:sz w:val="24"/>
          <w:szCs w:val="24"/>
        </w:rPr>
        <w:t xml:space="preserve">ourt </w:t>
      </w:r>
      <w:r w:rsidRPr="007149CE">
        <w:rPr>
          <w:rFonts w:ascii="Arial" w:eastAsia="Calibri" w:hAnsi="Arial" w:cs="Arial"/>
          <w:i/>
          <w:sz w:val="24"/>
          <w:szCs w:val="24"/>
        </w:rPr>
        <w:t>held</w:t>
      </w:r>
      <w:r w:rsidRPr="00152A5F">
        <w:rPr>
          <w:rFonts w:ascii="Arial" w:eastAsia="Calibri" w:hAnsi="Arial" w:cs="Arial"/>
          <w:sz w:val="24"/>
          <w:szCs w:val="24"/>
        </w:rPr>
        <w:t xml:space="preserve"> that</w:t>
      </w:r>
      <w:r w:rsidR="006E2766" w:rsidRPr="006976A6">
        <w:rPr>
          <w:rFonts w:ascii="Arial" w:eastAsia="Calibri" w:hAnsi="Arial" w:cs="Arial"/>
          <w:sz w:val="24"/>
          <w:szCs w:val="24"/>
        </w:rPr>
        <w:t>,</w:t>
      </w:r>
      <w:r w:rsidRPr="00152A5F">
        <w:rPr>
          <w:rFonts w:ascii="Arial" w:eastAsia="Calibri" w:hAnsi="Arial" w:cs="Arial"/>
          <w:sz w:val="24"/>
          <w:szCs w:val="24"/>
        </w:rPr>
        <w:t xml:space="preserve"> due </w:t>
      </w:r>
      <w:r w:rsidR="005E5894">
        <w:rPr>
          <w:rFonts w:ascii="Arial" w:eastAsia="Calibri" w:hAnsi="Arial" w:cs="Arial"/>
          <w:sz w:val="24"/>
          <w:szCs w:val="24"/>
        </w:rPr>
        <w:t xml:space="preserve">to certain </w:t>
      </w:r>
      <w:r w:rsidRPr="00152A5F">
        <w:rPr>
          <w:rFonts w:ascii="Arial" w:eastAsia="Calibri" w:hAnsi="Arial" w:cs="Arial"/>
          <w:sz w:val="24"/>
          <w:szCs w:val="24"/>
        </w:rPr>
        <w:t>fundamental flaws</w:t>
      </w:r>
      <w:r w:rsidR="005E5894">
        <w:rPr>
          <w:rFonts w:ascii="Arial" w:eastAsia="Calibri" w:hAnsi="Arial" w:cs="Arial"/>
          <w:sz w:val="24"/>
          <w:szCs w:val="24"/>
        </w:rPr>
        <w:t xml:space="preserve"> </w:t>
      </w:r>
      <w:r w:rsidR="005E5894" w:rsidRPr="00AA0AE4">
        <w:rPr>
          <w:rFonts w:ascii="Arial" w:eastAsia="Calibri" w:hAnsi="Arial" w:cs="Arial"/>
          <w:i/>
          <w:sz w:val="24"/>
          <w:szCs w:val="24"/>
        </w:rPr>
        <w:t>a quo</w:t>
      </w:r>
      <w:r w:rsidR="00CB4FB9">
        <w:rPr>
          <w:rFonts w:ascii="Arial" w:eastAsia="Calibri" w:hAnsi="Arial" w:cs="Arial"/>
          <w:sz w:val="24"/>
          <w:szCs w:val="24"/>
        </w:rPr>
        <w:t>,</w:t>
      </w:r>
      <w:r w:rsidR="00AA0AE4">
        <w:rPr>
          <w:rFonts w:ascii="Arial" w:eastAsia="Calibri" w:hAnsi="Arial" w:cs="Arial"/>
          <w:sz w:val="24"/>
          <w:szCs w:val="24"/>
        </w:rPr>
        <w:t xml:space="preserve"> </w:t>
      </w:r>
      <w:r w:rsidR="006E2766">
        <w:rPr>
          <w:rFonts w:ascii="Arial" w:eastAsia="Calibri" w:hAnsi="Arial" w:cs="Arial"/>
          <w:sz w:val="24"/>
          <w:szCs w:val="24"/>
        </w:rPr>
        <w:t xml:space="preserve">it </w:t>
      </w:r>
      <w:r w:rsidR="005E5894">
        <w:rPr>
          <w:rFonts w:ascii="Arial" w:eastAsia="Calibri" w:hAnsi="Arial" w:cs="Arial"/>
          <w:sz w:val="24"/>
          <w:szCs w:val="24"/>
        </w:rPr>
        <w:t xml:space="preserve">is entitled as a court of appeal, to interfere with the portion of the judgment of the High Court </w:t>
      </w:r>
      <w:r w:rsidR="00CB4FB9">
        <w:rPr>
          <w:rFonts w:ascii="Arial" w:eastAsia="Calibri" w:hAnsi="Arial" w:cs="Arial"/>
          <w:sz w:val="24"/>
          <w:szCs w:val="24"/>
        </w:rPr>
        <w:t xml:space="preserve">specifically </w:t>
      </w:r>
      <w:r w:rsidR="005E5894">
        <w:rPr>
          <w:rFonts w:ascii="Arial" w:eastAsia="Calibri" w:hAnsi="Arial" w:cs="Arial"/>
          <w:sz w:val="24"/>
          <w:szCs w:val="24"/>
        </w:rPr>
        <w:t xml:space="preserve">with regard to whether that court misdirected itself on the facts and the law. </w:t>
      </w:r>
      <w:r w:rsidR="00617897">
        <w:rPr>
          <w:rFonts w:ascii="Arial" w:eastAsia="Calibri" w:hAnsi="Arial" w:cs="Arial"/>
          <w:sz w:val="24"/>
          <w:szCs w:val="24"/>
        </w:rPr>
        <w:t>Relying on this c</w:t>
      </w:r>
      <w:r w:rsidR="006E2766">
        <w:rPr>
          <w:rFonts w:ascii="Arial" w:eastAsia="Calibri" w:hAnsi="Arial" w:cs="Arial"/>
          <w:sz w:val="24"/>
          <w:szCs w:val="24"/>
        </w:rPr>
        <w:t>ourt’s earlier decisions</w:t>
      </w:r>
      <w:r w:rsidR="00CB4FB9">
        <w:rPr>
          <w:rFonts w:ascii="Arial" w:eastAsia="Calibri" w:hAnsi="Arial" w:cs="Arial"/>
          <w:sz w:val="24"/>
          <w:szCs w:val="24"/>
        </w:rPr>
        <w:t xml:space="preserve"> </w:t>
      </w:r>
      <w:r w:rsidR="006E2766" w:rsidRPr="00BB558F">
        <w:rPr>
          <w:rFonts w:ascii="Arial" w:eastAsia="Calibri" w:hAnsi="Arial" w:cs="Arial"/>
          <w:sz w:val="24"/>
          <w:szCs w:val="24"/>
        </w:rPr>
        <w:t>in</w:t>
      </w:r>
      <w:r w:rsidR="006E2766" w:rsidRPr="00617897">
        <w:rPr>
          <w:rFonts w:ascii="Arial" w:hAnsi="Arial" w:cs="Arial"/>
          <w:i/>
        </w:rPr>
        <w:t xml:space="preserve"> </w:t>
      </w:r>
      <w:r w:rsidR="006E2766" w:rsidRPr="00617897">
        <w:rPr>
          <w:rFonts w:ascii="Arial" w:eastAsia="Calibri" w:hAnsi="Arial" w:cs="Arial"/>
          <w:i/>
          <w:sz w:val="24"/>
          <w:szCs w:val="24"/>
        </w:rPr>
        <w:t>Minister of Safety an</w:t>
      </w:r>
      <w:r w:rsidR="00617897" w:rsidRPr="00617897">
        <w:rPr>
          <w:rFonts w:ascii="Arial" w:eastAsia="Calibri" w:hAnsi="Arial" w:cs="Arial"/>
          <w:i/>
          <w:sz w:val="24"/>
          <w:szCs w:val="24"/>
        </w:rPr>
        <w:t>d Security &amp; o</w:t>
      </w:r>
      <w:r w:rsidR="006E2766" w:rsidRPr="00617897">
        <w:rPr>
          <w:rFonts w:ascii="Arial" w:eastAsia="Calibri" w:hAnsi="Arial" w:cs="Arial"/>
          <w:i/>
          <w:sz w:val="24"/>
          <w:szCs w:val="24"/>
        </w:rPr>
        <w:t>thers v Mahupelo</w:t>
      </w:r>
      <w:r w:rsidR="006E2766">
        <w:rPr>
          <w:rFonts w:ascii="Arial" w:eastAsia="Calibri" w:hAnsi="Arial" w:cs="Arial"/>
          <w:sz w:val="24"/>
          <w:szCs w:val="24"/>
        </w:rPr>
        <w:t xml:space="preserve"> </w:t>
      </w:r>
      <w:r w:rsidR="006E2766" w:rsidRPr="006E2766">
        <w:rPr>
          <w:rFonts w:ascii="Arial" w:eastAsia="Calibri" w:hAnsi="Arial" w:cs="Arial"/>
          <w:sz w:val="24"/>
          <w:szCs w:val="24"/>
        </w:rPr>
        <w:t xml:space="preserve">(SA 7/2017) [2019] NASC 2 (28 February 2019) </w:t>
      </w:r>
      <w:r w:rsidR="006E2766" w:rsidRPr="00617897">
        <w:rPr>
          <w:rFonts w:ascii="Arial" w:eastAsia="Calibri" w:hAnsi="Arial" w:cs="Arial"/>
          <w:i/>
          <w:sz w:val="24"/>
          <w:szCs w:val="24"/>
        </w:rPr>
        <w:t>(Mahupelo)</w:t>
      </w:r>
      <w:r w:rsidR="006E2766" w:rsidRPr="006E2766">
        <w:rPr>
          <w:rFonts w:ascii="Arial" w:eastAsia="Calibri" w:hAnsi="Arial" w:cs="Arial"/>
          <w:sz w:val="24"/>
          <w:szCs w:val="24"/>
        </w:rPr>
        <w:t xml:space="preserve"> </w:t>
      </w:r>
      <w:r w:rsidR="006E2766">
        <w:rPr>
          <w:rFonts w:ascii="Arial" w:eastAsia="Calibri" w:hAnsi="Arial" w:cs="Arial"/>
          <w:sz w:val="24"/>
          <w:szCs w:val="24"/>
        </w:rPr>
        <w:t>and the applicable legal principles</w:t>
      </w:r>
      <w:r w:rsidR="00CB4FB9">
        <w:rPr>
          <w:rFonts w:ascii="Arial" w:eastAsia="Calibri" w:hAnsi="Arial" w:cs="Arial"/>
          <w:sz w:val="24"/>
          <w:szCs w:val="24"/>
        </w:rPr>
        <w:t xml:space="preserve">, the court </w:t>
      </w:r>
      <w:r w:rsidR="00CB4FB9" w:rsidRPr="007149CE">
        <w:rPr>
          <w:rFonts w:ascii="Arial" w:eastAsia="Calibri" w:hAnsi="Arial" w:cs="Arial"/>
          <w:i/>
          <w:sz w:val="24"/>
          <w:szCs w:val="24"/>
        </w:rPr>
        <w:t>held</w:t>
      </w:r>
      <w:r w:rsidR="00CB4FB9">
        <w:rPr>
          <w:rFonts w:ascii="Arial" w:eastAsia="Calibri" w:hAnsi="Arial" w:cs="Arial"/>
          <w:sz w:val="24"/>
          <w:szCs w:val="24"/>
        </w:rPr>
        <w:t xml:space="preserve"> that the respondent failed to establish reasonable and probable cause regarding his alternative claim. </w:t>
      </w:r>
    </w:p>
    <w:p w:rsidR="00152A5F" w:rsidRPr="00152A5F" w:rsidRDefault="00152A5F" w:rsidP="00152A5F">
      <w:pPr>
        <w:spacing w:after="0" w:line="360" w:lineRule="auto"/>
        <w:jc w:val="both"/>
        <w:rPr>
          <w:rFonts w:ascii="Arial" w:eastAsia="Calibri" w:hAnsi="Arial" w:cs="Arial"/>
          <w:sz w:val="24"/>
          <w:szCs w:val="24"/>
        </w:rPr>
      </w:pPr>
    </w:p>
    <w:p w:rsidR="005D5EEF" w:rsidRDefault="00CB4FB9" w:rsidP="005D5EEF">
      <w:pPr>
        <w:spacing w:after="0" w:line="360" w:lineRule="auto"/>
        <w:jc w:val="both"/>
        <w:rPr>
          <w:rFonts w:ascii="Arial" w:eastAsia="Calibri" w:hAnsi="Arial" w:cs="Arial"/>
          <w:sz w:val="24"/>
          <w:szCs w:val="24"/>
        </w:rPr>
      </w:pPr>
      <w:r>
        <w:rPr>
          <w:rFonts w:ascii="Arial" w:eastAsia="Calibri" w:hAnsi="Arial" w:cs="Arial"/>
          <w:sz w:val="24"/>
          <w:szCs w:val="24"/>
        </w:rPr>
        <w:t xml:space="preserve">As to the </w:t>
      </w:r>
      <w:r w:rsidR="00152A5F" w:rsidRPr="00152A5F">
        <w:rPr>
          <w:rFonts w:ascii="Arial" w:eastAsia="Calibri" w:hAnsi="Arial" w:cs="Arial"/>
          <w:sz w:val="24"/>
          <w:szCs w:val="24"/>
        </w:rPr>
        <w:t>further alternative claim for the alleged violations of various constitutional right</w:t>
      </w:r>
      <w:r>
        <w:rPr>
          <w:rFonts w:ascii="Arial" w:eastAsia="Calibri" w:hAnsi="Arial" w:cs="Arial"/>
          <w:sz w:val="24"/>
          <w:szCs w:val="24"/>
        </w:rPr>
        <w:t>, the court, on appeal, h</w:t>
      </w:r>
      <w:r w:rsidR="00152A5F" w:rsidRPr="00152A5F">
        <w:rPr>
          <w:rFonts w:ascii="Arial" w:eastAsia="Calibri" w:hAnsi="Arial" w:cs="Arial"/>
          <w:sz w:val="24"/>
          <w:szCs w:val="24"/>
        </w:rPr>
        <w:t xml:space="preserve">eld that for the same reasons pronounced in </w:t>
      </w:r>
      <w:r w:rsidR="00152A5F" w:rsidRPr="00617897">
        <w:rPr>
          <w:rFonts w:ascii="Arial" w:eastAsia="Calibri" w:hAnsi="Arial" w:cs="Arial"/>
          <w:i/>
          <w:sz w:val="24"/>
          <w:szCs w:val="24"/>
        </w:rPr>
        <w:t>Mahupelo</w:t>
      </w:r>
      <w:r w:rsidR="00152A5F" w:rsidRPr="00152A5F">
        <w:rPr>
          <w:rFonts w:ascii="Arial" w:eastAsia="Calibri" w:hAnsi="Arial" w:cs="Arial"/>
          <w:sz w:val="24"/>
          <w:szCs w:val="24"/>
        </w:rPr>
        <w:t xml:space="preserve"> the matter s</w:t>
      </w:r>
      <w:r>
        <w:rPr>
          <w:rFonts w:ascii="Arial" w:eastAsia="Calibri" w:hAnsi="Arial" w:cs="Arial"/>
          <w:sz w:val="24"/>
          <w:szCs w:val="24"/>
        </w:rPr>
        <w:t>hould be</w:t>
      </w:r>
      <w:r w:rsidR="00152A5F" w:rsidRPr="00152A5F">
        <w:rPr>
          <w:rFonts w:ascii="Arial" w:eastAsia="Calibri" w:hAnsi="Arial" w:cs="Arial"/>
          <w:sz w:val="24"/>
          <w:szCs w:val="24"/>
        </w:rPr>
        <w:t xml:space="preserve"> remitted to the High Court</w:t>
      </w:r>
      <w:r w:rsidR="00460267">
        <w:rPr>
          <w:rFonts w:ascii="Arial" w:eastAsia="Calibri" w:hAnsi="Arial" w:cs="Arial"/>
          <w:sz w:val="24"/>
          <w:szCs w:val="24"/>
        </w:rPr>
        <w:t>.</w:t>
      </w:r>
      <w:r>
        <w:rPr>
          <w:rFonts w:ascii="Arial" w:eastAsia="Calibri" w:hAnsi="Arial" w:cs="Arial"/>
          <w:sz w:val="24"/>
          <w:szCs w:val="24"/>
        </w:rPr>
        <w:t xml:space="preserve"> </w:t>
      </w:r>
      <w:r w:rsidR="00460267">
        <w:rPr>
          <w:rFonts w:ascii="Arial" w:eastAsia="Calibri" w:hAnsi="Arial" w:cs="Arial"/>
          <w:sz w:val="24"/>
          <w:szCs w:val="24"/>
        </w:rPr>
        <w:t>A</w:t>
      </w:r>
      <w:r>
        <w:rPr>
          <w:rFonts w:ascii="Arial" w:eastAsia="Calibri" w:hAnsi="Arial" w:cs="Arial"/>
          <w:sz w:val="24"/>
          <w:szCs w:val="24"/>
        </w:rPr>
        <w:t>ccordin</w:t>
      </w:r>
      <w:r w:rsidR="00460267">
        <w:rPr>
          <w:rFonts w:ascii="Arial" w:eastAsia="Calibri" w:hAnsi="Arial" w:cs="Arial"/>
          <w:sz w:val="24"/>
          <w:szCs w:val="24"/>
        </w:rPr>
        <w:t xml:space="preserve">gly, the court upheld the appeal </w:t>
      </w:r>
      <w:r w:rsidR="00152A5F" w:rsidRPr="00152A5F">
        <w:rPr>
          <w:rFonts w:ascii="Arial" w:eastAsia="Calibri" w:hAnsi="Arial" w:cs="Arial"/>
          <w:sz w:val="24"/>
          <w:szCs w:val="24"/>
        </w:rPr>
        <w:t>in part</w:t>
      </w:r>
      <w:r w:rsidR="00460267">
        <w:rPr>
          <w:rFonts w:ascii="Arial" w:eastAsia="Calibri" w:hAnsi="Arial" w:cs="Arial"/>
          <w:sz w:val="24"/>
          <w:szCs w:val="24"/>
        </w:rPr>
        <w:t>, referred the question regarding the constitutional claim back to the High Court</w:t>
      </w:r>
      <w:r w:rsidR="00152A5F" w:rsidRPr="00152A5F">
        <w:rPr>
          <w:rFonts w:ascii="Arial" w:eastAsia="Calibri" w:hAnsi="Arial" w:cs="Arial"/>
          <w:sz w:val="24"/>
          <w:szCs w:val="24"/>
        </w:rPr>
        <w:t xml:space="preserve"> and </w:t>
      </w:r>
      <w:r w:rsidR="00460267">
        <w:rPr>
          <w:rFonts w:ascii="Arial" w:eastAsia="Calibri" w:hAnsi="Arial" w:cs="Arial"/>
          <w:sz w:val="24"/>
          <w:szCs w:val="24"/>
        </w:rPr>
        <w:t xml:space="preserve">made </w:t>
      </w:r>
      <w:r w:rsidR="005D5EEF">
        <w:rPr>
          <w:rFonts w:ascii="Arial" w:eastAsia="Calibri" w:hAnsi="Arial" w:cs="Arial"/>
          <w:sz w:val="24"/>
          <w:szCs w:val="24"/>
        </w:rPr>
        <w:t>no order as to costs.</w:t>
      </w:r>
    </w:p>
    <w:p w:rsidR="00ED1374" w:rsidRDefault="00ED1374">
      <w:pPr>
        <w:rPr>
          <w:rFonts w:ascii="Arial" w:eastAsia="Calibri" w:hAnsi="Arial" w:cs="Arial"/>
          <w:sz w:val="24"/>
          <w:szCs w:val="24"/>
        </w:rPr>
      </w:pPr>
      <w:r>
        <w:rPr>
          <w:rFonts w:ascii="Arial" w:eastAsia="Calibri" w:hAnsi="Arial" w:cs="Arial"/>
          <w:sz w:val="24"/>
          <w:szCs w:val="24"/>
        </w:rPr>
        <w:br w:type="page"/>
      </w:r>
    </w:p>
    <w:p w:rsidR="00CC4D0B" w:rsidRPr="00991107" w:rsidRDefault="00CC4D0B" w:rsidP="00CC4D0B">
      <w:pPr>
        <w:pStyle w:val="NoSpacing"/>
        <w:rPr>
          <w:rFonts w:ascii="Arial" w:hAnsi="Arial" w:cs="Arial"/>
          <w:sz w:val="24"/>
          <w:szCs w:val="24"/>
        </w:rPr>
      </w:pPr>
      <w:r>
        <w:rPr>
          <w:rFonts w:ascii="Arial" w:hAnsi="Arial" w:cs="Arial"/>
          <w:sz w:val="24"/>
          <w:szCs w:val="24"/>
        </w:rPr>
        <w:lastRenderedPageBreak/>
        <w:t>____________________________________________________________________</w:t>
      </w:r>
    </w:p>
    <w:p w:rsidR="00CC4D0B" w:rsidRPr="00991107" w:rsidRDefault="00CC4D0B" w:rsidP="00CC4D0B">
      <w:pPr>
        <w:pStyle w:val="NoSpacing"/>
        <w:rPr>
          <w:rFonts w:ascii="Arial" w:hAnsi="Arial" w:cs="Arial"/>
          <w:sz w:val="24"/>
          <w:szCs w:val="24"/>
        </w:rPr>
      </w:pPr>
    </w:p>
    <w:p w:rsidR="00CC4D0B" w:rsidRPr="00970591" w:rsidRDefault="00CC4D0B" w:rsidP="008D60BE">
      <w:pPr>
        <w:pStyle w:val="NoSpacing"/>
        <w:jc w:val="center"/>
        <w:rPr>
          <w:rFonts w:ascii="Arial" w:hAnsi="Arial" w:cs="Arial"/>
          <w:b/>
          <w:sz w:val="24"/>
          <w:szCs w:val="24"/>
        </w:rPr>
      </w:pPr>
      <w:r w:rsidRPr="00970591">
        <w:rPr>
          <w:rFonts w:ascii="Arial" w:hAnsi="Arial" w:cs="Arial"/>
          <w:b/>
          <w:sz w:val="24"/>
          <w:szCs w:val="24"/>
        </w:rPr>
        <w:t>APPEAL JUDGMENT</w:t>
      </w:r>
    </w:p>
    <w:p w:rsidR="00CC4D0B" w:rsidRDefault="00CC4D0B" w:rsidP="00CC4D0B">
      <w:pPr>
        <w:pStyle w:val="NoSpacing"/>
        <w:rPr>
          <w:rFonts w:ascii="Arial" w:hAnsi="Arial" w:cs="Arial"/>
          <w:sz w:val="24"/>
          <w:szCs w:val="24"/>
        </w:rPr>
      </w:pPr>
      <w:r>
        <w:rPr>
          <w:rFonts w:ascii="Arial" w:hAnsi="Arial" w:cs="Arial"/>
          <w:sz w:val="24"/>
          <w:szCs w:val="24"/>
        </w:rPr>
        <w:t>____________________________________________________________________</w:t>
      </w:r>
    </w:p>
    <w:p w:rsidR="00225033" w:rsidRDefault="00225033" w:rsidP="001320A8">
      <w:pPr>
        <w:pStyle w:val="NoSpacing"/>
        <w:spacing w:line="480" w:lineRule="auto"/>
        <w:jc w:val="both"/>
        <w:rPr>
          <w:rFonts w:ascii="Arial" w:hAnsi="Arial" w:cs="Arial"/>
          <w:sz w:val="24"/>
          <w:szCs w:val="24"/>
        </w:rPr>
      </w:pPr>
    </w:p>
    <w:p w:rsidR="00CC4D0B" w:rsidRDefault="004C0CB1" w:rsidP="001320A8">
      <w:pPr>
        <w:pStyle w:val="NoSpacing"/>
        <w:spacing w:line="480" w:lineRule="auto"/>
        <w:jc w:val="both"/>
        <w:rPr>
          <w:rFonts w:ascii="Arial" w:hAnsi="Arial" w:cs="Arial"/>
          <w:sz w:val="24"/>
          <w:szCs w:val="24"/>
        </w:rPr>
      </w:pPr>
      <w:r>
        <w:rPr>
          <w:rFonts w:ascii="Arial" w:hAnsi="Arial" w:cs="Arial"/>
          <w:sz w:val="24"/>
          <w:szCs w:val="24"/>
        </w:rPr>
        <w:t>NKABINDE AJA</w:t>
      </w:r>
      <w:r w:rsidR="00CC4D0B">
        <w:rPr>
          <w:rFonts w:ascii="Arial" w:hAnsi="Arial" w:cs="Arial"/>
          <w:sz w:val="24"/>
          <w:szCs w:val="24"/>
        </w:rPr>
        <w:t xml:space="preserve"> (</w:t>
      </w:r>
      <w:r w:rsidR="005D5EEF">
        <w:rPr>
          <w:rFonts w:ascii="Arial" w:hAnsi="Arial" w:cs="Arial"/>
          <w:sz w:val="24"/>
          <w:szCs w:val="24"/>
        </w:rPr>
        <w:t xml:space="preserve">SHIVUTE CJ </w:t>
      </w:r>
      <w:r w:rsidR="00CC4D0B">
        <w:rPr>
          <w:rFonts w:ascii="Arial" w:hAnsi="Arial" w:cs="Arial"/>
          <w:sz w:val="24"/>
          <w:szCs w:val="24"/>
        </w:rPr>
        <w:t>and</w:t>
      </w:r>
      <w:r w:rsidR="005D5EEF">
        <w:rPr>
          <w:rFonts w:ascii="Arial" w:hAnsi="Arial" w:cs="Arial"/>
          <w:sz w:val="24"/>
          <w:szCs w:val="24"/>
        </w:rPr>
        <w:t xml:space="preserve"> MOKGORO AJA </w:t>
      </w:r>
      <w:r w:rsidR="00CC4D0B">
        <w:rPr>
          <w:rFonts w:ascii="Arial" w:hAnsi="Arial" w:cs="Arial"/>
          <w:sz w:val="24"/>
          <w:szCs w:val="24"/>
        </w:rPr>
        <w:t>concurring):</w:t>
      </w:r>
    </w:p>
    <w:p w:rsidR="004C0CB1" w:rsidRPr="004C0CB1" w:rsidRDefault="004C0CB1" w:rsidP="001320A8">
      <w:pPr>
        <w:pStyle w:val="NoSpacing"/>
        <w:spacing w:line="480" w:lineRule="auto"/>
        <w:jc w:val="both"/>
        <w:rPr>
          <w:rFonts w:ascii="Arial" w:hAnsi="Arial" w:cs="Arial"/>
          <w:sz w:val="24"/>
          <w:szCs w:val="24"/>
          <w:u w:val="single"/>
        </w:rPr>
      </w:pPr>
      <w:r w:rsidRPr="004C0CB1">
        <w:rPr>
          <w:rFonts w:ascii="Arial" w:hAnsi="Arial" w:cs="Arial"/>
          <w:sz w:val="24"/>
          <w:szCs w:val="24"/>
          <w:u w:val="single"/>
        </w:rPr>
        <w:t>Introduction</w:t>
      </w:r>
    </w:p>
    <w:p w:rsidR="00FD2C52" w:rsidRPr="00FD2C52" w:rsidRDefault="009B334B" w:rsidP="0070126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w:t>
      </w:r>
      <w:r w:rsidR="00E44F7C">
        <w:rPr>
          <w:rFonts w:ascii="Arial" w:hAnsi="Arial" w:cs="Arial"/>
          <w:sz w:val="24"/>
          <w:szCs w:val="24"/>
        </w:rPr>
        <w:t xml:space="preserve">his appeal bears certain indistinguishable features with the </w:t>
      </w:r>
      <w:r w:rsidR="00251CC7">
        <w:rPr>
          <w:rFonts w:ascii="Arial" w:hAnsi="Arial" w:cs="Arial"/>
          <w:sz w:val="24"/>
          <w:szCs w:val="24"/>
        </w:rPr>
        <w:t xml:space="preserve">case decided by </w:t>
      </w:r>
      <w:r w:rsidR="00617897">
        <w:rPr>
          <w:rFonts w:ascii="Arial" w:hAnsi="Arial" w:cs="Arial"/>
          <w:sz w:val="24"/>
          <w:szCs w:val="24"/>
        </w:rPr>
        <w:t>this c</w:t>
      </w:r>
      <w:r w:rsidR="00E44F7C">
        <w:rPr>
          <w:rFonts w:ascii="Arial" w:hAnsi="Arial" w:cs="Arial"/>
          <w:sz w:val="24"/>
          <w:szCs w:val="24"/>
        </w:rPr>
        <w:t xml:space="preserve">ourt in </w:t>
      </w:r>
      <w:r w:rsidR="00E44F7C" w:rsidRPr="00E44F7C">
        <w:rPr>
          <w:rFonts w:ascii="Arial" w:hAnsi="Arial" w:cs="Arial"/>
          <w:i/>
          <w:sz w:val="24"/>
          <w:szCs w:val="24"/>
        </w:rPr>
        <w:t>Mahupelo</w:t>
      </w:r>
      <w:r w:rsidR="00FD2C52">
        <w:rPr>
          <w:rFonts w:ascii="Arial" w:hAnsi="Arial" w:cs="Arial"/>
          <w:sz w:val="24"/>
          <w:szCs w:val="24"/>
        </w:rPr>
        <w:t>,</w:t>
      </w:r>
      <w:r>
        <w:rPr>
          <w:rStyle w:val="FootnoteReference"/>
          <w:rFonts w:ascii="Arial" w:hAnsi="Arial" w:cs="Arial"/>
          <w:sz w:val="24"/>
          <w:szCs w:val="24"/>
        </w:rPr>
        <w:footnoteReference w:id="1"/>
      </w:r>
      <w:r w:rsidR="00FD2C52">
        <w:rPr>
          <w:rFonts w:ascii="Arial" w:hAnsi="Arial" w:cs="Arial"/>
          <w:sz w:val="24"/>
          <w:szCs w:val="24"/>
        </w:rPr>
        <w:t xml:space="preserve"> per Shivute CJ, which </w:t>
      </w:r>
      <w:r w:rsidR="00251CC7">
        <w:rPr>
          <w:rFonts w:ascii="Arial" w:hAnsi="Arial" w:cs="Arial"/>
          <w:sz w:val="24"/>
          <w:szCs w:val="24"/>
        </w:rPr>
        <w:t>was also about a</w:t>
      </w:r>
      <w:r w:rsidR="00E44F7C">
        <w:rPr>
          <w:rFonts w:ascii="Arial" w:hAnsi="Arial" w:cs="Arial"/>
          <w:sz w:val="24"/>
          <w:szCs w:val="24"/>
        </w:rPr>
        <w:t xml:space="preserve"> </w:t>
      </w:r>
      <w:r w:rsidR="007D2679">
        <w:rPr>
          <w:rFonts w:ascii="Arial" w:hAnsi="Arial" w:cs="Arial"/>
          <w:sz w:val="24"/>
          <w:szCs w:val="24"/>
        </w:rPr>
        <w:t xml:space="preserve">delictual claim based on malicious instigation and </w:t>
      </w:r>
      <w:r w:rsidR="006C7C7F">
        <w:rPr>
          <w:rFonts w:ascii="Arial" w:hAnsi="Arial" w:cs="Arial"/>
          <w:sz w:val="24"/>
          <w:szCs w:val="24"/>
        </w:rPr>
        <w:t xml:space="preserve">continuation of prosecution and constitutional </w:t>
      </w:r>
      <w:r w:rsidR="00251CC7">
        <w:rPr>
          <w:rFonts w:ascii="Arial" w:hAnsi="Arial" w:cs="Arial"/>
          <w:sz w:val="24"/>
          <w:szCs w:val="24"/>
        </w:rPr>
        <w:t>claim for damages</w:t>
      </w:r>
      <w:r w:rsidR="006C7C7F">
        <w:rPr>
          <w:rFonts w:ascii="Arial" w:hAnsi="Arial" w:cs="Arial"/>
          <w:sz w:val="24"/>
          <w:szCs w:val="24"/>
        </w:rPr>
        <w:t>. The case was, similarly, a s</w:t>
      </w:r>
      <w:r w:rsidR="00E44F7C">
        <w:rPr>
          <w:rFonts w:ascii="Arial" w:hAnsi="Arial" w:cs="Arial"/>
          <w:sz w:val="24"/>
          <w:szCs w:val="24"/>
        </w:rPr>
        <w:t xml:space="preserve">equel to the </w:t>
      </w:r>
      <w:r w:rsidR="00FD2C52">
        <w:rPr>
          <w:rFonts w:ascii="Arial" w:hAnsi="Arial" w:cs="Arial"/>
          <w:sz w:val="24"/>
          <w:szCs w:val="24"/>
        </w:rPr>
        <w:t>violent a</w:t>
      </w:r>
      <w:r w:rsidR="00FD2C52" w:rsidRPr="00FD2C52">
        <w:rPr>
          <w:rFonts w:ascii="Arial" w:hAnsi="Arial" w:cs="Arial"/>
          <w:sz w:val="24"/>
          <w:szCs w:val="24"/>
        </w:rPr>
        <w:t xml:space="preserve">ttack </w:t>
      </w:r>
      <w:r>
        <w:rPr>
          <w:rFonts w:ascii="Arial" w:hAnsi="Arial" w:cs="Arial"/>
          <w:sz w:val="24"/>
          <w:szCs w:val="24"/>
        </w:rPr>
        <w:t xml:space="preserve">in 1999 </w:t>
      </w:r>
      <w:r w:rsidR="00FD2C52" w:rsidRPr="00FD2C52">
        <w:rPr>
          <w:rFonts w:ascii="Arial" w:hAnsi="Arial" w:cs="Arial"/>
          <w:sz w:val="24"/>
          <w:szCs w:val="24"/>
        </w:rPr>
        <w:t xml:space="preserve">in an attempt to secede </w:t>
      </w:r>
      <w:r w:rsidR="00F54E89">
        <w:rPr>
          <w:rFonts w:ascii="Arial" w:hAnsi="Arial" w:cs="Arial"/>
          <w:sz w:val="24"/>
          <w:szCs w:val="24"/>
        </w:rPr>
        <w:t xml:space="preserve">the </w:t>
      </w:r>
      <w:r w:rsidR="00FD2C52" w:rsidRPr="00FD2C52">
        <w:rPr>
          <w:rFonts w:ascii="Arial" w:hAnsi="Arial" w:cs="Arial"/>
          <w:sz w:val="24"/>
          <w:szCs w:val="24"/>
        </w:rPr>
        <w:t xml:space="preserve">Caprivi </w:t>
      </w:r>
      <w:r w:rsidR="008B2CEB">
        <w:rPr>
          <w:rFonts w:ascii="Arial" w:hAnsi="Arial" w:cs="Arial"/>
          <w:sz w:val="24"/>
          <w:szCs w:val="24"/>
        </w:rPr>
        <w:t>(now Zambezi) r</w:t>
      </w:r>
      <w:r w:rsidR="00F54E89">
        <w:rPr>
          <w:rFonts w:ascii="Arial" w:hAnsi="Arial" w:cs="Arial"/>
          <w:sz w:val="24"/>
          <w:szCs w:val="24"/>
        </w:rPr>
        <w:t xml:space="preserve">egion </w:t>
      </w:r>
      <w:r w:rsidR="00FD2C52" w:rsidRPr="00FD2C52">
        <w:rPr>
          <w:rFonts w:ascii="Arial" w:hAnsi="Arial" w:cs="Arial"/>
          <w:sz w:val="24"/>
          <w:szCs w:val="24"/>
        </w:rPr>
        <w:t xml:space="preserve">from Namibia. </w:t>
      </w:r>
      <w:r w:rsidR="00E44F7C" w:rsidRPr="00FD2C52">
        <w:rPr>
          <w:rFonts w:ascii="Arial" w:hAnsi="Arial" w:cs="Arial"/>
          <w:sz w:val="24"/>
          <w:szCs w:val="24"/>
        </w:rPr>
        <w:t xml:space="preserve"> </w:t>
      </w:r>
      <w:r w:rsidR="006C6579">
        <w:rPr>
          <w:rFonts w:ascii="Arial" w:hAnsi="Arial" w:cs="Arial"/>
          <w:sz w:val="24"/>
          <w:szCs w:val="24"/>
        </w:rPr>
        <w:t>As a recent</w:t>
      </w:r>
      <w:r w:rsidR="00152A5F">
        <w:rPr>
          <w:rFonts w:ascii="Arial" w:hAnsi="Arial" w:cs="Arial"/>
          <w:sz w:val="24"/>
          <w:szCs w:val="24"/>
        </w:rPr>
        <w:t xml:space="preserve"> </w:t>
      </w:r>
      <w:r w:rsidR="00152A5F" w:rsidRPr="00460267">
        <w:rPr>
          <w:rFonts w:ascii="Arial" w:hAnsi="Arial" w:cs="Arial"/>
          <w:sz w:val="24"/>
          <w:szCs w:val="24"/>
        </w:rPr>
        <w:t>precedent</w:t>
      </w:r>
      <w:r w:rsidR="00FD2C52">
        <w:rPr>
          <w:rFonts w:ascii="Arial" w:hAnsi="Arial" w:cs="Arial"/>
          <w:sz w:val="24"/>
          <w:szCs w:val="24"/>
        </w:rPr>
        <w:t xml:space="preserve"> on the law regarding malicious prosecution in this jurisdiction, </w:t>
      </w:r>
      <w:r w:rsidR="00E44F7C" w:rsidRPr="00FD2C52">
        <w:rPr>
          <w:rFonts w:ascii="Arial" w:hAnsi="Arial" w:cs="Arial"/>
          <w:sz w:val="24"/>
          <w:szCs w:val="24"/>
        </w:rPr>
        <w:t>reliance will be placed considerably on the legal principle</w:t>
      </w:r>
      <w:r>
        <w:rPr>
          <w:rFonts w:ascii="Arial" w:hAnsi="Arial" w:cs="Arial"/>
          <w:sz w:val="24"/>
          <w:szCs w:val="24"/>
        </w:rPr>
        <w:t>s well-</w:t>
      </w:r>
      <w:r w:rsidR="00E44F7C" w:rsidRPr="00FD2C52">
        <w:rPr>
          <w:rFonts w:ascii="Arial" w:hAnsi="Arial" w:cs="Arial"/>
          <w:sz w:val="24"/>
          <w:szCs w:val="24"/>
        </w:rPr>
        <w:t xml:space="preserve">articulated </w:t>
      </w:r>
      <w:r>
        <w:rPr>
          <w:rFonts w:ascii="Arial" w:hAnsi="Arial" w:cs="Arial"/>
          <w:sz w:val="24"/>
          <w:szCs w:val="24"/>
        </w:rPr>
        <w:t xml:space="preserve">and re-affirmed </w:t>
      </w:r>
      <w:r w:rsidR="00E44F7C" w:rsidRPr="00FD2C52">
        <w:rPr>
          <w:rFonts w:ascii="Arial" w:hAnsi="Arial" w:cs="Arial"/>
          <w:sz w:val="24"/>
          <w:szCs w:val="24"/>
        </w:rPr>
        <w:t xml:space="preserve">by the Chief Justice in that </w:t>
      </w:r>
      <w:r w:rsidR="00251CC7">
        <w:rPr>
          <w:rFonts w:ascii="Arial" w:hAnsi="Arial" w:cs="Arial"/>
          <w:sz w:val="24"/>
          <w:szCs w:val="24"/>
        </w:rPr>
        <w:t>case</w:t>
      </w:r>
      <w:r w:rsidR="00E44F7C" w:rsidRPr="00FD2C52">
        <w:rPr>
          <w:rFonts w:ascii="Arial" w:hAnsi="Arial" w:cs="Arial"/>
          <w:sz w:val="24"/>
          <w:szCs w:val="24"/>
        </w:rPr>
        <w:t xml:space="preserve">. </w:t>
      </w:r>
    </w:p>
    <w:p w:rsidR="00FD2C52" w:rsidRDefault="00FD2C52" w:rsidP="00FD2C52">
      <w:pPr>
        <w:pStyle w:val="NoSpacing"/>
        <w:spacing w:line="480" w:lineRule="auto"/>
        <w:jc w:val="both"/>
        <w:rPr>
          <w:rFonts w:ascii="Arial" w:hAnsi="Arial" w:cs="Arial"/>
          <w:sz w:val="24"/>
          <w:szCs w:val="24"/>
        </w:rPr>
      </w:pPr>
    </w:p>
    <w:p w:rsidR="00701260" w:rsidRPr="009B334B" w:rsidRDefault="004C0CB1" w:rsidP="0070126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w:t>
      </w:r>
      <w:r w:rsidR="00251CC7">
        <w:rPr>
          <w:rFonts w:ascii="Arial" w:hAnsi="Arial" w:cs="Arial"/>
          <w:sz w:val="24"/>
          <w:szCs w:val="24"/>
        </w:rPr>
        <w:t xml:space="preserve">e </w:t>
      </w:r>
      <w:r>
        <w:rPr>
          <w:rFonts w:ascii="Arial" w:hAnsi="Arial" w:cs="Arial"/>
          <w:sz w:val="24"/>
          <w:szCs w:val="24"/>
        </w:rPr>
        <w:t xml:space="preserve">appeal </w:t>
      </w:r>
      <w:r w:rsidR="006C7C7F">
        <w:rPr>
          <w:rFonts w:ascii="Arial" w:hAnsi="Arial" w:cs="Arial"/>
          <w:sz w:val="24"/>
          <w:szCs w:val="24"/>
        </w:rPr>
        <w:t xml:space="preserve">is </w:t>
      </w:r>
      <w:r>
        <w:rPr>
          <w:rFonts w:ascii="Arial" w:hAnsi="Arial" w:cs="Arial"/>
          <w:sz w:val="24"/>
          <w:szCs w:val="24"/>
        </w:rPr>
        <w:t>against the decision of the High Court regarding an</w:t>
      </w:r>
      <w:r w:rsidR="002F794F">
        <w:rPr>
          <w:rFonts w:ascii="Arial" w:hAnsi="Arial" w:cs="Arial"/>
          <w:sz w:val="24"/>
          <w:szCs w:val="24"/>
        </w:rPr>
        <w:t xml:space="preserve"> action</w:t>
      </w:r>
      <w:r>
        <w:rPr>
          <w:rFonts w:ascii="Arial" w:hAnsi="Arial" w:cs="Arial"/>
          <w:sz w:val="24"/>
          <w:szCs w:val="24"/>
        </w:rPr>
        <w:t xml:space="preserve"> </w:t>
      </w:r>
      <w:r w:rsidR="00600660">
        <w:rPr>
          <w:rFonts w:ascii="Arial" w:hAnsi="Arial" w:cs="Arial"/>
          <w:sz w:val="24"/>
          <w:szCs w:val="24"/>
        </w:rPr>
        <w:t xml:space="preserve">for malicious prosecution </w:t>
      </w:r>
      <w:r>
        <w:rPr>
          <w:rFonts w:ascii="Arial" w:hAnsi="Arial" w:cs="Arial"/>
          <w:sz w:val="24"/>
          <w:szCs w:val="24"/>
        </w:rPr>
        <w:t xml:space="preserve">instituted </w:t>
      </w:r>
      <w:r w:rsidR="00600660" w:rsidRPr="00FB5B63">
        <w:rPr>
          <w:rFonts w:ascii="Arial" w:hAnsi="Arial" w:cs="Arial"/>
          <w:i/>
          <w:sz w:val="24"/>
          <w:szCs w:val="24"/>
        </w:rPr>
        <w:t>a quo</w:t>
      </w:r>
      <w:r w:rsidR="00600660">
        <w:rPr>
          <w:rFonts w:ascii="Arial" w:hAnsi="Arial" w:cs="Arial"/>
          <w:sz w:val="24"/>
          <w:szCs w:val="24"/>
        </w:rPr>
        <w:t xml:space="preserve"> </w:t>
      </w:r>
      <w:r>
        <w:rPr>
          <w:rFonts w:ascii="Arial" w:hAnsi="Arial" w:cs="Arial"/>
          <w:sz w:val="24"/>
          <w:szCs w:val="24"/>
        </w:rPr>
        <w:t>by the respondent against the</w:t>
      </w:r>
      <w:r w:rsidR="00600660">
        <w:rPr>
          <w:rFonts w:ascii="Arial" w:hAnsi="Arial" w:cs="Arial"/>
          <w:sz w:val="24"/>
          <w:szCs w:val="24"/>
        </w:rPr>
        <w:t xml:space="preserve"> appellants.</w:t>
      </w:r>
      <w:r w:rsidR="00A45CD2">
        <w:rPr>
          <w:rFonts w:ascii="Arial" w:hAnsi="Arial" w:cs="Arial"/>
          <w:sz w:val="24"/>
          <w:szCs w:val="24"/>
        </w:rPr>
        <w:t xml:space="preserve"> </w:t>
      </w:r>
      <w:r w:rsidR="002F794F">
        <w:rPr>
          <w:rFonts w:ascii="Arial" w:hAnsi="Arial" w:cs="Arial"/>
          <w:sz w:val="24"/>
          <w:szCs w:val="24"/>
        </w:rPr>
        <w:t xml:space="preserve">The High Court dismissed the claims against the first and second appellants for malicious prosecution and instituting criminal proceedings against the respondent but upheld the respondent’s </w:t>
      </w:r>
      <w:r w:rsidR="00FB5B63">
        <w:rPr>
          <w:rFonts w:ascii="Arial" w:hAnsi="Arial" w:cs="Arial"/>
          <w:sz w:val="24"/>
          <w:szCs w:val="24"/>
        </w:rPr>
        <w:t xml:space="preserve">alternative </w:t>
      </w:r>
      <w:r w:rsidR="002F794F">
        <w:rPr>
          <w:rFonts w:ascii="Arial" w:hAnsi="Arial" w:cs="Arial"/>
          <w:sz w:val="24"/>
          <w:szCs w:val="24"/>
        </w:rPr>
        <w:t>claim based on malicious continuation of prosecution without reasonable and probable cause with costs against th</w:t>
      </w:r>
      <w:r w:rsidR="005010FD">
        <w:rPr>
          <w:rFonts w:ascii="Arial" w:hAnsi="Arial" w:cs="Arial"/>
          <w:sz w:val="24"/>
          <w:szCs w:val="24"/>
        </w:rPr>
        <w:t xml:space="preserve">e second and third appellants. </w:t>
      </w:r>
      <w:r w:rsidR="002F794F">
        <w:rPr>
          <w:rFonts w:ascii="Arial" w:hAnsi="Arial" w:cs="Arial"/>
          <w:sz w:val="24"/>
          <w:szCs w:val="24"/>
        </w:rPr>
        <w:t>The latter decision</w:t>
      </w:r>
      <w:r w:rsidR="00261937">
        <w:rPr>
          <w:rFonts w:ascii="Arial" w:hAnsi="Arial" w:cs="Arial"/>
          <w:sz w:val="24"/>
          <w:szCs w:val="24"/>
        </w:rPr>
        <w:t xml:space="preserve"> </w:t>
      </w:r>
      <w:r w:rsidR="00261937" w:rsidRPr="009B334B">
        <w:rPr>
          <w:rFonts w:ascii="Arial" w:hAnsi="Arial" w:cs="Arial"/>
          <w:sz w:val="24"/>
          <w:szCs w:val="24"/>
        </w:rPr>
        <w:t>is the subject matter</w:t>
      </w:r>
      <w:r w:rsidR="002F794F" w:rsidRPr="009B334B">
        <w:rPr>
          <w:rFonts w:ascii="Arial" w:hAnsi="Arial" w:cs="Arial"/>
          <w:sz w:val="24"/>
          <w:szCs w:val="24"/>
        </w:rPr>
        <w:t xml:space="preserve"> of this opposed appeal.</w:t>
      </w:r>
    </w:p>
    <w:p w:rsidR="00F551EE" w:rsidRPr="009B334B" w:rsidRDefault="00F551EE" w:rsidP="00F551EE">
      <w:pPr>
        <w:pStyle w:val="NoSpacing"/>
        <w:spacing w:line="480" w:lineRule="auto"/>
        <w:jc w:val="both"/>
        <w:rPr>
          <w:rFonts w:ascii="Arial" w:hAnsi="Arial" w:cs="Arial"/>
          <w:sz w:val="24"/>
          <w:szCs w:val="24"/>
        </w:rPr>
      </w:pPr>
    </w:p>
    <w:p w:rsidR="002F794F" w:rsidRPr="009B334B" w:rsidRDefault="002F794F" w:rsidP="001337D7">
      <w:pPr>
        <w:pStyle w:val="NoSpacing"/>
        <w:numPr>
          <w:ilvl w:val="0"/>
          <w:numId w:val="1"/>
        </w:numPr>
        <w:spacing w:line="480" w:lineRule="auto"/>
        <w:ind w:left="0" w:firstLine="0"/>
        <w:jc w:val="both"/>
        <w:rPr>
          <w:rFonts w:ascii="Arial" w:hAnsi="Arial" w:cs="Arial"/>
          <w:sz w:val="24"/>
          <w:szCs w:val="24"/>
        </w:rPr>
      </w:pPr>
      <w:r w:rsidRPr="009B334B">
        <w:rPr>
          <w:rFonts w:ascii="Arial" w:hAnsi="Arial" w:cs="Arial"/>
          <w:sz w:val="24"/>
          <w:szCs w:val="24"/>
        </w:rPr>
        <w:lastRenderedPageBreak/>
        <w:t xml:space="preserve">The </w:t>
      </w:r>
      <w:r w:rsidR="00FB5B63" w:rsidRPr="009B334B">
        <w:rPr>
          <w:rFonts w:ascii="Arial" w:hAnsi="Arial" w:cs="Arial"/>
          <w:sz w:val="24"/>
          <w:szCs w:val="24"/>
        </w:rPr>
        <w:t xml:space="preserve">central </w:t>
      </w:r>
      <w:r w:rsidRPr="009B334B">
        <w:rPr>
          <w:rFonts w:ascii="Arial" w:hAnsi="Arial" w:cs="Arial"/>
          <w:sz w:val="24"/>
          <w:szCs w:val="24"/>
        </w:rPr>
        <w:t xml:space="preserve">issue for determination is whether the </w:t>
      </w:r>
      <w:r w:rsidR="007149CE">
        <w:rPr>
          <w:rFonts w:ascii="Arial" w:hAnsi="Arial" w:cs="Arial"/>
          <w:sz w:val="24"/>
          <w:szCs w:val="24"/>
        </w:rPr>
        <w:t>c</w:t>
      </w:r>
      <w:r w:rsidRPr="009B334B">
        <w:rPr>
          <w:rFonts w:ascii="Arial" w:hAnsi="Arial" w:cs="Arial"/>
          <w:sz w:val="24"/>
          <w:szCs w:val="24"/>
        </w:rPr>
        <w:t xml:space="preserve">ourt </w:t>
      </w:r>
      <w:r w:rsidRPr="00FC1842">
        <w:rPr>
          <w:rFonts w:ascii="Arial" w:hAnsi="Arial" w:cs="Arial"/>
          <w:i/>
          <w:sz w:val="24"/>
          <w:szCs w:val="24"/>
        </w:rPr>
        <w:t>a quo</w:t>
      </w:r>
      <w:r w:rsidRPr="009B334B">
        <w:rPr>
          <w:rFonts w:ascii="Arial" w:hAnsi="Arial" w:cs="Arial"/>
          <w:sz w:val="24"/>
          <w:szCs w:val="24"/>
        </w:rPr>
        <w:t xml:space="preserve"> misdirected itself on the law and facts </w:t>
      </w:r>
      <w:r w:rsidR="00261937" w:rsidRPr="009B334B">
        <w:rPr>
          <w:rFonts w:ascii="Arial" w:hAnsi="Arial" w:cs="Arial"/>
          <w:sz w:val="24"/>
          <w:szCs w:val="24"/>
        </w:rPr>
        <w:t xml:space="preserve">when it </w:t>
      </w:r>
      <w:r w:rsidR="00FB5B63" w:rsidRPr="009B334B">
        <w:rPr>
          <w:rFonts w:ascii="Arial" w:hAnsi="Arial" w:cs="Arial"/>
          <w:sz w:val="24"/>
          <w:szCs w:val="24"/>
        </w:rPr>
        <w:t>held in favour of the respondent</w:t>
      </w:r>
      <w:r w:rsidR="00152A5F" w:rsidRPr="00460267">
        <w:rPr>
          <w:rFonts w:ascii="Arial" w:hAnsi="Arial" w:cs="Arial"/>
          <w:sz w:val="24"/>
          <w:szCs w:val="24"/>
        </w:rPr>
        <w:t>,</w:t>
      </w:r>
      <w:r w:rsidR="00FB5B63" w:rsidRPr="009B334B">
        <w:rPr>
          <w:rFonts w:ascii="Arial" w:hAnsi="Arial" w:cs="Arial"/>
          <w:sz w:val="24"/>
          <w:szCs w:val="24"/>
        </w:rPr>
        <w:t xml:space="preserve"> that the latter m</w:t>
      </w:r>
      <w:r w:rsidR="00EA5541" w:rsidRPr="009B334B">
        <w:rPr>
          <w:rFonts w:ascii="Arial" w:hAnsi="Arial" w:cs="Arial"/>
          <w:sz w:val="24"/>
          <w:szCs w:val="24"/>
        </w:rPr>
        <w:t xml:space="preserve">ade out a case </w:t>
      </w:r>
      <w:r w:rsidR="00F551EE" w:rsidRPr="009B334B">
        <w:rPr>
          <w:rFonts w:ascii="Arial" w:hAnsi="Arial" w:cs="Arial"/>
          <w:sz w:val="24"/>
          <w:szCs w:val="24"/>
        </w:rPr>
        <w:t xml:space="preserve">against the second and third appellants </w:t>
      </w:r>
      <w:r w:rsidR="00EA5541" w:rsidRPr="009B334B">
        <w:rPr>
          <w:rFonts w:ascii="Arial" w:hAnsi="Arial" w:cs="Arial"/>
          <w:sz w:val="24"/>
          <w:szCs w:val="24"/>
        </w:rPr>
        <w:t xml:space="preserve">on </w:t>
      </w:r>
      <w:r w:rsidR="00F551EE" w:rsidRPr="009B334B">
        <w:rPr>
          <w:rFonts w:ascii="Arial" w:hAnsi="Arial" w:cs="Arial"/>
          <w:sz w:val="24"/>
          <w:szCs w:val="24"/>
        </w:rPr>
        <w:t xml:space="preserve">the </w:t>
      </w:r>
      <w:r w:rsidR="00EA5541" w:rsidRPr="009B334B">
        <w:rPr>
          <w:rFonts w:ascii="Arial" w:hAnsi="Arial" w:cs="Arial"/>
          <w:sz w:val="24"/>
          <w:szCs w:val="24"/>
        </w:rPr>
        <w:t>balance of probabilities on the alternative claim based upon th</w:t>
      </w:r>
      <w:r w:rsidR="00F551EE" w:rsidRPr="009B334B">
        <w:rPr>
          <w:rFonts w:ascii="Arial" w:hAnsi="Arial" w:cs="Arial"/>
          <w:sz w:val="24"/>
          <w:szCs w:val="24"/>
        </w:rPr>
        <w:t>e w</w:t>
      </w:r>
      <w:r w:rsidR="00EA5541" w:rsidRPr="009B334B">
        <w:rPr>
          <w:rFonts w:ascii="Arial" w:hAnsi="Arial" w:cs="Arial"/>
          <w:sz w:val="24"/>
          <w:szCs w:val="24"/>
        </w:rPr>
        <w:t>rongf</w:t>
      </w:r>
      <w:r w:rsidR="00F551EE" w:rsidRPr="009B334B">
        <w:rPr>
          <w:rFonts w:ascii="Arial" w:hAnsi="Arial" w:cs="Arial"/>
          <w:sz w:val="24"/>
          <w:szCs w:val="24"/>
        </w:rPr>
        <w:t>u</w:t>
      </w:r>
      <w:r w:rsidR="00EA5541" w:rsidRPr="009B334B">
        <w:rPr>
          <w:rFonts w:ascii="Arial" w:hAnsi="Arial" w:cs="Arial"/>
          <w:sz w:val="24"/>
          <w:szCs w:val="24"/>
        </w:rPr>
        <w:t>l and malicious continuation of the p</w:t>
      </w:r>
      <w:r w:rsidR="00F551EE" w:rsidRPr="009B334B">
        <w:rPr>
          <w:rFonts w:ascii="Arial" w:hAnsi="Arial" w:cs="Arial"/>
          <w:sz w:val="24"/>
          <w:szCs w:val="24"/>
        </w:rPr>
        <w:t>rosec</w:t>
      </w:r>
      <w:r w:rsidR="00EA5541" w:rsidRPr="009B334B">
        <w:rPr>
          <w:rFonts w:ascii="Arial" w:hAnsi="Arial" w:cs="Arial"/>
          <w:sz w:val="24"/>
          <w:szCs w:val="24"/>
        </w:rPr>
        <w:t>u</w:t>
      </w:r>
      <w:r w:rsidR="00F551EE" w:rsidRPr="009B334B">
        <w:rPr>
          <w:rFonts w:ascii="Arial" w:hAnsi="Arial" w:cs="Arial"/>
          <w:sz w:val="24"/>
          <w:szCs w:val="24"/>
        </w:rPr>
        <w:t>t</w:t>
      </w:r>
      <w:r w:rsidR="00EA5541" w:rsidRPr="009B334B">
        <w:rPr>
          <w:rFonts w:ascii="Arial" w:hAnsi="Arial" w:cs="Arial"/>
          <w:sz w:val="24"/>
          <w:szCs w:val="24"/>
        </w:rPr>
        <w:t>i</w:t>
      </w:r>
      <w:r w:rsidR="00F551EE" w:rsidRPr="009B334B">
        <w:rPr>
          <w:rFonts w:ascii="Arial" w:hAnsi="Arial" w:cs="Arial"/>
          <w:sz w:val="24"/>
          <w:szCs w:val="24"/>
        </w:rPr>
        <w:t>on.</w:t>
      </w:r>
      <w:r w:rsidR="00261937" w:rsidRPr="009B334B">
        <w:rPr>
          <w:rFonts w:ascii="Arial" w:hAnsi="Arial" w:cs="Arial"/>
          <w:sz w:val="24"/>
          <w:szCs w:val="24"/>
        </w:rPr>
        <w:t xml:space="preserve"> </w:t>
      </w:r>
      <w:r w:rsidR="009051D2" w:rsidRPr="009B334B">
        <w:rPr>
          <w:rFonts w:ascii="Arial" w:hAnsi="Arial" w:cs="Arial"/>
          <w:sz w:val="24"/>
          <w:szCs w:val="24"/>
        </w:rPr>
        <w:t xml:space="preserve"> </w:t>
      </w:r>
    </w:p>
    <w:p w:rsidR="00F551EE" w:rsidRDefault="00F551EE" w:rsidP="001337D7">
      <w:pPr>
        <w:spacing w:after="0" w:line="480" w:lineRule="auto"/>
        <w:rPr>
          <w:rFonts w:ascii="Arial" w:hAnsi="Arial" w:cs="Arial"/>
          <w:sz w:val="24"/>
          <w:szCs w:val="24"/>
        </w:rPr>
      </w:pPr>
    </w:p>
    <w:p w:rsidR="00F551EE" w:rsidRPr="00F551EE" w:rsidRDefault="00F551EE" w:rsidP="001337D7">
      <w:pPr>
        <w:spacing w:after="0" w:line="480" w:lineRule="auto"/>
        <w:rPr>
          <w:rFonts w:ascii="Arial" w:hAnsi="Arial" w:cs="Arial"/>
          <w:sz w:val="24"/>
          <w:szCs w:val="24"/>
          <w:u w:val="single"/>
        </w:rPr>
      </w:pPr>
      <w:r w:rsidRPr="00F551EE">
        <w:rPr>
          <w:rFonts w:ascii="Arial" w:hAnsi="Arial" w:cs="Arial"/>
          <w:sz w:val="24"/>
          <w:szCs w:val="24"/>
          <w:u w:val="single"/>
        </w:rPr>
        <w:t>Background</w:t>
      </w:r>
      <w:r w:rsidR="00175991">
        <w:rPr>
          <w:rFonts w:ascii="Arial" w:hAnsi="Arial" w:cs="Arial"/>
          <w:sz w:val="24"/>
          <w:szCs w:val="24"/>
          <w:u w:val="single"/>
        </w:rPr>
        <w:t xml:space="preserve"> facts</w:t>
      </w:r>
      <w:r w:rsidR="00272F44">
        <w:rPr>
          <w:rFonts w:ascii="Arial" w:hAnsi="Arial" w:cs="Arial"/>
          <w:sz w:val="24"/>
          <w:szCs w:val="24"/>
          <w:u w:val="single"/>
        </w:rPr>
        <w:t xml:space="preserve"> and litigation history</w:t>
      </w:r>
    </w:p>
    <w:p w:rsidR="005A468C" w:rsidRDefault="00F551EE" w:rsidP="001337D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w:t>
      </w:r>
      <w:r w:rsidR="005F5828">
        <w:rPr>
          <w:rFonts w:ascii="Arial" w:hAnsi="Arial" w:cs="Arial"/>
          <w:sz w:val="24"/>
          <w:szCs w:val="24"/>
        </w:rPr>
        <w:t>respon</w:t>
      </w:r>
      <w:r w:rsidR="00FB5B63">
        <w:rPr>
          <w:rFonts w:ascii="Arial" w:hAnsi="Arial" w:cs="Arial"/>
          <w:sz w:val="24"/>
          <w:szCs w:val="24"/>
        </w:rPr>
        <w:t xml:space="preserve">dent was one of the people who were arrested following the violent </w:t>
      </w:r>
      <w:r w:rsidR="005214BB">
        <w:rPr>
          <w:rFonts w:ascii="Arial" w:hAnsi="Arial" w:cs="Arial"/>
          <w:sz w:val="24"/>
          <w:szCs w:val="24"/>
        </w:rPr>
        <w:t xml:space="preserve">and fatal </w:t>
      </w:r>
      <w:r w:rsidR="00FB5B63">
        <w:rPr>
          <w:rFonts w:ascii="Arial" w:hAnsi="Arial" w:cs="Arial"/>
          <w:sz w:val="24"/>
          <w:szCs w:val="24"/>
        </w:rPr>
        <w:t xml:space="preserve">attacks in Katima Mulilo in 1999. </w:t>
      </w:r>
      <w:r w:rsidR="005214BB">
        <w:rPr>
          <w:rFonts w:ascii="Arial" w:hAnsi="Arial" w:cs="Arial"/>
          <w:sz w:val="24"/>
          <w:szCs w:val="24"/>
        </w:rPr>
        <w:t xml:space="preserve">The </w:t>
      </w:r>
      <w:r>
        <w:rPr>
          <w:rFonts w:ascii="Arial" w:hAnsi="Arial" w:cs="Arial"/>
          <w:sz w:val="24"/>
          <w:szCs w:val="24"/>
        </w:rPr>
        <w:t>events that gave rise to the arrest and pro</w:t>
      </w:r>
      <w:r w:rsidR="00261937">
        <w:rPr>
          <w:rFonts w:ascii="Arial" w:hAnsi="Arial" w:cs="Arial"/>
          <w:sz w:val="24"/>
          <w:szCs w:val="24"/>
        </w:rPr>
        <w:t xml:space="preserve">secution of </w:t>
      </w:r>
      <w:r w:rsidR="005214BB">
        <w:rPr>
          <w:rFonts w:ascii="Arial" w:hAnsi="Arial" w:cs="Arial"/>
          <w:sz w:val="24"/>
          <w:szCs w:val="24"/>
        </w:rPr>
        <w:t xml:space="preserve">those suspects including the </w:t>
      </w:r>
      <w:r w:rsidR="00261937">
        <w:rPr>
          <w:rFonts w:ascii="Arial" w:hAnsi="Arial" w:cs="Arial"/>
          <w:sz w:val="24"/>
          <w:szCs w:val="24"/>
        </w:rPr>
        <w:t>respondent are</w:t>
      </w:r>
      <w:r w:rsidR="005214BB">
        <w:rPr>
          <w:rFonts w:ascii="Arial" w:hAnsi="Arial" w:cs="Arial"/>
          <w:sz w:val="24"/>
          <w:szCs w:val="24"/>
        </w:rPr>
        <w:t>,</w:t>
      </w:r>
      <w:r w:rsidR="00261937">
        <w:rPr>
          <w:rFonts w:ascii="Arial" w:hAnsi="Arial" w:cs="Arial"/>
          <w:sz w:val="24"/>
          <w:szCs w:val="24"/>
        </w:rPr>
        <w:t xml:space="preserve"> on the whole, </w:t>
      </w:r>
      <w:r>
        <w:rPr>
          <w:rFonts w:ascii="Arial" w:hAnsi="Arial" w:cs="Arial"/>
          <w:sz w:val="24"/>
          <w:szCs w:val="24"/>
        </w:rPr>
        <w:t xml:space="preserve">similar to those set out in </w:t>
      </w:r>
      <w:r w:rsidRPr="00261937">
        <w:rPr>
          <w:rFonts w:ascii="Arial" w:hAnsi="Arial" w:cs="Arial"/>
          <w:i/>
          <w:sz w:val="24"/>
          <w:szCs w:val="24"/>
        </w:rPr>
        <w:t>Mahupelo</w:t>
      </w:r>
      <w:r>
        <w:rPr>
          <w:rFonts w:ascii="Arial" w:hAnsi="Arial" w:cs="Arial"/>
          <w:sz w:val="24"/>
          <w:szCs w:val="24"/>
        </w:rPr>
        <w:t>.</w:t>
      </w:r>
      <w:r w:rsidR="00F70F0C">
        <w:rPr>
          <w:rFonts w:ascii="Arial" w:hAnsi="Arial" w:cs="Arial"/>
          <w:sz w:val="24"/>
          <w:szCs w:val="24"/>
        </w:rPr>
        <w:t xml:space="preserve"> </w:t>
      </w:r>
      <w:r w:rsidR="00DE321C">
        <w:rPr>
          <w:rFonts w:ascii="Arial" w:hAnsi="Arial" w:cs="Arial"/>
          <w:sz w:val="24"/>
          <w:szCs w:val="24"/>
        </w:rPr>
        <w:t xml:space="preserve">It is not necessary to </w:t>
      </w:r>
      <w:r w:rsidR="00175991">
        <w:rPr>
          <w:rFonts w:ascii="Arial" w:hAnsi="Arial" w:cs="Arial"/>
          <w:sz w:val="24"/>
          <w:szCs w:val="24"/>
        </w:rPr>
        <w:t>describe, fully,</w:t>
      </w:r>
      <w:r w:rsidR="000102E6">
        <w:rPr>
          <w:rFonts w:ascii="Arial" w:hAnsi="Arial" w:cs="Arial"/>
          <w:sz w:val="24"/>
          <w:szCs w:val="24"/>
        </w:rPr>
        <w:t xml:space="preserve"> </w:t>
      </w:r>
      <w:r w:rsidR="008B1D39">
        <w:rPr>
          <w:rFonts w:ascii="Arial" w:hAnsi="Arial" w:cs="Arial"/>
          <w:sz w:val="24"/>
          <w:szCs w:val="24"/>
        </w:rPr>
        <w:t xml:space="preserve">such events. It suffices to </w:t>
      </w:r>
      <w:r w:rsidR="004E2921">
        <w:rPr>
          <w:rFonts w:ascii="Arial" w:hAnsi="Arial" w:cs="Arial"/>
          <w:sz w:val="24"/>
          <w:szCs w:val="24"/>
        </w:rPr>
        <w:t>explain</w:t>
      </w:r>
      <w:r w:rsidR="00261937">
        <w:rPr>
          <w:rFonts w:ascii="Arial" w:hAnsi="Arial" w:cs="Arial"/>
          <w:sz w:val="24"/>
          <w:szCs w:val="24"/>
        </w:rPr>
        <w:t>,</w:t>
      </w:r>
      <w:r w:rsidR="000651B0">
        <w:rPr>
          <w:rFonts w:ascii="Arial" w:hAnsi="Arial" w:cs="Arial"/>
          <w:sz w:val="24"/>
          <w:szCs w:val="24"/>
        </w:rPr>
        <w:t xml:space="preserve"> </w:t>
      </w:r>
      <w:r w:rsidR="00261937">
        <w:rPr>
          <w:rFonts w:ascii="Arial" w:hAnsi="Arial" w:cs="Arial"/>
          <w:sz w:val="24"/>
          <w:szCs w:val="24"/>
        </w:rPr>
        <w:t>briefly,</w:t>
      </w:r>
      <w:r w:rsidR="000651B0">
        <w:rPr>
          <w:rFonts w:ascii="Arial" w:hAnsi="Arial" w:cs="Arial"/>
          <w:sz w:val="24"/>
          <w:szCs w:val="24"/>
        </w:rPr>
        <w:t xml:space="preserve"> </w:t>
      </w:r>
      <w:r w:rsidR="008B1D39">
        <w:rPr>
          <w:rFonts w:ascii="Arial" w:hAnsi="Arial" w:cs="Arial"/>
          <w:sz w:val="24"/>
          <w:szCs w:val="24"/>
        </w:rPr>
        <w:t>that the events</w:t>
      </w:r>
      <w:r>
        <w:rPr>
          <w:rFonts w:ascii="Arial" w:hAnsi="Arial" w:cs="Arial"/>
          <w:sz w:val="24"/>
          <w:szCs w:val="24"/>
        </w:rPr>
        <w:t xml:space="preserve"> relate</w:t>
      </w:r>
      <w:r w:rsidR="005214BB">
        <w:rPr>
          <w:rFonts w:ascii="Arial" w:hAnsi="Arial" w:cs="Arial"/>
          <w:sz w:val="24"/>
          <w:szCs w:val="24"/>
        </w:rPr>
        <w:t>d</w:t>
      </w:r>
      <w:r>
        <w:rPr>
          <w:rFonts w:ascii="Arial" w:hAnsi="Arial" w:cs="Arial"/>
          <w:sz w:val="24"/>
          <w:szCs w:val="24"/>
        </w:rPr>
        <w:t xml:space="preserve"> to the </w:t>
      </w:r>
      <w:r w:rsidR="005214BB">
        <w:rPr>
          <w:rFonts w:ascii="Arial" w:hAnsi="Arial" w:cs="Arial"/>
          <w:sz w:val="24"/>
          <w:szCs w:val="24"/>
        </w:rPr>
        <w:t xml:space="preserve">attack by the </w:t>
      </w:r>
      <w:r>
        <w:rPr>
          <w:rFonts w:ascii="Arial" w:hAnsi="Arial" w:cs="Arial"/>
          <w:sz w:val="24"/>
          <w:szCs w:val="24"/>
        </w:rPr>
        <w:t>armed rebels of the Caprivi Liberation Army</w:t>
      </w:r>
      <w:r w:rsidR="005214BB">
        <w:rPr>
          <w:rFonts w:ascii="Arial" w:hAnsi="Arial" w:cs="Arial"/>
          <w:sz w:val="24"/>
          <w:szCs w:val="24"/>
        </w:rPr>
        <w:t xml:space="preserve"> (CLA)</w:t>
      </w:r>
      <w:r>
        <w:rPr>
          <w:rFonts w:ascii="Arial" w:hAnsi="Arial" w:cs="Arial"/>
          <w:sz w:val="24"/>
          <w:szCs w:val="24"/>
        </w:rPr>
        <w:t xml:space="preserve"> on various government installations at Katima Mulilo</w:t>
      </w:r>
      <w:r w:rsidR="005214BB">
        <w:rPr>
          <w:rFonts w:ascii="Arial" w:hAnsi="Arial" w:cs="Arial"/>
          <w:sz w:val="24"/>
          <w:szCs w:val="24"/>
        </w:rPr>
        <w:t>,</w:t>
      </w:r>
      <w:r>
        <w:rPr>
          <w:rFonts w:ascii="Arial" w:hAnsi="Arial" w:cs="Arial"/>
          <w:sz w:val="24"/>
          <w:szCs w:val="24"/>
        </w:rPr>
        <w:t xml:space="preserve"> in the Caprivi region</w:t>
      </w:r>
      <w:r w:rsidR="005E5805">
        <w:rPr>
          <w:rFonts w:ascii="Arial" w:hAnsi="Arial" w:cs="Arial"/>
          <w:sz w:val="24"/>
          <w:szCs w:val="24"/>
        </w:rPr>
        <w:t xml:space="preserve"> (</w:t>
      </w:r>
      <w:r>
        <w:rPr>
          <w:rFonts w:ascii="Arial" w:hAnsi="Arial" w:cs="Arial"/>
          <w:sz w:val="24"/>
          <w:szCs w:val="24"/>
        </w:rPr>
        <w:t>now Zambezi</w:t>
      </w:r>
      <w:r w:rsidR="005E5805">
        <w:rPr>
          <w:rFonts w:ascii="Arial" w:hAnsi="Arial" w:cs="Arial"/>
          <w:sz w:val="24"/>
          <w:szCs w:val="24"/>
        </w:rPr>
        <w:t>),</w:t>
      </w:r>
      <w:r w:rsidR="004E2921">
        <w:rPr>
          <w:rFonts w:ascii="Arial" w:hAnsi="Arial" w:cs="Arial"/>
          <w:sz w:val="24"/>
          <w:szCs w:val="24"/>
        </w:rPr>
        <w:t xml:space="preserve"> and the alleged involvement of the respondent in </w:t>
      </w:r>
      <w:r w:rsidR="005E5805">
        <w:rPr>
          <w:rFonts w:ascii="Arial" w:hAnsi="Arial" w:cs="Arial"/>
          <w:sz w:val="24"/>
          <w:szCs w:val="24"/>
        </w:rPr>
        <w:t>certain h</w:t>
      </w:r>
      <w:r w:rsidR="004E2921">
        <w:rPr>
          <w:rFonts w:ascii="Arial" w:hAnsi="Arial" w:cs="Arial"/>
          <w:sz w:val="24"/>
          <w:szCs w:val="24"/>
        </w:rPr>
        <w:t>appenings prior to the attack</w:t>
      </w:r>
      <w:r>
        <w:rPr>
          <w:rFonts w:ascii="Arial" w:hAnsi="Arial" w:cs="Arial"/>
          <w:sz w:val="24"/>
          <w:szCs w:val="24"/>
        </w:rPr>
        <w:t xml:space="preserve">. </w:t>
      </w:r>
      <w:r w:rsidR="00D47831">
        <w:rPr>
          <w:rFonts w:ascii="Arial" w:hAnsi="Arial" w:cs="Arial"/>
          <w:sz w:val="24"/>
          <w:szCs w:val="24"/>
        </w:rPr>
        <w:t>It is common cause that p</w:t>
      </w:r>
      <w:r>
        <w:rPr>
          <w:rFonts w:ascii="Arial" w:hAnsi="Arial" w:cs="Arial"/>
          <w:sz w:val="24"/>
          <w:szCs w:val="24"/>
        </w:rPr>
        <w:t>eop</w:t>
      </w:r>
      <w:r w:rsidR="005A468C">
        <w:rPr>
          <w:rFonts w:ascii="Arial" w:hAnsi="Arial" w:cs="Arial"/>
          <w:sz w:val="24"/>
          <w:szCs w:val="24"/>
        </w:rPr>
        <w:t>l</w:t>
      </w:r>
      <w:r>
        <w:rPr>
          <w:rFonts w:ascii="Arial" w:hAnsi="Arial" w:cs="Arial"/>
          <w:sz w:val="24"/>
          <w:szCs w:val="24"/>
        </w:rPr>
        <w:t>e were killed and properties were des</w:t>
      </w:r>
      <w:r w:rsidR="008B1D39">
        <w:rPr>
          <w:rFonts w:ascii="Arial" w:hAnsi="Arial" w:cs="Arial"/>
          <w:sz w:val="24"/>
          <w:szCs w:val="24"/>
        </w:rPr>
        <w:t>troyed</w:t>
      </w:r>
      <w:r w:rsidR="00D47831">
        <w:rPr>
          <w:rFonts w:ascii="Arial" w:hAnsi="Arial" w:cs="Arial"/>
          <w:sz w:val="24"/>
          <w:szCs w:val="24"/>
        </w:rPr>
        <w:t xml:space="preserve"> during th</w:t>
      </w:r>
      <w:r w:rsidR="00261937">
        <w:rPr>
          <w:rFonts w:ascii="Arial" w:hAnsi="Arial" w:cs="Arial"/>
          <w:sz w:val="24"/>
          <w:szCs w:val="24"/>
        </w:rPr>
        <w:t>at</w:t>
      </w:r>
      <w:r w:rsidR="00D47831">
        <w:rPr>
          <w:rFonts w:ascii="Arial" w:hAnsi="Arial" w:cs="Arial"/>
          <w:sz w:val="24"/>
          <w:szCs w:val="24"/>
        </w:rPr>
        <w:t xml:space="preserve"> </w:t>
      </w:r>
      <w:r w:rsidR="005214BB">
        <w:rPr>
          <w:rFonts w:ascii="Arial" w:hAnsi="Arial" w:cs="Arial"/>
          <w:sz w:val="24"/>
          <w:szCs w:val="24"/>
        </w:rPr>
        <w:t xml:space="preserve">violent </w:t>
      </w:r>
      <w:r w:rsidR="00D47831">
        <w:rPr>
          <w:rFonts w:ascii="Arial" w:hAnsi="Arial" w:cs="Arial"/>
          <w:sz w:val="24"/>
          <w:szCs w:val="24"/>
        </w:rPr>
        <w:t>attack.</w:t>
      </w:r>
    </w:p>
    <w:p w:rsidR="005A468C" w:rsidRDefault="005A468C" w:rsidP="005A468C">
      <w:pPr>
        <w:pStyle w:val="NoSpacing"/>
        <w:spacing w:line="480" w:lineRule="auto"/>
        <w:jc w:val="both"/>
        <w:rPr>
          <w:rFonts w:ascii="Arial" w:hAnsi="Arial" w:cs="Arial"/>
          <w:sz w:val="24"/>
          <w:szCs w:val="24"/>
        </w:rPr>
      </w:pPr>
    </w:p>
    <w:p w:rsidR="008C0BCD" w:rsidRDefault="005A468C" w:rsidP="005D5EE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 state of </w:t>
      </w:r>
      <w:r w:rsidR="00F54E89">
        <w:rPr>
          <w:rFonts w:ascii="Arial" w:hAnsi="Arial" w:cs="Arial"/>
          <w:sz w:val="24"/>
          <w:szCs w:val="24"/>
        </w:rPr>
        <w:t>e</w:t>
      </w:r>
      <w:r>
        <w:rPr>
          <w:rFonts w:ascii="Arial" w:hAnsi="Arial" w:cs="Arial"/>
          <w:sz w:val="24"/>
          <w:szCs w:val="24"/>
        </w:rPr>
        <w:t>mergency was declared by the President of the Republic of Namibia</w:t>
      </w:r>
      <w:r w:rsidR="00261937">
        <w:rPr>
          <w:rFonts w:ascii="Arial" w:hAnsi="Arial" w:cs="Arial"/>
          <w:sz w:val="24"/>
          <w:szCs w:val="24"/>
        </w:rPr>
        <w:t xml:space="preserve"> and</w:t>
      </w:r>
      <w:r>
        <w:rPr>
          <w:rFonts w:ascii="Arial" w:hAnsi="Arial" w:cs="Arial"/>
          <w:sz w:val="24"/>
          <w:szCs w:val="24"/>
        </w:rPr>
        <w:t xml:space="preserve"> instructions were issued for the arrest of prominent and executive members of the United Democratic</w:t>
      </w:r>
      <w:r w:rsidR="005010FD">
        <w:rPr>
          <w:rFonts w:ascii="Arial" w:hAnsi="Arial" w:cs="Arial"/>
          <w:sz w:val="24"/>
          <w:szCs w:val="24"/>
        </w:rPr>
        <w:t xml:space="preserve"> Party (UDP) at Katima Mulilo. </w:t>
      </w:r>
      <w:r w:rsidR="008B2CEB">
        <w:rPr>
          <w:rFonts w:ascii="Arial" w:hAnsi="Arial" w:cs="Arial"/>
          <w:sz w:val="24"/>
          <w:szCs w:val="24"/>
        </w:rPr>
        <w:t>Police i</w:t>
      </w:r>
      <w:r>
        <w:rPr>
          <w:rFonts w:ascii="Arial" w:hAnsi="Arial" w:cs="Arial"/>
          <w:sz w:val="24"/>
          <w:szCs w:val="24"/>
        </w:rPr>
        <w:t xml:space="preserve">ntelligence information revealed that UDP, which is alleged to have mobilised people to support the secession of the Caprivi </w:t>
      </w:r>
      <w:r w:rsidR="00261937">
        <w:rPr>
          <w:rFonts w:ascii="Arial" w:hAnsi="Arial" w:cs="Arial"/>
          <w:sz w:val="24"/>
          <w:szCs w:val="24"/>
        </w:rPr>
        <w:t xml:space="preserve">from </w:t>
      </w:r>
      <w:r>
        <w:rPr>
          <w:rFonts w:ascii="Arial" w:hAnsi="Arial" w:cs="Arial"/>
          <w:sz w:val="24"/>
          <w:szCs w:val="24"/>
        </w:rPr>
        <w:t xml:space="preserve">Namibia by violent means, was the political wing of the </w:t>
      </w:r>
      <w:r w:rsidR="005214BB">
        <w:rPr>
          <w:rFonts w:ascii="Arial" w:hAnsi="Arial" w:cs="Arial"/>
          <w:sz w:val="24"/>
          <w:szCs w:val="24"/>
        </w:rPr>
        <w:t>CLA</w:t>
      </w:r>
      <w:r>
        <w:rPr>
          <w:rFonts w:ascii="Arial" w:hAnsi="Arial" w:cs="Arial"/>
          <w:sz w:val="24"/>
          <w:szCs w:val="24"/>
        </w:rPr>
        <w:t xml:space="preserve">. </w:t>
      </w:r>
      <w:r w:rsidR="00CA20DC">
        <w:rPr>
          <w:rFonts w:ascii="Arial" w:hAnsi="Arial" w:cs="Arial"/>
          <w:sz w:val="24"/>
          <w:szCs w:val="24"/>
        </w:rPr>
        <w:t>The respondent</w:t>
      </w:r>
      <w:r w:rsidR="005214BB">
        <w:rPr>
          <w:rFonts w:ascii="Arial" w:hAnsi="Arial" w:cs="Arial"/>
          <w:sz w:val="24"/>
          <w:szCs w:val="24"/>
        </w:rPr>
        <w:t xml:space="preserve">’s </w:t>
      </w:r>
      <w:r w:rsidR="00CA20DC">
        <w:rPr>
          <w:rFonts w:ascii="Arial" w:hAnsi="Arial" w:cs="Arial"/>
          <w:sz w:val="24"/>
          <w:szCs w:val="24"/>
        </w:rPr>
        <w:t xml:space="preserve">arrest was based on information </w:t>
      </w:r>
      <w:r w:rsidR="008C0BCD">
        <w:rPr>
          <w:rFonts w:ascii="Arial" w:hAnsi="Arial" w:cs="Arial"/>
          <w:sz w:val="24"/>
          <w:szCs w:val="24"/>
        </w:rPr>
        <w:t xml:space="preserve">of his alleged role in the affairs of the </w:t>
      </w:r>
      <w:r w:rsidR="00CA20DC">
        <w:rPr>
          <w:rFonts w:ascii="Arial" w:hAnsi="Arial" w:cs="Arial"/>
          <w:sz w:val="24"/>
          <w:szCs w:val="24"/>
        </w:rPr>
        <w:t>UDP</w:t>
      </w:r>
      <w:r w:rsidR="00AC7089">
        <w:rPr>
          <w:rFonts w:ascii="Arial" w:hAnsi="Arial" w:cs="Arial"/>
          <w:sz w:val="24"/>
          <w:szCs w:val="24"/>
        </w:rPr>
        <w:t xml:space="preserve"> and </w:t>
      </w:r>
      <w:r w:rsidR="008C0BCD">
        <w:rPr>
          <w:rFonts w:ascii="Arial" w:hAnsi="Arial" w:cs="Arial"/>
          <w:sz w:val="24"/>
          <w:szCs w:val="24"/>
        </w:rPr>
        <w:t xml:space="preserve">that he </w:t>
      </w:r>
      <w:r w:rsidR="00AC7089">
        <w:rPr>
          <w:rFonts w:ascii="Arial" w:hAnsi="Arial" w:cs="Arial"/>
          <w:sz w:val="24"/>
          <w:szCs w:val="24"/>
        </w:rPr>
        <w:t>had influenced people t</w:t>
      </w:r>
      <w:r w:rsidR="008C0BCD">
        <w:rPr>
          <w:rFonts w:ascii="Arial" w:hAnsi="Arial" w:cs="Arial"/>
          <w:sz w:val="24"/>
          <w:szCs w:val="24"/>
        </w:rPr>
        <w:t>o take up arm</w:t>
      </w:r>
      <w:r w:rsidR="00152A5F" w:rsidRPr="00460267">
        <w:rPr>
          <w:rFonts w:ascii="Arial" w:hAnsi="Arial" w:cs="Arial"/>
          <w:sz w:val="24"/>
          <w:szCs w:val="24"/>
        </w:rPr>
        <w:t>s</w:t>
      </w:r>
      <w:r w:rsidR="008C0BCD">
        <w:rPr>
          <w:rFonts w:ascii="Arial" w:hAnsi="Arial" w:cs="Arial"/>
          <w:sz w:val="24"/>
          <w:szCs w:val="24"/>
        </w:rPr>
        <w:t xml:space="preserve"> to secede Caprivi.</w:t>
      </w:r>
    </w:p>
    <w:p w:rsidR="00F551EE" w:rsidRPr="00261937" w:rsidRDefault="00221FB6" w:rsidP="00C631C2">
      <w:pPr>
        <w:pStyle w:val="NoSpacing"/>
        <w:numPr>
          <w:ilvl w:val="0"/>
          <w:numId w:val="1"/>
        </w:numPr>
        <w:spacing w:line="480" w:lineRule="auto"/>
        <w:ind w:left="0" w:firstLine="0"/>
        <w:jc w:val="both"/>
        <w:rPr>
          <w:rFonts w:ascii="Arial" w:hAnsi="Arial" w:cs="Arial"/>
          <w:sz w:val="24"/>
          <w:szCs w:val="24"/>
        </w:rPr>
      </w:pPr>
      <w:r w:rsidRPr="00261937">
        <w:rPr>
          <w:rFonts w:ascii="Arial" w:hAnsi="Arial" w:cs="Arial"/>
          <w:sz w:val="24"/>
          <w:szCs w:val="24"/>
        </w:rPr>
        <w:lastRenderedPageBreak/>
        <w:t>There were about 379 witnesses who testified on behalf of the State</w:t>
      </w:r>
      <w:r w:rsidR="00FF23AF">
        <w:rPr>
          <w:rFonts w:ascii="Arial" w:hAnsi="Arial" w:cs="Arial"/>
          <w:sz w:val="24"/>
          <w:szCs w:val="24"/>
        </w:rPr>
        <w:t xml:space="preserve"> during the criminal trial. M</w:t>
      </w:r>
      <w:r w:rsidRPr="00261937">
        <w:rPr>
          <w:rFonts w:ascii="Arial" w:hAnsi="Arial" w:cs="Arial"/>
          <w:sz w:val="24"/>
          <w:szCs w:val="24"/>
        </w:rPr>
        <w:t>ore than 500 witness statements were obtained</w:t>
      </w:r>
      <w:r w:rsidR="00FF23AF">
        <w:rPr>
          <w:rFonts w:ascii="Arial" w:hAnsi="Arial" w:cs="Arial"/>
          <w:sz w:val="24"/>
          <w:szCs w:val="24"/>
        </w:rPr>
        <w:t xml:space="preserve"> and the respondent was fingered in some of the statements</w:t>
      </w:r>
      <w:r w:rsidRPr="00261937">
        <w:rPr>
          <w:rFonts w:ascii="Arial" w:hAnsi="Arial" w:cs="Arial"/>
          <w:sz w:val="24"/>
          <w:szCs w:val="24"/>
        </w:rPr>
        <w:t xml:space="preserve">. </w:t>
      </w:r>
      <w:r w:rsidR="008B2CEB">
        <w:rPr>
          <w:rFonts w:ascii="Arial" w:hAnsi="Arial" w:cs="Arial"/>
          <w:sz w:val="24"/>
          <w:szCs w:val="24"/>
        </w:rPr>
        <w:t>Specifically, the respondent</w:t>
      </w:r>
      <w:r w:rsidR="00384176">
        <w:rPr>
          <w:rFonts w:ascii="Arial" w:hAnsi="Arial" w:cs="Arial"/>
          <w:sz w:val="24"/>
          <w:szCs w:val="24"/>
        </w:rPr>
        <w:t xml:space="preserve"> was</w:t>
      </w:r>
      <w:r w:rsidR="00FF23AF">
        <w:rPr>
          <w:rFonts w:ascii="Arial" w:hAnsi="Arial" w:cs="Arial"/>
          <w:sz w:val="24"/>
          <w:szCs w:val="24"/>
        </w:rPr>
        <w:t xml:space="preserve"> said to have been involved </w:t>
      </w:r>
      <w:r w:rsidR="008C0BCD" w:rsidRPr="00261937">
        <w:rPr>
          <w:rFonts w:ascii="Arial" w:hAnsi="Arial" w:cs="Arial"/>
          <w:sz w:val="24"/>
          <w:szCs w:val="24"/>
        </w:rPr>
        <w:t>as an organiser and supporter of the UDP</w:t>
      </w:r>
      <w:r w:rsidR="005214BB">
        <w:rPr>
          <w:rFonts w:ascii="Arial" w:hAnsi="Arial" w:cs="Arial"/>
          <w:sz w:val="24"/>
          <w:szCs w:val="24"/>
        </w:rPr>
        <w:t xml:space="preserve"> and </w:t>
      </w:r>
      <w:r w:rsidR="00261937" w:rsidRPr="00261937">
        <w:rPr>
          <w:rFonts w:ascii="Arial" w:hAnsi="Arial" w:cs="Arial"/>
          <w:sz w:val="24"/>
          <w:szCs w:val="24"/>
        </w:rPr>
        <w:t xml:space="preserve">was </w:t>
      </w:r>
      <w:r w:rsidR="003324C3" w:rsidRPr="00261937">
        <w:rPr>
          <w:rFonts w:ascii="Arial" w:hAnsi="Arial" w:cs="Arial"/>
          <w:sz w:val="24"/>
          <w:szCs w:val="24"/>
        </w:rPr>
        <w:t xml:space="preserve">indicted </w:t>
      </w:r>
      <w:r w:rsidR="005214BB">
        <w:rPr>
          <w:rFonts w:ascii="Arial" w:hAnsi="Arial" w:cs="Arial"/>
          <w:sz w:val="24"/>
          <w:szCs w:val="24"/>
        </w:rPr>
        <w:t>together with approximately 1</w:t>
      </w:r>
      <w:r w:rsidR="008C0BCD" w:rsidRPr="00261937">
        <w:rPr>
          <w:rFonts w:ascii="Arial" w:hAnsi="Arial" w:cs="Arial"/>
          <w:sz w:val="24"/>
          <w:szCs w:val="24"/>
        </w:rPr>
        <w:t>2</w:t>
      </w:r>
      <w:r w:rsidR="005214BB">
        <w:rPr>
          <w:rFonts w:ascii="Arial" w:hAnsi="Arial" w:cs="Arial"/>
          <w:sz w:val="24"/>
          <w:szCs w:val="24"/>
        </w:rPr>
        <w:t xml:space="preserve">2 </w:t>
      </w:r>
      <w:r w:rsidR="008C0BCD" w:rsidRPr="00261937">
        <w:rPr>
          <w:rFonts w:ascii="Arial" w:hAnsi="Arial" w:cs="Arial"/>
          <w:sz w:val="24"/>
          <w:szCs w:val="24"/>
        </w:rPr>
        <w:t>accused persons on 278 charges including high tr</w:t>
      </w:r>
      <w:r w:rsidR="00877160" w:rsidRPr="00261937">
        <w:rPr>
          <w:rFonts w:ascii="Arial" w:hAnsi="Arial" w:cs="Arial"/>
          <w:sz w:val="24"/>
          <w:szCs w:val="24"/>
        </w:rPr>
        <w:t>e</w:t>
      </w:r>
      <w:r w:rsidR="008C0BCD" w:rsidRPr="00261937">
        <w:rPr>
          <w:rFonts w:ascii="Arial" w:hAnsi="Arial" w:cs="Arial"/>
          <w:sz w:val="24"/>
          <w:szCs w:val="24"/>
        </w:rPr>
        <w:t>ason, sedition, public violence</w:t>
      </w:r>
      <w:r w:rsidR="00877160" w:rsidRPr="00261937">
        <w:rPr>
          <w:rFonts w:ascii="Arial" w:hAnsi="Arial" w:cs="Arial"/>
          <w:sz w:val="24"/>
          <w:szCs w:val="24"/>
        </w:rPr>
        <w:t>, murder and att</w:t>
      </w:r>
      <w:r w:rsidR="008C0BCD" w:rsidRPr="00261937">
        <w:rPr>
          <w:rFonts w:ascii="Arial" w:hAnsi="Arial" w:cs="Arial"/>
          <w:sz w:val="24"/>
          <w:szCs w:val="24"/>
        </w:rPr>
        <w:t>e</w:t>
      </w:r>
      <w:r w:rsidR="00877160" w:rsidRPr="00261937">
        <w:rPr>
          <w:rFonts w:ascii="Arial" w:hAnsi="Arial" w:cs="Arial"/>
          <w:sz w:val="24"/>
          <w:szCs w:val="24"/>
        </w:rPr>
        <w:t>mp</w:t>
      </w:r>
      <w:r w:rsidR="008C0BCD" w:rsidRPr="00261937">
        <w:rPr>
          <w:rFonts w:ascii="Arial" w:hAnsi="Arial" w:cs="Arial"/>
          <w:sz w:val="24"/>
          <w:szCs w:val="24"/>
        </w:rPr>
        <w:t>ted murder</w:t>
      </w:r>
      <w:r w:rsidR="00877160" w:rsidRPr="00261937">
        <w:rPr>
          <w:rFonts w:ascii="Arial" w:hAnsi="Arial" w:cs="Arial"/>
          <w:sz w:val="24"/>
          <w:szCs w:val="24"/>
        </w:rPr>
        <w:t xml:space="preserve"> (collectively refer</w:t>
      </w:r>
      <w:r w:rsidR="005214BB">
        <w:rPr>
          <w:rFonts w:ascii="Arial" w:hAnsi="Arial" w:cs="Arial"/>
          <w:sz w:val="24"/>
          <w:szCs w:val="24"/>
        </w:rPr>
        <w:t xml:space="preserve">red to as high treason charges). He was </w:t>
      </w:r>
      <w:r w:rsidR="00877160" w:rsidRPr="00261937">
        <w:rPr>
          <w:rFonts w:ascii="Arial" w:hAnsi="Arial" w:cs="Arial"/>
          <w:sz w:val="24"/>
          <w:szCs w:val="24"/>
        </w:rPr>
        <w:t>prosecuted in what became known as the Caprivi Treason trial.</w:t>
      </w:r>
      <w:r w:rsidR="00877160">
        <w:rPr>
          <w:rStyle w:val="FootnoteReference"/>
          <w:rFonts w:ascii="Arial" w:hAnsi="Arial" w:cs="Arial"/>
          <w:sz w:val="24"/>
          <w:szCs w:val="24"/>
        </w:rPr>
        <w:footnoteReference w:id="2"/>
      </w:r>
      <w:r w:rsidR="002C6E90" w:rsidRPr="00261937">
        <w:rPr>
          <w:rFonts w:ascii="Arial" w:hAnsi="Arial" w:cs="Arial"/>
          <w:sz w:val="24"/>
          <w:szCs w:val="24"/>
        </w:rPr>
        <w:t xml:space="preserve"> </w:t>
      </w:r>
      <w:r w:rsidR="005214BB">
        <w:rPr>
          <w:rFonts w:ascii="Arial" w:hAnsi="Arial" w:cs="Arial"/>
          <w:sz w:val="24"/>
          <w:szCs w:val="24"/>
        </w:rPr>
        <w:t xml:space="preserve">The respondent was </w:t>
      </w:r>
      <w:r w:rsidR="00B1203A" w:rsidRPr="00261937">
        <w:rPr>
          <w:rFonts w:ascii="Arial" w:hAnsi="Arial" w:cs="Arial"/>
          <w:sz w:val="24"/>
          <w:szCs w:val="24"/>
        </w:rPr>
        <w:t xml:space="preserve">discharged in terms </w:t>
      </w:r>
      <w:r w:rsidR="00F66150">
        <w:rPr>
          <w:rFonts w:ascii="Arial" w:hAnsi="Arial" w:cs="Arial"/>
          <w:sz w:val="24"/>
          <w:szCs w:val="24"/>
        </w:rPr>
        <w:t>of s</w:t>
      </w:r>
      <w:r w:rsidR="008B2CEB">
        <w:rPr>
          <w:rFonts w:ascii="Arial" w:hAnsi="Arial" w:cs="Arial"/>
          <w:sz w:val="24"/>
          <w:szCs w:val="24"/>
        </w:rPr>
        <w:t xml:space="preserve"> </w:t>
      </w:r>
      <w:r w:rsidR="0027453C" w:rsidRPr="00261937">
        <w:rPr>
          <w:rFonts w:ascii="Arial" w:hAnsi="Arial" w:cs="Arial"/>
          <w:sz w:val="24"/>
          <w:szCs w:val="24"/>
        </w:rPr>
        <w:t>174 of the Criminal Procedure Act</w:t>
      </w:r>
      <w:r w:rsidR="008B2CEB">
        <w:rPr>
          <w:rFonts w:ascii="Arial" w:hAnsi="Arial" w:cs="Arial"/>
          <w:sz w:val="24"/>
          <w:szCs w:val="24"/>
        </w:rPr>
        <w:t xml:space="preserve"> 51 of 1977 (CPA).</w:t>
      </w:r>
    </w:p>
    <w:p w:rsidR="00F551EE" w:rsidRDefault="00F551EE" w:rsidP="00F551EE">
      <w:pPr>
        <w:pStyle w:val="NoSpacing"/>
        <w:spacing w:line="480" w:lineRule="auto"/>
        <w:jc w:val="both"/>
        <w:rPr>
          <w:rFonts w:ascii="Arial" w:hAnsi="Arial" w:cs="Arial"/>
          <w:sz w:val="24"/>
          <w:szCs w:val="24"/>
        </w:rPr>
      </w:pPr>
    </w:p>
    <w:p w:rsidR="00D95AD7" w:rsidRDefault="00A326B9" w:rsidP="0070126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respondent then instituted a</w:t>
      </w:r>
      <w:r w:rsidR="003324C3">
        <w:rPr>
          <w:rFonts w:ascii="Arial" w:hAnsi="Arial" w:cs="Arial"/>
          <w:sz w:val="24"/>
          <w:szCs w:val="24"/>
        </w:rPr>
        <w:t xml:space="preserve">n action against the first and second appellants based upon malicious prosecution under the common law in respect of the period </w:t>
      </w:r>
      <w:r w:rsidR="00261937">
        <w:rPr>
          <w:rFonts w:ascii="Arial" w:hAnsi="Arial" w:cs="Arial"/>
          <w:sz w:val="24"/>
          <w:szCs w:val="24"/>
        </w:rPr>
        <w:t xml:space="preserve">spanning </w:t>
      </w:r>
      <w:r w:rsidR="003324C3">
        <w:rPr>
          <w:rFonts w:ascii="Arial" w:hAnsi="Arial" w:cs="Arial"/>
          <w:sz w:val="24"/>
          <w:szCs w:val="24"/>
        </w:rPr>
        <w:t>4 August 1999 to 17 November 2005, alternatively 2 February 2006. In the alternative</w:t>
      </w:r>
      <w:r w:rsidR="000452C6">
        <w:rPr>
          <w:rFonts w:ascii="Arial" w:hAnsi="Arial" w:cs="Arial"/>
          <w:sz w:val="24"/>
          <w:szCs w:val="24"/>
        </w:rPr>
        <w:t>,</w:t>
      </w:r>
      <w:r w:rsidR="003324C3">
        <w:rPr>
          <w:rFonts w:ascii="Arial" w:hAnsi="Arial" w:cs="Arial"/>
          <w:sz w:val="24"/>
          <w:szCs w:val="24"/>
        </w:rPr>
        <w:t xml:space="preserve"> the respondent claimed damages against the second appellant based on the wrongful and malicious continuation of the prosecution from 17 November 2005 or from 2 February 2006</w:t>
      </w:r>
      <w:r w:rsidR="000452C6">
        <w:rPr>
          <w:rFonts w:ascii="Arial" w:hAnsi="Arial" w:cs="Arial"/>
          <w:sz w:val="24"/>
          <w:szCs w:val="24"/>
        </w:rPr>
        <w:t>.</w:t>
      </w:r>
      <w:r w:rsidR="003324C3">
        <w:rPr>
          <w:rFonts w:ascii="Arial" w:hAnsi="Arial" w:cs="Arial"/>
          <w:sz w:val="24"/>
          <w:szCs w:val="24"/>
        </w:rPr>
        <w:t xml:space="preserve"> </w:t>
      </w:r>
      <w:r w:rsidR="005214BB">
        <w:rPr>
          <w:rFonts w:ascii="Arial" w:hAnsi="Arial" w:cs="Arial"/>
          <w:sz w:val="24"/>
          <w:szCs w:val="24"/>
        </w:rPr>
        <w:t xml:space="preserve">He claimed that the </w:t>
      </w:r>
      <w:r w:rsidR="00954342">
        <w:rPr>
          <w:rFonts w:ascii="Arial" w:hAnsi="Arial" w:cs="Arial"/>
          <w:sz w:val="24"/>
          <w:szCs w:val="24"/>
        </w:rPr>
        <w:t>appellant</w:t>
      </w:r>
      <w:r w:rsidR="00B34D56">
        <w:rPr>
          <w:rFonts w:ascii="Arial" w:hAnsi="Arial" w:cs="Arial"/>
          <w:sz w:val="24"/>
          <w:szCs w:val="24"/>
        </w:rPr>
        <w:t>s</w:t>
      </w:r>
      <w:r w:rsidR="00954342">
        <w:rPr>
          <w:rFonts w:ascii="Arial" w:hAnsi="Arial" w:cs="Arial"/>
          <w:sz w:val="24"/>
          <w:szCs w:val="24"/>
        </w:rPr>
        <w:t xml:space="preserve"> had no reasonable or probable cause for </w:t>
      </w:r>
      <w:r w:rsidR="00B34D56">
        <w:rPr>
          <w:rFonts w:ascii="Arial" w:hAnsi="Arial" w:cs="Arial"/>
          <w:sz w:val="24"/>
          <w:szCs w:val="24"/>
        </w:rPr>
        <w:t>setting the law in motio</w:t>
      </w:r>
      <w:r w:rsidR="00384176">
        <w:rPr>
          <w:rFonts w:ascii="Arial" w:hAnsi="Arial" w:cs="Arial"/>
          <w:sz w:val="24"/>
          <w:szCs w:val="24"/>
        </w:rPr>
        <w:t>n by laying charges against him</w:t>
      </w:r>
      <w:r w:rsidR="00B34D56">
        <w:rPr>
          <w:rFonts w:ascii="Arial" w:hAnsi="Arial" w:cs="Arial"/>
          <w:sz w:val="24"/>
          <w:szCs w:val="24"/>
        </w:rPr>
        <w:t>. He further claimed that the appellants did so devoid of re</w:t>
      </w:r>
      <w:r w:rsidR="00954342">
        <w:rPr>
          <w:rFonts w:ascii="Arial" w:hAnsi="Arial" w:cs="Arial"/>
          <w:sz w:val="24"/>
          <w:szCs w:val="24"/>
        </w:rPr>
        <w:t>asonable belief in the truth of the information given</w:t>
      </w:r>
      <w:r w:rsidR="00B34D56">
        <w:rPr>
          <w:rFonts w:ascii="Arial" w:hAnsi="Arial" w:cs="Arial"/>
          <w:sz w:val="24"/>
          <w:szCs w:val="24"/>
        </w:rPr>
        <w:t xml:space="preserve"> to them</w:t>
      </w:r>
      <w:r w:rsidR="00954342">
        <w:rPr>
          <w:rFonts w:ascii="Arial" w:hAnsi="Arial" w:cs="Arial"/>
          <w:sz w:val="24"/>
          <w:szCs w:val="24"/>
        </w:rPr>
        <w:t xml:space="preserve">.  </w:t>
      </w:r>
    </w:p>
    <w:p w:rsidR="00A65B36" w:rsidRDefault="00A65B36" w:rsidP="00A65B36">
      <w:pPr>
        <w:pStyle w:val="ListParagraph"/>
        <w:rPr>
          <w:rFonts w:ascii="Arial" w:hAnsi="Arial" w:cs="Arial"/>
          <w:sz w:val="24"/>
          <w:szCs w:val="24"/>
        </w:rPr>
      </w:pPr>
    </w:p>
    <w:p w:rsidR="00EA26C9" w:rsidRDefault="00954342" w:rsidP="0070126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Damages were sought against the second appellant </w:t>
      </w:r>
      <w:r w:rsidR="00384176">
        <w:rPr>
          <w:rFonts w:ascii="Arial" w:hAnsi="Arial" w:cs="Arial"/>
          <w:sz w:val="24"/>
          <w:szCs w:val="24"/>
        </w:rPr>
        <w:t>and/</w:t>
      </w:r>
      <w:r>
        <w:rPr>
          <w:rFonts w:ascii="Arial" w:hAnsi="Arial" w:cs="Arial"/>
          <w:sz w:val="24"/>
          <w:szCs w:val="24"/>
        </w:rPr>
        <w:t xml:space="preserve">or </w:t>
      </w:r>
      <w:r w:rsidR="000E7999">
        <w:rPr>
          <w:rFonts w:ascii="Arial" w:hAnsi="Arial" w:cs="Arial"/>
          <w:sz w:val="24"/>
          <w:szCs w:val="24"/>
        </w:rPr>
        <w:t xml:space="preserve">her </w:t>
      </w:r>
      <w:r w:rsidR="008B2CEB">
        <w:rPr>
          <w:rFonts w:ascii="Arial" w:hAnsi="Arial" w:cs="Arial"/>
          <w:sz w:val="24"/>
          <w:szCs w:val="24"/>
        </w:rPr>
        <w:t>prosecutorial team</w:t>
      </w:r>
      <w:r>
        <w:rPr>
          <w:rFonts w:ascii="Arial" w:hAnsi="Arial" w:cs="Arial"/>
          <w:sz w:val="24"/>
          <w:szCs w:val="24"/>
        </w:rPr>
        <w:t xml:space="preserve"> for wrongfully and </w:t>
      </w:r>
      <w:r w:rsidRPr="00460267">
        <w:rPr>
          <w:rFonts w:ascii="Arial" w:hAnsi="Arial" w:cs="Arial"/>
          <w:sz w:val="24"/>
          <w:szCs w:val="24"/>
        </w:rPr>
        <w:t>malicious</w:t>
      </w:r>
      <w:r w:rsidR="00152A5F" w:rsidRPr="00460267">
        <w:rPr>
          <w:rFonts w:ascii="Arial" w:hAnsi="Arial" w:cs="Arial"/>
          <w:sz w:val="24"/>
          <w:szCs w:val="24"/>
        </w:rPr>
        <w:t>ly</w:t>
      </w:r>
      <w:r>
        <w:rPr>
          <w:rFonts w:ascii="Arial" w:hAnsi="Arial" w:cs="Arial"/>
          <w:sz w:val="24"/>
          <w:szCs w:val="24"/>
        </w:rPr>
        <w:t xml:space="preserve"> setting the law in motion again</w:t>
      </w:r>
      <w:r w:rsidR="00EA26C9">
        <w:rPr>
          <w:rFonts w:ascii="Arial" w:hAnsi="Arial" w:cs="Arial"/>
          <w:sz w:val="24"/>
          <w:szCs w:val="24"/>
        </w:rPr>
        <w:t>s</w:t>
      </w:r>
      <w:r w:rsidR="00384176">
        <w:rPr>
          <w:rFonts w:ascii="Arial" w:hAnsi="Arial" w:cs="Arial"/>
          <w:sz w:val="24"/>
          <w:szCs w:val="24"/>
        </w:rPr>
        <w:t xml:space="preserve">t the respondent </w:t>
      </w:r>
      <w:r>
        <w:rPr>
          <w:rFonts w:ascii="Arial" w:hAnsi="Arial" w:cs="Arial"/>
          <w:sz w:val="24"/>
          <w:szCs w:val="24"/>
        </w:rPr>
        <w:lastRenderedPageBreak/>
        <w:t xml:space="preserve">and </w:t>
      </w:r>
      <w:r w:rsidR="00384176">
        <w:rPr>
          <w:rFonts w:ascii="Arial" w:hAnsi="Arial" w:cs="Arial"/>
          <w:sz w:val="24"/>
          <w:szCs w:val="24"/>
        </w:rPr>
        <w:t xml:space="preserve">for </w:t>
      </w:r>
      <w:r w:rsidR="00EA26C9">
        <w:rPr>
          <w:rFonts w:ascii="Arial" w:hAnsi="Arial" w:cs="Arial"/>
          <w:sz w:val="24"/>
          <w:szCs w:val="24"/>
        </w:rPr>
        <w:t xml:space="preserve">the </w:t>
      </w:r>
      <w:r>
        <w:rPr>
          <w:rFonts w:ascii="Arial" w:hAnsi="Arial" w:cs="Arial"/>
          <w:sz w:val="24"/>
          <w:szCs w:val="24"/>
        </w:rPr>
        <w:t>cont</w:t>
      </w:r>
      <w:r w:rsidR="00EA26C9">
        <w:rPr>
          <w:rFonts w:ascii="Arial" w:hAnsi="Arial" w:cs="Arial"/>
          <w:sz w:val="24"/>
          <w:szCs w:val="24"/>
        </w:rPr>
        <w:t>in</w:t>
      </w:r>
      <w:r>
        <w:rPr>
          <w:rFonts w:ascii="Arial" w:hAnsi="Arial" w:cs="Arial"/>
          <w:sz w:val="24"/>
          <w:szCs w:val="24"/>
        </w:rPr>
        <w:t>ued prosecution wi</w:t>
      </w:r>
      <w:r w:rsidR="00EA26C9">
        <w:rPr>
          <w:rFonts w:ascii="Arial" w:hAnsi="Arial" w:cs="Arial"/>
          <w:sz w:val="24"/>
          <w:szCs w:val="24"/>
        </w:rPr>
        <w:t>thout probable cause or without</w:t>
      </w:r>
      <w:r>
        <w:rPr>
          <w:rFonts w:ascii="Arial" w:hAnsi="Arial" w:cs="Arial"/>
          <w:sz w:val="24"/>
          <w:szCs w:val="24"/>
        </w:rPr>
        <w:t xml:space="preserve"> sufficient information at their disposal </w:t>
      </w:r>
      <w:r w:rsidR="00B34D56">
        <w:rPr>
          <w:rFonts w:ascii="Arial" w:hAnsi="Arial" w:cs="Arial"/>
          <w:sz w:val="24"/>
          <w:szCs w:val="24"/>
        </w:rPr>
        <w:t>to implicate</w:t>
      </w:r>
      <w:r w:rsidR="00384176">
        <w:rPr>
          <w:rFonts w:ascii="Arial" w:hAnsi="Arial" w:cs="Arial"/>
          <w:sz w:val="24"/>
          <w:szCs w:val="24"/>
        </w:rPr>
        <w:t xml:space="preserve"> him</w:t>
      </w:r>
      <w:r w:rsidR="00EA26C9">
        <w:rPr>
          <w:rFonts w:ascii="Arial" w:hAnsi="Arial" w:cs="Arial"/>
          <w:sz w:val="24"/>
          <w:szCs w:val="24"/>
        </w:rPr>
        <w:t xml:space="preserve"> in the commission of high treason </w:t>
      </w:r>
      <w:r w:rsidR="005010FD">
        <w:rPr>
          <w:rFonts w:ascii="Arial" w:hAnsi="Arial" w:cs="Arial"/>
          <w:sz w:val="24"/>
          <w:szCs w:val="24"/>
        </w:rPr>
        <w:t xml:space="preserve">or any of the indicted crimes. </w:t>
      </w:r>
      <w:r w:rsidR="00EA26C9">
        <w:rPr>
          <w:rFonts w:ascii="Arial" w:hAnsi="Arial" w:cs="Arial"/>
          <w:sz w:val="24"/>
          <w:szCs w:val="24"/>
        </w:rPr>
        <w:t>The respondent claimed that the second appellant ough</w:t>
      </w:r>
      <w:r w:rsidR="00D95AD7">
        <w:rPr>
          <w:rFonts w:ascii="Arial" w:hAnsi="Arial" w:cs="Arial"/>
          <w:sz w:val="24"/>
          <w:szCs w:val="24"/>
        </w:rPr>
        <w:t>t</w:t>
      </w:r>
      <w:r w:rsidR="00EA26C9">
        <w:rPr>
          <w:rFonts w:ascii="Arial" w:hAnsi="Arial" w:cs="Arial"/>
          <w:sz w:val="24"/>
          <w:szCs w:val="24"/>
        </w:rPr>
        <w:t xml:space="preserve"> to have stopped the prosecution in terms of s</w:t>
      </w:r>
      <w:r w:rsidR="003C4AF6">
        <w:rPr>
          <w:rFonts w:ascii="Arial" w:hAnsi="Arial" w:cs="Arial"/>
          <w:sz w:val="24"/>
          <w:szCs w:val="24"/>
        </w:rPr>
        <w:t xml:space="preserve"> </w:t>
      </w:r>
      <w:r w:rsidR="00EA26C9">
        <w:rPr>
          <w:rFonts w:ascii="Arial" w:hAnsi="Arial" w:cs="Arial"/>
          <w:sz w:val="24"/>
          <w:szCs w:val="24"/>
        </w:rPr>
        <w:t xml:space="preserve">6(b) of the CPA by the said dates or within a reasonable time after those </w:t>
      </w:r>
      <w:r w:rsidR="00D95AD7">
        <w:rPr>
          <w:rFonts w:ascii="Arial" w:hAnsi="Arial" w:cs="Arial"/>
          <w:sz w:val="24"/>
          <w:szCs w:val="24"/>
        </w:rPr>
        <w:t>dates and ought</w:t>
      </w:r>
      <w:r w:rsidR="00A65B36">
        <w:rPr>
          <w:rFonts w:ascii="Arial" w:hAnsi="Arial" w:cs="Arial"/>
          <w:sz w:val="24"/>
          <w:szCs w:val="24"/>
        </w:rPr>
        <w:t xml:space="preserve">, </w:t>
      </w:r>
      <w:r w:rsidR="00D95AD7">
        <w:rPr>
          <w:rFonts w:ascii="Arial" w:hAnsi="Arial" w:cs="Arial"/>
          <w:sz w:val="24"/>
          <w:szCs w:val="24"/>
        </w:rPr>
        <w:t>reasonably</w:t>
      </w:r>
      <w:r w:rsidR="00A65B36">
        <w:rPr>
          <w:rFonts w:ascii="Arial" w:hAnsi="Arial" w:cs="Arial"/>
          <w:sz w:val="24"/>
          <w:szCs w:val="24"/>
        </w:rPr>
        <w:t>, to</w:t>
      </w:r>
      <w:r w:rsidR="00D95AD7">
        <w:rPr>
          <w:rFonts w:ascii="Arial" w:hAnsi="Arial" w:cs="Arial"/>
          <w:sz w:val="24"/>
          <w:szCs w:val="24"/>
        </w:rPr>
        <w:t xml:space="preserve"> have caused the respondent’</w:t>
      </w:r>
      <w:r w:rsidR="00A65B36">
        <w:rPr>
          <w:rFonts w:ascii="Arial" w:hAnsi="Arial" w:cs="Arial"/>
          <w:sz w:val="24"/>
          <w:szCs w:val="24"/>
        </w:rPr>
        <w:t>s release from prosecution and detention to safeguard his rights under Articles 7, 8, 11</w:t>
      </w:r>
      <w:r w:rsidR="00D835FE">
        <w:rPr>
          <w:rFonts w:ascii="Arial" w:hAnsi="Arial" w:cs="Arial"/>
          <w:sz w:val="24"/>
          <w:szCs w:val="24"/>
        </w:rPr>
        <w:t xml:space="preserve">, </w:t>
      </w:r>
      <w:r w:rsidR="00A65B36">
        <w:rPr>
          <w:rFonts w:ascii="Arial" w:hAnsi="Arial" w:cs="Arial"/>
          <w:sz w:val="24"/>
          <w:szCs w:val="24"/>
        </w:rPr>
        <w:t>12,</w:t>
      </w:r>
      <w:r w:rsidR="000452C6">
        <w:rPr>
          <w:rFonts w:ascii="Arial" w:hAnsi="Arial" w:cs="Arial"/>
          <w:sz w:val="24"/>
          <w:szCs w:val="24"/>
        </w:rPr>
        <w:t xml:space="preserve"> 1</w:t>
      </w:r>
      <w:r w:rsidR="00A65B36">
        <w:rPr>
          <w:rFonts w:ascii="Arial" w:hAnsi="Arial" w:cs="Arial"/>
          <w:sz w:val="24"/>
          <w:szCs w:val="24"/>
        </w:rPr>
        <w:t xml:space="preserve">3, </w:t>
      </w:r>
      <w:r w:rsidR="00F54E89">
        <w:rPr>
          <w:rFonts w:ascii="Arial" w:hAnsi="Arial" w:cs="Arial"/>
          <w:sz w:val="24"/>
          <w:szCs w:val="24"/>
        </w:rPr>
        <w:t xml:space="preserve">16, 19 </w:t>
      </w:r>
      <w:r w:rsidR="00A65B36">
        <w:rPr>
          <w:rFonts w:ascii="Arial" w:hAnsi="Arial" w:cs="Arial"/>
          <w:sz w:val="24"/>
          <w:szCs w:val="24"/>
        </w:rPr>
        <w:t>and 2</w:t>
      </w:r>
      <w:r w:rsidR="00F54E89">
        <w:rPr>
          <w:rFonts w:ascii="Arial" w:hAnsi="Arial" w:cs="Arial"/>
          <w:sz w:val="24"/>
          <w:szCs w:val="24"/>
        </w:rPr>
        <w:t>1</w:t>
      </w:r>
      <w:r w:rsidR="00A65B36">
        <w:rPr>
          <w:rFonts w:ascii="Arial" w:hAnsi="Arial" w:cs="Arial"/>
          <w:sz w:val="24"/>
          <w:szCs w:val="24"/>
        </w:rPr>
        <w:t xml:space="preserve"> of the Namibian Constitution</w:t>
      </w:r>
      <w:r w:rsidR="000452C6">
        <w:rPr>
          <w:rFonts w:ascii="Arial" w:hAnsi="Arial" w:cs="Arial"/>
          <w:sz w:val="24"/>
          <w:szCs w:val="24"/>
        </w:rPr>
        <w:t xml:space="preserve"> (Constitution)</w:t>
      </w:r>
      <w:r w:rsidR="00A65B36">
        <w:rPr>
          <w:rFonts w:ascii="Arial" w:hAnsi="Arial" w:cs="Arial"/>
          <w:sz w:val="24"/>
          <w:szCs w:val="24"/>
        </w:rPr>
        <w:t>.</w:t>
      </w:r>
    </w:p>
    <w:p w:rsidR="00EA26C9" w:rsidRDefault="00EA26C9" w:rsidP="00EA26C9">
      <w:pPr>
        <w:pStyle w:val="NoSpacing"/>
        <w:spacing w:line="480" w:lineRule="auto"/>
        <w:jc w:val="both"/>
        <w:rPr>
          <w:rFonts w:ascii="Arial" w:hAnsi="Arial" w:cs="Arial"/>
          <w:sz w:val="24"/>
          <w:szCs w:val="24"/>
        </w:rPr>
      </w:pPr>
    </w:p>
    <w:p w:rsidR="002A2E14" w:rsidRDefault="00EA26C9" w:rsidP="0070126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w:t>
      </w:r>
      <w:r w:rsidR="003324C3">
        <w:rPr>
          <w:rFonts w:ascii="Arial" w:hAnsi="Arial" w:cs="Arial"/>
          <w:sz w:val="24"/>
          <w:szCs w:val="24"/>
        </w:rPr>
        <w:t>appellants pleaded that the arrest of the respondent was based on reasonable suspicion that the respo</w:t>
      </w:r>
      <w:r w:rsidR="00954342">
        <w:rPr>
          <w:rFonts w:ascii="Arial" w:hAnsi="Arial" w:cs="Arial"/>
          <w:sz w:val="24"/>
          <w:szCs w:val="24"/>
        </w:rPr>
        <w:t xml:space="preserve">ndent committed the crime of high treason and other crimes set out in the indictment and the particulars of claim. </w:t>
      </w:r>
      <w:r w:rsidR="00090166">
        <w:rPr>
          <w:rFonts w:ascii="Arial" w:hAnsi="Arial" w:cs="Arial"/>
          <w:sz w:val="24"/>
          <w:szCs w:val="24"/>
        </w:rPr>
        <w:t>They pleaded that the witness statements and information obtained in the course of the police   investigation w</w:t>
      </w:r>
      <w:r w:rsidR="00056625">
        <w:rPr>
          <w:rFonts w:ascii="Arial" w:hAnsi="Arial" w:cs="Arial"/>
          <w:sz w:val="24"/>
          <w:szCs w:val="24"/>
        </w:rPr>
        <w:t xml:space="preserve">ere </w:t>
      </w:r>
      <w:r w:rsidR="00090166">
        <w:rPr>
          <w:rFonts w:ascii="Arial" w:hAnsi="Arial" w:cs="Arial"/>
          <w:sz w:val="24"/>
          <w:szCs w:val="24"/>
        </w:rPr>
        <w:t xml:space="preserve">submitted to the second appellant and that such information was sufficient </w:t>
      </w:r>
      <w:r w:rsidR="000E7999">
        <w:rPr>
          <w:rFonts w:ascii="Arial" w:hAnsi="Arial" w:cs="Arial"/>
          <w:sz w:val="24"/>
          <w:szCs w:val="24"/>
        </w:rPr>
        <w:t xml:space="preserve">for her </w:t>
      </w:r>
      <w:r w:rsidR="00090166">
        <w:rPr>
          <w:rFonts w:ascii="Arial" w:hAnsi="Arial" w:cs="Arial"/>
          <w:sz w:val="24"/>
          <w:szCs w:val="24"/>
        </w:rPr>
        <w:t>to hold the belief that the res</w:t>
      </w:r>
      <w:r w:rsidR="005010FD">
        <w:rPr>
          <w:rFonts w:ascii="Arial" w:hAnsi="Arial" w:cs="Arial"/>
          <w:sz w:val="24"/>
          <w:szCs w:val="24"/>
        </w:rPr>
        <w:t xml:space="preserve">pondent committed the offence. </w:t>
      </w:r>
      <w:r w:rsidR="00090166">
        <w:rPr>
          <w:rFonts w:ascii="Arial" w:hAnsi="Arial" w:cs="Arial"/>
          <w:sz w:val="24"/>
          <w:szCs w:val="24"/>
        </w:rPr>
        <w:t>The second appellant pleaded that based on the ava</w:t>
      </w:r>
      <w:r w:rsidR="00056625">
        <w:rPr>
          <w:rFonts w:ascii="Arial" w:hAnsi="Arial" w:cs="Arial"/>
          <w:sz w:val="24"/>
          <w:szCs w:val="24"/>
        </w:rPr>
        <w:t xml:space="preserve">ilable evidence and the witnesses’ </w:t>
      </w:r>
      <w:r w:rsidR="00090166">
        <w:rPr>
          <w:rFonts w:ascii="Arial" w:hAnsi="Arial" w:cs="Arial"/>
          <w:sz w:val="24"/>
          <w:szCs w:val="24"/>
        </w:rPr>
        <w:t>statements</w:t>
      </w:r>
      <w:r w:rsidR="00056625">
        <w:rPr>
          <w:rFonts w:ascii="Arial" w:hAnsi="Arial" w:cs="Arial"/>
          <w:sz w:val="24"/>
          <w:szCs w:val="24"/>
        </w:rPr>
        <w:t>, made</w:t>
      </w:r>
      <w:r w:rsidR="00090166">
        <w:rPr>
          <w:rFonts w:ascii="Arial" w:hAnsi="Arial" w:cs="Arial"/>
          <w:sz w:val="24"/>
          <w:szCs w:val="24"/>
        </w:rPr>
        <w:t xml:space="preserve"> under oath</w:t>
      </w:r>
      <w:r w:rsidR="00056625">
        <w:rPr>
          <w:rFonts w:ascii="Arial" w:hAnsi="Arial" w:cs="Arial"/>
          <w:sz w:val="24"/>
          <w:szCs w:val="24"/>
        </w:rPr>
        <w:t xml:space="preserve">, </w:t>
      </w:r>
      <w:r w:rsidR="00090166">
        <w:rPr>
          <w:rFonts w:ascii="Arial" w:hAnsi="Arial" w:cs="Arial"/>
          <w:sz w:val="24"/>
          <w:szCs w:val="24"/>
        </w:rPr>
        <w:t>reasonable grounds existed to belie</w:t>
      </w:r>
      <w:r w:rsidR="00827855">
        <w:rPr>
          <w:rFonts w:ascii="Arial" w:hAnsi="Arial" w:cs="Arial"/>
          <w:sz w:val="24"/>
          <w:szCs w:val="24"/>
        </w:rPr>
        <w:t>ve</w:t>
      </w:r>
      <w:r w:rsidR="009C32E8">
        <w:rPr>
          <w:rFonts w:ascii="Arial" w:hAnsi="Arial" w:cs="Arial"/>
          <w:sz w:val="24"/>
          <w:szCs w:val="24"/>
        </w:rPr>
        <w:t>,</w:t>
      </w:r>
      <w:r w:rsidR="00090166">
        <w:rPr>
          <w:rFonts w:ascii="Arial" w:hAnsi="Arial" w:cs="Arial"/>
          <w:sz w:val="24"/>
          <w:szCs w:val="24"/>
        </w:rPr>
        <w:t xml:space="preserve"> on </w:t>
      </w:r>
      <w:r w:rsidR="009C32E8">
        <w:rPr>
          <w:rFonts w:ascii="Arial" w:hAnsi="Arial" w:cs="Arial"/>
          <w:sz w:val="24"/>
          <w:szCs w:val="24"/>
        </w:rPr>
        <w:t xml:space="preserve">a </w:t>
      </w:r>
      <w:r w:rsidR="00090166" w:rsidRPr="009C32E8">
        <w:rPr>
          <w:rFonts w:ascii="Arial" w:hAnsi="Arial" w:cs="Arial"/>
          <w:i/>
          <w:sz w:val="24"/>
          <w:szCs w:val="24"/>
        </w:rPr>
        <w:t>prima facie</w:t>
      </w:r>
      <w:r w:rsidR="00090166">
        <w:rPr>
          <w:rFonts w:ascii="Arial" w:hAnsi="Arial" w:cs="Arial"/>
          <w:sz w:val="24"/>
          <w:szCs w:val="24"/>
        </w:rPr>
        <w:t xml:space="preserve"> basis</w:t>
      </w:r>
      <w:r w:rsidR="009C32E8">
        <w:rPr>
          <w:rFonts w:ascii="Arial" w:hAnsi="Arial" w:cs="Arial"/>
          <w:sz w:val="24"/>
          <w:szCs w:val="24"/>
        </w:rPr>
        <w:t>,</w:t>
      </w:r>
      <w:r w:rsidR="00090166">
        <w:rPr>
          <w:rFonts w:ascii="Arial" w:hAnsi="Arial" w:cs="Arial"/>
          <w:sz w:val="24"/>
          <w:szCs w:val="24"/>
        </w:rPr>
        <w:t xml:space="preserve"> that the respondent committed the indicted crimes or that responsibility could be attributed to him based on the doctrine of common purpose and conspiracy to commit the said crimes. </w:t>
      </w:r>
    </w:p>
    <w:p w:rsidR="002A2E14" w:rsidRDefault="002A2E14" w:rsidP="002A2E14">
      <w:pPr>
        <w:pStyle w:val="ListParagraph"/>
        <w:rPr>
          <w:rFonts w:ascii="Arial" w:hAnsi="Arial" w:cs="Arial"/>
          <w:sz w:val="24"/>
          <w:szCs w:val="24"/>
        </w:rPr>
      </w:pPr>
    </w:p>
    <w:p w:rsidR="009A28FA" w:rsidRDefault="00090166" w:rsidP="009A28F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relation to the alternative claim the second appellant further pleaded that by 2 February 2006 </w:t>
      </w:r>
      <w:r w:rsidR="00B01E39">
        <w:rPr>
          <w:rFonts w:ascii="Arial" w:hAnsi="Arial" w:cs="Arial"/>
          <w:sz w:val="24"/>
          <w:szCs w:val="24"/>
        </w:rPr>
        <w:t xml:space="preserve">her </w:t>
      </w:r>
      <w:r w:rsidR="008B2CEB">
        <w:rPr>
          <w:rFonts w:ascii="Arial" w:hAnsi="Arial" w:cs="Arial"/>
          <w:sz w:val="24"/>
          <w:szCs w:val="24"/>
        </w:rPr>
        <w:t>prosecutorial team</w:t>
      </w:r>
      <w:r>
        <w:rPr>
          <w:rFonts w:ascii="Arial" w:hAnsi="Arial" w:cs="Arial"/>
          <w:sz w:val="24"/>
          <w:szCs w:val="24"/>
        </w:rPr>
        <w:t xml:space="preserve"> could not have known whether all the evidence that could implicate the respondent had been presented</w:t>
      </w:r>
      <w:r w:rsidR="005010FD">
        <w:rPr>
          <w:rFonts w:ascii="Arial" w:hAnsi="Arial" w:cs="Arial"/>
          <w:sz w:val="24"/>
          <w:szCs w:val="24"/>
        </w:rPr>
        <w:t xml:space="preserve">. </w:t>
      </w:r>
      <w:r w:rsidR="006D6BED">
        <w:rPr>
          <w:rFonts w:ascii="Arial" w:hAnsi="Arial" w:cs="Arial"/>
          <w:sz w:val="24"/>
          <w:szCs w:val="24"/>
        </w:rPr>
        <w:t xml:space="preserve">She </w:t>
      </w:r>
      <w:r w:rsidR="002A2E14">
        <w:rPr>
          <w:rFonts w:ascii="Arial" w:hAnsi="Arial" w:cs="Arial"/>
          <w:sz w:val="24"/>
          <w:szCs w:val="24"/>
        </w:rPr>
        <w:t xml:space="preserve">stated that there was a possibility that the respondent could be implicated by witnesses called after </w:t>
      </w:r>
      <w:r w:rsidR="00056625">
        <w:rPr>
          <w:rFonts w:ascii="Arial" w:hAnsi="Arial" w:cs="Arial"/>
          <w:sz w:val="24"/>
          <w:szCs w:val="24"/>
        </w:rPr>
        <w:t>that date</w:t>
      </w:r>
      <w:r w:rsidR="002A2E14">
        <w:rPr>
          <w:rFonts w:ascii="Arial" w:hAnsi="Arial" w:cs="Arial"/>
          <w:sz w:val="24"/>
          <w:szCs w:val="24"/>
        </w:rPr>
        <w:t xml:space="preserve"> </w:t>
      </w:r>
      <w:r w:rsidR="002A2E14">
        <w:rPr>
          <w:rFonts w:ascii="Arial" w:hAnsi="Arial" w:cs="Arial"/>
          <w:sz w:val="24"/>
          <w:szCs w:val="24"/>
        </w:rPr>
        <w:lastRenderedPageBreak/>
        <w:t>and that based on common purpose or a conspiracy to overthrow th</w:t>
      </w:r>
      <w:r w:rsidR="00056625">
        <w:rPr>
          <w:rFonts w:ascii="Arial" w:hAnsi="Arial" w:cs="Arial"/>
          <w:sz w:val="24"/>
          <w:szCs w:val="24"/>
        </w:rPr>
        <w:t xml:space="preserve">e Namibian Government </w:t>
      </w:r>
      <w:r w:rsidR="002A2E14" w:rsidRPr="009C32E8">
        <w:rPr>
          <w:rFonts w:ascii="Arial" w:hAnsi="Arial" w:cs="Arial"/>
          <w:i/>
          <w:sz w:val="24"/>
          <w:szCs w:val="24"/>
        </w:rPr>
        <w:t>prima facie</w:t>
      </w:r>
      <w:r w:rsidR="002A2E14">
        <w:rPr>
          <w:rFonts w:ascii="Arial" w:hAnsi="Arial" w:cs="Arial"/>
          <w:sz w:val="24"/>
          <w:szCs w:val="24"/>
        </w:rPr>
        <w:t xml:space="preserve"> evidence </w:t>
      </w:r>
      <w:r w:rsidR="00F06E3E">
        <w:rPr>
          <w:rFonts w:ascii="Arial" w:hAnsi="Arial" w:cs="Arial"/>
          <w:sz w:val="24"/>
          <w:szCs w:val="24"/>
        </w:rPr>
        <w:t xml:space="preserve">was </w:t>
      </w:r>
      <w:r w:rsidR="002A2E14">
        <w:rPr>
          <w:rFonts w:ascii="Arial" w:hAnsi="Arial" w:cs="Arial"/>
          <w:sz w:val="24"/>
          <w:szCs w:val="24"/>
        </w:rPr>
        <w:t>established and that there was a possibility of the State’s case being strengthene</w:t>
      </w:r>
      <w:r w:rsidR="009A28FA">
        <w:rPr>
          <w:rFonts w:ascii="Arial" w:hAnsi="Arial" w:cs="Arial"/>
          <w:sz w:val="24"/>
          <w:szCs w:val="24"/>
        </w:rPr>
        <w:t>d during the case for the defence</w:t>
      </w:r>
      <w:r w:rsidR="006D6BED">
        <w:rPr>
          <w:rFonts w:ascii="Arial" w:hAnsi="Arial" w:cs="Arial"/>
          <w:sz w:val="24"/>
          <w:szCs w:val="24"/>
        </w:rPr>
        <w:t xml:space="preserve">. It was pleaded </w:t>
      </w:r>
      <w:r w:rsidR="00056625">
        <w:rPr>
          <w:rFonts w:ascii="Arial" w:hAnsi="Arial" w:cs="Arial"/>
          <w:sz w:val="24"/>
          <w:szCs w:val="24"/>
        </w:rPr>
        <w:t xml:space="preserve">further that </w:t>
      </w:r>
      <w:r w:rsidR="00076DAA">
        <w:rPr>
          <w:rFonts w:ascii="Arial" w:hAnsi="Arial" w:cs="Arial"/>
          <w:sz w:val="24"/>
          <w:szCs w:val="24"/>
        </w:rPr>
        <w:t xml:space="preserve">the </w:t>
      </w:r>
      <w:r w:rsidR="009A28FA">
        <w:rPr>
          <w:rFonts w:ascii="Arial" w:hAnsi="Arial" w:cs="Arial"/>
          <w:sz w:val="24"/>
          <w:szCs w:val="24"/>
        </w:rPr>
        <w:t xml:space="preserve">stopping of </w:t>
      </w:r>
      <w:r w:rsidR="00F06E3E">
        <w:rPr>
          <w:rFonts w:ascii="Arial" w:hAnsi="Arial" w:cs="Arial"/>
          <w:sz w:val="24"/>
          <w:szCs w:val="24"/>
        </w:rPr>
        <w:t xml:space="preserve">the </w:t>
      </w:r>
      <w:r w:rsidR="009A28FA">
        <w:rPr>
          <w:rFonts w:ascii="Arial" w:hAnsi="Arial" w:cs="Arial"/>
          <w:sz w:val="24"/>
          <w:szCs w:val="24"/>
        </w:rPr>
        <w:t xml:space="preserve">prosecution or closing the case against the </w:t>
      </w:r>
      <w:r w:rsidR="00076DAA">
        <w:rPr>
          <w:rFonts w:ascii="Arial" w:hAnsi="Arial" w:cs="Arial"/>
          <w:sz w:val="24"/>
          <w:szCs w:val="24"/>
        </w:rPr>
        <w:t xml:space="preserve">respondent </w:t>
      </w:r>
      <w:r w:rsidR="009A28FA">
        <w:rPr>
          <w:rFonts w:ascii="Arial" w:hAnsi="Arial" w:cs="Arial"/>
          <w:sz w:val="24"/>
          <w:szCs w:val="24"/>
        </w:rPr>
        <w:t>would h</w:t>
      </w:r>
      <w:r w:rsidR="00FF6ABE">
        <w:rPr>
          <w:rFonts w:ascii="Arial" w:hAnsi="Arial" w:cs="Arial"/>
          <w:sz w:val="24"/>
          <w:szCs w:val="24"/>
        </w:rPr>
        <w:t>a</w:t>
      </w:r>
      <w:r w:rsidR="009A28FA">
        <w:rPr>
          <w:rFonts w:ascii="Arial" w:hAnsi="Arial" w:cs="Arial"/>
          <w:sz w:val="24"/>
          <w:szCs w:val="24"/>
        </w:rPr>
        <w:t xml:space="preserve">ve been premature, risky and prejudicial to the State’s case. Furthermore, the second appellant </w:t>
      </w:r>
      <w:r w:rsidR="006D6BED">
        <w:rPr>
          <w:rFonts w:ascii="Arial" w:hAnsi="Arial" w:cs="Arial"/>
          <w:sz w:val="24"/>
          <w:szCs w:val="24"/>
        </w:rPr>
        <w:t xml:space="preserve">pleaded </w:t>
      </w:r>
      <w:r w:rsidR="009A28FA">
        <w:rPr>
          <w:rFonts w:ascii="Arial" w:hAnsi="Arial" w:cs="Arial"/>
          <w:sz w:val="24"/>
          <w:szCs w:val="24"/>
        </w:rPr>
        <w:t>that the respondent had a remedy in terms of Article 12 (1)(b) of the Constitu</w:t>
      </w:r>
      <w:r w:rsidR="00FF6ABE">
        <w:rPr>
          <w:rFonts w:ascii="Arial" w:hAnsi="Arial" w:cs="Arial"/>
          <w:sz w:val="24"/>
          <w:szCs w:val="24"/>
        </w:rPr>
        <w:t>t</w:t>
      </w:r>
      <w:r w:rsidR="009A28FA">
        <w:rPr>
          <w:rFonts w:ascii="Arial" w:hAnsi="Arial" w:cs="Arial"/>
          <w:sz w:val="24"/>
          <w:szCs w:val="24"/>
        </w:rPr>
        <w:t>ion t</w:t>
      </w:r>
      <w:r w:rsidR="009A28FA" w:rsidRPr="009A28FA">
        <w:rPr>
          <w:rFonts w:ascii="Arial" w:hAnsi="Arial" w:cs="Arial"/>
          <w:sz w:val="24"/>
          <w:szCs w:val="24"/>
        </w:rPr>
        <w:t>o move for his release</w:t>
      </w:r>
      <w:r w:rsidR="00FF6ABE">
        <w:rPr>
          <w:rFonts w:ascii="Arial" w:hAnsi="Arial" w:cs="Arial"/>
          <w:sz w:val="24"/>
          <w:szCs w:val="24"/>
        </w:rPr>
        <w:t xml:space="preserve"> </w:t>
      </w:r>
      <w:r w:rsidR="009A28FA" w:rsidRPr="009A28FA">
        <w:rPr>
          <w:rFonts w:ascii="Arial" w:hAnsi="Arial" w:cs="Arial"/>
          <w:sz w:val="24"/>
          <w:szCs w:val="24"/>
        </w:rPr>
        <w:t>from prosecution and detention on 2 February 2006</w:t>
      </w:r>
      <w:r w:rsidR="009A28FA">
        <w:rPr>
          <w:rFonts w:ascii="Arial" w:hAnsi="Arial" w:cs="Arial"/>
          <w:sz w:val="24"/>
          <w:szCs w:val="24"/>
        </w:rPr>
        <w:t>.</w:t>
      </w:r>
    </w:p>
    <w:p w:rsidR="009A28FA" w:rsidRDefault="009A28FA" w:rsidP="009A28FA">
      <w:pPr>
        <w:pStyle w:val="ListParagraph"/>
        <w:rPr>
          <w:rFonts w:ascii="Arial" w:hAnsi="Arial" w:cs="Arial"/>
          <w:sz w:val="24"/>
          <w:szCs w:val="24"/>
        </w:rPr>
      </w:pPr>
    </w:p>
    <w:p w:rsidR="00C44B77" w:rsidRDefault="001426E8" w:rsidP="009A28F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At the trial</w:t>
      </w:r>
      <w:r w:rsidR="009A28FA">
        <w:rPr>
          <w:rFonts w:ascii="Arial" w:hAnsi="Arial" w:cs="Arial"/>
          <w:sz w:val="24"/>
          <w:szCs w:val="24"/>
        </w:rPr>
        <w:t xml:space="preserve"> certain witnesses</w:t>
      </w:r>
      <w:r>
        <w:rPr>
          <w:rFonts w:ascii="Arial" w:hAnsi="Arial" w:cs="Arial"/>
          <w:sz w:val="24"/>
          <w:szCs w:val="24"/>
        </w:rPr>
        <w:t xml:space="preserve">, including </w:t>
      </w:r>
      <w:r w:rsidR="008B2CEB">
        <w:rPr>
          <w:rFonts w:ascii="Arial" w:hAnsi="Arial" w:cs="Arial"/>
          <w:sz w:val="24"/>
          <w:szCs w:val="24"/>
        </w:rPr>
        <w:t>Mr</w:t>
      </w:r>
      <w:r w:rsidR="00FF6ABE">
        <w:rPr>
          <w:rFonts w:ascii="Arial" w:hAnsi="Arial" w:cs="Arial"/>
          <w:sz w:val="24"/>
          <w:szCs w:val="24"/>
        </w:rPr>
        <w:t xml:space="preserve"> John Walters, </w:t>
      </w:r>
      <w:r>
        <w:rPr>
          <w:rFonts w:ascii="Arial" w:hAnsi="Arial" w:cs="Arial"/>
          <w:sz w:val="24"/>
          <w:szCs w:val="24"/>
        </w:rPr>
        <w:t xml:space="preserve">testified. He </w:t>
      </w:r>
      <w:r w:rsidR="0054500A">
        <w:rPr>
          <w:rFonts w:ascii="Arial" w:hAnsi="Arial" w:cs="Arial"/>
          <w:sz w:val="24"/>
          <w:szCs w:val="24"/>
        </w:rPr>
        <w:t>acted as the Prosecutor-General of Namibia from December 2002 up to the end o</w:t>
      </w:r>
      <w:r w:rsidR="00F06E3E">
        <w:rPr>
          <w:rFonts w:ascii="Arial" w:hAnsi="Arial" w:cs="Arial"/>
          <w:sz w:val="24"/>
          <w:szCs w:val="24"/>
        </w:rPr>
        <w:t>f</w:t>
      </w:r>
      <w:r w:rsidR="0054500A">
        <w:rPr>
          <w:rFonts w:ascii="Arial" w:hAnsi="Arial" w:cs="Arial"/>
          <w:sz w:val="24"/>
          <w:szCs w:val="24"/>
        </w:rPr>
        <w:t xml:space="preserve"> December 2013 and </w:t>
      </w:r>
      <w:r>
        <w:rPr>
          <w:rFonts w:ascii="Arial" w:hAnsi="Arial" w:cs="Arial"/>
          <w:sz w:val="24"/>
          <w:szCs w:val="24"/>
        </w:rPr>
        <w:t xml:space="preserve">was called to give evidence in support of </w:t>
      </w:r>
      <w:r w:rsidR="0054500A">
        <w:rPr>
          <w:rFonts w:ascii="Arial" w:hAnsi="Arial" w:cs="Arial"/>
          <w:sz w:val="24"/>
          <w:szCs w:val="24"/>
        </w:rPr>
        <w:t xml:space="preserve">the respondent’s case. Mr </w:t>
      </w:r>
      <w:r>
        <w:rPr>
          <w:rFonts w:ascii="Arial" w:hAnsi="Arial" w:cs="Arial"/>
          <w:sz w:val="24"/>
          <w:szCs w:val="24"/>
        </w:rPr>
        <w:t xml:space="preserve">Walters testified that he assembled a prosecution team </w:t>
      </w:r>
      <w:r w:rsidR="00C44B77">
        <w:rPr>
          <w:rFonts w:ascii="Arial" w:hAnsi="Arial" w:cs="Arial"/>
          <w:sz w:val="24"/>
          <w:szCs w:val="24"/>
        </w:rPr>
        <w:t xml:space="preserve">to </w:t>
      </w:r>
      <w:r w:rsidR="00076DAA">
        <w:rPr>
          <w:rFonts w:ascii="Arial" w:hAnsi="Arial" w:cs="Arial"/>
          <w:sz w:val="24"/>
          <w:szCs w:val="24"/>
        </w:rPr>
        <w:t>evaluate</w:t>
      </w:r>
      <w:r>
        <w:rPr>
          <w:rFonts w:ascii="Arial" w:hAnsi="Arial" w:cs="Arial"/>
          <w:sz w:val="24"/>
          <w:szCs w:val="24"/>
        </w:rPr>
        <w:t xml:space="preserve"> the evidence against the accused persons and </w:t>
      </w:r>
      <w:r w:rsidR="00C615CA">
        <w:rPr>
          <w:rFonts w:ascii="Arial" w:hAnsi="Arial" w:cs="Arial"/>
          <w:sz w:val="24"/>
          <w:szCs w:val="24"/>
        </w:rPr>
        <w:t xml:space="preserve">to </w:t>
      </w:r>
      <w:r w:rsidR="00C44B77">
        <w:rPr>
          <w:rFonts w:ascii="Arial" w:hAnsi="Arial" w:cs="Arial"/>
          <w:sz w:val="24"/>
          <w:szCs w:val="24"/>
        </w:rPr>
        <w:t xml:space="preserve">advise him on </w:t>
      </w:r>
      <w:r w:rsidR="00B940FB">
        <w:rPr>
          <w:rFonts w:ascii="Arial" w:hAnsi="Arial" w:cs="Arial"/>
          <w:sz w:val="24"/>
          <w:szCs w:val="24"/>
        </w:rPr>
        <w:t xml:space="preserve">its </w:t>
      </w:r>
      <w:r w:rsidR="00C44B77">
        <w:rPr>
          <w:rFonts w:ascii="Arial" w:hAnsi="Arial" w:cs="Arial"/>
          <w:sz w:val="24"/>
          <w:szCs w:val="24"/>
        </w:rPr>
        <w:t xml:space="preserve">sufficiency </w:t>
      </w:r>
      <w:r w:rsidR="00B940FB">
        <w:rPr>
          <w:rFonts w:ascii="Arial" w:hAnsi="Arial" w:cs="Arial"/>
          <w:sz w:val="24"/>
          <w:szCs w:val="24"/>
        </w:rPr>
        <w:t xml:space="preserve">whether or not </w:t>
      </w:r>
      <w:r w:rsidR="00C44B77">
        <w:rPr>
          <w:rFonts w:ascii="Arial" w:hAnsi="Arial" w:cs="Arial"/>
          <w:sz w:val="24"/>
          <w:szCs w:val="24"/>
        </w:rPr>
        <w:t>to proceed against them. According to him</w:t>
      </w:r>
      <w:r w:rsidR="00C615CA">
        <w:rPr>
          <w:rFonts w:ascii="Arial" w:hAnsi="Arial" w:cs="Arial"/>
          <w:sz w:val="24"/>
          <w:szCs w:val="24"/>
        </w:rPr>
        <w:t>,</w:t>
      </w:r>
      <w:r w:rsidR="00C44B77">
        <w:rPr>
          <w:rFonts w:ascii="Arial" w:hAnsi="Arial" w:cs="Arial"/>
          <w:sz w:val="24"/>
          <w:szCs w:val="24"/>
        </w:rPr>
        <w:t xml:space="preserve"> he trusted the</w:t>
      </w:r>
      <w:r w:rsidR="00C615CA">
        <w:rPr>
          <w:rFonts w:ascii="Arial" w:hAnsi="Arial" w:cs="Arial"/>
          <w:sz w:val="24"/>
          <w:szCs w:val="24"/>
        </w:rPr>
        <w:t xml:space="preserve"> team’s </w:t>
      </w:r>
      <w:r w:rsidR="00C44B77">
        <w:rPr>
          <w:rFonts w:ascii="Arial" w:hAnsi="Arial" w:cs="Arial"/>
          <w:sz w:val="24"/>
          <w:szCs w:val="24"/>
        </w:rPr>
        <w:t>professional assessment and had no reason to doubt the correctness of the witness statements</w:t>
      </w:r>
      <w:r w:rsidR="00076DAA">
        <w:rPr>
          <w:rFonts w:ascii="Arial" w:hAnsi="Arial" w:cs="Arial"/>
          <w:sz w:val="24"/>
          <w:szCs w:val="24"/>
        </w:rPr>
        <w:t xml:space="preserve"> made available to them</w:t>
      </w:r>
      <w:r w:rsidR="00C615CA">
        <w:rPr>
          <w:rFonts w:ascii="Arial" w:hAnsi="Arial" w:cs="Arial"/>
          <w:sz w:val="24"/>
          <w:szCs w:val="24"/>
        </w:rPr>
        <w:t>. He therefore</w:t>
      </w:r>
      <w:r w:rsidR="00C44B77">
        <w:rPr>
          <w:rFonts w:ascii="Arial" w:hAnsi="Arial" w:cs="Arial"/>
          <w:sz w:val="24"/>
          <w:szCs w:val="24"/>
        </w:rPr>
        <w:t xml:space="preserve"> signed the indictment against the accused persons</w:t>
      </w:r>
      <w:r w:rsidR="00076DAA">
        <w:rPr>
          <w:rFonts w:ascii="Arial" w:hAnsi="Arial" w:cs="Arial"/>
          <w:sz w:val="24"/>
          <w:szCs w:val="24"/>
        </w:rPr>
        <w:t>,</w:t>
      </w:r>
      <w:r w:rsidR="00C44B77">
        <w:rPr>
          <w:rFonts w:ascii="Arial" w:hAnsi="Arial" w:cs="Arial"/>
          <w:sz w:val="24"/>
          <w:szCs w:val="24"/>
        </w:rPr>
        <w:t xml:space="preserve"> including the respondent.</w:t>
      </w:r>
    </w:p>
    <w:p w:rsidR="00C44B77" w:rsidRDefault="00C44B77" w:rsidP="00C44B77">
      <w:pPr>
        <w:pStyle w:val="ListParagraph"/>
        <w:rPr>
          <w:rFonts w:ascii="Arial" w:hAnsi="Arial" w:cs="Arial"/>
          <w:sz w:val="24"/>
          <w:szCs w:val="24"/>
        </w:rPr>
      </w:pPr>
    </w:p>
    <w:p w:rsidR="00CE2926" w:rsidRPr="006D6BED" w:rsidRDefault="00B940FB" w:rsidP="001337D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his testimony the </w:t>
      </w:r>
      <w:r w:rsidR="00C44B77" w:rsidRPr="006D6BED">
        <w:rPr>
          <w:rFonts w:ascii="Arial" w:hAnsi="Arial" w:cs="Arial"/>
          <w:sz w:val="24"/>
          <w:szCs w:val="24"/>
        </w:rPr>
        <w:t>respondent referred to statements used to form</w:t>
      </w:r>
      <w:r w:rsidR="00076DAA">
        <w:rPr>
          <w:rFonts w:ascii="Arial" w:hAnsi="Arial" w:cs="Arial"/>
          <w:sz w:val="24"/>
          <w:szCs w:val="24"/>
        </w:rPr>
        <w:t xml:space="preserve">ulate a case against him. These </w:t>
      </w:r>
      <w:r w:rsidR="00F4537D">
        <w:rPr>
          <w:rFonts w:ascii="Arial" w:hAnsi="Arial" w:cs="Arial"/>
          <w:sz w:val="24"/>
          <w:szCs w:val="24"/>
        </w:rPr>
        <w:t xml:space="preserve">statements </w:t>
      </w:r>
      <w:r w:rsidR="00076DAA">
        <w:rPr>
          <w:rFonts w:ascii="Arial" w:hAnsi="Arial" w:cs="Arial"/>
          <w:sz w:val="24"/>
          <w:szCs w:val="24"/>
        </w:rPr>
        <w:t xml:space="preserve">were made by </w:t>
      </w:r>
      <w:r w:rsidR="00AA03E1" w:rsidRPr="006D6BED">
        <w:rPr>
          <w:rFonts w:ascii="Arial" w:hAnsi="Arial" w:cs="Arial"/>
          <w:sz w:val="24"/>
          <w:szCs w:val="24"/>
        </w:rPr>
        <w:t xml:space="preserve">Mrs </w:t>
      </w:r>
      <w:r w:rsidR="00F4537D">
        <w:rPr>
          <w:rFonts w:ascii="Arial" w:hAnsi="Arial" w:cs="Arial"/>
          <w:sz w:val="24"/>
          <w:szCs w:val="24"/>
        </w:rPr>
        <w:t>Elli Simasiku (</w:t>
      </w:r>
      <w:r w:rsidR="00C44B77" w:rsidRPr="006D6BED">
        <w:rPr>
          <w:rFonts w:ascii="Arial" w:hAnsi="Arial" w:cs="Arial"/>
          <w:sz w:val="24"/>
          <w:szCs w:val="24"/>
        </w:rPr>
        <w:t>the wife of the Mafwe Chief</w:t>
      </w:r>
      <w:r w:rsidR="00F4537D">
        <w:rPr>
          <w:rFonts w:ascii="Arial" w:hAnsi="Arial" w:cs="Arial"/>
          <w:sz w:val="24"/>
          <w:szCs w:val="24"/>
        </w:rPr>
        <w:t xml:space="preserve">), </w:t>
      </w:r>
      <w:r w:rsidR="00A90C11">
        <w:rPr>
          <w:rFonts w:ascii="Arial" w:hAnsi="Arial" w:cs="Arial"/>
          <w:sz w:val="24"/>
          <w:szCs w:val="24"/>
        </w:rPr>
        <w:t>Mr Daniel Sitali, Mr Kafuna, and Mr Christopher Lifasi Siboli</w:t>
      </w:r>
      <w:r w:rsidR="00C44B77" w:rsidRPr="006D6BED">
        <w:rPr>
          <w:rFonts w:ascii="Arial" w:hAnsi="Arial" w:cs="Arial"/>
          <w:sz w:val="24"/>
          <w:szCs w:val="24"/>
        </w:rPr>
        <w:t xml:space="preserve">. </w:t>
      </w:r>
      <w:r w:rsidR="00076DAA">
        <w:rPr>
          <w:rFonts w:ascii="Arial" w:hAnsi="Arial" w:cs="Arial"/>
          <w:sz w:val="24"/>
          <w:szCs w:val="24"/>
        </w:rPr>
        <w:t xml:space="preserve">The respondent </w:t>
      </w:r>
      <w:r w:rsidR="00A90C11">
        <w:rPr>
          <w:rFonts w:ascii="Arial" w:hAnsi="Arial" w:cs="Arial"/>
          <w:sz w:val="24"/>
          <w:szCs w:val="24"/>
        </w:rPr>
        <w:t>was implicated</w:t>
      </w:r>
      <w:r w:rsidR="00076DAA">
        <w:rPr>
          <w:rFonts w:ascii="Arial" w:hAnsi="Arial" w:cs="Arial"/>
          <w:sz w:val="24"/>
          <w:szCs w:val="24"/>
        </w:rPr>
        <w:t xml:space="preserve">, among other things, </w:t>
      </w:r>
      <w:r w:rsidR="00A90C11">
        <w:rPr>
          <w:rFonts w:ascii="Arial" w:hAnsi="Arial" w:cs="Arial"/>
          <w:sz w:val="24"/>
          <w:szCs w:val="24"/>
        </w:rPr>
        <w:t xml:space="preserve">as having </w:t>
      </w:r>
      <w:r w:rsidR="000273D5" w:rsidRPr="006D6BED">
        <w:rPr>
          <w:rFonts w:ascii="Arial" w:hAnsi="Arial" w:cs="Arial"/>
          <w:sz w:val="24"/>
          <w:szCs w:val="24"/>
        </w:rPr>
        <w:t xml:space="preserve">approached </w:t>
      </w:r>
      <w:r w:rsidR="00A90C11">
        <w:rPr>
          <w:rFonts w:ascii="Arial" w:hAnsi="Arial" w:cs="Arial"/>
          <w:sz w:val="24"/>
          <w:szCs w:val="24"/>
        </w:rPr>
        <w:t xml:space="preserve">Mrs Simasiku </w:t>
      </w:r>
      <w:r w:rsidR="006D6BED" w:rsidRPr="006D6BED">
        <w:rPr>
          <w:rFonts w:ascii="Arial" w:hAnsi="Arial" w:cs="Arial"/>
          <w:sz w:val="24"/>
          <w:szCs w:val="24"/>
        </w:rPr>
        <w:t xml:space="preserve">during July 1999 </w:t>
      </w:r>
      <w:r w:rsidR="00AA03E1" w:rsidRPr="006D6BED">
        <w:rPr>
          <w:rFonts w:ascii="Arial" w:hAnsi="Arial" w:cs="Arial"/>
          <w:sz w:val="24"/>
          <w:szCs w:val="24"/>
        </w:rPr>
        <w:t xml:space="preserve">and threatened that because </w:t>
      </w:r>
      <w:r w:rsidR="000273D5" w:rsidRPr="006D6BED">
        <w:rPr>
          <w:rFonts w:ascii="Arial" w:hAnsi="Arial" w:cs="Arial"/>
          <w:sz w:val="24"/>
          <w:szCs w:val="24"/>
        </w:rPr>
        <w:t xml:space="preserve">they </w:t>
      </w:r>
      <w:r w:rsidR="00F06E3E">
        <w:rPr>
          <w:rFonts w:ascii="Arial" w:hAnsi="Arial" w:cs="Arial"/>
          <w:sz w:val="24"/>
          <w:szCs w:val="24"/>
        </w:rPr>
        <w:t>were</w:t>
      </w:r>
      <w:r w:rsidR="000273D5" w:rsidRPr="006D6BED">
        <w:rPr>
          <w:rFonts w:ascii="Arial" w:hAnsi="Arial" w:cs="Arial"/>
          <w:sz w:val="24"/>
          <w:szCs w:val="24"/>
        </w:rPr>
        <w:t xml:space="preserve"> not supporting </w:t>
      </w:r>
      <w:r w:rsidR="006D6BED" w:rsidRPr="006D6BED">
        <w:rPr>
          <w:rFonts w:ascii="Arial" w:hAnsi="Arial" w:cs="Arial"/>
          <w:sz w:val="24"/>
          <w:szCs w:val="24"/>
        </w:rPr>
        <w:t xml:space="preserve">the idea </w:t>
      </w:r>
      <w:r>
        <w:rPr>
          <w:rFonts w:ascii="Arial" w:hAnsi="Arial" w:cs="Arial"/>
          <w:sz w:val="24"/>
          <w:szCs w:val="24"/>
        </w:rPr>
        <w:t xml:space="preserve">of </w:t>
      </w:r>
      <w:r w:rsidR="00BF7D7E">
        <w:rPr>
          <w:rFonts w:ascii="Arial" w:hAnsi="Arial" w:cs="Arial"/>
          <w:sz w:val="24"/>
          <w:szCs w:val="24"/>
        </w:rPr>
        <w:t>Mr Mish</w:t>
      </w:r>
      <w:r w:rsidR="00F54E89">
        <w:rPr>
          <w:rFonts w:ascii="Arial" w:hAnsi="Arial" w:cs="Arial"/>
          <w:sz w:val="24"/>
          <w:szCs w:val="24"/>
        </w:rPr>
        <w:t>a</w:t>
      </w:r>
      <w:r w:rsidR="00BF7D7E">
        <w:rPr>
          <w:rFonts w:ascii="Arial" w:hAnsi="Arial" w:cs="Arial"/>
          <w:sz w:val="24"/>
          <w:szCs w:val="24"/>
        </w:rPr>
        <w:t>k</w:t>
      </w:r>
      <w:r w:rsidR="00F54E89">
        <w:rPr>
          <w:rFonts w:ascii="Arial" w:hAnsi="Arial" w:cs="Arial"/>
          <w:sz w:val="24"/>
          <w:szCs w:val="24"/>
        </w:rPr>
        <w:t>e</w:t>
      </w:r>
      <w:r w:rsidR="00BF7D7E">
        <w:rPr>
          <w:rFonts w:ascii="Arial" w:hAnsi="Arial" w:cs="Arial"/>
          <w:sz w:val="24"/>
          <w:szCs w:val="24"/>
        </w:rPr>
        <w:t xml:space="preserve"> </w:t>
      </w:r>
      <w:r w:rsidR="006D6BED" w:rsidRPr="00BF7D7E">
        <w:rPr>
          <w:rFonts w:ascii="Arial" w:hAnsi="Arial" w:cs="Arial"/>
          <w:sz w:val="24"/>
          <w:szCs w:val="24"/>
        </w:rPr>
        <w:lastRenderedPageBreak/>
        <w:t>Muy</w:t>
      </w:r>
      <w:r w:rsidR="000273D5" w:rsidRPr="00BF7D7E">
        <w:rPr>
          <w:rFonts w:ascii="Arial" w:hAnsi="Arial" w:cs="Arial"/>
          <w:sz w:val="24"/>
          <w:szCs w:val="24"/>
        </w:rPr>
        <w:t>ongo</w:t>
      </w:r>
      <w:r w:rsidR="00AA03E1" w:rsidRPr="00BF7D7E">
        <w:rPr>
          <w:rStyle w:val="FootnoteReference"/>
          <w:rFonts w:ascii="Arial" w:hAnsi="Arial" w:cs="Arial"/>
          <w:sz w:val="24"/>
          <w:szCs w:val="24"/>
        </w:rPr>
        <w:footnoteReference w:id="3"/>
      </w:r>
      <w:r w:rsidR="000273D5" w:rsidRPr="00BF7D7E">
        <w:rPr>
          <w:rFonts w:ascii="Arial" w:hAnsi="Arial" w:cs="Arial"/>
          <w:sz w:val="24"/>
          <w:szCs w:val="24"/>
        </w:rPr>
        <w:t xml:space="preserve"> </w:t>
      </w:r>
      <w:r w:rsidR="006D6BED" w:rsidRPr="00BF7D7E">
        <w:rPr>
          <w:rFonts w:ascii="Arial" w:hAnsi="Arial" w:cs="Arial"/>
          <w:sz w:val="24"/>
          <w:szCs w:val="24"/>
        </w:rPr>
        <w:t xml:space="preserve">to </w:t>
      </w:r>
      <w:r w:rsidR="000273D5" w:rsidRPr="00BF7D7E">
        <w:rPr>
          <w:rFonts w:ascii="Arial" w:hAnsi="Arial" w:cs="Arial"/>
          <w:sz w:val="24"/>
          <w:szCs w:val="24"/>
        </w:rPr>
        <w:t>liberat</w:t>
      </w:r>
      <w:r w:rsidR="006D6BED" w:rsidRPr="00BF7D7E">
        <w:rPr>
          <w:rFonts w:ascii="Arial" w:hAnsi="Arial" w:cs="Arial"/>
          <w:sz w:val="24"/>
          <w:szCs w:val="24"/>
        </w:rPr>
        <w:t>e</w:t>
      </w:r>
      <w:r w:rsidR="00A90C11" w:rsidRPr="00BF7D7E">
        <w:rPr>
          <w:rFonts w:ascii="Arial" w:hAnsi="Arial" w:cs="Arial"/>
          <w:sz w:val="24"/>
          <w:szCs w:val="24"/>
        </w:rPr>
        <w:t xml:space="preserve"> Caprivi from Namibia</w:t>
      </w:r>
      <w:r w:rsidR="000273D5" w:rsidRPr="00BF7D7E">
        <w:rPr>
          <w:rFonts w:ascii="Arial" w:hAnsi="Arial" w:cs="Arial"/>
          <w:sz w:val="24"/>
          <w:szCs w:val="24"/>
        </w:rPr>
        <w:t xml:space="preserve"> they w</w:t>
      </w:r>
      <w:r w:rsidR="00F06E3E">
        <w:rPr>
          <w:rFonts w:ascii="Arial" w:hAnsi="Arial" w:cs="Arial"/>
          <w:sz w:val="24"/>
          <w:szCs w:val="24"/>
        </w:rPr>
        <w:t xml:space="preserve">ould </w:t>
      </w:r>
      <w:r w:rsidR="006D6BED" w:rsidRPr="00BF7D7E">
        <w:rPr>
          <w:rFonts w:ascii="Arial" w:hAnsi="Arial" w:cs="Arial"/>
          <w:sz w:val="24"/>
          <w:szCs w:val="24"/>
        </w:rPr>
        <w:t xml:space="preserve">be </w:t>
      </w:r>
      <w:r w:rsidR="000273D5" w:rsidRPr="00BF7D7E">
        <w:rPr>
          <w:rFonts w:ascii="Arial" w:hAnsi="Arial" w:cs="Arial"/>
          <w:sz w:val="24"/>
          <w:szCs w:val="24"/>
        </w:rPr>
        <w:t>cause</w:t>
      </w:r>
      <w:r w:rsidR="006D6BED" w:rsidRPr="00BF7D7E">
        <w:rPr>
          <w:rFonts w:ascii="Arial" w:hAnsi="Arial" w:cs="Arial"/>
          <w:sz w:val="24"/>
          <w:szCs w:val="24"/>
        </w:rPr>
        <w:t xml:space="preserve">d </w:t>
      </w:r>
      <w:r w:rsidR="00F4537D" w:rsidRPr="00BF7D7E">
        <w:rPr>
          <w:rFonts w:ascii="Arial" w:hAnsi="Arial" w:cs="Arial"/>
          <w:sz w:val="24"/>
          <w:szCs w:val="24"/>
        </w:rPr>
        <w:t>t</w:t>
      </w:r>
      <w:r w:rsidR="00A90C11" w:rsidRPr="00BF7D7E">
        <w:rPr>
          <w:rFonts w:ascii="Arial" w:hAnsi="Arial" w:cs="Arial"/>
          <w:sz w:val="24"/>
          <w:szCs w:val="24"/>
        </w:rPr>
        <w:t xml:space="preserve">o run to Owamboland and that the supporters </w:t>
      </w:r>
      <w:r w:rsidR="000273D5" w:rsidRPr="00BF7D7E">
        <w:rPr>
          <w:rFonts w:ascii="Arial" w:hAnsi="Arial" w:cs="Arial"/>
          <w:sz w:val="24"/>
          <w:szCs w:val="24"/>
        </w:rPr>
        <w:t>wer</w:t>
      </w:r>
      <w:r w:rsidR="006D6BED" w:rsidRPr="00BF7D7E">
        <w:rPr>
          <w:rFonts w:ascii="Arial" w:hAnsi="Arial" w:cs="Arial"/>
          <w:sz w:val="24"/>
          <w:szCs w:val="24"/>
        </w:rPr>
        <w:t xml:space="preserve">e equipped with arms. </w:t>
      </w:r>
      <w:r w:rsidR="00A90C11" w:rsidRPr="00BF7D7E">
        <w:rPr>
          <w:rFonts w:ascii="Arial" w:hAnsi="Arial" w:cs="Arial"/>
          <w:sz w:val="24"/>
          <w:szCs w:val="24"/>
        </w:rPr>
        <w:t xml:space="preserve">The respondent was also </w:t>
      </w:r>
      <w:r w:rsidR="006D6BED" w:rsidRPr="00BF7D7E">
        <w:rPr>
          <w:rFonts w:ascii="Arial" w:hAnsi="Arial" w:cs="Arial"/>
          <w:sz w:val="24"/>
          <w:szCs w:val="24"/>
        </w:rPr>
        <w:t xml:space="preserve">fingered </w:t>
      </w:r>
      <w:r w:rsidR="00A90C11" w:rsidRPr="00BF7D7E">
        <w:rPr>
          <w:rFonts w:ascii="Arial" w:hAnsi="Arial" w:cs="Arial"/>
          <w:sz w:val="24"/>
          <w:szCs w:val="24"/>
        </w:rPr>
        <w:t>b</w:t>
      </w:r>
      <w:r w:rsidR="00A90C11">
        <w:rPr>
          <w:rFonts w:ascii="Arial" w:hAnsi="Arial" w:cs="Arial"/>
          <w:sz w:val="24"/>
          <w:szCs w:val="24"/>
        </w:rPr>
        <w:t xml:space="preserve">y Mr Sitali </w:t>
      </w:r>
      <w:r w:rsidR="00794D7D" w:rsidRPr="006D6BED">
        <w:rPr>
          <w:rFonts w:ascii="Arial" w:hAnsi="Arial" w:cs="Arial"/>
          <w:sz w:val="24"/>
          <w:szCs w:val="24"/>
        </w:rPr>
        <w:t xml:space="preserve">as having </w:t>
      </w:r>
      <w:r w:rsidR="00A90C11">
        <w:rPr>
          <w:rFonts w:ascii="Arial" w:hAnsi="Arial" w:cs="Arial"/>
          <w:sz w:val="24"/>
          <w:szCs w:val="24"/>
        </w:rPr>
        <w:t xml:space="preserve">attended </w:t>
      </w:r>
      <w:r w:rsidR="000273D5" w:rsidRPr="006D6BED">
        <w:rPr>
          <w:rFonts w:ascii="Arial" w:hAnsi="Arial" w:cs="Arial"/>
          <w:sz w:val="24"/>
          <w:szCs w:val="24"/>
        </w:rPr>
        <w:t>meeting</w:t>
      </w:r>
      <w:r w:rsidR="008C0CF6" w:rsidRPr="006D6BED">
        <w:rPr>
          <w:rFonts w:ascii="Arial" w:hAnsi="Arial" w:cs="Arial"/>
          <w:sz w:val="24"/>
          <w:szCs w:val="24"/>
        </w:rPr>
        <w:t>s</w:t>
      </w:r>
      <w:r w:rsidR="00AA03E1" w:rsidRPr="006D6BED">
        <w:rPr>
          <w:rFonts w:ascii="Arial" w:hAnsi="Arial" w:cs="Arial"/>
          <w:sz w:val="24"/>
          <w:szCs w:val="24"/>
        </w:rPr>
        <w:t xml:space="preserve"> and supported the idea of </w:t>
      </w:r>
      <w:r w:rsidR="00076DAA">
        <w:rPr>
          <w:rFonts w:ascii="Arial" w:hAnsi="Arial" w:cs="Arial"/>
          <w:sz w:val="24"/>
          <w:szCs w:val="24"/>
        </w:rPr>
        <w:t>secession by violent means</w:t>
      </w:r>
      <w:r w:rsidR="00F70F0C">
        <w:rPr>
          <w:rFonts w:ascii="Arial" w:hAnsi="Arial" w:cs="Arial"/>
          <w:sz w:val="24"/>
          <w:szCs w:val="24"/>
        </w:rPr>
        <w:t xml:space="preserve">. </w:t>
      </w:r>
      <w:r w:rsidR="008C0CF6" w:rsidRPr="006D6BED">
        <w:rPr>
          <w:rFonts w:ascii="Arial" w:hAnsi="Arial" w:cs="Arial"/>
          <w:sz w:val="24"/>
          <w:szCs w:val="24"/>
        </w:rPr>
        <w:t xml:space="preserve">Late in 1998 and while at his village, </w:t>
      </w:r>
      <w:r w:rsidR="0040588A">
        <w:rPr>
          <w:rFonts w:ascii="Arial" w:hAnsi="Arial" w:cs="Arial"/>
          <w:sz w:val="24"/>
          <w:szCs w:val="24"/>
        </w:rPr>
        <w:t xml:space="preserve">Mr </w:t>
      </w:r>
      <w:r w:rsidR="00076DAA">
        <w:rPr>
          <w:rFonts w:ascii="Arial" w:hAnsi="Arial" w:cs="Arial"/>
          <w:sz w:val="24"/>
          <w:szCs w:val="24"/>
        </w:rPr>
        <w:t xml:space="preserve">Sitali said, </w:t>
      </w:r>
      <w:r w:rsidR="008C0CF6" w:rsidRPr="006D6BED">
        <w:rPr>
          <w:rFonts w:ascii="Arial" w:hAnsi="Arial" w:cs="Arial"/>
          <w:sz w:val="24"/>
          <w:szCs w:val="24"/>
        </w:rPr>
        <w:t>the respondent approached him a</w:t>
      </w:r>
      <w:r w:rsidR="00AA03E1" w:rsidRPr="006D6BED">
        <w:rPr>
          <w:rFonts w:ascii="Arial" w:hAnsi="Arial" w:cs="Arial"/>
          <w:sz w:val="24"/>
          <w:szCs w:val="24"/>
        </w:rPr>
        <w:t>t</w:t>
      </w:r>
      <w:r w:rsidR="008C0CF6" w:rsidRPr="006D6BED">
        <w:rPr>
          <w:rFonts w:ascii="Arial" w:hAnsi="Arial" w:cs="Arial"/>
          <w:sz w:val="24"/>
          <w:szCs w:val="24"/>
        </w:rPr>
        <w:t xml:space="preserve"> night and asked hi</w:t>
      </w:r>
      <w:r w:rsidR="00AA03E1" w:rsidRPr="006D6BED">
        <w:rPr>
          <w:rFonts w:ascii="Arial" w:hAnsi="Arial" w:cs="Arial"/>
          <w:sz w:val="24"/>
          <w:szCs w:val="24"/>
        </w:rPr>
        <w:t>m</w:t>
      </w:r>
      <w:r w:rsidR="008C0CF6" w:rsidRPr="006D6BED">
        <w:rPr>
          <w:rFonts w:ascii="Arial" w:hAnsi="Arial" w:cs="Arial"/>
          <w:sz w:val="24"/>
          <w:szCs w:val="24"/>
        </w:rPr>
        <w:t xml:space="preserve"> to recruit people from his branch who must flee to Botswana to join the struggle</w:t>
      </w:r>
      <w:r w:rsidR="00AA03E1" w:rsidRPr="006D6BED">
        <w:rPr>
          <w:rFonts w:ascii="Arial" w:hAnsi="Arial" w:cs="Arial"/>
          <w:sz w:val="24"/>
          <w:szCs w:val="24"/>
        </w:rPr>
        <w:t xml:space="preserve"> </w:t>
      </w:r>
      <w:r w:rsidR="006D6BED">
        <w:rPr>
          <w:rFonts w:ascii="Arial" w:hAnsi="Arial" w:cs="Arial"/>
          <w:sz w:val="24"/>
          <w:szCs w:val="24"/>
        </w:rPr>
        <w:t xml:space="preserve">for the </w:t>
      </w:r>
      <w:r w:rsidR="00AA03E1" w:rsidRPr="006D6BED">
        <w:rPr>
          <w:rFonts w:ascii="Arial" w:hAnsi="Arial" w:cs="Arial"/>
          <w:sz w:val="24"/>
          <w:szCs w:val="24"/>
        </w:rPr>
        <w:t>liberat</w:t>
      </w:r>
      <w:r w:rsidR="006D6BED">
        <w:rPr>
          <w:rFonts w:ascii="Arial" w:hAnsi="Arial" w:cs="Arial"/>
          <w:sz w:val="24"/>
          <w:szCs w:val="24"/>
        </w:rPr>
        <w:t xml:space="preserve">ion of </w:t>
      </w:r>
      <w:r w:rsidR="00AA03E1" w:rsidRPr="006D6BED">
        <w:rPr>
          <w:rFonts w:ascii="Arial" w:hAnsi="Arial" w:cs="Arial"/>
          <w:sz w:val="24"/>
          <w:szCs w:val="24"/>
        </w:rPr>
        <w:t>Caprivi. He s</w:t>
      </w:r>
      <w:r w:rsidR="006D6BED">
        <w:rPr>
          <w:rFonts w:ascii="Arial" w:hAnsi="Arial" w:cs="Arial"/>
          <w:sz w:val="24"/>
          <w:szCs w:val="24"/>
        </w:rPr>
        <w:t xml:space="preserve">tated </w:t>
      </w:r>
      <w:r w:rsidR="00AA03E1" w:rsidRPr="006D6BED">
        <w:rPr>
          <w:rFonts w:ascii="Arial" w:hAnsi="Arial" w:cs="Arial"/>
          <w:sz w:val="24"/>
          <w:szCs w:val="24"/>
        </w:rPr>
        <w:t xml:space="preserve">that the respondent drove </w:t>
      </w:r>
      <w:r w:rsidR="008C0CF6" w:rsidRPr="006D6BED">
        <w:rPr>
          <w:rFonts w:ascii="Arial" w:hAnsi="Arial" w:cs="Arial"/>
          <w:sz w:val="24"/>
          <w:szCs w:val="24"/>
        </w:rPr>
        <w:t xml:space="preserve">a bakkie </w:t>
      </w:r>
      <w:r w:rsidR="00F06E3E">
        <w:rPr>
          <w:rFonts w:ascii="Arial" w:hAnsi="Arial" w:cs="Arial"/>
          <w:sz w:val="24"/>
          <w:szCs w:val="24"/>
        </w:rPr>
        <w:t xml:space="preserve">with a </w:t>
      </w:r>
      <w:r w:rsidR="008C0CF6" w:rsidRPr="006D6BED">
        <w:rPr>
          <w:rFonts w:ascii="Arial" w:hAnsi="Arial" w:cs="Arial"/>
          <w:sz w:val="24"/>
          <w:szCs w:val="24"/>
        </w:rPr>
        <w:t>GRN</w:t>
      </w:r>
      <w:r w:rsidR="00F06E3E">
        <w:rPr>
          <w:rFonts w:ascii="Arial" w:hAnsi="Arial" w:cs="Arial"/>
          <w:sz w:val="24"/>
          <w:szCs w:val="24"/>
        </w:rPr>
        <w:t xml:space="preserve"> registration number</w:t>
      </w:r>
      <w:r w:rsidR="008C0CF6" w:rsidRPr="006D6BED">
        <w:rPr>
          <w:rFonts w:ascii="Arial" w:hAnsi="Arial" w:cs="Arial"/>
          <w:sz w:val="24"/>
          <w:szCs w:val="24"/>
        </w:rPr>
        <w:t>. Mr Kafuna</w:t>
      </w:r>
      <w:r w:rsidR="00AA03E1" w:rsidRPr="006D6BED">
        <w:rPr>
          <w:rFonts w:ascii="Arial" w:hAnsi="Arial" w:cs="Arial"/>
          <w:sz w:val="24"/>
          <w:szCs w:val="24"/>
        </w:rPr>
        <w:t xml:space="preserve"> </w:t>
      </w:r>
      <w:r w:rsidR="006D6BED">
        <w:rPr>
          <w:rFonts w:ascii="Arial" w:hAnsi="Arial" w:cs="Arial"/>
          <w:sz w:val="24"/>
          <w:szCs w:val="24"/>
        </w:rPr>
        <w:t xml:space="preserve">also implicated the respondent as having been involved in </w:t>
      </w:r>
      <w:r w:rsidR="00AA03E1" w:rsidRPr="006D6BED">
        <w:rPr>
          <w:rFonts w:ascii="Arial" w:hAnsi="Arial" w:cs="Arial"/>
          <w:sz w:val="24"/>
          <w:szCs w:val="24"/>
        </w:rPr>
        <w:t>transporting people from K</w:t>
      </w:r>
      <w:r w:rsidR="00A5687F" w:rsidRPr="006D6BED">
        <w:rPr>
          <w:rFonts w:ascii="Arial" w:hAnsi="Arial" w:cs="Arial"/>
          <w:sz w:val="24"/>
          <w:szCs w:val="24"/>
        </w:rPr>
        <w:t>atima Mulilo to Bots</w:t>
      </w:r>
      <w:r w:rsidR="00CE2926" w:rsidRPr="006D6BED">
        <w:rPr>
          <w:rFonts w:ascii="Arial" w:hAnsi="Arial" w:cs="Arial"/>
          <w:sz w:val="24"/>
          <w:szCs w:val="24"/>
        </w:rPr>
        <w:t xml:space="preserve">wana </w:t>
      </w:r>
      <w:r w:rsidR="00F06E3E">
        <w:rPr>
          <w:rFonts w:ascii="Arial" w:hAnsi="Arial" w:cs="Arial"/>
          <w:sz w:val="24"/>
          <w:szCs w:val="24"/>
        </w:rPr>
        <w:t xml:space="preserve">to further the aims </w:t>
      </w:r>
      <w:r w:rsidR="00AA03E1" w:rsidRPr="006D6BED">
        <w:rPr>
          <w:rFonts w:ascii="Arial" w:hAnsi="Arial" w:cs="Arial"/>
          <w:sz w:val="24"/>
          <w:szCs w:val="24"/>
        </w:rPr>
        <w:t xml:space="preserve">of the secession of </w:t>
      </w:r>
      <w:r w:rsidR="00CE2926" w:rsidRPr="006D6BED">
        <w:rPr>
          <w:rFonts w:ascii="Arial" w:hAnsi="Arial" w:cs="Arial"/>
          <w:sz w:val="24"/>
          <w:szCs w:val="24"/>
        </w:rPr>
        <w:t>Caprivi.</w:t>
      </w:r>
    </w:p>
    <w:p w:rsidR="00CE2926" w:rsidRDefault="00CE2926" w:rsidP="001337D7">
      <w:pPr>
        <w:pStyle w:val="ListParagraph"/>
        <w:spacing w:after="0" w:line="480" w:lineRule="auto"/>
        <w:rPr>
          <w:rFonts w:ascii="Arial" w:hAnsi="Arial" w:cs="Arial"/>
          <w:sz w:val="24"/>
          <w:szCs w:val="24"/>
        </w:rPr>
      </w:pPr>
    </w:p>
    <w:p w:rsidR="00CE2926" w:rsidRDefault="00AA03E1" w:rsidP="001337D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Siboli made statements on 13 April 200</w:t>
      </w:r>
      <w:r w:rsidR="00343D95">
        <w:rPr>
          <w:rFonts w:ascii="Arial" w:hAnsi="Arial" w:cs="Arial"/>
          <w:sz w:val="24"/>
          <w:szCs w:val="24"/>
        </w:rPr>
        <w:t>0</w:t>
      </w:r>
      <w:r>
        <w:rPr>
          <w:rFonts w:ascii="Arial" w:hAnsi="Arial" w:cs="Arial"/>
          <w:sz w:val="24"/>
          <w:szCs w:val="24"/>
        </w:rPr>
        <w:t xml:space="preserve">, 2 April 2001 and 15 February 2003.  </w:t>
      </w:r>
      <w:r w:rsidR="00A90C11">
        <w:rPr>
          <w:rFonts w:ascii="Arial" w:hAnsi="Arial" w:cs="Arial"/>
          <w:sz w:val="24"/>
          <w:szCs w:val="24"/>
        </w:rPr>
        <w:t xml:space="preserve">His testimony was concluded on 17 November 2005. He implicated the respondent in </w:t>
      </w:r>
      <w:r w:rsidR="00076DAA">
        <w:rPr>
          <w:rFonts w:ascii="Arial" w:hAnsi="Arial" w:cs="Arial"/>
          <w:sz w:val="24"/>
          <w:szCs w:val="24"/>
        </w:rPr>
        <w:t>the 2001 and 2003 st</w:t>
      </w:r>
      <w:r w:rsidR="00A90C11">
        <w:rPr>
          <w:rFonts w:ascii="Arial" w:hAnsi="Arial" w:cs="Arial"/>
          <w:sz w:val="24"/>
          <w:szCs w:val="24"/>
        </w:rPr>
        <w:t>atement</w:t>
      </w:r>
      <w:r w:rsidR="008F17BB">
        <w:rPr>
          <w:rFonts w:ascii="Arial" w:hAnsi="Arial" w:cs="Arial"/>
          <w:sz w:val="24"/>
          <w:szCs w:val="24"/>
        </w:rPr>
        <w:t>s</w:t>
      </w:r>
      <w:r w:rsidR="00076DAA">
        <w:rPr>
          <w:rFonts w:ascii="Arial" w:hAnsi="Arial" w:cs="Arial"/>
          <w:sz w:val="24"/>
          <w:szCs w:val="24"/>
        </w:rPr>
        <w:t>. The state</w:t>
      </w:r>
      <w:r w:rsidR="008F17BB">
        <w:rPr>
          <w:rFonts w:ascii="Arial" w:hAnsi="Arial" w:cs="Arial"/>
          <w:sz w:val="24"/>
          <w:szCs w:val="24"/>
        </w:rPr>
        <w:t xml:space="preserve">ment </w:t>
      </w:r>
      <w:r>
        <w:rPr>
          <w:rFonts w:ascii="Arial" w:hAnsi="Arial" w:cs="Arial"/>
          <w:sz w:val="24"/>
          <w:szCs w:val="24"/>
        </w:rPr>
        <w:t>of 13 April 2000</w:t>
      </w:r>
      <w:r w:rsidR="008F17BB">
        <w:rPr>
          <w:rFonts w:ascii="Arial" w:hAnsi="Arial" w:cs="Arial"/>
          <w:sz w:val="24"/>
          <w:szCs w:val="24"/>
        </w:rPr>
        <w:t xml:space="preserve"> </w:t>
      </w:r>
      <w:r w:rsidR="00076DAA">
        <w:rPr>
          <w:rFonts w:ascii="Arial" w:hAnsi="Arial" w:cs="Arial"/>
          <w:sz w:val="24"/>
          <w:szCs w:val="24"/>
        </w:rPr>
        <w:t xml:space="preserve">was extensive and more </w:t>
      </w:r>
      <w:r w:rsidR="00142CC2">
        <w:rPr>
          <w:rFonts w:ascii="Arial" w:hAnsi="Arial" w:cs="Arial"/>
          <w:sz w:val="24"/>
          <w:szCs w:val="24"/>
        </w:rPr>
        <w:t>incriminatory</w:t>
      </w:r>
      <w:r w:rsidR="00F06E3E">
        <w:rPr>
          <w:rFonts w:ascii="Arial" w:hAnsi="Arial" w:cs="Arial"/>
          <w:sz w:val="24"/>
          <w:szCs w:val="24"/>
        </w:rPr>
        <w:t>. In respect of the respondent, the following was stated therein</w:t>
      </w:r>
      <w:r w:rsidR="003931DF">
        <w:rPr>
          <w:rFonts w:ascii="Arial" w:hAnsi="Arial" w:cs="Arial"/>
          <w:sz w:val="24"/>
          <w:szCs w:val="24"/>
        </w:rPr>
        <w:t>:</w:t>
      </w:r>
    </w:p>
    <w:p w:rsidR="008B2CEB" w:rsidRDefault="008B2CEB" w:rsidP="008B2CEB">
      <w:pPr>
        <w:pStyle w:val="ListParagraph"/>
        <w:rPr>
          <w:rFonts w:ascii="Arial" w:hAnsi="Arial" w:cs="Arial"/>
          <w:sz w:val="24"/>
          <w:szCs w:val="24"/>
        </w:rPr>
      </w:pPr>
    </w:p>
    <w:p w:rsidR="003931DF" w:rsidRDefault="008C3D00" w:rsidP="008B2CEB">
      <w:pPr>
        <w:pStyle w:val="Quote"/>
        <w:spacing w:line="360" w:lineRule="auto"/>
        <w:ind w:left="720" w:right="49"/>
        <w:jc w:val="both"/>
        <w:rPr>
          <w:rFonts w:ascii="Arial" w:hAnsi="Arial" w:cs="Arial"/>
          <w:i w:val="0"/>
          <w:color w:val="auto"/>
        </w:rPr>
      </w:pPr>
      <w:r w:rsidRPr="005D5EEF">
        <w:rPr>
          <w:rFonts w:ascii="Arial" w:hAnsi="Arial" w:cs="Arial"/>
          <w:i w:val="0"/>
          <w:color w:val="auto"/>
        </w:rPr>
        <w:t>‘</w:t>
      </w:r>
      <w:r w:rsidR="003931DF" w:rsidRPr="005D5EEF">
        <w:rPr>
          <w:rFonts w:ascii="Arial" w:hAnsi="Arial" w:cs="Arial"/>
          <w:i w:val="0"/>
          <w:color w:val="auto"/>
        </w:rPr>
        <w:t>53.</w:t>
      </w:r>
      <w:r w:rsidR="003931DF" w:rsidRPr="005D5EEF">
        <w:rPr>
          <w:rFonts w:ascii="Arial" w:hAnsi="Arial" w:cs="Arial"/>
          <w:i w:val="0"/>
          <w:color w:val="auto"/>
        </w:rPr>
        <w:tab/>
        <w:t>George was a driver at Caprivi College</w:t>
      </w:r>
      <w:r w:rsidRPr="005D5EEF">
        <w:rPr>
          <w:rFonts w:ascii="Arial" w:hAnsi="Arial" w:cs="Arial"/>
          <w:i w:val="0"/>
          <w:color w:val="auto"/>
        </w:rPr>
        <w:t xml:space="preserve"> of Education. He was an </w:t>
      </w:r>
      <w:r w:rsidR="00B25385">
        <w:rPr>
          <w:rFonts w:ascii="Arial" w:hAnsi="Arial" w:cs="Arial"/>
          <w:i w:val="0"/>
          <w:color w:val="auto"/>
        </w:rPr>
        <w:t>organiser of the secession</w:t>
      </w:r>
      <w:r w:rsidR="00163FFD" w:rsidRPr="005D5EEF">
        <w:rPr>
          <w:rFonts w:ascii="Arial" w:hAnsi="Arial" w:cs="Arial"/>
          <w:i w:val="0"/>
          <w:color w:val="auto"/>
        </w:rPr>
        <w:t xml:space="preserve">. During 1997 he was informing people at Lisikili and Neneze as to what is going to happen about the </w:t>
      </w:r>
      <w:r w:rsidR="00B25385">
        <w:rPr>
          <w:rFonts w:ascii="Arial" w:hAnsi="Arial" w:cs="Arial"/>
          <w:i w:val="0"/>
          <w:color w:val="auto"/>
        </w:rPr>
        <w:t>secession</w:t>
      </w:r>
      <w:r w:rsidR="00163FFD" w:rsidRPr="005D5EEF">
        <w:rPr>
          <w:rFonts w:ascii="Arial" w:hAnsi="Arial" w:cs="Arial"/>
          <w:i w:val="0"/>
          <w:color w:val="auto"/>
        </w:rPr>
        <w:t xml:space="preserve">. He was informing people </w:t>
      </w:r>
      <w:r w:rsidR="00DE055D" w:rsidRPr="005D5EEF">
        <w:rPr>
          <w:rFonts w:ascii="Arial" w:hAnsi="Arial" w:cs="Arial"/>
          <w:i w:val="0"/>
          <w:color w:val="auto"/>
        </w:rPr>
        <w:t>to believe as they are being told by Muyongo.</w:t>
      </w:r>
    </w:p>
    <w:p w:rsidR="008B2CEB" w:rsidRPr="008B2CEB" w:rsidRDefault="008B2CEB" w:rsidP="008B2CEB"/>
    <w:p w:rsidR="009A28FA" w:rsidRDefault="00DE055D" w:rsidP="008B2CEB">
      <w:pPr>
        <w:pStyle w:val="ListParagraph"/>
        <w:spacing w:line="360" w:lineRule="auto"/>
        <w:jc w:val="both"/>
        <w:rPr>
          <w:rFonts w:ascii="Arial" w:hAnsi="Arial" w:cs="Arial"/>
        </w:rPr>
      </w:pPr>
      <w:r w:rsidRPr="00DE055D">
        <w:rPr>
          <w:rFonts w:ascii="Arial" w:hAnsi="Arial" w:cs="Arial"/>
        </w:rPr>
        <w:t>54.</w:t>
      </w:r>
      <w:r w:rsidRPr="00DE055D">
        <w:rPr>
          <w:rFonts w:ascii="Arial" w:hAnsi="Arial" w:cs="Arial"/>
        </w:rPr>
        <w:tab/>
        <w:t>During 1997 I attended with him a private meeting at Lin</w:t>
      </w:r>
      <w:r w:rsidR="003C4AF6">
        <w:rPr>
          <w:rFonts w:ascii="Arial" w:hAnsi="Arial" w:cs="Arial"/>
        </w:rPr>
        <w:t>y</w:t>
      </w:r>
      <w:r w:rsidRPr="00DE055D">
        <w:rPr>
          <w:rFonts w:ascii="Arial" w:hAnsi="Arial" w:cs="Arial"/>
        </w:rPr>
        <w:t>anti. The mee</w:t>
      </w:r>
      <w:r>
        <w:rPr>
          <w:rFonts w:ascii="Arial" w:hAnsi="Arial" w:cs="Arial"/>
        </w:rPr>
        <w:t xml:space="preserve">ting was to tell all of the Mafwe that we are going to cut Caprivi from the rest of Namibia. On the same date we came to Katima and we had again a meeting at George Mutanimiye’s place in Naweze. This meeting was to talk that the following date we had to go to the </w:t>
      </w:r>
      <w:r>
        <w:rPr>
          <w:rFonts w:ascii="Arial" w:hAnsi="Arial" w:cs="Arial"/>
        </w:rPr>
        <w:lastRenderedPageBreak/>
        <w:t>villages and spread the message of Chief Mamili that we are going to cut Caprivi from the rest of Namibia. The following date we did that.</w:t>
      </w:r>
    </w:p>
    <w:p w:rsidR="00DE055D" w:rsidRDefault="00DE055D" w:rsidP="008B2CEB">
      <w:pPr>
        <w:pStyle w:val="ListParagraph"/>
        <w:spacing w:line="360" w:lineRule="auto"/>
        <w:jc w:val="both"/>
        <w:rPr>
          <w:rFonts w:ascii="Arial" w:hAnsi="Arial" w:cs="Arial"/>
        </w:rPr>
      </w:pPr>
    </w:p>
    <w:p w:rsidR="00A41CEE" w:rsidRDefault="00DE055D" w:rsidP="008B2CEB">
      <w:pPr>
        <w:pStyle w:val="ListParagraph"/>
        <w:spacing w:line="360" w:lineRule="auto"/>
        <w:jc w:val="both"/>
        <w:rPr>
          <w:rFonts w:ascii="Arial" w:hAnsi="Arial" w:cs="Arial"/>
          <w:sz w:val="24"/>
          <w:szCs w:val="24"/>
        </w:rPr>
      </w:pPr>
      <w:r>
        <w:rPr>
          <w:rFonts w:ascii="Arial" w:hAnsi="Arial" w:cs="Arial"/>
        </w:rPr>
        <w:t>55.</w:t>
      </w:r>
      <w:r>
        <w:rPr>
          <w:rFonts w:ascii="Arial" w:hAnsi="Arial" w:cs="Arial"/>
        </w:rPr>
        <w:tab/>
        <w:t xml:space="preserve">During 1998, he mobilised people to go into the bush to liberate Caprivi. He had also donated money for the propagation of the attack. I did not know what the amount he donated was. I also saw his name on the list of the people who donated money. He was also </w:t>
      </w:r>
      <w:r w:rsidR="00135E7E">
        <w:rPr>
          <w:rFonts w:ascii="Arial" w:hAnsi="Arial" w:cs="Arial"/>
        </w:rPr>
        <w:t>a transporter for people who went to Dukwe with the purpose to liberate Caprivi. While we were in Dukwe, he used to phone us, and ask us when we are coming and [attack] in Caprivi. He was also one of the Kopano ya Tou member.’</w:t>
      </w:r>
    </w:p>
    <w:p w:rsidR="00A41CEE" w:rsidRDefault="00A41CEE" w:rsidP="00CA5CE9">
      <w:pPr>
        <w:pStyle w:val="NoSpacing"/>
        <w:spacing w:line="480" w:lineRule="auto"/>
        <w:jc w:val="both"/>
        <w:rPr>
          <w:rFonts w:ascii="Arial" w:hAnsi="Arial" w:cs="Arial"/>
          <w:sz w:val="24"/>
          <w:szCs w:val="24"/>
        </w:rPr>
      </w:pPr>
    </w:p>
    <w:p w:rsidR="001337D7" w:rsidRDefault="00954DA6" w:rsidP="001337D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respondent denied involvement in the secession and testified that the statements, especially with reference to </w:t>
      </w:r>
      <w:r w:rsidR="008F17BB">
        <w:rPr>
          <w:rFonts w:ascii="Arial" w:hAnsi="Arial" w:cs="Arial"/>
          <w:sz w:val="24"/>
          <w:szCs w:val="24"/>
        </w:rPr>
        <w:t xml:space="preserve">that of Mr </w:t>
      </w:r>
      <w:r>
        <w:rPr>
          <w:rFonts w:ascii="Arial" w:hAnsi="Arial" w:cs="Arial"/>
          <w:sz w:val="24"/>
          <w:szCs w:val="24"/>
        </w:rPr>
        <w:t>Siboli, were a fabrication by the police. He claimed that his continued prosecution after his discharge in terms of s</w:t>
      </w:r>
      <w:r w:rsidR="003C4AF6">
        <w:rPr>
          <w:rFonts w:ascii="Arial" w:hAnsi="Arial" w:cs="Arial"/>
          <w:sz w:val="24"/>
          <w:szCs w:val="24"/>
        </w:rPr>
        <w:t xml:space="preserve"> </w:t>
      </w:r>
      <w:r>
        <w:rPr>
          <w:rFonts w:ascii="Arial" w:hAnsi="Arial" w:cs="Arial"/>
          <w:sz w:val="24"/>
          <w:szCs w:val="24"/>
        </w:rPr>
        <w:t xml:space="preserve">174 was done with an improper or ulterior motive. Under cross-examination the respondent accepted that the prosecution was in possession of the said </w:t>
      </w:r>
      <w:r w:rsidR="00CA3F94">
        <w:rPr>
          <w:rFonts w:ascii="Arial" w:hAnsi="Arial" w:cs="Arial"/>
          <w:sz w:val="24"/>
          <w:szCs w:val="24"/>
        </w:rPr>
        <w:t xml:space="preserve">sworn </w:t>
      </w:r>
      <w:r>
        <w:rPr>
          <w:rFonts w:ascii="Arial" w:hAnsi="Arial" w:cs="Arial"/>
          <w:sz w:val="24"/>
          <w:szCs w:val="24"/>
        </w:rPr>
        <w:t xml:space="preserve">statements </w:t>
      </w:r>
      <w:r w:rsidR="00CA3F94">
        <w:rPr>
          <w:rFonts w:ascii="Arial" w:hAnsi="Arial" w:cs="Arial"/>
          <w:sz w:val="24"/>
          <w:szCs w:val="24"/>
        </w:rPr>
        <w:t>w</w:t>
      </w:r>
      <w:r>
        <w:rPr>
          <w:rFonts w:ascii="Arial" w:hAnsi="Arial" w:cs="Arial"/>
          <w:sz w:val="24"/>
          <w:szCs w:val="24"/>
        </w:rPr>
        <w:t>hen it arraigned him. He conceded that the statements</w:t>
      </w:r>
      <w:r w:rsidR="00343D95">
        <w:rPr>
          <w:rFonts w:ascii="Arial" w:hAnsi="Arial" w:cs="Arial"/>
          <w:sz w:val="24"/>
          <w:szCs w:val="24"/>
        </w:rPr>
        <w:t xml:space="preserve">, if </w:t>
      </w:r>
      <w:r>
        <w:rPr>
          <w:rFonts w:ascii="Arial" w:hAnsi="Arial" w:cs="Arial"/>
          <w:sz w:val="24"/>
          <w:szCs w:val="24"/>
        </w:rPr>
        <w:t>true</w:t>
      </w:r>
      <w:r w:rsidR="00343D95">
        <w:rPr>
          <w:rFonts w:ascii="Arial" w:hAnsi="Arial" w:cs="Arial"/>
          <w:sz w:val="24"/>
          <w:szCs w:val="24"/>
        </w:rPr>
        <w:t>,</w:t>
      </w:r>
      <w:r>
        <w:rPr>
          <w:rFonts w:ascii="Arial" w:hAnsi="Arial" w:cs="Arial"/>
          <w:sz w:val="24"/>
          <w:szCs w:val="24"/>
        </w:rPr>
        <w:t xml:space="preserve"> would implicate</w:t>
      </w:r>
      <w:r w:rsidR="00343D95">
        <w:rPr>
          <w:rFonts w:ascii="Arial" w:hAnsi="Arial" w:cs="Arial"/>
          <w:sz w:val="24"/>
          <w:szCs w:val="24"/>
        </w:rPr>
        <w:t xml:space="preserve"> him</w:t>
      </w:r>
      <w:r>
        <w:rPr>
          <w:rFonts w:ascii="Arial" w:hAnsi="Arial" w:cs="Arial"/>
          <w:sz w:val="24"/>
          <w:szCs w:val="24"/>
        </w:rPr>
        <w:t xml:space="preserve"> in the commission of high treason and that the prosecution </w:t>
      </w:r>
      <w:r w:rsidR="00343D95">
        <w:rPr>
          <w:rFonts w:ascii="Arial" w:hAnsi="Arial" w:cs="Arial"/>
          <w:sz w:val="24"/>
          <w:szCs w:val="24"/>
        </w:rPr>
        <w:t xml:space="preserve">would have </w:t>
      </w:r>
      <w:r>
        <w:rPr>
          <w:rFonts w:ascii="Arial" w:hAnsi="Arial" w:cs="Arial"/>
          <w:sz w:val="24"/>
          <w:szCs w:val="24"/>
        </w:rPr>
        <w:t>had no reason not to believe them.</w:t>
      </w:r>
    </w:p>
    <w:p w:rsidR="001337D7" w:rsidRDefault="001337D7" w:rsidP="001337D7">
      <w:pPr>
        <w:pStyle w:val="NoSpacing"/>
        <w:spacing w:line="480" w:lineRule="auto"/>
        <w:jc w:val="both"/>
        <w:rPr>
          <w:rFonts w:ascii="Arial" w:hAnsi="Arial" w:cs="Arial"/>
          <w:sz w:val="24"/>
          <w:szCs w:val="24"/>
        </w:rPr>
      </w:pPr>
    </w:p>
    <w:p w:rsidR="008F17BB" w:rsidRPr="001337D7" w:rsidRDefault="008F17BB" w:rsidP="001337D7">
      <w:pPr>
        <w:pStyle w:val="NoSpacing"/>
        <w:numPr>
          <w:ilvl w:val="0"/>
          <w:numId w:val="1"/>
        </w:numPr>
        <w:spacing w:line="480" w:lineRule="auto"/>
        <w:ind w:left="0" w:firstLine="0"/>
        <w:jc w:val="both"/>
        <w:rPr>
          <w:rFonts w:ascii="Arial" w:hAnsi="Arial" w:cs="Arial"/>
          <w:sz w:val="24"/>
          <w:szCs w:val="24"/>
        </w:rPr>
      </w:pPr>
      <w:r w:rsidRPr="001337D7">
        <w:rPr>
          <w:rFonts w:ascii="Arial" w:hAnsi="Arial" w:cs="Arial"/>
          <w:sz w:val="24"/>
          <w:szCs w:val="24"/>
        </w:rPr>
        <w:t xml:space="preserve">The evidence on behalf of the appellants was, essentially a repetition of the evidence contained in statements which, it was contended, established a </w:t>
      </w:r>
      <w:r w:rsidRPr="001337D7">
        <w:rPr>
          <w:rFonts w:ascii="Arial" w:hAnsi="Arial" w:cs="Arial"/>
          <w:i/>
          <w:sz w:val="24"/>
          <w:szCs w:val="24"/>
        </w:rPr>
        <w:t>prima facie</w:t>
      </w:r>
      <w:r w:rsidRPr="001337D7">
        <w:rPr>
          <w:rFonts w:ascii="Arial" w:hAnsi="Arial" w:cs="Arial"/>
          <w:sz w:val="24"/>
          <w:szCs w:val="24"/>
        </w:rPr>
        <w:t xml:space="preserve"> case that the respondent was a member of the UDP and actively associated himself with the actions of those involved in the secession. The witnesses also testified about the delay in obtaining witnesses’ statements and prosecuting the case but less needs to be said about these aspects for the purpose of this judgment.</w:t>
      </w:r>
    </w:p>
    <w:p w:rsidR="008F17BB" w:rsidRDefault="008F17BB" w:rsidP="003C6074">
      <w:pPr>
        <w:pStyle w:val="NoSpacing"/>
        <w:spacing w:line="480" w:lineRule="auto"/>
        <w:jc w:val="both"/>
        <w:rPr>
          <w:rFonts w:ascii="Arial" w:hAnsi="Arial" w:cs="Arial"/>
          <w:sz w:val="24"/>
          <w:szCs w:val="24"/>
        </w:rPr>
      </w:pPr>
    </w:p>
    <w:p w:rsidR="008034A5" w:rsidRDefault="00212A7F" w:rsidP="001337D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Generally, the evidence of </w:t>
      </w:r>
      <w:r w:rsidR="008034A5">
        <w:rPr>
          <w:rFonts w:ascii="Arial" w:hAnsi="Arial" w:cs="Arial"/>
          <w:sz w:val="24"/>
          <w:szCs w:val="24"/>
        </w:rPr>
        <w:t xml:space="preserve">Mr July </w:t>
      </w:r>
      <w:r>
        <w:rPr>
          <w:rFonts w:ascii="Arial" w:hAnsi="Arial" w:cs="Arial"/>
          <w:sz w:val="24"/>
          <w:szCs w:val="24"/>
        </w:rPr>
        <w:t xml:space="preserve">at the </w:t>
      </w:r>
      <w:r w:rsidR="000E7999">
        <w:rPr>
          <w:rFonts w:ascii="Arial" w:hAnsi="Arial" w:cs="Arial"/>
          <w:sz w:val="24"/>
          <w:szCs w:val="24"/>
        </w:rPr>
        <w:t>criminal trial</w:t>
      </w:r>
      <w:r w:rsidR="00CA3F94">
        <w:rPr>
          <w:rFonts w:ascii="Arial" w:hAnsi="Arial" w:cs="Arial"/>
          <w:sz w:val="24"/>
          <w:szCs w:val="24"/>
        </w:rPr>
        <w:t xml:space="preserve"> −</w:t>
      </w:r>
      <w:r w:rsidR="008034A5">
        <w:rPr>
          <w:rFonts w:ascii="Arial" w:hAnsi="Arial" w:cs="Arial"/>
          <w:sz w:val="24"/>
          <w:szCs w:val="24"/>
        </w:rPr>
        <w:t xml:space="preserve"> </w:t>
      </w:r>
      <w:r>
        <w:rPr>
          <w:rFonts w:ascii="Arial" w:hAnsi="Arial" w:cs="Arial"/>
          <w:sz w:val="24"/>
          <w:szCs w:val="24"/>
        </w:rPr>
        <w:t>about the respondent having formed common purpose with the rest</w:t>
      </w:r>
      <w:r w:rsidR="00CA3F94">
        <w:rPr>
          <w:rFonts w:ascii="Arial" w:hAnsi="Arial" w:cs="Arial"/>
          <w:sz w:val="24"/>
          <w:szCs w:val="24"/>
        </w:rPr>
        <w:t xml:space="preserve"> of the accused persons −</w:t>
      </w:r>
      <w:r>
        <w:rPr>
          <w:rFonts w:ascii="Arial" w:hAnsi="Arial" w:cs="Arial"/>
          <w:sz w:val="24"/>
          <w:szCs w:val="24"/>
        </w:rPr>
        <w:t xml:space="preserve"> remained undisputed. </w:t>
      </w:r>
      <w:r w:rsidR="00CA3F94">
        <w:rPr>
          <w:rFonts w:ascii="Arial" w:hAnsi="Arial" w:cs="Arial"/>
          <w:sz w:val="24"/>
          <w:szCs w:val="24"/>
        </w:rPr>
        <w:t xml:space="preserve">Mr July </w:t>
      </w:r>
      <w:r>
        <w:rPr>
          <w:rFonts w:ascii="Arial" w:hAnsi="Arial" w:cs="Arial"/>
          <w:sz w:val="24"/>
          <w:szCs w:val="24"/>
        </w:rPr>
        <w:t xml:space="preserve">testified </w:t>
      </w:r>
      <w:r w:rsidR="008034A5">
        <w:rPr>
          <w:rFonts w:ascii="Arial" w:hAnsi="Arial" w:cs="Arial"/>
          <w:sz w:val="24"/>
          <w:szCs w:val="24"/>
        </w:rPr>
        <w:t>that</w:t>
      </w:r>
      <w:r w:rsidR="00CA3F94">
        <w:rPr>
          <w:rFonts w:ascii="Arial" w:hAnsi="Arial" w:cs="Arial"/>
          <w:sz w:val="24"/>
          <w:szCs w:val="24"/>
        </w:rPr>
        <w:t>,</w:t>
      </w:r>
      <w:r w:rsidR="008034A5">
        <w:rPr>
          <w:rFonts w:ascii="Arial" w:hAnsi="Arial" w:cs="Arial"/>
          <w:sz w:val="24"/>
          <w:szCs w:val="24"/>
        </w:rPr>
        <w:t xml:space="preserve"> on the issue of common purpose and conspiracy</w:t>
      </w:r>
      <w:r w:rsidR="00CA3F94">
        <w:rPr>
          <w:rFonts w:ascii="Arial" w:hAnsi="Arial" w:cs="Arial"/>
          <w:sz w:val="24"/>
          <w:szCs w:val="24"/>
        </w:rPr>
        <w:t>,</w:t>
      </w:r>
      <w:r w:rsidR="008034A5">
        <w:rPr>
          <w:rFonts w:ascii="Arial" w:hAnsi="Arial" w:cs="Arial"/>
          <w:sz w:val="24"/>
          <w:szCs w:val="24"/>
        </w:rPr>
        <w:t xml:space="preserve"> they believed that the respondent had a common design with the rest </w:t>
      </w:r>
      <w:r w:rsidR="00CA3F94">
        <w:rPr>
          <w:rFonts w:ascii="Arial" w:hAnsi="Arial" w:cs="Arial"/>
          <w:sz w:val="24"/>
          <w:szCs w:val="24"/>
        </w:rPr>
        <w:t xml:space="preserve">of the accused persons </w:t>
      </w:r>
      <w:r w:rsidR="00125894">
        <w:rPr>
          <w:rFonts w:ascii="Arial" w:hAnsi="Arial" w:cs="Arial"/>
          <w:sz w:val="24"/>
          <w:szCs w:val="24"/>
        </w:rPr>
        <w:t xml:space="preserve">based on the information in </w:t>
      </w:r>
      <w:r w:rsidR="008034A5">
        <w:rPr>
          <w:rFonts w:ascii="Arial" w:hAnsi="Arial" w:cs="Arial"/>
          <w:sz w:val="24"/>
          <w:szCs w:val="24"/>
        </w:rPr>
        <w:t>the witness</w:t>
      </w:r>
      <w:r w:rsidR="00125894">
        <w:rPr>
          <w:rFonts w:ascii="Arial" w:hAnsi="Arial" w:cs="Arial"/>
          <w:sz w:val="24"/>
          <w:szCs w:val="24"/>
        </w:rPr>
        <w:t>es’</w:t>
      </w:r>
      <w:r w:rsidR="008034A5">
        <w:rPr>
          <w:rFonts w:ascii="Arial" w:hAnsi="Arial" w:cs="Arial"/>
          <w:sz w:val="24"/>
          <w:szCs w:val="24"/>
        </w:rPr>
        <w:t xml:space="preserve"> statements</w:t>
      </w:r>
      <w:r w:rsidR="00125894">
        <w:rPr>
          <w:rFonts w:ascii="Arial" w:hAnsi="Arial" w:cs="Arial"/>
          <w:sz w:val="24"/>
          <w:szCs w:val="24"/>
        </w:rPr>
        <w:t>. H</w:t>
      </w:r>
      <w:r w:rsidR="008034A5">
        <w:rPr>
          <w:rFonts w:ascii="Arial" w:hAnsi="Arial" w:cs="Arial"/>
          <w:sz w:val="24"/>
          <w:szCs w:val="24"/>
        </w:rPr>
        <w:t>is action</w:t>
      </w:r>
      <w:r w:rsidR="00125894">
        <w:rPr>
          <w:rFonts w:ascii="Arial" w:hAnsi="Arial" w:cs="Arial"/>
          <w:sz w:val="24"/>
          <w:szCs w:val="24"/>
        </w:rPr>
        <w:t xml:space="preserve">s, he said, </w:t>
      </w:r>
      <w:r w:rsidR="008034A5">
        <w:rPr>
          <w:rFonts w:ascii="Arial" w:hAnsi="Arial" w:cs="Arial"/>
          <w:sz w:val="24"/>
          <w:szCs w:val="24"/>
        </w:rPr>
        <w:t xml:space="preserve">confirmed to them that he had made common cause with the rest </w:t>
      </w:r>
      <w:r w:rsidR="00125894">
        <w:rPr>
          <w:rFonts w:ascii="Arial" w:hAnsi="Arial" w:cs="Arial"/>
          <w:sz w:val="24"/>
          <w:szCs w:val="24"/>
        </w:rPr>
        <w:t xml:space="preserve">as he </w:t>
      </w:r>
      <w:r w:rsidR="008034A5">
        <w:rPr>
          <w:rFonts w:ascii="Arial" w:hAnsi="Arial" w:cs="Arial"/>
          <w:sz w:val="24"/>
          <w:szCs w:val="24"/>
        </w:rPr>
        <w:t xml:space="preserve">participated in </w:t>
      </w:r>
      <w:r>
        <w:rPr>
          <w:rFonts w:ascii="Arial" w:hAnsi="Arial" w:cs="Arial"/>
          <w:sz w:val="24"/>
          <w:szCs w:val="24"/>
        </w:rPr>
        <w:t>one shape o</w:t>
      </w:r>
      <w:r w:rsidR="008B2CEB">
        <w:rPr>
          <w:rFonts w:ascii="Arial" w:hAnsi="Arial" w:cs="Arial"/>
          <w:sz w:val="24"/>
          <w:szCs w:val="24"/>
        </w:rPr>
        <w:t>r</w:t>
      </w:r>
      <w:r>
        <w:rPr>
          <w:rFonts w:ascii="Arial" w:hAnsi="Arial" w:cs="Arial"/>
          <w:sz w:val="24"/>
          <w:szCs w:val="24"/>
        </w:rPr>
        <w:t xml:space="preserve"> form to the furtherance of that objective.</w:t>
      </w:r>
      <w:r w:rsidR="00FF70F8">
        <w:rPr>
          <w:rFonts w:ascii="Arial" w:hAnsi="Arial" w:cs="Arial"/>
          <w:sz w:val="24"/>
          <w:szCs w:val="24"/>
        </w:rPr>
        <w:t xml:space="preserve"> He explained </w:t>
      </w:r>
      <w:r w:rsidR="00B538EB">
        <w:rPr>
          <w:rFonts w:ascii="Arial" w:hAnsi="Arial" w:cs="Arial"/>
          <w:sz w:val="24"/>
          <w:szCs w:val="24"/>
        </w:rPr>
        <w:t xml:space="preserve">the witnesses’ failure to identify </w:t>
      </w:r>
      <w:r w:rsidR="00CA3F94">
        <w:rPr>
          <w:rFonts w:ascii="Arial" w:hAnsi="Arial" w:cs="Arial"/>
          <w:sz w:val="24"/>
          <w:szCs w:val="24"/>
        </w:rPr>
        <w:t xml:space="preserve">the respondents in court. His testimony which implicated the </w:t>
      </w:r>
      <w:r w:rsidR="00FF70F8">
        <w:rPr>
          <w:rFonts w:ascii="Arial" w:hAnsi="Arial" w:cs="Arial"/>
          <w:sz w:val="24"/>
          <w:szCs w:val="24"/>
        </w:rPr>
        <w:t>respondent also consist</w:t>
      </w:r>
      <w:r w:rsidR="00B538EB">
        <w:rPr>
          <w:rFonts w:ascii="Arial" w:hAnsi="Arial" w:cs="Arial"/>
          <w:sz w:val="24"/>
          <w:szCs w:val="24"/>
        </w:rPr>
        <w:t>ed of general background evidence that set out the general history of the organisation, mobilisation and recruitment of persons in preparation of the attack on 2 August 1999.</w:t>
      </w:r>
    </w:p>
    <w:p w:rsidR="00F54E89" w:rsidRDefault="00F54E89" w:rsidP="003C6074">
      <w:pPr>
        <w:pStyle w:val="NoSpacing"/>
        <w:spacing w:line="480" w:lineRule="auto"/>
        <w:jc w:val="both"/>
        <w:rPr>
          <w:rFonts w:ascii="Arial" w:hAnsi="Arial" w:cs="Arial"/>
          <w:sz w:val="24"/>
          <w:szCs w:val="24"/>
        </w:rPr>
      </w:pPr>
    </w:p>
    <w:p w:rsidR="00701260" w:rsidRDefault="00BD66CC" w:rsidP="001337D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Agains</w:t>
      </w:r>
      <w:r w:rsidR="008F17BB">
        <w:rPr>
          <w:rFonts w:ascii="Arial" w:hAnsi="Arial" w:cs="Arial"/>
          <w:sz w:val="24"/>
          <w:szCs w:val="24"/>
        </w:rPr>
        <w:t>t the above factual matrix and certain l</w:t>
      </w:r>
      <w:r>
        <w:rPr>
          <w:rFonts w:ascii="Arial" w:hAnsi="Arial" w:cs="Arial"/>
          <w:sz w:val="24"/>
          <w:szCs w:val="24"/>
        </w:rPr>
        <w:t xml:space="preserve">egal principles regarding malicious prosecution the High Court absolved the first appellant, Minister of Safety and Security. </w:t>
      </w:r>
      <w:r w:rsidR="00894DE0">
        <w:rPr>
          <w:rFonts w:ascii="Arial" w:hAnsi="Arial" w:cs="Arial"/>
          <w:sz w:val="24"/>
          <w:szCs w:val="24"/>
        </w:rPr>
        <w:t xml:space="preserve">The </w:t>
      </w:r>
      <w:r w:rsidR="007149CE">
        <w:rPr>
          <w:rFonts w:ascii="Arial" w:hAnsi="Arial" w:cs="Arial"/>
          <w:sz w:val="24"/>
          <w:szCs w:val="24"/>
        </w:rPr>
        <w:t>c</w:t>
      </w:r>
      <w:r w:rsidR="00894DE0">
        <w:rPr>
          <w:rFonts w:ascii="Arial" w:hAnsi="Arial" w:cs="Arial"/>
          <w:sz w:val="24"/>
          <w:szCs w:val="24"/>
        </w:rPr>
        <w:t>ourt considered the information and evidence available to the State when the decision to pr</w:t>
      </w:r>
      <w:r w:rsidR="005010FD">
        <w:rPr>
          <w:rFonts w:ascii="Arial" w:hAnsi="Arial" w:cs="Arial"/>
          <w:sz w:val="24"/>
          <w:szCs w:val="24"/>
        </w:rPr>
        <w:t xml:space="preserve">osecute was taken. </w:t>
      </w:r>
      <w:r w:rsidR="008B2CEB">
        <w:rPr>
          <w:rFonts w:ascii="Arial" w:hAnsi="Arial" w:cs="Arial"/>
          <w:sz w:val="24"/>
          <w:szCs w:val="24"/>
        </w:rPr>
        <w:t>It concluded that on the facts:</w:t>
      </w:r>
    </w:p>
    <w:p w:rsidR="006C6579" w:rsidRDefault="006C6579" w:rsidP="00701260">
      <w:pPr>
        <w:pStyle w:val="NoSpacing"/>
        <w:spacing w:line="480" w:lineRule="auto"/>
        <w:jc w:val="both"/>
        <w:rPr>
          <w:rFonts w:ascii="Arial" w:hAnsi="Arial" w:cs="Arial"/>
          <w:sz w:val="24"/>
          <w:szCs w:val="24"/>
        </w:rPr>
      </w:pPr>
    </w:p>
    <w:p w:rsidR="00CC4D0B" w:rsidRPr="008C3D00" w:rsidRDefault="00D038CD" w:rsidP="001337D7">
      <w:pPr>
        <w:pStyle w:val="NoSpacing"/>
        <w:spacing w:line="360" w:lineRule="auto"/>
        <w:ind w:left="1440"/>
        <w:jc w:val="both"/>
        <w:rPr>
          <w:rFonts w:ascii="Arial" w:hAnsi="Arial" w:cs="Arial"/>
        </w:rPr>
      </w:pPr>
      <w:r w:rsidRPr="00D038CD">
        <w:rPr>
          <w:rFonts w:ascii="Arial" w:hAnsi="Arial" w:cs="Arial"/>
        </w:rPr>
        <w:t>‘</w:t>
      </w:r>
      <w:r w:rsidR="003C4AF6">
        <w:rPr>
          <w:rFonts w:ascii="Arial" w:hAnsi="Arial" w:cs="Arial"/>
        </w:rPr>
        <w:t>[9] T</w:t>
      </w:r>
      <w:r w:rsidRPr="00D038CD">
        <w:rPr>
          <w:rFonts w:ascii="Arial" w:hAnsi="Arial" w:cs="Arial"/>
        </w:rPr>
        <w:t xml:space="preserve">here are no sound reasons advanced by the [respondent] as to why the prosecution team had to disbelieve </w:t>
      </w:r>
      <w:r w:rsidRPr="005D4F77">
        <w:rPr>
          <w:rFonts w:ascii="Arial" w:hAnsi="Arial" w:cs="Arial"/>
          <w:i/>
        </w:rPr>
        <w:t>the statements under oath at their disposal</w:t>
      </w:r>
      <w:r>
        <w:rPr>
          <w:rFonts w:ascii="Arial" w:hAnsi="Arial" w:cs="Arial"/>
        </w:rPr>
        <w:t xml:space="preserve">. </w:t>
      </w:r>
      <w:r w:rsidRPr="00D038CD">
        <w:rPr>
          <w:rFonts w:ascii="Arial" w:hAnsi="Arial" w:cs="Arial"/>
        </w:rPr>
        <w:t xml:space="preserve">Mr July </w:t>
      </w:r>
      <w:r w:rsidR="008C3D00">
        <w:rPr>
          <w:rFonts w:ascii="Arial" w:hAnsi="Arial" w:cs="Arial"/>
        </w:rPr>
        <w:t xml:space="preserve">comprehensively set in the facts on which the decision by the second [appellant] was based to prosecute [the respondent] and </w:t>
      </w:r>
      <w:r w:rsidR="008C3D00" w:rsidRPr="00402149">
        <w:rPr>
          <w:rFonts w:ascii="Arial" w:hAnsi="Arial" w:cs="Arial"/>
          <w:i/>
        </w:rPr>
        <w:t>there was a reasonable and probable cause for the prosecution</w:t>
      </w:r>
      <w:r w:rsidR="008C3D00">
        <w:rPr>
          <w:rFonts w:ascii="Arial" w:hAnsi="Arial" w:cs="Arial"/>
        </w:rPr>
        <w:t>.’</w:t>
      </w:r>
      <w:r w:rsidR="008C3D00">
        <w:rPr>
          <w:rStyle w:val="FootnoteReference"/>
          <w:rFonts w:ascii="Arial" w:hAnsi="Arial" w:cs="Arial"/>
        </w:rPr>
        <w:footnoteReference w:id="4"/>
      </w:r>
      <w:r w:rsidR="005D4F77">
        <w:rPr>
          <w:rFonts w:ascii="Arial" w:hAnsi="Arial" w:cs="Arial"/>
        </w:rPr>
        <w:t xml:space="preserve"> (Emphasis added.)</w:t>
      </w:r>
    </w:p>
    <w:p w:rsidR="00CC4D0B" w:rsidRDefault="00CC4D0B" w:rsidP="00BA44D0">
      <w:pPr>
        <w:pStyle w:val="NoSpacing"/>
        <w:spacing w:line="480" w:lineRule="auto"/>
        <w:jc w:val="both"/>
        <w:rPr>
          <w:rFonts w:ascii="Arial" w:hAnsi="Arial" w:cs="Arial"/>
          <w:sz w:val="24"/>
          <w:szCs w:val="24"/>
        </w:rPr>
      </w:pPr>
    </w:p>
    <w:p w:rsidR="00CC4D0B" w:rsidRPr="00991107" w:rsidRDefault="00CB28C2" w:rsidP="001337D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Regarding malice </w:t>
      </w:r>
      <w:r w:rsidR="006404CE">
        <w:rPr>
          <w:rFonts w:ascii="Arial" w:hAnsi="Arial" w:cs="Arial"/>
          <w:sz w:val="24"/>
          <w:szCs w:val="24"/>
        </w:rPr>
        <w:t>the High Court held that the respondent failed to prove</w:t>
      </w:r>
      <w:r>
        <w:rPr>
          <w:rFonts w:ascii="Arial" w:hAnsi="Arial" w:cs="Arial"/>
          <w:sz w:val="24"/>
          <w:szCs w:val="24"/>
        </w:rPr>
        <w:t>,</w:t>
      </w:r>
      <w:r w:rsidR="006404CE">
        <w:rPr>
          <w:rFonts w:ascii="Arial" w:hAnsi="Arial" w:cs="Arial"/>
          <w:sz w:val="24"/>
          <w:szCs w:val="24"/>
        </w:rPr>
        <w:t xml:space="preserve"> on a balance of probabilities</w:t>
      </w:r>
      <w:r>
        <w:rPr>
          <w:rFonts w:ascii="Arial" w:hAnsi="Arial" w:cs="Arial"/>
          <w:sz w:val="24"/>
          <w:szCs w:val="24"/>
        </w:rPr>
        <w:t>,</w:t>
      </w:r>
      <w:r w:rsidR="006404CE">
        <w:rPr>
          <w:rFonts w:ascii="Arial" w:hAnsi="Arial" w:cs="Arial"/>
          <w:sz w:val="24"/>
          <w:szCs w:val="24"/>
        </w:rPr>
        <w:t xml:space="preserve"> that the second appellant acted with malice in initiating the prosecution or that it instigated the proceedings with th</w:t>
      </w:r>
      <w:r w:rsidR="00AA5B7A">
        <w:rPr>
          <w:rFonts w:ascii="Arial" w:hAnsi="Arial" w:cs="Arial"/>
          <w:sz w:val="24"/>
          <w:szCs w:val="24"/>
        </w:rPr>
        <w:t xml:space="preserve">e aim to injure </w:t>
      </w:r>
      <w:r>
        <w:rPr>
          <w:rFonts w:ascii="Arial" w:hAnsi="Arial" w:cs="Arial"/>
          <w:sz w:val="24"/>
          <w:szCs w:val="24"/>
        </w:rPr>
        <w:t>him</w:t>
      </w:r>
      <w:r w:rsidR="00AA5B7A">
        <w:rPr>
          <w:rFonts w:ascii="Arial" w:hAnsi="Arial" w:cs="Arial"/>
          <w:sz w:val="24"/>
          <w:szCs w:val="24"/>
        </w:rPr>
        <w:t>.</w:t>
      </w:r>
      <w:r w:rsidR="006404CE">
        <w:rPr>
          <w:rStyle w:val="FootnoteReference"/>
          <w:rFonts w:ascii="Arial" w:hAnsi="Arial" w:cs="Arial"/>
          <w:sz w:val="24"/>
          <w:szCs w:val="24"/>
        </w:rPr>
        <w:footnoteReference w:id="5"/>
      </w:r>
    </w:p>
    <w:p w:rsidR="00CC4D0B" w:rsidRDefault="00CC4D0B" w:rsidP="001337D7">
      <w:pPr>
        <w:pStyle w:val="BodyText"/>
        <w:autoSpaceDE w:val="0"/>
        <w:autoSpaceDN w:val="0"/>
        <w:adjustRightInd w:val="0"/>
        <w:spacing w:line="480" w:lineRule="auto"/>
        <w:jc w:val="both"/>
        <w:rPr>
          <w:rFonts w:ascii="Arial" w:hAnsi="Arial" w:cs="Arial"/>
        </w:rPr>
      </w:pPr>
    </w:p>
    <w:p w:rsidR="00AD201C" w:rsidRDefault="0065063B"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t xml:space="preserve">As to the </w:t>
      </w:r>
      <w:r w:rsidR="008E6AAA">
        <w:rPr>
          <w:rFonts w:ascii="Arial" w:hAnsi="Arial" w:cs="Arial"/>
        </w:rPr>
        <w:t xml:space="preserve">alternative claim of malicious continuation of the prosecution the High Court relied on </w:t>
      </w:r>
      <w:r w:rsidR="008E6AAA" w:rsidRPr="00934B2B">
        <w:rPr>
          <w:rFonts w:ascii="Arial" w:hAnsi="Arial" w:cs="Arial"/>
          <w:i/>
        </w:rPr>
        <w:t>Mahupelo</w:t>
      </w:r>
      <w:r w:rsidR="00311505">
        <w:rPr>
          <w:rFonts w:ascii="Arial" w:hAnsi="Arial" w:cs="Arial"/>
          <w:i/>
        </w:rPr>
        <w:t>-</w:t>
      </w:r>
      <w:r w:rsidR="00740CFC">
        <w:rPr>
          <w:rFonts w:ascii="Arial" w:hAnsi="Arial" w:cs="Arial"/>
          <w:i/>
        </w:rPr>
        <w:t xml:space="preserve">High Court </w:t>
      </w:r>
      <w:r w:rsidR="008E6AAA">
        <w:rPr>
          <w:rFonts w:ascii="Arial" w:hAnsi="Arial" w:cs="Arial"/>
        </w:rPr>
        <w:t xml:space="preserve">and </w:t>
      </w:r>
      <w:r w:rsidR="008E6AAA" w:rsidRPr="00934B2B">
        <w:rPr>
          <w:rFonts w:ascii="Arial" w:hAnsi="Arial" w:cs="Arial"/>
          <w:i/>
        </w:rPr>
        <w:t>Makapa</w:t>
      </w:r>
      <w:r w:rsidR="00934B2B">
        <w:rPr>
          <w:rStyle w:val="FootnoteReference"/>
          <w:rFonts w:ascii="Arial" w:hAnsi="Arial" w:cs="Arial"/>
          <w:i/>
        </w:rPr>
        <w:footnoteReference w:id="6"/>
      </w:r>
      <w:r w:rsidR="00934B2B">
        <w:rPr>
          <w:rFonts w:ascii="Arial" w:hAnsi="Arial" w:cs="Arial"/>
        </w:rPr>
        <w:t xml:space="preserve"> which were on appeal at the time</w:t>
      </w:r>
      <w:r w:rsidR="00AD201C">
        <w:rPr>
          <w:rFonts w:ascii="Arial" w:hAnsi="Arial" w:cs="Arial"/>
        </w:rPr>
        <w:t xml:space="preserve">. </w:t>
      </w:r>
      <w:r w:rsidR="00934B2B">
        <w:rPr>
          <w:rFonts w:ascii="Arial" w:hAnsi="Arial" w:cs="Arial"/>
        </w:rPr>
        <w:t xml:space="preserve">The High Court </w:t>
      </w:r>
      <w:r w:rsidR="00403102">
        <w:rPr>
          <w:rFonts w:ascii="Arial" w:hAnsi="Arial" w:cs="Arial"/>
        </w:rPr>
        <w:t>held the view that</w:t>
      </w:r>
      <w:r w:rsidR="00F14FC1">
        <w:rPr>
          <w:rFonts w:ascii="Arial" w:hAnsi="Arial" w:cs="Arial"/>
        </w:rPr>
        <w:t>,</w:t>
      </w:r>
      <w:r w:rsidR="0078760C">
        <w:rPr>
          <w:rFonts w:ascii="Arial" w:hAnsi="Arial" w:cs="Arial"/>
        </w:rPr>
        <w:t xml:space="preserve"> apart from the fact that the authorities referred to in </w:t>
      </w:r>
      <w:r w:rsidR="00F14FC1">
        <w:rPr>
          <w:rFonts w:ascii="Arial" w:hAnsi="Arial" w:cs="Arial"/>
        </w:rPr>
        <w:t>these two High Court j</w:t>
      </w:r>
      <w:r w:rsidR="00740CFC">
        <w:rPr>
          <w:rFonts w:ascii="Arial" w:hAnsi="Arial" w:cs="Arial"/>
        </w:rPr>
        <w:t xml:space="preserve">udgments </w:t>
      </w:r>
      <w:r w:rsidR="0078760C">
        <w:rPr>
          <w:rFonts w:ascii="Arial" w:hAnsi="Arial" w:cs="Arial"/>
        </w:rPr>
        <w:t>have been applicable for decades, there was no reason why they should not be considered as they remain law until set aside by the Supreme Court</w:t>
      </w:r>
      <w:r w:rsidR="00AD201C">
        <w:rPr>
          <w:rFonts w:ascii="Arial" w:hAnsi="Arial" w:cs="Arial"/>
        </w:rPr>
        <w:t xml:space="preserve">. </w:t>
      </w:r>
      <w:r w:rsidR="002141DB">
        <w:rPr>
          <w:rFonts w:ascii="Arial" w:hAnsi="Arial" w:cs="Arial"/>
        </w:rPr>
        <w:t xml:space="preserve">The </w:t>
      </w:r>
      <w:r w:rsidR="007149CE">
        <w:rPr>
          <w:rFonts w:ascii="Arial" w:hAnsi="Arial" w:cs="Arial"/>
        </w:rPr>
        <w:t>c</w:t>
      </w:r>
      <w:r w:rsidR="002141DB">
        <w:rPr>
          <w:rFonts w:ascii="Arial" w:hAnsi="Arial" w:cs="Arial"/>
        </w:rPr>
        <w:t xml:space="preserve">ourt said that the facts upon which </w:t>
      </w:r>
      <w:r w:rsidR="00730F8D">
        <w:rPr>
          <w:rFonts w:ascii="Arial" w:hAnsi="Arial" w:cs="Arial"/>
        </w:rPr>
        <w:t xml:space="preserve">the </w:t>
      </w:r>
      <w:r w:rsidR="002141DB">
        <w:rPr>
          <w:rFonts w:ascii="Arial" w:hAnsi="Arial" w:cs="Arial"/>
        </w:rPr>
        <w:t xml:space="preserve">findings </w:t>
      </w:r>
      <w:r w:rsidR="00740CFC">
        <w:rPr>
          <w:rFonts w:ascii="Arial" w:hAnsi="Arial" w:cs="Arial"/>
        </w:rPr>
        <w:t xml:space="preserve">were made in those cases </w:t>
      </w:r>
      <w:r w:rsidR="002141DB">
        <w:rPr>
          <w:rFonts w:ascii="Arial" w:hAnsi="Arial" w:cs="Arial"/>
        </w:rPr>
        <w:t xml:space="preserve">were exactly the same as </w:t>
      </w:r>
      <w:r w:rsidR="00740CFC">
        <w:rPr>
          <w:rFonts w:ascii="Arial" w:hAnsi="Arial" w:cs="Arial"/>
        </w:rPr>
        <w:t xml:space="preserve">those </w:t>
      </w:r>
      <w:r w:rsidR="00740CFC" w:rsidRPr="00BB558F">
        <w:rPr>
          <w:rFonts w:ascii="Arial" w:hAnsi="Arial" w:cs="Arial"/>
          <w:i/>
        </w:rPr>
        <w:t>in</w:t>
      </w:r>
      <w:r w:rsidR="00740CFC">
        <w:rPr>
          <w:rFonts w:ascii="Arial" w:hAnsi="Arial" w:cs="Arial"/>
        </w:rPr>
        <w:t xml:space="preserve"> </w:t>
      </w:r>
      <w:r w:rsidR="002141DB" w:rsidRPr="002141DB">
        <w:rPr>
          <w:rFonts w:ascii="Arial" w:hAnsi="Arial" w:cs="Arial"/>
          <w:i/>
        </w:rPr>
        <w:t>casu.</w:t>
      </w:r>
      <w:r w:rsidR="002141DB" w:rsidRPr="00C617F0">
        <w:rPr>
          <w:rStyle w:val="FootnoteReference"/>
          <w:rFonts w:ascii="Arial" w:hAnsi="Arial" w:cs="Arial"/>
        </w:rPr>
        <w:footnoteReference w:id="7"/>
      </w:r>
      <w:r w:rsidR="00AD201C">
        <w:rPr>
          <w:rFonts w:ascii="Arial" w:hAnsi="Arial" w:cs="Arial"/>
        </w:rPr>
        <w:t xml:space="preserve"> </w:t>
      </w:r>
      <w:r w:rsidR="00740CFC">
        <w:rPr>
          <w:rFonts w:ascii="Arial" w:hAnsi="Arial" w:cs="Arial"/>
        </w:rPr>
        <w:t xml:space="preserve">Thus, the </w:t>
      </w:r>
      <w:r w:rsidR="00AD201C">
        <w:rPr>
          <w:rFonts w:ascii="Arial" w:hAnsi="Arial" w:cs="Arial"/>
        </w:rPr>
        <w:t>High Court</w:t>
      </w:r>
      <w:r w:rsidR="00740CFC">
        <w:rPr>
          <w:rFonts w:ascii="Arial" w:hAnsi="Arial" w:cs="Arial"/>
        </w:rPr>
        <w:t xml:space="preserve"> </w:t>
      </w:r>
      <w:r w:rsidR="00AD201C">
        <w:rPr>
          <w:rFonts w:ascii="Arial" w:hAnsi="Arial" w:cs="Arial"/>
        </w:rPr>
        <w:t xml:space="preserve">endorsed the </w:t>
      </w:r>
      <w:r w:rsidR="00740CFC">
        <w:rPr>
          <w:rFonts w:ascii="Arial" w:hAnsi="Arial" w:cs="Arial"/>
        </w:rPr>
        <w:t xml:space="preserve">approach and </w:t>
      </w:r>
      <w:r w:rsidR="00F14FC1">
        <w:rPr>
          <w:rFonts w:ascii="Arial" w:hAnsi="Arial" w:cs="Arial"/>
        </w:rPr>
        <w:t xml:space="preserve">the </w:t>
      </w:r>
      <w:r w:rsidR="00AD201C">
        <w:rPr>
          <w:rFonts w:ascii="Arial" w:hAnsi="Arial" w:cs="Arial"/>
        </w:rPr>
        <w:t>decisions in th</w:t>
      </w:r>
      <w:r w:rsidR="00CB28C2">
        <w:rPr>
          <w:rFonts w:ascii="Arial" w:hAnsi="Arial" w:cs="Arial"/>
        </w:rPr>
        <w:t>e</w:t>
      </w:r>
      <w:r w:rsidR="00AD201C">
        <w:rPr>
          <w:rFonts w:ascii="Arial" w:hAnsi="Arial" w:cs="Arial"/>
        </w:rPr>
        <w:t xml:space="preserve"> two cases.</w:t>
      </w:r>
      <w:r w:rsidR="00AD201C">
        <w:rPr>
          <w:rStyle w:val="FootnoteReference"/>
          <w:rFonts w:ascii="Arial" w:hAnsi="Arial" w:cs="Arial"/>
        </w:rPr>
        <w:footnoteReference w:id="8"/>
      </w:r>
      <w:r w:rsidR="00AD201C">
        <w:rPr>
          <w:rFonts w:ascii="Arial" w:hAnsi="Arial" w:cs="Arial"/>
        </w:rPr>
        <w:t xml:space="preserve"> Notably, as will </w:t>
      </w:r>
      <w:r w:rsidR="00F14FC1">
        <w:rPr>
          <w:rFonts w:ascii="Arial" w:hAnsi="Arial" w:cs="Arial"/>
        </w:rPr>
        <w:t xml:space="preserve">be </w:t>
      </w:r>
      <w:r w:rsidR="00AD201C">
        <w:rPr>
          <w:rFonts w:ascii="Arial" w:hAnsi="Arial" w:cs="Arial"/>
        </w:rPr>
        <w:t>show</w:t>
      </w:r>
      <w:r w:rsidR="00F14FC1">
        <w:rPr>
          <w:rFonts w:ascii="Arial" w:hAnsi="Arial" w:cs="Arial"/>
        </w:rPr>
        <w:t>n in a while</w:t>
      </w:r>
      <w:r w:rsidR="00CA1F9E">
        <w:rPr>
          <w:rFonts w:ascii="Arial" w:hAnsi="Arial" w:cs="Arial"/>
        </w:rPr>
        <w:t>,</w:t>
      </w:r>
      <w:r w:rsidR="00AD201C">
        <w:rPr>
          <w:rFonts w:ascii="Arial" w:hAnsi="Arial" w:cs="Arial"/>
        </w:rPr>
        <w:t xml:space="preserve"> the decision in </w:t>
      </w:r>
      <w:r w:rsidR="00CA1F9E" w:rsidRPr="00CA1F9E">
        <w:rPr>
          <w:rFonts w:ascii="Arial" w:hAnsi="Arial" w:cs="Arial"/>
          <w:i/>
        </w:rPr>
        <w:t>Mahupelo</w:t>
      </w:r>
      <w:r w:rsidR="00CA1F9E">
        <w:rPr>
          <w:rFonts w:ascii="Arial" w:hAnsi="Arial" w:cs="Arial"/>
        </w:rPr>
        <w:t xml:space="preserve"> has</w:t>
      </w:r>
      <w:r w:rsidR="00AD201C">
        <w:rPr>
          <w:rFonts w:ascii="Arial" w:hAnsi="Arial" w:cs="Arial"/>
        </w:rPr>
        <w:t xml:space="preserve"> since been reversed by the Supreme Court.</w:t>
      </w:r>
    </w:p>
    <w:p w:rsidR="00CC4D0B" w:rsidRDefault="00CC4D0B" w:rsidP="001337D7">
      <w:pPr>
        <w:pStyle w:val="BodyText"/>
        <w:autoSpaceDE w:val="0"/>
        <w:autoSpaceDN w:val="0"/>
        <w:adjustRightInd w:val="0"/>
        <w:spacing w:line="480" w:lineRule="auto"/>
        <w:jc w:val="both"/>
        <w:rPr>
          <w:rFonts w:ascii="Arial" w:hAnsi="Arial" w:cs="Arial"/>
        </w:rPr>
      </w:pPr>
    </w:p>
    <w:p w:rsidR="00291669" w:rsidRDefault="00F14FC1"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t xml:space="preserve">In deciding the </w:t>
      </w:r>
      <w:r w:rsidR="00CB28C2">
        <w:rPr>
          <w:rFonts w:ascii="Arial" w:hAnsi="Arial" w:cs="Arial"/>
        </w:rPr>
        <w:t>alternative claim t</w:t>
      </w:r>
      <w:r w:rsidR="00F47CE1">
        <w:rPr>
          <w:rFonts w:ascii="Arial" w:hAnsi="Arial" w:cs="Arial"/>
        </w:rPr>
        <w:t>he</w:t>
      </w:r>
      <w:r w:rsidR="00AD201C">
        <w:rPr>
          <w:rFonts w:ascii="Arial" w:hAnsi="Arial" w:cs="Arial"/>
        </w:rPr>
        <w:t xml:space="preserve"> High Court</w:t>
      </w:r>
      <w:r w:rsidR="00F47CE1">
        <w:rPr>
          <w:rFonts w:ascii="Arial" w:hAnsi="Arial" w:cs="Arial"/>
        </w:rPr>
        <w:t xml:space="preserve"> </w:t>
      </w:r>
      <w:r w:rsidR="00D01ED6">
        <w:rPr>
          <w:rFonts w:ascii="Arial" w:hAnsi="Arial" w:cs="Arial"/>
        </w:rPr>
        <w:t>questioned:</w:t>
      </w:r>
      <w:r>
        <w:rPr>
          <w:rFonts w:ascii="Arial" w:hAnsi="Arial" w:cs="Arial"/>
        </w:rPr>
        <w:t xml:space="preserve"> if probable cause exists </w:t>
      </w:r>
      <w:r w:rsidR="00995E59">
        <w:rPr>
          <w:rFonts w:ascii="Arial" w:hAnsi="Arial" w:cs="Arial"/>
        </w:rPr>
        <w:t xml:space="preserve">initially, </w:t>
      </w:r>
      <w:r w:rsidR="00F47CE1">
        <w:rPr>
          <w:rFonts w:ascii="Arial" w:hAnsi="Arial" w:cs="Arial"/>
        </w:rPr>
        <w:t xml:space="preserve">but </w:t>
      </w:r>
      <w:r w:rsidR="00995E59">
        <w:rPr>
          <w:rFonts w:ascii="Arial" w:hAnsi="Arial" w:cs="Arial"/>
        </w:rPr>
        <w:t xml:space="preserve">during the course of the criminal prosecution it becomes clear that </w:t>
      </w:r>
      <w:r w:rsidR="00852BC2" w:rsidRPr="00460267">
        <w:rPr>
          <w:rFonts w:ascii="Arial" w:hAnsi="Arial" w:cs="Arial"/>
        </w:rPr>
        <w:t>t</w:t>
      </w:r>
      <w:r w:rsidR="00995E59" w:rsidRPr="00460267">
        <w:rPr>
          <w:rFonts w:ascii="Arial" w:hAnsi="Arial" w:cs="Arial"/>
        </w:rPr>
        <w:t>here</w:t>
      </w:r>
      <w:r w:rsidR="00995E59">
        <w:rPr>
          <w:rFonts w:ascii="Arial" w:hAnsi="Arial" w:cs="Arial"/>
        </w:rPr>
        <w:t xml:space="preserve"> is no probable cause to continue such prosecution, is there any liability when a party maintains the action thereafter?</w:t>
      </w:r>
      <w:r w:rsidR="00B22A6B">
        <w:rPr>
          <w:rStyle w:val="FootnoteReference"/>
          <w:rFonts w:ascii="Arial" w:hAnsi="Arial" w:cs="Arial"/>
        </w:rPr>
        <w:footnoteReference w:id="9"/>
      </w:r>
      <w:r w:rsidR="00AD201C">
        <w:rPr>
          <w:rFonts w:ascii="Arial" w:hAnsi="Arial" w:cs="Arial"/>
        </w:rPr>
        <w:t xml:space="preserve"> The </w:t>
      </w:r>
      <w:r w:rsidR="007149CE">
        <w:rPr>
          <w:rFonts w:ascii="Arial" w:hAnsi="Arial" w:cs="Arial"/>
        </w:rPr>
        <w:t>c</w:t>
      </w:r>
      <w:r w:rsidR="00AD201C">
        <w:rPr>
          <w:rFonts w:ascii="Arial" w:hAnsi="Arial" w:cs="Arial"/>
        </w:rPr>
        <w:t>ourt,</w:t>
      </w:r>
      <w:r w:rsidR="00291669">
        <w:rPr>
          <w:rFonts w:ascii="Arial" w:hAnsi="Arial" w:cs="Arial"/>
        </w:rPr>
        <w:t xml:space="preserve"> </w:t>
      </w:r>
      <w:r w:rsidR="00AD201C">
        <w:rPr>
          <w:rFonts w:ascii="Arial" w:hAnsi="Arial" w:cs="Arial"/>
        </w:rPr>
        <w:t>having considered the legal pr</w:t>
      </w:r>
      <w:r w:rsidR="00291669">
        <w:rPr>
          <w:rFonts w:ascii="Arial" w:hAnsi="Arial" w:cs="Arial"/>
        </w:rPr>
        <w:t>incipl</w:t>
      </w:r>
      <w:r w:rsidR="00AD201C">
        <w:rPr>
          <w:rFonts w:ascii="Arial" w:hAnsi="Arial" w:cs="Arial"/>
        </w:rPr>
        <w:t xml:space="preserve">es </w:t>
      </w:r>
      <w:r w:rsidR="00CB28C2">
        <w:rPr>
          <w:rFonts w:ascii="Arial" w:hAnsi="Arial" w:cs="Arial"/>
        </w:rPr>
        <w:t xml:space="preserve">set out </w:t>
      </w:r>
      <w:r w:rsidR="00AD201C">
        <w:rPr>
          <w:rFonts w:ascii="Arial" w:hAnsi="Arial" w:cs="Arial"/>
        </w:rPr>
        <w:t xml:space="preserve">in </w:t>
      </w:r>
      <w:r w:rsidR="00CA1F9E">
        <w:rPr>
          <w:rFonts w:ascii="Arial" w:hAnsi="Arial" w:cs="Arial"/>
          <w:i/>
        </w:rPr>
        <w:t>State of New South W</w:t>
      </w:r>
      <w:r w:rsidR="00AA5DF7" w:rsidRPr="00AA5DF7">
        <w:rPr>
          <w:rFonts w:ascii="Arial" w:hAnsi="Arial" w:cs="Arial"/>
          <w:i/>
        </w:rPr>
        <w:t>ales</w:t>
      </w:r>
      <w:r w:rsidR="00AA5DF7" w:rsidRPr="00BB558F">
        <w:rPr>
          <w:rStyle w:val="FootnoteReference"/>
          <w:rFonts w:ascii="Arial" w:hAnsi="Arial" w:cs="Arial"/>
        </w:rPr>
        <w:footnoteReference w:id="10"/>
      </w:r>
      <w:r w:rsidR="00291669" w:rsidRPr="00BB558F">
        <w:rPr>
          <w:rFonts w:ascii="Arial" w:hAnsi="Arial" w:cs="Arial"/>
        </w:rPr>
        <w:t xml:space="preserve"> </w:t>
      </w:r>
      <w:r w:rsidR="00291669">
        <w:rPr>
          <w:rFonts w:ascii="Arial" w:hAnsi="Arial" w:cs="Arial"/>
        </w:rPr>
        <w:t xml:space="preserve">and delineated </w:t>
      </w:r>
      <w:r>
        <w:rPr>
          <w:rFonts w:ascii="Arial" w:hAnsi="Arial" w:cs="Arial"/>
        </w:rPr>
        <w:t xml:space="preserve">in </w:t>
      </w:r>
      <w:r w:rsidRPr="00F14FC1">
        <w:rPr>
          <w:rFonts w:ascii="Arial" w:hAnsi="Arial" w:cs="Arial"/>
          <w:i/>
        </w:rPr>
        <w:t>Mahupelo</w:t>
      </w:r>
      <w:r w:rsidR="00291669">
        <w:rPr>
          <w:rFonts w:ascii="Arial" w:hAnsi="Arial" w:cs="Arial"/>
        </w:rPr>
        <w:t>, remarked:</w:t>
      </w:r>
    </w:p>
    <w:p w:rsidR="005D5EEF" w:rsidRDefault="005D5EEF" w:rsidP="00CC4D0B">
      <w:pPr>
        <w:pStyle w:val="BodyText"/>
        <w:autoSpaceDE w:val="0"/>
        <w:autoSpaceDN w:val="0"/>
        <w:adjustRightInd w:val="0"/>
        <w:spacing w:line="480" w:lineRule="auto"/>
        <w:jc w:val="both"/>
        <w:rPr>
          <w:rFonts w:ascii="Arial" w:hAnsi="Arial" w:cs="Arial"/>
        </w:rPr>
      </w:pPr>
    </w:p>
    <w:p w:rsidR="00657577" w:rsidRPr="00657577" w:rsidRDefault="00291669" w:rsidP="001337D7">
      <w:pPr>
        <w:pStyle w:val="BodyText"/>
        <w:autoSpaceDE w:val="0"/>
        <w:autoSpaceDN w:val="0"/>
        <w:adjustRightInd w:val="0"/>
        <w:spacing w:line="360" w:lineRule="auto"/>
        <w:ind w:left="720"/>
        <w:jc w:val="both"/>
        <w:rPr>
          <w:rFonts w:ascii="Arial" w:hAnsi="Arial" w:cs="Arial"/>
          <w:sz w:val="22"/>
          <w:szCs w:val="22"/>
        </w:rPr>
      </w:pPr>
      <w:r w:rsidRPr="00657577">
        <w:rPr>
          <w:rFonts w:ascii="Arial" w:hAnsi="Arial" w:cs="Arial"/>
          <w:sz w:val="22"/>
          <w:szCs w:val="22"/>
        </w:rPr>
        <w:lastRenderedPageBreak/>
        <w:t>‘What is of concern that even</w:t>
      </w:r>
      <w:r w:rsidR="00657577">
        <w:rPr>
          <w:rFonts w:ascii="Arial" w:hAnsi="Arial" w:cs="Arial"/>
          <w:sz w:val="22"/>
          <w:szCs w:val="22"/>
        </w:rPr>
        <w:t xml:space="preserve"> </w:t>
      </w:r>
      <w:r w:rsidRPr="00657577">
        <w:rPr>
          <w:rFonts w:ascii="Arial" w:hAnsi="Arial" w:cs="Arial"/>
          <w:sz w:val="22"/>
          <w:szCs w:val="22"/>
        </w:rPr>
        <w:t>after appraisal of the matter in November 2010 when the realisation d</w:t>
      </w:r>
      <w:r w:rsidR="00657577">
        <w:rPr>
          <w:rFonts w:ascii="Arial" w:hAnsi="Arial" w:cs="Arial"/>
          <w:sz w:val="22"/>
          <w:szCs w:val="22"/>
        </w:rPr>
        <w:t>awned o</w:t>
      </w:r>
      <w:r w:rsidRPr="00657577">
        <w:rPr>
          <w:rFonts w:ascii="Arial" w:hAnsi="Arial" w:cs="Arial"/>
          <w:sz w:val="22"/>
          <w:szCs w:val="22"/>
        </w:rPr>
        <w:t>n the prosecuting authority that there were gaps in the State’s case and the court refused to allow further statements obtained to be used in evidence, they still persi</w:t>
      </w:r>
      <w:r w:rsidR="00657577">
        <w:rPr>
          <w:rFonts w:ascii="Arial" w:hAnsi="Arial" w:cs="Arial"/>
          <w:sz w:val="22"/>
          <w:szCs w:val="22"/>
        </w:rPr>
        <w:t>s</w:t>
      </w:r>
      <w:r w:rsidRPr="00657577">
        <w:rPr>
          <w:rFonts w:ascii="Arial" w:hAnsi="Arial" w:cs="Arial"/>
          <w:sz w:val="22"/>
          <w:szCs w:val="22"/>
        </w:rPr>
        <w:t>ted to oppose an application in ter</w:t>
      </w:r>
      <w:r w:rsidR="00F66150">
        <w:rPr>
          <w:rFonts w:ascii="Arial" w:hAnsi="Arial" w:cs="Arial"/>
          <w:sz w:val="22"/>
          <w:szCs w:val="22"/>
        </w:rPr>
        <w:t>ms of s</w:t>
      </w:r>
      <w:r w:rsidR="00786A96">
        <w:rPr>
          <w:rFonts w:ascii="Arial" w:hAnsi="Arial" w:cs="Arial"/>
          <w:sz w:val="22"/>
          <w:szCs w:val="22"/>
        </w:rPr>
        <w:t xml:space="preserve"> </w:t>
      </w:r>
      <w:r w:rsidR="00657577" w:rsidRPr="00657577">
        <w:rPr>
          <w:rFonts w:ascii="Arial" w:hAnsi="Arial" w:cs="Arial"/>
          <w:sz w:val="22"/>
          <w:szCs w:val="22"/>
        </w:rPr>
        <w:t>174 of the [the CPA]. This was apparently on the off chance that the [respondent] could be implicated by co-accused persons.’</w:t>
      </w:r>
      <w:r w:rsidR="00657577">
        <w:rPr>
          <w:rStyle w:val="FootnoteReference"/>
          <w:rFonts w:ascii="Arial" w:hAnsi="Arial" w:cs="Arial"/>
          <w:sz w:val="22"/>
          <w:szCs w:val="22"/>
        </w:rPr>
        <w:footnoteReference w:id="11"/>
      </w:r>
    </w:p>
    <w:p w:rsidR="00CC4D0B" w:rsidRDefault="00CC4D0B" w:rsidP="00CC4D0B">
      <w:pPr>
        <w:pStyle w:val="BodyText"/>
        <w:autoSpaceDE w:val="0"/>
        <w:autoSpaceDN w:val="0"/>
        <w:adjustRightInd w:val="0"/>
        <w:spacing w:line="480" w:lineRule="auto"/>
        <w:jc w:val="both"/>
        <w:rPr>
          <w:rFonts w:ascii="Arial" w:hAnsi="Arial" w:cs="Arial"/>
        </w:rPr>
      </w:pPr>
    </w:p>
    <w:p w:rsidR="005D49B9" w:rsidRPr="00FD13A4" w:rsidRDefault="005D49B9"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t xml:space="preserve">The High Court also relied on </w:t>
      </w:r>
      <w:r w:rsidRPr="005D49B9">
        <w:rPr>
          <w:rFonts w:ascii="Arial" w:hAnsi="Arial" w:cs="Arial"/>
          <w:i/>
        </w:rPr>
        <w:t>Zreika</w:t>
      </w:r>
      <w:r>
        <w:rPr>
          <w:rFonts w:ascii="Arial" w:hAnsi="Arial" w:cs="Arial"/>
          <w:i/>
        </w:rPr>
        <w:t xml:space="preserve"> </w:t>
      </w:r>
      <w:r w:rsidR="00786A96">
        <w:rPr>
          <w:rFonts w:ascii="Arial" w:hAnsi="Arial" w:cs="Arial"/>
          <w:i/>
        </w:rPr>
        <w:t>v State of New South W</w:t>
      </w:r>
      <w:r w:rsidRPr="005D49B9">
        <w:rPr>
          <w:rFonts w:ascii="Arial" w:hAnsi="Arial" w:cs="Arial"/>
          <w:i/>
        </w:rPr>
        <w:t>ales</w:t>
      </w:r>
      <w:r w:rsidRPr="00E47BE7">
        <w:rPr>
          <w:rStyle w:val="FootnoteReference"/>
          <w:rFonts w:ascii="Arial" w:hAnsi="Arial" w:cs="Arial"/>
        </w:rPr>
        <w:footnoteReference w:id="12"/>
      </w:r>
      <w:r w:rsidR="00FD13A4" w:rsidRPr="00E47BE7">
        <w:rPr>
          <w:rFonts w:ascii="Arial" w:hAnsi="Arial" w:cs="Arial"/>
        </w:rPr>
        <w:t xml:space="preserve"> </w:t>
      </w:r>
      <w:r w:rsidR="00FD13A4">
        <w:rPr>
          <w:rFonts w:ascii="Arial" w:hAnsi="Arial" w:cs="Arial"/>
        </w:rPr>
        <w:t xml:space="preserve">that when the police lacked a reasonable and probable cause from a certain </w:t>
      </w:r>
      <w:r w:rsidR="00FD13A4" w:rsidRPr="00460267">
        <w:rPr>
          <w:rFonts w:ascii="Arial" w:hAnsi="Arial" w:cs="Arial"/>
        </w:rPr>
        <w:t>date when</w:t>
      </w:r>
      <w:r w:rsidR="00852BC2" w:rsidRPr="00460267">
        <w:rPr>
          <w:rFonts w:ascii="Arial" w:hAnsi="Arial" w:cs="Arial"/>
        </w:rPr>
        <w:t>,</w:t>
      </w:r>
      <w:r w:rsidR="00FD13A4" w:rsidRPr="00460267">
        <w:rPr>
          <w:rFonts w:ascii="Arial" w:hAnsi="Arial" w:cs="Arial"/>
        </w:rPr>
        <w:t xml:space="preserve"> inter alia</w:t>
      </w:r>
      <w:r w:rsidR="00852BC2" w:rsidRPr="00460267">
        <w:rPr>
          <w:rFonts w:ascii="Arial" w:hAnsi="Arial" w:cs="Arial"/>
        </w:rPr>
        <w:t>,</w:t>
      </w:r>
      <w:r w:rsidR="00FD13A4">
        <w:rPr>
          <w:rFonts w:ascii="Arial" w:hAnsi="Arial" w:cs="Arial"/>
        </w:rPr>
        <w:t xml:space="preserve"> the State witnesses failed to </w:t>
      </w:r>
      <w:r w:rsidR="00FD13A4" w:rsidRPr="00143794">
        <w:rPr>
          <w:rFonts w:ascii="Arial" w:hAnsi="Arial" w:cs="Arial"/>
        </w:rPr>
        <w:t>identify the plaintiff as the perpetrator of the offence in a photo array which included a photograph of the plaintiff, then the prosecut</w:t>
      </w:r>
      <w:r w:rsidR="00730F8D">
        <w:rPr>
          <w:rFonts w:ascii="Arial" w:hAnsi="Arial" w:cs="Arial"/>
        </w:rPr>
        <w:t xml:space="preserve">or </w:t>
      </w:r>
      <w:r w:rsidR="00FD13A4" w:rsidRPr="00143794">
        <w:rPr>
          <w:rFonts w:ascii="Arial" w:hAnsi="Arial" w:cs="Arial"/>
        </w:rPr>
        <w:t>knew at that stage that the case lacked reasonable and probable cause but continued prosecuting hoping th</w:t>
      </w:r>
      <w:r w:rsidR="005D4F77" w:rsidRPr="00143794">
        <w:rPr>
          <w:rFonts w:ascii="Arial" w:hAnsi="Arial" w:cs="Arial"/>
        </w:rPr>
        <w:t>a</w:t>
      </w:r>
      <w:r w:rsidR="00FD13A4" w:rsidRPr="00143794">
        <w:rPr>
          <w:rFonts w:ascii="Arial" w:hAnsi="Arial" w:cs="Arial"/>
        </w:rPr>
        <w:t>t she would find enough evidence against the accused.</w:t>
      </w:r>
    </w:p>
    <w:p w:rsidR="005D49B9" w:rsidRDefault="005D49B9" w:rsidP="001337D7">
      <w:pPr>
        <w:pStyle w:val="BodyText"/>
        <w:autoSpaceDE w:val="0"/>
        <w:autoSpaceDN w:val="0"/>
        <w:adjustRightInd w:val="0"/>
        <w:spacing w:line="480" w:lineRule="auto"/>
        <w:jc w:val="both"/>
        <w:rPr>
          <w:rFonts w:ascii="Arial" w:hAnsi="Arial" w:cs="Arial"/>
        </w:rPr>
      </w:pPr>
    </w:p>
    <w:p w:rsidR="00CC4D0B" w:rsidRDefault="005D49B9"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t xml:space="preserve">The </w:t>
      </w:r>
      <w:r w:rsidR="007149CE">
        <w:rPr>
          <w:rFonts w:ascii="Arial" w:hAnsi="Arial" w:cs="Arial"/>
        </w:rPr>
        <w:t>c</w:t>
      </w:r>
      <w:r>
        <w:rPr>
          <w:rFonts w:ascii="Arial" w:hAnsi="Arial" w:cs="Arial"/>
        </w:rPr>
        <w:t xml:space="preserve">ourt </w:t>
      </w:r>
      <w:r w:rsidRPr="00FC1842">
        <w:rPr>
          <w:rFonts w:ascii="Arial" w:hAnsi="Arial" w:cs="Arial"/>
          <w:i/>
        </w:rPr>
        <w:t>a q</w:t>
      </w:r>
      <w:r w:rsidR="005D4F77" w:rsidRPr="00FC1842">
        <w:rPr>
          <w:rFonts w:ascii="Arial" w:hAnsi="Arial" w:cs="Arial"/>
          <w:i/>
        </w:rPr>
        <w:t>uo</w:t>
      </w:r>
      <w:r w:rsidR="005D4F77">
        <w:rPr>
          <w:rFonts w:ascii="Arial" w:hAnsi="Arial" w:cs="Arial"/>
        </w:rPr>
        <w:t xml:space="preserve"> concluded that the respondent</w:t>
      </w:r>
      <w:r>
        <w:rPr>
          <w:rFonts w:ascii="Arial" w:hAnsi="Arial" w:cs="Arial"/>
        </w:rPr>
        <w:t xml:space="preserve"> made a case on the balance of probabilities on the alternative claim based on wrongful and malicious continuation of the prosecution as from 17 November 2005, or 2 Feb</w:t>
      </w:r>
      <w:r w:rsidR="005D4F77">
        <w:rPr>
          <w:rFonts w:ascii="Arial" w:hAnsi="Arial" w:cs="Arial"/>
        </w:rPr>
        <w:t xml:space="preserve">ruary </w:t>
      </w:r>
      <w:r>
        <w:rPr>
          <w:rFonts w:ascii="Arial" w:hAnsi="Arial" w:cs="Arial"/>
        </w:rPr>
        <w:t xml:space="preserve">2006 only against the second </w:t>
      </w:r>
      <w:r w:rsidR="00786A96">
        <w:rPr>
          <w:rFonts w:ascii="Arial" w:hAnsi="Arial" w:cs="Arial"/>
        </w:rPr>
        <w:t>appellant’s and/or her prosecutorial team</w:t>
      </w:r>
      <w:r>
        <w:rPr>
          <w:rStyle w:val="FootnoteReference"/>
          <w:rFonts w:ascii="Arial" w:hAnsi="Arial" w:cs="Arial"/>
        </w:rPr>
        <w:footnoteReference w:id="13"/>
      </w:r>
      <w:r>
        <w:rPr>
          <w:rFonts w:ascii="Arial" w:hAnsi="Arial" w:cs="Arial"/>
        </w:rPr>
        <w:t xml:space="preserve"> and in light of this conclusion </w:t>
      </w:r>
      <w:r w:rsidR="00F14FC1">
        <w:rPr>
          <w:rFonts w:ascii="Arial" w:hAnsi="Arial" w:cs="Arial"/>
        </w:rPr>
        <w:t xml:space="preserve">it decided </w:t>
      </w:r>
      <w:r>
        <w:rPr>
          <w:rFonts w:ascii="Arial" w:hAnsi="Arial" w:cs="Arial"/>
        </w:rPr>
        <w:t xml:space="preserve">not </w:t>
      </w:r>
      <w:r w:rsidR="0029399D">
        <w:rPr>
          <w:rFonts w:ascii="Arial" w:hAnsi="Arial" w:cs="Arial"/>
        </w:rPr>
        <w:t xml:space="preserve">to </w:t>
      </w:r>
      <w:r>
        <w:rPr>
          <w:rFonts w:ascii="Arial" w:hAnsi="Arial" w:cs="Arial"/>
        </w:rPr>
        <w:t xml:space="preserve">pronounce on the further alternative relating to the </w:t>
      </w:r>
      <w:r w:rsidR="00F14FC1">
        <w:rPr>
          <w:rFonts w:ascii="Arial" w:hAnsi="Arial" w:cs="Arial"/>
        </w:rPr>
        <w:t xml:space="preserve">alleged </w:t>
      </w:r>
      <w:r>
        <w:rPr>
          <w:rFonts w:ascii="Arial" w:hAnsi="Arial" w:cs="Arial"/>
        </w:rPr>
        <w:t>infringement of the constitutional rights of the respondent.</w:t>
      </w:r>
    </w:p>
    <w:p w:rsidR="005D4F77" w:rsidRDefault="005D4F77" w:rsidP="001337D7">
      <w:pPr>
        <w:pStyle w:val="BodyText"/>
        <w:autoSpaceDE w:val="0"/>
        <w:autoSpaceDN w:val="0"/>
        <w:adjustRightInd w:val="0"/>
        <w:spacing w:line="480" w:lineRule="auto"/>
        <w:jc w:val="both"/>
        <w:rPr>
          <w:rFonts w:ascii="Arial" w:hAnsi="Arial" w:cs="Arial"/>
        </w:rPr>
      </w:pPr>
    </w:p>
    <w:p w:rsidR="006B2AE2" w:rsidRDefault="005D4F77" w:rsidP="001337D7">
      <w:pPr>
        <w:pStyle w:val="BodyText"/>
        <w:autoSpaceDE w:val="0"/>
        <w:autoSpaceDN w:val="0"/>
        <w:adjustRightInd w:val="0"/>
        <w:spacing w:line="480" w:lineRule="auto"/>
        <w:jc w:val="both"/>
        <w:rPr>
          <w:rFonts w:ascii="Arial" w:hAnsi="Arial" w:cs="Arial"/>
        </w:rPr>
      </w:pPr>
      <w:r w:rsidRPr="005D4F77">
        <w:rPr>
          <w:rFonts w:ascii="Arial" w:hAnsi="Arial" w:cs="Arial"/>
          <w:u w:val="single"/>
        </w:rPr>
        <w:t>On appeal</w:t>
      </w:r>
    </w:p>
    <w:p w:rsidR="006B2AE2" w:rsidRPr="006B2AE2" w:rsidRDefault="003E341E" w:rsidP="001337D7">
      <w:pPr>
        <w:pStyle w:val="BodyText"/>
        <w:autoSpaceDE w:val="0"/>
        <w:autoSpaceDN w:val="0"/>
        <w:adjustRightInd w:val="0"/>
        <w:spacing w:line="480" w:lineRule="auto"/>
        <w:jc w:val="both"/>
        <w:rPr>
          <w:rFonts w:ascii="Arial" w:hAnsi="Arial" w:cs="Arial"/>
          <w:i/>
        </w:rPr>
      </w:pPr>
      <w:r>
        <w:rPr>
          <w:rFonts w:ascii="Arial" w:hAnsi="Arial" w:cs="Arial"/>
          <w:i/>
        </w:rPr>
        <w:t>Parties’ s</w:t>
      </w:r>
      <w:r w:rsidR="006B2AE2" w:rsidRPr="006B2AE2">
        <w:rPr>
          <w:rFonts w:ascii="Arial" w:hAnsi="Arial" w:cs="Arial"/>
          <w:i/>
        </w:rPr>
        <w:t>ubmissions</w:t>
      </w:r>
    </w:p>
    <w:p w:rsidR="006D2942" w:rsidRDefault="00EA3E96"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lastRenderedPageBreak/>
        <w:t>T</w:t>
      </w:r>
      <w:r w:rsidR="006D2942">
        <w:rPr>
          <w:rFonts w:ascii="Arial" w:hAnsi="Arial" w:cs="Arial"/>
        </w:rPr>
        <w:t xml:space="preserve">he appellants agree with the </w:t>
      </w:r>
      <w:r w:rsidR="007149CE">
        <w:rPr>
          <w:rFonts w:ascii="Arial" w:hAnsi="Arial" w:cs="Arial"/>
        </w:rPr>
        <w:t>c</w:t>
      </w:r>
      <w:r w:rsidR="006D2942">
        <w:rPr>
          <w:rFonts w:ascii="Arial" w:hAnsi="Arial" w:cs="Arial"/>
        </w:rPr>
        <w:t xml:space="preserve">ourt </w:t>
      </w:r>
      <w:r w:rsidR="006D2942" w:rsidRPr="00FC1842">
        <w:rPr>
          <w:rFonts w:ascii="Arial" w:hAnsi="Arial" w:cs="Arial"/>
          <w:i/>
        </w:rPr>
        <w:t>a quo</w:t>
      </w:r>
      <w:r w:rsidR="006D2942">
        <w:rPr>
          <w:rFonts w:ascii="Arial" w:hAnsi="Arial" w:cs="Arial"/>
        </w:rPr>
        <w:t>’s decisions dismissing the respondent’s claims against the first appellant for malicious prosecution and instituting criminal proc</w:t>
      </w:r>
      <w:r w:rsidR="005010FD">
        <w:rPr>
          <w:rFonts w:ascii="Arial" w:hAnsi="Arial" w:cs="Arial"/>
        </w:rPr>
        <w:t>eedings against the respondent.</w:t>
      </w:r>
      <w:r>
        <w:rPr>
          <w:rFonts w:ascii="Arial" w:hAnsi="Arial" w:cs="Arial"/>
        </w:rPr>
        <w:t xml:space="preserve"> They support the findings that there were no ‘sound reasons advanced by the [respondent] as to why the prosecution team had to disbelieve the statements under oath at their disposal’</w:t>
      </w:r>
      <w:r w:rsidR="005C4087">
        <w:rPr>
          <w:rFonts w:ascii="Arial" w:hAnsi="Arial" w:cs="Arial"/>
        </w:rPr>
        <w:t xml:space="preserve">; </w:t>
      </w:r>
      <w:r>
        <w:rPr>
          <w:rFonts w:ascii="Arial" w:hAnsi="Arial" w:cs="Arial"/>
        </w:rPr>
        <w:t xml:space="preserve">that ‘Mr July comprehensively [set out] the facts on which the decision by the [second appellant] was based to prosecute the [respondent] and </w:t>
      </w:r>
      <w:r w:rsidR="005C4087">
        <w:rPr>
          <w:rFonts w:ascii="Arial" w:hAnsi="Arial" w:cs="Arial"/>
        </w:rPr>
        <w:t xml:space="preserve">that </w:t>
      </w:r>
      <w:r>
        <w:rPr>
          <w:rFonts w:ascii="Arial" w:hAnsi="Arial" w:cs="Arial"/>
        </w:rPr>
        <w:t>there was reasonable and pro</w:t>
      </w:r>
      <w:r w:rsidR="00786A96">
        <w:rPr>
          <w:rFonts w:ascii="Arial" w:hAnsi="Arial" w:cs="Arial"/>
        </w:rPr>
        <w:t>bable cause for the prosecution</w:t>
      </w:r>
      <w:r>
        <w:rPr>
          <w:rFonts w:ascii="Arial" w:hAnsi="Arial" w:cs="Arial"/>
        </w:rPr>
        <w:t>’</w:t>
      </w:r>
      <w:r w:rsidR="00786A96">
        <w:rPr>
          <w:rFonts w:ascii="Arial" w:hAnsi="Arial" w:cs="Arial"/>
        </w:rPr>
        <w:t>.</w:t>
      </w:r>
      <w:r>
        <w:rPr>
          <w:rFonts w:ascii="Arial" w:hAnsi="Arial" w:cs="Arial"/>
        </w:rPr>
        <w:t xml:space="preserve"> </w:t>
      </w:r>
      <w:r w:rsidR="00AA5B7A" w:rsidRPr="001551E1">
        <w:rPr>
          <w:rFonts w:ascii="Arial" w:hAnsi="Arial" w:cs="Arial"/>
        </w:rPr>
        <w:t>The appellants also</w:t>
      </w:r>
      <w:r w:rsidR="002A1067" w:rsidRPr="001551E1">
        <w:rPr>
          <w:rFonts w:ascii="Arial" w:hAnsi="Arial" w:cs="Arial"/>
        </w:rPr>
        <w:t xml:space="preserve"> agreed with the </w:t>
      </w:r>
      <w:r w:rsidR="00AA5B7A" w:rsidRPr="001551E1">
        <w:rPr>
          <w:rFonts w:ascii="Arial" w:hAnsi="Arial" w:cs="Arial"/>
        </w:rPr>
        <w:t>High Court’s finding that the respondent failed to prove</w:t>
      </w:r>
      <w:r w:rsidR="002A1067" w:rsidRPr="001551E1">
        <w:rPr>
          <w:rFonts w:ascii="Arial" w:hAnsi="Arial" w:cs="Arial"/>
        </w:rPr>
        <w:t>, on a balance of probabilities,</w:t>
      </w:r>
      <w:r w:rsidR="00460267">
        <w:rPr>
          <w:rFonts w:ascii="Arial" w:hAnsi="Arial" w:cs="Arial"/>
        </w:rPr>
        <w:t xml:space="preserve"> </w:t>
      </w:r>
      <w:r w:rsidR="00AA5B7A" w:rsidRPr="001551E1">
        <w:rPr>
          <w:rFonts w:ascii="Arial" w:hAnsi="Arial" w:cs="Arial"/>
        </w:rPr>
        <w:t>that the second appellant acted with malice</w:t>
      </w:r>
      <w:r w:rsidR="002A1067" w:rsidRPr="001551E1">
        <w:rPr>
          <w:rFonts w:ascii="Arial" w:hAnsi="Arial" w:cs="Arial"/>
        </w:rPr>
        <w:t xml:space="preserve"> when she</w:t>
      </w:r>
      <w:r w:rsidR="00AA5B7A" w:rsidRPr="001551E1">
        <w:rPr>
          <w:rFonts w:ascii="Arial" w:hAnsi="Arial" w:cs="Arial"/>
        </w:rPr>
        <w:t xml:space="preserve"> initiat</w:t>
      </w:r>
      <w:r w:rsidR="002A1067" w:rsidRPr="001551E1">
        <w:rPr>
          <w:rFonts w:ascii="Arial" w:hAnsi="Arial" w:cs="Arial"/>
        </w:rPr>
        <w:t xml:space="preserve">ed the </w:t>
      </w:r>
      <w:r w:rsidR="00AA5B7A" w:rsidRPr="001551E1">
        <w:rPr>
          <w:rFonts w:ascii="Arial" w:hAnsi="Arial" w:cs="Arial"/>
        </w:rPr>
        <w:t xml:space="preserve">prosecution. </w:t>
      </w:r>
      <w:r w:rsidRPr="001551E1">
        <w:rPr>
          <w:rFonts w:ascii="Arial" w:hAnsi="Arial" w:cs="Arial"/>
        </w:rPr>
        <w:t xml:space="preserve">The appellants are, however, </w:t>
      </w:r>
      <w:r w:rsidR="005D4F77" w:rsidRPr="001551E1">
        <w:rPr>
          <w:rFonts w:ascii="Arial" w:hAnsi="Arial" w:cs="Arial"/>
        </w:rPr>
        <w:t xml:space="preserve">aggrieved </w:t>
      </w:r>
      <w:r w:rsidR="005D4F77">
        <w:rPr>
          <w:rFonts w:ascii="Arial" w:hAnsi="Arial" w:cs="Arial"/>
        </w:rPr>
        <w:t xml:space="preserve">by </w:t>
      </w:r>
      <w:r w:rsidR="006D2942">
        <w:rPr>
          <w:rFonts w:ascii="Arial" w:hAnsi="Arial" w:cs="Arial"/>
        </w:rPr>
        <w:t xml:space="preserve">and appeal against </w:t>
      </w:r>
      <w:r w:rsidR="005D4F77">
        <w:rPr>
          <w:rFonts w:ascii="Arial" w:hAnsi="Arial" w:cs="Arial"/>
        </w:rPr>
        <w:t xml:space="preserve">the </w:t>
      </w:r>
      <w:r w:rsidR="007149CE">
        <w:rPr>
          <w:rFonts w:ascii="Arial" w:hAnsi="Arial" w:cs="Arial"/>
        </w:rPr>
        <w:t>c</w:t>
      </w:r>
      <w:r w:rsidR="005D4F77">
        <w:rPr>
          <w:rFonts w:ascii="Arial" w:hAnsi="Arial" w:cs="Arial"/>
        </w:rPr>
        <w:t xml:space="preserve">ourt </w:t>
      </w:r>
      <w:r w:rsidR="005D4F77" w:rsidRPr="00FC1842">
        <w:rPr>
          <w:rFonts w:ascii="Arial" w:hAnsi="Arial" w:cs="Arial"/>
          <w:i/>
        </w:rPr>
        <w:t>a quo</w:t>
      </w:r>
      <w:r w:rsidR="006D2942">
        <w:rPr>
          <w:rFonts w:ascii="Arial" w:hAnsi="Arial" w:cs="Arial"/>
        </w:rPr>
        <w:t xml:space="preserve">’s upholding of the respondent’s alternative claim based on malicious continuation of prosecution without reasonable and probable cause and the costs award. </w:t>
      </w:r>
    </w:p>
    <w:p w:rsidR="006D2942" w:rsidRDefault="006D2942" w:rsidP="001337D7">
      <w:pPr>
        <w:pStyle w:val="BodyText"/>
        <w:autoSpaceDE w:val="0"/>
        <w:autoSpaceDN w:val="0"/>
        <w:adjustRightInd w:val="0"/>
        <w:spacing w:line="480" w:lineRule="auto"/>
        <w:jc w:val="both"/>
        <w:rPr>
          <w:rFonts w:ascii="Arial" w:hAnsi="Arial" w:cs="Arial"/>
        </w:rPr>
      </w:pPr>
    </w:p>
    <w:p w:rsidR="00EA2A4B" w:rsidRDefault="004251A1"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t>It was argued on behalf of the appellants that the ‘statements under oath’ at the disposal of the prosecution team to which the exce</w:t>
      </w:r>
      <w:r w:rsidR="00DD3B8C">
        <w:rPr>
          <w:rFonts w:ascii="Arial" w:hAnsi="Arial" w:cs="Arial"/>
        </w:rPr>
        <w:t>r</w:t>
      </w:r>
      <w:r>
        <w:rPr>
          <w:rFonts w:ascii="Arial" w:hAnsi="Arial" w:cs="Arial"/>
        </w:rPr>
        <w:t xml:space="preserve">pts of the High Court judgment refers are statements which established, on a </w:t>
      </w:r>
      <w:r w:rsidRPr="001B5B94">
        <w:rPr>
          <w:rFonts w:ascii="Arial" w:hAnsi="Arial" w:cs="Arial"/>
          <w:i/>
        </w:rPr>
        <w:t>prima facie</w:t>
      </w:r>
      <w:r>
        <w:rPr>
          <w:rFonts w:ascii="Arial" w:hAnsi="Arial" w:cs="Arial"/>
        </w:rPr>
        <w:t xml:space="preserve"> basis</w:t>
      </w:r>
      <w:r w:rsidR="00CB28C2">
        <w:rPr>
          <w:rFonts w:ascii="Arial" w:hAnsi="Arial" w:cs="Arial"/>
        </w:rPr>
        <w:t>,</w:t>
      </w:r>
      <w:r>
        <w:rPr>
          <w:rFonts w:ascii="Arial" w:hAnsi="Arial" w:cs="Arial"/>
        </w:rPr>
        <w:t xml:space="preserve"> that </w:t>
      </w:r>
      <w:r w:rsidR="00852BC2" w:rsidRPr="00460267">
        <w:rPr>
          <w:rFonts w:ascii="Arial" w:hAnsi="Arial" w:cs="Arial"/>
        </w:rPr>
        <w:t>t</w:t>
      </w:r>
      <w:r>
        <w:rPr>
          <w:rFonts w:ascii="Arial" w:hAnsi="Arial" w:cs="Arial"/>
        </w:rPr>
        <w:t>he respondent, a member of the UDP actively associated him</w:t>
      </w:r>
      <w:r w:rsidR="00A356C4">
        <w:rPr>
          <w:rFonts w:ascii="Arial" w:hAnsi="Arial" w:cs="Arial"/>
        </w:rPr>
        <w:t>sel</w:t>
      </w:r>
      <w:r>
        <w:rPr>
          <w:rFonts w:ascii="Arial" w:hAnsi="Arial" w:cs="Arial"/>
        </w:rPr>
        <w:t>f with the actions o</w:t>
      </w:r>
      <w:r w:rsidR="00A356C4">
        <w:rPr>
          <w:rFonts w:ascii="Arial" w:hAnsi="Arial" w:cs="Arial"/>
        </w:rPr>
        <w:t>f</w:t>
      </w:r>
      <w:r w:rsidR="001B5B94">
        <w:rPr>
          <w:rFonts w:ascii="Arial" w:hAnsi="Arial" w:cs="Arial"/>
        </w:rPr>
        <w:t xml:space="preserve"> those who had, among other things, </w:t>
      </w:r>
      <w:r>
        <w:rPr>
          <w:rFonts w:ascii="Arial" w:hAnsi="Arial" w:cs="Arial"/>
        </w:rPr>
        <w:t xml:space="preserve">the aim of seceding </w:t>
      </w:r>
      <w:r w:rsidR="001B5B94">
        <w:rPr>
          <w:rFonts w:ascii="Arial" w:hAnsi="Arial" w:cs="Arial"/>
        </w:rPr>
        <w:t>Caprivi</w:t>
      </w:r>
      <w:r>
        <w:rPr>
          <w:rFonts w:ascii="Arial" w:hAnsi="Arial" w:cs="Arial"/>
        </w:rPr>
        <w:t>, by transporting people to Botswana, influencing people to support the ide</w:t>
      </w:r>
      <w:r w:rsidR="00A356C4">
        <w:rPr>
          <w:rFonts w:ascii="Arial" w:hAnsi="Arial" w:cs="Arial"/>
        </w:rPr>
        <w:t>a</w:t>
      </w:r>
      <w:r>
        <w:rPr>
          <w:rFonts w:ascii="Arial" w:hAnsi="Arial" w:cs="Arial"/>
        </w:rPr>
        <w:t xml:space="preserve"> of secession and supporting the cause by giving monetary contr</w:t>
      </w:r>
      <w:r w:rsidR="001551E1">
        <w:rPr>
          <w:rFonts w:ascii="Arial" w:hAnsi="Arial" w:cs="Arial"/>
        </w:rPr>
        <w:t>ibutions.</w:t>
      </w:r>
      <w:r w:rsidR="00A356C4">
        <w:rPr>
          <w:rFonts w:ascii="Arial" w:hAnsi="Arial" w:cs="Arial"/>
        </w:rPr>
        <w:t xml:space="preserve"> </w:t>
      </w:r>
    </w:p>
    <w:p w:rsidR="00EA2A4B" w:rsidRDefault="00EA2A4B" w:rsidP="001337D7">
      <w:pPr>
        <w:pStyle w:val="BodyText"/>
        <w:autoSpaceDE w:val="0"/>
        <w:autoSpaceDN w:val="0"/>
        <w:adjustRightInd w:val="0"/>
        <w:spacing w:line="480" w:lineRule="auto"/>
        <w:jc w:val="both"/>
        <w:rPr>
          <w:rFonts w:ascii="Arial" w:hAnsi="Arial" w:cs="Arial"/>
        </w:rPr>
      </w:pPr>
    </w:p>
    <w:p w:rsidR="004251A1" w:rsidRDefault="00A356C4"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t>The</w:t>
      </w:r>
      <w:r w:rsidR="00EA2A4B">
        <w:rPr>
          <w:rFonts w:ascii="Arial" w:hAnsi="Arial" w:cs="Arial"/>
        </w:rPr>
        <w:t xml:space="preserve"> appellants </w:t>
      </w:r>
      <w:r>
        <w:rPr>
          <w:rFonts w:ascii="Arial" w:hAnsi="Arial" w:cs="Arial"/>
        </w:rPr>
        <w:t xml:space="preserve">argued that the allegations in the witnesses’ statements, if true, </w:t>
      </w:r>
      <w:r w:rsidR="001B5B94">
        <w:rPr>
          <w:rFonts w:ascii="Arial" w:hAnsi="Arial" w:cs="Arial"/>
        </w:rPr>
        <w:t>imputed guilt on the respondent</w:t>
      </w:r>
      <w:r>
        <w:rPr>
          <w:rFonts w:ascii="Arial" w:hAnsi="Arial" w:cs="Arial"/>
        </w:rPr>
        <w:t xml:space="preserve"> to be a party to a conspiracy to commit the crimes cited </w:t>
      </w:r>
      <w:r>
        <w:rPr>
          <w:rFonts w:ascii="Arial" w:hAnsi="Arial" w:cs="Arial"/>
        </w:rPr>
        <w:lastRenderedPageBreak/>
        <w:t>in the indictment</w:t>
      </w:r>
      <w:r w:rsidR="00983F69">
        <w:rPr>
          <w:rFonts w:ascii="Arial" w:hAnsi="Arial" w:cs="Arial"/>
        </w:rPr>
        <w:t xml:space="preserve"> and</w:t>
      </w:r>
      <w:r w:rsidR="00F51AF9">
        <w:rPr>
          <w:rFonts w:ascii="Arial" w:hAnsi="Arial" w:cs="Arial"/>
        </w:rPr>
        <w:t>,</w:t>
      </w:r>
      <w:r w:rsidR="00983F69">
        <w:rPr>
          <w:rFonts w:ascii="Arial" w:hAnsi="Arial" w:cs="Arial"/>
        </w:rPr>
        <w:t xml:space="preserve"> by way of his conduct</w:t>
      </w:r>
      <w:r w:rsidR="00F51AF9">
        <w:rPr>
          <w:rFonts w:ascii="Arial" w:hAnsi="Arial" w:cs="Arial"/>
        </w:rPr>
        <w:t>,</w:t>
      </w:r>
      <w:r w:rsidR="00983F69">
        <w:rPr>
          <w:rFonts w:ascii="Arial" w:hAnsi="Arial" w:cs="Arial"/>
        </w:rPr>
        <w:t xml:space="preserve"> </w:t>
      </w:r>
      <w:r w:rsidR="00BA62E9">
        <w:rPr>
          <w:rFonts w:ascii="Arial" w:hAnsi="Arial" w:cs="Arial"/>
        </w:rPr>
        <w:t xml:space="preserve">to </w:t>
      </w:r>
      <w:r w:rsidR="00983F69">
        <w:rPr>
          <w:rFonts w:ascii="Arial" w:hAnsi="Arial" w:cs="Arial"/>
        </w:rPr>
        <w:t>associat</w:t>
      </w:r>
      <w:r w:rsidR="00BA62E9">
        <w:rPr>
          <w:rFonts w:ascii="Arial" w:hAnsi="Arial" w:cs="Arial"/>
        </w:rPr>
        <w:t>e</w:t>
      </w:r>
      <w:r w:rsidR="00983F69">
        <w:rPr>
          <w:rFonts w:ascii="Arial" w:hAnsi="Arial" w:cs="Arial"/>
        </w:rPr>
        <w:t xml:space="preserve"> himself with the criminal design of all other co-perpetrators of the </w:t>
      </w:r>
      <w:r w:rsidR="001B5B94">
        <w:rPr>
          <w:rFonts w:ascii="Arial" w:hAnsi="Arial" w:cs="Arial"/>
        </w:rPr>
        <w:t>attacks</w:t>
      </w:r>
      <w:r w:rsidR="00983F69">
        <w:rPr>
          <w:rFonts w:ascii="Arial" w:hAnsi="Arial" w:cs="Arial"/>
        </w:rPr>
        <w:t>. They maintained that the conduct of the respondent would reasonably le</w:t>
      </w:r>
      <w:r w:rsidR="00F51AF9">
        <w:rPr>
          <w:rFonts w:ascii="Arial" w:hAnsi="Arial" w:cs="Arial"/>
        </w:rPr>
        <w:t>ad</w:t>
      </w:r>
      <w:r w:rsidR="00983F69">
        <w:rPr>
          <w:rFonts w:ascii="Arial" w:hAnsi="Arial" w:cs="Arial"/>
        </w:rPr>
        <w:t xml:space="preserve"> any ordinary prudent and cautious person, placed in </w:t>
      </w:r>
      <w:r w:rsidR="00F51AF9">
        <w:rPr>
          <w:rFonts w:ascii="Arial" w:hAnsi="Arial" w:cs="Arial"/>
        </w:rPr>
        <w:t xml:space="preserve">the position of the prosecution, to believe </w:t>
      </w:r>
      <w:r w:rsidR="00983F69">
        <w:rPr>
          <w:rFonts w:ascii="Arial" w:hAnsi="Arial" w:cs="Arial"/>
        </w:rPr>
        <w:t xml:space="preserve">that </w:t>
      </w:r>
      <w:r w:rsidR="001B5B94">
        <w:rPr>
          <w:rFonts w:ascii="Arial" w:hAnsi="Arial" w:cs="Arial"/>
        </w:rPr>
        <w:t xml:space="preserve">he </w:t>
      </w:r>
      <w:r w:rsidR="00983F69">
        <w:rPr>
          <w:rFonts w:ascii="Arial" w:hAnsi="Arial" w:cs="Arial"/>
        </w:rPr>
        <w:t>was probably guilt</w:t>
      </w:r>
      <w:r w:rsidR="001B5B94">
        <w:rPr>
          <w:rFonts w:ascii="Arial" w:hAnsi="Arial" w:cs="Arial"/>
        </w:rPr>
        <w:t>y</w:t>
      </w:r>
      <w:r w:rsidR="00983F69">
        <w:rPr>
          <w:rFonts w:ascii="Arial" w:hAnsi="Arial" w:cs="Arial"/>
        </w:rPr>
        <w:t xml:space="preserve"> of the crimes imputed to him and that once this belief is honestly held the respondent would fail in his claim to show that there was no reasonable and probable cause for his continued prosecution</w:t>
      </w:r>
      <w:r w:rsidR="007B4C44">
        <w:rPr>
          <w:rFonts w:ascii="Arial" w:hAnsi="Arial" w:cs="Arial"/>
        </w:rPr>
        <w:t>.</w:t>
      </w:r>
    </w:p>
    <w:p w:rsidR="007B4C44" w:rsidRDefault="007B4C44" w:rsidP="001337D7">
      <w:pPr>
        <w:pStyle w:val="BodyText"/>
        <w:autoSpaceDE w:val="0"/>
        <w:autoSpaceDN w:val="0"/>
        <w:adjustRightInd w:val="0"/>
        <w:spacing w:line="480" w:lineRule="auto"/>
        <w:jc w:val="both"/>
        <w:rPr>
          <w:rFonts w:ascii="Arial" w:hAnsi="Arial" w:cs="Arial"/>
        </w:rPr>
      </w:pPr>
    </w:p>
    <w:p w:rsidR="00803678" w:rsidRDefault="002A1067"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t>In opp</w:t>
      </w:r>
      <w:r w:rsidR="00EA2A4B">
        <w:rPr>
          <w:rFonts w:ascii="Arial" w:hAnsi="Arial" w:cs="Arial"/>
        </w:rPr>
        <w:t>osing the appeal the respondent remain</w:t>
      </w:r>
      <w:r w:rsidR="006565C0">
        <w:rPr>
          <w:rFonts w:ascii="Arial" w:hAnsi="Arial" w:cs="Arial"/>
        </w:rPr>
        <w:t>ed</w:t>
      </w:r>
      <w:r w:rsidR="00EA2A4B">
        <w:rPr>
          <w:rFonts w:ascii="Arial" w:hAnsi="Arial" w:cs="Arial"/>
        </w:rPr>
        <w:t xml:space="preserve"> steadfast that the continued prosecution was without any rea</w:t>
      </w:r>
      <w:r w:rsidR="00F51AF9">
        <w:rPr>
          <w:rFonts w:ascii="Arial" w:hAnsi="Arial" w:cs="Arial"/>
        </w:rPr>
        <w:t>sonable or probable cause. It was</w:t>
      </w:r>
      <w:r w:rsidR="00EA2A4B">
        <w:rPr>
          <w:rFonts w:ascii="Arial" w:hAnsi="Arial" w:cs="Arial"/>
        </w:rPr>
        <w:t xml:space="preserve"> </w:t>
      </w:r>
      <w:r>
        <w:rPr>
          <w:rFonts w:ascii="Arial" w:hAnsi="Arial" w:cs="Arial"/>
        </w:rPr>
        <w:t xml:space="preserve">submitted that from the facts and save for the court </w:t>
      </w:r>
      <w:r w:rsidRPr="00FC1842">
        <w:rPr>
          <w:rFonts w:ascii="Arial" w:hAnsi="Arial" w:cs="Arial"/>
          <w:i/>
        </w:rPr>
        <w:t>a quo</w:t>
      </w:r>
      <w:r>
        <w:rPr>
          <w:rFonts w:ascii="Arial" w:hAnsi="Arial" w:cs="Arial"/>
        </w:rPr>
        <w:t xml:space="preserve">’s reliance </w:t>
      </w:r>
      <w:r w:rsidR="00B01E39">
        <w:rPr>
          <w:rFonts w:ascii="Arial" w:hAnsi="Arial" w:cs="Arial"/>
        </w:rPr>
        <w:t>o</w:t>
      </w:r>
      <w:r>
        <w:rPr>
          <w:rFonts w:ascii="Arial" w:hAnsi="Arial" w:cs="Arial"/>
        </w:rPr>
        <w:t xml:space="preserve">n </w:t>
      </w:r>
      <w:r w:rsidRPr="002A1067">
        <w:rPr>
          <w:rFonts w:ascii="Arial" w:hAnsi="Arial" w:cs="Arial"/>
          <w:i/>
        </w:rPr>
        <w:t>Mahupelo</w:t>
      </w:r>
      <w:r w:rsidR="00311505">
        <w:rPr>
          <w:rFonts w:ascii="Arial" w:hAnsi="Arial" w:cs="Arial"/>
          <w:i/>
        </w:rPr>
        <w:t>-</w:t>
      </w:r>
      <w:r w:rsidR="00740CFC">
        <w:rPr>
          <w:rFonts w:ascii="Arial" w:hAnsi="Arial" w:cs="Arial"/>
          <w:i/>
        </w:rPr>
        <w:t>High Court</w:t>
      </w:r>
      <w:r w:rsidR="00740CFC">
        <w:rPr>
          <w:rFonts w:ascii="Arial" w:hAnsi="Arial" w:cs="Arial"/>
        </w:rPr>
        <w:t xml:space="preserve">, </w:t>
      </w:r>
      <w:r>
        <w:rPr>
          <w:rFonts w:ascii="Arial" w:hAnsi="Arial" w:cs="Arial"/>
        </w:rPr>
        <w:t>no criticism could successfully</w:t>
      </w:r>
      <w:r w:rsidR="002D6A42">
        <w:rPr>
          <w:rFonts w:ascii="Arial" w:hAnsi="Arial" w:cs="Arial"/>
        </w:rPr>
        <w:t xml:space="preserve"> be levelled at </w:t>
      </w:r>
      <w:r>
        <w:rPr>
          <w:rFonts w:ascii="Arial" w:hAnsi="Arial" w:cs="Arial"/>
        </w:rPr>
        <w:t xml:space="preserve">that </w:t>
      </w:r>
      <w:r w:rsidR="007149CE">
        <w:rPr>
          <w:rFonts w:ascii="Arial" w:hAnsi="Arial" w:cs="Arial"/>
        </w:rPr>
        <w:t>c</w:t>
      </w:r>
      <w:r>
        <w:rPr>
          <w:rFonts w:ascii="Arial" w:hAnsi="Arial" w:cs="Arial"/>
        </w:rPr>
        <w:t xml:space="preserve">ourt’s analysis of the facts or its exercise of its discretional power. </w:t>
      </w:r>
      <w:r w:rsidR="001551E1">
        <w:rPr>
          <w:rFonts w:ascii="Arial" w:hAnsi="Arial" w:cs="Arial"/>
        </w:rPr>
        <w:t xml:space="preserve">The respondent submitted that because the facts in </w:t>
      </w:r>
      <w:r w:rsidR="0040588A">
        <w:rPr>
          <w:rFonts w:ascii="Arial" w:hAnsi="Arial" w:cs="Arial"/>
        </w:rPr>
        <w:t>this case</w:t>
      </w:r>
      <w:r w:rsidR="001551E1">
        <w:rPr>
          <w:rFonts w:ascii="Arial" w:hAnsi="Arial" w:cs="Arial"/>
        </w:rPr>
        <w:t xml:space="preserve"> are distinguishable from those in </w:t>
      </w:r>
      <w:r w:rsidR="001551E1" w:rsidRPr="001551E1">
        <w:rPr>
          <w:rFonts w:ascii="Arial" w:hAnsi="Arial" w:cs="Arial"/>
          <w:i/>
        </w:rPr>
        <w:t>Mahupelo</w:t>
      </w:r>
      <w:r w:rsidR="001551E1">
        <w:rPr>
          <w:rFonts w:ascii="Arial" w:hAnsi="Arial" w:cs="Arial"/>
        </w:rPr>
        <w:t xml:space="preserve"> the decision appealed against should not be interfered with. He </w:t>
      </w:r>
      <w:r w:rsidR="00220FFE">
        <w:rPr>
          <w:rFonts w:ascii="Arial" w:hAnsi="Arial" w:cs="Arial"/>
        </w:rPr>
        <w:t xml:space="preserve">argued that the decision </w:t>
      </w:r>
      <w:r w:rsidR="00220FFE" w:rsidRPr="00FC1842">
        <w:rPr>
          <w:rFonts w:ascii="Arial" w:hAnsi="Arial" w:cs="Arial"/>
          <w:i/>
        </w:rPr>
        <w:t>a quo</w:t>
      </w:r>
      <w:r w:rsidRPr="00F51AF9">
        <w:rPr>
          <w:rFonts w:ascii="Arial" w:hAnsi="Arial" w:cs="Arial"/>
          <w:i/>
        </w:rPr>
        <w:t xml:space="preserve"> </w:t>
      </w:r>
      <w:r>
        <w:rPr>
          <w:rFonts w:ascii="Arial" w:hAnsi="Arial" w:cs="Arial"/>
        </w:rPr>
        <w:t xml:space="preserve">is in line with the appreciation of </w:t>
      </w:r>
      <w:r w:rsidRPr="002A1067">
        <w:rPr>
          <w:rFonts w:ascii="Arial" w:hAnsi="Arial" w:cs="Arial"/>
          <w:i/>
        </w:rPr>
        <w:t>Mahupelo.</w:t>
      </w:r>
      <w:r>
        <w:rPr>
          <w:rFonts w:ascii="Arial" w:hAnsi="Arial" w:cs="Arial"/>
        </w:rPr>
        <w:t xml:space="preserve"> </w:t>
      </w:r>
      <w:r w:rsidR="001551E1">
        <w:rPr>
          <w:rFonts w:ascii="Arial" w:hAnsi="Arial" w:cs="Arial"/>
        </w:rPr>
        <w:t xml:space="preserve">It was submitted that </w:t>
      </w:r>
      <w:r w:rsidR="00220FFE">
        <w:rPr>
          <w:rFonts w:ascii="Arial" w:hAnsi="Arial" w:cs="Arial"/>
        </w:rPr>
        <w:t xml:space="preserve">the evidence against </w:t>
      </w:r>
      <w:r w:rsidR="001551E1">
        <w:rPr>
          <w:rFonts w:ascii="Arial" w:hAnsi="Arial" w:cs="Arial"/>
        </w:rPr>
        <w:t>the respondent</w:t>
      </w:r>
      <w:r w:rsidR="00BA62E9">
        <w:rPr>
          <w:rFonts w:ascii="Arial" w:hAnsi="Arial" w:cs="Arial"/>
        </w:rPr>
        <w:t>,</w:t>
      </w:r>
      <w:r w:rsidR="001551E1">
        <w:rPr>
          <w:rFonts w:ascii="Arial" w:hAnsi="Arial" w:cs="Arial"/>
        </w:rPr>
        <w:t xml:space="preserve"> </w:t>
      </w:r>
      <w:r w:rsidR="00220FFE">
        <w:rPr>
          <w:rFonts w:ascii="Arial" w:hAnsi="Arial" w:cs="Arial"/>
        </w:rPr>
        <w:t xml:space="preserve">on which the second appellant could form a reasonable and probable cause for </w:t>
      </w:r>
      <w:r w:rsidR="00F51AF9">
        <w:rPr>
          <w:rFonts w:ascii="Arial" w:hAnsi="Arial" w:cs="Arial"/>
        </w:rPr>
        <w:t xml:space="preserve">his </w:t>
      </w:r>
      <w:r w:rsidR="00220FFE">
        <w:rPr>
          <w:rFonts w:ascii="Arial" w:hAnsi="Arial" w:cs="Arial"/>
        </w:rPr>
        <w:t>pro</w:t>
      </w:r>
      <w:r w:rsidR="00220FFE" w:rsidRPr="001551E1">
        <w:rPr>
          <w:rFonts w:ascii="Arial" w:hAnsi="Arial" w:cs="Arial"/>
        </w:rPr>
        <w:t>secution was not ‘adequate’</w:t>
      </w:r>
      <w:r w:rsidR="00803678" w:rsidRPr="001551E1">
        <w:rPr>
          <w:rFonts w:ascii="Arial" w:hAnsi="Arial" w:cs="Arial"/>
        </w:rPr>
        <w:t>.</w:t>
      </w:r>
      <w:r w:rsidR="00803678">
        <w:rPr>
          <w:rFonts w:ascii="Arial" w:hAnsi="Arial" w:cs="Arial"/>
        </w:rPr>
        <w:t xml:space="preserve"> </w:t>
      </w:r>
    </w:p>
    <w:p w:rsidR="00EA2A4B" w:rsidRDefault="00EA2A4B" w:rsidP="001337D7">
      <w:pPr>
        <w:pStyle w:val="BodyText"/>
        <w:autoSpaceDE w:val="0"/>
        <w:autoSpaceDN w:val="0"/>
        <w:adjustRightInd w:val="0"/>
        <w:spacing w:line="480" w:lineRule="auto"/>
        <w:jc w:val="both"/>
        <w:rPr>
          <w:rFonts w:ascii="Arial" w:hAnsi="Arial" w:cs="Arial"/>
        </w:rPr>
      </w:pPr>
    </w:p>
    <w:p w:rsidR="00EA2A4B" w:rsidRDefault="00220FFE"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t xml:space="preserve">Reference </w:t>
      </w:r>
      <w:r w:rsidR="002D6A42">
        <w:rPr>
          <w:rFonts w:ascii="Arial" w:hAnsi="Arial" w:cs="Arial"/>
        </w:rPr>
        <w:t>was</w:t>
      </w:r>
      <w:r>
        <w:rPr>
          <w:rFonts w:ascii="Arial" w:hAnsi="Arial" w:cs="Arial"/>
        </w:rPr>
        <w:t xml:space="preserve"> made to the </w:t>
      </w:r>
      <w:r w:rsidR="002D6A42">
        <w:rPr>
          <w:rFonts w:ascii="Arial" w:hAnsi="Arial" w:cs="Arial"/>
        </w:rPr>
        <w:t xml:space="preserve">second appellant’s alleged </w:t>
      </w:r>
      <w:r>
        <w:rPr>
          <w:rFonts w:ascii="Arial" w:hAnsi="Arial" w:cs="Arial"/>
        </w:rPr>
        <w:t>recklessness given its defence that</w:t>
      </w:r>
      <w:r w:rsidR="00F51AF9">
        <w:rPr>
          <w:rFonts w:ascii="Arial" w:hAnsi="Arial" w:cs="Arial"/>
        </w:rPr>
        <w:t>,</w:t>
      </w:r>
      <w:r>
        <w:rPr>
          <w:rFonts w:ascii="Arial" w:hAnsi="Arial" w:cs="Arial"/>
        </w:rPr>
        <w:t xml:space="preserve"> by 30 January 2006 or</w:t>
      </w:r>
      <w:r w:rsidR="002D6A42">
        <w:rPr>
          <w:rFonts w:ascii="Arial" w:hAnsi="Arial" w:cs="Arial"/>
        </w:rPr>
        <w:t xml:space="preserve"> any period thereafter</w:t>
      </w:r>
      <w:r w:rsidR="00F51AF9">
        <w:rPr>
          <w:rFonts w:ascii="Arial" w:hAnsi="Arial" w:cs="Arial"/>
        </w:rPr>
        <w:t>,</w:t>
      </w:r>
      <w:r w:rsidR="007A7C5B">
        <w:rPr>
          <w:rFonts w:ascii="Arial" w:hAnsi="Arial" w:cs="Arial"/>
        </w:rPr>
        <w:t xml:space="preserve"> the prosecution was not in a position to know that al</w:t>
      </w:r>
      <w:r w:rsidR="00BA62E9">
        <w:rPr>
          <w:rFonts w:ascii="Arial" w:hAnsi="Arial" w:cs="Arial"/>
        </w:rPr>
        <w:t>l the witnesses to implicate the respondent</w:t>
      </w:r>
      <w:r w:rsidR="007A7C5B">
        <w:rPr>
          <w:rFonts w:ascii="Arial" w:hAnsi="Arial" w:cs="Arial"/>
        </w:rPr>
        <w:t xml:space="preserve"> had completed their evidence</w:t>
      </w:r>
      <w:r w:rsidR="001B5B94">
        <w:rPr>
          <w:rFonts w:ascii="Arial" w:hAnsi="Arial" w:cs="Arial"/>
        </w:rPr>
        <w:t xml:space="preserve">. It was </w:t>
      </w:r>
      <w:r w:rsidR="003B3164">
        <w:rPr>
          <w:rFonts w:ascii="Arial" w:hAnsi="Arial" w:cs="Arial"/>
        </w:rPr>
        <w:t xml:space="preserve">submitted that the appellants did not have evidence or </w:t>
      </w:r>
      <w:r w:rsidR="003B3164" w:rsidRPr="001551E1">
        <w:rPr>
          <w:rFonts w:ascii="Arial" w:hAnsi="Arial" w:cs="Arial"/>
        </w:rPr>
        <w:t>sufficient evidence upon whi</w:t>
      </w:r>
      <w:r w:rsidR="006B2AE2" w:rsidRPr="001551E1">
        <w:rPr>
          <w:rFonts w:ascii="Arial" w:hAnsi="Arial" w:cs="Arial"/>
        </w:rPr>
        <w:t xml:space="preserve">ch they </w:t>
      </w:r>
      <w:r w:rsidR="00F51AF9">
        <w:rPr>
          <w:rFonts w:ascii="Arial" w:hAnsi="Arial" w:cs="Arial"/>
        </w:rPr>
        <w:t xml:space="preserve">could </w:t>
      </w:r>
      <w:r w:rsidR="006B2AE2" w:rsidRPr="001551E1">
        <w:rPr>
          <w:rFonts w:ascii="Arial" w:hAnsi="Arial" w:cs="Arial"/>
        </w:rPr>
        <w:t xml:space="preserve">convict the respondent </w:t>
      </w:r>
      <w:r w:rsidR="003B3164" w:rsidRPr="001551E1">
        <w:rPr>
          <w:rFonts w:ascii="Arial" w:hAnsi="Arial" w:cs="Arial"/>
        </w:rPr>
        <w:t xml:space="preserve">on all the charges </w:t>
      </w:r>
      <w:r w:rsidR="002F5818" w:rsidRPr="001551E1">
        <w:rPr>
          <w:rFonts w:ascii="Arial" w:hAnsi="Arial" w:cs="Arial"/>
        </w:rPr>
        <w:t>pr</w:t>
      </w:r>
      <w:r w:rsidR="002F5818">
        <w:rPr>
          <w:rFonts w:ascii="Arial" w:hAnsi="Arial" w:cs="Arial"/>
        </w:rPr>
        <w:t>o</w:t>
      </w:r>
      <w:r w:rsidR="002F5818" w:rsidRPr="001551E1">
        <w:rPr>
          <w:rFonts w:ascii="Arial" w:hAnsi="Arial" w:cs="Arial"/>
        </w:rPr>
        <w:t>ffered</w:t>
      </w:r>
      <w:r w:rsidR="001551E1" w:rsidRPr="001551E1">
        <w:rPr>
          <w:rFonts w:ascii="Arial" w:hAnsi="Arial" w:cs="Arial"/>
        </w:rPr>
        <w:t xml:space="preserve"> </w:t>
      </w:r>
      <w:r w:rsidR="001551E1" w:rsidRPr="001551E1">
        <w:rPr>
          <w:rFonts w:ascii="Arial" w:hAnsi="Arial" w:cs="Arial"/>
        </w:rPr>
        <w:lastRenderedPageBreak/>
        <w:t xml:space="preserve">against him, </w:t>
      </w:r>
      <w:r w:rsidR="007A7C5B">
        <w:rPr>
          <w:rFonts w:ascii="Arial" w:hAnsi="Arial" w:cs="Arial"/>
        </w:rPr>
        <w:t xml:space="preserve">that the prosecution failed </w:t>
      </w:r>
      <w:r w:rsidR="00DD3B8C">
        <w:rPr>
          <w:rFonts w:ascii="Arial" w:hAnsi="Arial" w:cs="Arial"/>
        </w:rPr>
        <w:t xml:space="preserve">to </w:t>
      </w:r>
      <w:r w:rsidR="007A7C5B">
        <w:rPr>
          <w:rFonts w:ascii="Arial" w:hAnsi="Arial" w:cs="Arial"/>
        </w:rPr>
        <w:t>perform an appraisal of the evidence on a continual basis and that it had hoped that its case would be supplemented by the defence case. The hope, it was submitted, was not reasonable given that the respondent had pleaded not guilty.</w:t>
      </w:r>
    </w:p>
    <w:p w:rsidR="00EA2A4B" w:rsidRDefault="00EA2A4B" w:rsidP="001337D7">
      <w:pPr>
        <w:pStyle w:val="BodyText"/>
        <w:autoSpaceDE w:val="0"/>
        <w:autoSpaceDN w:val="0"/>
        <w:adjustRightInd w:val="0"/>
        <w:spacing w:line="480" w:lineRule="auto"/>
        <w:jc w:val="both"/>
        <w:rPr>
          <w:rFonts w:ascii="Arial" w:hAnsi="Arial" w:cs="Arial"/>
        </w:rPr>
      </w:pPr>
    </w:p>
    <w:p w:rsidR="003E341E" w:rsidRDefault="009D48C5"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t>The respondent arg</w:t>
      </w:r>
      <w:r w:rsidR="003B3164">
        <w:rPr>
          <w:rFonts w:ascii="Arial" w:hAnsi="Arial" w:cs="Arial"/>
        </w:rPr>
        <w:t>ued tha</w:t>
      </w:r>
      <w:r w:rsidR="00F51AF9">
        <w:rPr>
          <w:rFonts w:ascii="Arial" w:hAnsi="Arial" w:cs="Arial"/>
        </w:rPr>
        <w:t xml:space="preserve">t at the time of his arrest </w:t>
      </w:r>
      <w:r w:rsidR="003B3164">
        <w:rPr>
          <w:rFonts w:ascii="Arial" w:hAnsi="Arial" w:cs="Arial"/>
        </w:rPr>
        <w:t>he was no</w:t>
      </w:r>
      <w:r>
        <w:rPr>
          <w:rFonts w:ascii="Arial" w:hAnsi="Arial" w:cs="Arial"/>
        </w:rPr>
        <w:t>t a rebel captured during the military enga</w:t>
      </w:r>
      <w:r w:rsidR="003B3164">
        <w:rPr>
          <w:rFonts w:ascii="Arial" w:hAnsi="Arial" w:cs="Arial"/>
        </w:rPr>
        <w:t xml:space="preserve">gement with the security </w:t>
      </w:r>
      <w:r w:rsidR="00DD3B8C">
        <w:rPr>
          <w:rFonts w:ascii="Arial" w:hAnsi="Arial" w:cs="Arial"/>
        </w:rPr>
        <w:t>forces</w:t>
      </w:r>
      <w:r w:rsidR="00F51AF9">
        <w:rPr>
          <w:rFonts w:ascii="Arial" w:hAnsi="Arial" w:cs="Arial"/>
        </w:rPr>
        <w:t xml:space="preserve"> nor</w:t>
      </w:r>
      <w:r>
        <w:rPr>
          <w:rFonts w:ascii="Arial" w:hAnsi="Arial" w:cs="Arial"/>
        </w:rPr>
        <w:t xml:space="preserve"> was he pointed out by rebels and </w:t>
      </w:r>
      <w:r w:rsidR="00F51AF9">
        <w:rPr>
          <w:rFonts w:ascii="Arial" w:hAnsi="Arial" w:cs="Arial"/>
        </w:rPr>
        <w:t xml:space="preserve">that </w:t>
      </w:r>
      <w:r>
        <w:rPr>
          <w:rFonts w:ascii="Arial" w:hAnsi="Arial" w:cs="Arial"/>
        </w:rPr>
        <w:t>his name did not appear in the deployment list nor was he involved in the attack</w:t>
      </w:r>
      <w:r w:rsidR="0057148B">
        <w:rPr>
          <w:rFonts w:ascii="Arial" w:hAnsi="Arial" w:cs="Arial"/>
        </w:rPr>
        <w:t>. He</w:t>
      </w:r>
      <w:r w:rsidR="00A92E75">
        <w:rPr>
          <w:rFonts w:ascii="Arial" w:hAnsi="Arial" w:cs="Arial"/>
        </w:rPr>
        <w:t xml:space="preserve"> submitted </w:t>
      </w:r>
      <w:r w:rsidR="0057148B">
        <w:rPr>
          <w:rFonts w:ascii="Arial" w:hAnsi="Arial" w:cs="Arial"/>
        </w:rPr>
        <w:t>that none of the witnesses’ statement implicated him in having been invol</w:t>
      </w:r>
      <w:r w:rsidR="00A92E75">
        <w:rPr>
          <w:rFonts w:ascii="Arial" w:hAnsi="Arial" w:cs="Arial"/>
        </w:rPr>
        <w:t>ved in the attack of 2 August 19</w:t>
      </w:r>
      <w:r w:rsidR="003B3164">
        <w:rPr>
          <w:rFonts w:ascii="Arial" w:hAnsi="Arial" w:cs="Arial"/>
        </w:rPr>
        <w:t>99 and that there was no ident</w:t>
      </w:r>
      <w:r w:rsidR="0057148B">
        <w:rPr>
          <w:rFonts w:ascii="Arial" w:hAnsi="Arial" w:cs="Arial"/>
        </w:rPr>
        <w:t>ification parade to identify him and link him to the offences.</w:t>
      </w:r>
      <w:r w:rsidR="003B3164">
        <w:rPr>
          <w:rFonts w:ascii="Arial" w:hAnsi="Arial" w:cs="Arial"/>
        </w:rPr>
        <w:t xml:space="preserve"> In fact, it is contended, </w:t>
      </w:r>
      <w:r w:rsidR="00BF7D7E">
        <w:rPr>
          <w:rFonts w:ascii="Arial" w:hAnsi="Arial" w:cs="Arial"/>
        </w:rPr>
        <w:t xml:space="preserve">Mr </w:t>
      </w:r>
      <w:r w:rsidR="003B3164">
        <w:rPr>
          <w:rFonts w:ascii="Arial" w:hAnsi="Arial" w:cs="Arial"/>
        </w:rPr>
        <w:t xml:space="preserve">Siboli never mentioned the respondent’s name when he testified nor </w:t>
      </w:r>
      <w:r w:rsidR="007B4C44">
        <w:rPr>
          <w:rFonts w:ascii="Arial" w:hAnsi="Arial" w:cs="Arial"/>
        </w:rPr>
        <w:t xml:space="preserve">did he </w:t>
      </w:r>
      <w:r w:rsidR="003B3164">
        <w:rPr>
          <w:rFonts w:ascii="Arial" w:hAnsi="Arial" w:cs="Arial"/>
        </w:rPr>
        <w:t>identif</w:t>
      </w:r>
      <w:r w:rsidR="007B4C44">
        <w:rPr>
          <w:rFonts w:ascii="Arial" w:hAnsi="Arial" w:cs="Arial"/>
        </w:rPr>
        <w:t>y him</w:t>
      </w:r>
      <w:r w:rsidR="003B3164">
        <w:rPr>
          <w:rFonts w:ascii="Arial" w:hAnsi="Arial" w:cs="Arial"/>
        </w:rPr>
        <w:t xml:space="preserve"> while in court. </w:t>
      </w:r>
    </w:p>
    <w:p w:rsidR="003E341E" w:rsidRDefault="003E341E" w:rsidP="001337D7">
      <w:pPr>
        <w:pStyle w:val="BodyText"/>
        <w:autoSpaceDE w:val="0"/>
        <w:autoSpaceDN w:val="0"/>
        <w:adjustRightInd w:val="0"/>
        <w:spacing w:line="480" w:lineRule="auto"/>
        <w:jc w:val="both"/>
        <w:rPr>
          <w:rFonts w:ascii="Arial" w:hAnsi="Arial" w:cs="Arial"/>
        </w:rPr>
      </w:pPr>
    </w:p>
    <w:p w:rsidR="006D2942" w:rsidRPr="002A1067" w:rsidRDefault="002D6A42" w:rsidP="001337D7">
      <w:pPr>
        <w:pStyle w:val="BodyText"/>
        <w:numPr>
          <w:ilvl w:val="0"/>
          <w:numId w:val="1"/>
        </w:numPr>
        <w:autoSpaceDE w:val="0"/>
        <w:autoSpaceDN w:val="0"/>
        <w:adjustRightInd w:val="0"/>
        <w:spacing w:line="480" w:lineRule="auto"/>
        <w:ind w:left="0" w:firstLine="0"/>
        <w:jc w:val="both"/>
        <w:rPr>
          <w:rFonts w:ascii="Arial" w:hAnsi="Arial" w:cs="Arial"/>
        </w:rPr>
      </w:pPr>
      <w:r w:rsidRPr="001551E1">
        <w:rPr>
          <w:rFonts w:ascii="Arial" w:hAnsi="Arial" w:cs="Arial"/>
        </w:rPr>
        <w:t xml:space="preserve">According to the </w:t>
      </w:r>
      <w:r w:rsidR="007B4C44" w:rsidRPr="001551E1">
        <w:rPr>
          <w:rFonts w:ascii="Arial" w:hAnsi="Arial" w:cs="Arial"/>
        </w:rPr>
        <w:t>respondent</w:t>
      </w:r>
      <w:r w:rsidR="00B01E39">
        <w:rPr>
          <w:rFonts w:ascii="Arial" w:hAnsi="Arial" w:cs="Arial"/>
        </w:rPr>
        <w:t>,</w:t>
      </w:r>
      <w:r w:rsidR="007B4C44" w:rsidRPr="001551E1">
        <w:rPr>
          <w:rFonts w:ascii="Arial" w:hAnsi="Arial" w:cs="Arial"/>
        </w:rPr>
        <w:t xml:space="preserve"> </w:t>
      </w:r>
      <w:r w:rsidRPr="001551E1">
        <w:rPr>
          <w:rFonts w:ascii="Arial" w:hAnsi="Arial" w:cs="Arial"/>
        </w:rPr>
        <w:t xml:space="preserve">the </w:t>
      </w:r>
      <w:r w:rsidR="007B4C44" w:rsidRPr="001551E1">
        <w:rPr>
          <w:rFonts w:ascii="Arial" w:hAnsi="Arial" w:cs="Arial"/>
        </w:rPr>
        <w:t xml:space="preserve">evidence </w:t>
      </w:r>
      <w:r w:rsidRPr="001551E1">
        <w:rPr>
          <w:rFonts w:ascii="Arial" w:hAnsi="Arial" w:cs="Arial"/>
        </w:rPr>
        <w:t xml:space="preserve">presented </w:t>
      </w:r>
      <w:r w:rsidR="007B4C44" w:rsidRPr="001551E1">
        <w:rPr>
          <w:rFonts w:ascii="Arial" w:hAnsi="Arial" w:cs="Arial"/>
        </w:rPr>
        <w:t>did not provide enough information to establish culpat</w:t>
      </w:r>
      <w:r w:rsidR="00944DEF">
        <w:rPr>
          <w:rFonts w:ascii="Arial" w:hAnsi="Arial" w:cs="Arial"/>
        </w:rPr>
        <w:t>ory</w:t>
      </w:r>
      <w:r w:rsidR="0001717D" w:rsidRPr="001551E1">
        <w:rPr>
          <w:rFonts w:ascii="Arial" w:hAnsi="Arial" w:cs="Arial"/>
        </w:rPr>
        <w:t xml:space="preserve"> </w:t>
      </w:r>
      <w:r w:rsidR="001551E1" w:rsidRPr="001551E1">
        <w:rPr>
          <w:rFonts w:ascii="Arial" w:hAnsi="Arial" w:cs="Arial"/>
        </w:rPr>
        <w:t>evi</w:t>
      </w:r>
      <w:r w:rsidR="007B4C44" w:rsidRPr="001551E1">
        <w:rPr>
          <w:rFonts w:ascii="Arial" w:hAnsi="Arial" w:cs="Arial"/>
        </w:rPr>
        <w:t xml:space="preserve">dence or reasonable belief – as such there was no reasonable and probable cause. </w:t>
      </w:r>
      <w:r w:rsidR="003B3164" w:rsidRPr="001551E1">
        <w:rPr>
          <w:rFonts w:ascii="Arial" w:hAnsi="Arial" w:cs="Arial"/>
        </w:rPr>
        <w:t>The alleged honest belief by the se</w:t>
      </w:r>
      <w:r w:rsidR="002F5818">
        <w:rPr>
          <w:rFonts w:ascii="Arial" w:hAnsi="Arial" w:cs="Arial"/>
        </w:rPr>
        <w:t>cond appellant and her prosecutorial team</w:t>
      </w:r>
      <w:r w:rsidR="003B3164" w:rsidRPr="001551E1">
        <w:rPr>
          <w:rFonts w:ascii="Arial" w:hAnsi="Arial" w:cs="Arial"/>
        </w:rPr>
        <w:t xml:space="preserve">, </w:t>
      </w:r>
      <w:r w:rsidR="000F7E65" w:rsidRPr="001551E1">
        <w:rPr>
          <w:rFonts w:ascii="Arial" w:hAnsi="Arial" w:cs="Arial"/>
        </w:rPr>
        <w:t xml:space="preserve">so the argument </w:t>
      </w:r>
      <w:r w:rsidR="003B3164" w:rsidRPr="001551E1">
        <w:rPr>
          <w:rFonts w:ascii="Arial" w:hAnsi="Arial" w:cs="Arial"/>
        </w:rPr>
        <w:t xml:space="preserve">went, lacked </w:t>
      </w:r>
      <w:r w:rsidR="002F5818">
        <w:rPr>
          <w:rFonts w:ascii="Arial" w:hAnsi="Arial" w:cs="Arial"/>
        </w:rPr>
        <w:t xml:space="preserve">any </w:t>
      </w:r>
      <w:r w:rsidR="003B3164" w:rsidRPr="001551E1">
        <w:rPr>
          <w:rFonts w:ascii="Arial" w:hAnsi="Arial" w:cs="Arial"/>
        </w:rPr>
        <w:t>bas</w:t>
      </w:r>
      <w:r w:rsidR="002F5818">
        <w:rPr>
          <w:rFonts w:ascii="Arial" w:hAnsi="Arial" w:cs="Arial"/>
        </w:rPr>
        <w:t>i</w:t>
      </w:r>
      <w:r w:rsidR="003B3164" w:rsidRPr="001551E1">
        <w:rPr>
          <w:rFonts w:ascii="Arial" w:hAnsi="Arial" w:cs="Arial"/>
        </w:rPr>
        <w:t>s</w:t>
      </w:r>
      <w:r w:rsidR="001551E1" w:rsidRPr="001551E1">
        <w:rPr>
          <w:rFonts w:ascii="Arial" w:hAnsi="Arial" w:cs="Arial"/>
        </w:rPr>
        <w:t xml:space="preserve">. </w:t>
      </w:r>
      <w:r w:rsidR="000F7E65" w:rsidRPr="001551E1">
        <w:rPr>
          <w:rFonts w:ascii="Arial" w:hAnsi="Arial" w:cs="Arial"/>
        </w:rPr>
        <w:t xml:space="preserve">It was argued that the </w:t>
      </w:r>
      <w:r w:rsidR="002F5818">
        <w:rPr>
          <w:rFonts w:ascii="Arial" w:hAnsi="Arial" w:cs="Arial"/>
        </w:rPr>
        <w:t>concession by Mr</w:t>
      </w:r>
      <w:r w:rsidR="0078678E" w:rsidRPr="001551E1">
        <w:rPr>
          <w:rFonts w:ascii="Arial" w:hAnsi="Arial" w:cs="Arial"/>
        </w:rPr>
        <w:t xml:space="preserve"> July was indicative of an intention to injure the respondent</w:t>
      </w:r>
      <w:r w:rsidR="000F7E65" w:rsidRPr="001551E1">
        <w:rPr>
          <w:rFonts w:ascii="Arial" w:hAnsi="Arial" w:cs="Arial"/>
        </w:rPr>
        <w:t xml:space="preserve"> and</w:t>
      </w:r>
      <w:r w:rsidR="001551E1" w:rsidRPr="001551E1">
        <w:rPr>
          <w:rFonts w:ascii="Arial" w:hAnsi="Arial" w:cs="Arial"/>
        </w:rPr>
        <w:t xml:space="preserve"> of malice.</w:t>
      </w:r>
      <w:r w:rsidR="007B4C44" w:rsidRPr="001551E1">
        <w:rPr>
          <w:rFonts w:ascii="Arial" w:hAnsi="Arial" w:cs="Arial"/>
        </w:rPr>
        <w:t xml:space="preserve"> Finally</w:t>
      </w:r>
      <w:r w:rsidR="001B5B94">
        <w:rPr>
          <w:rFonts w:ascii="Arial" w:hAnsi="Arial" w:cs="Arial"/>
        </w:rPr>
        <w:t>,</w:t>
      </w:r>
      <w:r w:rsidR="007B4C44" w:rsidRPr="001551E1">
        <w:rPr>
          <w:rFonts w:ascii="Arial" w:hAnsi="Arial" w:cs="Arial"/>
        </w:rPr>
        <w:t xml:space="preserve"> the respondent contended </w:t>
      </w:r>
      <w:r w:rsidR="002F5818">
        <w:rPr>
          <w:rFonts w:ascii="Arial" w:hAnsi="Arial" w:cs="Arial"/>
        </w:rPr>
        <w:t>that this c</w:t>
      </w:r>
      <w:r w:rsidR="007B4C44" w:rsidRPr="001551E1">
        <w:rPr>
          <w:rFonts w:ascii="Arial" w:hAnsi="Arial" w:cs="Arial"/>
        </w:rPr>
        <w:t xml:space="preserve">ourt should invoke the principles in </w:t>
      </w:r>
      <w:r w:rsidR="007B4C44" w:rsidRPr="001551E1">
        <w:rPr>
          <w:rFonts w:ascii="Arial" w:hAnsi="Arial" w:cs="Arial"/>
          <w:i/>
        </w:rPr>
        <w:t>Dhlumayo</w:t>
      </w:r>
      <w:r w:rsidR="007B4C44" w:rsidRPr="001551E1">
        <w:rPr>
          <w:rStyle w:val="FootnoteReference"/>
          <w:rFonts w:ascii="Arial" w:hAnsi="Arial" w:cs="Arial"/>
        </w:rPr>
        <w:footnoteReference w:id="14"/>
      </w:r>
      <w:r w:rsidR="007B4C44" w:rsidRPr="001551E1">
        <w:rPr>
          <w:rFonts w:ascii="Arial" w:hAnsi="Arial" w:cs="Arial"/>
        </w:rPr>
        <w:t xml:space="preserve"> and not interfere with the decision </w:t>
      </w:r>
      <w:r w:rsidR="007B4C44" w:rsidRPr="00FC1842">
        <w:rPr>
          <w:rFonts w:ascii="Arial" w:hAnsi="Arial" w:cs="Arial"/>
          <w:i/>
        </w:rPr>
        <w:t>a quo</w:t>
      </w:r>
      <w:r w:rsidR="007B4C44" w:rsidRPr="001551E1">
        <w:rPr>
          <w:rFonts w:ascii="Arial" w:hAnsi="Arial" w:cs="Arial"/>
        </w:rPr>
        <w:t>.</w:t>
      </w:r>
    </w:p>
    <w:p w:rsidR="00EA2A4B" w:rsidRDefault="00EA2A4B" w:rsidP="001337D7">
      <w:pPr>
        <w:pStyle w:val="BodyText"/>
        <w:autoSpaceDE w:val="0"/>
        <w:autoSpaceDN w:val="0"/>
        <w:adjustRightInd w:val="0"/>
        <w:spacing w:line="480" w:lineRule="auto"/>
        <w:jc w:val="both"/>
        <w:rPr>
          <w:rFonts w:ascii="Arial" w:hAnsi="Arial" w:cs="Arial"/>
        </w:rPr>
      </w:pPr>
    </w:p>
    <w:p w:rsidR="006D2942" w:rsidRPr="003E341E" w:rsidRDefault="005B17FC" w:rsidP="001337D7">
      <w:pPr>
        <w:pStyle w:val="BodyText"/>
        <w:autoSpaceDE w:val="0"/>
        <w:autoSpaceDN w:val="0"/>
        <w:adjustRightInd w:val="0"/>
        <w:spacing w:line="480" w:lineRule="auto"/>
        <w:jc w:val="both"/>
        <w:rPr>
          <w:rFonts w:ascii="Arial" w:hAnsi="Arial" w:cs="Arial"/>
          <w:u w:val="single"/>
        </w:rPr>
      </w:pPr>
      <w:r>
        <w:rPr>
          <w:rFonts w:ascii="Arial" w:hAnsi="Arial" w:cs="Arial"/>
          <w:u w:val="single"/>
        </w:rPr>
        <w:lastRenderedPageBreak/>
        <w:t>Legal principles</w:t>
      </w:r>
    </w:p>
    <w:p w:rsidR="006B2AE2" w:rsidRDefault="00E64E9D"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t>As it is apparent from a significant body of case law</w:t>
      </w:r>
      <w:r w:rsidR="002F5818">
        <w:rPr>
          <w:rFonts w:ascii="Arial" w:hAnsi="Arial" w:cs="Arial"/>
        </w:rPr>
        <w:t xml:space="preserve"> delineated by this c</w:t>
      </w:r>
      <w:r w:rsidR="005B17FC">
        <w:rPr>
          <w:rFonts w:ascii="Arial" w:hAnsi="Arial" w:cs="Arial"/>
        </w:rPr>
        <w:t xml:space="preserve">ourt </w:t>
      </w:r>
      <w:r w:rsidR="00F7488B">
        <w:rPr>
          <w:rFonts w:ascii="Arial" w:hAnsi="Arial" w:cs="Arial"/>
        </w:rPr>
        <w:t>i</w:t>
      </w:r>
      <w:r w:rsidR="005B17FC">
        <w:rPr>
          <w:rFonts w:ascii="Arial" w:hAnsi="Arial" w:cs="Arial"/>
        </w:rPr>
        <w:t xml:space="preserve">n </w:t>
      </w:r>
      <w:r w:rsidR="005B17FC" w:rsidRPr="005B17FC">
        <w:rPr>
          <w:rFonts w:ascii="Arial" w:hAnsi="Arial" w:cs="Arial"/>
          <w:i/>
        </w:rPr>
        <w:t>Mahupelo</w:t>
      </w:r>
      <w:r>
        <w:rPr>
          <w:rFonts w:ascii="Arial" w:hAnsi="Arial" w:cs="Arial"/>
        </w:rPr>
        <w:t xml:space="preserve">, </w:t>
      </w:r>
      <w:r w:rsidR="00C20E6B">
        <w:rPr>
          <w:rFonts w:ascii="Arial" w:hAnsi="Arial" w:cs="Arial"/>
        </w:rPr>
        <w:t>to succe</w:t>
      </w:r>
      <w:r>
        <w:rPr>
          <w:rFonts w:ascii="Arial" w:hAnsi="Arial" w:cs="Arial"/>
        </w:rPr>
        <w:t>e</w:t>
      </w:r>
      <w:r w:rsidR="00C20E6B">
        <w:rPr>
          <w:rFonts w:ascii="Arial" w:hAnsi="Arial" w:cs="Arial"/>
        </w:rPr>
        <w:t xml:space="preserve">d in a </w:t>
      </w:r>
      <w:r w:rsidR="009F12EC">
        <w:rPr>
          <w:rFonts w:ascii="Arial" w:hAnsi="Arial" w:cs="Arial"/>
        </w:rPr>
        <w:t xml:space="preserve">claim for </w:t>
      </w:r>
      <w:r w:rsidR="005B17FC">
        <w:rPr>
          <w:rFonts w:ascii="Arial" w:hAnsi="Arial" w:cs="Arial"/>
        </w:rPr>
        <w:t xml:space="preserve">the </w:t>
      </w:r>
      <w:r w:rsidR="009F12EC">
        <w:rPr>
          <w:rFonts w:ascii="Arial" w:hAnsi="Arial" w:cs="Arial"/>
        </w:rPr>
        <w:t>initiation and</w:t>
      </w:r>
      <w:r w:rsidR="005B17FC">
        <w:rPr>
          <w:rFonts w:ascii="Arial" w:hAnsi="Arial" w:cs="Arial"/>
        </w:rPr>
        <w:t>/</w:t>
      </w:r>
      <w:r w:rsidR="009F12EC">
        <w:rPr>
          <w:rFonts w:ascii="Arial" w:hAnsi="Arial" w:cs="Arial"/>
        </w:rPr>
        <w:t xml:space="preserve">or continuation of </w:t>
      </w:r>
      <w:r w:rsidR="005B17FC">
        <w:rPr>
          <w:rFonts w:ascii="Arial" w:hAnsi="Arial" w:cs="Arial"/>
        </w:rPr>
        <w:t xml:space="preserve">a </w:t>
      </w:r>
      <w:r w:rsidR="00C20E6B">
        <w:rPr>
          <w:rFonts w:ascii="Arial" w:hAnsi="Arial" w:cs="Arial"/>
        </w:rPr>
        <w:t>malicious prosecution</w:t>
      </w:r>
      <w:r w:rsidR="00F7488B">
        <w:rPr>
          <w:rFonts w:ascii="Arial" w:hAnsi="Arial" w:cs="Arial"/>
        </w:rPr>
        <w:t>,</w:t>
      </w:r>
      <w:r w:rsidR="00C20E6B">
        <w:rPr>
          <w:rFonts w:ascii="Arial" w:hAnsi="Arial" w:cs="Arial"/>
        </w:rPr>
        <w:t xml:space="preserve"> a claimant must pro</w:t>
      </w:r>
      <w:r w:rsidR="00F7488B">
        <w:rPr>
          <w:rFonts w:ascii="Arial" w:hAnsi="Arial" w:cs="Arial"/>
        </w:rPr>
        <w:t>ve</w:t>
      </w:r>
      <w:r w:rsidR="00C20E6B">
        <w:rPr>
          <w:rFonts w:ascii="Arial" w:hAnsi="Arial" w:cs="Arial"/>
        </w:rPr>
        <w:t xml:space="preserve"> </w:t>
      </w:r>
      <w:r>
        <w:rPr>
          <w:rFonts w:ascii="Arial" w:hAnsi="Arial" w:cs="Arial"/>
        </w:rPr>
        <w:t xml:space="preserve">that the prosecution was (1) initiated by the defendant; (2) terminated in </w:t>
      </w:r>
      <w:r w:rsidR="001B5B94">
        <w:rPr>
          <w:rFonts w:ascii="Arial" w:hAnsi="Arial" w:cs="Arial"/>
        </w:rPr>
        <w:t xml:space="preserve">his/her </w:t>
      </w:r>
      <w:r>
        <w:rPr>
          <w:rFonts w:ascii="Arial" w:hAnsi="Arial" w:cs="Arial"/>
        </w:rPr>
        <w:t xml:space="preserve">favour; (3) undertaken without reasonable and probable cause and (4) motivated by malice </w:t>
      </w:r>
      <w:r w:rsidR="001B5B94">
        <w:rPr>
          <w:rFonts w:ascii="Arial" w:hAnsi="Arial" w:cs="Arial"/>
        </w:rPr>
        <w:t xml:space="preserve">or improper motive </w:t>
      </w:r>
      <w:r>
        <w:rPr>
          <w:rFonts w:ascii="Arial" w:hAnsi="Arial" w:cs="Arial"/>
        </w:rPr>
        <w:t>or</w:t>
      </w:r>
      <w:r w:rsidR="00E57501">
        <w:rPr>
          <w:rFonts w:ascii="Arial" w:hAnsi="Arial" w:cs="Arial"/>
        </w:rPr>
        <w:t xml:space="preserve"> carried out</w:t>
      </w:r>
      <w:r>
        <w:rPr>
          <w:rFonts w:ascii="Arial" w:hAnsi="Arial" w:cs="Arial"/>
        </w:rPr>
        <w:t xml:space="preserve"> </w:t>
      </w:r>
      <w:r w:rsidR="00E57501">
        <w:rPr>
          <w:rFonts w:ascii="Arial" w:hAnsi="Arial" w:cs="Arial"/>
        </w:rPr>
        <w:t xml:space="preserve">with </w:t>
      </w:r>
      <w:r>
        <w:rPr>
          <w:rFonts w:ascii="Arial" w:hAnsi="Arial" w:cs="Arial"/>
        </w:rPr>
        <w:t xml:space="preserve">a primary purpose other than that </w:t>
      </w:r>
      <w:r w:rsidR="00F51AF9">
        <w:rPr>
          <w:rFonts w:ascii="Arial" w:hAnsi="Arial" w:cs="Arial"/>
        </w:rPr>
        <w:t>of carrying the law into effect, to injure the claimant.</w:t>
      </w:r>
      <w:r w:rsidR="00EA0F39">
        <w:rPr>
          <w:rStyle w:val="FootnoteReference"/>
          <w:rFonts w:ascii="Arial" w:hAnsi="Arial" w:cs="Arial"/>
        </w:rPr>
        <w:footnoteReference w:id="15"/>
      </w:r>
      <w:r w:rsidR="00697A08">
        <w:rPr>
          <w:rFonts w:ascii="Arial" w:hAnsi="Arial" w:cs="Arial"/>
        </w:rPr>
        <w:t xml:space="preserve">  The last two elements are at issue in this appeal.</w:t>
      </w:r>
    </w:p>
    <w:p w:rsidR="000B03B4" w:rsidRDefault="000B03B4" w:rsidP="001337D7">
      <w:pPr>
        <w:pStyle w:val="BodyText"/>
        <w:autoSpaceDE w:val="0"/>
        <w:autoSpaceDN w:val="0"/>
        <w:adjustRightInd w:val="0"/>
        <w:spacing w:line="480" w:lineRule="auto"/>
        <w:jc w:val="both"/>
        <w:rPr>
          <w:rFonts w:ascii="Arial" w:hAnsi="Arial" w:cs="Arial"/>
        </w:rPr>
      </w:pPr>
    </w:p>
    <w:p w:rsidR="00AD1614" w:rsidRDefault="00675E0A"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t>T</w:t>
      </w:r>
      <w:r w:rsidR="00B0066C">
        <w:rPr>
          <w:rFonts w:ascii="Arial" w:hAnsi="Arial" w:cs="Arial"/>
        </w:rPr>
        <w:t xml:space="preserve">he </w:t>
      </w:r>
      <w:r>
        <w:rPr>
          <w:rFonts w:ascii="Arial" w:hAnsi="Arial" w:cs="Arial"/>
        </w:rPr>
        <w:t>applicable principles are well establi</w:t>
      </w:r>
      <w:r w:rsidRPr="000651B0">
        <w:rPr>
          <w:rFonts w:ascii="Arial" w:hAnsi="Arial" w:cs="Arial"/>
        </w:rPr>
        <w:t xml:space="preserve">shed and have </w:t>
      </w:r>
      <w:r w:rsidR="00B0066C" w:rsidRPr="000651B0">
        <w:rPr>
          <w:rFonts w:ascii="Arial" w:hAnsi="Arial" w:cs="Arial"/>
        </w:rPr>
        <w:t>recently been reaffirmed by th</w:t>
      </w:r>
      <w:r w:rsidR="00EA0F39">
        <w:rPr>
          <w:rFonts w:ascii="Arial" w:hAnsi="Arial" w:cs="Arial"/>
        </w:rPr>
        <w:t xml:space="preserve">e Chief Justice </w:t>
      </w:r>
      <w:r w:rsidR="00B0066C" w:rsidRPr="000651B0">
        <w:rPr>
          <w:rFonts w:ascii="Arial" w:hAnsi="Arial" w:cs="Arial"/>
        </w:rPr>
        <w:t xml:space="preserve">in </w:t>
      </w:r>
      <w:r w:rsidR="00B0066C" w:rsidRPr="000651B0">
        <w:rPr>
          <w:rFonts w:ascii="Arial" w:hAnsi="Arial" w:cs="Arial"/>
          <w:i/>
        </w:rPr>
        <w:t>Mahupelo</w:t>
      </w:r>
      <w:r w:rsidR="00EA0F39">
        <w:rPr>
          <w:rFonts w:ascii="Arial" w:hAnsi="Arial" w:cs="Arial"/>
          <w:i/>
        </w:rPr>
        <w:t>.</w:t>
      </w:r>
      <w:r w:rsidR="00AD1614" w:rsidRPr="000651B0">
        <w:rPr>
          <w:rFonts w:ascii="Arial" w:hAnsi="Arial" w:cs="Arial"/>
        </w:rPr>
        <w:t xml:space="preserve"> </w:t>
      </w:r>
      <w:r w:rsidR="001B5B94">
        <w:rPr>
          <w:rFonts w:ascii="Arial" w:hAnsi="Arial" w:cs="Arial"/>
        </w:rPr>
        <w:t xml:space="preserve">There </w:t>
      </w:r>
      <w:r w:rsidR="00AD1614">
        <w:rPr>
          <w:rFonts w:ascii="Arial" w:hAnsi="Arial" w:cs="Arial"/>
        </w:rPr>
        <w:t xml:space="preserve">the </w:t>
      </w:r>
      <w:r w:rsidR="007149CE">
        <w:rPr>
          <w:rFonts w:ascii="Arial" w:hAnsi="Arial" w:cs="Arial"/>
        </w:rPr>
        <w:t>c</w:t>
      </w:r>
      <w:r w:rsidR="00705429" w:rsidRPr="00705429">
        <w:rPr>
          <w:rFonts w:ascii="Arial" w:hAnsi="Arial" w:cs="Arial"/>
        </w:rPr>
        <w:t>ourt dealt,</w:t>
      </w:r>
      <w:r w:rsidR="00457B29">
        <w:rPr>
          <w:rStyle w:val="FootnoteReference"/>
          <w:rFonts w:ascii="Arial" w:hAnsi="Arial" w:cs="Arial"/>
        </w:rPr>
        <w:footnoteReference w:id="16"/>
      </w:r>
      <w:r w:rsidR="00705429" w:rsidRPr="00705429">
        <w:rPr>
          <w:rFonts w:ascii="Arial" w:hAnsi="Arial" w:cs="Arial"/>
        </w:rPr>
        <w:t xml:space="preserve"> among other things, with the originality of the concept </w:t>
      </w:r>
      <w:r w:rsidR="00705429" w:rsidRPr="002F5818">
        <w:rPr>
          <w:rFonts w:ascii="Arial" w:hAnsi="Arial" w:cs="Arial"/>
        </w:rPr>
        <w:t>‘r</w:t>
      </w:r>
      <w:r w:rsidR="00697A08">
        <w:rPr>
          <w:rFonts w:ascii="Arial" w:hAnsi="Arial" w:cs="Arial"/>
        </w:rPr>
        <w:t>easonable and probable cause</w:t>
      </w:r>
      <w:r w:rsidR="00705429">
        <w:rPr>
          <w:rFonts w:ascii="Arial" w:hAnsi="Arial" w:cs="Arial"/>
        </w:rPr>
        <w:t xml:space="preserve">’ as </w:t>
      </w:r>
      <w:r w:rsidR="008E15BE">
        <w:rPr>
          <w:rFonts w:ascii="Arial" w:hAnsi="Arial" w:cs="Arial"/>
        </w:rPr>
        <w:t xml:space="preserve">was </w:t>
      </w:r>
      <w:r w:rsidR="00705429">
        <w:rPr>
          <w:rFonts w:ascii="Arial" w:hAnsi="Arial" w:cs="Arial"/>
        </w:rPr>
        <w:t xml:space="preserve">developed </w:t>
      </w:r>
      <w:r w:rsidR="00457B29">
        <w:rPr>
          <w:rFonts w:ascii="Arial" w:hAnsi="Arial" w:cs="Arial"/>
        </w:rPr>
        <w:t xml:space="preserve">by the English Court </w:t>
      </w:r>
      <w:r w:rsidR="00705429">
        <w:rPr>
          <w:rFonts w:ascii="Arial" w:hAnsi="Arial" w:cs="Arial"/>
        </w:rPr>
        <w:t xml:space="preserve">in </w:t>
      </w:r>
      <w:r w:rsidR="00705429" w:rsidRPr="00705429">
        <w:rPr>
          <w:rFonts w:ascii="Arial" w:hAnsi="Arial" w:cs="Arial"/>
          <w:i/>
        </w:rPr>
        <w:t>Hicks</w:t>
      </w:r>
      <w:r w:rsidR="00705429">
        <w:rPr>
          <w:rStyle w:val="FootnoteReference"/>
          <w:rFonts w:ascii="Arial" w:hAnsi="Arial" w:cs="Arial"/>
        </w:rPr>
        <w:footnoteReference w:id="17"/>
      </w:r>
      <w:r w:rsidR="008E15BE">
        <w:rPr>
          <w:rFonts w:ascii="Arial" w:hAnsi="Arial" w:cs="Arial"/>
          <w:i/>
        </w:rPr>
        <w:t xml:space="preserve"> </w:t>
      </w:r>
      <w:r w:rsidR="008E15BE">
        <w:rPr>
          <w:rFonts w:ascii="Arial" w:hAnsi="Arial" w:cs="Arial"/>
        </w:rPr>
        <w:t>and cited with approval</w:t>
      </w:r>
      <w:r w:rsidR="00457B29">
        <w:rPr>
          <w:rFonts w:ascii="Arial" w:hAnsi="Arial" w:cs="Arial"/>
        </w:rPr>
        <w:t xml:space="preserve"> by the South African court </w:t>
      </w:r>
      <w:r w:rsidR="008E15BE">
        <w:rPr>
          <w:rFonts w:ascii="Arial" w:hAnsi="Arial" w:cs="Arial"/>
        </w:rPr>
        <w:t xml:space="preserve">in </w:t>
      </w:r>
      <w:r w:rsidR="008E15BE" w:rsidRPr="00457B29">
        <w:rPr>
          <w:rFonts w:ascii="Arial" w:hAnsi="Arial" w:cs="Arial"/>
          <w:i/>
        </w:rPr>
        <w:t>Waterhouse</w:t>
      </w:r>
      <w:r w:rsidR="008E15BE">
        <w:rPr>
          <w:rFonts w:ascii="Arial" w:hAnsi="Arial" w:cs="Arial"/>
        </w:rPr>
        <w:t>.</w:t>
      </w:r>
      <w:r w:rsidR="008E15BE">
        <w:rPr>
          <w:rStyle w:val="FootnoteReference"/>
          <w:rFonts w:ascii="Arial" w:hAnsi="Arial" w:cs="Arial"/>
        </w:rPr>
        <w:footnoteReference w:id="18"/>
      </w:r>
      <w:r w:rsidR="008E15BE">
        <w:rPr>
          <w:rFonts w:ascii="Arial" w:hAnsi="Arial" w:cs="Arial"/>
        </w:rPr>
        <w:t xml:space="preserve"> </w:t>
      </w:r>
      <w:r w:rsidR="00457B29">
        <w:rPr>
          <w:rFonts w:ascii="Arial" w:hAnsi="Arial" w:cs="Arial"/>
        </w:rPr>
        <w:t xml:space="preserve">The </w:t>
      </w:r>
      <w:r w:rsidR="00697A08">
        <w:rPr>
          <w:rFonts w:ascii="Arial" w:hAnsi="Arial" w:cs="Arial"/>
        </w:rPr>
        <w:t xml:space="preserve">inquiry </w:t>
      </w:r>
      <w:r w:rsidR="00457B29">
        <w:rPr>
          <w:rFonts w:ascii="Arial" w:hAnsi="Arial" w:cs="Arial"/>
        </w:rPr>
        <w:t xml:space="preserve">into </w:t>
      </w:r>
      <w:r w:rsidR="001B5B94">
        <w:rPr>
          <w:rFonts w:ascii="Arial" w:hAnsi="Arial" w:cs="Arial"/>
        </w:rPr>
        <w:t>what the concept entails, as</w:t>
      </w:r>
      <w:r w:rsidR="00457B29">
        <w:rPr>
          <w:rFonts w:ascii="Arial" w:hAnsi="Arial" w:cs="Arial"/>
        </w:rPr>
        <w:t xml:space="preserve"> </w:t>
      </w:r>
      <w:r w:rsidR="00AD1614">
        <w:rPr>
          <w:rFonts w:ascii="Arial" w:hAnsi="Arial" w:cs="Arial"/>
        </w:rPr>
        <w:t>reaffirmed</w:t>
      </w:r>
      <w:r w:rsidR="001B5B94">
        <w:rPr>
          <w:rFonts w:ascii="Arial" w:hAnsi="Arial" w:cs="Arial"/>
        </w:rPr>
        <w:t>,</w:t>
      </w:r>
      <w:r w:rsidR="00457B29">
        <w:rPr>
          <w:rStyle w:val="FootnoteReference"/>
          <w:rFonts w:ascii="Arial" w:hAnsi="Arial" w:cs="Arial"/>
        </w:rPr>
        <w:footnoteReference w:id="19"/>
      </w:r>
      <w:r w:rsidR="00457B29">
        <w:rPr>
          <w:rFonts w:ascii="Arial" w:hAnsi="Arial" w:cs="Arial"/>
        </w:rPr>
        <w:t xml:space="preserve"> </w:t>
      </w:r>
      <w:r w:rsidR="00697A08">
        <w:rPr>
          <w:rFonts w:ascii="Arial" w:hAnsi="Arial" w:cs="Arial"/>
        </w:rPr>
        <w:t>comp</w:t>
      </w:r>
      <w:r w:rsidR="002F5818">
        <w:rPr>
          <w:rFonts w:ascii="Arial" w:hAnsi="Arial" w:cs="Arial"/>
        </w:rPr>
        <w:t>rises both the subjective and</w:t>
      </w:r>
      <w:r w:rsidR="00697A08">
        <w:rPr>
          <w:rFonts w:ascii="Arial" w:hAnsi="Arial" w:cs="Arial"/>
        </w:rPr>
        <w:t xml:space="preserve"> objective components, such that for grounds to exist there must be actual belief on the part of the prosecutor</w:t>
      </w:r>
      <w:r w:rsidR="00A9587E">
        <w:rPr>
          <w:rFonts w:ascii="Arial" w:hAnsi="Arial" w:cs="Arial"/>
        </w:rPr>
        <w:t xml:space="preserve"> that the plaintiff had committed the crimes </w:t>
      </w:r>
      <w:r w:rsidR="00697A08">
        <w:rPr>
          <w:rFonts w:ascii="Arial" w:hAnsi="Arial" w:cs="Arial"/>
        </w:rPr>
        <w:t xml:space="preserve">and that belief must be reasonable in the circumstances. </w:t>
      </w:r>
    </w:p>
    <w:p w:rsidR="00AD1614" w:rsidRDefault="00AD1614" w:rsidP="001337D7">
      <w:pPr>
        <w:pStyle w:val="BodyText"/>
        <w:autoSpaceDE w:val="0"/>
        <w:autoSpaceDN w:val="0"/>
        <w:adjustRightInd w:val="0"/>
        <w:spacing w:line="480" w:lineRule="auto"/>
        <w:jc w:val="both"/>
        <w:rPr>
          <w:rFonts w:ascii="Arial" w:hAnsi="Arial" w:cs="Arial"/>
        </w:rPr>
      </w:pPr>
    </w:p>
    <w:p w:rsidR="00697A08" w:rsidRDefault="00267DEA"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lastRenderedPageBreak/>
        <w:t>The subjective belief of the defendant in the gui</w:t>
      </w:r>
      <w:r w:rsidR="00D16FC4">
        <w:rPr>
          <w:rFonts w:ascii="Arial" w:hAnsi="Arial" w:cs="Arial"/>
        </w:rPr>
        <w:t>l</w:t>
      </w:r>
      <w:r>
        <w:rPr>
          <w:rFonts w:ascii="Arial" w:hAnsi="Arial" w:cs="Arial"/>
        </w:rPr>
        <w:t>t of the plain</w:t>
      </w:r>
      <w:r w:rsidR="00D16FC4">
        <w:rPr>
          <w:rFonts w:ascii="Arial" w:hAnsi="Arial" w:cs="Arial"/>
        </w:rPr>
        <w:t xml:space="preserve">tiff </w:t>
      </w:r>
      <w:r>
        <w:rPr>
          <w:rFonts w:ascii="Arial" w:hAnsi="Arial" w:cs="Arial"/>
        </w:rPr>
        <w:t xml:space="preserve">is a </w:t>
      </w:r>
      <w:r w:rsidR="00D16FC4">
        <w:rPr>
          <w:rFonts w:ascii="Arial" w:hAnsi="Arial" w:cs="Arial"/>
        </w:rPr>
        <w:t xml:space="preserve">necessary element for the existence </w:t>
      </w:r>
      <w:r>
        <w:rPr>
          <w:rFonts w:ascii="Arial" w:hAnsi="Arial" w:cs="Arial"/>
        </w:rPr>
        <w:t>of reasonable and probable cause.</w:t>
      </w:r>
      <w:r w:rsidR="00D16FC4">
        <w:rPr>
          <w:rStyle w:val="FootnoteReference"/>
          <w:rFonts w:ascii="Arial" w:hAnsi="Arial" w:cs="Arial"/>
        </w:rPr>
        <w:footnoteReference w:id="20"/>
      </w:r>
      <w:r w:rsidR="00D16FC4">
        <w:rPr>
          <w:rFonts w:ascii="Arial" w:hAnsi="Arial" w:cs="Arial"/>
        </w:rPr>
        <w:t xml:space="preserve"> </w:t>
      </w:r>
      <w:r w:rsidR="00B0066C">
        <w:rPr>
          <w:rFonts w:ascii="Arial" w:hAnsi="Arial" w:cs="Arial"/>
        </w:rPr>
        <w:t xml:space="preserve">It needs to be emphasised that the </w:t>
      </w:r>
      <w:r w:rsidR="00697A08">
        <w:rPr>
          <w:rFonts w:ascii="Arial" w:hAnsi="Arial" w:cs="Arial"/>
        </w:rPr>
        <w:t>reasonable and probable cause inqui</w:t>
      </w:r>
      <w:r w:rsidR="009F12EC">
        <w:rPr>
          <w:rFonts w:ascii="Arial" w:hAnsi="Arial" w:cs="Arial"/>
        </w:rPr>
        <w:t>ry is not concerned with the</w:t>
      </w:r>
      <w:r w:rsidR="00697A08">
        <w:rPr>
          <w:rFonts w:ascii="Arial" w:hAnsi="Arial" w:cs="Arial"/>
        </w:rPr>
        <w:t xml:space="preserve"> prosecutor’s personal views as to the accused’s guilt but with </w:t>
      </w:r>
      <w:r w:rsidR="00B0066C">
        <w:rPr>
          <w:rFonts w:ascii="Arial" w:hAnsi="Arial" w:cs="Arial"/>
        </w:rPr>
        <w:t>her or</w:t>
      </w:r>
      <w:r w:rsidR="00697A08">
        <w:rPr>
          <w:rFonts w:ascii="Arial" w:hAnsi="Arial" w:cs="Arial"/>
        </w:rPr>
        <w:t xml:space="preserve"> his professional assessment of the legal strength of the case.</w:t>
      </w:r>
      <w:r w:rsidR="00D61482">
        <w:rPr>
          <w:rStyle w:val="FootnoteReference"/>
          <w:rFonts w:ascii="Arial" w:hAnsi="Arial" w:cs="Arial"/>
        </w:rPr>
        <w:footnoteReference w:id="21"/>
      </w:r>
      <w:r w:rsidR="00697A08">
        <w:rPr>
          <w:rFonts w:ascii="Arial" w:hAnsi="Arial" w:cs="Arial"/>
        </w:rPr>
        <w:t xml:space="preserve"> This is so because the prosecutor cannot substitute h</w:t>
      </w:r>
      <w:r w:rsidR="00B0066C">
        <w:rPr>
          <w:rFonts w:ascii="Arial" w:hAnsi="Arial" w:cs="Arial"/>
        </w:rPr>
        <w:t>er or his view for that of the judicial officer.</w:t>
      </w:r>
      <w:r w:rsidR="00D61482">
        <w:rPr>
          <w:rStyle w:val="FootnoteReference"/>
          <w:rFonts w:ascii="Arial" w:hAnsi="Arial" w:cs="Arial"/>
        </w:rPr>
        <w:footnoteReference w:id="22"/>
      </w:r>
    </w:p>
    <w:p w:rsidR="00D61482" w:rsidRDefault="00D61482" w:rsidP="001337D7">
      <w:pPr>
        <w:pStyle w:val="BodyText"/>
        <w:autoSpaceDE w:val="0"/>
        <w:autoSpaceDN w:val="0"/>
        <w:adjustRightInd w:val="0"/>
        <w:spacing w:line="480" w:lineRule="auto"/>
        <w:jc w:val="both"/>
        <w:rPr>
          <w:rFonts w:ascii="Arial" w:hAnsi="Arial" w:cs="Arial"/>
        </w:rPr>
      </w:pPr>
    </w:p>
    <w:p w:rsidR="00D61482" w:rsidRDefault="00D61482"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t xml:space="preserve">In </w:t>
      </w:r>
      <w:r w:rsidRPr="00D61482">
        <w:rPr>
          <w:rFonts w:ascii="Arial" w:hAnsi="Arial" w:cs="Arial"/>
          <w:i/>
        </w:rPr>
        <w:t>Beckenstrater</w:t>
      </w:r>
      <w:r w:rsidR="00D16FC4">
        <w:rPr>
          <w:rFonts w:ascii="Arial" w:hAnsi="Arial" w:cs="Arial"/>
          <w:i/>
        </w:rPr>
        <w:t>,</w:t>
      </w:r>
      <w:r>
        <w:rPr>
          <w:rStyle w:val="FootnoteReference"/>
          <w:rFonts w:ascii="Arial" w:hAnsi="Arial" w:cs="Arial"/>
        </w:rPr>
        <w:footnoteReference w:id="23"/>
      </w:r>
      <w:r w:rsidR="00267DEA">
        <w:rPr>
          <w:rFonts w:ascii="Arial" w:hAnsi="Arial" w:cs="Arial"/>
        </w:rPr>
        <w:t xml:space="preserve"> also quoted with approval in </w:t>
      </w:r>
      <w:r w:rsidR="00267DEA" w:rsidRPr="00267DEA">
        <w:rPr>
          <w:rFonts w:ascii="Arial" w:hAnsi="Arial" w:cs="Arial"/>
          <w:i/>
        </w:rPr>
        <w:t>Mahupelo</w:t>
      </w:r>
      <w:r w:rsidR="00D16FC4" w:rsidRPr="00D16FC4">
        <w:rPr>
          <w:rFonts w:ascii="Arial" w:hAnsi="Arial" w:cs="Arial"/>
        </w:rPr>
        <w:t>,</w:t>
      </w:r>
      <w:r w:rsidR="009413AB">
        <w:rPr>
          <w:rStyle w:val="FootnoteReference"/>
          <w:rFonts w:ascii="Arial" w:hAnsi="Arial" w:cs="Arial"/>
        </w:rPr>
        <w:footnoteReference w:id="24"/>
      </w:r>
      <w:r>
        <w:rPr>
          <w:rFonts w:ascii="Arial" w:hAnsi="Arial" w:cs="Arial"/>
        </w:rPr>
        <w:t xml:space="preserve"> the South African Appellate Division formulated the principle as follows:</w:t>
      </w:r>
    </w:p>
    <w:p w:rsidR="005D5EEF" w:rsidRDefault="005D5EEF" w:rsidP="001337D7">
      <w:pPr>
        <w:pStyle w:val="BodyText"/>
        <w:autoSpaceDE w:val="0"/>
        <w:autoSpaceDN w:val="0"/>
        <w:adjustRightInd w:val="0"/>
        <w:spacing w:line="360" w:lineRule="auto"/>
        <w:jc w:val="both"/>
        <w:rPr>
          <w:rFonts w:ascii="Arial" w:hAnsi="Arial" w:cs="Arial"/>
        </w:rPr>
      </w:pPr>
    </w:p>
    <w:p w:rsidR="00D61482" w:rsidRDefault="00D61482" w:rsidP="001337D7">
      <w:pPr>
        <w:pStyle w:val="BodyText"/>
        <w:autoSpaceDE w:val="0"/>
        <w:autoSpaceDN w:val="0"/>
        <w:adjustRightInd w:val="0"/>
        <w:spacing w:line="360" w:lineRule="auto"/>
        <w:ind w:left="720"/>
        <w:jc w:val="both"/>
        <w:rPr>
          <w:rFonts w:ascii="Arial" w:hAnsi="Arial" w:cs="Arial"/>
          <w:sz w:val="22"/>
          <w:szCs w:val="22"/>
        </w:rPr>
      </w:pPr>
      <w:r w:rsidRPr="00267DEA">
        <w:rPr>
          <w:rFonts w:ascii="Arial" w:hAnsi="Arial" w:cs="Arial"/>
          <w:sz w:val="22"/>
          <w:szCs w:val="22"/>
        </w:rPr>
        <w:t>‘When it is alleged that a defendant had n</w:t>
      </w:r>
      <w:r w:rsidR="00A9587E">
        <w:rPr>
          <w:rFonts w:ascii="Arial" w:hAnsi="Arial" w:cs="Arial"/>
          <w:sz w:val="22"/>
          <w:szCs w:val="22"/>
        </w:rPr>
        <w:t>o reasonable cause for prosecut</w:t>
      </w:r>
      <w:r w:rsidRPr="00267DEA">
        <w:rPr>
          <w:rFonts w:ascii="Arial" w:hAnsi="Arial" w:cs="Arial"/>
          <w:sz w:val="22"/>
          <w:szCs w:val="22"/>
        </w:rPr>
        <w:t xml:space="preserve">ing, I understand this to mean that he did not have such information as would lead a reasonable man to conclude </w:t>
      </w:r>
      <w:r w:rsidRPr="00460267">
        <w:rPr>
          <w:rFonts w:ascii="Arial" w:hAnsi="Arial" w:cs="Arial"/>
          <w:sz w:val="22"/>
          <w:szCs w:val="22"/>
        </w:rPr>
        <w:t xml:space="preserve">that </w:t>
      </w:r>
      <w:r w:rsidR="00095A9E" w:rsidRPr="00460267">
        <w:rPr>
          <w:rFonts w:ascii="Arial" w:hAnsi="Arial" w:cs="Arial"/>
          <w:sz w:val="22"/>
          <w:szCs w:val="22"/>
        </w:rPr>
        <w:t>t</w:t>
      </w:r>
      <w:r w:rsidRPr="00460267">
        <w:rPr>
          <w:rFonts w:ascii="Arial" w:hAnsi="Arial" w:cs="Arial"/>
          <w:sz w:val="22"/>
          <w:szCs w:val="22"/>
        </w:rPr>
        <w:t>he plaintiff h</w:t>
      </w:r>
      <w:r w:rsidR="00A9587E" w:rsidRPr="00460267">
        <w:rPr>
          <w:rFonts w:ascii="Arial" w:hAnsi="Arial" w:cs="Arial"/>
          <w:sz w:val="22"/>
          <w:szCs w:val="22"/>
        </w:rPr>
        <w:t>ad probably been guilt</w:t>
      </w:r>
      <w:r w:rsidR="002F5818">
        <w:rPr>
          <w:rFonts w:ascii="Arial" w:hAnsi="Arial" w:cs="Arial"/>
          <w:sz w:val="22"/>
          <w:szCs w:val="22"/>
        </w:rPr>
        <w:t>y</w:t>
      </w:r>
      <w:r w:rsidR="00A9587E" w:rsidRPr="00460267">
        <w:rPr>
          <w:rFonts w:ascii="Arial" w:hAnsi="Arial" w:cs="Arial"/>
          <w:sz w:val="22"/>
          <w:szCs w:val="22"/>
        </w:rPr>
        <w:t xml:space="preserve"> of the offe</w:t>
      </w:r>
      <w:r w:rsidRPr="00460267">
        <w:rPr>
          <w:rFonts w:ascii="Arial" w:hAnsi="Arial" w:cs="Arial"/>
          <w:sz w:val="22"/>
          <w:szCs w:val="22"/>
        </w:rPr>
        <w:t>nce charged; if, despite his having such information, the defendant is shown not to have believed in the plaintiff’s guilt, a subjective element comes into pla</w:t>
      </w:r>
      <w:r w:rsidR="00095A9E" w:rsidRPr="00460267">
        <w:rPr>
          <w:rFonts w:ascii="Arial" w:hAnsi="Arial" w:cs="Arial"/>
          <w:sz w:val="22"/>
          <w:szCs w:val="22"/>
        </w:rPr>
        <w:t>y</w:t>
      </w:r>
      <w:r w:rsidRPr="00460267">
        <w:rPr>
          <w:rFonts w:ascii="Arial" w:hAnsi="Arial" w:cs="Arial"/>
          <w:sz w:val="22"/>
          <w:szCs w:val="22"/>
        </w:rPr>
        <w:t xml:space="preserve"> and disproves the</w:t>
      </w:r>
      <w:r w:rsidRPr="00267DEA">
        <w:rPr>
          <w:rFonts w:ascii="Arial" w:hAnsi="Arial" w:cs="Arial"/>
          <w:sz w:val="22"/>
          <w:szCs w:val="22"/>
        </w:rPr>
        <w:t xml:space="preserve"> existence</w:t>
      </w:r>
      <w:r w:rsidR="00267DEA" w:rsidRPr="00267DEA">
        <w:rPr>
          <w:rFonts w:ascii="Arial" w:hAnsi="Arial" w:cs="Arial"/>
          <w:sz w:val="22"/>
          <w:szCs w:val="22"/>
        </w:rPr>
        <w:t>, for the defendant, of reasonable and probabl</w:t>
      </w:r>
      <w:r w:rsidR="002F5818">
        <w:rPr>
          <w:rFonts w:ascii="Arial" w:hAnsi="Arial" w:cs="Arial"/>
          <w:sz w:val="22"/>
          <w:szCs w:val="22"/>
        </w:rPr>
        <w:t>e</w:t>
      </w:r>
      <w:r w:rsidR="00267DEA" w:rsidRPr="00267DEA">
        <w:rPr>
          <w:rFonts w:ascii="Arial" w:hAnsi="Arial" w:cs="Arial"/>
          <w:sz w:val="22"/>
          <w:szCs w:val="22"/>
        </w:rPr>
        <w:t xml:space="preserve"> cause.’</w:t>
      </w:r>
      <w:r w:rsidR="00267DEA" w:rsidRPr="00267DEA">
        <w:rPr>
          <w:rStyle w:val="FootnoteReference"/>
          <w:rFonts w:ascii="Arial" w:hAnsi="Arial" w:cs="Arial"/>
          <w:sz w:val="22"/>
          <w:szCs w:val="22"/>
        </w:rPr>
        <w:footnoteReference w:id="25"/>
      </w:r>
      <w:r w:rsidRPr="00267DEA">
        <w:rPr>
          <w:rFonts w:ascii="Arial" w:hAnsi="Arial" w:cs="Arial"/>
          <w:sz w:val="22"/>
          <w:szCs w:val="22"/>
        </w:rPr>
        <w:t xml:space="preserve"> </w:t>
      </w:r>
    </w:p>
    <w:p w:rsidR="000B715D" w:rsidRPr="00267DEA" w:rsidRDefault="000B715D" w:rsidP="001337D7">
      <w:pPr>
        <w:pStyle w:val="BodyText"/>
        <w:autoSpaceDE w:val="0"/>
        <w:autoSpaceDN w:val="0"/>
        <w:adjustRightInd w:val="0"/>
        <w:spacing w:line="480" w:lineRule="auto"/>
        <w:jc w:val="both"/>
        <w:rPr>
          <w:rFonts w:ascii="Arial" w:hAnsi="Arial" w:cs="Arial"/>
          <w:sz w:val="22"/>
          <w:szCs w:val="22"/>
        </w:rPr>
      </w:pPr>
    </w:p>
    <w:p w:rsidR="00522FBD" w:rsidRDefault="00B0066C"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t xml:space="preserve">As to the last element, </w:t>
      </w:r>
      <w:r w:rsidR="00EA0F39">
        <w:rPr>
          <w:rFonts w:ascii="Arial" w:hAnsi="Arial" w:cs="Arial"/>
        </w:rPr>
        <w:t xml:space="preserve">concerning </w:t>
      </w:r>
      <w:r>
        <w:rPr>
          <w:rFonts w:ascii="Arial" w:hAnsi="Arial" w:cs="Arial"/>
        </w:rPr>
        <w:t>malice</w:t>
      </w:r>
      <w:r w:rsidR="00EA0F39">
        <w:rPr>
          <w:rFonts w:ascii="Arial" w:hAnsi="Arial" w:cs="Arial"/>
        </w:rPr>
        <w:t xml:space="preserve"> or improper motive</w:t>
      </w:r>
      <w:r w:rsidR="00EF1295">
        <w:rPr>
          <w:rFonts w:ascii="Arial" w:hAnsi="Arial" w:cs="Arial"/>
        </w:rPr>
        <w:t>, the defendant’s knowledge or realisation of the plain</w:t>
      </w:r>
      <w:r w:rsidR="003E341E">
        <w:rPr>
          <w:rFonts w:ascii="Arial" w:hAnsi="Arial" w:cs="Arial"/>
        </w:rPr>
        <w:t>t</w:t>
      </w:r>
      <w:r w:rsidR="00EF1295">
        <w:rPr>
          <w:rFonts w:ascii="Arial" w:hAnsi="Arial" w:cs="Arial"/>
        </w:rPr>
        <w:t xml:space="preserve">iff’s innocence will, unavoidably, result in the conclusion that there were no grounds for prosecution and therefore that the instigation of and continued prosecution was solely on the ground </w:t>
      </w:r>
      <w:r w:rsidR="00327942">
        <w:rPr>
          <w:rFonts w:ascii="Arial" w:hAnsi="Arial" w:cs="Arial"/>
        </w:rPr>
        <w:t xml:space="preserve">of </w:t>
      </w:r>
      <w:r w:rsidR="00327942" w:rsidRPr="003421F0">
        <w:rPr>
          <w:rFonts w:ascii="Arial" w:hAnsi="Arial" w:cs="Arial"/>
          <w:i/>
        </w:rPr>
        <w:t>animus iniuriandi</w:t>
      </w:r>
      <w:r w:rsidR="00863DAD">
        <w:rPr>
          <w:rFonts w:ascii="Arial" w:hAnsi="Arial" w:cs="Arial"/>
        </w:rPr>
        <w:t xml:space="preserve"> </w:t>
      </w:r>
      <w:r w:rsidR="003E341E" w:rsidRPr="000B715D">
        <w:rPr>
          <w:rFonts w:ascii="Arial" w:hAnsi="Arial" w:cs="Arial"/>
        </w:rPr>
        <w:t>(</w:t>
      </w:r>
      <w:r w:rsidR="00863DAD" w:rsidRPr="000B715D">
        <w:rPr>
          <w:rFonts w:ascii="Arial" w:hAnsi="Arial" w:cs="Arial"/>
        </w:rPr>
        <w:t xml:space="preserve">intention </w:t>
      </w:r>
      <w:r w:rsidR="00863DAD" w:rsidRPr="000B715D">
        <w:rPr>
          <w:rFonts w:ascii="Arial" w:hAnsi="Arial" w:cs="Arial"/>
        </w:rPr>
        <w:lastRenderedPageBreak/>
        <w:t>to injure</w:t>
      </w:r>
      <w:r w:rsidR="003E341E" w:rsidRPr="000B715D">
        <w:rPr>
          <w:rFonts w:ascii="Arial" w:hAnsi="Arial" w:cs="Arial"/>
        </w:rPr>
        <w:t>)</w:t>
      </w:r>
      <w:r w:rsidR="00327942" w:rsidRPr="000B715D">
        <w:rPr>
          <w:rStyle w:val="FootnoteReference"/>
          <w:rFonts w:ascii="Arial" w:hAnsi="Arial" w:cs="Arial"/>
        </w:rPr>
        <w:footnoteReference w:id="26"/>
      </w:r>
      <w:r w:rsidR="00327942">
        <w:rPr>
          <w:rFonts w:ascii="Arial" w:hAnsi="Arial" w:cs="Arial"/>
        </w:rPr>
        <w:t xml:space="preserve"> </w:t>
      </w:r>
      <w:r w:rsidR="00EA0F39">
        <w:rPr>
          <w:rFonts w:ascii="Arial" w:hAnsi="Arial" w:cs="Arial"/>
        </w:rPr>
        <w:t>or</w:t>
      </w:r>
      <w:r w:rsidR="00EF1295">
        <w:rPr>
          <w:rFonts w:ascii="Arial" w:hAnsi="Arial" w:cs="Arial"/>
        </w:rPr>
        <w:t xml:space="preserve"> an improper motiv</w:t>
      </w:r>
      <w:r w:rsidR="00EA0F39">
        <w:rPr>
          <w:rFonts w:ascii="Arial" w:hAnsi="Arial" w:cs="Arial"/>
        </w:rPr>
        <w:t>e.</w:t>
      </w:r>
      <w:r w:rsidR="005E2BCB">
        <w:rPr>
          <w:rFonts w:ascii="Arial" w:hAnsi="Arial" w:cs="Arial"/>
        </w:rPr>
        <w:t xml:space="preserve"> </w:t>
      </w:r>
      <w:r w:rsidR="008F777A">
        <w:rPr>
          <w:rFonts w:ascii="Arial" w:hAnsi="Arial" w:cs="Arial"/>
        </w:rPr>
        <w:t>In that instance</w:t>
      </w:r>
      <w:r w:rsidR="00EA0F39">
        <w:rPr>
          <w:rFonts w:ascii="Arial" w:hAnsi="Arial" w:cs="Arial"/>
        </w:rPr>
        <w:t xml:space="preserve"> the </w:t>
      </w:r>
      <w:r w:rsidR="00EF1295">
        <w:rPr>
          <w:rFonts w:ascii="Arial" w:hAnsi="Arial" w:cs="Arial"/>
        </w:rPr>
        <w:t>defendant’s action</w:t>
      </w:r>
      <w:r w:rsidR="002F5818">
        <w:rPr>
          <w:rFonts w:ascii="Arial" w:hAnsi="Arial" w:cs="Arial"/>
        </w:rPr>
        <w:t>s</w:t>
      </w:r>
      <w:r w:rsidR="00EF1295">
        <w:rPr>
          <w:rFonts w:ascii="Arial" w:hAnsi="Arial" w:cs="Arial"/>
        </w:rPr>
        <w:t xml:space="preserve"> will th</w:t>
      </w:r>
      <w:r w:rsidR="005E2BCB">
        <w:rPr>
          <w:rFonts w:ascii="Arial" w:hAnsi="Arial" w:cs="Arial"/>
        </w:rPr>
        <w:t>erefore</w:t>
      </w:r>
      <w:r w:rsidR="00EF1295">
        <w:rPr>
          <w:rFonts w:ascii="Arial" w:hAnsi="Arial" w:cs="Arial"/>
        </w:rPr>
        <w:t xml:space="preserve"> be unreasonable and consequently unlawful.</w:t>
      </w:r>
      <w:r w:rsidR="00C34537">
        <w:rPr>
          <w:rFonts w:ascii="Arial" w:hAnsi="Arial" w:cs="Arial"/>
        </w:rPr>
        <w:t xml:space="preserve"> </w:t>
      </w:r>
    </w:p>
    <w:p w:rsidR="005D5EEF" w:rsidRDefault="005D5EEF" w:rsidP="001337D7">
      <w:pPr>
        <w:pStyle w:val="BodyText"/>
        <w:autoSpaceDE w:val="0"/>
        <w:autoSpaceDN w:val="0"/>
        <w:adjustRightInd w:val="0"/>
        <w:spacing w:line="480" w:lineRule="auto"/>
        <w:jc w:val="both"/>
        <w:rPr>
          <w:rFonts w:ascii="Arial" w:hAnsi="Arial" w:cs="Arial"/>
        </w:rPr>
      </w:pPr>
    </w:p>
    <w:p w:rsidR="005E2BCB" w:rsidRPr="00317293" w:rsidRDefault="005E2BCB" w:rsidP="001337D7">
      <w:pPr>
        <w:pStyle w:val="BodyText"/>
        <w:autoSpaceDE w:val="0"/>
        <w:autoSpaceDN w:val="0"/>
        <w:adjustRightInd w:val="0"/>
        <w:spacing w:line="480" w:lineRule="auto"/>
        <w:jc w:val="both"/>
        <w:rPr>
          <w:rFonts w:ascii="Arial" w:hAnsi="Arial" w:cs="Arial"/>
          <w:u w:val="single"/>
        </w:rPr>
      </w:pPr>
      <w:r w:rsidRPr="00317293">
        <w:rPr>
          <w:rFonts w:ascii="Arial" w:hAnsi="Arial" w:cs="Arial"/>
          <w:u w:val="single"/>
        </w:rPr>
        <w:t>Assessment</w:t>
      </w:r>
    </w:p>
    <w:p w:rsidR="009F12EC" w:rsidRDefault="00D61482"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t>The question w</w:t>
      </w:r>
      <w:r w:rsidR="000D740A">
        <w:rPr>
          <w:rFonts w:ascii="Arial" w:hAnsi="Arial" w:cs="Arial"/>
        </w:rPr>
        <w:t>hether reasonable grounds exist</w:t>
      </w:r>
      <w:r>
        <w:rPr>
          <w:rFonts w:ascii="Arial" w:hAnsi="Arial" w:cs="Arial"/>
        </w:rPr>
        <w:t xml:space="preserve"> </w:t>
      </w:r>
      <w:r w:rsidR="004E0EC0">
        <w:rPr>
          <w:rFonts w:ascii="Arial" w:hAnsi="Arial" w:cs="Arial"/>
        </w:rPr>
        <w:t xml:space="preserve">should </w:t>
      </w:r>
      <w:r>
        <w:rPr>
          <w:rFonts w:ascii="Arial" w:hAnsi="Arial" w:cs="Arial"/>
        </w:rPr>
        <w:t>be determined by reference to the facts of each particular case. Those facts must then reasonably indicate that the plaintiff</w:t>
      </w:r>
      <w:r w:rsidR="00267DEA">
        <w:rPr>
          <w:rFonts w:ascii="Arial" w:hAnsi="Arial" w:cs="Arial"/>
        </w:rPr>
        <w:t xml:space="preserve"> </w:t>
      </w:r>
      <w:r>
        <w:rPr>
          <w:rFonts w:ascii="Arial" w:hAnsi="Arial" w:cs="Arial"/>
        </w:rPr>
        <w:t>probably committed the crime concerned.</w:t>
      </w:r>
      <w:r>
        <w:rPr>
          <w:rStyle w:val="FootnoteReference"/>
          <w:rFonts w:ascii="Arial" w:hAnsi="Arial" w:cs="Arial"/>
        </w:rPr>
        <w:footnoteReference w:id="27"/>
      </w:r>
      <w:r w:rsidR="00B0066C">
        <w:rPr>
          <w:rFonts w:ascii="Arial" w:hAnsi="Arial" w:cs="Arial"/>
        </w:rPr>
        <w:t xml:space="preserve">  </w:t>
      </w:r>
    </w:p>
    <w:p w:rsidR="00F54E89" w:rsidRDefault="00F54E89" w:rsidP="001337D7">
      <w:pPr>
        <w:pStyle w:val="BodyText"/>
        <w:autoSpaceDE w:val="0"/>
        <w:autoSpaceDN w:val="0"/>
        <w:adjustRightInd w:val="0"/>
        <w:spacing w:line="480" w:lineRule="auto"/>
        <w:jc w:val="both"/>
        <w:rPr>
          <w:rFonts w:ascii="Arial" w:hAnsi="Arial" w:cs="Arial"/>
        </w:rPr>
      </w:pPr>
    </w:p>
    <w:p w:rsidR="00894DC0" w:rsidRDefault="000203B7"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t xml:space="preserve">The summary of the evidence in relation to the respondent, which was presented at the criminal trial, recites the information in the </w:t>
      </w:r>
      <w:r w:rsidR="004E0EC0">
        <w:rPr>
          <w:rFonts w:ascii="Arial" w:hAnsi="Arial" w:cs="Arial"/>
        </w:rPr>
        <w:t>witnesses’ st</w:t>
      </w:r>
      <w:r>
        <w:rPr>
          <w:rFonts w:ascii="Arial" w:hAnsi="Arial" w:cs="Arial"/>
        </w:rPr>
        <w:t xml:space="preserve">atements referred to earlier. </w:t>
      </w:r>
      <w:r w:rsidR="00863DAD">
        <w:rPr>
          <w:rFonts w:ascii="Arial" w:hAnsi="Arial" w:cs="Arial"/>
        </w:rPr>
        <w:t xml:space="preserve">To recap, the information </w:t>
      </w:r>
      <w:r w:rsidR="004E0EC0">
        <w:rPr>
          <w:rFonts w:ascii="Arial" w:hAnsi="Arial" w:cs="Arial"/>
        </w:rPr>
        <w:t>reveal</w:t>
      </w:r>
      <w:r w:rsidR="001B5B94">
        <w:rPr>
          <w:rFonts w:ascii="Arial" w:hAnsi="Arial" w:cs="Arial"/>
        </w:rPr>
        <w:t>s</w:t>
      </w:r>
      <w:r w:rsidR="00863DAD">
        <w:rPr>
          <w:rFonts w:ascii="Arial" w:hAnsi="Arial" w:cs="Arial"/>
        </w:rPr>
        <w:t xml:space="preserve"> </w:t>
      </w:r>
      <w:r w:rsidR="004E0EC0">
        <w:rPr>
          <w:rFonts w:ascii="Arial" w:hAnsi="Arial" w:cs="Arial"/>
        </w:rPr>
        <w:t>that t</w:t>
      </w:r>
      <w:r w:rsidR="00556C30">
        <w:rPr>
          <w:rFonts w:ascii="Arial" w:hAnsi="Arial" w:cs="Arial"/>
        </w:rPr>
        <w:t xml:space="preserve">he respondent </w:t>
      </w:r>
      <w:r w:rsidR="009F6F9B">
        <w:rPr>
          <w:rFonts w:ascii="Arial" w:hAnsi="Arial" w:cs="Arial"/>
        </w:rPr>
        <w:t>participat</w:t>
      </w:r>
      <w:r w:rsidR="000D740A">
        <w:rPr>
          <w:rFonts w:ascii="Arial" w:hAnsi="Arial" w:cs="Arial"/>
        </w:rPr>
        <w:t xml:space="preserve">ed in the conspiracy </w:t>
      </w:r>
      <w:r w:rsidR="00903A43">
        <w:rPr>
          <w:rFonts w:ascii="Arial" w:hAnsi="Arial" w:cs="Arial"/>
        </w:rPr>
        <w:t xml:space="preserve">by, among other things, attending </w:t>
      </w:r>
      <w:r w:rsidR="00556C30">
        <w:rPr>
          <w:rFonts w:ascii="Arial" w:hAnsi="Arial" w:cs="Arial"/>
        </w:rPr>
        <w:t xml:space="preserve">meetings where </w:t>
      </w:r>
      <w:r w:rsidR="000756AF">
        <w:rPr>
          <w:rFonts w:ascii="Arial" w:hAnsi="Arial" w:cs="Arial"/>
        </w:rPr>
        <w:t xml:space="preserve">the protagonist (Mr Muyongo) </w:t>
      </w:r>
      <w:r w:rsidR="00556C30">
        <w:rPr>
          <w:rFonts w:ascii="Arial" w:hAnsi="Arial" w:cs="Arial"/>
        </w:rPr>
        <w:t>spoke about the withdrawal f</w:t>
      </w:r>
      <w:r w:rsidR="00F7488B">
        <w:rPr>
          <w:rFonts w:ascii="Arial" w:hAnsi="Arial" w:cs="Arial"/>
        </w:rPr>
        <w:t>rom</w:t>
      </w:r>
      <w:r w:rsidR="00556C30">
        <w:rPr>
          <w:rFonts w:ascii="Arial" w:hAnsi="Arial" w:cs="Arial"/>
        </w:rPr>
        <w:t xml:space="preserve"> the DTA</w:t>
      </w:r>
      <w:r w:rsidR="000756AF">
        <w:rPr>
          <w:rFonts w:ascii="Arial" w:hAnsi="Arial" w:cs="Arial"/>
        </w:rPr>
        <w:t>,</w:t>
      </w:r>
      <w:r w:rsidR="00556C30">
        <w:rPr>
          <w:rFonts w:ascii="Arial" w:hAnsi="Arial" w:cs="Arial"/>
        </w:rPr>
        <w:t xml:space="preserve"> formation of the UDP and where </w:t>
      </w:r>
      <w:r w:rsidR="000756AF">
        <w:rPr>
          <w:rFonts w:ascii="Arial" w:hAnsi="Arial" w:cs="Arial"/>
        </w:rPr>
        <w:t xml:space="preserve">the respondent </w:t>
      </w:r>
      <w:r w:rsidR="00556C30">
        <w:rPr>
          <w:rFonts w:ascii="Arial" w:hAnsi="Arial" w:cs="Arial"/>
        </w:rPr>
        <w:t>himself spoke, urging people to get more firearms to secede Caprivi</w:t>
      </w:r>
      <w:r w:rsidR="009F6F9B">
        <w:rPr>
          <w:rFonts w:ascii="Arial" w:hAnsi="Arial" w:cs="Arial"/>
        </w:rPr>
        <w:t xml:space="preserve"> </w:t>
      </w:r>
      <w:r w:rsidR="00556C30">
        <w:rPr>
          <w:rFonts w:ascii="Arial" w:hAnsi="Arial" w:cs="Arial"/>
        </w:rPr>
        <w:t>by military means; allegedly transpor</w:t>
      </w:r>
      <w:r w:rsidR="009F6F9B">
        <w:rPr>
          <w:rFonts w:ascii="Arial" w:hAnsi="Arial" w:cs="Arial"/>
        </w:rPr>
        <w:t>t</w:t>
      </w:r>
      <w:r w:rsidR="00F7488B">
        <w:rPr>
          <w:rFonts w:ascii="Arial" w:hAnsi="Arial" w:cs="Arial"/>
        </w:rPr>
        <w:t>ing</w:t>
      </w:r>
      <w:r w:rsidR="009F6F9B">
        <w:rPr>
          <w:rFonts w:ascii="Arial" w:hAnsi="Arial" w:cs="Arial"/>
        </w:rPr>
        <w:t xml:space="preserve"> people who fled </w:t>
      </w:r>
      <w:r w:rsidR="00556C30">
        <w:rPr>
          <w:rFonts w:ascii="Arial" w:hAnsi="Arial" w:cs="Arial"/>
        </w:rPr>
        <w:t xml:space="preserve">to Botswana including </w:t>
      </w:r>
      <w:r w:rsidR="000756AF">
        <w:rPr>
          <w:rFonts w:ascii="Arial" w:hAnsi="Arial" w:cs="Arial"/>
        </w:rPr>
        <w:t xml:space="preserve">Mr </w:t>
      </w:r>
      <w:r w:rsidR="00556C30">
        <w:rPr>
          <w:rFonts w:ascii="Arial" w:hAnsi="Arial" w:cs="Arial"/>
        </w:rPr>
        <w:t>Muyongo’s sons</w:t>
      </w:r>
      <w:r w:rsidR="009F6F9B">
        <w:rPr>
          <w:rFonts w:ascii="Arial" w:hAnsi="Arial" w:cs="Arial"/>
        </w:rPr>
        <w:t xml:space="preserve"> and threaten</w:t>
      </w:r>
      <w:r w:rsidR="00F7488B">
        <w:rPr>
          <w:rFonts w:ascii="Arial" w:hAnsi="Arial" w:cs="Arial"/>
        </w:rPr>
        <w:t>ing</w:t>
      </w:r>
      <w:r w:rsidR="009F6F9B">
        <w:rPr>
          <w:rFonts w:ascii="Arial" w:hAnsi="Arial" w:cs="Arial"/>
        </w:rPr>
        <w:t xml:space="preserve"> those who did not support the secession idea; encourag</w:t>
      </w:r>
      <w:r w:rsidR="00F7488B">
        <w:rPr>
          <w:rFonts w:ascii="Arial" w:hAnsi="Arial" w:cs="Arial"/>
        </w:rPr>
        <w:t>ing</w:t>
      </w:r>
      <w:r w:rsidR="009F6F9B">
        <w:rPr>
          <w:rFonts w:ascii="Arial" w:hAnsi="Arial" w:cs="Arial"/>
        </w:rPr>
        <w:t xml:space="preserve"> people to join other rebels in Botswana; mobilis</w:t>
      </w:r>
      <w:r w:rsidR="00F7488B">
        <w:rPr>
          <w:rFonts w:ascii="Arial" w:hAnsi="Arial" w:cs="Arial"/>
        </w:rPr>
        <w:t>ing</w:t>
      </w:r>
      <w:r w:rsidR="009F6F9B">
        <w:rPr>
          <w:rFonts w:ascii="Arial" w:hAnsi="Arial" w:cs="Arial"/>
        </w:rPr>
        <w:t xml:space="preserve"> </w:t>
      </w:r>
      <w:r w:rsidR="001B5B94">
        <w:rPr>
          <w:rFonts w:ascii="Arial" w:hAnsi="Arial" w:cs="Arial"/>
        </w:rPr>
        <w:t>them</w:t>
      </w:r>
      <w:r w:rsidR="009F6F9B">
        <w:rPr>
          <w:rFonts w:ascii="Arial" w:hAnsi="Arial" w:cs="Arial"/>
        </w:rPr>
        <w:t xml:space="preserve"> to go into the bus</w:t>
      </w:r>
      <w:r w:rsidR="001B5B94">
        <w:rPr>
          <w:rFonts w:ascii="Arial" w:hAnsi="Arial" w:cs="Arial"/>
        </w:rPr>
        <w:t xml:space="preserve">h and prepare for the military </w:t>
      </w:r>
      <w:r w:rsidR="009F6F9B">
        <w:rPr>
          <w:rFonts w:ascii="Arial" w:hAnsi="Arial" w:cs="Arial"/>
        </w:rPr>
        <w:t>takeo</w:t>
      </w:r>
      <w:r w:rsidR="00D914ED">
        <w:rPr>
          <w:rFonts w:ascii="Arial" w:hAnsi="Arial" w:cs="Arial"/>
        </w:rPr>
        <w:t>ver of Caprivi</w:t>
      </w:r>
      <w:r w:rsidR="004E0EC0">
        <w:rPr>
          <w:rFonts w:ascii="Arial" w:hAnsi="Arial" w:cs="Arial"/>
        </w:rPr>
        <w:t xml:space="preserve">; </w:t>
      </w:r>
      <w:r w:rsidR="009F6F9B">
        <w:rPr>
          <w:rFonts w:ascii="Arial" w:hAnsi="Arial" w:cs="Arial"/>
        </w:rPr>
        <w:t>contribut</w:t>
      </w:r>
      <w:r w:rsidR="00F7488B">
        <w:rPr>
          <w:rFonts w:ascii="Arial" w:hAnsi="Arial" w:cs="Arial"/>
        </w:rPr>
        <w:t>ing</w:t>
      </w:r>
      <w:r w:rsidR="009F6F9B">
        <w:rPr>
          <w:rFonts w:ascii="Arial" w:hAnsi="Arial" w:cs="Arial"/>
        </w:rPr>
        <w:t xml:space="preserve"> money to support th</w:t>
      </w:r>
      <w:r w:rsidR="00D914ED">
        <w:rPr>
          <w:rFonts w:ascii="Arial" w:hAnsi="Arial" w:cs="Arial"/>
        </w:rPr>
        <w:t xml:space="preserve">e agenda </w:t>
      </w:r>
      <w:r w:rsidR="009F6F9B">
        <w:rPr>
          <w:rFonts w:ascii="Arial" w:hAnsi="Arial" w:cs="Arial"/>
        </w:rPr>
        <w:t>and act</w:t>
      </w:r>
      <w:r w:rsidR="00F7488B">
        <w:rPr>
          <w:rFonts w:ascii="Arial" w:hAnsi="Arial" w:cs="Arial"/>
        </w:rPr>
        <w:t>ing</w:t>
      </w:r>
      <w:r w:rsidR="009F6F9B">
        <w:rPr>
          <w:rFonts w:ascii="Arial" w:hAnsi="Arial" w:cs="Arial"/>
        </w:rPr>
        <w:t xml:space="preserve"> in common purpose with a common objective with the other conspirators.</w:t>
      </w:r>
      <w:r w:rsidR="00556C30">
        <w:rPr>
          <w:rFonts w:ascii="Arial" w:hAnsi="Arial" w:cs="Arial"/>
        </w:rPr>
        <w:t xml:space="preserve"> </w:t>
      </w:r>
    </w:p>
    <w:p w:rsidR="00BA732B" w:rsidRDefault="00052F84"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lastRenderedPageBreak/>
        <w:t xml:space="preserve">The High Court, having accepted the witnesses’ statements within the context of </w:t>
      </w:r>
      <w:r w:rsidR="00F44625">
        <w:rPr>
          <w:rFonts w:ascii="Arial" w:hAnsi="Arial" w:cs="Arial"/>
        </w:rPr>
        <w:t xml:space="preserve">the planned </w:t>
      </w:r>
      <w:r>
        <w:rPr>
          <w:rFonts w:ascii="Arial" w:hAnsi="Arial" w:cs="Arial"/>
        </w:rPr>
        <w:t>secession</w:t>
      </w:r>
      <w:r w:rsidR="00F44625">
        <w:rPr>
          <w:rFonts w:ascii="Arial" w:hAnsi="Arial" w:cs="Arial"/>
        </w:rPr>
        <w:t xml:space="preserve"> and having accepted the evidence of Mr July</w:t>
      </w:r>
      <w:r>
        <w:rPr>
          <w:rFonts w:ascii="Arial" w:hAnsi="Arial" w:cs="Arial"/>
        </w:rPr>
        <w:t>, was correct that</w:t>
      </w:r>
      <w:r w:rsidRPr="00F44625">
        <w:rPr>
          <w:rFonts w:ascii="Arial" w:hAnsi="Arial" w:cs="Arial"/>
        </w:rPr>
        <w:t xml:space="preserve"> </w:t>
      </w:r>
      <w:r w:rsidR="004E0EC0" w:rsidRPr="00F44625">
        <w:rPr>
          <w:rFonts w:ascii="Arial" w:hAnsi="Arial" w:cs="Arial"/>
        </w:rPr>
        <w:t xml:space="preserve">there </w:t>
      </w:r>
      <w:r w:rsidR="00F44625" w:rsidRPr="00F44625">
        <w:rPr>
          <w:rFonts w:ascii="Arial" w:hAnsi="Arial" w:cs="Arial"/>
        </w:rPr>
        <w:t xml:space="preserve">were </w:t>
      </w:r>
      <w:r w:rsidR="004E0EC0" w:rsidRPr="00F44625">
        <w:rPr>
          <w:rFonts w:ascii="Arial" w:hAnsi="Arial" w:cs="Arial"/>
        </w:rPr>
        <w:t>no</w:t>
      </w:r>
      <w:r w:rsidR="00F44625" w:rsidRPr="00F44625">
        <w:rPr>
          <w:rFonts w:ascii="Arial" w:hAnsi="Arial" w:cs="Arial"/>
        </w:rPr>
        <w:t xml:space="preserve"> sound reasons advanced by the respondent</w:t>
      </w:r>
      <w:r w:rsidR="004E0EC0" w:rsidRPr="00F44625">
        <w:rPr>
          <w:rFonts w:ascii="Arial" w:hAnsi="Arial" w:cs="Arial"/>
        </w:rPr>
        <w:t xml:space="preserve"> as to why the prosecution team had to disbelieve the statements under oath at their disposal. </w:t>
      </w:r>
      <w:r w:rsidR="006140BE">
        <w:rPr>
          <w:rFonts w:ascii="Arial" w:hAnsi="Arial" w:cs="Arial"/>
        </w:rPr>
        <w:t xml:space="preserve">The </w:t>
      </w:r>
      <w:r w:rsidR="007149CE">
        <w:rPr>
          <w:rFonts w:ascii="Arial" w:hAnsi="Arial" w:cs="Arial"/>
        </w:rPr>
        <w:t>c</w:t>
      </w:r>
      <w:r w:rsidR="006140BE">
        <w:rPr>
          <w:rFonts w:ascii="Arial" w:hAnsi="Arial" w:cs="Arial"/>
        </w:rPr>
        <w:t xml:space="preserve">ourt was also </w:t>
      </w:r>
      <w:r w:rsidRPr="00F44625">
        <w:rPr>
          <w:rFonts w:ascii="Arial" w:hAnsi="Arial" w:cs="Arial"/>
        </w:rPr>
        <w:t xml:space="preserve">correct that </w:t>
      </w:r>
      <w:r w:rsidR="004E0EC0" w:rsidRPr="00F44625">
        <w:rPr>
          <w:rFonts w:ascii="Arial" w:hAnsi="Arial" w:cs="Arial"/>
        </w:rPr>
        <w:t xml:space="preserve">Mr July comprehensively set </w:t>
      </w:r>
      <w:r w:rsidR="00F44625" w:rsidRPr="00F44625">
        <w:rPr>
          <w:rFonts w:ascii="Arial" w:hAnsi="Arial" w:cs="Arial"/>
        </w:rPr>
        <w:t xml:space="preserve">out </w:t>
      </w:r>
      <w:r w:rsidR="004E0EC0" w:rsidRPr="00F44625">
        <w:rPr>
          <w:rFonts w:ascii="Arial" w:hAnsi="Arial" w:cs="Arial"/>
        </w:rPr>
        <w:t>the facts on wh</w:t>
      </w:r>
      <w:r w:rsidRPr="00F44625">
        <w:rPr>
          <w:rFonts w:ascii="Arial" w:hAnsi="Arial" w:cs="Arial"/>
        </w:rPr>
        <w:t>ich the decision to prosecute the respondent</w:t>
      </w:r>
      <w:r w:rsidR="004F0B0E">
        <w:rPr>
          <w:rFonts w:ascii="Arial" w:hAnsi="Arial" w:cs="Arial"/>
        </w:rPr>
        <w:t xml:space="preserve"> was based</w:t>
      </w:r>
      <w:r w:rsidRPr="00F44625">
        <w:rPr>
          <w:rFonts w:ascii="Arial" w:hAnsi="Arial" w:cs="Arial"/>
        </w:rPr>
        <w:t xml:space="preserve">. </w:t>
      </w:r>
      <w:r w:rsidR="006140BE">
        <w:rPr>
          <w:rFonts w:ascii="Arial" w:hAnsi="Arial" w:cs="Arial"/>
        </w:rPr>
        <w:t xml:space="preserve">It </w:t>
      </w:r>
      <w:r w:rsidRPr="00F44625">
        <w:rPr>
          <w:rFonts w:ascii="Arial" w:hAnsi="Arial" w:cs="Arial"/>
        </w:rPr>
        <w:t>was</w:t>
      </w:r>
      <w:r w:rsidR="00F44625" w:rsidRPr="00F44625">
        <w:rPr>
          <w:rFonts w:ascii="Arial" w:hAnsi="Arial" w:cs="Arial"/>
        </w:rPr>
        <w:t>,</w:t>
      </w:r>
      <w:r w:rsidRPr="00F44625">
        <w:rPr>
          <w:rFonts w:ascii="Arial" w:hAnsi="Arial" w:cs="Arial"/>
        </w:rPr>
        <w:t xml:space="preserve"> </w:t>
      </w:r>
      <w:r w:rsidR="00F44625" w:rsidRPr="00F44625">
        <w:rPr>
          <w:rFonts w:ascii="Arial" w:hAnsi="Arial" w:cs="Arial"/>
        </w:rPr>
        <w:t xml:space="preserve">therefore, </w:t>
      </w:r>
      <w:r w:rsidRPr="00F44625">
        <w:rPr>
          <w:rFonts w:ascii="Arial" w:hAnsi="Arial" w:cs="Arial"/>
        </w:rPr>
        <w:t xml:space="preserve">correct that </w:t>
      </w:r>
      <w:r w:rsidR="00F44625">
        <w:rPr>
          <w:rFonts w:ascii="Arial" w:hAnsi="Arial" w:cs="Arial"/>
        </w:rPr>
        <w:t xml:space="preserve">there was a </w:t>
      </w:r>
      <w:r w:rsidR="004E0EC0" w:rsidRPr="00F44625">
        <w:rPr>
          <w:rFonts w:ascii="Arial" w:hAnsi="Arial" w:cs="Arial"/>
        </w:rPr>
        <w:t>reasonable and pr</w:t>
      </w:r>
      <w:r w:rsidRPr="00F44625">
        <w:rPr>
          <w:rFonts w:ascii="Arial" w:hAnsi="Arial" w:cs="Arial"/>
        </w:rPr>
        <w:t xml:space="preserve">obable cause </w:t>
      </w:r>
      <w:r w:rsidR="00F44625">
        <w:rPr>
          <w:rFonts w:ascii="Arial" w:hAnsi="Arial" w:cs="Arial"/>
        </w:rPr>
        <w:t xml:space="preserve">for </w:t>
      </w:r>
      <w:r w:rsidR="00F44625" w:rsidRPr="00F44625">
        <w:rPr>
          <w:rFonts w:ascii="Arial" w:hAnsi="Arial" w:cs="Arial"/>
        </w:rPr>
        <w:t xml:space="preserve">initiating the prosecution of the </w:t>
      </w:r>
      <w:r w:rsidRPr="00F44625">
        <w:rPr>
          <w:rFonts w:ascii="Arial" w:hAnsi="Arial" w:cs="Arial"/>
        </w:rPr>
        <w:t>respondent</w:t>
      </w:r>
      <w:r>
        <w:rPr>
          <w:rFonts w:ascii="Arial" w:hAnsi="Arial" w:cs="Arial"/>
          <w:i/>
        </w:rPr>
        <w:t>.</w:t>
      </w:r>
      <w:r w:rsidR="00F44625">
        <w:rPr>
          <w:rFonts w:ascii="Arial" w:hAnsi="Arial" w:cs="Arial"/>
          <w:i/>
        </w:rPr>
        <w:t xml:space="preserve"> </w:t>
      </w:r>
      <w:r w:rsidR="0012657E">
        <w:rPr>
          <w:rFonts w:ascii="Arial" w:hAnsi="Arial" w:cs="Arial"/>
        </w:rPr>
        <w:t xml:space="preserve">The </w:t>
      </w:r>
      <w:r w:rsidR="00894DC0">
        <w:rPr>
          <w:rFonts w:ascii="Arial" w:hAnsi="Arial" w:cs="Arial"/>
        </w:rPr>
        <w:t xml:space="preserve">High </w:t>
      </w:r>
      <w:r w:rsidR="0012657E">
        <w:rPr>
          <w:rFonts w:ascii="Arial" w:hAnsi="Arial" w:cs="Arial"/>
        </w:rPr>
        <w:t xml:space="preserve">Court </w:t>
      </w:r>
      <w:r w:rsidR="008813B4">
        <w:rPr>
          <w:rFonts w:ascii="Arial" w:hAnsi="Arial" w:cs="Arial"/>
        </w:rPr>
        <w:t>was</w:t>
      </w:r>
      <w:r w:rsidR="00F44625">
        <w:rPr>
          <w:rFonts w:ascii="Arial" w:hAnsi="Arial" w:cs="Arial"/>
        </w:rPr>
        <w:t xml:space="preserve"> also </w:t>
      </w:r>
      <w:r w:rsidR="006140BE">
        <w:rPr>
          <w:rFonts w:ascii="Arial" w:hAnsi="Arial" w:cs="Arial"/>
        </w:rPr>
        <w:t xml:space="preserve">right </w:t>
      </w:r>
      <w:r w:rsidR="0012657E">
        <w:rPr>
          <w:rFonts w:ascii="Arial" w:hAnsi="Arial" w:cs="Arial"/>
        </w:rPr>
        <w:t xml:space="preserve">that </w:t>
      </w:r>
      <w:r w:rsidR="00BA732B">
        <w:rPr>
          <w:rFonts w:ascii="Arial" w:hAnsi="Arial" w:cs="Arial"/>
        </w:rPr>
        <w:t xml:space="preserve">the respondent failed to prove on a balance of probabilities that the second appellant acted with malice in initiating the prosecution or that the second appellant did so with the aim to injure him. </w:t>
      </w:r>
    </w:p>
    <w:p w:rsidR="009F6F9B" w:rsidRDefault="009F6F9B" w:rsidP="001337D7">
      <w:pPr>
        <w:pStyle w:val="BodyText"/>
        <w:autoSpaceDE w:val="0"/>
        <w:autoSpaceDN w:val="0"/>
        <w:adjustRightInd w:val="0"/>
        <w:spacing w:line="480" w:lineRule="auto"/>
        <w:jc w:val="both"/>
        <w:rPr>
          <w:rFonts w:ascii="Arial" w:hAnsi="Arial" w:cs="Arial"/>
        </w:rPr>
      </w:pPr>
    </w:p>
    <w:p w:rsidR="000B715D" w:rsidRDefault="00863DAD"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t>Irrefutably, t</w:t>
      </w:r>
      <w:r w:rsidR="00730ADE" w:rsidRPr="006565C0">
        <w:rPr>
          <w:rFonts w:ascii="Arial" w:hAnsi="Arial" w:cs="Arial"/>
        </w:rPr>
        <w:t>he delict for malicious prosecution extends from it</w:t>
      </w:r>
      <w:r w:rsidR="00730ADE">
        <w:rPr>
          <w:rFonts w:ascii="Arial" w:hAnsi="Arial" w:cs="Arial"/>
        </w:rPr>
        <w:t>s initiation to the end</w:t>
      </w:r>
      <w:r w:rsidR="00920492">
        <w:rPr>
          <w:rFonts w:ascii="Arial" w:hAnsi="Arial" w:cs="Arial"/>
        </w:rPr>
        <w:t xml:space="preserve"> and maintaining the proceedings is a continuing process</w:t>
      </w:r>
      <w:r w:rsidR="00730ADE" w:rsidRPr="00454EC2">
        <w:rPr>
          <w:rFonts w:ascii="Arial" w:hAnsi="Arial" w:cs="Arial"/>
        </w:rPr>
        <w:t>.</w:t>
      </w:r>
      <w:r w:rsidR="00730ADE" w:rsidRPr="00454EC2">
        <w:rPr>
          <w:rStyle w:val="FootnoteReference"/>
          <w:rFonts w:ascii="Arial" w:hAnsi="Arial" w:cs="Arial"/>
        </w:rPr>
        <w:footnoteReference w:id="28"/>
      </w:r>
      <w:r w:rsidR="00730ADE">
        <w:rPr>
          <w:rFonts w:ascii="Arial" w:hAnsi="Arial" w:cs="Arial"/>
        </w:rPr>
        <w:t xml:space="preserve"> Regard being had to all the circumstances of the case, the legal principles </w:t>
      </w:r>
      <w:r w:rsidR="00BA732B">
        <w:rPr>
          <w:rFonts w:ascii="Arial" w:hAnsi="Arial" w:cs="Arial"/>
        </w:rPr>
        <w:t xml:space="preserve">articulated </w:t>
      </w:r>
      <w:r w:rsidR="00730ADE">
        <w:rPr>
          <w:rFonts w:ascii="Arial" w:hAnsi="Arial" w:cs="Arial"/>
        </w:rPr>
        <w:t xml:space="preserve">in </w:t>
      </w:r>
      <w:r w:rsidR="00BA732B" w:rsidRPr="00BA732B">
        <w:rPr>
          <w:rFonts w:ascii="Arial" w:hAnsi="Arial" w:cs="Arial"/>
          <w:i/>
        </w:rPr>
        <w:t>Mahupelo</w:t>
      </w:r>
      <w:r w:rsidR="00BA732B">
        <w:rPr>
          <w:rFonts w:ascii="Arial" w:hAnsi="Arial" w:cs="Arial"/>
        </w:rPr>
        <w:t xml:space="preserve"> regarding the </w:t>
      </w:r>
      <w:r w:rsidR="00667D42">
        <w:rPr>
          <w:rFonts w:ascii="Arial" w:hAnsi="Arial" w:cs="Arial"/>
        </w:rPr>
        <w:t xml:space="preserve">alleged wrongful and malicious </w:t>
      </w:r>
      <w:r w:rsidR="00730ADE">
        <w:rPr>
          <w:rFonts w:ascii="Arial" w:hAnsi="Arial" w:cs="Arial"/>
        </w:rPr>
        <w:t xml:space="preserve">continuation of the prosecution and the conclusions by the High Court above, </w:t>
      </w:r>
      <w:r w:rsidR="00B16D1A">
        <w:rPr>
          <w:rFonts w:ascii="Arial" w:hAnsi="Arial" w:cs="Arial"/>
        </w:rPr>
        <w:t>it seems to me that the</w:t>
      </w:r>
      <w:r w:rsidR="00C2561C">
        <w:rPr>
          <w:rFonts w:ascii="Arial" w:hAnsi="Arial" w:cs="Arial"/>
        </w:rPr>
        <w:t xml:space="preserve"> </w:t>
      </w:r>
      <w:r w:rsidR="00730ADE">
        <w:rPr>
          <w:rFonts w:ascii="Arial" w:hAnsi="Arial" w:cs="Arial"/>
        </w:rPr>
        <w:t xml:space="preserve">logical </w:t>
      </w:r>
      <w:r w:rsidR="00B16D1A">
        <w:rPr>
          <w:rFonts w:ascii="Arial" w:hAnsi="Arial" w:cs="Arial"/>
        </w:rPr>
        <w:t>conclusion on the alternative claim</w:t>
      </w:r>
      <w:r w:rsidR="00EA0F39">
        <w:rPr>
          <w:rFonts w:ascii="Arial" w:hAnsi="Arial" w:cs="Arial"/>
        </w:rPr>
        <w:t xml:space="preserve"> (the subject matter of this appeal)</w:t>
      </w:r>
      <w:r w:rsidR="00B16D1A">
        <w:rPr>
          <w:rFonts w:ascii="Arial" w:hAnsi="Arial" w:cs="Arial"/>
        </w:rPr>
        <w:t xml:space="preserve"> should have been the same as that </w:t>
      </w:r>
      <w:r w:rsidR="00570F82">
        <w:rPr>
          <w:rFonts w:ascii="Arial" w:hAnsi="Arial" w:cs="Arial"/>
        </w:rPr>
        <w:t xml:space="preserve">in relation to the initiation of the prosecution. </w:t>
      </w:r>
      <w:r w:rsidR="00B16D1A">
        <w:rPr>
          <w:rFonts w:ascii="Arial" w:hAnsi="Arial" w:cs="Arial"/>
        </w:rPr>
        <w:t>This is so because, save for the issue of identification of the respondent at the trial, nothing changed during the criminal trial that led the High Court to conclude that there was insufficient evidence to incriminate the respondent and that as such the prosecution should have been terminated.</w:t>
      </w:r>
      <w:r w:rsidR="00B16D1A">
        <w:rPr>
          <w:rStyle w:val="FootnoteReference"/>
          <w:rFonts w:ascii="Arial" w:hAnsi="Arial" w:cs="Arial"/>
        </w:rPr>
        <w:footnoteReference w:id="29"/>
      </w:r>
      <w:r w:rsidR="009D3F94">
        <w:rPr>
          <w:rFonts w:ascii="Arial" w:hAnsi="Arial" w:cs="Arial"/>
        </w:rPr>
        <w:t xml:space="preserve"> </w:t>
      </w:r>
    </w:p>
    <w:p w:rsidR="000B715D" w:rsidRDefault="000B715D" w:rsidP="001337D7">
      <w:pPr>
        <w:pStyle w:val="BodyText"/>
        <w:autoSpaceDE w:val="0"/>
        <w:autoSpaceDN w:val="0"/>
        <w:adjustRightInd w:val="0"/>
        <w:spacing w:line="480" w:lineRule="auto"/>
        <w:jc w:val="both"/>
        <w:rPr>
          <w:rFonts w:ascii="Arial" w:hAnsi="Arial" w:cs="Arial"/>
        </w:rPr>
      </w:pPr>
    </w:p>
    <w:p w:rsidR="002273AC" w:rsidRDefault="009D3F94"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lastRenderedPageBreak/>
        <w:t xml:space="preserve">For the respondent to succeed </w:t>
      </w:r>
      <w:r w:rsidR="00C70592">
        <w:rPr>
          <w:rFonts w:ascii="Arial" w:hAnsi="Arial" w:cs="Arial"/>
        </w:rPr>
        <w:t xml:space="preserve">in his opposition of this appeal </w:t>
      </w:r>
      <w:r w:rsidR="005A7D7F">
        <w:rPr>
          <w:rFonts w:ascii="Arial" w:hAnsi="Arial" w:cs="Arial"/>
        </w:rPr>
        <w:t>he must</w:t>
      </w:r>
      <w:r w:rsidR="00C70592">
        <w:rPr>
          <w:rFonts w:ascii="Arial" w:hAnsi="Arial" w:cs="Arial"/>
        </w:rPr>
        <w:t xml:space="preserve">, </w:t>
      </w:r>
      <w:r w:rsidR="00C70592" w:rsidRPr="00C70592">
        <w:rPr>
          <w:rFonts w:ascii="Arial" w:hAnsi="Arial" w:cs="Arial"/>
          <w:i/>
        </w:rPr>
        <w:t>inter alia</w:t>
      </w:r>
      <w:r w:rsidR="00C70592" w:rsidRPr="00C70592">
        <w:rPr>
          <w:rFonts w:ascii="Arial" w:hAnsi="Arial" w:cs="Arial"/>
        </w:rPr>
        <w:t>,</w:t>
      </w:r>
      <w:r w:rsidR="005A7D7F">
        <w:rPr>
          <w:rFonts w:ascii="Arial" w:hAnsi="Arial" w:cs="Arial"/>
        </w:rPr>
        <w:t xml:space="preserve"> </w:t>
      </w:r>
      <w:r w:rsidR="00F7488B">
        <w:rPr>
          <w:rFonts w:ascii="Arial" w:hAnsi="Arial" w:cs="Arial"/>
        </w:rPr>
        <w:t xml:space="preserve">persuade </w:t>
      </w:r>
      <w:r w:rsidR="005A7D7F">
        <w:rPr>
          <w:rFonts w:ascii="Arial" w:hAnsi="Arial" w:cs="Arial"/>
        </w:rPr>
        <w:t xml:space="preserve">us that </w:t>
      </w:r>
      <w:r>
        <w:rPr>
          <w:rFonts w:ascii="Arial" w:hAnsi="Arial" w:cs="Arial"/>
        </w:rPr>
        <w:t xml:space="preserve">subsequent to the </w:t>
      </w:r>
      <w:r w:rsidR="005A7D7F">
        <w:rPr>
          <w:rFonts w:ascii="Arial" w:hAnsi="Arial" w:cs="Arial"/>
        </w:rPr>
        <w:t xml:space="preserve">aforesaid </w:t>
      </w:r>
      <w:r>
        <w:rPr>
          <w:rFonts w:ascii="Arial" w:hAnsi="Arial" w:cs="Arial"/>
        </w:rPr>
        <w:t xml:space="preserve">findings </w:t>
      </w:r>
      <w:r w:rsidRPr="005A7D7F">
        <w:rPr>
          <w:rFonts w:ascii="Arial" w:hAnsi="Arial" w:cs="Arial"/>
          <w:i/>
        </w:rPr>
        <w:t xml:space="preserve">a quo </w:t>
      </w:r>
      <w:r>
        <w:rPr>
          <w:rFonts w:ascii="Arial" w:hAnsi="Arial" w:cs="Arial"/>
        </w:rPr>
        <w:t xml:space="preserve">of the presence of reasonable and probable cause </w:t>
      </w:r>
      <w:r w:rsidR="004F0B0E">
        <w:rPr>
          <w:rFonts w:ascii="Arial" w:hAnsi="Arial" w:cs="Arial"/>
        </w:rPr>
        <w:t>and lack of</w:t>
      </w:r>
      <w:r w:rsidR="005A7D7F">
        <w:rPr>
          <w:rFonts w:ascii="Arial" w:hAnsi="Arial" w:cs="Arial"/>
        </w:rPr>
        <w:t xml:space="preserve"> improper motive </w:t>
      </w:r>
      <w:r>
        <w:rPr>
          <w:rFonts w:ascii="Arial" w:hAnsi="Arial" w:cs="Arial"/>
        </w:rPr>
        <w:t xml:space="preserve">at the beginning of the prosecution, there were facts which came to his knowledge or to the attention of the prosecution </w:t>
      </w:r>
      <w:r w:rsidR="00AB5E3D">
        <w:rPr>
          <w:rFonts w:ascii="Arial" w:hAnsi="Arial" w:cs="Arial"/>
        </w:rPr>
        <w:t xml:space="preserve">during the proceedings </w:t>
      </w:r>
      <w:r>
        <w:rPr>
          <w:rFonts w:ascii="Arial" w:hAnsi="Arial" w:cs="Arial"/>
        </w:rPr>
        <w:t xml:space="preserve">showing that no crime had actually been committed by the respondent for the </w:t>
      </w:r>
      <w:r w:rsidR="00AB5E3D">
        <w:rPr>
          <w:rFonts w:ascii="Arial" w:hAnsi="Arial" w:cs="Arial"/>
        </w:rPr>
        <w:t xml:space="preserve">former </w:t>
      </w:r>
      <w:r>
        <w:rPr>
          <w:rFonts w:ascii="Arial" w:hAnsi="Arial" w:cs="Arial"/>
        </w:rPr>
        <w:t>to terminate the prosecution</w:t>
      </w:r>
      <w:r w:rsidR="00AB5E3D">
        <w:rPr>
          <w:rFonts w:ascii="Arial" w:hAnsi="Arial" w:cs="Arial"/>
        </w:rPr>
        <w:t xml:space="preserve"> against the latter</w:t>
      </w:r>
      <w:r w:rsidR="005A7D7F">
        <w:rPr>
          <w:rFonts w:ascii="Arial" w:hAnsi="Arial" w:cs="Arial"/>
        </w:rPr>
        <w:t xml:space="preserve">.  Differently put, that there was a </w:t>
      </w:r>
      <w:r>
        <w:rPr>
          <w:rFonts w:ascii="Arial" w:hAnsi="Arial" w:cs="Arial"/>
        </w:rPr>
        <w:t>turning point.</w:t>
      </w:r>
      <w:r w:rsidR="0070081A">
        <w:rPr>
          <w:rStyle w:val="FootnoteReference"/>
          <w:rFonts w:ascii="Arial" w:hAnsi="Arial" w:cs="Arial"/>
        </w:rPr>
        <w:footnoteReference w:id="30"/>
      </w:r>
      <w:r>
        <w:rPr>
          <w:rFonts w:ascii="Arial" w:hAnsi="Arial" w:cs="Arial"/>
        </w:rPr>
        <w:t xml:space="preserve"> </w:t>
      </w:r>
    </w:p>
    <w:p w:rsidR="00C34537" w:rsidRDefault="00C34537" w:rsidP="001337D7">
      <w:pPr>
        <w:pStyle w:val="BodyText"/>
        <w:autoSpaceDE w:val="0"/>
        <w:autoSpaceDN w:val="0"/>
        <w:adjustRightInd w:val="0"/>
        <w:spacing w:line="480" w:lineRule="auto"/>
        <w:jc w:val="both"/>
        <w:rPr>
          <w:rFonts w:ascii="Arial" w:hAnsi="Arial" w:cs="Arial"/>
        </w:rPr>
      </w:pPr>
    </w:p>
    <w:p w:rsidR="00310732" w:rsidRDefault="005A7D7F"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t xml:space="preserve">In deciding the issue </w:t>
      </w:r>
      <w:r w:rsidR="00FF3F38">
        <w:rPr>
          <w:rFonts w:ascii="Arial" w:hAnsi="Arial" w:cs="Arial"/>
        </w:rPr>
        <w:t>t</w:t>
      </w:r>
      <w:r>
        <w:rPr>
          <w:rFonts w:ascii="Arial" w:hAnsi="Arial" w:cs="Arial"/>
        </w:rPr>
        <w:t xml:space="preserve">he </w:t>
      </w:r>
      <w:r w:rsidR="007149CE">
        <w:rPr>
          <w:rFonts w:ascii="Arial" w:hAnsi="Arial" w:cs="Arial"/>
        </w:rPr>
        <w:t>c</w:t>
      </w:r>
      <w:r>
        <w:rPr>
          <w:rFonts w:ascii="Arial" w:hAnsi="Arial" w:cs="Arial"/>
        </w:rPr>
        <w:t xml:space="preserve">ourt </w:t>
      </w:r>
      <w:r w:rsidR="002273AC">
        <w:rPr>
          <w:rFonts w:ascii="Arial" w:hAnsi="Arial" w:cs="Arial"/>
        </w:rPr>
        <w:t xml:space="preserve">relied on the English authority in </w:t>
      </w:r>
      <w:r w:rsidR="002273AC" w:rsidRPr="005B17FC">
        <w:rPr>
          <w:rFonts w:ascii="Arial" w:hAnsi="Arial" w:cs="Arial"/>
          <w:i/>
        </w:rPr>
        <w:t>Hathaway</w:t>
      </w:r>
      <w:r w:rsidR="002273AC">
        <w:rPr>
          <w:rFonts w:ascii="Arial" w:hAnsi="Arial" w:cs="Arial"/>
        </w:rPr>
        <w:t xml:space="preserve"> and later concluded </w:t>
      </w:r>
      <w:r w:rsidR="00FF3F38">
        <w:rPr>
          <w:rFonts w:ascii="Arial" w:hAnsi="Arial" w:cs="Arial"/>
        </w:rPr>
        <w:t xml:space="preserve">in favour of </w:t>
      </w:r>
      <w:r w:rsidR="00310732">
        <w:rPr>
          <w:rFonts w:ascii="Arial" w:hAnsi="Arial" w:cs="Arial"/>
        </w:rPr>
        <w:t xml:space="preserve">the </w:t>
      </w:r>
      <w:r w:rsidR="00FF3F38">
        <w:rPr>
          <w:rFonts w:ascii="Arial" w:hAnsi="Arial" w:cs="Arial"/>
        </w:rPr>
        <w:t>respondent.</w:t>
      </w:r>
    </w:p>
    <w:p w:rsidR="00F54E89" w:rsidRDefault="00F54E89" w:rsidP="001337D7">
      <w:pPr>
        <w:pStyle w:val="BodyText"/>
        <w:autoSpaceDE w:val="0"/>
        <w:autoSpaceDN w:val="0"/>
        <w:adjustRightInd w:val="0"/>
        <w:spacing w:line="480" w:lineRule="auto"/>
        <w:jc w:val="both"/>
        <w:rPr>
          <w:rFonts w:ascii="Arial" w:hAnsi="Arial" w:cs="Arial"/>
        </w:rPr>
      </w:pPr>
    </w:p>
    <w:p w:rsidR="00FF3F38" w:rsidRDefault="00FF3F38"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t xml:space="preserve">In </w:t>
      </w:r>
      <w:r w:rsidRPr="00311505">
        <w:rPr>
          <w:rFonts w:ascii="Arial" w:hAnsi="Arial" w:cs="Arial"/>
          <w:i/>
        </w:rPr>
        <w:t>Mahupelo</w:t>
      </w:r>
      <w:r w:rsidR="004F0B0E">
        <w:rPr>
          <w:rFonts w:ascii="Arial" w:hAnsi="Arial" w:cs="Arial"/>
        </w:rPr>
        <w:t>, this c</w:t>
      </w:r>
      <w:r>
        <w:rPr>
          <w:rFonts w:ascii="Arial" w:hAnsi="Arial" w:cs="Arial"/>
        </w:rPr>
        <w:t>ourt had this to say when evaluating the evidence on the question raised by the High Court:</w:t>
      </w:r>
    </w:p>
    <w:p w:rsidR="005D5EEF" w:rsidRDefault="005D5EEF" w:rsidP="001337D7">
      <w:pPr>
        <w:pStyle w:val="BodyText"/>
        <w:autoSpaceDE w:val="0"/>
        <w:autoSpaceDN w:val="0"/>
        <w:adjustRightInd w:val="0"/>
        <w:spacing w:line="480" w:lineRule="auto"/>
        <w:jc w:val="both"/>
        <w:rPr>
          <w:rFonts w:ascii="Arial" w:hAnsi="Arial" w:cs="Arial"/>
        </w:rPr>
      </w:pPr>
    </w:p>
    <w:p w:rsidR="00FF3F38" w:rsidRPr="001337D7" w:rsidRDefault="00FF3F38" w:rsidP="001337D7">
      <w:pPr>
        <w:pStyle w:val="BodyText"/>
        <w:autoSpaceDE w:val="0"/>
        <w:autoSpaceDN w:val="0"/>
        <w:adjustRightInd w:val="0"/>
        <w:spacing w:line="360" w:lineRule="auto"/>
        <w:ind w:left="1440"/>
        <w:jc w:val="both"/>
        <w:rPr>
          <w:rFonts w:ascii="Arial" w:hAnsi="Arial" w:cs="Arial"/>
          <w:sz w:val="22"/>
          <w:szCs w:val="22"/>
        </w:rPr>
      </w:pPr>
      <w:r w:rsidRPr="001337D7">
        <w:rPr>
          <w:rFonts w:ascii="Arial" w:hAnsi="Arial" w:cs="Arial"/>
          <w:sz w:val="22"/>
          <w:szCs w:val="22"/>
        </w:rPr>
        <w:t>‘[82]</w:t>
      </w:r>
      <w:r w:rsidRPr="001337D7">
        <w:rPr>
          <w:rFonts w:ascii="Arial" w:hAnsi="Arial" w:cs="Arial"/>
          <w:sz w:val="22"/>
          <w:szCs w:val="22"/>
        </w:rPr>
        <w:tab/>
        <w:t>It seems to me nevertheless that the fundamental question to be addresse</w:t>
      </w:r>
      <w:r w:rsidR="004F0B0E" w:rsidRPr="001337D7">
        <w:rPr>
          <w:rFonts w:ascii="Arial" w:hAnsi="Arial" w:cs="Arial"/>
          <w:sz w:val="22"/>
          <w:szCs w:val="22"/>
        </w:rPr>
        <w:t>d</w:t>
      </w:r>
      <w:r w:rsidRPr="001337D7">
        <w:rPr>
          <w:rFonts w:ascii="Arial" w:hAnsi="Arial" w:cs="Arial"/>
          <w:sz w:val="22"/>
          <w:szCs w:val="22"/>
        </w:rPr>
        <w:t xml:space="preserve"> at this stage is this: If the initiation of the prosecution was lawful and permissible, what changed during the criminal trial that led the court </w:t>
      </w:r>
      <w:r w:rsidRPr="001337D7">
        <w:rPr>
          <w:rFonts w:ascii="Arial" w:hAnsi="Arial" w:cs="Arial"/>
          <w:i/>
          <w:sz w:val="22"/>
          <w:szCs w:val="22"/>
        </w:rPr>
        <w:t>a quo</w:t>
      </w:r>
      <w:r w:rsidRPr="001337D7">
        <w:rPr>
          <w:rFonts w:ascii="Arial" w:hAnsi="Arial" w:cs="Arial"/>
          <w:sz w:val="22"/>
          <w:szCs w:val="22"/>
        </w:rPr>
        <w:t xml:space="preserve"> to conclude that the there was insufficient evidence to incriminate the respondent and that as such, the prosecution should have been terminated by November 2011?</w:t>
      </w:r>
    </w:p>
    <w:p w:rsidR="00FF3F38" w:rsidRDefault="00FF3F38" w:rsidP="005D5EEF">
      <w:pPr>
        <w:pStyle w:val="BodyText"/>
        <w:autoSpaceDE w:val="0"/>
        <w:autoSpaceDN w:val="0"/>
        <w:adjustRightInd w:val="0"/>
        <w:spacing w:line="360" w:lineRule="auto"/>
        <w:ind w:left="720"/>
        <w:jc w:val="both"/>
        <w:rPr>
          <w:rFonts w:ascii="Arial" w:hAnsi="Arial" w:cs="Arial"/>
          <w:sz w:val="22"/>
          <w:szCs w:val="22"/>
        </w:rPr>
      </w:pPr>
    </w:p>
    <w:p w:rsidR="00FF3F38" w:rsidRDefault="00FF3F38" w:rsidP="001337D7">
      <w:pPr>
        <w:pStyle w:val="BodyText"/>
        <w:autoSpaceDE w:val="0"/>
        <w:autoSpaceDN w:val="0"/>
        <w:adjustRightInd w:val="0"/>
        <w:spacing w:line="360" w:lineRule="auto"/>
        <w:ind w:left="1440"/>
        <w:jc w:val="both"/>
        <w:rPr>
          <w:rFonts w:ascii="Arial" w:hAnsi="Arial" w:cs="Arial"/>
          <w:sz w:val="22"/>
          <w:szCs w:val="22"/>
        </w:rPr>
      </w:pPr>
      <w:r>
        <w:rPr>
          <w:rFonts w:ascii="Arial" w:hAnsi="Arial" w:cs="Arial"/>
          <w:sz w:val="22"/>
          <w:szCs w:val="22"/>
        </w:rPr>
        <w:t>[83]</w:t>
      </w:r>
      <w:r>
        <w:rPr>
          <w:rFonts w:ascii="Arial" w:hAnsi="Arial" w:cs="Arial"/>
          <w:sz w:val="22"/>
          <w:szCs w:val="22"/>
        </w:rPr>
        <w:tab/>
        <w:t>On the analysis of the evidence placed befor</w:t>
      </w:r>
      <w:r w:rsidR="004F0B0E">
        <w:rPr>
          <w:rFonts w:ascii="Arial" w:hAnsi="Arial" w:cs="Arial"/>
          <w:sz w:val="22"/>
          <w:szCs w:val="22"/>
        </w:rPr>
        <w:t>e the High Court, it is evident</w:t>
      </w:r>
      <w:r>
        <w:rPr>
          <w:rFonts w:ascii="Arial" w:hAnsi="Arial" w:cs="Arial"/>
          <w:sz w:val="22"/>
          <w:szCs w:val="22"/>
        </w:rPr>
        <w:t xml:space="preserve"> that the only thing that appears to have changed was the inability of the three witnesses, including the respondent’s ex-wife, to identify the respondent in court. It is not surprising that both the respondent and the trial court were puzzled that the respondent’s ex-wife could not recognise and identify the </w:t>
      </w:r>
      <w:r>
        <w:rPr>
          <w:rFonts w:ascii="Arial" w:hAnsi="Arial" w:cs="Arial"/>
          <w:sz w:val="22"/>
          <w:szCs w:val="22"/>
        </w:rPr>
        <w:lastRenderedPageBreak/>
        <w:t>respondent in court. It is indeed an extraordinary and astonishing occurrence. However, the witnesses’ inability to identify the respondent in the dock does not have the automatic consequence that their evidence had to be summarily rejected. . . .’</w:t>
      </w:r>
    </w:p>
    <w:p w:rsidR="00FF3F38" w:rsidRDefault="00FF3F38" w:rsidP="00FF3F38">
      <w:pPr>
        <w:pStyle w:val="BodyText"/>
        <w:autoSpaceDE w:val="0"/>
        <w:autoSpaceDN w:val="0"/>
        <w:adjustRightInd w:val="0"/>
        <w:spacing w:line="480" w:lineRule="auto"/>
        <w:jc w:val="both"/>
        <w:rPr>
          <w:rFonts w:ascii="Arial" w:hAnsi="Arial" w:cs="Arial"/>
          <w:sz w:val="22"/>
          <w:szCs w:val="22"/>
        </w:rPr>
      </w:pPr>
    </w:p>
    <w:p w:rsidR="00FF3F38" w:rsidRPr="00C2561C" w:rsidRDefault="00FF3F38" w:rsidP="001337D7">
      <w:pPr>
        <w:pStyle w:val="BodyText"/>
        <w:numPr>
          <w:ilvl w:val="0"/>
          <w:numId w:val="1"/>
        </w:numPr>
        <w:autoSpaceDE w:val="0"/>
        <w:autoSpaceDN w:val="0"/>
        <w:adjustRightInd w:val="0"/>
        <w:spacing w:line="480" w:lineRule="auto"/>
        <w:ind w:left="0" w:firstLine="0"/>
        <w:jc w:val="both"/>
        <w:rPr>
          <w:rFonts w:ascii="Arial" w:hAnsi="Arial" w:cs="Arial"/>
        </w:rPr>
      </w:pPr>
      <w:r w:rsidRPr="00C2561C">
        <w:rPr>
          <w:rFonts w:ascii="Arial" w:hAnsi="Arial" w:cs="Arial"/>
        </w:rPr>
        <w:t xml:space="preserve">The </w:t>
      </w:r>
      <w:r w:rsidR="007149CE">
        <w:rPr>
          <w:rFonts w:ascii="Arial" w:hAnsi="Arial" w:cs="Arial"/>
        </w:rPr>
        <w:t>c</w:t>
      </w:r>
      <w:r w:rsidRPr="00C2561C">
        <w:rPr>
          <w:rFonts w:ascii="Arial" w:hAnsi="Arial" w:cs="Arial"/>
        </w:rPr>
        <w:t>ourt then conclude</w:t>
      </w:r>
      <w:r w:rsidR="00F7488B">
        <w:rPr>
          <w:rFonts w:ascii="Arial" w:hAnsi="Arial" w:cs="Arial"/>
        </w:rPr>
        <w:t>d</w:t>
      </w:r>
      <w:r w:rsidRPr="00C2561C">
        <w:rPr>
          <w:rFonts w:ascii="Arial" w:hAnsi="Arial" w:cs="Arial"/>
        </w:rPr>
        <w:t xml:space="preserve"> that although the criminal court found that there was insufficient evidence to secure a conviction for the purpose of criminal law, there was evidence against Mr Mahupelo establishing reasonable and probable cause on the part of the prosecution not only to initiate the prosecution, but also to continue with it right up to</w:t>
      </w:r>
      <w:r>
        <w:rPr>
          <w:rFonts w:ascii="Arial" w:hAnsi="Arial" w:cs="Arial"/>
        </w:rPr>
        <w:t xml:space="preserve"> the end </w:t>
      </w:r>
      <w:r w:rsidRPr="00C2561C">
        <w:rPr>
          <w:rFonts w:ascii="Arial" w:hAnsi="Arial" w:cs="Arial"/>
        </w:rPr>
        <w:t>of the State’s case.</w:t>
      </w:r>
      <w:r w:rsidRPr="00C2561C">
        <w:rPr>
          <w:rStyle w:val="FootnoteReference"/>
          <w:rFonts w:ascii="Arial" w:hAnsi="Arial" w:cs="Arial"/>
        </w:rPr>
        <w:footnoteReference w:id="31"/>
      </w:r>
      <w:r w:rsidR="004F0B0E">
        <w:rPr>
          <w:rFonts w:ascii="Arial" w:hAnsi="Arial" w:cs="Arial"/>
        </w:rPr>
        <w:t xml:space="preserve"> </w:t>
      </w:r>
    </w:p>
    <w:p w:rsidR="00FF3F38" w:rsidRDefault="00FF3F38" w:rsidP="001337D7">
      <w:pPr>
        <w:pStyle w:val="BodyText"/>
        <w:autoSpaceDE w:val="0"/>
        <w:autoSpaceDN w:val="0"/>
        <w:adjustRightInd w:val="0"/>
        <w:spacing w:line="480" w:lineRule="auto"/>
        <w:jc w:val="both"/>
        <w:rPr>
          <w:rFonts w:ascii="Arial" w:hAnsi="Arial" w:cs="Arial"/>
        </w:rPr>
      </w:pPr>
    </w:p>
    <w:p w:rsidR="00FF3F38" w:rsidRDefault="00FF3F38"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t xml:space="preserve">By the same token here, the respondent made much of the fact that the witnesses did not identify him at the </w:t>
      </w:r>
      <w:r w:rsidR="00F54E89">
        <w:rPr>
          <w:rFonts w:ascii="Arial" w:hAnsi="Arial" w:cs="Arial"/>
        </w:rPr>
        <w:t xml:space="preserve">criminal </w:t>
      </w:r>
      <w:r>
        <w:rPr>
          <w:rFonts w:ascii="Arial" w:hAnsi="Arial" w:cs="Arial"/>
        </w:rPr>
        <w:t>trial. That might well be the case. Even so,</w:t>
      </w:r>
      <w:r w:rsidR="00821CB6">
        <w:rPr>
          <w:rFonts w:ascii="Arial" w:hAnsi="Arial" w:cs="Arial"/>
        </w:rPr>
        <w:t xml:space="preserve"> as clearly stated in </w:t>
      </w:r>
      <w:r w:rsidR="00821CB6" w:rsidRPr="004F0B0E">
        <w:rPr>
          <w:rFonts w:ascii="Arial" w:hAnsi="Arial" w:cs="Arial"/>
          <w:i/>
        </w:rPr>
        <w:t>Mahupelo</w:t>
      </w:r>
      <w:r w:rsidR="00821CB6">
        <w:rPr>
          <w:rFonts w:ascii="Arial" w:hAnsi="Arial" w:cs="Arial"/>
        </w:rPr>
        <w:t xml:space="preserve">, </w:t>
      </w:r>
      <w:r>
        <w:rPr>
          <w:rFonts w:ascii="Arial" w:hAnsi="Arial" w:cs="Arial"/>
        </w:rPr>
        <w:t>that does not have the automatic consequence that their evidence had to be summarily rejected and, clearly, that is not decisive of the issues at hand.</w:t>
      </w:r>
      <w:r>
        <w:rPr>
          <w:rStyle w:val="FootnoteReference"/>
          <w:rFonts w:ascii="Arial" w:hAnsi="Arial" w:cs="Arial"/>
        </w:rPr>
        <w:footnoteReference w:id="32"/>
      </w:r>
      <w:r>
        <w:rPr>
          <w:rFonts w:ascii="Arial" w:hAnsi="Arial" w:cs="Arial"/>
        </w:rPr>
        <w:t xml:space="preserve"> In any event, Mr July explained </w:t>
      </w:r>
      <w:r w:rsidR="004F0B0E">
        <w:rPr>
          <w:rFonts w:ascii="Arial" w:hAnsi="Arial" w:cs="Arial"/>
        </w:rPr>
        <w:t>why that was so. Besides, this c</w:t>
      </w:r>
      <w:r>
        <w:rPr>
          <w:rFonts w:ascii="Arial" w:hAnsi="Arial" w:cs="Arial"/>
        </w:rPr>
        <w:t xml:space="preserve">ourt’s observations in </w:t>
      </w:r>
      <w:r w:rsidRPr="00C2561C">
        <w:rPr>
          <w:rFonts w:ascii="Arial" w:hAnsi="Arial" w:cs="Arial"/>
          <w:i/>
        </w:rPr>
        <w:t>Mahupelo</w:t>
      </w:r>
      <w:r>
        <w:rPr>
          <w:rFonts w:ascii="Arial" w:hAnsi="Arial" w:cs="Arial"/>
        </w:rPr>
        <w:t xml:space="preserve"> regarding identification finds resonance also here.</w:t>
      </w:r>
    </w:p>
    <w:p w:rsidR="00FF3F38" w:rsidRDefault="00FF3F38" w:rsidP="001337D7">
      <w:pPr>
        <w:pStyle w:val="BodyText"/>
        <w:autoSpaceDE w:val="0"/>
        <w:autoSpaceDN w:val="0"/>
        <w:adjustRightInd w:val="0"/>
        <w:spacing w:line="480" w:lineRule="auto"/>
        <w:jc w:val="both"/>
        <w:rPr>
          <w:rFonts w:ascii="Arial" w:hAnsi="Arial" w:cs="Arial"/>
        </w:rPr>
      </w:pPr>
    </w:p>
    <w:p w:rsidR="00B16D1A" w:rsidRDefault="00B16D1A"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t xml:space="preserve">During </w:t>
      </w:r>
      <w:r w:rsidR="007664EA">
        <w:rPr>
          <w:rFonts w:ascii="Arial" w:hAnsi="Arial" w:cs="Arial"/>
        </w:rPr>
        <w:t>o</w:t>
      </w:r>
      <w:r w:rsidR="00D01A00">
        <w:rPr>
          <w:rFonts w:ascii="Arial" w:hAnsi="Arial" w:cs="Arial"/>
        </w:rPr>
        <w:t>ral argument</w:t>
      </w:r>
      <w:r>
        <w:rPr>
          <w:rFonts w:ascii="Arial" w:hAnsi="Arial" w:cs="Arial"/>
        </w:rPr>
        <w:t xml:space="preserve">, </w:t>
      </w:r>
      <w:r w:rsidR="00CF0670">
        <w:rPr>
          <w:rFonts w:ascii="Arial" w:hAnsi="Arial" w:cs="Arial"/>
        </w:rPr>
        <w:t>c</w:t>
      </w:r>
      <w:r>
        <w:rPr>
          <w:rFonts w:ascii="Arial" w:hAnsi="Arial" w:cs="Arial"/>
        </w:rPr>
        <w:t xml:space="preserve">ounsel for the respondent was at pains to pinpoint evidence demonstrating any disconnect. </w:t>
      </w:r>
      <w:r w:rsidR="00681CA7">
        <w:rPr>
          <w:rFonts w:ascii="Arial" w:hAnsi="Arial" w:cs="Arial"/>
        </w:rPr>
        <w:t xml:space="preserve">No explanation whatsoever </w:t>
      </w:r>
      <w:r w:rsidR="006363E4">
        <w:rPr>
          <w:rFonts w:ascii="Arial" w:hAnsi="Arial" w:cs="Arial"/>
        </w:rPr>
        <w:t>was given</w:t>
      </w:r>
      <w:r w:rsidR="00C34ADD">
        <w:rPr>
          <w:rFonts w:ascii="Arial" w:hAnsi="Arial" w:cs="Arial"/>
        </w:rPr>
        <w:t xml:space="preserve">, </w:t>
      </w:r>
      <w:r w:rsidR="00681CA7">
        <w:rPr>
          <w:rFonts w:ascii="Arial" w:hAnsi="Arial" w:cs="Arial"/>
        </w:rPr>
        <w:t xml:space="preserve">despite </w:t>
      </w:r>
      <w:r w:rsidR="004F0B0E">
        <w:rPr>
          <w:rFonts w:ascii="Arial" w:hAnsi="Arial" w:cs="Arial"/>
        </w:rPr>
        <w:t>the repeated questions by this c</w:t>
      </w:r>
      <w:r w:rsidR="00681CA7">
        <w:rPr>
          <w:rFonts w:ascii="Arial" w:hAnsi="Arial" w:cs="Arial"/>
        </w:rPr>
        <w:t>ourt with a view to understand</w:t>
      </w:r>
      <w:r w:rsidR="00C34ADD">
        <w:rPr>
          <w:rFonts w:ascii="Arial" w:hAnsi="Arial" w:cs="Arial"/>
        </w:rPr>
        <w:t xml:space="preserve"> the facts that might have</w:t>
      </w:r>
      <w:r w:rsidR="005A7D7F">
        <w:rPr>
          <w:rFonts w:ascii="Arial" w:hAnsi="Arial" w:cs="Arial"/>
        </w:rPr>
        <w:t xml:space="preserve"> turned up</w:t>
      </w:r>
      <w:r w:rsidR="007664EA">
        <w:rPr>
          <w:rFonts w:ascii="Arial" w:hAnsi="Arial" w:cs="Arial"/>
        </w:rPr>
        <w:t>,</w:t>
      </w:r>
      <w:r w:rsidR="00C34ADD">
        <w:rPr>
          <w:rFonts w:ascii="Arial" w:hAnsi="Arial" w:cs="Arial"/>
        </w:rPr>
        <w:t xml:space="preserve"> showing that no crime had actually been committed by the respondent and </w:t>
      </w:r>
      <w:r w:rsidR="00681CA7">
        <w:rPr>
          <w:rFonts w:ascii="Arial" w:hAnsi="Arial" w:cs="Arial"/>
        </w:rPr>
        <w:t>why the appellants should be held liable for the alternative claim</w:t>
      </w:r>
      <w:r w:rsidR="00C34ADD">
        <w:rPr>
          <w:rFonts w:ascii="Arial" w:hAnsi="Arial" w:cs="Arial"/>
        </w:rPr>
        <w:t>.</w:t>
      </w:r>
    </w:p>
    <w:p w:rsidR="00110E27" w:rsidRDefault="00D01A00"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lastRenderedPageBreak/>
        <w:t xml:space="preserve">Presumably, the disconnect </w:t>
      </w:r>
      <w:r w:rsidR="007664EA">
        <w:rPr>
          <w:rFonts w:ascii="Arial" w:hAnsi="Arial" w:cs="Arial"/>
        </w:rPr>
        <w:t>m</w:t>
      </w:r>
      <w:r w:rsidR="005A7D7F">
        <w:rPr>
          <w:rFonts w:ascii="Arial" w:hAnsi="Arial" w:cs="Arial"/>
        </w:rPr>
        <w:t xml:space="preserve">ight </w:t>
      </w:r>
      <w:r>
        <w:rPr>
          <w:rFonts w:ascii="Arial" w:hAnsi="Arial" w:cs="Arial"/>
        </w:rPr>
        <w:t>have been based on the concession by Mr July which</w:t>
      </w:r>
      <w:r w:rsidR="005A7D7F">
        <w:rPr>
          <w:rFonts w:ascii="Arial" w:hAnsi="Arial" w:cs="Arial"/>
        </w:rPr>
        <w:t xml:space="preserve">, according to </w:t>
      </w:r>
      <w:r>
        <w:rPr>
          <w:rFonts w:ascii="Arial" w:hAnsi="Arial" w:cs="Arial"/>
        </w:rPr>
        <w:t>the respondent</w:t>
      </w:r>
      <w:r w:rsidR="005A7D7F">
        <w:rPr>
          <w:rFonts w:ascii="Arial" w:hAnsi="Arial" w:cs="Arial"/>
        </w:rPr>
        <w:t xml:space="preserve">, </w:t>
      </w:r>
      <w:r>
        <w:rPr>
          <w:rFonts w:ascii="Arial" w:hAnsi="Arial" w:cs="Arial"/>
        </w:rPr>
        <w:t xml:space="preserve">was critical to </w:t>
      </w:r>
      <w:r w:rsidR="00095A9E" w:rsidRPr="00460267">
        <w:rPr>
          <w:rFonts w:ascii="Arial" w:hAnsi="Arial" w:cs="Arial"/>
        </w:rPr>
        <w:t>his</w:t>
      </w:r>
      <w:r>
        <w:rPr>
          <w:rFonts w:ascii="Arial" w:hAnsi="Arial" w:cs="Arial"/>
        </w:rPr>
        <w:t xml:space="preserve"> claim</w:t>
      </w:r>
      <w:r w:rsidR="0082555A">
        <w:rPr>
          <w:rFonts w:ascii="Arial" w:hAnsi="Arial" w:cs="Arial"/>
        </w:rPr>
        <w:t>,</w:t>
      </w:r>
      <w:r>
        <w:rPr>
          <w:rFonts w:ascii="Arial" w:hAnsi="Arial" w:cs="Arial"/>
        </w:rPr>
        <w:t xml:space="preserve"> that had the prosecution ticked off the evidence and names of witnesses on </w:t>
      </w:r>
      <w:r w:rsidR="00845A02">
        <w:rPr>
          <w:rFonts w:ascii="Arial" w:hAnsi="Arial" w:cs="Arial"/>
        </w:rPr>
        <w:t xml:space="preserve">its </w:t>
      </w:r>
      <w:r>
        <w:rPr>
          <w:rFonts w:ascii="Arial" w:hAnsi="Arial" w:cs="Arial"/>
        </w:rPr>
        <w:t>list</w:t>
      </w:r>
      <w:r w:rsidR="00370876">
        <w:rPr>
          <w:rFonts w:ascii="Arial" w:hAnsi="Arial" w:cs="Arial"/>
        </w:rPr>
        <w:t xml:space="preserve"> they could have known that there was no further witnesses to be called after the testimony of </w:t>
      </w:r>
      <w:r w:rsidR="00845A02">
        <w:rPr>
          <w:rFonts w:ascii="Arial" w:hAnsi="Arial" w:cs="Arial"/>
        </w:rPr>
        <w:t xml:space="preserve">Mr </w:t>
      </w:r>
      <w:r w:rsidR="00370876">
        <w:rPr>
          <w:rFonts w:ascii="Arial" w:hAnsi="Arial" w:cs="Arial"/>
        </w:rPr>
        <w:t>Siboli which was completed in November 2005</w:t>
      </w:r>
      <w:r w:rsidR="00845A02">
        <w:rPr>
          <w:rFonts w:ascii="Arial" w:hAnsi="Arial" w:cs="Arial"/>
        </w:rPr>
        <w:t>.</w:t>
      </w:r>
      <w:r w:rsidR="00370876">
        <w:rPr>
          <w:rFonts w:ascii="Arial" w:hAnsi="Arial" w:cs="Arial"/>
        </w:rPr>
        <w:t xml:space="preserve"> </w:t>
      </w:r>
      <w:r w:rsidR="00845A02">
        <w:rPr>
          <w:rFonts w:ascii="Arial" w:hAnsi="Arial" w:cs="Arial"/>
        </w:rPr>
        <w:t xml:space="preserve">The respondent </w:t>
      </w:r>
      <w:r w:rsidR="00D354AB">
        <w:rPr>
          <w:rFonts w:ascii="Arial" w:hAnsi="Arial" w:cs="Arial"/>
        </w:rPr>
        <w:t xml:space="preserve">submitted that </w:t>
      </w:r>
      <w:r w:rsidR="00BF7D7E">
        <w:rPr>
          <w:rFonts w:ascii="Arial" w:hAnsi="Arial" w:cs="Arial"/>
        </w:rPr>
        <w:t xml:space="preserve">Mr </w:t>
      </w:r>
      <w:r w:rsidR="00D354AB">
        <w:rPr>
          <w:rFonts w:ascii="Arial" w:hAnsi="Arial" w:cs="Arial"/>
        </w:rPr>
        <w:t xml:space="preserve">Siboli’s evidence did not </w:t>
      </w:r>
      <w:r w:rsidR="007F444E">
        <w:rPr>
          <w:rFonts w:ascii="Arial" w:hAnsi="Arial" w:cs="Arial"/>
        </w:rPr>
        <w:t>provide enough information to e</w:t>
      </w:r>
      <w:r w:rsidR="00D354AB">
        <w:rPr>
          <w:rFonts w:ascii="Arial" w:hAnsi="Arial" w:cs="Arial"/>
        </w:rPr>
        <w:t>stablish culpatory evidence or reasonable belief on the part of the prosecuti</w:t>
      </w:r>
      <w:r w:rsidR="00A7525C">
        <w:rPr>
          <w:rFonts w:ascii="Arial" w:hAnsi="Arial" w:cs="Arial"/>
        </w:rPr>
        <w:t xml:space="preserve">on. </w:t>
      </w:r>
      <w:r w:rsidR="00845A02">
        <w:rPr>
          <w:rFonts w:ascii="Arial" w:hAnsi="Arial" w:cs="Arial"/>
        </w:rPr>
        <w:t xml:space="preserve">I am unable to find anything </w:t>
      </w:r>
      <w:r w:rsidR="00A7525C">
        <w:rPr>
          <w:rFonts w:ascii="Arial" w:hAnsi="Arial" w:cs="Arial"/>
        </w:rPr>
        <w:t xml:space="preserve">magical </w:t>
      </w:r>
      <w:r w:rsidR="00845A02">
        <w:rPr>
          <w:rFonts w:ascii="Arial" w:hAnsi="Arial" w:cs="Arial"/>
        </w:rPr>
        <w:t xml:space="preserve">and decisive of the claim </w:t>
      </w:r>
      <w:r w:rsidR="00A7525C">
        <w:rPr>
          <w:rFonts w:ascii="Arial" w:hAnsi="Arial" w:cs="Arial"/>
        </w:rPr>
        <w:t>about M</w:t>
      </w:r>
      <w:r w:rsidR="00BF7D7E">
        <w:rPr>
          <w:rFonts w:ascii="Arial" w:hAnsi="Arial" w:cs="Arial"/>
        </w:rPr>
        <w:t>r</w:t>
      </w:r>
      <w:r w:rsidR="00A7525C">
        <w:rPr>
          <w:rFonts w:ascii="Arial" w:hAnsi="Arial" w:cs="Arial"/>
        </w:rPr>
        <w:t xml:space="preserve"> July’s concession</w:t>
      </w:r>
      <w:r w:rsidR="00845A02">
        <w:rPr>
          <w:rFonts w:ascii="Arial" w:hAnsi="Arial" w:cs="Arial"/>
        </w:rPr>
        <w:t xml:space="preserve"> particularly in the </w:t>
      </w:r>
      <w:r w:rsidR="007664EA">
        <w:rPr>
          <w:rFonts w:ascii="Arial" w:hAnsi="Arial" w:cs="Arial"/>
        </w:rPr>
        <w:t>circumstances of this case</w:t>
      </w:r>
      <w:r w:rsidR="00845A02">
        <w:rPr>
          <w:rFonts w:ascii="Arial" w:hAnsi="Arial" w:cs="Arial"/>
        </w:rPr>
        <w:t>.</w:t>
      </w:r>
    </w:p>
    <w:p w:rsidR="003329FF" w:rsidRDefault="003329FF" w:rsidP="001337D7">
      <w:pPr>
        <w:pStyle w:val="BodyText"/>
        <w:autoSpaceDE w:val="0"/>
        <w:autoSpaceDN w:val="0"/>
        <w:adjustRightInd w:val="0"/>
        <w:spacing w:line="480" w:lineRule="auto"/>
        <w:jc w:val="both"/>
        <w:rPr>
          <w:rFonts w:ascii="Arial" w:hAnsi="Arial" w:cs="Arial"/>
        </w:rPr>
      </w:pPr>
    </w:p>
    <w:p w:rsidR="00B947E7" w:rsidRDefault="00EB0838"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t>In any event, M</w:t>
      </w:r>
      <w:r w:rsidR="00BF7D7E">
        <w:rPr>
          <w:rFonts w:ascii="Arial" w:hAnsi="Arial" w:cs="Arial"/>
        </w:rPr>
        <w:t>r</w:t>
      </w:r>
      <w:r>
        <w:rPr>
          <w:rFonts w:ascii="Arial" w:hAnsi="Arial" w:cs="Arial"/>
        </w:rPr>
        <w:t xml:space="preserve"> July’s evidence was that the prosecution had before it witnesses’ statements as well as the evidence against the respondent not only establishing that he was part of the conspiracy in the meetings </w:t>
      </w:r>
      <w:r w:rsidR="00110E27">
        <w:rPr>
          <w:rFonts w:ascii="Arial" w:hAnsi="Arial" w:cs="Arial"/>
        </w:rPr>
        <w:t>regarding the secession of Caprivi from Namibia through violent means</w:t>
      </w:r>
      <w:r w:rsidR="00845A02">
        <w:rPr>
          <w:rFonts w:ascii="Arial" w:hAnsi="Arial" w:cs="Arial"/>
        </w:rPr>
        <w:t>,</w:t>
      </w:r>
      <w:r w:rsidR="00110E27">
        <w:rPr>
          <w:rFonts w:ascii="Arial" w:hAnsi="Arial" w:cs="Arial"/>
        </w:rPr>
        <w:t xml:space="preserve"> but also by his conduct of recruiting people to join in that enterprise;</w:t>
      </w:r>
      <w:r w:rsidR="004F0B0E">
        <w:rPr>
          <w:rFonts w:ascii="Arial" w:hAnsi="Arial" w:cs="Arial"/>
        </w:rPr>
        <w:t xml:space="preserve"> and</w:t>
      </w:r>
      <w:r w:rsidR="00110E27">
        <w:rPr>
          <w:rFonts w:ascii="Arial" w:hAnsi="Arial" w:cs="Arial"/>
        </w:rPr>
        <w:t xml:space="preserve"> transporting </w:t>
      </w:r>
      <w:r w:rsidR="00845A02">
        <w:rPr>
          <w:rFonts w:ascii="Arial" w:hAnsi="Arial" w:cs="Arial"/>
        </w:rPr>
        <w:t xml:space="preserve">them </w:t>
      </w:r>
      <w:r w:rsidR="00110E27">
        <w:rPr>
          <w:rFonts w:ascii="Arial" w:hAnsi="Arial" w:cs="Arial"/>
        </w:rPr>
        <w:t>to Botswana for t</w:t>
      </w:r>
      <w:r w:rsidR="0082555A">
        <w:rPr>
          <w:rFonts w:ascii="Arial" w:hAnsi="Arial" w:cs="Arial"/>
        </w:rPr>
        <w:t>raining and providing funding. He said that i</w:t>
      </w:r>
      <w:r w:rsidR="00110E27">
        <w:rPr>
          <w:rFonts w:ascii="Arial" w:hAnsi="Arial" w:cs="Arial"/>
        </w:rPr>
        <w:t>n that sense the common purpose doctrine was met at both conspiracy and individual conduct levels against the respondent. The belief on the part of the prosecution on the probable guil</w:t>
      </w:r>
      <w:r w:rsidR="00845A02">
        <w:rPr>
          <w:rFonts w:ascii="Arial" w:hAnsi="Arial" w:cs="Arial"/>
        </w:rPr>
        <w:t>t of the respondent was thus</w:t>
      </w:r>
      <w:r w:rsidR="00110E27">
        <w:rPr>
          <w:rFonts w:ascii="Arial" w:hAnsi="Arial" w:cs="Arial"/>
        </w:rPr>
        <w:t xml:space="preserve"> plausible.</w:t>
      </w:r>
    </w:p>
    <w:p w:rsidR="00B947E7" w:rsidRDefault="00B947E7" w:rsidP="001337D7">
      <w:pPr>
        <w:pStyle w:val="BodyText"/>
        <w:autoSpaceDE w:val="0"/>
        <w:autoSpaceDN w:val="0"/>
        <w:adjustRightInd w:val="0"/>
        <w:spacing w:line="480" w:lineRule="auto"/>
        <w:jc w:val="both"/>
        <w:rPr>
          <w:rFonts w:ascii="Arial" w:hAnsi="Arial" w:cs="Arial"/>
        </w:rPr>
      </w:pPr>
    </w:p>
    <w:p w:rsidR="00504524" w:rsidRDefault="00110E27"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t>Clearly, t</w:t>
      </w:r>
      <w:r w:rsidR="00370876">
        <w:rPr>
          <w:rFonts w:ascii="Arial" w:hAnsi="Arial" w:cs="Arial"/>
        </w:rPr>
        <w:t>h</w:t>
      </w:r>
      <w:r w:rsidR="00A7525C">
        <w:rPr>
          <w:rFonts w:ascii="Arial" w:hAnsi="Arial" w:cs="Arial"/>
        </w:rPr>
        <w:t xml:space="preserve">e respondent’s </w:t>
      </w:r>
      <w:r w:rsidR="003E5F0D">
        <w:rPr>
          <w:rFonts w:ascii="Arial" w:hAnsi="Arial" w:cs="Arial"/>
        </w:rPr>
        <w:t xml:space="preserve">argument </w:t>
      </w:r>
      <w:r>
        <w:rPr>
          <w:rFonts w:ascii="Arial" w:hAnsi="Arial" w:cs="Arial"/>
        </w:rPr>
        <w:t xml:space="preserve">regarding the concession </w:t>
      </w:r>
      <w:r w:rsidR="00370876">
        <w:rPr>
          <w:rFonts w:ascii="Arial" w:hAnsi="Arial" w:cs="Arial"/>
        </w:rPr>
        <w:t>disregard</w:t>
      </w:r>
      <w:r>
        <w:rPr>
          <w:rFonts w:ascii="Arial" w:hAnsi="Arial" w:cs="Arial"/>
        </w:rPr>
        <w:t>s</w:t>
      </w:r>
      <w:r w:rsidR="00370876">
        <w:rPr>
          <w:rFonts w:ascii="Arial" w:hAnsi="Arial" w:cs="Arial"/>
        </w:rPr>
        <w:t xml:space="preserve"> the </w:t>
      </w:r>
      <w:r>
        <w:rPr>
          <w:rFonts w:ascii="Arial" w:hAnsi="Arial" w:cs="Arial"/>
        </w:rPr>
        <w:t xml:space="preserve">information </w:t>
      </w:r>
      <w:r w:rsidR="00370876">
        <w:rPr>
          <w:rFonts w:ascii="Arial" w:hAnsi="Arial" w:cs="Arial"/>
        </w:rPr>
        <w:t xml:space="preserve">in the witnesses’ statements (including that of </w:t>
      </w:r>
      <w:r w:rsidR="00BF7D7E">
        <w:rPr>
          <w:rFonts w:ascii="Arial" w:hAnsi="Arial" w:cs="Arial"/>
        </w:rPr>
        <w:t xml:space="preserve">Mr </w:t>
      </w:r>
      <w:r w:rsidR="00370876">
        <w:rPr>
          <w:rFonts w:ascii="Arial" w:hAnsi="Arial" w:cs="Arial"/>
        </w:rPr>
        <w:t>Siboli) which implicated</w:t>
      </w:r>
      <w:r>
        <w:rPr>
          <w:rFonts w:ascii="Arial" w:hAnsi="Arial" w:cs="Arial"/>
        </w:rPr>
        <w:t xml:space="preserve"> him</w:t>
      </w:r>
      <w:r w:rsidR="00370876">
        <w:rPr>
          <w:rFonts w:ascii="Arial" w:hAnsi="Arial" w:cs="Arial"/>
        </w:rPr>
        <w:t>.</w:t>
      </w:r>
      <w:r w:rsidR="00863DAD">
        <w:rPr>
          <w:rFonts w:ascii="Arial" w:hAnsi="Arial" w:cs="Arial"/>
        </w:rPr>
        <w:t xml:space="preserve"> </w:t>
      </w:r>
      <w:r w:rsidR="0082555A">
        <w:rPr>
          <w:rFonts w:ascii="Arial" w:hAnsi="Arial" w:cs="Arial"/>
        </w:rPr>
        <w:t>Indeed, t</w:t>
      </w:r>
      <w:r w:rsidR="00843A69">
        <w:rPr>
          <w:rFonts w:ascii="Arial" w:hAnsi="Arial" w:cs="Arial"/>
        </w:rPr>
        <w:t xml:space="preserve">he fact that </w:t>
      </w:r>
      <w:r w:rsidR="00BF7D7E">
        <w:rPr>
          <w:rFonts w:ascii="Arial" w:hAnsi="Arial" w:cs="Arial"/>
        </w:rPr>
        <w:t xml:space="preserve">Mr </w:t>
      </w:r>
      <w:r w:rsidR="00843A69">
        <w:rPr>
          <w:rFonts w:ascii="Arial" w:hAnsi="Arial" w:cs="Arial"/>
        </w:rPr>
        <w:t xml:space="preserve">Siboli never mentioned </w:t>
      </w:r>
      <w:r w:rsidR="003E5F0D">
        <w:rPr>
          <w:rFonts w:ascii="Arial" w:hAnsi="Arial" w:cs="Arial"/>
        </w:rPr>
        <w:t xml:space="preserve">his </w:t>
      </w:r>
      <w:r w:rsidR="00843A69">
        <w:rPr>
          <w:rFonts w:ascii="Arial" w:hAnsi="Arial" w:cs="Arial"/>
        </w:rPr>
        <w:t>name at the hearing does not itself ‘train smash</w:t>
      </w:r>
      <w:r w:rsidR="00A10647">
        <w:rPr>
          <w:rFonts w:ascii="Arial" w:hAnsi="Arial" w:cs="Arial"/>
        </w:rPr>
        <w:t>’</w:t>
      </w:r>
      <w:r w:rsidR="00843A69">
        <w:rPr>
          <w:rFonts w:ascii="Arial" w:hAnsi="Arial" w:cs="Arial"/>
        </w:rPr>
        <w:t xml:space="preserve"> the veracity of his entire statement and of the testimonies of other </w:t>
      </w:r>
      <w:r w:rsidR="00843A69">
        <w:rPr>
          <w:rFonts w:ascii="Arial" w:hAnsi="Arial" w:cs="Arial"/>
        </w:rPr>
        <w:lastRenderedPageBreak/>
        <w:t>witnesses who implicated the respondent.</w:t>
      </w:r>
      <w:r w:rsidR="0072344F">
        <w:rPr>
          <w:rStyle w:val="FootnoteReference"/>
          <w:rFonts w:ascii="Arial" w:hAnsi="Arial" w:cs="Arial"/>
        </w:rPr>
        <w:footnoteReference w:id="33"/>
      </w:r>
      <w:r w:rsidR="00843A69">
        <w:rPr>
          <w:rFonts w:ascii="Arial" w:hAnsi="Arial" w:cs="Arial"/>
        </w:rPr>
        <w:t xml:space="preserve"> </w:t>
      </w:r>
      <w:r w:rsidR="00863DAD">
        <w:rPr>
          <w:rFonts w:ascii="Arial" w:hAnsi="Arial" w:cs="Arial"/>
        </w:rPr>
        <w:t>There is no reasonable basis for th</w:t>
      </w:r>
      <w:r w:rsidR="00504524">
        <w:rPr>
          <w:rFonts w:ascii="Arial" w:hAnsi="Arial" w:cs="Arial"/>
        </w:rPr>
        <w:t xml:space="preserve">e </w:t>
      </w:r>
      <w:r w:rsidR="003E5F0D">
        <w:rPr>
          <w:rFonts w:ascii="Arial" w:hAnsi="Arial" w:cs="Arial"/>
        </w:rPr>
        <w:t xml:space="preserve">contention </w:t>
      </w:r>
      <w:r w:rsidR="00504524">
        <w:rPr>
          <w:rFonts w:ascii="Arial" w:hAnsi="Arial" w:cs="Arial"/>
        </w:rPr>
        <w:t xml:space="preserve">that the witnesses’ statements were </w:t>
      </w:r>
      <w:r w:rsidR="00863DAD">
        <w:rPr>
          <w:rFonts w:ascii="Arial" w:hAnsi="Arial" w:cs="Arial"/>
        </w:rPr>
        <w:t>fabricated</w:t>
      </w:r>
      <w:r w:rsidR="004F0B0E">
        <w:rPr>
          <w:rFonts w:ascii="Arial" w:hAnsi="Arial" w:cs="Arial"/>
        </w:rPr>
        <w:t xml:space="preserve"> or</w:t>
      </w:r>
      <w:r w:rsidR="003E5F0D">
        <w:rPr>
          <w:rFonts w:ascii="Arial" w:hAnsi="Arial" w:cs="Arial"/>
        </w:rPr>
        <w:t xml:space="preserve"> </w:t>
      </w:r>
      <w:r w:rsidR="00504524">
        <w:rPr>
          <w:rFonts w:ascii="Arial" w:hAnsi="Arial" w:cs="Arial"/>
        </w:rPr>
        <w:t>for drawing of any inference.</w:t>
      </w:r>
      <w:r w:rsidR="00370876">
        <w:rPr>
          <w:rFonts w:ascii="Arial" w:hAnsi="Arial" w:cs="Arial"/>
        </w:rPr>
        <w:t xml:space="preserve"> </w:t>
      </w:r>
      <w:r w:rsidR="00504524">
        <w:rPr>
          <w:rFonts w:ascii="Arial" w:hAnsi="Arial" w:cs="Arial"/>
        </w:rPr>
        <w:t xml:space="preserve">The contention </w:t>
      </w:r>
      <w:r w:rsidR="00370876">
        <w:rPr>
          <w:rFonts w:ascii="Arial" w:hAnsi="Arial" w:cs="Arial"/>
        </w:rPr>
        <w:t>also disregards the fact that the respondent was charged, together with other 122 accused persons</w:t>
      </w:r>
      <w:r w:rsidR="003E5F0D">
        <w:rPr>
          <w:rFonts w:ascii="Arial" w:hAnsi="Arial" w:cs="Arial"/>
        </w:rPr>
        <w:t xml:space="preserve">, with common purpose or </w:t>
      </w:r>
      <w:r w:rsidR="00370876">
        <w:rPr>
          <w:rFonts w:ascii="Arial" w:hAnsi="Arial" w:cs="Arial"/>
        </w:rPr>
        <w:t>with conspiracy to commit high treason.</w:t>
      </w:r>
      <w:r w:rsidR="00D01A00">
        <w:rPr>
          <w:rFonts w:ascii="Arial" w:hAnsi="Arial" w:cs="Arial"/>
        </w:rPr>
        <w:t xml:space="preserve"> </w:t>
      </w:r>
    </w:p>
    <w:p w:rsidR="00504524" w:rsidRDefault="00504524" w:rsidP="001337D7">
      <w:pPr>
        <w:pStyle w:val="BodyText"/>
        <w:autoSpaceDE w:val="0"/>
        <w:autoSpaceDN w:val="0"/>
        <w:adjustRightInd w:val="0"/>
        <w:spacing w:line="480" w:lineRule="auto"/>
        <w:jc w:val="both"/>
        <w:rPr>
          <w:rFonts w:ascii="Arial" w:hAnsi="Arial" w:cs="Arial"/>
        </w:rPr>
      </w:pPr>
    </w:p>
    <w:p w:rsidR="00D01A00" w:rsidRDefault="007664EA"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t xml:space="preserve">Unquestionably, it is commonplace in criminal trials </w:t>
      </w:r>
      <w:r w:rsidR="007F444E">
        <w:rPr>
          <w:rFonts w:ascii="Arial" w:hAnsi="Arial" w:cs="Arial"/>
        </w:rPr>
        <w:t>that</w:t>
      </w:r>
      <w:r w:rsidR="0082555A">
        <w:rPr>
          <w:rFonts w:ascii="Arial" w:hAnsi="Arial" w:cs="Arial"/>
        </w:rPr>
        <w:t>,</w:t>
      </w:r>
      <w:r w:rsidR="007F444E">
        <w:rPr>
          <w:rFonts w:ascii="Arial" w:hAnsi="Arial" w:cs="Arial"/>
        </w:rPr>
        <w:t xml:space="preserve"> where accused persons are charged with common purpose or conspiracy, the evidence given against particular accused persons is </w:t>
      </w:r>
      <w:r>
        <w:rPr>
          <w:rFonts w:ascii="Arial" w:hAnsi="Arial" w:cs="Arial"/>
        </w:rPr>
        <w:t>imputable against th</w:t>
      </w:r>
      <w:r w:rsidR="007F444E">
        <w:rPr>
          <w:rFonts w:ascii="Arial" w:hAnsi="Arial" w:cs="Arial"/>
        </w:rPr>
        <w:t>e other accused.</w:t>
      </w:r>
      <w:r w:rsidR="007F444E">
        <w:rPr>
          <w:rStyle w:val="FootnoteReference"/>
          <w:rFonts w:ascii="Arial" w:hAnsi="Arial" w:cs="Arial"/>
        </w:rPr>
        <w:footnoteReference w:id="34"/>
      </w:r>
      <w:r w:rsidR="00C82998">
        <w:rPr>
          <w:rFonts w:ascii="Arial" w:hAnsi="Arial" w:cs="Arial"/>
        </w:rPr>
        <w:t xml:space="preserve"> </w:t>
      </w:r>
      <w:r w:rsidR="00D354AB">
        <w:rPr>
          <w:rFonts w:ascii="Arial" w:hAnsi="Arial" w:cs="Arial"/>
        </w:rPr>
        <w:t>Furthermore, as will be shown</w:t>
      </w:r>
      <w:r w:rsidR="007F444E">
        <w:rPr>
          <w:rFonts w:ascii="Arial" w:hAnsi="Arial" w:cs="Arial"/>
        </w:rPr>
        <w:t xml:space="preserve"> later</w:t>
      </w:r>
      <w:r w:rsidR="00D354AB">
        <w:rPr>
          <w:rFonts w:ascii="Arial" w:hAnsi="Arial" w:cs="Arial"/>
        </w:rPr>
        <w:t xml:space="preserve">, the approach adopted and standard applied by the </w:t>
      </w:r>
      <w:r w:rsidR="007149CE">
        <w:rPr>
          <w:rFonts w:ascii="Arial" w:hAnsi="Arial" w:cs="Arial"/>
        </w:rPr>
        <w:t>c</w:t>
      </w:r>
      <w:r w:rsidR="007F444E">
        <w:rPr>
          <w:rFonts w:ascii="Arial" w:hAnsi="Arial" w:cs="Arial"/>
        </w:rPr>
        <w:t xml:space="preserve">ourt </w:t>
      </w:r>
      <w:r w:rsidR="007F444E" w:rsidRPr="00FC1842">
        <w:rPr>
          <w:rFonts w:ascii="Arial" w:hAnsi="Arial" w:cs="Arial"/>
          <w:i/>
        </w:rPr>
        <w:t>a quo</w:t>
      </w:r>
      <w:r w:rsidR="007F444E">
        <w:rPr>
          <w:rFonts w:ascii="Arial" w:hAnsi="Arial" w:cs="Arial"/>
        </w:rPr>
        <w:t xml:space="preserve"> and </w:t>
      </w:r>
      <w:r w:rsidR="00EF03C1">
        <w:rPr>
          <w:rFonts w:ascii="Arial" w:hAnsi="Arial" w:cs="Arial"/>
        </w:rPr>
        <w:t xml:space="preserve">supported by </w:t>
      </w:r>
      <w:r w:rsidR="007F444E">
        <w:rPr>
          <w:rFonts w:ascii="Arial" w:hAnsi="Arial" w:cs="Arial"/>
        </w:rPr>
        <w:t xml:space="preserve">the </w:t>
      </w:r>
      <w:r w:rsidR="00D354AB">
        <w:rPr>
          <w:rFonts w:ascii="Arial" w:hAnsi="Arial" w:cs="Arial"/>
        </w:rPr>
        <w:t>respondent in rela</w:t>
      </w:r>
      <w:r w:rsidR="007F444E">
        <w:rPr>
          <w:rFonts w:ascii="Arial" w:hAnsi="Arial" w:cs="Arial"/>
        </w:rPr>
        <w:t>tion to the alternative claim are l</w:t>
      </w:r>
      <w:r w:rsidR="00D354AB">
        <w:rPr>
          <w:rFonts w:ascii="Arial" w:hAnsi="Arial" w:cs="Arial"/>
        </w:rPr>
        <w:t xml:space="preserve">egally flawed. </w:t>
      </w:r>
    </w:p>
    <w:p w:rsidR="007F444E" w:rsidRDefault="007F444E" w:rsidP="001337D7">
      <w:pPr>
        <w:pStyle w:val="BodyText"/>
        <w:autoSpaceDE w:val="0"/>
        <w:autoSpaceDN w:val="0"/>
        <w:adjustRightInd w:val="0"/>
        <w:spacing w:line="480" w:lineRule="auto"/>
        <w:jc w:val="both"/>
        <w:rPr>
          <w:rFonts w:ascii="Arial" w:hAnsi="Arial" w:cs="Arial"/>
        </w:rPr>
      </w:pPr>
    </w:p>
    <w:p w:rsidR="00920492" w:rsidRDefault="0001717D" w:rsidP="001337D7">
      <w:pPr>
        <w:pStyle w:val="BodyText"/>
        <w:numPr>
          <w:ilvl w:val="0"/>
          <w:numId w:val="1"/>
        </w:numPr>
        <w:autoSpaceDE w:val="0"/>
        <w:autoSpaceDN w:val="0"/>
        <w:adjustRightInd w:val="0"/>
        <w:spacing w:line="480" w:lineRule="auto"/>
        <w:ind w:left="0" w:firstLine="0"/>
        <w:jc w:val="both"/>
        <w:rPr>
          <w:rFonts w:ascii="Arial" w:hAnsi="Arial" w:cs="Arial"/>
        </w:rPr>
      </w:pPr>
      <w:r w:rsidRPr="008262D9">
        <w:rPr>
          <w:rFonts w:ascii="Arial" w:hAnsi="Arial" w:cs="Arial"/>
        </w:rPr>
        <w:t>The respondent argued that the evidence did not provide enough information</w:t>
      </w:r>
      <w:r w:rsidR="00310732" w:rsidRPr="008262D9">
        <w:rPr>
          <w:rFonts w:ascii="Arial" w:hAnsi="Arial" w:cs="Arial"/>
        </w:rPr>
        <w:t xml:space="preserve"> or </w:t>
      </w:r>
      <w:r w:rsidR="00921198">
        <w:rPr>
          <w:rFonts w:ascii="Arial" w:hAnsi="Arial" w:cs="Arial"/>
        </w:rPr>
        <w:t>was in</w:t>
      </w:r>
      <w:r w:rsidR="00310732" w:rsidRPr="008262D9">
        <w:rPr>
          <w:rFonts w:ascii="Arial" w:hAnsi="Arial" w:cs="Arial"/>
        </w:rPr>
        <w:t>ade</w:t>
      </w:r>
      <w:r w:rsidR="00310732">
        <w:rPr>
          <w:rFonts w:ascii="Arial" w:hAnsi="Arial" w:cs="Arial"/>
        </w:rPr>
        <w:t xml:space="preserve">quate </w:t>
      </w:r>
      <w:r>
        <w:rPr>
          <w:rFonts w:ascii="Arial" w:hAnsi="Arial" w:cs="Arial"/>
        </w:rPr>
        <w:t>to establish culpatory evidence</w:t>
      </w:r>
      <w:r w:rsidR="00310732">
        <w:rPr>
          <w:rFonts w:ascii="Arial" w:hAnsi="Arial" w:cs="Arial"/>
        </w:rPr>
        <w:t xml:space="preserve">. He </w:t>
      </w:r>
      <w:r w:rsidR="00921198">
        <w:rPr>
          <w:rFonts w:ascii="Arial" w:hAnsi="Arial" w:cs="Arial"/>
        </w:rPr>
        <w:t>submitted th</w:t>
      </w:r>
      <w:r w:rsidR="00310732">
        <w:rPr>
          <w:rFonts w:ascii="Arial" w:hAnsi="Arial" w:cs="Arial"/>
        </w:rPr>
        <w:t xml:space="preserve">at </w:t>
      </w:r>
      <w:r>
        <w:rPr>
          <w:rFonts w:ascii="Arial" w:hAnsi="Arial" w:cs="Arial"/>
        </w:rPr>
        <w:t xml:space="preserve">the alleged honest belief by the second appellant and </w:t>
      </w:r>
      <w:r w:rsidR="004F0B0E">
        <w:rPr>
          <w:rFonts w:ascii="Arial" w:hAnsi="Arial" w:cs="Arial"/>
        </w:rPr>
        <w:t>the prosecutorial team</w:t>
      </w:r>
      <w:r>
        <w:rPr>
          <w:rFonts w:ascii="Arial" w:hAnsi="Arial" w:cs="Arial"/>
        </w:rPr>
        <w:t xml:space="preserve"> lacked bases. It is not insignificant that the respondent did not appeal the High Court’s decision regarding the main claims. Th</w:t>
      </w:r>
      <w:r w:rsidR="00A87A61">
        <w:rPr>
          <w:rFonts w:ascii="Arial" w:hAnsi="Arial" w:cs="Arial"/>
        </w:rPr>
        <w:t>e upshot of this</w:t>
      </w:r>
      <w:r w:rsidR="00652A48">
        <w:rPr>
          <w:rFonts w:ascii="Arial" w:hAnsi="Arial" w:cs="Arial"/>
        </w:rPr>
        <w:t xml:space="preserve">, in my view, </w:t>
      </w:r>
      <w:r w:rsidR="00A87A61">
        <w:rPr>
          <w:rFonts w:ascii="Arial" w:hAnsi="Arial" w:cs="Arial"/>
        </w:rPr>
        <w:t>is that t</w:t>
      </w:r>
      <w:r>
        <w:rPr>
          <w:rFonts w:ascii="Arial" w:hAnsi="Arial" w:cs="Arial"/>
        </w:rPr>
        <w:t xml:space="preserve">he </w:t>
      </w:r>
      <w:r w:rsidR="00A87A61">
        <w:rPr>
          <w:rFonts w:ascii="Arial" w:hAnsi="Arial" w:cs="Arial"/>
        </w:rPr>
        <w:t xml:space="preserve">respondent </w:t>
      </w:r>
      <w:r>
        <w:rPr>
          <w:rFonts w:ascii="Arial" w:hAnsi="Arial" w:cs="Arial"/>
        </w:rPr>
        <w:t>accept</w:t>
      </w:r>
      <w:r w:rsidR="00652A48">
        <w:rPr>
          <w:rFonts w:ascii="Arial" w:hAnsi="Arial" w:cs="Arial"/>
        </w:rPr>
        <w:t>ed as correct</w:t>
      </w:r>
      <w:r>
        <w:rPr>
          <w:rFonts w:ascii="Arial" w:hAnsi="Arial" w:cs="Arial"/>
        </w:rPr>
        <w:t xml:space="preserve"> </w:t>
      </w:r>
      <w:r w:rsidR="00A87A61">
        <w:rPr>
          <w:rFonts w:ascii="Arial" w:hAnsi="Arial" w:cs="Arial"/>
        </w:rPr>
        <w:t xml:space="preserve">(a) </w:t>
      </w:r>
      <w:r>
        <w:rPr>
          <w:rFonts w:ascii="Arial" w:hAnsi="Arial" w:cs="Arial"/>
        </w:rPr>
        <w:t>the conclusion that on the facts there were no sound reasons advanced by him as to why the prosecution team had to disbelieve the statements under oath</w:t>
      </w:r>
      <w:r w:rsidR="00A87A61">
        <w:rPr>
          <w:rFonts w:ascii="Arial" w:hAnsi="Arial" w:cs="Arial"/>
        </w:rPr>
        <w:t xml:space="preserve">, (b) that there was a reasonable and probable cause for the prosecution and (c) that he failed to prove on a balance of probabilities that the second appellant acted with malice </w:t>
      </w:r>
      <w:r w:rsidR="00F35954">
        <w:rPr>
          <w:rFonts w:ascii="Arial" w:hAnsi="Arial" w:cs="Arial"/>
        </w:rPr>
        <w:t xml:space="preserve">or improper </w:t>
      </w:r>
      <w:r w:rsidR="00F35954">
        <w:rPr>
          <w:rFonts w:ascii="Arial" w:hAnsi="Arial" w:cs="Arial"/>
        </w:rPr>
        <w:lastRenderedPageBreak/>
        <w:t xml:space="preserve">motive </w:t>
      </w:r>
      <w:r w:rsidR="00A87A61">
        <w:rPr>
          <w:rFonts w:ascii="Arial" w:hAnsi="Arial" w:cs="Arial"/>
        </w:rPr>
        <w:t xml:space="preserve">in initiating the prosecution or that the second appellant instigated the proceedings with the aim to injure him. </w:t>
      </w:r>
      <w:r w:rsidR="00F35954">
        <w:rPr>
          <w:rFonts w:ascii="Arial" w:hAnsi="Arial" w:cs="Arial"/>
        </w:rPr>
        <w:t>To this end</w:t>
      </w:r>
      <w:r w:rsidR="004F0B0E">
        <w:rPr>
          <w:rFonts w:ascii="Arial" w:hAnsi="Arial" w:cs="Arial"/>
        </w:rPr>
        <w:t>,</w:t>
      </w:r>
      <w:r w:rsidR="00F35954">
        <w:rPr>
          <w:rFonts w:ascii="Arial" w:hAnsi="Arial" w:cs="Arial"/>
        </w:rPr>
        <w:t xml:space="preserve"> one </w:t>
      </w:r>
      <w:r w:rsidR="00A87A61">
        <w:rPr>
          <w:rFonts w:ascii="Arial" w:hAnsi="Arial" w:cs="Arial"/>
        </w:rPr>
        <w:t xml:space="preserve">wonders how </w:t>
      </w:r>
      <w:r w:rsidR="00652A48">
        <w:rPr>
          <w:rFonts w:ascii="Arial" w:hAnsi="Arial" w:cs="Arial"/>
        </w:rPr>
        <w:t>the same facts giving rise to such findings</w:t>
      </w:r>
      <w:r w:rsidR="00F35954">
        <w:rPr>
          <w:rFonts w:ascii="Arial" w:hAnsi="Arial" w:cs="Arial"/>
        </w:rPr>
        <w:t xml:space="preserve"> could not have established a reasonable and probable cause </w:t>
      </w:r>
      <w:r w:rsidR="00A87A61">
        <w:rPr>
          <w:rFonts w:ascii="Arial" w:hAnsi="Arial" w:cs="Arial"/>
        </w:rPr>
        <w:t xml:space="preserve">for the continuation of the prosecution </w:t>
      </w:r>
      <w:r w:rsidR="00A87A61" w:rsidRPr="00920492">
        <w:rPr>
          <w:rFonts w:ascii="Arial" w:hAnsi="Arial" w:cs="Arial"/>
        </w:rPr>
        <w:t xml:space="preserve">where many accused </w:t>
      </w:r>
      <w:r w:rsidR="00F35954">
        <w:rPr>
          <w:rFonts w:ascii="Arial" w:hAnsi="Arial" w:cs="Arial"/>
        </w:rPr>
        <w:t xml:space="preserve">persons </w:t>
      </w:r>
      <w:r w:rsidR="00360D9D" w:rsidRPr="00920492">
        <w:rPr>
          <w:rFonts w:ascii="Arial" w:hAnsi="Arial" w:cs="Arial"/>
        </w:rPr>
        <w:t xml:space="preserve">conspired to commit a serious crime of </w:t>
      </w:r>
      <w:r w:rsidR="00A87A61" w:rsidRPr="00920492">
        <w:rPr>
          <w:rFonts w:ascii="Arial" w:hAnsi="Arial" w:cs="Arial"/>
        </w:rPr>
        <w:t>high treason</w:t>
      </w:r>
      <w:r w:rsidR="00360D9D" w:rsidRPr="00920492">
        <w:rPr>
          <w:rFonts w:ascii="Arial" w:hAnsi="Arial" w:cs="Arial"/>
        </w:rPr>
        <w:t xml:space="preserve">. </w:t>
      </w:r>
      <w:r w:rsidR="00652A48">
        <w:rPr>
          <w:rFonts w:ascii="Arial" w:hAnsi="Arial" w:cs="Arial"/>
        </w:rPr>
        <w:t>In my view, the</w:t>
      </w:r>
      <w:r w:rsidR="00F35954">
        <w:rPr>
          <w:rFonts w:ascii="Arial" w:hAnsi="Arial" w:cs="Arial"/>
        </w:rPr>
        <w:t xml:space="preserve"> appeal stands </w:t>
      </w:r>
      <w:r w:rsidR="00652A48">
        <w:rPr>
          <w:rFonts w:ascii="Arial" w:hAnsi="Arial" w:cs="Arial"/>
        </w:rPr>
        <w:t xml:space="preserve">to succeed on the </w:t>
      </w:r>
      <w:r w:rsidR="00920492" w:rsidRPr="00920492">
        <w:rPr>
          <w:rFonts w:ascii="Arial" w:hAnsi="Arial" w:cs="Arial"/>
        </w:rPr>
        <w:t xml:space="preserve">High Court’s findings </w:t>
      </w:r>
      <w:r w:rsidR="00652A48">
        <w:rPr>
          <w:rFonts w:ascii="Arial" w:hAnsi="Arial" w:cs="Arial"/>
        </w:rPr>
        <w:t xml:space="preserve">on the main claims </w:t>
      </w:r>
      <w:r w:rsidR="00920492" w:rsidRPr="00920492">
        <w:rPr>
          <w:rFonts w:ascii="Arial" w:hAnsi="Arial" w:cs="Arial"/>
        </w:rPr>
        <w:t>alone to</w:t>
      </w:r>
      <w:r w:rsidR="00652A48">
        <w:rPr>
          <w:rFonts w:ascii="Arial" w:hAnsi="Arial" w:cs="Arial"/>
        </w:rPr>
        <w:t xml:space="preserve"> which there is no cross-appeal.</w:t>
      </w:r>
      <w:r w:rsidR="00920492" w:rsidRPr="00920492">
        <w:rPr>
          <w:rFonts w:ascii="Arial" w:hAnsi="Arial" w:cs="Arial"/>
        </w:rPr>
        <w:t xml:space="preserve"> </w:t>
      </w:r>
    </w:p>
    <w:p w:rsidR="00436223" w:rsidRDefault="00436223" w:rsidP="001337D7">
      <w:pPr>
        <w:pStyle w:val="BodyText"/>
        <w:autoSpaceDE w:val="0"/>
        <w:autoSpaceDN w:val="0"/>
        <w:adjustRightInd w:val="0"/>
        <w:spacing w:line="480" w:lineRule="auto"/>
        <w:jc w:val="both"/>
        <w:rPr>
          <w:rFonts w:ascii="Arial" w:hAnsi="Arial" w:cs="Arial"/>
        </w:rPr>
      </w:pPr>
    </w:p>
    <w:p w:rsidR="006363E4" w:rsidRDefault="00360D9D"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t xml:space="preserve">The evidence of Mr July, which remained unchallenged, was revealing. He said that the decision to prosecute the respondent was based on the witnesses’ statements implicating the respondent and made under oath. </w:t>
      </w:r>
      <w:r w:rsidR="00491869">
        <w:rPr>
          <w:rFonts w:ascii="Arial" w:hAnsi="Arial" w:cs="Arial"/>
        </w:rPr>
        <w:t>Also</w:t>
      </w:r>
      <w:r>
        <w:rPr>
          <w:rFonts w:ascii="Arial" w:hAnsi="Arial" w:cs="Arial"/>
        </w:rPr>
        <w:t xml:space="preserve"> </w:t>
      </w:r>
      <w:r w:rsidR="00491869">
        <w:rPr>
          <w:rFonts w:ascii="Arial" w:hAnsi="Arial" w:cs="Arial"/>
        </w:rPr>
        <w:t xml:space="preserve">based on the available evidence, he testified, </w:t>
      </w:r>
      <w:r>
        <w:rPr>
          <w:rFonts w:ascii="Arial" w:hAnsi="Arial" w:cs="Arial"/>
        </w:rPr>
        <w:t xml:space="preserve">the prosecution believed that the respondent had committed the offence on which he was indicted by the State. </w:t>
      </w:r>
    </w:p>
    <w:p w:rsidR="00DC387E" w:rsidRDefault="00DC387E" w:rsidP="001337D7">
      <w:pPr>
        <w:pStyle w:val="BodyText"/>
        <w:autoSpaceDE w:val="0"/>
        <w:autoSpaceDN w:val="0"/>
        <w:adjustRightInd w:val="0"/>
        <w:spacing w:line="480" w:lineRule="auto"/>
        <w:jc w:val="both"/>
        <w:rPr>
          <w:rFonts w:ascii="Arial" w:hAnsi="Arial" w:cs="Arial"/>
        </w:rPr>
      </w:pPr>
    </w:p>
    <w:p w:rsidR="005E419D" w:rsidRDefault="00F1178A"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t xml:space="preserve">The fact that the respondent was not a rebel captured during the military engagement with the security </w:t>
      </w:r>
      <w:r w:rsidR="00CF0670">
        <w:rPr>
          <w:rFonts w:ascii="Arial" w:hAnsi="Arial" w:cs="Arial"/>
        </w:rPr>
        <w:t>forces</w:t>
      </w:r>
      <w:r>
        <w:rPr>
          <w:rFonts w:ascii="Arial" w:hAnsi="Arial" w:cs="Arial"/>
        </w:rPr>
        <w:t xml:space="preserve"> nor pointed out by the rebels and that his name did not appear on the deployment list, as submitted on his behalf, is immateria</w:t>
      </w:r>
      <w:r w:rsidR="00C82998">
        <w:rPr>
          <w:rFonts w:ascii="Arial" w:hAnsi="Arial" w:cs="Arial"/>
        </w:rPr>
        <w:t xml:space="preserve">l. </w:t>
      </w:r>
      <w:r w:rsidR="00DC387E">
        <w:rPr>
          <w:rFonts w:ascii="Arial" w:hAnsi="Arial" w:cs="Arial"/>
        </w:rPr>
        <w:t>It is correct that the allegations in the statements implicated the respondent as a party to a conspiracy to commit the crimes cited in the indictment. B</w:t>
      </w:r>
      <w:r>
        <w:rPr>
          <w:rFonts w:ascii="Arial" w:hAnsi="Arial" w:cs="Arial"/>
        </w:rPr>
        <w:t xml:space="preserve">y </w:t>
      </w:r>
      <w:r w:rsidR="00360D9D">
        <w:rPr>
          <w:rFonts w:ascii="Arial" w:hAnsi="Arial" w:cs="Arial"/>
        </w:rPr>
        <w:t>his conduct</w:t>
      </w:r>
      <w:r>
        <w:rPr>
          <w:rFonts w:ascii="Arial" w:hAnsi="Arial" w:cs="Arial"/>
        </w:rPr>
        <w:t>,</w:t>
      </w:r>
      <w:r w:rsidR="00360D9D">
        <w:rPr>
          <w:rFonts w:ascii="Arial" w:hAnsi="Arial" w:cs="Arial"/>
        </w:rPr>
        <w:t xml:space="preserve"> </w:t>
      </w:r>
      <w:r w:rsidR="00DC387E">
        <w:rPr>
          <w:rFonts w:ascii="Arial" w:hAnsi="Arial" w:cs="Arial"/>
        </w:rPr>
        <w:t xml:space="preserve">if the statements are true, </w:t>
      </w:r>
      <w:r w:rsidR="00360D9D">
        <w:rPr>
          <w:rFonts w:ascii="Arial" w:hAnsi="Arial" w:cs="Arial"/>
        </w:rPr>
        <w:t>he associated himself with the criminal design of all</w:t>
      </w:r>
      <w:r w:rsidR="00C34ADD">
        <w:rPr>
          <w:rFonts w:ascii="Arial" w:hAnsi="Arial" w:cs="Arial"/>
        </w:rPr>
        <w:t xml:space="preserve"> the other co-</w:t>
      </w:r>
      <w:r w:rsidR="00D41F28">
        <w:rPr>
          <w:rFonts w:ascii="Arial" w:hAnsi="Arial" w:cs="Arial"/>
        </w:rPr>
        <w:t xml:space="preserve">perpetrators </w:t>
      </w:r>
      <w:r w:rsidR="004F0B0E">
        <w:rPr>
          <w:rFonts w:ascii="Arial" w:hAnsi="Arial" w:cs="Arial"/>
        </w:rPr>
        <w:t>(</w:t>
      </w:r>
      <w:r w:rsidR="00C82998">
        <w:rPr>
          <w:rFonts w:ascii="Arial" w:hAnsi="Arial" w:cs="Arial"/>
        </w:rPr>
        <w:t>about 122 accused persons ar</w:t>
      </w:r>
      <w:r w:rsidR="006363E4">
        <w:rPr>
          <w:rFonts w:ascii="Arial" w:hAnsi="Arial" w:cs="Arial"/>
        </w:rPr>
        <w:t>r</w:t>
      </w:r>
      <w:r w:rsidR="004F0B0E">
        <w:rPr>
          <w:rFonts w:ascii="Arial" w:hAnsi="Arial" w:cs="Arial"/>
        </w:rPr>
        <w:t xml:space="preserve">aigned on </w:t>
      </w:r>
      <w:r w:rsidR="006363E4">
        <w:rPr>
          <w:rFonts w:ascii="Arial" w:hAnsi="Arial" w:cs="Arial"/>
        </w:rPr>
        <w:t xml:space="preserve">278 charges) </w:t>
      </w:r>
      <w:r w:rsidR="00D510D4">
        <w:rPr>
          <w:rFonts w:ascii="Arial" w:hAnsi="Arial" w:cs="Arial"/>
        </w:rPr>
        <w:t xml:space="preserve">in </w:t>
      </w:r>
      <w:r w:rsidR="00D41F28">
        <w:rPr>
          <w:rFonts w:ascii="Arial" w:hAnsi="Arial" w:cs="Arial"/>
        </w:rPr>
        <w:t xml:space="preserve">the attacks </w:t>
      </w:r>
      <w:r>
        <w:rPr>
          <w:rFonts w:ascii="Arial" w:hAnsi="Arial" w:cs="Arial"/>
        </w:rPr>
        <w:t>o</w:t>
      </w:r>
      <w:r w:rsidR="00D41F28">
        <w:rPr>
          <w:rFonts w:ascii="Arial" w:hAnsi="Arial" w:cs="Arial"/>
        </w:rPr>
        <w:t>n 2 August 1999.</w:t>
      </w:r>
      <w:r w:rsidR="00C34ADD">
        <w:rPr>
          <w:rFonts w:ascii="Arial" w:hAnsi="Arial" w:cs="Arial"/>
        </w:rPr>
        <w:t xml:space="preserve"> </w:t>
      </w:r>
      <w:r>
        <w:rPr>
          <w:rFonts w:ascii="Arial" w:hAnsi="Arial" w:cs="Arial"/>
        </w:rPr>
        <w:t>E</w:t>
      </w:r>
      <w:r w:rsidR="00D41F28">
        <w:rPr>
          <w:rFonts w:ascii="Arial" w:hAnsi="Arial" w:cs="Arial"/>
        </w:rPr>
        <w:t xml:space="preserve">ven </w:t>
      </w:r>
      <w:r w:rsidR="00C34ADD">
        <w:rPr>
          <w:rFonts w:ascii="Arial" w:hAnsi="Arial" w:cs="Arial"/>
        </w:rPr>
        <w:t xml:space="preserve">though </w:t>
      </w:r>
      <w:r w:rsidR="00D41F28">
        <w:rPr>
          <w:rFonts w:ascii="Arial" w:hAnsi="Arial" w:cs="Arial"/>
        </w:rPr>
        <w:t xml:space="preserve">there </w:t>
      </w:r>
      <w:r w:rsidR="00491869">
        <w:rPr>
          <w:rFonts w:ascii="Arial" w:hAnsi="Arial" w:cs="Arial"/>
        </w:rPr>
        <w:t>wa</w:t>
      </w:r>
      <w:r w:rsidR="00D41F28">
        <w:rPr>
          <w:rFonts w:ascii="Arial" w:hAnsi="Arial" w:cs="Arial"/>
        </w:rPr>
        <w:t xml:space="preserve">s no evidence </w:t>
      </w:r>
      <w:r w:rsidR="00491869">
        <w:rPr>
          <w:rFonts w:ascii="Arial" w:hAnsi="Arial" w:cs="Arial"/>
        </w:rPr>
        <w:t xml:space="preserve">directly </w:t>
      </w:r>
      <w:r w:rsidR="00D41F28">
        <w:rPr>
          <w:rFonts w:ascii="Arial" w:hAnsi="Arial" w:cs="Arial"/>
        </w:rPr>
        <w:t xml:space="preserve">placing </w:t>
      </w:r>
      <w:r w:rsidR="00491869">
        <w:rPr>
          <w:rFonts w:ascii="Arial" w:hAnsi="Arial" w:cs="Arial"/>
        </w:rPr>
        <w:t xml:space="preserve">the respondent at </w:t>
      </w:r>
      <w:r w:rsidR="00095A9E" w:rsidRPr="00460267">
        <w:rPr>
          <w:rFonts w:ascii="Arial" w:hAnsi="Arial" w:cs="Arial"/>
        </w:rPr>
        <w:t xml:space="preserve">any of </w:t>
      </w:r>
      <w:r w:rsidR="00491869" w:rsidRPr="00460267">
        <w:rPr>
          <w:rFonts w:ascii="Arial" w:hAnsi="Arial" w:cs="Arial"/>
        </w:rPr>
        <w:t>the</w:t>
      </w:r>
      <w:r w:rsidR="00491869">
        <w:rPr>
          <w:rFonts w:ascii="Arial" w:hAnsi="Arial" w:cs="Arial"/>
        </w:rPr>
        <w:t xml:space="preserve"> scenes on the date of the attacks</w:t>
      </w:r>
      <w:r w:rsidR="00D41F28">
        <w:rPr>
          <w:rFonts w:ascii="Arial" w:hAnsi="Arial" w:cs="Arial"/>
        </w:rPr>
        <w:t>, his conduct would reasonably lead any ordinary pru</w:t>
      </w:r>
      <w:r w:rsidR="00D41F28" w:rsidRPr="00F9429D">
        <w:rPr>
          <w:rFonts w:ascii="Arial" w:hAnsi="Arial" w:cs="Arial"/>
        </w:rPr>
        <w:t xml:space="preserve">dent and cautious person in the position of the prosecution team </w:t>
      </w:r>
      <w:r w:rsidR="004F0B0E">
        <w:rPr>
          <w:rFonts w:ascii="Arial" w:hAnsi="Arial" w:cs="Arial"/>
        </w:rPr>
        <w:t xml:space="preserve">to believe </w:t>
      </w:r>
      <w:r w:rsidR="00D41F28" w:rsidRPr="00F9429D">
        <w:rPr>
          <w:rFonts w:ascii="Arial" w:hAnsi="Arial" w:cs="Arial"/>
        </w:rPr>
        <w:t xml:space="preserve">that he committed the </w:t>
      </w:r>
      <w:r w:rsidR="00491869">
        <w:rPr>
          <w:rFonts w:ascii="Arial" w:hAnsi="Arial" w:cs="Arial"/>
        </w:rPr>
        <w:t xml:space="preserve">indicted </w:t>
      </w:r>
      <w:r w:rsidR="00D41F28" w:rsidRPr="00F9429D">
        <w:rPr>
          <w:rFonts w:ascii="Arial" w:hAnsi="Arial" w:cs="Arial"/>
        </w:rPr>
        <w:t>offence</w:t>
      </w:r>
      <w:r w:rsidR="00491869">
        <w:rPr>
          <w:rFonts w:ascii="Arial" w:hAnsi="Arial" w:cs="Arial"/>
        </w:rPr>
        <w:t>.</w:t>
      </w:r>
      <w:r w:rsidR="00D41F28" w:rsidRPr="00F9429D">
        <w:rPr>
          <w:rFonts w:ascii="Arial" w:hAnsi="Arial" w:cs="Arial"/>
        </w:rPr>
        <w:t xml:space="preserve"> </w:t>
      </w:r>
    </w:p>
    <w:p w:rsidR="005E419D" w:rsidRDefault="00761041"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lastRenderedPageBreak/>
        <w:t xml:space="preserve">The above sentiments are fortified by the evidence of </w:t>
      </w:r>
      <w:r w:rsidR="00C34ADD">
        <w:rPr>
          <w:rFonts w:ascii="Arial" w:hAnsi="Arial" w:cs="Arial"/>
        </w:rPr>
        <w:t xml:space="preserve">Mr July </w:t>
      </w:r>
      <w:r>
        <w:rPr>
          <w:rFonts w:ascii="Arial" w:hAnsi="Arial" w:cs="Arial"/>
        </w:rPr>
        <w:t xml:space="preserve">who </w:t>
      </w:r>
      <w:r w:rsidR="00C34ADD">
        <w:rPr>
          <w:rFonts w:ascii="Arial" w:hAnsi="Arial" w:cs="Arial"/>
        </w:rPr>
        <w:t>testified that the</w:t>
      </w:r>
      <w:r w:rsidR="004F0B0E">
        <w:rPr>
          <w:rFonts w:ascii="Arial" w:hAnsi="Arial" w:cs="Arial"/>
        </w:rPr>
        <w:t>:</w:t>
      </w:r>
    </w:p>
    <w:p w:rsidR="001D7932" w:rsidRDefault="001D7932" w:rsidP="005D5EEF">
      <w:pPr>
        <w:pStyle w:val="BodyText"/>
        <w:autoSpaceDE w:val="0"/>
        <w:autoSpaceDN w:val="0"/>
        <w:adjustRightInd w:val="0"/>
        <w:spacing w:line="360" w:lineRule="auto"/>
        <w:ind w:left="720"/>
        <w:jc w:val="both"/>
        <w:rPr>
          <w:rFonts w:ascii="Arial" w:hAnsi="Arial" w:cs="Arial"/>
          <w:sz w:val="22"/>
          <w:szCs w:val="22"/>
        </w:rPr>
      </w:pPr>
    </w:p>
    <w:p w:rsidR="005E419D" w:rsidRPr="005E419D" w:rsidRDefault="00D10A5A" w:rsidP="001337D7">
      <w:pPr>
        <w:pStyle w:val="BodyText"/>
        <w:autoSpaceDE w:val="0"/>
        <w:autoSpaceDN w:val="0"/>
        <w:adjustRightInd w:val="0"/>
        <w:spacing w:line="360" w:lineRule="auto"/>
        <w:ind w:left="720"/>
        <w:jc w:val="both"/>
        <w:rPr>
          <w:rFonts w:ascii="Arial" w:hAnsi="Arial" w:cs="Arial"/>
          <w:sz w:val="22"/>
          <w:szCs w:val="22"/>
        </w:rPr>
      </w:pPr>
      <w:r>
        <w:rPr>
          <w:rFonts w:ascii="Arial" w:hAnsi="Arial" w:cs="Arial"/>
          <w:sz w:val="22"/>
          <w:szCs w:val="22"/>
        </w:rPr>
        <w:t>‘A</w:t>
      </w:r>
      <w:r w:rsidR="005E419D" w:rsidRPr="005E419D">
        <w:rPr>
          <w:rFonts w:ascii="Arial" w:hAnsi="Arial" w:cs="Arial"/>
          <w:sz w:val="22"/>
          <w:szCs w:val="22"/>
        </w:rPr>
        <w:t>cts of the rebels who participated in the unlawful attacks could in our opinion be imputed to the [respondent] based on the common design and his contribution to the attempt to overthrow the [S]tate in Caprivi. [Respondent] participated in the conspiracy and played an active role. He was aware of the formation of CLA and associated himself with a common purpose to attack installations to government institutions in Katima Mulilo. The evidence against the [respondent] also shows that he failed when the conspiracy came to his knowledge to report the information to the authorities</w:t>
      </w:r>
      <w:r w:rsidR="005E419D">
        <w:rPr>
          <w:rFonts w:ascii="Arial" w:hAnsi="Arial" w:cs="Arial"/>
          <w:sz w:val="22"/>
          <w:szCs w:val="22"/>
        </w:rPr>
        <w:t xml:space="preserve"> </w:t>
      </w:r>
      <w:r w:rsidR="005E419D" w:rsidRPr="005E419D">
        <w:rPr>
          <w:rFonts w:ascii="Arial" w:hAnsi="Arial" w:cs="Arial"/>
          <w:sz w:val="22"/>
          <w:szCs w:val="22"/>
        </w:rPr>
        <w:t xml:space="preserve">that there was a conspiracy underway to overthrow the State by violent means, by the Caprivi Liberation Army and failed to take </w:t>
      </w:r>
      <w:r w:rsidR="004F0B0E">
        <w:rPr>
          <w:rFonts w:ascii="Arial" w:hAnsi="Arial" w:cs="Arial"/>
          <w:sz w:val="22"/>
          <w:szCs w:val="22"/>
        </w:rPr>
        <w:t xml:space="preserve">steps to stop it from occurring. . . </w:t>
      </w:r>
      <w:r w:rsidR="005E419D">
        <w:rPr>
          <w:rFonts w:ascii="Arial" w:hAnsi="Arial" w:cs="Arial"/>
          <w:sz w:val="22"/>
          <w:szCs w:val="22"/>
        </w:rPr>
        <w:t>’</w:t>
      </w:r>
    </w:p>
    <w:p w:rsidR="005E419D" w:rsidRDefault="005E419D" w:rsidP="00E631ED">
      <w:pPr>
        <w:pStyle w:val="BodyText"/>
        <w:autoSpaceDE w:val="0"/>
        <w:autoSpaceDN w:val="0"/>
        <w:adjustRightInd w:val="0"/>
        <w:spacing w:line="480" w:lineRule="auto"/>
        <w:jc w:val="both"/>
        <w:rPr>
          <w:rFonts w:ascii="Arial" w:hAnsi="Arial" w:cs="Arial"/>
        </w:rPr>
      </w:pPr>
    </w:p>
    <w:p w:rsidR="008262D9" w:rsidRDefault="005E419D"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t>The above testimony remained unchallenged and no competing evidence was tendered</w:t>
      </w:r>
      <w:r w:rsidR="00D971C3">
        <w:rPr>
          <w:rFonts w:ascii="Arial" w:hAnsi="Arial" w:cs="Arial"/>
        </w:rPr>
        <w:t>.</w:t>
      </w:r>
      <w:r>
        <w:rPr>
          <w:rFonts w:ascii="Arial" w:hAnsi="Arial" w:cs="Arial"/>
        </w:rPr>
        <w:t xml:space="preserve"> </w:t>
      </w:r>
      <w:r w:rsidR="00D41F28" w:rsidRPr="00F9429D">
        <w:rPr>
          <w:rFonts w:ascii="Arial" w:hAnsi="Arial" w:cs="Arial"/>
        </w:rPr>
        <w:t>Once this belie</w:t>
      </w:r>
      <w:r w:rsidR="009606F5">
        <w:rPr>
          <w:rFonts w:ascii="Arial" w:hAnsi="Arial" w:cs="Arial"/>
        </w:rPr>
        <w:t>f</w:t>
      </w:r>
      <w:r w:rsidR="00D41F28" w:rsidRPr="00F9429D">
        <w:rPr>
          <w:rFonts w:ascii="Arial" w:hAnsi="Arial" w:cs="Arial"/>
        </w:rPr>
        <w:t xml:space="preserve"> </w:t>
      </w:r>
      <w:r w:rsidR="00491869">
        <w:rPr>
          <w:rFonts w:ascii="Arial" w:hAnsi="Arial" w:cs="Arial"/>
        </w:rPr>
        <w:t>was</w:t>
      </w:r>
      <w:r w:rsidR="00D41F28" w:rsidRPr="00F9429D">
        <w:rPr>
          <w:rFonts w:ascii="Arial" w:hAnsi="Arial" w:cs="Arial"/>
        </w:rPr>
        <w:t xml:space="preserve"> held,</w:t>
      </w:r>
      <w:r w:rsidR="00491869">
        <w:rPr>
          <w:rFonts w:ascii="Arial" w:hAnsi="Arial" w:cs="Arial"/>
        </w:rPr>
        <w:t xml:space="preserve"> as Mr July testified, </w:t>
      </w:r>
      <w:r w:rsidR="00D41F28" w:rsidRPr="00F9429D">
        <w:rPr>
          <w:rFonts w:ascii="Arial" w:hAnsi="Arial" w:cs="Arial"/>
        </w:rPr>
        <w:t>the respondent ought to have failed even on the alternative claim.</w:t>
      </w:r>
    </w:p>
    <w:p w:rsidR="00F2078F" w:rsidRPr="00920492" w:rsidRDefault="00F2078F" w:rsidP="001337D7">
      <w:pPr>
        <w:pStyle w:val="BodyText"/>
        <w:autoSpaceDE w:val="0"/>
        <w:autoSpaceDN w:val="0"/>
        <w:adjustRightInd w:val="0"/>
        <w:spacing w:line="480" w:lineRule="auto"/>
        <w:jc w:val="both"/>
        <w:rPr>
          <w:rFonts w:ascii="Arial" w:hAnsi="Arial" w:cs="Arial"/>
          <w:strike/>
        </w:rPr>
      </w:pPr>
    </w:p>
    <w:p w:rsidR="009E5957" w:rsidRDefault="00D73F97"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t xml:space="preserve">The approach adopted </w:t>
      </w:r>
      <w:r w:rsidR="00F2078F">
        <w:rPr>
          <w:rFonts w:ascii="Arial" w:hAnsi="Arial" w:cs="Arial"/>
        </w:rPr>
        <w:t>by the High Court</w:t>
      </w:r>
      <w:r w:rsidR="00D971C3">
        <w:rPr>
          <w:rFonts w:ascii="Arial" w:hAnsi="Arial" w:cs="Arial"/>
        </w:rPr>
        <w:t xml:space="preserve"> in following a standard relevant in criminal trials, </w:t>
      </w:r>
      <w:r w:rsidR="00F2078F">
        <w:rPr>
          <w:rFonts w:ascii="Arial" w:hAnsi="Arial" w:cs="Arial"/>
        </w:rPr>
        <w:t xml:space="preserve">which </w:t>
      </w:r>
      <w:r w:rsidR="00D971C3">
        <w:rPr>
          <w:rFonts w:ascii="Arial" w:hAnsi="Arial" w:cs="Arial"/>
        </w:rPr>
        <w:t xml:space="preserve">approach </w:t>
      </w:r>
      <w:r w:rsidR="00F2078F">
        <w:rPr>
          <w:rFonts w:ascii="Arial" w:hAnsi="Arial" w:cs="Arial"/>
        </w:rPr>
        <w:t>was followed by the respondent in opposing this appeal</w:t>
      </w:r>
      <w:r w:rsidR="00A21725">
        <w:rPr>
          <w:rFonts w:ascii="Arial" w:hAnsi="Arial" w:cs="Arial"/>
        </w:rPr>
        <w:t xml:space="preserve"> as shown below</w:t>
      </w:r>
      <w:r w:rsidR="00D971C3">
        <w:rPr>
          <w:rFonts w:ascii="Arial" w:hAnsi="Arial" w:cs="Arial"/>
        </w:rPr>
        <w:t xml:space="preserve">, </w:t>
      </w:r>
      <w:r w:rsidR="0082555A">
        <w:rPr>
          <w:rFonts w:ascii="Arial" w:hAnsi="Arial" w:cs="Arial"/>
        </w:rPr>
        <w:t>was demonstrably</w:t>
      </w:r>
      <w:r w:rsidR="00F2078F">
        <w:rPr>
          <w:rFonts w:ascii="Arial" w:hAnsi="Arial" w:cs="Arial"/>
        </w:rPr>
        <w:t xml:space="preserve"> </w:t>
      </w:r>
      <w:r w:rsidR="00D971C3">
        <w:rPr>
          <w:rFonts w:ascii="Arial" w:hAnsi="Arial" w:cs="Arial"/>
        </w:rPr>
        <w:t>erroneous</w:t>
      </w:r>
      <w:r w:rsidR="00F2078F">
        <w:rPr>
          <w:rFonts w:ascii="Arial" w:hAnsi="Arial" w:cs="Arial"/>
        </w:rPr>
        <w:t xml:space="preserve">. </w:t>
      </w:r>
      <w:r w:rsidR="004F0B0E">
        <w:rPr>
          <w:rFonts w:ascii="Arial" w:hAnsi="Arial" w:cs="Arial"/>
        </w:rPr>
        <w:t>A f</w:t>
      </w:r>
      <w:r w:rsidR="00954A03">
        <w:rPr>
          <w:rFonts w:ascii="Arial" w:hAnsi="Arial" w:cs="Arial"/>
        </w:rPr>
        <w:t xml:space="preserve">ew </w:t>
      </w:r>
      <w:r w:rsidR="00D971C3">
        <w:rPr>
          <w:rFonts w:ascii="Arial" w:hAnsi="Arial" w:cs="Arial"/>
        </w:rPr>
        <w:t>example</w:t>
      </w:r>
      <w:r w:rsidR="00954A03">
        <w:rPr>
          <w:rFonts w:ascii="Arial" w:hAnsi="Arial" w:cs="Arial"/>
        </w:rPr>
        <w:t>s</w:t>
      </w:r>
      <w:r w:rsidR="00D971C3">
        <w:rPr>
          <w:rFonts w:ascii="Arial" w:hAnsi="Arial" w:cs="Arial"/>
        </w:rPr>
        <w:t xml:space="preserve"> </w:t>
      </w:r>
      <w:r w:rsidR="00954A03">
        <w:rPr>
          <w:rFonts w:ascii="Arial" w:hAnsi="Arial" w:cs="Arial"/>
        </w:rPr>
        <w:t xml:space="preserve">are </w:t>
      </w:r>
      <w:r w:rsidR="00D971C3">
        <w:rPr>
          <w:rFonts w:ascii="Arial" w:hAnsi="Arial" w:cs="Arial"/>
        </w:rPr>
        <w:t xml:space="preserve">illustrative: The </w:t>
      </w:r>
      <w:r w:rsidR="007149CE">
        <w:rPr>
          <w:rFonts w:ascii="Arial" w:hAnsi="Arial" w:cs="Arial"/>
        </w:rPr>
        <w:t>c</w:t>
      </w:r>
      <w:r w:rsidR="00D971C3">
        <w:rPr>
          <w:rFonts w:ascii="Arial" w:hAnsi="Arial" w:cs="Arial"/>
        </w:rPr>
        <w:t>ourt said that the failure to regularly assess the evidence cause</w:t>
      </w:r>
      <w:r w:rsidR="00D510D4">
        <w:rPr>
          <w:rFonts w:ascii="Arial" w:hAnsi="Arial" w:cs="Arial"/>
        </w:rPr>
        <w:t>d</w:t>
      </w:r>
      <w:r w:rsidR="00D971C3">
        <w:rPr>
          <w:rFonts w:ascii="Arial" w:hAnsi="Arial" w:cs="Arial"/>
        </w:rPr>
        <w:t xml:space="preserve"> the respondent to be detained for a further five years after the last witness testified and that that failure caused a perversion of the process of </w:t>
      </w:r>
      <w:r w:rsidR="004F0B0E">
        <w:rPr>
          <w:rFonts w:ascii="Arial" w:hAnsi="Arial" w:cs="Arial"/>
        </w:rPr>
        <w:t xml:space="preserve">the </w:t>
      </w:r>
      <w:r w:rsidR="00D971C3">
        <w:rPr>
          <w:rFonts w:ascii="Arial" w:hAnsi="Arial" w:cs="Arial"/>
        </w:rPr>
        <w:t>criminal justice system.</w:t>
      </w:r>
      <w:r w:rsidR="00D971C3">
        <w:rPr>
          <w:rStyle w:val="FootnoteReference"/>
          <w:rFonts w:ascii="Arial" w:hAnsi="Arial" w:cs="Arial"/>
        </w:rPr>
        <w:footnoteReference w:id="35"/>
      </w:r>
      <w:r w:rsidR="00C82998">
        <w:rPr>
          <w:rFonts w:ascii="Arial" w:hAnsi="Arial" w:cs="Arial"/>
        </w:rPr>
        <w:t xml:space="preserve"> </w:t>
      </w:r>
      <w:r w:rsidR="00AD6A7C">
        <w:rPr>
          <w:rFonts w:ascii="Arial" w:hAnsi="Arial" w:cs="Arial"/>
        </w:rPr>
        <w:t>D</w:t>
      </w:r>
      <w:r w:rsidR="00F2078F">
        <w:rPr>
          <w:rFonts w:ascii="Arial" w:hAnsi="Arial" w:cs="Arial"/>
        </w:rPr>
        <w:t>espite the ‘</w:t>
      </w:r>
      <w:r w:rsidR="00310732">
        <w:rPr>
          <w:rFonts w:ascii="Arial" w:hAnsi="Arial" w:cs="Arial"/>
        </w:rPr>
        <w:t>gaps in the State’s case</w:t>
      </w:r>
      <w:r w:rsidR="00F2078F">
        <w:rPr>
          <w:rFonts w:ascii="Arial" w:hAnsi="Arial" w:cs="Arial"/>
        </w:rPr>
        <w:t xml:space="preserve">’ and that when ‘the court </w:t>
      </w:r>
      <w:r w:rsidR="00310732">
        <w:rPr>
          <w:rFonts w:ascii="Arial" w:hAnsi="Arial" w:cs="Arial"/>
        </w:rPr>
        <w:t xml:space="preserve">refused to allow further statements to be obtained, [the second appellant and her </w:t>
      </w:r>
      <w:r w:rsidR="00B25385">
        <w:rPr>
          <w:rFonts w:ascii="Arial" w:hAnsi="Arial" w:cs="Arial"/>
        </w:rPr>
        <w:t>prosecutorial</w:t>
      </w:r>
      <w:r w:rsidR="00310732">
        <w:rPr>
          <w:rFonts w:ascii="Arial" w:hAnsi="Arial" w:cs="Arial"/>
        </w:rPr>
        <w:t xml:space="preserve"> team] still persisted to op</w:t>
      </w:r>
      <w:r w:rsidR="00F2078F">
        <w:rPr>
          <w:rFonts w:ascii="Arial" w:hAnsi="Arial" w:cs="Arial"/>
        </w:rPr>
        <w:t xml:space="preserve">pose an </w:t>
      </w:r>
      <w:r w:rsidR="00F2078F">
        <w:rPr>
          <w:rFonts w:ascii="Arial" w:hAnsi="Arial" w:cs="Arial"/>
        </w:rPr>
        <w:lastRenderedPageBreak/>
        <w:t xml:space="preserve">application in term of </w:t>
      </w:r>
      <w:r w:rsidR="00310732">
        <w:rPr>
          <w:rFonts w:ascii="Arial" w:hAnsi="Arial" w:cs="Arial"/>
        </w:rPr>
        <w:t>s</w:t>
      </w:r>
      <w:r w:rsidR="004F0B0E">
        <w:rPr>
          <w:rFonts w:ascii="Arial" w:hAnsi="Arial" w:cs="Arial"/>
        </w:rPr>
        <w:t xml:space="preserve"> 174 of the </w:t>
      </w:r>
      <w:r w:rsidR="00310732">
        <w:rPr>
          <w:rFonts w:ascii="Arial" w:hAnsi="Arial" w:cs="Arial"/>
        </w:rPr>
        <w:t>CPA</w:t>
      </w:r>
      <w:r w:rsidR="004F0B0E">
        <w:rPr>
          <w:rFonts w:ascii="Arial" w:hAnsi="Arial" w:cs="Arial"/>
        </w:rPr>
        <w:t>. . .</w:t>
      </w:r>
      <w:r w:rsidR="00FC0D2E">
        <w:rPr>
          <w:rFonts w:ascii="Arial" w:hAnsi="Arial" w:cs="Arial"/>
        </w:rPr>
        <w:t xml:space="preserve"> </w:t>
      </w:r>
      <w:r w:rsidR="00310732">
        <w:rPr>
          <w:rFonts w:ascii="Arial" w:hAnsi="Arial" w:cs="Arial"/>
        </w:rPr>
        <w:t xml:space="preserve">apparently on the off chance that he </w:t>
      </w:r>
      <w:r w:rsidR="004F0B0E">
        <w:rPr>
          <w:rFonts w:ascii="Arial" w:hAnsi="Arial" w:cs="Arial"/>
        </w:rPr>
        <w:t>(respondent)</w:t>
      </w:r>
      <w:r w:rsidR="00310732">
        <w:rPr>
          <w:rFonts w:ascii="Arial" w:hAnsi="Arial" w:cs="Arial"/>
        </w:rPr>
        <w:t xml:space="preserve"> could be impli</w:t>
      </w:r>
      <w:r w:rsidR="004F0B0E">
        <w:rPr>
          <w:rFonts w:ascii="Arial" w:hAnsi="Arial" w:cs="Arial"/>
        </w:rPr>
        <w:t>cated by the co-accused persons</w:t>
      </w:r>
      <w:r w:rsidR="00310732">
        <w:rPr>
          <w:rFonts w:ascii="Arial" w:hAnsi="Arial" w:cs="Arial"/>
        </w:rPr>
        <w:t>’</w:t>
      </w:r>
      <w:r w:rsidR="004F0B0E">
        <w:rPr>
          <w:rFonts w:ascii="Arial" w:hAnsi="Arial" w:cs="Arial"/>
        </w:rPr>
        <w:t>.</w:t>
      </w:r>
      <w:r w:rsidR="00D971C3">
        <w:rPr>
          <w:rStyle w:val="FootnoteReference"/>
          <w:rFonts w:ascii="Arial" w:hAnsi="Arial" w:cs="Arial"/>
        </w:rPr>
        <w:footnoteReference w:id="36"/>
      </w:r>
      <w:r>
        <w:rPr>
          <w:rFonts w:ascii="Arial" w:hAnsi="Arial" w:cs="Arial"/>
        </w:rPr>
        <w:t xml:space="preserve"> </w:t>
      </w:r>
      <w:r w:rsidR="00D510D4">
        <w:rPr>
          <w:rFonts w:ascii="Arial" w:hAnsi="Arial" w:cs="Arial"/>
        </w:rPr>
        <w:t xml:space="preserve">The </w:t>
      </w:r>
      <w:r w:rsidR="007149CE">
        <w:rPr>
          <w:rFonts w:ascii="Arial" w:hAnsi="Arial" w:cs="Arial"/>
        </w:rPr>
        <w:t>c</w:t>
      </w:r>
      <w:r w:rsidR="00D510D4">
        <w:rPr>
          <w:rFonts w:ascii="Arial" w:hAnsi="Arial" w:cs="Arial"/>
        </w:rPr>
        <w:t>ourt</w:t>
      </w:r>
      <w:r w:rsidR="00AD6A7C">
        <w:rPr>
          <w:rFonts w:ascii="Arial" w:hAnsi="Arial" w:cs="Arial"/>
        </w:rPr>
        <w:t xml:space="preserve"> made the following</w:t>
      </w:r>
      <w:r w:rsidR="00D510D4">
        <w:rPr>
          <w:rFonts w:ascii="Arial" w:hAnsi="Arial" w:cs="Arial"/>
        </w:rPr>
        <w:t xml:space="preserve"> </w:t>
      </w:r>
      <w:r w:rsidR="00AD6A7C">
        <w:rPr>
          <w:rFonts w:ascii="Arial" w:hAnsi="Arial" w:cs="Arial"/>
        </w:rPr>
        <w:t>observations</w:t>
      </w:r>
      <w:r>
        <w:rPr>
          <w:rFonts w:ascii="Arial" w:hAnsi="Arial" w:cs="Arial"/>
        </w:rPr>
        <w:t>:</w:t>
      </w:r>
    </w:p>
    <w:p w:rsidR="004F0B0E" w:rsidRDefault="004F0B0E" w:rsidP="00E631ED">
      <w:pPr>
        <w:pStyle w:val="BodyText"/>
        <w:autoSpaceDE w:val="0"/>
        <w:autoSpaceDN w:val="0"/>
        <w:adjustRightInd w:val="0"/>
        <w:spacing w:line="480" w:lineRule="auto"/>
        <w:jc w:val="both"/>
        <w:rPr>
          <w:rFonts w:ascii="Arial" w:hAnsi="Arial" w:cs="Arial"/>
        </w:rPr>
      </w:pPr>
    </w:p>
    <w:p w:rsidR="00D73F97" w:rsidRPr="00D73F97" w:rsidRDefault="00D73F97" w:rsidP="001337D7">
      <w:pPr>
        <w:pStyle w:val="BodyText"/>
        <w:autoSpaceDE w:val="0"/>
        <w:autoSpaceDN w:val="0"/>
        <w:adjustRightInd w:val="0"/>
        <w:spacing w:line="360" w:lineRule="auto"/>
        <w:ind w:left="1080"/>
        <w:jc w:val="both"/>
        <w:rPr>
          <w:rFonts w:ascii="Arial" w:hAnsi="Arial" w:cs="Arial"/>
          <w:sz w:val="22"/>
          <w:szCs w:val="22"/>
        </w:rPr>
      </w:pPr>
      <w:r w:rsidRPr="00D73F97">
        <w:rPr>
          <w:rFonts w:ascii="Arial" w:hAnsi="Arial" w:cs="Arial"/>
          <w:sz w:val="22"/>
          <w:szCs w:val="22"/>
        </w:rPr>
        <w:t xml:space="preserve">‘Mr Siboli, the final witness who testified in respect of the [respondent] completed his evidence on 17 November 2005. Hereafter the [respondent] remained in detention for a further five years </w:t>
      </w:r>
      <w:r w:rsidRPr="00D73F97">
        <w:rPr>
          <w:rFonts w:ascii="Arial" w:hAnsi="Arial" w:cs="Arial"/>
          <w:i/>
          <w:sz w:val="22"/>
          <w:szCs w:val="22"/>
        </w:rPr>
        <w:t>before the evidence against all the accused was evaluated</w:t>
      </w:r>
      <w:r w:rsidRPr="00D73F97">
        <w:rPr>
          <w:rFonts w:ascii="Arial" w:hAnsi="Arial" w:cs="Arial"/>
          <w:sz w:val="22"/>
          <w:szCs w:val="22"/>
        </w:rPr>
        <w:t xml:space="preserve"> in </w:t>
      </w:r>
      <w:r w:rsidRPr="00D73F97">
        <w:rPr>
          <w:rFonts w:ascii="Arial" w:hAnsi="Arial" w:cs="Arial"/>
          <w:i/>
          <w:sz w:val="22"/>
          <w:szCs w:val="22"/>
        </w:rPr>
        <w:t xml:space="preserve">November 2010 prior to the closing of the State’s case. </w:t>
      </w:r>
      <w:r w:rsidRPr="00D73F97">
        <w:rPr>
          <w:rFonts w:ascii="Arial" w:hAnsi="Arial" w:cs="Arial"/>
          <w:sz w:val="22"/>
          <w:szCs w:val="22"/>
        </w:rPr>
        <w:t xml:space="preserve">This was in spite of the fact that the State led all the witnesses at their disposal in respect of the [respondent, which was </w:t>
      </w:r>
      <w:r w:rsidRPr="00D73F97">
        <w:rPr>
          <w:rFonts w:ascii="Arial" w:hAnsi="Arial" w:cs="Arial"/>
          <w:i/>
          <w:sz w:val="22"/>
          <w:szCs w:val="22"/>
        </w:rPr>
        <w:t>not enough</w:t>
      </w:r>
      <w:r w:rsidRPr="00D73F97">
        <w:rPr>
          <w:rFonts w:ascii="Arial" w:hAnsi="Arial" w:cs="Arial"/>
          <w:sz w:val="22"/>
          <w:szCs w:val="22"/>
        </w:rPr>
        <w:t xml:space="preserve"> to make out a prima facie case which required the [respondent] to answer.’</w:t>
      </w:r>
      <w:r>
        <w:rPr>
          <w:rStyle w:val="FootnoteReference"/>
          <w:rFonts w:ascii="Arial" w:hAnsi="Arial" w:cs="Arial"/>
          <w:sz w:val="22"/>
          <w:szCs w:val="22"/>
        </w:rPr>
        <w:footnoteReference w:id="37"/>
      </w:r>
      <w:r w:rsidR="004F0B0E">
        <w:rPr>
          <w:rFonts w:ascii="Arial" w:hAnsi="Arial" w:cs="Arial"/>
          <w:sz w:val="22"/>
          <w:szCs w:val="22"/>
        </w:rPr>
        <w:t xml:space="preserve"> </w:t>
      </w:r>
      <w:r w:rsidR="004F0B0E" w:rsidRPr="004F0B0E">
        <w:rPr>
          <w:rFonts w:ascii="Arial" w:hAnsi="Arial" w:cs="Arial"/>
        </w:rPr>
        <w:t>(Emphasis added.)</w:t>
      </w:r>
    </w:p>
    <w:p w:rsidR="009E5957" w:rsidRDefault="009E5957" w:rsidP="00E631ED">
      <w:pPr>
        <w:pStyle w:val="BodyText"/>
        <w:autoSpaceDE w:val="0"/>
        <w:autoSpaceDN w:val="0"/>
        <w:adjustRightInd w:val="0"/>
        <w:spacing w:line="480" w:lineRule="auto"/>
        <w:jc w:val="both"/>
        <w:rPr>
          <w:rFonts w:ascii="Arial" w:hAnsi="Arial" w:cs="Arial"/>
        </w:rPr>
      </w:pPr>
    </w:p>
    <w:p w:rsidR="00F9429D" w:rsidRDefault="00A4435F"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t>Following the same approach and wrong standard t</w:t>
      </w:r>
      <w:r w:rsidR="00F2078F">
        <w:rPr>
          <w:rFonts w:ascii="Arial" w:hAnsi="Arial" w:cs="Arial"/>
        </w:rPr>
        <w:t>he respondent premised hi</w:t>
      </w:r>
      <w:r w:rsidR="00954A03">
        <w:rPr>
          <w:rFonts w:ascii="Arial" w:hAnsi="Arial" w:cs="Arial"/>
        </w:rPr>
        <w:t xml:space="preserve">s case, to borrow his words, on the lack of ‘adequate’, ‘sufficient’, ‘enough’, ‘culpatory’ </w:t>
      </w:r>
      <w:r w:rsidR="00F2078F">
        <w:rPr>
          <w:rFonts w:ascii="Arial" w:hAnsi="Arial" w:cs="Arial"/>
        </w:rPr>
        <w:t>information</w:t>
      </w:r>
      <w:r w:rsidR="00954A03">
        <w:rPr>
          <w:rFonts w:ascii="Arial" w:hAnsi="Arial" w:cs="Arial"/>
        </w:rPr>
        <w:t xml:space="preserve"> and evidence ‘to convict’ the respondent</w:t>
      </w:r>
      <w:r w:rsidR="004F0B0E">
        <w:rPr>
          <w:rFonts w:ascii="Arial" w:hAnsi="Arial" w:cs="Arial"/>
        </w:rPr>
        <w:t xml:space="preserve"> on all the charges they had pro</w:t>
      </w:r>
      <w:r w:rsidR="00954A03">
        <w:rPr>
          <w:rFonts w:ascii="Arial" w:hAnsi="Arial" w:cs="Arial"/>
        </w:rPr>
        <w:t>f</w:t>
      </w:r>
      <w:r w:rsidR="004F0B0E">
        <w:rPr>
          <w:rFonts w:ascii="Arial" w:hAnsi="Arial" w:cs="Arial"/>
        </w:rPr>
        <w:t>fer</w:t>
      </w:r>
      <w:r w:rsidR="00954A03">
        <w:rPr>
          <w:rFonts w:ascii="Arial" w:hAnsi="Arial" w:cs="Arial"/>
        </w:rPr>
        <w:t xml:space="preserve">ed against him’. </w:t>
      </w:r>
      <w:r w:rsidR="004465CB">
        <w:rPr>
          <w:rFonts w:ascii="Arial" w:hAnsi="Arial" w:cs="Arial"/>
        </w:rPr>
        <w:t xml:space="preserve">Relying on </w:t>
      </w:r>
      <w:r w:rsidR="004465CB" w:rsidRPr="00CC5EBC">
        <w:rPr>
          <w:rFonts w:ascii="Arial" w:hAnsi="Arial" w:cs="Arial"/>
          <w:i/>
        </w:rPr>
        <w:t>State v M</w:t>
      </w:r>
      <w:r w:rsidR="00771182" w:rsidRPr="00CC5EBC">
        <w:rPr>
          <w:rFonts w:ascii="Arial" w:hAnsi="Arial" w:cs="Arial"/>
          <w:i/>
        </w:rPr>
        <w:t>tshiz</w:t>
      </w:r>
      <w:r w:rsidR="004465CB" w:rsidRPr="00CC5EBC">
        <w:rPr>
          <w:rFonts w:ascii="Arial" w:hAnsi="Arial" w:cs="Arial"/>
          <w:i/>
        </w:rPr>
        <w:t>a</w:t>
      </w:r>
      <w:r w:rsidR="004465CB">
        <w:rPr>
          <w:rStyle w:val="FootnoteReference"/>
          <w:rFonts w:ascii="Arial" w:hAnsi="Arial" w:cs="Arial"/>
        </w:rPr>
        <w:footnoteReference w:id="38"/>
      </w:r>
      <w:r w:rsidR="004465CB">
        <w:rPr>
          <w:rFonts w:ascii="Arial" w:hAnsi="Arial" w:cs="Arial"/>
        </w:rPr>
        <w:t xml:space="preserve"> −</w:t>
      </w:r>
      <w:r w:rsidR="00771182">
        <w:rPr>
          <w:rFonts w:ascii="Arial" w:hAnsi="Arial" w:cs="Arial"/>
        </w:rPr>
        <w:t xml:space="preserve"> a </w:t>
      </w:r>
      <w:r w:rsidR="004465CB">
        <w:rPr>
          <w:rFonts w:ascii="Arial" w:hAnsi="Arial" w:cs="Arial"/>
        </w:rPr>
        <w:t xml:space="preserve">decision of the </w:t>
      </w:r>
      <w:r w:rsidR="00771182">
        <w:rPr>
          <w:rFonts w:ascii="Arial" w:hAnsi="Arial" w:cs="Arial"/>
        </w:rPr>
        <w:t>South African App</w:t>
      </w:r>
      <w:r w:rsidR="004465CB">
        <w:rPr>
          <w:rFonts w:ascii="Arial" w:hAnsi="Arial" w:cs="Arial"/>
        </w:rPr>
        <w:t xml:space="preserve">ellate Division in a criminal appeal </w:t>
      </w:r>
      <w:r w:rsidR="00D510D4">
        <w:rPr>
          <w:rFonts w:ascii="Arial" w:hAnsi="Arial" w:cs="Arial"/>
        </w:rPr>
        <w:t xml:space="preserve">against the sentence </w:t>
      </w:r>
      <w:r w:rsidR="004465CB">
        <w:rPr>
          <w:rFonts w:ascii="Arial" w:hAnsi="Arial" w:cs="Arial"/>
        </w:rPr>
        <w:t>–</w:t>
      </w:r>
      <w:r w:rsidR="00771182">
        <w:rPr>
          <w:rFonts w:ascii="Arial" w:hAnsi="Arial" w:cs="Arial"/>
        </w:rPr>
        <w:t xml:space="preserve"> </w:t>
      </w:r>
      <w:r w:rsidR="004465CB">
        <w:rPr>
          <w:rFonts w:ascii="Arial" w:hAnsi="Arial" w:cs="Arial"/>
        </w:rPr>
        <w:t xml:space="preserve">the respondent </w:t>
      </w:r>
      <w:r w:rsidR="00954A03">
        <w:rPr>
          <w:rFonts w:ascii="Arial" w:hAnsi="Arial" w:cs="Arial"/>
        </w:rPr>
        <w:t xml:space="preserve">submitted that </w:t>
      </w:r>
      <w:r w:rsidR="00954A03" w:rsidRPr="00A4435F">
        <w:rPr>
          <w:rFonts w:ascii="Arial" w:hAnsi="Arial" w:cs="Arial"/>
          <w:i/>
        </w:rPr>
        <w:t>dolus eventualis</w:t>
      </w:r>
      <w:r w:rsidR="00954A03">
        <w:rPr>
          <w:rFonts w:ascii="Arial" w:hAnsi="Arial" w:cs="Arial"/>
        </w:rPr>
        <w:t xml:space="preserve"> was present because the prosecution was reckless of whether injury could ensue given that there was no sufficient evidence to convict </w:t>
      </w:r>
      <w:r w:rsidR="00AD6A7C">
        <w:rPr>
          <w:rFonts w:ascii="Arial" w:hAnsi="Arial" w:cs="Arial"/>
        </w:rPr>
        <w:t>him</w:t>
      </w:r>
      <w:r w:rsidR="00954A03">
        <w:rPr>
          <w:rFonts w:ascii="Arial" w:hAnsi="Arial" w:cs="Arial"/>
        </w:rPr>
        <w:t>.</w:t>
      </w:r>
      <w:r w:rsidR="000929FA">
        <w:rPr>
          <w:rFonts w:ascii="Arial" w:hAnsi="Arial" w:cs="Arial"/>
        </w:rPr>
        <w:t xml:space="preserve"> </w:t>
      </w:r>
      <w:r w:rsidR="00AD6A7C">
        <w:rPr>
          <w:rFonts w:ascii="Arial" w:hAnsi="Arial" w:cs="Arial"/>
        </w:rPr>
        <w:t xml:space="preserve">He argued </w:t>
      </w:r>
      <w:r w:rsidR="000929FA">
        <w:rPr>
          <w:rFonts w:ascii="Arial" w:hAnsi="Arial" w:cs="Arial"/>
        </w:rPr>
        <w:t xml:space="preserve">that the defects in the witnesses’ statements− which could render their evidence improbable, inconclusive, and hearsay − could make it impossible for the prosecution to </w:t>
      </w:r>
      <w:r w:rsidR="00AD6A7C">
        <w:rPr>
          <w:rFonts w:ascii="Arial" w:hAnsi="Arial" w:cs="Arial"/>
        </w:rPr>
        <w:t>p</w:t>
      </w:r>
      <w:r w:rsidR="004F0B0E">
        <w:rPr>
          <w:rFonts w:ascii="Arial" w:hAnsi="Arial" w:cs="Arial"/>
        </w:rPr>
        <w:t>lead</w:t>
      </w:r>
      <w:r w:rsidR="000929FA">
        <w:rPr>
          <w:rFonts w:ascii="Arial" w:hAnsi="Arial" w:cs="Arial"/>
        </w:rPr>
        <w:t xml:space="preserve"> its case. </w:t>
      </w:r>
      <w:r w:rsidR="00D510D4">
        <w:rPr>
          <w:rFonts w:ascii="Arial" w:hAnsi="Arial" w:cs="Arial"/>
        </w:rPr>
        <w:t>Undoubtedly and a</w:t>
      </w:r>
      <w:r w:rsidR="000929FA">
        <w:rPr>
          <w:rFonts w:ascii="Arial" w:hAnsi="Arial" w:cs="Arial"/>
        </w:rPr>
        <w:t xml:space="preserve">t the risk of repetition, the approach adopted and </w:t>
      </w:r>
      <w:r w:rsidR="009606F5">
        <w:rPr>
          <w:rFonts w:ascii="Arial" w:hAnsi="Arial" w:cs="Arial"/>
        </w:rPr>
        <w:t xml:space="preserve">the </w:t>
      </w:r>
      <w:r w:rsidR="000929FA">
        <w:rPr>
          <w:rFonts w:ascii="Arial" w:hAnsi="Arial" w:cs="Arial"/>
        </w:rPr>
        <w:t>test follow</w:t>
      </w:r>
      <w:r w:rsidR="009606F5">
        <w:rPr>
          <w:rFonts w:ascii="Arial" w:hAnsi="Arial" w:cs="Arial"/>
        </w:rPr>
        <w:t>ed</w:t>
      </w:r>
      <w:r w:rsidR="000929FA">
        <w:rPr>
          <w:rFonts w:ascii="Arial" w:hAnsi="Arial" w:cs="Arial"/>
        </w:rPr>
        <w:t xml:space="preserve"> </w:t>
      </w:r>
      <w:r w:rsidR="003329FF">
        <w:rPr>
          <w:rFonts w:ascii="Arial" w:hAnsi="Arial" w:cs="Arial"/>
        </w:rPr>
        <w:t>are</w:t>
      </w:r>
      <w:r w:rsidR="000929FA">
        <w:rPr>
          <w:rFonts w:ascii="Arial" w:hAnsi="Arial" w:cs="Arial"/>
        </w:rPr>
        <w:t xml:space="preserve"> legally untenable</w:t>
      </w:r>
      <w:r w:rsidR="00D510D4">
        <w:rPr>
          <w:rFonts w:ascii="Arial" w:hAnsi="Arial" w:cs="Arial"/>
        </w:rPr>
        <w:t xml:space="preserve"> for the purpose of establishing malicious continuation of the prosecution</w:t>
      </w:r>
      <w:r w:rsidR="000929FA">
        <w:rPr>
          <w:rFonts w:ascii="Arial" w:hAnsi="Arial" w:cs="Arial"/>
        </w:rPr>
        <w:t>.</w:t>
      </w:r>
    </w:p>
    <w:p w:rsidR="00F2078F" w:rsidRDefault="00BF7D7E"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lastRenderedPageBreak/>
        <w:t xml:space="preserve">In </w:t>
      </w:r>
      <w:r w:rsidR="00F2078F" w:rsidRPr="00206F14">
        <w:rPr>
          <w:rFonts w:ascii="Arial" w:hAnsi="Arial" w:cs="Arial"/>
          <w:i/>
        </w:rPr>
        <w:t>Mahupelo</w:t>
      </w:r>
      <w:r w:rsidR="00F2078F">
        <w:rPr>
          <w:rFonts w:ascii="Arial" w:hAnsi="Arial" w:cs="Arial"/>
        </w:rPr>
        <w:t xml:space="preserve"> </w:t>
      </w:r>
      <w:r w:rsidR="004F0B0E">
        <w:rPr>
          <w:rFonts w:ascii="Arial" w:hAnsi="Arial" w:cs="Arial"/>
        </w:rPr>
        <w:t>this c</w:t>
      </w:r>
      <w:r>
        <w:rPr>
          <w:rFonts w:ascii="Arial" w:hAnsi="Arial" w:cs="Arial"/>
        </w:rPr>
        <w:t xml:space="preserve">ourt </w:t>
      </w:r>
      <w:r w:rsidR="00F2078F">
        <w:rPr>
          <w:rFonts w:ascii="Arial" w:hAnsi="Arial" w:cs="Arial"/>
        </w:rPr>
        <w:t>referred to trite principles and considerations applicable in a criminal trial to secure a conviction of an accused person which are different from those that are relevant in the consideration of the</w:t>
      </w:r>
      <w:r w:rsidR="007C4AFA">
        <w:rPr>
          <w:rFonts w:ascii="Arial" w:hAnsi="Arial" w:cs="Arial"/>
        </w:rPr>
        <w:t xml:space="preserve"> </w:t>
      </w:r>
      <w:r w:rsidR="00F2078F">
        <w:rPr>
          <w:rFonts w:ascii="Arial" w:hAnsi="Arial" w:cs="Arial"/>
        </w:rPr>
        <w:t>question of reasonable and probable cause in a malicious prosecution claim</w:t>
      </w:r>
      <w:r w:rsidR="00AD6A7C">
        <w:rPr>
          <w:rFonts w:ascii="Arial" w:hAnsi="Arial" w:cs="Arial"/>
        </w:rPr>
        <w:t>. It</w:t>
      </w:r>
      <w:r w:rsidR="007C4AFA">
        <w:rPr>
          <w:rFonts w:ascii="Arial" w:hAnsi="Arial" w:cs="Arial"/>
        </w:rPr>
        <w:t xml:space="preserve"> correctly said that the court in relation to the latter</w:t>
      </w:r>
      <w:r w:rsidR="00AD6A7C">
        <w:rPr>
          <w:rFonts w:ascii="Arial" w:hAnsi="Arial" w:cs="Arial"/>
        </w:rPr>
        <w:t>,</w:t>
      </w:r>
      <w:r w:rsidR="007C4AFA">
        <w:rPr>
          <w:rFonts w:ascii="Arial" w:hAnsi="Arial" w:cs="Arial"/>
        </w:rPr>
        <w:t xml:space="preserve"> is not concerned with the question of whether the respondent was guilty of the offence with which he stood charged because that is the concern of the criminal c</w:t>
      </w:r>
      <w:r w:rsidR="004F0B0E">
        <w:rPr>
          <w:rFonts w:ascii="Arial" w:hAnsi="Arial" w:cs="Arial"/>
        </w:rPr>
        <w:t>ourt. The legal question, this c</w:t>
      </w:r>
      <w:r w:rsidR="007C4AFA">
        <w:rPr>
          <w:rFonts w:ascii="Arial" w:hAnsi="Arial" w:cs="Arial"/>
        </w:rPr>
        <w:t>ourt held,</w:t>
      </w:r>
      <w:r w:rsidR="001337D7">
        <w:rPr>
          <w:rFonts w:ascii="Arial" w:hAnsi="Arial" w:cs="Arial"/>
        </w:rPr>
        <w:t xml:space="preserve"> in</w:t>
      </w:r>
      <w:r w:rsidR="004F0B0E">
        <w:rPr>
          <w:rFonts w:ascii="Arial" w:hAnsi="Arial" w:cs="Arial"/>
        </w:rPr>
        <w:t xml:space="preserve"> para 87</w:t>
      </w:r>
      <w:r w:rsidR="001337D7">
        <w:rPr>
          <w:rFonts w:ascii="Arial" w:hAnsi="Arial" w:cs="Arial"/>
        </w:rPr>
        <w:t xml:space="preserve"> is:</w:t>
      </w:r>
    </w:p>
    <w:p w:rsidR="005D5EEF" w:rsidRDefault="005D5EEF" w:rsidP="001337D7">
      <w:pPr>
        <w:pStyle w:val="BodyText"/>
        <w:autoSpaceDE w:val="0"/>
        <w:autoSpaceDN w:val="0"/>
        <w:adjustRightInd w:val="0"/>
        <w:spacing w:line="480" w:lineRule="auto"/>
        <w:jc w:val="both"/>
        <w:rPr>
          <w:rFonts w:ascii="Arial" w:hAnsi="Arial" w:cs="Arial"/>
        </w:rPr>
      </w:pPr>
    </w:p>
    <w:p w:rsidR="007C4AFA" w:rsidRDefault="007C4AFA" w:rsidP="001337D7">
      <w:pPr>
        <w:pStyle w:val="BodyText"/>
        <w:autoSpaceDE w:val="0"/>
        <w:autoSpaceDN w:val="0"/>
        <w:adjustRightInd w:val="0"/>
        <w:spacing w:line="360" w:lineRule="auto"/>
        <w:ind w:left="720"/>
        <w:jc w:val="both"/>
        <w:rPr>
          <w:rFonts w:ascii="Arial" w:hAnsi="Arial" w:cs="Arial"/>
          <w:sz w:val="22"/>
          <w:szCs w:val="22"/>
        </w:rPr>
      </w:pPr>
      <w:r w:rsidRPr="007C4AFA">
        <w:rPr>
          <w:rFonts w:ascii="Arial" w:hAnsi="Arial" w:cs="Arial"/>
          <w:sz w:val="22"/>
          <w:szCs w:val="22"/>
        </w:rPr>
        <w:t>‘</w:t>
      </w:r>
      <w:r w:rsidR="004F0B0E">
        <w:rPr>
          <w:rFonts w:ascii="Arial" w:hAnsi="Arial" w:cs="Arial"/>
          <w:sz w:val="22"/>
          <w:szCs w:val="22"/>
        </w:rPr>
        <w:t xml:space="preserve">. . . </w:t>
      </w:r>
      <w:r>
        <w:rPr>
          <w:rFonts w:ascii="Arial" w:hAnsi="Arial" w:cs="Arial"/>
          <w:sz w:val="22"/>
          <w:szCs w:val="22"/>
        </w:rPr>
        <w:t>can it be said that the PG sub</w:t>
      </w:r>
      <w:r w:rsidRPr="007C4AFA">
        <w:rPr>
          <w:rFonts w:ascii="Arial" w:hAnsi="Arial" w:cs="Arial"/>
          <w:sz w:val="22"/>
          <w:szCs w:val="22"/>
        </w:rPr>
        <w:t>jectively and objectively lacked reasonable and probable cause to continue with the pr</w:t>
      </w:r>
      <w:r>
        <w:rPr>
          <w:rFonts w:ascii="Arial" w:hAnsi="Arial" w:cs="Arial"/>
          <w:sz w:val="22"/>
          <w:szCs w:val="22"/>
        </w:rPr>
        <w:t>o</w:t>
      </w:r>
      <w:r w:rsidRPr="007C4AFA">
        <w:rPr>
          <w:rFonts w:ascii="Arial" w:hAnsi="Arial" w:cs="Arial"/>
          <w:sz w:val="22"/>
          <w:szCs w:val="22"/>
        </w:rPr>
        <w:t>secution and that notwithstanding the realisation the PG continued to act, reckless as to the consequence of her conduct? In my respectful view, that question should have been answered in the negative.</w:t>
      </w:r>
      <w:r>
        <w:rPr>
          <w:rFonts w:ascii="Arial" w:hAnsi="Arial" w:cs="Arial"/>
          <w:sz w:val="22"/>
          <w:szCs w:val="22"/>
        </w:rPr>
        <w:t>’</w:t>
      </w:r>
    </w:p>
    <w:p w:rsidR="007C4AFA" w:rsidRDefault="007C4AFA" w:rsidP="001337D7">
      <w:pPr>
        <w:pStyle w:val="BodyText"/>
        <w:autoSpaceDE w:val="0"/>
        <w:autoSpaceDN w:val="0"/>
        <w:adjustRightInd w:val="0"/>
        <w:spacing w:line="480" w:lineRule="auto"/>
        <w:jc w:val="both"/>
        <w:rPr>
          <w:rFonts w:ascii="Arial" w:hAnsi="Arial" w:cs="Arial"/>
          <w:sz w:val="22"/>
          <w:szCs w:val="22"/>
        </w:rPr>
      </w:pPr>
    </w:p>
    <w:p w:rsidR="007C4AFA" w:rsidRDefault="007C4AFA" w:rsidP="001337D7">
      <w:pPr>
        <w:pStyle w:val="BodyText"/>
        <w:numPr>
          <w:ilvl w:val="0"/>
          <w:numId w:val="1"/>
        </w:numPr>
        <w:autoSpaceDE w:val="0"/>
        <w:autoSpaceDN w:val="0"/>
        <w:adjustRightInd w:val="0"/>
        <w:spacing w:line="480" w:lineRule="auto"/>
        <w:ind w:left="0" w:firstLine="0"/>
        <w:jc w:val="both"/>
        <w:rPr>
          <w:rFonts w:ascii="Arial" w:hAnsi="Arial" w:cs="Arial"/>
        </w:rPr>
      </w:pPr>
      <w:r w:rsidRPr="007C4AFA">
        <w:rPr>
          <w:rFonts w:ascii="Arial" w:hAnsi="Arial" w:cs="Arial"/>
        </w:rPr>
        <w:t xml:space="preserve">More </w:t>
      </w:r>
      <w:r w:rsidR="003447AF">
        <w:rPr>
          <w:rFonts w:ascii="Arial" w:hAnsi="Arial" w:cs="Arial"/>
        </w:rPr>
        <w:t xml:space="preserve">aptly </w:t>
      </w:r>
      <w:r w:rsidR="004F0B0E">
        <w:rPr>
          <w:rFonts w:ascii="Arial" w:hAnsi="Arial" w:cs="Arial"/>
        </w:rPr>
        <w:t>and instructive this c</w:t>
      </w:r>
      <w:r w:rsidRPr="007C4AFA">
        <w:rPr>
          <w:rFonts w:ascii="Arial" w:hAnsi="Arial" w:cs="Arial"/>
        </w:rPr>
        <w:t xml:space="preserve">ourt </w:t>
      </w:r>
      <w:r w:rsidR="003447AF">
        <w:rPr>
          <w:rFonts w:ascii="Arial" w:hAnsi="Arial" w:cs="Arial"/>
        </w:rPr>
        <w:t>remarked</w:t>
      </w:r>
      <w:r w:rsidR="001337D7">
        <w:rPr>
          <w:rFonts w:ascii="Arial" w:hAnsi="Arial" w:cs="Arial"/>
        </w:rPr>
        <w:t>:</w:t>
      </w:r>
    </w:p>
    <w:p w:rsidR="005D5EEF" w:rsidRPr="007C4AFA" w:rsidRDefault="005D5EEF" w:rsidP="001337D7">
      <w:pPr>
        <w:pStyle w:val="BodyText"/>
        <w:autoSpaceDE w:val="0"/>
        <w:autoSpaceDN w:val="0"/>
        <w:adjustRightInd w:val="0"/>
        <w:spacing w:line="480" w:lineRule="auto"/>
        <w:jc w:val="both"/>
        <w:rPr>
          <w:rFonts w:ascii="Arial" w:hAnsi="Arial" w:cs="Arial"/>
          <w:sz w:val="22"/>
          <w:szCs w:val="22"/>
        </w:rPr>
      </w:pPr>
    </w:p>
    <w:p w:rsidR="00F9429D" w:rsidRDefault="007C4AFA" w:rsidP="001337D7">
      <w:pPr>
        <w:pStyle w:val="BodyText"/>
        <w:autoSpaceDE w:val="0"/>
        <w:autoSpaceDN w:val="0"/>
        <w:adjustRightInd w:val="0"/>
        <w:spacing w:line="360" w:lineRule="auto"/>
        <w:ind w:left="720"/>
        <w:jc w:val="both"/>
        <w:rPr>
          <w:rFonts w:ascii="Arial" w:hAnsi="Arial" w:cs="Arial"/>
          <w:sz w:val="22"/>
          <w:szCs w:val="22"/>
        </w:rPr>
      </w:pPr>
      <w:r>
        <w:rPr>
          <w:rFonts w:ascii="Arial" w:hAnsi="Arial" w:cs="Arial"/>
          <w:sz w:val="22"/>
          <w:szCs w:val="22"/>
        </w:rPr>
        <w:t>‘[69]</w:t>
      </w:r>
      <w:r>
        <w:rPr>
          <w:rFonts w:ascii="Arial" w:hAnsi="Arial" w:cs="Arial"/>
          <w:sz w:val="22"/>
          <w:szCs w:val="22"/>
        </w:rPr>
        <w:tab/>
        <w:t xml:space="preserve">Hawkins J pointed out in </w:t>
      </w:r>
      <w:r w:rsidRPr="00206F14">
        <w:rPr>
          <w:rFonts w:ascii="Arial" w:hAnsi="Arial" w:cs="Arial"/>
          <w:i/>
          <w:sz w:val="22"/>
          <w:szCs w:val="22"/>
        </w:rPr>
        <w:t>Hicks v Faulkner</w:t>
      </w:r>
      <w:r w:rsidR="004F0B0E">
        <w:rPr>
          <w:rFonts w:ascii="Arial" w:hAnsi="Arial" w:cs="Arial"/>
          <w:sz w:val="22"/>
          <w:szCs w:val="22"/>
        </w:rPr>
        <w:t xml:space="preserve"> . . .</w:t>
      </w:r>
      <w:r w:rsidR="0006717B">
        <w:rPr>
          <w:rFonts w:ascii="Arial" w:hAnsi="Arial" w:cs="Arial"/>
          <w:sz w:val="22"/>
          <w:szCs w:val="22"/>
        </w:rPr>
        <w:t xml:space="preserve"> that the question of reasonable and probable cause depends not upon the actual existence, but upon the reasonable </w:t>
      </w:r>
      <w:r w:rsidR="0006717B" w:rsidRPr="0006717B">
        <w:rPr>
          <w:rFonts w:ascii="Arial" w:hAnsi="Arial" w:cs="Arial"/>
          <w:i/>
          <w:sz w:val="22"/>
          <w:szCs w:val="22"/>
        </w:rPr>
        <w:t>bona fide</w:t>
      </w:r>
      <w:r w:rsidR="0006717B">
        <w:rPr>
          <w:rFonts w:ascii="Arial" w:hAnsi="Arial" w:cs="Arial"/>
          <w:sz w:val="22"/>
          <w:szCs w:val="22"/>
        </w:rPr>
        <w:t xml:space="preserve"> belief in the existence of such state of things as would amount to a justification of the course pursued in the making of the allegation complained of. The learned Judge was thus of the view that when applying the objective and subjective tests, sight should not be lost of the distinction drawn between the facts required to establish the actual guilt of the plaintiff and those required to establish a reasonable </w:t>
      </w:r>
      <w:r w:rsidR="0006717B" w:rsidRPr="0006717B">
        <w:rPr>
          <w:rFonts w:ascii="Arial" w:hAnsi="Arial" w:cs="Arial"/>
          <w:i/>
          <w:sz w:val="22"/>
          <w:szCs w:val="22"/>
        </w:rPr>
        <w:t>bona fide</w:t>
      </w:r>
      <w:r w:rsidR="0006717B">
        <w:rPr>
          <w:rFonts w:ascii="Arial" w:hAnsi="Arial" w:cs="Arial"/>
          <w:sz w:val="22"/>
          <w:szCs w:val="22"/>
        </w:rPr>
        <w:t xml:space="preserve"> belief in the guilt of the plaintiff, as many facts admissible to prove the latter would be wholly inadmissible to prove the former. This is an important distinction that the court </w:t>
      </w:r>
      <w:r w:rsidR="0006717B" w:rsidRPr="00FC1842">
        <w:rPr>
          <w:rFonts w:ascii="Arial" w:hAnsi="Arial" w:cs="Arial"/>
          <w:i/>
          <w:sz w:val="22"/>
          <w:szCs w:val="22"/>
        </w:rPr>
        <w:t>a quo</w:t>
      </w:r>
      <w:r w:rsidR="0006717B">
        <w:rPr>
          <w:rFonts w:ascii="Arial" w:hAnsi="Arial" w:cs="Arial"/>
          <w:sz w:val="22"/>
          <w:szCs w:val="22"/>
        </w:rPr>
        <w:t xml:space="preserve"> appears to have overlooked. As a consequence of this error, the court below impermissibly adopted an approach of conducting an analysis of the evidence against the respondent as if it was evaluating the evidence in a criminal trial</w:t>
      </w:r>
      <w:r w:rsidR="004F0B0E">
        <w:rPr>
          <w:rFonts w:ascii="Arial" w:hAnsi="Arial" w:cs="Arial"/>
          <w:sz w:val="22"/>
          <w:szCs w:val="22"/>
        </w:rPr>
        <w:t>.</w:t>
      </w:r>
      <w:r w:rsidR="0006717B">
        <w:rPr>
          <w:rFonts w:ascii="Arial" w:hAnsi="Arial" w:cs="Arial"/>
          <w:sz w:val="22"/>
          <w:szCs w:val="22"/>
        </w:rPr>
        <w:t>’</w:t>
      </w:r>
    </w:p>
    <w:p w:rsidR="005D5EEF" w:rsidRDefault="005D5EEF" w:rsidP="001337D7">
      <w:pPr>
        <w:pStyle w:val="BodyText"/>
        <w:autoSpaceDE w:val="0"/>
        <w:autoSpaceDN w:val="0"/>
        <w:adjustRightInd w:val="0"/>
        <w:spacing w:line="480" w:lineRule="auto"/>
        <w:jc w:val="both"/>
        <w:rPr>
          <w:rFonts w:ascii="Arial" w:hAnsi="Arial" w:cs="Arial"/>
          <w:sz w:val="22"/>
          <w:szCs w:val="22"/>
        </w:rPr>
      </w:pPr>
    </w:p>
    <w:p w:rsidR="0006717B" w:rsidRPr="0006717B" w:rsidRDefault="0006717B" w:rsidP="009B747B">
      <w:pPr>
        <w:pStyle w:val="BodyText"/>
        <w:autoSpaceDE w:val="0"/>
        <w:autoSpaceDN w:val="0"/>
        <w:adjustRightInd w:val="0"/>
        <w:spacing w:line="480" w:lineRule="auto"/>
        <w:jc w:val="both"/>
        <w:rPr>
          <w:rFonts w:ascii="Arial" w:hAnsi="Arial" w:cs="Arial"/>
        </w:rPr>
      </w:pPr>
      <w:r w:rsidRPr="0006717B">
        <w:rPr>
          <w:rFonts w:ascii="Arial" w:hAnsi="Arial" w:cs="Arial"/>
        </w:rPr>
        <w:t>These remarks</w:t>
      </w:r>
      <w:r w:rsidR="00733B80">
        <w:rPr>
          <w:rFonts w:ascii="Arial" w:hAnsi="Arial" w:cs="Arial"/>
        </w:rPr>
        <w:t>, which evidently find</w:t>
      </w:r>
      <w:r>
        <w:rPr>
          <w:rFonts w:ascii="Arial" w:hAnsi="Arial" w:cs="Arial"/>
        </w:rPr>
        <w:t xml:space="preserve"> application </w:t>
      </w:r>
      <w:r w:rsidR="003447AF" w:rsidRPr="00733B80">
        <w:rPr>
          <w:rFonts w:ascii="Arial" w:hAnsi="Arial" w:cs="Arial"/>
          <w:i/>
        </w:rPr>
        <w:t>in</w:t>
      </w:r>
      <w:r w:rsidR="003447AF" w:rsidRPr="003447AF">
        <w:rPr>
          <w:rFonts w:ascii="Arial" w:hAnsi="Arial" w:cs="Arial"/>
          <w:i/>
        </w:rPr>
        <w:t xml:space="preserve"> casu</w:t>
      </w:r>
      <w:r>
        <w:rPr>
          <w:rFonts w:ascii="Arial" w:hAnsi="Arial" w:cs="Arial"/>
        </w:rPr>
        <w:t>, are endorsed.</w:t>
      </w:r>
    </w:p>
    <w:p w:rsidR="0006717B" w:rsidRPr="00BB76F5" w:rsidRDefault="00697FF2" w:rsidP="001337D7">
      <w:pPr>
        <w:pStyle w:val="BodyText"/>
        <w:numPr>
          <w:ilvl w:val="0"/>
          <w:numId w:val="1"/>
        </w:numPr>
        <w:autoSpaceDE w:val="0"/>
        <w:autoSpaceDN w:val="0"/>
        <w:adjustRightInd w:val="0"/>
        <w:spacing w:line="480" w:lineRule="auto"/>
        <w:ind w:left="0" w:firstLine="0"/>
        <w:jc w:val="both"/>
        <w:rPr>
          <w:rFonts w:ascii="Arial" w:hAnsi="Arial" w:cs="Arial"/>
        </w:rPr>
      </w:pPr>
      <w:r w:rsidRPr="00BB76F5">
        <w:rPr>
          <w:rFonts w:ascii="Arial" w:hAnsi="Arial" w:cs="Arial"/>
        </w:rPr>
        <w:lastRenderedPageBreak/>
        <w:t>The fact that the respondent had bee</w:t>
      </w:r>
      <w:r w:rsidR="00F66150">
        <w:rPr>
          <w:rFonts w:ascii="Arial" w:hAnsi="Arial" w:cs="Arial"/>
        </w:rPr>
        <w:t xml:space="preserve">n discharged </w:t>
      </w:r>
      <w:r w:rsidRPr="00BB76F5">
        <w:rPr>
          <w:rFonts w:ascii="Arial" w:hAnsi="Arial" w:cs="Arial"/>
        </w:rPr>
        <w:t>is</w:t>
      </w:r>
      <w:r w:rsidR="00AD6A7C">
        <w:rPr>
          <w:rFonts w:ascii="Arial" w:hAnsi="Arial" w:cs="Arial"/>
        </w:rPr>
        <w:t>,</w:t>
      </w:r>
      <w:r w:rsidRPr="00BB76F5">
        <w:rPr>
          <w:rFonts w:ascii="Arial" w:hAnsi="Arial" w:cs="Arial"/>
        </w:rPr>
        <w:t xml:space="preserve"> for the purpose of determining whether the second appellant and her team subjectively and objectively lacked reasonable and probable cause to</w:t>
      </w:r>
      <w:r w:rsidR="00F70F0C">
        <w:rPr>
          <w:rFonts w:ascii="Arial" w:hAnsi="Arial" w:cs="Arial"/>
        </w:rPr>
        <w:t xml:space="preserve"> continue with the prosecution</w:t>
      </w:r>
      <w:r w:rsidR="00AD6A7C">
        <w:rPr>
          <w:rFonts w:ascii="Arial" w:hAnsi="Arial" w:cs="Arial"/>
        </w:rPr>
        <w:t>, beside the point</w:t>
      </w:r>
      <w:r w:rsidR="00F70F0C">
        <w:rPr>
          <w:rFonts w:ascii="Arial" w:hAnsi="Arial" w:cs="Arial"/>
        </w:rPr>
        <w:t>.</w:t>
      </w:r>
      <w:r w:rsidRPr="00BB76F5">
        <w:rPr>
          <w:rFonts w:ascii="Arial" w:hAnsi="Arial" w:cs="Arial"/>
        </w:rPr>
        <w:t xml:space="preserve"> </w:t>
      </w:r>
      <w:r w:rsidR="00AD6A7C">
        <w:rPr>
          <w:rFonts w:ascii="Arial" w:hAnsi="Arial" w:cs="Arial"/>
        </w:rPr>
        <w:t>T</w:t>
      </w:r>
      <w:r w:rsidRPr="00B305CA">
        <w:rPr>
          <w:rFonts w:ascii="Arial" w:hAnsi="Arial" w:cs="Arial"/>
        </w:rPr>
        <w:t xml:space="preserve">he South African Supreme Court of Appeal </w:t>
      </w:r>
      <w:r w:rsidR="00AD6A7C">
        <w:rPr>
          <w:rFonts w:ascii="Arial" w:hAnsi="Arial" w:cs="Arial"/>
        </w:rPr>
        <w:t xml:space="preserve">held, in </w:t>
      </w:r>
      <w:r w:rsidR="00AD6A7C" w:rsidRPr="00BB76F5">
        <w:rPr>
          <w:rFonts w:ascii="Arial" w:hAnsi="Arial" w:cs="Arial"/>
          <w:i/>
        </w:rPr>
        <w:t>Lubaxa</w:t>
      </w:r>
      <w:r w:rsidR="00AD6A7C">
        <w:rPr>
          <w:rFonts w:ascii="Arial" w:hAnsi="Arial" w:cs="Arial"/>
        </w:rPr>
        <w:t>,</w:t>
      </w:r>
      <w:r w:rsidR="00AD6A7C" w:rsidRPr="00BB76F5">
        <w:rPr>
          <w:rStyle w:val="FootnoteReference"/>
          <w:rFonts w:ascii="Arial" w:hAnsi="Arial" w:cs="Arial"/>
        </w:rPr>
        <w:footnoteReference w:id="39"/>
      </w:r>
      <w:r w:rsidR="00AD6A7C">
        <w:rPr>
          <w:rFonts w:ascii="Arial" w:hAnsi="Arial" w:cs="Arial"/>
        </w:rPr>
        <w:t xml:space="preserve"> </w:t>
      </w:r>
      <w:r w:rsidR="00A474DC" w:rsidRPr="00B305CA">
        <w:rPr>
          <w:rFonts w:ascii="Arial" w:hAnsi="Arial" w:cs="Arial"/>
        </w:rPr>
        <w:t xml:space="preserve">that </w:t>
      </w:r>
      <w:r w:rsidR="005A2132" w:rsidRPr="00B305CA">
        <w:rPr>
          <w:rFonts w:ascii="Arial" w:hAnsi="Arial" w:cs="Arial"/>
        </w:rPr>
        <w:t xml:space="preserve">the discharge </w:t>
      </w:r>
      <w:r w:rsidR="00B305CA" w:rsidRPr="00B305CA">
        <w:rPr>
          <w:rFonts w:ascii="Arial" w:hAnsi="Arial" w:cs="Arial"/>
        </w:rPr>
        <w:t xml:space="preserve">is not </w:t>
      </w:r>
      <w:r w:rsidR="005A2132" w:rsidRPr="00B305CA">
        <w:rPr>
          <w:rFonts w:ascii="Arial" w:hAnsi="Arial" w:cs="Arial"/>
        </w:rPr>
        <w:t xml:space="preserve">a consideration necessarily arising where the prosecution case against one accused might be supplemented by evidence of a co-accused. </w:t>
      </w:r>
      <w:r w:rsidR="00761041" w:rsidRPr="00B305CA">
        <w:rPr>
          <w:rFonts w:ascii="Arial" w:hAnsi="Arial" w:cs="Arial"/>
        </w:rPr>
        <w:t>The r</w:t>
      </w:r>
      <w:r w:rsidR="00761041">
        <w:rPr>
          <w:rFonts w:ascii="Arial" w:hAnsi="Arial" w:cs="Arial"/>
        </w:rPr>
        <w:t xml:space="preserve">espondent’s argument that there was no sufficient evidence available </w:t>
      </w:r>
      <w:r w:rsidR="005A2132">
        <w:rPr>
          <w:rFonts w:ascii="Arial" w:hAnsi="Arial" w:cs="Arial"/>
        </w:rPr>
        <w:t xml:space="preserve">in the docket to sustain a conviction </w:t>
      </w:r>
      <w:r w:rsidR="00761041">
        <w:rPr>
          <w:rFonts w:ascii="Arial" w:hAnsi="Arial" w:cs="Arial"/>
        </w:rPr>
        <w:t>and that the police and/or prosecutors could thus not have formulated and formed any honest belief in the guilt of the respondent</w:t>
      </w:r>
      <w:r w:rsidR="00AD6A7C">
        <w:rPr>
          <w:rFonts w:ascii="Arial" w:hAnsi="Arial" w:cs="Arial"/>
        </w:rPr>
        <w:t xml:space="preserve"> is, </w:t>
      </w:r>
      <w:r w:rsidR="003447AF">
        <w:rPr>
          <w:rFonts w:ascii="Arial" w:hAnsi="Arial" w:cs="Arial"/>
        </w:rPr>
        <w:t>in the circumstances,</w:t>
      </w:r>
      <w:r w:rsidR="005A2132">
        <w:rPr>
          <w:rFonts w:ascii="Arial" w:hAnsi="Arial" w:cs="Arial"/>
        </w:rPr>
        <w:t xml:space="preserve"> </w:t>
      </w:r>
      <w:r w:rsidR="00AD6A7C">
        <w:rPr>
          <w:rFonts w:ascii="Arial" w:hAnsi="Arial" w:cs="Arial"/>
        </w:rPr>
        <w:t xml:space="preserve">therefore </w:t>
      </w:r>
      <w:r w:rsidR="00761041">
        <w:rPr>
          <w:rFonts w:ascii="Arial" w:hAnsi="Arial" w:cs="Arial"/>
        </w:rPr>
        <w:t>legally and factually flawed.</w:t>
      </w:r>
    </w:p>
    <w:p w:rsidR="008034A5" w:rsidRDefault="008034A5" w:rsidP="001337D7">
      <w:pPr>
        <w:pStyle w:val="BodyText"/>
        <w:autoSpaceDE w:val="0"/>
        <w:autoSpaceDN w:val="0"/>
        <w:adjustRightInd w:val="0"/>
        <w:spacing w:line="480" w:lineRule="auto"/>
        <w:jc w:val="both"/>
        <w:rPr>
          <w:rFonts w:ascii="Arial" w:hAnsi="Arial" w:cs="Arial"/>
        </w:rPr>
      </w:pPr>
    </w:p>
    <w:p w:rsidR="003329FF" w:rsidRDefault="00206F14"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t>The m</w:t>
      </w:r>
      <w:r w:rsidR="004509DF">
        <w:rPr>
          <w:rFonts w:ascii="Arial" w:hAnsi="Arial" w:cs="Arial"/>
        </w:rPr>
        <w:t>alice element or</w:t>
      </w:r>
      <w:r w:rsidR="00C34ADD">
        <w:rPr>
          <w:rFonts w:ascii="Arial" w:hAnsi="Arial" w:cs="Arial"/>
        </w:rPr>
        <w:t xml:space="preserve"> that the prosecution of the claim was actuated by an improper motive</w:t>
      </w:r>
      <w:r w:rsidR="004509DF">
        <w:rPr>
          <w:rFonts w:ascii="Arial" w:hAnsi="Arial" w:cs="Arial"/>
        </w:rPr>
        <w:t xml:space="preserve"> requires proof of an improper purpose so as to differentiate between prosecutorial conduct that is not actionable </w:t>
      </w:r>
      <w:r w:rsidR="00D643BA">
        <w:rPr>
          <w:rFonts w:ascii="Arial" w:hAnsi="Arial" w:cs="Arial"/>
        </w:rPr>
        <w:t xml:space="preserve">and </w:t>
      </w:r>
      <w:r w:rsidR="004509DF">
        <w:rPr>
          <w:rFonts w:ascii="Arial" w:hAnsi="Arial" w:cs="Arial"/>
        </w:rPr>
        <w:t xml:space="preserve">that which is. </w:t>
      </w:r>
      <w:r w:rsidR="00611F6B">
        <w:rPr>
          <w:rFonts w:ascii="Arial" w:hAnsi="Arial" w:cs="Arial"/>
        </w:rPr>
        <w:t>The High Court held that there was no malice on the part of the second appellant when initiating the prosecution</w:t>
      </w:r>
      <w:r w:rsidR="003447AF">
        <w:rPr>
          <w:rFonts w:ascii="Arial" w:hAnsi="Arial" w:cs="Arial"/>
        </w:rPr>
        <w:t xml:space="preserve">. </w:t>
      </w:r>
      <w:r w:rsidR="00AB0E4A">
        <w:rPr>
          <w:rFonts w:ascii="Arial" w:hAnsi="Arial" w:cs="Arial"/>
        </w:rPr>
        <w:t xml:space="preserve">In spite of this conclusion, </w:t>
      </w:r>
      <w:r w:rsidR="00AD6A7C">
        <w:rPr>
          <w:rFonts w:ascii="Arial" w:hAnsi="Arial" w:cs="Arial"/>
        </w:rPr>
        <w:t xml:space="preserve">the </w:t>
      </w:r>
      <w:r w:rsidR="00FC1842">
        <w:rPr>
          <w:rFonts w:ascii="Arial" w:hAnsi="Arial" w:cs="Arial"/>
        </w:rPr>
        <w:t>c</w:t>
      </w:r>
      <w:r w:rsidR="003447AF">
        <w:rPr>
          <w:rFonts w:ascii="Arial" w:hAnsi="Arial" w:cs="Arial"/>
        </w:rPr>
        <w:t>ourt</w:t>
      </w:r>
      <w:r w:rsidR="00611F6B">
        <w:rPr>
          <w:rFonts w:ascii="Arial" w:hAnsi="Arial" w:cs="Arial"/>
        </w:rPr>
        <w:t xml:space="preserve"> decided otherwise in relation to the </w:t>
      </w:r>
      <w:r w:rsidR="00AB0E4A">
        <w:rPr>
          <w:rFonts w:ascii="Arial" w:hAnsi="Arial" w:cs="Arial"/>
        </w:rPr>
        <w:t xml:space="preserve">alternative </w:t>
      </w:r>
      <w:r w:rsidR="00611F6B">
        <w:rPr>
          <w:rFonts w:ascii="Arial" w:hAnsi="Arial" w:cs="Arial"/>
        </w:rPr>
        <w:t>claim for continuation with the prosecution.</w:t>
      </w:r>
      <w:r w:rsidR="003447AF">
        <w:rPr>
          <w:rFonts w:ascii="Arial" w:hAnsi="Arial" w:cs="Arial"/>
        </w:rPr>
        <w:t xml:space="preserve"> This </w:t>
      </w:r>
      <w:r w:rsidR="003447AF" w:rsidRPr="003447AF">
        <w:rPr>
          <w:rFonts w:ascii="Arial" w:hAnsi="Arial" w:cs="Arial"/>
          <w:i/>
        </w:rPr>
        <w:t>volte-vace</w:t>
      </w:r>
      <w:r w:rsidR="003447AF">
        <w:rPr>
          <w:rFonts w:ascii="Arial" w:hAnsi="Arial" w:cs="Arial"/>
        </w:rPr>
        <w:t xml:space="preserve"> is</w:t>
      </w:r>
      <w:r w:rsidR="00E95454">
        <w:rPr>
          <w:rFonts w:ascii="Arial" w:hAnsi="Arial" w:cs="Arial"/>
        </w:rPr>
        <w:t xml:space="preserve"> startling, to say the least</w:t>
      </w:r>
      <w:r w:rsidR="003447AF">
        <w:rPr>
          <w:rFonts w:ascii="Arial" w:hAnsi="Arial" w:cs="Arial"/>
        </w:rPr>
        <w:t>, given the information in the sworn statement</w:t>
      </w:r>
      <w:r w:rsidR="00751DFF">
        <w:rPr>
          <w:rFonts w:ascii="Arial" w:hAnsi="Arial" w:cs="Arial"/>
        </w:rPr>
        <w:t>s</w:t>
      </w:r>
      <w:r w:rsidR="003447AF">
        <w:rPr>
          <w:rFonts w:ascii="Arial" w:hAnsi="Arial" w:cs="Arial"/>
        </w:rPr>
        <w:t xml:space="preserve"> coupled with the evidence </w:t>
      </w:r>
      <w:r w:rsidR="00AB0E4A">
        <w:rPr>
          <w:rFonts w:ascii="Arial" w:hAnsi="Arial" w:cs="Arial"/>
        </w:rPr>
        <w:t xml:space="preserve">tendered </w:t>
      </w:r>
      <w:r w:rsidR="00E95454">
        <w:rPr>
          <w:rFonts w:ascii="Arial" w:hAnsi="Arial" w:cs="Arial"/>
        </w:rPr>
        <w:t xml:space="preserve">in </w:t>
      </w:r>
      <w:r w:rsidR="00FC1842">
        <w:rPr>
          <w:rFonts w:ascii="Arial" w:hAnsi="Arial" w:cs="Arial"/>
        </w:rPr>
        <w:t>c</w:t>
      </w:r>
      <w:r w:rsidR="00E95454">
        <w:rPr>
          <w:rFonts w:ascii="Arial" w:hAnsi="Arial" w:cs="Arial"/>
        </w:rPr>
        <w:t>ourt</w:t>
      </w:r>
      <w:r w:rsidR="00AB0E4A">
        <w:rPr>
          <w:rFonts w:ascii="Arial" w:hAnsi="Arial" w:cs="Arial"/>
        </w:rPr>
        <w:t>.</w:t>
      </w:r>
      <w:r w:rsidR="00611F6B">
        <w:rPr>
          <w:rFonts w:ascii="Arial" w:hAnsi="Arial" w:cs="Arial"/>
        </w:rPr>
        <w:t xml:space="preserve"> As I understand </w:t>
      </w:r>
      <w:r w:rsidR="00FC1842">
        <w:rPr>
          <w:rFonts w:ascii="Arial" w:hAnsi="Arial" w:cs="Arial"/>
        </w:rPr>
        <w:t>the c</w:t>
      </w:r>
      <w:r w:rsidR="00CC5EBC">
        <w:rPr>
          <w:rFonts w:ascii="Arial" w:hAnsi="Arial" w:cs="Arial"/>
        </w:rPr>
        <w:t xml:space="preserve">ourt’s </w:t>
      </w:r>
      <w:r w:rsidR="00611F6B">
        <w:rPr>
          <w:rFonts w:ascii="Arial" w:hAnsi="Arial" w:cs="Arial"/>
        </w:rPr>
        <w:t xml:space="preserve">reasoning, it </w:t>
      </w:r>
      <w:r w:rsidR="004509DF">
        <w:rPr>
          <w:rFonts w:ascii="Arial" w:hAnsi="Arial" w:cs="Arial"/>
        </w:rPr>
        <w:t xml:space="preserve">based </w:t>
      </w:r>
      <w:r w:rsidR="00611F6B">
        <w:rPr>
          <w:rFonts w:ascii="Arial" w:hAnsi="Arial" w:cs="Arial"/>
        </w:rPr>
        <w:t>this c</w:t>
      </w:r>
      <w:r w:rsidR="004509DF">
        <w:rPr>
          <w:rFonts w:ascii="Arial" w:hAnsi="Arial" w:cs="Arial"/>
        </w:rPr>
        <w:t>onclusion on the fact that the</w:t>
      </w:r>
      <w:r w:rsidR="00AB0E4A">
        <w:rPr>
          <w:rFonts w:ascii="Arial" w:hAnsi="Arial" w:cs="Arial"/>
        </w:rPr>
        <w:t xml:space="preserve"> respondent</w:t>
      </w:r>
      <w:r w:rsidR="004509DF">
        <w:rPr>
          <w:rFonts w:ascii="Arial" w:hAnsi="Arial" w:cs="Arial"/>
        </w:rPr>
        <w:t xml:space="preserve"> was no</w:t>
      </w:r>
      <w:r w:rsidR="00AB0E4A">
        <w:rPr>
          <w:rFonts w:ascii="Arial" w:hAnsi="Arial" w:cs="Arial"/>
        </w:rPr>
        <w:t>t</w:t>
      </w:r>
      <w:r w:rsidR="004509DF">
        <w:rPr>
          <w:rFonts w:ascii="Arial" w:hAnsi="Arial" w:cs="Arial"/>
        </w:rPr>
        <w:t xml:space="preserve"> identifi</w:t>
      </w:r>
      <w:r w:rsidR="00AB0E4A">
        <w:rPr>
          <w:rFonts w:ascii="Arial" w:hAnsi="Arial" w:cs="Arial"/>
        </w:rPr>
        <w:t>ed</w:t>
      </w:r>
      <w:r w:rsidR="004509DF">
        <w:rPr>
          <w:rFonts w:ascii="Arial" w:hAnsi="Arial" w:cs="Arial"/>
        </w:rPr>
        <w:t xml:space="preserve"> at the trial</w:t>
      </w:r>
      <w:r w:rsidR="00AB0E4A">
        <w:rPr>
          <w:rFonts w:ascii="Arial" w:hAnsi="Arial" w:cs="Arial"/>
        </w:rPr>
        <w:t xml:space="preserve">; </w:t>
      </w:r>
      <w:r w:rsidR="004509DF">
        <w:rPr>
          <w:rFonts w:ascii="Arial" w:hAnsi="Arial" w:cs="Arial"/>
        </w:rPr>
        <w:t>t</w:t>
      </w:r>
      <w:r w:rsidR="00AB0E4A">
        <w:rPr>
          <w:rFonts w:ascii="Arial" w:hAnsi="Arial" w:cs="Arial"/>
        </w:rPr>
        <w:t xml:space="preserve">hat the last witness, Mr Siboli, </w:t>
      </w:r>
      <w:r w:rsidR="004509DF">
        <w:rPr>
          <w:rFonts w:ascii="Arial" w:hAnsi="Arial" w:cs="Arial"/>
        </w:rPr>
        <w:t>completed his testimony on 17 November 2005</w:t>
      </w:r>
      <w:r w:rsidR="00AB0E4A">
        <w:rPr>
          <w:rFonts w:ascii="Arial" w:hAnsi="Arial" w:cs="Arial"/>
        </w:rPr>
        <w:t>; that</w:t>
      </w:r>
      <w:r w:rsidR="004C2D20">
        <w:rPr>
          <w:rFonts w:ascii="Arial" w:hAnsi="Arial" w:cs="Arial"/>
        </w:rPr>
        <w:t xml:space="preserve"> the</w:t>
      </w:r>
      <w:r w:rsidR="00AB0E4A">
        <w:rPr>
          <w:rFonts w:ascii="Arial" w:hAnsi="Arial" w:cs="Arial"/>
        </w:rPr>
        <w:t>re was</w:t>
      </w:r>
      <w:r w:rsidR="004C2D20">
        <w:rPr>
          <w:rFonts w:ascii="Arial" w:hAnsi="Arial" w:cs="Arial"/>
        </w:rPr>
        <w:t xml:space="preserve"> failure on the part of the prosecution to do an</w:t>
      </w:r>
      <w:r w:rsidR="00881EFF">
        <w:rPr>
          <w:rFonts w:ascii="Arial" w:hAnsi="Arial" w:cs="Arial"/>
        </w:rPr>
        <w:t xml:space="preserve"> </w:t>
      </w:r>
      <w:r w:rsidR="004C2D20">
        <w:rPr>
          <w:rFonts w:ascii="Arial" w:hAnsi="Arial" w:cs="Arial"/>
        </w:rPr>
        <w:t>assessment of the case on a regular basis</w:t>
      </w:r>
      <w:r w:rsidR="00611F6B">
        <w:rPr>
          <w:rFonts w:ascii="Arial" w:hAnsi="Arial" w:cs="Arial"/>
        </w:rPr>
        <w:t xml:space="preserve"> and </w:t>
      </w:r>
      <w:r w:rsidR="00E95454">
        <w:rPr>
          <w:rFonts w:ascii="Arial" w:hAnsi="Arial" w:cs="Arial"/>
        </w:rPr>
        <w:t xml:space="preserve">on </w:t>
      </w:r>
      <w:r w:rsidR="00611F6B">
        <w:rPr>
          <w:rFonts w:ascii="Arial" w:hAnsi="Arial" w:cs="Arial"/>
        </w:rPr>
        <w:t xml:space="preserve">the </w:t>
      </w:r>
      <w:r w:rsidR="00733B80">
        <w:rPr>
          <w:rFonts w:ascii="Arial" w:hAnsi="Arial" w:cs="Arial"/>
        </w:rPr>
        <w:t>concession by Mr</w:t>
      </w:r>
      <w:r w:rsidR="00611F6B" w:rsidRPr="00C21A99">
        <w:rPr>
          <w:rFonts w:ascii="Arial" w:hAnsi="Arial" w:cs="Arial"/>
        </w:rPr>
        <w:t xml:space="preserve"> July </w:t>
      </w:r>
      <w:r w:rsidR="00C21A99" w:rsidRPr="00C21A99">
        <w:rPr>
          <w:rFonts w:ascii="Arial" w:hAnsi="Arial" w:cs="Arial"/>
        </w:rPr>
        <w:lastRenderedPageBreak/>
        <w:t>regarding gaps in the State’s case.</w:t>
      </w:r>
      <w:r w:rsidR="00C21A99">
        <w:rPr>
          <w:rFonts w:ascii="Arial" w:hAnsi="Arial" w:cs="Arial"/>
        </w:rPr>
        <w:t xml:space="preserve"> </w:t>
      </w:r>
      <w:r w:rsidR="00FC1842">
        <w:rPr>
          <w:rFonts w:ascii="Arial" w:hAnsi="Arial" w:cs="Arial"/>
        </w:rPr>
        <w:t>The c</w:t>
      </w:r>
      <w:r w:rsidR="004C2D20">
        <w:rPr>
          <w:rFonts w:ascii="Arial" w:hAnsi="Arial" w:cs="Arial"/>
        </w:rPr>
        <w:t xml:space="preserve">ourt </w:t>
      </w:r>
      <w:r w:rsidR="00611F6B">
        <w:rPr>
          <w:rFonts w:ascii="Arial" w:hAnsi="Arial" w:cs="Arial"/>
        </w:rPr>
        <w:t xml:space="preserve">opined </w:t>
      </w:r>
      <w:r w:rsidR="004C2D20">
        <w:rPr>
          <w:rFonts w:ascii="Arial" w:hAnsi="Arial" w:cs="Arial"/>
        </w:rPr>
        <w:t>that the said ‘failure caused a perversion of the pr</w:t>
      </w:r>
      <w:r w:rsidR="00611F6B">
        <w:rPr>
          <w:rFonts w:ascii="Arial" w:hAnsi="Arial" w:cs="Arial"/>
        </w:rPr>
        <w:t xml:space="preserve">ocess of criminal justice which </w:t>
      </w:r>
      <w:r w:rsidR="004C2D20">
        <w:rPr>
          <w:rFonts w:ascii="Arial" w:hAnsi="Arial" w:cs="Arial"/>
        </w:rPr>
        <w:t>satisfied the element of malice’</w:t>
      </w:r>
      <w:r w:rsidR="00733B80">
        <w:rPr>
          <w:rFonts w:ascii="Arial" w:hAnsi="Arial" w:cs="Arial"/>
        </w:rPr>
        <w:t>.</w:t>
      </w:r>
      <w:r w:rsidR="004C2D20">
        <w:rPr>
          <w:rStyle w:val="FootnoteReference"/>
          <w:rFonts w:ascii="Arial" w:hAnsi="Arial" w:cs="Arial"/>
        </w:rPr>
        <w:footnoteReference w:id="40"/>
      </w:r>
      <w:r w:rsidR="004C2D20">
        <w:rPr>
          <w:rFonts w:ascii="Arial" w:hAnsi="Arial" w:cs="Arial"/>
        </w:rPr>
        <w:t xml:space="preserve">  </w:t>
      </w:r>
    </w:p>
    <w:p w:rsidR="00733B80" w:rsidRDefault="00733B80" w:rsidP="001337D7">
      <w:pPr>
        <w:pStyle w:val="BodyText"/>
        <w:autoSpaceDE w:val="0"/>
        <w:autoSpaceDN w:val="0"/>
        <w:adjustRightInd w:val="0"/>
        <w:spacing w:line="480" w:lineRule="auto"/>
        <w:jc w:val="both"/>
        <w:rPr>
          <w:rFonts w:ascii="Arial" w:hAnsi="Arial" w:cs="Arial"/>
        </w:rPr>
      </w:pPr>
    </w:p>
    <w:p w:rsidR="00C631C2" w:rsidRDefault="00D354AB"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t>T</w:t>
      </w:r>
      <w:r w:rsidR="00881EFF">
        <w:rPr>
          <w:rFonts w:ascii="Arial" w:hAnsi="Arial" w:cs="Arial"/>
        </w:rPr>
        <w:t xml:space="preserve">he respondent supported the High Court’s reasoning. He </w:t>
      </w:r>
      <w:r>
        <w:rPr>
          <w:rFonts w:ascii="Arial" w:hAnsi="Arial" w:cs="Arial"/>
        </w:rPr>
        <w:t xml:space="preserve">submitted </w:t>
      </w:r>
      <w:r w:rsidR="00881EFF">
        <w:rPr>
          <w:rFonts w:ascii="Arial" w:hAnsi="Arial" w:cs="Arial"/>
        </w:rPr>
        <w:t xml:space="preserve">that </w:t>
      </w:r>
      <w:r>
        <w:rPr>
          <w:rFonts w:ascii="Arial" w:hAnsi="Arial" w:cs="Arial"/>
        </w:rPr>
        <w:t>the</w:t>
      </w:r>
      <w:r w:rsidR="00611F6B">
        <w:rPr>
          <w:rFonts w:ascii="Arial" w:hAnsi="Arial" w:cs="Arial"/>
        </w:rPr>
        <w:t xml:space="preserve"> concession by </w:t>
      </w:r>
      <w:r w:rsidR="00733B80">
        <w:rPr>
          <w:rFonts w:ascii="Arial" w:hAnsi="Arial" w:cs="Arial"/>
        </w:rPr>
        <w:t>Mr</w:t>
      </w:r>
      <w:r w:rsidR="00611F6B">
        <w:rPr>
          <w:rFonts w:ascii="Arial" w:hAnsi="Arial" w:cs="Arial"/>
        </w:rPr>
        <w:t xml:space="preserve"> July was indicative of an intention to inju</w:t>
      </w:r>
      <w:r w:rsidR="00C21A99">
        <w:rPr>
          <w:rFonts w:ascii="Arial" w:hAnsi="Arial" w:cs="Arial"/>
        </w:rPr>
        <w:t xml:space="preserve">re </w:t>
      </w:r>
      <w:r w:rsidR="00E95454">
        <w:rPr>
          <w:rFonts w:ascii="Arial" w:hAnsi="Arial" w:cs="Arial"/>
        </w:rPr>
        <w:t>him or</w:t>
      </w:r>
      <w:r w:rsidR="00C21A99">
        <w:rPr>
          <w:rFonts w:ascii="Arial" w:hAnsi="Arial" w:cs="Arial"/>
        </w:rPr>
        <w:t xml:space="preserve"> of malice. He implore</w:t>
      </w:r>
      <w:r w:rsidR="00C21A99" w:rsidRPr="00C21A99">
        <w:rPr>
          <w:rFonts w:ascii="Arial" w:hAnsi="Arial" w:cs="Arial"/>
        </w:rPr>
        <w:t xml:space="preserve">d us </w:t>
      </w:r>
      <w:r w:rsidR="00E95454">
        <w:rPr>
          <w:rFonts w:ascii="Arial" w:hAnsi="Arial" w:cs="Arial"/>
        </w:rPr>
        <w:t>to draw an inference</w:t>
      </w:r>
      <w:r w:rsidR="00954A03" w:rsidRPr="00C21A99">
        <w:rPr>
          <w:rFonts w:ascii="Arial" w:hAnsi="Arial" w:cs="Arial"/>
        </w:rPr>
        <w:t xml:space="preserve"> </w:t>
      </w:r>
      <w:r w:rsidR="00733B80">
        <w:rPr>
          <w:rFonts w:ascii="Arial" w:hAnsi="Arial" w:cs="Arial"/>
        </w:rPr>
        <w:t xml:space="preserve">that, </w:t>
      </w:r>
      <w:r w:rsidR="00954A03" w:rsidRPr="00C21A99">
        <w:rPr>
          <w:rFonts w:ascii="Arial" w:hAnsi="Arial" w:cs="Arial"/>
        </w:rPr>
        <w:t>given the said absence of enough, sufficient and culpatory evidence t</w:t>
      </w:r>
      <w:r w:rsidR="00E95454">
        <w:rPr>
          <w:rFonts w:ascii="Arial" w:hAnsi="Arial" w:cs="Arial"/>
        </w:rPr>
        <w:t>o</w:t>
      </w:r>
      <w:r w:rsidR="00954A03" w:rsidRPr="00C21A99">
        <w:rPr>
          <w:rFonts w:ascii="Arial" w:hAnsi="Arial" w:cs="Arial"/>
        </w:rPr>
        <w:t xml:space="preserve"> continue</w:t>
      </w:r>
      <w:r w:rsidR="00E95454">
        <w:rPr>
          <w:rFonts w:ascii="Arial" w:hAnsi="Arial" w:cs="Arial"/>
        </w:rPr>
        <w:t xml:space="preserve"> with the p</w:t>
      </w:r>
      <w:r w:rsidR="00954A03" w:rsidRPr="00C21A99">
        <w:rPr>
          <w:rFonts w:ascii="Arial" w:hAnsi="Arial" w:cs="Arial"/>
        </w:rPr>
        <w:t>rosec</w:t>
      </w:r>
      <w:r w:rsidR="00C21A99" w:rsidRPr="00C21A99">
        <w:rPr>
          <w:rFonts w:ascii="Arial" w:hAnsi="Arial" w:cs="Arial"/>
        </w:rPr>
        <w:t xml:space="preserve">ution </w:t>
      </w:r>
      <w:r w:rsidR="00733B80">
        <w:rPr>
          <w:rFonts w:ascii="Arial" w:hAnsi="Arial" w:cs="Arial"/>
        </w:rPr>
        <w:t xml:space="preserve">it </w:t>
      </w:r>
      <w:r w:rsidR="00C21A99" w:rsidRPr="00C21A99">
        <w:rPr>
          <w:rFonts w:ascii="Arial" w:hAnsi="Arial" w:cs="Arial"/>
        </w:rPr>
        <w:t>was motivated by malice</w:t>
      </w:r>
      <w:r w:rsidR="00954A03" w:rsidRPr="00C21A99">
        <w:rPr>
          <w:rFonts w:ascii="Arial" w:hAnsi="Arial" w:cs="Arial"/>
        </w:rPr>
        <w:t xml:space="preserve"> </w:t>
      </w:r>
      <w:r w:rsidR="00C21A99" w:rsidRPr="00C21A99">
        <w:rPr>
          <w:rFonts w:ascii="Arial" w:hAnsi="Arial" w:cs="Arial"/>
        </w:rPr>
        <w:t>or improper motiv</w:t>
      </w:r>
      <w:r w:rsidR="00954A03" w:rsidRPr="00C21A99">
        <w:rPr>
          <w:rFonts w:ascii="Arial" w:hAnsi="Arial" w:cs="Arial"/>
        </w:rPr>
        <w:t>e</w:t>
      </w:r>
      <w:r w:rsidR="00C21A99" w:rsidRPr="00C21A99">
        <w:rPr>
          <w:rFonts w:ascii="Arial" w:hAnsi="Arial" w:cs="Arial"/>
        </w:rPr>
        <w:t>.</w:t>
      </w:r>
    </w:p>
    <w:p w:rsidR="004C2D20" w:rsidRDefault="004C2D20" w:rsidP="001337D7">
      <w:pPr>
        <w:pStyle w:val="BodyText"/>
        <w:autoSpaceDE w:val="0"/>
        <w:autoSpaceDN w:val="0"/>
        <w:adjustRightInd w:val="0"/>
        <w:spacing w:line="480" w:lineRule="auto"/>
        <w:jc w:val="both"/>
        <w:rPr>
          <w:rFonts w:ascii="Arial" w:hAnsi="Arial" w:cs="Arial"/>
        </w:rPr>
      </w:pPr>
    </w:p>
    <w:p w:rsidR="004C2D20" w:rsidRPr="009C7E48" w:rsidRDefault="004C2D20" w:rsidP="001337D7">
      <w:pPr>
        <w:pStyle w:val="BodyText"/>
        <w:numPr>
          <w:ilvl w:val="0"/>
          <w:numId w:val="1"/>
        </w:numPr>
        <w:autoSpaceDE w:val="0"/>
        <w:autoSpaceDN w:val="0"/>
        <w:adjustRightInd w:val="0"/>
        <w:spacing w:line="480" w:lineRule="auto"/>
        <w:ind w:left="0" w:firstLine="0"/>
        <w:jc w:val="both"/>
        <w:rPr>
          <w:rFonts w:ascii="Arial" w:hAnsi="Arial" w:cs="Arial"/>
        </w:rPr>
      </w:pPr>
      <w:r w:rsidRPr="009C7E48">
        <w:rPr>
          <w:rFonts w:ascii="Arial" w:hAnsi="Arial" w:cs="Arial"/>
        </w:rPr>
        <w:t xml:space="preserve">It needs to be stressed that when the respondent was discharged in </w:t>
      </w:r>
      <w:r w:rsidR="00E95454">
        <w:rPr>
          <w:rFonts w:ascii="Arial" w:hAnsi="Arial" w:cs="Arial"/>
        </w:rPr>
        <w:t xml:space="preserve">terms of </w:t>
      </w:r>
      <w:r w:rsidR="009B747B">
        <w:rPr>
          <w:rFonts w:ascii="Arial" w:hAnsi="Arial" w:cs="Arial"/>
        </w:rPr>
        <w:t xml:space="preserve">     </w:t>
      </w:r>
      <w:r w:rsidR="00E95454">
        <w:rPr>
          <w:rFonts w:ascii="Arial" w:hAnsi="Arial" w:cs="Arial"/>
        </w:rPr>
        <w:t xml:space="preserve">s 174 the </w:t>
      </w:r>
      <w:r w:rsidRPr="009C7E48">
        <w:rPr>
          <w:rFonts w:ascii="Arial" w:hAnsi="Arial" w:cs="Arial"/>
        </w:rPr>
        <w:t>criminal trial was</w:t>
      </w:r>
      <w:r w:rsidR="006F66EB" w:rsidRPr="009C7E48">
        <w:rPr>
          <w:rFonts w:ascii="Arial" w:hAnsi="Arial" w:cs="Arial"/>
        </w:rPr>
        <w:t xml:space="preserve"> in progress</w:t>
      </w:r>
      <w:r w:rsidR="00C21A99">
        <w:rPr>
          <w:rFonts w:ascii="Arial" w:hAnsi="Arial" w:cs="Arial"/>
        </w:rPr>
        <w:t xml:space="preserve"> </w:t>
      </w:r>
      <w:r w:rsidR="00AB0E4A">
        <w:rPr>
          <w:rFonts w:ascii="Arial" w:hAnsi="Arial" w:cs="Arial"/>
        </w:rPr>
        <w:t xml:space="preserve">because the </w:t>
      </w:r>
      <w:r w:rsidR="006F66EB" w:rsidRPr="009C7E48">
        <w:rPr>
          <w:rFonts w:ascii="Arial" w:hAnsi="Arial" w:cs="Arial"/>
        </w:rPr>
        <w:t xml:space="preserve">other </w:t>
      </w:r>
      <w:r w:rsidRPr="009C7E48">
        <w:rPr>
          <w:rFonts w:ascii="Arial" w:hAnsi="Arial" w:cs="Arial"/>
        </w:rPr>
        <w:t>accused persons who had been indicted together with the respondent had not tes</w:t>
      </w:r>
      <w:r w:rsidR="006F66EB" w:rsidRPr="009C7E48">
        <w:rPr>
          <w:rFonts w:ascii="Arial" w:hAnsi="Arial" w:cs="Arial"/>
        </w:rPr>
        <w:t xml:space="preserve">tified. </w:t>
      </w:r>
      <w:r w:rsidR="00D643BA" w:rsidRPr="009C7E48">
        <w:rPr>
          <w:rFonts w:ascii="Arial" w:hAnsi="Arial" w:cs="Arial"/>
        </w:rPr>
        <w:t xml:space="preserve">The appellants acquiesced with the </w:t>
      </w:r>
      <w:r w:rsidR="00FC1842">
        <w:rPr>
          <w:rFonts w:ascii="Arial" w:hAnsi="Arial" w:cs="Arial"/>
        </w:rPr>
        <w:t>c</w:t>
      </w:r>
      <w:r w:rsidR="00D643BA" w:rsidRPr="009C7E48">
        <w:rPr>
          <w:rFonts w:ascii="Arial" w:hAnsi="Arial" w:cs="Arial"/>
        </w:rPr>
        <w:t xml:space="preserve">ourt </w:t>
      </w:r>
      <w:r w:rsidR="00D643BA" w:rsidRPr="00FC1842">
        <w:rPr>
          <w:rFonts w:ascii="Arial" w:hAnsi="Arial" w:cs="Arial"/>
          <w:i/>
        </w:rPr>
        <w:t>a quo</w:t>
      </w:r>
      <w:r w:rsidR="00D643BA" w:rsidRPr="009C7E48">
        <w:rPr>
          <w:rFonts w:ascii="Arial" w:hAnsi="Arial" w:cs="Arial"/>
        </w:rPr>
        <w:t>’s findings that the prosecution did not act with malice in the initiation of the prosecution. I am unable to find any convincing reason indicative of malice on the part of the second appellant and her prosecutorial team that could have unequivocally tilted the balance in favour of the respondent on this aspect. At the very least</w:t>
      </w:r>
      <w:r w:rsidR="008729DE" w:rsidRPr="009C7E48">
        <w:rPr>
          <w:rFonts w:ascii="Arial" w:hAnsi="Arial" w:cs="Arial"/>
        </w:rPr>
        <w:t xml:space="preserve"> the </w:t>
      </w:r>
      <w:r w:rsidR="00FC1842">
        <w:rPr>
          <w:rFonts w:ascii="Arial" w:hAnsi="Arial" w:cs="Arial"/>
        </w:rPr>
        <w:t>c</w:t>
      </w:r>
      <w:r w:rsidR="00D643BA" w:rsidRPr="009C7E48">
        <w:rPr>
          <w:rFonts w:ascii="Arial" w:hAnsi="Arial" w:cs="Arial"/>
        </w:rPr>
        <w:t xml:space="preserve">ourt </w:t>
      </w:r>
      <w:r w:rsidR="00D643BA" w:rsidRPr="009C7E48">
        <w:rPr>
          <w:rFonts w:ascii="Arial" w:hAnsi="Arial" w:cs="Arial"/>
          <w:i/>
        </w:rPr>
        <w:t>a quo</w:t>
      </w:r>
      <w:r w:rsidR="00D643BA" w:rsidRPr="009C7E48">
        <w:rPr>
          <w:rFonts w:ascii="Arial" w:hAnsi="Arial" w:cs="Arial"/>
        </w:rPr>
        <w:t xml:space="preserve"> should</w:t>
      </w:r>
      <w:r w:rsidR="008729DE" w:rsidRPr="009C7E48">
        <w:rPr>
          <w:rFonts w:ascii="Arial" w:hAnsi="Arial" w:cs="Arial"/>
        </w:rPr>
        <w:t>, in the circumstances,</w:t>
      </w:r>
      <w:r w:rsidR="00D643BA" w:rsidRPr="009C7E48">
        <w:rPr>
          <w:rFonts w:ascii="Arial" w:hAnsi="Arial" w:cs="Arial"/>
        </w:rPr>
        <w:t xml:space="preserve"> have found that </w:t>
      </w:r>
      <w:r w:rsidR="008729DE" w:rsidRPr="009C7E48">
        <w:rPr>
          <w:rFonts w:ascii="Arial" w:hAnsi="Arial" w:cs="Arial"/>
        </w:rPr>
        <w:t xml:space="preserve">the said </w:t>
      </w:r>
      <w:r w:rsidR="0085593D" w:rsidRPr="009C7E48">
        <w:rPr>
          <w:rFonts w:ascii="Arial" w:hAnsi="Arial" w:cs="Arial"/>
        </w:rPr>
        <w:t xml:space="preserve">failure </w:t>
      </w:r>
      <w:r w:rsidR="008729DE" w:rsidRPr="009C7E48">
        <w:rPr>
          <w:rFonts w:ascii="Arial" w:hAnsi="Arial" w:cs="Arial"/>
        </w:rPr>
        <w:t xml:space="preserve">to </w:t>
      </w:r>
      <w:r w:rsidR="0085593D" w:rsidRPr="009C7E48">
        <w:rPr>
          <w:rFonts w:ascii="Arial" w:hAnsi="Arial" w:cs="Arial"/>
        </w:rPr>
        <w:t>evaluate</w:t>
      </w:r>
      <w:r w:rsidR="008729DE" w:rsidRPr="009C7E48">
        <w:rPr>
          <w:rFonts w:ascii="Arial" w:hAnsi="Arial" w:cs="Arial"/>
        </w:rPr>
        <w:t xml:space="preserve"> the evidence regularly</w:t>
      </w:r>
      <w:r w:rsidR="0085593D" w:rsidRPr="009C7E48">
        <w:rPr>
          <w:rFonts w:ascii="Arial" w:hAnsi="Arial" w:cs="Arial"/>
        </w:rPr>
        <w:t xml:space="preserve"> </w:t>
      </w:r>
      <w:r w:rsidR="004C68BF" w:rsidRPr="009C7E48">
        <w:rPr>
          <w:rFonts w:ascii="Arial" w:hAnsi="Arial" w:cs="Arial"/>
        </w:rPr>
        <w:t xml:space="preserve">and </w:t>
      </w:r>
      <w:r w:rsidR="00AB0E4A">
        <w:rPr>
          <w:rFonts w:ascii="Arial" w:hAnsi="Arial" w:cs="Arial"/>
        </w:rPr>
        <w:t xml:space="preserve">identify the respondent </w:t>
      </w:r>
      <w:r w:rsidR="009D0824">
        <w:rPr>
          <w:rFonts w:ascii="Arial" w:hAnsi="Arial" w:cs="Arial"/>
        </w:rPr>
        <w:t xml:space="preserve">constituted only </w:t>
      </w:r>
      <w:r w:rsidR="0085593D" w:rsidRPr="009C7E48">
        <w:rPr>
          <w:rFonts w:ascii="Arial" w:hAnsi="Arial" w:cs="Arial"/>
        </w:rPr>
        <w:t>indications of</w:t>
      </w:r>
      <w:r w:rsidR="008729DE" w:rsidRPr="009C7E48">
        <w:rPr>
          <w:rFonts w:ascii="Arial" w:hAnsi="Arial" w:cs="Arial"/>
        </w:rPr>
        <w:t xml:space="preserve"> simple bad judgment and</w:t>
      </w:r>
      <w:r w:rsidR="00AD6A7C">
        <w:rPr>
          <w:rFonts w:ascii="Arial" w:hAnsi="Arial" w:cs="Arial"/>
        </w:rPr>
        <w:t xml:space="preserve"> was</w:t>
      </w:r>
      <w:r w:rsidR="008729DE" w:rsidRPr="009C7E48">
        <w:rPr>
          <w:rFonts w:ascii="Arial" w:hAnsi="Arial" w:cs="Arial"/>
        </w:rPr>
        <w:t xml:space="preserve"> not indicative of malice.</w:t>
      </w:r>
      <w:r w:rsidR="0085593D" w:rsidRPr="009C7E48">
        <w:rPr>
          <w:rFonts w:ascii="Arial" w:hAnsi="Arial" w:cs="Arial"/>
        </w:rPr>
        <w:t xml:space="preserve"> </w:t>
      </w:r>
      <w:r w:rsidR="008D5517" w:rsidRPr="009C7E48">
        <w:rPr>
          <w:rFonts w:ascii="Arial" w:hAnsi="Arial" w:cs="Arial"/>
        </w:rPr>
        <w:t xml:space="preserve">Consequently, neither the </w:t>
      </w:r>
      <w:r w:rsidR="00FC1842">
        <w:rPr>
          <w:rFonts w:ascii="Arial" w:hAnsi="Arial" w:cs="Arial"/>
        </w:rPr>
        <w:t>c</w:t>
      </w:r>
      <w:r w:rsidR="009C7E48" w:rsidRPr="009C7E48">
        <w:rPr>
          <w:rFonts w:ascii="Arial" w:hAnsi="Arial" w:cs="Arial"/>
        </w:rPr>
        <w:t xml:space="preserve">ourt </w:t>
      </w:r>
      <w:r w:rsidR="009C7E48" w:rsidRPr="00FC1842">
        <w:rPr>
          <w:rFonts w:ascii="Arial" w:hAnsi="Arial" w:cs="Arial"/>
          <w:i/>
        </w:rPr>
        <w:t>a quo</w:t>
      </w:r>
      <w:r w:rsidR="009C7E48" w:rsidRPr="009C7E48">
        <w:rPr>
          <w:rFonts w:ascii="Arial" w:hAnsi="Arial" w:cs="Arial"/>
        </w:rPr>
        <w:t xml:space="preserve"> nor the respondent have, in my view, pointed to an improper </w:t>
      </w:r>
      <w:r w:rsidR="009D0824">
        <w:rPr>
          <w:rFonts w:ascii="Arial" w:hAnsi="Arial" w:cs="Arial"/>
        </w:rPr>
        <w:t xml:space="preserve">motive </w:t>
      </w:r>
      <w:r w:rsidR="009C7E48" w:rsidRPr="009C7E48">
        <w:rPr>
          <w:rFonts w:ascii="Arial" w:hAnsi="Arial" w:cs="Arial"/>
        </w:rPr>
        <w:t xml:space="preserve">to injure the respondent or malice on the part of the prosecution. </w:t>
      </w:r>
    </w:p>
    <w:p w:rsidR="006F66EB" w:rsidRDefault="006F66EB" w:rsidP="001337D7">
      <w:pPr>
        <w:pStyle w:val="BodyText"/>
        <w:autoSpaceDE w:val="0"/>
        <w:autoSpaceDN w:val="0"/>
        <w:adjustRightInd w:val="0"/>
        <w:spacing w:line="480" w:lineRule="auto"/>
        <w:jc w:val="both"/>
        <w:rPr>
          <w:rFonts w:ascii="Arial" w:hAnsi="Arial" w:cs="Arial"/>
        </w:rPr>
      </w:pPr>
    </w:p>
    <w:p w:rsidR="006F66EB" w:rsidRDefault="006F66EB"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lastRenderedPageBreak/>
        <w:t>In light of the fundamental flaws</w:t>
      </w:r>
      <w:r w:rsidR="00A42EF4">
        <w:rPr>
          <w:rFonts w:ascii="Arial" w:hAnsi="Arial" w:cs="Arial"/>
        </w:rPr>
        <w:t xml:space="preserve"> a </w:t>
      </w:r>
      <w:r w:rsidR="00A42EF4" w:rsidRPr="00A42EF4">
        <w:rPr>
          <w:rFonts w:ascii="Arial" w:hAnsi="Arial" w:cs="Arial"/>
          <w:i/>
        </w:rPr>
        <w:t>quo</w:t>
      </w:r>
      <w:r>
        <w:rPr>
          <w:rFonts w:ascii="Arial" w:hAnsi="Arial" w:cs="Arial"/>
        </w:rPr>
        <w:t xml:space="preserve"> </w:t>
      </w:r>
      <w:r w:rsidR="002F0509">
        <w:rPr>
          <w:rFonts w:ascii="Arial" w:hAnsi="Arial" w:cs="Arial"/>
        </w:rPr>
        <w:t xml:space="preserve">this </w:t>
      </w:r>
      <w:r w:rsidR="00733B80">
        <w:rPr>
          <w:rFonts w:ascii="Arial" w:hAnsi="Arial" w:cs="Arial"/>
        </w:rPr>
        <w:t>c</w:t>
      </w:r>
      <w:r w:rsidR="002F0509">
        <w:rPr>
          <w:rFonts w:ascii="Arial" w:hAnsi="Arial" w:cs="Arial"/>
        </w:rPr>
        <w:t xml:space="preserve">ourt is entitled, on the principles of </w:t>
      </w:r>
      <w:r w:rsidR="002F0509" w:rsidRPr="002F0509">
        <w:rPr>
          <w:rFonts w:ascii="Arial" w:hAnsi="Arial" w:cs="Arial"/>
          <w:i/>
        </w:rPr>
        <w:t>Dhlumayo</w:t>
      </w:r>
      <w:r w:rsidR="002F0509">
        <w:rPr>
          <w:rFonts w:ascii="Arial" w:hAnsi="Arial" w:cs="Arial"/>
        </w:rPr>
        <w:t xml:space="preserve">, to interfere with the </w:t>
      </w:r>
      <w:r w:rsidR="009D0824">
        <w:rPr>
          <w:rFonts w:ascii="Arial" w:hAnsi="Arial" w:cs="Arial"/>
        </w:rPr>
        <w:t xml:space="preserve">portion of the decision </w:t>
      </w:r>
      <w:r w:rsidR="002F0509" w:rsidRPr="00FC1842">
        <w:rPr>
          <w:rFonts w:ascii="Arial" w:hAnsi="Arial" w:cs="Arial"/>
          <w:i/>
        </w:rPr>
        <w:t>a quo</w:t>
      </w:r>
      <w:r w:rsidR="002F0509">
        <w:rPr>
          <w:rFonts w:ascii="Arial" w:hAnsi="Arial" w:cs="Arial"/>
        </w:rPr>
        <w:t xml:space="preserve"> which </w:t>
      </w:r>
      <w:r w:rsidR="009D0824">
        <w:rPr>
          <w:rFonts w:ascii="Arial" w:hAnsi="Arial" w:cs="Arial"/>
        </w:rPr>
        <w:t xml:space="preserve">is the </w:t>
      </w:r>
      <w:r w:rsidR="002F0509">
        <w:rPr>
          <w:rFonts w:ascii="Arial" w:hAnsi="Arial" w:cs="Arial"/>
        </w:rPr>
        <w:t xml:space="preserve">subject of this appeal. Needless to say, the </w:t>
      </w:r>
      <w:r>
        <w:rPr>
          <w:rFonts w:ascii="Arial" w:hAnsi="Arial" w:cs="Arial"/>
        </w:rPr>
        <w:t xml:space="preserve">appeal </w:t>
      </w:r>
      <w:r w:rsidR="002F0509">
        <w:rPr>
          <w:rFonts w:ascii="Arial" w:hAnsi="Arial" w:cs="Arial"/>
        </w:rPr>
        <w:t xml:space="preserve">should </w:t>
      </w:r>
      <w:r>
        <w:rPr>
          <w:rFonts w:ascii="Arial" w:hAnsi="Arial" w:cs="Arial"/>
        </w:rPr>
        <w:t>be upheld</w:t>
      </w:r>
      <w:r w:rsidR="00455650">
        <w:rPr>
          <w:rFonts w:ascii="Arial" w:hAnsi="Arial" w:cs="Arial"/>
        </w:rPr>
        <w:t xml:space="preserve"> also</w:t>
      </w:r>
      <w:r>
        <w:rPr>
          <w:rFonts w:ascii="Arial" w:hAnsi="Arial" w:cs="Arial"/>
        </w:rPr>
        <w:t xml:space="preserve"> on the decision </w:t>
      </w:r>
      <w:r w:rsidRPr="00455650">
        <w:rPr>
          <w:rFonts w:ascii="Arial" w:hAnsi="Arial" w:cs="Arial"/>
          <w:i/>
        </w:rPr>
        <w:t>a quo</w:t>
      </w:r>
      <w:r>
        <w:rPr>
          <w:rFonts w:ascii="Arial" w:hAnsi="Arial" w:cs="Arial"/>
        </w:rPr>
        <w:t xml:space="preserve"> regarding the issue of costs as ther</w:t>
      </w:r>
      <w:r w:rsidR="002F0509">
        <w:rPr>
          <w:rFonts w:ascii="Arial" w:hAnsi="Arial" w:cs="Arial"/>
        </w:rPr>
        <w:t xml:space="preserve">e was clearly no basis for same because the </w:t>
      </w:r>
      <w:r>
        <w:rPr>
          <w:rFonts w:ascii="Arial" w:hAnsi="Arial" w:cs="Arial"/>
        </w:rPr>
        <w:t xml:space="preserve">respondent was legally represented on instructions of the Director of Legal Aid. </w:t>
      </w:r>
      <w:r w:rsidR="00733B80">
        <w:rPr>
          <w:rFonts w:ascii="Arial" w:hAnsi="Arial" w:cs="Arial"/>
        </w:rPr>
        <w:t>This c</w:t>
      </w:r>
      <w:r w:rsidR="009D0824">
        <w:rPr>
          <w:rFonts w:ascii="Arial" w:hAnsi="Arial" w:cs="Arial"/>
        </w:rPr>
        <w:t>ourt, i</w:t>
      </w:r>
      <w:r>
        <w:rPr>
          <w:rFonts w:ascii="Arial" w:hAnsi="Arial" w:cs="Arial"/>
        </w:rPr>
        <w:t xml:space="preserve">n </w:t>
      </w:r>
      <w:r w:rsidRPr="006F66EB">
        <w:rPr>
          <w:rFonts w:ascii="Arial" w:hAnsi="Arial" w:cs="Arial"/>
          <w:i/>
        </w:rPr>
        <w:t>Mahupelo</w:t>
      </w:r>
      <w:r>
        <w:rPr>
          <w:rFonts w:ascii="Arial" w:hAnsi="Arial" w:cs="Arial"/>
        </w:rPr>
        <w:t>,</w:t>
      </w:r>
      <w:r>
        <w:rPr>
          <w:rStyle w:val="FootnoteReference"/>
          <w:rFonts w:ascii="Arial" w:hAnsi="Arial" w:cs="Arial"/>
        </w:rPr>
        <w:footnoteReference w:id="41"/>
      </w:r>
      <w:r w:rsidR="00F0381B">
        <w:rPr>
          <w:rFonts w:ascii="Arial" w:hAnsi="Arial" w:cs="Arial"/>
        </w:rPr>
        <w:t xml:space="preserve"> </w:t>
      </w:r>
      <w:r w:rsidR="002F0509">
        <w:rPr>
          <w:rFonts w:ascii="Arial" w:hAnsi="Arial" w:cs="Arial"/>
        </w:rPr>
        <w:t xml:space="preserve">correctly explained why the High Court in that matter </w:t>
      </w:r>
      <w:r w:rsidR="00F0381B">
        <w:rPr>
          <w:rFonts w:ascii="Arial" w:hAnsi="Arial" w:cs="Arial"/>
        </w:rPr>
        <w:t>ought not to have awarded costs against the appellants. Likewise</w:t>
      </w:r>
      <w:r w:rsidR="009D0824">
        <w:rPr>
          <w:rFonts w:ascii="Arial" w:hAnsi="Arial" w:cs="Arial"/>
        </w:rPr>
        <w:t xml:space="preserve">, </w:t>
      </w:r>
      <w:r w:rsidR="00F0381B">
        <w:rPr>
          <w:rFonts w:ascii="Arial" w:hAnsi="Arial" w:cs="Arial"/>
        </w:rPr>
        <w:t>there should be no order as to costs against the respondent</w:t>
      </w:r>
      <w:r w:rsidR="00420FAC">
        <w:rPr>
          <w:rFonts w:ascii="Arial" w:hAnsi="Arial" w:cs="Arial"/>
        </w:rPr>
        <w:t xml:space="preserve"> in this case.</w:t>
      </w:r>
    </w:p>
    <w:p w:rsidR="00455650" w:rsidRDefault="00455650" w:rsidP="001337D7">
      <w:pPr>
        <w:pStyle w:val="BodyText"/>
        <w:autoSpaceDE w:val="0"/>
        <w:autoSpaceDN w:val="0"/>
        <w:adjustRightInd w:val="0"/>
        <w:spacing w:line="480" w:lineRule="auto"/>
        <w:jc w:val="both"/>
        <w:rPr>
          <w:rFonts w:ascii="Arial" w:hAnsi="Arial" w:cs="Arial"/>
        </w:rPr>
      </w:pPr>
    </w:p>
    <w:p w:rsidR="00BF6603" w:rsidRPr="00BF6603" w:rsidRDefault="00BF6603" w:rsidP="001337D7">
      <w:pPr>
        <w:pStyle w:val="BodyText"/>
        <w:autoSpaceDE w:val="0"/>
        <w:autoSpaceDN w:val="0"/>
        <w:adjustRightInd w:val="0"/>
        <w:spacing w:line="480" w:lineRule="auto"/>
        <w:jc w:val="both"/>
        <w:rPr>
          <w:rFonts w:ascii="Arial" w:hAnsi="Arial" w:cs="Arial"/>
          <w:u w:val="single"/>
        </w:rPr>
      </w:pPr>
      <w:r w:rsidRPr="00BF6603">
        <w:rPr>
          <w:rFonts w:ascii="Arial" w:hAnsi="Arial" w:cs="Arial"/>
          <w:u w:val="single"/>
        </w:rPr>
        <w:t>Constitutional claim</w:t>
      </w:r>
    </w:p>
    <w:p w:rsidR="004F5A2C" w:rsidRDefault="00AF3358"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t xml:space="preserve">The </w:t>
      </w:r>
      <w:r w:rsidR="00BF6603">
        <w:rPr>
          <w:rFonts w:ascii="Arial" w:hAnsi="Arial" w:cs="Arial"/>
        </w:rPr>
        <w:t>respondent</w:t>
      </w:r>
      <w:r w:rsidR="00420FAC">
        <w:rPr>
          <w:rFonts w:ascii="Arial" w:hAnsi="Arial" w:cs="Arial"/>
        </w:rPr>
        <w:t>’s claims included also a</w:t>
      </w:r>
      <w:r>
        <w:rPr>
          <w:rFonts w:ascii="Arial" w:hAnsi="Arial" w:cs="Arial"/>
        </w:rPr>
        <w:t xml:space="preserve"> further alternative claim for the alleged violations of various constitutional right</w:t>
      </w:r>
      <w:r w:rsidR="00733B80">
        <w:rPr>
          <w:rFonts w:ascii="Arial" w:hAnsi="Arial" w:cs="Arial"/>
        </w:rPr>
        <w:t>s</w:t>
      </w:r>
      <w:r>
        <w:rPr>
          <w:rFonts w:ascii="Arial" w:hAnsi="Arial" w:cs="Arial"/>
        </w:rPr>
        <w:t xml:space="preserve"> and sought to recover constitutional damages</w:t>
      </w:r>
      <w:r w:rsidR="004465CB">
        <w:rPr>
          <w:rFonts w:ascii="Arial" w:hAnsi="Arial" w:cs="Arial"/>
        </w:rPr>
        <w:t xml:space="preserve"> </w:t>
      </w:r>
      <w:r>
        <w:rPr>
          <w:rFonts w:ascii="Arial" w:hAnsi="Arial" w:cs="Arial"/>
        </w:rPr>
        <w:t xml:space="preserve">in the sum of N$22 057 520 </w:t>
      </w:r>
      <w:r w:rsidR="003168F3">
        <w:rPr>
          <w:rFonts w:ascii="Arial" w:hAnsi="Arial" w:cs="Arial"/>
        </w:rPr>
        <w:t>based, among others, on the infringement of the respondent’s freedom of movement in terms of Art 2</w:t>
      </w:r>
      <w:r w:rsidR="003329FF">
        <w:rPr>
          <w:rFonts w:ascii="Arial" w:hAnsi="Arial" w:cs="Arial"/>
        </w:rPr>
        <w:t>1</w:t>
      </w:r>
      <w:r w:rsidR="003168F3">
        <w:rPr>
          <w:rFonts w:ascii="Arial" w:hAnsi="Arial" w:cs="Arial"/>
        </w:rPr>
        <w:t xml:space="preserve"> of the Constitution.</w:t>
      </w:r>
      <w:r w:rsidR="004465CB">
        <w:rPr>
          <w:rFonts w:ascii="Arial" w:hAnsi="Arial" w:cs="Arial"/>
        </w:rPr>
        <w:t xml:space="preserve"> In the written submissions the respondent </w:t>
      </w:r>
      <w:r w:rsidR="00D6576A">
        <w:rPr>
          <w:rFonts w:ascii="Arial" w:hAnsi="Arial" w:cs="Arial"/>
        </w:rPr>
        <w:t>argued that the prosecutors had constitutional obligations in terms of the Constitution.</w:t>
      </w:r>
      <w:r w:rsidR="00771182">
        <w:rPr>
          <w:rFonts w:ascii="Arial" w:hAnsi="Arial" w:cs="Arial"/>
        </w:rPr>
        <w:t xml:space="preserve"> In light of its findings regarding the alternative claim </w:t>
      </w:r>
      <w:r w:rsidR="000D740A">
        <w:rPr>
          <w:rFonts w:ascii="Arial" w:hAnsi="Arial" w:cs="Arial"/>
        </w:rPr>
        <w:t xml:space="preserve">for malicious continuation of the prosecution </w:t>
      </w:r>
      <w:r w:rsidR="00771182">
        <w:rPr>
          <w:rFonts w:ascii="Arial" w:hAnsi="Arial" w:cs="Arial"/>
        </w:rPr>
        <w:t xml:space="preserve">the </w:t>
      </w:r>
      <w:r w:rsidR="005712D1">
        <w:rPr>
          <w:rFonts w:ascii="Arial" w:hAnsi="Arial" w:cs="Arial"/>
        </w:rPr>
        <w:t xml:space="preserve">High Court </w:t>
      </w:r>
      <w:r w:rsidR="000D740A">
        <w:rPr>
          <w:rFonts w:ascii="Arial" w:hAnsi="Arial" w:cs="Arial"/>
        </w:rPr>
        <w:t xml:space="preserve">considered it </w:t>
      </w:r>
      <w:r w:rsidR="00771182">
        <w:rPr>
          <w:rFonts w:ascii="Arial" w:hAnsi="Arial" w:cs="Arial"/>
        </w:rPr>
        <w:t xml:space="preserve">unnecessary to </w:t>
      </w:r>
      <w:r w:rsidR="000D740A">
        <w:rPr>
          <w:rFonts w:ascii="Arial" w:hAnsi="Arial" w:cs="Arial"/>
        </w:rPr>
        <w:t xml:space="preserve">pronounce on the further claim involving </w:t>
      </w:r>
      <w:r w:rsidR="00771182">
        <w:rPr>
          <w:rFonts w:ascii="Arial" w:hAnsi="Arial" w:cs="Arial"/>
        </w:rPr>
        <w:t>the alleged infringement of the respondent’s</w:t>
      </w:r>
      <w:r w:rsidR="00DE2018">
        <w:rPr>
          <w:rFonts w:ascii="Arial" w:hAnsi="Arial" w:cs="Arial"/>
        </w:rPr>
        <w:t xml:space="preserve"> </w:t>
      </w:r>
      <w:r w:rsidR="00771182">
        <w:rPr>
          <w:rFonts w:ascii="Arial" w:hAnsi="Arial" w:cs="Arial"/>
        </w:rPr>
        <w:t>constitutional rights.</w:t>
      </w:r>
      <w:r w:rsidR="00771182">
        <w:rPr>
          <w:rStyle w:val="FootnoteReference"/>
          <w:rFonts w:ascii="Arial" w:hAnsi="Arial" w:cs="Arial"/>
        </w:rPr>
        <w:footnoteReference w:id="42"/>
      </w:r>
      <w:r w:rsidR="003168F3">
        <w:rPr>
          <w:rFonts w:ascii="Arial" w:hAnsi="Arial" w:cs="Arial"/>
        </w:rPr>
        <w:t xml:space="preserve"> For the same reasons </w:t>
      </w:r>
      <w:r w:rsidR="000D740A">
        <w:rPr>
          <w:rFonts w:ascii="Arial" w:hAnsi="Arial" w:cs="Arial"/>
        </w:rPr>
        <w:t xml:space="preserve">pronounced </w:t>
      </w:r>
      <w:r w:rsidR="00554E8F">
        <w:rPr>
          <w:rFonts w:ascii="Arial" w:hAnsi="Arial" w:cs="Arial"/>
        </w:rPr>
        <w:t xml:space="preserve">in </w:t>
      </w:r>
      <w:r w:rsidR="00554E8F" w:rsidRPr="00554E8F">
        <w:rPr>
          <w:rFonts w:ascii="Arial" w:hAnsi="Arial" w:cs="Arial"/>
          <w:i/>
        </w:rPr>
        <w:t>Mahupelo</w:t>
      </w:r>
      <w:r w:rsidR="00554E8F">
        <w:rPr>
          <w:rFonts w:ascii="Arial" w:hAnsi="Arial" w:cs="Arial"/>
        </w:rPr>
        <w:t>,</w:t>
      </w:r>
      <w:r w:rsidR="00554E8F">
        <w:rPr>
          <w:rStyle w:val="FootnoteReference"/>
          <w:rFonts w:ascii="Arial" w:hAnsi="Arial" w:cs="Arial"/>
        </w:rPr>
        <w:footnoteReference w:id="43"/>
      </w:r>
      <w:r w:rsidR="00554E8F">
        <w:rPr>
          <w:rFonts w:ascii="Arial" w:hAnsi="Arial" w:cs="Arial"/>
        </w:rPr>
        <w:t xml:space="preserve"> </w:t>
      </w:r>
      <w:r w:rsidR="00F71CAC">
        <w:rPr>
          <w:rFonts w:ascii="Arial" w:hAnsi="Arial" w:cs="Arial"/>
        </w:rPr>
        <w:t>regarding the</w:t>
      </w:r>
      <w:r w:rsidR="000D740A">
        <w:rPr>
          <w:rFonts w:ascii="Arial" w:hAnsi="Arial" w:cs="Arial"/>
        </w:rPr>
        <w:t xml:space="preserve"> determination of the constitutional claim, </w:t>
      </w:r>
      <w:r w:rsidR="00F71CAC">
        <w:rPr>
          <w:rFonts w:ascii="Arial" w:hAnsi="Arial" w:cs="Arial"/>
        </w:rPr>
        <w:t>I would</w:t>
      </w:r>
      <w:r w:rsidR="004F5A2C">
        <w:rPr>
          <w:rFonts w:ascii="Arial" w:hAnsi="Arial" w:cs="Arial"/>
        </w:rPr>
        <w:t xml:space="preserve"> remit the matter to the High Court.</w:t>
      </w:r>
    </w:p>
    <w:p w:rsidR="004F5A2C" w:rsidRDefault="004F5A2C" w:rsidP="001337D7">
      <w:pPr>
        <w:pStyle w:val="BodyText"/>
        <w:autoSpaceDE w:val="0"/>
        <w:autoSpaceDN w:val="0"/>
        <w:adjustRightInd w:val="0"/>
        <w:spacing w:line="480" w:lineRule="auto"/>
        <w:jc w:val="both"/>
        <w:rPr>
          <w:rFonts w:ascii="Arial" w:hAnsi="Arial" w:cs="Arial"/>
        </w:rPr>
      </w:pPr>
    </w:p>
    <w:p w:rsidR="004F5A2C" w:rsidRPr="004F5A2C" w:rsidRDefault="004F5A2C" w:rsidP="001337D7">
      <w:pPr>
        <w:pStyle w:val="BodyText"/>
        <w:autoSpaceDE w:val="0"/>
        <w:autoSpaceDN w:val="0"/>
        <w:adjustRightInd w:val="0"/>
        <w:spacing w:line="480" w:lineRule="auto"/>
        <w:jc w:val="both"/>
        <w:rPr>
          <w:rFonts w:ascii="Arial" w:hAnsi="Arial" w:cs="Arial"/>
          <w:u w:val="single"/>
        </w:rPr>
      </w:pPr>
      <w:r w:rsidRPr="004F5A2C">
        <w:rPr>
          <w:rFonts w:ascii="Arial" w:hAnsi="Arial" w:cs="Arial"/>
          <w:u w:val="single"/>
        </w:rPr>
        <w:lastRenderedPageBreak/>
        <w:t>Order</w:t>
      </w:r>
    </w:p>
    <w:p w:rsidR="00455650" w:rsidRDefault="004F5A2C" w:rsidP="001337D7">
      <w:pPr>
        <w:pStyle w:val="BodyText"/>
        <w:numPr>
          <w:ilvl w:val="0"/>
          <w:numId w:val="1"/>
        </w:numPr>
        <w:autoSpaceDE w:val="0"/>
        <w:autoSpaceDN w:val="0"/>
        <w:adjustRightInd w:val="0"/>
        <w:spacing w:line="480" w:lineRule="auto"/>
        <w:ind w:left="0" w:firstLine="0"/>
        <w:jc w:val="both"/>
        <w:rPr>
          <w:rFonts w:ascii="Arial" w:hAnsi="Arial" w:cs="Arial"/>
        </w:rPr>
      </w:pPr>
      <w:r>
        <w:rPr>
          <w:rFonts w:ascii="Arial" w:hAnsi="Arial" w:cs="Arial"/>
        </w:rPr>
        <w:t>In the event, the following order is made:</w:t>
      </w:r>
    </w:p>
    <w:p w:rsidR="00733B80" w:rsidRDefault="00733B80" w:rsidP="00CC4D0B">
      <w:pPr>
        <w:pStyle w:val="BodyText"/>
        <w:autoSpaceDE w:val="0"/>
        <w:autoSpaceDN w:val="0"/>
        <w:adjustRightInd w:val="0"/>
        <w:spacing w:line="480" w:lineRule="auto"/>
        <w:jc w:val="both"/>
        <w:rPr>
          <w:rFonts w:ascii="Arial" w:hAnsi="Arial" w:cs="Arial"/>
        </w:rPr>
      </w:pPr>
    </w:p>
    <w:p w:rsidR="004F5A2C" w:rsidRDefault="00733B80" w:rsidP="00733B80">
      <w:pPr>
        <w:pStyle w:val="BodyText"/>
        <w:autoSpaceDE w:val="0"/>
        <w:autoSpaceDN w:val="0"/>
        <w:adjustRightInd w:val="0"/>
        <w:spacing w:line="480" w:lineRule="auto"/>
        <w:ind w:firstLine="720"/>
        <w:jc w:val="both"/>
        <w:rPr>
          <w:rFonts w:ascii="Arial" w:hAnsi="Arial" w:cs="Arial"/>
        </w:rPr>
      </w:pPr>
      <w:r>
        <w:rPr>
          <w:rFonts w:ascii="Arial" w:hAnsi="Arial" w:cs="Arial"/>
        </w:rPr>
        <w:t>(a)</w:t>
      </w:r>
      <w:r>
        <w:rPr>
          <w:rFonts w:ascii="Arial" w:hAnsi="Arial" w:cs="Arial"/>
        </w:rPr>
        <w:tab/>
      </w:r>
      <w:r w:rsidR="00054F0E">
        <w:rPr>
          <w:rFonts w:ascii="Arial" w:hAnsi="Arial" w:cs="Arial"/>
        </w:rPr>
        <w:t>The appeal is upheld in part.</w:t>
      </w:r>
    </w:p>
    <w:p w:rsidR="00733B80" w:rsidRDefault="00733B80" w:rsidP="00733B80">
      <w:pPr>
        <w:pStyle w:val="BodyText"/>
        <w:autoSpaceDE w:val="0"/>
        <w:autoSpaceDN w:val="0"/>
        <w:adjustRightInd w:val="0"/>
        <w:spacing w:line="480" w:lineRule="auto"/>
        <w:jc w:val="both"/>
        <w:rPr>
          <w:rFonts w:ascii="Arial" w:hAnsi="Arial" w:cs="Arial"/>
        </w:rPr>
      </w:pPr>
    </w:p>
    <w:p w:rsidR="009D0824" w:rsidRDefault="00733B80" w:rsidP="00733B80">
      <w:pPr>
        <w:pStyle w:val="BodyText"/>
        <w:autoSpaceDE w:val="0"/>
        <w:autoSpaceDN w:val="0"/>
        <w:adjustRightInd w:val="0"/>
        <w:spacing w:line="480" w:lineRule="auto"/>
        <w:ind w:left="1440" w:hanging="720"/>
        <w:jc w:val="both"/>
        <w:rPr>
          <w:rFonts w:ascii="Arial" w:hAnsi="Arial" w:cs="Arial"/>
        </w:rPr>
      </w:pPr>
      <w:r>
        <w:rPr>
          <w:rFonts w:ascii="Arial" w:hAnsi="Arial" w:cs="Arial"/>
        </w:rPr>
        <w:t>(b)</w:t>
      </w:r>
      <w:r>
        <w:rPr>
          <w:rFonts w:ascii="Arial" w:hAnsi="Arial" w:cs="Arial"/>
        </w:rPr>
        <w:tab/>
      </w:r>
      <w:r w:rsidR="009D0824">
        <w:rPr>
          <w:rFonts w:ascii="Arial" w:hAnsi="Arial" w:cs="Arial"/>
        </w:rPr>
        <w:t>The portion</w:t>
      </w:r>
      <w:r w:rsidR="00BF5E8F">
        <w:rPr>
          <w:rFonts w:ascii="Arial" w:hAnsi="Arial" w:cs="Arial"/>
        </w:rPr>
        <w:t>s</w:t>
      </w:r>
      <w:r w:rsidR="00FC1842">
        <w:rPr>
          <w:rFonts w:ascii="Arial" w:hAnsi="Arial" w:cs="Arial"/>
        </w:rPr>
        <w:t xml:space="preserve"> of the order of the c</w:t>
      </w:r>
      <w:r w:rsidR="009D0824">
        <w:rPr>
          <w:rFonts w:ascii="Arial" w:hAnsi="Arial" w:cs="Arial"/>
        </w:rPr>
        <w:t xml:space="preserve">ourt </w:t>
      </w:r>
      <w:r w:rsidR="009D0824" w:rsidRPr="00FC1842">
        <w:rPr>
          <w:rFonts w:ascii="Arial" w:hAnsi="Arial" w:cs="Arial"/>
          <w:i/>
        </w:rPr>
        <w:t>a quo</w:t>
      </w:r>
      <w:r w:rsidR="009D0824">
        <w:rPr>
          <w:rFonts w:ascii="Arial" w:hAnsi="Arial" w:cs="Arial"/>
        </w:rPr>
        <w:t xml:space="preserve"> upholding the respondent’s alternative claim with costs based on malicious continuation of the prosecution without reasonable and probable cause </w:t>
      </w:r>
      <w:r w:rsidR="00BF5E8F">
        <w:rPr>
          <w:rFonts w:ascii="Arial" w:hAnsi="Arial" w:cs="Arial"/>
        </w:rPr>
        <w:t>are</w:t>
      </w:r>
      <w:r w:rsidR="009D0824">
        <w:rPr>
          <w:rFonts w:ascii="Arial" w:hAnsi="Arial" w:cs="Arial"/>
        </w:rPr>
        <w:t xml:space="preserve"> set aside and substituted with the following order:</w:t>
      </w:r>
    </w:p>
    <w:p w:rsidR="00733B80" w:rsidRDefault="00733B80" w:rsidP="009D0824">
      <w:pPr>
        <w:pStyle w:val="BodyText"/>
        <w:autoSpaceDE w:val="0"/>
        <w:autoSpaceDN w:val="0"/>
        <w:adjustRightInd w:val="0"/>
        <w:spacing w:line="480" w:lineRule="auto"/>
        <w:ind w:left="1080"/>
        <w:jc w:val="both"/>
        <w:rPr>
          <w:rFonts w:ascii="Arial" w:hAnsi="Arial" w:cs="Arial"/>
        </w:rPr>
      </w:pPr>
    </w:p>
    <w:p w:rsidR="009D0824" w:rsidRDefault="001337D7" w:rsidP="00733B80">
      <w:pPr>
        <w:pStyle w:val="BodyText"/>
        <w:autoSpaceDE w:val="0"/>
        <w:autoSpaceDN w:val="0"/>
        <w:adjustRightInd w:val="0"/>
        <w:spacing w:line="480" w:lineRule="auto"/>
        <w:ind w:left="2160" w:hanging="720"/>
        <w:jc w:val="both"/>
        <w:rPr>
          <w:rFonts w:ascii="Arial" w:hAnsi="Arial" w:cs="Arial"/>
        </w:rPr>
      </w:pPr>
      <w:r>
        <w:rPr>
          <w:rFonts w:ascii="Arial" w:hAnsi="Arial" w:cs="Arial"/>
        </w:rPr>
        <w:t>‘(i</w:t>
      </w:r>
      <w:r w:rsidR="009D0824">
        <w:rPr>
          <w:rFonts w:ascii="Arial" w:hAnsi="Arial" w:cs="Arial"/>
        </w:rPr>
        <w:t>)</w:t>
      </w:r>
      <w:r w:rsidR="009D0824">
        <w:rPr>
          <w:rFonts w:ascii="Arial" w:hAnsi="Arial" w:cs="Arial"/>
        </w:rPr>
        <w:tab/>
        <w:t>The plaintiff’s alternative claim based on malicious continuation of prosecution without reasonable and probable cause is di</w:t>
      </w:r>
      <w:r w:rsidR="00BF5E8F">
        <w:rPr>
          <w:rFonts w:ascii="Arial" w:hAnsi="Arial" w:cs="Arial"/>
        </w:rPr>
        <w:t>smissed.’</w:t>
      </w:r>
    </w:p>
    <w:p w:rsidR="00733B80" w:rsidRDefault="00733B80" w:rsidP="00733B80">
      <w:pPr>
        <w:pStyle w:val="BodyText"/>
        <w:autoSpaceDE w:val="0"/>
        <w:autoSpaceDN w:val="0"/>
        <w:adjustRightInd w:val="0"/>
        <w:spacing w:line="480" w:lineRule="auto"/>
        <w:jc w:val="both"/>
        <w:rPr>
          <w:rFonts w:ascii="Arial" w:hAnsi="Arial" w:cs="Arial"/>
        </w:rPr>
      </w:pPr>
    </w:p>
    <w:p w:rsidR="00054F0E" w:rsidRDefault="00733B80" w:rsidP="00733B80">
      <w:pPr>
        <w:pStyle w:val="BodyText"/>
        <w:autoSpaceDE w:val="0"/>
        <w:autoSpaceDN w:val="0"/>
        <w:adjustRightInd w:val="0"/>
        <w:spacing w:line="480" w:lineRule="auto"/>
        <w:ind w:left="1440" w:hanging="720"/>
        <w:jc w:val="both"/>
        <w:rPr>
          <w:rFonts w:ascii="Arial" w:hAnsi="Arial" w:cs="Arial"/>
        </w:rPr>
      </w:pPr>
      <w:r>
        <w:rPr>
          <w:rFonts w:ascii="Arial" w:hAnsi="Arial" w:cs="Arial"/>
        </w:rPr>
        <w:t>(c)</w:t>
      </w:r>
      <w:r>
        <w:rPr>
          <w:rFonts w:ascii="Arial" w:hAnsi="Arial" w:cs="Arial"/>
        </w:rPr>
        <w:tab/>
      </w:r>
      <w:r w:rsidR="00054F0E">
        <w:rPr>
          <w:rFonts w:ascii="Arial" w:hAnsi="Arial" w:cs="Arial"/>
        </w:rPr>
        <w:t>The question regarding the constitutional claim is referred back to the High Court for determination in accordance with case management rules before any Judge in the event that the Judge who presided over the matter in the Hig</w:t>
      </w:r>
      <w:r w:rsidR="005712D1">
        <w:rPr>
          <w:rFonts w:ascii="Arial" w:hAnsi="Arial" w:cs="Arial"/>
        </w:rPr>
        <w:t>h Court is no longer available.</w:t>
      </w:r>
    </w:p>
    <w:p w:rsidR="00733B80" w:rsidRDefault="00733B80" w:rsidP="00733B80">
      <w:pPr>
        <w:pStyle w:val="BodyText"/>
        <w:autoSpaceDE w:val="0"/>
        <w:autoSpaceDN w:val="0"/>
        <w:adjustRightInd w:val="0"/>
        <w:spacing w:line="480" w:lineRule="auto"/>
        <w:jc w:val="both"/>
        <w:rPr>
          <w:rFonts w:ascii="Arial" w:hAnsi="Arial" w:cs="Arial"/>
        </w:rPr>
      </w:pPr>
    </w:p>
    <w:p w:rsidR="002A6FA8" w:rsidRDefault="00733B80" w:rsidP="00733B80">
      <w:pPr>
        <w:pStyle w:val="BodyText"/>
        <w:autoSpaceDE w:val="0"/>
        <w:autoSpaceDN w:val="0"/>
        <w:adjustRightInd w:val="0"/>
        <w:spacing w:line="480" w:lineRule="auto"/>
        <w:ind w:firstLine="720"/>
        <w:jc w:val="both"/>
        <w:rPr>
          <w:rFonts w:ascii="Arial" w:hAnsi="Arial" w:cs="Arial"/>
        </w:rPr>
      </w:pPr>
      <w:r>
        <w:rPr>
          <w:rFonts w:ascii="Arial" w:hAnsi="Arial" w:cs="Arial"/>
        </w:rPr>
        <w:t>(d)</w:t>
      </w:r>
      <w:r>
        <w:rPr>
          <w:rFonts w:ascii="Arial" w:hAnsi="Arial" w:cs="Arial"/>
        </w:rPr>
        <w:tab/>
      </w:r>
      <w:r w:rsidR="00054F0E">
        <w:rPr>
          <w:rFonts w:ascii="Arial" w:hAnsi="Arial" w:cs="Arial"/>
        </w:rPr>
        <w:t>There is no order as to costs.</w:t>
      </w:r>
    </w:p>
    <w:p w:rsidR="00460267" w:rsidRDefault="00460267" w:rsidP="005D5EEF">
      <w:pPr>
        <w:pStyle w:val="BodyText"/>
        <w:autoSpaceDE w:val="0"/>
        <w:autoSpaceDN w:val="0"/>
        <w:adjustRightInd w:val="0"/>
        <w:spacing w:line="480" w:lineRule="auto"/>
        <w:jc w:val="both"/>
        <w:rPr>
          <w:rFonts w:ascii="Arial" w:hAnsi="Arial" w:cs="Arial"/>
        </w:rPr>
      </w:pPr>
    </w:p>
    <w:p w:rsidR="00733B80" w:rsidRDefault="00733B80" w:rsidP="005D5EEF">
      <w:pPr>
        <w:pStyle w:val="BodyText"/>
        <w:autoSpaceDE w:val="0"/>
        <w:autoSpaceDN w:val="0"/>
        <w:adjustRightInd w:val="0"/>
        <w:spacing w:line="480" w:lineRule="auto"/>
        <w:jc w:val="both"/>
        <w:rPr>
          <w:rFonts w:ascii="Arial" w:hAnsi="Arial" w:cs="Arial"/>
        </w:rPr>
      </w:pPr>
    </w:p>
    <w:p w:rsidR="0068614E" w:rsidRDefault="00B11FA0" w:rsidP="00733B80">
      <w:pPr>
        <w:pStyle w:val="BodyText"/>
        <w:autoSpaceDE w:val="0"/>
        <w:autoSpaceDN w:val="0"/>
        <w:adjustRightInd w:val="0"/>
        <w:spacing w:line="276" w:lineRule="auto"/>
        <w:jc w:val="both"/>
        <w:rPr>
          <w:rFonts w:ascii="Arial" w:hAnsi="Arial" w:cs="Arial"/>
        </w:rPr>
      </w:pPr>
      <w:r>
        <w:rPr>
          <w:rFonts w:ascii="Arial" w:hAnsi="Arial" w:cs="Arial"/>
        </w:rPr>
        <w:t>____________________</w:t>
      </w:r>
    </w:p>
    <w:p w:rsidR="00B11FA0" w:rsidRPr="00733B80" w:rsidRDefault="00B11FA0" w:rsidP="00733B80">
      <w:pPr>
        <w:pStyle w:val="BodyText"/>
        <w:autoSpaceDE w:val="0"/>
        <w:autoSpaceDN w:val="0"/>
        <w:adjustRightInd w:val="0"/>
        <w:spacing w:line="276" w:lineRule="auto"/>
        <w:jc w:val="both"/>
        <w:rPr>
          <w:rFonts w:ascii="Arial" w:hAnsi="Arial" w:cs="Arial"/>
          <w:b/>
        </w:rPr>
      </w:pPr>
      <w:r w:rsidRPr="00733B80">
        <w:rPr>
          <w:rFonts w:ascii="Arial" w:hAnsi="Arial" w:cs="Arial"/>
          <w:b/>
        </w:rPr>
        <w:t>NKABINDE AJA</w:t>
      </w:r>
    </w:p>
    <w:p w:rsidR="005D5EEF" w:rsidRDefault="005D5EEF" w:rsidP="00CC4D0B">
      <w:pPr>
        <w:pStyle w:val="BodyText"/>
        <w:autoSpaceDE w:val="0"/>
        <w:autoSpaceDN w:val="0"/>
        <w:adjustRightInd w:val="0"/>
        <w:spacing w:line="480" w:lineRule="auto"/>
        <w:jc w:val="both"/>
        <w:rPr>
          <w:rFonts w:ascii="Arial" w:hAnsi="Arial" w:cs="Arial"/>
        </w:rPr>
      </w:pPr>
    </w:p>
    <w:p w:rsidR="005D5EEF" w:rsidRDefault="005D5EEF" w:rsidP="00CC4D0B">
      <w:pPr>
        <w:pStyle w:val="BodyText"/>
        <w:autoSpaceDE w:val="0"/>
        <w:autoSpaceDN w:val="0"/>
        <w:adjustRightInd w:val="0"/>
        <w:spacing w:line="480" w:lineRule="auto"/>
        <w:jc w:val="both"/>
        <w:rPr>
          <w:rFonts w:ascii="Arial" w:hAnsi="Arial" w:cs="Arial"/>
        </w:rPr>
      </w:pPr>
    </w:p>
    <w:p w:rsidR="00733B80" w:rsidRDefault="00733B80" w:rsidP="00733B80">
      <w:pPr>
        <w:pStyle w:val="BodyText"/>
        <w:autoSpaceDE w:val="0"/>
        <w:autoSpaceDN w:val="0"/>
        <w:adjustRightInd w:val="0"/>
        <w:spacing w:line="276" w:lineRule="auto"/>
        <w:jc w:val="both"/>
        <w:rPr>
          <w:rFonts w:ascii="Arial" w:hAnsi="Arial" w:cs="Arial"/>
        </w:rPr>
      </w:pPr>
    </w:p>
    <w:p w:rsidR="00733B80" w:rsidRDefault="00733B80" w:rsidP="00733B80">
      <w:pPr>
        <w:pStyle w:val="BodyText"/>
        <w:autoSpaceDE w:val="0"/>
        <w:autoSpaceDN w:val="0"/>
        <w:adjustRightInd w:val="0"/>
        <w:spacing w:line="276" w:lineRule="auto"/>
        <w:jc w:val="both"/>
        <w:rPr>
          <w:rFonts w:ascii="Arial" w:hAnsi="Arial" w:cs="Arial"/>
        </w:rPr>
      </w:pPr>
    </w:p>
    <w:p w:rsidR="00B11FA0" w:rsidRDefault="00B11FA0" w:rsidP="00733B80">
      <w:pPr>
        <w:pStyle w:val="BodyText"/>
        <w:autoSpaceDE w:val="0"/>
        <w:autoSpaceDN w:val="0"/>
        <w:adjustRightInd w:val="0"/>
        <w:spacing w:line="276" w:lineRule="auto"/>
        <w:jc w:val="both"/>
        <w:rPr>
          <w:rFonts w:ascii="Arial" w:hAnsi="Arial" w:cs="Arial"/>
        </w:rPr>
      </w:pPr>
      <w:r>
        <w:rPr>
          <w:rFonts w:ascii="Arial" w:hAnsi="Arial" w:cs="Arial"/>
        </w:rPr>
        <w:t>_____________________</w:t>
      </w:r>
    </w:p>
    <w:p w:rsidR="00B11FA0" w:rsidRPr="00733B80" w:rsidRDefault="00B11FA0" w:rsidP="00733B80">
      <w:pPr>
        <w:pStyle w:val="BodyText"/>
        <w:autoSpaceDE w:val="0"/>
        <w:autoSpaceDN w:val="0"/>
        <w:adjustRightInd w:val="0"/>
        <w:spacing w:line="276" w:lineRule="auto"/>
        <w:jc w:val="both"/>
        <w:rPr>
          <w:rFonts w:ascii="Arial" w:hAnsi="Arial" w:cs="Arial"/>
          <w:b/>
        </w:rPr>
      </w:pPr>
      <w:r w:rsidRPr="00733B80">
        <w:rPr>
          <w:rFonts w:ascii="Arial" w:hAnsi="Arial" w:cs="Arial"/>
          <w:b/>
        </w:rPr>
        <w:t>SHIVUTE CJ</w:t>
      </w:r>
    </w:p>
    <w:p w:rsidR="00460267" w:rsidRDefault="00460267" w:rsidP="00733B80">
      <w:pPr>
        <w:pStyle w:val="BodyText"/>
        <w:autoSpaceDE w:val="0"/>
        <w:autoSpaceDN w:val="0"/>
        <w:adjustRightInd w:val="0"/>
        <w:spacing w:line="276" w:lineRule="auto"/>
        <w:jc w:val="both"/>
        <w:rPr>
          <w:rFonts w:ascii="Arial" w:hAnsi="Arial" w:cs="Arial"/>
        </w:rPr>
      </w:pPr>
    </w:p>
    <w:p w:rsidR="005D5EEF" w:rsidRDefault="005D5EEF" w:rsidP="00733B80">
      <w:pPr>
        <w:pStyle w:val="BodyText"/>
        <w:autoSpaceDE w:val="0"/>
        <w:autoSpaceDN w:val="0"/>
        <w:adjustRightInd w:val="0"/>
        <w:spacing w:line="276" w:lineRule="auto"/>
        <w:jc w:val="both"/>
        <w:rPr>
          <w:rFonts w:ascii="Arial" w:hAnsi="Arial" w:cs="Arial"/>
        </w:rPr>
      </w:pPr>
    </w:p>
    <w:p w:rsidR="00733B80" w:rsidRDefault="00733B80" w:rsidP="00733B80">
      <w:pPr>
        <w:pStyle w:val="BodyText"/>
        <w:autoSpaceDE w:val="0"/>
        <w:autoSpaceDN w:val="0"/>
        <w:adjustRightInd w:val="0"/>
        <w:spacing w:line="276" w:lineRule="auto"/>
        <w:jc w:val="both"/>
        <w:rPr>
          <w:noProof/>
          <w:lang w:val="en-ZA" w:eastAsia="en-ZA"/>
        </w:rPr>
      </w:pPr>
    </w:p>
    <w:p w:rsidR="00B25385" w:rsidRDefault="00B25385" w:rsidP="00733B80">
      <w:pPr>
        <w:pStyle w:val="BodyText"/>
        <w:autoSpaceDE w:val="0"/>
        <w:autoSpaceDN w:val="0"/>
        <w:adjustRightInd w:val="0"/>
        <w:spacing w:line="276" w:lineRule="auto"/>
        <w:jc w:val="both"/>
        <w:rPr>
          <w:rFonts w:ascii="Arial" w:hAnsi="Arial" w:cs="Arial"/>
        </w:rPr>
      </w:pPr>
    </w:p>
    <w:p w:rsidR="00460267" w:rsidRPr="00733B80" w:rsidRDefault="00B11FA0" w:rsidP="00733B80">
      <w:pPr>
        <w:pStyle w:val="BodyText"/>
        <w:autoSpaceDE w:val="0"/>
        <w:autoSpaceDN w:val="0"/>
        <w:adjustRightInd w:val="0"/>
        <w:spacing w:line="276" w:lineRule="auto"/>
        <w:jc w:val="both"/>
        <w:rPr>
          <w:rFonts w:ascii="Arial" w:hAnsi="Arial" w:cs="Arial"/>
          <w:b/>
        </w:rPr>
      </w:pPr>
      <w:r>
        <w:rPr>
          <w:rFonts w:ascii="Arial" w:hAnsi="Arial" w:cs="Arial"/>
        </w:rPr>
        <w:t>______________________</w:t>
      </w:r>
      <w:r>
        <w:rPr>
          <w:rFonts w:ascii="Arial" w:hAnsi="Arial" w:cs="Arial"/>
        </w:rPr>
        <w:br/>
      </w:r>
      <w:r w:rsidRPr="00733B80">
        <w:rPr>
          <w:rFonts w:ascii="Arial" w:hAnsi="Arial" w:cs="Arial"/>
          <w:b/>
        </w:rPr>
        <w:t>MOKGORO AJA</w:t>
      </w:r>
    </w:p>
    <w:p w:rsidR="005D5EEF" w:rsidRDefault="005D5EEF" w:rsidP="00CC4D0B">
      <w:pPr>
        <w:pStyle w:val="BodyText"/>
        <w:autoSpaceDE w:val="0"/>
        <w:autoSpaceDN w:val="0"/>
        <w:adjustRightInd w:val="0"/>
        <w:spacing w:line="480" w:lineRule="auto"/>
        <w:jc w:val="both"/>
        <w:rPr>
          <w:rFonts w:ascii="Arial" w:hAnsi="Arial" w:cs="Arial"/>
        </w:rPr>
      </w:pPr>
    </w:p>
    <w:p w:rsidR="005D5EEF" w:rsidRDefault="005D5EEF" w:rsidP="00CC4D0B">
      <w:pPr>
        <w:pStyle w:val="BodyText"/>
        <w:autoSpaceDE w:val="0"/>
        <w:autoSpaceDN w:val="0"/>
        <w:adjustRightInd w:val="0"/>
        <w:spacing w:line="480" w:lineRule="auto"/>
        <w:jc w:val="both"/>
        <w:rPr>
          <w:rFonts w:ascii="Arial" w:hAnsi="Arial" w:cs="Arial"/>
        </w:rPr>
      </w:pPr>
    </w:p>
    <w:p w:rsidR="008D60BE" w:rsidRDefault="008D60BE" w:rsidP="00CC4D0B">
      <w:pPr>
        <w:pStyle w:val="BodyText"/>
        <w:autoSpaceDE w:val="0"/>
        <w:autoSpaceDN w:val="0"/>
        <w:adjustRightInd w:val="0"/>
        <w:spacing w:line="480" w:lineRule="auto"/>
        <w:jc w:val="both"/>
        <w:rPr>
          <w:rFonts w:ascii="Arial" w:hAnsi="Arial" w:cs="Arial"/>
        </w:rPr>
      </w:pPr>
    </w:p>
    <w:p w:rsidR="001D7932" w:rsidRDefault="001D7932">
      <w:pPr>
        <w:rPr>
          <w:rFonts w:ascii="Arial" w:eastAsia="Times New Roman" w:hAnsi="Arial" w:cs="Arial"/>
          <w:sz w:val="24"/>
          <w:szCs w:val="24"/>
          <w:lang w:val="en-GB"/>
        </w:rPr>
      </w:pPr>
      <w:r>
        <w:rPr>
          <w:rFonts w:ascii="Arial" w:hAnsi="Arial" w:cs="Arial"/>
        </w:rPr>
        <w:br w:type="page"/>
      </w:r>
    </w:p>
    <w:p w:rsidR="008D60BE" w:rsidRDefault="008D60BE" w:rsidP="00CC4D0B">
      <w:pPr>
        <w:pStyle w:val="BodyText"/>
        <w:autoSpaceDE w:val="0"/>
        <w:autoSpaceDN w:val="0"/>
        <w:adjustRightInd w:val="0"/>
        <w:spacing w:line="480" w:lineRule="auto"/>
        <w:jc w:val="both"/>
        <w:rPr>
          <w:rFonts w:ascii="Arial" w:hAnsi="Arial" w:cs="Arial"/>
        </w:rPr>
      </w:pPr>
    </w:p>
    <w:p w:rsidR="00CC4D0B" w:rsidRPr="00F4471E" w:rsidRDefault="00CC4D0B" w:rsidP="00CC4D0B">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CC4D0B" w:rsidRPr="00F4471E" w:rsidRDefault="00CC4D0B" w:rsidP="00CC4D0B">
      <w:pPr>
        <w:pStyle w:val="BodyText"/>
        <w:autoSpaceDE w:val="0"/>
        <w:autoSpaceDN w:val="0"/>
        <w:adjustRightInd w:val="0"/>
        <w:spacing w:line="480" w:lineRule="auto"/>
        <w:jc w:val="both"/>
        <w:rPr>
          <w:rFonts w:ascii="Arial" w:hAnsi="Arial" w:cs="Arial"/>
        </w:rPr>
      </w:pPr>
    </w:p>
    <w:p w:rsidR="00636807" w:rsidRDefault="00612EAE" w:rsidP="007A3F12">
      <w:pPr>
        <w:tabs>
          <w:tab w:val="left" w:pos="1394"/>
          <w:tab w:val="left" w:pos="2528"/>
          <w:tab w:val="left" w:pos="3780"/>
        </w:tabs>
        <w:spacing w:after="0" w:line="480" w:lineRule="auto"/>
        <w:ind w:left="5040" w:hanging="5040"/>
        <w:jc w:val="both"/>
        <w:rPr>
          <w:rFonts w:ascii="Arial" w:hAnsi="Arial" w:cs="Arial"/>
          <w:sz w:val="24"/>
          <w:szCs w:val="24"/>
        </w:rPr>
      </w:pPr>
      <w:r>
        <w:rPr>
          <w:rFonts w:ascii="Arial" w:hAnsi="Arial" w:cs="Arial"/>
          <w:sz w:val="24"/>
          <w:szCs w:val="24"/>
        </w:rPr>
        <w:t>APPELLANT</w:t>
      </w:r>
      <w:r w:rsidR="003329FF">
        <w:rPr>
          <w:rFonts w:ascii="Arial" w:hAnsi="Arial" w:cs="Arial"/>
          <w:sz w:val="24"/>
          <w:szCs w:val="24"/>
        </w:rPr>
        <w:t>S</w:t>
      </w:r>
      <w:r>
        <w:rPr>
          <w:rFonts w:ascii="Arial" w:hAnsi="Arial" w:cs="Arial"/>
          <w:sz w:val="24"/>
          <w:szCs w:val="24"/>
        </w:rPr>
        <w:t>:</w:t>
      </w:r>
      <w:r>
        <w:rPr>
          <w:rFonts w:ascii="Arial" w:hAnsi="Arial" w:cs="Arial"/>
          <w:sz w:val="24"/>
          <w:szCs w:val="24"/>
        </w:rPr>
        <w:tab/>
      </w:r>
      <w:r w:rsidR="002C24AD">
        <w:rPr>
          <w:rFonts w:ascii="Arial" w:hAnsi="Arial" w:cs="Arial"/>
          <w:sz w:val="24"/>
          <w:szCs w:val="24"/>
        </w:rPr>
        <w:tab/>
        <w:t>I A M Semenya SC</w:t>
      </w:r>
      <w:r w:rsidR="007A3F12">
        <w:rPr>
          <w:rFonts w:ascii="Arial" w:hAnsi="Arial" w:cs="Arial"/>
          <w:sz w:val="24"/>
          <w:szCs w:val="24"/>
        </w:rPr>
        <w:t xml:space="preserve"> (with him </w:t>
      </w:r>
      <w:r w:rsidR="002C24AD">
        <w:rPr>
          <w:rFonts w:ascii="Arial" w:hAnsi="Arial" w:cs="Arial"/>
          <w:sz w:val="24"/>
          <w:szCs w:val="24"/>
        </w:rPr>
        <w:t>N Marcus</w:t>
      </w:r>
      <w:r w:rsidR="007A3F12">
        <w:rPr>
          <w:rFonts w:ascii="Arial" w:hAnsi="Arial" w:cs="Arial"/>
          <w:sz w:val="24"/>
          <w:szCs w:val="24"/>
        </w:rPr>
        <w:t>)</w:t>
      </w:r>
      <w:r w:rsidR="002C24AD">
        <w:rPr>
          <w:rFonts w:ascii="Arial" w:hAnsi="Arial" w:cs="Arial"/>
          <w:sz w:val="24"/>
          <w:szCs w:val="24"/>
        </w:rPr>
        <w:t xml:space="preserve"> </w:t>
      </w:r>
    </w:p>
    <w:p w:rsidR="00CC4D0B" w:rsidRDefault="007A3F12" w:rsidP="007A3F12">
      <w:pPr>
        <w:tabs>
          <w:tab w:val="left" w:pos="1394"/>
          <w:tab w:val="left" w:pos="2528"/>
          <w:tab w:val="left" w:pos="3780"/>
        </w:tabs>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2C24AD">
        <w:rPr>
          <w:rFonts w:ascii="Arial" w:hAnsi="Arial" w:cs="Arial"/>
          <w:sz w:val="24"/>
          <w:szCs w:val="24"/>
        </w:rPr>
        <w:t>Instructed by Government Attorney</w:t>
      </w:r>
    </w:p>
    <w:p w:rsidR="003329FF" w:rsidRDefault="003329FF" w:rsidP="00CC4D0B">
      <w:pPr>
        <w:tabs>
          <w:tab w:val="left" w:pos="1394"/>
          <w:tab w:val="left" w:pos="2528"/>
          <w:tab w:val="left" w:pos="3780"/>
        </w:tabs>
        <w:spacing w:after="0" w:line="480" w:lineRule="auto"/>
        <w:jc w:val="both"/>
        <w:rPr>
          <w:rFonts w:ascii="Arial" w:hAnsi="Arial" w:cs="Arial"/>
          <w:sz w:val="24"/>
          <w:szCs w:val="24"/>
        </w:rPr>
      </w:pPr>
    </w:p>
    <w:p w:rsidR="00612EAE" w:rsidRDefault="00612EAE" w:rsidP="00CC4D0B">
      <w:pPr>
        <w:tabs>
          <w:tab w:val="left" w:pos="1394"/>
          <w:tab w:val="left" w:pos="2528"/>
          <w:tab w:val="left" w:pos="3780"/>
        </w:tabs>
        <w:spacing w:after="0" w:line="480" w:lineRule="auto"/>
        <w:jc w:val="both"/>
        <w:rPr>
          <w:rFonts w:ascii="Arial" w:hAnsi="Arial" w:cs="Arial"/>
          <w:sz w:val="24"/>
          <w:szCs w:val="24"/>
        </w:rPr>
      </w:pPr>
      <w:r>
        <w:rPr>
          <w:rFonts w:ascii="Arial" w:hAnsi="Arial" w:cs="Arial"/>
          <w:sz w:val="24"/>
          <w:szCs w:val="24"/>
        </w:rPr>
        <w:t>RESPONDENT:</w:t>
      </w:r>
      <w:r>
        <w:rPr>
          <w:rFonts w:ascii="Arial" w:hAnsi="Arial" w:cs="Arial"/>
          <w:sz w:val="24"/>
          <w:szCs w:val="24"/>
        </w:rPr>
        <w:tab/>
      </w:r>
      <w:r w:rsidR="0041175E">
        <w:rPr>
          <w:rFonts w:ascii="Arial" w:hAnsi="Arial" w:cs="Arial"/>
          <w:sz w:val="24"/>
          <w:szCs w:val="24"/>
        </w:rPr>
        <w:tab/>
      </w:r>
      <w:r w:rsidR="002C24AD">
        <w:rPr>
          <w:rFonts w:ascii="Arial" w:hAnsi="Arial" w:cs="Arial"/>
          <w:sz w:val="24"/>
          <w:szCs w:val="24"/>
        </w:rPr>
        <w:t>S S Makando</w:t>
      </w:r>
      <w:r w:rsidR="007A3F12">
        <w:rPr>
          <w:rFonts w:ascii="Arial" w:hAnsi="Arial" w:cs="Arial"/>
          <w:sz w:val="24"/>
          <w:szCs w:val="24"/>
        </w:rPr>
        <w:t xml:space="preserve"> (with him </w:t>
      </w:r>
      <w:r w:rsidR="002C24AD">
        <w:rPr>
          <w:rFonts w:ascii="Arial" w:hAnsi="Arial" w:cs="Arial"/>
          <w:sz w:val="24"/>
          <w:szCs w:val="24"/>
        </w:rPr>
        <w:t>P S Muluti</w:t>
      </w:r>
      <w:r w:rsidR="007A3F12">
        <w:rPr>
          <w:rFonts w:ascii="Arial" w:hAnsi="Arial" w:cs="Arial"/>
          <w:sz w:val="24"/>
          <w:szCs w:val="24"/>
        </w:rPr>
        <w:t>)</w:t>
      </w:r>
    </w:p>
    <w:p w:rsidR="00612EAE" w:rsidRPr="00F4471E" w:rsidRDefault="00612EAE" w:rsidP="00CC4D0B">
      <w:pPr>
        <w:tabs>
          <w:tab w:val="left" w:pos="1394"/>
          <w:tab w:val="left" w:pos="2528"/>
          <w:tab w:val="left" w:pos="3780"/>
        </w:tabs>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41175E">
        <w:rPr>
          <w:rFonts w:ascii="Arial" w:hAnsi="Arial" w:cs="Arial"/>
          <w:sz w:val="24"/>
          <w:szCs w:val="24"/>
        </w:rPr>
        <w:tab/>
      </w:r>
      <w:r w:rsidR="007A3F12">
        <w:rPr>
          <w:rFonts w:ascii="Arial" w:hAnsi="Arial" w:cs="Arial"/>
          <w:sz w:val="24"/>
          <w:szCs w:val="24"/>
        </w:rPr>
        <w:t>I</w:t>
      </w:r>
      <w:r w:rsidR="002C24AD">
        <w:rPr>
          <w:rFonts w:ascii="Arial" w:hAnsi="Arial" w:cs="Arial"/>
          <w:sz w:val="24"/>
          <w:szCs w:val="24"/>
        </w:rPr>
        <w:t>nstructed</w:t>
      </w:r>
      <w:r w:rsidR="00636807">
        <w:rPr>
          <w:rFonts w:ascii="Arial" w:hAnsi="Arial" w:cs="Arial"/>
          <w:sz w:val="24"/>
          <w:szCs w:val="24"/>
        </w:rPr>
        <w:t xml:space="preserve"> by Muluti &amp; Partners</w:t>
      </w:r>
    </w:p>
    <w:p w:rsidR="00CC4D0B" w:rsidRDefault="00CC4D0B" w:rsidP="00CC4D0B">
      <w:pPr>
        <w:pStyle w:val="NoSpacing"/>
        <w:spacing w:line="480" w:lineRule="auto"/>
        <w:rPr>
          <w:rFonts w:ascii="Arial" w:hAnsi="Arial" w:cs="Arial"/>
          <w:sz w:val="24"/>
          <w:szCs w:val="24"/>
        </w:rPr>
      </w:pPr>
    </w:p>
    <w:p w:rsidR="00CC4D0B" w:rsidRDefault="00CC4D0B" w:rsidP="00CC4D0B">
      <w:pPr>
        <w:pStyle w:val="NoSpacing"/>
        <w:spacing w:line="480" w:lineRule="auto"/>
        <w:rPr>
          <w:rFonts w:ascii="Arial" w:hAnsi="Arial" w:cs="Arial"/>
          <w:sz w:val="24"/>
          <w:szCs w:val="24"/>
        </w:rPr>
      </w:pPr>
    </w:p>
    <w:p w:rsidR="00CC4D0B" w:rsidRDefault="00CC4D0B" w:rsidP="00CC4D0B">
      <w:pPr>
        <w:pStyle w:val="NoSpacing"/>
        <w:spacing w:line="480" w:lineRule="auto"/>
        <w:rPr>
          <w:rFonts w:ascii="Arial" w:hAnsi="Arial" w:cs="Arial"/>
          <w:sz w:val="24"/>
          <w:szCs w:val="24"/>
        </w:rPr>
      </w:pPr>
    </w:p>
    <w:p w:rsidR="00CC4D0B" w:rsidRPr="00991107" w:rsidRDefault="00CC4D0B" w:rsidP="00CC4D0B">
      <w:pPr>
        <w:pStyle w:val="NoSpacing"/>
        <w:spacing w:line="480" w:lineRule="auto"/>
        <w:rPr>
          <w:rFonts w:ascii="Arial" w:hAnsi="Arial" w:cs="Arial"/>
          <w:sz w:val="24"/>
          <w:szCs w:val="24"/>
        </w:rPr>
      </w:pPr>
    </w:p>
    <w:p w:rsidR="009F2BBE" w:rsidRDefault="009F2BBE"/>
    <w:sectPr w:rsidR="009F2BBE" w:rsidSect="000E3A44">
      <w:headerReference w:type="even" r:id="rId9"/>
      <w:headerReference w:type="default" r:id="rId10"/>
      <w:type w:val="oddPage"/>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459" w:rsidRDefault="002A6459" w:rsidP="004D6713">
      <w:pPr>
        <w:spacing w:after="0" w:line="240" w:lineRule="auto"/>
      </w:pPr>
      <w:r>
        <w:separator/>
      </w:r>
    </w:p>
  </w:endnote>
  <w:endnote w:type="continuationSeparator" w:id="0">
    <w:p w:rsidR="002A6459" w:rsidRDefault="002A6459" w:rsidP="004D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459" w:rsidRDefault="002A6459" w:rsidP="004D6713">
      <w:pPr>
        <w:spacing w:after="0" w:line="240" w:lineRule="auto"/>
      </w:pPr>
      <w:r>
        <w:separator/>
      </w:r>
    </w:p>
  </w:footnote>
  <w:footnote w:type="continuationSeparator" w:id="0">
    <w:p w:rsidR="002A6459" w:rsidRDefault="002A6459" w:rsidP="004D6713">
      <w:pPr>
        <w:spacing w:after="0" w:line="240" w:lineRule="auto"/>
      </w:pPr>
      <w:r>
        <w:continuationSeparator/>
      </w:r>
    </w:p>
  </w:footnote>
  <w:footnote w:id="1">
    <w:p w:rsidR="009B334B" w:rsidRDefault="009B334B" w:rsidP="00BB558F">
      <w:pPr>
        <w:pStyle w:val="FootnoteText"/>
        <w:jc w:val="both"/>
      </w:pPr>
      <w:r w:rsidRPr="008B2CEB">
        <w:rPr>
          <w:rStyle w:val="FootnoteReference"/>
          <w:rFonts w:ascii="Arial" w:hAnsi="Arial" w:cs="Arial"/>
        </w:rPr>
        <w:footnoteRef/>
      </w:r>
      <w:r>
        <w:t xml:space="preserve"> </w:t>
      </w:r>
      <w:r w:rsidRPr="00F551EE">
        <w:rPr>
          <w:rFonts w:ascii="Arial" w:hAnsi="Arial" w:cs="Arial"/>
          <w:i/>
        </w:rPr>
        <w:t>M</w:t>
      </w:r>
      <w:r>
        <w:rPr>
          <w:rFonts w:ascii="Arial" w:hAnsi="Arial" w:cs="Arial"/>
          <w:i/>
        </w:rPr>
        <w:t>in</w:t>
      </w:r>
      <w:r w:rsidR="00BB558F">
        <w:rPr>
          <w:rFonts w:ascii="Arial" w:hAnsi="Arial" w:cs="Arial"/>
          <w:i/>
        </w:rPr>
        <w:t>ister of Safety and Security &amp; o</w:t>
      </w:r>
      <w:r>
        <w:rPr>
          <w:rFonts w:ascii="Arial" w:hAnsi="Arial" w:cs="Arial"/>
          <w:i/>
        </w:rPr>
        <w:t>thers v M</w:t>
      </w:r>
      <w:r w:rsidRPr="00F551EE">
        <w:rPr>
          <w:rFonts w:ascii="Arial" w:hAnsi="Arial" w:cs="Arial"/>
          <w:i/>
        </w:rPr>
        <w:t>ahupelo</w:t>
      </w:r>
      <w:r>
        <w:rPr>
          <w:rFonts w:ascii="Arial" w:hAnsi="Arial" w:cs="Arial"/>
          <w:i/>
        </w:rPr>
        <w:t xml:space="preserve"> </w:t>
      </w:r>
      <w:r w:rsidRPr="009413AB">
        <w:rPr>
          <w:rFonts w:ascii="Arial" w:hAnsi="Arial" w:cs="Arial"/>
        </w:rPr>
        <w:t>(SA 7/2017) [</w:t>
      </w:r>
      <w:r>
        <w:rPr>
          <w:rFonts w:ascii="Arial" w:hAnsi="Arial" w:cs="Arial"/>
        </w:rPr>
        <w:t>2019] NASC  (28 February 2019) (</w:t>
      </w:r>
      <w:r>
        <w:rPr>
          <w:rFonts w:ascii="Arial" w:hAnsi="Arial" w:cs="Arial"/>
          <w:i/>
        </w:rPr>
        <w:t>M</w:t>
      </w:r>
      <w:r w:rsidRPr="00F551EE">
        <w:rPr>
          <w:rFonts w:ascii="Arial" w:hAnsi="Arial" w:cs="Arial"/>
          <w:i/>
        </w:rPr>
        <w:t>ahupelo</w:t>
      </w:r>
      <w:r>
        <w:rPr>
          <w:rFonts w:ascii="Arial" w:hAnsi="Arial" w:cs="Arial"/>
          <w:i/>
        </w:rPr>
        <w:t>).</w:t>
      </w:r>
    </w:p>
  </w:footnote>
  <w:footnote w:id="2">
    <w:p w:rsidR="00EB0838" w:rsidRPr="00877160" w:rsidRDefault="00EB0838" w:rsidP="008B2CEB">
      <w:pPr>
        <w:pStyle w:val="FootnoteText"/>
        <w:jc w:val="both"/>
        <w:rPr>
          <w:rFonts w:ascii="Arial" w:hAnsi="Arial" w:cs="Arial"/>
        </w:rPr>
      </w:pPr>
      <w:r w:rsidRPr="00877160">
        <w:rPr>
          <w:rStyle w:val="FootnoteReference"/>
          <w:rFonts w:ascii="Arial" w:hAnsi="Arial" w:cs="Arial"/>
        </w:rPr>
        <w:footnoteRef/>
      </w:r>
      <w:r w:rsidRPr="00877160">
        <w:rPr>
          <w:rFonts w:ascii="Arial" w:hAnsi="Arial" w:cs="Arial"/>
          <w:i/>
        </w:rPr>
        <w:t xml:space="preserve"> Mahupelo v Minister of Safety and Security</w:t>
      </w:r>
      <w:r w:rsidR="00C067CA">
        <w:rPr>
          <w:rFonts w:ascii="Arial" w:hAnsi="Arial" w:cs="Arial"/>
        </w:rPr>
        <w:t xml:space="preserve"> (I</w:t>
      </w:r>
      <w:r w:rsidR="00BB558F">
        <w:rPr>
          <w:rFonts w:ascii="Arial" w:hAnsi="Arial" w:cs="Arial"/>
        </w:rPr>
        <w:t xml:space="preserve"> </w:t>
      </w:r>
      <w:r w:rsidR="00C067CA">
        <w:rPr>
          <w:rFonts w:ascii="Arial" w:hAnsi="Arial" w:cs="Arial"/>
        </w:rPr>
        <w:t xml:space="preserve">56/2014) [2017] </w:t>
      </w:r>
      <w:r w:rsidRPr="00877160">
        <w:rPr>
          <w:rFonts w:ascii="Arial" w:hAnsi="Arial" w:cs="Arial"/>
        </w:rPr>
        <w:t xml:space="preserve">NAHCMD 25 </w:t>
      </w:r>
      <w:r>
        <w:rPr>
          <w:rFonts w:ascii="Arial" w:hAnsi="Arial" w:cs="Arial"/>
        </w:rPr>
        <w:t>in (2 February 2017) para 4 (</w:t>
      </w:r>
      <w:r w:rsidR="00C21A99">
        <w:rPr>
          <w:rFonts w:ascii="Arial" w:hAnsi="Arial" w:cs="Arial"/>
          <w:i/>
        </w:rPr>
        <w:t>Mahupelo</w:t>
      </w:r>
      <w:r w:rsidRPr="00740CFC">
        <w:rPr>
          <w:rFonts w:ascii="Arial" w:hAnsi="Arial" w:cs="Arial"/>
          <w:i/>
        </w:rPr>
        <w:t>−High Court</w:t>
      </w:r>
      <w:r>
        <w:rPr>
          <w:rFonts w:ascii="Arial" w:hAnsi="Arial" w:cs="Arial"/>
        </w:rPr>
        <w:t>).</w:t>
      </w:r>
    </w:p>
  </w:footnote>
  <w:footnote w:id="3">
    <w:p w:rsidR="00EB0838" w:rsidRPr="00B305CA" w:rsidRDefault="00EB0838">
      <w:pPr>
        <w:pStyle w:val="FootnoteText"/>
        <w:rPr>
          <w:rFonts w:ascii="Arial" w:hAnsi="Arial" w:cs="Arial"/>
        </w:rPr>
      </w:pPr>
      <w:r w:rsidRPr="00BF7D7E">
        <w:rPr>
          <w:rStyle w:val="FootnoteReference"/>
          <w:rFonts w:ascii="Arial" w:hAnsi="Arial" w:cs="Arial"/>
        </w:rPr>
        <w:footnoteRef/>
      </w:r>
      <w:r w:rsidRPr="00BF7D7E">
        <w:rPr>
          <w:rFonts w:ascii="Arial" w:hAnsi="Arial" w:cs="Arial"/>
        </w:rPr>
        <w:t xml:space="preserve"> Mr </w:t>
      </w:r>
      <w:r w:rsidR="00480024" w:rsidRPr="00BF7D7E">
        <w:rPr>
          <w:rFonts w:ascii="Arial" w:hAnsi="Arial" w:cs="Arial"/>
        </w:rPr>
        <w:t>Muy</w:t>
      </w:r>
      <w:r w:rsidRPr="00BF7D7E">
        <w:rPr>
          <w:rFonts w:ascii="Arial" w:hAnsi="Arial" w:cs="Arial"/>
        </w:rPr>
        <w:t xml:space="preserve">ongo </w:t>
      </w:r>
      <w:r w:rsidR="00311505" w:rsidRPr="00BF7D7E">
        <w:rPr>
          <w:rFonts w:ascii="Arial" w:hAnsi="Arial" w:cs="Arial"/>
        </w:rPr>
        <w:t>is alleged to have been the</w:t>
      </w:r>
      <w:r w:rsidR="00BF7D7E" w:rsidRPr="00BF7D7E">
        <w:rPr>
          <w:rFonts w:ascii="Arial" w:hAnsi="Arial" w:cs="Arial"/>
        </w:rPr>
        <w:t xml:space="preserve"> protagonist in the secession plan</w:t>
      </w:r>
      <w:r w:rsidR="00311505" w:rsidRPr="00BF7D7E">
        <w:rPr>
          <w:rFonts w:ascii="Arial" w:hAnsi="Arial" w:cs="Arial"/>
        </w:rPr>
        <w:t>.</w:t>
      </w:r>
    </w:p>
  </w:footnote>
  <w:footnote w:id="4">
    <w:p w:rsidR="00EB0838" w:rsidRPr="0085039F" w:rsidRDefault="00EB0838">
      <w:pPr>
        <w:pStyle w:val="FootnoteText"/>
        <w:rPr>
          <w:rFonts w:ascii="Arial" w:hAnsi="Arial" w:cs="Arial"/>
        </w:rPr>
      </w:pPr>
      <w:r w:rsidRPr="0085039F">
        <w:rPr>
          <w:rStyle w:val="FootnoteReference"/>
          <w:rFonts w:ascii="Arial" w:hAnsi="Arial" w:cs="Arial"/>
        </w:rPr>
        <w:footnoteRef/>
      </w:r>
      <w:r w:rsidR="00CA1F9E">
        <w:rPr>
          <w:rFonts w:ascii="Arial" w:hAnsi="Arial" w:cs="Arial"/>
        </w:rPr>
        <w:t xml:space="preserve"> High Court judgment</w:t>
      </w:r>
      <w:r w:rsidRPr="0085039F">
        <w:rPr>
          <w:rFonts w:ascii="Arial" w:hAnsi="Arial" w:cs="Arial"/>
        </w:rPr>
        <w:t xml:space="preserve"> para 80.</w:t>
      </w:r>
    </w:p>
  </w:footnote>
  <w:footnote w:id="5">
    <w:p w:rsidR="00EB0838" w:rsidRPr="006404CE" w:rsidRDefault="00EB0838">
      <w:pPr>
        <w:pStyle w:val="FootnoteText"/>
        <w:rPr>
          <w:rFonts w:ascii="Arial" w:hAnsi="Arial" w:cs="Arial"/>
        </w:rPr>
      </w:pPr>
      <w:r w:rsidRPr="006404CE">
        <w:rPr>
          <w:rStyle w:val="FootnoteReference"/>
          <w:rFonts w:ascii="Arial" w:hAnsi="Arial" w:cs="Arial"/>
        </w:rPr>
        <w:footnoteRef/>
      </w:r>
      <w:r w:rsidR="00CA1F9E">
        <w:rPr>
          <w:rFonts w:ascii="Arial" w:hAnsi="Arial" w:cs="Arial"/>
        </w:rPr>
        <w:t xml:space="preserve"> </w:t>
      </w:r>
      <w:r w:rsidR="00CA1F9E" w:rsidRPr="00CA1F9E">
        <w:rPr>
          <w:rFonts w:ascii="Arial" w:hAnsi="Arial" w:cs="Arial"/>
          <w:i/>
        </w:rPr>
        <w:t>Id</w:t>
      </w:r>
      <w:r w:rsidRPr="006404CE">
        <w:rPr>
          <w:rFonts w:ascii="Arial" w:hAnsi="Arial" w:cs="Arial"/>
        </w:rPr>
        <w:t xml:space="preserve"> para 84.</w:t>
      </w:r>
    </w:p>
  </w:footnote>
  <w:footnote w:id="6">
    <w:p w:rsidR="00EB0838" w:rsidRDefault="00EB0838">
      <w:pPr>
        <w:pStyle w:val="FootnoteText"/>
      </w:pPr>
      <w:r>
        <w:rPr>
          <w:rStyle w:val="FootnoteReference"/>
        </w:rPr>
        <w:footnoteRef/>
      </w:r>
      <w:r>
        <w:t xml:space="preserve"> </w:t>
      </w:r>
      <w:r w:rsidRPr="00AD201C">
        <w:rPr>
          <w:rFonts w:ascii="Arial" w:hAnsi="Arial" w:cs="Arial"/>
        </w:rPr>
        <w:t>(I</w:t>
      </w:r>
      <w:r w:rsidR="00BB558F">
        <w:rPr>
          <w:rFonts w:ascii="Arial" w:hAnsi="Arial" w:cs="Arial"/>
        </w:rPr>
        <w:t xml:space="preserve"> </w:t>
      </w:r>
      <w:r w:rsidRPr="00AD201C">
        <w:rPr>
          <w:rFonts w:ascii="Arial" w:hAnsi="Arial" w:cs="Arial"/>
        </w:rPr>
        <w:t>57/2014) [2017] NAHCMD 130 (05 May 2017).</w:t>
      </w:r>
    </w:p>
  </w:footnote>
  <w:footnote w:id="7">
    <w:p w:rsidR="00EB0838" w:rsidRPr="002141DB" w:rsidRDefault="00EB0838">
      <w:pPr>
        <w:pStyle w:val="FootnoteText"/>
        <w:rPr>
          <w:rFonts w:ascii="Arial" w:hAnsi="Arial" w:cs="Arial"/>
        </w:rPr>
      </w:pPr>
      <w:r w:rsidRPr="002141DB">
        <w:rPr>
          <w:rStyle w:val="FootnoteReference"/>
          <w:rFonts w:ascii="Arial" w:hAnsi="Arial" w:cs="Arial"/>
        </w:rPr>
        <w:footnoteRef/>
      </w:r>
      <w:r w:rsidR="00CA1F9E">
        <w:rPr>
          <w:rFonts w:ascii="Arial" w:hAnsi="Arial" w:cs="Arial"/>
        </w:rPr>
        <w:t xml:space="preserve"> High Court judgment</w:t>
      </w:r>
      <w:r w:rsidRPr="002141DB">
        <w:rPr>
          <w:rFonts w:ascii="Arial" w:hAnsi="Arial" w:cs="Arial"/>
        </w:rPr>
        <w:t xml:space="preserve"> para 99.</w:t>
      </w:r>
    </w:p>
  </w:footnote>
  <w:footnote w:id="8">
    <w:p w:rsidR="00EB0838" w:rsidRPr="00F47CE1" w:rsidRDefault="00EB0838" w:rsidP="00AD201C">
      <w:pPr>
        <w:pStyle w:val="FootnoteText"/>
        <w:rPr>
          <w:rFonts w:ascii="Arial" w:hAnsi="Arial" w:cs="Arial"/>
        </w:rPr>
      </w:pPr>
      <w:r w:rsidRPr="00F47CE1">
        <w:rPr>
          <w:rStyle w:val="FootnoteReference"/>
          <w:rFonts w:ascii="Arial" w:hAnsi="Arial" w:cs="Arial"/>
        </w:rPr>
        <w:footnoteRef/>
      </w:r>
      <w:r w:rsidR="00CA1F9E">
        <w:rPr>
          <w:rFonts w:ascii="Arial" w:hAnsi="Arial" w:cs="Arial"/>
        </w:rPr>
        <w:t xml:space="preserve"> </w:t>
      </w:r>
      <w:r w:rsidR="00CA1F9E" w:rsidRPr="00CA1F9E">
        <w:rPr>
          <w:rFonts w:ascii="Arial" w:hAnsi="Arial" w:cs="Arial"/>
          <w:i/>
        </w:rPr>
        <w:t>Id</w:t>
      </w:r>
      <w:r w:rsidRPr="00F47CE1">
        <w:rPr>
          <w:rFonts w:ascii="Arial" w:hAnsi="Arial" w:cs="Arial"/>
        </w:rPr>
        <w:t xml:space="preserve"> para 87.</w:t>
      </w:r>
    </w:p>
  </w:footnote>
  <w:footnote w:id="9">
    <w:p w:rsidR="00EB0838" w:rsidRPr="00B22A6B" w:rsidRDefault="00EB0838">
      <w:pPr>
        <w:pStyle w:val="FootnoteText"/>
        <w:rPr>
          <w:rFonts w:ascii="Arial" w:hAnsi="Arial" w:cs="Arial"/>
        </w:rPr>
      </w:pPr>
      <w:r w:rsidRPr="00B22A6B">
        <w:rPr>
          <w:rStyle w:val="FootnoteReference"/>
          <w:rFonts w:ascii="Arial" w:hAnsi="Arial" w:cs="Arial"/>
        </w:rPr>
        <w:footnoteRef/>
      </w:r>
      <w:r w:rsidRPr="00B22A6B">
        <w:rPr>
          <w:rFonts w:ascii="Arial" w:hAnsi="Arial" w:cs="Arial"/>
        </w:rPr>
        <w:t xml:space="preserve"> </w:t>
      </w:r>
      <w:r w:rsidRPr="00CA1F9E">
        <w:rPr>
          <w:rFonts w:ascii="Arial" w:hAnsi="Arial" w:cs="Arial"/>
          <w:i/>
        </w:rPr>
        <w:t>Id</w:t>
      </w:r>
      <w:r w:rsidRPr="00B22A6B">
        <w:rPr>
          <w:rFonts w:ascii="Arial" w:hAnsi="Arial" w:cs="Arial"/>
        </w:rPr>
        <w:t xml:space="preserve"> para 88.</w:t>
      </w:r>
    </w:p>
  </w:footnote>
  <w:footnote w:id="10">
    <w:p w:rsidR="00EB0838" w:rsidRDefault="00EB0838">
      <w:pPr>
        <w:pStyle w:val="FootnoteText"/>
      </w:pPr>
      <w:r w:rsidRPr="00E56D69">
        <w:rPr>
          <w:rStyle w:val="FootnoteReference"/>
          <w:rFonts w:ascii="Arial" w:hAnsi="Arial" w:cs="Arial"/>
        </w:rPr>
        <w:footnoteRef/>
      </w:r>
      <w:r w:rsidRPr="00E56D69">
        <w:rPr>
          <w:rFonts w:ascii="Arial" w:hAnsi="Arial" w:cs="Arial"/>
        </w:rPr>
        <w:t xml:space="preserve"> 2010 NSWCA at 118</w:t>
      </w:r>
      <w:r w:rsidRPr="00AA5DF7">
        <w:rPr>
          <w:rFonts w:ascii="Arial" w:hAnsi="Arial" w:cs="Arial"/>
        </w:rPr>
        <w:t>.</w:t>
      </w:r>
    </w:p>
  </w:footnote>
  <w:footnote w:id="11">
    <w:p w:rsidR="00EB0838" w:rsidRPr="00657577" w:rsidRDefault="00EB0838">
      <w:pPr>
        <w:pStyle w:val="FootnoteText"/>
        <w:rPr>
          <w:rFonts w:ascii="Arial" w:hAnsi="Arial" w:cs="Arial"/>
        </w:rPr>
      </w:pPr>
      <w:r w:rsidRPr="00657577">
        <w:rPr>
          <w:rStyle w:val="FootnoteReference"/>
          <w:rFonts w:ascii="Arial" w:hAnsi="Arial" w:cs="Arial"/>
        </w:rPr>
        <w:footnoteRef/>
      </w:r>
      <w:r w:rsidR="0081588D">
        <w:rPr>
          <w:rFonts w:ascii="Arial" w:hAnsi="Arial" w:cs="Arial"/>
        </w:rPr>
        <w:t xml:space="preserve"> High C</w:t>
      </w:r>
      <w:r w:rsidR="00786A96">
        <w:rPr>
          <w:rFonts w:ascii="Arial" w:hAnsi="Arial" w:cs="Arial"/>
        </w:rPr>
        <w:t>ourt j</w:t>
      </w:r>
      <w:r w:rsidRPr="00657577">
        <w:rPr>
          <w:rFonts w:ascii="Arial" w:hAnsi="Arial" w:cs="Arial"/>
        </w:rPr>
        <w:t>udgment para 92.</w:t>
      </w:r>
    </w:p>
  </w:footnote>
  <w:footnote w:id="12">
    <w:p w:rsidR="00EB0838" w:rsidRPr="005D49B9" w:rsidRDefault="00EB0838">
      <w:pPr>
        <w:pStyle w:val="FootnoteText"/>
        <w:rPr>
          <w:rFonts w:ascii="Arial" w:hAnsi="Arial" w:cs="Arial"/>
        </w:rPr>
      </w:pPr>
      <w:r w:rsidRPr="005D49B9">
        <w:rPr>
          <w:rStyle w:val="FootnoteReference"/>
          <w:rFonts w:ascii="Arial" w:hAnsi="Arial" w:cs="Arial"/>
        </w:rPr>
        <w:footnoteRef/>
      </w:r>
      <w:r w:rsidRPr="005D49B9">
        <w:rPr>
          <w:rFonts w:ascii="Arial" w:hAnsi="Arial" w:cs="Arial"/>
        </w:rPr>
        <w:t xml:space="preserve"> 2011 NSWDC 67.</w:t>
      </w:r>
    </w:p>
  </w:footnote>
  <w:footnote w:id="13">
    <w:p w:rsidR="00EB0838" w:rsidRPr="00311505" w:rsidRDefault="00EB0838">
      <w:pPr>
        <w:pStyle w:val="FootnoteText"/>
        <w:rPr>
          <w:rFonts w:ascii="Arial" w:hAnsi="Arial" w:cs="Arial"/>
        </w:rPr>
      </w:pPr>
      <w:r w:rsidRPr="00311505">
        <w:rPr>
          <w:rStyle w:val="FootnoteReference"/>
          <w:rFonts w:ascii="Arial" w:hAnsi="Arial" w:cs="Arial"/>
        </w:rPr>
        <w:footnoteRef/>
      </w:r>
      <w:r w:rsidR="00786A96">
        <w:rPr>
          <w:rFonts w:ascii="Arial" w:hAnsi="Arial" w:cs="Arial"/>
        </w:rPr>
        <w:t xml:space="preserve"> </w:t>
      </w:r>
      <w:r w:rsidR="00786A96" w:rsidRPr="00786A96">
        <w:rPr>
          <w:rFonts w:ascii="Arial" w:hAnsi="Arial" w:cs="Arial"/>
          <w:i/>
        </w:rPr>
        <w:t>Id</w:t>
      </w:r>
      <w:r w:rsidRPr="00311505">
        <w:rPr>
          <w:rFonts w:ascii="Arial" w:hAnsi="Arial" w:cs="Arial"/>
        </w:rPr>
        <w:t xml:space="preserve"> para 100.</w:t>
      </w:r>
    </w:p>
  </w:footnote>
  <w:footnote w:id="14">
    <w:p w:rsidR="00EB0838" w:rsidRPr="007B4C44" w:rsidRDefault="00EB0838">
      <w:pPr>
        <w:pStyle w:val="FootnoteText"/>
        <w:rPr>
          <w:rFonts w:ascii="Arial" w:hAnsi="Arial" w:cs="Arial"/>
        </w:rPr>
      </w:pPr>
      <w:r w:rsidRPr="007B4C44">
        <w:rPr>
          <w:rStyle w:val="FootnoteReference"/>
          <w:rFonts w:ascii="Arial" w:hAnsi="Arial" w:cs="Arial"/>
        </w:rPr>
        <w:footnoteRef/>
      </w:r>
      <w:r w:rsidR="006A18F4">
        <w:rPr>
          <w:rFonts w:ascii="Arial" w:hAnsi="Arial" w:cs="Arial"/>
        </w:rPr>
        <w:t xml:space="preserve"> </w:t>
      </w:r>
      <w:r w:rsidR="006A18F4" w:rsidRPr="003762A8">
        <w:rPr>
          <w:rFonts w:ascii="Arial" w:hAnsi="Arial" w:cs="Arial"/>
          <w:i/>
        </w:rPr>
        <w:t>R v Dhlumayo</w:t>
      </w:r>
      <w:r w:rsidR="006A18F4">
        <w:rPr>
          <w:rFonts w:ascii="Arial" w:hAnsi="Arial" w:cs="Arial"/>
        </w:rPr>
        <w:t xml:space="preserve"> 1948 </w:t>
      </w:r>
      <w:r w:rsidR="00C067CA">
        <w:rPr>
          <w:rFonts w:ascii="Arial" w:hAnsi="Arial" w:cs="Arial"/>
        </w:rPr>
        <w:t>(</w:t>
      </w:r>
      <w:r w:rsidR="006A18F4">
        <w:rPr>
          <w:rFonts w:ascii="Arial" w:hAnsi="Arial" w:cs="Arial"/>
        </w:rPr>
        <w:t>2</w:t>
      </w:r>
      <w:r w:rsidR="00C067CA">
        <w:rPr>
          <w:rFonts w:ascii="Arial" w:hAnsi="Arial" w:cs="Arial"/>
        </w:rPr>
        <w:t>)</w:t>
      </w:r>
      <w:r w:rsidR="006A18F4">
        <w:rPr>
          <w:rFonts w:ascii="Arial" w:hAnsi="Arial" w:cs="Arial"/>
        </w:rPr>
        <w:t xml:space="preserve"> SA 677 at </w:t>
      </w:r>
      <w:r w:rsidR="003762A8">
        <w:rPr>
          <w:rFonts w:ascii="Arial" w:hAnsi="Arial" w:cs="Arial"/>
        </w:rPr>
        <w:t>705 -706 (</w:t>
      </w:r>
      <w:r w:rsidR="003762A8" w:rsidRPr="003762A8">
        <w:rPr>
          <w:rFonts w:ascii="Arial" w:hAnsi="Arial" w:cs="Arial"/>
          <w:i/>
        </w:rPr>
        <w:t>Dhlumayo</w:t>
      </w:r>
      <w:r w:rsidR="003762A8">
        <w:rPr>
          <w:rFonts w:ascii="Arial" w:hAnsi="Arial" w:cs="Arial"/>
          <w:i/>
        </w:rPr>
        <w:t>)</w:t>
      </w:r>
      <w:r w:rsidR="003762A8" w:rsidRPr="003762A8">
        <w:rPr>
          <w:rFonts w:ascii="Arial" w:hAnsi="Arial" w:cs="Arial"/>
        </w:rPr>
        <w:t>.</w:t>
      </w:r>
    </w:p>
  </w:footnote>
  <w:footnote w:id="15">
    <w:p w:rsidR="00EA0F39" w:rsidRPr="00EA0F39" w:rsidRDefault="00EA0F39">
      <w:pPr>
        <w:pStyle w:val="FootnoteText"/>
        <w:rPr>
          <w:rFonts w:ascii="Arial" w:hAnsi="Arial" w:cs="Arial"/>
        </w:rPr>
      </w:pPr>
      <w:r w:rsidRPr="00EA0F39">
        <w:rPr>
          <w:rStyle w:val="FootnoteReference"/>
          <w:rFonts w:ascii="Arial" w:hAnsi="Arial" w:cs="Arial"/>
        </w:rPr>
        <w:footnoteRef/>
      </w:r>
      <w:r w:rsidRPr="00EA0F39">
        <w:rPr>
          <w:rFonts w:ascii="Arial" w:hAnsi="Arial" w:cs="Arial"/>
        </w:rPr>
        <w:t xml:space="preserve"> </w:t>
      </w:r>
      <w:r w:rsidRPr="00EA0F39">
        <w:rPr>
          <w:rFonts w:ascii="Arial" w:hAnsi="Arial" w:cs="Arial"/>
          <w:i/>
        </w:rPr>
        <w:t>Mahupelo</w:t>
      </w:r>
      <w:r w:rsidR="002F5818">
        <w:rPr>
          <w:rFonts w:ascii="Arial" w:hAnsi="Arial" w:cs="Arial"/>
        </w:rPr>
        <w:t xml:space="preserve"> more specifically</w:t>
      </w:r>
      <w:r w:rsidRPr="00EA0F39">
        <w:rPr>
          <w:rFonts w:ascii="Arial" w:hAnsi="Arial" w:cs="Arial"/>
        </w:rPr>
        <w:t xml:space="preserve"> para 38.</w:t>
      </w:r>
    </w:p>
  </w:footnote>
  <w:footnote w:id="16">
    <w:p w:rsidR="00EB0838" w:rsidRPr="00457B29" w:rsidRDefault="00EB0838">
      <w:pPr>
        <w:pStyle w:val="FootnoteText"/>
        <w:rPr>
          <w:rFonts w:ascii="Arial" w:hAnsi="Arial" w:cs="Arial"/>
        </w:rPr>
      </w:pPr>
      <w:r w:rsidRPr="00457B29">
        <w:rPr>
          <w:rStyle w:val="FootnoteReference"/>
          <w:rFonts w:ascii="Arial" w:hAnsi="Arial" w:cs="Arial"/>
        </w:rPr>
        <w:footnoteRef/>
      </w:r>
      <w:r w:rsidR="002F5818">
        <w:rPr>
          <w:rFonts w:ascii="Arial" w:hAnsi="Arial" w:cs="Arial"/>
        </w:rPr>
        <w:t xml:space="preserve"> </w:t>
      </w:r>
      <w:r w:rsidR="002F5818" w:rsidRPr="002F5818">
        <w:rPr>
          <w:rFonts w:ascii="Arial" w:hAnsi="Arial" w:cs="Arial"/>
          <w:i/>
        </w:rPr>
        <w:t>Id</w:t>
      </w:r>
      <w:r w:rsidRPr="00457B29">
        <w:rPr>
          <w:rFonts w:ascii="Arial" w:hAnsi="Arial" w:cs="Arial"/>
        </w:rPr>
        <w:t xml:space="preserve"> para 65. </w:t>
      </w:r>
    </w:p>
  </w:footnote>
  <w:footnote w:id="17">
    <w:p w:rsidR="00EB0838" w:rsidRPr="00457B29" w:rsidRDefault="00EB0838">
      <w:pPr>
        <w:pStyle w:val="FootnoteText"/>
        <w:rPr>
          <w:rFonts w:ascii="Arial" w:hAnsi="Arial" w:cs="Arial"/>
        </w:rPr>
      </w:pPr>
      <w:r w:rsidRPr="00457B29">
        <w:rPr>
          <w:rStyle w:val="FootnoteReference"/>
          <w:rFonts w:ascii="Arial" w:hAnsi="Arial" w:cs="Arial"/>
        </w:rPr>
        <w:footnoteRef/>
      </w:r>
      <w:r w:rsidRPr="00457B29">
        <w:rPr>
          <w:rFonts w:ascii="Arial" w:hAnsi="Arial" w:cs="Arial"/>
        </w:rPr>
        <w:t xml:space="preserve"> </w:t>
      </w:r>
      <w:r w:rsidRPr="00457B29">
        <w:rPr>
          <w:rFonts w:ascii="Arial" w:hAnsi="Arial" w:cs="Arial"/>
          <w:i/>
        </w:rPr>
        <w:t>Hicks v Faulkner</w:t>
      </w:r>
      <w:r w:rsidR="00B70AED">
        <w:rPr>
          <w:rFonts w:ascii="Arial" w:hAnsi="Arial" w:cs="Arial"/>
        </w:rPr>
        <w:t xml:space="preserve"> 1878 8 QBD 167 at 171.</w:t>
      </w:r>
    </w:p>
  </w:footnote>
  <w:footnote w:id="18">
    <w:p w:rsidR="00EB0838" w:rsidRPr="008E15BE" w:rsidRDefault="00EB0838">
      <w:pPr>
        <w:pStyle w:val="FootnoteText"/>
        <w:rPr>
          <w:rFonts w:ascii="Arial" w:hAnsi="Arial" w:cs="Arial"/>
        </w:rPr>
      </w:pPr>
      <w:r w:rsidRPr="008E15BE">
        <w:rPr>
          <w:rStyle w:val="FootnoteReference"/>
          <w:rFonts w:ascii="Arial" w:hAnsi="Arial" w:cs="Arial"/>
        </w:rPr>
        <w:footnoteRef/>
      </w:r>
      <w:r w:rsidRPr="008E15BE">
        <w:rPr>
          <w:rFonts w:ascii="Arial" w:hAnsi="Arial" w:cs="Arial"/>
        </w:rPr>
        <w:t xml:space="preserve"> </w:t>
      </w:r>
      <w:r w:rsidRPr="008E15BE">
        <w:rPr>
          <w:rFonts w:ascii="Arial" w:hAnsi="Arial" w:cs="Arial"/>
          <w:i/>
        </w:rPr>
        <w:t>Waterhouse v Shields</w:t>
      </w:r>
      <w:r w:rsidRPr="008E15BE">
        <w:rPr>
          <w:rFonts w:ascii="Arial" w:hAnsi="Arial" w:cs="Arial"/>
        </w:rPr>
        <w:t xml:space="preserve"> 1924 CPD 155 at 162.</w:t>
      </w:r>
    </w:p>
  </w:footnote>
  <w:footnote w:id="19">
    <w:p w:rsidR="00EB0838" w:rsidRPr="00F6529F" w:rsidRDefault="00EB0838">
      <w:pPr>
        <w:pStyle w:val="FootnoteText"/>
        <w:rPr>
          <w:rFonts w:ascii="Arial" w:hAnsi="Arial" w:cs="Arial"/>
          <w:i/>
        </w:rPr>
      </w:pPr>
      <w:r w:rsidRPr="00457B29">
        <w:rPr>
          <w:rStyle w:val="FootnoteReference"/>
          <w:rFonts w:ascii="Arial" w:hAnsi="Arial" w:cs="Arial"/>
        </w:rPr>
        <w:footnoteRef/>
      </w:r>
      <w:r w:rsidRPr="00457B29">
        <w:rPr>
          <w:rFonts w:ascii="Arial" w:hAnsi="Arial" w:cs="Arial"/>
        </w:rPr>
        <w:t xml:space="preserve"> </w:t>
      </w:r>
      <w:r w:rsidRPr="00457B29">
        <w:rPr>
          <w:rFonts w:ascii="Arial" w:hAnsi="Arial" w:cs="Arial"/>
          <w:i/>
        </w:rPr>
        <w:t>Mahupelo</w:t>
      </w:r>
      <w:r>
        <w:rPr>
          <w:rFonts w:ascii="Arial" w:hAnsi="Arial" w:cs="Arial"/>
        </w:rPr>
        <w:t xml:space="preserve"> para 67 citing with approval the decision of the South African Appellate Division in </w:t>
      </w:r>
      <w:r w:rsidR="002F5818">
        <w:rPr>
          <w:rFonts w:ascii="Arial" w:hAnsi="Arial" w:cs="Arial"/>
          <w:i/>
        </w:rPr>
        <w:t>Prinsloo &amp; a</w:t>
      </w:r>
      <w:r>
        <w:rPr>
          <w:rFonts w:ascii="Arial" w:hAnsi="Arial" w:cs="Arial"/>
          <w:i/>
        </w:rPr>
        <w:t xml:space="preserve">nother v Newman </w:t>
      </w:r>
      <w:r w:rsidRPr="00F6529F">
        <w:rPr>
          <w:rFonts w:ascii="Arial" w:hAnsi="Arial" w:cs="Arial"/>
        </w:rPr>
        <w:t>1975 (1) SA 481 (A).</w:t>
      </w:r>
    </w:p>
  </w:footnote>
  <w:footnote w:id="20">
    <w:p w:rsidR="00EB0838" w:rsidRPr="002F5818" w:rsidRDefault="00EB0838" w:rsidP="002F5818">
      <w:pPr>
        <w:pStyle w:val="FootnoteText"/>
        <w:jc w:val="both"/>
        <w:rPr>
          <w:rFonts w:ascii="Arial" w:hAnsi="Arial" w:cs="Arial"/>
        </w:rPr>
      </w:pPr>
      <w:r w:rsidRPr="00D16FC4">
        <w:rPr>
          <w:rStyle w:val="FootnoteReference"/>
          <w:rFonts w:ascii="Arial" w:hAnsi="Arial" w:cs="Arial"/>
        </w:rPr>
        <w:footnoteRef/>
      </w:r>
      <w:r w:rsidRPr="00D16FC4">
        <w:rPr>
          <w:rFonts w:ascii="Arial" w:hAnsi="Arial" w:cs="Arial"/>
        </w:rPr>
        <w:t xml:space="preserve"> </w:t>
      </w:r>
      <w:r w:rsidRPr="002F5818">
        <w:rPr>
          <w:rFonts w:ascii="Arial" w:hAnsi="Arial" w:cs="Arial"/>
        </w:rPr>
        <w:t xml:space="preserve">Neethling, Potgieter and Visser </w:t>
      </w:r>
      <w:r w:rsidRPr="002F5818">
        <w:rPr>
          <w:rFonts w:ascii="Arial" w:hAnsi="Arial" w:cs="Arial"/>
          <w:i/>
        </w:rPr>
        <w:t>Neethling’s Law pf Personality</w:t>
      </w:r>
      <w:r w:rsidRPr="002F5818">
        <w:rPr>
          <w:rFonts w:ascii="Arial" w:hAnsi="Arial" w:cs="Arial"/>
        </w:rPr>
        <w:t xml:space="preserve"> 5</w:t>
      </w:r>
      <w:r w:rsidR="002F5818" w:rsidRPr="002F5818">
        <w:rPr>
          <w:rFonts w:ascii="Arial" w:hAnsi="Arial" w:cs="Arial"/>
        </w:rPr>
        <w:t xml:space="preserve"> e</w:t>
      </w:r>
      <w:r w:rsidRPr="002F5818">
        <w:rPr>
          <w:rFonts w:ascii="Arial" w:hAnsi="Arial" w:cs="Arial"/>
        </w:rPr>
        <w:t>d at 319. According to the</w:t>
      </w:r>
      <w:r w:rsidR="0040588A" w:rsidRPr="002F5818">
        <w:rPr>
          <w:rFonts w:ascii="Arial" w:hAnsi="Arial" w:cs="Arial"/>
        </w:rPr>
        <w:t xml:space="preserve"> learned</w:t>
      </w:r>
      <w:r w:rsidRPr="002F5818">
        <w:rPr>
          <w:rFonts w:ascii="Arial" w:hAnsi="Arial" w:cs="Arial"/>
        </w:rPr>
        <w:t xml:space="preserve"> authors, this means that even i</w:t>
      </w:r>
      <w:r w:rsidR="00F7488B" w:rsidRPr="002F5818">
        <w:rPr>
          <w:rFonts w:ascii="Arial" w:hAnsi="Arial" w:cs="Arial"/>
        </w:rPr>
        <w:t>f</w:t>
      </w:r>
      <w:r w:rsidRPr="002F5818">
        <w:rPr>
          <w:rFonts w:ascii="Arial" w:hAnsi="Arial" w:cs="Arial"/>
        </w:rPr>
        <w:t xml:space="preserve"> the defendant clearly acted on reasonable grounds, but nonetheless did </w:t>
      </w:r>
      <w:r w:rsidR="00F7488B" w:rsidRPr="002F5818">
        <w:rPr>
          <w:rFonts w:ascii="Arial" w:hAnsi="Arial" w:cs="Arial"/>
        </w:rPr>
        <w:t>n</w:t>
      </w:r>
      <w:r w:rsidRPr="002F5818">
        <w:rPr>
          <w:rFonts w:ascii="Arial" w:hAnsi="Arial" w:cs="Arial"/>
        </w:rPr>
        <w:t>ot honestly believe in the plaintiff’s guilty, reasonable and probable cause will still be absent.</w:t>
      </w:r>
    </w:p>
  </w:footnote>
  <w:footnote w:id="21">
    <w:p w:rsidR="00EB0838" w:rsidRPr="002F5818" w:rsidRDefault="00EB0838">
      <w:pPr>
        <w:pStyle w:val="FootnoteText"/>
        <w:rPr>
          <w:rFonts w:ascii="Arial" w:hAnsi="Arial" w:cs="Arial"/>
          <w:i/>
        </w:rPr>
      </w:pPr>
      <w:r w:rsidRPr="002F5818">
        <w:rPr>
          <w:rStyle w:val="FootnoteReference"/>
          <w:rFonts w:ascii="Arial" w:hAnsi="Arial" w:cs="Arial"/>
        </w:rPr>
        <w:footnoteRef/>
      </w:r>
      <w:r w:rsidRPr="002F5818">
        <w:rPr>
          <w:rFonts w:ascii="Arial" w:hAnsi="Arial" w:cs="Arial"/>
          <w:i/>
        </w:rPr>
        <w:t xml:space="preserve"> Id.</w:t>
      </w:r>
    </w:p>
  </w:footnote>
  <w:footnote w:id="22">
    <w:p w:rsidR="00EB0838" w:rsidRPr="002F5818" w:rsidRDefault="00EB0838">
      <w:pPr>
        <w:pStyle w:val="FootnoteText"/>
        <w:rPr>
          <w:rFonts w:ascii="Arial" w:hAnsi="Arial" w:cs="Arial"/>
        </w:rPr>
      </w:pPr>
      <w:r w:rsidRPr="002F5818">
        <w:rPr>
          <w:rStyle w:val="FootnoteReference"/>
          <w:rFonts w:ascii="Arial" w:hAnsi="Arial" w:cs="Arial"/>
        </w:rPr>
        <w:footnoteRef/>
      </w:r>
      <w:r w:rsidRPr="002F5818">
        <w:rPr>
          <w:rFonts w:ascii="Arial" w:hAnsi="Arial" w:cs="Arial"/>
        </w:rPr>
        <w:t xml:space="preserve"> </w:t>
      </w:r>
      <w:r w:rsidR="0040588A" w:rsidRPr="002F5818">
        <w:rPr>
          <w:rFonts w:ascii="Arial" w:hAnsi="Arial" w:cs="Arial"/>
        </w:rPr>
        <w:t xml:space="preserve">See </w:t>
      </w:r>
      <w:r w:rsidRPr="002F5818">
        <w:rPr>
          <w:rFonts w:ascii="Arial" w:hAnsi="Arial" w:cs="Arial"/>
          <w:i/>
        </w:rPr>
        <w:t>Mahupelo</w:t>
      </w:r>
      <w:r w:rsidRPr="002F5818">
        <w:rPr>
          <w:rFonts w:ascii="Arial" w:hAnsi="Arial" w:cs="Arial"/>
        </w:rPr>
        <w:t xml:space="preserve"> para 66.</w:t>
      </w:r>
    </w:p>
  </w:footnote>
  <w:footnote w:id="23">
    <w:p w:rsidR="00EB0838" w:rsidRPr="002F5818" w:rsidRDefault="00EB0838">
      <w:pPr>
        <w:pStyle w:val="FootnoteText"/>
        <w:rPr>
          <w:rFonts w:ascii="Arial" w:hAnsi="Arial" w:cs="Arial"/>
        </w:rPr>
      </w:pPr>
      <w:r w:rsidRPr="002F5818">
        <w:rPr>
          <w:rStyle w:val="FootnoteReference"/>
          <w:rFonts w:ascii="Arial" w:hAnsi="Arial" w:cs="Arial"/>
        </w:rPr>
        <w:footnoteRef/>
      </w:r>
      <w:r w:rsidRPr="002F5818">
        <w:rPr>
          <w:rFonts w:ascii="Arial" w:hAnsi="Arial" w:cs="Arial"/>
        </w:rPr>
        <w:t xml:space="preserve"> </w:t>
      </w:r>
      <w:r w:rsidRPr="002F5818">
        <w:rPr>
          <w:rFonts w:ascii="Arial" w:hAnsi="Arial" w:cs="Arial"/>
          <w:i/>
        </w:rPr>
        <w:t>Beckenstrater v Rottcher and Theunissen</w:t>
      </w:r>
      <w:r w:rsidRPr="002F5818">
        <w:rPr>
          <w:rFonts w:ascii="Arial" w:hAnsi="Arial" w:cs="Arial"/>
        </w:rPr>
        <w:t xml:space="preserve"> 1955</w:t>
      </w:r>
      <w:r w:rsidR="003C4AF6" w:rsidRPr="002F5818">
        <w:rPr>
          <w:rFonts w:ascii="Arial" w:hAnsi="Arial" w:cs="Arial"/>
        </w:rPr>
        <w:t xml:space="preserve"> (1)</w:t>
      </w:r>
      <w:r w:rsidRPr="002F5818">
        <w:rPr>
          <w:rFonts w:ascii="Arial" w:hAnsi="Arial" w:cs="Arial"/>
        </w:rPr>
        <w:t xml:space="preserve"> SA 129 (A) at 136.</w:t>
      </w:r>
    </w:p>
  </w:footnote>
  <w:footnote w:id="24">
    <w:p w:rsidR="00EB0838" w:rsidRPr="002F5818" w:rsidRDefault="00EB0838">
      <w:pPr>
        <w:pStyle w:val="FootnoteText"/>
        <w:rPr>
          <w:rFonts w:ascii="Arial" w:hAnsi="Arial" w:cs="Arial"/>
        </w:rPr>
      </w:pPr>
      <w:r w:rsidRPr="002F5818">
        <w:rPr>
          <w:rStyle w:val="FootnoteReference"/>
          <w:rFonts w:ascii="Arial" w:hAnsi="Arial" w:cs="Arial"/>
        </w:rPr>
        <w:footnoteRef/>
      </w:r>
      <w:r w:rsidRPr="002F5818">
        <w:rPr>
          <w:rFonts w:ascii="Arial" w:hAnsi="Arial" w:cs="Arial"/>
        </w:rPr>
        <w:t xml:space="preserve"> </w:t>
      </w:r>
      <w:r w:rsidRPr="002F5818">
        <w:rPr>
          <w:rFonts w:ascii="Arial" w:hAnsi="Arial" w:cs="Arial"/>
          <w:i/>
        </w:rPr>
        <w:t>Mahupelo</w:t>
      </w:r>
      <w:r w:rsidRPr="002F5818">
        <w:rPr>
          <w:rFonts w:ascii="Arial" w:hAnsi="Arial" w:cs="Arial"/>
        </w:rPr>
        <w:t xml:space="preserve"> para 68.</w:t>
      </w:r>
    </w:p>
  </w:footnote>
  <w:footnote w:id="25">
    <w:p w:rsidR="00EB0838" w:rsidRPr="002F5818" w:rsidRDefault="00EB0838">
      <w:pPr>
        <w:pStyle w:val="FootnoteText"/>
        <w:rPr>
          <w:rFonts w:ascii="Arial" w:hAnsi="Arial" w:cs="Arial"/>
        </w:rPr>
      </w:pPr>
      <w:r w:rsidRPr="002F5818">
        <w:rPr>
          <w:rStyle w:val="FootnoteReference"/>
          <w:rFonts w:ascii="Arial" w:hAnsi="Arial" w:cs="Arial"/>
        </w:rPr>
        <w:footnoteRef/>
      </w:r>
      <w:r w:rsidRPr="002F5818">
        <w:rPr>
          <w:rFonts w:ascii="Arial" w:hAnsi="Arial" w:cs="Arial"/>
        </w:rPr>
        <w:t xml:space="preserve"> </w:t>
      </w:r>
      <w:r w:rsidRPr="002F5818">
        <w:rPr>
          <w:rFonts w:ascii="Arial" w:hAnsi="Arial" w:cs="Arial"/>
          <w:i/>
        </w:rPr>
        <w:t>Id</w:t>
      </w:r>
      <w:r w:rsidRPr="002F5818">
        <w:rPr>
          <w:rFonts w:ascii="Arial" w:hAnsi="Arial" w:cs="Arial"/>
        </w:rPr>
        <w:t xml:space="preserve"> at p136.</w:t>
      </w:r>
    </w:p>
  </w:footnote>
  <w:footnote w:id="26">
    <w:p w:rsidR="00EB0838" w:rsidRPr="00327942" w:rsidRDefault="00EB0838" w:rsidP="002F5818">
      <w:pPr>
        <w:pStyle w:val="FootnoteText"/>
        <w:jc w:val="both"/>
        <w:rPr>
          <w:rFonts w:ascii="Arial" w:hAnsi="Arial" w:cs="Arial"/>
        </w:rPr>
      </w:pPr>
      <w:r w:rsidRPr="002F5818">
        <w:rPr>
          <w:rStyle w:val="FootnoteReference"/>
          <w:rFonts w:ascii="Arial" w:hAnsi="Arial" w:cs="Arial"/>
        </w:rPr>
        <w:footnoteRef/>
      </w:r>
      <w:r w:rsidRPr="002F5818">
        <w:rPr>
          <w:rFonts w:ascii="Arial" w:hAnsi="Arial" w:cs="Arial"/>
        </w:rPr>
        <w:t xml:space="preserve"> </w:t>
      </w:r>
      <w:r w:rsidR="00D914ED" w:rsidRPr="002F5818">
        <w:rPr>
          <w:rFonts w:ascii="Arial" w:hAnsi="Arial" w:cs="Arial"/>
        </w:rPr>
        <w:t xml:space="preserve">For the </w:t>
      </w:r>
      <w:r w:rsidRPr="002F5818">
        <w:rPr>
          <w:rFonts w:ascii="Arial" w:hAnsi="Arial" w:cs="Arial"/>
        </w:rPr>
        <w:t>fourth element</w:t>
      </w:r>
      <w:r w:rsidR="00D914ED" w:rsidRPr="002F5818">
        <w:rPr>
          <w:rFonts w:ascii="Arial" w:hAnsi="Arial" w:cs="Arial"/>
        </w:rPr>
        <w:t xml:space="preserve"> to succeed</w:t>
      </w:r>
      <w:r w:rsidRPr="002F5818">
        <w:rPr>
          <w:rFonts w:ascii="Arial" w:hAnsi="Arial" w:cs="Arial"/>
        </w:rPr>
        <w:t xml:space="preserve"> </w:t>
      </w:r>
      <w:r w:rsidR="00D914ED" w:rsidRPr="002F5818">
        <w:rPr>
          <w:rFonts w:ascii="Arial" w:hAnsi="Arial" w:cs="Arial"/>
        </w:rPr>
        <w:t>the defendant must have, und</w:t>
      </w:r>
      <w:r w:rsidR="0040588A">
        <w:rPr>
          <w:rFonts w:ascii="Arial" w:hAnsi="Arial" w:cs="Arial"/>
        </w:rPr>
        <w:t xml:space="preserve">er the influence of English Law, </w:t>
      </w:r>
      <w:r>
        <w:rPr>
          <w:rFonts w:ascii="Arial" w:hAnsi="Arial" w:cs="Arial"/>
        </w:rPr>
        <w:t xml:space="preserve">acted with malice but following the </w:t>
      </w:r>
      <w:r w:rsidRPr="00D914ED">
        <w:rPr>
          <w:rFonts w:ascii="Arial" w:hAnsi="Arial" w:cs="Arial"/>
          <w:i/>
        </w:rPr>
        <w:t>dicta</w:t>
      </w:r>
      <w:r>
        <w:rPr>
          <w:rFonts w:ascii="Arial" w:hAnsi="Arial" w:cs="Arial"/>
        </w:rPr>
        <w:t xml:space="preserve"> of the </w:t>
      </w:r>
      <w:r w:rsidRPr="00327942">
        <w:rPr>
          <w:rFonts w:ascii="Arial" w:hAnsi="Arial" w:cs="Arial"/>
        </w:rPr>
        <w:t xml:space="preserve">South African </w:t>
      </w:r>
      <w:r w:rsidR="00D914ED">
        <w:rPr>
          <w:rFonts w:ascii="Arial" w:hAnsi="Arial" w:cs="Arial"/>
        </w:rPr>
        <w:t xml:space="preserve">case law </w:t>
      </w:r>
      <w:r w:rsidRPr="00D914ED">
        <w:rPr>
          <w:rFonts w:ascii="Arial" w:hAnsi="Arial" w:cs="Arial"/>
          <w:i/>
        </w:rPr>
        <w:t>animus iniuriandi</w:t>
      </w:r>
      <w:r>
        <w:rPr>
          <w:rFonts w:ascii="Arial" w:hAnsi="Arial" w:cs="Arial"/>
        </w:rPr>
        <w:t xml:space="preserve">, as opposed to malice, is required. See in this regard </w:t>
      </w:r>
      <w:r>
        <w:rPr>
          <w:rFonts w:ascii="Arial" w:hAnsi="Arial" w:cs="Arial"/>
          <w:i/>
        </w:rPr>
        <w:t>Moaki v Reckitt and Col</w:t>
      </w:r>
      <w:r w:rsidRPr="00327942">
        <w:rPr>
          <w:rFonts w:ascii="Arial" w:hAnsi="Arial" w:cs="Arial"/>
          <w:i/>
        </w:rPr>
        <w:t xml:space="preserve">man (Africa) Ltd </w:t>
      </w:r>
      <w:r w:rsidR="00D914ED">
        <w:rPr>
          <w:rFonts w:ascii="Arial" w:hAnsi="Arial" w:cs="Arial"/>
        </w:rPr>
        <w:t xml:space="preserve">1968 (3) SA 98 (A) at 103-6, </w:t>
      </w:r>
      <w:r w:rsidRPr="00327942">
        <w:rPr>
          <w:rFonts w:ascii="Arial" w:hAnsi="Arial" w:cs="Arial"/>
          <w:i/>
        </w:rPr>
        <w:t>Lederman v Moharal Investments (Pty) Ltd</w:t>
      </w:r>
      <w:r w:rsidRPr="00327942">
        <w:rPr>
          <w:rFonts w:ascii="Arial" w:hAnsi="Arial" w:cs="Arial"/>
        </w:rPr>
        <w:t xml:space="preserve"> 1969 (1) SA 190 (A) at 196</w:t>
      </w:r>
      <w:r w:rsidR="00D914ED">
        <w:rPr>
          <w:rFonts w:ascii="Arial" w:hAnsi="Arial" w:cs="Arial"/>
        </w:rPr>
        <w:t xml:space="preserve"> and </w:t>
      </w:r>
      <w:r w:rsidRPr="00327942">
        <w:rPr>
          <w:rFonts w:ascii="Arial" w:hAnsi="Arial" w:cs="Arial"/>
          <w:i/>
        </w:rPr>
        <w:t>Prinsloo v Newman</w:t>
      </w:r>
      <w:r w:rsidRPr="00327942">
        <w:rPr>
          <w:rFonts w:ascii="Arial" w:hAnsi="Arial" w:cs="Arial"/>
        </w:rPr>
        <w:t xml:space="preserve"> 1975 (1) SA 481 (A) at 492. </w:t>
      </w:r>
    </w:p>
  </w:footnote>
  <w:footnote w:id="27">
    <w:p w:rsidR="00EB0838" w:rsidRPr="00267DEA" w:rsidRDefault="00EB0838">
      <w:pPr>
        <w:pStyle w:val="FootnoteText"/>
        <w:rPr>
          <w:rFonts w:ascii="Arial" w:hAnsi="Arial" w:cs="Arial"/>
        </w:rPr>
      </w:pPr>
      <w:r w:rsidRPr="00267DEA">
        <w:rPr>
          <w:rStyle w:val="FootnoteReference"/>
          <w:rFonts w:ascii="Arial" w:hAnsi="Arial" w:cs="Arial"/>
        </w:rPr>
        <w:footnoteRef/>
      </w:r>
      <w:r w:rsidRPr="00267DEA">
        <w:rPr>
          <w:rFonts w:ascii="Arial" w:hAnsi="Arial" w:cs="Arial"/>
        </w:rPr>
        <w:t xml:space="preserve"> See </w:t>
      </w:r>
      <w:r w:rsidRPr="00267DEA">
        <w:rPr>
          <w:rFonts w:ascii="Arial" w:hAnsi="Arial" w:cs="Arial"/>
          <w:i/>
        </w:rPr>
        <w:t>Van der Merwe v Strydom</w:t>
      </w:r>
      <w:r w:rsidRPr="00267DEA">
        <w:rPr>
          <w:rFonts w:ascii="Arial" w:hAnsi="Arial" w:cs="Arial"/>
        </w:rPr>
        <w:t xml:space="preserve"> 1967 (3) SA 460 (A) at 467.</w:t>
      </w:r>
    </w:p>
  </w:footnote>
  <w:footnote w:id="28">
    <w:p w:rsidR="00EB0838" w:rsidRDefault="00EB0838" w:rsidP="00730ADE">
      <w:pPr>
        <w:pStyle w:val="FootnoteText"/>
      </w:pPr>
      <w:r>
        <w:rPr>
          <w:rStyle w:val="FootnoteReference"/>
        </w:rPr>
        <w:footnoteRef/>
      </w:r>
      <w:r>
        <w:t xml:space="preserve"> </w:t>
      </w:r>
      <w:r w:rsidR="004F0B0E">
        <w:rPr>
          <w:rFonts w:ascii="Arial" w:hAnsi="Arial" w:cs="Arial"/>
          <w:i/>
        </w:rPr>
        <w:t>Hathaway v State of New South W</w:t>
      </w:r>
      <w:r w:rsidR="005B17FC" w:rsidRPr="005B17FC">
        <w:rPr>
          <w:rFonts w:ascii="Arial" w:hAnsi="Arial" w:cs="Arial"/>
          <w:i/>
        </w:rPr>
        <w:t xml:space="preserve">ales </w:t>
      </w:r>
      <w:r w:rsidR="005B17FC" w:rsidRPr="005B17FC">
        <w:rPr>
          <w:rFonts w:ascii="Arial" w:hAnsi="Arial" w:cs="Arial"/>
        </w:rPr>
        <w:t>2009 NSWSC 116</w:t>
      </w:r>
      <w:r w:rsidR="005B17FC" w:rsidRPr="005B17FC">
        <w:rPr>
          <w:rFonts w:ascii="Arial" w:hAnsi="Arial" w:cs="Arial"/>
          <w:i/>
        </w:rPr>
        <w:t xml:space="preserve"> (Hathaway)</w:t>
      </w:r>
      <w:r w:rsidR="003C4AF6">
        <w:rPr>
          <w:rFonts w:ascii="Arial" w:hAnsi="Arial" w:cs="Arial"/>
          <w:i/>
        </w:rPr>
        <w:t>.</w:t>
      </w:r>
    </w:p>
  </w:footnote>
  <w:footnote w:id="29">
    <w:p w:rsidR="00EB0838" w:rsidRPr="00E24D53" w:rsidRDefault="00EB0838" w:rsidP="00B16D1A">
      <w:pPr>
        <w:pStyle w:val="FootnoteText"/>
        <w:rPr>
          <w:rFonts w:ascii="Arial" w:hAnsi="Arial" w:cs="Arial"/>
        </w:rPr>
      </w:pPr>
      <w:r w:rsidRPr="00E24D53">
        <w:rPr>
          <w:rStyle w:val="FootnoteReference"/>
          <w:rFonts w:ascii="Arial" w:hAnsi="Arial" w:cs="Arial"/>
        </w:rPr>
        <w:footnoteRef/>
      </w:r>
      <w:r w:rsidRPr="00E24D53">
        <w:rPr>
          <w:rFonts w:ascii="Arial" w:hAnsi="Arial" w:cs="Arial"/>
        </w:rPr>
        <w:t xml:space="preserve"> </w:t>
      </w:r>
      <w:r w:rsidRPr="00C2561C">
        <w:rPr>
          <w:rFonts w:ascii="Arial" w:hAnsi="Arial" w:cs="Arial"/>
          <w:i/>
        </w:rPr>
        <w:t>Mahupelo</w:t>
      </w:r>
      <w:r w:rsidRPr="00E24D53">
        <w:rPr>
          <w:rFonts w:ascii="Arial" w:hAnsi="Arial" w:cs="Arial"/>
        </w:rPr>
        <w:t xml:space="preserve"> para 82.</w:t>
      </w:r>
    </w:p>
  </w:footnote>
  <w:footnote w:id="30">
    <w:p w:rsidR="0070081A" w:rsidRPr="0070081A" w:rsidRDefault="0070081A" w:rsidP="004F0B0E">
      <w:pPr>
        <w:pStyle w:val="FootnoteText"/>
        <w:jc w:val="both"/>
        <w:rPr>
          <w:rFonts w:ascii="Arial" w:hAnsi="Arial" w:cs="Arial"/>
        </w:rPr>
      </w:pPr>
      <w:r w:rsidRPr="0070081A">
        <w:rPr>
          <w:rStyle w:val="FootnoteReference"/>
          <w:rFonts w:ascii="Arial" w:hAnsi="Arial" w:cs="Arial"/>
        </w:rPr>
        <w:footnoteRef/>
      </w:r>
      <w:r w:rsidRPr="0070081A">
        <w:rPr>
          <w:rFonts w:ascii="Arial" w:hAnsi="Arial" w:cs="Arial"/>
        </w:rPr>
        <w:t xml:space="preserve"> See </w:t>
      </w:r>
      <w:r w:rsidR="006475D9">
        <w:rPr>
          <w:rFonts w:ascii="Arial" w:hAnsi="Arial" w:cs="Arial"/>
        </w:rPr>
        <w:t xml:space="preserve">in this regard </w:t>
      </w:r>
      <w:r w:rsidRPr="00AF0EB3">
        <w:rPr>
          <w:rFonts w:ascii="Arial" w:hAnsi="Arial" w:cs="Arial"/>
          <w:i/>
        </w:rPr>
        <w:t>Van Noorden v Wiese</w:t>
      </w:r>
      <w:r w:rsidR="007466D6">
        <w:rPr>
          <w:rFonts w:ascii="Arial" w:hAnsi="Arial" w:cs="Arial"/>
        </w:rPr>
        <w:t xml:space="preserve"> (1883-</w:t>
      </w:r>
      <w:r w:rsidR="006475D9">
        <w:rPr>
          <w:rFonts w:ascii="Arial" w:hAnsi="Arial" w:cs="Arial"/>
        </w:rPr>
        <w:t xml:space="preserve">1884) 2 SC 43 as referred to with approval in </w:t>
      </w:r>
      <w:r w:rsidR="006475D9" w:rsidRPr="006475D9">
        <w:rPr>
          <w:rFonts w:ascii="Arial" w:hAnsi="Arial" w:cs="Arial"/>
          <w:i/>
        </w:rPr>
        <w:t>Mahupelo</w:t>
      </w:r>
      <w:r w:rsidR="006475D9">
        <w:rPr>
          <w:rFonts w:ascii="Arial" w:hAnsi="Arial" w:cs="Arial"/>
        </w:rPr>
        <w:t xml:space="preserve"> paras 56-</w:t>
      </w:r>
      <w:r w:rsidR="004F0B0E">
        <w:rPr>
          <w:rFonts w:ascii="Arial" w:hAnsi="Arial" w:cs="Arial"/>
        </w:rPr>
        <w:t>5</w:t>
      </w:r>
      <w:r w:rsidR="006475D9">
        <w:rPr>
          <w:rFonts w:ascii="Arial" w:hAnsi="Arial" w:cs="Arial"/>
        </w:rPr>
        <w:t>7</w:t>
      </w:r>
      <w:r w:rsidR="00C067CA">
        <w:rPr>
          <w:rFonts w:ascii="Arial" w:hAnsi="Arial" w:cs="Arial"/>
        </w:rPr>
        <w:t xml:space="preserve"> read with para 82 regarding the essential question of what changed in the </w:t>
      </w:r>
      <w:r w:rsidR="004F0B0E">
        <w:rPr>
          <w:rFonts w:ascii="Arial" w:hAnsi="Arial" w:cs="Arial"/>
        </w:rPr>
        <w:t>S</w:t>
      </w:r>
      <w:r w:rsidR="006D21DF">
        <w:rPr>
          <w:rFonts w:ascii="Arial" w:hAnsi="Arial" w:cs="Arial"/>
        </w:rPr>
        <w:t xml:space="preserve">tate’s case. </w:t>
      </w:r>
      <w:r w:rsidR="00230DE4">
        <w:rPr>
          <w:rFonts w:ascii="Arial" w:hAnsi="Arial" w:cs="Arial"/>
        </w:rPr>
        <w:t xml:space="preserve"> </w:t>
      </w:r>
    </w:p>
  </w:footnote>
  <w:footnote w:id="31">
    <w:p w:rsidR="00FF3F38" w:rsidRPr="00CF66A6" w:rsidRDefault="00FF3F38" w:rsidP="00FF3F38">
      <w:pPr>
        <w:pStyle w:val="FootnoteText"/>
        <w:rPr>
          <w:rFonts w:ascii="Arial" w:hAnsi="Arial" w:cs="Arial"/>
        </w:rPr>
      </w:pPr>
      <w:r w:rsidRPr="00CF66A6">
        <w:rPr>
          <w:rStyle w:val="FootnoteReference"/>
          <w:rFonts w:ascii="Arial" w:hAnsi="Arial" w:cs="Arial"/>
        </w:rPr>
        <w:footnoteRef/>
      </w:r>
      <w:r w:rsidRPr="00CF66A6">
        <w:rPr>
          <w:rFonts w:ascii="Arial" w:hAnsi="Arial" w:cs="Arial"/>
        </w:rPr>
        <w:t xml:space="preserve"> </w:t>
      </w:r>
      <w:r w:rsidRPr="00CF66A6">
        <w:rPr>
          <w:rFonts w:ascii="Arial" w:hAnsi="Arial" w:cs="Arial"/>
          <w:i/>
        </w:rPr>
        <w:t>Mahupelo</w:t>
      </w:r>
      <w:r w:rsidRPr="00CF66A6">
        <w:rPr>
          <w:rFonts w:ascii="Arial" w:hAnsi="Arial" w:cs="Arial"/>
        </w:rPr>
        <w:t xml:space="preserve"> para 85.</w:t>
      </w:r>
    </w:p>
  </w:footnote>
  <w:footnote w:id="32">
    <w:p w:rsidR="00FF3F38" w:rsidRPr="00EF03C1" w:rsidRDefault="00FF3F38" w:rsidP="00FF3F38">
      <w:pPr>
        <w:pStyle w:val="FootnoteText"/>
        <w:rPr>
          <w:rFonts w:ascii="Arial" w:hAnsi="Arial" w:cs="Arial"/>
        </w:rPr>
      </w:pPr>
      <w:r w:rsidRPr="00EF03C1">
        <w:rPr>
          <w:rStyle w:val="FootnoteReference"/>
          <w:rFonts w:ascii="Arial" w:hAnsi="Arial" w:cs="Arial"/>
        </w:rPr>
        <w:footnoteRef/>
      </w:r>
      <w:r w:rsidRPr="00EF03C1">
        <w:rPr>
          <w:rFonts w:ascii="Arial" w:hAnsi="Arial" w:cs="Arial"/>
        </w:rPr>
        <w:t xml:space="preserve"> </w:t>
      </w:r>
      <w:r w:rsidRPr="004F0B0E">
        <w:rPr>
          <w:rFonts w:ascii="Arial" w:hAnsi="Arial" w:cs="Arial"/>
          <w:i/>
        </w:rPr>
        <w:t>Id</w:t>
      </w:r>
      <w:r w:rsidR="004F0B0E">
        <w:rPr>
          <w:rFonts w:ascii="Arial" w:hAnsi="Arial" w:cs="Arial"/>
        </w:rPr>
        <w:t xml:space="preserve"> </w:t>
      </w:r>
      <w:r w:rsidRPr="00EF03C1">
        <w:rPr>
          <w:rFonts w:ascii="Arial" w:hAnsi="Arial" w:cs="Arial"/>
        </w:rPr>
        <w:t>para 83.</w:t>
      </w:r>
    </w:p>
  </w:footnote>
  <w:footnote w:id="33">
    <w:p w:rsidR="0072344F" w:rsidRPr="0072344F" w:rsidRDefault="0072344F">
      <w:pPr>
        <w:pStyle w:val="FootnoteText"/>
        <w:rPr>
          <w:rFonts w:ascii="Arial" w:hAnsi="Arial" w:cs="Arial"/>
        </w:rPr>
      </w:pPr>
      <w:r w:rsidRPr="0072344F">
        <w:rPr>
          <w:rStyle w:val="FootnoteReference"/>
          <w:rFonts w:ascii="Arial" w:hAnsi="Arial" w:cs="Arial"/>
        </w:rPr>
        <w:footnoteRef/>
      </w:r>
      <w:r w:rsidRPr="0072344F">
        <w:rPr>
          <w:rFonts w:ascii="Arial" w:hAnsi="Arial" w:cs="Arial"/>
        </w:rPr>
        <w:t xml:space="preserve"> See </w:t>
      </w:r>
      <w:r w:rsidRPr="0072344F">
        <w:rPr>
          <w:rFonts w:ascii="Arial" w:hAnsi="Arial" w:cs="Arial"/>
          <w:i/>
        </w:rPr>
        <w:t>Mahupelo</w:t>
      </w:r>
      <w:r w:rsidRPr="0072344F">
        <w:rPr>
          <w:rFonts w:ascii="Arial" w:hAnsi="Arial" w:cs="Arial"/>
        </w:rPr>
        <w:t xml:space="preserve"> para 92.</w:t>
      </w:r>
    </w:p>
  </w:footnote>
  <w:footnote w:id="34">
    <w:p w:rsidR="00EB0838" w:rsidRPr="007F444E" w:rsidRDefault="00EB0838">
      <w:pPr>
        <w:pStyle w:val="FootnoteText"/>
        <w:rPr>
          <w:rFonts w:ascii="Arial" w:hAnsi="Arial" w:cs="Arial"/>
        </w:rPr>
      </w:pPr>
      <w:r w:rsidRPr="007F444E">
        <w:rPr>
          <w:rStyle w:val="FootnoteReference"/>
          <w:rFonts w:ascii="Arial" w:hAnsi="Arial" w:cs="Arial"/>
        </w:rPr>
        <w:footnoteRef/>
      </w:r>
      <w:r w:rsidRPr="007F444E">
        <w:rPr>
          <w:rFonts w:ascii="Arial" w:hAnsi="Arial" w:cs="Arial"/>
        </w:rPr>
        <w:t xml:space="preserve"> </w:t>
      </w:r>
      <w:r w:rsidRPr="00504524">
        <w:rPr>
          <w:rFonts w:ascii="Arial" w:hAnsi="Arial" w:cs="Arial"/>
        </w:rPr>
        <w:t xml:space="preserve">See </w:t>
      </w:r>
      <w:r w:rsidR="00F27728" w:rsidRPr="009559F6">
        <w:rPr>
          <w:rFonts w:ascii="Arial" w:hAnsi="Arial" w:cs="Arial"/>
          <w:i/>
        </w:rPr>
        <w:t>S v Lubaxa</w:t>
      </w:r>
      <w:r w:rsidR="00F27728">
        <w:rPr>
          <w:rFonts w:ascii="Arial" w:hAnsi="Arial" w:cs="Arial"/>
        </w:rPr>
        <w:t xml:space="preserve"> 2001 (4) SA 1251 (SCA) </w:t>
      </w:r>
      <w:r w:rsidR="004B15FC">
        <w:rPr>
          <w:rFonts w:ascii="Arial" w:hAnsi="Arial" w:cs="Arial"/>
        </w:rPr>
        <w:t>(</w:t>
      </w:r>
      <w:r w:rsidR="004B15FC" w:rsidRPr="009559F6">
        <w:rPr>
          <w:rFonts w:ascii="Arial" w:hAnsi="Arial" w:cs="Arial"/>
          <w:i/>
        </w:rPr>
        <w:t>Lubaxa</w:t>
      </w:r>
      <w:r w:rsidR="004B15FC">
        <w:rPr>
          <w:rFonts w:ascii="Arial" w:hAnsi="Arial" w:cs="Arial"/>
        </w:rPr>
        <w:t xml:space="preserve">) </w:t>
      </w:r>
      <w:r w:rsidR="000B6AFD">
        <w:rPr>
          <w:rFonts w:ascii="Arial" w:hAnsi="Arial" w:cs="Arial"/>
        </w:rPr>
        <w:t xml:space="preserve">and </w:t>
      </w:r>
      <w:r w:rsidR="004F0B0E">
        <w:rPr>
          <w:rFonts w:ascii="Arial" w:hAnsi="Arial" w:cs="Arial"/>
          <w:i/>
        </w:rPr>
        <w:t>State v Banda &amp; o</w:t>
      </w:r>
      <w:r w:rsidRPr="00504524">
        <w:rPr>
          <w:rFonts w:ascii="Arial" w:hAnsi="Arial" w:cs="Arial"/>
          <w:i/>
        </w:rPr>
        <w:t xml:space="preserve">thers </w:t>
      </w:r>
      <w:r w:rsidRPr="00504524">
        <w:rPr>
          <w:rFonts w:ascii="Arial" w:hAnsi="Arial" w:cs="Arial"/>
        </w:rPr>
        <w:t>1990 (3) SA</w:t>
      </w:r>
      <w:r w:rsidR="0040588A">
        <w:rPr>
          <w:rFonts w:ascii="Arial" w:hAnsi="Arial" w:cs="Arial"/>
        </w:rPr>
        <w:t xml:space="preserve"> 466 quoted with approval in </w:t>
      </w:r>
      <w:r w:rsidRPr="00504524">
        <w:rPr>
          <w:rFonts w:ascii="Arial" w:hAnsi="Arial" w:cs="Arial"/>
        </w:rPr>
        <w:t>Namibian and South African case law.</w:t>
      </w:r>
    </w:p>
  </w:footnote>
  <w:footnote w:id="35">
    <w:p w:rsidR="00EB0838" w:rsidRPr="00D971C3" w:rsidRDefault="00EB0838">
      <w:pPr>
        <w:pStyle w:val="FootnoteText"/>
        <w:rPr>
          <w:rFonts w:ascii="Arial" w:hAnsi="Arial" w:cs="Arial"/>
        </w:rPr>
      </w:pPr>
      <w:r w:rsidRPr="00D971C3">
        <w:rPr>
          <w:rStyle w:val="FootnoteReference"/>
          <w:rFonts w:ascii="Arial" w:hAnsi="Arial" w:cs="Arial"/>
        </w:rPr>
        <w:footnoteRef/>
      </w:r>
      <w:r w:rsidRPr="00D971C3">
        <w:rPr>
          <w:rFonts w:ascii="Arial" w:hAnsi="Arial" w:cs="Arial"/>
        </w:rPr>
        <w:t xml:space="preserve"> </w:t>
      </w:r>
      <w:r w:rsidR="004F0B0E">
        <w:rPr>
          <w:rFonts w:ascii="Arial" w:hAnsi="Arial" w:cs="Arial"/>
        </w:rPr>
        <w:t>High Court j</w:t>
      </w:r>
      <w:r>
        <w:rPr>
          <w:rFonts w:ascii="Arial" w:hAnsi="Arial" w:cs="Arial"/>
        </w:rPr>
        <w:t>udg</w:t>
      </w:r>
      <w:r w:rsidR="004F0B0E">
        <w:rPr>
          <w:rFonts w:ascii="Arial" w:hAnsi="Arial" w:cs="Arial"/>
        </w:rPr>
        <w:t>ment</w:t>
      </w:r>
      <w:r w:rsidRPr="00D971C3">
        <w:rPr>
          <w:rFonts w:ascii="Arial" w:hAnsi="Arial" w:cs="Arial"/>
        </w:rPr>
        <w:t xml:space="preserve"> para 97.</w:t>
      </w:r>
    </w:p>
  </w:footnote>
  <w:footnote w:id="36">
    <w:p w:rsidR="00EB0838" w:rsidRDefault="00EB0838">
      <w:pPr>
        <w:pStyle w:val="FootnoteText"/>
      </w:pPr>
      <w:r>
        <w:rPr>
          <w:rStyle w:val="FootnoteReference"/>
        </w:rPr>
        <w:footnoteRef/>
      </w:r>
      <w:r w:rsidRPr="004F0B0E">
        <w:rPr>
          <w:rFonts w:ascii="Arial" w:hAnsi="Arial" w:cs="Arial"/>
          <w:i/>
        </w:rPr>
        <w:t>Id</w:t>
      </w:r>
      <w:r w:rsidRPr="00D971C3">
        <w:rPr>
          <w:rFonts w:ascii="Arial" w:hAnsi="Arial" w:cs="Arial"/>
        </w:rPr>
        <w:t xml:space="preserve"> para </w:t>
      </w:r>
      <w:r w:rsidR="003762A8" w:rsidRPr="003762A8">
        <w:rPr>
          <w:rFonts w:ascii="Arial" w:hAnsi="Arial" w:cs="Arial"/>
        </w:rPr>
        <w:t>92.</w:t>
      </w:r>
    </w:p>
  </w:footnote>
  <w:footnote w:id="37">
    <w:p w:rsidR="00EB0838" w:rsidRPr="00D73F97" w:rsidRDefault="00EB0838">
      <w:pPr>
        <w:pStyle w:val="FootnoteText"/>
        <w:rPr>
          <w:rFonts w:ascii="Arial" w:hAnsi="Arial" w:cs="Arial"/>
        </w:rPr>
      </w:pPr>
      <w:r w:rsidRPr="00D73F97">
        <w:rPr>
          <w:rStyle w:val="FootnoteReference"/>
          <w:rFonts w:ascii="Arial" w:hAnsi="Arial" w:cs="Arial"/>
        </w:rPr>
        <w:footnoteRef/>
      </w:r>
      <w:r w:rsidRPr="004F0B0E">
        <w:rPr>
          <w:rFonts w:ascii="Arial" w:hAnsi="Arial" w:cs="Arial"/>
          <w:i/>
        </w:rPr>
        <w:t>Id</w:t>
      </w:r>
      <w:r w:rsidRPr="00D73F97">
        <w:rPr>
          <w:rFonts w:ascii="Arial" w:hAnsi="Arial" w:cs="Arial"/>
        </w:rPr>
        <w:t xml:space="preserve"> para 94.</w:t>
      </w:r>
    </w:p>
  </w:footnote>
  <w:footnote w:id="38">
    <w:p w:rsidR="004465CB" w:rsidRPr="004465CB" w:rsidRDefault="004465CB">
      <w:pPr>
        <w:pStyle w:val="FootnoteText"/>
        <w:rPr>
          <w:rFonts w:ascii="Arial" w:hAnsi="Arial" w:cs="Arial"/>
        </w:rPr>
      </w:pPr>
      <w:r w:rsidRPr="004465CB">
        <w:rPr>
          <w:rStyle w:val="FootnoteReference"/>
          <w:rFonts w:ascii="Arial" w:hAnsi="Arial" w:cs="Arial"/>
        </w:rPr>
        <w:footnoteRef/>
      </w:r>
      <w:r w:rsidRPr="004465CB">
        <w:rPr>
          <w:rFonts w:ascii="Arial" w:hAnsi="Arial" w:cs="Arial"/>
        </w:rPr>
        <w:t>1970 (3) SA 747 (A) at 752.</w:t>
      </w:r>
    </w:p>
  </w:footnote>
  <w:footnote w:id="39">
    <w:p w:rsidR="00AD6A7C" w:rsidRPr="009559F6" w:rsidRDefault="00AD6A7C" w:rsidP="00AD6A7C">
      <w:pPr>
        <w:pStyle w:val="FootnoteText"/>
        <w:rPr>
          <w:rFonts w:ascii="Arial" w:hAnsi="Arial" w:cs="Arial"/>
        </w:rPr>
      </w:pPr>
      <w:r w:rsidRPr="00D35F4A">
        <w:rPr>
          <w:rStyle w:val="FootnoteReference"/>
          <w:rFonts w:ascii="Arial" w:hAnsi="Arial" w:cs="Arial"/>
        </w:rPr>
        <w:footnoteRef/>
      </w:r>
      <w:r w:rsidRPr="00D35F4A">
        <w:rPr>
          <w:rFonts w:ascii="Arial" w:hAnsi="Arial" w:cs="Arial"/>
        </w:rPr>
        <w:t xml:space="preserve"> </w:t>
      </w:r>
      <w:r w:rsidRPr="00D35F4A">
        <w:rPr>
          <w:rFonts w:ascii="Arial" w:hAnsi="Arial" w:cs="Arial"/>
          <w:i/>
        </w:rPr>
        <w:t>Lubaxa</w:t>
      </w:r>
      <w:r w:rsidR="00733B80">
        <w:rPr>
          <w:rFonts w:ascii="Arial" w:hAnsi="Arial" w:cs="Arial"/>
        </w:rPr>
        <w:t xml:space="preserve"> </w:t>
      </w:r>
      <w:r w:rsidRPr="00D35F4A">
        <w:rPr>
          <w:rFonts w:ascii="Arial" w:hAnsi="Arial" w:cs="Arial"/>
        </w:rPr>
        <w:t xml:space="preserve">paras </w:t>
      </w:r>
      <w:r w:rsidRPr="00751DFF">
        <w:rPr>
          <w:rFonts w:ascii="Arial" w:hAnsi="Arial" w:cs="Arial"/>
        </w:rPr>
        <w:t>15 and 20.</w:t>
      </w:r>
    </w:p>
  </w:footnote>
  <w:footnote w:id="40">
    <w:p w:rsidR="00EB0838" w:rsidRPr="004C2D20" w:rsidRDefault="00EB0838">
      <w:pPr>
        <w:pStyle w:val="FootnoteText"/>
        <w:rPr>
          <w:rFonts w:ascii="Arial" w:hAnsi="Arial" w:cs="Arial"/>
        </w:rPr>
      </w:pPr>
      <w:r w:rsidRPr="004C2D20">
        <w:rPr>
          <w:rStyle w:val="FootnoteReference"/>
          <w:rFonts w:ascii="Arial" w:hAnsi="Arial" w:cs="Arial"/>
        </w:rPr>
        <w:footnoteRef/>
      </w:r>
      <w:r w:rsidR="00733B80">
        <w:rPr>
          <w:rFonts w:ascii="Arial" w:hAnsi="Arial" w:cs="Arial"/>
        </w:rPr>
        <w:t xml:space="preserve"> High Court judgment</w:t>
      </w:r>
      <w:r w:rsidRPr="004C2D20">
        <w:rPr>
          <w:rFonts w:ascii="Arial" w:hAnsi="Arial" w:cs="Arial"/>
        </w:rPr>
        <w:t xml:space="preserve"> para 98.</w:t>
      </w:r>
    </w:p>
  </w:footnote>
  <w:footnote w:id="41">
    <w:p w:rsidR="006F66EB" w:rsidRDefault="006F66EB">
      <w:pPr>
        <w:pStyle w:val="FootnoteText"/>
      </w:pPr>
      <w:r w:rsidRPr="00F0381B">
        <w:rPr>
          <w:rStyle w:val="FootnoteReference"/>
          <w:rFonts w:ascii="Arial" w:hAnsi="Arial" w:cs="Arial"/>
        </w:rPr>
        <w:footnoteRef/>
      </w:r>
      <w:r w:rsidR="00733B80">
        <w:rPr>
          <w:rFonts w:ascii="Arial" w:hAnsi="Arial" w:cs="Arial"/>
        </w:rPr>
        <w:t xml:space="preserve"> P</w:t>
      </w:r>
      <w:r w:rsidR="00F0381B" w:rsidRPr="00F0381B">
        <w:rPr>
          <w:rFonts w:ascii="Arial" w:hAnsi="Arial" w:cs="Arial"/>
        </w:rPr>
        <w:t>ara 100.</w:t>
      </w:r>
    </w:p>
  </w:footnote>
  <w:footnote w:id="42">
    <w:p w:rsidR="00771182" w:rsidRPr="00771182" w:rsidRDefault="00771182">
      <w:pPr>
        <w:pStyle w:val="FootnoteText"/>
        <w:rPr>
          <w:rFonts w:ascii="Arial" w:hAnsi="Arial" w:cs="Arial"/>
        </w:rPr>
      </w:pPr>
      <w:r w:rsidRPr="00771182">
        <w:rPr>
          <w:rStyle w:val="FootnoteReference"/>
          <w:rFonts w:ascii="Arial" w:hAnsi="Arial" w:cs="Arial"/>
        </w:rPr>
        <w:footnoteRef/>
      </w:r>
      <w:r w:rsidR="00733B80">
        <w:rPr>
          <w:rFonts w:ascii="Arial" w:hAnsi="Arial" w:cs="Arial"/>
        </w:rPr>
        <w:t xml:space="preserve"> High Court judgment</w:t>
      </w:r>
      <w:r w:rsidRPr="00771182">
        <w:rPr>
          <w:rFonts w:ascii="Arial" w:hAnsi="Arial" w:cs="Arial"/>
        </w:rPr>
        <w:t xml:space="preserve"> para 101.</w:t>
      </w:r>
    </w:p>
  </w:footnote>
  <w:footnote w:id="43">
    <w:p w:rsidR="00554E8F" w:rsidRPr="00554E8F" w:rsidRDefault="00554E8F">
      <w:pPr>
        <w:pStyle w:val="FootnoteText"/>
        <w:rPr>
          <w:rFonts w:ascii="Arial" w:hAnsi="Arial" w:cs="Arial"/>
        </w:rPr>
      </w:pPr>
      <w:r w:rsidRPr="00554E8F">
        <w:rPr>
          <w:rStyle w:val="FootnoteReference"/>
          <w:rFonts w:ascii="Arial" w:hAnsi="Arial" w:cs="Arial"/>
        </w:rPr>
        <w:footnoteRef/>
      </w:r>
      <w:r w:rsidR="00733B80">
        <w:rPr>
          <w:rFonts w:ascii="Arial" w:hAnsi="Arial" w:cs="Arial"/>
        </w:rPr>
        <w:t xml:space="preserve"> P</w:t>
      </w:r>
      <w:r w:rsidR="00B85DA3">
        <w:rPr>
          <w:rFonts w:ascii="Arial" w:hAnsi="Arial" w:cs="Arial"/>
        </w:rPr>
        <w:t>ara</w:t>
      </w:r>
      <w:r w:rsidR="000D740A">
        <w:rPr>
          <w:rFonts w:ascii="Arial" w:hAnsi="Arial" w:cs="Arial"/>
        </w:rPr>
        <w:t>s 96-</w:t>
      </w:r>
      <w:r w:rsidR="00733B80">
        <w:rPr>
          <w:rFonts w:ascii="Arial" w:hAnsi="Arial" w:cs="Arial"/>
        </w:rPr>
        <w:t>9</w:t>
      </w:r>
      <w:r w:rsidR="000D740A">
        <w:rPr>
          <w:rFonts w:ascii="Arial" w:hAnsi="Arial" w:cs="Arial"/>
        </w:rPr>
        <w:t>9.</w:t>
      </w:r>
      <w:r w:rsidR="00B85DA3">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EB0838" w:rsidRDefault="00EB083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EB0838" w:rsidRDefault="00EB08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284777"/>
      <w:docPartObj>
        <w:docPartGallery w:val="Page Numbers (Top of Page)"/>
        <w:docPartUnique/>
      </w:docPartObj>
    </w:sdtPr>
    <w:sdtEndPr>
      <w:rPr>
        <w:rFonts w:ascii="Arial" w:hAnsi="Arial" w:cs="Arial"/>
        <w:noProof/>
      </w:rPr>
    </w:sdtEndPr>
    <w:sdtContent>
      <w:p w:rsidR="00EB0838" w:rsidRPr="00E856AA" w:rsidRDefault="00EB0838">
        <w:pPr>
          <w:pStyle w:val="Header"/>
          <w:jc w:val="right"/>
          <w:rPr>
            <w:rFonts w:ascii="Arial" w:hAnsi="Arial" w:cs="Arial"/>
          </w:rPr>
        </w:pPr>
        <w:r w:rsidRPr="00E856AA">
          <w:rPr>
            <w:rFonts w:ascii="Arial" w:hAnsi="Arial" w:cs="Arial"/>
          </w:rPr>
          <w:fldChar w:fldCharType="begin"/>
        </w:r>
        <w:r w:rsidRPr="00E856AA">
          <w:rPr>
            <w:rFonts w:ascii="Arial" w:hAnsi="Arial" w:cs="Arial"/>
          </w:rPr>
          <w:instrText xml:space="preserve"> PAGE   \* MERGEFORMAT </w:instrText>
        </w:r>
        <w:r w:rsidRPr="00E856AA">
          <w:rPr>
            <w:rFonts w:ascii="Arial" w:hAnsi="Arial" w:cs="Arial"/>
          </w:rPr>
          <w:fldChar w:fldCharType="separate"/>
        </w:r>
        <w:r w:rsidR="00955F6F">
          <w:rPr>
            <w:rFonts w:ascii="Arial" w:hAnsi="Arial" w:cs="Arial"/>
            <w:noProof/>
          </w:rPr>
          <w:t>21</w:t>
        </w:r>
        <w:r w:rsidRPr="00E856AA">
          <w:rPr>
            <w:rFonts w:ascii="Arial" w:hAnsi="Arial" w:cs="Arial"/>
            <w:noProof/>
          </w:rPr>
          <w:fldChar w:fldCharType="end"/>
        </w:r>
      </w:p>
    </w:sdtContent>
  </w:sdt>
  <w:p w:rsidR="00EB0838" w:rsidRDefault="00EB08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25C4F"/>
    <w:multiLevelType w:val="hybridMultilevel"/>
    <w:tmpl w:val="0E505ACA"/>
    <w:lvl w:ilvl="0" w:tplc="1F38177A">
      <w:start w:val="3"/>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1DFF6F24"/>
    <w:multiLevelType w:val="hybridMultilevel"/>
    <w:tmpl w:val="EEA24CF4"/>
    <w:lvl w:ilvl="0" w:tplc="3508F53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56E26C3"/>
    <w:multiLevelType w:val="hybridMultilevel"/>
    <w:tmpl w:val="A3847782"/>
    <w:lvl w:ilvl="0" w:tplc="B2AACC5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2581D3E"/>
    <w:multiLevelType w:val="hybridMultilevel"/>
    <w:tmpl w:val="499EC02E"/>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0150B37"/>
    <w:multiLevelType w:val="hybridMultilevel"/>
    <w:tmpl w:val="52B676E0"/>
    <w:lvl w:ilvl="0" w:tplc="3126DF5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660A5594"/>
    <w:multiLevelType w:val="hybridMultilevel"/>
    <w:tmpl w:val="B15C873A"/>
    <w:lvl w:ilvl="0" w:tplc="1F38177A">
      <w:start w:val="3"/>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0B"/>
    <w:rsid w:val="00002095"/>
    <w:rsid w:val="000102E6"/>
    <w:rsid w:val="0001717D"/>
    <w:rsid w:val="000203B7"/>
    <w:rsid w:val="0002218C"/>
    <w:rsid w:val="000273D5"/>
    <w:rsid w:val="00035A82"/>
    <w:rsid w:val="0004038F"/>
    <w:rsid w:val="00042458"/>
    <w:rsid w:val="00043ACB"/>
    <w:rsid w:val="000452C6"/>
    <w:rsid w:val="00045E77"/>
    <w:rsid w:val="0004736E"/>
    <w:rsid w:val="00052F84"/>
    <w:rsid w:val="00054F0E"/>
    <w:rsid w:val="00056625"/>
    <w:rsid w:val="00064DF7"/>
    <w:rsid w:val="000651B0"/>
    <w:rsid w:val="0006717B"/>
    <w:rsid w:val="000756AF"/>
    <w:rsid w:val="00076DAA"/>
    <w:rsid w:val="00081247"/>
    <w:rsid w:val="00090166"/>
    <w:rsid w:val="000929FA"/>
    <w:rsid w:val="00095A9E"/>
    <w:rsid w:val="000B03B4"/>
    <w:rsid w:val="000B472F"/>
    <w:rsid w:val="000B6AFD"/>
    <w:rsid w:val="000B715D"/>
    <w:rsid w:val="000D38CC"/>
    <w:rsid w:val="000D740A"/>
    <w:rsid w:val="000E3A44"/>
    <w:rsid w:val="000E7999"/>
    <w:rsid w:val="000F1982"/>
    <w:rsid w:val="000F7E65"/>
    <w:rsid w:val="00104A08"/>
    <w:rsid w:val="00110E27"/>
    <w:rsid w:val="00124F12"/>
    <w:rsid w:val="00125894"/>
    <w:rsid w:val="0012657E"/>
    <w:rsid w:val="00131F8C"/>
    <w:rsid w:val="001320A8"/>
    <w:rsid w:val="001337D7"/>
    <w:rsid w:val="00135E7E"/>
    <w:rsid w:val="001426E8"/>
    <w:rsid w:val="00142CC2"/>
    <w:rsid w:val="00143794"/>
    <w:rsid w:val="00152A5F"/>
    <w:rsid w:val="001551E1"/>
    <w:rsid w:val="00160D5F"/>
    <w:rsid w:val="00163FFD"/>
    <w:rsid w:val="00175991"/>
    <w:rsid w:val="001777A0"/>
    <w:rsid w:val="0019740C"/>
    <w:rsid w:val="001B5B94"/>
    <w:rsid w:val="001C5083"/>
    <w:rsid w:val="001C6511"/>
    <w:rsid w:val="001D1F26"/>
    <w:rsid w:val="001D7932"/>
    <w:rsid w:val="001E0639"/>
    <w:rsid w:val="001E09EA"/>
    <w:rsid w:val="001E43C1"/>
    <w:rsid w:val="001F4262"/>
    <w:rsid w:val="00206F14"/>
    <w:rsid w:val="00211C33"/>
    <w:rsid w:val="00212A7F"/>
    <w:rsid w:val="002141DB"/>
    <w:rsid w:val="00220FFE"/>
    <w:rsid w:val="00221FB6"/>
    <w:rsid w:val="0022377E"/>
    <w:rsid w:val="0022423C"/>
    <w:rsid w:val="00225033"/>
    <w:rsid w:val="002273AC"/>
    <w:rsid w:val="00230DE4"/>
    <w:rsid w:val="00236D91"/>
    <w:rsid w:val="00245A31"/>
    <w:rsid w:val="00250DB0"/>
    <w:rsid w:val="00251CC7"/>
    <w:rsid w:val="00261937"/>
    <w:rsid w:val="00263A8D"/>
    <w:rsid w:val="0026614D"/>
    <w:rsid w:val="00267DEA"/>
    <w:rsid w:val="00272F44"/>
    <w:rsid w:val="0027453C"/>
    <w:rsid w:val="00281B6D"/>
    <w:rsid w:val="002844C7"/>
    <w:rsid w:val="00291669"/>
    <w:rsid w:val="002922C7"/>
    <w:rsid w:val="0029399D"/>
    <w:rsid w:val="002973EF"/>
    <w:rsid w:val="002A1067"/>
    <w:rsid w:val="002A2A2E"/>
    <w:rsid w:val="002A2E14"/>
    <w:rsid w:val="002A340E"/>
    <w:rsid w:val="002A39DB"/>
    <w:rsid w:val="002A6107"/>
    <w:rsid w:val="002A6459"/>
    <w:rsid w:val="002A6FA8"/>
    <w:rsid w:val="002C24AD"/>
    <w:rsid w:val="002C6E90"/>
    <w:rsid w:val="002D152A"/>
    <w:rsid w:val="002D39BB"/>
    <w:rsid w:val="002D4847"/>
    <w:rsid w:val="002D6A42"/>
    <w:rsid w:val="002D741C"/>
    <w:rsid w:val="002F0509"/>
    <w:rsid w:val="002F2B3F"/>
    <w:rsid w:val="002F5818"/>
    <w:rsid w:val="002F794F"/>
    <w:rsid w:val="00310732"/>
    <w:rsid w:val="00311505"/>
    <w:rsid w:val="0031342C"/>
    <w:rsid w:val="003168F3"/>
    <w:rsid w:val="00317293"/>
    <w:rsid w:val="003207F1"/>
    <w:rsid w:val="003240D6"/>
    <w:rsid w:val="00327942"/>
    <w:rsid w:val="003324C3"/>
    <w:rsid w:val="003329FF"/>
    <w:rsid w:val="00336A48"/>
    <w:rsid w:val="00337571"/>
    <w:rsid w:val="003421F0"/>
    <w:rsid w:val="00343D95"/>
    <w:rsid w:val="00344176"/>
    <w:rsid w:val="003447AF"/>
    <w:rsid w:val="00344F68"/>
    <w:rsid w:val="00360C33"/>
    <w:rsid w:val="00360D9D"/>
    <w:rsid w:val="003666EE"/>
    <w:rsid w:val="003704AB"/>
    <w:rsid w:val="00370876"/>
    <w:rsid w:val="003762A8"/>
    <w:rsid w:val="0038136C"/>
    <w:rsid w:val="00384176"/>
    <w:rsid w:val="0038677C"/>
    <w:rsid w:val="003931DF"/>
    <w:rsid w:val="003B098D"/>
    <w:rsid w:val="003B3164"/>
    <w:rsid w:val="003B38FB"/>
    <w:rsid w:val="003C3F86"/>
    <w:rsid w:val="003C4AF6"/>
    <w:rsid w:val="003C4D51"/>
    <w:rsid w:val="003C6074"/>
    <w:rsid w:val="003E341E"/>
    <w:rsid w:val="003E5F0D"/>
    <w:rsid w:val="003E7EC6"/>
    <w:rsid w:val="003F74E9"/>
    <w:rsid w:val="004019E5"/>
    <w:rsid w:val="00402149"/>
    <w:rsid w:val="00403102"/>
    <w:rsid w:val="0040588A"/>
    <w:rsid w:val="0041070F"/>
    <w:rsid w:val="0041175E"/>
    <w:rsid w:val="004133D7"/>
    <w:rsid w:val="00420FAC"/>
    <w:rsid w:val="004231C3"/>
    <w:rsid w:val="004239BD"/>
    <w:rsid w:val="004251A1"/>
    <w:rsid w:val="00431B33"/>
    <w:rsid w:val="00436223"/>
    <w:rsid w:val="004465CB"/>
    <w:rsid w:val="004509DF"/>
    <w:rsid w:val="00454EC2"/>
    <w:rsid w:val="00455650"/>
    <w:rsid w:val="00457B29"/>
    <w:rsid w:val="00460267"/>
    <w:rsid w:val="0046083F"/>
    <w:rsid w:val="00480024"/>
    <w:rsid w:val="004805DA"/>
    <w:rsid w:val="00491869"/>
    <w:rsid w:val="00494A49"/>
    <w:rsid w:val="0049765A"/>
    <w:rsid w:val="004B15FC"/>
    <w:rsid w:val="004B2782"/>
    <w:rsid w:val="004B67AF"/>
    <w:rsid w:val="004C0CB1"/>
    <w:rsid w:val="004C2D20"/>
    <w:rsid w:val="004C5AEA"/>
    <w:rsid w:val="004C68BF"/>
    <w:rsid w:val="004D1E27"/>
    <w:rsid w:val="004D6713"/>
    <w:rsid w:val="004E0EC0"/>
    <w:rsid w:val="004E1975"/>
    <w:rsid w:val="004E2921"/>
    <w:rsid w:val="004E4F30"/>
    <w:rsid w:val="004F05DD"/>
    <w:rsid w:val="004F0B0E"/>
    <w:rsid w:val="004F5A2C"/>
    <w:rsid w:val="004F7186"/>
    <w:rsid w:val="004F7501"/>
    <w:rsid w:val="005010FD"/>
    <w:rsid w:val="00503967"/>
    <w:rsid w:val="00504524"/>
    <w:rsid w:val="005104F0"/>
    <w:rsid w:val="00520439"/>
    <w:rsid w:val="00520C6B"/>
    <w:rsid w:val="005214B1"/>
    <w:rsid w:val="005214BB"/>
    <w:rsid w:val="005225AE"/>
    <w:rsid w:val="00522FBD"/>
    <w:rsid w:val="0054500A"/>
    <w:rsid w:val="00554E8F"/>
    <w:rsid w:val="005564BC"/>
    <w:rsid w:val="00556C30"/>
    <w:rsid w:val="00570F82"/>
    <w:rsid w:val="005712D1"/>
    <w:rsid w:val="0057148B"/>
    <w:rsid w:val="005A2132"/>
    <w:rsid w:val="005A468C"/>
    <w:rsid w:val="005A7D7F"/>
    <w:rsid w:val="005B17FC"/>
    <w:rsid w:val="005C3937"/>
    <w:rsid w:val="005C4087"/>
    <w:rsid w:val="005D49B9"/>
    <w:rsid w:val="005D4F77"/>
    <w:rsid w:val="005D5EEF"/>
    <w:rsid w:val="005E2BCB"/>
    <w:rsid w:val="005E419D"/>
    <w:rsid w:val="005E5805"/>
    <w:rsid w:val="005E5894"/>
    <w:rsid w:val="005F5828"/>
    <w:rsid w:val="00600660"/>
    <w:rsid w:val="00600F10"/>
    <w:rsid w:val="00605B66"/>
    <w:rsid w:val="00611F6B"/>
    <w:rsid w:val="00612EAE"/>
    <w:rsid w:val="006140BE"/>
    <w:rsid w:val="00617897"/>
    <w:rsid w:val="00634BED"/>
    <w:rsid w:val="006351EA"/>
    <w:rsid w:val="006363E4"/>
    <w:rsid w:val="00636807"/>
    <w:rsid w:val="006404CE"/>
    <w:rsid w:val="00643327"/>
    <w:rsid w:val="00646AA4"/>
    <w:rsid w:val="006475D9"/>
    <w:rsid w:val="0065063B"/>
    <w:rsid w:val="00650A47"/>
    <w:rsid w:val="00652A48"/>
    <w:rsid w:val="006565C0"/>
    <w:rsid w:val="00657577"/>
    <w:rsid w:val="0066057D"/>
    <w:rsid w:val="00664078"/>
    <w:rsid w:val="00667D42"/>
    <w:rsid w:val="00675E0A"/>
    <w:rsid w:val="00681937"/>
    <w:rsid w:val="00681CA7"/>
    <w:rsid w:val="0068614E"/>
    <w:rsid w:val="006967E6"/>
    <w:rsid w:val="006976A6"/>
    <w:rsid w:val="00697A08"/>
    <w:rsid w:val="00697FF2"/>
    <w:rsid w:val="006A048B"/>
    <w:rsid w:val="006A18F4"/>
    <w:rsid w:val="006A2F3B"/>
    <w:rsid w:val="006A55DD"/>
    <w:rsid w:val="006B2AE2"/>
    <w:rsid w:val="006C2598"/>
    <w:rsid w:val="006C42EF"/>
    <w:rsid w:val="006C5CDC"/>
    <w:rsid w:val="006C6579"/>
    <w:rsid w:val="006C7C7F"/>
    <w:rsid w:val="006D21DF"/>
    <w:rsid w:val="006D2942"/>
    <w:rsid w:val="006D6BED"/>
    <w:rsid w:val="006E2766"/>
    <w:rsid w:val="006F66EB"/>
    <w:rsid w:val="006F6CDF"/>
    <w:rsid w:val="0070081A"/>
    <w:rsid w:val="00701260"/>
    <w:rsid w:val="00705429"/>
    <w:rsid w:val="007149CE"/>
    <w:rsid w:val="00714D00"/>
    <w:rsid w:val="00721A0D"/>
    <w:rsid w:val="00722680"/>
    <w:rsid w:val="007229D5"/>
    <w:rsid w:val="0072344F"/>
    <w:rsid w:val="00730ADE"/>
    <w:rsid w:val="00730F8D"/>
    <w:rsid w:val="00731D09"/>
    <w:rsid w:val="00733B80"/>
    <w:rsid w:val="00740CFC"/>
    <w:rsid w:val="00740E0F"/>
    <w:rsid w:val="00745E42"/>
    <w:rsid w:val="007466D6"/>
    <w:rsid w:val="007511FB"/>
    <w:rsid w:val="00751DFF"/>
    <w:rsid w:val="00761041"/>
    <w:rsid w:val="007664EA"/>
    <w:rsid w:val="00771182"/>
    <w:rsid w:val="007808B6"/>
    <w:rsid w:val="0078678E"/>
    <w:rsid w:val="00786A96"/>
    <w:rsid w:val="0078760C"/>
    <w:rsid w:val="00787FEC"/>
    <w:rsid w:val="00794D7D"/>
    <w:rsid w:val="00795B2C"/>
    <w:rsid w:val="007A3F12"/>
    <w:rsid w:val="007A7C5B"/>
    <w:rsid w:val="007B4C44"/>
    <w:rsid w:val="007C4AFA"/>
    <w:rsid w:val="007D2679"/>
    <w:rsid w:val="007D6BC0"/>
    <w:rsid w:val="007F2E51"/>
    <w:rsid w:val="007F444E"/>
    <w:rsid w:val="007F5625"/>
    <w:rsid w:val="008034A5"/>
    <w:rsid w:val="00803678"/>
    <w:rsid w:val="0081588D"/>
    <w:rsid w:val="00821CB6"/>
    <w:rsid w:val="0082555A"/>
    <w:rsid w:val="008262D9"/>
    <w:rsid w:val="008264B9"/>
    <w:rsid w:val="00827855"/>
    <w:rsid w:val="00843A69"/>
    <w:rsid w:val="00845A02"/>
    <w:rsid w:val="00846CF2"/>
    <w:rsid w:val="0085039F"/>
    <w:rsid w:val="00852B28"/>
    <w:rsid w:val="00852BC2"/>
    <w:rsid w:val="0085593D"/>
    <w:rsid w:val="00863DAD"/>
    <w:rsid w:val="008729DE"/>
    <w:rsid w:val="00877160"/>
    <w:rsid w:val="008813B4"/>
    <w:rsid w:val="00881EFF"/>
    <w:rsid w:val="00886157"/>
    <w:rsid w:val="00894C55"/>
    <w:rsid w:val="00894DC0"/>
    <w:rsid w:val="00894DE0"/>
    <w:rsid w:val="008A6322"/>
    <w:rsid w:val="008A7AC9"/>
    <w:rsid w:val="008B1D39"/>
    <w:rsid w:val="008B2CEB"/>
    <w:rsid w:val="008B43D8"/>
    <w:rsid w:val="008C0BCD"/>
    <w:rsid w:val="008C0CF6"/>
    <w:rsid w:val="008C3D00"/>
    <w:rsid w:val="008D0276"/>
    <w:rsid w:val="008D0E03"/>
    <w:rsid w:val="008D5517"/>
    <w:rsid w:val="008D60BE"/>
    <w:rsid w:val="008E0580"/>
    <w:rsid w:val="008E15BE"/>
    <w:rsid w:val="008E6AAA"/>
    <w:rsid w:val="008F17BB"/>
    <w:rsid w:val="008F777A"/>
    <w:rsid w:val="00903A43"/>
    <w:rsid w:val="009051D2"/>
    <w:rsid w:val="00920492"/>
    <w:rsid w:val="00921198"/>
    <w:rsid w:val="00922A7F"/>
    <w:rsid w:val="00925EA5"/>
    <w:rsid w:val="00934B2B"/>
    <w:rsid w:val="0093744F"/>
    <w:rsid w:val="009413AB"/>
    <w:rsid w:val="00944DEF"/>
    <w:rsid w:val="00951ADE"/>
    <w:rsid w:val="00954342"/>
    <w:rsid w:val="00954A03"/>
    <w:rsid w:val="00954DA6"/>
    <w:rsid w:val="009559F6"/>
    <w:rsid w:val="00955F6F"/>
    <w:rsid w:val="009573F1"/>
    <w:rsid w:val="009606F5"/>
    <w:rsid w:val="00962F24"/>
    <w:rsid w:val="00974058"/>
    <w:rsid w:val="00983F69"/>
    <w:rsid w:val="0099206A"/>
    <w:rsid w:val="00995E59"/>
    <w:rsid w:val="009A28FA"/>
    <w:rsid w:val="009B02B6"/>
    <w:rsid w:val="009B334B"/>
    <w:rsid w:val="009B747B"/>
    <w:rsid w:val="009C32E8"/>
    <w:rsid w:val="009C7E48"/>
    <w:rsid w:val="009D0824"/>
    <w:rsid w:val="009D312E"/>
    <w:rsid w:val="009D3F94"/>
    <w:rsid w:val="009D48C5"/>
    <w:rsid w:val="009E5957"/>
    <w:rsid w:val="009F12EC"/>
    <w:rsid w:val="009F2BBE"/>
    <w:rsid w:val="009F6F9B"/>
    <w:rsid w:val="00A04A34"/>
    <w:rsid w:val="00A07B97"/>
    <w:rsid w:val="00A10647"/>
    <w:rsid w:val="00A1338F"/>
    <w:rsid w:val="00A21725"/>
    <w:rsid w:val="00A25C51"/>
    <w:rsid w:val="00A326B9"/>
    <w:rsid w:val="00A356C4"/>
    <w:rsid w:val="00A41CEE"/>
    <w:rsid w:val="00A42EF4"/>
    <w:rsid w:val="00A4435F"/>
    <w:rsid w:val="00A445FE"/>
    <w:rsid w:val="00A45CD2"/>
    <w:rsid w:val="00A474DC"/>
    <w:rsid w:val="00A5687F"/>
    <w:rsid w:val="00A571C7"/>
    <w:rsid w:val="00A63880"/>
    <w:rsid w:val="00A65B36"/>
    <w:rsid w:val="00A664C5"/>
    <w:rsid w:val="00A67924"/>
    <w:rsid w:val="00A7525C"/>
    <w:rsid w:val="00A87A61"/>
    <w:rsid w:val="00A90C11"/>
    <w:rsid w:val="00A92E75"/>
    <w:rsid w:val="00A94F81"/>
    <w:rsid w:val="00A9587E"/>
    <w:rsid w:val="00AA03E1"/>
    <w:rsid w:val="00AA0AE4"/>
    <w:rsid w:val="00AA276B"/>
    <w:rsid w:val="00AA5B7A"/>
    <w:rsid w:val="00AA5DF7"/>
    <w:rsid w:val="00AB0E4A"/>
    <w:rsid w:val="00AB5E3D"/>
    <w:rsid w:val="00AC27E7"/>
    <w:rsid w:val="00AC3C47"/>
    <w:rsid w:val="00AC7089"/>
    <w:rsid w:val="00AD1614"/>
    <w:rsid w:val="00AD201C"/>
    <w:rsid w:val="00AD6A7C"/>
    <w:rsid w:val="00AE6952"/>
    <w:rsid w:val="00AE7A8A"/>
    <w:rsid w:val="00AF0EB3"/>
    <w:rsid w:val="00AF3358"/>
    <w:rsid w:val="00AF4497"/>
    <w:rsid w:val="00B0066C"/>
    <w:rsid w:val="00B01E39"/>
    <w:rsid w:val="00B069F6"/>
    <w:rsid w:val="00B11FA0"/>
    <w:rsid w:val="00B1203A"/>
    <w:rsid w:val="00B16D1A"/>
    <w:rsid w:val="00B22A6B"/>
    <w:rsid w:val="00B25385"/>
    <w:rsid w:val="00B264F6"/>
    <w:rsid w:val="00B305CA"/>
    <w:rsid w:val="00B34D56"/>
    <w:rsid w:val="00B34F08"/>
    <w:rsid w:val="00B538EB"/>
    <w:rsid w:val="00B55E07"/>
    <w:rsid w:val="00B70AED"/>
    <w:rsid w:val="00B7200B"/>
    <w:rsid w:val="00B8264C"/>
    <w:rsid w:val="00B85DA3"/>
    <w:rsid w:val="00B90B09"/>
    <w:rsid w:val="00B911DF"/>
    <w:rsid w:val="00B93940"/>
    <w:rsid w:val="00B940FB"/>
    <w:rsid w:val="00B947E7"/>
    <w:rsid w:val="00BA2715"/>
    <w:rsid w:val="00BA44D0"/>
    <w:rsid w:val="00BA62E9"/>
    <w:rsid w:val="00BA732B"/>
    <w:rsid w:val="00BB558F"/>
    <w:rsid w:val="00BB745E"/>
    <w:rsid w:val="00BB76F5"/>
    <w:rsid w:val="00BC3470"/>
    <w:rsid w:val="00BD66CC"/>
    <w:rsid w:val="00BE5962"/>
    <w:rsid w:val="00BE7956"/>
    <w:rsid w:val="00BF504D"/>
    <w:rsid w:val="00BF5E8F"/>
    <w:rsid w:val="00BF6603"/>
    <w:rsid w:val="00BF72E8"/>
    <w:rsid w:val="00BF7D7E"/>
    <w:rsid w:val="00C01E99"/>
    <w:rsid w:val="00C041ED"/>
    <w:rsid w:val="00C067CA"/>
    <w:rsid w:val="00C11378"/>
    <w:rsid w:val="00C20E6B"/>
    <w:rsid w:val="00C21A99"/>
    <w:rsid w:val="00C2392B"/>
    <w:rsid w:val="00C2561C"/>
    <w:rsid w:val="00C34537"/>
    <w:rsid w:val="00C34ADD"/>
    <w:rsid w:val="00C43ED0"/>
    <w:rsid w:val="00C44B77"/>
    <w:rsid w:val="00C615CA"/>
    <w:rsid w:val="00C617F0"/>
    <w:rsid w:val="00C631C2"/>
    <w:rsid w:val="00C70592"/>
    <w:rsid w:val="00C82998"/>
    <w:rsid w:val="00C96040"/>
    <w:rsid w:val="00CA1F9E"/>
    <w:rsid w:val="00CA20DC"/>
    <w:rsid w:val="00CA3F94"/>
    <w:rsid w:val="00CA5CE9"/>
    <w:rsid w:val="00CA794C"/>
    <w:rsid w:val="00CB28C2"/>
    <w:rsid w:val="00CB4155"/>
    <w:rsid w:val="00CB476B"/>
    <w:rsid w:val="00CB4FB9"/>
    <w:rsid w:val="00CC4D0B"/>
    <w:rsid w:val="00CC5EBC"/>
    <w:rsid w:val="00CD074C"/>
    <w:rsid w:val="00CE2926"/>
    <w:rsid w:val="00CF0670"/>
    <w:rsid w:val="00CF66A6"/>
    <w:rsid w:val="00D01A00"/>
    <w:rsid w:val="00D01ED6"/>
    <w:rsid w:val="00D038CD"/>
    <w:rsid w:val="00D10A5A"/>
    <w:rsid w:val="00D16347"/>
    <w:rsid w:val="00D16FC4"/>
    <w:rsid w:val="00D354AB"/>
    <w:rsid w:val="00D35F4A"/>
    <w:rsid w:val="00D41F28"/>
    <w:rsid w:val="00D47831"/>
    <w:rsid w:val="00D510D4"/>
    <w:rsid w:val="00D60F94"/>
    <w:rsid w:val="00D61482"/>
    <w:rsid w:val="00D623E4"/>
    <w:rsid w:val="00D643BA"/>
    <w:rsid w:val="00D64911"/>
    <w:rsid w:val="00D6576A"/>
    <w:rsid w:val="00D666F0"/>
    <w:rsid w:val="00D66A0D"/>
    <w:rsid w:val="00D73F97"/>
    <w:rsid w:val="00D80D82"/>
    <w:rsid w:val="00D835FE"/>
    <w:rsid w:val="00D914ED"/>
    <w:rsid w:val="00D95AD7"/>
    <w:rsid w:val="00D96D39"/>
    <w:rsid w:val="00D971C3"/>
    <w:rsid w:val="00DB5EFE"/>
    <w:rsid w:val="00DC387E"/>
    <w:rsid w:val="00DD3B8C"/>
    <w:rsid w:val="00DE055D"/>
    <w:rsid w:val="00DE2018"/>
    <w:rsid w:val="00DE321C"/>
    <w:rsid w:val="00E02B31"/>
    <w:rsid w:val="00E1369C"/>
    <w:rsid w:val="00E24D53"/>
    <w:rsid w:val="00E44F7C"/>
    <w:rsid w:val="00E460E6"/>
    <w:rsid w:val="00E461BE"/>
    <w:rsid w:val="00E47BE7"/>
    <w:rsid w:val="00E56D69"/>
    <w:rsid w:val="00E57501"/>
    <w:rsid w:val="00E616D7"/>
    <w:rsid w:val="00E631ED"/>
    <w:rsid w:val="00E64E9D"/>
    <w:rsid w:val="00E666B3"/>
    <w:rsid w:val="00E856AA"/>
    <w:rsid w:val="00E95454"/>
    <w:rsid w:val="00EA0F39"/>
    <w:rsid w:val="00EA26C9"/>
    <w:rsid w:val="00EA2A4B"/>
    <w:rsid w:val="00EA3E96"/>
    <w:rsid w:val="00EA5541"/>
    <w:rsid w:val="00EA68D8"/>
    <w:rsid w:val="00EB0838"/>
    <w:rsid w:val="00EC23EE"/>
    <w:rsid w:val="00EC4A5B"/>
    <w:rsid w:val="00ED1374"/>
    <w:rsid w:val="00EE5668"/>
    <w:rsid w:val="00EF03C1"/>
    <w:rsid w:val="00EF1295"/>
    <w:rsid w:val="00F0381B"/>
    <w:rsid w:val="00F06E3E"/>
    <w:rsid w:val="00F1178A"/>
    <w:rsid w:val="00F12639"/>
    <w:rsid w:val="00F14FC1"/>
    <w:rsid w:val="00F20692"/>
    <w:rsid w:val="00F2078F"/>
    <w:rsid w:val="00F254AF"/>
    <w:rsid w:val="00F262E8"/>
    <w:rsid w:val="00F27728"/>
    <w:rsid w:val="00F32220"/>
    <w:rsid w:val="00F35954"/>
    <w:rsid w:val="00F44625"/>
    <w:rsid w:val="00F4537D"/>
    <w:rsid w:val="00F47CE1"/>
    <w:rsid w:val="00F51AF9"/>
    <w:rsid w:val="00F54E89"/>
    <w:rsid w:val="00F551EE"/>
    <w:rsid w:val="00F57958"/>
    <w:rsid w:val="00F603DB"/>
    <w:rsid w:val="00F6529F"/>
    <w:rsid w:val="00F66150"/>
    <w:rsid w:val="00F70F0C"/>
    <w:rsid w:val="00F71CAC"/>
    <w:rsid w:val="00F7488B"/>
    <w:rsid w:val="00F8130D"/>
    <w:rsid w:val="00F82D1E"/>
    <w:rsid w:val="00F87B2B"/>
    <w:rsid w:val="00F9429D"/>
    <w:rsid w:val="00FA5987"/>
    <w:rsid w:val="00FB08C9"/>
    <w:rsid w:val="00FB5B63"/>
    <w:rsid w:val="00FC0D2E"/>
    <w:rsid w:val="00FC1842"/>
    <w:rsid w:val="00FD13A4"/>
    <w:rsid w:val="00FD2C52"/>
    <w:rsid w:val="00FD54F8"/>
    <w:rsid w:val="00FE3705"/>
    <w:rsid w:val="00FF23AF"/>
    <w:rsid w:val="00FF3F38"/>
    <w:rsid w:val="00FF5BD6"/>
    <w:rsid w:val="00FF6ABE"/>
    <w:rsid w:val="00FF70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94DF61-9CA3-438C-A312-BA08C541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D0B"/>
    <w:pPr>
      <w:spacing w:after="0" w:line="240" w:lineRule="auto"/>
    </w:pPr>
  </w:style>
  <w:style w:type="paragraph" w:styleId="BodyText">
    <w:name w:val="Body Text"/>
    <w:basedOn w:val="Normal"/>
    <w:link w:val="BodyTextChar"/>
    <w:rsid w:val="00CC4D0B"/>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C4D0B"/>
    <w:rPr>
      <w:rFonts w:ascii="Times New Roman" w:eastAsia="Times New Roman" w:hAnsi="Times New Roman" w:cs="Times New Roman"/>
      <w:sz w:val="24"/>
      <w:szCs w:val="24"/>
      <w:lang w:val="en-GB"/>
    </w:rPr>
  </w:style>
  <w:style w:type="table" w:styleId="TableGrid">
    <w:name w:val="Table Grid"/>
    <w:basedOn w:val="TableNormal"/>
    <w:uiPriority w:val="39"/>
    <w:rsid w:val="00CC4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713"/>
  </w:style>
  <w:style w:type="paragraph" w:styleId="Footer">
    <w:name w:val="footer"/>
    <w:basedOn w:val="Normal"/>
    <w:link w:val="FooterChar"/>
    <w:uiPriority w:val="99"/>
    <w:unhideWhenUsed/>
    <w:rsid w:val="004D6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713"/>
  </w:style>
  <w:style w:type="paragraph" w:styleId="ListParagraph">
    <w:name w:val="List Paragraph"/>
    <w:basedOn w:val="Normal"/>
    <w:uiPriority w:val="34"/>
    <w:qFormat/>
    <w:rsid w:val="003C6074"/>
    <w:pPr>
      <w:ind w:left="720"/>
      <w:contextualSpacing/>
    </w:pPr>
  </w:style>
  <w:style w:type="paragraph" w:styleId="FootnoteText">
    <w:name w:val="footnote text"/>
    <w:basedOn w:val="Normal"/>
    <w:link w:val="FootnoteTextChar"/>
    <w:uiPriority w:val="99"/>
    <w:semiHidden/>
    <w:unhideWhenUsed/>
    <w:rsid w:val="00F551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1EE"/>
    <w:rPr>
      <w:sz w:val="20"/>
      <w:szCs w:val="20"/>
    </w:rPr>
  </w:style>
  <w:style w:type="character" w:styleId="FootnoteReference">
    <w:name w:val="footnote reference"/>
    <w:basedOn w:val="DefaultParagraphFont"/>
    <w:uiPriority w:val="99"/>
    <w:semiHidden/>
    <w:unhideWhenUsed/>
    <w:rsid w:val="00F551EE"/>
    <w:rPr>
      <w:vertAlign w:val="superscript"/>
    </w:rPr>
  </w:style>
  <w:style w:type="paragraph" w:styleId="Quote">
    <w:name w:val="Quote"/>
    <w:basedOn w:val="Normal"/>
    <w:next w:val="Normal"/>
    <w:link w:val="QuoteChar"/>
    <w:uiPriority w:val="29"/>
    <w:qFormat/>
    <w:rsid w:val="00DE055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055D"/>
    <w:rPr>
      <w:i/>
      <w:iCs/>
      <w:color w:val="404040" w:themeColor="text1" w:themeTint="BF"/>
    </w:rPr>
  </w:style>
  <w:style w:type="paragraph" w:styleId="BalloonText">
    <w:name w:val="Balloon Text"/>
    <w:basedOn w:val="Normal"/>
    <w:link w:val="BalloonTextChar"/>
    <w:uiPriority w:val="99"/>
    <w:semiHidden/>
    <w:unhideWhenUsed/>
    <w:rsid w:val="002A6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FA8"/>
    <w:rPr>
      <w:rFonts w:ascii="Tahoma" w:hAnsi="Tahoma" w:cs="Tahoma"/>
      <w:sz w:val="16"/>
      <w:szCs w:val="16"/>
    </w:rPr>
  </w:style>
  <w:style w:type="character" w:styleId="CommentReference">
    <w:name w:val="annotation reference"/>
    <w:basedOn w:val="DefaultParagraphFont"/>
    <w:uiPriority w:val="99"/>
    <w:semiHidden/>
    <w:unhideWhenUsed/>
    <w:rsid w:val="00827855"/>
    <w:rPr>
      <w:sz w:val="16"/>
      <w:szCs w:val="16"/>
    </w:rPr>
  </w:style>
  <w:style w:type="paragraph" w:styleId="CommentText">
    <w:name w:val="annotation text"/>
    <w:basedOn w:val="Normal"/>
    <w:link w:val="CommentTextChar"/>
    <w:uiPriority w:val="99"/>
    <w:semiHidden/>
    <w:unhideWhenUsed/>
    <w:rsid w:val="00827855"/>
    <w:pPr>
      <w:spacing w:line="240" w:lineRule="auto"/>
    </w:pPr>
    <w:rPr>
      <w:sz w:val="20"/>
      <w:szCs w:val="20"/>
    </w:rPr>
  </w:style>
  <w:style w:type="character" w:customStyle="1" w:styleId="CommentTextChar">
    <w:name w:val="Comment Text Char"/>
    <w:basedOn w:val="DefaultParagraphFont"/>
    <w:link w:val="CommentText"/>
    <w:uiPriority w:val="99"/>
    <w:semiHidden/>
    <w:rsid w:val="00827855"/>
    <w:rPr>
      <w:sz w:val="20"/>
      <w:szCs w:val="20"/>
    </w:rPr>
  </w:style>
  <w:style w:type="paragraph" w:styleId="CommentSubject">
    <w:name w:val="annotation subject"/>
    <w:basedOn w:val="CommentText"/>
    <w:next w:val="CommentText"/>
    <w:link w:val="CommentSubjectChar"/>
    <w:uiPriority w:val="99"/>
    <w:semiHidden/>
    <w:unhideWhenUsed/>
    <w:rsid w:val="00827855"/>
    <w:rPr>
      <w:b/>
      <w:bCs/>
    </w:rPr>
  </w:style>
  <w:style w:type="character" w:customStyle="1" w:styleId="CommentSubjectChar">
    <w:name w:val="Comment Subject Char"/>
    <w:basedOn w:val="CommentTextChar"/>
    <w:link w:val="CommentSubject"/>
    <w:uiPriority w:val="99"/>
    <w:semiHidden/>
    <w:rsid w:val="008278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69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2020-02-04T18:30:00+00:00</Judgment_x0020_Date>
    <Year xmlns="63bdd487-88aa-4c54-b893-ddaa81ed2e7c">2020</Year>
  </documentManagement>
</p:properties>
</file>

<file path=customXml/itemProps1.xml><?xml version="1.0" encoding="utf-8"?>
<ds:datastoreItem xmlns:ds="http://schemas.openxmlformats.org/officeDocument/2006/customXml" ds:itemID="{1B651BE6-AFE7-4EFC-B4F2-5A2E9B015536}"/>
</file>

<file path=customXml/itemProps2.xml><?xml version="1.0" encoding="utf-8"?>
<ds:datastoreItem xmlns:ds="http://schemas.openxmlformats.org/officeDocument/2006/customXml" ds:itemID="{E7FC7855-D19C-40E5-A9D6-1AD94A737F91}"/>
</file>

<file path=customXml/itemProps3.xml><?xml version="1.0" encoding="utf-8"?>
<ds:datastoreItem xmlns:ds="http://schemas.openxmlformats.org/officeDocument/2006/customXml" ds:itemID="{C24310C5-8BF8-4F8B-A606-8A0E6E960526}"/>
</file>

<file path=customXml/itemProps4.xml><?xml version="1.0" encoding="utf-8"?>
<ds:datastoreItem xmlns:ds="http://schemas.openxmlformats.org/officeDocument/2006/customXml" ds:itemID="{B4226F6F-9441-4586-A5A9-ECE38819C04D}"/>
</file>

<file path=docProps/app.xml><?xml version="1.0" encoding="utf-8"?>
<Properties xmlns="http://schemas.openxmlformats.org/officeDocument/2006/extended-properties" xmlns:vt="http://schemas.openxmlformats.org/officeDocument/2006/docPropsVTypes">
  <Template>Normal</Template>
  <TotalTime>1</TotalTime>
  <Pages>33</Pages>
  <Words>7243</Words>
  <Characters>41290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of Safety and Security v Mutanimiye</dc:title>
  <dc:creator>User</dc:creator>
  <cp:lastModifiedBy>Nicole Januarie</cp:lastModifiedBy>
  <cp:revision>2</cp:revision>
  <cp:lastPrinted>2020-02-05T07:12:00Z</cp:lastPrinted>
  <dcterms:created xsi:type="dcterms:W3CDTF">2020-02-05T10:26:00Z</dcterms:created>
  <dcterms:modified xsi:type="dcterms:W3CDTF">2020-02-05T10:26:00Z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