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0" w:rsidRPr="006A55DD" w:rsidRDefault="00A01470" w:rsidP="00A01470">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1110EA73" wp14:editId="50FEFCF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A01470" w:rsidRDefault="00D655C8" w:rsidP="00A01470">
      <w:pPr>
        <w:pStyle w:val="NoSpacing"/>
        <w:jc w:val="right"/>
        <w:rPr>
          <w:rFonts w:ascii="Arial" w:hAnsi="Arial" w:cs="Arial"/>
          <w:b/>
          <w:sz w:val="24"/>
          <w:szCs w:val="24"/>
        </w:rPr>
      </w:pPr>
      <w:r>
        <w:rPr>
          <w:rFonts w:ascii="Arial" w:hAnsi="Arial" w:cs="Arial"/>
          <w:b/>
          <w:sz w:val="24"/>
          <w:szCs w:val="24"/>
        </w:rPr>
        <w:t>NOT REPORTABLE</w:t>
      </w:r>
    </w:p>
    <w:p w:rsidR="00A01470" w:rsidRDefault="00A01470" w:rsidP="00A01470">
      <w:pPr>
        <w:pStyle w:val="NoSpacing"/>
        <w:jc w:val="right"/>
        <w:rPr>
          <w:rFonts w:ascii="Arial" w:hAnsi="Arial" w:cs="Arial"/>
          <w:sz w:val="24"/>
          <w:szCs w:val="24"/>
        </w:rPr>
      </w:pPr>
    </w:p>
    <w:p w:rsidR="00A01470" w:rsidRDefault="00A01470" w:rsidP="00A01470">
      <w:pPr>
        <w:pStyle w:val="NoSpacing"/>
        <w:jc w:val="right"/>
        <w:rPr>
          <w:rFonts w:ascii="Arial" w:hAnsi="Arial" w:cs="Arial"/>
          <w:sz w:val="24"/>
          <w:szCs w:val="24"/>
        </w:rPr>
      </w:pPr>
      <w:r>
        <w:rPr>
          <w:rFonts w:ascii="Arial" w:hAnsi="Arial" w:cs="Arial"/>
          <w:sz w:val="24"/>
          <w:szCs w:val="24"/>
        </w:rPr>
        <w:t>CASE NO: SA 78/2020</w:t>
      </w:r>
    </w:p>
    <w:p w:rsidR="00A01470" w:rsidRDefault="00A01470" w:rsidP="00A01470">
      <w:pPr>
        <w:pStyle w:val="NoSpacing"/>
        <w:rPr>
          <w:rFonts w:ascii="Arial" w:hAnsi="Arial" w:cs="Arial"/>
          <w:sz w:val="24"/>
          <w:szCs w:val="24"/>
        </w:rPr>
      </w:pPr>
    </w:p>
    <w:p w:rsidR="00236E6B" w:rsidRPr="00991107" w:rsidRDefault="00236E6B" w:rsidP="00A01470">
      <w:pPr>
        <w:pStyle w:val="NoSpacing"/>
        <w:rPr>
          <w:rFonts w:ascii="Arial" w:hAnsi="Arial" w:cs="Arial"/>
          <w:sz w:val="24"/>
          <w:szCs w:val="24"/>
        </w:rPr>
      </w:pPr>
    </w:p>
    <w:p w:rsidR="00A01470" w:rsidRPr="00970591" w:rsidRDefault="00A01470" w:rsidP="00A01470">
      <w:pPr>
        <w:pStyle w:val="NoSpacing"/>
        <w:rPr>
          <w:rFonts w:ascii="Arial" w:hAnsi="Arial" w:cs="Arial"/>
          <w:b/>
          <w:sz w:val="24"/>
          <w:szCs w:val="24"/>
        </w:rPr>
      </w:pPr>
      <w:r w:rsidRPr="00970591">
        <w:rPr>
          <w:rFonts w:ascii="Arial" w:hAnsi="Arial" w:cs="Arial"/>
          <w:b/>
          <w:sz w:val="24"/>
          <w:szCs w:val="24"/>
        </w:rPr>
        <w:t>IN THE SUPREME COURT OF NAMIBIA</w:t>
      </w:r>
    </w:p>
    <w:p w:rsidR="00A01470" w:rsidRDefault="00A01470" w:rsidP="00A01470">
      <w:pPr>
        <w:pStyle w:val="NoSpacing"/>
        <w:rPr>
          <w:rFonts w:ascii="Arial" w:hAnsi="Arial" w:cs="Arial"/>
          <w:sz w:val="24"/>
          <w:szCs w:val="24"/>
        </w:rPr>
      </w:pPr>
    </w:p>
    <w:p w:rsidR="00A01470" w:rsidRDefault="00A01470" w:rsidP="00A01470">
      <w:pPr>
        <w:pStyle w:val="NoSpacing"/>
        <w:rPr>
          <w:rFonts w:ascii="Arial" w:hAnsi="Arial" w:cs="Arial"/>
          <w:sz w:val="24"/>
          <w:szCs w:val="24"/>
        </w:rPr>
      </w:pPr>
    </w:p>
    <w:p w:rsidR="00A01470" w:rsidRDefault="00A01470" w:rsidP="00A01470">
      <w:pPr>
        <w:pStyle w:val="NoSpacing"/>
        <w:rPr>
          <w:rFonts w:ascii="Arial" w:hAnsi="Arial" w:cs="Arial"/>
          <w:sz w:val="24"/>
          <w:szCs w:val="24"/>
        </w:rPr>
      </w:pPr>
      <w:r>
        <w:rPr>
          <w:rFonts w:ascii="Arial" w:hAnsi="Arial" w:cs="Arial"/>
          <w:sz w:val="24"/>
          <w:szCs w:val="24"/>
        </w:rPr>
        <w:t>In the matter between:</w:t>
      </w:r>
    </w:p>
    <w:p w:rsidR="00A01470" w:rsidRDefault="00A01470" w:rsidP="00A01470">
      <w:pPr>
        <w:pStyle w:val="NoSpacing"/>
        <w:rPr>
          <w:rFonts w:ascii="Arial" w:hAnsi="Arial" w:cs="Arial"/>
          <w:sz w:val="24"/>
          <w:szCs w:val="24"/>
        </w:rPr>
      </w:pPr>
    </w:p>
    <w:p w:rsidR="00A01470" w:rsidRDefault="00A01470" w:rsidP="00A01470">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A01470" w:rsidRPr="002F2B3F" w:rsidTr="0076521C">
        <w:tc>
          <w:tcPr>
            <w:tcW w:w="4555" w:type="dxa"/>
          </w:tcPr>
          <w:p w:rsidR="00A01470" w:rsidRPr="002F2B3F" w:rsidRDefault="00A01470" w:rsidP="00EF2ABC">
            <w:pPr>
              <w:pStyle w:val="NoSpacing"/>
              <w:spacing w:line="360" w:lineRule="auto"/>
              <w:ind w:left="-108"/>
              <w:rPr>
                <w:rFonts w:ascii="Arial" w:hAnsi="Arial" w:cs="Arial"/>
                <w:b/>
                <w:sz w:val="24"/>
                <w:szCs w:val="24"/>
              </w:rPr>
            </w:pPr>
            <w:r>
              <w:rPr>
                <w:rFonts w:ascii="Arial" w:hAnsi="Arial" w:cs="Arial"/>
                <w:b/>
                <w:sz w:val="24"/>
                <w:szCs w:val="24"/>
              </w:rPr>
              <w:t>WILLEM PETER</w:t>
            </w:r>
          </w:p>
        </w:tc>
        <w:tc>
          <w:tcPr>
            <w:tcW w:w="4556" w:type="dxa"/>
          </w:tcPr>
          <w:p w:rsidR="00A01470" w:rsidRPr="002F2B3F" w:rsidRDefault="00A01470" w:rsidP="00EF2ABC">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A01470" w:rsidTr="0076521C">
        <w:tc>
          <w:tcPr>
            <w:tcW w:w="4555" w:type="dxa"/>
          </w:tcPr>
          <w:p w:rsidR="00A01470" w:rsidRDefault="00A01470" w:rsidP="00EF2ABC">
            <w:pPr>
              <w:pStyle w:val="NoSpacing"/>
              <w:spacing w:line="360" w:lineRule="auto"/>
              <w:ind w:left="-108"/>
              <w:rPr>
                <w:rFonts w:ascii="Arial" w:hAnsi="Arial" w:cs="Arial"/>
                <w:sz w:val="24"/>
                <w:szCs w:val="24"/>
              </w:rPr>
            </w:pPr>
          </w:p>
        </w:tc>
        <w:tc>
          <w:tcPr>
            <w:tcW w:w="4556" w:type="dxa"/>
          </w:tcPr>
          <w:p w:rsidR="00A01470" w:rsidRDefault="00A01470" w:rsidP="00EF2ABC">
            <w:pPr>
              <w:pStyle w:val="NoSpacing"/>
              <w:spacing w:line="360" w:lineRule="auto"/>
              <w:jc w:val="right"/>
              <w:rPr>
                <w:rFonts w:ascii="Arial" w:hAnsi="Arial" w:cs="Arial"/>
                <w:sz w:val="24"/>
                <w:szCs w:val="24"/>
              </w:rPr>
            </w:pPr>
          </w:p>
        </w:tc>
      </w:tr>
      <w:tr w:rsidR="00A01470" w:rsidTr="0076521C">
        <w:tc>
          <w:tcPr>
            <w:tcW w:w="4555" w:type="dxa"/>
          </w:tcPr>
          <w:p w:rsidR="00A01470" w:rsidRDefault="00A01470" w:rsidP="00EF2ABC">
            <w:pPr>
              <w:pStyle w:val="NoSpacing"/>
              <w:spacing w:line="360" w:lineRule="auto"/>
              <w:ind w:left="-108"/>
              <w:rPr>
                <w:rFonts w:ascii="Arial" w:hAnsi="Arial" w:cs="Arial"/>
                <w:sz w:val="24"/>
                <w:szCs w:val="24"/>
              </w:rPr>
            </w:pPr>
            <w:r>
              <w:rPr>
                <w:rFonts w:ascii="Arial" w:hAnsi="Arial" w:cs="Arial"/>
                <w:sz w:val="24"/>
                <w:szCs w:val="24"/>
              </w:rPr>
              <w:t>and</w:t>
            </w:r>
          </w:p>
        </w:tc>
        <w:tc>
          <w:tcPr>
            <w:tcW w:w="4556" w:type="dxa"/>
          </w:tcPr>
          <w:p w:rsidR="00A01470" w:rsidRDefault="00A01470" w:rsidP="00EF2ABC">
            <w:pPr>
              <w:pStyle w:val="NoSpacing"/>
              <w:spacing w:line="360" w:lineRule="auto"/>
              <w:rPr>
                <w:rFonts w:ascii="Arial" w:hAnsi="Arial" w:cs="Arial"/>
                <w:sz w:val="24"/>
                <w:szCs w:val="24"/>
              </w:rPr>
            </w:pPr>
          </w:p>
        </w:tc>
      </w:tr>
      <w:tr w:rsidR="00A01470" w:rsidTr="0076521C">
        <w:tc>
          <w:tcPr>
            <w:tcW w:w="4555" w:type="dxa"/>
          </w:tcPr>
          <w:p w:rsidR="00A01470" w:rsidRDefault="00A01470" w:rsidP="00EF2ABC">
            <w:pPr>
              <w:pStyle w:val="NoSpacing"/>
              <w:spacing w:line="360" w:lineRule="auto"/>
              <w:ind w:left="-108"/>
              <w:rPr>
                <w:rFonts w:ascii="Arial" w:hAnsi="Arial" w:cs="Arial"/>
                <w:sz w:val="24"/>
                <w:szCs w:val="24"/>
              </w:rPr>
            </w:pPr>
          </w:p>
        </w:tc>
        <w:tc>
          <w:tcPr>
            <w:tcW w:w="4556" w:type="dxa"/>
          </w:tcPr>
          <w:p w:rsidR="00A01470" w:rsidRDefault="00A01470" w:rsidP="00EF2ABC">
            <w:pPr>
              <w:pStyle w:val="NoSpacing"/>
              <w:spacing w:line="360" w:lineRule="auto"/>
              <w:rPr>
                <w:rFonts w:ascii="Arial" w:hAnsi="Arial" w:cs="Arial"/>
                <w:sz w:val="24"/>
                <w:szCs w:val="24"/>
              </w:rPr>
            </w:pPr>
          </w:p>
        </w:tc>
      </w:tr>
      <w:tr w:rsidR="00A01470" w:rsidRPr="002F2B3F" w:rsidTr="0076521C">
        <w:tc>
          <w:tcPr>
            <w:tcW w:w="4555" w:type="dxa"/>
          </w:tcPr>
          <w:p w:rsidR="00A01470" w:rsidRPr="002F2B3F" w:rsidRDefault="00C01308" w:rsidP="00236E6B">
            <w:pPr>
              <w:pStyle w:val="NoSpacing"/>
              <w:spacing w:line="360" w:lineRule="auto"/>
              <w:ind w:left="-108"/>
              <w:rPr>
                <w:rFonts w:ascii="Arial" w:hAnsi="Arial" w:cs="Arial"/>
                <w:b/>
                <w:sz w:val="24"/>
                <w:szCs w:val="24"/>
              </w:rPr>
            </w:pPr>
            <w:r>
              <w:rPr>
                <w:rFonts w:ascii="Arial" w:hAnsi="Arial" w:cs="Arial"/>
                <w:b/>
                <w:sz w:val="24"/>
                <w:szCs w:val="24"/>
              </w:rPr>
              <w:t xml:space="preserve">THE </w:t>
            </w:r>
            <w:r w:rsidR="00A01470">
              <w:rPr>
                <w:rFonts w:ascii="Arial" w:hAnsi="Arial" w:cs="Arial"/>
                <w:b/>
                <w:sz w:val="24"/>
                <w:szCs w:val="24"/>
              </w:rPr>
              <w:t>STATE</w:t>
            </w:r>
          </w:p>
        </w:tc>
        <w:tc>
          <w:tcPr>
            <w:tcW w:w="4556" w:type="dxa"/>
          </w:tcPr>
          <w:p w:rsidR="00A01470" w:rsidRPr="002F2B3F" w:rsidRDefault="00A01470" w:rsidP="00236E6B">
            <w:pPr>
              <w:pStyle w:val="NoSpacing"/>
              <w:spacing w:line="360" w:lineRule="auto"/>
              <w:jc w:val="right"/>
              <w:rPr>
                <w:rFonts w:ascii="Arial" w:hAnsi="Arial" w:cs="Arial"/>
                <w:b/>
                <w:sz w:val="24"/>
                <w:szCs w:val="24"/>
              </w:rPr>
            </w:pPr>
            <w:r w:rsidRPr="002F2B3F">
              <w:rPr>
                <w:rFonts w:ascii="Arial" w:hAnsi="Arial" w:cs="Arial"/>
                <w:b/>
                <w:sz w:val="24"/>
                <w:szCs w:val="24"/>
              </w:rPr>
              <w:t>Respondent</w:t>
            </w:r>
          </w:p>
        </w:tc>
      </w:tr>
    </w:tbl>
    <w:p w:rsidR="00A01470" w:rsidRPr="00991107" w:rsidRDefault="00A01470" w:rsidP="00236E6B">
      <w:pPr>
        <w:pStyle w:val="NoSpacing"/>
        <w:spacing w:line="360" w:lineRule="auto"/>
        <w:rPr>
          <w:rFonts w:ascii="Arial" w:hAnsi="Arial" w:cs="Arial"/>
          <w:sz w:val="24"/>
          <w:szCs w:val="24"/>
        </w:rPr>
      </w:pPr>
    </w:p>
    <w:p w:rsidR="00A01470" w:rsidRPr="00991107" w:rsidRDefault="00A01470" w:rsidP="00A01470">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SMUTS JA and FRANK AJA</w:t>
      </w:r>
    </w:p>
    <w:p w:rsidR="00A01470" w:rsidRPr="00466830" w:rsidRDefault="00A01470" w:rsidP="00A01470">
      <w:pPr>
        <w:pStyle w:val="NoSpacing"/>
        <w:rPr>
          <w:rFonts w:ascii="Arial" w:hAnsi="Arial" w:cs="Arial"/>
          <w:b/>
          <w:sz w:val="24"/>
          <w:szCs w:val="24"/>
        </w:rPr>
      </w:pPr>
    </w:p>
    <w:p w:rsidR="00A01470" w:rsidRPr="00466830" w:rsidRDefault="00A01470" w:rsidP="00A01470">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 xml:space="preserve">12 November 2020 </w:t>
      </w:r>
    </w:p>
    <w:p w:rsidR="00A01470" w:rsidRPr="00466830" w:rsidRDefault="00A01470" w:rsidP="00A01470">
      <w:pPr>
        <w:pStyle w:val="NoSpacing"/>
        <w:rPr>
          <w:rFonts w:ascii="Arial" w:hAnsi="Arial" w:cs="Arial"/>
          <w:b/>
          <w:sz w:val="24"/>
          <w:szCs w:val="24"/>
        </w:rPr>
      </w:pPr>
    </w:p>
    <w:p w:rsidR="00A01470" w:rsidRPr="00466830" w:rsidRDefault="00A01470" w:rsidP="00A01470">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C01308">
        <w:rPr>
          <w:rFonts w:ascii="Arial" w:hAnsi="Arial" w:cs="Arial"/>
          <w:b/>
          <w:sz w:val="24"/>
          <w:szCs w:val="24"/>
        </w:rPr>
        <w:t>16</w:t>
      </w:r>
      <w:r w:rsidR="00D655C8">
        <w:rPr>
          <w:rFonts w:ascii="Arial" w:hAnsi="Arial" w:cs="Arial"/>
          <w:b/>
          <w:sz w:val="24"/>
          <w:szCs w:val="24"/>
        </w:rPr>
        <w:t xml:space="preserve"> November 2020</w:t>
      </w:r>
    </w:p>
    <w:p w:rsidR="00A01470" w:rsidRDefault="00A01470" w:rsidP="00A01470">
      <w:pPr>
        <w:pStyle w:val="NoSpacing"/>
        <w:rPr>
          <w:rFonts w:ascii="Arial" w:hAnsi="Arial" w:cs="Arial"/>
          <w:sz w:val="24"/>
          <w:szCs w:val="24"/>
        </w:rPr>
      </w:pPr>
    </w:p>
    <w:p w:rsidR="00236E6B" w:rsidRDefault="00236E6B" w:rsidP="00A01470">
      <w:pPr>
        <w:pStyle w:val="NoSpacing"/>
        <w:rPr>
          <w:rFonts w:ascii="Arial" w:hAnsi="Arial" w:cs="Arial"/>
          <w:sz w:val="24"/>
          <w:szCs w:val="24"/>
        </w:rPr>
      </w:pPr>
    </w:p>
    <w:p w:rsidR="00236E6B" w:rsidRDefault="00236E6B" w:rsidP="00A01470">
      <w:pPr>
        <w:pStyle w:val="NoSpacing"/>
        <w:rPr>
          <w:rFonts w:ascii="Arial" w:hAnsi="Arial" w:cs="Arial"/>
          <w:sz w:val="24"/>
          <w:szCs w:val="24"/>
        </w:rPr>
      </w:pPr>
    </w:p>
    <w:p w:rsidR="00EF2ABC" w:rsidRDefault="00A01470" w:rsidP="00EC1625">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EF2ABC">
        <w:rPr>
          <w:rFonts w:ascii="Arial" w:hAnsi="Arial" w:cs="Arial"/>
          <w:sz w:val="24"/>
          <w:szCs w:val="24"/>
        </w:rPr>
        <w:t>On 8 December 2009, appellant was sentenced to 30 years imprisonment on a charge of stock theft of</w:t>
      </w:r>
      <w:r w:rsidR="00FD1786">
        <w:rPr>
          <w:rFonts w:ascii="Arial" w:hAnsi="Arial" w:cs="Arial"/>
          <w:sz w:val="24"/>
          <w:szCs w:val="24"/>
        </w:rPr>
        <w:t xml:space="preserve"> a head of cattle (valued at N$</w:t>
      </w:r>
      <w:r w:rsidR="00EF2ABC">
        <w:rPr>
          <w:rFonts w:ascii="Arial" w:hAnsi="Arial" w:cs="Arial"/>
          <w:sz w:val="24"/>
          <w:szCs w:val="24"/>
        </w:rPr>
        <w:t xml:space="preserve">3200) under s 14 of the Stock Theft Act 12 of 1990 (the Act). Having previously been convicted of stock theft and sentenced to three years imprisonment in 1997, the court </w:t>
      </w:r>
      <w:r w:rsidR="00EF2ABC" w:rsidRPr="008A2FD9">
        <w:rPr>
          <w:rFonts w:ascii="Arial" w:hAnsi="Arial" w:cs="Arial"/>
          <w:i/>
          <w:sz w:val="24"/>
          <w:szCs w:val="24"/>
        </w:rPr>
        <w:t>a quo</w:t>
      </w:r>
      <w:r w:rsidR="00EF2ABC">
        <w:rPr>
          <w:rFonts w:ascii="Arial" w:hAnsi="Arial" w:cs="Arial"/>
          <w:sz w:val="24"/>
          <w:szCs w:val="24"/>
        </w:rPr>
        <w:t xml:space="preserve"> sentenced the appellant to the mandatory 30 years imprisonment in terms of s 14(1)(</w:t>
      </w:r>
      <w:r w:rsidR="00EF2ABC" w:rsidRPr="00A320BE">
        <w:rPr>
          <w:rFonts w:ascii="Arial" w:hAnsi="Arial" w:cs="Arial"/>
          <w:i/>
          <w:sz w:val="24"/>
          <w:szCs w:val="24"/>
        </w:rPr>
        <w:t>b</w:t>
      </w:r>
      <w:r w:rsidR="00EF2ABC">
        <w:rPr>
          <w:rFonts w:ascii="Arial" w:hAnsi="Arial" w:cs="Arial"/>
          <w:sz w:val="24"/>
          <w:szCs w:val="24"/>
        </w:rPr>
        <w:t xml:space="preserve">) </w:t>
      </w:r>
      <w:r w:rsidR="007A6A32">
        <w:rPr>
          <w:rFonts w:ascii="Arial" w:hAnsi="Arial" w:cs="Arial"/>
          <w:sz w:val="24"/>
          <w:szCs w:val="24"/>
        </w:rPr>
        <w:t xml:space="preserve">of </w:t>
      </w:r>
      <w:r w:rsidR="00EF2ABC">
        <w:rPr>
          <w:rFonts w:ascii="Arial" w:hAnsi="Arial" w:cs="Arial"/>
          <w:sz w:val="24"/>
          <w:szCs w:val="24"/>
        </w:rPr>
        <w:t>the Act for a repeat offender who commits theft of stock where the value exceeds N$500.</w:t>
      </w:r>
    </w:p>
    <w:p w:rsidR="006E638D" w:rsidRDefault="006E638D" w:rsidP="00EC1625">
      <w:pPr>
        <w:pStyle w:val="NoSpacing"/>
        <w:spacing w:line="360" w:lineRule="auto"/>
        <w:jc w:val="both"/>
        <w:rPr>
          <w:rFonts w:ascii="Arial" w:hAnsi="Arial" w:cs="Arial"/>
          <w:sz w:val="24"/>
          <w:szCs w:val="24"/>
        </w:rPr>
      </w:pP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 xml:space="preserve">Section 14 was declared unconstitutional by the High Court in 2011 (see </w:t>
      </w:r>
      <w:r w:rsidRPr="00A320BE">
        <w:rPr>
          <w:rFonts w:ascii="Arial" w:hAnsi="Arial" w:cs="Arial"/>
          <w:i/>
          <w:sz w:val="24"/>
          <w:szCs w:val="24"/>
        </w:rPr>
        <w:t>Daniel v Attorney-General &amp; others</w:t>
      </w:r>
      <w:r w:rsidRPr="00A320BE">
        <w:rPr>
          <w:rFonts w:ascii="Arial" w:hAnsi="Arial" w:cs="Arial"/>
          <w:sz w:val="24"/>
          <w:szCs w:val="24"/>
        </w:rPr>
        <w:t>;</w:t>
      </w:r>
      <w:r w:rsidRPr="00A320BE">
        <w:rPr>
          <w:rFonts w:ascii="Arial" w:hAnsi="Arial" w:cs="Arial"/>
          <w:i/>
          <w:sz w:val="24"/>
          <w:szCs w:val="24"/>
        </w:rPr>
        <w:t xml:space="preserve"> Peter v Attorney-General &amp; others</w:t>
      </w:r>
      <w:r>
        <w:rPr>
          <w:rFonts w:ascii="Arial" w:hAnsi="Arial" w:cs="Arial"/>
          <w:sz w:val="24"/>
          <w:szCs w:val="24"/>
        </w:rPr>
        <w:t xml:space="preserve"> 2011 (1) NR 33</w:t>
      </w:r>
      <w:r w:rsidR="007A6A32">
        <w:rPr>
          <w:rFonts w:ascii="Arial" w:hAnsi="Arial" w:cs="Arial"/>
          <w:sz w:val="24"/>
          <w:szCs w:val="24"/>
        </w:rPr>
        <w:t>0</w:t>
      </w:r>
      <w:r>
        <w:rPr>
          <w:rFonts w:ascii="Arial" w:hAnsi="Arial" w:cs="Arial"/>
          <w:sz w:val="24"/>
          <w:szCs w:val="24"/>
        </w:rPr>
        <w:t xml:space="preserve"> (HC)), </w:t>
      </w:r>
      <w:r>
        <w:rPr>
          <w:rFonts w:ascii="Arial" w:hAnsi="Arial" w:cs="Arial"/>
          <w:sz w:val="24"/>
          <w:szCs w:val="24"/>
        </w:rPr>
        <w:lastRenderedPageBreak/>
        <w:t>which find</w:t>
      </w:r>
      <w:r w:rsidR="00654AAE">
        <w:rPr>
          <w:rFonts w:ascii="Arial" w:hAnsi="Arial" w:cs="Arial"/>
          <w:sz w:val="24"/>
          <w:szCs w:val="24"/>
        </w:rPr>
        <w:t xml:space="preserve">ing was confirmed by this court on </w:t>
      </w:r>
      <w:r w:rsidR="00357D05">
        <w:rPr>
          <w:rFonts w:ascii="Arial" w:hAnsi="Arial" w:cs="Arial"/>
          <w:sz w:val="24"/>
          <w:szCs w:val="24"/>
        </w:rPr>
        <w:t>2</w:t>
      </w:r>
      <w:r w:rsidR="00654AAE">
        <w:rPr>
          <w:rFonts w:ascii="Arial" w:hAnsi="Arial" w:cs="Arial"/>
          <w:sz w:val="24"/>
          <w:szCs w:val="24"/>
        </w:rPr>
        <w:t xml:space="preserve">8 July </w:t>
      </w:r>
      <w:r>
        <w:rPr>
          <w:rFonts w:ascii="Arial" w:hAnsi="Arial" w:cs="Arial"/>
          <w:sz w:val="24"/>
          <w:szCs w:val="24"/>
        </w:rPr>
        <w:t>2017 – (</w:t>
      </w:r>
      <w:r w:rsidR="00654AAE">
        <w:rPr>
          <w:rFonts w:ascii="Arial" w:hAnsi="Arial" w:cs="Arial"/>
          <w:sz w:val="24"/>
          <w:szCs w:val="24"/>
        </w:rPr>
        <w:t xml:space="preserve">see </w:t>
      </w:r>
      <w:r w:rsidR="00654AAE" w:rsidRPr="00654AAE">
        <w:rPr>
          <w:rFonts w:ascii="Arial" w:hAnsi="Arial" w:cs="Arial"/>
          <w:i/>
          <w:sz w:val="24"/>
          <w:szCs w:val="24"/>
        </w:rPr>
        <w:t>Prosecutor-General v Daniel &amp; others</w:t>
      </w:r>
      <w:r w:rsidR="00654AAE">
        <w:rPr>
          <w:rFonts w:ascii="Arial" w:hAnsi="Arial" w:cs="Arial"/>
          <w:sz w:val="24"/>
          <w:szCs w:val="24"/>
        </w:rPr>
        <w:t xml:space="preserve"> 2017 (3) NR 837 (SC). A</w:t>
      </w:r>
      <w:r>
        <w:rPr>
          <w:rFonts w:ascii="Arial" w:hAnsi="Arial" w:cs="Arial"/>
          <w:sz w:val="24"/>
          <w:szCs w:val="24"/>
        </w:rPr>
        <w:t>ppellant was a party to the s 14 constitutional challenge in the High Court).</w:t>
      </w: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 xml:space="preserve">Counsel for both parties agree that the finding of unconstitutionality of the minimum sentence provisions was that those provisions were expunged from the Act </w:t>
      </w:r>
      <w:r w:rsidRPr="00A320BE">
        <w:rPr>
          <w:rFonts w:ascii="Arial" w:hAnsi="Arial" w:cs="Arial"/>
          <w:i/>
          <w:sz w:val="24"/>
          <w:szCs w:val="24"/>
        </w:rPr>
        <w:t>ex tunc</w:t>
      </w:r>
      <w:r>
        <w:rPr>
          <w:rFonts w:ascii="Arial" w:hAnsi="Arial" w:cs="Arial"/>
          <w:sz w:val="24"/>
          <w:szCs w:val="24"/>
        </w:rPr>
        <w:t>. There not being any disagreement with the finding of invalidity of the minimum sentence provisions, this court must determine an appropriate sentence.</w:t>
      </w: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Appellant’s previous convictions are relevant in the determination of a</w:t>
      </w:r>
      <w:r w:rsidR="009905DA">
        <w:rPr>
          <w:rFonts w:ascii="Arial" w:hAnsi="Arial" w:cs="Arial"/>
          <w:sz w:val="24"/>
          <w:szCs w:val="24"/>
        </w:rPr>
        <w:t>n appropriate</w:t>
      </w:r>
      <w:r>
        <w:rPr>
          <w:rFonts w:ascii="Arial" w:hAnsi="Arial" w:cs="Arial"/>
          <w:sz w:val="24"/>
          <w:szCs w:val="24"/>
        </w:rPr>
        <w:t xml:space="preserve"> sentence.</w:t>
      </w: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r w:rsidRPr="006657F7">
        <w:rPr>
          <w:rFonts w:ascii="Arial" w:hAnsi="Arial" w:cs="Arial"/>
          <w:i/>
          <w:sz w:val="24"/>
          <w:szCs w:val="24"/>
        </w:rPr>
        <w:t>Held</w:t>
      </w:r>
      <w:r>
        <w:rPr>
          <w:rFonts w:ascii="Arial" w:hAnsi="Arial" w:cs="Arial"/>
          <w:sz w:val="24"/>
          <w:szCs w:val="24"/>
        </w:rPr>
        <w:t xml:space="preserve">, </w:t>
      </w:r>
      <w:r w:rsidR="00EC1625">
        <w:rPr>
          <w:rFonts w:ascii="Arial" w:hAnsi="Arial" w:cs="Arial"/>
          <w:sz w:val="24"/>
          <w:szCs w:val="24"/>
        </w:rPr>
        <w:t xml:space="preserve">that there are clear aggravating circumstances present and the only factors militating against imposing the maximum sentence within the normal range of sentences for similar cases is the fact that appellant was in detention pre-trial for three years. </w:t>
      </w: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r w:rsidRPr="006657F7">
        <w:rPr>
          <w:rFonts w:ascii="Arial" w:hAnsi="Arial" w:cs="Arial"/>
          <w:i/>
          <w:sz w:val="24"/>
          <w:szCs w:val="24"/>
        </w:rPr>
        <w:t>Held</w:t>
      </w:r>
      <w:r>
        <w:rPr>
          <w:rFonts w:ascii="Arial" w:hAnsi="Arial" w:cs="Arial"/>
          <w:sz w:val="24"/>
          <w:szCs w:val="24"/>
        </w:rPr>
        <w:t xml:space="preserve">, appellant is sentenced to 12 years direct imprisonment, backdated to </w:t>
      </w:r>
      <w:r w:rsidR="00024797">
        <w:rPr>
          <w:rFonts w:ascii="Arial" w:hAnsi="Arial" w:cs="Arial"/>
          <w:sz w:val="24"/>
          <w:szCs w:val="24"/>
        </w:rPr>
        <w:t xml:space="preserve">                                    </w:t>
      </w:r>
      <w:r>
        <w:rPr>
          <w:rFonts w:ascii="Arial" w:hAnsi="Arial" w:cs="Arial"/>
          <w:sz w:val="24"/>
          <w:szCs w:val="24"/>
        </w:rPr>
        <w:t>8 December 2009.</w:t>
      </w:r>
    </w:p>
    <w:p w:rsidR="00EF2ABC" w:rsidRDefault="00EF2ABC" w:rsidP="00EC1625">
      <w:pPr>
        <w:pStyle w:val="NoSpacing"/>
        <w:tabs>
          <w:tab w:val="left" w:pos="720"/>
          <w:tab w:val="left" w:pos="1440"/>
          <w:tab w:val="left" w:pos="2430"/>
        </w:tabs>
        <w:spacing w:line="360" w:lineRule="auto"/>
        <w:jc w:val="both"/>
        <w:rPr>
          <w:rFonts w:ascii="Arial" w:hAnsi="Arial" w:cs="Arial"/>
          <w:sz w:val="24"/>
          <w:szCs w:val="24"/>
        </w:rPr>
      </w:pPr>
    </w:p>
    <w:p w:rsidR="00A01470" w:rsidRDefault="00EF2ABC" w:rsidP="00EC1625">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Appeal succeeds.</w:t>
      </w:r>
    </w:p>
    <w:p w:rsidR="00A01470" w:rsidRDefault="00A01470" w:rsidP="00A01470">
      <w:pPr>
        <w:pStyle w:val="NoSpacing"/>
        <w:rPr>
          <w:rFonts w:ascii="Arial" w:hAnsi="Arial" w:cs="Arial"/>
          <w:sz w:val="24"/>
          <w:szCs w:val="24"/>
        </w:rPr>
      </w:pPr>
    </w:p>
    <w:p w:rsidR="00A01470" w:rsidRPr="00991107" w:rsidRDefault="00A01470" w:rsidP="00A01470">
      <w:pPr>
        <w:pStyle w:val="NoSpacing"/>
        <w:rPr>
          <w:rFonts w:ascii="Arial" w:hAnsi="Arial" w:cs="Arial"/>
          <w:sz w:val="24"/>
          <w:szCs w:val="24"/>
        </w:rPr>
      </w:pPr>
      <w:r>
        <w:rPr>
          <w:rFonts w:ascii="Arial" w:hAnsi="Arial" w:cs="Arial"/>
          <w:sz w:val="24"/>
          <w:szCs w:val="24"/>
        </w:rPr>
        <w:t>____________________________________________________________________</w:t>
      </w:r>
    </w:p>
    <w:p w:rsidR="00A01470" w:rsidRPr="00991107" w:rsidRDefault="00A01470" w:rsidP="00A01470">
      <w:pPr>
        <w:pStyle w:val="NoSpacing"/>
        <w:rPr>
          <w:rFonts w:ascii="Arial" w:hAnsi="Arial" w:cs="Arial"/>
          <w:sz w:val="24"/>
          <w:szCs w:val="24"/>
        </w:rPr>
      </w:pPr>
    </w:p>
    <w:p w:rsidR="00A01470" w:rsidRPr="00970591" w:rsidRDefault="00A01470" w:rsidP="00A01470">
      <w:pPr>
        <w:pStyle w:val="NoSpacing"/>
        <w:jc w:val="center"/>
        <w:rPr>
          <w:rFonts w:ascii="Arial" w:hAnsi="Arial" w:cs="Arial"/>
          <w:b/>
          <w:sz w:val="24"/>
          <w:szCs w:val="24"/>
        </w:rPr>
      </w:pPr>
      <w:r w:rsidRPr="00970591">
        <w:rPr>
          <w:rFonts w:ascii="Arial" w:hAnsi="Arial" w:cs="Arial"/>
          <w:b/>
          <w:sz w:val="24"/>
          <w:szCs w:val="24"/>
        </w:rPr>
        <w:t>APPEAL JUDGMENT</w:t>
      </w:r>
    </w:p>
    <w:p w:rsidR="00A01470" w:rsidRPr="00991107" w:rsidRDefault="00A01470" w:rsidP="00A01470">
      <w:pPr>
        <w:pStyle w:val="NoSpacing"/>
        <w:rPr>
          <w:rFonts w:ascii="Arial" w:hAnsi="Arial" w:cs="Arial"/>
          <w:sz w:val="24"/>
          <w:szCs w:val="24"/>
        </w:rPr>
      </w:pPr>
      <w:r>
        <w:rPr>
          <w:rFonts w:ascii="Arial" w:hAnsi="Arial" w:cs="Arial"/>
          <w:sz w:val="24"/>
          <w:szCs w:val="24"/>
        </w:rPr>
        <w:t>____________________________________________________________________</w:t>
      </w:r>
    </w:p>
    <w:p w:rsidR="00A01470" w:rsidRPr="00991107" w:rsidRDefault="00A01470" w:rsidP="00A01470">
      <w:pPr>
        <w:pStyle w:val="NoSpacing"/>
        <w:rPr>
          <w:rFonts w:ascii="Arial" w:hAnsi="Arial" w:cs="Arial"/>
          <w:sz w:val="24"/>
          <w:szCs w:val="24"/>
        </w:rPr>
      </w:pPr>
    </w:p>
    <w:p w:rsidR="00A01470" w:rsidRDefault="00A01470" w:rsidP="00A01470">
      <w:pPr>
        <w:pStyle w:val="NoSpacing"/>
        <w:spacing w:line="480" w:lineRule="auto"/>
        <w:jc w:val="both"/>
        <w:rPr>
          <w:rFonts w:ascii="Arial" w:hAnsi="Arial" w:cs="Arial"/>
          <w:sz w:val="24"/>
          <w:szCs w:val="24"/>
        </w:rPr>
      </w:pPr>
      <w:r>
        <w:rPr>
          <w:rFonts w:ascii="Arial" w:hAnsi="Arial" w:cs="Arial"/>
          <w:sz w:val="24"/>
          <w:szCs w:val="24"/>
        </w:rPr>
        <w:t>FRANK AJA (SHIVUTE CJ and SMUTS JA concurring):</w:t>
      </w:r>
    </w:p>
    <w:p w:rsidR="00D655C8" w:rsidRPr="00D655C8" w:rsidRDefault="00D655C8" w:rsidP="00A01470">
      <w:pPr>
        <w:pStyle w:val="NoSpacing"/>
        <w:spacing w:line="480" w:lineRule="auto"/>
        <w:jc w:val="both"/>
        <w:rPr>
          <w:rFonts w:ascii="Arial" w:hAnsi="Arial" w:cs="Arial"/>
          <w:sz w:val="24"/>
          <w:szCs w:val="24"/>
          <w:u w:val="single"/>
        </w:rPr>
      </w:pPr>
      <w:r w:rsidRPr="00D655C8">
        <w:rPr>
          <w:rFonts w:ascii="Arial" w:hAnsi="Arial" w:cs="Arial"/>
          <w:sz w:val="24"/>
          <w:szCs w:val="24"/>
          <w:u w:val="single"/>
        </w:rPr>
        <w:t>Introduction</w:t>
      </w:r>
    </w:p>
    <w:p w:rsidR="00A01470" w:rsidRDefault="00D655C8"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3 December 2009 the appellant was convicted of stock theft involving one head of cattle valued at N$3200. As the appellant had a previous conviction of stock </w:t>
      </w:r>
      <w:r>
        <w:rPr>
          <w:rFonts w:ascii="Arial" w:hAnsi="Arial" w:cs="Arial"/>
          <w:sz w:val="24"/>
          <w:szCs w:val="24"/>
        </w:rPr>
        <w:lastRenderedPageBreak/>
        <w:t>theft for which he was sentenced to three years imprisonment in 1997</w:t>
      </w:r>
      <w:r w:rsidR="00EF2ABC">
        <w:rPr>
          <w:rFonts w:ascii="Arial" w:hAnsi="Arial" w:cs="Arial"/>
          <w:sz w:val="24"/>
          <w:szCs w:val="24"/>
        </w:rPr>
        <w:t>,</w:t>
      </w:r>
      <w:r>
        <w:rPr>
          <w:rFonts w:ascii="Arial" w:hAnsi="Arial" w:cs="Arial"/>
          <w:sz w:val="24"/>
          <w:szCs w:val="24"/>
        </w:rPr>
        <w:t xml:space="preserve"> he was sentenced to 30 years imprisonment on 8 December 2009.</w:t>
      </w:r>
    </w:p>
    <w:p w:rsidR="00A01470" w:rsidRDefault="00A01470" w:rsidP="00A01470">
      <w:pPr>
        <w:pStyle w:val="NoSpacing"/>
        <w:spacing w:line="480" w:lineRule="auto"/>
        <w:jc w:val="both"/>
        <w:rPr>
          <w:rFonts w:ascii="Arial" w:hAnsi="Arial" w:cs="Arial"/>
          <w:sz w:val="24"/>
          <w:szCs w:val="24"/>
        </w:rPr>
      </w:pPr>
    </w:p>
    <w:p w:rsidR="00A01470" w:rsidRDefault="00D655C8"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sentence, whic</w:t>
      </w:r>
      <w:r w:rsidR="009517FF">
        <w:rPr>
          <w:rFonts w:ascii="Arial" w:hAnsi="Arial" w:cs="Arial"/>
          <w:sz w:val="24"/>
          <w:szCs w:val="24"/>
        </w:rPr>
        <w:t>h on the face thereof, is startlingly</w:t>
      </w:r>
      <w:r>
        <w:rPr>
          <w:rFonts w:ascii="Arial" w:hAnsi="Arial" w:cs="Arial"/>
          <w:sz w:val="24"/>
          <w:szCs w:val="24"/>
        </w:rPr>
        <w:t xml:space="preserve"> inapprop</w:t>
      </w:r>
      <w:r w:rsidR="00542292">
        <w:rPr>
          <w:rFonts w:ascii="Arial" w:hAnsi="Arial" w:cs="Arial"/>
          <w:sz w:val="24"/>
          <w:szCs w:val="24"/>
        </w:rPr>
        <w:t>riate, was mandatory as s 14(1)</w:t>
      </w:r>
      <w:r w:rsidRPr="00542292">
        <w:rPr>
          <w:rFonts w:ascii="Arial" w:hAnsi="Arial" w:cs="Arial"/>
          <w:i/>
          <w:sz w:val="24"/>
          <w:szCs w:val="24"/>
        </w:rPr>
        <w:t>(b)</w:t>
      </w:r>
      <w:r>
        <w:rPr>
          <w:rFonts w:ascii="Arial" w:hAnsi="Arial" w:cs="Arial"/>
          <w:sz w:val="24"/>
          <w:szCs w:val="24"/>
        </w:rPr>
        <w:t xml:space="preserve"> of the </w:t>
      </w:r>
      <w:r w:rsidRPr="00542292">
        <w:rPr>
          <w:rFonts w:ascii="Arial" w:hAnsi="Arial" w:cs="Arial"/>
          <w:sz w:val="24"/>
          <w:szCs w:val="24"/>
        </w:rPr>
        <w:t>Stock Theft Act</w:t>
      </w:r>
      <w:r w:rsidR="00542292">
        <w:rPr>
          <w:rFonts w:ascii="Arial" w:hAnsi="Arial" w:cs="Arial"/>
          <w:sz w:val="24"/>
          <w:szCs w:val="24"/>
        </w:rPr>
        <w:t xml:space="preserve"> </w:t>
      </w:r>
      <w:r w:rsidR="00FF2C22">
        <w:rPr>
          <w:rFonts w:ascii="Arial" w:hAnsi="Arial" w:cs="Arial"/>
          <w:sz w:val="24"/>
          <w:szCs w:val="24"/>
        </w:rPr>
        <w:t xml:space="preserve">12 </w:t>
      </w:r>
      <w:r w:rsidR="00542292">
        <w:rPr>
          <w:rFonts w:ascii="Arial" w:hAnsi="Arial" w:cs="Arial"/>
          <w:sz w:val="24"/>
          <w:szCs w:val="24"/>
        </w:rPr>
        <w:t xml:space="preserve">of </w:t>
      </w:r>
      <w:r w:rsidR="00542292" w:rsidRPr="00542292">
        <w:rPr>
          <w:rFonts w:ascii="Arial" w:hAnsi="Arial" w:cs="Arial"/>
          <w:sz w:val="24"/>
          <w:szCs w:val="24"/>
        </w:rPr>
        <w:t>1990</w:t>
      </w:r>
      <w:r w:rsidR="00542292">
        <w:rPr>
          <w:rFonts w:ascii="Arial" w:hAnsi="Arial" w:cs="Arial"/>
          <w:sz w:val="24"/>
          <w:szCs w:val="24"/>
        </w:rPr>
        <w:t xml:space="preserve"> </w:t>
      </w:r>
      <w:r w:rsidR="00FD1786">
        <w:rPr>
          <w:rFonts w:ascii="Arial" w:hAnsi="Arial" w:cs="Arial"/>
          <w:sz w:val="24"/>
          <w:szCs w:val="24"/>
        </w:rPr>
        <w:t>(the Act</w:t>
      </w:r>
      <w:r>
        <w:rPr>
          <w:rFonts w:ascii="Arial" w:hAnsi="Arial" w:cs="Arial"/>
          <w:sz w:val="24"/>
          <w:szCs w:val="24"/>
        </w:rPr>
        <w:t>)</w:t>
      </w:r>
      <w:r w:rsidR="00542292">
        <w:rPr>
          <w:rFonts w:ascii="Arial" w:hAnsi="Arial" w:cs="Arial"/>
          <w:sz w:val="24"/>
          <w:szCs w:val="24"/>
        </w:rPr>
        <w:t xml:space="preserve"> at the time made it the compulsory sentence for </w:t>
      </w:r>
      <w:r w:rsidR="00AE0015">
        <w:rPr>
          <w:rFonts w:ascii="Arial" w:hAnsi="Arial" w:cs="Arial"/>
          <w:sz w:val="24"/>
          <w:szCs w:val="24"/>
        </w:rPr>
        <w:t>a</w:t>
      </w:r>
      <w:r w:rsidR="00542292">
        <w:rPr>
          <w:rFonts w:ascii="Arial" w:hAnsi="Arial" w:cs="Arial"/>
          <w:sz w:val="24"/>
          <w:szCs w:val="24"/>
        </w:rPr>
        <w:t xml:space="preserve"> repeat offender under the Act </w:t>
      </w:r>
      <w:r w:rsidR="00FF2C22">
        <w:rPr>
          <w:rFonts w:ascii="Arial" w:hAnsi="Arial" w:cs="Arial"/>
          <w:sz w:val="24"/>
          <w:szCs w:val="24"/>
        </w:rPr>
        <w:t xml:space="preserve">where the value of the </w:t>
      </w:r>
      <w:r w:rsidR="00AE0015">
        <w:rPr>
          <w:rFonts w:ascii="Arial" w:hAnsi="Arial" w:cs="Arial"/>
          <w:sz w:val="24"/>
          <w:szCs w:val="24"/>
        </w:rPr>
        <w:t>stock involved exceed</w:t>
      </w:r>
      <w:r w:rsidR="00357D05">
        <w:rPr>
          <w:rFonts w:ascii="Arial" w:hAnsi="Arial" w:cs="Arial"/>
          <w:sz w:val="24"/>
          <w:szCs w:val="24"/>
        </w:rPr>
        <w:t>s</w:t>
      </w:r>
      <w:r w:rsidR="00AE0015">
        <w:rPr>
          <w:rFonts w:ascii="Arial" w:hAnsi="Arial" w:cs="Arial"/>
          <w:sz w:val="24"/>
          <w:szCs w:val="24"/>
        </w:rPr>
        <w:t xml:space="preserve"> N$500 unless the court found substantial and compelling </w:t>
      </w:r>
      <w:r w:rsidR="006D2198">
        <w:rPr>
          <w:rFonts w:ascii="Arial" w:hAnsi="Arial" w:cs="Arial"/>
          <w:sz w:val="24"/>
          <w:szCs w:val="24"/>
        </w:rPr>
        <w:t xml:space="preserve">circumstances </w:t>
      </w:r>
      <w:r w:rsidR="00AE0015">
        <w:rPr>
          <w:rFonts w:ascii="Arial" w:hAnsi="Arial" w:cs="Arial"/>
          <w:sz w:val="24"/>
          <w:szCs w:val="24"/>
        </w:rPr>
        <w:t xml:space="preserve">not to impose such sentence. The court </w:t>
      </w:r>
      <w:r w:rsidR="00AE0015" w:rsidRPr="00AE0015">
        <w:rPr>
          <w:rFonts w:ascii="Arial" w:hAnsi="Arial" w:cs="Arial"/>
          <w:i/>
          <w:sz w:val="24"/>
          <w:szCs w:val="24"/>
        </w:rPr>
        <w:t>a quo</w:t>
      </w:r>
      <w:r w:rsidR="00AE0015">
        <w:rPr>
          <w:rFonts w:ascii="Arial" w:hAnsi="Arial" w:cs="Arial"/>
          <w:sz w:val="24"/>
          <w:szCs w:val="24"/>
        </w:rPr>
        <w:t xml:space="preserve"> did not find such circumstances.</w:t>
      </w:r>
    </w:p>
    <w:p w:rsidR="00A01470" w:rsidRDefault="00A01470" w:rsidP="00A01470">
      <w:pPr>
        <w:pStyle w:val="NoSpacing"/>
        <w:spacing w:line="480" w:lineRule="auto"/>
        <w:jc w:val="both"/>
        <w:rPr>
          <w:rFonts w:ascii="Arial" w:hAnsi="Arial" w:cs="Arial"/>
          <w:sz w:val="24"/>
          <w:szCs w:val="24"/>
        </w:rPr>
      </w:pPr>
    </w:p>
    <w:p w:rsidR="00A01470" w:rsidRDefault="00657452"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Subsequent to the appellant being sentenced</w:t>
      </w:r>
      <w:r w:rsidR="00EF2ABC">
        <w:rPr>
          <w:rFonts w:ascii="Arial" w:hAnsi="Arial" w:cs="Arial"/>
          <w:sz w:val="24"/>
          <w:szCs w:val="24"/>
        </w:rPr>
        <w:t>,</w:t>
      </w:r>
      <w:r>
        <w:rPr>
          <w:rFonts w:ascii="Arial" w:hAnsi="Arial" w:cs="Arial"/>
          <w:sz w:val="24"/>
          <w:szCs w:val="24"/>
        </w:rPr>
        <w:t xml:space="preserve"> the High Court on 10 March 2011 held that the minimum sentences contained in s 14 of the Act were unconstitutional.</w:t>
      </w:r>
      <w:r>
        <w:rPr>
          <w:rStyle w:val="FootnoteReference"/>
          <w:rFonts w:ascii="Arial" w:hAnsi="Arial" w:cs="Arial"/>
          <w:sz w:val="24"/>
          <w:szCs w:val="24"/>
        </w:rPr>
        <w:footnoteReference w:id="1"/>
      </w:r>
      <w:r>
        <w:rPr>
          <w:rFonts w:ascii="Arial" w:hAnsi="Arial" w:cs="Arial"/>
          <w:sz w:val="24"/>
          <w:szCs w:val="24"/>
        </w:rPr>
        <w:t xml:space="preserve"> This court subsequently confirmed this finding</w:t>
      </w:r>
      <w:r w:rsidR="002C526C">
        <w:rPr>
          <w:rFonts w:ascii="Arial" w:hAnsi="Arial" w:cs="Arial"/>
          <w:sz w:val="24"/>
          <w:szCs w:val="24"/>
        </w:rPr>
        <w:t xml:space="preserve"> of the High Court on </w:t>
      </w:r>
      <w:r w:rsidR="00357D05">
        <w:rPr>
          <w:rFonts w:ascii="Arial" w:hAnsi="Arial" w:cs="Arial"/>
          <w:sz w:val="24"/>
          <w:szCs w:val="24"/>
        </w:rPr>
        <w:t>2</w:t>
      </w:r>
      <w:r w:rsidR="002C526C">
        <w:rPr>
          <w:rFonts w:ascii="Arial" w:hAnsi="Arial" w:cs="Arial"/>
          <w:sz w:val="24"/>
          <w:szCs w:val="24"/>
        </w:rPr>
        <w:t>8 July 201</w:t>
      </w:r>
      <w:r>
        <w:rPr>
          <w:rFonts w:ascii="Arial" w:hAnsi="Arial" w:cs="Arial"/>
          <w:sz w:val="24"/>
          <w:szCs w:val="24"/>
        </w:rPr>
        <w:t>7.</w:t>
      </w:r>
      <w:r>
        <w:rPr>
          <w:rStyle w:val="FootnoteReference"/>
          <w:rFonts w:ascii="Arial" w:hAnsi="Arial" w:cs="Arial"/>
          <w:sz w:val="24"/>
          <w:szCs w:val="24"/>
        </w:rPr>
        <w:footnoteReference w:id="2"/>
      </w:r>
    </w:p>
    <w:p w:rsidR="00A01470" w:rsidRDefault="00A01470" w:rsidP="00A01470">
      <w:pPr>
        <w:pStyle w:val="NoSpacing"/>
        <w:spacing w:line="480" w:lineRule="auto"/>
        <w:jc w:val="both"/>
        <w:rPr>
          <w:rFonts w:ascii="Arial" w:hAnsi="Arial" w:cs="Arial"/>
          <w:sz w:val="24"/>
          <w:szCs w:val="24"/>
        </w:rPr>
      </w:pPr>
    </w:p>
    <w:p w:rsidR="00A01470" w:rsidRDefault="00657452"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who was a party to the High Court challenge</w:t>
      </w:r>
      <w:r w:rsidR="002C526C">
        <w:rPr>
          <w:rFonts w:ascii="Arial" w:hAnsi="Arial" w:cs="Arial"/>
          <w:sz w:val="24"/>
          <w:szCs w:val="24"/>
        </w:rPr>
        <w:t xml:space="preserve"> to </w:t>
      </w:r>
      <w:r>
        <w:rPr>
          <w:rFonts w:ascii="Arial" w:hAnsi="Arial" w:cs="Arial"/>
          <w:sz w:val="24"/>
          <w:szCs w:val="24"/>
        </w:rPr>
        <w:t xml:space="preserve">the constitutionality of s 14 of the Act </w:t>
      </w:r>
      <w:r w:rsidR="002E1D0E">
        <w:rPr>
          <w:rFonts w:ascii="Arial" w:hAnsi="Arial" w:cs="Arial"/>
          <w:sz w:val="24"/>
          <w:szCs w:val="24"/>
        </w:rPr>
        <w:t>made various attempts to appeal his sentence but encountered m</w:t>
      </w:r>
      <w:r w:rsidR="006D2198">
        <w:rPr>
          <w:rFonts w:ascii="Arial" w:hAnsi="Arial" w:cs="Arial"/>
          <w:sz w:val="24"/>
          <w:szCs w:val="24"/>
        </w:rPr>
        <w:t>any technical and procedural hur</w:t>
      </w:r>
      <w:r w:rsidR="002E1D0E">
        <w:rPr>
          <w:rFonts w:ascii="Arial" w:hAnsi="Arial" w:cs="Arial"/>
          <w:sz w:val="24"/>
          <w:szCs w:val="24"/>
        </w:rPr>
        <w:t>dles as he was unrepresented. It is unnecessary to relate all his efforts in detail</w:t>
      </w:r>
      <w:r w:rsidR="00654AAE">
        <w:rPr>
          <w:rFonts w:ascii="Arial" w:hAnsi="Arial" w:cs="Arial"/>
          <w:sz w:val="24"/>
          <w:szCs w:val="24"/>
        </w:rPr>
        <w:t>,</w:t>
      </w:r>
      <w:r w:rsidR="002E1D0E">
        <w:rPr>
          <w:rFonts w:ascii="Arial" w:hAnsi="Arial" w:cs="Arial"/>
          <w:sz w:val="24"/>
          <w:szCs w:val="24"/>
        </w:rPr>
        <w:t xml:space="preserve"> save to say that he eventually approached this court </w:t>
      </w:r>
      <w:r w:rsidR="00F8765D">
        <w:rPr>
          <w:rFonts w:ascii="Arial" w:hAnsi="Arial" w:cs="Arial"/>
          <w:sz w:val="24"/>
          <w:szCs w:val="24"/>
        </w:rPr>
        <w:t xml:space="preserve">on a petition which resulted in him being given leave to appeal against his sentence. </w:t>
      </w:r>
    </w:p>
    <w:p w:rsidR="00A01470" w:rsidRDefault="00A01470" w:rsidP="00A01470">
      <w:pPr>
        <w:pStyle w:val="NoSpacing"/>
        <w:spacing w:line="480" w:lineRule="auto"/>
        <w:jc w:val="both"/>
        <w:rPr>
          <w:rFonts w:ascii="Arial" w:hAnsi="Arial" w:cs="Arial"/>
          <w:sz w:val="24"/>
          <w:szCs w:val="24"/>
        </w:rPr>
      </w:pPr>
    </w:p>
    <w:p w:rsidR="00A01470" w:rsidRDefault="0045144A"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w:t>
      </w:r>
      <w:r w:rsidR="00F8765D">
        <w:rPr>
          <w:rFonts w:ascii="Arial" w:hAnsi="Arial" w:cs="Arial"/>
          <w:sz w:val="24"/>
          <w:szCs w:val="24"/>
        </w:rPr>
        <w:t xml:space="preserve"> for both the appellant and the respondent accept that the result of the decision of unconstitutionality of the minimum sentence provisions was that those </w:t>
      </w:r>
      <w:r w:rsidR="00F8765D">
        <w:rPr>
          <w:rFonts w:ascii="Arial" w:hAnsi="Arial" w:cs="Arial"/>
          <w:sz w:val="24"/>
          <w:szCs w:val="24"/>
        </w:rPr>
        <w:lastRenderedPageBreak/>
        <w:t xml:space="preserve">provisions were expunged from the Act </w:t>
      </w:r>
      <w:r w:rsidR="002C526C" w:rsidRPr="002C526C">
        <w:rPr>
          <w:rFonts w:ascii="Arial" w:hAnsi="Arial" w:cs="Arial"/>
          <w:i/>
          <w:sz w:val="24"/>
          <w:szCs w:val="24"/>
        </w:rPr>
        <w:t>ex tunc</w:t>
      </w:r>
      <w:r w:rsidR="00F8765D">
        <w:rPr>
          <w:rFonts w:ascii="Arial" w:hAnsi="Arial" w:cs="Arial"/>
          <w:sz w:val="24"/>
          <w:szCs w:val="24"/>
        </w:rPr>
        <w:t xml:space="preserve"> which mean</w:t>
      </w:r>
      <w:r w:rsidR="002C526C">
        <w:rPr>
          <w:rFonts w:ascii="Arial" w:hAnsi="Arial" w:cs="Arial"/>
          <w:sz w:val="24"/>
          <w:szCs w:val="24"/>
        </w:rPr>
        <w:t>s</w:t>
      </w:r>
      <w:r w:rsidR="00F8765D">
        <w:rPr>
          <w:rFonts w:ascii="Arial" w:hAnsi="Arial" w:cs="Arial"/>
          <w:sz w:val="24"/>
          <w:szCs w:val="24"/>
        </w:rPr>
        <w:t xml:space="preserve"> th</w:t>
      </w:r>
      <w:r w:rsidR="002C526C">
        <w:rPr>
          <w:rFonts w:ascii="Arial" w:hAnsi="Arial" w:cs="Arial"/>
          <w:sz w:val="24"/>
          <w:szCs w:val="24"/>
        </w:rPr>
        <w:t>ese</w:t>
      </w:r>
      <w:r w:rsidR="00F8765D">
        <w:rPr>
          <w:rFonts w:ascii="Arial" w:hAnsi="Arial" w:cs="Arial"/>
          <w:sz w:val="24"/>
          <w:szCs w:val="24"/>
        </w:rPr>
        <w:t xml:space="preserve"> provisions must be taken to not have been in existence when the appellant was sentenced in the </w:t>
      </w:r>
      <w:r w:rsidR="00024797">
        <w:rPr>
          <w:rFonts w:ascii="Arial" w:hAnsi="Arial" w:cs="Arial"/>
          <w:sz w:val="24"/>
          <w:szCs w:val="24"/>
        </w:rPr>
        <w:t xml:space="preserve">               </w:t>
      </w:r>
      <w:r w:rsidR="00F8765D">
        <w:rPr>
          <w:rFonts w:ascii="Arial" w:hAnsi="Arial" w:cs="Arial"/>
          <w:sz w:val="24"/>
          <w:szCs w:val="24"/>
        </w:rPr>
        <w:t xml:space="preserve">court </w:t>
      </w:r>
      <w:r w:rsidR="00F8765D" w:rsidRPr="00210948">
        <w:rPr>
          <w:rFonts w:ascii="Arial" w:hAnsi="Arial" w:cs="Arial"/>
          <w:i/>
          <w:sz w:val="24"/>
          <w:szCs w:val="24"/>
        </w:rPr>
        <w:t xml:space="preserve">a quo </w:t>
      </w:r>
      <w:r w:rsidR="00F8765D">
        <w:rPr>
          <w:rFonts w:ascii="Arial" w:hAnsi="Arial" w:cs="Arial"/>
          <w:sz w:val="24"/>
          <w:szCs w:val="24"/>
        </w:rPr>
        <w:t>on 8 December 2009.</w:t>
      </w:r>
      <w:r w:rsidR="00210948">
        <w:rPr>
          <w:rFonts w:ascii="Arial" w:hAnsi="Arial" w:cs="Arial"/>
          <w:sz w:val="24"/>
          <w:szCs w:val="24"/>
        </w:rPr>
        <w:t xml:space="preserve"> This is so because the finding of invalidity operates retroactively.</w:t>
      </w:r>
      <w:r w:rsidR="00210948">
        <w:rPr>
          <w:rStyle w:val="FootnoteReference"/>
          <w:rFonts w:ascii="Arial" w:hAnsi="Arial" w:cs="Arial"/>
          <w:sz w:val="24"/>
          <w:szCs w:val="24"/>
        </w:rPr>
        <w:footnoteReference w:id="3"/>
      </w:r>
      <w:r w:rsidR="00210948">
        <w:rPr>
          <w:rFonts w:ascii="Arial" w:hAnsi="Arial" w:cs="Arial"/>
          <w:sz w:val="24"/>
          <w:szCs w:val="24"/>
        </w:rPr>
        <w:t xml:space="preserve"> It is also clear from the judgment </w:t>
      </w:r>
      <w:r w:rsidR="00210948" w:rsidRPr="00210948">
        <w:rPr>
          <w:rFonts w:ascii="Arial" w:hAnsi="Arial" w:cs="Arial"/>
          <w:i/>
          <w:sz w:val="24"/>
          <w:szCs w:val="24"/>
        </w:rPr>
        <w:t>a quo</w:t>
      </w:r>
      <w:r w:rsidR="00210948">
        <w:rPr>
          <w:rFonts w:ascii="Arial" w:hAnsi="Arial" w:cs="Arial"/>
          <w:sz w:val="24"/>
          <w:szCs w:val="24"/>
        </w:rPr>
        <w:t xml:space="preserve"> that the minimum sentence in place at the time was an important factor that swayed the judge </w:t>
      </w:r>
      <w:r w:rsidR="00210948" w:rsidRPr="00210948">
        <w:rPr>
          <w:rFonts w:ascii="Arial" w:hAnsi="Arial" w:cs="Arial"/>
          <w:i/>
          <w:sz w:val="24"/>
          <w:szCs w:val="24"/>
        </w:rPr>
        <w:t>a quo</w:t>
      </w:r>
      <w:r w:rsidR="00210948">
        <w:rPr>
          <w:rFonts w:ascii="Arial" w:hAnsi="Arial" w:cs="Arial"/>
          <w:sz w:val="24"/>
          <w:szCs w:val="24"/>
        </w:rPr>
        <w:t xml:space="preserve"> in the s</w:t>
      </w:r>
      <w:r w:rsidR="007A6A32">
        <w:rPr>
          <w:rFonts w:ascii="Arial" w:hAnsi="Arial" w:cs="Arial"/>
          <w:sz w:val="24"/>
          <w:szCs w:val="24"/>
        </w:rPr>
        <w:t>entencing of the appellant. C</w:t>
      </w:r>
      <w:r>
        <w:rPr>
          <w:rFonts w:ascii="Arial" w:hAnsi="Arial" w:cs="Arial"/>
          <w:sz w:val="24"/>
          <w:szCs w:val="24"/>
        </w:rPr>
        <w:t>ounsel</w:t>
      </w:r>
      <w:r w:rsidR="00210948">
        <w:rPr>
          <w:rFonts w:ascii="Arial" w:hAnsi="Arial" w:cs="Arial"/>
          <w:sz w:val="24"/>
          <w:szCs w:val="24"/>
        </w:rPr>
        <w:t xml:space="preserve"> for both the appellant and the respondent </w:t>
      </w:r>
      <w:r w:rsidR="002C526C">
        <w:rPr>
          <w:rFonts w:ascii="Arial" w:hAnsi="Arial" w:cs="Arial"/>
          <w:sz w:val="24"/>
          <w:szCs w:val="24"/>
        </w:rPr>
        <w:t>also</w:t>
      </w:r>
      <w:r w:rsidR="00210948">
        <w:rPr>
          <w:rFonts w:ascii="Arial" w:hAnsi="Arial" w:cs="Arial"/>
          <w:sz w:val="24"/>
          <w:szCs w:val="24"/>
        </w:rPr>
        <w:t xml:space="preserve"> further agreed that this court should impose </w:t>
      </w:r>
      <w:r w:rsidR="00127A24">
        <w:rPr>
          <w:rFonts w:ascii="Arial" w:hAnsi="Arial" w:cs="Arial"/>
          <w:sz w:val="24"/>
          <w:szCs w:val="24"/>
        </w:rPr>
        <w:t xml:space="preserve">an appropriate sentence on the appellant. </w:t>
      </w:r>
    </w:p>
    <w:p w:rsidR="00127A24" w:rsidRDefault="00127A24" w:rsidP="00A01470">
      <w:pPr>
        <w:pStyle w:val="NoSpacing"/>
        <w:spacing w:line="480" w:lineRule="auto"/>
        <w:jc w:val="both"/>
        <w:rPr>
          <w:rFonts w:ascii="Arial" w:hAnsi="Arial" w:cs="Arial"/>
          <w:sz w:val="24"/>
          <w:szCs w:val="24"/>
        </w:rPr>
      </w:pPr>
    </w:p>
    <w:p w:rsidR="00127A24" w:rsidRPr="00127A24" w:rsidRDefault="00127A24" w:rsidP="00A01470">
      <w:pPr>
        <w:pStyle w:val="NoSpacing"/>
        <w:spacing w:line="480" w:lineRule="auto"/>
        <w:jc w:val="both"/>
        <w:rPr>
          <w:rFonts w:ascii="Arial" w:hAnsi="Arial" w:cs="Arial"/>
          <w:sz w:val="24"/>
          <w:szCs w:val="24"/>
          <w:u w:val="single"/>
        </w:rPr>
      </w:pPr>
      <w:r w:rsidRPr="00127A24">
        <w:rPr>
          <w:rFonts w:ascii="Arial" w:hAnsi="Arial" w:cs="Arial"/>
          <w:sz w:val="24"/>
          <w:szCs w:val="24"/>
          <w:u w:val="single"/>
        </w:rPr>
        <w:t>Appropriate sentence</w:t>
      </w:r>
    </w:p>
    <w:p w:rsidR="00A01470" w:rsidRDefault="00127A24"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far as the accused’s personal circumstances are concerned</w:t>
      </w:r>
      <w:r w:rsidR="00EF2ABC">
        <w:rPr>
          <w:rFonts w:ascii="Arial" w:hAnsi="Arial" w:cs="Arial"/>
          <w:sz w:val="24"/>
          <w:szCs w:val="24"/>
        </w:rPr>
        <w:t>,</w:t>
      </w:r>
      <w:r>
        <w:rPr>
          <w:rFonts w:ascii="Arial" w:hAnsi="Arial" w:cs="Arial"/>
          <w:sz w:val="24"/>
          <w:szCs w:val="24"/>
        </w:rPr>
        <w:t xml:space="preserve"> the following w</w:t>
      </w:r>
      <w:r w:rsidR="00EF2ABC">
        <w:rPr>
          <w:rFonts w:ascii="Arial" w:hAnsi="Arial" w:cs="Arial"/>
          <w:sz w:val="24"/>
          <w:szCs w:val="24"/>
        </w:rPr>
        <w:t>as</w:t>
      </w:r>
      <w:r>
        <w:rPr>
          <w:rFonts w:ascii="Arial" w:hAnsi="Arial" w:cs="Arial"/>
          <w:sz w:val="24"/>
          <w:szCs w:val="24"/>
        </w:rPr>
        <w:t xml:space="preserve"> placed before the court </w:t>
      </w:r>
      <w:r w:rsidRPr="00127A24">
        <w:rPr>
          <w:rFonts w:ascii="Arial" w:hAnsi="Arial" w:cs="Arial"/>
          <w:i/>
          <w:sz w:val="24"/>
          <w:szCs w:val="24"/>
        </w:rPr>
        <w:t>a quo</w:t>
      </w:r>
      <w:r>
        <w:rPr>
          <w:rFonts w:ascii="Arial" w:hAnsi="Arial" w:cs="Arial"/>
          <w:sz w:val="24"/>
          <w:szCs w:val="24"/>
        </w:rPr>
        <w:t xml:space="preserve">. He was single and 38 years old at the time. He worked as a mechanic earning between N$3000 and N$4000 per month. He was </w:t>
      </w:r>
      <w:r w:rsidR="00EF2ABC">
        <w:rPr>
          <w:rFonts w:ascii="Arial" w:hAnsi="Arial" w:cs="Arial"/>
          <w:sz w:val="24"/>
          <w:szCs w:val="24"/>
        </w:rPr>
        <w:t xml:space="preserve">the </w:t>
      </w:r>
      <w:r>
        <w:rPr>
          <w:rFonts w:ascii="Arial" w:hAnsi="Arial" w:cs="Arial"/>
          <w:sz w:val="24"/>
          <w:szCs w:val="24"/>
        </w:rPr>
        <w:t>sole breadwinner of his family at the time which included two of his six children who, with him, stayed with his mother who operated a shebeen, presumably, from home. Appellant was the eldest of nine siblings, whom he looked after financially. He also supported his grandmother who l</w:t>
      </w:r>
      <w:r w:rsidR="003404A5">
        <w:rPr>
          <w:rFonts w:ascii="Arial" w:hAnsi="Arial" w:cs="Arial"/>
          <w:sz w:val="24"/>
          <w:szCs w:val="24"/>
        </w:rPr>
        <w:t xml:space="preserve">ooked after livestock. From an </w:t>
      </w:r>
      <w:r w:rsidR="003404A5" w:rsidRPr="002C526C">
        <w:rPr>
          <w:rFonts w:ascii="Arial" w:hAnsi="Arial" w:cs="Arial"/>
          <w:sz w:val="24"/>
          <w:szCs w:val="24"/>
        </w:rPr>
        <w:t>educational</w:t>
      </w:r>
      <w:r w:rsidR="003404A5">
        <w:rPr>
          <w:rFonts w:ascii="Arial" w:hAnsi="Arial" w:cs="Arial"/>
          <w:sz w:val="24"/>
          <w:szCs w:val="24"/>
        </w:rPr>
        <w:t xml:space="preserve"> perspective the appellant attended school up to grade 11.</w:t>
      </w:r>
    </w:p>
    <w:p w:rsidR="00127A24" w:rsidRDefault="00127A24" w:rsidP="00A01470">
      <w:pPr>
        <w:pStyle w:val="NoSpacing"/>
        <w:spacing w:line="480" w:lineRule="auto"/>
        <w:jc w:val="both"/>
        <w:rPr>
          <w:rFonts w:ascii="Arial" w:hAnsi="Arial" w:cs="Arial"/>
          <w:sz w:val="24"/>
          <w:szCs w:val="24"/>
        </w:rPr>
      </w:pPr>
    </w:p>
    <w:p w:rsidR="00A01470" w:rsidRDefault="003404A5"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mentioned</w:t>
      </w:r>
      <w:r w:rsidR="00EF2ABC">
        <w:rPr>
          <w:rFonts w:ascii="Arial" w:hAnsi="Arial" w:cs="Arial"/>
          <w:sz w:val="24"/>
          <w:szCs w:val="24"/>
        </w:rPr>
        <w:t>,</w:t>
      </w:r>
      <w:r>
        <w:rPr>
          <w:rFonts w:ascii="Arial" w:hAnsi="Arial" w:cs="Arial"/>
          <w:sz w:val="24"/>
          <w:szCs w:val="24"/>
        </w:rPr>
        <w:t xml:space="preserve"> the appellant ha</w:t>
      </w:r>
      <w:r w:rsidR="00EC1625">
        <w:rPr>
          <w:rFonts w:ascii="Arial" w:hAnsi="Arial" w:cs="Arial"/>
          <w:sz w:val="24"/>
          <w:szCs w:val="24"/>
        </w:rPr>
        <w:t>s</w:t>
      </w:r>
      <w:r>
        <w:rPr>
          <w:rFonts w:ascii="Arial" w:hAnsi="Arial" w:cs="Arial"/>
          <w:sz w:val="24"/>
          <w:szCs w:val="24"/>
        </w:rPr>
        <w:t xml:space="preserve"> one previous stock theft conviction that predated the current conviction by about </w:t>
      </w:r>
      <w:r w:rsidR="00EC1625">
        <w:rPr>
          <w:rFonts w:ascii="Arial" w:hAnsi="Arial" w:cs="Arial"/>
          <w:sz w:val="24"/>
          <w:szCs w:val="24"/>
        </w:rPr>
        <w:t>nine</w:t>
      </w:r>
      <w:r>
        <w:rPr>
          <w:rFonts w:ascii="Arial" w:hAnsi="Arial" w:cs="Arial"/>
          <w:sz w:val="24"/>
          <w:szCs w:val="24"/>
        </w:rPr>
        <w:t xml:space="preserve"> years for which he was sentenced to a period of imprisonment of three years. This experience did not prevent him or deter him from taking a leading role in the planning and execution of the crime in the present </w:t>
      </w:r>
      <w:r>
        <w:rPr>
          <w:rFonts w:ascii="Arial" w:hAnsi="Arial" w:cs="Arial"/>
          <w:sz w:val="24"/>
          <w:szCs w:val="24"/>
        </w:rPr>
        <w:lastRenderedPageBreak/>
        <w:t xml:space="preserve">appeal where a team of five persons used a car and a rifle to go out </w:t>
      </w:r>
      <w:r w:rsidR="00E2640D">
        <w:rPr>
          <w:rFonts w:ascii="Arial" w:hAnsi="Arial" w:cs="Arial"/>
          <w:sz w:val="24"/>
          <w:szCs w:val="24"/>
        </w:rPr>
        <w:t xml:space="preserve">along a public road </w:t>
      </w:r>
      <w:r w:rsidR="00EC1625">
        <w:rPr>
          <w:rFonts w:ascii="Arial" w:hAnsi="Arial" w:cs="Arial"/>
          <w:sz w:val="24"/>
          <w:szCs w:val="24"/>
        </w:rPr>
        <w:t xml:space="preserve">at night </w:t>
      </w:r>
      <w:r w:rsidR="00E2640D">
        <w:rPr>
          <w:rFonts w:ascii="Arial" w:hAnsi="Arial" w:cs="Arial"/>
          <w:sz w:val="24"/>
          <w:szCs w:val="24"/>
        </w:rPr>
        <w:t xml:space="preserve">to look for an animal </w:t>
      </w:r>
      <w:r w:rsidR="002C526C">
        <w:rPr>
          <w:rFonts w:ascii="Arial" w:hAnsi="Arial" w:cs="Arial"/>
          <w:sz w:val="24"/>
          <w:szCs w:val="24"/>
        </w:rPr>
        <w:t>to kill on any of the farms adjoining</w:t>
      </w:r>
      <w:r w:rsidR="001D36B3">
        <w:rPr>
          <w:rFonts w:ascii="Arial" w:hAnsi="Arial" w:cs="Arial"/>
          <w:sz w:val="24"/>
          <w:szCs w:val="24"/>
        </w:rPr>
        <w:t xml:space="preserve"> the public road. </w:t>
      </w:r>
    </w:p>
    <w:p w:rsidR="00A01470" w:rsidRDefault="00A01470" w:rsidP="00A01470">
      <w:pPr>
        <w:pStyle w:val="NoSpacing"/>
        <w:spacing w:line="480" w:lineRule="auto"/>
        <w:jc w:val="both"/>
        <w:rPr>
          <w:rFonts w:ascii="Arial" w:hAnsi="Arial" w:cs="Arial"/>
          <w:sz w:val="24"/>
          <w:szCs w:val="24"/>
        </w:rPr>
      </w:pPr>
    </w:p>
    <w:p w:rsidR="00A01470" w:rsidRDefault="001D36B3"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Stock theft remains a public scourge in this country where the wide open spaces make it impossible to constantly guard livestock. Furthermore</w:t>
      </w:r>
      <w:r w:rsidR="00EF2ABC">
        <w:rPr>
          <w:rFonts w:ascii="Arial" w:hAnsi="Arial" w:cs="Arial"/>
          <w:sz w:val="24"/>
          <w:szCs w:val="24"/>
        </w:rPr>
        <w:t>,</w:t>
      </w:r>
      <w:r>
        <w:rPr>
          <w:rFonts w:ascii="Arial" w:hAnsi="Arial" w:cs="Arial"/>
          <w:sz w:val="24"/>
          <w:szCs w:val="24"/>
        </w:rPr>
        <w:t xml:space="preserve"> the sparse population renders many country roads virtually empty pathways for thieves to operate from and execute </w:t>
      </w:r>
      <w:r w:rsidR="00AD1DB0">
        <w:rPr>
          <w:rFonts w:ascii="Arial" w:hAnsi="Arial" w:cs="Arial"/>
          <w:sz w:val="24"/>
          <w:szCs w:val="24"/>
        </w:rPr>
        <w:t>their plans to transfer stolen or slaughtered stock over formidable distances so as to avoid detection.</w:t>
      </w:r>
    </w:p>
    <w:p w:rsidR="00A01470" w:rsidRDefault="00A01470" w:rsidP="00A01470">
      <w:pPr>
        <w:pStyle w:val="NoSpacing"/>
        <w:spacing w:line="480" w:lineRule="auto"/>
        <w:jc w:val="both"/>
        <w:rPr>
          <w:rFonts w:ascii="Arial" w:hAnsi="Arial" w:cs="Arial"/>
          <w:sz w:val="24"/>
          <w:szCs w:val="24"/>
        </w:rPr>
      </w:pPr>
    </w:p>
    <w:p w:rsidR="00A01470" w:rsidRDefault="00FE314D"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With the above facts in mind</w:t>
      </w:r>
      <w:r w:rsidR="00EF2ABC">
        <w:rPr>
          <w:rFonts w:ascii="Arial" w:hAnsi="Arial" w:cs="Arial"/>
          <w:sz w:val="24"/>
          <w:szCs w:val="24"/>
        </w:rPr>
        <w:t>,</w:t>
      </w:r>
      <w:r>
        <w:rPr>
          <w:rFonts w:ascii="Arial" w:hAnsi="Arial" w:cs="Arial"/>
          <w:sz w:val="24"/>
          <w:szCs w:val="24"/>
        </w:rPr>
        <w:t xml:space="preserve"> the question is what punishment would be appropriate and will fit the appellant, the crime and be fair to society.</w:t>
      </w:r>
      <w:r>
        <w:rPr>
          <w:rStyle w:val="FootnoteReference"/>
          <w:rFonts w:ascii="Arial" w:hAnsi="Arial" w:cs="Arial"/>
          <w:sz w:val="24"/>
          <w:szCs w:val="24"/>
        </w:rPr>
        <w:footnoteReference w:id="4"/>
      </w:r>
    </w:p>
    <w:p w:rsidR="00A01470" w:rsidRDefault="00A01470" w:rsidP="00F8765D">
      <w:pPr>
        <w:pStyle w:val="NoSpacing"/>
        <w:spacing w:line="480" w:lineRule="auto"/>
        <w:jc w:val="both"/>
        <w:rPr>
          <w:rFonts w:ascii="Arial" w:hAnsi="Arial" w:cs="Arial"/>
          <w:sz w:val="24"/>
          <w:szCs w:val="24"/>
        </w:rPr>
      </w:pPr>
    </w:p>
    <w:p w:rsidR="00A01470" w:rsidRDefault="002C526C"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w:t>
      </w:r>
      <w:r w:rsidR="00FE314D">
        <w:rPr>
          <w:rFonts w:ascii="Arial" w:hAnsi="Arial" w:cs="Arial"/>
          <w:sz w:val="24"/>
          <w:szCs w:val="24"/>
        </w:rPr>
        <w:t xml:space="preserve"> for the appellant </w:t>
      </w:r>
      <w:r w:rsidR="00233FEA">
        <w:rPr>
          <w:rFonts w:ascii="Arial" w:hAnsi="Arial" w:cs="Arial"/>
          <w:sz w:val="24"/>
          <w:szCs w:val="24"/>
        </w:rPr>
        <w:t>submits a sentence of ten years, 11 months and four days (which is the time already spent in pris</w:t>
      </w:r>
      <w:r w:rsidR="009905DA">
        <w:rPr>
          <w:rFonts w:ascii="Arial" w:hAnsi="Arial" w:cs="Arial"/>
          <w:sz w:val="24"/>
          <w:szCs w:val="24"/>
        </w:rPr>
        <w:t>on by the appellant) would be an appropriate</w:t>
      </w:r>
      <w:r w:rsidR="00233FEA">
        <w:rPr>
          <w:rFonts w:ascii="Arial" w:hAnsi="Arial" w:cs="Arial"/>
          <w:sz w:val="24"/>
          <w:szCs w:val="24"/>
        </w:rPr>
        <w:t xml:space="preserve"> sentence. </w:t>
      </w:r>
      <w:r>
        <w:rPr>
          <w:rFonts w:ascii="Arial" w:hAnsi="Arial" w:cs="Arial"/>
          <w:sz w:val="24"/>
          <w:szCs w:val="24"/>
        </w:rPr>
        <w:t>Counsel</w:t>
      </w:r>
      <w:r w:rsidR="00EF2ABC">
        <w:rPr>
          <w:rFonts w:ascii="Arial" w:hAnsi="Arial" w:cs="Arial"/>
          <w:sz w:val="24"/>
          <w:szCs w:val="24"/>
        </w:rPr>
        <w:t xml:space="preserve"> for the S</w:t>
      </w:r>
      <w:r w:rsidR="00233FEA">
        <w:rPr>
          <w:rFonts w:ascii="Arial" w:hAnsi="Arial" w:cs="Arial"/>
          <w:sz w:val="24"/>
          <w:szCs w:val="24"/>
        </w:rPr>
        <w:t xml:space="preserve">tate submits a sentence of </w:t>
      </w:r>
      <w:r w:rsidR="00492C82">
        <w:rPr>
          <w:rFonts w:ascii="Arial" w:hAnsi="Arial" w:cs="Arial"/>
          <w:sz w:val="24"/>
          <w:szCs w:val="24"/>
        </w:rPr>
        <w:t>15</w:t>
      </w:r>
      <w:r w:rsidR="00233FEA">
        <w:rPr>
          <w:rFonts w:ascii="Arial" w:hAnsi="Arial" w:cs="Arial"/>
          <w:sz w:val="24"/>
          <w:szCs w:val="24"/>
        </w:rPr>
        <w:t xml:space="preserve"> years imp</w:t>
      </w:r>
      <w:r>
        <w:rPr>
          <w:rFonts w:ascii="Arial" w:hAnsi="Arial" w:cs="Arial"/>
          <w:sz w:val="24"/>
          <w:szCs w:val="24"/>
        </w:rPr>
        <w:t xml:space="preserve">risonment </w:t>
      </w:r>
      <w:r w:rsidR="00233FEA">
        <w:rPr>
          <w:rFonts w:ascii="Arial" w:hAnsi="Arial" w:cs="Arial"/>
          <w:sz w:val="24"/>
          <w:szCs w:val="24"/>
        </w:rPr>
        <w:t xml:space="preserve">would be </w:t>
      </w:r>
      <w:r w:rsidR="00BF4F58">
        <w:rPr>
          <w:rFonts w:ascii="Arial" w:hAnsi="Arial" w:cs="Arial"/>
          <w:sz w:val="24"/>
          <w:szCs w:val="24"/>
        </w:rPr>
        <w:t>a</w:t>
      </w:r>
      <w:r w:rsidR="009905DA">
        <w:rPr>
          <w:rFonts w:ascii="Arial" w:hAnsi="Arial" w:cs="Arial"/>
          <w:sz w:val="24"/>
          <w:szCs w:val="24"/>
        </w:rPr>
        <w:t>n appropriate</w:t>
      </w:r>
      <w:r w:rsidR="00BF4F58">
        <w:rPr>
          <w:rFonts w:ascii="Arial" w:hAnsi="Arial" w:cs="Arial"/>
          <w:sz w:val="24"/>
          <w:szCs w:val="24"/>
        </w:rPr>
        <w:t xml:space="preserve"> sentence. </w:t>
      </w:r>
    </w:p>
    <w:p w:rsidR="00A01470" w:rsidRDefault="00A01470" w:rsidP="00A01470">
      <w:pPr>
        <w:pStyle w:val="NoSpacing"/>
        <w:spacing w:line="480" w:lineRule="auto"/>
        <w:jc w:val="both"/>
        <w:rPr>
          <w:rFonts w:ascii="Arial" w:hAnsi="Arial" w:cs="Arial"/>
          <w:sz w:val="24"/>
          <w:szCs w:val="24"/>
        </w:rPr>
      </w:pPr>
    </w:p>
    <w:p w:rsidR="00A01470" w:rsidRDefault="002C526C"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 counsel</w:t>
      </w:r>
      <w:r w:rsidR="00BF4F58">
        <w:rPr>
          <w:rFonts w:ascii="Arial" w:hAnsi="Arial" w:cs="Arial"/>
          <w:sz w:val="24"/>
          <w:szCs w:val="24"/>
        </w:rPr>
        <w:t xml:space="preserve"> for the appellant focuses on his previous conviction for stock theft</w:t>
      </w:r>
      <w:r w:rsidR="00EF2ABC">
        <w:rPr>
          <w:rFonts w:ascii="Arial" w:hAnsi="Arial" w:cs="Arial"/>
          <w:sz w:val="24"/>
          <w:szCs w:val="24"/>
        </w:rPr>
        <w:t>,</w:t>
      </w:r>
      <w:r w:rsidR="00BF4F58">
        <w:rPr>
          <w:rFonts w:ascii="Arial" w:hAnsi="Arial" w:cs="Arial"/>
          <w:sz w:val="24"/>
          <w:szCs w:val="24"/>
        </w:rPr>
        <w:t xml:space="preserve"> </w:t>
      </w:r>
      <w:r w:rsidR="0045144A">
        <w:rPr>
          <w:rFonts w:ascii="Arial" w:hAnsi="Arial" w:cs="Arial"/>
          <w:sz w:val="24"/>
          <w:szCs w:val="24"/>
        </w:rPr>
        <w:t>counsel</w:t>
      </w:r>
      <w:r w:rsidR="00BF4F58">
        <w:rPr>
          <w:rFonts w:ascii="Arial" w:hAnsi="Arial" w:cs="Arial"/>
          <w:sz w:val="24"/>
          <w:szCs w:val="24"/>
        </w:rPr>
        <w:t xml:space="preserve"> for the respondent submits his</w:t>
      </w:r>
      <w:r w:rsidR="00492C82">
        <w:rPr>
          <w:rFonts w:ascii="Arial" w:hAnsi="Arial" w:cs="Arial"/>
          <w:sz w:val="24"/>
          <w:szCs w:val="24"/>
        </w:rPr>
        <w:t xml:space="preserve"> other</w:t>
      </w:r>
      <w:r w:rsidR="00BF4F58">
        <w:rPr>
          <w:rFonts w:ascii="Arial" w:hAnsi="Arial" w:cs="Arial"/>
          <w:sz w:val="24"/>
          <w:szCs w:val="24"/>
        </w:rPr>
        <w:t xml:space="preserve"> previous convictions are also worthy of consideration. These are a conviction for assault with intent to do grievous bodily harm in 1995 and a conviction for housebreaking with intent to steal and theft in 1996. These convictions are in my view relevant as it shows the appellant’s previous </w:t>
      </w:r>
      <w:r w:rsidR="00BF4F58">
        <w:rPr>
          <w:rFonts w:ascii="Arial" w:hAnsi="Arial" w:cs="Arial"/>
          <w:sz w:val="24"/>
          <w:szCs w:val="24"/>
        </w:rPr>
        <w:lastRenderedPageBreak/>
        <w:t xml:space="preserve">brushes with the law did not put him off </w:t>
      </w:r>
      <w:r w:rsidR="007251E7">
        <w:rPr>
          <w:rFonts w:ascii="Arial" w:hAnsi="Arial" w:cs="Arial"/>
          <w:sz w:val="24"/>
          <w:szCs w:val="24"/>
        </w:rPr>
        <w:t xml:space="preserve">further criminal conduct and does reflect on his propensity to commit offences and that he is less open to rehabilitation than people without such convictions. </w:t>
      </w:r>
    </w:p>
    <w:p w:rsidR="00A01470" w:rsidRPr="00A94F81" w:rsidRDefault="00A01470" w:rsidP="00A01470">
      <w:pPr>
        <w:pStyle w:val="NoSpacing"/>
        <w:spacing w:line="480" w:lineRule="auto"/>
        <w:jc w:val="both"/>
        <w:rPr>
          <w:rFonts w:ascii="Arial" w:hAnsi="Arial" w:cs="Arial"/>
          <w:sz w:val="24"/>
          <w:szCs w:val="24"/>
        </w:rPr>
      </w:pPr>
    </w:p>
    <w:p w:rsidR="00A01470" w:rsidRDefault="007251E7"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have already alluded to the leading role appellant played in the committing of the offence </w:t>
      </w:r>
      <w:r w:rsidR="001D5975">
        <w:rPr>
          <w:rFonts w:ascii="Arial" w:hAnsi="Arial" w:cs="Arial"/>
          <w:sz w:val="24"/>
          <w:szCs w:val="24"/>
        </w:rPr>
        <w:t>under consideration. He persuaded or recruited three of his co-accused to accompany him and another on their criminal</w:t>
      </w:r>
      <w:r w:rsidR="00EE13A3">
        <w:rPr>
          <w:rFonts w:ascii="Arial" w:hAnsi="Arial" w:cs="Arial"/>
          <w:sz w:val="24"/>
          <w:szCs w:val="24"/>
        </w:rPr>
        <w:t xml:space="preserve"> venture upon payment. He also drov</w:t>
      </w:r>
      <w:r w:rsidR="00492C82">
        <w:rPr>
          <w:rFonts w:ascii="Arial" w:hAnsi="Arial" w:cs="Arial"/>
          <w:sz w:val="24"/>
          <w:szCs w:val="24"/>
        </w:rPr>
        <w:t>e the vehicle used in the foray which took place at night. These factors clearly amount to aggravating circumstances.</w:t>
      </w:r>
    </w:p>
    <w:p w:rsidR="00890EA7" w:rsidRDefault="00890EA7" w:rsidP="00890EA7">
      <w:pPr>
        <w:pStyle w:val="NoSpacing"/>
        <w:spacing w:line="480" w:lineRule="auto"/>
        <w:jc w:val="both"/>
        <w:rPr>
          <w:rFonts w:ascii="Arial" w:hAnsi="Arial" w:cs="Arial"/>
          <w:sz w:val="24"/>
          <w:szCs w:val="24"/>
        </w:rPr>
      </w:pPr>
    </w:p>
    <w:p w:rsidR="00A01470" w:rsidRDefault="00EE13A3"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w:t>
      </w:r>
      <w:r w:rsidR="00890EA7">
        <w:rPr>
          <w:rFonts w:ascii="Arial" w:hAnsi="Arial" w:cs="Arial"/>
          <w:sz w:val="24"/>
          <w:szCs w:val="24"/>
        </w:rPr>
        <w:t>at</w:t>
      </w:r>
      <w:r>
        <w:rPr>
          <w:rFonts w:ascii="Arial" w:hAnsi="Arial" w:cs="Arial"/>
          <w:sz w:val="24"/>
          <w:szCs w:val="24"/>
        </w:rPr>
        <w:t xml:space="preserve"> stock theft is regarded as serious and worthy of </w:t>
      </w:r>
      <w:r w:rsidR="00890EA7">
        <w:rPr>
          <w:rFonts w:ascii="Arial" w:hAnsi="Arial" w:cs="Arial"/>
          <w:sz w:val="24"/>
          <w:szCs w:val="24"/>
        </w:rPr>
        <w:t xml:space="preserve">a </w:t>
      </w:r>
      <w:r>
        <w:rPr>
          <w:rFonts w:ascii="Arial" w:hAnsi="Arial" w:cs="Arial"/>
          <w:sz w:val="24"/>
          <w:szCs w:val="24"/>
        </w:rPr>
        <w:t xml:space="preserve">direct term of imprisonment (especially where repeat offenders are involved) is accepted by both </w:t>
      </w:r>
      <w:r w:rsidR="0045144A">
        <w:rPr>
          <w:rFonts w:ascii="Arial" w:hAnsi="Arial" w:cs="Arial"/>
          <w:sz w:val="24"/>
          <w:szCs w:val="24"/>
        </w:rPr>
        <w:t>counsel</w:t>
      </w:r>
      <w:r>
        <w:rPr>
          <w:rFonts w:ascii="Arial" w:hAnsi="Arial" w:cs="Arial"/>
          <w:sz w:val="24"/>
          <w:szCs w:val="24"/>
        </w:rPr>
        <w:t xml:space="preserve">. This is also supported by case law referred to </w:t>
      </w:r>
      <w:r w:rsidR="00890EA7">
        <w:rPr>
          <w:rFonts w:ascii="Arial" w:hAnsi="Arial" w:cs="Arial"/>
          <w:sz w:val="24"/>
          <w:szCs w:val="24"/>
        </w:rPr>
        <w:t xml:space="preserve">by </w:t>
      </w:r>
      <w:r>
        <w:rPr>
          <w:rFonts w:ascii="Arial" w:hAnsi="Arial" w:cs="Arial"/>
          <w:sz w:val="24"/>
          <w:szCs w:val="24"/>
        </w:rPr>
        <w:t xml:space="preserve">both </w:t>
      </w:r>
      <w:r w:rsidR="0045144A">
        <w:rPr>
          <w:rFonts w:ascii="Arial" w:hAnsi="Arial" w:cs="Arial"/>
          <w:sz w:val="24"/>
          <w:szCs w:val="24"/>
        </w:rPr>
        <w:t>counsel</w:t>
      </w:r>
      <w:r>
        <w:rPr>
          <w:rFonts w:ascii="Arial" w:hAnsi="Arial" w:cs="Arial"/>
          <w:sz w:val="24"/>
          <w:szCs w:val="24"/>
        </w:rPr>
        <w:t>. From the case law</w:t>
      </w:r>
      <w:r w:rsidR="00EF2ABC">
        <w:rPr>
          <w:rFonts w:ascii="Arial" w:hAnsi="Arial" w:cs="Arial"/>
          <w:sz w:val="24"/>
          <w:szCs w:val="24"/>
        </w:rPr>
        <w:t>,</w:t>
      </w:r>
      <w:r>
        <w:rPr>
          <w:rFonts w:ascii="Arial" w:hAnsi="Arial" w:cs="Arial"/>
          <w:sz w:val="24"/>
          <w:szCs w:val="24"/>
        </w:rPr>
        <w:t xml:space="preserve"> it is apparent that the range of sentences for similar cases is between ten to </w:t>
      </w:r>
      <w:r w:rsidR="009244FE">
        <w:rPr>
          <w:rFonts w:ascii="Arial" w:hAnsi="Arial" w:cs="Arial"/>
          <w:sz w:val="24"/>
          <w:szCs w:val="24"/>
        </w:rPr>
        <w:t xml:space="preserve">           </w:t>
      </w:r>
      <w:r>
        <w:rPr>
          <w:rFonts w:ascii="Arial" w:hAnsi="Arial" w:cs="Arial"/>
          <w:sz w:val="24"/>
          <w:szCs w:val="24"/>
        </w:rPr>
        <w:t>15 years direct imprisonment.</w:t>
      </w:r>
    </w:p>
    <w:p w:rsidR="00A01470" w:rsidRPr="00701260" w:rsidRDefault="00A01470" w:rsidP="00A01470">
      <w:pPr>
        <w:pStyle w:val="NoSpacing"/>
        <w:spacing w:line="480" w:lineRule="auto"/>
        <w:jc w:val="both"/>
        <w:rPr>
          <w:rFonts w:ascii="Arial" w:hAnsi="Arial" w:cs="Arial"/>
          <w:sz w:val="24"/>
          <w:szCs w:val="24"/>
        </w:rPr>
      </w:pPr>
    </w:p>
    <w:p w:rsidR="00A01470" w:rsidRDefault="00492C82"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aggravating circumstances mentioned above </w:t>
      </w:r>
      <w:r w:rsidR="00974A4C">
        <w:rPr>
          <w:rFonts w:ascii="Arial" w:hAnsi="Arial" w:cs="Arial"/>
          <w:sz w:val="24"/>
          <w:szCs w:val="24"/>
        </w:rPr>
        <w:t xml:space="preserve">are </w:t>
      </w:r>
      <w:r>
        <w:rPr>
          <w:rFonts w:ascii="Arial" w:hAnsi="Arial" w:cs="Arial"/>
          <w:sz w:val="24"/>
          <w:szCs w:val="24"/>
        </w:rPr>
        <w:t xml:space="preserve">such that </w:t>
      </w:r>
      <w:r w:rsidR="00974A4C">
        <w:rPr>
          <w:rFonts w:ascii="Arial" w:hAnsi="Arial" w:cs="Arial"/>
          <w:sz w:val="24"/>
          <w:szCs w:val="24"/>
        </w:rPr>
        <w:t>they</w:t>
      </w:r>
      <w:r>
        <w:rPr>
          <w:rFonts w:ascii="Arial" w:hAnsi="Arial" w:cs="Arial"/>
          <w:sz w:val="24"/>
          <w:szCs w:val="24"/>
        </w:rPr>
        <w:t xml:space="preserve"> indicate a sentence at </w:t>
      </w:r>
      <w:r w:rsidR="00A312E4">
        <w:rPr>
          <w:rFonts w:ascii="Arial" w:hAnsi="Arial" w:cs="Arial"/>
          <w:sz w:val="24"/>
          <w:szCs w:val="24"/>
        </w:rPr>
        <w:t>the highest end of the range for similar cases. Here however</w:t>
      </w:r>
      <w:r w:rsidR="00654AAE">
        <w:rPr>
          <w:rFonts w:ascii="Arial" w:hAnsi="Arial" w:cs="Arial"/>
          <w:sz w:val="24"/>
          <w:szCs w:val="24"/>
        </w:rPr>
        <w:t>,</w:t>
      </w:r>
      <w:r w:rsidR="00A312E4">
        <w:rPr>
          <w:rFonts w:ascii="Arial" w:hAnsi="Arial" w:cs="Arial"/>
          <w:sz w:val="24"/>
          <w:szCs w:val="24"/>
        </w:rPr>
        <w:t xml:space="preserve"> it must be borne in mind that the appellant was incarcerated for three years awaiting trial prior to his conviction of the offence relevant to this appeal. </w:t>
      </w:r>
    </w:p>
    <w:p w:rsidR="00A01470" w:rsidRDefault="00A01470" w:rsidP="00A01470">
      <w:pPr>
        <w:pStyle w:val="NoSpacing"/>
        <w:spacing w:line="480" w:lineRule="auto"/>
        <w:jc w:val="both"/>
        <w:rPr>
          <w:rFonts w:ascii="Arial" w:hAnsi="Arial" w:cs="Arial"/>
          <w:sz w:val="24"/>
          <w:szCs w:val="24"/>
        </w:rPr>
      </w:pPr>
    </w:p>
    <w:p w:rsidR="00A01470" w:rsidRDefault="0030082B"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am of the view</w:t>
      </w:r>
      <w:r w:rsidR="00890EA7">
        <w:rPr>
          <w:rFonts w:ascii="Arial" w:hAnsi="Arial" w:cs="Arial"/>
          <w:sz w:val="24"/>
          <w:szCs w:val="24"/>
        </w:rPr>
        <w:t>,</w:t>
      </w:r>
      <w:r>
        <w:rPr>
          <w:rFonts w:ascii="Arial" w:hAnsi="Arial" w:cs="Arial"/>
          <w:sz w:val="24"/>
          <w:szCs w:val="24"/>
        </w:rPr>
        <w:t xml:space="preserve"> taking into account all the circumstances</w:t>
      </w:r>
      <w:r w:rsidR="00890EA7">
        <w:rPr>
          <w:rFonts w:ascii="Arial" w:hAnsi="Arial" w:cs="Arial"/>
          <w:sz w:val="24"/>
          <w:szCs w:val="24"/>
        </w:rPr>
        <w:t>,</w:t>
      </w:r>
      <w:r>
        <w:rPr>
          <w:rFonts w:ascii="Arial" w:hAnsi="Arial" w:cs="Arial"/>
          <w:sz w:val="24"/>
          <w:szCs w:val="24"/>
        </w:rPr>
        <w:t xml:space="preserve"> that a sentence of direct imprisonment of 12 years would be an appropriate sentence.</w:t>
      </w:r>
    </w:p>
    <w:p w:rsidR="00A01470" w:rsidRPr="006A55DD" w:rsidRDefault="00A01470" w:rsidP="00A01470">
      <w:pPr>
        <w:pStyle w:val="NoSpacing"/>
        <w:spacing w:line="480" w:lineRule="auto"/>
        <w:jc w:val="both"/>
        <w:rPr>
          <w:rFonts w:ascii="Arial" w:hAnsi="Arial" w:cs="Arial"/>
          <w:sz w:val="24"/>
          <w:szCs w:val="24"/>
        </w:rPr>
      </w:pPr>
    </w:p>
    <w:p w:rsidR="00A01470" w:rsidRDefault="0030082B"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Before I make the order</w:t>
      </w:r>
      <w:r w:rsidR="00EF2ABC">
        <w:rPr>
          <w:rFonts w:ascii="Arial" w:hAnsi="Arial" w:cs="Arial"/>
          <w:sz w:val="24"/>
          <w:szCs w:val="24"/>
        </w:rPr>
        <w:t>,</w:t>
      </w:r>
      <w:r>
        <w:rPr>
          <w:rFonts w:ascii="Arial" w:hAnsi="Arial" w:cs="Arial"/>
          <w:sz w:val="24"/>
          <w:szCs w:val="24"/>
        </w:rPr>
        <w:t xml:space="preserve"> I must express the court’s gratitude to both </w:t>
      </w:r>
      <w:r w:rsidR="0045144A">
        <w:rPr>
          <w:rFonts w:ascii="Arial" w:hAnsi="Arial" w:cs="Arial"/>
          <w:sz w:val="24"/>
          <w:szCs w:val="24"/>
        </w:rPr>
        <w:t>counsel</w:t>
      </w:r>
      <w:r>
        <w:rPr>
          <w:rFonts w:ascii="Arial" w:hAnsi="Arial" w:cs="Arial"/>
          <w:sz w:val="24"/>
          <w:szCs w:val="24"/>
        </w:rPr>
        <w:t xml:space="preserve"> for assisting the court i</w:t>
      </w:r>
      <w:r w:rsidR="00411710">
        <w:rPr>
          <w:rFonts w:ascii="Arial" w:hAnsi="Arial" w:cs="Arial"/>
          <w:sz w:val="24"/>
          <w:szCs w:val="24"/>
        </w:rPr>
        <w:t xml:space="preserve">n this matter and especially </w:t>
      </w:r>
      <w:r w:rsidR="0045144A">
        <w:rPr>
          <w:rFonts w:ascii="Arial" w:hAnsi="Arial" w:cs="Arial"/>
          <w:sz w:val="24"/>
          <w:szCs w:val="24"/>
        </w:rPr>
        <w:t>counsel</w:t>
      </w:r>
      <w:r>
        <w:rPr>
          <w:rFonts w:ascii="Arial" w:hAnsi="Arial" w:cs="Arial"/>
          <w:sz w:val="24"/>
          <w:szCs w:val="24"/>
        </w:rPr>
        <w:t xml:space="preserve"> for the appellant who appeared for the appellant on an </w:t>
      </w:r>
      <w:r w:rsidRPr="0030082B">
        <w:rPr>
          <w:rFonts w:ascii="Arial" w:hAnsi="Arial" w:cs="Arial"/>
          <w:i/>
          <w:sz w:val="24"/>
          <w:szCs w:val="24"/>
        </w:rPr>
        <w:t>amicus curiae</w:t>
      </w:r>
      <w:r>
        <w:rPr>
          <w:rFonts w:ascii="Arial" w:hAnsi="Arial" w:cs="Arial"/>
          <w:sz w:val="24"/>
          <w:szCs w:val="24"/>
        </w:rPr>
        <w:t xml:space="preserve"> basis.</w:t>
      </w:r>
    </w:p>
    <w:p w:rsidR="00A01470" w:rsidRDefault="00A01470" w:rsidP="00A01470">
      <w:pPr>
        <w:pStyle w:val="NoSpacing"/>
        <w:spacing w:line="480" w:lineRule="auto"/>
        <w:jc w:val="both"/>
        <w:rPr>
          <w:rFonts w:ascii="Arial" w:hAnsi="Arial" w:cs="Arial"/>
          <w:sz w:val="24"/>
          <w:szCs w:val="24"/>
        </w:rPr>
      </w:pPr>
    </w:p>
    <w:p w:rsidR="00A01470" w:rsidRDefault="0030082B" w:rsidP="00A014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EF2ABC">
        <w:rPr>
          <w:rFonts w:ascii="Arial" w:hAnsi="Arial" w:cs="Arial"/>
          <w:sz w:val="24"/>
          <w:szCs w:val="24"/>
        </w:rPr>
        <w:t>,</w:t>
      </w:r>
      <w:r>
        <w:rPr>
          <w:rFonts w:ascii="Arial" w:hAnsi="Arial" w:cs="Arial"/>
          <w:sz w:val="24"/>
          <w:szCs w:val="24"/>
        </w:rPr>
        <w:t xml:space="preserve"> the following order is made:</w:t>
      </w:r>
    </w:p>
    <w:p w:rsidR="00A01470" w:rsidRDefault="00A01470" w:rsidP="0030082B">
      <w:pPr>
        <w:pStyle w:val="NoSpacing"/>
        <w:spacing w:line="480" w:lineRule="auto"/>
        <w:ind w:left="720"/>
        <w:jc w:val="both"/>
        <w:rPr>
          <w:rFonts w:ascii="Arial" w:hAnsi="Arial" w:cs="Arial"/>
          <w:sz w:val="24"/>
          <w:szCs w:val="24"/>
        </w:rPr>
      </w:pPr>
    </w:p>
    <w:p w:rsidR="00A01470" w:rsidRDefault="0030082B" w:rsidP="0030082B">
      <w:pPr>
        <w:pStyle w:val="NoSpacing"/>
        <w:numPr>
          <w:ilvl w:val="0"/>
          <w:numId w:val="3"/>
        </w:numPr>
        <w:spacing w:line="480" w:lineRule="auto"/>
        <w:jc w:val="both"/>
        <w:rPr>
          <w:rFonts w:ascii="Arial" w:hAnsi="Arial" w:cs="Arial"/>
          <w:sz w:val="24"/>
          <w:szCs w:val="24"/>
        </w:rPr>
      </w:pPr>
      <w:r>
        <w:rPr>
          <w:rFonts w:ascii="Arial" w:hAnsi="Arial" w:cs="Arial"/>
          <w:sz w:val="24"/>
          <w:szCs w:val="24"/>
        </w:rPr>
        <w:t>The appeal is upheld.</w:t>
      </w:r>
    </w:p>
    <w:p w:rsidR="0030082B" w:rsidRDefault="0030082B" w:rsidP="0030082B">
      <w:pPr>
        <w:pStyle w:val="NoSpacing"/>
        <w:spacing w:line="480" w:lineRule="auto"/>
        <w:ind w:left="1440"/>
        <w:jc w:val="both"/>
        <w:rPr>
          <w:rFonts w:ascii="Arial" w:hAnsi="Arial" w:cs="Arial"/>
          <w:sz w:val="24"/>
          <w:szCs w:val="24"/>
        </w:rPr>
      </w:pPr>
    </w:p>
    <w:p w:rsidR="0030082B" w:rsidRDefault="0030082B" w:rsidP="0030082B">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order of the court </w:t>
      </w:r>
      <w:r w:rsidRPr="0030082B">
        <w:rPr>
          <w:rFonts w:ascii="Arial" w:hAnsi="Arial" w:cs="Arial"/>
          <w:i/>
          <w:sz w:val="24"/>
          <w:szCs w:val="24"/>
        </w:rPr>
        <w:t>a quo</w:t>
      </w:r>
      <w:r>
        <w:rPr>
          <w:rFonts w:ascii="Arial" w:hAnsi="Arial" w:cs="Arial"/>
          <w:sz w:val="24"/>
          <w:szCs w:val="24"/>
        </w:rPr>
        <w:t xml:space="preserve"> of 8 December 2009 sentencing the appellant to 30 years imprisonment is set aside and substituted with the following order:</w:t>
      </w:r>
    </w:p>
    <w:p w:rsidR="00EA5884" w:rsidRDefault="00EA5884" w:rsidP="006E638D">
      <w:pPr>
        <w:ind w:left="1440"/>
        <w:rPr>
          <w:rFonts w:ascii="Arial" w:hAnsi="Arial" w:cs="Arial"/>
          <w:sz w:val="24"/>
          <w:szCs w:val="24"/>
        </w:rPr>
      </w:pPr>
    </w:p>
    <w:p w:rsidR="0030082B" w:rsidRDefault="00C367A0" w:rsidP="00C367A0">
      <w:pPr>
        <w:pStyle w:val="NoSpacing"/>
        <w:spacing w:line="48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30082B">
        <w:rPr>
          <w:rFonts w:ascii="Arial" w:hAnsi="Arial" w:cs="Arial"/>
          <w:sz w:val="24"/>
          <w:szCs w:val="24"/>
        </w:rPr>
        <w:t>The accused is sentence</w:t>
      </w:r>
      <w:r w:rsidR="005F61DA">
        <w:rPr>
          <w:rFonts w:ascii="Arial" w:hAnsi="Arial" w:cs="Arial"/>
          <w:sz w:val="24"/>
          <w:szCs w:val="24"/>
        </w:rPr>
        <w:t>d</w:t>
      </w:r>
      <w:r w:rsidR="0030082B">
        <w:rPr>
          <w:rFonts w:ascii="Arial" w:hAnsi="Arial" w:cs="Arial"/>
          <w:sz w:val="24"/>
          <w:szCs w:val="24"/>
        </w:rPr>
        <w:t xml:space="preserve"> to 12 years imprisonment backdated to 8 December 2009.</w:t>
      </w:r>
      <w:r w:rsidR="00EF2ABC">
        <w:rPr>
          <w:rFonts w:ascii="Arial" w:hAnsi="Arial" w:cs="Arial"/>
          <w:sz w:val="24"/>
          <w:szCs w:val="24"/>
        </w:rPr>
        <w:t>’</w:t>
      </w:r>
    </w:p>
    <w:p w:rsidR="00A01470" w:rsidRPr="00991107" w:rsidRDefault="00A01470" w:rsidP="00A01470">
      <w:pPr>
        <w:pStyle w:val="NoSpacing"/>
        <w:rPr>
          <w:rFonts w:ascii="Arial" w:hAnsi="Arial" w:cs="Arial"/>
          <w:b/>
          <w:sz w:val="24"/>
          <w:szCs w:val="24"/>
        </w:rPr>
      </w:pPr>
    </w:p>
    <w:p w:rsidR="00A01470" w:rsidRDefault="00A01470" w:rsidP="00A01470">
      <w:pPr>
        <w:pStyle w:val="NoSpacing"/>
        <w:rPr>
          <w:rFonts w:ascii="Arial" w:hAnsi="Arial" w:cs="Arial"/>
          <w:b/>
          <w:sz w:val="24"/>
          <w:szCs w:val="24"/>
        </w:rPr>
      </w:pPr>
    </w:p>
    <w:p w:rsidR="00A01470" w:rsidRDefault="00A01470" w:rsidP="00A01470">
      <w:pPr>
        <w:pStyle w:val="NoSpacing"/>
        <w:rPr>
          <w:rFonts w:ascii="Arial" w:hAnsi="Arial" w:cs="Arial"/>
          <w:b/>
          <w:sz w:val="24"/>
          <w:szCs w:val="24"/>
        </w:rPr>
      </w:pPr>
    </w:p>
    <w:p w:rsidR="00A01470" w:rsidRDefault="00A01470" w:rsidP="00A01470">
      <w:pPr>
        <w:pStyle w:val="NoSpacing"/>
        <w:rPr>
          <w:rFonts w:ascii="Arial" w:hAnsi="Arial" w:cs="Arial"/>
          <w:b/>
          <w:sz w:val="24"/>
          <w:szCs w:val="24"/>
        </w:rPr>
      </w:pPr>
    </w:p>
    <w:p w:rsidR="00C367A0" w:rsidRPr="00991107" w:rsidRDefault="00C367A0" w:rsidP="00A01470">
      <w:pPr>
        <w:pStyle w:val="NoSpacing"/>
        <w:rPr>
          <w:rFonts w:ascii="Arial" w:hAnsi="Arial" w:cs="Arial"/>
          <w:b/>
          <w:sz w:val="24"/>
          <w:szCs w:val="24"/>
        </w:rPr>
      </w:pPr>
    </w:p>
    <w:p w:rsidR="00A01470" w:rsidRPr="00F4471E" w:rsidRDefault="00A01470" w:rsidP="00A01470">
      <w:pPr>
        <w:spacing w:after="0" w:line="276" w:lineRule="auto"/>
        <w:jc w:val="both"/>
        <w:rPr>
          <w:rFonts w:ascii="Arial" w:hAnsi="Arial" w:cs="Arial"/>
          <w:b/>
          <w:sz w:val="24"/>
          <w:szCs w:val="24"/>
        </w:rPr>
      </w:pPr>
      <w:r>
        <w:rPr>
          <w:rFonts w:ascii="Arial" w:hAnsi="Arial" w:cs="Arial"/>
          <w:b/>
          <w:sz w:val="24"/>
          <w:szCs w:val="24"/>
        </w:rPr>
        <w:t>__________________</w:t>
      </w:r>
    </w:p>
    <w:p w:rsidR="00A01470" w:rsidRPr="00F4471E" w:rsidRDefault="00A01470" w:rsidP="00A01470">
      <w:pPr>
        <w:spacing w:after="0" w:line="240" w:lineRule="auto"/>
        <w:jc w:val="both"/>
        <w:rPr>
          <w:rFonts w:ascii="Arial" w:hAnsi="Arial" w:cs="Arial"/>
          <w:b/>
          <w:sz w:val="24"/>
          <w:szCs w:val="24"/>
        </w:rPr>
      </w:pPr>
      <w:r>
        <w:rPr>
          <w:rFonts w:ascii="Arial" w:hAnsi="Arial" w:cs="Arial"/>
          <w:b/>
          <w:sz w:val="24"/>
          <w:szCs w:val="24"/>
        </w:rPr>
        <w:t>FRANK AJA</w:t>
      </w: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r>
        <w:rPr>
          <w:rFonts w:ascii="Arial" w:hAnsi="Arial" w:cs="Arial"/>
          <w:b/>
          <w:sz w:val="24"/>
          <w:szCs w:val="24"/>
        </w:rPr>
        <w:t>__________________</w:t>
      </w:r>
    </w:p>
    <w:p w:rsidR="00A01470" w:rsidRDefault="00A01470" w:rsidP="00A01470">
      <w:pPr>
        <w:spacing w:after="0" w:line="240" w:lineRule="auto"/>
        <w:jc w:val="both"/>
        <w:rPr>
          <w:rFonts w:ascii="Arial" w:hAnsi="Arial" w:cs="Arial"/>
          <w:b/>
          <w:sz w:val="24"/>
          <w:szCs w:val="24"/>
        </w:rPr>
      </w:pPr>
      <w:r>
        <w:rPr>
          <w:rFonts w:ascii="Arial" w:hAnsi="Arial" w:cs="Arial"/>
          <w:b/>
          <w:sz w:val="24"/>
          <w:szCs w:val="24"/>
        </w:rPr>
        <w:t>SHIVUTE CJ</w:t>
      </w: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p>
    <w:p w:rsidR="00A01470" w:rsidRDefault="00A01470" w:rsidP="00A01470">
      <w:pPr>
        <w:spacing w:after="0" w:line="240" w:lineRule="auto"/>
        <w:jc w:val="both"/>
        <w:rPr>
          <w:rFonts w:ascii="Arial" w:hAnsi="Arial" w:cs="Arial"/>
          <w:b/>
          <w:sz w:val="24"/>
          <w:szCs w:val="24"/>
        </w:rPr>
      </w:pPr>
      <w:r>
        <w:rPr>
          <w:rFonts w:ascii="Arial" w:hAnsi="Arial" w:cs="Arial"/>
          <w:b/>
          <w:sz w:val="24"/>
          <w:szCs w:val="24"/>
        </w:rPr>
        <w:t>__________________</w:t>
      </w:r>
    </w:p>
    <w:p w:rsidR="00A312E4" w:rsidRPr="00A01470" w:rsidRDefault="0030082B" w:rsidP="00A01470">
      <w:pPr>
        <w:pStyle w:val="BodyText"/>
        <w:autoSpaceDE w:val="0"/>
        <w:autoSpaceDN w:val="0"/>
        <w:adjustRightInd w:val="0"/>
        <w:spacing w:line="480" w:lineRule="auto"/>
        <w:jc w:val="both"/>
        <w:rPr>
          <w:rFonts w:ascii="Arial" w:hAnsi="Arial" w:cs="Arial"/>
          <w:b/>
        </w:rPr>
      </w:pPr>
      <w:r>
        <w:rPr>
          <w:rFonts w:ascii="Arial" w:hAnsi="Arial" w:cs="Arial"/>
          <w:b/>
        </w:rPr>
        <w:t>SMUTS JA</w:t>
      </w:r>
    </w:p>
    <w:p w:rsidR="00A01470" w:rsidRDefault="00A01470" w:rsidP="00A01470">
      <w:pPr>
        <w:pStyle w:val="BodyText"/>
        <w:autoSpaceDE w:val="0"/>
        <w:autoSpaceDN w:val="0"/>
        <w:adjustRightInd w:val="0"/>
        <w:spacing w:line="480" w:lineRule="auto"/>
        <w:jc w:val="both"/>
        <w:rPr>
          <w:rFonts w:ascii="Arial" w:hAnsi="Arial" w:cs="Arial"/>
        </w:rPr>
      </w:pPr>
    </w:p>
    <w:p w:rsidR="00A01470" w:rsidRPr="00F4471E" w:rsidRDefault="00A01470" w:rsidP="00A01470">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A01470" w:rsidRDefault="00A01470" w:rsidP="00A01470">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A01470" w:rsidTr="0076521C">
        <w:tc>
          <w:tcPr>
            <w:tcW w:w="4555" w:type="dxa"/>
          </w:tcPr>
          <w:p w:rsidR="00A01470" w:rsidRDefault="00A01470" w:rsidP="0076521C">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A01470" w:rsidRPr="00F23F0F" w:rsidRDefault="00F23F0F" w:rsidP="0076521C">
            <w:pPr>
              <w:pStyle w:val="BodyText"/>
              <w:autoSpaceDE w:val="0"/>
              <w:autoSpaceDN w:val="0"/>
              <w:adjustRightInd w:val="0"/>
              <w:spacing w:line="480" w:lineRule="auto"/>
              <w:jc w:val="both"/>
              <w:rPr>
                <w:rFonts w:ascii="Arial" w:hAnsi="Arial" w:cs="Arial"/>
                <w:highlight w:val="magenta"/>
              </w:rPr>
            </w:pPr>
            <w:r w:rsidRPr="00F23F0F">
              <w:rPr>
                <w:rFonts w:ascii="Arial" w:hAnsi="Arial" w:cs="Arial"/>
              </w:rPr>
              <w:t>N Bassingthwaighte</w:t>
            </w:r>
          </w:p>
        </w:tc>
      </w:tr>
      <w:tr w:rsidR="00A01470" w:rsidTr="0076521C">
        <w:tc>
          <w:tcPr>
            <w:tcW w:w="4555" w:type="dxa"/>
          </w:tcPr>
          <w:p w:rsidR="00A01470" w:rsidRPr="00C84B76" w:rsidRDefault="00A01470" w:rsidP="0076521C">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A01470" w:rsidRPr="00C84B76" w:rsidRDefault="0030082B" w:rsidP="0076521C">
            <w:pPr>
              <w:pStyle w:val="BodyText"/>
              <w:autoSpaceDE w:val="0"/>
              <w:autoSpaceDN w:val="0"/>
              <w:adjustRightInd w:val="0"/>
              <w:spacing w:line="480" w:lineRule="auto"/>
              <w:jc w:val="both"/>
              <w:rPr>
                <w:rFonts w:ascii="Arial" w:hAnsi="Arial" w:cs="Arial"/>
                <w:i/>
                <w:highlight w:val="magenta"/>
              </w:rPr>
            </w:pPr>
            <w:r w:rsidRPr="00C84B76">
              <w:rPr>
                <w:rFonts w:ascii="Arial" w:hAnsi="Arial" w:cs="Arial"/>
                <w:i/>
              </w:rPr>
              <w:t>Amicus Curiae</w:t>
            </w:r>
          </w:p>
        </w:tc>
      </w:tr>
      <w:tr w:rsidR="00A01470" w:rsidTr="0076521C">
        <w:tc>
          <w:tcPr>
            <w:tcW w:w="4555" w:type="dxa"/>
          </w:tcPr>
          <w:p w:rsidR="00A01470" w:rsidRPr="00C84B76" w:rsidRDefault="00A01470" w:rsidP="0076521C">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A01470" w:rsidRPr="00C84B76" w:rsidRDefault="00C04323" w:rsidP="008C32AD">
            <w:pPr>
              <w:pStyle w:val="BodyText"/>
              <w:autoSpaceDE w:val="0"/>
              <w:autoSpaceDN w:val="0"/>
              <w:adjustRightInd w:val="0"/>
              <w:spacing w:line="480" w:lineRule="auto"/>
              <w:jc w:val="both"/>
              <w:rPr>
                <w:rFonts w:ascii="Arial" w:hAnsi="Arial" w:cs="Arial"/>
                <w:highlight w:val="magenta"/>
              </w:rPr>
            </w:pPr>
            <w:r w:rsidRPr="00C04323">
              <w:rPr>
                <w:rFonts w:ascii="Arial" w:hAnsi="Arial" w:cs="Arial"/>
              </w:rPr>
              <w:t xml:space="preserve">Of </w:t>
            </w:r>
            <w:r w:rsidR="008C32AD">
              <w:rPr>
                <w:rFonts w:ascii="Arial" w:hAnsi="Arial" w:cs="Arial"/>
              </w:rPr>
              <w:t xml:space="preserve">Society of Advocates, </w:t>
            </w:r>
            <w:r w:rsidRPr="00C04323">
              <w:rPr>
                <w:rFonts w:ascii="Arial" w:hAnsi="Arial" w:cs="Arial"/>
              </w:rPr>
              <w:t>Promenaden Chambers</w:t>
            </w:r>
            <w:r w:rsidR="001D5203">
              <w:rPr>
                <w:rFonts w:ascii="Arial" w:hAnsi="Arial" w:cs="Arial"/>
              </w:rPr>
              <w:t>, Windhoek</w:t>
            </w:r>
          </w:p>
        </w:tc>
      </w:tr>
      <w:tr w:rsidR="008C32AD" w:rsidTr="0076521C">
        <w:tc>
          <w:tcPr>
            <w:tcW w:w="4555" w:type="dxa"/>
          </w:tcPr>
          <w:p w:rsidR="008C32AD" w:rsidRDefault="008C32AD" w:rsidP="0076521C">
            <w:pPr>
              <w:pStyle w:val="BodyText"/>
              <w:autoSpaceDE w:val="0"/>
              <w:autoSpaceDN w:val="0"/>
              <w:adjustRightInd w:val="0"/>
              <w:spacing w:line="480" w:lineRule="auto"/>
              <w:ind w:left="-108"/>
              <w:jc w:val="both"/>
              <w:rPr>
                <w:rFonts w:ascii="Arial" w:hAnsi="Arial" w:cs="Arial"/>
              </w:rPr>
            </w:pPr>
          </w:p>
        </w:tc>
        <w:tc>
          <w:tcPr>
            <w:tcW w:w="4556" w:type="dxa"/>
          </w:tcPr>
          <w:p w:rsidR="008C32AD" w:rsidRDefault="008C32AD" w:rsidP="0076521C">
            <w:pPr>
              <w:pStyle w:val="BodyText"/>
              <w:autoSpaceDE w:val="0"/>
              <w:autoSpaceDN w:val="0"/>
              <w:adjustRightInd w:val="0"/>
              <w:spacing w:line="480" w:lineRule="auto"/>
              <w:jc w:val="both"/>
              <w:rPr>
                <w:rFonts w:ascii="Arial" w:hAnsi="Arial" w:cs="Arial"/>
              </w:rPr>
            </w:pPr>
          </w:p>
        </w:tc>
      </w:tr>
      <w:tr w:rsidR="00A01470" w:rsidTr="0076521C">
        <w:tc>
          <w:tcPr>
            <w:tcW w:w="4555" w:type="dxa"/>
          </w:tcPr>
          <w:p w:rsidR="00A01470" w:rsidRDefault="00A01470" w:rsidP="0076521C">
            <w:pPr>
              <w:pStyle w:val="BodyText"/>
              <w:autoSpaceDE w:val="0"/>
              <w:autoSpaceDN w:val="0"/>
              <w:adjustRightInd w:val="0"/>
              <w:spacing w:line="480" w:lineRule="auto"/>
              <w:ind w:left="-108"/>
              <w:jc w:val="both"/>
              <w:rPr>
                <w:rFonts w:ascii="Arial" w:hAnsi="Arial" w:cs="Arial"/>
              </w:rPr>
            </w:pPr>
          </w:p>
        </w:tc>
        <w:tc>
          <w:tcPr>
            <w:tcW w:w="4556" w:type="dxa"/>
          </w:tcPr>
          <w:p w:rsidR="00A01470" w:rsidRDefault="00A01470" w:rsidP="0076521C">
            <w:pPr>
              <w:pStyle w:val="BodyText"/>
              <w:autoSpaceDE w:val="0"/>
              <w:autoSpaceDN w:val="0"/>
              <w:adjustRightInd w:val="0"/>
              <w:spacing w:line="480" w:lineRule="auto"/>
              <w:jc w:val="both"/>
              <w:rPr>
                <w:rFonts w:ascii="Arial" w:hAnsi="Arial" w:cs="Arial"/>
              </w:rPr>
            </w:pPr>
          </w:p>
        </w:tc>
      </w:tr>
      <w:tr w:rsidR="00A01470" w:rsidTr="0076521C">
        <w:tc>
          <w:tcPr>
            <w:tcW w:w="4555" w:type="dxa"/>
          </w:tcPr>
          <w:p w:rsidR="00A01470" w:rsidRDefault="00A01470" w:rsidP="0076521C">
            <w:pPr>
              <w:pStyle w:val="BodyText"/>
              <w:autoSpaceDE w:val="0"/>
              <w:autoSpaceDN w:val="0"/>
              <w:adjustRightInd w:val="0"/>
              <w:spacing w:line="480" w:lineRule="auto"/>
              <w:ind w:left="-108"/>
              <w:jc w:val="both"/>
              <w:rPr>
                <w:rFonts w:ascii="Arial" w:hAnsi="Arial" w:cs="Arial"/>
              </w:rPr>
            </w:pPr>
            <w:r>
              <w:rPr>
                <w:rFonts w:ascii="Arial" w:hAnsi="Arial" w:cs="Arial"/>
              </w:rPr>
              <w:t>RESPONDENT:</w:t>
            </w:r>
          </w:p>
        </w:tc>
        <w:tc>
          <w:tcPr>
            <w:tcW w:w="4556" w:type="dxa"/>
          </w:tcPr>
          <w:p w:rsidR="00A01470" w:rsidRDefault="00F23F0F" w:rsidP="0076521C">
            <w:pPr>
              <w:pStyle w:val="BodyText"/>
              <w:autoSpaceDE w:val="0"/>
              <w:autoSpaceDN w:val="0"/>
              <w:adjustRightInd w:val="0"/>
              <w:spacing w:line="480" w:lineRule="auto"/>
              <w:jc w:val="both"/>
              <w:rPr>
                <w:rFonts w:ascii="Arial" w:hAnsi="Arial" w:cs="Arial"/>
              </w:rPr>
            </w:pPr>
            <w:r>
              <w:rPr>
                <w:rFonts w:ascii="Arial" w:hAnsi="Arial" w:cs="Arial"/>
              </w:rPr>
              <w:t>E Moyo</w:t>
            </w:r>
          </w:p>
        </w:tc>
      </w:tr>
      <w:tr w:rsidR="00A01470" w:rsidTr="0076521C">
        <w:tc>
          <w:tcPr>
            <w:tcW w:w="4555" w:type="dxa"/>
          </w:tcPr>
          <w:p w:rsidR="00A01470" w:rsidRDefault="00A01470" w:rsidP="0076521C">
            <w:pPr>
              <w:pStyle w:val="BodyText"/>
              <w:autoSpaceDE w:val="0"/>
              <w:autoSpaceDN w:val="0"/>
              <w:adjustRightInd w:val="0"/>
              <w:spacing w:line="480" w:lineRule="auto"/>
              <w:ind w:left="-108"/>
              <w:jc w:val="both"/>
              <w:rPr>
                <w:rFonts w:ascii="Arial" w:hAnsi="Arial" w:cs="Arial"/>
              </w:rPr>
            </w:pPr>
          </w:p>
        </w:tc>
        <w:tc>
          <w:tcPr>
            <w:tcW w:w="4556" w:type="dxa"/>
          </w:tcPr>
          <w:p w:rsidR="00A01470" w:rsidRDefault="008C32AD" w:rsidP="0076521C">
            <w:pPr>
              <w:pStyle w:val="BodyText"/>
              <w:autoSpaceDE w:val="0"/>
              <w:autoSpaceDN w:val="0"/>
              <w:adjustRightInd w:val="0"/>
              <w:spacing w:line="480" w:lineRule="auto"/>
              <w:jc w:val="both"/>
              <w:rPr>
                <w:rFonts w:ascii="Arial" w:hAnsi="Arial" w:cs="Arial"/>
              </w:rPr>
            </w:pPr>
            <w:r>
              <w:rPr>
                <w:rFonts w:ascii="Arial" w:hAnsi="Arial" w:cs="Arial"/>
              </w:rPr>
              <w:t xml:space="preserve">Of </w:t>
            </w:r>
            <w:r w:rsidR="006E638D">
              <w:rPr>
                <w:rFonts w:ascii="Arial" w:hAnsi="Arial" w:cs="Arial"/>
              </w:rPr>
              <w:t xml:space="preserve">the </w:t>
            </w:r>
            <w:r>
              <w:rPr>
                <w:rFonts w:ascii="Arial" w:hAnsi="Arial" w:cs="Arial"/>
              </w:rPr>
              <w:t>o</w:t>
            </w:r>
            <w:r w:rsidR="00F23F0F">
              <w:rPr>
                <w:rFonts w:ascii="Arial" w:hAnsi="Arial" w:cs="Arial"/>
              </w:rPr>
              <w:t>ffice of the Prosecutor-General, Windhoek</w:t>
            </w:r>
          </w:p>
        </w:tc>
      </w:tr>
    </w:tbl>
    <w:p w:rsidR="00A01470" w:rsidRDefault="00A01470" w:rsidP="00A01470">
      <w:pPr>
        <w:pStyle w:val="BodyText"/>
        <w:autoSpaceDE w:val="0"/>
        <w:autoSpaceDN w:val="0"/>
        <w:adjustRightInd w:val="0"/>
        <w:spacing w:line="480" w:lineRule="auto"/>
        <w:jc w:val="both"/>
        <w:rPr>
          <w:rFonts w:ascii="Arial" w:hAnsi="Arial" w:cs="Arial"/>
        </w:rPr>
      </w:pPr>
    </w:p>
    <w:sectPr w:rsidR="00A01470" w:rsidSect="00A01470">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B5" w:rsidRDefault="00365FB5">
      <w:pPr>
        <w:spacing w:after="0" w:line="240" w:lineRule="auto"/>
      </w:pPr>
      <w:r>
        <w:separator/>
      </w:r>
    </w:p>
  </w:endnote>
  <w:endnote w:type="continuationSeparator" w:id="0">
    <w:p w:rsidR="00365FB5" w:rsidRDefault="0036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B5" w:rsidRDefault="00365FB5">
      <w:pPr>
        <w:spacing w:after="0" w:line="240" w:lineRule="auto"/>
      </w:pPr>
      <w:r>
        <w:separator/>
      </w:r>
    </w:p>
  </w:footnote>
  <w:footnote w:type="continuationSeparator" w:id="0">
    <w:p w:rsidR="00365FB5" w:rsidRDefault="00365FB5">
      <w:pPr>
        <w:spacing w:after="0" w:line="240" w:lineRule="auto"/>
      </w:pPr>
      <w:r>
        <w:continuationSeparator/>
      </w:r>
    </w:p>
  </w:footnote>
  <w:footnote w:id="1">
    <w:p w:rsidR="00657452" w:rsidRPr="00657452" w:rsidRDefault="00657452" w:rsidP="00210948">
      <w:pPr>
        <w:pStyle w:val="FootnoteText"/>
        <w:jc w:val="both"/>
        <w:rPr>
          <w:rFonts w:ascii="Arial" w:hAnsi="Arial" w:cs="Arial"/>
        </w:rPr>
      </w:pPr>
      <w:r w:rsidRPr="00657452">
        <w:rPr>
          <w:rStyle w:val="FootnoteReference"/>
          <w:rFonts w:ascii="Arial" w:hAnsi="Arial" w:cs="Arial"/>
        </w:rPr>
        <w:footnoteRef/>
      </w:r>
      <w:r w:rsidRPr="00657452">
        <w:rPr>
          <w:rFonts w:ascii="Arial" w:hAnsi="Arial" w:cs="Arial"/>
        </w:rPr>
        <w:t xml:space="preserve"> </w:t>
      </w:r>
      <w:r w:rsidRPr="00657452">
        <w:rPr>
          <w:rFonts w:ascii="Arial" w:hAnsi="Arial" w:cs="Arial"/>
          <w:i/>
        </w:rPr>
        <w:t>Daniel v Attorney-General &amp; others; Peter v Attorney-General &amp; others</w:t>
      </w:r>
      <w:r>
        <w:rPr>
          <w:rFonts w:ascii="Arial" w:hAnsi="Arial" w:cs="Arial"/>
        </w:rPr>
        <w:t xml:space="preserve"> </w:t>
      </w:r>
      <w:r w:rsidRPr="00657452">
        <w:rPr>
          <w:rFonts w:ascii="Arial" w:hAnsi="Arial" w:cs="Arial"/>
        </w:rPr>
        <w:t>2011 (1) NR 330 (HC)</w:t>
      </w:r>
      <w:r>
        <w:rPr>
          <w:rFonts w:ascii="Arial" w:hAnsi="Arial" w:cs="Arial"/>
        </w:rPr>
        <w:t>.</w:t>
      </w:r>
    </w:p>
  </w:footnote>
  <w:footnote w:id="2">
    <w:p w:rsidR="00657452" w:rsidRPr="00657452" w:rsidRDefault="00657452" w:rsidP="00210948">
      <w:pPr>
        <w:pStyle w:val="FootnoteText"/>
        <w:jc w:val="both"/>
        <w:rPr>
          <w:rFonts w:ascii="Arial" w:hAnsi="Arial" w:cs="Arial"/>
        </w:rPr>
      </w:pPr>
      <w:r w:rsidRPr="00657452">
        <w:rPr>
          <w:rStyle w:val="FootnoteReference"/>
          <w:rFonts w:ascii="Arial" w:hAnsi="Arial" w:cs="Arial"/>
        </w:rPr>
        <w:footnoteRef/>
      </w:r>
      <w:r w:rsidRPr="00657452">
        <w:rPr>
          <w:rFonts w:ascii="Arial" w:hAnsi="Arial" w:cs="Arial"/>
        </w:rPr>
        <w:t xml:space="preserve"> </w:t>
      </w:r>
      <w:r w:rsidRPr="00657452">
        <w:rPr>
          <w:rFonts w:ascii="Arial" w:hAnsi="Arial" w:cs="Arial"/>
          <w:i/>
        </w:rPr>
        <w:t>Prosecutor-General v Daniel &amp; others</w:t>
      </w:r>
      <w:r w:rsidRPr="00657452">
        <w:rPr>
          <w:rFonts w:ascii="Arial" w:hAnsi="Arial" w:cs="Arial"/>
        </w:rPr>
        <w:t xml:space="preserve"> 2017 (3) NR 837 (SC)</w:t>
      </w:r>
      <w:r>
        <w:rPr>
          <w:rFonts w:ascii="Arial" w:hAnsi="Arial" w:cs="Arial"/>
        </w:rPr>
        <w:t>.</w:t>
      </w:r>
    </w:p>
  </w:footnote>
  <w:footnote w:id="3">
    <w:p w:rsidR="00210948" w:rsidRPr="00210948" w:rsidRDefault="00210948" w:rsidP="00210948">
      <w:pPr>
        <w:pStyle w:val="FootnoteText"/>
        <w:jc w:val="both"/>
        <w:rPr>
          <w:rFonts w:ascii="Arial" w:hAnsi="Arial" w:cs="Arial"/>
        </w:rPr>
      </w:pPr>
      <w:r w:rsidRPr="00210948">
        <w:rPr>
          <w:rStyle w:val="FootnoteReference"/>
          <w:rFonts w:ascii="Arial" w:hAnsi="Arial" w:cs="Arial"/>
        </w:rPr>
        <w:footnoteRef/>
      </w:r>
      <w:r w:rsidRPr="00210948">
        <w:rPr>
          <w:rFonts w:ascii="Arial" w:hAnsi="Arial" w:cs="Arial"/>
        </w:rPr>
        <w:t xml:space="preserve"> </w:t>
      </w:r>
      <w:r w:rsidRPr="00210948">
        <w:rPr>
          <w:rFonts w:ascii="Arial" w:hAnsi="Arial" w:cs="Arial"/>
          <w:i/>
        </w:rPr>
        <w:t>Communications Regulatory Authority of Namibia v Telecom Namibia Ltd &amp; another</w:t>
      </w:r>
      <w:r w:rsidRPr="00210948">
        <w:rPr>
          <w:rFonts w:ascii="Arial" w:hAnsi="Arial" w:cs="Arial"/>
        </w:rPr>
        <w:t xml:space="preserve"> 2018 (3) NR 66</w:t>
      </w:r>
      <w:r w:rsidR="00EF2ABC">
        <w:rPr>
          <w:rFonts w:ascii="Arial" w:hAnsi="Arial" w:cs="Arial"/>
        </w:rPr>
        <w:t>4</w:t>
      </w:r>
      <w:r w:rsidRPr="00210948">
        <w:rPr>
          <w:rFonts w:ascii="Arial" w:hAnsi="Arial" w:cs="Arial"/>
        </w:rPr>
        <w:t xml:space="preserve"> (SC)</w:t>
      </w:r>
      <w:r>
        <w:rPr>
          <w:rFonts w:ascii="Arial" w:hAnsi="Arial" w:cs="Arial"/>
        </w:rPr>
        <w:t xml:space="preserve"> para 94.</w:t>
      </w:r>
    </w:p>
  </w:footnote>
  <w:footnote w:id="4">
    <w:p w:rsidR="00FE314D" w:rsidRPr="00FE314D" w:rsidRDefault="00FE314D">
      <w:pPr>
        <w:pStyle w:val="FootnoteText"/>
        <w:rPr>
          <w:rFonts w:ascii="Arial" w:hAnsi="Arial" w:cs="Arial"/>
        </w:rPr>
      </w:pPr>
      <w:r w:rsidRPr="00FE314D">
        <w:rPr>
          <w:rStyle w:val="FootnoteReference"/>
          <w:rFonts w:ascii="Arial" w:hAnsi="Arial" w:cs="Arial"/>
        </w:rPr>
        <w:footnoteRef/>
      </w:r>
      <w:r w:rsidRPr="00FE314D">
        <w:rPr>
          <w:rFonts w:ascii="Arial" w:hAnsi="Arial" w:cs="Arial"/>
        </w:rPr>
        <w:t xml:space="preserve"> </w:t>
      </w:r>
      <w:r w:rsidRPr="00FE314D">
        <w:rPr>
          <w:rFonts w:ascii="Arial" w:hAnsi="Arial" w:cs="Arial"/>
          <w:i/>
        </w:rPr>
        <w:t>S v Strauss</w:t>
      </w:r>
      <w:r w:rsidRPr="00FE314D">
        <w:rPr>
          <w:rFonts w:ascii="Arial" w:hAnsi="Arial" w:cs="Arial"/>
        </w:rPr>
        <w:t xml:space="preserve"> 1990 NR 71 (HC)</w:t>
      </w:r>
      <w:r w:rsidR="00EF2ABC">
        <w:rPr>
          <w:rFonts w:ascii="Arial" w:hAnsi="Arial" w:cs="Arial"/>
        </w:rPr>
        <w:t xml:space="preserve"> at </w:t>
      </w:r>
      <w:r w:rsidR="00EF2ABC" w:rsidRPr="00365BCA">
        <w:rPr>
          <w:rFonts w:ascii="Arial" w:hAnsi="Arial" w:cs="Arial"/>
        </w:rPr>
        <w:t>76A</w:t>
      </w:r>
      <w:r w:rsidR="00365BCA">
        <w:rPr>
          <w:rFonts w:ascii="Arial" w:hAnsi="Arial" w:cs="Arial"/>
        </w:rP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A014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365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A01470">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9169B7">
          <w:rPr>
            <w:rFonts w:ascii="Arial" w:hAnsi="Arial" w:cs="Arial"/>
            <w:noProof/>
            <w:sz w:val="24"/>
            <w:szCs w:val="24"/>
          </w:rPr>
          <w:t>8</w:t>
        </w:r>
        <w:r w:rsidRPr="00240C67">
          <w:rPr>
            <w:rFonts w:ascii="Arial" w:hAnsi="Arial" w:cs="Arial"/>
            <w:noProof/>
            <w:sz w:val="24"/>
            <w:szCs w:val="24"/>
          </w:rPr>
          <w:fldChar w:fldCharType="end"/>
        </w:r>
      </w:p>
    </w:sdtContent>
  </w:sdt>
  <w:p w:rsidR="004D6713" w:rsidRPr="00240C67" w:rsidRDefault="00365FB5">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71150"/>
    <w:multiLevelType w:val="hybridMultilevel"/>
    <w:tmpl w:val="6BB8D046"/>
    <w:lvl w:ilvl="0" w:tplc="D276857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F22A5A"/>
    <w:multiLevelType w:val="hybridMultilevel"/>
    <w:tmpl w:val="A78E7BFE"/>
    <w:lvl w:ilvl="0" w:tplc="829ABC4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7CAC385F"/>
    <w:multiLevelType w:val="hybridMultilevel"/>
    <w:tmpl w:val="CA7CB362"/>
    <w:lvl w:ilvl="0" w:tplc="2DEACA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70"/>
    <w:rsid w:val="00024797"/>
    <w:rsid w:val="0006286A"/>
    <w:rsid w:val="00091625"/>
    <w:rsid w:val="000D282D"/>
    <w:rsid w:val="00127A24"/>
    <w:rsid w:val="00163BDD"/>
    <w:rsid w:val="001C79CB"/>
    <w:rsid w:val="001D36B3"/>
    <w:rsid w:val="001D5203"/>
    <w:rsid w:val="001D5975"/>
    <w:rsid w:val="00210948"/>
    <w:rsid w:val="00233FEA"/>
    <w:rsid w:val="00236E6B"/>
    <w:rsid w:val="002C3B5D"/>
    <w:rsid w:val="002C526C"/>
    <w:rsid w:val="002E1D0E"/>
    <w:rsid w:val="0030082B"/>
    <w:rsid w:val="003404A5"/>
    <w:rsid w:val="00357D05"/>
    <w:rsid w:val="00365BCA"/>
    <w:rsid w:val="00365FB5"/>
    <w:rsid w:val="00411710"/>
    <w:rsid w:val="00417C72"/>
    <w:rsid w:val="0045144A"/>
    <w:rsid w:val="00491DE5"/>
    <w:rsid w:val="00492C82"/>
    <w:rsid w:val="004C78C5"/>
    <w:rsid w:val="004F66DA"/>
    <w:rsid w:val="00524B82"/>
    <w:rsid w:val="00542292"/>
    <w:rsid w:val="005708C7"/>
    <w:rsid w:val="005873A2"/>
    <w:rsid w:val="005B3748"/>
    <w:rsid w:val="005C18E7"/>
    <w:rsid w:val="005F61DA"/>
    <w:rsid w:val="00654AAE"/>
    <w:rsid w:val="00657452"/>
    <w:rsid w:val="006B1C5D"/>
    <w:rsid w:val="006D2198"/>
    <w:rsid w:val="006E638D"/>
    <w:rsid w:val="0072117E"/>
    <w:rsid w:val="007251E7"/>
    <w:rsid w:val="007927FF"/>
    <w:rsid w:val="007A6A32"/>
    <w:rsid w:val="00840A93"/>
    <w:rsid w:val="00845F26"/>
    <w:rsid w:val="00890EA7"/>
    <w:rsid w:val="008C0153"/>
    <w:rsid w:val="008C32AD"/>
    <w:rsid w:val="009169B7"/>
    <w:rsid w:val="009244FE"/>
    <w:rsid w:val="00943843"/>
    <w:rsid w:val="009517FF"/>
    <w:rsid w:val="00974A4C"/>
    <w:rsid w:val="009905DA"/>
    <w:rsid w:val="0099680C"/>
    <w:rsid w:val="009A3E60"/>
    <w:rsid w:val="009B41C9"/>
    <w:rsid w:val="009E3C3B"/>
    <w:rsid w:val="00A01470"/>
    <w:rsid w:val="00A312E4"/>
    <w:rsid w:val="00AD1DB0"/>
    <w:rsid w:val="00AD76C4"/>
    <w:rsid w:val="00AE0015"/>
    <w:rsid w:val="00B14E83"/>
    <w:rsid w:val="00B34BF9"/>
    <w:rsid w:val="00B74373"/>
    <w:rsid w:val="00BF4F58"/>
    <w:rsid w:val="00C01308"/>
    <w:rsid w:val="00C04323"/>
    <w:rsid w:val="00C22837"/>
    <w:rsid w:val="00C319D6"/>
    <w:rsid w:val="00C367A0"/>
    <w:rsid w:val="00C84B76"/>
    <w:rsid w:val="00D036A7"/>
    <w:rsid w:val="00D472D0"/>
    <w:rsid w:val="00D655C8"/>
    <w:rsid w:val="00D818C5"/>
    <w:rsid w:val="00DA3304"/>
    <w:rsid w:val="00E2640D"/>
    <w:rsid w:val="00E75797"/>
    <w:rsid w:val="00EA5884"/>
    <w:rsid w:val="00EC1625"/>
    <w:rsid w:val="00EE13A3"/>
    <w:rsid w:val="00EF2ABC"/>
    <w:rsid w:val="00F23F0F"/>
    <w:rsid w:val="00F8765D"/>
    <w:rsid w:val="00FB74E8"/>
    <w:rsid w:val="00FD1786"/>
    <w:rsid w:val="00FE314D"/>
    <w:rsid w:val="00FF2C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31326-8B56-4F07-9030-852BCBD5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470"/>
    <w:pPr>
      <w:spacing w:after="0" w:line="240" w:lineRule="auto"/>
    </w:pPr>
  </w:style>
  <w:style w:type="paragraph" w:styleId="BodyText">
    <w:name w:val="Body Text"/>
    <w:basedOn w:val="Normal"/>
    <w:link w:val="BodyTextChar"/>
    <w:rsid w:val="00A0147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01470"/>
    <w:rPr>
      <w:rFonts w:ascii="Times New Roman" w:eastAsia="Times New Roman" w:hAnsi="Times New Roman" w:cs="Times New Roman"/>
      <w:sz w:val="24"/>
      <w:szCs w:val="24"/>
      <w:lang w:val="en-GB"/>
    </w:rPr>
  </w:style>
  <w:style w:type="table" w:styleId="TableGrid">
    <w:name w:val="Table Grid"/>
    <w:basedOn w:val="TableNormal"/>
    <w:uiPriority w:val="39"/>
    <w:rsid w:val="00A0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70"/>
  </w:style>
  <w:style w:type="paragraph" w:styleId="FootnoteText">
    <w:name w:val="footnote text"/>
    <w:basedOn w:val="Normal"/>
    <w:link w:val="FootnoteTextChar"/>
    <w:uiPriority w:val="99"/>
    <w:semiHidden/>
    <w:unhideWhenUsed/>
    <w:rsid w:val="00657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452"/>
    <w:rPr>
      <w:sz w:val="20"/>
      <w:szCs w:val="20"/>
    </w:rPr>
  </w:style>
  <w:style w:type="character" w:styleId="FootnoteReference">
    <w:name w:val="footnote reference"/>
    <w:basedOn w:val="DefaultParagraphFont"/>
    <w:uiPriority w:val="99"/>
    <w:semiHidden/>
    <w:unhideWhenUsed/>
    <w:rsid w:val="00657452"/>
    <w:rPr>
      <w:vertAlign w:val="superscript"/>
    </w:rPr>
  </w:style>
  <w:style w:type="paragraph" w:styleId="ListParagraph">
    <w:name w:val="List Paragraph"/>
    <w:basedOn w:val="Normal"/>
    <w:uiPriority w:val="34"/>
    <w:qFormat/>
    <w:rsid w:val="0030082B"/>
    <w:pPr>
      <w:ind w:left="720"/>
      <w:contextualSpacing/>
    </w:pPr>
  </w:style>
  <w:style w:type="paragraph" w:styleId="BalloonText">
    <w:name w:val="Balloon Text"/>
    <w:basedOn w:val="Normal"/>
    <w:link w:val="BalloonTextChar"/>
    <w:uiPriority w:val="99"/>
    <w:semiHidden/>
    <w:unhideWhenUsed/>
    <w:rsid w:val="00491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2020-11-15T18:30:00+00:00</Judgment_x0020_Date>
    <Year xmlns="63bdd487-88aa-4c54-b893-ddaa81ed2e7c">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A436-2FA1-4349-B74E-247FB9E11DB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BC456443-A43E-45F9-8207-9239EC97BF43}">
  <ds:schemaRefs>
    <ds:schemaRef ds:uri="http://schemas.microsoft.com/sharepoint/v3/contenttype/forms"/>
  </ds:schemaRefs>
</ds:datastoreItem>
</file>

<file path=customXml/itemProps3.xml><?xml version="1.0" encoding="utf-8"?>
<ds:datastoreItem xmlns:ds="http://schemas.openxmlformats.org/officeDocument/2006/customXml" ds:itemID="{A61B6603-D628-4CEB-AB5F-CAC1FDAC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1B09F-D48C-4115-AA10-F1B9FAAC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Peter v State</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v State</dc:title>
  <dc:subject/>
  <dc:creator>Juboltine Risuro</dc:creator>
  <cp:keywords/>
  <dc:description/>
  <cp:lastModifiedBy>HOME</cp:lastModifiedBy>
  <cp:revision>2</cp:revision>
  <cp:lastPrinted>2020-11-12T11:29:00Z</cp:lastPrinted>
  <dcterms:created xsi:type="dcterms:W3CDTF">2021-07-20T11:11:00Z</dcterms:created>
  <dcterms:modified xsi:type="dcterms:W3CDTF">2021-07-20T11:11:00Z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