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53" w:rsidRPr="00CB54C2" w:rsidRDefault="00A27953" w:rsidP="00A27953">
      <w:pPr>
        <w:spacing w:after="0" w:line="360" w:lineRule="auto"/>
        <w:jc w:val="center"/>
        <w:rPr>
          <w:b/>
          <w:sz w:val="24"/>
          <w:szCs w:val="24"/>
        </w:rPr>
      </w:pPr>
      <w:bookmarkStart w:id="0" w:name="_GoBack"/>
      <w:bookmarkEnd w:id="0"/>
      <w:r w:rsidRPr="00CB54C2">
        <w:rPr>
          <w:b/>
          <w:noProof/>
          <w:sz w:val="24"/>
          <w:szCs w:val="24"/>
          <w:lang w:eastAsia="en-ZA"/>
        </w:rPr>
        <w:drawing>
          <wp:inline distT="0" distB="0" distL="0" distR="0" wp14:anchorId="78B53285" wp14:editId="5A601F3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A27953" w:rsidRPr="00CB54C2" w:rsidRDefault="00D210CA" w:rsidP="00A27953">
      <w:pPr>
        <w:pStyle w:val="NoSpacing"/>
        <w:jc w:val="right"/>
        <w:rPr>
          <w:rFonts w:ascii="Arial" w:hAnsi="Arial" w:cs="Arial"/>
          <w:b/>
          <w:sz w:val="24"/>
          <w:szCs w:val="24"/>
        </w:rPr>
      </w:pPr>
      <w:r>
        <w:rPr>
          <w:rFonts w:ascii="Arial" w:hAnsi="Arial" w:cs="Arial"/>
          <w:b/>
          <w:sz w:val="24"/>
          <w:szCs w:val="24"/>
        </w:rPr>
        <w:t>REPORTABLE</w:t>
      </w:r>
    </w:p>
    <w:p w:rsidR="00A27953" w:rsidRPr="00CB54C2" w:rsidRDefault="00A27953" w:rsidP="00A27953">
      <w:pPr>
        <w:pStyle w:val="NoSpacing"/>
        <w:jc w:val="right"/>
        <w:rPr>
          <w:rFonts w:ascii="Arial" w:hAnsi="Arial" w:cs="Arial"/>
          <w:sz w:val="24"/>
          <w:szCs w:val="24"/>
        </w:rPr>
      </w:pPr>
    </w:p>
    <w:p w:rsidR="00A27953" w:rsidRPr="00CB54C2" w:rsidRDefault="00A923AC" w:rsidP="00A27953">
      <w:pPr>
        <w:pStyle w:val="NoSpacing"/>
        <w:jc w:val="right"/>
        <w:rPr>
          <w:rFonts w:ascii="Arial" w:hAnsi="Arial" w:cs="Arial"/>
          <w:sz w:val="24"/>
          <w:szCs w:val="24"/>
        </w:rPr>
      </w:pPr>
      <w:r>
        <w:rPr>
          <w:rFonts w:ascii="Arial" w:hAnsi="Arial" w:cs="Arial"/>
          <w:sz w:val="24"/>
          <w:szCs w:val="24"/>
        </w:rPr>
        <w:t>CASE NO: SA 6</w:t>
      </w:r>
      <w:r w:rsidR="00A27953" w:rsidRPr="00CB54C2">
        <w:rPr>
          <w:rFonts w:ascii="Arial" w:hAnsi="Arial" w:cs="Arial"/>
          <w:sz w:val="24"/>
          <w:szCs w:val="24"/>
        </w:rPr>
        <w:t>3/2017</w:t>
      </w:r>
    </w:p>
    <w:p w:rsidR="00A27953" w:rsidRPr="00CB54C2" w:rsidRDefault="00A27953" w:rsidP="00A27953">
      <w:pPr>
        <w:pStyle w:val="NoSpacing"/>
        <w:rPr>
          <w:rFonts w:ascii="Arial" w:hAnsi="Arial" w:cs="Arial"/>
          <w:sz w:val="24"/>
          <w:szCs w:val="24"/>
        </w:rPr>
      </w:pPr>
    </w:p>
    <w:p w:rsidR="00A27953" w:rsidRPr="00CB54C2" w:rsidRDefault="00A27953" w:rsidP="00A27953">
      <w:pPr>
        <w:pStyle w:val="NoSpacing"/>
        <w:rPr>
          <w:rFonts w:ascii="Arial" w:hAnsi="Arial" w:cs="Arial"/>
          <w:sz w:val="24"/>
          <w:szCs w:val="24"/>
        </w:rPr>
      </w:pPr>
    </w:p>
    <w:p w:rsidR="00A27953" w:rsidRPr="00CB54C2" w:rsidRDefault="00A27953" w:rsidP="00A27953">
      <w:pPr>
        <w:pStyle w:val="NoSpacing"/>
        <w:rPr>
          <w:rFonts w:ascii="Arial" w:hAnsi="Arial" w:cs="Arial"/>
          <w:b/>
          <w:sz w:val="24"/>
          <w:szCs w:val="24"/>
        </w:rPr>
      </w:pPr>
      <w:r w:rsidRPr="00CB54C2">
        <w:rPr>
          <w:rFonts w:ascii="Arial" w:hAnsi="Arial" w:cs="Arial"/>
          <w:b/>
          <w:sz w:val="24"/>
          <w:szCs w:val="24"/>
        </w:rPr>
        <w:t>IN THE SUPREME COURT OF NAMIBIA</w:t>
      </w:r>
    </w:p>
    <w:p w:rsidR="00A27953" w:rsidRPr="00CB54C2" w:rsidRDefault="00A27953" w:rsidP="00A27953">
      <w:pPr>
        <w:pStyle w:val="NoSpacing"/>
        <w:rPr>
          <w:rFonts w:ascii="Arial" w:hAnsi="Arial" w:cs="Arial"/>
          <w:sz w:val="24"/>
          <w:szCs w:val="24"/>
        </w:rPr>
      </w:pPr>
    </w:p>
    <w:p w:rsidR="00A27953" w:rsidRPr="00CB54C2" w:rsidRDefault="00A27953" w:rsidP="00A27953">
      <w:pPr>
        <w:pStyle w:val="NoSpacing"/>
        <w:rPr>
          <w:rFonts w:ascii="Arial" w:hAnsi="Arial" w:cs="Arial"/>
          <w:sz w:val="24"/>
          <w:szCs w:val="24"/>
        </w:rPr>
      </w:pPr>
    </w:p>
    <w:p w:rsidR="00A27953" w:rsidRPr="00CB54C2" w:rsidRDefault="00A27953" w:rsidP="00A27953">
      <w:pPr>
        <w:pStyle w:val="NoSpacing"/>
        <w:rPr>
          <w:rFonts w:ascii="Arial" w:hAnsi="Arial" w:cs="Arial"/>
          <w:sz w:val="24"/>
          <w:szCs w:val="24"/>
        </w:rPr>
      </w:pPr>
      <w:r w:rsidRPr="00CB54C2">
        <w:rPr>
          <w:rFonts w:ascii="Arial" w:hAnsi="Arial" w:cs="Arial"/>
          <w:sz w:val="24"/>
          <w:szCs w:val="24"/>
        </w:rPr>
        <w:t>In the matter between:</w:t>
      </w:r>
    </w:p>
    <w:p w:rsidR="00A27953" w:rsidRPr="00CB54C2" w:rsidRDefault="00A27953" w:rsidP="00A27953">
      <w:pPr>
        <w:pStyle w:val="NoSpacing"/>
        <w:rPr>
          <w:rFonts w:ascii="Arial" w:hAnsi="Arial" w:cs="Arial"/>
          <w:sz w:val="24"/>
          <w:szCs w:val="24"/>
        </w:rPr>
      </w:pPr>
    </w:p>
    <w:p w:rsidR="00A27953" w:rsidRPr="00CB54C2" w:rsidRDefault="00A27953" w:rsidP="00A27953">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304"/>
      </w:tblGrid>
      <w:tr w:rsidR="00A27953" w:rsidRPr="00D9519E" w:rsidTr="00D9519E">
        <w:tc>
          <w:tcPr>
            <w:tcW w:w="5807" w:type="dxa"/>
          </w:tcPr>
          <w:p w:rsidR="00A27953" w:rsidRPr="00D9519E" w:rsidRDefault="004E4FC4" w:rsidP="00A27953">
            <w:pPr>
              <w:pStyle w:val="NoSpacing"/>
              <w:spacing w:line="276" w:lineRule="auto"/>
              <w:ind w:left="-108"/>
              <w:rPr>
                <w:rFonts w:ascii="Arial" w:hAnsi="Arial" w:cs="Arial"/>
                <w:b/>
                <w:sz w:val="24"/>
                <w:szCs w:val="24"/>
              </w:rPr>
            </w:pPr>
            <w:r w:rsidRPr="00D9519E">
              <w:rPr>
                <w:rFonts w:ascii="Arial" w:hAnsi="Arial" w:cs="Arial"/>
                <w:b/>
                <w:sz w:val="24"/>
                <w:szCs w:val="24"/>
              </w:rPr>
              <w:t xml:space="preserve">THE </w:t>
            </w:r>
            <w:r w:rsidR="00A27953" w:rsidRPr="00D9519E">
              <w:rPr>
                <w:rFonts w:ascii="Arial" w:hAnsi="Arial" w:cs="Arial"/>
                <w:b/>
                <w:sz w:val="24"/>
                <w:szCs w:val="24"/>
              </w:rPr>
              <w:t>PROSECUTOR-GENERAL</w:t>
            </w:r>
          </w:p>
        </w:tc>
        <w:tc>
          <w:tcPr>
            <w:tcW w:w="3304" w:type="dxa"/>
          </w:tcPr>
          <w:p w:rsidR="00A27953" w:rsidRPr="00D9519E" w:rsidRDefault="00A27953" w:rsidP="00A27953">
            <w:pPr>
              <w:pStyle w:val="NoSpacing"/>
              <w:spacing w:line="276" w:lineRule="auto"/>
              <w:jc w:val="right"/>
              <w:rPr>
                <w:rFonts w:ascii="Arial" w:hAnsi="Arial" w:cs="Arial"/>
                <w:b/>
                <w:sz w:val="24"/>
                <w:szCs w:val="24"/>
              </w:rPr>
            </w:pPr>
            <w:r w:rsidRPr="00D9519E">
              <w:rPr>
                <w:rFonts w:ascii="Arial" w:hAnsi="Arial" w:cs="Arial"/>
                <w:b/>
                <w:sz w:val="24"/>
                <w:szCs w:val="24"/>
              </w:rPr>
              <w:t>Appellant</w:t>
            </w:r>
          </w:p>
        </w:tc>
      </w:tr>
      <w:tr w:rsidR="00A27953" w:rsidRPr="00D9519E" w:rsidTr="00D9519E">
        <w:tc>
          <w:tcPr>
            <w:tcW w:w="5807" w:type="dxa"/>
          </w:tcPr>
          <w:p w:rsidR="00A27953" w:rsidRPr="00D9519E" w:rsidRDefault="00A27953" w:rsidP="00A27953">
            <w:pPr>
              <w:pStyle w:val="NoSpacing"/>
              <w:spacing w:line="276" w:lineRule="auto"/>
              <w:ind w:left="-108"/>
              <w:rPr>
                <w:rFonts w:ascii="Arial" w:hAnsi="Arial" w:cs="Arial"/>
                <w:sz w:val="24"/>
                <w:szCs w:val="24"/>
              </w:rPr>
            </w:pPr>
          </w:p>
        </w:tc>
        <w:tc>
          <w:tcPr>
            <w:tcW w:w="3304" w:type="dxa"/>
          </w:tcPr>
          <w:p w:rsidR="00A27953" w:rsidRPr="00D9519E" w:rsidRDefault="00A27953" w:rsidP="00A27953">
            <w:pPr>
              <w:pStyle w:val="NoSpacing"/>
              <w:spacing w:line="276" w:lineRule="auto"/>
              <w:jc w:val="right"/>
              <w:rPr>
                <w:rFonts w:ascii="Arial" w:hAnsi="Arial" w:cs="Arial"/>
                <w:sz w:val="24"/>
                <w:szCs w:val="24"/>
              </w:rPr>
            </w:pPr>
          </w:p>
        </w:tc>
      </w:tr>
      <w:tr w:rsidR="00A27953" w:rsidRPr="00D9519E" w:rsidTr="00D9519E">
        <w:tc>
          <w:tcPr>
            <w:tcW w:w="5807" w:type="dxa"/>
          </w:tcPr>
          <w:p w:rsidR="00A27953" w:rsidRPr="00D9519E" w:rsidRDefault="00A27953" w:rsidP="00A27953">
            <w:pPr>
              <w:pStyle w:val="NoSpacing"/>
              <w:spacing w:line="276" w:lineRule="auto"/>
              <w:ind w:left="-108"/>
              <w:rPr>
                <w:rFonts w:ascii="Arial" w:hAnsi="Arial" w:cs="Arial"/>
                <w:sz w:val="24"/>
                <w:szCs w:val="24"/>
              </w:rPr>
            </w:pPr>
            <w:r w:rsidRPr="00D9519E">
              <w:rPr>
                <w:rFonts w:ascii="Arial" w:hAnsi="Arial" w:cs="Arial"/>
                <w:sz w:val="24"/>
                <w:szCs w:val="24"/>
              </w:rPr>
              <w:t>and</w:t>
            </w:r>
          </w:p>
        </w:tc>
        <w:tc>
          <w:tcPr>
            <w:tcW w:w="3304" w:type="dxa"/>
          </w:tcPr>
          <w:p w:rsidR="00A27953" w:rsidRPr="00D9519E" w:rsidRDefault="00A27953" w:rsidP="00A27953">
            <w:pPr>
              <w:pStyle w:val="NoSpacing"/>
              <w:spacing w:line="276" w:lineRule="auto"/>
              <w:jc w:val="right"/>
              <w:rPr>
                <w:rFonts w:ascii="Arial" w:hAnsi="Arial" w:cs="Arial"/>
                <w:sz w:val="24"/>
                <w:szCs w:val="24"/>
              </w:rPr>
            </w:pPr>
          </w:p>
        </w:tc>
      </w:tr>
      <w:tr w:rsidR="00A27953" w:rsidRPr="00D9519E" w:rsidTr="00D9519E">
        <w:tc>
          <w:tcPr>
            <w:tcW w:w="5807" w:type="dxa"/>
          </w:tcPr>
          <w:p w:rsidR="00A27953" w:rsidRPr="00D9519E" w:rsidRDefault="00A27953" w:rsidP="00A27953">
            <w:pPr>
              <w:pStyle w:val="NoSpacing"/>
              <w:spacing w:line="276" w:lineRule="auto"/>
              <w:ind w:left="-108"/>
              <w:rPr>
                <w:rFonts w:ascii="Arial" w:hAnsi="Arial" w:cs="Arial"/>
                <w:sz w:val="24"/>
                <w:szCs w:val="24"/>
              </w:rPr>
            </w:pPr>
          </w:p>
        </w:tc>
        <w:tc>
          <w:tcPr>
            <w:tcW w:w="3304" w:type="dxa"/>
          </w:tcPr>
          <w:p w:rsidR="00A27953" w:rsidRPr="00D9519E" w:rsidRDefault="00A27953" w:rsidP="00A27953">
            <w:pPr>
              <w:pStyle w:val="NoSpacing"/>
              <w:spacing w:line="276" w:lineRule="auto"/>
              <w:jc w:val="right"/>
              <w:rPr>
                <w:rFonts w:ascii="Arial" w:hAnsi="Arial" w:cs="Arial"/>
                <w:sz w:val="24"/>
                <w:szCs w:val="24"/>
              </w:rPr>
            </w:pPr>
          </w:p>
        </w:tc>
      </w:tr>
      <w:tr w:rsidR="00A27953" w:rsidRPr="00D9519E" w:rsidTr="00D9519E">
        <w:tc>
          <w:tcPr>
            <w:tcW w:w="5807" w:type="dxa"/>
          </w:tcPr>
          <w:p w:rsidR="00A27953" w:rsidRPr="00D9519E" w:rsidRDefault="00EB2F4B" w:rsidP="00A27953">
            <w:pPr>
              <w:pStyle w:val="NoSpacing"/>
              <w:spacing w:line="276" w:lineRule="auto"/>
              <w:ind w:left="-108"/>
              <w:rPr>
                <w:rFonts w:ascii="Arial" w:hAnsi="Arial" w:cs="Arial"/>
                <w:b/>
                <w:sz w:val="24"/>
                <w:szCs w:val="24"/>
              </w:rPr>
            </w:pPr>
            <w:r w:rsidRPr="00D9519E">
              <w:rPr>
                <w:rFonts w:ascii="Arial" w:hAnsi="Arial" w:cs="Arial"/>
                <w:b/>
                <w:sz w:val="24"/>
                <w:szCs w:val="24"/>
              </w:rPr>
              <w:t>CHINA SOUTH INDUSTRY AND TRADING</w:t>
            </w:r>
            <w:r w:rsidR="00153407">
              <w:rPr>
                <w:rFonts w:ascii="Arial" w:hAnsi="Arial" w:cs="Arial"/>
                <w:b/>
                <w:sz w:val="24"/>
                <w:szCs w:val="24"/>
              </w:rPr>
              <w:t xml:space="preserve"> CC</w:t>
            </w:r>
          </w:p>
        </w:tc>
        <w:tc>
          <w:tcPr>
            <w:tcW w:w="3304" w:type="dxa"/>
          </w:tcPr>
          <w:p w:rsidR="00A27953" w:rsidRPr="00D9519E" w:rsidRDefault="00583B72" w:rsidP="00A27953">
            <w:pPr>
              <w:pStyle w:val="NoSpacing"/>
              <w:spacing w:line="276" w:lineRule="auto"/>
              <w:jc w:val="right"/>
              <w:rPr>
                <w:rFonts w:ascii="Arial" w:hAnsi="Arial" w:cs="Arial"/>
                <w:b/>
                <w:sz w:val="24"/>
                <w:szCs w:val="24"/>
              </w:rPr>
            </w:pPr>
            <w:r w:rsidRPr="00D9519E">
              <w:rPr>
                <w:rFonts w:ascii="Arial" w:hAnsi="Arial" w:cs="Arial"/>
                <w:b/>
                <w:sz w:val="24"/>
                <w:szCs w:val="24"/>
              </w:rPr>
              <w:t xml:space="preserve">First </w:t>
            </w:r>
            <w:r w:rsidR="00A27953" w:rsidRPr="00D9519E">
              <w:rPr>
                <w:rFonts w:ascii="Arial" w:hAnsi="Arial" w:cs="Arial"/>
                <w:b/>
                <w:sz w:val="24"/>
                <w:szCs w:val="24"/>
              </w:rPr>
              <w:t>Respondent</w:t>
            </w:r>
          </w:p>
        </w:tc>
      </w:tr>
      <w:tr w:rsidR="00583B72" w:rsidRPr="00CB54C2" w:rsidTr="00D9519E">
        <w:tc>
          <w:tcPr>
            <w:tcW w:w="5807" w:type="dxa"/>
          </w:tcPr>
          <w:p w:rsidR="00583B72" w:rsidRPr="00D9519E" w:rsidRDefault="00583B72" w:rsidP="00583B72">
            <w:pPr>
              <w:pStyle w:val="NoSpacing"/>
              <w:spacing w:line="276" w:lineRule="auto"/>
              <w:ind w:left="-108"/>
              <w:rPr>
                <w:rFonts w:ascii="Arial" w:hAnsi="Arial" w:cs="Arial"/>
                <w:sz w:val="24"/>
                <w:szCs w:val="24"/>
              </w:rPr>
            </w:pPr>
            <w:r w:rsidRPr="00D9519E">
              <w:rPr>
                <w:rFonts w:ascii="Arial" w:hAnsi="Arial" w:cs="Arial"/>
                <w:b/>
                <w:sz w:val="24"/>
                <w:szCs w:val="24"/>
              </w:rPr>
              <w:t>YING ZHANG</w:t>
            </w:r>
          </w:p>
        </w:tc>
        <w:tc>
          <w:tcPr>
            <w:tcW w:w="3304" w:type="dxa"/>
          </w:tcPr>
          <w:p w:rsidR="00583B72" w:rsidRPr="00D9519E" w:rsidRDefault="00583B72" w:rsidP="00583B72">
            <w:pPr>
              <w:pStyle w:val="NoSpacing"/>
              <w:spacing w:line="276" w:lineRule="auto"/>
              <w:jc w:val="right"/>
              <w:rPr>
                <w:rFonts w:ascii="Arial" w:hAnsi="Arial" w:cs="Arial"/>
                <w:sz w:val="24"/>
                <w:szCs w:val="24"/>
              </w:rPr>
            </w:pPr>
            <w:r w:rsidRPr="00D9519E">
              <w:rPr>
                <w:rFonts w:ascii="Arial" w:hAnsi="Arial" w:cs="Arial"/>
                <w:b/>
                <w:sz w:val="24"/>
                <w:szCs w:val="24"/>
              </w:rPr>
              <w:t>Second Respondent</w:t>
            </w:r>
          </w:p>
        </w:tc>
      </w:tr>
    </w:tbl>
    <w:p w:rsidR="00A27953" w:rsidRPr="00CB54C2" w:rsidRDefault="00A27953" w:rsidP="00A27953">
      <w:pPr>
        <w:pStyle w:val="NoSpacing"/>
        <w:rPr>
          <w:rFonts w:ascii="Arial" w:hAnsi="Arial" w:cs="Arial"/>
          <w:sz w:val="24"/>
          <w:szCs w:val="24"/>
        </w:rPr>
      </w:pPr>
    </w:p>
    <w:p w:rsidR="00CB28F4" w:rsidRPr="00CB54C2" w:rsidRDefault="00CB28F4" w:rsidP="00A27953">
      <w:pPr>
        <w:pStyle w:val="NoSpacing"/>
        <w:rPr>
          <w:rFonts w:ascii="Arial" w:hAnsi="Arial" w:cs="Arial"/>
          <w:sz w:val="24"/>
          <w:szCs w:val="24"/>
        </w:rPr>
      </w:pPr>
    </w:p>
    <w:p w:rsidR="00A27953" w:rsidRPr="00CB54C2" w:rsidRDefault="00A27953" w:rsidP="00A27953">
      <w:pPr>
        <w:pStyle w:val="NoSpacing"/>
        <w:rPr>
          <w:rFonts w:ascii="Arial" w:hAnsi="Arial" w:cs="Arial"/>
          <w:sz w:val="24"/>
          <w:szCs w:val="24"/>
        </w:rPr>
      </w:pPr>
    </w:p>
    <w:p w:rsidR="00A27953" w:rsidRPr="00CB54C2" w:rsidRDefault="00A27953" w:rsidP="00A27953">
      <w:pPr>
        <w:pStyle w:val="NoSpacing"/>
        <w:rPr>
          <w:rFonts w:ascii="Arial" w:hAnsi="Arial" w:cs="Arial"/>
          <w:sz w:val="24"/>
          <w:szCs w:val="24"/>
        </w:rPr>
      </w:pPr>
      <w:r w:rsidRPr="00CB54C2">
        <w:rPr>
          <w:rFonts w:ascii="Arial" w:hAnsi="Arial" w:cs="Arial"/>
          <w:b/>
          <w:sz w:val="24"/>
          <w:szCs w:val="24"/>
        </w:rPr>
        <w:t>Coram:</w:t>
      </w:r>
      <w:r w:rsidRPr="00CB54C2">
        <w:rPr>
          <w:rFonts w:ascii="Arial" w:hAnsi="Arial" w:cs="Arial"/>
          <w:sz w:val="24"/>
          <w:szCs w:val="24"/>
        </w:rPr>
        <w:tab/>
        <w:t>DAMASEB DCJ, HOFF JA and FRANK AJA</w:t>
      </w:r>
    </w:p>
    <w:p w:rsidR="00A27953" w:rsidRPr="00CB54C2" w:rsidRDefault="00A27953" w:rsidP="00A27953">
      <w:pPr>
        <w:pStyle w:val="NoSpacing"/>
        <w:rPr>
          <w:rFonts w:ascii="Arial" w:hAnsi="Arial" w:cs="Arial"/>
          <w:b/>
          <w:sz w:val="24"/>
          <w:szCs w:val="24"/>
        </w:rPr>
      </w:pPr>
    </w:p>
    <w:p w:rsidR="00A27953" w:rsidRPr="00CB54C2" w:rsidRDefault="00A27953" w:rsidP="00A27953">
      <w:pPr>
        <w:pStyle w:val="NoSpacing"/>
        <w:rPr>
          <w:rFonts w:ascii="Arial" w:hAnsi="Arial" w:cs="Arial"/>
          <w:b/>
          <w:sz w:val="24"/>
          <w:szCs w:val="24"/>
        </w:rPr>
      </w:pPr>
      <w:r w:rsidRPr="00CB54C2">
        <w:rPr>
          <w:rFonts w:ascii="Arial" w:hAnsi="Arial" w:cs="Arial"/>
          <w:b/>
          <w:sz w:val="24"/>
          <w:szCs w:val="24"/>
        </w:rPr>
        <w:t>Heard:</w:t>
      </w:r>
      <w:r w:rsidRPr="00CB54C2">
        <w:rPr>
          <w:rFonts w:ascii="Arial" w:hAnsi="Arial" w:cs="Arial"/>
          <w:b/>
          <w:sz w:val="24"/>
          <w:szCs w:val="24"/>
        </w:rPr>
        <w:tab/>
      </w:r>
      <w:r w:rsidR="001247AF" w:rsidRPr="00CB54C2">
        <w:rPr>
          <w:rFonts w:ascii="Arial" w:hAnsi="Arial" w:cs="Arial"/>
          <w:b/>
          <w:sz w:val="24"/>
          <w:szCs w:val="24"/>
        </w:rPr>
        <w:t>2 July 2019</w:t>
      </w:r>
    </w:p>
    <w:p w:rsidR="00A27953" w:rsidRPr="00CB54C2" w:rsidRDefault="00A27953" w:rsidP="00A27953">
      <w:pPr>
        <w:pStyle w:val="NoSpacing"/>
        <w:rPr>
          <w:rFonts w:ascii="Arial" w:hAnsi="Arial" w:cs="Arial"/>
          <w:b/>
          <w:sz w:val="24"/>
          <w:szCs w:val="24"/>
        </w:rPr>
      </w:pPr>
    </w:p>
    <w:p w:rsidR="00A27953" w:rsidRPr="00CB54C2" w:rsidRDefault="00A27953" w:rsidP="00A27953">
      <w:pPr>
        <w:pStyle w:val="NoSpacing"/>
        <w:rPr>
          <w:rFonts w:ascii="Arial" w:hAnsi="Arial" w:cs="Arial"/>
          <w:b/>
          <w:sz w:val="24"/>
          <w:szCs w:val="24"/>
        </w:rPr>
      </w:pPr>
      <w:r w:rsidRPr="00CB54C2">
        <w:rPr>
          <w:rFonts w:ascii="Arial" w:hAnsi="Arial" w:cs="Arial"/>
          <w:b/>
          <w:sz w:val="24"/>
          <w:szCs w:val="24"/>
        </w:rPr>
        <w:t>Delivered:</w:t>
      </w:r>
      <w:r w:rsidRPr="00CB54C2">
        <w:rPr>
          <w:rFonts w:ascii="Arial" w:hAnsi="Arial" w:cs="Arial"/>
          <w:b/>
          <w:sz w:val="24"/>
          <w:szCs w:val="24"/>
        </w:rPr>
        <w:tab/>
      </w:r>
      <w:r w:rsidR="006727C9">
        <w:rPr>
          <w:rFonts w:ascii="Arial" w:hAnsi="Arial" w:cs="Arial"/>
          <w:b/>
          <w:sz w:val="24"/>
          <w:szCs w:val="24"/>
        </w:rPr>
        <w:t>14</w:t>
      </w:r>
      <w:r w:rsidRPr="00CB54C2">
        <w:rPr>
          <w:rFonts w:ascii="Arial" w:hAnsi="Arial" w:cs="Arial"/>
          <w:b/>
          <w:sz w:val="24"/>
          <w:szCs w:val="24"/>
        </w:rPr>
        <w:t xml:space="preserve"> </w:t>
      </w:r>
      <w:r w:rsidR="00513A99">
        <w:rPr>
          <w:rFonts w:ascii="Arial" w:hAnsi="Arial" w:cs="Arial"/>
          <w:b/>
          <w:sz w:val="24"/>
          <w:szCs w:val="24"/>
        </w:rPr>
        <w:t>September 2021</w:t>
      </w:r>
    </w:p>
    <w:p w:rsidR="00A27953" w:rsidRPr="00CB54C2" w:rsidRDefault="00A27953" w:rsidP="00A27953">
      <w:pPr>
        <w:pStyle w:val="NoSpacing"/>
        <w:rPr>
          <w:rFonts w:ascii="Arial" w:hAnsi="Arial" w:cs="Arial"/>
          <w:sz w:val="24"/>
          <w:szCs w:val="24"/>
        </w:rPr>
      </w:pPr>
    </w:p>
    <w:p w:rsidR="00CB28F4" w:rsidRPr="00CB54C2" w:rsidRDefault="00CB28F4" w:rsidP="00A27953">
      <w:pPr>
        <w:pStyle w:val="NoSpacing"/>
        <w:rPr>
          <w:rFonts w:ascii="Arial" w:hAnsi="Arial" w:cs="Arial"/>
          <w:sz w:val="24"/>
          <w:szCs w:val="24"/>
        </w:rPr>
      </w:pPr>
    </w:p>
    <w:p w:rsidR="00A27953" w:rsidRPr="00CB54C2" w:rsidRDefault="00A27953" w:rsidP="00A27953">
      <w:pPr>
        <w:pStyle w:val="NoSpacing"/>
        <w:rPr>
          <w:rFonts w:ascii="Arial" w:hAnsi="Arial" w:cs="Arial"/>
          <w:sz w:val="24"/>
          <w:szCs w:val="24"/>
        </w:rPr>
      </w:pPr>
    </w:p>
    <w:p w:rsidR="00A27953" w:rsidRPr="00461A8E" w:rsidRDefault="00A27953" w:rsidP="00461A8E">
      <w:pPr>
        <w:pStyle w:val="NoSpacing"/>
        <w:spacing w:line="360" w:lineRule="auto"/>
        <w:jc w:val="both"/>
        <w:rPr>
          <w:rFonts w:ascii="Arial" w:hAnsi="Arial" w:cs="Arial"/>
          <w:sz w:val="24"/>
          <w:szCs w:val="24"/>
        </w:rPr>
      </w:pPr>
      <w:r w:rsidRPr="00CB54C2">
        <w:rPr>
          <w:rFonts w:ascii="Arial" w:hAnsi="Arial" w:cs="Arial"/>
          <w:b/>
          <w:sz w:val="24"/>
          <w:szCs w:val="24"/>
        </w:rPr>
        <w:t>Summary:</w:t>
      </w:r>
      <w:r w:rsidRPr="00CB54C2">
        <w:rPr>
          <w:rFonts w:ascii="Arial" w:hAnsi="Arial" w:cs="Arial"/>
          <w:b/>
          <w:sz w:val="24"/>
          <w:szCs w:val="24"/>
        </w:rPr>
        <w:tab/>
      </w:r>
      <w:r w:rsidR="00153407">
        <w:rPr>
          <w:rFonts w:ascii="Arial" w:hAnsi="Arial" w:cs="Arial"/>
          <w:sz w:val="24"/>
          <w:szCs w:val="24"/>
        </w:rPr>
        <w:t>A</w:t>
      </w:r>
      <w:r w:rsidR="00461A8E" w:rsidRPr="00461A8E">
        <w:rPr>
          <w:rFonts w:ascii="Arial" w:hAnsi="Arial" w:cs="Arial"/>
          <w:sz w:val="24"/>
          <w:szCs w:val="24"/>
        </w:rPr>
        <w:t xml:space="preserve"> pre</w:t>
      </w:r>
      <w:r w:rsidR="00461A8E">
        <w:rPr>
          <w:rFonts w:ascii="Arial" w:hAnsi="Arial" w:cs="Arial"/>
          <w:sz w:val="24"/>
          <w:szCs w:val="24"/>
        </w:rPr>
        <w:t xml:space="preserve">servation of property order expires 120 days after the date on which notice of the making of the order is published in the </w:t>
      </w:r>
      <w:r w:rsidR="00153407">
        <w:rPr>
          <w:rFonts w:ascii="Arial" w:hAnsi="Arial" w:cs="Arial"/>
          <w:sz w:val="24"/>
          <w:szCs w:val="24"/>
        </w:rPr>
        <w:t xml:space="preserve">Government </w:t>
      </w:r>
      <w:r w:rsidR="00461A8E">
        <w:rPr>
          <w:rFonts w:ascii="Arial" w:hAnsi="Arial" w:cs="Arial"/>
          <w:sz w:val="24"/>
          <w:szCs w:val="24"/>
        </w:rPr>
        <w:t>Gazette unless there is an application for forfeiture of property pending before the High Court.</w:t>
      </w:r>
    </w:p>
    <w:p w:rsidR="00A27953" w:rsidRPr="00461A8E" w:rsidRDefault="00A27953" w:rsidP="00461A8E">
      <w:pPr>
        <w:pStyle w:val="NoSpacing"/>
        <w:spacing w:line="360" w:lineRule="auto"/>
        <w:jc w:val="both"/>
        <w:rPr>
          <w:rFonts w:ascii="Arial" w:hAnsi="Arial" w:cs="Arial"/>
          <w:sz w:val="24"/>
          <w:szCs w:val="24"/>
        </w:rPr>
      </w:pPr>
    </w:p>
    <w:p w:rsidR="00A27953" w:rsidRPr="00461A8E" w:rsidRDefault="00461A8E" w:rsidP="00461A8E">
      <w:pPr>
        <w:pStyle w:val="NoSpacing"/>
        <w:spacing w:line="360" w:lineRule="auto"/>
        <w:jc w:val="both"/>
        <w:rPr>
          <w:rFonts w:ascii="Arial" w:hAnsi="Arial" w:cs="Arial"/>
          <w:sz w:val="24"/>
          <w:szCs w:val="24"/>
        </w:rPr>
      </w:pPr>
      <w:r>
        <w:rPr>
          <w:rFonts w:ascii="Arial" w:hAnsi="Arial" w:cs="Arial"/>
          <w:sz w:val="24"/>
          <w:szCs w:val="24"/>
        </w:rPr>
        <w:t>In terms of s 52(3) of the Prevention of Organised Crime Act 29 of 2004</w:t>
      </w:r>
      <w:r w:rsidR="00153407">
        <w:rPr>
          <w:rFonts w:ascii="Arial" w:hAnsi="Arial" w:cs="Arial"/>
          <w:sz w:val="24"/>
          <w:szCs w:val="24"/>
        </w:rPr>
        <w:t>,</w:t>
      </w:r>
      <w:r>
        <w:rPr>
          <w:rFonts w:ascii="Arial" w:hAnsi="Arial" w:cs="Arial"/>
          <w:sz w:val="24"/>
          <w:szCs w:val="24"/>
        </w:rPr>
        <w:t xml:space="preserve"> any person who has an interest in the property subject to the preservation order may give written notice of his or her intention to oppose the making of a forfeiture order. This notice must </w:t>
      </w:r>
      <w:r>
        <w:rPr>
          <w:rFonts w:ascii="Arial" w:hAnsi="Arial" w:cs="Arial"/>
          <w:sz w:val="24"/>
          <w:szCs w:val="24"/>
        </w:rPr>
        <w:lastRenderedPageBreak/>
        <w:t>be given within a certain period and must further comply with the obligatory requirements set out in s 52(3) and (5).</w:t>
      </w:r>
    </w:p>
    <w:p w:rsidR="00A27953" w:rsidRPr="00461A8E" w:rsidRDefault="00A27953" w:rsidP="00461A8E">
      <w:pPr>
        <w:pStyle w:val="NoSpacing"/>
        <w:spacing w:line="360" w:lineRule="auto"/>
        <w:jc w:val="both"/>
        <w:rPr>
          <w:rFonts w:ascii="Arial" w:hAnsi="Arial" w:cs="Arial"/>
          <w:sz w:val="24"/>
          <w:szCs w:val="24"/>
        </w:rPr>
      </w:pPr>
    </w:p>
    <w:p w:rsidR="00A27953" w:rsidRDefault="00461A8E" w:rsidP="00461A8E">
      <w:pPr>
        <w:pStyle w:val="NoSpacing"/>
        <w:spacing w:line="360" w:lineRule="auto"/>
        <w:jc w:val="both"/>
        <w:rPr>
          <w:rFonts w:ascii="Arial" w:hAnsi="Arial" w:cs="Arial"/>
          <w:sz w:val="24"/>
          <w:szCs w:val="24"/>
        </w:rPr>
      </w:pPr>
      <w:r>
        <w:rPr>
          <w:rFonts w:ascii="Arial" w:hAnsi="Arial" w:cs="Arial"/>
          <w:sz w:val="24"/>
          <w:szCs w:val="24"/>
        </w:rPr>
        <w:t>Non-compliance with the provisions of s 52(3) and (5) triggers s 52(6) which provides that the Prosecutor-General is not obliged to give notice of an intended application for forfeiture of property.</w:t>
      </w:r>
    </w:p>
    <w:p w:rsidR="00461A8E" w:rsidRDefault="00461A8E" w:rsidP="00461A8E">
      <w:pPr>
        <w:pStyle w:val="NoSpacing"/>
        <w:spacing w:line="360" w:lineRule="auto"/>
        <w:jc w:val="both"/>
        <w:rPr>
          <w:rFonts w:ascii="Arial" w:hAnsi="Arial" w:cs="Arial"/>
          <w:sz w:val="24"/>
          <w:szCs w:val="24"/>
        </w:rPr>
      </w:pPr>
    </w:p>
    <w:p w:rsidR="00461A8E" w:rsidRDefault="00461A8E" w:rsidP="00461A8E">
      <w:pPr>
        <w:pStyle w:val="NoSpacing"/>
        <w:spacing w:line="360" w:lineRule="auto"/>
        <w:jc w:val="both"/>
        <w:rPr>
          <w:rFonts w:ascii="Arial" w:hAnsi="Arial" w:cs="Arial"/>
          <w:sz w:val="24"/>
          <w:szCs w:val="24"/>
        </w:rPr>
      </w:pPr>
      <w:r>
        <w:rPr>
          <w:rFonts w:ascii="Arial" w:hAnsi="Arial" w:cs="Arial"/>
          <w:sz w:val="24"/>
          <w:szCs w:val="24"/>
        </w:rPr>
        <w:t>In such an instance</w:t>
      </w:r>
      <w:r w:rsidR="00575A09">
        <w:rPr>
          <w:rFonts w:ascii="Arial" w:hAnsi="Arial" w:cs="Arial"/>
          <w:sz w:val="24"/>
          <w:szCs w:val="24"/>
        </w:rPr>
        <w:t>,</w:t>
      </w:r>
      <w:r>
        <w:rPr>
          <w:rFonts w:ascii="Arial" w:hAnsi="Arial" w:cs="Arial"/>
          <w:sz w:val="24"/>
          <w:szCs w:val="24"/>
        </w:rPr>
        <w:t xml:space="preserve"> the issue of a chosen address required by s 52(5) and the issue of </w:t>
      </w:r>
      <w:r w:rsidR="00A81E07">
        <w:rPr>
          <w:rFonts w:ascii="Arial" w:hAnsi="Arial" w:cs="Arial"/>
          <w:sz w:val="24"/>
          <w:szCs w:val="24"/>
        </w:rPr>
        <w:t>service</w:t>
      </w:r>
      <w:r>
        <w:rPr>
          <w:rFonts w:ascii="Arial" w:hAnsi="Arial" w:cs="Arial"/>
          <w:sz w:val="24"/>
          <w:szCs w:val="24"/>
        </w:rPr>
        <w:t xml:space="preserve"> do not arise. </w:t>
      </w:r>
    </w:p>
    <w:p w:rsidR="00461A8E" w:rsidRDefault="00461A8E" w:rsidP="00461A8E">
      <w:pPr>
        <w:pStyle w:val="NoSpacing"/>
        <w:spacing w:line="360" w:lineRule="auto"/>
        <w:jc w:val="both"/>
        <w:rPr>
          <w:rFonts w:ascii="Arial" w:hAnsi="Arial" w:cs="Arial"/>
          <w:sz w:val="24"/>
          <w:szCs w:val="24"/>
        </w:rPr>
      </w:pPr>
    </w:p>
    <w:p w:rsidR="00461A8E" w:rsidRPr="00461A8E" w:rsidRDefault="00461A8E" w:rsidP="00461A8E">
      <w:pPr>
        <w:pStyle w:val="NoSpacing"/>
        <w:spacing w:line="360" w:lineRule="auto"/>
        <w:jc w:val="both"/>
        <w:rPr>
          <w:rFonts w:ascii="Arial" w:hAnsi="Arial" w:cs="Arial"/>
          <w:sz w:val="24"/>
          <w:szCs w:val="24"/>
        </w:rPr>
      </w:pPr>
      <w:r>
        <w:rPr>
          <w:rFonts w:ascii="Arial" w:hAnsi="Arial" w:cs="Arial"/>
          <w:sz w:val="24"/>
          <w:szCs w:val="24"/>
        </w:rPr>
        <w:t xml:space="preserve">The appellant in her founding affidavit stated the </w:t>
      </w:r>
      <w:r w:rsidR="00A81E07">
        <w:rPr>
          <w:rFonts w:ascii="Arial" w:hAnsi="Arial" w:cs="Arial"/>
          <w:sz w:val="24"/>
          <w:szCs w:val="24"/>
        </w:rPr>
        <w:t>basis</w:t>
      </w:r>
      <w:r>
        <w:rPr>
          <w:rFonts w:ascii="Arial" w:hAnsi="Arial" w:cs="Arial"/>
          <w:sz w:val="24"/>
          <w:szCs w:val="24"/>
        </w:rPr>
        <w:t xml:space="preserve"> for her contention that respondents were not entitled to receive notice of the application for forfeiture order. Court </w:t>
      </w:r>
      <w:r w:rsidRPr="00461A8E">
        <w:rPr>
          <w:rFonts w:ascii="Arial" w:hAnsi="Arial" w:cs="Arial"/>
          <w:i/>
          <w:sz w:val="24"/>
          <w:szCs w:val="24"/>
        </w:rPr>
        <w:t>a quo</w:t>
      </w:r>
      <w:r>
        <w:rPr>
          <w:rFonts w:ascii="Arial" w:hAnsi="Arial" w:cs="Arial"/>
          <w:sz w:val="24"/>
          <w:szCs w:val="24"/>
        </w:rPr>
        <w:t xml:space="preserve"> did not consider the grounds upon which appellant based her contention. </w:t>
      </w:r>
    </w:p>
    <w:p w:rsidR="00A27953" w:rsidRPr="00461A8E" w:rsidRDefault="00A27953" w:rsidP="00CB28F4">
      <w:pPr>
        <w:pStyle w:val="NoSpacing"/>
        <w:spacing w:line="360" w:lineRule="auto"/>
        <w:rPr>
          <w:rFonts w:ascii="Arial" w:hAnsi="Arial" w:cs="Arial"/>
          <w:sz w:val="24"/>
          <w:szCs w:val="24"/>
        </w:rPr>
      </w:pPr>
    </w:p>
    <w:p w:rsidR="00A27953" w:rsidRDefault="00461A8E" w:rsidP="00461A8E">
      <w:pPr>
        <w:pStyle w:val="NoSpacing"/>
        <w:spacing w:line="360" w:lineRule="auto"/>
        <w:jc w:val="both"/>
        <w:rPr>
          <w:rFonts w:ascii="Arial" w:hAnsi="Arial" w:cs="Arial"/>
          <w:sz w:val="24"/>
          <w:szCs w:val="24"/>
        </w:rPr>
      </w:pPr>
      <w:r>
        <w:rPr>
          <w:rFonts w:ascii="Arial" w:hAnsi="Arial" w:cs="Arial"/>
          <w:sz w:val="24"/>
          <w:szCs w:val="24"/>
        </w:rPr>
        <w:t xml:space="preserve">The purpose of </w:t>
      </w:r>
      <w:r w:rsidR="00575A09">
        <w:rPr>
          <w:rFonts w:ascii="Arial" w:hAnsi="Arial" w:cs="Arial"/>
          <w:sz w:val="24"/>
          <w:szCs w:val="24"/>
        </w:rPr>
        <w:t xml:space="preserve">a </w:t>
      </w:r>
      <w:r>
        <w:rPr>
          <w:rFonts w:ascii="Arial" w:hAnsi="Arial" w:cs="Arial"/>
          <w:sz w:val="24"/>
          <w:szCs w:val="24"/>
        </w:rPr>
        <w:t>s 52(5) affidavit amongst other things is to define the issues in dispute between the parties, the information contained in the affidavit may enable the appellant to decide whether or not to proceed with the forfeiture application. The information may also afford the appellant time to investigate any allegations made in the affidavit and to verify the grounds upon which an interested party intends to rely in opposition of the application.</w:t>
      </w:r>
    </w:p>
    <w:p w:rsidR="00461A8E" w:rsidRDefault="00461A8E" w:rsidP="00461A8E">
      <w:pPr>
        <w:pStyle w:val="NoSpacing"/>
        <w:spacing w:line="360" w:lineRule="auto"/>
        <w:jc w:val="both"/>
        <w:rPr>
          <w:rFonts w:ascii="Arial" w:hAnsi="Arial" w:cs="Arial"/>
          <w:sz w:val="24"/>
          <w:szCs w:val="24"/>
        </w:rPr>
      </w:pPr>
    </w:p>
    <w:p w:rsidR="00461A8E" w:rsidRDefault="00461A8E" w:rsidP="00461A8E">
      <w:pPr>
        <w:pStyle w:val="NoSpacing"/>
        <w:spacing w:line="360" w:lineRule="auto"/>
        <w:jc w:val="both"/>
        <w:rPr>
          <w:rFonts w:ascii="Arial" w:hAnsi="Arial" w:cs="Arial"/>
          <w:sz w:val="24"/>
          <w:szCs w:val="24"/>
        </w:rPr>
      </w:pPr>
      <w:r>
        <w:rPr>
          <w:rFonts w:ascii="Arial" w:hAnsi="Arial" w:cs="Arial"/>
          <w:sz w:val="24"/>
          <w:szCs w:val="24"/>
        </w:rPr>
        <w:t>The s 52(3) and (5)</w:t>
      </w:r>
      <w:r w:rsidR="00F43C33">
        <w:rPr>
          <w:rFonts w:ascii="Arial" w:hAnsi="Arial" w:cs="Arial"/>
          <w:sz w:val="24"/>
          <w:szCs w:val="24"/>
        </w:rPr>
        <w:t xml:space="preserve"> notice</w:t>
      </w:r>
      <w:r>
        <w:rPr>
          <w:rFonts w:ascii="Arial" w:hAnsi="Arial" w:cs="Arial"/>
          <w:sz w:val="24"/>
          <w:szCs w:val="24"/>
        </w:rPr>
        <w:t xml:space="preserve"> by respondents was on the face of it defective due to the paucity of information provided. In these circumstances</w:t>
      </w:r>
      <w:r w:rsidR="00153407">
        <w:rPr>
          <w:rFonts w:ascii="Arial" w:hAnsi="Arial" w:cs="Arial"/>
          <w:sz w:val="24"/>
          <w:szCs w:val="24"/>
        </w:rPr>
        <w:t>,</w:t>
      </w:r>
      <w:r>
        <w:rPr>
          <w:rFonts w:ascii="Arial" w:hAnsi="Arial" w:cs="Arial"/>
          <w:sz w:val="24"/>
          <w:szCs w:val="24"/>
        </w:rPr>
        <w:t xml:space="preserve"> </w:t>
      </w:r>
      <w:r w:rsidR="00C00E0B">
        <w:rPr>
          <w:rFonts w:ascii="Arial" w:hAnsi="Arial" w:cs="Arial"/>
          <w:sz w:val="24"/>
          <w:szCs w:val="24"/>
        </w:rPr>
        <w:t xml:space="preserve">respondents </w:t>
      </w:r>
      <w:r w:rsidR="00A81E07">
        <w:rPr>
          <w:rFonts w:ascii="Arial" w:hAnsi="Arial" w:cs="Arial"/>
          <w:sz w:val="24"/>
          <w:szCs w:val="24"/>
        </w:rPr>
        <w:t>were</w:t>
      </w:r>
      <w:r w:rsidR="00C00E0B">
        <w:rPr>
          <w:rFonts w:ascii="Arial" w:hAnsi="Arial" w:cs="Arial"/>
          <w:sz w:val="24"/>
          <w:szCs w:val="24"/>
        </w:rPr>
        <w:t xml:space="preserve"> not entitled to receive notice of an intended forfeiture application.</w:t>
      </w:r>
    </w:p>
    <w:p w:rsidR="00461A8E" w:rsidRDefault="00461A8E" w:rsidP="00461A8E">
      <w:pPr>
        <w:pStyle w:val="NoSpacing"/>
        <w:spacing w:line="360" w:lineRule="auto"/>
        <w:jc w:val="both"/>
        <w:rPr>
          <w:rFonts w:ascii="Arial" w:hAnsi="Arial" w:cs="Arial"/>
          <w:sz w:val="24"/>
          <w:szCs w:val="24"/>
        </w:rPr>
      </w:pPr>
    </w:p>
    <w:p w:rsidR="00461A8E" w:rsidRPr="00461A8E" w:rsidRDefault="00C00E0B" w:rsidP="00461A8E">
      <w:pPr>
        <w:pStyle w:val="NoSpacing"/>
        <w:spacing w:line="360" w:lineRule="auto"/>
        <w:jc w:val="both"/>
        <w:rPr>
          <w:rFonts w:ascii="Arial" w:hAnsi="Arial" w:cs="Arial"/>
          <w:sz w:val="24"/>
          <w:szCs w:val="24"/>
        </w:rPr>
      </w:pPr>
      <w:r>
        <w:rPr>
          <w:rFonts w:ascii="Arial" w:hAnsi="Arial" w:cs="Arial"/>
          <w:sz w:val="24"/>
          <w:szCs w:val="24"/>
        </w:rPr>
        <w:t xml:space="preserve">The appeal against an order of the High Court setting aside an application for a forfeiture order succeeds with costs. </w:t>
      </w:r>
    </w:p>
    <w:p w:rsidR="00A27953" w:rsidRDefault="00A27953" w:rsidP="00CB28F4">
      <w:pPr>
        <w:pStyle w:val="NoSpacing"/>
        <w:spacing w:line="360" w:lineRule="auto"/>
        <w:rPr>
          <w:rFonts w:ascii="Arial" w:hAnsi="Arial" w:cs="Arial"/>
          <w:sz w:val="24"/>
          <w:szCs w:val="24"/>
        </w:rPr>
      </w:pPr>
    </w:p>
    <w:p w:rsidR="00C00E0B" w:rsidRDefault="00C00E0B" w:rsidP="00CB28F4">
      <w:pPr>
        <w:pStyle w:val="NoSpacing"/>
        <w:spacing w:line="360" w:lineRule="auto"/>
        <w:rPr>
          <w:rFonts w:ascii="Arial" w:hAnsi="Arial" w:cs="Arial"/>
          <w:sz w:val="24"/>
          <w:szCs w:val="24"/>
        </w:rPr>
      </w:pPr>
    </w:p>
    <w:p w:rsidR="00C00E0B" w:rsidRDefault="00C00E0B" w:rsidP="00CB28F4">
      <w:pPr>
        <w:pStyle w:val="NoSpacing"/>
        <w:spacing w:line="360" w:lineRule="auto"/>
        <w:rPr>
          <w:rFonts w:ascii="Arial" w:hAnsi="Arial" w:cs="Arial"/>
          <w:sz w:val="24"/>
          <w:szCs w:val="24"/>
        </w:rPr>
      </w:pPr>
    </w:p>
    <w:p w:rsidR="00C00E0B" w:rsidRPr="00461A8E" w:rsidRDefault="00C00E0B" w:rsidP="00CB28F4">
      <w:pPr>
        <w:pStyle w:val="NoSpacing"/>
        <w:spacing w:line="360" w:lineRule="auto"/>
        <w:rPr>
          <w:rFonts w:ascii="Arial" w:hAnsi="Arial" w:cs="Arial"/>
          <w:sz w:val="24"/>
          <w:szCs w:val="24"/>
        </w:rPr>
      </w:pPr>
    </w:p>
    <w:p w:rsidR="00A27953" w:rsidRPr="00CB54C2" w:rsidRDefault="00A27953" w:rsidP="00A27953">
      <w:pPr>
        <w:pStyle w:val="NoSpacing"/>
        <w:rPr>
          <w:rFonts w:ascii="Arial" w:hAnsi="Arial" w:cs="Arial"/>
          <w:sz w:val="24"/>
          <w:szCs w:val="24"/>
        </w:rPr>
      </w:pPr>
      <w:r w:rsidRPr="00CB54C2">
        <w:rPr>
          <w:rFonts w:ascii="Arial" w:hAnsi="Arial" w:cs="Arial"/>
          <w:sz w:val="24"/>
          <w:szCs w:val="24"/>
        </w:rPr>
        <w:lastRenderedPageBreak/>
        <w:t>____________________________________________________________________</w:t>
      </w:r>
    </w:p>
    <w:p w:rsidR="00A27953" w:rsidRPr="00CB54C2" w:rsidRDefault="00A27953" w:rsidP="00A27953">
      <w:pPr>
        <w:pStyle w:val="NoSpacing"/>
        <w:rPr>
          <w:rFonts w:ascii="Arial" w:hAnsi="Arial" w:cs="Arial"/>
          <w:sz w:val="24"/>
          <w:szCs w:val="24"/>
        </w:rPr>
      </w:pPr>
    </w:p>
    <w:p w:rsidR="00A27953" w:rsidRPr="00CB54C2" w:rsidRDefault="00A27953" w:rsidP="00A27953">
      <w:pPr>
        <w:pStyle w:val="NoSpacing"/>
        <w:jc w:val="center"/>
        <w:rPr>
          <w:rFonts w:ascii="Arial" w:hAnsi="Arial" w:cs="Arial"/>
          <w:b/>
          <w:sz w:val="24"/>
          <w:szCs w:val="24"/>
        </w:rPr>
      </w:pPr>
      <w:r w:rsidRPr="00CB54C2">
        <w:rPr>
          <w:rFonts w:ascii="Arial" w:hAnsi="Arial" w:cs="Arial"/>
          <w:b/>
          <w:sz w:val="24"/>
          <w:szCs w:val="24"/>
        </w:rPr>
        <w:t>APPEAL JUDGMENT</w:t>
      </w:r>
    </w:p>
    <w:p w:rsidR="00A27953" w:rsidRPr="00CB54C2" w:rsidRDefault="00A27953" w:rsidP="00A27953">
      <w:pPr>
        <w:pStyle w:val="NoSpacing"/>
        <w:rPr>
          <w:rFonts w:ascii="Arial" w:hAnsi="Arial" w:cs="Arial"/>
          <w:sz w:val="24"/>
          <w:szCs w:val="24"/>
        </w:rPr>
      </w:pPr>
      <w:r w:rsidRPr="00CB54C2">
        <w:rPr>
          <w:rFonts w:ascii="Arial" w:hAnsi="Arial" w:cs="Arial"/>
          <w:sz w:val="24"/>
          <w:szCs w:val="24"/>
        </w:rPr>
        <w:t>____________________________________________________________________</w:t>
      </w:r>
    </w:p>
    <w:p w:rsidR="00A27953" w:rsidRPr="00CB54C2" w:rsidRDefault="00A27953" w:rsidP="00A27953">
      <w:pPr>
        <w:pStyle w:val="NoSpacing"/>
        <w:rPr>
          <w:rFonts w:ascii="Arial" w:hAnsi="Arial" w:cs="Arial"/>
          <w:sz w:val="24"/>
          <w:szCs w:val="24"/>
        </w:rPr>
      </w:pPr>
    </w:p>
    <w:p w:rsidR="00A27953" w:rsidRPr="00CB54C2" w:rsidRDefault="00A27953" w:rsidP="00A27953">
      <w:pPr>
        <w:pStyle w:val="NoSpacing"/>
        <w:rPr>
          <w:rFonts w:ascii="Arial" w:hAnsi="Arial" w:cs="Arial"/>
          <w:sz w:val="24"/>
          <w:szCs w:val="24"/>
        </w:rPr>
      </w:pPr>
    </w:p>
    <w:p w:rsidR="00A27953" w:rsidRPr="00CB54C2" w:rsidRDefault="00A27953" w:rsidP="00A27953">
      <w:pPr>
        <w:pStyle w:val="NoSpacing"/>
        <w:spacing w:line="480" w:lineRule="auto"/>
        <w:jc w:val="both"/>
        <w:rPr>
          <w:rFonts w:ascii="Arial" w:hAnsi="Arial" w:cs="Arial"/>
          <w:sz w:val="24"/>
          <w:szCs w:val="24"/>
        </w:rPr>
      </w:pPr>
      <w:r w:rsidRPr="00CB54C2">
        <w:rPr>
          <w:rFonts w:ascii="Arial" w:hAnsi="Arial" w:cs="Arial"/>
          <w:sz w:val="24"/>
          <w:szCs w:val="24"/>
        </w:rPr>
        <w:t>HOFF JA (DAMASEB DCJ and FRANK AJA concurring):</w:t>
      </w:r>
    </w:p>
    <w:p w:rsidR="00A27953" w:rsidRPr="00CB54C2" w:rsidRDefault="00CB28F4" w:rsidP="00A27953">
      <w:pPr>
        <w:pStyle w:val="NoSpacing"/>
        <w:numPr>
          <w:ilvl w:val="0"/>
          <w:numId w:val="1"/>
        </w:numPr>
        <w:spacing w:line="480" w:lineRule="auto"/>
        <w:ind w:left="0" w:firstLine="0"/>
        <w:jc w:val="both"/>
        <w:rPr>
          <w:rFonts w:ascii="Arial" w:hAnsi="Arial" w:cs="Arial"/>
          <w:sz w:val="24"/>
          <w:szCs w:val="24"/>
        </w:rPr>
      </w:pPr>
      <w:r w:rsidRPr="00CB54C2">
        <w:rPr>
          <w:rFonts w:ascii="Arial" w:hAnsi="Arial" w:cs="Arial"/>
          <w:sz w:val="24"/>
          <w:szCs w:val="24"/>
        </w:rPr>
        <w:t xml:space="preserve">This is an appeal against an order of the High Court setting aside an application for a forfeiture order served on </w:t>
      </w:r>
      <w:r w:rsidR="0012256A">
        <w:rPr>
          <w:rFonts w:ascii="Arial" w:hAnsi="Arial" w:cs="Arial"/>
          <w:sz w:val="24"/>
          <w:szCs w:val="24"/>
        </w:rPr>
        <w:t>first</w:t>
      </w:r>
      <w:r w:rsidRPr="00CB54C2">
        <w:rPr>
          <w:rFonts w:ascii="Arial" w:hAnsi="Arial" w:cs="Arial"/>
          <w:sz w:val="24"/>
          <w:szCs w:val="24"/>
        </w:rPr>
        <w:t xml:space="preserve"> respondent. The appeal is opposed by the respondents.</w:t>
      </w:r>
    </w:p>
    <w:p w:rsidR="00A27953" w:rsidRPr="00CB54C2" w:rsidRDefault="00A27953" w:rsidP="00A27953">
      <w:pPr>
        <w:pStyle w:val="NoSpacing"/>
        <w:spacing w:line="480" w:lineRule="auto"/>
        <w:jc w:val="both"/>
        <w:rPr>
          <w:rFonts w:ascii="Arial" w:hAnsi="Arial" w:cs="Arial"/>
          <w:sz w:val="24"/>
          <w:szCs w:val="24"/>
        </w:rPr>
      </w:pPr>
    </w:p>
    <w:p w:rsidR="00CB28F4" w:rsidRPr="00CB54C2" w:rsidRDefault="00CB28F4" w:rsidP="00A27953">
      <w:pPr>
        <w:pStyle w:val="NoSpacing"/>
        <w:spacing w:line="480" w:lineRule="auto"/>
        <w:jc w:val="both"/>
        <w:rPr>
          <w:rFonts w:ascii="Arial" w:hAnsi="Arial" w:cs="Arial"/>
          <w:sz w:val="24"/>
          <w:szCs w:val="24"/>
          <w:u w:val="single"/>
        </w:rPr>
      </w:pPr>
      <w:r w:rsidRPr="00CB54C2">
        <w:rPr>
          <w:rFonts w:ascii="Arial" w:hAnsi="Arial" w:cs="Arial"/>
          <w:sz w:val="24"/>
          <w:szCs w:val="24"/>
          <w:u w:val="single"/>
        </w:rPr>
        <w:t>Factual background</w:t>
      </w:r>
    </w:p>
    <w:p w:rsidR="00A27953" w:rsidRDefault="00CB28F4" w:rsidP="00A27953">
      <w:pPr>
        <w:pStyle w:val="NoSpacing"/>
        <w:numPr>
          <w:ilvl w:val="0"/>
          <w:numId w:val="1"/>
        </w:numPr>
        <w:spacing w:line="480" w:lineRule="auto"/>
        <w:ind w:left="0" w:firstLine="0"/>
        <w:jc w:val="both"/>
        <w:rPr>
          <w:rFonts w:ascii="Arial" w:hAnsi="Arial" w:cs="Arial"/>
          <w:sz w:val="24"/>
          <w:szCs w:val="24"/>
        </w:rPr>
      </w:pPr>
      <w:r w:rsidRPr="00CB54C2">
        <w:rPr>
          <w:rFonts w:ascii="Arial" w:hAnsi="Arial" w:cs="Arial"/>
          <w:sz w:val="24"/>
          <w:szCs w:val="24"/>
        </w:rPr>
        <w:t xml:space="preserve">The appellant applied to the High Court on 27 January 2017 for a preservation of property order in terms of the provisions of s 51(1) of the Prevention of Organised Crime Act 29 of 2004 </w:t>
      </w:r>
      <w:r w:rsidR="00377D31">
        <w:rPr>
          <w:rFonts w:ascii="Arial" w:hAnsi="Arial" w:cs="Arial"/>
          <w:sz w:val="24"/>
          <w:szCs w:val="24"/>
        </w:rPr>
        <w:t>(the Act)</w:t>
      </w:r>
      <w:r w:rsidRPr="00CB54C2">
        <w:rPr>
          <w:rFonts w:ascii="Arial" w:hAnsi="Arial" w:cs="Arial"/>
          <w:sz w:val="24"/>
          <w:szCs w:val="24"/>
        </w:rPr>
        <w:t xml:space="preserve"> in respect of the positive balances of two Nedbank accounts held in the name of China South Industr</w:t>
      </w:r>
      <w:r w:rsidR="00153407">
        <w:rPr>
          <w:rFonts w:ascii="Arial" w:hAnsi="Arial" w:cs="Arial"/>
          <w:sz w:val="24"/>
          <w:szCs w:val="24"/>
        </w:rPr>
        <w:t>y</w:t>
      </w:r>
      <w:r w:rsidRPr="00CB54C2">
        <w:rPr>
          <w:rFonts w:ascii="Arial" w:hAnsi="Arial" w:cs="Arial"/>
          <w:sz w:val="24"/>
          <w:szCs w:val="24"/>
        </w:rPr>
        <w:t xml:space="preserve"> and Trading CC, </w:t>
      </w:r>
      <w:r w:rsidR="002B6A3A" w:rsidRPr="00CB54C2">
        <w:rPr>
          <w:rFonts w:ascii="Arial" w:hAnsi="Arial" w:cs="Arial"/>
          <w:sz w:val="24"/>
          <w:szCs w:val="24"/>
        </w:rPr>
        <w:t>the</w:t>
      </w:r>
      <w:r w:rsidR="0012256A">
        <w:rPr>
          <w:rFonts w:ascii="Arial" w:hAnsi="Arial" w:cs="Arial"/>
          <w:sz w:val="24"/>
          <w:szCs w:val="24"/>
        </w:rPr>
        <w:t xml:space="preserve"> first</w:t>
      </w:r>
      <w:r w:rsidR="002B6A3A" w:rsidRPr="00CB54C2">
        <w:rPr>
          <w:rFonts w:ascii="Arial" w:hAnsi="Arial" w:cs="Arial"/>
          <w:sz w:val="24"/>
          <w:szCs w:val="24"/>
        </w:rPr>
        <w:t xml:space="preserve"> respondent.</w:t>
      </w:r>
      <w:r w:rsidR="00575A09">
        <w:rPr>
          <w:rFonts w:ascii="Arial" w:hAnsi="Arial" w:cs="Arial"/>
          <w:sz w:val="24"/>
          <w:szCs w:val="24"/>
        </w:rPr>
        <w:t xml:space="preserve"> The preservation of property order was granted on the same day.</w:t>
      </w:r>
    </w:p>
    <w:p w:rsidR="00575A09" w:rsidRDefault="00575A09" w:rsidP="00575A09">
      <w:pPr>
        <w:pStyle w:val="NoSpacing"/>
        <w:spacing w:line="480" w:lineRule="auto"/>
        <w:jc w:val="both"/>
        <w:rPr>
          <w:rFonts w:ascii="Arial" w:hAnsi="Arial" w:cs="Arial"/>
          <w:sz w:val="24"/>
          <w:szCs w:val="24"/>
        </w:rPr>
      </w:pPr>
    </w:p>
    <w:p w:rsidR="00806083" w:rsidRPr="00575A09" w:rsidRDefault="00806083" w:rsidP="00A27953">
      <w:pPr>
        <w:pStyle w:val="NoSpacing"/>
        <w:numPr>
          <w:ilvl w:val="0"/>
          <w:numId w:val="1"/>
        </w:numPr>
        <w:spacing w:line="480" w:lineRule="auto"/>
        <w:ind w:left="0" w:firstLine="0"/>
        <w:jc w:val="both"/>
        <w:rPr>
          <w:rFonts w:ascii="Arial" w:hAnsi="Arial" w:cs="Arial"/>
          <w:sz w:val="24"/>
          <w:szCs w:val="24"/>
        </w:rPr>
      </w:pPr>
      <w:r w:rsidRPr="00575A09">
        <w:rPr>
          <w:rFonts w:ascii="Arial" w:hAnsi="Arial" w:cs="Arial"/>
          <w:sz w:val="24"/>
          <w:szCs w:val="24"/>
        </w:rPr>
        <w:t>In the notice of appeal</w:t>
      </w:r>
      <w:r w:rsidR="00575A09">
        <w:rPr>
          <w:rFonts w:ascii="Arial" w:hAnsi="Arial" w:cs="Arial"/>
          <w:sz w:val="24"/>
          <w:szCs w:val="24"/>
        </w:rPr>
        <w:t>,</w:t>
      </w:r>
      <w:r w:rsidRPr="00575A09">
        <w:rPr>
          <w:rFonts w:ascii="Arial" w:hAnsi="Arial" w:cs="Arial"/>
          <w:sz w:val="24"/>
          <w:szCs w:val="24"/>
        </w:rPr>
        <w:t xml:space="preserve"> China South Industr</w:t>
      </w:r>
      <w:r w:rsidR="00153407" w:rsidRPr="00575A09">
        <w:rPr>
          <w:rFonts w:ascii="Arial" w:hAnsi="Arial" w:cs="Arial"/>
          <w:sz w:val="24"/>
          <w:szCs w:val="24"/>
        </w:rPr>
        <w:t>y</w:t>
      </w:r>
      <w:r w:rsidRPr="00575A09">
        <w:rPr>
          <w:rFonts w:ascii="Arial" w:hAnsi="Arial" w:cs="Arial"/>
          <w:sz w:val="24"/>
          <w:szCs w:val="24"/>
        </w:rPr>
        <w:t xml:space="preserve"> and Trading CC was cited as the first respondent and Ying Zhang as second respondent and I shall refer to the respondents as they are cited in the notice of appeal.</w:t>
      </w:r>
    </w:p>
    <w:p w:rsidR="00806083" w:rsidRPr="00CB54C2" w:rsidRDefault="00806083" w:rsidP="00A27953">
      <w:pPr>
        <w:pStyle w:val="NoSpacing"/>
        <w:spacing w:line="480" w:lineRule="auto"/>
        <w:jc w:val="both"/>
        <w:rPr>
          <w:rFonts w:ascii="Arial" w:hAnsi="Arial" w:cs="Arial"/>
          <w:sz w:val="24"/>
          <w:szCs w:val="24"/>
        </w:rPr>
      </w:pPr>
    </w:p>
    <w:p w:rsidR="001247AF" w:rsidRDefault="002B6A3A" w:rsidP="00377D31">
      <w:pPr>
        <w:pStyle w:val="NoSpacing"/>
        <w:numPr>
          <w:ilvl w:val="0"/>
          <w:numId w:val="1"/>
        </w:numPr>
        <w:spacing w:line="480" w:lineRule="auto"/>
        <w:ind w:left="0" w:firstLine="0"/>
        <w:jc w:val="both"/>
        <w:rPr>
          <w:rFonts w:ascii="Arial" w:hAnsi="Arial" w:cs="Arial"/>
          <w:sz w:val="24"/>
          <w:szCs w:val="24"/>
        </w:rPr>
      </w:pPr>
      <w:r w:rsidRPr="00CB54C2">
        <w:rPr>
          <w:rFonts w:ascii="Arial" w:hAnsi="Arial" w:cs="Arial"/>
          <w:sz w:val="24"/>
          <w:szCs w:val="24"/>
        </w:rPr>
        <w:t xml:space="preserve">The </w:t>
      </w:r>
      <w:r w:rsidR="0012256A">
        <w:rPr>
          <w:rFonts w:ascii="Arial" w:hAnsi="Arial" w:cs="Arial"/>
          <w:sz w:val="24"/>
          <w:szCs w:val="24"/>
        </w:rPr>
        <w:t>seco</w:t>
      </w:r>
      <w:r w:rsidR="003B7D0A">
        <w:rPr>
          <w:rFonts w:ascii="Arial" w:hAnsi="Arial" w:cs="Arial"/>
          <w:sz w:val="24"/>
          <w:szCs w:val="24"/>
        </w:rPr>
        <w:t>n</w:t>
      </w:r>
      <w:r w:rsidR="0012256A">
        <w:rPr>
          <w:rFonts w:ascii="Arial" w:hAnsi="Arial" w:cs="Arial"/>
          <w:sz w:val="24"/>
          <w:szCs w:val="24"/>
        </w:rPr>
        <w:t>d</w:t>
      </w:r>
      <w:r w:rsidRPr="00CB54C2">
        <w:rPr>
          <w:rFonts w:ascii="Arial" w:hAnsi="Arial" w:cs="Arial"/>
          <w:sz w:val="24"/>
          <w:szCs w:val="24"/>
        </w:rPr>
        <w:t xml:space="preserve"> respondent is the sole member of the </w:t>
      </w:r>
      <w:r w:rsidR="0012256A">
        <w:rPr>
          <w:rFonts w:ascii="Arial" w:hAnsi="Arial" w:cs="Arial"/>
          <w:sz w:val="24"/>
          <w:szCs w:val="24"/>
        </w:rPr>
        <w:t xml:space="preserve">first </w:t>
      </w:r>
      <w:r w:rsidRPr="00CB54C2">
        <w:rPr>
          <w:rFonts w:ascii="Arial" w:hAnsi="Arial" w:cs="Arial"/>
          <w:sz w:val="24"/>
          <w:szCs w:val="24"/>
        </w:rPr>
        <w:t xml:space="preserve">respondent, a close corporation registered in Namibia. The preservation of property order directed that the order and the preservation of property application must </w:t>
      </w:r>
      <w:r w:rsidR="00237AA7" w:rsidRPr="00CB54C2">
        <w:rPr>
          <w:rFonts w:ascii="Arial" w:hAnsi="Arial" w:cs="Arial"/>
          <w:sz w:val="24"/>
          <w:szCs w:val="24"/>
        </w:rPr>
        <w:t xml:space="preserve">personally </w:t>
      </w:r>
      <w:r w:rsidRPr="00CB54C2">
        <w:rPr>
          <w:rFonts w:ascii="Arial" w:hAnsi="Arial" w:cs="Arial"/>
          <w:sz w:val="24"/>
          <w:szCs w:val="24"/>
        </w:rPr>
        <w:t xml:space="preserve">be served on the </w:t>
      </w:r>
      <w:r w:rsidR="0012256A">
        <w:rPr>
          <w:rFonts w:ascii="Arial" w:hAnsi="Arial" w:cs="Arial"/>
          <w:sz w:val="24"/>
          <w:szCs w:val="24"/>
        </w:rPr>
        <w:t>first</w:t>
      </w:r>
      <w:r w:rsidRPr="00CB54C2">
        <w:rPr>
          <w:rFonts w:ascii="Arial" w:hAnsi="Arial" w:cs="Arial"/>
          <w:sz w:val="24"/>
          <w:szCs w:val="24"/>
        </w:rPr>
        <w:t xml:space="preserve"> respondent</w:t>
      </w:r>
      <w:r w:rsidR="00377D31">
        <w:rPr>
          <w:rFonts w:ascii="Arial" w:hAnsi="Arial" w:cs="Arial"/>
          <w:sz w:val="24"/>
          <w:szCs w:val="24"/>
        </w:rPr>
        <w:t xml:space="preserve"> at (the registered addressed) 28 Trist</w:t>
      </w:r>
      <w:r w:rsidRPr="00377D31">
        <w:rPr>
          <w:rFonts w:ascii="Arial" w:hAnsi="Arial" w:cs="Arial"/>
          <w:sz w:val="24"/>
          <w:szCs w:val="24"/>
        </w:rPr>
        <w:t xml:space="preserve"> Street, Ausspannplatz, Windhoek.</w:t>
      </w:r>
      <w:r w:rsidR="00377D31">
        <w:rPr>
          <w:rFonts w:ascii="Arial" w:hAnsi="Arial" w:cs="Arial"/>
          <w:sz w:val="24"/>
          <w:szCs w:val="24"/>
        </w:rPr>
        <w:t xml:space="preserve"> In the event that the appellant was unable to effect personal service of the </w:t>
      </w:r>
      <w:r w:rsidR="00377D31">
        <w:rPr>
          <w:rFonts w:ascii="Arial" w:hAnsi="Arial" w:cs="Arial"/>
          <w:sz w:val="24"/>
          <w:szCs w:val="24"/>
        </w:rPr>
        <w:lastRenderedPageBreak/>
        <w:t xml:space="preserve">preservation order on behalf of the first respondent, the appellant was granted leave to effect service by way of publication of the preservation order in two newspapers. The court </w:t>
      </w:r>
      <w:r w:rsidR="00377D31" w:rsidRPr="00377D31">
        <w:rPr>
          <w:rFonts w:ascii="Arial" w:hAnsi="Arial" w:cs="Arial"/>
          <w:i/>
          <w:sz w:val="24"/>
          <w:szCs w:val="24"/>
        </w:rPr>
        <w:t>a quo</w:t>
      </w:r>
      <w:r w:rsidR="00377D31">
        <w:rPr>
          <w:rFonts w:ascii="Arial" w:hAnsi="Arial" w:cs="Arial"/>
          <w:sz w:val="24"/>
          <w:szCs w:val="24"/>
        </w:rPr>
        <w:t xml:space="preserve"> also ordered publication of its order in the Government Gazette as soon as practicable.</w:t>
      </w:r>
    </w:p>
    <w:p w:rsidR="00806083" w:rsidRDefault="00806083" w:rsidP="00806083">
      <w:pPr>
        <w:pStyle w:val="NoSpacing"/>
        <w:spacing w:line="480" w:lineRule="auto"/>
        <w:jc w:val="both"/>
        <w:rPr>
          <w:rFonts w:ascii="Arial" w:hAnsi="Arial" w:cs="Arial"/>
          <w:sz w:val="24"/>
          <w:szCs w:val="24"/>
        </w:rPr>
      </w:pPr>
    </w:p>
    <w:p w:rsidR="001247AF" w:rsidRPr="00CB54C2" w:rsidRDefault="002B6A3A" w:rsidP="001247AF">
      <w:pPr>
        <w:pStyle w:val="NoSpacing"/>
        <w:numPr>
          <w:ilvl w:val="0"/>
          <w:numId w:val="1"/>
        </w:numPr>
        <w:spacing w:line="480" w:lineRule="auto"/>
        <w:ind w:left="0" w:firstLine="0"/>
        <w:jc w:val="both"/>
        <w:rPr>
          <w:rFonts w:ascii="Arial" w:hAnsi="Arial" w:cs="Arial"/>
          <w:sz w:val="24"/>
          <w:szCs w:val="24"/>
        </w:rPr>
      </w:pPr>
      <w:r w:rsidRPr="00CB54C2">
        <w:rPr>
          <w:rFonts w:ascii="Arial" w:hAnsi="Arial" w:cs="Arial"/>
          <w:sz w:val="24"/>
          <w:szCs w:val="24"/>
        </w:rPr>
        <w:t>On 10 February</w:t>
      </w:r>
      <w:r w:rsidR="00153407">
        <w:rPr>
          <w:rFonts w:ascii="Arial" w:hAnsi="Arial" w:cs="Arial"/>
          <w:sz w:val="24"/>
          <w:szCs w:val="24"/>
        </w:rPr>
        <w:t xml:space="preserve"> 2017</w:t>
      </w:r>
      <w:r w:rsidRPr="00CB54C2">
        <w:rPr>
          <w:rFonts w:ascii="Arial" w:hAnsi="Arial" w:cs="Arial"/>
          <w:sz w:val="24"/>
          <w:szCs w:val="24"/>
        </w:rPr>
        <w:t xml:space="preserve"> the preservation of property order was published in the Government </w:t>
      </w:r>
      <w:r w:rsidR="00DB2BD0" w:rsidRPr="00CB54C2">
        <w:rPr>
          <w:rFonts w:ascii="Arial" w:hAnsi="Arial" w:cs="Arial"/>
          <w:sz w:val="24"/>
          <w:szCs w:val="24"/>
        </w:rPr>
        <w:t xml:space="preserve">Gazette. On 17 February 2017 the </w:t>
      </w:r>
      <w:r w:rsidR="00575A09">
        <w:rPr>
          <w:rFonts w:ascii="Arial" w:hAnsi="Arial" w:cs="Arial"/>
          <w:sz w:val="24"/>
          <w:szCs w:val="24"/>
        </w:rPr>
        <w:t>Deputy-</w:t>
      </w:r>
      <w:r w:rsidR="00153407" w:rsidRPr="00CB54C2">
        <w:rPr>
          <w:rFonts w:ascii="Arial" w:hAnsi="Arial" w:cs="Arial"/>
          <w:sz w:val="24"/>
          <w:szCs w:val="24"/>
        </w:rPr>
        <w:t xml:space="preserve">Sheriff </w:t>
      </w:r>
      <w:r w:rsidR="00DB2BD0" w:rsidRPr="00CB54C2">
        <w:rPr>
          <w:rFonts w:ascii="Arial" w:hAnsi="Arial" w:cs="Arial"/>
          <w:sz w:val="24"/>
          <w:szCs w:val="24"/>
        </w:rPr>
        <w:t xml:space="preserve">issued a return of non-service in respect of the </w:t>
      </w:r>
      <w:r w:rsidR="003B7D0A">
        <w:rPr>
          <w:rFonts w:ascii="Arial" w:hAnsi="Arial" w:cs="Arial"/>
          <w:sz w:val="24"/>
          <w:szCs w:val="24"/>
        </w:rPr>
        <w:t>first</w:t>
      </w:r>
      <w:r w:rsidR="00DB2BD0" w:rsidRPr="00CB54C2">
        <w:rPr>
          <w:rFonts w:ascii="Arial" w:hAnsi="Arial" w:cs="Arial"/>
          <w:sz w:val="24"/>
          <w:szCs w:val="24"/>
        </w:rPr>
        <w:t xml:space="preserve"> respondent</w:t>
      </w:r>
      <w:r w:rsidR="000C10BB" w:rsidRPr="00CB54C2">
        <w:rPr>
          <w:rFonts w:ascii="Arial" w:hAnsi="Arial" w:cs="Arial"/>
          <w:sz w:val="24"/>
          <w:szCs w:val="24"/>
        </w:rPr>
        <w:t>’s</w:t>
      </w:r>
      <w:r w:rsidR="00377D31">
        <w:rPr>
          <w:rFonts w:ascii="Arial" w:hAnsi="Arial" w:cs="Arial"/>
          <w:sz w:val="24"/>
          <w:szCs w:val="24"/>
        </w:rPr>
        <w:t xml:space="preserve"> registered address, indicating that the address is made up of blocks of flats</w:t>
      </w:r>
      <w:r w:rsidR="00806083">
        <w:rPr>
          <w:rFonts w:ascii="Arial" w:hAnsi="Arial" w:cs="Arial"/>
          <w:sz w:val="24"/>
          <w:szCs w:val="24"/>
        </w:rPr>
        <w:t>,</w:t>
      </w:r>
      <w:r w:rsidR="00377D31">
        <w:rPr>
          <w:rFonts w:ascii="Arial" w:hAnsi="Arial" w:cs="Arial"/>
          <w:sz w:val="24"/>
          <w:szCs w:val="24"/>
        </w:rPr>
        <w:t xml:space="preserve"> requesting a unit number.</w:t>
      </w:r>
      <w:r w:rsidR="00DB2BD0" w:rsidRPr="00CB54C2">
        <w:rPr>
          <w:rFonts w:ascii="Arial" w:hAnsi="Arial" w:cs="Arial"/>
          <w:sz w:val="24"/>
          <w:szCs w:val="24"/>
        </w:rPr>
        <w:t xml:space="preserve"> On 24 February 2017 the appellant received a letter (dated 10 February 2017) from </w:t>
      </w:r>
      <w:r w:rsidR="003B7D0A">
        <w:rPr>
          <w:rFonts w:ascii="Arial" w:hAnsi="Arial" w:cs="Arial"/>
          <w:sz w:val="24"/>
          <w:szCs w:val="24"/>
        </w:rPr>
        <w:t>first</w:t>
      </w:r>
      <w:r w:rsidR="00DB2BD0" w:rsidRPr="00CB54C2">
        <w:rPr>
          <w:rFonts w:ascii="Arial" w:hAnsi="Arial" w:cs="Arial"/>
          <w:sz w:val="24"/>
          <w:szCs w:val="24"/>
        </w:rPr>
        <w:t xml:space="preserve"> respondent’s legal practitioners, Sisa Namandje</w:t>
      </w:r>
      <w:r w:rsidR="000C10BB" w:rsidRPr="00CB54C2">
        <w:rPr>
          <w:rFonts w:ascii="Arial" w:hAnsi="Arial" w:cs="Arial"/>
          <w:sz w:val="24"/>
          <w:szCs w:val="24"/>
        </w:rPr>
        <w:t xml:space="preserve"> &amp; Co.</w:t>
      </w:r>
      <w:r w:rsidR="00DB2BD0" w:rsidRPr="00CB54C2">
        <w:rPr>
          <w:rFonts w:ascii="Arial" w:hAnsi="Arial" w:cs="Arial"/>
          <w:sz w:val="24"/>
          <w:szCs w:val="24"/>
        </w:rPr>
        <w:t xml:space="preserve"> Incorporated, informing </w:t>
      </w:r>
      <w:r w:rsidR="00CB54C2">
        <w:rPr>
          <w:rFonts w:ascii="Arial" w:hAnsi="Arial" w:cs="Arial"/>
          <w:sz w:val="24"/>
          <w:szCs w:val="24"/>
        </w:rPr>
        <w:t>her</w:t>
      </w:r>
      <w:r w:rsidR="00DB2BD0" w:rsidRPr="00CB54C2">
        <w:rPr>
          <w:rFonts w:ascii="Arial" w:hAnsi="Arial" w:cs="Arial"/>
          <w:sz w:val="24"/>
          <w:szCs w:val="24"/>
        </w:rPr>
        <w:t xml:space="preserve"> that they were acting on behalf of the </w:t>
      </w:r>
      <w:r w:rsidR="003B7D0A">
        <w:rPr>
          <w:rFonts w:ascii="Arial" w:hAnsi="Arial" w:cs="Arial"/>
          <w:sz w:val="24"/>
          <w:szCs w:val="24"/>
        </w:rPr>
        <w:t>first</w:t>
      </w:r>
      <w:r w:rsidR="00DB2BD0" w:rsidRPr="00CB54C2">
        <w:rPr>
          <w:rFonts w:ascii="Arial" w:hAnsi="Arial" w:cs="Arial"/>
          <w:sz w:val="24"/>
          <w:szCs w:val="24"/>
        </w:rPr>
        <w:t xml:space="preserve"> respondent and requested a copy of the application for a preservation of property order as well as the </w:t>
      </w:r>
      <w:r w:rsidR="00575A09">
        <w:rPr>
          <w:rFonts w:ascii="Arial" w:hAnsi="Arial" w:cs="Arial"/>
          <w:sz w:val="24"/>
          <w:szCs w:val="24"/>
        </w:rPr>
        <w:t xml:space="preserve">court </w:t>
      </w:r>
      <w:r w:rsidR="00DB2BD0" w:rsidRPr="00CB54C2">
        <w:rPr>
          <w:rFonts w:ascii="Arial" w:hAnsi="Arial" w:cs="Arial"/>
          <w:sz w:val="24"/>
          <w:szCs w:val="24"/>
        </w:rPr>
        <w:t xml:space="preserve">order. </w:t>
      </w:r>
    </w:p>
    <w:p w:rsidR="001247AF" w:rsidRPr="00CB54C2" w:rsidRDefault="001247AF" w:rsidP="001247AF">
      <w:pPr>
        <w:pStyle w:val="NoSpacing"/>
        <w:spacing w:line="480" w:lineRule="auto"/>
        <w:jc w:val="both"/>
        <w:rPr>
          <w:rFonts w:ascii="Arial" w:hAnsi="Arial" w:cs="Arial"/>
          <w:sz w:val="24"/>
          <w:szCs w:val="24"/>
        </w:rPr>
      </w:pPr>
    </w:p>
    <w:p w:rsidR="001247AF" w:rsidRPr="00CB54C2" w:rsidRDefault="00DB2BD0" w:rsidP="001247AF">
      <w:pPr>
        <w:pStyle w:val="NoSpacing"/>
        <w:numPr>
          <w:ilvl w:val="0"/>
          <w:numId w:val="1"/>
        </w:numPr>
        <w:spacing w:line="480" w:lineRule="auto"/>
        <w:ind w:left="0" w:firstLine="0"/>
        <w:jc w:val="both"/>
        <w:rPr>
          <w:rFonts w:ascii="Arial" w:hAnsi="Arial" w:cs="Arial"/>
          <w:sz w:val="24"/>
          <w:szCs w:val="24"/>
        </w:rPr>
      </w:pPr>
      <w:r w:rsidRPr="00CB54C2">
        <w:rPr>
          <w:rFonts w:ascii="Arial" w:hAnsi="Arial" w:cs="Arial"/>
          <w:sz w:val="24"/>
          <w:szCs w:val="24"/>
        </w:rPr>
        <w:t xml:space="preserve">On </w:t>
      </w:r>
      <w:r w:rsidR="000C10BB" w:rsidRPr="00CB54C2">
        <w:rPr>
          <w:rFonts w:ascii="Arial" w:hAnsi="Arial" w:cs="Arial"/>
          <w:sz w:val="24"/>
          <w:szCs w:val="24"/>
        </w:rPr>
        <w:t xml:space="preserve">3 </w:t>
      </w:r>
      <w:r w:rsidRPr="00CB54C2">
        <w:rPr>
          <w:rFonts w:ascii="Arial" w:hAnsi="Arial" w:cs="Arial"/>
          <w:sz w:val="24"/>
          <w:szCs w:val="24"/>
        </w:rPr>
        <w:t xml:space="preserve">March 2017 the appellant through its legal representative responded to aforementioned letter dated 10 February 2017, indicating that service could not be effected on </w:t>
      </w:r>
      <w:r w:rsidR="00AB4E1F">
        <w:rPr>
          <w:rFonts w:ascii="Arial" w:hAnsi="Arial" w:cs="Arial"/>
          <w:sz w:val="24"/>
          <w:szCs w:val="24"/>
        </w:rPr>
        <w:t>first</w:t>
      </w:r>
      <w:r w:rsidRPr="00CB54C2">
        <w:rPr>
          <w:rFonts w:ascii="Arial" w:hAnsi="Arial" w:cs="Arial"/>
          <w:sz w:val="24"/>
          <w:szCs w:val="24"/>
        </w:rPr>
        <w:t xml:space="preserve"> respondent’s registered address and whether or not service of the application and order at the legal practitioner’s office would constitute service on </w:t>
      </w:r>
      <w:r w:rsidR="00377D31">
        <w:rPr>
          <w:rFonts w:ascii="Arial" w:hAnsi="Arial" w:cs="Arial"/>
          <w:sz w:val="24"/>
          <w:szCs w:val="24"/>
        </w:rPr>
        <w:t>first</w:t>
      </w:r>
      <w:r w:rsidRPr="00CB54C2">
        <w:rPr>
          <w:rFonts w:ascii="Arial" w:hAnsi="Arial" w:cs="Arial"/>
          <w:sz w:val="24"/>
          <w:szCs w:val="24"/>
        </w:rPr>
        <w:t xml:space="preserve"> respondent.</w:t>
      </w:r>
    </w:p>
    <w:p w:rsidR="001247AF" w:rsidRPr="00CB54C2" w:rsidRDefault="001247AF" w:rsidP="001247AF">
      <w:pPr>
        <w:pStyle w:val="NoSpacing"/>
        <w:spacing w:line="480" w:lineRule="auto"/>
        <w:jc w:val="both"/>
        <w:rPr>
          <w:rFonts w:ascii="Arial" w:hAnsi="Arial" w:cs="Arial"/>
          <w:sz w:val="24"/>
          <w:szCs w:val="24"/>
        </w:rPr>
      </w:pPr>
    </w:p>
    <w:p w:rsidR="001247AF" w:rsidRPr="00CB54C2" w:rsidRDefault="00CB54C2" w:rsidP="001247A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appears that since </w:t>
      </w:r>
      <w:r w:rsidR="00F45287" w:rsidRPr="00CB54C2">
        <w:rPr>
          <w:rFonts w:ascii="Arial" w:hAnsi="Arial" w:cs="Arial"/>
          <w:sz w:val="24"/>
          <w:szCs w:val="24"/>
        </w:rPr>
        <w:t xml:space="preserve">the particulars of </w:t>
      </w:r>
      <w:r w:rsidR="00AB4E1F">
        <w:rPr>
          <w:rFonts w:ascii="Arial" w:hAnsi="Arial" w:cs="Arial"/>
          <w:sz w:val="24"/>
          <w:szCs w:val="24"/>
        </w:rPr>
        <w:t>first</w:t>
      </w:r>
      <w:r w:rsidR="00F45287" w:rsidRPr="00CB54C2">
        <w:rPr>
          <w:rFonts w:ascii="Arial" w:hAnsi="Arial" w:cs="Arial"/>
          <w:sz w:val="24"/>
          <w:szCs w:val="24"/>
        </w:rPr>
        <w:t xml:space="preserve"> respondent’s address were not known at the time</w:t>
      </w:r>
      <w:r w:rsidR="00AB4E1F">
        <w:rPr>
          <w:rFonts w:ascii="Arial" w:hAnsi="Arial" w:cs="Arial"/>
          <w:sz w:val="24"/>
          <w:szCs w:val="24"/>
        </w:rPr>
        <w:t>,</w:t>
      </w:r>
      <w:r w:rsidR="00F45287" w:rsidRPr="00CB54C2">
        <w:rPr>
          <w:rFonts w:ascii="Arial" w:hAnsi="Arial" w:cs="Arial"/>
          <w:sz w:val="24"/>
          <w:szCs w:val="24"/>
        </w:rPr>
        <w:t xml:space="preserve"> the preservation of property order was forwarded to two newspapers and the order was subsequently published on 7 March 2017.</w:t>
      </w:r>
    </w:p>
    <w:p w:rsidR="001247AF" w:rsidRPr="00CB54C2" w:rsidRDefault="001247AF" w:rsidP="001247AF">
      <w:pPr>
        <w:pStyle w:val="NoSpacing"/>
        <w:spacing w:line="480" w:lineRule="auto"/>
        <w:jc w:val="both"/>
        <w:rPr>
          <w:rFonts w:ascii="Arial" w:hAnsi="Arial" w:cs="Arial"/>
          <w:sz w:val="24"/>
          <w:szCs w:val="24"/>
        </w:rPr>
      </w:pPr>
    </w:p>
    <w:p w:rsidR="001247AF" w:rsidRPr="00CB54C2" w:rsidRDefault="00F45287" w:rsidP="001247AF">
      <w:pPr>
        <w:pStyle w:val="NoSpacing"/>
        <w:numPr>
          <w:ilvl w:val="0"/>
          <w:numId w:val="1"/>
        </w:numPr>
        <w:spacing w:line="480" w:lineRule="auto"/>
        <w:ind w:left="0" w:firstLine="0"/>
        <w:jc w:val="both"/>
        <w:rPr>
          <w:rFonts w:ascii="Arial" w:hAnsi="Arial" w:cs="Arial"/>
          <w:sz w:val="24"/>
          <w:szCs w:val="24"/>
        </w:rPr>
      </w:pPr>
      <w:r w:rsidRPr="00CB54C2">
        <w:rPr>
          <w:rFonts w:ascii="Arial" w:hAnsi="Arial" w:cs="Arial"/>
          <w:sz w:val="24"/>
          <w:szCs w:val="24"/>
        </w:rPr>
        <w:lastRenderedPageBreak/>
        <w:t xml:space="preserve">On 22 March 2017 </w:t>
      </w:r>
      <w:r w:rsidR="00AB4E1F">
        <w:rPr>
          <w:rFonts w:ascii="Arial" w:hAnsi="Arial" w:cs="Arial"/>
          <w:sz w:val="24"/>
          <w:szCs w:val="24"/>
        </w:rPr>
        <w:t>first</w:t>
      </w:r>
      <w:r w:rsidRPr="00CB54C2">
        <w:rPr>
          <w:rFonts w:ascii="Arial" w:hAnsi="Arial" w:cs="Arial"/>
          <w:sz w:val="24"/>
          <w:szCs w:val="24"/>
        </w:rPr>
        <w:t xml:space="preserve"> respondent instructed its legal practitioner to inform the appellant that the legal practitioner’s office could be served with the preservation application and on 2</w:t>
      </w:r>
      <w:r w:rsidR="00CB54C2">
        <w:rPr>
          <w:rFonts w:ascii="Arial" w:hAnsi="Arial" w:cs="Arial"/>
          <w:sz w:val="24"/>
          <w:szCs w:val="24"/>
        </w:rPr>
        <w:t>3</w:t>
      </w:r>
      <w:r w:rsidRPr="00CB54C2">
        <w:rPr>
          <w:rFonts w:ascii="Arial" w:hAnsi="Arial" w:cs="Arial"/>
          <w:sz w:val="24"/>
          <w:szCs w:val="24"/>
        </w:rPr>
        <w:t xml:space="preserve"> March 2017 the application for </w:t>
      </w:r>
      <w:r w:rsidR="00575A09">
        <w:rPr>
          <w:rFonts w:ascii="Arial" w:hAnsi="Arial" w:cs="Arial"/>
          <w:sz w:val="24"/>
          <w:szCs w:val="24"/>
        </w:rPr>
        <w:t xml:space="preserve">the </w:t>
      </w:r>
      <w:r w:rsidRPr="00CB54C2">
        <w:rPr>
          <w:rFonts w:ascii="Arial" w:hAnsi="Arial" w:cs="Arial"/>
          <w:sz w:val="24"/>
          <w:szCs w:val="24"/>
        </w:rPr>
        <w:t xml:space="preserve">preservation order and the order </w:t>
      </w:r>
      <w:r w:rsidR="00575A09">
        <w:rPr>
          <w:rFonts w:ascii="Arial" w:hAnsi="Arial" w:cs="Arial"/>
          <w:sz w:val="24"/>
          <w:szCs w:val="24"/>
        </w:rPr>
        <w:t xml:space="preserve">itself </w:t>
      </w:r>
      <w:r w:rsidRPr="00CB54C2">
        <w:rPr>
          <w:rFonts w:ascii="Arial" w:hAnsi="Arial" w:cs="Arial"/>
          <w:sz w:val="24"/>
          <w:szCs w:val="24"/>
        </w:rPr>
        <w:t xml:space="preserve">was served on the </w:t>
      </w:r>
      <w:r w:rsidR="00AB4E1F">
        <w:rPr>
          <w:rFonts w:ascii="Arial" w:hAnsi="Arial" w:cs="Arial"/>
          <w:sz w:val="24"/>
          <w:szCs w:val="24"/>
        </w:rPr>
        <w:t>first</w:t>
      </w:r>
      <w:r w:rsidRPr="00CB54C2">
        <w:rPr>
          <w:rFonts w:ascii="Arial" w:hAnsi="Arial" w:cs="Arial"/>
          <w:sz w:val="24"/>
          <w:szCs w:val="24"/>
        </w:rPr>
        <w:t xml:space="preserve"> respondent’s legal practitioner.</w:t>
      </w:r>
    </w:p>
    <w:p w:rsidR="001247AF" w:rsidRPr="00CB54C2" w:rsidRDefault="001247AF" w:rsidP="001247AF">
      <w:pPr>
        <w:pStyle w:val="NoSpacing"/>
        <w:spacing w:line="480" w:lineRule="auto"/>
        <w:jc w:val="both"/>
        <w:rPr>
          <w:rFonts w:ascii="Arial" w:hAnsi="Arial" w:cs="Arial"/>
          <w:sz w:val="24"/>
          <w:szCs w:val="24"/>
        </w:rPr>
      </w:pPr>
    </w:p>
    <w:p w:rsidR="001247AF" w:rsidRPr="00CB54C2" w:rsidRDefault="00F45287" w:rsidP="001247AF">
      <w:pPr>
        <w:pStyle w:val="NoSpacing"/>
        <w:numPr>
          <w:ilvl w:val="0"/>
          <w:numId w:val="1"/>
        </w:numPr>
        <w:spacing w:line="480" w:lineRule="auto"/>
        <w:ind w:left="0" w:firstLine="0"/>
        <w:jc w:val="both"/>
        <w:rPr>
          <w:rFonts w:ascii="Arial" w:hAnsi="Arial" w:cs="Arial"/>
          <w:sz w:val="24"/>
          <w:szCs w:val="24"/>
        </w:rPr>
      </w:pPr>
      <w:r w:rsidRPr="00CB54C2">
        <w:rPr>
          <w:rFonts w:ascii="Arial" w:hAnsi="Arial" w:cs="Arial"/>
          <w:sz w:val="24"/>
          <w:szCs w:val="24"/>
        </w:rPr>
        <w:t xml:space="preserve">On 12 April 2017 the </w:t>
      </w:r>
      <w:r w:rsidR="00AB4E1F">
        <w:rPr>
          <w:rFonts w:ascii="Arial" w:hAnsi="Arial" w:cs="Arial"/>
          <w:sz w:val="24"/>
          <w:szCs w:val="24"/>
        </w:rPr>
        <w:t>first</w:t>
      </w:r>
      <w:r w:rsidRPr="00CB54C2">
        <w:rPr>
          <w:rFonts w:ascii="Arial" w:hAnsi="Arial" w:cs="Arial"/>
          <w:sz w:val="24"/>
          <w:szCs w:val="24"/>
        </w:rPr>
        <w:t xml:space="preserve"> respondent filed a notice of its intention to oppose the making of a forfeiture order together with an affidavit in terms of s 52(5) of </w:t>
      </w:r>
      <w:r w:rsidR="00377D31">
        <w:rPr>
          <w:rFonts w:ascii="Arial" w:hAnsi="Arial" w:cs="Arial"/>
          <w:sz w:val="24"/>
          <w:szCs w:val="24"/>
        </w:rPr>
        <w:t>the Act</w:t>
      </w:r>
      <w:r w:rsidRPr="00CB54C2">
        <w:rPr>
          <w:rFonts w:ascii="Arial" w:hAnsi="Arial" w:cs="Arial"/>
          <w:sz w:val="24"/>
          <w:szCs w:val="24"/>
        </w:rPr>
        <w:t xml:space="preserve">. On 9 June 2017 the appellant applied in the High Court, in terms of s </w:t>
      </w:r>
      <w:r w:rsidR="00806083">
        <w:rPr>
          <w:rFonts w:ascii="Arial" w:hAnsi="Arial" w:cs="Arial"/>
          <w:sz w:val="24"/>
          <w:szCs w:val="24"/>
        </w:rPr>
        <w:t xml:space="preserve">59(1) </w:t>
      </w:r>
      <w:r w:rsidRPr="00CB54C2">
        <w:rPr>
          <w:rFonts w:ascii="Arial" w:hAnsi="Arial" w:cs="Arial"/>
          <w:sz w:val="24"/>
          <w:szCs w:val="24"/>
        </w:rPr>
        <w:t xml:space="preserve">of </w:t>
      </w:r>
      <w:r w:rsidR="00377D31">
        <w:rPr>
          <w:rFonts w:ascii="Arial" w:hAnsi="Arial" w:cs="Arial"/>
          <w:sz w:val="24"/>
          <w:szCs w:val="24"/>
        </w:rPr>
        <w:t>the Act</w:t>
      </w:r>
      <w:r w:rsidRPr="00CB54C2">
        <w:rPr>
          <w:rFonts w:ascii="Arial" w:hAnsi="Arial" w:cs="Arial"/>
          <w:sz w:val="24"/>
          <w:szCs w:val="24"/>
        </w:rPr>
        <w:t xml:space="preserve"> for a forfeiture of property order. In this application the appellant in her founding affidavit </w:t>
      </w:r>
      <w:r w:rsidRPr="00CB54C2">
        <w:rPr>
          <w:rFonts w:ascii="Arial" w:hAnsi="Arial" w:cs="Arial"/>
          <w:i/>
          <w:sz w:val="24"/>
          <w:szCs w:val="24"/>
        </w:rPr>
        <w:t>inter alia</w:t>
      </w:r>
      <w:r w:rsidRPr="00CB54C2">
        <w:rPr>
          <w:rFonts w:ascii="Arial" w:hAnsi="Arial" w:cs="Arial"/>
          <w:sz w:val="24"/>
          <w:szCs w:val="24"/>
        </w:rPr>
        <w:t>, stated that:</w:t>
      </w:r>
    </w:p>
    <w:p w:rsidR="001247AF" w:rsidRPr="00CB54C2" w:rsidRDefault="00F45287" w:rsidP="00CB28F4">
      <w:pPr>
        <w:pStyle w:val="NoSpacing"/>
        <w:spacing w:line="480" w:lineRule="auto"/>
        <w:jc w:val="both"/>
        <w:rPr>
          <w:rFonts w:ascii="Arial" w:hAnsi="Arial" w:cs="Arial"/>
          <w:sz w:val="24"/>
          <w:szCs w:val="24"/>
        </w:rPr>
      </w:pPr>
      <w:r w:rsidRPr="00CB54C2">
        <w:rPr>
          <w:rFonts w:ascii="Arial" w:hAnsi="Arial" w:cs="Arial"/>
          <w:sz w:val="24"/>
          <w:szCs w:val="24"/>
        </w:rPr>
        <w:tab/>
      </w:r>
    </w:p>
    <w:p w:rsidR="00F45287" w:rsidRPr="00CB54C2" w:rsidRDefault="00F45287" w:rsidP="00F45287">
      <w:pPr>
        <w:pStyle w:val="NoSpacing"/>
        <w:numPr>
          <w:ilvl w:val="0"/>
          <w:numId w:val="2"/>
        </w:numPr>
        <w:spacing w:line="480" w:lineRule="auto"/>
        <w:ind w:hanging="589"/>
        <w:jc w:val="both"/>
        <w:rPr>
          <w:rFonts w:ascii="Arial" w:hAnsi="Arial" w:cs="Arial"/>
          <w:sz w:val="24"/>
          <w:szCs w:val="24"/>
        </w:rPr>
      </w:pPr>
      <w:r w:rsidRPr="00CB54C2">
        <w:rPr>
          <w:rFonts w:ascii="Arial" w:hAnsi="Arial" w:cs="Arial"/>
          <w:sz w:val="24"/>
          <w:szCs w:val="24"/>
        </w:rPr>
        <w:t xml:space="preserve">The preservation </w:t>
      </w:r>
      <w:r w:rsidR="004200F8" w:rsidRPr="00CB54C2">
        <w:rPr>
          <w:rFonts w:ascii="Arial" w:hAnsi="Arial" w:cs="Arial"/>
          <w:sz w:val="24"/>
          <w:szCs w:val="24"/>
        </w:rPr>
        <w:t>order was served by publication</w:t>
      </w:r>
      <w:r w:rsidRPr="00CB54C2">
        <w:rPr>
          <w:rFonts w:ascii="Arial" w:hAnsi="Arial" w:cs="Arial"/>
          <w:sz w:val="24"/>
          <w:szCs w:val="24"/>
        </w:rPr>
        <w:t xml:space="preserve"> in two newspapers on 7 March </w:t>
      </w:r>
      <w:r w:rsidR="004200F8" w:rsidRPr="00CB54C2">
        <w:rPr>
          <w:rFonts w:ascii="Arial" w:hAnsi="Arial" w:cs="Arial"/>
          <w:sz w:val="24"/>
          <w:szCs w:val="24"/>
        </w:rPr>
        <w:t>2017 and by serving a copy on the legal practitioners on 23 March 2017.</w:t>
      </w:r>
    </w:p>
    <w:p w:rsidR="004200F8" w:rsidRPr="00CB54C2" w:rsidRDefault="004200F8" w:rsidP="00F45287">
      <w:pPr>
        <w:pStyle w:val="NoSpacing"/>
        <w:numPr>
          <w:ilvl w:val="0"/>
          <w:numId w:val="2"/>
        </w:numPr>
        <w:spacing w:line="480" w:lineRule="auto"/>
        <w:ind w:hanging="589"/>
        <w:jc w:val="both"/>
        <w:rPr>
          <w:rFonts w:ascii="Arial" w:hAnsi="Arial" w:cs="Arial"/>
          <w:sz w:val="24"/>
          <w:szCs w:val="24"/>
        </w:rPr>
      </w:pPr>
      <w:r w:rsidRPr="00CB54C2">
        <w:rPr>
          <w:rFonts w:ascii="Arial" w:hAnsi="Arial" w:cs="Arial"/>
          <w:sz w:val="24"/>
          <w:szCs w:val="24"/>
        </w:rPr>
        <w:t xml:space="preserve">The s 52(3) notice of </w:t>
      </w:r>
      <w:r w:rsidR="00377D31">
        <w:rPr>
          <w:rFonts w:ascii="Arial" w:hAnsi="Arial" w:cs="Arial"/>
          <w:sz w:val="24"/>
          <w:szCs w:val="24"/>
        </w:rPr>
        <w:t>the Act</w:t>
      </w:r>
      <w:r w:rsidRPr="00CB54C2">
        <w:rPr>
          <w:rFonts w:ascii="Arial" w:hAnsi="Arial" w:cs="Arial"/>
          <w:sz w:val="24"/>
          <w:szCs w:val="24"/>
        </w:rPr>
        <w:t xml:space="preserve"> delivered by the </w:t>
      </w:r>
      <w:r w:rsidR="00AB4E1F">
        <w:rPr>
          <w:rFonts w:ascii="Arial" w:hAnsi="Arial" w:cs="Arial"/>
          <w:sz w:val="24"/>
          <w:szCs w:val="24"/>
        </w:rPr>
        <w:t>first</w:t>
      </w:r>
      <w:r w:rsidRPr="00CB54C2">
        <w:rPr>
          <w:rFonts w:ascii="Arial" w:hAnsi="Arial" w:cs="Arial"/>
          <w:sz w:val="24"/>
          <w:szCs w:val="24"/>
        </w:rPr>
        <w:t xml:space="preserve"> respondent did not appoint an address where it will accept service of further proceedings as required by s 52(5) of </w:t>
      </w:r>
      <w:r w:rsidR="00377D31">
        <w:rPr>
          <w:rFonts w:ascii="Arial" w:hAnsi="Arial" w:cs="Arial"/>
          <w:sz w:val="24"/>
          <w:szCs w:val="24"/>
        </w:rPr>
        <w:t>the Act.</w:t>
      </w:r>
    </w:p>
    <w:p w:rsidR="004200F8" w:rsidRPr="00CB54C2" w:rsidRDefault="004200F8" w:rsidP="00F45287">
      <w:pPr>
        <w:pStyle w:val="NoSpacing"/>
        <w:numPr>
          <w:ilvl w:val="0"/>
          <w:numId w:val="2"/>
        </w:numPr>
        <w:spacing w:line="480" w:lineRule="auto"/>
        <w:ind w:hanging="589"/>
        <w:jc w:val="both"/>
        <w:rPr>
          <w:rFonts w:ascii="Arial" w:hAnsi="Arial" w:cs="Arial"/>
          <w:sz w:val="24"/>
          <w:szCs w:val="24"/>
        </w:rPr>
      </w:pPr>
      <w:r w:rsidRPr="00CB54C2">
        <w:rPr>
          <w:rFonts w:ascii="Arial" w:hAnsi="Arial" w:cs="Arial"/>
          <w:sz w:val="24"/>
          <w:szCs w:val="24"/>
        </w:rPr>
        <w:t xml:space="preserve">The only member of the </w:t>
      </w:r>
      <w:r w:rsidR="00AB4E1F">
        <w:rPr>
          <w:rFonts w:ascii="Arial" w:hAnsi="Arial" w:cs="Arial"/>
          <w:sz w:val="24"/>
          <w:szCs w:val="24"/>
        </w:rPr>
        <w:t>first</w:t>
      </w:r>
      <w:r w:rsidRPr="00CB54C2">
        <w:rPr>
          <w:rFonts w:ascii="Arial" w:hAnsi="Arial" w:cs="Arial"/>
          <w:sz w:val="24"/>
          <w:szCs w:val="24"/>
        </w:rPr>
        <w:t xml:space="preserve"> respondent, namely the </w:t>
      </w:r>
      <w:r w:rsidR="00AB4E1F">
        <w:rPr>
          <w:rFonts w:ascii="Arial" w:hAnsi="Arial" w:cs="Arial"/>
          <w:sz w:val="24"/>
          <w:szCs w:val="24"/>
        </w:rPr>
        <w:t>second</w:t>
      </w:r>
      <w:r w:rsidRPr="00CB54C2">
        <w:rPr>
          <w:rFonts w:ascii="Arial" w:hAnsi="Arial" w:cs="Arial"/>
          <w:sz w:val="24"/>
          <w:szCs w:val="24"/>
        </w:rPr>
        <w:t xml:space="preserve"> respondent has </w:t>
      </w:r>
      <w:r w:rsidR="000C10BB" w:rsidRPr="00CB54C2">
        <w:rPr>
          <w:rFonts w:ascii="Arial" w:hAnsi="Arial" w:cs="Arial"/>
          <w:sz w:val="24"/>
          <w:szCs w:val="24"/>
        </w:rPr>
        <w:t>an</w:t>
      </w:r>
      <w:r w:rsidRPr="00CB54C2">
        <w:rPr>
          <w:rFonts w:ascii="Arial" w:hAnsi="Arial" w:cs="Arial"/>
          <w:sz w:val="24"/>
          <w:szCs w:val="24"/>
        </w:rPr>
        <w:t xml:space="preserve"> unexecuted warrant </w:t>
      </w:r>
      <w:r w:rsidR="004A76AC" w:rsidRPr="00CB54C2">
        <w:rPr>
          <w:rFonts w:ascii="Arial" w:hAnsi="Arial" w:cs="Arial"/>
          <w:sz w:val="24"/>
          <w:szCs w:val="24"/>
        </w:rPr>
        <w:t>of arrest in relation to a case investigated by the Namibian Police which forms part of the subject matter of the investigation in support of the forfeiture proceedings.</w:t>
      </w:r>
    </w:p>
    <w:p w:rsidR="004A76AC" w:rsidRPr="00CB54C2" w:rsidRDefault="004A76AC" w:rsidP="00F45287">
      <w:pPr>
        <w:pStyle w:val="NoSpacing"/>
        <w:numPr>
          <w:ilvl w:val="0"/>
          <w:numId w:val="2"/>
        </w:numPr>
        <w:spacing w:line="480" w:lineRule="auto"/>
        <w:ind w:hanging="589"/>
        <w:jc w:val="both"/>
        <w:rPr>
          <w:rFonts w:ascii="Arial" w:hAnsi="Arial" w:cs="Arial"/>
          <w:sz w:val="24"/>
          <w:szCs w:val="24"/>
        </w:rPr>
      </w:pPr>
      <w:r w:rsidRPr="00CB54C2">
        <w:rPr>
          <w:rFonts w:ascii="Arial" w:hAnsi="Arial" w:cs="Arial"/>
          <w:sz w:val="24"/>
          <w:szCs w:val="24"/>
        </w:rPr>
        <w:t xml:space="preserve">The </w:t>
      </w:r>
      <w:r w:rsidR="00AB4E1F">
        <w:rPr>
          <w:rFonts w:ascii="Arial" w:hAnsi="Arial" w:cs="Arial"/>
          <w:sz w:val="24"/>
          <w:szCs w:val="24"/>
        </w:rPr>
        <w:t>first</w:t>
      </w:r>
      <w:r w:rsidRPr="00CB54C2">
        <w:rPr>
          <w:rFonts w:ascii="Arial" w:hAnsi="Arial" w:cs="Arial"/>
          <w:sz w:val="24"/>
          <w:szCs w:val="24"/>
        </w:rPr>
        <w:t xml:space="preserve"> respondent is precluded, in terms of s 99 of </w:t>
      </w:r>
      <w:r w:rsidR="00377D31">
        <w:rPr>
          <w:rFonts w:ascii="Arial" w:hAnsi="Arial" w:cs="Arial"/>
          <w:sz w:val="24"/>
          <w:szCs w:val="24"/>
        </w:rPr>
        <w:t>the Act</w:t>
      </w:r>
      <w:r w:rsidRPr="00CB54C2">
        <w:rPr>
          <w:rFonts w:ascii="Arial" w:hAnsi="Arial" w:cs="Arial"/>
          <w:sz w:val="24"/>
          <w:szCs w:val="24"/>
        </w:rPr>
        <w:t xml:space="preserve">, from participating in the forfeiture proceedings. </w:t>
      </w:r>
    </w:p>
    <w:p w:rsidR="00F45287" w:rsidRPr="00CB54C2" w:rsidRDefault="00F45287" w:rsidP="00CB28F4">
      <w:pPr>
        <w:pStyle w:val="NoSpacing"/>
        <w:spacing w:line="480" w:lineRule="auto"/>
        <w:jc w:val="both"/>
        <w:rPr>
          <w:rFonts w:ascii="Arial" w:hAnsi="Arial" w:cs="Arial"/>
          <w:sz w:val="24"/>
          <w:szCs w:val="24"/>
        </w:rPr>
      </w:pPr>
    </w:p>
    <w:p w:rsidR="001247AF" w:rsidRPr="00CB54C2" w:rsidRDefault="004A76AC" w:rsidP="001247AF">
      <w:pPr>
        <w:pStyle w:val="NoSpacing"/>
        <w:numPr>
          <w:ilvl w:val="0"/>
          <w:numId w:val="1"/>
        </w:numPr>
        <w:spacing w:line="480" w:lineRule="auto"/>
        <w:ind w:left="0" w:firstLine="0"/>
        <w:jc w:val="both"/>
        <w:rPr>
          <w:rFonts w:ascii="Arial" w:hAnsi="Arial" w:cs="Arial"/>
          <w:sz w:val="24"/>
          <w:szCs w:val="24"/>
        </w:rPr>
      </w:pPr>
      <w:r w:rsidRPr="00CB54C2">
        <w:rPr>
          <w:rFonts w:ascii="Arial" w:hAnsi="Arial" w:cs="Arial"/>
          <w:sz w:val="24"/>
          <w:szCs w:val="24"/>
        </w:rPr>
        <w:lastRenderedPageBreak/>
        <w:t xml:space="preserve">On 9 June </w:t>
      </w:r>
      <w:r w:rsidR="00377D31">
        <w:rPr>
          <w:rFonts w:ascii="Arial" w:hAnsi="Arial" w:cs="Arial"/>
          <w:sz w:val="24"/>
          <w:szCs w:val="24"/>
        </w:rPr>
        <w:t xml:space="preserve">2017 </w:t>
      </w:r>
      <w:r w:rsidR="00CB54C2">
        <w:rPr>
          <w:rFonts w:ascii="Arial" w:hAnsi="Arial" w:cs="Arial"/>
          <w:sz w:val="24"/>
          <w:szCs w:val="24"/>
        </w:rPr>
        <w:t>t</w:t>
      </w:r>
      <w:r w:rsidRPr="00CB54C2">
        <w:rPr>
          <w:rFonts w:ascii="Arial" w:hAnsi="Arial" w:cs="Arial"/>
          <w:sz w:val="24"/>
          <w:szCs w:val="24"/>
        </w:rPr>
        <w:t xml:space="preserve">he </w:t>
      </w:r>
      <w:r w:rsidR="00AB4E1F">
        <w:rPr>
          <w:rFonts w:ascii="Arial" w:hAnsi="Arial" w:cs="Arial"/>
          <w:sz w:val="24"/>
          <w:szCs w:val="24"/>
        </w:rPr>
        <w:t>first</w:t>
      </w:r>
      <w:r w:rsidRPr="00CB54C2">
        <w:rPr>
          <w:rFonts w:ascii="Arial" w:hAnsi="Arial" w:cs="Arial"/>
          <w:sz w:val="24"/>
          <w:szCs w:val="24"/>
        </w:rPr>
        <w:t xml:space="preserve"> respondent was notified by service on its legal practitioner, thro</w:t>
      </w:r>
      <w:r w:rsidR="00CB54C2">
        <w:rPr>
          <w:rFonts w:ascii="Arial" w:hAnsi="Arial" w:cs="Arial"/>
          <w:sz w:val="24"/>
          <w:szCs w:val="24"/>
        </w:rPr>
        <w:t>ugh the Law Society of Namibia of the application for a forfeiture of property order.</w:t>
      </w:r>
    </w:p>
    <w:p w:rsidR="001247AF" w:rsidRPr="00CB54C2" w:rsidRDefault="001247AF" w:rsidP="001247AF">
      <w:pPr>
        <w:pStyle w:val="NoSpacing"/>
        <w:spacing w:line="480" w:lineRule="auto"/>
        <w:jc w:val="both"/>
        <w:rPr>
          <w:rFonts w:ascii="Arial" w:hAnsi="Arial" w:cs="Arial"/>
          <w:sz w:val="24"/>
          <w:szCs w:val="24"/>
        </w:rPr>
      </w:pPr>
    </w:p>
    <w:p w:rsidR="001247AF" w:rsidRDefault="004A76AC" w:rsidP="001247AF">
      <w:pPr>
        <w:pStyle w:val="NoSpacing"/>
        <w:numPr>
          <w:ilvl w:val="0"/>
          <w:numId w:val="1"/>
        </w:numPr>
        <w:spacing w:line="480" w:lineRule="auto"/>
        <w:ind w:left="0" w:firstLine="0"/>
        <w:jc w:val="both"/>
        <w:rPr>
          <w:rFonts w:ascii="Arial" w:hAnsi="Arial" w:cs="Arial"/>
          <w:sz w:val="24"/>
          <w:szCs w:val="24"/>
        </w:rPr>
      </w:pPr>
      <w:r w:rsidRPr="00CB54C2">
        <w:rPr>
          <w:rFonts w:ascii="Arial" w:hAnsi="Arial" w:cs="Arial"/>
          <w:sz w:val="24"/>
          <w:szCs w:val="24"/>
        </w:rPr>
        <w:t>Sisa Namandje &amp; Co. Inc. in a letter dated 14 Ju</w:t>
      </w:r>
      <w:r w:rsidR="00575A09">
        <w:rPr>
          <w:rFonts w:ascii="Arial" w:hAnsi="Arial" w:cs="Arial"/>
          <w:sz w:val="24"/>
          <w:szCs w:val="24"/>
        </w:rPr>
        <w:t xml:space="preserve">ne 2017 informed the appellant </w:t>
      </w:r>
      <w:r w:rsidRPr="00CB54C2">
        <w:rPr>
          <w:rFonts w:ascii="Arial" w:hAnsi="Arial" w:cs="Arial"/>
          <w:sz w:val="24"/>
          <w:szCs w:val="24"/>
        </w:rPr>
        <w:t xml:space="preserve">that </w:t>
      </w:r>
      <w:r w:rsidR="00AB4E1F">
        <w:rPr>
          <w:rFonts w:ascii="Arial" w:hAnsi="Arial" w:cs="Arial"/>
          <w:sz w:val="24"/>
          <w:szCs w:val="24"/>
        </w:rPr>
        <w:t xml:space="preserve">first </w:t>
      </w:r>
      <w:r w:rsidRPr="00CB54C2">
        <w:rPr>
          <w:rFonts w:ascii="Arial" w:hAnsi="Arial" w:cs="Arial"/>
          <w:sz w:val="24"/>
          <w:szCs w:val="24"/>
        </w:rPr>
        <w:t>respondent initially gave instructions only in res</w:t>
      </w:r>
      <w:r w:rsidR="00CB54C2">
        <w:rPr>
          <w:rFonts w:ascii="Arial" w:hAnsi="Arial" w:cs="Arial"/>
          <w:sz w:val="24"/>
          <w:szCs w:val="24"/>
        </w:rPr>
        <w:t>pect of the drafting of the s 52</w:t>
      </w:r>
      <w:r w:rsidRPr="00CB54C2">
        <w:rPr>
          <w:rFonts w:ascii="Arial" w:hAnsi="Arial" w:cs="Arial"/>
          <w:sz w:val="24"/>
          <w:szCs w:val="24"/>
        </w:rPr>
        <w:t xml:space="preserve">(3) notice (which notice was filed by </w:t>
      </w:r>
      <w:r w:rsidR="00AB4E1F">
        <w:rPr>
          <w:rFonts w:ascii="Arial" w:hAnsi="Arial" w:cs="Arial"/>
          <w:sz w:val="24"/>
          <w:szCs w:val="24"/>
        </w:rPr>
        <w:t>first</w:t>
      </w:r>
      <w:r w:rsidRPr="00CB54C2">
        <w:rPr>
          <w:rFonts w:ascii="Arial" w:hAnsi="Arial" w:cs="Arial"/>
          <w:sz w:val="24"/>
          <w:szCs w:val="24"/>
        </w:rPr>
        <w:t xml:space="preserve"> respondent itself) and that it held no mandate to accept the application for forfeiture of property order and never provided its a</w:t>
      </w:r>
      <w:r w:rsidR="00377D31">
        <w:rPr>
          <w:rFonts w:ascii="Arial" w:hAnsi="Arial" w:cs="Arial"/>
          <w:sz w:val="24"/>
          <w:szCs w:val="24"/>
        </w:rPr>
        <w:t xml:space="preserve">ddress as an address </w:t>
      </w:r>
      <w:r w:rsidR="00575A09">
        <w:rPr>
          <w:rFonts w:ascii="Arial" w:hAnsi="Arial" w:cs="Arial"/>
          <w:sz w:val="24"/>
          <w:szCs w:val="24"/>
        </w:rPr>
        <w:t>for</w:t>
      </w:r>
      <w:r w:rsidR="00377D31">
        <w:rPr>
          <w:rFonts w:ascii="Arial" w:hAnsi="Arial" w:cs="Arial"/>
          <w:sz w:val="24"/>
          <w:szCs w:val="24"/>
        </w:rPr>
        <w:t xml:space="preserve"> service of the forfeiture application.</w:t>
      </w:r>
    </w:p>
    <w:p w:rsidR="00CB54C2" w:rsidRDefault="00CB54C2" w:rsidP="00CB54C2">
      <w:pPr>
        <w:pStyle w:val="NoSpacing"/>
        <w:spacing w:line="480" w:lineRule="auto"/>
        <w:jc w:val="both"/>
        <w:rPr>
          <w:rFonts w:ascii="Arial" w:hAnsi="Arial" w:cs="Arial"/>
          <w:sz w:val="24"/>
          <w:szCs w:val="24"/>
        </w:rPr>
      </w:pPr>
    </w:p>
    <w:p w:rsidR="00CB54C2" w:rsidRPr="00CB54C2" w:rsidRDefault="00CB54C2" w:rsidP="001247A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common cause that on 15 June 2017 a police officer delivered the forfeiture application on the </w:t>
      </w:r>
      <w:r w:rsidR="00AB4E1F">
        <w:rPr>
          <w:rFonts w:ascii="Arial" w:hAnsi="Arial" w:cs="Arial"/>
          <w:sz w:val="24"/>
          <w:szCs w:val="24"/>
        </w:rPr>
        <w:t>first</w:t>
      </w:r>
      <w:r>
        <w:rPr>
          <w:rFonts w:ascii="Arial" w:hAnsi="Arial" w:cs="Arial"/>
          <w:sz w:val="24"/>
          <w:szCs w:val="24"/>
        </w:rPr>
        <w:t xml:space="preserve"> respondent at Shop no. W3 China Town, Oshikango.</w:t>
      </w:r>
    </w:p>
    <w:p w:rsidR="004A76AC" w:rsidRPr="00CB54C2" w:rsidRDefault="004A76AC" w:rsidP="004A76AC">
      <w:pPr>
        <w:pStyle w:val="NoSpacing"/>
        <w:spacing w:line="480" w:lineRule="auto"/>
        <w:jc w:val="both"/>
        <w:rPr>
          <w:rFonts w:ascii="Arial" w:hAnsi="Arial" w:cs="Arial"/>
          <w:sz w:val="24"/>
          <w:szCs w:val="24"/>
        </w:rPr>
      </w:pPr>
    </w:p>
    <w:p w:rsidR="001247AF" w:rsidRPr="00CB54C2" w:rsidRDefault="004A76AC" w:rsidP="001247AF">
      <w:pPr>
        <w:pStyle w:val="NoSpacing"/>
        <w:numPr>
          <w:ilvl w:val="0"/>
          <w:numId w:val="1"/>
        </w:numPr>
        <w:spacing w:line="480" w:lineRule="auto"/>
        <w:ind w:left="0" w:firstLine="0"/>
        <w:jc w:val="both"/>
        <w:rPr>
          <w:rFonts w:ascii="Arial" w:hAnsi="Arial" w:cs="Arial"/>
          <w:sz w:val="24"/>
          <w:szCs w:val="24"/>
        </w:rPr>
      </w:pPr>
      <w:r w:rsidRPr="00CB54C2">
        <w:rPr>
          <w:rFonts w:ascii="Arial" w:hAnsi="Arial" w:cs="Arial"/>
          <w:sz w:val="24"/>
          <w:szCs w:val="24"/>
        </w:rPr>
        <w:t>In a letter dated 20 June 2017 th</w:t>
      </w:r>
      <w:r w:rsidR="00575A09">
        <w:rPr>
          <w:rFonts w:ascii="Arial" w:hAnsi="Arial" w:cs="Arial"/>
          <w:sz w:val="24"/>
          <w:szCs w:val="24"/>
        </w:rPr>
        <w:t>e appellant</w:t>
      </w:r>
      <w:r w:rsidRPr="00CB54C2">
        <w:rPr>
          <w:rFonts w:ascii="Arial" w:hAnsi="Arial" w:cs="Arial"/>
          <w:sz w:val="24"/>
          <w:szCs w:val="24"/>
        </w:rPr>
        <w:t xml:space="preserve"> informed Sisa Namandje &amp; Co. Inc. that </w:t>
      </w:r>
      <w:r w:rsidR="00AB4E1F">
        <w:rPr>
          <w:rFonts w:ascii="Arial" w:hAnsi="Arial" w:cs="Arial"/>
          <w:sz w:val="24"/>
          <w:szCs w:val="24"/>
        </w:rPr>
        <w:t>first</w:t>
      </w:r>
      <w:r w:rsidRPr="00CB54C2">
        <w:rPr>
          <w:rFonts w:ascii="Arial" w:hAnsi="Arial" w:cs="Arial"/>
          <w:sz w:val="24"/>
          <w:szCs w:val="24"/>
        </w:rPr>
        <w:t xml:space="preserve"> respondent was precluded from participating in the application for forfeiture proceedings due to an unexecuted warrant of arrest; that there was no obligation to serve the application on the </w:t>
      </w:r>
      <w:r w:rsidR="00AB4E1F">
        <w:rPr>
          <w:rFonts w:ascii="Arial" w:hAnsi="Arial" w:cs="Arial"/>
          <w:sz w:val="24"/>
          <w:szCs w:val="24"/>
        </w:rPr>
        <w:t>first</w:t>
      </w:r>
      <w:r w:rsidRPr="00CB54C2">
        <w:rPr>
          <w:rFonts w:ascii="Arial" w:hAnsi="Arial" w:cs="Arial"/>
          <w:sz w:val="24"/>
          <w:szCs w:val="24"/>
        </w:rPr>
        <w:t xml:space="preserve"> respondent; that the notice in terms of s 52(3) was defective as no address for delivery of documents was appointed; and that the legal practitioner never indicated that he only held instructions to represent the </w:t>
      </w:r>
      <w:r w:rsidR="00AB4E1F">
        <w:rPr>
          <w:rFonts w:ascii="Arial" w:hAnsi="Arial" w:cs="Arial"/>
          <w:sz w:val="24"/>
          <w:szCs w:val="24"/>
        </w:rPr>
        <w:t>first</w:t>
      </w:r>
      <w:r w:rsidRPr="00CB54C2">
        <w:rPr>
          <w:rFonts w:ascii="Arial" w:hAnsi="Arial" w:cs="Arial"/>
          <w:sz w:val="24"/>
          <w:szCs w:val="24"/>
        </w:rPr>
        <w:t xml:space="preserve"> respondent for purposes of service of the preservation order.</w:t>
      </w:r>
    </w:p>
    <w:p w:rsidR="001247AF" w:rsidRPr="00CB54C2" w:rsidRDefault="001247AF" w:rsidP="001247AF">
      <w:pPr>
        <w:pStyle w:val="NoSpacing"/>
        <w:spacing w:line="480" w:lineRule="auto"/>
        <w:jc w:val="both"/>
        <w:rPr>
          <w:rFonts w:ascii="Arial" w:hAnsi="Arial" w:cs="Arial"/>
          <w:sz w:val="24"/>
          <w:szCs w:val="24"/>
        </w:rPr>
      </w:pPr>
    </w:p>
    <w:p w:rsidR="001247AF" w:rsidRPr="00CB54C2" w:rsidRDefault="004A76AC" w:rsidP="001247AF">
      <w:pPr>
        <w:pStyle w:val="NoSpacing"/>
        <w:numPr>
          <w:ilvl w:val="0"/>
          <w:numId w:val="1"/>
        </w:numPr>
        <w:spacing w:line="480" w:lineRule="auto"/>
        <w:ind w:left="0" w:firstLine="0"/>
        <w:jc w:val="both"/>
        <w:rPr>
          <w:rFonts w:ascii="Arial" w:hAnsi="Arial" w:cs="Arial"/>
          <w:sz w:val="24"/>
          <w:szCs w:val="24"/>
        </w:rPr>
      </w:pPr>
      <w:r w:rsidRPr="00CB54C2">
        <w:rPr>
          <w:rFonts w:ascii="Arial" w:hAnsi="Arial" w:cs="Arial"/>
          <w:sz w:val="24"/>
          <w:szCs w:val="24"/>
        </w:rPr>
        <w:t xml:space="preserve">On 3 July 2017 the respondents represented by Sisa Namandje &amp; Co. Inc. </w:t>
      </w:r>
      <w:r w:rsidR="00575A09">
        <w:rPr>
          <w:rFonts w:ascii="Arial" w:hAnsi="Arial" w:cs="Arial"/>
          <w:sz w:val="24"/>
          <w:szCs w:val="24"/>
        </w:rPr>
        <w:t xml:space="preserve">brought </w:t>
      </w:r>
      <w:r w:rsidRPr="00CB54C2">
        <w:rPr>
          <w:rFonts w:ascii="Arial" w:hAnsi="Arial" w:cs="Arial"/>
          <w:sz w:val="24"/>
          <w:szCs w:val="24"/>
        </w:rPr>
        <w:t xml:space="preserve">an urgent application </w:t>
      </w:r>
      <w:r w:rsidR="00575A09">
        <w:rPr>
          <w:rFonts w:ascii="Arial" w:hAnsi="Arial" w:cs="Arial"/>
          <w:sz w:val="24"/>
          <w:szCs w:val="24"/>
        </w:rPr>
        <w:t xml:space="preserve">in the court </w:t>
      </w:r>
      <w:r w:rsidR="00575A09" w:rsidRPr="00575A09">
        <w:rPr>
          <w:rFonts w:ascii="Arial" w:hAnsi="Arial" w:cs="Arial"/>
          <w:i/>
          <w:sz w:val="24"/>
          <w:szCs w:val="24"/>
        </w:rPr>
        <w:t>a quo</w:t>
      </w:r>
      <w:r w:rsidR="00575A09">
        <w:rPr>
          <w:rFonts w:ascii="Arial" w:hAnsi="Arial" w:cs="Arial"/>
          <w:sz w:val="24"/>
          <w:szCs w:val="24"/>
        </w:rPr>
        <w:t xml:space="preserve"> </w:t>
      </w:r>
      <w:r w:rsidRPr="00CB54C2">
        <w:rPr>
          <w:rFonts w:ascii="Arial" w:hAnsi="Arial" w:cs="Arial"/>
          <w:sz w:val="24"/>
          <w:szCs w:val="24"/>
        </w:rPr>
        <w:t xml:space="preserve">in which </w:t>
      </w:r>
      <w:r w:rsidR="00295F8A" w:rsidRPr="00CB54C2">
        <w:rPr>
          <w:rFonts w:ascii="Arial" w:hAnsi="Arial" w:cs="Arial"/>
          <w:sz w:val="24"/>
          <w:szCs w:val="24"/>
        </w:rPr>
        <w:t>the following relief was sought:</w:t>
      </w:r>
    </w:p>
    <w:p w:rsidR="00295F8A" w:rsidRDefault="00295F8A" w:rsidP="00295F8A">
      <w:pPr>
        <w:pStyle w:val="NoSpacing"/>
        <w:spacing w:line="480" w:lineRule="auto"/>
        <w:jc w:val="both"/>
        <w:rPr>
          <w:rFonts w:ascii="Arial" w:hAnsi="Arial" w:cs="Arial"/>
          <w:sz w:val="24"/>
          <w:szCs w:val="24"/>
        </w:rPr>
      </w:pPr>
      <w:r w:rsidRPr="00CB54C2">
        <w:rPr>
          <w:rFonts w:ascii="Arial" w:hAnsi="Arial" w:cs="Arial"/>
          <w:sz w:val="24"/>
          <w:szCs w:val="24"/>
        </w:rPr>
        <w:tab/>
      </w:r>
    </w:p>
    <w:p w:rsidR="00295F8A" w:rsidRDefault="00575A09" w:rsidP="00603FF0">
      <w:pPr>
        <w:pStyle w:val="NoSpacing"/>
        <w:spacing w:line="360" w:lineRule="auto"/>
        <w:ind w:left="720" w:hanging="720"/>
        <w:jc w:val="both"/>
        <w:rPr>
          <w:rFonts w:ascii="Arial" w:hAnsi="Arial" w:cs="Arial"/>
        </w:rPr>
      </w:pPr>
      <w:r>
        <w:rPr>
          <w:rFonts w:ascii="Arial" w:hAnsi="Arial" w:cs="Arial"/>
          <w:sz w:val="24"/>
          <w:szCs w:val="24"/>
        </w:rPr>
        <w:lastRenderedPageBreak/>
        <w:tab/>
      </w:r>
      <w:r w:rsidRPr="00603FF0">
        <w:rPr>
          <w:rFonts w:ascii="Arial" w:hAnsi="Arial" w:cs="Arial"/>
        </w:rPr>
        <w:t>‘</w:t>
      </w:r>
      <w:r w:rsidR="00603FF0">
        <w:rPr>
          <w:rFonts w:ascii="Arial" w:hAnsi="Arial" w:cs="Arial"/>
        </w:rPr>
        <w:t>(a)</w:t>
      </w:r>
      <w:r w:rsidR="00603FF0">
        <w:rPr>
          <w:rFonts w:ascii="Arial" w:hAnsi="Arial" w:cs="Arial"/>
        </w:rPr>
        <w:tab/>
      </w:r>
      <w:r w:rsidR="00295F8A" w:rsidRPr="00603FF0">
        <w:rPr>
          <w:rFonts w:ascii="Arial" w:hAnsi="Arial" w:cs="Arial"/>
        </w:rPr>
        <w:t xml:space="preserve">Reviewing, and correcting and setting aside the </w:t>
      </w:r>
      <w:r w:rsidR="00153407" w:rsidRPr="00603FF0">
        <w:rPr>
          <w:rFonts w:ascii="Arial" w:hAnsi="Arial" w:cs="Arial"/>
        </w:rPr>
        <w:t>second respondent</w:t>
      </w:r>
      <w:r w:rsidR="00295F8A" w:rsidRPr="00603FF0">
        <w:rPr>
          <w:rFonts w:ascii="Arial" w:hAnsi="Arial" w:cs="Arial"/>
        </w:rPr>
        <w:t>’s</w:t>
      </w:r>
      <w:r w:rsidR="00F43C33" w:rsidRPr="00603FF0">
        <w:rPr>
          <w:rStyle w:val="FootnoteReference"/>
          <w:rFonts w:ascii="Arial" w:hAnsi="Arial" w:cs="Arial"/>
        </w:rPr>
        <w:footnoteReference w:id="1"/>
      </w:r>
      <w:r w:rsidR="00295F8A" w:rsidRPr="00603FF0">
        <w:rPr>
          <w:rFonts w:ascii="Arial" w:hAnsi="Arial" w:cs="Arial"/>
        </w:rPr>
        <w:t xml:space="preserve"> decision </w:t>
      </w:r>
      <w:r w:rsidR="00603FF0">
        <w:rPr>
          <w:rFonts w:ascii="Arial" w:hAnsi="Arial" w:cs="Arial"/>
        </w:rPr>
        <w:tab/>
      </w:r>
      <w:r w:rsidR="00295F8A" w:rsidRPr="00603FF0">
        <w:rPr>
          <w:rFonts w:ascii="Arial" w:hAnsi="Arial" w:cs="Arial"/>
        </w:rPr>
        <w:t xml:space="preserve">to issue the concerned warrant of arrest on 6 January 2017 against the </w:t>
      </w:r>
      <w:r w:rsidR="00153407" w:rsidRPr="00603FF0">
        <w:rPr>
          <w:rFonts w:ascii="Arial" w:hAnsi="Arial" w:cs="Arial"/>
        </w:rPr>
        <w:t xml:space="preserve">second </w:t>
      </w:r>
      <w:r w:rsidR="00603FF0">
        <w:rPr>
          <w:rFonts w:ascii="Arial" w:hAnsi="Arial" w:cs="Arial"/>
        </w:rPr>
        <w:tab/>
      </w:r>
      <w:r w:rsidR="00153407" w:rsidRPr="00603FF0">
        <w:rPr>
          <w:rFonts w:ascii="Arial" w:hAnsi="Arial" w:cs="Arial"/>
        </w:rPr>
        <w:t>applicant.</w:t>
      </w:r>
    </w:p>
    <w:p w:rsidR="00295F8A" w:rsidRDefault="00603FF0" w:rsidP="00603FF0">
      <w:pPr>
        <w:pStyle w:val="NoSpacing"/>
        <w:spacing w:line="360" w:lineRule="auto"/>
        <w:ind w:left="720" w:hanging="720"/>
        <w:jc w:val="both"/>
        <w:rPr>
          <w:rFonts w:ascii="Arial" w:hAnsi="Arial" w:cs="Arial"/>
        </w:rPr>
      </w:pPr>
      <w:r>
        <w:rPr>
          <w:rFonts w:ascii="Arial" w:hAnsi="Arial" w:cs="Arial"/>
        </w:rPr>
        <w:tab/>
        <w:t>(b)</w:t>
      </w:r>
      <w:r>
        <w:rPr>
          <w:rFonts w:ascii="Arial" w:hAnsi="Arial" w:cs="Arial"/>
        </w:rPr>
        <w:tab/>
      </w:r>
      <w:r w:rsidR="00295F8A" w:rsidRPr="00603FF0">
        <w:rPr>
          <w:rFonts w:ascii="Arial" w:hAnsi="Arial" w:cs="Arial"/>
        </w:rPr>
        <w:t>Declaring the warrant of arrest issued</w:t>
      </w:r>
      <w:r w:rsidR="00153407" w:rsidRPr="00603FF0">
        <w:rPr>
          <w:rFonts w:ascii="Arial" w:hAnsi="Arial" w:cs="Arial"/>
        </w:rPr>
        <w:t xml:space="preserve"> by the second respondent</w:t>
      </w:r>
      <w:r>
        <w:rPr>
          <w:rFonts w:ascii="Arial" w:hAnsi="Arial" w:cs="Arial"/>
        </w:rPr>
        <w:t xml:space="preserve"> on</w:t>
      </w:r>
      <w:r w:rsidR="00725FBB" w:rsidRPr="00603FF0">
        <w:rPr>
          <w:rFonts w:ascii="Arial" w:hAnsi="Arial" w:cs="Arial"/>
        </w:rPr>
        <w:t xml:space="preserve"> </w:t>
      </w:r>
      <w:r w:rsidR="00295F8A" w:rsidRPr="00603FF0">
        <w:rPr>
          <w:rFonts w:ascii="Arial" w:hAnsi="Arial" w:cs="Arial"/>
        </w:rPr>
        <w:t xml:space="preserve">6 </w:t>
      </w:r>
      <w:r>
        <w:rPr>
          <w:rFonts w:ascii="Arial" w:hAnsi="Arial" w:cs="Arial"/>
        </w:rPr>
        <w:tab/>
      </w:r>
      <w:r w:rsidR="00295F8A" w:rsidRPr="00603FF0">
        <w:rPr>
          <w:rFonts w:ascii="Arial" w:hAnsi="Arial" w:cs="Arial"/>
        </w:rPr>
        <w:t>January 2017 as invalid an</w:t>
      </w:r>
      <w:r w:rsidR="00153407" w:rsidRPr="00603FF0">
        <w:rPr>
          <w:rFonts w:ascii="Arial" w:hAnsi="Arial" w:cs="Arial"/>
        </w:rPr>
        <w:t>d unlawful and setting it aside.</w:t>
      </w:r>
    </w:p>
    <w:p w:rsidR="00295F8A" w:rsidRDefault="00603FF0" w:rsidP="00603FF0">
      <w:pPr>
        <w:pStyle w:val="NoSpacing"/>
        <w:spacing w:line="360" w:lineRule="auto"/>
        <w:ind w:left="720" w:hanging="720"/>
        <w:jc w:val="both"/>
        <w:rPr>
          <w:rFonts w:ascii="Arial" w:hAnsi="Arial" w:cs="Arial"/>
        </w:rPr>
      </w:pPr>
      <w:r>
        <w:rPr>
          <w:rFonts w:ascii="Arial" w:hAnsi="Arial" w:cs="Arial"/>
        </w:rPr>
        <w:tab/>
        <w:t>(c)</w:t>
      </w:r>
      <w:r>
        <w:rPr>
          <w:rFonts w:ascii="Arial" w:hAnsi="Arial" w:cs="Arial"/>
        </w:rPr>
        <w:tab/>
      </w:r>
      <w:r w:rsidR="00295F8A" w:rsidRPr="00603FF0">
        <w:rPr>
          <w:rFonts w:ascii="Arial" w:hAnsi="Arial" w:cs="Arial"/>
        </w:rPr>
        <w:t>Declaring that the preservation order granted</w:t>
      </w:r>
      <w:r w:rsidR="00153407" w:rsidRPr="00603FF0">
        <w:rPr>
          <w:rFonts w:ascii="Arial" w:hAnsi="Arial" w:cs="Arial"/>
        </w:rPr>
        <w:t xml:space="preserve"> by this Court</w:t>
      </w:r>
      <w:r w:rsidR="00295F8A" w:rsidRPr="00603FF0">
        <w:rPr>
          <w:rFonts w:ascii="Arial" w:hAnsi="Arial" w:cs="Arial"/>
        </w:rPr>
        <w:t xml:space="preserve"> on 2</w:t>
      </w:r>
      <w:r w:rsidR="00806083" w:rsidRPr="00603FF0">
        <w:rPr>
          <w:rFonts w:ascii="Arial" w:hAnsi="Arial" w:cs="Arial"/>
        </w:rPr>
        <w:t>7</w:t>
      </w:r>
      <w:r w:rsidR="00295F8A" w:rsidRPr="00603FF0">
        <w:rPr>
          <w:rFonts w:ascii="Arial" w:hAnsi="Arial" w:cs="Arial"/>
        </w:rPr>
        <w:t xml:space="preserve"> Janua</w:t>
      </w:r>
      <w:r w:rsidR="00153407" w:rsidRPr="00603FF0">
        <w:rPr>
          <w:rFonts w:ascii="Arial" w:hAnsi="Arial" w:cs="Arial"/>
        </w:rPr>
        <w:t xml:space="preserve">ry 2017 </w:t>
      </w:r>
      <w:r>
        <w:rPr>
          <w:rFonts w:ascii="Arial" w:hAnsi="Arial" w:cs="Arial"/>
        </w:rPr>
        <w:tab/>
      </w:r>
      <w:r w:rsidR="00153407" w:rsidRPr="00603FF0">
        <w:rPr>
          <w:rFonts w:ascii="Arial" w:hAnsi="Arial" w:cs="Arial"/>
        </w:rPr>
        <w:t>expired on 12 June 2017.</w:t>
      </w:r>
    </w:p>
    <w:p w:rsidR="00E53FB3" w:rsidRDefault="00603FF0" w:rsidP="00E53FB3">
      <w:pPr>
        <w:pStyle w:val="NoSpacing"/>
        <w:spacing w:line="360" w:lineRule="auto"/>
        <w:ind w:left="720" w:hanging="720"/>
        <w:jc w:val="both"/>
        <w:rPr>
          <w:rFonts w:ascii="Arial" w:hAnsi="Arial" w:cs="Arial"/>
        </w:rPr>
      </w:pPr>
      <w:r>
        <w:rPr>
          <w:rFonts w:ascii="Arial" w:hAnsi="Arial" w:cs="Arial"/>
        </w:rPr>
        <w:tab/>
      </w:r>
      <w:r w:rsidR="00E53FB3">
        <w:rPr>
          <w:rFonts w:ascii="Arial" w:hAnsi="Arial" w:cs="Arial"/>
        </w:rPr>
        <w:t>(d)</w:t>
      </w:r>
      <w:r w:rsidR="00E53FB3">
        <w:rPr>
          <w:rFonts w:ascii="Arial" w:hAnsi="Arial" w:cs="Arial"/>
        </w:rPr>
        <w:tab/>
        <w:t xml:space="preserve">Declaring that the first respondent’s application for forfeiture did not come into </w:t>
      </w:r>
      <w:r w:rsidR="00E53FB3">
        <w:rPr>
          <w:rFonts w:ascii="Arial" w:hAnsi="Arial" w:cs="Arial"/>
        </w:rPr>
        <w:tab/>
        <w:t xml:space="preserve">issue and is invalid as there was no lawful and proper delivery of such </w:t>
      </w:r>
      <w:r w:rsidR="00E53FB3">
        <w:rPr>
          <w:rFonts w:ascii="Arial" w:hAnsi="Arial" w:cs="Arial"/>
        </w:rPr>
        <w:tab/>
        <w:t xml:space="preserve">application on the first applicant’s chosen address prior to the expiration of the </w:t>
      </w:r>
      <w:r w:rsidR="00E53FB3">
        <w:rPr>
          <w:rFonts w:ascii="Arial" w:hAnsi="Arial" w:cs="Arial"/>
        </w:rPr>
        <w:tab/>
        <w:t>preservation order of 27 January 2017 on 12 June 2017.</w:t>
      </w:r>
    </w:p>
    <w:p w:rsidR="00E53FB3" w:rsidRDefault="00E53FB3" w:rsidP="00E53FB3">
      <w:pPr>
        <w:pStyle w:val="NoSpacing"/>
        <w:spacing w:line="360" w:lineRule="auto"/>
        <w:ind w:left="720" w:hanging="720"/>
        <w:jc w:val="both"/>
        <w:rPr>
          <w:rFonts w:ascii="Arial" w:hAnsi="Arial" w:cs="Arial"/>
        </w:rPr>
      </w:pPr>
      <w:r>
        <w:rPr>
          <w:rFonts w:ascii="Arial" w:hAnsi="Arial" w:cs="Arial"/>
        </w:rPr>
        <w:tab/>
        <w:t>(e)</w:t>
      </w:r>
      <w:r>
        <w:rPr>
          <w:rFonts w:ascii="Arial" w:hAnsi="Arial" w:cs="Arial"/>
        </w:rPr>
        <w:tab/>
      </w:r>
      <w:r w:rsidRPr="00603FF0">
        <w:rPr>
          <w:rFonts w:ascii="Arial" w:hAnsi="Arial" w:cs="Arial"/>
        </w:rPr>
        <w:t xml:space="preserve">Ordering the first respondent to forthwith return the applicant’s properties </w:t>
      </w:r>
      <w:r>
        <w:rPr>
          <w:rFonts w:ascii="Arial" w:hAnsi="Arial" w:cs="Arial"/>
        </w:rPr>
        <w:tab/>
      </w:r>
      <w:r w:rsidRPr="00603FF0">
        <w:rPr>
          <w:rFonts w:ascii="Arial" w:hAnsi="Arial" w:cs="Arial"/>
        </w:rPr>
        <w:t xml:space="preserve">(money) that were preserved by this Court by way of preservation order on 27 </w:t>
      </w:r>
      <w:r>
        <w:rPr>
          <w:rFonts w:ascii="Arial" w:hAnsi="Arial" w:cs="Arial"/>
        </w:rPr>
        <w:tab/>
      </w:r>
      <w:r w:rsidRPr="00603FF0">
        <w:rPr>
          <w:rFonts w:ascii="Arial" w:hAnsi="Arial" w:cs="Arial"/>
        </w:rPr>
        <w:t>January 2017.</w:t>
      </w:r>
      <w:r>
        <w:rPr>
          <w:rFonts w:ascii="Arial" w:hAnsi="Arial" w:cs="Arial"/>
        </w:rPr>
        <w:t>’</w:t>
      </w:r>
    </w:p>
    <w:p w:rsidR="001247AF" w:rsidRPr="00CB54C2" w:rsidRDefault="001247AF" w:rsidP="001247AF">
      <w:pPr>
        <w:pStyle w:val="NoSpacing"/>
        <w:spacing w:line="480" w:lineRule="auto"/>
        <w:jc w:val="both"/>
        <w:rPr>
          <w:rFonts w:ascii="Arial" w:hAnsi="Arial" w:cs="Arial"/>
          <w:sz w:val="24"/>
          <w:szCs w:val="24"/>
        </w:rPr>
      </w:pPr>
    </w:p>
    <w:p w:rsidR="001247AF" w:rsidRPr="00CB54C2" w:rsidRDefault="00F0029F" w:rsidP="001247AF">
      <w:pPr>
        <w:pStyle w:val="NoSpacing"/>
        <w:numPr>
          <w:ilvl w:val="0"/>
          <w:numId w:val="1"/>
        </w:numPr>
        <w:spacing w:line="480" w:lineRule="auto"/>
        <w:ind w:left="0" w:firstLine="0"/>
        <w:jc w:val="both"/>
        <w:rPr>
          <w:rFonts w:ascii="Arial" w:hAnsi="Arial" w:cs="Arial"/>
          <w:sz w:val="24"/>
          <w:szCs w:val="24"/>
        </w:rPr>
      </w:pPr>
      <w:r w:rsidRPr="00CB54C2">
        <w:rPr>
          <w:rFonts w:ascii="Arial" w:hAnsi="Arial" w:cs="Arial"/>
          <w:sz w:val="24"/>
          <w:szCs w:val="24"/>
        </w:rPr>
        <w:t xml:space="preserve">On 5 July 2017 the </w:t>
      </w:r>
      <w:r w:rsidR="00B076F7">
        <w:rPr>
          <w:rFonts w:ascii="Arial" w:hAnsi="Arial" w:cs="Arial"/>
          <w:sz w:val="24"/>
          <w:szCs w:val="24"/>
        </w:rPr>
        <w:t>first</w:t>
      </w:r>
      <w:r w:rsidRPr="00CB54C2">
        <w:rPr>
          <w:rFonts w:ascii="Arial" w:hAnsi="Arial" w:cs="Arial"/>
          <w:sz w:val="24"/>
          <w:szCs w:val="24"/>
        </w:rPr>
        <w:t xml:space="preserve"> respondent filed a notice to oppose the forfeiture application. The notice was filed by Kadhila Amoomo Legal Practitioners. The notice indicated 18 Adler Street Windhoek-West as the address where the </w:t>
      </w:r>
      <w:r w:rsidR="00B076F7">
        <w:rPr>
          <w:rFonts w:ascii="Arial" w:hAnsi="Arial" w:cs="Arial"/>
          <w:sz w:val="24"/>
          <w:szCs w:val="24"/>
        </w:rPr>
        <w:t>first</w:t>
      </w:r>
      <w:r w:rsidRPr="00CB54C2">
        <w:rPr>
          <w:rFonts w:ascii="Arial" w:hAnsi="Arial" w:cs="Arial"/>
          <w:sz w:val="24"/>
          <w:szCs w:val="24"/>
        </w:rPr>
        <w:t xml:space="preserve"> respondent would receive all pleadings relating to the forfeiture proceedings. The ‘Particulars of Litigant’ filed</w:t>
      </w:r>
      <w:r w:rsidRPr="00CB54C2">
        <w:rPr>
          <w:rStyle w:val="FootnoteReference"/>
          <w:rFonts w:ascii="Arial" w:hAnsi="Arial" w:cs="Arial"/>
          <w:sz w:val="24"/>
          <w:szCs w:val="24"/>
        </w:rPr>
        <w:footnoteReference w:id="2"/>
      </w:r>
      <w:r w:rsidRPr="00CB54C2">
        <w:rPr>
          <w:rFonts w:ascii="Arial" w:hAnsi="Arial" w:cs="Arial"/>
          <w:sz w:val="24"/>
          <w:szCs w:val="24"/>
        </w:rPr>
        <w:t xml:space="preserve"> indicated the </w:t>
      </w:r>
      <w:r w:rsidR="00B076F7">
        <w:rPr>
          <w:rFonts w:ascii="Arial" w:hAnsi="Arial" w:cs="Arial"/>
          <w:sz w:val="24"/>
          <w:szCs w:val="24"/>
        </w:rPr>
        <w:t>first</w:t>
      </w:r>
      <w:r w:rsidRPr="00CB54C2">
        <w:rPr>
          <w:rFonts w:ascii="Arial" w:hAnsi="Arial" w:cs="Arial"/>
          <w:sz w:val="24"/>
          <w:szCs w:val="24"/>
        </w:rPr>
        <w:t xml:space="preserve"> respondent’s physical address as 91 New Castle Street</w:t>
      </w:r>
      <w:r w:rsidR="00806083">
        <w:rPr>
          <w:rFonts w:ascii="Arial" w:hAnsi="Arial" w:cs="Arial"/>
          <w:sz w:val="24"/>
          <w:szCs w:val="24"/>
        </w:rPr>
        <w:t>, Windhoek</w:t>
      </w:r>
      <w:r w:rsidRPr="00CB54C2">
        <w:rPr>
          <w:rFonts w:ascii="Arial" w:hAnsi="Arial" w:cs="Arial"/>
          <w:sz w:val="24"/>
          <w:szCs w:val="24"/>
        </w:rPr>
        <w:t>.</w:t>
      </w:r>
    </w:p>
    <w:p w:rsidR="001247AF" w:rsidRPr="00CB54C2" w:rsidRDefault="001247AF" w:rsidP="001247AF">
      <w:pPr>
        <w:pStyle w:val="NoSpacing"/>
        <w:spacing w:line="480" w:lineRule="auto"/>
        <w:jc w:val="both"/>
        <w:rPr>
          <w:rFonts w:ascii="Arial" w:hAnsi="Arial" w:cs="Arial"/>
          <w:sz w:val="24"/>
          <w:szCs w:val="24"/>
        </w:rPr>
      </w:pPr>
    </w:p>
    <w:p w:rsidR="001247AF" w:rsidRDefault="00F0029F" w:rsidP="001247AF">
      <w:pPr>
        <w:pStyle w:val="NoSpacing"/>
        <w:numPr>
          <w:ilvl w:val="0"/>
          <w:numId w:val="1"/>
        </w:numPr>
        <w:spacing w:line="480" w:lineRule="auto"/>
        <w:ind w:left="0" w:firstLine="0"/>
        <w:jc w:val="both"/>
        <w:rPr>
          <w:rFonts w:ascii="Arial" w:hAnsi="Arial" w:cs="Arial"/>
          <w:sz w:val="24"/>
          <w:szCs w:val="24"/>
        </w:rPr>
      </w:pPr>
      <w:r w:rsidRPr="00CB54C2">
        <w:rPr>
          <w:rFonts w:ascii="Arial" w:hAnsi="Arial" w:cs="Arial"/>
          <w:sz w:val="24"/>
          <w:szCs w:val="24"/>
        </w:rPr>
        <w:t>The urgent application</w:t>
      </w:r>
      <w:r w:rsidR="00992DDF">
        <w:rPr>
          <w:rFonts w:ascii="Arial" w:hAnsi="Arial" w:cs="Arial"/>
          <w:sz w:val="24"/>
          <w:szCs w:val="24"/>
        </w:rPr>
        <w:t>,</w:t>
      </w:r>
      <w:r w:rsidR="00237AA7" w:rsidRPr="00CB54C2">
        <w:rPr>
          <w:rFonts w:ascii="Arial" w:hAnsi="Arial" w:cs="Arial"/>
          <w:sz w:val="24"/>
          <w:szCs w:val="24"/>
        </w:rPr>
        <w:t xml:space="preserve"> f</w:t>
      </w:r>
      <w:r w:rsidR="00992DDF">
        <w:rPr>
          <w:rFonts w:ascii="Arial" w:hAnsi="Arial" w:cs="Arial"/>
          <w:sz w:val="24"/>
          <w:szCs w:val="24"/>
        </w:rPr>
        <w:t>iled by Sisa Namandje &amp; Co. Inc,</w:t>
      </w:r>
      <w:r w:rsidR="00237AA7" w:rsidRPr="00CB54C2">
        <w:rPr>
          <w:rFonts w:ascii="Arial" w:hAnsi="Arial" w:cs="Arial"/>
          <w:sz w:val="24"/>
          <w:szCs w:val="24"/>
        </w:rPr>
        <w:t xml:space="preserve"> was withdrawn and th</w:t>
      </w:r>
      <w:r w:rsidR="00A90BFD">
        <w:rPr>
          <w:rFonts w:ascii="Arial" w:hAnsi="Arial" w:cs="Arial"/>
          <w:sz w:val="24"/>
          <w:szCs w:val="24"/>
        </w:rPr>
        <w:t>e relief in respect of prayers (a) and (b)</w:t>
      </w:r>
      <w:r w:rsidR="00237AA7" w:rsidRPr="00CB54C2">
        <w:rPr>
          <w:rFonts w:ascii="Arial" w:hAnsi="Arial" w:cs="Arial"/>
          <w:sz w:val="24"/>
          <w:szCs w:val="24"/>
        </w:rPr>
        <w:t xml:space="preserve"> of the urgent application was settled by the parties on the basis that the warrant of arrest issued was only in respect of the</w:t>
      </w:r>
      <w:r w:rsidR="00B076F7">
        <w:rPr>
          <w:rFonts w:ascii="Arial" w:hAnsi="Arial" w:cs="Arial"/>
          <w:sz w:val="24"/>
          <w:szCs w:val="24"/>
        </w:rPr>
        <w:t xml:space="preserve"> second</w:t>
      </w:r>
      <w:r w:rsidR="00237AA7" w:rsidRPr="00CB54C2">
        <w:rPr>
          <w:rFonts w:ascii="Arial" w:hAnsi="Arial" w:cs="Arial"/>
          <w:sz w:val="24"/>
          <w:szCs w:val="24"/>
        </w:rPr>
        <w:t xml:space="preserve"> respondent. The issues relating to the declaratory relief </w:t>
      </w:r>
      <w:r w:rsidR="00CB54C2">
        <w:rPr>
          <w:rFonts w:ascii="Arial" w:hAnsi="Arial" w:cs="Arial"/>
          <w:sz w:val="24"/>
          <w:szCs w:val="24"/>
        </w:rPr>
        <w:t>in respect of</w:t>
      </w:r>
      <w:r w:rsidR="00237AA7" w:rsidRPr="00CB54C2">
        <w:rPr>
          <w:rFonts w:ascii="Arial" w:hAnsi="Arial" w:cs="Arial"/>
          <w:sz w:val="24"/>
          <w:szCs w:val="24"/>
        </w:rPr>
        <w:t xml:space="preserve"> the preservation </w:t>
      </w:r>
      <w:r w:rsidR="00237AA7" w:rsidRPr="00CB54C2">
        <w:rPr>
          <w:rFonts w:ascii="Arial" w:hAnsi="Arial" w:cs="Arial"/>
          <w:sz w:val="24"/>
          <w:szCs w:val="24"/>
        </w:rPr>
        <w:lastRenderedPageBreak/>
        <w:t xml:space="preserve">of property order and the forfeiture of property application were consolidated with the pending forfeiture of property application. </w:t>
      </w:r>
    </w:p>
    <w:p w:rsidR="00630750" w:rsidRPr="00CB54C2" w:rsidRDefault="00630750" w:rsidP="00630750">
      <w:pPr>
        <w:pStyle w:val="NoSpacing"/>
        <w:spacing w:line="480" w:lineRule="auto"/>
        <w:jc w:val="both"/>
        <w:rPr>
          <w:rFonts w:ascii="Arial" w:hAnsi="Arial" w:cs="Arial"/>
          <w:sz w:val="24"/>
          <w:szCs w:val="24"/>
        </w:rPr>
      </w:pPr>
    </w:p>
    <w:p w:rsidR="001247AF" w:rsidRPr="00CB54C2" w:rsidRDefault="00237AA7" w:rsidP="001247AF">
      <w:pPr>
        <w:pStyle w:val="NoSpacing"/>
        <w:numPr>
          <w:ilvl w:val="0"/>
          <w:numId w:val="1"/>
        </w:numPr>
        <w:spacing w:line="480" w:lineRule="auto"/>
        <w:ind w:left="0" w:firstLine="0"/>
        <w:jc w:val="both"/>
        <w:rPr>
          <w:rFonts w:ascii="Arial" w:hAnsi="Arial" w:cs="Arial"/>
          <w:sz w:val="24"/>
          <w:szCs w:val="24"/>
        </w:rPr>
      </w:pPr>
      <w:r w:rsidRPr="00CB54C2">
        <w:rPr>
          <w:rFonts w:ascii="Arial" w:hAnsi="Arial" w:cs="Arial"/>
          <w:sz w:val="24"/>
          <w:szCs w:val="24"/>
        </w:rPr>
        <w:t>In respect of the urgent application</w:t>
      </w:r>
      <w:r w:rsidR="00806083">
        <w:rPr>
          <w:rFonts w:ascii="Arial" w:hAnsi="Arial" w:cs="Arial"/>
          <w:sz w:val="24"/>
          <w:szCs w:val="24"/>
        </w:rPr>
        <w:t xml:space="preserve"> by the respondents</w:t>
      </w:r>
      <w:r w:rsidRPr="00CB54C2">
        <w:rPr>
          <w:rFonts w:ascii="Arial" w:hAnsi="Arial" w:cs="Arial"/>
          <w:sz w:val="24"/>
          <w:szCs w:val="24"/>
        </w:rPr>
        <w:t xml:space="preserve">, the appellant filed an answering affidavit on 13 July 2017 and the respondents filed a replying affidavit on </w:t>
      </w:r>
      <w:r w:rsidR="00725FBB">
        <w:rPr>
          <w:rFonts w:ascii="Arial" w:hAnsi="Arial" w:cs="Arial"/>
          <w:sz w:val="24"/>
          <w:szCs w:val="24"/>
        </w:rPr>
        <w:t xml:space="preserve">    </w:t>
      </w:r>
      <w:r w:rsidRPr="00CB54C2">
        <w:rPr>
          <w:rFonts w:ascii="Arial" w:hAnsi="Arial" w:cs="Arial"/>
          <w:sz w:val="24"/>
          <w:szCs w:val="24"/>
        </w:rPr>
        <w:t>17 July 2017.</w:t>
      </w:r>
    </w:p>
    <w:p w:rsidR="001247AF" w:rsidRPr="00CB54C2" w:rsidRDefault="001247AF" w:rsidP="001247AF">
      <w:pPr>
        <w:pStyle w:val="NoSpacing"/>
        <w:spacing w:line="480" w:lineRule="auto"/>
        <w:jc w:val="both"/>
        <w:rPr>
          <w:rFonts w:ascii="Arial" w:hAnsi="Arial" w:cs="Arial"/>
          <w:sz w:val="24"/>
          <w:szCs w:val="24"/>
        </w:rPr>
      </w:pPr>
    </w:p>
    <w:p w:rsidR="001247AF" w:rsidRPr="00CB54C2" w:rsidRDefault="00237AA7" w:rsidP="001247AF">
      <w:pPr>
        <w:pStyle w:val="NoSpacing"/>
        <w:numPr>
          <w:ilvl w:val="0"/>
          <w:numId w:val="1"/>
        </w:numPr>
        <w:spacing w:line="480" w:lineRule="auto"/>
        <w:ind w:left="0" w:firstLine="0"/>
        <w:jc w:val="both"/>
        <w:rPr>
          <w:rFonts w:ascii="Arial" w:hAnsi="Arial" w:cs="Arial"/>
          <w:sz w:val="24"/>
          <w:szCs w:val="24"/>
        </w:rPr>
      </w:pPr>
      <w:r w:rsidRPr="00CB54C2">
        <w:rPr>
          <w:rFonts w:ascii="Arial" w:hAnsi="Arial" w:cs="Arial"/>
          <w:sz w:val="24"/>
          <w:szCs w:val="24"/>
        </w:rPr>
        <w:t xml:space="preserve">When the application was heard, the appellant raised five points </w:t>
      </w:r>
      <w:r w:rsidRPr="00CB54C2">
        <w:rPr>
          <w:rFonts w:ascii="Arial" w:hAnsi="Arial" w:cs="Arial"/>
          <w:i/>
          <w:sz w:val="24"/>
          <w:szCs w:val="24"/>
        </w:rPr>
        <w:t>in limine</w:t>
      </w:r>
      <w:r w:rsidRPr="00CB54C2">
        <w:rPr>
          <w:rFonts w:ascii="Arial" w:hAnsi="Arial" w:cs="Arial"/>
          <w:sz w:val="24"/>
          <w:szCs w:val="24"/>
        </w:rPr>
        <w:t xml:space="preserve"> which were all unsuccessful. On 9 October 2017 the court </w:t>
      </w:r>
      <w:r w:rsidRPr="00CB54C2">
        <w:rPr>
          <w:rFonts w:ascii="Arial" w:hAnsi="Arial" w:cs="Arial"/>
          <w:i/>
          <w:sz w:val="24"/>
          <w:szCs w:val="24"/>
        </w:rPr>
        <w:t>a quo</w:t>
      </w:r>
      <w:r w:rsidRPr="00CB54C2">
        <w:rPr>
          <w:rFonts w:ascii="Arial" w:hAnsi="Arial" w:cs="Arial"/>
          <w:sz w:val="24"/>
          <w:szCs w:val="24"/>
        </w:rPr>
        <w:t xml:space="preserve"> ordered that the application for forfeiture of property served on the second respondent on 15 June 2017 be set aside. The appellant was ordered to pay the costs of the application. </w:t>
      </w:r>
    </w:p>
    <w:p w:rsidR="001247AF" w:rsidRDefault="001247AF" w:rsidP="001247AF">
      <w:pPr>
        <w:pStyle w:val="NoSpacing"/>
        <w:spacing w:line="480" w:lineRule="auto"/>
        <w:jc w:val="both"/>
        <w:rPr>
          <w:rFonts w:ascii="Arial" w:hAnsi="Arial" w:cs="Arial"/>
          <w:sz w:val="24"/>
          <w:szCs w:val="24"/>
        </w:rPr>
      </w:pPr>
    </w:p>
    <w:p w:rsidR="00CB54C2" w:rsidRPr="00CB54C2" w:rsidRDefault="00CB54C2" w:rsidP="001247AF">
      <w:pPr>
        <w:pStyle w:val="NoSpacing"/>
        <w:spacing w:line="480" w:lineRule="auto"/>
        <w:jc w:val="both"/>
        <w:rPr>
          <w:rFonts w:ascii="Arial" w:hAnsi="Arial" w:cs="Arial"/>
          <w:sz w:val="24"/>
          <w:szCs w:val="24"/>
          <w:u w:val="single"/>
        </w:rPr>
      </w:pPr>
      <w:r w:rsidRPr="00CB54C2">
        <w:rPr>
          <w:rFonts w:ascii="Arial" w:hAnsi="Arial" w:cs="Arial"/>
          <w:sz w:val="24"/>
          <w:szCs w:val="24"/>
          <w:u w:val="single"/>
        </w:rPr>
        <w:t>The judgment of the High Court</w:t>
      </w:r>
    </w:p>
    <w:p w:rsidR="001247AF" w:rsidRDefault="00CB54C2" w:rsidP="001247A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primary question for consideration by the High Court was whether the preservation order had expired by the time the application for a forfeiture of property order was served on</w:t>
      </w:r>
      <w:r w:rsidR="00B076F7">
        <w:rPr>
          <w:rFonts w:ascii="Arial" w:hAnsi="Arial" w:cs="Arial"/>
          <w:sz w:val="24"/>
          <w:szCs w:val="24"/>
        </w:rPr>
        <w:t xml:space="preserve"> </w:t>
      </w:r>
      <w:r>
        <w:rPr>
          <w:rFonts w:ascii="Arial" w:hAnsi="Arial" w:cs="Arial"/>
          <w:sz w:val="24"/>
          <w:szCs w:val="24"/>
        </w:rPr>
        <w:t xml:space="preserve">the </w:t>
      </w:r>
      <w:r w:rsidR="00B076F7">
        <w:rPr>
          <w:rFonts w:ascii="Arial" w:hAnsi="Arial" w:cs="Arial"/>
          <w:sz w:val="24"/>
          <w:szCs w:val="24"/>
        </w:rPr>
        <w:t>first respondent</w:t>
      </w:r>
      <w:r>
        <w:rPr>
          <w:rFonts w:ascii="Arial" w:hAnsi="Arial" w:cs="Arial"/>
          <w:sz w:val="24"/>
          <w:szCs w:val="24"/>
        </w:rPr>
        <w:t>.</w:t>
      </w:r>
    </w:p>
    <w:p w:rsidR="00B076F7" w:rsidRPr="00CB54C2" w:rsidRDefault="00B076F7" w:rsidP="00B076F7">
      <w:pPr>
        <w:pStyle w:val="NoSpacing"/>
        <w:spacing w:line="480" w:lineRule="auto"/>
        <w:jc w:val="both"/>
        <w:rPr>
          <w:rFonts w:ascii="Arial" w:hAnsi="Arial" w:cs="Arial"/>
          <w:sz w:val="24"/>
          <w:szCs w:val="24"/>
        </w:rPr>
      </w:pPr>
    </w:p>
    <w:p w:rsidR="001247AF" w:rsidRPr="00CB54C2" w:rsidRDefault="00CB54C2" w:rsidP="001247A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CB54C2">
        <w:rPr>
          <w:rFonts w:ascii="Arial" w:hAnsi="Arial" w:cs="Arial"/>
          <w:i/>
          <w:sz w:val="24"/>
          <w:szCs w:val="24"/>
        </w:rPr>
        <w:t>a quo</w:t>
      </w:r>
      <w:r>
        <w:rPr>
          <w:rFonts w:ascii="Arial" w:hAnsi="Arial" w:cs="Arial"/>
          <w:sz w:val="24"/>
          <w:szCs w:val="24"/>
        </w:rPr>
        <w:t xml:space="preserve"> referred to s 53 of the Act which provides that a preservation of property order expires 120 days after the date on which notice of the making of the order is published in the </w:t>
      </w:r>
      <w:r w:rsidR="007B4C7B">
        <w:rPr>
          <w:rFonts w:ascii="Arial" w:hAnsi="Arial" w:cs="Arial"/>
          <w:sz w:val="24"/>
          <w:szCs w:val="24"/>
        </w:rPr>
        <w:t xml:space="preserve">Government </w:t>
      </w:r>
      <w:r w:rsidRPr="007B4C7B">
        <w:rPr>
          <w:rFonts w:ascii="Arial" w:hAnsi="Arial" w:cs="Arial"/>
          <w:sz w:val="24"/>
          <w:szCs w:val="24"/>
        </w:rPr>
        <w:t>Gazette</w:t>
      </w:r>
      <w:r>
        <w:rPr>
          <w:rFonts w:ascii="Arial" w:hAnsi="Arial" w:cs="Arial"/>
          <w:sz w:val="24"/>
          <w:szCs w:val="24"/>
        </w:rPr>
        <w:t xml:space="preserve"> unless there is </w:t>
      </w:r>
      <w:r w:rsidR="00630750">
        <w:rPr>
          <w:rFonts w:ascii="Arial" w:hAnsi="Arial" w:cs="Arial"/>
          <w:sz w:val="24"/>
          <w:szCs w:val="24"/>
        </w:rPr>
        <w:t xml:space="preserve">an </w:t>
      </w:r>
      <w:r>
        <w:rPr>
          <w:rFonts w:ascii="Arial" w:hAnsi="Arial" w:cs="Arial"/>
          <w:sz w:val="24"/>
          <w:szCs w:val="24"/>
        </w:rPr>
        <w:t>application in terms of s 59(2) for a forfeiture order pending before the High Court (in respect of the property which is subject to the preservation of property order).</w:t>
      </w:r>
    </w:p>
    <w:p w:rsidR="001247AF" w:rsidRPr="00CB54C2" w:rsidRDefault="001247AF" w:rsidP="001247AF">
      <w:pPr>
        <w:pStyle w:val="NoSpacing"/>
        <w:spacing w:line="480" w:lineRule="auto"/>
        <w:jc w:val="both"/>
        <w:rPr>
          <w:rFonts w:ascii="Arial" w:hAnsi="Arial" w:cs="Arial"/>
          <w:sz w:val="24"/>
          <w:szCs w:val="24"/>
        </w:rPr>
      </w:pPr>
    </w:p>
    <w:p w:rsidR="001247AF" w:rsidRPr="00CB54C2" w:rsidRDefault="009860F0" w:rsidP="001247A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9C21AD">
        <w:rPr>
          <w:rFonts w:ascii="Arial" w:hAnsi="Arial" w:cs="Arial"/>
          <w:i/>
          <w:sz w:val="24"/>
          <w:szCs w:val="24"/>
        </w:rPr>
        <w:t>a quo</w:t>
      </w:r>
      <w:r>
        <w:rPr>
          <w:rFonts w:ascii="Arial" w:hAnsi="Arial" w:cs="Arial"/>
          <w:sz w:val="24"/>
          <w:szCs w:val="24"/>
        </w:rPr>
        <w:t xml:space="preserve"> set off by considering the meaning of the word ‘pending’. The court </w:t>
      </w:r>
      <w:r w:rsidRPr="007B4C7B">
        <w:rPr>
          <w:rFonts w:ascii="Arial" w:hAnsi="Arial" w:cs="Arial"/>
          <w:i/>
          <w:sz w:val="24"/>
          <w:szCs w:val="24"/>
        </w:rPr>
        <w:t>a quo</w:t>
      </w:r>
      <w:r>
        <w:rPr>
          <w:rFonts w:ascii="Arial" w:hAnsi="Arial" w:cs="Arial"/>
          <w:sz w:val="24"/>
          <w:szCs w:val="24"/>
        </w:rPr>
        <w:t xml:space="preserve"> referred to the matter of </w:t>
      </w:r>
      <w:r w:rsidRPr="009860F0">
        <w:rPr>
          <w:rFonts w:ascii="Arial" w:hAnsi="Arial" w:cs="Arial"/>
          <w:i/>
          <w:sz w:val="24"/>
          <w:szCs w:val="24"/>
        </w:rPr>
        <w:t>Noah v Union National South British Insurance Co. Ltd</w:t>
      </w:r>
      <w:r>
        <w:rPr>
          <w:rStyle w:val="FootnoteReference"/>
          <w:rFonts w:ascii="Arial" w:hAnsi="Arial" w:cs="Arial"/>
          <w:sz w:val="24"/>
          <w:szCs w:val="24"/>
        </w:rPr>
        <w:footnoteReference w:id="3"/>
      </w:r>
      <w:r>
        <w:rPr>
          <w:rFonts w:ascii="Arial" w:hAnsi="Arial" w:cs="Arial"/>
          <w:sz w:val="24"/>
          <w:szCs w:val="24"/>
        </w:rPr>
        <w:t xml:space="preserve"> where Eloff J observed that the word ‘pending’ has different meanings in different context</w:t>
      </w:r>
      <w:r w:rsidR="00B076F7">
        <w:rPr>
          <w:rFonts w:ascii="Arial" w:hAnsi="Arial" w:cs="Arial"/>
          <w:sz w:val="24"/>
          <w:szCs w:val="24"/>
        </w:rPr>
        <w:t>s. T</w:t>
      </w:r>
      <w:r>
        <w:rPr>
          <w:rFonts w:ascii="Arial" w:hAnsi="Arial" w:cs="Arial"/>
          <w:sz w:val="24"/>
          <w:szCs w:val="24"/>
        </w:rPr>
        <w:t xml:space="preserve">he court </w:t>
      </w:r>
      <w:r w:rsidRPr="00B076F7">
        <w:rPr>
          <w:rFonts w:ascii="Arial" w:hAnsi="Arial" w:cs="Arial"/>
          <w:i/>
          <w:sz w:val="24"/>
          <w:szCs w:val="24"/>
        </w:rPr>
        <w:t>a quo</w:t>
      </w:r>
      <w:r>
        <w:rPr>
          <w:rFonts w:ascii="Arial" w:hAnsi="Arial" w:cs="Arial"/>
          <w:sz w:val="24"/>
          <w:szCs w:val="24"/>
        </w:rPr>
        <w:t xml:space="preserve"> referred to what Goldsten J had said in </w:t>
      </w:r>
      <w:r w:rsidRPr="009860F0">
        <w:rPr>
          <w:rFonts w:ascii="Arial" w:hAnsi="Arial" w:cs="Arial"/>
          <w:i/>
          <w:sz w:val="24"/>
          <w:szCs w:val="24"/>
        </w:rPr>
        <w:t>Levy v National Director of Public Prosecutions</w:t>
      </w:r>
      <w:r>
        <w:rPr>
          <w:rStyle w:val="FootnoteReference"/>
          <w:rFonts w:ascii="Arial" w:hAnsi="Arial" w:cs="Arial"/>
          <w:sz w:val="24"/>
          <w:szCs w:val="24"/>
        </w:rPr>
        <w:footnoteReference w:id="4"/>
      </w:r>
      <w:r>
        <w:rPr>
          <w:rFonts w:ascii="Arial" w:hAnsi="Arial" w:cs="Arial"/>
          <w:sz w:val="24"/>
          <w:szCs w:val="24"/>
        </w:rPr>
        <w:t xml:space="preserve"> that the word ‘pending’ in the context of legislation dealing with the </w:t>
      </w:r>
      <w:r w:rsidR="00630750">
        <w:rPr>
          <w:rFonts w:ascii="Arial" w:hAnsi="Arial" w:cs="Arial"/>
          <w:sz w:val="24"/>
          <w:szCs w:val="24"/>
        </w:rPr>
        <w:t xml:space="preserve">Act </w:t>
      </w:r>
      <w:r w:rsidR="007B4C7B">
        <w:rPr>
          <w:rFonts w:ascii="Arial" w:hAnsi="Arial" w:cs="Arial"/>
          <w:sz w:val="24"/>
          <w:szCs w:val="24"/>
        </w:rPr>
        <w:t>in South Africa</w:t>
      </w:r>
      <w:r w:rsidR="009C21AD">
        <w:rPr>
          <w:rFonts w:ascii="Arial" w:hAnsi="Arial" w:cs="Arial"/>
          <w:sz w:val="24"/>
          <w:szCs w:val="24"/>
        </w:rPr>
        <w:t xml:space="preserve"> </w:t>
      </w:r>
      <w:r w:rsidR="00806083">
        <w:rPr>
          <w:rFonts w:ascii="Arial" w:hAnsi="Arial" w:cs="Arial"/>
          <w:sz w:val="24"/>
          <w:szCs w:val="24"/>
        </w:rPr>
        <w:t xml:space="preserve">(POCA) </w:t>
      </w:r>
      <w:r w:rsidR="009C21AD">
        <w:rPr>
          <w:rFonts w:ascii="Arial" w:hAnsi="Arial" w:cs="Arial"/>
          <w:sz w:val="24"/>
          <w:szCs w:val="24"/>
        </w:rPr>
        <w:t xml:space="preserve">is imprecise and ambiguous. </w:t>
      </w:r>
    </w:p>
    <w:p w:rsidR="001247AF" w:rsidRPr="00CB54C2" w:rsidRDefault="001247AF" w:rsidP="001247AF">
      <w:pPr>
        <w:pStyle w:val="NoSpacing"/>
        <w:spacing w:line="480" w:lineRule="auto"/>
        <w:jc w:val="both"/>
        <w:rPr>
          <w:rFonts w:ascii="Arial" w:hAnsi="Arial" w:cs="Arial"/>
          <w:sz w:val="24"/>
          <w:szCs w:val="24"/>
        </w:rPr>
      </w:pPr>
    </w:p>
    <w:p w:rsidR="001247AF" w:rsidRPr="00CB54C2" w:rsidRDefault="009C21AD" w:rsidP="001247A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9C21AD">
        <w:rPr>
          <w:rFonts w:ascii="Arial" w:hAnsi="Arial" w:cs="Arial"/>
          <w:i/>
          <w:sz w:val="24"/>
          <w:szCs w:val="24"/>
        </w:rPr>
        <w:t>a quo</w:t>
      </w:r>
      <w:r>
        <w:rPr>
          <w:rFonts w:ascii="Arial" w:hAnsi="Arial" w:cs="Arial"/>
          <w:sz w:val="24"/>
          <w:szCs w:val="24"/>
        </w:rPr>
        <w:t xml:space="preserve"> agreed with the reasoning of Kentridge AJ in </w:t>
      </w:r>
      <w:r w:rsidRPr="009C21AD">
        <w:rPr>
          <w:rFonts w:ascii="Arial" w:hAnsi="Arial" w:cs="Arial"/>
          <w:i/>
          <w:sz w:val="24"/>
          <w:szCs w:val="24"/>
        </w:rPr>
        <w:t>S v Mhlungu &amp; others</w:t>
      </w:r>
      <w:r>
        <w:rPr>
          <w:rStyle w:val="FootnoteReference"/>
          <w:rFonts w:ascii="Arial" w:hAnsi="Arial" w:cs="Arial"/>
          <w:sz w:val="24"/>
          <w:szCs w:val="24"/>
        </w:rPr>
        <w:footnoteReference w:id="5"/>
      </w:r>
      <w:r>
        <w:rPr>
          <w:rFonts w:ascii="Arial" w:hAnsi="Arial" w:cs="Arial"/>
          <w:sz w:val="24"/>
          <w:szCs w:val="24"/>
        </w:rPr>
        <w:t xml:space="preserve"> where the view was held that because the ordinary meaning is ambiguous as to when pending proceedings commence ‘an interpretation of the concept of pending proceedings which seeks to align it w</w:t>
      </w:r>
      <w:r w:rsidR="00154B07">
        <w:rPr>
          <w:rFonts w:ascii="Arial" w:hAnsi="Arial" w:cs="Arial"/>
          <w:sz w:val="24"/>
          <w:szCs w:val="24"/>
        </w:rPr>
        <w:t xml:space="preserve">ith the common law is required’. </w:t>
      </w:r>
      <w:r>
        <w:rPr>
          <w:rFonts w:ascii="Arial" w:hAnsi="Arial" w:cs="Arial"/>
          <w:sz w:val="24"/>
          <w:szCs w:val="24"/>
        </w:rPr>
        <w:t xml:space="preserve">The court </w:t>
      </w:r>
      <w:r w:rsidRPr="009C21AD">
        <w:rPr>
          <w:rFonts w:ascii="Arial" w:hAnsi="Arial" w:cs="Arial"/>
          <w:i/>
          <w:sz w:val="24"/>
          <w:szCs w:val="24"/>
        </w:rPr>
        <w:t>a quo</w:t>
      </w:r>
      <w:r>
        <w:rPr>
          <w:rFonts w:ascii="Arial" w:hAnsi="Arial" w:cs="Arial"/>
          <w:sz w:val="24"/>
          <w:szCs w:val="24"/>
        </w:rPr>
        <w:t xml:space="preserve"> held the view that at best for the appellant ‘the word “pending” is ambiguous and thus may be interpreted as requiring service of the application on a respondent’. The court </w:t>
      </w:r>
      <w:r w:rsidRPr="00306490">
        <w:rPr>
          <w:rFonts w:ascii="Arial" w:hAnsi="Arial" w:cs="Arial"/>
          <w:i/>
          <w:sz w:val="24"/>
          <w:szCs w:val="24"/>
        </w:rPr>
        <w:t>a quo</w:t>
      </w:r>
      <w:r>
        <w:rPr>
          <w:rFonts w:ascii="Arial" w:hAnsi="Arial" w:cs="Arial"/>
          <w:sz w:val="24"/>
          <w:szCs w:val="24"/>
        </w:rPr>
        <w:t xml:space="preserve"> concluded that by the time the application for a forfeiture order was brought</w:t>
      </w:r>
      <w:r w:rsidR="00306490">
        <w:rPr>
          <w:rFonts w:ascii="Arial" w:hAnsi="Arial" w:cs="Arial"/>
          <w:sz w:val="24"/>
          <w:szCs w:val="24"/>
        </w:rPr>
        <w:t>,</w:t>
      </w:r>
      <w:r>
        <w:rPr>
          <w:rFonts w:ascii="Arial" w:hAnsi="Arial" w:cs="Arial"/>
          <w:sz w:val="24"/>
          <w:szCs w:val="24"/>
        </w:rPr>
        <w:t xml:space="preserve"> the preservation order had ceased to operate and therefore in terms of s 59 of </w:t>
      </w:r>
      <w:r w:rsidR="00377D31">
        <w:rPr>
          <w:rFonts w:ascii="Arial" w:hAnsi="Arial" w:cs="Arial"/>
          <w:sz w:val="24"/>
          <w:szCs w:val="24"/>
        </w:rPr>
        <w:t>the Act</w:t>
      </w:r>
      <w:r w:rsidR="00306490">
        <w:rPr>
          <w:rFonts w:ascii="Arial" w:hAnsi="Arial" w:cs="Arial"/>
          <w:sz w:val="24"/>
          <w:szCs w:val="24"/>
        </w:rPr>
        <w:t>,</w:t>
      </w:r>
      <w:r>
        <w:rPr>
          <w:rFonts w:ascii="Arial" w:hAnsi="Arial" w:cs="Arial"/>
          <w:sz w:val="24"/>
          <w:szCs w:val="24"/>
        </w:rPr>
        <w:t xml:space="preserve"> the appellant was not entitled to bring a forfeiture application. </w:t>
      </w:r>
    </w:p>
    <w:p w:rsidR="00F43C33" w:rsidRDefault="00F43C33" w:rsidP="001247AF">
      <w:pPr>
        <w:pStyle w:val="NoSpacing"/>
        <w:spacing w:line="480" w:lineRule="auto"/>
        <w:jc w:val="both"/>
        <w:rPr>
          <w:rFonts w:ascii="Arial" w:hAnsi="Arial" w:cs="Arial"/>
          <w:sz w:val="24"/>
          <w:szCs w:val="24"/>
          <w:u w:val="single"/>
        </w:rPr>
      </w:pPr>
    </w:p>
    <w:p w:rsidR="00F932B6" w:rsidRPr="00F932B6" w:rsidRDefault="00F932B6" w:rsidP="001247AF">
      <w:pPr>
        <w:pStyle w:val="NoSpacing"/>
        <w:spacing w:line="480" w:lineRule="auto"/>
        <w:jc w:val="both"/>
        <w:rPr>
          <w:rFonts w:ascii="Arial" w:hAnsi="Arial" w:cs="Arial"/>
          <w:sz w:val="24"/>
          <w:szCs w:val="24"/>
          <w:u w:val="single"/>
        </w:rPr>
      </w:pPr>
      <w:r w:rsidRPr="00F932B6">
        <w:rPr>
          <w:rFonts w:ascii="Arial" w:hAnsi="Arial" w:cs="Arial"/>
          <w:sz w:val="24"/>
          <w:szCs w:val="24"/>
          <w:u w:val="single"/>
        </w:rPr>
        <w:t>Submissions on appeal</w:t>
      </w:r>
    </w:p>
    <w:p w:rsidR="001247AF" w:rsidRDefault="00452DB7" w:rsidP="001247A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Ms Boonzaier who appeared on behalf of the appellant informed the court that the main issue for consideration is whether the forfeiture of property application applied </w:t>
      </w:r>
      <w:r>
        <w:rPr>
          <w:rFonts w:ascii="Arial" w:hAnsi="Arial" w:cs="Arial"/>
          <w:sz w:val="24"/>
          <w:szCs w:val="24"/>
        </w:rPr>
        <w:lastRenderedPageBreak/>
        <w:t xml:space="preserve">for by the appellant in terms of s 59(1) of </w:t>
      </w:r>
      <w:r w:rsidR="00377D31">
        <w:rPr>
          <w:rFonts w:ascii="Arial" w:hAnsi="Arial" w:cs="Arial"/>
          <w:sz w:val="24"/>
          <w:szCs w:val="24"/>
        </w:rPr>
        <w:t>the Act</w:t>
      </w:r>
      <w:r>
        <w:rPr>
          <w:rFonts w:ascii="Arial" w:hAnsi="Arial" w:cs="Arial"/>
          <w:sz w:val="24"/>
          <w:szCs w:val="24"/>
        </w:rPr>
        <w:t xml:space="preserve"> on 9 June 2017 constitutes a pending forfeiture application for purposes of s 53(1) of </w:t>
      </w:r>
      <w:r w:rsidR="00377D31">
        <w:rPr>
          <w:rFonts w:ascii="Arial" w:hAnsi="Arial" w:cs="Arial"/>
          <w:sz w:val="24"/>
          <w:szCs w:val="24"/>
        </w:rPr>
        <w:t>the Act.</w:t>
      </w:r>
    </w:p>
    <w:p w:rsidR="00806083" w:rsidRPr="00CB54C2" w:rsidRDefault="00806083" w:rsidP="00806083">
      <w:pPr>
        <w:pStyle w:val="NoSpacing"/>
        <w:spacing w:line="480" w:lineRule="auto"/>
        <w:jc w:val="both"/>
        <w:rPr>
          <w:rFonts w:ascii="Arial" w:hAnsi="Arial" w:cs="Arial"/>
          <w:sz w:val="24"/>
          <w:szCs w:val="24"/>
        </w:rPr>
      </w:pPr>
    </w:p>
    <w:p w:rsidR="001247AF" w:rsidRPr="00CB54C2" w:rsidRDefault="00452DB7" w:rsidP="001247A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Ms Boonzaier submitted that the court </w:t>
      </w:r>
      <w:r w:rsidRPr="007B4C7B">
        <w:rPr>
          <w:rFonts w:ascii="Arial" w:hAnsi="Arial" w:cs="Arial"/>
          <w:i/>
          <w:sz w:val="24"/>
          <w:szCs w:val="24"/>
        </w:rPr>
        <w:t>a quo</w:t>
      </w:r>
      <w:r>
        <w:rPr>
          <w:rFonts w:ascii="Arial" w:hAnsi="Arial" w:cs="Arial"/>
          <w:sz w:val="24"/>
          <w:szCs w:val="24"/>
        </w:rPr>
        <w:t xml:space="preserve"> erred in finding that there was no valid preservation order at the time when the appellant served the forfeiture application on the first respondent; </w:t>
      </w:r>
      <w:r w:rsidR="00154B07">
        <w:rPr>
          <w:rFonts w:ascii="Arial" w:hAnsi="Arial" w:cs="Arial"/>
          <w:sz w:val="24"/>
          <w:szCs w:val="24"/>
        </w:rPr>
        <w:t xml:space="preserve">erred </w:t>
      </w:r>
      <w:r>
        <w:rPr>
          <w:rFonts w:ascii="Arial" w:hAnsi="Arial" w:cs="Arial"/>
          <w:sz w:val="24"/>
          <w:szCs w:val="24"/>
        </w:rPr>
        <w:t>in finding that service in terms of reg 3</w:t>
      </w:r>
      <w:r w:rsidR="00F52B53">
        <w:rPr>
          <w:rStyle w:val="FootnoteReference"/>
          <w:rFonts w:ascii="Arial" w:hAnsi="Arial" w:cs="Arial"/>
          <w:sz w:val="24"/>
          <w:szCs w:val="24"/>
        </w:rPr>
        <w:footnoteReference w:id="6"/>
      </w:r>
      <w:r>
        <w:rPr>
          <w:rFonts w:ascii="Arial" w:hAnsi="Arial" w:cs="Arial"/>
          <w:sz w:val="24"/>
          <w:szCs w:val="24"/>
        </w:rPr>
        <w:t xml:space="preserve"> of </w:t>
      </w:r>
      <w:r w:rsidR="00377D31">
        <w:rPr>
          <w:rFonts w:ascii="Arial" w:hAnsi="Arial" w:cs="Arial"/>
          <w:sz w:val="24"/>
          <w:szCs w:val="24"/>
        </w:rPr>
        <w:t xml:space="preserve">the </w:t>
      </w:r>
      <w:r w:rsidR="00F52B53">
        <w:rPr>
          <w:rFonts w:ascii="Arial" w:hAnsi="Arial" w:cs="Arial"/>
          <w:sz w:val="24"/>
          <w:szCs w:val="24"/>
        </w:rPr>
        <w:t>regulations made in pursuan</w:t>
      </w:r>
      <w:r w:rsidR="005D2DFB">
        <w:rPr>
          <w:rFonts w:ascii="Arial" w:hAnsi="Arial" w:cs="Arial"/>
          <w:sz w:val="24"/>
          <w:szCs w:val="24"/>
        </w:rPr>
        <w:t>ce</w:t>
      </w:r>
      <w:r w:rsidR="00F52B53">
        <w:rPr>
          <w:rFonts w:ascii="Arial" w:hAnsi="Arial" w:cs="Arial"/>
          <w:sz w:val="24"/>
          <w:szCs w:val="24"/>
        </w:rPr>
        <w:t xml:space="preserve"> of the </w:t>
      </w:r>
      <w:r w:rsidR="00377D31">
        <w:rPr>
          <w:rFonts w:ascii="Arial" w:hAnsi="Arial" w:cs="Arial"/>
          <w:sz w:val="24"/>
          <w:szCs w:val="24"/>
        </w:rPr>
        <w:t>Act</w:t>
      </w:r>
      <w:r>
        <w:rPr>
          <w:rFonts w:ascii="Arial" w:hAnsi="Arial" w:cs="Arial"/>
          <w:sz w:val="24"/>
          <w:szCs w:val="24"/>
        </w:rPr>
        <w:t xml:space="preserve"> was irregular;</w:t>
      </w:r>
      <w:r w:rsidR="00497908">
        <w:rPr>
          <w:rFonts w:ascii="Arial" w:hAnsi="Arial" w:cs="Arial"/>
          <w:sz w:val="24"/>
          <w:szCs w:val="24"/>
        </w:rPr>
        <w:t xml:space="preserve"> </w:t>
      </w:r>
      <w:r w:rsidR="00154B07">
        <w:rPr>
          <w:rFonts w:ascii="Arial" w:hAnsi="Arial" w:cs="Arial"/>
          <w:sz w:val="24"/>
          <w:szCs w:val="24"/>
        </w:rPr>
        <w:t xml:space="preserve">erred </w:t>
      </w:r>
      <w:r w:rsidR="00497908">
        <w:rPr>
          <w:rFonts w:ascii="Arial" w:hAnsi="Arial" w:cs="Arial"/>
          <w:sz w:val="24"/>
          <w:szCs w:val="24"/>
        </w:rPr>
        <w:t xml:space="preserve">in finding that the time period provided for in s 52(4) of </w:t>
      </w:r>
      <w:r w:rsidR="00377D31">
        <w:rPr>
          <w:rFonts w:ascii="Arial" w:hAnsi="Arial" w:cs="Arial"/>
          <w:sz w:val="24"/>
          <w:szCs w:val="24"/>
        </w:rPr>
        <w:t>the Act</w:t>
      </w:r>
      <w:r w:rsidR="00497908">
        <w:rPr>
          <w:rFonts w:ascii="Arial" w:hAnsi="Arial" w:cs="Arial"/>
          <w:sz w:val="24"/>
          <w:szCs w:val="24"/>
        </w:rPr>
        <w:t xml:space="preserve"> for an interested party to file a notice in terms of s 52(3) of </w:t>
      </w:r>
      <w:r w:rsidR="00377D31">
        <w:rPr>
          <w:rFonts w:ascii="Arial" w:hAnsi="Arial" w:cs="Arial"/>
          <w:sz w:val="24"/>
          <w:szCs w:val="24"/>
        </w:rPr>
        <w:t>the Act</w:t>
      </w:r>
      <w:r w:rsidR="00497908">
        <w:rPr>
          <w:rFonts w:ascii="Arial" w:hAnsi="Arial" w:cs="Arial"/>
          <w:sz w:val="24"/>
          <w:szCs w:val="24"/>
        </w:rPr>
        <w:t>, commences when the preservation application is served on the affected party.</w:t>
      </w:r>
    </w:p>
    <w:p w:rsidR="001247AF" w:rsidRPr="00CB54C2" w:rsidRDefault="001247AF" w:rsidP="001247AF">
      <w:pPr>
        <w:pStyle w:val="NoSpacing"/>
        <w:spacing w:line="480" w:lineRule="auto"/>
        <w:jc w:val="both"/>
        <w:rPr>
          <w:rFonts w:ascii="Arial" w:hAnsi="Arial" w:cs="Arial"/>
          <w:sz w:val="24"/>
          <w:szCs w:val="24"/>
        </w:rPr>
      </w:pPr>
    </w:p>
    <w:p w:rsidR="001247AF" w:rsidRDefault="00154B07" w:rsidP="001247A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Ms Boonzaier</w:t>
      </w:r>
      <w:r w:rsidR="00497908">
        <w:rPr>
          <w:rFonts w:ascii="Arial" w:hAnsi="Arial" w:cs="Arial"/>
          <w:sz w:val="24"/>
          <w:szCs w:val="24"/>
        </w:rPr>
        <w:t xml:space="preserve"> submitted that the following issues are before this court:</w:t>
      </w:r>
    </w:p>
    <w:p w:rsidR="00497908" w:rsidRDefault="0015773F" w:rsidP="003644DF">
      <w:pPr>
        <w:pStyle w:val="NoSpacing"/>
        <w:numPr>
          <w:ilvl w:val="0"/>
          <w:numId w:val="9"/>
        </w:numPr>
        <w:spacing w:line="480" w:lineRule="auto"/>
        <w:ind w:hanging="731"/>
        <w:jc w:val="both"/>
        <w:rPr>
          <w:rFonts w:ascii="Arial" w:hAnsi="Arial" w:cs="Arial"/>
          <w:sz w:val="24"/>
          <w:szCs w:val="24"/>
        </w:rPr>
      </w:pPr>
      <w:r w:rsidRPr="00AF36F5">
        <w:rPr>
          <w:rFonts w:ascii="Arial" w:hAnsi="Arial" w:cs="Arial"/>
          <w:sz w:val="24"/>
          <w:szCs w:val="24"/>
        </w:rPr>
        <w:t>Whether the preservation of property order expired;</w:t>
      </w:r>
    </w:p>
    <w:p w:rsidR="0015773F" w:rsidRDefault="0015773F" w:rsidP="00AF36F5">
      <w:pPr>
        <w:pStyle w:val="NoSpacing"/>
        <w:numPr>
          <w:ilvl w:val="0"/>
          <w:numId w:val="9"/>
        </w:numPr>
        <w:spacing w:line="480" w:lineRule="auto"/>
        <w:ind w:hanging="731"/>
        <w:jc w:val="both"/>
        <w:rPr>
          <w:rFonts w:ascii="Arial" w:hAnsi="Arial" w:cs="Arial"/>
          <w:sz w:val="24"/>
          <w:szCs w:val="24"/>
        </w:rPr>
      </w:pPr>
      <w:r w:rsidRPr="00AF36F5">
        <w:rPr>
          <w:rFonts w:ascii="Arial" w:hAnsi="Arial" w:cs="Arial"/>
          <w:sz w:val="24"/>
          <w:szCs w:val="24"/>
        </w:rPr>
        <w:t>Whether the service in terms of reg 3 was irregular;</w:t>
      </w:r>
    </w:p>
    <w:p w:rsidR="00154B07" w:rsidRPr="00AF36F5" w:rsidRDefault="0015773F" w:rsidP="00AF36F5">
      <w:pPr>
        <w:pStyle w:val="NoSpacing"/>
        <w:numPr>
          <w:ilvl w:val="0"/>
          <w:numId w:val="9"/>
        </w:numPr>
        <w:spacing w:line="480" w:lineRule="auto"/>
        <w:ind w:hanging="731"/>
        <w:jc w:val="both"/>
        <w:rPr>
          <w:rFonts w:ascii="Arial" w:hAnsi="Arial" w:cs="Arial"/>
          <w:sz w:val="24"/>
          <w:szCs w:val="24"/>
        </w:rPr>
      </w:pPr>
      <w:r w:rsidRPr="00AF36F5">
        <w:rPr>
          <w:rFonts w:ascii="Arial" w:hAnsi="Arial" w:cs="Arial"/>
          <w:sz w:val="24"/>
          <w:szCs w:val="24"/>
        </w:rPr>
        <w:t xml:space="preserve">Whether the 21 day period in s 52(4) of </w:t>
      </w:r>
      <w:r w:rsidR="00377D31">
        <w:rPr>
          <w:rFonts w:ascii="Arial" w:hAnsi="Arial" w:cs="Arial"/>
          <w:sz w:val="24"/>
          <w:szCs w:val="24"/>
        </w:rPr>
        <w:t>the Act</w:t>
      </w:r>
      <w:r w:rsidRPr="00AF36F5">
        <w:rPr>
          <w:rFonts w:ascii="Arial" w:hAnsi="Arial" w:cs="Arial"/>
          <w:sz w:val="24"/>
          <w:szCs w:val="24"/>
        </w:rPr>
        <w:t xml:space="preserve"> commences only from the date of service of the preservation of property application.</w:t>
      </w:r>
    </w:p>
    <w:p w:rsidR="001247AF" w:rsidRPr="00CB54C2" w:rsidRDefault="001247AF" w:rsidP="001247AF">
      <w:pPr>
        <w:pStyle w:val="NoSpacing"/>
        <w:spacing w:line="480" w:lineRule="auto"/>
        <w:jc w:val="both"/>
        <w:rPr>
          <w:rFonts w:ascii="Arial" w:hAnsi="Arial" w:cs="Arial"/>
          <w:sz w:val="24"/>
          <w:szCs w:val="24"/>
        </w:rPr>
      </w:pPr>
    </w:p>
    <w:p w:rsidR="001247AF" w:rsidRPr="00CB54C2" w:rsidRDefault="001C26DC" w:rsidP="001247A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Ms </w:t>
      </w:r>
      <w:r w:rsidR="00646C0A">
        <w:rPr>
          <w:rFonts w:ascii="Arial" w:hAnsi="Arial" w:cs="Arial"/>
          <w:sz w:val="24"/>
          <w:szCs w:val="24"/>
        </w:rPr>
        <w:t xml:space="preserve">Boonzaier submitted that a person on whom a preservation of property order was served may participate in a </w:t>
      </w:r>
      <w:r w:rsidR="008D0A6F">
        <w:rPr>
          <w:rFonts w:ascii="Arial" w:hAnsi="Arial" w:cs="Arial"/>
          <w:sz w:val="24"/>
          <w:szCs w:val="24"/>
        </w:rPr>
        <w:t xml:space="preserve">forfeiture of property application by filing a notice in terms of s 52(3) of </w:t>
      </w:r>
      <w:r w:rsidR="00377D31">
        <w:rPr>
          <w:rFonts w:ascii="Arial" w:hAnsi="Arial" w:cs="Arial"/>
          <w:sz w:val="24"/>
          <w:szCs w:val="24"/>
        </w:rPr>
        <w:t>the Act</w:t>
      </w:r>
      <w:r w:rsidR="008D0A6F">
        <w:rPr>
          <w:rFonts w:ascii="Arial" w:hAnsi="Arial" w:cs="Arial"/>
          <w:sz w:val="24"/>
          <w:szCs w:val="24"/>
        </w:rPr>
        <w:t xml:space="preserve"> giving notice of his or her intention to oppose the making of a forfeiture order. This notice must be given within 21 day</w:t>
      </w:r>
      <w:r w:rsidR="007B4C7B">
        <w:rPr>
          <w:rFonts w:ascii="Arial" w:hAnsi="Arial" w:cs="Arial"/>
          <w:sz w:val="24"/>
          <w:szCs w:val="24"/>
        </w:rPr>
        <w:t>s</w:t>
      </w:r>
      <w:r w:rsidR="008D0A6F">
        <w:rPr>
          <w:rFonts w:ascii="Arial" w:hAnsi="Arial" w:cs="Arial"/>
          <w:sz w:val="24"/>
          <w:szCs w:val="24"/>
        </w:rPr>
        <w:t xml:space="preserve"> after service and must be accompanied by an affidavit in which specific particulars must be stated. </w:t>
      </w:r>
    </w:p>
    <w:p w:rsidR="001247AF" w:rsidRPr="00CB54C2" w:rsidRDefault="008D0A6F" w:rsidP="001247A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If the notice is </w:t>
      </w:r>
      <w:r w:rsidR="00363DAB">
        <w:rPr>
          <w:rFonts w:ascii="Arial" w:hAnsi="Arial" w:cs="Arial"/>
          <w:sz w:val="24"/>
          <w:szCs w:val="24"/>
        </w:rPr>
        <w:t xml:space="preserve">not </w:t>
      </w:r>
      <w:r>
        <w:rPr>
          <w:rFonts w:ascii="Arial" w:hAnsi="Arial" w:cs="Arial"/>
          <w:sz w:val="24"/>
          <w:szCs w:val="24"/>
        </w:rPr>
        <w:t xml:space="preserve">filed within the time period stipulated or is not accompanied by an affidavit in terms of s </w:t>
      </w:r>
      <w:r w:rsidR="00630750">
        <w:rPr>
          <w:rFonts w:ascii="Arial" w:hAnsi="Arial" w:cs="Arial"/>
          <w:sz w:val="24"/>
          <w:szCs w:val="24"/>
        </w:rPr>
        <w:t xml:space="preserve">52(5) then the sanction in s 52(6) </w:t>
      </w:r>
      <w:r>
        <w:rPr>
          <w:rFonts w:ascii="Arial" w:hAnsi="Arial" w:cs="Arial"/>
          <w:sz w:val="24"/>
          <w:szCs w:val="24"/>
        </w:rPr>
        <w:t xml:space="preserve">becomes applicable </w:t>
      </w:r>
      <w:r w:rsidR="00420CF1">
        <w:rPr>
          <w:rFonts w:ascii="Arial" w:hAnsi="Arial" w:cs="Arial"/>
          <w:sz w:val="24"/>
          <w:szCs w:val="24"/>
        </w:rPr>
        <w:t>which provides that in those circumstances such a person is not entitled to receive from the appellant a notice of an application for a forfeiture of property order. Section 52</w:t>
      </w:r>
      <w:r w:rsidR="00420CF1" w:rsidRPr="00630750">
        <w:rPr>
          <w:rFonts w:ascii="Arial" w:hAnsi="Arial" w:cs="Arial"/>
          <w:sz w:val="24"/>
          <w:szCs w:val="24"/>
        </w:rPr>
        <w:t>(</w:t>
      </w:r>
      <w:r w:rsidR="00630750">
        <w:rPr>
          <w:rFonts w:ascii="Arial" w:hAnsi="Arial" w:cs="Arial"/>
          <w:sz w:val="24"/>
          <w:szCs w:val="24"/>
        </w:rPr>
        <w:t>6</w:t>
      </w:r>
      <w:r w:rsidR="00420CF1" w:rsidRPr="00630750">
        <w:rPr>
          <w:rFonts w:ascii="Arial" w:hAnsi="Arial" w:cs="Arial"/>
          <w:sz w:val="24"/>
          <w:szCs w:val="24"/>
        </w:rPr>
        <w:t>)</w:t>
      </w:r>
      <w:r w:rsidR="00420CF1">
        <w:rPr>
          <w:rFonts w:ascii="Arial" w:hAnsi="Arial" w:cs="Arial"/>
          <w:sz w:val="24"/>
          <w:szCs w:val="24"/>
        </w:rPr>
        <w:t xml:space="preserve"> it was submitted is not peremptory but directs the appellant not to give notice. It was further submitted at the stage where the appellant applies for a forfeiture of property </w:t>
      </w:r>
      <w:r w:rsidR="007B4C7B">
        <w:rPr>
          <w:rFonts w:ascii="Arial" w:hAnsi="Arial" w:cs="Arial"/>
          <w:sz w:val="24"/>
          <w:szCs w:val="24"/>
        </w:rPr>
        <w:t>order,</w:t>
      </w:r>
      <w:r w:rsidR="00420CF1">
        <w:rPr>
          <w:rFonts w:ascii="Arial" w:hAnsi="Arial" w:cs="Arial"/>
          <w:sz w:val="24"/>
          <w:szCs w:val="24"/>
        </w:rPr>
        <w:t xml:space="preserve"> a court would exercise judicial oversight regarding the compliance with the provisions of s 52</w:t>
      </w:r>
      <w:r w:rsidR="00826F95">
        <w:rPr>
          <w:rFonts w:ascii="Arial" w:hAnsi="Arial" w:cs="Arial"/>
          <w:sz w:val="24"/>
          <w:szCs w:val="24"/>
        </w:rPr>
        <w:t>(</w:t>
      </w:r>
      <w:r w:rsidR="00F52B53">
        <w:rPr>
          <w:rFonts w:ascii="Arial" w:hAnsi="Arial" w:cs="Arial"/>
          <w:sz w:val="24"/>
          <w:szCs w:val="24"/>
        </w:rPr>
        <w:t>3</w:t>
      </w:r>
      <w:r w:rsidR="00420CF1" w:rsidRPr="00826F95">
        <w:rPr>
          <w:rFonts w:ascii="Arial" w:hAnsi="Arial" w:cs="Arial"/>
          <w:sz w:val="24"/>
          <w:szCs w:val="24"/>
        </w:rPr>
        <w:t>)</w:t>
      </w:r>
      <w:r w:rsidR="00F52B53">
        <w:rPr>
          <w:rFonts w:ascii="Arial" w:hAnsi="Arial" w:cs="Arial"/>
          <w:sz w:val="24"/>
          <w:szCs w:val="24"/>
        </w:rPr>
        <w:t xml:space="preserve"> and (5) </w:t>
      </w:r>
      <w:r w:rsidR="00420CF1">
        <w:rPr>
          <w:rFonts w:ascii="Arial" w:hAnsi="Arial" w:cs="Arial"/>
          <w:sz w:val="24"/>
          <w:szCs w:val="24"/>
        </w:rPr>
        <w:t xml:space="preserve">or </w:t>
      </w:r>
      <w:r w:rsidR="00806083">
        <w:rPr>
          <w:rFonts w:ascii="Arial" w:hAnsi="Arial" w:cs="Arial"/>
          <w:sz w:val="24"/>
          <w:szCs w:val="24"/>
        </w:rPr>
        <w:t>the non-compliance</w:t>
      </w:r>
      <w:r w:rsidR="00F43C33">
        <w:rPr>
          <w:rFonts w:ascii="Arial" w:hAnsi="Arial" w:cs="Arial"/>
          <w:sz w:val="24"/>
          <w:szCs w:val="24"/>
        </w:rPr>
        <w:t xml:space="preserve"> thereof</w:t>
      </w:r>
      <w:r w:rsidR="00420CF1">
        <w:rPr>
          <w:rFonts w:ascii="Arial" w:hAnsi="Arial" w:cs="Arial"/>
          <w:sz w:val="24"/>
          <w:szCs w:val="24"/>
        </w:rPr>
        <w:t xml:space="preserve">. Where there was non-compliance with s 52(3), (4) and (5) a court may allow a default forfeiture of property order as provided for in s 64 </w:t>
      </w:r>
      <w:r w:rsidR="00630750">
        <w:rPr>
          <w:rFonts w:ascii="Arial" w:hAnsi="Arial" w:cs="Arial"/>
          <w:sz w:val="24"/>
          <w:szCs w:val="24"/>
        </w:rPr>
        <w:t xml:space="preserve">of the Act </w:t>
      </w:r>
      <w:r w:rsidR="00420CF1">
        <w:rPr>
          <w:rFonts w:ascii="Arial" w:hAnsi="Arial" w:cs="Arial"/>
          <w:sz w:val="24"/>
          <w:szCs w:val="24"/>
        </w:rPr>
        <w:t xml:space="preserve">and may then make certain orders. </w:t>
      </w:r>
    </w:p>
    <w:p w:rsidR="001247AF" w:rsidRPr="00CB54C2" w:rsidRDefault="001247AF" w:rsidP="001247AF">
      <w:pPr>
        <w:pStyle w:val="NoSpacing"/>
        <w:spacing w:line="480" w:lineRule="auto"/>
        <w:jc w:val="both"/>
        <w:rPr>
          <w:rFonts w:ascii="Arial" w:hAnsi="Arial" w:cs="Arial"/>
          <w:sz w:val="24"/>
          <w:szCs w:val="24"/>
        </w:rPr>
      </w:pPr>
    </w:p>
    <w:p w:rsidR="001247AF" w:rsidRPr="00CB54C2" w:rsidRDefault="00420CF1" w:rsidP="001247A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w:t>
      </w:r>
      <w:r w:rsidR="00336FE2">
        <w:rPr>
          <w:rFonts w:ascii="Arial" w:hAnsi="Arial" w:cs="Arial"/>
          <w:sz w:val="24"/>
          <w:szCs w:val="24"/>
        </w:rPr>
        <w:t xml:space="preserve">submitted that the whole issue of whether or not there was a pending forfeiture application is based on the contention by the appellant that when she applied for the forfeiture of property order, the respondents were not allowed to either receive notice or to participate in the application. Therefore, so it was submitted, that service of the application on the respondent was not a pre-requisite for the forfeiture application to be pending. </w:t>
      </w:r>
    </w:p>
    <w:p w:rsidR="001247AF" w:rsidRPr="00CB54C2" w:rsidRDefault="001247AF" w:rsidP="001247AF">
      <w:pPr>
        <w:pStyle w:val="NoSpacing"/>
        <w:spacing w:line="480" w:lineRule="auto"/>
        <w:jc w:val="both"/>
        <w:rPr>
          <w:rFonts w:ascii="Arial" w:hAnsi="Arial" w:cs="Arial"/>
          <w:sz w:val="24"/>
          <w:szCs w:val="24"/>
        </w:rPr>
      </w:pPr>
    </w:p>
    <w:p w:rsidR="00CB28F4" w:rsidRPr="00CB54C2" w:rsidRDefault="00336FE2"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when the court </w:t>
      </w:r>
      <w:r w:rsidRPr="00826F95">
        <w:rPr>
          <w:rFonts w:ascii="Arial" w:hAnsi="Arial" w:cs="Arial"/>
          <w:i/>
          <w:sz w:val="24"/>
          <w:szCs w:val="24"/>
        </w:rPr>
        <w:t>a quo</w:t>
      </w:r>
      <w:r>
        <w:rPr>
          <w:rFonts w:ascii="Arial" w:hAnsi="Arial" w:cs="Arial"/>
          <w:sz w:val="24"/>
          <w:szCs w:val="24"/>
        </w:rPr>
        <w:t xml:space="preserve"> considered the forfeiture application the court was entitled to consider the appellant’s contention that the respondents’ </w:t>
      </w:r>
      <w:r w:rsidR="00826F95">
        <w:rPr>
          <w:rFonts w:ascii="Arial" w:hAnsi="Arial" w:cs="Arial"/>
          <w:sz w:val="24"/>
          <w:szCs w:val="24"/>
        </w:rPr>
        <w:t xml:space="preserve">           </w:t>
      </w:r>
      <w:r>
        <w:rPr>
          <w:rFonts w:ascii="Arial" w:hAnsi="Arial" w:cs="Arial"/>
          <w:sz w:val="24"/>
          <w:szCs w:val="24"/>
        </w:rPr>
        <w:t xml:space="preserve">s 52(3) notice was not compliant with the provisions of </w:t>
      </w:r>
      <w:r w:rsidR="00377D31">
        <w:rPr>
          <w:rFonts w:ascii="Arial" w:hAnsi="Arial" w:cs="Arial"/>
          <w:sz w:val="24"/>
          <w:szCs w:val="24"/>
        </w:rPr>
        <w:t>the Act.</w:t>
      </w:r>
    </w:p>
    <w:p w:rsidR="00CB28F4" w:rsidRPr="00CB54C2" w:rsidRDefault="00CB28F4" w:rsidP="00CB28F4">
      <w:pPr>
        <w:pStyle w:val="NoSpacing"/>
        <w:spacing w:line="480" w:lineRule="auto"/>
        <w:jc w:val="both"/>
        <w:rPr>
          <w:rFonts w:ascii="Arial" w:hAnsi="Arial" w:cs="Arial"/>
          <w:sz w:val="24"/>
          <w:szCs w:val="24"/>
        </w:rPr>
      </w:pPr>
    </w:p>
    <w:p w:rsidR="00CB28F4" w:rsidRPr="00CB54C2" w:rsidRDefault="00336FE2"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the appellant in her founding affidavit in the application f</w:t>
      </w:r>
      <w:r w:rsidR="00AC4574">
        <w:rPr>
          <w:rFonts w:ascii="Arial" w:hAnsi="Arial" w:cs="Arial"/>
          <w:sz w:val="24"/>
          <w:szCs w:val="24"/>
        </w:rPr>
        <w:t xml:space="preserve">or a forfeiture order stipulated in which respects the respondents did not comply with the </w:t>
      </w:r>
      <w:r w:rsidR="00AC4574">
        <w:rPr>
          <w:rFonts w:ascii="Arial" w:hAnsi="Arial" w:cs="Arial"/>
          <w:sz w:val="24"/>
          <w:szCs w:val="24"/>
        </w:rPr>
        <w:lastRenderedPageBreak/>
        <w:t>provisions of s 52(5), namely, that the full particulars of the chosen address for the delivery of documents was not provided; that the purported s 52(5) affidavit was defective since the deponent had no authority to represent the first respondent; that the only me</w:t>
      </w:r>
      <w:r w:rsidR="00F52B53">
        <w:rPr>
          <w:rFonts w:ascii="Arial" w:hAnsi="Arial" w:cs="Arial"/>
          <w:sz w:val="24"/>
          <w:szCs w:val="24"/>
        </w:rPr>
        <w:t>mber of the close corporation (second</w:t>
      </w:r>
      <w:r w:rsidR="00AC4574">
        <w:rPr>
          <w:rFonts w:ascii="Arial" w:hAnsi="Arial" w:cs="Arial"/>
          <w:sz w:val="24"/>
          <w:szCs w:val="24"/>
        </w:rPr>
        <w:t xml:space="preserve"> respondent) was at that stage precluded from participation in terms of s 99</w:t>
      </w:r>
      <w:r w:rsidR="00F52B53">
        <w:rPr>
          <w:rStyle w:val="FootnoteReference"/>
          <w:rFonts w:ascii="Arial" w:hAnsi="Arial" w:cs="Arial"/>
          <w:sz w:val="24"/>
          <w:szCs w:val="24"/>
        </w:rPr>
        <w:footnoteReference w:id="7"/>
      </w:r>
      <w:r w:rsidR="00AC4574">
        <w:rPr>
          <w:rFonts w:ascii="Arial" w:hAnsi="Arial" w:cs="Arial"/>
          <w:sz w:val="24"/>
          <w:szCs w:val="24"/>
        </w:rPr>
        <w:t xml:space="preserve"> of</w:t>
      </w:r>
      <w:r w:rsidR="00377D31">
        <w:rPr>
          <w:rFonts w:ascii="Arial" w:hAnsi="Arial" w:cs="Arial"/>
          <w:sz w:val="24"/>
          <w:szCs w:val="24"/>
        </w:rPr>
        <w:t xml:space="preserve"> the Act</w:t>
      </w:r>
      <w:r w:rsidR="00AC4574">
        <w:rPr>
          <w:rFonts w:ascii="Arial" w:hAnsi="Arial" w:cs="Arial"/>
          <w:sz w:val="24"/>
          <w:szCs w:val="24"/>
        </w:rPr>
        <w:t xml:space="preserve"> due to the fact </w:t>
      </w:r>
      <w:r w:rsidR="007B4C7B">
        <w:rPr>
          <w:rFonts w:ascii="Arial" w:hAnsi="Arial" w:cs="Arial"/>
          <w:sz w:val="24"/>
          <w:szCs w:val="24"/>
        </w:rPr>
        <w:t>that there was</w:t>
      </w:r>
      <w:r w:rsidR="00AC4574">
        <w:rPr>
          <w:rFonts w:ascii="Arial" w:hAnsi="Arial" w:cs="Arial"/>
          <w:sz w:val="24"/>
          <w:szCs w:val="24"/>
        </w:rPr>
        <w:t xml:space="preserve"> an unexecuted warrant of arrest against her; that the affidavit dealing w</w:t>
      </w:r>
      <w:r w:rsidR="001C26DC">
        <w:rPr>
          <w:rFonts w:ascii="Arial" w:hAnsi="Arial" w:cs="Arial"/>
          <w:sz w:val="24"/>
          <w:szCs w:val="24"/>
        </w:rPr>
        <w:t>ith the requirements of s 52(5)</w:t>
      </w:r>
      <w:r w:rsidR="001C26DC" w:rsidRPr="001C26DC">
        <w:rPr>
          <w:rFonts w:ascii="Arial" w:hAnsi="Arial" w:cs="Arial"/>
          <w:i/>
          <w:sz w:val="24"/>
          <w:szCs w:val="24"/>
        </w:rPr>
        <w:t>(e)</w:t>
      </w:r>
      <w:r w:rsidR="00AC4574">
        <w:rPr>
          <w:rFonts w:ascii="Arial" w:hAnsi="Arial" w:cs="Arial"/>
          <w:sz w:val="24"/>
          <w:szCs w:val="24"/>
        </w:rPr>
        <w:t xml:space="preserve"> contains bare denials and unsubstantiated </w:t>
      </w:r>
      <w:r w:rsidR="001C26DC">
        <w:rPr>
          <w:rFonts w:ascii="Arial" w:hAnsi="Arial" w:cs="Arial"/>
          <w:sz w:val="24"/>
          <w:szCs w:val="24"/>
        </w:rPr>
        <w:t xml:space="preserve">allegations without disclosing the facts which are relied upon in opposing the forfeiture application; and that no basis was laid for denying that the properties are not the proceeds of unlawful activities or instrumentalities of </w:t>
      </w:r>
      <w:r w:rsidR="00806083">
        <w:rPr>
          <w:rFonts w:ascii="Arial" w:hAnsi="Arial" w:cs="Arial"/>
          <w:sz w:val="24"/>
          <w:szCs w:val="24"/>
        </w:rPr>
        <w:t xml:space="preserve">a </w:t>
      </w:r>
      <w:r w:rsidR="00D210CA">
        <w:rPr>
          <w:rFonts w:ascii="Arial" w:hAnsi="Arial" w:cs="Arial"/>
          <w:sz w:val="24"/>
          <w:szCs w:val="24"/>
        </w:rPr>
        <w:t>Schedule 1</w:t>
      </w:r>
      <w:r w:rsidR="001C26DC">
        <w:rPr>
          <w:rFonts w:ascii="Arial" w:hAnsi="Arial" w:cs="Arial"/>
          <w:sz w:val="24"/>
          <w:szCs w:val="24"/>
        </w:rPr>
        <w:t xml:space="preserve"> offence.</w:t>
      </w:r>
    </w:p>
    <w:p w:rsidR="00CB28F4" w:rsidRPr="00CB54C2" w:rsidRDefault="00CB28F4" w:rsidP="00336FE2">
      <w:pPr>
        <w:pStyle w:val="NoSpacing"/>
        <w:spacing w:line="480" w:lineRule="auto"/>
        <w:jc w:val="both"/>
        <w:rPr>
          <w:rFonts w:ascii="Arial" w:hAnsi="Arial" w:cs="Arial"/>
          <w:sz w:val="24"/>
          <w:szCs w:val="24"/>
        </w:rPr>
      </w:pPr>
    </w:p>
    <w:p w:rsidR="00CB28F4" w:rsidRDefault="001C26DC"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Regarding the issue whether </w:t>
      </w:r>
      <w:r w:rsidR="007B4C7B">
        <w:rPr>
          <w:rFonts w:ascii="Arial" w:hAnsi="Arial" w:cs="Arial"/>
          <w:sz w:val="24"/>
          <w:szCs w:val="24"/>
        </w:rPr>
        <w:t>t</w:t>
      </w:r>
      <w:r>
        <w:rPr>
          <w:rFonts w:ascii="Arial" w:hAnsi="Arial" w:cs="Arial"/>
          <w:sz w:val="24"/>
          <w:szCs w:val="24"/>
        </w:rPr>
        <w:t xml:space="preserve">here was a forfeiture application pending, it was submitted by Ms Boonzaier that since forfeiture under </w:t>
      </w:r>
      <w:r w:rsidR="00377D31">
        <w:rPr>
          <w:rFonts w:ascii="Arial" w:hAnsi="Arial" w:cs="Arial"/>
          <w:sz w:val="24"/>
          <w:szCs w:val="24"/>
        </w:rPr>
        <w:t xml:space="preserve">the Act </w:t>
      </w:r>
      <w:r>
        <w:rPr>
          <w:rFonts w:ascii="Arial" w:hAnsi="Arial" w:cs="Arial"/>
          <w:sz w:val="24"/>
          <w:szCs w:val="24"/>
        </w:rPr>
        <w:t>are proceeding</w:t>
      </w:r>
      <w:r w:rsidR="00806083">
        <w:rPr>
          <w:rFonts w:ascii="Arial" w:hAnsi="Arial" w:cs="Arial"/>
          <w:sz w:val="24"/>
          <w:szCs w:val="24"/>
        </w:rPr>
        <w:t>s</w:t>
      </w:r>
      <w:r>
        <w:rPr>
          <w:rFonts w:ascii="Arial" w:hAnsi="Arial" w:cs="Arial"/>
          <w:sz w:val="24"/>
          <w:szCs w:val="24"/>
        </w:rPr>
        <w:t xml:space="preserve"> </w:t>
      </w:r>
      <w:r w:rsidRPr="001C26DC">
        <w:rPr>
          <w:rFonts w:ascii="Arial" w:hAnsi="Arial" w:cs="Arial"/>
          <w:i/>
          <w:sz w:val="24"/>
          <w:szCs w:val="24"/>
        </w:rPr>
        <w:t>in rem</w:t>
      </w:r>
      <w:r w:rsidR="007B4C7B">
        <w:rPr>
          <w:rFonts w:ascii="Arial" w:hAnsi="Arial" w:cs="Arial"/>
          <w:sz w:val="24"/>
          <w:szCs w:val="24"/>
        </w:rPr>
        <w:t>,</w:t>
      </w:r>
      <w:r>
        <w:rPr>
          <w:rFonts w:ascii="Arial" w:hAnsi="Arial" w:cs="Arial"/>
          <w:sz w:val="24"/>
          <w:szCs w:val="24"/>
        </w:rPr>
        <w:t xml:space="preserve"> the commencement of the action is deemed to be the issue of process in contrast with an action </w:t>
      </w:r>
      <w:r w:rsidRPr="001C26DC">
        <w:rPr>
          <w:rFonts w:ascii="Arial" w:hAnsi="Arial" w:cs="Arial"/>
          <w:i/>
          <w:sz w:val="24"/>
          <w:szCs w:val="24"/>
        </w:rPr>
        <w:t>in personam</w:t>
      </w:r>
      <w:r>
        <w:rPr>
          <w:rFonts w:ascii="Arial" w:hAnsi="Arial" w:cs="Arial"/>
          <w:sz w:val="24"/>
          <w:szCs w:val="24"/>
        </w:rPr>
        <w:t xml:space="preserve"> which commences when the action is served. The forfeiture application was initiated when the appellant filed with the registrar the application within 120 days after the publication of the notice of the preservation of property order in the Gazette. It was submitted that the legislature does not require service of the forfeiture of property application for such an application to be pending as required by s 53(1) of </w:t>
      </w:r>
      <w:r w:rsidR="00377D31">
        <w:rPr>
          <w:rFonts w:ascii="Arial" w:hAnsi="Arial" w:cs="Arial"/>
          <w:sz w:val="24"/>
          <w:szCs w:val="24"/>
        </w:rPr>
        <w:lastRenderedPageBreak/>
        <w:t>the Act</w:t>
      </w:r>
      <w:r>
        <w:rPr>
          <w:rFonts w:ascii="Arial" w:hAnsi="Arial" w:cs="Arial"/>
          <w:sz w:val="24"/>
          <w:szCs w:val="24"/>
        </w:rPr>
        <w:t xml:space="preserve">. It was pointed out that s 59(2) of </w:t>
      </w:r>
      <w:r w:rsidR="00377D31">
        <w:rPr>
          <w:rFonts w:ascii="Arial" w:hAnsi="Arial" w:cs="Arial"/>
          <w:sz w:val="24"/>
          <w:szCs w:val="24"/>
        </w:rPr>
        <w:t>the Act</w:t>
      </w:r>
      <w:r>
        <w:rPr>
          <w:rFonts w:ascii="Arial" w:hAnsi="Arial" w:cs="Arial"/>
          <w:sz w:val="24"/>
          <w:szCs w:val="24"/>
        </w:rPr>
        <w:t xml:space="preserve"> </w:t>
      </w:r>
      <w:r w:rsidR="00E50846">
        <w:rPr>
          <w:rFonts w:ascii="Arial" w:hAnsi="Arial" w:cs="Arial"/>
          <w:sz w:val="24"/>
          <w:szCs w:val="24"/>
        </w:rPr>
        <w:t xml:space="preserve">requires the appellant to give ‘notice’ of 14 days of an application for a forfeiture of property order and if service is a requirement, there would be no need for a person who filed his </w:t>
      </w:r>
      <w:r w:rsidR="0041337D">
        <w:rPr>
          <w:rFonts w:ascii="Arial" w:hAnsi="Arial" w:cs="Arial"/>
          <w:sz w:val="24"/>
          <w:szCs w:val="24"/>
        </w:rPr>
        <w:t xml:space="preserve">or her </w:t>
      </w:r>
      <w:r w:rsidR="00E50846">
        <w:rPr>
          <w:rFonts w:ascii="Arial" w:hAnsi="Arial" w:cs="Arial"/>
          <w:sz w:val="24"/>
          <w:szCs w:val="24"/>
        </w:rPr>
        <w:t>notice to oppose late, to apply for condonation</w:t>
      </w:r>
      <w:r w:rsidR="00806083">
        <w:rPr>
          <w:rFonts w:ascii="Arial" w:hAnsi="Arial" w:cs="Arial"/>
          <w:sz w:val="24"/>
          <w:szCs w:val="24"/>
        </w:rPr>
        <w:t>,</w:t>
      </w:r>
      <w:r w:rsidR="00E50846">
        <w:rPr>
          <w:rFonts w:ascii="Arial" w:hAnsi="Arial" w:cs="Arial"/>
          <w:sz w:val="24"/>
          <w:szCs w:val="24"/>
        </w:rPr>
        <w:t xml:space="preserve"> as the appellant would have been required to serve the application on him or her, rendering s 60 superfluous. </w:t>
      </w:r>
    </w:p>
    <w:p w:rsidR="0041337D" w:rsidRPr="00CB54C2" w:rsidRDefault="0041337D" w:rsidP="0041337D">
      <w:pPr>
        <w:pStyle w:val="NoSpacing"/>
        <w:spacing w:line="480" w:lineRule="auto"/>
        <w:jc w:val="both"/>
        <w:rPr>
          <w:rFonts w:ascii="Arial" w:hAnsi="Arial" w:cs="Arial"/>
          <w:sz w:val="24"/>
          <w:szCs w:val="24"/>
        </w:rPr>
      </w:pPr>
    </w:p>
    <w:p w:rsidR="00CB28F4" w:rsidRPr="00CB54C2" w:rsidRDefault="00E50846"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Namandje </w:t>
      </w:r>
      <w:r w:rsidR="0041337D">
        <w:rPr>
          <w:rFonts w:ascii="Arial" w:hAnsi="Arial" w:cs="Arial"/>
          <w:sz w:val="24"/>
          <w:szCs w:val="24"/>
        </w:rPr>
        <w:t xml:space="preserve">on behalf of the respondent </w:t>
      </w:r>
      <w:r>
        <w:rPr>
          <w:rFonts w:ascii="Arial" w:hAnsi="Arial" w:cs="Arial"/>
          <w:sz w:val="24"/>
          <w:szCs w:val="24"/>
        </w:rPr>
        <w:t xml:space="preserve">submitted that the address provided, in the context of the affidavit  in terms of s 52(5) is compliant with the requirement of providing full particulars </w:t>
      </w:r>
      <w:r w:rsidR="00E40546">
        <w:rPr>
          <w:rFonts w:ascii="Arial" w:hAnsi="Arial" w:cs="Arial"/>
          <w:sz w:val="24"/>
          <w:szCs w:val="24"/>
        </w:rPr>
        <w:t xml:space="preserve">of the chosen address for the delivery of future documents since an address was provided by the deponent. It was submitted that where the appellant alleged that the respondents were not entitled to receive notice of the forfeiture application </w:t>
      </w:r>
      <w:r w:rsidR="00826F95">
        <w:rPr>
          <w:rFonts w:ascii="Arial" w:hAnsi="Arial" w:cs="Arial"/>
          <w:sz w:val="24"/>
          <w:szCs w:val="24"/>
        </w:rPr>
        <w:t>but then proceeded to serve the document</w:t>
      </w:r>
      <w:r w:rsidR="00630750">
        <w:rPr>
          <w:rFonts w:ascii="Arial" w:hAnsi="Arial" w:cs="Arial"/>
          <w:sz w:val="24"/>
          <w:szCs w:val="24"/>
        </w:rPr>
        <w:t>,</w:t>
      </w:r>
      <w:r w:rsidR="00826F95">
        <w:rPr>
          <w:rFonts w:ascii="Arial" w:hAnsi="Arial" w:cs="Arial"/>
          <w:sz w:val="24"/>
          <w:szCs w:val="24"/>
        </w:rPr>
        <w:t xml:space="preserve"> then by her conduct, despite her subjective view that there was no need to serv</w:t>
      </w:r>
      <w:r w:rsidR="009E1737">
        <w:rPr>
          <w:rFonts w:ascii="Arial" w:hAnsi="Arial" w:cs="Arial"/>
          <w:sz w:val="24"/>
          <w:szCs w:val="24"/>
        </w:rPr>
        <w:t>e the respondents, there was per</w:t>
      </w:r>
      <w:r w:rsidR="00826F95">
        <w:rPr>
          <w:rFonts w:ascii="Arial" w:hAnsi="Arial" w:cs="Arial"/>
          <w:sz w:val="24"/>
          <w:szCs w:val="24"/>
        </w:rPr>
        <w:t xml:space="preserve">emption by the appellant of her right not to serve. It was submitted that there was no indication either in oral argument or on the papers that the appellant sought in the court </w:t>
      </w:r>
      <w:r w:rsidR="00826F95" w:rsidRPr="007B4C7B">
        <w:rPr>
          <w:rFonts w:ascii="Arial" w:hAnsi="Arial" w:cs="Arial"/>
          <w:i/>
          <w:sz w:val="24"/>
          <w:szCs w:val="24"/>
        </w:rPr>
        <w:t>a quo</w:t>
      </w:r>
      <w:r w:rsidR="00826F95">
        <w:rPr>
          <w:rFonts w:ascii="Arial" w:hAnsi="Arial" w:cs="Arial"/>
          <w:sz w:val="24"/>
          <w:szCs w:val="24"/>
        </w:rPr>
        <w:t xml:space="preserve"> a default order in terms of s 64 – such an application being a substantive application on its own. </w:t>
      </w:r>
    </w:p>
    <w:p w:rsidR="00CB28F4" w:rsidRPr="00CB54C2" w:rsidRDefault="00CB28F4" w:rsidP="00CB28F4">
      <w:pPr>
        <w:pStyle w:val="NoSpacing"/>
        <w:spacing w:line="480" w:lineRule="auto"/>
        <w:jc w:val="both"/>
        <w:rPr>
          <w:rFonts w:ascii="Arial" w:hAnsi="Arial" w:cs="Arial"/>
          <w:sz w:val="24"/>
          <w:szCs w:val="24"/>
        </w:rPr>
      </w:pPr>
    </w:p>
    <w:p w:rsidR="00CB28F4" w:rsidRPr="00CB54C2" w:rsidRDefault="00826F95"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in respect of the unexecuted warrant of arrest that the warrant of arrest only related to the second respondent as agreed by the parties and the resultant court order to that effect</w:t>
      </w:r>
      <w:r w:rsidR="00630750">
        <w:rPr>
          <w:rFonts w:ascii="Arial" w:hAnsi="Arial" w:cs="Arial"/>
          <w:sz w:val="24"/>
          <w:szCs w:val="24"/>
        </w:rPr>
        <w:t>. S</w:t>
      </w:r>
      <w:r>
        <w:rPr>
          <w:rFonts w:ascii="Arial" w:hAnsi="Arial" w:cs="Arial"/>
          <w:sz w:val="24"/>
          <w:szCs w:val="24"/>
        </w:rPr>
        <w:t>ubsequent to the return of the second respondent from China to Namibia</w:t>
      </w:r>
      <w:r w:rsidR="007B4C7B">
        <w:rPr>
          <w:rFonts w:ascii="Arial" w:hAnsi="Arial" w:cs="Arial"/>
          <w:sz w:val="24"/>
          <w:szCs w:val="24"/>
        </w:rPr>
        <w:t>,</w:t>
      </w:r>
      <w:r>
        <w:rPr>
          <w:rFonts w:ascii="Arial" w:hAnsi="Arial" w:cs="Arial"/>
          <w:sz w:val="24"/>
          <w:szCs w:val="24"/>
        </w:rPr>
        <w:t xml:space="preserve"> she appeared in the </w:t>
      </w:r>
      <w:r w:rsidR="00206583">
        <w:rPr>
          <w:rFonts w:ascii="Arial" w:hAnsi="Arial" w:cs="Arial"/>
          <w:sz w:val="24"/>
          <w:szCs w:val="24"/>
        </w:rPr>
        <w:t>magistrate’s</w:t>
      </w:r>
      <w:r>
        <w:rPr>
          <w:rFonts w:ascii="Arial" w:hAnsi="Arial" w:cs="Arial"/>
          <w:sz w:val="24"/>
          <w:szCs w:val="24"/>
        </w:rPr>
        <w:t xml:space="preserve"> court in Windhoek where the warrant of arrest was cancelled and she was released on bail. Therefore the issue of the unexecuted arrest warrant does not arise. </w:t>
      </w:r>
    </w:p>
    <w:p w:rsidR="00CB28F4" w:rsidRPr="00CB54C2" w:rsidRDefault="00826F95"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was submitted that it was common cause that the validity of the preservation order, ie for 120 days, expired on 9 June 2017, unless a forfeiture application was within the said period of 120 day</w:t>
      </w:r>
      <w:r w:rsidR="007B4C7B">
        <w:rPr>
          <w:rFonts w:ascii="Arial" w:hAnsi="Arial" w:cs="Arial"/>
          <w:sz w:val="24"/>
          <w:szCs w:val="24"/>
        </w:rPr>
        <w:t>s</w:t>
      </w:r>
      <w:r>
        <w:rPr>
          <w:rFonts w:ascii="Arial" w:hAnsi="Arial" w:cs="Arial"/>
          <w:sz w:val="24"/>
          <w:szCs w:val="24"/>
        </w:rPr>
        <w:t xml:space="preserve">, properly issued by the registrar and served on the respondents in terms of the provisions of s 59(2) and (3) </w:t>
      </w:r>
      <w:r w:rsidR="000C5948">
        <w:rPr>
          <w:rFonts w:ascii="Arial" w:hAnsi="Arial" w:cs="Arial"/>
          <w:sz w:val="24"/>
          <w:szCs w:val="24"/>
        </w:rPr>
        <w:t xml:space="preserve">read with </w:t>
      </w:r>
      <w:r w:rsidR="00377D31">
        <w:rPr>
          <w:rFonts w:ascii="Arial" w:hAnsi="Arial" w:cs="Arial"/>
          <w:sz w:val="24"/>
          <w:szCs w:val="24"/>
        </w:rPr>
        <w:t xml:space="preserve">the </w:t>
      </w:r>
      <w:r w:rsidR="00630750">
        <w:rPr>
          <w:rFonts w:ascii="Arial" w:hAnsi="Arial" w:cs="Arial"/>
          <w:sz w:val="24"/>
          <w:szCs w:val="24"/>
        </w:rPr>
        <w:t>regulations issued under the Act.</w:t>
      </w:r>
    </w:p>
    <w:p w:rsidR="001247AF" w:rsidRPr="00CB54C2" w:rsidRDefault="001247AF" w:rsidP="001247AF">
      <w:pPr>
        <w:pStyle w:val="NoSpacing"/>
        <w:spacing w:line="480" w:lineRule="auto"/>
        <w:jc w:val="both"/>
        <w:rPr>
          <w:rFonts w:ascii="Arial" w:hAnsi="Arial" w:cs="Arial"/>
          <w:sz w:val="24"/>
          <w:szCs w:val="24"/>
        </w:rPr>
      </w:pPr>
    </w:p>
    <w:p w:rsidR="00CB28F4" w:rsidRDefault="000C5948"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with reference to case law</w:t>
      </w:r>
      <w:r>
        <w:rPr>
          <w:rStyle w:val="FootnoteReference"/>
          <w:rFonts w:ascii="Arial" w:hAnsi="Arial" w:cs="Arial"/>
          <w:sz w:val="24"/>
          <w:szCs w:val="24"/>
        </w:rPr>
        <w:footnoteReference w:id="8"/>
      </w:r>
      <w:r>
        <w:rPr>
          <w:rFonts w:ascii="Arial" w:hAnsi="Arial" w:cs="Arial"/>
          <w:sz w:val="24"/>
          <w:szCs w:val="24"/>
        </w:rPr>
        <w:t xml:space="preserve"> that </w:t>
      </w:r>
      <w:r w:rsidR="007B4C7B">
        <w:rPr>
          <w:rFonts w:ascii="Arial" w:hAnsi="Arial" w:cs="Arial"/>
          <w:sz w:val="24"/>
          <w:szCs w:val="24"/>
        </w:rPr>
        <w:t>when</w:t>
      </w:r>
      <w:r>
        <w:rPr>
          <w:rFonts w:ascii="Arial" w:hAnsi="Arial" w:cs="Arial"/>
          <w:sz w:val="24"/>
          <w:szCs w:val="24"/>
        </w:rPr>
        <w:t xml:space="preserve"> common law proceedings are pending</w:t>
      </w:r>
      <w:r w:rsidR="007B4C7B">
        <w:rPr>
          <w:rFonts w:ascii="Arial" w:hAnsi="Arial" w:cs="Arial"/>
          <w:sz w:val="24"/>
          <w:szCs w:val="24"/>
        </w:rPr>
        <w:t>,</w:t>
      </w:r>
      <w:r>
        <w:rPr>
          <w:rFonts w:ascii="Arial" w:hAnsi="Arial" w:cs="Arial"/>
          <w:sz w:val="24"/>
          <w:szCs w:val="24"/>
        </w:rPr>
        <w:t xml:space="preserve"> </w:t>
      </w:r>
      <w:r w:rsidR="00F43C33">
        <w:rPr>
          <w:rFonts w:ascii="Arial" w:hAnsi="Arial" w:cs="Arial"/>
          <w:sz w:val="24"/>
          <w:szCs w:val="24"/>
        </w:rPr>
        <w:t>they</w:t>
      </w:r>
      <w:r>
        <w:rPr>
          <w:rFonts w:ascii="Arial" w:hAnsi="Arial" w:cs="Arial"/>
          <w:sz w:val="24"/>
          <w:szCs w:val="24"/>
        </w:rPr>
        <w:t xml:space="preserve"> have commenced by the service</w:t>
      </w:r>
      <w:r w:rsidR="00F43C33">
        <w:rPr>
          <w:rFonts w:ascii="Arial" w:hAnsi="Arial" w:cs="Arial"/>
          <w:sz w:val="24"/>
          <w:szCs w:val="24"/>
        </w:rPr>
        <w:t>,</w:t>
      </w:r>
      <w:r>
        <w:rPr>
          <w:rFonts w:ascii="Arial" w:hAnsi="Arial" w:cs="Arial"/>
          <w:sz w:val="24"/>
          <w:szCs w:val="24"/>
        </w:rPr>
        <w:t xml:space="preserve"> and not the mere issue of summons. </w:t>
      </w:r>
    </w:p>
    <w:p w:rsidR="00630750" w:rsidRPr="00CB54C2" w:rsidRDefault="00630750" w:rsidP="00630750">
      <w:pPr>
        <w:pStyle w:val="NoSpacing"/>
        <w:spacing w:line="480" w:lineRule="auto"/>
        <w:jc w:val="both"/>
        <w:rPr>
          <w:rFonts w:ascii="Arial" w:hAnsi="Arial" w:cs="Arial"/>
          <w:sz w:val="24"/>
          <w:szCs w:val="24"/>
        </w:rPr>
      </w:pPr>
    </w:p>
    <w:p w:rsidR="00CB28F4" w:rsidRPr="00CB54C2" w:rsidRDefault="000C5948"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in terms of the provisions of s 59(2) and (3) of</w:t>
      </w:r>
      <w:r w:rsidR="00377D31">
        <w:rPr>
          <w:rFonts w:ascii="Arial" w:hAnsi="Arial" w:cs="Arial"/>
          <w:sz w:val="24"/>
          <w:szCs w:val="24"/>
        </w:rPr>
        <w:t xml:space="preserve"> the Act</w:t>
      </w:r>
      <w:r>
        <w:rPr>
          <w:rFonts w:ascii="Arial" w:hAnsi="Arial" w:cs="Arial"/>
          <w:sz w:val="24"/>
          <w:szCs w:val="24"/>
        </w:rPr>
        <w:t xml:space="preserve"> which places a peremptory obligation on the appellant to give </w:t>
      </w:r>
      <w:r w:rsidR="00630750">
        <w:rPr>
          <w:rFonts w:ascii="Arial" w:hAnsi="Arial" w:cs="Arial"/>
          <w:sz w:val="24"/>
          <w:szCs w:val="24"/>
        </w:rPr>
        <w:t xml:space="preserve">notice </w:t>
      </w:r>
      <w:r>
        <w:rPr>
          <w:rFonts w:ascii="Arial" w:hAnsi="Arial" w:cs="Arial"/>
          <w:sz w:val="24"/>
          <w:szCs w:val="24"/>
        </w:rPr>
        <w:t xml:space="preserve">which must be </w:t>
      </w:r>
      <w:r w:rsidRPr="00630750">
        <w:rPr>
          <w:rFonts w:ascii="Arial" w:hAnsi="Arial" w:cs="Arial"/>
          <w:i/>
          <w:sz w:val="24"/>
          <w:szCs w:val="24"/>
        </w:rPr>
        <w:t>delivered at the address</w:t>
      </w:r>
      <w:r>
        <w:rPr>
          <w:rFonts w:ascii="Arial" w:hAnsi="Arial" w:cs="Arial"/>
          <w:sz w:val="24"/>
          <w:szCs w:val="24"/>
        </w:rPr>
        <w:t xml:space="preserve"> indicated (in the s 52(3) affidavit).</w:t>
      </w:r>
    </w:p>
    <w:p w:rsidR="00CB28F4" w:rsidRPr="00CB54C2" w:rsidRDefault="00CB28F4" w:rsidP="00CB28F4">
      <w:pPr>
        <w:pStyle w:val="NoSpacing"/>
        <w:spacing w:line="480" w:lineRule="auto"/>
        <w:jc w:val="both"/>
        <w:rPr>
          <w:rFonts w:ascii="Arial" w:hAnsi="Arial" w:cs="Arial"/>
          <w:sz w:val="24"/>
          <w:szCs w:val="24"/>
        </w:rPr>
      </w:pPr>
    </w:p>
    <w:p w:rsidR="00CB28F4" w:rsidRPr="00CB54C2" w:rsidRDefault="000C5948"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Furthermore reg 4(8) of the regulations that the forfeiture application must be served in accordance with </w:t>
      </w:r>
      <w:r w:rsidR="00377D31">
        <w:rPr>
          <w:rFonts w:ascii="Arial" w:hAnsi="Arial" w:cs="Arial"/>
          <w:sz w:val="24"/>
          <w:szCs w:val="24"/>
        </w:rPr>
        <w:t xml:space="preserve">the </w:t>
      </w:r>
      <w:r>
        <w:rPr>
          <w:rFonts w:ascii="Arial" w:hAnsi="Arial" w:cs="Arial"/>
          <w:sz w:val="24"/>
          <w:szCs w:val="24"/>
        </w:rPr>
        <w:t>regulations</w:t>
      </w:r>
      <w:r w:rsidR="00630750">
        <w:rPr>
          <w:rFonts w:ascii="Arial" w:hAnsi="Arial" w:cs="Arial"/>
          <w:sz w:val="24"/>
          <w:szCs w:val="24"/>
        </w:rPr>
        <w:t xml:space="preserve"> promulgated under the Act</w:t>
      </w:r>
      <w:r>
        <w:rPr>
          <w:rFonts w:ascii="Arial" w:hAnsi="Arial" w:cs="Arial"/>
          <w:sz w:val="24"/>
          <w:szCs w:val="24"/>
        </w:rPr>
        <w:t>. It was pointed out that in terms of reg 3(1</w:t>
      </w:r>
      <w:r w:rsidRPr="00636FE3">
        <w:rPr>
          <w:rFonts w:ascii="Arial" w:hAnsi="Arial" w:cs="Arial"/>
          <w:sz w:val="24"/>
          <w:szCs w:val="24"/>
        </w:rPr>
        <w:t>)(a)</w:t>
      </w:r>
      <w:r>
        <w:rPr>
          <w:rFonts w:ascii="Arial" w:hAnsi="Arial" w:cs="Arial"/>
          <w:sz w:val="24"/>
          <w:szCs w:val="24"/>
        </w:rPr>
        <w:t xml:space="preserve"> a document required to be served in terms of the Act or the regulations must be effected in accordance with the Rules of the High Court read with the Rules of the High Court regulating the proceedings contemplated in Chapter 5 and 6 of the Act.</w:t>
      </w:r>
    </w:p>
    <w:p w:rsidR="00CB28F4" w:rsidRPr="00CB54C2" w:rsidRDefault="00CB28F4" w:rsidP="00CB28F4">
      <w:pPr>
        <w:pStyle w:val="NoSpacing"/>
        <w:spacing w:line="480" w:lineRule="auto"/>
        <w:jc w:val="both"/>
        <w:rPr>
          <w:rFonts w:ascii="Arial" w:hAnsi="Arial" w:cs="Arial"/>
          <w:sz w:val="24"/>
          <w:szCs w:val="24"/>
        </w:rPr>
      </w:pPr>
    </w:p>
    <w:p w:rsidR="00CB28F4" w:rsidRDefault="00462CDA"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was submitted that reg 4(8) specifically provides that notice of an ‘application for a forfeiture order pursuant to s</w:t>
      </w:r>
      <w:r w:rsidR="004B2038">
        <w:rPr>
          <w:rFonts w:ascii="Arial" w:hAnsi="Arial" w:cs="Arial"/>
          <w:sz w:val="24"/>
          <w:szCs w:val="24"/>
        </w:rPr>
        <w:t>ection</w:t>
      </w:r>
      <w:r>
        <w:rPr>
          <w:rFonts w:ascii="Arial" w:hAnsi="Arial" w:cs="Arial"/>
          <w:sz w:val="24"/>
          <w:szCs w:val="24"/>
        </w:rPr>
        <w:t xml:space="preserve"> 59(1) of the Act must be given by serving a copy of the application upon any person who has given notice in accordance with s</w:t>
      </w:r>
      <w:r w:rsidR="004B2038">
        <w:rPr>
          <w:rFonts w:ascii="Arial" w:hAnsi="Arial" w:cs="Arial"/>
          <w:sz w:val="24"/>
          <w:szCs w:val="24"/>
        </w:rPr>
        <w:t>ection</w:t>
      </w:r>
      <w:r>
        <w:rPr>
          <w:rFonts w:ascii="Arial" w:hAnsi="Arial" w:cs="Arial"/>
          <w:sz w:val="24"/>
          <w:szCs w:val="24"/>
        </w:rPr>
        <w:t xml:space="preserve"> 52(3) of the Act and any other person who the Prosecutor-General reasonably believes might have an interest in the property the subject of the application for forfeiture order’.</w:t>
      </w:r>
    </w:p>
    <w:p w:rsidR="0041337D" w:rsidRPr="00CB54C2" w:rsidRDefault="0041337D" w:rsidP="0041337D">
      <w:pPr>
        <w:pStyle w:val="NoSpacing"/>
        <w:spacing w:line="480" w:lineRule="auto"/>
        <w:jc w:val="both"/>
        <w:rPr>
          <w:rFonts w:ascii="Arial" w:hAnsi="Arial" w:cs="Arial"/>
          <w:sz w:val="24"/>
          <w:szCs w:val="24"/>
        </w:rPr>
      </w:pPr>
    </w:p>
    <w:p w:rsidR="00CB28F4" w:rsidRPr="00CB54C2" w:rsidRDefault="00462CDA"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the forfeiture application </w:t>
      </w:r>
      <w:r w:rsidR="00FA2C3C">
        <w:rPr>
          <w:rFonts w:ascii="Arial" w:hAnsi="Arial" w:cs="Arial"/>
          <w:sz w:val="24"/>
          <w:szCs w:val="24"/>
        </w:rPr>
        <w:t xml:space="preserve">never came in issue because the preservation order was not in force on 15 June 2017, having expired on 9 June 2017, on the basis that the forfeiture application was not delivered and served upon the first respondent within the period required and </w:t>
      </w:r>
      <w:r w:rsidR="00630750">
        <w:rPr>
          <w:rFonts w:ascii="Arial" w:hAnsi="Arial" w:cs="Arial"/>
          <w:sz w:val="24"/>
          <w:szCs w:val="24"/>
        </w:rPr>
        <w:t>on</w:t>
      </w:r>
      <w:r w:rsidR="00FA2C3C">
        <w:rPr>
          <w:rFonts w:ascii="Arial" w:hAnsi="Arial" w:cs="Arial"/>
          <w:sz w:val="24"/>
          <w:szCs w:val="24"/>
        </w:rPr>
        <w:t xml:space="preserve"> the address indicated by the first respondent in terms of the provisions of s 52(3) and (5) of </w:t>
      </w:r>
      <w:r w:rsidR="00377D31">
        <w:rPr>
          <w:rFonts w:ascii="Arial" w:hAnsi="Arial" w:cs="Arial"/>
          <w:sz w:val="24"/>
          <w:szCs w:val="24"/>
        </w:rPr>
        <w:t>the Act</w:t>
      </w:r>
      <w:r w:rsidR="00FA2C3C">
        <w:rPr>
          <w:rFonts w:ascii="Arial" w:hAnsi="Arial" w:cs="Arial"/>
          <w:sz w:val="24"/>
          <w:szCs w:val="24"/>
        </w:rPr>
        <w:t>.</w:t>
      </w:r>
    </w:p>
    <w:p w:rsidR="00CB28F4" w:rsidRPr="00CB54C2" w:rsidRDefault="00CB28F4" w:rsidP="00CB28F4">
      <w:pPr>
        <w:pStyle w:val="NoSpacing"/>
        <w:spacing w:line="480" w:lineRule="auto"/>
        <w:jc w:val="both"/>
        <w:rPr>
          <w:rFonts w:ascii="Arial" w:hAnsi="Arial" w:cs="Arial"/>
          <w:sz w:val="24"/>
          <w:szCs w:val="24"/>
        </w:rPr>
      </w:pPr>
    </w:p>
    <w:p w:rsidR="00CB28F4" w:rsidRPr="00CB54C2" w:rsidRDefault="00FA2C3C"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further</w:t>
      </w:r>
      <w:r w:rsidR="00630750">
        <w:rPr>
          <w:rFonts w:ascii="Arial" w:hAnsi="Arial" w:cs="Arial"/>
          <w:sz w:val="24"/>
          <w:szCs w:val="24"/>
        </w:rPr>
        <w:t xml:space="preserve"> readily admitted</w:t>
      </w:r>
      <w:r>
        <w:rPr>
          <w:rFonts w:ascii="Arial" w:hAnsi="Arial" w:cs="Arial"/>
          <w:sz w:val="24"/>
          <w:szCs w:val="24"/>
        </w:rPr>
        <w:t xml:space="preserve"> by Mr Namandje that if the respondents did not comply with the requirements set out in s 52(3) and (5) the appellant would have been entitled to a forfeiture order without notice, since the issue of service or lack thereof</w:t>
      </w:r>
      <w:r w:rsidR="00630750">
        <w:rPr>
          <w:rFonts w:ascii="Arial" w:hAnsi="Arial" w:cs="Arial"/>
          <w:sz w:val="24"/>
          <w:szCs w:val="24"/>
        </w:rPr>
        <w:t>,</w:t>
      </w:r>
      <w:r>
        <w:rPr>
          <w:rFonts w:ascii="Arial" w:hAnsi="Arial" w:cs="Arial"/>
          <w:sz w:val="24"/>
          <w:szCs w:val="24"/>
        </w:rPr>
        <w:t xml:space="preserve"> and lack of a chosen address would not have arisen. </w:t>
      </w:r>
    </w:p>
    <w:p w:rsidR="00CB28F4" w:rsidRDefault="00CB28F4" w:rsidP="00CB28F4">
      <w:pPr>
        <w:pStyle w:val="NoSpacing"/>
        <w:spacing w:line="480" w:lineRule="auto"/>
        <w:jc w:val="both"/>
        <w:rPr>
          <w:rFonts w:ascii="Arial" w:hAnsi="Arial" w:cs="Arial"/>
          <w:sz w:val="24"/>
          <w:szCs w:val="24"/>
        </w:rPr>
      </w:pPr>
    </w:p>
    <w:p w:rsidR="00630750" w:rsidRPr="00630750" w:rsidRDefault="00630750" w:rsidP="00CB28F4">
      <w:pPr>
        <w:pStyle w:val="NoSpacing"/>
        <w:spacing w:line="480" w:lineRule="auto"/>
        <w:jc w:val="both"/>
        <w:rPr>
          <w:rFonts w:ascii="Arial" w:hAnsi="Arial" w:cs="Arial"/>
          <w:sz w:val="24"/>
          <w:szCs w:val="24"/>
          <w:u w:val="single"/>
        </w:rPr>
      </w:pPr>
      <w:r w:rsidRPr="00630750">
        <w:rPr>
          <w:rFonts w:ascii="Arial" w:hAnsi="Arial" w:cs="Arial"/>
          <w:sz w:val="24"/>
          <w:szCs w:val="24"/>
          <w:u w:val="single"/>
        </w:rPr>
        <w:t xml:space="preserve">Evaluation of submissions and finding of court </w:t>
      </w:r>
      <w:r w:rsidRPr="00630750">
        <w:rPr>
          <w:rFonts w:ascii="Arial" w:hAnsi="Arial" w:cs="Arial"/>
          <w:i/>
          <w:sz w:val="24"/>
          <w:szCs w:val="24"/>
          <w:u w:val="single"/>
        </w:rPr>
        <w:t>a quo</w:t>
      </w:r>
    </w:p>
    <w:p w:rsidR="00CB28F4" w:rsidRPr="00CB54C2" w:rsidRDefault="00630750"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Both counsel were of the view that </w:t>
      </w:r>
      <w:r w:rsidRPr="00630750">
        <w:rPr>
          <w:rFonts w:ascii="Arial" w:hAnsi="Arial" w:cs="Arial"/>
          <w:i/>
          <w:sz w:val="24"/>
          <w:szCs w:val="24"/>
        </w:rPr>
        <w:t>if</w:t>
      </w:r>
      <w:r>
        <w:rPr>
          <w:rFonts w:ascii="Arial" w:hAnsi="Arial" w:cs="Arial"/>
          <w:sz w:val="24"/>
          <w:szCs w:val="24"/>
        </w:rPr>
        <w:t xml:space="preserve"> the respondents did not comply with the provisions of s 52(3) and (5) that they would in terms of s 52(6) not be entitle</w:t>
      </w:r>
      <w:r w:rsidR="00636FE3">
        <w:rPr>
          <w:rFonts w:ascii="Arial" w:hAnsi="Arial" w:cs="Arial"/>
          <w:sz w:val="24"/>
          <w:szCs w:val="24"/>
        </w:rPr>
        <w:t>d to receive from the appellant</w:t>
      </w:r>
      <w:r>
        <w:rPr>
          <w:rFonts w:ascii="Arial" w:hAnsi="Arial" w:cs="Arial"/>
          <w:sz w:val="24"/>
          <w:szCs w:val="24"/>
        </w:rPr>
        <w:t xml:space="preserve"> notice of an application for a forfeiture order in terms of s 59(2) or to participate in proceedings concerning an application for a forfeiture order. In such a scenario the issue of whether there was an application for forfeiture of property order </w:t>
      </w:r>
      <w:r>
        <w:rPr>
          <w:rFonts w:ascii="Arial" w:hAnsi="Arial" w:cs="Arial"/>
          <w:sz w:val="24"/>
          <w:szCs w:val="24"/>
        </w:rPr>
        <w:lastRenderedPageBreak/>
        <w:t xml:space="preserve">pending before the court </w:t>
      </w:r>
      <w:r w:rsidRPr="00630750">
        <w:rPr>
          <w:rFonts w:ascii="Arial" w:hAnsi="Arial" w:cs="Arial"/>
          <w:i/>
          <w:sz w:val="24"/>
          <w:szCs w:val="24"/>
        </w:rPr>
        <w:t>a quo</w:t>
      </w:r>
      <w:r>
        <w:rPr>
          <w:rFonts w:ascii="Arial" w:hAnsi="Arial" w:cs="Arial"/>
          <w:sz w:val="24"/>
          <w:szCs w:val="24"/>
        </w:rPr>
        <w:t xml:space="preserve"> and the issue of notice of a chosen address for the delivery of documents concerning further proceedings</w:t>
      </w:r>
      <w:r w:rsidR="00806083">
        <w:rPr>
          <w:rFonts w:ascii="Arial" w:hAnsi="Arial" w:cs="Arial"/>
          <w:sz w:val="24"/>
          <w:szCs w:val="24"/>
        </w:rPr>
        <w:t>,</w:t>
      </w:r>
      <w:r>
        <w:rPr>
          <w:rFonts w:ascii="Arial" w:hAnsi="Arial" w:cs="Arial"/>
          <w:sz w:val="24"/>
          <w:szCs w:val="24"/>
        </w:rPr>
        <w:t xml:space="preserve"> do not arise. </w:t>
      </w:r>
    </w:p>
    <w:p w:rsidR="00CB28F4" w:rsidRPr="00CB54C2" w:rsidRDefault="00CB28F4" w:rsidP="00CB28F4">
      <w:pPr>
        <w:pStyle w:val="NoSpacing"/>
        <w:spacing w:line="480" w:lineRule="auto"/>
        <w:jc w:val="both"/>
        <w:rPr>
          <w:rFonts w:ascii="Arial" w:hAnsi="Arial" w:cs="Arial"/>
          <w:sz w:val="24"/>
          <w:szCs w:val="24"/>
        </w:rPr>
      </w:pPr>
    </w:p>
    <w:p w:rsidR="00CB28F4" w:rsidRDefault="001752CA"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There are however contrasting submissions as to whether or not the provisions of s 52(3) or (5) had been complied with by the respondents. </w:t>
      </w:r>
      <w:r w:rsidR="00806083">
        <w:rPr>
          <w:rFonts w:ascii="Arial" w:hAnsi="Arial" w:cs="Arial"/>
          <w:sz w:val="24"/>
          <w:szCs w:val="24"/>
        </w:rPr>
        <w:t xml:space="preserve">I shall therefore first consider whether there had been compliance with the provisions of s 52(3), and if not the effect of the sanction imposed </w:t>
      </w:r>
      <w:r w:rsidR="00A81E07">
        <w:rPr>
          <w:rFonts w:ascii="Arial" w:hAnsi="Arial" w:cs="Arial"/>
          <w:sz w:val="24"/>
          <w:szCs w:val="24"/>
        </w:rPr>
        <w:t>by</w:t>
      </w:r>
      <w:r w:rsidR="00806083">
        <w:rPr>
          <w:rFonts w:ascii="Arial" w:hAnsi="Arial" w:cs="Arial"/>
          <w:sz w:val="24"/>
          <w:szCs w:val="24"/>
        </w:rPr>
        <w:t xml:space="preserve"> s 52(6) of the Act. </w:t>
      </w:r>
    </w:p>
    <w:p w:rsidR="0041337D" w:rsidRPr="00CB54C2" w:rsidRDefault="0041337D" w:rsidP="0041337D">
      <w:pPr>
        <w:pStyle w:val="NoSpacing"/>
        <w:spacing w:line="480" w:lineRule="auto"/>
        <w:jc w:val="both"/>
        <w:rPr>
          <w:rFonts w:ascii="Arial" w:hAnsi="Arial" w:cs="Arial"/>
          <w:sz w:val="24"/>
          <w:szCs w:val="24"/>
        </w:rPr>
      </w:pPr>
    </w:p>
    <w:p w:rsidR="00CB28F4" w:rsidRPr="00CB54C2" w:rsidRDefault="001752CA"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shall therefore in considering aforementioned issue as a starting point quote the relevant provisions of s 52.</w:t>
      </w:r>
    </w:p>
    <w:p w:rsidR="00CB28F4" w:rsidRDefault="00D72ED3" w:rsidP="00D72ED3">
      <w:pPr>
        <w:pStyle w:val="NoSpacing"/>
        <w:spacing w:line="360" w:lineRule="auto"/>
        <w:jc w:val="both"/>
        <w:rPr>
          <w:rFonts w:ascii="Arial" w:hAnsi="Arial" w:cs="Arial"/>
          <w:sz w:val="24"/>
          <w:szCs w:val="24"/>
        </w:rPr>
      </w:pPr>
      <w:r>
        <w:rPr>
          <w:rFonts w:ascii="Arial" w:hAnsi="Arial" w:cs="Arial"/>
          <w:sz w:val="24"/>
          <w:szCs w:val="24"/>
        </w:rPr>
        <w:tab/>
      </w:r>
    </w:p>
    <w:p w:rsidR="001752CA" w:rsidRDefault="001752CA" w:rsidP="00D72ED3">
      <w:pPr>
        <w:pStyle w:val="NoSpacing"/>
        <w:spacing w:line="360" w:lineRule="auto"/>
        <w:jc w:val="both"/>
        <w:rPr>
          <w:rFonts w:ascii="Arial" w:hAnsi="Arial" w:cs="Arial"/>
          <w:b/>
        </w:rPr>
      </w:pPr>
      <w:r>
        <w:rPr>
          <w:rFonts w:ascii="Arial" w:hAnsi="Arial" w:cs="Arial"/>
          <w:sz w:val="24"/>
          <w:szCs w:val="24"/>
        </w:rPr>
        <w:tab/>
      </w:r>
      <w:r w:rsidR="00D72ED3" w:rsidRPr="00D72ED3">
        <w:rPr>
          <w:rFonts w:ascii="Arial" w:hAnsi="Arial" w:cs="Arial"/>
        </w:rPr>
        <w:t>‘</w:t>
      </w:r>
      <w:r w:rsidRPr="00D72ED3">
        <w:rPr>
          <w:rFonts w:ascii="Arial" w:hAnsi="Arial" w:cs="Arial"/>
          <w:b/>
        </w:rPr>
        <w:t>Notice of preservation of property order</w:t>
      </w:r>
    </w:p>
    <w:p w:rsidR="00497934" w:rsidRPr="00636FE3" w:rsidRDefault="00636FE3" w:rsidP="00D72ED3">
      <w:pPr>
        <w:pStyle w:val="NoSpacing"/>
        <w:spacing w:line="360" w:lineRule="auto"/>
        <w:jc w:val="both"/>
        <w:rPr>
          <w:rFonts w:ascii="Arial" w:hAnsi="Arial" w:cs="Arial"/>
        </w:rPr>
      </w:pPr>
      <w:r w:rsidRPr="00636FE3">
        <w:rPr>
          <w:rFonts w:ascii="Arial" w:hAnsi="Arial" w:cs="Arial"/>
        </w:rPr>
        <w:tab/>
        <w:t>. . .</w:t>
      </w:r>
    </w:p>
    <w:p w:rsidR="001752CA" w:rsidRPr="00D72ED3" w:rsidRDefault="001752CA" w:rsidP="00D72ED3">
      <w:pPr>
        <w:pStyle w:val="NoSpacing"/>
        <w:spacing w:line="360" w:lineRule="auto"/>
        <w:ind w:left="720" w:hanging="720"/>
        <w:jc w:val="both"/>
        <w:rPr>
          <w:rFonts w:ascii="Arial" w:hAnsi="Arial" w:cs="Arial"/>
        </w:rPr>
      </w:pPr>
      <w:r w:rsidRPr="00D72ED3">
        <w:rPr>
          <w:rFonts w:ascii="Arial" w:hAnsi="Arial" w:cs="Arial"/>
        </w:rPr>
        <w:tab/>
        <w:t>(3)</w:t>
      </w:r>
      <w:r w:rsidRPr="00D72ED3">
        <w:rPr>
          <w:rFonts w:ascii="Arial" w:hAnsi="Arial" w:cs="Arial"/>
        </w:rPr>
        <w:tab/>
        <w:t>Any person who has an interest in the property which is subject to the preservation of property order may give written notice of his or her intention to oppose the making of a forfeiture order or apply, in writing, for an order excluding his or her interest in the property concerned from the operation of the preservation of property order.</w:t>
      </w:r>
    </w:p>
    <w:p w:rsidR="001752CA" w:rsidRPr="00D72ED3" w:rsidRDefault="00D72ED3" w:rsidP="00D72ED3">
      <w:pPr>
        <w:pStyle w:val="NoSpacing"/>
        <w:spacing w:line="360" w:lineRule="auto"/>
        <w:jc w:val="both"/>
        <w:rPr>
          <w:rFonts w:ascii="Arial" w:hAnsi="Arial" w:cs="Arial"/>
        </w:rPr>
      </w:pPr>
      <w:r>
        <w:rPr>
          <w:rFonts w:ascii="Arial" w:hAnsi="Arial" w:cs="Arial"/>
        </w:rPr>
        <w:tab/>
      </w:r>
    </w:p>
    <w:p w:rsidR="001752CA" w:rsidRDefault="001752CA" w:rsidP="00D72ED3">
      <w:pPr>
        <w:pStyle w:val="NoSpacing"/>
        <w:spacing w:line="360" w:lineRule="auto"/>
        <w:ind w:left="720" w:hanging="720"/>
        <w:jc w:val="both"/>
        <w:rPr>
          <w:rFonts w:ascii="Arial" w:hAnsi="Arial" w:cs="Arial"/>
        </w:rPr>
      </w:pPr>
      <w:r w:rsidRPr="00D72ED3">
        <w:rPr>
          <w:rFonts w:ascii="Arial" w:hAnsi="Arial" w:cs="Arial"/>
        </w:rPr>
        <w:tab/>
        <w:t>(4)</w:t>
      </w:r>
      <w:r w:rsidRPr="00D72ED3">
        <w:rPr>
          <w:rFonts w:ascii="Arial" w:hAnsi="Arial" w:cs="Arial"/>
        </w:rPr>
        <w:tab/>
        <w:t xml:space="preserve">A notice under subsection (3) must be delivered to the Prosecutor-General within, in the case of – </w:t>
      </w:r>
    </w:p>
    <w:p w:rsidR="00D72ED3" w:rsidRPr="00D72ED3" w:rsidRDefault="00D72ED3" w:rsidP="00D72ED3">
      <w:pPr>
        <w:pStyle w:val="NoSpacing"/>
        <w:spacing w:line="360" w:lineRule="auto"/>
        <w:ind w:left="720" w:hanging="720"/>
        <w:jc w:val="both"/>
        <w:rPr>
          <w:rFonts w:ascii="Arial" w:hAnsi="Arial" w:cs="Arial"/>
        </w:rPr>
      </w:pPr>
      <w:r>
        <w:rPr>
          <w:rFonts w:ascii="Arial" w:hAnsi="Arial" w:cs="Arial"/>
        </w:rPr>
        <w:tab/>
      </w:r>
    </w:p>
    <w:p w:rsidR="001752CA" w:rsidRDefault="001752CA" w:rsidP="00D72ED3">
      <w:pPr>
        <w:pStyle w:val="NoSpacing"/>
        <w:spacing w:line="360" w:lineRule="auto"/>
        <w:ind w:left="720" w:hanging="720"/>
        <w:jc w:val="both"/>
        <w:rPr>
          <w:rFonts w:ascii="Arial" w:hAnsi="Arial" w:cs="Arial"/>
        </w:rPr>
      </w:pPr>
      <w:r w:rsidRPr="00D72ED3">
        <w:rPr>
          <w:rFonts w:ascii="Arial" w:hAnsi="Arial" w:cs="Arial"/>
        </w:rPr>
        <w:tab/>
        <w:t>(a)</w:t>
      </w:r>
      <w:r w:rsidRPr="00D72ED3">
        <w:rPr>
          <w:rFonts w:ascii="Arial" w:hAnsi="Arial" w:cs="Arial"/>
        </w:rPr>
        <w:tab/>
        <w:t xml:space="preserve">a person on whom a notice has been served under subsection (1)(a), 21 days </w:t>
      </w:r>
      <w:r w:rsidR="00D72ED3">
        <w:rPr>
          <w:rFonts w:ascii="Arial" w:hAnsi="Arial" w:cs="Arial"/>
        </w:rPr>
        <w:tab/>
      </w:r>
      <w:r w:rsidRPr="00D72ED3">
        <w:rPr>
          <w:rFonts w:ascii="Arial" w:hAnsi="Arial" w:cs="Arial"/>
        </w:rPr>
        <w:t>after the service; or</w:t>
      </w:r>
    </w:p>
    <w:p w:rsidR="00D72ED3" w:rsidRPr="00D72ED3" w:rsidRDefault="00D72ED3" w:rsidP="00D72ED3">
      <w:pPr>
        <w:pStyle w:val="NoSpacing"/>
        <w:spacing w:line="360" w:lineRule="auto"/>
        <w:ind w:left="720" w:hanging="720"/>
        <w:jc w:val="both"/>
        <w:rPr>
          <w:rFonts w:ascii="Arial" w:hAnsi="Arial" w:cs="Arial"/>
        </w:rPr>
      </w:pPr>
      <w:r>
        <w:rPr>
          <w:rFonts w:ascii="Arial" w:hAnsi="Arial" w:cs="Arial"/>
        </w:rPr>
        <w:tab/>
      </w:r>
    </w:p>
    <w:p w:rsidR="001752CA" w:rsidRPr="00D72ED3" w:rsidRDefault="001752CA" w:rsidP="00D72ED3">
      <w:pPr>
        <w:pStyle w:val="NoSpacing"/>
        <w:spacing w:line="360" w:lineRule="auto"/>
        <w:ind w:left="720" w:hanging="720"/>
        <w:jc w:val="both"/>
        <w:rPr>
          <w:rFonts w:ascii="Arial" w:hAnsi="Arial" w:cs="Arial"/>
        </w:rPr>
      </w:pPr>
      <w:r w:rsidRPr="00D72ED3">
        <w:rPr>
          <w:rFonts w:ascii="Arial" w:hAnsi="Arial" w:cs="Arial"/>
        </w:rPr>
        <w:tab/>
        <w:t>(b)</w:t>
      </w:r>
      <w:r w:rsidRPr="00D72ED3">
        <w:rPr>
          <w:rFonts w:ascii="Arial" w:hAnsi="Arial" w:cs="Arial"/>
        </w:rPr>
        <w:tab/>
        <w:t xml:space="preserve">any other person, 21 days after the date on which a notice under subsection </w:t>
      </w:r>
      <w:r w:rsidR="00D72ED3">
        <w:rPr>
          <w:rFonts w:ascii="Arial" w:hAnsi="Arial" w:cs="Arial"/>
        </w:rPr>
        <w:tab/>
      </w:r>
      <w:r w:rsidRPr="00D72ED3">
        <w:rPr>
          <w:rFonts w:ascii="Arial" w:hAnsi="Arial" w:cs="Arial"/>
        </w:rPr>
        <w:t xml:space="preserve">(1)(b) was published in the </w:t>
      </w:r>
      <w:r w:rsidRPr="00D72ED3">
        <w:rPr>
          <w:rFonts w:ascii="Arial" w:hAnsi="Arial" w:cs="Arial"/>
          <w:i/>
        </w:rPr>
        <w:t>Gazette</w:t>
      </w:r>
      <w:r w:rsidRPr="00D72ED3">
        <w:rPr>
          <w:rFonts w:ascii="Arial" w:hAnsi="Arial" w:cs="Arial"/>
        </w:rPr>
        <w:t>.</w:t>
      </w:r>
    </w:p>
    <w:p w:rsidR="001752CA" w:rsidRDefault="001752CA" w:rsidP="00D72ED3">
      <w:pPr>
        <w:pStyle w:val="NoSpacing"/>
        <w:spacing w:line="360" w:lineRule="auto"/>
        <w:ind w:firstLine="720"/>
        <w:jc w:val="both"/>
        <w:rPr>
          <w:rFonts w:ascii="Arial" w:hAnsi="Arial" w:cs="Arial"/>
        </w:rPr>
      </w:pPr>
    </w:p>
    <w:p w:rsidR="00D72ED3" w:rsidRPr="00D72ED3" w:rsidRDefault="00D72ED3" w:rsidP="00D72ED3">
      <w:pPr>
        <w:pStyle w:val="NoSpacing"/>
        <w:spacing w:line="360" w:lineRule="auto"/>
        <w:ind w:firstLine="720"/>
        <w:jc w:val="both"/>
        <w:rPr>
          <w:rFonts w:ascii="Arial" w:hAnsi="Arial" w:cs="Arial"/>
        </w:rPr>
      </w:pPr>
      <w:r>
        <w:rPr>
          <w:rFonts w:ascii="Arial" w:hAnsi="Arial" w:cs="Arial"/>
        </w:rPr>
        <w:lastRenderedPageBreak/>
        <w:t>(5)</w:t>
      </w:r>
      <w:r>
        <w:rPr>
          <w:rFonts w:ascii="Arial" w:hAnsi="Arial" w:cs="Arial"/>
        </w:rPr>
        <w:tab/>
      </w:r>
      <w:r w:rsidRPr="00D72ED3">
        <w:rPr>
          <w:rFonts w:ascii="Arial" w:hAnsi="Arial" w:cs="Arial"/>
          <w:spacing w:val="2"/>
        </w:rPr>
        <w:t xml:space="preserve">A notice under subsection (3) must contain full particulars of the chosen </w:t>
      </w:r>
      <w:r>
        <w:rPr>
          <w:rFonts w:ascii="Arial" w:hAnsi="Arial" w:cs="Arial"/>
          <w:spacing w:val="2"/>
        </w:rPr>
        <w:tab/>
      </w:r>
      <w:r w:rsidRPr="00D72ED3">
        <w:rPr>
          <w:rFonts w:ascii="Arial" w:hAnsi="Arial" w:cs="Arial"/>
          <w:spacing w:val="2"/>
        </w:rPr>
        <w:t xml:space="preserve">address </w:t>
      </w:r>
      <w:r w:rsidRPr="00D72ED3">
        <w:rPr>
          <w:rFonts w:ascii="Arial" w:hAnsi="Arial" w:cs="Arial"/>
        </w:rPr>
        <w:t xml:space="preserve">for the delivery of documents concerning further proceedings under this </w:t>
      </w:r>
      <w:r>
        <w:rPr>
          <w:rFonts w:ascii="Arial" w:hAnsi="Arial" w:cs="Arial"/>
        </w:rPr>
        <w:tab/>
      </w:r>
      <w:r w:rsidRPr="00D72ED3">
        <w:rPr>
          <w:rFonts w:ascii="Arial" w:hAnsi="Arial" w:cs="Arial"/>
        </w:rPr>
        <w:t xml:space="preserve">Chapter and must be accompanied by an affidavit stating – </w:t>
      </w:r>
    </w:p>
    <w:p w:rsidR="001752CA" w:rsidRPr="00D72ED3" w:rsidRDefault="00D72ED3" w:rsidP="00D72ED3">
      <w:pPr>
        <w:pStyle w:val="NoSpacing"/>
        <w:spacing w:line="360" w:lineRule="auto"/>
        <w:jc w:val="both"/>
        <w:rPr>
          <w:rFonts w:ascii="Arial" w:hAnsi="Arial" w:cs="Arial"/>
        </w:rPr>
      </w:pPr>
      <w:r>
        <w:rPr>
          <w:rFonts w:ascii="Arial" w:hAnsi="Arial" w:cs="Arial"/>
        </w:rPr>
        <w:tab/>
      </w:r>
    </w:p>
    <w:p w:rsidR="001752CA" w:rsidRDefault="00D72ED3" w:rsidP="00D72ED3">
      <w:pPr>
        <w:pStyle w:val="NoSpacing"/>
        <w:spacing w:line="360" w:lineRule="auto"/>
        <w:jc w:val="both"/>
        <w:rPr>
          <w:rFonts w:ascii="Arial" w:hAnsi="Arial" w:cs="Arial"/>
        </w:rPr>
      </w:pPr>
      <w:r>
        <w:rPr>
          <w:rFonts w:ascii="Arial" w:hAnsi="Arial" w:cs="Arial"/>
        </w:rPr>
        <w:tab/>
        <w:t>(a)</w:t>
      </w:r>
      <w:r>
        <w:rPr>
          <w:rFonts w:ascii="Arial" w:hAnsi="Arial" w:cs="Arial"/>
        </w:rPr>
        <w:tab/>
        <w:t>full particulars of the identity of the person giving notice;</w:t>
      </w:r>
    </w:p>
    <w:p w:rsidR="004228EF" w:rsidRDefault="004228EF" w:rsidP="00D72ED3">
      <w:pPr>
        <w:pStyle w:val="NoSpacing"/>
        <w:spacing w:line="360" w:lineRule="auto"/>
        <w:jc w:val="both"/>
        <w:rPr>
          <w:rFonts w:ascii="Arial" w:hAnsi="Arial" w:cs="Arial"/>
        </w:rPr>
      </w:pPr>
      <w:r>
        <w:rPr>
          <w:rFonts w:ascii="Arial" w:hAnsi="Arial" w:cs="Arial"/>
        </w:rPr>
        <w:tab/>
      </w:r>
    </w:p>
    <w:p w:rsidR="00D72ED3" w:rsidRDefault="00D72ED3" w:rsidP="00D72ED3">
      <w:pPr>
        <w:pStyle w:val="NoSpacing"/>
        <w:spacing w:line="360" w:lineRule="auto"/>
        <w:jc w:val="both"/>
        <w:rPr>
          <w:rFonts w:ascii="Arial" w:hAnsi="Arial" w:cs="Arial"/>
        </w:rPr>
      </w:pPr>
      <w:r>
        <w:rPr>
          <w:rFonts w:ascii="Arial" w:hAnsi="Arial" w:cs="Arial"/>
        </w:rPr>
        <w:tab/>
        <w:t>(b)</w:t>
      </w:r>
      <w:r>
        <w:rPr>
          <w:rFonts w:ascii="Arial" w:hAnsi="Arial" w:cs="Arial"/>
        </w:rPr>
        <w:tab/>
        <w:t>the nature and the extent of his or her interest in the property concerned;</w:t>
      </w:r>
    </w:p>
    <w:p w:rsidR="004228EF" w:rsidRDefault="004228EF" w:rsidP="00D72ED3">
      <w:pPr>
        <w:pStyle w:val="NoSpacing"/>
        <w:spacing w:line="360" w:lineRule="auto"/>
        <w:jc w:val="both"/>
        <w:rPr>
          <w:rFonts w:ascii="Arial" w:hAnsi="Arial" w:cs="Arial"/>
        </w:rPr>
      </w:pPr>
      <w:r>
        <w:rPr>
          <w:rFonts w:ascii="Arial" w:hAnsi="Arial" w:cs="Arial"/>
        </w:rPr>
        <w:tab/>
      </w:r>
    </w:p>
    <w:p w:rsidR="00D72ED3" w:rsidRPr="00D72ED3" w:rsidRDefault="00D72ED3" w:rsidP="00D72ED3">
      <w:pPr>
        <w:pStyle w:val="NoSpacing"/>
        <w:spacing w:line="360" w:lineRule="auto"/>
        <w:jc w:val="both"/>
        <w:rPr>
          <w:rFonts w:ascii="Arial" w:hAnsi="Arial" w:cs="Arial"/>
        </w:rPr>
      </w:pPr>
      <w:r>
        <w:rPr>
          <w:rFonts w:ascii="Arial" w:hAnsi="Arial" w:cs="Arial"/>
        </w:rPr>
        <w:tab/>
        <w:t>(c)</w:t>
      </w:r>
      <w:r>
        <w:rPr>
          <w:rFonts w:ascii="Arial" w:hAnsi="Arial" w:cs="Arial"/>
        </w:rPr>
        <w:tab/>
        <w:t xml:space="preserve">whether he or she intends to – </w:t>
      </w:r>
    </w:p>
    <w:p w:rsidR="001752CA" w:rsidRPr="00D72ED3" w:rsidRDefault="004228EF" w:rsidP="00D72ED3">
      <w:pPr>
        <w:pStyle w:val="NoSpacing"/>
        <w:spacing w:line="360" w:lineRule="auto"/>
        <w:jc w:val="both"/>
        <w:rPr>
          <w:rFonts w:ascii="Arial" w:hAnsi="Arial" w:cs="Arial"/>
        </w:rPr>
      </w:pPr>
      <w:r>
        <w:rPr>
          <w:rFonts w:ascii="Arial" w:hAnsi="Arial" w:cs="Arial"/>
        </w:rPr>
        <w:tab/>
      </w:r>
      <w:r>
        <w:rPr>
          <w:rFonts w:ascii="Arial" w:hAnsi="Arial" w:cs="Arial"/>
        </w:rPr>
        <w:tab/>
      </w:r>
    </w:p>
    <w:p w:rsidR="001752CA" w:rsidRDefault="00D72ED3" w:rsidP="00D72ED3">
      <w:pPr>
        <w:pStyle w:val="NoSpacing"/>
        <w:spacing w:line="360" w:lineRule="auto"/>
        <w:jc w:val="both"/>
        <w:rPr>
          <w:rFonts w:ascii="Arial" w:hAnsi="Arial" w:cs="Arial"/>
        </w:rPr>
      </w:pPr>
      <w:r>
        <w:rPr>
          <w:rFonts w:ascii="Arial" w:hAnsi="Arial" w:cs="Arial"/>
        </w:rPr>
        <w:tab/>
      </w:r>
      <w:r>
        <w:rPr>
          <w:rFonts w:ascii="Arial" w:hAnsi="Arial" w:cs="Arial"/>
        </w:rPr>
        <w:tab/>
        <w:t>(i)</w:t>
      </w:r>
      <w:r>
        <w:rPr>
          <w:rFonts w:ascii="Arial" w:hAnsi="Arial" w:cs="Arial"/>
        </w:rPr>
        <w:tab/>
        <w:t>oppose the making of the order; or</w:t>
      </w:r>
    </w:p>
    <w:p w:rsidR="004228EF" w:rsidRDefault="004228EF" w:rsidP="00D72ED3">
      <w:pPr>
        <w:pStyle w:val="NoSpacing"/>
        <w:spacing w:line="360" w:lineRule="auto"/>
        <w:jc w:val="both"/>
        <w:rPr>
          <w:rFonts w:ascii="Arial" w:hAnsi="Arial" w:cs="Arial"/>
        </w:rPr>
      </w:pPr>
      <w:r>
        <w:rPr>
          <w:rFonts w:ascii="Arial" w:hAnsi="Arial" w:cs="Arial"/>
        </w:rPr>
        <w:tab/>
      </w:r>
      <w:r>
        <w:rPr>
          <w:rFonts w:ascii="Arial" w:hAnsi="Arial" w:cs="Arial"/>
        </w:rPr>
        <w:tab/>
      </w:r>
    </w:p>
    <w:p w:rsidR="004228EF" w:rsidRDefault="00D72ED3" w:rsidP="00D72ED3">
      <w:pPr>
        <w:pStyle w:val="NoSpacing"/>
        <w:spacing w:line="360" w:lineRule="auto"/>
        <w:jc w:val="both"/>
        <w:rPr>
          <w:rFonts w:ascii="Arial" w:hAnsi="Arial" w:cs="Arial"/>
        </w:rPr>
      </w:pPr>
      <w:r>
        <w:rPr>
          <w:rFonts w:ascii="Arial" w:hAnsi="Arial" w:cs="Arial"/>
        </w:rPr>
        <w:tab/>
      </w:r>
      <w:r>
        <w:rPr>
          <w:rFonts w:ascii="Arial" w:hAnsi="Arial" w:cs="Arial"/>
        </w:rPr>
        <w:tab/>
        <w:t>(ii)</w:t>
      </w:r>
      <w:r>
        <w:rPr>
          <w:rFonts w:ascii="Arial" w:hAnsi="Arial" w:cs="Arial"/>
        </w:rPr>
        <w:tab/>
        <w:t>apply for an order –</w:t>
      </w:r>
    </w:p>
    <w:p w:rsidR="00D72ED3" w:rsidRDefault="00D72ED3" w:rsidP="00D72ED3">
      <w:pPr>
        <w:pStyle w:val="NoSpacing"/>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(aa)</w:t>
      </w:r>
      <w:r>
        <w:rPr>
          <w:rFonts w:ascii="Arial" w:hAnsi="Arial" w:cs="Arial"/>
        </w:rPr>
        <w:tab/>
        <w:t xml:space="preserve">excluding his or her interest in that property from the operation of </w:t>
      </w:r>
      <w:r>
        <w:rPr>
          <w:rFonts w:ascii="Arial" w:hAnsi="Arial" w:cs="Arial"/>
        </w:rPr>
        <w:tab/>
      </w:r>
      <w:r>
        <w:rPr>
          <w:rFonts w:ascii="Arial" w:hAnsi="Arial" w:cs="Arial"/>
        </w:rPr>
        <w:tab/>
      </w:r>
      <w:r>
        <w:rPr>
          <w:rFonts w:ascii="Arial" w:hAnsi="Arial" w:cs="Arial"/>
        </w:rPr>
        <w:tab/>
      </w:r>
      <w:r>
        <w:rPr>
          <w:rFonts w:ascii="Arial" w:hAnsi="Arial" w:cs="Arial"/>
        </w:rPr>
        <w:tab/>
        <w:t>the order; or</w:t>
      </w:r>
    </w:p>
    <w:p w:rsidR="004228EF" w:rsidRDefault="004228EF" w:rsidP="00D72ED3">
      <w:pPr>
        <w:pStyle w:val="NoSpacing"/>
        <w:spacing w:line="360" w:lineRule="auto"/>
        <w:jc w:val="both"/>
        <w:rPr>
          <w:rFonts w:ascii="Arial" w:hAnsi="Arial" w:cs="Arial"/>
        </w:rPr>
      </w:pPr>
    </w:p>
    <w:p w:rsidR="00D72ED3" w:rsidRPr="00D72ED3" w:rsidRDefault="00D72ED3" w:rsidP="00D72ED3">
      <w:pPr>
        <w:pStyle w:val="NoSpacing"/>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(bb)</w:t>
      </w:r>
      <w:r>
        <w:rPr>
          <w:rFonts w:ascii="Arial" w:hAnsi="Arial" w:cs="Arial"/>
        </w:rPr>
        <w:tab/>
        <w:t>varying the operation of the order in respect of that property;</w:t>
      </w:r>
    </w:p>
    <w:p w:rsidR="00D72ED3" w:rsidRPr="00D72ED3" w:rsidRDefault="00D72ED3" w:rsidP="00D72ED3">
      <w:pPr>
        <w:pStyle w:val="NoSpacing"/>
        <w:spacing w:line="360" w:lineRule="auto"/>
        <w:jc w:val="both"/>
        <w:rPr>
          <w:rFonts w:ascii="Arial" w:hAnsi="Arial" w:cs="Arial"/>
        </w:rPr>
      </w:pPr>
    </w:p>
    <w:p w:rsidR="004228EF" w:rsidRDefault="004228EF" w:rsidP="004228EF">
      <w:pPr>
        <w:pStyle w:val="NoSpacing"/>
        <w:spacing w:line="360" w:lineRule="auto"/>
        <w:jc w:val="both"/>
        <w:rPr>
          <w:rFonts w:ascii="Arial" w:hAnsi="Arial" w:cs="Arial"/>
        </w:rPr>
      </w:pPr>
      <w:r>
        <w:rPr>
          <w:rFonts w:ascii="Arial" w:hAnsi="Arial" w:cs="Arial"/>
        </w:rPr>
        <w:tab/>
      </w:r>
      <w:r>
        <w:rPr>
          <w:rFonts w:ascii="Arial" w:hAnsi="Arial" w:cs="Arial"/>
        </w:rPr>
        <w:tab/>
        <w:t>(d)</w:t>
      </w:r>
      <w:r>
        <w:rPr>
          <w:rFonts w:ascii="Arial" w:hAnsi="Arial" w:cs="Arial"/>
        </w:rPr>
        <w:tab/>
        <w:t xml:space="preserve">whether he or she admits or denies that the property concerned is an </w:t>
      </w:r>
      <w:r>
        <w:rPr>
          <w:rFonts w:ascii="Arial" w:hAnsi="Arial" w:cs="Arial"/>
        </w:rPr>
        <w:tab/>
      </w:r>
      <w:r>
        <w:rPr>
          <w:rFonts w:ascii="Arial" w:hAnsi="Arial" w:cs="Arial"/>
        </w:rPr>
        <w:tab/>
      </w:r>
      <w:r>
        <w:rPr>
          <w:rFonts w:ascii="Arial" w:hAnsi="Arial" w:cs="Arial"/>
        </w:rPr>
        <w:tab/>
        <w:t>instrumentality of an offence or the proceeds of unlawful activities; and</w:t>
      </w:r>
    </w:p>
    <w:p w:rsidR="00D72ED3" w:rsidRDefault="00D72ED3" w:rsidP="00D72ED3">
      <w:pPr>
        <w:pStyle w:val="NoSpacing"/>
        <w:spacing w:line="360" w:lineRule="auto"/>
        <w:jc w:val="both"/>
        <w:rPr>
          <w:rFonts w:ascii="Arial" w:hAnsi="Arial" w:cs="Arial"/>
        </w:rPr>
      </w:pPr>
    </w:p>
    <w:p w:rsidR="004228EF" w:rsidRDefault="004228EF" w:rsidP="00D72ED3">
      <w:pPr>
        <w:pStyle w:val="NoSpacing"/>
        <w:spacing w:line="360" w:lineRule="auto"/>
        <w:jc w:val="both"/>
        <w:rPr>
          <w:rFonts w:ascii="Arial" w:hAnsi="Arial" w:cs="Arial"/>
        </w:rPr>
      </w:pPr>
      <w:r>
        <w:rPr>
          <w:rFonts w:ascii="Arial" w:hAnsi="Arial" w:cs="Arial"/>
        </w:rPr>
        <w:tab/>
      </w:r>
      <w:r>
        <w:rPr>
          <w:rFonts w:ascii="Arial" w:hAnsi="Arial" w:cs="Arial"/>
        </w:rPr>
        <w:tab/>
        <w:t>(e)</w:t>
      </w:r>
      <w:r>
        <w:rPr>
          <w:rFonts w:ascii="Arial" w:hAnsi="Arial" w:cs="Arial"/>
        </w:rPr>
        <w:tab/>
        <w:t xml:space="preserve">the – </w:t>
      </w:r>
    </w:p>
    <w:p w:rsidR="004228EF" w:rsidRDefault="004228EF" w:rsidP="00D72ED3">
      <w:pPr>
        <w:pStyle w:val="NoSpacing"/>
        <w:spacing w:line="360" w:lineRule="auto"/>
        <w:jc w:val="both"/>
        <w:rPr>
          <w:rFonts w:ascii="Arial" w:hAnsi="Arial" w:cs="Arial"/>
        </w:rPr>
      </w:pPr>
      <w:r>
        <w:rPr>
          <w:rFonts w:ascii="Arial" w:hAnsi="Arial" w:cs="Arial"/>
        </w:rPr>
        <w:tab/>
      </w:r>
      <w:r>
        <w:rPr>
          <w:rFonts w:ascii="Arial" w:hAnsi="Arial" w:cs="Arial"/>
        </w:rPr>
        <w:tab/>
      </w:r>
    </w:p>
    <w:p w:rsidR="004228EF" w:rsidRDefault="004228EF" w:rsidP="00D72ED3">
      <w:pPr>
        <w:pStyle w:val="NoSpacing"/>
        <w:numPr>
          <w:ilvl w:val="0"/>
          <w:numId w:val="10"/>
        </w:numPr>
        <w:spacing w:line="360" w:lineRule="auto"/>
        <w:jc w:val="both"/>
        <w:rPr>
          <w:rFonts w:ascii="Arial" w:hAnsi="Arial" w:cs="Arial"/>
        </w:rPr>
      </w:pPr>
      <w:r w:rsidRPr="004228EF">
        <w:rPr>
          <w:rFonts w:ascii="Arial" w:hAnsi="Arial" w:cs="Arial"/>
        </w:rPr>
        <w:t>facts on which he or she intends to rely on in opposing the making of a forfeiture order or applying for an order referred to in subparagraph (c)(ii); and</w:t>
      </w:r>
    </w:p>
    <w:p w:rsidR="004228EF" w:rsidRDefault="004228EF" w:rsidP="004228EF">
      <w:pPr>
        <w:pStyle w:val="NoSpacing"/>
        <w:spacing w:line="360" w:lineRule="auto"/>
        <w:ind w:left="2880"/>
        <w:jc w:val="both"/>
        <w:rPr>
          <w:rFonts w:ascii="Arial" w:hAnsi="Arial" w:cs="Arial"/>
        </w:rPr>
      </w:pPr>
    </w:p>
    <w:p w:rsidR="004228EF" w:rsidRPr="004228EF" w:rsidRDefault="004228EF" w:rsidP="00D72ED3">
      <w:pPr>
        <w:pStyle w:val="NoSpacing"/>
        <w:numPr>
          <w:ilvl w:val="0"/>
          <w:numId w:val="10"/>
        </w:numPr>
        <w:spacing w:line="360" w:lineRule="auto"/>
        <w:jc w:val="both"/>
        <w:rPr>
          <w:rFonts w:ascii="Arial" w:hAnsi="Arial" w:cs="Arial"/>
        </w:rPr>
      </w:pPr>
      <w:r>
        <w:rPr>
          <w:rFonts w:ascii="Arial" w:hAnsi="Arial" w:cs="Arial"/>
        </w:rPr>
        <w:t>basis on which he or she admits or denies that the property concerned is an instrumentality of an offence or the proceeds of unlawful activities.</w:t>
      </w:r>
    </w:p>
    <w:p w:rsidR="004228EF" w:rsidRDefault="004228EF" w:rsidP="00D72ED3">
      <w:pPr>
        <w:pStyle w:val="NoSpacing"/>
        <w:spacing w:line="360" w:lineRule="auto"/>
        <w:jc w:val="both"/>
        <w:rPr>
          <w:rFonts w:ascii="Arial" w:hAnsi="Arial" w:cs="Arial"/>
        </w:rPr>
      </w:pPr>
    </w:p>
    <w:p w:rsidR="004228EF" w:rsidRDefault="004228EF" w:rsidP="00D72ED3">
      <w:pPr>
        <w:pStyle w:val="NoSpacing"/>
        <w:spacing w:line="360" w:lineRule="auto"/>
        <w:jc w:val="both"/>
        <w:rPr>
          <w:rFonts w:ascii="Arial" w:hAnsi="Arial" w:cs="Arial"/>
        </w:rPr>
      </w:pPr>
      <w:r>
        <w:rPr>
          <w:rFonts w:ascii="Arial" w:hAnsi="Arial" w:cs="Arial"/>
        </w:rPr>
        <w:tab/>
        <w:t>(6)</w:t>
      </w:r>
      <w:r>
        <w:rPr>
          <w:rFonts w:ascii="Arial" w:hAnsi="Arial" w:cs="Arial"/>
        </w:rPr>
        <w:tab/>
        <w:t xml:space="preserve">A person who does not give notice in terms of subsection (3), accompanied by </w:t>
      </w:r>
      <w:r>
        <w:rPr>
          <w:rFonts w:ascii="Arial" w:hAnsi="Arial" w:cs="Arial"/>
        </w:rPr>
        <w:tab/>
        <w:t xml:space="preserve">an affidavit in terms of subsection (5) within the period referred to in subsection (4) is </w:t>
      </w:r>
      <w:r>
        <w:rPr>
          <w:rFonts w:ascii="Arial" w:hAnsi="Arial" w:cs="Arial"/>
        </w:rPr>
        <w:tab/>
        <w:t xml:space="preserve">not entitled – </w:t>
      </w:r>
    </w:p>
    <w:p w:rsidR="004228EF" w:rsidRDefault="004228EF" w:rsidP="004228EF">
      <w:pPr>
        <w:pStyle w:val="NoSpacing"/>
        <w:numPr>
          <w:ilvl w:val="0"/>
          <w:numId w:val="11"/>
        </w:numPr>
        <w:spacing w:line="360" w:lineRule="auto"/>
        <w:ind w:hanging="731"/>
        <w:jc w:val="both"/>
        <w:rPr>
          <w:rFonts w:ascii="Arial" w:hAnsi="Arial" w:cs="Arial"/>
        </w:rPr>
      </w:pPr>
      <w:r>
        <w:rPr>
          <w:rFonts w:ascii="Arial" w:hAnsi="Arial" w:cs="Arial"/>
        </w:rPr>
        <w:lastRenderedPageBreak/>
        <w:t>to receive</w:t>
      </w:r>
      <w:r w:rsidR="00636FE3">
        <w:rPr>
          <w:rFonts w:ascii="Arial" w:hAnsi="Arial" w:cs="Arial"/>
        </w:rPr>
        <w:t>, from the Prosecutor-General,</w:t>
      </w:r>
      <w:r>
        <w:rPr>
          <w:rFonts w:ascii="Arial" w:hAnsi="Arial" w:cs="Arial"/>
        </w:rPr>
        <w:t xml:space="preserve"> notice of an application for a forfeiture order in terms of section 59(2); or</w:t>
      </w:r>
    </w:p>
    <w:p w:rsidR="004228EF" w:rsidRDefault="004228EF" w:rsidP="004228EF">
      <w:pPr>
        <w:pStyle w:val="NoSpacing"/>
        <w:spacing w:line="360" w:lineRule="auto"/>
        <w:ind w:left="1440"/>
        <w:jc w:val="both"/>
        <w:rPr>
          <w:rFonts w:ascii="Arial" w:hAnsi="Arial" w:cs="Arial"/>
        </w:rPr>
      </w:pPr>
    </w:p>
    <w:p w:rsidR="004228EF" w:rsidRPr="00D72ED3" w:rsidRDefault="004228EF" w:rsidP="004228EF">
      <w:pPr>
        <w:pStyle w:val="NoSpacing"/>
        <w:numPr>
          <w:ilvl w:val="0"/>
          <w:numId w:val="11"/>
        </w:numPr>
        <w:spacing w:line="360" w:lineRule="auto"/>
        <w:ind w:hanging="731"/>
        <w:jc w:val="both"/>
        <w:rPr>
          <w:rFonts w:ascii="Arial" w:hAnsi="Arial" w:cs="Arial"/>
        </w:rPr>
      </w:pPr>
      <w:r>
        <w:rPr>
          <w:rFonts w:ascii="Arial" w:hAnsi="Arial" w:cs="Arial"/>
        </w:rPr>
        <w:t>subject to section 60, to participate in proceedings concerning an application for an forfeiture order.</w:t>
      </w:r>
      <w:r w:rsidR="00497934">
        <w:rPr>
          <w:rFonts w:ascii="Arial" w:hAnsi="Arial" w:cs="Arial"/>
        </w:rPr>
        <w:t>’</w:t>
      </w:r>
    </w:p>
    <w:p w:rsidR="00D72ED3" w:rsidRDefault="00D72ED3" w:rsidP="00CB28F4">
      <w:pPr>
        <w:pStyle w:val="NoSpacing"/>
        <w:spacing w:line="480" w:lineRule="auto"/>
        <w:jc w:val="both"/>
        <w:rPr>
          <w:rFonts w:ascii="Arial" w:hAnsi="Arial" w:cs="Arial"/>
          <w:sz w:val="24"/>
          <w:szCs w:val="24"/>
        </w:rPr>
      </w:pPr>
    </w:p>
    <w:p w:rsidR="00CB28F4" w:rsidRPr="00CB54C2" w:rsidRDefault="00497934"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s 52(3) notice, deposed to by Wenlong Zhang</w:t>
      </w:r>
      <w:r w:rsidR="00806083">
        <w:rPr>
          <w:rFonts w:ascii="Arial" w:hAnsi="Arial" w:cs="Arial"/>
          <w:sz w:val="24"/>
          <w:szCs w:val="24"/>
        </w:rPr>
        <w:t>,</w:t>
      </w:r>
      <w:r>
        <w:rPr>
          <w:rFonts w:ascii="Arial" w:hAnsi="Arial" w:cs="Arial"/>
          <w:sz w:val="24"/>
          <w:szCs w:val="24"/>
        </w:rPr>
        <w:t xml:space="preserve"> the son of the second respondent, was filed on 12 April 2017 on behalf of the first respondent together with an affidavit in terms of s 52(5) of the Act. This notice informed the appellant of first respondent’s intention to oppose the making of a forfeiture order. It was stated that the deponent was employed by the first respondent as general manager and duly authorised to depose to the affidavit on behalf of first respondent.</w:t>
      </w:r>
    </w:p>
    <w:p w:rsidR="00CB28F4" w:rsidRPr="00CB54C2" w:rsidRDefault="00CB28F4" w:rsidP="00CB28F4">
      <w:pPr>
        <w:pStyle w:val="NoSpacing"/>
        <w:spacing w:line="480" w:lineRule="auto"/>
        <w:jc w:val="both"/>
        <w:rPr>
          <w:rFonts w:ascii="Arial" w:hAnsi="Arial" w:cs="Arial"/>
          <w:sz w:val="24"/>
          <w:szCs w:val="24"/>
        </w:rPr>
      </w:pPr>
    </w:p>
    <w:p w:rsidR="00CB28F4" w:rsidRPr="00CB54C2" w:rsidRDefault="00497934"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dealing with s 52(5)</w:t>
      </w:r>
      <w:r w:rsidRPr="00497934">
        <w:rPr>
          <w:rFonts w:ascii="Arial" w:hAnsi="Arial" w:cs="Arial"/>
          <w:i/>
          <w:sz w:val="24"/>
          <w:szCs w:val="24"/>
        </w:rPr>
        <w:t>(a)</w:t>
      </w:r>
      <w:r>
        <w:rPr>
          <w:rFonts w:ascii="Arial" w:hAnsi="Arial" w:cs="Arial"/>
          <w:sz w:val="24"/>
          <w:szCs w:val="24"/>
        </w:rPr>
        <w:t>, ie the full particulars of the identity of the person giving notice, the first respondent was identified, with its place of business at S 11 Oshikango, China Town, Helao Nafidi Town Council, Republic of Namibia.</w:t>
      </w:r>
    </w:p>
    <w:p w:rsidR="00CB28F4" w:rsidRPr="00CB54C2" w:rsidRDefault="00CB28F4" w:rsidP="00CB28F4">
      <w:pPr>
        <w:pStyle w:val="NoSpacing"/>
        <w:spacing w:line="480" w:lineRule="auto"/>
        <w:jc w:val="both"/>
        <w:rPr>
          <w:rFonts w:ascii="Arial" w:hAnsi="Arial" w:cs="Arial"/>
          <w:sz w:val="24"/>
          <w:szCs w:val="24"/>
        </w:rPr>
      </w:pPr>
    </w:p>
    <w:p w:rsidR="00CB28F4" w:rsidRPr="00CB54C2" w:rsidRDefault="00497934"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dealing with s 52(5)</w:t>
      </w:r>
      <w:r w:rsidRPr="00497934">
        <w:rPr>
          <w:rFonts w:ascii="Arial" w:hAnsi="Arial" w:cs="Arial"/>
          <w:i/>
          <w:sz w:val="24"/>
          <w:szCs w:val="24"/>
        </w:rPr>
        <w:t>(b)</w:t>
      </w:r>
      <w:r>
        <w:rPr>
          <w:rFonts w:ascii="Arial" w:hAnsi="Arial" w:cs="Arial"/>
          <w:sz w:val="24"/>
          <w:szCs w:val="24"/>
        </w:rPr>
        <w:t xml:space="preserve"> it was indicated that first respondent was the account holder of two identified accounts with positive balances with Nedbank and that the monies seized belonged to the first respondent.</w:t>
      </w:r>
    </w:p>
    <w:p w:rsidR="00CB28F4" w:rsidRPr="00CB54C2" w:rsidRDefault="00CB28F4" w:rsidP="00CB28F4">
      <w:pPr>
        <w:pStyle w:val="NoSpacing"/>
        <w:spacing w:line="480" w:lineRule="auto"/>
        <w:jc w:val="both"/>
        <w:rPr>
          <w:rFonts w:ascii="Arial" w:hAnsi="Arial" w:cs="Arial"/>
          <w:sz w:val="24"/>
          <w:szCs w:val="24"/>
        </w:rPr>
      </w:pPr>
    </w:p>
    <w:p w:rsidR="00CB28F4" w:rsidRPr="00CB54C2" w:rsidRDefault="00497934"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terms of s 52(5)</w:t>
      </w:r>
      <w:r w:rsidRPr="00497934">
        <w:rPr>
          <w:rFonts w:ascii="Arial" w:hAnsi="Arial" w:cs="Arial"/>
          <w:i/>
          <w:sz w:val="24"/>
          <w:szCs w:val="24"/>
        </w:rPr>
        <w:t>(c)</w:t>
      </w:r>
      <w:r>
        <w:rPr>
          <w:rFonts w:ascii="Arial" w:hAnsi="Arial" w:cs="Arial"/>
          <w:sz w:val="24"/>
          <w:szCs w:val="24"/>
        </w:rPr>
        <w:t xml:space="preserve"> it was stated that the forfeiture application was opposed. </w:t>
      </w:r>
    </w:p>
    <w:p w:rsidR="00CB28F4" w:rsidRPr="00CB54C2" w:rsidRDefault="00CB28F4" w:rsidP="00CB28F4">
      <w:pPr>
        <w:pStyle w:val="NoSpacing"/>
        <w:spacing w:line="480" w:lineRule="auto"/>
        <w:jc w:val="both"/>
        <w:rPr>
          <w:rFonts w:ascii="Arial" w:hAnsi="Arial" w:cs="Arial"/>
          <w:sz w:val="24"/>
          <w:szCs w:val="24"/>
        </w:rPr>
      </w:pPr>
    </w:p>
    <w:p w:rsidR="00CB28F4" w:rsidRPr="00CB54C2" w:rsidRDefault="00497934"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terms of s 52(5)</w:t>
      </w:r>
      <w:r w:rsidRPr="00497934">
        <w:rPr>
          <w:rFonts w:ascii="Arial" w:hAnsi="Arial" w:cs="Arial"/>
          <w:i/>
          <w:sz w:val="24"/>
          <w:szCs w:val="24"/>
        </w:rPr>
        <w:t xml:space="preserve">(d) </w:t>
      </w:r>
      <w:r>
        <w:rPr>
          <w:rFonts w:ascii="Arial" w:hAnsi="Arial" w:cs="Arial"/>
          <w:sz w:val="24"/>
          <w:szCs w:val="24"/>
        </w:rPr>
        <w:t xml:space="preserve">first respondent denied that the property is an instrumentality of an offence or proceeds of unlawful activities. </w:t>
      </w:r>
    </w:p>
    <w:p w:rsidR="00CB28F4" w:rsidRDefault="00497934"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In respect of s 52(</w:t>
      </w:r>
      <w:r w:rsidR="002511CD">
        <w:rPr>
          <w:rFonts w:ascii="Arial" w:hAnsi="Arial" w:cs="Arial"/>
          <w:sz w:val="24"/>
          <w:szCs w:val="24"/>
        </w:rPr>
        <w:t>5)</w:t>
      </w:r>
      <w:r w:rsidRPr="002511CD">
        <w:rPr>
          <w:rFonts w:ascii="Arial" w:hAnsi="Arial" w:cs="Arial"/>
          <w:i/>
          <w:sz w:val="24"/>
          <w:szCs w:val="24"/>
        </w:rPr>
        <w:t>(e)</w:t>
      </w:r>
      <w:r w:rsidR="002511CD">
        <w:rPr>
          <w:rFonts w:ascii="Arial" w:hAnsi="Arial" w:cs="Arial"/>
          <w:sz w:val="24"/>
          <w:szCs w:val="24"/>
        </w:rPr>
        <w:t xml:space="preserve"> it was stated that the appellant relied on various documents and evidence which amount to hears</w:t>
      </w:r>
      <w:r w:rsidR="00363DAB">
        <w:rPr>
          <w:rFonts w:ascii="Arial" w:hAnsi="Arial" w:cs="Arial"/>
          <w:sz w:val="24"/>
          <w:szCs w:val="24"/>
        </w:rPr>
        <w:t>ay</w:t>
      </w:r>
      <w:r w:rsidR="00806083">
        <w:rPr>
          <w:rFonts w:ascii="Arial" w:hAnsi="Arial" w:cs="Arial"/>
          <w:sz w:val="24"/>
          <w:szCs w:val="24"/>
        </w:rPr>
        <w:t>,</w:t>
      </w:r>
      <w:r w:rsidR="00363DAB">
        <w:rPr>
          <w:rFonts w:ascii="Arial" w:hAnsi="Arial" w:cs="Arial"/>
          <w:sz w:val="24"/>
          <w:szCs w:val="24"/>
        </w:rPr>
        <w:t xml:space="preserve"> and that allegations were made without any factual basis. It was further stated that the appellant assumed that when </w:t>
      </w:r>
      <w:r w:rsidR="00636FE3">
        <w:rPr>
          <w:rFonts w:ascii="Arial" w:hAnsi="Arial" w:cs="Arial"/>
          <w:sz w:val="24"/>
          <w:szCs w:val="24"/>
        </w:rPr>
        <w:t>Extreme Customs Clearing Services CC (ECCS) and Organise Freight Services CC (Organise CC)</w:t>
      </w:r>
      <w:r w:rsidR="00363DAB">
        <w:rPr>
          <w:rFonts w:ascii="Arial" w:hAnsi="Arial" w:cs="Arial"/>
          <w:sz w:val="24"/>
          <w:szCs w:val="24"/>
        </w:rPr>
        <w:t xml:space="preserve"> made certain payments to some importers, using </w:t>
      </w:r>
      <w:r w:rsidR="004C6A60">
        <w:rPr>
          <w:rFonts w:ascii="Arial" w:hAnsi="Arial" w:cs="Arial"/>
          <w:sz w:val="24"/>
          <w:szCs w:val="24"/>
        </w:rPr>
        <w:t>their</w:t>
      </w:r>
      <w:r w:rsidR="00363DAB">
        <w:rPr>
          <w:rFonts w:ascii="Arial" w:hAnsi="Arial" w:cs="Arial"/>
          <w:sz w:val="24"/>
          <w:szCs w:val="24"/>
        </w:rPr>
        <w:t xml:space="preserve"> own foreign currency account, they did so on behalf of China South Industry and Trading CC. It was stated that the first respondent shall deny these allegations. It was stated that the first respondent only paid ECCS and Organise CC as clearing agency for services rendered.</w:t>
      </w:r>
    </w:p>
    <w:p w:rsidR="00206583" w:rsidRPr="00CB54C2" w:rsidRDefault="00206583" w:rsidP="00206583">
      <w:pPr>
        <w:pStyle w:val="NoSpacing"/>
        <w:spacing w:line="480" w:lineRule="auto"/>
        <w:jc w:val="both"/>
        <w:rPr>
          <w:rFonts w:ascii="Arial" w:hAnsi="Arial" w:cs="Arial"/>
          <w:sz w:val="24"/>
          <w:szCs w:val="24"/>
        </w:rPr>
      </w:pPr>
    </w:p>
    <w:p w:rsidR="00CB28F4" w:rsidRPr="00CB54C2" w:rsidRDefault="00363DAB"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further stated that allegations that first respondent was not entitled to pay into its foreign currency account cash will be denied as first respondent was licenced to do so. </w:t>
      </w:r>
      <w:r w:rsidR="004C6A60">
        <w:rPr>
          <w:rFonts w:ascii="Arial" w:hAnsi="Arial" w:cs="Arial"/>
          <w:sz w:val="24"/>
          <w:szCs w:val="24"/>
        </w:rPr>
        <w:t xml:space="preserve">A copy of a licence was attached to the notice. </w:t>
      </w:r>
      <w:r>
        <w:rPr>
          <w:rFonts w:ascii="Arial" w:hAnsi="Arial" w:cs="Arial"/>
          <w:sz w:val="24"/>
          <w:szCs w:val="24"/>
        </w:rPr>
        <w:t>It was denied that the bank account was an instrumentality of an offence.</w:t>
      </w:r>
    </w:p>
    <w:p w:rsidR="00CB28F4" w:rsidRPr="00CB54C2" w:rsidRDefault="00CB28F4" w:rsidP="00CB28F4">
      <w:pPr>
        <w:pStyle w:val="NoSpacing"/>
        <w:spacing w:line="480" w:lineRule="auto"/>
        <w:jc w:val="both"/>
        <w:rPr>
          <w:rFonts w:ascii="Arial" w:hAnsi="Arial" w:cs="Arial"/>
          <w:sz w:val="24"/>
          <w:szCs w:val="24"/>
        </w:rPr>
      </w:pPr>
    </w:p>
    <w:p w:rsidR="00CB28F4" w:rsidRPr="00CB54C2" w:rsidRDefault="00884AF7"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denied that the money in the two bank accounts are proceeds of unlawful activities. It was stated that in cases where the first </w:t>
      </w:r>
      <w:r w:rsidR="0041337D">
        <w:rPr>
          <w:rFonts w:ascii="Arial" w:hAnsi="Arial" w:cs="Arial"/>
          <w:sz w:val="24"/>
          <w:szCs w:val="24"/>
        </w:rPr>
        <w:t>respondent</w:t>
      </w:r>
      <w:r>
        <w:rPr>
          <w:rFonts w:ascii="Arial" w:hAnsi="Arial" w:cs="Arial"/>
          <w:sz w:val="24"/>
          <w:szCs w:val="24"/>
        </w:rPr>
        <w:t xml:space="preserve"> remitted money itself it did so through its foreign currency account lawfully to importers in respect of services rendered or goods supplied.</w:t>
      </w:r>
    </w:p>
    <w:p w:rsidR="00CB28F4" w:rsidRPr="00CB54C2" w:rsidRDefault="00CB28F4" w:rsidP="00CB28F4">
      <w:pPr>
        <w:pStyle w:val="NoSpacing"/>
        <w:spacing w:line="480" w:lineRule="auto"/>
        <w:jc w:val="both"/>
        <w:rPr>
          <w:rFonts w:ascii="Arial" w:hAnsi="Arial" w:cs="Arial"/>
          <w:sz w:val="24"/>
          <w:szCs w:val="24"/>
        </w:rPr>
      </w:pPr>
    </w:p>
    <w:p w:rsidR="00CB28F4" w:rsidRPr="00CB54C2" w:rsidRDefault="00884AF7"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also stated that the first respondent shall deny all allegations suggesting that it committed any office and shall rely on such grounds and such further grounds as it may be advised to rely on by counsel in due course at the hearing of an application for </w:t>
      </w:r>
      <w:r w:rsidR="00806083">
        <w:rPr>
          <w:rFonts w:ascii="Arial" w:hAnsi="Arial" w:cs="Arial"/>
          <w:sz w:val="24"/>
          <w:szCs w:val="24"/>
        </w:rPr>
        <w:t xml:space="preserve">a </w:t>
      </w:r>
      <w:r>
        <w:rPr>
          <w:rFonts w:ascii="Arial" w:hAnsi="Arial" w:cs="Arial"/>
          <w:sz w:val="24"/>
          <w:szCs w:val="24"/>
        </w:rPr>
        <w:t>forfeiture order.</w:t>
      </w:r>
    </w:p>
    <w:p w:rsidR="00CB28F4" w:rsidRPr="00CB54C2" w:rsidRDefault="00884AF7"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was stated that the appellant’s affidavit does not make out a case that the properties seized are proceeds of unlawful activities or instrumentality thereof.</w:t>
      </w:r>
    </w:p>
    <w:p w:rsidR="00CB28F4" w:rsidRPr="00CB54C2" w:rsidRDefault="00CB28F4" w:rsidP="00CB28F4">
      <w:pPr>
        <w:pStyle w:val="NoSpacing"/>
        <w:spacing w:line="480" w:lineRule="auto"/>
        <w:jc w:val="both"/>
        <w:rPr>
          <w:rFonts w:ascii="Arial" w:hAnsi="Arial" w:cs="Arial"/>
          <w:sz w:val="24"/>
          <w:szCs w:val="24"/>
        </w:rPr>
      </w:pPr>
    </w:p>
    <w:p w:rsidR="00CB28F4" w:rsidRDefault="00884AF7"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s 52(3) notice and affidavit was in response to the appellant’s founding affidavit in the application for a preservation of property order, which affidavit was extensive and in detail.</w:t>
      </w:r>
    </w:p>
    <w:p w:rsidR="0041337D" w:rsidRPr="00CB54C2" w:rsidRDefault="0041337D" w:rsidP="0041337D">
      <w:pPr>
        <w:pStyle w:val="NoSpacing"/>
        <w:spacing w:line="480" w:lineRule="auto"/>
        <w:jc w:val="both"/>
        <w:rPr>
          <w:rFonts w:ascii="Arial" w:hAnsi="Arial" w:cs="Arial"/>
          <w:sz w:val="24"/>
          <w:szCs w:val="24"/>
        </w:rPr>
      </w:pPr>
    </w:p>
    <w:p w:rsidR="00CB28F4" w:rsidRDefault="00884AF7"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stated in her founding affidavit that there are reasonable grounds to belief that the positive balances in the bank accounts of first respondent are proceeds of the following unlawful activities:</w:t>
      </w:r>
    </w:p>
    <w:p w:rsidR="00884AF7" w:rsidRDefault="00884AF7" w:rsidP="00884AF7">
      <w:pPr>
        <w:pStyle w:val="ListParagraph"/>
        <w:rPr>
          <w:rFonts w:ascii="Arial" w:hAnsi="Arial" w:cs="Arial"/>
          <w:sz w:val="24"/>
          <w:szCs w:val="24"/>
        </w:rPr>
      </w:pPr>
    </w:p>
    <w:p w:rsidR="00CB28F4" w:rsidRPr="00CB54C2" w:rsidRDefault="00884AF7" w:rsidP="00806083">
      <w:pPr>
        <w:pStyle w:val="NoSpacing"/>
        <w:spacing w:line="480" w:lineRule="auto"/>
        <w:ind w:left="720"/>
        <w:jc w:val="both"/>
        <w:rPr>
          <w:rFonts w:ascii="Arial" w:hAnsi="Arial" w:cs="Arial"/>
          <w:sz w:val="24"/>
          <w:szCs w:val="24"/>
        </w:rPr>
      </w:pPr>
      <w:r>
        <w:rPr>
          <w:rFonts w:ascii="Arial" w:hAnsi="Arial" w:cs="Arial"/>
          <w:sz w:val="24"/>
          <w:szCs w:val="24"/>
        </w:rPr>
        <w:t>Fraud; forgery; money laundering offences as set out in section</w:t>
      </w:r>
      <w:r w:rsidR="00636FE3">
        <w:rPr>
          <w:rFonts w:ascii="Arial" w:hAnsi="Arial" w:cs="Arial"/>
          <w:sz w:val="24"/>
          <w:szCs w:val="24"/>
        </w:rPr>
        <w:t>s</w:t>
      </w:r>
      <w:r>
        <w:rPr>
          <w:rFonts w:ascii="Arial" w:hAnsi="Arial" w:cs="Arial"/>
          <w:sz w:val="24"/>
          <w:szCs w:val="24"/>
        </w:rPr>
        <w:t xml:space="preserve"> 4 and 6 of the Act; contravention of section 96</w:t>
      </w:r>
      <w:r w:rsidR="00DC1A39">
        <w:rPr>
          <w:rFonts w:ascii="Arial" w:hAnsi="Arial" w:cs="Arial"/>
          <w:sz w:val="24"/>
          <w:szCs w:val="24"/>
        </w:rPr>
        <w:t xml:space="preserve"> </w:t>
      </w:r>
      <w:r w:rsidR="00636FE3">
        <w:rPr>
          <w:rFonts w:ascii="Arial" w:hAnsi="Arial" w:cs="Arial"/>
          <w:sz w:val="24"/>
          <w:szCs w:val="24"/>
        </w:rPr>
        <w:t xml:space="preserve">read </w:t>
      </w:r>
      <w:r w:rsidR="00DC1A39">
        <w:rPr>
          <w:rFonts w:ascii="Arial" w:hAnsi="Arial" w:cs="Arial"/>
          <w:sz w:val="24"/>
          <w:szCs w:val="24"/>
        </w:rPr>
        <w:t>with other provisions of the Customs and Excise Act 20 of 1988.</w:t>
      </w:r>
      <w:r w:rsidR="00806083">
        <w:rPr>
          <w:rFonts w:ascii="Arial" w:hAnsi="Arial" w:cs="Arial"/>
          <w:sz w:val="24"/>
          <w:szCs w:val="24"/>
        </w:rPr>
        <w:t xml:space="preserve"> </w:t>
      </w:r>
      <w:r w:rsidR="00DC1A39">
        <w:rPr>
          <w:rFonts w:ascii="Arial" w:hAnsi="Arial" w:cs="Arial"/>
          <w:sz w:val="24"/>
          <w:szCs w:val="24"/>
        </w:rPr>
        <w:t>In addition</w:t>
      </w:r>
      <w:r w:rsidR="004C6A60">
        <w:rPr>
          <w:rFonts w:ascii="Arial" w:hAnsi="Arial" w:cs="Arial"/>
          <w:sz w:val="24"/>
          <w:szCs w:val="24"/>
        </w:rPr>
        <w:t>,</w:t>
      </w:r>
      <w:r w:rsidR="00DC1A39">
        <w:rPr>
          <w:rFonts w:ascii="Arial" w:hAnsi="Arial" w:cs="Arial"/>
          <w:sz w:val="24"/>
          <w:szCs w:val="24"/>
        </w:rPr>
        <w:t xml:space="preserve"> that first respondents’ </w:t>
      </w:r>
      <w:r w:rsidR="004C6A60">
        <w:rPr>
          <w:rFonts w:ascii="Arial" w:hAnsi="Arial" w:cs="Arial"/>
          <w:sz w:val="24"/>
          <w:szCs w:val="24"/>
        </w:rPr>
        <w:t>Customer Foreign Currency Account (</w:t>
      </w:r>
      <w:r w:rsidR="00DC1A39">
        <w:rPr>
          <w:rFonts w:ascii="Arial" w:hAnsi="Arial" w:cs="Arial"/>
          <w:sz w:val="24"/>
          <w:szCs w:val="24"/>
        </w:rPr>
        <w:t>CFC account</w:t>
      </w:r>
      <w:r w:rsidR="004C6A60">
        <w:rPr>
          <w:rFonts w:ascii="Arial" w:hAnsi="Arial" w:cs="Arial"/>
          <w:sz w:val="24"/>
          <w:szCs w:val="24"/>
        </w:rPr>
        <w:t>)</w:t>
      </w:r>
      <w:r w:rsidR="00DC1A39">
        <w:rPr>
          <w:rFonts w:ascii="Arial" w:hAnsi="Arial" w:cs="Arial"/>
          <w:sz w:val="24"/>
          <w:szCs w:val="24"/>
        </w:rPr>
        <w:t xml:space="preserve"> is an instrumentality of a schedule one offence, namely, contravention of the Exchange Control Regulations of 1961.</w:t>
      </w:r>
    </w:p>
    <w:p w:rsidR="00CB28F4" w:rsidRPr="00CB54C2" w:rsidRDefault="00CB28F4" w:rsidP="00CB28F4">
      <w:pPr>
        <w:pStyle w:val="NoSpacing"/>
        <w:spacing w:line="480" w:lineRule="auto"/>
        <w:jc w:val="both"/>
        <w:rPr>
          <w:rFonts w:ascii="Arial" w:hAnsi="Arial" w:cs="Arial"/>
          <w:sz w:val="24"/>
          <w:szCs w:val="24"/>
        </w:rPr>
      </w:pPr>
    </w:p>
    <w:p w:rsidR="00CB28F4" w:rsidRPr="00CB54C2" w:rsidRDefault="00DC1A39"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w:t>
      </w:r>
      <w:r w:rsidRPr="0041337D">
        <w:rPr>
          <w:rFonts w:ascii="Arial" w:hAnsi="Arial" w:cs="Arial"/>
          <w:sz w:val="24"/>
          <w:szCs w:val="24"/>
        </w:rPr>
        <w:t>relate</w:t>
      </w:r>
      <w:r w:rsidR="004C6A60" w:rsidRPr="0041337D">
        <w:rPr>
          <w:rFonts w:ascii="Arial" w:hAnsi="Arial" w:cs="Arial"/>
          <w:sz w:val="24"/>
          <w:szCs w:val="24"/>
        </w:rPr>
        <w:t>d</w:t>
      </w:r>
      <w:r w:rsidRPr="0041337D">
        <w:rPr>
          <w:rFonts w:ascii="Arial" w:hAnsi="Arial" w:cs="Arial"/>
          <w:sz w:val="24"/>
          <w:szCs w:val="24"/>
        </w:rPr>
        <w:t xml:space="preserve"> that</w:t>
      </w:r>
      <w:r>
        <w:rPr>
          <w:rFonts w:ascii="Arial" w:hAnsi="Arial" w:cs="Arial"/>
          <w:sz w:val="24"/>
          <w:szCs w:val="24"/>
        </w:rPr>
        <w:t xml:space="preserve"> fraudulent invoices were used to misrepresent the true value of goods imported. This misrepresentation resulted in the importers paying lower duties to Customs as required by the Customs Act, defrauding Customs</w:t>
      </w:r>
      <w:r w:rsidR="004C6A60">
        <w:rPr>
          <w:rFonts w:ascii="Arial" w:hAnsi="Arial" w:cs="Arial"/>
          <w:sz w:val="24"/>
          <w:szCs w:val="24"/>
        </w:rPr>
        <w:t>,</w:t>
      </w:r>
      <w:r>
        <w:rPr>
          <w:rFonts w:ascii="Arial" w:hAnsi="Arial" w:cs="Arial"/>
          <w:sz w:val="24"/>
          <w:szCs w:val="24"/>
        </w:rPr>
        <w:t xml:space="preserve"> and </w:t>
      </w:r>
      <w:r w:rsidR="00806083">
        <w:rPr>
          <w:rFonts w:ascii="Arial" w:hAnsi="Arial" w:cs="Arial"/>
          <w:sz w:val="24"/>
          <w:szCs w:val="24"/>
        </w:rPr>
        <w:t xml:space="preserve">that </w:t>
      </w:r>
      <w:r>
        <w:rPr>
          <w:rFonts w:ascii="Arial" w:hAnsi="Arial" w:cs="Arial"/>
          <w:sz w:val="24"/>
          <w:szCs w:val="24"/>
        </w:rPr>
        <w:t>the importers unlawfully received a benefit.</w:t>
      </w:r>
    </w:p>
    <w:p w:rsidR="00CB28F4" w:rsidRPr="00CB54C2" w:rsidRDefault="00CB28F4" w:rsidP="00CB28F4">
      <w:pPr>
        <w:pStyle w:val="NoSpacing"/>
        <w:spacing w:line="480" w:lineRule="auto"/>
        <w:jc w:val="both"/>
        <w:rPr>
          <w:rFonts w:ascii="Arial" w:hAnsi="Arial" w:cs="Arial"/>
          <w:sz w:val="24"/>
          <w:szCs w:val="24"/>
        </w:rPr>
      </w:pPr>
    </w:p>
    <w:p w:rsidR="00CB28F4" w:rsidRPr="00CB54C2" w:rsidRDefault="004C6A60"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stated that d</w:t>
      </w:r>
      <w:r w:rsidR="00DC1A39">
        <w:rPr>
          <w:rFonts w:ascii="Arial" w:hAnsi="Arial" w:cs="Arial"/>
          <w:sz w:val="24"/>
          <w:szCs w:val="24"/>
        </w:rPr>
        <w:t>uring an investigation it was discovered that most remittance</w:t>
      </w:r>
      <w:r w:rsidR="00806083">
        <w:rPr>
          <w:rFonts w:ascii="Arial" w:hAnsi="Arial" w:cs="Arial"/>
          <w:sz w:val="24"/>
          <w:szCs w:val="24"/>
        </w:rPr>
        <w:t>s</w:t>
      </w:r>
      <w:r w:rsidR="00DC1A39">
        <w:rPr>
          <w:rFonts w:ascii="Arial" w:hAnsi="Arial" w:cs="Arial"/>
          <w:sz w:val="24"/>
          <w:szCs w:val="24"/>
        </w:rPr>
        <w:t xml:space="preserve"> of large amounts of money done by importers of goods into Namibia to overseas bank </w:t>
      </w:r>
      <w:r w:rsidR="00DC1A39">
        <w:rPr>
          <w:rFonts w:ascii="Arial" w:hAnsi="Arial" w:cs="Arial"/>
          <w:sz w:val="24"/>
          <w:szCs w:val="24"/>
        </w:rPr>
        <w:lastRenderedPageBreak/>
        <w:t>accounts were falsified or done on forged invoices. Most of these remittances were done through two clearing agents known as ECCS and Organise CC.</w:t>
      </w:r>
    </w:p>
    <w:p w:rsidR="00CB28F4" w:rsidRPr="00CB54C2" w:rsidRDefault="00CB28F4" w:rsidP="00CB28F4">
      <w:pPr>
        <w:pStyle w:val="NoSpacing"/>
        <w:spacing w:line="480" w:lineRule="auto"/>
        <w:jc w:val="both"/>
        <w:rPr>
          <w:rFonts w:ascii="Arial" w:hAnsi="Arial" w:cs="Arial"/>
          <w:sz w:val="24"/>
          <w:szCs w:val="24"/>
        </w:rPr>
      </w:pPr>
    </w:p>
    <w:p w:rsidR="00CB28F4" w:rsidRDefault="00DC1A39"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w:t>
      </w:r>
      <w:r w:rsidR="004C6A60">
        <w:rPr>
          <w:rFonts w:ascii="Arial" w:hAnsi="Arial" w:cs="Arial"/>
          <w:sz w:val="24"/>
          <w:szCs w:val="24"/>
        </w:rPr>
        <w:t>t was stated that i</w:t>
      </w:r>
      <w:r>
        <w:rPr>
          <w:rFonts w:ascii="Arial" w:hAnsi="Arial" w:cs="Arial"/>
          <w:sz w:val="24"/>
          <w:szCs w:val="24"/>
        </w:rPr>
        <w:t>nvoices submitted to commercial banks to remit the funds overseas differed materially from the invoices submitted to the Ministry of Finance: Directorate Customs and Excise (Customs).</w:t>
      </w:r>
    </w:p>
    <w:p w:rsidR="0041337D" w:rsidRPr="00CB54C2" w:rsidRDefault="0041337D" w:rsidP="0041337D">
      <w:pPr>
        <w:pStyle w:val="NoSpacing"/>
        <w:spacing w:line="480" w:lineRule="auto"/>
        <w:jc w:val="both"/>
        <w:rPr>
          <w:rFonts w:ascii="Arial" w:hAnsi="Arial" w:cs="Arial"/>
          <w:sz w:val="24"/>
          <w:szCs w:val="24"/>
        </w:rPr>
      </w:pPr>
    </w:p>
    <w:p w:rsidR="00CB28F4" w:rsidRPr="00CB54C2" w:rsidRDefault="00DC1A39"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first respondent for exampl</w:t>
      </w:r>
      <w:r w:rsidR="00D9519E">
        <w:rPr>
          <w:rFonts w:ascii="Arial" w:hAnsi="Arial" w:cs="Arial"/>
          <w:sz w:val="24"/>
          <w:szCs w:val="24"/>
        </w:rPr>
        <w:t xml:space="preserve">e </w:t>
      </w:r>
      <w:r w:rsidR="005E3F0F">
        <w:rPr>
          <w:rFonts w:ascii="Arial" w:hAnsi="Arial" w:cs="Arial"/>
          <w:sz w:val="24"/>
          <w:szCs w:val="24"/>
        </w:rPr>
        <w:t>it was show</w:t>
      </w:r>
      <w:r w:rsidR="0041337D">
        <w:rPr>
          <w:rFonts w:ascii="Arial" w:hAnsi="Arial" w:cs="Arial"/>
          <w:sz w:val="24"/>
          <w:szCs w:val="24"/>
        </w:rPr>
        <w:t>n</w:t>
      </w:r>
      <w:r w:rsidR="005E3F0F">
        <w:rPr>
          <w:rFonts w:ascii="Arial" w:hAnsi="Arial" w:cs="Arial"/>
          <w:sz w:val="24"/>
          <w:szCs w:val="24"/>
        </w:rPr>
        <w:t xml:space="preserve"> that </w:t>
      </w:r>
      <w:r w:rsidR="00D9519E">
        <w:rPr>
          <w:rFonts w:ascii="Arial" w:hAnsi="Arial" w:cs="Arial"/>
          <w:sz w:val="24"/>
          <w:szCs w:val="24"/>
        </w:rPr>
        <w:t xml:space="preserve">there was a difference of U$4 076 </w:t>
      </w:r>
      <w:r>
        <w:rPr>
          <w:rFonts w:ascii="Arial" w:hAnsi="Arial" w:cs="Arial"/>
          <w:sz w:val="24"/>
          <w:szCs w:val="24"/>
        </w:rPr>
        <w:t>016. It was stated that goods were either under-declared in terms of value or there was a significant over-payment (capital-flight) to foreign suppliers.</w:t>
      </w:r>
    </w:p>
    <w:p w:rsidR="00CB28F4" w:rsidRPr="00CB54C2" w:rsidRDefault="00CB28F4" w:rsidP="00CB28F4">
      <w:pPr>
        <w:pStyle w:val="NoSpacing"/>
        <w:spacing w:line="480" w:lineRule="auto"/>
        <w:jc w:val="both"/>
        <w:rPr>
          <w:rFonts w:ascii="Arial" w:hAnsi="Arial" w:cs="Arial"/>
          <w:sz w:val="24"/>
          <w:szCs w:val="24"/>
        </w:rPr>
      </w:pPr>
    </w:p>
    <w:p w:rsidR="00CB28F4" w:rsidRPr="00CB54C2" w:rsidRDefault="00DC1A39"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by way of an example referred to the opening documents and bank statements in respect of the first respondent’s two bank accounts at Nedbank. The first account was opened on 11 January 2016 by second respondent at Oshikango and the monthly income expected to be received by the</w:t>
      </w:r>
      <w:r w:rsidR="00174B0F">
        <w:rPr>
          <w:rFonts w:ascii="Arial" w:hAnsi="Arial" w:cs="Arial"/>
          <w:sz w:val="24"/>
          <w:szCs w:val="24"/>
        </w:rPr>
        <w:t xml:space="preserve"> business was indicated at   N$15 </w:t>
      </w:r>
      <w:r>
        <w:rPr>
          <w:rFonts w:ascii="Arial" w:hAnsi="Arial" w:cs="Arial"/>
          <w:sz w:val="24"/>
          <w:szCs w:val="24"/>
        </w:rPr>
        <w:t>000.</w:t>
      </w:r>
      <w:r w:rsidR="00521CD5">
        <w:rPr>
          <w:rFonts w:ascii="Arial" w:hAnsi="Arial" w:cs="Arial"/>
          <w:sz w:val="24"/>
          <w:szCs w:val="24"/>
        </w:rPr>
        <w:t xml:space="preserve"> The bank statements for this account for the period between 16 March 2016 and 21 December 2016 reflected that the account received a tot</w:t>
      </w:r>
      <w:r w:rsidR="00174B0F">
        <w:rPr>
          <w:rFonts w:ascii="Arial" w:hAnsi="Arial" w:cs="Arial"/>
          <w:sz w:val="24"/>
          <w:szCs w:val="24"/>
        </w:rPr>
        <w:t xml:space="preserve">al of N$10 482 </w:t>
      </w:r>
      <w:r w:rsidR="00521CD5">
        <w:rPr>
          <w:rFonts w:ascii="Arial" w:hAnsi="Arial" w:cs="Arial"/>
          <w:sz w:val="24"/>
          <w:szCs w:val="24"/>
        </w:rPr>
        <w:t>478 of which N$9</w:t>
      </w:r>
      <w:r w:rsidR="00174B0F">
        <w:rPr>
          <w:rFonts w:ascii="Arial" w:hAnsi="Arial" w:cs="Arial"/>
          <w:sz w:val="24"/>
          <w:szCs w:val="24"/>
        </w:rPr>
        <w:t xml:space="preserve"> 351 </w:t>
      </w:r>
      <w:r w:rsidR="00521CD5">
        <w:rPr>
          <w:rFonts w:ascii="Arial" w:hAnsi="Arial" w:cs="Arial"/>
          <w:sz w:val="24"/>
          <w:szCs w:val="24"/>
        </w:rPr>
        <w:t xml:space="preserve">978 were cash deposits. On 21 December 2016 the account </w:t>
      </w:r>
      <w:r w:rsidR="00174B0F">
        <w:rPr>
          <w:rFonts w:ascii="Arial" w:hAnsi="Arial" w:cs="Arial"/>
          <w:sz w:val="24"/>
          <w:szCs w:val="24"/>
        </w:rPr>
        <w:t xml:space="preserve">had a positive balance of N$675 </w:t>
      </w:r>
      <w:r w:rsidR="00206583">
        <w:rPr>
          <w:rFonts w:ascii="Arial" w:hAnsi="Arial" w:cs="Arial"/>
          <w:sz w:val="24"/>
          <w:szCs w:val="24"/>
        </w:rPr>
        <w:t>531,</w:t>
      </w:r>
      <w:r w:rsidR="00521CD5">
        <w:rPr>
          <w:rFonts w:ascii="Arial" w:hAnsi="Arial" w:cs="Arial"/>
          <w:sz w:val="24"/>
          <w:szCs w:val="24"/>
        </w:rPr>
        <w:t>43.</w:t>
      </w:r>
    </w:p>
    <w:p w:rsidR="00CB28F4" w:rsidRPr="00CB54C2" w:rsidRDefault="00CB28F4" w:rsidP="00CB28F4">
      <w:pPr>
        <w:pStyle w:val="NoSpacing"/>
        <w:spacing w:line="480" w:lineRule="auto"/>
        <w:jc w:val="both"/>
        <w:rPr>
          <w:rFonts w:ascii="Arial" w:hAnsi="Arial" w:cs="Arial"/>
          <w:sz w:val="24"/>
          <w:szCs w:val="24"/>
        </w:rPr>
      </w:pPr>
    </w:p>
    <w:p w:rsidR="00CB28F4" w:rsidRPr="005E3F0F" w:rsidRDefault="00521CD5" w:rsidP="005E3F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opening documents and bank statements of the second account (the CFC account) was opened on 18 March 2016 by the second respondent. The source of funds were expected from imports and exports with an exp</w:t>
      </w:r>
      <w:r w:rsidR="00D9519E">
        <w:rPr>
          <w:rFonts w:ascii="Arial" w:hAnsi="Arial" w:cs="Arial"/>
          <w:sz w:val="24"/>
          <w:szCs w:val="24"/>
        </w:rPr>
        <w:t xml:space="preserve">ected monthly income of N$1 000 </w:t>
      </w:r>
      <w:r>
        <w:rPr>
          <w:rFonts w:ascii="Arial" w:hAnsi="Arial" w:cs="Arial"/>
          <w:sz w:val="24"/>
          <w:szCs w:val="24"/>
        </w:rPr>
        <w:t>000.</w:t>
      </w:r>
      <w:r w:rsidR="005E3F0F">
        <w:rPr>
          <w:rFonts w:ascii="Arial" w:hAnsi="Arial" w:cs="Arial"/>
          <w:sz w:val="24"/>
          <w:szCs w:val="24"/>
        </w:rPr>
        <w:t xml:space="preserve"> </w:t>
      </w:r>
      <w:r w:rsidRPr="005E3F0F">
        <w:rPr>
          <w:rFonts w:ascii="Arial" w:hAnsi="Arial" w:cs="Arial"/>
          <w:sz w:val="24"/>
          <w:szCs w:val="24"/>
        </w:rPr>
        <w:t xml:space="preserve">The statements for the period 1 March 2016 </w:t>
      </w:r>
      <w:r w:rsidR="00CF23BF" w:rsidRPr="005E3F0F">
        <w:rPr>
          <w:rFonts w:ascii="Arial" w:hAnsi="Arial" w:cs="Arial"/>
          <w:sz w:val="24"/>
          <w:szCs w:val="24"/>
        </w:rPr>
        <w:t>to</w:t>
      </w:r>
      <w:r w:rsidRPr="005E3F0F">
        <w:rPr>
          <w:rFonts w:ascii="Arial" w:hAnsi="Arial" w:cs="Arial"/>
          <w:sz w:val="24"/>
          <w:szCs w:val="24"/>
        </w:rPr>
        <w:t xml:space="preserve"> 25 December 2016 </w:t>
      </w:r>
      <w:r w:rsidRPr="005E3F0F">
        <w:rPr>
          <w:rFonts w:ascii="Arial" w:hAnsi="Arial" w:cs="Arial"/>
          <w:sz w:val="24"/>
          <w:szCs w:val="24"/>
        </w:rPr>
        <w:lastRenderedPageBreak/>
        <w:t>reflects that the acc</w:t>
      </w:r>
      <w:r w:rsidR="00174B0F" w:rsidRPr="005E3F0F">
        <w:rPr>
          <w:rFonts w:ascii="Arial" w:hAnsi="Arial" w:cs="Arial"/>
          <w:sz w:val="24"/>
          <w:szCs w:val="24"/>
        </w:rPr>
        <w:t xml:space="preserve">ount received a total of US$507 </w:t>
      </w:r>
      <w:r w:rsidRPr="005E3F0F">
        <w:rPr>
          <w:rFonts w:ascii="Arial" w:hAnsi="Arial" w:cs="Arial"/>
          <w:sz w:val="24"/>
          <w:szCs w:val="24"/>
        </w:rPr>
        <w:t>210 by way of cash deposits. None of the deposits have been made el</w:t>
      </w:r>
      <w:r w:rsidR="00174B0F" w:rsidRPr="005E3F0F">
        <w:rPr>
          <w:rFonts w:ascii="Arial" w:hAnsi="Arial" w:cs="Arial"/>
          <w:sz w:val="24"/>
          <w:szCs w:val="24"/>
        </w:rPr>
        <w:t xml:space="preserve">ectronically. A total of US$510 </w:t>
      </w:r>
      <w:r w:rsidRPr="005E3F0F">
        <w:rPr>
          <w:rFonts w:ascii="Arial" w:hAnsi="Arial" w:cs="Arial"/>
          <w:sz w:val="24"/>
          <w:szCs w:val="24"/>
        </w:rPr>
        <w:t xml:space="preserve">053 cash transfers were made from this account. On 25 November 2016 the account had a </w:t>
      </w:r>
      <w:r w:rsidR="00174B0F" w:rsidRPr="005E3F0F">
        <w:rPr>
          <w:rFonts w:ascii="Arial" w:hAnsi="Arial" w:cs="Arial"/>
          <w:sz w:val="24"/>
          <w:szCs w:val="24"/>
        </w:rPr>
        <w:t xml:space="preserve">positive balance of US$149 </w:t>
      </w:r>
      <w:r w:rsidRPr="005E3F0F">
        <w:rPr>
          <w:rFonts w:ascii="Arial" w:hAnsi="Arial" w:cs="Arial"/>
          <w:sz w:val="24"/>
          <w:szCs w:val="24"/>
        </w:rPr>
        <w:t>067,06. Appellant remarked in respect of the cash deposits that USD is not a currency that is used for trade in Namib</w:t>
      </w:r>
      <w:r w:rsidR="00174B0F" w:rsidRPr="005E3F0F">
        <w:rPr>
          <w:rFonts w:ascii="Arial" w:hAnsi="Arial" w:cs="Arial"/>
          <w:sz w:val="24"/>
          <w:szCs w:val="24"/>
        </w:rPr>
        <w:t xml:space="preserve">ia and that the amount of N$507 </w:t>
      </w:r>
      <w:r w:rsidRPr="005E3F0F">
        <w:rPr>
          <w:rFonts w:ascii="Arial" w:hAnsi="Arial" w:cs="Arial"/>
          <w:sz w:val="24"/>
          <w:szCs w:val="24"/>
        </w:rPr>
        <w:t>210 converted into Namibian Dollars using an exchange</w:t>
      </w:r>
      <w:r w:rsidR="004C6A60" w:rsidRPr="005E3F0F">
        <w:rPr>
          <w:rFonts w:ascii="Arial" w:hAnsi="Arial" w:cs="Arial"/>
          <w:sz w:val="24"/>
          <w:szCs w:val="24"/>
        </w:rPr>
        <w:t xml:space="preserve"> rate of N$13 to the US</w:t>
      </w:r>
      <w:r w:rsidR="005E3F0F">
        <w:rPr>
          <w:rFonts w:ascii="Arial" w:hAnsi="Arial" w:cs="Arial"/>
          <w:sz w:val="24"/>
          <w:szCs w:val="24"/>
        </w:rPr>
        <w:t>D</w:t>
      </w:r>
      <w:r w:rsidR="004C6A60" w:rsidRPr="005E3F0F">
        <w:rPr>
          <w:rFonts w:ascii="Arial" w:hAnsi="Arial" w:cs="Arial"/>
          <w:sz w:val="24"/>
          <w:szCs w:val="24"/>
        </w:rPr>
        <w:t xml:space="preserve"> amount</w:t>
      </w:r>
      <w:r w:rsidR="00174B0F" w:rsidRPr="005E3F0F">
        <w:rPr>
          <w:rFonts w:ascii="Arial" w:hAnsi="Arial" w:cs="Arial"/>
          <w:sz w:val="24"/>
          <w:szCs w:val="24"/>
        </w:rPr>
        <w:t xml:space="preserve">s to approximately N$6 593 </w:t>
      </w:r>
      <w:r w:rsidRPr="005E3F0F">
        <w:rPr>
          <w:rFonts w:ascii="Arial" w:hAnsi="Arial" w:cs="Arial"/>
          <w:sz w:val="24"/>
          <w:szCs w:val="24"/>
        </w:rPr>
        <w:t xml:space="preserve">730 generated by the first respondent in a period of </w:t>
      </w:r>
      <w:r w:rsidR="002F704C">
        <w:rPr>
          <w:rFonts w:ascii="Arial" w:hAnsi="Arial" w:cs="Arial"/>
          <w:sz w:val="24"/>
          <w:szCs w:val="24"/>
        </w:rPr>
        <w:t>ten</w:t>
      </w:r>
      <w:r w:rsidRPr="005E3F0F">
        <w:rPr>
          <w:rFonts w:ascii="Arial" w:hAnsi="Arial" w:cs="Arial"/>
          <w:sz w:val="24"/>
          <w:szCs w:val="24"/>
        </w:rPr>
        <w:t xml:space="preserve"> months.</w:t>
      </w:r>
    </w:p>
    <w:p w:rsidR="00CB28F4" w:rsidRPr="00CB54C2" w:rsidRDefault="00CB28F4" w:rsidP="00CB28F4">
      <w:pPr>
        <w:pStyle w:val="NoSpacing"/>
        <w:spacing w:line="480" w:lineRule="auto"/>
        <w:jc w:val="both"/>
        <w:rPr>
          <w:rFonts w:ascii="Arial" w:hAnsi="Arial" w:cs="Arial"/>
          <w:sz w:val="24"/>
          <w:szCs w:val="24"/>
        </w:rPr>
      </w:pPr>
    </w:p>
    <w:p w:rsidR="00CB28F4" w:rsidRPr="00CB54C2" w:rsidRDefault="00521CD5"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Appellant further states that what was notable was that</w:t>
      </w:r>
      <w:r w:rsidR="00736FDE">
        <w:rPr>
          <w:rFonts w:ascii="Arial" w:hAnsi="Arial" w:cs="Arial"/>
          <w:sz w:val="24"/>
          <w:szCs w:val="24"/>
        </w:rPr>
        <w:t xml:space="preserve"> none of the funds in these two accounts were withdrawn in ca</w:t>
      </w:r>
      <w:r w:rsidR="004C6A60">
        <w:rPr>
          <w:rFonts w:ascii="Arial" w:hAnsi="Arial" w:cs="Arial"/>
          <w:sz w:val="24"/>
          <w:szCs w:val="24"/>
        </w:rPr>
        <w:t>sh</w:t>
      </w:r>
      <w:r w:rsidR="00736FDE">
        <w:rPr>
          <w:rFonts w:ascii="Arial" w:hAnsi="Arial" w:cs="Arial"/>
          <w:sz w:val="24"/>
          <w:szCs w:val="24"/>
        </w:rPr>
        <w:t xml:space="preserve"> and could therefore n</w:t>
      </w:r>
      <w:r w:rsidR="00174B0F">
        <w:rPr>
          <w:rFonts w:ascii="Arial" w:hAnsi="Arial" w:cs="Arial"/>
          <w:sz w:val="24"/>
          <w:szCs w:val="24"/>
        </w:rPr>
        <w:t>ot constitute the source of US$</w:t>
      </w:r>
      <w:r w:rsidR="00736FDE">
        <w:rPr>
          <w:rFonts w:ascii="Arial" w:hAnsi="Arial" w:cs="Arial"/>
          <w:sz w:val="24"/>
          <w:szCs w:val="24"/>
        </w:rPr>
        <w:t>2</w:t>
      </w:r>
      <w:r w:rsidR="00174B0F">
        <w:rPr>
          <w:rFonts w:ascii="Arial" w:hAnsi="Arial" w:cs="Arial"/>
          <w:sz w:val="24"/>
          <w:szCs w:val="24"/>
        </w:rPr>
        <w:t xml:space="preserve"> </w:t>
      </w:r>
      <w:r w:rsidR="00736FDE">
        <w:rPr>
          <w:rFonts w:ascii="Arial" w:hAnsi="Arial" w:cs="Arial"/>
          <w:sz w:val="24"/>
          <w:szCs w:val="24"/>
        </w:rPr>
        <w:t>922</w:t>
      </w:r>
      <w:r w:rsidR="00CF23BF">
        <w:rPr>
          <w:rFonts w:ascii="Arial" w:hAnsi="Arial" w:cs="Arial"/>
          <w:sz w:val="24"/>
          <w:szCs w:val="24"/>
        </w:rPr>
        <w:t xml:space="preserve"> 241</w:t>
      </w:r>
      <w:r w:rsidR="00736FDE">
        <w:rPr>
          <w:rFonts w:ascii="Arial" w:hAnsi="Arial" w:cs="Arial"/>
          <w:sz w:val="24"/>
          <w:szCs w:val="24"/>
        </w:rPr>
        <w:t xml:space="preserve"> cash deposits made into the account of Organise CC on behalf of the first respondent, and another ca</w:t>
      </w:r>
      <w:r w:rsidR="004C6A60">
        <w:rPr>
          <w:rFonts w:ascii="Arial" w:hAnsi="Arial" w:cs="Arial"/>
          <w:sz w:val="24"/>
          <w:szCs w:val="24"/>
        </w:rPr>
        <w:t>sh</w:t>
      </w:r>
      <w:r w:rsidR="00D9519E">
        <w:rPr>
          <w:rFonts w:ascii="Arial" w:hAnsi="Arial" w:cs="Arial"/>
          <w:sz w:val="24"/>
          <w:szCs w:val="24"/>
        </w:rPr>
        <w:t xml:space="preserve"> deposit of US$130 </w:t>
      </w:r>
      <w:r w:rsidR="00736FDE">
        <w:rPr>
          <w:rFonts w:ascii="Arial" w:hAnsi="Arial" w:cs="Arial"/>
          <w:sz w:val="24"/>
          <w:szCs w:val="24"/>
        </w:rPr>
        <w:t>665 made into the account of ECCS on behalf of the first respondent. The second respondent is the only signatory in respect of both accounts.</w:t>
      </w:r>
    </w:p>
    <w:p w:rsidR="00CB28F4" w:rsidRPr="00CB54C2" w:rsidRDefault="00CB28F4" w:rsidP="00CB28F4">
      <w:pPr>
        <w:pStyle w:val="NoSpacing"/>
        <w:spacing w:line="480" w:lineRule="auto"/>
        <w:jc w:val="both"/>
        <w:rPr>
          <w:rFonts w:ascii="Arial" w:hAnsi="Arial" w:cs="Arial"/>
          <w:sz w:val="24"/>
          <w:szCs w:val="24"/>
        </w:rPr>
      </w:pPr>
    </w:p>
    <w:p w:rsidR="00CB28F4" w:rsidRDefault="00736FDE"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w:t>
      </w:r>
      <w:r w:rsidR="00D9519E">
        <w:rPr>
          <w:rFonts w:ascii="Arial" w:hAnsi="Arial" w:cs="Arial"/>
          <w:sz w:val="24"/>
          <w:szCs w:val="24"/>
        </w:rPr>
        <w:t>lant pointed out that reg</w:t>
      </w:r>
      <w:r>
        <w:rPr>
          <w:rFonts w:ascii="Arial" w:hAnsi="Arial" w:cs="Arial"/>
          <w:sz w:val="24"/>
          <w:szCs w:val="24"/>
        </w:rPr>
        <w:t xml:space="preserve"> (3)(1) of the Exchange Control Regulations</w:t>
      </w:r>
      <w:r w:rsidR="0041337D">
        <w:rPr>
          <w:rFonts w:ascii="Arial" w:hAnsi="Arial" w:cs="Arial"/>
          <w:sz w:val="24"/>
          <w:szCs w:val="24"/>
        </w:rPr>
        <w:t>, 1961, GN R1112</w:t>
      </w:r>
      <w:r w:rsidR="002C033D">
        <w:rPr>
          <w:rFonts w:ascii="Arial" w:hAnsi="Arial" w:cs="Arial"/>
          <w:sz w:val="24"/>
          <w:szCs w:val="24"/>
        </w:rPr>
        <w:t>,</w:t>
      </w:r>
      <w:r w:rsidR="0041337D">
        <w:rPr>
          <w:rFonts w:ascii="Arial" w:hAnsi="Arial" w:cs="Arial"/>
          <w:sz w:val="24"/>
          <w:szCs w:val="24"/>
        </w:rPr>
        <w:t xml:space="preserve"> 1 December 1961</w:t>
      </w:r>
      <w:r>
        <w:rPr>
          <w:rFonts w:ascii="Arial" w:hAnsi="Arial" w:cs="Arial"/>
          <w:sz w:val="24"/>
          <w:szCs w:val="24"/>
        </w:rPr>
        <w:t xml:space="preserve"> prohibits, without permission granted by the </w:t>
      </w:r>
      <w:r w:rsidR="00636FE3">
        <w:rPr>
          <w:rFonts w:ascii="Arial" w:hAnsi="Arial" w:cs="Arial"/>
          <w:sz w:val="24"/>
          <w:szCs w:val="24"/>
        </w:rPr>
        <w:t>t</w:t>
      </w:r>
      <w:r>
        <w:rPr>
          <w:rFonts w:ascii="Arial" w:hAnsi="Arial" w:cs="Arial"/>
          <w:sz w:val="24"/>
          <w:szCs w:val="24"/>
        </w:rPr>
        <w:t xml:space="preserve">reasury, any person from sending out of the Republic of Namibia, </w:t>
      </w:r>
      <w:r w:rsidRPr="00736FDE">
        <w:rPr>
          <w:rFonts w:ascii="Arial" w:hAnsi="Arial" w:cs="Arial"/>
          <w:i/>
          <w:sz w:val="24"/>
          <w:szCs w:val="24"/>
        </w:rPr>
        <w:t>inter alia</w:t>
      </w:r>
      <w:r>
        <w:rPr>
          <w:rFonts w:ascii="Arial" w:hAnsi="Arial" w:cs="Arial"/>
          <w:sz w:val="24"/>
          <w:szCs w:val="24"/>
        </w:rPr>
        <w:t xml:space="preserve"> bank notes, securities or foreign currency, to or on behalf of a person resident outside the Republic or place any sum to the credit of such person</w:t>
      </w:r>
      <w:r w:rsidR="006A5618">
        <w:rPr>
          <w:rFonts w:ascii="Arial" w:hAnsi="Arial" w:cs="Arial"/>
          <w:sz w:val="24"/>
          <w:szCs w:val="24"/>
        </w:rPr>
        <w:t>. Appellant stated that the first respondent remitted funds to China using the same Single Administration Document (SAD 500) forms which were already used by ECCS to remit funds. These funds, it was</w:t>
      </w:r>
      <w:r w:rsidR="00636FE3">
        <w:rPr>
          <w:rFonts w:ascii="Arial" w:hAnsi="Arial" w:cs="Arial"/>
          <w:sz w:val="24"/>
          <w:szCs w:val="24"/>
        </w:rPr>
        <w:t xml:space="preserve"> </w:t>
      </w:r>
      <w:r w:rsidR="006A5618">
        <w:rPr>
          <w:rFonts w:ascii="Arial" w:hAnsi="Arial" w:cs="Arial"/>
          <w:sz w:val="24"/>
          <w:szCs w:val="24"/>
        </w:rPr>
        <w:t xml:space="preserve">stated, were not allowed to be remitted as the invoices presented did not relate to the true </w:t>
      </w:r>
      <w:r w:rsidR="006A5618">
        <w:rPr>
          <w:rFonts w:ascii="Arial" w:hAnsi="Arial" w:cs="Arial"/>
          <w:sz w:val="24"/>
          <w:szCs w:val="24"/>
        </w:rPr>
        <w:lastRenderedPageBreak/>
        <w:t>transaction</w:t>
      </w:r>
      <w:r w:rsidR="005E3F0F">
        <w:rPr>
          <w:rFonts w:ascii="Arial" w:hAnsi="Arial" w:cs="Arial"/>
          <w:sz w:val="24"/>
          <w:szCs w:val="24"/>
        </w:rPr>
        <w:t>s</w:t>
      </w:r>
      <w:r w:rsidR="006A5618">
        <w:rPr>
          <w:rFonts w:ascii="Arial" w:hAnsi="Arial" w:cs="Arial"/>
          <w:sz w:val="24"/>
          <w:szCs w:val="24"/>
        </w:rPr>
        <w:t>. Where the commercial bank was aware of the true nature of the transactions</w:t>
      </w:r>
      <w:r w:rsidR="00636FE3">
        <w:rPr>
          <w:rFonts w:ascii="Arial" w:hAnsi="Arial" w:cs="Arial"/>
          <w:sz w:val="24"/>
          <w:szCs w:val="24"/>
        </w:rPr>
        <w:t>,</w:t>
      </w:r>
      <w:r w:rsidR="006A5618">
        <w:rPr>
          <w:rFonts w:ascii="Arial" w:hAnsi="Arial" w:cs="Arial"/>
          <w:sz w:val="24"/>
          <w:szCs w:val="24"/>
        </w:rPr>
        <w:t xml:space="preserve"> the funds would not have been remitted as there was no treasury approval for this type of transactions.</w:t>
      </w:r>
    </w:p>
    <w:p w:rsidR="005E3F0F" w:rsidRPr="00CB54C2" w:rsidRDefault="005E3F0F" w:rsidP="005E3F0F">
      <w:pPr>
        <w:pStyle w:val="NoSpacing"/>
        <w:spacing w:line="480" w:lineRule="auto"/>
        <w:jc w:val="both"/>
        <w:rPr>
          <w:rFonts w:ascii="Arial" w:hAnsi="Arial" w:cs="Arial"/>
          <w:sz w:val="24"/>
          <w:szCs w:val="24"/>
        </w:rPr>
      </w:pPr>
    </w:p>
    <w:p w:rsidR="00CB28F4" w:rsidRDefault="006A5618"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Before I consider whether the s 52(3) notice and accompanying affidavit complied with the provisions of s 52(3) of the Act, it would be useful to refer to the matter of </w:t>
      </w:r>
      <w:r w:rsidR="005E3F0F">
        <w:rPr>
          <w:rFonts w:ascii="Arial" w:hAnsi="Arial" w:cs="Arial"/>
          <w:i/>
          <w:sz w:val="24"/>
          <w:szCs w:val="24"/>
        </w:rPr>
        <w:t>Prosecutor-General v</w:t>
      </w:r>
      <w:r>
        <w:rPr>
          <w:rFonts w:ascii="Arial" w:hAnsi="Arial" w:cs="Arial"/>
          <w:i/>
          <w:sz w:val="24"/>
          <w:szCs w:val="24"/>
        </w:rPr>
        <w:t xml:space="preserve"> Kamu</w:t>
      </w:r>
      <w:r w:rsidR="005E3F0F">
        <w:rPr>
          <w:rFonts w:ascii="Arial" w:hAnsi="Arial" w:cs="Arial"/>
          <w:i/>
          <w:sz w:val="24"/>
          <w:szCs w:val="24"/>
        </w:rPr>
        <w:t>nguma</w:t>
      </w:r>
      <w:r w:rsidR="00636FE3">
        <w:rPr>
          <w:rFonts w:ascii="Arial" w:hAnsi="Arial" w:cs="Arial"/>
          <w:i/>
          <w:sz w:val="24"/>
          <w:szCs w:val="24"/>
        </w:rPr>
        <w:t xml:space="preserve"> &amp; another</w:t>
      </w:r>
      <w:r w:rsidRPr="00DD2319">
        <w:rPr>
          <w:rStyle w:val="FootnoteReference"/>
          <w:rFonts w:ascii="Arial" w:hAnsi="Arial" w:cs="Arial"/>
          <w:sz w:val="24"/>
          <w:szCs w:val="24"/>
        </w:rPr>
        <w:footnoteReference w:id="9"/>
      </w:r>
      <w:r w:rsidR="00DD2319">
        <w:rPr>
          <w:rFonts w:ascii="Arial" w:hAnsi="Arial" w:cs="Arial"/>
          <w:sz w:val="24"/>
          <w:szCs w:val="24"/>
        </w:rPr>
        <w:t xml:space="preserve"> where the following appears at paras 18 and 19:</w:t>
      </w:r>
    </w:p>
    <w:p w:rsidR="00DD2319" w:rsidRPr="00174B0F" w:rsidRDefault="00DD2319" w:rsidP="00174B0F">
      <w:pPr>
        <w:pStyle w:val="ListParagraph"/>
        <w:spacing w:after="0" w:line="360" w:lineRule="auto"/>
        <w:rPr>
          <w:rFonts w:ascii="Arial" w:hAnsi="Arial" w:cs="Arial"/>
        </w:rPr>
      </w:pPr>
    </w:p>
    <w:p w:rsidR="005C0403" w:rsidRDefault="00DD2319" w:rsidP="00174B0F">
      <w:pPr>
        <w:pStyle w:val="NormalWeb"/>
        <w:shd w:val="clear" w:color="auto" w:fill="FFFFFF"/>
        <w:spacing w:before="0" w:beforeAutospacing="0" w:after="0" w:afterAutospacing="0" w:line="360" w:lineRule="auto"/>
        <w:ind w:left="1440" w:hanging="720"/>
        <w:jc w:val="both"/>
        <w:rPr>
          <w:rFonts w:ascii="Arial" w:hAnsi="Arial" w:cs="Arial"/>
          <w:sz w:val="22"/>
          <w:szCs w:val="22"/>
        </w:rPr>
      </w:pPr>
      <w:r w:rsidRPr="005C0403">
        <w:rPr>
          <w:rFonts w:ascii="Arial" w:hAnsi="Arial" w:cs="Arial"/>
          <w:sz w:val="22"/>
          <w:szCs w:val="22"/>
        </w:rPr>
        <w:t>‘[18]</w:t>
      </w:r>
      <w:r w:rsidRPr="005C0403">
        <w:rPr>
          <w:rFonts w:ascii="Arial" w:hAnsi="Arial" w:cs="Arial"/>
          <w:sz w:val="22"/>
          <w:szCs w:val="22"/>
        </w:rPr>
        <w:tab/>
        <w:t>The purpose of the s 52(5) affidavit appears, amongst other things, to establish the standing of the person who wishes to participate in the proceedings. This is so, because an interested party is required to set out the nature and extent of his or her inte</w:t>
      </w:r>
      <w:r w:rsidR="00206583">
        <w:rPr>
          <w:rFonts w:ascii="Arial" w:hAnsi="Arial" w:cs="Arial"/>
          <w:sz w:val="22"/>
          <w:szCs w:val="22"/>
        </w:rPr>
        <w:t xml:space="preserve">rest in the preserved property; </w:t>
      </w:r>
      <w:r w:rsidRPr="005C0403">
        <w:rPr>
          <w:rFonts w:ascii="Arial" w:hAnsi="Arial" w:cs="Arial"/>
          <w:sz w:val="22"/>
          <w:szCs w:val="22"/>
        </w:rPr>
        <w:t>to notify the PG of the relief the interested party intends to seek at the second stage of the proceedings prior to</w:t>
      </w:r>
      <w:r w:rsidR="00206583">
        <w:rPr>
          <w:rFonts w:ascii="Arial" w:hAnsi="Arial" w:cs="Arial"/>
          <w:sz w:val="22"/>
          <w:szCs w:val="22"/>
        </w:rPr>
        <w:t xml:space="preserve"> the start of such proceedings, </w:t>
      </w:r>
      <w:r w:rsidRPr="005C0403">
        <w:rPr>
          <w:rFonts w:ascii="Arial" w:hAnsi="Arial" w:cs="Arial"/>
          <w:sz w:val="22"/>
          <w:szCs w:val="22"/>
        </w:rPr>
        <w:t>and to define the issues in dispute between the PG and the interested party.</w:t>
      </w:r>
      <w:r w:rsidR="005C0403" w:rsidRPr="005C0403">
        <w:rPr>
          <w:rFonts w:ascii="Arial" w:hAnsi="Arial" w:cs="Arial"/>
          <w:sz w:val="22"/>
          <w:szCs w:val="22"/>
        </w:rPr>
        <w:t xml:space="preserve"> </w:t>
      </w:r>
    </w:p>
    <w:p w:rsidR="00174B0F" w:rsidRPr="005C0403" w:rsidRDefault="00174B0F" w:rsidP="00174B0F">
      <w:pPr>
        <w:pStyle w:val="NormalWeb"/>
        <w:shd w:val="clear" w:color="auto" w:fill="FFFFFF"/>
        <w:spacing w:before="0" w:beforeAutospacing="0" w:after="0" w:afterAutospacing="0" w:line="360" w:lineRule="auto"/>
        <w:ind w:left="1440" w:hanging="720"/>
        <w:jc w:val="both"/>
        <w:rPr>
          <w:rFonts w:ascii="Arial" w:hAnsi="Arial" w:cs="Arial"/>
          <w:sz w:val="22"/>
          <w:szCs w:val="22"/>
        </w:rPr>
      </w:pPr>
      <w:r>
        <w:rPr>
          <w:rFonts w:ascii="Arial" w:hAnsi="Arial" w:cs="Arial"/>
          <w:sz w:val="22"/>
          <w:szCs w:val="22"/>
        </w:rPr>
        <w:tab/>
      </w:r>
    </w:p>
    <w:p w:rsidR="00DD2319" w:rsidRDefault="00DD2319" w:rsidP="00174B0F">
      <w:pPr>
        <w:pStyle w:val="NormalWeb"/>
        <w:shd w:val="clear" w:color="auto" w:fill="FFFFFF"/>
        <w:spacing w:before="0" w:beforeAutospacing="0" w:after="0" w:afterAutospacing="0" w:line="360" w:lineRule="auto"/>
        <w:ind w:left="1440" w:hanging="720"/>
        <w:jc w:val="both"/>
        <w:rPr>
          <w:rFonts w:ascii="Arial" w:hAnsi="Arial" w:cs="Arial"/>
          <w:sz w:val="22"/>
          <w:szCs w:val="22"/>
        </w:rPr>
      </w:pPr>
      <w:r w:rsidRPr="005C0403">
        <w:rPr>
          <w:rFonts w:ascii="Arial" w:hAnsi="Arial" w:cs="Arial"/>
          <w:sz w:val="22"/>
          <w:szCs w:val="22"/>
        </w:rPr>
        <w:t>[19]</w:t>
      </w:r>
      <w:r w:rsidR="00D9519E">
        <w:rPr>
          <w:rFonts w:ascii="Arial" w:hAnsi="Arial" w:cs="Arial"/>
          <w:sz w:val="22"/>
          <w:szCs w:val="22"/>
        </w:rPr>
        <w:tab/>
      </w:r>
      <w:r w:rsidRPr="005C0403">
        <w:rPr>
          <w:rFonts w:ascii="Arial" w:hAnsi="Arial" w:cs="Arial"/>
          <w:sz w:val="22"/>
          <w:szCs w:val="22"/>
        </w:rPr>
        <w:t>A preservation order is only valid for 120 days, unless there is a pending forfeiture of property applicati</w:t>
      </w:r>
      <w:r w:rsidR="00636FE3">
        <w:rPr>
          <w:rFonts w:ascii="Arial" w:hAnsi="Arial" w:cs="Arial"/>
          <w:sz w:val="22"/>
          <w:szCs w:val="22"/>
        </w:rPr>
        <w:t>on. The purpose of the 120 days</w:t>
      </w:r>
      <w:r w:rsidRPr="005C0403">
        <w:rPr>
          <w:rFonts w:ascii="Arial" w:hAnsi="Arial" w:cs="Arial"/>
          <w:sz w:val="22"/>
          <w:szCs w:val="22"/>
        </w:rPr>
        <w:t xml:space="preserve"> period referred to in s 53 would be, amongst other things, to enable the PG to decide whether or not to proceed with the second stage of the proceedings in light of the information disclosed in the s 52(5) affidavit; to afford the PG an opportunity to investigate any allegations made by the person in the s 52(5) affidavit; to afford the PG time to gather more evidence to satisfy the burden of proof, and to give the PG an opportunity to verify the grounds upon which the person intends to rely in the application, in terms of s 63, for the exclusion of the interests in the property subject to the forfeiture order.</w:t>
      </w:r>
      <w:r w:rsidR="005C0403" w:rsidRPr="005C0403">
        <w:rPr>
          <w:rFonts w:ascii="Arial" w:hAnsi="Arial" w:cs="Arial"/>
          <w:sz w:val="22"/>
          <w:szCs w:val="22"/>
        </w:rPr>
        <w:t>’</w:t>
      </w:r>
      <w:r w:rsidRPr="005C0403">
        <w:rPr>
          <w:rStyle w:val="FootnoteReference"/>
          <w:rFonts w:ascii="Arial" w:hAnsi="Arial" w:cs="Arial"/>
          <w:sz w:val="22"/>
          <w:szCs w:val="22"/>
        </w:rPr>
        <w:t xml:space="preserve"> </w:t>
      </w:r>
      <w:r w:rsidRPr="005C0403">
        <w:rPr>
          <w:rStyle w:val="FootnoteReference"/>
          <w:rFonts w:ascii="Arial" w:hAnsi="Arial" w:cs="Arial"/>
          <w:sz w:val="22"/>
          <w:szCs w:val="22"/>
        </w:rPr>
        <w:footnoteReference w:id="10"/>
      </w:r>
    </w:p>
    <w:p w:rsidR="004350A3" w:rsidRPr="00174B0F" w:rsidRDefault="004350A3" w:rsidP="00174B0F">
      <w:pPr>
        <w:pStyle w:val="NormalWeb"/>
        <w:shd w:val="clear" w:color="auto" w:fill="FFFFFF"/>
        <w:spacing w:before="0" w:beforeAutospacing="0" w:after="0" w:afterAutospacing="0" w:line="480" w:lineRule="auto"/>
        <w:ind w:left="1440" w:hanging="720"/>
        <w:jc w:val="both"/>
        <w:rPr>
          <w:rFonts w:ascii="Arial" w:hAnsi="Arial" w:cs="Arial"/>
        </w:rPr>
      </w:pPr>
    </w:p>
    <w:p w:rsidR="00CB28F4" w:rsidRPr="005E3F0F" w:rsidRDefault="004C6A60" w:rsidP="005E3F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w:t>
      </w:r>
      <w:r w:rsidRPr="004C6A60">
        <w:rPr>
          <w:rFonts w:ascii="Arial" w:hAnsi="Arial" w:cs="Arial"/>
          <w:i/>
          <w:sz w:val="24"/>
          <w:szCs w:val="24"/>
        </w:rPr>
        <w:t>Karas Auto Spares v The National Director of Public Prosecutions</w:t>
      </w:r>
      <w:r w:rsidRPr="004C6A60">
        <w:rPr>
          <w:rStyle w:val="FootnoteReference"/>
          <w:rFonts w:ascii="Arial" w:hAnsi="Arial" w:cs="Arial"/>
          <w:sz w:val="24"/>
          <w:szCs w:val="24"/>
        </w:rPr>
        <w:footnoteReference w:id="11"/>
      </w:r>
      <w:r>
        <w:rPr>
          <w:rFonts w:ascii="Arial" w:hAnsi="Arial" w:cs="Arial"/>
          <w:i/>
          <w:sz w:val="24"/>
          <w:szCs w:val="24"/>
        </w:rPr>
        <w:t xml:space="preserve"> </w:t>
      </w:r>
      <w:r>
        <w:rPr>
          <w:rFonts w:ascii="Arial" w:hAnsi="Arial" w:cs="Arial"/>
          <w:sz w:val="24"/>
          <w:szCs w:val="24"/>
        </w:rPr>
        <w:t>it was held that: ‘It seems to me that the purpose of s 39(5) of POCA</w:t>
      </w:r>
      <w:r>
        <w:rPr>
          <w:rStyle w:val="FootnoteReference"/>
          <w:rFonts w:ascii="Arial" w:hAnsi="Arial" w:cs="Arial"/>
          <w:sz w:val="24"/>
          <w:szCs w:val="24"/>
        </w:rPr>
        <w:footnoteReference w:id="12"/>
      </w:r>
      <w:r>
        <w:rPr>
          <w:rFonts w:ascii="Arial" w:hAnsi="Arial" w:cs="Arial"/>
          <w:sz w:val="24"/>
          <w:szCs w:val="24"/>
        </w:rPr>
        <w:t xml:space="preserve"> is to enable the respondent to know as soon as possible on what grounds a forfeiture order will be opposed or on what grounds an application will be made for the exclusion of an interest in the property concerned’.</w:t>
      </w:r>
      <w:r w:rsidR="005E3F0F">
        <w:rPr>
          <w:rFonts w:ascii="Arial" w:hAnsi="Arial" w:cs="Arial"/>
          <w:sz w:val="24"/>
          <w:szCs w:val="24"/>
        </w:rPr>
        <w:t xml:space="preserve"> </w:t>
      </w:r>
      <w:r w:rsidRPr="005E3F0F">
        <w:rPr>
          <w:rFonts w:ascii="Arial" w:hAnsi="Arial" w:cs="Arial"/>
          <w:sz w:val="24"/>
          <w:szCs w:val="24"/>
        </w:rPr>
        <w:t xml:space="preserve">It was further stated in </w:t>
      </w:r>
      <w:r w:rsidRPr="005E3F0F">
        <w:rPr>
          <w:rFonts w:ascii="Arial" w:hAnsi="Arial" w:cs="Arial"/>
          <w:i/>
          <w:sz w:val="24"/>
          <w:szCs w:val="24"/>
        </w:rPr>
        <w:t>Karas</w:t>
      </w:r>
      <w:r w:rsidRPr="005E3F0F">
        <w:rPr>
          <w:rFonts w:ascii="Arial" w:hAnsi="Arial" w:cs="Arial"/>
          <w:sz w:val="24"/>
          <w:szCs w:val="24"/>
        </w:rPr>
        <w:t xml:space="preserve"> that these grounds would often be within the exclusive knowledge of the party opposing the forfeiture order.</w:t>
      </w:r>
    </w:p>
    <w:p w:rsidR="00CB28F4" w:rsidRPr="00CB54C2" w:rsidRDefault="00CB28F4" w:rsidP="00CB28F4">
      <w:pPr>
        <w:pStyle w:val="NoSpacing"/>
        <w:spacing w:line="480" w:lineRule="auto"/>
        <w:jc w:val="both"/>
        <w:rPr>
          <w:rFonts w:ascii="Arial" w:hAnsi="Arial" w:cs="Arial"/>
          <w:sz w:val="24"/>
          <w:szCs w:val="24"/>
        </w:rPr>
      </w:pPr>
    </w:p>
    <w:p w:rsidR="00CB28F4" w:rsidRDefault="004C6A60"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language used by the legislature in s 52(5)</w:t>
      </w:r>
      <w:r>
        <w:rPr>
          <w:rFonts w:ascii="Arial" w:hAnsi="Arial" w:cs="Arial"/>
          <w:i/>
          <w:sz w:val="24"/>
          <w:szCs w:val="24"/>
        </w:rPr>
        <w:t>(e)</w:t>
      </w:r>
      <w:r>
        <w:rPr>
          <w:rFonts w:ascii="Arial" w:hAnsi="Arial" w:cs="Arial"/>
          <w:sz w:val="24"/>
          <w:szCs w:val="24"/>
        </w:rPr>
        <w:t xml:space="preserve"> is very clear. The person giving notice in terms of s 52(3) </w:t>
      </w:r>
      <w:r w:rsidRPr="00D9519E">
        <w:rPr>
          <w:rFonts w:ascii="Arial" w:hAnsi="Arial" w:cs="Arial"/>
          <w:i/>
          <w:sz w:val="24"/>
          <w:szCs w:val="24"/>
        </w:rPr>
        <w:t xml:space="preserve">must </w:t>
      </w:r>
      <w:r>
        <w:rPr>
          <w:rFonts w:ascii="Arial" w:hAnsi="Arial" w:cs="Arial"/>
          <w:sz w:val="24"/>
          <w:szCs w:val="24"/>
        </w:rPr>
        <w:t xml:space="preserve">state the </w:t>
      </w:r>
      <w:r w:rsidRPr="00D9519E">
        <w:rPr>
          <w:rFonts w:ascii="Arial" w:hAnsi="Arial" w:cs="Arial"/>
          <w:i/>
          <w:sz w:val="24"/>
          <w:szCs w:val="24"/>
        </w:rPr>
        <w:t>facts</w:t>
      </w:r>
      <w:r>
        <w:rPr>
          <w:rFonts w:ascii="Arial" w:hAnsi="Arial" w:cs="Arial"/>
          <w:sz w:val="24"/>
          <w:szCs w:val="24"/>
        </w:rPr>
        <w:t xml:space="preserve"> he or she intends to rely on in opposing the making of a forfeiture order. In addition such a litigant </w:t>
      </w:r>
      <w:r w:rsidRPr="00D9519E">
        <w:rPr>
          <w:rFonts w:ascii="Arial" w:hAnsi="Arial" w:cs="Arial"/>
          <w:i/>
          <w:sz w:val="24"/>
          <w:szCs w:val="24"/>
        </w:rPr>
        <w:t>must</w:t>
      </w:r>
      <w:r>
        <w:rPr>
          <w:rFonts w:ascii="Arial" w:hAnsi="Arial" w:cs="Arial"/>
          <w:sz w:val="24"/>
          <w:szCs w:val="24"/>
        </w:rPr>
        <w:t xml:space="preserve"> state the basis for denying (or admitting) that the property is an instrumentality of an offence or the proceeds of unlawful activities.</w:t>
      </w:r>
    </w:p>
    <w:p w:rsidR="004C6A60" w:rsidRDefault="004C6A60" w:rsidP="00174B0F">
      <w:pPr>
        <w:pStyle w:val="ListParagraph"/>
        <w:spacing w:after="0" w:line="480" w:lineRule="auto"/>
        <w:rPr>
          <w:rFonts w:ascii="Arial" w:hAnsi="Arial" w:cs="Arial"/>
          <w:sz w:val="24"/>
          <w:szCs w:val="24"/>
        </w:rPr>
      </w:pPr>
    </w:p>
    <w:p w:rsidR="004C6A60" w:rsidRDefault="004C6A60" w:rsidP="00174B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If a satisfactory explanation is given it may persuade the appellant not to proceed</w:t>
      </w:r>
      <w:r w:rsidR="00FC0B5C">
        <w:rPr>
          <w:rFonts w:ascii="Arial" w:hAnsi="Arial" w:cs="Arial"/>
          <w:sz w:val="24"/>
          <w:szCs w:val="24"/>
        </w:rPr>
        <w:t xml:space="preserve"> with the forfeiture application as suggested in </w:t>
      </w:r>
      <w:r w:rsidR="00FC0B5C">
        <w:rPr>
          <w:rFonts w:ascii="Arial" w:hAnsi="Arial" w:cs="Arial"/>
          <w:i/>
          <w:sz w:val="24"/>
          <w:szCs w:val="24"/>
        </w:rPr>
        <w:t xml:space="preserve">Kamuhanga </w:t>
      </w:r>
      <w:r w:rsidR="00FC0B5C" w:rsidRPr="00FC0B5C">
        <w:rPr>
          <w:rFonts w:ascii="Arial" w:hAnsi="Arial" w:cs="Arial"/>
          <w:sz w:val="24"/>
          <w:szCs w:val="24"/>
        </w:rPr>
        <w:t>(</w:t>
      </w:r>
      <w:r w:rsidR="00FC0B5C" w:rsidRPr="00D9519E">
        <w:rPr>
          <w:rFonts w:ascii="Arial" w:hAnsi="Arial" w:cs="Arial"/>
          <w:i/>
          <w:sz w:val="24"/>
          <w:szCs w:val="24"/>
        </w:rPr>
        <w:t>supra</w:t>
      </w:r>
      <w:r w:rsidR="00FC0B5C" w:rsidRPr="00FC0B5C">
        <w:rPr>
          <w:rFonts w:ascii="Arial" w:hAnsi="Arial" w:cs="Arial"/>
          <w:sz w:val="24"/>
          <w:szCs w:val="24"/>
        </w:rPr>
        <w:t xml:space="preserve">). </w:t>
      </w:r>
      <w:r w:rsidR="00FC0B5C">
        <w:rPr>
          <w:rFonts w:ascii="Arial" w:hAnsi="Arial" w:cs="Arial"/>
          <w:sz w:val="24"/>
          <w:szCs w:val="24"/>
        </w:rPr>
        <w:t xml:space="preserve">The appellant would only be able to decide not to continue with the application where the facts </w:t>
      </w:r>
      <w:r w:rsidR="005E3F0F">
        <w:rPr>
          <w:rFonts w:ascii="Arial" w:hAnsi="Arial" w:cs="Arial"/>
          <w:sz w:val="24"/>
          <w:szCs w:val="24"/>
        </w:rPr>
        <w:t xml:space="preserve">in opposition of </w:t>
      </w:r>
      <w:r w:rsidR="00FC0B5C">
        <w:rPr>
          <w:rFonts w:ascii="Arial" w:hAnsi="Arial" w:cs="Arial"/>
          <w:sz w:val="24"/>
          <w:szCs w:val="24"/>
        </w:rPr>
        <w:t>the alleged unlawful activities are of such particularity as to compel the appellant not to proceed with such an application.</w:t>
      </w:r>
    </w:p>
    <w:p w:rsidR="00FC0B5C" w:rsidRDefault="00FC0B5C" w:rsidP="00174B0F">
      <w:pPr>
        <w:pStyle w:val="ListParagraph"/>
        <w:spacing w:after="0" w:line="480" w:lineRule="auto"/>
        <w:rPr>
          <w:rFonts w:ascii="Arial" w:hAnsi="Arial" w:cs="Arial"/>
          <w:sz w:val="24"/>
          <w:szCs w:val="24"/>
        </w:rPr>
      </w:pPr>
    </w:p>
    <w:p w:rsidR="00FC0B5C" w:rsidRDefault="00FC0B5C" w:rsidP="00174B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my view, an affidavit is non-compliant with the provisions of s 52(5) where the deponent makes bold denials and unsubstantiated allegations without disclosing the </w:t>
      </w:r>
      <w:r>
        <w:rPr>
          <w:rFonts w:ascii="Arial" w:hAnsi="Arial" w:cs="Arial"/>
          <w:sz w:val="24"/>
          <w:szCs w:val="24"/>
        </w:rPr>
        <w:lastRenderedPageBreak/>
        <w:t xml:space="preserve">facts which </w:t>
      </w:r>
      <w:r w:rsidR="00CF23BF">
        <w:rPr>
          <w:rFonts w:ascii="Arial" w:hAnsi="Arial" w:cs="Arial"/>
          <w:sz w:val="24"/>
          <w:szCs w:val="24"/>
        </w:rPr>
        <w:t xml:space="preserve">are </w:t>
      </w:r>
      <w:r>
        <w:rPr>
          <w:rFonts w:ascii="Arial" w:hAnsi="Arial" w:cs="Arial"/>
          <w:sz w:val="24"/>
          <w:szCs w:val="24"/>
        </w:rPr>
        <w:t>relied upon in opposing the forfeiture application as the first respondent did.</w:t>
      </w:r>
    </w:p>
    <w:p w:rsidR="00FC0B5C" w:rsidRDefault="00FC0B5C" w:rsidP="005C7CC5">
      <w:pPr>
        <w:pStyle w:val="ListParagraph"/>
        <w:spacing w:after="0" w:line="480" w:lineRule="auto"/>
        <w:rPr>
          <w:rFonts w:ascii="Arial" w:hAnsi="Arial" w:cs="Arial"/>
          <w:sz w:val="24"/>
          <w:szCs w:val="24"/>
        </w:rPr>
      </w:pPr>
    </w:p>
    <w:p w:rsidR="00FC0B5C" w:rsidRPr="00FC0B5C" w:rsidRDefault="00FC0B5C" w:rsidP="005C7CC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first respondent also failed, in my view, to set out the basis on which it denied that the property is an instrumentality of an offence or the proceeds of unlawful activities.</w:t>
      </w:r>
    </w:p>
    <w:p w:rsidR="00CB28F4" w:rsidRPr="00CB54C2" w:rsidRDefault="00CB28F4" w:rsidP="00CB28F4">
      <w:pPr>
        <w:pStyle w:val="NoSpacing"/>
        <w:spacing w:line="480" w:lineRule="auto"/>
        <w:jc w:val="both"/>
        <w:rPr>
          <w:rFonts w:ascii="Arial" w:hAnsi="Arial" w:cs="Arial"/>
          <w:sz w:val="24"/>
          <w:szCs w:val="24"/>
        </w:rPr>
      </w:pPr>
    </w:p>
    <w:p w:rsidR="00CB28F4" w:rsidRPr="00CB54C2" w:rsidRDefault="00FC0B5C"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does not assist the first respondent at all to indicate that it shall rely on grounds as it may be advised to rely on by counsel in due course at the hearing of the forfeiture application. The facts and the basis of opposition must be apparent from the s 52(5) affidavit.</w:t>
      </w:r>
    </w:p>
    <w:p w:rsidR="00CB28F4" w:rsidRPr="00CB54C2" w:rsidRDefault="00CB28F4" w:rsidP="00CB28F4">
      <w:pPr>
        <w:pStyle w:val="NoSpacing"/>
        <w:spacing w:line="480" w:lineRule="auto"/>
        <w:jc w:val="both"/>
        <w:rPr>
          <w:rFonts w:ascii="Arial" w:hAnsi="Arial" w:cs="Arial"/>
          <w:sz w:val="24"/>
          <w:szCs w:val="24"/>
        </w:rPr>
      </w:pPr>
    </w:p>
    <w:p w:rsidR="00CB28F4" w:rsidRDefault="00FC0B5C"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Where there is non-compliance with the provisions of s 52(5), as in this case, it would deny the appellant the opportunity, as stated in </w:t>
      </w:r>
      <w:r>
        <w:rPr>
          <w:rFonts w:ascii="Arial" w:hAnsi="Arial" w:cs="Arial"/>
          <w:i/>
          <w:sz w:val="24"/>
          <w:szCs w:val="24"/>
        </w:rPr>
        <w:t>Kamuhanga</w:t>
      </w:r>
      <w:r>
        <w:rPr>
          <w:rFonts w:ascii="Arial" w:hAnsi="Arial" w:cs="Arial"/>
          <w:sz w:val="24"/>
          <w:szCs w:val="24"/>
        </w:rPr>
        <w:t xml:space="preserve"> to investigate the allegations made in the affidavit or to verify the grounds upon which the first respondent intends to rely in the forfeiture application, or to gather more evidence to satisfy the burden of proof (on a balance of probabilities) in the intended forfeiture </w:t>
      </w:r>
      <w:r w:rsidR="008B1E02">
        <w:rPr>
          <w:rFonts w:ascii="Arial" w:hAnsi="Arial" w:cs="Arial"/>
          <w:sz w:val="24"/>
          <w:szCs w:val="24"/>
        </w:rPr>
        <w:t>application.</w:t>
      </w:r>
    </w:p>
    <w:p w:rsidR="008B1E02" w:rsidRDefault="008B1E02" w:rsidP="00174B0F">
      <w:pPr>
        <w:pStyle w:val="ListParagraph"/>
        <w:spacing w:after="0" w:line="480" w:lineRule="auto"/>
        <w:rPr>
          <w:rFonts w:ascii="Arial" w:hAnsi="Arial" w:cs="Arial"/>
          <w:sz w:val="24"/>
          <w:szCs w:val="24"/>
        </w:rPr>
      </w:pPr>
    </w:p>
    <w:p w:rsidR="008B1E02" w:rsidRDefault="008B1E02" w:rsidP="00174B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allegations of contravening </w:t>
      </w:r>
      <w:r w:rsidR="0041337D">
        <w:rPr>
          <w:rFonts w:ascii="Arial" w:hAnsi="Arial" w:cs="Arial"/>
          <w:sz w:val="24"/>
          <w:szCs w:val="24"/>
        </w:rPr>
        <w:t xml:space="preserve">the </w:t>
      </w:r>
      <w:r>
        <w:rPr>
          <w:rFonts w:ascii="Arial" w:hAnsi="Arial" w:cs="Arial"/>
          <w:sz w:val="24"/>
          <w:szCs w:val="24"/>
        </w:rPr>
        <w:t>Exchange Control Regulations, the first respondent stated that the remission of monies by itself to importers had been lawful. First respondent however failed to attach the permission granted by t</w:t>
      </w:r>
      <w:r w:rsidR="00245400">
        <w:rPr>
          <w:rFonts w:ascii="Arial" w:hAnsi="Arial" w:cs="Arial"/>
          <w:sz w:val="24"/>
          <w:szCs w:val="24"/>
        </w:rPr>
        <w:t xml:space="preserve">he </w:t>
      </w:r>
      <w:r w:rsidR="00DE04EF">
        <w:rPr>
          <w:rFonts w:ascii="Arial" w:hAnsi="Arial" w:cs="Arial"/>
          <w:sz w:val="24"/>
          <w:szCs w:val="24"/>
        </w:rPr>
        <w:t>t</w:t>
      </w:r>
      <w:r w:rsidR="00245400">
        <w:rPr>
          <w:rFonts w:ascii="Arial" w:hAnsi="Arial" w:cs="Arial"/>
          <w:sz w:val="24"/>
          <w:szCs w:val="24"/>
        </w:rPr>
        <w:t>reasu</w:t>
      </w:r>
      <w:r>
        <w:rPr>
          <w:rFonts w:ascii="Arial" w:hAnsi="Arial" w:cs="Arial"/>
          <w:sz w:val="24"/>
          <w:szCs w:val="24"/>
        </w:rPr>
        <w:t>ry.</w:t>
      </w:r>
    </w:p>
    <w:p w:rsidR="008B1E02" w:rsidRDefault="008B1E02" w:rsidP="00174B0F">
      <w:pPr>
        <w:pStyle w:val="ListParagraph"/>
        <w:spacing w:after="0" w:line="480" w:lineRule="auto"/>
        <w:rPr>
          <w:rFonts w:ascii="Arial" w:hAnsi="Arial" w:cs="Arial"/>
          <w:sz w:val="24"/>
          <w:szCs w:val="24"/>
        </w:rPr>
      </w:pPr>
    </w:p>
    <w:p w:rsidR="008B1E02" w:rsidRDefault="00245400" w:rsidP="00174B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allegation</w:t>
      </w:r>
      <w:r w:rsidR="00DE04EF">
        <w:rPr>
          <w:rFonts w:ascii="Arial" w:hAnsi="Arial" w:cs="Arial"/>
          <w:sz w:val="24"/>
          <w:szCs w:val="24"/>
        </w:rPr>
        <w:t>,</w:t>
      </w:r>
      <w:r>
        <w:rPr>
          <w:rFonts w:ascii="Arial" w:hAnsi="Arial" w:cs="Arial"/>
          <w:sz w:val="24"/>
          <w:szCs w:val="24"/>
        </w:rPr>
        <w:t xml:space="preserve"> the first respondent was not entitled to pay into its </w:t>
      </w:r>
      <w:r w:rsidR="005E3F0F">
        <w:rPr>
          <w:rFonts w:ascii="Arial" w:hAnsi="Arial" w:cs="Arial"/>
          <w:sz w:val="24"/>
          <w:szCs w:val="24"/>
        </w:rPr>
        <w:t>(CFC)</w:t>
      </w:r>
      <w:r>
        <w:rPr>
          <w:rFonts w:ascii="Arial" w:hAnsi="Arial" w:cs="Arial"/>
          <w:sz w:val="24"/>
          <w:szCs w:val="24"/>
        </w:rPr>
        <w:t xml:space="preserve"> account cash, first respondent stated that it was licenced to do so, and attached </w:t>
      </w:r>
      <w:r>
        <w:rPr>
          <w:rFonts w:ascii="Arial" w:hAnsi="Arial" w:cs="Arial"/>
          <w:sz w:val="24"/>
          <w:szCs w:val="24"/>
        </w:rPr>
        <w:lastRenderedPageBreak/>
        <w:t xml:space="preserve">the licence as an annexure to the notice. On perusal of the licence it appears that it authorises the first </w:t>
      </w:r>
      <w:r w:rsidR="0041337D">
        <w:rPr>
          <w:rFonts w:ascii="Arial" w:hAnsi="Arial" w:cs="Arial"/>
          <w:sz w:val="24"/>
          <w:szCs w:val="24"/>
        </w:rPr>
        <w:t>respondent</w:t>
      </w:r>
      <w:r>
        <w:rPr>
          <w:rFonts w:ascii="Arial" w:hAnsi="Arial" w:cs="Arial"/>
          <w:sz w:val="24"/>
          <w:szCs w:val="24"/>
        </w:rPr>
        <w:t xml:space="preserve"> to accept foreign currency at its business place in Oshikango ‘strictly in payment for goods sold or services rendered . . .’ subject to certain conditions. One of the conditions w</w:t>
      </w:r>
      <w:r w:rsidR="0041337D">
        <w:rPr>
          <w:rFonts w:ascii="Arial" w:hAnsi="Arial" w:cs="Arial"/>
          <w:sz w:val="24"/>
          <w:szCs w:val="24"/>
        </w:rPr>
        <w:t>as</w:t>
      </w:r>
      <w:r>
        <w:rPr>
          <w:rFonts w:ascii="Arial" w:hAnsi="Arial" w:cs="Arial"/>
          <w:sz w:val="24"/>
          <w:szCs w:val="24"/>
        </w:rPr>
        <w:t xml:space="preserve"> that the foreign currency ‘acquired must be sold to an </w:t>
      </w:r>
      <w:r w:rsidR="00CF23BF">
        <w:rPr>
          <w:rFonts w:ascii="Arial" w:hAnsi="Arial" w:cs="Arial"/>
          <w:sz w:val="24"/>
          <w:szCs w:val="24"/>
        </w:rPr>
        <w:t>A</w:t>
      </w:r>
      <w:r>
        <w:rPr>
          <w:rFonts w:ascii="Arial" w:hAnsi="Arial" w:cs="Arial"/>
          <w:sz w:val="24"/>
          <w:szCs w:val="24"/>
        </w:rPr>
        <w:t>uthorised dealer</w:t>
      </w:r>
      <w:r w:rsidR="005E3F0F">
        <w:rPr>
          <w:rStyle w:val="FootnoteReference"/>
          <w:rFonts w:ascii="Arial" w:hAnsi="Arial" w:cs="Arial"/>
          <w:sz w:val="24"/>
          <w:szCs w:val="24"/>
        </w:rPr>
        <w:footnoteReference w:id="13"/>
      </w:r>
      <w:r>
        <w:rPr>
          <w:rFonts w:ascii="Arial" w:hAnsi="Arial" w:cs="Arial"/>
          <w:sz w:val="24"/>
          <w:szCs w:val="24"/>
        </w:rPr>
        <w:t xml:space="preserve"> not later than the following business day after its acquisition’.</w:t>
      </w:r>
    </w:p>
    <w:p w:rsidR="0041337D" w:rsidRDefault="0041337D" w:rsidP="0041337D">
      <w:pPr>
        <w:pStyle w:val="NoSpacing"/>
        <w:spacing w:line="480" w:lineRule="auto"/>
        <w:jc w:val="both"/>
        <w:rPr>
          <w:rFonts w:ascii="Arial" w:hAnsi="Arial" w:cs="Arial"/>
          <w:sz w:val="24"/>
          <w:szCs w:val="24"/>
        </w:rPr>
      </w:pPr>
    </w:p>
    <w:p w:rsidR="00245400" w:rsidRPr="00CB54C2" w:rsidRDefault="005E3F0F" w:rsidP="00174B0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At face value it appears that this annexure </w:t>
      </w:r>
      <w:r w:rsidR="00245400">
        <w:rPr>
          <w:rFonts w:ascii="Arial" w:hAnsi="Arial" w:cs="Arial"/>
          <w:sz w:val="24"/>
          <w:szCs w:val="24"/>
        </w:rPr>
        <w:t xml:space="preserve">is no licence or authority to pay foreign currency into </w:t>
      </w:r>
      <w:r w:rsidR="00CF23BF">
        <w:rPr>
          <w:rFonts w:ascii="Arial" w:hAnsi="Arial" w:cs="Arial"/>
          <w:sz w:val="24"/>
          <w:szCs w:val="24"/>
        </w:rPr>
        <w:t>first respondent’s</w:t>
      </w:r>
      <w:r w:rsidR="00245400">
        <w:rPr>
          <w:rFonts w:ascii="Arial" w:hAnsi="Arial" w:cs="Arial"/>
          <w:sz w:val="24"/>
          <w:szCs w:val="24"/>
        </w:rPr>
        <w:t xml:space="preserve"> foreign currency account </w:t>
      </w:r>
      <w:r w:rsidR="00405A9E">
        <w:rPr>
          <w:rFonts w:ascii="Arial" w:hAnsi="Arial" w:cs="Arial"/>
          <w:sz w:val="24"/>
          <w:szCs w:val="24"/>
        </w:rPr>
        <w:t xml:space="preserve">– </w:t>
      </w:r>
      <w:r w:rsidR="00245400">
        <w:rPr>
          <w:rFonts w:ascii="Arial" w:hAnsi="Arial" w:cs="Arial"/>
          <w:sz w:val="24"/>
          <w:szCs w:val="24"/>
        </w:rPr>
        <w:t xml:space="preserve">it does not assist the first </w:t>
      </w:r>
      <w:r w:rsidR="00CF23BF">
        <w:rPr>
          <w:rFonts w:ascii="Arial" w:hAnsi="Arial" w:cs="Arial"/>
          <w:sz w:val="24"/>
          <w:szCs w:val="24"/>
        </w:rPr>
        <w:t>respondent</w:t>
      </w:r>
      <w:r w:rsidR="009562C7">
        <w:rPr>
          <w:rFonts w:ascii="Arial" w:hAnsi="Arial" w:cs="Arial"/>
          <w:sz w:val="24"/>
          <w:szCs w:val="24"/>
        </w:rPr>
        <w:t xml:space="preserve"> at all in explaining the cash deposits into its (CFC) account.</w:t>
      </w:r>
    </w:p>
    <w:p w:rsidR="00CB28F4" w:rsidRPr="00CB54C2" w:rsidRDefault="00CB28F4" w:rsidP="00CB28F4">
      <w:pPr>
        <w:pStyle w:val="NoSpacing"/>
        <w:spacing w:line="480" w:lineRule="auto"/>
        <w:jc w:val="both"/>
        <w:rPr>
          <w:rFonts w:ascii="Arial" w:hAnsi="Arial" w:cs="Arial"/>
          <w:sz w:val="24"/>
          <w:szCs w:val="24"/>
        </w:rPr>
      </w:pPr>
    </w:p>
    <w:p w:rsidR="00CB28F4" w:rsidRPr="00CB54C2" w:rsidRDefault="00FC0B5C"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Sections 52(3) and (5) are inextricably linked to</w:t>
      </w:r>
      <w:r w:rsidR="00DE04EF">
        <w:rPr>
          <w:rFonts w:ascii="Arial" w:hAnsi="Arial" w:cs="Arial"/>
          <w:sz w:val="24"/>
          <w:szCs w:val="24"/>
        </w:rPr>
        <w:t xml:space="preserve"> each other. So for example a     </w:t>
      </w:r>
      <w:r>
        <w:rPr>
          <w:rFonts w:ascii="Arial" w:hAnsi="Arial" w:cs="Arial"/>
          <w:sz w:val="24"/>
          <w:szCs w:val="24"/>
        </w:rPr>
        <w:t>s 52(3) notice would be incomplete if not accompanied by the s 52(5) affidavit, and if non-compliance with s 52(5) did not render the s 52(3)</w:t>
      </w:r>
      <w:r w:rsidR="00093EA4">
        <w:rPr>
          <w:rFonts w:ascii="Arial" w:hAnsi="Arial" w:cs="Arial"/>
          <w:sz w:val="24"/>
          <w:szCs w:val="24"/>
        </w:rPr>
        <w:t xml:space="preserve"> notice a nullity it would mean that s 52(5) ‘may be breached with impunity’.</w:t>
      </w:r>
      <w:r w:rsidR="009562C7">
        <w:rPr>
          <w:rFonts w:ascii="Arial" w:hAnsi="Arial" w:cs="Arial"/>
          <w:sz w:val="24"/>
          <w:szCs w:val="24"/>
        </w:rPr>
        <w:t xml:space="preserve"> It does not appear from the s 52(3) notice what the issues in dispute were at that stage.</w:t>
      </w:r>
    </w:p>
    <w:p w:rsidR="00CB28F4" w:rsidRPr="00CB54C2" w:rsidRDefault="00CB28F4" w:rsidP="00CB28F4">
      <w:pPr>
        <w:pStyle w:val="NoSpacing"/>
        <w:spacing w:line="480" w:lineRule="auto"/>
        <w:jc w:val="both"/>
        <w:rPr>
          <w:rFonts w:ascii="Arial" w:hAnsi="Arial" w:cs="Arial"/>
          <w:sz w:val="24"/>
          <w:szCs w:val="24"/>
        </w:rPr>
      </w:pPr>
    </w:p>
    <w:p w:rsidR="00CB28F4" w:rsidRDefault="00093EA4"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Although the court </w:t>
      </w:r>
      <w:r w:rsidRPr="00DE04EF">
        <w:rPr>
          <w:rFonts w:ascii="Arial" w:hAnsi="Arial" w:cs="Arial"/>
          <w:i/>
          <w:sz w:val="24"/>
          <w:szCs w:val="24"/>
        </w:rPr>
        <w:t>a quo</w:t>
      </w:r>
      <w:r>
        <w:rPr>
          <w:rFonts w:ascii="Arial" w:hAnsi="Arial" w:cs="Arial"/>
          <w:sz w:val="24"/>
          <w:szCs w:val="24"/>
        </w:rPr>
        <w:t xml:space="preserve"> dealt with the five points </w:t>
      </w:r>
      <w:r w:rsidRPr="00D9519E">
        <w:rPr>
          <w:rFonts w:ascii="Arial" w:hAnsi="Arial" w:cs="Arial"/>
          <w:i/>
          <w:sz w:val="24"/>
          <w:szCs w:val="24"/>
        </w:rPr>
        <w:t xml:space="preserve">in </w:t>
      </w:r>
      <w:r w:rsidRPr="00093EA4">
        <w:rPr>
          <w:rFonts w:ascii="Arial" w:hAnsi="Arial" w:cs="Arial"/>
          <w:i/>
          <w:sz w:val="24"/>
          <w:szCs w:val="24"/>
        </w:rPr>
        <w:t>limine</w:t>
      </w:r>
      <w:r w:rsidR="009562C7" w:rsidRPr="009562C7">
        <w:rPr>
          <w:rFonts w:ascii="Arial" w:hAnsi="Arial" w:cs="Arial"/>
          <w:sz w:val="24"/>
          <w:szCs w:val="24"/>
        </w:rPr>
        <w:t>,</w:t>
      </w:r>
      <w:r w:rsidRPr="009562C7">
        <w:rPr>
          <w:rFonts w:ascii="Arial" w:hAnsi="Arial" w:cs="Arial"/>
          <w:sz w:val="24"/>
          <w:szCs w:val="24"/>
        </w:rPr>
        <w:t xml:space="preserve"> </w:t>
      </w:r>
      <w:r>
        <w:rPr>
          <w:rFonts w:ascii="Arial" w:hAnsi="Arial" w:cs="Arial"/>
          <w:sz w:val="24"/>
          <w:szCs w:val="24"/>
        </w:rPr>
        <w:t>it did not deal</w:t>
      </w:r>
      <w:r w:rsidR="00CF23BF">
        <w:rPr>
          <w:rFonts w:ascii="Arial" w:hAnsi="Arial" w:cs="Arial"/>
          <w:sz w:val="24"/>
          <w:szCs w:val="24"/>
        </w:rPr>
        <w:t>, except to refer to the fact that the appellant alleged that respondents were precluded from participating in the forfeiture proceedings,</w:t>
      </w:r>
      <w:r>
        <w:rPr>
          <w:rFonts w:ascii="Arial" w:hAnsi="Arial" w:cs="Arial"/>
          <w:sz w:val="24"/>
          <w:szCs w:val="24"/>
        </w:rPr>
        <w:t xml:space="preserve"> at all with the appellant’s contention that the respondents were not entitled to receive notice of the intended forfeiture application.</w:t>
      </w:r>
      <w:r w:rsidR="00CF23BF">
        <w:rPr>
          <w:rFonts w:ascii="Arial" w:hAnsi="Arial" w:cs="Arial"/>
          <w:sz w:val="24"/>
          <w:szCs w:val="24"/>
        </w:rPr>
        <w:t xml:space="preserve"> The court </w:t>
      </w:r>
      <w:r w:rsidR="00CF23BF" w:rsidRPr="00CF23BF">
        <w:rPr>
          <w:rFonts w:ascii="Arial" w:hAnsi="Arial" w:cs="Arial"/>
          <w:i/>
          <w:sz w:val="24"/>
          <w:szCs w:val="24"/>
        </w:rPr>
        <w:t>a quo</w:t>
      </w:r>
      <w:r w:rsidR="00CF23BF">
        <w:rPr>
          <w:rFonts w:ascii="Arial" w:hAnsi="Arial" w:cs="Arial"/>
          <w:sz w:val="24"/>
          <w:szCs w:val="24"/>
        </w:rPr>
        <w:t xml:space="preserve"> did not consider or discuss the extent to which the notice in terms of </w:t>
      </w:r>
      <w:r w:rsidR="00405A9E">
        <w:rPr>
          <w:rFonts w:ascii="Arial" w:hAnsi="Arial" w:cs="Arial"/>
          <w:sz w:val="24"/>
          <w:szCs w:val="24"/>
        </w:rPr>
        <w:t xml:space="preserve">  </w:t>
      </w:r>
      <w:r w:rsidR="00CF23BF">
        <w:rPr>
          <w:rFonts w:ascii="Arial" w:hAnsi="Arial" w:cs="Arial"/>
          <w:sz w:val="24"/>
          <w:szCs w:val="24"/>
        </w:rPr>
        <w:t xml:space="preserve">s 52(3) also complied or </w:t>
      </w:r>
      <w:r w:rsidR="009562C7">
        <w:rPr>
          <w:rFonts w:ascii="Arial" w:hAnsi="Arial" w:cs="Arial"/>
          <w:sz w:val="24"/>
          <w:szCs w:val="24"/>
        </w:rPr>
        <w:t>did not comply</w:t>
      </w:r>
      <w:r w:rsidR="00CF23BF">
        <w:rPr>
          <w:rFonts w:ascii="Arial" w:hAnsi="Arial" w:cs="Arial"/>
          <w:sz w:val="24"/>
          <w:szCs w:val="24"/>
        </w:rPr>
        <w:t xml:space="preserve"> with the requirements of s 52(5)</w:t>
      </w:r>
      <w:r w:rsidR="00CF23BF">
        <w:rPr>
          <w:rFonts w:ascii="Arial" w:hAnsi="Arial" w:cs="Arial"/>
          <w:i/>
          <w:sz w:val="24"/>
          <w:szCs w:val="24"/>
        </w:rPr>
        <w:t>(e)</w:t>
      </w:r>
      <w:r w:rsidR="00CF23BF">
        <w:rPr>
          <w:rFonts w:ascii="Arial" w:hAnsi="Arial" w:cs="Arial"/>
          <w:sz w:val="24"/>
          <w:szCs w:val="24"/>
        </w:rPr>
        <w:t>.</w:t>
      </w:r>
    </w:p>
    <w:p w:rsidR="00093EA4" w:rsidRDefault="00093EA4" w:rsidP="005C7CC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 deem it necessary to comment on the issue of the chosen address as required by s 52(5) as</w:t>
      </w:r>
      <w:r>
        <w:rPr>
          <w:rStyle w:val="FootnoteReference"/>
          <w:rFonts w:ascii="Arial" w:hAnsi="Arial" w:cs="Arial"/>
          <w:sz w:val="24"/>
          <w:szCs w:val="24"/>
        </w:rPr>
        <w:footnoteReference w:id="14"/>
      </w:r>
      <w:r>
        <w:rPr>
          <w:rFonts w:ascii="Arial" w:hAnsi="Arial" w:cs="Arial"/>
          <w:sz w:val="24"/>
          <w:szCs w:val="24"/>
        </w:rPr>
        <w:t xml:space="preserve"> well as the issue of service of the preservation order on the first respondent.</w:t>
      </w:r>
    </w:p>
    <w:p w:rsidR="005E3F0F" w:rsidRPr="00CB54C2" w:rsidRDefault="005E3F0F" w:rsidP="005E3F0F">
      <w:pPr>
        <w:pStyle w:val="NoSpacing"/>
        <w:spacing w:line="480" w:lineRule="auto"/>
        <w:jc w:val="both"/>
        <w:rPr>
          <w:rFonts w:ascii="Arial" w:hAnsi="Arial" w:cs="Arial"/>
          <w:sz w:val="24"/>
          <w:szCs w:val="24"/>
        </w:rPr>
      </w:pPr>
    </w:p>
    <w:p w:rsidR="00CB28F4" w:rsidRDefault="00093EA4"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not disputed by the first respondent that there was an attempt by the deputy-sheriff to serve the order on its registered address. It was also not disputed that the registered address was incomplete – the deputy sheriff described the address as blocks of flats and was not provided with a unit number. It is further not disputed that the preservation of property order was publish</w:t>
      </w:r>
      <w:r w:rsidR="00DA27B1">
        <w:rPr>
          <w:rFonts w:ascii="Arial" w:hAnsi="Arial" w:cs="Arial"/>
          <w:sz w:val="24"/>
          <w:szCs w:val="24"/>
        </w:rPr>
        <w:t xml:space="preserve">ed in the Government Gazette on </w:t>
      </w:r>
      <w:r>
        <w:rPr>
          <w:rFonts w:ascii="Arial" w:hAnsi="Arial" w:cs="Arial"/>
          <w:sz w:val="24"/>
          <w:szCs w:val="24"/>
        </w:rPr>
        <w:t>10 February 2017 and the order was published in two newspapers.</w:t>
      </w:r>
    </w:p>
    <w:p w:rsidR="00093EA4" w:rsidRDefault="00093EA4" w:rsidP="00BF5640">
      <w:pPr>
        <w:pStyle w:val="ListParagraph"/>
        <w:spacing w:after="0" w:line="480" w:lineRule="auto"/>
        <w:rPr>
          <w:rFonts w:ascii="Arial" w:hAnsi="Arial" w:cs="Arial"/>
          <w:sz w:val="24"/>
          <w:szCs w:val="24"/>
        </w:rPr>
      </w:pPr>
    </w:p>
    <w:p w:rsidR="00093EA4" w:rsidRPr="00CB54C2" w:rsidRDefault="00093EA4" w:rsidP="00BF564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Regulation 3(1)(b) </w:t>
      </w:r>
      <w:r w:rsidR="009562C7">
        <w:rPr>
          <w:rFonts w:ascii="Arial" w:hAnsi="Arial" w:cs="Arial"/>
          <w:sz w:val="24"/>
          <w:szCs w:val="24"/>
        </w:rPr>
        <w:t xml:space="preserve">of the </w:t>
      </w:r>
      <w:r w:rsidR="0041337D">
        <w:rPr>
          <w:rFonts w:ascii="Arial" w:hAnsi="Arial" w:cs="Arial"/>
          <w:sz w:val="24"/>
          <w:szCs w:val="24"/>
        </w:rPr>
        <w:t>r</w:t>
      </w:r>
      <w:r w:rsidR="009562C7">
        <w:rPr>
          <w:rFonts w:ascii="Arial" w:hAnsi="Arial" w:cs="Arial"/>
          <w:sz w:val="24"/>
          <w:szCs w:val="24"/>
        </w:rPr>
        <w:t>egul</w:t>
      </w:r>
      <w:r w:rsidR="0041337D">
        <w:rPr>
          <w:rFonts w:ascii="Arial" w:hAnsi="Arial" w:cs="Arial"/>
          <w:sz w:val="24"/>
          <w:szCs w:val="24"/>
        </w:rPr>
        <w:t>ations</w:t>
      </w:r>
      <w:r w:rsidR="009562C7">
        <w:rPr>
          <w:rFonts w:ascii="Arial" w:hAnsi="Arial" w:cs="Arial"/>
          <w:sz w:val="24"/>
          <w:szCs w:val="24"/>
        </w:rPr>
        <w:t xml:space="preserve"> </w:t>
      </w:r>
      <w:r w:rsidR="0041337D">
        <w:rPr>
          <w:rFonts w:ascii="Arial" w:hAnsi="Arial" w:cs="Arial"/>
          <w:sz w:val="24"/>
          <w:szCs w:val="24"/>
        </w:rPr>
        <w:t xml:space="preserve">made pursuant to the Act </w:t>
      </w:r>
      <w:r>
        <w:rPr>
          <w:rFonts w:ascii="Arial" w:hAnsi="Arial" w:cs="Arial"/>
          <w:sz w:val="24"/>
          <w:szCs w:val="24"/>
        </w:rPr>
        <w:t>provides that a document required to be served must be effected by publishing it in the Gazette and in two daily newspapers of wide circulation if the contact details of the effected persons are unknown. Publishing the order in two newspapers is also in compliance with the court order o</w:t>
      </w:r>
      <w:r w:rsidR="00DE04EF">
        <w:rPr>
          <w:rFonts w:ascii="Arial" w:hAnsi="Arial" w:cs="Arial"/>
          <w:sz w:val="24"/>
          <w:szCs w:val="24"/>
        </w:rPr>
        <w:t>f</w:t>
      </w:r>
      <w:r>
        <w:rPr>
          <w:rFonts w:ascii="Arial" w:hAnsi="Arial" w:cs="Arial"/>
          <w:sz w:val="24"/>
          <w:szCs w:val="24"/>
        </w:rPr>
        <w:t xml:space="preserve"> 27 January 2017 granting leave to effect service by way of publication of the preservation order where the appellant was unable to effect personal service.</w:t>
      </w:r>
    </w:p>
    <w:p w:rsidR="00CB28F4" w:rsidRPr="00CB54C2" w:rsidRDefault="00CB28F4" w:rsidP="00CB28F4">
      <w:pPr>
        <w:pStyle w:val="NoSpacing"/>
        <w:spacing w:line="480" w:lineRule="auto"/>
        <w:jc w:val="both"/>
        <w:rPr>
          <w:rFonts w:ascii="Arial" w:hAnsi="Arial" w:cs="Arial"/>
          <w:sz w:val="24"/>
          <w:szCs w:val="24"/>
        </w:rPr>
      </w:pPr>
    </w:p>
    <w:p w:rsidR="00CB28F4" w:rsidRDefault="00093EA4"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Arendsnes Sweefspoor CC v Dalia Marcelle Botha</w:t>
      </w:r>
      <w:r w:rsidRPr="00B80BEE">
        <w:rPr>
          <w:rStyle w:val="FootnoteReference"/>
          <w:rFonts w:ascii="Arial" w:hAnsi="Arial" w:cs="Arial"/>
          <w:sz w:val="24"/>
          <w:szCs w:val="24"/>
        </w:rPr>
        <w:footnoteReference w:id="15"/>
      </w:r>
      <w:r w:rsidR="009562C7">
        <w:rPr>
          <w:rFonts w:ascii="Arial" w:hAnsi="Arial" w:cs="Arial"/>
          <w:i/>
          <w:sz w:val="24"/>
          <w:szCs w:val="24"/>
        </w:rPr>
        <w:t xml:space="preserve"> </w:t>
      </w:r>
      <w:r w:rsidR="009562C7" w:rsidRPr="00DE04EF">
        <w:rPr>
          <w:rFonts w:ascii="Arial" w:hAnsi="Arial" w:cs="Arial"/>
          <w:sz w:val="24"/>
          <w:szCs w:val="24"/>
        </w:rPr>
        <w:t>in</w:t>
      </w:r>
      <w:r w:rsidR="009562C7">
        <w:rPr>
          <w:rFonts w:ascii="Arial" w:hAnsi="Arial" w:cs="Arial"/>
          <w:i/>
          <w:sz w:val="24"/>
          <w:szCs w:val="24"/>
        </w:rPr>
        <w:t xml:space="preserve"> </w:t>
      </w:r>
      <w:r w:rsidR="00B80BEE">
        <w:rPr>
          <w:rFonts w:ascii="Arial" w:hAnsi="Arial" w:cs="Arial"/>
          <w:sz w:val="24"/>
          <w:szCs w:val="24"/>
        </w:rPr>
        <w:t xml:space="preserve">an appeal </w:t>
      </w:r>
      <w:r w:rsidR="009562C7">
        <w:rPr>
          <w:rFonts w:ascii="Arial" w:hAnsi="Arial" w:cs="Arial"/>
          <w:sz w:val="24"/>
          <w:szCs w:val="24"/>
        </w:rPr>
        <w:t xml:space="preserve">which </w:t>
      </w:r>
      <w:r w:rsidR="00B80BEE">
        <w:rPr>
          <w:rFonts w:ascii="Arial" w:hAnsi="Arial" w:cs="Arial"/>
          <w:sz w:val="24"/>
          <w:szCs w:val="24"/>
        </w:rPr>
        <w:t xml:space="preserve">turned solely on whether service as reflected in the return was to be construed as valid </w:t>
      </w:r>
      <w:r w:rsidR="008B1E02">
        <w:rPr>
          <w:rFonts w:ascii="Arial" w:hAnsi="Arial" w:cs="Arial"/>
          <w:sz w:val="24"/>
          <w:szCs w:val="24"/>
        </w:rPr>
        <w:t>serv</w:t>
      </w:r>
      <w:r w:rsidR="00B91893">
        <w:rPr>
          <w:rFonts w:ascii="Arial" w:hAnsi="Arial" w:cs="Arial"/>
          <w:sz w:val="24"/>
          <w:szCs w:val="24"/>
        </w:rPr>
        <w:t>ic</w:t>
      </w:r>
      <w:r w:rsidR="008B1E02">
        <w:rPr>
          <w:rFonts w:ascii="Arial" w:hAnsi="Arial" w:cs="Arial"/>
          <w:sz w:val="24"/>
          <w:szCs w:val="24"/>
        </w:rPr>
        <w:t>e</w:t>
      </w:r>
      <w:r w:rsidR="00B80BEE">
        <w:rPr>
          <w:rFonts w:ascii="Arial" w:hAnsi="Arial" w:cs="Arial"/>
          <w:sz w:val="24"/>
          <w:szCs w:val="24"/>
        </w:rPr>
        <w:t xml:space="preserve"> on the appellant, a close corporation</w:t>
      </w:r>
      <w:r w:rsidR="008B1E02">
        <w:rPr>
          <w:rFonts w:ascii="Arial" w:hAnsi="Arial" w:cs="Arial"/>
          <w:sz w:val="24"/>
          <w:szCs w:val="24"/>
        </w:rPr>
        <w:t xml:space="preserve">. The summons was served on a certain person at the registered office of the appellant but who was not employed by the </w:t>
      </w:r>
      <w:r w:rsidR="008B1E02">
        <w:rPr>
          <w:rFonts w:ascii="Arial" w:hAnsi="Arial" w:cs="Arial"/>
          <w:sz w:val="24"/>
          <w:szCs w:val="24"/>
        </w:rPr>
        <w:lastRenderedPageBreak/>
        <w:t>appellant. The summons was never handed over to the appellant. By the time of the service of the summons at the registered office, the appellant had ceased all trading activities and had no presence on the premises. The close corporation was however never deregistered.</w:t>
      </w:r>
    </w:p>
    <w:p w:rsidR="009562C7" w:rsidRDefault="009562C7" w:rsidP="009562C7">
      <w:pPr>
        <w:pStyle w:val="NoSpacing"/>
        <w:spacing w:line="480" w:lineRule="auto"/>
        <w:jc w:val="both"/>
        <w:rPr>
          <w:rFonts w:ascii="Arial" w:hAnsi="Arial" w:cs="Arial"/>
          <w:sz w:val="24"/>
          <w:szCs w:val="24"/>
        </w:rPr>
      </w:pPr>
    </w:p>
    <w:p w:rsidR="008B1E02" w:rsidRDefault="008B1E02"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Shongwe JA at para 15 referred with approval to </w:t>
      </w:r>
      <w:r w:rsidR="009562C7">
        <w:rPr>
          <w:rFonts w:ascii="Arial" w:hAnsi="Arial" w:cs="Arial"/>
          <w:i/>
          <w:sz w:val="24"/>
          <w:szCs w:val="24"/>
        </w:rPr>
        <w:t>Geldenhu</w:t>
      </w:r>
      <w:r w:rsidR="00D210CA">
        <w:rPr>
          <w:rFonts w:ascii="Arial" w:hAnsi="Arial" w:cs="Arial"/>
          <w:i/>
          <w:sz w:val="24"/>
          <w:szCs w:val="24"/>
        </w:rPr>
        <w:t>i</w:t>
      </w:r>
      <w:r w:rsidR="009562C7">
        <w:rPr>
          <w:rFonts w:ascii="Arial" w:hAnsi="Arial" w:cs="Arial"/>
          <w:i/>
          <w:sz w:val="24"/>
          <w:szCs w:val="24"/>
        </w:rPr>
        <w:t>s</w:t>
      </w:r>
      <w:r>
        <w:rPr>
          <w:rFonts w:ascii="Arial" w:hAnsi="Arial" w:cs="Arial"/>
          <w:i/>
          <w:sz w:val="24"/>
          <w:szCs w:val="24"/>
        </w:rPr>
        <w:t xml:space="preserve"> Deep Ltd v Superior Trading Co (Pty) Limited</w:t>
      </w:r>
      <w:r>
        <w:rPr>
          <w:rFonts w:ascii="Arial" w:hAnsi="Arial" w:cs="Arial"/>
          <w:sz w:val="24"/>
          <w:szCs w:val="24"/>
        </w:rPr>
        <w:t xml:space="preserve"> 1934 WLD 117 at 119 where De Waal JP said:</w:t>
      </w:r>
    </w:p>
    <w:p w:rsidR="008B1E02" w:rsidRPr="00D9519E" w:rsidRDefault="008B1E02" w:rsidP="00D9519E">
      <w:pPr>
        <w:pStyle w:val="ListParagraph"/>
        <w:spacing w:after="0" w:line="360" w:lineRule="auto"/>
        <w:rPr>
          <w:rFonts w:ascii="Arial" w:hAnsi="Arial" w:cs="Arial"/>
        </w:rPr>
      </w:pPr>
    </w:p>
    <w:p w:rsidR="008B1E02" w:rsidRPr="008B1E02" w:rsidRDefault="008B1E02" w:rsidP="00D9519E">
      <w:pPr>
        <w:pStyle w:val="NoSpacing"/>
        <w:spacing w:line="360" w:lineRule="auto"/>
        <w:ind w:left="720"/>
        <w:jc w:val="both"/>
        <w:rPr>
          <w:rFonts w:ascii="Arial" w:hAnsi="Arial" w:cs="Arial"/>
        </w:rPr>
      </w:pPr>
      <w:r w:rsidRPr="008B1E02">
        <w:rPr>
          <w:rFonts w:ascii="Arial" w:hAnsi="Arial" w:cs="Arial"/>
        </w:rPr>
        <w:t>‘Until notification of change of address is given to the Registrar of companies, the office as originally registered remains the registered office of the company for practical purposes.’</w:t>
      </w:r>
    </w:p>
    <w:p w:rsidR="008B1E02" w:rsidRPr="005C7CC5" w:rsidRDefault="005C7CC5" w:rsidP="005C7CC5">
      <w:pPr>
        <w:pStyle w:val="NoSpacing"/>
        <w:spacing w:line="360" w:lineRule="auto"/>
        <w:jc w:val="both"/>
        <w:rPr>
          <w:rFonts w:ascii="Arial" w:hAnsi="Arial" w:cs="Arial"/>
        </w:rPr>
      </w:pPr>
      <w:r>
        <w:rPr>
          <w:rFonts w:ascii="Arial" w:hAnsi="Arial" w:cs="Arial"/>
          <w:sz w:val="24"/>
          <w:szCs w:val="24"/>
        </w:rPr>
        <w:tab/>
      </w:r>
    </w:p>
    <w:p w:rsidR="008B1E02" w:rsidRPr="00B80BEE" w:rsidRDefault="00D9519E" w:rsidP="005C7CC5">
      <w:pPr>
        <w:pStyle w:val="NoSpacing"/>
        <w:spacing w:line="360" w:lineRule="auto"/>
        <w:jc w:val="both"/>
        <w:rPr>
          <w:rFonts w:ascii="Arial" w:hAnsi="Arial" w:cs="Arial"/>
          <w:sz w:val="24"/>
          <w:szCs w:val="24"/>
        </w:rPr>
      </w:pPr>
      <w:r>
        <w:rPr>
          <w:rFonts w:ascii="Arial" w:hAnsi="Arial" w:cs="Arial"/>
          <w:sz w:val="24"/>
          <w:szCs w:val="24"/>
        </w:rPr>
        <w:tab/>
      </w:r>
      <w:r w:rsidR="008B1E02">
        <w:rPr>
          <w:rFonts w:ascii="Arial" w:hAnsi="Arial" w:cs="Arial"/>
          <w:sz w:val="24"/>
          <w:szCs w:val="24"/>
        </w:rPr>
        <w:t>And continues at para 16 as follows:</w:t>
      </w:r>
    </w:p>
    <w:p w:rsidR="00CB28F4" w:rsidRPr="00D9519E" w:rsidRDefault="00D9519E" w:rsidP="00D9519E">
      <w:pPr>
        <w:pStyle w:val="NoSpacing"/>
        <w:spacing w:line="360" w:lineRule="auto"/>
        <w:jc w:val="both"/>
        <w:rPr>
          <w:rFonts w:ascii="Arial" w:hAnsi="Arial" w:cs="Arial"/>
        </w:rPr>
      </w:pPr>
      <w:r>
        <w:rPr>
          <w:rFonts w:ascii="Arial" w:hAnsi="Arial" w:cs="Arial"/>
          <w:sz w:val="24"/>
          <w:szCs w:val="24"/>
        </w:rPr>
        <w:tab/>
      </w:r>
    </w:p>
    <w:p w:rsidR="00CB28F4" w:rsidRPr="008B1E02" w:rsidRDefault="008B1E02" w:rsidP="00D9519E">
      <w:pPr>
        <w:pStyle w:val="NoSpacing"/>
        <w:spacing w:line="360" w:lineRule="auto"/>
        <w:ind w:left="720"/>
        <w:jc w:val="both"/>
        <w:rPr>
          <w:rFonts w:ascii="Arial" w:hAnsi="Arial" w:cs="Arial"/>
        </w:rPr>
      </w:pPr>
      <w:r w:rsidRPr="008B1E02">
        <w:rPr>
          <w:rFonts w:ascii="Arial" w:hAnsi="Arial" w:cs="Arial"/>
        </w:rPr>
        <w:t xml:space="preserve">‘I agree in this regard with the reasoning of the court </w:t>
      </w:r>
      <w:r w:rsidRPr="008B1E02">
        <w:rPr>
          <w:rFonts w:ascii="Arial" w:hAnsi="Arial" w:cs="Arial"/>
          <w:i/>
        </w:rPr>
        <w:t xml:space="preserve">a quo </w:t>
      </w:r>
      <w:r w:rsidRPr="008B1E02">
        <w:rPr>
          <w:rFonts w:ascii="Arial" w:hAnsi="Arial" w:cs="Arial"/>
        </w:rPr>
        <w:t>where it reasoned that corporations should not be permitted to register an office address where it has no purpose or business and so doing, frustrate services of summons and other court process upon it.’</w:t>
      </w:r>
    </w:p>
    <w:p w:rsidR="00A27953" w:rsidRPr="00CB54C2" w:rsidRDefault="00A27953" w:rsidP="00A27953">
      <w:pPr>
        <w:pStyle w:val="NoSpacing"/>
        <w:spacing w:line="480" w:lineRule="auto"/>
        <w:jc w:val="both"/>
        <w:rPr>
          <w:rFonts w:ascii="Arial" w:hAnsi="Arial" w:cs="Arial"/>
          <w:sz w:val="24"/>
          <w:szCs w:val="24"/>
        </w:rPr>
      </w:pPr>
    </w:p>
    <w:p w:rsidR="00CB28F4" w:rsidRDefault="008B1E02"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Had the registered address of the first respondent </w:t>
      </w:r>
      <w:r w:rsidR="0041337D">
        <w:rPr>
          <w:rFonts w:ascii="Arial" w:hAnsi="Arial" w:cs="Arial"/>
          <w:sz w:val="24"/>
          <w:szCs w:val="24"/>
        </w:rPr>
        <w:t>been complete or accurate, the Deputy-S</w:t>
      </w:r>
      <w:r>
        <w:rPr>
          <w:rFonts w:ascii="Arial" w:hAnsi="Arial" w:cs="Arial"/>
          <w:sz w:val="24"/>
          <w:szCs w:val="24"/>
        </w:rPr>
        <w:t>heriff would have been entitled to affix it to the main door of the business and this would have constituted valid service.</w:t>
      </w:r>
      <w:r w:rsidR="00F83F7E">
        <w:rPr>
          <w:rStyle w:val="FootnoteReference"/>
          <w:rFonts w:ascii="Arial" w:hAnsi="Arial" w:cs="Arial"/>
          <w:sz w:val="24"/>
          <w:szCs w:val="24"/>
        </w:rPr>
        <w:footnoteReference w:id="16"/>
      </w:r>
    </w:p>
    <w:p w:rsidR="00DE04EF" w:rsidRDefault="00DE04EF" w:rsidP="00DE04EF">
      <w:pPr>
        <w:pStyle w:val="NoSpacing"/>
        <w:spacing w:line="480" w:lineRule="auto"/>
        <w:jc w:val="both"/>
        <w:rPr>
          <w:rFonts w:ascii="Arial" w:hAnsi="Arial" w:cs="Arial"/>
          <w:sz w:val="24"/>
          <w:szCs w:val="24"/>
        </w:rPr>
      </w:pPr>
    </w:p>
    <w:p w:rsidR="00F83F7E" w:rsidRDefault="00F83F7E" w:rsidP="00CB28F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00EA3582">
        <w:rPr>
          <w:rFonts w:ascii="Arial" w:hAnsi="Arial" w:cs="Arial"/>
          <w:sz w:val="24"/>
          <w:szCs w:val="24"/>
        </w:rPr>
        <w:t>my view, it was not necessary at</w:t>
      </w:r>
      <w:r>
        <w:rPr>
          <w:rFonts w:ascii="Arial" w:hAnsi="Arial" w:cs="Arial"/>
          <w:sz w:val="24"/>
          <w:szCs w:val="24"/>
        </w:rPr>
        <w:t xml:space="preserve"> all for a person employed by the appellant to agree with </w:t>
      </w:r>
      <w:r w:rsidR="00F43C33">
        <w:rPr>
          <w:rFonts w:ascii="Arial" w:hAnsi="Arial" w:cs="Arial"/>
          <w:sz w:val="24"/>
          <w:szCs w:val="24"/>
        </w:rPr>
        <w:t>respondents’ legal practitioner</w:t>
      </w:r>
      <w:r>
        <w:rPr>
          <w:rFonts w:ascii="Arial" w:hAnsi="Arial" w:cs="Arial"/>
          <w:sz w:val="24"/>
          <w:szCs w:val="24"/>
        </w:rPr>
        <w:t xml:space="preserve"> that service at his office would be </w:t>
      </w:r>
      <w:r>
        <w:rPr>
          <w:rFonts w:ascii="Arial" w:hAnsi="Arial" w:cs="Arial"/>
          <w:sz w:val="24"/>
          <w:szCs w:val="24"/>
        </w:rPr>
        <w:lastRenderedPageBreak/>
        <w:t>construed as service in compliance with the provisions of s 52(1)</w:t>
      </w:r>
      <w:r>
        <w:rPr>
          <w:rFonts w:ascii="Arial" w:hAnsi="Arial" w:cs="Arial"/>
          <w:i/>
          <w:sz w:val="24"/>
          <w:szCs w:val="24"/>
        </w:rPr>
        <w:t>(a)</w:t>
      </w:r>
      <w:r>
        <w:rPr>
          <w:rFonts w:ascii="Arial" w:hAnsi="Arial" w:cs="Arial"/>
          <w:sz w:val="24"/>
          <w:szCs w:val="24"/>
        </w:rPr>
        <w:t xml:space="preserve"> of the Act since there was proper compliance with the provisions of s 52(1) prior to the said discussion</w:t>
      </w:r>
      <w:r w:rsidR="00EA3582">
        <w:rPr>
          <w:rFonts w:ascii="Arial" w:hAnsi="Arial" w:cs="Arial"/>
          <w:sz w:val="24"/>
          <w:szCs w:val="24"/>
        </w:rPr>
        <w:t>, by the publication of the order in two newspapers</w:t>
      </w:r>
      <w:r>
        <w:rPr>
          <w:rFonts w:ascii="Arial" w:hAnsi="Arial" w:cs="Arial"/>
          <w:sz w:val="24"/>
          <w:szCs w:val="24"/>
        </w:rPr>
        <w:t>. In a situation where the appellant had not given any notice at all to the first respondent, the agreement could have been considered proper and the appellant would have been bound thereby. However in a situation where notice in compliance with the court order had been given, the agreement to accept service at the office of the attorney would have been superfluous in the circumstances.</w:t>
      </w:r>
    </w:p>
    <w:p w:rsidR="00F83F7E" w:rsidRDefault="00F83F7E" w:rsidP="00D9519E">
      <w:pPr>
        <w:pStyle w:val="ListParagraph"/>
        <w:spacing w:after="0" w:line="480" w:lineRule="auto"/>
        <w:rPr>
          <w:rFonts w:ascii="Arial" w:hAnsi="Arial" w:cs="Arial"/>
          <w:sz w:val="24"/>
          <w:szCs w:val="24"/>
        </w:rPr>
      </w:pPr>
    </w:p>
    <w:p w:rsidR="00F83F7E" w:rsidRPr="00CB54C2" w:rsidRDefault="00F83F7E" w:rsidP="00D9519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Although there was a registered address given by the first respondent, it was incomplete and for all practical purposes, useless. The appellant was, in my view, in these circumstances perfectly entitled to publish the order in two newspapers and in the Gazette. The </w:t>
      </w:r>
      <w:r w:rsidR="000D103C">
        <w:rPr>
          <w:rFonts w:ascii="Arial" w:hAnsi="Arial" w:cs="Arial"/>
          <w:sz w:val="24"/>
          <w:szCs w:val="24"/>
        </w:rPr>
        <w:t>publication</w:t>
      </w:r>
      <w:r>
        <w:rPr>
          <w:rFonts w:ascii="Arial" w:hAnsi="Arial" w:cs="Arial"/>
          <w:sz w:val="24"/>
          <w:szCs w:val="24"/>
        </w:rPr>
        <w:t xml:space="preserve"> of the</w:t>
      </w:r>
      <w:r w:rsidR="00EA3582">
        <w:rPr>
          <w:rFonts w:ascii="Arial" w:hAnsi="Arial" w:cs="Arial"/>
          <w:sz w:val="24"/>
          <w:szCs w:val="24"/>
        </w:rPr>
        <w:t xml:space="preserve"> preservation of property order</w:t>
      </w:r>
      <w:r>
        <w:rPr>
          <w:rFonts w:ascii="Arial" w:hAnsi="Arial" w:cs="Arial"/>
          <w:sz w:val="24"/>
          <w:szCs w:val="24"/>
        </w:rPr>
        <w:t xml:space="preserve"> constituted service on the respondents and was not irregular.</w:t>
      </w:r>
    </w:p>
    <w:p w:rsidR="00CB28F4" w:rsidRDefault="00CB28F4" w:rsidP="00CB28F4">
      <w:pPr>
        <w:pStyle w:val="NoSpacing"/>
        <w:spacing w:line="480" w:lineRule="auto"/>
        <w:jc w:val="both"/>
        <w:rPr>
          <w:rFonts w:ascii="Arial" w:hAnsi="Arial" w:cs="Arial"/>
          <w:sz w:val="24"/>
          <w:szCs w:val="24"/>
        </w:rPr>
      </w:pPr>
    </w:p>
    <w:p w:rsidR="00EA3582" w:rsidRPr="00EA3582" w:rsidRDefault="00EA3582" w:rsidP="00CB28F4">
      <w:pPr>
        <w:pStyle w:val="NoSpacing"/>
        <w:spacing w:line="480" w:lineRule="auto"/>
        <w:jc w:val="both"/>
        <w:rPr>
          <w:rFonts w:ascii="Arial" w:hAnsi="Arial" w:cs="Arial"/>
          <w:sz w:val="24"/>
          <w:szCs w:val="24"/>
          <w:u w:val="single"/>
        </w:rPr>
      </w:pPr>
      <w:r w:rsidRPr="00EA3582">
        <w:rPr>
          <w:rFonts w:ascii="Arial" w:hAnsi="Arial" w:cs="Arial"/>
          <w:sz w:val="24"/>
          <w:szCs w:val="24"/>
          <w:u w:val="single"/>
        </w:rPr>
        <w:t>Conclusion</w:t>
      </w:r>
    </w:p>
    <w:p w:rsidR="00F83F7E" w:rsidRDefault="000A4D82" w:rsidP="006A57F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my view, the court </w:t>
      </w:r>
      <w:r w:rsidRPr="004350A3">
        <w:rPr>
          <w:rFonts w:ascii="Arial" w:hAnsi="Arial" w:cs="Arial"/>
          <w:i/>
          <w:sz w:val="24"/>
          <w:szCs w:val="24"/>
        </w:rPr>
        <w:t>a quo</w:t>
      </w:r>
      <w:r>
        <w:rPr>
          <w:rFonts w:ascii="Arial" w:hAnsi="Arial" w:cs="Arial"/>
          <w:sz w:val="24"/>
          <w:szCs w:val="24"/>
        </w:rPr>
        <w:t xml:space="preserve"> erred in failing to consider the contention by the appellant that the respondents were not entitled to receive notice of the application for a forfeiture of property order.</w:t>
      </w:r>
      <w:r w:rsidR="00F83F7E">
        <w:rPr>
          <w:rFonts w:ascii="Arial" w:hAnsi="Arial" w:cs="Arial"/>
          <w:sz w:val="24"/>
          <w:szCs w:val="24"/>
        </w:rPr>
        <w:t xml:space="preserve"> The court should have considered whether the sanction provided for in s 52(6) finds application.</w:t>
      </w:r>
    </w:p>
    <w:p w:rsidR="00EA3582" w:rsidRPr="00EA3582" w:rsidRDefault="00EA3582" w:rsidP="00EA3582">
      <w:pPr>
        <w:pStyle w:val="NoSpacing"/>
        <w:spacing w:line="480" w:lineRule="auto"/>
        <w:jc w:val="both"/>
        <w:rPr>
          <w:rFonts w:ascii="Arial" w:hAnsi="Arial" w:cs="Arial"/>
          <w:sz w:val="24"/>
          <w:szCs w:val="24"/>
        </w:rPr>
      </w:pPr>
    </w:p>
    <w:p w:rsidR="00F83F7E" w:rsidRDefault="00F83F7E" w:rsidP="006A57F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my view, it should have been apparent to the court </w:t>
      </w:r>
      <w:r>
        <w:rPr>
          <w:rFonts w:ascii="Arial" w:hAnsi="Arial" w:cs="Arial"/>
          <w:i/>
          <w:sz w:val="24"/>
          <w:szCs w:val="24"/>
        </w:rPr>
        <w:t>a quo</w:t>
      </w:r>
      <w:r>
        <w:rPr>
          <w:rFonts w:ascii="Arial" w:hAnsi="Arial" w:cs="Arial"/>
          <w:sz w:val="24"/>
          <w:szCs w:val="24"/>
        </w:rPr>
        <w:t>, had it considered the issue, that the notice in terms of s 52(3) was defective in view of non-compliance with the provisions of s 52(5)</w:t>
      </w:r>
      <w:r>
        <w:rPr>
          <w:rFonts w:ascii="Arial" w:hAnsi="Arial" w:cs="Arial"/>
          <w:i/>
          <w:sz w:val="24"/>
          <w:szCs w:val="24"/>
        </w:rPr>
        <w:t>(e)</w:t>
      </w:r>
      <w:r>
        <w:rPr>
          <w:rFonts w:ascii="Arial" w:hAnsi="Arial" w:cs="Arial"/>
          <w:sz w:val="24"/>
          <w:szCs w:val="24"/>
        </w:rPr>
        <w:t xml:space="preserve">, and should have concluded that the sanction provided </w:t>
      </w:r>
      <w:r>
        <w:rPr>
          <w:rFonts w:ascii="Arial" w:hAnsi="Arial" w:cs="Arial"/>
          <w:sz w:val="24"/>
          <w:szCs w:val="24"/>
        </w:rPr>
        <w:lastRenderedPageBreak/>
        <w:t>for in s 52(6) becomes operative, resulting in the fact that the respondents were not entitled to receive notice of the intended applica</w:t>
      </w:r>
      <w:r w:rsidR="007B620C">
        <w:rPr>
          <w:rFonts w:ascii="Arial" w:hAnsi="Arial" w:cs="Arial"/>
          <w:sz w:val="24"/>
          <w:szCs w:val="24"/>
        </w:rPr>
        <w:t xml:space="preserve">tion for forfeiture of property and therefore the issues </w:t>
      </w:r>
      <w:r w:rsidR="00DE04EF">
        <w:rPr>
          <w:rFonts w:ascii="Arial" w:hAnsi="Arial" w:cs="Arial"/>
          <w:sz w:val="24"/>
          <w:szCs w:val="24"/>
        </w:rPr>
        <w:t>regarding</w:t>
      </w:r>
      <w:r w:rsidR="007B620C">
        <w:rPr>
          <w:rFonts w:ascii="Arial" w:hAnsi="Arial" w:cs="Arial"/>
          <w:sz w:val="24"/>
          <w:szCs w:val="24"/>
        </w:rPr>
        <w:t xml:space="preserve"> service or lack thereof and lack of a chosen address did not arise.</w:t>
      </w:r>
    </w:p>
    <w:p w:rsidR="00B91893" w:rsidRDefault="00B91893" w:rsidP="00206583">
      <w:pPr>
        <w:pStyle w:val="ListParagraph"/>
        <w:spacing w:after="0" w:line="480" w:lineRule="auto"/>
        <w:rPr>
          <w:rFonts w:ascii="Arial" w:hAnsi="Arial" w:cs="Arial"/>
          <w:sz w:val="24"/>
          <w:szCs w:val="24"/>
        </w:rPr>
      </w:pPr>
    </w:p>
    <w:p w:rsidR="00B91893" w:rsidRDefault="00B91893" w:rsidP="0020658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it was common cause that the forfeiture application lodged on 9 June 2017 was filed on the last day of the 120 day period of validity of the preservation order and </w:t>
      </w:r>
      <w:r w:rsidR="0004573C">
        <w:rPr>
          <w:rFonts w:ascii="Arial" w:hAnsi="Arial" w:cs="Arial"/>
          <w:sz w:val="24"/>
          <w:szCs w:val="24"/>
        </w:rPr>
        <w:t xml:space="preserve">as there was </w:t>
      </w:r>
      <w:r>
        <w:rPr>
          <w:rFonts w:ascii="Arial" w:hAnsi="Arial" w:cs="Arial"/>
          <w:sz w:val="24"/>
          <w:szCs w:val="24"/>
        </w:rPr>
        <w:t>no need for service on any one of the forfeiture order</w:t>
      </w:r>
      <w:r w:rsidR="000D103C">
        <w:rPr>
          <w:rFonts w:ascii="Arial" w:hAnsi="Arial" w:cs="Arial"/>
          <w:sz w:val="24"/>
          <w:szCs w:val="24"/>
        </w:rPr>
        <w:t>,</w:t>
      </w:r>
      <w:r>
        <w:rPr>
          <w:rFonts w:ascii="Arial" w:hAnsi="Arial" w:cs="Arial"/>
          <w:sz w:val="24"/>
          <w:szCs w:val="24"/>
        </w:rPr>
        <w:t xml:space="preserve"> </w:t>
      </w:r>
      <w:r w:rsidR="0004573C">
        <w:rPr>
          <w:rFonts w:ascii="Arial" w:hAnsi="Arial" w:cs="Arial"/>
          <w:sz w:val="24"/>
          <w:szCs w:val="24"/>
        </w:rPr>
        <w:t xml:space="preserve">it </w:t>
      </w:r>
      <w:r>
        <w:rPr>
          <w:rFonts w:ascii="Arial" w:hAnsi="Arial" w:cs="Arial"/>
          <w:sz w:val="24"/>
          <w:szCs w:val="24"/>
        </w:rPr>
        <w:t xml:space="preserve">was filed timeously. It is not necessary in these circumstances to decide whether service on a respondent is necessary to render a forfeiture application pending. As this was in essence, an </w:t>
      </w:r>
      <w:r w:rsidRPr="0041337D">
        <w:rPr>
          <w:rFonts w:ascii="Arial" w:hAnsi="Arial" w:cs="Arial"/>
          <w:i/>
          <w:sz w:val="24"/>
          <w:szCs w:val="24"/>
        </w:rPr>
        <w:t>ex parte</w:t>
      </w:r>
      <w:r>
        <w:rPr>
          <w:rFonts w:ascii="Arial" w:hAnsi="Arial" w:cs="Arial"/>
          <w:sz w:val="24"/>
          <w:szCs w:val="24"/>
        </w:rPr>
        <w:t xml:space="preserve"> application</w:t>
      </w:r>
      <w:r w:rsidR="00A005DD">
        <w:rPr>
          <w:rFonts w:ascii="Arial" w:hAnsi="Arial" w:cs="Arial"/>
          <w:sz w:val="24"/>
          <w:szCs w:val="24"/>
        </w:rPr>
        <w:t xml:space="preserve">, it became pending from the time it was </w:t>
      </w:r>
      <w:r w:rsidR="00272717">
        <w:rPr>
          <w:rFonts w:ascii="Arial" w:hAnsi="Arial" w:cs="Arial"/>
          <w:sz w:val="24"/>
          <w:szCs w:val="24"/>
        </w:rPr>
        <w:t>lodged with the r</w:t>
      </w:r>
      <w:r>
        <w:rPr>
          <w:rFonts w:ascii="Arial" w:hAnsi="Arial" w:cs="Arial"/>
          <w:sz w:val="24"/>
          <w:szCs w:val="24"/>
        </w:rPr>
        <w:t>egistrar of the High Court.</w:t>
      </w:r>
    </w:p>
    <w:p w:rsidR="00F83F7E" w:rsidRDefault="00F83F7E" w:rsidP="006A57FB">
      <w:pPr>
        <w:pStyle w:val="ListParagraph"/>
        <w:spacing w:after="0" w:line="480" w:lineRule="auto"/>
        <w:rPr>
          <w:rFonts w:ascii="Arial" w:hAnsi="Arial" w:cs="Arial"/>
          <w:sz w:val="24"/>
          <w:szCs w:val="24"/>
        </w:rPr>
      </w:pPr>
    </w:p>
    <w:p w:rsidR="00F83F7E" w:rsidRDefault="00F83F7E" w:rsidP="006A57F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 the appeal should succeed.</w:t>
      </w:r>
    </w:p>
    <w:p w:rsidR="004350A3" w:rsidRDefault="004350A3" w:rsidP="006A57FB">
      <w:pPr>
        <w:pStyle w:val="ListParagraph"/>
        <w:spacing w:after="0" w:line="480" w:lineRule="auto"/>
        <w:rPr>
          <w:rFonts w:ascii="Arial" w:hAnsi="Arial" w:cs="Arial"/>
          <w:sz w:val="24"/>
          <w:szCs w:val="24"/>
        </w:rPr>
      </w:pPr>
    </w:p>
    <w:p w:rsidR="004350A3" w:rsidRDefault="004350A3" w:rsidP="006A57F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following order is made:</w:t>
      </w:r>
    </w:p>
    <w:p w:rsidR="004350A3" w:rsidRDefault="004350A3" w:rsidP="006A57FB">
      <w:pPr>
        <w:pStyle w:val="ListParagraph"/>
        <w:spacing w:after="0" w:line="480" w:lineRule="auto"/>
        <w:rPr>
          <w:rFonts w:ascii="Arial" w:hAnsi="Arial" w:cs="Arial"/>
          <w:sz w:val="24"/>
          <w:szCs w:val="24"/>
        </w:rPr>
      </w:pPr>
    </w:p>
    <w:p w:rsidR="004350A3" w:rsidRDefault="0041337D" w:rsidP="006A57FB">
      <w:pPr>
        <w:pStyle w:val="NoSpacing"/>
        <w:numPr>
          <w:ilvl w:val="0"/>
          <w:numId w:val="12"/>
        </w:numPr>
        <w:spacing w:line="480" w:lineRule="auto"/>
        <w:ind w:left="1418" w:hanging="698"/>
        <w:jc w:val="both"/>
        <w:rPr>
          <w:rFonts w:ascii="Arial" w:hAnsi="Arial" w:cs="Arial"/>
          <w:sz w:val="24"/>
          <w:szCs w:val="24"/>
        </w:rPr>
      </w:pPr>
      <w:r>
        <w:rPr>
          <w:rFonts w:ascii="Arial" w:hAnsi="Arial" w:cs="Arial"/>
          <w:sz w:val="24"/>
          <w:szCs w:val="24"/>
        </w:rPr>
        <w:t>The appeal succeeds.</w:t>
      </w:r>
    </w:p>
    <w:p w:rsidR="0041337D" w:rsidRDefault="0041337D" w:rsidP="0041337D">
      <w:pPr>
        <w:pStyle w:val="NoSpacing"/>
        <w:spacing w:line="480" w:lineRule="auto"/>
        <w:ind w:left="1418"/>
        <w:jc w:val="both"/>
        <w:rPr>
          <w:rFonts w:ascii="Arial" w:hAnsi="Arial" w:cs="Arial"/>
          <w:sz w:val="24"/>
          <w:szCs w:val="24"/>
        </w:rPr>
      </w:pPr>
    </w:p>
    <w:p w:rsidR="0041337D" w:rsidRDefault="0041337D" w:rsidP="0041337D">
      <w:pPr>
        <w:pStyle w:val="NoSpacing"/>
        <w:numPr>
          <w:ilvl w:val="0"/>
          <w:numId w:val="12"/>
        </w:numPr>
        <w:spacing w:line="480" w:lineRule="auto"/>
        <w:ind w:left="1418" w:hanging="698"/>
        <w:jc w:val="both"/>
        <w:rPr>
          <w:rFonts w:ascii="Arial" w:hAnsi="Arial" w:cs="Arial"/>
          <w:sz w:val="24"/>
          <w:szCs w:val="24"/>
        </w:rPr>
      </w:pPr>
      <w:r>
        <w:rPr>
          <w:rFonts w:ascii="Arial" w:hAnsi="Arial" w:cs="Arial"/>
          <w:sz w:val="24"/>
          <w:szCs w:val="24"/>
        </w:rPr>
        <w:t xml:space="preserve">The order made by the court </w:t>
      </w:r>
      <w:r w:rsidRPr="00174B0F">
        <w:rPr>
          <w:rFonts w:ascii="Arial" w:hAnsi="Arial" w:cs="Arial"/>
          <w:i/>
          <w:sz w:val="24"/>
          <w:szCs w:val="24"/>
        </w:rPr>
        <w:t>a quo</w:t>
      </w:r>
      <w:r>
        <w:rPr>
          <w:rFonts w:ascii="Arial" w:hAnsi="Arial" w:cs="Arial"/>
          <w:sz w:val="24"/>
          <w:szCs w:val="24"/>
        </w:rPr>
        <w:t xml:space="preserve"> is set aside and substituted with the following order:</w:t>
      </w:r>
    </w:p>
    <w:p w:rsidR="005D766F" w:rsidRDefault="005D766F" w:rsidP="005D766F">
      <w:pPr>
        <w:pStyle w:val="NoSpacing"/>
        <w:spacing w:line="480" w:lineRule="auto"/>
        <w:ind w:left="1418"/>
        <w:jc w:val="both"/>
        <w:rPr>
          <w:rFonts w:ascii="Arial" w:hAnsi="Arial" w:cs="Arial"/>
          <w:sz w:val="24"/>
          <w:szCs w:val="24"/>
        </w:rPr>
      </w:pPr>
    </w:p>
    <w:p w:rsidR="005D766F" w:rsidRPr="005C7CC5" w:rsidRDefault="005D766F" w:rsidP="005D766F">
      <w:pPr>
        <w:pStyle w:val="NoSpacing"/>
        <w:numPr>
          <w:ilvl w:val="0"/>
          <w:numId w:val="16"/>
        </w:numPr>
        <w:spacing w:line="480" w:lineRule="auto"/>
        <w:jc w:val="both"/>
        <w:rPr>
          <w:rFonts w:ascii="Arial" w:hAnsi="Arial" w:cs="Arial"/>
          <w:sz w:val="24"/>
          <w:szCs w:val="24"/>
        </w:rPr>
      </w:pPr>
      <w:r w:rsidRPr="006A57FB">
        <w:rPr>
          <w:rFonts w:ascii="Arial" w:hAnsi="Arial" w:cs="Arial"/>
          <w:sz w:val="24"/>
          <w:szCs w:val="24"/>
        </w:rPr>
        <w:t>The application by the first and second respondents dated 3 July 2017 is dismissed with costs.</w:t>
      </w:r>
    </w:p>
    <w:p w:rsidR="005D766F" w:rsidRDefault="005D766F" w:rsidP="005D766F">
      <w:pPr>
        <w:pStyle w:val="NoSpacing"/>
        <w:spacing w:line="480" w:lineRule="auto"/>
        <w:ind w:left="1418"/>
        <w:jc w:val="both"/>
        <w:rPr>
          <w:rFonts w:ascii="Arial" w:hAnsi="Arial" w:cs="Arial"/>
          <w:sz w:val="24"/>
          <w:szCs w:val="24"/>
        </w:rPr>
      </w:pPr>
    </w:p>
    <w:p w:rsidR="0041337D" w:rsidRPr="005D766F" w:rsidRDefault="005D766F" w:rsidP="0041337D">
      <w:pPr>
        <w:pStyle w:val="NoSpacing"/>
        <w:numPr>
          <w:ilvl w:val="0"/>
          <w:numId w:val="12"/>
        </w:numPr>
        <w:spacing w:line="480" w:lineRule="auto"/>
        <w:ind w:left="1418" w:hanging="698"/>
        <w:jc w:val="both"/>
        <w:rPr>
          <w:rFonts w:ascii="Arial" w:hAnsi="Arial" w:cs="Arial"/>
          <w:sz w:val="24"/>
          <w:szCs w:val="24"/>
        </w:rPr>
      </w:pPr>
      <w:r>
        <w:rPr>
          <w:rFonts w:ascii="Arial" w:hAnsi="Arial" w:cs="Arial"/>
          <w:sz w:val="24"/>
          <w:szCs w:val="24"/>
        </w:rPr>
        <w:t>The respondents are liable for the appellant’s costs in the appeal.</w:t>
      </w:r>
    </w:p>
    <w:p w:rsidR="00A27953" w:rsidRPr="00CB54C2" w:rsidRDefault="00A27953" w:rsidP="00A27953">
      <w:pPr>
        <w:pStyle w:val="NoSpacing"/>
        <w:rPr>
          <w:rFonts w:ascii="Arial" w:hAnsi="Arial" w:cs="Arial"/>
          <w:b/>
          <w:sz w:val="24"/>
          <w:szCs w:val="24"/>
        </w:rPr>
      </w:pPr>
    </w:p>
    <w:p w:rsidR="00A27953" w:rsidRPr="00CB54C2" w:rsidRDefault="00A27953" w:rsidP="00A27953">
      <w:pPr>
        <w:pStyle w:val="NoSpacing"/>
        <w:rPr>
          <w:rFonts w:ascii="Arial" w:hAnsi="Arial" w:cs="Arial"/>
          <w:b/>
          <w:sz w:val="24"/>
          <w:szCs w:val="24"/>
        </w:rPr>
      </w:pPr>
    </w:p>
    <w:p w:rsidR="007B620C" w:rsidRDefault="007B620C" w:rsidP="00A27953">
      <w:pPr>
        <w:pStyle w:val="NoSpacing"/>
        <w:rPr>
          <w:rFonts w:ascii="Arial" w:hAnsi="Arial" w:cs="Arial"/>
          <w:b/>
          <w:sz w:val="24"/>
          <w:szCs w:val="24"/>
        </w:rPr>
      </w:pPr>
    </w:p>
    <w:p w:rsidR="00942999" w:rsidRDefault="00942999" w:rsidP="00A27953">
      <w:pPr>
        <w:pStyle w:val="NoSpacing"/>
        <w:rPr>
          <w:rFonts w:ascii="Arial" w:hAnsi="Arial" w:cs="Arial"/>
          <w:b/>
          <w:sz w:val="24"/>
          <w:szCs w:val="24"/>
        </w:rPr>
      </w:pPr>
    </w:p>
    <w:p w:rsidR="00942999" w:rsidRDefault="00942999" w:rsidP="00A27953">
      <w:pPr>
        <w:pStyle w:val="NoSpacing"/>
        <w:rPr>
          <w:rFonts w:ascii="Arial" w:hAnsi="Arial" w:cs="Arial"/>
          <w:b/>
          <w:sz w:val="24"/>
          <w:szCs w:val="24"/>
        </w:rPr>
      </w:pPr>
    </w:p>
    <w:p w:rsidR="005F4134" w:rsidRDefault="005F4134" w:rsidP="00A27953">
      <w:pPr>
        <w:pStyle w:val="NoSpacing"/>
        <w:rPr>
          <w:rFonts w:ascii="Arial" w:hAnsi="Arial" w:cs="Arial"/>
          <w:b/>
          <w:sz w:val="24"/>
          <w:szCs w:val="24"/>
        </w:rPr>
      </w:pPr>
    </w:p>
    <w:p w:rsidR="005F4134" w:rsidRPr="00CB54C2" w:rsidRDefault="005F4134" w:rsidP="00A27953">
      <w:pPr>
        <w:pStyle w:val="NoSpacing"/>
        <w:rPr>
          <w:rFonts w:ascii="Arial" w:hAnsi="Arial" w:cs="Arial"/>
          <w:b/>
          <w:sz w:val="24"/>
          <w:szCs w:val="24"/>
        </w:rPr>
      </w:pPr>
    </w:p>
    <w:p w:rsidR="00A27953" w:rsidRPr="00CB54C2" w:rsidRDefault="00A27953" w:rsidP="00A27953">
      <w:pPr>
        <w:spacing w:after="0" w:line="276" w:lineRule="auto"/>
        <w:jc w:val="both"/>
        <w:rPr>
          <w:rFonts w:ascii="Arial" w:hAnsi="Arial" w:cs="Arial"/>
          <w:b/>
          <w:sz w:val="24"/>
          <w:szCs w:val="24"/>
        </w:rPr>
      </w:pPr>
      <w:r w:rsidRPr="00CB54C2">
        <w:rPr>
          <w:rFonts w:ascii="Arial" w:hAnsi="Arial" w:cs="Arial"/>
          <w:b/>
          <w:sz w:val="24"/>
          <w:szCs w:val="24"/>
        </w:rPr>
        <w:t>__________________</w:t>
      </w:r>
    </w:p>
    <w:p w:rsidR="00A27953" w:rsidRPr="00CB54C2" w:rsidRDefault="00A27953" w:rsidP="00A27953">
      <w:pPr>
        <w:spacing w:after="0" w:line="240" w:lineRule="auto"/>
        <w:jc w:val="both"/>
        <w:rPr>
          <w:rFonts w:ascii="Arial" w:hAnsi="Arial" w:cs="Arial"/>
          <w:b/>
          <w:sz w:val="24"/>
          <w:szCs w:val="24"/>
        </w:rPr>
      </w:pPr>
      <w:r w:rsidRPr="00CB54C2">
        <w:rPr>
          <w:rFonts w:ascii="Arial" w:hAnsi="Arial" w:cs="Arial"/>
          <w:b/>
          <w:sz w:val="24"/>
          <w:szCs w:val="24"/>
        </w:rPr>
        <w:t>HOFF JA</w:t>
      </w:r>
    </w:p>
    <w:p w:rsidR="007B620C" w:rsidRDefault="007B620C" w:rsidP="00A27953">
      <w:pPr>
        <w:spacing w:after="0" w:line="240" w:lineRule="auto"/>
        <w:jc w:val="both"/>
        <w:rPr>
          <w:rFonts w:ascii="Arial" w:hAnsi="Arial" w:cs="Arial"/>
          <w:b/>
          <w:sz w:val="24"/>
          <w:szCs w:val="24"/>
        </w:rPr>
      </w:pPr>
    </w:p>
    <w:p w:rsidR="007B620C" w:rsidRDefault="007B620C" w:rsidP="00A27953">
      <w:pPr>
        <w:spacing w:after="0" w:line="240" w:lineRule="auto"/>
        <w:jc w:val="both"/>
        <w:rPr>
          <w:rFonts w:ascii="Arial" w:hAnsi="Arial" w:cs="Arial"/>
          <w:b/>
          <w:sz w:val="24"/>
          <w:szCs w:val="24"/>
        </w:rPr>
      </w:pPr>
    </w:p>
    <w:p w:rsidR="007B620C" w:rsidRDefault="007B620C" w:rsidP="00A27953">
      <w:pPr>
        <w:spacing w:after="0" w:line="240" w:lineRule="auto"/>
        <w:jc w:val="both"/>
        <w:rPr>
          <w:rFonts w:ascii="Arial" w:hAnsi="Arial" w:cs="Arial"/>
          <w:b/>
          <w:sz w:val="24"/>
          <w:szCs w:val="24"/>
        </w:rPr>
      </w:pPr>
    </w:p>
    <w:p w:rsidR="005C7CC5" w:rsidRDefault="005C7CC5" w:rsidP="00A27953">
      <w:pPr>
        <w:spacing w:after="0" w:line="240" w:lineRule="auto"/>
        <w:jc w:val="both"/>
        <w:rPr>
          <w:rFonts w:ascii="Arial" w:hAnsi="Arial" w:cs="Arial"/>
          <w:b/>
          <w:sz w:val="24"/>
          <w:szCs w:val="24"/>
        </w:rPr>
      </w:pPr>
    </w:p>
    <w:p w:rsidR="005D766F" w:rsidRDefault="005D766F" w:rsidP="00A27953">
      <w:pPr>
        <w:spacing w:after="0" w:line="240" w:lineRule="auto"/>
        <w:jc w:val="both"/>
        <w:rPr>
          <w:rFonts w:ascii="Arial" w:hAnsi="Arial" w:cs="Arial"/>
          <w:b/>
          <w:sz w:val="24"/>
          <w:szCs w:val="24"/>
        </w:rPr>
      </w:pPr>
    </w:p>
    <w:p w:rsidR="00942999" w:rsidRPr="00CB54C2" w:rsidRDefault="00942999" w:rsidP="00A27953">
      <w:pPr>
        <w:spacing w:after="0" w:line="240" w:lineRule="auto"/>
        <w:jc w:val="both"/>
        <w:rPr>
          <w:rFonts w:ascii="Arial" w:hAnsi="Arial" w:cs="Arial"/>
          <w:b/>
          <w:sz w:val="24"/>
          <w:szCs w:val="24"/>
        </w:rPr>
      </w:pPr>
    </w:p>
    <w:p w:rsidR="00A27953" w:rsidRPr="00CB54C2" w:rsidRDefault="00A27953" w:rsidP="00A27953">
      <w:pPr>
        <w:spacing w:after="0" w:line="240" w:lineRule="auto"/>
        <w:jc w:val="both"/>
        <w:rPr>
          <w:rFonts w:ascii="Arial" w:hAnsi="Arial" w:cs="Arial"/>
          <w:b/>
          <w:sz w:val="24"/>
          <w:szCs w:val="24"/>
        </w:rPr>
      </w:pPr>
      <w:r w:rsidRPr="00CB54C2">
        <w:rPr>
          <w:rFonts w:ascii="Arial" w:hAnsi="Arial" w:cs="Arial"/>
          <w:b/>
          <w:sz w:val="24"/>
          <w:szCs w:val="24"/>
        </w:rPr>
        <w:t>__________________</w:t>
      </w:r>
    </w:p>
    <w:p w:rsidR="00A27953" w:rsidRPr="00CB54C2" w:rsidRDefault="00A27953" w:rsidP="00A27953">
      <w:pPr>
        <w:spacing w:after="0" w:line="240" w:lineRule="auto"/>
        <w:jc w:val="both"/>
        <w:rPr>
          <w:rFonts w:ascii="Arial" w:hAnsi="Arial" w:cs="Arial"/>
          <w:b/>
          <w:sz w:val="24"/>
          <w:szCs w:val="24"/>
        </w:rPr>
      </w:pPr>
      <w:r w:rsidRPr="00CB54C2">
        <w:rPr>
          <w:rFonts w:ascii="Arial" w:hAnsi="Arial" w:cs="Arial"/>
          <w:b/>
          <w:sz w:val="24"/>
          <w:szCs w:val="24"/>
        </w:rPr>
        <w:t>DAMASEB DCJ</w:t>
      </w:r>
    </w:p>
    <w:p w:rsidR="007B620C" w:rsidRDefault="007B620C" w:rsidP="00A27953">
      <w:pPr>
        <w:spacing w:after="0" w:line="240" w:lineRule="auto"/>
        <w:jc w:val="both"/>
        <w:rPr>
          <w:rFonts w:ascii="Arial" w:hAnsi="Arial" w:cs="Arial"/>
          <w:b/>
          <w:sz w:val="24"/>
          <w:szCs w:val="24"/>
        </w:rPr>
      </w:pPr>
    </w:p>
    <w:p w:rsidR="007B620C" w:rsidRDefault="007B620C" w:rsidP="00A27953">
      <w:pPr>
        <w:spacing w:after="0" w:line="240" w:lineRule="auto"/>
        <w:jc w:val="both"/>
        <w:rPr>
          <w:rFonts w:ascii="Arial" w:hAnsi="Arial" w:cs="Arial"/>
          <w:b/>
          <w:sz w:val="24"/>
          <w:szCs w:val="24"/>
        </w:rPr>
      </w:pPr>
    </w:p>
    <w:p w:rsidR="004474DD" w:rsidRDefault="004474DD" w:rsidP="00A27953">
      <w:pPr>
        <w:spacing w:after="0" w:line="240" w:lineRule="auto"/>
        <w:jc w:val="both"/>
        <w:rPr>
          <w:rFonts w:ascii="Arial" w:hAnsi="Arial" w:cs="Arial"/>
          <w:b/>
          <w:sz w:val="24"/>
          <w:szCs w:val="24"/>
        </w:rPr>
      </w:pPr>
    </w:p>
    <w:p w:rsidR="006F41F6" w:rsidRDefault="006F41F6" w:rsidP="00A27953">
      <w:pPr>
        <w:spacing w:after="0" w:line="240" w:lineRule="auto"/>
        <w:jc w:val="both"/>
        <w:rPr>
          <w:rFonts w:ascii="Arial" w:hAnsi="Arial" w:cs="Arial"/>
          <w:b/>
          <w:sz w:val="24"/>
          <w:szCs w:val="24"/>
        </w:rPr>
      </w:pPr>
    </w:p>
    <w:p w:rsidR="005D766F" w:rsidRDefault="005D766F" w:rsidP="00A27953">
      <w:pPr>
        <w:spacing w:after="0" w:line="240" w:lineRule="auto"/>
        <w:jc w:val="both"/>
        <w:rPr>
          <w:rFonts w:ascii="Arial" w:hAnsi="Arial" w:cs="Arial"/>
          <w:b/>
          <w:sz w:val="24"/>
          <w:szCs w:val="24"/>
        </w:rPr>
      </w:pPr>
    </w:p>
    <w:p w:rsidR="005D766F" w:rsidRPr="00CB54C2" w:rsidRDefault="005D766F" w:rsidP="00A27953">
      <w:pPr>
        <w:spacing w:after="0" w:line="240" w:lineRule="auto"/>
        <w:jc w:val="both"/>
        <w:rPr>
          <w:rFonts w:ascii="Arial" w:hAnsi="Arial" w:cs="Arial"/>
          <w:b/>
          <w:sz w:val="24"/>
          <w:szCs w:val="24"/>
        </w:rPr>
      </w:pPr>
    </w:p>
    <w:p w:rsidR="00A27953" w:rsidRPr="00CB54C2" w:rsidRDefault="00A27953" w:rsidP="00A27953">
      <w:pPr>
        <w:spacing w:after="0" w:line="240" w:lineRule="auto"/>
        <w:jc w:val="both"/>
        <w:rPr>
          <w:rFonts w:ascii="Arial" w:hAnsi="Arial" w:cs="Arial"/>
          <w:b/>
          <w:sz w:val="24"/>
          <w:szCs w:val="24"/>
        </w:rPr>
      </w:pPr>
      <w:r w:rsidRPr="00CB54C2">
        <w:rPr>
          <w:rFonts w:ascii="Arial" w:hAnsi="Arial" w:cs="Arial"/>
          <w:b/>
          <w:sz w:val="24"/>
          <w:szCs w:val="24"/>
        </w:rPr>
        <w:t>__________________</w:t>
      </w:r>
    </w:p>
    <w:p w:rsidR="00A27953" w:rsidRPr="00CB54C2" w:rsidRDefault="00A27953" w:rsidP="00A27953">
      <w:pPr>
        <w:spacing w:after="0" w:line="240" w:lineRule="auto"/>
        <w:jc w:val="both"/>
        <w:rPr>
          <w:rFonts w:ascii="Arial" w:hAnsi="Arial" w:cs="Arial"/>
          <w:b/>
          <w:sz w:val="24"/>
          <w:szCs w:val="24"/>
        </w:rPr>
      </w:pPr>
      <w:r w:rsidRPr="00CB54C2">
        <w:rPr>
          <w:rFonts w:ascii="Arial" w:hAnsi="Arial" w:cs="Arial"/>
          <w:b/>
          <w:sz w:val="24"/>
          <w:szCs w:val="24"/>
        </w:rPr>
        <w:t>FRANK AJA</w:t>
      </w:r>
    </w:p>
    <w:p w:rsidR="00174B0F" w:rsidRDefault="00174B0F" w:rsidP="00266B30">
      <w:pPr>
        <w:pStyle w:val="BodyText"/>
        <w:autoSpaceDE w:val="0"/>
        <w:autoSpaceDN w:val="0"/>
        <w:adjustRightInd w:val="0"/>
        <w:spacing w:line="480" w:lineRule="auto"/>
        <w:jc w:val="both"/>
        <w:rPr>
          <w:rFonts w:ascii="Arial" w:hAnsi="Arial" w:cs="Arial"/>
        </w:rPr>
      </w:pPr>
    </w:p>
    <w:p w:rsidR="00DE04EF" w:rsidRDefault="00DE04EF">
      <w:pPr>
        <w:rPr>
          <w:rFonts w:ascii="Arial" w:eastAsia="Times New Roman" w:hAnsi="Arial" w:cs="Arial"/>
          <w:sz w:val="24"/>
          <w:szCs w:val="24"/>
          <w:lang w:val="en-GB"/>
        </w:rPr>
      </w:pPr>
      <w:r>
        <w:rPr>
          <w:rFonts w:ascii="Arial" w:hAnsi="Arial" w:cs="Arial"/>
        </w:rPr>
        <w:br w:type="page"/>
      </w:r>
    </w:p>
    <w:p w:rsidR="00B83187" w:rsidRDefault="00B83187" w:rsidP="00266B30">
      <w:pPr>
        <w:pStyle w:val="BodyText"/>
        <w:autoSpaceDE w:val="0"/>
        <w:autoSpaceDN w:val="0"/>
        <w:adjustRightInd w:val="0"/>
        <w:spacing w:line="480" w:lineRule="auto"/>
        <w:jc w:val="both"/>
        <w:rPr>
          <w:rFonts w:ascii="Arial" w:hAnsi="Arial" w:cs="Arial"/>
        </w:rPr>
      </w:pPr>
    </w:p>
    <w:p w:rsidR="00266B30" w:rsidRPr="00CB54C2" w:rsidRDefault="00266B30" w:rsidP="00266B30">
      <w:pPr>
        <w:pStyle w:val="BodyText"/>
        <w:autoSpaceDE w:val="0"/>
        <w:autoSpaceDN w:val="0"/>
        <w:adjustRightInd w:val="0"/>
        <w:spacing w:line="480" w:lineRule="auto"/>
        <w:jc w:val="both"/>
        <w:rPr>
          <w:rFonts w:ascii="Arial" w:hAnsi="Arial" w:cs="Arial"/>
        </w:rPr>
      </w:pPr>
      <w:r w:rsidRPr="00CB54C2">
        <w:rPr>
          <w:rFonts w:ascii="Arial" w:hAnsi="Arial" w:cs="Arial"/>
        </w:rPr>
        <w:t>APPEARANCES</w:t>
      </w:r>
    </w:p>
    <w:p w:rsidR="00266B30" w:rsidRPr="00CB54C2" w:rsidRDefault="00266B30" w:rsidP="00266B30">
      <w:pPr>
        <w:pStyle w:val="BodyText"/>
        <w:autoSpaceDE w:val="0"/>
        <w:autoSpaceDN w:val="0"/>
        <w:adjustRightInd w:val="0"/>
        <w:spacing w:line="480" w:lineRule="auto"/>
        <w:jc w:val="both"/>
        <w:rPr>
          <w:rFonts w:ascii="Arial" w:hAnsi="Arial" w:cs="Arial"/>
        </w:rPr>
      </w:pPr>
    </w:p>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56"/>
      </w:tblGrid>
      <w:tr w:rsidR="00224747" w:rsidRPr="00CB54C2" w:rsidTr="00DE04EF">
        <w:tc>
          <w:tcPr>
            <w:tcW w:w="4820" w:type="dxa"/>
          </w:tcPr>
          <w:p w:rsidR="00224747" w:rsidRPr="00CB54C2" w:rsidRDefault="00224747" w:rsidP="00224747">
            <w:pPr>
              <w:pStyle w:val="BodyText"/>
              <w:autoSpaceDE w:val="0"/>
              <w:autoSpaceDN w:val="0"/>
              <w:adjustRightInd w:val="0"/>
              <w:spacing w:line="480" w:lineRule="auto"/>
              <w:ind w:left="-113"/>
              <w:jc w:val="both"/>
              <w:rPr>
                <w:rFonts w:ascii="Arial" w:hAnsi="Arial" w:cs="Arial"/>
              </w:rPr>
            </w:pPr>
            <w:r w:rsidRPr="00CB54C2">
              <w:rPr>
                <w:rFonts w:ascii="Arial" w:hAnsi="Arial" w:cs="Arial"/>
              </w:rPr>
              <w:t>APPELLANT:</w:t>
            </w:r>
          </w:p>
        </w:tc>
        <w:tc>
          <w:tcPr>
            <w:tcW w:w="4556" w:type="dxa"/>
          </w:tcPr>
          <w:p w:rsidR="00224747" w:rsidRPr="00CB54C2" w:rsidRDefault="00224747" w:rsidP="00DE04EF">
            <w:pPr>
              <w:pStyle w:val="BodyText"/>
              <w:autoSpaceDE w:val="0"/>
              <w:autoSpaceDN w:val="0"/>
              <w:adjustRightInd w:val="0"/>
              <w:spacing w:line="480" w:lineRule="auto"/>
              <w:jc w:val="left"/>
              <w:rPr>
                <w:rFonts w:ascii="Arial" w:hAnsi="Arial" w:cs="Arial"/>
              </w:rPr>
            </w:pPr>
            <w:r w:rsidRPr="00CB54C2">
              <w:rPr>
                <w:rFonts w:ascii="Arial" w:hAnsi="Arial" w:cs="Arial"/>
              </w:rPr>
              <w:t>M Boonzaier (with her L Angula)</w:t>
            </w:r>
          </w:p>
        </w:tc>
      </w:tr>
      <w:tr w:rsidR="00224747" w:rsidRPr="00CB54C2" w:rsidTr="00DE04EF">
        <w:tc>
          <w:tcPr>
            <w:tcW w:w="4820" w:type="dxa"/>
          </w:tcPr>
          <w:p w:rsidR="00224747" w:rsidRPr="00CB54C2" w:rsidRDefault="00224747" w:rsidP="00224747">
            <w:pPr>
              <w:pStyle w:val="BodyText"/>
              <w:autoSpaceDE w:val="0"/>
              <w:autoSpaceDN w:val="0"/>
              <w:adjustRightInd w:val="0"/>
              <w:spacing w:line="480" w:lineRule="auto"/>
              <w:ind w:left="-113"/>
              <w:jc w:val="both"/>
              <w:rPr>
                <w:rFonts w:ascii="Arial" w:hAnsi="Arial" w:cs="Arial"/>
              </w:rPr>
            </w:pPr>
          </w:p>
        </w:tc>
        <w:tc>
          <w:tcPr>
            <w:tcW w:w="4556" w:type="dxa"/>
          </w:tcPr>
          <w:p w:rsidR="00224747" w:rsidRPr="00CB54C2" w:rsidRDefault="00224747" w:rsidP="00DE04EF">
            <w:pPr>
              <w:pStyle w:val="BodyText"/>
              <w:autoSpaceDE w:val="0"/>
              <w:autoSpaceDN w:val="0"/>
              <w:adjustRightInd w:val="0"/>
              <w:spacing w:line="480" w:lineRule="auto"/>
              <w:jc w:val="left"/>
              <w:rPr>
                <w:rFonts w:ascii="Arial" w:hAnsi="Arial" w:cs="Arial"/>
              </w:rPr>
            </w:pPr>
            <w:r w:rsidRPr="00CB54C2">
              <w:rPr>
                <w:rFonts w:ascii="Arial" w:hAnsi="Arial" w:cs="Arial"/>
              </w:rPr>
              <w:t>Of Government Attorney</w:t>
            </w:r>
          </w:p>
        </w:tc>
      </w:tr>
      <w:tr w:rsidR="00224747" w:rsidRPr="00CB54C2" w:rsidTr="00DE04EF">
        <w:tc>
          <w:tcPr>
            <w:tcW w:w="4820" w:type="dxa"/>
          </w:tcPr>
          <w:p w:rsidR="00224747" w:rsidRPr="00CB54C2" w:rsidRDefault="00224747" w:rsidP="00224747">
            <w:pPr>
              <w:pStyle w:val="BodyText"/>
              <w:autoSpaceDE w:val="0"/>
              <w:autoSpaceDN w:val="0"/>
              <w:adjustRightInd w:val="0"/>
              <w:spacing w:line="480" w:lineRule="auto"/>
              <w:ind w:left="-113"/>
              <w:jc w:val="both"/>
              <w:rPr>
                <w:rFonts w:ascii="Arial" w:hAnsi="Arial" w:cs="Arial"/>
              </w:rPr>
            </w:pPr>
          </w:p>
        </w:tc>
        <w:tc>
          <w:tcPr>
            <w:tcW w:w="4556" w:type="dxa"/>
          </w:tcPr>
          <w:p w:rsidR="00224747" w:rsidRPr="00CB54C2" w:rsidRDefault="00224747" w:rsidP="00224747">
            <w:pPr>
              <w:pStyle w:val="BodyText"/>
              <w:autoSpaceDE w:val="0"/>
              <w:autoSpaceDN w:val="0"/>
              <w:adjustRightInd w:val="0"/>
              <w:spacing w:line="480" w:lineRule="auto"/>
              <w:jc w:val="right"/>
              <w:rPr>
                <w:rFonts w:ascii="Arial" w:hAnsi="Arial" w:cs="Arial"/>
              </w:rPr>
            </w:pPr>
          </w:p>
        </w:tc>
      </w:tr>
      <w:tr w:rsidR="00224747" w:rsidRPr="00CB54C2" w:rsidTr="00DE04EF">
        <w:tc>
          <w:tcPr>
            <w:tcW w:w="4820" w:type="dxa"/>
          </w:tcPr>
          <w:p w:rsidR="00224747" w:rsidRPr="00CB54C2" w:rsidRDefault="00224747" w:rsidP="00224747">
            <w:pPr>
              <w:pStyle w:val="BodyText"/>
              <w:autoSpaceDE w:val="0"/>
              <w:autoSpaceDN w:val="0"/>
              <w:adjustRightInd w:val="0"/>
              <w:spacing w:line="480" w:lineRule="auto"/>
              <w:ind w:left="-113"/>
              <w:jc w:val="both"/>
              <w:rPr>
                <w:rFonts w:ascii="Arial" w:hAnsi="Arial" w:cs="Arial"/>
              </w:rPr>
            </w:pPr>
          </w:p>
        </w:tc>
        <w:tc>
          <w:tcPr>
            <w:tcW w:w="4556" w:type="dxa"/>
          </w:tcPr>
          <w:p w:rsidR="00224747" w:rsidRPr="00CB54C2" w:rsidRDefault="00224747" w:rsidP="00224747">
            <w:pPr>
              <w:pStyle w:val="BodyText"/>
              <w:autoSpaceDE w:val="0"/>
              <w:autoSpaceDN w:val="0"/>
              <w:adjustRightInd w:val="0"/>
              <w:spacing w:line="480" w:lineRule="auto"/>
              <w:jc w:val="both"/>
              <w:rPr>
                <w:rFonts w:ascii="Arial" w:hAnsi="Arial" w:cs="Arial"/>
              </w:rPr>
            </w:pPr>
          </w:p>
        </w:tc>
      </w:tr>
      <w:tr w:rsidR="00224747" w:rsidRPr="00CB54C2" w:rsidTr="00DE04EF">
        <w:tc>
          <w:tcPr>
            <w:tcW w:w="4820" w:type="dxa"/>
          </w:tcPr>
          <w:p w:rsidR="00224747" w:rsidRPr="00CB54C2" w:rsidRDefault="00F932B6" w:rsidP="00224747">
            <w:pPr>
              <w:pStyle w:val="BodyText"/>
              <w:autoSpaceDE w:val="0"/>
              <w:autoSpaceDN w:val="0"/>
              <w:adjustRightInd w:val="0"/>
              <w:spacing w:line="480" w:lineRule="auto"/>
              <w:ind w:left="-113"/>
              <w:jc w:val="both"/>
              <w:rPr>
                <w:rFonts w:ascii="Arial" w:hAnsi="Arial" w:cs="Arial"/>
              </w:rPr>
            </w:pPr>
            <w:r>
              <w:rPr>
                <w:rFonts w:ascii="Arial" w:hAnsi="Arial" w:cs="Arial"/>
              </w:rPr>
              <w:t xml:space="preserve">FIRST and SECOND </w:t>
            </w:r>
            <w:r w:rsidR="00224747" w:rsidRPr="00CB54C2">
              <w:rPr>
                <w:rFonts w:ascii="Arial" w:hAnsi="Arial" w:cs="Arial"/>
              </w:rPr>
              <w:t>RESPONDENTS:</w:t>
            </w:r>
          </w:p>
        </w:tc>
        <w:tc>
          <w:tcPr>
            <w:tcW w:w="4556" w:type="dxa"/>
          </w:tcPr>
          <w:p w:rsidR="00224747" w:rsidRPr="00CB54C2" w:rsidRDefault="00224747" w:rsidP="00DE04EF">
            <w:pPr>
              <w:pStyle w:val="BodyText"/>
              <w:autoSpaceDE w:val="0"/>
              <w:autoSpaceDN w:val="0"/>
              <w:adjustRightInd w:val="0"/>
              <w:spacing w:line="480" w:lineRule="auto"/>
              <w:jc w:val="left"/>
              <w:rPr>
                <w:rFonts w:ascii="Arial" w:hAnsi="Arial" w:cs="Arial"/>
              </w:rPr>
            </w:pPr>
            <w:r w:rsidRPr="00CB54C2">
              <w:rPr>
                <w:rFonts w:ascii="Arial" w:hAnsi="Arial" w:cs="Arial"/>
              </w:rPr>
              <w:t>S Namandje (with him S P K Amoomo)</w:t>
            </w:r>
          </w:p>
        </w:tc>
      </w:tr>
      <w:tr w:rsidR="00224747" w:rsidTr="00DE04EF">
        <w:tc>
          <w:tcPr>
            <w:tcW w:w="4820" w:type="dxa"/>
          </w:tcPr>
          <w:p w:rsidR="00224747" w:rsidRPr="00CB54C2" w:rsidRDefault="00224747" w:rsidP="00224747">
            <w:pPr>
              <w:pStyle w:val="BodyText"/>
              <w:autoSpaceDE w:val="0"/>
              <w:autoSpaceDN w:val="0"/>
              <w:adjustRightInd w:val="0"/>
              <w:spacing w:line="480" w:lineRule="auto"/>
              <w:ind w:left="-113"/>
              <w:jc w:val="both"/>
              <w:rPr>
                <w:rFonts w:ascii="Arial" w:hAnsi="Arial" w:cs="Arial"/>
              </w:rPr>
            </w:pPr>
          </w:p>
        </w:tc>
        <w:tc>
          <w:tcPr>
            <w:tcW w:w="4556" w:type="dxa"/>
          </w:tcPr>
          <w:p w:rsidR="00224747" w:rsidRDefault="00CB28F4" w:rsidP="00DE04EF">
            <w:pPr>
              <w:pStyle w:val="BodyText"/>
              <w:autoSpaceDE w:val="0"/>
              <w:autoSpaceDN w:val="0"/>
              <w:adjustRightInd w:val="0"/>
              <w:spacing w:line="480" w:lineRule="auto"/>
              <w:jc w:val="left"/>
              <w:rPr>
                <w:rFonts w:ascii="Arial" w:hAnsi="Arial" w:cs="Arial"/>
              </w:rPr>
            </w:pPr>
            <w:r w:rsidRPr="00CB54C2">
              <w:rPr>
                <w:rFonts w:ascii="Arial" w:hAnsi="Arial" w:cs="Arial"/>
              </w:rPr>
              <w:t>Of Sisa Namandje &amp; Co. Inc</w:t>
            </w:r>
            <w:r w:rsidR="00224747" w:rsidRPr="00CB54C2">
              <w:rPr>
                <w:rFonts w:ascii="Arial" w:hAnsi="Arial" w:cs="Arial"/>
              </w:rPr>
              <w:t>, Windhoek</w:t>
            </w:r>
          </w:p>
        </w:tc>
      </w:tr>
      <w:tr w:rsidR="00224747" w:rsidTr="00DE04EF">
        <w:tc>
          <w:tcPr>
            <w:tcW w:w="4820" w:type="dxa"/>
          </w:tcPr>
          <w:p w:rsidR="00224747" w:rsidRDefault="00224747" w:rsidP="00224747">
            <w:pPr>
              <w:pStyle w:val="BodyText"/>
              <w:autoSpaceDE w:val="0"/>
              <w:autoSpaceDN w:val="0"/>
              <w:adjustRightInd w:val="0"/>
              <w:spacing w:line="480" w:lineRule="auto"/>
              <w:ind w:left="-113"/>
              <w:jc w:val="both"/>
              <w:rPr>
                <w:rFonts w:ascii="Arial" w:hAnsi="Arial" w:cs="Arial"/>
              </w:rPr>
            </w:pPr>
          </w:p>
        </w:tc>
        <w:tc>
          <w:tcPr>
            <w:tcW w:w="4556" w:type="dxa"/>
          </w:tcPr>
          <w:p w:rsidR="00224747" w:rsidRDefault="00224747" w:rsidP="00224747">
            <w:pPr>
              <w:pStyle w:val="BodyText"/>
              <w:autoSpaceDE w:val="0"/>
              <w:autoSpaceDN w:val="0"/>
              <w:adjustRightInd w:val="0"/>
              <w:spacing w:line="480" w:lineRule="auto"/>
              <w:jc w:val="both"/>
              <w:rPr>
                <w:rFonts w:ascii="Arial" w:hAnsi="Arial" w:cs="Arial"/>
              </w:rPr>
            </w:pPr>
          </w:p>
        </w:tc>
      </w:tr>
    </w:tbl>
    <w:p w:rsidR="00A27953" w:rsidRDefault="00A27953" w:rsidP="00A27953">
      <w:pPr>
        <w:pStyle w:val="BodyText"/>
        <w:autoSpaceDE w:val="0"/>
        <w:autoSpaceDN w:val="0"/>
        <w:adjustRightInd w:val="0"/>
        <w:spacing w:line="480" w:lineRule="auto"/>
        <w:jc w:val="both"/>
        <w:rPr>
          <w:rFonts w:ascii="Arial" w:hAnsi="Arial" w:cs="Arial"/>
        </w:rPr>
      </w:pPr>
    </w:p>
    <w:sectPr w:rsidR="00A27953" w:rsidSect="00F83F7E">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68" w:rsidRDefault="00CF3368">
      <w:pPr>
        <w:spacing w:after="0" w:line="240" w:lineRule="auto"/>
      </w:pPr>
      <w:r>
        <w:separator/>
      </w:r>
    </w:p>
  </w:endnote>
  <w:endnote w:type="continuationSeparator" w:id="0">
    <w:p w:rsidR="00CF3368" w:rsidRDefault="00CF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68" w:rsidRDefault="00CF3368">
      <w:pPr>
        <w:spacing w:after="0" w:line="240" w:lineRule="auto"/>
      </w:pPr>
      <w:r>
        <w:separator/>
      </w:r>
    </w:p>
  </w:footnote>
  <w:footnote w:type="continuationSeparator" w:id="0">
    <w:p w:rsidR="00CF3368" w:rsidRDefault="00CF3368">
      <w:pPr>
        <w:spacing w:after="0" w:line="240" w:lineRule="auto"/>
      </w:pPr>
      <w:r>
        <w:continuationSeparator/>
      </w:r>
    </w:p>
  </w:footnote>
  <w:footnote w:id="1">
    <w:p w:rsidR="00F43C33" w:rsidRPr="00F43C33" w:rsidRDefault="00F43C33">
      <w:pPr>
        <w:pStyle w:val="FootnoteText"/>
        <w:rPr>
          <w:rFonts w:ascii="Arial" w:hAnsi="Arial" w:cs="Arial"/>
        </w:rPr>
      </w:pPr>
      <w:r w:rsidRPr="00F43C33">
        <w:rPr>
          <w:rStyle w:val="FootnoteReference"/>
          <w:rFonts w:ascii="Arial" w:hAnsi="Arial" w:cs="Arial"/>
        </w:rPr>
        <w:footnoteRef/>
      </w:r>
      <w:r w:rsidRPr="00F43C33">
        <w:rPr>
          <w:rFonts w:ascii="Arial" w:hAnsi="Arial" w:cs="Arial"/>
        </w:rPr>
        <w:t xml:space="preserve"> </w:t>
      </w:r>
      <w:r w:rsidR="00206583" w:rsidRPr="00F43C33">
        <w:rPr>
          <w:rFonts w:ascii="Arial" w:hAnsi="Arial" w:cs="Arial"/>
        </w:rPr>
        <w:t>I.e</w:t>
      </w:r>
      <w:r w:rsidRPr="00F43C33">
        <w:rPr>
          <w:rFonts w:ascii="Arial" w:hAnsi="Arial" w:cs="Arial"/>
        </w:rPr>
        <w:t>. the Magistrate of Windhoek.</w:t>
      </w:r>
    </w:p>
  </w:footnote>
  <w:footnote w:id="2">
    <w:p w:rsidR="00F83F7E" w:rsidRPr="004B2038" w:rsidRDefault="00F83F7E" w:rsidP="004B2038">
      <w:pPr>
        <w:pStyle w:val="FootnoteText"/>
        <w:jc w:val="both"/>
        <w:rPr>
          <w:rFonts w:ascii="Arial" w:hAnsi="Arial" w:cs="Arial"/>
        </w:rPr>
      </w:pPr>
      <w:r w:rsidRPr="004B2038">
        <w:rPr>
          <w:rStyle w:val="FootnoteReference"/>
          <w:rFonts w:ascii="Arial" w:hAnsi="Arial" w:cs="Arial"/>
        </w:rPr>
        <w:footnoteRef/>
      </w:r>
      <w:r w:rsidRPr="004B2038">
        <w:rPr>
          <w:rFonts w:ascii="Arial" w:hAnsi="Arial" w:cs="Arial"/>
        </w:rPr>
        <w:t xml:space="preserve"> In terms of rule 6(1) and (4) of the Rules of the High Court.</w:t>
      </w:r>
    </w:p>
  </w:footnote>
  <w:footnote w:id="3">
    <w:p w:rsidR="00F83F7E" w:rsidRPr="004B2038" w:rsidRDefault="00F83F7E" w:rsidP="004B2038">
      <w:pPr>
        <w:pStyle w:val="FootnoteText"/>
        <w:jc w:val="both"/>
        <w:rPr>
          <w:rFonts w:ascii="Arial" w:hAnsi="Arial" w:cs="Arial"/>
        </w:rPr>
      </w:pPr>
      <w:r w:rsidRPr="004B2038">
        <w:rPr>
          <w:rStyle w:val="FootnoteReference"/>
          <w:rFonts w:ascii="Arial" w:hAnsi="Arial" w:cs="Arial"/>
        </w:rPr>
        <w:footnoteRef/>
      </w:r>
      <w:r w:rsidRPr="004B2038">
        <w:rPr>
          <w:rFonts w:ascii="Arial" w:hAnsi="Arial" w:cs="Arial"/>
        </w:rPr>
        <w:t xml:space="preserve"> 1979 (1) SA 330 T.</w:t>
      </w:r>
    </w:p>
  </w:footnote>
  <w:footnote w:id="4">
    <w:p w:rsidR="00F83F7E" w:rsidRPr="004B2038" w:rsidRDefault="00F83F7E" w:rsidP="004B2038">
      <w:pPr>
        <w:pStyle w:val="FootnoteText"/>
        <w:jc w:val="both"/>
        <w:rPr>
          <w:rFonts w:ascii="Arial" w:hAnsi="Arial" w:cs="Arial"/>
        </w:rPr>
      </w:pPr>
      <w:r w:rsidRPr="004B2038">
        <w:rPr>
          <w:rStyle w:val="FootnoteReference"/>
          <w:rFonts w:ascii="Arial" w:hAnsi="Arial" w:cs="Arial"/>
        </w:rPr>
        <w:footnoteRef/>
      </w:r>
      <w:r w:rsidRPr="004B2038">
        <w:rPr>
          <w:rFonts w:ascii="Arial" w:hAnsi="Arial" w:cs="Arial"/>
        </w:rPr>
        <w:t xml:space="preserve"> 2002 (1) SACR 162 (W) at 166.</w:t>
      </w:r>
    </w:p>
  </w:footnote>
  <w:footnote w:id="5">
    <w:p w:rsidR="00F83F7E" w:rsidRPr="004B2038" w:rsidRDefault="00F83F7E" w:rsidP="004B2038">
      <w:pPr>
        <w:pStyle w:val="FootnoteText"/>
        <w:jc w:val="both"/>
        <w:rPr>
          <w:rFonts w:ascii="Arial" w:hAnsi="Arial" w:cs="Arial"/>
        </w:rPr>
      </w:pPr>
      <w:r w:rsidRPr="004B2038">
        <w:rPr>
          <w:rStyle w:val="FootnoteReference"/>
          <w:rFonts w:ascii="Arial" w:hAnsi="Arial" w:cs="Arial"/>
        </w:rPr>
        <w:footnoteRef/>
      </w:r>
      <w:r w:rsidR="002C033D">
        <w:rPr>
          <w:rFonts w:ascii="Arial" w:hAnsi="Arial" w:cs="Arial"/>
        </w:rPr>
        <w:t xml:space="preserve"> 1995 (2</w:t>
      </w:r>
      <w:r w:rsidRPr="004B2038">
        <w:rPr>
          <w:rFonts w:ascii="Arial" w:hAnsi="Arial" w:cs="Arial"/>
        </w:rPr>
        <w:t xml:space="preserve">) SACR </w:t>
      </w:r>
      <w:r w:rsidR="002C033D">
        <w:rPr>
          <w:rFonts w:ascii="Arial" w:hAnsi="Arial" w:cs="Arial"/>
        </w:rPr>
        <w:t>277</w:t>
      </w:r>
      <w:r w:rsidRPr="004B2038">
        <w:rPr>
          <w:rFonts w:ascii="Arial" w:hAnsi="Arial" w:cs="Arial"/>
        </w:rPr>
        <w:t xml:space="preserve"> (CC).</w:t>
      </w:r>
    </w:p>
  </w:footnote>
  <w:footnote w:id="6">
    <w:p w:rsidR="00F52B53" w:rsidRPr="00F52B53" w:rsidRDefault="00F52B53">
      <w:pPr>
        <w:pStyle w:val="FootnoteText"/>
        <w:rPr>
          <w:rFonts w:ascii="Arial" w:hAnsi="Arial" w:cs="Arial"/>
        </w:rPr>
      </w:pPr>
      <w:r w:rsidRPr="00F52B53">
        <w:rPr>
          <w:rStyle w:val="FootnoteReference"/>
          <w:rFonts w:ascii="Arial" w:hAnsi="Arial" w:cs="Arial"/>
        </w:rPr>
        <w:footnoteRef/>
      </w:r>
      <w:r w:rsidRPr="00F52B53">
        <w:rPr>
          <w:rFonts w:ascii="Arial" w:hAnsi="Arial" w:cs="Arial"/>
        </w:rPr>
        <w:t xml:space="preserve"> </w:t>
      </w:r>
      <w:r>
        <w:rPr>
          <w:rFonts w:ascii="Arial" w:hAnsi="Arial" w:cs="Arial"/>
        </w:rPr>
        <w:t>GN 78, GG 4254, 5 May 2009.</w:t>
      </w:r>
    </w:p>
  </w:footnote>
  <w:footnote w:id="7">
    <w:p w:rsidR="00F52B53" w:rsidRPr="002C033D" w:rsidRDefault="00F52B53" w:rsidP="00F52B53">
      <w:pPr>
        <w:pStyle w:val="FootnoteText"/>
        <w:jc w:val="both"/>
        <w:rPr>
          <w:rFonts w:ascii="Arial" w:hAnsi="Arial" w:cs="Arial"/>
          <w:b/>
        </w:rPr>
      </w:pPr>
      <w:r w:rsidRPr="00F52B53">
        <w:rPr>
          <w:rStyle w:val="FootnoteReference"/>
          <w:rFonts w:ascii="Arial" w:hAnsi="Arial" w:cs="Arial"/>
        </w:rPr>
        <w:footnoteRef/>
      </w:r>
      <w:r w:rsidRPr="00F52B53">
        <w:rPr>
          <w:rFonts w:ascii="Arial" w:hAnsi="Arial" w:cs="Arial"/>
        </w:rPr>
        <w:t xml:space="preserve"> </w:t>
      </w:r>
      <w:r w:rsidRPr="002C033D">
        <w:rPr>
          <w:rFonts w:ascii="Arial" w:hAnsi="Arial" w:cs="Arial"/>
        </w:rPr>
        <w:t xml:space="preserve">Section 99 </w:t>
      </w:r>
      <w:r w:rsidRPr="002C033D">
        <w:rPr>
          <w:rFonts w:ascii="Arial" w:hAnsi="Arial" w:cs="Arial"/>
          <w:b/>
        </w:rPr>
        <w:t>Fugitives precluded from participating in proceedings</w:t>
      </w:r>
    </w:p>
    <w:p w:rsidR="00F52B53" w:rsidRPr="002C033D" w:rsidRDefault="00F52B53" w:rsidP="00F52B53">
      <w:pPr>
        <w:pStyle w:val="FootnoteText"/>
        <w:jc w:val="both"/>
        <w:rPr>
          <w:rFonts w:ascii="Arial" w:hAnsi="Arial" w:cs="Arial"/>
        </w:rPr>
      </w:pPr>
      <w:r w:rsidRPr="002C033D">
        <w:rPr>
          <w:rFonts w:ascii="Arial" w:hAnsi="Arial" w:cs="Arial"/>
        </w:rPr>
        <w:tab/>
        <w:t>A person-</w:t>
      </w:r>
    </w:p>
    <w:p w:rsidR="00F52B53" w:rsidRPr="002C033D" w:rsidRDefault="00F52B53" w:rsidP="00F52B53">
      <w:pPr>
        <w:pStyle w:val="FootnoteText"/>
        <w:jc w:val="both"/>
        <w:rPr>
          <w:rFonts w:ascii="Arial" w:hAnsi="Arial" w:cs="Arial"/>
        </w:rPr>
      </w:pPr>
      <w:r w:rsidRPr="002C033D">
        <w:rPr>
          <w:rFonts w:ascii="Arial" w:hAnsi="Arial" w:cs="Arial"/>
        </w:rPr>
        <w:tab/>
        <w:t>(a)</w:t>
      </w:r>
      <w:r w:rsidRPr="002C033D">
        <w:rPr>
          <w:rFonts w:ascii="Arial" w:hAnsi="Arial" w:cs="Arial"/>
        </w:rPr>
        <w:tab/>
        <w:t xml:space="preserve">who has been summoned or warned to appear in court on a specific date or otherwise </w:t>
      </w:r>
      <w:r w:rsidRPr="002C033D">
        <w:rPr>
          <w:rFonts w:ascii="Arial" w:hAnsi="Arial" w:cs="Arial"/>
        </w:rPr>
        <w:tab/>
      </w:r>
      <w:r w:rsidRPr="002C033D">
        <w:rPr>
          <w:rFonts w:ascii="Arial" w:hAnsi="Arial" w:cs="Arial"/>
        </w:rPr>
        <w:tab/>
        <w:t xml:space="preserve">made aware that he or she has to appear in court on a specific date and failed to appear </w:t>
      </w:r>
      <w:r w:rsidRPr="002C033D">
        <w:rPr>
          <w:rFonts w:ascii="Arial" w:hAnsi="Arial" w:cs="Arial"/>
        </w:rPr>
        <w:tab/>
      </w:r>
      <w:r w:rsidRPr="002C033D">
        <w:rPr>
          <w:rFonts w:ascii="Arial" w:hAnsi="Arial" w:cs="Arial"/>
        </w:rPr>
        <w:tab/>
        <w:t>in court on that date; or</w:t>
      </w:r>
    </w:p>
    <w:p w:rsidR="00F52B53" w:rsidRPr="00F52B53" w:rsidRDefault="00F52B53" w:rsidP="00F52B53">
      <w:pPr>
        <w:pStyle w:val="FootnoteText"/>
        <w:jc w:val="both"/>
        <w:rPr>
          <w:rFonts w:ascii="Arial" w:hAnsi="Arial" w:cs="Arial"/>
        </w:rPr>
      </w:pPr>
      <w:r w:rsidRPr="002C033D">
        <w:rPr>
          <w:rFonts w:ascii="Arial" w:hAnsi="Arial" w:cs="Arial"/>
        </w:rPr>
        <w:tab/>
        <w:t>(b)</w:t>
      </w:r>
      <w:r w:rsidRPr="002C033D">
        <w:rPr>
          <w:rFonts w:ascii="Arial" w:hAnsi="Arial" w:cs="Arial"/>
        </w:rPr>
        <w:tab/>
        <w:t xml:space="preserve">in respect of whom a warrant for his or her arrest has been issued and whose attendance </w:t>
      </w:r>
      <w:r w:rsidRPr="002C033D">
        <w:rPr>
          <w:rFonts w:ascii="Arial" w:hAnsi="Arial" w:cs="Arial"/>
        </w:rPr>
        <w:tab/>
      </w:r>
      <w:r w:rsidRPr="002C033D">
        <w:rPr>
          <w:rFonts w:ascii="Arial" w:hAnsi="Arial" w:cs="Arial"/>
        </w:rPr>
        <w:tab/>
        <w:t xml:space="preserve">in court cannot be secured in spite of all reasonable steps having been taken to execute </w:t>
      </w:r>
      <w:r w:rsidRPr="002C033D">
        <w:rPr>
          <w:rFonts w:ascii="Arial" w:hAnsi="Arial" w:cs="Arial"/>
        </w:rPr>
        <w:tab/>
      </w:r>
      <w:r w:rsidRPr="002C033D">
        <w:rPr>
          <w:rFonts w:ascii="Arial" w:hAnsi="Arial" w:cs="Arial"/>
        </w:rPr>
        <w:tab/>
        <w:t xml:space="preserve">the warrant, must not participate in any proceedings under Chapter 5 or 6 for as long as </w:t>
      </w:r>
      <w:r w:rsidRPr="002C033D">
        <w:rPr>
          <w:rFonts w:ascii="Arial" w:hAnsi="Arial" w:cs="Arial"/>
        </w:rPr>
        <w:tab/>
      </w:r>
      <w:r w:rsidRPr="002C033D">
        <w:rPr>
          <w:rFonts w:ascii="Arial" w:hAnsi="Arial" w:cs="Arial"/>
        </w:rPr>
        <w:tab/>
        <w:t xml:space="preserve">he or she continues to fail to appear in court or that warrant for arrest remains in force </w:t>
      </w:r>
      <w:r w:rsidRPr="002C033D">
        <w:rPr>
          <w:rFonts w:ascii="Arial" w:hAnsi="Arial" w:cs="Arial"/>
        </w:rPr>
        <w:tab/>
      </w:r>
      <w:r w:rsidRPr="002C033D">
        <w:rPr>
          <w:rFonts w:ascii="Arial" w:hAnsi="Arial" w:cs="Arial"/>
        </w:rPr>
        <w:tab/>
        <w:t>and unexecuted.</w:t>
      </w:r>
    </w:p>
  </w:footnote>
  <w:footnote w:id="8">
    <w:p w:rsidR="00F83F7E" w:rsidRPr="004B2038" w:rsidRDefault="00F83F7E" w:rsidP="004B2038">
      <w:pPr>
        <w:pStyle w:val="FootnoteText"/>
        <w:jc w:val="both"/>
        <w:rPr>
          <w:rFonts w:ascii="Arial" w:hAnsi="Arial" w:cs="Arial"/>
        </w:rPr>
      </w:pPr>
      <w:r w:rsidRPr="004B2038">
        <w:rPr>
          <w:rStyle w:val="FootnoteReference"/>
          <w:rFonts w:ascii="Arial" w:hAnsi="Arial" w:cs="Arial"/>
        </w:rPr>
        <w:footnoteRef/>
      </w:r>
      <w:r w:rsidRPr="004B2038">
        <w:rPr>
          <w:rFonts w:ascii="Arial" w:hAnsi="Arial" w:cs="Arial"/>
        </w:rPr>
        <w:t xml:space="preserve"> </w:t>
      </w:r>
      <w:r w:rsidRPr="004B2038">
        <w:rPr>
          <w:rFonts w:ascii="Arial" w:hAnsi="Arial" w:cs="Arial"/>
          <w:i/>
        </w:rPr>
        <w:t>Mahlangu &amp; another v Van Eeden &amp; another</w:t>
      </w:r>
      <w:r w:rsidRPr="004B2038">
        <w:rPr>
          <w:rFonts w:ascii="Arial" w:hAnsi="Arial" w:cs="Arial"/>
        </w:rPr>
        <w:t xml:space="preserve"> [2000] 3 All SA 321 (LCC).</w:t>
      </w:r>
    </w:p>
  </w:footnote>
  <w:footnote w:id="9">
    <w:p w:rsidR="00F83F7E" w:rsidRPr="004B2038" w:rsidRDefault="00F83F7E" w:rsidP="004B2038">
      <w:pPr>
        <w:pStyle w:val="FootnoteText"/>
        <w:jc w:val="both"/>
        <w:rPr>
          <w:rFonts w:ascii="Arial" w:hAnsi="Arial" w:cs="Arial"/>
        </w:rPr>
      </w:pPr>
      <w:r w:rsidRPr="004B2038">
        <w:rPr>
          <w:rStyle w:val="FootnoteReference"/>
          <w:rFonts w:ascii="Arial" w:hAnsi="Arial" w:cs="Arial"/>
        </w:rPr>
        <w:footnoteRef/>
      </w:r>
      <w:r w:rsidRPr="004B2038">
        <w:rPr>
          <w:rFonts w:ascii="Arial" w:hAnsi="Arial" w:cs="Arial"/>
        </w:rPr>
        <w:t xml:space="preserve"> </w:t>
      </w:r>
      <w:r w:rsidR="00636FE3" w:rsidRPr="004B2038">
        <w:rPr>
          <w:rFonts w:ascii="Arial" w:hAnsi="Arial" w:cs="Arial"/>
        </w:rPr>
        <w:t>2019</w:t>
      </w:r>
      <w:r w:rsidR="0041337D">
        <w:rPr>
          <w:rFonts w:ascii="Arial" w:hAnsi="Arial" w:cs="Arial"/>
        </w:rPr>
        <w:t xml:space="preserve"> </w:t>
      </w:r>
      <w:r w:rsidR="00636FE3" w:rsidRPr="004B2038">
        <w:rPr>
          <w:rFonts w:ascii="Arial" w:hAnsi="Arial" w:cs="Arial"/>
        </w:rPr>
        <w:t>(3) NR 651 (SC)</w:t>
      </w:r>
      <w:r w:rsidRPr="004B2038">
        <w:rPr>
          <w:rFonts w:ascii="Arial" w:hAnsi="Arial" w:cs="Arial"/>
        </w:rPr>
        <w:t>.</w:t>
      </w:r>
    </w:p>
  </w:footnote>
  <w:footnote w:id="10">
    <w:p w:rsidR="00F83F7E" w:rsidRPr="004B2038" w:rsidRDefault="00F83F7E" w:rsidP="004B2038">
      <w:pPr>
        <w:pStyle w:val="FootnoteText"/>
        <w:jc w:val="both"/>
        <w:rPr>
          <w:rFonts w:ascii="Arial" w:hAnsi="Arial" w:cs="Arial"/>
        </w:rPr>
      </w:pPr>
      <w:r w:rsidRPr="004B2038">
        <w:rPr>
          <w:rStyle w:val="FootnoteReference"/>
          <w:rFonts w:ascii="Arial" w:hAnsi="Arial" w:cs="Arial"/>
        </w:rPr>
        <w:footnoteRef/>
      </w:r>
      <w:r w:rsidRPr="004B2038">
        <w:rPr>
          <w:rFonts w:ascii="Arial" w:hAnsi="Arial" w:cs="Arial"/>
        </w:rPr>
        <w:t xml:space="preserve"> Footnotes omitted.</w:t>
      </w:r>
    </w:p>
  </w:footnote>
  <w:footnote w:id="11">
    <w:p w:rsidR="00F83F7E" w:rsidRPr="004B2038" w:rsidRDefault="00F83F7E" w:rsidP="004B2038">
      <w:pPr>
        <w:pStyle w:val="FootnoteText"/>
        <w:jc w:val="both"/>
        <w:rPr>
          <w:rFonts w:ascii="Arial" w:hAnsi="Arial" w:cs="Arial"/>
        </w:rPr>
      </w:pPr>
      <w:r w:rsidRPr="004B2038">
        <w:rPr>
          <w:rStyle w:val="FootnoteReference"/>
          <w:rFonts w:ascii="Arial" w:hAnsi="Arial" w:cs="Arial"/>
        </w:rPr>
        <w:footnoteRef/>
      </w:r>
      <w:r w:rsidRPr="004B2038">
        <w:rPr>
          <w:rFonts w:ascii="Arial" w:hAnsi="Arial" w:cs="Arial"/>
        </w:rPr>
        <w:t xml:space="preserve"> </w:t>
      </w:r>
      <w:r w:rsidR="00FC36F8">
        <w:rPr>
          <w:rFonts w:ascii="Arial" w:hAnsi="Arial" w:cs="Arial"/>
        </w:rPr>
        <w:t>(61</w:t>
      </w:r>
      <w:r w:rsidR="0041337D">
        <w:rPr>
          <w:rFonts w:ascii="Arial" w:hAnsi="Arial" w:cs="Arial"/>
        </w:rPr>
        <w:t>8/2016) [2017] ZA</w:t>
      </w:r>
      <w:r w:rsidR="00636FE3" w:rsidRPr="004B2038">
        <w:rPr>
          <w:rFonts w:ascii="Arial" w:hAnsi="Arial" w:cs="Arial"/>
        </w:rPr>
        <w:t>ECPEHC 11 (2 February 2017)</w:t>
      </w:r>
      <w:r w:rsidR="004474DD" w:rsidRPr="004B2038">
        <w:rPr>
          <w:rFonts w:ascii="Arial" w:hAnsi="Arial" w:cs="Arial"/>
        </w:rPr>
        <w:t>, para 18.</w:t>
      </w:r>
    </w:p>
  </w:footnote>
  <w:footnote w:id="12">
    <w:p w:rsidR="00F83F7E" w:rsidRPr="004B2038" w:rsidRDefault="00F83F7E" w:rsidP="004B2038">
      <w:pPr>
        <w:pStyle w:val="FootnoteText"/>
        <w:jc w:val="both"/>
        <w:rPr>
          <w:rFonts w:ascii="Arial" w:hAnsi="Arial" w:cs="Arial"/>
        </w:rPr>
      </w:pPr>
      <w:r w:rsidRPr="004B2038">
        <w:rPr>
          <w:rStyle w:val="FootnoteReference"/>
          <w:rFonts w:ascii="Arial" w:hAnsi="Arial" w:cs="Arial"/>
        </w:rPr>
        <w:footnoteRef/>
      </w:r>
      <w:r w:rsidRPr="004B2038">
        <w:rPr>
          <w:rFonts w:ascii="Arial" w:hAnsi="Arial" w:cs="Arial"/>
        </w:rPr>
        <w:t xml:space="preserve"> The equivalent of s 53(5) the Namibian POCA.</w:t>
      </w:r>
    </w:p>
  </w:footnote>
  <w:footnote w:id="13">
    <w:p w:rsidR="005E3F0F" w:rsidRPr="004B2038" w:rsidRDefault="005E3F0F" w:rsidP="004B2038">
      <w:pPr>
        <w:pStyle w:val="FootnoteText"/>
        <w:jc w:val="both"/>
        <w:rPr>
          <w:rFonts w:ascii="Arial" w:hAnsi="Arial" w:cs="Arial"/>
        </w:rPr>
      </w:pPr>
      <w:r w:rsidRPr="004B2038">
        <w:rPr>
          <w:rStyle w:val="FootnoteReference"/>
          <w:rFonts w:ascii="Arial" w:hAnsi="Arial" w:cs="Arial"/>
        </w:rPr>
        <w:footnoteRef/>
      </w:r>
      <w:r w:rsidRPr="004B2038">
        <w:rPr>
          <w:rFonts w:ascii="Arial" w:hAnsi="Arial" w:cs="Arial"/>
        </w:rPr>
        <w:t xml:space="preserve"> A </w:t>
      </w:r>
      <w:r w:rsidR="00DE04EF" w:rsidRPr="004B2038">
        <w:rPr>
          <w:rFonts w:ascii="Arial" w:hAnsi="Arial" w:cs="Arial"/>
        </w:rPr>
        <w:t>c</w:t>
      </w:r>
      <w:r w:rsidRPr="004B2038">
        <w:rPr>
          <w:rFonts w:ascii="Arial" w:hAnsi="Arial" w:cs="Arial"/>
        </w:rPr>
        <w:t>ommercial bank.</w:t>
      </w:r>
    </w:p>
  </w:footnote>
  <w:footnote w:id="14">
    <w:p w:rsidR="00F83F7E" w:rsidRPr="004B2038" w:rsidRDefault="00F83F7E" w:rsidP="004B2038">
      <w:pPr>
        <w:pStyle w:val="FootnoteText"/>
        <w:jc w:val="both"/>
        <w:rPr>
          <w:rFonts w:ascii="Arial" w:hAnsi="Arial" w:cs="Arial"/>
        </w:rPr>
      </w:pPr>
      <w:r w:rsidRPr="004B2038">
        <w:rPr>
          <w:rStyle w:val="FootnoteReference"/>
          <w:rFonts w:ascii="Arial" w:hAnsi="Arial" w:cs="Arial"/>
        </w:rPr>
        <w:footnoteRef/>
      </w:r>
      <w:r w:rsidRPr="004B2038">
        <w:rPr>
          <w:rFonts w:ascii="Arial" w:hAnsi="Arial" w:cs="Arial"/>
        </w:rPr>
        <w:t xml:space="preserve"> </w:t>
      </w:r>
      <w:r w:rsidRPr="004B2038">
        <w:rPr>
          <w:rFonts w:ascii="Arial" w:hAnsi="Arial" w:cs="Arial"/>
          <w:i/>
        </w:rPr>
        <w:t>Karas</w:t>
      </w:r>
      <w:r w:rsidRPr="004B2038">
        <w:rPr>
          <w:rFonts w:ascii="Arial" w:hAnsi="Arial" w:cs="Arial"/>
        </w:rPr>
        <w:t xml:space="preserve"> </w:t>
      </w:r>
      <w:r w:rsidRPr="004B2038">
        <w:rPr>
          <w:rFonts w:ascii="Arial" w:hAnsi="Arial" w:cs="Arial"/>
          <w:i/>
        </w:rPr>
        <w:t>supra</w:t>
      </w:r>
      <w:r w:rsidRPr="004B2038">
        <w:rPr>
          <w:rFonts w:ascii="Arial" w:hAnsi="Arial" w:cs="Arial"/>
        </w:rPr>
        <w:t xml:space="preserve"> at paras 15 and 18.</w:t>
      </w:r>
    </w:p>
  </w:footnote>
  <w:footnote w:id="15">
    <w:p w:rsidR="00F83F7E" w:rsidRPr="004B2038" w:rsidRDefault="00F83F7E" w:rsidP="004B2038">
      <w:pPr>
        <w:pStyle w:val="FootnoteText"/>
        <w:jc w:val="both"/>
        <w:rPr>
          <w:rFonts w:ascii="Arial" w:hAnsi="Arial" w:cs="Arial"/>
        </w:rPr>
      </w:pPr>
      <w:r w:rsidRPr="004B2038">
        <w:rPr>
          <w:rStyle w:val="FootnoteReference"/>
          <w:rFonts w:ascii="Arial" w:hAnsi="Arial" w:cs="Arial"/>
        </w:rPr>
        <w:footnoteRef/>
      </w:r>
      <w:r w:rsidRPr="004B2038">
        <w:rPr>
          <w:rFonts w:ascii="Arial" w:hAnsi="Arial" w:cs="Arial"/>
        </w:rPr>
        <w:t xml:space="preserve"> </w:t>
      </w:r>
      <w:r w:rsidR="00DE04EF" w:rsidRPr="004B2038">
        <w:rPr>
          <w:rFonts w:ascii="Arial" w:hAnsi="Arial" w:cs="Arial"/>
        </w:rPr>
        <w:t>2013(5) SA 399 (SCA)</w:t>
      </w:r>
      <w:r w:rsidRPr="004B2038">
        <w:rPr>
          <w:rFonts w:ascii="Arial" w:hAnsi="Arial" w:cs="Arial"/>
        </w:rPr>
        <w:t>.</w:t>
      </w:r>
    </w:p>
  </w:footnote>
  <w:footnote w:id="16">
    <w:p w:rsidR="00F83F7E" w:rsidRPr="004B2038" w:rsidRDefault="00F83F7E" w:rsidP="004B2038">
      <w:pPr>
        <w:pStyle w:val="FootnoteText"/>
        <w:jc w:val="both"/>
        <w:rPr>
          <w:rFonts w:ascii="Arial" w:hAnsi="Arial" w:cs="Arial"/>
        </w:rPr>
      </w:pPr>
      <w:r w:rsidRPr="004B2038">
        <w:rPr>
          <w:rStyle w:val="FootnoteReference"/>
          <w:rFonts w:ascii="Arial" w:hAnsi="Arial" w:cs="Arial"/>
        </w:rPr>
        <w:footnoteRef/>
      </w:r>
      <w:r w:rsidRPr="004B2038">
        <w:rPr>
          <w:rFonts w:ascii="Arial" w:hAnsi="Arial" w:cs="Arial"/>
        </w:rPr>
        <w:t xml:space="preserve"> In terms of s 25(1</w:t>
      </w:r>
      <w:r w:rsidR="00DE04EF" w:rsidRPr="004B2038">
        <w:rPr>
          <w:rFonts w:ascii="Arial" w:hAnsi="Arial" w:cs="Arial"/>
        </w:rPr>
        <w:t>) of the Close Corporations Act</w:t>
      </w:r>
      <w:r w:rsidRPr="004B2038">
        <w:rPr>
          <w:rFonts w:ascii="Arial" w:hAnsi="Arial" w:cs="Arial"/>
        </w:rPr>
        <w:t xml:space="preserve"> 26 of 1988 every corporation shall have in Namibia a postal address and an office to which</w:t>
      </w:r>
      <w:r w:rsidR="00DE04EF" w:rsidRPr="004B2038">
        <w:rPr>
          <w:rFonts w:ascii="Arial" w:hAnsi="Arial" w:cs="Arial"/>
        </w:rPr>
        <w:t>, subject to subsection (2),</w:t>
      </w:r>
      <w:r w:rsidRPr="004B2038">
        <w:rPr>
          <w:rFonts w:ascii="Arial" w:hAnsi="Arial" w:cs="Arial"/>
        </w:rPr>
        <w:t xml:space="preserve"> all communications and notices to the corporation may be addressed.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F83F7E" w:rsidRDefault="00F83F7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83F7E" w:rsidRDefault="00F83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F83F7E" w:rsidRPr="00E90EA7" w:rsidRDefault="00F83F7E">
        <w:pPr>
          <w:pStyle w:val="Header"/>
          <w:jc w:val="right"/>
          <w:rPr>
            <w:rFonts w:ascii="Arial" w:hAnsi="Arial" w:cs="Arial"/>
            <w:sz w:val="24"/>
            <w:szCs w:val="24"/>
          </w:rPr>
        </w:pPr>
        <w:r w:rsidRPr="00E90EA7">
          <w:rPr>
            <w:rFonts w:ascii="Arial" w:hAnsi="Arial" w:cs="Arial"/>
            <w:sz w:val="24"/>
            <w:szCs w:val="24"/>
          </w:rPr>
          <w:fldChar w:fldCharType="begin"/>
        </w:r>
        <w:r w:rsidRPr="00E90EA7">
          <w:rPr>
            <w:rFonts w:ascii="Arial" w:hAnsi="Arial" w:cs="Arial"/>
            <w:sz w:val="24"/>
            <w:szCs w:val="24"/>
          </w:rPr>
          <w:instrText xml:space="preserve"> PAGE   \* MERGEFORMAT </w:instrText>
        </w:r>
        <w:r w:rsidRPr="00E90EA7">
          <w:rPr>
            <w:rFonts w:ascii="Arial" w:hAnsi="Arial" w:cs="Arial"/>
            <w:sz w:val="24"/>
            <w:szCs w:val="24"/>
          </w:rPr>
          <w:fldChar w:fldCharType="separate"/>
        </w:r>
        <w:r w:rsidR="006944A8">
          <w:rPr>
            <w:rFonts w:ascii="Arial" w:hAnsi="Arial" w:cs="Arial"/>
            <w:noProof/>
            <w:sz w:val="24"/>
            <w:szCs w:val="24"/>
          </w:rPr>
          <w:t>32</w:t>
        </w:r>
        <w:r w:rsidRPr="00E90EA7">
          <w:rPr>
            <w:rFonts w:ascii="Arial" w:hAnsi="Arial" w:cs="Arial"/>
            <w:noProof/>
            <w:sz w:val="24"/>
            <w:szCs w:val="24"/>
          </w:rPr>
          <w:fldChar w:fldCharType="end"/>
        </w:r>
      </w:p>
    </w:sdtContent>
  </w:sdt>
  <w:p w:rsidR="00F83F7E" w:rsidRPr="00E90EA7" w:rsidRDefault="00F83F7E">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370"/>
    <w:multiLevelType w:val="hybridMultilevel"/>
    <w:tmpl w:val="517C9D0C"/>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1020369"/>
    <w:multiLevelType w:val="hybridMultilevel"/>
    <w:tmpl w:val="0530471A"/>
    <w:lvl w:ilvl="0" w:tplc="6B9A8636">
      <w:start w:val="1"/>
      <w:numFmt w:val="lowerRoman"/>
      <w:lvlText w:val="(%1)"/>
      <w:lvlJc w:val="righ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 w15:restartNumberingAfterBreak="0">
    <w:nsid w:val="21F8643A"/>
    <w:multiLevelType w:val="hybridMultilevel"/>
    <w:tmpl w:val="9B4AE91E"/>
    <w:lvl w:ilvl="0" w:tplc="6B9A8636">
      <w:start w:val="1"/>
      <w:numFmt w:val="lowerRoman"/>
      <w:lvlText w:val="(%1)"/>
      <w:lvlJc w:val="righ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6B35329"/>
    <w:multiLevelType w:val="hybridMultilevel"/>
    <w:tmpl w:val="E1484B22"/>
    <w:lvl w:ilvl="0" w:tplc="D1288EC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93A5B3C"/>
    <w:multiLevelType w:val="hybridMultilevel"/>
    <w:tmpl w:val="B362294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30141AA9"/>
    <w:multiLevelType w:val="hybridMultilevel"/>
    <w:tmpl w:val="E9085C4A"/>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4F42D12"/>
    <w:multiLevelType w:val="hybridMultilevel"/>
    <w:tmpl w:val="8326B3AE"/>
    <w:lvl w:ilvl="0" w:tplc="6B9A8636">
      <w:start w:val="1"/>
      <w:numFmt w:val="lowerRoman"/>
      <w:lvlText w:val="(%1)"/>
      <w:lvlJc w:val="righ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8" w15:restartNumberingAfterBreak="0">
    <w:nsid w:val="35926936"/>
    <w:multiLevelType w:val="hybridMultilevel"/>
    <w:tmpl w:val="114E4698"/>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3D7C06D4"/>
    <w:multiLevelType w:val="hybridMultilevel"/>
    <w:tmpl w:val="2B34E6B0"/>
    <w:lvl w:ilvl="0" w:tplc="6B9A8636">
      <w:start w:val="1"/>
      <w:numFmt w:val="lowerRoman"/>
      <w:lvlText w:val="(%1)"/>
      <w:lvlJc w:val="righ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0" w15:restartNumberingAfterBreak="0">
    <w:nsid w:val="3F881301"/>
    <w:multiLevelType w:val="hybridMultilevel"/>
    <w:tmpl w:val="955ED3C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402924EA"/>
    <w:multiLevelType w:val="hybridMultilevel"/>
    <w:tmpl w:val="DCF89568"/>
    <w:lvl w:ilvl="0" w:tplc="FA80CD8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518939AF"/>
    <w:multiLevelType w:val="hybridMultilevel"/>
    <w:tmpl w:val="828830D6"/>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676714D9"/>
    <w:multiLevelType w:val="hybridMultilevel"/>
    <w:tmpl w:val="7E5625BC"/>
    <w:lvl w:ilvl="0" w:tplc="E3A8494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6EF56B8C"/>
    <w:multiLevelType w:val="hybridMultilevel"/>
    <w:tmpl w:val="073289C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71BB5644"/>
    <w:multiLevelType w:val="hybridMultilevel"/>
    <w:tmpl w:val="6A3AB1F0"/>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7F9F5842"/>
    <w:multiLevelType w:val="hybridMultilevel"/>
    <w:tmpl w:val="529CAD9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6"/>
  </w:num>
  <w:num w:numId="2">
    <w:abstractNumId w:val="2"/>
  </w:num>
  <w:num w:numId="3">
    <w:abstractNumId w:val="11"/>
  </w:num>
  <w:num w:numId="4">
    <w:abstractNumId w:val="5"/>
  </w:num>
  <w:num w:numId="5">
    <w:abstractNumId w:val="14"/>
  </w:num>
  <w:num w:numId="6">
    <w:abstractNumId w:val="10"/>
  </w:num>
  <w:num w:numId="7">
    <w:abstractNumId w:val="16"/>
  </w:num>
  <w:num w:numId="8">
    <w:abstractNumId w:val="0"/>
  </w:num>
  <w:num w:numId="9">
    <w:abstractNumId w:val="4"/>
  </w:num>
  <w:num w:numId="10">
    <w:abstractNumId w:val="1"/>
  </w:num>
  <w:num w:numId="11">
    <w:abstractNumId w:val="15"/>
  </w:num>
  <w:num w:numId="12">
    <w:abstractNumId w:val="3"/>
  </w:num>
  <w:num w:numId="13">
    <w:abstractNumId w:val="13"/>
  </w:num>
  <w:num w:numId="14">
    <w:abstractNumId w:val="12"/>
  </w:num>
  <w:num w:numId="15">
    <w:abstractNumId w:val="8"/>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53"/>
    <w:rsid w:val="00020893"/>
    <w:rsid w:val="000222A8"/>
    <w:rsid w:val="00024C3A"/>
    <w:rsid w:val="0004573C"/>
    <w:rsid w:val="00051DDA"/>
    <w:rsid w:val="00054313"/>
    <w:rsid w:val="000548F8"/>
    <w:rsid w:val="00093EA4"/>
    <w:rsid w:val="000A4D82"/>
    <w:rsid w:val="000C10BB"/>
    <w:rsid w:val="000C1377"/>
    <w:rsid w:val="000C5948"/>
    <w:rsid w:val="000D00C2"/>
    <w:rsid w:val="000D103C"/>
    <w:rsid w:val="0010738A"/>
    <w:rsid w:val="0012256A"/>
    <w:rsid w:val="001247AF"/>
    <w:rsid w:val="00153407"/>
    <w:rsid w:val="00154B07"/>
    <w:rsid w:val="0015773F"/>
    <w:rsid w:val="00174B0F"/>
    <w:rsid w:val="001752CA"/>
    <w:rsid w:val="001C26DC"/>
    <w:rsid w:val="001F5D56"/>
    <w:rsid w:val="001F694B"/>
    <w:rsid w:val="00206583"/>
    <w:rsid w:val="00207257"/>
    <w:rsid w:val="00224747"/>
    <w:rsid w:val="00237AA7"/>
    <w:rsid w:val="00245400"/>
    <w:rsid w:val="002511CD"/>
    <w:rsid w:val="00266B30"/>
    <w:rsid w:val="00272717"/>
    <w:rsid w:val="00295F8A"/>
    <w:rsid w:val="002B6A3A"/>
    <w:rsid w:val="002C033D"/>
    <w:rsid w:val="002F704C"/>
    <w:rsid w:val="00306490"/>
    <w:rsid w:val="00311824"/>
    <w:rsid w:val="00324E4B"/>
    <w:rsid w:val="00336FE2"/>
    <w:rsid w:val="003401D5"/>
    <w:rsid w:val="00347178"/>
    <w:rsid w:val="00351064"/>
    <w:rsid w:val="00363DAB"/>
    <w:rsid w:val="003644DF"/>
    <w:rsid w:val="00374006"/>
    <w:rsid w:val="00377D31"/>
    <w:rsid w:val="003B7D0A"/>
    <w:rsid w:val="003D6111"/>
    <w:rsid w:val="003F6EF9"/>
    <w:rsid w:val="00405A9E"/>
    <w:rsid w:val="0041337D"/>
    <w:rsid w:val="004200F8"/>
    <w:rsid w:val="00420CF1"/>
    <w:rsid w:val="004228EF"/>
    <w:rsid w:val="004350A3"/>
    <w:rsid w:val="0044447A"/>
    <w:rsid w:val="004474DD"/>
    <w:rsid w:val="00447955"/>
    <w:rsid w:val="00452DB7"/>
    <w:rsid w:val="00461A8E"/>
    <w:rsid w:val="00462CDA"/>
    <w:rsid w:val="0046565D"/>
    <w:rsid w:val="00493E78"/>
    <w:rsid w:val="00497908"/>
    <w:rsid w:val="00497934"/>
    <w:rsid w:val="004A76AC"/>
    <w:rsid w:val="004B2038"/>
    <w:rsid w:val="004C6A60"/>
    <w:rsid w:val="004D4C98"/>
    <w:rsid w:val="004E4FC4"/>
    <w:rsid w:val="005039AC"/>
    <w:rsid w:val="00513A99"/>
    <w:rsid w:val="00521CD5"/>
    <w:rsid w:val="00523DF2"/>
    <w:rsid w:val="00575A09"/>
    <w:rsid w:val="00583B72"/>
    <w:rsid w:val="005C0403"/>
    <w:rsid w:val="005C7CC5"/>
    <w:rsid w:val="005D2DFB"/>
    <w:rsid w:val="005D766F"/>
    <w:rsid w:val="005E3F0F"/>
    <w:rsid w:val="005F340D"/>
    <w:rsid w:val="005F4134"/>
    <w:rsid w:val="006025D7"/>
    <w:rsid w:val="0060280E"/>
    <w:rsid w:val="00603FF0"/>
    <w:rsid w:val="00627FCC"/>
    <w:rsid w:val="00630750"/>
    <w:rsid w:val="00636FE3"/>
    <w:rsid w:val="00646C0A"/>
    <w:rsid w:val="00657E26"/>
    <w:rsid w:val="006635A4"/>
    <w:rsid w:val="006727C9"/>
    <w:rsid w:val="006944A8"/>
    <w:rsid w:val="006A5618"/>
    <w:rsid w:val="006A57FB"/>
    <w:rsid w:val="006C3BF0"/>
    <w:rsid w:val="006C5710"/>
    <w:rsid w:val="006F41F6"/>
    <w:rsid w:val="00704E85"/>
    <w:rsid w:val="00725FBB"/>
    <w:rsid w:val="00736FDE"/>
    <w:rsid w:val="00755E9E"/>
    <w:rsid w:val="007815A2"/>
    <w:rsid w:val="007B4C7B"/>
    <w:rsid w:val="007B620C"/>
    <w:rsid w:val="00806083"/>
    <w:rsid w:val="00820F0E"/>
    <w:rsid w:val="00826F95"/>
    <w:rsid w:val="00865299"/>
    <w:rsid w:val="00884AF7"/>
    <w:rsid w:val="008A797A"/>
    <w:rsid w:val="008B1E02"/>
    <w:rsid w:val="008B667D"/>
    <w:rsid w:val="008D0A6F"/>
    <w:rsid w:val="00942999"/>
    <w:rsid w:val="009562C7"/>
    <w:rsid w:val="00956571"/>
    <w:rsid w:val="009860F0"/>
    <w:rsid w:val="009919F0"/>
    <w:rsid w:val="00992DDF"/>
    <w:rsid w:val="009C21AD"/>
    <w:rsid w:val="009D242A"/>
    <w:rsid w:val="009E1737"/>
    <w:rsid w:val="00A005DD"/>
    <w:rsid w:val="00A27953"/>
    <w:rsid w:val="00A35735"/>
    <w:rsid w:val="00A47577"/>
    <w:rsid w:val="00A649C5"/>
    <w:rsid w:val="00A81E07"/>
    <w:rsid w:val="00A90BFD"/>
    <w:rsid w:val="00A923AC"/>
    <w:rsid w:val="00AB4E1F"/>
    <w:rsid w:val="00AC4574"/>
    <w:rsid w:val="00AC6D2F"/>
    <w:rsid w:val="00AE3560"/>
    <w:rsid w:val="00AF36F5"/>
    <w:rsid w:val="00B076F7"/>
    <w:rsid w:val="00B11CC6"/>
    <w:rsid w:val="00B20856"/>
    <w:rsid w:val="00B80BEE"/>
    <w:rsid w:val="00B83187"/>
    <w:rsid w:val="00B87BE1"/>
    <w:rsid w:val="00B91893"/>
    <w:rsid w:val="00BA6577"/>
    <w:rsid w:val="00BE2B0C"/>
    <w:rsid w:val="00BF1E38"/>
    <w:rsid w:val="00BF5640"/>
    <w:rsid w:val="00BF7D5F"/>
    <w:rsid w:val="00C00E0B"/>
    <w:rsid w:val="00C2178B"/>
    <w:rsid w:val="00C66F6F"/>
    <w:rsid w:val="00CB28F4"/>
    <w:rsid w:val="00CB2966"/>
    <w:rsid w:val="00CB54C2"/>
    <w:rsid w:val="00CE3EC3"/>
    <w:rsid w:val="00CF23BF"/>
    <w:rsid w:val="00CF3368"/>
    <w:rsid w:val="00D210CA"/>
    <w:rsid w:val="00D2707C"/>
    <w:rsid w:val="00D276BC"/>
    <w:rsid w:val="00D55240"/>
    <w:rsid w:val="00D72ED3"/>
    <w:rsid w:val="00D9519E"/>
    <w:rsid w:val="00DA27B1"/>
    <w:rsid w:val="00DB2BD0"/>
    <w:rsid w:val="00DC1A39"/>
    <w:rsid w:val="00DC3057"/>
    <w:rsid w:val="00DD2319"/>
    <w:rsid w:val="00DE04EF"/>
    <w:rsid w:val="00DF67D7"/>
    <w:rsid w:val="00E12B2B"/>
    <w:rsid w:val="00E40546"/>
    <w:rsid w:val="00E46B00"/>
    <w:rsid w:val="00E50846"/>
    <w:rsid w:val="00E53FB3"/>
    <w:rsid w:val="00E60BF7"/>
    <w:rsid w:val="00E8143F"/>
    <w:rsid w:val="00E90EA7"/>
    <w:rsid w:val="00EA3582"/>
    <w:rsid w:val="00EA59B6"/>
    <w:rsid w:val="00EA7455"/>
    <w:rsid w:val="00EB0C5B"/>
    <w:rsid w:val="00EB2F4B"/>
    <w:rsid w:val="00F0029F"/>
    <w:rsid w:val="00F0413D"/>
    <w:rsid w:val="00F16381"/>
    <w:rsid w:val="00F43C33"/>
    <w:rsid w:val="00F45287"/>
    <w:rsid w:val="00F52B53"/>
    <w:rsid w:val="00F54773"/>
    <w:rsid w:val="00F56625"/>
    <w:rsid w:val="00F80CB6"/>
    <w:rsid w:val="00F83F7E"/>
    <w:rsid w:val="00F86488"/>
    <w:rsid w:val="00F932B6"/>
    <w:rsid w:val="00FA03BD"/>
    <w:rsid w:val="00FA2C3C"/>
    <w:rsid w:val="00FC0B5C"/>
    <w:rsid w:val="00FC36F8"/>
    <w:rsid w:val="00FD7E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64CBC-C194-4BE2-AEC7-008AC14D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53"/>
    <w:pPr>
      <w:spacing w:after="0" w:line="240" w:lineRule="auto"/>
    </w:pPr>
  </w:style>
  <w:style w:type="paragraph" w:styleId="BodyText">
    <w:name w:val="Body Text"/>
    <w:basedOn w:val="Normal"/>
    <w:link w:val="BodyTextChar"/>
    <w:rsid w:val="00A27953"/>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27953"/>
    <w:rPr>
      <w:rFonts w:ascii="Times New Roman" w:eastAsia="Times New Roman" w:hAnsi="Times New Roman" w:cs="Times New Roman"/>
      <w:sz w:val="24"/>
      <w:szCs w:val="24"/>
      <w:lang w:val="en-GB"/>
    </w:rPr>
  </w:style>
  <w:style w:type="table" w:styleId="TableGrid">
    <w:name w:val="Table Grid"/>
    <w:basedOn w:val="TableNormal"/>
    <w:uiPriority w:val="39"/>
    <w:rsid w:val="00A2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953"/>
  </w:style>
  <w:style w:type="paragraph" w:styleId="Footer">
    <w:name w:val="footer"/>
    <w:basedOn w:val="Normal"/>
    <w:link w:val="FooterChar"/>
    <w:uiPriority w:val="99"/>
    <w:unhideWhenUsed/>
    <w:rsid w:val="00BF7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D5F"/>
  </w:style>
  <w:style w:type="paragraph" w:styleId="FootnoteText">
    <w:name w:val="footnote text"/>
    <w:basedOn w:val="Normal"/>
    <w:link w:val="FootnoteTextChar"/>
    <w:uiPriority w:val="99"/>
    <w:semiHidden/>
    <w:unhideWhenUsed/>
    <w:rsid w:val="00F452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287"/>
    <w:rPr>
      <w:sz w:val="20"/>
      <w:szCs w:val="20"/>
    </w:rPr>
  </w:style>
  <w:style w:type="character" w:styleId="FootnoteReference">
    <w:name w:val="footnote reference"/>
    <w:basedOn w:val="DefaultParagraphFont"/>
    <w:uiPriority w:val="99"/>
    <w:semiHidden/>
    <w:unhideWhenUsed/>
    <w:rsid w:val="00F45287"/>
    <w:rPr>
      <w:vertAlign w:val="superscript"/>
    </w:rPr>
  </w:style>
  <w:style w:type="paragraph" w:styleId="BalloonText">
    <w:name w:val="Balloon Text"/>
    <w:basedOn w:val="Normal"/>
    <w:link w:val="BalloonTextChar"/>
    <w:uiPriority w:val="99"/>
    <w:semiHidden/>
    <w:unhideWhenUsed/>
    <w:rsid w:val="00B87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E1"/>
    <w:rPr>
      <w:rFonts w:ascii="Segoe UI" w:hAnsi="Segoe UI" w:cs="Segoe UI"/>
      <w:sz w:val="18"/>
      <w:szCs w:val="18"/>
    </w:rPr>
  </w:style>
  <w:style w:type="paragraph" w:styleId="ListParagraph">
    <w:name w:val="List Paragraph"/>
    <w:basedOn w:val="Normal"/>
    <w:uiPriority w:val="34"/>
    <w:qFormat/>
    <w:rsid w:val="00884AF7"/>
    <w:pPr>
      <w:ind w:left="720"/>
      <w:contextualSpacing/>
    </w:pPr>
  </w:style>
  <w:style w:type="paragraph" w:styleId="NormalWeb">
    <w:name w:val="Normal (Web)"/>
    <w:basedOn w:val="Normal"/>
    <w:uiPriority w:val="99"/>
    <w:unhideWhenUsed/>
    <w:rsid w:val="00DD231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D2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24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2021-09-13T18:30:00+00:00</Judgment_x0020_Date>
    <Year xmlns="63bdd487-88aa-4c54-b893-ddaa81ed2e7c">2021</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41F55-EE47-4B2D-AB02-55DC9F41B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4CDA5-7ED5-400E-BD18-9B2F8F9A9390}">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DBC57AAF-B597-497A-978F-EBBEAD5421D2}">
  <ds:schemaRefs>
    <ds:schemaRef ds:uri="http://schemas.microsoft.com/sharepoint/v3/contenttype/forms"/>
  </ds:schemaRefs>
</ds:datastoreItem>
</file>

<file path=customXml/itemProps4.xml><?xml version="1.0" encoding="utf-8"?>
<ds:datastoreItem xmlns:ds="http://schemas.openxmlformats.org/officeDocument/2006/customXml" ds:itemID="{36A56379-9992-482C-923A-048E5551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6556</Words>
  <Characters>37371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Prosecutor-General v China South Industry and Trading CC</vt:lpstr>
    </vt:vector>
  </TitlesOfParts>
  <Company/>
  <LinksUpToDate>false</LinksUpToDate>
  <CharactersWithSpaces>43840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Prosecutor-General v China South Industry and Trading CC</dc:title>
  <dc:subject/>
  <dc:creator>Jaboltine Risuro</dc:creator>
  <cp:keywords/>
  <dc:description/>
  <cp:lastModifiedBy>HOME</cp:lastModifiedBy>
  <cp:revision>2</cp:revision>
  <cp:lastPrinted>2021-09-13T06:27:00Z</cp:lastPrinted>
  <dcterms:created xsi:type="dcterms:W3CDTF">2022-02-02T18:22:00Z</dcterms:created>
  <dcterms:modified xsi:type="dcterms:W3CDTF">2022-02-02T18:22:00Z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