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CF34" w14:textId="77777777" w:rsidR="006745FB" w:rsidRDefault="006745FB" w:rsidP="006745FB">
      <w:pPr>
        <w:spacing w:line="480" w:lineRule="auto"/>
        <w:jc w:val="center"/>
        <w:rPr>
          <w:rFonts w:ascii="Arial" w:hAnsi="Arial" w:cs="Arial"/>
          <w:b/>
          <w:sz w:val="24"/>
          <w:szCs w:val="24"/>
          <w:lang w:val="en-US"/>
        </w:rPr>
      </w:pPr>
      <w:r w:rsidRPr="00595EA4">
        <w:rPr>
          <w:rFonts w:ascii="Arial" w:hAnsi="Arial" w:cs="Arial"/>
          <w:b/>
          <w:bCs/>
          <w:noProof/>
          <w:sz w:val="24"/>
          <w:szCs w:val="24"/>
          <w:lang w:val="en-ZA" w:eastAsia="en-ZA"/>
        </w:rPr>
        <w:drawing>
          <wp:inline distT="0" distB="0" distL="0" distR="0" wp14:anchorId="16BE7277" wp14:editId="2339EBD1">
            <wp:extent cx="10731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90625"/>
                    </a:xfrm>
                    <a:prstGeom prst="rect">
                      <a:avLst/>
                    </a:prstGeom>
                    <a:noFill/>
                    <a:ln w="9525">
                      <a:noFill/>
                      <a:miter lim="800000"/>
                      <a:headEnd/>
                      <a:tailEnd/>
                    </a:ln>
                  </pic:spPr>
                </pic:pic>
              </a:graphicData>
            </a:graphic>
          </wp:inline>
        </w:drawing>
      </w:r>
    </w:p>
    <w:p w14:paraId="47BEF76D" w14:textId="77777777" w:rsidR="00E2075F" w:rsidRDefault="00E2075F" w:rsidP="006745FB">
      <w:pPr>
        <w:spacing w:line="480" w:lineRule="auto"/>
        <w:jc w:val="center"/>
        <w:rPr>
          <w:rFonts w:ascii="Arial" w:hAnsi="Arial" w:cs="Arial"/>
          <w:b/>
          <w:sz w:val="24"/>
          <w:szCs w:val="24"/>
          <w:lang w:val="en-US"/>
        </w:rPr>
      </w:pPr>
    </w:p>
    <w:p w14:paraId="0426DC0E" w14:textId="77777777" w:rsidR="00C05498" w:rsidRPr="000A3FB3" w:rsidRDefault="00C05498" w:rsidP="002B6FB6">
      <w:pPr>
        <w:spacing w:line="480" w:lineRule="auto"/>
        <w:ind w:left="1701"/>
        <w:jc w:val="right"/>
        <w:rPr>
          <w:rFonts w:ascii="Arial" w:hAnsi="Arial" w:cs="Arial"/>
          <w:b/>
          <w:sz w:val="24"/>
          <w:szCs w:val="24"/>
          <w:lang w:val="en-US"/>
        </w:rPr>
      </w:pPr>
      <w:r w:rsidRPr="000A3FB3">
        <w:rPr>
          <w:rFonts w:ascii="Arial" w:hAnsi="Arial" w:cs="Arial"/>
          <w:b/>
          <w:sz w:val="24"/>
          <w:szCs w:val="24"/>
          <w:lang w:val="en-US"/>
        </w:rPr>
        <w:t>REPORTABLE</w:t>
      </w:r>
    </w:p>
    <w:p w14:paraId="61D4B530" w14:textId="77777777" w:rsidR="00316E8E" w:rsidRPr="000A3FB3" w:rsidRDefault="00D37627" w:rsidP="002B6FB6">
      <w:pPr>
        <w:spacing w:line="480" w:lineRule="auto"/>
        <w:ind w:left="1701"/>
        <w:jc w:val="right"/>
        <w:rPr>
          <w:rFonts w:ascii="Arial" w:hAnsi="Arial" w:cs="Arial"/>
          <w:sz w:val="24"/>
          <w:szCs w:val="24"/>
          <w:lang w:val="en-US"/>
        </w:rPr>
      </w:pPr>
      <w:r w:rsidRPr="000A3FB3">
        <w:rPr>
          <w:rFonts w:ascii="Arial" w:hAnsi="Arial" w:cs="Arial"/>
          <w:sz w:val="24"/>
          <w:szCs w:val="24"/>
          <w:lang w:val="en-US"/>
        </w:rPr>
        <w:t>CASE NO</w:t>
      </w:r>
      <w:r w:rsidR="00C05498" w:rsidRPr="000A3FB3">
        <w:rPr>
          <w:rFonts w:ascii="Arial" w:hAnsi="Arial" w:cs="Arial"/>
          <w:sz w:val="24"/>
          <w:szCs w:val="24"/>
          <w:lang w:val="en-US"/>
        </w:rPr>
        <w:t xml:space="preserve">: SA </w:t>
      </w:r>
      <w:r w:rsidR="00980E18">
        <w:rPr>
          <w:rFonts w:ascii="Arial" w:hAnsi="Arial" w:cs="Arial"/>
          <w:sz w:val="24"/>
          <w:szCs w:val="24"/>
          <w:lang w:val="en-US"/>
        </w:rPr>
        <w:t>15</w:t>
      </w:r>
      <w:r w:rsidR="00963836" w:rsidRPr="000A3FB3">
        <w:rPr>
          <w:rFonts w:ascii="Arial" w:hAnsi="Arial" w:cs="Arial"/>
          <w:sz w:val="24"/>
          <w:szCs w:val="24"/>
          <w:lang w:val="en-US"/>
        </w:rPr>
        <w:t>/</w:t>
      </w:r>
      <w:r w:rsidR="006F7699" w:rsidRPr="000A3FB3">
        <w:rPr>
          <w:rFonts w:ascii="Arial" w:hAnsi="Arial" w:cs="Arial"/>
          <w:sz w:val="24"/>
          <w:szCs w:val="24"/>
          <w:lang w:val="en-US"/>
        </w:rPr>
        <w:t>20</w:t>
      </w:r>
      <w:r w:rsidR="00980E18">
        <w:rPr>
          <w:rFonts w:ascii="Arial" w:hAnsi="Arial" w:cs="Arial"/>
          <w:sz w:val="24"/>
          <w:szCs w:val="24"/>
          <w:lang w:val="en-US"/>
        </w:rPr>
        <w:t>20</w:t>
      </w:r>
    </w:p>
    <w:p w14:paraId="3837E3CE" w14:textId="77777777" w:rsidR="0083098D" w:rsidRDefault="0083098D" w:rsidP="002B6FB6">
      <w:pPr>
        <w:spacing w:line="480" w:lineRule="auto"/>
        <w:jc w:val="both"/>
        <w:rPr>
          <w:rFonts w:ascii="Arial" w:hAnsi="Arial" w:cs="Arial"/>
          <w:b/>
          <w:sz w:val="24"/>
          <w:szCs w:val="24"/>
          <w:lang w:val="en-US"/>
        </w:rPr>
      </w:pPr>
    </w:p>
    <w:p w14:paraId="532B28DB" w14:textId="77777777" w:rsidR="007D23A3" w:rsidRPr="000A3FB3" w:rsidRDefault="007D23A3" w:rsidP="002B6FB6">
      <w:pPr>
        <w:spacing w:line="480" w:lineRule="auto"/>
        <w:jc w:val="both"/>
        <w:rPr>
          <w:rFonts w:ascii="Arial" w:hAnsi="Arial" w:cs="Arial"/>
          <w:b/>
          <w:sz w:val="24"/>
          <w:szCs w:val="24"/>
          <w:lang w:val="en-US"/>
        </w:rPr>
      </w:pPr>
      <w:r w:rsidRPr="000A3FB3">
        <w:rPr>
          <w:rFonts w:ascii="Arial" w:hAnsi="Arial" w:cs="Arial"/>
          <w:b/>
          <w:sz w:val="24"/>
          <w:szCs w:val="24"/>
          <w:lang w:val="en-US"/>
        </w:rPr>
        <w:t>IN THE SUPREME COURT OF NAMIBIA</w:t>
      </w:r>
    </w:p>
    <w:p w14:paraId="39CB3D4A" w14:textId="77777777" w:rsidR="00DC00C2" w:rsidRDefault="00F90F7B" w:rsidP="004C4C38">
      <w:pPr>
        <w:spacing w:line="480" w:lineRule="auto"/>
        <w:jc w:val="both"/>
        <w:rPr>
          <w:rFonts w:ascii="Arial" w:hAnsi="Arial" w:cs="Arial"/>
          <w:sz w:val="24"/>
          <w:szCs w:val="24"/>
          <w:lang w:val="en-US"/>
        </w:rPr>
      </w:pPr>
      <w:r w:rsidRPr="000A3FB3">
        <w:rPr>
          <w:rFonts w:ascii="Arial" w:hAnsi="Arial" w:cs="Arial"/>
          <w:sz w:val="24"/>
          <w:szCs w:val="24"/>
          <w:lang w:val="en-US"/>
        </w:rPr>
        <w:t>In the matter between</w:t>
      </w:r>
      <w:r w:rsidR="007D23A3" w:rsidRPr="000A3FB3">
        <w:rPr>
          <w:rFonts w:ascii="Arial" w:hAnsi="Arial" w:cs="Arial"/>
          <w:sz w:val="24"/>
          <w:szCs w:val="24"/>
          <w:lang w:val="en-US"/>
        </w:rPr>
        <w:t>:</w:t>
      </w:r>
    </w:p>
    <w:p w14:paraId="44FB10A8" w14:textId="77777777" w:rsidR="008F352B" w:rsidRPr="004C4C38" w:rsidRDefault="008F352B" w:rsidP="004C4C38">
      <w:pPr>
        <w:spacing w:line="480" w:lineRule="auto"/>
        <w:jc w:val="both"/>
        <w:rPr>
          <w:rFonts w:ascii="Arial" w:hAnsi="Arial" w:cs="Arial"/>
          <w:sz w:val="24"/>
          <w:szCs w:val="24"/>
          <w:lang w:val="en-US"/>
        </w:rPr>
      </w:pPr>
    </w:p>
    <w:tbl>
      <w:tblPr>
        <w:tblW w:w="8931" w:type="dxa"/>
        <w:tblInd w:w="-142" w:type="dxa"/>
        <w:tblLook w:val="04A0" w:firstRow="1" w:lastRow="0" w:firstColumn="1" w:lastColumn="0" w:noHBand="0" w:noVBand="1"/>
      </w:tblPr>
      <w:tblGrid>
        <w:gridCol w:w="6204"/>
        <w:gridCol w:w="2727"/>
      </w:tblGrid>
      <w:tr w:rsidR="0083098D" w:rsidRPr="000B2339" w14:paraId="2B965BAE" w14:textId="77777777" w:rsidTr="00DC00C2">
        <w:tc>
          <w:tcPr>
            <w:tcW w:w="6204" w:type="dxa"/>
            <w:shd w:val="clear" w:color="auto" w:fill="auto"/>
          </w:tcPr>
          <w:p w14:paraId="6EBACF86" w14:textId="77777777" w:rsidR="0083098D" w:rsidRPr="000B2339" w:rsidRDefault="0083098D" w:rsidP="00AA40D7">
            <w:pPr>
              <w:pStyle w:val="NoSpacing"/>
              <w:spacing w:line="360" w:lineRule="auto"/>
              <w:rPr>
                <w:rFonts w:ascii="Arial" w:hAnsi="Arial" w:cs="Arial"/>
                <w:b/>
                <w:color w:val="000000" w:themeColor="text1"/>
                <w:sz w:val="24"/>
                <w:szCs w:val="24"/>
              </w:rPr>
            </w:pPr>
            <w:r w:rsidRPr="00980E18">
              <w:rPr>
                <w:rFonts w:ascii="Arial" w:hAnsi="Arial" w:cs="Arial"/>
                <w:b/>
                <w:sz w:val="24"/>
                <w:szCs w:val="24"/>
                <w:lang w:val="en-US"/>
              </w:rPr>
              <w:t>NEWPOINT ELECTRONIC SOLUTIONS (PTY) LTD</w:t>
            </w:r>
          </w:p>
        </w:tc>
        <w:tc>
          <w:tcPr>
            <w:tcW w:w="2727" w:type="dxa"/>
            <w:shd w:val="clear" w:color="auto" w:fill="auto"/>
          </w:tcPr>
          <w:p w14:paraId="0FB8475C" w14:textId="77777777" w:rsidR="0083098D" w:rsidRPr="000B2339" w:rsidRDefault="0083098D" w:rsidP="00DC00C2">
            <w:pPr>
              <w:pStyle w:val="NoSpacing"/>
              <w:spacing w:line="360" w:lineRule="auto"/>
              <w:ind w:right="34"/>
              <w:jc w:val="right"/>
              <w:rPr>
                <w:rFonts w:ascii="Arial" w:hAnsi="Arial" w:cs="Arial"/>
                <w:b/>
                <w:color w:val="000000" w:themeColor="text1"/>
                <w:sz w:val="24"/>
                <w:szCs w:val="24"/>
              </w:rPr>
            </w:pPr>
            <w:r w:rsidRPr="000B2339">
              <w:rPr>
                <w:rFonts w:ascii="Arial" w:hAnsi="Arial" w:cs="Arial"/>
                <w:b/>
                <w:color w:val="000000" w:themeColor="text1"/>
                <w:sz w:val="24"/>
                <w:szCs w:val="24"/>
              </w:rPr>
              <w:t>Appellant</w:t>
            </w:r>
          </w:p>
        </w:tc>
      </w:tr>
      <w:tr w:rsidR="0083098D" w:rsidRPr="000B2339" w14:paraId="098D08A0" w14:textId="77777777" w:rsidTr="00DC00C2">
        <w:tc>
          <w:tcPr>
            <w:tcW w:w="6204" w:type="dxa"/>
            <w:shd w:val="clear" w:color="auto" w:fill="auto"/>
          </w:tcPr>
          <w:p w14:paraId="4247F216" w14:textId="77777777" w:rsidR="0083098D" w:rsidRPr="000B2339" w:rsidRDefault="0083098D" w:rsidP="00AA40D7">
            <w:pPr>
              <w:pStyle w:val="NoSpacing"/>
              <w:spacing w:line="360" w:lineRule="auto"/>
              <w:rPr>
                <w:rFonts w:ascii="Arial" w:hAnsi="Arial" w:cs="Arial"/>
                <w:b/>
                <w:color w:val="000000" w:themeColor="text1"/>
                <w:sz w:val="24"/>
                <w:szCs w:val="24"/>
              </w:rPr>
            </w:pPr>
          </w:p>
        </w:tc>
        <w:tc>
          <w:tcPr>
            <w:tcW w:w="2727" w:type="dxa"/>
            <w:shd w:val="clear" w:color="auto" w:fill="auto"/>
          </w:tcPr>
          <w:p w14:paraId="5D1F0198" w14:textId="77777777" w:rsidR="0083098D" w:rsidRPr="000B2339" w:rsidRDefault="0083098D" w:rsidP="00AA40D7">
            <w:pPr>
              <w:pStyle w:val="NoSpacing"/>
              <w:spacing w:line="360" w:lineRule="auto"/>
              <w:rPr>
                <w:rFonts w:ascii="Arial" w:hAnsi="Arial" w:cs="Arial"/>
                <w:b/>
                <w:color w:val="000000" w:themeColor="text1"/>
                <w:sz w:val="24"/>
                <w:szCs w:val="24"/>
              </w:rPr>
            </w:pPr>
          </w:p>
        </w:tc>
      </w:tr>
      <w:tr w:rsidR="0083098D" w:rsidRPr="000B2339" w14:paraId="17CF167D" w14:textId="77777777" w:rsidTr="00DC00C2">
        <w:tc>
          <w:tcPr>
            <w:tcW w:w="6204" w:type="dxa"/>
            <w:shd w:val="clear" w:color="auto" w:fill="auto"/>
          </w:tcPr>
          <w:p w14:paraId="0290A4E4" w14:textId="77777777" w:rsidR="0083098D" w:rsidRPr="000B2339" w:rsidRDefault="00C40BE9" w:rsidP="00AA40D7">
            <w:pPr>
              <w:pStyle w:val="NoSpacing"/>
              <w:spacing w:line="360" w:lineRule="auto"/>
              <w:rPr>
                <w:rFonts w:ascii="Arial" w:hAnsi="Arial" w:cs="Arial"/>
                <w:color w:val="000000" w:themeColor="text1"/>
                <w:sz w:val="24"/>
                <w:szCs w:val="24"/>
              </w:rPr>
            </w:pPr>
            <w:r>
              <w:rPr>
                <w:rFonts w:ascii="Arial" w:hAnsi="Arial" w:cs="Arial"/>
                <w:color w:val="000000" w:themeColor="text1"/>
                <w:sz w:val="24"/>
                <w:szCs w:val="24"/>
              </w:rPr>
              <w:t>a</w:t>
            </w:r>
            <w:r w:rsidR="0083098D" w:rsidRPr="000B2339">
              <w:rPr>
                <w:rFonts w:ascii="Arial" w:hAnsi="Arial" w:cs="Arial"/>
                <w:color w:val="000000" w:themeColor="text1"/>
                <w:sz w:val="24"/>
                <w:szCs w:val="24"/>
              </w:rPr>
              <w:t>nd</w:t>
            </w:r>
          </w:p>
        </w:tc>
        <w:tc>
          <w:tcPr>
            <w:tcW w:w="2727" w:type="dxa"/>
            <w:shd w:val="clear" w:color="auto" w:fill="auto"/>
          </w:tcPr>
          <w:p w14:paraId="02126C3D" w14:textId="77777777" w:rsidR="0083098D" w:rsidRPr="000B2339" w:rsidRDefault="0083098D" w:rsidP="00AA40D7">
            <w:pPr>
              <w:pStyle w:val="NoSpacing"/>
              <w:spacing w:line="360" w:lineRule="auto"/>
              <w:rPr>
                <w:rFonts w:ascii="Arial" w:hAnsi="Arial" w:cs="Arial"/>
                <w:color w:val="000000" w:themeColor="text1"/>
                <w:sz w:val="24"/>
                <w:szCs w:val="24"/>
              </w:rPr>
            </w:pPr>
          </w:p>
        </w:tc>
      </w:tr>
      <w:tr w:rsidR="0083098D" w:rsidRPr="000B2339" w14:paraId="1CC9A15B" w14:textId="77777777" w:rsidTr="00DC00C2">
        <w:tc>
          <w:tcPr>
            <w:tcW w:w="6204" w:type="dxa"/>
            <w:shd w:val="clear" w:color="auto" w:fill="auto"/>
          </w:tcPr>
          <w:p w14:paraId="7E9E77F8" w14:textId="77777777" w:rsidR="0083098D" w:rsidRPr="000B2339" w:rsidRDefault="0083098D" w:rsidP="00AA40D7">
            <w:pPr>
              <w:pStyle w:val="NoSpacing"/>
              <w:spacing w:line="360" w:lineRule="auto"/>
              <w:rPr>
                <w:rFonts w:ascii="Arial" w:hAnsi="Arial" w:cs="Arial"/>
                <w:b/>
                <w:color w:val="000000" w:themeColor="text1"/>
                <w:sz w:val="24"/>
                <w:szCs w:val="24"/>
              </w:rPr>
            </w:pPr>
          </w:p>
        </w:tc>
        <w:tc>
          <w:tcPr>
            <w:tcW w:w="2727" w:type="dxa"/>
            <w:shd w:val="clear" w:color="auto" w:fill="auto"/>
          </w:tcPr>
          <w:p w14:paraId="206D5103" w14:textId="77777777" w:rsidR="0083098D" w:rsidRPr="000B2339" w:rsidRDefault="0083098D" w:rsidP="00AA40D7">
            <w:pPr>
              <w:pStyle w:val="NoSpacing"/>
              <w:spacing w:line="360" w:lineRule="auto"/>
              <w:rPr>
                <w:rFonts w:ascii="Arial" w:hAnsi="Arial" w:cs="Arial"/>
                <w:b/>
                <w:color w:val="000000" w:themeColor="text1"/>
                <w:sz w:val="24"/>
                <w:szCs w:val="24"/>
              </w:rPr>
            </w:pPr>
          </w:p>
        </w:tc>
      </w:tr>
      <w:tr w:rsidR="0083098D" w:rsidRPr="000B2339" w14:paraId="21AF6ECB" w14:textId="77777777" w:rsidTr="00DC00C2">
        <w:tc>
          <w:tcPr>
            <w:tcW w:w="6204" w:type="dxa"/>
            <w:shd w:val="clear" w:color="auto" w:fill="auto"/>
          </w:tcPr>
          <w:p w14:paraId="7E3FDB8C" w14:textId="77777777" w:rsidR="0083098D" w:rsidRPr="006915D9" w:rsidRDefault="0083098D" w:rsidP="0083098D">
            <w:pPr>
              <w:spacing w:line="360" w:lineRule="auto"/>
              <w:jc w:val="both"/>
              <w:rPr>
                <w:rFonts w:ascii="Arial" w:hAnsi="Arial" w:cs="Arial"/>
                <w:b/>
                <w:sz w:val="24"/>
                <w:szCs w:val="24"/>
                <w:lang w:val="en-US"/>
              </w:rPr>
            </w:pPr>
            <w:r w:rsidRPr="006915D9">
              <w:rPr>
                <w:rFonts w:ascii="Arial" w:hAnsi="Arial" w:cs="Arial"/>
                <w:b/>
                <w:sz w:val="24"/>
                <w:szCs w:val="24"/>
                <w:lang w:val="en-US"/>
              </w:rPr>
              <w:t>PERMANENT SECRETARY</w:t>
            </w:r>
            <w:r w:rsidR="00337CF9">
              <w:rPr>
                <w:rFonts w:ascii="Arial" w:hAnsi="Arial" w:cs="Arial"/>
                <w:b/>
                <w:sz w:val="24"/>
                <w:szCs w:val="24"/>
                <w:lang w:val="en-US"/>
              </w:rPr>
              <w:t>,</w:t>
            </w:r>
            <w:r w:rsidRPr="006915D9">
              <w:rPr>
                <w:rFonts w:ascii="Arial" w:hAnsi="Arial" w:cs="Arial"/>
                <w:b/>
                <w:sz w:val="24"/>
                <w:szCs w:val="24"/>
                <w:lang w:val="en-US"/>
              </w:rPr>
              <w:t xml:space="preserve"> OFFICE OF THE</w:t>
            </w:r>
          </w:p>
          <w:p w14:paraId="72D6929A" w14:textId="77777777" w:rsidR="0083098D" w:rsidRPr="000B2339" w:rsidRDefault="0083098D" w:rsidP="0083098D">
            <w:pPr>
              <w:pStyle w:val="NoSpacing"/>
              <w:spacing w:line="360" w:lineRule="auto"/>
              <w:rPr>
                <w:rFonts w:ascii="Arial" w:hAnsi="Arial" w:cs="Arial"/>
                <w:b/>
                <w:color w:val="000000" w:themeColor="text1"/>
                <w:sz w:val="24"/>
                <w:szCs w:val="24"/>
              </w:rPr>
            </w:pPr>
            <w:r w:rsidRPr="006915D9">
              <w:rPr>
                <w:rFonts w:ascii="Arial" w:hAnsi="Arial" w:cs="Arial"/>
                <w:b/>
                <w:sz w:val="24"/>
                <w:szCs w:val="24"/>
                <w:lang w:val="en-US"/>
              </w:rPr>
              <w:t>PRIME MINISTER</w:t>
            </w:r>
          </w:p>
        </w:tc>
        <w:tc>
          <w:tcPr>
            <w:tcW w:w="2727" w:type="dxa"/>
            <w:shd w:val="clear" w:color="auto" w:fill="auto"/>
          </w:tcPr>
          <w:p w14:paraId="2CC30AD1" w14:textId="77777777" w:rsidR="0083098D" w:rsidRDefault="0083098D" w:rsidP="0083098D">
            <w:pPr>
              <w:pStyle w:val="NoSpacing"/>
              <w:spacing w:line="360" w:lineRule="auto"/>
              <w:jc w:val="right"/>
              <w:rPr>
                <w:rFonts w:ascii="Arial" w:hAnsi="Arial" w:cs="Arial"/>
                <w:b/>
                <w:color w:val="000000" w:themeColor="text1"/>
                <w:sz w:val="24"/>
                <w:szCs w:val="24"/>
              </w:rPr>
            </w:pPr>
          </w:p>
          <w:p w14:paraId="5182CAEB" w14:textId="77777777" w:rsidR="0083098D" w:rsidRPr="000B2339" w:rsidRDefault="0083098D" w:rsidP="0083098D">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Respondent</w:t>
            </w:r>
          </w:p>
        </w:tc>
      </w:tr>
      <w:tr w:rsidR="005E5472" w:rsidRPr="000B2339" w14:paraId="4B882FB1" w14:textId="77777777" w:rsidTr="00DC00C2">
        <w:tc>
          <w:tcPr>
            <w:tcW w:w="6204" w:type="dxa"/>
            <w:shd w:val="clear" w:color="auto" w:fill="auto"/>
          </w:tcPr>
          <w:p w14:paraId="623A17EB" w14:textId="77777777" w:rsidR="005E5472" w:rsidRPr="006915D9" w:rsidRDefault="005E5472" w:rsidP="0083098D">
            <w:pPr>
              <w:spacing w:line="360" w:lineRule="auto"/>
              <w:jc w:val="both"/>
              <w:rPr>
                <w:rFonts w:ascii="Arial" w:hAnsi="Arial" w:cs="Arial"/>
                <w:b/>
                <w:sz w:val="24"/>
                <w:szCs w:val="24"/>
                <w:lang w:val="en-US"/>
              </w:rPr>
            </w:pPr>
            <w:r>
              <w:rPr>
                <w:rFonts w:ascii="Arial" w:hAnsi="Arial" w:cs="Arial"/>
                <w:b/>
                <w:sz w:val="24"/>
                <w:szCs w:val="24"/>
                <w:lang w:val="en-US"/>
              </w:rPr>
              <w:t>PRIME MINISTER OF THE REPUBLIC OF NAMIBIA</w:t>
            </w:r>
          </w:p>
        </w:tc>
        <w:tc>
          <w:tcPr>
            <w:tcW w:w="2727" w:type="dxa"/>
            <w:shd w:val="clear" w:color="auto" w:fill="auto"/>
          </w:tcPr>
          <w:p w14:paraId="69B478B9" w14:textId="77777777" w:rsidR="005E5472" w:rsidRDefault="005E5472" w:rsidP="0083098D">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Respondent</w:t>
            </w:r>
          </w:p>
        </w:tc>
      </w:tr>
    </w:tbl>
    <w:p w14:paraId="429A7503" w14:textId="77777777" w:rsidR="0083098D" w:rsidRDefault="0083098D" w:rsidP="00135D9C">
      <w:pPr>
        <w:spacing w:line="360" w:lineRule="auto"/>
        <w:jc w:val="both"/>
        <w:rPr>
          <w:rFonts w:ascii="Arial" w:hAnsi="Arial" w:cs="Arial"/>
          <w:b/>
          <w:sz w:val="24"/>
          <w:szCs w:val="24"/>
          <w:lang w:val="en-US"/>
        </w:rPr>
      </w:pPr>
    </w:p>
    <w:p w14:paraId="3A87DA84" w14:textId="77777777" w:rsidR="00135D9C" w:rsidRDefault="00135D9C" w:rsidP="00135D9C">
      <w:pPr>
        <w:spacing w:line="360" w:lineRule="auto"/>
        <w:jc w:val="both"/>
        <w:rPr>
          <w:rFonts w:ascii="Arial" w:hAnsi="Arial" w:cs="Arial"/>
          <w:b/>
          <w:sz w:val="24"/>
          <w:szCs w:val="24"/>
          <w:lang w:val="en-US"/>
        </w:rPr>
      </w:pPr>
    </w:p>
    <w:p w14:paraId="08D6DF69" w14:textId="77777777" w:rsidR="007D23A3" w:rsidRPr="000A3FB3" w:rsidRDefault="00C301D8" w:rsidP="002B6FB6">
      <w:pPr>
        <w:spacing w:line="480" w:lineRule="auto"/>
        <w:jc w:val="both"/>
        <w:rPr>
          <w:rFonts w:ascii="Arial" w:hAnsi="Arial" w:cs="Arial"/>
          <w:sz w:val="24"/>
          <w:szCs w:val="24"/>
          <w:lang w:val="en-US"/>
        </w:rPr>
      </w:pPr>
      <w:r w:rsidRPr="000A3FB3">
        <w:rPr>
          <w:rFonts w:ascii="Arial" w:hAnsi="Arial" w:cs="Arial"/>
          <w:b/>
          <w:sz w:val="24"/>
          <w:szCs w:val="24"/>
          <w:lang w:val="en-US"/>
        </w:rPr>
        <w:t>Coram:</w:t>
      </w:r>
      <w:r w:rsidRPr="000A3FB3">
        <w:rPr>
          <w:rFonts w:ascii="Arial" w:hAnsi="Arial" w:cs="Arial"/>
          <w:sz w:val="24"/>
          <w:szCs w:val="24"/>
          <w:lang w:val="en-US"/>
        </w:rPr>
        <w:tab/>
      </w:r>
      <w:r w:rsidRPr="000A3FB3">
        <w:rPr>
          <w:rFonts w:ascii="Arial" w:hAnsi="Arial" w:cs="Arial"/>
          <w:sz w:val="24"/>
          <w:szCs w:val="24"/>
          <w:lang w:val="en-US"/>
        </w:rPr>
        <w:tab/>
      </w:r>
      <w:r w:rsidR="006915D9">
        <w:rPr>
          <w:rFonts w:ascii="Arial" w:hAnsi="Arial" w:cs="Arial"/>
          <w:sz w:val="24"/>
          <w:szCs w:val="24"/>
          <w:lang w:val="en-US"/>
        </w:rPr>
        <w:t>FRANK AJA</w:t>
      </w:r>
      <w:r w:rsidR="002664BA" w:rsidRPr="000A3FB3">
        <w:rPr>
          <w:rFonts w:ascii="Arial" w:hAnsi="Arial" w:cs="Arial"/>
          <w:sz w:val="24"/>
          <w:szCs w:val="24"/>
          <w:lang w:val="en-US"/>
        </w:rPr>
        <w:t xml:space="preserve">, </w:t>
      </w:r>
      <w:r w:rsidR="006915D9">
        <w:rPr>
          <w:rFonts w:ascii="Arial" w:hAnsi="Arial" w:cs="Arial"/>
          <w:sz w:val="24"/>
          <w:szCs w:val="24"/>
          <w:lang w:val="en-US"/>
        </w:rPr>
        <w:t>LIEBENBERG A</w:t>
      </w:r>
      <w:r w:rsidR="002664BA" w:rsidRPr="000A3FB3">
        <w:rPr>
          <w:rFonts w:ascii="Arial" w:hAnsi="Arial" w:cs="Arial"/>
          <w:sz w:val="24"/>
          <w:szCs w:val="24"/>
          <w:lang w:val="en-US"/>
        </w:rPr>
        <w:t xml:space="preserve">JA and </w:t>
      </w:r>
      <w:r w:rsidR="006915D9">
        <w:rPr>
          <w:rFonts w:ascii="Arial" w:hAnsi="Arial" w:cs="Arial"/>
          <w:sz w:val="24"/>
          <w:szCs w:val="24"/>
          <w:lang w:val="en-US"/>
        </w:rPr>
        <w:t>UEITELE A</w:t>
      </w:r>
      <w:r w:rsidR="008600BA" w:rsidRPr="000A3FB3">
        <w:rPr>
          <w:rFonts w:ascii="Arial" w:hAnsi="Arial" w:cs="Arial"/>
          <w:sz w:val="24"/>
          <w:szCs w:val="24"/>
          <w:lang w:val="en-US"/>
        </w:rPr>
        <w:t>JA</w:t>
      </w:r>
    </w:p>
    <w:p w14:paraId="36457060" w14:textId="77777777" w:rsidR="007D23A3" w:rsidRPr="000A3FB3" w:rsidRDefault="007D23A3" w:rsidP="002B6FB6">
      <w:pPr>
        <w:spacing w:line="480" w:lineRule="auto"/>
        <w:jc w:val="both"/>
        <w:rPr>
          <w:rFonts w:ascii="Arial" w:hAnsi="Arial" w:cs="Arial"/>
          <w:b/>
          <w:sz w:val="24"/>
          <w:szCs w:val="24"/>
          <w:lang w:val="en-US"/>
        </w:rPr>
      </w:pPr>
      <w:r w:rsidRPr="000A3FB3">
        <w:rPr>
          <w:rFonts w:ascii="Arial" w:hAnsi="Arial" w:cs="Arial"/>
          <w:b/>
          <w:sz w:val="24"/>
          <w:szCs w:val="24"/>
          <w:lang w:val="en-US"/>
        </w:rPr>
        <w:t>H</w:t>
      </w:r>
      <w:r w:rsidR="00C05498" w:rsidRPr="000A3FB3">
        <w:rPr>
          <w:rFonts w:ascii="Arial" w:hAnsi="Arial" w:cs="Arial"/>
          <w:b/>
          <w:sz w:val="24"/>
          <w:szCs w:val="24"/>
          <w:lang w:val="en-US"/>
        </w:rPr>
        <w:t>eard</w:t>
      </w:r>
      <w:r w:rsidRPr="000A3FB3">
        <w:rPr>
          <w:rFonts w:ascii="Arial" w:hAnsi="Arial" w:cs="Arial"/>
          <w:b/>
          <w:sz w:val="24"/>
          <w:szCs w:val="24"/>
          <w:lang w:val="en-US"/>
        </w:rPr>
        <w:t>:</w:t>
      </w:r>
      <w:r w:rsidRPr="000A3FB3">
        <w:rPr>
          <w:rFonts w:ascii="Arial" w:hAnsi="Arial" w:cs="Arial"/>
          <w:b/>
          <w:sz w:val="24"/>
          <w:szCs w:val="24"/>
          <w:lang w:val="en-US"/>
        </w:rPr>
        <w:tab/>
      </w:r>
      <w:r w:rsidRPr="000A3FB3">
        <w:rPr>
          <w:rFonts w:ascii="Arial" w:hAnsi="Arial" w:cs="Arial"/>
          <w:b/>
          <w:sz w:val="24"/>
          <w:szCs w:val="24"/>
          <w:lang w:val="en-US"/>
        </w:rPr>
        <w:tab/>
      </w:r>
      <w:r w:rsidR="006915D9">
        <w:rPr>
          <w:rFonts w:ascii="Arial" w:hAnsi="Arial" w:cs="Arial"/>
          <w:b/>
          <w:sz w:val="24"/>
          <w:szCs w:val="24"/>
          <w:lang w:val="en-US"/>
        </w:rPr>
        <w:t xml:space="preserve">18 </w:t>
      </w:r>
      <w:r w:rsidR="002664BA" w:rsidRPr="000A3FB3">
        <w:rPr>
          <w:rFonts w:ascii="Arial" w:hAnsi="Arial" w:cs="Arial"/>
          <w:b/>
          <w:sz w:val="24"/>
          <w:szCs w:val="24"/>
          <w:lang w:val="en-US"/>
        </w:rPr>
        <w:t>March</w:t>
      </w:r>
      <w:r w:rsidR="00360184" w:rsidRPr="000A3FB3">
        <w:rPr>
          <w:rFonts w:ascii="Arial" w:hAnsi="Arial" w:cs="Arial"/>
          <w:b/>
          <w:sz w:val="24"/>
          <w:szCs w:val="24"/>
          <w:lang w:val="en-US"/>
        </w:rPr>
        <w:t xml:space="preserve"> </w:t>
      </w:r>
      <w:r w:rsidRPr="000A3FB3">
        <w:rPr>
          <w:rFonts w:ascii="Arial" w:hAnsi="Arial" w:cs="Arial"/>
          <w:b/>
          <w:sz w:val="24"/>
          <w:szCs w:val="24"/>
          <w:lang w:val="en-US"/>
        </w:rPr>
        <w:t>20</w:t>
      </w:r>
      <w:r w:rsidR="006915D9">
        <w:rPr>
          <w:rFonts w:ascii="Arial" w:hAnsi="Arial" w:cs="Arial"/>
          <w:b/>
          <w:sz w:val="24"/>
          <w:szCs w:val="24"/>
          <w:lang w:val="en-US"/>
        </w:rPr>
        <w:t>22</w:t>
      </w:r>
    </w:p>
    <w:p w14:paraId="20F4D351" w14:textId="77777777" w:rsidR="009C2702" w:rsidRDefault="00C05498" w:rsidP="002B6FB6">
      <w:pPr>
        <w:spacing w:line="480" w:lineRule="auto"/>
        <w:jc w:val="both"/>
        <w:rPr>
          <w:rFonts w:ascii="Arial" w:hAnsi="Arial" w:cs="Arial"/>
          <w:b/>
          <w:sz w:val="24"/>
          <w:szCs w:val="24"/>
          <w:lang w:val="en-US"/>
        </w:rPr>
      </w:pPr>
      <w:r w:rsidRPr="000A3FB3">
        <w:rPr>
          <w:rFonts w:ascii="Arial" w:hAnsi="Arial" w:cs="Arial"/>
          <w:b/>
          <w:sz w:val="24"/>
          <w:szCs w:val="24"/>
          <w:lang w:val="en-US"/>
        </w:rPr>
        <w:t>Delivered</w:t>
      </w:r>
      <w:r w:rsidR="007D23A3" w:rsidRPr="000A3FB3">
        <w:rPr>
          <w:rFonts w:ascii="Arial" w:hAnsi="Arial" w:cs="Arial"/>
          <w:b/>
          <w:sz w:val="24"/>
          <w:szCs w:val="24"/>
          <w:lang w:val="en-US"/>
        </w:rPr>
        <w:t>:</w:t>
      </w:r>
      <w:r w:rsidR="00642639" w:rsidRPr="000A3FB3">
        <w:rPr>
          <w:rFonts w:ascii="Arial" w:hAnsi="Arial" w:cs="Arial"/>
          <w:b/>
          <w:sz w:val="24"/>
          <w:szCs w:val="24"/>
          <w:lang w:val="en-US"/>
        </w:rPr>
        <w:tab/>
      </w:r>
      <w:r w:rsidR="00BB3B17" w:rsidRPr="000A3FB3">
        <w:rPr>
          <w:rFonts w:ascii="Arial" w:hAnsi="Arial" w:cs="Arial"/>
          <w:b/>
          <w:sz w:val="24"/>
          <w:szCs w:val="24"/>
          <w:lang w:val="en-US"/>
        </w:rPr>
        <w:tab/>
      </w:r>
      <w:r w:rsidR="000C702C" w:rsidRPr="000C702C">
        <w:rPr>
          <w:rFonts w:ascii="Arial" w:hAnsi="Arial" w:cs="Arial"/>
          <w:b/>
          <w:sz w:val="24"/>
          <w:szCs w:val="24"/>
          <w:lang w:val="en-US"/>
        </w:rPr>
        <w:t xml:space="preserve">3 </w:t>
      </w:r>
      <w:r w:rsidR="00ED1564" w:rsidRPr="000C702C">
        <w:rPr>
          <w:rFonts w:ascii="Arial" w:hAnsi="Arial" w:cs="Arial"/>
          <w:b/>
          <w:sz w:val="24"/>
          <w:szCs w:val="24"/>
          <w:lang w:val="en-US"/>
        </w:rPr>
        <w:t>O</w:t>
      </w:r>
      <w:r w:rsidR="00ED1564">
        <w:rPr>
          <w:rFonts w:ascii="Arial" w:hAnsi="Arial" w:cs="Arial"/>
          <w:b/>
          <w:sz w:val="24"/>
          <w:szCs w:val="24"/>
          <w:lang w:val="en-US"/>
        </w:rPr>
        <w:t>cto</w:t>
      </w:r>
      <w:r w:rsidR="00AD2C5C">
        <w:rPr>
          <w:rFonts w:ascii="Arial" w:hAnsi="Arial" w:cs="Arial"/>
          <w:b/>
          <w:sz w:val="24"/>
          <w:szCs w:val="24"/>
          <w:lang w:val="en-US"/>
        </w:rPr>
        <w:t>ber 2022</w:t>
      </w:r>
    </w:p>
    <w:p w14:paraId="6B5B85FE" w14:textId="77777777" w:rsidR="0083098D" w:rsidRDefault="0083098D" w:rsidP="003D38CD">
      <w:pPr>
        <w:spacing w:line="240" w:lineRule="auto"/>
        <w:jc w:val="both"/>
        <w:rPr>
          <w:rFonts w:ascii="Arial" w:hAnsi="Arial" w:cs="Arial"/>
          <w:b/>
          <w:sz w:val="24"/>
          <w:szCs w:val="24"/>
          <w:lang w:val="en-US"/>
        </w:rPr>
      </w:pPr>
    </w:p>
    <w:p w14:paraId="31304AA0" w14:textId="77777777" w:rsidR="00135D9C" w:rsidRDefault="00135D9C" w:rsidP="003D38CD">
      <w:pPr>
        <w:spacing w:line="240" w:lineRule="auto"/>
        <w:jc w:val="both"/>
        <w:rPr>
          <w:rFonts w:ascii="Arial" w:hAnsi="Arial" w:cs="Arial"/>
          <w:b/>
          <w:sz w:val="24"/>
          <w:szCs w:val="24"/>
          <w:lang w:val="en-US"/>
        </w:rPr>
      </w:pPr>
    </w:p>
    <w:p w14:paraId="24AB9E97" w14:textId="77777777" w:rsidR="003D38CD" w:rsidRDefault="003774F9" w:rsidP="0083098D">
      <w:pPr>
        <w:spacing w:line="360" w:lineRule="auto"/>
        <w:jc w:val="both"/>
        <w:rPr>
          <w:rFonts w:ascii="Arial" w:hAnsi="Arial" w:cs="Arial"/>
          <w:sz w:val="24"/>
          <w:szCs w:val="24"/>
          <w:lang w:val="en-US"/>
        </w:rPr>
      </w:pPr>
      <w:r w:rsidRPr="00BF37C4">
        <w:rPr>
          <w:rFonts w:ascii="Arial" w:hAnsi="Arial" w:cs="Arial"/>
          <w:b/>
          <w:sz w:val="24"/>
          <w:szCs w:val="24"/>
          <w:lang w:val="en-US"/>
        </w:rPr>
        <w:t>Summary:</w:t>
      </w:r>
      <w:r w:rsidR="00BF37C4" w:rsidRPr="00BF37C4">
        <w:rPr>
          <w:rFonts w:ascii="Arial" w:hAnsi="Arial" w:cs="Arial"/>
          <w:b/>
          <w:sz w:val="24"/>
          <w:szCs w:val="24"/>
          <w:lang w:val="en-US"/>
        </w:rPr>
        <w:t xml:space="preserve"> </w:t>
      </w:r>
      <w:r w:rsidR="00BF37C4">
        <w:rPr>
          <w:rFonts w:ascii="Arial" w:hAnsi="Arial" w:cs="Arial"/>
          <w:b/>
          <w:sz w:val="24"/>
          <w:szCs w:val="24"/>
          <w:lang w:val="en-US"/>
        </w:rPr>
        <w:tab/>
      </w:r>
      <w:r w:rsidR="00BF37C4">
        <w:rPr>
          <w:rFonts w:ascii="Arial" w:hAnsi="Arial" w:cs="Arial"/>
          <w:sz w:val="24"/>
          <w:szCs w:val="24"/>
          <w:lang w:val="en-US"/>
        </w:rPr>
        <w:t xml:space="preserve">During </w:t>
      </w:r>
      <w:r w:rsidR="001E29C9">
        <w:rPr>
          <w:rFonts w:ascii="Arial" w:hAnsi="Arial" w:cs="Arial"/>
          <w:sz w:val="24"/>
          <w:szCs w:val="24"/>
          <w:lang w:val="en-US"/>
        </w:rPr>
        <w:t xml:space="preserve">the year </w:t>
      </w:r>
      <w:r w:rsidR="00BF37C4">
        <w:rPr>
          <w:rFonts w:ascii="Arial" w:hAnsi="Arial" w:cs="Arial"/>
          <w:sz w:val="24"/>
          <w:szCs w:val="24"/>
          <w:lang w:val="en-US"/>
        </w:rPr>
        <w:t>2015 the then Tender Board of Namibia</w:t>
      </w:r>
      <w:r w:rsidR="005E5472">
        <w:rPr>
          <w:rFonts w:ascii="Arial" w:hAnsi="Arial" w:cs="Arial"/>
          <w:sz w:val="24"/>
          <w:szCs w:val="24"/>
          <w:lang w:val="en-US"/>
        </w:rPr>
        <w:t xml:space="preserve"> (the board)</w:t>
      </w:r>
      <w:r w:rsidR="00BF37C4">
        <w:rPr>
          <w:rFonts w:ascii="Arial" w:hAnsi="Arial" w:cs="Arial"/>
          <w:sz w:val="24"/>
          <w:szCs w:val="24"/>
          <w:lang w:val="en-US"/>
        </w:rPr>
        <w:t>, placed adverts in the media inviting expressions of interest from interested bidders for the implementation of the Oracle Payroll, Maintenance and Support of the Existing Human Capital Management Service</w:t>
      </w:r>
      <w:r w:rsidR="001E29C9">
        <w:rPr>
          <w:rFonts w:ascii="Arial" w:hAnsi="Arial" w:cs="Arial"/>
          <w:sz w:val="24"/>
          <w:szCs w:val="24"/>
          <w:lang w:val="en-US"/>
        </w:rPr>
        <w:t xml:space="preserve"> under </w:t>
      </w:r>
      <w:r w:rsidR="001E29C9" w:rsidRPr="00D22685">
        <w:rPr>
          <w:rFonts w:ascii="Arial" w:hAnsi="Arial" w:cs="Arial"/>
          <w:sz w:val="24"/>
          <w:lang w:val="en-US"/>
        </w:rPr>
        <w:t>Tender No</w:t>
      </w:r>
      <w:r w:rsidR="000C702C">
        <w:rPr>
          <w:rFonts w:ascii="Arial" w:hAnsi="Arial" w:cs="Arial"/>
          <w:sz w:val="24"/>
          <w:lang w:val="en-US"/>
        </w:rPr>
        <w:t>.</w:t>
      </w:r>
      <w:r w:rsidR="001E29C9" w:rsidRPr="00D22685">
        <w:rPr>
          <w:rFonts w:ascii="Arial" w:hAnsi="Arial" w:cs="Arial"/>
          <w:sz w:val="24"/>
          <w:lang w:val="en-US"/>
        </w:rPr>
        <w:t xml:space="preserve"> E1/2-7/2015</w:t>
      </w:r>
      <w:r w:rsidR="005E5472">
        <w:rPr>
          <w:rFonts w:ascii="Arial" w:hAnsi="Arial" w:cs="Arial"/>
          <w:sz w:val="24"/>
          <w:lang w:val="en-US"/>
        </w:rPr>
        <w:t xml:space="preserve"> (the tender)</w:t>
      </w:r>
      <w:r w:rsidR="00BF37C4">
        <w:rPr>
          <w:rFonts w:ascii="Arial" w:hAnsi="Arial" w:cs="Arial"/>
          <w:sz w:val="24"/>
          <w:szCs w:val="24"/>
          <w:lang w:val="en-US"/>
        </w:rPr>
        <w:t>.</w:t>
      </w:r>
      <w:r w:rsidR="00792811">
        <w:rPr>
          <w:rFonts w:ascii="Arial" w:hAnsi="Arial" w:cs="Arial"/>
          <w:sz w:val="24"/>
          <w:szCs w:val="24"/>
          <w:lang w:val="en-US"/>
        </w:rPr>
        <w:t xml:space="preserve"> To be implemented at the Office of the Prime Minister.</w:t>
      </w:r>
    </w:p>
    <w:p w14:paraId="66EFBEC0" w14:textId="77777777" w:rsidR="005E5472" w:rsidRDefault="005E5472" w:rsidP="0083098D">
      <w:pPr>
        <w:spacing w:line="360" w:lineRule="auto"/>
        <w:jc w:val="both"/>
        <w:rPr>
          <w:rFonts w:ascii="Arial" w:hAnsi="Arial" w:cs="Arial"/>
          <w:sz w:val="24"/>
          <w:szCs w:val="24"/>
          <w:lang w:val="en-US"/>
        </w:rPr>
      </w:pPr>
    </w:p>
    <w:p w14:paraId="1675B8EC" w14:textId="77777777" w:rsidR="00ED4AAC" w:rsidRDefault="00A048EE" w:rsidP="0083098D">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On </w:t>
      </w:r>
      <w:r w:rsidR="00BF37C4">
        <w:rPr>
          <w:rFonts w:ascii="Arial" w:hAnsi="Arial" w:cs="Arial"/>
          <w:sz w:val="24"/>
          <w:szCs w:val="24"/>
          <w:lang w:val="en-US"/>
        </w:rPr>
        <w:t xml:space="preserve">5 April 2016, the secretary to the board informed the appellant that it was the successful </w:t>
      </w:r>
      <w:proofErr w:type="gramStart"/>
      <w:r w:rsidR="00BF37C4">
        <w:rPr>
          <w:rFonts w:ascii="Arial" w:hAnsi="Arial" w:cs="Arial"/>
          <w:sz w:val="24"/>
          <w:szCs w:val="24"/>
          <w:lang w:val="en-US"/>
        </w:rPr>
        <w:t>bidder</w:t>
      </w:r>
      <w:proofErr w:type="gramEnd"/>
      <w:r w:rsidR="00BF37C4">
        <w:rPr>
          <w:rFonts w:ascii="Arial" w:hAnsi="Arial" w:cs="Arial"/>
          <w:sz w:val="24"/>
          <w:szCs w:val="24"/>
          <w:lang w:val="en-US"/>
        </w:rPr>
        <w:t xml:space="preserve"> and it was awarded the tender. </w:t>
      </w:r>
      <w:r w:rsidR="00011F6A">
        <w:rPr>
          <w:rFonts w:ascii="Arial" w:hAnsi="Arial" w:cs="Arial"/>
          <w:sz w:val="24"/>
          <w:szCs w:val="24"/>
          <w:lang w:val="en-US"/>
        </w:rPr>
        <w:t xml:space="preserve">On 19 April 2016, the first respondent informed the appellant that the office of the second respondent was in </w:t>
      </w:r>
      <w:r w:rsidR="00B3034E">
        <w:rPr>
          <w:rFonts w:ascii="Arial" w:hAnsi="Arial" w:cs="Arial"/>
          <w:sz w:val="24"/>
          <w:szCs w:val="24"/>
          <w:lang w:val="en-US"/>
        </w:rPr>
        <w:t xml:space="preserve">the </w:t>
      </w:r>
      <w:r w:rsidR="00011F6A">
        <w:rPr>
          <w:rFonts w:ascii="Arial" w:hAnsi="Arial" w:cs="Arial"/>
          <w:sz w:val="24"/>
          <w:szCs w:val="24"/>
          <w:lang w:val="en-US"/>
        </w:rPr>
        <w:t>process of drafting a service level agreement, and requested the appellant</w:t>
      </w:r>
      <w:r w:rsidR="00EB67F1">
        <w:rPr>
          <w:rFonts w:ascii="Arial" w:hAnsi="Arial" w:cs="Arial"/>
          <w:sz w:val="24"/>
          <w:szCs w:val="24"/>
          <w:lang w:val="en-US"/>
        </w:rPr>
        <w:t xml:space="preserve"> </w:t>
      </w:r>
      <w:r w:rsidR="00C711EC">
        <w:rPr>
          <w:rFonts w:ascii="Arial" w:hAnsi="Arial" w:cs="Arial"/>
          <w:sz w:val="24"/>
          <w:szCs w:val="24"/>
          <w:lang w:val="en-US"/>
        </w:rPr>
        <w:t>to;</w:t>
      </w:r>
      <w:r w:rsidR="00011F6A">
        <w:rPr>
          <w:rFonts w:ascii="Arial" w:hAnsi="Arial" w:cs="Arial"/>
          <w:sz w:val="24"/>
          <w:szCs w:val="24"/>
          <w:lang w:val="en-US"/>
        </w:rPr>
        <w:t xml:space="preserve"> in the meantime, prepare a project implementation plan incl</w:t>
      </w:r>
      <w:r w:rsidR="00ED4AAC">
        <w:rPr>
          <w:rFonts w:ascii="Arial" w:hAnsi="Arial" w:cs="Arial"/>
          <w:sz w:val="24"/>
          <w:szCs w:val="24"/>
          <w:lang w:val="en-US"/>
        </w:rPr>
        <w:t xml:space="preserve">uding a detailed training plan. </w:t>
      </w:r>
    </w:p>
    <w:p w14:paraId="3D440229" w14:textId="77777777" w:rsidR="00ED4AAC" w:rsidRDefault="00ED4AAC" w:rsidP="0083098D">
      <w:pPr>
        <w:spacing w:line="360" w:lineRule="auto"/>
        <w:jc w:val="both"/>
        <w:rPr>
          <w:rFonts w:ascii="Arial" w:hAnsi="Arial" w:cs="Arial"/>
          <w:sz w:val="24"/>
          <w:szCs w:val="24"/>
          <w:lang w:val="en-US"/>
        </w:rPr>
      </w:pPr>
    </w:p>
    <w:p w14:paraId="7513C338" w14:textId="77777777" w:rsidR="00C83C06" w:rsidRDefault="003B5945" w:rsidP="0083098D">
      <w:pPr>
        <w:pStyle w:val="NoSpacing"/>
        <w:spacing w:line="360" w:lineRule="auto"/>
        <w:jc w:val="both"/>
        <w:rPr>
          <w:rFonts w:ascii="Arial" w:hAnsi="Arial" w:cs="Arial"/>
          <w:sz w:val="24"/>
        </w:rPr>
      </w:pPr>
      <w:r>
        <w:rPr>
          <w:rFonts w:ascii="Arial" w:hAnsi="Arial" w:cs="Arial"/>
          <w:sz w:val="24"/>
          <w:szCs w:val="24"/>
          <w:lang w:val="en-US"/>
        </w:rPr>
        <w:t>O</w:t>
      </w:r>
      <w:r w:rsidR="00011F6A">
        <w:rPr>
          <w:rFonts w:ascii="Arial" w:hAnsi="Arial" w:cs="Arial"/>
          <w:sz w:val="24"/>
          <w:szCs w:val="24"/>
          <w:lang w:val="en-US"/>
        </w:rPr>
        <w:t xml:space="preserve">n 30 June </w:t>
      </w:r>
      <w:r>
        <w:rPr>
          <w:rFonts w:ascii="Arial" w:hAnsi="Arial" w:cs="Arial"/>
          <w:sz w:val="24"/>
          <w:szCs w:val="24"/>
          <w:lang w:val="en-US"/>
        </w:rPr>
        <w:t>2016,</w:t>
      </w:r>
      <w:r w:rsidR="00011F6A">
        <w:rPr>
          <w:rFonts w:ascii="Arial" w:hAnsi="Arial" w:cs="Arial"/>
          <w:sz w:val="24"/>
          <w:szCs w:val="24"/>
          <w:lang w:val="en-US"/>
        </w:rPr>
        <w:t xml:space="preserve"> </w:t>
      </w:r>
      <w:r>
        <w:rPr>
          <w:rFonts w:ascii="Arial" w:hAnsi="Arial" w:cs="Arial"/>
          <w:sz w:val="24"/>
          <w:szCs w:val="24"/>
          <w:lang w:val="en-US"/>
        </w:rPr>
        <w:t xml:space="preserve">the appellant and the first respondent (acting on behalf of the second respondent) </w:t>
      </w:r>
      <w:r w:rsidR="00EB67F1">
        <w:rPr>
          <w:rFonts w:ascii="Arial" w:hAnsi="Arial" w:cs="Arial"/>
          <w:sz w:val="24"/>
          <w:szCs w:val="24"/>
          <w:lang w:val="en-US"/>
        </w:rPr>
        <w:t xml:space="preserve">signed the </w:t>
      </w:r>
      <w:r>
        <w:rPr>
          <w:rFonts w:ascii="Arial" w:hAnsi="Arial" w:cs="Arial"/>
          <w:sz w:val="24"/>
          <w:szCs w:val="24"/>
          <w:lang w:val="en-US"/>
        </w:rPr>
        <w:t>Service Level A</w:t>
      </w:r>
      <w:r w:rsidR="00EB67F1">
        <w:rPr>
          <w:rFonts w:ascii="Arial" w:hAnsi="Arial" w:cs="Arial"/>
          <w:sz w:val="24"/>
          <w:szCs w:val="24"/>
          <w:lang w:val="en-US"/>
        </w:rPr>
        <w:t xml:space="preserve">greement. </w:t>
      </w:r>
      <w:r>
        <w:rPr>
          <w:rFonts w:ascii="Arial" w:hAnsi="Arial" w:cs="Arial"/>
          <w:sz w:val="24"/>
        </w:rPr>
        <w:t>As</w:t>
      </w:r>
      <w:r w:rsidRPr="00D22685">
        <w:rPr>
          <w:rFonts w:ascii="Arial" w:hAnsi="Arial" w:cs="Arial"/>
          <w:sz w:val="24"/>
        </w:rPr>
        <w:t xml:space="preserve"> of </w:t>
      </w:r>
      <w:proofErr w:type="gramStart"/>
      <w:r w:rsidRPr="00D22685">
        <w:rPr>
          <w:rFonts w:ascii="Arial" w:hAnsi="Arial" w:cs="Arial"/>
          <w:sz w:val="24"/>
        </w:rPr>
        <w:t>June 2016</w:t>
      </w:r>
      <w:proofErr w:type="gramEnd"/>
      <w:r w:rsidRPr="00D22685">
        <w:rPr>
          <w:rFonts w:ascii="Arial" w:hAnsi="Arial" w:cs="Arial"/>
          <w:sz w:val="24"/>
        </w:rPr>
        <w:t xml:space="preserve"> the appellant proceeded to perform the contract, at least in part, in light of the letter of award and the Service Level Agreement.</w:t>
      </w:r>
    </w:p>
    <w:p w14:paraId="123543DE" w14:textId="77777777" w:rsidR="00C83C06" w:rsidRDefault="00C83C06" w:rsidP="0083098D">
      <w:pPr>
        <w:pStyle w:val="NoSpacing"/>
        <w:spacing w:line="360" w:lineRule="auto"/>
        <w:jc w:val="both"/>
        <w:rPr>
          <w:rFonts w:ascii="Arial" w:hAnsi="Arial" w:cs="Arial"/>
          <w:sz w:val="24"/>
        </w:rPr>
      </w:pPr>
    </w:p>
    <w:p w14:paraId="20794D54" w14:textId="77777777" w:rsidR="00ED4AAC" w:rsidRDefault="003B5945" w:rsidP="0083098D">
      <w:pPr>
        <w:pStyle w:val="NoSpacing"/>
        <w:spacing w:line="360" w:lineRule="auto"/>
        <w:jc w:val="both"/>
        <w:rPr>
          <w:rFonts w:ascii="Arial" w:hAnsi="Arial" w:cs="Arial"/>
          <w:sz w:val="24"/>
          <w:szCs w:val="24"/>
          <w:lang w:val="en-US"/>
        </w:rPr>
      </w:pPr>
      <w:proofErr w:type="gramStart"/>
      <w:r w:rsidRPr="00D22685">
        <w:rPr>
          <w:rFonts w:ascii="Arial" w:hAnsi="Arial" w:cs="Arial"/>
          <w:sz w:val="24"/>
        </w:rPr>
        <w:t>It would appear that sometime</w:t>
      </w:r>
      <w:proofErr w:type="gramEnd"/>
      <w:r w:rsidRPr="00D22685">
        <w:rPr>
          <w:rFonts w:ascii="Arial" w:hAnsi="Arial" w:cs="Arial"/>
          <w:sz w:val="24"/>
        </w:rPr>
        <w:t xml:space="preserve"> during the year 2018</w:t>
      </w:r>
      <w:r>
        <w:rPr>
          <w:rFonts w:ascii="Arial" w:hAnsi="Arial" w:cs="Arial"/>
          <w:sz w:val="24"/>
        </w:rPr>
        <w:t>,</w:t>
      </w:r>
      <w:r w:rsidRPr="00D22685">
        <w:rPr>
          <w:rFonts w:ascii="Arial" w:hAnsi="Arial" w:cs="Arial"/>
          <w:sz w:val="24"/>
        </w:rPr>
        <w:t xml:space="preserve"> the respondents had complaints with regard to the performance of the appellant. The respondents thus engaged in consultations with their legal advisors </w:t>
      </w:r>
      <w:proofErr w:type="gramStart"/>
      <w:r w:rsidRPr="00D22685">
        <w:rPr>
          <w:rFonts w:ascii="Arial" w:hAnsi="Arial" w:cs="Arial"/>
          <w:sz w:val="24"/>
        </w:rPr>
        <w:t>in order to</w:t>
      </w:r>
      <w:proofErr w:type="gramEnd"/>
      <w:r w:rsidRPr="00D22685">
        <w:rPr>
          <w:rFonts w:ascii="Arial" w:hAnsi="Arial" w:cs="Arial"/>
          <w:sz w:val="24"/>
        </w:rPr>
        <w:t xml:space="preserve"> determine their approach to the dispute with the appellant.</w:t>
      </w:r>
      <w:r w:rsidR="00C83C06">
        <w:rPr>
          <w:rFonts w:ascii="Arial" w:hAnsi="Arial" w:cs="Arial"/>
          <w:sz w:val="24"/>
        </w:rPr>
        <w:t xml:space="preserve"> </w:t>
      </w:r>
      <w:r w:rsidR="00492B53">
        <w:rPr>
          <w:rFonts w:ascii="Arial" w:hAnsi="Arial" w:cs="Arial"/>
          <w:sz w:val="24"/>
          <w:szCs w:val="24"/>
          <w:lang w:val="en-US"/>
        </w:rPr>
        <w:t xml:space="preserve">On 12 June 2018, the Government Attorney on behalf of the </w:t>
      </w:r>
      <w:r w:rsidR="00C711EC">
        <w:rPr>
          <w:rFonts w:ascii="Arial" w:hAnsi="Arial" w:cs="Arial"/>
          <w:sz w:val="24"/>
          <w:szCs w:val="24"/>
          <w:lang w:val="en-US"/>
        </w:rPr>
        <w:t>respondents</w:t>
      </w:r>
      <w:r w:rsidR="00492B53">
        <w:rPr>
          <w:rFonts w:ascii="Arial" w:hAnsi="Arial" w:cs="Arial"/>
          <w:sz w:val="24"/>
          <w:szCs w:val="24"/>
          <w:lang w:val="en-US"/>
        </w:rPr>
        <w:t xml:space="preserve"> sent a letter to the appellant</w:t>
      </w:r>
      <w:r w:rsidR="00C711EC">
        <w:rPr>
          <w:rFonts w:ascii="Arial" w:hAnsi="Arial" w:cs="Arial"/>
          <w:sz w:val="24"/>
          <w:szCs w:val="24"/>
          <w:lang w:val="en-US"/>
        </w:rPr>
        <w:t xml:space="preserve">, </w:t>
      </w:r>
      <w:r w:rsidR="00492B53">
        <w:rPr>
          <w:rFonts w:ascii="Arial" w:hAnsi="Arial" w:cs="Arial"/>
          <w:sz w:val="24"/>
          <w:szCs w:val="24"/>
          <w:lang w:val="en-US"/>
        </w:rPr>
        <w:t xml:space="preserve">informing the appellant that the agreement was unenforceable and </w:t>
      </w:r>
      <w:r w:rsidR="00C759B2">
        <w:rPr>
          <w:rFonts w:ascii="Arial" w:hAnsi="Arial" w:cs="Arial"/>
          <w:sz w:val="24"/>
          <w:szCs w:val="24"/>
          <w:lang w:val="en-US"/>
        </w:rPr>
        <w:t>invalid</w:t>
      </w:r>
      <w:r w:rsidR="00492B53">
        <w:rPr>
          <w:rFonts w:ascii="Arial" w:hAnsi="Arial" w:cs="Arial"/>
          <w:sz w:val="24"/>
          <w:szCs w:val="24"/>
          <w:lang w:val="en-US"/>
        </w:rPr>
        <w:t xml:space="preserve"> </w:t>
      </w:r>
      <w:r w:rsidR="00492B53" w:rsidRPr="005C7D8B">
        <w:rPr>
          <w:rFonts w:ascii="Arial" w:hAnsi="Arial" w:cs="Arial"/>
          <w:i/>
          <w:sz w:val="24"/>
          <w:szCs w:val="24"/>
          <w:lang w:val="en-US"/>
        </w:rPr>
        <w:t>ab initio</w:t>
      </w:r>
      <w:r w:rsidR="00492B53">
        <w:rPr>
          <w:rFonts w:ascii="Arial" w:hAnsi="Arial" w:cs="Arial"/>
          <w:sz w:val="24"/>
          <w:szCs w:val="24"/>
          <w:lang w:val="en-US"/>
        </w:rPr>
        <w:t>.</w:t>
      </w:r>
    </w:p>
    <w:p w14:paraId="68985366" w14:textId="77777777" w:rsidR="00ED4AAC" w:rsidRDefault="00ED4AAC" w:rsidP="0083098D">
      <w:pPr>
        <w:spacing w:line="360" w:lineRule="auto"/>
        <w:jc w:val="both"/>
        <w:rPr>
          <w:rFonts w:ascii="Arial" w:hAnsi="Arial" w:cs="Arial"/>
          <w:sz w:val="24"/>
          <w:szCs w:val="24"/>
          <w:lang w:val="en-US"/>
        </w:rPr>
      </w:pPr>
    </w:p>
    <w:p w14:paraId="36C45FA0" w14:textId="77777777" w:rsidR="00BF37C4" w:rsidRDefault="00492B53" w:rsidP="0083098D">
      <w:pPr>
        <w:spacing w:line="360" w:lineRule="auto"/>
        <w:jc w:val="both"/>
        <w:rPr>
          <w:rFonts w:ascii="Arial" w:hAnsi="Arial" w:cs="Arial"/>
          <w:sz w:val="24"/>
          <w:szCs w:val="24"/>
          <w:lang w:val="en-US"/>
        </w:rPr>
      </w:pPr>
      <w:r>
        <w:rPr>
          <w:rFonts w:ascii="Arial" w:hAnsi="Arial" w:cs="Arial"/>
          <w:sz w:val="24"/>
          <w:szCs w:val="24"/>
          <w:lang w:val="en-US"/>
        </w:rPr>
        <w:t>On 30 June 2018, the appellant through its legal practitioner addressed a letter to the Government Attorney seeking clarity on which basis the agreement was cancelled. When the appellant did not</w:t>
      </w:r>
      <w:r w:rsidR="00C711EC">
        <w:rPr>
          <w:rFonts w:ascii="Arial" w:hAnsi="Arial" w:cs="Arial"/>
          <w:sz w:val="24"/>
          <w:szCs w:val="24"/>
          <w:lang w:val="en-US"/>
        </w:rPr>
        <w:t xml:space="preserve"> receive</w:t>
      </w:r>
      <w:r>
        <w:rPr>
          <w:rFonts w:ascii="Arial" w:hAnsi="Arial" w:cs="Arial"/>
          <w:sz w:val="24"/>
          <w:szCs w:val="24"/>
          <w:lang w:val="en-US"/>
        </w:rPr>
        <w:t xml:space="preserve"> a reply satisfactory to it, it on 18 August 2018 commenced </w:t>
      </w:r>
      <w:r w:rsidR="00C83C06">
        <w:rPr>
          <w:rFonts w:ascii="Arial" w:hAnsi="Arial" w:cs="Arial"/>
          <w:sz w:val="24"/>
          <w:szCs w:val="24"/>
          <w:lang w:val="en-US"/>
        </w:rPr>
        <w:t xml:space="preserve">review </w:t>
      </w:r>
      <w:r>
        <w:rPr>
          <w:rFonts w:ascii="Arial" w:hAnsi="Arial" w:cs="Arial"/>
          <w:sz w:val="24"/>
          <w:szCs w:val="24"/>
          <w:lang w:val="en-US"/>
        </w:rPr>
        <w:t xml:space="preserve">proceedings in the High Court seeking an order setting aside the </w:t>
      </w:r>
      <w:r w:rsidR="00C83C06">
        <w:rPr>
          <w:rFonts w:ascii="Arial" w:hAnsi="Arial" w:cs="Arial"/>
          <w:sz w:val="24"/>
          <w:szCs w:val="24"/>
          <w:lang w:val="en-US"/>
        </w:rPr>
        <w:t>‘</w:t>
      </w:r>
      <w:r>
        <w:rPr>
          <w:rFonts w:ascii="Arial" w:hAnsi="Arial" w:cs="Arial"/>
          <w:sz w:val="24"/>
          <w:szCs w:val="24"/>
          <w:lang w:val="en-US"/>
        </w:rPr>
        <w:t>cancellation</w:t>
      </w:r>
      <w:r w:rsidR="00C83C06">
        <w:rPr>
          <w:rFonts w:ascii="Arial" w:hAnsi="Arial" w:cs="Arial"/>
          <w:sz w:val="24"/>
          <w:szCs w:val="24"/>
          <w:lang w:val="en-US"/>
        </w:rPr>
        <w:t>’</w:t>
      </w:r>
      <w:r>
        <w:rPr>
          <w:rFonts w:ascii="Arial" w:hAnsi="Arial" w:cs="Arial"/>
          <w:sz w:val="24"/>
          <w:szCs w:val="24"/>
          <w:lang w:val="en-US"/>
        </w:rPr>
        <w:t xml:space="preserve"> of the tender</w:t>
      </w:r>
      <w:r w:rsidR="00C83C06">
        <w:rPr>
          <w:rFonts w:ascii="Arial" w:hAnsi="Arial" w:cs="Arial"/>
          <w:sz w:val="24"/>
          <w:szCs w:val="24"/>
          <w:lang w:val="en-US"/>
        </w:rPr>
        <w:t xml:space="preserve"> by the first respondent</w:t>
      </w:r>
      <w:r>
        <w:rPr>
          <w:rFonts w:ascii="Arial" w:hAnsi="Arial" w:cs="Arial"/>
          <w:sz w:val="24"/>
          <w:szCs w:val="24"/>
          <w:lang w:val="en-US"/>
        </w:rPr>
        <w:t>.</w:t>
      </w:r>
    </w:p>
    <w:p w14:paraId="2695425C" w14:textId="77777777" w:rsidR="00ED4AAC" w:rsidRDefault="00ED4AAC" w:rsidP="0083098D">
      <w:pPr>
        <w:spacing w:line="360" w:lineRule="auto"/>
        <w:jc w:val="both"/>
        <w:rPr>
          <w:rFonts w:ascii="Arial" w:hAnsi="Arial" w:cs="Arial"/>
          <w:sz w:val="24"/>
          <w:szCs w:val="24"/>
          <w:lang w:val="en-US"/>
        </w:rPr>
      </w:pPr>
    </w:p>
    <w:p w14:paraId="471F96F8" w14:textId="77777777" w:rsidR="00E2075F" w:rsidRDefault="0068689F" w:rsidP="0083098D">
      <w:pPr>
        <w:spacing w:line="360" w:lineRule="auto"/>
        <w:jc w:val="both"/>
        <w:rPr>
          <w:rFonts w:ascii="Arial" w:hAnsi="Arial" w:cs="Arial"/>
          <w:sz w:val="24"/>
        </w:rPr>
      </w:pPr>
      <w:r w:rsidRPr="00D22685">
        <w:rPr>
          <w:rFonts w:ascii="Arial" w:hAnsi="Arial" w:cs="Arial"/>
          <w:sz w:val="24"/>
        </w:rPr>
        <w:t>The respondents oppose</w:t>
      </w:r>
      <w:r>
        <w:rPr>
          <w:rFonts w:ascii="Arial" w:hAnsi="Arial" w:cs="Arial"/>
          <w:sz w:val="24"/>
        </w:rPr>
        <w:t>d</w:t>
      </w:r>
      <w:r w:rsidR="00B3034E">
        <w:rPr>
          <w:rFonts w:ascii="Arial" w:hAnsi="Arial" w:cs="Arial"/>
          <w:sz w:val="24"/>
        </w:rPr>
        <w:t xml:space="preserve"> the appell</w:t>
      </w:r>
      <w:r w:rsidRPr="00D22685">
        <w:rPr>
          <w:rFonts w:ascii="Arial" w:hAnsi="Arial" w:cs="Arial"/>
          <w:sz w:val="24"/>
        </w:rPr>
        <w:t xml:space="preserve">ant’s </w:t>
      </w:r>
      <w:r>
        <w:rPr>
          <w:rFonts w:ascii="Arial" w:hAnsi="Arial" w:cs="Arial"/>
          <w:sz w:val="24"/>
        </w:rPr>
        <w:t xml:space="preserve">review </w:t>
      </w:r>
      <w:r w:rsidRPr="00D22685">
        <w:rPr>
          <w:rFonts w:ascii="Arial" w:hAnsi="Arial" w:cs="Arial"/>
          <w:sz w:val="24"/>
        </w:rPr>
        <w:t>application</w:t>
      </w:r>
      <w:r>
        <w:rPr>
          <w:rFonts w:ascii="Arial" w:hAnsi="Arial" w:cs="Arial"/>
          <w:sz w:val="24"/>
        </w:rPr>
        <w:t xml:space="preserve"> on the basis that </w:t>
      </w:r>
      <w:r w:rsidRPr="00E2075F">
        <w:rPr>
          <w:rFonts w:ascii="Arial" w:hAnsi="Arial" w:cs="Arial"/>
          <w:sz w:val="24"/>
          <w:szCs w:val="24"/>
        </w:rPr>
        <w:t>the</w:t>
      </w:r>
      <w:r w:rsidR="00E2075F" w:rsidRPr="00E2075F">
        <w:rPr>
          <w:rFonts w:ascii="Arial" w:hAnsi="Arial" w:cs="Arial"/>
          <w:sz w:val="24"/>
          <w:szCs w:val="24"/>
          <w:lang w:val="en-US"/>
        </w:rPr>
        <w:t xml:space="preserve"> </w:t>
      </w:r>
      <w:r w:rsidR="00E2075F">
        <w:rPr>
          <w:rFonts w:ascii="Arial" w:hAnsi="Arial" w:cs="Arial"/>
          <w:sz w:val="24"/>
          <w:szCs w:val="24"/>
          <w:lang w:val="en-US"/>
        </w:rPr>
        <w:t xml:space="preserve">remedy for the alleged breach of the agreement was not a matter of administrative law but a contractual one. The respondents </w:t>
      </w:r>
      <w:r w:rsidRPr="00D22685">
        <w:rPr>
          <w:rFonts w:ascii="Arial" w:hAnsi="Arial" w:cs="Arial"/>
          <w:sz w:val="24"/>
        </w:rPr>
        <w:t xml:space="preserve">proceeded to also file a </w:t>
      </w:r>
      <w:proofErr w:type="gramStart"/>
      <w:r w:rsidRPr="00D22685">
        <w:rPr>
          <w:rFonts w:ascii="Arial" w:hAnsi="Arial" w:cs="Arial"/>
          <w:sz w:val="24"/>
        </w:rPr>
        <w:t>counter-application</w:t>
      </w:r>
      <w:proofErr w:type="gramEnd"/>
      <w:r w:rsidRPr="00D22685">
        <w:rPr>
          <w:rFonts w:ascii="Arial" w:hAnsi="Arial" w:cs="Arial"/>
          <w:sz w:val="24"/>
        </w:rPr>
        <w:t xml:space="preserve"> in terms of which they sought an order, declaring the agreement conclud</w:t>
      </w:r>
      <w:r w:rsidR="00E2075F">
        <w:rPr>
          <w:rFonts w:ascii="Arial" w:hAnsi="Arial" w:cs="Arial"/>
          <w:sz w:val="24"/>
        </w:rPr>
        <w:t>ed by and between the appellant</w:t>
      </w:r>
      <w:r w:rsidRPr="00D22685">
        <w:rPr>
          <w:rFonts w:ascii="Arial" w:hAnsi="Arial" w:cs="Arial"/>
          <w:sz w:val="24"/>
        </w:rPr>
        <w:t xml:space="preserve"> and the Office of the Prime Minister invalid </w:t>
      </w:r>
      <w:r w:rsidRPr="00D22685">
        <w:rPr>
          <w:rFonts w:ascii="Arial" w:hAnsi="Arial" w:cs="Arial"/>
          <w:i/>
          <w:sz w:val="24"/>
        </w:rPr>
        <w:t>ab initio</w:t>
      </w:r>
      <w:r w:rsidRPr="00D22685">
        <w:rPr>
          <w:rFonts w:ascii="Arial" w:hAnsi="Arial" w:cs="Arial"/>
          <w:sz w:val="24"/>
        </w:rPr>
        <w:t xml:space="preserve"> and thus unenforceable</w:t>
      </w:r>
      <w:r w:rsidR="00E2075F">
        <w:rPr>
          <w:rFonts w:ascii="Arial" w:hAnsi="Arial" w:cs="Arial"/>
          <w:sz w:val="24"/>
        </w:rPr>
        <w:t>.</w:t>
      </w:r>
    </w:p>
    <w:p w14:paraId="21EF6FE1" w14:textId="77777777" w:rsidR="00E2075F" w:rsidRDefault="00E2075F" w:rsidP="0083098D">
      <w:pPr>
        <w:spacing w:line="360" w:lineRule="auto"/>
        <w:jc w:val="both"/>
        <w:rPr>
          <w:rFonts w:ascii="Arial" w:hAnsi="Arial" w:cs="Arial"/>
          <w:sz w:val="24"/>
        </w:rPr>
      </w:pPr>
    </w:p>
    <w:p w14:paraId="79A3BEA9" w14:textId="77777777" w:rsidR="00135D9C" w:rsidRDefault="00135D9C" w:rsidP="0083098D">
      <w:pPr>
        <w:spacing w:line="360" w:lineRule="auto"/>
        <w:jc w:val="both"/>
        <w:rPr>
          <w:rFonts w:ascii="Arial" w:hAnsi="Arial" w:cs="Arial"/>
          <w:sz w:val="24"/>
          <w:szCs w:val="24"/>
          <w:lang w:val="en-US"/>
        </w:rPr>
      </w:pPr>
    </w:p>
    <w:p w14:paraId="19D654E1" w14:textId="77777777" w:rsidR="009E65F3" w:rsidRDefault="00492B53" w:rsidP="0083098D">
      <w:pPr>
        <w:spacing w:line="360" w:lineRule="auto"/>
        <w:jc w:val="both"/>
        <w:rPr>
          <w:rFonts w:ascii="Arial" w:hAnsi="Arial" w:cs="Arial"/>
          <w:sz w:val="24"/>
          <w:szCs w:val="24"/>
          <w:lang w:val="en-US"/>
        </w:rPr>
      </w:pPr>
      <w:r w:rsidRPr="00B3034E">
        <w:rPr>
          <w:rFonts w:ascii="Arial" w:hAnsi="Arial" w:cs="Arial"/>
          <w:sz w:val="24"/>
          <w:szCs w:val="24"/>
          <w:lang w:val="en-US"/>
        </w:rPr>
        <w:lastRenderedPageBreak/>
        <w:t>The court</w:t>
      </w:r>
      <w:r w:rsidRPr="00ED4AAC">
        <w:rPr>
          <w:rFonts w:ascii="Arial" w:hAnsi="Arial" w:cs="Arial"/>
          <w:i/>
          <w:sz w:val="24"/>
          <w:szCs w:val="24"/>
          <w:lang w:val="en-US"/>
        </w:rPr>
        <w:t xml:space="preserve"> a </w:t>
      </w:r>
      <w:r w:rsidRPr="00C711EC">
        <w:rPr>
          <w:rFonts w:ascii="Arial" w:hAnsi="Arial" w:cs="Arial"/>
          <w:i/>
          <w:sz w:val="24"/>
          <w:szCs w:val="24"/>
          <w:lang w:val="en-US"/>
        </w:rPr>
        <w:t xml:space="preserve">quo </w:t>
      </w:r>
      <w:r w:rsidRPr="00B3034E">
        <w:rPr>
          <w:rFonts w:ascii="Arial" w:hAnsi="Arial" w:cs="Arial"/>
          <w:sz w:val="24"/>
          <w:szCs w:val="24"/>
          <w:lang w:val="en-US"/>
        </w:rPr>
        <w:t>held that</w:t>
      </w:r>
      <w:r w:rsidR="00C711EC" w:rsidRPr="00B3034E">
        <w:rPr>
          <w:rFonts w:ascii="Arial" w:hAnsi="Arial" w:cs="Arial"/>
          <w:sz w:val="24"/>
          <w:szCs w:val="24"/>
          <w:lang w:val="en-US"/>
        </w:rPr>
        <w:t>,</w:t>
      </w:r>
      <w:r w:rsidR="00C711EC">
        <w:rPr>
          <w:rFonts w:ascii="Arial" w:hAnsi="Arial" w:cs="Arial"/>
          <w:sz w:val="24"/>
          <w:szCs w:val="24"/>
          <w:lang w:val="en-US"/>
        </w:rPr>
        <w:t xml:space="preserve"> </w:t>
      </w:r>
      <w:r w:rsidR="00922E30">
        <w:rPr>
          <w:rFonts w:ascii="Arial" w:hAnsi="Arial" w:cs="Arial"/>
          <w:sz w:val="24"/>
          <w:szCs w:val="24"/>
          <w:lang w:val="en-US"/>
        </w:rPr>
        <w:t xml:space="preserve">the claim of the appellant sounded in contract, and that the appellant ought to find its relief in contract </w:t>
      </w:r>
      <w:proofErr w:type="gramStart"/>
      <w:r w:rsidR="00922E30">
        <w:rPr>
          <w:rFonts w:ascii="Arial" w:hAnsi="Arial" w:cs="Arial"/>
          <w:sz w:val="24"/>
          <w:szCs w:val="24"/>
          <w:lang w:val="en-US"/>
        </w:rPr>
        <w:t>law, and</w:t>
      </w:r>
      <w:proofErr w:type="gramEnd"/>
      <w:r w:rsidR="00922E30">
        <w:rPr>
          <w:rFonts w:ascii="Arial" w:hAnsi="Arial" w:cs="Arial"/>
          <w:sz w:val="24"/>
          <w:szCs w:val="24"/>
          <w:lang w:val="en-US"/>
        </w:rPr>
        <w:t xml:space="preserve"> seeking administrative relief in that instance is impermissible</w:t>
      </w:r>
      <w:r w:rsidR="00E2075F">
        <w:rPr>
          <w:rFonts w:ascii="Arial" w:hAnsi="Arial" w:cs="Arial"/>
          <w:sz w:val="24"/>
          <w:szCs w:val="24"/>
          <w:lang w:val="en-US"/>
        </w:rPr>
        <w:t xml:space="preserve"> and refused the review application</w:t>
      </w:r>
      <w:r w:rsidR="00922E30">
        <w:rPr>
          <w:rFonts w:ascii="Arial" w:hAnsi="Arial" w:cs="Arial"/>
          <w:sz w:val="24"/>
          <w:szCs w:val="24"/>
          <w:lang w:val="en-US"/>
        </w:rPr>
        <w:t>.</w:t>
      </w:r>
      <w:r w:rsidR="00C52199">
        <w:rPr>
          <w:rFonts w:ascii="Arial" w:hAnsi="Arial" w:cs="Arial"/>
          <w:sz w:val="24"/>
          <w:szCs w:val="24"/>
          <w:lang w:val="en-US"/>
        </w:rPr>
        <w:t xml:space="preserve"> </w:t>
      </w:r>
      <w:r w:rsidR="00E2075F" w:rsidRPr="00B3034E">
        <w:rPr>
          <w:rFonts w:ascii="Arial" w:hAnsi="Arial" w:cs="Arial"/>
          <w:sz w:val="24"/>
          <w:szCs w:val="24"/>
          <w:lang w:val="en-US"/>
        </w:rPr>
        <w:t>The court</w:t>
      </w:r>
      <w:r w:rsidR="00E2075F" w:rsidRPr="00ED4AAC">
        <w:rPr>
          <w:rFonts w:ascii="Arial" w:hAnsi="Arial" w:cs="Arial"/>
          <w:i/>
          <w:sz w:val="24"/>
          <w:szCs w:val="24"/>
          <w:lang w:val="en-US"/>
        </w:rPr>
        <w:t xml:space="preserve"> a </w:t>
      </w:r>
      <w:r w:rsidR="00E2075F" w:rsidRPr="00C711EC">
        <w:rPr>
          <w:rFonts w:ascii="Arial" w:hAnsi="Arial" w:cs="Arial"/>
          <w:i/>
          <w:sz w:val="24"/>
          <w:szCs w:val="24"/>
          <w:lang w:val="en-US"/>
        </w:rPr>
        <w:t>quo</w:t>
      </w:r>
      <w:r w:rsidR="009E65F3" w:rsidRPr="00B3034E">
        <w:rPr>
          <w:rFonts w:ascii="Arial" w:hAnsi="Arial" w:cs="Arial"/>
          <w:sz w:val="24"/>
          <w:szCs w:val="24"/>
          <w:lang w:val="en-US"/>
        </w:rPr>
        <w:t xml:space="preserve"> further</w:t>
      </w:r>
      <w:r w:rsidR="00E2075F" w:rsidRPr="00B3034E">
        <w:rPr>
          <w:rFonts w:ascii="Arial" w:hAnsi="Arial" w:cs="Arial"/>
          <w:sz w:val="24"/>
          <w:szCs w:val="24"/>
          <w:lang w:val="en-US"/>
        </w:rPr>
        <w:t xml:space="preserve"> held that, </w:t>
      </w:r>
      <w:r w:rsidR="00E2075F">
        <w:rPr>
          <w:rFonts w:ascii="Arial" w:hAnsi="Arial" w:cs="Arial"/>
          <w:sz w:val="24"/>
          <w:szCs w:val="24"/>
          <w:lang w:val="en-US"/>
        </w:rPr>
        <w:t>t</w:t>
      </w:r>
      <w:r w:rsidR="009E65F3">
        <w:rPr>
          <w:rFonts w:ascii="Arial" w:hAnsi="Arial" w:cs="Arial"/>
          <w:sz w:val="24"/>
          <w:szCs w:val="24"/>
          <w:lang w:val="en-US"/>
        </w:rPr>
        <w:t xml:space="preserve">he agreement was </w:t>
      </w:r>
      <w:r w:rsidR="009E65F3" w:rsidRPr="00200D86">
        <w:rPr>
          <w:rFonts w:ascii="Arial" w:hAnsi="Arial" w:cs="Arial"/>
          <w:sz w:val="24"/>
          <w:szCs w:val="24"/>
          <w:lang w:val="en-US"/>
        </w:rPr>
        <w:t xml:space="preserve">void </w:t>
      </w:r>
      <w:r w:rsidR="009E65F3" w:rsidRPr="009E65F3">
        <w:rPr>
          <w:rFonts w:ascii="Arial" w:hAnsi="Arial" w:cs="Arial"/>
          <w:i/>
          <w:sz w:val="24"/>
          <w:szCs w:val="24"/>
          <w:lang w:val="en-US"/>
        </w:rPr>
        <w:t>ab initio</w:t>
      </w:r>
      <w:r w:rsidR="0083098D">
        <w:rPr>
          <w:rFonts w:ascii="Arial" w:hAnsi="Arial" w:cs="Arial"/>
          <w:sz w:val="24"/>
          <w:szCs w:val="24"/>
          <w:lang w:val="en-US"/>
        </w:rPr>
        <w:t xml:space="preserve">, as it was entered </w:t>
      </w:r>
      <w:r w:rsidR="009E65F3">
        <w:rPr>
          <w:rFonts w:ascii="Arial" w:hAnsi="Arial" w:cs="Arial"/>
          <w:sz w:val="24"/>
          <w:szCs w:val="24"/>
          <w:lang w:val="en-US"/>
        </w:rPr>
        <w:t>into in contravention of the pro</w:t>
      </w:r>
      <w:r w:rsidR="00200D86">
        <w:rPr>
          <w:rFonts w:ascii="Arial" w:hAnsi="Arial" w:cs="Arial"/>
          <w:sz w:val="24"/>
          <w:szCs w:val="24"/>
          <w:lang w:val="en-US"/>
        </w:rPr>
        <w:t>visions of the Tender Board of Namibia Act</w:t>
      </w:r>
      <w:r w:rsidR="009E65F3">
        <w:rPr>
          <w:rFonts w:ascii="Arial" w:hAnsi="Arial" w:cs="Arial"/>
          <w:sz w:val="24"/>
          <w:szCs w:val="24"/>
          <w:lang w:val="en-US"/>
        </w:rPr>
        <w:t xml:space="preserve"> </w:t>
      </w:r>
      <w:r w:rsidR="00200D86">
        <w:rPr>
          <w:rFonts w:ascii="Arial" w:hAnsi="Arial" w:cs="Arial"/>
          <w:sz w:val="24"/>
          <w:szCs w:val="24"/>
          <w:lang w:val="en-US"/>
        </w:rPr>
        <w:t xml:space="preserve">16 of </w:t>
      </w:r>
      <w:r w:rsidR="009E65F3">
        <w:rPr>
          <w:rFonts w:ascii="Arial" w:hAnsi="Arial" w:cs="Arial"/>
          <w:sz w:val="24"/>
          <w:szCs w:val="24"/>
          <w:lang w:val="en-US"/>
        </w:rPr>
        <w:t>1996</w:t>
      </w:r>
      <w:r w:rsidR="00200D86">
        <w:rPr>
          <w:rFonts w:ascii="Arial" w:hAnsi="Arial" w:cs="Arial"/>
          <w:sz w:val="24"/>
          <w:szCs w:val="24"/>
          <w:lang w:val="en-US"/>
        </w:rPr>
        <w:t xml:space="preserve"> (the Act)</w:t>
      </w:r>
      <w:r w:rsidR="009E65F3">
        <w:rPr>
          <w:rFonts w:ascii="Arial" w:hAnsi="Arial" w:cs="Arial"/>
          <w:sz w:val="24"/>
          <w:szCs w:val="24"/>
          <w:lang w:val="en-US"/>
        </w:rPr>
        <w:t>.</w:t>
      </w:r>
    </w:p>
    <w:p w14:paraId="4E82FC67" w14:textId="77777777" w:rsidR="00ED4AAC" w:rsidRDefault="00ED4AAC" w:rsidP="0083098D">
      <w:pPr>
        <w:spacing w:line="360" w:lineRule="auto"/>
        <w:jc w:val="both"/>
        <w:rPr>
          <w:rFonts w:ascii="Arial" w:hAnsi="Arial" w:cs="Arial"/>
          <w:sz w:val="24"/>
          <w:szCs w:val="24"/>
          <w:lang w:val="en-US"/>
        </w:rPr>
      </w:pPr>
    </w:p>
    <w:p w14:paraId="1219CBE5" w14:textId="77777777" w:rsidR="00922E30" w:rsidRPr="00B3034E" w:rsidRDefault="00922E30" w:rsidP="0083098D">
      <w:pPr>
        <w:spacing w:line="360" w:lineRule="auto"/>
        <w:jc w:val="both"/>
        <w:rPr>
          <w:rFonts w:ascii="Arial" w:hAnsi="Arial" w:cs="Arial"/>
          <w:sz w:val="24"/>
          <w:szCs w:val="24"/>
          <w:lang w:val="en-US"/>
        </w:rPr>
      </w:pPr>
      <w:r w:rsidRPr="00B3034E">
        <w:rPr>
          <w:rFonts w:ascii="Arial" w:hAnsi="Arial" w:cs="Arial"/>
          <w:sz w:val="24"/>
          <w:szCs w:val="24"/>
          <w:lang w:val="en-US"/>
        </w:rPr>
        <w:t>On appeal, the court</w:t>
      </w:r>
      <w:r w:rsidRPr="00B3034E">
        <w:rPr>
          <w:rFonts w:ascii="Arial" w:hAnsi="Arial" w:cs="Arial"/>
          <w:i/>
          <w:sz w:val="24"/>
          <w:szCs w:val="24"/>
          <w:lang w:val="en-US"/>
        </w:rPr>
        <w:t xml:space="preserve"> held that</w:t>
      </w:r>
      <w:r w:rsidR="00C711EC" w:rsidRPr="00B3034E">
        <w:rPr>
          <w:rFonts w:ascii="Arial" w:hAnsi="Arial" w:cs="Arial"/>
          <w:i/>
          <w:sz w:val="24"/>
          <w:szCs w:val="24"/>
          <w:lang w:val="en-US"/>
        </w:rPr>
        <w:t xml:space="preserve">, </w:t>
      </w:r>
      <w:r w:rsidR="00C711EC" w:rsidRPr="00B3034E">
        <w:rPr>
          <w:rFonts w:ascii="Arial" w:hAnsi="Arial" w:cs="Arial"/>
          <w:sz w:val="24"/>
          <w:szCs w:val="24"/>
          <w:lang w:val="en-US"/>
        </w:rPr>
        <w:t>the</w:t>
      </w:r>
      <w:r w:rsidR="009361A2" w:rsidRPr="00B3034E">
        <w:rPr>
          <w:rFonts w:ascii="Arial" w:hAnsi="Arial" w:cs="Arial"/>
          <w:sz w:val="24"/>
          <w:szCs w:val="24"/>
        </w:rPr>
        <w:t xml:space="preserve"> </w:t>
      </w:r>
      <w:r w:rsidR="009361A2" w:rsidRPr="00B3034E">
        <w:rPr>
          <w:rFonts w:ascii="Arial" w:hAnsi="Arial" w:cs="Arial"/>
          <w:sz w:val="24"/>
          <w:szCs w:val="24"/>
          <w:lang w:val="en-US"/>
        </w:rPr>
        <w:t xml:space="preserve">appeal turns on whether on the proven and undisputed facts, the agreement concluded between the appellant and </w:t>
      </w:r>
      <w:r w:rsidR="00C711EC" w:rsidRPr="00B3034E">
        <w:rPr>
          <w:rFonts w:ascii="Arial" w:hAnsi="Arial" w:cs="Arial"/>
          <w:sz w:val="24"/>
          <w:szCs w:val="24"/>
          <w:lang w:val="en-US"/>
        </w:rPr>
        <w:t>the second respondent</w:t>
      </w:r>
      <w:r w:rsidR="009361A2" w:rsidRPr="00B3034E">
        <w:rPr>
          <w:rFonts w:ascii="Arial" w:hAnsi="Arial" w:cs="Arial"/>
          <w:sz w:val="24"/>
          <w:szCs w:val="24"/>
          <w:lang w:val="en-US"/>
        </w:rPr>
        <w:t xml:space="preserve"> was validly concluded</w:t>
      </w:r>
      <w:r w:rsidR="00C711EC" w:rsidRPr="00B3034E">
        <w:rPr>
          <w:rFonts w:ascii="Arial" w:hAnsi="Arial" w:cs="Arial"/>
          <w:sz w:val="24"/>
          <w:szCs w:val="24"/>
          <w:lang w:val="en-US"/>
        </w:rPr>
        <w:t>.</w:t>
      </w:r>
    </w:p>
    <w:p w14:paraId="02AFC6D1" w14:textId="77777777" w:rsidR="00ED4AAC" w:rsidRPr="00BF37C4" w:rsidRDefault="00ED4AAC" w:rsidP="0083098D">
      <w:pPr>
        <w:spacing w:line="360" w:lineRule="auto"/>
        <w:jc w:val="both"/>
        <w:rPr>
          <w:rFonts w:ascii="Arial" w:hAnsi="Arial" w:cs="Arial"/>
          <w:sz w:val="24"/>
          <w:szCs w:val="24"/>
          <w:lang w:val="en-US"/>
        </w:rPr>
      </w:pPr>
    </w:p>
    <w:p w14:paraId="2C6B035D" w14:textId="77777777" w:rsidR="003D38CD" w:rsidRDefault="00200D86" w:rsidP="0083098D">
      <w:pPr>
        <w:spacing w:line="360" w:lineRule="auto"/>
        <w:jc w:val="both"/>
        <w:rPr>
          <w:rFonts w:ascii="Arial" w:hAnsi="Arial" w:cs="Arial"/>
          <w:sz w:val="24"/>
          <w:szCs w:val="24"/>
          <w:lang w:val="en-US"/>
        </w:rPr>
      </w:pPr>
      <w:r>
        <w:rPr>
          <w:rFonts w:ascii="Arial" w:hAnsi="Arial" w:cs="Arial"/>
          <w:i/>
          <w:sz w:val="24"/>
          <w:szCs w:val="24"/>
          <w:lang w:val="en-US"/>
        </w:rPr>
        <w:t>H</w:t>
      </w:r>
      <w:r w:rsidR="009361A2" w:rsidRPr="00ED4AAC">
        <w:rPr>
          <w:rFonts w:ascii="Arial" w:hAnsi="Arial" w:cs="Arial"/>
          <w:i/>
          <w:sz w:val="24"/>
          <w:szCs w:val="24"/>
          <w:lang w:val="en-US"/>
        </w:rPr>
        <w:t>eld that</w:t>
      </w:r>
      <w:r w:rsidR="009361A2">
        <w:rPr>
          <w:rFonts w:ascii="Arial" w:hAnsi="Arial" w:cs="Arial"/>
          <w:sz w:val="24"/>
          <w:szCs w:val="24"/>
          <w:lang w:val="en-US"/>
        </w:rPr>
        <w:t xml:space="preserve">, </w:t>
      </w:r>
      <w:r w:rsidR="00C711EC">
        <w:rPr>
          <w:rFonts w:ascii="Arial" w:hAnsi="Arial" w:cs="Arial"/>
          <w:sz w:val="24"/>
          <w:szCs w:val="24"/>
          <w:lang w:val="en-US"/>
        </w:rPr>
        <w:t>i</w:t>
      </w:r>
      <w:r w:rsidR="009361A2" w:rsidRPr="009361A2">
        <w:rPr>
          <w:rFonts w:ascii="Arial" w:hAnsi="Arial" w:cs="Arial"/>
          <w:sz w:val="24"/>
          <w:szCs w:val="24"/>
          <w:lang w:val="en-US"/>
        </w:rPr>
        <w:t xml:space="preserve">f public functionaries purport to exercise powers or perform functions outside the parameters of their legal authority, they, in effect, usurp powers of </w:t>
      </w:r>
      <w:r w:rsidR="009E65F3">
        <w:rPr>
          <w:rFonts w:ascii="Arial" w:hAnsi="Arial" w:cs="Arial"/>
          <w:sz w:val="24"/>
          <w:szCs w:val="24"/>
          <w:lang w:val="en-US"/>
        </w:rPr>
        <w:t xml:space="preserve">the </w:t>
      </w:r>
      <w:r w:rsidR="009361A2" w:rsidRPr="009361A2">
        <w:rPr>
          <w:rFonts w:ascii="Arial" w:hAnsi="Arial" w:cs="Arial"/>
          <w:sz w:val="24"/>
          <w:szCs w:val="24"/>
          <w:lang w:val="en-US"/>
        </w:rPr>
        <w:t>State entrusted to other public functionaries</w:t>
      </w:r>
      <w:r w:rsidR="00ED4AAC">
        <w:rPr>
          <w:rFonts w:ascii="Arial" w:hAnsi="Arial" w:cs="Arial"/>
          <w:sz w:val="24"/>
          <w:szCs w:val="24"/>
          <w:lang w:val="en-US"/>
        </w:rPr>
        <w:t>.</w:t>
      </w:r>
    </w:p>
    <w:p w14:paraId="206CCC8C" w14:textId="77777777" w:rsidR="00ED4AAC" w:rsidRDefault="00ED4AAC" w:rsidP="0083098D">
      <w:pPr>
        <w:spacing w:line="360" w:lineRule="auto"/>
        <w:jc w:val="both"/>
        <w:rPr>
          <w:rFonts w:ascii="Arial" w:hAnsi="Arial" w:cs="Arial"/>
          <w:sz w:val="24"/>
          <w:szCs w:val="24"/>
          <w:lang w:val="en-US"/>
        </w:rPr>
      </w:pPr>
    </w:p>
    <w:p w14:paraId="08EFE576" w14:textId="77777777" w:rsidR="00ED4AAC" w:rsidRDefault="00200D86" w:rsidP="0083098D">
      <w:pPr>
        <w:spacing w:line="360" w:lineRule="auto"/>
        <w:jc w:val="both"/>
        <w:rPr>
          <w:rFonts w:ascii="Arial" w:hAnsi="Arial" w:cs="Arial"/>
          <w:sz w:val="24"/>
          <w:szCs w:val="24"/>
          <w:lang w:val="en-US"/>
        </w:rPr>
      </w:pPr>
      <w:r>
        <w:rPr>
          <w:rFonts w:ascii="Arial" w:hAnsi="Arial" w:cs="Arial"/>
          <w:i/>
          <w:sz w:val="24"/>
          <w:szCs w:val="24"/>
          <w:lang w:val="en-US"/>
        </w:rPr>
        <w:t>H</w:t>
      </w:r>
      <w:r w:rsidR="00ED4AAC" w:rsidRPr="00C711EC">
        <w:rPr>
          <w:rFonts w:ascii="Arial" w:hAnsi="Arial" w:cs="Arial"/>
          <w:i/>
          <w:sz w:val="24"/>
          <w:szCs w:val="24"/>
          <w:lang w:val="en-US"/>
        </w:rPr>
        <w:t>eld that</w:t>
      </w:r>
      <w:r w:rsidR="00ED4AAC">
        <w:rPr>
          <w:rFonts w:ascii="Arial" w:hAnsi="Arial" w:cs="Arial"/>
          <w:sz w:val="24"/>
          <w:szCs w:val="24"/>
          <w:lang w:val="en-US"/>
        </w:rPr>
        <w:t xml:space="preserve">, </w:t>
      </w:r>
      <w:r w:rsidR="00ED4AAC" w:rsidRPr="00ED4AAC">
        <w:rPr>
          <w:rFonts w:ascii="Arial" w:hAnsi="Arial" w:cs="Arial"/>
          <w:sz w:val="24"/>
          <w:szCs w:val="24"/>
          <w:lang w:val="en-US"/>
        </w:rPr>
        <w:t xml:space="preserve">the </w:t>
      </w:r>
      <w:r w:rsidR="00C711EC">
        <w:rPr>
          <w:rFonts w:ascii="Arial" w:hAnsi="Arial" w:cs="Arial"/>
          <w:sz w:val="24"/>
          <w:szCs w:val="24"/>
          <w:lang w:val="en-US"/>
        </w:rPr>
        <w:t>Act does</w:t>
      </w:r>
      <w:r w:rsidR="00ED4AAC" w:rsidRPr="00ED4AAC">
        <w:rPr>
          <w:rFonts w:ascii="Arial" w:hAnsi="Arial" w:cs="Arial"/>
          <w:sz w:val="24"/>
          <w:szCs w:val="24"/>
          <w:lang w:val="en-US"/>
        </w:rPr>
        <w:t xml:space="preserve"> not alter or purport to alter the common law by excluding the State or its agencies’ power to </w:t>
      </w:r>
      <w:r w:rsidR="00ED4AAC">
        <w:rPr>
          <w:rFonts w:ascii="Arial" w:hAnsi="Arial" w:cs="Arial"/>
          <w:sz w:val="24"/>
          <w:szCs w:val="24"/>
          <w:lang w:val="en-US"/>
        </w:rPr>
        <w:t xml:space="preserve">contract or conclude agreements, but solidifies that, as a legal </w:t>
      </w:r>
      <w:r w:rsidR="00ED4AAC" w:rsidRPr="009E65F3">
        <w:rPr>
          <w:rFonts w:ascii="Arial" w:hAnsi="Arial" w:cs="Arial"/>
          <w:i/>
          <w:sz w:val="24"/>
          <w:szCs w:val="24"/>
          <w:lang w:val="en-US"/>
        </w:rPr>
        <w:t>persona</w:t>
      </w:r>
      <w:r w:rsidR="00ED4AAC">
        <w:rPr>
          <w:rFonts w:ascii="Arial" w:hAnsi="Arial" w:cs="Arial"/>
          <w:sz w:val="24"/>
          <w:szCs w:val="24"/>
          <w:lang w:val="en-US"/>
        </w:rPr>
        <w:t>, the S</w:t>
      </w:r>
      <w:r w:rsidR="00C711EC">
        <w:rPr>
          <w:rFonts w:ascii="Arial" w:hAnsi="Arial" w:cs="Arial"/>
          <w:sz w:val="24"/>
          <w:szCs w:val="24"/>
          <w:lang w:val="en-US"/>
        </w:rPr>
        <w:t>tate acts through functionaries, be it natural persons or statutory bodies.</w:t>
      </w:r>
    </w:p>
    <w:p w14:paraId="7642A818" w14:textId="77777777" w:rsidR="00ED4AAC" w:rsidRDefault="00ED4AAC" w:rsidP="0083098D">
      <w:pPr>
        <w:spacing w:line="360" w:lineRule="auto"/>
        <w:jc w:val="both"/>
        <w:rPr>
          <w:rFonts w:ascii="Arial" w:hAnsi="Arial" w:cs="Arial"/>
          <w:sz w:val="24"/>
          <w:szCs w:val="24"/>
          <w:lang w:val="en-US"/>
        </w:rPr>
      </w:pPr>
    </w:p>
    <w:p w14:paraId="7637A4D0" w14:textId="77777777" w:rsidR="00ED4AAC" w:rsidRDefault="00C52199" w:rsidP="0083098D">
      <w:pPr>
        <w:spacing w:line="360" w:lineRule="auto"/>
        <w:jc w:val="both"/>
        <w:rPr>
          <w:rFonts w:ascii="Arial" w:hAnsi="Arial" w:cs="Arial"/>
          <w:sz w:val="24"/>
          <w:szCs w:val="24"/>
          <w:lang w:val="en-US"/>
        </w:rPr>
      </w:pPr>
      <w:r w:rsidRPr="005A5BE3">
        <w:rPr>
          <w:rFonts w:ascii="Arial" w:hAnsi="Arial" w:cs="Arial"/>
          <w:i/>
          <w:sz w:val="24"/>
          <w:szCs w:val="24"/>
          <w:lang w:val="en-US"/>
        </w:rPr>
        <w:t>Held</w:t>
      </w:r>
      <w:r>
        <w:rPr>
          <w:rFonts w:ascii="Arial" w:hAnsi="Arial" w:cs="Arial"/>
          <w:sz w:val="24"/>
          <w:szCs w:val="24"/>
          <w:lang w:val="en-US"/>
        </w:rPr>
        <w:t xml:space="preserve"> </w:t>
      </w:r>
      <w:r w:rsidR="00ED4AAC" w:rsidRPr="00C711EC">
        <w:rPr>
          <w:rFonts w:ascii="Arial" w:hAnsi="Arial" w:cs="Arial"/>
          <w:i/>
          <w:sz w:val="24"/>
          <w:szCs w:val="24"/>
          <w:lang w:val="en-US"/>
        </w:rPr>
        <w:t>that</w:t>
      </w:r>
      <w:r w:rsidR="00ED4AAC">
        <w:rPr>
          <w:rFonts w:ascii="Arial" w:hAnsi="Arial" w:cs="Arial"/>
          <w:sz w:val="24"/>
          <w:szCs w:val="24"/>
          <w:lang w:val="en-US"/>
        </w:rPr>
        <w:t>, w</w:t>
      </w:r>
      <w:r w:rsidR="00ED4AAC" w:rsidRPr="00ED4AAC">
        <w:rPr>
          <w:rFonts w:ascii="Arial" w:hAnsi="Arial" w:cs="Arial"/>
          <w:sz w:val="24"/>
          <w:szCs w:val="24"/>
          <w:lang w:val="en-US"/>
        </w:rPr>
        <w:t xml:space="preserve">hen it comes to the procurement of services </w:t>
      </w:r>
      <w:r w:rsidR="009E65F3">
        <w:rPr>
          <w:rFonts w:ascii="Arial" w:hAnsi="Arial" w:cs="Arial"/>
          <w:sz w:val="24"/>
          <w:szCs w:val="24"/>
          <w:lang w:val="en-US"/>
        </w:rPr>
        <w:t xml:space="preserve">for or </w:t>
      </w:r>
      <w:r w:rsidR="00ED4AAC" w:rsidRPr="00ED4AAC">
        <w:rPr>
          <w:rFonts w:ascii="Arial" w:hAnsi="Arial" w:cs="Arial"/>
          <w:sz w:val="24"/>
          <w:szCs w:val="24"/>
          <w:lang w:val="en-US"/>
        </w:rPr>
        <w:t>on behalf of the State</w:t>
      </w:r>
      <w:r w:rsidR="00ED4AAC">
        <w:rPr>
          <w:rFonts w:ascii="Arial" w:hAnsi="Arial" w:cs="Arial"/>
          <w:sz w:val="24"/>
          <w:szCs w:val="24"/>
          <w:lang w:val="en-US"/>
        </w:rPr>
        <w:t>,</w:t>
      </w:r>
      <w:r w:rsidR="00ED4AAC" w:rsidRPr="00ED4AAC">
        <w:rPr>
          <w:rFonts w:ascii="Arial" w:hAnsi="Arial" w:cs="Arial"/>
          <w:sz w:val="24"/>
          <w:szCs w:val="24"/>
          <w:lang w:val="en-US"/>
        </w:rPr>
        <w:t xml:space="preserve"> s 7</w:t>
      </w:r>
      <w:r w:rsidR="00ED4AAC">
        <w:rPr>
          <w:rFonts w:ascii="Arial" w:hAnsi="Arial" w:cs="Arial"/>
          <w:sz w:val="24"/>
          <w:szCs w:val="24"/>
          <w:lang w:val="en-US"/>
        </w:rPr>
        <w:t xml:space="preserve">(1) of the Act provides that </w:t>
      </w:r>
      <w:r w:rsidR="00ED4AAC" w:rsidRPr="00ED4AAC">
        <w:rPr>
          <w:rFonts w:ascii="Arial" w:hAnsi="Arial" w:cs="Arial"/>
          <w:sz w:val="24"/>
          <w:szCs w:val="24"/>
          <w:lang w:val="en-US"/>
        </w:rPr>
        <w:t>unl</w:t>
      </w:r>
      <w:r w:rsidR="00C711EC">
        <w:rPr>
          <w:rFonts w:ascii="Arial" w:hAnsi="Arial" w:cs="Arial"/>
          <w:sz w:val="24"/>
          <w:szCs w:val="24"/>
          <w:lang w:val="en-US"/>
        </w:rPr>
        <w:t>ess otherwise provided in the A</w:t>
      </w:r>
      <w:r w:rsidR="00ED4AAC" w:rsidRPr="00ED4AAC">
        <w:rPr>
          <w:rFonts w:ascii="Arial" w:hAnsi="Arial" w:cs="Arial"/>
          <w:sz w:val="24"/>
          <w:szCs w:val="24"/>
          <w:lang w:val="en-US"/>
        </w:rPr>
        <w:t xml:space="preserve">ct or any other law, the </w:t>
      </w:r>
      <w:r w:rsidR="00200D86">
        <w:rPr>
          <w:rFonts w:ascii="Arial" w:hAnsi="Arial" w:cs="Arial"/>
          <w:sz w:val="24"/>
          <w:szCs w:val="24"/>
          <w:lang w:val="en-US"/>
        </w:rPr>
        <w:t>b</w:t>
      </w:r>
      <w:r w:rsidR="00ED4AAC" w:rsidRPr="00ED4AAC">
        <w:rPr>
          <w:rFonts w:ascii="Arial" w:hAnsi="Arial" w:cs="Arial"/>
          <w:sz w:val="24"/>
          <w:szCs w:val="24"/>
          <w:lang w:val="en-US"/>
        </w:rPr>
        <w:t>oard shal</w:t>
      </w:r>
      <w:r w:rsidR="00ED4AAC">
        <w:rPr>
          <w:rFonts w:ascii="Arial" w:hAnsi="Arial" w:cs="Arial"/>
          <w:sz w:val="24"/>
          <w:szCs w:val="24"/>
          <w:lang w:val="en-US"/>
        </w:rPr>
        <w:t>l</w:t>
      </w:r>
      <w:r w:rsidR="00ED4AAC" w:rsidRPr="00ED4AAC">
        <w:t xml:space="preserve"> </w:t>
      </w:r>
      <w:r w:rsidR="00ED4AAC" w:rsidRPr="00ED4AAC">
        <w:rPr>
          <w:rFonts w:ascii="Arial" w:hAnsi="Arial" w:cs="Arial"/>
          <w:sz w:val="24"/>
          <w:szCs w:val="24"/>
          <w:lang w:val="en-US"/>
        </w:rPr>
        <w:t>be responsible for the procurement of goods a</w:t>
      </w:r>
      <w:r w:rsidR="00ED4AAC">
        <w:rPr>
          <w:rFonts w:ascii="Arial" w:hAnsi="Arial" w:cs="Arial"/>
          <w:sz w:val="24"/>
          <w:szCs w:val="24"/>
          <w:lang w:val="en-US"/>
        </w:rPr>
        <w:t>nd services for the Government</w:t>
      </w:r>
      <w:r w:rsidR="009E65F3">
        <w:rPr>
          <w:rFonts w:ascii="Arial" w:hAnsi="Arial" w:cs="Arial"/>
          <w:sz w:val="24"/>
          <w:szCs w:val="24"/>
          <w:lang w:val="en-US"/>
        </w:rPr>
        <w:t xml:space="preserve"> and s 21 </w:t>
      </w:r>
      <w:r w:rsidR="00200D86">
        <w:rPr>
          <w:rFonts w:ascii="Arial" w:hAnsi="Arial" w:cs="Arial"/>
          <w:sz w:val="24"/>
          <w:szCs w:val="24"/>
          <w:lang w:val="en-US"/>
        </w:rPr>
        <w:t xml:space="preserve">of the Act </w:t>
      </w:r>
      <w:r w:rsidR="009E65F3">
        <w:rPr>
          <w:rFonts w:ascii="Arial" w:hAnsi="Arial" w:cs="Arial"/>
          <w:sz w:val="24"/>
          <w:szCs w:val="24"/>
          <w:lang w:val="en-US"/>
        </w:rPr>
        <w:t>expressly states that the second respondent is bound by the Act</w:t>
      </w:r>
      <w:r w:rsidR="00ED4AAC">
        <w:rPr>
          <w:rFonts w:ascii="Arial" w:hAnsi="Arial" w:cs="Arial"/>
          <w:sz w:val="24"/>
          <w:szCs w:val="24"/>
          <w:lang w:val="en-US"/>
        </w:rPr>
        <w:t xml:space="preserve">. </w:t>
      </w:r>
    </w:p>
    <w:p w14:paraId="4FBAC8C1" w14:textId="77777777" w:rsidR="005C0176" w:rsidRDefault="005C0176" w:rsidP="0083098D">
      <w:pPr>
        <w:spacing w:line="360" w:lineRule="auto"/>
        <w:jc w:val="both"/>
        <w:rPr>
          <w:rFonts w:ascii="Arial" w:hAnsi="Arial" w:cs="Arial"/>
          <w:sz w:val="24"/>
          <w:szCs w:val="24"/>
          <w:lang w:val="en-US"/>
        </w:rPr>
      </w:pPr>
    </w:p>
    <w:p w14:paraId="4BB4846E" w14:textId="77777777" w:rsidR="00337CF9" w:rsidRDefault="006934D2" w:rsidP="0083098D">
      <w:pPr>
        <w:spacing w:line="360" w:lineRule="auto"/>
        <w:jc w:val="both"/>
        <w:rPr>
          <w:rFonts w:ascii="Arial" w:hAnsi="Arial" w:cs="Arial"/>
          <w:sz w:val="24"/>
          <w:szCs w:val="24"/>
          <w:lang w:val="en-US"/>
        </w:rPr>
      </w:pPr>
      <w:r w:rsidRPr="005A5BE3">
        <w:rPr>
          <w:rFonts w:ascii="Arial" w:hAnsi="Arial" w:cs="Arial"/>
          <w:i/>
          <w:sz w:val="24"/>
          <w:szCs w:val="24"/>
          <w:lang w:val="en-US"/>
        </w:rPr>
        <w:t>Held that</w:t>
      </w:r>
      <w:r w:rsidR="00ED4AAC" w:rsidRPr="005A5BE3">
        <w:rPr>
          <w:rFonts w:ascii="Arial" w:hAnsi="Arial" w:cs="Arial"/>
          <w:i/>
          <w:sz w:val="24"/>
          <w:szCs w:val="24"/>
          <w:lang w:val="en-US"/>
        </w:rPr>
        <w:t>,</w:t>
      </w:r>
      <w:r w:rsidR="00ED4AAC">
        <w:rPr>
          <w:rFonts w:ascii="Arial" w:hAnsi="Arial" w:cs="Arial"/>
          <w:sz w:val="24"/>
          <w:szCs w:val="24"/>
          <w:lang w:val="en-US"/>
        </w:rPr>
        <w:t xml:space="preserve"> the respondent</w:t>
      </w:r>
      <w:r w:rsidR="00C711EC">
        <w:rPr>
          <w:rFonts w:ascii="Arial" w:hAnsi="Arial" w:cs="Arial"/>
          <w:sz w:val="24"/>
          <w:szCs w:val="24"/>
          <w:lang w:val="en-US"/>
        </w:rPr>
        <w:t>s</w:t>
      </w:r>
      <w:r w:rsidR="00ED4AAC">
        <w:rPr>
          <w:rFonts w:ascii="Arial" w:hAnsi="Arial" w:cs="Arial"/>
          <w:sz w:val="24"/>
          <w:szCs w:val="24"/>
          <w:lang w:val="en-US"/>
        </w:rPr>
        <w:t xml:space="preserve"> could not validly conclude a contract with the appellant for the provision of services. </w:t>
      </w:r>
    </w:p>
    <w:p w14:paraId="67495483" w14:textId="77777777" w:rsidR="00135D9C" w:rsidRDefault="00135D9C" w:rsidP="00B3034E">
      <w:pPr>
        <w:spacing w:line="480" w:lineRule="auto"/>
        <w:jc w:val="both"/>
        <w:rPr>
          <w:rFonts w:ascii="Arial" w:hAnsi="Arial" w:cs="Arial"/>
          <w:sz w:val="24"/>
          <w:szCs w:val="24"/>
          <w:lang w:val="en-US"/>
        </w:rPr>
      </w:pPr>
    </w:p>
    <w:p w14:paraId="033C1CA8" w14:textId="77777777" w:rsidR="00C05498" w:rsidRPr="000A3FB3" w:rsidRDefault="00C05498" w:rsidP="000A3FB3">
      <w:pPr>
        <w:pBdr>
          <w:top w:val="single" w:sz="12" w:space="1" w:color="auto"/>
          <w:bottom w:val="single" w:sz="12" w:space="0" w:color="auto"/>
        </w:pBdr>
        <w:spacing w:line="240" w:lineRule="auto"/>
        <w:jc w:val="both"/>
        <w:rPr>
          <w:rFonts w:ascii="Arial" w:hAnsi="Arial" w:cs="Arial"/>
          <w:b/>
          <w:sz w:val="24"/>
          <w:szCs w:val="24"/>
          <w:lang w:val="en-US"/>
        </w:rPr>
      </w:pPr>
    </w:p>
    <w:p w14:paraId="3423FE32" w14:textId="77777777" w:rsidR="007D23A3" w:rsidRPr="000A3FB3" w:rsidRDefault="00C05498" w:rsidP="000A3FB3">
      <w:pPr>
        <w:pBdr>
          <w:top w:val="single" w:sz="12" w:space="1" w:color="auto"/>
          <w:bottom w:val="single" w:sz="12" w:space="0" w:color="auto"/>
        </w:pBdr>
        <w:spacing w:line="240" w:lineRule="auto"/>
        <w:jc w:val="center"/>
        <w:rPr>
          <w:rFonts w:ascii="Arial" w:hAnsi="Arial" w:cs="Arial"/>
          <w:b/>
          <w:sz w:val="24"/>
          <w:szCs w:val="24"/>
          <w:lang w:val="en-US"/>
        </w:rPr>
      </w:pPr>
      <w:r w:rsidRPr="000A3FB3">
        <w:rPr>
          <w:rFonts w:ascii="Arial" w:hAnsi="Arial" w:cs="Arial"/>
          <w:b/>
          <w:sz w:val="24"/>
          <w:szCs w:val="24"/>
          <w:lang w:val="en-US"/>
        </w:rPr>
        <w:t>APPEAL JUDGMENT</w:t>
      </w:r>
    </w:p>
    <w:p w14:paraId="63DBA19A" w14:textId="77777777" w:rsidR="00C05498" w:rsidRPr="000A3FB3" w:rsidRDefault="00C05498" w:rsidP="000A3FB3">
      <w:pPr>
        <w:pBdr>
          <w:top w:val="single" w:sz="12" w:space="1" w:color="auto"/>
          <w:bottom w:val="single" w:sz="12" w:space="0" w:color="auto"/>
        </w:pBdr>
        <w:spacing w:line="240" w:lineRule="auto"/>
        <w:jc w:val="both"/>
        <w:rPr>
          <w:rFonts w:ascii="Arial" w:hAnsi="Arial" w:cs="Arial"/>
          <w:b/>
          <w:sz w:val="24"/>
          <w:szCs w:val="24"/>
          <w:lang w:val="en-US"/>
        </w:rPr>
      </w:pPr>
    </w:p>
    <w:p w14:paraId="7BD36ED4" w14:textId="77777777" w:rsidR="00814008" w:rsidRPr="000A3FB3" w:rsidRDefault="00814008" w:rsidP="0083098D">
      <w:pPr>
        <w:spacing w:line="240" w:lineRule="auto"/>
        <w:jc w:val="both"/>
        <w:rPr>
          <w:rFonts w:ascii="Arial" w:hAnsi="Arial" w:cs="Arial"/>
          <w:sz w:val="24"/>
          <w:szCs w:val="24"/>
          <w:lang w:val="en-US"/>
        </w:rPr>
      </w:pPr>
    </w:p>
    <w:p w14:paraId="794FABB4" w14:textId="77777777" w:rsidR="00BE11B8" w:rsidRDefault="006915D9" w:rsidP="0083098D">
      <w:pPr>
        <w:spacing w:line="480" w:lineRule="auto"/>
        <w:jc w:val="both"/>
        <w:rPr>
          <w:rFonts w:ascii="Arial" w:hAnsi="Arial" w:cs="Arial"/>
          <w:sz w:val="24"/>
          <w:szCs w:val="24"/>
          <w:lang w:val="en-US"/>
        </w:rPr>
      </w:pPr>
      <w:r w:rsidRPr="00127B30">
        <w:rPr>
          <w:rFonts w:ascii="Arial" w:hAnsi="Arial" w:cs="Arial"/>
          <w:sz w:val="24"/>
          <w:szCs w:val="24"/>
          <w:lang w:val="en-US"/>
        </w:rPr>
        <w:t xml:space="preserve">UEITELE </w:t>
      </w:r>
      <w:r w:rsidR="00AF43AB" w:rsidRPr="00127B30">
        <w:rPr>
          <w:rFonts w:ascii="Arial" w:hAnsi="Arial" w:cs="Arial"/>
          <w:sz w:val="24"/>
          <w:szCs w:val="24"/>
          <w:lang w:val="en-US"/>
        </w:rPr>
        <w:t>AJA</w:t>
      </w:r>
      <w:r w:rsidR="00DE4156">
        <w:rPr>
          <w:rFonts w:ascii="Arial" w:hAnsi="Arial" w:cs="Arial"/>
          <w:sz w:val="24"/>
          <w:szCs w:val="24"/>
        </w:rPr>
        <w:t xml:space="preserve"> (</w:t>
      </w:r>
      <w:r w:rsidR="00DE4156">
        <w:rPr>
          <w:rFonts w:ascii="Arial" w:hAnsi="Arial" w:cs="Arial"/>
          <w:sz w:val="24"/>
          <w:szCs w:val="24"/>
          <w:lang w:val="en-US"/>
        </w:rPr>
        <w:t>FRANK AJA</w:t>
      </w:r>
      <w:r w:rsidR="00200D86">
        <w:rPr>
          <w:rFonts w:ascii="Arial" w:hAnsi="Arial" w:cs="Arial"/>
          <w:sz w:val="24"/>
          <w:szCs w:val="24"/>
          <w:lang w:val="en-US"/>
        </w:rPr>
        <w:t xml:space="preserve"> and</w:t>
      </w:r>
      <w:r w:rsidR="00DE4156" w:rsidRPr="000A3FB3">
        <w:rPr>
          <w:rFonts w:ascii="Arial" w:hAnsi="Arial" w:cs="Arial"/>
          <w:sz w:val="24"/>
          <w:szCs w:val="24"/>
          <w:lang w:val="en-US"/>
        </w:rPr>
        <w:t xml:space="preserve"> </w:t>
      </w:r>
      <w:r w:rsidR="00DE4156">
        <w:rPr>
          <w:rFonts w:ascii="Arial" w:hAnsi="Arial" w:cs="Arial"/>
          <w:sz w:val="24"/>
          <w:szCs w:val="24"/>
          <w:lang w:val="en-US"/>
        </w:rPr>
        <w:t>LIEBENBERG A</w:t>
      </w:r>
      <w:r w:rsidR="00DE4156" w:rsidRPr="000A3FB3">
        <w:rPr>
          <w:rFonts w:ascii="Arial" w:hAnsi="Arial" w:cs="Arial"/>
          <w:sz w:val="24"/>
          <w:szCs w:val="24"/>
          <w:lang w:val="en-US"/>
        </w:rPr>
        <w:t>JA</w:t>
      </w:r>
      <w:r w:rsidR="00DE4156">
        <w:rPr>
          <w:rFonts w:ascii="Arial" w:hAnsi="Arial" w:cs="Arial"/>
          <w:sz w:val="24"/>
          <w:szCs w:val="24"/>
          <w:lang w:val="en-US"/>
        </w:rPr>
        <w:t xml:space="preserve"> concurring)</w:t>
      </w:r>
      <w:r w:rsidR="00281F7D">
        <w:rPr>
          <w:rFonts w:ascii="Arial" w:hAnsi="Arial" w:cs="Arial"/>
          <w:sz w:val="24"/>
          <w:szCs w:val="24"/>
          <w:lang w:val="en-US"/>
        </w:rPr>
        <w:t>:</w:t>
      </w:r>
    </w:p>
    <w:p w14:paraId="007B1FCA" w14:textId="77777777" w:rsidR="007865F5" w:rsidRDefault="00E624C3" w:rsidP="0083098D">
      <w:pPr>
        <w:spacing w:line="480" w:lineRule="auto"/>
        <w:jc w:val="both"/>
        <w:rPr>
          <w:rFonts w:ascii="Arial" w:hAnsi="Arial" w:cs="Arial"/>
          <w:sz w:val="24"/>
          <w:szCs w:val="24"/>
          <w:u w:val="single"/>
          <w:lang w:val="en-US"/>
        </w:rPr>
      </w:pPr>
      <w:r w:rsidRPr="00127B30">
        <w:rPr>
          <w:rFonts w:ascii="Arial" w:hAnsi="Arial" w:cs="Arial"/>
          <w:sz w:val="24"/>
          <w:szCs w:val="24"/>
          <w:u w:val="single"/>
          <w:lang w:val="en-US"/>
        </w:rPr>
        <w:lastRenderedPageBreak/>
        <w:t>Introduction</w:t>
      </w:r>
      <w:r w:rsidR="00200D86">
        <w:rPr>
          <w:rFonts w:ascii="Arial" w:hAnsi="Arial" w:cs="Arial"/>
          <w:sz w:val="24"/>
          <w:szCs w:val="24"/>
          <w:u w:val="single"/>
          <w:lang w:val="en-US"/>
        </w:rPr>
        <w:t xml:space="preserve"> and b</w:t>
      </w:r>
      <w:r w:rsidR="003A3EFF" w:rsidRPr="00127B30">
        <w:rPr>
          <w:rFonts w:ascii="Arial" w:hAnsi="Arial" w:cs="Arial"/>
          <w:sz w:val="24"/>
          <w:szCs w:val="24"/>
          <w:u w:val="single"/>
          <w:lang w:val="en-US"/>
        </w:rPr>
        <w:t>ackground</w:t>
      </w:r>
    </w:p>
    <w:p w14:paraId="0E7F448E" w14:textId="44920B81" w:rsidR="00D22685" w:rsidRDefault="00453860" w:rsidP="00453860">
      <w:pPr>
        <w:pStyle w:val="NoSpacing"/>
        <w:spacing w:line="480" w:lineRule="auto"/>
        <w:jc w:val="both"/>
        <w:rPr>
          <w:rFonts w:ascii="Arial" w:hAnsi="Arial" w:cs="Arial"/>
          <w:sz w:val="24"/>
        </w:rPr>
      </w:pPr>
      <w:r>
        <w:rPr>
          <w:rFonts w:ascii="Arial" w:hAnsi="Arial" w:cs="Arial"/>
          <w:sz w:val="24"/>
        </w:rPr>
        <w:t>[1]</w:t>
      </w:r>
      <w:r>
        <w:rPr>
          <w:rFonts w:ascii="Arial" w:hAnsi="Arial" w:cs="Arial"/>
          <w:sz w:val="24"/>
        </w:rPr>
        <w:tab/>
      </w:r>
      <w:r w:rsidR="00E25786" w:rsidRPr="00D22685">
        <w:rPr>
          <w:rFonts w:ascii="Arial" w:hAnsi="Arial" w:cs="Arial"/>
          <w:sz w:val="24"/>
        </w:rPr>
        <w:t>The appellant in this matter</w:t>
      </w:r>
      <w:r w:rsidR="003A3EFF" w:rsidRPr="00D22685">
        <w:rPr>
          <w:rFonts w:ascii="Arial" w:hAnsi="Arial" w:cs="Arial"/>
          <w:sz w:val="24"/>
        </w:rPr>
        <w:t xml:space="preserve"> is </w:t>
      </w:r>
      <w:proofErr w:type="spellStart"/>
      <w:r w:rsidR="003A3EFF" w:rsidRPr="00D22685">
        <w:rPr>
          <w:rFonts w:ascii="Arial" w:hAnsi="Arial" w:cs="Arial"/>
          <w:sz w:val="24"/>
        </w:rPr>
        <w:t>Newpoint</w:t>
      </w:r>
      <w:proofErr w:type="spellEnd"/>
      <w:r w:rsidR="003A3EFF" w:rsidRPr="00D22685">
        <w:rPr>
          <w:rFonts w:ascii="Arial" w:hAnsi="Arial" w:cs="Arial"/>
          <w:sz w:val="24"/>
        </w:rPr>
        <w:t xml:space="preserve"> Electronic Solutions (Pty) Ltd, a company duly registered and incorporated in terms of the company laws of this</w:t>
      </w:r>
      <w:r w:rsidR="00E25786" w:rsidRPr="00D22685">
        <w:rPr>
          <w:rFonts w:ascii="Arial" w:hAnsi="Arial" w:cs="Arial"/>
          <w:sz w:val="24"/>
        </w:rPr>
        <w:t xml:space="preserve"> Republic. The first respondent</w:t>
      </w:r>
      <w:r w:rsidR="003A3EFF" w:rsidRPr="00D22685">
        <w:rPr>
          <w:rFonts w:ascii="Arial" w:hAnsi="Arial" w:cs="Arial"/>
          <w:sz w:val="24"/>
        </w:rPr>
        <w:t xml:space="preserve"> is the Permanent Secretary of the Office of the Prime Minister</w:t>
      </w:r>
      <w:r w:rsidR="00E25786" w:rsidRPr="00D22685">
        <w:rPr>
          <w:rFonts w:ascii="Arial" w:hAnsi="Arial" w:cs="Arial"/>
          <w:sz w:val="24"/>
        </w:rPr>
        <w:t>, whereas the second respondent</w:t>
      </w:r>
      <w:r w:rsidR="003A3EFF" w:rsidRPr="00D22685">
        <w:rPr>
          <w:rFonts w:ascii="Arial" w:hAnsi="Arial" w:cs="Arial"/>
          <w:sz w:val="24"/>
        </w:rPr>
        <w:t xml:space="preserve"> is the Prime Minister of this Republic.</w:t>
      </w:r>
    </w:p>
    <w:p w14:paraId="4375A998" w14:textId="77777777" w:rsidR="00D22685" w:rsidRDefault="00D22685" w:rsidP="007645D7">
      <w:pPr>
        <w:pStyle w:val="NoSpacing"/>
        <w:spacing w:line="480" w:lineRule="auto"/>
        <w:jc w:val="both"/>
        <w:rPr>
          <w:rFonts w:ascii="Arial" w:hAnsi="Arial" w:cs="Arial"/>
          <w:sz w:val="24"/>
        </w:rPr>
      </w:pPr>
    </w:p>
    <w:p w14:paraId="13F7FF6E" w14:textId="42D01A69" w:rsidR="00D22685" w:rsidRDefault="00453860" w:rsidP="00453860">
      <w:pPr>
        <w:pStyle w:val="NoSpacing"/>
        <w:spacing w:line="480" w:lineRule="auto"/>
        <w:jc w:val="both"/>
        <w:rPr>
          <w:rFonts w:ascii="Arial" w:hAnsi="Arial" w:cs="Arial"/>
          <w:sz w:val="24"/>
        </w:rPr>
      </w:pPr>
      <w:r>
        <w:rPr>
          <w:rFonts w:ascii="Arial" w:hAnsi="Arial" w:cs="Arial"/>
          <w:sz w:val="24"/>
        </w:rPr>
        <w:t>[2]</w:t>
      </w:r>
      <w:r>
        <w:rPr>
          <w:rFonts w:ascii="Arial" w:hAnsi="Arial" w:cs="Arial"/>
          <w:sz w:val="24"/>
        </w:rPr>
        <w:tab/>
      </w:r>
      <w:r w:rsidR="003A3EFF" w:rsidRPr="00D22685">
        <w:rPr>
          <w:rFonts w:ascii="Arial" w:hAnsi="Arial" w:cs="Arial"/>
          <w:sz w:val="24"/>
          <w:lang w:val="en-US"/>
        </w:rPr>
        <w:t>From the record before us it is not clear as to exa</w:t>
      </w:r>
      <w:r w:rsidR="00E25786" w:rsidRPr="00D22685">
        <w:rPr>
          <w:rFonts w:ascii="Arial" w:hAnsi="Arial" w:cs="Arial"/>
          <w:sz w:val="24"/>
          <w:lang w:val="en-US"/>
        </w:rPr>
        <w:t>ctly when, but what is clear is</w:t>
      </w:r>
      <w:r w:rsidR="003A3EFF" w:rsidRPr="00D22685">
        <w:rPr>
          <w:rFonts w:ascii="Arial" w:hAnsi="Arial" w:cs="Arial"/>
          <w:sz w:val="24"/>
          <w:lang w:val="en-US"/>
        </w:rPr>
        <w:t xml:space="preserve"> that sometime during the year 2015</w:t>
      </w:r>
      <w:r w:rsidR="00D15490">
        <w:rPr>
          <w:rFonts w:ascii="Arial" w:hAnsi="Arial" w:cs="Arial"/>
          <w:sz w:val="24"/>
          <w:lang w:val="en-US"/>
        </w:rPr>
        <w:t>,</w:t>
      </w:r>
      <w:r w:rsidR="003A3EFF" w:rsidRPr="00D22685">
        <w:rPr>
          <w:rFonts w:ascii="Arial" w:hAnsi="Arial" w:cs="Arial"/>
          <w:sz w:val="24"/>
          <w:lang w:val="en-US"/>
        </w:rPr>
        <w:t xml:space="preserve"> the </w:t>
      </w:r>
      <w:r w:rsidR="00F21525" w:rsidRPr="00D22685">
        <w:rPr>
          <w:rFonts w:ascii="Arial" w:hAnsi="Arial" w:cs="Arial"/>
          <w:sz w:val="24"/>
          <w:lang w:val="en-US"/>
        </w:rPr>
        <w:t>now disbanded</w:t>
      </w:r>
      <w:r w:rsidR="00D15490">
        <w:rPr>
          <w:rFonts w:ascii="Arial" w:hAnsi="Arial" w:cs="Arial"/>
          <w:sz w:val="24"/>
          <w:lang w:val="en-US"/>
        </w:rPr>
        <w:t xml:space="preserve"> Tender Board of Namibia</w:t>
      </w:r>
      <w:r w:rsidR="00200D86">
        <w:rPr>
          <w:rFonts w:ascii="Arial" w:hAnsi="Arial" w:cs="Arial"/>
          <w:sz w:val="24"/>
          <w:lang w:val="en-US"/>
        </w:rPr>
        <w:t xml:space="preserve"> (the board)</w:t>
      </w:r>
      <w:r w:rsidR="00E25786" w:rsidRPr="00D22685">
        <w:rPr>
          <w:rFonts w:ascii="Arial" w:hAnsi="Arial" w:cs="Arial"/>
          <w:sz w:val="24"/>
          <w:lang w:val="en-US"/>
        </w:rPr>
        <w:t>,</w:t>
      </w:r>
      <w:r w:rsidR="00D15490">
        <w:rPr>
          <w:rFonts w:ascii="Arial" w:hAnsi="Arial" w:cs="Arial"/>
          <w:sz w:val="24"/>
          <w:lang w:val="en-US"/>
        </w:rPr>
        <w:t xml:space="preserve"> </w:t>
      </w:r>
      <w:r w:rsidR="003A3EFF" w:rsidRPr="00D22685">
        <w:rPr>
          <w:rFonts w:ascii="Arial" w:hAnsi="Arial" w:cs="Arial"/>
          <w:sz w:val="24"/>
          <w:lang w:val="en-US"/>
        </w:rPr>
        <w:t xml:space="preserve">placed advertisements in the </w:t>
      </w:r>
      <w:r w:rsidR="00977AD6" w:rsidRPr="00D22685">
        <w:rPr>
          <w:rFonts w:ascii="Arial" w:hAnsi="Arial" w:cs="Arial"/>
          <w:sz w:val="24"/>
          <w:lang w:val="en-US"/>
        </w:rPr>
        <w:t xml:space="preserve">local </w:t>
      </w:r>
      <w:r w:rsidR="003A3EFF" w:rsidRPr="00D22685">
        <w:rPr>
          <w:rFonts w:ascii="Arial" w:hAnsi="Arial" w:cs="Arial"/>
          <w:sz w:val="24"/>
          <w:lang w:val="en-US"/>
        </w:rPr>
        <w:t>media inviting expressions of interest from interested bidders under Tender No</w:t>
      </w:r>
      <w:r w:rsidR="00E560AF" w:rsidRPr="00D22685">
        <w:rPr>
          <w:rFonts w:ascii="Arial" w:hAnsi="Arial" w:cs="Arial"/>
          <w:sz w:val="24"/>
          <w:lang w:val="en-US"/>
        </w:rPr>
        <w:t>.</w:t>
      </w:r>
      <w:r w:rsidR="003A3EFF" w:rsidRPr="00D22685">
        <w:rPr>
          <w:rFonts w:ascii="Arial" w:hAnsi="Arial" w:cs="Arial"/>
          <w:sz w:val="24"/>
          <w:lang w:val="en-US"/>
        </w:rPr>
        <w:t xml:space="preserve"> E1/2-7/2015 </w:t>
      </w:r>
      <w:r w:rsidR="00200D86">
        <w:rPr>
          <w:rFonts w:ascii="Arial" w:hAnsi="Arial" w:cs="Arial"/>
          <w:sz w:val="24"/>
          <w:lang w:val="en-US"/>
        </w:rPr>
        <w:t xml:space="preserve">(the tender) </w:t>
      </w:r>
      <w:r w:rsidR="003A3EFF" w:rsidRPr="00D22685">
        <w:rPr>
          <w:rFonts w:ascii="Arial" w:hAnsi="Arial" w:cs="Arial"/>
          <w:sz w:val="24"/>
          <w:lang w:val="en-US"/>
        </w:rPr>
        <w:t>for the implementation of the Oracle Payroll, Maintenance and Support of the Existing Human Capital Management Service</w:t>
      </w:r>
      <w:r w:rsidR="00357FC1">
        <w:rPr>
          <w:rFonts w:ascii="Arial" w:hAnsi="Arial" w:cs="Arial"/>
          <w:sz w:val="24"/>
          <w:lang w:val="en-US"/>
        </w:rPr>
        <w:t xml:space="preserve"> at the Office of the Prime Minister</w:t>
      </w:r>
      <w:r w:rsidR="003A3EFF" w:rsidRPr="00D22685">
        <w:rPr>
          <w:rFonts w:ascii="Arial" w:hAnsi="Arial" w:cs="Arial"/>
          <w:sz w:val="24"/>
          <w:lang w:val="en-US"/>
        </w:rPr>
        <w:t>.</w:t>
      </w:r>
    </w:p>
    <w:p w14:paraId="2C0EDA9B" w14:textId="77777777" w:rsidR="00D22685" w:rsidRPr="004C4C38" w:rsidRDefault="00D22685" w:rsidP="004C4C38">
      <w:pPr>
        <w:spacing w:line="480" w:lineRule="auto"/>
        <w:rPr>
          <w:rFonts w:ascii="Arial" w:hAnsi="Arial" w:cs="Arial"/>
          <w:sz w:val="24"/>
        </w:rPr>
      </w:pPr>
    </w:p>
    <w:p w14:paraId="50E53643" w14:textId="207BA75B" w:rsidR="003A3EFF" w:rsidRPr="00D22685" w:rsidRDefault="00453860" w:rsidP="00453860">
      <w:pPr>
        <w:pStyle w:val="NoSpacing"/>
        <w:spacing w:line="480" w:lineRule="auto"/>
        <w:jc w:val="both"/>
        <w:rPr>
          <w:rFonts w:ascii="Arial" w:hAnsi="Arial" w:cs="Arial"/>
          <w:sz w:val="24"/>
        </w:rPr>
      </w:pPr>
      <w:r w:rsidRPr="00D22685">
        <w:rPr>
          <w:rFonts w:ascii="Arial" w:hAnsi="Arial" w:cs="Arial"/>
          <w:sz w:val="24"/>
        </w:rPr>
        <w:t>[3]</w:t>
      </w:r>
      <w:r w:rsidRPr="00D22685">
        <w:rPr>
          <w:rFonts w:ascii="Arial" w:hAnsi="Arial" w:cs="Arial"/>
          <w:sz w:val="24"/>
        </w:rPr>
        <w:tab/>
      </w:r>
      <w:r w:rsidR="003A3EFF" w:rsidRPr="00D22685">
        <w:rPr>
          <w:rFonts w:ascii="Arial" w:hAnsi="Arial" w:cs="Arial"/>
          <w:sz w:val="24"/>
        </w:rPr>
        <w:t>On 5 April 2016</w:t>
      </w:r>
      <w:r w:rsidR="00E560AF" w:rsidRPr="00D22685">
        <w:rPr>
          <w:rFonts w:ascii="Arial" w:hAnsi="Arial" w:cs="Arial"/>
          <w:sz w:val="24"/>
        </w:rPr>
        <w:t>,</w:t>
      </w:r>
      <w:r w:rsidR="003A3EFF" w:rsidRPr="00D22685">
        <w:rPr>
          <w:rFonts w:ascii="Arial" w:hAnsi="Arial" w:cs="Arial"/>
          <w:sz w:val="24"/>
        </w:rPr>
        <w:t xml:space="preserve"> </w:t>
      </w:r>
      <w:r w:rsidR="00F21525" w:rsidRPr="00D22685">
        <w:rPr>
          <w:rFonts w:ascii="Arial" w:hAnsi="Arial" w:cs="Arial"/>
          <w:sz w:val="24"/>
        </w:rPr>
        <w:t>t</w:t>
      </w:r>
      <w:r w:rsidR="00AA40D7">
        <w:rPr>
          <w:rFonts w:ascii="Arial" w:hAnsi="Arial" w:cs="Arial"/>
          <w:sz w:val="24"/>
        </w:rPr>
        <w:t>he s</w:t>
      </w:r>
      <w:r w:rsidR="003A3EFF" w:rsidRPr="00D22685">
        <w:rPr>
          <w:rFonts w:ascii="Arial" w:hAnsi="Arial" w:cs="Arial"/>
          <w:sz w:val="24"/>
        </w:rPr>
        <w:t xml:space="preserve">ecretary to the </w:t>
      </w:r>
      <w:r w:rsidR="00AA40D7">
        <w:rPr>
          <w:rFonts w:ascii="Arial" w:hAnsi="Arial" w:cs="Arial"/>
          <w:sz w:val="24"/>
        </w:rPr>
        <w:t>b</w:t>
      </w:r>
      <w:r w:rsidR="003A3EFF" w:rsidRPr="00D22685">
        <w:rPr>
          <w:rFonts w:ascii="Arial" w:hAnsi="Arial" w:cs="Arial"/>
          <w:sz w:val="24"/>
        </w:rPr>
        <w:t xml:space="preserve">oard by letter informed the appellant that it was awarded </w:t>
      </w:r>
      <w:r w:rsidR="00AA40D7">
        <w:rPr>
          <w:rFonts w:ascii="Arial" w:hAnsi="Arial" w:cs="Arial"/>
          <w:sz w:val="24"/>
          <w:lang w:val="en-US"/>
        </w:rPr>
        <w:t>the tender</w:t>
      </w:r>
      <w:r w:rsidR="003A3EFF" w:rsidRPr="00D22685">
        <w:rPr>
          <w:rFonts w:ascii="Arial" w:hAnsi="Arial" w:cs="Arial"/>
          <w:sz w:val="24"/>
          <w:lang w:val="en-US"/>
        </w:rPr>
        <w:t>. That letter in part reads as follows:</w:t>
      </w:r>
    </w:p>
    <w:p w14:paraId="045F8CE6" w14:textId="77777777" w:rsidR="008A68A8" w:rsidRPr="00D22685" w:rsidRDefault="008A68A8" w:rsidP="00C040CC">
      <w:pPr>
        <w:pStyle w:val="NoSpacing"/>
        <w:spacing w:line="360" w:lineRule="auto"/>
        <w:jc w:val="both"/>
        <w:rPr>
          <w:rFonts w:ascii="Arial" w:hAnsi="Arial" w:cs="Arial"/>
          <w:sz w:val="24"/>
        </w:rPr>
      </w:pPr>
    </w:p>
    <w:p w14:paraId="60ACFDE3" w14:textId="77777777" w:rsidR="003A3EFF" w:rsidRPr="00D22685" w:rsidRDefault="00C41025" w:rsidP="00C41025">
      <w:pPr>
        <w:pStyle w:val="NoSpacing"/>
        <w:spacing w:line="360" w:lineRule="auto"/>
        <w:ind w:left="720"/>
        <w:jc w:val="both"/>
        <w:rPr>
          <w:rFonts w:ascii="Arial" w:hAnsi="Arial" w:cs="Arial"/>
        </w:rPr>
      </w:pPr>
      <w:r>
        <w:rPr>
          <w:rFonts w:ascii="Arial" w:hAnsi="Arial" w:cs="Arial"/>
        </w:rPr>
        <w:t>‘The T</w:t>
      </w:r>
      <w:r w:rsidR="003A3EFF" w:rsidRPr="00D22685">
        <w:rPr>
          <w:rFonts w:ascii="Arial" w:hAnsi="Arial" w:cs="Arial"/>
        </w:rPr>
        <w:t>ender Board of Namibia, in terms of section 16(1)(</w:t>
      </w:r>
      <w:r w:rsidR="003A3EFF" w:rsidRPr="00C41025">
        <w:rPr>
          <w:rFonts w:ascii="Arial" w:hAnsi="Arial" w:cs="Arial"/>
        </w:rPr>
        <w:t>a</w:t>
      </w:r>
      <w:r w:rsidR="003A3EFF" w:rsidRPr="00D15490">
        <w:rPr>
          <w:rFonts w:ascii="Arial" w:hAnsi="Arial" w:cs="Arial"/>
        </w:rPr>
        <w:t>)</w:t>
      </w:r>
      <w:r w:rsidR="003A3EFF" w:rsidRPr="00D22685">
        <w:rPr>
          <w:rFonts w:ascii="Arial" w:hAnsi="Arial" w:cs="Arial"/>
        </w:rPr>
        <w:t xml:space="preserve"> of the Tender Board Act,</w:t>
      </w:r>
      <w:r w:rsidR="00E560AF" w:rsidRPr="00D22685">
        <w:rPr>
          <w:rFonts w:ascii="Arial" w:hAnsi="Arial" w:cs="Arial"/>
        </w:rPr>
        <w:t xml:space="preserve"> </w:t>
      </w:r>
      <w:r>
        <w:rPr>
          <w:rFonts w:ascii="Arial" w:hAnsi="Arial" w:cs="Arial"/>
        </w:rPr>
        <w:t xml:space="preserve">Act 16 of </w:t>
      </w:r>
      <w:r w:rsidR="00E560AF" w:rsidRPr="00D22685">
        <w:rPr>
          <w:rFonts w:ascii="Arial" w:hAnsi="Arial" w:cs="Arial"/>
        </w:rPr>
        <w:t>1996</w:t>
      </w:r>
      <w:r w:rsidR="003A3EFF" w:rsidRPr="00D22685">
        <w:rPr>
          <w:rFonts w:ascii="Arial" w:hAnsi="Arial" w:cs="Arial"/>
        </w:rPr>
        <w:t>, hereby informs you that your tender was successful and was approved by the Board.</w:t>
      </w:r>
    </w:p>
    <w:p w14:paraId="6794DF5B" w14:textId="77777777" w:rsidR="008A68A8" w:rsidRPr="00D22685" w:rsidRDefault="008A68A8" w:rsidP="00C41025">
      <w:pPr>
        <w:pStyle w:val="NoSpacing"/>
        <w:spacing w:line="360" w:lineRule="auto"/>
        <w:ind w:left="720"/>
        <w:jc w:val="both"/>
        <w:rPr>
          <w:rFonts w:ascii="Arial" w:hAnsi="Arial" w:cs="Arial"/>
        </w:rPr>
      </w:pPr>
    </w:p>
    <w:p w14:paraId="5549837E" w14:textId="5B8BE276" w:rsidR="003A3EFF" w:rsidRPr="00C41025" w:rsidRDefault="00453860" w:rsidP="00453860">
      <w:pPr>
        <w:pStyle w:val="NoSpacing"/>
        <w:spacing w:line="360" w:lineRule="auto"/>
        <w:ind w:left="1080" w:hanging="360"/>
        <w:jc w:val="both"/>
        <w:rPr>
          <w:rFonts w:ascii="Arial" w:hAnsi="Arial" w:cs="Arial"/>
          <w:b/>
        </w:rPr>
      </w:pPr>
      <w:r w:rsidRPr="00C41025">
        <w:rPr>
          <w:rFonts w:ascii="Symbol" w:hAnsi="Symbol" w:cs="Arial"/>
        </w:rPr>
        <w:t></w:t>
      </w:r>
      <w:r w:rsidRPr="00C41025">
        <w:rPr>
          <w:rFonts w:ascii="Symbol" w:hAnsi="Symbol" w:cs="Arial"/>
        </w:rPr>
        <w:tab/>
      </w:r>
      <w:r w:rsidR="003A3EFF" w:rsidRPr="00C41025">
        <w:rPr>
          <w:rFonts w:ascii="Arial" w:hAnsi="Arial" w:cs="Arial"/>
          <w:b/>
        </w:rPr>
        <w:t xml:space="preserve">Your company is awarded tender </w:t>
      </w:r>
      <w:r w:rsidR="003A3EFF" w:rsidRPr="00C41025">
        <w:rPr>
          <w:rFonts w:ascii="Arial" w:hAnsi="Arial" w:cs="Arial"/>
          <w:b/>
          <w:lang w:val="en-US"/>
        </w:rPr>
        <w:t>E1/2-7/2015 to the amount of N$ 27 738 000-00.</w:t>
      </w:r>
    </w:p>
    <w:p w14:paraId="00466606" w14:textId="77777777" w:rsidR="00E560AF" w:rsidRPr="00D22685" w:rsidRDefault="00E560AF" w:rsidP="00C41025">
      <w:pPr>
        <w:pStyle w:val="NoSpacing"/>
        <w:spacing w:line="360" w:lineRule="auto"/>
        <w:ind w:left="720"/>
        <w:jc w:val="both"/>
        <w:rPr>
          <w:rFonts w:ascii="Arial" w:hAnsi="Arial" w:cs="Arial"/>
        </w:rPr>
      </w:pPr>
    </w:p>
    <w:p w14:paraId="27C4A137" w14:textId="77777777" w:rsidR="00D22685" w:rsidRPr="00D22685" w:rsidRDefault="003A3EFF" w:rsidP="00C41025">
      <w:pPr>
        <w:pStyle w:val="NoSpacing"/>
        <w:spacing w:line="360" w:lineRule="auto"/>
        <w:ind w:left="720"/>
        <w:jc w:val="both"/>
        <w:rPr>
          <w:rFonts w:ascii="Arial" w:hAnsi="Arial" w:cs="Arial"/>
        </w:rPr>
      </w:pPr>
      <w:r w:rsidRPr="00D22685">
        <w:rPr>
          <w:rFonts w:ascii="Arial" w:hAnsi="Arial" w:cs="Arial"/>
        </w:rPr>
        <w:t>Any furthe</w:t>
      </w:r>
      <w:r w:rsidR="00D22685" w:rsidRPr="00D22685">
        <w:rPr>
          <w:rFonts w:ascii="Arial" w:hAnsi="Arial" w:cs="Arial"/>
        </w:rPr>
        <w:t>r enquiry should be directed to:</w:t>
      </w:r>
    </w:p>
    <w:p w14:paraId="3D6974D4" w14:textId="77777777" w:rsidR="003A3EFF" w:rsidRPr="00D22685" w:rsidRDefault="00C41025" w:rsidP="00C41025">
      <w:pPr>
        <w:pStyle w:val="NoSpacing"/>
        <w:spacing w:line="360" w:lineRule="auto"/>
        <w:ind w:left="720"/>
        <w:jc w:val="both"/>
        <w:rPr>
          <w:rFonts w:ascii="Arial" w:hAnsi="Arial" w:cs="Arial"/>
        </w:rPr>
      </w:pPr>
      <w:r w:rsidRPr="005A5BE3">
        <w:rPr>
          <w:rFonts w:ascii="Arial" w:hAnsi="Arial" w:cs="Arial"/>
          <w:strike/>
        </w:rPr>
        <w:t>Ministry</w:t>
      </w:r>
      <w:r>
        <w:rPr>
          <w:rFonts w:ascii="Arial" w:hAnsi="Arial" w:cs="Arial"/>
        </w:rPr>
        <w:t>/</w:t>
      </w:r>
      <w:r w:rsidR="00F21525" w:rsidRPr="00D22685">
        <w:rPr>
          <w:rFonts w:ascii="Arial" w:hAnsi="Arial" w:cs="Arial"/>
        </w:rPr>
        <w:t>Office</w:t>
      </w:r>
      <w:r w:rsidR="003A3EFF" w:rsidRPr="00D22685">
        <w:rPr>
          <w:rFonts w:ascii="Arial" w:hAnsi="Arial" w:cs="Arial"/>
        </w:rPr>
        <w:t xml:space="preserve">: Office of the Prime </w:t>
      </w:r>
      <w:r w:rsidR="00F21525" w:rsidRPr="00D22685">
        <w:rPr>
          <w:rFonts w:ascii="Arial" w:hAnsi="Arial" w:cs="Arial"/>
        </w:rPr>
        <w:t>Minister:</w:t>
      </w:r>
      <w:r w:rsidR="00AA40D7">
        <w:rPr>
          <w:rFonts w:ascii="Arial" w:hAnsi="Arial" w:cs="Arial"/>
        </w:rPr>
        <w:t xml:space="preserve"> Contact Person and Tel no</w:t>
      </w:r>
      <w:r>
        <w:rPr>
          <w:rFonts w:ascii="Arial" w:hAnsi="Arial" w:cs="Arial"/>
        </w:rPr>
        <w:t xml:space="preserve">: </w:t>
      </w:r>
      <w:r w:rsidR="003A3EFF" w:rsidRPr="00D22685">
        <w:rPr>
          <w:rFonts w:ascii="Arial" w:hAnsi="Arial" w:cs="Arial"/>
        </w:rPr>
        <w:t xml:space="preserve">J </w:t>
      </w:r>
      <w:proofErr w:type="spellStart"/>
      <w:r w:rsidR="003A3EFF" w:rsidRPr="00D22685">
        <w:rPr>
          <w:rFonts w:ascii="Arial" w:hAnsi="Arial" w:cs="Arial"/>
        </w:rPr>
        <w:t>Kangandjo</w:t>
      </w:r>
      <w:proofErr w:type="spellEnd"/>
      <w:r w:rsidR="003A3EFF" w:rsidRPr="00D22685">
        <w:rPr>
          <w:rFonts w:ascii="Arial" w:hAnsi="Arial" w:cs="Arial"/>
        </w:rPr>
        <w:t xml:space="preserve">/G </w:t>
      </w:r>
      <w:proofErr w:type="spellStart"/>
      <w:r w:rsidR="003A3EFF" w:rsidRPr="00D22685">
        <w:rPr>
          <w:rFonts w:ascii="Arial" w:hAnsi="Arial" w:cs="Arial"/>
        </w:rPr>
        <w:t>Shilongo</w:t>
      </w:r>
      <w:proofErr w:type="spellEnd"/>
      <w:r w:rsidR="003A3EFF" w:rsidRPr="00D22685">
        <w:rPr>
          <w:rFonts w:ascii="Arial" w:hAnsi="Arial" w:cs="Arial"/>
        </w:rPr>
        <w:t xml:space="preserve"> at 061-287 9111.</w:t>
      </w:r>
    </w:p>
    <w:p w14:paraId="11B3B393" w14:textId="77777777" w:rsidR="003A3EFF" w:rsidRPr="00D22685" w:rsidRDefault="003A3EFF" w:rsidP="00C41025">
      <w:pPr>
        <w:pStyle w:val="NoSpacing"/>
        <w:spacing w:line="360" w:lineRule="auto"/>
        <w:ind w:left="720"/>
        <w:jc w:val="both"/>
        <w:rPr>
          <w:rFonts w:ascii="Arial" w:hAnsi="Arial" w:cs="Arial"/>
        </w:rPr>
      </w:pPr>
    </w:p>
    <w:p w14:paraId="35FCB79D" w14:textId="77777777" w:rsidR="00337CF9" w:rsidRPr="00D22685" w:rsidRDefault="003A3EFF" w:rsidP="00B326D9">
      <w:pPr>
        <w:pStyle w:val="NoSpacing"/>
        <w:spacing w:line="360" w:lineRule="auto"/>
        <w:ind w:left="720"/>
        <w:jc w:val="both"/>
        <w:rPr>
          <w:rFonts w:ascii="Arial" w:hAnsi="Arial" w:cs="Arial"/>
        </w:rPr>
      </w:pPr>
      <w:r w:rsidRPr="00C41025">
        <w:rPr>
          <w:rFonts w:ascii="Arial" w:hAnsi="Arial" w:cs="Arial"/>
          <w:b/>
        </w:rPr>
        <w:t>This notice is subject to an official Government order being issued or the conclusion of an agreement by O/M/A concerned and is not binding on any party involv</w:t>
      </w:r>
      <w:r w:rsidR="00337CF9" w:rsidRPr="00C41025">
        <w:rPr>
          <w:rFonts w:ascii="Arial" w:hAnsi="Arial" w:cs="Arial"/>
          <w:b/>
        </w:rPr>
        <w:t>ed.</w:t>
      </w:r>
      <w:r w:rsidR="00337CF9">
        <w:rPr>
          <w:rFonts w:ascii="Arial" w:hAnsi="Arial" w:cs="Arial"/>
        </w:rPr>
        <w:t>’</w:t>
      </w:r>
    </w:p>
    <w:p w14:paraId="3B1CD821" w14:textId="01C772CD" w:rsidR="00D22685" w:rsidRDefault="00453860" w:rsidP="00453860">
      <w:pPr>
        <w:pStyle w:val="NoSpacing"/>
        <w:spacing w:line="480" w:lineRule="auto"/>
        <w:jc w:val="both"/>
        <w:rPr>
          <w:rFonts w:ascii="Arial" w:hAnsi="Arial" w:cs="Arial"/>
          <w:sz w:val="24"/>
        </w:rPr>
      </w:pPr>
      <w:r>
        <w:rPr>
          <w:rFonts w:ascii="Arial" w:hAnsi="Arial" w:cs="Arial"/>
          <w:sz w:val="24"/>
        </w:rPr>
        <w:lastRenderedPageBreak/>
        <w:t>[4]</w:t>
      </w:r>
      <w:r>
        <w:rPr>
          <w:rFonts w:ascii="Arial" w:hAnsi="Arial" w:cs="Arial"/>
          <w:sz w:val="24"/>
        </w:rPr>
        <w:tab/>
      </w:r>
      <w:r w:rsidR="003A3EFF" w:rsidRPr="00D22685">
        <w:rPr>
          <w:rFonts w:ascii="Arial" w:hAnsi="Arial" w:cs="Arial"/>
          <w:sz w:val="24"/>
        </w:rPr>
        <w:t>On 19 April 2016</w:t>
      </w:r>
      <w:r w:rsidR="00E560AF" w:rsidRPr="00D22685">
        <w:rPr>
          <w:rFonts w:ascii="Arial" w:hAnsi="Arial" w:cs="Arial"/>
          <w:sz w:val="24"/>
        </w:rPr>
        <w:t>,</w:t>
      </w:r>
      <w:r w:rsidR="003A3EFF" w:rsidRPr="00D22685">
        <w:rPr>
          <w:rFonts w:ascii="Arial" w:hAnsi="Arial" w:cs="Arial"/>
          <w:sz w:val="24"/>
        </w:rPr>
        <w:t xml:space="preserve"> the Permanent Secretary </w:t>
      </w:r>
      <w:r w:rsidR="000A2061" w:rsidRPr="00D22685">
        <w:rPr>
          <w:rFonts w:ascii="Arial" w:hAnsi="Arial" w:cs="Arial"/>
          <w:sz w:val="24"/>
        </w:rPr>
        <w:t>of</w:t>
      </w:r>
      <w:r w:rsidR="003A3EFF" w:rsidRPr="00D22685">
        <w:rPr>
          <w:rFonts w:ascii="Arial" w:hAnsi="Arial" w:cs="Arial"/>
          <w:sz w:val="24"/>
        </w:rPr>
        <w:t xml:space="preserve"> the Office of the Prime Minister addressed a letter to the appellant in which letter the Permanent Secretary </w:t>
      </w:r>
      <w:proofErr w:type="gramStart"/>
      <w:r w:rsidR="003A3EFF" w:rsidRPr="00D22685">
        <w:rPr>
          <w:rFonts w:ascii="Arial" w:hAnsi="Arial" w:cs="Arial"/>
          <w:sz w:val="24"/>
        </w:rPr>
        <w:t>m</w:t>
      </w:r>
      <w:r w:rsidR="00AA40D7">
        <w:rPr>
          <w:rFonts w:ascii="Arial" w:hAnsi="Arial" w:cs="Arial"/>
          <w:sz w:val="24"/>
        </w:rPr>
        <w:t>ade reference</w:t>
      </w:r>
      <w:proofErr w:type="gramEnd"/>
      <w:r w:rsidR="00AA40D7">
        <w:rPr>
          <w:rFonts w:ascii="Arial" w:hAnsi="Arial" w:cs="Arial"/>
          <w:sz w:val="24"/>
        </w:rPr>
        <w:t xml:space="preserve"> to the letter of </w:t>
      </w:r>
      <w:r w:rsidR="003A3EFF" w:rsidRPr="00D22685">
        <w:rPr>
          <w:rFonts w:ascii="Arial" w:hAnsi="Arial" w:cs="Arial"/>
          <w:sz w:val="24"/>
        </w:rPr>
        <w:t xml:space="preserve">5 April 2016 quoted above, and also </w:t>
      </w:r>
      <w:r w:rsidR="001163F7">
        <w:rPr>
          <w:rFonts w:ascii="Arial" w:hAnsi="Arial" w:cs="Arial"/>
          <w:sz w:val="24"/>
        </w:rPr>
        <w:t>informed the appellant that it (</w:t>
      </w:r>
      <w:r w:rsidR="00AE7A29">
        <w:rPr>
          <w:rFonts w:ascii="Arial" w:hAnsi="Arial" w:cs="Arial"/>
          <w:sz w:val="24"/>
        </w:rPr>
        <w:t xml:space="preserve">the </w:t>
      </w:r>
      <w:r w:rsidR="003A3EFF" w:rsidRPr="00D22685">
        <w:rPr>
          <w:rFonts w:ascii="Arial" w:hAnsi="Arial" w:cs="Arial"/>
          <w:sz w:val="24"/>
        </w:rPr>
        <w:t xml:space="preserve">Office of the Prime </w:t>
      </w:r>
      <w:r w:rsidR="001163F7">
        <w:rPr>
          <w:rFonts w:ascii="Arial" w:hAnsi="Arial" w:cs="Arial"/>
          <w:sz w:val="24"/>
        </w:rPr>
        <w:t>Minister)</w:t>
      </w:r>
      <w:r w:rsidR="003A3EFF" w:rsidRPr="00D22685">
        <w:rPr>
          <w:rFonts w:ascii="Arial" w:hAnsi="Arial" w:cs="Arial"/>
          <w:sz w:val="24"/>
        </w:rPr>
        <w:t xml:space="preserve"> was in the process of drafting a Service Level Agreement to be shared</w:t>
      </w:r>
      <w:r w:rsidR="00AA40D7">
        <w:rPr>
          <w:rFonts w:ascii="Arial" w:hAnsi="Arial" w:cs="Arial"/>
          <w:sz w:val="24"/>
        </w:rPr>
        <w:t xml:space="preserve"> with the appellant once finalis</w:t>
      </w:r>
      <w:r w:rsidR="003A3EFF" w:rsidRPr="00D22685">
        <w:rPr>
          <w:rFonts w:ascii="Arial" w:hAnsi="Arial" w:cs="Arial"/>
          <w:sz w:val="24"/>
        </w:rPr>
        <w:t>ed. The appellant was furthermore requested to, in the meantime, ‘prepare a project implementation plan including a detailed training plan</w:t>
      </w:r>
      <w:r w:rsidR="001163F7">
        <w:rPr>
          <w:rFonts w:ascii="Arial" w:hAnsi="Arial" w:cs="Arial"/>
          <w:sz w:val="24"/>
        </w:rPr>
        <w:t>.</w:t>
      </w:r>
      <w:r w:rsidR="00F415DC" w:rsidRPr="00D22685">
        <w:rPr>
          <w:rFonts w:ascii="Arial" w:hAnsi="Arial" w:cs="Arial"/>
          <w:sz w:val="24"/>
        </w:rPr>
        <w:t>’</w:t>
      </w:r>
    </w:p>
    <w:p w14:paraId="5C9C3883" w14:textId="77777777" w:rsidR="00D22685" w:rsidRDefault="00D22685" w:rsidP="007645D7">
      <w:pPr>
        <w:pStyle w:val="NoSpacing"/>
        <w:spacing w:line="480" w:lineRule="auto"/>
        <w:jc w:val="both"/>
        <w:rPr>
          <w:rFonts w:ascii="Arial" w:hAnsi="Arial" w:cs="Arial"/>
          <w:sz w:val="24"/>
        </w:rPr>
      </w:pPr>
    </w:p>
    <w:p w14:paraId="7030E137" w14:textId="2E2CA51F" w:rsidR="00D22685" w:rsidRDefault="00453860" w:rsidP="00453860">
      <w:pPr>
        <w:pStyle w:val="NoSpacing"/>
        <w:spacing w:line="480" w:lineRule="auto"/>
        <w:jc w:val="both"/>
        <w:rPr>
          <w:rFonts w:ascii="Arial" w:hAnsi="Arial" w:cs="Arial"/>
          <w:sz w:val="24"/>
        </w:rPr>
      </w:pPr>
      <w:r>
        <w:rPr>
          <w:rFonts w:ascii="Arial" w:hAnsi="Arial" w:cs="Arial"/>
          <w:sz w:val="24"/>
        </w:rPr>
        <w:t>[5]</w:t>
      </w:r>
      <w:r>
        <w:rPr>
          <w:rFonts w:ascii="Arial" w:hAnsi="Arial" w:cs="Arial"/>
          <w:sz w:val="24"/>
        </w:rPr>
        <w:tab/>
      </w:r>
      <w:r w:rsidR="003A3EFF" w:rsidRPr="00D22685">
        <w:rPr>
          <w:rFonts w:ascii="Arial" w:hAnsi="Arial" w:cs="Arial"/>
          <w:sz w:val="24"/>
        </w:rPr>
        <w:t>It is common cause, that on 30 June 2016 the Managing Director of the appellant</w:t>
      </w:r>
      <w:r w:rsidR="00E25786" w:rsidRPr="00D22685">
        <w:rPr>
          <w:rFonts w:ascii="Arial" w:hAnsi="Arial" w:cs="Arial"/>
          <w:sz w:val="24"/>
        </w:rPr>
        <w:t>,</w:t>
      </w:r>
      <w:r w:rsidR="003A3EFF" w:rsidRPr="00D22685">
        <w:rPr>
          <w:rFonts w:ascii="Arial" w:hAnsi="Arial" w:cs="Arial"/>
          <w:sz w:val="24"/>
        </w:rPr>
        <w:t xml:space="preserve"> acting on behalf of the appellant</w:t>
      </w:r>
      <w:r w:rsidR="00E25786" w:rsidRPr="00D22685">
        <w:rPr>
          <w:rFonts w:ascii="Arial" w:hAnsi="Arial" w:cs="Arial"/>
          <w:sz w:val="24"/>
        </w:rPr>
        <w:t>,</w:t>
      </w:r>
      <w:r w:rsidR="003A3EFF" w:rsidRPr="00D22685">
        <w:rPr>
          <w:rFonts w:ascii="Arial" w:hAnsi="Arial" w:cs="Arial"/>
          <w:sz w:val="24"/>
        </w:rPr>
        <w:t xml:space="preserve"> and the Permanent Secretary in the Office of the Prime Minister</w:t>
      </w:r>
      <w:r w:rsidR="00E25786" w:rsidRPr="00D22685">
        <w:rPr>
          <w:rFonts w:ascii="Arial" w:hAnsi="Arial" w:cs="Arial"/>
          <w:sz w:val="24"/>
        </w:rPr>
        <w:t>,</w:t>
      </w:r>
      <w:r w:rsidR="003A3EFF" w:rsidRPr="00D22685">
        <w:rPr>
          <w:rFonts w:ascii="Arial" w:hAnsi="Arial" w:cs="Arial"/>
          <w:sz w:val="24"/>
        </w:rPr>
        <w:t xml:space="preserve"> acting on behalf of the Government of the Republic </w:t>
      </w:r>
      <w:r w:rsidR="00082438">
        <w:rPr>
          <w:rFonts w:ascii="Arial" w:hAnsi="Arial" w:cs="Arial"/>
          <w:sz w:val="24"/>
        </w:rPr>
        <w:t>o</w:t>
      </w:r>
      <w:r w:rsidR="003A3EFF" w:rsidRPr="00D22685">
        <w:rPr>
          <w:rFonts w:ascii="Arial" w:hAnsi="Arial" w:cs="Arial"/>
          <w:sz w:val="24"/>
        </w:rPr>
        <w:t>f Namibia</w:t>
      </w:r>
      <w:r w:rsidR="00E25786" w:rsidRPr="00D22685">
        <w:rPr>
          <w:rFonts w:ascii="Arial" w:hAnsi="Arial" w:cs="Arial"/>
          <w:sz w:val="24"/>
        </w:rPr>
        <w:t>,</w:t>
      </w:r>
      <w:r w:rsidR="003A3EFF" w:rsidRPr="00D22685">
        <w:rPr>
          <w:rFonts w:ascii="Arial" w:hAnsi="Arial" w:cs="Arial"/>
          <w:sz w:val="24"/>
        </w:rPr>
        <w:t xml:space="preserve"> signed the Service Level Agreement. It </w:t>
      </w:r>
      <w:r w:rsidR="00403E40" w:rsidRPr="00D22685">
        <w:rPr>
          <w:rFonts w:ascii="Arial" w:hAnsi="Arial" w:cs="Arial"/>
          <w:sz w:val="24"/>
        </w:rPr>
        <w:t>is</w:t>
      </w:r>
      <w:r w:rsidR="00143FA3">
        <w:rPr>
          <w:rFonts w:ascii="Arial" w:hAnsi="Arial" w:cs="Arial"/>
          <w:sz w:val="24"/>
        </w:rPr>
        <w:t xml:space="preserve"> further </w:t>
      </w:r>
      <w:r w:rsidR="00403E40" w:rsidRPr="00D22685">
        <w:rPr>
          <w:rFonts w:ascii="Arial" w:hAnsi="Arial" w:cs="Arial"/>
          <w:sz w:val="24"/>
        </w:rPr>
        <w:t xml:space="preserve">common cause, </w:t>
      </w:r>
      <w:r w:rsidR="003A3EFF" w:rsidRPr="00D22685">
        <w:rPr>
          <w:rFonts w:ascii="Arial" w:hAnsi="Arial" w:cs="Arial"/>
          <w:sz w:val="24"/>
        </w:rPr>
        <w:t>that as of June 2016 the appellant proceeded to perform the contract</w:t>
      </w:r>
      <w:r w:rsidR="00E25786" w:rsidRPr="00D22685">
        <w:rPr>
          <w:rFonts w:ascii="Arial" w:hAnsi="Arial" w:cs="Arial"/>
          <w:sz w:val="24"/>
        </w:rPr>
        <w:t>,</w:t>
      </w:r>
      <w:r w:rsidR="003A3EFF" w:rsidRPr="00D22685">
        <w:rPr>
          <w:rFonts w:ascii="Arial" w:hAnsi="Arial" w:cs="Arial"/>
          <w:sz w:val="24"/>
        </w:rPr>
        <w:t xml:space="preserve"> at least in part, </w:t>
      </w:r>
      <w:proofErr w:type="gramStart"/>
      <w:r w:rsidR="003A3EFF" w:rsidRPr="00D22685">
        <w:rPr>
          <w:rFonts w:ascii="Arial" w:hAnsi="Arial" w:cs="Arial"/>
          <w:sz w:val="24"/>
        </w:rPr>
        <w:t>in light of</w:t>
      </w:r>
      <w:proofErr w:type="gramEnd"/>
      <w:r w:rsidR="003A3EFF" w:rsidRPr="00D22685">
        <w:rPr>
          <w:rFonts w:ascii="Arial" w:hAnsi="Arial" w:cs="Arial"/>
          <w:sz w:val="24"/>
        </w:rPr>
        <w:t xml:space="preserve"> the letter of award and the Service Level Agreement.</w:t>
      </w:r>
    </w:p>
    <w:p w14:paraId="1E3CDCD7" w14:textId="77777777" w:rsidR="00D22685" w:rsidRPr="00337CF9" w:rsidRDefault="00D22685" w:rsidP="00337CF9">
      <w:pPr>
        <w:spacing w:line="480" w:lineRule="auto"/>
        <w:rPr>
          <w:rFonts w:ascii="Arial" w:hAnsi="Arial" w:cs="Arial"/>
          <w:sz w:val="24"/>
        </w:rPr>
      </w:pPr>
    </w:p>
    <w:p w14:paraId="1FF0E046" w14:textId="2CF42B44" w:rsidR="00F7458E" w:rsidRDefault="00453860" w:rsidP="00453860">
      <w:pPr>
        <w:pStyle w:val="NoSpacing"/>
        <w:spacing w:line="480" w:lineRule="auto"/>
        <w:jc w:val="both"/>
        <w:rPr>
          <w:rFonts w:ascii="Arial" w:hAnsi="Arial" w:cs="Arial"/>
          <w:sz w:val="24"/>
        </w:rPr>
      </w:pPr>
      <w:r>
        <w:rPr>
          <w:rFonts w:ascii="Arial" w:hAnsi="Arial" w:cs="Arial"/>
          <w:sz w:val="24"/>
        </w:rPr>
        <w:t>[6]</w:t>
      </w:r>
      <w:r>
        <w:rPr>
          <w:rFonts w:ascii="Arial" w:hAnsi="Arial" w:cs="Arial"/>
          <w:sz w:val="24"/>
        </w:rPr>
        <w:tab/>
      </w:r>
      <w:proofErr w:type="gramStart"/>
      <w:r w:rsidR="00127B30" w:rsidRPr="00D22685">
        <w:rPr>
          <w:rFonts w:ascii="Arial" w:hAnsi="Arial" w:cs="Arial"/>
          <w:sz w:val="24"/>
        </w:rPr>
        <w:t>It would appear that sometime</w:t>
      </w:r>
      <w:proofErr w:type="gramEnd"/>
      <w:r w:rsidR="00127B30" w:rsidRPr="00D22685">
        <w:rPr>
          <w:rFonts w:ascii="Arial" w:hAnsi="Arial" w:cs="Arial"/>
          <w:sz w:val="24"/>
        </w:rPr>
        <w:t xml:space="preserve"> during the year 2018</w:t>
      </w:r>
      <w:r w:rsidR="00AE7A29">
        <w:rPr>
          <w:rFonts w:ascii="Arial" w:hAnsi="Arial" w:cs="Arial"/>
          <w:sz w:val="24"/>
        </w:rPr>
        <w:t>,</w:t>
      </w:r>
      <w:r w:rsidR="00127B30" w:rsidRPr="00D22685">
        <w:rPr>
          <w:rFonts w:ascii="Arial" w:hAnsi="Arial" w:cs="Arial"/>
          <w:sz w:val="24"/>
        </w:rPr>
        <w:t xml:space="preserve"> </w:t>
      </w:r>
      <w:r w:rsidR="003A3EFF" w:rsidRPr="00D22685">
        <w:rPr>
          <w:rFonts w:ascii="Arial" w:hAnsi="Arial" w:cs="Arial"/>
          <w:sz w:val="24"/>
        </w:rPr>
        <w:t>the respondents</w:t>
      </w:r>
      <w:r w:rsidR="00E560AF" w:rsidRPr="00D22685">
        <w:rPr>
          <w:rFonts w:ascii="Arial" w:hAnsi="Arial" w:cs="Arial"/>
          <w:sz w:val="24"/>
        </w:rPr>
        <w:t xml:space="preserve"> had complaints with regard</w:t>
      </w:r>
      <w:r w:rsidR="00127B30" w:rsidRPr="00D22685">
        <w:rPr>
          <w:rFonts w:ascii="Arial" w:hAnsi="Arial" w:cs="Arial"/>
          <w:sz w:val="24"/>
        </w:rPr>
        <w:t xml:space="preserve"> to the performance of the appellant. The respondents thus</w:t>
      </w:r>
      <w:r w:rsidR="003A3EFF" w:rsidRPr="00D22685">
        <w:rPr>
          <w:rFonts w:ascii="Arial" w:hAnsi="Arial" w:cs="Arial"/>
          <w:sz w:val="24"/>
        </w:rPr>
        <w:t xml:space="preserve"> engaged in consultation</w:t>
      </w:r>
      <w:r w:rsidR="000653A9" w:rsidRPr="00D22685">
        <w:rPr>
          <w:rFonts w:ascii="Arial" w:hAnsi="Arial" w:cs="Arial"/>
          <w:sz w:val="24"/>
        </w:rPr>
        <w:t>s</w:t>
      </w:r>
      <w:r w:rsidR="003A3EFF" w:rsidRPr="00D22685">
        <w:rPr>
          <w:rFonts w:ascii="Arial" w:hAnsi="Arial" w:cs="Arial"/>
          <w:sz w:val="24"/>
        </w:rPr>
        <w:t xml:space="preserve"> with their legal advisors </w:t>
      </w:r>
      <w:proofErr w:type="gramStart"/>
      <w:r w:rsidR="003A3EFF" w:rsidRPr="00D22685">
        <w:rPr>
          <w:rFonts w:ascii="Arial" w:hAnsi="Arial" w:cs="Arial"/>
          <w:sz w:val="24"/>
        </w:rPr>
        <w:t>in order to</w:t>
      </w:r>
      <w:proofErr w:type="gramEnd"/>
      <w:r w:rsidR="003A3EFF" w:rsidRPr="00D22685">
        <w:rPr>
          <w:rFonts w:ascii="Arial" w:hAnsi="Arial" w:cs="Arial"/>
          <w:sz w:val="24"/>
        </w:rPr>
        <w:t xml:space="preserve"> determine </w:t>
      </w:r>
      <w:r w:rsidR="006578B7" w:rsidRPr="00D22685">
        <w:rPr>
          <w:rFonts w:ascii="Arial" w:hAnsi="Arial" w:cs="Arial"/>
          <w:sz w:val="24"/>
        </w:rPr>
        <w:t>their approach to the</w:t>
      </w:r>
      <w:r w:rsidR="000653A9" w:rsidRPr="00D22685">
        <w:rPr>
          <w:rFonts w:ascii="Arial" w:hAnsi="Arial" w:cs="Arial"/>
          <w:sz w:val="24"/>
        </w:rPr>
        <w:t xml:space="preserve"> dispute with the appellant.</w:t>
      </w:r>
    </w:p>
    <w:p w14:paraId="76D8B1CC" w14:textId="77777777" w:rsidR="002E269E" w:rsidRPr="00302B19" w:rsidRDefault="002E269E" w:rsidP="002E269E">
      <w:pPr>
        <w:pStyle w:val="NoSpacing"/>
        <w:spacing w:line="480" w:lineRule="auto"/>
        <w:jc w:val="both"/>
        <w:rPr>
          <w:rFonts w:ascii="Arial" w:hAnsi="Arial" w:cs="Arial"/>
          <w:sz w:val="24"/>
        </w:rPr>
      </w:pPr>
    </w:p>
    <w:p w14:paraId="7229CD2D" w14:textId="19AA14FF" w:rsidR="003A3EFF" w:rsidRPr="00D22685" w:rsidRDefault="00453860" w:rsidP="00453860">
      <w:pPr>
        <w:pStyle w:val="NoSpacing"/>
        <w:spacing w:line="480" w:lineRule="auto"/>
        <w:jc w:val="both"/>
        <w:rPr>
          <w:rFonts w:ascii="Arial" w:hAnsi="Arial" w:cs="Arial"/>
          <w:sz w:val="24"/>
        </w:rPr>
      </w:pPr>
      <w:r w:rsidRPr="00D22685">
        <w:rPr>
          <w:rFonts w:ascii="Arial" w:hAnsi="Arial" w:cs="Arial"/>
          <w:sz w:val="24"/>
        </w:rPr>
        <w:t>[7]</w:t>
      </w:r>
      <w:r w:rsidRPr="00D22685">
        <w:rPr>
          <w:rFonts w:ascii="Arial" w:hAnsi="Arial" w:cs="Arial"/>
          <w:sz w:val="24"/>
        </w:rPr>
        <w:tab/>
      </w:r>
      <w:r w:rsidR="006340E7" w:rsidRPr="00D22685">
        <w:rPr>
          <w:rFonts w:ascii="Arial" w:hAnsi="Arial" w:cs="Arial"/>
          <w:sz w:val="24"/>
          <w:lang w:val="en-US"/>
        </w:rPr>
        <w:t xml:space="preserve">On 12 June 2018, that is a period of slightly more than two years after the appellant was informed of the award of the tender to it, the Government Attorney, </w:t>
      </w:r>
      <w:proofErr w:type="spellStart"/>
      <w:r w:rsidR="006340E7" w:rsidRPr="00D22685">
        <w:rPr>
          <w:rFonts w:ascii="Arial" w:hAnsi="Arial" w:cs="Arial"/>
          <w:sz w:val="24"/>
          <w:lang w:val="en-US"/>
        </w:rPr>
        <w:t>Mr</w:t>
      </w:r>
      <w:proofErr w:type="spellEnd"/>
      <w:r w:rsidR="006340E7" w:rsidRPr="00D22685">
        <w:rPr>
          <w:rFonts w:ascii="Arial" w:hAnsi="Arial" w:cs="Arial"/>
          <w:sz w:val="24"/>
          <w:lang w:val="en-US"/>
        </w:rPr>
        <w:t xml:space="preserve"> Matti </w:t>
      </w:r>
      <w:proofErr w:type="spellStart"/>
      <w:r w:rsidR="006340E7" w:rsidRPr="00D22685">
        <w:rPr>
          <w:rFonts w:ascii="Arial" w:hAnsi="Arial" w:cs="Arial"/>
          <w:sz w:val="24"/>
          <w:lang w:val="en-US"/>
        </w:rPr>
        <w:t>Asino</w:t>
      </w:r>
      <w:proofErr w:type="spellEnd"/>
      <w:r w:rsidR="006340E7" w:rsidRPr="00D22685">
        <w:rPr>
          <w:rFonts w:ascii="Arial" w:hAnsi="Arial" w:cs="Arial"/>
          <w:sz w:val="24"/>
          <w:lang w:val="en-US"/>
        </w:rPr>
        <w:t xml:space="preserve">, sent a letter to the appellant. In the letter of 12 June 2018, </w:t>
      </w:r>
      <w:proofErr w:type="spellStart"/>
      <w:r w:rsidR="006340E7" w:rsidRPr="00D22685">
        <w:rPr>
          <w:rFonts w:ascii="Arial" w:hAnsi="Arial" w:cs="Arial"/>
          <w:sz w:val="24"/>
          <w:lang w:val="en-US"/>
        </w:rPr>
        <w:t>Mr</w:t>
      </w:r>
      <w:proofErr w:type="spellEnd"/>
      <w:r w:rsidR="006340E7" w:rsidRPr="00D22685">
        <w:rPr>
          <w:rFonts w:ascii="Arial" w:hAnsi="Arial" w:cs="Arial"/>
          <w:sz w:val="24"/>
          <w:lang w:val="en-US"/>
        </w:rPr>
        <w:t xml:space="preserve"> </w:t>
      </w:r>
      <w:proofErr w:type="spellStart"/>
      <w:r w:rsidR="006340E7" w:rsidRPr="00D22685">
        <w:rPr>
          <w:rFonts w:ascii="Arial" w:hAnsi="Arial" w:cs="Arial"/>
          <w:sz w:val="24"/>
          <w:lang w:val="en-US"/>
        </w:rPr>
        <w:t>Asino</w:t>
      </w:r>
      <w:proofErr w:type="spellEnd"/>
      <w:r w:rsidR="00E25786" w:rsidRPr="00D22685">
        <w:rPr>
          <w:rFonts w:ascii="Arial" w:hAnsi="Arial" w:cs="Arial"/>
          <w:sz w:val="24"/>
          <w:lang w:val="en-US"/>
        </w:rPr>
        <w:t>,</w:t>
      </w:r>
      <w:r w:rsidR="006340E7" w:rsidRPr="00D22685">
        <w:rPr>
          <w:rFonts w:ascii="Arial" w:hAnsi="Arial" w:cs="Arial"/>
          <w:sz w:val="24"/>
          <w:lang w:val="en-US"/>
        </w:rPr>
        <w:t xml:space="preserve"> among other matters</w:t>
      </w:r>
      <w:r w:rsidR="00E25786" w:rsidRPr="00D22685">
        <w:rPr>
          <w:rFonts w:ascii="Arial" w:hAnsi="Arial" w:cs="Arial"/>
          <w:sz w:val="24"/>
          <w:lang w:val="en-US"/>
        </w:rPr>
        <w:t>,</w:t>
      </w:r>
      <w:r w:rsidR="006340E7" w:rsidRPr="00D22685">
        <w:rPr>
          <w:rFonts w:ascii="Arial" w:hAnsi="Arial" w:cs="Arial"/>
          <w:sz w:val="24"/>
          <w:lang w:val="en-US"/>
        </w:rPr>
        <w:t xml:space="preserve"> informed the appellant that </w:t>
      </w:r>
      <w:r w:rsidR="006340E7" w:rsidRPr="00D22685">
        <w:rPr>
          <w:rFonts w:ascii="Arial" w:hAnsi="Arial" w:cs="Arial"/>
          <w:sz w:val="24"/>
        </w:rPr>
        <w:t xml:space="preserve">the ‘agreement’ between it and the Office of the Prime Minister in pursuance of the award of </w:t>
      </w:r>
      <w:r w:rsidR="00AA40D7">
        <w:rPr>
          <w:rFonts w:ascii="Arial" w:hAnsi="Arial" w:cs="Arial"/>
          <w:sz w:val="24"/>
        </w:rPr>
        <w:t>the tender</w:t>
      </w:r>
      <w:r w:rsidR="00E25786" w:rsidRPr="00D22685">
        <w:rPr>
          <w:rFonts w:ascii="Arial" w:hAnsi="Arial" w:cs="Arial"/>
          <w:sz w:val="24"/>
          <w:lang w:val="en-US"/>
        </w:rPr>
        <w:t>,</w:t>
      </w:r>
      <w:r w:rsidR="006340E7" w:rsidRPr="00D22685">
        <w:rPr>
          <w:rFonts w:ascii="Arial" w:hAnsi="Arial" w:cs="Arial"/>
          <w:sz w:val="24"/>
          <w:lang w:val="en-US"/>
        </w:rPr>
        <w:t xml:space="preserve"> was</w:t>
      </w:r>
      <w:r w:rsidR="006340E7" w:rsidRPr="00D22685">
        <w:rPr>
          <w:rFonts w:ascii="Arial" w:hAnsi="Arial" w:cs="Arial"/>
          <w:sz w:val="24"/>
        </w:rPr>
        <w:t xml:space="preserve"> </w:t>
      </w:r>
      <w:r w:rsidR="006340E7" w:rsidRPr="00D22685">
        <w:rPr>
          <w:rFonts w:ascii="Arial" w:hAnsi="Arial" w:cs="Arial"/>
          <w:sz w:val="24"/>
        </w:rPr>
        <w:lastRenderedPageBreak/>
        <w:t xml:space="preserve">unenforceable and invalid </w:t>
      </w:r>
      <w:r w:rsidR="006340E7" w:rsidRPr="00D22685">
        <w:rPr>
          <w:rFonts w:ascii="Arial" w:hAnsi="Arial" w:cs="Arial"/>
          <w:i/>
          <w:sz w:val="24"/>
        </w:rPr>
        <w:t xml:space="preserve">ab initio. </w:t>
      </w:r>
      <w:r w:rsidR="006340E7" w:rsidRPr="00D22685">
        <w:rPr>
          <w:rFonts w:ascii="Arial" w:hAnsi="Arial" w:cs="Arial"/>
          <w:sz w:val="24"/>
        </w:rPr>
        <w:t>The letter furthermore disavowed the existence of any obligations between the parties.</w:t>
      </w:r>
      <w:r w:rsidR="00127B30" w:rsidRPr="00D22685">
        <w:rPr>
          <w:rFonts w:ascii="Arial" w:hAnsi="Arial" w:cs="Arial"/>
          <w:sz w:val="24"/>
        </w:rPr>
        <w:t xml:space="preserve"> The letter reads</w:t>
      </w:r>
      <w:r w:rsidR="003A3EFF" w:rsidRPr="00D22685">
        <w:rPr>
          <w:rFonts w:ascii="Arial" w:hAnsi="Arial" w:cs="Arial"/>
          <w:sz w:val="24"/>
        </w:rPr>
        <w:t xml:space="preserve"> as follows:</w:t>
      </w:r>
    </w:p>
    <w:p w14:paraId="48B1311B" w14:textId="77777777" w:rsidR="00792811" w:rsidRDefault="00792811" w:rsidP="004C4C38">
      <w:pPr>
        <w:pStyle w:val="NoSpacing"/>
        <w:spacing w:line="480" w:lineRule="auto"/>
        <w:jc w:val="both"/>
        <w:rPr>
          <w:rFonts w:ascii="Arial" w:hAnsi="Arial" w:cs="Arial"/>
        </w:rPr>
      </w:pPr>
    </w:p>
    <w:p w14:paraId="50B5B917" w14:textId="77777777" w:rsidR="003A3EFF" w:rsidRDefault="003A3EFF" w:rsidP="00082438">
      <w:pPr>
        <w:pStyle w:val="NoSpacing"/>
        <w:spacing w:line="360" w:lineRule="auto"/>
        <w:ind w:left="720"/>
        <w:jc w:val="both"/>
        <w:rPr>
          <w:rFonts w:ascii="Arial" w:hAnsi="Arial" w:cs="Arial"/>
        </w:rPr>
      </w:pPr>
      <w:r w:rsidRPr="00D22685">
        <w:rPr>
          <w:rFonts w:ascii="Arial" w:hAnsi="Arial" w:cs="Arial"/>
        </w:rPr>
        <w:t>‘We write to you in respect of the above matter on the instructions of the Prime Minister.</w:t>
      </w:r>
    </w:p>
    <w:p w14:paraId="668A90DA" w14:textId="77777777" w:rsidR="00F01ACF" w:rsidRPr="00D22685" w:rsidRDefault="00F01ACF" w:rsidP="00082438">
      <w:pPr>
        <w:pStyle w:val="NoSpacing"/>
        <w:spacing w:line="360" w:lineRule="auto"/>
        <w:ind w:left="720"/>
        <w:jc w:val="both"/>
        <w:rPr>
          <w:rFonts w:ascii="Arial" w:hAnsi="Arial" w:cs="Arial"/>
        </w:rPr>
      </w:pPr>
    </w:p>
    <w:p w14:paraId="6CE3F1CE" w14:textId="77777777" w:rsidR="003A3EFF" w:rsidRPr="00D22685" w:rsidRDefault="003A3EFF" w:rsidP="00082438">
      <w:pPr>
        <w:pStyle w:val="NoSpacing"/>
        <w:spacing w:line="360" w:lineRule="auto"/>
        <w:ind w:left="720"/>
        <w:jc w:val="both"/>
        <w:rPr>
          <w:rFonts w:ascii="Arial" w:hAnsi="Arial" w:cs="Arial"/>
        </w:rPr>
      </w:pPr>
      <w:r w:rsidRPr="00D22685">
        <w:rPr>
          <w:rFonts w:ascii="Arial" w:hAnsi="Arial" w:cs="Arial"/>
        </w:rPr>
        <w:t xml:space="preserve">We have considered </w:t>
      </w:r>
      <w:proofErr w:type="gramStart"/>
      <w:r w:rsidRPr="00D22685">
        <w:rPr>
          <w:rFonts w:ascii="Arial" w:hAnsi="Arial" w:cs="Arial"/>
        </w:rPr>
        <w:t>a number of</w:t>
      </w:r>
      <w:proofErr w:type="gramEnd"/>
      <w:r w:rsidRPr="00D22685">
        <w:rPr>
          <w:rFonts w:ascii="Arial" w:hAnsi="Arial" w:cs="Arial"/>
        </w:rPr>
        <w:t xml:space="preserve"> agreements purportedly concluded by our respective clients and various correspondences in relation thereto.</w:t>
      </w:r>
    </w:p>
    <w:p w14:paraId="7FC05A47" w14:textId="77777777" w:rsidR="003A3EFF" w:rsidRPr="00D22685" w:rsidRDefault="003A3EFF" w:rsidP="00082438">
      <w:pPr>
        <w:pStyle w:val="NoSpacing"/>
        <w:spacing w:line="360" w:lineRule="auto"/>
        <w:ind w:left="720"/>
        <w:jc w:val="both"/>
        <w:rPr>
          <w:rFonts w:ascii="Arial" w:hAnsi="Arial" w:cs="Arial"/>
        </w:rPr>
      </w:pPr>
    </w:p>
    <w:p w14:paraId="11544C1C" w14:textId="77777777" w:rsidR="003A3EFF" w:rsidRPr="00D22685" w:rsidRDefault="003A3EFF" w:rsidP="00082438">
      <w:pPr>
        <w:pStyle w:val="NoSpacing"/>
        <w:spacing w:line="360" w:lineRule="auto"/>
        <w:ind w:left="720"/>
        <w:jc w:val="both"/>
        <w:rPr>
          <w:rFonts w:ascii="Arial" w:hAnsi="Arial" w:cs="Arial"/>
        </w:rPr>
      </w:pPr>
      <w:r w:rsidRPr="00D22685">
        <w:rPr>
          <w:rFonts w:ascii="Arial" w:hAnsi="Arial" w:cs="Arial"/>
        </w:rPr>
        <w:t xml:space="preserve">We have advised our client that the agreements your client is relying on are unenforceable and invalid </w:t>
      </w:r>
      <w:r w:rsidRPr="00D22685">
        <w:rPr>
          <w:rFonts w:ascii="Arial" w:hAnsi="Arial" w:cs="Arial"/>
          <w:i/>
        </w:rPr>
        <w:t xml:space="preserve">ab initio </w:t>
      </w:r>
      <w:r w:rsidRPr="00D22685">
        <w:rPr>
          <w:rFonts w:ascii="Arial" w:hAnsi="Arial" w:cs="Arial"/>
        </w:rPr>
        <w:t xml:space="preserve">on various grounds including the fact that </w:t>
      </w:r>
      <w:r w:rsidR="0068689F" w:rsidRPr="00D22685">
        <w:rPr>
          <w:rFonts w:ascii="Arial" w:hAnsi="Arial" w:cs="Arial"/>
        </w:rPr>
        <w:t xml:space="preserve">the </w:t>
      </w:r>
      <w:r w:rsidR="0068689F">
        <w:rPr>
          <w:rFonts w:ascii="Arial" w:hAnsi="Arial" w:cs="Arial"/>
        </w:rPr>
        <w:t>agreements</w:t>
      </w:r>
      <w:r w:rsidRPr="00D22685">
        <w:rPr>
          <w:rFonts w:ascii="Arial" w:hAnsi="Arial" w:cs="Arial"/>
        </w:rPr>
        <w:t xml:space="preserve"> were not concluded by the Tender Board of Namibia (as it was) on behalf of the Government as peremptorily required in terms of sections 7(1)(</w:t>
      </w:r>
      <w:r w:rsidRPr="00AE7A29">
        <w:rPr>
          <w:rFonts w:ascii="Arial" w:hAnsi="Arial" w:cs="Arial"/>
        </w:rPr>
        <w:t>a</w:t>
      </w:r>
      <w:r w:rsidRPr="00D22685">
        <w:rPr>
          <w:rFonts w:ascii="Arial" w:hAnsi="Arial" w:cs="Arial"/>
        </w:rPr>
        <w:t xml:space="preserve">) </w:t>
      </w:r>
      <w:proofErr w:type="gramStart"/>
      <w:r w:rsidRPr="00D22685">
        <w:rPr>
          <w:rFonts w:ascii="Arial" w:hAnsi="Arial" w:cs="Arial"/>
        </w:rPr>
        <w:t xml:space="preserve">and </w:t>
      </w:r>
      <w:r w:rsidR="0068689F">
        <w:rPr>
          <w:rFonts w:ascii="Arial" w:hAnsi="Arial" w:cs="Arial"/>
        </w:rPr>
        <w:t xml:space="preserve"> </w:t>
      </w:r>
      <w:r w:rsidRPr="00F01ACF">
        <w:rPr>
          <w:rFonts w:ascii="Arial" w:hAnsi="Arial" w:cs="Arial"/>
        </w:rPr>
        <w:t>(</w:t>
      </w:r>
      <w:proofErr w:type="gramEnd"/>
      <w:r w:rsidRPr="00F01ACF">
        <w:rPr>
          <w:rFonts w:ascii="Arial" w:hAnsi="Arial" w:cs="Arial"/>
        </w:rPr>
        <w:t>b)</w:t>
      </w:r>
      <w:r w:rsidRPr="00D22685">
        <w:rPr>
          <w:rFonts w:ascii="Arial" w:hAnsi="Arial" w:cs="Arial"/>
        </w:rPr>
        <w:t xml:space="preserve"> and section 16(2)(a) of the Tender Board Act of 1996.</w:t>
      </w:r>
    </w:p>
    <w:p w14:paraId="69F87A74" w14:textId="77777777" w:rsidR="003A3EFF" w:rsidRPr="00D22685" w:rsidRDefault="003A3EFF" w:rsidP="00082438">
      <w:pPr>
        <w:pStyle w:val="NoSpacing"/>
        <w:spacing w:line="360" w:lineRule="auto"/>
        <w:jc w:val="both"/>
        <w:rPr>
          <w:rFonts w:ascii="Arial" w:hAnsi="Arial" w:cs="Arial"/>
        </w:rPr>
      </w:pPr>
    </w:p>
    <w:p w14:paraId="7C7E9B63" w14:textId="77777777" w:rsidR="003A3EFF" w:rsidRPr="00D22685" w:rsidRDefault="003A3EFF" w:rsidP="00082438">
      <w:pPr>
        <w:pStyle w:val="NoSpacing"/>
        <w:spacing w:line="360" w:lineRule="auto"/>
        <w:ind w:left="720"/>
        <w:jc w:val="both"/>
        <w:rPr>
          <w:rFonts w:ascii="Arial" w:hAnsi="Arial" w:cs="Arial"/>
        </w:rPr>
      </w:pPr>
      <w:r w:rsidRPr="00D22685">
        <w:rPr>
          <w:rFonts w:ascii="Arial" w:hAnsi="Arial" w:cs="Arial"/>
        </w:rPr>
        <w:t>We therefore advise you of the invalidity of the agreements. Our client on that basis will have no further engagements with your client. In any event, even assuming that the agreements were valid (which is denied) your client is not entitled to any payment due to its defective and unsatisfactory work.</w:t>
      </w:r>
    </w:p>
    <w:p w14:paraId="201C30B5" w14:textId="77777777" w:rsidR="003A3EFF" w:rsidRPr="00D22685" w:rsidRDefault="003A3EFF" w:rsidP="00082438">
      <w:pPr>
        <w:pStyle w:val="NoSpacing"/>
        <w:spacing w:line="360" w:lineRule="auto"/>
        <w:ind w:left="720"/>
        <w:jc w:val="both"/>
        <w:rPr>
          <w:rFonts w:ascii="Arial" w:hAnsi="Arial" w:cs="Arial"/>
        </w:rPr>
      </w:pPr>
    </w:p>
    <w:p w14:paraId="74856073" w14:textId="77777777" w:rsidR="003A3EFF" w:rsidRPr="00D22685" w:rsidRDefault="003A3EFF" w:rsidP="00082438">
      <w:pPr>
        <w:pStyle w:val="NoSpacing"/>
        <w:spacing w:line="360" w:lineRule="auto"/>
        <w:ind w:left="720"/>
        <w:jc w:val="both"/>
        <w:rPr>
          <w:rFonts w:ascii="Arial" w:hAnsi="Arial" w:cs="Arial"/>
          <w:sz w:val="24"/>
          <w:szCs w:val="24"/>
        </w:rPr>
      </w:pPr>
      <w:r w:rsidRPr="00D22685">
        <w:rPr>
          <w:rFonts w:ascii="Arial" w:hAnsi="Arial" w:cs="Arial"/>
        </w:rPr>
        <w:t>Any legal action shall be vigorously opposed.</w:t>
      </w:r>
      <w:r w:rsidR="00127B30" w:rsidRPr="00D22685">
        <w:rPr>
          <w:rFonts w:ascii="Arial" w:hAnsi="Arial" w:cs="Arial"/>
        </w:rPr>
        <w:t>’</w:t>
      </w:r>
    </w:p>
    <w:p w14:paraId="3BD20DAB" w14:textId="77777777" w:rsidR="00127B30" w:rsidRPr="00127B30" w:rsidRDefault="00127B30" w:rsidP="004C4C38">
      <w:pPr>
        <w:spacing w:line="480" w:lineRule="auto"/>
        <w:jc w:val="both"/>
        <w:rPr>
          <w:rFonts w:ascii="Arial" w:hAnsi="Arial" w:cs="Arial"/>
          <w:sz w:val="24"/>
          <w:szCs w:val="24"/>
        </w:rPr>
      </w:pPr>
    </w:p>
    <w:p w14:paraId="04633690" w14:textId="4B73199A" w:rsidR="006340E7" w:rsidRPr="00453860" w:rsidRDefault="00453860" w:rsidP="00453860">
      <w:pPr>
        <w:spacing w:line="480" w:lineRule="auto"/>
        <w:jc w:val="both"/>
        <w:rPr>
          <w:rFonts w:ascii="Arial" w:hAnsi="Arial" w:cs="Arial"/>
          <w:sz w:val="24"/>
        </w:rPr>
      </w:pPr>
      <w:r>
        <w:rPr>
          <w:rFonts w:ascii="Arial" w:hAnsi="Arial" w:cs="Arial"/>
          <w:sz w:val="24"/>
        </w:rPr>
        <w:t>[8]</w:t>
      </w:r>
      <w:r>
        <w:rPr>
          <w:rFonts w:ascii="Arial" w:hAnsi="Arial" w:cs="Arial"/>
          <w:sz w:val="24"/>
        </w:rPr>
        <w:tab/>
      </w:r>
      <w:r w:rsidR="006340E7" w:rsidRPr="00453860">
        <w:rPr>
          <w:rFonts w:ascii="Arial" w:hAnsi="Arial" w:cs="Arial"/>
          <w:sz w:val="24"/>
        </w:rPr>
        <w:t>On 30 June 2018</w:t>
      </w:r>
      <w:r w:rsidR="00E560AF" w:rsidRPr="00453860">
        <w:rPr>
          <w:rFonts w:ascii="Arial" w:hAnsi="Arial" w:cs="Arial"/>
          <w:sz w:val="24"/>
        </w:rPr>
        <w:t>,</w:t>
      </w:r>
      <w:r w:rsidR="006340E7" w:rsidRPr="00453860">
        <w:rPr>
          <w:rFonts w:ascii="Arial" w:hAnsi="Arial" w:cs="Arial"/>
          <w:sz w:val="24"/>
        </w:rPr>
        <w:t xml:space="preserve"> the appellant</w:t>
      </w:r>
      <w:r w:rsidR="00E25786" w:rsidRPr="00453860">
        <w:rPr>
          <w:rFonts w:ascii="Arial" w:hAnsi="Arial" w:cs="Arial"/>
          <w:sz w:val="24"/>
        </w:rPr>
        <w:t>,</w:t>
      </w:r>
      <w:r w:rsidR="006340E7" w:rsidRPr="00453860">
        <w:rPr>
          <w:rFonts w:ascii="Arial" w:hAnsi="Arial" w:cs="Arial"/>
          <w:sz w:val="24"/>
        </w:rPr>
        <w:t xml:space="preserve"> through its legal practitioners</w:t>
      </w:r>
      <w:r w:rsidR="00E25786" w:rsidRPr="00453860">
        <w:rPr>
          <w:rFonts w:ascii="Arial" w:hAnsi="Arial" w:cs="Arial"/>
          <w:sz w:val="24"/>
        </w:rPr>
        <w:t>,</w:t>
      </w:r>
      <w:r w:rsidR="006340E7" w:rsidRPr="00453860">
        <w:rPr>
          <w:rFonts w:ascii="Arial" w:hAnsi="Arial" w:cs="Arial"/>
          <w:sz w:val="24"/>
        </w:rPr>
        <w:t xml:space="preserve"> addressed a letter to the Government Attorney seeking clarity for the basis on which the ‘agreement’ between the parties was being </w:t>
      </w:r>
      <w:r w:rsidR="00E560AF" w:rsidRPr="00453860">
        <w:rPr>
          <w:rFonts w:ascii="Arial" w:hAnsi="Arial" w:cs="Arial"/>
          <w:sz w:val="24"/>
        </w:rPr>
        <w:t>‘</w:t>
      </w:r>
      <w:r w:rsidR="006340E7" w:rsidRPr="00453860">
        <w:rPr>
          <w:rFonts w:ascii="Arial" w:hAnsi="Arial" w:cs="Arial"/>
          <w:sz w:val="24"/>
        </w:rPr>
        <w:t>cancelled</w:t>
      </w:r>
      <w:r w:rsidR="00E560AF" w:rsidRPr="00453860">
        <w:rPr>
          <w:rFonts w:ascii="Arial" w:hAnsi="Arial" w:cs="Arial"/>
          <w:sz w:val="24"/>
        </w:rPr>
        <w:t>’</w:t>
      </w:r>
      <w:r w:rsidR="006340E7" w:rsidRPr="00453860">
        <w:rPr>
          <w:rFonts w:ascii="Arial" w:hAnsi="Arial" w:cs="Arial"/>
          <w:sz w:val="24"/>
        </w:rPr>
        <w:t>. When the appellant did not obtain a reply that was satisfactory to it, it on 18 August 2018 commenced proceedings in the High Court seeking an order:</w:t>
      </w:r>
    </w:p>
    <w:p w14:paraId="6D30D2D4" w14:textId="77777777" w:rsidR="00A23AA2" w:rsidRPr="00337CF9" w:rsidRDefault="00A23AA2" w:rsidP="00A23AA2">
      <w:pPr>
        <w:pStyle w:val="ListParagraph"/>
        <w:spacing w:line="480" w:lineRule="auto"/>
        <w:ind w:left="0"/>
        <w:jc w:val="both"/>
        <w:rPr>
          <w:rFonts w:ascii="Arial" w:hAnsi="Arial" w:cs="Arial"/>
          <w:sz w:val="24"/>
        </w:rPr>
      </w:pPr>
    </w:p>
    <w:p w14:paraId="051508C7" w14:textId="77777777" w:rsidR="00D22685" w:rsidRDefault="006340E7" w:rsidP="004C4C38">
      <w:pPr>
        <w:spacing w:line="360" w:lineRule="auto"/>
        <w:ind w:left="720"/>
        <w:jc w:val="both"/>
        <w:rPr>
          <w:rFonts w:ascii="Arial" w:hAnsi="Arial" w:cs="Arial"/>
          <w:lang w:val="en-US"/>
        </w:rPr>
      </w:pPr>
      <w:r w:rsidRPr="00D22685">
        <w:rPr>
          <w:rFonts w:ascii="Arial" w:hAnsi="Arial" w:cs="Arial"/>
        </w:rPr>
        <w:t xml:space="preserve">‘Reviewing and correcting or setting aside the decision by the Respondents to cancel </w:t>
      </w:r>
      <w:r w:rsidRPr="00D22685">
        <w:rPr>
          <w:rFonts w:ascii="Arial" w:hAnsi="Arial" w:cs="Arial"/>
          <w:lang w:val="en-US"/>
        </w:rPr>
        <w:t>Tender No</w:t>
      </w:r>
      <w:r w:rsidR="00A23AA2">
        <w:rPr>
          <w:rFonts w:ascii="Arial" w:hAnsi="Arial" w:cs="Arial"/>
          <w:lang w:val="en-US"/>
        </w:rPr>
        <w:t>.</w:t>
      </w:r>
      <w:r w:rsidRPr="00D22685">
        <w:rPr>
          <w:rFonts w:ascii="Arial" w:hAnsi="Arial" w:cs="Arial"/>
          <w:lang w:val="en-US"/>
        </w:rPr>
        <w:t xml:space="preserve"> E1/2-7/2015 for the implementation of the Oracle Payroll, Maintenance and Support of the Existing Human Capital Management Service.’</w:t>
      </w:r>
    </w:p>
    <w:p w14:paraId="12FE7437" w14:textId="77777777" w:rsidR="00BC279D" w:rsidRPr="00337CF9" w:rsidRDefault="00BC279D" w:rsidP="00F7458E">
      <w:pPr>
        <w:spacing w:line="480" w:lineRule="auto"/>
        <w:jc w:val="both"/>
        <w:rPr>
          <w:rFonts w:ascii="Arial" w:hAnsi="Arial" w:cs="Arial"/>
          <w:lang w:val="en-US"/>
        </w:rPr>
      </w:pPr>
    </w:p>
    <w:p w14:paraId="46BD251E" w14:textId="26AD3588" w:rsidR="00D65FB2" w:rsidRPr="00D22685" w:rsidRDefault="00453860" w:rsidP="00453860">
      <w:pPr>
        <w:pStyle w:val="NoSpacing"/>
        <w:spacing w:line="480" w:lineRule="auto"/>
        <w:jc w:val="both"/>
        <w:rPr>
          <w:rFonts w:ascii="Arial" w:hAnsi="Arial" w:cs="Arial"/>
          <w:sz w:val="24"/>
        </w:rPr>
      </w:pPr>
      <w:r w:rsidRPr="00D22685">
        <w:rPr>
          <w:rFonts w:ascii="Arial" w:hAnsi="Arial" w:cs="Arial"/>
          <w:sz w:val="24"/>
        </w:rPr>
        <w:lastRenderedPageBreak/>
        <w:t>[9]</w:t>
      </w:r>
      <w:r w:rsidRPr="00D22685">
        <w:rPr>
          <w:rFonts w:ascii="Arial" w:hAnsi="Arial" w:cs="Arial"/>
          <w:sz w:val="24"/>
        </w:rPr>
        <w:tab/>
      </w:r>
      <w:r w:rsidR="00D65FB2" w:rsidRPr="00D22685">
        <w:rPr>
          <w:rFonts w:ascii="Arial" w:hAnsi="Arial" w:cs="Arial"/>
          <w:sz w:val="24"/>
        </w:rPr>
        <w:t>The respondents did not only opp</w:t>
      </w:r>
      <w:r w:rsidR="00E25786" w:rsidRPr="00D22685">
        <w:rPr>
          <w:rFonts w:ascii="Arial" w:hAnsi="Arial" w:cs="Arial"/>
          <w:sz w:val="24"/>
        </w:rPr>
        <w:t>ose the app</w:t>
      </w:r>
      <w:r w:rsidR="00C5002F">
        <w:rPr>
          <w:rFonts w:ascii="Arial" w:hAnsi="Arial" w:cs="Arial"/>
          <w:sz w:val="24"/>
        </w:rPr>
        <w:t>ellant’s</w:t>
      </w:r>
      <w:r w:rsidR="00E25786" w:rsidRPr="00D22685">
        <w:rPr>
          <w:rFonts w:ascii="Arial" w:hAnsi="Arial" w:cs="Arial"/>
          <w:sz w:val="24"/>
        </w:rPr>
        <w:t xml:space="preserve"> application</w:t>
      </w:r>
      <w:r w:rsidR="00C5002F">
        <w:rPr>
          <w:rFonts w:ascii="Arial" w:hAnsi="Arial" w:cs="Arial"/>
          <w:sz w:val="24"/>
        </w:rPr>
        <w:t xml:space="preserve"> </w:t>
      </w:r>
      <w:r w:rsidR="00C5002F" w:rsidRPr="00C5002F">
        <w:rPr>
          <w:rFonts w:ascii="Arial" w:hAnsi="Arial" w:cs="Arial"/>
          <w:i/>
          <w:sz w:val="24"/>
        </w:rPr>
        <w:t>a quo</w:t>
      </w:r>
      <w:r w:rsidR="00E25786" w:rsidRPr="00D22685">
        <w:rPr>
          <w:rFonts w:ascii="Arial" w:hAnsi="Arial" w:cs="Arial"/>
          <w:sz w:val="24"/>
        </w:rPr>
        <w:t>, t</w:t>
      </w:r>
      <w:r w:rsidR="00D65FB2" w:rsidRPr="00D22685">
        <w:rPr>
          <w:rFonts w:ascii="Arial" w:hAnsi="Arial" w:cs="Arial"/>
          <w:sz w:val="24"/>
        </w:rPr>
        <w:t>hey proceeded to also file a counter-application in terms of which they sought an order</w:t>
      </w:r>
      <w:r w:rsidR="00E25786" w:rsidRPr="00D22685">
        <w:rPr>
          <w:rFonts w:ascii="Arial" w:hAnsi="Arial" w:cs="Arial"/>
          <w:sz w:val="24"/>
        </w:rPr>
        <w:t>,</w:t>
      </w:r>
      <w:r w:rsidR="00D65FB2" w:rsidRPr="00D22685">
        <w:rPr>
          <w:rFonts w:ascii="Arial" w:hAnsi="Arial" w:cs="Arial"/>
          <w:sz w:val="24"/>
        </w:rPr>
        <w:t xml:space="preserve"> declaring the agreement concluded by and between the </w:t>
      </w:r>
      <w:proofErr w:type="gramStart"/>
      <w:r w:rsidR="00D65FB2" w:rsidRPr="00D22685">
        <w:rPr>
          <w:rFonts w:ascii="Arial" w:hAnsi="Arial" w:cs="Arial"/>
          <w:sz w:val="24"/>
        </w:rPr>
        <w:t>appellant  and</w:t>
      </w:r>
      <w:proofErr w:type="gramEnd"/>
      <w:r w:rsidR="00D65FB2" w:rsidRPr="00D22685">
        <w:rPr>
          <w:rFonts w:ascii="Arial" w:hAnsi="Arial" w:cs="Arial"/>
          <w:sz w:val="24"/>
        </w:rPr>
        <w:t xml:space="preserve"> the Office of the Prime Minister invalid </w:t>
      </w:r>
      <w:r w:rsidR="00D65FB2" w:rsidRPr="00D22685">
        <w:rPr>
          <w:rFonts w:ascii="Arial" w:hAnsi="Arial" w:cs="Arial"/>
          <w:i/>
          <w:sz w:val="24"/>
        </w:rPr>
        <w:t>ab initio</w:t>
      </w:r>
      <w:r w:rsidR="00D65FB2" w:rsidRPr="00D22685">
        <w:rPr>
          <w:rFonts w:ascii="Arial" w:hAnsi="Arial" w:cs="Arial"/>
          <w:sz w:val="24"/>
        </w:rPr>
        <w:t xml:space="preserve"> and thus unenforceable.</w:t>
      </w:r>
    </w:p>
    <w:p w14:paraId="6145C025" w14:textId="77777777" w:rsidR="00D65FB2" w:rsidRPr="00D22685" w:rsidRDefault="00D65FB2" w:rsidP="007645D7">
      <w:pPr>
        <w:pStyle w:val="NoSpacing"/>
        <w:spacing w:line="480" w:lineRule="auto"/>
        <w:jc w:val="both"/>
        <w:rPr>
          <w:rFonts w:ascii="Arial" w:hAnsi="Arial" w:cs="Arial"/>
          <w:sz w:val="24"/>
        </w:rPr>
      </w:pPr>
    </w:p>
    <w:p w14:paraId="4BE939E3" w14:textId="3350327A" w:rsidR="00E560AF" w:rsidRPr="00D22685" w:rsidRDefault="00453860" w:rsidP="00453860">
      <w:pPr>
        <w:pStyle w:val="NoSpacing"/>
        <w:spacing w:line="480" w:lineRule="auto"/>
        <w:jc w:val="both"/>
        <w:rPr>
          <w:rFonts w:ascii="Arial" w:hAnsi="Arial" w:cs="Arial"/>
          <w:sz w:val="24"/>
          <w:lang w:val="en-US"/>
        </w:rPr>
      </w:pPr>
      <w:r w:rsidRPr="00D22685">
        <w:rPr>
          <w:rFonts w:ascii="Arial" w:hAnsi="Arial" w:cs="Arial"/>
          <w:sz w:val="24"/>
          <w:lang w:val="en-US"/>
        </w:rPr>
        <w:t>[10]</w:t>
      </w:r>
      <w:r w:rsidRPr="00D22685">
        <w:rPr>
          <w:rFonts w:ascii="Arial" w:hAnsi="Arial" w:cs="Arial"/>
          <w:sz w:val="24"/>
          <w:lang w:val="en-US"/>
        </w:rPr>
        <w:tab/>
      </w:r>
      <w:r w:rsidR="006340E7" w:rsidRPr="00D22685">
        <w:rPr>
          <w:rFonts w:ascii="Arial" w:hAnsi="Arial" w:cs="Arial"/>
          <w:sz w:val="24"/>
        </w:rPr>
        <w:t>The review application</w:t>
      </w:r>
      <w:r w:rsidR="00D65FB2" w:rsidRPr="00D22685">
        <w:rPr>
          <w:rFonts w:ascii="Arial" w:hAnsi="Arial" w:cs="Arial"/>
          <w:sz w:val="24"/>
        </w:rPr>
        <w:t xml:space="preserve"> and the counter application were </w:t>
      </w:r>
      <w:r w:rsidR="00432C93">
        <w:rPr>
          <w:rFonts w:ascii="Arial" w:hAnsi="Arial" w:cs="Arial"/>
          <w:sz w:val="24"/>
        </w:rPr>
        <w:t xml:space="preserve">heard on </w:t>
      </w:r>
      <w:r w:rsidR="006340E7" w:rsidRPr="00D22685">
        <w:rPr>
          <w:rFonts w:ascii="Arial" w:hAnsi="Arial" w:cs="Arial"/>
          <w:sz w:val="24"/>
        </w:rPr>
        <w:t>1 August 2019</w:t>
      </w:r>
      <w:r w:rsidR="00AE7A29">
        <w:rPr>
          <w:rFonts w:ascii="Arial" w:hAnsi="Arial" w:cs="Arial"/>
          <w:sz w:val="24"/>
        </w:rPr>
        <w:t>,</w:t>
      </w:r>
      <w:r w:rsidR="006340E7" w:rsidRPr="00D22685">
        <w:rPr>
          <w:rFonts w:ascii="Arial" w:hAnsi="Arial" w:cs="Arial"/>
          <w:sz w:val="24"/>
        </w:rPr>
        <w:t xml:space="preserve"> and judgment was delivered on 6 February 2020. In its jud</w:t>
      </w:r>
      <w:r w:rsidR="00D65FB2" w:rsidRPr="00D22685">
        <w:rPr>
          <w:rFonts w:ascii="Arial" w:hAnsi="Arial" w:cs="Arial"/>
          <w:sz w:val="24"/>
        </w:rPr>
        <w:t xml:space="preserve">gment the </w:t>
      </w:r>
      <w:r w:rsidR="00082438">
        <w:rPr>
          <w:rFonts w:ascii="Arial" w:hAnsi="Arial" w:cs="Arial"/>
          <w:sz w:val="24"/>
        </w:rPr>
        <w:t>H</w:t>
      </w:r>
      <w:r w:rsidR="00D65FB2" w:rsidRPr="00D22685">
        <w:rPr>
          <w:rFonts w:ascii="Arial" w:hAnsi="Arial" w:cs="Arial"/>
          <w:sz w:val="24"/>
        </w:rPr>
        <w:t>igh Court found that:</w:t>
      </w:r>
    </w:p>
    <w:p w14:paraId="4D5E8943" w14:textId="77777777" w:rsidR="00E25786" w:rsidRPr="00E560AF" w:rsidRDefault="00E25786" w:rsidP="007645D7">
      <w:pPr>
        <w:pStyle w:val="ListParagraph"/>
        <w:spacing w:line="480" w:lineRule="auto"/>
        <w:ind w:left="0"/>
        <w:jc w:val="both"/>
        <w:rPr>
          <w:rFonts w:ascii="Arial" w:hAnsi="Arial" w:cs="Arial"/>
          <w:sz w:val="24"/>
          <w:szCs w:val="24"/>
          <w:lang w:val="en-US"/>
        </w:rPr>
      </w:pPr>
    </w:p>
    <w:p w14:paraId="3EC4BA56" w14:textId="199CE6D5" w:rsidR="00AB6565" w:rsidRPr="00453860" w:rsidRDefault="00453860" w:rsidP="00453860">
      <w:pPr>
        <w:spacing w:line="480" w:lineRule="auto"/>
        <w:ind w:left="1287" w:hanging="567"/>
        <w:jc w:val="both"/>
        <w:rPr>
          <w:rFonts w:ascii="Arial" w:hAnsi="Arial" w:cs="Arial"/>
          <w:sz w:val="24"/>
          <w:lang w:val="en-US"/>
        </w:rPr>
      </w:pPr>
      <w:r>
        <w:rPr>
          <w:rFonts w:ascii="Arial" w:hAnsi="Arial" w:cs="Arial"/>
          <w:sz w:val="24"/>
          <w:lang w:val="en-US"/>
        </w:rPr>
        <w:t>(a)</w:t>
      </w:r>
      <w:r>
        <w:rPr>
          <w:rFonts w:ascii="Arial" w:hAnsi="Arial" w:cs="Arial"/>
          <w:sz w:val="24"/>
          <w:lang w:val="en-US"/>
        </w:rPr>
        <w:tab/>
      </w:r>
      <w:r w:rsidR="00E25786" w:rsidRPr="00453860">
        <w:rPr>
          <w:rFonts w:ascii="Arial" w:hAnsi="Arial" w:cs="Arial"/>
          <w:sz w:val="24"/>
          <w:lang w:val="en-US"/>
        </w:rPr>
        <w:t>T</w:t>
      </w:r>
      <w:r w:rsidR="00D65FB2" w:rsidRPr="00453860">
        <w:rPr>
          <w:rFonts w:ascii="Arial" w:hAnsi="Arial" w:cs="Arial"/>
          <w:sz w:val="24"/>
          <w:lang w:val="en-US"/>
        </w:rPr>
        <w:t xml:space="preserve">he respondents were on the correct side of the law and that, ‘the mere fact that the awarding of the contract is governed by a legislative enactment does not necessarily translate to saying that if the respondents hold the view that any imperative provision of the applicable Act has been breached, the applicant is </w:t>
      </w:r>
      <w:r w:rsidR="00D65FB2" w:rsidRPr="00453860">
        <w:rPr>
          <w:rFonts w:ascii="Arial" w:hAnsi="Arial" w:cs="Arial"/>
          <w:i/>
          <w:sz w:val="24"/>
          <w:lang w:val="en-US"/>
        </w:rPr>
        <w:t xml:space="preserve">per se </w:t>
      </w:r>
      <w:r w:rsidR="00D65FB2" w:rsidRPr="00453860">
        <w:rPr>
          <w:rFonts w:ascii="Arial" w:hAnsi="Arial" w:cs="Arial"/>
          <w:sz w:val="24"/>
          <w:lang w:val="en-US"/>
        </w:rPr>
        <w:t>entitled to be heard in terms of administrative law’. It accordingly dismissed the appe</w:t>
      </w:r>
      <w:r w:rsidR="009361A2" w:rsidRPr="00453860">
        <w:rPr>
          <w:rFonts w:ascii="Arial" w:hAnsi="Arial" w:cs="Arial"/>
          <w:sz w:val="24"/>
          <w:lang w:val="en-US"/>
        </w:rPr>
        <w:t>llant’s review application; and</w:t>
      </w:r>
      <w:r w:rsidR="00BF2C5D" w:rsidRPr="00453860">
        <w:rPr>
          <w:rFonts w:ascii="Arial" w:hAnsi="Arial" w:cs="Arial"/>
          <w:sz w:val="24"/>
          <w:lang w:val="en-US"/>
        </w:rPr>
        <w:t>,</w:t>
      </w:r>
    </w:p>
    <w:p w14:paraId="1C2D5DC5" w14:textId="77777777" w:rsidR="00AB6565" w:rsidRDefault="00AB6565" w:rsidP="00AB6565">
      <w:pPr>
        <w:pStyle w:val="ListParagraph"/>
        <w:spacing w:line="480" w:lineRule="auto"/>
        <w:ind w:left="567"/>
        <w:jc w:val="both"/>
        <w:rPr>
          <w:rFonts w:ascii="Arial" w:hAnsi="Arial" w:cs="Arial"/>
          <w:sz w:val="24"/>
          <w:lang w:val="en-US"/>
        </w:rPr>
      </w:pPr>
    </w:p>
    <w:p w14:paraId="137310F5" w14:textId="72F5CDD4" w:rsidR="00143FA3" w:rsidRPr="00453860" w:rsidRDefault="00453860" w:rsidP="00453860">
      <w:pPr>
        <w:spacing w:line="480" w:lineRule="auto"/>
        <w:ind w:left="1287" w:hanging="567"/>
        <w:jc w:val="both"/>
        <w:rPr>
          <w:rFonts w:ascii="Arial" w:hAnsi="Arial" w:cs="Arial"/>
          <w:sz w:val="24"/>
          <w:lang w:val="en-US"/>
        </w:rPr>
      </w:pPr>
      <w:r w:rsidRPr="00143FA3">
        <w:rPr>
          <w:rFonts w:ascii="Arial" w:hAnsi="Arial" w:cs="Arial"/>
          <w:sz w:val="24"/>
          <w:lang w:val="en-US"/>
        </w:rPr>
        <w:t>(b)</w:t>
      </w:r>
      <w:r w:rsidRPr="00143FA3">
        <w:rPr>
          <w:rFonts w:ascii="Arial" w:hAnsi="Arial" w:cs="Arial"/>
          <w:sz w:val="24"/>
          <w:lang w:val="en-US"/>
        </w:rPr>
        <w:tab/>
      </w:r>
      <w:r w:rsidR="00E25786" w:rsidRPr="00453860">
        <w:rPr>
          <w:rFonts w:ascii="Arial" w:hAnsi="Arial" w:cs="Arial"/>
          <w:sz w:val="24"/>
        </w:rPr>
        <w:t>T</w:t>
      </w:r>
      <w:r w:rsidR="002507F9" w:rsidRPr="00453860">
        <w:rPr>
          <w:rFonts w:ascii="Arial" w:hAnsi="Arial" w:cs="Arial"/>
          <w:sz w:val="24"/>
        </w:rPr>
        <w:t xml:space="preserve">hat the award of </w:t>
      </w:r>
      <w:r w:rsidR="00432C93" w:rsidRPr="00453860">
        <w:rPr>
          <w:rFonts w:ascii="Arial" w:hAnsi="Arial" w:cs="Arial"/>
          <w:sz w:val="24"/>
        </w:rPr>
        <w:t xml:space="preserve">the tender </w:t>
      </w:r>
      <w:r w:rsidR="002507F9" w:rsidRPr="00453860">
        <w:rPr>
          <w:rFonts w:ascii="Arial" w:hAnsi="Arial" w:cs="Arial"/>
          <w:sz w:val="24"/>
        </w:rPr>
        <w:t>to the appellant was not concluded in terms of the applicable legislative enactment. For that reason</w:t>
      </w:r>
      <w:r w:rsidR="00B7253C" w:rsidRPr="00453860">
        <w:rPr>
          <w:rFonts w:ascii="Arial" w:hAnsi="Arial" w:cs="Arial"/>
          <w:sz w:val="24"/>
        </w:rPr>
        <w:t>,</w:t>
      </w:r>
      <w:r w:rsidR="002507F9" w:rsidRPr="00453860">
        <w:rPr>
          <w:rFonts w:ascii="Arial" w:hAnsi="Arial" w:cs="Arial"/>
          <w:sz w:val="24"/>
        </w:rPr>
        <w:t xml:space="preserve"> said the court, ‘it was invalid from inception as it did not comply with what are clearly mandatory provisions of the law. It would therefore be against the tenets of the rule of law </w:t>
      </w:r>
      <w:r w:rsidR="00E560AF" w:rsidRPr="00453860">
        <w:rPr>
          <w:rFonts w:ascii="Arial" w:hAnsi="Arial" w:cs="Arial"/>
          <w:sz w:val="24"/>
        </w:rPr>
        <w:t xml:space="preserve">to </w:t>
      </w:r>
      <w:r w:rsidR="002507F9" w:rsidRPr="00453860">
        <w:rPr>
          <w:rFonts w:ascii="Arial" w:hAnsi="Arial" w:cs="Arial"/>
          <w:sz w:val="24"/>
        </w:rPr>
        <w:t xml:space="preserve">gloss over and allow such a contract, which is not even limping, but </w:t>
      </w:r>
      <w:proofErr w:type="gramStart"/>
      <w:r w:rsidR="002507F9" w:rsidRPr="00453860">
        <w:rPr>
          <w:rFonts w:ascii="Arial" w:hAnsi="Arial" w:cs="Arial"/>
          <w:sz w:val="24"/>
        </w:rPr>
        <w:t>sti</w:t>
      </w:r>
      <w:r w:rsidR="00432C93" w:rsidRPr="00453860">
        <w:rPr>
          <w:rFonts w:ascii="Arial" w:hAnsi="Arial" w:cs="Arial"/>
          <w:sz w:val="24"/>
        </w:rPr>
        <w:t>ll-born</w:t>
      </w:r>
      <w:proofErr w:type="gramEnd"/>
      <w:r w:rsidR="00432C93" w:rsidRPr="00453860">
        <w:rPr>
          <w:rFonts w:ascii="Arial" w:hAnsi="Arial" w:cs="Arial"/>
          <w:sz w:val="24"/>
        </w:rPr>
        <w:t xml:space="preserve">, to be performed’. </w:t>
      </w:r>
    </w:p>
    <w:p w14:paraId="405E37EF" w14:textId="77777777" w:rsidR="00143FA3" w:rsidRPr="00B326D9" w:rsidRDefault="00143FA3" w:rsidP="00135D9C">
      <w:pPr>
        <w:spacing w:line="360" w:lineRule="auto"/>
        <w:rPr>
          <w:rFonts w:ascii="Arial" w:hAnsi="Arial" w:cs="Arial"/>
          <w:sz w:val="24"/>
        </w:rPr>
      </w:pPr>
    </w:p>
    <w:p w14:paraId="799496C0" w14:textId="77777777" w:rsidR="00432C93" w:rsidRPr="00432C93" w:rsidRDefault="00143FA3" w:rsidP="00432C93">
      <w:pPr>
        <w:spacing w:line="480" w:lineRule="auto"/>
        <w:jc w:val="both"/>
        <w:rPr>
          <w:rFonts w:ascii="Arial" w:hAnsi="Arial" w:cs="Arial"/>
          <w:sz w:val="24"/>
          <w:lang w:val="en-US"/>
        </w:rPr>
      </w:pPr>
      <w:r>
        <w:rPr>
          <w:rFonts w:ascii="Arial" w:hAnsi="Arial" w:cs="Arial"/>
          <w:sz w:val="24"/>
        </w:rPr>
        <w:t>[11]</w:t>
      </w:r>
      <w:r>
        <w:rPr>
          <w:rFonts w:ascii="Arial" w:hAnsi="Arial" w:cs="Arial"/>
          <w:sz w:val="24"/>
        </w:rPr>
        <w:tab/>
      </w:r>
      <w:r w:rsidR="00432C93" w:rsidRPr="00143FA3">
        <w:rPr>
          <w:rFonts w:ascii="Arial" w:hAnsi="Arial" w:cs="Arial"/>
          <w:sz w:val="24"/>
        </w:rPr>
        <w:t>The c</w:t>
      </w:r>
      <w:r w:rsidR="002507F9" w:rsidRPr="00143FA3">
        <w:rPr>
          <w:rFonts w:ascii="Arial" w:hAnsi="Arial" w:cs="Arial"/>
          <w:sz w:val="24"/>
        </w:rPr>
        <w:t xml:space="preserve">ourt accordingly granted the counter application and set aside the award of </w:t>
      </w:r>
      <w:r w:rsidR="00432C93" w:rsidRPr="00143FA3">
        <w:rPr>
          <w:rFonts w:ascii="Arial" w:hAnsi="Arial" w:cs="Arial"/>
          <w:sz w:val="24"/>
          <w:lang w:val="en-US"/>
        </w:rPr>
        <w:t>the tender</w:t>
      </w:r>
      <w:r w:rsidR="002507F9" w:rsidRPr="00143FA3">
        <w:rPr>
          <w:rFonts w:ascii="Arial" w:hAnsi="Arial" w:cs="Arial"/>
          <w:sz w:val="24"/>
        </w:rPr>
        <w:t xml:space="preserve"> to the appellant.</w:t>
      </w:r>
    </w:p>
    <w:p w14:paraId="5468362A" w14:textId="77777777" w:rsidR="002507F9" w:rsidRPr="00D22685" w:rsidRDefault="00143FA3" w:rsidP="00143FA3">
      <w:pPr>
        <w:pStyle w:val="ListParagraph"/>
        <w:spacing w:line="480" w:lineRule="auto"/>
        <w:ind w:left="0"/>
        <w:jc w:val="both"/>
        <w:rPr>
          <w:rFonts w:ascii="Arial" w:hAnsi="Arial" w:cs="Arial"/>
          <w:sz w:val="24"/>
        </w:rPr>
      </w:pPr>
      <w:r>
        <w:rPr>
          <w:rFonts w:ascii="Arial" w:hAnsi="Arial" w:cs="Arial"/>
          <w:sz w:val="24"/>
        </w:rPr>
        <w:lastRenderedPageBreak/>
        <w:t>[12]</w:t>
      </w:r>
      <w:r>
        <w:rPr>
          <w:rFonts w:ascii="Arial" w:hAnsi="Arial" w:cs="Arial"/>
          <w:sz w:val="24"/>
        </w:rPr>
        <w:tab/>
      </w:r>
      <w:r w:rsidR="00BC279D">
        <w:rPr>
          <w:rFonts w:ascii="Arial" w:hAnsi="Arial" w:cs="Arial"/>
          <w:sz w:val="24"/>
        </w:rPr>
        <w:t>The appellant is</w:t>
      </w:r>
      <w:r w:rsidR="006340E7" w:rsidRPr="00D22685">
        <w:rPr>
          <w:rFonts w:ascii="Arial" w:hAnsi="Arial" w:cs="Arial"/>
          <w:sz w:val="24"/>
        </w:rPr>
        <w:t xml:space="preserve"> aggrieved by the find</w:t>
      </w:r>
      <w:r w:rsidR="002507F9" w:rsidRPr="00D22685">
        <w:rPr>
          <w:rFonts w:ascii="Arial" w:hAnsi="Arial" w:cs="Arial"/>
          <w:sz w:val="24"/>
        </w:rPr>
        <w:t>ings</w:t>
      </w:r>
      <w:r w:rsidR="006340E7" w:rsidRPr="00D22685">
        <w:rPr>
          <w:rFonts w:ascii="Arial" w:hAnsi="Arial" w:cs="Arial"/>
          <w:sz w:val="24"/>
        </w:rPr>
        <w:t xml:space="preserve"> of the High Court</w:t>
      </w:r>
      <w:r w:rsidR="00E25786" w:rsidRPr="00D22685">
        <w:rPr>
          <w:rFonts w:ascii="Arial" w:hAnsi="Arial" w:cs="Arial"/>
          <w:sz w:val="24"/>
        </w:rPr>
        <w:t>,</w:t>
      </w:r>
      <w:r w:rsidR="006340E7" w:rsidRPr="00D22685">
        <w:rPr>
          <w:rFonts w:ascii="Arial" w:hAnsi="Arial" w:cs="Arial"/>
          <w:sz w:val="24"/>
        </w:rPr>
        <w:t xml:space="preserve"> hence this appeal. </w:t>
      </w:r>
      <w:r w:rsidR="006340E7" w:rsidRPr="00D22685">
        <w:rPr>
          <w:rFonts w:ascii="Arial" w:hAnsi="Arial" w:cs="Arial"/>
          <w:sz w:val="24"/>
          <w:lang w:val="en-US"/>
        </w:rPr>
        <w:t xml:space="preserve">At issue in </w:t>
      </w:r>
      <w:r>
        <w:rPr>
          <w:rFonts w:ascii="Arial" w:hAnsi="Arial" w:cs="Arial"/>
          <w:sz w:val="24"/>
          <w:lang w:val="en-US"/>
        </w:rPr>
        <w:t>this appeal is whether the relief</w:t>
      </w:r>
      <w:r w:rsidR="006340E7" w:rsidRPr="00D22685">
        <w:rPr>
          <w:rFonts w:ascii="Arial" w:hAnsi="Arial" w:cs="Arial"/>
          <w:sz w:val="24"/>
          <w:lang w:val="en-US"/>
        </w:rPr>
        <w:t xml:space="preserve"> sought by the appellant </w:t>
      </w:r>
      <w:r w:rsidR="0016700B" w:rsidRPr="00D22685">
        <w:rPr>
          <w:rFonts w:ascii="Arial" w:hAnsi="Arial" w:cs="Arial"/>
          <w:sz w:val="24"/>
          <w:lang w:val="en-US"/>
        </w:rPr>
        <w:t>should</w:t>
      </w:r>
      <w:r w:rsidR="006340E7" w:rsidRPr="00D22685">
        <w:rPr>
          <w:rFonts w:ascii="Arial" w:hAnsi="Arial" w:cs="Arial"/>
          <w:sz w:val="24"/>
          <w:lang w:val="en-US"/>
        </w:rPr>
        <w:t xml:space="preserve"> have been granted and whether the High Court should have dismissed the respondents</w:t>
      </w:r>
      <w:r>
        <w:rPr>
          <w:rFonts w:ascii="Arial" w:hAnsi="Arial" w:cs="Arial"/>
          <w:sz w:val="24"/>
          <w:lang w:val="en-US"/>
        </w:rPr>
        <w:t>’</w:t>
      </w:r>
      <w:r w:rsidR="006340E7" w:rsidRPr="00D22685">
        <w:rPr>
          <w:rFonts w:ascii="Arial" w:hAnsi="Arial" w:cs="Arial"/>
          <w:sz w:val="24"/>
          <w:lang w:val="en-US"/>
        </w:rPr>
        <w:t xml:space="preserve"> counter application to set aside the agreement between the appellant and the respondents.</w:t>
      </w:r>
    </w:p>
    <w:p w14:paraId="3CF2D12F" w14:textId="77777777" w:rsidR="0088048B" w:rsidRDefault="0088048B" w:rsidP="007645D7">
      <w:pPr>
        <w:spacing w:line="480" w:lineRule="auto"/>
        <w:rPr>
          <w:rFonts w:ascii="Arial" w:hAnsi="Arial" w:cs="Arial"/>
          <w:sz w:val="24"/>
          <w:szCs w:val="24"/>
          <w:u w:val="single"/>
          <w:lang w:val="en-US"/>
        </w:rPr>
      </w:pPr>
    </w:p>
    <w:p w14:paraId="4A4FCF71" w14:textId="77777777" w:rsidR="00F415DC" w:rsidRDefault="00F415DC" w:rsidP="007645D7">
      <w:pPr>
        <w:spacing w:line="480" w:lineRule="auto"/>
        <w:contextualSpacing/>
        <w:rPr>
          <w:rFonts w:ascii="Arial" w:hAnsi="Arial" w:cs="Arial"/>
          <w:bCs/>
          <w:sz w:val="24"/>
          <w:szCs w:val="24"/>
          <w:u w:val="single"/>
        </w:rPr>
      </w:pPr>
      <w:r w:rsidRPr="00F415DC">
        <w:rPr>
          <w:rFonts w:ascii="Arial" w:hAnsi="Arial" w:cs="Arial"/>
          <w:bCs/>
          <w:sz w:val="24"/>
          <w:szCs w:val="24"/>
          <w:u w:val="single"/>
        </w:rPr>
        <w:t xml:space="preserve">Condonation </w:t>
      </w:r>
      <w:r w:rsidR="004C4C38">
        <w:rPr>
          <w:rFonts w:ascii="Arial" w:hAnsi="Arial" w:cs="Arial"/>
          <w:bCs/>
          <w:sz w:val="24"/>
          <w:szCs w:val="24"/>
          <w:u w:val="single"/>
        </w:rPr>
        <w:t xml:space="preserve">and reinstatement </w:t>
      </w:r>
      <w:r w:rsidR="00DF477C">
        <w:rPr>
          <w:rFonts w:ascii="Arial" w:hAnsi="Arial" w:cs="Arial"/>
          <w:bCs/>
          <w:sz w:val="24"/>
          <w:szCs w:val="24"/>
          <w:u w:val="single"/>
        </w:rPr>
        <w:t>a</w:t>
      </w:r>
      <w:r w:rsidRPr="00F415DC">
        <w:rPr>
          <w:rFonts w:ascii="Arial" w:hAnsi="Arial" w:cs="Arial"/>
          <w:bCs/>
          <w:sz w:val="24"/>
          <w:szCs w:val="24"/>
          <w:u w:val="single"/>
        </w:rPr>
        <w:t>pplication</w:t>
      </w:r>
    </w:p>
    <w:p w14:paraId="72D5F3F2" w14:textId="77777777" w:rsidR="00F415DC" w:rsidRPr="00D22685" w:rsidRDefault="00143FA3" w:rsidP="00143FA3">
      <w:pPr>
        <w:pStyle w:val="NoSpacing"/>
        <w:spacing w:line="480" w:lineRule="auto"/>
        <w:jc w:val="both"/>
        <w:rPr>
          <w:rFonts w:ascii="Arial" w:hAnsi="Arial" w:cs="Arial"/>
          <w:sz w:val="24"/>
        </w:rPr>
      </w:pPr>
      <w:r>
        <w:rPr>
          <w:rFonts w:ascii="Arial" w:hAnsi="Arial" w:cs="Arial"/>
          <w:sz w:val="24"/>
        </w:rPr>
        <w:t>[13]</w:t>
      </w:r>
      <w:r>
        <w:rPr>
          <w:rFonts w:ascii="Arial" w:hAnsi="Arial" w:cs="Arial"/>
          <w:sz w:val="24"/>
        </w:rPr>
        <w:tab/>
      </w:r>
      <w:r w:rsidR="00E25786" w:rsidRPr="00D22685">
        <w:rPr>
          <w:rFonts w:ascii="Arial" w:hAnsi="Arial" w:cs="Arial"/>
          <w:sz w:val="24"/>
        </w:rPr>
        <w:t>As</w:t>
      </w:r>
      <w:r w:rsidR="00F415DC" w:rsidRPr="00D22685">
        <w:rPr>
          <w:rFonts w:ascii="Arial" w:hAnsi="Arial" w:cs="Arial"/>
          <w:sz w:val="24"/>
        </w:rPr>
        <w:t xml:space="preserve"> indicated earlier</w:t>
      </w:r>
      <w:r w:rsidR="00E25786" w:rsidRPr="00D22685">
        <w:rPr>
          <w:rFonts w:ascii="Arial" w:hAnsi="Arial" w:cs="Arial"/>
          <w:sz w:val="24"/>
        </w:rPr>
        <w:t>,</w:t>
      </w:r>
      <w:r w:rsidR="00F415DC" w:rsidRPr="00D22685">
        <w:rPr>
          <w:rFonts w:ascii="Arial" w:hAnsi="Arial" w:cs="Arial"/>
          <w:sz w:val="24"/>
        </w:rPr>
        <w:t xml:space="preserve"> </w:t>
      </w:r>
      <w:r>
        <w:rPr>
          <w:rFonts w:ascii="Arial" w:hAnsi="Arial" w:cs="Arial"/>
          <w:sz w:val="24"/>
        </w:rPr>
        <w:t>both the review application and the counter application were</w:t>
      </w:r>
      <w:r w:rsidR="00F415DC" w:rsidRPr="00D22685">
        <w:rPr>
          <w:rFonts w:ascii="Arial" w:hAnsi="Arial" w:cs="Arial"/>
          <w:sz w:val="24"/>
        </w:rPr>
        <w:t xml:space="preserve"> heard in the High Court on 1 August 2019 and that court delivered an order on 3</w:t>
      </w:r>
      <w:r w:rsidR="00F415DC" w:rsidRPr="00D22685">
        <w:rPr>
          <w:rFonts w:ascii="Arial" w:hAnsi="Arial" w:cs="Arial"/>
          <w:sz w:val="24"/>
          <w:vertAlign w:val="superscript"/>
        </w:rPr>
        <w:t xml:space="preserve"> </w:t>
      </w:r>
      <w:r w:rsidR="00F415DC" w:rsidRPr="00D22685">
        <w:rPr>
          <w:rFonts w:ascii="Arial" w:hAnsi="Arial" w:cs="Arial"/>
          <w:sz w:val="24"/>
        </w:rPr>
        <w:t xml:space="preserve">February 2020, after which the full judgment was uploaded on the </w:t>
      </w:r>
      <w:r w:rsidR="00E560AF" w:rsidRPr="00D22685">
        <w:rPr>
          <w:rFonts w:ascii="Arial" w:hAnsi="Arial" w:cs="Arial"/>
          <w:sz w:val="24"/>
        </w:rPr>
        <w:t>e</w:t>
      </w:r>
      <w:r w:rsidR="00337CF9">
        <w:rPr>
          <w:rFonts w:ascii="Arial" w:hAnsi="Arial" w:cs="Arial"/>
          <w:sz w:val="24"/>
        </w:rPr>
        <w:t>-</w:t>
      </w:r>
      <w:r w:rsidR="00E560AF" w:rsidRPr="00D22685">
        <w:rPr>
          <w:rFonts w:ascii="Arial" w:hAnsi="Arial" w:cs="Arial"/>
          <w:sz w:val="24"/>
        </w:rPr>
        <w:t>justice</w:t>
      </w:r>
      <w:r w:rsidR="00F415DC" w:rsidRPr="00D22685">
        <w:rPr>
          <w:rFonts w:ascii="Arial" w:hAnsi="Arial" w:cs="Arial"/>
          <w:sz w:val="24"/>
        </w:rPr>
        <w:t xml:space="preserve"> system on 6 February 2020. On 6 March 2020, the appellant’s legal practitioners of record filed </w:t>
      </w:r>
      <w:r w:rsidR="004B1AB9">
        <w:rPr>
          <w:rFonts w:ascii="Arial" w:hAnsi="Arial" w:cs="Arial"/>
          <w:sz w:val="24"/>
        </w:rPr>
        <w:t xml:space="preserve">their notice of appeal, and on </w:t>
      </w:r>
      <w:r w:rsidR="00F415DC" w:rsidRPr="00D22685">
        <w:rPr>
          <w:rFonts w:ascii="Arial" w:hAnsi="Arial" w:cs="Arial"/>
          <w:sz w:val="24"/>
        </w:rPr>
        <w:t xml:space="preserve">6 May 2020 they filed an amended notice of appeal together with an application for condonation for the late filing </w:t>
      </w:r>
      <w:r w:rsidR="00AE7A29">
        <w:rPr>
          <w:rFonts w:ascii="Arial" w:hAnsi="Arial" w:cs="Arial"/>
          <w:sz w:val="24"/>
        </w:rPr>
        <w:t>of the amended notice of appeal.</w:t>
      </w:r>
    </w:p>
    <w:p w14:paraId="14FC7936" w14:textId="77777777" w:rsidR="00F415DC" w:rsidRPr="00D22685" w:rsidRDefault="00F415DC" w:rsidP="007645D7">
      <w:pPr>
        <w:pStyle w:val="NoSpacing"/>
        <w:spacing w:line="480" w:lineRule="auto"/>
        <w:jc w:val="both"/>
        <w:rPr>
          <w:rFonts w:ascii="Arial" w:hAnsi="Arial" w:cs="Arial"/>
          <w:sz w:val="24"/>
        </w:rPr>
      </w:pPr>
    </w:p>
    <w:p w14:paraId="34C2CE7B" w14:textId="77777777" w:rsidR="00E62423" w:rsidRDefault="00143FA3" w:rsidP="00143FA3">
      <w:pPr>
        <w:pStyle w:val="NoSpacing"/>
        <w:spacing w:line="480" w:lineRule="auto"/>
        <w:jc w:val="both"/>
        <w:rPr>
          <w:rFonts w:ascii="Arial" w:hAnsi="Arial" w:cs="Arial"/>
          <w:sz w:val="24"/>
        </w:rPr>
      </w:pPr>
      <w:r>
        <w:rPr>
          <w:rFonts w:ascii="Arial" w:hAnsi="Arial" w:cs="Arial"/>
          <w:sz w:val="24"/>
          <w:lang w:val="en-US"/>
        </w:rPr>
        <w:t>[14]</w:t>
      </w:r>
      <w:r>
        <w:rPr>
          <w:rFonts w:ascii="Arial" w:hAnsi="Arial" w:cs="Arial"/>
          <w:sz w:val="24"/>
          <w:lang w:val="en-US"/>
        </w:rPr>
        <w:tab/>
      </w:r>
      <w:r w:rsidR="00F415DC" w:rsidRPr="00D22685">
        <w:rPr>
          <w:rFonts w:ascii="Arial" w:hAnsi="Arial" w:cs="Arial"/>
          <w:sz w:val="24"/>
          <w:lang w:val="en-US"/>
        </w:rPr>
        <w:t>Rule 7(1)</w:t>
      </w:r>
      <w:r w:rsidR="001151E0">
        <w:rPr>
          <w:rFonts w:ascii="Arial" w:hAnsi="Arial" w:cs="Arial"/>
          <w:sz w:val="24"/>
          <w:lang w:val="en-US"/>
        </w:rPr>
        <w:t xml:space="preserve"> of the R</w:t>
      </w:r>
      <w:r w:rsidR="00F415DC" w:rsidRPr="00D22685">
        <w:rPr>
          <w:rFonts w:ascii="Arial" w:hAnsi="Arial" w:cs="Arial"/>
          <w:sz w:val="24"/>
          <w:lang w:val="en-US"/>
        </w:rPr>
        <w:t xml:space="preserve">ules of this Court provides that a notice of appeal must </w:t>
      </w:r>
      <w:r w:rsidR="00E560AF" w:rsidRPr="00D22685">
        <w:rPr>
          <w:rFonts w:ascii="Arial" w:hAnsi="Arial" w:cs="Arial"/>
          <w:sz w:val="24"/>
          <w:lang w:val="en-US"/>
        </w:rPr>
        <w:t xml:space="preserve">be </w:t>
      </w:r>
      <w:r w:rsidR="00F415DC" w:rsidRPr="00D22685">
        <w:rPr>
          <w:rFonts w:ascii="Arial" w:hAnsi="Arial" w:cs="Arial"/>
          <w:sz w:val="24"/>
          <w:lang w:val="en-US"/>
        </w:rPr>
        <w:t xml:space="preserve">lodged within 21 days of the judgment or order against which the appeal is noted. It thus follows that the </w:t>
      </w:r>
      <w:r w:rsidR="00F415DC" w:rsidRPr="00D22685">
        <w:rPr>
          <w:rFonts w:ascii="Arial" w:hAnsi="Arial" w:cs="Arial"/>
          <w:sz w:val="24"/>
        </w:rPr>
        <w:t>appellant should have filed its notice of appeal by n</w:t>
      </w:r>
      <w:r w:rsidR="001151E0">
        <w:rPr>
          <w:rFonts w:ascii="Arial" w:hAnsi="Arial" w:cs="Arial"/>
          <w:sz w:val="24"/>
        </w:rPr>
        <w:t xml:space="preserve">ot later than </w:t>
      </w:r>
      <w:r w:rsidR="00E25786" w:rsidRPr="00D22685">
        <w:rPr>
          <w:rFonts w:ascii="Arial" w:hAnsi="Arial" w:cs="Arial"/>
          <w:sz w:val="24"/>
        </w:rPr>
        <w:t>3 March 2020, however,</w:t>
      </w:r>
      <w:r w:rsidR="001151E0">
        <w:rPr>
          <w:rFonts w:ascii="Arial" w:hAnsi="Arial" w:cs="Arial"/>
          <w:sz w:val="24"/>
        </w:rPr>
        <w:t xml:space="preserve"> the appeal was only lodged on </w:t>
      </w:r>
      <w:r w:rsidR="00F415DC" w:rsidRPr="00D22685">
        <w:rPr>
          <w:rFonts w:ascii="Arial" w:hAnsi="Arial" w:cs="Arial"/>
          <w:sz w:val="24"/>
        </w:rPr>
        <w:t>6 March 2020.</w:t>
      </w:r>
    </w:p>
    <w:p w14:paraId="30781190" w14:textId="77777777" w:rsidR="00E62423" w:rsidRPr="004C4C38" w:rsidRDefault="00E62423" w:rsidP="004C4C38">
      <w:pPr>
        <w:spacing w:line="480" w:lineRule="auto"/>
        <w:rPr>
          <w:rFonts w:ascii="Arial" w:hAnsi="Arial" w:cs="Arial"/>
          <w:sz w:val="24"/>
          <w:szCs w:val="24"/>
        </w:rPr>
      </w:pPr>
    </w:p>
    <w:p w14:paraId="094682BB" w14:textId="77777777" w:rsidR="00E62423" w:rsidRDefault="00143FA3" w:rsidP="00143FA3">
      <w:pPr>
        <w:pStyle w:val="NoSpacing"/>
        <w:spacing w:line="480" w:lineRule="auto"/>
        <w:jc w:val="both"/>
        <w:rPr>
          <w:rFonts w:ascii="Arial" w:hAnsi="Arial" w:cs="Arial"/>
          <w:sz w:val="24"/>
        </w:rPr>
      </w:pPr>
      <w:r>
        <w:rPr>
          <w:rFonts w:ascii="Arial" w:hAnsi="Arial" w:cs="Arial"/>
          <w:sz w:val="24"/>
          <w:szCs w:val="24"/>
        </w:rPr>
        <w:t>[15]</w:t>
      </w:r>
      <w:r>
        <w:rPr>
          <w:rFonts w:ascii="Arial" w:hAnsi="Arial" w:cs="Arial"/>
          <w:sz w:val="24"/>
          <w:szCs w:val="24"/>
        </w:rPr>
        <w:tab/>
      </w:r>
      <w:r w:rsidR="00DF477C" w:rsidRPr="00E62423">
        <w:rPr>
          <w:rFonts w:ascii="Arial" w:hAnsi="Arial" w:cs="Arial"/>
          <w:sz w:val="24"/>
          <w:szCs w:val="24"/>
        </w:rPr>
        <w:t>M</w:t>
      </w:r>
      <w:r w:rsidR="00656726" w:rsidRPr="00E62423">
        <w:rPr>
          <w:rFonts w:ascii="Arial" w:hAnsi="Arial" w:cs="Arial"/>
          <w:sz w:val="24"/>
          <w:szCs w:val="24"/>
        </w:rPr>
        <w:t>s</w:t>
      </w:r>
      <w:r w:rsidR="00DF477C" w:rsidRPr="00E62423">
        <w:rPr>
          <w:rFonts w:ascii="Arial" w:hAnsi="Arial" w:cs="Arial"/>
          <w:sz w:val="24"/>
          <w:szCs w:val="24"/>
        </w:rPr>
        <w:t xml:space="preserve"> </w:t>
      </w:r>
      <w:r w:rsidR="00656726" w:rsidRPr="00E62423">
        <w:rPr>
          <w:rFonts w:ascii="Arial" w:hAnsi="Arial" w:cs="Arial"/>
          <w:sz w:val="24"/>
          <w:szCs w:val="24"/>
        </w:rPr>
        <w:t xml:space="preserve">Vanessa </w:t>
      </w:r>
      <w:proofErr w:type="spellStart"/>
      <w:r w:rsidR="00656726" w:rsidRPr="00E62423">
        <w:rPr>
          <w:rFonts w:ascii="Arial" w:hAnsi="Arial" w:cs="Arial"/>
          <w:sz w:val="24"/>
          <w:szCs w:val="24"/>
        </w:rPr>
        <w:t>Boesak</w:t>
      </w:r>
      <w:proofErr w:type="spellEnd"/>
      <w:r w:rsidR="00E25786" w:rsidRPr="00E62423">
        <w:rPr>
          <w:rFonts w:ascii="Arial" w:hAnsi="Arial" w:cs="Arial"/>
          <w:sz w:val="24"/>
          <w:szCs w:val="24"/>
        </w:rPr>
        <w:t>,</w:t>
      </w:r>
      <w:r w:rsidR="00656726" w:rsidRPr="00E62423">
        <w:rPr>
          <w:rFonts w:ascii="Arial" w:hAnsi="Arial" w:cs="Arial"/>
          <w:sz w:val="24"/>
          <w:szCs w:val="24"/>
        </w:rPr>
        <w:t xml:space="preserve"> </w:t>
      </w:r>
      <w:r w:rsidR="00DF477C" w:rsidRPr="00E62423">
        <w:rPr>
          <w:rFonts w:ascii="Arial" w:hAnsi="Arial" w:cs="Arial"/>
          <w:sz w:val="24"/>
          <w:szCs w:val="24"/>
        </w:rPr>
        <w:t>the appellant</w:t>
      </w:r>
      <w:r w:rsidR="00656726" w:rsidRPr="00E62423">
        <w:rPr>
          <w:rFonts w:ascii="Arial" w:hAnsi="Arial" w:cs="Arial"/>
          <w:sz w:val="24"/>
          <w:szCs w:val="24"/>
        </w:rPr>
        <w:t>’s instructing legal practitioner</w:t>
      </w:r>
      <w:r w:rsidR="00E25786" w:rsidRPr="00E62423">
        <w:rPr>
          <w:rFonts w:ascii="Arial" w:hAnsi="Arial" w:cs="Arial"/>
          <w:sz w:val="24"/>
          <w:szCs w:val="24"/>
        </w:rPr>
        <w:t xml:space="preserve">, </w:t>
      </w:r>
      <w:r w:rsidR="00DF477C" w:rsidRPr="00E62423">
        <w:rPr>
          <w:rFonts w:ascii="Arial" w:hAnsi="Arial" w:cs="Arial"/>
          <w:sz w:val="24"/>
          <w:szCs w:val="24"/>
        </w:rPr>
        <w:t xml:space="preserve">deposed to the affidavit in support of the application to condone the appellant’s </w:t>
      </w:r>
      <w:r w:rsidR="00656726" w:rsidRPr="00E62423">
        <w:rPr>
          <w:rFonts w:ascii="Arial" w:hAnsi="Arial" w:cs="Arial"/>
          <w:sz w:val="24"/>
          <w:szCs w:val="24"/>
          <w:lang w:val="en-US"/>
        </w:rPr>
        <w:t>non</w:t>
      </w:r>
      <w:r w:rsidR="00512905" w:rsidRPr="00E62423">
        <w:rPr>
          <w:rFonts w:ascii="Arial" w:hAnsi="Arial" w:cs="Arial"/>
          <w:sz w:val="24"/>
          <w:szCs w:val="24"/>
          <w:lang w:val="en-US"/>
        </w:rPr>
        <w:t>-</w:t>
      </w:r>
      <w:r w:rsidR="00656726" w:rsidRPr="00E62423">
        <w:rPr>
          <w:rFonts w:ascii="Arial" w:hAnsi="Arial" w:cs="Arial"/>
          <w:sz w:val="24"/>
          <w:szCs w:val="24"/>
          <w:lang w:val="en-US"/>
        </w:rPr>
        <w:t>co</w:t>
      </w:r>
      <w:r w:rsidR="00D53285">
        <w:rPr>
          <w:rFonts w:ascii="Arial" w:hAnsi="Arial" w:cs="Arial"/>
          <w:sz w:val="24"/>
          <w:szCs w:val="24"/>
          <w:lang w:val="en-US"/>
        </w:rPr>
        <w:t>mpliance with r</w:t>
      </w:r>
      <w:r w:rsidR="00E25786" w:rsidRPr="00E62423">
        <w:rPr>
          <w:rFonts w:ascii="Arial" w:hAnsi="Arial" w:cs="Arial"/>
          <w:sz w:val="24"/>
          <w:szCs w:val="24"/>
          <w:lang w:val="en-US"/>
        </w:rPr>
        <w:t>ule 7(1). In her</w:t>
      </w:r>
      <w:r w:rsidR="00656726" w:rsidRPr="00E62423">
        <w:rPr>
          <w:rFonts w:ascii="Arial" w:hAnsi="Arial" w:cs="Arial"/>
          <w:sz w:val="24"/>
          <w:szCs w:val="24"/>
          <w:lang w:val="en-US"/>
        </w:rPr>
        <w:t xml:space="preserve"> affidavit, </w:t>
      </w:r>
      <w:proofErr w:type="spellStart"/>
      <w:r w:rsidR="00656726" w:rsidRPr="00E62423">
        <w:rPr>
          <w:rFonts w:ascii="Arial" w:hAnsi="Arial" w:cs="Arial"/>
          <w:sz w:val="24"/>
          <w:szCs w:val="24"/>
          <w:lang w:val="en-US"/>
        </w:rPr>
        <w:t>Ms</w:t>
      </w:r>
      <w:proofErr w:type="spellEnd"/>
      <w:r w:rsidR="00656726" w:rsidRPr="00E62423">
        <w:rPr>
          <w:rFonts w:ascii="Arial" w:hAnsi="Arial" w:cs="Arial"/>
          <w:sz w:val="24"/>
          <w:szCs w:val="24"/>
          <w:lang w:val="en-US"/>
        </w:rPr>
        <w:t xml:space="preserve"> </w:t>
      </w:r>
      <w:proofErr w:type="spellStart"/>
      <w:r w:rsidR="00656726" w:rsidRPr="00E62423">
        <w:rPr>
          <w:rFonts w:ascii="Arial" w:hAnsi="Arial" w:cs="Arial"/>
          <w:sz w:val="24"/>
          <w:szCs w:val="24"/>
          <w:lang w:val="en-US"/>
        </w:rPr>
        <w:t>Boesak</w:t>
      </w:r>
      <w:proofErr w:type="spellEnd"/>
      <w:r w:rsidR="00656726" w:rsidRPr="00E62423">
        <w:rPr>
          <w:rFonts w:ascii="Arial" w:hAnsi="Arial" w:cs="Arial"/>
          <w:sz w:val="24"/>
          <w:szCs w:val="24"/>
          <w:lang w:val="en-US"/>
        </w:rPr>
        <w:t xml:space="preserve"> professe</w:t>
      </w:r>
      <w:r w:rsidR="009A000A" w:rsidRPr="00E62423">
        <w:rPr>
          <w:rFonts w:ascii="Arial" w:hAnsi="Arial" w:cs="Arial"/>
          <w:sz w:val="24"/>
          <w:szCs w:val="24"/>
          <w:lang w:val="en-US"/>
        </w:rPr>
        <w:t>d</w:t>
      </w:r>
      <w:r w:rsidR="00656726" w:rsidRPr="00E62423">
        <w:rPr>
          <w:rFonts w:ascii="Arial" w:hAnsi="Arial" w:cs="Arial"/>
          <w:sz w:val="24"/>
          <w:szCs w:val="24"/>
          <w:lang w:val="en-US"/>
        </w:rPr>
        <w:t xml:space="preserve"> the appellant’s desire and intention to appeal against the judgment of the High Court as soon a</w:t>
      </w:r>
      <w:r w:rsidR="00D53285">
        <w:rPr>
          <w:rFonts w:ascii="Arial" w:hAnsi="Arial" w:cs="Arial"/>
          <w:sz w:val="24"/>
          <w:szCs w:val="24"/>
          <w:lang w:val="en-US"/>
        </w:rPr>
        <w:t>s the complete reasons for the c</w:t>
      </w:r>
      <w:r w:rsidR="00656726" w:rsidRPr="00E62423">
        <w:rPr>
          <w:rFonts w:ascii="Arial" w:hAnsi="Arial" w:cs="Arial"/>
          <w:sz w:val="24"/>
          <w:szCs w:val="24"/>
          <w:lang w:val="en-US"/>
        </w:rPr>
        <w:t xml:space="preserve">ourt’s order were made known. </w:t>
      </w:r>
      <w:r w:rsidR="00340758" w:rsidRPr="00E62423">
        <w:rPr>
          <w:rFonts w:ascii="Arial" w:hAnsi="Arial" w:cs="Arial"/>
          <w:sz w:val="24"/>
          <w:szCs w:val="24"/>
          <w:lang w:val="en-US"/>
        </w:rPr>
        <w:t>She indicated that th</w:t>
      </w:r>
      <w:r w:rsidR="00D53285">
        <w:rPr>
          <w:rFonts w:ascii="Arial" w:hAnsi="Arial" w:cs="Arial"/>
          <w:sz w:val="24"/>
          <w:szCs w:val="24"/>
          <w:lang w:val="en-US"/>
        </w:rPr>
        <w:t xml:space="preserve">e </w:t>
      </w:r>
      <w:r w:rsidR="00D53285">
        <w:rPr>
          <w:rFonts w:ascii="Arial" w:hAnsi="Arial" w:cs="Arial"/>
          <w:sz w:val="24"/>
          <w:szCs w:val="24"/>
          <w:lang w:val="en-US"/>
        </w:rPr>
        <w:lastRenderedPageBreak/>
        <w:t xml:space="preserve">appellant took steps by </w:t>
      </w:r>
      <w:proofErr w:type="spellStart"/>
      <w:r w:rsidR="00D53285">
        <w:rPr>
          <w:rFonts w:ascii="Arial" w:hAnsi="Arial" w:cs="Arial"/>
          <w:sz w:val="24"/>
          <w:szCs w:val="24"/>
          <w:lang w:val="en-US"/>
        </w:rPr>
        <w:t>analys</w:t>
      </w:r>
      <w:r w:rsidR="00340758" w:rsidRPr="00E62423">
        <w:rPr>
          <w:rFonts w:ascii="Arial" w:hAnsi="Arial" w:cs="Arial"/>
          <w:sz w:val="24"/>
          <w:szCs w:val="24"/>
          <w:lang w:val="en-US"/>
        </w:rPr>
        <w:t>ing</w:t>
      </w:r>
      <w:proofErr w:type="spellEnd"/>
      <w:r w:rsidR="00340758" w:rsidRPr="00E62423">
        <w:rPr>
          <w:rFonts w:ascii="Arial" w:hAnsi="Arial" w:cs="Arial"/>
          <w:sz w:val="24"/>
          <w:szCs w:val="24"/>
          <w:lang w:val="en-US"/>
        </w:rPr>
        <w:t xml:space="preserve"> the judgment</w:t>
      </w:r>
      <w:r w:rsidR="009A000A" w:rsidRPr="00E62423">
        <w:rPr>
          <w:rFonts w:ascii="Arial" w:hAnsi="Arial" w:cs="Arial"/>
          <w:sz w:val="24"/>
          <w:szCs w:val="24"/>
          <w:lang w:val="en-US"/>
        </w:rPr>
        <w:t>,</w:t>
      </w:r>
      <w:r w:rsidR="00340758" w:rsidRPr="00E62423">
        <w:rPr>
          <w:rFonts w:ascii="Arial" w:hAnsi="Arial" w:cs="Arial"/>
          <w:sz w:val="24"/>
          <w:szCs w:val="24"/>
          <w:lang w:val="en-US"/>
        </w:rPr>
        <w:t xml:space="preserve"> discussing it with junior counsel and sought a senior counsel </w:t>
      </w:r>
      <w:r w:rsidR="00656726" w:rsidRPr="00E62423">
        <w:rPr>
          <w:rFonts w:ascii="Arial" w:hAnsi="Arial" w:cs="Arial"/>
          <w:sz w:val="24"/>
          <w:szCs w:val="24"/>
          <w:lang w:val="en-US"/>
        </w:rPr>
        <w:t>to deal with the matter.</w:t>
      </w:r>
      <w:r w:rsidR="00340758" w:rsidRPr="00E62423">
        <w:rPr>
          <w:rFonts w:ascii="Arial" w:hAnsi="Arial" w:cs="Arial"/>
          <w:sz w:val="24"/>
          <w:szCs w:val="24"/>
          <w:lang w:val="en-US"/>
        </w:rPr>
        <w:t xml:space="preserve"> She further advanced the reason that the three days delay in filing the notice of appeal was caused by her interpreting the rule to mean that the computation of the period within which to file the notice of appeal would only commence once the full reason</w:t>
      </w:r>
      <w:r w:rsidR="000653A9" w:rsidRPr="00E62423">
        <w:rPr>
          <w:rFonts w:ascii="Arial" w:hAnsi="Arial" w:cs="Arial"/>
          <w:sz w:val="24"/>
          <w:szCs w:val="24"/>
          <w:lang w:val="en-US"/>
        </w:rPr>
        <w:t>s</w:t>
      </w:r>
      <w:r w:rsidR="00D53285">
        <w:rPr>
          <w:rFonts w:ascii="Arial" w:hAnsi="Arial" w:cs="Arial"/>
          <w:sz w:val="24"/>
          <w:szCs w:val="24"/>
          <w:lang w:val="en-US"/>
        </w:rPr>
        <w:t xml:space="preserve"> for the order of </w:t>
      </w:r>
      <w:r w:rsidR="00340758" w:rsidRPr="00E62423">
        <w:rPr>
          <w:rFonts w:ascii="Arial" w:hAnsi="Arial" w:cs="Arial"/>
          <w:sz w:val="24"/>
          <w:szCs w:val="24"/>
          <w:lang w:val="en-US"/>
        </w:rPr>
        <w:t>3 February 2020 were made available.</w:t>
      </w:r>
    </w:p>
    <w:p w14:paraId="7111E2FF" w14:textId="77777777" w:rsidR="00143FA3" w:rsidRDefault="00143FA3" w:rsidP="00143FA3">
      <w:pPr>
        <w:pStyle w:val="NoSpacing"/>
        <w:spacing w:line="480" w:lineRule="auto"/>
        <w:jc w:val="both"/>
        <w:rPr>
          <w:rFonts w:ascii="Arial" w:hAnsi="Arial" w:cs="Arial"/>
          <w:sz w:val="24"/>
          <w:szCs w:val="24"/>
          <w:lang w:val="en-GB"/>
        </w:rPr>
      </w:pPr>
    </w:p>
    <w:p w14:paraId="563E5123" w14:textId="77777777" w:rsidR="00E62423" w:rsidRDefault="00143FA3" w:rsidP="00143FA3">
      <w:pPr>
        <w:pStyle w:val="NoSpacing"/>
        <w:spacing w:line="480" w:lineRule="auto"/>
        <w:jc w:val="both"/>
        <w:rPr>
          <w:rFonts w:ascii="Arial" w:hAnsi="Arial" w:cs="Arial"/>
          <w:sz w:val="24"/>
        </w:rPr>
      </w:pPr>
      <w:r>
        <w:rPr>
          <w:rFonts w:ascii="Arial" w:hAnsi="Arial" w:cs="Arial"/>
          <w:sz w:val="24"/>
          <w:szCs w:val="24"/>
          <w:lang w:val="en-GB"/>
        </w:rPr>
        <w:t>[16]</w:t>
      </w:r>
      <w:r>
        <w:rPr>
          <w:rFonts w:ascii="Arial" w:hAnsi="Arial" w:cs="Arial"/>
          <w:sz w:val="24"/>
          <w:szCs w:val="24"/>
          <w:lang w:val="en-GB"/>
        </w:rPr>
        <w:tab/>
      </w:r>
      <w:r w:rsidR="00E66B0C" w:rsidRPr="00E62423">
        <w:rPr>
          <w:rFonts w:ascii="Arial" w:hAnsi="Arial" w:cs="Arial"/>
          <w:sz w:val="24"/>
          <w:szCs w:val="24"/>
        </w:rPr>
        <w:t xml:space="preserve">It </w:t>
      </w:r>
      <w:r w:rsidR="00340758" w:rsidRPr="00E62423">
        <w:rPr>
          <w:rFonts w:ascii="Arial" w:hAnsi="Arial" w:cs="Arial"/>
          <w:sz w:val="24"/>
          <w:szCs w:val="24"/>
        </w:rPr>
        <w:t xml:space="preserve">is now a </w:t>
      </w:r>
      <w:r w:rsidR="00E66B0C" w:rsidRPr="00E62423">
        <w:rPr>
          <w:rFonts w:ascii="Arial" w:hAnsi="Arial" w:cs="Arial"/>
          <w:sz w:val="24"/>
          <w:szCs w:val="24"/>
        </w:rPr>
        <w:t>well-established</w:t>
      </w:r>
      <w:r w:rsidR="00340758" w:rsidRPr="00E62423">
        <w:rPr>
          <w:rFonts w:ascii="Arial" w:hAnsi="Arial" w:cs="Arial"/>
          <w:sz w:val="24"/>
          <w:szCs w:val="24"/>
        </w:rPr>
        <w:t xml:space="preserve"> principle of our la</w:t>
      </w:r>
      <w:r w:rsidR="00E66B0C" w:rsidRPr="00E62423">
        <w:rPr>
          <w:rFonts w:ascii="Arial" w:hAnsi="Arial" w:cs="Arial"/>
          <w:sz w:val="24"/>
          <w:szCs w:val="24"/>
        </w:rPr>
        <w:t xml:space="preserve">w that a litigant seeking condonation bears an </w:t>
      </w:r>
      <w:r w:rsidR="00E66B0C" w:rsidRPr="00E62423">
        <w:rPr>
          <w:rFonts w:ascii="Arial" w:hAnsi="Arial" w:cs="Arial"/>
          <w:i/>
          <w:sz w:val="24"/>
          <w:szCs w:val="24"/>
        </w:rPr>
        <w:t xml:space="preserve">onus </w:t>
      </w:r>
      <w:r w:rsidR="00E66B0C" w:rsidRPr="00E62423">
        <w:rPr>
          <w:rFonts w:ascii="Arial" w:hAnsi="Arial" w:cs="Arial"/>
          <w:sz w:val="24"/>
          <w:szCs w:val="24"/>
        </w:rPr>
        <w:t>to satisfy the court that there is sufficient cause to warrant the grant</w:t>
      </w:r>
      <w:r w:rsidR="000653A9" w:rsidRPr="00E62423">
        <w:rPr>
          <w:rFonts w:ascii="Arial" w:hAnsi="Arial" w:cs="Arial"/>
          <w:sz w:val="24"/>
          <w:szCs w:val="24"/>
        </w:rPr>
        <w:t>ing</w:t>
      </w:r>
      <w:r w:rsidR="00E66B0C" w:rsidRPr="00E62423">
        <w:rPr>
          <w:rFonts w:ascii="Arial" w:hAnsi="Arial" w:cs="Arial"/>
          <w:sz w:val="24"/>
          <w:szCs w:val="24"/>
        </w:rPr>
        <w:t xml:space="preserve"> of condonation</w:t>
      </w:r>
      <w:r w:rsidR="006578B7" w:rsidRPr="00E62423">
        <w:rPr>
          <w:rFonts w:ascii="Arial" w:hAnsi="Arial" w:cs="Arial"/>
          <w:sz w:val="24"/>
          <w:szCs w:val="24"/>
        </w:rPr>
        <w:t>.</w:t>
      </w:r>
      <w:r w:rsidR="000D4848" w:rsidRPr="00F32D25">
        <w:rPr>
          <w:rStyle w:val="FootnoteReference"/>
          <w:rFonts w:ascii="Arial" w:hAnsi="Arial" w:cs="Arial"/>
          <w:sz w:val="24"/>
          <w:szCs w:val="24"/>
          <w:lang w:val="en-US"/>
        </w:rPr>
        <w:footnoteReference w:id="1"/>
      </w:r>
      <w:r w:rsidR="00E66B0C" w:rsidRPr="00E62423">
        <w:rPr>
          <w:rFonts w:ascii="Arial" w:hAnsi="Arial" w:cs="Arial"/>
          <w:sz w:val="24"/>
          <w:szCs w:val="24"/>
        </w:rPr>
        <w:t xml:space="preserve"> The authorities further state that a litigant must launch a con</w:t>
      </w:r>
      <w:r w:rsidR="00AE7A29" w:rsidRPr="00E62423">
        <w:rPr>
          <w:rFonts w:ascii="Arial" w:hAnsi="Arial" w:cs="Arial"/>
          <w:sz w:val="24"/>
          <w:szCs w:val="24"/>
        </w:rPr>
        <w:t>donation application without delay</w:t>
      </w:r>
      <w:r w:rsidR="00E66B0C" w:rsidRPr="00E62423">
        <w:rPr>
          <w:rFonts w:ascii="Arial" w:hAnsi="Arial" w:cs="Arial"/>
          <w:sz w:val="24"/>
          <w:szCs w:val="24"/>
        </w:rPr>
        <w:t>. This Court has in more than one judgment noted that</w:t>
      </w:r>
      <w:r w:rsidR="000D4848" w:rsidRPr="00E62423">
        <w:rPr>
          <w:rFonts w:ascii="Arial" w:hAnsi="Arial" w:cs="Arial"/>
          <w:sz w:val="24"/>
          <w:szCs w:val="24"/>
        </w:rPr>
        <w:t xml:space="preserve"> an application for cond</w:t>
      </w:r>
      <w:r w:rsidR="00202C3E" w:rsidRPr="00E62423">
        <w:rPr>
          <w:rFonts w:ascii="Arial" w:hAnsi="Arial" w:cs="Arial"/>
          <w:sz w:val="24"/>
          <w:szCs w:val="24"/>
        </w:rPr>
        <w:t>onation is not a mere formality</w:t>
      </w:r>
      <w:r w:rsidR="0086414B" w:rsidRPr="00E62423">
        <w:rPr>
          <w:rFonts w:ascii="Arial" w:hAnsi="Arial" w:cs="Arial"/>
          <w:sz w:val="24"/>
          <w:szCs w:val="24"/>
        </w:rPr>
        <w:t>.</w:t>
      </w:r>
      <w:r w:rsidR="0086414B" w:rsidRPr="00F32D25">
        <w:rPr>
          <w:rStyle w:val="FootnoteReference"/>
          <w:rFonts w:ascii="Arial" w:hAnsi="Arial" w:cs="Arial"/>
          <w:sz w:val="24"/>
          <w:szCs w:val="24"/>
          <w:lang w:val="en-US"/>
        </w:rPr>
        <w:footnoteReference w:id="2"/>
      </w:r>
      <w:r w:rsidR="000D4848" w:rsidRPr="00E62423">
        <w:rPr>
          <w:rFonts w:ascii="Arial" w:hAnsi="Arial" w:cs="Arial"/>
          <w:sz w:val="24"/>
          <w:szCs w:val="24"/>
        </w:rPr>
        <w:t xml:space="preserve"> </w:t>
      </w:r>
      <w:r w:rsidR="0086414B" w:rsidRPr="00E62423">
        <w:rPr>
          <w:rFonts w:ascii="Arial" w:hAnsi="Arial" w:cs="Arial"/>
          <w:sz w:val="24"/>
          <w:szCs w:val="24"/>
        </w:rPr>
        <w:t>The</w:t>
      </w:r>
      <w:r w:rsidR="000D4848" w:rsidRPr="00E62423">
        <w:rPr>
          <w:rFonts w:ascii="Arial" w:hAnsi="Arial" w:cs="Arial"/>
          <w:sz w:val="24"/>
          <w:szCs w:val="24"/>
        </w:rPr>
        <w:t xml:space="preserve"> trigger for it is </w:t>
      </w:r>
      <w:r w:rsidR="00202C3E" w:rsidRPr="00E62423">
        <w:rPr>
          <w:rFonts w:ascii="Arial" w:hAnsi="Arial" w:cs="Arial"/>
          <w:sz w:val="24"/>
          <w:szCs w:val="24"/>
        </w:rPr>
        <w:t xml:space="preserve">the </w:t>
      </w:r>
      <w:r w:rsidR="000D4848" w:rsidRPr="00E62423">
        <w:rPr>
          <w:rFonts w:ascii="Arial" w:hAnsi="Arial" w:cs="Arial"/>
          <w:sz w:val="24"/>
          <w:szCs w:val="24"/>
        </w:rPr>
        <w:t>non-compliance with the Rules of Court</w:t>
      </w:r>
      <w:r w:rsidR="00AE7A29" w:rsidRPr="00E62423">
        <w:rPr>
          <w:rFonts w:ascii="Arial" w:hAnsi="Arial" w:cs="Arial"/>
          <w:sz w:val="24"/>
          <w:szCs w:val="24"/>
        </w:rPr>
        <w:t>.</w:t>
      </w:r>
      <w:r w:rsidR="000D4848" w:rsidRPr="00F32D25">
        <w:rPr>
          <w:rStyle w:val="FootnoteReference"/>
          <w:rFonts w:ascii="Arial" w:hAnsi="Arial" w:cs="Arial"/>
          <w:sz w:val="24"/>
          <w:szCs w:val="24"/>
          <w:lang w:val="en-US"/>
        </w:rPr>
        <w:footnoteReference w:id="3"/>
      </w:r>
      <w:r w:rsidR="000D4848" w:rsidRPr="00E62423">
        <w:rPr>
          <w:rFonts w:ascii="Arial" w:hAnsi="Arial" w:cs="Arial"/>
          <w:sz w:val="24"/>
          <w:szCs w:val="24"/>
        </w:rPr>
        <w:t xml:space="preserve"> The application for condonation must thus be lodged without delay, and must provide a 'full, detailed and accurate' explanation for the delay</w:t>
      </w:r>
      <w:r w:rsidR="006578B7" w:rsidRPr="00E62423">
        <w:rPr>
          <w:rFonts w:ascii="Arial" w:hAnsi="Arial" w:cs="Arial"/>
          <w:sz w:val="24"/>
          <w:szCs w:val="24"/>
        </w:rPr>
        <w:t>.</w:t>
      </w:r>
      <w:r w:rsidR="000D4848" w:rsidRPr="00F32D25">
        <w:rPr>
          <w:rStyle w:val="FootnoteReference"/>
          <w:rFonts w:ascii="Arial" w:hAnsi="Arial" w:cs="Arial"/>
          <w:sz w:val="24"/>
          <w:szCs w:val="24"/>
          <w:lang w:val="en-US"/>
        </w:rPr>
        <w:footnoteReference w:id="4"/>
      </w:r>
      <w:r w:rsidR="000D4848" w:rsidRPr="00E62423">
        <w:rPr>
          <w:rFonts w:ascii="Arial" w:hAnsi="Arial" w:cs="Arial"/>
          <w:sz w:val="24"/>
          <w:szCs w:val="24"/>
        </w:rPr>
        <w:t xml:space="preserve"> </w:t>
      </w:r>
    </w:p>
    <w:p w14:paraId="2FBB9956" w14:textId="77777777" w:rsidR="00E62423" w:rsidRPr="00BE1C47" w:rsidRDefault="00E62423" w:rsidP="00BE1C47">
      <w:pPr>
        <w:spacing w:line="480" w:lineRule="auto"/>
        <w:rPr>
          <w:rFonts w:ascii="Arial" w:hAnsi="Arial" w:cs="Arial"/>
          <w:sz w:val="24"/>
          <w:szCs w:val="24"/>
        </w:rPr>
      </w:pPr>
    </w:p>
    <w:p w14:paraId="4AF6481E" w14:textId="77777777" w:rsidR="00E62423" w:rsidRPr="00C72876" w:rsidRDefault="00143FA3" w:rsidP="00143FA3">
      <w:pPr>
        <w:pStyle w:val="NoSpacing"/>
        <w:spacing w:line="480" w:lineRule="auto"/>
        <w:jc w:val="both"/>
        <w:rPr>
          <w:rFonts w:ascii="Arial" w:hAnsi="Arial" w:cs="Arial"/>
          <w:sz w:val="24"/>
        </w:rPr>
      </w:pPr>
      <w:r>
        <w:rPr>
          <w:rFonts w:ascii="Arial" w:hAnsi="Arial" w:cs="Arial"/>
          <w:sz w:val="24"/>
          <w:szCs w:val="24"/>
        </w:rPr>
        <w:t>[17]</w:t>
      </w:r>
      <w:r>
        <w:rPr>
          <w:rFonts w:ascii="Arial" w:hAnsi="Arial" w:cs="Arial"/>
          <w:sz w:val="24"/>
          <w:szCs w:val="24"/>
        </w:rPr>
        <w:tab/>
      </w:r>
      <w:r w:rsidR="00D53285">
        <w:rPr>
          <w:rFonts w:ascii="Arial" w:hAnsi="Arial" w:cs="Arial"/>
          <w:sz w:val="24"/>
          <w:szCs w:val="24"/>
        </w:rPr>
        <w:t>This C</w:t>
      </w:r>
      <w:r w:rsidR="000D4848" w:rsidRPr="00E62423">
        <w:rPr>
          <w:rFonts w:ascii="Arial" w:hAnsi="Arial" w:cs="Arial"/>
          <w:sz w:val="24"/>
          <w:szCs w:val="24"/>
        </w:rPr>
        <w:t>ourt has also considered the range of factors relevant to determ</w:t>
      </w:r>
      <w:r w:rsidR="0086414B" w:rsidRPr="00E62423">
        <w:rPr>
          <w:rFonts w:ascii="Arial" w:hAnsi="Arial" w:cs="Arial"/>
          <w:sz w:val="24"/>
          <w:szCs w:val="24"/>
        </w:rPr>
        <w:t>ine</w:t>
      </w:r>
      <w:r w:rsidR="000D4848" w:rsidRPr="00E62423">
        <w:rPr>
          <w:rFonts w:ascii="Arial" w:hAnsi="Arial" w:cs="Arial"/>
          <w:sz w:val="24"/>
          <w:szCs w:val="24"/>
        </w:rPr>
        <w:t xml:space="preserve"> whether an application for condonation for the late filing of an appeal must be granted. They include </w:t>
      </w:r>
      <w:r w:rsidR="00E62423">
        <w:rPr>
          <w:rFonts w:ascii="Arial" w:hAnsi="Arial" w:cs="Arial"/>
          <w:sz w:val="24"/>
          <w:szCs w:val="24"/>
        </w:rPr>
        <w:t>‘</w:t>
      </w:r>
      <w:r w:rsidR="000D4848" w:rsidRPr="00E62423">
        <w:rPr>
          <w:rFonts w:ascii="Arial" w:hAnsi="Arial" w:cs="Arial"/>
          <w:sz w:val="24"/>
          <w:szCs w:val="24"/>
        </w:rPr>
        <w:t xml:space="preserve">the extent of the non-compliance with the rule in question, the reasonableness of the explanation offered for the non-compliance, the </w:t>
      </w:r>
      <w:r w:rsidR="000D4848" w:rsidRPr="00E62423">
        <w:rPr>
          <w:rFonts w:ascii="Arial" w:hAnsi="Arial" w:cs="Arial"/>
          <w:i/>
          <w:sz w:val="24"/>
          <w:szCs w:val="24"/>
        </w:rPr>
        <w:t>bona fides</w:t>
      </w:r>
      <w:r w:rsidR="000D4848" w:rsidRPr="00E62423">
        <w:rPr>
          <w:rFonts w:ascii="Arial" w:hAnsi="Arial" w:cs="Arial"/>
          <w:sz w:val="24"/>
          <w:szCs w:val="24"/>
        </w:rPr>
        <w:t xml:space="preserve"> of the application, the prospects of success on the merits of the case, the importance of the case, the respondent</w:t>
      </w:r>
      <w:r w:rsidR="00DC00C2">
        <w:rPr>
          <w:rFonts w:ascii="Arial" w:hAnsi="Arial" w:cs="Arial"/>
          <w:sz w:val="24"/>
          <w:szCs w:val="24"/>
        </w:rPr>
        <w:t>’</w:t>
      </w:r>
      <w:r w:rsidR="000D4848" w:rsidRPr="00E62423">
        <w:rPr>
          <w:rFonts w:ascii="Arial" w:hAnsi="Arial" w:cs="Arial"/>
          <w:sz w:val="24"/>
          <w:szCs w:val="24"/>
        </w:rPr>
        <w:t xml:space="preserve">s (and where applicable, the public's) </w:t>
      </w:r>
      <w:r w:rsidR="000D4848" w:rsidRPr="00E62423">
        <w:rPr>
          <w:rFonts w:ascii="Arial" w:hAnsi="Arial" w:cs="Arial"/>
          <w:sz w:val="24"/>
          <w:szCs w:val="24"/>
        </w:rPr>
        <w:lastRenderedPageBreak/>
        <w:t>interest in the finality of the judgment, the prejudice suffered by the other litigants as a result of the non-compliance, the convenience of the court and the avoidance of unnecessary delay in the administration of justice</w:t>
      </w:r>
      <w:r w:rsidR="00F32D25" w:rsidRPr="00E62423">
        <w:rPr>
          <w:rFonts w:ascii="Arial" w:hAnsi="Arial" w:cs="Arial"/>
          <w:sz w:val="24"/>
          <w:szCs w:val="24"/>
        </w:rPr>
        <w:t>.’</w:t>
      </w:r>
      <w:r w:rsidR="000D4848" w:rsidRPr="00F32D25">
        <w:rPr>
          <w:rStyle w:val="FootnoteReference"/>
          <w:rFonts w:ascii="Arial" w:hAnsi="Arial" w:cs="Arial"/>
          <w:sz w:val="24"/>
          <w:szCs w:val="24"/>
          <w:lang w:val="en-US"/>
        </w:rPr>
        <w:footnoteReference w:id="5"/>
      </w:r>
    </w:p>
    <w:p w14:paraId="65397280" w14:textId="77777777" w:rsidR="00C72876" w:rsidRPr="00C72876" w:rsidRDefault="00C72876" w:rsidP="00C72876">
      <w:pPr>
        <w:pStyle w:val="NoSpacing"/>
        <w:spacing w:line="480" w:lineRule="auto"/>
        <w:jc w:val="both"/>
        <w:rPr>
          <w:rFonts w:ascii="Arial" w:hAnsi="Arial" w:cs="Arial"/>
          <w:sz w:val="24"/>
        </w:rPr>
      </w:pPr>
    </w:p>
    <w:p w14:paraId="67EA7CE7" w14:textId="77777777" w:rsidR="002E269E" w:rsidRDefault="00143FA3" w:rsidP="00143FA3">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this matter the appellant filed its notice of appeal three days out of time (the</w:t>
      </w:r>
      <w:r w:rsidR="00BF2C5D">
        <w:rPr>
          <w:rFonts w:ascii="Arial" w:hAnsi="Arial" w:cs="Arial"/>
          <w:sz w:val="24"/>
          <w:szCs w:val="24"/>
        </w:rPr>
        <w:t xml:space="preserve"> notice of appeal was filed on </w:t>
      </w:r>
      <w:r>
        <w:rPr>
          <w:rFonts w:ascii="Arial" w:hAnsi="Arial" w:cs="Arial"/>
          <w:sz w:val="24"/>
          <w:szCs w:val="24"/>
        </w:rPr>
        <w:t>6 March 2020 inst</w:t>
      </w:r>
      <w:r w:rsidR="00BF2C5D">
        <w:rPr>
          <w:rFonts w:ascii="Arial" w:hAnsi="Arial" w:cs="Arial"/>
          <w:sz w:val="24"/>
          <w:szCs w:val="24"/>
        </w:rPr>
        <w:t xml:space="preserve">ead of </w:t>
      </w:r>
      <w:r>
        <w:rPr>
          <w:rFonts w:ascii="Arial" w:hAnsi="Arial" w:cs="Arial"/>
          <w:sz w:val="24"/>
          <w:szCs w:val="24"/>
        </w:rPr>
        <w:t>3 March 2020).  The appellant lodge</w:t>
      </w:r>
      <w:r w:rsidR="007366CA">
        <w:rPr>
          <w:rFonts w:ascii="Arial" w:hAnsi="Arial" w:cs="Arial"/>
          <w:sz w:val="24"/>
          <w:szCs w:val="24"/>
        </w:rPr>
        <w:t>d its application to condone th</w:t>
      </w:r>
      <w:r>
        <w:rPr>
          <w:rFonts w:ascii="Arial" w:hAnsi="Arial" w:cs="Arial"/>
          <w:sz w:val="24"/>
          <w:szCs w:val="24"/>
        </w:rPr>
        <w:t>e</w:t>
      </w:r>
      <w:r w:rsidR="007366CA">
        <w:rPr>
          <w:rFonts w:ascii="Arial" w:hAnsi="Arial" w:cs="Arial"/>
          <w:sz w:val="24"/>
          <w:szCs w:val="24"/>
        </w:rPr>
        <w:t xml:space="preserve"> </w:t>
      </w:r>
      <w:r>
        <w:rPr>
          <w:rFonts w:ascii="Arial" w:hAnsi="Arial" w:cs="Arial"/>
          <w:sz w:val="24"/>
          <w:szCs w:val="24"/>
        </w:rPr>
        <w:t>late filing of the notice of appeal and the amended noti</w:t>
      </w:r>
      <w:r w:rsidR="00D07C3A">
        <w:rPr>
          <w:rFonts w:ascii="Arial" w:hAnsi="Arial" w:cs="Arial"/>
          <w:sz w:val="24"/>
          <w:szCs w:val="24"/>
        </w:rPr>
        <w:t xml:space="preserve">ce of appeal on 27 April 2020. </w:t>
      </w:r>
      <w:r>
        <w:rPr>
          <w:rFonts w:ascii="Arial" w:hAnsi="Arial" w:cs="Arial"/>
          <w:sz w:val="24"/>
          <w:szCs w:val="24"/>
        </w:rPr>
        <w:t xml:space="preserve">Ms </w:t>
      </w:r>
      <w:proofErr w:type="spellStart"/>
      <w:r>
        <w:rPr>
          <w:rFonts w:ascii="Arial" w:hAnsi="Arial" w:cs="Arial"/>
          <w:sz w:val="24"/>
          <w:szCs w:val="24"/>
        </w:rPr>
        <w:t>Boesak</w:t>
      </w:r>
      <w:proofErr w:type="spellEnd"/>
      <w:r>
        <w:rPr>
          <w:rFonts w:ascii="Arial" w:hAnsi="Arial" w:cs="Arial"/>
          <w:sz w:val="24"/>
          <w:szCs w:val="24"/>
        </w:rPr>
        <w:t>, who deposed to the appellant’s affidavit in support of the application for condonation</w:t>
      </w:r>
      <w:r w:rsidR="00591025">
        <w:rPr>
          <w:rFonts w:ascii="Arial" w:hAnsi="Arial" w:cs="Arial"/>
          <w:sz w:val="24"/>
          <w:szCs w:val="24"/>
        </w:rPr>
        <w:t xml:space="preserve"> </w:t>
      </w:r>
      <w:proofErr w:type="gramStart"/>
      <w:r w:rsidR="00591025">
        <w:rPr>
          <w:rFonts w:ascii="Arial" w:hAnsi="Arial" w:cs="Arial"/>
          <w:sz w:val="24"/>
          <w:szCs w:val="24"/>
        </w:rPr>
        <w:t>gave an explanation for</w:t>
      </w:r>
      <w:proofErr w:type="gramEnd"/>
      <w:r w:rsidR="00591025">
        <w:rPr>
          <w:rFonts w:ascii="Arial" w:hAnsi="Arial" w:cs="Arial"/>
          <w:sz w:val="24"/>
          <w:szCs w:val="24"/>
        </w:rPr>
        <w:t xml:space="preserve"> the delay in filing the notice of appeal. </w:t>
      </w:r>
    </w:p>
    <w:p w14:paraId="29C6930B" w14:textId="77777777" w:rsidR="00D07C3A" w:rsidRDefault="00D07C3A" w:rsidP="00143FA3">
      <w:pPr>
        <w:pStyle w:val="NoSpacing"/>
        <w:spacing w:line="480" w:lineRule="auto"/>
        <w:jc w:val="both"/>
        <w:rPr>
          <w:rFonts w:ascii="Arial" w:hAnsi="Arial" w:cs="Arial"/>
          <w:sz w:val="24"/>
          <w:szCs w:val="24"/>
        </w:rPr>
      </w:pPr>
    </w:p>
    <w:p w14:paraId="4203E0C4" w14:textId="77777777" w:rsidR="00143FA3" w:rsidRPr="00143FA3" w:rsidRDefault="00143FA3" w:rsidP="00143FA3">
      <w:pPr>
        <w:pStyle w:val="NoSpacing"/>
        <w:spacing w:line="480" w:lineRule="auto"/>
        <w:jc w:val="both"/>
        <w:rPr>
          <w:rFonts w:ascii="Arial" w:hAnsi="Arial" w:cs="Arial"/>
          <w:sz w:val="24"/>
        </w:rPr>
      </w:pPr>
      <w:r>
        <w:rPr>
          <w:rFonts w:ascii="Arial" w:hAnsi="Arial" w:cs="Arial"/>
          <w:sz w:val="24"/>
          <w:szCs w:val="24"/>
        </w:rPr>
        <w:t>[19]</w:t>
      </w:r>
      <w:r>
        <w:rPr>
          <w:rFonts w:ascii="Arial" w:hAnsi="Arial" w:cs="Arial"/>
          <w:sz w:val="24"/>
          <w:szCs w:val="24"/>
        </w:rPr>
        <w:tab/>
        <w:t>I am of the view that</w:t>
      </w:r>
      <w:r w:rsidR="00121BE8">
        <w:rPr>
          <w:rFonts w:ascii="Arial" w:hAnsi="Arial" w:cs="Arial"/>
          <w:sz w:val="24"/>
          <w:szCs w:val="24"/>
        </w:rPr>
        <w:t xml:space="preserve"> the three days delay is not in</w:t>
      </w:r>
      <w:r>
        <w:rPr>
          <w:rFonts w:ascii="Arial" w:hAnsi="Arial" w:cs="Arial"/>
          <w:sz w:val="24"/>
          <w:szCs w:val="24"/>
        </w:rPr>
        <w:t>ordinate, that the appellant did not delay in lodging its application for condonation and that the explanation by M</w:t>
      </w:r>
      <w:r w:rsidR="00BF2C5D">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Boesak</w:t>
      </w:r>
      <w:proofErr w:type="spellEnd"/>
      <w:r>
        <w:rPr>
          <w:rFonts w:ascii="Arial" w:hAnsi="Arial" w:cs="Arial"/>
          <w:sz w:val="24"/>
          <w:szCs w:val="24"/>
        </w:rPr>
        <w:t xml:space="preserve"> is not unreasonable.  I am further of the view that from, the explanation advanced by Ms </w:t>
      </w:r>
      <w:proofErr w:type="spellStart"/>
      <w:r>
        <w:rPr>
          <w:rFonts w:ascii="Arial" w:hAnsi="Arial" w:cs="Arial"/>
          <w:sz w:val="24"/>
          <w:szCs w:val="24"/>
        </w:rPr>
        <w:t>Boesak</w:t>
      </w:r>
      <w:proofErr w:type="spellEnd"/>
      <w:r>
        <w:rPr>
          <w:rFonts w:ascii="Arial" w:hAnsi="Arial" w:cs="Arial"/>
          <w:sz w:val="24"/>
          <w:szCs w:val="24"/>
        </w:rPr>
        <w:t xml:space="preserve">, it is quite evident that the appellant acted </w:t>
      </w:r>
      <w:r w:rsidRPr="007366CA">
        <w:rPr>
          <w:rFonts w:ascii="Arial" w:hAnsi="Arial" w:cs="Arial"/>
          <w:i/>
          <w:sz w:val="24"/>
          <w:szCs w:val="24"/>
        </w:rPr>
        <w:t>bona fide</w:t>
      </w:r>
      <w:r>
        <w:rPr>
          <w:rFonts w:ascii="Arial" w:hAnsi="Arial" w:cs="Arial"/>
          <w:sz w:val="24"/>
          <w:szCs w:val="24"/>
        </w:rPr>
        <w:t xml:space="preserve"> in</w:t>
      </w:r>
      <w:r w:rsidR="007366CA">
        <w:rPr>
          <w:rFonts w:ascii="Arial" w:hAnsi="Arial" w:cs="Arial"/>
          <w:sz w:val="24"/>
          <w:szCs w:val="24"/>
        </w:rPr>
        <w:t xml:space="preserve"> </w:t>
      </w:r>
      <w:r>
        <w:rPr>
          <w:rFonts w:ascii="Arial" w:hAnsi="Arial" w:cs="Arial"/>
          <w:sz w:val="24"/>
          <w:szCs w:val="24"/>
        </w:rPr>
        <w:t xml:space="preserve">its application for condonation and is desirous to have its appeal determined and finalised.  This matter concerns the exercise of public power and </w:t>
      </w:r>
      <w:proofErr w:type="gramStart"/>
      <w:r>
        <w:rPr>
          <w:rFonts w:ascii="Arial" w:hAnsi="Arial" w:cs="Arial"/>
          <w:sz w:val="24"/>
          <w:szCs w:val="24"/>
        </w:rPr>
        <w:t>that aspects</w:t>
      </w:r>
      <w:proofErr w:type="gramEnd"/>
      <w:r>
        <w:rPr>
          <w:rFonts w:ascii="Arial" w:hAnsi="Arial" w:cs="Arial"/>
          <w:sz w:val="24"/>
          <w:szCs w:val="24"/>
        </w:rPr>
        <w:t xml:space="preserve"> needs to, </w:t>
      </w:r>
      <w:r w:rsidR="0043524E">
        <w:rPr>
          <w:rFonts w:ascii="Arial" w:hAnsi="Arial" w:cs="Arial"/>
          <w:sz w:val="24"/>
          <w:szCs w:val="24"/>
        </w:rPr>
        <w:t xml:space="preserve">in the public interest, be </w:t>
      </w:r>
      <w:r w:rsidR="00D73FF1">
        <w:rPr>
          <w:rFonts w:ascii="Arial" w:hAnsi="Arial" w:cs="Arial"/>
          <w:sz w:val="24"/>
          <w:szCs w:val="24"/>
        </w:rPr>
        <w:t>clarified.</w:t>
      </w:r>
      <w:r>
        <w:rPr>
          <w:rFonts w:ascii="Arial" w:hAnsi="Arial" w:cs="Arial"/>
          <w:sz w:val="24"/>
          <w:szCs w:val="24"/>
        </w:rPr>
        <w:t xml:space="preserve"> I have not been alerted to, nor do I see any </w:t>
      </w:r>
      <w:r w:rsidR="007366CA">
        <w:rPr>
          <w:rFonts w:ascii="Arial" w:hAnsi="Arial" w:cs="Arial"/>
          <w:sz w:val="24"/>
          <w:szCs w:val="24"/>
        </w:rPr>
        <w:t>prejudice, which</w:t>
      </w:r>
      <w:r>
        <w:rPr>
          <w:rFonts w:ascii="Arial" w:hAnsi="Arial" w:cs="Arial"/>
          <w:sz w:val="24"/>
          <w:szCs w:val="24"/>
        </w:rPr>
        <w:t xml:space="preserve"> the respondent will suffer if the </w:t>
      </w:r>
      <w:r w:rsidR="0043524E">
        <w:rPr>
          <w:rFonts w:ascii="Arial" w:hAnsi="Arial" w:cs="Arial"/>
          <w:sz w:val="24"/>
          <w:szCs w:val="24"/>
        </w:rPr>
        <w:t>appellants’</w:t>
      </w:r>
      <w:r>
        <w:rPr>
          <w:rFonts w:ascii="Arial" w:hAnsi="Arial" w:cs="Arial"/>
          <w:sz w:val="24"/>
          <w:szCs w:val="24"/>
        </w:rPr>
        <w:t xml:space="preserve"> late filing of the notice to appeal is condoned.  For the reasons that I have set out in the preceding paragraph and in this </w:t>
      </w:r>
      <w:proofErr w:type="gramStart"/>
      <w:r>
        <w:rPr>
          <w:rFonts w:ascii="Arial" w:hAnsi="Arial" w:cs="Arial"/>
          <w:sz w:val="24"/>
          <w:szCs w:val="24"/>
        </w:rPr>
        <w:t>paragraph</w:t>
      </w:r>
      <w:proofErr w:type="gramEnd"/>
      <w:r>
        <w:rPr>
          <w:rFonts w:ascii="Arial" w:hAnsi="Arial" w:cs="Arial"/>
          <w:sz w:val="24"/>
          <w:szCs w:val="24"/>
        </w:rPr>
        <w:t xml:space="preserve"> I am of the view that the appellant’s explanation for its delay in lodging the appeal is sufficient to warrant the granting of condonation and to reinstate the appeal.</w:t>
      </w:r>
    </w:p>
    <w:p w14:paraId="29D29BE4" w14:textId="77777777" w:rsidR="00C43AEE" w:rsidRPr="00C43AEE" w:rsidRDefault="00C43AEE" w:rsidP="00C43AEE">
      <w:pPr>
        <w:pStyle w:val="NoSpacing"/>
        <w:spacing w:line="480" w:lineRule="auto"/>
        <w:jc w:val="both"/>
        <w:rPr>
          <w:rFonts w:ascii="Arial" w:hAnsi="Arial" w:cs="Arial"/>
          <w:sz w:val="24"/>
        </w:rPr>
      </w:pPr>
    </w:p>
    <w:p w14:paraId="0FB347C2" w14:textId="77777777" w:rsidR="00E62423" w:rsidRDefault="00E62423" w:rsidP="00E62423">
      <w:pPr>
        <w:pStyle w:val="NoSpacing"/>
        <w:spacing w:line="480" w:lineRule="auto"/>
        <w:jc w:val="both"/>
        <w:rPr>
          <w:rFonts w:ascii="Arial" w:hAnsi="Arial" w:cs="Arial"/>
          <w:sz w:val="24"/>
          <w:szCs w:val="24"/>
          <w:u w:val="single"/>
        </w:rPr>
      </w:pPr>
      <w:r w:rsidRPr="00F32D25">
        <w:rPr>
          <w:rFonts w:ascii="Arial" w:hAnsi="Arial" w:cs="Arial"/>
          <w:sz w:val="24"/>
          <w:szCs w:val="24"/>
          <w:u w:val="single"/>
        </w:rPr>
        <w:lastRenderedPageBreak/>
        <w:t>In the High Court</w:t>
      </w:r>
    </w:p>
    <w:p w14:paraId="6BD48D5A" w14:textId="77777777" w:rsidR="00356F76" w:rsidRDefault="00E62423" w:rsidP="00356F76">
      <w:pPr>
        <w:pStyle w:val="NoSpacing"/>
        <w:spacing w:line="480" w:lineRule="auto"/>
        <w:jc w:val="both"/>
        <w:rPr>
          <w:rFonts w:ascii="Arial" w:hAnsi="Arial" w:cs="Arial"/>
          <w:i/>
          <w:sz w:val="24"/>
          <w:szCs w:val="24"/>
        </w:rPr>
      </w:pPr>
      <w:r w:rsidRPr="00F32D25">
        <w:rPr>
          <w:rFonts w:ascii="Arial" w:hAnsi="Arial" w:cs="Arial"/>
          <w:i/>
          <w:sz w:val="24"/>
          <w:szCs w:val="24"/>
        </w:rPr>
        <w:t>The review application</w:t>
      </w:r>
    </w:p>
    <w:p w14:paraId="543FB885" w14:textId="77777777" w:rsidR="00E62423" w:rsidRPr="00356F76" w:rsidRDefault="00356F76" w:rsidP="00356F76">
      <w:pPr>
        <w:pStyle w:val="NoSpacing"/>
        <w:spacing w:line="480" w:lineRule="auto"/>
        <w:jc w:val="both"/>
        <w:rPr>
          <w:rFonts w:ascii="Arial" w:hAnsi="Arial" w:cs="Arial"/>
          <w:i/>
          <w:sz w:val="24"/>
          <w:szCs w:val="24"/>
        </w:rPr>
      </w:pPr>
      <w:r>
        <w:rPr>
          <w:rFonts w:ascii="Arial" w:hAnsi="Arial" w:cs="Arial"/>
          <w:sz w:val="24"/>
          <w:szCs w:val="24"/>
        </w:rPr>
        <w:t>[20]</w:t>
      </w:r>
      <w:r>
        <w:rPr>
          <w:rFonts w:ascii="Arial" w:hAnsi="Arial" w:cs="Arial"/>
          <w:sz w:val="24"/>
          <w:szCs w:val="24"/>
        </w:rPr>
        <w:tab/>
      </w:r>
      <w:r w:rsidR="00556C7F" w:rsidRPr="00E62423">
        <w:rPr>
          <w:rFonts w:ascii="Arial" w:hAnsi="Arial" w:cs="Arial"/>
          <w:sz w:val="24"/>
          <w:szCs w:val="24"/>
        </w:rPr>
        <w:t>In the court below</w:t>
      </w:r>
      <w:r w:rsidR="00C72876">
        <w:rPr>
          <w:rFonts w:ascii="Arial" w:hAnsi="Arial" w:cs="Arial"/>
          <w:sz w:val="24"/>
          <w:szCs w:val="24"/>
        </w:rPr>
        <w:t>,</w:t>
      </w:r>
      <w:r w:rsidR="00556C7F" w:rsidRPr="00E62423">
        <w:rPr>
          <w:rFonts w:ascii="Arial" w:hAnsi="Arial" w:cs="Arial"/>
          <w:sz w:val="24"/>
          <w:szCs w:val="24"/>
        </w:rPr>
        <w:t xml:space="preserve"> the appellant sought to have ‘the decision taken by the respondents to no </w:t>
      </w:r>
      <w:r w:rsidR="0016700B" w:rsidRPr="00E62423">
        <w:rPr>
          <w:rFonts w:ascii="Arial" w:hAnsi="Arial" w:cs="Arial"/>
          <w:sz w:val="24"/>
          <w:szCs w:val="24"/>
        </w:rPr>
        <w:t>longer abide by the agreement,</w:t>
      </w:r>
      <w:r w:rsidR="00556C7F" w:rsidRPr="00E62423">
        <w:rPr>
          <w:rFonts w:ascii="Arial" w:hAnsi="Arial" w:cs="Arial"/>
          <w:sz w:val="24"/>
          <w:szCs w:val="24"/>
        </w:rPr>
        <w:t xml:space="preserve"> reviewed and set aside’ on the basis that that decision constituted administrative action. The appellant further contended that the decision was wrongful and was accordingly reviewable. The appellant furthermore contended that it was denied the right to be heard before the action to cancel </w:t>
      </w:r>
      <w:r w:rsidR="00EA20AB" w:rsidRPr="00E62423">
        <w:rPr>
          <w:rFonts w:ascii="Arial" w:hAnsi="Arial" w:cs="Arial"/>
          <w:sz w:val="24"/>
          <w:szCs w:val="24"/>
        </w:rPr>
        <w:t xml:space="preserve">the agreement </w:t>
      </w:r>
      <w:r w:rsidR="00556C7F" w:rsidRPr="00E62423">
        <w:rPr>
          <w:rFonts w:ascii="Arial" w:hAnsi="Arial" w:cs="Arial"/>
          <w:sz w:val="24"/>
          <w:szCs w:val="24"/>
        </w:rPr>
        <w:t>was taken by the respondents.</w:t>
      </w:r>
    </w:p>
    <w:p w14:paraId="2B96A5DA" w14:textId="77777777" w:rsidR="00E62423" w:rsidRDefault="00E62423" w:rsidP="00E62423">
      <w:pPr>
        <w:pStyle w:val="NoSpacing"/>
        <w:spacing w:line="480" w:lineRule="auto"/>
        <w:jc w:val="both"/>
        <w:rPr>
          <w:rFonts w:ascii="Arial" w:hAnsi="Arial" w:cs="Arial"/>
          <w:sz w:val="24"/>
        </w:rPr>
      </w:pPr>
    </w:p>
    <w:p w14:paraId="4D656660" w14:textId="77777777" w:rsidR="00E62423" w:rsidRDefault="00356F76" w:rsidP="00356F76">
      <w:pPr>
        <w:pStyle w:val="NoSpacing"/>
        <w:spacing w:line="480" w:lineRule="auto"/>
        <w:jc w:val="both"/>
        <w:rPr>
          <w:rFonts w:ascii="Arial" w:hAnsi="Arial" w:cs="Arial"/>
          <w:sz w:val="24"/>
        </w:rPr>
      </w:pPr>
      <w:r>
        <w:rPr>
          <w:rFonts w:ascii="Arial" w:hAnsi="Arial" w:cs="Arial"/>
          <w:sz w:val="24"/>
        </w:rPr>
        <w:t>[21]</w:t>
      </w:r>
      <w:r>
        <w:rPr>
          <w:rFonts w:ascii="Arial" w:hAnsi="Arial" w:cs="Arial"/>
          <w:sz w:val="24"/>
        </w:rPr>
        <w:tab/>
      </w:r>
      <w:r w:rsidR="00556C7F" w:rsidRPr="00E62423">
        <w:rPr>
          <w:rFonts w:ascii="Arial" w:hAnsi="Arial" w:cs="Arial"/>
          <w:sz w:val="24"/>
        </w:rPr>
        <w:t>The respondents disagreed with the contentions by the appellant. The respond</w:t>
      </w:r>
      <w:r w:rsidR="00E06AC7" w:rsidRPr="00E62423">
        <w:rPr>
          <w:rFonts w:ascii="Arial" w:hAnsi="Arial" w:cs="Arial"/>
          <w:sz w:val="24"/>
        </w:rPr>
        <w:t>ents contend that the agreement</w:t>
      </w:r>
      <w:r w:rsidR="00556C7F" w:rsidRPr="00E62423">
        <w:rPr>
          <w:rFonts w:ascii="Arial" w:hAnsi="Arial" w:cs="Arial"/>
          <w:sz w:val="24"/>
        </w:rPr>
        <w:t xml:space="preserve"> indicates that the matter is </w:t>
      </w:r>
      <w:r w:rsidR="0086414B" w:rsidRPr="00E62423">
        <w:rPr>
          <w:rFonts w:ascii="Arial" w:hAnsi="Arial" w:cs="Arial"/>
          <w:sz w:val="24"/>
        </w:rPr>
        <w:t>of a contractual nature</w:t>
      </w:r>
      <w:r w:rsidR="00556C7F" w:rsidRPr="00E62423">
        <w:rPr>
          <w:rFonts w:ascii="Arial" w:hAnsi="Arial" w:cs="Arial"/>
          <w:sz w:val="24"/>
        </w:rPr>
        <w:t xml:space="preserve"> and for that reason, the app</w:t>
      </w:r>
      <w:r w:rsidR="00C72876">
        <w:rPr>
          <w:rFonts w:ascii="Arial" w:hAnsi="Arial" w:cs="Arial"/>
          <w:sz w:val="24"/>
        </w:rPr>
        <w:t>ell</w:t>
      </w:r>
      <w:r w:rsidR="00556C7F" w:rsidRPr="00E62423">
        <w:rPr>
          <w:rFonts w:ascii="Arial" w:hAnsi="Arial" w:cs="Arial"/>
          <w:sz w:val="24"/>
        </w:rPr>
        <w:t xml:space="preserve">ant </w:t>
      </w:r>
      <w:r w:rsidR="00EA20AB" w:rsidRPr="00E62423">
        <w:rPr>
          <w:rFonts w:ascii="Arial" w:hAnsi="Arial" w:cs="Arial"/>
          <w:sz w:val="24"/>
        </w:rPr>
        <w:t>was</w:t>
      </w:r>
      <w:r w:rsidR="00556C7F" w:rsidRPr="00E62423">
        <w:rPr>
          <w:rFonts w:ascii="Arial" w:hAnsi="Arial" w:cs="Arial"/>
          <w:sz w:val="24"/>
        </w:rPr>
        <w:t xml:space="preserve"> wrong in seeking a remedy in administrative law.</w:t>
      </w:r>
    </w:p>
    <w:p w14:paraId="461543F8" w14:textId="77777777" w:rsidR="00302B19" w:rsidRPr="00C72876" w:rsidRDefault="00302B19" w:rsidP="00302B19">
      <w:pPr>
        <w:pStyle w:val="NoSpacing"/>
        <w:spacing w:line="480" w:lineRule="auto"/>
        <w:jc w:val="both"/>
        <w:rPr>
          <w:rFonts w:ascii="Arial" w:hAnsi="Arial" w:cs="Arial"/>
          <w:sz w:val="24"/>
        </w:rPr>
      </w:pPr>
    </w:p>
    <w:p w14:paraId="38DD6BCB" w14:textId="77777777" w:rsidR="00E62423" w:rsidRDefault="00356F76" w:rsidP="00356F76">
      <w:pPr>
        <w:pStyle w:val="NoSpacing"/>
        <w:spacing w:line="480" w:lineRule="auto"/>
        <w:jc w:val="both"/>
        <w:rPr>
          <w:rFonts w:ascii="Arial" w:hAnsi="Arial" w:cs="Arial"/>
          <w:sz w:val="24"/>
        </w:rPr>
      </w:pPr>
      <w:r>
        <w:rPr>
          <w:rFonts w:ascii="Arial" w:hAnsi="Arial" w:cs="Arial"/>
          <w:sz w:val="24"/>
        </w:rPr>
        <w:t>[22]</w:t>
      </w:r>
      <w:r>
        <w:rPr>
          <w:rFonts w:ascii="Arial" w:hAnsi="Arial" w:cs="Arial"/>
          <w:sz w:val="24"/>
        </w:rPr>
        <w:tab/>
      </w:r>
      <w:r w:rsidR="00556C7F" w:rsidRPr="00E62423">
        <w:rPr>
          <w:rFonts w:ascii="Arial" w:hAnsi="Arial" w:cs="Arial"/>
          <w:sz w:val="24"/>
        </w:rPr>
        <w:t xml:space="preserve">Relying on the authorities to which </w:t>
      </w:r>
      <w:r w:rsidR="007760D2" w:rsidRPr="00E62423">
        <w:rPr>
          <w:rFonts w:ascii="Arial" w:hAnsi="Arial" w:cs="Arial"/>
          <w:sz w:val="24"/>
        </w:rPr>
        <w:t>it was</w:t>
      </w:r>
      <w:r w:rsidR="00556C7F" w:rsidRPr="00E62423">
        <w:rPr>
          <w:rFonts w:ascii="Arial" w:hAnsi="Arial" w:cs="Arial"/>
          <w:sz w:val="24"/>
        </w:rPr>
        <w:t xml:space="preserve"> referred</w:t>
      </w:r>
      <w:r w:rsidR="00E06AC7" w:rsidRPr="00E62423">
        <w:rPr>
          <w:rFonts w:ascii="Arial" w:hAnsi="Arial" w:cs="Arial"/>
          <w:sz w:val="24"/>
        </w:rPr>
        <w:t>,</w:t>
      </w:r>
      <w:r w:rsidR="00556C7F" w:rsidRPr="00E62423">
        <w:rPr>
          <w:rFonts w:ascii="Arial" w:hAnsi="Arial" w:cs="Arial"/>
          <w:sz w:val="24"/>
        </w:rPr>
        <w:t xml:space="preserve"> the High Court agreed with the respondents</w:t>
      </w:r>
      <w:r w:rsidR="00C72876">
        <w:rPr>
          <w:rFonts w:ascii="Arial" w:hAnsi="Arial" w:cs="Arial"/>
          <w:sz w:val="24"/>
        </w:rPr>
        <w:t>. The c</w:t>
      </w:r>
      <w:r>
        <w:rPr>
          <w:rFonts w:ascii="Arial" w:hAnsi="Arial" w:cs="Arial"/>
          <w:sz w:val="24"/>
        </w:rPr>
        <w:t>ourt held</w:t>
      </w:r>
      <w:r w:rsidR="007760D2" w:rsidRPr="00E62423">
        <w:rPr>
          <w:rFonts w:ascii="Arial" w:hAnsi="Arial" w:cs="Arial"/>
          <w:sz w:val="24"/>
        </w:rPr>
        <w:t xml:space="preserve"> that</w:t>
      </w:r>
      <w:r w:rsidR="00EA20AB" w:rsidRPr="00E62423">
        <w:rPr>
          <w:rFonts w:ascii="Arial" w:hAnsi="Arial" w:cs="Arial"/>
          <w:sz w:val="24"/>
        </w:rPr>
        <w:t xml:space="preserve"> it</w:t>
      </w:r>
      <w:r w:rsidR="007760D2" w:rsidRPr="00E62423">
        <w:rPr>
          <w:rFonts w:ascii="Arial" w:hAnsi="Arial" w:cs="Arial"/>
          <w:sz w:val="24"/>
        </w:rPr>
        <w:t xml:space="preserve"> was</w:t>
      </w:r>
      <w:r w:rsidR="00556C7F" w:rsidRPr="00E62423">
        <w:rPr>
          <w:rFonts w:ascii="Arial" w:hAnsi="Arial" w:cs="Arial"/>
          <w:sz w:val="24"/>
        </w:rPr>
        <w:t xml:space="preserve"> clear from the facts </w:t>
      </w:r>
      <w:r w:rsidR="007760D2" w:rsidRPr="00E62423">
        <w:rPr>
          <w:rFonts w:ascii="Arial" w:hAnsi="Arial" w:cs="Arial"/>
          <w:sz w:val="24"/>
        </w:rPr>
        <w:t xml:space="preserve">of the case </w:t>
      </w:r>
      <w:r w:rsidR="00556C7F" w:rsidRPr="00E62423">
        <w:rPr>
          <w:rFonts w:ascii="Arial" w:hAnsi="Arial" w:cs="Arial"/>
          <w:sz w:val="24"/>
        </w:rPr>
        <w:t xml:space="preserve">that the </w:t>
      </w:r>
      <w:r w:rsidR="007760D2" w:rsidRPr="00E62423">
        <w:rPr>
          <w:rFonts w:ascii="Arial" w:hAnsi="Arial" w:cs="Arial"/>
          <w:sz w:val="24"/>
        </w:rPr>
        <w:t>appellant</w:t>
      </w:r>
      <w:r w:rsidR="00556C7F" w:rsidRPr="00E62423">
        <w:rPr>
          <w:rFonts w:ascii="Arial" w:hAnsi="Arial" w:cs="Arial"/>
          <w:sz w:val="24"/>
        </w:rPr>
        <w:t xml:space="preserve">’s claim is </w:t>
      </w:r>
      <w:r w:rsidR="0086414B" w:rsidRPr="00E62423">
        <w:rPr>
          <w:rFonts w:ascii="Arial" w:hAnsi="Arial" w:cs="Arial"/>
          <w:sz w:val="24"/>
        </w:rPr>
        <w:t>a contractual one</w:t>
      </w:r>
      <w:r w:rsidR="00556C7F" w:rsidRPr="00E62423">
        <w:rPr>
          <w:rFonts w:ascii="Arial" w:hAnsi="Arial" w:cs="Arial"/>
          <w:sz w:val="24"/>
        </w:rPr>
        <w:t xml:space="preserve"> and </w:t>
      </w:r>
      <w:r w:rsidR="007760D2" w:rsidRPr="00E62423">
        <w:rPr>
          <w:rFonts w:ascii="Arial" w:hAnsi="Arial" w:cs="Arial"/>
          <w:sz w:val="24"/>
        </w:rPr>
        <w:t>said:</w:t>
      </w:r>
      <w:r w:rsidR="00EF2ED4">
        <w:rPr>
          <w:rStyle w:val="FootnoteReference"/>
          <w:rFonts w:ascii="Arial" w:hAnsi="Arial" w:cs="Arial"/>
          <w:sz w:val="24"/>
        </w:rPr>
        <w:footnoteReference w:id="6"/>
      </w:r>
    </w:p>
    <w:p w14:paraId="217D1766" w14:textId="77777777" w:rsidR="00E62423" w:rsidRPr="007760D2" w:rsidRDefault="00E62423" w:rsidP="00E62423">
      <w:pPr>
        <w:spacing w:line="480" w:lineRule="auto"/>
        <w:jc w:val="both"/>
        <w:rPr>
          <w:rFonts w:ascii="Arial" w:hAnsi="Arial" w:cs="Arial"/>
        </w:rPr>
      </w:pPr>
    </w:p>
    <w:p w14:paraId="56F776ED" w14:textId="77777777" w:rsidR="00E62423" w:rsidRPr="00F32D25" w:rsidRDefault="00BE1C47" w:rsidP="00E62423">
      <w:pPr>
        <w:pStyle w:val="NoSpacing"/>
        <w:spacing w:line="360" w:lineRule="auto"/>
        <w:ind w:left="720"/>
        <w:jc w:val="both"/>
        <w:rPr>
          <w:rFonts w:ascii="Arial" w:hAnsi="Arial" w:cs="Arial"/>
        </w:rPr>
      </w:pPr>
      <w:r>
        <w:rPr>
          <w:rFonts w:ascii="Arial" w:hAnsi="Arial" w:cs="Arial"/>
        </w:rPr>
        <w:t>‘</w:t>
      </w:r>
      <w:r w:rsidR="00C72876">
        <w:rPr>
          <w:rFonts w:ascii="Arial" w:hAnsi="Arial" w:cs="Arial"/>
        </w:rPr>
        <w:t>[18]</w:t>
      </w:r>
      <w:r w:rsidR="00C72876">
        <w:rPr>
          <w:rFonts w:ascii="Arial" w:hAnsi="Arial" w:cs="Arial"/>
        </w:rPr>
        <w:tab/>
      </w:r>
      <w:r>
        <w:rPr>
          <w:rFonts w:ascii="Arial" w:hAnsi="Arial" w:cs="Arial"/>
        </w:rPr>
        <w:t xml:space="preserve">. . . </w:t>
      </w:r>
      <w:r w:rsidR="00E62423" w:rsidRPr="00F32D25">
        <w:rPr>
          <w:rFonts w:ascii="Arial" w:hAnsi="Arial" w:cs="Arial"/>
        </w:rPr>
        <w:t>for that reason, it is clearly improper to then subject the respondents, as the applicant seeks to do, to the yoke of administrative law in cancelling the contract. If the respondents took the view that the contract wa</w:t>
      </w:r>
      <w:r w:rsidR="00E62423">
        <w:rPr>
          <w:rFonts w:ascii="Arial" w:hAnsi="Arial" w:cs="Arial"/>
        </w:rPr>
        <w:t xml:space="preserve">s unenforceable for any reason, </w:t>
      </w:r>
      <w:r w:rsidR="00E62423" w:rsidRPr="00F32D25">
        <w:rPr>
          <w:rFonts w:ascii="Arial" w:hAnsi="Arial" w:cs="Arial"/>
        </w:rPr>
        <w:t>the applicant does have effective remedies provided in the law of contract to deal with that situation.</w:t>
      </w:r>
    </w:p>
    <w:p w14:paraId="6E9A37E3" w14:textId="77777777" w:rsidR="00E62423" w:rsidRPr="00F32D25" w:rsidRDefault="00E62423" w:rsidP="00E62423">
      <w:pPr>
        <w:pStyle w:val="NoSpacing"/>
        <w:spacing w:line="360" w:lineRule="auto"/>
        <w:jc w:val="both"/>
        <w:rPr>
          <w:rFonts w:ascii="Arial" w:hAnsi="Arial" w:cs="Arial"/>
        </w:rPr>
      </w:pPr>
    </w:p>
    <w:p w14:paraId="2D5EFED8" w14:textId="77777777" w:rsidR="00E62423" w:rsidRPr="00F32D25" w:rsidRDefault="00C72876" w:rsidP="00E62423">
      <w:pPr>
        <w:pStyle w:val="NoSpacing"/>
        <w:spacing w:line="360" w:lineRule="auto"/>
        <w:ind w:left="720"/>
        <w:jc w:val="both"/>
        <w:rPr>
          <w:rFonts w:ascii="Arial" w:hAnsi="Arial" w:cs="Arial"/>
        </w:rPr>
      </w:pPr>
      <w:r>
        <w:rPr>
          <w:rFonts w:ascii="Arial" w:hAnsi="Arial" w:cs="Arial"/>
        </w:rPr>
        <w:t>[19]</w:t>
      </w:r>
      <w:r>
        <w:rPr>
          <w:rFonts w:ascii="Arial" w:hAnsi="Arial" w:cs="Arial"/>
        </w:rPr>
        <w:tab/>
      </w:r>
      <w:r w:rsidR="00E62423" w:rsidRPr="00F32D25">
        <w:rPr>
          <w:rFonts w:ascii="Arial" w:hAnsi="Arial" w:cs="Arial"/>
        </w:rPr>
        <w:t xml:space="preserve">For the applicant not only to blur but to </w:t>
      </w:r>
      <w:proofErr w:type="gramStart"/>
      <w:r w:rsidR="00E62423" w:rsidRPr="00F32D25">
        <w:rPr>
          <w:rFonts w:ascii="Arial" w:hAnsi="Arial" w:cs="Arial"/>
        </w:rPr>
        <w:t>actually cross</w:t>
      </w:r>
      <w:proofErr w:type="gramEnd"/>
      <w:r w:rsidR="00E62423" w:rsidRPr="00F32D25">
        <w:rPr>
          <w:rFonts w:ascii="Arial" w:hAnsi="Arial" w:cs="Arial"/>
        </w:rPr>
        <w:t xml:space="preserve"> the lines and seek redress from administrative law, when it is abundantly clear that the dispute arises in contract, is in my view impermissible and that is the effect of the judgments quoted </w:t>
      </w:r>
      <w:r w:rsidR="00E62423" w:rsidRPr="00F32D25">
        <w:rPr>
          <w:rFonts w:ascii="Arial" w:hAnsi="Arial" w:cs="Arial"/>
        </w:rPr>
        <w:lastRenderedPageBreak/>
        <w:t>above, which resonate with my own views. I am of the view that the application should fail for that reason. The applicant, by seeking umbrage in administrative law, is</w:t>
      </w:r>
      <w:r>
        <w:rPr>
          <w:rFonts w:ascii="Arial" w:hAnsi="Arial" w:cs="Arial"/>
        </w:rPr>
        <w:t xml:space="preserve"> clearly barking the wrong tree.</w:t>
      </w:r>
      <w:r w:rsidR="00E62423" w:rsidRPr="00F32D25">
        <w:rPr>
          <w:rFonts w:ascii="Arial" w:hAnsi="Arial" w:cs="Arial"/>
        </w:rPr>
        <w:t>’</w:t>
      </w:r>
      <w:r w:rsidR="00E62423" w:rsidRPr="00F32D25">
        <w:rPr>
          <w:rFonts w:ascii="Arial" w:hAnsi="Arial" w:cs="Arial"/>
          <w:i/>
        </w:rPr>
        <w:t>(sic)</w:t>
      </w:r>
    </w:p>
    <w:p w14:paraId="30637637" w14:textId="77777777" w:rsidR="00302B19" w:rsidRPr="00F32D25" w:rsidRDefault="00302B19" w:rsidP="00E62423">
      <w:pPr>
        <w:pStyle w:val="NoSpacing"/>
        <w:spacing w:line="480" w:lineRule="auto"/>
        <w:jc w:val="both"/>
        <w:rPr>
          <w:rFonts w:ascii="Arial" w:hAnsi="Arial" w:cs="Arial"/>
          <w:sz w:val="24"/>
          <w:szCs w:val="24"/>
        </w:rPr>
      </w:pPr>
    </w:p>
    <w:p w14:paraId="72BAFC56" w14:textId="77777777" w:rsidR="00E62423" w:rsidRPr="00E62423" w:rsidRDefault="00E62423" w:rsidP="00E62423">
      <w:pPr>
        <w:pStyle w:val="NoSpacing"/>
        <w:spacing w:line="480" w:lineRule="auto"/>
        <w:jc w:val="both"/>
        <w:rPr>
          <w:rFonts w:ascii="Arial" w:hAnsi="Arial" w:cs="Arial"/>
          <w:i/>
          <w:sz w:val="24"/>
          <w:szCs w:val="24"/>
        </w:rPr>
      </w:pPr>
      <w:r w:rsidRPr="00F32D25">
        <w:rPr>
          <w:rFonts w:ascii="Arial" w:hAnsi="Arial" w:cs="Arial"/>
          <w:i/>
          <w:sz w:val="24"/>
          <w:szCs w:val="24"/>
        </w:rPr>
        <w:t xml:space="preserve">The </w:t>
      </w:r>
      <w:proofErr w:type="gramStart"/>
      <w:r w:rsidRPr="00F32D25">
        <w:rPr>
          <w:rFonts w:ascii="Arial" w:hAnsi="Arial" w:cs="Arial"/>
          <w:i/>
          <w:sz w:val="24"/>
          <w:szCs w:val="24"/>
        </w:rPr>
        <w:t>counter-application</w:t>
      </w:r>
      <w:proofErr w:type="gramEnd"/>
    </w:p>
    <w:p w14:paraId="0A6F5FB7" w14:textId="77777777" w:rsidR="00E62423" w:rsidRPr="00E62423" w:rsidRDefault="00356F76" w:rsidP="00356F76">
      <w:pPr>
        <w:pStyle w:val="NoSpacing"/>
        <w:spacing w:line="480" w:lineRule="auto"/>
        <w:jc w:val="both"/>
        <w:rPr>
          <w:rFonts w:ascii="Arial" w:hAnsi="Arial" w:cs="Arial"/>
          <w:sz w:val="24"/>
        </w:rPr>
      </w:pPr>
      <w:r>
        <w:rPr>
          <w:rFonts w:ascii="Arial" w:hAnsi="Arial" w:cs="Arial"/>
          <w:sz w:val="24"/>
          <w:szCs w:val="24"/>
        </w:rPr>
        <w:t>[23]</w:t>
      </w:r>
      <w:r>
        <w:rPr>
          <w:rFonts w:ascii="Arial" w:hAnsi="Arial" w:cs="Arial"/>
          <w:sz w:val="24"/>
          <w:szCs w:val="24"/>
        </w:rPr>
        <w:tab/>
      </w:r>
      <w:r w:rsidR="00556C7F" w:rsidRPr="00E62423">
        <w:rPr>
          <w:rFonts w:ascii="Arial" w:hAnsi="Arial" w:cs="Arial"/>
          <w:sz w:val="24"/>
          <w:szCs w:val="24"/>
        </w:rPr>
        <w:t xml:space="preserve">In the </w:t>
      </w:r>
      <w:proofErr w:type="gramStart"/>
      <w:r w:rsidR="00556C7F" w:rsidRPr="00E62423">
        <w:rPr>
          <w:rFonts w:ascii="Arial" w:hAnsi="Arial" w:cs="Arial"/>
          <w:sz w:val="24"/>
          <w:szCs w:val="24"/>
        </w:rPr>
        <w:t>counter-application</w:t>
      </w:r>
      <w:proofErr w:type="gramEnd"/>
      <w:r w:rsidR="00556C7F" w:rsidRPr="00E62423">
        <w:rPr>
          <w:rFonts w:ascii="Arial" w:hAnsi="Arial" w:cs="Arial"/>
          <w:sz w:val="24"/>
          <w:szCs w:val="24"/>
        </w:rPr>
        <w:t xml:space="preserve">, the respondents claim that the conclusion of the contract </w:t>
      </w:r>
      <w:r w:rsidR="00556C7F" w:rsidRPr="00E62423">
        <w:rPr>
          <w:rFonts w:ascii="Arial" w:hAnsi="Arial" w:cs="Arial"/>
          <w:i/>
          <w:sz w:val="24"/>
          <w:szCs w:val="24"/>
        </w:rPr>
        <w:t xml:space="preserve">inter </w:t>
      </w:r>
      <w:proofErr w:type="spellStart"/>
      <w:r w:rsidR="00556C7F" w:rsidRPr="00E62423">
        <w:rPr>
          <w:rFonts w:ascii="Arial" w:hAnsi="Arial" w:cs="Arial"/>
          <w:i/>
          <w:sz w:val="24"/>
          <w:szCs w:val="24"/>
        </w:rPr>
        <w:t>partes</w:t>
      </w:r>
      <w:proofErr w:type="spellEnd"/>
      <w:r w:rsidR="00556C7F" w:rsidRPr="00E62423">
        <w:rPr>
          <w:rFonts w:ascii="Arial" w:hAnsi="Arial" w:cs="Arial"/>
          <w:i/>
          <w:sz w:val="24"/>
          <w:szCs w:val="24"/>
        </w:rPr>
        <w:t xml:space="preserve">, </w:t>
      </w:r>
      <w:r w:rsidR="00556C7F" w:rsidRPr="00E62423">
        <w:rPr>
          <w:rFonts w:ascii="Arial" w:hAnsi="Arial" w:cs="Arial"/>
          <w:sz w:val="24"/>
          <w:szCs w:val="24"/>
        </w:rPr>
        <w:t>was not in keeping with the relevant legislation. In this regard, the court was referred to s</w:t>
      </w:r>
      <w:r w:rsidR="00C72876">
        <w:rPr>
          <w:rFonts w:ascii="Arial" w:hAnsi="Arial" w:cs="Arial"/>
          <w:sz w:val="24"/>
          <w:szCs w:val="24"/>
        </w:rPr>
        <w:t>s 7</w:t>
      </w:r>
      <w:r w:rsidR="006D6824" w:rsidRPr="00E62423">
        <w:rPr>
          <w:rFonts w:ascii="Arial" w:hAnsi="Arial" w:cs="Arial"/>
          <w:sz w:val="24"/>
          <w:szCs w:val="24"/>
        </w:rPr>
        <w:t>(1)</w:t>
      </w:r>
      <w:r w:rsidR="006D6824" w:rsidRPr="00C72876">
        <w:rPr>
          <w:rFonts w:ascii="Arial" w:hAnsi="Arial" w:cs="Arial"/>
          <w:i/>
          <w:sz w:val="24"/>
          <w:szCs w:val="24"/>
        </w:rPr>
        <w:t>(a)</w:t>
      </w:r>
      <w:r w:rsidR="006D6824" w:rsidRPr="00E62423">
        <w:rPr>
          <w:rFonts w:ascii="Arial" w:hAnsi="Arial" w:cs="Arial"/>
          <w:sz w:val="24"/>
          <w:szCs w:val="24"/>
        </w:rPr>
        <w:t xml:space="preserve"> and</w:t>
      </w:r>
      <w:r w:rsidR="00556C7F" w:rsidRPr="00E62423">
        <w:rPr>
          <w:rFonts w:ascii="Arial" w:hAnsi="Arial" w:cs="Arial"/>
          <w:sz w:val="24"/>
          <w:szCs w:val="24"/>
        </w:rPr>
        <w:t xml:space="preserve"> 16(2)</w:t>
      </w:r>
      <w:r w:rsidR="00556C7F" w:rsidRPr="00C72876">
        <w:rPr>
          <w:rFonts w:ascii="Arial" w:hAnsi="Arial" w:cs="Arial"/>
          <w:i/>
          <w:sz w:val="24"/>
          <w:szCs w:val="24"/>
        </w:rPr>
        <w:t>(a)</w:t>
      </w:r>
      <w:r w:rsidR="00556C7F" w:rsidRPr="00E62423">
        <w:rPr>
          <w:rFonts w:ascii="Arial" w:hAnsi="Arial" w:cs="Arial"/>
          <w:sz w:val="24"/>
          <w:szCs w:val="24"/>
        </w:rPr>
        <w:t xml:space="preserve"> of the Tender Board</w:t>
      </w:r>
      <w:r w:rsidR="00C72876">
        <w:rPr>
          <w:rFonts w:ascii="Arial" w:hAnsi="Arial" w:cs="Arial"/>
          <w:sz w:val="24"/>
          <w:szCs w:val="24"/>
        </w:rPr>
        <w:t xml:space="preserve"> of Namibia</w:t>
      </w:r>
      <w:r w:rsidR="00556C7F" w:rsidRPr="00E62423">
        <w:rPr>
          <w:rFonts w:ascii="Arial" w:hAnsi="Arial" w:cs="Arial"/>
          <w:sz w:val="24"/>
          <w:szCs w:val="24"/>
        </w:rPr>
        <w:t xml:space="preserve"> Act</w:t>
      </w:r>
      <w:r w:rsidR="00C72876">
        <w:rPr>
          <w:rFonts w:ascii="Arial" w:hAnsi="Arial" w:cs="Arial"/>
          <w:sz w:val="24"/>
          <w:szCs w:val="24"/>
        </w:rPr>
        <w:t xml:space="preserve"> 16 of 1996 (the Act or the repealed Act)</w:t>
      </w:r>
      <w:r w:rsidR="00EF2ED4" w:rsidRPr="00E62423">
        <w:rPr>
          <w:rFonts w:ascii="Arial" w:hAnsi="Arial" w:cs="Arial"/>
          <w:sz w:val="24"/>
          <w:szCs w:val="24"/>
        </w:rPr>
        <w:t>.</w:t>
      </w:r>
      <w:r w:rsidR="00C72876" w:rsidRPr="00E62423">
        <w:rPr>
          <w:rFonts w:ascii="Arial" w:hAnsi="Arial" w:cs="Arial"/>
          <w:sz w:val="24"/>
          <w:szCs w:val="24"/>
        </w:rPr>
        <w:t xml:space="preserve"> </w:t>
      </w:r>
      <w:r w:rsidR="006D6824" w:rsidRPr="00E62423">
        <w:rPr>
          <w:rFonts w:ascii="Arial" w:hAnsi="Arial" w:cs="Arial"/>
          <w:sz w:val="24"/>
          <w:szCs w:val="24"/>
        </w:rPr>
        <w:t xml:space="preserve">The appellant on the other hand denied that the agreement was signed outside the scope of the Act. It contended that the Permanent Secretary </w:t>
      </w:r>
      <w:r w:rsidR="00EA20AB" w:rsidRPr="00E62423">
        <w:rPr>
          <w:rFonts w:ascii="Arial" w:hAnsi="Arial" w:cs="Arial"/>
          <w:sz w:val="24"/>
          <w:szCs w:val="24"/>
        </w:rPr>
        <w:t>of</w:t>
      </w:r>
      <w:r w:rsidR="006D6824" w:rsidRPr="00E62423">
        <w:rPr>
          <w:rFonts w:ascii="Arial" w:hAnsi="Arial" w:cs="Arial"/>
          <w:sz w:val="24"/>
          <w:szCs w:val="24"/>
        </w:rPr>
        <w:t xml:space="preserve"> the Office of the Prime Minister was, in terms of s 18 of the Act, a delegee of the </w:t>
      </w:r>
      <w:r w:rsidR="00C72876">
        <w:rPr>
          <w:rFonts w:ascii="Arial" w:hAnsi="Arial" w:cs="Arial"/>
          <w:sz w:val="24"/>
          <w:szCs w:val="24"/>
        </w:rPr>
        <w:t>b</w:t>
      </w:r>
      <w:r w:rsidR="006D6824" w:rsidRPr="00E62423">
        <w:rPr>
          <w:rFonts w:ascii="Arial" w:hAnsi="Arial" w:cs="Arial"/>
          <w:sz w:val="24"/>
          <w:szCs w:val="24"/>
        </w:rPr>
        <w:t xml:space="preserve">oard and was thus authorised to sign the agreement. </w:t>
      </w:r>
    </w:p>
    <w:p w14:paraId="6DB79551" w14:textId="77777777" w:rsidR="00E62423" w:rsidRDefault="00E62423" w:rsidP="00E62423">
      <w:pPr>
        <w:pStyle w:val="NoSpacing"/>
        <w:spacing w:line="480" w:lineRule="auto"/>
        <w:jc w:val="both"/>
        <w:rPr>
          <w:rFonts w:ascii="Arial" w:hAnsi="Arial" w:cs="Arial"/>
          <w:sz w:val="24"/>
        </w:rPr>
      </w:pPr>
    </w:p>
    <w:p w14:paraId="36E83A37" w14:textId="77777777" w:rsidR="00E62423" w:rsidRDefault="00356F76" w:rsidP="00356F76">
      <w:pPr>
        <w:pStyle w:val="NoSpacing"/>
        <w:spacing w:line="480" w:lineRule="auto"/>
        <w:jc w:val="both"/>
        <w:rPr>
          <w:rFonts w:ascii="Arial" w:hAnsi="Arial" w:cs="Arial"/>
          <w:sz w:val="24"/>
        </w:rPr>
      </w:pPr>
      <w:r>
        <w:rPr>
          <w:rFonts w:ascii="Arial" w:hAnsi="Arial" w:cs="Arial"/>
          <w:sz w:val="24"/>
          <w:szCs w:val="24"/>
        </w:rPr>
        <w:t>[24]</w:t>
      </w:r>
      <w:r>
        <w:rPr>
          <w:rFonts w:ascii="Arial" w:hAnsi="Arial" w:cs="Arial"/>
          <w:sz w:val="24"/>
          <w:szCs w:val="24"/>
        </w:rPr>
        <w:tab/>
      </w:r>
      <w:r w:rsidR="005B1E3E">
        <w:rPr>
          <w:rFonts w:ascii="Arial" w:hAnsi="Arial" w:cs="Arial"/>
          <w:sz w:val="24"/>
          <w:szCs w:val="24"/>
        </w:rPr>
        <w:t>The c</w:t>
      </w:r>
      <w:r w:rsidR="006D6824" w:rsidRPr="00E62423">
        <w:rPr>
          <w:rFonts w:ascii="Arial" w:hAnsi="Arial" w:cs="Arial"/>
          <w:sz w:val="24"/>
          <w:szCs w:val="24"/>
        </w:rPr>
        <w:t>ourt</w:t>
      </w:r>
      <w:r>
        <w:rPr>
          <w:rFonts w:ascii="Arial" w:hAnsi="Arial" w:cs="Arial"/>
          <w:sz w:val="24"/>
          <w:szCs w:val="24"/>
        </w:rPr>
        <w:t xml:space="preserve"> in its findings</w:t>
      </w:r>
      <w:r w:rsidR="006D6824" w:rsidRPr="00E62423">
        <w:rPr>
          <w:rFonts w:ascii="Arial" w:hAnsi="Arial" w:cs="Arial"/>
          <w:sz w:val="24"/>
          <w:szCs w:val="24"/>
        </w:rPr>
        <w:t xml:space="preserve"> reasoned that, in the process of contracting with the </w:t>
      </w:r>
      <w:r w:rsidR="005B1E3E">
        <w:rPr>
          <w:rFonts w:ascii="Arial" w:hAnsi="Arial" w:cs="Arial"/>
          <w:sz w:val="24"/>
          <w:szCs w:val="24"/>
        </w:rPr>
        <w:t>b</w:t>
      </w:r>
      <w:r w:rsidR="006D6824" w:rsidRPr="00E62423">
        <w:rPr>
          <w:rFonts w:ascii="Arial" w:hAnsi="Arial" w:cs="Arial"/>
          <w:sz w:val="24"/>
          <w:szCs w:val="24"/>
        </w:rPr>
        <w:t>oard</w:t>
      </w:r>
      <w:r w:rsidR="00E079B8" w:rsidRPr="00E62423">
        <w:rPr>
          <w:rFonts w:ascii="Arial" w:hAnsi="Arial" w:cs="Arial"/>
          <w:sz w:val="24"/>
          <w:szCs w:val="24"/>
        </w:rPr>
        <w:t>,</w:t>
      </w:r>
      <w:r w:rsidR="006D6824" w:rsidRPr="00E62423">
        <w:rPr>
          <w:rFonts w:ascii="Arial" w:hAnsi="Arial" w:cs="Arial"/>
          <w:sz w:val="24"/>
          <w:szCs w:val="24"/>
        </w:rPr>
        <w:t xml:space="preserve"> the </w:t>
      </w:r>
      <w:r w:rsidR="00556C7F" w:rsidRPr="00E62423">
        <w:rPr>
          <w:rFonts w:ascii="Arial" w:hAnsi="Arial" w:cs="Arial"/>
          <w:sz w:val="24"/>
          <w:szCs w:val="24"/>
        </w:rPr>
        <w:t xml:space="preserve">first step </w:t>
      </w:r>
      <w:r w:rsidR="006D6824" w:rsidRPr="00E62423">
        <w:rPr>
          <w:rFonts w:ascii="Arial" w:hAnsi="Arial" w:cs="Arial"/>
          <w:sz w:val="24"/>
          <w:szCs w:val="24"/>
        </w:rPr>
        <w:t>was</w:t>
      </w:r>
      <w:r w:rsidR="00556C7F" w:rsidRPr="00E62423">
        <w:rPr>
          <w:rFonts w:ascii="Arial" w:hAnsi="Arial" w:cs="Arial"/>
          <w:sz w:val="24"/>
          <w:szCs w:val="24"/>
        </w:rPr>
        <w:t xml:space="preserve"> that </w:t>
      </w:r>
      <w:r w:rsidR="006D6824" w:rsidRPr="00E62423">
        <w:rPr>
          <w:rFonts w:ascii="Arial" w:hAnsi="Arial" w:cs="Arial"/>
          <w:sz w:val="24"/>
          <w:szCs w:val="24"/>
        </w:rPr>
        <w:t>a</w:t>
      </w:r>
      <w:r w:rsidR="00556C7F" w:rsidRPr="00E62423">
        <w:rPr>
          <w:rFonts w:ascii="Arial" w:hAnsi="Arial" w:cs="Arial"/>
          <w:sz w:val="24"/>
          <w:szCs w:val="24"/>
        </w:rPr>
        <w:t xml:space="preserve"> tenderer must accept the tender awarded. A further step, which ha</w:t>
      </w:r>
      <w:r w:rsidR="006D6824" w:rsidRPr="00E62423">
        <w:rPr>
          <w:rFonts w:ascii="Arial" w:hAnsi="Arial" w:cs="Arial"/>
          <w:sz w:val="24"/>
          <w:szCs w:val="24"/>
        </w:rPr>
        <w:t>d</w:t>
      </w:r>
      <w:r w:rsidR="00556C7F" w:rsidRPr="00E62423">
        <w:rPr>
          <w:rFonts w:ascii="Arial" w:hAnsi="Arial" w:cs="Arial"/>
          <w:sz w:val="24"/>
          <w:szCs w:val="24"/>
        </w:rPr>
        <w:t xml:space="preserve"> legal consequences flowing from it, </w:t>
      </w:r>
      <w:r w:rsidR="006D6824" w:rsidRPr="00E62423">
        <w:rPr>
          <w:rFonts w:ascii="Arial" w:hAnsi="Arial" w:cs="Arial"/>
          <w:sz w:val="24"/>
          <w:szCs w:val="24"/>
        </w:rPr>
        <w:t>was</w:t>
      </w:r>
      <w:r w:rsidR="00556C7F" w:rsidRPr="00E62423">
        <w:rPr>
          <w:rFonts w:ascii="Arial" w:hAnsi="Arial" w:cs="Arial"/>
          <w:sz w:val="24"/>
          <w:szCs w:val="24"/>
        </w:rPr>
        <w:t xml:space="preserve"> then</w:t>
      </w:r>
      <w:r w:rsidR="000E49E8" w:rsidRPr="00E62423">
        <w:rPr>
          <w:rFonts w:ascii="Arial" w:hAnsi="Arial" w:cs="Arial"/>
          <w:sz w:val="24"/>
          <w:szCs w:val="24"/>
        </w:rPr>
        <w:t xml:space="preserve"> required to be taken within 30 </w:t>
      </w:r>
      <w:r w:rsidR="00556C7F" w:rsidRPr="00E62423">
        <w:rPr>
          <w:rFonts w:ascii="Arial" w:hAnsi="Arial" w:cs="Arial"/>
          <w:sz w:val="24"/>
          <w:szCs w:val="24"/>
        </w:rPr>
        <w:t>days of the notification of the award of the tender</w:t>
      </w:r>
      <w:r w:rsidR="006D6824" w:rsidRPr="00E62423">
        <w:rPr>
          <w:rFonts w:ascii="Arial" w:hAnsi="Arial" w:cs="Arial"/>
          <w:sz w:val="24"/>
          <w:szCs w:val="24"/>
        </w:rPr>
        <w:t xml:space="preserve"> namely</w:t>
      </w:r>
      <w:r w:rsidR="00E06AC7" w:rsidRPr="00E62423">
        <w:rPr>
          <w:rFonts w:ascii="Arial" w:hAnsi="Arial" w:cs="Arial"/>
          <w:sz w:val="24"/>
          <w:szCs w:val="24"/>
        </w:rPr>
        <w:t>,</w:t>
      </w:r>
      <w:r w:rsidR="00556C7F" w:rsidRPr="00E62423">
        <w:rPr>
          <w:rFonts w:ascii="Arial" w:hAnsi="Arial" w:cs="Arial"/>
          <w:sz w:val="24"/>
          <w:szCs w:val="24"/>
        </w:rPr>
        <w:t xml:space="preserve"> the conclusion of the contract between the </w:t>
      </w:r>
      <w:r w:rsidR="004D166A" w:rsidRPr="00E62423">
        <w:rPr>
          <w:rFonts w:ascii="Arial" w:hAnsi="Arial" w:cs="Arial"/>
          <w:sz w:val="24"/>
          <w:szCs w:val="24"/>
        </w:rPr>
        <w:t>tenderer, which</w:t>
      </w:r>
      <w:r w:rsidR="00556C7F" w:rsidRPr="00E62423">
        <w:rPr>
          <w:rFonts w:ascii="Arial" w:hAnsi="Arial" w:cs="Arial"/>
          <w:sz w:val="24"/>
          <w:szCs w:val="24"/>
        </w:rPr>
        <w:t xml:space="preserve"> has accepted the tender awarded, and the </w:t>
      </w:r>
      <w:r w:rsidR="005B1E3E">
        <w:rPr>
          <w:rFonts w:ascii="Arial" w:hAnsi="Arial" w:cs="Arial"/>
          <w:sz w:val="24"/>
          <w:szCs w:val="24"/>
        </w:rPr>
        <w:t>b</w:t>
      </w:r>
      <w:r w:rsidR="00556C7F" w:rsidRPr="00E62423">
        <w:rPr>
          <w:rFonts w:ascii="Arial" w:hAnsi="Arial" w:cs="Arial"/>
          <w:sz w:val="24"/>
          <w:szCs w:val="24"/>
        </w:rPr>
        <w:t>oard.</w:t>
      </w:r>
    </w:p>
    <w:p w14:paraId="060E1824" w14:textId="77777777" w:rsidR="00E62423" w:rsidRPr="00BE1C47" w:rsidRDefault="00E62423" w:rsidP="00BE1C47">
      <w:pPr>
        <w:spacing w:line="480" w:lineRule="auto"/>
        <w:rPr>
          <w:rFonts w:ascii="Arial" w:hAnsi="Arial" w:cs="Arial"/>
          <w:sz w:val="24"/>
        </w:rPr>
      </w:pPr>
    </w:p>
    <w:p w14:paraId="65C0CD7B" w14:textId="77777777" w:rsidR="00E62423" w:rsidRDefault="00356F76" w:rsidP="00356F76">
      <w:pPr>
        <w:pStyle w:val="NoSpacing"/>
        <w:spacing w:line="480" w:lineRule="auto"/>
        <w:jc w:val="both"/>
        <w:rPr>
          <w:rFonts w:ascii="Arial" w:hAnsi="Arial" w:cs="Arial"/>
          <w:sz w:val="24"/>
        </w:rPr>
      </w:pPr>
      <w:r>
        <w:rPr>
          <w:rFonts w:ascii="Arial" w:hAnsi="Arial" w:cs="Arial"/>
          <w:sz w:val="24"/>
        </w:rPr>
        <w:t>[25]</w:t>
      </w:r>
      <w:r>
        <w:rPr>
          <w:rFonts w:ascii="Arial" w:hAnsi="Arial" w:cs="Arial"/>
          <w:sz w:val="24"/>
        </w:rPr>
        <w:tab/>
      </w:r>
      <w:r w:rsidR="006D6824" w:rsidRPr="00E62423">
        <w:rPr>
          <w:rFonts w:ascii="Arial" w:hAnsi="Arial" w:cs="Arial"/>
          <w:sz w:val="24"/>
        </w:rPr>
        <w:t>The High Court further found that</w:t>
      </w:r>
      <w:r w:rsidR="00E06AC7" w:rsidRPr="00E62423">
        <w:rPr>
          <w:rFonts w:ascii="Arial" w:hAnsi="Arial" w:cs="Arial"/>
          <w:sz w:val="24"/>
        </w:rPr>
        <w:t>,</w:t>
      </w:r>
      <w:r w:rsidR="006D6824" w:rsidRPr="00E62423">
        <w:rPr>
          <w:rFonts w:ascii="Arial" w:hAnsi="Arial" w:cs="Arial"/>
          <w:sz w:val="24"/>
        </w:rPr>
        <w:t xml:space="preserve"> </w:t>
      </w:r>
      <w:r w:rsidR="00556C7F" w:rsidRPr="00E62423">
        <w:rPr>
          <w:rFonts w:ascii="Arial" w:hAnsi="Arial" w:cs="Arial"/>
          <w:sz w:val="24"/>
        </w:rPr>
        <w:t xml:space="preserve">although the tender was awarded to the </w:t>
      </w:r>
      <w:r w:rsidR="003674D9" w:rsidRPr="00E62423">
        <w:rPr>
          <w:rFonts w:ascii="Arial" w:hAnsi="Arial" w:cs="Arial"/>
          <w:sz w:val="24"/>
        </w:rPr>
        <w:t>appellant</w:t>
      </w:r>
      <w:r w:rsidR="00556C7F" w:rsidRPr="00E62423">
        <w:rPr>
          <w:rFonts w:ascii="Arial" w:hAnsi="Arial" w:cs="Arial"/>
          <w:sz w:val="24"/>
        </w:rPr>
        <w:t xml:space="preserve"> and that it was duly accepted, there was no entry into the agreement by the </w:t>
      </w:r>
      <w:r w:rsidR="003674D9" w:rsidRPr="00E62423">
        <w:rPr>
          <w:rFonts w:ascii="Arial" w:hAnsi="Arial" w:cs="Arial"/>
          <w:sz w:val="24"/>
        </w:rPr>
        <w:t>appellant</w:t>
      </w:r>
      <w:r w:rsidR="00556C7F" w:rsidRPr="00E62423">
        <w:rPr>
          <w:rFonts w:ascii="Arial" w:hAnsi="Arial" w:cs="Arial"/>
          <w:sz w:val="24"/>
        </w:rPr>
        <w:t xml:space="preserve"> and the </w:t>
      </w:r>
      <w:r w:rsidR="00372786">
        <w:rPr>
          <w:rFonts w:ascii="Arial" w:hAnsi="Arial" w:cs="Arial"/>
          <w:sz w:val="24"/>
        </w:rPr>
        <w:t>b</w:t>
      </w:r>
      <w:r w:rsidR="00556C7F" w:rsidRPr="00E62423">
        <w:rPr>
          <w:rFonts w:ascii="Arial" w:hAnsi="Arial" w:cs="Arial"/>
          <w:sz w:val="24"/>
        </w:rPr>
        <w:t>oard within the peri</w:t>
      </w:r>
      <w:r w:rsidR="000E49E8" w:rsidRPr="00E62423">
        <w:rPr>
          <w:rFonts w:ascii="Arial" w:hAnsi="Arial" w:cs="Arial"/>
          <w:sz w:val="24"/>
        </w:rPr>
        <w:t>od of 30 days from the appellant</w:t>
      </w:r>
      <w:r w:rsidR="00556C7F" w:rsidRPr="00E62423">
        <w:rPr>
          <w:rFonts w:ascii="Arial" w:hAnsi="Arial" w:cs="Arial"/>
          <w:sz w:val="24"/>
        </w:rPr>
        <w:t xml:space="preserve"> being notified of the award. Nor, withi</w:t>
      </w:r>
      <w:r w:rsidR="00BE1C47">
        <w:rPr>
          <w:rFonts w:ascii="Arial" w:hAnsi="Arial" w:cs="Arial"/>
          <w:sz w:val="24"/>
        </w:rPr>
        <w:t>n any extended period that the b</w:t>
      </w:r>
      <w:r w:rsidR="00556C7F" w:rsidRPr="00E62423">
        <w:rPr>
          <w:rFonts w:ascii="Arial" w:hAnsi="Arial" w:cs="Arial"/>
          <w:sz w:val="24"/>
        </w:rPr>
        <w:t xml:space="preserve">oard may have granted. </w:t>
      </w:r>
      <w:r w:rsidR="00372786">
        <w:rPr>
          <w:rFonts w:ascii="Arial" w:hAnsi="Arial" w:cs="Arial"/>
          <w:sz w:val="24"/>
        </w:rPr>
        <w:t>The c</w:t>
      </w:r>
      <w:r w:rsidR="003674D9" w:rsidRPr="00E62423">
        <w:rPr>
          <w:rFonts w:ascii="Arial" w:hAnsi="Arial" w:cs="Arial"/>
          <w:sz w:val="24"/>
        </w:rPr>
        <w:t>ourt further found that no</w:t>
      </w:r>
      <w:r w:rsidR="00556C7F" w:rsidRPr="00E62423">
        <w:rPr>
          <w:rFonts w:ascii="Arial" w:hAnsi="Arial" w:cs="Arial"/>
          <w:sz w:val="24"/>
        </w:rPr>
        <w:t xml:space="preserve"> agreement</w:t>
      </w:r>
      <w:r w:rsidR="00E06AC7" w:rsidRPr="00E62423">
        <w:rPr>
          <w:rFonts w:ascii="Arial" w:hAnsi="Arial" w:cs="Arial"/>
          <w:sz w:val="24"/>
        </w:rPr>
        <w:t>,</w:t>
      </w:r>
      <w:r w:rsidR="00556C7F" w:rsidRPr="00E62423">
        <w:rPr>
          <w:rFonts w:ascii="Arial" w:hAnsi="Arial" w:cs="Arial"/>
          <w:sz w:val="24"/>
        </w:rPr>
        <w:t xml:space="preserve"> after the acceptance of the award by the app</w:t>
      </w:r>
      <w:r w:rsidR="003674D9" w:rsidRPr="00E62423">
        <w:rPr>
          <w:rFonts w:ascii="Arial" w:hAnsi="Arial" w:cs="Arial"/>
          <w:sz w:val="24"/>
        </w:rPr>
        <w:t>ellant</w:t>
      </w:r>
      <w:r w:rsidR="00556C7F" w:rsidRPr="00E62423">
        <w:rPr>
          <w:rFonts w:ascii="Arial" w:hAnsi="Arial" w:cs="Arial"/>
          <w:sz w:val="24"/>
        </w:rPr>
        <w:t>, was ever entered into between the parties</w:t>
      </w:r>
      <w:r w:rsidR="00154D2E" w:rsidRPr="00E62423">
        <w:rPr>
          <w:rFonts w:ascii="Arial" w:hAnsi="Arial" w:cs="Arial"/>
          <w:sz w:val="24"/>
        </w:rPr>
        <w:t xml:space="preserve"> (that is the </w:t>
      </w:r>
      <w:r w:rsidR="00154D2E" w:rsidRPr="00E62423">
        <w:rPr>
          <w:rFonts w:ascii="Arial" w:hAnsi="Arial" w:cs="Arial"/>
          <w:sz w:val="24"/>
        </w:rPr>
        <w:lastRenderedPageBreak/>
        <w:t xml:space="preserve">appellant and the </w:t>
      </w:r>
      <w:r w:rsidR="00372786">
        <w:rPr>
          <w:rFonts w:ascii="Arial" w:hAnsi="Arial" w:cs="Arial"/>
          <w:sz w:val="24"/>
        </w:rPr>
        <w:t>b</w:t>
      </w:r>
      <w:r w:rsidR="00154D2E" w:rsidRPr="00E62423">
        <w:rPr>
          <w:rFonts w:ascii="Arial" w:hAnsi="Arial" w:cs="Arial"/>
          <w:sz w:val="24"/>
        </w:rPr>
        <w:t>oard)</w:t>
      </w:r>
      <w:r w:rsidR="001F7BB1" w:rsidRPr="00E62423">
        <w:rPr>
          <w:rFonts w:ascii="Arial" w:hAnsi="Arial" w:cs="Arial"/>
          <w:sz w:val="24"/>
        </w:rPr>
        <w:t xml:space="preserve"> </w:t>
      </w:r>
      <w:r w:rsidR="00556C7F" w:rsidRPr="00E62423">
        <w:rPr>
          <w:rFonts w:ascii="Arial" w:hAnsi="Arial" w:cs="Arial"/>
          <w:sz w:val="24"/>
        </w:rPr>
        <w:t>which would give rise to an enforceable contract in terms of the law.</w:t>
      </w:r>
    </w:p>
    <w:p w14:paraId="3097CE90" w14:textId="77777777" w:rsidR="00E62423" w:rsidRPr="00BE1C47" w:rsidRDefault="00E62423" w:rsidP="00BE1C47">
      <w:pPr>
        <w:spacing w:line="480" w:lineRule="auto"/>
        <w:rPr>
          <w:rFonts w:ascii="Arial" w:hAnsi="Arial" w:cs="Arial"/>
          <w:sz w:val="24"/>
        </w:rPr>
      </w:pPr>
    </w:p>
    <w:p w14:paraId="4ADC2CD9" w14:textId="77777777" w:rsidR="004C4C38" w:rsidRDefault="00356F76" w:rsidP="00372786">
      <w:pPr>
        <w:pStyle w:val="NoSpacing"/>
        <w:spacing w:line="480" w:lineRule="auto"/>
        <w:jc w:val="both"/>
        <w:rPr>
          <w:rFonts w:ascii="Arial" w:hAnsi="Arial" w:cs="Arial"/>
          <w:sz w:val="24"/>
          <w:lang w:val="en-US"/>
        </w:rPr>
      </w:pPr>
      <w:r>
        <w:rPr>
          <w:rFonts w:ascii="Arial" w:hAnsi="Arial" w:cs="Arial"/>
          <w:sz w:val="24"/>
        </w:rPr>
        <w:t>[26]</w:t>
      </w:r>
      <w:r>
        <w:rPr>
          <w:rFonts w:ascii="Arial" w:hAnsi="Arial" w:cs="Arial"/>
          <w:sz w:val="24"/>
        </w:rPr>
        <w:tab/>
      </w:r>
      <w:r w:rsidR="00DF5B61">
        <w:rPr>
          <w:rFonts w:ascii="Arial" w:hAnsi="Arial" w:cs="Arial"/>
          <w:sz w:val="24"/>
        </w:rPr>
        <w:t>As I indicated earlier t</w:t>
      </w:r>
      <w:r w:rsidR="00AD2C5C">
        <w:rPr>
          <w:rFonts w:ascii="Arial" w:hAnsi="Arial" w:cs="Arial"/>
          <w:sz w:val="24"/>
        </w:rPr>
        <w:t>he c</w:t>
      </w:r>
      <w:r w:rsidR="003674D9" w:rsidRPr="00E62423">
        <w:rPr>
          <w:rFonts w:ascii="Arial" w:hAnsi="Arial" w:cs="Arial"/>
          <w:sz w:val="24"/>
        </w:rPr>
        <w:t>ourt</w:t>
      </w:r>
      <w:r w:rsidR="00372786">
        <w:rPr>
          <w:rFonts w:ascii="Arial" w:hAnsi="Arial" w:cs="Arial"/>
          <w:sz w:val="24"/>
        </w:rPr>
        <w:t xml:space="preserve"> </w:t>
      </w:r>
      <w:r w:rsidR="00372786" w:rsidRPr="00372786">
        <w:rPr>
          <w:rFonts w:ascii="Arial" w:hAnsi="Arial" w:cs="Arial"/>
          <w:i/>
          <w:sz w:val="24"/>
        </w:rPr>
        <w:t>a quo</w:t>
      </w:r>
      <w:r w:rsidR="003674D9" w:rsidRPr="00E62423">
        <w:rPr>
          <w:rFonts w:ascii="Arial" w:hAnsi="Arial" w:cs="Arial"/>
          <w:sz w:val="24"/>
        </w:rPr>
        <w:t xml:space="preserve"> concluded that </w:t>
      </w:r>
      <w:r w:rsidR="00556C7F" w:rsidRPr="00E62423">
        <w:rPr>
          <w:rFonts w:ascii="Arial" w:hAnsi="Arial" w:cs="Arial"/>
          <w:sz w:val="24"/>
        </w:rPr>
        <w:t xml:space="preserve">the tender awarded </w:t>
      </w:r>
      <w:r w:rsidR="003674D9" w:rsidRPr="00E62423">
        <w:rPr>
          <w:rFonts w:ascii="Arial" w:hAnsi="Arial" w:cs="Arial"/>
          <w:sz w:val="24"/>
        </w:rPr>
        <w:t>to the appellant</w:t>
      </w:r>
      <w:r w:rsidR="00556C7F" w:rsidRPr="00E62423">
        <w:rPr>
          <w:rFonts w:ascii="Arial" w:hAnsi="Arial" w:cs="Arial"/>
          <w:sz w:val="24"/>
        </w:rPr>
        <w:t xml:space="preserve"> was not concluded in terms of the applicable legislative enactment</w:t>
      </w:r>
      <w:r w:rsidR="00DF5B61">
        <w:rPr>
          <w:rFonts w:ascii="Arial" w:hAnsi="Arial" w:cs="Arial"/>
          <w:sz w:val="24"/>
        </w:rPr>
        <w:t xml:space="preserve"> and for </w:t>
      </w:r>
      <w:r w:rsidR="004947B6">
        <w:rPr>
          <w:rFonts w:ascii="Arial" w:hAnsi="Arial" w:cs="Arial"/>
          <w:sz w:val="24"/>
        </w:rPr>
        <w:t>that</w:t>
      </w:r>
      <w:r w:rsidR="00DF5B61">
        <w:rPr>
          <w:rFonts w:ascii="Arial" w:hAnsi="Arial" w:cs="Arial"/>
          <w:sz w:val="24"/>
        </w:rPr>
        <w:t xml:space="preserve"> reason concluded that the contract was invalid </w:t>
      </w:r>
      <w:r w:rsidR="00556C7F" w:rsidRPr="00DF5B61">
        <w:rPr>
          <w:rFonts w:ascii="Arial" w:hAnsi="Arial" w:cs="Arial"/>
          <w:sz w:val="24"/>
          <w:szCs w:val="24"/>
        </w:rPr>
        <w:t xml:space="preserve">from </w:t>
      </w:r>
      <w:r w:rsidR="00DF5B61" w:rsidRPr="00DF5B61">
        <w:rPr>
          <w:rFonts w:ascii="Arial" w:hAnsi="Arial" w:cs="Arial"/>
          <w:sz w:val="24"/>
          <w:szCs w:val="24"/>
        </w:rPr>
        <w:t>inception,</w:t>
      </w:r>
      <w:r w:rsidR="00556C7F" w:rsidRPr="00DF5B61">
        <w:rPr>
          <w:rFonts w:ascii="Arial" w:hAnsi="Arial" w:cs="Arial"/>
          <w:sz w:val="24"/>
          <w:szCs w:val="24"/>
        </w:rPr>
        <w:t xml:space="preserve"> as it did not comply with what are clearly mandatory provisions of the law</w:t>
      </w:r>
      <w:r w:rsidR="00372786" w:rsidRPr="00DF5B61">
        <w:rPr>
          <w:rFonts w:ascii="Arial" w:hAnsi="Arial" w:cs="Arial"/>
          <w:sz w:val="24"/>
          <w:szCs w:val="24"/>
        </w:rPr>
        <w:t>.</w:t>
      </w:r>
      <w:r w:rsidR="00372786">
        <w:rPr>
          <w:rStyle w:val="FootnoteReference"/>
          <w:rFonts w:ascii="Arial" w:hAnsi="Arial" w:cs="Arial"/>
        </w:rPr>
        <w:footnoteReference w:id="7"/>
      </w:r>
      <w:r w:rsidR="007D77D8">
        <w:rPr>
          <w:rFonts w:ascii="Arial" w:hAnsi="Arial" w:cs="Arial"/>
        </w:rPr>
        <w:t xml:space="preserve"> </w:t>
      </w:r>
      <w:r w:rsidR="006C7787" w:rsidRPr="00E62423">
        <w:rPr>
          <w:rFonts w:ascii="Arial" w:hAnsi="Arial" w:cs="Arial"/>
          <w:sz w:val="24"/>
          <w:lang w:val="en-US"/>
        </w:rPr>
        <w:t xml:space="preserve">The court accordingly reviewed and set aside the </w:t>
      </w:r>
      <w:r w:rsidR="00FD4BAE" w:rsidRPr="00E62423">
        <w:rPr>
          <w:rFonts w:ascii="Arial" w:hAnsi="Arial" w:cs="Arial"/>
          <w:sz w:val="24"/>
          <w:lang w:val="en-US"/>
        </w:rPr>
        <w:t>agreement signed between the Office of the Prime Minister and the appellant.</w:t>
      </w:r>
    </w:p>
    <w:p w14:paraId="7BB1660F" w14:textId="77777777" w:rsidR="00302B19" w:rsidRPr="00357F59" w:rsidRDefault="00302B19" w:rsidP="00372786">
      <w:pPr>
        <w:pStyle w:val="NoSpacing"/>
        <w:spacing w:line="480" w:lineRule="auto"/>
        <w:jc w:val="both"/>
        <w:rPr>
          <w:rFonts w:ascii="Arial" w:hAnsi="Arial" w:cs="Arial"/>
          <w:sz w:val="24"/>
          <w:lang w:val="en-US"/>
        </w:rPr>
      </w:pPr>
    </w:p>
    <w:p w14:paraId="5FA5367F" w14:textId="77777777" w:rsidR="00676641" w:rsidRPr="00676641" w:rsidRDefault="00676641" w:rsidP="00676641">
      <w:pPr>
        <w:spacing w:line="480" w:lineRule="auto"/>
        <w:rPr>
          <w:rFonts w:ascii="Arial" w:hAnsi="Arial" w:cs="Arial"/>
          <w:color w:val="000000" w:themeColor="text1"/>
          <w:sz w:val="24"/>
          <w:szCs w:val="24"/>
          <w:u w:val="single"/>
          <w:lang w:val="en-ZA"/>
        </w:rPr>
      </w:pPr>
      <w:r w:rsidRPr="00676641">
        <w:rPr>
          <w:rFonts w:ascii="Arial" w:hAnsi="Arial" w:cs="Arial"/>
          <w:color w:val="000000" w:themeColor="text1"/>
          <w:sz w:val="24"/>
          <w:szCs w:val="24"/>
          <w:u w:val="single"/>
          <w:lang w:val="en-ZA"/>
        </w:rPr>
        <w:t>Submissions on appeal</w:t>
      </w:r>
    </w:p>
    <w:p w14:paraId="60289973" w14:textId="77777777" w:rsidR="00676641" w:rsidRPr="00676641" w:rsidRDefault="00356F76" w:rsidP="00356F76">
      <w:pPr>
        <w:pStyle w:val="NoSpacing"/>
        <w:spacing w:line="480" w:lineRule="auto"/>
        <w:jc w:val="both"/>
        <w:rPr>
          <w:rFonts w:ascii="Arial" w:hAnsi="Arial" w:cs="Arial"/>
          <w:sz w:val="24"/>
        </w:rPr>
      </w:pPr>
      <w:r>
        <w:rPr>
          <w:rFonts w:ascii="Arial" w:hAnsi="Arial" w:cs="Arial"/>
          <w:color w:val="000000" w:themeColor="text1"/>
          <w:sz w:val="24"/>
          <w:szCs w:val="24"/>
        </w:rPr>
        <w:t>[27]</w:t>
      </w:r>
      <w:r>
        <w:rPr>
          <w:rFonts w:ascii="Arial" w:hAnsi="Arial" w:cs="Arial"/>
          <w:color w:val="000000" w:themeColor="text1"/>
          <w:sz w:val="24"/>
          <w:szCs w:val="24"/>
        </w:rPr>
        <w:tab/>
      </w:r>
      <w:r w:rsidR="00E773E1" w:rsidRPr="00676641">
        <w:rPr>
          <w:rFonts w:ascii="Arial" w:hAnsi="Arial" w:cs="Arial"/>
          <w:color w:val="000000" w:themeColor="text1"/>
          <w:sz w:val="24"/>
          <w:szCs w:val="24"/>
        </w:rPr>
        <w:t xml:space="preserve">Mr </w:t>
      </w:r>
      <w:proofErr w:type="spellStart"/>
      <w:r w:rsidR="00E773E1" w:rsidRPr="00676641">
        <w:rPr>
          <w:rFonts w:ascii="Arial" w:hAnsi="Arial" w:cs="Arial"/>
          <w:color w:val="000000" w:themeColor="text1"/>
          <w:sz w:val="24"/>
          <w:szCs w:val="24"/>
        </w:rPr>
        <w:t>Tötemeyer</w:t>
      </w:r>
      <w:proofErr w:type="spellEnd"/>
      <w:r w:rsidR="00E773E1" w:rsidRPr="00676641">
        <w:rPr>
          <w:rFonts w:ascii="Arial" w:hAnsi="Arial" w:cs="Arial"/>
          <w:color w:val="000000" w:themeColor="text1"/>
          <w:sz w:val="24"/>
          <w:szCs w:val="24"/>
        </w:rPr>
        <w:t xml:space="preserve"> who appeared for the appellant argued that the High Court was wrong in its conclusions. He argued that </w:t>
      </w:r>
      <w:r w:rsidR="0086318B" w:rsidRPr="00676641">
        <w:rPr>
          <w:rFonts w:ascii="Arial" w:hAnsi="Arial" w:cs="Arial"/>
          <w:color w:val="000000" w:themeColor="text1"/>
          <w:sz w:val="24"/>
          <w:szCs w:val="24"/>
        </w:rPr>
        <w:t xml:space="preserve">the responsibility for the procurement of goods and services for the Government vests with the </w:t>
      </w:r>
      <w:r w:rsidR="00372786">
        <w:rPr>
          <w:rFonts w:ascii="Arial" w:hAnsi="Arial" w:cs="Arial"/>
          <w:color w:val="000000" w:themeColor="text1"/>
          <w:sz w:val="24"/>
          <w:szCs w:val="24"/>
        </w:rPr>
        <w:t>b</w:t>
      </w:r>
      <w:r w:rsidR="0002552A" w:rsidRPr="00676641">
        <w:rPr>
          <w:rFonts w:ascii="Arial" w:hAnsi="Arial" w:cs="Arial"/>
          <w:color w:val="000000" w:themeColor="text1"/>
          <w:sz w:val="24"/>
          <w:szCs w:val="24"/>
        </w:rPr>
        <w:t>oard in terms o</w:t>
      </w:r>
      <w:r w:rsidR="00BE1C47">
        <w:rPr>
          <w:rFonts w:ascii="Arial" w:hAnsi="Arial" w:cs="Arial"/>
          <w:color w:val="000000" w:themeColor="text1"/>
          <w:sz w:val="24"/>
          <w:szCs w:val="24"/>
        </w:rPr>
        <w:t>f s</w:t>
      </w:r>
      <w:r w:rsidR="0002552A" w:rsidRPr="00676641">
        <w:rPr>
          <w:rFonts w:ascii="Arial" w:hAnsi="Arial" w:cs="Arial"/>
          <w:color w:val="000000" w:themeColor="text1"/>
          <w:sz w:val="24"/>
          <w:szCs w:val="24"/>
        </w:rPr>
        <w:t xml:space="preserve"> 7(1)</w:t>
      </w:r>
      <w:r w:rsidR="00372786">
        <w:rPr>
          <w:rFonts w:ascii="Arial" w:hAnsi="Arial" w:cs="Arial"/>
          <w:color w:val="000000" w:themeColor="text1"/>
          <w:sz w:val="24"/>
          <w:szCs w:val="24"/>
        </w:rPr>
        <w:t xml:space="preserve"> of the Act</w:t>
      </w:r>
      <w:r w:rsidR="0002552A" w:rsidRPr="00676641">
        <w:rPr>
          <w:rFonts w:ascii="Arial" w:hAnsi="Arial" w:cs="Arial"/>
          <w:color w:val="000000" w:themeColor="text1"/>
          <w:sz w:val="24"/>
          <w:szCs w:val="24"/>
        </w:rPr>
        <w:t xml:space="preserve">. </w:t>
      </w:r>
      <w:r w:rsidR="00650D6A" w:rsidRPr="00676641">
        <w:rPr>
          <w:rFonts w:ascii="Arial" w:hAnsi="Arial" w:cs="Arial"/>
          <w:color w:val="000000" w:themeColor="text1"/>
          <w:sz w:val="24"/>
          <w:szCs w:val="24"/>
        </w:rPr>
        <w:t>He proceeded and argued</w:t>
      </w:r>
      <w:r w:rsidR="0086318B" w:rsidRPr="00676641">
        <w:rPr>
          <w:rFonts w:ascii="Arial" w:hAnsi="Arial" w:cs="Arial"/>
          <w:color w:val="000000" w:themeColor="text1"/>
          <w:sz w:val="24"/>
          <w:szCs w:val="24"/>
        </w:rPr>
        <w:t xml:space="preserve"> that the conclusion of any </w:t>
      </w:r>
      <w:r w:rsidR="00E079B8" w:rsidRPr="00676641">
        <w:rPr>
          <w:rFonts w:ascii="Arial" w:hAnsi="Arial" w:cs="Arial"/>
          <w:color w:val="000000" w:themeColor="text1"/>
          <w:sz w:val="24"/>
          <w:szCs w:val="24"/>
        </w:rPr>
        <w:t>agreement</w:t>
      </w:r>
      <w:r w:rsidR="0086318B" w:rsidRPr="00676641">
        <w:rPr>
          <w:rFonts w:ascii="Arial" w:hAnsi="Arial" w:cs="Arial"/>
          <w:color w:val="000000" w:themeColor="text1"/>
          <w:sz w:val="24"/>
          <w:szCs w:val="24"/>
        </w:rPr>
        <w:t xml:space="preserve"> that follows </w:t>
      </w:r>
      <w:r w:rsidR="00E079B8" w:rsidRPr="00676641">
        <w:rPr>
          <w:rFonts w:ascii="Arial" w:hAnsi="Arial" w:cs="Arial"/>
          <w:color w:val="000000" w:themeColor="text1"/>
          <w:sz w:val="24"/>
          <w:szCs w:val="24"/>
        </w:rPr>
        <w:t xml:space="preserve">upon </w:t>
      </w:r>
      <w:r w:rsidR="0086318B" w:rsidRPr="00676641">
        <w:rPr>
          <w:rFonts w:ascii="Arial" w:hAnsi="Arial" w:cs="Arial"/>
          <w:color w:val="000000" w:themeColor="text1"/>
          <w:sz w:val="24"/>
          <w:szCs w:val="24"/>
        </w:rPr>
        <w:t xml:space="preserve">such tender award </w:t>
      </w:r>
      <w:r w:rsidR="006C5080" w:rsidRPr="00676641">
        <w:rPr>
          <w:rFonts w:ascii="Arial" w:hAnsi="Arial" w:cs="Arial"/>
          <w:color w:val="000000" w:themeColor="text1"/>
          <w:sz w:val="24"/>
          <w:szCs w:val="24"/>
        </w:rPr>
        <w:t>is</w:t>
      </w:r>
      <w:r w:rsidR="0086318B" w:rsidRPr="00676641">
        <w:rPr>
          <w:rFonts w:ascii="Arial" w:hAnsi="Arial" w:cs="Arial"/>
          <w:color w:val="000000" w:themeColor="text1"/>
          <w:sz w:val="24"/>
          <w:szCs w:val="24"/>
        </w:rPr>
        <w:t xml:space="preserve"> not governed by peremptory terms </w:t>
      </w:r>
      <w:r w:rsidR="00E079B8" w:rsidRPr="00676641">
        <w:rPr>
          <w:rFonts w:ascii="Arial" w:hAnsi="Arial" w:cs="Arial"/>
          <w:color w:val="000000" w:themeColor="text1"/>
          <w:sz w:val="24"/>
          <w:szCs w:val="24"/>
        </w:rPr>
        <w:t>in</w:t>
      </w:r>
      <w:r w:rsidR="0086318B" w:rsidRPr="00676641">
        <w:rPr>
          <w:rFonts w:ascii="Arial" w:hAnsi="Arial" w:cs="Arial"/>
          <w:color w:val="000000" w:themeColor="text1"/>
          <w:sz w:val="24"/>
          <w:szCs w:val="24"/>
        </w:rPr>
        <w:t xml:space="preserve"> the </w:t>
      </w:r>
      <w:proofErr w:type="gramStart"/>
      <w:r w:rsidR="0086318B" w:rsidRPr="00676641">
        <w:rPr>
          <w:rFonts w:ascii="Arial" w:hAnsi="Arial" w:cs="Arial"/>
          <w:color w:val="000000" w:themeColor="text1"/>
          <w:sz w:val="24"/>
          <w:szCs w:val="24"/>
        </w:rPr>
        <w:t>legislature, but</w:t>
      </w:r>
      <w:proofErr w:type="gramEnd"/>
      <w:r w:rsidR="0086318B" w:rsidRPr="00676641">
        <w:rPr>
          <w:rFonts w:ascii="Arial" w:hAnsi="Arial" w:cs="Arial"/>
          <w:color w:val="000000" w:themeColor="text1"/>
          <w:sz w:val="24"/>
          <w:szCs w:val="24"/>
        </w:rPr>
        <w:t xml:space="preserve"> introduced a discretionary element in that the </w:t>
      </w:r>
      <w:r w:rsidR="00372786">
        <w:rPr>
          <w:rFonts w:ascii="Arial" w:hAnsi="Arial" w:cs="Arial"/>
          <w:color w:val="000000" w:themeColor="text1"/>
          <w:sz w:val="24"/>
          <w:szCs w:val="24"/>
        </w:rPr>
        <w:t>b</w:t>
      </w:r>
      <w:r w:rsidR="0086318B" w:rsidRPr="00676641">
        <w:rPr>
          <w:rFonts w:ascii="Arial" w:hAnsi="Arial" w:cs="Arial"/>
          <w:color w:val="000000" w:themeColor="text1"/>
          <w:sz w:val="24"/>
          <w:szCs w:val="24"/>
        </w:rPr>
        <w:t xml:space="preserve">oard may opt </w:t>
      </w:r>
      <w:r w:rsidR="00E079B8" w:rsidRPr="00676641">
        <w:rPr>
          <w:rFonts w:ascii="Arial" w:hAnsi="Arial" w:cs="Arial"/>
          <w:color w:val="000000" w:themeColor="text1"/>
          <w:sz w:val="24"/>
          <w:szCs w:val="24"/>
        </w:rPr>
        <w:t>to conclude</w:t>
      </w:r>
      <w:r w:rsidR="0086318B" w:rsidRPr="00676641">
        <w:rPr>
          <w:rFonts w:ascii="Arial" w:hAnsi="Arial" w:cs="Arial"/>
          <w:color w:val="000000" w:themeColor="text1"/>
          <w:sz w:val="24"/>
          <w:szCs w:val="24"/>
        </w:rPr>
        <w:t xml:space="preserve"> a contract following upon that award </w:t>
      </w:r>
      <w:r w:rsidR="00D02DAC" w:rsidRPr="00676641">
        <w:rPr>
          <w:rFonts w:ascii="Arial" w:hAnsi="Arial" w:cs="Arial"/>
          <w:color w:val="000000" w:themeColor="text1"/>
          <w:sz w:val="24"/>
          <w:szCs w:val="24"/>
        </w:rPr>
        <w:t xml:space="preserve">itself or permitting another entity to </w:t>
      </w:r>
      <w:r w:rsidR="0086318B" w:rsidRPr="00676641">
        <w:rPr>
          <w:rFonts w:ascii="Arial" w:hAnsi="Arial" w:cs="Arial"/>
          <w:color w:val="000000" w:themeColor="text1"/>
          <w:sz w:val="24"/>
          <w:szCs w:val="24"/>
        </w:rPr>
        <w:t xml:space="preserve">conclude such agreement. The exercise of that power, </w:t>
      </w:r>
      <w:r w:rsidR="00D02DAC" w:rsidRPr="00676641">
        <w:rPr>
          <w:rFonts w:ascii="Arial" w:hAnsi="Arial" w:cs="Arial"/>
          <w:color w:val="000000" w:themeColor="text1"/>
          <w:sz w:val="24"/>
          <w:szCs w:val="24"/>
        </w:rPr>
        <w:t xml:space="preserve">to permit another entity to conclude the agreement, </w:t>
      </w:r>
      <w:r w:rsidR="0086318B" w:rsidRPr="00676641">
        <w:rPr>
          <w:rFonts w:ascii="Arial" w:hAnsi="Arial" w:cs="Arial"/>
          <w:color w:val="000000" w:themeColor="text1"/>
          <w:sz w:val="24"/>
          <w:szCs w:val="24"/>
        </w:rPr>
        <w:t xml:space="preserve">again, would then be exercised subject to the powers of </w:t>
      </w:r>
      <w:r w:rsidR="004D166A" w:rsidRPr="00676641">
        <w:rPr>
          <w:rFonts w:ascii="Arial" w:hAnsi="Arial" w:cs="Arial"/>
          <w:color w:val="000000" w:themeColor="text1"/>
          <w:sz w:val="24"/>
          <w:szCs w:val="24"/>
        </w:rPr>
        <w:t>delegation, which</w:t>
      </w:r>
      <w:r w:rsidR="00650D6A" w:rsidRPr="00676641">
        <w:rPr>
          <w:rFonts w:ascii="Arial" w:hAnsi="Arial" w:cs="Arial"/>
          <w:color w:val="000000" w:themeColor="text1"/>
          <w:sz w:val="24"/>
          <w:szCs w:val="24"/>
        </w:rPr>
        <w:t xml:space="preserve"> vests in the </w:t>
      </w:r>
      <w:r w:rsidR="00372786">
        <w:rPr>
          <w:rFonts w:ascii="Arial" w:hAnsi="Arial" w:cs="Arial"/>
          <w:color w:val="000000" w:themeColor="text1"/>
          <w:sz w:val="24"/>
          <w:szCs w:val="24"/>
        </w:rPr>
        <w:t>b</w:t>
      </w:r>
      <w:r w:rsidR="00650D6A" w:rsidRPr="00676641">
        <w:rPr>
          <w:rFonts w:ascii="Arial" w:hAnsi="Arial" w:cs="Arial"/>
          <w:color w:val="000000" w:themeColor="text1"/>
          <w:sz w:val="24"/>
          <w:szCs w:val="24"/>
        </w:rPr>
        <w:t>oard.</w:t>
      </w:r>
    </w:p>
    <w:p w14:paraId="1093BF86" w14:textId="77777777" w:rsidR="00676641" w:rsidRPr="00676641" w:rsidRDefault="00676641" w:rsidP="00676641">
      <w:pPr>
        <w:pStyle w:val="NoSpacing"/>
        <w:spacing w:line="480" w:lineRule="auto"/>
        <w:jc w:val="both"/>
        <w:rPr>
          <w:rFonts w:ascii="Arial" w:hAnsi="Arial" w:cs="Arial"/>
          <w:sz w:val="24"/>
        </w:rPr>
      </w:pPr>
    </w:p>
    <w:p w14:paraId="0F273CFE" w14:textId="77777777" w:rsidR="00676641" w:rsidRDefault="00356F76" w:rsidP="00356F76">
      <w:pPr>
        <w:pStyle w:val="NoSpacing"/>
        <w:spacing w:line="480" w:lineRule="auto"/>
        <w:jc w:val="both"/>
        <w:rPr>
          <w:rFonts w:ascii="Arial" w:hAnsi="Arial" w:cs="Arial"/>
          <w:sz w:val="24"/>
        </w:rPr>
      </w:pPr>
      <w:r>
        <w:rPr>
          <w:rFonts w:ascii="Arial" w:hAnsi="Arial" w:cs="Arial"/>
          <w:color w:val="000000" w:themeColor="text1"/>
          <w:sz w:val="24"/>
          <w:szCs w:val="24"/>
        </w:rPr>
        <w:t>[28]</w:t>
      </w:r>
      <w:r>
        <w:rPr>
          <w:rFonts w:ascii="Arial" w:hAnsi="Arial" w:cs="Arial"/>
          <w:color w:val="000000" w:themeColor="text1"/>
          <w:sz w:val="24"/>
          <w:szCs w:val="24"/>
        </w:rPr>
        <w:tab/>
      </w:r>
      <w:r w:rsidR="0002552A" w:rsidRPr="00676641">
        <w:rPr>
          <w:rFonts w:ascii="Arial" w:hAnsi="Arial" w:cs="Arial"/>
          <w:color w:val="000000" w:themeColor="text1"/>
          <w:sz w:val="24"/>
          <w:szCs w:val="24"/>
        </w:rPr>
        <w:t xml:space="preserve">Mr </w:t>
      </w:r>
      <w:proofErr w:type="spellStart"/>
      <w:r w:rsidR="0002552A" w:rsidRPr="00676641">
        <w:rPr>
          <w:rFonts w:ascii="Arial" w:hAnsi="Arial" w:cs="Arial"/>
          <w:color w:val="000000" w:themeColor="text1"/>
          <w:sz w:val="24"/>
          <w:szCs w:val="24"/>
        </w:rPr>
        <w:t>Tötemeyer</w:t>
      </w:r>
      <w:proofErr w:type="spellEnd"/>
      <w:r w:rsidR="00650D6A" w:rsidRPr="00676641">
        <w:rPr>
          <w:rFonts w:ascii="Arial" w:hAnsi="Arial" w:cs="Arial"/>
          <w:color w:val="000000" w:themeColor="text1"/>
          <w:sz w:val="24"/>
          <w:szCs w:val="24"/>
        </w:rPr>
        <w:t xml:space="preserve"> continued and submitted </w:t>
      </w:r>
      <w:r w:rsidR="0086318B" w:rsidRPr="00676641">
        <w:rPr>
          <w:rFonts w:ascii="Arial" w:hAnsi="Arial" w:cs="Arial"/>
          <w:color w:val="000000" w:themeColor="text1"/>
          <w:sz w:val="24"/>
          <w:szCs w:val="24"/>
        </w:rPr>
        <w:t xml:space="preserve">that once a tender is awarded, the Government or any of its agencies would have the power to conclude a subsequent </w:t>
      </w:r>
      <w:r w:rsidR="0086318B" w:rsidRPr="00676641">
        <w:rPr>
          <w:rFonts w:ascii="Arial" w:hAnsi="Arial" w:cs="Arial"/>
          <w:color w:val="000000" w:themeColor="text1"/>
          <w:sz w:val="24"/>
          <w:szCs w:val="24"/>
        </w:rPr>
        <w:lastRenderedPageBreak/>
        <w:t>contract between the Government and the successful tenderer</w:t>
      </w:r>
      <w:r w:rsidR="00E06AC7" w:rsidRPr="00676641">
        <w:rPr>
          <w:rFonts w:ascii="Arial" w:hAnsi="Arial" w:cs="Arial"/>
          <w:color w:val="000000" w:themeColor="text1"/>
          <w:sz w:val="24"/>
          <w:szCs w:val="24"/>
        </w:rPr>
        <w:t>,</w:t>
      </w:r>
      <w:r w:rsidR="0086318B" w:rsidRPr="00676641">
        <w:rPr>
          <w:rFonts w:ascii="Arial" w:hAnsi="Arial" w:cs="Arial"/>
          <w:color w:val="000000" w:themeColor="text1"/>
          <w:sz w:val="24"/>
          <w:szCs w:val="24"/>
        </w:rPr>
        <w:t xml:space="preserve"> based on such tender award. </w:t>
      </w:r>
      <w:r w:rsidR="0002552A" w:rsidRPr="00676641">
        <w:rPr>
          <w:rFonts w:ascii="Arial" w:hAnsi="Arial" w:cs="Arial"/>
          <w:color w:val="000000" w:themeColor="text1"/>
          <w:sz w:val="24"/>
          <w:szCs w:val="24"/>
        </w:rPr>
        <w:t>He further</w:t>
      </w:r>
      <w:r w:rsidR="0086318B" w:rsidRPr="00676641">
        <w:rPr>
          <w:rFonts w:ascii="Arial" w:hAnsi="Arial" w:cs="Arial"/>
          <w:color w:val="000000" w:themeColor="text1"/>
          <w:sz w:val="24"/>
          <w:szCs w:val="24"/>
        </w:rPr>
        <w:t xml:space="preserve"> submitted that this agreement may be concluded </w:t>
      </w:r>
      <w:r w:rsidR="00650D6A" w:rsidRPr="00676641">
        <w:rPr>
          <w:rFonts w:ascii="Arial" w:hAnsi="Arial" w:cs="Arial"/>
          <w:color w:val="000000" w:themeColor="text1"/>
          <w:sz w:val="24"/>
          <w:szCs w:val="24"/>
        </w:rPr>
        <w:t xml:space="preserve">not only </w:t>
      </w:r>
      <w:r w:rsidR="0086318B" w:rsidRPr="00676641">
        <w:rPr>
          <w:rFonts w:ascii="Arial" w:hAnsi="Arial" w:cs="Arial"/>
          <w:color w:val="000000" w:themeColor="text1"/>
          <w:sz w:val="24"/>
          <w:szCs w:val="24"/>
        </w:rPr>
        <w:t xml:space="preserve">by the </w:t>
      </w:r>
      <w:r w:rsidR="00372786">
        <w:rPr>
          <w:rFonts w:ascii="Arial" w:hAnsi="Arial" w:cs="Arial"/>
          <w:color w:val="000000" w:themeColor="text1"/>
          <w:sz w:val="24"/>
          <w:szCs w:val="24"/>
        </w:rPr>
        <w:t>b</w:t>
      </w:r>
      <w:r w:rsidR="0086318B" w:rsidRPr="00676641">
        <w:rPr>
          <w:rFonts w:ascii="Arial" w:hAnsi="Arial" w:cs="Arial"/>
          <w:color w:val="000000" w:themeColor="text1"/>
          <w:sz w:val="24"/>
          <w:szCs w:val="24"/>
        </w:rPr>
        <w:t xml:space="preserve">oard or its </w:t>
      </w:r>
      <w:proofErr w:type="spellStart"/>
      <w:r w:rsidR="0086318B" w:rsidRPr="00676641">
        <w:rPr>
          <w:rFonts w:ascii="Arial" w:hAnsi="Arial" w:cs="Arial"/>
          <w:color w:val="000000" w:themeColor="text1"/>
          <w:sz w:val="24"/>
          <w:szCs w:val="24"/>
        </w:rPr>
        <w:t>delegatee</w:t>
      </w:r>
      <w:proofErr w:type="spellEnd"/>
      <w:r w:rsidR="0086318B" w:rsidRPr="00676641">
        <w:rPr>
          <w:rFonts w:ascii="Arial" w:hAnsi="Arial" w:cs="Arial"/>
          <w:color w:val="000000" w:themeColor="text1"/>
          <w:sz w:val="24"/>
          <w:szCs w:val="24"/>
        </w:rPr>
        <w:t xml:space="preserve">, but also by other agencies of Government (and on behalf of the Government). That would follow in terms of the </w:t>
      </w:r>
      <w:proofErr w:type="spellStart"/>
      <w:r w:rsidR="004D166A" w:rsidRPr="00676641">
        <w:rPr>
          <w:rFonts w:ascii="Arial" w:hAnsi="Arial" w:cs="Arial"/>
          <w:color w:val="000000" w:themeColor="text1"/>
          <w:sz w:val="24"/>
          <w:szCs w:val="24"/>
        </w:rPr>
        <w:t>well recognised</w:t>
      </w:r>
      <w:proofErr w:type="spellEnd"/>
      <w:r w:rsidR="00372786">
        <w:rPr>
          <w:rFonts w:ascii="Arial" w:hAnsi="Arial" w:cs="Arial"/>
          <w:color w:val="000000" w:themeColor="text1"/>
          <w:sz w:val="24"/>
          <w:szCs w:val="24"/>
        </w:rPr>
        <w:t xml:space="preserve"> ‘</w:t>
      </w:r>
      <w:r w:rsidR="0086318B" w:rsidRPr="00676641">
        <w:rPr>
          <w:rFonts w:ascii="Arial" w:hAnsi="Arial" w:cs="Arial"/>
          <w:iCs/>
          <w:color w:val="000000" w:themeColor="text1"/>
          <w:sz w:val="24"/>
          <w:szCs w:val="24"/>
        </w:rPr>
        <w:t>common law prerogative</w:t>
      </w:r>
      <w:r w:rsidR="00372786">
        <w:rPr>
          <w:rFonts w:ascii="Arial" w:hAnsi="Arial" w:cs="Arial"/>
          <w:iCs/>
          <w:color w:val="000000" w:themeColor="text1"/>
          <w:sz w:val="24"/>
          <w:szCs w:val="24"/>
        </w:rPr>
        <w:t>’</w:t>
      </w:r>
      <w:r w:rsidR="0086318B" w:rsidRPr="00676641">
        <w:rPr>
          <w:rFonts w:ascii="Arial" w:hAnsi="Arial" w:cs="Arial"/>
          <w:color w:val="000000" w:themeColor="text1"/>
          <w:sz w:val="24"/>
          <w:szCs w:val="24"/>
        </w:rPr>
        <w:t xml:space="preserve"> of the Government to conclude contracts for and on behalf of the State, which power is not presumed to be excluded by statute.</w:t>
      </w:r>
    </w:p>
    <w:p w14:paraId="6F5B906C" w14:textId="77777777" w:rsidR="00676641" w:rsidRPr="00BE1C47" w:rsidRDefault="00676641" w:rsidP="00BE1C47">
      <w:pPr>
        <w:spacing w:line="480" w:lineRule="auto"/>
        <w:rPr>
          <w:rFonts w:ascii="Arial" w:hAnsi="Arial" w:cs="Arial"/>
          <w:color w:val="000000" w:themeColor="text1"/>
          <w:sz w:val="24"/>
          <w:szCs w:val="24"/>
        </w:rPr>
      </w:pPr>
    </w:p>
    <w:p w14:paraId="26C06943" w14:textId="77777777" w:rsidR="004C4C38" w:rsidRPr="00302B19" w:rsidRDefault="00356F76" w:rsidP="00356F76">
      <w:pPr>
        <w:pStyle w:val="NoSpacing"/>
        <w:spacing w:line="480" w:lineRule="auto"/>
        <w:jc w:val="both"/>
        <w:rPr>
          <w:rFonts w:ascii="Arial" w:hAnsi="Arial" w:cs="Arial"/>
          <w:sz w:val="24"/>
        </w:rPr>
      </w:pPr>
      <w:r>
        <w:rPr>
          <w:rFonts w:ascii="Arial" w:hAnsi="Arial" w:cs="Arial"/>
          <w:color w:val="000000" w:themeColor="text1"/>
          <w:sz w:val="24"/>
          <w:szCs w:val="24"/>
        </w:rPr>
        <w:t>[29]</w:t>
      </w:r>
      <w:r>
        <w:rPr>
          <w:rFonts w:ascii="Arial" w:hAnsi="Arial" w:cs="Arial"/>
          <w:color w:val="000000" w:themeColor="text1"/>
          <w:sz w:val="24"/>
          <w:szCs w:val="24"/>
        </w:rPr>
        <w:tab/>
      </w:r>
      <w:r w:rsidR="0002552A" w:rsidRPr="00676641">
        <w:rPr>
          <w:rFonts w:ascii="Arial" w:hAnsi="Arial" w:cs="Arial"/>
          <w:color w:val="000000" w:themeColor="text1"/>
          <w:sz w:val="24"/>
          <w:szCs w:val="24"/>
        </w:rPr>
        <w:t xml:space="preserve">Mr </w:t>
      </w:r>
      <w:proofErr w:type="spellStart"/>
      <w:r w:rsidR="0002552A" w:rsidRPr="00676641">
        <w:rPr>
          <w:rFonts w:ascii="Arial" w:hAnsi="Arial" w:cs="Arial"/>
          <w:color w:val="000000" w:themeColor="text1"/>
          <w:sz w:val="24"/>
          <w:szCs w:val="24"/>
        </w:rPr>
        <w:t>Tötemeyer</w:t>
      </w:r>
      <w:proofErr w:type="spellEnd"/>
      <w:r w:rsidR="0002552A" w:rsidRPr="00676641">
        <w:rPr>
          <w:rFonts w:ascii="Arial" w:hAnsi="Arial" w:cs="Arial"/>
          <w:color w:val="000000" w:themeColor="text1"/>
          <w:sz w:val="24"/>
          <w:szCs w:val="24"/>
        </w:rPr>
        <w:t xml:space="preserve"> furthermore submitted </w:t>
      </w:r>
      <w:r w:rsidR="0086318B" w:rsidRPr="00676641">
        <w:rPr>
          <w:rFonts w:ascii="Arial" w:hAnsi="Arial" w:cs="Arial"/>
          <w:color w:val="000000" w:themeColor="text1"/>
          <w:sz w:val="24"/>
          <w:szCs w:val="24"/>
        </w:rPr>
        <w:t xml:space="preserve">that the </w:t>
      </w:r>
      <w:r w:rsidR="00372786">
        <w:rPr>
          <w:rFonts w:ascii="Arial" w:hAnsi="Arial" w:cs="Arial"/>
          <w:color w:val="000000" w:themeColor="text1"/>
          <w:sz w:val="24"/>
          <w:szCs w:val="24"/>
        </w:rPr>
        <w:t>Permanent Secretary in the O</w:t>
      </w:r>
      <w:r w:rsidR="0002552A" w:rsidRPr="00676641">
        <w:rPr>
          <w:rFonts w:ascii="Arial" w:hAnsi="Arial" w:cs="Arial"/>
          <w:color w:val="000000" w:themeColor="text1"/>
          <w:sz w:val="24"/>
          <w:szCs w:val="24"/>
        </w:rPr>
        <w:t xml:space="preserve">ffice of the Prime Minister </w:t>
      </w:r>
      <w:r w:rsidR="0086318B" w:rsidRPr="00676641">
        <w:rPr>
          <w:rFonts w:ascii="Arial" w:hAnsi="Arial" w:cs="Arial"/>
          <w:color w:val="000000" w:themeColor="text1"/>
          <w:sz w:val="24"/>
          <w:szCs w:val="24"/>
        </w:rPr>
        <w:t>was empowered to conclude</w:t>
      </w:r>
      <w:r w:rsidR="0002552A" w:rsidRPr="00676641">
        <w:rPr>
          <w:rFonts w:ascii="Arial" w:hAnsi="Arial" w:cs="Arial"/>
          <w:color w:val="000000" w:themeColor="text1"/>
          <w:sz w:val="24"/>
          <w:szCs w:val="24"/>
        </w:rPr>
        <w:t xml:space="preserve"> the contract on behalf of </w:t>
      </w:r>
      <w:r w:rsidR="00357F59">
        <w:rPr>
          <w:rFonts w:ascii="Arial" w:hAnsi="Arial" w:cs="Arial"/>
          <w:color w:val="000000" w:themeColor="text1"/>
          <w:sz w:val="24"/>
          <w:szCs w:val="24"/>
        </w:rPr>
        <w:t xml:space="preserve">the </w:t>
      </w:r>
      <w:r w:rsidR="0002552A" w:rsidRPr="00676641">
        <w:rPr>
          <w:rFonts w:ascii="Arial" w:hAnsi="Arial" w:cs="Arial"/>
          <w:color w:val="000000" w:themeColor="text1"/>
          <w:sz w:val="24"/>
          <w:szCs w:val="24"/>
        </w:rPr>
        <w:t>Government</w:t>
      </w:r>
      <w:r w:rsidR="00372786">
        <w:rPr>
          <w:rFonts w:ascii="Arial" w:hAnsi="Arial" w:cs="Arial"/>
          <w:color w:val="000000" w:themeColor="text1"/>
          <w:sz w:val="24"/>
          <w:szCs w:val="24"/>
        </w:rPr>
        <w:t xml:space="preserve"> in terms of the ‘</w:t>
      </w:r>
      <w:r w:rsidR="0086318B" w:rsidRPr="00676641">
        <w:rPr>
          <w:rFonts w:ascii="Arial" w:hAnsi="Arial" w:cs="Arial"/>
          <w:iCs/>
          <w:color w:val="000000" w:themeColor="text1"/>
          <w:sz w:val="24"/>
          <w:szCs w:val="24"/>
        </w:rPr>
        <w:t>common law prerogative</w:t>
      </w:r>
      <w:r w:rsidR="00372786">
        <w:rPr>
          <w:rStyle w:val="FootnoteReference"/>
          <w:rFonts w:ascii="Arial" w:hAnsi="Arial" w:cs="Arial"/>
          <w:color w:val="000000" w:themeColor="text1"/>
          <w:sz w:val="24"/>
          <w:szCs w:val="24"/>
        </w:rPr>
        <w:t>’</w:t>
      </w:r>
      <w:r w:rsidR="0086318B" w:rsidRPr="00676641">
        <w:rPr>
          <w:rFonts w:ascii="Arial" w:hAnsi="Arial" w:cs="Arial"/>
          <w:color w:val="000000" w:themeColor="text1"/>
          <w:sz w:val="24"/>
          <w:szCs w:val="24"/>
        </w:rPr>
        <w:t xml:space="preserve"> of the Go</w:t>
      </w:r>
      <w:r w:rsidR="004C4C38">
        <w:rPr>
          <w:rFonts w:ascii="Arial" w:hAnsi="Arial" w:cs="Arial"/>
          <w:color w:val="000000" w:themeColor="text1"/>
          <w:sz w:val="24"/>
          <w:szCs w:val="24"/>
        </w:rPr>
        <w:t>vernment to conclude contracts.</w:t>
      </w:r>
    </w:p>
    <w:p w14:paraId="3E92E3B7" w14:textId="77777777" w:rsidR="00302B19" w:rsidRPr="00165208" w:rsidRDefault="00302B19" w:rsidP="00302B19">
      <w:pPr>
        <w:pStyle w:val="NoSpacing"/>
        <w:spacing w:line="480" w:lineRule="auto"/>
        <w:jc w:val="both"/>
        <w:rPr>
          <w:rFonts w:ascii="Arial" w:hAnsi="Arial" w:cs="Arial"/>
          <w:sz w:val="24"/>
        </w:rPr>
      </w:pPr>
    </w:p>
    <w:p w14:paraId="2436BC0C" w14:textId="77777777" w:rsidR="00676641" w:rsidRDefault="00356F76" w:rsidP="00356F76">
      <w:pPr>
        <w:pStyle w:val="NoSpacing"/>
        <w:spacing w:line="480" w:lineRule="auto"/>
        <w:jc w:val="both"/>
        <w:rPr>
          <w:rFonts w:ascii="Arial" w:hAnsi="Arial" w:cs="Arial"/>
          <w:sz w:val="24"/>
        </w:rPr>
      </w:pPr>
      <w:r>
        <w:rPr>
          <w:rFonts w:ascii="Arial" w:hAnsi="Arial" w:cs="Arial"/>
          <w:color w:val="000000" w:themeColor="text1"/>
          <w:sz w:val="24"/>
          <w:szCs w:val="24"/>
        </w:rPr>
        <w:t>[30]</w:t>
      </w:r>
      <w:r>
        <w:rPr>
          <w:rFonts w:ascii="Arial" w:hAnsi="Arial" w:cs="Arial"/>
          <w:color w:val="000000" w:themeColor="text1"/>
          <w:sz w:val="24"/>
          <w:szCs w:val="24"/>
        </w:rPr>
        <w:tab/>
      </w:r>
      <w:r w:rsidR="0002552A" w:rsidRPr="00676641">
        <w:rPr>
          <w:rFonts w:ascii="Arial" w:hAnsi="Arial" w:cs="Arial"/>
          <w:color w:val="000000" w:themeColor="text1"/>
          <w:sz w:val="24"/>
          <w:szCs w:val="24"/>
        </w:rPr>
        <w:t>He continued and argued that i</w:t>
      </w:r>
      <w:r w:rsidR="0086318B" w:rsidRPr="00676641">
        <w:rPr>
          <w:rFonts w:ascii="Arial" w:hAnsi="Arial" w:cs="Arial"/>
          <w:color w:val="000000" w:themeColor="text1"/>
          <w:sz w:val="24"/>
          <w:szCs w:val="24"/>
        </w:rPr>
        <w:t xml:space="preserve">nsofar as it may be held that the power to conclude </w:t>
      </w:r>
      <w:r w:rsidR="007E3D96" w:rsidRPr="00676641">
        <w:rPr>
          <w:rFonts w:ascii="Arial" w:hAnsi="Arial" w:cs="Arial"/>
          <w:color w:val="000000" w:themeColor="text1"/>
          <w:sz w:val="24"/>
          <w:szCs w:val="24"/>
        </w:rPr>
        <w:t xml:space="preserve">a </w:t>
      </w:r>
      <w:r w:rsidR="0086318B" w:rsidRPr="00676641">
        <w:rPr>
          <w:rFonts w:ascii="Arial" w:hAnsi="Arial" w:cs="Arial"/>
          <w:color w:val="000000" w:themeColor="text1"/>
          <w:sz w:val="24"/>
          <w:szCs w:val="24"/>
        </w:rPr>
        <w:t>contract</w:t>
      </w:r>
      <w:r w:rsidR="00FC7919" w:rsidRPr="00676641">
        <w:rPr>
          <w:rFonts w:ascii="Arial" w:hAnsi="Arial" w:cs="Arial"/>
          <w:color w:val="000000" w:themeColor="text1"/>
          <w:sz w:val="24"/>
          <w:szCs w:val="24"/>
        </w:rPr>
        <w:t>,</w:t>
      </w:r>
      <w:r w:rsidR="0086318B" w:rsidRPr="00676641">
        <w:rPr>
          <w:rFonts w:ascii="Arial" w:hAnsi="Arial" w:cs="Arial"/>
          <w:color w:val="000000" w:themeColor="text1"/>
          <w:sz w:val="24"/>
          <w:szCs w:val="24"/>
        </w:rPr>
        <w:t xml:space="preserve"> </w:t>
      </w:r>
      <w:r w:rsidR="007E3D96" w:rsidRPr="00676641">
        <w:rPr>
          <w:rFonts w:ascii="Arial" w:hAnsi="Arial" w:cs="Arial"/>
          <w:color w:val="000000" w:themeColor="text1"/>
          <w:sz w:val="24"/>
          <w:szCs w:val="24"/>
        </w:rPr>
        <w:t>resulting from a tender award</w:t>
      </w:r>
      <w:r w:rsidR="00FC7919" w:rsidRPr="00676641">
        <w:rPr>
          <w:rFonts w:ascii="Arial" w:hAnsi="Arial" w:cs="Arial"/>
          <w:color w:val="000000" w:themeColor="text1"/>
          <w:sz w:val="24"/>
          <w:szCs w:val="24"/>
        </w:rPr>
        <w:t>,</w:t>
      </w:r>
      <w:r w:rsidR="007E3D96" w:rsidRPr="00676641">
        <w:rPr>
          <w:rFonts w:ascii="Arial" w:hAnsi="Arial" w:cs="Arial"/>
          <w:color w:val="000000" w:themeColor="text1"/>
          <w:sz w:val="24"/>
          <w:szCs w:val="24"/>
        </w:rPr>
        <w:t xml:space="preserve"> is </w:t>
      </w:r>
      <w:r w:rsidR="0086318B" w:rsidRPr="00676641">
        <w:rPr>
          <w:rFonts w:ascii="Arial" w:hAnsi="Arial" w:cs="Arial"/>
          <w:color w:val="000000" w:themeColor="text1"/>
          <w:sz w:val="24"/>
          <w:szCs w:val="24"/>
        </w:rPr>
        <w:t xml:space="preserve">exclusively vested in the </w:t>
      </w:r>
      <w:r w:rsidR="00DC34E2">
        <w:rPr>
          <w:rFonts w:ascii="Arial" w:hAnsi="Arial" w:cs="Arial"/>
          <w:color w:val="000000" w:themeColor="text1"/>
          <w:sz w:val="24"/>
          <w:szCs w:val="24"/>
        </w:rPr>
        <w:t>b</w:t>
      </w:r>
      <w:r w:rsidR="0086318B" w:rsidRPr="00676641">
        <w:rPr>
          <w:rFonts w:ascii="Arial" w:hAnsi="Arial" w:cs="Arial"/>
          <w:color w:val="000000" w:themeColor="text1"/>
          <w:sz w:val="24"/>
          <w:szCs w:val="24"/>
        </w:rPr>
        <w:t xml:space="preserve">oard or its delegate in terms of s 7(1) </w:t>
      </w:r>
      <w:r w:rsidR="00DC34E2">
        <w:rPr>
          <w:rFonts w:ascii="Arial" w:hAnsi="Arial" w:cs="Arial"/>
          <w:color w:val="000000" w:themeColor="text1"/>
          <w:sz w:val="24"/>
          <w:szCs w:val="24"/>
        </w:rPr>
        <w:t xml:space="preserve">of the Act </w:t>
      </w:r>
      <w:r w:rsidR="0086318B" w:rsidRPr="00676641">
        <w:rPr>
          <w:rFonts w:ascii="Arial" w:hAnsi="Arial" w:cs="Arial"/>
          <w:color w:val="000000" w:themeColor="text1"/>
          <w:sz w:val="24"/>
          <w:szCs w:val="24"/>
        </w:rPr>
        <w:t xml:space="preserve">(which </w:t>
      </w:r>
      <w:r w:rsidR="00FC7919" w:rsidRPr="00676641">
        <w:rPr>
          <w:rFonts w:ascii="Arial" w:hAnsi="Arial" w:cs="Arial"/>
          <w:color w:val="000000" w:themeColor="text1"/>
          <w:sz w:val="24"/>
          <w:szCs w:val="24"/>
        </w:rPr>
        <w:t>he submitted</w:t>
      </w:r>
      <w:r w:rsidR="0086318B" w:rsidRPr="00676641">
        <w:rPr>
          <w:rFonts w:ascii="Arial" w:hAnsi="Arial" w:cs="Arial"/>
          <w:color w:val="000000" w:themeColor="text1"/>
          <w:sz w:val="24"/>
          <w:szCs w:val="24"/>
        </w:rPr>
        <w:t xml:space="preserve"> is not the case), then the </w:t>
      </w:r>
      <w:r w:rsidR="00DC34E2">
        <w:rPr>
          <w:rFonts w:ascii="Arial" w:hAnsi="Arial" w:cs="Arial"/>
          <w:color w:val="000000" w:themeColor="text1"/>
          <w:sz w:val="24"/>
          <w:szCs w:val="24"/>
        </w:rPr>
        <w:t>b</w:t>
      </w:r>
      <w:r w:rsidR="0086318B" w:rsidRPr="00676641">
        <w:rPr>
          <w:rFonts w:ascii="Arial" w:hAnsi="Arial" w:cs="Arial"/>
          <w:color w:val="000000" w:themeColor="text1"/>
          <w:sz w:val="24"/>
          <w:szCs w:val="24"/>
        </w:rPr>
        <w:t>oard expressly or at least tacitly delegated that power to the Office of the Prime Minister and its Permanent Secretary</w:t>
      </w:r>
      <w:r w:rsidR="00FC7919" w:rsidRPr="00676641">
        <w:rPr>
          <w:rFonts w:ascii="Arial" w:hAnsi="Arial" w:cs="Arial"/>
          <w:color w:val="000000" w:themeColor="text1"/>
          <w:sz w:val="24"/>
          <w:szCs w:val="24"/>
        </w:rPr>
        <w:t xml:space="preserve">, </w:t>
      </w:r>
      <w:r w:rsidR="0086318B" w:rsidRPr="00676641">
        <w:rPr>
          <w:rFonts w:ascii="Arial" w:hAnsi="Arial" w:cs="Arial"/>
          <w:color w:val="000000" w:themeColor="text1"/>
          <w:sz w:val="24"/>
          <w:szCs w:val="24"/>
        </w:rPr>
        <w:t>alternatively</w:t>
      </w:r>
      <w:r w:rsidR="002913A1" w:rsidRPr="00676641">
        <w:rPr>
          <w:rFonts w:ascii="Arial" w:hAnsi="Arial" w:cs="Arial"/>
          <w:color w:val="000000" w:themeColor="text1"/>
          <w:sz w:val="24"/>
          <w:szCs w:val="24"/>
        </w:rPr>
        <w:t>,</w:t>
      </w:r>
      <w:r w:rsidR="0086318B" w:rsidRPr="00676641">
        <w:rPr>
          <w:rFonts w:ascii="Arial" w:hAnsi="Arial" w:cs="Arial"/>
          <w:color w:val="000000" w:themeColor="text1"/>
          <w:sz w:val="24"/>
          <w:szCs w:val="24"/>
        </w:rPr>
        <w:t xml:space="preserve"> the appellant was lawfully entitled</w:t>
      </w:r>
      <w:r w:rsidR="00FC7919" w:rsidRPr="00676641">
        <w:rPr>
          <w:rFonts w:ascii="Arial" w:hAnsi="Arial" w:cs="Arial"/>
          <w:color w:val="000000" w:themeColor="text1"/>
          <w:sz w:val="24"/>
          <w:szCs w:val="24"/>
        </w:rPr>
        <w:t xml:space="preserve"> to assume that this </w:t>
      </w:r>
      <w:r w:rsidR="00126A0A" w:rsidRPr="00676641">
        <w:rPr>
          <w:rFonts w:ascii="Arial" w:hAnsi="Arial" w:cs="Arial"/>
          <w:color w:val="000000" w:themeColor="text1"/>
          <w:sz w:val="24"/>
          <w:szCs w:val="24"/>
        </w:rPr>
        <w:t xml:space="preserve">is </w:t>
      </w:r>
      <w:r w:rsidR="00FC7919" w:rsidRPr="00676641">
        <w:rPr>
          <w:rFonts w:ascii="Arial" w:hAnsi="Arial" w:cs="Arial"/>
          <w:color w:val="000000" w:themeColor="text1"/>
          <w:sz w:val="24"/>
          <w:szCs w:val="24"/>
        </w:rPr>
        <w:t>the case.</w:t>
      </w:r>
    </w:p>
    <w:p w14:paraId="62D8E6A8" w14:textId="77777777" w:rsidR="00676641" w:rsidRPr="00BE1C47" w:rsidRDefault="00676641" w:rsidP="00BE1C47">
      <w:pPr>
        <w:spacing w:line="480" w:lineRule="auto"/>
        <w:rPr>
          <w:rFonts w:ascii="Arial" w:hAnsi="Arial" w:cs="Arial"/>
          <w:color w:val="000000" w:themeColor="text1"/>
          <w:sz w:val="24"/>
          <w:szCs w:val="24"/>
        </w:rPr>
      </w:pPr>
    </w:p>
    <w:p w14:paraId="3615B41E" w14:textId="77777777" w:rsidR="00676641" w:rsidRDefault="00356F76" w:rsidP="00356F76">
      <w:pPr>
        <w:pStyle w:val="NoSpacing"/>
        <w:spacing w:line="480" w:lineRule="auto"/>
        <w:jc w:val="both"/>
        <w:rPr>
          <w:rFonts w:ascii="Arial" w:hAnsi="Arial" w:cs="Arial"/>
          <w:sz w:val="24"/>
        </w:rPr>
      </w:pPr>
      <w:r>
        <w:rPr>
          <w:rFonts w:ascii="Arial" w:hAnsi="Arial" w:cs="Arial"/>
          <w:color w:val="000000" w:themeColor="text1"/>
          <w:sz w:val="24"/>
          <w:szCs w:val="24"/>
        </w:rPr>
        <w:t>[31]</w:t>
      </w:r>
      <w:r>
        <w:rPr>
          <w:rFonts w:ascii="Arial" w:hAnsi="Arial" w:cs="Arial"/>
          <w:color w:val="000000" w:themeColor="text1"/>
          <w:sz w:val="24"/>
          <w:szCs w:val="24"/>
        </w:rPr>
        <w:tab/>
      </w:r>
      <w:r w:rsidR="006C5080" w:rsidRPr="00676641">
        <w:rPr>
          <w:rFonts w:ascii="Arial" w:hAnsi="Arial" w:cs="Arial"/>
          <w:color w:val="000000" w:themeColor="text1"/>
          <w:sz w:val="24"/>
          <w:szCs w:val="24"/>
        </w:rPr>
        <w:t xml:space="preserve">Mr </w:t>
      </w:r>
      <w:proofErr w:type="spellStart"/>
      <w:r w:rsidR="006C5080" w:rsidRPr="00676641">
        <w:rPr>
          <w:rFonts w:ascii="Arial" w:hAnsi="Arial" w:cs="Arial"/>
          <w:color w:val="000000" w:themeColor="text1"/>
          <w:sz w:val="24"/>
          <w:szCs w:val="24"/>
        </w:rPr>
        <w:t>Tötemeyer</w:t>
      </w:r>
      <w:proofErr w:type="spellEnd"/>
      <w:r w:rsidR="006C5080" w:rsidRPr="00676641">
        <w:rPr>
          <w:rFonts w:ascii="Arial" w:hAnsi="Arial" w:cs="Arial"/>
          <w:color w:val="000000" w:themeColor="text1"/>
          <w:sz w:val="24"/>
          <w:szCs w:val="24"/>
        </w:rPr>
        <w:t xml:space="preserve"> partly relied on s 18 of the Act for the submission that</w:t>
      </w:r>
      <w:r w:rsidR="00EA20AB" w:rsidRPr="00676641">
        <w:rPr>
          <w:rFonts w:ascii="Arial" w:hAnsi="Arial" w:cs="Arial"/>
          <w:color w:val="000000" w:themeColor="text1"/>
          <w:sz w:val="24"/>
          <w:szCs w:val="24"/>
        </w:rPr>
        <w:t>,</w:t>
      </w:r>
      <w:r w:rsidR="006C5080" w:rsidRPr="00676641">
        <w:rPr>
          <w:rFonts w:ascii="Arial" w:hAnsi="Arial" w:cs="Arial"/>
          <w:color w:val="000000" w:themeColor="text1"/>
          <w:sz w:val="24"/>
          <w:szCs w:val="24"/>
        </w:rPr>
        <w:t xml:space="preserve"> i</w:t>
      </w:r>
      <w:r w:rsidR="0086318B" w:rsidRPr="00676641">
        <w:rPr>
          <w:rFonts w:ascii="Arial" w:hAnsi="Arial" w:cs="Arial"/>
          <w:color w:val="000000" w:themeColor="text1"/>
          <w:sz w:val="24"/>
          <w:szCs w:val="24"/>
        </w:rPr>
        <w:t xml:space="preserve">n as much as a delegation by the </w:t>
      </w:r>
      <w:r w:rsidR="00DC34E2">
        <w:rPr>
          <w:rFonts w:ascii="Arial" w:hAnsi="Arial" w:cs="Arial"/>
          <w:color w:val="000000" w:themeColor="text1"/>
          <w:sz w:val="24"/>
          <w:szCs w:val="24"/>
        </w:rPr>
        <w:t>b</w:t>
      </w:r>
      <w:r w:rsidR="0086318B" w:rsidRPr="00676641">
        <w:rPr>
          <w:rFonts w:ascii="Arial" w:hAnsi="Arial" w:cs="Arial"/>
          <w:color w:val="000000" w:themeColor="text1"/>
          <w:sz w:val="24"/>
          <w:szCs w:val="24"/>
        </w:rPr>
        <w:t xml:space="preserve">oard to the </w:t>
      </w:r>
      <w:r w:rsidR="00EA20AB" w:rsidRPr="00676641">
        <w:rPr>
          <w:rFonts w:ascii="Arial" w:hAnsi="Arial" w:cs="Arial"/>
          <w:color w:val="000000" w:themeColor="text1"/>
          <w:sz w:val="24"/>
          <w:szCs w:val="24"/>
        </w:rPr>
        <w:t xml:space="preserve">Permanent Secretary of the Office of the Prime Minister </w:t>
      </w:r>
      <w:r w:rsidR="0086318B" w:rsidRPr="00676641">
        <w:rPr>
          <w:rFonts w:ascii="Arial" w:hAnsi="Arial" w:cs="Arial"/>
          <w:color w:val="000000" w:themeColor="text1"/>
          <w:sz w:val="24"/>
          <w:szCs w:val="24"/>
        </w:rPr>
        <w:t xml:space="preserve">was required </w:t>
      </w:r>
      <w:proofErr w:type="gramStart"/>
      <w:r w:rsidR="0086318B" w:rsidRPr="00676641">
        <w:rPr>
          <w:rFonts w:ascii="Arial" w:hAnsi="Arial" w:cs="Arial"/>
          <w:color w:val="000000" w:themeColor="text1"/>
          <w:sz w:val="24"/>
          <w:szCs w:val="24"/>
        </w:rPr>
        <w:t>in order to</w:t>
      </w:r>
      <w:proofErr w:type="gramEnd"/>
      <w:r w:rsidR="0086318B" w:rsidRPr="00676641">
        <w:rPr>
          <w:rFonts w:ascii="Arial" w:hAnsi="Arial" w:cs="Arial"/>
          <w:color w:val="000000" w:themeColor="text1"/>
          <w:sz w:val="24"/>
          <w:szCs w:val="24"/>
        </w:rPr>
        <w:t xml:space="preserve"> validly conclude the agreement, such delegation indeed occurred, either expressly or by clear implication</w:t>
      </w:r>
      <w:r w:rsidR="006C5080" w:rsidRPr="00676641">
        <w:rPr>
          <w:rFonts w:ascii="Arial" w:hAnsi="Arial" w:cs="Arial"/>
          <w:color w:val="000000" w:themeColor="text1"/>
          <w:sz w:val="24"/>
          <w:szCs w:val="24"/>
        </w:rPr>
        <w:t>. He argued that s 18(3) of the Act defines</w:t>
      </w:r>
      <w:r w:rsidR="0086318B" w:rsidRPr="00676641">
        <w:rPr>
          <w:rFonts w:ascii="Arial" w:hAnsi="Arial" w:cs="Arial"/>
          <w:color w:val="000000" w:themeColor="text1"/>
          <w:sz w:val="24"/>
          <w:szCs w:val="24"/>
        </w:rPr>
        <w:t xml:space="preserve">, </w:t>
      </w:r>
      <w:r w:rsidR="006C5080" w:rsidRPr="00676641">
        <w:rPr>
          <w:rFonts w:ascii="Arial" w:hAnsi="Arial" w:cs="Arial"/>
          <w:color w:val="000000" w:themeColor="text1"/>
          <w:sz w:val="24"/>
          <w:szCs w:val="24"/>
        </w:rPr>
        <w:t>‘a</w:t>
      </w:r>
      <w:r w:rsidR="0086318B" w:rsidRPr="00676641">
        <w:rPr>
          <w:rFonts w:ascii="Arial" w:hAnsi="Arial" w:cs="Arial"/>
          <w:color w:val="000000" w:themeColor="text1"/>
          <w:sz w:val="24"/>
          <w:szCs w:val="24"/>
        </w:rPr>
        <w:t>dministrative head</w:t>
      </w:r>
      <w:r w:rsidR="006C5080" w:rsidRPr="00676641">
        <w:rPr>
          <w:rFonts w:ascii="Arial" w:hAnsi="Arial" w:cs="Arial"/>
          <w:color w:val="000000" w:themeColor="text1"/>
          <w:sz w:val="24"/>
          <w:szCs w:val="24"/>
        </w:rPr>
        <w:t>’ to mean</w:t>
      </w:r>
      <w:r w:rsidR="0086318B" w:rsidRPr="00676641">
        <w:rPr>
          <w:rFonts w:ascii="Arial" w:hAnsi="Arial" w:cs="Arial"/>
          <w:color w:val="000000" w:themeColor="text1"/>
          <w:sz w:val="24"/>
          <w:szCs w:val="24"/>
        </w:rPr>
        <w:t xml:space="preserve"> </w:t>
      </w:r>
      <w:r w:rsidR="00DC34E2">
        <w:rPr>
          <w:rFonts w:ascii="Arial" w:hAnsi="Arial" w:cs="Arial"/>
          <w:color w:val="000000" w:themeColor="text1"/>
          <w:sz w:val="24"/>
          <w:szCs w:val="24"/>
        </w:rPr>
        <w:t>‘</w:t>
      </w:r>
      <w:r w:rsidR="0086318B" w:rsidRPr="00676641">
        <w:rPr>
          <w:rFonts w:ascii="Arial" w:hAnsi="Arial" w:cs="Arial"/>
          <w:color w:val="000000" w:themeColor="text1"/>
          <w:sz w:val="24"/>
          <w:szCs w:val="24"/>
        </w:rPr>
        <w:t>the permanent secretary of any office, ministry</w:t>
      </w:r>
      <w:r w:rsidR="002913A1" w:rsidRPr="00676641">
        <w:rPr>
          <w:rFonts w:ascii="Arial" w:hAnsi="Arial" w:cs="Arial"/>
          <w:color w:val="000000" w:themeColor="text1"/>
          <w:sz w:val="24"/>
          <w:szCs w:val="24"/>
        </w:rPr>
        <w:t>,</w:t>
      </w:r>
      <w:r w:rsidR="0086318B" w:rsidRPr="00676641">
        <w:rPr>
          <w:rFonts w:ascii="Arial" w:hAnsi="Arial" w:cs="Arial"/>
          <w:color w:val="000000" w:themeColor="text1"/>
          <w:sz w:val="24"/>
          <w:szCs w:val="24"/>
        </w:rPr>
        <w:t xml:space="preserve"> or agency</w:t>
      </w:r>
      <w:r w:rsidR="00DC34E2">
        <w:rPr>
          <w:rFonts w:ascii="Arial" w:hAnsi="Arial" w:cs="Arial"/>
          <w:color w:val="000000" w:themeColor="text1"/>
          <w:sz w:val="24"/>
          <w:szCs w:val="24"/>
        </w:rPr>
        <w:t>’</w:t>
      </w:r>
      <w:r w:rsidR="006C5080" w:rsidRPr="00676641">
        <w:rPr>
          <w:rFonts w:ascii="Arial" w:hAnsi="Arial" w:cs="Arial"/>
          <w:color w:val="000000" w:themeColor="text1"/>
          <w:sz w:val="24"/>
          <w:szCs w:val="24"/>
        </w:rPr>
        <w:t xml:space="preserve">. He argued that the </w:t>
      </w:r>
      <w:r w:rsidR="0086318B" w:rsidRPr="00676641">
        <w:rPr>
          <w:rFonts w:ascii="Arial" w:hAnsi="Arial" w:cs="Arial"/>
          <w:color w:val="000000" w:themeColor="text1"/>
          <w:sz w:val="24"/>
          <w:szCs w:val="24"/>
        </w:rPr>
        <w:t xml:space="preserve">tender award letter not only </w:t>
      </w:r>
      <w:r w:rsidR="0086318B" w:rsidRPr="00676641">
        <w:rPr>
          <w:rFonts w:ascii="Arial" w:hAnsi="Arial" w:cs="Arial"/>
          <w:color w:val="000000" w:themeColor="text1"/>
          <w:sz w:val="24"/>
          <w:szCs w:val="24"/>
        </w:rPr>
        <w:lastRenderedPageBreak/>
        <w:t xml:space="preserve">referred to a contract to be concluded with a </w:t>
      </w:r>
      <w:proofErr w:type="gramStart"/>
      <w:r w:rsidR="0086318B" w:rsidRPr="00676641">
        <w:rPr>
          <w:rFonts w:ascii="Arial" w:hAnsi="Arial" w:cs="Arial"/>
          <w:color w:val="000000" w:themeColor="text1"/>
          <w:sz w:val="24"/>
          <w:szCs w:val="24"/>
        </w:rPr>
        <w:t>Government</w:t>
      </w:r>
      <w:proofErr w:type="gramEnd"/>
      <w:r w:rsidR="0086318B" w:rsidRPr="00676641">
        <w:rPr>
          <w:rFonts w:ascii="Arial" w:hAnsi="Arial" w:cs="Arial"/>
          <w:color w:val="000000" w:themeColor="text1"/>
          <w:sz w:val="24"/>
          <w:szCs w:val="24"/>
        </w:rPr>
        <w:t xml:space="preserve"> office, Government</w:t>
      </w:r>
      <w:r w:rsidR="006C5080" w:rsidRPr="00676641">
        <w:rPr>
          <w:rFonts w:ascii="Arial" w:hAnsi="Arial" w:cs="Arial"/>
          <w:color w:val="000000" w:themeColor="text1"/>
          <w:sz w:val="24"/>
          <w:szCs w:val="24"/>
        </w:rPr>
        <w:t xml:space="preserve"> agency</w:t>
      </w:r>
      <w:r w:rsidR="002913A1" w:rsidRPr="00676641">
        <w:rPr>
          <w:rFonts w:ascii="Arial" w:hAnsi="Arial" w:cs="Arial"/>
          <w:color w:val="000000" w:themeColor="text1"/>
          <w:sz w:val="24"/>
          <w:szCs w:val="24"/>
        </w:rPr>
        <w:t>,</w:t>
      </w:r>
      <w:r w:rsidR="006C5080" w:rsidRPr="00676641">
        <w:rPr>
          <w:rFonts w:ascii="Arial" w:hAnsi="Arial" w:cs="Arial"/>
          <w:color w:val="000000" w:themeColor="text1"/>
          <w:sz w:val="24"/>
          <w:szCs w:val="24"/>
        </w:rPr>
        <w:t xml:space="preserve"> or agency of Government, </w:t>
      </w:r>
      <w:r w:rsidR="004D166A" w:rsidRPr="00676641">
        <w:rPr>
          <w:rFonts w:ascii="Arial" w:hAnsi="Arial" w:cs="Arial"/>
          <w:color w:val="000000" w:themeColor="text1"/>
          <w:sz w:val="24"/>
          <w:szCs w:val="24"/>
        </w:rPr>
        <w:t>but also</w:t>
      </w:r>
      <w:r w:rsidR="0086318B" w:rsidRPr="00676641">
        <w:rPr>
          <w:rFonts w:ascii="Arial" w:hAnsi="Arial" w:cs="Arial"/>
          <w:sz w:val="24"/>
          <w:szCs w:val="24"/>
        </w:rPr>
        <w:t xml:space="preserve"> specifically directed the appellant to the Office of the Prime Minister for further enquiries</w:t>
      </w:r>
      <w:r w:rsidR="006C5080" w:rsidRPr="00676641">
        <w:rPr>
          <w:rFonts w:ascii="Arial" w:hAnsi="Arial" w:cs="Arial"/>
          <w:sz w:val="24"/>
          <w:szCs w:val="24"/>
        </w:rPr>
        <w:t>.</w:t>
      </w:r>
    </w:p>
    <w:p w14:paraId="79ABAAC0" w14:textId="77777777" w:rsidR="00676641" w:rsidRPr="00BE1C47" w:rsidRDefault="00676641" w:rsidP="00BE1C47">
      <w:pPr>
        <w:spacing w:line="480" w:lineRule="auto"/>
        <w:rPr>
          <w:rFonts w:ascii="Arial" w:hAnsi="Arial" w:cs="Arial"/>
          <w:sz w:val="24"/>
        </w:rPr>
      </w:pPr>
    </w:p>
    <w:p w14:paraId="49C28F5F" w14:textId="77777777" w:rsidR="00676641" w:rsidRDefault="00356F76" w:rsidP="00356F76">
      <w:pPr>
        <w:pStyle w:val="NoSpacing"/>
        <w:spacing w:line="480" w:lineRule="auto"/>
        <w:jc w:val="both"/>
        <w:rPr>
          <w:rFonts w:ascii="Arial" w:hAnsi="Arial" w:cs="Arial"/>
          <w:sz w:val="24"/>
        </w:rPr>
      </w:pPr>
      <w:r>
        <w:rPr>
          <w:rFonts w:ascii="Arial" w:hAnsi="Arial" w:cs="Arial"/>
          <w:sz w:val="24"/>
        </w:rPr>
        <w:t>[32]</w:t>
      </w:r>
      <w:r>
        <w:rPr>
          <w:rFonts w:ascii="Arial" w:hAnsi="Arial" w:cs="Arial"/>
          <w:sz w:val="24"/>
        </w:rPr>
        <w:tab/>
      </w:r>
      <w:r w:rsidR="006C5080" w:rsidRPr="00676641">
        <w:rPr>
          <w:rFonts w:ascii="Arial" w:hAnsi="Arial" w:cs="Arial"/>
          <w:sz w:val="24"/>
        </w:rPr>
        <w:t>As regards the court</w:t>
      </w:r>
      <w:r w:rsidR="00E06AC7" w:rsidRPr="00676641">
        <w:rPr>
          <w:rFonts w:ascii="Arial" w:hAnsi="Arial" w:cs="Arial"/>
          <w:sz w:val="24"/>
        </w:rPr>
        <w:t>’</w:t>
      </w:r>
      <w:r w:rsidR="006C5080" w:rsidRPr="00676641">
        <w:rPr>
          <w:rFonts w:ascii="Arial" w:hAnsi="Arial" w:cs="Arial"/>
          <w:sz w:val="24"/>
        </w:rPr>
        <w:t xml:space="preserve">s finding that the agreement between the appellant and the </w:t>
      </w:r>
      <w:r w:rsidR="00165208">
        <w:rPr>
          <w:rFonts w:ascii="Arial" w:hAnsi="Arial" w:cs="Arial"/>
          <w:sz w:val="24"/>
        </w:rPr>
        <w:t>O</w:t>
      </w:r>
      <w:r w:rsidR="006C5080" w:rsidRPr="00676641">
        <w:rPr>
          <w:rFonts w:ascii="Arial" w:hAnsi="Arial" w:cs="Arial"/>
          <w:sz w:val="24"/>
        </w:rPr>
        <w:t xml:space="preserve">ffice of the Prime Minister was not concluded within the stipulated 30 days, Mr </w:t>
      </w:r>
      <w:proofErr w:type="spellStart"/>
      <w:r w:rsidR="006C5080" w:rsidRPr="00676641">
        <w:rPr>
          <w:rFonts w:ascii="Arial" w:hAnsi="Arial" w:cs="Arial"/>
          <w:sz w:val="24"/>
        </w:rPr>
        <w:t>Tötemeyer</w:t>
      </w:r>
      <w:proofErr w:type="spellEnd"/>
      <w:r w:rsidR="006C5080" w:rsidRPr="00676641">
        <w:rPr>
          <w:rFonts w:ascii="Arial" w:hAnsi="Arial" w:cs="Arial"/>
          <w:sz w:val="24"/>
        </w:rPr>
        <w:t xml:space="preserve"> argue</w:t>
      </w:r>
      <w:r w:rsidR="002913A1" w:rsidRPr="00676641">
        <w:rPr>
          <w:rFonts w:ascii="Arial" w:hAnsi="Arial" w:cs="Arial"/>
          <w:sz w:val="24"/>
        </w:rPr>
        <w:t>d</w:t>
      </w:r>
      <w:r w:rsidR="006C5080" w:rsidRPr="00676641">
        <w:rPr>
          <w:rFonts w:ascii="Arial" w:hAnsi="Arial" w:cs="Arial"/>
          <w:sz w:val="24"/>
        </w:rPr>
        <w:t xml:space="preserve"> that</w:t>
      </w:r>
      <w:r w:rsidR="005667AA" w:rsidRPr="00676641">
        <w:rPr>
          <w:rFonts w:ascii="Arial" w:hAnsi="Arial" w:cs="Arial"/>
          <w:sz w:val="24"/>
        </w:rPr>
        <w:t>:</w:t>
      </w:r>
      <w:r w:rsidR="001D2E2A">
        <w:rPr>
          <w:rStyle w:val="FootnoteReference"/>
          <w:rFonts w:ascii="Arial" w:hAnsi="Arial" w:cs="Arial"/>
          <w:sz w:val="24"/>
        </w:rPr>
        <w:footnoteReference w:id="8"/>
      </w:r>
      <w:r w:rsidR="006C5080" w:rsidRPr="00676641">
        <w:rPr>
          <w:rFonts w:ascii="Arial" w:hAnsi="Arial" w:cs="Arial"/>
          <w:sz w:val="24"/>
        </w:rPr>
        <w:t xml:space="preserve"> </w:t>
      </w:r>
    </w:p>
    <w:p w14:paraId="480300A9" w14:textId="77777777" w:rsidR="00676641" w:rsidRPr="00F32D25" w:rsidRDefault="00676641" w:rsidP="00BE1C47">
      <w:pPr>
        <w:pStyle w:val="NoSpacing"/>
        <w:spacing w:line="480" w:lineRule="auto"/>
        <w:jc w:val="both"/>
        <w:rPr>
          <w:rFonts w:ascii="Arial" w:hAnsi="Arial" w:cs="Arial"/>
          <w:color w:val="000000" w:themeColor="text1"/>
          <w:sz w:val="24"/>
        </w:rPr>
      </w:pPr>
    </w:p>
    <w:p w14:paraId="363D225F" w14:textId="5B1FC899" w:rsidR="004C4C38" w:rsidRDefault="00453860" w:rsidP="00453860">
      <w:pPr>
        <w:pStyle w:val="NoSpacing"/>
        <w:spacing w:line="480" w:lineRule="auto"/>
        <w:ind w:left="1134" w:hanging="425"/>
        <w:jc w:val="both"/>
        <w:rPr>
          <w:rFonts w:ascii="Arial" w:hAnsi="Arial" w:cs="Arial"/>
          <w:color w:val="000000" w:themeColor="text1"/>
          <w:sz w:val="24"/>
        </w:rPr>
      </w:pPr>
      <w:r>
        <w:rPr>
          <w:rFonts w:ascii="Arial" w:hAnsi="Arial" w:cs="Arial"/>
          <w:color w:val="000000" w:themeColor="text1"/>
          <w:sz w:val="24"/>
        </w:rPr>
        <w:t>(a)</w:t>
      </w:r>
      <w:r>
        <w:rPr>
          <w:rFonts w:ascii="Arial" w:hAnsi="Arial" w:cs="Arial"/>
          <w:color w:val="000000" w:themeColor="text1"/>
          <w:sz w:val="24"/>
        </w:rPr>
        <w:tab/>
      </w:r>
      <w:r w:rsidR="00676641" w:rsidRPr="00F32D25">
        <w:rPr>
          <w:rFonts w:ascii="Arial" w:hAnsi="Arial" w:cs="Arial"/>
          <w:color w:val="000000" w:themeColor="text1"/>
          <w:sz w:val="24"/>
        </w:rPr>
        <w:t>The Permanent Secretary in the Office of the Prime Minister on 5 March 2016</w:t>
      </w:r>
      <w:r w:rsidR="00676641">
        <w:rPr>
          <w:rFonts w:ascii="Arial" w:hAnsi="Arial" w:cs="Arial"/>
          <w:color w:val="000000" w:themeColor="text1"/>
          <w:sz w:val="24"/>
        </w:rPr>
        <w:t>,</w:t>
      </w:r>
      <w:r w:rsidR="00676641" w:rsidRPr="00F32D25">
        <w:rPr>
          <w:rFonts w:ascii="Arial" w:hAnsi="Arial" w:cs="Arial"/>
          <w:color w:val="000000" w:themeColor="text1"/>
          <w:sz w:val="24"/>
        </w:rPr>
        <w:t xml:space="preserve"> addressed a letter, to the </w:t>
      </w:r>
      <w:r w:rsidR="001D2E2A">
        <w:rPr>
          <w:rFonts w:ascii="Arial" w:hAnsi="Arial" w:cs="Arial"/>
          <w:color w:val="000000" w:themeColor="text1"/>
          <w:sz w:val="24"/>
        </w:rPr>
        <w:t>b</w:t>
      </w:r>
      <w:r w:rsidR="00676641" w:rsidRPr="00F32D25">
        <w:rPr>
          <w:rFonts w:ascii="Arial" w:hAnsi="Arial" w:cs="Arial"/>
          <w:color w:val="000000" w:themeColor="text1"/>
          <w:sz w:val="24"/>
        </w:rPr>
        <w:t xml:space="preserve">oard in which she recommended the grant of the tender to the </w:t>
      </w:r>
      <w:proofErr w:type="gramStart"/>
      <w:r w:rsidR="00676641" w:rsidRPr="00F32D25">
        <w:rPr>
          <w:rFonts w:ascii="Arial" w:hAnsi="Arial" w:cs="Arial"/>
          <w:color w:val="000000" w:themeColor="text1"/>
          <w:sz w:val="24"/>
        </w:rPr>
        <w:t>appellant;</w:t>
      </w:r>
      <w:proofErr w:type="gramEnd"/>
    </w:p>
    <w:p w14:paraId="625C5B38" w14:textId="77777777" w:rsidR="00302B19" w:rsidRPr="00165208" w:rsidRDefault="00302B19" w:rsidP="00302B19">
      <w:pPr>
        <w:pStyle w:val="NoSpacing"/>
        <w:spacing w:line="480" w:lineRule="auto"/>
        <w:ind w:left="720"/>
        <w:jc w:val="both"/>
        <w:rPr>
          <w:rFonts w:ascii="Arial" w:hAnsi="Arial" w:cs="Arial"/>
          <w:color w:val="000000" w:themeColor="text1"/>
          <w:sz w:val="24"/>
        </w:rPr>
      </w:pPr>
    </w:p>
    <w:p w14:paraId="0C2462D7" w14:textId="4EF9AAF1" w:rsidR="004C4C38" w:rsidRDefault="00453860" w:rsidP="00453860">
      <w:pPr>
        <w:pStyle w:val="NoSpacing"/>
        <w:spacing w:line="480" w:lineRule="auto"/>
        <w:ind w:left="1134" w:hanging="425"/>
        <w:jc w:val="both"/>
        <w:rPr>
          <w:rFonts w:ascii="Arial" w:hAnsi="Arial" w:cs="Arial"/>
          <w:color w:val="000000" w:themeColor="text1"/>
          <w:sz w:val="24"/>
        </w:rPr>
      </w:pPr>
      <w:r>
        <w:rPr>
          <w:rFonts w:ascii="Arial" w:hAnsi="Arial" w:cs="Arial"/>
          <w:color w:val="000000" w:themeColor="text1"/>
          <w:sz w:val="24"/>
        </w:rPr>
        <w:t>(b)</w:t>
      </w:r>
      <w:r>
        <w:rPr>
          <w:rFonts w:ascii="Arial" w:hAnsi="Arial" w:cs="Arial"/>
          <w:color w:val="000000" w:themeColor="text1"/>
          <w:sz w:val="24"/>
        </w:rPr>
        <w:tab/>
      </w:r>
      <w:r w:rsidR="00676641" w:rsidRPr="00AB6565">
        <w:rPr>
          <w:rFonts w:ascii="Arial" w:hAnsi="Arial" w:cs="Arial"/>
          <w:color w:val="000000" w:themeColor="text1"/>
          <w:sz w:val="24"/>
        </w:rPr>
        <w:t xml:space="preserve">On 28 </w:t>
      </w:r>
      <w:r w:rsidR="00676641" w:rsidRPr="00165208">
        <w:rPr>
          <w:rFonts w:ascii="Arial" w:hAnsi="Arial" w:cs="Arial"/>
          <w:color w:val="000000" w:themeColor="text1"/>
          <w:sz w:val="24"/>
        </w:rPr>
        <w:t>February 2017, the</w:t>
      </w:r>
      <w:r w:rsidR="00676641" w:rsidRPr="00AB6565">
        <w:rPr>
          <w:rFonts w:ascii="Arial" w:hAnsi="Arial" w:cs="Arial"/>
          <w:color w:val="000000" w:themeColor="text1"/>
          <w:sz w:val="24"/>
        </w:rPr>
        <w:t xml:space="preserve"> Permanent Secretary of the Office of the Prime Minister addressed a letter to the appellant requesting a change in the scope of the work of the </w:t>
      </w:r>
      <w:proofErr w:type="gramStart"/>
      <w:r w:rsidR="00676641" w:rsidRPr="00AB6565">
        <w:rPr>
          <w:rFonts w:ascii="Arial" w:hAnsi="Arial" w:cs="Arial"/>
          <w:color w:val="000000" w:themeColor="text1"/>
          <w:sz w:val="24"/>
        </w:rPr>
        <w:t>appellant;</w:t>
      </w:r>
      <w:proofErr w:type="gramEnd"/>
    </w:p>
    <w:p w14:paraId="6AF0905E" w14:textId="77777777" w:rsidR="00165208" w:rsidRPr="004C4C38" w:rsidRDefault="00165208" w:rsidP="00302B19">
      <w:pPr>
        <w:pStyle w:val="NoSpacing"/>
        <w:spacing w:line="480" w:lineRule="auto"/>
        <w:ind w:left="720"/>
        <w:jc w:val="both"/>
        <w:rPr>
          <w:rFonts w:ascii="Arial" w:hAnsi="Arial" w:cs="Arial"/>
          <w:color w:val="000000" w:themeColor="text1"/>
          <w:sz w:val="24"/>
        </w:rPr>
      </w:pPr>
    </w:p>
    <w:p w14:paraId="29DF642E" w14:textId="331F3324" w:rsidR="00AB6565" w:rsidRPr="004C4C38" w:rsidRDefault="00453860" w:rsidP="00453860">
      <w:pPr>
        <w:pStyle w:val="NoSpacing"/>
        <w:spacing w:line="480" w:lineRule="auto"/>
        <w:ind w:left="1134" w:hanging="425"/>
        <w:jc w:val="both"/>
        <w:rPr>
          <w:rFonts w:ascii="Arial" w:hAnsi="Arial" w:cs="Arial"/>
          <w:color w:val="000000" w:themeColor="text1"/>
          <w:sz w:val="24"/>
        </w:rPr>
      </w:pPr>
      <w:r w:rsidRPr="004C4C38">
        <w:rPr>
          <w:rFonts w:ascii="Arial" w:hAnsi="Arial" w:cs="Arial"/>
          <w:color w:val="000000" w:themeColor="text1"/>
          <w:sz w:val="24"/>
        </w:rPr>
        <w:t>(c)</w:t>
      </w:r>
      <w:r w:rsidRPr="004C4C38">
        <w:rPr>
          <w:rFonts w:ascii="Arial" w:hAnsi="Arial" w:cs="Arial"/>
          <w:color w:val="000000" w:themeColor="text1"/>
          <w:sz w:val="24"/>
        </w:rPr>
        <w:tab/>
      </w:r>
      <w:r w:rsidR="00676641" w:rsidRPr="004C4C38">
        <w:rPr>
          <w:rFonts w:ascii="Arial" w:hAnsi="Arial" w:cs="Arial"/>
          <w:sz w:val="24"/>
        </w:rPr>
        <w:t>On 19 April 2016, the Permanent Secretary of the Office of the Prime Minister authored the letter awarding the tender to the appellant and in that same letter requested the appellant to (and pending the finalisation of the contract – the service level agreement) ‘</w:t>
      </w:r>
      <w:r w:rsidR="00AD2C5C" w:rsidRPr="004C4C38">
        <w:rPr>
          <w:rFonts w:ascii="Arial" w:hAnsi="Arial" w:cs="Arial"/>
          <w:i/>
          <w:iCs/>
          <w:sz w:val="24"/>
        </w:rPr>
        <w:t>in the meantime . . . prepare</w:t>
      </w:r>
      <w:r w:rsidR="00676641" w:rsidRPr="004C4C38">
        <w:rPr>
          <w:rFonts w:ascii="Arial" w:hAnsi="Arial" w:cs="Arial"/>
          <w:i/>
          <w:iCs/>
          <w:sz w:val="24"/>
        </w:rPr>
        <w:t xml:space="preserve"> a project implementation plan including a detailed training plan</w:t>
      </w:r>
      <w:r w:rsidR="00676641" w:rsidRPr="004C4C38">
        <w:rPr>
          <w:rFonts w:ascii="Arial" w:hAnsi="Arial" w:cs="Arial"/>
          <w:iCs/>
          <w:sz w:val="24"/>
        </w:rPr>
        <w:t>’</w:t>
      </w:r>
      <w:r w:rsidR="00676641" w:rsidRPr="004C4C38">
        <w:rPr>
          <w:rFonts w:ascii="Arial" w:hAnsi="Arial" w:cs="Arial"/>
          <w:i/>
          <w:iCs/>
          <w:sz w:val="24"/>
        </w:rPr>
        <w:t>.</w:t>
      </w:r>
      <w:r w:rsidR="00676641" w:rsidRPr="004C4C38">
        <w:rPr>
          <w:rFonts w:ascii="Arial" w:hAnsi="Arial" w:cs="Arial"/>
          <w:sz w:val="24"/>
        </w:rPr>
        <w:t xml:space="preserve"> He argued </w:t>
      </w:r>
      <w:proofErr w:type="gramStart"/>
      <w:r w:rsidR="00676641" w:rsidRPr="004C4C38">
        <w:rPr>
          <w:rFonts w:ascii="Arial" w:hAnsi="Arial" w:cs="Arial"/>
          <w:sz w:val="24"/>
        </w:rPr>
        <w:t>that,</w:t>
      </w:r>
      <w:proofErr w:type="gramEnd"/>
      <w:r w:rsidR="00676641" w:rsidRPr="004C4C38">
        <w:rPr>
          <w:rFonts w:ascii="Arial" w:hAnsi="Arial" w:cs="Arial"/>
          <w:sz w:val="24"/>
        </w:rPr>
        <w:t xml:space="preserve"> 19 April 2016 was well after expiry of the 30-day period mentioned in s </w:t>
      </w:r>
      <w:r w:rsidR="001D2E2A" w:rsidRPr="004C4C38">
        <w:rPr>
          <w:rFonts w:ascii="Arial" w:hAnsi="Arial" w:cs="Arial"/>
          <w:sz w:val="24"/>
        </w:rPr>
        <w:t>16 of the Act</w:t>
      </w:r>
      <w:r w:rsidR="00676641" w:rsidRPr="004C4C38">
        <w:rPr>
          <w:rFonts w:ascii="Arial" w:hAnsi="Arial" w:cs="Arial"/>
          <w:sz w:val="24"/>
        </w:rPr>
        <w:t>;</w:t>
      </w:r>
    </w:p>
    <w:p w14:paraId="7A130044" w14:textId="77777777" w:rsidR="00AB6565" w:rsidRDefault="00AB6565" w:rsidP="00302B19">
      <w:pPr>
        <w:pStyle w:val="ListParagraph"/>
        <w:spacing w:line="480" w:lineRule="auto"/>
        <w:rPr>
          <w:rFonts w:ascii="Arial" w:hAnsi="Arial" w:cs="Arial"/>
          <w:sz w:val="24"/>
        </w:rPr>
      </w:pPr>
    </w:p>
    <w:p w14:paraId="45FE1C73" w14:textId="5A34B561" w:rsidR="00AB6565" w:rsidRDefault="00453860" w:rsidP="00453860">
      <w:pPr>
        <w:pStyle w:val="NoSpacing"/>
        <w:spacing w:line="480" w:lineRule="auto"/>
        <w:ind w:left="1134" w:hanging="425"/>
        <w:jc w:val="both"/>
        <w:rPr>
          <w:rFonts w:ascii="Arial" w:hAnsi="Arial" w:cs="Arial"/>
          <w:color w:val="000000" w:themeColor="text1"/>
          <w:sz w:val="24"/>
        </w:rPr>
      </w:pPr>
      <w:r>
        <w:rPr>
          <w:rFonts w:ascii="Arial" w:hAnsi="Arial" w:cs="Arial"/>
          <w:color w:val="000000" w:themeColor="text1"/>
          <w:sz w:val="24"/>
        </w:rPr>
        <w:lastRenderedPageBreak/>
        <w:t>(d)</w:t>
      </w:r>
      <w:r>
        <w:rPr>
          <w:rFonts w:ascii="Arial" w:hAnsi="Arial" w:cs="Arial"/>
          <w:color w:val="000000" w:themeColor="text1"/>
          <w:sz w:val="24"/>
        </w:rPr>
        <w:tab/>
      </w:r>
      <w:r w:rsidR="00676641" w:rsidRPr="00AB6565">
        <w:rPr>
          <w:rFonts w:ascii="Arial" w:hAnsi="Arial" w:cs="Arial"/>
          <w:sz w:val="24"/>
        </w:rPr>
        <w:t>On 19 May 2016, the appellant addressed a letter to the Permanent Secretary of the Office of the Prime Minister in terms of which the appellant fo</w:t>
      </w:r>
      <w:r w:rsidR="001D2E2A">
        <w:rPr>
          <w:rFonts w:ascii="Arial" w:hAnsi="Arial" w:cs="Arial"/>
          <w:sz w:val="24"/>
        </w:rPr>
        <w:t xml:space="preserve">rwarded the project plan to </w:t>
      </w:r>
      <w:proofErr w:type="gramStart"/>
      <w:r w:rsidR="001D2E2A">
        <w:rPr>
          <w:rFonts w:ascii="Arial" w:hAnsi="Arial" w:cs="Arial"/>
          <w:sz w:val="24"/>
        </w:rPr>
        <w:t>her;</w:t>
      </w:r>
      <w:proofErr w:type="gramEnd"/>
    </w:p>
    <w:p w14:paraId="40964969" w14:textId="77777777" w:rsidR="00AB6565" w:rsidRDefault="00AB6565" w:rsidP="00302B19">
      <w:pPr>
        <w:pStyle w:val="ListParagraph"/>
        <w:spacing w:line="480" w:lineRule="auto"/>
        <w:rPr>
          <w:rFonts w:ascii="Arial" w:hAnsi="Arial" w:cs="Arial"/>
          <w:sz w:val="24"/>
        </w:rPr>
      </w:pPr>
    </w:p>
    <w:p w14:paraId="608B0E9E" w14:textId="20BEFE76" w:rsidR="00676641" w:rsidRPr="00AB6565" w:rsidRDefault="00453860" w:rsidP="00453860">
      <w:pPr>
        <w:pStyle w:val="NoSpacing"/>
        <w:spacing w:line="480" w:lineRule="auto"/>
        <w:ind w:left="1134" w:hanging="425"/>
        <w:jc w:val="both"/>
        <w:rPr>
          <w:rFonts w:ascii="Arial" w:hAnsi="Arial" w:cs="Arial"/>
          <w:color w:val="000000" w:themeColor="text1"/>
          <w:sz w:val="24"/>
        </w:rPr>
      </w:pPr>
      <w:r w:rsidRPr="00AB6565">
        <w:rPr>
          <w:rFonts w:ascii="Arial" w:hAnsi="Arial" w:cs="Arial"/>
          <w:color w:val="000000" w:themeColor="text1"/>
          <w:sz w:val="24"/>
        </w:rPr>
        <w:t>(e)</w:t>
      </w:r>
      <w:r w:rsidRPr="00AB6565">
        <w:rPr>
          <w:rFonts w:ascii="Arial" w:hAnsi="Arial" w:cs="Arial"/>
          <w:color w:val="000000" w:themeColor="text1"/>
          <w:sz w:val="24"/>
        </w:rPr>
        <w:tab/>
      </w:r>
      <w:r w:rsidR="00676641" w:rsidRPr="00AB6565">
        <w:rPr>
          <w:rFonts w:ascii="Arial" w:hAnsi="Arial" w:cs="Arial"/>
          <w:sz w:val="24"/>
        </w:rPr>
        <w:t xml:space="preserve">On 23 June 2016, the appellant received an email communication from the Permanent Secretary of the Office of the Prime Minister in terms of which </w:t>
      </w:r>
      <w:r w:rsidR="00AA50B6">
        <w:rPr>
          <w:rFonts w:ascii="Arial" w:hAnsi="Arial" w:cs="Arial"/>
          <w:sz w:val="24"/>
        </w:rPr>
        <w:t>she confirmed that, after input</w:t>
      </w:r>
      <w:r w:rsidR="00676641" w:rsidRPr="00AB6565">
        <w:rPr>
          <w:rFonts w:ascii="Arial" w:hAnsi="Arial" w:cs="Arial"/>
          <w:sz w:val="24"/>
        </w:rPr>
        <w:t xml:space="preserve"> from other parties, notably the office of the Attorney</w:t>
      </w:r>
      <w:r w:rsidR="001D2E2A">
        <w:rPr>
          <w:rFonts w:ascii="Arial" w:hAnsi="Arial" w:cs="Arial"/>
          <w:sz w:val="24"/>
        </w:rPr>
        <w:t>-</w:t>
      </w:r>
      <w:r w:rsidR="00676641" w:rsidRPr="00AB6565">
        <w:rPr>
          <w:rFonts w:ascii="Arial" w:hAnsi="Arial" w:cs="Arial"/>
          <w:sz w:val="24"/>
        </w:rPr>
        <w:t>General, the agreement was in order.</w:t>
      </w:r>
    </w:p>
    <w:p w14:paraId="51BCBC8F" w14:textId="77777777" w:rsidR="00676641" w:rsidRPr="00676641" w:rsidRDefault="00676641" w:rsidP="00676641">
      <w:pPr>
        <w:spacing w:line="480" w:lineRule="auto"/>
        <w:rPr>
          <w:rFonts w:ascii="Arial" w:hAnsi="Arial" w:cs="Arial"/>
          <w:sz w:val="24"/>
        </w:rPr>
      </w:pPr>
    </w:p>
    <w:p w14:paraId="509A88C6" w14:textId="77777777" w:rsidR="00676641" w:rsidRDefault="00356F76" w:rsidP="00356F76">
      <w:pPr>
        <w:pStyle w:val="NoSpacing"/>
        <w:spacing w:line="480" w:lineRule="auto"/>
        <w:jc w:val="both"/>
        <w:rPr>
          <w:rFonts w:ascii="Arial" w:hAnsi="Arial" w:cs="Arial"/>
          <w:sz w:val="24"/>
        </w:rPr>
      </w:pPr>
      <w:r>
        <w:rPr>
          <w:rFonts w:ascii="Arial" w:hAnsi="Arial" w:cs="Arial"/>
          <w:sz w:val="24"/>
        </w:rPr>
        <w:t>[33]</w:t>
      </w:r>
      <w:r>
        <w:rPr>
          <w:rFonts w:ascii="Arial" w:hAnsi="Arial" w:cs="Arial"/>
          <w:sz w:val="24"/>
        </w:rPr>
        <w:tab/>
      </w:r>
      <w:r w:rsidR="00CF06E9" w:rsidRPr="00676641">
        <w:rPr>
          <w:rFonts w:ascii="Arial" w:hAnsi="Arial" w:cs="Arial"/>
          <w:sz w:val="24"/>
        </w:rPr>
        <w:t xml:space="preserve">Based on the </w:t>
      </w:r>
      <w:r w:rsidR="00E06AC7" w:rsidRPr="00676641">
        <w:rPr>
          <w:rFonts w:ascii="Arial" w:hAnsi="Arial" w:cs="Arial"/>
          <w:sz w:val="24"/>
        </w:rPr>
        <w:t>facts that he enumerated as set</w:t>
      </w:r>
      <w:r w:rsidR="00466F1A" w:rsidRPr="00676641">
        <w:rPr>
          <w:rFonts w:ascii="Arial" w:hAnsi="Arial" w:cs="Arial"/>
          <w:sz w:val="24"/>
        </w:rPr>
        <w:t xml:space="preserve"> out </w:t>
      </w:r>
      <w:r w:rsidR="007A079C" w:rsidRPr="00676641">
        <w:rPr>
          <w:rFonts w:ascii="Arial" w:hAnsi="Arial" w:cs="Arial"/>
          <w:sz w:val="24"/>
        </w:rPr>
        <w:t>in the preceding paragraph</w:t>
      </w:r>
      <w:r w:rsidR="00740A7B" w:rsidRPr="00676641">
        <w:rPr>
          <w:rFonts w:ascii="Arial" w:hAnsi="Arial" w:cs="Arial"/>
          <w:sz w:val="24"/>
        </w:rPr>
        <w:t>s</w:t>
      </w:r>
      <w:r w:rsidR="00466F1A" w:rsidRPr="00676641">
        <w:rPr>
          <w:rFonts w:ascii="Arial" w:hAnsi="Arial" w:cs="Arial"/>
          <w:sz w:val="24"/>
        </w:rPr>
        <w:t>,</w:t>
      </w:r>
      <w:r w:rsidR="007A079C" w:rsidRPr="00676641">
        <w:rPr>
          <w:rFonts w:ascii="Arial" w:hAnsi="Arial" w:cs="Arial"/>
          <w:sz w:val="24"/>
        </w:rPr>
        <w:t xml:space="preserve"> Mr </w:t>
      </w:r>
      <w:proofErr w:type="spellStart"/>
      <w:r w:rsidR="007A079C" w:rsidRPr="00676641">
        <w:rPr>
          <w:rFonts w:ascii="Arial" w:hAnsi="Arial" w:cs="Arial"/>
          <w:sz w:val="24"/>
        </w:rPr>
        <w:t>Tötemeyer</w:t>
      </w:r>
      <w:proofErr w:type="spellEnd"/>
      <w:r w:rsidR="007A079C" w:rsidRPr="00676641">
        <w:rPr>
          <w:rFonts w:ascii="Arial" w:hAnsi="Arial" w:cs="Arial"/>
          <w:sz w:val="24"/>
        </w:rPr>
        <w:t xml:space="preserve"> submitted that </w:t>
      </w:r>
      <w:r w:rsidR="0086318B" w:rsidRPr="00676641">
        <w:rPr>
          <w:rFonts w:ascii="Arial" w:hAnsi="Arial" w:cs="Arial"/>
          <w:sz w:val="24"/>
        </w:rPr>
        <w:t>it is apparent th</w:t>
      </w:r>
      <w:r w:rsidR="00E06AC7" w:rsidRPr="00676641">
        <w:rPr>
          <w:rFonts w:ascii="Arial" w:hAnsi="Arial" w:cs="Arial"/>
          <w:sz w:val="24"/>
        </w:rPr>
        <w:t>at the Attorney-</w:t>
      </w:r>
      <w:r w:rsidR="0086318B" w:rsidRPr="00676641">
        <w:rPr>
          <w:rFonts w:ascii="Arial" w:hAnsi="Arial" w:cs="Arial"/>
          <w:sz w:val="24"/>
        </w:rPr>
        <w:t xml:space="preserve">General’s office clearly sanctioned the conclusion of the agreement by the </w:t>
      </w:r>
      <w:r w:rsidR="007A079C" w:rsidRPr="00676641">
        <w:rPr>
          <w:rFonts w:ascii="Arial" w:hAnsi="Arial" w:cs="Arial"/>
          <w:sz w:val="24"/>
        </w:rPr>
        <w:t xml:space="preserve">Permanent Secretary of the Office of the Prime Minister </w:t>
      </w:r>
      <w:r w:rsidR="0086318B" w:rsidRPr="00676641">
        <w:rPr>
          <w:rFonts w:ascii="Arial" w:hAnsi="Arial" w:cs="Arial"/>
          <w:sz w:val="24"/>
        </w:rPr>
        <w:t xml:space="preserve">on behalf of the Government and did so </w:t>
      </w:r>
      <w:r w:rsidR="00740A7B" w:rsidRPr="00676641">
        <w:rPr>
          <w:rFonts w:ascii="Arial" w:hAnsi="Arial" w:cs="Arial"/>
          <w:sz w:val="24"/>
        </w:rPr>
        <w:t>well after the expiry of the 30-</w:t>
      </w:r>
      <w:r w:rsidR="0086318B" w:rsidRPr="00676641">
        <w:rPr>
          <w:rFonts w:ascii="Arial" w:hAnsi="Arial" w:cs="Arial"/>
          <w:sz w:val="24"/>
        </w:rPr>
        <w:t>day period</w:t>
      </w:r>
      <w:r w:rsidR="00E06AC7" w:rsidRPr="00676641">
        <w:rPr>
          <w:rFonts w:ascii="Arial" w:hAnsi="Arial" w:cs="Arial"/>
          <w:sz w:val="24"/>
        </w:rPr>
        <w:t>,</w:t>
      </w:r>
      <w:r w:rsidR="0086318B" w:rsidRPr="00676641">
        <w:rPr>
          <w:rFonts w:ascii="Arial" w:hAnsi="Arial" w:cs="Arial"/>
          <w:sz w:val="24"/>
        </w:rPr>
        <w:t xml:space="preserve"> belatedly relied </w:t>
      </w:r>
      <w:r w:rsidR="00C43AEE">
        <w:rPr>
          <w:rFonts w:ascii="Arial" w:hAnsi="Arial" w:cs="Arial"/>
          <w:sz w:val="24"/>
        </w:rPr>
        <w:t xml:space="preserve">upon </w:t>
      </w:r>
      <w:r w:rsidR="0086318B" w:rsidRPr="00676641">
        <w:rPr>
          <w:rFonts w:ascii="Arial" w:hAnsi="Arial" w:cs="Arial"/>
          <w:sz w:val="24"/>
        </w:rPr>
        <w:t xml:space="preserve">by the respondents as allegedly invalidating the contract. </w:t>
      </w:r>
    </w:p>
    <w:p w14:paraId="537DF111" w14:textId="77777777" w:rsidR="00676641" w:rsidRDefault="00676641" w:rsidP="00676641">
      <w:pPr>
        <w:pStyle w:val="NoSpacing"/>
        <w:spacing w:line="480" w:lineRule="auto"/>
        <w:jc w:val="both"/>
        <w:rPr>
          <w:rFonts w:ascii="Arial" w:hAnsi="Arial" w:cs="Arial"/>
          <w:sz w:val="24"/>
        </w:rPr>
      </w:pPr>
    </w:p>
    <w:p w14:paraId="2195EA8D" w14:textId="77777777" w:rsidR="00676641" w:rsidRDefault="00356F76" w:rsidP="00356F76">
      <w:pPr>
        <w:pStyle w:val="NoSpacing"/>
        <w:spacing w:line="480" w:lineRule="auto"/>
        <w:jc w:val="both"/>
        <w:rPr>
          <w:rFonts w:ascii="Arial" w:hAnsi="Arial" w:cs="Arial"/>
          <w:sz w:val="24"/>
        </w:rPr>
      </w:pPr>
      <w:r>
        <w:rPr>
          <w:rFonts w:ascii="Arial" w:hAnsi="Arial" w:cs="Arial"/>
          <w:sz w:val="24"/>
        </w:rPr>
        <w:t>[34]</w:t>
      </w:r>
      <w:r>
        <w:rPr>
          <w:rFonts w:ascii="Arial" w:hAnsi="Arial" w:cs="Arial"/>
          <w:sz w:val="24"/>
        </w:rPr>
        <w:tab/>
      </w:r>
      <w:r w:rsidR="007A079C" w:rsidRPr="00676641">
        <w:rPr>
          <w:rFonts w:ascii="Arial" w:hAnsi="Arial" w:cs="Arial"/>
          <w:sz w:val="24"/>
        </w:rPr>
        <w:t>He, relying on s</w:t>
      </w:r>
      <w:r w:rsidR="001D2E2A">
        <w:rPr>
          <w:rFonts w:ascii="Arial" w:hAnsi="Arial" w:cs="Arial"/>
          <w:sz w:val="24"/>
        </w:rPr>
        <w:t xml:space="preserve"> 16</w:t>
      </w:r>
      <w:r w:rsidR="007A079C" w:rsidRPr="00676641">
        <w:rPr>
          <w:rFonts w:ascii="Arial" w:hAnsi="Arial" w:cs="Arial"/>
          <w:sz w:val="24"/>
        </w:rPr>
        <w:t>(2)</w:t>
      </w:r>
      <w:r w:rsidR="007A079C" w:rsidRPr="001D2E2A">
        <w:rPr>
          <w:rFonts w:ascii="Arial" w:hAnsi="Arial" w:cs="Arial"/>
          <w:i/>
          <w:sz w:val="24"/>
        </w:rPr>
        <w:t>(a)</w:t>
      </w:r>
      <w:r w:rsidR="007A079C" w:rsidRPr="00676641">
        <w:rPr>
          <w:rFonts w:ascii="Arial" w:hAnsi="Arial" w:cs="Arial"/>
          <w:sz w:val="24"/>
        </w:rPr>
        <w:t xml:space="preserve"> of the Act, further </w:t>
      </w:r>
      <w:r w:rsidR="0086318B" w:rsidRPr="00676641">
        <w:rPr>
          <w:rFonts w:ascii="Arial" w:hAnsi="Arial" w:cs="Arial"/>
          <w:sz w:val="24"/>
        </w:rPr>
        <w:t>submitted</w:t>
      </w:r>
      <w:r w:rsidR="007A079C" w:rsidRPr="00676641">
        <w:rPr>
          <w:rFonts w:ascii="Arial" w:hAnsi="Arial" w:cs="Arial"/>
          <w:sz w:val="24"/>
        </w:rPr>
        <w:t>, that the facts of this matter</w:t>
      </w:r>
      <w:r w:rsidR="00E06AC7" w:rsidRPr="00676641">
        <w:rPr>
          <w:rFonts w:ascii="Arial" w:hAnsi="Arial" w:cs="Arial"/>
          <w:sz w:val="24"/>
        </w:rPr>
        <w:t>,</w:t>
      </w:r>
      <w:r w:rsidR="007A079C" w:rsidRPr="00676641">
        <w:rPr>
          <w:rFonts w:ascii="Arial" w:hAnsi="Arial" w:cs="Arial"/>
          <w:sz w:val="24"/>
        </w:rPr>
        <w:t xml:space="preserve"> particularly those set out earlier in paragraph [2</w:t>
      </w:r>
      <w:r w:rsidR="00466F1A" w:rsidRPr="00676641">
        <w:rPr>
          <w:rFonts w:ascii="Arial" w:hAnsi="Arial" w:cs="Arial"/>
          <w:sz w:val="24"/>
        </w:rPr>
        <w:t>9]</w:t>
      </w:r>
      <w:r w:rsidR="00E06AC7" w:rsidRPr="00676641">
        <w:rPr>
          <w:rFonts w:ascii="Arial" w:hAnsi="Arial" w:cs="Arial"/>
          <w:sz w:val="24"/>
        </w:rPr>
        <w:t>,</w:t>
      </w:r>
      <w:r w:rsidR="00466F1A" w:rsidRPr="00676641">
        <w:rPr>
          <w:rFonts w:ascii="Arial" w:hAnsi="Arial" w:cs="Arial"/>
          <w:sz w:val="24"/>
        </w:rPr>
        <w:t xml:space="preserve"> </w:t>
      </w:r>
      <w:r w:rsidR="007A079C" w:rsidRPr="00676641">
        <w:rPr>
          <w:rFonts w:ascii="Arial" w:hAnsi="Arial" w:cs="Arial"/>
          <w:sz w:val="24"/>
        </w:rPr>
        <w:t xml:space="preserve">demonstrate that there was </w:t>
      </w:r>
      <w:r w:rsidR="00466F1A" w:rsidRPr="00676641">
        <w:rPr>
          <w:rFonts w:ascii="Arial" w:hAnsi="Arial" w:cs="Arial"/>
          <w:sz w:val="24"/>
        </w:rPr>
        <w:t xml:space="preserve">an </w:t>
      </w:r>
      <w:r w:rsidR="007A079C" w:rsidRPr="00676641">
        <w:rPr>
          <w:rFonts w:ascii="Arial" w:hAnsi="Arial" w:cs="Arial"/>
          <w:sz w:val="24"/>
        </w:rPr>
        <w:t>express or at least tacit extensi</w:t>
      </w:r>
      <w:r w:rsidR="00740A7B" w:rsidRPr="00676641">
        <w:rPr>
          <w:rFonts w:ascii="Arial" w:hAnsi="Arial" w:cs="Arial"/>
          <w:sz w:val="24"/>
        </w:rPr>
        <w:t>on of the 30-</w:t>
      </w:r>
      <w:r w:rsidR="007A079C" w:rsidRPr="00676641">
        <w:rPr>
          <w:rFonts w:ascii="Arial" w:hAnsi="Arial" w:cs="Arial"/>
          <w:sz w:val="24"/>
        </w:rPr>
        <w:t>day period. It is to be noted</w:t>
      </w:r>
      <w:r w:rsidR="00466F1A" w:rsidRPr="00676641">
        <w:rPr>
          <w:rFonts w:ascii="Arial" w:hAnsi="Arial" w:cs="Arial"/>
          <w:sz w:val="24"/>
        </w:rPr>
        <w:t xml:space="preserve">, argued Mr </w:t>
      </w:r>
      <w:proofErr w:type="spellStart"/>
      <w:r w:rsidR="004D166A" w:rsidRPr="00676641">
        <w:rPr>
          <w:rFonts w:ascii="Arial" w:hAnsi="Arial" w:cs="Arial"/>
          <w:sz w:val="24"/>
        </w:rPr>
        <w:t>Tötemeyer</w:t>
      </w:r>
      <w:proofErr w:type="spellEnd"/>
      <w:r w:rsidR="004D166A" w:rsidRPr="00676641">
        <w:rPr>
          <w:rFonts w:ascii="Arial" w:hAnsi="Arial" w:cs="Arial"/>
          <w:sz w:val="24"/>
        </w:rPr>
        <w:t xml:space="preserve"> that</w:t>
      </w:r>
      <w:r w:rsidR="007A079C" w:rsidRPr="00676641">
        <w:rPr>
          <w:rFonts w:ascii="Arial" w:hAnsi="Arial" w:cs="Arial"/>
          <w:sz w:val="24"/>
        </w:rPr>
        <w:t xml:space="preserve"> s 16(2) </w:t>
      </w:r>
      <w:r w:rsidR="001D2E2A">
        <w:rPr>
          <w:rFonts w:ascii="Arial" w:hAnsi="Arial" w:cs="Arial"/>
          <w:sz w:val="24"/>
        </w:rPr>
        <w:t xml:space="preserve">of the Act </w:t>
      </w:r>
      <w:r w:rsidR="007A079C" w:rsidRPr="00676641">
        <w:rPr>
          <w:rFonts w:ascii="Arial" w:hAnsi="Arial" w:cs="Arial"/>
          <w:sz w:val="24"/>
        </w:rPr>
        <w:t>does not require that such extension should be granted in writing</w:t>
      </w:r>
      <w:r w:rsidR="00676641">
        <w:rPr>
          <w:rFonts w:ascii="Arial" w:hAnsi="Arial" w:cs="Arial"/>
          <w:sz w:val="24"/>
        </w:rPr>
        <w:t>.</w:t>
      </w:r>
    </w:p>
    <w:p w14:paraId="0F53E0BE" w14:textId="77777777" w:rsidR="00676641" w:rsidRPr="00BE1C47" w:rsidRDefault="00676641" w:rsidP="00BE1C47">
      <w:pPr>
        <w:spacing w:line="480" w:lineRule="auto"/>
        <w:rPr>
          <w:rFonts w:ascii="Arial" w:hAnsi="Arial" w:cs="Arial"/>
          <w:sz w:val="24"/>
          <w:szCs w:val="24"/>
        </w:rPr>
      </w:pPr>
    </w:p>
    <w:p w14:paraId="1FE1915F" w14:textId="77777777" w:rsidR="00676641" w:rsidRPr="00676641" w:rsidRDefault="00356F76" w:rsidP="00356F76">
      <w:pPr>
        <w:pStyle w:val="NoSpacing"/>
        <w:spacing w:line="480" w:lineRule="auto"/>
        <w:jc w:val="both"/>
        <w:rPr>
          <w:rFonts w:ascii="Arial" w:hAnsi="Arial" w:cs="Arial"/>
          <w:sz w:val="24"/>
        </w:rPr>
      </w:pPr>
      <w:r>
        <w:rPr>
          <w:rFonts w:ascii="Arial" w:hAnsi="Arial" w:cs="Arial"/>
          <w:sz w:val="24"/>
          <w:szCs w:val="24"/>
        </w:rPr>
        <w:lastRenderedPageBreak/>
        <w:t>[35]</w:t>
      </w:r>
      <w:r>
        <w:rPr>
          <w:rFonts w:ascii="Arial" w:hAnsi="Arial" w:cs="Arial"/>
          <w:sz w:val="24"/>
          <w:szCs w:val="24"/>
        </w:rPr>
        <w:tab/>
      </w:r>
      <w:r w:rsidR="007D7DF4" w:rsidRPr="00676641">
        <w:rPr>
          <w:rFonts w:ascii="Arial" w:hAnsi="Arial" w:cs="Arial"/>
          <w:sz w:val="24"/>
          <w:szCs w:val="24"/>
        </w:rPr>
        <w:t xml:space="preserve">Mr </w:t>
      </w:r>
      <w:proofErr w:type="spellStart"/>
      <w:r w:rsidR="007D7DF4" w:rsidRPr="00676641">
        <w:rPr>
          <w:rFonts w:ascii="Arial" w:hAnsi="Arial" w:cs="Arial"/>
          <w:sz w:val="24"/>
          <w:szCs w:val="24"/>
        </w:rPr>
        <w:t>Tötemeyer</w:t>
      </w:r>
      <w:proofErr w:type="spellEnd"/>
      <w:r w:rsidR="007D7DF4" w:rsidRPr="00676641">
        <w:rPr>
          <w:rFonts w:ascii="Arial" w:hAnsi="Arial" w:cs="Arial"/>
          <w:sz w:val="24"/>
          <w:szCs w:val="24"/>
        </w:rPr>
        <w:t xml:space="preserve"> </w:t>
      </w:r>
      <w:r w:rsidR="001935CE" w:rsidRPr="00676641">
        <w:rPr>
          <w:rFonts w:ascii="Arial" w:hAnsi="Arial" w:cs="Arial"/>
          <w:sz w:val="24"/>
          <w:szCs w:val="24"/>
        </w:rPr>
        <w:t xml:space="preserve">argued, </w:t>
      </w:r>
      <w:r w:rsidR="007D7DF4" w:rsidRPr="00676641">
        <w:rPr>
          <w:rFonts w:ascii="Arial" w:hAnsi="Arial" w:cs="Arial"/>
          <w:sz w:val="24"/>
          <w:szCs w:val="24"/>
        </w:rPr>
        <w:t xml:space="preserve">relying on the matter of </w:t>
      </w:r>
      <w:proofErr w:type="spellStart"/>
      <w:r w:rsidR="0086318B" w:rsidRPr="00676641">
        <w:rPr>
          <w:rFonts w:ascii="Arial" w:hAnsi="Arial" w:cs="Arial"/>
          <w:i/>
          <w:sz w:val="24"/>
          <w:szCs w:val="24"/>
        </w:rPr>
        <w:t>Torbitt</w:t>
      </w:r>
      <w:proofErr w:type="spellEnd"/>
      <w:r w:rsidR="0086318B" w:rsidRPr="00676641">
        <w:rPr>
          <w:rFonts w:ascii="Arial" w:hAnsi="Arial" w:cs="Arial"/>
          <w:i/>
          <w:sz w:val="24"/>
          <w:szCs w:val="24"/>
        </w:rPr>
        <w:t xml:space="preserve"> v The International University of </w:t>
      </w:r>
      <w:r w:rsidR="0086318B" w:rsidRPr="001D2E2A">
        <w:rPr>
          <w:rFonts w:ascii="Arial" w:hAnsi="Arial" w:cs="Arial"/>
          <w:i/>
          <w:sz w:val="24"/>
          <w:szCs w:val="24"/>
        </w:rPr>
        <w:t>Management</w:t>
      </w:r>
      <w:r w:rsidR="001D2E2A" w:rsidRPr="001D2E2A">
        <w:rPr>
          <w:rFonts w:ascii="Arial" w:hAnsi="Arial" w:cs="Arial"/>
          <w:i/>
          <w:sz w:val="24"/>
          <w:szCs w:val="24"/>
        </w:rPr>
        <w:t xml:space="preserve"> </w:t>
      </w:r>
      <w:r w:rsidR="001D2E2A" w:rsidRPr="001D2E2A">
        <w:rPr>
          <w:rFonts w:ascii="Arial" w:hAnsi="Arial" w:cs="Arial"/>
          <w:sz w:val="24"/>
          <w:szCs w:val="24"/>
          <w:lang w:val="en-US"/>
        </w:rPr>
        <w:t>2017 (2) NR 323 (SC)</w:t>
      </w:r>
      <w:r w:rsidR="007D7DF4" w:rsidRPr="001D2E2A">
        <w:rPr>
          <w:rStyle w:val="FootnoteReference"/>
          <w:rFonts w:ascii="Arial" w:hAnsi="Arial" w:cs="Arial"/>
          <w:sz w:val="24"/>
          <w:szCs w:val="24"/>
        </w:rPr>
        <w:footnoteReference w:id="9"/>
      </w:r>
      <w:r w:rsidR="0086318B" w:rsidRPr="001D2E2A">
        <w:rPr>
          <w:rFonts w:ascii="Arial" w:hAnsi="Arial" w:cs="Arial"/>
          <w:sz w:val="24"/>
          <w:szCs w:val="24"/>
        </w:rPr>
        <w:t xml:space="preserve"> </w:t>
      </w:r>
      <w:r w:rsidR="007D7DF4" w:rsidRPr="00676641">
        <w:rPr>
          <w:rFonts w:ascii="Arial" w:hAnsi="Arial" w:cs="Arial"/>
          <w:sz w:val="24"/>
          <w:szCs w:val="24"/>
        </w:rPr>
        <w:t xml:space="preserve">where the Supreme Court </w:t>
      </w:r>
      <w:r w:rsidR="0086318B" w:rsidRPr="00676641">
        <w:rPr>
          <w:rFonts w:ascii="Arial" w:hAnsi="Arial" w:cs="Arial"/>
          <w:sz w:val="24"/>
          <w:szCs w:val="24"/>
        </w:rPr>
        <w:t>held as follows</w:t>
      </w:r>
      <w:r w:rsidR="00E06AC7" w:rsidRPr="00676641">
        <w:rPr>
          <w:rFonts w:ascii="Arial" w:hAnsi="Arial" w:cs="Arial"/>
          <w:sz w:val="24"/>
          <w:szCs w:val="24"/>
        </w:rPr>
        <w:t>:</w:t>
      </w:r>
    </w:p>
    <w:p w14:paraId="2B92B3C4" w14:textId="77777777" w:rsidR="00676641" w:rsidRDefault="00676641" w:rsidP="00C500C9">
      <w:pPr>
        <w:pStyle w:val="ListParagraph"/>
        <w:spacing w:line="360" w:lineRule="auto"/>
        <w:rPr>
          <w:rFonts w:ascii="Arial" w:hAnsi="Arial" w:cs="Arial"/>
          <w:sz w:val="24"/>
        </w:rPr>
      </w:pPr>
    </w:p>
    <w:p w14:paraId="36074045" w14:textId="77777777" w:rsidR="00676641" w:rsidRPr="00F32D25" w:rsidRDefault="00AD2C5C" w:rsidP="00676641">
      <w:pPr>
        <w:spacing w:line="360" w:lineRule="auto"/>
        <w:ind w:left="720"/>
        <w:jc w:val="both"/>
        <w:rPr>
          <w:rFonts w:ascii="Arial" w:hAnsi="Arial" w:cs="Arial"/>
        </w:rPr>
      </w:pPr>
      <w:r>
        <w:rPr>
          <w:rFonts w:ascii="Arial" w:hAnsi="Arial" w:cs="Arial"/>
        </w:rPr>
        <w:t>‘</w:t>
      </w:r>
      <w:r w:rsidRPr="00F32D25">
        <w:rPr>
          <w:rFonts w:ascii="Arial" w:hAnsi="Arial" w:cs="Arial"/>
        </w:rPr>
        <w:t>Peremptory</w:t>
      </w:r>
      <w:r w:rsidR="00676641" w:rsidRPr="00F32D25">
        <w:rPr>
          <w:rFonts w:ascii="Arial" w:hAnsi="Arial" w:cs="Arial"/>
        </w:rPr>
        <w:t xml:space="preserve"> provisions merely because they are peremptory will not by implication, be held to require exact compliance where substantial compliance with them will achieve </w:t>
      </w:r>
      <w:r>
        <w:rPr>
          <w:rFonts w:ascii="Arial" w:hAnsi="Arial" w:cs="Arial"/>
        </w:rPr>
        <w:t>th</w:t>
      </w:r>
      <w:r w:rsidR="001D2E2A">
        <w:rPr>
          <w:rFonts w:ascii="Arial" w:hAnsi="Arial" w:cs="Arial"/>
        </w:rPr>
        <w:t xml:space="preserve">e object of the legislature. </w:t>
      </w:r>
      <w:r w:rsidR="00676641" w:rsidRPr="00F32D25">
        <w:rPr>
          <w:rFonts w:ascii="Arial" w:hAnsi="Arial" w:cs="Arial"/>
        </w:rPr>
        <w:t>The modern approach manifests a tendency to incline towards flexibility.</w:t>
      </w:r>
    </w:p>
    <w:p w14:paraId="4F395748" w14:textId="77777777" w:rsidR="00676641" w:rsidRPr="00F32D25" w:rsidRDefault="00676641" w:rsidP="00676641">
      <w:pPr>
        <w:spacing w:line="360" w:lineRule="auto"/>
        <w:jc w:val="both"/>
        <w:rPr>
          <w:rFonts w:ascii="Arial" w:hAnsi="Arial" w:cs="Arial"/>
        </w:rPr>
      </w:pPr>
    </w:p>
    <w:p w14:paraId="65D6322E" w14:textId="77777777" w:rsidR="00676641" w:rsidRPr="00F32D25" w:rsidRDefault="00676641" w:rsidP="00676641">
      <w:pPr>
        <w:spacing w:line="360" w:lineRule="auto"/>
        <w:ind w:left="720"/>
        <w:jc w:val="both"/>
        <w:rPr>
          <w:rFonts w:ascii="Arial" w:hAnsi="Arial" w:cs="Arial"/>
        </w:rPr>
      </w:pPr>
      <w:r w:rsidRPr="00F32D25">
        <w:rPr>
          <w:rFonts w:ascii="Arial" w:hAnsi="Arial" w:cs="Arial"/>
        </w:rPr>
        <w:t>Where a statutory duty is imposed on a public body or public officers and the statue requires that such duty shall be performed in a certain manner or a certain time or under specified conditions, such prescription may well be regarded as intended to be directory only in cases when injustice or inconvenience to others who have no control over those exercising the duty would result if such requirement were essential or imperative.’</w:t>
      </w:r>
      <w:r w:rsidR="001D2E2A">
        <w:rPr>
          <w:rStyle w:val="FootnoteReference"/>
          <w:rFonts w:ascii="Arial" w:hAnsi="Arial" w:cs="Arial"/>
        </w:rPr>
        <w:footnoteReference w:id="10"/>
      </w:r>
    </w:p>
    <w:p w14:paraId="6550046C" w14:textId="77777777" w:rsidR="00676641" w:rsidRDefault="00676641" w:rsidP="004C4C38">
      <w:pPr>
        <w:spacing w:line="480" w:lineRule="auto"/>
        <w:jc w:val="both"/>
        <w:rPr>
          <w:rFonts w:ascii="Arial" w:hAnsi="Arial" w:cs="Arial"/>
        </w:rPr>
      </w:pPr>
    </w:p>
    <w:p w14:paraId="49C68AC9" w14:textId="77777777" w:rsidR="00676641" w:rsidRDefault="00676641" w:rsidP="001D2E2A">
      <w:pPr>
        <w:spacing w:line="480" w:lineRule="auto"/>
        <w:jc w:val="both"/>
        <w:rPr>
          <w:rFonts w:ascii="Arial" w:hAnsi="Arial" w:cs="Arial"/>
          <w:bCs/>
          <w:sz w:val="24"/>
          <w:szCs w:val="24"/>
        </w:rPr>
      </w:pPr>
      <w:r>
        <w:rPr>
          <w:rFonts w:ascii="Arial" w:hAnsi="Arial" w:cs="Arial"/>
          <w:bCs/>
          <w:sz w:val="24"/>
          <w:szCs w:val="24"/>
        </w:rPr>
        <w:t>He furthermore argued that</w:t>
      </w:r>
      <w:r w:rsidRPr="003F516A">
        <w:rPr>
          <w:rFonts w:ascii="Arial" w:hAnsi="Arial" w:cs="Arial"/>
          <w:bCs/>
          <w:sz w:val="24"/>
          <w:szCs w:val="24"/>
        </w:rPr>
        <w:t xml:space="preserve"> the court</w:t>
      </w:r>
      <w:r w:rsidRPr="003F516A">
        <w:rPr>
          <w:rFonts w:ascii="Arial" w:hAnsi="Arial" w:cs="Arial"/>
          <w:bCs/>
          <w:i/>
          <w:iCs/>
          <w:sz w:val="24"/>
          <w:szCs w:val="24"/>
        </w:rPr>
        <w:t xml:space="preserve"> a quo </w:t>
      </w:r>
      <w:r w:rsidRPr="003F516A">
        <w:rPr>
          <w:rFonts w:ascii="Arial" w:hAnsi="Arial" w:cs="Arial"/>
          <w:bCs/>
          <w:sz w:val="24"/>
          <w:szCs w:val="24"/>
        </w:rPr>
        <w:t>erred in not finding that</w:t>
      </w:r>
      <w:r>
        <w:rPr>
          <w:rFonts w:ascii="Arial" w:hAnsi="Arial" w:cs="Arial"/>
          <w:bCs/>
          <w:sz w:val="24"/>
          <w:szCs w:val="24"/>
        </w:rPr>
        <w:t xml:space="preserve"> the delegation was an internal </w:t>
      </w:r>
      <w:proofErr w:type="gramStart"/>
      <w:r>
        <w:rPr>
          <w:rFonts w:ascii="Arial" w:hAnsi="Arial" w:cs="Arial"/>
          <w:bCs/>
          <w:sz w:val="24"/>
          <w:szCs w:val="24"/>
        </w:rPr>
        <w:t>requirement</w:t>
      </w:r>
      <w:proofErr w:type="gramEnd"/>
      <w:r>
        <w:rPr>
          <w:rFonts w:ascii="Arial" w:hAnsi="Arial" w:cs="Arial"/>
          <w:bCs/>
          <w:sz w:val="24"/>
          <w:szCs w:val="24"/>
        </w:rPr>
        <w:t xml:space="preserve"> and that the</w:t>
      </w:r>
      <w:r w:rsidRPr="000A7B07">
        <w:rPr>
          <w:rFonts w:ascii="Arial" w:hAnsi="Arial" w:cs="Arial"/>
          <w:bCs/>
          <w:sz w:val="24"/>
          <w:szCs w:val="24"/>
        </w:rPr>
        <w:t xml:space="preserve"> app</w:t>
      </w:r>
      <w:r w:rsidR="00047A13">
        <w:rPr>
          <w:rFonts w:ascii="Arial" w:hAnsi="Arial" w:cs="Arial"/>
          <w:bCs/>
          <w:sz w:val="24"/>
          <w:szCs w:val="24"/>
        </w:rPr>
        <w:t>ellant</w:t>
      </w:r>
      <w:r w:rsidRPr="000A7B07">
        <w:rPr>
          <w:rFonts w:ascii="Arial" w:hAnsi="Arial" w:cs="Arial"/>
          <w:bCs/>
          <w:sz w:val="24"/>
          <w:szCs w:val="24"/>
        </w:rPr>
        <w:t xml:space="preserve"> was entitled to assume that the internal requirement of such delegation has been met</w:t>
      </w:r>
      <w:r w:rsidRPr="00F030D7">
        <w:rPr>
          <w:rFonts w:ascii="Arial" w:hAnsi="Arial" w:cs="Arial"/>
          <w:bCs/>
          <w:sz w:val="24"/>
          <w:szCs w:val="24"/>
        </w:rPr>
        <w:t>.</w:t>
      </w:r>
    </w:p>
    <w:p w14:paraId="60C71BE8" w14:textId="77777777" w:rsidR="004C4C38" w:rsidRPr="001D2E2A" w:rsidRDefault="004C4C38" w:rsidP="001D2E2A">
      <w:pPr>
        <w:spacing w:line="480" w:lineRule="auto"/>
        <w:jc w:val="both"/>
        <w:rPr>
          <w:rFonts w:ascii="Arial" w:hAnsi="Arial" w:cs="Arial"/>
          <w:bCs/>
          <w:sz w:val="24"/>
          <w:szCs w:val="24"/>
        </w:rPr>
      </w:pPr>
    </w:p>
    <w:p w14:paraId="518679C8" w14:textId="77777777" w:rsidR="00676641" w:rsidRDefault="00013116" w:rsidP="00013116">
      <w:pPr>
        <w:pStyle w:val="NoSpacing"/>
        <w:spacing w:line="480" w:lineRule="auto"/>
        <w:jc w:val="both"/>
        <w:rPr>
          <w:rFonts w:ascii="Arial" w:hAnsi="Arial" w:cs="Arial"/>
          <w:iCs/>
          <w:sz w:val="24"/>
          <w:szCs w:val="24"/>
        </w:rPr>
      </w:pPr>
      <w:r>
        <w:rPr>
          <w:rFonts w:ascii="Arial" w:hAnsi="Arial" w:cs="Arial"/>
          <w:sz w:val="24"/>
          <w:szCs w:val="24"/>
        </w:rPr>
        <w:t>[36]</w:t>
      </w:r>
      <w:r>
        <w:rPr>
          <w:rFonts w:ascii="Arial" w:hAnsi="Arial" w:cs="Arial"/>
          <w:sz w:val="24"/>
          <w:szCs w:val="24"/>
        </w:rPr>
        <w:tab/>
      </w:r>
      <w:r w:rsidR="00D6211E" w:rsidRPr="00676641">
        <w:rPr>
          <w:rFonts w:ascii="Arial" w:hAnsi="Arial" w:cs="Arial"/>
          <w:sz w:val="24"/>
          <w:szCs w:val="24"/>
        </w:rPr>
        <w:t>Finally</w:t>
      </w:r>
      <w:r w:rsidR="00676641">
        <w:rPr>
          <w:rFonts w:ascii="Arial" w:hAnsi="Arial" w:cs="Arial"/>
          <w:sz w:val="24"/>
          <w:szCs w:val="24"/>
        </w:rPr>
        <w:t>,</w:t>
      </w:r>
      <w:r w:rsidR="00D6211E" w:rsidRPr="00676641">
        <w:rPr>
          <w:rFonts w:ascii="Arial" w:hAnsi="Arial" w:cs="Arial"/>
          <w:sz w:val="24"/>
          <w:szCs w:val="24"/>
        </w:rPr>
        <w:t xml:space="preserve"> Mr </w:t>
      </w:r>
      <w:proofErr w:type="spellStart"/>
      <w:r w:rsidR="00D6211E" w:rsidRPr="00676641">
        <w:rPr>
          <w:rFonts w:ascii="Arial" w:hAnsi="Arial" w:cs="Arial"/>
          <w:sz w:val="24"/>
          <w:szCs w:val="24"/>
        </w:rPr>
        <w:t>Tötemeyer</w:t>
      </w:r>
      <w:proofErr w:type="spellEnd"/>
      <w:r w:rsidR="00D6211E" w:rsidRPr="00676641">
        <w:rPr>
          <w:rFonts w:ascii="Arial" w:hAnsi="Arial" w:cs="Arial"/>
          <w:sz w:val="24"/>
          <w:szCs w:val="24"/>
        </w:rPr>
        <w:t xml:space="preserve"> argued t</w:t>
      </w:r>
      <w:r w:rsidR="0086318B" w:rsidRPr="00676641">
        <w:rPr>
          <w:rFonts w:ascii="Arial" w:hAnsi="Arial" w:cs="Arial"/>
          <w:sz w:val="24"/>
          <w:szCs w:val="24"/>
        </w:rPr>
        <w:t>hat</w:t>
      </w:r>
      <w:r w:rsidR="00152ED4" w:rsidRPr="00676641">
        <w:rPr>
          <w:rFonts w:ascii="Arial" w:hAnsi="Arial" w:cs="Arial"/>
          <w:sz w:val="24"/>
          <w:szCs w:val="24"/>
        </w:rPr>
        <w:t>,</w:t>
      </w:r>
      <w:r w:rsidR="0086318B" w:rsidRPr="00676641">
        <w:rPr>
          <w:rFonts w:ascii="Arial" w:hAnsi="Arial" w:cs="Arial"/>
          <w:sz w:val="24"/>
          <w:szCs w:val="24"/>
        </w:rPr>
        <w:t xml:space="preserve"> based on the application of the </w:t>
      </w:r>
      <w:proofErr w:type="spellStart"/>
      <w:r w:rsidR="0086318B" w:rsidRPr="001D2E2A">
        <w:rPr>
          <w:rFonts w:ascii="Arial" w:hAnsi="Arial" w:cs="Arial"/>
          <w:i/>
          <w:sz w:val="24"/>
          <w:szCs w:val="24"/>
        </w:rPr>
        <w:t>Turquand</w:t>
      </w:r>
      <w:proofErr w:type="spellEnd"/>
      <w:r w:rsidR="0086318B" w:rsidRPr="001D2E2A">
        <w:rPr>
          <w:rFonts w:ascii="Arial" w:hAnsi="Arial" w:cs="Arial"/>
          <w:sz w:val="24"/>
          <w:szCs w:val="24"/>
        </w:rPr>
        <w:t xml:space="preserve"> rule,</w:t>
      </w:r>
      <w:r w:rsidR="0086318B" w:rsidRPr="00676641">
        <w:rPr>
          <w:rFonts w:ascii="Arial" w:hAnsi="Arial" w:cs="Arial"/>
          <w:sz w:val="24"/>
          <w:szCs w:val="24"/>
        </w:rPr>
        <w:t xml:space="preserve"> which would also apply to a public authority in the present circumstances</w:t>
      </w:r>
      <w:r w:rsidR="00152ED4" w:rsidRPr="00676641">
        <w:rPr>
          <w:rFonts w:ascii="Arial" w:hAnsi="Arial" w:cs="Arial"/>
          <w:sz w:val="24"/>
          <w:szCs w:val="24"/>
        </w:rPr>
        <w:t>,</w:t>
      </w:r>
      <w:r w:rsidR="00D6211E" w:rsidRPr="00676641">
        <w:rPr>
          <w:rFonts w:ascii="Arial" w:hAnsi="Arial" w:cs="Arial"/>
          <w:sz w:val="24"/>
          <w:szCs w:val="24"/>
        </w:rPr>
        <w:t xml:space="preserve"> the contract was validly </w:t>
      </w:r>
      <w:r w:rsidR="004F7893" w:rsidRPr="00676641">
        <w:rPr>
          <w:rFonts w:ascii="Arial" w:hAnsi="Arial" w:cs="Arial"/>
          <w:sz w:val="24"/>
          <w:szCs w:val="24"/>
        </w:rPr>
        <w:t>concluded</w:t>
      </w:r>
      <w:r w:rsidR="0086318B" w:rsidRPr="00676641">
        <w:rPr>
          <w:rFonts w:ascii="Arial" w:hAnsi="Arial" w:cs="Arial"/>
          <w:sz w:val="24"/>
          <w:szCs w:val="24"/>
        </w:rPr>
        <w:t xml:space="preserve">. </w:t>
      </w:r>
      <w:r w:rsidR="004F7893" w:rsidRPr="00676641">
        <w:rPr>
          <w:rFonts w:ascii="Arial" w:hAnsi="Arial" w:cs="Arial"/>
          <w:sz w:val="24"/>
          <w:szCs w:val="24"/>
        </w:rPr>
        <w:t xml:space="preserve">For this proposition he relied on the </w:t>
      </w:r>
      <w:r w:rsidR="0086318B" w:rsidRPr="00676641">
        <w:rPr>
          <w:rFonts w:ascii="Arial" w:hAnsi="Arial" w:cs="Arial"/>
          <w:sz w:val="24"/>
          <w:szCs w:val="24"/>
        </w:rPr>
        <w:t xml:space="preserve">South African Appellate Division </w:t>
      </w:r>
      <w:r w:rsidR="004F7893" w:rsidRPr="00676641">
        <w:rPr>
          <w:rFonts w:ascii="Arial" w:hAnsi="Arial" w:cs="Arial"/>
          <w:sz w:val="24"/>
          <w:szCs w:val="24"/>
        </w:rPr>
        <w:t xml:space="preserve">matter of </w:t>
      </w:r>
      <w:r w:rsidR="004F7893" w:rsidRPr="001D2E2A">
        <w:rPr>
          <w:rFonts w:ascii="Arial" w:hAnsi="Arial" w:cs="Arial"/>
          <w:i/>
          <w:sz w:val="24"/>
          <w:szCs w:val="24"/>
          <w:lang w:val="en-US"/>
        </w:rPr>
        <w:t xml:space="preserve">Potchefstroom </w:t>
      </w:r>
      <w:proofErr w:type="spellStart"/>
      <w:r w:rsidR="004F7893" w:rsidRPr="001D2E2A">
        <w:rPr>
          <w:rFonts w:ascii="Arial" w:hAnsi="Arial" w:cs="Arial"/>
          <w:i/>
          <w:sz w:val="24"/>
          <w:szCs w:val="24"/>
          <w:lang w:val="en-US"/>
        </w:rPr>
        <w:t>Stadsraad</w:t>
      </w:r>
      <w:proofErr w:type="spellEnd"/>
      <w:r w:rsidR="004F7893" w:rsidRPr="001D2E2A">
        <w:rPr>
          <w:rFonts w:ascii="Arial" w:hAnsi="Arial" w:cs="Arial"/>
          <w:i/>
          <w:sz w:val="24"/>
          <w:szCs w:val="24"/>
          <w:lang w:val="en-US"/>
        </w:rPr>
        <w:t xml:space="preserve"> v Kotze</w:t>
      </w:r>
      <w:r w:rsidR="001D2E2A" w:rsidRPr="001D2E2A">
        <w:rPr>
          <w:rFonts w:ascii="Arial" w:hAnsi="Arial" w:cs="Arial"/>
          <w:i/>
          <w:sz w:val="24"/>
          <w:szCs w:val="24"/>
          <w:lang w:val="en-US"/>
        </w:rPr>
        <w:t xml:space="preserve"> </w:t>
      </w:r>
      <w:r w:rsidR="001D2E2A" w:rsidRPr="001D2E2A">
        <w:rPr>
          <w:rFonts w:ascii="Arial" w:hAnsi="Arial" w:cs="Arial"/>
          <w:sz w:val="24"/>
          <w:szCs w:val="24"/>
          <w:lang w:val="en-US"/>
        </w:rPr>
        <w:t>1960 (3) SA 616 (A)</w:t>
      </w:r>
      <w:r w:rsidR="002E3661" w:rsidRPr="00A252FF">
        <w:rPr>
          <w:rStyle w:val="FootnoteReference"/>
          <w:rFonts w:ascii="Arial" w:hAnsi="Arial" w:cs="Arial"/>
          <w:sz w:val="24"/>
          <w:szCs w:val="24"/>
          <w:lang w:val="en-US"/>
        </w:rPr>
        <w:footnoteReference w:id="11"/>
      </w:r>
      <w:r w:rsidR="004F7893" w:rsidRPr="001D2E2A">
        <w:rPr>
          <w:rFonts w:ascii="Arial" w:hAnsi="Arial" w:cs="Arial"/>
          <w:sz w:val="24"/>
          <w:szCs w:val="24"/>
        </w:rPr>
        <w:t xml:space="preserve"> which </w:t>
      </w:r>
      <w:r w:rsidR="0086318B" w:rsidRPr="001D2E2A">
        <w:rPr>
          <w:rFonts w:ascii="Arial" w:hAnsi="Arial" w:cs="Arial"/>
          <w:sz w:val="24"/>
          <w:szCs w:val="24"/>
        </w:rPr>
        <w:t xml:space="preserve">restated the </w:t>
      </w:r>
      <w:proofErr w:type="spellStart"/>
      <w:r w:rsidR="0086318B" w:rsidRPr="001D2E2A">
        <w:rPr>
          <w:rFonts w:ascii="Arial" w:hAnsi="Arial" w:cs="Arial"/>
          <w:i/>
          <w:iCs/>
          <w:sz w:val="24"/>
          <w:szCs w:val="24"/>
        </w:rPr>
        <w:t>Turquand</w:t>
      </w:r>
      <w:proofErr w:type="spellEnd"/>
      <w:r w:rsidR="001D2E2A" w:rsidRPr="001D2E2A">
        <w:rPr>
          <w:rFonts w:ascii="Arial" w:hAnsi="Arial" w:cs="Arial"/>
          <w:iCs/>
          <w:sz w:val="24"/>
          <w:szCs w:val="24"/>
        </w:rPr>
        <w:t xml:space="preserve"> </w:t>
      </w:r>
      <w:r w:rsidR="0086318B" w:rsidRPr="001D2E2A">
        <w:rPr>
          <w:rFonts w:ascii="Arial" w:hAnsi="Arial" w:cs="Arial"/>
          <w:iCs/>
          <w:sz w:val="24"/>
          <w:szCs w:val="24"/>
        </w:rPr>
        <w:t>rule as follows</w:t>
      </w:r>
      <w:r w:rsidR="00152ED4" w:rsidRPr="001D2E2A">
        <w:rPr>
          <w:rFonts w:ascii="Arial" w:hAnsi="Arial" w:cs="Arial"/>
          <w:iCs/>
          <w:sz w:val="24"/>
          <w:szCs w:val="24"/>
        </w:rPr>
        <w:t>:</w:t>
      </w:r>
      <w:r w:rsidR="002E3661" w:rsidRPr="001D2E2A">
        <w:rPr>
          <w:rStyle w:val="FootnoteReference"/>
          <w:rFonts w:ascii="Arial" w:hAnsi="Arial" w:cs="Arial"/>
          <w:iCs/>
          <w:sz w:val="24"/>
          <w:szCs w:val="24"/>
        </w:rPr>
        <w:footnoteReference w:id="12"/>
      </w:r>
      <w:r w:rsidR="0086318B" w:rsidRPr="001D2E2A">
        <w:rPr>
          <w:rFonts w:ascii="Arial" w:hAnsi="Arial" w:cs="Arial"/>
          <w:iCs/>
          <w:sz w:val="24"/>
          <w:szCs w:val="24"/>
        </w:rPr>
        <w:t xml:space="preserve"> </w:t>
      </w:r>
    </w:p>
    <w:p w14:paraId="2EFADA14" w14:textId="77777777" w:rsidR="00676641" w:rsidRDefault="00AD2C5C" w:rsidP="00013116">
      <w:pPr>
        <w:spacing w:line="360" w:lineRule="auto"/>
        <w:ind w:left="720"/>
        <w:jc w:val="both"/>
        <w:rPr>
          <w:rFonts w:ascii="Arial" w:hAnsi="Arial" w:cs="Arial"/>
        </w:rPr>
      </w:pPr>
      <w:r>
        <w:rPr>
          <w:rFonts w:ascii="Arial" w:hAnsi="Arial" w:cs="Arial"/>
        </w:rPr>
        <w:lastRenderedPageBreak/>
        <w:t xml:space="preserve">‘. . . </w:t>
      </w:r>
      <w:r w:rsidR="00676641" w:rsidRPr="00F32D25">
        <w:rPr>
          <w:rFonts w:ascii="Arial" w:hAnsi="Arial" w:cs="Arial"/>
        </w:rPr>
        <w:t>persons contracting with a company and dealing in good faith may assume that acts within its constitution and powers have been properly and duly performed, and are not bound to inquire whether acts of intern</w:t>
      </w:r>
      <w:r w:rsidR="00F8018A">
        <w:rPr>
          <w:rFonts w:ascii="Arial" w:hAnsi="Arial" w:cs="Arial"/>
        </w:rPr>
        <w:t xml:space="preserve">al management have been regular. . . </w:t>
      </w:r>
      <w:r w:rsidR="00676641" w:rsidRPr="00F32D25">
        <w:rPr>
          <w:rFonts w:ascii="Arial" w:hAnsi="Arial" w:cs="Arial"/>
        </w:rPr>
        <w:t>It is a rule designed for the protection of those who are entitled to assume, just because they cannot know, that the person with whom they deal has the authority which he claims. This is clearly shown by the fact that the rule cannot be invoked if the condition is no longer satisfied, that is, if he who would invoke it is put upon his enquiry. He cannot presume in his favour that things are rightly done if inquiry that he ought to make would tell him that they were wrongly done.’</w:t>
      </w:r>
    </w:p>
    <w:p w14:paraId="688D04BC" w14:textId="77777777" w:rsidR="00013116" w:rsidRPr="000A47E1" w:rsidRDefault="00013116" w:rsidP="000A47E1">
      <w:pPr>
        <w:spacing w:line="480" w:lineRule="auto"/>
        <w:jc w:val="both"/>
        <w:rPr>
          <w:rFonts w:ascii="Arial" w:hAnsi="Arial" w:cs="Arial"/>
          <w:sz w:val="24"/>
          <w:szCs w:val="24"/>
        </w:rPr>
      </w:pPr>
    </w:p>
    <w:p w14:paraId="04FB877A" w14:textId="77777777" w:rsidR="00082EBC" w:rsidRPr="004C4C38" w:rsidRDefault="00013116" w:rsidP="00013116">
      <w:pPr>
        <w:pStyle w:val="NoSpacing"/>
        <w:spacing w:line="480" w:lineRule="auto"/>
        <w:jc w:val="both"/>
        <w:rPr>
          <w:rFonts w:ascii="Arial" w:hAnsi="Arial" w:cs="Arial"/>
          <w:sz w:val="24"/>
        </w:rPr>
      </w:pPr>
      <w:r>
        <w:rPr>
          <w:rFonts w:ascii="Arial" w:hAnsi="Arial" w:cs="Arial"/>
          <w:sz w:val="24"/>
          <w:lang w:val="en-US"/>
        </w:rPr>
        <w:t>[37]</w:t>
      </w:r>
      <w:r>
        <w:rPr>
          <w:rFonts w:ascii="Arial" w:hAnsi="Arial" w:cs="Arial"/>
          <w:sz w:val="24"/>
          <w:lang w:val="en-US"/>
        </w:rPr>
        <w:tab/>
      </w:r>
      <w:proofErr w:type="spellStart"/>
      <w:r w:rsidR="00701C36" w:rsidRPr="00676641">
        <w:rPr>
          <w:rFonts w:ascii="Arial" w:hAnsi="Arial" w:cs="Arial"/>
          <w:sz w:val="24"/>
          <w:lang w:val="en-US"/>
        </w:rPr>
        <w:t>Mr</w:t>
      </w:r>
      <w:proofErr w:type="spellEnd"/>
      <w:r w:rsidR="00701C36" w:rsidRPr="00676641">
        <w:rPr>
          <w:rFonts w:ascii="Arial" w:hAnsi="Arial" w:cs="Arial"/>
          <w:sz w:val="24"/>
          <w:lang w:val="en-US"/>
        </w:rPr>
        <w:t xml:space="preserve"> </w:t>
      </w:r>
      <w:proofErr w:type="spellStart"/>
      <w:r w:rsidR="00701C36" w:rsidRPr="00676641">
        <w:rPr>
          <w:rFonts w:ascii="Arial" w:hAnsi="Arial" w:cs="Arial"/>
          <w:sz w:val="24"/>
          <w:lang w:val="en-US"/>
        </w:rPr>
        <w:t>Namandje</w:t>
      </w:r>
      <w:proofErr w:type="spellEnd"/>
      <w:r w:rsidR="00152ED4" w:rsidRPr="00676641">
        <w:rPr>
          <w:rFonts w:ascii="Arial" w:hAnsi="Arial" w:cs="Arial"/>
          <w:sz w:val="24"/>
          <w:lang w:val="en-US"/>
        </w:rPr>
        <w:t>,</w:t>
      </w:r>
      <w:r w:rsidR="00701C36" w:rsidRPr="00676641">
        <w:rPr>
          <w:rFonts w:ascii="Arial" w:hAnsi="Arial" w:cs="Arial"/>
          <w:sz w:val="24"/>
          <w:lang w:val="en-US"/>
        </w:rPr>
        <w:t xml:space="preserve"> who appeared</w:t>
      </w:r>
      <w:r w:rsidR="00BB09C0" w:rsidRPr="00676641">
        <w:rPr>
          <w:rFonts w:ascii="Arial" w:hAnsi="Arial" w:cs="Arial"/>
          <w:sz w:val="24"/>
          <w:lang w:val="en-US"/>
        </w:rPr>
        <w:t xml:space="preserve"> on behalf of the respondents, on the other hand argued that </w:t>
      </w:r>
      <w:r w:rsidR="00701C36" w:rsidRPr="00676641">
        <w:rPr>
          <w:rFonts w:ascii="Arial" w:hAnsi="Arial" w:cs="Arial"/>
          <w:sz w:val="24"/>
          <w:lang w:val="en-US"/>
        </w:rPr>
        <w:t xml:space="preserve">the </w:t>
      </w:r>
      <w:r w:rsidR="00701C36" w:rsidRPr="00676641">
        <w:rPr>
          <w:rFonts w:ascii="Arial" w:hAnsi="Arial" w:cs="Arial"/>
          <w:sz w:val="24"/>
        </w:rPr>
        <w:t xml:space="preserve">judgment of the court </w:t>
      </w:r>
      <w:r w:rsidR="00701C36" w:rsidRPr="00676641">
        <w:rPr>
          <w:rFonts w:ascii="Arial" w:hAnsi="Arial" w:cs="Arial"/>
          <w:bCs/>
          <w:i/>
          <w:iCs/>
          <w:sz w:val="24"/>
        </w:rPr>
        <w:t xml:space="preserve">a quo </w:t>
      </w:r>
      <w:r w:rsidR="00BB09C0" w:rsidRPr="00676641">
        <w:rPr>
          <w:rFonts w:ascii="Arial" w:hAnsi="Arial" w:cs="Arial"/>
          <w:sz w:val="24"/>
        </w:rPr>
        <w:t xml:space="preserve">is unassailable on several grounds. He argued </w:t>
      </w:r>
      <w:r w:rsidR="00BB09C0" w:rsidRPr="00676641">
        <w:rPr>
          <w:rFonts w:ascii="Arial" w:hAnsi="Arial" w:cs="Arial"/>
          <w:sz w:val="24"/>
          <w:lang w:val="en-US"/>
        </w:rPr>
        <w:t xml:space="preserve">that </w:t>
      </w:r>
      <w:r w:rsidR="00A816ED" w:rsidRPr="00676641">
        <w:rPr>
          <w:rFonts w:ascii="Arial" w:eastAsia="Arial" w:hAnsi="Arial" w:cs="Arial"/>
          <w:color w:val="000000"/>
          <w:sz w:val="24"/>
        </w:rPr>
        <w:t xml:space="preserve">the repealed Act </w:t>
      </w:r>
      <w:r w:rsidR="00BB09C0" w:rsidRPr="00676641">
        <w:rPr>
          <w:rFonts w:ascii="Arial" w:eastAsia="Arial" w:hAnsi="Arial" w:cs="Arial"/>
          <w:color w:val="000000"/>
          <w:sz w:val="24"/>
        </w:rPr>
        <w:t xml:space="preserve">had </w:t>
      </w:r>
      <w:r w:rsidR="00A816ED" w:rsidRPr="00676641">
        <w:rPr>
          <w:rFonts w:ascii="Arial" w:eastAsia="Arial" w:hAnsi="Arial" w:cs="Arial"/>
          <w:color w:val="000000"/>
          <w:sz w:val="24"/>
        </w:rPr>
        <w:t xml:space="preserve">a specific legislative policy </w:t>
      </w:r>
      <w:r w:rsidR="00BB09C0" w:rsidRPr="00676641">
        <w:rPr>
          <w:rFonts w:ascii="Arial" w:eastAsia="Arial" w:hAnsi="Arial" w:cs="Arial"/>
          <w:color w:val="000000"/>
          <w:sz w:val="24"/>
        </w:rPr>
        <w:t xml:space="preserve">namely that, </w:t>
      </w:r>
      <w:r w:rsidR="00A816ED" w:rsidRPr="00676641">
        <w:rPr>
          <w:rFonts w:ascii="Arial" w:eastAsia="Arial" w:hAnsi="Arial" w:cs="Arial"/>
          <w:color w:val="000000"/>
          <w:sz w:val="24"/>
        </w:rPr>
        <w:t>if the title of a particular tender require</w:t>
      </w:r>
      <w:r w:rsidR="00701C36" w:rsidRPr="00676641">
        <w:rPr>
          <w:rFonts w:ascii="Arial" w:eastAsia="Arial" w:hAnsi="Arial" w:cs="Arial"/>
          <w:color w:val="000000"/>
          <w:sz w:val="24"/>
        </w:rPr>
        <w:t>d</w:t>
      </w:r>
      <w:r w:rsidR="00A816ED" w:rsidRPr="00676641">
        <w:rPr>
          <w:rFonts w:ascii="Arial" w:eastAsia="Arial" w:hAnsi="Arial" w:cs="Arial"/>
          <w:color w:val="000000"/>
          <w:sz w:val="24"/>
        </w:rPr>
        <w:t xml:space="preserve"> a written contract after acceptance of the tender, then it must be the </w:t>
      </w:r>
      <w:r w:rsidR="003502AD">
        <w:rPr>
          <w:rFonts w:ascii="Arial" w:eastAsia="Arial" w:hAnsi="Arial" w:cs="Arial"/>
          <w:color w:val="000000"/>
          <w:sz w:val="24"/>
        </w:rPr>
        <w:t>b</w:t>
      </w:r>
      <w:r w:rsidR="00A816ED" w:rsidRPr="00676641">
        <w:rPr>
          <w:rFonts w:ascii="Arial" w:eastAsia="Arial" w:hAnsi="Arial" w:cs="Arial"/>
          <w:color w:val="000000"/>
          <w:sz w:val="24"/>
        </w:rPr>
        <w:t>oard as the statutorily nominated repository of power that must be the governmental party with competence, authority</w:t>
      </w:r>
      <w:r w:rsidR="00BD7506" w:rsidRPr="00676641">
        <w:rPr>
          <w:rFonts w:ascii="Arial" w:eastAsia="Arial" w:hAnsi="Arial" w:cs="Arial"/>
          <w:color w:val="000000"/>
          <w:sz w:val="24"/>
        </w:rPr>
        <w:t>,</w:t>
      </w:r>
      <w:r w:rsidR="00A816ED" w:rsidRPr="00676641">
        <w:rPr>
          <w:rFonts w:ascii="Arial" w:eastAsia="Arial" w:hAnsi="Arial" w:cs="Arial"/>
          <w:color w:val="000000"/>
          <w:sz w:val="24"/>
        </w:rPr>
        <w:t xml:space="preserve"> and jurisdiction to execute </w:t>
      </w:r>
      <w:r w:rsidR="00C04830" w:rsidRPr="00676641">
        <w:rPr>
          <w:rFonts w:ascii="Arial" w:eastAsia="Arial" w:hAnsi="Arial" w:cs="Arial"/>
          <w:color w:val="000000"/>
          <w:sz w:val="24"/>
        </w:rPr>
        <w:t xml:space="preserve">that </w:t>
      </w:r>
      <w:r w:rsidR="00A816ED" w:rsidRPr="00676641">
        <w:rPr>
          <w:rFonts w:ascii="Arial" w:eastAsia="Arial" w:hAnsi="Arial" w:cs="Arial"/>
          <w:color w:val="000000"/>
          <w:sz w:val="24"/>
        </w:rPr>
        <w:t>contract.</w:t>
      </w:r>
      <w:r w:rsidR="00B27A97" w:rsidRPr="00676641">
        <w:rPr>
          <w:rFonts w:ascii="Arial" w:eastAsia="Arial" w:hAnsi="Arial" w:cs="Arial"/>
          <w:color w:val="000000"/>
          <w:sz w:val="24"/>
        </w:rPr>
        <w:t xml:space="preserve"> He continued and argued that this </w:t>
      </w:r>
      <w:r w:rsidR="00A816ED" w:rsidRPr="00676641">
        <w:rPr>
          <w:rFonts w:ascii="Arial" w:eastAsia="Arial" w:hAnsi="Arial" w:cs="Arial"/>
          <w:color w:val="000000"/>
          <w:sz w:val="24"/>
        </w:rPr>
        <w:t xml:space="preserve">would mean that the terms of the written contract would have been a subject of deliberation and a valid decision of the </w:t>
      </w:r>
      <w:r w:rsidR="003502AD">
        <w:rPr>
          <w:rFonts w:ascii="Arial" w:eastAsia="Arial" w:hAnsi="Arial" w:cs="Arial"/>
          <w:color w:val="000000"/>
          <w:sz w:val="24"/>
        </w:rPr>
        <w:t>b</w:t>
      </w:r>
      <w:r w:rsidR="00A816ED" w:rsidRPr="00676641">
        <w:rPr>
          <w:rFonts w:ascii="Arial" w:eastAsia="Arial" w:hAnsi="Arial" w:cs="Arial"/>
          <w:color w:val="000000"/>
          <w:sz w:val="24"/>
        </w:rPr>
        <w:t>oard, a body comprised of va</w:t>
      </w:r>
      <w:r w:rsidR="00541174" w:rsidRPr="00676641">
        <w:rPr>
          <w:rFonts w:ascii="Arial" w:eastAsia="Arial" w:hAnsi="Arial" w:cs="Arial"/>
          <w:color w:val="000000"/>
          <w:sz w:val="24"/>
        </w:rPr>
        <w:t>rious prescribed functionaries.</w:t>
      </w:r>
    </w:p>
    <w:p w14:paraId="40890B5E" w14:textId="77777777" w:rsidR="004C4C38" w:rsidRPr="003502AD" w:rsidRDefault="004C4C38" w:rsidP="004C4C38">
      <w:pPr>
        <w:pStyle w:val="NoSpacing"/>
        <w:spacing w:line="480" w:lineRule="auto"/>
        <w:jc w:val="both"/>
        <w:rPr>
          <w:rFonts w:ascii="Arial" w:hAnsi="Arial" w:cs="Arial"/>
          <w:sz w:val="24"/>
        </w:rPr>
      </w:pPr>
    </w:p>
    <w:p w14:paraId="6485E9E4" w14:textId="77777777" w:rsidR="00676641" w:rsidRDefault="00013116" w:rsidP="00013116">
      <w:pPr>
        <w:pStyle w:val="NoSpacing"/>
        <w:spacing w:line="480" w:lineRule="auto"/>
        <w:jc w:val="both"/>
        <w:rPr>
          <w:rFonts w:ascii="Arial" w:hAnsi="Arial" w:cs="Arial"/>
          <w:sz w:val="24"/>
        </w:rPr>
      </w:pPr>
      <w:r>
        <w:rPr>
          <w:rFonts w:ascii="Arial" w:hAnsi="Arial" w:cs="Arial"/>
          <w:sz w:val="24"/>
          <w:lang w:val="en-US"/>
        </w:rPr>
        <w:t>[38]</w:t>
      </w:r>
      <w:r>
        <w:rPr>
          <w:rFonts w:ascii="Arial" w:hAnsi="Arial" w:cs="Arial"/>
          <w:sz w:val="24"/>
          <w:lang w:val="en-US"/>
        </w:rPr>
        <w:tab/>
      </w:r>
      <w:proofErr w:type="spellStart"/>
      <w:r w:rsidR="004A7BB0" w:rsidRPr="00676641">
        <w:rPr>
          <w:rFonts w:ascii="Arial" w:hAnsi="Arial" w:cs="Arial"/>
          <w:sz w:val="24"/>
          <w:lang w:val="en-US"/>
        </w:rPr>
        <w:t>Mr</w:t>
      </w:r>
      <w:proofErr w:type="spellEnd"/>
      <w:r w:rsidR="004A7BB0" w:rsidRPr="00676641">
        <w:rPr>
          <w:rFonts w:ascii="Arial" w:hAnsi="Arial" w:cs="Arial"/>
          <w:sz w:val="24"/>
          <w:lang w:val="en-US"/>
        </w:rPr>
        <w:t xml:space="preserve"> </w:t>
      </w:r>
      <w:proofErr w:type="spellStart"/>
      <w:r w:rsidR="004A7BB0" w:rsidRPr="00676641">
        <w:rPr>
          <w:rFonts w:ascii="Arial" w:hAnsi="Arial" w:cs="Arial"/>
          <w:sz w:val="24"/>
          <w:lang w:val="en-US"/>
        </w:rPr>
        <w:t>Namandje</w:t>
      </w:r>
      <w:proofErr w:type="spellEnd"/>
      <w:r w:rsidR="004A7BB0" w:rsidRPr="00676641">
        <w:rPr>
          <w:rFonts w:ascii="Arial" w:hAnsi="Arial" w:cs="Arial"/>
          <w:sz w:val="24"/>
          <w:lang w:val="en-US"/>
        </w:rPr>
        <w:t xml:space="preserve"> further argued that </w:t>
      </w:r>
      <w:r w:rsidR="00A816ED" w:rsidRPr="00676641">
        <w:rPr>
          <w:rFonts w:ascii="Arial" w:hAnsi="Arial" w:cs="Arial"/>
          <w:sz w:val="24"/>
        </w:rPr>
        <w:t>the statutory context</w:t>
      </w:r>
      <w:r w:rsidR="004A7BB0" w:rsidRPr="00676641">
        <w:rPr>
          <w:rFonts w:ascii="Arial" w:hAnsi="Arial" w:cs="Arial"/>
          <w:sz w:val="24"/>
        </w:rPr>
        <w:t>,</w:t>
      </w:r>
      <w:r w:rsidR="00A816ED" w:rsidRPr="00676641">
        <w:rPr>
          <w:rFonts w:ascii="Arial" w:hAnsi="Arial" w:cs="Arial"/>
          <w:sz w:val="24"/>
        </w:rPr>
        <w:t xml:space="preserve"> </w:t>
      </w:r>
      <w:proofErr w:type="gramStart"/>
      <w:r w:rsidR="00A816ED" w:rsidRPr="00676641">
        <w:rPr>
          <w:rFonts w:ascii="Arial" w:hAnsi="Arial" w:cs="Arial"/>
          <w:sz w:val="24"/>
        </w:rPr>
        <w:t>scheme</w:t>
      </w:r>
      <w:proofErr w:type="gramEnd"/>
      <w:r w:rsidR="00A816ED" w:rsidRPr="00676641">
        <w:rPr>
          <w:rFonts w:ascii="Arial" w:hAnsi="Arial" w:cs="Arial"/>
          <w:sz w:val="24"/>
        </w:rPr>
        <w:t xml:space="preserve"> and structure of the repealed Act overwhelmingly point to the effect that the written contract contemplated under s16(2)</w:t>
      </w:r>
      <w:r w:rsidR="00A816ED" w:rsidRPr="00082EBC">
        <w:rPr>
          <w:rFonts w:ascii="Arial" w:hAnsi="Arial" w:cs="Arial"/>
          <w:i/>
          <w:sz w:val="24"/>
        </w:rPr>
        <w:t>(a)</w:t>
      </w:r>
      <w:r w:rsidR="00A816ED" w:rsidRPr="00676641">
        <w:rPr>
          <w:rFonts w:ascii="Arial" w:hAnsi="Arial" w:cs="Arial"/>
          <w:sz w:val="24"/>
        </w:rPr>
        <w:t xml:space="preserve"> </w:t>
      </w:r>
      <w:r w:rsidR="00082EBC">
        <w:rPr>
          <w:rFonts w:ascii="Arial" w:hAnsi="Arial" w:cs="Arial"/>
          <w:sz w:val="24"/>
        </w:rPr>
        <w:t xml:space="preserve">of the Act </w:t>
      </w:r>
      <w:r w:rsidR="00A816ED" w:rsidRPr="00676641">
        <w:rPr>
          <w:rFonts w:ascii="Arial" w:hAnsi="Arial" w:cs="Arial"/>
          <w:sz w:val="24"/>
        </w:rPr>
        <w:t xml:space="preserve">must, as expressly provided for, be executed and concluded only between the </w:t>
      </w:r>
      <w:r w:rsidR="00082EBC">
        <w:rPr>
          <w:rFonts w:ascii="Arial" w:hAnsi="Arial" w:cs="Arial"/>
          <w:sz w:val="24"/>
        </w:rPr>
        <w:t>b</w:t>
      </w:r>
      <w:r w:rsidR="00A816ED" w:rsidRPr="00676641">
        <w:rPr>
          <w:rFonts w:ascii="Arial" w:hAnsi="Arial" w:cs="Arial"/>
          <w:sz w:val="24"/>
        </w:rPr>
        <w:t>oard and the tenderer</w:t>
      </w:r>
      <w:r w:rsidR="004A7BB0" w:rsidRPr="00676641">
        <w:rPr>
          <w:rFonts w:ascii="Arial" w:hAnsi="Arial" w:cs="Arial"/>
          <w:sz w:val="24"/>
        </w:rPr>
        <w:t xml:space="preserve">. He argued that, that conclusion was supported by the fact that, the invitation of tenders, the acceptance or rejection of tenders, </w:t>
      </w:r>
      <w:r w:rsidR="007A5029" w:rsidRPr="00676641">
        <w:rPr>
          <w:rFonts w:ascii="Arial" w:hAnsi="Arial" w:cs="Arial"/>
          <w:sz w:val="24"/>
        </w:rPr>
        <w:t xml:space="preserve">and </w:t>
      </w:r>
      <w:r w:rsidR="004A7BB0" w:rsidRPr="00676641">
        <w:rPr>
          <w:rFonts w:ascii="Arial" w:hAnsi="Arial" w:cs="Arial"/>
          <w:sz w:val="24"/>
        </w:rPr>
        <w:t>the enforcement or cancellation of agreements concluded pursuant to an award of a tender</w:t>
      </w:r>
      <w:r w:rsidR="00152ED4" w:rsidRPr="00676641">
        <w:rPr>
          <w:rFonts w:ascii="Arial" w:hAnsi="Arial" w:cs="Arial"/>
          <w:sz w:val="24"/>
        </w:rPr>
        <w:t>,</w:t>
      </w:r>
      <w:r w:rsidR="004A7BB0" w:rsidRPr="00676641">
        <w:rPr>
          <w:rFonts w:ascii="Arial" w:hAnsi="Arial" w:cs="Arial"/>
          <w:sz w:val="24"/>
        </w:rPr>
        <w:t xml:space="preserve"> is the responsibility of the </w:t>
      </w:r>
      <w:r w:rsidR="00082EBC">
        <w:rPr>
          <w:rFonts w:ascii="Arial" w:hAnsi="Arial" w:cs="Arial"/>
          <w:sz w:val="24"/>
        </w:rPr>
        <w:t>b</w:t>
      </w:r>
      <w:r w:rsidR="004A7BB0" w:rsidRPr="00676641">
        <w:rPr>
          <w:rFonts w:ascii="Arial" w:hAnsi="Arial" w:cs="Arial"/>
          <w:sz w:val="24"/>
        </w:rPr>
        <w:t>oard</w:t>
      </w:r>
      <w:r w:rsidR="00A816ED" w:rsidRPr="00676641">
        <w:rPr>
          <w:rFonts w:ascii="Arial" w:hAnsi="Arial" w:cs="Arial"/>
          <w:sz w:val="24"/>
        </w:rPr>
        <w:t>.</w:t>
      </w:r>
    </w:p>
    <w:p w14:paraId="006ABA61" w14:textId="77777777" w:rsidR="00302B19" w:rsidRPr="00302B19" w:rsidRDefault="00302B19" w:rsidP="00302B19">
      <w:pPr>
        <w:pStyle w:val="NoSpacing"/>
        <w:spacing w:line="480" w:lineRule="auto"/>
        <w:jc w:val="both"/>
        <w:rPr>
          <w:rFonts w:ascii="Arial" w:hAnsi="Arial" w:cs="Arial"/>
          <w:sz w:val="24"/>
        </w:rPr>
      </w:pPr>
    </w:p>
    <w:p w14:paraId="197CD9F5" w14:textId="77777777" w:rsidR="00676641" w:rsidRDefault="00013116" w:rsidP="00013116">
      <w:pPr>
        <w:pStyle w:val="NoSpacing"/>
        <w:spacing w:line="480" w:lineRule="auto"/>
        <w:jc w:val="both"/>
        <w:rPr>
          <w:rFonts w:ascii="Arial" w:hAnsi="Arial" w:cs="Arial"/>
          <w:sz w:val="24"/>
        </w:rPr>
      </w:pPr>
      <w:r>
        <w:rPr>
          <w:rFonts w:ascii="Arial" w:hAnsi="Arial" w:cs="Arial"/>
          <w:sz w:val="24"/>
        </w:rPr>
        <w:t>[39]</w:t>
      </w:r>
      <w:r>
        <w:rPr>
          <w:rFonts w:ascii="Arial" w:hAnsi="Arial" w:cs="Arial"/>
          <w:sz w:val="24"/>
        </w:rPr>
        <w:tab/>
      </w:r>
      <w:r w:rsidR="00F31560" w:rsidRPr="00676641">
        <w:rPr>
          <w:rFonts w:ascii="Arial" w:hAnsi="Arial" w:cs="Arial"/>
          <w:sz w:val="24"/>
        </w:rPr>
        <w:t xml:space="preserve">Relying on the matter of </w:t>
      </w:r>
      <w:r w:rsidR="00F31560" w:rsidRPr="00676641">
        <w:rPr>
          <w:rFonts w:ascii="Arial" w:hAnsi="Arial" w:cs="Arial"/>
          <w:i/>
          <w:sz w:val="24"/>
        </w:rPr>
        <w:t xml:space="preserve">President of the Republic of Namibia </w:t>
      </w:r>
      <w:r w:rsidR="00F8018A">
        <w:rPr>
          <w:rFonts w:ascii="Arial" w:hAnsi="Arial" w:cs="Arial"/>
          <w:i/>
          <w:sz w:val="24"/>
        </w:rPr>
        <w:t>&amp; o</w:t>
      </w:r>
      <w:r w:rsidR="00F31560" w:rsidRPr="00676641">
        <w:rPr>
          <w:rFonts w:ascii="Arial" w:hAnsi="Arial" w:cs="Arial"/>
          <w:i/>
          <w:sz w:val="24"/>
        </w:rPr>
        <w:t xml:space="preserve">thers v Anhui Foreign Economic Construction Group Corporation Ltd </w:t>
      </w:r>
      <w:r w:rsidR="00F8018A">
        <w:rPr>
          <w:rFonts w:ascii="Arial" w:hAnsi="Arial" w:cs="Arial"/>
          <w:i/>
          <w:sz w:val="24"/>
        </w:rPr>
        <w:t>&amp;</w:t>
      </w:r>
      <w:r w:rsidR="00F31560" w:rsidRPr="00676641">
        <w:rPr>
          <w:rFonts w:ascii="Arial" w:hAnsi="Arial" w:cs="Arial"/>
          <w:i/>
          <w:sz w:val="24"/>
        </w:rPr>
        <w:t xml:space="preserve"> </w:t>
      </w:r>
      <w:r w:rsidR="00F8018A">
        <w:rPr>
          <w:rFonts w:ascii="Arial" w:hAnsi="Arial" w:cs="Arial"/>
          <w:i/>
          <w:sz w:val="24"/>
        </w:rPr>
        <w:t>a</w:t>
      </w:r>
      <w:r w:rsidR="00F31560" w:rsidRPr="00676641">
        <w:rPr>
          <w:rFonts w:ascii="Arial" w:hAnsi="Arial" w:cs="Arial"/>
          <w:i/>
          <w:sz w:val="24"/>
        </w:rPr>
        <w:t>nother</w:t>
      </w:r>
      <w:r w:rsidR="00F31560" w:rsidRPr="00135D9C">
        <w:rPr>
          <w:rFonts w:ascii="Arial" w:hAnsi="Arial" w:cs="Arial"/>
          <w:vertAlign w:val="superscript"/>
        </w:rPr>
        <w:footnoteReference w:id="13"/>
      </w:r>
      <w:r w:rsidR="00F31560" w:rsidRPr="00676641">
        <w:rPr>
          <w:rFonts w:ascii="Arial" w:hAnsi="Arial" w:cs="Arial"/>
          <w:sz w:val="24"/>
        </w:rPr>
        <w:t xml:space="preserve"> Mr </w:t>
      </w:r>
      <w:proofErr w:type="spellStart"/>
      <w:r w:rsidR="00F31560" w:rsidRPr="00676641">
        <w:rPr>
          <w:rFonts w:ascii="Arial" w:hAnsi="Arial" w:cs="Arial"/>
          <w:sz w:val="24"/>
        </w:rPr>
        <w:t>N</w:t>
      </w:r>
      <w:r w:rsidR="00152ED4" w:rsidRPr="00676641">
        <w:rPr>
          <w:rFonts w:ascii="Arial" w:hAnsi="Arial" w:cs="Arial"/>
          <w:sz w:val="24"/>
        </w:rPr>
        <w:t>amandje</w:t>
      </w:r>
      <w:proofErr w:type="spellEnd"/>
      <w:r w:rsidR="00152ED4" w:rsidRPr="00676641">
        <w:rPr>
          <w:rFonts w:ascii="Arial" w:hAnsi="Arial" w:cs="Arial"/>
          <w:sz w:val="24"/>
        </w:rPr>
        <w:t xml:space="preserve"> furthermore argued that, </w:t>
      </w:r>
      <w:r w:rsidR="00A816ED" w:rsidRPr="00676641">
        <w:rPr>
          <w:rFonts w:ascii="Arial" w:hAnsi="Arial" w:cs="Arial"/>
          <w:sz w:val="24"/>
        </w:rPr>
        <w:t>in procurement matters</w:t>
      </w:r>
      <w:r w:rsidR="00152ED4" w:rsidRPr="00676641">
        <w:rPr>
          <w:rFonts w:ascii="Arial" w:hAnsi="Arial" w:cs="Arial"/>
          <w:sz w:val="24"/>
        </w:rPr>
        <w:t>,</w:t>
      </w:r>
      <w:r w:rsidR="00A816ED" w:rsidRPr="00676641">
        <w:rPr>
          <w:rFonts w:ascii="Arial" w:hAnsi="Arial" w:cs="Arial"/>
          <w:sz w:val="24"/>
        </w:rPr>
        <w:t xml:space="preserve"> it is a requirement that the doctrine of legality and the rule of law must be respected and complied with</w:t>
      </w:r>
      <w:bookmarkStart w:id="0" w:name="_3znysh7" w:colFirst="0" w:colLast="0"/>
      <w:bookmarkEnd w:id="0"/>
      <w:r w:rsidR="00302B19">
        <w:rPr>
          <w:rFonts w:ascii="Arial" w:hAnsi="Arial" w:cs="Arial"/>
          <w:sz w:val="24"/>
        </w:rPr>
        <w:t>.</w:t>
      </w:r>
    </w:p>
    <w:p w14:paraId="65C240C1" w14:textId="77777777" w:rsidR="00302B19" w:rsidRPr="00B326D9" w:rsidRDefault="00302B19" w:rsidP="000A47E1">
      <w:pPr>
        <w:spacing w:line="480" w:lineRule="auto"/>
        <w:rPr>
          <w:rFonts w:ascii="Arial" w:hAnsi="Arial" w:cs="Arial"/>
          <w:sz w:val="24"/>
        </w:rPr>
      </w:pPr>
    </w:p>
    <w:p w14:paraId="683B0CA8" w14:textId="77777777" w:rsidR="00676641" w:rsidRPr="00302B19" w:rsidRDefault="00013116" w:rsidP="00013116">
      <w:pPr>
        <w:pStyle w:val="NoSpacing"/>
        <w:spacing w:line="480" w:lineRule="auto"/>
        <w:jc w:val="both"/>
        <w:rPr>
          <w:rFonts w:ascii="Arial" w:hAnsi="Arial" w:cs="Arial"/>
          <w:sz w:val="24"/>
        </w:rPr>
      </w:pPr>
      <w:r>
        <w:rPr>
          <w:rFonts w:ascii="Arial" w:hAnsi="Arial" w:cs="Arial"/>
          <w:sz w:val="24"/>
          <w:szCs w:val="24"/>
        </w:rPr>
        <w:t>[40]</w:t>
      </w:r>
      <w:r>
        <w:rPr>
          <w:rFonts w:ascii="Arial" w:hAnsi="Arial" w:cs="Arial"/>
          <w:sz w:val="24"/>
          <w:szCs w:val="24"/>
        </w:rPr>
        <w:tab/>
      </w:r>
      <w:r w:rsidR="00841672" w:rsidRPr="00302B19">
        <w:rPr>
          <w:rFonts w:ascii="Arial" w:hAnsi="Arial" w:cs="Arial"/>
          <w:sz w:val="24"/>
          <w:szCs w:val="24"/>
        </w:rPr>
        <w:t xml:space="preserve">As regards the contention </w:t>
      </w:r>
      <w:r w:rsidR="001F3835" w:rsidRPr="00302B19">
        <w:rPr>
          <w:rFonts w:ascii="Arial" w:hAnsi="Arial" w:cs="Arial"/>
          <w:sz w:val="24"/>
          <w:szCs w:val="24"/>
        </w:rPr>
        <w:t xml:space="preserve">that the </w:t>
      </w:r>
      <w:r w:rsidR="00767102" w:rsidRPr="00302B19">
        <w:rPr>
          <w:rFonts w:ascii="Arial" w:hAnsi="Arial" w:cs="Arial"/>
          <w:sz w:val="24"/>
          <w:szCs w:val="24"/>
        </w:rPr>
        <w:t>b</w:t>
      </w:r>
      <w:r w:rsidR="001F3835" w:rsidRPr="00302B19">
        <w:rPr>
          <w:rFonts w:ascii="Arial" w:hAnsi="Arial" w:cs="Arial"/>
          <w:sz w:val="24"/>
          <w:szCs w:val="24"/>
        </w:rPr>
        <w:t>oard delegated its power to conclude agreements on behalf of Government to the Permanent Secretary in the Office of the Prime Minister</w:t>
      </w:r>
      <w:r w:rsidR="00FE0C34" w:rsidRPr="00302B19">
        <w:rPr>
          <w:rFonts w:ascii="Arial" w:hAnsi="Arial" w:cs="Arial"/>
          <w:sz w:val="24"/>
          <w:szCs w:val="24"/>
        </w:rPr>
        <w:t>,</w:t>
      </w:r>
      <w:r w:rsidR="001F3835" w:rsidRPr="00302B19">
        <w:rPr>
          <w:rFonts w:ascii="Arial" w:hAnsi="Arial" w:cs="Arial"/>
          <w:sz w:val="24"/>
          <w:szCs w:val="24"/>
        </w:rPr>
        <w:t xml:space="preserve"> Mr </w:t>
      </w:r>
      <w:proofErr w:type="spellStart"/>
      <w:r w:rsidR="00FE0C34" w:rsidRPr="00302B19">
        <w:rPr>
          <w:rFonts w:ascii="Arial" w:hAnsi="Arial" w:cs="Arial"/>
          <w:sz w:val="24"/>
          <w:szCs w:val="24"/>
        </w:rPr>
        <w:t>Namandje</w:t>
      </w:r>
      <w:proofErr w:type="spellEnd"/>
      <w:r w:rsidR="00FE0C34" w:rsidRPr="00302B19">
        <w:rPr>
          <w:rFonts w:ascii="Arial" w:hAnsi="Arial" w:cs="Arial"/>
          <w:sz w:val="24"/>
          <w:szCs w:val="24"/>
        </w:rPr>
        <w:t xml:space="preserve"> argued that</w:t>
      </w:r>
      <w:r w:rsidR="001F3835" w:rsidRPr="00302B19">
        <w:rPr>
          <w:rFonts w:ascii="Arial" w:hAnsi="Arial" w:cs="Arial"/>
          <w:sz w:val="24"/>
          <w:szCs w:val="24"/>
        </w:rPr>
        <w:t xml:space="preserve"> </w:t>
      </w:r>
      <w:r w:rsidR="00841672" w:rsidRPr="00302B19">
        <w:rPr>
          <w:rFonts w:ascii="Arial" w:hAnsi="Arial" w:cs="Arial"/>
          <w:sz w:val="24"/>
          <w:szCs w:val="24"/>
        </w:rPr>
        <w:t xml:space="preserve">in the present case the </w:t>
      </w:r>
      <w:r w:rsidR="00767102" w:rsidRPr="00302B19">
        <w:rPr>
          <w:rFonts w:ascii="Arial" w:hAnsi="Arial" w:cs="Arial"/>
          <w:sz w:val="24"/>
          <w:szCs w:val="24"/>
        </w:rPr>
        <w:t>b</w:t>
      </w:r>
      <w:r w:rsidR="001F3835" w:rsidRPr="00302B19">
        <w:rPr>
          <w:rFonts w:ascii="Arial" w:hAnsi="Arial" w:cs="Arial"/>
          <w:sz w:val="24"/>
          <w:szCs w:val="24"/>
        </w:rPr>
        <w:t>oard was the</w:t>
      </w:r>
      <w:r w:rsidR="00841672" w:rsidRPr="00302B19">
        <w:rPr>
          <w:rFonts w:ascii="Arial" w:hAnsi="Arial" w:cs="Arial"/>
          <w:sz w:val="24"/>
          <w:szCs w:val="24"/>
        </w:rPr>
        <w:t xml:space="preserve"> proper functionary to exercise the powers </w:t>
      </w:r>
      <w:r w:rsidR="001F3835" w:rsidRPr="00302B19">
        <w:rPr>
          <w:rFonts w:ascii="Arial" w:hAnsi="Arial" w:cs="Arial"/>
          <w:sz w:val="24"/>
          <w:szCs w:val="24"/>
        </w:rPr>
        <w:t>to conclude ag</w:t>
      </w:r>
      <w:r w:rsidR="006E4A18" w:rsidRPr="00302B19">
        <w:rPr>
          <w:rFonts w:ascii="Arial" w:hAnsi="Arial" w:cs="Arial"/>
          <w:sz w:val="24"/>
          <w:szCs w:val="24"/>
        </w:rPr>
        <w:t xml:space="preserve">reements on behalf of the State. He argued that the </w:t>
      </w:r>
      <w:r w:rsidR="00767102" w:rsidRPr="00302B19">
        <w:rPr>
          <w:rFonts w:ascii="Arial" w:hAnsi="Arial" w:cs="Arial"/>
          <w:sz w:val="24"/>
          <w:szCs w:val="24"/>
        </w:rPr>
        <w:t>b</w:t>
      </w:r>
      <w:r w:rsidR="001F3835" w:rsidRPr="00302B19">
        <w:rPr>
          <w:rFonts w:ascii="Arial" w:hAnsi="Arial" w:cs="Arial"/>
          <w:sz w:val="24"/>
          <w:szCs w:val="24"/>
        </w:rPr>
        <w:t xml:space="preserve">oard </w:t>
      </w:r>
      <w:r w:rsidR="00152ED4" w:rsidRPr="00302B19">
        <w:rPr>
          <w:rFonts w:ascii="Arial" w:hAnsi="Arial" w:cs="Arial"/>
          <w:sz w:val="24"/>
          <w:szCs w:val="24"/>
        </w:rPr>
        <w:t xml:space="preserve">never did; </w:t>
      </w:r>
      <w:r w:rsidR="001F3835" w:rsidRPr="00302B19">
        <w:rPr>
          <w:rFonts w:ascii="Arial" w:hAnsi="Arial" w:cs="Arial"/>
          <w:sz w:val="24"/>
          <w:szCs w:val="24"/>
        </w:rPr>
        <w:t>nor could it lawfully</w:t>
      </w:r>
      <w:r w:rsidR="00FE0C34" w:rsidRPr="00302B19">
        <w:rPr>
          <w:rFonts w:ascii="Arial" w:hAnsi="Arial" w:cs="Arial"/>
          <w:sz w:val="24"/>
          <w:szCs w:val="24"/>
        </w:rPr>
        <w:t xml:space="preserve"> delegate</w:t>
      </w:r>
      <w:r w:rsidR="001F3835" w:rsidRPr="00302B19">
        <w:rPr>
          <w:rFonts w:ascii="Arial" w:hAnsi="Arial" w:cs="Arial"/>
          <w:sz w:val="24"/>
          <w:szCs w:val="24"/>
        </w:rPr>
        <w:t xml:space="preserve"> that power to the Permanent Secretary of the Office of the Prime Minister. </w:t>
      </w:r>
      <w:r w:rsidR="00FE0C34" w:rsidRPr="00302B19">
        <w:rPr>
          <w:rFonts w:ascii="Arial" w:hAnsi="Arial" w:cs="Arial"/>
          <w:sz w:val="24"/>
          <w:szCs w:val="24"/>
        </w:rPr>
        <w:t>He thus submitted that t</w:t>
      </w:r>
      <w:r w:rsidR="001F3835" w:rsidRPr="00302B19">
        <w:rPr>
          <w:rFonts w:ascii="Arial" w:hAnsi="Arial" w:cs="Arial"/>
          <w:sz w:val="24"/>
          <w:szCs w:val="24"/>
        </w:rPr>
        <w:t>he delegation relied upon by the appellant was</w:t>
      </w:r>
      <w:r w:rsidR="00841672" w:rsidRPr="00302B19">
        <w:rPr>
          <w:rFonts w:ascii="Arial" w:hAnsi="Arial" w:cs="Arial"/>
          <w:sz w:val="24"/>
          <w:szCs w:val="24"/>
        </w:rPr>
        <w:t xml:space="preserve"> </w:t>
      </w:r>
      <w:r w:rsidR="00841672" w:rsidRPr="00302B19">
        <w:rPr>
          <w:rFonts w:ascii="Arial" w:hAnsi="Arial" w:cs="Arial"/>
          <w:i/>
          <w:sz w:val="24"/>
          <w:szCs w:val="24"/>
        </w:rPr>
        <w:t>ultra vires</w:t>
      </w:r>
      <w:r w:rsidR="00841672" w:rsidRPr="00302B19">
        <w:rPr>
          <w:rFonts w:ascii="Arial" w:hAnsi="Arial" w:cs="Arial"/>
          <w:sz w:val="24"/>
          <w:szCs w:val="24"/>
        </w:rPr>
        <w:t xml:space="preserve"> and null and void</w:t>
      </w:r>
      <w:r w:rsidR="001F3835" w:rsidRPr="00302B19">
        <w:rPr>
          <w:rFonts w:ascii="Arial" w:hAnsi="Arial" w:cs="Arial"/>
          <w:sz w:val="24"/>
          <w:szCs w:val="24"/>
        </w:rPr>
        <w:t>.</w:t>
      </w:r>
    </w:p>
    <w:p w14:paraId="3C6177C7" w14:textId="77777777" w:rsidR="00013116" w:rsidRDefault="00013116" w:rsidP="00CA06A8">
      <w:pPr>
        <w:spacing w:line="480" w:lineRule="auto"/>
        <w:jc w:val="both"/>
        <w:rPr>
          <w:rFonts w:ascii="Arial" w:hAnsi="Arial" w:cs="Arial"/>
          <w:sz w:val="24"/>
        </w:rPr>
      </w:pPr>
    </w:p>
    <w:p w14:paraId="023CD29B" w14:textId="77777777" w:rsidR="00676641" w:rsidRDefault="00676641" w:rsidP="00676641">
      <w:pPr>
        <w:spacing w:line="480" w:lineRule="auto"/>
        <w:jc w:val="both"/>
        <w:rPr>
          <w:rFonts w:ascii="Arial" w:hAnsi="Arial" w:cs="Arial"/>
          <w:sz w:val="24"/>
          <w:u w:val="single"/>
          <w:lang w:val="en-US"/>
        </w:rPr>
      </w:pPr>
      <w:r w:rsidRPr="00F32D25">
        <w:rPr>
          <w:rFonts w:ascii="Arial" w:hAnsi="Arial" w:cs="Arial"/>
          <w:sz w:val="24"/>
          <w:u w:val="single"/>
          <w:lang w:val="en-US"/>
        </w:rPr>
        <w:t>Discussion</w:t>
      </w:r>
    </w:p>
    <w:p w14:paraId="72683875" w14:textId="77777777" w:rsidR="00676641" w:rsidRPr="00676641" w:rsidRDefault="00013116" w:rsidP="00013116">
      <w:pPr>
        <w:pStyle w:val="NoSpacing"/>
        <w:spacing w:line="480" w:lineRule="auto"/>
        <w:jc w:val="both"/>
        <w:rPr>
          <w:rFonts w:ascii="Arial" w:hAnsi="Arial" w:cs="Arial"/>
          <w:sz w:val="24"/>
        </w:rPr>
      </w:pPr>
      <w:r>
        <w:rPr>
          <w:rFonts w:ascii="Arial" w:hAnsi="Arial" w:cs="Arial"/>
          <w:sz w:val="24"/>
          <w:szCs w:val="24"/>
          <w:lang w:val="en-US"/>
        </w:rPr>
        <w:t>[41]</w:t>
      </w:r>
      <w:r>
        <w:rPr>
          <w:rFonts w:ascii="Arial" w:hAnsi="Arial" w:cs="Arial"/>
          <w:sz w:val="24"/>
          <w:szCs w:val="24"/>
          <w:lang w:val="en-US"/>
        </w:rPr>
        <w:tab/>
      </w:r>
      <w:r w:rsidR="00FE0C34" w:rsidRPr="00676641">
        <w:rPr>
          <w:rFonts w:ascii="Arial" w:hAnsi="Arial" w:cs="Arial"/>
          <w:sz w:val="24"/>
          <w:szCs w:val="24"/>
          <w:lang w:val="en-US"/>
        </w:rPr>
        <w:t xml:space="preserve">This appeal turns on whether on the proven and undisputed facts, the agreement concluded between the appellant and the Office of the </w:t>
      </w:r>
      <w:r w:rsidR="002865A7" w:rsidRPr="00676641">
        <w:rPr>
          <w:rFonts w:ascii="Arial" w:hAnsi="Arial" w:cs="Arial"/>
          <w:sz w:val="24"/>
          <w:szCs w:val="24"/>
          <w:lang w:val="en-US"/>
        </w:rPr>
        <w:t>P</w:t>
      </w:r>
      <w:r w:rsidR="00FE0C34" w:rsidRPr="00676641">
        <w:rPr>
          <w:rFonts w:ascii="Arial" w:hAnsi="Arial" w:cs="Arial"/>
          <w:sz w:val="24"/>
          <w:szCs w:val="24"/>
          <w:lang w:val="en-US"/>
        </w:rPr>
        <w:t xml:space="preserve">rime Minister was validly concluded and whether the respondents’ counter application to declare </w:t>
      </w:r>
      <w:r w:rsidR="002865A7" w:rsidRPr="00676641">
        <w:rPr>
          <w:rFonts w:ascii="Arial" w:hAnsi="Arial" w:cs="Arial"/>
          <w:sz w:val="24"/>
          <w:szCs w:val="24"/>
          <w:lang w:val="en-US"/>
        </w:rPr>
        <w:t>that agreement</w:t>
      </w:r>
      <w:r w:rsidR="00FE0C34" w:rsidRPr="00676641">
        <w:rPr>
          <w:rFonts w:ascii="Arial" w:hAnsi="Arial" w:cs="Arial"/>
          <w:sz w:val="24"/>
          <w:szCs w:val="24"/>
          <w:lang w:val="en-US"/>
        </w:rPr>
        <w:t xml:space="preserve"> unlawful</w:t>
      </w:r>
      <w:r w:rsidR="00152ED4" w:rsidRPr="00676641">
        <w:rPr>
          <w:rFonts w:ascii="Arial" w:hAnsi="Arial" w:cs="Arial"/>
          <w:sz w:val="24"/>
          <w:szCs w:val="24"/>
          <w:lang w:val="en-US"/>
        </w:rPr>
        <w:t>,</w:t>
      </w:r>
      <w:r w:rsidR="00FE0C34" w:rsidRPr="00676641">
        <w:rPr>
          <w:rFonts w:ascii="Arial" w:hAnsi="Arial" w:cs="Arial"/>
          <w:sz w:val="24"/>
          <w:szCs w:val="24"/>
          <w:lang w:val="en-US"/>
        </w:rPr>
        <w:t xml:space="preserve"> </w:t>
      </w:r>
      <w:r w:rsidR="002865A7" w:rsidRPr="00676641">
        <w:rPr>
          <w:rFonts w:ascii="Arial" w:hAnsi="Arial" w:cs="Arial"/>
          <w:sz w:val="24"/>
          <w:szCs w:val="24"/>
          <w:lang w:val="en-US"/>
        </w:rPr>
        <w:t>should have</w:t>
      </w:r>
      <w:r w:rsidR="00FE0C34" w:rsidRPr="00676641">
        <w:rPr>
          <w:rFonts w:ascii="Arial" w:hAnsi="Arial" w:cs="Arial"/>
          <w:sz w:val="24"/>
          <w:szCs w:val="24"/>
          <w:lang w:val="en-US"/>
        </w:rPr>
        <w:t xml:space="preserve"> been dismissed by the court </w:t>
      </w:r>
      <w:r w:rsidR="00FE0C34" w:rsidRPr="00676641">
        <w:rPr>
          <w:rFonts w:ascii="Arial" w:hAnsi="Arial" w:cs="Arial"/>
          <w:i/>
          <w:sz w:val="24"/>
          <w:szCs w:val="24"/>
          <w:lang w:val="en-US"/>
        </w:rPr>
        <w:t>a quo</w:t>
      </w:r>
      <w:r w:rsidR="002865A7" w:rsidRPr="00676641">
        <w:rPr>
          <w:rFonts w:ascii="Arial" w:hAnsi="Arial" w:cs="Arial"/>
          <w:i/>
          <w:sz w:val="24"/>
          <w:szCs w:val="24"/>
          <w:lang w:val="en-US"/>
        </w:rPr>
        <w:t>.</w:t>
      </w:r>
    </w:p>
    <w:p w14:paraId="234ACA88" w14:textId="77777777" w:rsidR="00676641" w:rsidRPr="00676641" w:rsidRDefault="00676641" w:rsidP="00676641">
      <w:pPr>
        <w:pStyle w:val="NoSpacing"/>
        <w:spacing w:line="480" w:lineRule="auto"/>
        <w:jc w:val="both"/>
        <w:rPr>
          <w:rFonts w:ascii="Arial" w:hAnsi="Arial" w:cs="Arial"/>
          <w:sz w:val="24"/>
        </w:rPr>
      </w:pPr>
    </w:p>
    <w:p w14:paraId="07488EB7" w14:textId="77777777" w:rsidR="00676641" w:rsidRPr="00676641" w:rsidRDefault="00013116" w:rsidP="00013116">
      <w:pPr>
        <w:pStyle w:val="NoSpacing"/>
        <w:spacing w:line="480" w:lineRule="auto"/>
        <w:jc w:val="both"/>
        <w:rPr>
          <w:rFonts w:ascii="Arial" w:hAnsi="Arial" w:cs="Arial"/>
          <w:sz w:val="24"/>
        </w:rPr>
      </w:pPr>
      <w:r>
        <w:rPr>
          <w:rFonts w:ascii="Arial" w:eastAsia="Times New Roman" w:hAnsi="Arial" w:cs="Arial"/>
          <w:sz w:val="24"/>
          <w:szCs w:val="24"/>
          <w:lang w:val="en-US"/>
        </w:rPr>
        <w:t>[42]</w:t>
      </w:r>
      <w:r>
        <w:rPr>
          <w:rFonts w:ascii="Arial" w:eastAsia="Times New Roman" w:hAnsi="Arial" w:cs="Arial"/>
          <w:sz w:val="24"/>
          <w:szCs w:val="24"/>
          <w:lang w:val="en-US"/>
        </w:rPr>
        <w:tab/>
      </w:r>
      <w:r w:rsidR="002865A7" w:rsidRPr="00676641">
        <w:rPr>
          <w:rFonts w:ascii="Arial" w:eastAsia="Times New Roman" w:hAnsi="Arial" w:cs="Arial"/>
          <w:sz w:val="24"/>
          <w:szCs w:val="24"/>
          <w:lang w:val="en-US"/>
        </w:rPr>
        <w:t xml:space="preserve">It is now axiomatic that the Republic of Namibia is a Constitutional State and in a Constitutional State, the principle of legality reigns supreme. What this means is that all State institutions and public officials (there is no denial that the Permanent </w:t>
      </w:r>
      <w:r w:rsidR="002865A7" w:rsidRPr="00676641">
        <w:rPr>
          <w:rFonts w:ascii="Arial" w:eastAsia="Times New Roman" w:hAnsi="Arial" w:cs="Arial"/>
          <w:sz w:val="24"/>
          <w:szCs w:val="24"/>
          <w:lang w:val="en-US"/>
        </w:rPr>
        <w:lastRenderedPageBreak/>
        <w:t xml:space="preserve">Secretary of the </w:t>
      </w:r>
      <w:r w:rsidR="007C535B">
        <w:rPr>
          <w:rFonts w:ascii="Arial" w:eastAsia="Times New Roman" w:hAnsi="Arial" w:cs="Arial"/>
          <w:sz w:val="24"/>
          <w:szCs w:val="24"/>
          <w:lang w:val="en-US"/>
        </w:rPr>
        <w:t>O</w:t>
      </w:r>
      <w:r w:rsidR="002865A7" w:rsidRPr="00676641">
        <w:rPr>
          <w:rFonts w:ascii="Arial" w:eastAsia="Times New Roman" w:hAnsi="Arial" w:cs="Arial"/>
          <w:sz w:val="24"/>
          <w:szCs w:val="24"/>
          <w:lang w:val="en-US"/>
        </w:rPr>
        <w:t>ffice of the Prime Minister</w:t>
      </w:r>
      <w:r w:rsidR="00B20077" w:rsidRPr="00676641">
        <w:rPr>
          <w:rFonts w:ascii="Arial" w:eastAsia="Times New Roman" w:hAnsi="Arial" w:cs="Arial"/>
          <w:sz w:val="24"/>
          <w:szCs w:val="24"/>
          <w:lang w:val="en-US"/>
        </w:rPr>
        <w:t xml:space="preserve">, </w:t>
      </w:r>
      <w:r w:rsidR="003B2924" w:rsidRPr="00676641">
        <w:rPr>
          <w:rFonts w:ascii="Arial" w:eastAsia="Times New Roman" w:hAnsi="Arial" w:cs="Arial"/>
          <w:sz w:val="24"/>
          <w:szCs w:val="24"/>
          <w:lang w:val="en-US"/>
        </w:rPr>
        <w:t>the Prime</w:t>
      </w:r>
      <w:r w:rsidR="002865A7" w:rsidRPr="00676641">
        <w:rPr>
          <w:rFonts w:ascii="Arial" w:eastAsia="Times New Roman" w:hAnsi="Arial" w:cs="Arial"/>
          <w:sz w:val="24"/>
          <w:szCs w:val="24"/>
          <w:lang w:val="en-US"/>
        </w:rPr>
        <w:t xml:space="preserve"> Minister </w:t>
      </w:r>
      <w:r w:rsidR="00767102">
        <w:rPr>
          <w:rFonts w:ascii="Arial" w:eastAsia="Times New Roman" w:hAnsi="Arial" w:cs="Arial"/>
          <w:sz w:val="24"/>
          <w:szCs w:val="24"/>
          <w:lang w:val="en-US"/>
        </w:rPr>
        <w:t>and the now disbanded b</w:t>
      </w:r>
      <w:r w:rsidR="009446A6" w:rsidRPr="00676641">
        <w:rPr>
          <w:rFonts w:ascii="Arial" w:eastAsia="Times New Roman" w:hAnsi="Arial" w:cs="Arial"/>
          <w:sz w:val="24"/>
          <w:szCs w:val="24"/>
          <w:lang w:val="en-US"/>
        </w:rPr>
        <w:t xml:space="preserve">oard </w:t>
      </w:r>
      <w:r w:rsidR="003B2924" w:rsidRPr="00676641">
        <w:rPr>
          <w:rFonts w:ascii="Arial" w:eastAsia="Times New Roman" w:hAnsi="Arial" w:cs="Arial"/>
          <w:sz w:val="24"/>
          <w:szCs w:val="24"/>
          <w:lang w:val="en-US"/>
        </w:rPr>
        <w:t>are</w:t>
      </w:r>
      <w:r w:rsidR="002865A7" w:rsidRPr="00676641">
        <w:rPr>
          <w:rFonts w:ascii="Arial" w:eastAsia="Times New Roman" w:hAnsi="Arial" w:cs="Arial"/>
          <w:sz w:val="24"/>
          <w:szCs w:val="24"/>
          <w:lang w:val="en-US"/>
        </w:rPr>
        <w:t xml:space="preserve"> </w:t>
      </w:r>
      <w:r w:rsidR="009446A6" w:rsidRPr="00676641">
        <w:rPr>
          <w:rFonts w:ascii="Arial" w:eastAsia="Times New Roman" w:hAnsi="Arial" w:cs="Arial"/>
          <w:sz w:val="24"/>
          <w:szCs w:val="24"/>
          <w:lang w:val="en-US"/>
        </w:rPr>
        <w:t>State institutions</w:t>
      </w:r>
      <w:r w:rsidR="002865A7" w:rsidRPr="00676641">
        <w:rPr>
          <w:rFonts w:ascii="Arial" w:eastAsia="Times New Roman" w:hAnsi="Arial" w:cs="Arial"/>
          <w:sz w:val="24"/>
          <w:szCs w:val="24"/>
          <w:lang w:val="en-US"/>
        </w:rPr>
        <w:t>)</w:t>
      </w:r>
      <w:r w:rsidR="003B2924" w:rsidRPr="00676641">
        <w:rPr>
          <w:rFonts w:ascii="Arial" w:eastAsia="Times New Roman" w:hAnsi="Arial" w:cs="Arial"/>
          <w:sz w:val="24"/>
          <w:szCs w:val="24"/>
          <w:lang w:val="en-US"/>
        </w:rPr>
        <w:t xml:space="preserve"> may act</w:t>
      </w:r>
      <w:r w:rsidR="002865A7" w:rsidRPr="00676641">
        <w:rPr>
          <w:rFonts w:ascii="Arial" w:eastAsia="Times New Roman" w:hAnsi="Arial" w:cs="Arial"/>
          <w:sz w:val="24"/>
          <w:szCs w:val="24"/>
          <w:lang w:val="en-US"/>
        </w:rPr>
        <w:t xml:space="preserve"> </w:t>
      </w:r>
      <w:r w:rsidR="003B2924" w:rsidRPr="00676641">
        <w:rPr>
          <w:rFonts w:ascii="Arial" w:eastAsia="Times New Roman" w:hAnsi="Arial" w:cs="Arial"/>
          <w:sz w:val="24"/>
          <w:szCs w:val="24"/>
          <w:lang w:val="en-US"/>
        </w:rPr>
        <w:t>only in accordance with powers conferred on them by law</w:t>
      </w:r>
      <w:r w:rsidR="007A5029" w:rsidRPr="00676641">
        <w:rPr>
          <w:rFonts w:ascii="Arial" w:eastAsia="Times New Roman" w:hAnsi="Arial" w:cs="Arial"/>
          <w:sz w:val="24"/>
          <w:szCs w:val="24"/>
          <w:lang w:val="en-US"/>
        </w:rPr>
        <w:t>.</w:t>
      </w:r>
      <w:r w:rsidR="003B2924" w:rsidRPr="00F32D25">
        <w:rPr>
          <w:rStyle w:val="FootnoteReference"/>
          <w:rFonts w:ascii="Arial" w:eastAsia="Times New Roman" w:hAnsi="Arial" w:cs="Arial"/>
          <w:sz w:val="24"/>
          <w:szCs w:val="24"/>
          <w:lang w:val="en-US"/>
        </w:rPr>
        <w:footnoteReference w:id="14"/>
      </w:r>
    </w:p>
    <w:p w14:paraId="0597A4A7" w14:textId="77777777" w:rsidR="00676641" w:rsidRPr="00CA06A8" w:rsidRDefault="00676641" w:rsidP="00CA06A8">
      <w:pPr>
        <w:spacing w:line="480" w:lineRule="auto"/>
        <w:jc w:val="both"/>
        <w:rPr>
          <w:rFonts w:ascii="Arial" w:eastAsia="Times New Roman" w:hAnsi="Arial" w:cs="Arial"/>
          <w:sz w:val="24"/>
          <w:szCs w:val="24"/>
          <w:lang w:val="en-US"/>
        </w:rPr>
      </w:pPr>
    </w:p>
    <w:p w14:paraId="2594478D" w14:textId="77777777" w:rsidR="00676641" w:rsidRPr="00676641" w:rsidRDefault="00013116" w:rsidP="00013116">
      <w:pPr>
        <w:pStyle w:val="NoSpacing"/>
        <w:spacing w:line="480" w:lineRule="auto"/>
        <w:jc w:val="both"/>
        <w:rPr>
          <w:rFonts w:ascii="Arial" w:hAnsi="Arial" w:cs="Arial"/>
          <w:sz w:val="24"/>
        </w:rPr>
      </w:pPr>
      <w:r>
        <w:rPr>
          <w:rFonts w:ascii="Arial" w:eastAsia="Times New Roman" w:hAnsi="Arial" w:cs="Arial"/>
          <w:sz w:val="24"/>
          <w:szCs w:val="24"/>
          <w:lang w:val="en-US"/>
        </w:rPr>
        <w:t>[43]</w:t>
      </w:r>
      <w:r>
        <w:rPr>
          <w:rFonts w:ascii="Arial" w:eastAsia="Times New Roman" w:hAnsi="Arial" w:cs="Arial"/>
          <w:sz w:val="24"/>
          <w:szCs w:val="24"/>
          <w:lang w:val="en-US"/>
        </w:rPr>
        <w:tab/>
      </w:r>
      <w:r w:rsidR="00235881" w:rsidRPr="00676641">
        <w:rPr>
          <w:rFonts w:ascii="Arial" w:eastAsia="Times New Roman" w:hAnsi="Arial" w:cs="Arial"/>
          <w:sz w:val="24"/>
          <w:szCs w:val="24"/>
          <w:lang w:val="en-US"/>
        </w:rPr>
        <w:t>This Court has</w:t>
      </w:r>
      <w:r w:rsidR="00767102">
        <w:rPr>
          <w:rFonts w:ascii="Arial" w:eastAsia="Times New Roman" w:hAnsi="Arial" w:cs="Arial"/>
          <w:sz w:val="24"/>
          <w:szCs w:val="24"/>
          <w:lang w:val="en-US"/>
        </w:rPr>
        <w:t xml:space="preserve"> </w:t>
      </w:r>
      <w:r w:rsidR="00235881" w:rsidRPr="00676641">
        <w:rPr>
          <w:rFonts w:ascii="Arial" w:eastAsia="Times New Roman" w:hAnsi="Arial" w:cs="Arial"/>
          <w:sz w:val="24"/>
          <w:szCs w:val="24"/>
          <w:lang w:val="en-US"/>
        </w:rPr>
        <w:t>on</w:t>
      </w:r>
      <w:r w:rsidR="003B2924" w:rsidRPr="00676641">
        <w:rPr>
          <w:rFonts w:ascii="Arial" w:eastAsia="Times New Roman" w:hAnsi="Arial" w:cs="Arial"/>
          <w:sz w:val="24"/>
          <w:szCs w:val="24"/>
          <w:lang w:val="en-US"/>
        </w:rPr>
        <w:t xml:space="preserve"> numerous occasions stressed that the principle of legality </w:t>
      </w:r>
      <w:r w:rsidR="009446A6" w:rsidRPr="00676641">
        <w:rPr>
          <w:rFonts w:ascii="Arial" w:eastAsia="Times New Roman" w:hAnsi="Arial" w:cs="Arial"/>
          <w:sz w:val="24"/>
          <w:szCs w:val="24"/>
          <w:lang w:val="en-US"/>
        </w:rPr>
        <w:t>demands that</w:t>
      </w:r>
      <w:r w:rsidR="002865A7" w:rsidRPr="00676641">
        <w:rPr>
          <w:rFonts w:ascii="Arial" w:eastAsia="Times New Roman" w:hAnsi="Arial" w:cs="Arial"/>
          <w:sz w:val="24"/>
          <w:szCs w:val="24"/>
          <w:lang w:val="en-US"/>
        </w:rPr>
        <w:t xml:space="preserve"> </w:t>
      </w:r>
      <w:r w:rsidR="009446A6" w:rsidRPr="00676641">
        <w:rPr>
          <w:rFonts w:ascii="Arial" w:eastAsia="Times New Roman" w:hAnsi="Arial" w:cs="Arial"/>
          <w:sz w:val="24"/>
          <w:szCs w:val="24"/>
          <w:shd w:val="clear" w:color="auto" w:fill="FFFFFF"/>
          <w:lang w:val="en-US"/>
        </w:rPr>
        <w:t>the exercise</w:t>
      </w:r>
      <w:r w:rsidR="003B2924" w:rsidRPr="00676641">
        <w:rPr>
          <w:rFonts w:ascii="Arial" w:eastAsia="Times New Roman" w:hAnsi="Arial" w:cs="Arial"/>
          <w:sz w:val="24"/>
          <w:szCs w:val="24"/>
          <w:shd w:val="clear" w:color="auto" w:fill="FFFFFF"/>
          <w:lang w:val="en-US"/>
        </w:rPr>
        <w:t xml:space="preserve"> of any public power</w:t>
      </w:r>
      <w:r w:rsidR="002865A7" w:rsidRPr="00676641">
        <w:rPr>
          <w:rFonts w:ascii="Arial" w:eastAsia="Times New Roman" w:hAnsi="Arial" w:cs="Arial"/>
          <w:sz w:val="24"/>
          <w:szCs w:val="24"/>
          <w:shd w:val="clear" w:color="auto" w:fill="FFFFFF"/>
          <w:lang w:val="en-US"/>
        </w:rPr>
        <w:t xml:space="preserve"> </w:t>
      </w:r>
      <w:r w:rsidR="003B2924" w:rsidRPr="00676641">
        <w:rPr>
          <w:rFonts w:ascii="Arial" w:eastAsia="Times New Roman" w:hAnsi="Arial" w:cs="Arial"/>
          <w:sz w:val="24"/>
          <w:szCs w:val="24"/>
          <w:shd w:val="clear" w:color="auto" w:fill="FFFFFF"/>
          <w:lang w:val="en-US"/>
        </w:rPr>
        <w:t xml:space="preserve">must be </w:t>
      </w:r>
      <w:proofErr w:type="spellStart"/>
      <w:r w:rsidR="003B2924" w:rsidRPr="00676641">
        <w:rPr>
          <w:rFonts w:ascii="Arial" w:eastAsia="Times New Roman" w:hAnsi="Arial" w:cs="Arial"/>
          <w:sz w:val="24"/>
          <w:szCs w:val="24"/>
          <w:shd w:val="clear" w:color="auto" w:fill="FFFFFF"/>
          <w:lang w:val="en-US"/>
        </w:rPr>
        <w:t>authorised</w:t>
      </w:r>
      <w:proofErr w:type="spellEnd"/>
      <w:r w:rsidR="003B2924" w:rsidRPr="00676641">
        <w:rPr>
          <w:rFonts w:ascii="Arial" w:eastAsia="Times New Roman" w:hAnsi="Arial" w:cs="Arial"/>
          <w:sz w:val="24"/>
          <w:szCs w:val="24"/>
          <w:shd w:val="clear" w:color="auto" w:fill="FFFFFF"/>
          <w:lang w:val="en-US"/>
        </w:rPr>
        <w:t xml:space="preserve"> by law</w:t>
      </w:r>
      <w:r w:rsidR="009446A6" w:rsidRPr="00676641">
        <w:rPr>
          <w:rFonts w:ascii="Arial" w:eastAsia="Times New Roman" w:hAnsi="Arial" w:cs="Arial"/>
          <w:sz w:val="24"/>
          <w:szCs w:val="24"/>
          <w:shd w:val="clear" w:color="auto" w:fill="FFFFFF"/>
          <w:lang w:val="en-US"/>
        </w:rPr>
        <w:t xml:space="preserve">, </w:t>
      </w:r>
      <w:r w:rsidR="003B2924" w:rsidRPr="00676641">
        <w:rPr>
          <w:rFonts w:ascii="Arial" w:eastAsia="Times New Roman" w:hAnsi="Arial" w:cs="Arial"/>
          <w:sz w:val="24"/>
          <w:szCs w:val="24"/>
          <w:shd w:val="clear" w:color="auto" w:fill="FFFFFF"/>
          <w:lang w:val="en-US"/>
        </w:rPr>
        <w:t>either</w:t>
      </w:r>
      <w:r w:rsidR="002865A7" w:rsidRPr="00676641">
        <w:rPr>
          <w:rFonts w:ascii="Arial" w:eastAsia="Times New Roman" w:hAnsi="Arial" w:cs="Arial"/>
          <w:sz w:val="24"/>
          <w:szCs w:val="24"/>
          <w:shd w:val="clear" w:color="auto" w:fill="FFFFFF"/>
          <w:lang w:val="en-US"/>
        </w:rPr>
        <w:t xml:space="preserve"> by the Constitution its</w:t>
      </w:r>
      <w:r w:rsidR="00D0535B">
        <w:rPr>
          <w:rFonts w:ascii="Arial" w:eastAsia="Times New Roman" w:hAnsi="Arial" w:cs="Arial"/>
          <w:sz w:val="24"/>
          <w:szCs w:val="24"/>
          <w:shd w:val="clear" w:color="auto" w:fill="FFFFFF"/>
          <w:lang w:val="en-US"/>
        </w:rPr>
        <w:t xml:space="preserve">elf or by any other law </w:t>
      </w:r>
      <w:proofErr w:type="spellStart"/>
      <w:r w:rsidR="00D0535B">
        <w:rPr>
          <w:rFonts w:ascii="Arial" w:eastAsia="Times New Roman" w:hAnsi="Arial" w:cs="Arial"/>
          <w:sz w:val="24"/>
          <w:szCs w:val="24"/>
          <w:shd w:val="clear" w:color="auto" w:fill="FFFFFF"/>
          <w:lang w:val="en-US"/>
        </w:rPr>
        <w:t>recognis</w:t>
      </w:r>
      <w:r w:rsidR="002865A7" w:rsidRPr="00676641">
        <w:rPr>
          <w:rFonts w:ascii="Arial" w:eastAsia="Times New Roman" w:hAnsi="Arial" w:cs="Arial"/>
          <w:sz w:val="24"/>
          <w:szCs w:val="24"/>
          <w:shd w:val="clear" w:color="auto" w:fill="FFFFFF"/>
          <w:lang w:val="en-US"/>
        </w:rPr>
        <w:t>ed</w:t>
      </w:r>
      <w:proofErr w:type="spellEnd"/>
      <w:r w:rsidR="002865A7" w:rsidRPr="00676641">
        <w:rPr>
          <w:rFonts w:ascii="Arial" w:eastAsia="Times New Roman" w:hAnsi="Arial" w:cs="Arial"/>
          <w:sz w:val="24"/>
          <w:szCs w:val="24"/>
          <w:shd w:val="clear" w:color="auto" w:fill="FFFFFF"/>
          <w:lang w:val="en-US"/>
        </w:rPr>
        <w:t xml:space="preserve"> by or made under the Constitution. </w:t>
      </w:r>
      <w:r w:rsidR="00D0535B">
        <w:rPr>
          <w:rFonts w:ascii="Arial" w:eastAsia="Times New Roman" w:hAnsi="Arial" w:cs="Arial"/>
          <w:sz w:val="24"/>
          <w:szCs w:val="24"/>
          <w:shd w:val="clear" w:color="auto" w:fill="FFFFFF"/>
          <w:lang w:val="en-US"/>
        </w:rPr>
        <w:t>The c</w:t>
      </w:r>
      <w:r w:rsidR="003B2924" w:rsidRPr="00676641">
        <w:rPr>
          <w:rFonts w:ascii="Arial" w:eastAsia="Times New Roman" w:hAnsi="Arial" w:cs="Arial"/>
          <w:sz w:val="24"/>
          <w:szCs w:val="24"/>
          <w:shd w:val="clear" w:color="auto" w:fill="FFFFFF"/>
          <w:lang w:val="en-US"/>
        </w:rPr>
        <w:t xml:space="preserve">ourt furthermore made it clear that the exercise of public power is only legitimate </w:t>
      </w:r>
      <w:proofErr w:type="gramStart"/>
      <w:r w:rsidR="003B2924" w:rsidRPr="00676641">
        <w:rPr>
          <w:rFonts w:ascii="Arial" w:eastAsia="Times New Roman" w:hAnsi="Arial" w:cs="Arial"/>
          <w:sz w:val="24"/>
          <w:szCs w:val="24"/>
          <w:shd w:val="clear" w:color="auto" w:fill="FFFFFF"/>
          <w:lang w:val="en-US"/>
        </w:rPr>
        <w:t>where</w:t>
      </w:r>
      <w:proofErr w:type="gramEnd"/>
      <w:r w:rsidR="003B2924" w:rsidRPr="00676641">
        <w:rPr>
          <w:rFonts w:ascii="Arial" w:eastAsia="Times New Roman" w:hAnsi="Arial" w:cs="Arial"/>
          <w:sz w:val="24"/>
          <w:szCs w:val="24"/>
          <w:shd w:val="clear" w:color="auto" w:fill="FFFFFF"/>
          <w:lang w:val="en-US"/>
        </w:rPr>
        <w:t xml:space="preserve"> lawful.</w:t>
      </w:r>
    </w:p>
    <w:p w14:paraId="4489BE7E" w14:textId="77777777" w:rsidR="00676641" w:rsidRPr="00CA06A8" w:rsidRDefault="00676641" w:rsidP="00CA06A8">
      <w:pPr>
        <w:spacing w:line="480" w:lineRule="auto"/>
        <w:rPr>
          <w:rFonts w:ascii="Arial" w:eastAsia="Times New Roman" w:hAnsi="Arial" w:cs="Arial"/>
          <w:sz w:val="24"/>
          <w:szCs w:val="24"/>
          <w:shd w:val="clear" w:color="auto" w:fill="FFFFFF"/>
          <w:lang w:val="en-US"/>
        </w:rPr>
      </w:pPr>
    </w:p>
    <w:p w14:paraId="735DD28B" w14:textId="77777777" w:rsidR="00676641" w:rsidRPr="00676641" w:rsidRDefault="003F6169" w:rsidP="003F6169">
      <w:pPr>
        <w:pStyle w:val="NoSpacing"/>
        <w:spacing w:line="480" w:lineRule="auto"/>
        <w:jc w:val="both"/>
        <w:rPr>
          <w:rFonts w:ascii="Arial" w:hAnsi="Arial" w:cs="Arial"/>
          <w:sz w:val="24"/>
        </w:rPr>
      </w:pPr>
      <w:r>
        <w:rPr>
          <w:rFonts w:ascii="Arial" w:eastAsia="Times New Roman" w:hAnsi="Arial" w:cs="Arial"/>
          <w:sz w:val="24"/>
          <w:szCs w:val="24"/>
          <w:shd w:val="clear" w:color="auto" w:fill="FFFFFF"/>
          <w:lang w:val="en-US"/>
        </w:rPr>
        <w:t>[44]</w:t>
      </w:r>
      <w:r>
        <w:rPr>
          <w:rFonts w:ascii="Arial" w:eastAsia="Times New Roman" w:hAnsi="Arial" w:cs="Arial"/>
          <w:sz w:val="24"/>
          <w:szCs w:val="24"/>
          <w:shd w:val="clear" w:color="auto" w:fill="FFFFFF"/>
          <w:lang w:val="en-US"/>
        </w:rPr>
        <w:tab/>
      </w:r>
      <w:r w:rsidR="003B2924" w:rsidRPr="00676641">
        <w:rPr>
          <w:rFonts w:ascii="Arial" w:eastAsia="Times New Roman" w:hAnsi="Arial" w:cs="Arial"/>
          <w:sz w:val="24"/>
          <w:szCs w:val="24"/>
          <w:shd w:val="clear" w:color="auto" w:fill="FFFFFF"/>
          <w:lang w:val="en-US"/>
        </w:rPr>
        <w:t>If</w:t>
      </w:r>
      <w:r w:rsidR="002865A7" w:rsidRPr="00676641">
        <w:rPr>
          <w:rFonts w:ascii="Arial" w:eastAsia="Times New Roman" w:hAnsi="Arial" w:cs="Arial"/>
          <w:sz w:val="24"/>
          <w:szCs w:val="24"/>
          <w:shd w:val="clear" w:color="auto" w:fill="FFFFFF"/>
          <w:lang w:val="en-US"/>
        </w:rPr>
        <w:t xml:space="preserve"> public</w:t>
      </w:r>
      <w:r w:rsidR="003B2924" w:rsidRPr="00676641">
        <w:rPr>
          <w:rFonts w:ascii="Arial" w:eastAsia="Times New Roman" w:hAnsi="Arial" w:cs="Arial"/>
          <w:sz w:val="24"/>
          <w:szCs w:val="24"/>
          <w:shd w:val="clear" w:color="auto" w:fill="FFFFFF"/>
          <w:lang w:val="en-US"/>
        </w:rPr>
        <w:t xml:space="preserve"> </w:t>
      </w:r>
      <w:r w:rsidR="002865A7" w:rsidRPr="00676641">
        <w:rPr>
          <w:rFonts w:ascii="Arial" w:eastAsia="Times New Roman" w:hAnsi="Arial" w:cs="Arial"/>
          <w:sz w:val="24"/>
          <w:szCs w:val="24"/>
          <w:shd w:val="clear" w:color="auto" w:fill="FFFFFF"/>
          <w:lang w:val="en-US"/>
        </w:rPr>
        <w:t>functionaries</w:t>
      </w:r>
      <w:r w:rsidR="003B2924" w:rsidRPr="00676641">
        <w:rPr>
          <w:rFonts w:ascii="Arial" w:eastAsia="Times New Roman" w:hAnsi="Arial" w:cs="Arial"/>
          <w:sz w:val="24"/>
          <w:szCs w:val="24"/>
          <w:shd w:val="clear" w:color="auto" w:fill="FFFFFF"/>
          <w:lang w:val="en-US"/>
        </w:rPr>
        <w:t xml:space="preserve"> </w:t>
      </w:r>
      <w:r w:rsidR="002865A7" w:rsidRPr="00676641">
        <w:rPr>
          <w:rFonts w:ascii="Arial" w:eastAsia="Times New Roman" w:hAnsi="Arial" w:cs="Arial"/>
          <w:sz w:val="24"/>
          <w:szCs w:val="24"/>
          <w:shd w:val="clear" w:color="auto" w:fill="FFFFFF"/>
          <w:lang w:val="en-US"/>
        </w:rPr>
        <w:t xml:space="preserve">purport to exercise powers or perform functions outside the parameters of their legal authority, they, in effect, usurp powers of </w:t>
      </w:r>
      <w:r w:rsidR="00C022D6">
        <w:rPr>
          <w:rFonts w:ascii="Arial" w:eastAsia="Times New Roman" w:hAnsi="Arial" w:cs="Arial"/>
          <w:sz w:val="24"/>
          <w:szCs w:val="24"/>
          <w:shd w:val="clear" w:color="auto" w:fill="FFFFFF"/>
          <w:lang w:val="en-US"/>
        </w:rPr>
        <w:t xml:space="preserve">the </w:t>
      </w:r>
      <w:r w:rsidR="002865A7" w:rsidRPr="00676641">
        <w:rPr>
          <w:rFonts w:ascii="Arial" w:eastAsia="Times New Roman" w:hAnsi="Arial" w:cs="Arial"/>
          <w:sz w:val="24"/>
          <w:szCs w:val="24"/>
          <w:shd w:val="clear" w:color="auto" w:fill="FFFFFF"/>
          <w:lang w:val="en-US"/>
        </w:rPr>
        <w:t>State constitutionally entrusted to legislative authorities and other public functionaries</w:t>
      </w:r>
      <w:r w:rsidR="009361A2" w:rsidRPr="00676641">
        <w:rPr>
          <w:rFonts w:ascii="Arial" w:eastAsia="Times New Roman" w:hAnsi="Arial" w:cs="Arial"/>
          <w:sz w:val="24"/>
          <w:szCs w:val="24"/>
          <w:shd w:val="clear" w:color="auto" w:fill="FFFFFF"/>
          <w:lang w:val="en-US"/>
        </w:rPr>
        <w:t>.</w:t>
      </w:r>
      <w:r w:rsidR="00235881" w:rsidRPr="00F32D25">
        <w:rPr>
          <w:rStyle w:val="FootnoteReference"/>
          <w:rFonts w:ascii="Arial" w:eastAsia="Times New Roman" w:hAnsi="Arial" w:cs="Arial"/>
          <w:sz w:val="24"/>
          <w:szCs w:val="24"/>
          <w:shd w:val="clear" w:color="auto" w:fill="FFFFFF"/>
          <w:lang w:val="en-US"/>
        </w:rPr>
        <w:footnoteReference w:id="15"/>
      </w:r>
      <w:r w:rsidR="00652B0B" w:rsidRPr="00676641">
        <w:rPr>
          <w:rFonts w:ascii="Arial" w:eastAsia="Times New Roman" w:hAnsi="Arial" w:cs="Arial"/>
          <w:sz w:val="24"/>
          <w:szCs w:val="24"/>
          <w:shd w:val="clear" w:color="auto" w:fill="FFFFFF"/>
          <w:lang w:val="en-US"/>
        </w:rPr>
        <w:t xml:space="preserve"> </w:t>
      </w:r>
      <w:r w:rsidR="00235881" w:rsidRPr="00676641">
        <w:rPr>
          <w:rFonts w:ascii="Arial" w:eastAsia="Times New Roman" w:hAnsi="Arial" w:cs="Arial"/>
          <w:sz w:val="24"/>
          <w:szCs w:val="24"/>
          <w:shd w:val="clear" w:color="auto" w:fill="FFFFFF"/>
          <w:lang w:val="en-US"/>
        </w:rPr>
        <w:t>It is against</w:t>
      </w:r>
      <w:r w:rsidR="00152ED4" w:rsidRPr="00676641">
        <w:rPr>
          <w:rFonts w:ascii="Arial" w:eastAsia="Times New Roman" w:hAnsi="Arial" w:cs="Arial"/>
          <w:sz w:val="24"/>
          <w:szCs w:val="24"/>
          <w:shd w:val="clear" w:color="auto" w:fill="FFFFFF"/>
          <w:lang w:val="en-US"/>
        </w:rPr>
        <w:t xml:space="preserve"> that background that it seems </w:t>
      </w:r>
      <w:r w:rsidR="00235881" w:rsidRPr="00676641">
        <w:rPr>
          <w:rFonts w:ascii="Arial" w:eastAsia="Times New Roman" w:hAnsi="Arial" w:cs="Arial"/>
          <w:sz w:val="24"/>
          <w:szCs w:val="24"/>
          <w:shd w:val="clear" w:color="auto" w:fill="FFFFFF"/>
          <w:lang w:val="en-US"/>
        </w:rPr>
        <w:t xml:space="preserve">relevant to first set out </w:t>
      </w:r>
      <w:r w:rsidR="00652B0B" w:rsidRPr="00676641">
        <w:rPr>
          <w:rFonts w:ascii="Arial" w:eastAsia="Times New Roman" w:hAnsi="Arial" w:cs="Arial"/>
          <w:sz w:val="24"/>
          <w:szCs w:val="24"/>
          <w:shd w:val="clear" w:color="auto" w:fill="FFFFFF"/>
          <w:lang w:val="en-US"/>
        </w:rPr>
        <w:t>t</w:t>
      </w:r>
      <w:r w:rsidR="00652B0B" w:rsidRPr="00676641">
        <w:rPr>
          <w:rFonts w:ascii="Arial" w:eastAsia="Times New Roman" w:hAnsi="Arial" w:cs="Arial"/>
          <w:sz w:val="24"/>
          <w:szCs w:val="24"/>
          <w:lang w:val="en-US"/>
        </w:rPr>
        <w:t>he statutory framework for the acquisition of</w:t>
      </w:r>
      <w:r w:rsidR="002865A7" w:rsidRPr="00676641">
        <w:rPr>
          <w:rFonts w:ascii="Arial" w:eastAsia="Times New Roman" w:hAnsi="Arial" w:cs="Arial"/>
          <w:sz w:val="24"/>
          <w:szCs w:val="24"/>
          <w:lang w:val="en-US"/>
        </w:rPr>
        <w:t xml:space="preserve"> goods and services on behalf </w:t>
      </w:r>
      <w:r w:rsidR="00652B0B" w:rsidRPr="00676641">
        <w:rPr>
          <w:rFonts w:ascii="Arial" w:eastAsia="Times New Roman" w:hAnsi="Arial" w:cs="Arial"/>
          <w:sz w:val="24"/>
          <w:szCs w:val="24"/>
          <w:lang w:val="en-US"/>
        </w:rPr>
        <w:t>of the</w:t>
      </w:r>
      <w:r w:rsidR="002865A7" w:rsidRPr="00676641">
        <w:rPr>
          <w:rFonts w:ascii="Arial" w:eastAsia="Times New Roman" w:hAnsi="Arial" w:cs="Arial"/>
          <w:sz w:val="24"/>
          <w:szCs w:val="24"/>
          <w:lang w:val="en-US"/>
        </w:rPr>
        <w:t xml:space="preserve"> Government.</w:t>
      </w:r>
    </w:p>
    <w:p w14:paraId="7163187A" w14:textId="77777777" w:rsidR="00676641" w:rsidRPr="00CA06A8" w:rsidRDefault="00676641" w:rsidP="00CA06A8">
      <w:pPr>
        <w:spacing w:line="480" w:lineRule="auto"/>
        <w:rPr>
          <w:rFonts w:ascii="Arial" w:hAnsi="Arial" w:cs="Arial"/>
          <w:sz w:val="24"/>
        </w:rPr>
      </w:pPr>
    </w:p>
    <w:p w14:paraId="01AEF570" w14:textId="77777777" w:rsidR="00676641" w:rsidRPr="00676641" w:rsidRDefault="00676641" w:rsidP="00676641">
      <w:pPr>
        <w:spacing w:line="480" w:lineRule="auto"/>
        <w:jc w:val="both"/>
        <w:rPr>
          <w:rFonts w:ascii="Arial" w:hAnsi="Arial" w:cs="Arial"/>
          <w:i/>
          <w:sz w:val="24"/>
          <w:szCs w:val="24"/>
          <w:lang w:val="en-US"/>
        </w:rPr>
      </w:pPr>
      <w:r w:rsidRPr="00F32D25">
        <w:rPr>
          <w:rFonts w:ascii="Arial" w:hAnsi="Arial" w:cs="Arial"/>
          <w:i/>
          <w:sz w:val="24"/>
          <w:szCs w:val="24"/>
          <w:shd w:val="clear" w:color="auto" w:fill="FFFFFF"/>
          <w:lang w:val="en-US"/>
        </w:rPr>
        <w:t>The</w:t>
      </w:r>
      <w:r w:rsidRPr="00F32D25">
        <w:rPr>
          <w:rFonts w:ascii="Arial" w:hAnsi="Arial" w:cs="Arial"/>
          <w:i/>
          <w:sz w:val="24"/>
          <w:szCs w:val="24"/>
          <w:lang w:val="en-US"/>
        </w:rPr>
        <w:t xml:space="preserve"> statutory framework for the acquisition of goods and services on behalf of the Government</w:t>
      </w:r>
    </w:p>
    <w:p w14:paraId="300A7991" w14:textId="77777777" w:rsidR="00676641" w:rsidRDefault="003F6169" w:rsidP="003F6169">
      <w:pPr>
        <w:pStyle w:val="NoSpacing"/>
        <w:spacing w:line="48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122455" w:rsidRPr="00676641">
        <w:rPr>
          <w:rFonts w:ascii="Arial" w:hAnsi="Arial" w:cs="Arial"/>
          <w:sz w:val="24"/>
          <w:szCs w:val="24"/>
          <w:lang w:val="en-US"/>
        </w:rPr>
        <w:t xml:space="preserve">The long title of </w:t>
      </w:r>
      <w:r w:rsidR="00C25FF3" w:rsidRPr="00676641">
        <w:rPr>
          <w:rFonts w:ascii="Arial" w:hAnsi="Arial" w:cs="Arial"/>
          <w:sz w:val="24"/>
          <w:szCs w:val="24"/>
          <w:lang w:val="en-US"/>
        </w:rPr>
        <w:t xml:space="preserve">the </w:t>
      </w:r>
      <w:r w:rsidR="00B903FE" w:rsidRPr="00676641">
        <w:rPr>
          <w:rFonts w:ascii="Arial" w:hAnsi="Arial" w:cs="Arial"/>
          <w:sz w:val="24"/>
          <w:szCs w:val="24"/>
          <w:lang w:val="en-US"/>
        </w:rPr>
        <w:t>Act</w:t>
      </w:r>
      <w:r w:rsidR="00122455" w:rsidRPr="00676641">
        <w:rPr>
          <w:rFonts w:ascii="Arial" w:hAnsi="Arial" w:cs="Arial"/>
          <w:sz w:val="24"/>
          <w:szCs w:val="24"/>
          <w:lang w:val="en-US"/>
        </w:rPr>
        <w:t xml:space="preserve"> provides that the object of the Act is</w:t>
      </w:r>
      <w:r w:rsidR="00B903FE">
        <w:rPr>
          <w:rFonts w:ascii="Arial" w:hAnsi="Arial" w:cs="Arial"/>
          <w:sz w:val="24"/>
          <w:szCs w:val="24"/>
          <w:lang w:val="en-US"/>
        </w:rPr>
        <w:t xml:space="preserve"> </w:t>
      </w:r>
      <w:r w:rsidR="00B903FE" w:rsidRPr="00B903FE">
        <w:rPr>
          <w:rFonts w:ascii="Arial" w:hAnsi="Arial" w:cs="Arial"/>
          <w:sz w:val="24"/>
          <w:szCs w:val="24"/>
          <w:lang w:val="en-US"/>
        </w:rPr>
        <w:t>‘t</w:t>
      </w:r>
      <w:r w:rsidR="00B903FE" w:rsidRPr="00B903FE">
        <w:rPr>
          <w:rFonts w:ascii="Arial" w:hAnsi="Arial" w:cs="Arial"/>
          <w:sz w:val="24"/>
          <w:szCs w:val="24"/>
          <w:u w:val="single"/>
          <w:lang w:val="en-US"/>
        </w:rPr>
        <w:t>o regulate</w:t>
      </w:r>
      <w:r w:rsidR="00B903FE" w:rsidRPr="00B903FE">
        <w:rPr>
          <w:rFonts w:ascii="Arial" w:hAnsi="Arial" w:cs="Arial"/>
          <w:sz w:val="24"/>
          <w:szCs w:val="24"/>
          <w:lang w:val="en-US"/>
        </w:rPr>
        <w:t xml:space="preserve"> the procurement of goods and services for, the letting or hiring of anything or the acquisition or granting of rights for or on behalf of</w:t>
      </w:r>
      <w:r w:rsidR="00C022D6">
        <w:rPr>
          <w:rFonts w:ascii="Arial" w:hAnsi="Arial" w:cs="Arial"/>
          <w:sz w:val="24"/>
          <w:szCs w:val="24"/>
          <w:lang w:val="en-US"/>
        </w:rPr>
        <w:t>,</w:t>
      </w:r>
      <w:r w:rsidR="00B903FE" w:rsidRPr="00B903FE">
        <w:rPr>
          <w:rFonts w:ascii="Arial" w:hAnsi="Arial" w:cs="Arial"/>
          <w:sz w:val="24"/>
          <w:szCs w:val="24"/>
          <w:lang w:val="en-US"/>
        </w:rPr>
        <w:t xml:space="preserve"> and the disposal of property of</w:t>
      </w:r>
      <w:r w:rsidR="00C022D6">
        <w:rPr>
          <w:rFonts w:ascii="Arial" w:hAnsi="Arial" w:cs="Arial"/>
          <w:sz w:val="24"/>
          <w:szCs w:val="24"/>
          <w:lang w:val="en-US"/>
        </w:rPr>
        <w:t>,</w:t>
      </w:r>
      <w:r w:rsidR="00B903FE" w:rsidRPr="00B903FE">
        <w:rPr>
          <w:rFonts w:ascii="Arial" w:hAnsi="Arial" w:cs="Arial"/>
          <w:sz w:val="24"/>
          <w:szCs w:val="24"/>
          <w:lang w:val="en-US"/>
        </w:rPr>
        <w:t xml:space="preserve"> the Government</w:t>
      </w:r>
      <w:r w:rsidR="00135D9C">
        <w:rPr>
          <w:rFonts w:ascii="Arial" w:hAnsi="Arial" w:cs="Arial"/>
          <w:sz w:val="24"/>
          <w:szCs w:val="24"/>
          <w:lang w:val="en-US"/>
        </w:rPr>
        <w:t xml:space="preserve"> </w:t>
      </w:r>
      <w:r w:rsidR="00B903FE">
        <w:rPr>
          <w:rFonts w:ascii="Arial" w:hAnsi="Arial" w:cs="Arial"/>
          <w:sz w:val="24"/>
          <w:szCs w:val="24"/>
          <w:lang w:val="en-US"/>
        </w:rPr>
        <w:t>. . .’</w:t>
      </w:r>
      <w:r w:rsidR="00B903FE" w:rsidRPr="00B903FE">
        <w:rPr>
          <w:rFonts w:ascii="Arial" w:hAnsi="Arial" w:cs="Arial"/>
          <w:sz w:val="24"/>
          <w:szCs w:val="24"/>
          <w:lang w:val="en-US"/>
        </w:rPr>
        <w:t>.</w:t>
      </w:r>
      <w:r w:rsidR="00B903FE">
        <w:rPr>
          <w:rFonts w:ascii="Arial" w:hAnsi="Arial" w:cs="Arial"/>
          <w:sz w:val="24"/>
        </w:rPr>
        <w:t xml:space="preserve"> </w:t>
      </w:r>
      <w:r w:rsidR="002865A7" w:rsidRPr="00B903FE">
        <w:rPr>
          <w:rFonts w:ascii="Arial" w:hAnsi="Arial" w:cs="Arial"/>
          <w:sz w:val="24"/>
          <w:szCs w:val="24"/>
          <w:lang w:val="en-US"/>
        </w:rPr>
        <w:t>Section 2 of th</w:t>
      </w:r>
      <w:r w:rsidR="00122455" w:rsidRPr="00B903FE">
        <w:rPr>
          <w:rFonts w:ascii="Arial" w:hAnsi="Arial" w:cs="Arial"/>
          <w:sz w:val="24"/>
          <w:szCs w:val="24"/>
          <w:lang w:val="en-US"/>
        </w:rPr>
        <w:t>e</w:t>
      </w:r>
      <w:r w:rsidR="002865A7" w:rsidRPr="00B903FE">
        <w:rPr>
          <w:rFonts w:ascii="Arial" w:hAnsi="Arial" w:cs="Arial"/>
          <w:sz w:val="24"/>
          <w:szCs w:val="24"/>
          <w:lang w:val="en-US"/>
        </w:rPr>
        <w:t xml:space="preserve"> Act establishe</w:t>
      </w:r>
      <w:r w:rsidR="00122455" w:rsidRPr="00B903FE">
        <w:rPr>
          <w:rFonts w:ascii="Arial" w:hAnsi="Arial" w:cs="Arial"/>
          <w:sz w:val="24"/>
          <w:szCs w:val="24"/>
          <w:lang w:val="en-US"/>
        </w:rPr>
        <w:t>d</w:t>
      </w:r>
      <w:r w:rsidR="002865A7" w:rsidRPr="00B903FE">
        <w:rPr>
          <w:rFonts w:ascii="Arial" w:hAnsi="Arial" w:cs="Arial"/>
          <w:sz w:val="24"/>
          <w:szCs w:val="24"/>
          <w:lang w:val="en-US"/>
        </w:rPr>
        <w:t xml:space="preserve"> </w:t>
      </w:r>
      <w:r w:rsidR="00B903FE" w:rsidRPr="00B903FE">
        <w:rPr>
          <w:rFonts w:ascii="Arial" w:hAnsi="Arial" w:cs="Arial"/>
          <w:sz w:val="24"/>
          <w:szCs w:val="24"/>
          <w:lang w:val="en-US"/>
        </w:rPr>
        <w:t>the board</w:t>
      </w:r>
      <w:r w:rsidR="00122455" w:rsidRPr="00B903FE">
        <w:rPr>
          <w:rFonts w:ascii="Arial" w:hAnsi="Arial" w:cs="Arial"/>
          <w:sz w:val="24"/>
          <w:szCs w:val="24"/>
          <w:lang w:val="en-US"/>
        </w:rPr>
        <w:t xml:space="preserve">, which was amongst </w:t>
      </w:r>
      <w:r w:rsidR="00122455" w:rsidRPr="00B903FE">
        <w:rPr>
          <w:rFonts w:ascii="Arial" w:hAnsi="Arial" w:cs="Arial"/>
          <w:sz w:val="24"/>
          <w:szCs w:val="24"/>
          <w:lang w:val="en-US"/>
        </w:rPr>
        <w:lastRenderedPageBreak/>
        <w:t>other functions</w:t>
      </w:r>
      <w:r w:rsidR="002865A7" w:rsidRPr="00B903FE">
        <w:rPr>
          <w:rFonts w:ascii="Arial" w:hAnsi="Arial" w:cs="Arial"/>
          <w:i/>
          <w:sz w:val="24"/>
          <w:szCs w:val="24"/>
          <w:lang w:val="en-US"/>
        </w:rPr>
        <w:t xml:space="preserve"> ‘</w:t>
      </w:r>
      <w:r w:rsidR="002865A7" w:rsidRPr="00B903FE">
        <w:rPr>
          <w:rFonts w:ascii="Arial" w:hAnsi="Arial" w:cs="Arial"/>
          <w:i/>
          <w:sz w:val="24"/>
          <w:szCs w:val="24"/>
          <w:u w:val="single"/>
          <w:lang w:val="en-US"/>
        </w:rPr>
        <w:t>responsible for the procurement of goods and s</w:t>
      </w:r>
      <w:r w:rsidR="00122455" w:rsidRPr="00B903FE">
        <w:rPr>
          <w:rFonts w:ascii="Arial" w:hAnsi="Arial" w:cs="Arial"/>
          <w:i/>
          <w:sz w:val="24"/>
          <w:szCs w:val="24"/>
          <w:u w:val="single"/>
          <w:lang w:val="en-US"/>
        </w:rPr>
        <w:t>ervices for the Government</w:t>
      </w:r>
      <w:r w:rsidR="00122455" w:rsidRPr="00B903FE">
        <w:rPr>
          <w:rFonts w:ascii="Arial" w:hAnsi="Arial" w:cs="Arial"/>
          <w:i/>
          <w:sz w:val="24"/>
          <w:szCs w:val="24"/>
          <w:lang w:val="en-US"/>
        </w:rPr>
        <w:t>’</w:t>
      </w:r>
      <w:r w:rsidR="00152ED4" w:rsidRPr="00B903FE">
        <w:rPr>
          <w:rFonts w:ascii="Arial" w:hAnsi="Arial" w:cs="Arial"/>
          <w:sz w:val="24"/>
          <w:szCs w:val="24"/>
          <w:lang w:val="en-US"/>
        </w:rPr>
        <w:t>.</w:t>
      </w:r>
    </w:p>
    <w:p w14:paraId="1CE68C24" w14:textId="77777777" w:rsidR="003F6169" w:rsidRPr="00302B19" w:rsidRDefault="003F6169" w:rsidP="003F6169">
      <w:pPr>
        <w:pStyle w:val="NoSpacing"/>
        <w:spacing w:line="480" w:lineRule="auto"/>
        <w:jc w:val="both"/>
        <w:rPr>
          <w:rFonts w:ascii="Arial" w:hAnsi="Arial" w:cs="Arial"/>
          <w:sz w:val="24"/>
        </w:rPr>
      </w:pPr>
    </w:p>
    <w:p w14:paraId="539B111A" w14:textId="77777777" w:rsidR="00676641" w:rsidRPr="00676641" w:rsidRDefault="003F6169" w:rsidP="003F6169">
      <w:pPr>
        <w:pStyle w:val="NoSpacing"/>
        <w:spacing w:line="480" w:lineRule="auto"/>
        <w:jc w:val="both"/>
        <w:rPr>
          <w:rFonts w:ascii="Arial" w:hAnsi="Arial" w:cs="Arial"/>
          <w:sz w:val="24"/>
        </w:rPr>
      </w:pPr>
      <w:r>
        <w:rPr>
          <w:rFonts w:ascii="Arial" w:hAnsi="Arial" w:cs="Arial"/>
          <w:sz w:val="24"/>
          <w:lang w:val="en-US"/>
        </w:rPr>
        <w:t>[46]</w:t>
      </w:r>
      <w:r>
        <w:rPr>
          <w:rFonts w:ascii="Arial" w:hAnsi="Arial" w:cs="Arial"/>
          <w:sz w:val="24"/>
          <w:lang w:val="en-US"/>
        </w:rPr>
        <w:tab/>
      </w:r>
      <w:r w:rsidR="002865A7" w:rsidRPr="00676641">
        <w:rPr>
          <w:rFonts w:ascii="Arial" w:hAnsi="Arial" w:cs="Arial"/>
          <w:sz w:val="24"/>
          <w:lang w:val="en-US"/>
        </w:rPr>
        <w:t>Section 7(1)</w:t>
      </w:r>
      <w:r w:rsidR="00122455" w:rsidRPr="00676641">
        <w:rPr>
          <w:rFonts w:ascii="Arial" w:hAnsi="Arial" w:cs="Arial"/>
          <w:sz w:val="24"/>
          <w:lang w:val="en-US"/>
        </w:rPr>
        <w:t xml:space="preserve"> of the </w:t>
      </w:r>
      <w:r w:rsidR="000B0BAB" w:rsidRPr="00676641">
        <w:rPr>
          <w:rFonts w:ascii="Arial" w:hAnsi="Arial" w:cs="Arial"/>
          <w:sz w:val="24"/>
          <w:lang w:val="en-US"/>
        </w:rPr>
        <w:t xml:space="preserve">Act sets out the powers and the functions of the </w:t>
      </w:r>
      <w:r w:rsidR="00AD45EC">
        <w:rPr>
          <w:rFonts w:ascii="Arial" w:hAnsi="Arial" w:cs="Arial"/>
          <w:sz w:val="24"/>
          <w:lang w:val="en-US"/>
        </w:rPr>
        <w:t>b</w:t>
      </w:r>
      <w:r w:rsidR="002865A7" w:rsidRPr="00676641">
        <w:rPr>
          <w:rFonts w:ascii="Arial" w:hAnsi="Arial" w:cs="Arial"/>
          <w:sz w:val="24"/>
          <w:lang w:val="en-US"/>
        </w:rPr>
        <w:t>oard</w:t>
      </w:r>
      <w:r w:rsidR="000B0BAB" w:rsidRPr="00676641">
        <w:rPr>
          <w:rFonts w:ascii="Arial" w:hAnsi="Arial" w:cs="Arial"/>
          <w:sz w:val="24"/>
          <w:lang w:val="en-US"/>
        </w:rPr>
        <w:t xml:space="preserve">, which include the power </w:t>
      </w:r>
      <w:r w:rsidR="002865A7" w:rsidRPr="00676641">
        <w:rPr>
          <w:rFonts w:ascii="Arial" w:hAnsi="Arial" w:cs="Arial"/>
          <w:sz w:val="24"/>
          <w:lang w:val="en-US"/>
        </w:rPr>
        <w:t>to:</w:t>
      </w:r>
    </w:p>
    <w:p w14:paraId="7EEBEBFB" w14:textId="77777777" w:rsidR="00676641" w:rsidRPr="00833691" w:rsidRDefault="00676641" w:rsidP="00833691">
      <w:pPr>
        <w:rPr>
          <w:rFonts w:ascii="Arial" w:hAnsi="Arial" w:cs="Arial"/>
          <w:sz w:val="24"/>
        </w:rPr>
      </w:pPr>
    </w:p>
    <w:p w14:paraId="3BC8FEB6" w14:textId="0554C966" w:rsidR="00C500C9" w:rsidRPr="00453860" w:rsidRDefault="00453860" w:rsidP="00453860">
      <w:pPr>
        <w:spacing w:line="480" w:lineRule="auto"/>
        <w:ind w:left="720"/>
        <w:jc w:val="both"/>
        <w:rPr>
          <w:rFonts w:ascii="Arial" w:hAnsi="Arial" w:cs="Arial"/>
          <w:sz w:val="24"/>
          <w:lang w:val="en-US"/>
        </w:rPr>
      </w:pPr>
      <w:r>
        <w:rPr>
          <w:rFonts w:ascii="Arial" w:hAnsi="Arial" w:cs="Arial"/>
          <w:sz w:val="24"/>
          <w:lang w:val="en-US"/>
        </w:rPr>
        <w:t>(a)</w:t>
      </w:r>
      <w:r>
        <w:rPr>
          <w:rFonts w:ascii="Arial" w:hAnsi="Arial" w:cs="Arial"/>
          <w:sz w:val="24"/>
          <w:lang w:val="en-US"/>
        </w:rPr>
        <w:tab/>
      </w:r>
      <w:r w:rsidR="00676641" w:rsidRPr="00453860">
        <w:rPr>
          <w:rFonts w:ascii="Arial" w:hAnsi="Arial" w:cs="Arial"/>
          <w:sz w:val="24"/>
          <w:lang w:val="en-US"/>
        </w:rPr>
        <w:t xml:space="preserve">conclude an agreement with any person for the furnishing of goods or </w:t>
      </w:r>
    </w:p>
    <w:p w14:paraId="28E04FC7" w14:textId="77777777" w:rsidR="00AB6565" w:rsidRDefault="00676641" w:rsidP="00C500C9">
      <w:pPr>
        <w:pStyle w:val="ListParagraph"/>
        <w:spacing w:line="480" w:lineRule="auto"/>
        <w:ind w:left="1418"/>
        <w:jc w:val="both"/>
        <w:rPr>
          <w:rFonts w:ascii="Arial" w:hAnsi="Arial" w:cs="Arial"/>
          <w:sz w:val="24"/>
          <w:lang w:val="en-US"/>
        </w:rPr>
      </w:pPr>
      <w:r w:rsidRPr="00AB6565">
        <w:rPr>
          <w:rFonts w:ascii="Arial" w:hAnsi="Arial" w:cs="Arial"/>
          <w:sz w:val="24"/>
          <w:lang w:val="en-US"/>
        </w:rPr>
        <w:t xml:space="preserve">services to the Government on its </w:t>
      </w:r>
      <w:proofErr w:type="gramStart"/>
      <w:r w:rsidRPr="00AB6565">
        <w:rPr>
          <w:rFonts w:ascii="Arial" w:hAnsi="Arial" w:cs="Arial"/>
          <w:sz w:val="24"/>
          <w:lang w:val="en-US"/>
        </w:rPr>
        <w:t>behalf;</w:t>
      </w:r>
      <w:proofErr w:type="gramEnd"/>
    </w:p>
    <w:p w14:paraId="40615FF5" w14:textId="77777777" w:rsidR="00AB6565" w:rsidRPr="00833691" w:rsidRDefault="00AB6565" w:rsidP="00302B19">
      <w:pPr>
        <w:spacing w:line="480" w:lineRule="auto"/>
        <w:ind w:left="720"/>
        <w:jc w:val="both"/>
        <w:rPr>
          <w:rFonts w:ascii="Arial" w:hAnsi="Arial" w:cs="Arial"/>
          <w:sz w:val="24"/>
          <w:lang w:val="en-US"/>
        </w:rPr>
      </w:pPr>
    </w:p>
    <w:p w14:paraId="72AB0B99" w14:textId="59CD70CB" w:rsidR="00AB6565" w:rsidRPr="00453860" w:rsidRDefault="00453860" w:rsidP="00453860">
      <w:pPr>
        <w:spacing w:line="480" w:lineRule="auto"/>
        <w:ind w:left="1418" w:hanging="709"/>
        <w:jc w:val="both"/>
        <w:rPr>
          <w:rFonts w:ascii="Arial" w:hAnsi="Arial" w:cs="Arial"/>
          <w:sz w:val="24"/>
          <w:lang w:val="en-US"/>
        </w:rPr>
      </w:pPr>
      <w:r>
        <w:rPr>
          <w:rFonts w:ascii="Arial" w:hAnsi="Arial" w:cs="Arial"/>
          <w:sz w:val="24"/>
          <w:lang w:val="en-US"/>
        </w:rPr>
        <w:t>(b)</w:t>
      </w:r>
      <w:r>
        <w:rPr>
          <w:rFonts w:ascii="Arial" w:hAnsi="Arial" w:cs="Arial"/>
          <w:sz w:val="24"/>
          <w:lang w:val="en-US"/>
        </w:rPr>
        <w:tab/>
      </w:r>
      <w:r w:rsidR="00676641" w:rsidRPr="00453860">
        <w:rPr>
          <w:rFonts w:ascii="Arial" w:hAnsi="Arial" w:cs="Arial"/>
          <w:sz w:val="24"/>
          <w:lang w:val="en-US"/>
        </w:rPr>
        <w:t xml:space="preserve">invite tenders and determine the manner in which they should be </w:t>
      </w:r>
      <w:proofErr w:type="gramStart"/>
      <w:r w:rsidR="00676641" w:rsidRPr="00453860">
        <w:rPr>
          <w:rFonts w:ascii="Arial" w:hAnsi="Arial" w:cs="Arial"/>
          <w:sz w:val="24"/>
          <w:lang w:val="en-US"/>
        </w:rPr>
        <w:t>submitted;</w:t>
      </w:r>
      <w:proofErr w:type="gramEnd"/>
    </w:p>
    <w:p w14:paraId="26E8E55E" w14:textId="77777777" w:rsidR="00AB6565" w:rsidRPr="00833691" w:rsidRDefault="00AB6565" w:rsidP="00302B19">
      <w:pPr>
        <w:spacing w:line="480" w:lineRule="auto"/>
        <w:ind w:left="720"/>
        <w:rPr>
          <w:rFonts w:ascii="Arial" w:hAnsi="Arial" w:cs="Arial"/>
          <w:sz w:val="24"/>
          <w:lang w:val="en-US"/>
        </w:rPr>
      </w:pPr>
    </w:p>
    <w:p w14:paraId="4FB4197E" w14:textId="45BDDE39" w:rsidR="00AB6565" w:rsidRPr="00453860" w:rsidRDefault="00453860" w:rsidP="00453860">
      <w:pPr>
        <w:spacing w:line="480" w:lineRule="auto"/>
        <w:ind w:left="1418" w:hanging="698"/>
        <w:jc w:val="both"/>
        <w:rPr>
          <w:rFonts w:ascii="Arial" w:hAnsi="Arial" w:cs="Arial"/>
          <w:sz w:val="24"/>
          <w:lang w:val="en-US"/>
        </w:rPr>
      </w:pPr>
      <w:r>
        <w:rPr>
          <w:rFonts w:ascii="Arial" w:hAnsi="Arial" w:cs="Arial"/>
          <w:sz w:val="24"/>
          <w:lang w:val="en-US"/>
        </w:rPr>
        <w:t>(c)</w:t>
      </w:r>
      <w:r>
        <w:rPr>
          <w:rFonts w:ascii="Arial" w:hAnsi="Arial" w:cs="Arial"/>
          <w:sz w:val="24"/>
          <w:lang w:val="en-US"/>
        </w:rPr>
        <w:tab/>
      </w:r>
      <w:r w:rsidR="00676641" w:rsidRPr="00453860">
        <w:rPr>
          <w:rFonts w:ascii="Arial" w:hAnsi="Arial" w:cs="Arial"/>
          <w:sz w:val="24"/>
          <w:lang w:val="en-US"/>
        </w:rPr>
        <w:t>inspect and test or cause to be inspected and tested the goods or services offered; and</w:t>
      </w:r>
    </w:p>
    <w:p w14:paraId="4B42E884" w14:textId="77777777" w:rsidR="00AB6565" w:rsidRPr="00833691" w:rsidRDefault="00AB6565" w:rsidP="00302B19">
      <w:pPr>
        <w:spacing w:line="480" w:lineRule="auto"/>
        <w:ind w:left="720"/>
        <w:rPr>
          <w:rFonts w:ascii="Arial" w:hAnsi="Arial" w:cs="Arial"/>
          <w:sz w:val="24"/>
          <w:lang w:val="en-US"/>
        </w:rPr>
      </w:pPr>
    </w:p>
    <w:p w14:paraId="60DEDF73" w14:textId="6CE781AF" w:rsidR="00676641" w:rsidRPr="00453860" w:rsidRDefault="00453860" w:rsidP="00453860">
      <w:pPr>
        <w:spacing w:line="480" w:lineRule="auto"/>
        <w:ind w:left="1418" w:hanging="698"/>
        <w:jc w:val="both"/>
        <w:rPr>
          <w:rFonts w:ascii="Arial" w:hAnsi="Arial" w:cs="Arial"/>
          <w:sz w:val="24"/>
          <w:lang w:val="en-US"/>
        </w:rPr>
      </w:pPr>
      <w:r w:rsidRPr="00AB6565">
        <w:rPr>
          <w:rFonts w:ascii="Arial" w:hAnsi="Arial" w:cs="Arial"/>
          <w:sz w:val="24"/>
          <w:lang w:val="en-US"/>
        </w:rPr>
        <w:t>(d)</w:t>
      </w:r>
      <w:r w:rsidRPr="00AB6565">
        <w:rPr>
          <w:rFonts w:ascii="Arial" w:hAnsi="Arial" w:cs="Arial"/>
          <w:sz w:val="24"/>
          <w:lang w:val="en-US"/>
        </w:rPr>
        <w:tab/>
      </w:r>
      <w:r w:rsidR="00676641" w:rsidRPr="00453860">
        <w:rPr>
          <w:rFonts w:ascii="Arial" w:hAnsi="Arial" w:cs="Arial"/>
          <w:sz w:val="24"/>
          <w:lang w:val="en-US"/>
        </w:rPr>
        <w:t>accept or reject any tender and take steps to enforce or resile from any agreement concluded.</w:t>
      </w:r>
    </w:p>
    <w:p w14:paraId="612F3443" w14:textId="77777777" w:rsidR="00676641" w:rsidRPr="00302B19" w:rsidRDefault="00676641" w:rsidP="000A47E1">
      <w:pPr>
        <w:spacing w:line="480" w:lineRule="auto"/>
        <w:rPr>
          <w:rFonts w:ascii="Arial" w:hAnsi="Arial" w:cs="Arial"/>
          <w:sz w:val="24"/>
          <w:szCs w:val="24"/>
          <w:lang w:val="en-US"/>
        </w:rPr>
      </w:pPr>
    </w:p>
    <w:p w14:paraId="6AF4E759" w14:textId="77777777" w:rsidR="00676641" w:rsidRPr="00676641" w:rsidRDefault="002E6012" w:rsidP="002E6012">
      <w:pPr>
        <w:pStyle w:val="NoSpacing"/>
        <w:spacing w:line="480" w:lineRule="auto"/>
        <w:jc w:val="both"/>
        <w:rPr>
          <w:rStyle w:val="akn-p"/>
          <w:rFonts w:ascii="Arial" w:hAnsi="Arial" w:cs="Arial"/>
          <w:sz w:val="24"/>
        </w:rPr>
      </w:pPr>
      <w:r>
        <w:rPr>
          <w:rFonts w:ascii="Arial" w:hAnsi="Arial" w:cs="Arial"/>
          <w:sz w:val="24"/>
          <w:szCs w:val="24"/>
          <w:lang w:val="en-US"/>
        </w:rPr>
        <w:t>[47]</w:t>
      </w:r>
      <w:r>
        <w:rPr>
          <w:rFonts w:ascii="Arial" w:hAnsi="Arial" w:cs="Arial"/>
          <w:sz w:val="24"/>
          <w:szCs w:val="24"/>
          <w:lang w:val="en-US"/>
        </w:rPr>
        <w:tab/>
      </w:r>
      <w:r w:rsidR="000B0BAB" w:rsidRPr="00676641">
        <w:rPr>
          <w:rFonts w:ascii="Arial" w:hAnsi="Arial" w:cs="Arial"/>
          <w:sz w:val="24"/>
          <w:szCs w:val="24"/>
          <w:lang w:val="en-US"/>
        </w:rPr>
        <w:t>Sec</w:t>
      </w:r>
      <w:r w:rsidR="00AD45EC">
        <w:rPr>
          <w:rFonts w:ascii="Arial" w:hAnsi="Arial" w:cs="Arial"/>
          <w:sz w:val="24"/>
          <w:szCs w:val="24"/>
          <w:lang w:val="en-US"/>
        </w:rPr>
        <w:t>tion 8 of the Act empowers the b</w:t>
      </w:r>
      <w:r w:rsidR="000B0BAB" w:rsidRPr="00676641">
        <w:rPr>
          <w:rFonts w:ascii="Arial" w:hAnsi="Arial" w:cs="Arial"/>
          <w:sz w:val="24"/>
          <w:szCs w:val="24"/>
          <w:lang w:val="en-US"/>
        </w:rPr>
        <w:t>oard to</w:t>
      </w:r>
      <w:r w:rsidR="00BE702C" w:rsidRPr="00676641">
        <w:rPr>
          <w:rFonts w:ascii="Arial" w:hAnsi="Arial" w:cs="Arial"/>
          <w:sz w:val="24"/>
          <w:szCs w:val="24"/>
          <w:lang w:val="en-US"/>
        </w:rPr>
        <w:t xml:space="preserve"> </w:t>
      </w:r>
      <w:r w:rsidR="000B0BAB" w:rsidRPr="00676641">
        <w:rPr>
          <w:rStyle w:val="akn-p"/>
          <w:rFonts w:ascii="Arial" w:hAnsi="Arial" w:cs="Arial"/>
          <w:sz w:val="24"/>
          <w:szCs w:val="24"/>
        </w:rPr>
        <w:t>from time to time</w:t>
      </w:r>
      <w:r w:rsidR="00152ED4" w:rsidRPr="00676641">
        <w:rPr>
          <w:rStyle w:val="akn-p"/>
          <w:rFonts w:ascii="Arial" w:hAnsi="Arial" w:cs="Arial"/>
          <w:sz w:val="24"/>
          <w:szCs w:val="24"/>
        </w:rPr>
        <w:t>,</w:t>
      </w:r>
      <w:r w:rsidR="000B0BAB" w:rsidRPr="00676641">
        <w:rPr>
          <w:rStyle w:val="akn-p"/>
          <w:rFonts w:ascii="Arial" w:hAnsi="Arial" w:cs="Arial"/>
          <w:sz w:val="24"/>
          <w:szCs w:val="24"/>
        </w:rPr>
        <w:t xml:space="preserve"> among its members appoint a committee to deal with any </w:t>
      </w:r>
      <w:r w:rsidR="00AD45EC">
        <w:rPr>
          <w:rStyle w:val="akn-p"/>
          <w:rFonts w:ascii="Arial" w:hAnsi="Arial" w:cs="Arial"/>
          <w:sz w:val="24"/>
          <w:szCs w:val="24"/>
        </w:rPr>
        <w:t>specific case on behalf of the b</w:t>
      </w:r>
      <w:r w:rsidR="000B0BAB" w:rsidRPr="00676641">
        <w:rPr>
          <w:rStyle w:val="akn-p"/>
          <w:rFonts w:ascii="Arial" w:hAnsi="Arial" w:cs="Arial"/>
          <w:sz w:val="24"/>
          <w:szCs w:val="24"/>
        </w:rPr>
        <w:t>oard and designate a chairperson for that committee</w:t>
      </w:r>
      <w:r w:rsidR="00C25FF3" w:rsidRPr="00676641">
        <w:rPr>
          <w:rStyle w:val="akn-p"/>
          <w:rFonts w:ascii="Arial" w:hAnsi="Arial" w:cs="Arial"/>
          <w:sz w:val="24"/>
          <w:szCs w:val="24"/>
        </w:rPr>
        <w:t>,</w:t>
      </w:r>
      <w:r w:rsidR="00F92756" w:rsidRPr="00F32D25">
        <w:rPr>
          <w:rStyle w:val="FootnoteReference"/>
          <w:rFonts w:ascii="Arial" w:hAnsi="Arial" w:cs="Arial"/>
          <w:sz w:val="24"/>
          <w:szCs w:val="24"/>
        </w:rPr>
        <w:footnoteReference w:id="16"/>
      </w:r>
      <w:r w:rsidR="00BE702C" w:rsidRPr="00676641">
        <w:rPr>
          <w:rStyle w:val="akn-p"/>
          <w:rFonts w:ascii="Arial" w:hAnsi="Arial" w:cs="Arial"/>
          <w:sz w:val="24"/>
          <w:szCs w:val="24"/>
        </w:rPr>
        <w:t xml:space="preserve"> and </w:t>
      </w:r>
      <w:r w:rsidR="000B0BAB" w:rsidRPr="00676641">
        <w:rPr>
          <w:rStyle w:val="akn-p"/>
          <w:rFonts w:ascii="Arial" w:hAnsi="Arial" w:cs="Arial"/>
          <w:sz w:val="24"/>
          <w:szCs w:val="24"/>
        </w:rPr>
        <w:t>subject to such conditions as it may determine</w:t>
      </w:r>
      <w:r w:rsidR="00152ED4" w:rsidRPr="00676641">
        <w:rPr>
          <w:rStyle w:val="akn-p"/>
          <w:rFonts w:ascii="Arial" w:hAnsi="Arial" w:cs="Arial"/>
          <w:sz w:val="24"/>
          <w:szCs w:val="24"/>
        </w:rPr>
        <w:t>,</w:t>
      </w:r>
      <w:r w:rsidR="000B0BAB" w:rsidRPr="00676641">
        <w:rPr>
          <w:rStyle w:val="akn-p"/>
          <w:rFonts w:ascii="Arial" w:hAnsi="Arial" w:cs="Arial"/>
          <w:sz w:val="24"/>
          <w:szCs w:val="24"/>
        </w:rPr>
        <w:t xml:space="preserve"> delegate any of the powers conferred upon it by or under the Act to th</w:t>
      </w:r>
      <w:r w:rsidR="00BE702C" w:rsidRPr="00676641">
        <w:rPr>
          <w:rStyle w:val="akn-p"/>
          <w:rFonts w:ascii="Arial" w:hAnsi="Arial" w:cs="Arial"/>
          <w:sz w:val="24"/>
          <w:szCs w:val="24"/>
        </w:rPr>
        <w:t>at committee</w:t>
      </w:r>
      <w:r w:rsidR="00C25FF3" w:rsidRPr="00676641">
        <w:rPr>
          <w:rStyle w:val="akn-p"/>
          <w:rFonts w:ascii="Arial" w:hAnsi="Arial" w:cs="Arial"/>
          <w:sz w:val="24"/>
          <w:szCs w:val="24"/>
        </w:rPr>
        <w:t>.</w:t>
      </w:r>
      <w:r w:rsidR="00F92756" w:rsidRPr="00F32D25">
        <w:rPr>
          <w:rStyle w:val="FootnoteReference"/>
          <w:rFonts w:ascii="Arial" w:hAnsi="Arial" w:cs="Arial"/>
          <w:sz w:val="24"/>
          <w:szCs w:val="24"/>
        </w:rPr>
        <w:footnoteReference w:id="17"/>
      </w:r>
      <w:r w:rsidR="00BE702C" w:rsidRPr="00676641">
        <w:rPr>
          <w:rStyle w:val="akn-p"/>
          <w:rFonts w:ascii="Arial" w:hAnsi="Arial" w:cs="Arial"/>
          <w:sz w:val="24"/>
          <w:szCs w:val="24"/>
        </w:rPr>
        <w:t xml:space="preserve"> The section further provides that a </w:t>
      </w:r>
      <w:r w:rsidR="000B0BAB" w:rsidRPr="00676641">
        <w:rPr>
          <w:rStyle w:val="akn-p"/>
          <w:rFonts w:ascii="Arial" w:hAnsi="Arial" w:cs="Arial"/>
          <w:sz w:val="24"/>
          <w:szCs w:val="24"/>
        </w:rPr>
        <w:t>delegation under s</w:t>
      </w:r>
      <w:r w:rsidR="00BE702C" w:rsidRPr="00676641">
        <w:rPr>
          <w:rStyle w:val="akn-p"/>
          <w:rFonts w:ascii="Arial" w:hAnsi="Arial" w:cs="Arial"/>
          <w:sz w:val="24"/>
          <w:szCs w:val="24"/>
        </w:rPr>
        <w:t xml:space="preserve"> 8</w:t>
      </w:r>
      <w:r w:rsidR="000B0BAB" w:rsidRPr="00676641">
        <w:rPr>
          <w:rStyle w:val="akn-p"/>
          <w:rFonts w:ascii="Arial" w:hAnsi="Arial" w:cs="Arial"/>
          <w:sz w:val="24"/>
          <w:szCs w:val="24"/>
        </w:rPr>
        <w:t xml:space="preserve">(2) shall </w:t>
      </w:r>
      <w:r w:rsidR="000B0BAB" w:rsidRPr="00676641">
        <w:rPr>
          <w:rStyle w:val="akn-p"/>
          <w:rFonts w:ascii="Arial" w:hAnsi="Arial" w:cs="Arial"/>
          <w:sz w:val="24"/>
          <w:szCs w:val="24"/>
        </w:rPr>
        <w:lastRenderedPageBreak/>
        <w:t xml:space="preserve">not divest </w:t>
      </w:r>
      <w:r w:rsidR="00AD45EC">
        <w:rPr>
          <w:rStyle w:val="akn-p"/>
          <w:rFonts w:ascii="Arial" w:hAnsi="Arial" w:cs="Arial"/>
          <w:sz w:val="24"/>
          <w:szCs w:val="24"/>
        </w:rPr>
        <w:t>the b</w:t>
      </w:r>
      <w:r w:rsidR="00BE702C" w:rsidRPr="00676641">
        <w:rPr>
          <w:rStyle w:val="akn-p"/>
          <w:rFonts w:ascii="Arial" w:hAnsi="Arial" w:cs="Arial"/>
          <w:sz w:val="24"/>
          <w:szCs w:val="24"/>
        </w:rPr>
        <w:t xml:space="preserve">oard </w:t>
      </w:r>
      <w:r w:rsidR="000B0BAB" w:rsidRPr="00676641">
        <w:rPr>
          <w:rStyle w:val="akn-p"/>
          <w:rFonts w:ascii="Arial" w:hAnsi="Arial" w:cs="Arial"/>
          <w:sz w:val="24"/>
          <w:szCs w:val="24"/>
        </w:rPr>
        <w:t>of any power so delegated, and the</w:t>
      </w:r>
      <w:r w:rsidR="00AD45EC">
        <w:rPr>
          <w:rStyle w:val="akn-p"/>
          <w:rFonts w:ascii="Arial" w:hAnsi="Arial" w:cs="Arial"/>
          <w:sz w:val="24"/>
          <w:szCs w:val="24"/>
        </w:rPr>
        <w:t xml:space="preserve"> b</w:t>
      </w:r>
      <w:r w:rsidR="00BE702C" w:rsidRPr="00676641">
        <w:rPr>
          <w:rStyle w:val="akn-p"/>
          <w:rFonts w:ascii="Arial" w:hAnsi="Arial" w:cs="Arial"/>
          <w:sz w:val="24"/>
          <w:szCs w:val="24"/>
        </w:rPr>
        <w:t xml:space="preserve">oard </w:t>
      </w:r>
      <w:r w:rsidR="000B0BAB" w:rsidRPr="00676641">
        <w:rPr>
          <w:rStyle w:val="akn-p"/>
          <w:rFonts w:ascii="Arial" w:hAnsi="Arial" w:cs="Arial"/>
          <w:sz w:val="24"/>
          <w:szCs w:val="24"/>
        </w:rPr>
        <w:t>may at any time vary or set aside any decision made thereunder by the committee</w:t>
      </w:r>
      <w:r w:rsidR="00C25FF3" w:rsidRPr="00676641">
        <w:rPr>
          <w:rStyle w:val="akn-p"/>
          <w:rFonts w:ascii="Arial" w:hAnsi="Arial" w:cs="Arial"/>
          <w:sz w:val="24"/>
          <w:szCs w:val="24"/>
        </w:rPr>
        <w:t>.</w:t>
      </w:r>
      <w:r w:rsidR="00F92756" w:rsidRPr="00F32D25">
        <w:rPr>
          <w:rStyle w:val="FootnoteReference"/>
          <w:rFonts w:ascii="Arial" w:hAnsi="Arial" w:cs="Arial"/>
          <w:sz w:val="24"/>
          <w:szCs w:val="24"/>
        </w:rPr>
        <w:footnoteReference w:id="18"/>
      </w:r>
    </w:p>
    <w:p w14:paraId="505C2895" w14:textId="77777777" w:rsidR="00676641" w:rsidRPr="00676641" w:rsidRDefault="00676641" w:rsidP="00676641">
      <w:pPr>
        <w:pStyle w:val="NoSpacing"/>
        <w:spacing w:line="480" w:lineRule="auto"/>
        <w:jc w:val="both"/>
        <w:rPr>
          <w:rStyle w:val="akn-p"/>
          <w:rFonts w:ascii="Arial" w:hAnsi="Arial" w:cs="Arial"/>
          <w:sz w:val="24"/>
        </w:rPr>
      </w:pPr>
    </w:p>
    <w:p w14:paraId="7A8DC1A7" w14:textId="77777777" w:rsidR="00676641" w:rsidRPr="00676641" w:rsidRDefault="002E6012" w:rsidP="002E6012">
      <w:pPr>
        <w:pStyle w:val="NoSpacing"/>
        <w:spacing w:line="480" w:lineRule="auto"/>
        <w:jc w:val="both"/>
        <w:rPr>
          <w:rStyle w:val="akn-p"/>
          <w:rFonts w:ascii="Arial" w:hAnsi="Arial" w:cs="Arial"/>
          <w:sz w:val="24"/>
        </w:rPr>
      </w:pPr>
      <w:r>
        <w:rPr>
          <w:rStyle w:val="akn-p"/>
          <w:rFonts w:ascii="Arial" w:hAnsi="Arial" w:cs="Arial"/>
          <w:sz w:val="24"/>
          <w:szCs w:val="24"/>
        </w:rPr>
        <w:t>[48]</w:t>
      </w:r>
      <w:r>
        <w:rPr>
          <w:rStyle w:val="akn-p"/>
          <w:rFonts w:ascii="Arial" w:hAnsi="Arial" w:cs="Arial"/>
          <w:sz w:val="24"/>
          <w:szCs w:val="24"/>
        </w:rPr>
        <w:tab/>
      </w:r>
      <w:r w:rsidR="00BE702C" w:rsidRPr="00676641">
        <w:rPr>
          <w:rStyle w:val="akn-p"/>
          <w:rFonts w:ascii="Arial" w:hAnsi="Arial" w:cs="Arial"/>
          <w:sz w:val="24"/>
          <w:szCs w:val="24"/>
        </w:rPr>
        <w:t>Section 16</w:t>
      </w:r>
      <w:r w:rsidR="00152ED4" w:rsidRPr="00676641">
        <w:rPr>
          <w:rStyle w:val="akn-p"/>
          <w:rFonts w:ascii="Arial" w:hAnsi="Arial" w:cs="Arial"/>
          <w:sz w:val="24"/>
          <w:szCs w:val="24"/>
        </w:rPr>
        <w:t>(1) of the Act, d</w:t>
      </w:r>
      <w:r w:rsidR="00BE702C" w:rsidRPr="00676641">
        <w:rPr>
          <w:rStyle w:val="akn-p"/>
          <w:rFonts w:ascii="Arial" w:hAnsi="Arial" w:cs="Arial"/>
          <w:sz w:val="24"/>
          <w:szCs w:val="24"/>
        </w:rPr>
        <w:t xml:space="preserve">eals with the acceptance of tenders and the entry into force of agreements. It provides that </w:t>
      </w:r>
      <w:r w:rsidR="00F92756" w:rsidRPr="00676641">
        <w:rPr>
          <w:rStyle w:val="akn-p"/>
          <w:rFonts w:ascii="Arial" w:hAnsi="Arial" w:cs="Arial"/>
          <w:sz w:val="24"/>
          <w:szCs w:val="24"/>
        </w:rPr>
        <w:t>t</w:t>
      </w:r>
      <w:r w:rsidR="00BE702C" w:rsidRPr="00676641">
        <w:rPr>
          <w:rStyle w:val="akn-p"/>
          <w:rFonts w:ascii="Arial" w:hAnsi="Arial" w:cs="Arial"/>
          <w:sz w:val="24"/>
          <w:szCs w:val="24"/>
        </w:rPr>
        <w:t xml:space="preserve">he </w:t>
      </w:r>
      <w:r w:rsidR="00AD45EC">
        <w:rPr>
          <w:rStyle w:val="akn-p"/>
          <w:rFonts w:ascii="Arial" w:hAnsi="Arial" w:cs="Arial"/>
          <w:sz w:val="24"/>
          <w:szCs w:val="24"/>
        </w:rPr>
        <w:t>b</w:t>
      </w:r>
      <w:r w:rsidR="00BE702C" w:rsidRPr="00676641">
        <w:rPr>
          <w:rStyle w:val="akn-p"/>
          <w:rFonts w:ascii="Arial" w:hAnsi="Arial" w:cs="Arial"/>
          <w:sz w:val="24"/>
          <w:szCs w:val="24"/>
        </w:rPr>
        <w:t xml:space="preserve">oard must in every </w:t>
      </w:r>
      <w:proofErr w:type="gramStart"/>
      <w:r w:rsidR="00BE702C" w:rsidRPr="00676641">
        <w:rPr>
          <w:rStyle w:val="akn-p"/>
          <w:rFonts w:ascii="Arial" w:hAnsi="Arial" w:cs="Arial"/>
          <w:sz w:val="24"/>
          <w:szCs w:val="24"/>
        </w:rPr>
        <w:t>part</w:t>
      </w:r>
      <w:r w:rsidR="00AD45EC">
        <w:rPr>
          <w:rStyle w:val="akn-p"/>
          <w:rFonts w:ascii="Arial" w:hAnsi="Arial" w:cs="Arial"/>
          <w:sz w:val="24"/>
          <w:szCs w:val="24"/>
        </w:rPr>
        <w:t>icular case</w:t>
      </w:r>
      <w:proofErr w:type="gramEnd"/>
      <w:r w:rsidR="00AD45EC">
        <w:rPr>
          <w:rStyle w:val="akn-p"/>
          <w:rFonts w:ascii="Arial" w:hAnsi="Arial" w:cs="Arial"/>
          <w:sz w:val="24"/>
          <w:szCs w:val="24"/>
        </w:rPr>
        <w:t>:</w:t>
      </w:r>
    </w:p>
    <w:p w14:paraId="2B4B2898" w14:textId="77777777" w:rsidR="00676641" w:rsidRPr="00833691" w:rsidRDefault="00676641" w:rsidP="001E2A98">
      <w:pPr>
        <w:spacing w:line="480" w:lineRule="auto"/>
        <w:rPr>
          <w:rStyle w:val="akn-p"/>
          <w:rFonts w:ascii="Arial" w:hAnsi="Arial" w:cs="Arial"/>
          <w:sz w:val="24"/>
        </w:rPr>
      </w:pPr>
    </w:p>
    <w:p w14:paraId="7D610BAF" w14:textId="1FFB032B" w:rsidR="00AB6565" w:rsidRPr="00453860" w:rsidRDefault="00453860" w:rsidP="00453860">
      <w:pPr>
        <w:spacing w:line="480" w:lineRule="auto"/>
        <w:ind w:left="1418" w:hanging="709"/>
        <w:jc w:val="both"/>
        <w:rPr>
          <w:rStyle w:val="akn-p"/>
          <w:rFonts w:ascii="Arial" w:hAnsi="Arial" w:cs="Arial"/>
          <w:sz w:val="24"/>
          <w:szCs w:val="24"/>
        </w:rPr>
      </w:pPr>
      <w:r w:rsidRPr="00C500C9">
        <w:rPr>
          <w:rStyle w:val="akn-p"/>
          <w:rFonts w:ascii="Arial" w:hAnsi="Arial" w:cs="Arial"/>
          <w:sz w:val="24"/>
          <w:szCs w:val="24"/>
        </w:rPr>
        <w:t>(a)</w:t>
      </w:r>
      <w:r w:rsidRPr="00C500C9">
        <w:rPr>
          <w:rStyle w:val="akn-p"/>
          <w:rFonts w:ascii="Arial" w:hAnsi="Arial" w:cs="Arial"/>
          <w:sz w:val="24"/>
          <w:szCs w:val="24"/>
        </w:rPr>
        <w:tab/>
      </w:r>
      <w:r w:rsidR="00676641" w:rsidRPr="00453860">
        <w:rPr>
          <w:rStyle w:val="akn-p"/>
          <w:rFonts w:ascii="Arial" w:hAnsi="Arial" w:cs="Arial"/>
          <w:sz w:val="24"/>
          <w:szCs w:val="24"/>
        </w:rPr>
        <w:t>notify the tenderers concerned in writing</w:t>
      </w:r>
      <w:r w:rsidR="00302B19" w:rsidRPr="00453860">
        <w:rPr>
          <w:rStyle w:val="akn-p"/>
          <w:rFonts w:ascii="Arial" w:hAnsi="Arial" w:cs="Arial"/>
          <w:sz w:val="24"/>
          <w:szCs w:val="24"/>
        </w:rPr>
        <w:t xml:space="preserve"> of the acceptance or rejection</w:t>
      </w:r>
      <w:r w:rsidR="00C500C9" w:rsidRPr="00453860">
        <w:rPr>
          <w:rStyle w:val="akn-p"/>
          <w:rFonts w:ascii="Arial" w:hAnsi="Arial" w:cs="Arial"/>
          <w:sz w:val="24"/>
          <w:szCs w:val="24"/>
        </w:rPr>
        <w:t xml:space="preserve"> </w:t>
      </w:r>
      <w:r w:rsidR="00676641" w:rsidRPr="00453860">
        <w:rPr>
          <w:rStyle w:val="akn-p"/>
          <w:rFonts w:ascii="Arial" w:hAnsi="Arial" w:cs="Arial"/>
          <w:sz w:val="24"/>
          <w:szCs w:val="24"/>
        </w:rPr>
        <w:t>of their tenders, as the case may be, and the name of the tenderer whose t</w:t>
      </w:r>
      <w:r w:rsidR="00AD45EC" w:rsidRPr="00453860">
        <w:rPr>
          <w:rStyle w:val="akn-p"/>
          <w:rFonts w:ascii="Arial" w:hAnsi="Arial" w:cs="Arial"/>
          <w:sz w:val="24"/>
          <w:szCs w:val="24"/>
        </w:rPr>
        <w:t>ender has been accepted by the b</w:t>
      </w:r>
      <w:r w:rsidR="00676641" w:rsidRPr="00453860">
        <w:rPr>
          <w:rStyle w:val="akn-p"/>
          <w:rFonts w:ascii="Arial" w:hAnsi="Arial" w:cs="Arial"/>
          <w:sz w:val="24"/>
          <w:szCs w:val="24"/>
        </w:rPr>
        <w:t xml:space="preserve">oard must be made known to all the other </w:t>
      </w:r>
      <w:proofErr w:type="gramStart"/>
      <w:r w:rsidR="00676641" w:rsidRPr="00453860">
        <w:rPr>
          <w:rStyle w:val="akn-p"/>
          <w:rFonts w:ascii="Arial" w:hAnsi="Arial" w:cs="Arial"/>
          <w:sz w:val="24"/>
          <w:szCs w:val="24"/>
        </w:rPr>
        <w:t>tenderers;</w:t>
      </w:r>
      <w:proofErr w:type="gramEnd"/>
    </w:p>
    <w:p w14:paraId="0F0A28D2" w14:textId="77777777" w:rsidR="000A47E1" w:rsidRPr="000A47E1" w:rsidRDefault="000A47E1" w:rsidP="000A47E1">
      <w:pPr>
        <w:spacing w:line="480" w:lineRule="auto"/>
        <w:jc w:val="both"/>
        <w:rPr>
          <w:rStyle w:val="akn-p"/>
          <w:rFonts w:ascii="Arial" w:hAnsi="Arial" w:cs="Arial"/>
          <w:sz w:val="24"/>
          <w:szCs w:val="24"/>
        </w:rPr>
      </w:pPr>
    </w:p>
    <w:p w14:paraId="13CCB7AA" w14:textId="6086B789" w:rsidR="00676641" w:rsidRPr="00453860" w:rsidRDefault="00453860" w:rsidP="00453860">
      <w:pPr>
        <w:spacing w:line="480" w:lineRule="auto"/>
        <w:ind w:left="1418" w:hanging="709"/>
        <w:jc w:val="both"/>
        <w:rPr>
          <w:rStyle w:val="akn-p"/>
          <w:rFonts w:ascii="Arial" w:hAnsi="Arial" w:cs="Arial"/>
          <w:sz w:val="24"/>
          <w:szCs w:val="24"/>
        </w:rPr>
      </w:pPr>
      <w:r w:rsidRPr="00AB6565">
        <w:rPr>
          <w:rStyle w:val="akn-p"/>
          <w:rFonts w:ascii="Arial" w:hAnsi="Arial" w:cs="Arial"/>
          <w:sz w:val="24"/>
          <w:szCs w:val="24"/>
        </w:rPr>
        <w:t>(b)</w:t>
      </w:r>
      <w:r w:rsidRPr="00AB6565">
        <w:rPr>
          <w:rStyle w:val="akn-p"/>
          <w:rFonts w:ascii="Arial" w:hAnsi="Arial" w:cs="Arial"/>
          <w:sz w:val="24"/>
          <w:szCs w:val="24"/>
        </w:rPr>
        <w:tab/>
      </w:r>
      <w:r w:rsidR="00676641" w:rsidRPr="00453860">
        <w:rPr>
          <w:rStyle w:val="akn-p"/>
          <w:rFonts w:ascii="Arial" w:hAnsi="Arial" w:cs="Arial"/>
          <w:sz w:val="24"/>
          <w:szCs w:val="24"/>
        </w:rPr>
        <w:t>on the written request of a tenderer, give reasons for the acceptance or rejection of his or her tender.</w:t>
      </w:r>
    </w:p>
    <w:p w14:paraId="2FAEB127" w14:textId="77777777" w:rsidR="00676641" w:rsidRPr="00CA06A8" w:rsidRDefault="00676641" w:rsidP="001E2A98">
      <w:pPr>
        <w:spacing w:line="480" w:lineRule="auto"/>
        <w:rPr>
          <w:rStyle w:val="akn-p"/>
          <w:rFonts w:ascii="Arial" w:hAnsi="Arial" w:cs="Arial"/>
          <w:sz w:val="24"/>
          <w:szCs w:val="24"/>
        </w:rPr>
      </w:pPr>
    </w:p>
    <w:p w14:paraId="5BCEE814" w14:textId="77777777" w:rsidR="00676641" w:rsidRPr="00676641" w:rsidRDefault="002E6012" w:rsidP="002E6012">
      <w:pPr>
        <w:pStyle w:val="NoSpacing"/>
        <w:spacing w:line="480" w:lineRule="auto"/>
        <w:jc w:val="both"/>
        <w:rPr>
          <w:rStyle w:val="akn-p"/>
          <w:rFonts w:ascii="Arial" w:hAnsi="Arial" w:cs="Arial"/>
          <w:sz w:val="24"/>
        </w:rPr>
      </w:pPr>
      <w:r>
        <w:rPr>
          <w:rStyle w:val="akn-p"/>
          <w:rFonts w:ascii="Arial" w:hAnsi="Arial" w:cs="Arial"/>
          <w:sz w:val="24"/>
          <w:szCs w:val="24"/>
        </w:rPr>
        <w:t>[49]</w:t>
      </w:r>
      <w:r>
        <w:rPr>
          <w:rStyle w:val="akn-p"/>
          <w:rFonts w:ascii="Arial" w:hAnsi="Arial" w:cs="Arial"/>
          <w:sz w:val="24"/>
          <w:szCs w:val="24"/>
        </w:rPr>
        <w:tab/>
      </w:r>
      <w:r w:rsidR="006E681F" w:rsidRPr="00676641">
        <w:rPr>
          <w:rStyle w:val="akn-p"/>
          <w:rFonts w:ascii="Arial" w:hAnsi="Arial" w:cs="Arial"/>
          <w:sz w:val="24"/>
          <w:szCs w:val="24"/>
        </w:rPr>
        <w:t>Section 16</w:t>
      </w:r>
      <w:r w:rsidR="00152ED4" w:rsidRPr="00676641">
        <w:rPr>
          <w:rStyle w:val="akn-p"/>
          <w:rFonts w:ascii="Arial" w:hAnsi="Arial" w:cs="Arial"/>
          <w:sz w:val="24"/>
          <w:szCs w:val="24"/>
        </w:rPr>
        <w:t>(2)</w:t>
      </w:r>
      <w:r w:rsidR="00AD45EC">
        <w:rPr>
          <w:rStyle w:val="akn-p"/>
          <w:rFonts w:ascii="Arial" w:hAnsi="Arial" w:cs="Arial"/>
          <w:sz w:val="24"/>
          <w:szCs w:val="24"/>
        </w:rPr>
        <w:t xml:space="preserve"> of the Act</w:t>
      </w:r>
      <w:r w:rsidR="00C759B2" w:rsidRPr="00676641">
        <w:rPr>
          <w:rStyle w:val="akn-p"/>
          <w:rFonts w:ascii="Arial" w:hAnsi="Arial" w:cs="Arial"/>
          <w:sz w:val="24"/>
          <w:szCs w:val="24"/>
        </w:rPr>
        <w:t>,</w:t>
      </w:r>
      <w:r w:rsidR="00C759B2">
        <w:t xml:space="preserve"> </w:t>
      </w:r>
      <w:proofErr w:type="gramStart"/>
      <w:r w:rsidR="00C759B2" w:rsidRPr="00676641">
        <w:rPr>
          <w:rStyle w:val="akn-p"/>
          <w:rFonts w:ascii="Arial" w:hAnsi="Arial" w:cs="Arial"/>
          <w:sz w:val="24"/>
          <w:szCs w:val="24"/>
        </w:rPr>
        <w:t>furthermore</w:t>
      </w:r>
      <w:proofErr w:type="gramEnd"/>
      <w:r w:rsidR="006E681F" w:rsidRPr="00676641">
        <w:rPr>
          <w:rStyle w:val="akn-p"/>
          <w:rFonts w:ascii="Arial" w:hAnsi="Arial" w:cs="Arial"/>
          <w:sz w:val="24"/>
          <w:szCs w:val="24"/>
        </w:rPr>
        <w:t xml:space="preserve"> provides that </w:t>
      </w:r>
      <w:r w:rsidR="006E681F" w:rsidRPr="00676641">
        <w:rPr>
          <w:rStyle w:val="akn-num"/>
          <w:rFonts w:ascii="Arial" w:hAnsi="Arial" w:cs="Arial"/>
          <w:sz w:val="24"/>
          <w:szCs w:val="24"/>
        </w:rPr>
        <w:t>w</w:t>
      </w:r>
      <w:r w:rsidR="00BE702C" w:rsidRPr="00676641">
        <w:rPr>
          <w:rStyle w:val="akn-p"/>
          <w:rFonts w:ascii="Arial" w:hAnsi="Arial" w:cs="Arial"/>
          <w:sz w:val="24"/>
          <w:szCs w:val="24"/>
        </w:rPr>
        <w:t xml:space="preserve">here in terms of a title of </w:t>
      </w:r>
      <w:r w:rsidR="00F92756" w:rsidRPr="00676641">
        <w:rPr>
          <w:rStyle w:val="akn-p"/>
          <w:rFonts w:ascii="Arial" w:hAnsi="Arial" w:cs="Arial"/>
          <w:sz w:val="24"/>
          <w:szCs w:val="24"/>
        </w:rPr>
        <w:t xml:space="preserve">a </w:t>
      </w:r>
      <w:r w:rsidR="00676641">
        <w:rPr>
          <w:rStyle w:val="akn-p"/>
          <w:rFonts w:ascii="Arial" w:hAnsi="Arial" w:cs="Arial"/>
          <w:sz w:val="24"/>
          <w:szCs w:val="24"/>
        </w:rPr>
        <w:t>tender</w:t>
      </w:r>
      <w:r w:rsidR="002D5156">
        <w:rPr>
          <w:rStyle w:val="akn-p"/>
          <w:rFonts w:ascii="Arial" w:hAnsi="Arial" w:cs="Arial"/>
          <w:sz w:val="24"/>
          <w:szCs w:val="24"/>
        </w:rPr>
        <w:t>:</w:t>
      </w:r>
    </w:p>
    <w:p w14:paraId="2BAA28F9" w14:textId="77777777" w:rsidR="00676641" w:rsidRDefault="00676641" w:rsidP="001E2A98">
      <w:pPr>
        <w:spacing w:line="360" w:lineRule="auto"/>
        <w:jc w:val="both"/>
        <w:rPr>
          <w:rStyle w:val="akn-num"/>
          <w:rFonts w:ascii="Arial" w:hAnsi="Arial" w:cs="Arial"/>
          <w:sz w:val="24"/>
          <w:szCs w:val="24"/>
        </w:rPr>
      </w:pPr>
    </w:p>
    <w:p w14:paraId="39F2ACE7" w14:textId="543ADB34" w:rsidR="00AB6565" w:rsidRPr="00453860" w:rsidRDefault="00453860" w:rsidP="00453860">
      <w:pPr>
        <w:spacing w:line="480" w:lineRule="auto"/>
        <w:ind w:left="1276" w:hanging="556"/>
        <w:jc w:val="both"/>
        <w:rPr>
          <w:rStyle w:val="akn-p"/>
          <w:rFonts w:ascii="Arial" w:hAnsi="Arial" w:cs="Arial"/>
          <w:sz w:val="24"/>
          <w:szCs w:val="24"/>
        </w:rPr>
      </w:pPr>
      <w:r>
        <w:rPr>
          <w:rStyle w:val="akn-p"/>
          <w:rFonts w:ascii="Arial" w:hAnsi="Arial" w:cs="Arial"/>
          <w:sz w:val="24"/>
          <w:szCs w:val="24"/>
        </w:rPr>
        <w:t>(a)</w:t>
      </w:r>
      <w:r>
        <w:rPr>
          <w:rStyle w:val="akn-p"/>
          <w:rFonts w:ascii="Arial" w:hAnsi="Arial" w:cs="Arial"/>
          <w:sz w:val="24"/>
          <w:szCs w:val="24"/>
        </w:rPr>
        <w:tab/>
      </w:r>
      <w:r w:rsidR="00676641" w:rsidRPr="00453860">
        <w:rPr>
          <w:rStyle w:val="akn-p"/>
          <w:rFonts w:ascii="Arial" w:hAnsi="Arial" w:cs="Arial"/>
          <w:sz w:val="24"/>
          <w:szCs w:val="24"/>
        </w:rPr>
        <w:t>a written agreement is required to be concluded after t</w:t>
      </w:r>
      <w:r w:rsidR="00AD45EC" w:rsidRPr="00453860">
        <w:rPr>
          <w:rStyle w:val="akn-p"/>
          <w:rFonts w:ascii="Arial" w:hAnsi="Arial" w:cs="Arial"/>
          <w:sz w:val="24"/>
          <w:szCs w:val="24"/>
        </w:rPr>
        <w:t>he acceptance of a tender. The b</w:t>
      </w:r>
      <w:r w:rsidR="00676641" w:rsidRPr="00453860">
        <w:rPr>
          <w:rStyle w:val="akn-p"/>
          <w:rFonts w:ascii="Arial" w:hAnsi="Arial" w:cs="Arial"/>
          <w:sz w:val="24"/>
          <w:szCs w:val="24"/>
        </w:rPr>
        <w:t xml:space="preserve">oard and the tenderer concerned must not later than 30 days from the date on which that tenderer was notified of the acceptance of its, his or her tender, or within such </w:t>
      </w:r>
      <w:r w:rsidR="00B03262" w:rsidRPr="00453860">
        <w:rPr>
          <w:rStyle w:val="akn-p"/>
          <w:rFonts w:ascii="Arial" w:hAnsi="Arial" w:cs="Arial"/>
          <w:sz w:val="24"/>
          <w:szCs w:val="24"/>
        </w:rPr>
        <w:t>extended period as the b</w:t>
      </w:r>
      <w:r w:rsidR="00676641" w:rsidRPr="00453860">
        <w:rPr>
          <w:rStyle w:val="akn-p"/>
          <w:rFonts w:ascii="Arial" w:hAnsi="Arial" w:cs="Arial"/>
          <w:sz w:val="24"/>
          <w:szCs w:val="24"/>
        </w:rPr>
        <w:t xml:space="preserve">oard may determine, enter into such an </w:t>
      </w:r>
      <w:proofErr w:type="gramStart"/>
      <w:r w:rsidR="00676641" w:rsidRPr="00453860">
        <w:rPr>
          <w:rStyle w:val="akn-p"/>
          <w:rFonts w:ascii="Arial" w:hAnsi="Arial" w:cs="Arial"/>
          <w:sz w:val="24"/>
          <w:szCs w:val="24"/>
        </w:rPr>
        <w:t>agreement;</w:t>
      </w:r>
      <w:proofErr w:type="gramEnd"/>
      <w:r w:rsidR="00676641" w:rsidRPr="00453860">
        <w:rPr>
          <w:rStyle w:val="akn-p"/>
          <w:rFonts w:ascii="Arial" w:hAnsi="Arial" w:cs="Arial"/>
          <w:sz w:val="24"/>
          <w:szCs w:val="24"/>
        </w:rPr>
        <w:t xml:space="preserve"> and </w:t>
      </w:r>
    </w:p>
    <w:p w14:paraId="2DDFE898" w14:textId="77777777" w:rsidR="00AB6565" w:rsidRPr="007F18AD" w:rsidRDefault="00AB6565" w:rsidP="007F18AD">
      <w:pPr>
        <w:spacing w:line="480" w:lineRule="auto"/>
        <w:ind w:left="720"/>
        <w:jc w:val="both"/>
        <w:rPr>
          <w:rStyle w:val="akn-p"/>
          <w:rFonts w:ascii="Arial" w:hAnsi="Arial" w:cs="Arial"/>
          <w:sz w:val="24"/>
          <w:szCs w:val="24"/>
        </w:rPr>
      </w:pPr>
    </w:p>
    <w:p w14:paraId="01EADE6C" w14:textId="7E35C6B7" w:rsidR="00676641" w:rsidRPr="00453860" w:rsidRDefault="00453860" w:rsidP="00453860">
      <w:pPr>
        <w:spacing w:line="480" w:lineRule="auto"/>
        <w:ind w:left="1276" w:hanging="556"/>
        <w:jc w:val="both"/>
        <w:rPr>
          <w:rStyle w:val="akn-num"/>
          <w:rFonts w:ascii="Arial" w:hAnsi="Arial" w:cs="Arial"/>
          <w:sz w:val="24"/>
          <w:szCs w:val="24"/>
        </w:rPr>
      </w:pPr>
      <w:r w:rsidRPr="00AB6565">
        <w:rPr>
          <w:rStyle w:val="akn-num"/>
          <w:rFonts w:ascii="Arial" w:hAnsi="Arial" w:cs="Arial"/>
          <w:sz w:val="24"/>
          <w:szCs w:val="24"/>
        </w:rPr>
        <w:lastRenderedPageBreak/>
        <w:t>(b)</w:t>
      </w:r>
      <w:r w:rsidRPr="00AB6565">
        <w:rPr>
          <w:rStyle w:val="akn-num"/>
          <w:rFonts w:ascii="Arial" w:hAnsi="Arial" w:cs="Arial"/>
          <w:sz w:val="24"/>
          <w:szCs w:val="24"/>
        </w:rPr>
        <w:tab/>
      </w:r>
      <w:r w:rsidR="00676641" w:rsidRPr="00453860">
        <w:rPr>
          <w:rStyle w:val="akn-num"/>
          <w:rFonts w:ascii="Arial" w:hAnsi="Arial" w:cs="Arial"/>
          <w:sz w:val="24"/>
          <w:szCs w:val="24"/>
        </w:rPr>
        <w:t xml:space="preserve">where </w:t>
      </w:r>
      <w:r w:rsidR="00676641" w:rsidRPr="00453860">
        <w:rPr>
          <w:rStyle w:val="akn-p"/>
          <w:rFonts w:ascii="Arial" w:hAnsi="Arial" w:cs="Arial"/>
          <w:sz w:val="24"/>
          <w:szCs w:val="24"/>
        </w:rPr>
        <w:t>a written agreement is not required to be so concluded, the agreement will come into force on the date on which the tenderer concerned is notified of the acceptance of its, his, or her tender</w:t>
      </w:r>
      <w:r w:rsidR="00676641" w:rsidRPr="00453860">
        <w:rPr>
          <w:rStyle w:val="akn-num"/>
          <w:rFonts w:ascii="Arial" w:hAnsi="Arial" w:cs="Arial"/>
          <w:sz w:val="24"/>
          <w:szCs w:val="24"/>
        </w:rPr>
        <w:t>.</w:t>
      </w:r>
    </w:p>
    <w:p w14:paraId="2A63887D" w14:textId="77777777" w:rsidR="00676641" w:rsidRPr="00676641" w:rsidRDefault="00676641" w:rsidP="00676641">
      <w:pPr>
        <w:pStyle w:val="NoSpacing"/>
        <w:spacing w:line="480" w:lineRule="auto"/>
        <w:jc w:val="both"/>
        <w:rPr>
          <w:rStyle w:val="akn-p"/>
          <w:rFonts w:ascii="Arial" w:hAnsi="Arial" w:cs="Arial"/>
          <w:sz w:val="24"/>
        </w:rPr>
      </w:pPr>
    </w:p>
    <w:p w14:paraId="4777E02E" w14:textId="77777777" w:rsidR="00676641" w:rsidRPr="00676641" w:rsidRDefault="00A30047" w:rsidP="00A30047">
      <w:pPr>
        <w:pStyle w:val="NoSpacing"/>
        <w:spacing w:line="480" w:lineRule="auto"/>
        <w:jc w:val="both"/>
        <w:rPr>
          <w:rStyle w:val="akn-p"/>
          <w:rFonts w:ascii="Arial" w:hAnsi="Arial" w:cs="Arial"/>
          <w:sz w:val="24"/>
        </w:rPr>
      </w:pPr>
      <w:r>
        <w:rPr>
          <w:rStyle w:val="akn-p"/>
          <w:rFonts w:ascii="Arial" w:hAnsi="Arial" w:cs="Arial"/>
          <w:sz w:val="24"/>
          <w:szCs w:val="24"/>
        </w:rPr>
        <w:t>[50]</w:t>
      </w:r>
      <w:r>
        <w:rPr>
          <w:rStyle w:val="akn-p"/>
          <w:rFonts w:ascii="Arial" w:hAnsi="Arial" w:cs="Arial"/>
          <w:sz w:val="24"/>
          <w:szCs w:val="24"/>
        </w:rPr>
        <w:tab/>
      </w:r>
      <w:r w:rsidR="006E681F" w:rsidRPr="00676641">
        <w:rPr>
          <w:rStyle w:val="akn-p"/>
          <w:rFonts w:ascii="Arial" w:hAnsi="Arial" w:cs="Arial"/>
          <w:sz w:val="24"/>
          <w:szCs w:val="24"/>
        </w:rPr>
        <w:t>Section 16</w:t>
      </w:r>
      <w:r w:rsidR="00152ED4" w:rsidRPr="00676641">
        <w:rPr>
          <w:rFonts w:ascii="Arial" w:hAnsi="Arial" w:cs="Arial"/>
          <w:sz w:val="24"/>
          <w:szCs w:val="24"/>
        </w:rPr>
        <w:t>(3)</w:t>
      </w:r>
      <w:r w:rsidR="008B712F" w:rsidRPr="00676641">
        <w:rPr>
          <w:rStyle w:val="akn-p"/>
          <w:rFonts w:ascii="Arial" w:hAnsi="Arial" w:cs="Arial"/>
          <w:sz w:val="24"/>
          <w:szCs w:val="24"/>
        </w:rPr>
        <w:t xml:space="preserve"> furthermore provides that </w:t>
      </w:r>
      <w:r w:rsidR="008B712F" w:rsidRPr="00676641">
        <w:rPr>
          <w:rStyle w:val="akn-num"/>
          <w:rFonts w:ascii="Arial" w:hAnsi="Arial" w:cs="Arial"/>
          <w:sz w:val="24"/>
          <w:szCs w:val="24"/>
        </w:rPr>
        <w:t>w</w:t>
      </w:r>
      <w:r w:rsidR="008B712F" w:rsidRPr="00676641">
        <w:rPr>
          <w:rStyle w:val="akn-p"/>
          <w:rFonts w:ascii="Arial" w:hAnsi="Arial" w:cs="Arial"/>
          <w:sz w:val="24"/>
          <w:szCs w:val="24"/>
        </w:rPr>
        <w:t xml:space="preserve">here in terms of a title of </w:t>
      </w:r>
      <w:r w:rsidR="00C022D6">
        <w:rPr>
          <w:rStyle w:val="akn-p"/>
          <w:rFonts w:ascii="Arial" w:hAnsi="Arial" w:cs="Arial"/>
          <w:sz w:val="24"/>
          <w:szCs w:val="24"/>
        </w:rPr>
        <w:t xml:space="preserve">a </w:t>
      </w:r>
      <w:r w:rsidR="008B712F" w:rsidRPr="00676641">
        <w:rPr>
          <w:rStyle w:val="akn-p"/>
          <w:rFonts w:ascii="Arial" w:hAnsi="Arial" w:cs="Arial"/>
          <w:sz w:val="24"/>
          <w:szCs w:val="24"/>
        </w:rPr>
        <w:t>tender</w:t>
      </w:r>
      <w:r w:rsidR="00C022D6">
        <w:rPr>
          <w:rStyle w:val="akn-p"/>
          <w:rFonts w:ascii="Arial" w:hAnsi="Arial" w:cs="Arial"/>
          <w:sz w:val="24"/>
          <w:szCs w:val="24"/>
        </w:rPr>
        <w:t>,</w:t>
      </w:r>
      <w:r w:rsidR="008B712F" w:rsidRPr="00676641">
        <w:rPr>
          <w:rStyle w:val="akn-p"/>
          <w:rFonts w:ascii="Arial" w:hAnsi="Arial" w:cs="Arial"/>
          <w:sz w:val="24"/>
          <w:szCs w:val="24"/>
        </w:rPr>
        <w:t xml:space="preserve"> a written agreement is required to be concluded after the acceptance of a tender and </w:t>
      </w:r>
      <w:r w:rsidR="00BE702C" w:rsidRPr="00676641">
        <w:rPr>
          <w:rStyle w:val="akn-p"/>
          <w:rFonts w:ascii="Arial" w:hAnsi="Arial" w:cs="Arial"/>
          <w:sz w:val="24"/>
          <w:szCs w:val="24"/>
        </w:rPr>
        <w:t xml:space="preserve">the tenderer fails to enter into </w:t>
      </w:r>
      <w:r w:rsidR="008B712F" w:rsidRPr="00676641">
        <w:rPr>
          <w:rStyle w:val="akn-p"/>
          <w:rFonts w:ascii="Arial" w:hAnsi="Arial" w:cs="Arial"/>
          <w:sz w:val="24"/>
          <w:szCs w:val="24"/>
        </w:rPr>
        <w:t xml:space="preserve">a written agreement </w:t>
      </w:r>
      <w:r w:rsidR="00BE702C" w:rsidRPr="00676641">
        <w:rPr>
          <w:rStyle w:val="akn-p"/>
          <w:rFonts w:ascii="Arial" w:hAnsi="Arial" w:cs="Arial"/>
          <w:sz w:val="24"/>
          <w:szCs w:val="24"/>
        </w:rPr>
        <w:t xml:space="preserve">within the </w:t>
      </w:r>
      <w:r w:rsidR="008B712F" w:rsidRPr="00676641">
        <w:rPr>
          <w:rStyle w:val="akn-p"/>
          <w:rFonts w:ascii="Arial" w:hAnsi="Arial" w:cs="Arial"/>
          <w:sz w:val="24"/>
          <w:szCs w:val="24"/>
        </w:rPr>
        <w:t>30</w:t>
      </w:r>
      <w:r w:rsidR="00C25FF3" w:rsidRPr="00676641">
        <w:rPr>
          <w:rStyle w:val="akn-p"/>
          <w:rFonts w:ascii="Arial" w:hAnsi="Arial" w:cs="Arial"/>
          <w:sz w:val="24"/>
          <w:szCs w:val="24"/>
        </w:rPr>
        <w:t>-day</w:t>
      </w:r>
      <w:r w:rsidR="008B712F" w:rsidRPr="00676641">
        <w:rPr>
          <w:rStyle w:val="akn-p"/>
          <w:rFonts w:ascii="Arial" w:hAnsi="Arial" w:cs="Arial"/>
          <w:sz w:val="24"/>
          <w:szCs w:val="24"/>
        </w:rPr>
        <w:t xml:space="preserve"> </w:t>
      </w:r>
      <w:r w:rsidR="00BE702C" w:rsidRPr="00676641">
        <w:rPr>
          <w:rStyle w:val="akn-p"/>
          <w:rFonts w:ascii="Arial" w:hAnsi="Arial" w:cs="Arial"/>
          <w:sz w:val="24"/>
          <w:szCs w:val="24"/>
        </w:rPr>
        <w:t>period</w:t>
      </w:r>
      <w:r w:rsidR="00C25FF3" w:rsidRPr="00676641">
        <w:rPr>
          <w:rStyle w:val="akn-p"/>
          <w:rFonts w:ascii="Arial" w:hAnsi="Arial" w:cs="Arial"/>
          <w:sz w:val="24"/>
          <w:szCs w:val="24"/>
        </w:rPr>
        <w:t>, or</w:t>
      </w:r>
      <w:r w:rsidR="00BE702C" w:rsidRPr="00676641">
        <w:rPr>
          <w:rStyle w:val="akn-p"/>
          <w:rFonts w:ascii="Arial" w:hAnsi="Arial" w:cs="Arial"/>
          <w:sz w:val="24"/>
          <w:szCs w:val="24"/>
        </w:rPr>
        <w:t xml:space="preserve"> if that period has been extended by </w:t>
      </w:r>
      <w:r w:rsidR="00B03262">
        <w:rPr>
          <w:rStyle w:val="akn-p"/>
          <w:rFonts w:ascii="Arial" w:hAnsi="Arial" w:cs="Arial"/>
          <w:sz w:val="24"/>
          <w:szCs w:val="24"/>
        </w:rPr>
        <w:t>the b</w:t>
      </w:r>
      <w:r w:rsidR="008B712F" w:rsidRPr="00676641">
        <w:rPr>
          <w:rStyle w:val="akn-p"/>
          <w:rFonts w:ascii="Arial" w:hAnsi="Arial" w:cs="Arial"/>
          <w:sz w:val="24"/>
          <w:szCs w:val="24"/>
        </w:rPr>
        <w:t>oard</w:t>
      </w:r>
      <w:r w:rsidR="00BE702C" w:rsidRPr="00676641">
        <w:rPr>
          <w:rStyle w:val="akn-p"/>
          <w:rFonts w:ascii="Arial" w:hAnsi="Arial" w:cs="Arial"/>
          <w:sz w:val="24"/>
          <w:szCs w:val="24"/>
        </w:rPr>
        <w:t xml:space="preserve"> within the extended period, or if the tenderer, when required to do so, fails to furnish the required secu</w:t>
      </w:r>
      <w:r w:rsidR="007E1952" w:rsidRPr="00676641">
        <w:rPr>
          <w:rStyle w:val="akn-p"/>
          <w:rFonts w:ascii="Arial" w:hAnsi="Arial" w:cs="Arial"/>
          <w:sz w:val="24"/>
          <w:szCs w:val="24"/>
        </w:rPr>
        <w:t xml:space="preserve">rity for the performance of the </w:t>
      </w:r>
      <w:r w:rsidR="00B03262">
        <w:rPr>
          <w:rStyle w:val="akn-p"/>
          <w:rFonts w:ascii="Arial" w:hAnsi="Arial" w:cs="Arial"/>
          <w:sz w:val="24"/>
          <w:szCs w:val="24"/>
        </w:rPr>
        <w:t>agreement the b</w:t>
      </w:r>
      <w:r w:rsidR="008B712F" w:rsidRPr="00676641">
        <w:rPr>
          <w:rStyle w:val="akn-p"/>
          <w:rFonts w:ascii="Arial" w:hAnsi="Arial" w:cs="Arial"/>
          <w:sz w:val="24"/>
          <w:szCs w:val="24"/>
        </w:rPr>
        <w:t>oard may</w:t>
      </w:r>
      <w:r w:rsidR="00BE702C" w:rsidRPr="00676641">
        <w:rPr>
          <w:rStyle w:val="akn-p"/>
          <w:rFonts w:ascii="Arial" w:hAnsi="Arial" w:cs="Arial"/>
          <w:sz w:val="24"/>
          <w:szCs w:val="24"/>
        </w:rPr>
        <w:t xml:space="preserve"> withdraw its acceptance of the tender in question and accept any other tender from among the tenders submitted to it; or</w:t>
      </w:r>
      <w:r w:rsidR="008B712F" w:rsidRPr="00676641">
        <w:rPr>
          <w:rStyle w:val="akn-num"/>
          <w:rFonts w:ascii="Arial" w:hAnsi="Arial" w:cs="Arial"/>
          <w:sz w:val="24"/>
          <w:szCs w:val="24"/>
        </w:rPr>
        <w:t xml:space="preserve"> </w:t>
      </w:r>
      <w:r w:rsidR="008B712F" w:rsidRPr="00676641">
        <w:rPr>
          <w:rStyle w:val="akn-p"/>
          <w:rFonts w:ascii="Arial" w:hAnsi="Arial" w:cs="Arial"/>
          <w:sz w:val="24"/>
          <w:szCs w:val="24"/>
        </w:rPr>
        <w:t>invite tenders afresh.</w:t>
      </w:r>
    </w:p>
    <w:p w14:paraId="5CE01B1A" w14:textId="77777777" w:rsidR="00676641" w:rsidRPr="00676641" w:rsidRDefault="00676641" w:rsidP="00676641">
      <w:pPr>
        <w:pStyle w:val="NoSpacing"/>
        <w:spacing w:line="480" w:lineRule="auto"/>
        <w:jc w:val="both"/>
        <w:rPr>
          <w:rStyle w:val="akn-p"/>
          <w:rFonts w:ascii="Arial" w:hAnsi="Arial" w:cs="Arial"/>
          <w:sz w:val="24"/>
        </w:rPr>
      </w:pPr>
    </w:p>
    <w:p w14:paraId="1C7C9ED9" w14:textId="77777777" w:rsidR="00676641" w:rsidRPr="00676641" w:rsidRDefault="00A30047" w:rsidP="00A30047">
      <w:pPr>
        <w:pStyle w:val="NoSpacing"/>
        <w:spacing w:line="480" w:lineRule="auto"/>
        <w:jc w:val="both"/>
        <w:rPr>
          <w:rFonts w:ascii="Arial" w:hAnsi="Arial" w:cs="Arial"/>
          <w:sz w:val="24"/>
        </w:rPr>
      </w:pPr>
      <w:r>
        <w:rPr>
          <w:rStyle w:val="akn-p"/>
          <w:rFonts w:ascii="Arial" w:hAnsi="Arial" w:cs="Arial"/>
          <w:sz w:val="24"/>
          <w:szCs w:val="24"/>
        </w:rPr>
        <w:t>[51]</w:t>
      </w:r>
      <w:r>
        <w:rPr>
          <w:rStyle w:val="akn-p"/>
          <w:rFonts w:ascii="Arial" w:hAnsi="Arial" w:cs="Arial"/>
          <w:sz w:val="24"/>
          <w:szCs w:val="24"/>
        </w:rPr>
        <w:tab/>
      </w:r>
      <w:r w:rsidR="008B712F" w:rsidRPr="00676641">
        <w:rPr>
          <w:rStyle w:val="akn-p"/>
          <w:rFonts w:ascii="Arial" w:hAnsi="Arial" w:cs="Arial"/>
          <w:sz w:val="24"/>
          <w:szCs w:val="24"/>
        </w:rPr>
        <w:t xml:space="preserve">Section 18 of the Act deals with the </w:t>
      </w:r>
      <w:r w:rsidR="00C25FF3" w:rsidRPr="00676641">
        <w:rPr>
          <w:rFonts w:ascii="Arial" w:hAnsi="Arial" w:cs="Arial"/>
          <w:sz w:val="24"/>
          <w:szCs w:val="24"/>
        </w:rPr>
        <w:t>a</w:t>
      </w:r>
      <w:r w:rsidR="008B712F" w:rsidRPr="00676641">
        <w:rPr>
          <w:rFonts w:ascii="Arial" w:hAnsi="Arial" w:cs="Arial"/>
          <w:sz w:val="24"/>
          <w:szCs w:val="24"/>
        </w:rPr>
        <w:t xml:space="preserve">dministrative work of the </w:t>
      </w:r>
      <w:r w:rsidR="00B03262">
        <w:rPr>
          <w:rFonts w:ascii="Arial" w:hAnsi="Arial" w:cs="Arial"/>
          <w:sz w:val="24"/>
          <w:szCs w:val="24"/>
        </w:rPr>
        <w:t>b</w:t>
      </w:r>
      <w:r w:rsidR="008B712F" w:rsidRPr="00676641">
        <w:rPr>
          <w:rFonts w:ascii="Arial" w:hAnsi="Arial" w:cs="Arial"/>
          <w:sz w:val="24"/>
          <w:szCs w:val="24"/>
        </w:rPr>
        <w:t xml:space="preserve">oard. It provides that all administrative work, including the payment and receipt of moneys, in connection with the exercise of the powers and the performance of the functions of the </w:t>
      </w:r>
      <w:r w:rsidR="00B03262">
        <w:rPr>
          <w:rFonts w:ascii="Arial" w:hAnsi="Arial" w:cs="Arial"/>
          <w:sz w:val="24"/>
          <w:szCs w:val="24"/>
        </w:rPr>
        <w:t>b</w:t>
      </w:r>
      <w:r w:rsidR="008B712F" w:rsidRPr="00676641">
        <w:rPr>
          <w:rFonts w:ascii="Arial" w:hAnsi="Arial" w:cs="Arial"/>
          <w:sz w:val="24"/>
          <w:szCs w:val="24"/>
        </w:rPr>
        <w:t>oard</w:t>
      </w:r>
      <w:r w:rsidR="00152ED4" w:rsidRPr="00676641">
        <w:rPr>
          <w:rFonts w:ascii="Arial" w:hAnsi="Arial" w:cs="Arial"/>
          <w:b/>
          <w:sz w:val="24"/>
          <w:szCs w:val="24"/>
        </w:rPr>
        <w:t>,</w:t>
      </w:r>
      <w:r w:rsidR="008B712F" w:rsidRPr="00676641">
        <w:rPr>
          <w:rFonts w:ascii="Arial" w:hAnsi="Arial" w:cs="Arial"/>
          <w:sz w:val="24"/>
          <w:szCs w:val="24"/>
        </w:rPr>
        <w:t xml:space="preserve"> </w:t>
      </w:r>
      <w:r w:rsidR="00AE6129" w:rsidRPr="00676641">
        <w:rPr>
          <w:rFonts w:ascii="Arial" w:hAnsi="Arial" w:cs="Arial"/>
          <w:sz w:val="24"/>
          <w:szCs w:val="24"/>
        </w:rPr>
        <w:t>must</w:t>
      </w:r>
      <w:r w:rsidR="008B712F" w:rsidRPr="00676641">
        <w:rPr>
          <w:rFonts w:ascii="Arial" w:hAnsi="Arial" w:cs="Arial"/>
          <w:sz w:val="24"/>
          <w:szCs w:val="24"/>
        </w:rPr>
        <w:t xml:space="preserve"> be performed by staff members designated by the Permanent Secretary of the Ministry of Finance</w:t>
      </w:r>
      <w:r w:rsidR="00152ED4" w:rsidRPr="00B03262">
        <w:rPr>
          <w:rFonts w:ascii="Arial" w:hAnsi="Arial" w:cs="Arial"/>
          <w:sz w:val="24"/>
          <w:szCs w:val="24"/>
        </w:rPr>
        <w:t>,</w:t>
      </w:r>
      <w:r w:rsidR="008B712F" w:rsidRPr="00676641">
        <w:rPr>
          <w:rFonts w:ascii="Arial" w:hAnsi="Arial" w:cs="Arial"/>
          <w:sz w:val="24"/>
          <w:szCs w:val="24"/>
        </w:rPr>
        <w:t xml:space="preserve"> from among the staff of the Ministry of Finance</w:t>
      </w:r>
      <w:r w:rsidR="007645D7" w:rsidRPr="00CA06A8">
        <w:rPr>
          <w:rFonts w:ascii="Arial" w:hAnsi="Arial" w:cs="Arial"/>
          <w:sz w:val="24"/>
          <w:szCs w:val="24"/>
        </w:rPr>
        <w:t>.</w:t>
      </w:r>
      <w:r w:rsidR="008B712F" w:rsidRPr="007645D7">
        <w:rPr>
          <w:rStyle w:val="FootnoteReference"/>
          <w:rFonts w:ascii="Arial" w:hAnsi="Arial" w:cs="Arial"/>
          <w:sz w:val="24"/>
          <w:szCs w:val="24"/>
        </w:rPr>
        <w:footnoteReference w:id="19"/>
      </w:r>
    </w:p>
    <w:p w14:paraId="73E69B9C" w14:textId="77777777" w:rsidR="00676641" w:rsidRPr="00CA06A8" w:rsidRDefault="00676641" w:rsidP="00CA06A8">
      <w:pPr>
        <w:spacing w:line="480" w:lineRule="auto"/>
        <w:rPr>
          <w:rFonts w:ascii="Arial" w:hAnsi="Arial" w:cs="Arial"/>
          <w:sz w:val="24"/>
          <w:szCs w:val="24"/>
        </w:rPr>
      </w:pPr>
    </w:p>
    <w:p w14:paraId="70EC9306" w14:textId="77777777" w:rsidR="00676641" w:rsidRPr="00676641" w:rsidRDefault="00E728BC" w:rsidP="00E728BC">
      <w:pPr>
        <w:pStyle w:val="NoSpacing"/>
        <w:spacing w:line="480" w:lineRule="auto"/>
        <w:jc w:val="both"/>
        <w:rPr>
          <w:rFonts w:ascii="Arial" w:hAnsi="Arial" w:cs="Arial"/>
          <w:sz w:val="24"/>
        </w:rPr>
      </w:pPr>
      <w:r>
        <w:rPr>
          <w:rFonts w:ascii="Arial" w:hAnsi="Arial" w:cs="Arial"/>
          <w:sz w:val="24"/>
          <w:szCs w:val="24"/>
        </w:rPr>
        <w:t>[52]</w:t>
      </w:r>
      <w:r>
        <w:rPr>
          <w:rFonts w:ascii="Arial" w:hAnsi="Arial" w:cs="Arial"/>
          <w:sz w:val="24"/>
          <w:szCs w:val="24"/>
        </w:rPr>
        <w:tab/>
      </w:r>
      <w:r w:rsidR="00B03262">
        <w:rPr>
          <w:rFonts w:ascii="Arial" w:hAnsi="Arial" w:cs="Arial"/>
          <w:sz w:val="24"/>
          <w:szCs w:val="24"/>
        </w:rPr>
        <w:t>Despite the fact that s 18</w:t>
      </w:r>
      <w:r w:rsidR="00D35882" w:rsidRPr="00676641">
        <w:rPr>
          <w:rFonts w:ascii="Arial" w:hAnsi="Arial" w:cs="Arial"/>
          <w:sz w:val="24"/>
          <w:szCs w:val="24"/>
        </w:rPr>
        <w:t>(1) provides for</w:t>
      </w:r>
      <w:r w:rsidR="003642DA" w:rsidRPr="00676641">
        <w:rPr>
          <w:rFonts w:ascii="Arial" w:hAnsi="Arial" w:cs="Arial"/>
          <w:sz w:val="24"/>
          <w:szCs w:val="24"/>
        </w:rPr>
        <w:t xml:space="preserve"> the</w:t>
      </w:r>
      <w:r w:rsidR="00D35882" w:rsidRPr="00676641">
        <w:rPr>
          <w:rFonts w:ascii="Arial" w:hAnsi="Arial" w:cs="Arial"/>
          <w:sz w:val="24"/>
          <w:szCs w:val="24"/>
        </w:rPr>
        <w:t xml:space="preserve"> Permanent Secretary of the Ministry </w:t>
      </w:r>
      <w:r w:rsidR="00AE6129" w:rsidRPr="00676641">
        <w:rPr>
          <w:rFonts w:ascii="Arial" w:hAnsi="Arial" w:cs="Arial"/>
          <w:sz w:val="24"/>
          <w:szCs w:val="24"/>
        </w:rPr>
        <w:t xml:space="preserve">of </w:t>
      </w:r>
      <w:r w:rsidR="00D35882" w:rsidRPr="00676641">
        <w:rPr>
          <w:rFonts w:ascii="Arial" w:hAnsi="Arial" w:cs="Arial"/>
          <w:sz w:val="24"/>
          <w:szCs w:val="24"/>
        </w:rPr>
        <w:t>Finance to d</w:t>
      </w:r>
      <w:r w:rsidR="00B03262">
        <w:rPr>
          <w:rFonts w:ascii="Arial" w:hAnsi="Arial" w:cs="Arial"/>
          <w:sz w:val="24"/>
          <w:szCs w:val="24"/>
        </w:rPr>
        <w:t>esignate staff members of that ministry to perform the b</w:t>
      </w:r>
      <w:r w:rsidR="00D35882" w:rsidRPr="00676641">
        <w:rPr>
          <w:rFonts w:ascii="Arial" w:hAnsi="Arial" w:cs="Arial"/>
          <w:sz w:val="24"/>
          <w:szCs w:val="24"/>
        </w:rPr>
        <w:t>oard’s administrative function</w:t>
      </w:r>
      <w:r w:rsidR="00B03262">
        <w:rPr>
          <w:rFonts w:ascii="Arial" w:hAnsi="Arial" w:cs="Arial"/>
          <w:sz w:val="24"/>
          <w:szCs w:val="24"/>
        </w:rPr>
        <w:t>s</w:t>
      </w:r>
      <w:r w:rsidR="00BE7AB0" w:rsidRPr="00676641">
        <w:rPr>
          <w:rFonts w:ascii="Arial" w:hAnsi="Arial" w:cs="Arial"/>
          <w:sz w:val="24"/>
          <w:szCs w:val="24"/>
        </w:rPr>
        <w:t>, t</w:t>
      </w:r>
      <w:r w:rsidR="00AE6129" w:rsidRPr="00676641">
        <w:rPr>
          <w:rFonts w:ascii="Arial" w:hAnsi="Arial" w:cs="Arial"/>
          <w:sz w:val="24"/>
          <w:szCs w:val="24"/>
        </w:rPr>
        <w:t xml:space="preserve">he </w:t>
      </w:r>
      <w:r w:rsidR="00D35882" w:rsidRPr="00676641">
        <w:rPr>
          <w:rFonts w:ascii="Arial" w:hAnsi="Arial" w:cs="Arial"/>
          <w:sz w:val="24"/>
          <w:szCs w:val="24"/>
        </w:rPr>
        <w:t>Act</w:t>
      </w:r>
      <w:r w:rsidR="00C25FF3" w:rsidRPr="00676641">
        <w:rPr>
          <w:rFonts w:ascii="Arial" w:hAnsi="Arial" w:cs="Arial"/>
          <w:sz w:val="24"/>
          <w:szCs w:val="24"/>
        </w:rPr>
        <w:t>,</w:t>
      </w:r>
      <w:r w:rsidR="00D35882" w:rsidRPr="007645D7">
        <w:rPr>
          <w:rStyle w:val="FootnoteReference"/>
          <w:rFonts w:ascii="Arial" w:hAnsi="Arial" w:cs="Arial"/>
          <w:sz w:val="24"/>
          <w:szCs w:val="24"/>
        </w:rPr>
        <w:footnoteReference w:id="20"/>
      </w:r>
      <w:r w:rsidR="00D35882" w:rsidRPr="00676641">
        <w:rPr>
          <w:rFonts w:ascii="Arial" w:hAnsi="Arial" w:cs="Arial"/>
          <w:sz w:val="24"/>
          <w:szCs w:val="24"/>
        </w:rPr>
        <w:t xml:space="preserve"> </w:t>
      </w:r>
      <w:r w:rsidR="00BE7AB0" w:rsidRPr="00676641">
        <w:rPr>
          <w:rFonts w:ascii="Arial" w:hAnsi="Arial" w:cs="Arial"/>
          <w:sz w:val="24"/>
          <w:szCs w:val="24"/>
        </w:rPr>
        <w:t xml:space="preserve">still </w:t>
      </w:r>
      <w:r w:rsidR="00B03262">
        <w:rPr>
          <w:rFonts w:ascii="Arial" w:hAnsi="Arial" w:cs="Arial"/>
          <w:sz w:val="24"/>
          <w:szCs w:val="24"/>
        </w:rPr>
        <w:t>empowers the b</w:t>
      </w:r>
      <w:r w:rsidR="00D35882" w:rsidRPr="00676641">
        <w:rPr>
          <w:rFonts w:ascii="Arial" w:hAnsi="Arial" w:cs="Arial"/>
          <w:sz w:val="24"/>
          <w:szCs w:val="24"/>
        </w:rPr>
        <w:t>oard to require a staff member of any other ministry, or office</w:t>
      </w:r>
      <w:r w:rsidR="00C25FF3" w:rsidRPr="00676641">
        <w:rPr>
          <w:rFonts w:ascii="Arial" w:hAnsi="Arial" w:cs="Arial"/>
          <w:sz w:val="24"/>
          <w:szCs w:val="24"/>
        </w:rPr>
        <w:t>,</w:t>
      </w:r>
      <w:r w:rsidR="00B03262">
        <w:rPr>
          <w:rFonts w:ascii="Arial" w:hAnsi="Arial" w:cs="Arial"/>
          <w:sz w:val="24"/>
          <w:szCs w:val="24"/>
        </w:rPr>
        <w:t xml:space="preserve"> or agency to assist the b</w:t>
      </w:r>
      <w:r w:rsidR="00D35882" w:rsidRPr="00676641">
        <w:rPr>
          <w:rFonts w:ascii="Arial" w:hAnsi="Arial" w:cs="Arial"/>
          <w:sz w:val="24"/>
          <w:szCs w:val="24"/>
        </w:rPr>
        <w:t xml:space="preserve">oard </w:t>
      </w:r>
      <w:r w:rsidR="008B712F" w:rsidRPr="00676641">
        <w:rPr>
          <w:rFonts w:ascii="Arial" w:hAnsi="Arial" w:cs="Arial"/>
          <w:sz w:val="24"/>
          <w:szCs w:val="24"/>
        </w:rPr>
        <w:t xml:space="preserve">with the </w:t>
      </w:r>
      <w:r w:rsidR="008B712F" w:rsidRPr="00676641">
        <w:rPr>
          <w:rFonts w:ascii="Arial" w:hAnsi="Arial" w:cs="Arial"/>
          <w:sz w:val="24"/>
          <w:szCs w:val="24"/>
        </w:rPr>
        <w:lastRenderedPageBreak/>
        <w:t xml:space="preserve">evaluation of any tender or to make recommendations to </w:t>
      </w:r>
      <w:r w:rsidR="00B03262">
        <w:rPr>
          <w:rFonts w:ascii="Arial" w:hAnsi="Arial" w:cs="Arial"/>
          <w:sz w:val="24"/>
          <w:szCs w:val="24"/>
        </w:rPr>
        <w:t>the b</w:t>
      </w:r>
      <w:r w:rsidR="00D35882" w:rsidRPr="00676641">
        <w:rPr>
          <w:rFonts w:ascii="Arial" w:hAnsi="Arial" w:cs="Arial"/>
          <w:sz w:val="24"/>
          <w:szCs w:val="24"/>
        </w:rPr>
        <w:t xml:space="preserve">oard in </w:t>
      </w:r>
      <w:r w:rsidR="008B712F" w:rsidRPr="00676641">
        <w:rPr>
          <w:rFonts w:ascii="Arial" w:hAnsi="Arial" w:cs="Arial"/>
          <w:sz w:val="24"/>
          <w:szCs w:val="24"/>
        </w:rPr>
        <w:t>connection with any tender</w:t>
      </w:r>
      <w:r w:rsidR="00D35882" w:rsidRPr="00676641">
        <w:rPr>
          <w:rFonts w:ascii="Arial" w:hAnsi="Arial" w:cs="Arial"/>
          <w:sz w:val="24"/>
          <w:szCs w:val="24"/>
        </w:rPr>
        <w:t>. In addition, the section furthermore e</w:t>
      </w:r>
      <w:r w:rsidR="00B03262">
        <w:rPr>
          <w:rFonts w:ascii="Arial" w:hAnsi="Arial" w:cs="Arial"/>
          <w:sz w:val="24"/>
          <w:szCs w:val="24"/>
        </w:rPr>
        <w:t xml:space="preserve">mpowers the chairperson of the </w:t>
      </w:r>
      <w:proofErr w:type="gramStart"/>
      <w:r w:rsidR="00B03262">
        <w:rPr>
          <w:rFonts w:ascii="Arial" w:hAnsi="Arial" w:cs="Arial"/>
          <w:sz w:val="24"/>
          <w:szCs w:val="24"/>
        </w:rPr>
        <w:t>b</w:t>
      </w:r>
      <w:r w:rsidR="00D35882" w:rsidRPr="00676641">
        <w:rPr>
          <w:rFonts w:ascii="Arial" w:hAnsi="Arial" w:cs="Arial"/>
          <w:sz w:val="24"/>
          <w:szCs w:val="24"/>
        </w:rPr>
        <w:t>oard</w:t>
      </w:r>
      <w:proofErr w:type="gramEnd"/>
      <w:r w:rsidR="00D35882" w:rsidRPr="00676641">
        <w:rPr>
          <w:rFonts w:ascii="Arial" w:hAnsi="Arial" w:cs="Arial"/>
          <w:sz w:val="24"/>
          <w:szCs w:val="24"/>
        </w:rPr>
        <w:t xml:space="preserve"> or any administrative head designated by the </w:t>
      </w:r>
      <w:r w:rsidR="00B03262">
        <w:rPr>
          <w:rFonts w:ascii="Arial" w:hAnsi="Arial" w:cs="Arial"/>
          <w:sz w:val="24"/>
          <w:szCs w:val="24"/>
        </w:rPr>
        <w:t>b</w:t>
      </w:r>
      <w:r w:rsidR="00D35882" w:rsidRPr="00676641">
        <w:rPr>
          <w:rFonts w:ascii="Arial" w:hAnsi="Arial" w:cs="Arial"/>
          <w:sz w:val="24"/>
          <w:szCs w:val="24"/>
        </w:rPr>
        <w:t>oard to</w:t>
      </w:r>
      <w:r w:rsidR="008B712F" w:rsidRPr="00676641">
        <w:rPr>
          <w:rFonts w:ascii="Arial" w:hAnsi="Arial" w:cs="Arial"/>
          <w:sz w:val="24"/>
          <w:szCs w:val="24"/>
        </w:rPr>
        <w:t xml:space="preserve"> execute any document on behalf </w:t>
      </w:r>
      <w:r w:rsidR="00CA06A8">
        <w:rPr>
          <w:rFonts w:ascii="Arial" w:hAnsi="Arial" w:cs="Arial"/>
          <w:sz w:val="24"/>
          <w:szCs w:val="24"/>
        </w:rPr>
        <w:t>of the b</w:t>
      </w:r>
      <w:r w:rsidR="00D35882" w:rsidRPr="00676641">
        <w:rPr>
          <w:rFonts w:ascii="Arial" w:hAnsi="Arial" w:cs="Arial"/>
          <w:sz w:val="24"/>
          <w:szCs w:val="24"/>
        </w:rPr>
        <w:t>oard</w:t>
      </w:r>
      <w:r w:rsidR="00C25FF3" w:rsidRPr="00676641">
        <w:rPr>
          <w:rFonts w:ascii="Arial" w:hAnsi="Arial" w:cs="Arial"/>
          <w:sz w:val="24"/>
          <w:szCs w:val="24"/>
        </w:rPr>
        <w:t>.</w:t>
      </w:r>
      <w:r w:rsidR="00D35882" w:rsidRPr="007645D7">
        <w:rPr>
          <w:rStyle w:val="FootnoteReference"/>
          <w:rFonts w:ascii="Arial" w:hAnsi="Arial" w:cs="Arial"/>
          <w:sz w:val="24"/>
          <w:szCs w:val="24"/>
        </w:rPr>
        <w:footnoteReference w:id="21"/>
      </w:r>
    </w:p>
    <w:p w14:paraId="3ED147FD" w14:textId="77777777" w:rsidR="00676641" w:rsidRDefault="00676641" w:rsidP="000A47E1">
      <w:pPr>
        <w:pStyle w:val="ListParagraph"/>
        <w:spacing w:line="480" w:lineRule="auto"/>
        <w:ind w:left="0"/>
        <w:rPr>
          <w:rFonts w:ascii="Arial" w:hAnsi="Arial" w:cs="Arial"/>
          <w:sz w:val="24"/>
          <w:szCs w:val="24"/>
        </w:rPr>
      </w:pPr>
    </w:p>
    <w:p w14:paraId="7DC383A8" w14:textId="77777777" w:rsidR="00DC00C2" w:rsidRPr="00DC00C2" w:rsidRDefault="00E728BC" w:rsidP="00E728BC">
      <w:pPr>
        <w:pStyle w:val="NoSpacing"/>
        <w:spacing w:line="480" w:lineRule="auto"/>
        <w:jc w:val="both"/>
        <w:rPr>
          <w:rFonts w:ascii="Arial" w:hAnsi="Arial" w:cs="Arial"/>
          <w:sz w:val="24"/>
        </w:rPr>
      </w:pPr>
      <w:r>
        <w:rPr>
          <w:rFonts w:ascii="Arial" w:hAnsi="Arial" w:cs="Arial"/>
          <w:sz w:val="24"/>
          <w:szCs w:val="24"/>
        </w:rPr>
        <w:t>[53]</w:t>
      </w:r>
      <w:r>
        <w:rPr>
          <w:rFonts w:ascii="Arial" w:hAnsi="Arial" w:cs="Arial"/>
          <w:sz w:val="24"/>
          <w:szCs w:val="24"/>
        </w:rPr>
        <w:tab/>
      </w:r>
      <w:r w:rsidR="00A50E6E" w:rsidRPr="00676641">
        <w:rPr>
          <w:rFonts w:ascii="Arial" w:hAnsi="Arial" w:cs="Arial"/>
          <w:sz w:val="24"/>
          <w:szCs w:val="24"/>
        </w:rPr>
        <w:t xml:space="preserve">Having set out the statutory framework, which regulates the acquisition of services or goods on behalf of the Government of Namibia, I </w:t>
      </w:r>
      <w:r w:rsidR="00960A6F" w:rsidRPr="00676641">
        <w:rPr>
          <w:rFonts w:ascii="Arial" w:hAnsi="Arial" w:cs="Arial"/>
          <w:sz w:val="24"/>
          <w:szCs w:val="24"/>
        </w:rPr>
        <w:t>now proceed to consider the facts of this case.</w:t>
      </w:r>
    </w:p>
    <w:p w14:paraId="509EC090" w14:textId="77777777" w:rsidR="00DC00C2" w:rsidRPr="00CA06A8" w:rsidRDefault="00DC00C2" w:rsidP="00CA06A8">
      <w:pPr>
        <w:spacing w:line="480" w:lineRule="auto"/>
        <w:rPr>
          <w:rFonts w:ascii="Arial" w:hAnsi="Arial" w:cs="Arial"/>
          <w:color w:val="000000" w:themeColor="text1"/>
          <w:sz w:val="24"/>
          <w:szCs w:val="24"/>
        </w:rPr>
      </w:pPr>
    </w:p>
    <w:p w14:paraId="754E29F4" w14:textId="77777777" w:rsidR="00DC00C2" w:rsidRPr="00DC00C2" w:rsidRDefault="00E728BC" w:rsidP="00E728BC">
      <w:pPr>
        <w:pStyle w:val="NoSpacing"/>
        <w:spacing w:line="480" w:lineRule="auto"/>
        <w:jc w:val="both"/>
        <w:rPr>
          <w:rFonts w:ascii="Arial" w:hAnsi="Arial" w:cs="Arial"/>
          <w:sz w:val="24"/>
        </w:rPr>
      </w:pPr>
      <w:r>
        <w:rPr>
          <w:rFonts w:ascii="Arial" w:hAnsi="Arial" w:cs="Arial"/>
          <w:color w:val="000000" w:themeColor="text1"/>
          <w:sz w:val="24"/>
          <w:szCs w:val="24"/>
        </w:rPr>
        <w:t>[54]</w:t>
      </w:r>
      <w:r>
        <w:rPr>
          <w:rFonts w:ascii="Arial" w:hAnsi="Arial" w:cs="Arial"/>
          <w:color w:val="000000" w:themeColor="text1"/>
          <w:sz w:val="24"/>
          <w:szCs w:val="24"/>
        </w:rPr>
        <w:tab/>
      </w:r>
      <w:r w:rsidR="00754D09" w:rsidRPr="00DC00C2">
        <w:rPr>
          <w:rFonts w:ascii="Arial" w:hAnsi="Arial" w:cs="Arial"/>
          <w:color w:val="000000" w:themeColor="text1"/>
          <w:sz w:val="24"/>
          <w:szCs w:val="24"/>
        </w:rPr>
        <w:t>A contract is of course an agreement, which is binding at law. Therefore, the first enquiry is whether, on the facts of this matter, a valid agreement, was entered into between the appellant and the respondents. In a thorough presentation of the appellant</w:t>
      </w:r>
      <w:r w:rsidR="00644E36">
        <w:rPr>
          <w:rFonts w:ascii="Arial" w:hAnsi="Arial" w:cs="Arial"/>
          <w:color w:val="000000" w:themeColor="text1"/>
          <w:sz w:val="24"/>
          <w:szCs w:val="24"/>
        </w:rPr>
        <w:t xml:space="preserve">’s </w:t>
      </w:r>
      <w:r w:rsidR="00754D09" w:rsidRPr="00DC00C2">
        <w:rPr>
          <w:rFonts w:ascii="Arial" w:hAnsi="Arial" w:cs="Arial"/>
          <w:color w:val="000000" w:themeColor="text1"/>
          <w:sz w:val="24"/>
          <w:szCs w:val="24"/>
        </w:rPr>
        <w:t xml:space="preserve">case, </w:t>
      </w:r>
      <w:r w:rsidR="00960A6F" w:rsidRPr="00DC00C2">
        <w:rPr>
          <w:rFonts w:ascii="Arial" w:hAnsi="Arial" w:cs="Arial"/>
          <w:bCs/>
          <w:sz w:val="24"/>
          <w:szCs w:val="24"/>
        </w:rPr>
        <w:t xml:space="preserve">Mr </w:t>
      </w:r>
      <w:proofErr w:type="spellStart"/>
      <w:r w:rsidR="00960A6F" w:rsidRPr="00DC00C2">
        <w:rPr>
          <w:rFonts w:ascii="Arial" w:hAnsi="Arial" w:cs="Arial"/>
          <w:bCs/>
          <w:sz w:val="24"/>
          <w:szCs w:val="24"/>
        </w:rPr>
        <w:t>Tötemeyer</w:t>
      </w:r>
      <w:proofErr w:type="spellEnd"/>
      <w:r w:rsidR="00960A6F" w:rsidRPr="00DC00C2">
        <w:rPr>
          <w:rFonts w:ascii="Arial" w:hAnsi="Arial" w:cs="Arial"/>
          <w:bCs/>
          <w:sz w:val="24"/>
          <w:szCs w:val="24"/>
        </w:rPr>
        <w:t xml:space="preserve"> </w:t>
      </w:r>
      <w:r w:rsidR="00754D09" w:rsidRPr="00DC00C2">
        <w:rPr>
          <w:rFonts w:ascii="Arial" w:hAnsi="Arial" w:cs="Arial"/>
          <w:color w:val="000000" w:themeColor="text1"/>
          <w:sz w:val="24"/>
          <w:szCs w:val="24"/>
        </w:rPr>
        <w:t>submitted that the answer was in the affirmative.</w:t>
      </w:r>
    </w:p>
    <w:p w14:paraId="52AC6715" w14:textId="77777777" w:rsidR="00DC00C2" w:rsidRPr="00CA06A8" w:rsidRDefault="00DC00C2" w:rsidP="00CA06A8">
      <w:pPr>
        <w:spacing w:line="480" w:lineRule="auto"/>
        <w:rPr>
          <w:rFonts w:ascii="Arial" w:hAnsi="Arial" w:cs="Arial"/>
          <w:color w:val="000000" w:themeColor="text1"/>
          <w:sz w:val="24"/>
          <w:szCs w:val="24"/>
        </w:rPr>
      </w:pPr>
    </w:p>
    <w:p w14:paraId="3AFB6AC5" w14:textId="77777777" w:rsidR="00DC00C2" w:rsidRPr="00DC00C2" w:rsidRDefault="001F3935" w:rsidP="001F3935">
      <w:pPr>
        <w:pStyle w:val="NoSpacing"/>
        <w:spacing w:line="480" w:lineRule="auto"/>
        <w:jc w:val="both"/>
        <w:rPr>
          <w:rFonts w:ascii="Arial" w:hAnsi="Arial" w:cs="Arial"/>
          <w:sz w:val="24"/>
        </w:rPr>
      </w:pPr>
      <w:r>
        <w:rPr>
          <w:rFonts w:ascii="Arial" w:hAnsi="Arial" w:cs="Arial"/>
          <w:color w:val="000000" w:themeColor="text1"/>
          <w:sz w:val="24"/>
          <w:szCs w:val="24"/>
        </w:rPr>
        <w:t>[55]</w:t>
      </w:r>
      <w:r>
        <w:rPr>
          <w:rFonts w:ascii="Arial" w:hAnsi="Arial" w:cs="Arial"/>
          <w:color w:val="000000" w:themeColor="text1"/>
          <w:sz w:val="24"/>
          <w:szCs w:val="24"/>
        </w:rPr>
        <w:tab/>
      </w:r>
      <w:r w:rsidR="00754D09" w:rsidRPr="00DC00C2">
        <w:rPr>
          <w:rFonts w:ascii="Arial" w:hAnsi="Arial" w:cs="Arial"/>
          <w:color w:val="000000" w:themeColor="text1"/>
          <w:sz w:val="24"/>
          <w:szCs w:val="24"/>
        </w:rPr>
        <w:t xml:space="preserve">The essence of </w:t>
      </w:r>
      <w:r w:rsidR="00754D09" w:rsidRPr="00DC00C2">
        <w:rPr>
          <w:rFonts w:ascii="Arial" w:hAnsi="Arial" w:cs="Arial"/>
          <w:bCs/>
          <w:sz w:val="24"/>
          <w:szCs w:val="24"/>
        </w:rPr>
        <w:t xml:space="preserve">Mr </w:t>
      </w:r>
      <w:proofErr w:type="spellStart"/>
      <w:r w:rsidR="00754D09" w:rsidRPr="00DC00C2">
        <w:rPr>
          <w:rFonts w:ascii="Arial" w:hAnsi="Arial" w:cs="Arial"/>
          <w:bCs/>
          <w:sz w:val="24"/>
          <w:szCs w:val="24"/>
        </w:rPr>
        <w:t>Tötemeyer</w:t>
      </w:r>
      <w:r w:rsidR="00644E36">
        <w:rPr>
          <w:rFonts w:ascii="Arial" w:hAnsi="Arial" w:cs="Arial"/>
          <w:bCs/>
          <w:sz w:val="24"/>
          <w:szCs w:val="24"/>
        </w:rPr>
        <w:t>’s</w:t>
      </w:r>
      <w:proofErr w:type="spellEnd"/>
      <w:r w:rsidR="00754D09" w:rsidRPr="00DC00C2">
        <w:rPr>
          <w:rFonts w:ascii="Arial" w:hAnsi="Arial" w:cs="Arial"/>
          <w:color w:val="000000" w:themeColor="text1"/>
          <w:sz w:val="24"/>
          <w:szCs w:val="24"/>
        </w:rPr>
        <w:t xml:space="preserve"> argument was that</w:t>
      </w:r>
      <w:r w:rsidR="00644E36">
        <w:rPr>
          <w:rFonts w:ascii="Arial" w:hAnsi="Arial" w:cs="Arial"/>
          <w:color w:val="000000" w:themeColor="text1"/>
          <w:sz w:val="24"/>
          <w:szCs w:val="24"/>
        </w:rPr>
        <w:t>,</w:t>
      </w:r>
      <w:r w:rsidR="00754D09" w:rsidRPr="00DC00C2">
        <w:rPr>
          <w:rFonts w:ascii="Arial" w:hAnsi="Arial" w:cs="Arial"/>
          <w:color w:val="000000" w:themeColor="text1"/>
          <w:sz w:val="24"/>
          <w:szCs w:val="24"/>
        </w:rPr>
        <w:t xml:space="preserve"> although </w:t>
      </w:r>
      <w:r w:rsidR="00960A6F" w:rsidRPr="00DC00C2">
        <w:rPr>
          <w:rFonts w:ascii="Arial" w:hAnsi="Arial" w:cs="Arial"/>
          <w:bCs/>
          <w:sz w:val="24"/>
          <w:szCs w:val="24"/>
        </w:rPr>
        <w:t xml:space="preserve">the power to </w:t>
      </w:r>
      <w:r w:rsidR="00960A6F" w:rsidRPr="00DC00C2">
        <w:rPr>
          <w:rFonts w:ascii="Arial" w:hAnsi="Arial" w:cs="Arial"/>
          <w:sz w:val="24"/>
          <w:szCs w:val="24"/>
        </w:rPr>
        <w:t>acquire services or goods on behalf of the Government of Namibia</w:t>
      </w:r>
      <w:r w:rsidR="002D1981" w:rsidRPr="00DC00C2">
        <w:rPr>
          <w:rFonts w:ascii="Arial" w:hAnsi="Arial" w:cs="Arial"/>
          <w:sz w:val="24"/>
          <w:szCs w:val="24"/>
        </w:rPr>
        <w:t xml:space="preserve"> vest</w:t>
      </w:r>
      <w:r w:rsidR="00754D09" w:rsidRPr="00DC00C2">
        <w:rPr>
          <w:rFonts w:ascii="Arial" w:hAnsi="Arial" w:cs="Arial"/>
          <w:sz w:val="24"/>
          <w:szCs w:val="24"/>
        </w:rPr>
        <w:t>ed</w:t>
      </w:r>
      <w:r w:rsidR="00B03262">
        <w:rPr>
          <w:rFonts w:ascii="Arial" w:hAnsi="Arial" w:cs="Arial"/>
          <w:sz w:val="24"/>
          <w:szCs w:val="24"/>
        </w:rPr>
        <w:t xml:space="preserve"> in the b</w:t>
      </w:r>
      <w:r w:rsidR="002D1981" w:rsidRPr="00DC00C2">
        <w:rPr>
          <w:rFonts w:ascii="Arial" w:hAnsi="Arial" w:cs="Arial"/>
          <w:sz w:val="24"/>
          <w:szCs w:val="24"/>
        </w:rPr>
        <w:t>oard</w:t>
      </w:r>
      <w:r w:rsidR="00754D09" w:rsidRPr="00DC00C2">
        <w:rPr>
          <w:rFonts w:ascii="Arial" w:hAnsi="Arial" w:cs="Arial"/>
          <w:sz w:val="24"/>
          <w:szCs w:val="24"/>
        </w:rPr>
        <w:t>,</w:t>
      </w:r>
      <w:r w:rsidR="002D1981" w:rsidRPr="00DC00C2">
        <w:rPr>
          <w:rFonts w:ascii="Arial" w:hAnsi="Arial" w:cs="Arial"/>
          <w:sz w:val="24"/>
          <w:szCs w:val="24"/>
        </w:rPr>
        <w:t xml:space="preserve"> the </w:t>
      </w:r>
      <w:r w:rsidR="002D1981" w:rsidRPr="00DC00C2">
        <w:rPr>
          <w:rFonts w:ascii="Arial" w:hAnsi="Arial" w:cs="Arial"/>
          <w:color w:val="000000" w:themeColor="text1"/>
          <w:sz w:val="24"/>
          <w:szCs w:val="24"/>
        </w:rPr>
        <w:t xml:space="preserve">Permanent </w:t>
      </w:r>
      <w:r w:rsidR="00644E36">
        <w:rPr>
          <w:rFonts w:ascii="Arial" w:hAnsi="Arial" w:cs="Arial"/>
          <w:color w:val="000000" w:themeColor="text1"/>
          <w:sz w:val="24"/>
          <w:szCs w:val="24"/>
        </w:rPr>
        <w:t>Secretary of the O</w:t>
      </w:r>
      <w:r w:rsidR="002D1981" w:rsidRPr="00DC00C2">
        <w:rPr>
          <w:rFonts w:ascii="Arial" w:hAnsi="Arial" w:cs="Arial"/>
          <w:color w:val="000000" w:themeColor="text1"/>
          <w:sz w:val="24"/>
          <w:szCs w:val="24"/>
        </w:rPr>
        <w:t>ffice of the Prime Minister was</w:t>
      </w:r>
      <w:r w:rsidR="00644E36">
        <w:rPr>
          <w:rFonts w:ascii="Arial" w:hAnsi="Arial" w:cs="Arial"/>
          <w:color w:val="000000" w:themeColor="text1"/>
          <w:sz w:val="24"/>
          <w:szCs w:val="24"/>
        </w:rPr>
        <w:t>,</w:t>
      </w:r>
      <w:r w:rsidR="00696354" w:rsidRPr="00DC00C2">
        <w:rPr>
          <w:rFonts w:ascii="Arial" w:hAnsi="Arial" w:cs="Arial"/>
          <w:color w:val="000000" w:themeColor="text1"/>
          <w:sz w:val="24"/>
          <w:szCs w:val="24"/>
        </w:rPr>
        <w:t xml:space="preserve"> by virtue of the </w:t>
      </w:r>
      <w:r w:rsidR="00B03262">
        <w:rPr>
          <w:rFonts w:ascii="Arial" w:hAnsi="Arial" w:cs="Arial"/>
          <w:color w:val="000000" w:themeColor="text1"/>
          <w:sz w:val="24"/>
          <w:szCs w:val="24"/>
        </w:rPr>
        <w:t>‘</w:t>
      </w:r>
      <w:r w:rsidR="002D1981" w:rsidRPr="00DC00C2">
        <w:rPr>
          <w:rFonts w:ascii="Arial" w:hAnsi="Arial" w:cs="Arial"/>
          <w:iCs/>
          <w:color w:val="000000" w:themeColor="text1"/>
          <w:sz w:val="24"/>
          <w:szCs w:val="24"/>
        </w:rPr>
        <w:t>common law prerogative</w:t>
      </w:r>
      <w:r w:rsidR="00B03262">
        <w:rPr>
          <w:rStyle w:val="FootnoteReference"/>
          <w:rFonts w:ascii="Arial" w:hAnsi="Arial" w:cs="Arial"/>
          <w:color w:val="000000" w:themeColor="text1"/>
          <w:sz w:val="24"/>
          <w:szCs w:val="24"/>
        </w:rPr>
        <w:t>’</w:t>
      </w:r>
      <w:r w:rsidR="002D1981" w:rsidRPr="00DC00C2">
        <w:rPr>
          <w:rFonts w:ascii="Arial" w:hAnsi="Arial" w:cs="Arial"/>
          <w:color w:val="000000" w:themeColor="text1"/>
          <w:sz w:val="24"/>
          <w:szCs w:val="24"/>
        </w:rPr>
        <w:t xml:space="preserve"> </w:t>
      </w:r>
      <w:r w:rsidR="00BE7AB0" w:rsidRPr="00DC00C2">
        <w:rPr>
          <w:rFonts w:ascii="Arial" w:hAnsi="Arial" w:cs="Arial"/>
          <w:color w:val="000000" w:themeColor="text1"/>
          <w:sz w:val="24"/>
          <w:szCs w:val="24"/>
        </w:rPr>
        <w:t xml:space="preserve">power </w:t>
      </w:r>
      <w:r w:rsidR="002D1981" w:rsidRPr="00DC00C2">
        <w:rPr>
          <w:rFonts w:ascii="Arial" w:hAnsi="Arial" w:cs="Arial"/>
          <w:color w:val="000000" w:themeColor="text1"/>
          <w:sz w:val="24"/>
          <w:szCs w:val="24"/>
        </w:rPr>
        <w:t>of the Government</w:t>
      </w:r>
      <w:r w:rsidR="000F122C">
        <w:rPr>
          <w:rFonts w:ascii="Arial" w:hAnsi="Arial" w:cs="Arial"/>
          <w:color w:val="000000" w:themeColor="text1"/>
          <w:sz w:val="24"/>
          <w:szCs w:val="24"/>
        </w:rPr>
        <w:t xml:space="preserve"> empowered</w:t>
      </w:r>
      <w:r w:rsidR="002D1981" w:rsidRPr="00DC00C2">
        <w:rPr>
          <w:rFonts w:ascii="Arial" w:hAnsi="Arial" w:cs="Arial"/>
          <w:color w:val="000000" w:themeColor="text1"/>
          <w:sz w:val="24"/>
          <w:szCs w:val="24"/>
        </w:rPr>
        <w:t xml:space="preserve"> to conclude contracts</w:t>
      </w:r>
      <w:r w:rsidR="00696354" w:rsidRPr="00DC00C2">
        <w:rPr>
          <w:rFonts w:ascii="Arial" w:hAnsi="Arial" w:cs="Arial"/>
          <w:color w:val="000000" w:themeColor="text1"/>
          <w:sz w:val="24"/>
          <w:szCs w:val="24"/>
        </w:rPr>
        <w:t xml:space="preserve"> on behalf of Government</w:t>
      </w:r>
      <w:r w:rsidR="002D1981" w:rsidRPr="00DC00C2">
        <w:rPr>
          <w:rFonts w:ascii="Arial" w:hAnsi="Arial" w:cs="Arial"/>
          <w:color w:val="000000" w:themeColor="text1"/>
          <w:sz w:val="24"/>
          <w:szCs w:val="24"/>
        </w:rPr>
        <w:t>.</w:t>
      </w:r>
    </w:p>
    <w:p w14:paraId="5A3BCEBF" w14:textId="77777777" w:rsidR="00DC00C2" w:rsidRPr="00CA06A8" w:rsidRDefault="00DC00C2" w:rsidP="00CA06A8">
      <w:pPr>
        <w:spacing w:line="480" w:lineRule="auto"/>
        <w:rPr>
          <w:rFonts w:ascii="Arial" w:hAnsi="Arial" w:cs="Arial"/>
          <w:sz w:val="24"/>
        </w:rPr>
      </w:pPr>
    </w:p>
    <w:p w14:paraId="437764A8" w14:textId="77777777" w:rsidR="00DC00C2" w:rsidRDefault="001F3935" w:rsidP="001F3935">
      <w:pPr>
        <w:pStyle w:val="NoSpacing"/>
        <w:spacing w:line="480" w:lineRule="auto"/>
        <w:jc w:val="both"/>
        <w:rPr>
          <w:rFonts w:ascii="Arial" w:hAnsi="Arial" w:cs="Arial"/>
          <w:sz w:val="24"/>
        </w:rPr>
      </w:pPr>
      <w:r>
        <w:rPr>
          <w:rFonts w:ascii="Arial" w:hAnsi="Arial" w:cs="Arial"/>
          <w:sz w:val="24"/>
        </w:rPr>
        <w:t>[56]</w:t>
      </w:r>
      <w:r>
        <w:rPr>
          <w:rFonts w:ascii="Arial" w:hAnsi="Arial" w:cs="Arial"/>
          <w:sz w:val="24"/>
        </w:rPr>
        <w:tab/>
      </w:r>
      <w:r w:rsidR="00BE7AB0" w:rsidRPr="00DC00C2">
        <w:rPr>
          <w:rFonts w:ascii="Arial" w:hAnsi="Arial" w:cs="Arial"/>
          <w:sz w:val="24"/>
        </w:rPr>
        <w:t>He</w:t>
      </w:r>
      <w:r w:rsidR="00696354" w:rsidRPr="00DC00C2">
        <w:rPr>
          <w:rFonts w:ascii="Arial" w:hAnsi="Arial" w:cs="Arial"/>
          <w:sz w:val="24"/>
        </w:rPr>
        <w:t xml:space="preserve"> additionally</w:t>
      </w:r>
      <w:r w:rsidR="002D1981" w:rsidRPr="00DC00C2">
        <w:rPr>
          <w:rFonts w:ascii="Arial" w:hAnsi="Arial" w:cs="Arial"/>
          <w:sz w:val="24"/>
        </w:rPr>
        <w:t xml:space="preserve"> </w:t>
      </w:r>
      <w:r w:rsidR="00696354" w:rsidRPr="00DC00C2">
        <w:rPr>
          <w:rFonts w:ascii="Arial" w:hAnsi="Arial" w:cs="Arial"/>
          <w:sz w:val="24"/>
        </w:rPr>
        <w:t>relied</w:t>
      </w:r>
      <w:r w:rsidR="00644E36">
        <w:rPr>
          <w:rFonts w:ascii="Arial" w:hAnsi="Arial" w:cs="Arial"/>
          <w:sz w:val="24"/>
        </w:rPr>
        <w:t xml:space="preserve"> on</w:t>
      </w:r>
      <w:r w:rsidR="002D1981" w:rsidRPr="00DC00C2">
        <w:rPr>
          <w:rFonts w:ascii="Arial" w:hAnsi="Arial" w:cs="Arial"/>
          <w:sz w:val="24"/>
        </w:rPr>
        <w:t xml:space="preserve"> s 18</w:t>
      </w:r>
      <w:r w:rsidR="00150BBE" w:rsidRPr="00DC00C2">
        <w:rPr>
          <w:rFonts w:ascii="Arial" w:hAnsi="Arial" w:cs="Arial"/>
          <w:sz w:val="24"/>
        </w:rPr>
        <w:t>(3)</w:t>
      </w:r>
      <w:r w:rsidR="002D1981" w:rsidRPr="00DC00C2">
        <w:rPr>
          <w:rFonts w:ascii="Arial" w:hAnsi="Arial" w:cs="Arial"/>
          <w:sz w:val="24"/>
        </w:rPr>
        <w:t xml:space="preserve"> of the </w:t>
      </w:r>
      <w:proofErr w:type="gramStart"/>
      <w:r w:rsidR="002D1981" w:rsidRPr="00DC00C2">
        <w:rPr>
          <w:rFonts w:ascii="Arial" w:hAnsi="Arial" w:cs="Arial"/>
          <w:sz w:val="24"/>
        </w:rPr>
        <w:t xml:space="preserve">Act, </w:t>
      </w:r>
      <w:r w:rsidR="00644E36">
        <w:rPr>
          <w:rFonts w:ascii="Arial" w:hAnsi="Arial" w:cs="Arial"/>
          <w:sz w:val="24"/>
        </w:rPr>
        <w:t>and</w:t>
      </w:r>
      <w:proofErr w:type="gramEnd"/>
      <w:r w:rsidR="00644E36">
        <w:rPr>
          <w:rFonts w:ascii="Arial" w:hAnsi="Arial" w:cs="Arial"/>
          <w:sz w:val="24"/>
        </w:rPr>
        <w:t xml:space="preserve"> argued that the b</w:t>
      </w:r>
      <w:r w:rsidR="00696354" w:rsidRPr="00DC00C2">
        <w:rPr>
          <w:rFonts w:ascii="Arial" w:hAnsi="Arial" w:cs="Arial"/>
          <w:sz w:val="24"/>
        </w:rPr>
        <w:t xml:space="preserve">oard </w:t>
      </w:r>
      <w:r w:rsidR="002D1981" w:rsidRPr="00DC00C2">
        <w:rPr>
          <w:rFonts w:ascii="Arial" w:hAnsi="Arial" w:cs="Arial"/>
          <w:sz w:val="24"/>
        </w:rPr>
        <w:t>delegated its d</w:t>
      </w:r>
      <w:r w:rsidR="00BE7AB0" w:rsidRPr="00DC00C2">
        <w:rPr>
          <w:rFonts w:ascii="Arial" w:hAnsi="Arial" w:cs="Arial"/>
          <w:sz w:val="24"/>
        </w:rPr>
        <w:t>iscretionary power to conclude a</w:t>
      </w:r>
      <w:r w:rsidR="002D1981" w:rsidRPr="00DC00C2">
        <w:rPr>
          <w:rFonts w:ascii="Arial" w:hAnsi="Arial" w:cs="Arial"/>
          <w:sz w:val="24"/>
        </w:rPr>
        <w:t xml:space="preserve"> contract to the Permanent Secretary of the Office of the Prime Minister</w:t>
      </w:r>
      <w:r w:rsidR="00696354" w:rsidRPr="00DC00C2">
        <w:rPr>
          <w:rFonts w:ascii="Arial" w:hAnsi="Arial" w:cs="Arial"/>
          <w:sz w:val="24"/>
        </w:rPr>
        <w:t xml:space="preserve">. </w:t>
      </w:r>
      <w:r w:rsidR="00150BBE" w:rsidRPr="00DC00C2">
        <w:rPr>
          <w:rFonts w:ascii="Arial" w:hAnsi="Arial" w:cs="Arial"/>
          <w:sz w:val="24"/>
        </w:rPr>
        <w:t xml:space="preserve">Counsel </w:t>
      </w:r>
      <w:r w:rsidR="00696354" w:rsidRPr="00DC00C2">
        <w:rPr>
          <w:rFonts w:ascii="Arial" w:hAnsi="Arial" w:cs="Arial"/>
          <w:sz w:val="24"/>
        </w:rPr>
        <w:t xml:space="preserve">thus </w:t>
      </w:r>
      <w:r w:rsidR="002D1981" w:rsidRPr="00DC00C2">
        <w:rPr>
          <w:rFonts w:ascii="Arial" w:hAnsi="Arial" w:cs="Arial"/>
          <w:sz w:val="24"/>
        </w:rPr>
        <w:t>contended that the appellant and the Office of the Prime Minister validly concluded</w:t>
      </w:r>
      <w:r w:rsidR="00C25FF3" w:rsidRPr="00DC00C2">
        <w:rPr>
          <w:rFonts w:ascii="Arial" w:hAnsi="Arial" w:cs="Arial"/>
          <w:sz w:val="24"/>
        </w:rPr>
        <w:t xml:space="preserve"> the service level a</w:t>
      </w:r>
      <w:r w:rsidR="00150BBE" w:rsidRPr="00DC00C2">
        <w:rPr>
          <w:rFonts w:ascii="Arial" w:hAnsi="Arial" w:cs="Arial"/>
          <w:sz w:val="24"/>
        </w:rPr>
        <w:t>greement</w:t>
      </w:r>
      <w:r w:rsidR="002D1981" w:rsidRPr="00DC00C2">
        <w:rPr>
          <w:rFonts w:ascii="Arial" w:hAnsi="Arial" w:cs="Arial"/>
          <w:sz w:val="24"/>
        </w:rPr>
        <w:t>.</w:t>
      </w:r>
    </w:p>
    <w:p w14:paraId="565D50C1" w14:textId="77777777" w:rsidR="00DC00C2" w:rsidRDefault="001F3935" w:rsidP="001F3935">
      <w:pPr>
        <w:pStyle w:val="NoSpacing"/>
        <w:spacing w:line="480" w:lineRule="auto"/>
        <w:jc w:val="both"/>
        <w:rPr>
          <w:rFonts w:ascii="Arial" w:hAnsi="Arial" w:cs="Arial"/>
          <w:sz w:val="24"/>
        </w:rPr>
      </w:pPr>
      <w:r>
        <w:rPr>
          <w:rFonts w:ascii="Arial" w:hAnsi="Arial" w:cs="Arial"/>
          <w:sz w:val="24"/>
        </w:rPr>
        <w:lastRenderedPageBreak/>
        <w:t>[57]</w:t>
      </w:r>
      <w:r>
        <w:rPr>
          <w:rFonts w:ascii="Arial" w:hAnsi="Arial" w:cs="Arial"/>
          <w:sz w:val="24"/>
        </w:rPr>
        <w:tab/>
      </w:r>
      <w:r w:rsidR="008C3C42" w:rsidRPr="00DC00C2">
        <w:rPr>
          <w:rFonts w:ascii="Arial" w:hAnsi="Arial" w:cs="Arial"/>
          <w:sz w:val="24"/>
        </w:rPr>
        <w:t xml:space="preserve">In my view, the argument by Mr </w:t>
      </w:r>
      <w:proofErr w:type="spellStart"/>
      <w:r w:rsidR="008C3C42" w:rsidRPr="00DC00C2">
        <w:rPr>
          <w:rFonts w:ascii="Arial" w:hAnsi="Arial" w:cs="Arial"/>
          <w:sz w:val="24"/>
        </w:rPr>
        <w:t>Tötemeyer</w:t>
      </w:r>
      <w:proofErr w:type="spellEnd"/>
      <w:r w:rsidR="008C3C42" w:rsidRPr="00DC00C2">
        <w:rPr>
          <w:rFonts w:ascii="Arial" w:hAnsi="Arial" w:cs="Arial"/>
          <w:sz w:val="24"/>
        </w:rPr>
        <w:t xml:space="preserve"> cannot be sustained. I say so for the following reasons</w:t>
      </w:r>
      <w:r w:rsidR="00644E36">
        <w:rPr>
          <w:rFonts w:ascii="Arial" w:hAnsi="Arial" w:cs="Arial"/>
          <w:sz w:val="24"/>
        </w:rPr>
        <w:t>:</w:t>
      </w:r>
      <w:r w:rsidR="00541174" w:rsidRPr="00DC00C2">
        <w:rPr>
          <w:rFonts w:ascii="Arial" w:hAnsi="Arial" w:cs="Arial"/>
          <w:sz w:val="24"/>
        </w:rPr>
        <w:t xml:space="preserve"> I</w:t>
      </w:r>
      <w:r w:rsidR="008C3C42" w:rsidRPr="00DC00C2">
        <w:rPr>
          <w:rFonts w:ascii="Arial" w:hAnsi="Arial" w:cs="Arial"/>
          <w:sz w:val="24"/>
        </w:rPr>
        <w:t xml:space="preserve">t is true that </w:t>
      </w:r>
      <w:proofErr w:type="gramStart"/>
      <w:r w:rsidR="008C3C42" w:rsidRPr="00DC00C2">
        <w:rPr>
          <w:rFonts w:ascii="Arial" w:hAnsi="Arial" w:cs="Arial"/>
          <w:sz w:val="24"/>
        </w:rPr>
        <w:t>a number of</w:t>
      </w:r>
      <w:proofErr w:type="gramEnd"/>
      <w:r w:rsidR="008C3C42" w:rsidRPr="00DC00C2">
        <w:rPr>
          <w:rFonts w:ascii="Arial" w:hAnsi="Arial" w:cs="Arial"/>
          <w:sz w:val="24"/>
        </w:rPr>
        <w:t xml:space="preserve"> authorities cited by counsel support the principles </w:t>
      </w:r>
      <w:r w:rsidR="00644E36">
        <w:rPr>
          <w:rFonts w:ascii="Arial" w:hAnsi="Arial" w:cs="Arial"/>
          <w:sz w:val="24"/>
        </w:rPr>
        <w:t>he contended for</w:t>
      </w:r>
      <w:r w:rsidR="00541174" w:rsidRPr="00DC00C2">
        <w:rPr>
          <w:rFonts w:ascii="Arial" w:hAnsi="Arial" w:cs="Arial"/>
          <w:sz w:val="24"/>
        </w:rPr>
        <w:t xml:space="preserve"> but</w:t>
      </w:r>
      <w:r w:rsidR="00644E36">
        <w:rPr>
          <w:rFonts w:ascii="Arial" w:hAnsi="Arial" w:cs="Arial"/>
          <w:sz w:val="24"/>
        </w:rPr>
        <w:t>,</w:t>
      </w:r>
      <w:r w:rsidR="00541174" w:rsidRPr="00DC00C2">
        <w:rPr>
          <w:rFonts w:ascii="Arial" w:hAnsi="Arial" w:cs="Arial"/>
          <w:sz w:val="24"/>
        </w:rPr>
        <w:t xml:space="preserve"> in my view, </w:t>
      </w:r>
      <w:r w:rsidR="008C3C42" w:rsidRPr="00DC00C2">
        <w:rPr>
          <w:rFonts w:ascii="Arial" w:hAnsi="Arial" w:cs="Arial"/>
          <w:sz w:val="24"/>
        </w:rPr>
        <w:t>these cases are distinguishable on the facts from the one before us and that th</w:t>
      </w:r>
      <w:r w:rsidR="00BD015F" w:rsidRPr="00DC00C2">
        <w:rPr>
          <w:rFonts w:ascii="Arial" w:hAnsi="Arial" w:cs="Arial"/>
          <w:sz w:val="24"/>
        </w:rPr>
        <w:t>ose authorities</w:t>
      </w:r>
      <w:r w:rsidR="008C3C42" w:rsidRPr="00DC00C2">
        <w:rPr>
          <w:rFonts w:ascii="Arial" w:hAnsi="Arial" w:cs="Arial"/>
          <w:sz w:val="24"/>
        </w:rPr>
        <w:t xml:space="preserve"> are therefore of no as</w:t>
      </w:r>
      <w:r w:rsidR="00150BBE" w:rsidRPr="00DC00C2">
        <w:rPr>
          <w:rFonts w:ascii="Arial" w:hAnsi="Arial" w:cs="Arial"/>
          <w:sz w:val="24"/>
        </w:rPr>
        <w:t>sistance to the appellant</w:t>
      </w:r>
      <w:r w:rsidR="00BD015F" w:rsidRPr="00DC00C2">
        <w:rPr>
          <w:rFonts w:ascii="Arial" w:hAnsi="Arial" w:cs="Arial"/>
          <w:sz w:val="24"/>
        </w:rPr>
        <w:t xml:space="preserve">. </w:t>
      </w:r>
      <w:r w:rsidR="008C3C42" w:rsidRPr="00DC00C2">
        <w:rPr>
          <w:rFonts w:ascii="Arial" w:hAnsi="Arial" w:cs="Arial"/>
          <w:sz w:val="24"/>
        </w:rPr>
        <w:t>Obviously</w:t>
      </w:r>
      <w:r w:rsidR="00541174" w:rsidRPr="00DC00C2">
        <w:rPr>
          <w:rFonts w:ascii="Arial" w:hAnsi="Arial" w:cs="Arial"/>
          <w:sz w:val="24"/>
        </w:rPr>
        <w:t>,</w:t>
      </w:r>
      <w:r w:rsidR="008C3C42" w:rsidRPr="00DC00C2">
        <w:rPr>
          <w:rFonts w:ascii="Arial" w:hAnsi="Arial" w:cs="Arial"/>
          <w:sz w:val="24"/>
        </w:rPr>
        <w:t xml:space="preserve"> </w:t>
      </w:r>
      <w:r w:rsidR="00541174" w:rsidRPr="00DC00C2">
        <w:rPr>
          <w:rFonts w:ascii="Arial" w:hAnsi="Arial" w:cs="Arial"/>
          <w:sz w:val="24"/>
        </w:rPr>
        <w:t xml:space="preserve">as argued by Mr </w:t>
      </w:r>
      <w:proofErr w:type="spellStart"/>
      <w:r w:rsidR="00541174" w:rsidRPr="00DC00C2">
        <w:rPr>
          <w:rFonts w:ascii="Arial" w:hAnsi="Arial" w:cs="Arial"/>
          <w:sz w:val="24"/>
        </w:rPr>
        <w:t>Tötemeyer</w:t>
      </w:r>
      <w:proofErr w:type="spellEnd"/>
      <w:r w:rsidR="00541174" w:rsidRPr="00DC00C2">
        <w:rPr>
          <w:rFonts w:ascii="Arial" w:hAnsi="Arial" w:cs="Arial"/>
          <w:sz w:val="24"/>
        </w:rPr>
        <w:t xml:space="preserve"> and on the authorities that he cites, </w:t>
      </w:r>
      <w:r w:rsidR="008C3C42" w:rsidRPr="00DC00C2">
        <w:rPr>
          <w:rFonts w:ascii="Arial" w:hAnsi="Arial" w:cs="Arial"/>
          <w:sz w:val="24"/>
        </w:rPr>
        <w:t xml:space="preserve">the State and its </w:t>
      </w:r>
      <w:r w:rsidR="00C25FF3" w:rsidRPr="00DC00C2">
        <w:rPr>
          <w:rFonts w:ascii="Arial" w:hAnsi="Arial" w:cs="Arial"/>
          <w:sz w:val="24"/>
        </w:rPr>
        <w:t xml:space="preserve">agencies and or </w:t>
      </w:r>
      <w:r w:rsidR="00150BBE" w:rsidRPr="00DC00C2">
        <w:rPr>
          <w:rFonts w:ascii="Arial" w:hAnsi="Arial" w:cs="Arial"/>
          <w:sz w:val="24"/>
        </w:rPr>
        <w:t>organs</w:t>
      </w:r>
      <w:r w:rsidR="008C3C42" w:rsidRPr="00DC00C2">
        <w:rPr>
          <w:rFonts w:ascii="Arial" w:hAnsi="Arial" w:cs="Arial"/>
          <w:sz w:val="24"/>
        </w:rPr>
        <w:t xml:space="preserve"> can contract</w:t>
      </w:r>
      <w:r w:rsidR="00541174" w:rsidRPr="00DC00C2">
        <w:rPr>
          <w:rFonts w:ascii="Arial" w:hAnsi="Arial" w:cs="Arial"/>
          <w:sz w:val="24"/>
        </w:rPr>
        <w:t xml:space="preserve"> </w:t>
      </w:r>
      <w:r w:rsidR="00BD015F" w:rsidRPr="00DC00C2">
        <w:rPr>
          <w:rFonts w:ascii="Arial" w:hAnsi="Arial" w:cs="Arial"/>
          <w:sz w:val="24"/>
        </w:rPr>
        <w:t>or conclude agreements</w:t>
      </w:r>
      <w:r w:rsidR="00567B8B" w:rsidRPr="00DC00C2">
        <w:rPr>
          <w:rFonts w:ascii="Arial" w:hAnsi="Arial" w:cs="Arial"/>
          <w:sz w:val="24"/>
        </w:rPr>
        <w:t>.</w:t>
      </w:r>
      <w:r w:rsidR="009272E3" w:rsidRPr="00DC00C2">
        <w:rPr>
          <w:rFonts w:ascii="Arial" w:hAnsi="Arial" w:cs="Arial"/>
          <w:sz w:val="24"/>
        </w:rPr>
        <w:t xml:space="preserve"> </w:t>
      </w:r>
      <w:r w:rsidR="00567B8B" w:rsidRPr="00DC00C2">
        <w:rPr>
          <w:rFonts w:ascii="Arial" w:hAnsi="Arial" w:cs="Arial"/>
          <w:sz w:val="24"/>
        </w:rPr>
        <w:t xml:space="preserve">The agreements must, however, be entered into on behalf of the State by the </w:t>
      </w:r>
      <w:r w:rsidR="009272E3" w:rsidRPr="00DC00C2">
        <w:rPr>
          <w:rFonts w:ascii="Arial" w:hAnsi="Arial" w:cs="Arial"/>
          <w:sz w:val="24"/>
        </w:rPr>
        <w:t xml:space="preserve">nominated functionaries. </w:t>
      </w:r>
    </w:p>
    <w:p w14:paraId="54EFE024" w14:textId="77777777" w:rsidR="00DC00C2" w:rsidRPr="00CA06A8" w:rsidRDefault="00DC00C2" w:rsidP="00CA06A8">
      <w:pPr>
        <w:spacing w:line="480" w:lineRule="auto"/>
        <w:rPr>
          <w:rFonts w:ascii="Arial" w:hAnsi="Arial" w:cs="Arial"/>
          <w:sz w:val="24"/>
        </w:rPr>
      </w:pPr>
    </w:p>
    <w:p w14:paraId="1176B1BA" w14:textId="77777777" w:rsidR="00DC00C2" w:rsidRDefault="009F774B" w:rsidP="009F774B">
      <w:pPr>
        <w:pStyle w:val="NoSpacing"/>
        <w:spacing w:line="480" w:lineRule="auto"/>
        <w:jc w:val="both"/>
        <w:rPr>
          <w:rFonts w:ascii="Arial" w:hAnsi="Arial" w:cs="Arial"/>
          <w:sz w:val="24"/>
        </w:rPr>
      </w:pPr>
      <w:r>
        <w:rPr>
          <w:rFonts w:ascii="Arial" w:hAnsi="Arial" w:cs="Arial"/>
          <w:sz w:val="24"/>
        </w:rPr>
        <w:t>[58]</w:t>
      </w:r>
      <w:r>
        <w:rPr>
          <w:rFonts w:ascii="Arial" w:hAnsi="Arial" w:cs="Arial"/>
          <w:sz w:val="24"/>
        </w:rPr>
        <w:tab/>
      </w:r>
      <w:r w:rsidR="005066D1" w:rsidRPr="00DC00C2">
        <w:rPr>
          <w:rFonts w:ascii="Arial" w:hAnsi="Arial" w:cs="Arial"/>
          <w:sz w:val="24"/>
        </w:rPr>
        <w:t>In my view,</w:t>
      </w:r>
      <w:r w:rsidR="00C25FF3" w:rsidRPr="00DC00C2">
        <w:rPr>
          <w:rFonts w:ascii="Arial" w:hAnsi="Arial" w:cs="Arial"/>
          <w:sz w:val="24"/>
        </w:rPr>
        <w:t xml:space="preserve"> the Act</w:t>
      </w:r>
      <w:r w:rsidR="00541174" w:rsidRPr="00DC00C2">
        <w:rPr>
          <w:rFonts w:ascii="Arial" w:hAnsi="Arial" w:cs="Arial"/>
          <w:sz w:val="24"/>
        </w:rPr>
        <w:t xml:space="preserve"> does</w:t>
      </w:r>
      <w:r w:rsidR="0017304C" w:rsidRPr="00DC00C2">
        <w:rPr>
          <w:rFonts w:ascii="Arial" w:hAnsi="Arial" w:cs="Arial"/>
          <w:sz w:val="24"/>
        </w:rPr>
        <w:t xml:space="preserve"> </w:t>
      </w:r>
      <w:r w:rsidR="00541174" w:rsidRPr="00DC00C2">
        <w:rPr>
          <w:rFonts w:ascii="Arial" w:hAnsi="Arial" w:cs="Arial"/>
          <w:sz w:val="24"/>
        </w:rPr>
        <w:t xml:space="preserve">not alter or purport </w:t>
      </w:r>
      <w:r w:rsidR="00BD015F" w:rsidRPr="00DC00C2">
        <w:rPr>
          <w:rFonts w:ascii="Arial" w:hAnsi="Arial" w:cs="Arial"/>
          <w:sz w:val="24"/>
        </w:rPr>
        <w:t xml:space="preserve">to </w:t>
      </w:r>
      <w:r w:rsidR="00541174" w:rsidRPr="00DC00C2">
        <w:rPr>
          <w:rFonts w:ascii="Arial" w:hAnsi="Arial" w:cs="Arial"/>
          <w:sz w:val="24"/>
        </w:rPr>
        <w:t xml:space="preserve">alter </w:t>
      </w:r>
      <w:r w:rsidR="00BD015F" w:rsidRPr="00DC00C2">
        <w:rPr>
          <w:rFonts w:ascii="Arial" w:hAnsi="Arial" w:cs="Arial"/>
          <w:sz w:val="24"/>
        </w:rPr>
        <w:t xml:space="preserve">the </w:t>
      </w:r>
      <w:r w:rsidR="00541174" w:rsidRPr="00DC00C2">
        <w:rPr>
          <w:rFonts w:ascii="Arial" w:hAnsi="Arial" w:cs="Arial"/>
          <w:sz w:val="24"/>
        </w:rPr>
        <w:t>common law</w:t>
      </w:r>
      <w:r w:rsidR="001B0DA6" w:rsidRPr="00DC00C2">
        <w:rPr>
          <w:rFonts w:ascii="Arial" w:hAnsi="Arial" w:cs="Arial"/>
          <w:sz w:val="24"/>
        </w:rPr>
        <w:t xml:space="preserve"> by excluding </w:t>
      </w:r>
      <w:r w:rsidR="00541174" w:rsidRPr="00DC00C2">
        <w:rPr>
          <w:rFonts w:ascii="Arial" w:hAnsi="Arial" w:cs="Arial"/>
          <w:sz w:val="24"/>
        </w:rPr>
        <w:t>the State or its agencies</w:t>
      </w:r>
      <w:r w:rsidR="001B0DA6" w:rsidRPr="00DC00C2">
        <w:rPr>
          <w:rFonts w:ascii="Arial" w:hAnsi="Arial" w:cs="Arial"/>
          <w:sz w:val="24"/>
        </w:rPr>
        <w:t>’ power</w:t>
      </w:r>
      <w:r w:rsidR="00541174" w:rsidRPr="00DC00C2">
        <w:rPr>
          <w:rFonts w:ascii="Arial" w:hAnsi="Arial" w:cs="Arial"/>
          <w:sz w:val="24"/>
        </w:rPr>
        <w:t xml:space="preserve"> to contract or conclude agreements.</w:t>
      </w:r>
      <w:r w:rsidR="001B0DA6" w:rsidRPr="00DC00C2">
        <w:rPr>
          <w:rFonts w:ascii="Arial" w:hAnsi="Arial" w:cs="Arial"/>
          <w:sz w:val="24"/>
        </w:rPr>
        <w:t xml:space="preserve"> In </w:t>
      </w:r>
      <w:r w:rsidR="00E820D3" w:rsidRPr="00DC00C2">
        <w:rPr>
          <w:rFonts w:ascii="Arial" w:hAnsi="Arial" w:cs="Arial"/>
          <w:sz w:val="24"/>
        </w:rPr>
        <w:t>fact,</w:t>
      </w:r>
      <w:r w:rsidR="001B0DA6" w:rsidRPr="00DC00C2">
        <w:rPr>
          <w:rFonts w:ascii="Arial" w:hAnsi="Arial" w:cs="Arial"/>
          <w:sz w:val="24"/>
        </w:rPr>
        <w:t xml:space="preserve"> the Act recognises the State and its agencies’ powers to </w:t>
      </w:r>
      <w:proofErr w:type="gramStart"/>
      <w:r w:rsidR="001B0DA6" w:rsidRPr="00DC00C2">
        <w:rPr>
          <w:rFonts w:ascii="Arial" w:hAnsi="Arial" w:cs="Arial"/>
          <w:sz w:val="24"/>
        </w:rPr>
        <w:t>contract, but</w:t>
      </w:r>
      <w:proofErr w:type="gramEnd"/>
      <w:r w:rsidR="001B0DA6" w:rsidRPr="00DC00C2">
        <w:rPr>
          <w:rFonts w:ascii="Arial" w:hAnsi="Arial" w:cs="Arial"/>
          <w:sz w:val="24"/>
        </w:rPr>
        <w:t xml:space="preserve"> prescribes the formalities relating to the exercise of the State’s power </w:t>
      </w:r>
      <w:r w:rsidR="00150BBE" w:rsidRPr="00DC00C2">
        <w:rPr>
          <w:rFonts w:ascii="Arial" w:hAnsi="Arial" w:cs="Arial"/>
          <w:sz w:val="24"/>
        </w:rPr>
        <w:t xml:space="preserve">to </w:t>
      </w:r>
      <w:r w:rsidR="001B0DA6" w:rsidRPr="00DC00C2">
        <w:rPr>
          <w:rFonts w:ascii="Arial" w:hAnsi="Arial" w:cs="Arial"/>
          <w:sz w:val="24"/>
        </w:rPr>
        <w:t>contract.</w:t>
      </w:r>
      <w:r w:rsidR="00541174" w:rsidRPr="00DC00C2">
        <w:rPr>
          <w:rFonts w:ascii="Arial" w:hAnsi="Arial" w:cs="Arial"/>
          <w:sz w:val="24"/>
        </w:rPr>
        <w:t xml:space="preserve"> </w:t>
      </w:r>
      <w:r w:rsidR="00E820D3" w:rsidRPr="00DC00C2">
        <w:rPr>
          <w:rFonts w:ascii="Arial" w:hAnsi="Arial" w:cs="Arial"/>
          <w:sz w:val="24"/>
        </w:rPr>
        <w:t>It goes without saying that the State</w:t>
      </w:r>
      <w:r w:rsidR="00644E36">
        <w:rPr>
          <w:rFonts w:ascii="Arial" w:hAnsi="Arial" w:cs="Arial"/>
          <w:sz w:val="24"/>
        </w:rPr>
        <w:t>,</w:t>
      </w:r>
      <w:r w:rsidR="00E820D3" w:rsidRPr="00DC00C2">
        <w:rPr>
          <w:rFonts w:ascii="Arial" w:hAnsi="Arial" w:cs="Arial"/>
          <w:sz w:val="24"/>
        </w:rPr>
        <w:t xml:space="preserve"> as an artificial or </w:t>
      </w:r>
      <w:r w:rsidR="00E820D3" w:rsidRPr="00B03262">
        <w:rPr>
          <w:rFonts w:ascii="Arial" w:hAnsi="Arial" w:cs="Arial"/>
          <w:sz w:val="24"/>
        </w:rPr>
        <w:t>legal</w:t>
      </w:r>
      <w:r w:rsidR="00E820D3" w:rsidRPr="00DC00C2">
        <w:rPr>
          <w:rFonts w:ascii="Arial" w:hAnsi="Arial" w:cs="Arial"/>
          <w:i/>
          <w:sz w:val="24"/>
        </w:rPr>
        <w:t xml:space="preserve"> persona</w:t>
      </w:r>
      <w:r w:rsidR="00644E36">
        <w:rPr>
          <w:rFonts w:ascii="Arial" w:hAnsi="Arial" w:cs="Arial"/>
          <w:sz w:val="24"/>
        </w:rPr>
        <w:t xml:space="preserve">, </w:t>
      </w:r>
      <w:r w:rsidR="00E820D3" w:rsidRPr="00DC00C2">
        <w:rPr>
          <w:rFonts w:ascii="Arial" w:hAnsi="Arial" w:cs="Arial"/>
          <w:sz w:val="24"/>
        </w:rPr>
        <w:t>can only exercise its powers through some natural person or a constituted entity or body</w:t>
      </w:r>
      <w:r w:rsidR="0017304C" w:rsidRPr="00DC00C2">
        <w:rPr>
          <w:rFonts w:ascii="Arial" w:hAnsi="Arial" w:cs="Arial"/>
          <w:sz w:val="24"/>
        </w:rPr>
        <w:t xml:space="preserve"> and that is what the Act regulates</w:t>
      </w:r>
      <w:r w:rsidR="00E820D3" w:rsidRPr="00DC00C2">
        <w:rPr>
          <w:rFonts w:ascii="Arial" w:hAnsi="Arial" w:cs="Arial"/>
          <w:sz w:val="24"/>
        </w:rPr>
        <w:t xml:space="preserve">. The </w:t>
      </w:r>
      <w:r w:rsidR="00A24449" w:rsidRPr="00DC00C2">
        <w:rPr>
          <w:rFonts w:ascii="Arial" w:hAnsi="Arial" w:cs="Arial"/>
          <w:sz w:val="24"/>
        </w:rPr>
        <w:t>question that then arises</w:t>
      </w:r>
      <w:r w:rsidR="00E820D3" w:rsidRPr="00DC00C2">
        <w:rPr>
          <w:rFonts w:ascii="Arial" w:hAnsi="Arial" w:cs="Arial"/>
          <w:sz w:val="24"/>
        </w:rPr>
        <w:t xml:space="preserve"> is which functionary or entity h</w:t>
      </w:r>
      <w:r w:rsidR="00A24449" w:rsidRPr="00DC00C2">
        <w:rPr>
          <w:rFonts w:ascii="Arial" w:hAnsi="Arial" w:cs="Arial"/>
          <w:sz w:val="24"/>
        </w:rPr>
        <w:t>as the power to conclude agreements on behalf of the State.</w:t>
      </w:r>
    </w:p>
    <w:p w14:paraId="118CEE96" w14:textId="77777777" w:rsidR="00DC00C2" w:rsidRPr="00CA06A8" w:rsidRDefault="00DC00C2" w:rsidP="00CA06A8">
      <w:pPr>
        <w:spacing w:line="480" w:lineRule="auto"/>
        <w:rPr>
          <w:rFonts w:ascii="Arial" w:hAnsi="Arial" w:cs="Arial"/>
          <w:sz w:val="24"/>
        </w:rPr>
      </w:pPr>
    </w:p>
    <w:p w14:paraId="66A9A4F1" w14:textId="77777777" w:rsidR="00B03262" w:rsidRDefault="00A45D19" w:rsidP="00A45D19">
      <w:pPr>
        <w:pStyle w:val="NoSpacing"/>
        <w:spacing w:line="480" w:lineRule="auto"/>
        <w:jc w:val="both"/>
        <w:rPr>
          <w:rFonts w:ascii="Arial" w:hAnsi="Arial" w:cs="Arial"/>
          <w:sz w:val="24"/>
        </w:rPr>
      </w:pPr>
      <w:r>
        <w:rPr>
          <w:rFonts w:ascii="Arial" w:hAnsi="Arial" w:cs="Arial"/>
          <w:sz w:val="24"/>
        </w:rPr>
        <w:t>[59]</w:t>
      </w:r>
      <w:r>
        <w:rPr>
          <w:rFonts w:ascii="Arial" w:hAnsi="Arial" w:cs="Arial"/>
          <w:sz w:val="24"/>
        </w:rPr>
        <w:tab/>
      </w:r>
      <w:r w:rsidR="00A24449" w:rsidRPr="00DC00C2">
        <w:rPr>
          <w:rFonts w:ascii="Arial" w:hAnsi="Arial" w:cs="Arial"/>
          <w:sz w:val="24"/>
        </w:rPr>
        <w:t>When it comes to the procurement of services on behalf of the State</w:t>
      </w:r>
      <w:r w:rsidR="00644E36">
        <w:rPr>
          <w:rFonts w:ascii="Arial" w:hAnsi="Arial" w:cs="Arial"/>
          <w:sz w:val="24"/>
        </w:rPr>
        <w:t>,</w:t>
      </w:r>
      <w:r w:rsidR="00A24449" w:rsidRPr="00DC00C2">
        <w:rPr>
          <w:rFonts w:ascii="Arial" w:hAnsi="Arial" w:cs="Arial"/>
          <w:sz w:val="24"/>
        </w:rPr>
        <w:t xml:space="preserve"> s 7(1) of the Act provides the</w:t>
      </w:r>
      <w:r w:rsidR="00B03262">
        <w:rPr>
          <w:rFonts w:ascii="Arial" w:hAnsi="Arial" w:cs="Arial"/>
          <w:sz w:val="24"/>
        </w:rPr>
        <w:t xml:space="preserve"> answer to that question. Section </w:t>
      </w:r>
      <w:r w:rsidR="00B03262" w:rsidRPr="00DC00C2">
        <w:rPr>
          <w:rFonts w:ascii="Arial" w:hAnsi="Arial" w:cs="Arial"/>
          <w:sz w:val="24"/>
        </w:rPr>
        <w:t xml:space="preserve">7(1) </w:t>
      </w:r>
      <w:r w:rsidR="00B03262">
        <w:rPr>
          <w:rFonts w:ascii="Arial" w:hAnsi="Arial" w:cs="Arial"/>
          <w:sz w:val="24"/>
        </w:rPr>
        <w:t>clearly provides that:</w:t>
      </w:r>
    </w:p>
    <w:p w14:paraId="15299116" w14:textId="77777777" w:rsidR="00FC602C" w:rsidRPr="00B03262" w:rsidRDefault="00FC602C" w:rsidP="00FC602C">
      <w:pPr>
        <w:pStyle w:val="NoSpacing"/>
        <w:spacing w:line="480" w:lineRule="auto"/>
        <w:jc w:val="both"/>
        <w:rPr>
          <w:rFonts w:ascii="Arial" w:hAnsi="Arial" w:cs="Arial"/>
          <w:sz w:val="24"/>
        </w:rPr>
      </w:pPr>
    </w:p>
    <w:p w14:paraId="76AFC32B" w14:textId="77777777" w:rsidR="00DC00C2" w:rsidRDefault="005066D1" w:rsidP="007F18AD">
      <w:pPr>
        <w:pStyle w:val="NoSpacing"/>
        <w:spacing w:line="360" w:lineRule="auto"/>
        <w:ind w:left="720"/>
        <w:jc w:val="both"/>
        <w:rPr>
          <w:rFonts w:ascii="Arial" w:hAnsi="Arial" w:cs="Arial"/>
        </w:rPr>
      </w:pPr>
      <w:r w:rsidRPr="00B03262">
        <w:rPr>
          <w:rFonts w:ascii="Arial" w:hAnsi="Arial" w:cs="Arial"/>
        </w:rPr>
        <w:t>‘</w:t>
      </w:r>
      <w:r w:rsidR="00B03262" w:rsidRPr="00B03262">
        <w:rPr>
          <w:rFonts w:ascii="Arial" w:hAnsi="Arial" w:cs="Arial"/>
          <w:i/>
        </w:rPr>
        <w:t>Unless</w:t>
      </w:r>
      <w:r w:rsidR="00A24449" w:rsidRPr="00B03262">
        <w:rPr>
          <w:rFonts w:ascii="Arial" w:hAnsi="Arial" w:cs="Arial"/>
          <w:i/>
        </w:rPr>
        <w:t xml:space="preserve"> otherwise provided in this Act or any other law, </w:t>
      </w:r>
      <w:r w:rsidR="00A24449" w:rsidRPr="00B03262">
        <w:rPr>
          <w:rFonts w:ascii="Arial" w:hAnsi="Arial" w:cs="Arial"/>
          <w:i/>
          <w:u w:val="single"/>
        </w:rPr>
        <w:t>the Board shall</w:t>
      </w:r>
      <w:r w:rsidR="00A24449" w:rsidRPr="00B03262">
        <w:rPr>
          <w:rFonts w:ascii="Arial" w:hAnsi="Arial" w:cs="Arial"/>
          <w:i/>
        </w:rPr>
        <w:t xml:space="preserve"> be responsible for the procurement of goods and services for the Government</w:t>
      </w:r>
      <w:r w:rsidR="00C500C9">
        <w:rPr>
          <w:rFonts w:ascii="Arial" w:hAnsi="Arial" w:cs="Arial"/>
          <w:i/>
        </w:rPr>
        <w:t xml:space="preserve"> </w:t>
      </w:r>
      <w:proofErr w:type="gramStart"/>
      <w:r w:rsidR="00B03262" w:rsidRPr="00B03262">
        <w:rPr>
          <w:rFonts w:ascii="Arial" w:hAnsi="Arial" w:cs="Arial"/>
        </w:rPr>
        <w:t>. . . .</w:t>
      </w:r>
      <w:proofErr w:type="gramEnd"/>
      <w:r w:rsidRPr="00B03262">
        <w:rPr>
          <w:rFonts w:ascii="Arial" w:hAnsi="Arial" w:cs="Arial"/>
        </w:rPr>
        <w:t>’</w:t>
      </w:r>
      <w:r w:rsidR="00A24449" w:rsidRPr="00B03262">
        <w:rPr>
          <w:rFonts w:ascii="Arial" w:hAnsi="Arial" w:cs="Arial"/>
        </w:rPr>
        <w:t xml:space="preserve"> </w:t>
      </w:r>
    </w:p>
    <w:p w14:paraId="4FDF4214" w14:textId="77777777" w:rsidR="000A47E1" w:rsidRPr="000A47E1" w:rsidRDefault="000A47E1" w:rsidP="000A47E1">
      <w:pPr>
        <w:pStyle w:val="NoSpacing"/>
        <w:spacing w:line="480" w:lineRule="auto"/>
        <w:jc w:val="both"/>
        <w:rPr>
          <w:rFonts w:ascii="Arial" w:hAnsi="Arial" w:cs="Arial"/>
          <w:sz w:val="24"/>
          <w:szCs w:val="24"/>
        </w:rPr>
      </w:pPr>
    </w:p>
    <w:p w14:paraId="42F6E40A" w14:textId="77777777" w:rsidR="00DC00C2" w:rsidRDefault="00C05962" w:rsidP="00C05962">
      <w:pPr>
        <w:pStyle w:val="NoSpacing"/>
        <w:spacing w:line="480" w:lineRule="auto"/>
        <w:jc w:val="both"/>
        <w:rPr>
          <w:rFonts w:ascii="Arial" w:hAnsi="Arial" w:cs="Arial"/>
          <w:sz w:val="24"/>
        </w:rPr>
      </w:pPr>
      <w:r>
        <w:rPr>
          <w:rFonts w:ascii="Arial" w:hAnsi="Arial" w:cs="Arial"/>
          <w:sz w:val="24"/>
        </w:rPr>
        <w:t>[60]</w:t>
      </w:r>
      <w:r>
        <w:rPr>
          <w:rFonts w:ascii="Arial" w:hAnsi="Arial" w:cs="Arial"/>
          <w:sz w:val="24"/>
        </w:rPr>
        <w:tab/>
      </w:r>
      <w:r w:rsidR="005066D1" w:rsidRPr="00DC00C2">
        <w:rPr>
          <w:rFonts w:ascii="Arial" w:hAnsi="Arial" w:cs="Arial"/>
          <w:sz w:val="24"/>
        </w:rPr>
        <w:t>Section 21 of the Act</w:t>
      </w:r>
      <w:r w:rsidR="00E83523">
        <w:rPr>
          <w:rFonts w:ascii="Arial" w:hAnsi="Arial" w:cs="Arial"/>
          <w:sz w:val="24"/>
        </w:rPr>
        <w:t>,</w:t>
      </w:r>
      <w:r w:rsidR="005066D1" w:rsidRPr="00DC00C2">
        <w:rPr>
          <w:rFonts w:ascii="Arial" w:hAnsi="Arial" w:cs="Arial"/>
          <w:sz w:val="24"/>
        </w:rPr>
        <w:t xml:space="preserve"> amongst other matters</w:t>
      </w:r>
      <w:r w:rsidR="00E83523">
        <w:rPr>
          <w:rFonts w:ascii="Arial" w:hAnsi="Arial" w:cs="Arial"/>
          <w:sz w:val="24"/>
        </w:rPr>
        <w:t>,</w:t>
      </w:r>
      <w:r w:rsidR="005066D1" w:rsidRPr="00DC00C2">
        <w:rPr>
          <w:rFonts w:ascii="Arial" w:hAnsi="Arial" w:cs="Arial"/>
          <w:sz w:val="24"/>
        </w:rPr>
        <w:t xml:space="preserve"> provides that t</w:t>
      </w:r>
      <w:r w:rsidR="00A24449" w:rsidRPr="00DC00C2">
        <w:rPr>
          <w:rFonts w:ascii="Arial" w:hAnsi="Arial" w:cs="Arial"/>
          <w:sz w:val="24"/>
        </w:rPr>
        <w:t xml:space="preserve">he provisions of this Act shall apply in respect of the procurement of all goods and services, by </w:t>
      </w:r>
      <w:r w:rsidR="00A24449" w:rsidRPr="00DC00C2">
        <w:rPr>
          <w:rFonts w:ascii="Arial" w:hAnsi="Arial" w:cs="Arial"/>
          <w:sz w:val="24"/>
        </w:rPr>
        <w:lastRenderedPageBreak/>
        <w:t>offices, ministries</w:t>
      </w:r>
      <w:r w:rsidR="00B47399" w:rsidRPr="00DC00C2">
        <w:rPr>
          <w:rFonts w:ascii="Arial" w:hAnsi="Arial" w:cs="Arial"/>
          <w:sz w:val="24"/>
        </w:rPr>
        <w:t>,</w:t>
      </w:r>
      <w:r w:rsidR="00A24449" w:rsidRPr="00DC00C2">
        <w:rPr>
          <w:rFonts w:ascii="Arial" w:hAnsi="Arial" w:cs="Arial"/>
          <w:sz w:val="24"/>
        </w:rPr>
        <w:t xml:space="preserve"> and agencies for or on behalf of the Government</w:t>
      </w:r>
      <w:r w:rsidR="009272E3" w:rsidRPr="00DC00C2">
        <w:rPr>
          <w:rFonts w:ascii="Arial" w:hAnsi="Arial" w:cs="Arial"/>
          <w:sz w:val="24"/>
        </w:rPr>
        <w:t xml:space="preserve">. The section </w:t>
      </w:r>
      <w:r w:rsidR="005066D1" w:rsidRPr="00DC00C2">
        <w:rPr>
          <w:rFonts w:ascii="Arial" w:hAnsi="Arial" w:cs="Arial"/>
          <w:sz w:val="24"/>
        </w:rPr>
        <w:t xml:space="preserve">creates some </w:t>
      </w:r>
      <w:proofErr w:type="gramStart"/>
      <w:r w:rsidR="005066D1" w:rsidRPr="00DC00C2">
        <w:rPr>
          <w:rFonts w:ascii="Arial" w:hAnsi="Arial" w:cs="Arial"/>
          <w:sz w:val="24"/>
        </w:rPr>
        <w:t>exception</w:t>
      </w:r>
      <w:r w:rsidR="009D1BEB" w:rsidRPr="00DC00C2">
        <w:rPr>
          <w:rFonts w:ascii="Arial" w:hAnsi="Arial" w:cs="Arial"/>
          <w:sz w:val="24"/>
        </w:rPr>
        <w:t>s</w:t>
      </w:r>
      <w:proofErr w:type="gramEnd"/>
      <w:r w:rsidR="005066D1" w:rsidRPr="00DC00C2">
        <w:rPr>
          <w:rFonts w:ascii="Arial" w:hAnsi="Arial" w:cs="Arial"/>
          <w:sz w:val="24"/>
        </w:rPr>
        <w:t xml:space="preserve"> but those exceptions are not relevant to this matter. It thus </w:t>
      </w:r>
      <w:proofErr w:type="gramStart"/>
      <w:r w:rsidR="005066D1" w:rsidRPr="00DC00C2">
        <w:rPr>
          <w:rFonts w:ascii="Arial" w:hAnsi="Arial" w:cs="Arial"/>
          <w:sz w:val="24"/>
        </w:rPr>
        <w:t>follow</w:t>
      </w:r>
      <w:proofErr w:type="gramEnd"/>
      <w:r w:rsidR="005066D1" w:rsidRPr="00DC00C2">
        <w:rPr>
          <w:rFonts w:ascii="Arial" w:hAnsi="Arial" w:cs="Arial"/>
          <w:sz w:val="24"/>
        </w:rPr>
        <w:t xml:space="preserve"> that the reference in s 7 to any other law cannot be interpreted to mean the </w:t>
      </w:r>
      <w:r w:rsidR="00150BBE" w:rsidRPr="00DC00C2">
        <w:rPr>
          <w:rFonts w:ascii="Arial" w:hAnsi="Arial" w:cs="Arial"/>
          <w:sz w:val="24"/>
        </w:rPr>
        <w:t>c</w:t>
      </w:r>
      <w:r w:rsidR="005066D1" w:rsidRPr="00DC00C2">
        <w:rPr>
          <w:rFonts w:ascii="Arial" w:hAnsi="Arial" w:cs="Arial"/>
          <w:sz w:val="24"/>
        </w:rPr>
        <w:t>ommon</w:t>
      </w:r>
      <w:r w:rsidR="00150BBE" w:rsidRPr="00DC00C2">
        <w:rPr>
          <w:rFonts w:ascii="Arial" w:hAnsi="Arial" w:cs="Arial"/>
          <w:sz w:val="24"/>
        </w:rPr>
        <w:t xml:space="preserve"> law</w:t>
      </w:r>
      <w:r w:rsidR="005066D1" w:rsidRPr="00DC00C2">
        <w:rPr>
          <w:rFonts w:ascii="Arial" w:hAnsi="Arial" w:cs="Arial"/>
          <w:sz w:val="24"/>
        </w:rPr>
        <w:t>. There is therefore no merit in the submission that the Office of the Prime Minister can</w:t>
      </w:r>
      <w:r w:rsidR="00337494" w:rsidRPr="00DC00C2">
        <w:rPr>
          <w:rFonts w:ascii="Arial" w:hAnsi="Arial" w:cs="Arial"/>
          <w:sz w:val="24"/>
        </w:rPr>
        <w:t>,</w:t>
      </w:r>
      <w:r w:rsidR="005066D1" w:rsidRPr="00DC00C2">
        <w:rPr>
          <w:rFonts w:ascii="Arial" w:hAnsi="Arial" w:cs="Arial"/>
          <w:sz w:val="24"/>
        </w:rPr>
        <w:t xml:space="preserve"> based on the State’s prerogative</w:t>
      </w:r>
      <w:r w:rsidR="00150BBE" w:rsidRPr="00DC00C2">
        <w:rPr>
          <w:rFonts w:ascii="Arial" w:hAnsi="Arial" w:cs="Arial"/>
          <w:sz w:val="24"/>
        </w:rPr>
        <w:t xml:space="preserve"> power</w:t>
      </w:r>
      <w:r w:rsidR="005066D1" w:rsidRPr="00DC00C2">
        <w:rPr>
          <w:rFonts w:ascii="Arial" w:hAnsi="Arial" w:cs="Arial"/>
          <w:sz w:val="24"/>
        </w:rPr>
        <w:t xml:space="preserve"> to conclude contracts</w:t>
      </w:r>
      <w:r w:rsidR="00337494" w:rsidRPr="00DC00C2">
        <w:rPr>
          <w:rFonts w:ascii="Arial" w:hAnsi="Arial" w:cs="Arial"/>
          <w:sz w:val="24"/>
        </w:rPr>
        <w:t>,</w:t>
      </w:r>
      <w:r w:rsidR="005066D1" w:rsidRPr="00DC00C2">
        <w:rPr>
          <w:rFonts w:ascii="Arial" w:hAnsi="Arial" w:cs="Arial"/>
          <w:sz w:val="24"/>
        </w:rPr>
        <w:t xml:space="preserve"> disregard the formalities </w:t>
      </w:r>
      <w:r w:rsidR="00337494" w:rsidRPr="00DC00C2">
        <w:rPr>
          <w:rFonts w:ascii="Arial" w:hAnsi="Arial" w:cs="Arial"/>
          <w:sz w:val="24"/>
        </w:rPr>
        <w:t>prescrib</w:t>
      </w:r>
      <w:r w:rsidR="00FF1088" w:rsidRPr="00DC00C2">
        <w:rPr>
          <w:rFonts w:ascii="Arial" w:hAnsi="Arial" w:cs="Arial"/>
          <w:sz w:val="24"/>
        </w:rPr>
        <w:t>ed by the Act</w:t>
      </w:r>
      <w:r w:rsidR="00C43AA1" w:rsidRPr="00DC00C2">
        <w:rPr>
          <w:rFonts w:ascii="Arial" w:hAnsi="Arial" w:cs="Arial"/>
          <w:sz w:val="24"/>
        </w:rPr>
        <w:t>, because s 21 clearly states that the Act applies to the Office of the Prime Minister</w:t>
      </w:r>
      <w:r w:rsidR="00337494" w:rsidRPr="00DC00C2">
        <w:rPr>
          <w:rFonts w:ascii="Arial" w:hAnsi="Arial" w:cs="Arial"/>
          <w:sz w:val="24"/>
        </w:rPr>
        <w:t xml:space="preserve">. </w:t>
      </w:r>
    </w:p>
    <w:p w14:paraId="14972741" w14:textId="77777777" w:rsidR="00DC00C2" w:rsidRPr="00CA06A8" w:rsidRDefault="00DC00C2" w:rsidP="00CA06A8">
      <w:pPr>
        <w:spacing w:line="480" w:lineRule="auto"/>
        <w:rPr>
          <w:rFonts w:ascii="Arial" w:hAnsi="Arial" w:cs="Arial"/>
          <w:sz w:val="24"/>
        </w:rPr>
      </w:pPr>
    </w:p>
    <w:p w14:paraId="05C9B75E" w14:textId="77777777" w:rsidR="00DC00C2" w:rsidRPr="00DC00C2" w:rsidRDefault="00C05962" w:rsidP="00C05962">
      <w:pPr>
        <w:pStyle w:val="NoSpacing"/>
        <w:spacing w:line="480" w:lineRule="auto"/>
        <w:jc w:val="both"/>
        <w:rPr>
          <w:rFonts w:ascii="Arial" w:hAnsi="Arial" w:cs="Arial"/>
          <w:sz w:val="24"/>
        </w:rPr>
      </w:pPr>
      <w:r>
        <w:rPr>
          <w:rFonts w:ascii="Arial" w:hAnsi="Arial" w:cs="Arial"/>
          <w:sz w:val="24"/>
        </w:rPr>
        <w:t>[61]</w:t>
      </w:r>
      <w:r>
        <w:rPr>
          <w:rFonts w:ascii="Arial" w:hAnsi="Arial" w:cs="Arial"/>
          <w:sz w:val="24"/>
        </w:rPr>
        <w:tab/>
      </w:r>
      <w:r w:rsidR="00425EA7" w:rsidRPr="00DC00C2">
        <w:rPr>
          <w:rFonts w:ascii="Arial" w:hAnsi="Arial" w:cs="Arial"/>
          <w:sz w:val="24"/>
        </w:rPr>
        <w:t>As I observed earlier</w:t>
      </w:r>
      <w:r w:rsidR="00C87ABB">
        <w:rPr>
          <w:rFonts w:ascii="Arial" w:hAnsi="Arial" w:cs="Arial"/>
          <w:sz w:val="24"/>
        </w:rPr>
        <w:t>,</w:t>
      </w:r>
      <w:r w:rsidR="00425EA7" w:rsidRPr="00DC00C2">
        <w:rPr>
          <w:rFonts w:ascii="Arial" w:hAnsi="Arial" w:cs="Arial"/>
          <w:sz w:val="24"/>
        </w:rPr>
        <w:t xml:space="preserve"> ‘power’ in legal parlance means lawfully authorised power. Public authorities possess only so much power a</w:t>
      </w:r>
      <w:r w:rsidR="00BE7AB0" w:rsidRPr="00DC00C2">
        <w:rPr>
          <w:rFonts w:ascii="Arial" w:hAnsi="Arial" w:cs="Arial"/>
          <w:sz w:val="24"/>
        </w:rPr>
        <w:t>s is lawfully authorised</w:t>
      </w:r>
      <w:r w:rsidR="00150BBE" w:rsidRPr="00DC00C2">
        <w:rPr>
          <w:rFonts w:ascii="Arial" w:hAnsi="Arial" w:cs="Arial"/>
          <w:sz w:val="24"/>
        </w:rPr>
        <w:t>. I therefore</w:t>
      </w:r>
      <w:r w:rsidR="006737B8" w:rsidRPr="00DC00C2">
        <w:rPr>
          <w:rFonts w:ascii="Arial" w:hAnsi="Arial" w:cs="Arial"/>
          <w:color w:val="000000" w:themeColor="text1"/>
          <w:sz w:val="24"/>
        </w:rPr>
        <w:t xml:space="preserve"> conclude that</w:t>
      </w:r>
      <w:r w:rsidR="00E83523">
        <w:rPr>
          <w:rFonts w:ascii="Arial" w:hAnsi="Arial" w:cs="Arial"/>
          <w:color w:val="000000" w:themeColor="text1"/>
          <w:sz w:val="24"/>
        </w:rPr>
        <w:t xml:space="preserve"> only the b</w:t>
      </w:r>
      <w:r w:rsidR="00337494" w:rsidRPr="00DC00C2">
        <w:rPr>
          <w:rFonts w:ascii="Arial" w:hAnsi="Arial" w:cs="Arial"/>
          <w:color w:val="000000" w:themeColor="text1"/>
          <w:sz w:val="24"/>
        </w:rPr>
        <w:t>o</w:t>
      </w:r>
      <w:r w:rsidR="00E83523">
        <w:rPr>
          <w:rFonts w:ascii="Arial" w:hAnsi="Arial" w:cs="Arial"/>
          <w:color w:val="000000" w:themeColor="text1"/>
          <w:sz w:val="24"/>
        </w:rPr>
        <w:t>ard or an entity, to which the b</w:t>
      </w:r>
      <w:r w:rsidR="00337494" w:rsidRPr="00DC00C2">
        <w:rPr>
          <w:rFonts w:ascii="Arial" w:hAnsi="Arial" w:cs="Arial"/>
          <w:color w:val="000000" w:themeColor="text1"/>
          <w:sz w:val="24"/>
        </w:rPr>
        <w:t>oard h</w:t>
      </w:r>
      <w:r w:rsidR="00E83523">
        <w:rPr>
          <w:rFonts w:ascii="Arial" w:hAnsi="Arial" w:cs="Arial"/>
          <w:color w:val="000000" w:themeColor="text1"/>
          <w:sz w:val="24"/>
        </w:rPr>
        <w:t>as properly delegated its power,</w:t>
      </w:r>
      <w:r w:rsidR="00337494" w:rsidRPr="00DC00C2">
        <w:rPr>
          <w:rFonts w:ascii="Arial" w:hAnsi="Arial" w:cs="Arial"/>
          <w:color w:val="000000" w:themeColor="text1"/>
          <w:sz w:val="24"/>
        </w:rPr>
        <w:t xml:space="preserve"> could</w:t>
      </w:r>
      <w:r w:rsidR="00E83523">
        <w:rPr>
          <w:rFonts w:ascii="Arial" w:hAnsi="Arial" w:cs="Arial"/>
          <w:color w:val="000000" w:themeColor="text1"/>
          <w:sz w:val="24"/>
        </w:rPr>
        <w:t>,</w:t>
      </w:r>
      <w:r w:rsidR="00337494" w:rsidRPr="00DC00C2">
        <w:rPr>
          <w:rFonts w:ascii="Arial" w:hAnsi="Arial" w:cs="Arial"/>
          <w:color w:val="000000" w:themeColor="text1"/>
          <w:sz w:val="24"/>
        </w:rPr>
        <w:t xml:space="preserve"> </w:t>
      </w:r>
      <w:r w:rsidR="009B32C1" w:rsidRPr="00DC00C2">
        <w:rPr>
          <w:rFonts w:ascii="Arial" w:hAnsi="Arial" w:cs="Arial"/>
          <w:color w:val="000000" w:themeColor="text1"/>
          <w:sz w:val="24"/>
        </w:rPr>
        <w:t>pursuant to an award of a tender</w:t>
      </w:r>
      <w:r w:rsidR="00E83523">
        <w:rPr>
          <w:rFonts w:ascii="Arial" w:hAnsi="Arial" w:cs="Arial"/>
          <w:color w:val="000000" w:themeColor="text1"/>
          <w:sz w:val="24"/>
        </w:rPr>
        <w:t>,</w:t>
      </w:r>
      <w:r w:rsidR="009B32C1" w:rsidRPr="00DC00C2">
        <w:rPr>
          <w:rFonts w:ascii="Arial" w:hAnsi="Arial" w:cs="Arial"/>
          <w:color w:val="000000" w:themeColor="text1"/>
          <w:sz w:val="24"/>
        </w:rPr>
        <w:t xml:space="preserve"> </w:t>
      </w:r>
      <w:r w:rsidR="00337494" w:rsidRPr="00DC00C2">
        <w:rPr>
          <w:rFonts w:ascii="Arial" w:hAnsi="Arial" w:cs="Arial"/>
          <w:color w:val="000000" w:themeColor="text1"/>
          <w:sz w:val="24"/>
        </w:rPr>
        <w:t>conclude contracts or agreements for the procurement of services on behalf of the State.</w:t>
      </w:r>
    </w:p>
    <w:p w14:paraId="268C40F4" w14:textId="77777777" w:rsidR="00DC00C2" w:rsidRPr="00CA06A8" w:rsidRDefault="00DC00C2" w:rsidP="00CA06A8">
      <w:pPr>
        <w:spacing w:line="480" w:lineRule="auto"/>
        <w:rPr>
          <w:rFonts w:ascii="Arial" w:hAnsi="Arial" w:cs="Arial"/>
          <w:color w:val="000000" w:themeColor="text1"/>
          <w:sz w:val="24"/>
        </w:rPr>
      </w:pPr>
    </w:p>
    <w:p w14:paraId="6DA4A622" w14:textId="77777777" w:rsidR="00DC00C2" w:rsidRPr="00E83523" w:rsidRDefault="00D9418F" w:rsidP="00D9418F">
      <w:pPr>
        <w:pStyle w:val="NoSpacing"/>
        <w:spacing w:line="480" w:lineRule="auto"/>
        <w:jc w:val="both"/>
        <w:rPr>
          <w:rFonts w:ascii="Arial" w:hAnsi="Arial" w:cs="Arial"/>
          <w:sz w:val="24"/>
        </w:rPr>
      </w:pPr>
      <w:r>
        <w:rPr>
          <w:rFonts w:ascii="Arial" w:hAnsi="Arial" w:cs="Arial"/>
          <w:color w:val="000000" w:themeColor="text1"/>
          <w:sz w:val="24"/>
        </w:rPr>
        <w:t>[62]</w:t>
      </w:r>
      <w:r>
        <w:rPr>
          <w:rFonts w:ascii="Arial" w:hAnsi="Arial" w:cs="Arial"/>
          <w:color w:val="000000" w:themeColor="text1"/>
          <w:sz w:val="24"/>
        </w:rPr>
        <w:tab/>
      </w:r>
      <w:r w:rsidR="00337494" w:rsidRPr="00DC00C2">
        <w:rPr>
          <w:rFonts w:ascii="Arial" w:hAnsi="Arial" w:cs="Arial"/>
          <w:color w:val="000000" w:themeColor="text1"/>
          <w:sz w:val="24"/>
        </w:rPr>
        <w:t xml:space="preserve">This brings me to Mr </w:t>
      </w:r>
      <w:proofErr w:type="spellStart"/>
      <w:r w:rsidR="00337494" w:rsidRPr="00DC00C2">
        <w:rPr>
          <w:rFonts w:ascii="Arial" w:hAnsi="Arial" w:cs="Arial"/>
          <w:color w:val="000000" w:themeColor="text1"/>
          <w:sz w:val="24"/>
        </w:rPr>
        <w:t>Tötemeyer’s</w:t>
      </w:r>
      <w:proofErr w:type="spellEnd"/>
      <w:r w:rsidR="00337494" w:rsidRPr="00DC00C2">
        <w:rPr>
          <w:rFonts w:ascii="Arial" w:hAnsi="Arial" w:cs="Arial"/>
          <w:color w:val="000000" w:themeColor="text1"/>
          <w:sz w:val="24"/>
        </w:rPr>
        <w:t xml:space="preserve"> argument tha</w:t>
      </w:r>
      <w:r w:rsidR="00E83523">
        <w:rPr>
          <w:rFonts w:ascii="Arial" w:hAnsi="Arial" w:cs="Arial"/>
          <w:color w:val="000000" w:themeColor="text1"/>
          <w:sz w:val="24"/>
        </w:rPr>
        <w:t>t the b</w:t>
      </w:r>
      <w:r w:rsidR="009B32C1" w:rsidRPr="00DC00C2">
        <w:rPr>
          <w:rFonts w:ascii="Arial" w:hAnsi="Arial" w:cs="Arial"/>
          <w:color w:val="000000" w:themeColor="text1"/>
          <w:sz w:val="24"/>
        </w:rPr>
        <w:t>oard, in terms of s</w:t>
      </w:r>
      <w:r w:rsidR="00C87ABB">
        <w:rPr>
          <w:rFonts w:ascii="Arial" w:hAnsi="Arial" w:cs="Arial"/>
          <w:color w:val="000000" w:themeColor="text1"/>
          <w:sz w:val="24"/>
        </w:rPr>
        <w:t xml:space="preserve"> 18</w:t>
      </w:r>
      <w:r w:rsidR="009B32C1" w:rsidRPr="00DC00C2">
        <w:rPr>
          <w:rFonts w:ascii="Arial" w:hAnsi="Arial" w:cs="Arial"/>
          <w:color w:val="000000" w:themeColor="text1"/>
          <w:sz w:val="24"/>
        </w:rPr>
        <w:t xml:space="preserve">(3) </w:t>
      </w:r>
      <w:r w:rsidR="00C87ABB">
        <w:rPr>
          <w:rFonts w:ascii="Arial" w:hAnsi="Arial" w:cs="Arial"/>
          <w:color w:val="000000" w:themeColor="text1"/>
          <w:sz w:val="24"/>
        </w:rPr>
        <w:t xml:space="preserve">of the Act </w:t>
      </w:r>
      <w:r w:rsidR="00337494" w:rsidRPr="00DC00C2">
        <w:rPr>
          <w:rFonts w:ascii="Arial" w:hAnsi="Arial" w:cs="Arial"/>
          <w:color w:val="000000" w:themeColor="text1"/>
          <w:sz w:val="24"/>
        </w:rPr>
        <w:t xml:space="preserve">properly delegated the power to conclude the agreement pursuant to the award of </w:t>
      </w:r>
      <w:r w:rsidR="00C87ABB">
        <w:rPr>
          <w:rFonts w:ascii="Arial" w:hAnsi="Arial" w:cs="Arial"/>
          <w:color w:val="000000" w:themeColor="text1"/>
          <w:sz w:val="24"/>
        </w:rPr>
        <w:t>the t</w:t>
      </w:r>
      <w:r w:rsidR="00337494" w:rsidRPr="00DC00C2">
        <w:rPr>
          <w:rFonts w:ascii="Arial" w:hAnsi="Arial" w:cs="Arial"/>
          <w:color w:val="000000" w:themeColor="text1"/>
          <w:sz w:val="24"/>
        </w:rPr>
        <w:t>ender</w:t>
      </w:r>
      <w:r w:rsidR="00337494" w:rsidRPr="00DC00C2">
        <w:rPr>
          <w:rFonts w:ascii="Arial" w:hAnsi="Arial" w:cs="Arial"/>
          <w:sz w:val="24"/>
        </w:rPr>
        <w:t xml:space="preserve"> </w:t>
      </w:r>
      <w:r w:rsidR="00337494" w:rsidRPr="00DC00C2">
        <w:rPr>
          <w:rFonts w:ascii="Arial" w:hAnsi="Arial" w:cs="Arial"/>
          <w:sz w:val="24"/>
          <w:lang w:val="en-US"/>
        </w:rPr>
        <w:t xml:space="preserve">to the Permanent Secretary of the </w:t>
      </w:r>
      <w:r w:rsidR="00337494" w:rsidRPr="00DC00C2">
        <w:rPr>
          <w:rFonts w:ascii="Arial" w:hAnsi="Arial" w:cs="Arial"/>
          <w:color w:val="000000" w:themeColor="text1"/>
          <w:sz w:val="24"/>
        </w:rPr>
        <w:t>Office of the Prime Minister.</w:t>
      </w:r>
    </w:p>
    <w:p w14:paraId="608649DB" w14:textId="77777777" w:rsidR="00E83523" w:rsidRPr="00E83523" w:rsidRDefault="00E83523" w:rsidP="00E83523">
      <w:pPr>
        <w:pStyle w:val="NoSpacing"/>
        <w:spacing w:line="480" w:lineRule="auto"/>
        <w:jc w:val="both"/>
        <w:rPr>
          <w:rFonts w:ascii="Arial" w:hAnsi="Arial" w:cs="Arial"/>
          <w:sz w:val="24"/>
        </w:rPr>
      </w:pPr>
    </w:p>
    <w:p w14:paraId="1ACC38CB" w14:textId="77777777" w:rsidR="00C36071" w:rsidRDefault="001035CC" w:rsidP="001035CC">
      <w:pPr>
        <w:pStyle w:val="NoSpacing"/>
        <w:spacing w:line="480" w:lineRule="auto"/>
        <w:jc w:val="both"/>
        <w:rPr>
          <w:rFonts w:ascii="Arial" w:hAnsi="Arial" w:cs="Arial"/>
          <w:sz w:val="24"/>
        </w:rPr>
      </w:pPr>
      <w:r>
        <w:rPr>
          <w:rFonts w:ascii="Arial" w:hAnsi="Arial" w:cs="Arial"/>
          <w:sz w:val="24"/>
        </w:rPr>
        <w:t>[63]</w:t>
      </w:r>
      <w:r>
        <w:rPr>
          <w:rFonts w:ascii="Arial" w:hAnsi="Arial" w:cs="Arial"/>
          <w:sz w:val="24"/>
        </w:rPr>
        <w:tab/>
      </w:r>
      <w:r w:rsidR="009B32C1" w:rsidRPr="00DC00C2">
        <w:rPr>
          <w:rFonts w:ascii="Arial" w:hAnsi="Arial" w:cs="Arial"/>
          <w:sz w:val="24"/>
        </w:rPr>
        <w:t>Section 18(3) of the Act provides that</w:t>
      </w:r>
      <w:r w:rsidR="00C36071">
        <w:rPr>
          <w:rFonts w:ascii="Arial" w:hAnsi="Arial" w:cs="Arial"/>
          <w:sz w:val="24"/>
        </w:rPr>
        <w:t>:</w:t>
      </w:r>
    </w:p>
    <w:p w14:paraId="27AB7C3E" w14:textId="77777777" w:rsidR="00065251" w:rsidRPr="00C36071" w:rsidRDefault="00065251" w:rsidP="00065251">
      <w:pPr>
        <w:pStyle w:val="NoSpacing"/>
        <w:spacing w:line="480" w:lineRule="auto"/>
        <w:jc w:val="both"/>
        <w:rPr>
          <w:rFonts w:ascii="Arial" w:hAnsi="Arial" w:cs="Arial"/>
          <w:sz w:val="24"/>
        </w:rPr>
      </w:pPr>
    </w:p>
    <w:p w14:paraId="78CA2EB6" w14:textId="77777777" w:rsidR="00C36071" w:rsidRPr="00C36071" w:rsidRDefault="00C36071" w:rsidP="00C36071">
      <w:pPr>
        <w:pStyle w:val="NoSpacing"/>
        <w:spacing w:line="360" w:lineRule="auto"/>
        <w:ind w:left="720"/>
        <w:jc w:val="both"/>
        <w:rPr>
          <w:rFonts w:ascii="Arial" w:hAnsi="Arial" w:cs="Arial"/>
        </w:rPr>
      </w:pPr>
      <w:r w:rsidRPr="00C36071">
        <w:rPr>
          <w:rFonts w:ascii="Arial" w:hAnsi="Arial" w:cs="Arial"/>
        </w:rPr>
        <w:t>‘T</w:t>
      </w:r>
      <w:r w:rsidR="009B32C1" w:rsidRPr="00C36071">
        <w:rPr>
          <w:rFonts w:ascii="Arial" w:hAnsi="Arial" w:cs="Arial"/>
        </w:rPr>
        <w:t xml:space="preserve">he chairperson or any administrative head </w:t>
      </w:r>
      <w:r w:rsidR="009B32C1" w:rsidRPr="00C36071">
        <w:rPr>
          <w:rFonts w:ascii="Arial" w:hAnsi="Arial" w:cs="Arial"/>
          <w:i/>
          <w:u w:val="single"/>
        </w:rPr>
        <w:t>designated by the Board shall be competent to execute any document on behalf of the Board</w:t>
      </w:r>
      <w:r w:rsidRPr="00C36071">
        <w:rPr>
          <w:rFonts w:ascii="Arial" w:hAnsi="Arial" w:cs="Arial"/>
        </w:rPr>
        <w:t>.</w:t>
      </w:r>
      <w:r w:rsidR="00C87ABB">
        <w:rPr>
          <w:rFonts w:ascii="Arial" w:hAnsi="Arial" w:cs="Arial"/>
        </w:rPr>
        <w:t>’</w:t>
      </w:r>
    </w:p>
    <w:p w14:paraId="7F6EF44C" w14:textId="77777777" w:rsidR="00C36071" w:rsidRDefault="00C36071" w:rsidP="00C36071">
      <w:pPr>
        <w:pStyle w:val="NoSpacing"/>
        <w:spacing w:line="480" w:lineRule="auto"/>
        <w:jc w:val="both"/>
        <w:rPr>
          <w:rFonts w:ascii="Arial" w:hAnsi="Arial" w:cs="Arial"/>
          <w:sz w:val="24"/>
        </w:rPr>
      </w:pPr>
    </w:p>
    <w:p w14:paraId="5E9F154C" w14:textId="77777777" w:rsidR="00DC00C2" w:rsidRDefault="000C418C" w:rsidP="00302B19">
      <w:pPr>
        <w:pStyle w:val="NoSpacing"/>
        <w:spacing w:line="480" w:lineRule="auto"/>
        <w:jc w:val="both"/>
        <w:rPr>
          <w:rFonts w:ascii="Arial" w:hAnsi="Arial" w:cs="Arial"/>
          <w:sz w:val="24"/>
        </w:rPr>
      </w:pPr>
      <w:r w:rsidRPr="00DC00C2">
        <w:rPr>
          <w:rFonts w:ascii="Arial" w:hAnsi="Arial" w:cs="Arial"/>
          <w:sz w:val="24"/>
        </w:rPr>
        <w:t xml:space="preserve">The </w:t>
      </w:r>
      <w:r w:rsidR="008221B5" w:rsidRPr="00DC00C2">
        <w:rPr>
          <w:rFonts w:ascii="Arial" w:hAnsi="Arial" w:cs="Arial"/>
          <w:sz w:val="24"/>
        </w:rPr>
        <w:t xml:space="preserve">fallacy in Mr </w:t>
      </w:r>
      <w:proofErr w:type="spellStart"/>
      <w:r w:rsidR="008221B5" w:rsidRPr="00DC00C2">
        <w:rPr>
          <w:rFonts w:ascii="Arial" w:hAnsi="Arial" w:cs="Arial"/>
          <w:sz w:val="24"/>
        </w:rPr>
        <w:t>Tötemeyer’s</w:t>
      </w:r>
      <w:proofErr w:type="spellEnd"/>
      <w:r w:rsidR="008221B5" w:rsidRPr="00DC00C2">
        <w:rPr>
          <w:rFonts w:ascii="Arial" w:hAnsi="Arial" w:cs="Arial"/>
          <w:sz w:val="24"/>
        </w:rPr>
        <w:t xml:space="preserve"> argument lies in the fact that</w:t>
      </w:r>
      <w:r w:rsidR="00E83523">
        <w:rPr>
          <w:rFonts w:ascii="Arial" w:hAnsi="Arial" w:cs="Arial"/>
          <w:sz w:val="24"/>
        </w:rPr>
        <w:t>,</w:t>
      </w:r>
      <w:r w:rsidR="008221B5" w:rsidRPr="00DC00C2">
        <w:rPr>
          <w:rFonts w:ascii="Arial" w:hAnsi="Arial" w:cs="Arial"/>
          <w:sz w:val="24"/>
        </w:rPr>
        <w:t xml:space="preserve"> from the papers before us</w:t>
      </w:r>
      <w:r w:rsidR="00E83523">
        <w:rPr>
          <w:rFonts w:ascii="Arial" w:hAnsi="Arial" w:cs="Arial"/>
          <w:sz w:val="24"/>
        </w:rPr>
        <w:t>,</w:t>
      </w:r>
      <w:r w:rsidR="008221B5" w:rsidRPr="00DC00C2">
        <w:rPr>
          <w:rFonts w:ascii="Arial" w:hAnsi="Arial" w:cs="Arial"/>
          <w:sz w:val="24"/>
        </w:rPr>
        <w:t xml:space="preserve"> there is no suggestion that the Permanent Secretary of the Office of the Prime Minister </w:t>
      </w:r>
      <w:r w:rsidR="009B32C1" w:rsidRPr="00DC00C2">
        <w:rPr>
          <w:rFonts w:ascii="Arial" w:hAnsi="Arial" w:cs="Arial"/>
          <w:sz w:val="24"/>
        </w:rPr>
        <w:t xml:space="preserve">signed or executed </w:t>
      </w:r>
      <w:r w:rsidR="00C36071">
        <w:rPr>
          <w:rFonts w:ascii="Arial" w:hAnsi="Arial" w:cs="Arial"/>
          <w:sz w:val="24"/>
        </w:rPr>
        <w:t>the agreement on behalf of the b</w:t>
      </w:r>
      <w:r w:rsidR="008221B5" w:rsidRPr="00DC00C2">
        <w:rPr>
          <w:rFonts w:ascii="Arial" w:hAnsi="Arial" w:cs="Arial"/>
          <w:sz w:val="24"/>
        </w:rPr>
        <w:t xml:space="preserve">oard. In the recital part </w:t>
      </w:r>
      <w:r w:rsidR="008221B5" w:rsidRPr="00DC00C2">
        <w:rPr>
          <w:rFonts w:ascii="Arial" w:hAnsi="Arial" w:cs="Arial"/>
          <w:sz w:val="24"/>
        </w:rPr>
        <w:lastRenderedPageBreak/>
        <w:t>of the Service Level Agreement</w:t>
      </w:r>
      <w:r w:rsidR="00E83523">
        <w:rPr>
          <w:rFonts w:ascii="Arial" w:hAnsi="Arial" w:cs="Arial"/>
          <w:sz w:val="24"/>
        </w:rPr>
        <w:t>,</w:t>
      </w:r>
      <w:r w:rsidR="008221B5" w:rsidRPr="00DC00C2">
        <w:rPr>
          <w:rFonts w:ascii="Arial" w:hAnsi="Arial" w:cs="Arial"/>
          <w:sz w:val="24"/>
        </w:rPr>
        <w:t xml:space="preserve"> which is the subject matter of this appeal</w:t>
      </w:r>
      <w:r w:rsidR="00E83523">
        <w:rPr>
          <w:rFonts w:ascii="Arial" w:hAnsi="Arial" w:cs="Arial"/>
          <w:sz w:val="24"/>
        </w:rPr>
        <w:t>,</w:t>
      </w:r>
      <w:r w:rsidR="008221B5" w:rsidRPr="00DC00C2">
        <w:rPr>
          <w:rFonts w:ascii="Arial" w:hAnsi="Arial" w:cs="Arial"/>
          <w:sz w:val="24"/>
        </w:rPr>
        <w:t xml:space="preserve"> the par</w:t>
      </w:r>
      <w:r w:rsidR="00C36071">
        <w:rPr>
          <w:rFonts w:ascii="Arial" w:hAnsi="Arial" w:cs="Arial"/>
          <w:sz w:val="24"/>
        </w:rPr>
        <w:t>ties are indicated as ‘</w:t>
      </w:r>
      <w:r w:rsidR="00C36071" w:rsidRPr="00C36071">
        <w:rPr>
          <w:rFonts w:ascii="Arial" w:hAnsi="Arial" w:cs="Arial"/>
          <w:i/>
          <w:sz w:val="24"/>
        </w:rPr>
        <w:t>T</w:t>
      </w:r>
      <w:r w:rsidR="008221B5" w:rsidRPr="00C36071">
        <w:rPr>
          <w:rFonts w:ascii="Arial" w:hAnsi="Arial" w:cs="Arial"/>
          <w:i/>
          <w:sz w:val="24"/>
        </w:rPr>
        <w:t xml:space="preserve">he </w:t>
      </w:r>
      <w:r w:rsidR="008221B5" w:rsidRPr="00DC00C2">
        <w:rPr>
          <w:rFonts w:ascii="Arial" w:hAnsi="Arial" w:cs="Arial"/>
          <w:i/>
          <w:sz w:val="24"/>
        </w:rPr>
        <w:t>Government of the Republic of Namibia (Offi</w:t>
      </w:r>
      <w:r w:rsidR="00C36071">
        <w:rPr>
          <w:rFonts w:ascii="Arial" w:hAnsi="Arial" w:cs="Arial"/>
          <w:i/>
          <w:sz w:val="24"/>
        </w:rPr>
        <w:t>ce of the Prime Minister) (the C</w:t>
      </w:r>
      <w:r w:rsidR="008221B5" w:rsidRPr="00DC00C2">
        <w:rPr>
          <w:rFonts w:ascii="Arial" w:hAnsi="Arial" w:cs="Arial"/>
          <w:i/>
          <w:sz w:val="24"/>
        </w:rPr>
        <w:t xml:space="preserve">lient) and </w:t>
      </w:r>
      <w:proofErr w:type="spellStart"/>
      <w:r w:rsidR="008221B5" w:rsidRPr="00DC00C2">
        <w:rPr>
          <w:rFonts w:ascii="Arial" w:hAnsi="Arial" w:cs="Arial"/>
          <w:i/>
          <w:sz w:val="24"/>
        </w:rPr>
        <w:t>Newpoint</w:t>
      </w:r>
      <w:proofErr w:type="spellEnd"/>
      <w:r w:rsidR="008221B5" w:rsidRPr="00DC00C2">
        <w:rPr>
          <w:rFonts w:ascii="Arial" w:hAnsi="Arial" w:cs="Arial"/>
          <w:i/>
          <w:sz w:val="24"/>
        </w:rPr>
        <w:t xml:space="preserve"> Electronic Solutions P</w:t>
      </w:r>
      <w:r w:rsidR="009B32C1" w:rsidRPr="00DC00C2">
        <w:rPr>
          <w:rFonts w:ascii="Arial" w:hAnsi="Arial" w:cs="Arial"/>
          <w:i/>
          <w:sz w:val="24"/>
        </w:rPr>
        <w:t>ty (Ltd) (the Service Provider)</w:t>
      </w:r>
      <w:r w:rsidR="00C36071">
        <w:rPr>
          <w:rFonts w:ascii="Arial" w:hAnsi="Arial" w:cs="Arial"/>
          <w:sz w:val="24"/>
        </w:rPr>
        <w:t>’</w:t>
      </w:r>
      <w:r w:rsidR="009B32C1" w:rsidRPr="00DC00C2">
        <w:rPr>
          <w:rFonts w:ascii="Arial" w:hAnsi="Arial" w:cs="Arial"/>
          <w:sz w:val="24"/>
        </w:rPr>
        <w:t>, and in the execution part</w:t>
      </w:r>
      <w:r w:rsidR="00C43AA1" w:rsidRPr="00DC00C2">
        <w:rPr>
          <w:rFonts w:ascii="Arial" w:hAnsi="Arial" w:cs="Arial"/>
          <w:sz w:val="24"/>
        </w:rPr>
        <w:t>,</w:t>
      </w:r>
      <w:r w:rsidR="009B32C1" w:rsidRPr="00DC00C2">
        <w:rPr>
          <w:rFonts w:ascii="Arial" w:hAnsi="Arial" w:cs="Arial"/>
          <w:sz w:val="24"/>
        </w:rPr>
        <w:t xml:space="preserve"> the agreement indicates that </w:t>
      </w:r>
      <w:r w:rsidR="009F43A8" w:rsidRPr="00DC00C2">
        <w:rPr>
          <w:rFonts w:ascii="Arial" w:hAnsi="Arial" w:cs="Arial"/>
          <w:sz w:val="24"/>
        </w:rPr>
        <w:t xml:space="preserve">the </w:t>
      </w:r>
      <w:r w:rsidR="009B32C1" w:rsidRPr="00DC00C2">
        <w:rPr>
          <w:rFonts w:ascii="Arial" w:hAnsi="Arial" w:cs="Arial"/>
          <w:sz w:val="24"/>
        </w:rPr>
        <w:t>Permanent Secretary signed for and on behalf of the client.</w:t>
      </w:r>
    </w:p>
    <w:p w14:paraId="1800F109" w14:textId="77777777" w:rsidR="00302B19" w:rsidRPr="00CA06A8" w:rsidRDefault="00302B19" w:rsidP="00302B19">
      <w:pPr>
        <w:pStyle w:val="NoSpacing"/>
        <w:spacing w:line="480" w:lineRule="auto"/>
        <w:jc w:val="both"/>
        <w:rPr>
          <w:rFonts w:ascii="Arial" w:hAnsi="Arial" w:cs="Arial"/>
          <w:sz w:val="24"/>
        </w:rPr>
      </w:pPr>
    </w:p>
    <w:p w14:paraId="772B9360" w14:textId="77777777" w:rsidR="00DC00C2" w:rsidRDefault="003B095F" w:rsidP="003B095F">
      <w:pPr>
        <w:pStyle w:val="NoSpacing"/>
        <w:spacing w:line="480" w:lineRule="auto"/>
        <w:jc w:val="both"/>
        <w:rPr>
          <w:rFonts w:ascii="Arial" w:hAnsi="Arial" w:cs="Arial"/>
          <w:sz w:val="24"/>
        </w:rPr>
      </w:pPr>
      <w:r>
        <w:rPr>
          <w:rFonts w:ascii="Arial" w:hAnsi="Arial" w:cs="Arial"/>
          <w:sz w:val="24"/>
        </w:rPr>
        <w:t>[64]</w:t>
      </w:r>
      <w:r>
        <w:rPr>
          <w:rFonts w:ascii="Arial" w:hAnsi="Arial" w:cs="Arial"/>
          <w:sz w:val="24"/>
        </w:rPr>
        <w:tab/>
      </w:r>
      <w:r w:rsidR="008221B5" w:rsidRPr="00DC00C2">
        <w:rPr>
          <w:rFonts w:ascii="Arial" w:hAnsi="Arial" w:cs="Arial"/>
          <w:sz w:val="24"/>
        </w:rPr>
        <w:t xml:space="preserve">The </w:t>
      </w:r>
      <w:r w:rsidR="00C43AA1" w:rsidRPr="00DC00C2">
        <w:rPr>
          <w:rFonts w:ascii="Arial" w:hAnsi="Arial" w:cs="Arial"/>
          <w:sz w:val="24"/>
        </w:rPr>
        <w:t xml:space="preserve">only </w:t>
      </w:r>
      <w:r w:rsidR="00527BFA" w:rsidRPr="00DC00C2">
        <w:rPr>
          <w:rFonts w:ascii="Arial" w:hAnsi="Arial" w:cs="Arial"/>
          <w:sz w:val="24"/>
        </w:rPr>
        <w:t xml:space="preserve">logical </w:t>
      </w:r>
      <w:r w:rsidR="008221B5" w:rsidRPr="00DC00C2">
        <w:rPr>
          <w:rFonts w:ascii="Arial" w:hAnsi="Arial" w:cs="Arial"/>
          <w:sz w:val="24"/>
        </w:rPr>
        <w:t xml:space="preserve">conclusion is </w:t>
      </w:r>
      <w:r w:rsidR="00527BFA" w:rsidRPr="00DC00C2">
        <w:rPr>
          <w:rFonts w:ascii="Arial" w:hAnsi="Arial" w:cs="Arial"/>
          <w:sz w:val="24"/>
        </w:rPr>
        <w:t>that the</w:t>
      </w:r>
      <w:r w:rsidR="008221B5" w:rsidRPr="00DC00C2">
        <w:rPr>
          <w:rFonts w:ascii="Arial" w:hAnsi="Arial" w:cs="Arial"/>
          <w:sz w:val="24"/>
        </w:rPr>
        <w:t xml:space="preserve"> Permanent Secretary of the Office of the Prime Minister </w:t>
      </w:r>
      <w:r w:rsidR="00527BFA" w:rsidRPr="00DC00C2">
        <w:rPr>
          <w:rFonts w:ascii="Arial" w:hAnsi="Arial" w:cs="Arial"/>
          <w:sz w:val="24"/>
        </w:rPr>
        <w:t>di</w:t>
      </w:r>
      <w:r w:rsidR="00C36071">
        <w:rPr>
          <w:rFonts w:ascii="Arial" w:hAnsi="Arial" w:cs="Arial"/>
          <w:sz w:val="24"/>
        </w:rPr>
        <w:t>d not act as a delegate of the b</w:t>
      </w:r>
      <w:r w:rsidR="00527BFA" w:rsidRPr="00DC00C2">
        <w:rPr>
          <w:rFonts w:ascii="Arial" w:hAnsi="Arial" w:cs="Arial"/>
          <w:sz w:val="24"/>
        </w:rPr>
        <w:t>oard but as a representative of the Office of the Prime Minister</w:t>
      </w:r>
      <w:r w:rsidR="00C43AA1" w:rsidRPr="00DC00C2">
        <w:rPr>
          <w:rFonts w:ascii="Arial" w:hAnsi="Arial" w:cs="Arial"/>
          <w:sz w:val="24"/>
        </w:rPr>
        <w:t>.</w:t>
      </w:r>
      <w:r w:rsidR="00527BFA" w:rsidRPr="00DC00C2">
        <w:rPr>
          <w:rFonts w:ascii="Arial" w:hAnsi="Arial" w:cs="Arial"/>
          <w:sz w:val="24"/>
        </w:rPr>
        <w:t xml:space="preserve"> I have found earlier on</w:t>
      </w:r>
      <w:r w:rsidR="00C43AA1" w:rsidRPr="00DC00C2">
        <w:rPr>
          <w:rFonts w:ascii="Arial" w:hAnsi="Arial" w:cs="Arial"/>
          <w:sz w:val="24"/>
        </w:rPr>
        <w:t xml:space="preserve"> that</w:t>
      </w:r>
      <w:r w:rsidR="00C36071">
        <w:rPr>
          <w:rFonts w:ascii="Arial" w:hAnsi="Arial" w:cs="Arial"/>
          <w:sz w:val="24"/>
        </w:rPr>
        <w:t xml:space="preserve"> only the board or an entity to which the b</w:t>
      </w:r>
      <w:r w:rsidR="00527BFA" w:rsidRPr="00DC00C2">
        <w:rPr>
          <w:rFonts w:ascii="Arial" w:hAnsi="Arial" w:cs="Arial"/>
          <w:sz w:val="24"/>
        </w:rPr>
        <w:t>oard ha</w:t>
      </w:r>
      <w:r w:rsidR="00C43AA1" w:rsidRPr="00DC00C2">
        <w:rPr>
          <w:rFonts w:ascii="Arial" w:hAnsi="Arial" w:cs="Arial"/>
          <w:sz w:val="24"/>
        </w:rPr>
        <w:t>s</w:t>
      </w:r>
      <w:r w:rsidR="00527BFA" w:rsidRPr="00DC00C2">
        <w:rPr>
          <w:rFonts w:ascii="Arial" w:hAnsi="Arial" w:cs="Arial"/>
          <w:sz w:val="24"/>
        </w:rPr>
        <w:t xml:space="preserve"> lawfully delegated its power could</w:t>
      </w:r>
      <w:r w:rsidR="00E83523">
        <w:rPr>
          <w:rFonts w:ascii="Arial" w:hAnsi="Arial" w:cs="Arial"/>
          <w:sz w:val="24"/>
        </w:rPr>
        <w:t>,</w:t>
      </w:r>
      <w:r w:rsidR="00C36071">
        <w:rPr>
          <w:rFonts w:ascii="Arial" w:hAnsi="Arial" w:cs="Arial"/>
          <w:sz w:val="24"/>
        </w:rPr>
        <w:t xml:space="preserve"> pursuant to the award of the t</w:t>
      </w:r>
      <w:r w:rsidR="00527BFA" w:rsidRPr="00DC00C2">
        <w:rPr>
          <w:rFonts w:ascii="Arial" w:hAnsi="Arial" w:cs="Arial"/>
          <w:sz w:val="24"/>
        </w:rPr>
        <w:t>ender</w:t>
      </w:r>
      <w:r w:rsidR="00E83523">
        <w:rPr>
          <w:rFonts w:ascii="Arial" w:hAnsi="Arial" w:cs="Arial"/>
          <w:sz w:val="24"/>
          <w:lang w:val="en-US"/>
        </w:rPr>
        <w:t>,</w:t>
      </w:r>
      <w:r w:rsidR="00527BFA" w:rsidRPr="00DC00C2">
        <w:rPr>
          <w:rFonts w:ascii="Arial" w:hAnsi="Arial" w:cs="Arial"/>
          <w:sz w:val="24"/>
          <w:lang w:val="en-US"/>
        </w:rPr>
        <w:t xml:space="preserve"> </w:t>
      </w:r>
      <w:r w:rsidR="00527BFA" w:rsidRPr="00DC00C2">
        <w:rPr>
          <w:rFonts w:ascii="Arial" w:hAnsi="Arial" w:cs="Arial"/>
          <w:sz w:val="24"/>
        </w:rPr>
        <w:t>contract or conclude an agreement on behalf of the State.</w:t>
      </w:r>
    </w:p>
    <w:p w14:paraId="5DC1B10D" w14:textId="77777777" w:rsidR="000C0265" w:rsidRPr="00302B19" w:rsidRDefault="000C0265" w:rsidP="000A47E1">
      <w:pPr>
        <w:pStyle w:val="NoSpacing"/>
        <w:spacing w:line="480" w:lineRule="auto"/>
        <w:jc w:val="both"/>
        <w:rPr>
          <w:rFonts w:ascii="Arial" w:hAnsi="Arial" w:cs="Arial"/>
          <w:sz w:val="24"/>
        </w:rPr>
      </w:pPr>
    </w:p>
    <w:p w14:paraId="6AB21E34" w14:textId="77777777" w:rsidR="00DC00C2" w:rsidRPr="00DC00C2" w:rsidRDefault="000C0265" w:rsidP="000C0265">
      <w:pPr>
        <w:pStyle w:val="NoSpacing"/>
        <w:spacing w:line="480" w:lineRule="auto"/>
        <w:jc w:val="both"/>
        <w:rPr>
          <w:rFonts w:ascii="Arial" w:hAnsi="Arial" w:cs="Arial"/>
          <w:sz w:val="24"/>
        </w:rPr>
      </w:pPr>
      <w:r>
        <w:rPr>
          <w:rFonts w:ascii="Arial" w:hAnsi="Arial" w:cs="Arial"/>
          <w:bCs/>
          <w:sz w:val="24"/>
        </w:rPr>
        <w:t>[65]</w:t>
      </w:r>
      <w:r>
        <w:rPr>
          <w:rFonts w:ascii="Arial" w:hAnsi="Arial" w:cs="Arial"/>
          <w:bCs/>
          <w:sz w:val="24"/>
        </w:rPr>
        <w:tab/>
      </w:r>
      <w:r w:rsidR="00EB0052" w:rsidRPr="00DC00C2">
        <w:rPr>
          <w:rFonts w:ascii="Arial" w:hAnsi="Arial" w:cs="Arial"/>
          <w:bCs/>
          <w:sz w:val="24"/>
        </w:rPr>
        <w:t xml:space="preserve">The reliance by </w:t>
      </w:r>
      <w:r w:rsidR="006D5CD5" w:rsidRPr="00DC00C2">
        <w:rPr>
          <w:rFonts w:ascii="Arial" w:hAnsi="Arial" w:cs="Arial"/>
          <w:bCs/>
          <w:sz w:val="24"/>
        </w:rPr>
        <w:t xml:space="preserve">Mr </w:t>
      </w:r>
      <w:proofErr w:type="spellStart"/>
      <w:r w:rsidR="006D5CD5" w:rsidRPr="00DC00C2">
        <w:rPr>
          <w:rFonts w:ascii="Arial" w:hAnsi="Arial" w:cs="Arial"/>
          <w:bCs/>
          <w:sz w:val="24"/>
        </w:rPr>
        <w:t>Tötemeyer</w:t>
      </w:r>
      <w:proofErr w:type="spellEnd"/>
      <w:r w:rsidR="006D5CD5" w:rsidRPr="00DC00C2">
        <w:rPr>
          <w:rFonts w:ascii="Arial" w:hAnsi="Arial" w:cs="Arial"/>
          <w:bCs/>
          <w:sz w:val="24"/>
        </w:rPr>
        <w:t xml:space="preserve"> </w:t>
      </w:r>
      <w:r w:rsidR="00EB0052" w:rsidRPr="00DC00C2">
        <w:rPr>
          <w:rFonts w:ascii="Arial" w:hAnsi="Arial" w:cs="Arial"/>
          <w:bCs/>
          <w:sz w:val="24"/>
        </w:rPr>
        <w:t>on s 18(3) of the Act can also not</w:t>
      </w:r>
      <w:r w:rsidR="00C43AA1" w:rsidRPr="00DC00C2">
        <w:rPr>
          <w:rFonts w:ascii="Arial" w:hAnsi="Arial" w:cs="Arial"/>
          <w:bCs/>
          <w:sz w:val="24"/>
        </w:rPr>
        <w:t xml:space="preserve"> assist or rescue the appellant</w:t>
      </w:r>
      <w:r w:rsidR="00EB0052" w:rsidRPr="00DC00C2">
        <w:rPr>
          <w:rFonts w:ascii="Arial" w:hAnsi="Arial" w:cs="Arial"/>
          <w:bCs/>
          <w:sz w:val="24"/>
        </w:rPr>
        <w:t>. I say so because, in my view, s</w:t>
      </w:r>
      <w:r w:rsidR="00E83523">
        <w:rPr>
          <w:rFonts w:ascii="Arial" w:hAnsi="Arial" w:cs="Arial"/>
          <w:bCs/>
          <w:sz w:val="24"/>
        </w:rPr>
        <w:t xml:space="preserve"> 18</w:t>
      </w:r>
      <w:r w:rsidR="00EB0052" w:rsidRPr="00DC00C2">
        <w:rPr>
          <w:rFonts w:ascii="Arial" w:hAnsi="Arial" w:cs="Arial"/>
          <w:bCs/>
          <w:sz w:val="24"/>
        </w:rPr>
        <w:t xml:space="preserve">(3) </w:t>
      </w:r>
      <w:r w:rsidR="006D5CD5" w:rsidRPr="00DC00C2">
        <w:rPr>
          <w:rFonts w:ascii="Arial" w:hAnsi="Arial" w:cs="Arial"/>
          <w:bCs/>
          <w:sz w:val="24"/>
        </w:rPr>
        <w:t>does not deal with the d</w:t>
      </w:r>
      <w:r w:rsidR="00E83523">
        <w:rPr>
          <w:rFonts w:ascii="Arial" w:hAnsi="Arial" w:cs="Arial"/>
          <w:bCs/>
          <w:sz w:val="24"/>
        </w:rPr>
        <w:t>elegation of the powers of the b</w:t>
      </w:r>
      <w:r w:rsidR="006D5CD5" w:rsidRPr="00DC00C2">
        <w:rPr>
          <w:rFonts w:ascii="Arial" w:hAnsi="Arial" w:cs="Arial"/>
          <w:bCs/>
          <w:sz w:val="24"/>
        </w:rPr>
        <w:t>oard</w:t>
      </w:r>
      <w:r w:rsidR="00E83523">
        <w:rPr>
          <w:rFonts w:ascii="Arial" w:hAnsi="Arial" w:cs="Arial"/>
          <w:bCs/>
          <w:sz w:val="24"/>
        </w:rPr>
        <w:t>,</w:t>
      </w:r>
      <w:r w:rsidR="006D5CD5" w:rsidRPr="00DC00C2">
        <w:rPr>
          <w:rFonts w:ascii="Arial" w:hAnsi="Arial" w:cs="Arial"/>
          <w:bCs/>
          <w:sz w:val="24"/>
        </w:rPr>
        <w:t xml:space="preserve"> but only provides for the persons who must perform the administrative functions of the </w:t>
      </w:r>
      <w:r w:rsidR="00E83523">
        <w:rPr>
          <w:rFonts w:ascii="Arial" w:hAnsi="Arial" w:cs="Arial"/>
          <w:bCs/>
          <w:sz w:val="24"/>
        </w:rPr>
        <w:t>b</w:t>
      </w:r>
      <w:r w:rsidR="00EB0052" w:rsidRPr="00DC00C2">
        <w:rPr>
          <w:rFonts w:ascii="Arial" w:hAnsi="Arial" w:cs="Arial"/>
          <w:bCs/>
          <w:sz w:val="24"/>
        </w:rPr>
        <w:t>oard. As I have indicated earlier the</w:t>
      </w:r>
      <w:r w:rsidR="000F0B06">
        <w:rPr>
          <w:rFonts w:ascii="Arial" w:hAnsi="Arial" w:cs="Arial"/>
          <w:bCs/>
          <w:sz w:val="24"/>
        </w:rPr>
        <w:t xml:space="preserve"> contention by Mr </w:t>
      </w:r>
      <w:proofErr w:type="spellStart"/>
      <w:r w:rsidR="000F0B06" w:rsidRPr="00DC00C2">
        <w:rPr>
          <w:rFonts w:ascii="Arial" w:hAnsi="Arial" w:cs="Arial"/>
          <w:bCs/>
          <w:sz w:val="24"/>
        </w:rPr>
        <w:t>Tötemeyer</w:t>
      </w:r>
      <w:proofErr w:type="spellEnd"/>
      <w:r w:rsidR="000F0B06">
        <w:rPr>
          <w:rFonts w:ascii="Arial" w:hAnsi="Arial" w:cs="Arial"/>
          <w:bCs/>
          <w:sz w:val="24"/>
        </w:rPr>
        <w:t xml:space="preserve"> that the board delegated its powers to the</w:t>
      </w:r>
      <w:r w:rsidR="00EB0052" w:rsidRPr="00DC00C2">
        <w:rPr>
          <w:rFonts w:ascii="Arial" w:hAnsi="Arial" w:cs="Arial"/>
          <w:bCs/>
          <w:sz w:val="24"/>
        </w:rPr>
        <w:t xml:space="preserve"> Permanent Secretary </w:t>
      </w:r>
      <w:r w:rsidR="000F0B06">
        <w:rPr>
          <w:rFonts w:ascii="Arial" w:hAnsi="Arial" w:cs="Arial"/>
          <w:bCs/>
          <w:sz w:val="24"/>
        </w:rPr>
        <w:t xml:space="preserve">of the Office of the Prime Minister is not borne out by the facts of this case. The Permanent Secretary </w:t>
      </w:r>
      <w:r w:rsidR="00EB0052" w:rsidRPr="00DC00C2">
        <w:rPr>
          <w:rFonts w:ascii="Arial" w:hAnsi="Arial" w:cs="Arial"/>
          <w:bCs/>
          <w:sz w:val="24"/>
        </w:rPr>
        <w:t xml:space="preserve">did not sign </w:t>
      </w:r>
      <w:r w:rsidR="00E83523">
        <w:rPr>
          <w:rFonts w:ascii="Arial" w:hAnsi="Arial" w:cs="Arial"/>
          <w:bCs/>
          <w:sz w:val="24"/>
        </w:rPr>
        <w:t xml:space="preserve">the agreement on behalf of the </w:t>
      </w:r>
      <w:proofErr w:type="gramStart"/>
      <w:r w:rsidR="00E83523">
        <w:rPr>
          <w:rFonts w:ascii="Arial" w:hAnsi="Arial" w:cs="Arial"/>
          <w:bCs/>
          <w:sz w:val="24"/>
        </w:rPr>
        <w:t>b</w:t>
      </w:r>
      <w:r w:rsidR="00EB0052" w:rsidRPr="00DC00C2">
        <w:rPr>
          <w:rFonts w:ascii="Arial" w:hAnsi="Arial" w:cs="Arial"/>
          <w:bCs/>
          <w:sz w:val="24"/>
        </w:rPr>
        <w:t>oard</w:t>
      </w:r>
      <w:proofErr w:type="gramEnd"/>
      <w:r w:rsidR="00EB0052" w:rsidRPr="00DC00C2">
        <w:rPr>
          <w:rFonts w:ascii="Arial" w:hAnsi="Arial" w:cs="Arial"/>
          <w:bCs/>
          <w:sz w:val="24"/>
        </w:rPr>
        <w:t xml:space="preserve"> but she signed it as a representative of the Office of the Prime Minister</w:t>
      </w:r>
      <w:r w:rsidR="006D5CD5" w:rsidRPr="00DC00C2">
        <w:rPr>
          <w:rFonts w:ascii="Arial" w:hAnsi="Arial" w:cs="Arial"/>
          <w:bCs/>
          <w:sz w:val="24"/>
        </w:rPr>
        <w:t>.</w:t>
      </w:r>
    </w:p>
    <w:p w14:paraId="4E3DB2F7" w14:textId="77777777" w:rsidR="00DC00C2" w:rsidRPr="00E83523" w:rsidRDefault="00DC00C2" w:rsidP="00E83523">
      <w:pPr>
        <w:spacing w:line="480" w:lineRule="auto"/>
        <w:rPr>
          <w:rFonts w:ascii="Arial" w:hAnsi="Arial" w:cs="Arial"/>
          <w:sz w:val="24"/>
          <w:szCs w:val="24"/>
        </w:rPr>
      </w:pPr>
    </w:p>
    <w:p w14:paraId="30079429" w14:textId="77777777" w:rsidR="00DC00C2" w:rsidRPr="00275F75" w:rsidRDefault="000F0B06" w:rsidP="000F0B06">
      <w:pPr>
        <w:pStyle w:val="NoSpacing"/>
        <w:spacing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457DE" w:rsidRPr="00DC00C2">
        <w:rPr>
          <w:rFonts w:ascii="Arial" w:hAnsi="Arial" w:cs="Arial"/>
          <w:sz w:val="24"/>
          <w:szCs w:val="24"/>
        </w:rPr>
        <w:t xml:space="preserve">Mr </w:t>
      </w:r>
      <w:proofErr w:type="spellStart"/>
      <w:r w:rsidR="000457DE" w:rsidRPr="00DC00C2">
        <w:rPr>
          <w:rFonts w:ascii="Arial" w:hAnsi="Arial" w:cs="Arial"/>
          <w:sz w:val="24"/>
          <w:szCs w:val="24"/>
        </w:rPr>
        <w:t>Tötemeyer</w:t>
      </w:r>
      <w:r w:rsidR="00484E86" w:rsidRPr="00DC00C2">
        <w:rPr>
          <w:rFonts w:ascii="Arial" w:hAnsi="Arial" w:cs="Arial"/>
          <w:sz w:val="24"/>
          <w:szCs w:val="24"/>
        </w:rPr>
        <w:t>’s</w:t>
      </w:r>
      <w:proofErr w:type="spellEnd"/>
      <w:r w:rsidR="000457DE" w:rsidRPr="00DC00C2">
        <w:rPr>
          <w:rFonts w:ascii="Arial" w:hAnsi="Arial" w:cs="Arial"/>
          <w:sz w:val="24"/>
          <w:szCs w:val="24"/>
        </w:rPr>
        <w:t xml:space="preserve"> reliance on the </w:t>
      </w:r>
      <w:proofErr w:type="spellStart"/>
      <w:r w:rsidR="000457DE" w:rsidRPr="00DC00C2">
        <w:rPr>
          <w:rFonts w:ascii="Arial" w:hAnsi="Arial" w:cs="Arial"/>
          <w:i/>
          <w:sz w:val="24"/>
          <w:szCs w:val="24"/>
        </w:rPr>
        <w:t>Turquand</w:t>
      </w:r>
      <w:proofErr w:type="spellEnd"/>
      <w:r w:rsidR="000457DE" w:rsidRPr="00DC00C2">
        <w:rPr>
          <w:rFonts w:ascii="Arial" w:hAnsi="Arial" w:cs="Arial"/>
          <w:sz w:val="24"/>
          <w:szCs w:val="24"/>
        </w:rPr>
        <w:t xml:space="preserve"> rule is in my view </w:t>
      </w:r>
      <w:r w:rsidR="00EB0052" w:rsidRPr="00DC00C2">
        <w:rPr>
          <w:rFonts w:ascii="Arial" w:hAnsi="Arial" w:cs="Arial"/>
          <w:sz w:val="24"/>
          <w:szCs w:val="24"/>
        </w:rPr>
        <w:t xml:space="preserve">equally </w:t>
      </w:r>
      <w:r w:rsidR="000457DE" w:rsidRPr="00DC00C2">
        <w:rPr>
          <w:rFonts w:ascii="Arial" w:hAnsi="Arial" w:cs="Arial"/>
          <w:sz w:val="24"/>
          <w:szCs w:val="24"/>
        </w:rPr>
        <w:t xml:space="preserve">misplaced. I say so </w:t>
      </w:r>
      <w:proofErr w:type="gramStart"/>
      <w:r w:rsidR="00EB0052" w:rsidRPr="00DC00C2">
        <w:rPr>
          <w:rFonts w:ascii="Arial" w:hAnsi="Arial" w:cs="Arial"/>
          <w:sz w:val="24"/>
          <w:szCs w:val="24"/>
        </w:rPr>
        <w:t>for the reason that</w:t>
      </w:r>
      <w:proofErr w:type="gramEnd"/>
      <w:r w:rsidR="00EB0052" w:rsidRPr="00DC00C2">
        <w:rPr>
          <w:rFonts w:ascii="Arial" w:hAnsi="Arial" w:cs="Arial"/>
          <w:sz w:val="24"/>
          <w:szCs w:val="24"/>
        </w:rPr>
        <w:t xml:space="preserve">, in my view, the </w:t>
      </w:r>
      <w:proofErr w:type="spellStart"/>
      <w:r w:rsidR="00EB0052" w:rsidRPr="00DC00C2">
        <w:rPr>
          <w:rFonts w:ascii="Arial" w:hAnsi="Arial" w:cs="Arial"/>
          <w:i/>
          <w:sz w:val="24"/>
          <w:szCs w:val="24"/>
          <w:lang w:val="en-US"/>
        </w:rPr>
        <w:t>Turquand</w:t>
      </w:r>
      <w:proofErr w:type="spellEnd"/>
      <w:r w:rsidR="00EB0052" w:rsidRPr="00DC00C2">
        <w:rPr>
          <w:rFonts w:ascii="Arial" w:hAnsi="Arial" w:cs="Arial"/>
          <w:i/>
          <w:sz w:val="24"/>
          <w:szCs w:val="24"/>
          <w:lang w:val="en-US"/>
        </w:rPr>
        <w:t xml:space="preserve"> </w:t>
      </w:r>
      <w:r w:rsidR="00EB0052" w:rsidRPr="00DC00C2">
        <w:rPr>
          <w:rFonts w:ascii="Arial" w:hAnsi="Arial" w:cs="Arial"/>
          <w:sz w:val="24"/>
          <w:szCs w:val="24"/>
          <w:lang w:val="en-US"/>
        </w:rPr>
        <w:t>rule</w:t>
      </w:r>
      <w:r w:rsidR="00EB0052" w:rsidRPr="00DC00C2">
        <w:rPr>
          <w:rFonts w:ascii="Arial" w:hAnsi="Arial" w:cs="Arial"/>
          <w:sz w:val="24"/>
          <w:szCs w:val="24"/>
        </w:rPr>
        <w:t xml:space="preserve"> does not arise </w:t>
      </w:r>
      <w:r w:rsidR="00EB0052" w:rsidRPr="00DC00C2">
        <w:rPr>
          <w:rFonts w:ascii="Arial" w:hAnsi="Arial" w:cs="Arial"/>
          <w:sz w:val="24"/>
          <w:szCs w:val="24"/>
        </w:rPr>
        <w:lastRenderedPageBreak/>
        <w:t>on the facts of this matter</w:t>
      </w:r>
      <w:r w:rsidR="00EB0052" w:rsidRPr="00275F75">
        <w:rPr>
          <w:rFonts w:ascii="Arial" w:hAnsi="Arial" w:cs="Arial"/>
          <w:sz w:val="24"/>
          <w:szCs w:val="24"/>
        </w:rPr>
        <w:t xml:space="preserve">. In </w:t>
      </w:r>
      <w:r w:rsidR="00275F75" w:rsidRPr="00275F75">
        <w:rPr>
          <w:rFonts w:ascii="Arial" w:hAnsi="Arial" w:cs="Arial"/>
          <w:i/>
          <w:sz w:val="24"/>
          <w:szCs w:val="24"/>
        </w:rPr>
        <w:t>River View Estate CC v DTA of Namibia</w:t>
      </w:r>
      <w:r w:rsidR="00275F75" w:rsidRPr="00275F75">
        <w:rPr>
          <w:rFonts w:ascii="Arial" w:hAnsi="Arial" w:cs="Arial"/>
          <w:sz w:val="24"/>
          <w:szCs w:val="24"/>
        </w:rPr>
        <w:t xml:space="preserve"> </w:t>
      </w:r>
      <w:r w:rsidR="00065251">
        <w:rPr>
          <w:rFonts w:ascii="Arial" w:hAnsi="Arial" w:cs="Arial"/>
          <w:sz w:val="24"/>
          <w:szCs w:val="24"/>
        </w:rPr>
        <w:t>(SA 85/</w:t>
      </w:r>
      <w:r w:rsidR="00275F75">
        <w:rPr>
          <w:rFonts w:ascii="Arial" w:hAnsi="Arial" w:cs="Arial"/>
          <w:sz w:val="24"/>
          <w:szCs w:val="24"/>
        </w:rPr>
        <w:t xml:space="preserve">2019) [2022] NASC </w:t>
      </w:r>
      <w:r w:rsidR="00275F75" w:rsidRPr="00275F75">
        <w:rPr>
          <w:rFonts w:ascii="Arial" w:hAnsi="Arial" w:cs="Arial"/>
          <w:sz w:val="24"/>
          <w:szCs w:val="24"/>
        </w:rPr>
        <w:t xml:space="preserve">(30 June 2022), </w:t>
      </w:r>
      <w:proofErr w:type="spellStart"/>
      <w:r w:rsidR="00C62179" w:rsidRPr="00275F75">
        <w:rPr>
          <w:rFonts w:ascii="Arial" w:hAnsi="Arial" w:cs="Arial"/>
          <w:color w:val="000000" w:themeColor="text1"/>
          <w:sz w:val="24"/>
          <w:szCs w:val="24"/>
        </w:rPr>
        <w:t>Damaseb</w:t>
      </w:r>
      <w:proofErr w:type="spellEnd"/>
      <w:r w:rsidR="00C62179" w:rsidRPr="00275F75">
        <w:rPr>
          <w:rFonts w:ascii="Arial" w:hAnsi="Arial" w:cs="Arial"/>
          <w:color w:val="000000" w:themeColor="text1"/>
          <w:sz w:val="24"/>
          <w:szCs w:val="24"/>
        </w:rPr>
        <w:t xml:space="preserve"> DCJ state</w:t>
      </w:r>
      <w:r w:rsidR="00F56278" w:rsidRPr="00275F75">
        <w:rPr>
          <w:rFonts w:ascii="Arial" w:hAnsi="Arial" w:cs="Arial"/>
          <w:color w:val="000000" w:themeColor="text1"/>
          <w:sz w:val="24"/>
          <w:szCs w:val="24"/>
        </w:rPr>
        <w:t>d</w:t>
      </w:r>
      <w:r w:rsidR="00C62179" w:rsidRPr="00275F75">
        <w:rPr>
          <w:rFonts w:ascii="Arial" w:hAnsi="Arial" w:cs="Arial"/>
          <w:color w:val="000000" w:themeColor="text1"/>
          <w:sz w:val="24"/>
          <w:szCs w:val="24"/>
        </w:rPr>
        <w:t xml:space="preserve"> </w:t>
      </w:r>
      <w:r w:rsidR="002001FF" w:rsidRPr="00275F75">
        <w:rPr>
          <w:rFonts w:ascii="Arial" w:hAnsi="Arial" w:cs="Arial"/>
          <w:color w:val="000000" w:themeColor="text1"/>
          <w:sz w:val="24"/>
          <w:szCs w:val="24"/>
        </w:rPr>
        <w:t>that:</w:t>
      </w:r>
      <w:r w:rsidR="00065251" w:rsidRPr="00275F75">
        <w:rPr>
          <w:rStyle w:val="FootnoteReference"/>
          <w:rFonts w:ascii="Arial" w:hAnsi="Arial" w:cs="Arial"/>
          <w:color w:val="000000" w:themeColor="text1"/>
          <w:sz w:val="24"/>
          <w:szCs w:val="24"/>
        </w:rPr>
        <w:footnoteReference w:id="22"/>
      </w:r>
    </w:p>
    <w:p w14:paraId="2DCBA7FC" w14:textId="77777777" w:rsidR="00DC00C2" w:rsidRPr="00275F75" w:rsidRDefault="00DC00C2" w:rsidP="00DC00C2">
      <w:pPr>
        <w:spacing w:line="480" w:lineRule="auto"/>
        <w:jc w:val="both"/>
        <w:rPr>
          <w:rFonts w:ascii="Arial" w:hAnsi="Arial" w:cs="Arial"/>
          <w:color w:val="000000" w:themeColor="text1"/>
          <w:sz w:val="24"/>
          <w:szCs w:val="24"/>
        </w:rPr>
      </w:pPr>
    </w:p>
    <w:p w14:paraId="78F84623" w14:textId="77777777" w:rsidR="00DC00C2" w:rsidRPr="00DC00C2" w:rsidRDefault="00DC00C2" w:rsidP="00DC00C2">
      <w:pPr>
        <w:spacing w:line="360" w:lineRule="auto"/>
        <w:ind w:left="720"/>
        <w:jc w:val="both"/>
        <w:rPr>
          <w:rFonts w:ascii="Arial" w:hAnsi="Arial" w:cs="Arial"/>
          <w:shd w:val="clear" w:color="auto" w:fill="FFFFFF"/>
        </w:rPr>
      </w:pPr>
      <w:r>
        <w:rPr>
          <w:rFonts w:ascii="Arial" w:hAnsi="Arial" w:cs="Arial"/>
          <w:shd w:val="clear" w:color="auto" w:fill="FFFFFF"/>
        </w:rPr>
        <w:t xml:space="preserve">‘. . . </w:t>
      </w:r>
      <w:r w:rsidRPr="007645D7">
        <w:rPr>
          <w:rFonts w:ascii="Arial" w:hAnsi="Arial" w:cs="Arial"/>
          <w:shd w:val="clear" w:color="auto" w:fill="FFFFFF"/>
        </w:rPr>
        <w:t xml:space="preserve">The rule [that is the </w:t>
      </w:r>
      <w:proofErr w:type="spellStart"/>
      <w:r w:rsidRPr="007645D7">
        <w:rPr>
          <w:rFonts w:ascii="Arial" w:hAnsi="Arial" w:cs="Arial"/>
          <w:i/>
          <w:lang w:val="en-US"/>
        </w:rPr>
        <w:t>Turquand</w:t>
      </w:r>
      <w:proofErr w:type="spellEnd"/>
      <w:r w:rsidRPr="007645D7">
        <w:rPr>
          <w:rFonts w:ascii="Arial" w:hAnsi="Arial" w:cs="Arial"/>
          <w:i/>
          <w:lang w:val="en-US"/>
        </w:rPr>
        <w:t xml:space="preserve"> </w:t>
      </w:r>
      <w:r w:rsidRPr="007645D7">
        <w:rPr>
          <w:rFonts w:ascii="Arial" w:hAnsi="Arial" w:cs="Arial"/>
          <w:lang w:val="en-US"/>
        </w:rPr>
        <w:t>rule</w:t>
      </w:r>
      <w:r w:rsidRPr="007645D7">
        <w:rPr>
          <w:rFonts w:ascii="Arial" w:hAnsi="Arial" w:cs="Arial"/>
          <w:shd w:val="clear" w:color="auto" w:fill="FFFFFF"/>
        </w:rPr>
        <w:t xml:space="preserve">] “cannot be used to create authority where none otherwise exists”; and it “only has scope for operation if it can be established independently that the person purporting to represent the company had actual or ostensible authority to </w:t>
      </w:r>
      <w:proofErr w:type="gramStart"/>
      <w:r w:rsidRPr="007645D7">
        <w:rPr>
          <w:rFonts w:ascii="Arial" w:hAnsi="Arial" w:cs="Arial"/>
          <w:shd w:val="clear" w:color="auto" w:fill="FFFFFF"/>
        </w:rPr>
        <w:t>enter into</w:t>
      </w:r>
      <w:proofErr w:type="gramEnd"/>
      <w:r w:rsidRPr="007645D7">
        <w:rPr>
          <w:rFonts w:ascii="Arial" w:hAnsi="Arial" w:cs="Arial"/>
          <w:shd w:val="clear" w:color="auto" w:fill="FFFFFF"/>
        </w:rPr>
        <w:t xml:space="preserve"> the transaction. The rule is thus dependent upon the operation of normal agency principles; it operates only where on ordinary principles the person purporting to act on behalf of the company is acting within the scope of his actual or ostensible authority</w:t>
      </w:r>
      <w:r w:rsidR="00C36071">
        <w:rPr>
          <w:rFonts w:ascii="Arial" w:hAnsi="Arial" w:cs="Arial"/>
          <w:shd w:val="clear" w:color="auto" w:fill="FFFFFF"/>
        </w:rPr>
        <w:t>”</w:t>
      </w:r>
      <w:r w:rsidRPr="007645D7">
        <w:rPr>
          <w:rFonts w:ascii="Arial" w:hAnsi="Arial" w:cs="Arial"/>
          <w:shd w:val="clear" w:color="auto" w:fill="FFFFFF"/>
        </w:rPr>
        <w:t>.</w:t>
      </w:r>
      <w:r>
        <w:rPr>
          <w:rFonts w:ascii="Arial" w:hAnsi="Arial" w:cs="Arial"/>
          <w:shd w:val="clear" w:color="auto" w:fill="FFFFFF"/>
        </w:rPr>
        <w:t>’</w:t>
      </w:r>
    </w:p>
    <w:p w14:paraId="67A79384" w14:textId="77777777" w:rsidR="00DC00C2" w:rsidRPr="00CA06A8" w:rsidRDefault="00DC00C2" w:rsidP="00CA06A8">
      <w:pPr>
        <w:spacing w:line="480" w:lineRule="auto"/>
        <w:rPr>
          <w:rFonts w:ascii="Arial" w:hAnsi="Arial" w:cs="Arial"/>
          <w:color w:val="000000" w:themeColor="text1"/>
          <w:sz w:val="24"/>
        </w:rPr>
      </w:pPr>
    </w:p>
    <w:p w14:paraId="22D310E3" w14:textId="77777777" w:rsidR="00DC00C2" w:rsidRPr="00DC00C2" w:rsidRDefault="000F0B06" w:rsidP="000F0B06">
      <w:pPr>
        <w:pStyle w:val="NoSpacing"/>
        <w:spacing w:line="480" w:lineRule="auto"/>
        <w:jc w:val="both"/>
        <w:rPr>
          <w:rFonts w:ascii="Arial" w:hAnsi="Arial" w:cs="Arial"/>
          <w:sz w:val="24"/>
        </w:rPr>
      </w:pPr>
      <w:r>
        <w:rPr>
          <w:rFonts w:ascii="Arial" w:hAnsi="Arial" w:cs="Arial"/>
          <w:color w:val="000000" w:themeColor="text1"/>
          <w:sz w:val="24"/>
        </w:rPr>
        <w:t>[67]</w:t>
      </w:r>
      <w:r>
        <w:rPr>
          <w:rFonts w:ascii="Arial" w:hAnsi="Arial" w:cs="Arial"/>
          <w:color w:val="000000" w:themeColor="text1"/>
          <w:sz w:val="24"/>
        </w:rPr>
        <w:tab/>
      </w:r>
      <w:r w:rsidR="000457DE" w:rsidRPr="00DC00C2">
        <w:rPr>
          <w:rFonts w:ascii="Arial" w:hAnsi="Arial" w:cs="Arial"/>
          <w:color w:val="000000" w:themeColor="text1"/>
          <w:sz w:val="24"/>
        </w:rPr>
        <w:t xml:space="preserve">In the present </w:t>
      </w:r>
      <w:r w:rsidR="004124AD" w:rsidRPr="00DC00C2">
        <w:rPr>
          <w:rFonts w:ascii="Arial" w:hAnsi="Arial" w:cs="Arial"/>
          <w:color w:val="000000" w:themeColor="text1"/>
          <w:sz w:val="24"/>
        </w:rPr>
        <w:t>matter</w:t>
      </w:r>
      <w:r w:rsidR="00C36071">
        <w:rPr>
          <w:rFonts w:ascii="Arial" w:hAnsi="Arial" w:cs="Arial"/>
          <w:color w:val="000000" w:themeColor="text1"/>
          <w:sz w:val="24"/>
        </w:rPr>
        <w:t>,</w:t>
      </w:r>
      <w:r w:rsidR="004124AD" w:rsidRPr="00DC00C2">
        <w:rPr>
          <w:rFonts w:ascii="Arial" w:hAnsi="Arial" w:cs="Arial"/>
          <w:color w:val="000000" w:themeColor="text1"/>
          <w:sz w:val="24"/>
        </w:rPr>
        <w:t xml:space="preserve"> the Act </w:t>
      </w:r>
      <w:r w:rsidR="00C62179" w:rsidRPr="00DC00C2">
        <w:rPr>
          <w:rFonts w:ascii="Arial" w:hAnsi="Arial" w:cs="Arial"/>
          <w:color w:val="000000" w:themeColor="text1"/>
          <w:sz w:val="24"/>
        </w:rPr>
        <w:t>does not empower</w:t>
      </w:r>
      <w:r w:rsidR="004124AD" w:rsidRPr="00DC00C2">
        <w:rPr>
          <w:rFonts w:ascii="Arial" w:hAnsi="Arial" w:cs="Arial"/>
          <w:color w:val="000000" w:themeColor="text1"/>
          <w:sz w:val="24"/>
        </w:rPr>
        <w:t xml:space="preserve"> the </w:t>
      </w:r>
      <w:r w:rsidR="00C62179" w:rsidRPr="00DC00C2">
        <w:rPr>
          <w:rFonts w:ascii="Arial" w:hAnsi="Arial" w:cs="Arial"/>
          <w:color w:val="000000" w:themeColor="text1"/>
          <w:sz w:val="24"/>
        </w:rPr>
        <w:t xml:space="preserve">Office of the Prime Minister </w:t>
      </w:r>
      <w:r w:rsidR="004124AD" w:rsidRPr="00DC00C2">
        <w:rPr>
          <w:rFonts w:ascii="Arial" w:hAnsi="Arial" w:cs="Arial"/>
          <w:color w:val="000000" w:themeColor="text1"/>
          <w:sz w:val="24"/>
        </w:rPr>
        <w:t xml:space="preserve">to conclude agreements with successful tenderers. It is also so that the Act </w:t>
      </w:r>
      <w:r w:rsidR="00C62179" w:rsidRPr="00DC00C2">
        <w:rPr>
          <w:rFonts w:ascii="Arial" w:hAnsi="Arial" w:cs="Arial"/>
          <w:color w:val="000000" w:themeColor="text1"/>
          <w:sz w:val="24"/>
        </w:rPr>
        <w:t xml:space="preserve">does not </w:t>
      </w:r>
      <w:r w:rsidR="00E83523">
        <w:rPr>
          <w:rFonts w:ascii="Arial" w:hAnsi="Arial" w:cs="Arial"/>
          <w:color w:val="000000" w:themeColor="text1"/>
          <w:sz w:val="24"/>
        </w:rPr>
        <w:t>empower the b</w:t>
      </w:r>
      <w:r w:rsidR="004124AD" w:rsidRPr="00DC00C2">
        <w:rPr>
          <w:rFonts w:ascii="Arial" w:hAnsi="Arial" w:cs="Arial"/>
          <w:color w:val="000000" w:themeColor="text1"/>
          <w:sz w:val="24"/>
        </w:rPr>
        <w:t xml:space="preserve">oard to delegate its power </w:t>
      </w:r>
      <w:r w:rsidR="00EA5656" w:rsidRPr="00DC00C2">
        <w:rPr>
          <w:rFonts w:ascii="Arial" w:hAnsi="Arial" w:cs="Arial"/>
          <w:color w:val="000000" w:themeColor="text1"/>
          <w:sz w:val="24"/>
        </w:rPr>
        <w:t xml:space="preserve">to </w:t>
      </w:r>
      <w:r w:rsidR="00C62179" w:rsidRPr="00DC00C2">
        <w:rPr>
          <w:rFonts w:ascii="Arial" w:hAnsi="Arial" w:cs="Arial"/>
          <w:color w:val="000000" w:themeColor="text1"/>
          <w:sz w:val="24"/>
        </w:rPr>
        <w:t>the Office of the Prime Minister</w:t>
      </w:r>
      <w:r w:rsidR="004124AD" w:rsidRPr="00DC00C2">
        <w:rPr>
          <w:rFonts w:ascii="Arial" w:hAnsi="Arial" w:cs="Arial"/>
          <w:color w:val="000000" w:themeColor="text1"/>
          <w:sz w:val="24"/>
        </w:rPr>
        <w:t>.</w:t>
      </w:r>
      <w:r w:rsidR="00F97F44" w:rsidRPr="00DC00C2">
        <w:rPr>
          <w:rFonts w:ascii="Arial" w:hAnsi="Arial" w:cs="Arial"/>
          <w:color w:val="000000" w:themeColor="text1"/>
          <w:sz w:val="24"/>
        </w:rPr>
        <w:t xml:space="preserve"> It is further so</w:t>
      </w:r>
      <w:r w:rsidR="005F56B0" w:rsidRPr="00DC00C2">
        <w:rPr>
          <w:rFonts w:ascii="Arial" w:hAnsi="Arial" w:cs="Arial"/>
          <w:color w:val="000000" w:themeColor="text1"/>
          <w:sz w:val="24"/>
        </w:rPr>
        <w:t xml:space="preserve">, as I have indicated earlier </w:t>
      </w:r>
      <w:r w:rsidR="00F97F44" w:rsidRPr="00DC00C2">
        <w:rPr>
          <w:rFonts w:ascii="Arial" w:hAnsi="Arial" w:cs="Arial"/>
          <w:color w:val="000000" w:themeColor="text1"/>
          <w:sz w:val="24"/>
        </w:rPr>
        <w:t>that</w:t>
      </w:r>
      <w:r w:rsidR="005F56B0" w:rsidRPr="00DC00C2">
        <w:rPr>
          <w:rFonts w:ascii="Arial" w:hAnsi="Arial" w:cs="Arial"/>
          <w:color w:val="000000" w:themeColor="text1"/>
          <w:sz w:val="24"/>
        </w:rPr>
        <w:t xml:space="preserve"> on the papers before us</w:t>
      </w:r>
      <w:r w:rsidR="00E83523">
        <w:rPr>
          <w:rFonts w:ascii="Arial" w:hAnsi="Arial" w:cs="Arial"/>
          <w:color w:val="000000" w:themeColor="text1"/>
          <w:sz w:val="24"/>
        </w:rPr>
        <w:t>,</w:t>
      </w:r>
      <w:r w:rsidR="005F56B0" w:rsidRPr="00DC00C2">
        <w:rPr>
          <w:rFonts w:ascii="Arial" w:hAnsi="Arial" w:cs="Arial"/>
          <w:color w:val="000000" w:themeColor="text1"/>
          <w:sz w:val="24"/>
        </w:rPr>
        <w:t xml:space="preserve"> there</w:t>
      </w:r>
      <w:r w:rsidR="00F97F44" w:rsidRPr="00DC00C2">
        <w:rPr>
          <w:rFonts w:ascii="Arial" w:hAnsi="Arial" w:cs="Arial"/>
          <w:color w:val="000000" w:themeColor="text1"/>
          <w:sz w:val="24"/>
        </w:rPr>
        <w:t xml:space="preserve"> </w:t>
      </w:r>
      <w:r w:rsidR="005F56B0" w:rsidRPr="00DC00C2">
        <w:rPr>
          <w:rFonts w:ascii="Arial" w:hAnsi="Arial" w:cs="Arial"/>
          <w:color w:val="000000" w:themeColor="text1"/>
          <w:sz w:val="24"/>
        </w:rPr>
        <w:t xml:space="preserve">is no indication that the </w:t>
      </w:r>
      <w:r w:rsidR="00F97F44" w:rsidRPr="00DC00C2">
        <w:rPr>
          <w:rFonts w:ascii="Arial" w:hAnsi="Arial" w:cs="Arial"/>
          <w:color w:val="000000" w:themeColor="text1"/>
          <w:sz w:val="24"/>
        </w:rPr>
        <w:t xml:space="preserve">Permanent Secretary of the Office of the Prime Minister </w:t>
      </w:r>
      <w:r w:rsidR="005F56B0" w:rsidRPr="00DC00C2">
        <w:rPr>
          <w:rFonts w:ascii="Arial" w:hAnsi="Arial" w:cs="Arial"/>
          <w:color w:val="000000" w:themeColor="text1"/>
          <w:sz w:val="24"/>
        </w:rPr>
        <w:t xml:space="preserve">acted as a delegate </w:t>
      </w:r>
      <w:r w:rsidR="00C36071">
        <w:rPr>
          <w:rFonts w:ascii="Arial" w:hAnsi="Arial" w:cs="Arial"/>
          <w:color w:val="000000" w:themeColor="text1"/>
          <w:sz w:val="24"/>
        </w:rPr>
        <w:t>of the b</w:t>
      </w:r>
      <w:r w:rsidR="00F97F44" w:rsidRPr="00DC00C2">
        <w:rPr>
          <w:rFonts w:ascii="Arial" w:hAnsi="Arial" w:cs="Arial"/>
          <w:color w:val="000000" w:themeColor="text1"/>
          <w:sz w:val="24"/>
        </w:rPr>
        <w:t>oard</w:t>
      </w:r>
      <w:r w:rsidR="005F56B0" w:rsidRPr="00DC00C2">
        <w:rPr>
          <w:rFonts w:ascii="Arial" w:hAnsi="Arial" w:cs="Arial"/>
          <w:color w:val="000000" w:themeColor="text1"/>
          <w:sz w:val="24"/>
        </w:rPr>
        <w:t xml:space="preserve">. </w:t>
      </w:r>
      <w:r w:rsidR="004124AD" w:rsidRPr="00DC00C2">
        <w:rPr>
          <w:rFonts w:ascii="Arial" w:hAnsi="Arial" w:cs="Arial"/>
          <w:color w:val="000000" w:themeColor="text1"/>
          <w:sz w:val="24"/>
        </w:rPr>
        <w:t xml:space="preserve">We are therefore, in the present instance, dealing with a matter where the </w:t>
      </w:r>
      <w:r w:rsidR="005F56B0" w:rsidRPr="00DC00C2">
        <w:rPr>
          <w:rFonts w:ascii="Arial" w:hAnsi="Arial" w:cs="Arial"/>
          <w:color w:val="000000" w:themeColor="text1"/>
          <w:sz w:val="24"/>
        </w:rPr>
        <w:t xml:space="preserve">entity which concluded the agreement on behalf of the State had no power to contract on behalf of the State and thus </w:t>
      </w:r>
      <w:r w:rsidR="004124AD" w:rsidRPr="00DC00C2">
        <w:rPr>
          <w:rFonts w:ascii="Arial" w:hAnsi="Arial" w:cs="Arial"/>
          <w:color w:val="000000" w:themeColor="text1"/>
          <w:sz w:val="24"/>
        </w:rPr>
        <w:t xml:space="preserve">exceeded its powers or acted unlawfully. </w:t>
      </w:r>
      <w:r w:rsidR="00C62179" w:rsidRPr="00DC00C2">
        <w:rPr>
          <w:rFonts w:ascii="Arial" w:hAnsi="Arial" w:cs="Arial"/>
          <w:color w:val="000000" w:themeColor="text1"/>
          <w:sz w:val="24"/>
        </w:rPr>
        <w:t xml:space="preserve">The </w:t>
      </w:r>
      <w:proofErr w:type="spellStart"/>
      <w:r w:rsidR="00C36071">
        <w:rPr>
          <w:rFonts w:ascii="Arial" w:hAnsi="Arial" w:cs="Arial"/>
          <w:i/>
          <w:color w:val="000000" w:themeColor="text1"/>
          <w:sz w:val="24"/>
        </w:rPr>
        <w:t>Turquand</w:t>
      </w:r>
      <w:proofErr w:type="spellEnd"/>
      <w:r w:rsidR="00C36071" w:rsidRPr="00C36071">
        <w:rPr>
          <w:rFonts w:ascii="Arial" w:hAnsi="Arial" w:cs="Arial"/>
          <w:color w:val="000000" w:themeColor="text1"/>
          <w:sz w:val="24"/>
        </w:rPr>
        <w:t xml:space="preserve"> r</w:t>
      </w:r>
      <w:r w:rsidR="004124AD" w:rsidRPr="00C36071">
        <w:rPr>
          <w:rFonts w:ascii="Arial" w:hAnsi="Arial" w:cs="Arial"/>
          <w:color w:val="000000" w:themeColor="text1"/>
          <w:sz w:val="24"/>
        </w:rPr>
        <w:t xml:space="preserve">ule </w:t>
      </w:r>
      <w:r w:rsidR="004124AD" w:rsidRPr="00DC00C2">
        <w:rPr>
          <w:rFonts w:ascii="Arial" w:hAnsi="Arial" w:cs="Arial"/>
          <w:color w:val="000000" w:themeColor="text1"/>
          <w:sz w:val="24"/>
        </w:rPr>
        <w:t>is therefore not applicable in the circumstances of this case.</w:t>
      </w:r>
    </w:p>
    <w:p w14:paraId="163B9774" w14:textId="77777777" w:rsidR="007F18AD" w:rsidRDefault="007F18AD" w:rsidP="00DC00C2">
      <w:pPr>
        <w:spacing w:line="480" w:lineRule="auto"/>
        <w:jc w:val="both"/>
        <w:rPr>
          <w:rFonts w:ascii="Arial" w:hAnsi="Arial" w:cs="Arial"/>
          <w:sz w:val="24"/>
          <w:u w:val="single"/>
        </w:rPr>
      </w:pPr>
    </w:p>
    <w:p w14:paraId="072DFF75" w14:textId="77777777" w:rsidR="00DC00C2" w:rsidRPr="00DC00C2" w:rsidRDefault="00DC00C2" w:rsidP="00DC00C2">
      <w:pPr>
        <w:spacing w:line="480" w:lineRule="auto"/>
        <w:jc w:val="both"/>
        <w:rPr>
          <w:rFonts w:ascii="Arial" w:hAnsi="Arial" w:cs="Arial"/>
          <w:sz w:val="24"/>
          <w:u w:val="single"/>
        </w:rPr>
      </w:pPr>
      <w:r w:rsidRPr="007645D7">
        <w:rPr>
          <w:rFonts w:ascii="Arial" w:hAnsi="Arial" w:cs="Arial"/>
          <w:sz w:val="24"/>
          <w:u w:val="single"/>
        </w:rPr>
        <w:t>Conclusion</w:t>
      </w:r>
    </w:p>
    <w:p w14:paraId="0AADD578" w14:textId="77777777" w:rsidR="00DC00C2" w:rsidRPr="00DC00C2" w:rsidRDefault="000F0B06" w:rsidP="000F0B06">
      <w:pPr>
        <w:pStyle w:val="NoSpacing"/>
        <w:spacing w:line="480" w:lineRule="auto"/>
        <w:jc w:val="both"/>
        <w:rPr>
          <w:rFonts w:ascii="Arial" w:hAnsi="Arial" w:cs="Arial"/>
          <w:sz w:val="24"/>
        </w:rPr>
      </w:pPr>
      <w:r>
        <w:rPr>
          <w:rFonts w:ascii="Arial" w:hAnsi="Arial" w:cs="Arial"/>
          <w:sz w:val="24"/>
          <w:lang w:val="en-US"/>
        </w:rPr>
        <w:t>[68]</w:t>
      </w:r>
      <w:r>
        <w:rPr>
          <w:rFonts w:ascii="Arial" w:hAnsi="Arial" w:cs="Arial"/>
          <w:sz w:val="24"/>
          <w:lang w:val="en-US"/>
        </w:rPr>
        <w:tab/>
      </w:r>
      <w:r w:rsidR="008423FF" w:rsidRPr="00DC00C2">
        <w:rPr>
          <w:rFonts w:ascii="Arial" w:hAnsi="Arial" w:cs="Arial"/>
          <w:sz w:val="24"/>
          <w:lang w:val="en-US"/>
        </w:rPr>
        <w:t>For the reasons set out in this judgment</w:t>
      </w:r>
      <w:r w:rsidR="00D61FD2" w:rsidRPr="00DC00C2">
        <w:rPr>
          <w:rFonts w:ascii="Arial" w:hAnsi="Arial" w:cs="Arial"/>
          <w:sz w:val="24"/>
          <w:lang w:val="en-US"/>
        </w:rPr>
        <w:t>,</w:t>
      </w:r>
      <w:r w:rsidR="008423FF" w:rsidRPr="00DC00C2">
        <w:rPr>
          <w:rFonts w:ascii="Arial" w:hAnsi="Arial" w:cs="Arial"/>
          <w:sz w:val="24"/>
          <w:lang w:val="en-US"/>
        </w:rPr>
        <w:t xml:space="preserve"> I have concluded that </w:t>
      </w:r>
      <w:r w:rsidR="009B32C1" w:rsidRPr="00DC00C2">
        <w:rPr>
          <w:rFonts w:ascii="Arial" w:hAnsi="Arial" w:cs="Arial"/>
          <w:sz w:val="24"/>
          <w:lang w:val="en-US"/>
        </w:rPr>
        <w:t xml:space="preserve">the </w:t>
      </w:r>
      <w:r w:rsidR="00C917F3" w:rsidRPr="00DC00C2">
        <w:rPr>
          <w:rFonts w:ascii="Arial" w:hAnsi="Arial" w:cs="Arial"/>
          <w:sz w:val="24"/>
          <w:lang w:val="en-US"/>
        </w:rPr>
        <w:t>agreement between</w:t>
      </w:r>
      <w:r w:rsidR="009B32C1" w:rsidRPr="00DC00C2">
        <w:rPr>
          <w:rFonts w:ascii="Arial" w:hAnsi="Arial" w:cs="Arial"/>
          <w:sz w:val="24"/>
          <w:lang w:val="en-US"/>
        </w:rPr>
        <w:t xml:space="preserve"> the </w:t>
      </w:r>
      <w:r w:rsidR="00C917F3" w:rsidRPr="00DC00C2">
        <w:rPr>
          <w:rFonts w:ascii="Arial" w:hAnsi="Arial" w:cs="Arial"/>
          <w:sz w:val="24"/>
          <w:lang w:val="en-US"/>
        </w:rPr>
        <w:t>appellant and</w:t>
      </w:r>
      <w:r w:rsidR="009B32C1" w:rsidRPr="00DC00C2">
        <w:rPr>
          <w:rFonts w:ascii="Arial" w:hAnsi="Arial" w:cs="Arial"/>
          <w:sz w:val="24"/>
          <w:lang w:val="en-US"/>
        </w:rPr>
        <w:t xml:space="preserve"> the Office of the Prime Minister is invalid</w:t>
      </w:r>
      <w:r w:rsidR="00D61FD2" w:rsidRPr="00DC00C2">
        <w:rPr>
          <w:rFonts w:ascii="Arial" w:hAnsi="Arial" w:cs="Arial"/>
          <w:sz w:val="24"/>
          <w:lang w:val="en-US"/>
        </w:rPr>
        <w:t>. The</w:t>
      </w:r>
      <w:r w:rsidR="008423FF" w:rsidRPr="00DC00C2">
        <w:rPr>
          <w:rFonts w:ascii="Arial" w:hAnsi="Arial" w:cs="Arial"/>
          <w:sz w:val="24"/>
          <w:lang w:val="en-US"/>
        </w:rPr>
        <w:t xml:space="preserve"> High Cou</w:t>
      </w:r>
      <w:r w:rsidR="00D61FD2" w:rsidRPr="00DC00C2">
        <w:rPr>
          <w:rFonts w:ascii="Arial" w:hAnsi="Arial" w:cs="Arial"/>
          <w:sz w:val="24"/>
          <w:lang w:val="en-US"/>
        </w:rPr>
        <w:t xml:space="preserve">rt did not err when it </w:t>
      </w:r>
      <w:r w:rsidR="008423FF" w:rsidRPr="00DC00C2">
        <w:rPr>
          <w:rFonts w:ascii="Arial" w:hAnsi="Arial" w:cs="Arial"/>
          <w:sz w:val="24"/>
          <w:lang w:val="en-US"/>
        </w:rPr>
        <w:t xml:space="preserve">declared that the contract between the appellant and the </w:t>
      </w:r>
      <w:r w:rsidR="008423FF" w:rsidRPr="00DC00C2">
        <w:rPr>
          <w:rFonts w:ascii="Arial" w:hAnsi="Arial" w:cs="Arial"/>
          <w:sz w:val="24"/>
          <w:lang w:val="en-US"/>
        </w:rPr>
        <w:lastRenderedPageBreak/>
        <w:t xml:space="preserve">respondents is a nullity in law and is thus invalid. The appeal therefore </w:t>
      </w:r>
      <w:proofErr w:type="gramStart"/>
      <w:r w:rsidR="008423FF" w:rsidRPr="00DC00C2">
        <w:rPr>
          <w:rFonts w:ascii="Arial" w:hAnsi="Arial" w:cs="Arial"/>
          <w:sz w:val="24"/>
          <w:lang w:val="en-US"/>
        </w:rPr>
        <w:t>fails</w:t>
      </w:r>
      <w:proofErr w:type="gramEnd"/>
      <w:r w:rsidR="008423FF" w:rsidRPr="00DC00C2">
        <w:rPr>
          <w:rFonts w:ascii="Arial" w:hAnsi="Arial" w:cs="Arial"/>
          <w:sz w:val="24"/>
          <w:lang w:val="en-US"/>
        </w:rPr>
        <w:t xml:space="preserve"> and costs must follow the result.</w:t>
      </w:r>
    </w:p>
    <w:p w14:paraId="49E30548" w14:textId="77777777" w:rsidR="00DC00C2" w:rsidRDefault="00DC00C2" w:rsidP="00DC00C2">
      <w:pPr>
        <w:spacing w:line="480" w:lineRule="auto"/>
        <w:jc w:val="both"/>
        <w:rPr>
          <w:rFonts w:ascii="Arial" w:hAnsi="Arial" w:cs="Arial"/>
          <w:sz w:val="24"/>
          <w:u w:val="single"/>
          <w:lang w:val="en-US"/>
        </w:rPr>
      </w:pPr>
    </w:p>
    <w:p w14:paraId="254E66D6" w14:textId="77777777" w:rsidR="00DC00C2" w:rsidRDefault="00DC00C2" w:rsidP="00DC00C2">
      <w:pPr>
        <w:spacing w:line="480" w:lineRule="auto"/>
        <w:jc w:val="both"/>
        <w:rPr>
          <w:rFonts w:ascii="Arial" w:hAnsi="Arial" w:cs="Arial"/>
          <w:sz w:val="24"/>
          <w:u w:val="single"/>
          <w:lang w:val="en-US"/>
        </w:rPr>
      </w:pPr>
      <w:r w:rsidRPr="007645D7">
        <w:rPr>
          <w:rFonts w:ascii="Arial" w:hAnsi="Arial" w:cs="Arial"/>
          <w:sz w:val="24"/>
          <w:u w:val="single"/>
          <w:lang w:val="en-US"/>
        </w:rPr>
        <w:t>Order</w:t>
      </w:r>
    </w:p>
    <w:p w14:paraId="4BCBE4C0" w14:textId="77777777" w:rsidR="002865A7" w:rsidRPr="00302B19" w:rsidRDefault="000F0B06" w:rsidP="000F0B06">
      <w:pPr>
        <w:pStyle w:val="NoSpacing"/>
        <w:spacing w:line="480" w:lineRule="auto"/>
        <w:jc w:val="both"/>
        <w:rPr>
          <w:rFonts w:ascii="Arial" w:hAnsi="Arial" w:cs="Arial"/>
          <w:sz w:val="24"/>
        </w:rPr>
      </w:pPr>
      <w:r>
        <w:rPr>
          <w:rFonts w:ascii="Arial" w:hAnsi="Arial" w:cs="Arial"/>
          <w:sz w:val="24"/>
          <w:lang w:val="en-US"/>
        </w:rPr>
        <w:t>[69]</w:t>
      </w:r>
      <w:r>
        <w:rPr>
          <w:rFonts w:ascii="Arial" w:hAnsi="Arial" w:cs="Arial"/>
          <w:sz w:val="24"/>
          <w:lang w:val="en-US"/>
        </w:rPr>
        <w:tab/>
      </w:r>
      <w:r w:rsidR="00EA5656" w:rsidRPr="00DC00C2">
        <w:rPr>
          <w:rFonts w:ascii="Arial" w:hAnsi="Arial" w:cs="Arial"/>
          <w:sz w:val="24"/>
          <w:lang w:val="en-US"/>
        </w:rPr>
        <w:t>In the result, the appeal is</w:t>
      </w:r>
      <w:r w:rsidR="007645D7" w:rsidRPr="00DC00C2">
        <w:rPr>
          <w:rFonts w:ascii="Arial" w:hAnsi="Arial" w:cs="Arial"/>
          <w:sz w:val="24"/>
          <w:lang w:val="en-US"/>
        </w:rPr>
        <w:t xml:space="preserve"> </w:t>
      </w:r>
      <w:r w:rsidR="008423FF" w:rsidRPr="00DC00C2">
        <w:rPr>
          <w:rFonts w:ascii="Arial" w:hAnsi="Arial" w:cs="Arial"/>
          <w:sz w:val="24"/>
          <w:lang w:val="en-US"/>
        </w:rPr>
        <w:t xml:space="preserve">dismissed with costs consequent upon the employment of one instructing and one instructed </w:t>
      </w:r>
      <w:r w:rsidR="008423FF" w:rsidRPr="00DC00C2">
        <w:rPr>
          <w:rFonts w:ascii="Arial" w:hAnsi="Arial" w:cs="Arial"/>
          <w:sz w:val="24"/>
        </w:rPr>
        <w:t>legal practitioner</w:t>
      </w:r>
      <w:r w:rsidR="008423FF" w:rsidRPr="00DC00C2">
        <w:rPr>
          <w:rFonts w:ascii="Arial" w:hAnsi="Arial" w:cs="Arial"/>
          <w:sz w:val="24"/>
          <w:lang w:val="en-US"/>
        </w:rPr>
        <w:t>.</w:t>
      </w:r>
    </w:p>
    <w:p w14:paraId="68137EC0" w14:textId="77777777" w:rsidR="00E83523" w:rsidRDefault="00E83523" w:rsidP="00FC2B1D">
      <w:pPr>
        <w:spacing w:line="360" w:lineRule="auto"/>
        <w:jc w:val="both"/>
        <w:rPr>
          <w:rFonts w:ascii="Arial" w:hAnsi="Arial" w:cs="Arial"/>
          <w:sz w:val="24"/>
          <w:szCs w:val="24"/>
          <w:lang w:val="en-US"/>
        </w:rPr>
      </w:pPr>
    </w:p>
    <w:p w14:paraId="4EF28642" w14:textId="77777777" w:rsidR="00E83523" w:rsidRDefault="00E83523" w:rsidP="00FC2B1D">
      <w:pPr>
        <w:spacing w:line="360" w:lineRule="auto"/>
        <w:jc w:val="both"/>
        <w:rPr>
          <w:rFonts w:ascii="Arial" w:hAnsi="Arial" w:cs="Arial"/>
          <w:sz w:val="24"/>
          <w:szCs w:val="24"/>
          <w:lang w:val="en-US"/>
        </w:rPr>
      </w:pPr>
    </w:p>
    <w:p w14:paraId="49156B24" w14:textId="77777777" w:rsidR="00302B19" w:rsidRPr="002865A7" w:rsidRDefault="00302B19" w:rsidP="00FC2B1D">
      <w:pPr>
        <w:spacing w:line="360" w:lineRule="auto"/>
        <w:jc w:val="both"/>
        <w:rPr>
          <w:rFonts w:ascii="Arial" w:hAnsi="Arial" w:cs="Arial"/>
          <w:sz w:val="24"/>
          <w:szCs w:val="24"/>
          <w:lang w:val="en-US"/>
        </w:rPr>
      </w:pPr>
    </w:p>
    <w:p w14:paraId="55BC23C3" w14:textId="77777777" w:rsidR="006C3DDF" w:rsidRPr="006D0267" w:rsidRDefault="006C3DDF" w:rsidP="00BC44BA">
      <w:pPr>
        <w:spacing w:line="360" w:lineRule="auto"/>
        <w:jc w:val="both"/>
        <w:rPr>
          <w:rFonts w:ascii="Arial" w:hAnsi="Arial" w:cs="Arial"/>
          <w:b/>
          <w:sz w:val="24"/>
          <w:szCs w:val="24"/>
          <w:lang w:val="en-US"/>
        </w:rPr>
      </w:pPr>
      <w:r w:rsidRPr="006D0267">
        <w:rPr>
          <w:rFonts w:ascii="Arial" w:hAnsi="Arial" w:cs="Arial"/>
          <w:b/>
          <w:sz w:val="24"/>
          <w:szCs w:val="24"/>
          <w:lang w:val="en-US"/>
        </w:rPr>
        <w:t>_____________________</w:t>
      </w:r>
    </w:p>
    <w:p w14:paraId="2DB4C7F5" w14:textId="77777777" w:rsidR="00525A26" w:rsidRDefault="006D0267" w:rsidP="00BC44BA">
      <w:pPr>
        <w:spacing w:line="360" w:lineRule="auto"/>
        <w:jc w:val="both"/>
        <w:rPr>
          <w:rFonts w:ascii="Arial" w:hAnsi="Arial" w:cs="Arial"/>
          <w:b/>
          <w:sz w:val="24"/>
          <w:szCs w:val="24"/>
          <w:lang w:val="en-US"/>
        </w:rPr>
      </w:pPr>
      <w:r w:rsidRPr="006D0267">
        <w:rPr>
          <w:rFonts w:ascii="Arial" w:hAnsi="Arial" w:cs="Arial"/>
          <w:b/>
          <w:sz w:val="24"/>
          <w:szCs w:val="24"/>
          <w:lang w:val="en-US"/>
        </w:rPr>
        <w:t>UEITELE A</w:t>
      </w:r>
      <w:r w:rsidR="006C3DDF" w:rsidRPr="006D0267">
        <w:rPr>
          <w:rFonts w:ascii="Arial" w:hAnsi="Arial" w:cs="Arial"/>
          <w:b/>
          <w:sz w:val="24"/>
          <w:szCs w:val="24"/>
          <w:lang w:val="en-US"/>
        </w:rPr>
        <w:t>JA</w:t>
      </w:r>
    </w:p>
    <w:p w14:paraId="0B67CCDC" w14:textId="77777777" w:rsidR="002E3661" w:rsidRDefault="002E3661" w:rsidP="00BC44BA">
      <w:pPr>
        <w:spacing w:line="360" w:lineRule="auto"/>
        <w:jc w:val="both"/>
        <w:rPr>
          <w:rFonts w:ascii="Arial" w:hAnsi="Arial" w:cs="Arial"/>
          <w:b/>
          <w:sz w:val="24"/>
          <w:szCs w:val="24"/>
          <w:lang w:val="en-US"/>
        </w:rPr>
      </w:pPr>
    </w:p>
    <w:p w14:paraId="282AD902" w14:textId="77777777" w:rsidR="00302B19" w:rsidRDefault="00302B19" w:rsidP="00BC44BA">
      <w:pPr>
        <w:spacing w:line="360" w:lineRule="auto"/>
        <w:jc w:val="both"/>
        <w:rPr>
          <w:rFonts w:ascii="Arial" w:hAnsi="Arial" w:cs="Arial"/>
          <w:b/>
          <w:sz w:val="24"/>
          <w:szCs w:val="24"/>
          <w:lang w:val="en-US"/>
        </w:rPr>
      </w:pPr>
    </w:p>
    <w:p w14:paraId="0ED3E757" w14:textId="77777777" w:rsidR="00E83523" w:rsidRPr="006D0267" w:rsidRDefault="00E83523" w:rsidP="00BC44BA">
      <w:pPr>
        <w:spacing w:line="360" w:lineRule="auto"/>
        <w:jc w:val="both"/>
        <w:rPr>
          <w:rFonts w:ascii="Arial" w:hAnsi="Arial" w:cs="Arial"/>
          <w:b/>
          <w:sz w:val="24"/>
          <w:szCs w:val="24"/>
          <w:lang w:val="en-US"/>
        </w:rPr>
      </w:pPr>
    </w:p>
    <w:p w14:paraId="725E9E43" w14:textId="77777777" w:rsidR="006C3DDF" w:rsidRPr="006D0267" w:rsidRDefault="006C3DDF" w:rsidP="00BC44BA">
      <w:pPr>
        <w:spacing w:line="360" w:lineRule="auto"/>
        <w:jc w:val="both"/>
        <w:rPr>
          <w:rFonts w:ascii="Arial" w:hAnsi="Arial" w:cs="Arial"/>
          <w:b/>
          <w:sz w:val="24"/>
          <w:szCs w:val="24"/>
          <w:lang w:val="en-US"/>
        </w:rPr>
      </w:pPr>
      <w:r w:rsidRPr="006D0267">
        <w:rPr>
          <w:rFonts w:ascii="Arial" w:hAnsi="Arial" w:cs="Arial"/>
          <w:b/>
          <w:sz w:val="24"/>
          <w:szCs w:val="24"/>
          <w:lang w:val="en-US"/>
        </w:rPr>
        <w:t>_____________________</w:t>
      </w:r>
    </w:p>
    <w:p w14:paraId="32EA703E" w14:textId="77777777" w:rsidR="00B813CE" w:rsidRPr="006D0267" w:rsidRDefault="006D0267" w:rsidP="00BC44BA">
      <w:pPr>
        <w:spacing w:line="360" w:lineRule="auto"/>
        <w:jc w:val="both"/>
        <w:rPr>
          <w:rFonts w:ascii="Arial" w:hAnsi="Arial" w:cs="Arial"/>
          <w:b/>
          <w:sz w:val="24"/>
          <w:szCs w:val="24"/>
          <w:lang w:val="en-US"/>
        </w:rPr>
      </w:pPr>
      <w:r w:rsidRPr="006D0267">
        <w:rPr>
          <w:rFonts w:ascii="Arial" w:hAnsi="Arial" w:cs="Arial"/>
          <w:b/>
          <w:sz w:val="24"/>
          <w:szCs w:val="24"/>
          <w:lang w:val="en-US"/>
        </w:rPr>
        <w:t>FRANK AJA</w:t>
      </w:r>
    </w:p>
    <w:p w14:paraId="66E0D6C2" w14:textId="77777777" w:rsidR="00E83523" w:rsidRDefault="00E83523" w:rsidP="00BC44BA">
      <w:pPr>
        <w:spacing w:line="360" w:lineRule="auto"/>
        <w:jc w:val="both"/>
        <w:rPr>
          <w:rFonts w:ascii="Arial" w:hAnsi="Arial" w:cs="Arial"/>
          <w:b/>
          <w:sz w:val="24"/>
          <w:szCs w:val="24"/>
          <w:lang w:val="en-US"/>
        </w:rPr>
      </w:pPr>
    </w:p>
    <w:p w14:paraId="5A9BC151" w14:textId="77777777" w:rsidR="00E83523" w:rsidRDefault="00E83523" w:rsidP="00BC44BA">
      <w:pPr>
        <w:spacing w:line="360" w:lineRule="auto"/>
        <w:jc w:val="both"/>
        <w:rPr>
          <w:rFonts w:ascii="Arial" w:hAnsi="Arial" w:cs="Arial"/>
          <w:b/>
          <w:sz w:val="24"/>
          <w:szCs w:val="24"/>
          <w:lang w:val="en-US"/>
        </w:rPr>
      </w:pPr>
    </w:p>
    <w:p w14:paraId="24542F66" w14:textId="77777777" w:rsidR="00302B19" w:rsidRPr="006D0267" w:rsidRDefault="00302B19" w:rsidP="00BC44BA">
      <w:pPr>
        <w:spacing w:line="360" w:lineRule="auto"/>
        <w:jc w:val="both"/>
        <w:rPr>
          <w:rFonts w:ascii="Arial" w:hAnsi="Arial" w:cs="Arial"/>
          <w:b/>
          <w:sz w:val="24"/>
          <w:szCs w:val="24"/>
          <w:lang w:val="en-US"/>
        </w:rPr>
      </w:pPr>
    </w:p>
    <w:p w14:paraId="4CAB0FE8" w14:textId="77777777" w:rsidR="00B66B25" w:rsidRDefault="00B66B25" w:rsidP="00BC44BA">
      <w:pPr>
        <w:spacing w:line="360" w:lineRule="auto"/>
        <w:jc w:val="both"/>
        <w:rPr>
          <w:rFonts w:ascii="Arial" w:hAnsi="Arial" w:cs="Arial"/>
          <w:b/>
          <w:sz w:val="24"/>
          <w:szCs w:val="24"/>
          <w:lang w:val="en-US"/>
        </w:rPr>
      </w:pPr>
      <w:r w:rsidRPr="006D0267">
        <w:rPr>
          <w:rFonts w:ascii="Arial" w:hAnsi="Arial" w:cs="Arial"/>
          <w:b/>
          <w:sz w:val="24"/>
          <w:szCs w:val="24"/>
          <w:lang w:val="en-US"/>
        </w:rPr>
        <w:t>____________________</w:t>
      </w:r>
      <w:r w:rsidR="00CE4D5B" w:rsidRPr="006D0267">
        <w:rPr>
          <w:rFonts w:ascii="Arial" w:hAnsi="Arial" w:cs="Arial"/>
          <w:b/>
          <w:sz w:val="24"/>
          <w:szCs w:val="24"/>
          <w:lang w:val="en-US"/>
        </w:rPr>
        <w:t>_</w:t>
      </w:r>
    </w:p>
    <w:p w14:paraId="598E056E" w14:textId="77777777" w:rsidR="006D0267" w:rsidRDefault="006D0267" w:rsidP="00BC44BA">
      <w:pPr>
        <w:spacing w:line="360" w:lineRule="auto"/>
        <w:jc w:val="both"/>
        <w:rPr>
          <w:rFonts w:ascii="Arial" w:hAnsi="Arial" w:cs="Arial"/>
          <w:b/>
          <w:sz w:val="24"/>
          <w:szCs w:val="24"/>
          <w:lang w:val="en-US"/>
        </w:rPr>
      </w:pPr>
      <w:r w:rsidRPr="006D0267">
        <w:rPr>
          <w:rFonts w:ascii="Arial" w:hAnsi="Arial" w:cs="Arial"/>
          <w:b/>
          <w:sz w:val="24"/>
          <w:szCs w:val="24"/>
          <w:lang w:val="en-US"/>
        </w:rPr>
        <w:t xml:space="preserve">LIEBENBERG AJA </w:t>
      </w:r>
    </w:p>
    <w:p w14:paraId="3873381C" w14:textId="77777777" w:rsidR="00466A73" w:rsidRPr="007645D7" w:rsidRDefault="009A0DF8" w:rsidP="00BC44BA">
      <w:pPr>
        <w:spacing w:line="360" w:lineRule="auto"/>
        <w:jc w:val="both"/>
        <w:rPr>
          <w:rFonts w:ascii="Arial" w:hAnsi="Arial" w:cs="Arial"/>
          <w:sz w:val="24"/>
          <w:szCs w:val="24"/>
          <w:lang w:val="en-US"/>
        </w:rPr>
      </w:pPr>
      <w:r w:rsidRPr="000A3FB3">
        <w:rPr>
          <w:rFonts w:ascii="Arial" w:hAnsi="Arial" w:cs="Arial"/>
          <w:b/>
          <w:sz w:val="24"/>
          <w:szCs w:val="24"/>
          <w:lang w:val="en-US"/>
        </w:rPr>
        <w:br w:type="page"/>
      </w:r>
      <w:r w:rsidR="00466A73" w:rsidRPr="007645D7">
        <w:rPr>
          <w:rFonts w:ascii="Arial" w:hAnsi="Arial" w:cs="Arial"/>
          <w:sz w:val="24"/>
          <w:szCs w:val="24"/>
          <w:lang w:val="en-US"/>
        </w:rPr>
        <w:lastRenderedPageBreak/>
        <w:t>APPEARANCES</w:t>
      </w:r>
    </w:p>
    <w:p w14:paraId="373C5A45" w14:textId="77777777" w:rsidR="00466A73" w:rsidRPr="000A3FB3" w:rsidRDefault="00466A73" w:rsidP="00BC44BA">
      <w:pPr>
        <w:spacing w:line="360" w:lineRule="auto"/>
        <w:jc w:val="both"/>
        <w:rPr>
          <w:rFonts w:ascii="Arial" w:hAnsi="Arial" w:cs="Arial"/>
          <w:sz w:val="24"/>
          <w:szCs w:val="24"/>
          <w:lang w:val="en-US"/>
        </w:rPr>
      </w:pPr>
    </w:p>
    <w:tbl>
      <w:tblPr>
        <w:tblW w:w="0" w:type="auto"/>
        <w:tblLook w:val="04A0" w:firstRow="1" w:lastRow="0" w:firstColumn="1" w:lastColumn="0" w:noHBand="0" w:noVBand="1"/>
      </w:tblPr>
      <w:tblGrid>
        <w:gridCol w:w="4371"/>
        <w:gridCol w:w="4416"/>
      </w:tblGrid>
      <w:tr w:rsidR="00496CEE" w:rsidRPr="000A3FB3" w14:paraId="7111CC53" w14:textId="77777777" w:rsidTr="004E43CC">
        <w:tc>
          <w:tcPr>
            <w:tcW w:w="4371" w:type="dxa"/>
            <w:shd w:val="clear" w:color="auto" w:fill="auto"/>
          </w:tcPr>
          <w:p w14:paraId="215FE994" w14:textId="77777777" w:rsidR="00466A73" w:rsidRPr="000A3FB3" w:rsidRDefault="00466A73" w:rsidP="002E3661">
            <w:pPr>
              <w:spacing w:line="360" w:lineRule="auto"/>
              <w:ind w:left="-108"/>
              <w:jc w:val="both"/>
              <w:rPr>
                <w:rFonts w:ascii="Arial" w:hAnsi="Arial" w:cs="Arial"/>
                <w:sz w:val="24"/>
                <w:szCs w:val="24"/>
                <w:lang w:val="en-US"/>
              </w:rPr>
            </w:pPr>
            <w:r w:rsidRPr="000A3FB3">
              <w:rPr>
                <w:rFonts w:ascii="Arial" w:hAnsi="Arial" w:cs="Arial"/>
                <w:sz w:val="24"/>
                <w:szCs w:val="24"/>
                <w:lang w:val="en-US"/>
              </w:rPr>
              <w:t>APPELLANT</w:t>
            </w:r>
            <w:r w:rsidR="00B17F7F" w:rsidRPr="000A3FB3">
              <w:rPr>
                <w:rFonts w:ascii="Arial" w:hAnsi="Arial" w:cs="Arial"/>
                <w:sz w:val="24"/>
                <w:szCs w:val="24"/>
                <w:lang w:val="en-US"/>
              </w:rPr>
              <w:t>:</w:t>
            </w:r>
          </w:p>
        </w:tc>
        <w:tc>
          <w:tcPr>
            <w:tcW w:w="4416" w:type="dxa"/>
            <w:shd w:val="clear" w:color="auto" w:fill="auto"/>
          </w:tcPr>
          <w:p w14:paraId="77908471" w14:textId="77777777" w:rsidR="00666656" w:rsidRPr="008F6171" w:rsidRDefault="00E83523" w:rsidP="002E3661">
            <w:pPr>
              <w:spacing w:line="360" w:lineRule="auto"/>
              <w:jc w:val="both"/>
              <w:rPr>
                <w:rFonts w:ascii="Arial" w:hAnsi="Arial" w:cs="Arial"/>
                <w:sz w:val="24"/>
                <w:szCs w:val="24"/>
                <w:lang w:val="en-US"/>
              </w:rPr>
            </w:pPr>
            <w:r>
              <w:rPr>
                <w:rFonts w:ascii="Arial" w:hAnsi="Arial" w:cs="Arial"/>
                <w:sz w:val="24"/>
                <w:szCs w:val="24"/>
                <w:lang w:val="en-US"/>
              </w:rPr>
              <w:t xml:space="preserve">R </w:t>
            </w:r>
            <w:proofErr w:type="spellStart"/>
            <w:r>
              <w:rPr>
                <w:rFonts w:ascii="Arial" w:hAnsi="Arial" w:cs="Arial"/>
                <w:sz w:val="24"/>
                <w:szCs w:val="24"/>
                <w:lang w:val="en-US"/>
              </w:rPr>
              <w:t>Tö</w:t>
            </w:r>
            <w:r w:rsidR="007645D7">
              <w:rPr>
                <w:rFonts w:ascii="Arial" w:hAnsi="Arial" w:cs="Arial"/>
                <w:sz w:val="24"/>
                <w:szCs w:val="24"/>
                <w:lang w:val="en-US"/>
              </w:rPr>
              <w:t>temeyer</w:t>
            </w:r>
            <w:proofErr w:type="spellEnd"/>
            <w:r w:rsidR="007645D7">
              <w:rPr>
                <w:rFonts w:ascii="Arial" w:hAnsi="Arial" w:cs="Arial"/>
                <w:sz w:val="24"/>
                <w:szCs w:val="24"/>
                <w:lang w:val="en-US"/>
              </w:rPr>
              <w:t xml:space="preserve"> (</w:t>
            </w:r>
            <w:r w:rsidR="009B4E0C">
              <w:rPr>
                <w:rFonts w:ascii="Arial" w:hAnsi="Arial" w:cs="Arial"/>
                <w:sz w:val="24"/>
                <w:szCs w:val="24"/>
                <w:lang w:val="en-US"/>
              </w:rPr>
              <w:t>with him</w:t>
            </w:r>
            <w:r w:rsidR="007645D7">
              <w:rPr>
                <w:rFonts w:ascii="Arial" w:hAnsi="Arial" w:cs="Arial"/>
                <w:sz w:val="24"/>
                <w:szCs w:val="24"/>
                <w:lang w:val="en-US"/>
              </w:rPr>
              <w:t xml:space="preserve"> W </w:t>
            </w:r>
            <w:proofErr w:type="spellStart"/>
            <w:r w:rsidR="007645D7">
              <w:rPr>
                <w:rFonts w:ascii="Arial" w:hAnsi="Arial" w:cs="Arial"/>
                <w:sz w:val="24"/>
                <w:szCs w:val="24"/>
                <w:lang w:val="en-US"/>
              </w:rPr>
              <w:t>Boesak</w:t>
            </w:r>
            <w:proofErr w:type="spellEnd"/>
            <w:r w:rsidR="007645D7">
              <w:rPr>
                <w:rFonts w:ascii="Arial" w:hAnsi="Arial" w:cs="Arial"/>
                <w:sz w:val="24"/>
                <w:szCs w:val="24"/>
                <w:lang w:val="en-US"/>
              </w:rPr>
              <w:t>)</w:t>
            </w:r>
            <w:r w:rsidR="008F6171" w:rsidRPr="008F6171">
              <w:rPr>
                <w:rFonts w:ascii="Arial" w:hAnsi="Arial" w:cs="Arial"/>
                <w:sz w:val="24"/>
                <w:szCs w:val="24"/>
                <w:lang w:val="en-US"/>
              </w:rPr>
              <w:t xml:space="preserve"> </w:t>
            </w:r>
          </w:p>
          <w:p w14:paraId="7E35CD4C" w14:textId="77777777" w:rsidR="006D0267" w:rsidRPr="000A3FB3" w:rsidRDefault="007645D7" w:rsidP="00AB6565">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Instructed by </w:t>
            </w:r>
            <w:proofErr w:type="spellStart"/>
            <w:r w:rsidR="009B4E0C">
              <w:rPr>
                <w:rFonts w:ascii="Arial" w:hAnsi="Arial" w:cs="Arial"/>
                <w:color w:val="000000" w:themeColor="text1"/>
              </w:rPr>
              <w:t>ENSAfrica</w:t>
            </w:r>
            <w:proofErr w:type="spellEnd"/>
            <w:r w:rsidR="009B4E0C">
              <w:rPr>
                <w:rFonts w:ascii="Arial" w:hAnsi="Arial" w:cs="Arial"/>
                <w:color w:val="000000" w:themeColor="text1"/>
              </w:rPr>
              <w:t xml:space="preserve"> | Namibia</w:t>
            </w:r>
            <w:r>
              <w:rPr>
                <w:rFonts w:ascii="Arial" w:hAnsi="Arial" w:cs="Arial"/>
              </w:rPr>
              <w:t>,</w:t>
            </w:r>
          </w:p>
        </w:tc>
      </w:tr>
      <w:tr w:rsidR="00496CEE" w:rsidRPr="000A3FB3" w14:paraId="611AE96C" w14:textId="77777777" w:rsidTr="004E43CC">
        <w:tc>
          <w:tcPr>
            <w:tcW w:w="4371" w:type="dxa"/>
            <w:shd w:val="clear" w:color="auto" w:fill="auto"/>
          </w:tcPr>
          <w:p w14:paraId="52D885C3" w14:textId="77777777" w:rsidR="00466A73" w:rsidRPr="000A3FB3" w:rsidRDefault="00466A73" w:rsidP="002E3661">
            <w:pPr>
              <w:spacing w:line="360" w:lineRule="auto"/>
              <w:jc w:val="both"/>
              <w:rPr>
                <w:rFonts w:ascii="Arial" w:hAnsi="Arial" w:cs="Arial"/>
                <w:sz w:val="24"/>
                <w:szCs w:val="24"/>
                <w:lang w:val="en-US"/>
              </w:rPr>
            </w:pPr>
          </w:p>
        </w:tc>
        <w:tc>
          <w:tcPr>
            <w:tcW w:w="4416" w:type="dxa"/>
            <w:shd w:val="clear" w:color="auto" w:fill="auto"/>
          </w:tcPr>
          <w:p w14:paraId="57905C2F" w14:textId="77777777" w:rsidR="00CE4D5B" w:rsidRDefault="00CE4D5B" w:rsidP="002E3661">
            <w:pPr>
              <w:spacing w:line="360" w:lineRule="auto"/>
              <w:jc w:val="both"/>
              <w:rPr>
                <w:rFonts w:ascii="Arial" w:hAnsi="Arial" w:cs="Arial"/>
                <w:sz w:val="24"/>
                <w:szCs w:val="24"/>
                <w:lang w:val="en-US"/>
              </w:rPr>
            </w:pPr>
          </w:p>
          <w:p w14:paraId="582D68D0" w14:textId="77777777" w:rsidR="002E3661" w:rsidRPr="000A3FB3" w:rsidRDefault="002E3661" w:rsidP="002E3661">
            <w:pPr>
              <w:spacing w:line="360" w:lineRule="auto"/>
              <w:jc w:val="both"/>
              <w:rPr>
                <w:rFonts w:ascii="Arial" w:hAnsi="Arial" w:cs="Arial"/>
                <w:sz w:val="24"/>
                <w:szCs w:val="24"/>
                <w:lang w:val="en-US"/>
              </w:rPr>
            </w:pPr>
          </w:p>
        </w:tc>
      </w:tr>
      <w:tr w:rsidR="006D0267" w:rsidRPr="000A3FB3" w14:paraId="1D8DE273" w14:textId="77777777" w:rsidTr="004E43CC">
        <w:trPr>
          <w:trHeight w:val="328"/>
        </w:trPr>
        <w:tc>
          <w:tcPr>
            <w:tcW w:w="4371" w:type="dxa"/>
            <w:shd w:val="clear" w:color="auto" w:fill="auto"/>
          </w:tcPr>
          <w:p w14:paraId="6079C9B8" w14:textId="77777777" w:rsidR="006D0267" w:rsidRPr="000A3FB3" w:rsidRDefault="006D0267" w:rsidP="002E3661">
            <w:pPr>
              <w:spacing w:line="360" w:lineRule="auto"/>
              <w:ind w:left="-108"/>
              <w:jc w:val="both"/>
              <w:rPr>
                <w:rFonts w:ascii="Arial" w:hAnsi="Arial" w:cs="Arial"/>
                <w:sz w:val="24"/>
                <w:szCs w:val="24"/>
                <w:lang w:val="en-US"/>
              </w:rPr>
            </w:pPr>
            <w:r>
              <w:rPr>
                <w:rFonts w:ascii="Arial" w:hAnsi="Arial" w:cs="Arial"/>
                <w:sz w:val="24"/>
                <w:szCs w:val="24"/>
                <w:lang w:val="en-US"/>
              </w:rPr>
              <w:t xml:space="preserve">FIRST </w:t>
            </w:r>
            <w:r w:rsidR="0073259B">
              <w:rPr>
                <w:rFonts w:ascii="Arial" w:hAnsi="Arial" w:cs="Arial"/>
                <w:sz w:val="24"/>
                <w:szCs w:val="24"/>
                <w:lang w:val="en-US"/>
              </w:rPr>
              <w:t xml:space="preserve">&amp; SECOND </w:t>
            </w:r>
            <w:r w:rsidRPr="000A3FB3">
              <w:rPr>
                <w:rFonts w:ascii="Arial" w:hAnsi="Arial" w:cs="Arial"/>
                <w:sz w:val="24"/>
                <w:szCs w:val="24"/>
                <w:lang w:val="en-US"/>
              </w:rPr>
              <w:t>RESPONDENT</w:t>
            </w:r>
            <w:r w:rsidR="0073259B">
              <w:rPr>
                <w:rFonts w:ascii="Arial" w:hAnsi="Arial" w:cs="Arial"/>
                <w:sz w:val="24"/>
                <w:szCs w:val="24"/>
                <w:lang w:val="en-US"/>
              </w:rPr>
              <w:t>S</w:t>
            </w:r>
            <w:r w:rsidRPr="000A3FB3">
              <w:rPr>
                <w:rFonts w:ascii="Arial" w:hAnsi="Arial" w:cs="Arial"/>
                <w:sz w:val="24"/>
                <w:szCs w:val="24"/>
                <w:lang w:val="en-US"/>
              </w:rPr>
              <w:t>:</w:t>
            </w:r>
          </w:p>
        </w:tc>
        <w:tc>
          <w:tcPr>
            <w:tcW w:w="4416" w:type="dxa"/>
            <w:shd w:val="clear" w:color="auto" w:fill="auto"/>
          </w:tcPr>
          <w:p w14:paraId="3B3C90DB" w14:textId="77777777" w:rsidR="006D0267" w:rsidRPr="000A3FB3" w:rsidRDefault="006D0267" w:rsidP="002E3661">
            <w:pPr>
              <w:spacing w:line="360" w:lineRule="auto"/>
              <w:jc w:val="both"/>
              <w:rPr>
                <w:rFonts w:ascii="Arial" w:hAnsi="Arial" w:cs="Arial"/>
                <w:sz w:val="24"/>
                <w:szCs w:val="24"/>
                <w:lang w:val="en-US"/>
              </w:rPr>
            </w:pPr>
            <w:r>
              <w:rPr>
                <w:rFonts w:ascii="Arial" w:hAnsi="Arial" w:cs="Arial"/>
                <w:sz w:val="24"/>
                <w:szCs w:val="24"/>
                <w:lang w:val="en-US"/>
              </w:rPr>
              <w:t xml:space="preserve">S </w:t>
            </w:r>
            <w:proofErr w:type="spellStart"/>
            <w:r>
              <w:rPr>
                <w:rFonts w:ascii="Arial" w:hAnsi="Arial" w:cs="Arial"/>
                <w:sz w:val="24"/>
                <w:szCs w:val="24"/>
                <w:lang w:val="en-US"/>
              </w:rPr>
              <w:t>Namandje</w:t>
            </w:r>
            <w:proofErr w:type="spellEnd"/>
          </w:p>
        </w:tc>
      </w:tr>
      <w:tr w:rsidR="006D0267" w:rsidRPr="000A3FB3" w14:paraId="09288113" w14:textId="77777777" w:rsidTr="004E43CC">
        <w:trPr>
          <w:trHeight w:val="328"/>
        </w:trPr>
        <w:tc>
          <w:tcPr>
            <w:tcW w:w="4371" w:type="dxa"/>
            <w:shd w:val="clear" w:color="auto" w:fill="auto"/>
          </w:tcPr>
          <w:p w14:paraId="673514CA" w14:textId="77777777" w:rsidR="006D0267" w:rsidRDefault="006D0267" w:rsidP="002E3661">
            <w:pPr>
              <w:spacing w:line="360" w:lineRule="auto"/>
              <w:ind w:left="-108"/>
              <w:jc w:val="both"/>
              <w:rPr>
                <w:rFonts w:ascii="Arial" w:hAnsi="Arial" w:cs="Arial"/>
                <w:sz w:val="24"/>
                <w:szCs w:val="24"/>
                <w:lang w:val="en-US"/>
              </w:rPr>
            </w:pPr>
          </w:p>
        </w:tc>
        <w:tc>
          <w:tcPr>
            <w:tcW w:w="4416" w:type="dxa"/>
            <w:shd w:val="clear" w:color="auto" w:fill="auto"/>
          </w:tcPr>
          <w:p w14:paraId="7A6B805E" w14:textId="77777777" w:rsidR="006D0267" w:rsidRPr="000A3FB3" w:rsidRDefault="006D0267" w:rsidP="002E3661">
            <w:pPr>
              <w:spacing w:line="360" w:lineRule="auto"/>
              <w:jc w:val="both"/>
              <w:rPr>
                <w:rFonts w:ascii="Arial" w:hAnsi="Arial" w:cs="Arial"/>
                <w:sz w:val="24"/>
                <w:szCs w:val="24"/>
                <w:lang w:val="en-US"/>
              </w:rPr>
            </w:pPr>
            <w:r w:rsidRPr="000A3FB3">
              <w:rPr>
                <w:rFonts w:ascii="Arial" w:hAnsi="Arial" w:cs="Arial"/>
                <w:sz w:val="24"/>
                <w:szCs w:val="24"/>
                <w:lang w:val="en-US"/>
              </w:rPr>
              <w:t xml:space="preserve">Instructed by </w:t>
            </w:r>
            <w:r w:rsidR="00E83523">
              <w:rPr>
                <w:rFonts w:ascii="Arial" w:hAnsi="Arial" w:cs="Arial"/>
                <w:sz w:val="24"/>
                <w:szCs w:val="24"/>
                <w:lang w:val="en-US"/>
              </w:rPr>
              <w:t>Government Attorney</w:t>
            </w:r>
          </w:p>
        </w:tc>
      </w:tr>
    </w:tbl>
    <w:p w14:paraId="71EC712B" w14:textId="77777777" w:rsidR="00B66B25" w:rsidRPr="000A3FB3" w:rsidRDefault="00B66B25" w:rsidP="002E3661">
      <w:pPr>
        <w:pStyle w:val="MediumGrid1-Accent21"/>
        <w:spacing w:line="360" w:lineRule="auto"/>
        <w:ind w:left="0"/>
        <w:jc w:val="both"/>
        <w:rPr>
          <w:rFonts w:ascii="Arial" w:hAnsi="Arial" w:cs="Arial"/>
          <w:sz w:val="24"/>
          <w:szCs w:val="24"/>
          <w:lang w:val="en-US"/>
        </w:rPr>
      </w:pPr>
    </w:p>
    <w:sectPr w:rsidR="00B66B25" w:rsidRPr="000A3FB3" w:rsidSect="00DC00C2">
      <w:headerReference w:type="default" r:id="rId12"/>
      <w:headerReference w:type="first" r:id="rId13"/>
      <w:pgSz w:w="11906" w:h="16838" w:code="9"/>
      <w:pgMar w:top="811" w:right="1418" w:bottom="1418" w:left="1701" w:header="811" w:footer="1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BA86" w14:textId="77777777" w:rsidR="004F507B" w:rsidRDefault="004F507B" w:rsidP="00245E78">
      <w:pPr>
        <w:spacing w:line="240" w:lineRule="auto"/>
      </w:pPr>
      <w:r>
        <w:separator/>
      </w:r>
    </w:p>
  </w:endnote>
  <w:endnote w:type="continuationSeparator" w:id="0">
    <w:p w14:paraId="30FC6222" w14:textId="77777777" w:rsidR="004F507B" w:rsidRDefault="004F507B" w:rsidP="00245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D5E6" w14:textId="77777777" w:rsidR="004F507B" w:rsidRDefault="004F507B" w:rsidP="00245E78">
      <w:pPr>
        <w:spacing w:line="240" w:lineRule="auto"/>
      </w:pPr>
      <w:r>
        <w:separator/>
      </w:r>
    </w:p>
  </w:footnote>
  <w:footnote w:type="continuationSeparator" w:id="0">
    <w:p w14:paraId="60D3601E" w14:textId="77777777" w:rsidR="004F507B" w:rsidRDefault="004F507B" w:rsidP="00245E78">
      <w:pPr>
        <w:spacing w:line="240" w:lineRule="auto"/>
      </w:pPr>
      <w:r>
        <w:continuationSeparator/>
      </w:r>
    </w:p>
  </w:footnote>
  <w:footnote w:id="1">
    <w:p w14:paraId="4C6F78F3" w14:textId="77777777" w:rsidR="00AA40D7" w:rsidRPr="00E62423" w:rsidRDefault="00AA40D7" w:rsidP="00135D9C">
      <w:pPr>
        <w:pStyle w:val="NoSpacing"/>
        <w:tabs>
          <w:tab w:val="left" w:pos="360"/>
        </w:tabs>
        <w:spacing w:line="240" w:lineRule="auto"/>
        <w:jc w:val="both"/>
        <w:rPr>
          <w:rFonts w:ascii="Arial" w:hAnsi="Arial" w:cs="Arial"/>
          <w:sz w:val="20"/>
          <w:szCs w:val="20"/>
          <w:lang w:val="en-US"/>
        </w:rPr>
      </w:pPr>
      <w:r w:rsidRPr="00E62423">
        <w:rPr>
          <w:rStyle w:val="FootnoteReference"/>
          <w:rFonts w:ascii="Arial" w:hAnsi="Arial" w:cs="Arial"/>
          <w:sz w:val="20"/>
          <w:szCs w:val="20"/>
        </w:rPr>
        <w:footnoteRef/>
      </w:r>
      <w:r w:rsidRPr="00E62423">
        <w:rPr>
          <w:rFonts w:ascii="Arial" w:hAnsi="Arial" w:cs="Arial"/>
          <w:sz w:val="20"/>
          <w:szCs w:val="20"/>
        </w:rPr>
        <w:t xml:space="preserve"> </w:t>
      </w:r>
      <w:r w:rsidRPr="00E62423">
        <w:rPr>
          <w:rFonts w:ascii="Arial" w:hAnsi="Arial" w:cs="Arial"/>
          <w:i/>
          <w:sz w:val="20"/>
          <w:szCs w:val="20"/>
        </w:rPr>
        <w:t>Petrus v Roman Catholic Archdiocese</w:t>
      </w:r>
      <w:r w:rsidRPr="00E62423">
        <w:rPr>
          <w:rFonts w:ascii="Arial" w:hAnsi="Arial" w:cs="Arial"/>
          <w:sz w:val="20"/>
          <w:szCs w:val="20"/>
        </w:rPr>
        <w:t xml:space="preserve"> 2011 (2) NR 637 (SC) </w:t>
      </w:r>
      <w:r>
        <w:rPr>
          <w:rFonts w:ascii="Arial" w:hAnsi="Arial" w:cs="Arial"/>
          <w:sz w:val="20"/>
          <w:szCs w:val="20"/>
        </w:rPr>
        <w:t xml:space="preserve">paras </w:t>
      </w:r>
      <w:r w:rsidRPr="00E62423">
        <w:rPr>
          <w:rFonts w:ascii="Arial" w:hAnsi="Arial" w:cs="Arial"/>
          <w:sz w:val="20"/>
          <w:szCs w:val="20"/>
        </w:rPr>
        <w:t>9</w:t>
      </w:r>
      <w:r>
        <w:rPr>
          <w:rFonts w:ascii="Arial" w:hAnsi="Arial" w:cs="Arial"/>
          <w:sz w:val="20"/>
          <w:szCs w:val="20"/>
        </w:rPr>
        <w:t>-</w:t>
      </w:r>
      <w:r w:rsidRPr="00E62423">
        <w:rPr>
          <w:rFonts w:ascii="Arial" w:hAnsi="Arial" w:cs="Arial"/>
          <w:sz w:val="20"/>
          <w:szCs w:val="20"/>
        </w:rPr>
        <w:t>10.</w:t>
      </w:r>
    </w:p>
  </w:footnote>
  <w:footnote w:id="2">
    <w:p w14:paraId="6B7FDCA3" w14:textId="77777777" w:rsidR="00AA40D7" w:rsidRPr="00E62423" w:rsidRDefault="00AA40D7" w:rsidP="00135D9C">
      <w:pPr>
        <w:pStyle w:val="NoSpacing"/>
        <w:tabs>
          <w:tab w:val="left" w:pos="0"/>
        </w:tabs>
        <w:spacing w:line="240" w:lineRule="auto"/>
        <w:jc w:val="both"/>
        <w:rPr>
          <w:rFonts w:ascii="Arial" w:hAnsi="Arial" w:cs="Arial"/>
          <w:sz w:val="20"/>
          <w:szCs w:val="20"/>
          <w:lang w:val="en-US"/>
        </w:rPr>
      </w:pPr>
      <w:r w:rsidRPr="00E62423">
        <w:rPr>
          <w:rStyle w:val="FootnoteReference"/>
          <w:rFonts w:ascii="Arial" w:hAnsi="Arial" w:cs="Arial"/>
          <w:sz w:val="20"/>
          <w:szCs w:val="20"/>
        </w:rPr>
        <w:footnoteRef/>
      </w:r>
      <w:r w:rsidRPr="00E62423">
        <w:rPr>
          <w:rFonts w:ascii="Arial" w:hAnsi="Arial" w:cs="Arial"/>
          <w:sz w:val="20"/>
          <w:szCs w:val="20"/>
        </w:rPr>
        <w:t xml:space="preserve"> </w:t>
      </w:r>
      <w:r w:rsidRPr="00E62423">
        <w:rPr>
          <w:rFonts w:ascii="Arial" w:hAnsi="Arial" w:cs="Arial"/>
          <w:i/>
          <w:sz w:val="20"/>
          <w:szCs w:val="20"/>
        </w:rPr>
        <w:t>Arangies t/a Auto Tech v Quick Build</w:t>
      </w:r>
      <w:r w:rsidRPr="00E62423">
        <w:rPr>
          <w:rFonts w:ascii="Arial" w:hAnsi="Arial" w:cs="Arial"/>
          <w:sz w:val="20"/>
          <w:szCs w:val="20"/>
        </w:rPr>
        <w:t xml:space="preserve"> 2014 (1) NR 187 (SC) and </w:t>
      </w:r>
      <w:r w:rsidRPr="00E62423">
        <w:rPr>
          <w:rFonts w:ascii="Arial" w:hAnsi="Arial" w:cs="Arial"/>
          <w:i/>
          <w:sz w:val="20"/>
          <w:szCs w:val="20"/>
        </w:rPr>
        <w:t>S v S</w:t>
      </w:r>
      <w:r w:rsidRPr="00E62423">
        <w:rPr>
          <w:rFonts w:ascii="Arial" w:hAnsi="Arial" w:cs="Arial"/>
          <w:sz w:val="20"/>
          <w:szCs w:val="20"/>
        </w:rPr>
        <w:t> 2013 (1) NR 114 (SC) paras 1</w:t>
      </w:r>
      <w:r>
        <w:rPr>
          <w:rFonts w:ascii="Arial" w:hAnsi="Arial" w:cs="Arial"/>
          <w:sz w:val="20"/>
          <w:szCs w:val="20"/>
        </w:rPr>
        <w:t>6–</w:t>
      </w:r>
      <w:r w:rsidRPr="00E62423">
        <w:rPr>
          <w:rFonts w:ascii="Arial" w:hAnsi="Arial" w:cs="Arial"/>
          <w:sz w:val="20"/>
          <w:szCs w:val="20"/>
        </w:rPr>
        <w:t>18.</w:t>
      </w:r>
    </w:p>
  </w:footnote>
  <w:footnote w:id="3">
    <w:p w14:paraId="23405BAB" w14:textId="77777777" w:rsidR="00AA40D7" w:rsidRPr="00E62423" w:rsidRDefault="00AA40D7" w:rsidP="00135D9C">
      <w:pPr>
        <w:pStyle w:val="NoSpacing"/>
        <w:tabs>
          <w:tab w:val="left" w:pos="0"/>
        </w:tabs>
        <w:spacing w:line="240" w:lineRule="auto"/>
        <w:jc w:val="both"/>
        <w:rPr>
          <w:rFonts w:ascii="Arial" w:hAnsi="Arial" w:cs="Arial"/>
          <w:sz w:val="20"/>
          <w:szCs w:val="20"/>
          <w:lang w:val="en-US"/>
        </w:rPr>
      </w:pPr>
      <w:r w:rsidRPr="00E62423">
        <w:rPr>
          <w:rStyle w:val="FootnoteReference"/>
          <w:rFonts w:ascii="Arial" w:hAnsi="Arial" w:cs="Arial"/>
          <w:sz w:val="20"/>
          <w:szCs w:val="20"/>
        </w:rPr>
        <w:footnoteRef/>
      </w:r>
      <w:r w:rsidRPr="00E62423">
        <w:rPr>
          <w:rFonts w:ascii="Arial" w:hAnsi="Arial" w:cs="Arial"/>
          <w:sz w:val="20"/>
          <w:szCs w:val="20"/>
        </w:rPr>
        <w:t xml:space="preserve"> </w:t>
      </w:r>
      <w:r w:rsidRPr="00E62423">
        <w:rPr>
          <w:rFonts w:ascii="Arial" w:hAnsi="Arial" w:cs="Arial"/>
          <w:bCs/>
          <w:i/>
          <w:sz w:val="20"/>
          <w:szCs w:val="20"/>
        </w:rPr>
        <w:t>Beukes &amp;</w:t>
      </w:r>
      <w:r>
        <w:rPr>
          <w:rFonts w:ascii="Arial" w:hAnsi="Arial" w:cs="Arial"/>
          <w:bCs/>
          <w:i/>
          <w:sz w:val="20"/>
          <w:szCs w:val="20"/>
        </w:rPr>
        <w:t xml:space="preserve"> a</w:t>
      </w:r>
      <w:r w:rsidRPr="00E62423">
        <w:rPr>
          <w:rFonts w:ascii="Arial" w:hAnsi="Arial" w:cs="Arial"/>
          <w:bCs/>
          <w:i/>
          <w:sz w:val="20"/>
          <w:szCs w:val="20"/>
        </w:rPr>
        <w:t>nother v South West Africa Building Society (SWABOU) &amp; others</w:t>
      </w:r>
      <w:r w:rsidR="00BC279D">
        <w:rPr>
          <w:rFonts w:ascii="Arial" w:hAnsi="Arial" w:cs="Arial"/>
          <w:bCs/>
          <w:sz w:val="20"/>
          <w:szCs w:val="20"/>
        </w:rPr>
        <w:t xml:space="preserve"> (SA 10/</w:t>
      </w:r>
      <w:r w:rsidRPr="00E62423">
        <w:rPr>
          <w:rFonts w:ascii="Arial" w:hAnsi="Arial" w:cs="Arial"/>
          <w:bCs/>
          <w:sz w:val="20"/>
          <w:szCs w:val="20"/>
        </w:rPr>
        <w:t>2006) [2010] NASC 14</w:t>
      </w:r>
      <w:r w:rsidR="00BC279D">
        <w:rPr>
          <w:rFonts w:ascii="Arial" w:hAnsi="Arial" w:cs="Arial"/>
          <w:bCs/>
          <w:sz w:val="20"/>
          <w:szCs w:val="20"/>
        </w:rPr>
        <w:t xml:space="preserve"> (5 November 2010)</w:t>
      </w:r>
      <w:r w:rsidRPr="00E62423">
        <w:rPr>
          <w:rFonts w:ascii="Arial" w:hAnsi="Arial" w:cs="Arial"/>
          <w:bCs/>
          <w:sz w:val="20"/>
          <w:szCs w:val="20"/>
        </w:rPr>
        <w:t>.</w:t>
      </w:r>
    </w:p>
  </w:footnote>
  <w:footnote w:id="4">
    <w:p w14:paraId="77096BBC" w14:textId="77777777" w:rsidR="00AA40D7" w:rsidRPr="00E62423" w:rsidRDefault="00AA40D7" w:rsidP="00135D9C">
      <w:pPr>
        <w:pStyle w:val="NoSpacing"/>
        <w:tabs>
          <w:tab w:val="left" w:pos="0"/>
        </w:tabs>
        <w:spacing w:line="240" w:lineRule="auto"/>
        <w:jc w:val="both"/>
        <w:rPr>
          <w:rFonts w:ascii="Arial" w:hAnsi="Arial" w:cs="Arial"/>
          <w:sz w:val="20"/>
          <w:szCs w:val="20"/>
        </w:rPr>
      </w:pPr>
      <w:r w:rsidRPr="00E62423">
        <w:rPr>
          <w:rStyle w:val="FootnoteReference"/>
          <w:rFonts w:ascii="Arial" w:hAnsi="Arial" w:cs="Arial"/>
          <w:sz w:val="20"/>
          <w:szCs w:val="20"/>
        </w:rPr>
        <w:footnoteRef/>
      </w:r>
      <w:r w:rsidRPr="00E62423">
        <w:rPr>
          <w:rFonts w:ascii="Arial" w:hAnsi="Arial" w:cs="Arial"/>
          <w:sz w:val="20"/>
          <w:szCs w:val="20"/>
        </w:rPr>
        <w:t xml:space="preserve"> </w:t>
      </w:r>
      <w:r w:rsidRPr="00E62423">
        <w:rPr>
          <w:rFonts w:ascii="Arial" w:hAnsi="Arial" w:cs="Arial"/>
          <w:i/>
          <w:sz w:val="20"/>
          <w:szCs w:val="20"/>
        </w:rPr>
        <w:t>Beukes</w:t>
      </w:r>
      <w:r w:rsidRPr="00E62423">
        <w:rPr>
          <w:rFonts w:ascii="Arial" w:hAnsi="Arial" w:cs="Arial"/>
          <w:sz w:val="20"/>
          <w:szCs w:val="20"/>
        </w:rPr>
        <w:t xml:space="preserve"> para 13.</w:t>
      </w:r>
    </w:p>
  </w:footnote>
  <w:footnote w:id="5">
    <w:p w14:paraId="3F77097A" w14:textId="77777777" w:rsidR="00AA40D7" w:rsidRPr="00E62423" w:rsidRDefault="00AA40D7" w:rsidP="00135D9C">
      <w:pPr>
        <w:pStyle w:val="NoSpacing"/>
        <w:tabs>
          <w:tab w:val="left" w:pos="0"/>
        </w:tabs>
        <w:spacing w:line="240" w:lineRule="auto"/>
        <w:jc w:val="both"/>
        <w:rPr>
          <w:rFonts w:ascii="Arial" w:hAnsi="Arial" w:cs="Arial"/>
          <w:sz w:val="20"/>
          <w:szCs w:val="20"/>
          <w:lang w:val="en-US"/>
        </w:rPr>
      </w:pPr>
      <w:r w:rsidRPr="00E62423">
        <w:rPr>
          <w:rStyle w:val="FootnoteReference"/>
          <w:rFonts w:ascii="Arial" w:hAnsi="Arial" w:cs="Arial"/>
          <w:sz w:val="20"/>
          <w:szCs w:val="20"/>
        </w:rPr>
        <w:footnoteRef/>
      </w:r>
      <w:r w:rsidRPr="00E62423">
        <w:rPr>
          <w:rFonts w:ascii="Arial" w:hAnsi="Arial" w:cs="Arial"/>
          <w:sz w:val="20"/>
          <w:szCs w:val="20"/>
        </w:rPr>
        <w:t xml:space="preserve"> See </w:t>
      </w:r>
      <w:r w:rsidRPr="00E62423">
        <w:rPr>
          <w:rFonts w:ascii="Arial" w:hAnsi="Arial" w:cs="Arial"/>
          <w:i/>
          <w:sz w:val="20"/>
          <w:szCs w:val="20"/>
        </w:rPr>
        <w:t>Rally for Democracy and Progress &amp; others v Electoral Commission for Namibia &amp; others</w:t>
      </w:r>
      <w:r w:rsidRPr="00E62423">
        <w:rPr>
          <w:rFonts w:ascii="Arial" w:hAnsi="Arial" w:cs="Arial"/>
          <w:sz w:val="20"/>
          <w:szCs w:val="20"/>
        </w:rPr>
        <w:t> 2013 (3) NR 664 (SC) para 68.</w:t>
      </w:r>
    </w:p>
  </w:footnote>
  <w:footnote w:id="6">
    <w:p w14:paraId="54B362AA" w14:textId="77777777" w:rsidR="00AA40D7" w:rsidRPr="00E62423" w:rsidRDefault="00AA40D7" w:rsidP="00135D9C">
      <w:pPr>
        <w:pStyle w:val="FootnoteText"/>
        <w:tabs>
          <w:tab w:val="left" w:pos="0"/>
        </w:tabs>
        <w:spacing w:line="240" w:lineRule="auto"/>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rPr>
        <w:t>Newpoint Electronic Solutions (Pty) Ltd v Permanent Secretary, Office of the Prime Minister (</w:t>
      </w:r>
      <w:r w:rsidRPr="00E62423">
        <w:rPr>
          <w:rFonts w:ascii="Arial" w:hAnsi="Arial" w:cs="Arial"/>
        </w:rPr>
        <w:t xml:space="preserve">HC-MD-CIV-MOT-REV-2018/00277) [2020] NAHCMD </w:t>
      </w:r>
      <w:r>
        <w:rPr>
          <w:rFonts w:ascii="Arial" w:hAnsi="Arial" w:cs="Arial"/>
        </w:rPr>
        <w:t>40 (3 February 2020) paras 18–19</w:t>
      </w:r>
      <w:r w:rsidRPr="00E62423">
        <w:rPr>
          <w:rFonts w:ascii="Arial" w:hAnsi="Arial" w:cs="Arial"/>
        </w:rPr>
        <w:t>.</w:t>
      </w:r>
    </w:p>
  </w:footnote>
  <w:footnote w:id="7">
    <w:p w14:paraId="00DCE955" w14:textId="77777777" w:rsidR="00AA40D7" w:rsidRPr="00372786" w:rsidRDefault="00AA40D7" w:rsidP="00135D9C">
      <w:pPr>
        <w:pStyle w:val="FootnoteText"/>
        <w:spacing w:line="240" w:lineRule="auto"/>
        <w:rPr>
          <w:rFonts w:ascii="Arial" w:hAnsi="Arial" w:cs="Arial"/>
          <w:lang w:val="en-ZA"/>
        </w:rPr>
      </w:pPr>
      <w:r w:rsidRPr="00372786">
        <w:rPr>
          <w:rStyle w:val="FootnoteReference"/>
          <w:rFonts w:ascii="Arial" w:hAnsi="Arial" w:cs="Arial"/>
        </w:rPr>
        <w:footnoteRef/>
      </w:r>
      <w:r w:rsidRPr="00372786">
        <w:rPr>
          <w:rFonts w:ascii="Arial" w:hAnsi="Arial" w:cs="Arial"/>
        </w:rPr>
        <w:t xml:space="preserve"> </w:t>
      </w:r>
      <w:r w:rsidRPr="00372786">
        <w:rPr>
          <w:rFonts w:ascii="Arial" w:hAnsi="Arial" w:cs="Arial"/>
          <w:i/>
          <w:lang w:val="en-ZA"/>
        </w:rPr>
        <w:t>Newpoint</w:t>
      </w:r>
      <w:r w:rsidRPr="00372786">
        <w:rPr>
          <w:rFonts w:ascii="Arial" w:hAnsi="Arial" w:cs="Arial"/>
          <w:lang w:val="en-ZA"/>
        </w:rPr>
        <w:t xml:space="preserve"> para 28.</w:t>
      </w:r>
    </w:p>
  </w:footnote>
  <w:footnote w:id="8">
    <w:p w14:paraId="35EFFFA0" w14:textId="77777777" w:rsidR="00AA40D7" w:rsidRPr="00DC34E2" w:rsidRDefault="00AA40D7" w:rsidP="00135D9C">
      <w:pPr>
        <w:pStyle w:val="FootnoteText"/>
        <w:spacing w:line="240" w:lineRule="auto"/>
        <w:rPr>
          <w:rFonts w:ascii="Arial" w:hAnsi="Arial" w:cs="Arial"/>
          <w:lang w:val="en-ZA"/>
        </w:rPr>
      </w:pPr>
      <w:r w:rsidRPr="00DC34E2">
        <w:rPr>
          <w:rStyle w:val="FootnoteReference"/>
          <w:rFonts w:ascii="Arial" w:hAnsi="Arial" w:cs="Arial"/>
        </w:rPr>
        <w:footnoteRef/>
      </w:r>
      <w:r w:rsidRPr="00DC34E2">
        <w:rPr>
          <w:rFonts w:ascii="Arial" w:hAnsi="Arial" w:cs="Arial"/>
        </w:rPr>
        <w:t xml:space="preserve"> </w:t>
      </w:r>
      <w:r w:rsidRPr="00DC34E2">
        <w:rPr>
          <w:rFonts w:ascii="Arial" w:hAnsi="Arial" w:cs="Arial"/>
          <w:lang w:val="en-ZA"/>
        </w:rPr>
        <w:t>Appellant’s heads of argument para 22.4.</w:t>
      </w:r>
    </w:p>
  </w:footnote>
  <w:footnote w:id="9">
    <w:p w14:paraId="532E7B3C" w14:textId="77777777" w:rsidR="00AA40D7" w:rsidRPr="00E62423" w:rsidRDefault="00AA40D7" w:rsidP="00135D9C">
      <w:pPr>
        <w:pStyle w:val="FootnoteText"/>
        <w:tabs>
          <w:tab w:val="left" w:pos="360"/>
        </w:tabs>
        <w:spacing w:line="240" w:lineRule="auto"/>
        <w:ind w:left="360" w:hanging="360"/>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lang w:val="en-US"/>
        </w:rPr>
        <w:t xml:space="preserve">Torbitt </w:t>
      </w:r>
      <w:r>
        <w:rPr>
          <w:rFonts w:ascii="Arial" w:hAnsi="Arial" w:cs="Arial"/>
          <w:i/>
          <w:lang w:val="en-US"/>
        </w:rPr>
        <w:t>&amp;</w:t>
      </w:r>
      <w:r w:rsidRPr="00E62423">
        <w:rPr>
          <w:rFonts w:ascii="Arial" w:hAnsi="Arial" w:cs="Arial"/>
          <w:i/>
          <w:lang w:val="en-US"/>
        </w:rPr>
        <w:t xml:space="preserve"> </w:t>
      </w:r>
      <w:r>
        <w:rPr>
          <w:rFonts w:ascii="Arial" w:hAnsi="Arial" w:cs="Arial"/>
          <w:i/>
          <w:lang w:val="en-US"/>
        </w:rPr>
        <w:t>o</w:t>
      </w:r>
      <w:r w:rsidRPr="00E62423">
        <w:rPr>
          <w:rFonts w:ascii="Arial" w:hAnsi="Arial" w:cs="Arial"/>
          <w:i/>
          <w:lang w:val="en-US"/>
        </w:rPr>
        <w:t>thers v International University of Management</w:t>
      </w:r>
      <w:r>
        <w:rPr>
          <w:rFonts w:ascii="Arial" w:hAnsi="Arial" w:cs="Arial"/>
          <w:lang w:val="en-US"/>
        </w:rPr>
        <w:t xml:space="preserve"> 2017 (2) NR 323 (SC) paras 30-36.</w:t>
      </w:r>
    </w:p>
  </w:footnote>
  <w:footnote w:id="10">
    <w:p w14:paraId="393A977F" w14:textId="77777777" w:rsidR="00AA40D7" w:rsidRPr="001D2E2A" w:rsidRDefault="00AA40D7" w:rsidP="00135D9C">
      <w:pPr>
        <w:pStyle w:val="FootnoteText"/>
        <w:spacing w:line="240" w:lineRule="auto"/>
        <w:rPr>
          <w:rFonts w:ascii="Arial" w:hAnsi="Arial" w:cs="Arial"/>
          <w:lang w:val="en-ZA"/>
        </w:rPr>
      </w:pPr>
      <w:r w:rsidRPr="001D2E2A">
        <w:rPr>
          <w:rStyle w:val="FootnoteReference"/>
          <w:rFonts w:ascii="Arial" w:hAnsi="Arial" w:cs="Arial"/>
        </w:rPr>
        <w:footnoteRef/>
      </w:r>
      <w:r w:rsidRPr="001D2E2A">
        <w:rPr>
          <w:rFonts w:ascii="Arial" w:hAnsi="Arial" w:cs="Arial"/>
        </w:rPr>
        <w:t xml:space="preserve"> See appellant’s heads of argument para 25.</w:t>
      </w:r>
    </w:p>
  </w:footnote>
  <w:footnote w:id="11">
    <w:p w14:paraId="17D2AFCB" w14:textId="77777777" w:rsidR="00AA40D7" w:rsidRPr="00E62423" w:rsidRDefault="00AA40D7" w:rsidP="00135D9C">
      <w:pPr>
        <w:pStyle w:val="FootnoteText"/>
        <w:spacing w:line="240" w:lineRule="auto"/>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Pr>
          <w:rFonts w:ascii="Arial" w:hAnsi="Arial" w:cs="Arial"/>
        </w:rPr>
        <w:t xml:space="preserve">See appellant’s heads of argument para 26.3 and </w:t>
      </w:r>
      <w:r w:rsidRPr="00E62423">
        <w:rPr>
          <w:rFonts w:ascii="Arial" w:hAnsi="Arial" w:cs="Arial"/>
          <w:i/>
          <w:lang w:val="en-US"/>
        </w:rPr>
        <w:t>Potchefstroom Stadsraad v Kotze</w:t>
      </w:r>
      <w:r w:rsidRPr="00E62423">
        <w:rPr>
          <w:rFonts w:ascii="Arial" w:hAnsi="Arial" w:cs="Arial"/>
          <w:lang w:val="en-US"/>
        </w:rPr>
        <w:t xml:space="preserve"> 1960 (3) SA 616 (A); and </w:t>
      </w:r>
      <w:r w:rsidRPr="00E62423">
        <w:rPr>
          <w:rFonts w:ascii="Arial" w:hAnsi="Arial" w:cs="Arial"/>
          <w:i/>
          <w:lang w:val="en-US"/>
        </w:rPr>
        <w:t xml:space="preserve">Walvis Bay Municipality v Occupiers, Caravan Sites, Longbeach </w:t>
      </w:r>
      <w:r w:rsidR="00047A13">
        <w:rPr>
          <w:rFonts w:ascii="Arial" w:hAnsi="Arial" w:cs="Arial"/>
          <w:lang w:val="en-US"/>
        </w:rPr>
        <w:t xml:space="preserve">2007 (2) NR 643 (SC) paras </w:t>
      </w:r>
      <w:r w:rsidRPr="00E62423">
        <w:rPr>
          <w:rFonts w:ascii="Arial" w:hAnsi="Arial" w:cs="Arial"/>
          <w:lang w:val="en-US"/>
        </w:rPr>
        <w:t>95</w:t>
      </w:r>
      <w:r w:rsidR="00047A13">
        <w:rPr>
          <w:rFonts w:ascii="Arial" w:hAnsi="Arial" w:cs="Arial"/>
          <w:lang w:val="en-US"/>
        </w:rPr>
        <w:t>-</w:t>
      </w:r>
      <w:r w:rsidRPr="00E62423">
        <w:rPr>
          <w:rFonts w:ascii="Arial" w:hAnsi="Arial" w:cs="Arial"/>
          <w:lang w:val="en-US"/>
        </w:rPr>
        <w:t>100.</w:t>
      </w:r>
    </w:p>
  </w:footnote>
  <w:footnote w:id="12">
    <w:p w14:paraId="08AEAB42" w14:textId="77777777" w:rsidR="00AA40D7" w:rsidRPr="00E62423" w:rsidRDefault="00AA40D7" w:rsidP="00135D9C">
      <w:pPr>
        <w:pStyle w:val="FootnoteText"/>
        <w:spacing w:line="240" w:lineRule="auto"/>
        <w:rPr>
          <w:rFonts w:ascii="Arial" w:hAnsi="Arial" w:cs="Arial"/>
          <w:lang w:val="en-ZA"/>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lang w:val="en-US"/>
        </w:rPr>
        <w:t>Morris v Kanssen</w:t>
      </w:r>
      <w:r w:rsidR="00047A13">
        <w:rPr>
          <w:rFonts w:ascii="Arial" w:hAnsi="Arial" w:cs="Arial"/>
          <w:i/>
          <w:lang w:val="en-US"/>
        </w:rPr>
        <w:t xml:space="preserve"> &amp; others</w:t>
      </w:r>
      <w:r w:rsidRPr="00E62423">
        <w:rPr>
          <w:rFonts w:ascii="Arial" w:hAnsi="Arial" w:cs="Arial"/>
          <w:lang w:val="en-US"/>
        </w:rPr>
        <w:t xml:space="preserve"> 1946 AC 459</w:t>
      </w:r>
      <w:r w:rsidR="00047A13">
        <w:rPr>
          <w:rFonts w:ascii="Arial" w:hAnsi="Arial" w:cs="Arial"/>
          <w:lang w:val="en-US"/>
        </w:rPr>
        <w:t xml:space="preserve"> (HL)</w:t>
      </w:r>
      <w:r w:rsidRPr="00E62423">
        <w:rPr>
          <w:rFonts w:ascii="Arial" w:hAnsi="Arial" w:cs="Arial"/>
          <w:lang w:val="en-US"/>
        </w:rPr>
        <w:t xml:space="preserve"> at 474-</w:t>
      </w:r>
      <w:r>
        <w:rPr>
          <w:rFonts w:ascii="Arial" w:hAnsi="Arial" w:cs="Arial"/>
          <w:lang w:val="en-US"/>
        </w:rPr>
        <w:t>47</w:t>
      </w:r>
      <w:r w:rsidRPr="00E62423">
        <w:rPr>
          <w:rFonts w:ascii="Arial" w:hAnsi="Arial" w:cs="Arial"/>
          <w:lang w:val="en-US"/>
        </w:rPr>
        <w:t>5;</w:t>
      </w:r>
      <w:r>
        <w:rPr>
          <w:rFonts w:ascii="Arial" w:hAnsi="Arial" w:cs="Arial"/>
          <w:lang w:val="en-US"/>
        </w:rPr>
        <w:t xml:space="preserve"> see also</w:t>
      </w:r>
      <w:r w:rsidRPr="00E62423">
        <w:rPr>
          <w:rFonts w:ascii="Arial" w:hAnsi="Arial" w:cs="Arial"/>
          <w:lang w:val="en-US"/>
        </w:rPr>
        <w:t xml:space="preserve"> </w:t>
      </w:r>
      <w:r w:rsidRPr="00E62423">
        <w:rPr>
          <w:rFonts w:ascii="Arial" w:hAnsi="Arial" w:cs="Arial"/>
          <w:i/>
          <w:lang w:val="en-US"/>
        </w:rPr>
        <w:t>Big Dutchman (South Africa) v Barclays National Bank</w:t>
      </w:r>
      <w:r w:rsidRPr="00E62423">
        <w:rPr>
          <w:rFonts w:ascii="Arial" w:hAnsi="Arial" w:cs="Arial"/>
          <w:lang w:val="en-US"/>
        </w:rPr>
        <w:t xml:space="preserve"> 1979 (3) SA 267 (WLD) 280B-C.</w:t>
      </w:r>
    </w:p>
  </w:footnote>
  <w:footnote w:id="13">
    <w:p w14:paraId="2FECB268" w14:textId="77777777" w:rsidR="00AA40D7" w:rsidRPr="00E62423" w:rsidRDefault="00AA40D7" w:rsidP="00135D9C">
      <w:pPr>
        <w:pBdr>
          <w:top w:val="nil"/>
          <w:left w:val="nil"/>
          <w:bottom w:val="nil"/>
          <w:right w:val="nil"/>
          <w:between w:val="nil"/>
        </w:pBdr>
        <w:tabs>
          <w:tab w:val="left" w:pos="0"/>
        </w:tabs>
        <w:spacing w:line="240" w:lineRule="auto"/>
        <w:jc w:val="both"/>
        <w:rPr>
          <w:rFonts w:ascii="Arial" w:eastAsia="Arial" w:hAnsi="Arial" w:cs="Arial"/>
          <w:color w:val="000000"/>
          <w:sz w:val="20"/>
          <w:szCs w:val="20"/>
        </w:rPr>
      </w:pPr>
      <w:r w:rsidRPr="00E62423">
        <w:rPr>
          <w:rFonts w:ascii="Arial" w:hAnsi="Arial" w:cs="Arial"/>
          <w:sz w:val="20"/>
          <w:szCs w:val="20"/>
          <w:vertAlign w:val="superscript"/>
        </w:rPr>
        <w:footnoteRef/>
      </w:r>
      <w:r w:rsidRPr="00E62423">
        <w:rPr>
          <w:rFonts w:ascii="Arial" w:eastAsia="Arial" w:hAnsi="Arial" w:cs="Arial"/>
          <w:color w:val="000000"/>
          <w:sz w:val="20"/>
          <w:szCs w:val="20"/>
        </w:rPr>
        <w:t xml:space="preserve"> </w:t>
      </w:r>
      <w:r w:rsidRPr="00E62423">
        <w:rPr>
          <w:rFonts w:ascii="Arial" w:eastAsia="Arial" w:hAnsi="Arial" w:cs="Arial"/>
          <w:i/>
          <w:color w:val="000000"/>
          <w:sz w:val="20"/>
          <w:szCs w:val="20"/>
        </w:rPr>
        <w:t xml:space="preserve">President of the Republic of Namibia </w:t>
      </w:r>
      <w:r>
        <w:rPr>
          <w:rFonts w:ascii="Arial" w:eastAsia="Arial" w:hAnsi="Arial" w:cs="Arial"/>
          <w:i/>
          <w:color w:val="000000"/>
          <w:sz w:val="20"/>
          <w:szCs w:val="20"/>
        </w:rPr>
        <w:t>&amp;</w:t>
      </w:r>
      <w:r w:rsidRPr="00E62423">
        <w:rPr>
          <w:rFonts w:ascii="Arial" w:eastAsia="Arial" w:hAnsi="Arial" w:cs="Arial"/>
          <w:i/>
          <w:color w:val="000000"/>
          <w:sz w:val="20"/>
          <w:szCs w:val="20"/>
        </w:rPr>
        <w:t xml:space="preserve"> </w:t>
      </w:r>
      <w:r>
        <w:rPr>
          <w:rFonts w:ascii="Arial" w:eastAsia="Arial" w:hAnsi="Arial" w:cs="Arial"/>
          <w:i/>
          <w:color w:val="000000"/>
          <w:sz w:val="20"/>
          <w:szCs w:val="20"/>
        </w:rPr>
        <w:t>o</w:t>
      </w:r>
      <w:r w:rsidRPr="00E62423">
        <w:rPr>
          <w:rFonts w:ascii="Arial" w:eastAsia="Arial" w:hAnsi="Arial" w:cs="Arial"/>
          <w:i/>
          <w:color w:val="000000"/>
          <w:sz w:val="20"/>
          <w:szCs w:val="20"/>
        </w:rPr>
        <w:t xml:space="preserve">thers v Anhui Foreign Economic Construction Group Corporation Ltd </w:t>
      </w:r>
      <w:r>
        <w:rPr>
          <w:rFonts w:ascii="Arial" w:eastAsia="Arial" w:hAnsi="Arial" w:cs="Arial"/>
          <w:i/>
          <w:color w:val="000000"/>
          <w:sz w:val="20"/>
          <w:szCs w:val="20"/>
        </w:rPr>
        <w:t>&amp;</w:t>
      </w:r>
      <w:r w:rsidRPr="00E62423">
        <w:rPr>
          <w:rFonts w:ascii="Arial" w:eastAsia="Arial" w:hAnsi="Arial" w:cs="Arial"/>
          <w:i/>
          <w:color w:val="000000"/>
          <w:sz w:val="20"/>
          <w:szCs w:val="20"/>
        </w:rPr>
        <w:t xml:space="preserve"> </w:t>
      </w:r>
      <w:r>
        <w:rPr>
          <w:rFonts w:ascii="Arial" w:eastAsia="Arial" w:hAnsi="Arial" w:cs="Arial"/>
          <w:i/>
          <w:color w:val="000000"/>
          <w:sz w:val="20"/>
          <w:szCs w:val="20"/>
        </w:rPr>
        <w:t>a</w:t>
      </w:r>
      <w:r w:rsidRPr="00E62423">
        <w:rPr>
          <w:rFonts w:ascii="Arial" w:eastAsia="Arial" w:hAnsi="Arial" w:cs="Arial"/>
          <w:i/>
          <w:color w:val="000000"/>
          <w:sz w:val="20"/>
          <w:szCs w:val="20"/>
        </w:rPr>
        <w:t>nother</w:t>
      </w:r>
      <w:r w:rsidRPr="00E62423">
        <w:rPr>
          <w:rFonts w:ascii="Arial" w:eastAsia="Arial" w:hAnsi="Arial" w:cs="Arial"/>
          <w:color w:val="000000"/>
          <w:sz w:val="20"/>
          <w:szCs w:val="20"/>
        </w:rPr>
        <w:t xml:space="preserve"> 2017 (2) NR 340 (SC). See further </w:t>
      </w:r>
      <w:r w:rsidRPr="00E62423">
        <w:rPr>
          <w:rFonts w:ascii="Arial" w:eastAsia="Arial" w:hAnsi="Arial" w:cs="Arial"/>
          <w:i/>
          <w:color w:val="000000"/>
          <w:sz w:val="20"/>
          <w:szCs w:val="20"/>
        </w:rPr>
        <w:t>TEB Properties</w:t>
      </w:r>
      <w:r w:rsidR="00A252FF">
        <w:rPr>
          <w:rFonts w:ascii="Arial" w:eastAsia="Arial" w:hAnsi="Arial" w:cs="Arial"/>
          <w:i/>
          <w:color w:val="000000"/>
          <w:sz w:val="20"/>
          <w:szCs w:val="20"/>
        </w:rPr>
        <w:t xml:space="preserve"> CC</w:t>
      </w:r>
      <w:r w:rsidRPr="00E62423">
        <w:rPr>
          <w:rFonts w:ascii="Arial" w:eastAsia="Arial" w:hAnsi="Arial" w:cs="Arial"/>
          <w:i/>
          <w:color w:val="000000"/>
          <w:sz w:val="20"/>
          <w:szCs w:val="20"/>
        </w:rPr>
        <w:t xml:space="preserve"> v MEC, Department of Health and Social Services, North-West</w:t>
      </w:r>
      <w:r w:rsidRPr="00E62423">
        <w:rPr>
          <w:rFonts w:ascii="Arial" w:eastAsia="Arial" w:hAnsi="Arial" w:cs="Arial"/>
          <w:color w:val="000000"/>
          <w:sz w:val="20"/>
          <w:szCs w:val="20"/>
        </w:rPr>
        <w:t xml:space="preserve"> </w:t>
      </w:r>
      <w:r w:rsidR="00A252FF">
        <w:rPr>
          <w:rFonts w:ascii="Arial" w:eastAsia="Arial" w:hAnsi="Arial" w:cs="Arial"/>
          <w:color w:val="000000"/>
          <w:sz w:val="20"/>
          <w:szCs w:val="20"/>
        </w:rPr>
        <w:t>[</w:t>
      </w:r>
      <w:r w:rsidRPr="00E62423">
        <w:rPr>
          <w:rFonts w:ascii="Arial" w:eastAsia="Arial" w:hAnsi="Arial" w:cs="Arial"/>
          <w:color w:val="000000"/>
          <w:sz w:val="20"/>
          <w:szCs w:val="20"/>
        </w:rPr>
        <w:t>2012</w:t>
      </w:r>
      <w:r w:rsidR="00A252FF">
        <w:rPr>
          <w:rFonts w:ascii="Arial" w:eastAsia="Arial" w:hAnsi="Arial" w:cs="Arial"/>
          <w:color w:val="000000"/>
          <w:sz w:val="20"/>
          <w:szCs w:val="20"/>
        </w:rPr>
        <w:t>]</w:t>
      </w:r>
      <w:r w:rsidRPr="00E62423">
        <w:rPr>
          <w:rFonts w:ascii="Arial" w:eastAsia="Arial" w:hAnsi="Arial" w:cs="Arial"/>
          <w:color w:val="000000"/>
          <w:sz w:val="20"/>
          <w:szCs w:val="20"/>
        </w:rPr>
        <w:t xml:space="preserve"> (1) All SA 479 (SCA)</w:t>
      </w:r>
      <w:r w:rsidR="00A252FF">
        <w:rPr>
          <w:rFonts w:ascii="Arial" w:eastAsia="Arial" w:hAnsi="Arial" w:cs="Arial"/>
          <w:color w:val="000000"/>
          <w:sz w:val="20"/>
          <w:szCs w:val="20"/>
        </w:rPr>
        <w:t xml:space="preserve"> (1 December 2011)</w:t>
      </w:r>
      <w:r w:rsidRPr="00E62423">
        <w:rPr>
          <w:rFonts w:ascii="Arial" w:eastAsia="Arial" w:hAnsi="Arial" w:cs="Arial"/>
          <w:color w:val="000000"/>
          <w:sz w:val="20"/>
          <w:szCs w:val="20"/>
        </w:rPr>
        <w:t>.</w:t>
      </w:r>
    </w:p>
  </w:footnote>
  <w:footnote w:id="14">
    <w:p w14:paraId="268518CC" w14:textId="77777777" w:rsidR="00AA40D7" w:rsidRPr="00E62423" w:rsidRDefault="00AA40D7" w:rsidP="00135D9C">
      <w:pPr>
        <w:pStyle w:val="FootnoteText"/>
        <w:tabs>
          <w:tab w:val="left" w:pos="0"/>
        </w:tabs>
        <w:spacing w:line="240" w:lineRule="auto"/>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lang w:val="en-US"/>
        </w:rPr>
        <w:t xml:space="preserve">Rally for Democracy and Progress </w:t>
      </w:r>
      <w:r>
        <w:rPr>
          <w:rFonts w:ascii="Arial" w:hAnsi="Arial" w:cs="Arial"/>
          <w:i/>
          <w:lang w:val="en-US"/>
        </w:rPr>
        <w:t>&amp;</w:t>
      </w:r>
      <w:r w:rsidRPr="00E62423">
        <w:rPr>
          <w:rFonts w:ascii="Arial" w:hAnsi="Arial" w:cs="Arial"/>
          <w:i/>
          <w:lang w:val="en-US"/>
        </w:rPr>
        <w:t xml:space="preserve"> </w:t>
      </w:r>
      <w:r>
        <w:rPr>
          <w:rFonts w:ascii="Arial" w:hAnsi="Arial" w:cs="Arial"/>
          <w:i/>
          <w:lang w:val="en-US"/>
        </w:rPr>
        <w:t>o</w:t>
      </w:r>
      <w:r w:rsidRPr="00E62423">
        <w:rPr>
          <w:rFonts w:ascii="Arial" w:hAnsi="Arial" w:cs="Arial"/>
          <w:i/>
          <w:lang w:val="en-US"/>
        </w:rPr>
        <w:t xml:space="preserve">thers v Electoral Commission of Namibia </w:t>
      </w:r>
      <w:r>
        <w:rPr>
          <w:rFonts w:ascii="Arial" w:hAnsi="Arial" w:cs="Arial"/>
          <w:i/>
          <w:lang w:val="en-US"/>
        </w:rPr>
        <w:t>&amp;</w:t>
      </w:r>
      <w:r w:rsidRPr="00E62423">
        <w:rPr>
          <w:rFonts w:ascii="Arial" w:hAnsi="Arial" w:cs="Arial"/>
          <w:i/>
          <w:lang w:val="en-US"/>
        </w:rPr>
        <w:t xml:space="preserve"> </w:t>
      </w:r>
      <w:r>
        <w:rPr>
          <w:rFonts w:ascii="Arial" w:hAnsi="Arial" w:cs="Arial"/>
          <w:i/>
          <w:lang w:val="en-US"/>
        </w:rPr>
        <w:t>o</w:t>
      </w:r>
      <w:r w:rsidRPr="00E62423">
        <w:rPr>
          <w:rFonts w:ascii="Arial" w:hAnsi="Arial" w:cs="Arial"/>
          <w:i/>
          <w:lang w:val="en-US"/>
        </w:rPr>
        <w:t>thers</w:t>
      </w:r>
      <w:r>
        <w:rPr>
          <w:rFonts w:ascii="Arial" w:hAnsi="Arial" w:cs="Arial"/>
          <w:lang w:val="en-US"/>
        </w:rPr>
        <w:t xml:space="preserve"> 2010 (2) NR 487 (SC) para 23</w:t>
      </w:r>
      <w:r w:rsidRPr="00E62423">
        <w:rPr>
          <w:rFonts w:ascii="Arial" w:hAnsi="Arial" w:cs="Arial"/>
          <w:lang w:val="en-US"/>
        </w:rPr>
        <w:t>.</w:t>
      </w:r>
    </w:p>
  </w:footnote>
  <w:footnote w:id="15">
    <w:p w14:paraId="5B151BDB" w14:textId="77777777" w:rsidR="00AA40D7" w:rsidRPr="00E62423" w:rsidRDefault="00AA40D7" w:rsidP="00135D9C">
      <w:pPr>
        <w:pStyle w:val="FootnoteText"/>
        <w:tabs>
          <w:tab w:val="left" w:pos="0"/>
        </w:tabs>
        <w:spacing w:line="240" w:lineRule="auto"/>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lang w:val="en-US"/>
        </w:rPr>
        <w:t xml:space="preserve">President of the Republic of Namibia </w:t>
      </w:r>
      <w:r>
        <w:rPr>
          <w:rFonts w:ascii="Arial" w:hAnsi="Arial" w:cs="Arial"/>
          <w:i/>
          <w:lang w:val="en-US"/>
        </w:rPr>
        <w:t>&amp;</w:t>
      </w:r>
      <w:r w:rsidRPr="00E62423">
        <w:rPr>
          <w:rFonts w:ascii="Arial" w:hAnsi="Arial" w:cs="Arial"/>
          <w:i/>
          <w:lang w:val="en-US"/>
        </w:rPr>
        <w:t xml:space="preserve"> </w:t>
      </w:r>
      <w:r>
        <w:rPr>
          <w:rFonts w:ascii="Arial" w:hAnsi="Arial" w:cs="Arial"/>
          <w:i/>
          <w:lang w:val="en-US"/>
        </w:rPr>
        <w:t>o</w:t>
      </w:r>
      <w:r w:rsidRPr="00E62423">
        <w:rPr>
          <w:rFonts w:ascii="Arial" w:hAnsi="Arial" w:cs="Arial"/>
          <w:i/>
          <w:lang w:val="en-US"/>
        </w:rPr>
        <w:t xml:space="preserve">thers v Anhui Foreign Economic Construction Group Corporation Ltd </w:t>
      </w:r>
      <w:r>
        <w:rPr>
          <w:rFonts w:ascii="Arial" w:hAnsi="Arial" w:cs="Arial"/>
          <w:i/>
          <w:lang w:val="en-US"/>
        </w:rPr>
        <w:t>&amp; a</w:t>
      </w:r>
      <w:r w:rsidRPr="00E62423">
        <w:rPr>
          <w:rFonts w:ascii="Arial" w:hAnsi="Arial" w:cs="Arial"/>
          <w:i/>
          <w:lang w:val="en-US"/>
        </w:rPr>
        <w:t>nother</w:t>
      </w:r>
      <w:r w:rsidRPr="00E62423">
        <w:rPr>
          <w:rFonts w:ascii="Arial" w:hAnsi="Arial" w:cs="Arial"/>
          <w:lang w:val="en-US"/>
        </w:rPr>
        <w:t xml:space="preserve"> 2017 (2) NR 340 (SC).</w:t>
      </w:r>
    </w:p>
  </w:footnote>
  <w:footnote w:id="16">
    <w:p w14:paraId="53DA80EA" w14:textId="77777777" w:rsidR="00AA40D7" w:rsidRPr="00E62423" w:rsidRDefault="00AA40D7" w:rsidP="00135D9C">
      <w:pPr>
        <w:pStyle w:val="FootnoteText"/>
        <w:tabs>
          <w:tab w:val="left" w:pos="360"/>
        </w:tabs>
        <w:spacing w:line="240" w:lineRule="auto"/>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lang w:val="en-US"/>
        </w:rPr>
        <w:t>Section 8(1) of the Act</w:t>
      </w:r>
      <w:r>
        <w:rPr>
          <w:rFonts w:ascii="Arial" w:hAnsi="Arial" w:cs="Arial"/>
          <w:lang w:val="en-US"/>
        </w:rPr>
        <w:t>.</w:t>
      </w:r>
    </w:p>
  </w:footnote>
  <w:footnote w:id="17">
    <w:p w14:paraId="0090817B" w14:textId="77777777" w:rsidR="00AA40D7" w:rsidRPr="00E62423" w:rsidRDefault="00AA40D7" w:rsidP="00135D9C">
      <w:pPr>
        <w:pStyle w:val="FootnoteText"/>
        <w:tabs>
          <w:tab w:val="left" w:pos="360"/>
        </w:tabs>
        <w:spacing w:line="240" w:lineRule="auto"/>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lang w:val="en-US"/>
        </w:rPr>
        <w:t>Section 8(2) of the Act</w:t>
      </w:r>
      <w:r>
        <w:rPr>
          <w:rFonts w:ascii="Arial" w:hAnsi="Arial" w:cs="Arial"/>
          <w:lang w:val="en-US"/>
        </w:rPr>
        <w:t>.</w:t>
      </w:r>
    </w:p>
  </w:footnote>
  <w:footnote w:id="18">
    <w:p w14:paraId="42C3F173" w14:textId="77777777" w:rsidR="00AA40D7" w:rsidRPr="00E62423" w:rsidRDefault="00AA40D7" w:rsidP="00135D9C">
      <w:pPr>
        <w:pStyle w:val="FootnoteText"/>
        <w:tabs>
          <w:tab w:val="left" w:pos="360"/>
        </w:tabs>
        <w:spacing w:line="240" w:lineRule="auto"/>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lang w:val="en-US"/>
        </w:rPr>
        <w:t>Section 8(3) of the Act</w:t>
      </w:r>
      <w:r>
        <w:rPr>
          <w:rFonts w:ascii="Arial" w:hAnsi="Arial" w:cs="Arial"/>
          <w:lang w:val="en-US"/>
        </w:rPr>
        <w:t>.</w:t>
      </w:r>
    </w:p>
  </w:footnote>
  <w:footnote w:id="19">
    <w:p w14:paraId="7212913B" w14:textId="77777777" w:rsidR="00AA40D7" w:rsidRPr="00E62423" w:rsidRDefault="00AA40D7" w:rsidP="00135D9C">
      <w:pPr>
        <w:pStyle w:val="FootnoteText"/>
        <w:tabs>
          <w:tab w:val="left" w:pos="360"/>
        </w:tabs>
        <w:spacing w:line="240" w:lineRule="auto"/>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lang w:val="en-US"/>
        </w:rPr>
        <w:t>Section 18(1) of the Act</w:t>
      </w:r>
      <w:r>
        <w:rPr>
          <w:rFonts w:ascii="Arial" w:hAnsi="Arial" w:cs="Arial"/>
          <w:lang w:val="en-US"/>
        </w:rPr>
        <w:t>.</w:t>
      </w:r>
    </w:p>
  </w:footnote>
  <w:footnote w:id="20">
    <w:p w14:paraId="4D5A828A" w14:textId="77777777" w:rsidR="00AA40D7" w:rsidRPr="00E62423" w:rsidRDefault="00AA40D7" w:rsidP="00135D9C">
      <w:pPr>
        <w:pStyle w:val="FootnoteText"/>
        <w:tabs>
          <w:tab w:val="left" w:pos="360"/>
        </w:tabs>
        <w:spacing w:line="240" w:lineRule="auto"/>
        <w:rPr>
          <w:rFonts w:ascii="Arial" w:hAnsi="Arial" w:cs="Arial"/>
          <w:lang w:val="en-US"/>
        </w:rPr>
      </w:pPr>
      <w:r w:rsidRPr="00E62423">
        <w:rPr>
          <w:rStyle w:val="FootnoteReference"/>
          <w:rFonts w:ascii="Arial" w:hAnsi="Arial" w:cs="Arial"/>
        </w:rPr>
        <w:footnoteRef/>
      </w:r>
      <w:r>
        <w:rPr>
          <w:rFonts w:ascii="Arial" w:hAnsi="Arial" w:cs="Arial"/>
        </w:rPr>
        <w:t xml:space="preserve"> </w:t>
      </w:r>
      <w:r w:rsidRPr="00E62423">
        <w:rPr>
          <w:rFonts w:ascii="Arial" w:hAnsi="Arial" w:cs="Arial"/>
          <w:lang w:val="en-US"/>
        </w:rPr>
        <w:t>Section 18(2) of the Act</w:t>
      </w:r>
      <w:r>
        <w:rPr>
          <w:rFonts w:ascii="Arial" w:hAnsi="Arial" w:cs="Arial"/>
          <w:lang w:val="en-US"/>
        </w:rPr>
        <w:t>.</w:t>
      </w:r>
    </w:p>
  </w:footnote>
  <w:footnote w:id="21">
    <w:p w14:paraId="244EB696" w14:textId="77777777" w:rsidR="00AA40D7" w:rsidRPr="00E62423" w:rsidRDefault="00AA40D7" w:rsidP="00135D9C">
      <w:pPr>
        <w:pStyle w:val="FootnoteText"/>
        <w:tabs>
          <w:tab w:val="left" w:pos="360"/>
        </w:tabs>
        <w:spacing w:line="240" w:lineRule="auto"/>
        <w:jc w:val="both"/>
        <w:rPr>
          <w:rFonts w:ascii="Arial" w:hAnsi="Arial" w:cs="Arial"/>
          <w:lang w:val="en-US"/>
        </w:rPr>
      </w:pPr>
      <w:r w:rsidRPr="00E62423">
        <w:rPr>
          <w:rStyle w:val="FootnoteReference"/>
          <w:rFonts w:ascii="Arial" w:hAnsi="Arial" w:cs="Arial"/>
        </w:rPr>
        <w:footnoteRef/>
      </w:r>
      <w:r>
        <w:rPr>
          <w:rFonts w:ascii="Arial" w:hAnsi="Arial" w:cs="Arial"/>
        </w:rPr>
        <w:t xml:space="preserve"> </w:t>
      </w:r>
      <w:r w:rsidRPr="00E62423">
        <w:rPr>
          <w:rFonts w:ascii="Arial" w:hAnsi="Arial" w:cs="Arial"/>
          <w:lang w:val="en-US"/>
        </w:rPr>
        <w:t>Section 18(2) of the Act</w:t>
      </w:r>
      <w:r>
        <w:rPr>
          <w:rFonts w:ascii="Arial" w:hAnsi="Arial" w:cs="Arial"/>
          <w:lang w:val="en-US"/>
        </w:rPr>
        <w:t>.</w:t>
      </w:r>
    </w:p>
  </w:footnote>
  <w:footnote w:id="22">
    <w:p w14:paraId="7ABF52C8" w14:textId="77777777" w:rsidR="00065251" w:rsidRPr="00E62423" w:rsidRDefault="00065251" w:rsidP="00135D9C">
      <w:pPr>
        <w:pStyle w:val="FootnoteText"/>
        <w:spacing w:line="240" w:lineRule="auto"/>
        <w:jc w:val="both"/>
        <w:rPr>
          <w:rFonts w:ascii="Arial" w:hAnsi="Arial" w:cs="Arial"/>
          <w:lang w:val="en-US"/>
        </w:rPr>
      </w:pPr>
      <w:r w:rsidRPr="00E62423">
        <w:rPr>
          <w:rStyle w:val="FootnoteReference"/>
          <w:rFonts w:ascii="Arial" w:hAnsi="Arial" w:cs="Arial"/>
        </w:rPr>
        <w:footnoteRef/>
      </w:r>
      <w:r w:rsidRPr="00E62423">
        <w:rPr>
          <w:rFonts w:ascii="Arial" w:hAnsi="Arial" w:cs="Arial"/>
        </w:rPr>
        <w:t xml:space="preserve"> </w:t>
      </w:r>
      <w:r w:rsidRPr="00E62423">
        <w:rPr>
          <w:rFonts w:ascii="Arial" w:hAnsi="Arial" w:cs="Arial"/>
          <w:i/>
        </w:rPr>
        <w:t>River View Estate CC v DTA of Namibia</w:t>
      </w:r>
      <w:r>
        <w:rPr>
          <w:rFonts w:ascii="Arial" w:hAnsi="Arial" w:cs="Arial"/>
        </w:rPr>
        <w:t xml:space="preserve"> (SA 85/</w:t>
      </w:r>
      <w:r w:rsidRPr="00E62423">
        <w:rPr>
          <w:rFonts w:ascii="Arial" w:hAnsi="Arial" w:cs="Arial"/>
        </w:rPr>
        <w:t>2019</w:t>
      </w:r>
      <w:r>
        <w:rPr>
          <w:rFonts w:ascii="Arial" w:hAnsi="Arial" w:cs="Arial"/>
        </w:rPr>
        <w:t>) [2022] NASC 20 (30 June 2022) para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E2F" w14:textId="77777777" w:rsidR="00AA40D7" w:rsidRPr="00C378CC" w:rsidRDefault="00AA40D7">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F42D66">
      <w:rPr>
        <w:rFonts w:ascii="Arial" w:hAnsi="Arial" w:cs="Arial"/>
        <w:noProof/>
        <w:sz w:val="24"/>
        <w:szCs w:val="24"/>
      </w:rPr>
      <w:t>20</w:t>
    </w:r>
    <w:r w:rsidRPr="00C378CC">
      <w:rPr>
        <w:rFonts w:ascii="Arial" w:hAnsi="Arial" w:cs="Arial"/>
        <w:sz w:val="24"/>
        <w:szCs w:val="24"/>
      </w:rPr>
      <w:fldChar w:fldCharType="end"/>
    </w:r>
  </w:p>
  <w:p w14:paraId="3CDA95D3" w14:textId="77777777" w:rsidR="00AA40D7" w:rsidRDefault="00AA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50B8" w14:textId="77777777" w:rsidR="00AA40D7" w:rsidRDefault="00AA40D7" w:rsidP="00722C0A">
    <w:pPr>
      <w:pStyle w:val="Header"/>
      <w:ind w:left="1701"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98"/>
    <w:multiLevelType w:val="multilevel"/>
    <w:tmpl w:val="C0E2357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3A75AAC"/>
    <w:multiLevelType w:val="singleLevel"/>
    <w:tmpl w:val="3AB13496"/>
    <w:lvl w:ilvl="0">
      <w:start w:val="1"/>
      <w:numFmt w:val="lowerLetter"/>
      <w:lvlText w:val="(%1)"/>
      <w:lvlJc w:val="left"/>
      <w:pPr>
        <w:tabs>
          <w:tab w:val="num" w:pos="3168"/>
        </w:tabs>
        <w:ind w:left="3168" w:hanging="648"/>
      </w:pPr>
      <w:rPr>
        <w:snapToGrid/>
        <w:sz w:val="22"/>
        <w:szCs w:val="22"/>
      </w:rPr>
    </w:lvl>
  </w:abstractNum>
  <w:abstractNum w:abstractNumId="2" w15:restartNumberingAfterBreak="0">
    <w:nsid w:val="040DBFB1"/>
    <w:multiLevelType w:val="singleLevel"/>
    <w:tmpl w:val="39856EAE"/>
    <w:lvl w:ilvl="0">
      <w:start w:val="1"/>
      <w:numFmt w:val="lowerLetter"/>
      <w:lvlText w:val="(%1)"/>
      <w:lvlJc w:val="left"/>
      <w:pPr>
        <w:tabs>
          <w:tab w:val="num" w:pos="2952"/>
        </w:tabs>
        <w:ind w:left="2304"/>
      </w:pPr>
      <w:rPr>
        <w:snapToGrid/>
        <w:spacing w:val="4"/>
        <w:sz w:val="22"/>
        <w:szCs w:val="22"/>
      </w:rPr>
    </w:lvl>
  </w:abstractNum>
  <w:abstractNum w:abstractNumId="3" w15:restartNumberingAfterBreak="0">
    <w:nsid w:val="05B51EE4"/>
    <w:multiLevelType w:val="multilevel"/>
    <w:tmpl w:val="06ECF096"/>
    <w:lvl w:ilvl="0">
      <w:start w:val="20"/>
      <w:numFmt w:val="decimal"/>
      <w:lvlText w:val="%1"/>
      <w:lvlJc w:val="left"/>
      <w:pPr>
        <w:ind w:left="465" w:hanging="465"/>
      </w:pPr>
      <w:rPr>
        <w:rFonts w:hint="default"/>
      </w:rPr>
    </w:lvl>
    <w:lvl w:ilvl="1">
      <w:start w:val="1"/>
      <w:numFmt w:val="decimal"/>
      <w:lvlText w:val="%1.%2"/>
      <w:lvlJc w:val="left"/>
      <w:pPr>
        <w:ind w:left="1600" w:hanging="465"/>
      </w:pPr>
      <w:rPr>
        <w:rFonts w:ascii="Arial" w:hAnsi="Arial" w:cs="Arial"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DC083F"/>
    <w:multiLevelType w:val="hybridMultilevel"/>
    <w:tmpl w:val="1E1C7F40"/>
    <w:lvl w:ilvl="0" w:tplc="542ED3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5322DE"/>
    <w:multiLevelType w:val="hybridMultilevel"/>
    <w:tmpl w:val="5F2EEDA2"/>
    <w:lvl w:ilvl="0" w:tplc="08C6CCC4">
      <w:start w:val="1"/>
      <w:numFmt w:val="decimal"/>
      <w:lvlText w:val="[%1]"/>
      <w:lvlJc w:val="left"/>
      <w:pPr>
        <w:ind w:left="720" w:hanging="360"/>
      </w:pPr>
      <w:rPr>
        <w:rFonts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A2C7B"/>
    <w:multiLevelType w:val="hybridMultilevel"/>
    <w:tmpl w:val="2A0423E4"/>
    <w:lvl w:ilvl="0" w:tplc="EE281F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6F5FCE"/>
    <w:multiLevelType w:val="hybridMultilevel"/>
    <w:tmpl w:val="3AE8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522C0"/>
    <w:multiLevelType w:val="hybridMultilevel"/>
    <w:tmpl w:val="831C3E8A"/>
    <w:lvl w:ilvl="0" w:tplc="DCA2F682">
      <w:start w:val="1"/>
      <w:numFmt w:val="lowerLetter"/>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C616586"/>
    <w:multiLevelType w:val="multilevel"/>
    <w:tmpl w:val="0A443608"/>
    <w:lvl w:ilvl="0">
      <w:start w:val="28"/>
      <w:numFmt w:val="decimal"/>
      <w:lvlText w:val="%1"/>
      <w:lvlJc w:val="left"/>
      <w:pPr>
        <w:ind w:left="465" w:hanging="465"/>
      </w:pPr>
    </w:lvl>
    <w:lvl w:ilvl="1">
      <w:start w:val="1"/>
      <w:numFmt w:val="decimal"/>
      <w:lvlText w:val="%1.%2"/>
      <w:lvlJc w:val="left"/>
      <w:pPr>
        <w:ind w:left="2036" w:hanging="465"/>
      </w:p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0866" w:hanging="1440"/>
      </w:pPr>
    </w:lvl>
    <w:lvl w:ilvl="7">
      <w:start w:val="1"/>
      <w:numFmt w:val="decimal"/>
      <w:lvlText w:val="%1.%2.%3.%4.%5.%6.%7.%8"/>
      <w:lvlJc w:val="left"/>
      <w:pPr>
        <w:ind w:left="12797" w:hanging="1800"/>
      </w:pPr>
    </w:lvl>
    <w:lvl w:ilvl="8">
      <w:start w:val="1"/>
      <w:numFmt w:val="decimal"/>
      <w:lvlText w:val="%1.%2.%3.%4.%5.%6.%7.%8.%9"/>
      <w:lvlJc w:val="left"/>
      <w:pPr>
        <w:ind w:left="14368" w:hanging="1800"/>
      </w:pPr>
    </w:lvl>
  </w:abstractNum>
  <w:abstractNum w:abstractNumId="10" w15:restartNumberingAfterBreak="0">
    <w:nsid w:val="1DA15380"/>
    <w:multiLevelType w:val="hybridMultilevel"/>
    <w:tmpl w:val="3AB485AC"/>
    <w:lvl w:ilvl="0" w:tplc="ADDA12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A64759"/>
    <w:multiLevelType w:val="hybridMultilevel"/>
    <w:tmpl w:val="8C3AED62"/>
    <w:lvl w:ilvl="0" w:tplc="B9BE3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CD71F5"/>
    <w:multiLevelType w:val="hybridMultilevel"/>
    <w:tmpl w:val="1E284604"/>
    <w:lvl w:ilvl="0" w:tplc="0052AAF6">
      <w:start w:val="1"/>
      <w:numFmt w:val="lowerLetter"/>
      <w:lvlText w:val="(%1)"/>
      <w:lvlJc w:val="left"/>
      <w:pPr>
        <w:ind w:left="2804" w:hanging="360"/>
      </w:pPr>
      <w:rPr>
        <w:rFonts w:hint="default"/>
      </w:rPr>
    </w:lvl>
    <w:lvl w:ilvl="1" w:tplc="1C090019">
      <w:start w:val="1"/>
      <w:numFmt w:val="lowerLetter"/>
      <w:lvlText w:val="%2."/>
      <w:lvlJc w:val="left"/>
      <w:pPr>
        <w:ind w:left="3524" w:hanging="360"/>
      </w:pPr>
    </w:lvl>
    <w:lvl w:ilvl="2" w:tplc="1C09001B" w:tentative="1">
      <w:start w:val="1"/>
      <w:numFmt w:val="lowerRoman"/>
      <w:lvlText w:val="%3."/>
      <w:lvlJc w:val="right"/>
      <w:pPr>
        <w:ind w:left="4244" w:hanging="180"/>
      </w:pPr>
    </w:lvl>
    <w:lvl w:ilvl="3" w:tplc="1C09000F" w:tentative="1">
      <w:start w:val="1"/>
      <w:numFmt w:val="decimal"/>
      <w:lvlText w:val="%4."/>
      <w:lvlJc w:val="left"/>
      <w:pPr>
        <w:ind w:left="4964" w:hanging="360"/>
      </w:pPr>
    </w:lvl>
    <w:lvl w:ilvl="4" w:tplc="1C090019" w:tentative="1">
      <w:start w:val="1"/>
      <w:numFmt w:val="lowerLetter"/>
      <w:lvlText w:val="%5."/>
      <w:lvlJc w:val="left"/>
      <w:pPr>
        <w:ind w:left="5684" w:hanging="360"/>
      </w:pPr>
    </w:lvl>
    <w:lvl w:ilvl="5" w:tplc="1C09001B" w:tentative="1">
      <w:start w:val="1"/>
      <w:numFmt w:val="lowerRoman"/>
      <w:lvlText w:val="%6."/>
      <w:lvlJc w:val="right"/>
      <w:pPr>
        <w:ind w:left="6404" w:hanging="180"/>
      </w:pPr>
    </w:lvl>
    <w:lvl w:ilvl="6" w:tplc="1C09000F" w:tentative="1">
      <w:start w:val="1"/>
      <w:numFmt w:val="decimal"/>
      <w:lvlText w:val="%7."/>
      <w:lvlJc w:val="left"/>
      <w:pPr>
        <w:ind w:left="7124" w:hanging="360"/>
      </w:pPr>
    </w:lvl>
    <w:lvl w:ilvl="7" w:tplc="1C090019" w:tentative="1">
      <w:start w:val="1"/>
      <w:numFmt w:val="lowerLetter"/>
      <w:lvlText w:val="%8."/>
      <w:lvlJc w:val="left"/>
      <w:pPr>
        <w:ind w:left="7844" w:hanging="360"/>
      </w:pPr>
    </w:lvl>
    <w:lvl w:ilvl="8" w:tplc="1C09001B" w:tentative="1">
      <w:start w:val="1"/>
      <w:numFmt w:val="lowerRoman"/>
      <w:lvlText w:val="%9."/>
      <w:lvlJc w:val="right"/>
      <w:pPr>
        <w:ind w:left="8564" w:hanging="180"/>
      </w:pPr>
    </w:lvl>
  </w:abstractNum>
  <w:abstractNum w:abstractNumId="13" w15:restartNumberingAfterBreak="0">
    <w:nsid w:val="22EB3CC6"/>
    <w:multiLevelType w:val="hybridMultilevel"/>
    <w:tmpl w:val="039A724A"/>
    <w:lvl w:ilvl="0" w:tplc="0824D0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C1F40"/>
    <w:multiLevelType w:val="hybridMultilevel"/>
    <w:tmpl w:val="37BEF7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85457A1"/>
    <w:multiLevelType w:val="hybridMultilevel"/>
    <w:tmpl w:val="E90274E0"/>
    <w:lvl w:ilvl="0" w:tplc="662E7772">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8BB3DF9"/>
    <w:multiLevelType w:val="hybridMultilevel"/>
    <w:tmpl w:val="6DF48A2E"/>
    <w:lvl w:ilvl="0" w:tplc="66703180">
      <w:start w:val="1"/>
      <w:numFmt w:val="lowerLetter"/>
      <w:lvlText w:val="(%1)"/>
      <w:lvlJc w:val="left"/>
      <w:pPr>
        <w:ind w:left="1822" w:hanging="360"/>
      </w:pPr>
      <w:rPr>
        <w:rFonts w:hint="default"/>
      </w:rPr>
    </w:lvl>
    <w:lvl w:ilvl="1" w:tplc="1C090019" w:tentative="1">
      <w:start w:val="1"/>
      <w:numFmt w:val="lowerLetter"/>
      <w:lvlText w:val="%2."/>
      <w:lvlJc w:val="left"/>
      <w:pPr>
        <w:ind w:left="2542" w:hanging="360"/>
      </w:pPr>
    </w:lvl>
    <w:lvl w:ilvl="2" w:tplc="1C09001B" w:tentative="1">
      <w:start w:val="1"/>
      <w:numFmt w:val="lowerRoman"/>
      <w:lvlText w:val="%3."/>
      <w:lvlJc w:val="right"/>
      <w:pPr>
        <w:ind w:left="3262" w:hanging="180"/>
      </w:pPr>
    </w:lvl>
    <w:lvl w:ilvl="3" w:tplc="1C09000F" w:tentative="1">
      <w:start w:val="1"/>
      <w:numFmt w:val="decimal"/>
      <w:lvlText w:val="%4."/>
      <w:lvlJc w:val="left"/>
      <w:pPr>
        <w:ind w:left="3982" w:hanging="360"/>
      </w:pPr>
    </w:lvl>
    <w:lvl w:ilvl="4" w:tplc="1C090019" w:tentative="1">
      <w:start w:val="1"/>
      <w:numFmt w:val="lowerLetter"/>
      <w:lvlText w:val="%5."/>
      <w:lvlJc w:val="left"/>
      <w:pPr>
        <w:ind w:left="4702" w:hanging="360"/>
      </w:pPr>
    </w:lvl>
    <w:lvl w:ilvl="5" w:tplc="1C09001B" w:tentative="1">
      <w:start w:val="1"/>
      <w:numFmt w:val="lowerRoman"/>
      <w:lvlText w:val="%6."/>
      <w:lvlJc w:val="right"/>
      <w:pPr>
        <w:ind w:left="5422" w:hanging="180"/>
      </w:pPr>
    </w:lvl>
    <w:lvl w:ilvl="6" w:tplc="1C09000F" w:tentative="1">
      <w:start w:val="1"/>
      <w:numFmt w:val="decimal"/>
      <w:lvlText w:val="%7."/>
      <w:lvlJc w:val="left"/>
      <w:pPr>
        <w:ind w:left="6142" w:hanging="360"/>
      </w:pPr>
    </w:lvl>
    <w:lvl w:ilvl="7" w:tplc="1C090019" w:tentative="1">
      <w:start w:val="1"/>
      <w:numFmt w:val="lowerLetter"/>
      <w:lvlText w:val="%8."/>
      <w:lvlJc w:val="left"/>
      <w:pPr>
        <w:ind w:left="6862" w:hanging="360"/>
      </w:pPr>
    </w:lvl>
    <w:lvl w:ilvl="8" w:tplc="1C09001B" w:tentative="1">
      <w:start w:val="1"/>
      <w:numFmt w:val="lowerRoman"/>
      <w:lvlText w:val="%9."/>
      <w:lvlJc w:val="right"/>
      <w:pPr>
        <w:ind w:left="7582" w:hanging="180"/>
      </w:pPr>
    </w:lvl>
  </w:abstractNum>
  <w:abstractNum w:abstractNumId="17" w15:restartNumberingAfterBreak="0">
    <w:nsid w:val="294C0CA7"/>
    <w:multiLevelType w:val="hybridMultilevel"/>
    <w:tmpl w:val="06960646"/>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99917D7"/>
    <w:multiLevelType w:val="hybridMultilevel"/>
    <w:tmpl w:val="9A20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3669AC"/>
    <w:multiLevelType w:val="hybridMultilevel"/>
    <w:tmpl w:val="0424339C"/>
    <w:lvl w:ilvl="0" w:tplc="0248D842">
      <w:start w:val="1"/>
      <w:numFmt w:val="lowerLetter"/>
      <w:lvlText w:val="(%1)"/>
      <w:lvlJc w:val="left"/>
      <w:pPr>
        <w:ind w:left="1179" w:hanging="360"/>
      </w:pPr>
      <w:rPr>
        <w:rFonts w:hint="default"/>
      </w:rPr>
    </w:lvl>
    <w:lvl w:ilvl="1" w:tplc="1C090019" w:tentative="1">
      <w:start w:val="1"/>
      <w:numFmt w:val="lowerLetter"/>
      <w:lvlText w:val="%2."/>
      <w:lvlJc w:val="left"/>
      <w:pPr>
        <w:ind w:left="1899" w:hanging="360"/>
      </w:pPr>
    </w:lvl>
    <w:lvl w:ilvl="2" w:tplc="1C09001B" w:tentative="1">
      <w:start w:val="1"/>
      <w:numFmt w:val="lowerRoman"/>
      <w:lvlText w:val="%3."/>
      <w:lvlJc w:val="right"/>
      <w:pPr>
        <w:ind w:left="2619" w:hanging="180"/>
      </w:pPr>
    </w:lvl>
    <w:lvl w:ilvl="3" w:tplc="1C09000F" w:tentative="1">
      <w:start w:val="1"/>
      <w:numFmt w:val="decimal"/>
      <w:lvlText w:val="%4."/>
      <w:lvlJc w:val="left"/>
      <w:pPr>
        <w:ind w:left="3339" w:hanging="360"/>
      </w:pPr>
    </w:lvl>
    <w:lvl w:ilvl="4" w:tplc="1C090019" w:tentative="1">
      <w:start w:val="1"/>
      <w:numFmt w:val="lowerLetter"/>
      <w:lvlText w:val="%5."/>
      <w:lvlJc w:val="left"/>
      <w:pPr>
        <w:ind w:left="4059" w:hanging="360"/>
      </w:pPr>
    </w:lvl>
    <w:lvl w:ilvl="5" w:tplc="1C09001B" w:tentative="1">
      <w:start w:val="1"/>
      <w:numFmt w:val="lowerRoman"/>
      <w:lvlText w:val="%6."/>
      <w:lvlJc w:val="right"/>
      <w:pPr>
        <w:ind w:left="4779" w:hanging="180"/>
      </w:pPr>
    </w:lvl>
    <w:lvl w:ilvl="6" w:tplc="1C09000F" w:tentative="1">
      <w:start w:val="1"/>
      <w:numFmt w:val="decimal"/>
      <w:lvlText w:val="%7."/>
      <w:lvlJc w:val="left"/>
      <w:pPr>
        <w:ind w:left="5499" w:hanging="360"/>
      </w:pPr>
    </w:lvl>
    <w:lvl w:ilvl="7" w:tplc="1C090019" w:tentative="1">
      <w:start w:val="1"/>
      <w:numFmt w:val="lowerLetter"/>
      <w:lvlText w:val="%8."/>
      <w:lvlJc w:val="left"/>
      <w:pPr>
        <w:ind w:left="6219" w:hanging="360"/>
      </w:pPr>
    </w:lvl>
    <w:lvl w:ilvl="8" w:tplc="1C09001B" w:tentative="1">
      <w:start w:val="1"/>
      <w:numFmt w:val="lowerRoman"/>
      <w:lvlText w:val="%9."/>
      <w:lvlJc w:val="right"/>
      <w:pPr>
        <w:ind w:left="6939" w:hanging="180"/>
      </w:pPr>
    </w:lvl>
  </w:abstractNum>
  <w:abstractNum w:abstractNumId="20" w15:restartNumberingAfterBreak="0">
    <w:nsid w:val="2BD00DFD"/>
    <w:multiLevelType w:val="hybridMultilevel"/>
    <w:tmpl w:val="1340E6C8"/>
    <w:lvl w:ilvl="0" w:tplc="9222C26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E675255"/>
    <w:multiLevelType w:val="hybridMultilevel"/>
    <w:tmpl w:val="E10E7DD8"/>
    <w:lvl w:ilvl="0" w:tplc="408C8DA8">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1B4134E"/>
    <w:multiLevelType w:val="hybridMultilevel"/>
    <w:tmpl w:val="AABC5D04"/>
    <w:lvl w:ilvl="0" w:tplc="92BEF1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CC4AA6"/>
    <w:multiLevelType w:val="hybridMultilevel"/>
    <w:tmpl w:val="107A614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9AF1D05"/>
    <w:multiLevelType w:val="hybridMultilevel"/>
    <w:tmpl w:val="CAC8D73A"/>
    <w:lvl w:ilvl="0" w:tplc="8434350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77A62"/>
    <w:multiLevelType w:val="hybridMultilevel"/>
    <w:tmpl w:val="6C44EBEC"/>
    <w:lvl w:ilvl="0" w:tplc="710C7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26E75"/>
    <w:multiLevelType w:val="hybridMultilevel"/>
    <w:tmpl w:val="BDB69B7E"/>
    <w:lvl w:ilvl="0" w:tplc="483A64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0F66CC0"/>
    <w:multiLevelType w:val="hybridMultilevel"/>
    <w:tmpl w:val="8DE4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72CF7"/>
    <w:multiLevelType w:val="hybridMultilevel"/>
    <w:tmpl w:val="7130BA9E"/>
    <w:lvl w:ilvl="0" w:tplc="0409000F">
      <w:start w:val="3"/>
      <w:numFmt w:val="decimal"/>
      <w:lvlText w:val="%1."/>
      <w:lvlJc w:val="left"/>
      <w:pPr>
        <w:ind w:left="1305" w:hanging="360"/>
      </w:pPr>
      <w:rPr>
        <w:rFonts w:hint="default"/>
      </w:r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9"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9562133"/>
    <w:multiLevelType w:val="hybridMultilevel"/>
    <w:tmpl w:val="4F6071EE"/>
    <w:lvl w:ilvl="0" w:tplc="D7B86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1A4435F"/>
    <w:multiLevelType w:val="hybridMultilevel"/>
    <w:tmpl w:val="E3A85AC6"/>
    <w:lvl w:ilvl="0" w:tplc="4C48C60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79D4D33"/>
    <w:multiLevelType w:val="hybridMultilevel"/>
    <w:tmpl w:val="9752C93C"/>
    <w:lvl w:ilvl="0" w:tplc="C292F55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616B97"/>
    <w:multiLevelType w:val="hybridMultilevel"/>
    <w:tmpl w:val="EE8ACAE6"/>
    <w:lvl w:ilvl="0" w:tplc="64105A3A">
      <w:start w:val="1"/>
      <w:numFmt w:val="decimal"/>
      <w:lvlText w:val="[%1]"/>
      <w:lvlJc w:val="left"/>
      <w:pPr>
        <w:ind w:left="36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35" w15:restartNumberingAfterBreak="0">
    <w:nsid w:val="697F0827"/>
    <w:multiLevelType w:val="hybridMultilevel"/>
    <w:tmpl w:val="41140EB4"/>
    <w:lvl w:ilvl="0" w:tplc="5576ED9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E661831"/>
    <w:multiLevelType w:val="hybridMultilevel"/>
    <w:tmpl w:val="6EF4F424"/>
    <w:lvl w:ilvl="0" w:tplc="AA3070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78D41FD4"/>
    <w:multiLevelType w:val="hybridMultilevel"/>
    <w:tmpl w:val="79D0B9F2"/>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D069B5"/>
    <w:multiLevelType w:val="hybridMultilevel"/>
    <w:tmpl w:val="D8C80776"/>
    <w:lvl w:ilvl="0" w:tplc="8CCA84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BAA0DEA"/>
    <w:multiLevelType w:val="hybridMultilevel"/>
    <w:tmpl w:val="3886BAE6"/>
    <w:lvl w:ilvl="0" w:tplc="18FAA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D42731"/>
    <w:multiLevelType w:val="hybridMultilevel"/>
    <w:tmpl w:val="25CEA46E"/>
    <w:lvl w:ilvl="0" w:tplc="51CC98BE">
      <w:start w:val="1"/>
      <w:numFmt w:val="upp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0A2DB9"/>
    <w:multiLevelType w:val="hybridMultilevel"/>
    <w:tmpl w:val="62469918"/>
    <w:lvl w:ilvl="0" w:tplc="C6ECE2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564100803">
    <w:abstractNumId w:val="20"/>
  </w:num>
  <w:num w:numId="2" w16cid:durableId="1685476659">
    <w:abstractNumId w:val="38"/>
  </w:num>
  <w:num w:numId="3" w16cid:durableId="2081511775">
    <w:abstractNumId w:val="28"/>
  </w:num>
  <w:num w:numId="4" w16cid:durableId="868447283">
    <w:abstractNumId w:val="32"/>
  </w:num>
  <w:num w:numId="5" w16cid:durableId="2067101442">
    <w:abstractNumId w:val="41"/>
  </w:num>
  <w:num w:numId="6" w16cid:durableId="1957103927">
    <w:abstractNumId w:val="21"/>
  </w:num>
  <w:num w:numId="7" w16cid:durableId="1985697013">
    <w:abstractNumId w:val="29"/>
  </w:num>
  <w:num w:numId="8" w16cid:durableId="1138767777">
    <w:abstractNumId w:val="26"/>
  </w:num>
  <w:num w:numId="9" w16cid:durableId="314989372">
    <w:abstractNumId w:val="15"/>
  </w:num>
  <w:num w:numId="10" w16cid:durableId="1132287423">
    <w:abstractNumId w:val="8"/>
  </w:num>
  <w:num w:numId="11" w16cid:durableId="2104567918">
    <w:abstractNumId w:val="23"/>
  </w:num>
  <w:num w:numId="12" w16cid:durableId="1531987798">
    <w:abstractNumId w:val="17"/>
  </w:num>
  <w:num w:numId="13" w16cid:durableId="325480570">
    <w:abstractNumId w:val="37"/>
  </w:num>
  <w:num w:numId="14" w16cid:durableId="695471044">
    <w:abstractNumId w:val="11"/>
  </w:num>
  <w:num w:numId="15" w16cid:durableId="14236571">
    <w:abstractNumId w:val="31"/>
  </w:num>
  <w:num w:numId="16" w16cid:durableId="1028793788">
    <w:abstractNumId w:val="36"/>
  </w:num>
  <w:num w:numId="17" w16cid:durableId="1025448627">
    <w:abstractNumId w:val="30"/>
  </w:num>
  <w:num w:numId="18" w16cid:durableId="606693346">
    <w:abstractNumId w:val="34"/>
  </w:num>
  <w:num w:numId="19" w16cid:durableId="1128669820">
    <w:abstractNumId w:val="1"/>
  </w:num>
  <w:num w:numId="20" w16cid:durableId="1574702905">
    <w:abstractNumId w:val="1"/>
    <w:lvlOverride w:ilvl="0">
      <w:lvl w:ilvl="0">
        <w:numFmt w:val="lowerLetter"/>
        <w:lvlText w:val="(%1)"/>
        <w:lvlJc w:val="left"/>
        <w:pPr>
          <w:tabs>
            <w:tab w:val="num" w:pos="3168"/>
          </w:tabs>
          <w:ind w:left="1800" w:firstLine="720"/>
        </w:pPr>
        <w:rPr>
          <w:snapToGrid/>
          <w:sz w:val="22"/>
          <w:szCs w:val="22"/>
        </w:rPr>
      </w:lvl>
    </w:lvlOverride>
  </w:num>
  <w:num w:numId="21" w16cid:durableId="323552652">
    <w:abstractNumId w:val="2"/>
  </w:num>
  <w:num w:numId="22" w16cid:durableId="653264042">
    <w:abstractNumId w:val="16"/>
  </w:num>
  <w:num w:numId="23" w16cid:durableId="18847103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8366572">
    <w:abstractNumId w:val="39"/>
  </w:num>
  <w:num w:numId="25" w16cid:durableId="1023168459">
    <w:abstractNumId w:val="35"/>
  </w:num>
  <w:num w:numId="26" w16cid:durableId="1970239062">
    <w:abstractNumId w:val="18"/>
  </w:num>
  <w:num w:numId="27" w16cid:durableId="1225216669">
    <w:abstractNumId w:val="24"/>
  </w:num>
  <w:num w:numId="28" w16cid:durableId="967273640">
    <w:abstractNumId w:val="13"/>
  </w:num>
  <w:num w:numId="29" w16cid:durableId="1133985804">
    <w:abstractNumId w:val="3"/>
  </w:num>
  <w:num w:numId="30" w16cid:durableId="40252629">
    <w:abstractNumId w:val="6"/>
  </w:num>
  <w:num w:numId="31" w16cid:durableId="619653099">
    <w:abstractNumId w:val="9"/>
  </w:num>
  <w:num w:numId="32" w16cid:durableId="780105660">
    <w:abstractNumId w:val="0"/>
  </w:num>
  <w:num w:numId="33" w16cid:durableId="369494559">
    <w:abstractNumId w:val="5"/>
  </w:num>
  <w:num w:numId="34" w16cid:durableId="1390034209">
    <w:abstractNumId w:val="40"/>
  </w:num>
  <w:num w:numId="35" w16cid:durableId="682633116">
    <w:abstractNumId w:val="33"/>
  </w:num>
  <w:num w:numId="36" w16cid:durableId="30690565">
    <w:abstractNumId w:val="25"/>
  </w:num>
  <w:num w:numId="37" w16cid:durableId="1036733736">
    <w:abstractNumId w:val="27"/>
  </w:num>
  <w:num w:numId="38" w16cid:durableId="362748668">
    <w:abstractNumId w:val="7"/>
  </w:num>
  <w:num w:numId="39" w16cid:durableId="418061471">
    <w:abstractNumId w:val="22"/>
  </w:num>
  <w:num w:numId="40" w16cid:durableId="1839925224">
    <w:abstractNumId w:val="4"/>
  </w:num>
  <w:num w:numId="41" w16cid:durableId="2050641610">
    <w:abstractNumId w:val="10"/>
  </w:num>
  <w:num w:numId="42" w16cid:durableId="1697730554">
    <w:abstractNumId w:val="12"/>
  </w:num>
  <w:num w:numId="43" w16cid:durableId="661198485">
    <w:abstractNumId w:val="19"/>
  </w:num>
  <w:num w:numId="44" w16cid:durableId="64870450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A3"/>
    <w:rsid w:val="0000050A"/>
    <w:rsid w:val="00000CA3"/>
    <w:rsid w:val="00001382"/>
    <w:rsid w:val="00001845"/>
    <w:rsid w:val="00002D2A"/>
    <w:rsid w:val="0000489F"/>
    <w:rsid w:val="000054C3"/>
    <w:rsid w:val="0000612F"/>
    <w:rsid w:val="00006F44"/>
    <w:rsid w:val="00010219"/>
    <w:rsid w:val="00011732"/>
    <w:rsid w:val="00011F6A"/>
    <w:rsid w:val="0001223B"/>
    <w:rsid w:val="000126D0"/>
    <w:rsid w:val="00012A9F"/>
    <w:rsid w:val="000130F1"/>
    <w:rsid w:val="00013116"/>
    <w:rsid w:val="0001380C"/>
    <w:rsid w:val="000149C6"/>
    <w:rsid w:val="00017FBE"/>
    <w:rsid w:val="000211F5"/>
    <w:rsid w:val="0002276B"/>
    <w:rsid w:val="0002389A"/>
    <w:rsid w:val="000249D0"/>
    <w:rsid w:val="0002552A"/>
    <w:rsid w:val="00027F3F"/>
    <w:rsid w:val="0003019B"/>
    <w:rsid w:val="000302CB"/>
    <w:rsid w:val="00032FC0"/>
    <w:rsid w:val="0003311E"/>
    <w:rsid w:val="000332C4"/>
    <w:rsid w:val="000340A7"/>
    <w:rsid w:val="000363A7"/>
    <w:rsid w:val="000368D4"/>
    <w:rsid w:val="00036CB4"/>
    <w:rsid w:val="00037733"/>
    <w:rsid w:val="00037F69"/>
    <w:rsid w:val="00041DA7"/>
    <w:rsid w:val="0004289E"/>
    <w:rsid w:val="00043E1C"/>
    <w:rsid w:val="000457DE"/>
    <w:rsid w:val="000460D4"/>
    <w:rsid w:val="00046D61"/>
    <w:rsid w:val="00047A13"/>
    <w:rsid w:val="00051136"/>
    <w:rsid w:val="00053A56"/>
    <w:rsid w:val="00056B6C"/>
    <w:rsid w:val="00057782"/>
    <w:rsid w:val="00057D48"/>
    <w:rsid w:val="000608CC"/>
    <w:rsid w:val="00065251"/>
    <w:rsid w:val="000653A9"/>
    <w:rsid w:val="000662E1"/>
    <w:rsid w:val="00070F79"/>
    <w:rsid w:val="000727FE"/>
    <w:rsid w:val="000738F1"/>
    <w:rsid w:val="00074967"/>
    <w:rsid w:val="00074B66"/>
    <w:rsid w:val="00074BA5"/>
    <w:rsid w:val="00075173"/>
    <w:rsid w:val="00076843"/>
    <w:rsid w:val="00076AE8"/>
    <w:rsid w:val="00080490"/>
    <w:rsid w:val="00080F04"/>
    <w:rsid w:val="000813F2"/>
    <w:rsid w:val="000819B5"/>
    <w:rsid w:val="00081C2A"/>
    <w:rsid w:val="000820E0"/>
    <w:rsid w:val="00082438"/>
    <w:rsid w:val="00082C92"/>
    <w:rsid w:val="00082EBC"/>
    <w:rsid w:val="00084DCC"/>
    <w:rsid w:val="00084E26"/>
    <w:rsid w:val="00085356"/>
    <w:rsid w:val="00085E55"/>
    <w:rsid w:val="00090207"/>
    <w:rsid w:val="000905CF"/>
    <w:rsid w:val="0009420F"/>
    <w:rsid w:val="000945CC"/>
    <w:rsid w:val="00094CD8"/>
    <w:rsid w:val="00094EDC"/>
    <w:rsid w:val="000955AB"/>
    <w:rsid w:val="00095615"/>
    <w:rsid w:val="00095770"/>
    <w:rsid w:val="0009602D"/>
    <w:rsid w:val="00096544"/>
    <w:rsid w:val="000968B3"/>
    <w:rsid w:val="000A0453"/>
    <w:rsid w:val="000A07D8"/>
    <w:rsid w:val="000A167D"/>
    <w:rsid w:val="000A2061"/>
    <w:rsid w:val="000A3FB3"/>
    <w:rsid w:val="000A4256"/>
    <w:rsid w:val="000A463A"/>
    <w:rsid w:val="000A477C"/>
    <w:rsid w:val="000A47E1"/>
    <w:rsid w:val="000A6654"/>
    <w:rsid w:val="000A73ED"/>
    <w:rsid w:val="000B0BAB"/>
    <w:rsid w:val="000B0DA2"/>
    <w:rsid w:val="000B1342"/>
    <w:rsid w:val="000B1855"/>
    <w:rsid w:val="000B211F"/>
    <w:rsid w:val="000B2D52"/>
    <w:rsid w:val="000B416D"/>
    <w:rsid w:val="000B4B52"/>
    <w:rsid w:val="000B56FD"/>
    <w:rsid w:val="000B6095"/>
    <w:rsid w:val="000B61F9"/>
    <w:rsid w:val="000B76E6"/>
    <w:rsid w:val="000C0265"/>
    <w:rsid w:val="000C1313"/>
    <w:rsid w:val="000C25EC"/>
    <w:rsid w:val="000C3EBF"/>
    <w:rsid w:val="000C418C"/>
    <w:rsid w:val="000C47C2"/>
    <w:rsid w:val="000C49C2"/>
    <w:rsid w:val="000C4A45"/>
    <w:rsid w:val="000C58D3"/>
    <w:rsid w:val="000C6E64"/>
    <w:rsid w:val="000C702C"/>
    <w:rsid w:val="000C7ABE"/>
    <w:rsid w:val="000C7AC9"/>
    <w:rsid w:val="000D0CE3"/>
    <w:rsid w:val="000D0CE8"/>
    <w:rsid w:val="000D2BDB"/>
    <w:rsid w:val="000D4848"/>
    <w:rsid w:val="000D4B8D"/>
    <w:rsid w:val="000D5F43"/>
    <w:rsid w:val="000D75E7"/>
    <w:rsid w:val="000D79D6"/>
    <w:rsid w:val="000D7FAF"/>
    <w:rsid w:val="000E0AA9"/>
    <w:rsid w:val="000E49E8"/>
    <w:rsid w:val="000E6867"/>
    <w:rsid w:val="000E769D"/>
    <w:rsid w:val="000F002A"/>
    <w:rsid w:val="000F0B06"/>
    <w:rsid w:val="000F117E"/>
    <w:rsid w:val="000F122C"/>
    <w:rsid w:val="000F1287"/>
    <w:rsid w:val="000F2776"/>
    <w:rsid w:val="000F2A17"/>
    <w:rsid w:val="000F3BEE"/>
    <w:rsid w:val="000F41EA"/>
    <w:rsid w:val="00100311"/>
    <w:rsid w:val="00100A26"/>
    <w:rsid w:val="00101375"/>
    <w:rsid w:val="00102093"/>
    <w:rsid w:val="00102A61"/>
    <w:rsid w:val="001035CC"/>
    <w:rsid w:val="00103659"/>
    <w:rsid w:val="00103B1E"/>
    <w:rsid w:val="00103FE6"/>
    <w:rsid w:val="00104E7A"/>
    <w:rsid w:val="001151E0"/>
    <w:rsid w:val="00115982"/>
    <w:rsid w:val="001163F7"/>
    <w:rsid w:val="00116516"/>
    <w:rsid w:val="00121693"/>
    <w:rsid w:val="00121BE8"/>
    <w:rsid w:val="00122455"/>
    <w:rsid w:val="00125813"/>
    <w:rsid w:val="00125906"/>
    <w:rsid w:val="00126A0A"/>
    <w:rsid w:val="00127B30"/>
    <w:rsid w:val="00127DC3"/>
    <w:rsid w:val="00127E1B"/>
    <w:rsid w:val="0013286E"/>
    <w:rsid w:val="00132C07"/>
    <w:rsid w:val="0013354C"/>
    <w:rsid w:val="00134CDA"/>
    <w:rsid w:val="00135D9C"/>
    <w:rsid w:val="00136E92"/>
    <w:rsid w:val="001371E0"/>
    <w:rsid w:val="00137E4D"/>
    <w:rsid w:val="00140A8D"/>
    <w:rsid w:val="00140E41"/>
    <w:rsid w:val="00140F62"/>
    <w:rsid w:val="0014333F"/>
    <w:rsid w:val="00143FA3"/>
    <w:rsid w:val="00144051"/>
    <w:rsid w:val="00145495"/>
    <w:rsid w:val="00146B45"/>
    <w:rsid w:val="00146C4E"/>
    <w:rsid w:val="00150BBE"/>
    <w:rsid w:val="001512E4"/>
    <w:rsid w:val="00151FEC"/>
    <w:rsid w:val="00152ED4"/>
    <w:rsid w:val="0015312E"/>
    <w:rsid w:val="00154A87"/>
    <w:rsid w:val="00154D2E"/>
    <w:rsid w:val="00155441"/>
    <w:rsid w:val="00155445"/>
    <w:rsid w:val="00160783"/>
    <w:rsid w:val="00163EE7"/>
    <w:rsid w:val="0016446F"/>
    <w:rsid w:val="00165208"/>
    <w:rsid w:val="0016615E"/>
    <w:rsid w:val="0016700B"/>
    <w:rsid w:val="00167EB3"/>
    <w:rsid w:val="001705AB"/>
    <w:rsid w:val="0017108F"/>
    <w:rsid w:val="00171112"/>
    <w:rsid w:val="00171362"/>
    <w:rsid w:val="001714BC"/>
    <w:rsid w:val="0017304C"/>
    <w:rsid w:val="00177538"/>
    <w:rsid w:val="0017756F"/>
    <w:rsid w:val="00181C60"/>
    <w:rsid w:val="001823C7"/>
    <w:rsid w:val="001852F8"/>
    <w:rsid w:val="00185B2F"/>
    <w:rsid w:val="001868C0"/>
    <w:rsid w:val="00190801"/>
    <w:rsid w:val="00190BBF"/>
    <w:rsid w:val="00192C4F"/>
    <w:rsid w:val="00193394"/>
    <w:rsid w:val="001935CE"/>
    <w:rsid w:val="00193C81"/>
    <w:rsid w:val="001943A2"/>
    <w:rsid w:val="00194FDE"/>
    <w:rsid w:val="00195F37"/>
    <w:rsid w:val="001A2D92"/>
    <w:rsid w:val="001A2F3A"/>
    <w:rsid w:val="001A3198"/>
    <w:rsid w:val="001A5E7F"/>
    <w:rsid w:val="001B0768"/>
    <w:rsid w:val="001B0DA6"/>
    <w:rsid w:val="001B14DD"/>
    <w:rsid w:val="001B1968"/>
    <w:rsid w:val="001B1D29"/>
    <w:rsid w:val="001B2441"/>
    <w:rsid w:val="001B2D3B"/>
    <w:rsid w:val="001B3FBD"/>
    <w:rsid w:val="001B4583"/>
    <w:rsid w:val="001B5DF1"/>
    <w:rsid w:val="001B6C70"/>
    <w:rsid w:val="001B785F"/>
    <w:rsid w:val="001B79C2"/>
    <w:rsid w:val="001B7BB7"/>
    <w:rsid w:val="001C08AC"/>
    <w:rsid w:val="001C0F47"/>
    <w:rsid w:val="001C1086"/>
    <w:rsid w:val="001C379E"/>
    <w:rsid w:val="001C5DC1"/>
    <w:rsid w:val="001D27FE"/>
    <w:rsid w:val="001D2E2A"/>
    <w:rsid w:val="001D66C7"/>
    <w:rsid w:val="001E1513"/>
    <w:rsid w:val="001E1B4E"/>
    <w:rsid w:val="001E29C9"/>
    <w:rsid w:val="001E2A98"/>
    <w:rsid w:val="001E374A"/>
    <w:rsid w:val="001E54C8"/>
    <w:rsid w:val="001E7859"/>
    <w:rsid w:val="001E7D13"/>
    <w:rsid w:val="001F18F4"/>
    <w:rsid w:val="001F1E38"/>
    <w:rsid w:val="001F37AA"/>
    <w:rsid w:val="001F3835"/>
    <w:rsid w:val="001F3935"/>
    <w:rsid w:val="001F4A98"/>
    <w:rsid w:val="001F5422"/>
    <w:rsid w:val="001F547A"/>
    <w:rsid w:val="001F59C0"/>
    <w:rsid w:val="001F6628"/>
    <w:rsid w:val="001F7308"/>
    <w:rsid w:val="001F7BB1"/>
    <w:rsid w:val="002001FF"/>
    <w:rsid w:val="00200D86"/>
    <w:rsid w:val="00200DB4"/>
    <w:rsid w:val="00201197"/>
    <w:rsid w:val="00202C3E"/>
    <w:rsid w:val="00203894"/>
    <w:rsid w:val="002046B0"/>
    <w:rsid w:val="00204A72"/>
    <w:rsid w:val="002053EB"/>
    <w:rsid w:val="002056DC"/>
    <w:rsid w:val="00205954"/>
    <w:rsid w:val="002105B7"/>
    <w:rsid w:val="00212483"/>
    <w:rsid w:val="002129D8"/>
    <w:rsid w:val="00214745"/>
    <w:rsid w:val="002179C6"/>
    <w:rsid w:val="00222EB9"/>
    <w:rsid w:val="00224574"/>
    <w:rsid w:val="00224CD2"/>
    <w:rsid w:val="00225144"/>
    <w:rsid w:val="00225936"/>
    <w:rsid w:val="00227292"/>
    <w:rsid w:val="0023006D"/>
    <w:rsid w:val="002305EF"/>
    <w:rsid w:val="002312D3"/>
    <w:rsid w:val="00233EEF"/>
    <w:rsid w:val="0023412A"/>
    <w:rsid w:val="00234A44"/>
    <w:rsid w:val="00235881"/>
    <w:rsid w:val="002377FF"/>
    <w:rsid w:val="00240D5F"/>
    <w:rsid w:val="00240DE6"/>
    <w:rsid w:val="00240F59"/>
    <w:rsid w:val="00241A32"/>
    <w:rsid w:val="002421FE"/>
    <w:rsid w:val="002435F1"/>
    <w:rsid w:val="002455A1"/>
    <w:rsid w:val="00245E78"/>
    <w:rsid w:val="002470BB"/>
    <w:rsid w:val="00247DF4"/>
    <w:rsid w:val="0025062D"/>
    <w:rsid w:val="002507F9"/>
    <w:rsid w:val="00253488"/>
    <w:rsid w:val="002536A5"/>
    <w:rsid w:val="002612AC"/>
    <w:rsid w:val="00261376"/>
    <w:rsid w:val="00261AD9"/>
    <w:rsid w:val="002655C3"/>
    <w:rsid w:val="002664BA"/>
    <w:rsid w:val="00266949"/>
    <w:rsid w:val="00266A86"/>
    <w:rsid w:val="00270968"/>
    <w:rsid w:val="00270A45"/>
    <w:rsid w:val="00272A80"/>
    <w:rsid w:val="00274BB7"/>
    <w:rsid w:val="00275F75"/>
    <w:rsid w:val="002766DB"/>
    <w:rsid w:val="002808BD"/>
    <w:rsid w:val="002815AC"/>
    <w:rsid w:val="00281F7D"/>
    <w:rsid w:val="00283775"/>
    <w:rsid w:val="00283CA2"/>
    <w:rsid w:val="002865A7"/>
    <w:rsid w:val="00286AFE"/>
    <w:rsid w:val="00286C35"/>
    <w:rsid w:val="002911CB"/>
    <w:rsid w:val="002913A1"/>
    <w:rsid w:val="00291D67"/>
    <w:rsid w:val="00292CA0"/>
    <w:rsid w:val="0029329E"/>
    <w:rsid w:val="00293BBA"/>
    <w:rsid w:val="0029402F"/>
    <w:rsid w:val="00295855"/>
    <w:rsid w:val="00295C62"/>
    <w:rsid w:val="0029648E"/>
    <w:rsid w:val="00296878"/>
    <w:rsid w:val="002977F5"/>
    <w:rsid w:val="00297CBE"/>
    <w:rsid w:val="002A12F7"/>
    <w:rsid w:val="002A4D89"/>
    <w:rsid w:val="002A5813"/>
    <w:rsid w:val="002A5B09"/>
    <w:rsid w:val="002A600A"/>
    <w:rsid w:val="002A767F"/>
    <w:rsid w:val="002A7F24"/>
    <w:rsid w:val="002A7F7C"/>
    <w:rsid w:val="002B016E"/>
    <w:rsid w:val="002B07C3"/>
    <w:rsid w:val="002B160F"/>
    <w:rsid w:val="002B1D7F"/>
    <w:rsid w:val="002B2BF5"/>
    <w:rsid w:val="002B3648"/>
    <w:rsid w:val="002B4890"/>
    <w:rsid w:val="002B6FB6"/>
    <w:rsid w:val="002C19A5"/>
    <w:rsid w:val="002C1E45"/>
    <w:rsid w:val="002C33B6"/>
    <w:rsid w:val="002C4251"/>
    <w:rsid w:val="002C493E"/>
    <w:rsid w:val="002C6E4D"/>
    <w:rsid w:val="002C708D"/>
    <w:rsid w:val="002D03F0"/>
    <w:rsid w:val="002D09F8"/>
    <w:rsid w:val="002D0EAB"/>
    <w:rsid w:val="002D1981"/>
    <w:rsid w:val="002D5156"/>
    <w:rsid w:val="002D785D"/>
    <w:rsid w:val="002E0282"/>
    <w:rsid w:val="002E1047"/>
    <w:rsid w:val="002E121B"/>
    <w:rsid w:val="002E1AD3"/>
    <w:rsid w:val="002E1FCD"/>
    <w:rsid w:val="002E2478"/>
    <w:rsid w:val="002E269E"/>
    <w:rsid w:val="002E3661"/>
    <w:rsid w:val="002E411F"/>
    <w:rsid w:val="002E6012"/>
    <w:rsid w:val="002E65D3"/>
    <w:rsid w:val="002F0EFE"/>
    <w:rsid w:val="002F2161"/>
    <w:rsid w:val="002F24A8"/>
    <w:rsid w:val="002F3B1E"/>
    <w:rsid w:val="002F40CF"/>
    <w:rsid w:val="002F4959"/>
    <w:rsid w:val="002F5F6A"/>
    <w:rsid w:val="002F7CC1"/>
    <w:rsid w:val="003011E1"/>
    <w:rsid w:val="00301921"/>
    <w:rsid w:val="00301987"/>
    <w:rsid w:val="00301D98"/>
    <w:rsid w:val="00302692"/>
    <w:rsid w:val="00302B19"/>
    <w:rsid w:val="00303933"/>
    <w:rsid w:val="00306B8F"/>
    <w:rsid w:val="0031114D"/>
    <w:rsid w:val="00312A34"/>
    <w:rsid w:val="00312DFB"/>
    <w:rsid w:val="00313D6C"/>
    <w:rsid w:val="003142F2"/>
    <w:rsid w:val="00316E8E"/>
    <w:rsid w:val="00317023"/>
    <w:rsid w:val="003170BD"/>
    <w:rsid w:val="003175B7"/>
    <w:rsid w:val="00323095"/>
    <w:rsid w:val="003238E5"/>
    <w:rsid w:val="003249F5"/>
    <w:rsid w:val="0032633B"/>
    <w:rsid w:val="00326488"/>
    <w:rsid w:val="00326A3E"/>
    <w:rsid w:val="00326CB7"/>
    <w:rsid w:val="00327521"/>
    <w:rsid w:val="00335CF9"/>
    <w:rsid w:val="00337494"/>
    <w:rsid w:val="00337CF9"/>
    <w:rsid w:val="003403DB"/>
    <w:rsid w:val="00340758"/>
    <w:rsid w:val="00340C0F"/>
    <w:rsid w:val="003454AE"/>
    <w:rsid w:val="003467A8"/>
    <w:rsid w:val="00346AC9"/>
    <w:rsid w:val="003471CD"/>
    <w:rsid w:val="003502AD"/>
    <w:rsid w:val="003517F1"/>
    <w:rsid w:val="0035276E"/>
    <w:rsid w:val="003531EC"/>
    <w:rsid w:val="00353A2B"/>
    <w:rsid w:val="00353AB1"/>
    <w:rsid w:val="00356A53"/>
    <w:rsid w:val="00356DE3"/>
    <w:rsid w:val="00356F76"/>
    <w:rsid w:val="00357F59"/>
    <w:rsid w:val="00357FC1"/>
    <w:rsid w:val="00360184"/>
    <w:rsid w:val="00360382"/>
    <w:rsid w:val="003619EA"/>
    <w:rsid w:val="00362200"/>
    <w:rsid w:val="00363368"/>
    <w:rsid w:val="003642DA"/>
    <w:rsid w:val="00364988"/>
    <w:rsid w:val="003652DB"/>
    <w:rsid w:val="00365816"/>
    <w:rsid w:val="003674D9"/>
    <w:rsid w:val="00367A9F"/>
    <w:rsid w:val="00367FCB"/>
    <w:rsid w:val="00370CFF"/>
    <w:rsid w:val="00371CDD"/>
    <w:rsid w:val="00372786"/>
    <w:rsid w:val="003756E5"/>
    <w:rsid w:val="00375B3A"/>
    <w:rsid w:val="00375F30"/>
    <w:rsid w:val="003774F9"/>
    <w:rsid w:val="00377A05"/>
    <w:rsid w:val="00381346"/>
    <w:rsid w:val="003819DD"/>
    <w:rsid w:val="0038252B"/>
    <w:rsid w:val="003836BD"/>
    <w:rsid w:val="00392865"/>
    <w:rsid w:val="00393169"/>
    <w:rsid w:val="00393260"/>
    <w:rsid w:val="0039691A"/>
    <w:rsid w:val="003A04E9"/>
    <w:rsid w:val="003A226F"/>
    <w:rsid w:val="003A2741"/>
    <w:rsid w:val="003A3EFF"/>
    <w:rsid w:val="003A4DA6"/>
    <w:rsid w:val="003A52CC"/>
    <w:rsid w:val="003B0619"/>
    <w:rsid w:val="003B095F"/>
    <w:rsid w:val="003B2924"/>
    <w:rsid w:val="003B2FB1"/>
    <w:rsid w:val="003B3441"/>
    <w:rsid w:val="003B536F"/>
    <w:rsid w:val="003B5945"/>
    <w:rsid w:val="003B6BB1"/>
    <w:rsid w:val="003C1432"/>
    <w:rsid w:val="003C2281"/>
    <w:rsid w:val="003C4BF6"/>
    <w:rsid w:val="003C4DEB"/>
    <w:rsid w:val="003C4E36"/>
    <w:rsid w:val="003C7018"/>
    <w:rsid w:val="003D296D"/>
    <w:rsid w:val="003D2E70"/>
    <w:rsid w:val="003D38CD"/>
    <w:rsid w:val="003D4985"/>
    <w:rsid w:val="003D5102"/>
    <w:rsid w:val="003D5998"/>
    <w:rsid w:val="003D694F"/>
    <w:rsid w:val="003D7260"/>
    <w:rsid w:val="003E1730"/>
    <w:rsid w:val="003E381A"/>
    <w:rsid w:val="003E462B"/>
    <w:rsid w:val="003E479F"/>
    <w:rsid w:val="003E4807"/>
    <w:rsid w:val="003E4EF8"/>
    <w:rsid w:val="003E5556"/>
    <w:rsid w:val="003E5CAC"/>
    <w:rsid w:val="003E6659"/>
    <w:rsid w:val="003E6AA6"/>
    <w:rsid w:val="003F0E20"/>
    <w:rsid w:val="003F13C4"/>
    <w:rsid w:val="003F32CE"/>
    <w:rsid w:val="003F3697"/>
    <w:rsid w:val="003F38ED"/>
    <w:rsid w:val="003F4E8A"/>
    <w:rsid w:val="003F5F07"/>
    <w:rsid w:val="003F6169"/>
    <w:rsid w:val="003F6DDA"/>
    <w:rsid w:val="003F79CD"/>
    <w:rsid w:val="003F7F85"/>
    <w:rsid w:val="00400A86"/>
    <w:rsid w:val="0040140B"/>
    <w:rsid w:val="00401A23"/>
    <w:rsid w:val="00402CD5"/>
    <w:rsid w:val="00403E40"/>
    <w:rsid w:val="004044A8"/>
    <w:rsid w:val="00405AE6"/>
    <w:rsid w:val="004107B7"/>
    <w:rsid w:val="004111B2"/>
    <w:rsid w:val="004114EE"/>
    <w:rsid w:val="004124AD"/>
    <w:rsid w:val="00412A1A"/>
    <w:rsid w:val="00412AC8"/>
    <w:rsid w:val="00412C7D"/>
    <w:rsid w:val="0041348B"/>
    <w:rsid w:val="00413C93"/>
    <w:rsid w:val="0041599B"/>
    <w:rsid w:val="00416584"/>
    <w:rsid w:val="0041796D"/>
    <w:rsid w:val="004217FB"/>
    <w:rsid w:val="00421C97"/>
    <w:rsid w:val="00424B19"/>
    <w:rsid w:val="00424C69"/>
    <w:rsid w:val="00425A42"/>
    <w:rsid w:val="00425EA7"/>
    <w:rsid w:val="0042639F"/>
    <w:rsid w:val="004263C9"/>
    <w:rsid w:val="004269B2"/>
    <w:rsid w:val="00427189"/>
    <w:rsid w:val="00430F6C"/>
    <w:rsid w:val="0043107C"/>
    <w:rsid w:val="00431306"/>
    <w:rsid w:val="00431CC4"/>
    <w:rsid w:val="00431F80"/>
    <w:rsid w:val="00431FCC"/>
    <w:rsid w:val="0043227B"/>
    <w:rsid w:val="00432C93"/>
    <w:rsid w:val="00433CB6"/>
    <w:rsid w:val="0043420C"/>
    <w:rsid w:val="00434299"/>
    <w:rsid w:val="0043524E"/>
    <w:rsid w:val="00435489"/>
    <w:rsid w:val="00435D19"/>
    <w:rsid w:val="0044201D"/>
    <w:rsid w:val="0044664F"/>
    <w:rsid w:val="0044684F"/>
    <w:rsid w:val="004518E6"/>
    <w:rsid w:val="004519FF"/>
    <w:rsid w:val="00451AAC"/>
    <w:rsid w:val="00452C84"/>
    <w:rsid w:val="00453860"/>
    <w:rsid w:val="00453966"/>
    <w:rsid w:val="004548E3"/>
    <w:rsid w:val="00457022"/>
    <w:rsid w:val="00460BB7"/>
    <w:rsid w:val="00460DA1"/>
    <w:rsid w:val="00461302"/>
    <w:rsid w:val="00461AD9"/>
    <w:rsid w:val="00461B2E"/>
    <w:rsid w:val="00463886"/>
    <w:rsid w:val="00466A73"/>
    <w:rsid w:val="00466F1A"/>
    <w:rsid w:val="00470C60"/>
    <w:rsid w:val="00470F96"/>
    <w:rsid w:val="00472674"/>
    <w:rsid w:val="00472C3D"/>
    <w:rsid w:val="00472CB8"/>
    <w:rsid w:val="004739DB"/>
    <w:rsid w:val="004743A4"/>
    <w:rsid w:val="00474486"/>
    <w:rsid w:val="0047622F"/>
    <w:rsid w:val="0047749F"/>
    <w:rsid w:val="0048002D"/>
    <w:rsid w:val="004803A0"/>
    <w:rsid w:val="004813EC"/>
    <w:rsid w:val="004822E7"/>
    <w:rsid w:val="00482452"/>
    <w:rsid w:val="004826A5"/>
    <w:rsid w:val="00484E86"/>
    <w:rsid w:val="00485A99"/>
    <w:rsid w:val="00486993"/>
    <w:rsid w:val="0048776F"/>
    <w:rsid w:val="00487B58"/>
    <w:rsid w:val="00492184"/>
    <w:rsid w:val="0049255D"/>
    <w:rsid w:val="00492B53"/>
    <w:rsid w:val="004947B6"/>
    <w:rsid w:val="004954DC"/>
    <w:rsid w:val="004955FA"/>
    <w:rsid w:val="00496CEE"/>
    <w:rsid w:val="004A033E"/>
    <w:rsid w:val="004A13FE"/>
    <w:rsid w:val="004A24F8"/>
    <w:rsid w:val="004A47C0"/>
    <w:rsid w:val="004A4C93"/>
    <w:rsid w:val="004A52B2"/>
    <w:rsid w:val="004A68B8"/>
    <w:rsid w:val="004A7066"/>
    <w:rsid w:val="004A7BB0"/>
    <w:rsid w:val="004B014B"/>
    <w:rsid w:val="004B1AB9"/>
    <w:rsid w:val="004B1B9C"/>
    <w:rsid w:val="004C413E"/>
    <w:rsid w:val="004C4C38"/>
    <w:rsid w:val="004C56CC"/>
    <w:rsid w:val="004C5960"/>
    <w:rsid w:val="004C66B3"/>
    <w:rsid w:val="004C72BE"/>
    <w:rsid w:val="004D166A"/>
    <w:rsid w:val="004D1853"/>
    <w:rsid w:val="004D405D"/>
    <w:rsid w:val="004E1360"/>
    <w:rsid w:val="004E371E"/>
    <w:rsid w:val="004E43CC"/>
    <w:rsid w:val="004E4718"/>
    <w:rsid w:val="004E4852"/>
    <w:rsid w:val="004E4A2E"/>
    <w:rsid w:val="004F0714"/>
    <w:rsid w:val="004F079B"/>
    <w:rsid w:val="004F128A"/>
    <w:rsid w:val="004F4511"/>
    <w:rsid w:val="004F507B"/>
    <w:rsid w:val="004F5BB6"/>
    <w:rsid w:val="004F5F15"/>
    <w:rsid w:val="004F6244"/>
    <w:rsid w:val="004F7893"/>
    <w:rsid w:val="00501B2A"/>
    <w:rsid w:val="00503254"/>
    <w:rsid w:val="005037D6"/>
    <w:rsid w:val="00506072"/>
    <w:rsid w:val="005066D1"/>
    <w:rsid w:val="00506F15"/>
    <w:rsid w:val="00507095"/>
    <w:rsid w:val="005072DE"/>
    <w:rsid w:val="00507879"/>
    <w:rsid w:val="00507A5E"/>
    <w:rsid w:val="0051163B"/>
    <w:rsid w:val="005125E5"/>
    <w:rsid w:val="00512905"/>
    <w:rsid w:val="0051409C"/>
    <w:rsid w:val="005148D7"/>
    <w:rsid w:val="00516042"/>
    <w:rsid w:val="00516549"/>
    <w:rsid w:val="00520E9B"/>
    <w:rsid w:val="00521281"/>
    <w:rsid w:val="0052147D"/>
    <w:rsid w:val="00522A1E"/>
    <w:rsid w:val="00524044"/>
    <w:rsid w:val="00525A26"/>
    <w:rsid w:val="005261A3"/>
    <w:rsid w:val="00526D94"/>
    <w:rsid w:val="00527787"/>
    <w:rsid w:val="00527BFA"/>
    <w:rsid w:val="0053073D"/>
    <w:rsid w:val="0053110D"/>
    <w:rsid w:val="00531D94"/>
    <w:rsid w:val="005346BF"/>
    <w:rsid w:val="00536870"/>
    <w:rsid w:val="00536B2D"/>
    <w:rsid w:val="00536E61"/>
    <w:rsid w:val="00541174"/>
    <w:rsid w:val="00541A7F"/>
    <w:rsid w:val="00541C34"/>
    <w:rsid w:val="00542E42"/>
    <w:rsid w:val="005447E7"/>
    <w:rsid w:val="00544966"/>
    <w:rsid w:val="00545AEA"/>
    <w:rsid w:val="00547976"/>
    <w:rsid w:val="00550A92"/>
    <w:rsid w:val="0055105D"/>
    <w:rsid w:val="00551396"/>
    <w:rsid w:val="005515BC"/>
    <w:rsid w:val="00554251"/>
    <w:rsid w:val="00554ABB"/>
    <w:rsid w:val="005550FF"/>
    <w:rsid w:val="00556C7F"/>
    <w:rsid w:val="005633D8"/>
    <w:rsid w:val="005647A6"/>
    <w:rsid w:val="0056491B"/>
    <w:rsid w:val="00564E2D"/>
    <w:rsid w:val="005662C6"/>
    <w:rsid w:val="005667AA"/>
    <w:rsid w:val="00566C4A"/>
    <w:rsid w:val="00567728"/>
    <w:rsid w:val="005679BC"/>
    <w:rsid w:val="00567B8B"/>
    <w:rsid w:val="00570312"/>
    <w:rsid w:val="00571AB4"/>
    <w:rsid w:val="005738FA"/>
    <w:rsid w:val="005742EE"/>
    <w:rsid w:val="00575D47"/>
    <w:rsid w:val="00576567"/>
    <w:rsid w:val="00577290"/>
    <w:rsid w:val="00580B3B"/>
    <w:rsid w:val="005812CC"/>
    <w:rsid w:val="00582E94"/>
    <w:rsid w:val="00583284"/>
    <w:rsid w:val="00583CC4"/>
    <w:rsid w:val="00584013"/>
    <w:rsid w:val="005862C7"/>
    <w:rsid w:val="0059028D"/>
    <w:rsid w:val="00591025"/>
    <w:rsid w:val="00593135"/>
    <w:rsid w:val="00593AD0"/>
    <w:rsid w:val="005953F9"/>
    <w:rsid w:val="00595814"/>
    <w:rsid w:val="0059600F"/>
    <w:rsid w:val="00596493"/>
    <w:rsid w:val="005A038D"/>
    <w:rsid w:val="005A0DAE"/>
    <w:rsid w:val="005A2ED7"/>
    <w:rsid w:val="005A48FA"/>
    <w:rsid w:val="005A4A03"/>
    <w:rsid w:val="005A563E"/>
    <w:rsid w:val="005A5BE3"/>
    <w:rsid w:val="005B10A9"/>
    <w:rsid w:val="005B1644"/>
    <w:rsid w:val="005B172F"/>
    <w:rsid w:val="005B1E3E"/>
    <w:rsid w:val="005B2D00"/>
    <w:rsid w:val="005B4119"/>
    <w:rsid w:val="005B4A76"/>
    <w:rsid w:val="005B55A9"/>
    <w:rsid w:val="005B5661"/>
    <w:rsid w:val="005B5C67"/>
    <w:rsid w:val="005C0176"/>
    <w:rsid w:val="005C4BB0"/>
    <w:rsid w:val="005C5442"/>
    <w:rsid w:val="005C567D"/>
    <w:rsid w:val="005C5DA2"/>
    <w:rsid w:val="005C66B6"/>
    <w:rsid w:val="005C7D8B"/>
    <w:rsid w:val="005D0301"/>
    <w:rsid w:val="005D13D3"/>
    <w:rsid w:val="005D5833"/>
    <w:rsid w:val="005D6E74"/>
    <w:rsid w:val="005E0763"/>
    <w:rsid w:val="005E1E13"/>
    <w:rsid w:val="005E1E19"/>
    <w:rsid w:val="005E3AA0"/>
    <w:rsid w:val="005E5472"/>
    <w:rsid w:val="005F115C"/>
    <w:rsid w:val="005F40B3"/>
    <w:rsid w:val="005F56B0"/>
    <w:rsid w:val="005F6322"/>
    <w:rsid w:val="005F6333"/>
    <w:rsid w:val="005F6B89"/>
    <w:rsid w:val="005F6CD6"/>
    <w:rsid w:val="00600DDE"/>
    <w:rsid w:val="0060150B"/>
    <w:rsid w:val="006047FE"/>
    <w:rsid w:val="006054BF"/>
    <w:rsid w:val="00605581"/>
    <w:rsid w:val="006059D0"/>
    <w:rsid w:val="00607622"/>
    <w:rsid w:val="00607F1F"/>
    <w:rsid w:val="00610CB4"/>
    <w:rsid w:val="006114FA"/>
    <w:rsid w:val="00611518"/>
    <w:rsid w:val="006117A1"/>
    <w:rsid w:val="00613A54"/>
    <w:rsid w:val="006145D8"/>
    <w:rsid w:val="00614F72"/>
    <w:rsid w:val="006151BC"/>
    <w:rsid w:val="00615237"/>
    <w:rsid w:val="00615253"/>
    <w:rsid w:val="006161CE"/>
    <w:rsid w:val="00617F3C"/>
    <w:rsid w:val="006203B8"/>
    <w:rsid w:val="00622148"/>
    <w:rsid w:val="0062259A"/>
    <w:rsid w:val="00625941"/>
    <w:rsid w:val="00627F8F"/>
    <w:rsid w:val="006305AC"/>
    <w:rsid w:val="006334D1"/>
    <w:rsid w:val="006340E7"/>
    <w:rsid w:val="00634170"/>
    <w:rsid w:val="00634421"/>
    <w:rsid w:val="00635737"/>
    <w:rsid w:val="006377E7"/>
    <w:rsid w:val="0064062F"/>
    <w:rsid w:val="00641C07"/>
    <w:rsid w:val="00641CFA"/>
    <w:rsid w:val="00642261"/>
    <w:rsid w:val="00642639"/>
    <w:rsid w:val="00643BAA"/>
    <w:rsid w:val="00644E36"/>
    <w:rsid w:val="00645B34"/>
    <w:rsid w:val="006473B6"/>
    <w:rsid w:val="00650D6A"/>
    <w:rsid w:val="00651C51"/>
    <w:rsid w:val="00652B0B"/>
    <w:rsid w:val="006538F7"/>
    <w:rsid w:val="00655030"/>
    <w:rsid w:val="00655033"/>
    <w:rsid w:val="00655F4C"/>
    <w:rsid w:val="00656726"/>
    <w:rsid w:val="006572C5"/>
    <w:rsid w:val="006578B7"/>
    <w:rsid w:val="00660F7B"/>
    <w:rsid w:val="00664893"/>
    <w:rsid w:val="00664EB2"/>
    <w:rsid w:val="0066509B"/>
    <w:rsid w:val="006660CC"/>
    <w:rsid w:val="00666656"/>
    <w:rsid w:val="0066691F"/>
    <w:rsid w:val="006673A3"/>
    <w:rsid w:val="006706E3"/>
    <w:rsid w:val="00671AAE"/>
    <w:rsid w:val="006722CD"/>
    <w:rsid w:val="00672857"/>
    <w:rsid w:val="006737B8"/>
    <w:rsid w:val="006745FB"/>
    <w:rsid w:val="00675BF0"/>
    <w:rsid w:val="00676104"/>
    <w:rsid w:val="00676641"/>
    <w:rsid w:val="00676F65"/>
    <w:rsid w:val="00680C2C"/>
    <w:rsid w:val="00681FC2"/>
    <w:rsid w:val="0068258C"/>
    <w:rsid w:val="00682D5F"/>
    <w:rsid w:val="006830FF"/>
    <w:rsid w:val="00684D49"/>
    <w:rsid w:val="00684DDD"/>
    <w:rsid w:val="00684F58"/>
    <w:rsid w:val="00685431"/>
    <w:rsid w:val="00685A00"/>
    <w:rsid w:val="0068689F"/>
    <w:rsid w:val="006915D9"/>
    <w:rsid w:val="006934D2"/>
    <w:rsid w:val="00693EE3"/>
    <w:rsid w:val="00694C66"/>
    <w:rsid w:val="00696354"/>
    <w:rsid w:val="0069745F"/>
    <w:rsid w:val="00697484"/>
    <w:rsid w:val="006A0D66"/>
    <w:rsid w:val="006A15FC"/>
    <w:rsid w:val="006A23AE"/>
    <w:rsid w:val="006A5746"/>
    <w:rsid w:val="006A6004"/>
    <w:rsid w:val="006A6112"/>
    <w:rsid w:val="006A62D0"/>
    <w:rsid w:val="006A71D0"/>
    <w:rsid w:val="006B01A9"/>
    <w:rsid w:val="006B08A1"/>
    <w:rsid w:val="006B0D70"/>
    <w:rsid w:val="006B0EB2"/>
    <w:rsid w:val="006B15ED"/>
    <w:rsid w:val="006B509B"/>
    <w:rsid w:val="006B6286"/>
    <w:rsid w:val="006B6333"/>
    <w:rsid w:val="006B7031"/>
    <w:rsid w:val="006C0539"/>
    <w:rsid w:val="006C0BC7"/>
    <w:rsid w:val="006C2553"/>
    <w:rsid w:val="006C3DDF"/>
    <w:rsid w:val="006C4FA6"/>
    <w:rsid w:val="006C5080"/>
    <w:rsid w:val="006C5B5E"/>
    <w:rsid w:val="006C7787"/>
    <w:rsid w:val="006C7BA2"/>
    <w:rsid w:val="006D00E7"/>
    <w:rsid w:val="006D0267"/>
    <w:rsid w:val="006D1939"/>
    <w:rsid w:val="006D1CA5"/>
    <w:rsid w:val="006D352C"/>
    <w:rsid w:val="006D41B0"/>
    <w:rsid w:val="006D55F2"/>
    <w:rsid w:val="006D58B3"/>
    <w:rsid w:val="006D5CD5"/>
    <w:rsid w:val="006D6824"/>
    <w:rsid w:val="006E097F"/>
    <w:rsid w:val="006E1051"/>
    <w:rsid w:val="006E1301"/>
    <w:rsid w:val="006E13D0"/>
    <w:rsid w:val="006E163C"/>
    <w:rsid w:val="006E1E43"/>
    <w:rsid w:val="006E3378"/>
    <w:rsid w:val="006E34B9"/>
    <w:rsid w:val="006E3E35"/>
    <w:rsid w:val="006E4A18"/>
    <w:rsid w:val="006E4F0F"/>
    <w:rsid w:val="006E5430"/>
    <w:rsid w:val="006E681F"/>
    <w:rsid w:val="006F0600"/>
    <w:rsid w:val="006F1E8D"/>
    <w:rsid w:val="006F7699"/>
    <w:rsid w:val="007019C1"/>
    <w:rsid w:val="00701C36"/>
    <w:rsid w:val="00701C80"/>
    <w:rsid w:val="00702513"/>
    <w:rsid w:val="00702A84"/>
    <w:rsid w:val="00702DDF"/>
    <w:rsid w:val="00703433"/>
    <w:rsid w:val="007044CD"/>
    <w:rsid w:val="007048B5"/>
    <w:rsid w:val="00705002"/>
    <w:rsid w:val="007104BD"/>
    <w:rsid w:val="00710C4A"/>
    <w:rsid w:val="00712F8B"/>
    <w:rsid w:val="00713100"/>
    <w:rsid w:val="007146D1"/>
    <w:rsid w:val="007153AA"/>
    <w:rsid w:val="00715548"/>
    <w:rsid w:val="00717413"/>
    <w:rsid w:val="00717642"/>
    <w:rsid w:val="0072132B"/>
    <w:rsid w:val="00721FBC"/>
    <w:rsid w:val="00722B7E"/>
    <w:rsid w:val="00722C0A"/>
    <w:rsid w:val="0072321E"/>
    <w:rsid w:val="00725332"/>
    <w:rsid w:val="00727993"/>
    <w:rsid w:val="00727AC6"/>
    <w:rsid w:val="00727C29"/>
    <w:rsid w:val="00731C65"/>
    <w:rsid w:val="0073259B"/>
    <w:rsid w:val="007332CC"/>
    <w:rsid w:val="00733B70"/>
    <w:rsid w:val="00733B8F"/>
    <w:rsid w:val="00734011"/>
    <w:rsid w:val="007340C5"/>
    <w:rsid w:val="00734407"/>
    <w:rsid w:val="0073471B"/>
    <w:rsid w:val="00735E74"/>
    <w:rsid w:val="00736406"/>
    <w:rsid w:val="007366CA"/>
    <w:rsid w:val="00736B2A"/>
    <w:rsid w:val="00740A7B"/>
    <w:rsid w:val="0074119B"/>
    <w:rsid w:val="00741D3E"/>
    <w:rsid w:val="00742C37"/>
    <w:rsid w:val="00743DEC"/>
    <w:rsid w:val="00743E37"/>
    <w:rsid w:val="007441BC"/>
    <w:rsid w:val="00744A84"/>
    <w:rsid w:val="00746373"/>
    <w:rsid w:val="00746738"/>
    <w:rsid w:val="00747FD0"/>
    <w:rsid w:val="00750299"/>
    <w:rsid w:val="00752FE7"/>
    <w:rsid w:val="00753A4F"/>
    <w:rsid w:val="00754D09"/>
    <w:rsid w:val="007561EF"/>
    <w:rsid w:val="007566B0"/>
    <w:rsid w:val="00760092"/>
    <w:rsid w:val="00763661"/>
    <w:rsid w:val="007645D7"/>
    <w:rsid w:val="00766014"/>
    <w:rsid w:val="007663C9"/>
    <w:rsid w:val="00767102"/>
    <w:rsid w:val="007701BD"/>
    <w:rsid w:val="00771410"/>
    <w:rsid w:val="00771D6D"/>
    <w:rsid w:val="00773533"/>
    <w:rsid w:val="00774ACA"/>
    <w:rsid w:val="00775463"/>
    <w:rsid w:val="007755BB"/>
    <w:rsid w:val="0077594F"/>
    <w:rsid w:val="00775964"/>
    <w:rsid w:val="007760D2"/>
    <w:rsid w:val="00780129"/>
    <w:rsid w:val="00780FEC"/>
    <w:rsid w:val="00781025"/>
    <w:rsid w:val="00782440"/>
    <w:rsid w:val="007827EE"/>
    <w:rsid w:val="00784912"/>
    <w:rsid w:val="00786579"/>
    <w:rsid w:val="007865F5"/>
    <w:rsid w:val="00786E4E"/>
    <w:rsid w:val="007879F2"/>
    <w:rsid w:val="007900EA"/>
    <w:rsid w:val="00791313"/>
    <w:rsid w:val="007915CF"/>
    <w:rsid w:val="007924EF"/>
    <w:rsid w:val="00792811"/>
    <w:rsid w:val="00792DAC"/>
    <w:rsid w:val="00793E8E"/>
    <w:rsid w:val="007941AE"/>
    <w:rsid w:val="00794487"/>
    <w:rsid w:val="0079459B"/>
    <w:rsid w:val="00795B90"/>
    <w:rsid w:val="00796114"/>
    <w:rsid w:val="007966A5"/>
    <w:rsid w:val="007A079C"/>
    <w:rsid w:val="007A07C0"/>
    <w:rsid w:val="007A5029"/>
    <w:rsid w:val="007A5E6B"/>
    <w:rsid w:val="007A7DAC"/>
    <w:rsid w:val="007B03E3"/>
    <w:rsid w:val="007B17F8"/>
    <w:rsid w:val="007B28AC"/>
    <w:rsid w:val="007B3382"/>
    <w:rsid w:val="007B347E"/>
    <w:rsid w:val="007B351B"/>
    <w:rsid w:val="007B7DFE"/>
    <w:rsid w:val="007C0056"/>
    <w:rsid w:val="007C0EFE"/>
    <w:rsid w:val="007C1E9A"/>
    <w:rsid w:val="007C38B8"/>
    <w:rsid w:val="007C535B"/>
    <w:rsid w:val="007C5D1A"/>
    <w:rsid w:val="007C7E83"/>
    <w:rsid w:val="007D1656"/>
    <w:rsid w:val="007D23A3"/>
    <w:rsid w:val="007D3288"/>
    <w:rsid w:val="007D3FEA"/>
    <w:rsid w:val="007D50D3"/>
    <w:rsid w:val="007D55D2"/>
    <w:rsid w:val="007D60FE"/>
    <w:rsid w:val="007D63FA"/>
    <w:rsid w:val="007D6B60"/>
    <w:rsid w:val="007D77D8"/>
    <w:rsid w:val="007D7DF4"/>
    <w:rsid w:val="007E010C"/>
    <w:rsid w:val="007E034E"/>
    <w:rsid w:val="007E05E1"/>
    <w:rsid w:val="007E1952"/>
    <w:rsid w:val="007E1EA2"/>
    <w:rsid w:val="007E3D96"/>
    <w:rsid w:val="007E47E0"/>
    <w:rsid w:val="007E4B28"/>
    <w:rsid w:val="007E4FB7"/>
    <w:rsid w:val="007E6826"/>
    <w:rsid w:val="007E7CF5"/>
    <w:rsid w:val="007F18AD"/>
    <w:rsid w:val="007F32F6"/>
    <w:rsid w:val="007F3E4F"/>
    <w:rsid w:val="007F4F16"/>
    <w:rsid w:val="007F5814"/>
    <w:rsid w:val="007F5AF9"/>
    <w:rsid w:val="007F6126"/>
    <w:rsid w:val="007F6333"/>
    <w:rsid w:val="00802372"/>
    <w:rsid w:val="00805F0D"/>
    <w:rsid w:val="00805F3C"/>
    <w:rsid w:val="00805F9A"/>
    <w:rsid w:val="00811284"/>
    <w:rsid w:val="008116A4"/>
    <w:rsid w:val="00811CA3"/>
    <w:rsid w:val="00812578"/>
    <w:rsid w:val="0081315A"/>
    <w:rsid w:val="00814008"/>
    <w:rsid w:val="00815134"/>
    <w:rsid w:val="00816D05"/>
    <w:rsid w:val="00821609"/>
    <w:rsid w:val="008221B5"/>
    <w:rsid w:val="00822419"/>
    <w:rsid w:val="00823930"/>
    <w:rsid w:val="00824A2A"/>
    <w:rsid w:val="00826D9D"/>
    <w:rsid w:val="008278F2"/>
    <w:rsid w:val="0083098D"/>
    <w:rsid w:val="008328BF"/>
    <w:rsid w:val="0083332A"/>
    <w:rsid w:val="00833691"/>
    <w:rsid w:val="00833DE4"/>
    <w:rsid w:val="008344B4"/>
    <w:rsid w:val="00835980"/>
    <w:rsid w:val="0083726A"/>
    <w:rsid w:val="008407A0"/>
    <w:rsid w:val="00841672"/>
    <w:rsid w:val="008423FF"/>
    <w:rsid w:val="0084253C"/>
    <w:rsid w:val="00845E10"/>
    <w:rsid w:val="00846696"/>
    <w:rsid w:val="0084676C"/>
    <w:rsid w:val="00847119"/>
    <w:rsid w:val="00847194"/>
    <w:rsid w:val="008474D9"/>
    <w:rsid w:val="00850066"/>
    <w:rsid w:val="00851633"/>
    <w:rsid w:val="0085253D"/>
    <w:rsid w:val="00853686"/>
    <w:rsid w:val="0085478B"/>
    <w:rsid w:val="00854E07"/>
    <w:rsid w:val="0085572D"/>
    <w:rsid w:val="008600BA"/>
    <w:rsid w:val="00860880"/>
    <w:rsid w:val="00861788"/>
    <w:rsid w:val="008627E3"/>
    <w:rsid w:val="00862F75"/>
    <w:rsid w:val="0086318B"/>
    <w:rsid w:val="0086414B"/>
    <w:rsid w:val="00864FBB"/>
    <w:rsid w:val="008665C9"/>
    <w:rsid w:val="00866791"/>
    <w:rsid w:val="00866F15"/>
    <w:rsid w:val="008673BE"/>
    <w:rsid w:val="00870442"/>
    <w:rsid w:val="008711D8"/>
    <w:rsid w:val="00871205"/>
    <w:rsid w:val="0087238A"/>
    <w:rsid w:val="00872CAD"/>
    <w:rsid w:val="00873D14"/>
    <w:rsid w:val="00875590"/>
    <w:rsid w:val="00876333"/>
    <w:rsid w:val="0087646E"/>
    <w:rsid w:val="00876767"/>
    <w:rsid w:val="0088048B"/>
    <w:rsid w:val="0088354F"/>
    <w:rsid w:val="00885C73"/>
    <w:rsid w:val="0088702D"/>
    <w:rsid w:val="008904DB"/>
    <w:rsid w:val="00890DAD"/>
    <w:rsid w:val="00895954"/>
    <w:rsid w:val="00895EF0"/>
    <w:rsid w:val="00896021"/>
    <w:rsid w:val="008964DD"/>
    <w:rsid w:val="008A0184"/>
    <w:rsid w:val="008A02FE"/>
    <w:rsid w:val="008A298F"/>
    <w:rsid w:val="008A2BBD"/>
    <w:rsid w:val="008A417D"/>
    <w:rsid w:val="008A4E51"/>
    <w:rsid w:val="008A68A8"/>
    <w:rsid w:val="008A7807"/>
    <w:rsid w:val="008A7CE6"/>
    <w:rsid w:val="008B0B62"/>
    <w:rsid w:val="008B2CC2"/>
    <w:rsid w:val="008B2FC4"/>
    <w:rsid w:val="008B41C5"/>
    <w:rsid w:val="008B53E0"/>
    <w:rsid w:val="008B552B"/>
    <w:rsid w:val="008B564D"/>
    <w:rsid w:val="008B712F"/>
    <w:rsid w:val="008B791A"/>
    <w:rsid w:val="008C3C42"/>
    <w:rsid w:val="008C4CD8"/>
    <w:rsid w:val="008C7FFC"/>
    <w:rsid w:val="008D0CF7"/>
    <w:rsid w:val="008D1A0B"/>
    <w:rsid w:val="008D2129"/>
    <w:rsid w:val="008D31F2"/>
    <w:rsid w:val="008D5A33"/>
    <w:rsid w:val="008D7FD4"/>
    <w:rsid w:val="008E32FA"/>
    <w:rsid w:val="008E49E7"/>
    <w:rsid w:val="008E4C9A"/>
    <w:rsid w:val="008E53D0"/>
    <w:rsid w:val="008E646A"/>
    <w:rsid w:val="008F02B6"/>
    <w:rsid w:val="008F1665"/>
    <w:rsid w:val="008F2EF1"/>
    <w:rsid w:val="008F3196"/>
    <w:rsid w:val="008F352B"/>
    <w:rsid w:val="008F4DC6"/>
    <w:rsid w:val="008F6171"/>
    <w:rsid w:val="008F6434"/>
    <w:rsid w:val="008F6A05"/>
    <w:rsid w:val="00900FD1"/>
    <w:rsid w:val="0090239E"/>
    <w:rsid w:val="0090278A"/>
    <w:rsid w:val="00903891"/>
    <w:rsid w:val="00903F23"/>
    <w:rsid w:val="00904567"/>
    <w:rsid w:val="0090539F"/>
    <w:rsid w:val="00906E29"/>
    <w:rsid w:val="00910D94"/>
    <w:rsid w:val="00912503"/>
    <w:rsid w:val="00916457"/>
    <w:rsid w:val="00916943"/>
    <w:rsid w:val="00917B71"/>
    <w:rsid w:val="00921934"/>
    <w:rsid w:val="00921BB7"/>
    <w:rsid w:val="00922E30"/>
    <w:rsid w:val="009239AA"/>
    <w:rsid w:val="0092578D"/>
    <w:rsid w:val="00925966"/>
    <w:rsid w:val="00926930"/>
    <w:rsid w:val="009272E3"/>
    <w:rsid w:val="0093084B"/>
    <w:rsid w:val="0093092E"/>
    <w:rsid w:val="00933723"/>
    <w:rsid w:val="009361A2"/>
    <w:rsid w:val="009410BD"/>
    <w:rsid w:val="009417FA"/>
    <w:rsid w:val="0094221D"/>
    <w:rsid w:val="00942D80"/>
    <w:rsid w:val="009432F1"/>
    <w:rsid w:val="00943509"/>
    <w:rsid w:val="009446A6"/>
    <w:rsid w:val="00946BCF"/>
    <w:rsid w:val="00946BE7"/>
    <w:rsid w:val="00946DEF"/>
    <w:rsid w:val="00946F67"/>
    <w:rsid w:val="009505F5"/>
    <w:rsid w:val="00952168"/>
    <w:rsid w:val="00952FCF"/>
    <w:rsid w:val="009533C6"/>
    <w:rsid w:val="00953EBE"/>
    <w:rsid w:val="00954F84"/>
    <w:rsid w:val="009563CA"/>
    <w:rsid w:val="0096074B"/>
    <w:rsid w:val="00960A6F"/>
    <w:rsid w:val="00961F96"/>
    <w:rsid w:val="00963338"/>
    <w:rsid w:val="00963836"/>
    <w:rsid w:val="00963AA9"/>
    <w:rsid w:val="00964063"/>
    <w:rsid w:val="0096481A"/>
    <w:rsid w:val="00965DC0"/>
    <w:rsid w:val="009673BF"/>
    <w:rsid w:val="00967422"/>
    <w:rsid w:val="0097047F"/>
    <w:rsid w:val="00970C8A"/>
    <w:rsid w:val="00970F54"/>
    <w:rsid w:val="00972CE4"/>
    <w:rsid w:val="0097600E"/>
    <w:rsid w:val="009760A0"/>
    <w:rsid w:val="0097664A"/>
    <w:rsid w:val="009767BC"/>
    <w:rsid w:val="0097779C"/>
    <w:rsid w:val="0097786B"/>
    <w:rsid w:val="00977AD6"/>
    <w:rsid w:val="00977D67"/>
    <w:rsid w:val="00980A29"/>
    <w:rsid w:val="00980BE2"/>
    <w:rsid w:val="00980E18"/>
    <w:rsid w:val="009840E8"/>
    <w:rsid w:val="009917EE"/>
    <w:rsid w:val="00991A3B"/>
    <w:rsid w:val="00993427"/>
    <w:rsid w:val="00995011"/>
    <w:rsid w:val="009957FF"/>
    <w:rsid w:val="0099694F"/>
    <w:rsid w:val="00996D73"/>
    <w:rsid w:val="0099766E"/>
    <w:rsid w:val="009A000A"/>
    <w:rsid w:val="009A0A85"/>
    <w:rsid w:val="009A0DF8"/>
    <w:rsid w:val="009A276C"/>
    <w:rsid w:val="009A374E"/>
    <w:rsid w:val="009A4C9F"/>
    <w:rsid w:val="009A656C"/>
    <w:rsid w:val="009A6CB0"/>
    <w:rsid w:val="009A721C"/>
    <w:rsid w:val="009A72B9"/>
    <w:rsid w:val="009A79B5"/>
    <w:rsid w:val="009B0B54"/>
    <w:rsid w:val="009B21F6"/>
    <w:rsid w:val="009B26D4"/>
    <w:rsid w:val="009B32C1"/>
    <w:rsid w:val="009B3430"/>
    <w:rsid w:val="009B4E0C"/>
    <w:rsid w:val="009B5652"/>
    <w:rsid w:val="009B625F"/>
    <w:rsid w:val="009B79A3"/>
    <w:rsid w:val="009B7BA1"/>
    <w:rsid w:val="009B7D6C"/>
    <w:rsid w:val="009B7F0B"/>
    <w:rsid w:val="009C08B5"/>
    <w:rsid w:val="009C2702"/>
    <w:rsid w:val="009C2C87"/>
    <w:rsid w:val="009C379F"/>
    <w:rsid w:val="009C5D9E"/>
    <w:rsid w:val="009C6C97"/>
    <w:rsid w:val="009C7171"/>
    <w:rsid w:val="009C79A7"/>
    <w:rsid w:val="009D017B"/>
    <w:rsid w:val="009D1BEB"/>
    <w:rsid w:val="009D2223"/>
    <w:rsid w:val="009D2C8D"/>
    <w:rsid w:val="009D5207"/>
    <w:rsid w:val="009E26C0"/>
    <w:rsid w:val="009E2FCA"/>
    <w:rsid w:val="009E3C47"/>
    <w:rsid w:val="009E4188"/>
    <w:rsid w:val="009E46F8"/>
    <w:rsid w:val="009E5AA3"/>
    <w:rsid w:val="009E62D0"/>
    <w:rsid w:val="009E64F3"/>
    <w:rsid w:val="009E65F3"/>
    <w:rsid w:val="009E66DB"/>
    <w:rsid w:val="009E66E8"/>
    <w:rsid w:val="009E67A7"/>
    <w:rsid w:val="009E70B7"/>
    <w:rsid w:val="009E797F"/>
    <w:rsid w:val="009F1896"/>
    <w:rsid w:val="009F23AE"/>
    <w:rsid w:val="009F277B"/>
    <w:rsid w:val="009F2CC4"/>
    <w:rsid w:val="009F37E7"/>
    <w:rsid w:val="009F3949"/>
    <w:rsid w:val="009F43A8"/>
    <w:rsid w:val="009F774B"/>
    <w:rsid w:val="00A000BC"/>
    <w:rsid w:val="00A002DF"/>
    <w:rsid w:val="00A01620"/>
    <w:rsid w:val="00A03EAB"/>
    <w:rsid w:val="00A048EE"/>
    <w:rsid w:val="00A0577D"/>
    <w:rsid w:val="00A07E35"/>
    <w:rsid w:val="00A124A3"/>
    <w:rsid w:val="00A12B2D"/>
    <w:rsid w:val="00A13A30"/>
    <w:rsid w:val="00A13BEE"/>
    <w:rsid w:val="00A15228"/>
    <w:rsid w:val="00A15702"/>
    <w:rsid w:val="00A167E2"/>
    <w:rsid w:val="00A1727F"/>
    <w:rsid w:val="00A178A9"/>
    <w:rsid w:val="00A21800"/>
    <w:rsid w:val="00A2208D"/>
    <w:rsid w:val="00A23AA2"/>
    <w:rsid w:val="00A24449"/>
    <w:rsid w:val="00A252C4"/>
    <w:rsid w:val="00A252FF"/>
    <w:rsid w:val="00A26EE4"/>
    <w:rsid w:val="00A273C8"/>
    <w:rsid w:val="00A30047"/>
    <w:rsid w:val="00A30756"/>
    <w:rsid w:val="00A30773"/>
    <w:rsid w:val="00A30FDE"/>
    <w:rsid w:val="00A31555"/>
    <w:rsid w:val="00A330AF"/>
    <w:rsid w:val="00A33244"/>
    <w:rsid w:val="00A33ADC"/>
    <w:rsid w:val="00A34070"/>
    <w:rsid w:val="00A34AF2"/>
    <w:rsid w:val="00A34DF4"/>
    <w:rsid w:val="00A3574D"/>
    <w:rsid w:val="00A35B5C"/>
    <w:rsid w:val="00A361EF"/>
    <w:rsid w:val="00A36245"/>
    <w:rsid w:val="00A41285"/>
    <w:rsid w:val="00A41B5E"/>
    <w:rsid w:val="00A42592"/>
    <w:rsid w:val="00A43023"/>
    <w:rsid w:val="00A4531A"/>
    <w:rsid w:val="00A45D19"/>
    <w:rsid w:val="00A50E6E"/>
    <w:rsid w:val="00A5250A"/>
    <w:rsid w:val="00A526C2"/>
    <w:rsid w:val="00A554C5"/>
    <w:rsid w:val="00A55C4C"/>
    <w:rsid w:val="00A56452"/>
    <w:rsid w:val="00A574FA"/>
    <w:rsid w:val="00A618D7"/>
    <w:rsid w:val="00A61D76"/>
    <w:rsid w:val="00A62678"/>
    <w:rsid w:val="00A62A08"/>
    <w:rsid w:val="00A638D0"/>
    <w:rsid w:val="00A668A7"/>
    <w:rsid w:val="00A67D4A"/>
    <w:rsid w:val="00A67DC2"/>
    <w:rsid w:val="00A71F28"/>
    <w:rsid w:val="00A730A8"/>
    <w:rsid w:val="00A763F4"/>
    <w:rsid w:val="00A7758E"/>
    <w:rsid w:val="00A779BD"/>
    <w:rsid w:val="00A80D93"/>
    <w:rsid w:val="00A816ED"/>
    <w:rsid w:val="00A81C15"/>
    <w:rsid w:val="00A82337"/>
    <w:rsid w:val="00A825D8"/>
    <w:rsid w:val="00A84ACE"/>
    <w:rsid w:val="00A84D3E"/>
    <w:rsid w:val="00A91BE0"/>
    <w:rsid w:val="00A926A6"/>
    <w:rsid w:val="00A92EB1"/>
    <w:rsid w:val="00A953B6"/>
    <w:rsid w:val="00A97ABF"/>
    <w:rsid w:val="00AA01FD"/>
    <w:rsid w:val="00AA0964"/>
    <w:rsid w:val="00AA1EB1"/>
    <w:rsid w:val="00AA2B63"/>
    <w:rsid w:val="00AA3FF4"/>
    <w:rsid w:val="00AA40D7"/>
    <w:rsid w:val="00AA4706"/>
    <w:rsid w:val="00AA50B6"/>
    <w:rsid w:val="00AA7252"/>
    <w:rsid w:val="00AA742E"/>
    <w:rsid w:val="00AB0324"/>
    <w:rsid w:val="00AB1CF9"/>
    <w:rsid w:val="00AB3496"/>
    <w:rsid w:val="00AB536C"/>
    <w:rsid w:val="00AB57FF"/>
    <w:rsid w:val="00AB583D"/>
    <w:rsid w:val="00AB6565"/>
    <w:rsid w:val="00AB6873"/>
    <w:rsid w:val="00AB73B6"/>
    <w:rsid w:val="00AC1945"/>
    <w:rsid w:val="00AC2536"/>
    <w:rsid w:val="00AC2D14"/>
    <w:rsid w:val="00AC45C9"/>
    <w:rsid w:val="00AC4E30"/>
    <w:rsid w:val="00AC7E5B"/>
    <w:rsid w:val="00AD095F"/>
    <w:rsid w:val="00AD1DB8"/>
    <w:rsid w:val="00AD2C5C"/>
    <w:rsid w:val="00AD3CAB"/>
    <w:rsid w:val="00AD4395"/>
    <w:rsid w:val="00AD45EC"/>
    <w:rsid w:val="00AD613E"/>
    <w:rsid w:val="00AE0736"/>
    <w:rsid w:val="00AE0F77"/>
    <w:rsid w:val="00AE242B"/>
    <w:rsid w:val="00AE49D9"/>
    <w:rsid w:val="00AE6129"/>
    <w:rsid w:val="00AE6A44"/>
    <w:rsid w:val="00AE6C39"/>
    <w:rsid w:val="00AE7A29"/>
    <w:rsid w:val="00AE7B60"/>
    <w:rsid w:val="00AE7B92"/>
    <w:rsid w:val="00AF18E3"/>
    <w:rsid w:val="00AF2277"/>
    <w:rsid w:val="00AF2B3C"/>
    <w:rsid w:val="00AF383F"/>
    <w:rsid w:val="00AF43AB"/>
    <w:rsid w:val="00AF7AA5"/>
    <w:rsid w:val="00B01190"/>
    <w:rsid w:val="00B020C2"/>
    <w:rsid w:val="00B03262"/>
    <w:rsid w:val="00B0718B"/>
    <w:rsid w:val="00B07333"/>
    <w:rsid w:val="00B0747C"/>
    <w:rsid w:val="00B0779E"/>
    <w:rsid w:val="00B10BFC"/>
    <w:rsid w:val="00B144D4"/>
    <w:rsid w:val="00B167FD"/>
    <w:rsid w:val="00B16FDD"/>
    <w:rsid w:val="00B17F7F"/>
    <w:rsid w:val="00B20077"/>
    <w:rsid w:val="00B227BD"/>
    <w:rsid w:val="00B2442C"/>
    <w:rsid w:val="00B24E80"/>
    <w:rsid w:val="00B255A1"/>
    <w:rsid w:val="00B26257"/>
    <w:rsid w:val="00B2665D"/>
    <w:rsid w:val="00B27A97"/>
    <w:rsid w:val="00B3034E"/>
    <w:rsid w:val="00B3068F"/>
    <w:rsid w:val="00B30CBE"/>
    <w:rsid w:val="00B30E44"/>
    <w:rsid w:val="00B30F42"/>
    <w:rsid w:val="00B320A4"/>
    <w:rsid w:val="00B321C3"/>
    <w:rsid w:val="00B32666"/>
    <w:rsid w:val="00B326D9"/>
    <w:rsid w:val="00B328F2"/>
    <w:rsid w:val="00B33165"/>
    <w:rsid w:val="00B34A93"/>
    <w:rsid w:val="00B358AE"/>
    <w:rsid w:val="00B35EFB"/>
    <w:rsid w:val="00B35FDC"/>
    <w:rsid w:val="00B3667A"/>
    <w:rsid w:val="00B369C9"/>
    <w:rsid w:val="00B36CAA"/>
    <w:rsid w:val="00B37E39"/>
    <w:rsid w:val="00B40BBA"/>
    <w:rsid w:val="00B42F2E"/>
    <w:rsid w:val="00B4393D"/>
    <w:rsid w:val="00B43B3B"/>
    <w:rsid w:val="00B43C05"/>
    <w:rsid w:val="00B43F9E"/>
    <w:rsid w:val="00B441F7"/>
    <w:rsid w:val="00B4563C"/>
    <w:rsid w:val="00B459D5"/>
    <w:rsid w:val="00B46812"/>
    <w:rsid w:val="00B46CAF"/>
    <w:rsid w:val="00B46E5D"/>
    <w:rsid w:val="00B47399"/>
    <w:rsid w:val="00B477E6"/>
    <w:rsid w:val="00B50F49"/>
    <w:rsid w:val="00B523FD"/>
    <w:rsid w:val="00B530F6"/>
    <w:rsid w:val="00B554C0"/>
    <w:rsid w:val="00B55A2D"/>
    <w:rsid w:val="00B55FB1"/>
    <w:rsid w:val="00B57567"/>
    <w:rsid w:val="00B57582"/>
    <w:rsid w:val="00B608EB"/>
    <w:rsid w:val="00B621A9"/>
    <w:rsid w:val="00B643D5"/>
    <w:rsid w:val="00B64A34"/>
    <w:rsid w:val="00B64E6E"/>
    <w:rsid w:val="00B658A6"/>
    <w:rsid w:val="00B66B25"/>
    <w:rsid w:val="00B66D0B"/>
    <w:rsid w:val="00B7253C"/>
    <w:rsid w:val="00B73B4C"/>
    <w:rsid w:val="00B743B1"/>
    <w:rsid w:val="00B74FC7"/>
    <w:rsid w:val="00B753A7"/>
    <w:rsid w:val="00B76BCD"/>
    <w:rsid w:val="00B77392"/>
    <w:rsid w:val="00B77723"/>
    <w:rsid w:val="00B77CBD"/>
    <w:rsid w:val="00B813CE"/>
    <w:rsid w:val="00B81BE5"/>
    <w:rsid w:val="00B8242B"/>
    <w:rsid w:val="00B84723"/>
    <w:rsid w:val="00B85700"/>
    <w:rsid w:val="00B86160"/>
    <w:rsid w:val="00B903FE"/>
    <w:rsid w:val="00B9123F"/>
    <w:rsid w:val="00B92FFB"/>
    <w:rsid w:val="00B93F41"/>
    <w:rsid w:val="00B96783"/>
    <w:rsid w:val="00B969EB"/>
    <w:rsid w:val="00B96C3D"/>
    <w:rsid w:val="00B977D6"/>
    <w:rsid w:val="00BA0A44"/>
    <w:rsid w:val="00BA0D99"/>
    <w:rsid w:val="00BA14A7"/>
    <w:rsid w:val="00BA3411"/>
    <w:rsid w:val="00BA480B"/>
    <w:rsid w:val="00BA6823"/>
    <w:rsid w:val="00BA7CF7"/>
    <w:rsid w:val="00BB09C0"/>
    <w:rsid w:val="00BB0BD4"/>
    <w:rsid w:val="00BB39F4"/>
    <w:rsid w:val="00BB3B17"/>
    <w:rsid w:val="00BB43F2"/>
    <w:rsid w:val="00BB441E"/>
    <w:rsid w:val="00BB5DEF"/>
    <w:rsid w:val="00BB617C"/>
    <w:rsid w:val="00BC229D"/>
    <w:rsid w:val="00BC279D"/>
    <w:rsid w:val="00BC3EBC"/>
    <w:rsid w:val="00BC44BA"/>
    <w:rsid w:val="00BC467B"/>
    <w:rsid w:val="00BC4B5D"/>
    <w:rsid w:val="00BC5F34"/>
    <w:rsid w:val="00BC7D86"/>
    <w:rsid w:val="00BD015F"/>
    <w:rsid w:val="00BD13BE"/>
    <w:rsid w:val="00BD1E58"/>
    <w:rsid w:val="00BD22D9"/>
    <w:rsid w:val="00BD2C51"/>
    <w:rsid w:val="00BD409D"/>
    <w:rsid w:val="00BD7506"/>
    <w:rsid w:val="00BD7825"/>
    <w:rsid w:val="00BD7D22"/>
    <w:rsid w:val="00BE088E"/>
    <w:rsid w:val="00BE11B8"/>
    <w:rsid w:val="00BE1C47"/>
    <w:rsid w:val="00BE2142"/>
    <w:rsid w:val="00BE3431"/>
    <w:rsid w:val="00BE57AC"/>
    <w:rsid w:val="00BE592D"/>
    <w:rsid w:val="00BE702C"/>
    <w:rsid w:val="00BE7AB0"/>
    <w:rsid w:val="00BE7AED"/>
    <w:rsid w:val="00BF0933"/>
    <w:rsid w:val="00BF1EB1"/>
    <w:rsid w:val="00BF264D"/>
    <w:rsid w:val="00BF2C5D"/>
    <w:rsid w:val="00BF37C4"/>
    <w:rsid w:val="00BF4C40"/>
    <w:rsid w:val="00BF5D8D"/>
    <w:rsid w:val="00BF723C"/>
    <w:rsid w:val="00BF7274"/>
    <w:rsid w:val="00BF7EE7"/>
    <w:rsid w:val="00BF7EED"/>
    <w:rsid w:val="00C000D9"/>
    <w:rsid w:val="00C022D6"/>
    <w:rsid w:val="00C02A0E"/>
    <w:rsid w:val="00C040CC"/>
    <w:rsid w:val="00C04830"/>
    <w:rsid w:val="00C05498"/>
    <w:rsid w:val="00C05962"/>
    <w:rsid w:val="00C1060F"/>
    <w:rsid w:val="00C13283"/>
    <w:rsid w:val="00C13CA4"/>
    <w:rsid w:val="00C143A0"/>
    <w:rsid w:val="00C16039"/>
    <w:rsid w:val="00C16A32"/>
    <w:rsid w:val="00C21969"/>
    <w:rsid w:val="00C223EB"/>
    <w:rsid w:val="00C22909"/>
    <w:rsid w:val="00C22A2E"/>
    <w:rsid w:val="00C235FF"/>
    <w:rsid w:val="00C23A3A"/>
    <w:rsid w:val="00C23DAB"/>
    <w:rsid w:val="00C24173"/>
    <w:rsid w:val="00C24A4F"/>
    <w:rsid w:val="00C250F3"/>
    <w:rsid w:val="00C255DF"/>
    <w:rsid w:val="00C25FF3"/>
    <w:rsid w:val="00C27517"/>
    <w:rsid w:val="00C301D8"/>
    <w:rsid w:val="00C31E7B"/>
    <w:rsid w:val="00C32708"/>
    <w:rsid w:val="00C335C2"/>
    <w:rsid w:val="00C342F5"/>
    <w:rsid w:val="00C343BF"/>
    <w:rsid w:val="00C34661"/>
    <w:rsid w:val="00C36071"/>
    <w:rsid w:val="00C378CC"/>
    <w:rsid w:val="00C37BAF"/>
    <w:rsid w:val="00C40BE9"/>
    <w:rsid w:val="00C40FC1"/>
    <w:rsid w:val="00C41025"/>
    <w:rsid w:val="00C43AA1"/>
    <w:rsid w:val="00C43AEE"/>
    <w:rsid w:val="00C43BC6"/>
    <w:rsid w:val="00C44521"/>
    <w:rsid w:val="00C45438"/>
    <w:rsid w:val="00C455AB"/>
    <w:rsid w:val="00C45A36"/>
    <w:rsid w:val="00C45C19"/>
    <w:rsid w:val="00C45CF4"/>
    <w:rsid w:val="00C45FF2"/>
    <w:rsid w:val="00C5002F"/>
    <w:rsid w:val="00C500C9"/>
    <w:rsid w:val="00C51F09"/>
    <w:rsid w:val="00C52199"/>
    <w:rsid w:val="00C522C0"/>
    <w:rsid w:val="00C52395"/>
    <w:rsid w:val="00C52403"/>
    <w:rsid w:val="00C545B0"/>
    <w:rsid w:val="00C54F3F"/>
    <w:rsid w:val="00C5544C"/>
    <w:rsid w:val="00C61034"/>
    <w:rsid w:val="00C612E7"/>
    <w:rsid w:val="00C62179"/>
    <w:rsid w:val="00C65240"/>
    <w:rsid w:val="00C673E0"/>
    <w:rsid w:val="00C67A22"/>
    <w:rsid w:val="00C67C05"/>
    <w:rsid w:val="00C67FC4"/>
    <w:rsid w:val="00C704DC"/>
    <w:rsid w:val="00C70CFB"/>
    <w:rsid w:val="00C711EC"/>
    <w:rsid w:val="00C72876"/>
    <w:rsid w:val="00C729FF"/>
    <w:rsid w:val="00C74F51"/>
    <w:rsid w:val="00C759B2"/>
    <w:rsid w:val="00C769E0"/>
    <w:rsid w:val="00C80342"/>
    <w:rsid w:val="00C80BE2"/>
    <w:rsid w:val="00C812DF"/>
    <w:rsid w:val="00C81FE9"/>
    <w:rsid w:val="00C824B4"/>
    <w:rsid w:val="00C82975"/>
    <w:rsid w:val="00C82E74"/>
    <w:rsid w:val="00C836DB"/>
    <w:rsid w:val="00C83C06"/>
    <w:rsid w:val="00C8486D"/>
    <w:rsid w:val="00C8501A"/>
    <w:rsid w:val="00C865C6"/>
    <w:rsid w:val="00C86B33"/>
    <w:rsid w:val="00C86FB1"/>
    <w:rsid w:val="00C872D4"/>
    <w:rsid w:val="00C87579"/>
    <w:rsid w:val="00C877D2"/>
    <w:rsid w:val="00C87ABB"/>
    <w:rsid w:val="00C917F3"/>
    <w:rsid w:val="00C91912"/>
    <w:rsid w:val="00C92848"/>
    <w:rsid w:val="00C936F1"/>
    <w:rsid w:val="00C95BB5"/>
    <w:rsid w:val="00C96EEF"/>
    <w:rsid w:val="00C97A3B"/>
    <w:rsid w:val="00C97AED"/>
    <w:rsid w:val="00CA06A8"/>
    <w:rsid w:val="00CA149C"/>
    <w:rsid w:val="00CA1D98"/>
    <w:rsid w:val="00CA2F4A"/>
    <w:rsid w:val="00CA68CB"/>
    <w:rsid w:val="00CA7002"/>
    <w:rsid w:val="00CB1594"/>
    <w:rsid w:val="00CB29CE"/>
    <w:rsid w:val="00CB2CBD"/>
    <w:rsid w:val="00CB3DFC"/>
    <w:rsid w:val="00CC0641"/>
    <w:rsid w:val="00CC1A21"/>
    <w:rsid w:val="00CC3A4C"/>
    <w:rsid w:val="00CC49FD"/>
    <w:rsid w:val="00CC68FC"/>
    <w:rsid w:val="00CC76A3"/>
    <w:rsid w:val="00CD04C0"/>
    <w:rsid w:val="00CD118B"/>
    <w:rsid w:val="00CD1811"/>
    <w:rsid w:val="00CD1A24"/>
    <w:rsid w:val="00CD2EAF"/>
    <w:rsid w:val="00CD410A"/>
    <w:rsid w:val="00CE0F4F"/>
    <w:rsid w:val="00CE13FE"/>
    <w:rsid w:val="00CE1AE6"/>
    <w:rsid w:val="00CE328E"/>
    <w:rsid w:val="00CE3306"/>
    <w:rsid w:val="00CE347F"/>
    <w:rsid w:val="00CE39F1"/>
    <w:rsid w:val="00CE3EA8"/>
    <w:rsid w:val="00CE4470"/>
    <w:rsid w:val="00CE4626"/>
    <w:rsid w:val="00CE4D5B"/>
    <w:rsid w:val="00CE5AAB"/>
    <w:rsid w:val="00CE72EF"/>
    <w:rsid w:val="00CF06E9"/>
    <w:rsid w:val="00CF1274"/>
    <w:rsid w:val="00CF6A18"/>
    <w:rsid w:val="00D0075C"/>
    <w:rsid w:val="00D02DAC"/>
    <w:rsid w:val="00D049BF"/>
    <w:rsid w:val="00D04F7C"/>
    <w:rsid w:val="00D0535B"/>
    <w:rsid w:val="00D05701"/>
    <w:rsid w:val="00D0794F"/>
    <w:rsid w:val="00D07C3A"/>
    <w:rsid w:val="00D10964"/>
    <w:rsid w:val="00D12216"/>
    <w:rsid w:val="00D13151"/>
    <w:rsid w:val="00D14BB9"/>
    <w:rsid w:val="00D15317"/>
    <w:rsid w:val="00D15490"/>
    <w:rsid w:val="00D15A1B"/>
    <w:rsid w:val="00D1617C"/>
    <w:rsid w:val="00D165BC"/>
    <w:rsid w:val="00D16FF2"/>
    <w:rsid w:val="00D201A4"/>
    <w:rsid w:val="00D22685"/>
    <w:rsid w:val="00D2326E"/>
    <w:rsid w:val="00D24A71"/>
    <w:rsid w:val="00D25B0B"/>
    <w:rsid w:val="00D25B65"/>
    <w:rsid w:val="00D26D39"/>
    <w:rsid w:val="00D27F31"/>
    <w:rsid w:val="00D307EF"/>
    <w:rsid w:val="00D308BD"/>
    <w:rsid w:val="00D31BB7"/>
    <w:rsid w:val="00D31C9C"/>
    <w:rsid w:val="00D34935"/>
    <w:rsid w:val="00D35882"/>
    <w:rsid w:val="00D358EB"/>
    <w:rsid w:val="00D37191"/>
    <w:rsid w:val="00D37627"/>
    <w:rsid w:val="00D37BE7"/>
    <w:rsid w:val="00D37E8A"/>
    <w:rsid w:val="00D408E1"/>
    <w:rsid w:val="00D44BC5"/>
    <w:rsid w:val="00D45254"/>
    <w:rsid w:val="00D45261"/>
    <w:rsid w:val="00D47683"/>
    <w:rsid w:val="00D47B39"/>
    <w:rsid w:val="00D517D0"/>
    <w:rsid w:val="00D51EC1"/>
    <w:rsid w:val="00D51F5C"/>
    <w:rsid w:val="00D53285"/>
    <w:rsid w:val="00D535DA"/>
    <w:rsid w:val="00D546CF"/>
    <w:rsid w:val="00D55F4B"/>
    <w:rsid w:val="00D565EC"/>
    <w:rsid w:val="00D57E5F"/>
    <w:rsid w:val="00D603D2"/>
    <w:rsid w:val="00D61FD2"/>
    <w:rsid w:val="00D6211E"/>
    <w:rsid w:val="00D65EC1"/>
    <w:rsid w:val="00D65FB2"/>
    <w:rsid w:val="00D668D7"/>
    <w:rsid w:val="00D66BEE"/>
    <w:rsid w:val="00D66EF5"/>
    <w:rsid w:val="00D70F91"/>
    <w:rsid w:val="00D71C79"/>
    <w:rsid w:val="00D72266"/>
    <w:rsid w:val="00D73FF1"/>
    <w:rsid w:val="00D74098"/>
    <w:rsid w:val="00D74D3D"/>
    <w:rsid w:val="00D805EF"/>
    <w:rsid w:val="00D80CFC"/>
    <w:rsid w:val="00D823F4"/>
    <w:rsid w:val="00D87F4F"/>
    <w:rsid w:val="00D9331A"/>
    <w:rsid w:val="00D933D6"/>
    <w:rsid w:val="00D9418F"/>
    <w:rsid w:val="00D94A29"/>
    <w:rsid w:val="00D95C7A"/>
    <w:rsid w:val="00D97469"/>
    <w:rsid w:val="00D97966"/>
    <w:rsid w:val="00DA18E5"/>
    <w:rsid w:val="00DA1C19"/>
    <w:rsid w:val="00DA2659"/>
    <w:rsid w:val="00DA5D18"/>
    <w:rsid w:val="00DA6199"/>
    <w:rsid w:val="00DA6957"/>
    <w:rsid w:val="00DB05FE"/>
    <w:rsid w:val="00DB0C6A"/>
    <w:rsid w:val="00DB1D05"/>
    <w:rsid w:val="00DB5132"/>
    <w:rsid w:val="00DB6428"/>
    <w:rsid w:val="00DB70A1"/>
    <w:rsid w:val="00DC00C2"/>
    <w:rsid w:val="00DC0C6A"/>
    <w:rsid w:val="00DC11DE"/>
    <w:rsid w:val="00DC13AD"/>
    <w:rsid w:val="00DC34E2"/>
    <w:rsid w:val="00DD131A"/>
    <w:rsid w:val="00DD3923"/>
    <w:rsid w:val="00DD41D7"/>
    <w:rsid w:val="00DD435E"/>
    <w:rsid w:val="00DD4B50"/>
    <w:rsid w:val="00DD53CB"/>
    <w:rsid w:val="00DD5AC4"/>
    <w:rsid w:val="00DD5E64"/>
    <w:rsid w:val="00DD6700"/>
    <w:rsid w:val="00DE02D2"/>
    <w:rsid w:val="00DE239F"/>
    <w:rsid w:val="00DE32E9"/>
    <w:rsid w:val="00DE333D"/>
    <w:rsid w:val="00DE37A4"/>
    <w:rsid w:val="00DE37E9"/>
    <w:rsid w:val="00DE4156"/>
    <w:rsid w:val="00DE56E5"/>
    <w:rsid w:val="00DE592E"/>
    <w:rsid w:val="00DE6F63"/>
    <w:rsid w:val="00DE7B05"/>
    <w:rsid w:val="00DF03BC"/>
    <w:rsid w:val="00DF05E4"/>
    <w:rsid w:val="00DF1E2E"/>
    <w:rsid w:val="00DF212B"/>
    <w:rsid w:val="00DF28F5"/>
    <w:rsid w:val="00DF35B1"/>
    <w:rsid w:val="00DF410E"/>
    <w:rsid w:val="00DF477C"/>
    <w:rsid w:val="00DF5513"/>
    <w:rsid w:val="00DF5550"/>
    <w:rsid w:val="00DF58C4"/>
    <w:rsid w:val="00DF5B61"/>
    <w:rsid w:val="00DF609D"/>
    <w:rsid w:val="00E00D58"/>
    <w:rsid w:val="00E01454"/>
    <w:rsid w:val="00E02711"/>
    <w:rsid w:val="00E02CC1"/>
    <w:rsid w:val="00E03A60"/>
    <w:rsid w:val="00E048B1"/>
    <w:rsid w:val="00E06AC7"/>
    <w:rsid w:val="00E06BE7"/>
    <w:rsid w:val="00E06D97"/>
    <w:rsid w:val="00E074BD"/>
    <w:rsid w:val="00E075FB"/>
    <w:rsid w:val="00E079B8"/>
    <w:rsid w:val="00E1057F"/>
    <w:rsid w:val="00E11EA9"/>
    <w:rsid w:val="00E1209E"/>
    <w:rsid w:val="00E15BE1"/>
    <w:rsid w:val="00E16C16"/>
    <w:rsid w:val="00E16C89"/>
    <w:rsid w:val="00E2075F"/>
    <w:rsid w:val="00E214C7"/>
    <w:rsid w:val="00E21C69"/>
    <w:rsid w:val="00E22169"/>
    <w:rsid w:val="00E23F88"/>
    <w:rsid w:val="00E240FD"/>
    <w:rsid w:val="00E25786"/>
    <w:rsid w:val="00E25B2F"/>
    <w:rsid w:val="00E2651A"/>
    <w:rsid w:val="00E266ED"/>
    <w:rsid w:val="00E26861"/>
    <w:rsid w:val="00E27B32"/>
    <w:rsid w:val="00E30419"/>
    <w:rsid w:val="00E30525"/>
    <w:rsid w:val="00E30E0C"/>
    <w:rsid w:val="00E3175C"/>
    <w:rsid w:val="00E33BF3"/>
    <w:rsid w:val="00E344DB"/>
    <w:rsid w:val="00E36F7F"/>
    <w:rsid w:val="00E373CB"/>
    <w:rsid w:val="00E41BD2"/>
    <w:rsid w:val="00E42991"/>
    <w:rsid w:val="00E42D1F"/>
    <w:rsid w:val="00E45EB3"/>
    <w:rsid w:val="00E46E80"/>
    <w:rsid w:val="00E5213E"/>
    <w:rsid w:val="00E52FC5"/>
    <w:rsid w:val="00E5305A"/>
    <w:rsid w:val="00E53266"/>
    <w:rsid w:val="00E540DE"/>
    <w:rsid w:val="00E54AD5"/>
    <w:rsid w:val="00E551D2"/>
    <w:rsid w:val="00E55D7E"/>
    <w:rsid w:val="00E560AF"/>
    <w:rsid w:val="00E56540"/>
    <w:rsid w:val="00E5692D"/>
    <w:rsid w:val="00E6063A"/>
    <w:rsid w:val="00E61279"/>
    <w:rsid w:val="00E613E4"/>
    <w:rsid w:val="00E61CF3"/>
    <w:rsid w:val="00E62423"/>
    <w:rsid w:val="00E624C3"/>
    <w:rsid w:val="00E63B63"/>
    <w:rsid w:val="00E651EF"/>
    <w:rsid w:val="00E66836"/>
    <w:rsid w:val="00E66B0C"/>
    <w:rsid w:val="00E6722E"/>
    <w:rsid w:val="00E71CCD"/>
    <w:rsid w:val="00E71DC7"/>
    <w:rsid w:val="00E728BC"/>
    <w:rsid w:val="00E746A4"/>
    <w:rsid w:val="00E773E1"/>
    <w:rsid w:val="00E7749E"/>
    <w:rsid w:val="00E80FC2"/>
    <w:rsid w:val="00E820D3"/>
    <w:rsid w:val="00E82754"/>
    <w:rsid w:val="00E83523"/>
    <w:rsid w:val="00E87882"/>
    <w:rsid w:val="00E87DFA"/>
    <w:rsid w:val="00E9044B"/>
    <w:rsid w:val="00E91CBB"/>
    <w:rsid w:val="00E9254E"/>
    <w:rsid w:val="00E928DD"/>
    <w:rsid w:val="00E94C90"/>
    <w:rsid w:val="00E965D7"/>
    <w:rsid w:val="00E97B7D"/>
    <w:rsid w:val="00EA208A"/>
    <w:rsid w:val="00EA20AB"/>
    <w:rsid w:val="00EA2FC8"/>
    <w:rsid w:val="00EA387D"/>
    <w:rsid w:val="00EA5656"/>
    <w:rsid w:val="00EA5BEA"/>
    <w:rsid w:val="00EA5DB4"/>
    <w:rsid w:val="00EA634E"/>
    <w:rsid w:val="00EA641D"/>
    <w:rsid w:val="00EA65C0"/>
    <w:rsid w:val="00EA6768"/>
    <w:rsid w:val="00EA6C30"/>
    <w:rsid w:val="00EA6F54"/>
    <w:rsid w:val="00EA7038"/>
    <w:rsid w:val="00EA73C9"/>
    <w:rsid w:val="00EB0052"/>
    <w:rsid w:val="00EB014E"/>
    <w:rsid w:val="00EB07B0"/>
    <w:rsid w:val="00EB1EEC"/>
    <w:rsid w:val="00EB2229"/>
    <w:rsid w:val="00EB50C8"/>
    <w:rsid w:val="00EB67F1"/>
    <w:rsid w:val="00EB753F"/>
    <w:rsid w:val="00EB7DC4"/>
    <w:rsid w:val="00EC14DF"/>
    <w:rsid w:val="00EC1582"/>
    <w:rsid w:val="00EC1628"/>
    <w:rsid w:val="00EC189B"/>
    <w:rsid w:val="00EC2F97"/>
    <w:rsid w:val="00EC370A"/>
    <w:rsid w:val="00EC4998"/>
    <w:rsid w:val="00EC55F4"/>
    <w:rsid w:val="00EC5FB8"/>
    <w:rsid w:val="00EC6C87"/>
    <w:rsid w:val="00EC7FF5"/>
    <w:rsid w:val="00ED061B"/>
    <w:rsid w:val="00ED0646"/>
    <w:rsid w:val="00ED1564"/>
    <w:rsid w:val="00ED158F"/>
    <w:rsid w:val="00ED1700"/>
    <w:rsid w:val="00ED21DD"/>
    <w:rsid w:val="00ED2C84"/>
    <w:rsid w:val="00ED3644"/>
    <w:rsid w:val="00ED4AAC"/>
    <w:rsid w:val="00ED553D"/>
    <w:rsid w:val="00EE26F8"/>
    <w:rsid w:val="00EE517D"/>
    <w:rsid w:val="00EE56A5"/>
    <w:rsid w:val="00EE5950"/>
    <w:rsid w:val="00EE5C50"/>
    <w:rsid w:val="00EF01C3"/>
    <w:rsid w:val="00EF027A"/>
    <w:rsid w:val="00EF2B76"/>
    <w:rsid w:val="00EF2ED4"/>
    <w:rsid w:val="00EF6833"/>
    <w:rsid w:val="00EF7015"/>
    <w:rsid w:val="00EF7237"/>
    <w:rsid w:val="00F0015A"/>
    <w:rsid w:val="00F01ACF"/>
    <w:rsid w:val="00F03101"/>
    <w:rsid w:val="00F03D06"/>
    <w:rsid w:val="00F04715"/>
    <w:rsid w:val="00F05CF8"/>
    <w:rsid w:val="00F070BD"/>
    <w:rsid w:val="00F11175"/>
    <w:rsid w:val="00F11DF9"/>
    <w:rsid w:val="00F13796"/>
    <w:rsid w:val="00F14B91"/>
    <w:rsid w:val="00F153A4"/>
    <w:rsid w:val="00F21525"/>
    <w:rsid w:val="00F22963"/>
    <w:rsid w:val="00F23EFB"/>
    <w:rsid w:val="00F27EF9"/>
    <w:rsid w:val="00F30B06"/>
    <w:rsid w:val="00F30B3A"/>
    <w:rsid w:val="00F31560"/>
    <w:rsid w:val="00F31B5A"/>
    <w:rsid w:val="00F327F4"/>
    <w:rsid w:val="00F32D25"/>
    <w:rsid w:val="00F33BA6"/>
    <w:rsid w:val="00F34787"/>
    <w:rsid w:val="00F3539B"/>
    <w:rsid w:val="00F35F19"/>
    <w:rsid w:val="00F3748F"/>
    <w:rsid w:val="00F40908"/>
    <w:rsid w:val="00F40CBB"/>
    <w:rsid w:val="00F4123F"/>
    <w:rsid w:val="00F415DC"/>
    <w:rsid w:val="00F419CE"/>
    <w:rsid w:val="00F41FE8"/>
    <w:rsid w:val="00F42D66"/>
    <w:rsid w:val="00F4344B"/>
    <w:rsid w:val="00F4622F"/>
    <w:rsid w:val="00F476E7"/>
    <w:rsid w:val="00F51350"/>
    <w:rsid w:val="00F52F00"/>
    <w:rsid w:val="00F54B8B"/>
    <w:rsid w:val="00F55DE7"/>
    <w:rsid w:val="00F56278"/>
    <w:rsid w:val="00F6452E"/>
    <w:rsid w:val="00F64857"/>
    <w:rsid w:val="00F649D5"/>
    <w:rsid w:val="00F64BCC"/>
    <w:rsid w:val="00F64D42"/>
    <w:rsid w:val="00F66B55"/>
    <w:rsid w:val="00F70656"/>
    <w:rsid w:val="00F7174C"/>
    <w:rsid w:val="00F72A01"/>
    <w:rsid w:val="00F73207"/>
    <w:rsid w:val="00F7458E"/>
    <w:rsid w:val="00F76918"/>
    <w:rsid w:val="00F7784C"/>
    <w:rsid w:val="00F8018A"/>
    <w:rsid w:val="00F8133E"/>
    <w:rsid w:val="00F81C0C"/>
    <w:rsid w:val="00F82E98"/>
    <w:rsid w:val="00F834B6"/>
    <w:rsid w:val="00F83D35"/>
    <w:rsid w:val="00F85447"/>
    <w:rsid w:val="00F8553C"/>
    <w:rsid w:val="00F85DFC"/>
    <w:rsid w:val="00F86916"/>
    <w:rsid w:val="00F8743F"/>
    <w:rsid w:val="00F8759C"/>
    <w:rsid w:val="00F90F7B"/>
    <w:rsid w:val="00F92756"/>
    <w:rsid w:val="00F94E23"/>
    <w:rsid w:val="00F94F36"/>
    <w:rsid w:val="00F95420"/>
    <w:rsid w:val="00F95428"/>
    <w:rsid w:val="00F95494"/>
    <w:rsid w:val="00F95D14"/>
    <w:rsid w:val="00F96C10"/>
    <w:rsid w:val="00F9753B"/>
    <w:rsid w:val="00F97F44"/>
    <w:rsid w:val="00FA0D6F"/>
    <w:rsid w:val="00FA1EC0"/>
    <w:rsid w:val="00FA3468"/>
    <w:rsid w:val="00FA421D"/>
    <w:rsid w:val="00FA51C7"/>
    <w:rsid w:val="00FA5FD1"/>
    <w:rsid w:val="00FA7A54"/>
    <w:rsid w:val="00FB0B0C"/>
    <w:rsid w:val="00FB0C1A"/>
    <w:rsid w:val="00FB1721"/>
    <w:rsid w:val="00FB40E9"/>
    <w:rsid w:val="00FB5110"/>
    <w:rsid w:val="00FB6207"/>
    <w:rsid w:val="00FB7D3C"/>
    <w:rsid w:val="00FC045F"/>
    <w:rsid w:val="00FC0595"/>
    <w:rsid w:val="00FC061F"/>
    <w:rsid w:val="00FC0F5C"/>
    <w:rsid w:val="00FC1209"/>
    <w:rsid w:val="00FC2B1D"/>
    <w:rsid w:val="00FC3935"/>
    <w:rsid w:val="00FC3980"/>
    <w:rsid w:val="00FC602C"/>
    <w:rsid w:val="00FC67D9"/>
    <w:rsid w:val="00FC7919"/>
    <w:rsid w:val="00FD0E0B"/>
    <w:rsid w:val="00FD3EE9"/>
    <w:rsid w:val="00FD4912"/>
    <w:rsid w:val="00FD4BAE"/>
    <w:rsid w:val="00FE051A"/>
    <w:rsid w:val="00FE0C34"/>
    <w:rsid w:val="00FE1228"/>
    <w:rsid w:val="00FE1AD1"/>
    <w:rsid w:val="00FE2248"/>
    <w:rsid w:val="00FE3E89"/>
    <w:rsid w:val="00FE407F"/>
    <w:rsid w:val="00FF0A3C"/>
    <w:rsid w:val="00FF1088"/>
    <w:rsid w:val="00FF1525"/>
    <w:rsid w:val="00FF361A"/>
    <w:rsid w:val="00FF381F"/>
    <w:rsid w:val="00FF4159"/>
    <w:rsid w:val="00FF42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ED9C5"/>
  <w15:docId w15:val="{D8FC0EC1-343F-49AF-B125-C2F3FD6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eastAsia="en-US"/>
    </w:rPr>
  </w:style>
  <w:style w:type="paragraph" w:styleId="Heading1">
    <w:name w:val="heading 1"/>
    <w:basedOn w:val="Normal"/>
    <w:next w:val="Normal"/>
    <w:link w:val="Heading1Char"/>
    <w:uiPriority w:val="9"/>
    <w:qFormat/>
    <w:rsid w:val="001F73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B712F"/>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C19A5"/>
    <w:pPr>
      <w:ind w:left="720"/>
      <w:contextualSpacing/>
    </w:pPr>
  </w:style>
  <w:style w:type="paragraph" w:styleId="Header">
    <w:name w:val="header"/>
    <w:basedOn w:val="Normal"/>
    <w:link w:val="HeaderChar"/>
    <w:uiPriority w:val="99"/>
    <w:unhideWhenUsed/>
    <w:rsid w:val="00245E78"/>
    <w:pPr>
      <w:tabs>
        <w:tab w:val="center" w:pos="4513"/>
        <w:tab w:val="right" w:pos="9026"/>
      </w:tabs>
      <w:spacing w:line="240" w:lineRule="auto"/>
    </w:pPr>
  </w:style>
  <w:style w:type="character" w:customStyle="1" w:styleId="HeaderChar">
    <w:name w:val="Header Char"/>
    <w:basedOn w:val="DefaultParagraphFont"/>
    <w:link w:val="Header"/>
    <w:uiPriority w:val="99"/>
    <w:rsid w:val="00245E78"/>
  </w:style>
  <w:style w:type="paragraph" w:styleId="Footer">
    <w:name w:val="footer"/>
    <w:basedOn w:val="Normal"/>
    <w:link w:val="FooterChar"/>
    <w:uiPriority w:val="99"/>
    <w:unhideWhenUsed/>
    <w:rsid w:val="00245E78"/>
    <w:pPr>
      <w:tabs>
        <w:tab w:val="center" w:pos="4513"/>
        <w:tab w:val="right" w:pos="9026"/>
      </w:tabs>
      <w:spacing w:line="240" w:lineRule="auto"/>
    </w:pPr>
  </w:style>
  <w:style w:type="character" w:customStyle="1" w:styleId="FooterChar">
    <w:name w:val="Footer Char"/>
    <w:basedOn w:val="DefaultParagraphFont"/>
    <w:link w:val="Footer"/>
    <w:uiPriority w:val="99"/>
    <w:rsid w:val="00245E78"/>
  </w:style>
  <w:style w:type="paragraph" w:styleId="BalloonText">
    <w:name w:val="Balloon Text"/>
    <w:basedOn w:val="Normal"/>
    <w:link w:val="BalloonTextChar"/>
    <w:uiPriority w:val="99"/>
    <w:semiHidden/>
    <w:unhideWhenUsed/>
    <w:rsid w:val="0026137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376"/>
    <w:rPr>
      <w:rFonts w:ascii="Tahoma" w:hAnsi="Tahoma" w:cs="Tahoma"/>
      <w:sz w:val="16"/>
      <w:szCs w:val="16"/>
    </w:rPr>
  </w:style>
  <w:style w:type="table" w:styleId="TableGrid">
    <w:name w:val="Table Grid"/>
    <w:basedOn w:val="TableNormal"/>
    <w:uiPriority w:val="59"/>
    <w:rsid w:val="00C0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44B"/>
    <w:rPr>
      <w:sz w:val="22"/>
      <w:szCs w:val="22"/>
      <w:lang w:eastAsia="en-US"/>
    </w:rPr>
  </w:style>
  <w:style w:type="paragraph" w:styleId="FootnoteText">
    <w:name w:val="footnote text"/>
    <w:basedOn w:val="Normal"/>
    <w:link w:val="FootnoteTextChar"/>
    <w:uiPriority w:val="99"/>
    <w:unhideWhenUsed/>
    <w:rsid w:val="00EB014E"/>
    <w:rPr>
      <w:sz w:val="20"/>
      <w:szCs w:val="20"/>
      <w:lang w:eastAsia="x-none"/>
    </w:rPr>
  </w:style>
  <w:style w:type="character" w:customStyle="1" w:styleId="FootnoteTextChar">
    <w:name w:val="Footnote Text Char"/>
    <w:link w:val="FootnoteText"/>
    <w:uiPriority w:val="99"/>
    <w:rsid w:val="00EB014E"/>
    <w:rPr>
      <w:lang w:val="en-ZW"/>
    </w:rPr>
  </w:style>
  <w:style w:type="character" w:styleId="FootnoteReference">
    <w:name w:val="footnote reference"/>
    <w:uiPriority w:val="99"/>
    <w:unhideWhenUsed/>
    <w:rsid w:val="00EB014E"/>
    <w:rPr>
      <w:vertAlign w:val="superscript"/>
    </w:rPr>
  </w:style>
  <w:style w:type="paragraph" w:styleId="EndnoteText">
    <w:name w:val="endnote text"/>
    <w:basedOn w:val="Normal"/>
    <w:link w:val="EndnoteTextChar"/>
    <w:uiPriority w:val="99"/>
    <w:semiHidden/>
    <w:unhideWhenUsed/>
    <w:rsid w:val="003C1432"/>
    <w:rPr>
      <w:sz w:val="20"/>
      <w:szCs w:val="20"/>
      <w:lang w:eastAsia="x-none"/>
    </w:rPr>
  </w:style>
  <w:style w:type="character" w:customStyle="1" w:styleId="EndnoteTextChar">
    <w:name w:val="Endnote Text Char"/>
    <w:link w:val="EndnoteText"/>
    <w:uiPriority w:val="99"/>
    <w:semiHidden/>
    <w:rsid w:val="003C1432"/>
    <w:rPr>
      <w:lang w:val="en-ZW"/>
    </w:rPr>
  </w:style>
  <w:style w:type="character" w:styleId="EndnoteReference">
    <w:name w:val="endnote reference"/>
    <w:uiPriority w:val="99"/>
    <w:semiHidden/>
    <w:unhideWhenUsed/>
    <w:rsid w:val="003C1432"/>
    <w:rPr>
      <w:vertAlign w:val="superscript"/>
    </w:rPr>
  </w:style>
  <w:style w:type="paragraph" w:customStyle="1" w:styleId="ColorfulList-Accent11">
    <w:name w:val="Colorful List - Accent 11"/>
    <w:basedOn w:val="Normal"/>
    <w:uiPriority w:val="34"/>
    <w:qFormat/>
    <w:rsid w:val="00312DFB"/>
    <w:pPr>
      <w:ind w:left="720"/>
    </w:pPr>
  </w:style>
  <w:style w:type="character" w:styleId="CommentReference">
    <w:name w:val="annotation reference"/>
    <w:uiPriority w:val="99"/>
    <w:semiHidden/>
    <w:unhideWhenUsed/>
    <w:rsid w:val="00C22909"/>
    <w:rPr>
      <w:sz w:val="18"/>
      <w:szCs w:val="18"/>
    </w:rPr>
  </w:style>
  <w:style w:type="paragraph" w:styleId="CommentText">
    <w:name w:val="annotation text"/>
    <w:basedOn w:val="Normal"/>
    <w:link w:val="CommentTextChar"/>
    <w:uiPriority w:val="99"/>
    <w:semiHidden/>
    <w:unhideWhenUsed/>
    <w:rsid w:val="00C22909"/>
    <w:rPr>
      <w:sz w:val="24"/>
      <w:szCs w:val="24"/>
      <w:lang w:eastAsia="x-none"/>
    </w:rPr>
  </w:style>
  <w:style w:type="character" w:customStyle="1" w:styleId="CommentTextChar">
    <w:name w:val="Comment Text Char"/>
    <w:link w:val="CommentText"/>
    <w:uiPriority w:val="99"/>
    <w:semiHidden/>
    <w:rsid w:val="00C22909"/>
    <w:rPr>
      <w:sz w:val="24"/>
      <w:szCs w:val="24"/>
      <w:lang w:val="en-ZW"/>
    </w:rPr>
  </w:style>
  <w:style w:type="paragraph" w:styleId="CommentSubject">
    <w:name w:val="annotation subject"/>
    <w:basedOn w:val="CommentText"/>
    <w:next w:val="CommentText"/>
    <w:link w:val="CommentSubjectChar"/>
    <w:uiPriority w:val="99"/>
    <w:semiHidden/>
    <w:unhideWhenUsed/>
    <w:rsid w:val="00C22909"/>
    <w:rPr>
      <w:b/>
      <w:bCs/>
    </w:rPr>
  </w:style>
  <w:style w:type="character" w:customStyle="1" w:styleId="CommentSubjectChar">
    <w:name w:val="Comment Subject Char"/>
    <w:link w:val="CommentSubject"/>
    <w:uiPriority w:val="99"/>
    <w:semiHidden/>
    <w:rsid w:val="00C22909"/>
    <w:rPr>
      <w:b/>
      <w:bCs/>
      <w:sz w:val="24"/>
      <w:szCs w:val="24"/>
      <w:lang w:val="en-ZW"/>
    </w:rPr>
  </w:style>
  <w:style w:type="paragraph" w:styleId="ListParagraph">
    <w:name w:val="List Paragraph"/>
    <w:basedOn w:val="Normal"/>
    <w:uiPriority w:val="34"/>
    <w:qFormat/>
    <w:rsid w:val="00CB29CE"/>
    <w:pPr>
      <w:ind w:left="720"/>
    </w:pPr>
  </w:style>
  <w:style w:type="character" w:customStyle="1" w:styleId="akn-p">
    <w:name w:val="akn-p"/>
    <w:basedOn w:val="DefaultParagraphFont"/>
    <w:rsid w:val="000B0BAB"/>
  </w:style>
  <w:style w:type="character" w:styleId="Hyperlink">
    <w:name w:val="Hyperlink"/>
    <w:basedOn w:val="DefaultParagraphFont"/>
    <w:uiPriority w:val="99"/>
    <w:semiHidden/>
    <w:unhideWhenUsed/>
    <w:rsid w:val="000B0BAB"/>
    <w:rPr>
      <w:color w:val="0000FF"/>
      <w:u w:val="single"/>
    </w:rPr>
  </w:style>
  <w:style w:type="character" w:customStyle="1" w:styleId="akn-num">
    <w:name w:val="akn-num"/>
    <w:basedOn w:val="DefaultParagraphFont"/>
    <w:rsid w:val="000B0BAB"/>
  </w:style>
  <w:style w:type="character" w:customStyle="1" w:styleId="Heading3Char">
    <w:name w:val="Heading 3 Char"/>
    <w:basedOn w:val="DefaultParagraphFont"/>
    <w:link w:val="Heading3"/>
    <w:uiPriority w:val="9"/>
    <w:rsid w:val="008B712F"/>
    <w:rPr>
      <w:rFonts w:ascii="Times New Roman" w:eastAsia="Times New Roman" w:hAnsi="Times New Roman"/>
      <w:b/>
      <w:bCs/>
      <w:sz w:val="27"/>
      <w:szCs w:val="27"/>
      <w:lang w:val="en-US" w:eastAsia="en-US"/>
    </w:rPr>
  </w:style>
  <w:style w:type="character" w:customStyle="1" w:styleId="Heading1Char">
    <w:name w:val="Heading 1 Char"/>
    <w:basedOn w:val="DefaultParagraphFont"/>
    <w:link w:val="Heading1"/>
    <w:uiPriority w:val="9"/>
    <w:rsid w:val="001F7308"/>
    <w:rPr>
      <w:rFonts w:asciiTheme="majorHAnsi" w:eastAsiaTheme="majorEastAsia" w:hAnsiTheme="majorHAnsi" w:cstheme="majorBidi"/>
      <w:color w:val="2E74B5" w:themeColor="accent1" w:themeShade="BF"/>
      <w:sz w:val="32"/>
      <w:szCs w:val="32"/>
      <w:lang w:val="en-GB" w:eastAsia="en-US"/>
    </w:rPr>
  </w:style>
  <w:style w:type="paragraph" w:styleId="NormalWeb">
    <w:name w:val="Normal (Web)"/>
    <w:basedOn w:val="Normal"/>
    <w:uiPriority w:val="99"/>
    <w:unhideWhenUsed/>
    <w:rsid w:val="008F617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7130">
      <w:bodyDiv w:val="1"/>
      <w:marLeft w:val="0"/>
      <w:marRight w:val="0"/>
      <w:marTop w:val="0"/>
      <w:marBottom w:val="0"/>
      <w:divBdr>
        <w:top w:val="none" w:sz="0" w:space="0" w:color="auto"/>
        <w:left w:val="none" w:sz="0" w:space="0" w:color="auto"/>
        <w:bottom w:val="none" w:sz="0" w:space="0" w:color="auto"/>
        <w:right w:val="none" w:sz="0" w:space="0" w:color="auto"/>
      </w:divBdr>
    </w:div>
    <w:div w:id="445344705">
      <w:bodyDiv w:val="1"/>
      <w:marLeft w:val="0"/>
      <w:marRight w:val="0"/>
      <w:marTop w:val="0"/>
      <w:marBottom w:val="0"/>
      <w:divBdr>
        <w:top w:val="none" w:sz="0" w:space="0" w:color="auto"/>
        <w:left w:val="none" w:sz="0" w:space="0" w:color="auto"/>
        <w:bottom w:val="none" w:sz="0" w:space="0" w:color="auto"/>
        <w:right w:val="none" w:sz="0" w:space="0" w:color="auto"/>
      </w:divBdr>
    </w:div>
    <w:div w:id="570309659">
      <w:bodyDiv w:val="1"/>
      <w:marLeft w:val="0"/>
      <w:marRight w:val="0"/>
      <w:marTop w:val="0"/>
      <w:marBottom w:val="0"/>
      <w:divBdr>
        <w:top w:val="none" w:sz="0" w:space="0" w:color="auto"/>
        <w:left w:val="none" w:sz="0" w:space="0" w:color="auto"/>
        <w:bottom w:val="none" w:sz="0" w:space="0" w:color="auto"/>
        <w:right w:val="none" w:sz="0" w:space="0" w:color="auto"/>
      </w:divBdr>
    </w:div>
    <w:div w:id="746343392">
      <w:bodyDiv w:val="1"/>
      <w:marLeft w:val="0"/>
      <w:marRight w:val="0"/>
      <w:marTop w:val="0"/>
      <w:marBottom w:val="0"/>
      <w:divBdr>
        <w:top w:val="none" w:sz="0" w:space="0" w:color="auto"/>
        <w:left w:val="none" w:sz="0" w:space="0" w:color="auto"/>
        <w:bottom w:val="none" w:sz="0" w:space="0" w:color="auto"/>
        <w:right w:val="none" w:sz="0" w:space="0" w:color="auto"/>
      </w:divBdr>
    </w:div>
    <w:div w:id="1287199601">
      <w:bodyDiv w:val="1"/>
      <w:marLeft w:val="0"/>
      <w:marRight w:val="0"/>
      <w:marTop w:val="0"/>
      <w:marBottom w:val="0"/>
      <w:divBdr>
        <w:top w:val="none" w:sz="0" w:space="0" w:color="auto"/>
        <w:left w:val="none" w:sz="0" w:space="0" w:color="auto"/>
        <w:bottom w:val="none" w:sz="0" w:space="0" w:color="auto"/>
        <w:right w:val="none" w:sz="0" w:space="0" w:color="auto"/>
      </w:divBdr>
      <w:divsChild>
        <w:div w:id="1864048313">
          <w:marLeft w:val="0"/>
          <w:marRight w:val="0"/>
          <w:marTop w:val="15"/>
          <w:marBottom w:val="0"/>
          <w:divBdr>
            <w:top w:val="single" w:sz="48" w:space="0" w:color="auto"/>
            <w:left w:val="single" w:sz="48" w:space="0" w:color="auto"/>
            <w:bottom w:val="single" w:sz="48" w:space="0" w:color="auto"/>
            <w:right w:val="single" w:sz="48" w:space="0" w:color="auto"/>
          </w:divBdr>
          <w:divsChild>
            <w:div w:id="2439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392">
      <w:bodyDiv w:val="1"/>
      <w:marLeft w:val="0"/>
      <w:marRight w:val="0"/>
      <w:marTop w:val="0"/>
      <w:marBottom w:val="0"/>
      <w:divBdr>
        <w:top w:val="none" w:sz="0" w:space="0" w:color="auto"/>
        <w:left w:val="none" w:sz="0" w:space="0" w:color="auto"/>
        <w:bottom w:val="none" w:sz="0" w:space="0" w:color="auto"/>
        <w:right w:val="none" w:sz="0" w:space="0" w:color="auto"/>
      </w:divBdr>
    </w:div>
    <w:div w:id="1793481444">
      <w:bodyDiv w:val="1"/>
      <w:marLeft w:val="0"/>
      <w:marRight w:val="0"/>
      <w:marTop w:val="0"/>
      <w:marBottom w:val="0"/>
      <w:divBdr>
        <w:top w:val="none" w:sz="0" w:space="0" w:color="auto"/>
        <w:left w:val="none" w:sz="0" w:space="0" w:color="auto"/>
        <w:bottom w:val="none" w:sz="0" w:space="0" w:color="auto"/>
        <w:right w:val="none" w:sz="0" w:space="0" w:color="auto"/>
      </w:divBdr>
    </w:div>
    <w:div w:id="2096243153">
      <w:bodyDiv w:val="1"/>
      <w:marLeft w:val="0"/>
      <w:marRight w:val="0"/>
      <w:marTop w:val="0"/>
      <w:marBottom w:val="0"/>
      <w:divBdr>
        <w:top w:val="none" w:sz="0" w:space="0" w:color="auto"/>
        <w:left w:val="none" w:sz="0" w:space="0" w:color="auto"/>
        <w:bottom w:val="none" w:sz="0" w:space="0" w:color="auto"/>
        <w:right w:val="none" w:sz="0" w:space="0" w:color="auto"/>
      </w:divBdr>
      <w:divsChild>
        <w:div w:id="265118960">
          <w:marLeft w:val="0"/>
          <w:marRight w:val="0"/>
          <w:marTop w:val="15"/>
          <w:marBottom w:val="0"/>
          <w:divBdr>
            <w:top w:val="single" w:sz="48" w:space="0" w:color="auto"/>
            <w:left w:val="single" w:sz="48" w:space="0" w:color="auto"/>
            <w:bottom w:val="single" w:sz="48" w:space="0" w:color="auto"/>
            <w:right w:val="single" w:sz="48" w:space="0" w:color="auto"/>
          </w:divBdr>
          <w:divsChild>
            <w:div w:id="478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2022-10-02T18:30:00+00:00</Judgment_x0020_Date>
    <Year xmlns="63bdd487-88aa-4c54-b893-ddaa81ed2e7c">2022</Year>
  </documentManagement>
</p:properties>
</file>

<file path=customXml/itemProps1.xml><?xml version="1.0" encoding="utf-8"?>
<ds:datastoreItem xmlns:ds="http://schemas.openxmlformats.org/officeDocument/2006/customXml" ds:itemID="{559169EB-F09A-4A39-AD9B-CD5782A9D025}">
  <ds:schemaRefs>
    <ds:schemaRef ds:uri="http://schemas.openxmlformats.org/officeDocument/2006/bibliography"/>
  </ds:schemaRefs>
</ds:datastoreItem>
</file>

<file path=customXml/itemProps2.xml><?xml version="1.0" encoding="utf-8"?>
<ds:datastoreItem xmlns:ds="http://schemas.openxmlformats.org/officeDocument/2006/customXml" ds:itemID="{3469C900-4F6C-45B0-945D-E82229C6351F}">
  <ds:schemaRefs>
    <ds:schemaRef ds:uri="http://schemas.microsoft.com/sharepoint/v3/contenttype/forms"/>
  </ds:schemaRefs>
</ds:datastoreItem>
</file>

<file path=customXml/itemProps3.xml><?xml version="1.0" encoding="utf-8"?>
<ds:datastoreItem xmlns:ds="http://schemas.openxmlformats.org/officeDocument/2006/customXml" ds:itemID="{5BA42957-BFFC-4C02-BF9F-DA7E292F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6A1E0-7CE3-4262-A289-2D39412D38F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Newpoint Electronic Solutions (Pty) Ltd v PS, Office of the Prime Minister</dc:title>
  <dc:subject/>
  <dc:creator>judge</dc:creator>
  <cp:keywords/>
  <dc:description/>
  <cp:lastModifiedBy>Mariana Anguelov</cp:lastModifiedBy>
  <cp:revision>3</cp:revision>
  <cp:lastPrinted>2022-09-30T12:26:00Z</cp:lastPrinted>
  <dcterms:created xsi:type="dcterms:W3CDTF">2022-10-23T14:44:00Z</dcterms:created>
  <dcterms:modified xsi:type="dcterms:W3CDTF">2022-10-23T14:49:00Z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