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A4B19" w14:textId="77777777" w:rsidR="008C3367" w:rsidRPr="000B2339" w:rsidRDefault="00D76EC6" w:rsidP="008C3367">
      <w:pPr>
        <w:keepNext/>
        <w:spacing w:line="360" w:lineRule="auto"/>
        <w:jc w:val="center"/>
        <w:outlineLvl w:val="0"/>
        <w:rPr>
          <w:rFonts w:ascii="Arial" w:hAnsi="Arial" w:cs="Arial"/>
          <w:b/>
          <w:bCs/>
          <w:color w:val="000000" w:themeColor="text1"/>
          <w:sz w:val="24"/>
          <w:szCs w:val="24"/>
        </w:rPr>
      </w:pPr>
      <w:r w:rsidRPr="000B2339">
        <w:rPr>
          <w:rFonts w:ascii="Arial" w:hAnsi="Arial" w:cs="Arial"/>
          <w:b/>
          <w:bCs/>
          <w:color w:val="000000" w:themeColor="text1"/>
          <w:sz w:val="24"/>
          <w:szCs w:val="24"/>
        </w:rPr>
        <w:t xml:space="preserve"> </w:t>
      </w:r>
      <w:r w:rsidR="008C3367" w:rsidRPr="000B2339">
        <w:rPr>
          <w:rFonts w:ascii="Arial" w:hAnsi="Arial" w:cs="Arial"/>
          <w:b/>
          <w:bCs/>
          <w:noProof/>
          <w:color w:val="000000" w:themeColor="text1"/>
          <w:sz w:val="24"/>
          <w:szCs w:val="24"/>
          <w:lang w:eastAsia="en-ZA"/>
        </w:rPr>
        <w:drawing>
          <wp:inline distT="0" distB="0" distL="0" distR="0" wp14:anchorId="20A6A473" wp14:editId="33FF96CF">
            <wp:extent cx="135255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352550" cy="1219200"/>
                    </a:xfrm>
                    <a:prstGeom prst="rect">
                      <a:avLst/>
                    </a:prstGeom>
                    <a:noFill/>
                    <a:ln w="9525">
                      <a:noFill/>
                      <a:miter lim="800000"/>
                      <a:headEnd/>
                      <a:tailEnd/>
                    </a:ln>
                  </pic:spPr>
                </pic:pic>
              </a:graphicData>
            </a:graphic>
          </wp:inline>
        </w:drawing>
      </w:r>
    </w:p>
    <w:p w14:paraId="519FDC57" w14:textId="77777777" w:rsidR="008C3367" w:rsidRPr="000B2339" w:rsidRDefault="008C3367" w:rsidP="006D4D03">
      <w:pPr>
        <w:spacing w:after="0" w:line="240" w:lineRule="auto"/>
        <w:ind w:left="1701"/>
        <w:jc w:val="right"/>
        <w:rPr>
          <w:rFonts w:ascii="Arial" w:hAnsi="Arial" w:cs="Arial"/>
          <w:b/>
          <w:color w:val="000000" w:themeColor="text1"/>
          <w:sz w:val="24"/>
          <w:szCs w:val="24"/>
        </w:rPr>
      </w:pPr>
      <w:r w:rsidRPr="000B2339">
        <w:rPr>
          <w:rFonts w:ascii="Arial" w:hAnsi="Arial" w:cs="Arial"/>
          <w:b/>
          <w:color w:val="000000" w:themeColor="text1"/>
          <w:sz w:val="24"/>
          <w:szCs w:val="24"/>
        </w:rPr>
        <w:t>REPORTABLE</w:t>
      </w:r>
    </w:p>
    <w:p w14:paraId="7CD4E2C6" w14:textId="77777777" w:rsidR="006D4D03" w:rsidRDefault="006D4D03" w:rsidP="006D4D03">
      <w:pPr>
        <w:spacing w:after="0" w:line="240" w:lineRule="auto"/>
        <w:jc w:val="right"/>
        <w:rPr>
          <w:rFonts w:ascii="Arial" w:hAnsi="Arial" w:cs="Arial"/>
          <w:color w:val="000000" w:themeColor="text1"/>
          <w:sz w:val="24"/>
          <w:szCs w:val="24"/>
        </w:rPr>
      </w:pPr>
    </w:p>
    <w:p w14:paraId="0E0CB8B9" w14:textId="77777777" w:rsidR="008C3367" w:rsidRPr="000B2339" w:rsidRDefault="008C3367" w:rsidP="006D4D03">
      <w:pPr>
        <w:spacing w:after="0" w:line="240" w:lineRule="auto"/>
        <w:jc w:val="right"/>
        <w:rPr>
          <w:rFonts w:ascii="Arial" w:hAnsi="Arial" w:cs="Arial"/>
          <w:color w:val="000000" w:themeColor="text1"/>
          <w:sz w:val="24"/>
          <w:szCs w:val="24"/>
        </w:rPr>
      </w:pPr>
      <w:r w:rsidRPr="000B2339">
        <w:rPr>
          <w:rFonts w:ascii="Arial" w:hAnsi="Arial" w:cs="Arial"/>
          <w:color w:val="000000" w:themeColor="text1"/>
          <w:sz w:val="24"/>
          <w:szCs w:val="24"/>
        </w:rPr>
        <w:t>CASE NO: S</w:t>
      </w:r>
      <w:r w:rsidR="00A77F5F">
        <w:rPr>
          <w:rFonts w:ascii="Arial" w:hAnsi="Arial" w:cs="Arial"/>
          <w:color w:val="000000" w:themeColor="text1"/>
          <w:sz w:val="24"/>
          <w:szCs w:val="24"/>
        </w:rPr>
        <w:t xml:space="preserve">A </w:t>
      </w:r>
      <w:r w:rsidR="0050541A">
        <w:rPr>
          <w:rFonts w:ascii="Arial" w:hAnsi="Arial" w:cs="Arial"/>
          <w:color w:val="000000" w:themeColor="text1"/>
          <w:sz w:val="24"/>
          <w:szCs w:val="24"/>
        </w:rPr>
        <w:t>105</w:t>
      </w:r>
      <w:r w:rsidRPr="000B2339">
        <w:rPr>
          <w:rFonts w:ascii="Arial" w:hAnsi="Arial" w:cs="Arial"/>
          <w:color w:val="000000" w:themeColor="text1"/>
          <w:sz w:val="24"/>
          <w:szCs w:val="24"/>
        </w:rPr>
        <w:t>/2</w:t>
      </w:r>
      <w:r w:rsidR="00CD0281" w:rsidRPr="000B2339">
        <w:rPr>
          <w:rFonts w:ascii="Arial" w:hAnsi="Arial" w:cs="Arial"/>
          <w:color w:val="000000" w:themeColor="text1"/>
          <w:sz w:val="24"/>
          <w:szCs w:val="24"/>
        </w:rPr>
        <w:t>0</w:t>
      </w:r>
      <w:r w:rsidR="009A2537" w:rsidRPr="000B2339">
        <w:rPr>
          <w:rFonts w:ascii="Arial" w:hAnsi="Arial" w:cs="Arial"/>
          <w:color w:val="000000" w:themeColor="text1"/>
          <w:sz w:val="24"/>
          <w:szCs w:val="24"/>
        </w:rPr>
        <w:t>2</w:t>
      </w:r>
      <w:r w:rsidR="0050541A">
        <w:rPr>
          <w:rFonts w:ascii="Arial" w:hAnsi="Arial" w:cs="Arial"/>
          <w:color w:val="000000" w:themeColor="text1"/>
          <w:sz w:val="24"/>
          <w:szCs w:val="24"/>
        </w:rPr>
        <w:t>1</w:t>
      </w:r>
    </w:p>
    <w:p w14:paraId="19174F2D" w14:textId="77777777" w:rsidR="00D11C64" w:rsidRDefault="00D11C64" w:rsidP="006D4D03">
      <w:pPr>
        <w:spacing w:after="0" w:line="240" w:lineRule="auto"/>
        <w:jc w:val="both"/>
        <w:rPr>
          <w:rFonts w:ascii="Arial" w:hAnsi="Arial" w:cs="Arial"/>
          <w:b/>
          <w:color w:val="000000" w:themeColor="text1"/>
          <w:sz w:val="24"/>
          <w:szCs w:val="24"/>
        </w:rPr>
      </w:pPr>
    </w:p>
    <w:p w14:paraId="2E452D24" w14:textId="77777777" w:rsidR="008C3367" w:rsidRPr="000B2339" w:rsidRDefault="008C3367" w:rsidP="006D4D03">
      <w:pPr>
        <w:spacing w:line="240" w:lineRule="auto"/>
        <w:jc w:val="both"/>
        <w:rPr>
          <w:rFonts w:ascii="Arial" w:hAnsi="Arial" w:cs="Arial"/>
          <w:b/>
          <w:color w:val="000000" w:themeColor="text1"/>
          <w:sz w:val="24"/>
          <w:szCs w:val="24"/>
        </w:rPr>
      </w:pPr>
      <w:r w:rsidRPr="000B2339">
        <w:rPr>
          <w:rFonts w:ascii="Arial" w:hAnsi="Arial" w:cs="Arial"/>
          <w:b/>
          <w:color w:val="000000" w:themeColor="text1"/>
          <w:sz w:val="24"/>
          <w:szCs w:val="24"/>
        </w:rPr>
        <w:t>IN THE SUPREME COURT OF NAMIBIA</w:t>
      </w:r>
    </w:p>
    <w:p w14:paraId="2EE195F8" w14:textId="77777777" w:rsidR="008C3367" w:rsidRPr="000B2339" w:rsidRDefault="008C3367" w:rsidP="006D4D03">
      <w:pPr>
        <w:spacing w:after="0" w:line="240" w:lineRule="auto"/>
        <w:jc w:val="both"/>
        <w:rPr>
          <w:rFonts w:ascii="Arial" w:hAnsi="Arial" w:cs="Arial"/>
          <w:color w:val="000000" w:themeColor="text1"/>
          <w:sz w:val="24"/>
          <w:szCs w:val="24"/>
        </w:rPr>
      </w:pPr>
    </w:p>
    <w:p w14:paraId="1F432768" w14:textId="77777777" w:rsidR="008C3367" w:rsidRDefault="008C3367" w:rsidP="006D4D03">
      <w:pPr>
        <w:spacing w:line="240" w:lineRule="auto"/>
        <w:jc w:val="both"/>
        <w:rPr>
          <w:rFonts w:ascii="Arial" w:hAnsi="Arial" w:cs="Arial"/>
          <w:color w:val="000000" w:themeColor="text1"/>
          <w:sz w:val="24"/>
          <w:szCs w:val="24"/>
        </w:rPr>
      </w:pPr>
      <w:r w:rsidRPr="000B2339">
        <w:rPr>
          <w:rFonts w:ascii="Arial" w:hAnsi="Arial" w:cs="Arial"/>
          <w:color w:val="000000" w:themeColor="text1"/>
          <w:sz w:val="24"/>
          <w:szCs w:val="24"/>
        </w:rPr>
        <w:t>In the matter between:</w:t>
      </w:r>
    </w:p>
    <w:p w14:paraId="6E4B923A" w14:textId="77777777" w:rsidR="00D11C64" w:rsidRPr="000B2339" w:rsidRDefault="00D11C64" w:rsidP="00B40CD3">
      <w:pPr>
        <w:spacing w:line="240" w:lineRule="auto"/>
        <w:jc w:val="both"/>
        <w:rPr>
          <w:rFonts w:ascii="Arial" w:hAnsi="Arial" w:cs="Arial"/>
          <w:color w:val="000000" w:themeColor="text1"/>
          <w:sz w:val="24"/>
          <w:szCs w:val="24"/>
        </w:rPr>
      </w:pPr>
    </w:p>
    <w:tbl>
      <w:tblPr>
        <w:tblW w:w="9356" w:type="dxa"/>
        <w:tblInd w:w="-142" w:type="dxa"/>
        <w:tblLook w:val="04A0" w:firstRow="1" w:lastRow="0" w:firstColumn="1" w:lastColumn="0" w:noHBand="0" w:noVBand="1"/>
      </w:tblPr>
      <w:tblGrid>
        <w:gridCol w:w="6204"/>
        <w:gridCol w:w="3152"/>
      </w:tblGrid>
      <w:tr w:rsidR="000B2339" w:rsidRPr="000B2339" w14:paraId="4FD9F8D5" w14:textId="77777777" w:rsidTr="00CF05B1">
        <w:tc>
          <w:tcPr>
            <w:tcW w:w="6204" w:type="dxa"/>
            <w:shd w:val="clear" w:color="auto" w:fill="auto"/>
          </w:tcPr>
          <w:p w14:paraId="6435A5EB" w14:textId="77777777" w:rsidR="00ED252D" w:rsidRDefault="0050541A" w:rsidP="00C5513A">
            <w:pPr>
              <w:pStyle w:val="NoSpacing"/>
              <w:spacing w:line="360" w:lineRule="auto"/>
              <w:rPr>
                <w:rFonts w:ascii="Arial" w:hAnsi="Arial" w:cs="Arial"/>
                <w:b/>
                <w:color w:val="000000" w:themeColor="text1"/>
                <w:sz w:val="24"/>
                <w:szCs w:val="24"/>
              </w:rPr>
            </w:pPr>
            <w:r>
              <w:rPr>
                <w:rFonts w:ascii="Arial" w:hAnsi="Arial" w:cs="Arial"/>
                <w:b/>
                <w:color w:val="000000" w:themeColor="text1"/>
                <w:sz w:val="24"/>
                <w:szCs w:val="24"/>
              </w:rPr>
              <w:t xml:space="preserve">MINISTER OF AGRICULTURE, WATER AND </w:t>
            </w:r>
          </w:p>
          <w:p w14:paraId="792B031B" w14:textId="77777777" w:rsidR="00ED252D" w:rsidRPr="000B2339" w:rsidRDefault="0050541A" w:rsidP="00C5513A">
            <w:pPr>
              <w:pStyle w:val="NoSpacing"/>
              <w:spacing w:line="360" w:lineRule="auto"/>
              <w:rPr>
                <w:rFonts w:ascii="Arial" w:hAnsi="Arial" w:cs="Arial"/>
                <w:b/>
                <w:color w:val="000000" w:themeColor="text1"/>
                <w:sz w:val="24"/>
                <w:szCs w:val="24"/>
              </w:rPr>
            </w:pPr>
            <w:r>
              <w:rPr>
                <w:rFonts w:ascii="Arial" w:hAnsi="Arial" w:cs="Arial"/>
                <w:b/>
                <w:color w:val="000000" w:themeColor="text1"/>
                <w:sz w:val="24"/>
                <w:szCs w:val="24"/>
              </w:rPr>
              <w:t>FORESTRY</w:t>
            </w:r>
          </w:p>
        </w:tc>
        <w:tc>
          <w:tcPr>
            <w:tcW w:w="3152" w:type="dxa"/>
            <w:shd w:val="clear" w:color="auto" w:fill="auto"/>
          </w:tcPr>
          <w:p w14:paraId="022321BE" w14:textId="77777777" w:rsidR="00ED252D" w:rsidRDefault="00ED252D" w:rsidP="00161C35">
            <w:pPr>
              <w:pStyle w:val="NoSpacing"/>
              <w:spacing w:line="360" w:lineRule="auto"/>
              <w:jc w:val="right"/>
              <w:rPr>
                <w:rFonts w:ascii="Arial" w:hAnsi="Arial" w:cs="Arial"/>
                <w:b/>
                <w:color w:val="000000" w:themeColor="text1"/>
                <w:sz w:val="24"/>
                <w:szCs w:val="24"/>
              </w:rPr>
            </w:pPr>
          </w:p>
          <w:p w14:paraId="18D21E1D" w14:textId="77777777" w:rsidR="008C3367" w:rsidRPr="000B2339" w:rsidRDefault="00506827" w:rsidP="00161C35">
            <w:pPr>
              <w:pStyle w:val="NoSpacing"/>
              <w:spacing w:line="360" w:lineRule="auto"/>
              <w:jc w:val="right"/>
              <w:rPr>
                <w:rFonts w:ascii="Arial" w:hAnsi="Arial" w:cs="Arial"/>
                <w:b/>
                <w:color w:val="000000" w:themeColor="text1"/>
                <w:sz w:val="24"/>
                <w:szCs w:val="24"/>
              </w:rPr>
            </w:pPr>
            <w:r>
              <w:rPr>
                <w:rFonts w:ascii="Arial" w:hAnsi="Arial" w:cs="Arial"/>
                <w:b/>
                <w:color w:val="000000" w:themeColor="text1"/>
                <w:sz w:val="24"/>
                <w:szCs w:val="24"/>
              </w:rPr>
              <w:t xml:space="preserve">First </w:t>
            </w:r>
            <w:r w:rsidR="008C3367" w:rsidRPr="000B2339">
              <w:rPr>
                <w:rFonts w:ascii="Arial" w:hAnsi="Arial" w:cs="Arial"/>
                <w:b/>
                <w:color w:val="000000" w:themeColor="text1"/>
                <w:sz w:val="24"/>
                <w:szCs w:val="24"/>
              </w:rPr>
              <w:t>Appellant</w:t>
            </w:r>
          </w:p>
        </w:tc>
      </w:tr>
      <w:tr w:rsidR="00506827" w:rsidRPr="000B2339" w14:paraId="318BCC9F" w14:textId="77777777" w:rsidTr="00CF05B1">
        <w:tc>
          <w:tcPr>
            <w:tcW w:w="6204" w:type="dxa"/>
            <w:shd w:val="clear" w:color="auto" w:fill="auto"/>
          </w:tcPr>
          <w:p w14:paraId="782BD9FE" w14:textId="77777777" w:rsidR="00ED252D" w:rsidRDefault="0050541A" w:rsidP="00C5513A">
            <w:pPr>
              <w:pStyle w:val="NoSpacing"/>
              <w:spacing w:line="360" w:lineRule="auto"/>
              <w:rPr>
                <w:rFonts w:ascii="Arial" w:hAnsi="Arial" w:cs="Arial"/>
                <w:b/>
                <w:color w:val="000000" w:themeColor="text1"/>
                <w:sz w:val="24"/>
                <w:szCs w:val="24"/>
              </w:rPr>
            </w:pPr>
            <w:r>
              <w:rPr>
                <w:rFonts w:ascii="Arial" w:hAnsi="Arial" w:cs="Arial"/>
                <w:b/>
                <w:color w:val="000000" w:themeColor="text1"/>
                <w:sz w:val="24"/>
                <w:szCs w:val="24"/>
              </w:rPr>
              <w:t>GOVERNMENT OF THE REPU</w:t>
            </w:r>
            <w:r w:rsidR="008B0713">
              <w:rPr>
                <w:rFonts w:ascii="Arial" w:hAnsi="Arial" w:cs="Arial"/>
                <w:b/>
                <w:color w:val="000000" w:themeColor="text1"/>
                <w:sz w:val="24"/>
                <w:szCs w:val="24"/>
              </w:rPr>
              <w:t>B</w:t>
            </w:r>
            <w:r>
              <w:rPr>
                <w:rFonts w:ascii="Arial" w:hAnsi="Arial" w:cs="Arial"/>
                <w:b/>
                <w:color w:val="000000" w:themeColor="text1"/>
                <w:sz w:val="24"/>
                <w:szCs w:val="24"/>
              </w:rPr>
              <w:t>LIC OF NAMIBIA</w:t>
            </w:r>
          </w:p>
        </w:tc>
        <w:tc>
          <w:tcPr>
            <w:tcW w:w="3152" w:type="dxa"/>
            <w:shd w:val="clear" w:color="auto" w:fill="auto"/>
          </w:tcPr>
          <w:p w14:paraId="4556E494" w14:textId="77777777" w:rsidR="00506827" w:rsidRDefault="00506827" w:rsidP="00161C35">
            <w:pPr>
              <w:pStyle w:val="NoSpacing"/>
              <w:spacing w:line="360" w:lineRule="auto"/>
              <w:jc w:val="right"/>
              <w:rPr>
                <w:rFonts w:ascii="Arial" w:hAnsi="Arial" w:cs="Arial"/>
                <w:b/>
                <w:color w:val="000000" w:themeColor="text1"/>
                <w:sz w:val="24"/>
                <w:szCs w:val="24"/>
              </w:rPr>
            </w:pPr>
            <w:r>
              <w:rPr>
                <w:rFonts w:ascii="Arial" w:hAnsi="Arial" w:cs="Arial"/>
                <w:b/>
                <w:color w:val="000000" w:themeColor="text1"/>
                <w:sz w:val="24"/>
                <w:szCs w:val="24"/>
              </w:rPr>
              <w:t>Second Appellant</w:t>
            </w:r>
          </w:p>
        </w:tc>
      </w:tr>
      <w:tr w:rsidR="000B2339" w:rsidRPr="000B2339" w14:paraId="429BF513" w14:textId="77777777" w:rsidTr="00CF05B1">
        <w:tc>
          <w:tcPr>
            <w:tcW w:w="6204" w:type="dxa"/>
            <w:shd w:val="clear" w:color="auto" w:fill="auto"/>
          </w:tcPr>
          <w:p w14:paraId="5B35B4D8" w14:textId="77777777" w:rsidR="00AF326F" w:rsidRPr="000B2339" w:rsidRDefault="00AF326F" w:rsidP="00161C35">
            <w:pPr>
              <w:pStyle w:val="NoSpacing"/>
              <w:spacing w:line="360" w:lineRule="auto"/>
              <w:rPr>
                <w:rFonts w:ascii="Arial" w:hAnsi="Arial" w:cs="Arial"/>
                <w:b/>
                <w:color w:val="000000" w:themeColor="text1"/>
                <w:sz w:val="24"/>
                <w:szCs w:val="24"/>
              </w:rPr>
            </w:pPr>
          </w:p>
        </w:tc>
        <w:tc>
          <w:tcPr>
            <w:tcW w:w="3152" w:type="dxa"/>
            <w:shd w:val="clear" w:color="auto" w:fill="auto"/>
          </w:tcPr>
          <w:p w14:paraId="3667AE71" w14:textId="77777777" w:rsidR="00AF326F" w:rsidRPr="000B2339" w:rsidRDefault="00AF326F" w:rsidP="00161C35">
            <w:pPr>
              <w:pStyle w:val="NoSpacing"/>
              <w:spacing w:line="360" w:lineRule="auto"/>
              <w:rPr>
                <w:rFonts w:ascii="Arial" w:hAnsi="Arial" w:cs="Arial"/>
                <w:b/>
                <w:color w:val="000000" w:themeColor="text1"/>
                <w:sz w:val="24"/>
                <w:szCs w:val="24"/>
              </w:rPr>
            </w:pPr>
          </w:p>
        </w:tc>
      </w:tr>
      <w:tr w:rsidR="000B2339" w:rsidRPr="000B2339" w14:paraId="183A4BA5" w14:textId="77777777" w:rsidTr="00CF05B1">
        <w:tc>
          <w:tcPr>
            <w:tcW w:w="6204" w:type="dxa"/>
            <w:shd w:val="clear" w:color="auto" w:fill="auto"/>
          </w:tcPr>
          <w:p w14:paraId="7415B370" w14:textId="77777777" w:rsidR="008C3367" w:rsidRPr="000B2339" w:rsidRDefault="002D5C8C" w:rsidP="00161C35">
            <w:pPr>
              <w:pStyle w:val="NoSpacing"/>
              <w:spacing w:line="360" w:lineRule="auto"/>
              <w:rPr>
                <w:rFonts w:ascii="Arial" w:hAnsi="Arial" w:cs="Arial"/>
                <w:color w:val="000000" w:themeColor="text1"/>
                <w:sz w:val="24"/>
                <w:szCs w:val="24"/>
              </w:rPr>
            </w:pPr>
            <w:r w:rsidRPr="000B2339">
              <w:rPr>
                <w:rFonts w:ascii="Arial" w:hAnsi="Arial" w:cs="Arial"/>
                <w:color w:val="000000" w:themeColor="text1"/>
                <w:sz w:val="24"/>
                <w:szCs w:val="24"/>
              </w:rPr>
              <w:t>a</w:t>
            </w:r>
            <w:r w:rsidR="008C3367" w:rsidRPr="000B2339">
              <w:rPr>
                <w:rFonts w:ascii="Arial" w:hAnsi="Arial" w:cs="Arial"/>
                <w:color w:val="000000" w:themeColor="text1"/>
                <w:sz w:val="24"/>
                <w:szCs w:val="24"/>
              </w:rPr>
              <w:t>nd</w:t>
            </w:r>
          </w:p>
        </w:tc>
        <w:tc>
          <w:tcPr>
            <w:tcW w:w="3152" w:type="dxa"/>
            <w:shd w:val="clear" w:color="auto" w:fill="auto"/>
          </w:tcPr>
          <w:p w14:paraId="7F91D236" w14:textId="77777777" w:rsidR="008C3367" w:rsidRPr="000B2339" w:rsidRDefault="008C3367" w:rsidP="00161C35">
            <w:pPr>
              <w:pStyle w:val="NoSpacing"/>
              <w:spacing w:line="360" w:lineRule="auto"/>
              <w:rPr>
                <w:rFonts w:ascii="Arial" w:hAnsi="Arial" w:cs="Arial"/>
                <w:color w:val="000000" w:themeColor="text1"/>
                <w:sz w:val="24"/>
                <w:szCs w:val="24"/>
              </w:rPr>
            </w:pPr>
          </w:p>
        </w:tc>
      </w:tr>
      <w:tr w:rsidR="000B2339" w:rsidRPr="000B2339" w14:paraId="01DCE294" w14:textId="77777777" w:rsidTr="00CF05B1">
        <w:tc>
          <w:tcPr>
            <w:tcW w:w="6204" w:type="dxa"/>
            <w:shd w:val="clear" w:color="auto" w:fill="auto"/>
          </w:tcPr>
          <w:p w14:paraId="0F74AD52" w14:textId="77777777" w:rsidR="008C3367" w:rsidRPr="000B2339" w:rsidRDefault="008C3367" w:rsidP="00161C35">
            <w:pPr>
              <w:pStyle w:val="NoSpacing"/>
              <w:spacing w:line="360" w:lineRule="auto"/>
              <w:rPr>
                <w:rFonts w:ascii="Arial" w:hAnsi="Arial" w:cs="Arial"/>
                <w:b/>
                <w:color w:val="000000" w:themeColor="text1"/>
                <w:sz w:val="24"/>
                <w:szCs w:val="24"/>
              </w:rPr>
            </w:pPr>
          </w:p>
        </w:tc>
        <w:tc>
          <w:tcPr>
            <w:tcW w:w="3152" w:type="dxa"/>
            <w:shd w:val="clear" w:color="auto" w:fill="auto"/>
          </w:tcPr>
          <w:p w14:paraId="0A29D4FF" w14:textId="77777777" w:rsidR="008C3367" w:rsidRPr="000B2339" w:rsidRDefault="008C3367" w:rsidP="00161C35">
            <w:pPr>
              <w:pStyle w:val="NoSpacing"/>
              <w:spacing w:line="360" w:lineRule="auto"/>
              <w:rPr>
                <w:rFonts w:ascii="Arial" w:hAnsi="Arial" w:cs="Arial"/>
                <w:b/>
                <w:color w:val="000000" w:themeColor="text1"/>
                <w:sz w:val="24"/>
                <w:szCs w:val="24"/>
              </w:rPr>
            </w:pPr>
          </w:p>
        </w:tc>
      </w:tr>
      <w:tr w:rsidR="000B2339" w:rsidRPr="000B2339" w14:paraId="1B8361F2" w14:textId="77777777" w:rsidTr="00CF05B1">
        <w:tc>
          <w:tcPr>
            <w:tcW w:w="6204" w:type="dxa"/>
            <w:shd w:val="clear" w:color="auto" w:fill="auto"/>
          </w:tcPr>
          <w:p w14:paraId="11ECF420" w14:textId="77777777" w:rsidR="00781A4E" w:rsidRPr="000B2339" w:rsidRDefault="0050541A" w:rsidP="001C73CA">
            <w:pPr>
              <w:pStyle w:val="NoSpacing"/>
              <w:spacing w:line="480" w:lineRule="auto"/>
              <w:rPr>
                <w:rFonts w:ascii="Arial" w:hAnsi="Arial" w:cs="Arial"/>
                <w:b/>
                <w:color w:val="000000" w:themeColor="text1"/>
                <w:sz w:val="24"/>
                <w:szCs w:val="24"/>
              </w:rPr>
            </w:pPr>
            <w:r>
              <w:rPr>
                <w:rFonts w:ascii="Arial" w:hAnsi="Arial" w:cs="Arial"/>
                <w:b/>
                <w:color w:val="000000" w:themeColor="text1"/>
                <w:sz w:val="24"/>
                <w:szCs w:val="24"/>
              </w:rPr>
              <w:t>SERVE INVESTMENTS 84</w:t>
            </w:r>
            <w:r w:rsidR="00ED252D">
              <w:rPr>
                <w:rFonts w:ascii="Arial" w:hAnsi="Arial" w:cs="Arial"/>
                <w:b/>
                <w:color w:val="000000" w:themeColor="text1"/>
                <w:sz w:val="24"/>
                <w:szCs w:val="24"/>
              </w:rPr>
              <w:t xml:space="preserve"> (PTY) LTD</w:t>
            </w:r>
          </w:p>
        </w:tc>
        <w:tc>
          <w:tcPr>
            <w:tcW w:w="3152" w:type="dxa"/>
            <w:shd w:val="clear" w:color="auto" w:fill="auto"/>
          </w:tcPr>
          <w:p w14:paraId="4A5E377C" w14:textId="77777777" w:rsidR="00584213" w:rsidRPr="000B2339" w:rsidRDefault="00401E74" w:rsidP="001C73CA">
            <w:pPr>
              <w:pStyle w:val="NoSpacing"/>
              <w:spacing w:line="480" w:lineRule="auto"/>
              <w:jc w:val="right"/>
              <w:rPr>
                <w:rFonts w:ascii="Arial" w:hAnsi="Arial" w:cs="Arial"/>
                <w:b/>
                <w:color w:val="000000" w:themeColor="text1"/>
                <w:sz w:val="24"/>
                <w:szCs w:val="24"/>
              </w:rPr>
            </w:pPr>
            <w:r>
              <w:rPr>
                <w:rFonts w:ascii="Arial" w:hAnsi="Arial" w:cs="Arial"/>
                <w:b/>
                <w:color w:val="000000" w:themeColor="text1"/>
                <w:sz w:val="24"/>
                <w:szCs w:val="24"/>
              </w:rPr>
              <w:t xml:space="preserve">First </w:t>
            </w:r>
            <w:r w:rsidR="00584213" w:rsidRPr="000B2339">
              <w:rPr>
                <w:rFonts w:ascii="Arial" w:hAnsi="Arial" w:cs="Arial"/>
                <w:b/>
                <w:color w:val="000000" w:themeColor="text1"/>
                <w:sz w:val="24"/>
                <w:szCs w:val="24"/>
              </w:rPr>
              <w:t>Respondent</w:t>
            </w:r>
          </w:p>
        </w:tc>
      </w:tr>
      <w:tr w:rsidR="00401E74" w:rsidRPr="000B2339" w14:paraId="16F76F8B" w14:textId="77777777" w:rsidTr="00CF05B1">
        <w:tc>
          <w:tcPr>
            <w:tcW w:w="6204" w:type="dxa"/>
            <w:shd w:val="clear" w:color="auto" w:fill="auto"/>
          </w:tcPr>
          <w:p w14:paraId="1A5148D9" w14:textId="77777777" w:rsidR="00ED252D" w:rsidRPr="00506827" w:rsidRDefault="0050541A" w:rsidP="001C73CA">
            <w:pPr>
              <w:pStyle w:val="NoSpacing"/>
              <w:spacing w:line="480" w:lineRule="auto"/>
              <w:rPr>
                <w:rFonts w:ascii="Arial" w:hAnsi="Arial" w:cs="Arial"/>
                <w:b/>
                <w:color w:val="000000" w:themeColor="text1"/>
                <w:sz w:val="24"/>
                <w:szCs w:val="24"/>
              </w:rPr>
            </w:pPr>
            <w:r>
              <w:rPr>
                <w:rFonts w:ascii="Arial" w:hAnsi="Arial" w:cs="Arial"/>
                <w:b/>
                <w:color w:val="000000" w:themeColor="text1"/>
                <w:sz w:val="24"/>
                <w:szCs w:val="24"/>
              </w:rPr>
              <w:t>ADOLPHINE MUSHIMBA N.O.</w:t>
            </w:r>
          </w:p>
        </w:tc>
        <w:tc>
          <w:tcPr>
            <w:tcW w:w="3152" w:type="dxa"/>
            <w:shd w:val="clear" w:color="auto" w:fill="auto"/>
          </w:tcPr>
          <w:p w14:paraId="3B646EB2" w14:textId="77777777" w:rsidR="00401E74" w:rsidRDefault="00401E74" w:rsidP="001C73CA">
            <w:pPr>
              <w:pStyle w:val="NoSpacing"/>
              <w:spacing w:line="480" w:lineRule="auto"/>
              <w:jc w:val="right"/>
              <w:rPr>
                <w:rFonts w:ascii="Arial" w:hAnsi="Arial" w:cs="Arial"/>
                <w:b/>
                <w:color w:val="000000" w:themeColor="text1"/>
                <w:sz w:val="24"/>
                <w:szCs w:val="24"/>
              </w:rPr>
            </w:pPr>
            <w:r>
              <w:rPr>
                <w:rFonts w:ascii="Arial" w:hAnsi="Arial" w:cs="Arial"/>
                <w:b/>
                <w:color w:val="000000" w:themeColor="text1"/>
                <w:sz w:val="24"/>
                <w:szCs w:val="24"/>
              </w:rPr>
              <w:t>Second Respondent</w:t>
            </w:r>
          </w:p>
        </w:tc>
      </w:tr>
      <w:tr w:rsidR="0050541A" w:rsidRPr="000B2339" w14:paraId="537E9D7C" w14:textId="77777777" w:rsidTr="00CF05B1">
        <w:tc>
          <w:tcPr>
            <w:tcW w:w="6204" w:type="dxa"/>
            <w:shd w:val="clear" w:color="auto" w:fill="auto"/>
          </w:tcPr>
          <w:p w14:paraId="2D7EE8E9" w14:textId="77777777" w:rsidR="0050541A" w:rsidRDefault="0050541A" w:rsidP="001C73CA">
            <w:pPr>
              <w:pStyle w:val="NoSpacing"/>
              <w:spacing w:line="480" w:lineRule="auto"/>
              <w:rPr>
                <w:rFonts w:ascii="Arial" w:hAnsi="Arial" w:cs="Arial"/>
                <w:b/>
                <w:color w:val="000000" w:themeColor="text1"/>
                <w:sz w:val="24"/>
                <w:szCs w:val="24"/>
              </w:rPr>
            </w:pPr>
            <w:r>
              <w:rPr>
                <w:rFonts w:ascii="Arial" w:hAnsi="Arial" w:cs="Arial"/>
                <w:b/>
                <w:color w:val="000000" w:themeColor="text1"/>
                <w:sz w:val="24"/>
                <w:szCs w:val="24"/>
              </w:rPr>
              <w:t xml:space="preserve">AGRICULTURAL PROFESSIONAL SERVICES </w:t>
            </w:r>
          </w:p>
          <w:p w14:paraId="78B9FC12" w14:textId="77777777" w:rsidR="0050541A" w:rsidRDefault="0050541A" w:rsidP="001C73CA">
            <w:pPr>
              <w:pStyle w:val="NoSpacing"/>
              <w:spacing w:line="480" w:lineRule="auto"/>
              <w:rPr>
                <w:rFonts w:ascii="Arial" w:hAnsi="Arial" w:cs="Arial"/>
                <w:b/>
                <w:color w:val="000000" w:themeColor="text1"/>
                <w:sz w:val="24"/>
                <w:szCs w:val="24"/>
              </w:rPr>
            </w:pPr>
            <w:r>
              <w:rPr>
                <w:rFonts w:ascii="Arial" w:hAnsi="Arial" w:cs="Arial"/>
                <w:b/>
                <w:color w:val="000000" w:themeColor="text1"/>
                <w:sz w:val="24"/>
                <w:szCs w:val="24"/>
              </w:rPr>
              <w:t>(PTY) LTD</w:t>
            </w:r>
          </w:p>
        </w:tc>
        <w:tc>
          <w:tcPr>
            <w:tcW w:w="3152" w:type="dxa"/>
            <w:shd w:val="clear" w:color="auto" w:fill="auto"/>
          </w:tcPr>
          <w:p w14:paraId="12083F0B" w14:textId="77777777" w:rsidR="0050541A" w:rsidRDefault="0050541A" w:rsidP="001C73CA">
            <w:pPr>
              <w:pStyle w:val="NoSpacing"/>
              <w:spacing w:line="480" w:lineRule="auto"/>
              <w:jc w:val="right"/>
              <w:rPr>
                <w:rFonts w:ascii="Arial" w:hAnsi="Arial" w:cs="Arial"/>
                <w:b/>
                <w:color w:val="000000" w:themeColor="text1"/>
                <w:sz w:val="24"/>
                <w:szCs w:val="24"/>
              </w:rPr>
            </w:pPr>
          </w:p>
          <w:p w14:paraId="61675040" w14:textId="77777777" w:rsidR="0050541A" w:rsidRDefault="0050541A" w:rsidP="001C73CA">
            <w:pPr>
              <w:pStyle w:val="NoSpacing"/>
              <w:spacing w:line="480" w:lineRule="auto"/>
              <w:jc w:val="right"/>
              <w:rPr>
                <w:rFonts w:ascii="Arial" w:hAnsi="Arial" w:cs="Arial"/>
                <w:b/>
                <w:color w:val="000000" w:themeColor="text1"/>
                <w:sz w:val="24"/>
                <w:szCs w:val="24"/>
              </w:rPr>
            </w:pPr>
            <w:r>
              <w:rPr>
                <w:rFonts w:ascii="Arial" w:hAnsi="Arial" w:cs="Arial"/>
                <w:b/>
                <w:color w:val="000000" w:themeColor="text1"/>
                <w:sz w:val="24"/>
                <w:szCs w:val="24"/>
              </w:rPr>
              <w:t>Third Respondent</w:t>
            </w:r>
          </w:p>
        </w:tc>
      </w:tr>
      <w:tr w:rsidR="00A943DD" w:rsidRPr="000B2339" w14:paraId="286F75E6" w14:textId="77777777" w:rsidTr="00CF05B1">
        <w:tc>
          <w:tcPr>
            <w:tcW w:w="6204" w:type="dxa"/>
            <w:shd w:val="clear" w:color="auto" w:fill="auto"/>
          </w:tcPr>
          <w:p w14:paraId="3B6C9003" w14:textId="77777777" w:rsidR="00A943DD" w:rsidRDefault="00A943DD" w:rsidP="001C73CA">
            <w:pPr>
              <w:pStyle w:val="NoSpacing"/>
              <w:spacing w:line="480" w:lineRule="auto"/>
              <w:rPr>
                <w:rFonts w:ascii="Arial" w:hAnsi="Arial" w:cs="Arial"/>
                <w:b/>
                <w:color w:val="000000" w:themeColor="text1"/>
                <w:sz w:val="24"/>
                <w:szCs w:val="24"/>
              </w:rPr>
            </w:pPr>
            <w:r>
              <w:rPr>
                <w:rFonts w:ascii="Arial" w:hAnsi="Arial" w:cs="Arial"/>
                <w:b/>
                <w:color w:val="000000" w:themeColor="text1"/>
                <w:sz w:val="24"/>
                <w:szCs w:val="24"/>
              </w:rPr>
              <w:t>NAMIBIA INDUSTRIAL DEVELOPMENT SOCIETY</w:t>
            </w:r>
          </w:p>
        </w:tc>
        <w:tc>
          <w:tcPr>
            <w:tcW w:w="3152" w:type="dxa"/>
            <w:shd w:val="clear" w:color="auto" w:fill="auto"/>
          </w:tcPr>
          <w:p w14:paraId="4EDDA77E" w14:textId="77777777" w:rsidR="00A943DD" w:rsidRDefault="00A943DD" w:rsidP="001C73CA">
            <w:pPr>
              <w:pStyle w:val="NoSpacing"/>
              <w:spacing w:line="480" w:lineRule="auto"/>
              <w:jc w:val="right"/>
              <w:rPr>
                <w:rFonts w:ascii="Arial" w:hAnsi="Arial" w:cs="Arial"/>
                <w:b/>
                <w:color w:val="000000" w:themeColor="text1"/>
                <w:sz w:val="24"/>
                <w:szCs w:val="24"/>
              </w:rPr>
            </w:pPr>
            <w:r>
              <w:rPr>
                <w:rFonts w:ascii="Arial" w:hAnsi="Arial" w:cs="Arial"/>
                <w:b/>
                <w:color w:val="000000" w:themeColor="text1"/>
                <w:sz w:val="24"/>
                <w:szCs w:val="24"/>
              </w:rPr>
              <w:t>Fourth Respondent</w:t>
            </w:r>
          </w:p>
        </w:tc>
      </w:tr>
      <w:tr w:rsidR="00A943DD" w:rsidRPr="000B2339" w14:paraId="38BBCE08" w14:textId="77777777" w:rsidTr="00CF05B1">
        <w:tc>
          <w:tcPr>
            <w:tcW w:w="6204" w:type="dxa"/>
            <w:shd w:val="clear" w:color="auto" w:fill="auto"/>
          </w:tcPr>
          <w:p w14:paraId="570ACC53" w14:textId="77777777" w:rsidR="00A943DD" w:rsidRDefault="00A943DD" w:rsidP="001C73CA">
            <w:pPr>
              <w:pStyle w:val="NoSpacing"/>
              <w:spacing w:line="480" w:lineRule="auto"/>
              <w:rPr>
                <w:rFonts w:ascii="Arial" w:hAnsi="Arial" w:cs="Arial"/>
                <w:b/>
                <w:color w:val="000000" w:themeColor="text1"/>
                <w:sz w:val="24"/>
                <w:szCs w:val="24"/>
              </w:rPr>
            </w:pPr>
            <w:r>
              <w:rPr>
                <w:rFonts w:ascii="Arial" w:hAnsi="Arial" w:cs="Arial"/>
                <w:b/>
                <w:color w:val="000000" w:themeColor="text1"/>
                <w:sz w:val="24"/>
                <w:szCs w:val="24"/>
              </w:rPr>
              <w:t>MASTER OF THE HIGH COURT OF NAMIBIA</w:t>
            </w:r>
          </w:p>
        </w:tc>
        <w:tc>
          <w:tcPr>
            <w:tcW w:w="3152" w:type="dxa"/>
            <w:shd w:val="clear" w:color="auto" w:fill="auto"/>
          </w:tcPr>
          <w:p w14:paraId="544D68D6" w14:textId="77777777" w:rsidR="00A943DD" w:rsidRDefault="00A943DD" w:rsidP="00A943DD">
            <w:pPr>
              <w:pStyle w:val="NoSpacing"/>
              <w:spacing w:line="480" w:lineRule="auto"/>
              <w:jc w:val="right"/>
              <w:rPr>
                <w:rFonts w:ascii="Arial" w:hAnsi="Arial" w:cs="Arial"/>
                <w:b/>
                <w:color w:val="000000" w:themeColor="text1"/>
                <w:sz w:val="24"/>
                <w:szCs w:val="24"/>
              </w:rPr>
            </w:pPr>
            <w:r>
              <w:rPr>
                <w:rFonts w:ascii="Arial" w:hAnsi="Arial" w:cs="Arial"/>
                <w:b/>
                <w:color w:val="000000" w:themeColor="text1"/>
                <w:sz w:val="24"/>
                <w:szCs w:val="24"/>
              </w:rPr>
              <w:t>Fifth Respondent</w:t>
            </w:r>
          </w:p>
        </w:tc>
      </w:tr>
      <w:tr w:rsidR="00A943DD" w:rsidRPr="000B2339" w14:paraId="222DBD17" w14:textId="77777777" w:rsidTr="00CF05B1">
        <w:tc>
          <w:tcPr>
            <w:tcW w:w="6204" w:type="dxa"/>
            <w:shd w:val="clear" w:color="auto" w:fill="auto"/>
          </w:tcPr>
          <w:p w14:paraId="17DBDF27" w14:textId="77777777" w:rsidR="00A943DD" w:rsidRDefault="00A943DD" w:rsidP="001C73CA">
            <w:pPr>
              <w:pStyle w:val="NoSpacing"/>
              <w:spacing w:line="480" w:lineRule="auto"/>
              <w:rPr>
                <w:rFonts w:ascii="Arial" w:hAnsi="Arial" w:cs="Arial"/>
                <w:b/>
                <w:color w:val="000000" w:themeColor="text1"/>
                <w:sz w:val="24"/>
                <w:szCs w:val="24"/>
              </w:rPr>
            </w:pPr>
            <w:r>
              <w:rPr>
                <w:rFonts w:ascii="Arial" w:hAnsi="Arial" w:cs="Arial"/>
                <w:b/>
                <w:color w:val="000000" w:themeColor="text1"/>
                <w:sz w:val="24"/>
                <w:szCs w:val="24"/>
              </w:rPr>
              <w:t>KAVANGO EAST COMMUNAL LAND BOARD</w:t>
            </w:r>
          </w:p>
        </w:tc>
        <w:tc>
          <w:tcPr>
            <w:tcW w:w="3152" w:type="dxa"/>
            <w:shd w:val="clear" w:color="auto" w:fill="auto"/>
          </w:tcPr>
          <w:p w14:paraId="690C9144" w14:textId="77777777" w:rsidR="00A943DD" w:rsidRDefault="00A943DD" w:rsidP="00A943DD">
            <w:pPr>
              <w:pStyle w:val="NoSpacing"/>
              <w:spacing w:line="480" w:lineRule="auto"/>
              <w:jc w:val="right"/>
              <w:rPr>
                <w:rFonts w:ascii="Arial" w:hAnsi="Arial" w:cs="Arial"/>
                <w:b/>
                <w:color w:val="000000" w:themeColor="text1"/>
                <w:sz w:val="24"/>
                <w:szCs w:val="24"/>
              </w:rPr>
            </w:pPr>
            <w:r>
              <w:rPr>
                <w:rFonts w:ascii="Arial" w:hAnsi="Arial" w:cs="Arial"/>
                <w:b/>
                <w:color w:val="000000" w:themeColor="text1"/>
                <w:sz w:val="24"/>
                <w:szCs w:val="24"/>
              </w:rPr>
              <w:t>Sixth Respondent</w:t>
            </w:r>
          </w:p>
        </w:tc>
      </w:tr>
      <w:tr w:rsidR="00A943DD" w:rsidRPr="000B2339" w14:paraId="78169851" w14:textId="77777777" w:rsidTr="00CF05B1">
        <w:tc>
          <w:tcPr>
            <w:tcW w:w="6204" w:type="dxa"/>
            <w:shd w:val="clear" w:color="auto" w:fill="auto"/>
          </w:tcPr>
          <w:p w14:paraId="4FBBD799" w14:textId="77777777" w:rsidR="00A943DD" w:rsidRDefault="00A943DD" w:rsidP="001C73CA">
            <w:pPr>
              <w:pStyle w:val="NoSpacing"/>
              <w:spacing w:line="480" w:lineRule="auto"/>
              <w:rPr>
                <w:rFonts w:ascii="Arial" w:hAnsi="Arial" w:cs="Arial"/>
                <w:b/>
                <w:color w:val="000000" w:themeColor="text1"/>
                <w:sz w:val="24"/>
                <w:szCs w:val="24"/>
              </w:rPr>
            </w:pPr>
            <w:r>
              <w:rPr>
                <w:rFonts w:ascii="Arial" w:hAnsi="Arial" w:cs="Arial"/>
                <w:b/>
                <w:color w:val="000000" w:themeColor="text1"/>
                <w:sz w:val="24"/>
                <w:szCs w:val="24"/>
              </w:rPr>
              <w:t>GCIRIKU TRADITIONAL AUTHORITY</w:t>
            </w:r>
          </w:p>
        </w:tc>
        <w:tc>
          <w:tcPr>
            <w:tcW w:w="3152" w:type="dxa"/>
            <w:shd w:val="clear" w:color="auto" w:fill="auto"/>
          </w:tcPr>
          <w:p w14:paraId="744AE3EB" w14:textId="77777777" w:rsidR="00A943DD" w:rsidRDefault="00A943DD" w:rsidP="00A943DD">
            <w:pPr>
              <w:pStyle w:val="NoSpacing"/>
              <w:spacing w:line="480" w:lineRule="auto"/>
              <w:jc w:val="right"/>
              <w:rPr>
                <w:rFonts w:ascii="Arial" w:hAnsi="Arial" w:cs="Arial"/>
                <w:b/>
                <w:color w:val="000000" w:themeColor="text1"/>
                <w:sz w:val="24"/>
                <w:szCs w:val="24"/>
              </w:rPr>
            </w:pPr>
            <w:r>
              <w:rPr>
                <w:rFonts w:ascii="Arial" w:hAnsi="Arial" w:cs="Arial"/>
                <w:b/>
                <w:color w:val="000000" w:themeColor="text1"/>
                <w:sz w:val="24"/>
                <w:szCs w:val="24"/>
              </w:rPr>
              <w:t>Seventh Respondent</w:t>
            </w:r>
          </w:p>
        </w:tc>
      </w:tr>
      <w:tr w:rsidR="00A943DD" w:rsidRPr="000B2339" w14:paraId="373123E7" w14:textId="77777777" w:rsidTr="00CF05B1">
        <w:tc>
          <w:tcPr>
            <w:tcW w:w="6204" w:type="dxa"/>
            <w:shd w:val="clear" w:color="auto" w:fill="auto"/>
          </w:tcPr>
          <w:p w14:paraId="15DE55A3" w14:textId="77777777" w:rsidR="00A943DD" w:rsidRDefault="00A943DD" w:rsidP="001C73CA">
            <w:pPr>
              <w:pStyle w:val="NoSpacing"/>
              <w:spacing w:line="480" w:lineRule="auto"/>
              <w:rPr>
                <w:rFonts w:ascii="Arial" w:hAnsi="Arial" w:cs="Arial"/>
                <w:b/>
                <w:color w:val="000000" w:themeColor="text1"/>
                <w:sz w:val="24"/>
                <w:szCs w:val="24"/>
              </w:rPr>
            </w:pPr>
          </w:p>
        </w:tc>
        <w:tc>
          <w:tcPr>
            <w:tcW w:w="3152" w:type="dxa"/>
            <w:shd w:val="clear" w:color="auto" w:fill="auto"/>
          </w:tcPr>
          <w:p w14:paraId="0D880B96" w14:textId="77777777" w:rsidR="00A943DD" w:rsidRDefault="00A943DD" w:rsidP="00A943DD">
            <w:pPr>
              <w:pStyle w:val="NoSpacing"/>
              <w:spacing w:line="480" w:lineRule="auto"/>
              <w:jc w:val="right"/>
              <w:rPr>
                <w:rFonts w:ascii="Arial" w:hAnsi="Arial" w:cs="Arial"/>
                <w:b/>
                <w:color w:val="000000" w:themeColor="text1"/>
                <w:sz w:val="24"/>
                <w:szCs w:val="24"/>
              </w:rPr>
            </w:pPr>
          </w:p>
        </w:tc>
      </w:tr>
    </w:tbl>
    <w:p w14:paraId="733B2769" w14:textId="77777777" w:rsidR="008C3367" w:rsidRPr="000B2339" w:rsidRDefault="008C3367" w:rsidP="00161C35">
      <w:pPr>
        <w:spacing w:line="240" w:lineRule="auto"/>
        <w:jc w:val="both"/>
        <w:rPr>
          <w:rFonts w:ascii="Arial" w:hAnsi="Arial" w:cs="Arial"/>
          <w:color w:val="000000" w:themeColor="text1"/>
          <w:sz w:val="24"/>
          <w:szCs w:val="24"/>
        </w:rPr>
      </w:pPr>
      <w:r w:rsidRPr="000B2339">
        <w:rPr>
          <w:rFonts w:ascii="Arial" w:hAnsi="Arial" w:cs="Arial"/>
          <w:b/>
          <w:color w:val="000000" w:themeColor="text1"/>
          <w:sz w:val="24"/>
          <w:szCs w:val="24"/>
        </w:rPr>
        <w:t>Coram:</w:t>
      </w:r>
      <w:r w:rsidRPr="000B2339">
        <w:rPr>
          <w:rFonts w:ascii="Arial" w:hAnsi="Arial" w:cs="Arial"/>
          <w:color w:val="000000" w:themeColor="text1"/>
          <w:sz w:val="24"/>
          <w:szCs w:val="24"/>
        </w:rPr>
        <w:tab/>
      </w:r>
      <w:r w:rsidRPr="000B2339">
        <w:rPr>
          <w:rFonts w:ascii="Arial" w:hAnsi="Arial" w:cs="Arial"/>
          <w:color w:val="000000" w:themeColor="text1"/>
          <w:sz w:val="24"/>
          <w:szCs w:val="24"/>
        </w:rPr>
        <w:tab/>
      </w:r>
      <w:r w:rsidR="00A943DD">
        <w:rPr>
          <w:rFonts w:ascii="Arial" w:hAnsi="Arial" w:cs="Arial"/>
          <w:color w:val="000000" w:themeColor="text1"/>
          <w:sz w:val="24"/>
          <w:szCs w:val="24"/>
        </w:rPr>
        <w:t xml:space="preserve">DAMASEB DCJ, </w:t>
      </w:r>
      <w:r w:rsidR="00401E74" w:rsidRPr="000B2339">
        <w:rPr>
          <w:rFonts w:ascii="Arial" w:hAnsi="Arial" w:cs="Arial"/>
          <w:color w:val="000000" w:themeColor="text1"/>
          <w:sz w:val="24"/>
          <w:szCs w:val="24"/>
        </w:rPr>
        <w:t>SMUTS JA</w:t>
      </w:r>
      <w:r w:rsidR="00ED252D">
        <w:rPr>
          <w:rFonts w:ascii="Arial" w:hAnsi="Arial" w:cs="Arial"/>
          <w:color w:val="000000" w:themeColor="text1"/>
          <w:sz w:val="24"/>
          <w:szCs w:val="24"/>
        </w:rPr>
        <w:t xml:space="preserve">, </w:t>
      </w:r>
      <w:r w:rsidR="00781A4E" w:rsidRPr="000B2339">
        <w:rPr>
          <w:rFonts w:ascii="Arial" w:hAnsi="Arial" w:cs="Arial"/>
          <w:color w:val="000000" w:themeColor="text1"/>
          <w:sz w:val="24"/>
          <w:szCs w:val="24"/>
        </w:rPr>
        <w:t xml:space="preserve">and </w:t>
      </w:r>
      <w:r w:rsidR="00A943DD">
        <w:rPr>
          <w:rFonts w:ascii="Arial" w:hAnsi="Arial" w:cs="Arial"/>
          <w:color w:val="000000" w:themeColor="text1"/>
          <w:sz w:val="24"/>
          <w:szCs w:val="24"/>
        </w:rPr>
        <w:t>ANGULA</w:t>
      </w:r>
      <w:r w:rsidR="00401E74">
        <w:rPr>
          <w:rFonts w:ascii="Arial" w:hAnsi="Arial" w:cs="Arial"/>
          <w:color w:val="000000" w:themeColor="text1"/>
          <w:sz w:val="24"/>
          <w:szCs w:val="24"/>
        </w:rPr>
        <w:t xml:space="preserve"> </w:t>
      </w:r>
      <w:r w:rsidR="00ED252D">
        <w:rPr>
          <w:rFonts w:ascii="Arial" w:hAnsi="Arial" w:cs="Arial"/>
          <w:color w:val="000000" w:themeColor="text1"/>
          <w:sz w:val="24"/>
          <w:szCs w:val="24"/>
        </w:rPr>
        <w:t>A</w:t>
      </w:r>
      <w:r w:rsidR="00401E74">
        <w:rPr>
          <w:rFonts w:ascii="Arial" w:hAnsi="Arial" w:cs="Arial"/>
          <w:color w:val="000000" w:themeColor="text1"/>
          <w:sz w:val="24"/>
          <w:szCs w:val="24"/>
        </w:rPr>
        <w:t>JA</w:t>
      </w:r>
    </w:p>
    <w:p w14:paraId="3F63E6D3" w14:textId="77777777" w:rsidR="008C3367" w:rsidRPr="000B2339" w:rsidRDefault="008C3367" w:rsidP="00161C35">
      <w:pPr>
        <w:spacing w:line="240" w:lineRule="auto"/>
        <w:jc w:val="both"/>
        <w:rPr>
          <w:rFonts w:ascii="Arial" w:hAnsi="Arial" w:cs="Arial"/>
          <w:b/>
          <w:color w:val="000000" w:themeColor="text1"/>
          <w:sz w:val="24"/>
          <w:szCs w:val="24"/>
        </w:rPr>
      </w:pPr>
      <w:r w:rsidRPr="000B2339">
        <w:rPr>
          <w:rFonts w:ascii="Arial" w:hAnsi="Arial" w:cs="Arial"/>
          <w:b/>
          <w:color w:val="000000" w:themeColor="text1"/>
          <w:sz w:val="24"/>
          <w:szCs w:val="24"/>
        </w:rPr>
        <w:t>Heard:</w:t>
      </w:r>
      <w:r w:rsidRPr="000B2339">
        <w:rPr>
          <w:rFonts w:ascii="Arial" w:hAnsi="Arial" w:cs="Arial"/>
          <w:b/>
          <w:color w:val="000000" w:themeColor="text1"/>
          <w:sz w:val="24"/>
          <w:szCs w:val="24"/>
        </w:rPr>
        <w:tab/>
      </w:r>
      <w:r w:rsidRPr="000B2339">
        <w:rPr>
          <w:rFonts w:ascii="Arial" w:hAnsi="Arial" w:cs="Arial"/>
          <w:b/>
          <w:color w:val="000000" w:themeColor="text1"/>
          <w:sz w:val="24"/>
          <w:szCs w:val="24"/>
        </w:rPr>
        <w:tab/>
      </w:r>
      <w:r w:rsidR="00A943DD">
        <w:rPr>
          <w:rFonts w:ascii="Arial" w:hAnsi="Arial" w:cs="Arial"/>
          <w:b/>
          <w:color w:val="000000" w:themeColor="text1"/>
          <w:sz w:val="24"/>
          <w:szCs w:val="24"/>
        </w:rPr>
        <w:t>10 October</w:t>
      </w:r>
      <w:r w:rsidR="00401E74">
        <w:rPr>
          <w:rFonts w:ascii="Arial" w:hAnsi="Arial" w:cs="Arial"/>
          <w:b/>
          <w:color w:val="000000" w:themeColor="text1"/>
          <w:sz w:val="24"/>
          <w:szCs w:val="24"/>
        </w:rPr>
        <w:t xml:space="preserve"> 2022</w:t>
      </w:r>
    </w:p>
    <w:p w14:paraId="769AF3E8" w14:textId="77777777" w:rsidR="008C3367" w:rsidRPr="000B2339" w:rsidRDefault="008C3367" w:rsidP="00161C35">
      <w:pPr>
        <w:spacing w:line="240" w:lineRule="auto"/>
        <w:jc w:val="both"/>
        <w:rPr>
          <w:rFonts w:ascii="Arial" w:hAnsi="Arial" w:cs="Arial"/>
          <w:b/>
          <w:color w:val="000000" w:themeColor="text1"/>
          <w:sz w:val="24"/>
          <w:szCs w:val="24"/>
        </w:rPr>
      </w:pPr>
      <w:r w:rsidRPr="000B2339">
        <w:rPr>
          <w:rFonts w:ascii="Arial" w:hAnsi="Arial" w:cs="Arial"/>
          <w:b/>
          <w:color w:val="000000" w:themeColor="text1"/>
          <w:sz w:val="24"/>
          <w:szCs w:val="24"/>
        </w:rPr>
        <w:t>Delivered:</w:t>
      </w:r>
      <w:r w:rsidRPr="000B2339">
        <w:rPr>
          <w:rFonts w:ascii="Arial" w:hAnsi="Arial" w:cs="Arial"/>
          <w:b/>
          <w:color w:val="000000" w:themeColor="text1"/>
          <w:sz w:val="24"/>
          <w:szCs w:val="24"/>
        </w:rPr>
        <w:tab/>
      </w:r>
      <w:r w:rsidR="00B40CD3" w:rsidRPr="000B2339">
        <w:rPr>
          <w:rFonts w:ascii="Arial" w:hAnsi="Arial" w:cs="Arial"/>
          <w:b/>
          <w:color w:val="000000" w:themeColor="text1"/>
          <w:sz w:val="24"/>
          <w:szCs w:val="24"/>
        </w:rPr>
        <w:tab/>
      </w:r>
      <w:r w:rsidR="00A73499">
        <w:rPr>
          <w:rFonts w:ascii="Arial" w:hAnsi="Arial" w:cs="Arial"/>
          <w:b/>
          <w:color w:val="000000" w:themeColor="text1"/>
          <w:sz w:val="24"/>
          <w:szCs w:val="24"/>
        </w:rPr>
        <w:t>28</w:t>
      </w:r>
      <w:r w:rsidR="00EA1740">
        <w:rPr>
          <w:rFonts w:ascii="Arial" w:hAnsi="Arial" w:cs="Arial"/>
          <w:b/>
          <w:color w:val="000000" w:themeColor="text1"/>
          <w:sz w:val="24"/>
          <w:szCs w:val="24"/>
        </w:rPr>
        <w:t xml:space="preserve"> October</w:t>
      </w:r>
      <w:r w:rsidR="00401E74">
        <w:rPr>
          <w:rFonts w:ascii="Arial" w:hAnsi="Arial" w:cs="Arial"/>
          <w:b/>
          <w:color w:val="000000" w:themeColor="text1"/>
          <w:sz w:val="24"/>
          <w:szCs w:val="24"/>
        </w:rPr>
        <w:t xml:space="preserve"> 2022</w:t>
      </w:r>
    </w:p>
    <w:p w14:paraId="318C0185" w14:textId="77777777" w:rsidR="005E1AF8" w:rsidRDefault="005E1AF8" w:rsidP="000B1CCA">
      <w:pPr>
        <w:spacing w:after="0" w:line="360" w:lineRule="auto"/>
        <w:jc w:val="both"/>
        <w:rPr>
          <w:rFonts w:ascii="Arial" w:hAnsi="Arial" w:cs="Arial"/>
          <w:b/>
          <w:color w:val="000000" w:themeColor="text1"/>
          <w:sz w:val="24"/>
          <w:szCs w:val="24"/>
          <w:lang w:val="en-GB"/>
        </w:rPr>
      </w:pPr>
    </w:p>
    <w:p w14:paraId="63231711" w14:textId="77777777" w:rsidR="0069795E" w:rsidRPr="000B2339" w:rsidRDefault="0069795E" w:rsidP="000B1CCA">
      <w:pPr>
        <w:spacing w:after="0" w:line="360" w:lineRule="auto"/>
        <w:jc w:val="both"/>
        <w:rPr>
          <w:rFonts w:ascii="Arial" w:hAnsi="Arial" w:cs="Arial"/>
          <w:b/>
          <w:color w:val="000000" w:themeColor="text1"/>
          <w:sz w:val="24"/>
          <w:szCs w:val="24"/>
          <w:lang w:val="en-GB"/>
        </w:rPr>
      </w:pPr>
    </w:p>
    <w:p w14:paraId="5438D984" w14:textId="77777777" w:rsidR="00D0697B" w:rsidRDefault="00D0697B" w:rsidP="00D0697B">
      <w:pPr>
        <w:spacing w:after="0" w:line="360" w:lineRule="auto"/>
        <w:jc w:val="both"/>
        <w:rPr>
          <w:rFonts w:ascii="Arial" w:hAnsi="Arial" w:cs="Arial"/>
          <w:color w:val="000000" w:themeColor="text1"/>
          <w:sz w:val="24"/>
          <w:szCs w:val="24"/>
        </w:rPr>
      </w:pPr>
      <w:r>
        <w:rPr>
          <w:rFonts w:ascii="Arial" w:hAnsi="Arial" w:cs="Arial"/>
          <w:b/>
          <w:color w:val="000000" w:themeColor="text1"/>
          <w:sz w:val="24"/>
          <w:szCs w:val="24"/>
        </w:rPr>
        <w:lastRenderedPageBreak/>
        <w:t>Summar</w:t>
      </w:r>
      <w:r w:rsidRPr="00CC16DA">
        <w:rPr>
          <w:rFonts w:ascii="Arial" w:hAnsi="Arial" w:cs="Arial"/>
          <w:b/>
          <w:color w:val="000000" w:themeColor="text1"/>
          <w:sz w:val="24"/>
          <w:szCs w:val="24"/>
        </w:rPr>
        <w:t>y:</w:t>
      </w:r>
      <w:r>
        <w:rPr>
          <w:rFonts w:ascii="Arial" w:hAnsi="Arial" w:cs="Arial"/>
          <w:color w:val="000000" w:themeColor="text1"/>
          <w:sz w:val="24"/>
          <w:szCs w:val="24"/>
        </w:rPr>
        <w:tab/>
        <w:t xml:space="preserve">The Government of Namibia and the Namibia Development Corporation (NDC) (now the Namibia Industrial Development Agency (NIDA)) entered into an agreement termed a project lease agreement (the PLA) with Agri-Pro for the latter to manage and operate the agricultural project referred to in the agreement. After the death of the sole shareholder in Agri-Pro, the </w:t>
      </w:r>
      <w:r w:rsidR="002F782F">
        <w:rPr>
          <w:rFonts w:ascii="Arial" w:hAnsi="Arial" w:cs="Arial"/>
          <w:color w:val="000000" w:themeColor="text1"/>
          <w:sz w:val="24"/>
          <w:szCs w:val="24"/>
        </w:rPr>
        <w:t xml:space="preserve">then </w:t>
      </w:r>
      <w:r>
        <w:rPr>
          <w:rFonts w:ascii="Arial" w:hAnsi="Arial" w:cs="Arial"/>
          <w:color w:val="000000" w:themeColor="text1"/>
          <w:sz w:val="24"/>
          <w:szCs w:val="24"/>
        </w:rPr>
        <w:t>executor of the estate engaged Serve Investments 84 (Pty) Ltd (Serve) to act as project manager of the project. Serve took on Agri-Pro’s task under the PLA and operated the project with effect from December 2015. On 7 September 2018, the former executor of the estate and Serve concluded a sale of share</w:t>
      </w:r>
      <w:r w:rsidR="002F782F">
        <w:rPr>
          <w:rFonts w:ascii="Arial" w:hAnsi="Arial" w:cs="Arial"/>
          <w:color w:val="000000" w:themeColor="text1"/>
          <w:sz w:val="24"/>
          <w:szCs w:val="24"/>
        </w:rPr>
        <w:t>s</w:t>
      </w:r>
      <w:r>
        <w:rPr>
          <w:rFonts w:ascii="Arial" w:hAnsi="Arial" w:cs="Arial"/>
          <w:color w:val="000000" w:themeColor="text1"/>
          <w:sz w:val="24"/>
          <w:szCs w:val="24"/>
        </w:rPr>
        <w:t xml:space="preserve"> agreement, selling those shares to Serve. In terms of clause 22 of the sale of shares agreement, it was conditional upon the Minister of Agriculture, Water and Forestry (the Minister) to provide his written consent for the transfer of shares. The condition requiring the Minister’s consent to the sale of shares is r</w:t>
      </w:r>
      <w:r w:rsidR="002F782F">
        <w:rPr>
          <w:rFonts w:ascii="Arial" w:hAnsi="Arial" w:cs="Arial"/>
          <w:color w:val="000000" w:themeColor="text1"/>
          <w:sz w:val="24"/>
          <w:szCs w:val="24"/>
        </w:rPr>
        <w:t xml:space="preserve">equired by Art 11.1 of the PLA which, provides that </w:t>
      </w:r>
      <w:r>
        <w:rPr>
          <w:rFonts w:ascii="Arial" w:hAnsi="Arial" w:cs="Arial"/>
          <w:color w:val="000000" w:themeColor="text1"/>
          <w:sz w:val="24"/>
          <w:szCs w:val="24"/>
        </w:rPr>
        <w:t xml:space="preserve">no shares in Agri-Pro can be transferred without the written consent of the Minister and NDC. Serve endeavoured over a period of time, without success, to secure the written consent of the Minister and NDC. As a consequence of the inaction of the Minister and NDC, Serve brought an application to the court </w:t>
      </w:r>
      <w:r w:rsidRPr="00E60E09">
        <w:rPr>
          <w:rFonts w:ascii="Arial" w:hAnsi="Arial" w:cs="Arial"/>
          <w:i/>
          <w:color w:val="000000" w:themeColor="text1"/>
          <w:sz w:val="24"/>
          <w:szCs w:val="24"/>
        </w:rPr>
        <w:t>a quo</w:t>
      </w:r>
      <w:r>
        <w:rPr>
          <w:rFonts w:ascii="Arial" w:hAnsi="Arial" w:cs="Arial"/>
          <w:color w:val="000000" w:themeColor="text1"/>
          <w:sz w:val="24"/>
          <w:szCs w:val="24"/>
        </w:rPr>
        <w:t>, seeking an order declaring</w:t>
      </w:r>
      <w:r w:rsidR="002F782F">
        <w:rPr>
          <w:rFonts w:ascii="Arial" w:hAnsi="Arial" w:cs="Arial"/>
          <w:color w:val="000000" w:themeColor="text1"/>
          <w:sz w:val="24"/>
          <w:szCs w:val="24"/>
        </w:rPr>
        <w:t xml:space="preserve"> that</w:t>
      </w:r>
      <w:r>
        <w:rPr>
          <w:rFonts w:ascii="Arial" w:hAnsi="Arial" w:cs="Arial"/>
          <w:color w:val="000000" w:themeColor="text1"/>
          <w:sz w:val="24"/>
          <w:szCs w:val="24"/>
        </w:rPr>
        <w:t xml:space="preserve"> the Minister and NDC were deemed to have consented to the sale of shares, alternatively, for an order to direct them to consent to the sale or in the future alternative to make a decision to consent or not within seven days. The application was opposed by the appellants on the grounds of privity of contract – the Minister declined to answer factual allegations concerning the background leading to the sale of shares agreement as the Government was not party to it.</w:t>
      </w:r>
      <w:r w:rsidRPr="006F7EFD">
        <w:rPr>
          <w:rFonts w:ascii="Arial" w:hAnsi="Arial" w:cs="Arial"/>
          <w:color w:val="000000" w:themeColor="text1"/>
          <w:sz w:val="24"/>
          <w:szCs w:val="24"/>
        </w:rPr>
        <w:t xml:space="preserve"> </w:t>
      </w:r>
      <w:r>
        <w:rPr>
          <w:rFonts w:ascii="Arial" w:hAnsi="Arial" w:cs="Arial"/>
          <w:color w:val="000000" w:themeColor="text1"/>
          <w:sz w:val="24"/>
          <w:szCs w:val="24"/>
        </w:rPr>
        <w:t xml:space="preserve">The Minister however </w:t>
      </w:r>
      <w:r w:rsidR="002F782F">
        <w:rPr>
          <w:rFonts w:ascii="Arial" w:hAnsi="Arial" w:cs="Arial"/>
          <w:color w:val="000000" w:themeColor="text1"/>
          <w:sz w:val="24"/>
          <w:szCs w:val="24"/>
        </w:rPr>
        <w:t xml:space="preserve">also </w:t>
      </w:r>
      <w:r>
        <w:rPr>
          <w:rFonts w:ascii="Arial" w:hAnsi="Arial" w:cs="Arial"/>
          <w:color w:val="000000" w:themeColor="text1"/>
          <w:sz w:val="24"/>
          <w:szCs w:val="24"/>
        </w:rPr>
        <w:t>opposed the relief on the grounds that a lease agreement of the premises to Agri-Pro, as it would be constituted under the sale of shares agreement, would be contrary to the provisions of s 17B of the Communal Land Reform Act 5 of 2002 (the Act) by reason of the shareholding in Serve</w:t>
      </w:r>
      <w:r w:rsidR="002F782F">
        <w:rPr>
          <w:rFonts w:ascii="Arial" w:hAnsi="Arial" w:cs="Arial"/>
          <w:color w:val="000000" w:themeColor="text1"/>
          <w:sz w:val="24"/>
          <w:szCs w:val="24"/>
        </w:rPr>
        <w:t xml:space="preserve"> (being held by shareholders outside Namibia)</w:t>
      </w:r>
      <w:r>
        <w:rPr>
          <w:rFonts w:ascii="Arial" w:hAnsi="Arial" w:cs="Arial"/>
          <w:color w:val="000000" w:themeColor="text1"/>
          <w:sz w:val="24"/>
          <w:szCs w:val="24"/>
        </w:rPr>
        <w:t xml:space="preserve">. </w:t>
      </w:r>
    </w:p>
    <w:p w14:paraId="23FD7DD6" w14:textId="77777777" w:rsidR="00D0697B" w:rsidRDefault="00D0697B" w:rsidP="00D0697B">
      <w:pPr>
        <w:spacing w:after="0" w:line="360" w:lineRule="auto"/>
        <w:jc w:val="both"/>
        <w:rPr>
          <w:rFonts w:ascii="Arial" w:hAnsi="Arial" w:cs="Arial"/>
          <w:color w:val="000000" w:themeColor="text1"/>
          <w:sz w:val="24"/>
          <w:szCs w:val="24"/>
        </w:rPr>
      </w:pPr>
    </w:p>
    <w:p w14:paraId="4ED14F43" w14:textId="77777777" w:rsidR="00D0697B" w:rsidRPr="00212A06" w:rsidRDefault="00D0697B" w:rsidP="00D0697B">
      <w:pPr>
        <w:spacing w:after="0" w:line="360" w:lineRule="auto"/>
        <w:jc w:val="both"/>
        <w:rPr>
          <w:rFonts w:ascii="Arial" w:hAnsi="Arial" w:cs="Arial"/>
          <w:sz w:val="24"/>
          <w:szCs w:val="24"/>
        </w:rPr>
      </w:pPr>
      <w:r>
        <w:rPr>
          <w:rFonts w:ascii="Arial" w:hAnsi="Arial" w:cs="Arial"/>
          <w:color w:val="000000" w:themeColor="text1"/>
          <w:sz w:val="24"/>
          <w:szCs w:val="24"/>
        </w:rPr>
        <w:t xml:space="preserve">The court </w:t>
      </w:r>
      <w:r w:rsidRPr="00212A06">
        <w:rPr>
          <w:rFonts w:ascii="Arial" w:hAnsi="Arial" w:cs="Arial"/>
          <w:i/>
          <w:color w:val="000000" w:themeColor="text1"/>
          <w:sz w:val="24"/>
          <w:szCs w:val="24"/>
        </w:rPr>
        <w:t>a quo</w:t>
      </w:r>
      <w:r>
        <w:rPr>
          <w:rFonts w:ascii="Arial" w:hAnsi="Arial" w:cs="Arial"/>
          <w:color w:val="000000" w:themeColor="text1"/>
          <w:sz w:val="24"/>
          <w:szCs w:val="24"/>
        </w:rPr>
        <w:t xml:space="preserve"> made an order on 22 December 2021 directing the Minister and NDC to make a decision within 5 days of the order whether or not </w:t>
      </w:r>
      <w:r w:rsidR="002F782F">
        <w:rPr>
          <w:rFonts w:ascii="Arial" w:hAnsi="Arial" w:cs="Arial"/>
          <w:color w:val="000000" w:themeColor="text1"/>
          <w:sz w:val="24"/>
          <w:szCs w:val="24"/>
        </w:rPr>
        <w:t>to</w:t>
      </w:r>
      <w:r>
        <w:rPr>
          <w:rFonts w:ascii="Arial" w:hAnsi="Arial" w:cs="Arial"/>
          <w:color w:val="000000" w:themeColor="text1"/>
          <w:sz w:val="24"/>
          <w:szCs w:val="24"/>
        </w:rPr>
        <w:t xml:space="preserve"> consent to the sale and transfer of the shares and communicate their decisions to the legal practitioner of Serve by that date. The court found it unnecessary to make a finding on the applicability or otherwise of s 17B of the Act because Serve had made an application under s 17B. The court </w:t>
      </w:r>
      <w:r w:rsidRPr="007B199D">
        <w:rPr>
          <w:rFonts w:ascii="Arial" w:hAnsi="Arial" w:cs="Arial"/>
          <w:i/>
          <w:color w:val="000000" w:themeColor="text1"/>
          <w:sz w:val="24"/>
          <w:szCs w:val="24"/>
        </w:rPr>
        <w:t>a quo</w:t>
      </w:r>
      <w:r>
        <w:rPr>
          <w:rFonts w:ascii="Arial" w:hAnsi="Arial" w:cs="Arial"/>
          <w:color w:val="000000" w:themeColor="text1"/>
          <w:sz w:val="24"/>
          <w:szCs w:val="24"/>
        </w:rPr>
        <w:t xml:space="preserve"> further ordered that the Minister and NDC were to pay the costs of the application.</w:t>
      </w:r>
    </w:p>
    <w:p w14:paraId="4EDA92FB" w14:textId="77777777" w:rsidR="00D0697B" w:rsidRDefault="00D0697B" w:rsidP="00D0697B">
      <w:pPr>
        <w:spacing w:after="0" w:line="360" w:lineRule="auto"/>
        <w:jc w:val="both"/>
        <w:rPr>
          <w:rFonts w:ascii="Arial" w:hAnsi="Arial" w:cs="Arial"/>
          <w:sz w:val="24"/>
          <w:szCs w:val="24"/>
        </w:rPr>
      </w:pPr>
    </w:p>
    <w:p w14:paraId="324598A0" w14:textId="77777777" w:rsidR="00D0697B" w:rsidRDefault="00D0697B" w:rsidP="00D0697B">
      <w:pPr>
        <w:spacing w:after="0" w:line="360" w:lineRule="auto"/>
        <w:jc w:val="both"/>
        <w:rPr>
          <w:rFonts w:ascii="Arial" w:hAnsi="Arial" w:cs="Arial"/>
          <w:sz w:val="24"/>
          <w:szCs w:val="24"/>
        </w:rPr>
      </w:pPr>
      <w:r>
        <w:rPr>
          <w:rFonts w:ascii="Arial" w:hAnsi="Arial" w:cs="Arial"/>
          <w:sz w:val="24"/>
          <w:szCs w:val="24"/>
        </w:rPr>
        <w:t xml:space="preserve">The appeal is against the order compelling the Minister to make a decision. The appellants also opposed Serve’s cross-appeal against the refusal of the court </w:t>
      </w:r>
      <w:r w:rsidRPr="00D55C04">
        <w:rPr>
          <w:rFonts w:ascii="Arial" w:hAnsi="Arial" w:cs="Arial"/>
          <w:i/>
          <w:sz w:val="24"/>
          <w:szCs w:val="24"/>
        </w:rPr>
        <w:t>a quo</w:t>
      </w:r>
      <w:r>
        <w:rPr>
          <w:rFonts w:ascii="Arial" w:hAnsi="Arial" w:cs="Arial"/>
          <w:sz w:val="24"/>
          <w:szCs w:val="24"/>
        </w:rPr>
        <w:t xml:space="preserve"> to declare that the Minister and NDC be deemed to have given their consent or to direct </w:t>
      </w:r>
      <w:r w:rsidR="002F782F">
        <w:rPr>
          <w:rFonts w:ascii="Arial" w:hAnsi="Arial" w:cs="Arial"/>
          <w:sz w:val="24"/>
          <w:szCs w:val="24"/>
        </w:rPr>
        <w:t xml:space="preserve">that </w:t>
      </w:r>
      <w:r>
        <w:rPr>
          <w:rFonts w:ascii="Arial" w:hAnsi="Arial" w:cs="Arial"/>
          <w:sz w:val="24"/>
          <w:szCs w:val="24"/>
        </w:rPr>
        <w:t>such consent</w:t>
      </w:r>
      <w:r w:rsidR="002F782F">
        <w:rPr>
          <w:rFonts w:ascii="Arial" w:hAnsi="Arial" w:cs="Arial"/>
          <w:sz w:val="24"/>
          <w:szCs w:val="24"/>
        </w:rPr>
        <w:t xml:space="preserve"> be given</w:t>
      </w:r>
      <w:r>
        <w:rPr>
          <w:rFonts w:ascii="Arial" w:hAnsi="Arial" w:cs="Arial"/>
          <w:sz w:val="24"/>
          <w:szCs w:val="24"/>
        </w:rPr>
        <w:t xml:space="preserve">. </w:t>
      </w:r>
    </w:p>
    <w:p w14:paraId="32FD0C1D" w14:textId="77777777" w:rsidR="00D0697B" w:rsidRDefault="00D0697B" w:rsidP="00D0697B">
      <w:pPr>
        <w:spacing w:after="0" w:line="360" w:lineRule="auto"/>
        <w:jc w:val="both"/>
        <w:rPr>
          <w:rFonts w:ascii="Arial" w:hAnsi="Arial" w:cs="Arial"/>
          <w:sz w:val="24"/>
          <w:szCs w:val="24"/>
        </w:rPr>
      </w:pPr>
    </w:p>
    <w:p w14:paraId="30C69425" w14:textId="77777777" w:rsidR="00D0697B" w:rsidRDefault="002F782F" w:rsidP="00D0697B">
      <w:pPr>
        <w:spacing w:after="0" w:line="360" w:lineRule="auto"/>
        <w:jc w:val="both"/>
        <w:rPr>
          <w:rFonts w:ascii="Arial" w:hAnsi="Arial" w:cs="Arial"/>
          <w:sz w:val="24"/>
          <w:szCs w:val="24"/>
        </w:rPr>
      </w:pPr>
      <w:r>
        <w:rPr>
          <w:rFonts w:ascii="Arial" w:hAnsi="Arial" w:cs="Arial"/>
          <w:sz w:val="24"/>
          <w:szCs w:val="24"/>
        </w:rPr>
        <w:t>The issues o</w:t>
      </w:r>
      <w:r w:rsidR="00D0697B">
        <w:rPr>
          <w:rFonts w:ascii="Arial" w:hAnsi="Arial" w:cs="Arial"/>
          <w:sz w:val="24"/>
          <w:szCs w:val="24"/>
        </w:rPr>
        <w:t>n appeal</w:t>
      </w:r>
      <w:r>
        <w:rPr>
          <w:rFonts w:ascii="Arial" w:hAnsi="Arial" w:cs="Arial"/>
          <w:sz w:val="24"/>
          <w:szCs w:val="24"/>
        </w:rPr>
        <w:t xml:space="preserve"> were that </w:t>
      </w:r>
      <w:r w:rsidR="00D0697B">
        <w:rPr>
          <w:rFonts w:ascii="Arial" w:hAnsi="Arial" w:cs="Arial"/>
          <w:sz w:val="24"/>
          <w:szCs w:val="24"/>
        </w:rPr>
        <w:t xml:space="preserve">the court must determine firstly </w:t>
      </w:r>
      <w:r w:rsidR="00D0697B">
        <w:rPr>
          <w:rFonts w:ascii="Arial" w:hAnsi="Arial" w:cs="Arial"/>
          <w:color w:val="000000" w:themeColor="text1"/>
          <w:sz w:val="24"/>
          <w:szCs w:val="24"/>
        </w:rPr>
        <w:t>whether the High Court was precluded by reason of privity of contract or secondly by s 17B of the Act from granting its order.</w:t>
      </w:r>
      <w:r w:rsidR="00D0697B">
        <w:rPr>
          <w:rFonts w:ascii="Arial" w:hAnsi="Arial" w:cs="Arial"/>
          <w:sz w:val="24"/>
          <w:szCs w:val="24"/>
        </w:rPr>
        <w:t xml:space="preserve"> </w:t>
      </w:r>
      <w:r w:rsidR="00D0697B">
        <w:rPr>
          <w:rFonts w:ascii="Arial" w:hAnsi="Arial" w:cs="Arial"/>
          <w:color w:val="000000" w:themeColor="text1"/>
          <w:sz w:val="24"/>
          <w:szCs w:val="24"/>
        </w:rPr>
        <w:t>The third issue concerns whether exceptional circumstances exist to justify this court to direct that the Minister and NDC to grant their consent to the sale of shares as is sought in the cross-appeal.</w:t>
      </w:r>
    </w:p>
    <w:p w14:paraId="4D2E2097" w14:textId="77777777" w:rsidR="00D0697B" w:rsidRPr="00B6506A" w:rsidRDefault="00D0697B" w:rsidP="00D0697B">
      <w:pPr>
        <w:spacing w:after="0" w:line="360" w:lineRule="auto"/>
        <w:jc w:val="both"/>
        <w:rPr>
          <w:rFonts w:ascii="Arial" w:hAnsi="Arial" w:cs="Arial"/>
          <w:sz w:val="24"/>
          <w:szCs w:val="24"/>
        </w:rPr>
      </w:pPr>
    </w:p>
    <w:p w14:paraId="7DA50FD4" w14:textId="77777777" w:rsidR="00D0697B" w:rsidRDefault="00D0697B" w:rsidP="00D0697B">
      <w:pPr>
        <w:spacing w:after="0" w:line="360" w:lineRule="auto"/>
        <w:jc w:val="both"/>
        <w:rPr>
          <w:rFonts w:ascii="Arial" w:hAnsi="Arial" w:cs="Arial"/>
          <w:color w:val="000000" w:themeColor="text1"/>
          <w:sz w:val="24"/>
          <w:szCs w:val="24"/>
        </w:rPr>
      </w:pPr>
      <w:r w:rsidRPr="00B6506A">
        <w:rPr>
          <w:rFonts w:ascii="Arial" w:hAnsi="Arial" w:cs="Arial"/>
          <w:i/>
          <w:sz w:val="24"/>
          <w:szCs w:val="24"/>
        </w:rPr>
        <w:t>Held</w:t>
      </w:r>
      <w:r>
        <w:rPr>
          <w:rFonts w:ascii="Arial" w:hAnsi="Arial" w:cs="Arial"/>
          <w:i/>
          <w:sz w:val="24"/>
          <w:szCs w:val="24"/>
        </w:rPr>
        <w:t xml:space="preserve"> that</w:t>
      </w:r>
      <w:r>
        <w:rPr>
          <w:rFonts w:ascii="Arial" w:hAnsi="Arial" w:cs="Arial"/>
          <w:sz w:val="24"/>
          <w:szCs w:val="24"/>
        </w:rPr>
        <w:t xml:space="preserve">, </w:t>
      </w:r>
      <w:r>
        <w:rPr>
          <w:rFonts w:ascii="Arial" w:hAnsi="Arial" w:cs="Arial"/>
          <w:color w:val="000000" w:themeColor="text1"/>
          <w:sz w:val="24"/>
          <w:szCs w:val="24"/>
        </w:rPr>
        <w:t>the shares to be sold are those of Agri-Pro. Agri-Pro is a party to the PLA and has the rights and obligations as set out in the PLA. Under the PLA, its rights and obligations to operate and develop the agricultural project on that land are accorded to it by NDC and the Minister pursuant to the Government’s Gre</w:t>
      </w:r>
      <w:r w:rsidR="002F782F">
        <w:rPr>
          <w:rFonts w:ascii="Arial" w:hAnsi="Arial" w:cs="Arial"/>
          <w:color w:val="000000" w:themeColor="text1"/>
          <w:sz w:val="24"/>
          <w:szCs w:val="24"/>
        </w:rPr>
        <w:t>en Scheme initiative. Its right</w:t>
      </w:r>
      <w:r>
        <w:rPr>
          <w:rFonts w:ascii="Arial" w:hAnsi="Arial" w:cs="Arial"/>
          <w:color w:val="000000" w:themeColor="text1"/>
          <w:sz w:val="24"/>
          <w:szCs w:val="24"/>
        </w:rPr>
        <w:t xml:space="preserve"> to sell its shares are however restricted by article 11.1 of the PLA (requiring the consent of the Minister and NDC), failing which such a sale would amount to a breach as specified in article11.2.</w:t>
      </w:r>
    </w:p>
    <w:p w14:paraId="405D2317" w14:textId="77777777" w:rsidR="00D0697B" w:rsidRDefault="00D0697B" w:rsidP="00D0697B">
      <w:pPr>
        <w:spacing w:after="0" w:line="360" w:lineRule="auto"/>
        <w:jc w:val="both"/>
        <w:rPr>
          <w:rFonts w:ascii="Arial" w:hAnsi="Arial" w:cs="Arial"/>
          <w:color w:val="000000" w:themeColor="text1"/>
          <w:sz w:val="24"/>
          <w:szCs w:val="24"/>
        </w:rPr>
      </w:pPr>
    </w:p>
    <w:p w14:paraId="5017F28F" w14:textId="77777777" w:rsidR="00D0697B" w:rsidRDefault="00D0697B" w:rsidP="00D0697B">
      <w:pPr>
        <w:spacing w:after="0" w:line="360" w:lineRule="auto"/>
        <w:jc w:val="both"/>
        <w:rPr>
          <w:rFonts w:ascii="Arial" w:hAnsi="Arial" w:cs="Arial"/>
          <w:color w:val="000000" w:themeColor="text1"/>
          <w:sz w:val="24"/>
          <w:szCs w:val="24"/>
        </w:rPr>
      </w:pPr>
      <w:r w:rsidRPr="00913436">
        <w:rPr>
          <w:rFonts w:ascii="Arial" w:hAnsi="Arial" w:cs="Arial"/>
          <w:i/>
          <w:sz w:val="24"/>
          <w:szCs w:val="24"/>
        </w:rPr>
        <w:t>Held that</w:t>
      </w:r>
      <w:r w:rsidRPr="00B6506A">
        <w:rPr>
          <w:rFonts w:ascii="Arial" w:hAnsi="Arial" w:cs="Arial"/>
          <w:sz w:val="24"/>
          <w:szCs w:val="24"/>
        </w:rPr>
        <w:t xml:space="preserve">, </w:t>
      </w:r>
      <w:r>
        <w:rPr>
          <w:rFonts w:ascii="Arial" w:hAnsi="Arial" w:cs="Arial"/>
          <w:color w:val="000000" w:themeColor="text1"/>
          <w:sz w:val="24"/>
          <w:szCs w:val="24"/>
        </w:rPr>
        <w:t>the privity of contract point by the Minister in this regard is contrived and fails to take into account the contractual context of both clause 22 and article 11.1. It thus follows that the High Court was correct in brushing aside this baseless point.</w:t>
      </w:r>
    </w:p>
    <w:p w14:paraId="41C1438C" w14:textId="77777777" w:rsidR="00D0697B" w:rsidRDefault="00D0697B" w:rsidP="00D0697B">
      <w:pPr>
        <w:spacing w:after="0" w:line="360" w:lineRule="auto"/>
        <w:jc w:val="both"/>
        <w:rPr>
          <w:rFonts w:ascii="Arial" w:hAnsi="Arial" w:cs="Arial"/>
          <w:sz w:val="24"/>
          <w:szCs w:val="24"/>
        </w:rPr>
      </w:pPr>
    </w:p>
    <w:p w14:paraId="2E492568" w14:textId="77777777" w:rsidR="00D0697B" w:rsidRDefault="00D0697B" w:rsidP="00D0697B">
      <w:pPr>
        <w:spacing w:after="0" w:line="360" w:lineRule="auto"/>
        <w:jc w:val="both"/>
        <w:rPr>
          <w:rFonts w:ascii="Arial" w:hAnsi="Arial" w:cs="Arial"/>
          <w:color w:val="000000" w:themeColor="text1"/>
          <w:sz w:val="24"/>
          <w:szCs w:val="24"/>
        </w:rPr>
      </w:pPr>
      <w:r w:rsidRPr="00B6506A">
        <w:rPr>
          <w:rFonts w:ascii="Arial" w:hAnsi="Arial" w:cs="Arial"/>
          <w:i/>
          <w:sz w:val="24"/>
          <w:szCs w:val="24"/>
        </w:rPr>
        <w:t>Held</w:t>
      </w:r>
      <w:r>
        <w:rPr>
          <w:rFonts w:ascii="Arial" w:hAnsi="Arial" w:cs="Arial"/>
          <w:i/>
          <w:sz w:val="24"/>
          <w:szCs w:val="24"/>
        </w:rPr>
        <w:t xml:space="preserve"> that</w:t>
      </w:r>
      <w:r>
        <w:rPr>
          <w:rFonts w:ascii="Arial" w:hAnsi="Arial" w:cs="Arial"/>
          <w:sz w:val="24"/>
          <w:szCs w:val="24"/>
        </w:rPr>
        <w:t xml:space="preserve">, </w:t>
      </w:r>
      <w:r>
        <w:rPr>
          <w:rFonts w:ascii="Arial" w:hAnsi="Arial" w:cs="Arial"/>
          <w:color w:val="000000" w:themeColor="text1"/>
          <w:sz w:val="24"/>
          <w:szCs w:val="24"/>
        </w:rPr>
        <w:t>Agri-Pro’s rights and duties as project manager do not remotely approach the forms of customary land rights set out in their different manifestations contained in s 21 of the Act. Nor do they contemplate a lease-hold under the Act in the sense that the term is generally understood and used in the Act.</w:t>
      </w:r>
    </w:p>
    <w:p w14:paraId="472CCE90" w14:textId="77777777" w:rsidR="00D0697B" w:rsidRDefault="00D0697B" w:rsidP="00D0697B">
      <w:pPr>
        <w:spacing w:after="0" w:line="360" w:lineRule="auto"/>
        <w:jc w:val="both"/>
        <w:rPr>
          <w:rFonts w:ascii="Arial" w:hAnsi="Arial" w:cs="Arial"/>
          <w:color w:val="000000" w:themeColor="text1"/>
          <w:sz w:val="24"/>
          <w:szCs w:val="24"/>
        </w:rPr>
      </w:pPr>
    </w:p>
    <w:p w14:paraId="1CFD449B" w14:textId="77777777" w:rsidR="00D0697B" w:rsidRPr="00B6506A" w:rsidRDefault="00D0697B" w:rsidP="00D0697B">
      <w:pPr>
        <w:spacing w:after="0" w:line="360" w:lineRule="auto"/>
        <w:jc w:val="both"/>
        <w:rPr>
          <w:rFonts w:ascii="Arial" w:hAnsi="Arial" w:cs="Arial"/>
          <w:sz w:val="24"/>
          <w:szCs w:val="24"/>
        </w:rPr>
      </w:pPr>
      <w:r w:rsidRPr="00E9707F">
        <w:rPr>
          <w:rFonts w:ascii="Arial" w:hAnsi="Arial" w:cs="Arial"/>
          <w:i/>
          <w:color w:val="000000" w:themeColor="text1"/>
          <w:sz w:val="24"/>
          <w:szCs w:val="24"/>
        </w:rPr>
        <w:t>Held that</w:t>
      </w:r>
      <w:r>
        <w:rPr>
          <w:rFonts w:ascii="Arial" w:hAnsi="Arial" w:cs="Arial"/>
          <w:color w:val="000000" w:themeColor="text1"/>
          <w:sz w:val="24"/>
          <w:szCs w:val="24"/>
        </w:rPr>
        <w:t xml:space="preserve">, </w:t>
      </w:r>
      <w:r w:rsidRPr="00E9707F">
        <w:rPr>
          <w:rFonts w:ascii="Arial" w:hAnsi="Arial" w:cs="Arial"/>
          <w:color w:val="000000" w:themeColor="text1"/>
          <w:sz w:val="24"/>
          <w:szCs w:val="24"/>
        </w:rPr>
        <w:t xml:space="preserve">s 17B </w:t>
      </w:r>
      <w:r>
        <w:rPr>
          <w:rFonts w:ascii="Arial" w:hAnsi="Arial" w:cs="Arial"/>
          <w:color w:val="000000" w:themeColor="text1"/>
          <w:sz w:val="24"/>
          <w:szCs w:val="24"/>
        </w:rPr>
        <w:t xml:space="preserve">of the Act </w:t>
      </w:r>
      <w:r w:rsidRPr="00E9707F">
        <w:rPr>
          <w:rFonts w:ascii="Arial" w:hAnsi="Arial" w:cs="Arial"/>
          <w:color w:val="000000" w:themeColor="text1"/>
          <w:sz w:val="24"/>
          <w:szCs w:val="24"/>
        </w:rPr>
        <w:t xml:space="preserve">does not find application by reason of Agri-Pro’s rights under the PLA not constituting a customary land right or a right to lease-hold as contemplated by the Act. </w:t>
      </w:r>
    </w:p>
    <w:p w14:paraId="3B3D9D11" w14:textId="77777777" w:rsidR="006D4D03" w:rsidRDefault="006D4D03" w:rsidP="00D0697B">
      <w:pPr>
        <w:spacing w:after="0" w:line="360" w:lineRule="auto"/>
        <w:jc w:val="both"/>
        <w:rPr>
          <w:rFonts w:ascii="Arial" w:hAnsi="Arial" w:cs="Arial"/>
          <w:i/>
          <w:sz w:val="24"/>
          <w:szCs w:val="24"/>
        </w:rPr>
      </w:pPr>
    </w:p>
    <w:p w14:paraId="45BF55D7" w14:textId="77777777" w:rsidR="00D0697B" w:rsidRDefault="00D0697B" w:rsidP="00D0697B">
      <w:pPr>
        <w:spacing w:after="0" w:line="360" w:lineRule="auto"/>
        <w:jc w:val="both"/>
        <w:rPr>
          <w:rFonts w:ascii="Arial" w:hAnsi="Arial" w:cs="Arial"/>
          <w:sz w:val="24"/>
          <w:szCs w:val="24"/>
        </w:rPr>
      </w:pPr>
      <w:r w:rsidRPr="00913436">
        <w:rPr>
          <w:rFonts w:ascii="Arial" w:hAnsi="Arial" w:cs="Arial"/>
          <w:i/>
          <w:sz w:val="24"/>
          <w:szCs w:val="24"/>
        </w:rPr>
        <w:t>Held that</w:t>
      </w:r>
      <w:r w:rsidRPr="00B6506A">
        <w:rPr>
          <w:rFonts w:ascii="Arial" w:hAnsi="Arial" w:cs="Arial"/>
          <w:sz w:val="24"/>
          <w:szCs w:val="24"/>
        </w:rPr>
        <w:t xml:space="preserve">, </w:t>
      </w:r>
      <w:r>
        <w:rPr>
          <w:rFonts w:ascii="Arial" w:hAnsi="Arial" w:cs="Arial"/>
          <w:sz w:val="24"/>
          <w:szCs w:val="24"/>
        </w:rPr>
        <w:t xml:space="preserve">it would be premature for this court to direct the Minister to </w:t>
      </w:r>
      <w:r w:rsidR="002F782F">
        <w:rPr>
          <w:rFonts w:ascii="Arial" w:hAnsi="Arial" w:cs="Arial"/>
          <w:sz w:val="24"/>
          <w:szCs w:val="24"/>
        </w:rPr>
        <w:t>consent to the sale</w:t>
      </w:r>
      <w:r>
        <w:rPr>
          <w:rFonts w:ascii="Arial" w:hAnsi="Arial" w:cs="Arial"/>
          <w:sz w:val="24"/>
          <w:szCs w:val="24"/>
        </w:rPr>
        <w:t xml:space="preserve"> as it has not been established that the Minister’s stalling amounted to a decision to </w:t>
      </w:r>
      <w:r>
        <w:rPr>
          <w:rFonts w:ascii="Arial" w:hAnsi="Arial" w:cs="Arial"/>
          <w:sz w:val="24"/>
          <w:szCs w:val="24"/>
        </w:rPr>
        <w:lastRenderedPageBreak/>
        <w:t>refuse consent</w:t>
      </w:r>
      <w:r w:rsidR="002F782F">
        <w:rPr>
          <w:rFonts w:ascii="Arial" w:hAnsi="Arial" w:cs="Arial"/>
          <w:sz w:val="24"/>
          <w:szCs w:val="24"/>
        </w:rPr>
        <w:t>. N</w:t>
      </w:r>
      <w:r>
        <w:rPr>
          <w:rFonts w:ascii="Arial" w:hAnsi="Arial" w:cs="Arial"/>
          <w:sz w:val="24"/>
          <w:szCs w:val="24"/>
        </w:rPr>
        <w:t xml:space="preserve">or has it been shown that the Minister is biased or that the decision is a foregone conclusion. This matter is still </w:t>
      </w:r>
      <w:r w:rsidR="002F782F">
        <w:rPr>
          <w:rFonts w:ascii="Arial" w:hAnsi="Arial" w:cs="Arial"/>
          <w:sz w:val="24"/>
          <w:szCs w:val="24"/>
        </w:rPr>
        <w:t>at</w:t>
      </w:r>
      <w:r>
        <w:rPr>
          <w:rFonts w:ascii="Arial" w:hAnsi="Arial" w:cs="Arial"/>
          <w:sz w:val="24"/>
          <w:szCs w:val="24"/>
        </w:rPr>
        <w:t xml:space="preserve"> the </w:t>
      </w:r>
      <w:r w:rsidRPr="005375E2">
        <w:rPr>
          <w:rFonts w:ascii="Arial" w:hAnsi="Arial" w:cs="Arial"/>
          <w:i/>
          <w:sz w:val="24"/>
          <w:szCs w:val="24"/>
        </w:rPr>
        <w:t>mandamus</w:t>
      </w:r>
      <w:r>
        <w:rPr>
          <w:rFonts w:ascii="Arial" w:hAnsi="Arial" w:cs="Arial"/>
          <w:sz w:val="24"/>
          <w:szCs w:val="24"/>
        </w:rPr>
        <w:t xml:space="preserve"> stage.</w:t>
      </w:r>
    </w:p>
    <w:p w14:paraId="584CE994" w14:textId="77777777" w:rsidR="00D0697B" w:rsidRPr="00F72B78" w:rsidRDefault="00D0697B" w:rsidP="00D0697B">
      <w:pPr>
        <w:spacing w:after="0" w:line="360" w:lineRule="auto"/>
        <w:jc w:val="both"/>
        <w:rPr>
          <w:rFonts w:ascii="Arial" w:hAnsi="Arial" w:cs="Arial"/>
          <w:sz w:val="24"/>
          <w:szCs w:val="24"/>
        </w:rPr>
      </w:pPr>
    </w:p>
    <w:p w14:paraId="19A9AFC1" w14:textId="77777777" w:rsidR="00D0697B" w:rsidRPr="00F72B78" w:rsidRDefault="00D0697B" w:rsidP="00D0697B">
      <w:pPr>
        <w:spacing w:after="0" w:line="360" w:lineRule="auto"/>
        <w:jc w:val="both"/>
        <w:rPr>
          <w:rFonts w:ascii="Arial" w:hAnsi="Arial" w:cs="Arial"/>
          <w:sz w:val="24"/>
          <w:szCs w:val="24"/>
        </w:rPr>
      </w:pPr>
      <w:r w:rsidRPr="00F72B78">
        <w:rPr>
          <w:rFonts w:ascii="Arial" w:hAnsi="Arial" w:cs="Arial"/>
          <w:i/>
          <w:sz w:val="24"/>
          <w:szCs w:val="24"/>
        </w:rPr>
        <w:t>Held that</w:t>
      </w:r>
      <w:r w:rsidRPr="00F72B78">
        <w:rPr>
          <w:rFonts w:ascii="Arial" w:hAnsi="Arial" w:cs="Arial"/>
          <w:sz w:val="24"/>
          <w:szCs w:val="24"/>
        </w:rPr>
        <w:t>, e</w:t>
      </w:r>
      <w:r w:rsidRPr="00F72B78">
        <w:rPr>
          <w:rFonts w:ascii="Arial" w:hAnsi="Arial" w:cs="Arial"/>
          <w:color w:val="000000" w:themeColor="text1"/>
          <w:sz w:val="24"/>
          <w:szCs w:val="24"/>
        </w:rPr>
        <w:t xml:space="preserve">xceptional circumstances would need to be shown for a court to substitute its own decision for that of a decision-maker for the compelling reasons set out by the Chief Justice in </w:t>
      </w:r>
      <w:r w:rsidRPr="00F72B78">
        <w:rPr>
          <w:rFonts w:ascii="Arial" w:hAnsi="Arial" w:cs="Arial"/>
          <w:i/>
          <w:color w:val="000000" w:themeColor="text1"/>
          <w:sz w:val="24"/>
          <w:szCs w:val="24"/>
        </w:rPr>
        <w:t xml:space="preserve">Waterberg </w:t>
      </w:r>
      <w:r w:rsidRPr="00F72B78">
        <w:rPr>
          <w:rFonts w:ascii="Arial" w:hAnsi="Arial" w:cs="Arial"/>
          <w:i/>
          <w:sz w:val="24"/>
          <w:szCs w:val="24"/>
          <w:lang w:val="en-US"/>
        </w:rPr>
        <w:t xml:space="preserve">Big Game Hunting Lodge v Minister of Environment and Tourism </w:t>
      </w:r>
      <w:r w:rsidRPr="00F72B78">
        <w:rPr>
          <w:rFonts w:ascii="Arial" w:hAnsi="Arial" w:cs="Arial"/>
          <w:sz w:val="24"/>
          <w:szCs w:val="24"/>
        </w:rPr>
        <w:t>2010 (1) NR 1 (SC)</w:t>
      </w:r>
      <w:r w:rsidRPr="00F72B78">
        <w:rPr>
          <w:rFonts w:ascii="Arial" w:hAnsi="Arial" w:cs="Arial"/>
          <w:color w:val="000000" w:themeColor="text1"/>
          <w:sz w:val="24"/>
          <w:szCs w:val="24"/>
        </w:rPr>
        <w:t xml:space="preserve">. </w:t>
      </w:r>
    </w:p>
    <w:p w14:paraId="1DC8428D" w14:textId="77777777" w:rsidR="00D0697B" w:rsidRDefault="00D0697B" w:rsidP="00D0697B">
      <w:pPr>
        <w:spacing w:after="0" w:line="360" w:lineRule="auto"/>
        <w:jc w:val="both"/>
        <w:rPr>
          <w:rFonts w:ascii="Arial" w:hAnsi="Arial" w:cs="Arial"/>
          <w:sz w:val="24"/>
          <w:szCs w:val="24"/>
        </w:rPr>
      </w:pPr>
    </w:p>
    <w:p w14:paraId="26ADE0FC" w14:textId="77777777" w:rsidR="00D0697B" w:rsidRDefault="00D0697B" w:rsidP="00D0697B">
      <w:pPr>
        <w:spacing w:after="0" w:line="360" w:lineRule="auto"/>
        <w:jc w:val="both"/>
        <w:rPr>
          <w:rFonts w:ascii="Arial" w:hAnsi="Arial" w:cs="Arial"/>
          <w:color w:val="000000" w:themeColor="text1"/>
          <w:sz w:val="24"/>
          <w:szCs w:val="24"/>
        </w:rPr>
      </w:pPr>
      <w:r w:rsidRPr="00F72B78">
        <w:rPr>
          <w:rFonts w:ascii="Arial" w:hAnsi="Arial" w:cs="Arial"/>
          <w:i/>
          <w:sz w:val="24"/>
          <w:szCs w:val="24"/>
        </w:rPr>
        <w:t>Held further that</w:t>
      </w:r>
      <w:r>
        <w:rPr>
          <w:rFonts w:ascii="Arial" w:hAnsi="Arial" w:cs="Arial"/>
          <w:sz w:val="24"/>
          <w:szCs w:val="24"/>
        </w:rPr>
        <w:t xml:space="preserve">, </w:t>
      </w:r>
      <w:r>
        <w:rPr>
          <w:rFonts w:ascii="Arial" w:hAnsi="Arial" w:cs="Arial"/>
          <w:color w:val="000000" w:themeColor="text1"/>
          <w:sz w:val="24"/>
          <w:szCs w:val="24"/>
        </w:rPr>
        <w:t xml:space="preserve">exceptional circumstances would ordinarily only </w:t>
      </w:r>
      <w:r w:rsidRPr="00F72B78">
        <w:rPr>
          <w:rFonts w:ascii="Arial" w:hAnsi="Arial" w:cs="Arial"/>
          <w:color w:val="000000" w:themeColor="text1"/>
          <w:sz w:val="24"/>
          <w:szCs w:val="24"/>
        </w:rPr>
        <w:t>arise after</w:t>
      </w:r>
      <w:r>
        <w:rPr>
          <w:rFonts w:ascii="Arial" w:hAnsi="Arial" w:cs="Arial"/>
          <w:color w:val="000000" w:themeColor="text1"/>
          <w:sz w:val="24"/>
          <w:szCs w:val="24"/>
        </w:rPr>
        <w:t xml:space="preserve"> a decision is taken and would invariably relate to a fatally flawed and fraught process of decision making and result in a reluctance on the part of a court to remit a matter for decision-making because of that.</w:t>
      </w:r>
    </w:p>
    <w:p w14:paraId="779CDB24" w14:textId="77777777" w:rsidR="00D0697B" w:rsidRDefault="00D0697B" w:rsidP="00D0697B">
      <w:pPr>
        <w:spacing w:after="0" w:line="360" w:lineRule="auto"/>
        <w:jc w:val="both"/>
        <w:rPr>
          <w:rFonts w:ascii="Arial" w:hAnsi="Arial" w:cs="Arial"/>
          <w:color w:val="000000" w:themeColor="text1"/>
          <w:sz w:val="24"/>
          <w:szCs w:val="24"/>
        </w:rPr>
      </w:pPr>
    </w:p>
    <w:p w14:paraId="578FEBBD" w14:textId="77777777" w:rsidR="003C4F16" w:rsidRPr="005D7674" w:rsidRDefault="00D0697B" w:rsidP="00D0697B">
      <w:pPr>
        <w:spacing w:after="0" w:line="360" w:lineRule="auto"/>
        <w:jc w:val="both"/>
        <w:rPr>
          <w:rFonts w:ascii="Arial" w:hAnsi="Arial" w:cs="Arial"/>
          <w:sz w:val="24"/>
          <w:szCs w:val="24"/>
        </w:rPr>
      </w:pPr>
      <w:r>
        <w:rPr>
          <w:rFonts w:ascii="Arial" w:hAnsi="Arial" w:cs="Arial"/>
          <w:color w:val="000000" w:themeColor="text1"/>
          <w:sz w:val="24"/>
          <w:szCs w:val="24"/>
        </w:rPr>
        <w:t>It thus follows that both the appeal and cross-appeal are unsuccessful.</w:t>
      </w:r>
      <w:r w:rsidR="00E25B8B" w:rsidRPr="00312E11">
        <w:rPr>
          <w:rFonts w:ascii="Arial" w:hAnsi="Arial" w:cs="Arial"/>
          <w:b/>
          <w:color w:val="000000" w:themeColor="text1"/>
          <w:sz w:val="24"/>
          <w:szCs w:val="24"/>
        </w:rPr>
        <w:tab/>
      </w:r>
      <w:r w:rsidR="003C4F16">
        <w:rPr>
          <w:rFonts w:ascii="Arial" w:hAnsi="Arial" w:cs="Arial"/>
          <w:sz w:val="24"/>
          <w:szCs w:val="24"/>
        </w:rPr>
        <w:t xml:space="preserve"> </w:t>
      </w:r>
    </w:p>
    <w:p w14:paraId="47538EA5" w14:textId="77777777" w:rsidR="00EF6EF1" w:rsidRPr="000B2339" w:rsidRDefault="00EF6EF1" w:rsidP="002B6F2A">
      <w:pPr>
        <w:pStyle w:val="NoSpacing"/>
        <w:jc w:val="both"/>
        <w:rPr>
          <w:rFonts w:ascii="Arial" w:hAnsi="Arial" w:cs="Arial"/>
          <w:color w:val="000000" w:themeColor="text1"/>
          <w:sz w:val="24"/>
          <w:szCs w:val="24"/>
        </w:rPr>
      </w:pPr>
    </w:p>
    <w:p w14:paraId="6B9439BD" w14:textId="77777777" w:rsidR="008C3367" w:rsidRPr="000B2339" w:rsidRDefault="008C3367" w:rsidP="00594EA3">
      <w:pPr>
        <w:pBdr>
          <w:top w:val="single" w:sz="12" w:space="1" w:color="auto"/>
          <w:bottom w:val="single" w:sz="12" w:space="1" w:color="auto"/>
        </w:pBdr>
        <w:spacing w:after="0" w:line="240" w:lineRule="auto"/>
        <w:jc w:val="both"/>
        <w:rPr>
          <w:rFonts w:ascii="Arial" w:hAnsi="Arial" w:cs="Arial"/>
          <w:b/>
          <w:color w:val="000000" w:themeColor="text1"/>
          <w:sz w:val="24"/>
          <w:szCs w:val="24"/>
        </w:rPr>
      </w:pPr>
    </w:p>
    <w:p w14:paraId="3077F3C8" w14:textId="77777777" w:rsidR="00957589" w:rsidRPr="000B2339" w:rsidRDefault="008C3367" w:rsidP="00957589">
      <w:pPr>
        <w:pBdr>
          <w:top w:val="single" w:sz="12" w:space="1" w:color="auto"/>
          <w:bottom w:val="single" w:sz="12" w:space="1" w:color="auto"/>
        </w:pBdr>
        <w:spacing w:after="0" w:line="240" w:lineRule="auto"/>
        <w:jc w:val="center"/>
        <w:rPr>
          <w:rFonts w:ascii="Arial" w:hAnsi="Arial" w:cs="Arial"/>
          <w:b/>
          <w:color w:val="000000" w:themeColor="text1"/>
          <w:sz w:val="24"/>
          <w:szCs w:val="24"/>
        </w:rPr>
      </w:pPr>
      <w:r w:rsidRPr="000B2339">
        <w:rPr>
          <w:rFonts w:ascii="Arial" w:hAnsi="Arial" w:cs="Arial"/>
          <w:b/>
          <w:color w:val="000000" w:themeColor="text1"/>
          <w:sz w:val="24"/>
          <w:szCs w:val="24"/>
        </w:rPr>
        <w:t>APPEAL JUDGMENT</w:t>
      </w:r>
    </w:p>
    <w:p w14:paraId="04D01DB2" w14:textId="77777777" w:rsidR="008C3367" w:rsidRPr="000B2339" w:rsidRDefault="008C3367" w:rsidP="00594EA3">
      <w:pPr>
        <w:pBdr>
          <w:top w:val="single" w:sz="12" w:space="1" w:color="auto"/>
          <w:bottom w:val="single" w:sz="12" w:space="1" w:color="auto"/>
        </w:pBdr>
        <w:spacing w:after="0" w:line="240" w:lineRule="auto"/>
        <w:jc w:val="both"/>
        <w:rPr>
          <w:rFonts w:ascii="Arial" w:hAnsi="Arial" w:cs="Arial"/>
          <w:b/>
          <w:color w:val="000000" w:themeColor="text1"/>
          <w:sz w:val="24"/>
          <w:szCs w:val="24"/>
        </w:rPr>
      </w:pPr>
    </w:p>
    <w:p w14:paraId="3F0FE791" w14:textId="77777777" w:rsidR="00B40CD3" w:rsidRPr="000B2339" w:rsidRDefault="00B40CD3" w:rsidP="00312E11">
      <w:pPr>
        <w:pStyle w:val="NoSpacing"/>
        <w:jc w:val="center"/>
        <w:rPr>
          <w:rFonts w:ascii="Arial" w:hAnsi="Arial" w:cs="Arial"/>
          <w:color w:val="000000" w:themeColor="text1"/>
          <w:sz w:val="24"/>
          <w:szCs w:val="24"/>
        </w:rPr>
      </w:pPr>
    </w:p>
    <w:p w14:paraId="60337E77" w14:textId="77777777" w:rsidR="008C3367" w:rsidRDefault="00933B34" w:rsidP="006D4D03">
      <w:pPr>
        <w:spacing w:line="240" w:lineRule="auto"/>
        <w:jc w:val="both"/>
        <w:rPr>
          <w:rFonts w:ascii="Arial" w:hAnsi="Arial" w:cs="Arial"/>
          <w:color w:val="000000" w:themeColor="text1"/>
          <w:sz w:val="24"/>
          <w:szCs w:val="24"/>
        </w:rPr>
      </w:pPr>
      <w:r w:rsidRPr="00506827">
        <w:rPr>
          <w:rFonts w:ascii="Arial" w:hAnsi="Arial" w:cs="Arial"/>
          <w:color w:val="000000" w:themeColor="text1"/>
          <w:sz w:val="24"/>
          <w:szCs w:val="24"/>
        </w:rPr>
        <w:t>SMUTS JA (</w:t>
      </w:r>
      <w:r w:rsidR="00D312F8">
        <w:rPr>
          <w:rFonts w:ascii="Arial" w:hAnsi="Arial" w:cs="Arial"/>
          <w:color w:val="000000" w:themeColor="text1"/>
          <w:sz w:val="24"/>
          <w:szCs w:val="24"/>
        </w:rPr>
        <w:t>DAMASEB DCJ</w:t>
      </w:r>
      <w:r w:rsidRPr="00506827">
        <w:rPr>
          <w:rFonts w:ascii="Arial" w:hAnsi="Arial" w:cs="Arial"/>
          <w:color w:val="000000" w:themeColor="text1"/>
          <w:sz w:val="24"/>
          <w:szCs w:val="24"/>
        </w:rPr>
        <w:t xml:space="preserve"> </w:t>
      </w:r>
      <w:r w:rsidR="00401E74" w:rsidRPr="00506827">
        <w:rPr>
          <w:rFonts w:ascii="Arial" w:hAnsi="Arial" w:cs="Arial"/>
          <w:color w:val="000000" w:themeColor="text1"/>
          <w:sz w:val="24"/>
          <w:szCs w:val="24"/>
        </w:rPr>
        <w:t xml:space="preserve">and </w:t>
      </w:r>
      <w:r w:rsidR="00D312F8">
        <w:rPr>
          <w:rFonts w:ascii="Arial" w:hAnsi="Arial" w:cs="Arial"/>
          <w:color w:val="000000" w:themeColor="text1"/>
          <w:sz w:val="24"/>
          <w:szCs w:val="24"/>
        </w:rPr>
        <w:t>ANGULA</w:t>
      </w:r>
      <w:r w:rsidR="00401E74" w:rsidRPr="00506827">
        <w:rPr>
          <w:rFonts w:ascii="Arial" w:hAnsi="Arial" w:cs="Arial"/>
          <w:color w:val="000000" w:themeColor="text1"/>
          <w:sz w:val="24"/>
          <w:szCs w:val="24"/>
        </w:rPr>
        <w:t xml:space="preserve"> </w:t>
      </w:r>
      <w:r w:rsidR="00ED252D">
        <w:rPr>
          <w:rFonts w:ascii="Arial" w:hAnsi="Arial" w:cs="Arial"/>
          <w:color w:val="000000" w:themeColor="text1"/>
          <w:sz w:val="24"/>
          <w:szCs w:val="24"/>
        </w:rPr>
        <w:t>A</w:t>
      </w:r>
      <w:r w:rsidR="00401E74" w:rsidRPr="00506827">
        <w:rPr>
          <w:rFonts w:ascii="Arial" w:hAnsi="Arial" w:cs="Arial"/>
          <w:color w:val="000000" w:themeColor="text1"/>
          <w:sz w:val="24"/>
          <w:szCs w:val="24"/>
        </w:rPr>
        <w:t xml:space="preserve">JA </w:t>
      </w:r>
      <w:r w:rsidRPr="00506827">
        <w:rPr>
          <w:rFonts w:ascii="Arial" w:hAnsi="Arial" w:cs="Arial"/>
          <w:color w:val="000000" w:themeColor="text1"/>
          <w:sz w:val="24"/>
          <w:szCs w:val="24"/>
        </w:rPr>
        <w:t>concurring):</w:t>
      </w:r>
    </w:p>
    <w:p w14:paraId="32877E70" w14:textId="77777777" w:rsidR="007503A2" w:rsidRPr="007503A2" w:rsidRDefault="007503A2" w:rsidP="007503A2">
      <w:pPr>
        <w:spacing w:after="0" w:line="480" w:lineRule="auto"/>
        <w:jc w:val="both"/>
        <w:rPr>
          <w:rFonts w:ascii="Arial" w:hAnsi="Arial" w:cs="Arial"/>
          <w:color w:val="000000" w:themeColor="text1"/>
          <w:sz w:val="24"/>
          <w:szCs w:val="24"/>
          <w:u w:val="single"/>
        </w:rPr>
      </w:pPr>
      <w:r>
        <w:rPr>
          <w:rFonts w:ascii="Arial" w:hAnsi="Arial" w:cs="Arial"/>
          <w:color w:val="000000" w:themeColor="text1"/>
          <w:sz w:val="24"/>
          <w:szCs w:val="24"/>
          <w:u w:val="single"/>
        </w:rPr>
        <w:t>Introduction</w:t>
      </w:r>
    </w:p>
    <w:p w14:paraId="130A550C" w14:textId="21547D99" w:rsidR="00A943DD" w:rsidRDefault="00976E50" w:rsidP="00976E50">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[1]</w:t>
      </w:r>
      <w:r>
        <w:rPr>
          <w:rFonts w:ascii="Arial" w:hAnsi="Arial" w:cs="Arial"/>
          <w:color w:val="000000" w:themeColor="text1"/>
          <w:sz w:val="24"/>
          <w:szCs w:val="24"/>
        </w:rPr>
        <w:tab/>
      </w:r>
      <w:r w:rsidR="00AC4EF1">
        <w:rPr>
          <w:rFonts w:ascii="Arial" w:hAnsi="Arial" w:cs="Arial"/>
          <w:color w:val="000000" w:themeColor="text1"/>
          <w:sz w:val="24"/>
          <w:szCs w:val="24"/>
        </w:rPr>
        <w:t>This appeal and cross-</w:t>
      </w:r>
      <w:r w:rsidR="00A943DD">
        <w:rPr>
          <w:rFonts w:ascii="Arial" w:hAnsi="Arial" w:cs="Arial"/>
          <w:color w:val="000000" w:themeColor="text1"/>
          <w:sz w:val="24"/>
          <w:szCs w:val="24"/>
        </w:rPr>
        <w:t>appeal concern a sale of shares in the third respondent, Agricultural Professional Services (Pty) Ltd (</w:t>
      </w:r>
      <w:r w:rsidR="00997828">
        <w:rPr>
          <w:rFonts w:ascii="Arial" w:hAnsi="Arial" w:cs="Arial"/>
          <w:color w:val="000000" w:themeColor="text1"/>
          <w:sz w:val="24"/>
          <w:szCs w:val="24"/>
        </w:rPr>
        <w:t>Agri-Pro</w:t>
      </w:r>
      <w:r w:rsidR="00A943DD">
        <w:rPr>
          <w:rFonts w:ascii="Arial" w:hAnsi="Arial" w:cs="Arial"/>
          <w:color w:val="000000" w:themeColor="text1"/>
          <w:sz w:val="24"/>
          <w:szCs w:val="24"/>
        </w:rPr>
        <w:t>).</w:t>
      </w:r>
    </w:p>
    <w:p w14:paraId="0E6D7658" w14:textId="77777777" w:rsidR="00A943DD" w:rsidRDefault="00A943DD" w:rsidP="000B2CB4">
      <w:pPr>
        <w:pStyle w:val="NoSpacing"/>
        <w:spacing w:line="480" w:lineRule="auto"/>
        <w:jc w:val="both"/>
        <w:rPr>
          <w:rFonts w:ascii="Arial" w:hAnsi="Arial" w:cs="Arial"/>
          <w:color w:val="000000" w:themeColor="text1"/>
          <w:sz w:val="24"/>
          <w:szCs w:val="24"/>
        </w:rPr>
      </w:pPr>
    </w:p>
    <w:p w14:paraId="1861BE4D" w14:textId="1C8B2699" w:rsidR="001C7422" w:rsidRDefault="00976E50" w:rsidP="00976E50">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[2]</w:t>
      </w:r>
      <w:r>
        <w:rPr>
          <w:rFonts w:ascii="Arial" w:hAnsi="Arial" w:cs="Arial"/>
          <w:color w:val="000000" w:themeColor="text1"/>
          <w:sz w:val="24"/>
          <w:szCs w:val="24"/>
        </w:rPr>
        <w:tab/>
      </w:r>
      <w:r w:rsidR="00A943DD">
        <w:rPr>
          <w:rFonts w:ascii="Arial" w:hAnsi="Arial" w:cs="Arial"/>
          <w:color w:val="000000" w:themeColor="text1"/>
          <w:sz w:val="24"/>
          <w:szCs w:val="24"/>
        </w:rPr>
        <w:t xml:space="preserve">The factual background giving rise to these proceedings can be shortly </w:t>
      </w:r>
      <w:r w:rsidR="00DF7EED">
        <w:rPr>
          <w:rFonts w:ascii="Arial" w:hAnsi="Arial" w:cs="Arial"/>
          <w:color w:val="000000" w:themeColor="text1"/>
          <w:sz w:val="24"/>
          <w:szCs w:val="24"/>
        </w:rPr>
        <w:t>stat</w:t>
      </w:r>
      <w:r w:rsidR="00D72443">
        <w:rPr>
          <w:rFonts w:ascii="Arial" w:hAnsi="Arial" w:cs="Arial"/>
          <w:color w:val="000000" w:themeColor="text1"/>
          <w:sz w:val="24"/>
          <w:szCs w:val="24"/>
        </w:rPr>
        <w:t>ed</w:t>
      </w:r>
      <w:r w:rsidR="00A943DD">
        <w:rPr>
          <w:rFonts w:ascii="Arial" w:hAnsi="Arial" w:cs="Arial"/>
          <w:color w:val="000000" w:themeColor="text1"/>
          <w:sz w:val="24"/>
          <w:szCs w:val="24"/>
        </w:rPr>
        <w:t xml:space="preserve">. </w:t>
      </w:r>
      <w:r w:rsidR="00D72443">
        <w:rPr>
          <w:rFonts w:ascii="Arial" w:hAnsi="Arial" w:cs="Arial"/>
          <w:color w:val="000000" w:themeColor="text1"/>
          <w:sz w:val="24"/>
          <w:szCs w:val="24"/>
        </w:rPr>
        <w:t>In July 2014, t</w:t>
      </w:r>
      <w:r w:rsidR="00A943DD">
        <w:rPr>
          <w:rFonts w:ascii="Arial" w:hAnsi="Arial" w:cs="Arial"/>
          <w:color w:val="000000" w:themeColor="text1"/>
          <w:sz w:val="24"/>
          <w:szCs w:val="24"/>
        </w:rPr>
        <w:t>he Government of Namibia</w:t>
      </w:r>
      <w:r w:rsidR="00D72443">
        <w:rPr>
          <w:rFonts w:ascii="Arial" w:hAnsi="Arial" w:cs="Arial"/>
          <w:color w:val="000000" w:themeColor="text1"/>
          <w:sz w:val="24"/>
          <w:szCs w:val="24"/>
        </w:rPr>
        <w:t xml:space="preserve"> and the fourth respondent, then known as the Namibia Development Corporation (NDC)</w:t>
      </w:r>
      <w:r w:rsidR="00345992">
        <w:rPr>
          <w:rFonts w:ascii="Arial" w:hAnsi="Arial" w:cs="Arial"/>
          <w:color w:val="000000" w:themeColor="text1"/>
          <w:sz w:val="24"/>
          <w:szCs w:val="24"/>
        </w:rPr>
        <w:t>,</w:t>
      </w:r>
      <w:r w:rsidR="00D72443">
        <w:rPr>
          <w:rFonts w:ascii="Arial" w:hAnsi="Arial" w:cs="Arial"/>
          <w:color w:val="000000" w:themeColor="text1"/>
          <w:sz w:val="24"/>
          <w:szCs w:val="24"/>
        </w:rPr>
        <w:t xml:space="preserve"> and now the Namibia Industrial Development Agency (NIDA)</w:t>
      </w:r>
      <w:r w:rsidR="00345992">
        <w:rPr>
          <w:rFonts w:ascii="Arial" w:hAnsi="Arial" w:cs="Arial"/>
          <w:color w:val="000000" w:themeColor="text1"/>
          <w:sz w:val="24"/>
          <w:szCs w:val="24"/>
        </w:rPr>
        <w:t>,</w:t>
      </w:r>
      <w:r w:rsidR="008B0713">
        <w:rPr>
          <w:rFonts w:ascii="Arial" w:hAnsi="Arial" w:cs="Arial"/>
          <w:color w:val="000000" w:themeColor="text1"/>
          <w:sz w:val="24"/>
          <w:szCs w:val="24"/>
        </w:rPr>
        <w:t xml:space="preserve"> entered into an agreement termed a project lease agreement (</w:t>
      </w:r>
      <w:r w:rsidR="00AC4EF1">
        <w:rPr>
          <w:rFonts w:ascii="Arial" w:hAnsi="Arial" w:cs="Arial"/>
          <w:color w:val="000000" w:themeColor="text1"/>
          <w:sz w:val="24"/>
          <w:szCs w:val="24"/>
        </w:rPr>
        <w:t xml:space="preserve">the </w:t>
      </w:r>
      <w:r w:rsidR="008B0713">
        <w:rPr>
          <w:rFonts w:ascii="Arial" w:hAnsi="Arial" w:cs="Arial"/>
          <w:color w:val="000000" w:themeColor="text1"/>
          <w:sz w:val="24"/>
          <w:szCs w:val="24"/>
        </w:rPr>
        <w:t>PLA) with</w:t>
      </w:r>
      <w:r w:rsidR="00A943DD">
        <w:rPr>
          <w:rFonts w:ascii="Arial" w:hAnsi="Arial" w:cs="Arial"/>
          <w:color w:val="000000" w:themeColor="text1"/>
          <w:sz w:val="24"/>
          <w:szCs w:val="24"/>
        </w:rPr>
        <w:t xml:space="preserve"> </w:t>
      </w:r>
      <w:r w:rsidR="00997828">
        <w:rPr>
          <w:rFonts w:ascii="Arial" w:hAnsi="Arial" w:cs="Arial"/>
          <w:color w:val="000000" w:themeColor="text1"/>
          <w:sz w:val="24"/>
          <w:szCs w:val="24"/>
        </w:rPr>
        <w:t>Agri-Pro</w:t>
      </w:r>
      <w:r w:rsidR="00472884">
        <w:rPr>
          <w:rFonts w:ascii="Arial" w:hAnsi="Arial" w:cs="Arial"/>
          <w:color w:val="000000" w:themeColor="text1"/>
          <w:sz w:val="24"/>
          <w:szCs w:val="24"/>
        </w:rPr>
        <w:t xml:space="preserve"> for the latter to manage and operate the agricultural project referred to in it</w:t>
      </w:r>
      <w:r w:rsidR="008B0713">
        <w:rPr>
          <w:rFonts w:ascii="Arial" w:hAnsi="Arial" w:cs="Arial"/>
          <w:color w:val="000000" w:themeColor="text1"/>
          <w:sz w:val="24"/>
          <w:szCs w:val="24"/>
        </w:rPr>
        <w:t xml:space="preserve">. The PLA </w:t>
      </w:r>
      <w:r w:rsidR="00472884">
        <w:rPr>
          <w:rFonts w:ascii="Arial" w:hAnsi="Arial" w:cs="Arial"/>
          <w:color w:val="000000" w:themeColor="text1"/>
          <w:sz w:val="24"/>
          <w:szCs w:val="24"/>
        </w:rPr>
        <w:t xml:space="preserve">in turn </w:t>
      </w:r>
      <w:r w:rsidR="008B0713">
        <w:rPr>
          <w:rFonts w:ascii="Arial" w:hAnsi="Arial" w:cs="Arial"/>
          <w:color w:val="000000" w:themeColor="text1"/>
          <w:sz w:val="24"/>
          <w:szCs w:val="24"/>
        </w:rPr>
        <w:t>concerned an agricultural project</w:t>
      </w:r>
      <w:r w:rsidR="00A943DD">
        <w:rPr>
          <w:rFonts w:ascii="Arial" w:hAnsi="Arial" w:cs="Arial"/>
          <w:color w:val="000000" w:themeColor="text1"/>
          <w:sz w:val="24"/>
          <w:szCs w:val="24"/>
        </w:rPr>
        <w:t xml:space="preserve"> </w:t>
      </w:r>
      <w:r w:rsidR="00D72443">
        <w:rPr>
          <w:rFonts w:ascii="Arial" w:hAnsi="Arial" w:cs="Arial"/>
          <w:color w:val="000000" w:themeColor="text1"/>
          <w:sz w:val="24"/>
          <w:szCs w:val="24"/>
        </w:rPr>
        <w:t xml:space="preserve">on </w:t>
      </w:r>
      <w:r w:rsidR="00A943DD">
        <w:rPr>
          <w:rFonts w:ascii="Arial" w:hAnsi="Arial" w:cs="Arial"/>
          <w:color w:val="000000" w:themeColor="text1"/>
          <w:sz w:val="24"/>
          <w:szCs w:val="24"/>
        </w:rPr>
        <w:t xml:space="preserve">a tract of agricultural land in a communal area forming part of the Shitemo Irrigational Project on the banks of the </w:t>
      </w:r>
      <w:r w:rsidR="00A943DD">
        <w:rPr>
          <w:rFonts w:ascii="Arial" w:hAnsi="Arial" w:cs="Arial"/>
          <w:color w:val="000000" w:themeColor="text1"/>
          <w:sz w:val="24"/>
          <w:szCs w:val="24"/>
        </w:rPr>
        <w:lastRenderedPageBreak/>
        <w:t>Kavango River</w:t>
      </w:r>
      <w:r w:rsidR="008B0713">
        <w:rPr>
          <w:rFonts w:ascii="Arial" w:hAnsi="Arial" w:cs="Arial"/>
          <w:color w:val="000000" w:themeColor="text1"/>
          <w:sz w:val="24"/>
          <w:szCs w:val="24"/>
        </w:rPr>
        <w:t>. This project formed</w:t>
      </w:r>
      <w:r w:rsidR="00A943DD">
        <w:rPr>
          <w:rFonts w:ascii="Arial" w:hAnsi="Arial" w:cs="Arial"/>
          <w:color w:val="000000" w:themeColor="text1"/>
          <w:sz w:val="24"/>
          <w:szCs w:val="24"/>
        </w:rPr>
        <w:t xml:space="preserve"> part of the Government’s</w:t>
      </w:r>
      <w:r w:rsidR="00133B09" w:rsidRPr="00A943DD">
        <w:rPr>
          <w:rFonts w:ascii="Arial" w:hAnsi="Arial" w:cs="Arial"/>
          <w:color w:val="000000" w:themeColor="text1"/>
          <w:sz w:val="24"/>
          <w:szCs w:val="24"/>
        </w:rPr>
        <w:t xml:space="preserve"> </w:t>
      </w:r>
      <w:r w:rsidR="00A943DD">
        <w:rPr>
          <w:rFonts w:ascii="Arial" w:hAnsi="Arial" w:cs="Arial"/>
          <w:color w:val="000000" w:themeColor="text1"/>
          <w:sz w:val="24"/>
          <w:szCs w:val="24"/>
        </w:rPr>
        <w:t>Green Scheme Policy</w:t>
      </w:r>
      <w:r w:rsidR="00AC4EF1">
        <w:rPr>
          <w:rFonts w:ascii="Arial" w:hAnsi="Arial" w:cs="Arial"/>
          <w:color w:val="000000" w:themeColor="text1"/>
          <w:sz w:val="24"/>
          <w:szCs w:val="24"/>
        </w:rPr>
        <w:t xml:space="preserve"> (the Scheme)</w:t>
      </w:r>
      <w:r w:rsidR="00A943DD">
        <w:rPr>
          <w:rFonts w:ascii="Arial" w:hAnsi="Arial" w:cs="Arial"/>
          <w:color w:val="000000" w:themeColor="text1"/>
          <w:sz w:val="24"/>
          <w:szCs w:val="24"/>
        </w:rPr>
        <w:t xml:space="preserve">. </w:t>
      </w:r>
    </w:p>
    <w:p w14:paraId="78CE4984" w14:textId="77777777" w:rsidR="00D72443" w:rsidRDefault="00D72443" w:rsidP="000B2CB4">
      <w:pPr>
        <w:pStyle w:val="ListParagraph"/>
        <w:spacing w:after="0" w:line="480" w:lineRule="auto"/>
        <w:rPr>
          <w:rFonts w:ascii="Arial" w:hAnsi="Arial" w:cs="Arial"/>
          <w:color w:val="000000" w:themeColor="text1"/>
          <w:sz w:val="24"/>
          <w:szCs w:val="24"/>
        </w:rPr>
      </w:pPr>
    </w:p>
    <w:p w14:paraId="1CE739FA" w14:textId="7A3D4BA0" w:rsidR="00D72443" w:rsidRDefault="00976E50" w:rsidP="00976E50">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[3]</w:t>
      </w:r>
      <w:r>
        <w:rPr>
          <w:rFonts w:ascii="Arial" w:hAnsi="Arial" w:cs="Arial"/>
          <w:color w:val="000000" w:themeColor="text1"/>
          <w:sz w:val="24"/>
          <w:szCs w:val="24"/>
        </w:rPr>
        <w:tab/>
      </w:r>
      <w:r w:rsidR="008B0713">
        <w:rPr>
          <w:rFonts w:ascii="Arial" w:hAnsi="Arial" w:cs="Arial"/>
          <w:color w:val="000000" w:themeColor="text1"/>
          <w:sz w:val="24"/>
          <w:szCs w:val="24"/>
        </w:rPr>
        <w:t>The Green Scheme Policy</w:t>
      </w:r>
      <w:r w:rsidR="00D72443">
        <w:rPr>
          <w:rFonts w:ascii="Arial" w:hAnsi="Arial" w:cs="Arial"/>
          <w:color w:val="000000" w:themeColor="text1"/>
          <w:sz w:val="24"/>
          <w:szCs w:val="24"/>
        </w:rPr>
        <w:t xml:space="preserve"> is a government policy initiative </w:t>
      </w:r>
      <w:r w:rsidR="008B0713">
        <w:rPr>
          <w:rFonts w:ascii="Arial" w:hAnsi="Arial" w:cs="Arial"/>
          <w:color w:val="000000" w:themeColor="text1"/>
          <w:sz w:val="24"/>
          <w:szCs w:val="24"/>
        </w:rPr>
        <w:t>implemented</w:t>
      </w:r>
      <w:r w:rsidR="00D72443">
        <w:rPr>
          <w:rFonts w:ascii="Arial" w:hAnsi="Arial" w:cs="Arial"/>
          <w:color w:val="000000" w:themeColor="text1"/>
          <w:sz w:val="24"/>
          <w:szCs w:val="24"/>
        </w:rPr>
        <w:t xml:space="preserve"> by the Ministry </w:t>
      </w:r>
      <w:r w:rsidR="00DF7EED">
        <w:rPr>
          <w:rFonts w:ascii="Arial" w:hAnsi="Arial" w:cs="Arial"/>
          <w:color w:val="000000" w:themeColor="text1"/>
          <w:sz w:val="24"/>
          <w:szCs w:val="24"/>
        </w:rPr>
        <w:t xml:space="preserve">of Agriculture, Water and Forestry </w:t>
      </w:r>
      <w:r w:rsidR="00D72443">
        <w:rPr>
          <w:rFonts w:ascii="Arial" w:hAnsi="Arial" w:cs="Arial"/>
          <w:color w:val="000000" w:themeColor="text1"/>
          <w:sz w:val="24"/>
          <w:szCs w:val="24"/>
        </w:rPr>
        <w:t xml:space="preserve">with the purpose of developing irrigation based agronomic production in Namibia </w:t>
      </w:r>
      <w:r w:rsidR="00472884">
        <w:rPr>
          <w:rFonts w:ascii="Arial" w:hAnsi="Arial" w:cs="Arial"/>
          <w:color w:val="000000" w:themeColor="text1"/>
          <w:sz w:val="24"/>
          <w:szCs w:val="24"/>
        </w:rPr>
        <w:t>to</w:t>
      </w:r>
      <w:r w:rsidR="00D72443">
        <w:rPr>
          <w:rFonts w:ascii="Arial" w:hAnsi="Arial" w:cs="Arial"/>
          <w:color w:val="000000" w:themeColor="text1"/>
          <w:sz w:val="24"/>
          <w:szCs w:val="24"/>
        </w:rPr>
        <w:t xml:space="preserve"> increas</w:t>
      </w:r>
      <w:r w:rsidR="00472884">
        <w:rPr>
          <w:rFonts w:ascii="Arial" w:hAnsi="Arial" w:cs="Arial"/>
          <w:color w:val="000000" w:themeColor="text1"/>
          <w:sz w:val="24"/>
          <w:szCs w:val="24"/>
        </w:rPr>
        <w:t>e</w:t>
      </w:r>
      <w:r w:rsidR="00D72443">
        <w:rPr>
          <w:rFonts w:ascii="Arial" w:hAnsi="Arial" w:cs="Arial"/>
          <w:color w:val="000000" w:themeColor="text1"/>
          <w:sz w:val="24"/>
          <w:szCs w:val="24"/>
        </w:rPr>
        <w:t xml:space="preserve"> agricultural output. At the same time, the initiative seeks to achieve social development and upliftment of communities located at irrigation areas and promote skills development and economic opportunities for them. </w:t>
      </w:r>
      <w:r w:rsidR="00CF630F">
        <w:rPr>
          <w:rFonts w:ascii="Arial" w:hAnsi="Arial" w:cs="Arial"/>
          <w:color w:val="000000" w:themeColor="text1"/>
          <w:sz w:val="24"/>
          <w:szCs w:val="24"/>
        </w:rPr>
        <w:t>The</w:t>
      </w:r>
      <w:r w:rsidR="00D72443">
        <w:rPr>
          <w:rFonts w:ascii="Arial" w:hAnsi="Arial" w:cs="Arial"/>
          <w:color w:val="000000" w:themeColor="text1"/>
          <w:sz w:val="24"/>
          <w:szCs w:val="24"/>
        </w:rPr>
        <w:t xml:space="preserve"> Cabinet paper </w:t>
      </w:r>
      <w:r w:rsidR="008B0713">
        <w:rPr>
          <w:rFonts w:ascii="Arial" w:hAnsi="Arial" w:cs="Arial"/>
          <w:color w:val="000000" w:themeColor="text1"/>
          <w:sz w:val="24"/>
          <w:szCs w:val="24"/>
        </w:rPr>
        <w:t xml:space="preserve">adopting the policy </w:t>
      </w:r>
      <w:r w:rsidR="00D72443">
        <w:rPr>
          <w:rFonts w:ascii="Arial" w:hAnsi="Arial" w:cs="Arial"/>
          <w:color w:val="000000" w:themeColor="text1"/>
          <w:sz w:val="24"/>
          <w:szCs w:val="24"/>
        </w:rPr>
        <w:t>also refers to the stimulation of private investment together with local employment creation as objecti</w:t>
      </w:r>
      <w:r w:rsidR="008B0713">
        <w:rPr>
          <w:rFonts w:ascii="Arial" w:hAnsi="Arial" w:cs="Arial"/>
          <w:color w:val="000000" w:themeColor="text1"/>
          <w:sz w:val="24"/>
          <w:szCs w:val="24"/>
        </w:rPr>
        <w:t>ve</w:t>
      </w:r>
      <w:r w:rsidR="00D72443">
        <w:rPr>
          <w:rFonts w:ascii="Arial" w:hAnsi="Arial" w:cs="Arial"/>
          <w:color w:val="000000" w:themeColor="text1"/>
          <w:sz w:val="24"/>
          <w:szCs w:val="24"/>
        </w:rPr>
        <w:t>s of the Scheme.</w:t>
      </w:r>
    </w:p>
    <w:p w14:paraId="6DA7EA62" w14:textId="77777777" w:rsidR="00D72443" w:rsidRDefault="00D72443" w:rsidP="000B2CB4">
      <w:pPr>
        <w:pStyle w:val="ListParagraph"/>
        <w:spacing w:after="0" w:line="480" w:lineRule="auto"/>
        <w:rPr>
          <w:rFonts w:ascii="Arial" w:hAnsi="Arial" w:cs="Arial"/>
          <w:color w:val="000000" w:themeColor="text1"/>
          <w:sz w:val="24"/>
          <w:szCs w:val="24"/>
        </w:rPr>
      </w:pPr>
    </w:p>
    <w:p w14:paraId="5DD7A524" w14:textId="0E0894B3" w:rsidR="00D72443" w:rsidRDefault="00976E50" w:rsidP="00976E50">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[4]</w:t>
      </w:r>
      <w:r>
        <w:rPr>
          <w:rFonts w:ascii="Arial" w:hAnsi="Arial" w:cs="Arial"/>
          <w:color w:val="000000" w:themeColor="text1"/>
          <w:sz w:val="24"/>
          <w:szCs w:val="24"/>
        </w:rPr>
        <w:tab/>
      </w:r>
      <w:r w:rsidR="00D72443">
        <w:rPr>
          <w:rFonts w:ascii="Arial" w:hAnsi="Arial" w:cs="Arial"/>
          <w:color w:val="000000" w:themeColor="text1"/>
          <w:sz w:val="24"/>
          <w:szCs w:val="24"/>
        </w:rPr>
        <w:t xml:space="preserve">In the first paragraph of the preamble to the PLA, the parties record that they are desirous ‘to cooperate for the purpose of operating, developing and managing the Shitemo Irrigation </w:t>
      </w:r>
      <w:r w:rsidR="00CF630F">
        <w:rPr>
          <w:rFonts w:ascii="Arial" w:hAnsi="Arial" w:cs="Arial"/>
          <w:color w:val="000000" w:themeColor="text1"/>
          <w:sz w:val="24"/>
          <w:szCs w:val="24"/>
        </w:rPr>
        <w:t>Project</w:t>
      </w:r>
      <w:r w:rsidR="00D72443">
        <w:rPr>
          <w:rFonts w:ascii="Arial" w:hAnsi="Arial" w:cs="Arial"/>
          <w:color w:val="000000" w:themeColor="text1"/>
          <w:sz w:val="24"/>
          <w:szCs w:val="24"/>
        </w:rPr>
        <w:t xml:space="preserve"> for the promotion of agricultural production</w:t>
      </w:r>
      <w:r w:rsidR="00472884">
        <w:rPr>
          <w:rFonts w:ascii="Arial" w:hAnsi="Arial" w:cs="Arial"/>
          <w:color w:val="000000" w:themeColor="text1"/>
          <w:sz w:val="24"/>
          <w:szCs w:val="24"/>
        </w:rPr>
        <w:t>’</w:t>
      </w:r>
      <w:r w:rsidR="00D72443">
        <w:rPr>
          <w:rFonts w:ascii="Arial" w:hAnsi="Arial" w:cs="Arial"/>
          <w:color w:val="000000" w:themeColor="text1"/>
          <w:sz w:val="24"/>
          <w:szCs w:val="24"/>
        </w:rPr>
        <w:t>.</w:t>
      </w:r>
    </w:p>
    <w:p w14:paraId="34E73384" w14:textId="77777777" w:rsidR="005E446F" w:rsidRPr="00DF7EED" w:rsidRDefault="005E446F" w:rsidP="00DF7EED">
      <w:pPr>
        <w:pStyle w:val="NoSpacing"/>
        <w:spacing w:line="480" w:lineRule="auto"/>
        <w:jc w:val="both"/>
        <w:rPr>
          <w:rFonts w:ascii="Arial" w:hAnsi="Arial" w:cs="Arial"/>
          <w:color w:val="000000" w:themeColor="text1"/>
          <w:sz w:val="24"/>
          <w:szCs w:val="24"/>
        </w:rPr>
      </w:pPr>
    </w:p>
    <w:p w14:paraId="24B015D6" w14:textId="1F049659" w:rsidR="005E446F" w:rsidRDefault="00976E50" w:rsidP="00976E50">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[5]</w:t>
      </w:r>
      <w:r>
        <w:rPr>
          <w:rFonts w:ascii="Arial" w:hAnsi="Arial" w:cs="Arial"/>
          <w:color w:val="000000" w:themeColor="text1"/>
          <w:sz w:val="24"/>
          <w:szCs w:val="24"/>
        </w:rPr>
        <w:tab/>
      </w:r>
      <w:r w:rsidR="00D72443">
        <w:rPr>
          <w:rFonts w:ascii="Arial" w:hAnsi="Arial" w:cs="Arial"/>
          <w:color w:val="000000" w:themeColor="text1"/>
          <w:sz w:val="24"/>
          <w:szCs w:val="24"/>
        </w:rPr>
        <w:t>T</w:t>
      </w:r>
      <w:r w:rsidR="005E446F">
        <w:rPr>
          <w:rFonts w:ascii="Arial" w:hAnsi="Arial" w:cs="Arial"/>
          <w:color w:val="000000" w:themeColor="text1"/>
          <w:sz w:val="24"/>
          <w:szCs w:val="24"/>
        </w:rPr>
        <w:t xml:space="preserve">he </w:t>
      </w:r>
      <w:r w:rsidR="00D72443">
        <w:rPr>
          <w:rFonts w:ascii="Arial" w:hAnsi="Arial" w:cs="Arial"/>
          <w:color w:val="000000" w:themeColor="text1"/>
          <w:sz w:val="24"/>
          <w:szCs w:val="24"/>
        </w:rPr>
        <w:t xml:space="preserve">sole </w:t>
      </w:r>
      <w:r w:rsidR="005E446F">
        <w:rPr>
          <w:rFonts w:ascii="Arial" w:hAnsi="Arial" w:cs="Arial"/>
          <w:color w:val="000000" w:themeColor="text1"/>
          <w:sz w:val="24"/>
          <w:szCs w:val="24"/>
        </w:rPr>
        <w:t xml:space="preserve">shareholder in </w:t>
      </w:r>
      <w:r w:rsidR="00997828">
        <w:rPr>
          <w:rFonts w:ascii="Arial" w:hAnsi="Arial" w:cs="Arial"/>
          <w:color w:val="000000" w:themeColor="text1"/>
          <w:sz w:val="24"/>
          <w:szCs w:val="24"/>
        </w:rPr>
        <w:t>Agri-Pro</w:t>
      </w:r>
      <w:r w:rsidR="005E446F">
        <w:rPr>
          <w:rFonts w:ascii="Arial" w:hAnsi="Arial" w:cs="Arial"/>
          <w:color w:val="000000" w:themeColor="text1"/>
          <w:sz w:val="24"/>
          <w:szCs w:val="24"/>
        </w:rPr>
        <w:t xml:space="preserve">, the late Mr Aaron Mushimba, passed away and the former executor of his estate </w:t>
      </w:r>
      <w:r w:rsidR="00D72443">
        <w:rPr>
          <w:rFonts w:ascii="Arial" w:hAnsi="Arial" w:cs="Arial"/>
          <w:color w:val="000000" w:themeColor="text1"/>
          <w:sz w:val="24"/>
          <w:szCs w:val="24"/>
        </w:rPr>
        <w:t>engaged the first respondent, Serve Investments 84 (Pty) Ltd (Serve)</w:t>
      </w:r>
      <w:r w:rsidR="00B16332">
        <w:rPr>
          <w:rFonts w:ascii="Arial" w:hAnsi="Arial" w:cs="Arial"/>
          <w:color w:val="000000" w:themeColor="text1"/>
          <w:sz w:val="24"/>
          <w:szCs w:val="24"/>
        </w:rPr>
        <w:t>,</w:t>
      </w:r>
      <w:r w:rsidR="00D72443">
        <w:rPr>
          <w:rFonts w:ascii="Arial" w:hAnsi="Arial" w:cs="Arial"/>
          <w:color w:val="000000" w:themeColor="text1"/>
          <w:sz w:val="24"/>
          <w:szCs w:val="24"/>
        </w:rPr>
        <w:t xml:space="preserve"> as project manager of the project with effect from December 2015. Serve then took on </w:t>
      </w:r>
      <w:r w:rsidR="00997828">
        <w:rPr>
          <w:rFonts w:ascii="Arial" w:hAnsi="Arial" w:cs="Arial"/>
          <w:color w:val="000000" w:themeColor="text1"/>
          <w:sz w:val="24"/>
          <w:szCs w:val="24"/>
        </w:rPr>
        <w:t>Agri-Pro</w:t>
      </w:r>
      <w:r w:rsidR="00D72443">
        <w:rPr>
          <w:rFonts w:ascii="Arial" w:hAnsi="Arial" w:cs="Arial"/>
          <w:color w:val="000000" w:themeColor="text1"/>
          <w:sz w:val="24"/>
          <w:szCs w:val="24"/>
        </w:rPr>
        <w:t>’s ta</w:t>
      </w:r>
      <w:r w:rsidR="008B0713">
        <w:rPr>
          <w:rFonts w:ascii="Arial" w:hAnsi="Arial" w:cs="Arial"/>
          <w:color w:val="000000" w:themeColor="text1"/>
          <w:sz w:val="24"/>
          <w:szCs w:val="24"/>
        </w:rPr>
        <w:t>s</w:t>
      </w:r>
      <w:r w:rsidR="00D72443">
        <w:rPr>
          <w:rFonts w:ascii="Arial" w:hAnsi="Arial" w:cs="Arial"/>
          <w:color w:val="000000" w:themeColor="text1"/>
          <w:sz w:val="24"/>
          <w:szCs w:val="24"/>
        </w:rPr>
        <w:t xml:space="preserve">ks under the PLA and operated the project. On 7 September 2018, Serve and the former executor of the late Mr Mushimba’s estate </w:t>
      </w:r>
      <w:r w:rsidR="005E446F">
        <w:rPr>
          <w:rFonts w:ascii="Arial" w:hAnsi="Arial" w:cs="Arial"/>
          <w:color w:val="000000" w:themeColor="text1"/>
          <w:sz w:val="24"/>
          <w:szCs w:val="24"/>
        </w:rPr>
        <w:t>concluded a sale of shares agreement</w:t>
      </w:r>
      <w:r w:rsidR="00D72443">
        <w:rPr>
          <w:rFonts w:ascii="Arial" w:hAnsi="Arial" w:cs="Arial"/>
          <w:color w:val="000000" w:themeColor="text1"/>
          <w:sz w:val="24"/>
          <w:szCs w:val="24"/>
        </w:rPr>
        <w:t>,</w:t>
      </w:r>
      <w:r w:rsidR="005E446F">
        <w:rPr>
          <w:rFonts w:ascii="Arial" w:hAnsi="Arial" w:cs="Arial"/>
          <w:color w:val="000000" w:themeColor="text1"/>
          <w:sz w:val="24"/>
          <w:szCs w:val="24"/>
        </w:rPr>
        <w:t xml:space="preserve"> selling those shares to Serve. In terms of </w:t>
      </w:r>
      <w:r w:rsidR="008B0713">
        <w:rPr>
          <w:rFonts w:ascii="Arial" w:hAnsi="Arial" w:cs="Arial"/>
          <w:color w:val="000000" w:themeColor="text1"/>
          <w:sz w:val="24"/>
          <w:szCs w:val="24"/>
        </w:rPr>
        <w:t xml:space="preserve">clause 22 of </w:t>
      </w:r>
      <w:r w:rsidR="005E446F">
        <w:rPr>
          <w:rFonts w:ascii="Arial" w:hAnsi="Arial" w:cs="Arial"/>
          <w:color w:val="000000" w:themeColor="text1"/>
          <w:sz w:val="24"/>
          <w:szCs w:val="24"/>
        </w:rPr>
        <w:t xml:space="preserve">the sale of shares agreement, it was conditional upon the Minister providing his written consent for the transfer of shares, thus sold </w:t>
      </w:r>
      <w:r w:rsidR="00D312F8">
        <w:rPr>
          <w:rFonts w:ascii="Arial" w:hAnsi="Arial" w:cs="Arial"/>
          <w:color w:val="000000" w:themeColor="text1"/>
          <w:sz w:val="24"/>
          <w:szCs w:val="24"/>
        </w:rPr>
        <w:t>to</w:t>
      </w:r>
      <w:r w:rsidR="005E446F">
        <w:rPr>
          <w:rFonts w:ascii="Arial" w:hAnsi="Arial" w:cs="Arial"/>
          <w:color w:val="000000" w:themeColor="text1"/>
          <w:sz w:val="24"/>
          <w:szCs w:val="24"/>
        </w:rPr>
        <w:t xml:space="preserve"> Serve</w:t>
      </w:r>
      <w:r w:rsidR="008B0713">
        <w:rPr>
          <w:rFonts w:ascii="Arial" w:hAnsi="Arial" w:cs="Arial"/>
          <w:color w:val="000000" w:themeColor="text1"/>
          <w:sz w:val="24"/>
          <w:szCs w:val="24"/>
        </w:rPr>
        <w:t>,</w:t>
      </w:r>
      <w:r w:rsidR="005E446F">
        <w:rPr>
          <w:rFonts w:ascii="Arial" w:hAnsi="Arial" w:cs="Arial"/>
          <w:color w:val="000000" w:themeColor="text1"/>
          <w:sz w:val="24"/>
          <w:szCs w:val="24"/>
        </w:rPr>
        <w:t xml:space="preserve"> by 31 November 2018. That date was </w:t>
      </w:r>
      <w:r w:rsidR="00D312F8">
        <w:rPr>
          <w:rFonts w:ascii="Arial" w:hAnsi="Arial" w:cs="Arial"/>
          <w:color w:val="000000" w:themeColor="text1"/>
          <w:sz w:val="24"/>
          <w:szCs w:val="24"/>
        </w:rPr>
        <w:t xml:space="preserve">subsequently </w:t>
      </w:r>
      <w:r w:rsidR="005E446F">
        <w:rPr>
          <w:rFonts w:ascii="Arial" w:hAnsi="Arial" w:cs="Arial"/>
          <w:color w:val="000000" w:themeColor="text1"/>
          <w:sz w:val="24"/>
          <w:szCs w:val="24"/>
        </w:rPr>
        <w:t>extended to 31 December 2021.</w:t>
      </w:r>
      <w:r w:rsidR="00B40DF4">
        <w:rPr>
          <w:rFonts w:ascii="Arial" w:hAnsi="Arial" w:cs="Arial"/>
          <w:color w:val="000000" w:themeColor="text1"/>
          <w:sz w:val="24"/>
          <w:szCs w:val="24"/>
        </w:rPr>
        <w:t xml:space="preserve"> This </w:t>
      </w:r>
      <w:r w:rsidR="008B0713">
        <w:rPr>
          <w:rFonts w:ascii="Arial" w:hAnsi="Arial" w:cs="Arial"/>
          <w:color w:val="000000" w:themeColor="text1"/>
          <w:sz w:val="24"/>
          <w:szCs w:val="24"/>
        </w:rPr>
        <w:t>condition requiring the Minister’s consent to the sale of shares</w:t>
      </w:r>
      <w:r w:rsidR="00B40DF4">
        <w:rPr>
          <w:rFonts w:ascii="Arial" w:hAnsi="Arial" w:cs="Arial"/>
          <w:color w:val="000000" w:themeColor="text1"/>
          <w:sz w:val="24"/>
          <w:szCs w:val="24"/>
        </w:rPr>
        <w:t xml:space="preserve"> in terms of clause 22 is required </w:t>
      </w:r>
      <w:r w:rsidR="00472884">
        <w:rPr>
          <w:rFonts w:ascii="Arial" w:hAnsi="Arial" w:cs="Arial"/>
          <w:color w:val="000000" w:themeColor="text1"/>
          <w:sz w:val="24"/>
          <w:szCs w:val="24"/>
        </w:rPr>
        <w:t>by</w:t>
      </w:r>
      <w:r w:rsidR="00B40DF4">
        <w:rPr>
          <w:rFonts w:ascii="Arial" w:hAnsi="Arial" w:cs="Arial"/>
          <w:color w:val="000000" w:themeColor="text1"/>
          <w:sz w:val="24"/>
          <w:szCs w:val="24"/>
        </w:rPr>
        <w:t xml:space="preserve"> </w:t>
      </w:r>
      <w:r w:rsidR="00AC4EF1">
        <w:rPr>
          <w:rFonts w:ascii="Arial" w:hAnsi="Arial" w:cs="Arial"/>
          <w:color w:val="000000" w:themeColor="text1"/>
          <w:sz w:val="24"/>
          <w:szCs w:val="24"/>
        </w:rPr>
        <w:t>article</w:t>
      </w:r>
      <w:r w:rsidR="00B40DF4">
        <w:rPr>
          <w:rFonts w:ascii="Arial" w:hAnsi="Arial" w:cs="Arial"/>
          <w:color w:val="000000" w:themeColor="text1"/>
          <w:sz w:val="24"/>
          <w:szCs w:val="24"/>
        </w:rPr>
        <w:t xml:space="preserve"> 11.1 of the PLA. </w:t>
      </w:r>
      <w:r w:rsidR="00DF7EED">
        <w:rPr>
          <w:rFonts w:ascii="Arial" w:hAnsi="Arial" w:cs="Arial"/>
          <w:color w:val="000000" w:themeColor="text1"/>
          <w:sz w:val="24"/>
          <w:szCs w:val="24"/>
        </w:rPr>
        <w:t xml:space="preserve">In terms of </w:t>
      </w:r>
      <w:r w:rsidR="00AC4EF1">
        <w:rPr>
          <w:rFonts w:ascii="Arial" w:hAnsi="Arial" w:cs="Arial"/>
          <w:color w:val="000000" w:themeColor="text1"/>
          <w:sz w:val="24"/>
          <w:szCs w:val="24"/>
        </w:rPr>
        <w:t>article</w:t>
      </w:r>
      <w:r w:rsidR="00DF7EED">
        <w:rPr>
          <w:rFonts w:ascii="Arial" w:hAnsi="Arial" w:cs="Arial"/>
          <w:color w:val="000000" w:themeColor="text1"/>
          <w:sz w:val="24"/>
          <w:szCs w:val="24"/>
        </w:rPr>
        <w:t xml:space="preserve"> 11.1 of the PLA, no shares in Agri-Pro can be </w:t>
      </w:r>
      <w:r w:rsidR="00DF7EED">
        <w:rPr>
          <w:rFonts w:ascii="Arial" w:hAnsi="Arial" w:cs="Arial"/>
          <w:color w:val="000000" w:themeColor="text1"/>
          <w:sz w:val="24"/>
          <w:szCs w:val="24"/>
        </w:rPr>
        <w:lastRenderedPageBreak/>
        <w:t>transferred without the written consent of the appellant (the Minister of Agriculture, Water and Forestry – the Minister) and NDC.</w:t>
      </w:r>
    </w:p>
    <w:p w14:paraId="12428624" w14:textId="77777777" w:rsidR="005E446F" w:rsidRDefault="005E446F" w:rsidP="000B2CB4">
      <w:pPr>
        <w:pStyle w:val="ListParagraph"/>
        <w:spacing w:after="0" w:line="480" w:lineRule="auto"/>
        <w:rPr>
          <w:rFonts w:ascii="Arial" w:hAnsi="Arial" w:cs="Arial"/>
          <w:color w:val="000000" w:themeColor="text1"/>
          <w:sz w:val="24"/>
          <w:szCs w:val="24"/>
        </w:rPr>
      </w:pPr>
    </w:p>
    <w:p w14:paraId="1D20CCED" w14:textId="433D3AC6" w:rsidR="005E446F" w:rsidRDefault="00976E50" w:rsidP="00976E50">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[6]</w:t>
      </w:r>
      <w:r>
        <w:rPr>
          <w:rFonts w:ascii="Arial" w:hAnsi="Arial" w:cs="Arial"/>
          <w:color w:val="000000" w:themeColor="text1"/>
          <w:sz w:val="24"/>
          <w:szCs w:val="24"/>
        </w:rPr>
        <w:tab/>
      </w:r>
      <w:r w:rsidR="005E446F">
        <w:rPr>
          <w:rFonts w:ascii="Arial" w:hAnsi="Arial" w:cs="Arial"/>
          <w:color w:val="000000" w:themeColor="text1"/>
          <w:sz w:val="24"/>
          <w:szCs w:val="24"/>
        </w:rPr>
        <w:t xml:space="preserve">Serve endeavoured </w:t>
      </w:r>
      <w:r w:rsidR="00B40DF4">
        <w:rPr>
          <w:rFonts w:ascii="Arial" w:hAnsi="Arial" w:cs="Arial"/>
          <w:color w:val="000000" w:themeColor="text1"/>
          <w:sz w:val="24"/>
          <w:szCs w:val="24"/>
        </w:rPr>
        <w:t>over a protracted period</w:t>
      </w:r>
      <w:r w:rsidR="00CF630F">
        <w:rPr>
          <w:rFonts w:ascii="Arial" w:hAnsi="Arial" w:cs="Arial"/>
          <w:color w:val="000000" w:themeColor="text1"/>
          <w:sz w:val="24"/>
          <w:szCs w:val="24"/>
        </w:rPr>
        <w:t xml:space="preserve"> </w:t>
      </w:r>
      <w:r w:rsidR="005E446F">
        <w:rPr>
          <w:rFonts w:ascii="Arial" w:hAnsi="Arial" w:cs="Arial"/>
          <w:color w:val="000000" w:themeColor="text1"/>
          <w:sz w:val="24"/>
          <w:szCs w:val="24"/>
        </w:rPr>
        <w:t xml:space="preserve">without success to secure the Minister’s and NDC’s written consent to the </w:t>
      </w:r>
      <w:r w:rsidR="00D312F8">
        <w:rPr>
          <w:rFonts w:ascii="Arial" w:hAnsi="Arial" w:cs="Arial"/>
          <w:color w:val="000000" w:themeColor="text1"/>
          <w:sz w:val="24"/>
          <w:szCs w:val="24"/>
        </w:rPr>
        <w:t>sale of shares</w:t>
      </w:r>
      <w:r w:rsidR="005E446F">
        <w:rPr>
          <w:rFonts w:ascii="Arial" w:hAnsi="Arial" w:cs="Arial"/>
          <w:color w:val="000000" w:themeColor="text1"/>
          <w:sz w:val="24"/>
          <w:szCs w:val="24"/>
        </w:rPr>
        <w:t xml:space="preserve">. As a consequence, Serve brought an application to the High Court, seeking an order </w:t>
      </w:r>
      <w:r w:rsidR="00472884">
        <w:rPr>
          <w:rFonts w:ascii="Arial" w:hAnsi="Arial" w:cs="Arial"/>
          <w:color w:val="000000" w:themeColor="text1"/>
          <w:sz w:val="24"/>
          <w:szCs w:val="24"/>
        </w:rPr>
        <w:t xml:space="preserve">declaring </w:t>
      </w:r>
      <w:r w:rsidR="005E446F">
        <w:rPr>
          <w:rFonts w:ascii="Arial" w:hAnsi="Arial" w:cs="Arial"/>
          <w:color w:val="000000" w:themeColor="text1"/>
          <w:sz w:val="24"/>
          <w:szCs w:val="24"/>
        </w:rPr>
        <w:t>that the Minister and NDC were deemed to have consented to the sale of shares</w:t>
      </w:r>
      <w:r w:rsidR="005C2037">
        <w:rPr>
          <w:rFonts w:ascii="Arial" w:hAnsi="Arial" w:cs="Arial"/>
          <w:color w:val="000000" w:themeColor="text1"/>
          <w:sz w:val="24"/>
          <w:szCs w:val="24"/>
        </w:rPr>
        <w:t>,</w:t>
      </w:r>
      <w:r w:rsidR="005E446F">
        <w:rPr>
          <w:rFonts w:ascii="Arial" w:hAnsi="Arial" w:cs="Arial"/>
          <w:color w:val="000000" w:themeColor="text1"/>
          <w:sz w:val="24"/>
          <w:szCs w:val="24"/>
        </w:rPr>
        <w:t xml:space="preserve"> alternatively </w:t>
      </w:r>
      <w:r w:rsidR="00D312F8">
        <w:rPr>
          <w:rFonts w:ascii="Arial" w:hAnsi="Arial" w:cs="Arial"/>
          <w:color w:val="000000" w:themeColor="text1"/>
          <w:sz w:val="24"/>
          <w:szCs w:val="24"/>
        </w:rPr>
        <w:t xml:space="preserve">for an </w:t>
      </w:r>
      <w:r w:rsidR="005E446F">
        <w:rPr>
          <w:rFonts w:ascii="Arial" w:hAnsi="Arial" w:cs="Arial"/>
          <w:color w:val="000000" w:themeColor="text1"/>
          <w:sz w:val="24"/>
          <w:szCs w:val="24"/>
        </w:rPr>
        <w:t xml:space="preserve">order </w:t>
      </w:r>
      <w:r w:rsidR="00D312F8">
        <w:rPr>
          <w:rFonts w:ascii="Arial" w:hAnsi="Arial" w:cs="Arial"/>
          <w:color w:val="000000" w:themeColor="text1"/>
          <w:sz w:val="24"/>
          <w:szCs w:val="24"/>
        </w:rPr>
        <w:t xml:space="preserve">to direct </w:t>
      </w:r>
      <w:r w:rsidR="005E446F">
        <w:rPr>
          <w:rFonts w:ascii="Arial" w:hAnsi="Arial" w:cs="Arial"/>
          <w:color w:val="000000" w:themeColor="text1"/>
          <w:sz w:val="24"/>
          <w:szCs w:val="24"/>
        </w:rPr>
        <w:t xml:space="preserve">them to </w:t>
      </w:r>
      <w:r w:rsidR="00DF7EED">
        <w:rPr>
          <w:rFonts w:ascii="Arial" w:hAnsi="Arial" w:cs="Arial"/>
          <w:color w:val="000000" w:themeColor="text1"/>
          <w:sz w:val="24"/>
          <w:szCs w:val="24"/>
        </w:rPr>
        <w:t>consent to the sale</w:t>
      </w:r>
      <w:r w:rsidR="005C2037">
        <w:rPr>
          <w:rFonts w:ascii="Arial" w:hAnsi="Arial" w:cs="Arial"/>
          <w:color w:val="000000" w:themeColor="text1"/>
          <w:sz w:val="24"/>
          <w:szCs w:val="24"/>
        </w:rPr>
        <w:t>,</w:t>
      </w:r>
      <w:r w:rsidR="00DF7EED">
        <w:rPr>
          <w:rFonts w:ascii="Arial" w:hAnsi="Arial" w:cs="Arial"/>
          <w:color w:val="000000" w:themeColor="text1"/>
          <w:sz w:val="24"/>
          <w:szCs w:val="24"/>
        </w:rPr>
        <w:t xml:space="preserve"> or in the </w:t>
      </w:r>
      <w:r w:rsidR="00B16332">
        <w:rPr>
          <w:rFonts w:ascii="Arial" w:hAnsi="Arial" w:cs="Arial"/>
          <w:color w:val="000000" w:themeColor="text1"/>
          <w:sz w:val="24"/>
          <w:szCs w:val="24"/>
        </w:rPr>
        <w:t>further</w:t>
      </w:r>
      <w:r w:rsidR="00DF7EED">
        <w:rPr>
          <w:rFonts w:ascii="Arial" w:hAnsi="Arial" w:cs="Arial"/>
          <w:color w:val="000000" w:themeColor="text1"/>
          <w:sz w:val="24"/>
          <w:szCs w:val="24"/>
        </w:rPr>
        <w:t xml:space="preserve"> alternative to </w:t>
      </w:r>
      <w:r w:rsidR="008B0713">
        <w:rPr>
          <w:rFonts w:ascii="Arial" w:hAnsi="Arial" w:cs="Arial"/>
          <w:color w:val="000000" w:themeColor="text1"/>
          <w:sz w:val="24"/>
          <w:szCs w:val="24"/>
        </w:rPr>
        <w:t>make a decision to consent or not</w:t>
      </w:r>
      <w:r w:rsidR="005E446F">
        <w:rPr>
          <w:rFonts w:ascii="Arial" w:hAnsi="Arial" w:cs="Arial"/>
          <w:color w:val="000000" w:themeColor="text1"/>
          <w:sz w:val="24"/>
          <w:szCs w:val="24"/>
        </w:rPr>
        <w:t xml:space="preserve"> within seven days.</w:t>
      </w:r>
    </w:p>
    <w:p w14:paraId="0E625C45" w14:textId="77777777" w:rsidR="005E446F" w:rsidRDefault="005E446F" w:rsidP="000B2CB4">
      <w:pPr>
        <w:pStyle w:val="ListParagraph"/>
        <w:spacing w:after="0" w:line="480" w:lineRule="auto"/>
        <w:rPr>
          <w:rFonts w:ascii="Arial" w:hAnsi="Arial" w:cs="Arial"/>
          <w:color w:val="000000" w:themeColor="text1"/>
          <w:sz w:val="24"/>
          <w:szCs w:val="24"/>
        </w:rPr>
      </w:pPr>
    </w:p>
    <w:p w14:paraId="6E7A7112" w14:textId="45C8CBBF" w:rsidR="00B40DF4" w:rsidRDefault="00976E50" w:rsidP="00976E50">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[7]</w:t>
      </w:r>
      <w:r>
        <w:rPr>
          <w:rFonts w:ascii="Arial" w:hAnsi="Arial" w:cs="Arial"/>
          <w:color w:val="000000" w:themeColor="text1"/>
          <w:sz w:val="24"/>
          <w:szCs w:val="24"/>
        </w:rPr>
        <w:tab/>
      </w:r>
      <w:r w:rsidR="005E446F">
        <w:rPr>
          <w:rFonts w:ascii="Arial" w:hAnsi="Arial" w:cs="Arial"/>
          <w:color w:val="000000" w:themeColor="text1"/>
          <w:sz w:val="24"/>
          <w:szCs w:val="24"/>
        </w:rPr>
        <w:t xml:space="preserve">The Minister opposed the application. </w:t>
      </w:r>
      <w:r w:rsidR="006F7EFD">
        <w:rPr>
          <w:rFonts w:ascii="Arial" w:hAnsi="Arial" w:cs="Arial"/>
          <w:color w:val="000000" w:themeColor="text1"/>
          <w:sz w:val="24"/>
          <w:szCs w:val="24"/>
        </w:rPr>
        <w:t xml:space="preserve">The approach adopted by the Minister was that he had made no decision because he was not a party to the sale of shares agreement which was not binding upon him. The Minister declined to answer factual allegations concerning the background </w:t>
      </w:r>
      <w:r w:rsidR="008B0713">
        <w:rPr>
          <w:rFonts w:ascii="Arial" w:hAnsi="Arial" w:cs="Arial"/>
          <w:color w:val="000000" w:themeColor="text1"/>
          <w:sz w:val="24"/>
          <w:szCs w:val="24"/>
        </w:rPr>
        <w:t>leading to</w:t>
      </w:r>
      <w:r w:rsidR="006F7EFD">
        <w:rPr>
          <w:rFonts w:ascii="Arial" w:hAnsi="Arial" w:cs="Arial"/>
          <w:color w:val="000000" w:themeColor="text1"/>
          <w:sz w:val="24"/>
          <w:szCs w:val="24"/>
        </w:rPr>
        <w:t xml:space="preserve"> the sale of shares agreement as the Government was not party to it.</w:t>
      </w:r>
      <w:r w:rsidR="006F7EFD" w:rsidRPr="006F7EFD">
        <w:rPr>
          <w:rFonts w:ascii="Arial" w:hAnsi="Arial" w:cs="Arial"/>
          <w:color w:val="000000" w:themeColor="text1"/>
          <w:sz w:val="24"/>
          <w:szCs w:val="24"/>
        </w:rPr>
        <w:t xml:space="preserve"> </w:t>
      </w:r>
      <w:r w:rsidR="006F7EFD">
        <w:rPr>
          <w:rFonts w:ascii="Arial" w:hAnsi="Arial" w:cs="Arial"/>
          <w:color w:val="000000" w:themeColor="text1"/>
          <w:sz w:val="24"/>
          <w:szCs w:val="24"/>
        </w:rPr>
        <w:t xml:space="preserve">The Minister however </w:t>
      </w:r>
      <w:r w:rsidR="00D312F8">
        <w:rPr>
          <w:rFonts w:ascii="Arial" w:hAnsi="Arial" w:cs="Arial"/>
          <w:color w:val="000000" w:themeColor="text1"/>
          <w:sz w:val="24"/>
          <w:szCs w:val="24"/>
        </w:rPr>
        <w:t xml:space="preserve">also </w:t>
      </w:r>
      <w:r w:rsidR="006F7EFD">
        <w:rPr>
          <w:rFonts w:ascii="Arial" w:hAnsi="Arial" w:cs="Arial"/>
          <w:color w:val="000000" w:themeColor="text1"/>
          <w:sz w:val="24"/>
          <w:szCs w:val="24"/>
        </w:rPr>
        <w:t>opposed the relief on the grounds that a lease agreement of the premises</w:t>
      </w:r>
      <w:r w:rsidR="008B0713">
        <w:rPr>
          <w:rFonts w:ascii="Arial" w:hAnsi="Arial" w:cs="Arial"/>
          <w:color w:val="000000" w:themeColor="text1"/>
          <w:sz w:val="24"/>
          <w:szCs w:val="24"/>
        </w:rPr>
        <w:t xml:space="preserve"> to </w:t>
      </w:r>
      <w:r w:rsidR="00997828">
        <w:rPr>
          <w:rFonts w:ascii="Arial" w:hAnsi="Arial" w:cs="Arial"/>
          <w:color w:val="000000" w:themeColor="text1"/>
          <w:sz w:val="24"/>
          <w:szCs w:val="24"/>
        </w:rPr>
        <w:t>Agri-Pro</w:t>
      </w:r>
      <w:r w:rsidR="00DF7EED">
        <w:rPr>
          <w:rFonts w:ascii="Arial" w:hAnsi="Arial" w:cs="Arial"/>
          <w:color w:val="000000" w:themeColor="text1"/>
          <w:sz w:val="24"/>
          <w:szCs w:val="24"/>
        </w:rPr>
        <w:t>,</w:t>
      </w:r>
      <w:r w:rsidR="008B0713">
        <w:rPr>
          <w:rFonts w:ascii="Arial" w:hAnsi="Arial" w:cs="Arial"/>
          <w:color w:val="000000" w:themeColor="text1"/>
          <w:sz w:val="24"/>
          <w:szCs w:val="24"/>
        </w:rPr>
        <w:t xml:space="preserve"> as </w:t>
      </w:r>
      <w:r w:rsidR="00DF7EED">
        <w:rPr>
          <w:rFonts w:ascii="Arial" w:hAnsi="Arial" w:cs="Arial"/>
          <w:color w:val="000000" w:themeColor="text1"/>
          <w:sz w:val="24"/>
          <w:szCs w:val="24"/>
        </w:rPr>
        <w:t xml:space="preserve">it would be </w:t>
      </w:r>
      <w:r w:rsidR="008B0713">
        <w:rPr>
          <w:rFonts w:ascii="Arial" w:hAnsi="Arial" w:cs="Arial"/>
          <w:color w:val="000000" w:themeColor="text1"/>
          <w:sz w:val="24"/>
          <w:szCs w:val="24"/>
        </w:rPr>
        <w:t>constituted under the sale of shares agreement</w:t>
      </w:r>
      <w:r w:rsidR="00DF7EED">
        <w:rPr>
          <w:rFonts w:ascii="Arial" w:hAnsi="Arial" w:cs="Arial"/>
          <w:color w:val="000000" w:themeColor="text1"/>
          <w:sz w:val="24"/>
          <w:szCs w:val="24"/>
        </w:rPr>
        <w:t>,</w:t>
      </w:r>
      <w:r w:rsidR="006F7EFD">
        <w:rPr>
          <w:rFonts w:ascii="Arial" w:hAnsi="Arial" w:cs="Arial"/>
          <w:color w:val="000000" w:themeColor="text1"/>
          <w:sz w:val="24"/>
          <w:szCs w:val="24"/>
        </w:rPr>
        <w:t xml:space="preserve"> would be contrary to the provisions of s 17B of the Communal Land Reform Act 5 of 2002 (the Act)</w:t>
      </w:r>
      <w:r w:rsidR="008B0713">
        <w:rPr>
          <w:rFonts w:ascii="Arial" w:hAnsi="Arial" w:cs="Arial"/>
          <w:color w:val="000000" w:themeColor="text1"/>
          <w:sz w:val="24"/>
          <w:szCs w:val="24"/>
        </w:rPr>
        <w:t xml:space="preserve"> by reason of the shareholding in Serve</w:t>
      </w:r>
      <w:r w:rsidR="006F7EFD">
        <w:rPr>
          <w:rFonts w:ascii="Arial" w:hAnsi="Arial" w:cs="Arial"/>
          <w:color w:val="000000" w:themeColor="text1"/>
          <w:sz w:val="24"/>
          <w:szCs w:val="24"/>
        </w:rPr>
        <w:t xml:space="preserve">. </w:t>
      </w:r>
    </w:p>
    <w:p w14:paraId="6A50AD9B" w14:textId="77777777" w:rsidR="00B40DF4" w:rsidRDefault="00B40DF4" w:rsidP="000B2CB4">
      <w:pPr>
        <w:pStyle w:val="ListParagraph"/>
        <w:spacing w:after="0" w:line="480" w:lineRule="auto"/>
        <w:rPr>
          <w:rFonts w:ascii="Arial" w:hAnsi="Arial" w:cs="Arial"/>
          <w:color w:val="000000" w:themeColor="text1"/>
          <w:sz w:val="24"/>
          <w:szCs w:val="24"/>
        </w:rPr>
      </w:pPr>
    </w:p>
    <w:p w14:paraId="34210D11" w14:textId="1F096087" w:rsidR="005E446F" w:rsidRPr="006F7EFD" w:rsidRDefault="00976E50" w:rsidP="00976E50">
      <w:pPr>
        <w:pStyle w:val="NoSpacing"/>
        <w:spacing w:line="480" w:lineRule="auto"/>
        <w:jc w:val="both"/>
        <w:rPr>
          <w:rFonts w:ascii="Arial" w:hAnsi="Arial" w:cs="Arial"/>
          <w:color w:val="000000" w:themeColor="text1"/>
          <w:sz w:val="24"/>
          <w:szCs w:val="24"/>
        </w:rPr>
      </w:pPr>
      <w:r w:rsidRPr="006F7EFD">
        <w:rPr>
          <w:rFonts w:ascii="Arial" w:hAnsi="Arial" w:cs="Arial"/>
          <w:color w:val="000000" w:themeColor="text1"/>
          <w:sz w:val="24"/>
          <w:szCs w:val="24"/>
        </w:rPr>
        <w:t>[8]</w:t>
      </w:r>
      <w:r w:rsidRPr="006F7EFD">
        <w:rPr>
          <w:rFonts w:ascii="Arial" w:hAnsi="Arial" w:cs="Arial"/>
          <w:color w:val="000000" w:themeColor="text1"/>
          <w:sz w:val="24"/>
          <w:szCs w:val="24"/>
        </w:rPr>
        <w:tab/>
      </w:r>
      <w:r w:rsidR="006F7EFD">
        <w:rPr>
          <w:rFonts w:ascii="Arial" w:hAnsi="Arial" w:cs="Arial"/>
          <w:color w:val="000000" w:themeColor="text1"/>
          <w:sz w:val="24"/>
          <w:szCs w:val="24"/>
        </w:rPr>
        <w:t>It is not disputed that the premises</w:t>
      </w:r>
      <w:r w:rsidR="00B40DF4">
        <w:rPr>
          <w:rFonts w:ascii="Arial" w:hAnsi="Arial" w:cs="Arial"/>
          <w:color w:val="000000" w:themeColor="text1"/>
          <w:sz w:val="24"/>
          <w:szCs w:val="24"/>
        </w:rPr>
        <w:t xml:space="preserve"> upon which the project is conducted</w:t>
      </w:r>
      <w:r w:rsidR="006F7EFD">
        <w:rPr>
          <w:rFonts w:ascii="Arial" w:hAnsi="Arial" w:cs="Arial"/>
          <w:color w:val="000000" w:themeColor="text1"/>
          <w:sz w:val="24"/>
          <w:szCs w:val="24"/>
        </w:rPr>
        <w:t xml:space="preserve"> is </w:t>
      </w:r>
      <w:r w:rsidR="00D312F8">
        <w:rPr>
          <w:rFonts w:ascii="Arial" w:hAnsi="Arial" w:cs="Arial"/>
          <w:color w:val="000000" w:themeColor="text1"/>
          <w:sz w:val="24"/>
          <w:szCs w:val="24"/>
        </w:rPr>
        <w:t>in a communal area</w:t>
      </w:r>
      <w:r w:rsidR="006F7EFD">
        <w:rPr>
          <w:rFonts w:ascii="Arial" w:hAnsi="Arial" w:cs="Arial"/>
          <w:color w:val="000000" w:themeColor="text1"/>
          <w:sz w:val="24"/>
          <w:szCs w:val="24"/>
        </w:rPr>
        <w:t xml:space="preserve">. The Minister pointed out that although registered in Namibia, Serve’s sole shareholder is a South African company which in turn is owned by another corporate entity registered in the Grand Cayman Islands and managed by a Swiss </w:t>
      </w:r>
      <w:r w:rsidR="00472884">
        <w:rPr>
          <w:rFonts w:ascii="Arial" w:hAnsi="Arial" w:cs="Arial"/>
          <w:color w:val="000000" w:themeColor="text1"/>
          <w:sz w:val="24"/>
          <w:szCs w:val="24"/>
        </w:rPr>
        <w:t>a</w:t>
      </w:r>
      <w:r w:rsidR="006F7EFD">
        <w:rPr>
          <w:rFonts w:ascii="Arial" w:hAnsi="Arial" w:cs="Arial"/>
          <w:color w:val="000000" w:themeColor="text1"/>
          <w:sz w:val="24"/>
          <w:szCs w:val="24"/>
        </w:rPr>
        <w:t>sset manager known as Inoks Capital SA.</w:t>
      </w:r>
    </w:p>
    <w:p w14:paraId="72FF2562" w14:textId="77777777" w:rsidR="005E446F" w:rsidRDefault="005E446F" w:rsidP="000B2CB4">
      <w:pPr>
        <w:pStyle w:val="ListParagraph"/>
        <w:spacing w:after="0" w:line="480" w:lineRule="auto"/>
        <w:rPr>
          <w:rFonts w:ascii="Arial" w:hAnsi="Arial" w:cs="Arial"/>
          <w:color w:val="000000" w:themeColor="text1"/>
          <w:sz w:val="24"/>
          <w:szCs w:val="24"/>
        </w:rPr>
      </w:pPr>
    </w:p>
    <w:p w14:paraId="414A0322" w14:textId="518CBBB1" w:rsidR="005E446F" w:rsidRDefault="00976E50" w:rsidP="00976E50">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[9]</w:t>
      </w:r>
      <w:r>
        <w:rPr>
          <w:rFonts w:ascii="Arial" w:hAnsi="Arial" w:cs="Arial"/>
          <w:color w:val="000000" w:themeColor="text1"/>
          <w:sz w:val="24"/>
          <w:szCs w:val="24"/>
        </w:rPr>
        <w:tab/>
      </w:r>
      <w:r w:rsidR="006F7EFD">
        <w:rPr>
          <w:rFonts w:ascii="Arial" w:hAnsi="Arial" w:cs="Arial"/>
          <w:color w:val="000000" w:themeColor="text1"/>
          <w:sz w:val="24"/>
          <w:szCs w:val="24"/>
        </w:rPr>
        <w:t xml:space="preserve">Section 17B of the Act requires that a foreign national seeking to acquire a customary land right or </w:t>
      </w:r>
      <w:r w:rsidR="00DF7EED">
        <w:rPr>
          <w:rFonts w:ascii="Arial" w:hAnsi="Arial" w:cs="Arial"/>
          <w:color w:val="000000" w:themeColor="text1"/>
          <w:sz w:val="24"/>
          <w:szCs w:val="24"/>
        </w:rPr>
        <w:t xml:space="preserve">a </w:t>
      </w:r>
      <w:r w:rsidR="006F7EFD">
        <w:rPr>
          <w:rFonts w:ascii="Arial" w:hAnsi="Arial" w:cs="Arial"/>
          <w:color w:val="000000" w:themeColor="text1"/>
          <w:sz w:val="24"/>
          <w:szCs w:val="24"/>
        </w:rPr>
        <w:t>lease-hold</w:t>
      </w:r>
      <w:r w:rsidR="00DF7EED">
        <w:rPr>
          <w:rFonts w:ascii="Arial" w:hAnsi="Arial" w:cs="Arial"/>
          <w:color w:val="000000" w:themeColor="text1"/>
          <w:sz w:val="24"/>
          <w:szCs w:val="24"/>
        </w:rPr>
        <w:t xml:space="preserve"> of land in a communal area</w:t>
      </w:r>
      <w:r w:rsidR="006F7EFD">
        <w:rPr>
          <w:rFonts w:ascii="Arial" w:hAnsi="Arial" w:cs="Arial"/>
          <w:color w:val="000000" w:themeColor="text1"/>
          <w:sz w:val="24"/>
          <w:szCs w:val="24"/>
        </w:rPr>
        <w:t xml:space="preserve"> must first obtain </w:t>
      </w:r>
      <w:r w:rsidR="00472884">
        <w:rPr>
          <w:rFonts w:ascii="Arial" w:hAnsi="Arial" w:cs="Arial"/>
          <w:color w:val="000000" w:themeColor="text1"/>
          <w:sz w:val="24"/>
          <w:szCs w:val="24"/>
        </w:rPr>
        <w:t>the</w:t>
      </w:r>
      <w:r w:rsidR="006F7EFD">
        <w:rPr>
          <w:rFonts w:ascii="Arial" w:hAnsi="Arial" w:cs="Arial"/>
          <w:color w:val="000000" w:themeColor="text1"/>
          <w:sz w:val="24"/>
          <w:szCs w:val="24"/>
        </w:rPr>
        <w:t xml:space="preserve"> written authorisation of the Minister before applying for such rights. The Minister’s </w:t>
      </w:r>
      <w:r w:rsidR="00D312F8">
        <w:rPr>
          <w:rFonts w:ascii="Arial" w:hAnsi="Arial" w:cs="Arial"/>
          <w:color w:val="000000" w:themeColor="text1"/>
          <w:sz w:val="24"/>
          <w:szCs w:val="24"/>
        </w:rPr>
        <w:t>position</w:t>
      </w:r>
      <w:r w:rsidR="006F7EFD">
        <w:rPr>
          <w:rFonts w:ascii="Arial" w:hAnsi="Arial" w:cs="Arial"/>
          <w:color w:val="000000" w:themeColor="text1"/>
          <w:sz w:val="24"/>
          <w:szCs w:val="24"/>
        </w:rPr>
        <w:t xml:space="preserve"> is that the relief sought is not competent as it presupposes the Minister’s decision and directs that he makes such a decision</w:t>
      </w:r>
      <w:r w:rsidR="00B40DF4">
        <w:rPr>
          <w:rFonts w:ascii="Arial" w:hAnsi="Arial" w:cs="Arial"/>
          <w:color w:val="000000" w:themeColor="text1"/>
          <w:sz w:val="24"/>
          <w:szCs w:val="24"/>
        </w:rPr>
        <w:t xml:space="preserve">. He </w:t>
      </w:r>
      <w:r w:rsidR="008B0713">
        <w:rPr>
          <w:rFonts w:ascii="Arial" w:hAnsi="Arial" w:cs="Arial"/>
          <w:color w:val="000000" w:themeColor="text1"/>
          <w:sz w:val="24"/>
          <w:szCs w:val="24"/>
        </w:rPr>
        <w:t xml:space="preserve">further </w:t>
      </w:r>
      <w:r w:rsidR="00B40DF4">
        <w:rPr>
          <w:rFonts w:ascii="Arial" w:hAnsi="Arial" w:cs="Arial"/>
          <w:color w:val="000000" w:themeColor="text1"/>
          <w:sz w:val="24"/>
          <w:szCs w:val="24"/>
        </w:rPr>
        <w:t>states</w:t>
      </w:r>
      <w:r w:rsidR="006F7EFD">
        <w:rPr>
          <w:rFonts w:ascii="Arial" w:hAnsi="Arial" w:cs="Arial"/>
          <w:color w:val="000000" w:themeColor="text1"/>
          <w:sz w:val="24"/>
          <w:szCs w:val="24"/>
        </w:rPr>
        <w:t xml:space="preserve"> that no decision ha</w:t>
      </w:r>
      <w:r w:rsidR="00472884">
        <w:rPr>
          <w:rFonts w:ascii="Arial" w:hAnsi="Arial" w:cs="Arial"/>
          <w:color w:val="000000" w:themeColor="text1"/>
          <w:sz w:val="24"/>
          <w:szCs w:val="24"/>
        </w:rPr>
        <w:t>d</w:t>
      </w:r>
      <w:r w:rsidR="006F7EFD">
        <w:rPr>
          <w:rFonts w:ascii="Arial" w:hAnsi="Arial" w:cs="Arial"/>
          <w:color w:val="000000" w:themeColor="text1"/>
          <w:sz w:val="24"/>
          <w:szCs w:val="24"/>
        </w:rPr>
        <w:t xml:space="preserve"> been made or could be deemed to have been made. The Minister’s position is that Serve would </w:t>
      </w:r>
      <w:r w:rsidR="00A14F5C">
        <w:rPr>
          <w:rFonts w:ascii="Arial" w:hAnsi="Arial" w:cs="Arial"/>
          <w:color w:val="000000" w:themeColor="text1"/>
          <w:sz w:val="24"/>
          <w:szCs w:val="24"/>
        </w:rPr>
        <w:t xml:space="preserve">first need to comply with s 17B to have access to the land in question and that the </w:t>
      </w:r>
      <w:r w:rsidR="00DF7EED">
        <w:rPr>
          <w:rFonts w:ascii="Arial" w:hAnsi="Arial" w:cs="Arial"/>
          <w:color w:val="000000" w:themeColor="text1"/>
          <w:sz w:val="24"/>
          <w:szCs w:val="24"/>
        </w:rPr>
        <w:t xml:space="preserve">High Court </w:t>
      </w:r>
      <w:r w:rsidR="00A14F5C">
        <w:rPr>
          <w:rFonts w:ascii="Arial" w:hAnsi="Arial" w:cs="Arial"/>
          <w:color w:val="000000" w:themeColor="text1"/>
          <w:sz w:val="24"/>
          <w:szCs w:val="24"/>
        </w:rPr>
        <w:t xml:space="preserve">application </w:t>
      </w:r>
      <w:r w:rsidR="00DF7EED">
        <w:rPr>
          <w:rFonts w:ascii="Arial" w:hAnsi="Arial" w:cs="Arial"/>
          <w:color w:val="000000" w:themeColor="text1"/>
          <w:sz w:val="24"/>
          <w:szCs w:val="24"/>
        </w:rPr>
        <w:t>sought</w:t>
      </w:r>
      <w:r w:rsidR="00A14F5C">
        <w:rPr>
          <w:rFonts w:ascii="Arial" w:hAnsi="Arial" w:cs="Arial"/>
          <w:color w:val="000000" w:themeColor="text1"/>
          <w:sz w:val="24"/>
          <w:szCs w:val="24"/>
        </w:rPr>
        <w:t xml:space="preserve"> to circumvent </w:t>
      </w:r>
      <w:r w:rsidR="00472884">
        <w:rPr>
          <w:rFonts w:ascii="Arial" w:hAnsi="Arial" w:cs="Arial"/>
          <w:color w:val="000000" w:themeColor="text1"/>
          <w:sz w:val="24"/>
          <w:szCs w:val="24"/>
        </w:rPr>
        <w:t>s 17B</w:t>
      </w:r>
      <w:r w:rsidR="00A14F5C">
        <w:rPr>
          <w:rFonts w:ascii="Arial" w:hAnsi="Arial" w:cs="Arial"/>
          <w:color w:val="000000" w:themeColor="text1"/>
          <w:sz w:val="24"/>
          <w:szCs w:val="24"/>
        </w:rPr>
        <w:t xml:space="preserve"> of the Act </w:t>
      </w:r>
      <w:r w:rsidR="008B0713">
        <w:rPr>
          <w:rFonts w:ascii="Arial" w:hAnsi="Arial" w:cs="Arial"/>
          <w:color w:val="000000" w:themeColor="text1"/>
          <w:sz w:val="24"/>
          <w:szCs w:val="24"/>
        </w:rPr>
        <w:t>is</w:t>
      </w:r>
      <w:r w:rsidR="00A14F5C">
        <w:rPr>
          <w:rFonts w:ascii="Arial" w:hAnsi="Arial" w:cs="Arial"/>
          <w:color w:val="000000" w:themeColor="text1"/>
          <w:sz w:val="24"/>
          <w:szCs w:val="24"/>
        </w:rPr>
        <w:t xml:space="preserve"> ill-considered and should be dismissed for this reason alone.</w:t>
      </w:r>
    </w:p>
    <w:p w14:paraId="4F6703CC" w14:textId="77777777" w:rsidR="005E446F" w:rsidRDefault="005E446F" w:rsidP="000B2CB4">
      <w:pPr>
        <w:pStyle w:val="ListParagraph"/>
        <w:spacing w:after="0" w:line="480" w:lineRule="auto"/>
        <w:rPr>
          <w:rFonts w:ascii="Arial" w:hAnsi="Arial" w:cs="Arial"/>
          <w:color w:val="000000" w:themeColor="text1"/>
          <w:sz w:val="24"/>
          <w:szCs w:val="24"/>
        </w:rPr>
      </w:pPr>
    </w:p>
    <w:p w14:paraId="3E0977C9" w14:textId="13D445F6" w:rsidR="005E446F" w:rsidRDefault="00976E50" w:rsidP="00976E50">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[10]</w:t>
      </w:r>
      <w:r>
        <w:rPr>
          <w:rFonts w:ascii="Arial" w:hAnsi="Arial" w:cs="Arial"/>
          <w:color w:val="000000" w:themeColor="text1"/>
          <w:sz w:val="24"/>
          <w:szCs w:val="24"/>
        </w:rPr>
        <w:tab/>
      </w:r>
      <w:r w:rsidR="00A14F5C">
        <w:rPr>
          <w:rFonts w:ascii="Arial" w:hAnsi="Arial" w:cs="Arial"/>
          <w:color w:val="000000" w:themeColor="text1"/>
          <w:sz w:val="24"/>
          <w:szCs w:val="24"/>
        </w:rPr>
        <w:t>The</w:t>
      </w:r>
      <w:r w:rsidR="00DF7EED">
        <w:rPr>
          <w:rFonts w:ascii="Arial" w:hAnsi="Arial" w:cs="Arial"/>
          <w:color w:val="000000" w:themeColor="text1"/>
          <w:sz w:val="24"/>
          <w:szCs w:val="24"/>
        </w:rPr>
        <w:t xml:space="preserve"> current</w:t>
      </w:r>
      <w:r w:rsidR="00A14F5C">
        <w:rPr>
          <w:rFonts w:ascii="Arial" w:hAnsi="Arial" w:cs="Arial"/>
          <w:color w:val="000000" w:themeColor="text1"/>
          <w:sz w:val="24"/>
          <w:szCs w:val="24"/>
        </w:rPr>
        <w:t xml:space="preserve"> executor in the late Mr Mushimba’s estate and </w:t>
      </w:r>
      <w:r w:rsidR="00997828">
        <w:rPr>
          <w:rFonts w:ascii="Arial" w:hAnsi="Arial" w:cs="Arial"/>
          <w:color w:val="000000" w:themeColor="text1"/>
          <w:sz w:val="24"/>
          <w:szCs w:val="24"/>
        </w:rPr>
        <w:t>Agri-Pro</w:t>
      </w:r>
      <w:r w:rsidR="00A14F5C">
        <w:rPr>
          <w:rFonts w:ascii="Arial" w:hAnsi="Arial" w:cs="Arial"/>
          <w:color w:val="000000" w:themeColor="text1"/>
          <w:sz w:val="24"/>
          <w:szCs w:val="24"/>
        </w:rPr>
        <w:t xml:space="preserve"> initially opposed the application but failed to deliver their answering affidavits timeously</w:t>
      </w:r>
      <w:r w:rsidR="00D312F8">
        <w:rPr>
          <w:rFonts w:ascii="Arial" w:hAnsi="Arial" w:cs="Arial"/>
          <w:color w:val="000000" w:themeColor="text1"/>
          <w:sz w:val="24"/>
          <w:szCs w:val="24"/>
        </w:rPr>
        <w:t xml:space="preserve">. They </w:t>
      </w:r>
      <w:r w:rsidR="00A14F5C">
        <w:rPr>
          <w:rFonts w:ascii="Arial" w:hAnsi="Arial" w:cs="Arial"/>
          <w:color w:val="000000" w:themeColor="text1"/>
          <w:sz w:val="24"/>
          <w:szCs w:val="24"/>
        </w:rPr>
        <w:t xml:space="preserve">filed </w:t>
      </w:r>
      <w:r w:rsidR="00D312F8">
        <w:rPr>
          <w:rFonts w:ascii="Arial" w:hAnsi="Arial" w:cs="Arial"/>
          <w:color w:val="000000" w:themeColor="text1"/>
          <w:sz w:val="24"/>
          <w:szCs w:val="24"/>
        </w:rPr>
        <w:t>a</w:t>
      </w:r>
      <w:r w:rsidR="00A14F5C">
        <w:rPr>
          <w:rFonts w:ascii="Arial" w:hAnsi="Arial" w:cs="Arial"/>
          <w:color w:val="000000" w:themeColor="text1"/>
          <w:sz w:val="24"/>
          <w:szCs w:val="24"/>
        </w:rPr>
        <w:t xml:space="preserve"> condonation application to do so belatedly.</w:t>
      </w:r>
      <w:r w:rsidR="00D312F8">
        <w:rPr>
          <w:rFonts w:ascii="Arial" w:hAnsi="Arial" w:cs="Arial"/>
          <w:color w:val="000000" w:themeColor="text1"/>
          <w:sz w:val="24"/>
          <w:szCs w:val="24"/>
        </w:rPr>
        <w:t xml:space="preserve"> This was refused</w:t>
      </w:r>
      <w:r w:rsidR="008B0713">
        <w:rPr>
          <w:rFonts w:ascii="Arial" w:hAnsi="Arial" w:cs="Arial"/>
          <w:color w:val="000000" w:themeColor="text1"/>
          <w:sz w:val="24"/>
          <w:szCs w:val="24"/>
        </w:rPr>
        <w:t xml:space="preserve"> by the High Court</w:t>
      </w:r>
      <w:r w:rsidR="00D312F8">
        <w:rPr>
          <w:rFonts w:ascii="Arial" w:hAnsi="Arial" w:cs="Arial"/>
          <w:color w:val="000000" w:themeColor="text1"/>
          <w:sz w:val="24"/>
          <w:szCs w:val="24"/>
        </w:rPr>
        <w:t>.</w:t>
      </w:r>
      <w:r w:rsidR="00A14F5C">
        <w:rPr>
          <w:rFonts w:ascii="Arial" w:hAnsi="Arial" w:cs="Arial"/>
          <w:color w:val="000000" w:themeColor="text1"/>
          <w:sz w:val="24"/>
          <w:szCs w:val="24"/>
        </w:rPr>
        <w:t xml:space="preserve"> That order is not the subject </w:t>
      </w:r>
      <w:r w:rsidR="00B40DF4">
        <w:rPr>
          <w:rFonts w:ascii="Arial" w:hAnsi="Arial" w:cs="Arial"/>
          <w:color w:val="000000" w:themeColor="text1"/>
          <w:sz w:val="24"/>
          <w:szCs w:val="24"/>
        </w:rPr>
        <w:t xml:space="preserve">of </w:t>
      </w:r>
      <w:r w:rsidR="00E5040C">
        <w:rPr>
          <w:rFonts w:ascii="Arial" w:hAnsi="Arial" w:cs="Arial"/>
          <w:color w:val="000000" w:themeColor="text1"/>
          <w:sz w:val="24"/>
          <w:szCs w:val="24"/>
        </w:rPr>
        <w:t>this</w:t>
      </w:r>
      <w:r w:rsidR="00A14F5C">
        <w:rPr>
          <w:rFonts w:ascii="Arial" w:hAnsi="Arial" w:cs="Arial"/>
          <w:color w:val="000000" w:themeColor="text1"/>
          <w:sz w:val="24"/>
          <w:szCs w:val="24"/>
        </w:rPr>
        <w:t xml:space="preserve"> appeal and </w:t>
      </w:r>
      <w:r w:rsidR="00D312F8">
        <w:rPr>
          <w:rFonts w:ascii="Arial" w:hAnsi="Arial" w:cs="Arial"/>
          <w:color w:val="000000" w:themeColor="text1"/>
          <w:sz w:val="24"/>
          <w:szCs w:val="24"/>
        </w:rPr>
        <w:t xml:space="preserve">they </w:t>
      </w:r>
      <w:r w:rsidR="00A14F5C">
        <w:rPr>
          <w:rFonts w:ascii="Arial" w:hAnsi="Arial" w:cs="Arial"/>
          <w:color w:val="000000" w:themeColor="text1"/>
          <w:sz w:val="24"/>
          <w:szCs w:val="24"/>
        </w:rPr>
        <w:t>are not before this court</w:t>
      </w:r>
      <w:r w:rsidR="00B40DF4">
        <w:rPr>
          <w:rFonts w:ascii="Arial" w:hAnsi="Arial" w:cs="Arial"/>
          <w:color w:val="000000" w:themeColor="text1"/>
          <w:sz w:val="24"/>
          <w:szCs w:val="24"/>
        </w:rPr>
        <w:t xml:space="preserve"> in respect of the appeal</w:t>
      </w:r>
      <w:r w:rsidR="00A14F5C">
        <w:rPr>
          <w:rFonts w:ascii="Arial" w:hAnsi="Arial" w:cs="Arial"/>
          <w:color w:val="000000" w:themeColor="text1"/>
          <w:sz w:val="24"/>
          <w:szCs w:val="24"/>
        </w:rPr>
        <w:t>.</w:t>
      </w:r>
      <w:r w:rsidR="00345992">
        <w:rPr>
          <w:rFonts w:ascii="Arial" w:hAnsi="Arial" w:cs="Arial"/>
          <w:color w:val="000000" w:themeColor="text1"/>
          <w:sz w:val="24"/>
          <w:szCs w:val="24"/>
        </w:rPr>
        <w:t xml:space="preserve"> The cross-</w:t>
      </w:r>
      <w:r w:rsidR="00B40DF4">
        <w:rPr>
          <w:rFonts w:ascii="Arial" w:hAnsi="Arial" w:cs="Arial"/>
          <w:color w:val="000000" w:themeColor="text1"/>
          <w:sz w:val="24"/>
          <w:szCs w:val="24"/>
        </w:rPr>
        <w:t xml:space="preserve">appeal was </w:t>
      </w:r>
      <w:r w:rsidR="00DF7EED">
        <w:rPr>
          <w:rFonts w:ascii="Arial" w:hAnsi="Arial" w:cs="Arial"/>
          <w:color w:val="000000" w:themeColor="text1"/>
          <w:sz w:val="24"/>
          <w:szCs w:val="24"/>
        </w:rPr>
        <w:t>duly</w:t>
      </w:r>
      <w:r w:rsidR="00B40DF4">
        <w:rPr>
          <w:rFonts w:ascii="Arial" w:hAnsi="Arial" w:cs="Arial"/>
          <w:color w:val="000000" w:themeColor="text1"/>
          <w:sz w:val="24"/>
          <w:szCs w:val="24"/>
        </w:rPr>
        <w:t xml:space="preserve"> served upon</w:t>
      </w:r>
      <w:r w:rsidR="008B0713">
        <w:rPr>
          <w:rFonts w:ascii="Arial" w:hAnsi="Arial" w:cs="Arial"/>
          <w:color w:val="000000" w:themeColor="text1"/>
          <w:sz w:val="24"/>
          <w:szCs w:val="24"/>
        </w:rPr>
        <w:t xml:space="preserve"> them</w:t>
      </w:r>
      <w:r w:rsidR="00B40DF4">
        <w:rPr>
          <w:rFonts w:ascii="Arial" w:hAnsi="Arial" w:cs="Arial"/>
          <w:color w:val="000000" w:themeColor="text1"/>
          <w:sz w:val="24"/>
          <w:szCs w:val="24"/>
        </w:rPr>
        <w:t xml:space="preserve"> but they were not given notice of the date of hearing by the </w:t>
      </w:r>
      <w:r w:rsidR="00345992">
        <w:rPr>
          <w:rFonts w:ascii="Arial" w:hAnsi="Arial" w:cs="Arial"/>
          <w:color w:val="000000" w:themeColor="text1"/>
          <w:sz w:val="24"/>
          <w:szCs w:val="24"/>
        </w:rPr>
        <w:t>r</w:t>
      </w:r>
      <w:r w:rsidR="00B40DF4">
        <w:rPr>
          <w:rFonts w:ascii="Arial" w:hAnsi="Arial" w:cs="Arial"/>
          <w:color w:val="000000" w:themeColor="text1"/>
          <w:sz w:val="24"/>
          <w:szCs w:val="24"/>
        </w:rPr>
        <w:t>egistrar of this court. The date of hearing did however come to their knowledge on 13 September 2022 and they did not seek to place argument</w:t>
      </w:r>
      <w:r w:rsidR="00345992">
        <w:rPr>
          <w:rFonts w:ascii="Arial" w:hAnsi="Arial" w:cs="Arial"/>
          <w:color w:val="000000" w:themeColor="text1"/>
          <w:sz w:val="24"/>
          <w:szCs w:val="24"/>
        </w:rPr>
        <w:t xml:space="preserve"> before this court on the cross-</w:t>
      </w:r>
      <w:r w:rsidR="00B40DF4">
        <w:rPr>
          <w:rFonts w:ascii="Arial" w:hAnsi="Arial" w:cs="Arial"/>
          <w:color w:val="000000" w:themeColor="text1"/>
          <w:sz w:val="24"/>
          <w:szCs w:val="24"/>
        </w:rPr>
        <w:t>appeal. When the matter was called in court,</w:t>
      </w:r>
      <w:r w:rsidR="00DF7EED">
        <w:rPr>
          <w:rFonts w:ascii="Arial" w:hAnsi="Arial" w:cs="Arial"/>
          <w:color w:val="000000" w:themeColor="text1"/>
          <w:sz w:val="24"/>
          <w:szCs w:val="24"/>
        </w:rPr>
        <w:t xml:space="preserve"> their legal practitioner,</w:t>
      </w:r>
      <w:r w:rsidR="00B40DF4">
        <w:rPr>
          <w:rFonts w:ascii="Arial" w:hAnsi="Arial" w:cs="Arial"/>
          <w:color w:val="000000" w:themeColor="text1"/>
          <w:sz w:val="24"/>
          <w:szCs w:val="24"/>
        </w:rPr>
        <w:t xml:space="preserve"> Mr Kasper</w:t>
      </w:r>
      <w:r w:rsidR="008B0713">
        <w:rPr>
          <w:rFonts w:ascii="Arial" w:hAnsi="Arial" w:cs="Arial"/>
          <w:color w:val="000000" w:themeColor="text1"/>
          <w:sz w:val="24"/>
          <w:szCs w:val="24"/>
        </w:rPr>
        <w:t xml:space="preserve"> was present and</w:t>
      </w:r>
      <w:r w:rsidR="00B40DF4">
        <w:rPr>
          <w:rFonts w:ascii="Arial" w:hAnsi="Arial" w:cs="Arial"/>
          <w:color w:val="000000" w:themeColor="text1"/>
          <w:sz w:val="24"/>
          <w:szCs w:val="24"/>
        </w:rPr>
        <w:t xml:space="preserve"> informed the court that he held a watching brief on their behalf. He very properly pointed out that his clients d</w:t>
      </w:r>
      <w:r w:rsidR="00345992">
        <w:rPr>
          <w:rFonts w:ascii="Arial" w:hAnsi="Arial" w:cs="Arial"/>
          <w:color w:val="000000" w:themeColor="text1"/>
          <w:sz w:val="24"/>
          <w:szCs w:val="24"/>
        </w:rPr>
        <w:t>id not seek to oppose the cross-</w:t>
      </w:r>
      <w:r w:rsidR="00B40DF4">
        <w:rPr>
          <w:rFonts w:ascii="Arial" w:hAnsi="Arial" w:cs="Arial"/>
          <w:color w:val="000000" w:themeColor="text1"/>
          <w:sz w:val="24"/>
          <w:szCs w:val="24"/>
        </w:rPr>
        <w:t>appeal and abided</w:t>
      </w:r>
      <w:r w:rsidR="00E5040C">
        <w:rPr>
          <w:rFonts w:ascii="Arial" w:hAnsi="Arial" w:cs="Arial"/>
          <w:color w:val="000000" w:themeColor="text1"/>
          <w:sz w:val="24"/>
          <w:szCs w:val="24"/>
        </w:rPr>
        <w:t xml:space="preserve"> by</w:t>
      </w:r>
      <w:r w:rsidR="00B40DF4">
        <w:rPr>
          <w:rFonts w:ascii="Arial" w:hAnsi="Arial" w:cs="Arial"/>
          <w:color w:val="000000" w:themeColor="text1"/>
          <w:sz w:val="24"/>
          <w:szCs w:val="24"/>
        </w:rPr>
        <w:t xml:space="preserve"> the decision of this court.</w:t>
      </w:r>
    </w:p>
    <w:p w14:paraId="0C452939" w14:textId="77777777" w:rsidR="005E446F" w:rsidRDefault="005E446F" w:rsidP="006D4D03">
      <w:pPr>
        <w:spacing w:after="0"/>
        <w:rPr>
          <w:rFonts w:ascii="Arial" w:hAnsi="Arial" w:cs="Arial"/>
          <w:color w:val="000000" w:themeColor="text1"/>
          <w:sz w:val="24"/>
          <w:szCs w:val="24"/>
        </w:rPr>
      </w:pPr>
    </w:p>
    <w:p w14:paraId="544B22F5" w14:textId="77777777" w:rsidR="00B40DF4" w:rsidRPr="00B40DF4" w:rsidRDefault="00B40DF4" w:rsidP="000B2CB4">
      <w:pPr>
        <w:spacing w:line="480" w:lineRule="auto"/>
        <w:rPr>
          <w:rFonts w:ascii="Arial" w:hAnsi="Arial" w:cs="Arial"/>
          <w:color w:val="000000" w:themeColor="text1"/>
          <w:sz w:val="24"/>
          <w:szCs w:val="24"/>
          <w:u w:val="single"/>
        </w:rPr>
      </w:pPr>
      <w:r>
        <w:rPr>
          <w:rFonts w:ascii="Arial" w:hAnsi="Arial" w:cs="Arial"/>
          <w:color w:val="000000" w:themeColor="text1"/>
          <w:sz w:val="24"/>
          <w:szCs w:val="24"/>
          <w:u w:val="single"/>
        </w:rPr>
        <w:t>Approach of the High Court</w:t>
      </w:r>
    </w:p>
    <w:p w14:paraId="6188F422" w14:textId="5BEFA686" w:rsidR="005E446F" w:rsidRDefault="00976E50" w:rsidP="00976E50">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[11]</w:t>
      </w:r>
      <w:r>
        <w:rPr>
          <w:rFonts w:ascii="Arial" w:hAnsi="Arial" w:cs="Arial"/>
          <w:color w:val="000000" w:themeColor="text1"/>
          <w:sz w:val="24"/>
          <w:szCs w:val="24"/>
        </w:rPr>
        <w:tab/>
      </w:r>
      <w:r w:rsidR="00B40DF4">
        <w:rPr>
          <w:rFonts w:ascii="Arial" w:hAnsi="Arial" w:cs="Arial"/>
          <w:color w:val="000000" w:themeColor="text1"/>
          <w:sz w:val="24"/>
          <w:szCs w:val="24"/>
        </w:rPr>
        <w:t xml:space="preserve">The </w:t>
      </w:r>
      <w:r w:rsidR="00DF7EED">
        <w:rPr>
          <w:rFonts w:ascii="Arial" w:hAnsi="Arial" w:cs="Arial"/>
          <w:color w:val="000000" w:themeColor="text1"/>
          <w:sz w:val="24"/>
          <w:szCs w:val="24"/>
        </w:rPr>
        <w:t>High C</w:t>
      </w:r>
      <w:r w:rsidR="00B40DF4">
        <w:rPr>
          <w:rFonts w:ascii="Arial" w:hAnsi="Arial" w:cs="Arial"/>
          <w:color w:val="000000" w:themeColor="text1"/>
          <w:sz w:val="24"/>
          <w:szCs w:val="24"/>
        </w:rPr>
        <w:t>ourt heard the matter on 17 December 2021</w:t>
      </w:r>
      <w:r w:rsidR="008B0713">
        <w:rPr>
          <w:rFonts w:ascii="Arial" w:hAnsi="Arial" w:cs="Arial"/>
          <w:color w:val="000000" w:themeColor="text1"/>
          <w:sz w:val="24"/>
          <w:szCs w:val="24"/>
        </w:rPr>
        <w:t>. B</w:t>
      </w:r>
      <w:r w:rsidR="00B40DF4">
        <w:rPr>
          <w:rFonts w:ascii="Arial" w:hAnsi="Arial" w:cs="Arial"/>
          <w:color w:val="000000" w:themeColor="text1"/>
          <w:sz w:val="24"/>
          <w:szCs w:val="24"/>
        </w:rPr>
        <w:t>ecause the sale of shares agreement had been extended to 31 December 2021</w:t>
      </w:r>
      <w:r w:rsidR="008B0713">
        <w:rPr>
          <w:rFonts w:ascii="Arial" w:hAnsi="Arial" w:cs="Arial"/>
          <w:color w:val="000000" w:themeColor="text1"/>
          <w:sz w:val="24"/>
          <w:szCs w:val="24"/>
        </w:rPr>
        <w:t>, t</w:t>
      </w:r>
      <w:r w:rsidR="00B40DF4">
        <w:rPr>
          <w:rFonts w:ascii="Arial" w:hAnsi="Arial" w:cs="Arial"/>
          <w:color w:val="000000" w:themeColor="text1"/>
          <w:sz w:val="24"/>
          <w:szCs w:val="24"/>
        </w:rPr>
        <w:t>he court made an order on 22 December 2021</w:t>
      </w:r>
      <w:r w:rsidR="00E5040C">
        <w:rPr>
          <w:rFonts w:ascii="Arial" w:hAnsi="Arial" w:cs="Arial"/>
          <w:color w:val="000000" w:themeColor="text1"/>
          <w:sz w:val="24"/>
          <w:szCs w:val="24"/>
        </w:rPr>
        <w:t>,</w:t>
      </w:r>
      <w:r w:rsidR="00B40DF4">
        <w:rPr>
          <w:rFonts w:ascii="Arial" w:hAnsi="Arial" w:cs="Arial"/>
          <w:color w:val="000000" w:themeColor="text1"/>
          <w:sz w:val="24"/>
          <w:szCs w:val="24"/>
        </w:rPr>
        <w:t xml:space="preserve"> directing the Minister and NDC to make a decision within </w:t>
      </w:r>
      <w:r w:rsidR="00345992">
        <w:rPr>
          <w:rFonts w:ascii="Arial" w:hAnsi="Arial" w:cs="Arial"/>
          <w:color w:val="000000" w:themeColor="text1"/>
          <w:sz w:val="24"/>
          <w:szCs w:val="24"/>
        </w:rPr>
        <w:t>five</w:t>
      </w:r>
      <w:r w:rsidR="00B40DF4">
        <w:rPr>
          <w:rFonts w:ascii="Arial" w:hAnsi="Arial" w:cs="Arial"/>
          <w:color w:val="000000" w:themeColor="text1"/>
          <w:sz w:val="24"/>
          <w:szCs w:val="24"/>
        </w:rPr>
        <w:t xml:space="preserve"> </w:t>
      </w:r>
      <w:r w:rsidR="00B40DF4">
        <w:rPr>
          <w:rFonts w:ascii="Arial" w:hAnsi="Arial" w:cs="Arial"/>
          <w:color w:val="000000" w:themeColor="text1"/>
          <w:sz w:val="24"/>
          <w:szCs w:val="24"/>
        </w:rPr>
        <w:lastRenderedPageBreak/>
        <w:t>days of the order whether or not to consent to the sale and transfer of the shares and communicate their decisions to t</w:t>
      </w:r>
      <w:r w:rsidR="00D500A8">
        <w:rPr>
          <w:rFonts w:ascii="Arial" w:hAnsi="Arial" w:cs="Arial"/>
          <w:color w:val="000000" w:themeColor="text1"/>
          <w:sz w:val="24"/>
          <w:szCs w:val="24"/>
        </w:rPr>
        <w:t xml:space="preserve">he </w:t>
      </w:r>
      <w:r w:rsidR="00DF7EED">
        <w:rPr>
          <w:rFonts w:ascii="Arial" w:hAnsi="Arial" w:cs="Arial"/>
          <w:color w:val="000000" w:themeColor="text1"/>
          <w:sz w:val="24"/>
          <w:szCs w:val="24"/>
        </w:rPr>
        <w:t xml:space="preserve">legal </w:t>
      </w:r>
      <w:r w:rsidR="00D500A8">
        <w:rPr>
          <w:rFonts w:ascii="Arial" w:hAnsi="Arial" w:cs="Arial"/>
          <w:color w:val="000000" w:themeColor="text1"/>
          <w:sz w:val="24"/>
          <w:szCs w:val="24"/>
        </w:rPr>
        <w:t>practitioner of Serve by that date. The Minister and NDC were also ordered to pay the costs of the application.</w:t>
      </w:r>
    </w:p>
    <w:p w14:paraId="5E0AA21A" w14:textId="77777777" w:rsidR="00D500A8" w:rsidRDefault="00D500A8" w:rsidP="000B2CB4">
      <w:pPr>
        <w:pStyle w:val="NoSpacing"/>
        <w:spacing w:line="480" w:lineRule="auto"/>
        <w:jc w:val="both"/>
        <w:rPr>
          <w:rFonts w:ascii="Arial" w:hAnsi="Arial" w:cs="Arial"/>
          <w:color w:val="000000" w:themeColor="text1"/>
          <w:sz w:val="24"/>
          <w:szCs w:val="24"/>
        </w:rPr>
      </w:pPr>
    </w:p>
    <w:p w14:paraId="58F9B2E9" w14:textId="4E1021DB" w:rsidR="00D500A8" w:rsidRDefault="00976E50" w:rsidP="00976E50">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[12]</w:t>
      </w:r>
      <w:r>
        <w:rPr>
          <w:rFonts w:ascii="Arial" w:hAnsi="Arial" w:cs="Arial"/>
          <w:color w:val="000000" w:themeColor="text1"/>
          <w:sz w:val="24"/>
          <w:szCs w:val="24"/>
        </w:rPr>
        <w:tab/>
      </w:r>
      <w:r w:rsidR="00D500A8">
        <w:rPr>
          <w:rFonts w:ascii="Arial" w:hAnsi="Arial" w:cs="Arial"/>
          <w:color w:val="000000" w:themeColor="text1"/>
          <w:sz w:val="24"/>
          <w:szCs w:val="24"/>
        </w:rPr>
        <w:t xml:space="preserve">The court’s order was in the form of granting a </w:t>
      </w:r>
      <w:r w:rsidR="00D500A8" w:rsidRPr="00472884">
        <w:rPr>
          <w:rFonts w:ascii="Arial" w:hAnsi="Arial" w:cs="Arial"/>
          <w:i/>
          <w:color w:val="000000" w:themeColor="text1"/>
          <w:sz w:val="24"/>
          <w:szCs w:val="24"/>
        </w:rPr>
        <w:t>mandamus</w:t>
      </w:r>
      <w:r w:rsidR="00D500A8">
        <w:rPr>
          <w:rFonts w:ascii="Arial" w:hAnsi="Arial" w:cs="Arial"/>
          <w:color w:val="000000" w:themeColor="text1"/>
          <w:sz w:val="24"/>
          <w:szCs w:val="24"/>
        </w:rPr>
        <w:t xml:space="preserve"> against the Minister and NDC. The court declined to grant the main relief sought – an order deeming the Minister and NDC to have granted consent</w:t>
      </w:r>
      <w:r w:rsidR="005C2037">
        <w:rPr>
          <w:rFonts w:ascii="Arial" w:hAnsi="Arial" w:cs="Arial"/>
          <w:color w:val="000000" w:themeColor="text1"/>
          <w:sz w:val="24"/>
          <w:szCs w:val="24"/>
        </w:rPr>
        <w:t>,</w:t>
      </w:r>
      <w:r w:rsidR="008B0713">
        <w:rPr>
          <w:rFonts w:ascii="Arial" w:hAnsi="Arial" w:cs="Arial"/>
          <w:color w:val="000000" w:themeColor="text1"/>
          <w:sz w:val="24"/>
          <w:szCs w:val="24"/>
        </w:rPr>
        <w:t xml:space="preserve"> or the first alternative to direct the Minister and NDC to consent to </w:t>
      </w:r>
      <w:r w:rsidR="00A513F3">
        <w:rPr>
          <w:rFonts w:ascii="Arial" w:hAnsi="Arial" w:cs="Arial"/>
          <w:color w:val="000000" w:themeColor="text1"/>
          <w:sz w:val="24"/>
          <w:szCs w:val="24"/>
        </w:rPr>
        <w:t>the sale of shares agreement</w:t>
      </w:r>
      <w:r w:rsidR="00D500A8">
        <w:rPr>
          <w:rFonts w:ascii="Arial" w:hAnsi="Arial" w:cs="Arial"/>
          <w:color w:val="000000" w:themeColor="text1"/>
          <w:sz w:val="24"/>
          <w:szCs w:val="24"/>
        </w:rPr>
        <w:t>.</w:t>
      </w:r>
    </w:p>
    <w:p w14:paraId="7E516AF5" w14:textId="77777777" w:rsidR="005E446F" w:rsidRDefault="005E446F" w:rsidP="000B2CB4">
      <w:pPr>
        <w:pStyle w:val="ListParagraph"/>
        <w:spacing w:after="0" w:line="480" w:lineRule="auto"/>
        <w:rPr>
          <w:rFonts w:ascii="Arial" w:hAnsi="Arial" w:cs="Arial"/>
          <w:color w:val="000000" w:themeColor="text1"/>
          <w:sz w:val="24"/>
          <w:szCs w:val="24"/>
        </w:rPr>
      </w:pPr>
    </w:p>
    <w:p w14:paraId="148142CD" w14:textId="48966E3E" w:rsidR="005E446F" w:rsidRDefault="00976E50" w:rsidP="00976E50">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[13]</w:t>
      </w:r>
      <w:r>
        <w:rPr>
          <w:rFonts w:ascii="Arial" w:hAnsi="Arial" w:cs="Arial"/>
          <w:color w:val="000000" w:themeColor="text1"/>
          <w:sz w:val="24"/>
          <w:szCs w:val="24"/>
        </w:rPr>
        <w:tab/>
      </w:r>
      <w:r w:rsidR="00D500A8">
        <w:rPr>
          <w:rFonts w:ascii="Arial" w:hAnsi="Arial" w:cs="Arial"/>
          <w:color w:val="000000" w:themeColor="text1"/>
          <w:sz w:val="24"/>
          <w:szCs w:val="24"/>
        </w:rPr>
        <w:t>The court found it unnecessary to make a finding on the applicability or otherwise of s 17B of the Act because Serve had, out of an abundance of caution but not accepting its applicability, made an application under s 17B.</w:t>
      </w:r>
    </w:p>
    <w:p w14:paraId="3DEC6773" w14:textId="77777777" w:rsidR="005E446F" w:rsidRDefault="005E446F" w:rsidP="006D4D03">
      <w:pPr>
        <w:spacing w:after="0"/>
        <w:rPr>
          <w:rFonts w:ascii="Arial" w:hAnsi="Arial" w:cs="Arial"/>
          <w:color w:val="000000" w:themeColor="text1"/>
          <w:sz w:val="24"/>
          <w:szCs w:val="24"/>
        </w:rPr>
      </w:pPr>
    </w:p>
    <w:p w14:paraId="31496A5D" w14:textId="77777777" w:rsidR="00DF7EED" w:rsidRPr="00DF7EED" w:rsidRDefault="00DF7EED" w:rsidP="00DF7EED">
      <w:pPr>
        <w:spacing w:after="0" w:line="480" w:lineRule="auto"/>
        <w:rPr>
          <w:rFonts w:ascii="Arial" w:hAnsi="Arial" w:cs="Arial"/>
          <w:color w:val="000000" w:themeColor="text1"/>
          <w:sz w:val="24"/>
          <w:szCs w:val="24"/>
          <w:u w:val="single"/>
        </w:rPr>
      </w:pPr>
      <w:r>
        <w:rPr>
          <w:rFonts w:ascii="Arial" w:hAnsi="Arial" w:cs="Arial"/>
          <w:color w:val="000000" w:themeColor="text1"/>
          <w:sz w:val="24"/>
          <w:szCs w:val="24"/>
          <w:u w:val="single"/>
        </w:rPr>
        <w:t>This appeal</w:t>
      </w:r>
    </w:p>
    <w:p w14:paraId="6882457A" w14:textId="628CA4AD" w:rsidR="005E446F" w:rsidRDefault="00976E50" w:rsidP="00976E50">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[14]</w:t>
      </w:r>
      <w:r>
        <w:rPr>
          <w:rFonts w:ascii="Arial" w:hAnsi="Arial" w:cs="Arial"/>
          <w:color w:val="000000" w:themeColor="text1"/>
          <w:sz w:val="24"/>
          <w:szCs w:val="24"/>
        </w:rPr>
        <w:tab/>
      </w:r>
      <w:r w:rsidR="00D500A8">
        <w:rPr>
          <w:rFonts w:ascii="Arial" w:hAnsi="Arial" w:cs="Arial"/>
          <w:color w:val="000000" w:themeColor="text1"/>
          <w:sz w:val="24"/>
          <w:szCs w:val="24"/>
        </w:rPr>
        <w:t>The Minister and the Government of Namibia appeal against the order compelling the Minister to make a decision</w:t>
      </w:r>
      <w:r w:rsidR="00472884">
        <w:rPr>
          <w:rFonts w:ascii="Arial" w:hAnsi="Arial" w:cs="Arial"/>
          <w:color w:val="000000" w:themeColor="text1"/>
          <w:sz w:val="24"/>
          <w:szCs w:val="24"/>
        </w:rPr>
        <w:t xml:space="preserve">. They also </w:t>
      </w:r>
      <w:r w:rsidR="00D500A8">
        <w:rPr>
          <w:rFonts w:ascii="Arial" w:hAnsi="Arial" w:cs="Arial"/>
          <w:color w:val="000000" w:themeColor="text1"/>
          <w:sz w:val="24"/>
          <w:szCs w:val="24"/>
        </w:rPr>
        <w:t xml:space="preserve">oppose Serve’s </w:t>
      </w:r>
      <w:r w:rsidR="00DF7EED">
        <w:rPr>
          <w:rFonts w:ascii="Arial" w:hAnsi="Arial" w:cs="Arial"/>
          <w:color w:val="000000" w:themeColor="text1"/>
          <w:sz w:val="24"/>
          <w:szCs w:val="24"/>
        </w:rPr>
        <w:t>c</w:t>
      </w:r>
      <w:r w:rsidR="00D500A8">
        <w:rPr>
          <w:rFonts w:ascii="Arial" w:hAnsi="Arial" w:cs="Arial"/>
          <w:color w:val="000000" w:themeColor="text1"/>
          <w:sz w:val="24"/>
          <w:szCs w:val="24"/>
        </w:rPr>
        <w:t>ross appeal against the refusal of the High Court to declare that the Minister and NDC be de</w:t>
      </w:r>
      <w:r w:rsidR="00A513F3">
        <w:rPr>
          <w:rFonts w:ascii="Arial" w:hAnsi="Arial" w:cs="Arial"/>
          <w:color w:val="000000" w:themeColor="text1"/>
          <w:sz w:val="24"/>
          <w:szCs w:val="24"/>
        </w:rPr>
        <w:t xml:space="preserve">emed to have given that consent or to direct </w:t>
      </w:r>
      <w:r w:rsidR="00472884">
        <w:rPr>
          <w:rFonts w:ascii="Arial" w:hAnsi="Arial" w:cs="Arial"/>
          <w:color w:val="000000" w:themeColor="text1"/>
          <w:sz w:val="24"/>
          <w:szCs w:val="24"/>
        </w:rPr>
        <w:t>them to give</w:t>
      </w:r>
      <w:r w:rsidR="00A513F3">
        <w:rPr>
          <w:rFonts w:ascii="Arial" w:hAnsi="Arial" w:cs="Arial"/>
          <w:color w:val="000000" w:themeColor="text1"/>
          <w:sz w:val="24"/>
          <w:szCs w:val="24"/>
        </w:rPr>
        <w:t xml:space="preserve"> </w:t>
      </w:r>
      <w:r w:rsidR="00DF7EED">
        <w:rPr>
          <w:rFonts w:ascii="Arial" w:hAnsi="Arial" w:cs="Arial"/>
          <w:color w:val="000000" w:themeColor="text1"/>
          <w:sz w:val="24"/>
          <w:szCs w:val="24"/>
        </w:rPr>
        <w:t xml:space="preserve">such </w:t>
      </w:r>
      <w:r w:rsidR="00A513F3">
        <w:rPr>
          <w:rFonts w:ascii="Arial" w:hAnsi="Arial" w:cs="Arial"/>
          <w:color w:val="000000" w:themeColor="text1"/>
          <w:sz w:val="24"/>
          <w:szCs w:val="24"/>
        </w:rPr>
        <w:t>consent.</w:t>
      </w:r>
    </w:p>
    <w:p w14:paraId="68B05566" w14:textId="77777777" w:rsidR="00D500A8" w:rsidRDefault="00D500A8" w:rsidP="000B2CB4">
      <w:pPr>
        <w:spacing w:after="0" w:line="480" w:lineRule="auto"/>
        <w:rPr>
          <w:rFonts w:ascii="Arial" w:hAnsi="Arial" w:cs="Arial"/>
          <w:color w:val="000000" w:themeColor="text1"/>
          <w:sz w:val="24"/>
          <w:szCs w:val="24"/>
        </w:rPr>
      </w:pPr>
    </w:p>
    <w:p w14:paraId="4FC92277" w14:textId="3A1C1634" w:rsidR="00D500A8" w:rsidRDefault="00976E50" w:rsidP="00976E50">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[15]</w:t>
      </w:r>
      <w:r>
        <w:rPr>
          <w:rFonts w:ascii="Arial" w:hAnsi="Arial" w:cs="Arial"/>
          <w:color w:val="000000" w:themeColor="text1"/>
          <w:sz w:val="24"/>
          <w:szCs w:val="24"/>
        </w:rPr>
        <w:tab/>
      </w:r>
      <w:r w:rsidR="00A513F3">
        <w:rPr>
          <w:rFonts w:ascii="Arial" w:hAnsi="Arial" w:cs="Arial"/>
          <w:color w:val="000000" w:themeColor="text1"/>
          <w:sz w:val="24"/>
          <w:szCs w:val="24"/>
        </w:rPr>
        <w:t>The appellants’ heads of argument were filed a few days late because the registrar’s letter apprising the parties of the date of the appeal had been mislaid in the office of the Government Attorney. The</w:t>
      </w:r>
      <w:r w:rsidR="00DF7EED">
        <w:rPr>
          <w:rFonts w:ascii="Arial" w:hAnsi="Arial" w:cs="Arial"/>
          <w:color w:val="000000" w:themeColor="text1"/>
          <w:sz w:val="24"/>
          <w:szCs w:val="24"/>
        </w:rPr>
        <w:t>ir</w:t>
      </w:r>
      <w:r w:rsidR="00A513F3">
        <w:rPr>
          <w:rFonts w:ascii="Arial" w:hAnsi="Arial" w:cs="Arial"/>
          <w:color w:val="000000" w:themeColor="text1"/>
          <w:sz w:val="24"/>
          <w:szCs w:val="24"/>
        </w:rPr>
        <w:t xml:space="preserve"> heads were filed very soon after the realisation of their due date. The appellants applied for condonation for the late filing of their heads</w:t>
      </w:r>
      <w:r w:rsidR="00472884">
        <w:rPr>
          <w:rFonts w:ascii="Arial" w:hAnsi="Arial" w:cs="Arial"/>
          <w:color w:val="000000" w:themeColor="text1"/>
          <w:sz w:val="24"/>
          <w:szCs w:val="24"/>
        </w:rPr>
        <w:t xml:space="preserve"> and for reinstatement of the appeal</w:t>
      </w:r>
      <w:r w:rsidR="00A513F3">
        <w:rPr>
          <w:rFonts w:ascii="Arial" w:hAnsi="Arial" w:cs="Arial"/>
          <w:color w:val="000000" w:themeColor="text1"/>
          <w:sz w:val="24"/>
          <w:szCs w:val="24"/>
        </w:rPr>
        <w:t>. Serve’s position is that it does not take issue with the explanation but with the prospects of success of the appeal. Given the rapid manner in which the lapse was addressed and the lack of prejudice, the application</w:t>
      </w:r>
      <w:r w:rsidR="00472884">
        <w:rPr>
          <w:rFonts w:ascii="Arial" w:hAnsi="Arial" w:cs="Arial"/>
          <w:color w:val="000000" w:themeColor="text1"/>
          <w:sz w:val="24"/>
          <w:szCs w:val="24"/>
        </w:rPr>
        <w:t xml:space="preserve"> for</w:t>
      </w:r>
      <w:r w:rsidR="00A513F3">
        <w:rPr>
          <w:rFonts w:ascii="Arial" w:hAnsi="Arial" w:cs="Arial"/>
          <w:color w:val="000000" w:themeColor="text1"/>
          <w:sz w:val="24"/>
          <w:szCs w:val="24"/>
        </w:rPr>
        <w:t xml:space="preserve"> </w:t>
      </w:r>
      <w:r w:rsidR="00472884">
        <w:rPr>
          <w:rFonts w:ascii="Arial" w:hAnsi="Arial" w:cs="Arial"/>
          <w:color w:val="000000" w:themeColor="text1"/>
          <w:sz w:val="24"/>
          <w:szCs w:val="24"/>
        </w:rPr>
        <w:t xml:space="preserve">condonation and reinstatement </w:t>
      </w:r>
      <w:r w:rsidR="00A513F3">
        <w:rPr>
          <w:rFonts w:ascii="Arial" w:hAnsi="Arial" w:cs="Arial"/>
          <w:color w:val="000000" w:themeColor="text1"/>
          <w:sz w:val="24"/>
          <w:szCs w:val="24"/>
        </w:rPr>
        <w:t>is hereby granted.</w:t>
      </w:r>
    </w:p>
    <w:p w14:paraId="723C0518" w14:textId="77777777" w:rsidR="00DF7EED" w:rsidRPr="00DF7EED" w:rsidRDefault="00DF7EED" w:rsidP="00DF7EED">
      <w:pPr>
        <w:rPr>
          <w:rFonts w:ascii="Arial" w:hAnsi="Arial" w:cs="Arial"/>
          <w:color w:val="000000" w:themeColor="text1"/>
          <w:sz w:val="24"/>
          <w:szCs w:val="24"/>
          <w:u w:val="single"/>
        </w:rPr>
      </w:pPr>
      <w:r>
        <w:rPr>
          <w:rFonts w:ascii="Arial" w:hAnsi="Arial" w:cs="Arial"/>
          <w:color w:val="000000" w:themeColor="text1"/>
          <w:sz w:val="24"/>
          <w:szCs w:val="24"/>
          <w:u w:val="single"/>
        </w:rPr>
        <w:lastRenderedPageBreak/>
        <w:t>The parties’ submission</w:t>
      </w:r>
      <w:r w:rsidR="00472884">
        <w:rPr>
          <w:rFonts w:ascii="Arial" w:hAnsi="Arial" w:cs="Arial"/>
          <w:color w:val="000000" w:themeColor="text1"/>
          <w:sz w:val="24"/>
          <w:szCs w:val="24"/>
          <w:u w:val="single"/>
        </w:rPr>
        <w:t>s</w:t>
      </w:r>
    </w:p>
    <w:p w14:paraId="039C7012" w14:textId="7D622B17" w:rsidR="003E42B8" w:rsidRDefault="00976E50" w:rsidP="00976E50">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[16]</w:t>
      </w:r>
      <w:r>
        <w:rPr>
          <w:rFonts w:ascii="Arial" w:hAnsi="Arial" w:cs="Arial"/>
          <w:color w:val="000000" w:themeColor="text1"/>
          <w:sz w:val="24"/>
          <w:szCs w:val="24"/>
        </w:rPr>
        <w:tab/>
      </w:r>
      <w:r w:rsidR="003E42B8">
        <w:rPr>
          <w:rFonts w:ascii="Arial" w:hAnsi="Arial" w:cs="Arial"/>
          <w:color w:val="000000" w:themeColor="text1"/>
          <w:sz w:val="24"/>
          <w:szCs w:val="24"/>
        </w:rPr>
        <w:t>The government appellants take the point for the first time in the</w:t>
      </w:r>
      <w:r w:rsidR="00DF7EED">
        <w:rPr>
          <w:rFonts w:ascii="Arial" w:hAnsi="Arial" w:cs="Arial"/>
          <w:color w:val="000000" w:themeColor="text1"/>
          <w:sz w:val="24"/>
          <w:szCs w:val="24"/>
        </w:rPr>
        <w:t>ir</w:t>
      </w:r>
      <w:r w:rsidR="003E42B8">
        <w:rPr>
          <w:rFonts w:ascii="Arial" w:hAnsi="Arial" w:cs="Arial"/>
          <w:color w:val="000000" w:themeColor="text1"/>
          <w:sz w:val="24"/>
          <w:szCs w:val="24"/>
        </w:rPr>
        <w:t xml:space="preserve"> written heads of argument that the th</w:t>
      </w:r>
      <w:r w:rsidR="00472884">
        <w:rPr>
          <w:rFonts w:ascii="Arial" w:hAnsi="Arial" w:cs="Arial"/>
          <w:color w:val="000000" w:themeColor="text1"/>
          <w:sz w:val="24"/>
          <w:szCs w:val="24"/>
        </w:rPr>
        <w:t>e</w:t>
      </w:r>
      <w:r w:rsidR="003E42B8">
        <w:rPr>
          <w:rFonts w:ascii="Arial" w:hAnsi="Arial" w:cs="Arial"/>
          <w:color w:val="000000" w:themeColor="text1"/>
          <w:sz w:val="24"/>
          <w:szCs w:val="24"/>
        </w:rPr>
        <w:t>n Minister took a decision on 17 December 2019</w:t>
      </w:r>
      <w:r w:rsidR="005C2037">
        <w:rPr>
          <w:rFonts w:ascii="Arial" w:hAnsi="Arial" w:cs="Arial"/>
          <w:color w:val="000000" w:themeColor="text1"/>
          <w:sz w:val="24"/>
          <w:szCs w:val="24"/>
        </w:rPr>
        <w:t>,</w:t>
      </w:r>
      <w:r w:rsidR="003E42B8">
        <w:rPr>
          <w:rFonts w:ascii="Arial" w:hAnsi="Arial" w:cs="Arial"/>
          <w:color w:val="000000" w:themeColor="text1"/>
          <w:sz w:val="24"/>
          <w:szCs w:val="24"/>
        </w:rPr>
        <w:t xml:space="preserve"> essentially not to grant consent based on a ‘finding’ that the sale of shares agreement had lapsed. It is then contended with reference to the </w:t>
      </w:r>
      <w:r w:rsidR="005A54C9">
        <w:rPr>
          <w:rFonts w:ascii="Arial" w:hAnsi="Arial" w:cs="Arial"/>
          <w:color w:val="000000" w:themeColor="text1"/>
          <w:sz w:val="24"/>
          <w:szCs w:val="24"/>
        </w:rPr>
        <w:t xml:space="preserve">oft </w:t>
      </w:r>
      <w:r w:rsidR="003E42B8">
        <w:rPr>
          <w:rFonts w:ascii="Arial" w:hAnsi="Arial" w:cs="Arial"/>
          <w:color w:val="000000" w:themeColor="text1"/>
          <w:sz w:val="24"/>
          <w:szCs w:val="24"/>
        </w:rPr>
        <w:t>misquoted and misunderstood</w:t>
      </w:r>
      <w:r w:rsidR="005A54C9">
        <w:rPr>
          <w:rFonts w:ascii="Arial" w:hAnsi="Arial" w:cs="Arial"/>
          <w:color w:val="000000" w:themeColor="text1"/>
          <w:sz w:val="24"/>
          <w:szCs w:val="24"/>
        </w:rPr>
        <w:t xml:space="preserve"> judgment in</w:t>
      </w:r>
      <w:r w:rsidR="003E42B8">
        <w:rPr>
          <w:rFonts w:ascii="Arial" w:hAnsi="Arial" w:cs="Arial"/>
          <w:color w:val="000000" w:themeColor="text1"/>
          <w:sz w:val="24"/>
          <w:szCs w:val="24"/>
        </w:rPr>
        <w:t xml:space="preserve"> </w:t>
      </w:r>
      <w:r w:rsidR="003E42B8" w:rsidRPr="003E42B8">
        <w:rPr>
          <w:rFonts w:ascii="Arial" w:hAnsi="Arial" w:cs="Arial"/>
          <w:i/>
          <w:color w:val="000000" w:themeColor="text1"/>
          <w:sz w:val="24"/>
          <w:szCs w:val="24"/>
        </w:rPr>
        <w:t>Oudekraal Estates (Pty) Ltd v City of Cape Town</w:t>
      </w:r>
      <w:r w:rsidR="003E42B8">
        <w:rPr>
          <w:rStyle w:val="FootnoteReference"/>
          <w:rFonts w:ascii="Arial" w:hAnsi="Arial" w:cs="Arial"/>
          <w:color w:val="000000" w:themeColor="text1"/>
          <w:sz w:val="24"/>
          <w:szCs w:val="24"/>
        </w:rPr>
        <w:footnoteReference w:id="1"/>
      </w:r>
      <w:r w:rsidR="003E42B8">
        <w:rPr>
          <w:rFonts w:ascii="Arial" w:hAnsi="Arial" w:cs="Arial"/>
          <w:color w:val="000000" w:themeColor="text1"/>
          <w:sz w:val="24"/>
          <w:szCs w:val="24"/>
        </w:rPr>
        <w:t xml:space="preserve"> that this ‘decision’ stood until and unless set aside on review. Not only was this point not raised by the Minister in his answering affidavit, but it is completely contrary to the very position </w:t>
      </w:r>
      <w:r w:rsidR="00472884">
        <w:rPr>
          <w:rFonts w:ascii="Arial" w:hAnsi="Arial" w:cs="Arial"/>
          <w:color w:val="000000" w:themeColor="text1"/>
          <w:sz w:val="24"/>
          <w:szCs w:val="24"/>
        </w:rPr>
        <w:t xml:space="preserve">on the facts </w:t>
      </w:r>
      <w:r w:rsidR="003E42B8">
        <w:rPr>
          <w:rFonts w:ascii="Arial" w:hAnsi="Arial" w:cs="Arial"/>
          <w:color w:val="000000" w:themeColor="text1"/>
          <w:sz w:val="24"/>
          <w:szCs w:val="24"/>
        </w:rPr>
        <w:t xml:space="preserve">taken by the Minister that he had </w:t>
      </w:r>
      <w:r w:rsidR="003E42B8">
        <w:rPr>
          <w:rFonts w:ascii="Arial" w:hAnsi="Arial" w:cs="Arial"/>
          <w:color w:val="000000" w:themeColor="text1"/>
          <w:sz w:val="24"/>
          <w:szCs w:val="24"/>
          <w:u w:val="single"/>
        </w:rPr>
        <w:t>not</w:t>
      </w:r>
      <w:r w:rsidR="003E42B8">
        <w:rPr>
          <w:rFonts w:ascii="Arial" w:hAnsi="Arial" w:cs="Arial"/>
          <w:color w:val="000000" w:themeColor="text1"/>
          <w:sz w:val="24"/>
          <w:szCs w:val="24"/>
        </w:rPr>
        <w:t xml:space="preserve"> taken a decision at any stage and that he would apply his mind to the issue once an application had been made as a foreign entity under s 17B of the Act. This new point is thus inconsistent with the Minister’s opposition to the application and his grounds of appeal</w:t>
      </w:r>
      <w:r w:rsidR="00472884">
        <w:rPr>
          <w:rFonts w:ascii="Arial" w:hAnsi="Arial" w:cs="Arial"/>
          <w:color w:val="000000" w:themeColor="text1"/>
          <w:sz w:val="24"/>
          <w:szCs w:val="24"/>
        </w:rPr>
        <w:t xml:space="preserve"> and</w:t>
      </w:r>
      <w:r w:rsidR="003E42B8">
        <w:rPr>
          <w:rFonts w:ascii="Arial" w:hAnsi="Arial" w:cs="Arial"/>
          <w:color w:val="000000" w:themeColor="text1"/>
          <w:sz w:val="24"/>
          <w:szCs w:val="24"/>
        </w:rPr>
        <w:t xml:space="preserve"> can be summarily disposed of</w:t>
      </w:r>
      <w:r w:rsidR="005A54C9">
        <w:rPr>
          <w:rFonts w:ascii="Arial" w:hAnsi="Arial" w:cs="Arial"/>
          <w:color w:val="000000" w:themeColor="text1"/>
          <w:sz w:val="24"/>
          <w:szCs w:val="24"/>
        </w:rPr>
        <w:t xml:space="preserve"> at the outset</w:t>
      </w:r>
      <w:r w:rsidR="003E42B8">
        <w:rPr>
          <w:rFonts w:ascii="Arial" w:hAnsi="Arial" w:cs="Arial"/>
          <w:color w:val="000000" w:themeColor="text1"/>
          <w:sz w:val="24"/>
          <w:szCs w:val="24"/>
        </w:rPr>
        <w:t xml:space="preserve">. </w:t>
      </w:r>
    </w:p>
    <w:p w14:paraId="238409E1" w14:textId="77777777" w:rsidR="003E42B8" w:rsidRDefault="003E42B8" w:rsidP="006D4D03">
      <w:pPr>
        <w:pStyle w:val="ListParagraph"/>
        <w:spacing w:after="0" w:line="480" w:lineRule="auto"/>
        <w:rPr>
          <w:rFonts w:ascii="Arial" w:hAnsi="Arial" w:cs="Arial"/>
          <w:color w:val="000000" w:themeColor="text1"/>
          <w:sz w:val="24"/>
          <w:szCs w:val="24"/>
        </w:rPr>
      </w:pPr>
    </w:p>
    <w:p w14:paraId="1B7BBE14" w14:textId="3CF0CFD6" w:rsidR="003E42B8" w:rsidRDefault="00976E50" w:rsidP="00976E50">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[17]</w:t>
      </w:r>
      <w:r>
        <w:rPr>
          <w:rFonts w:ascii="Arial" w:hAnsi="Arial" w:cs="Arial"/>
          <w:color w:val="000000" w:themeColor="text1"/>
          <w:sz w:val="24"/>
          <w:szCs w:val="24"/>
        </w:rPr>
        <w:tab/>
      </w:r>
      <w:r w:rsidR="003E42B8">
        <w:rPr>
          <w:rFonts w:ascii="Arial" w:hAnsi="Arial" w:cs="Arial"/>
          <w:color w:val="000000" w:themeColor="text1"/>
          <w:sz w:val="24"/>
          <w:szCs w:val="24"/>
        </w:rPr>
        <w:t xml:space="preserve">It is also clear on the facts that the Minister’s letter of 17 December 2019 does not constitute a decision as to the granting </w:t>
      </w:r>
      <w:r w:rsidR="00F5189C">
        <w:rPr>
          <w:rFonts w:ascii="Arial" w:hAnsi="Arial" w:cs="Arial"/>
          <w:color w:val="000000" w:themeColor="text1"/>
          <w:sz w:val="24"/>
          <w:szCs w:val="24"/>
        </w:rPr>
        <w:t>of consent or not – and was understandably not construed as such</w:t>
      </w:r>
      <w:r w:rsidR="00472884">
        <w:rPr>
          <w:rFonts w:ascii="Arial" w:hAnsi="Arial" w:cs="Arial"/>
          <w:color w:val="000000" w:themeColor="text1"/>
          <w:sz w:val="24"/>
          <w:szCs w:val="24"/>
        </w:rPr>
        <w:t xml:space="preserve"> at the time</w:t>
      </w:r>
      <w:r w:rsidR="00F5189C">
        <w:rPr>
          <w:rFonts w:ascii="Arial" w:hAnsi="Arial" w:cs="Arial"/>
          <w:color w:val="000000" w:themeColor="text1"/>
          <w:sz w:val="24"/>
          <w:szCs w:val="24"/>
        </w:rPr>
        <w:t>. It was merely an incorrect understanding of the factual position concerning the validity of the PLA</w:t>
      </w:r>
      <w:r w:rsidR="005A54C9">
        <w:rPr>
          <w:rFonts w:ascii="Arial" w:hAnsi="Arial" w:cs="Arial"/>
          <w:color w:val="000000" w:themeColor="text1"/>
          <w:sz w:val="24"/>
          <w:szCs w:val="24"/>
        </w:rPr>
        <w:t xml:space="preserve"> and misconstruing that factual issue</w:t>
      </w:r>
      <w:r w:rsidR="00F5189C">
        <w:rPr>
          <w:rFonts w:ascii="Arial" w:hAnsi="Arial" w:cs="Arial"/>
          <w:color w:val="000000" w:themeColor="text1"/>
          <w:sz w:val="24"/>
          <w:szCs w:val="24"/>
        </w:rPr>
        <w:t>.</w:t>
      </w:r>
    </w:p>
    <w:p w14:paraId="7537C7B9" w14:textId="77777777" w:rsidR="00F5189C" w:rsidRDefault="00F5189C" w:rsidP="006D4D03">
      <w:pPr>
        <w:pStyle w:val="ListParagraph"/>
        <w:spacing w:after="0" w:line="480" w:lineRule="auto"/>
        <w:rPr>
          <w:rFonts w:ascii="Arial" w:hAnsi="Arial" w:cs="Arial"/>
          <w:color w:val="000000" w:themeColor="text1"/>
          <w:sz w:val="24"/>
          <w:szCs w:val="24"/>
        </w:rPr>
      </w:pPr>
    </w:p>
    <w:p w14:paraId="77F608D4" w14:textId="05DE51B2" w:rsidR="005A54C9" w:rsidRDefault="00976E50" w:rsidP="00976E50">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[18]</w:t>
      </w:r>
      <w:r>
        <w:rPr>
          <w:rFonts w:ascii="Arial" w:hAnsi="Arial" w:cs="Arial"/>
          <w:color w:val="000000" w:themeColor="text1"/>
          <w:sz w:val="24"/>
          <w:szCs w:val="24"/>
        </w:rPr>
        <w:tab/>
      </w:r>
      <w:r w:rsidR="00F5189C">
        <w:rPr>
          <w:rFonts w:ascii="Arial" w:hAnsi="Arial" w:cs="Arial"/>
          <w:color w:val="000000" w:themeColor="text1"/>
          <w:sz w:val="24"/>
          <w:szCs w:val="24"/>
        </w:rPr>
        <w:t xml:space="preserve">It did not constitute a finding in any sense and was a misapprehension which was subsequently corrected. It did not amount to a decision on the question of consent (by </w:t>
      </w:r>
      <w:r w:rsidR="005A54C9">
        <w:rPr>
          <w:rFonts w:ascii="Arial" w:hAnsi="Arial" w:cs="Arial"/>
          <w:color w:val="000000" w:themeColor="text1"/>
          <w:sz w:val="24"/>
          <w:szCs w:val="24"/>
        </w:rPr>
        <w:t>considering</w:t>
      </w:r>
      <w:r w:rsidR="00F5189C">
        <w:rPr>
          <w:rFonts w:ascii="Arial" w:hAnsi="Arial" w:cs="Arial"/>
          <w:color w:val="000000" w:themeColor="text1"/>
          <w:sz w:val="24"/>
          <w:szCs w:val="24"/>
        </w:rPr>
        <w:t xml:space="preserve"> that the PLA had lapsed</w:t>
      </w:r>
      <w:r w:rsidR="00E5040C">
        <w:rPr>
          <w:rFonts w:ascii="Arial" w:hAnsi="Arial" w:cs="Arial"/>
          <w:color w:val="000000" w:themeColor="text1"/>
          <w:sz w:val="24"/>
          <w:szCs w:val="24"/>
        </w:rPr>
        <w:t>,</w:t>
      </w:r>
      <w:r w:rsidR="00F5189C">
        <w:rPr>
          <w:rFonts w:ascii="Arial" w:hAnsi="Arial" w:cs="Arial"/>
          <w:color w:val="000000" w:themeColor="text1"/>
          <w:sz w:val="24"/>
          <w:szCs w:val="24"/>
        </w:rPr>
        <w:t xml:space="preserve"> which had not occurred). </w:t>
      </w:r>
    </w:p>
    <w:p w14:paraId="34BD9A56" w14:textId="77777777" w:rsidR="005A54C9" w:rsidRDefault="005A54C9" w:rsidP="006D4D03">
      <w:pPr>
        <w:pStyle w:val="ListParagraph"/>
        <w:spacing w:after="0" w:line="480" w:lineRule="auto"/>
        <w:rPr>
          <w:rFonts w:ascii="Arial" w:hAnsi="Arial" w:cs="Arial"/>
          <w:color w:val="000000" w:themeColor="text1"/>
          <w:sz w:val="24"/>
          <w:szCs w:val="24"/>
        </w:rPr>
      </w:pPr>
    </w:p>
    <w:p w14:paraId="68D6AFAE" w14:textId="7E4A5CFD" w:rsidR="00F5189C" w:rsidRDefault="00976E50" w:rsidP="00976E50">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[19]</w:t>
      </w:r>
      <w:r>
        <w:rPr>
          <w:rFonts w:ascii="Arial" w:hAnsi="Arial" w:cs="Arial"/>
          <w:color w:val="000000" w:themeColor="text1"/>
          <w:sz w:val="24"/>
          <w:szCs w:val="24"/>
        </w:rPr>
        <w:tab/>
      </w:r>
      <w:r w:rsidR="00F5189C">
        <w:rPr>
          <w:rFonts w:ascii="Arial" w:hAnsi="Arial" w:cs="Arial"/>
          <w:color w:val="000000" w:themeColor="text1"/>
          <w:sz w:val="24"/>
          <w:szCs w:val="24"/>
        </w:rPr>
        <w:t>There were in essence two other arguments raised by the government appellants</w:t>
      </w:r>
      <w:r w:rsidR="005A54C9">
        <w:rPr>
          <w:rFonts w:ascii="Arial" w:hAnsi="Arial" w:cs="Arial"/>
          <w:color w:val="000000" w:themeColor="text1"/>
          <w:sz w:val="24"/>
          <w:szCs w:val="24"/>
        </w:rPr>
        <w:t xml:space="preserve"> on appeal</w:t>
      </w:r>
      <w:r w:rsidR="00F5189C">
        <w:rPr>
          <w:rFonts w:ascii="Arial" w:hAnsi="Arial" w:cs="Arial"/>
          <w:color w:val="000000" w:themeColor="text1"/>
          <w:sz w:val="24"/>
          <w:szCs w:val="24"/>
        </w:rPr>
        <w:t xml:space="preserve"> which had also been raised in the court below.</w:t>
      </w:r>
    </w:p>
    <w:p w14:paraId="0F1E8945" w14:textId="77777777" w:rsidR="00F5189C" w:rsidRDefault="00F5189C" w:rsidP="00F5189C">
      <w:pPr>
        <w:pStyle w:val="ListParagraph"/>
        <w:rPr>
          <w:rFonts w:ascii="Arial" w:hAnsi="Arial" w:cs="Arial"/>
          <w:color w:val="000000" w:themeColor="text1"/>
          <w:sz w:val="24"/>
          <w:szCs w:val="24"/>
        </w:rPr>
      </w:pPr>
    </w:p>
    <w:p w14:paraId="2184D47D" w14:textId="5C8F3E00" w:rsidR="00F5189C" w:rsidRDefault="00976E50" w:rsidP="00976E50">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[20]</w:t>
      </w:r>
      <w:r>
        <w:rPr>
          <w:rFonts w:ascii="Arial" w:hAnsi="Arial" w:cs="Arial"/>
          <w:color w:val="000000" w:themeColor="text1"/>
          <w:sz w:val="24"/>
          <w:szCs w:val="24"/>
        </w:rPr>
        <w:tab/>
      </w:r>
      <w:r w:rsidR="00F5189C">
        <w:rPr>
          <w:rFonts w:ascii="Arial" w:hAnsi="Arial" w:cs="Arial"/>
          <w:color w:val="000000" w:themeColor="text1"/>
          <w:sz w:val="24"/>
          <w:szCs w:val="24"/>
        </w:rPr>
        <w:t>In the first instance, a point is raised that pri</w:t>
      </w:r>
      <w:r w:rsidR="005A54C9">
        <w:rPr>
          <w:rFonts w:ascii="Arial" w:hAnsi="Arial" w:cs="Arial"/>
          <w:color w:val="000000" w:themeColor="text1"/>
          <w:sz w:val="24"/>
          <w:szCs w:val="24"/>
        </w:rPr>
        <w:t>vi</w:t>
      </w:r>
      <w:r w:rsidR="00F5189C">
        <w:rPr>
          <w:rFonts w:ascii="Arial" w:hAnsi="Arial" w:cs="Arial"/>
          <w:color w:val="000000" w:themeColor="text1"/>
          <w:sz w:val="24"/>
          <w:szCs w:val="24"/>
        </w:rPr>
        <w:t>t</w:t>
      </w:r>
      <w:r w:rsidR="005A54C9">
        <w:rPr>
          <w:rFonts w:ascii="Arial" w:hAnsi="Arial" w:cs="Arial"/>
          <w:color w:val="000000" w:themeColor="text1"/>
          <w:sz w:val="24"/>
          <w:szCs w:val="24"/>
        </w:rPr>
        <w:t>y</w:t>
      </w:r>
      <w:r w:rsidR="00F5189C">
        <w:rPr>
          <w:rFonts w:ascii="Arial" w:hAnsi="Arial" w:cs="Arial"/>
          <w:color w:val="000000" w:themeColor="text1"/>
          <w:sz w:val="24"/>
          <w:szCs w:val="24"/>
        </w:rPr>
        <w:t xml:space="preserve"> of contract would preclude an order compelling the Minister and NDC to consider consent. Counsel contended that clause 22 </w:t>
      </w:r>
      <w:r w:rsidR="00345992">
        <w:rPr>
          <w:rFonts w:ascii="Arial" w:hAnsi="Arial" w:cs="Arial"/>
          <w:color w:val="000000" w:themeColor="text1"/>
          <w:sz w:val="24"/>
          <w:szCs w:val="24"/>
        </w:rPr>
        <w:t xml:space="preserve">of the </w:t>
      </w:r>
      <w:r w:rsidR="00F5189C">
        <w:rPr>
          <w:rFonts w:ascii="Arial" w:hAnsi="Arial" w:cs="Arial"/>
          <w:color w:val="000000" w:themeColor="text1"/>
          <w:sz w:val="24"/>
          <w:szCs w:val="24"/>
        </w:rPr>
        <w:t>sale of shares agreement is not enforceable as</w:t>
      </w:r>
      <w:r w:rsidR="00472884">
        <w:rPr>
          <w:rFonts w:ascii="Arial" w:hAnsi="Arial" w:cs="Arial"/>
          <w:color w:val="000000" w:themeColor="text1"/>
          <w:sz w:val="24"/>
          <w:szCs w:val="24"/>
        </w:rPr>
        <w:t xml:space="preserve"> against the Minister (and NDC) and that the court </w:t>
      </w:r>
      <w:r w:rsidR="00345992" w:rsidRPr="00345992">
        <w:rPr>
          <w:rFonts w:ascii="Arial" w:hAnsi="Arial" w:cs="Arial"/>
          <w:i/>
          <w:color w:val="000000" w:themeColor="text1"/>
          <w:sz w:val="24"/>
          <w:szCs w:val="24"/>
        </w:rPr>
        <w:t>a quo</w:t>
      </w:r>
      <w:r w:rsidR="00345992">
        <w:rPr>
          <w:rFonts w:ascii="Arial" w:hAnsi="Arial" w:cs="Arial"/>
          <w:color w:val="000000" w:themeColor="text1"/>
          <w:sz w:val="24"/>
          <w:szCs w:val="24"/>
        </w:rPr>
        <w:t xml:space="preserve"> </w:t>
      </w:r>
      <w:r w:rsidR="00472884">
        <w:rPr>
          <w:rFonts w:ascii="Arial" w:hAnsi="Arial" w:cs="Arial"/>
          <w:color w:val="000000" w:themeColor="text1"/>
          <w:sz w:val="24"/>
          <w:szCs w:val="24"/>
        </w:rPr>
        <w:t>erred in directing him to make a decision on the issue.</w:t>
      </w:r>
    </w:p>
    <w:p w14:paraId="7FD890A1" w14:textId="77777777" w:rsidR="00F5189C" w:rsidRDefault="00F5189C" w:rsidP="006D4D03">
      <w:pPr>
        <w:pStyle w:val="ListParagraph"/>
        <w:spacing w:after="0" w:line="480" w:lineRule="auto"/>
        <w:rPr>
          <w:rFonts w:ascii="Arial" w:hAnsi="Arial" w:cs="Arial"/>
          <w:color w:val="000000" w:themeColor="text1"/>
          <w:sz w:val="24"/>
          <w:szCs w:val="24"/>
        </w:rPr>
      </w:pPr>
    </w:p>
    <w:p w14:paraId="32316CCC" w14:textId="55EC1284" w:rsidR="00F5189C" w:rsidRDefault="00976E50" w:rsidP="00976E50">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[21]</w:t>
      </w:r>
      <w:r>
        <w:rPr>
          <w:rFonts w:ascii="Arial" w:hAnsi="Arial" w:cs="Arial"/>
          <w:color w:val="000000" w:themeColor="text1"/>
          <w:sz w:val="24"/>
          <w:szCs w:val="24"/>
        </w:rPr>
        <w:tab/>
      </w:r>
      <w:r w:rsidR="00F5189C">
        <w:rPr>
          <w:rFonts w:ascii="Arial" w:hAnsi="Arial" w:cs="Arial"/>
          <w:color w:val="000000" w:themeColor="text1"/>
          <w:sz w:val="24"/>
          <w:szCs w:val="24"/>
        </w:rPr>
        <w:t xml:space="preserve">The second argument mounted against the judgment and order of the High Court is based upon s 17B of the Act. It was argued that s 17B of the Act requires a statutory application by </w:t>
      </w:r>
      <w:r w:rsidR="00472884">
        <w:rPr>
          <w:rFonts w:ascii="Arial" w:hAnsi="Arial" w:cs="Arial"/>
          <w:color w:val="000000" w:themeColor="text1"/>
          <w:sz w:val="24"/>
          <w:szCs w:val="24"/>
        </w:rPr>
        <w:t xml:space="preserve">Serve as a </w:t>
      </w:r>
      <w:r w:rsidR="00F5189C">
        <w:rPr>
          <w:rFonts w:ascii="Arial" w:hAnsi="Arial" w:cs="Arial"/>
          <w:color w:val="000000" w:themeColor="text1"/>
          <w:sz w:val="24"/>
          <w:szCs w:val="24"/>
        </w:rPr>
        <w:t xml:space="preserve">foreign national to obtain written authorisation of the Minister before applying to acquire a customary land right or </w:t>
      </w:r>
      <w:r w:rsidR="005A54C9">
        <w:rPr>
          <w:rFonts w:ascii="Arial" w:hAnsi="Arial" w:cs="Arial"/>
          <w:color w:val="000000" w:themeColor="text1"/>
          <w:sz w:val="24"/>
          <w:szCs w:val="24"/>
        </w:rPr>
        <w:t xml:space="preserve">a </w:t>
      </w:r>
      <w:r w:rsidR="00F5189C">
        <w:rPr>
          <w:rFonts w:ascii="Arial" w:hAnsi="Arial" w:cs="Arial"/>
          <w:color w:val="000000" w:themeColor="text1"/>
          <w:sz w:val="24"/>
          <w:szCs w:val="24"/>
        </w:rPr>
        <w:t>right of lease</w:t>
      </w:r>
      <w:r w:rsidR="005A54C9">
        <w:rPr>
          <w:rFonts w:ascii="Arial" w:hAnsi="Arial" w:cs="Arial"/>
          <w:color w:val="000000" w:themeColor="text1"/>
          <w:sz w:val="24"/>
          <w:szCs w:val="24"/>
        </w:rPr>
        <w:t>-</w:t>
      </w:r>
      <w:r w:rsidR="00F5189C">
        <w:rPr>
          <w:rFonts w:ascii="Arial" w:hAnsi="Arial" w:cs="Arial"/>
          <w:color w:val="000000" w:themeColor="text1"/>
          <w:sz w:val="24"/>
          <w:szCs w:val="24"/>
        </w:rPr>
        <w:t xml:space="preserve">hold. Counsel contended that Serve was a foreign national for the purpose of this provision, despite being a Namibian registered company but because its shareholding was held by foreign registered companies. It was argued that the High Court erred by not holding that s 17B </w:t>
      </w:r>
      <w:r w:rsidR="00472884">
        <w:rPr>
          <w:rFonts w:ascii="Arial" w:hAnsi="Arial" w:cs="Arial"/>
          <w:color w:val="000000" w:themeColor="text1"/>
          <w:sz w:val="24"/>
          <w:szCs w:val="24"/>
        </w:rPr>
        <w:t xml:space="preserve">also </w:t>
      </w:r>
      <w:r w:rsidR="00F5189C">
        <w:rPr>
          <w:rFonts w:ascii="Arial" w:hAnsi="Arial" w:cs="Arial"/>
          <w:color w:val="000000" w:themeColor="text1"/>
          <w:sz w:val="24"/>
          <w:szCs w:val="24"/>
        </w:rPr>
        <w:t>precludes the relief granted.</w:t>
      </w:r>
    </w:p>
    <w:p w14:paraId="2D278EC6" w14:textId="77777777" w:rsidR="00F5189C" w:rsidRDefault="00F5189C" w:rsidP="006D4D03">
      <w:pPr>
        <w:pStyle w:val="ListParagraph"/>
        <w:spacing w:after="0" w:line="480" w:lineRule="auto"/>
        <w:rPr>
          <w:rFonts w:ascii="Arial" w:hAnsi="Arial" w:cs="Arial"/>
          <w:color w:val="000000" w:themeColor="text1"/>
          <w:sz w:val="24"/>
          <w:szCs w:val="24"/>
        </w:rPr>
      </w:pPr>
    </w:p>
    <w:p w14:paraId="619D1267" w14:textId="4C46DF29" w:rsidR="00F5189C" w:rsidRDefault="00976E50" w:rsidP="00976E50">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[22]</w:t>
      </w:r>
      <w:r>
        <w:rPr>
          <w:rFonts w:ascii="Arial" w:hAnsi="Arial" w:cs="Arial"/>
          <w:color w:val="000000" w:themeColor="text1"/>
          <w:sz w:val="24"/>
          <w:szCs w:val="24"/>
        </w:rPr>
        <w:tab/>
      </w:r>
      <w:r w:rsidR="00F5189C">
        <w:rPr>
          <w:rFonts w:ascii="Arial" w:hAnsi="Arial" w:cs="Arial"/>
          <w:color w:val="000000" w:themeColor="text1"/>
          <w:sz w:val="24"/>
          <w:szCs w:val="24"/>
        </w:rPr>
        <w:t>Counsel for Serve argued that s 17B did not apply to this matter</w:t>
      </w:r>
      <w:r w:rsidR="005A54C9">
        <w:rPr>
          <w:rFonts w:ascii="Arial" w:hAnsi="Arial" w:cs="Arial"/>
          <w:color w:val="000000" w:themeColor="text1"/>
          <w:sz w:val="24"/>
          <w:szCs w:val="24"/>
        </w:rPr>
        <w:t xml:space="preserve"> – an issue which </w:t>
      </w:r>
      <w:r w:rsidR="00F5189C">
        <w:rPr>
          <w:rFonts w:ascii="Arial" w:hAnsi="Arial" w:cs="Arial"/>
          <w:color w:val="000000" w:themeColor="text1"/>
          <w:sz w:val="24"/>
          <w:szCs w:val="24"/>
        </w:rPr>
        <w:t xml:space="preserve">had not been raised by the Minister until his answering affidavit to the application. Counsel also pointed out that the Act does not define a foreign national. It was argued that when the legislature intended to make provision for special definitions to apply to locally incorporated legal entities for </w:t>
      </w:r>
      <w:r w:rsidR="00A81986">
        <w:rPr>
          <w:rFonts w:ascii="Arial" w:hAnsi="Arial" w:cs="Arial"/>
          <w:color w:val="000000" w:themeColor="text1"/>
          <w:sz w:val="24"/>
          <w:szCs w:val="24"/>
        </w:rPr>
        <w:t xml:space="preserve">the purpose of being regarded as foreign nationals because </w:t>
      </w:r>
      <w:r w:rsidR="00924F2E">
        <w:rPr>
          <w:rFonts w:ascii="Arial" w:hAnsi="Arial" w:cs="Arial"/>
          <w:color w:val="000000" w:themeColor="text1"/>
          <w:sz w:val="24"/>
          <w:szCs w:val="24"/>
        </w:rPr>
        <w:t xml:space="preserve">of </w:t>
      </w:r>
      <w:r w:rsidR="00055EEC">
        <w:rPr>
          <w:rFonts w:ascii="Arial" w:hAnsi="Arial" w:cs="Arial"/>
          <w:color w:val="000000" w:themeColor="text1"/>
          <w:sz w:val="24"/>
          <w:szCs w:val="24"/>
        </w:rPr>
        <w:t xml:space="preserve">their shareholding, this </w:t>
      </w:r>
      <w:r w:rsidR="00472884">
        <w:rPr>
          <w:rFonts w:ascii="Arial" w:hAnsi="Arial" w:cs="Arial"/>
          <w:color w:val="000000" w:themeColor="text1"/>
          <w:sz w:val="24"/>
          <w:szCs w:val="24"/>
        </w:rPr>
        <w:t>needed to be</w:t>
      </w:r>
      <w:r w:rsidR="00055EEC">
        <w:rPr>
          <w:rFonts w:ascii="Arial" w:hAnsi="Arial" w:cs="Arial"/>
          <w:color w:val="000000" w:themeColor="text1"/>
          <w:sz w:val="24"/>
          <w:szCs w:val="24"/>
        </w:rPr>
        <w:t xml:space="preserve"> specifically done. In the absence of </w:t>
      </w:r>
      <w:r w:rsidR="00472884">
        <w:rPr>
          <w:rFonts w:ascii="Arial" w:hAnsi="Arial" w:cs="Arial"/>
          <w:color w:val="000000" w:themeColor="text1"/>
          <w:sz w:val="24"/>
          <w:szCs w:val="24"/>
        </w:rPr>
        <w:t xml:space="preserve">a </w:t>
      </w:r>
      <w:r w:rsidR="00055EEC">
        <w:rPr>
          <w:rFonts w:ascii="Arial" w:hAnsi="Arial" w:cs="Arial"/>
          <w:color w:val="000000" w:themeColor="text1"/>
          <w:sz w:val="24"/>
          <w:szCs w:val="24"/>
        </w:rPr>
        <w:t>specific provision of that nature, counsel submitted that a locally registered company with its princip</w:t>
      </w:r>
      <w:r w:rsidR="00924F2E">
        <w:rPr>
          <w:rFonts w:ascii="Arial" w:hAnsi="Arial" w:cs="Arial"/>
          <w:color w:val="000000" w:themeColor="text1"/>
          <w:sz w:val="24"/>
          <w:szCs w:val="24"/>
        </w:rPr>
        <w:t>al</w:t>
      </w:r>
      <w:r w:rsidR="00055EEC">
        <w:rPr>
          <w:rFonts w:ascii="Arial" w:hAnsi="Arial" w:cs="Arial"/>
          <w:color w:val="000000" w:themeColor="text1"/>
          <w:sz w:val="24"/>
          <w:szCs w:val="24"/>
        </w:rPr>
        <w:t xml:space="preserve"> </w:t>
      </w:r>
      <w:r w:rsidR="00B16332">
        <w:rPr>
          <w:rFonts w:ascii="Arial" w:hAnsi="Arial" w:cs="Arial"/>
          <w:color w:val="000000" w:themeColor="text1"/>
          <w:sz w:val="24"/>
          <w:szCs w:val="24"/>
        </w:rPr>
        <w:t xml:space="preserve">place </w:t>
      </w:r>
      <w:r w:rsidR="00055EEC">
        <w:rPr>
          <w:rFonts w:ascii="Arial" w:hAnsi="Arial" w:cs="Arial"/>
          <w:color w:val="000000" w:themeColor="text1"/>
          <w:sz w:val="24"/>
          <w:szCs w:val="24"/>
        </w:rPr>
        <w:t>of business</w:t>
      </w:r>
      <w:r w:rsidR="00472884">
        <w:rPr>
          <w:rFonts w:ascii="Arial" w:hAnsi="Arial" w:cs="Arial"/>
          <w:color w:val="000000" w:themeColor="text1"/>
          <w:sz w:val="24"/>
          <w:szCs w:val="24"/>
        </w:rPr>
        <w:t xml:space="preserve"> and domicile</w:t>
      </w:r>
      <w:r w:rsidR="00055EEC">
        <w:rPr>
          <w:rFonts w:ascii="Arial" w:hAnsi="Arial" w:cs="Arial"/>
          <w:color w:val="000000" w:themeColor="text1"/>
          <w:sz w:val="24"/>
          <w:szCs w:val="24"/>
        </w:rPr>
        <w:t xml:space="preserve"> in Namibia would be regarded as a local company </w:t>
      </w:r>
      <w:r w:rsidR="00472884">
        <w:rPr>
          <w:rFonts w:ascii="Arial" w:hAnsi="Arial" w:cs="Arial"/>
          <w:color w:val="000000" w:themeColor="text1"/>
          <w:sz w:val="24"/>
          <w:szCs w:val="24"/>
        </w:rPr>
        <w:t>and not a foreign national</w:t>
      </w:r>
      <w:r w:rsidR="00055EEC">
        <w:rPr>
          <w:rFonts w:ascii="Arial" w:hAnsi="Arial" w:cs="Arial"/>
          <w:color w:val="000000" w:themeColor="text1"/>
          <w:sz w:val="24"/>
          <w:szCs w:val="24"/>
        </w:rPr>
        <w:t>.</w:t>
      </w:r>
    </w:p>
    <w:p w14:paraId="61D7D667" w14:textId="77777777" w:rsidR="00055EEC" w:rsidRDefault="00055EEC" w:rsidP="006D4D03">
      <w:pPr>
        <w:pStyle w:val="ListParagraph"/>
        <w:spacing w:after="0" w:line="480" w:lineRule="auto"/>
        <w:rPr>
          <w:rFonts w:ascii="Arial" w:hAnsi="Arial" w:cs="Arial"/>
          <w:color w:val="000000" w:themeColor="text1"/>
          <w:sz w:val="24"/>
          <w:szCs w:val="24"/>
        </w:rPr>
      </w:pPr>
    </w:p>
    <w:p w14:paraId="30491738" w14:textId="6D6B6677" w:rsidR="00055EEC" w:rsidRDefault="00976E50" w:rsidP="00976E50">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[23]</w:t>
      </w:r>
      <w:r>
        <w:rPr>
          <w:rFonts w:ascii="Arial" w:hAnsi="Arial" w:cs="Arial"/>
          <w:color w:val="000000" w:themeColor="text1"/>
          <w:sz w:val="24"/>
          <w:szCs w:val="24"/>
        </w:rPr>
        <w:tab/>
      </w:r>
      <w:r w:rsidR="00055EEC">
        <w:rPr>
          <w:rFonts w:ascii="Arial" w:hAnsi="Arial" w:cs="Arial"/>
          <w:color w:val="000000" w:themeColor="text1"/>
          <w:sz w:val="24"/>
          <w:szCs w:val="24"/>
        </w:rPr>
        <w:t xml:space="preserve">Counsel also argued that the nature of </w:t>
      </w:r>
      <w:r w:rsidR="00997828">
        <w:rPr>
          <w:rFonts w:ascii="Arial" w:hAnsi="Arial" w:cs="Arial"/>
          <w:color w:val="000000" w:themeColor="text1"/>
          <w:sz w:val="24"/>
          <w:szCs w:val="24"/>
        </w:rPr>
        <w:t>Agri-Pro</w:t>
      </w:r>
      <w:r w:rsidR="00055EEC">
        <w:rPr>
          <w:rFonts w:ascii="Arial" w:hAnsi="Arial" w:cs="Arial"/>
          <w:color w:val="000000" w:themeColor="text1"/>
          <w:sz w:val="24"/>
          <w:szCs w:val="24"/>
        </w:rPr>
        <w:t xml:space="preserve">’s rights under </w:t>
      </w:r>
      <w:r w:rsidR="00472884">
        <w:rPr>
          <w:rFonts w:ascii="Arial" w:hAnsi="Arial" w:cs="Arial"/>
          <w:color w:val="000000" w:themeColor="text1"/>
          <w:sz w:val="24"/>
          <w:szCs w:val="24"/>
        </w:rPr>
        <w:t xml:space="preserve">the </w:t>
      </w:r>
      <w:r w:rsidR="00055EEC">
        <w:rPr>
          <w:rFonts w:ascii="Arial" w:hAnsi="Arial" w:cs="Arial"/>
          <w:color w:val="000000" w:themeColor="text1"/>
          <w:sz w:val="24"/>
          <w:szCs w:val="24"/>
        </w:rPr>
        <w:t xml:space="preserve">PLA </w:t>
      </w:r>
      <w:r w:rsidR="005A54C9">
        <w:rPr>
          <w:rFonts w:ascii="Arial" w:hAnsi="Arial" w:cs="Arial"/>
          <w:color w:val="000000" w:themeColor="text1"/>
          <w:sz w:val="24"/>
          <w:szCs w:val="24"/>
        </w:rPr>
        <w:t xml:space="preserve">furthermore </w:t>
      </w:r>
      <w:r w:rsidR="00055EEC">
        <w:rPr>
          <w:rFonts w:ascii="Arial" w:hAnsi="Arial" w:cs="Arial"/>
          <w:color w:val="000000" w:themeColor="text1"/>
          <w:sz w:val="24"/>
          <w:szCs w:val="24"/>
        </w:rPr>
        <w:t>do not amount to a customary land right or the right of lease</w:t>
      </w:r>
      <w:r w:rsidR="005A54C9">
        <w:rPr>
          <w:rFonts w:ascii="Arial" w:hAnsi="Arial" w:cs="Arial"/>
          <w:color w:val="000000" w:themeColor="text1"/>
          <w:sz w:val="24"/>
          <w:szCs w:val="24"/>
        </w:rPr>
        <w:t>-</w:t>
      </w:r>
      <w:r w:rsidR="00055EEC">
        <w:rPr>
          <w:rFonts w:ascii="Arial" w:hAnsi="Arial" w:cs="Arial"/>
          <w:color w:val="000000" w:themeColor="text1"/>
          <w:sz w:val="24"/>
          <w:szCs w:val="24"/>
        </w:rPr>
        <w:t xml:space="preserve">hold. It was contended that the PLA entailed a contract for </w:t>
      </w:r>
      <w:r w:rsidR="00997828">
        <w:rPr>
          <w:rFonts w:ascii="Arial" w:hAnsi="Arial" w:cs="Arial"/>
          <w:color w:val="000000" w:themeColor="text1"/>
          <w:sz w:val="24"/>
          <w:szCs w:val="24"/>
        </w:rPr>
        <w:t>Agri-Pro</w:t>
      </w:r>
      <w:r w:rsidR="00055EEC">
        <w:rPr>
          <w:rFonts w:ascii="Arial" w:hAnsi="Arial" w:cs="Arial"/>
          <w:color w:val="000000" w:themeColor="text1"/>
          <w:sz w:val="24"/>
          <w:szCs w:val="24"/>
        </w:rPr>
        <w:t xml:space="preserve"> to operate, develop and manage the agricultural project and the land for the promotion of agricultural production. It was thus not necessary, so counsel contended, for Serve to make an application under s 17B.</w:t>
      </w:r>
    </w:p>
    <w:p w14:paraId="7F0C8519" w14:textId="77777777" w:rsidR="00055EEC" w:rsidRDefault="00055EEC" w:rsidP="006D4D03">
      <w:pPr>
        <w:pStyle w:val="ListParagraph"/>
        <w:spacing w:after="0" w:line="480" w:lineRule="auto"/>
        <w:rPr>
          <w:rFonts w:ascii="Arial" w:hAnsi="Arial" w:cs="Arial"/>
          <w:color w:val="000000" w:themeColor="text1"/>
          <w:sz w:val="24"/>
          <w:szCs w:val="24"/>
        </w:rPr>
      </w:pPr>
    </w:p>
    <w:p w14:paraId="1E5B1468" w14:textId="64E9839F" w:rsidR="00055EEC" w:rsidRDefault="00976E50" w:rsidP="00976E50">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[24]</w:t>
      </w:r>
      <w:r>
        <w:rPr>
          <w:rFonts w:ascii="Arial" w:hAnsi="Arial" w:cs="Arial"/>
          <w:color w:val="000000" w:themeColor="text1"/>
          <w:sz w:val="24"/>
          <w:szCs w:val="24"/>
        </w:rPr>
        <w:tab/>
      </w:r>
      <w:r w:rsidR="00055EEC">
        <w:rPr>
          <w:rFonts w:ascii="Arial" w:hAnsi="Arial" w:cs="Arial"/>
          <w:color w:val="000000" w:themeColor="text1"/>
          <w:sz w:val="24"/>
          <w:szCs w:val="24"/>
        </w:rPr>
        <w:t xml:space="preserve">As to the point of </w:t>
      </w:r>
      <w:r w:rsidR="005A54C9">
        <w:rPr>
          <w:rFonts w:ascii="Arial" w:hAnsi="Arial" w:cs="Arial"/>
          <w:color w:val="000000" w:themeColor="text1"/>
          <w:sz w:val="24"/>
          <w:szCs w:val="24"/>
        </w:rPr>
        <w:t>privity</w:t>
      </w:r>
      <w:r w:rsidR="00055EEC">
        <w:rPr>
          <w:rFonts w:ascii="Arial" w:hAnsi="Arial" w:cs="Arial"/>
          <w:color w:val="000000" w:themeColor="text1"/>
          <w:sz w:val="24"/>
          <w:szCs w:val="24"/>
        </w:rPr>
        <w:t xml:space="preserve"> of contract, it was argued that the right of the Minister</w:t>
      </w:r>
      <w:r w:rsidR="005A54C9">
        <w:rPr>
          <w:rFonts w:ascii="Arial" w:hAnsi="Arial" w:cs="Arial"/>
          <w:color w:val="000000" w:themeColor="text1"/>
          <w:sz w:val="24"/>
          <w:szCs w:val="24"/>
        </w:rPr>
        <w:t xml:space="preserve"> to consider and consent </w:t>
      </w:r>
      <w:r w:rsidR="00055EEC">
        <w:rPr>
          <w:rFonts w:ascii="Arial" w:hAnsi="Arial" w:cs="Arial"/>
          <w:color w:val="000000" w:themeColor="text1"/>
          <w:sz w:val="24"/>
          <w:szCs w:val="24"/>
        </w:rPr>
        <w:t xml:space="preserve">or not is contained in </w:t>
      </w:r>
      <w:r w:rsidR="00472884">
        <w:rPr>
          <w:rFonts w:ascii="Arial" w:hAnsi="Arial" w:cs="Arial"/>
          <w:color w:val="000000" w:themeColor="text1"/>
          <w:sz w:val="24"/>
          <w:szCs w:val="24"/>
        </w:rPr>
        <w:t>a</w:t>
      </w:r>
      <w:r w:rsidR="00055EEC">
        <w:rPr>
          <w:rFonts w:ascii="Arial" w:hAnsi="Arial" w:cs="Arial"/>
          <w:color w:val="000000" w:themeColor="text1"/>
          <w:sz w:val="24"/>
          <w:szCs w:val="24"/>
        </w:rPr>
        <w:t>rt</w:t>
      </w:r>
      <w:r w:rsidR="00472884">
        <w:rPr>
          <w:rFonts w:ascii="Arial" w:hAnsi="Arial" w:cs="Arial"/>
          <w:color w:val="000000" w:themeColor="text1"/>
          <w:sz w:val="24"/>
          <w:szCs w:val="24"/>
        </w:rPr>
        <w:t>i</w:t>
      </w:r>
      <w:r w:rsidR="00345992">
        <w:rPr>
          <w:rFonts w:ascii="Arial" w:hAnsi="Arial" w:cs="Arial"/>
          <w:color w:val="000000" w:themeColor="text1"/>
          <w:sz w:val="24"/>
          <w:szCs w:val="24"/>
        </w:rPr>
        <w:t>c</w:t>
      </w:r>
      <w:r w:rsidR="00472884">
        <w:rPr>
          <w:rFonts w:ascii="Arial" w:hAnsi="Arial" w:cs="Arial"/>
          <w:color w:val="000000" w:themeColor="text1"/>
          <w:sz w:val="24"/>
          <w:szCs w:val="24"/>
        </w:rPr>
        <w:t>le</w:t>
      </w:r>
      <w:r w:rsidR="00055EEC">
        <w:rPr>
          <w:rFonts w:ascii="Arial" w:hAnsi="Arial" w:cs="Arial"/>
          <w:color w:val="000000" w:themeColor="text1"/>
          <w:sz w:val="24"/>
          <w:szCs w:val="24"/>
        </w:rPr>
        <w:t xml:space="preserve"> 11.1 of the PLA and that </w:t>
      </w:r>
      <w:r w:rsidR="00472884">
        <w:rPr>
          <w:rFonts w:ascii="Arial" w:hAnsi="Arial" w:cs="Arial"/>
          <w:color w:val="000000" w:themeColor="text1"/>
          <w:sz w:val="24"/>
          <w:szCs w:val="24"/>
        </w:rPr>
        <w:t xml:space="preserve">clause 22 in </w:t>
      </w:r>
      <w:r w:rsidR="00055EEC">
        <w:rPr>
          <w:rFonts w:ascii="Arial" w:hAnsi="Arial" w:cs="Arial"/>
          <w:color w:val="000000" w:themeColor="text1"/>
          <w:sz w:val="24"/>
          <w:szCs w:val="24"/>
        </w:rPr>
        <w:t xml:space="preserve">the sale of shares agreement </w:t>
      </w:r>
      <w:r w:rsidR="00472884">
        <w:rPr>
          <w:rFonts w:ascii="Arial" w:hAnsi="Arial" w:cs="Arial"/>
          <w:color w:val="000000" w:themeColor="text1"/>
          <w:sz w:val="24"/>
          <w:szCs w:val="24"/>
        </w:rPr>
        <w:t>merely</w:t>
      </w:r>
      <w:r w:rsidR="00055EEC">
        <w:rPr>
          <w:rFonts w:ascii="Arial" w:hAnsi="Arial" w:cs="Arial"/>
          <w:color w:val="000000" w:themeColor="text1"/>
          <w:sz w:val="24"/>
          <w:szCs w:val="24"/>
        </w:rPr>
        <w:t xml:space="preserve"> g</w:t>
      </w:r>
      <w:r w:rsidR="005A54C9">
        <w:rPr>
          <w:rFonts w:ascii="Arial" w:hAnsi="Arial" w:cs="Arial"/>
          <w:color w:val="000000" w:themeColor="text1"/>
          <w:sz w:val="24"/>
          <w:szCs w:val="24"/>
        </w:rPr>
        <w:t>a</w:t>
      </w:r>
      <w:r w:rsidR="00055EEC">
        <w:rPr>
          <w:rFonts w:ascii="Arial" w:hAnsi="Arial" w:cs="Arial"/>
          <w:color w:val="000000" w:themeColor="text1"/>
          <w:sz w:val="24"/>
          <w:szCs w:val="24"/>
        </w:rPr>
        <w:t xml:space="preserve">ve effect to </w:t>
      </w:r>
      <w:r w:rsidR="00472884">
        <w:rPr>
          <w:rFonts w:ascii="Arial" w:hAnsi="Arial" w:cs="Arial"/>
          <w:color w:val="000000" w:themeColor="text1"/>
          <w:sz w:val="24"/>
          <w:szCs w:val="24"/>
        </w:rPr>
        <w:t>article 11.1</w:t>
      </w:r>
      <w:r w:rsidR="00055EEC">
        <w:rPr>
          <w:rFonts w:ascii="Arial" w:hAnsi="Arial" w:cs="Arial"/>
          <w:color w:val="000000" w:themeColor="text1"/>
          <w:sz w:val="24"/>
          <w:szCs w:val="24"/>
        </w:rPr>
        <w:t>. The agreements, so counsel contended, were ‘tied at the hip’ and that the point had no merit.</w:t>
      </w:r>
    </w:p>
    <w:p w14:paraId="272AAB3B" w14:textId="77777777" w:rsidR="00055EEC" w:rsidRDefault="00055EEC" w:rsidP="006D4D03">
      <w:pPr>
        <w:pStyle w:val="ListParagraph"/>
        <w:spacing w:after="0" w:line="480" w:lineRule="auto"/>
        <w:rPr>
          <w:rFonts w:ascii="Arial" w:hAnsi="Arial" w:cs="Arial"/>
          <w:color w:val="000000" w:themeColor="text1"/>
          <w:sz w:val="24"/>
          <w:szCs w:val="24"/>
        </w:rPr>
      </w:pPr>
    </w:p>
    <w:p w14:paraId="2AF7BAEB" w14:textId="4E71201B" w:rsidR="00055EEC" w:rsidRDefault="00976E50" w:rsidP="00976E50">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[25]</w:t>
      </w:r>
      <w:r>
        <w:rPr>
          <w:rFonts w:ascii="Arial" w:hAnsi="Arial" w:cs="Arial"/>
          <w:color w:val="000000" w:themeColor="text1"/>
          <w:sz w:val="24"/>
          <w:szCs w:val="24"/>
        </w:rPr>
        <w:tab/>
      </w:r>
      <w:r w:rsidR="00055EEC">
        <w:rPr>
          <w:rFonts w:ascii="Arial" w:hAnsi="Arial" w:cs="Arial"/>
          <w:color w:val="000000" w:themeColor="text1"/>
          <w:sz w:val="24"/>
          <w:szCs w:val="24"/>
        </w:rPr>
        <w:t xml:space="preserve">Counsel also argued that the nature of the project within the Green Scheme initiative involved the exercise of public power by the Minister and that the decision making is of an administrative nature and amounted to administrative action. The Minister was thus obliged to consider the application for consent as a contractual </w:t>
      </w:r>
      <w:r w:rsidR="005A54C9">
        <w:rPr>
          <w:rFonts w:ascii="Arial" w:hAnsi="Arial" w:cs="Arial"/>
          <w:color w:val="000000" w:themeColor="text1"/>
          <w:sz w:val="24"/>
          <w:szCs w:val="24"/>
        </w:rPr>
        <w:t xml:space="preserve">matter </w:t>
      </w:r>
      <w:r w:rsidR="00055EEC">
        <w:rPr>
          <w:rFonts w:ascii="Arial" w:hAnsi="Arial" w:cs="Arial"/>
          <w:color w:val="000000" w:themeColor="text1"/>
          <w:sz w:val="24"/>
          <w:szCs w:val="24"/>
        </w:rPr>
        <w:t>and in the exercise of administrati</w:t>
      </w:r>
      <w:r w:rsidR="00924F2E">
        <w:rPr>
          <w:rFonts w:ascii="Arial" w:hAnsi="Arial" w:cs="Arial"/>
          <w:color w:val="000000" w:themeColor="text1"/>
          <w:sz w:val="24"/>
          <w:szCs w:val="24"/>
        </w:rPr>
        <w:t>ve</w:t>
      </w:r>
      <w:r w:rsidR="00055EEC">
        <w:rPr>
          <w:rFonts w:ascii="Arial" w:hAnsi="Arial" w:cs="Arial"/>
          <w:color w:val="000000" w:themeColor="text1"/>
          <w:sz w:val="24"/>
          <w:szCs w:val="24"/>
        </w:rPr>
        <w:t xml:space="preserve"> powers.</w:t>
      </w:r>
    </w:p>
    <w:p w14:paraId="7CCAA3F5" w14:textId="77777777" w:rsidR="00055EEC" w:rsidRDefault="00055EEC" w:rsidP="006D4D03">
      <w:pPr>
        <w:pStyle w:val="ListParagraph"/>
        <w:spacing w:after="0" w:line="480" w:lineRule="auto"/>
        <w:rPr>
          <w:rFonts w:ascii="Arial" w:hAnsi="Arial" w:cs="Arial"/>
          <w:color w:val="000000" w:themeColor="text1"/>
          <w:sz w:val="24"/>
          <w:szCs w:val="24"/>
        </w:rPr>
      </w:pPr>
    </w:p>
    <w:p w14:paraId="0500DF00" w14:textId="50D31FA0" w:rsidR="00055EEC" w:rsidRDefault="00976E50" w:rsidP="00976E50">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[26]</w:t>
      </w:r>
      <w:r>
        <w:rPr>
          <w:rFonts w:ascii="Arial" w:hAnsi="Arial" w:cs="Arial"/>
          <w:color w:val="000000" w:themeColor="text1"/>
          <w:sz w:val="24"/>
          <w:szCs w:val="24"/>
        </w:rPr>
        <w:tab/>
      </w:r>
      <w:r w:rsidR="00055EEC">
        <w:rPr>
          <w:rFonts w:ascii="Arial" w:hAnsi="Arial" w:cs="Arial"/>
          <w:color w:val="000000" w:themeColor="text1"/>
          <w:sz w:val="24"/>
          <w:szCs w:val="24"/>
        </w:rPr>
        <w:t xml:space="preserve">It was argued that the protracted period of inaction coupled with the failure to raise any objection or even concern on the merits </w:t>
      </w:r>
      <w:r w:rsidR="00472884">
        <w:rPr>
          <w:rFonts w:ascii="Arial" w:hAnsi="Arial" w:cs="Arial"/>
          <w:color w:val="000000" w:themeColor="text1"/>
          <w:sz w:val="24"/>
          <w:szCs w:val="24"/>
        </w:rPr>
        <w:t xml:space="preserve">of Serve’s application for consent </w:t>
      </w:r>
      <w:r w:rsidR="00055EEC">
        <w:rPr>
          <w:rFonts w:ascii="Arial" w:hAnsi="Arial" w:cs="Arial"/>
          <w:color w:val="000000" w:themeColor="text1"/>
          <w:sz w:val="24"/>
          <w:szCs w:val="24"/>
        </w:rPr>
        <w:t>meant that the High Court should have ordered the Minister to grant consent or declaring that consent</w:t>
      </w:r>
      <w:r w:rsidR="005A54C9" w:rsidRPr="005A54C9">
        <w:rPr>
          <w:rFonts w:ascii="Arial" w:hAnsi="Arial" w:cs="Arial"/>
          <w:color w:val="000000" w:themeColor="text1"/>
          <w:sz w:val="24"/>
          <w:szCs w:val="24"/>
        </w:rPr>
        <w:t xml:space="preserve"> </w:t>
      </w:r>
      <w:r w:rsidR="005A54C9">
        <w:rPr>
          <w:rFonts w:ascii="Arial" w:hAnsi="Arial" w:cs="Arial"/>
          <w:color w:val="000000" w:themeColor="text1"/>
          <w:sz w:val="24"/>
          <w:szCs w:val="24"/>
        </w:rPr>
        <w:t xml:space="preserve">be deemed to have </w:t>
      </w:r>
      <w:r w:rsidR="00472884">
        <w:rPr>
          <w:rFonts w:ascii="Arial" w:hAnsi="Arial" w:cs="Arial"/>
          <w:color w:val="000000" w:themeColor="text1"/>
          <w:sz w:val="24"/>
          <w:szCs w:val="24"/>
        </w:rPr>
        <w:t>been given</w:t>
      </w:r>
      <w:r w:rsidR="00055EEC">
        <w:rPr>
          <w:rFonts w:ascii="Arial" w:hAnsi="Arial" w:cs="Arial"/>
          <w:color w:val="000000" w:themeColor="text1"/>
          <w:sz w:val="24"/>
          <w:szCs w:val="24"/>
        </w:rPr>
        <w:t>.</w:t>
      </w:r>
    </w:p>
    <w:p w14:paraId="0D77B32F" w14:textId="77777777" w:rsidR="005F3F8C" w:rsidRDefault="005F3F8C" w:rsidP="005F3F8C">
      <w:pPr>
        <w:pStyle w:val="ListParagraph"/>
        <w:rPr>
          <w:rFonts w:ascii="Arial" w:hAnsi="Arial" w:cs="Arial"/>
          <w:color w:val="000000" w:themeColor="text1"/>
          <w:sz w:val="24"/>
          <w:szCs w:val="24"/>
        </w:rPr>
      </w:pPr>
    </w:p>
    <w:p w14:paraId="4421BDAF" w14:textId="5C80B601" w:rsidR="005F3F8C" w:rsidRDefault="00976E50" w:rsidP="00976E50">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[27]</w:t>
      </w:r>
      <w:r>
        <w:rPr>
          <w:rFonts w:ascii="Arial" w:hAnsi="Arial" w:cs="Arial"/>
          <w:color w:val="000000" w:themeColor="text1"/>
          <w:sz w:val="24"/>
          <w:szCs w:val="24"/>
        </w:rPr>
        <w:tab/>
      </w:r>
      <w:r w:rsidR="005F3F8C">
        <w:rPr>
          <w:rFonts w:ascii="Arial" w:hAnsi="Arial" w:cs="Arial"/>
          <w:color w:val="000000" w:themeColor="text1"/>
          <w:sz w:val="24"/>
          <w:szCs w:val="24"/>
        </w:rPr>
        <w:t xml:space="preserve">Counsel relied upon </w:t>
      </w:r>
      <w:r w:rsidR="005F3F8C" w:rsidRPr="005F3F8C">
        <w:rPr>
          <w:rFonts w:ascii="Arial" w:hAnsi="Arial" w:cs="Arial"/>
          <w:i/>
          <w:color w:val="000000" w:themeColor="text1"/>
          <w:sz w:val="24"/>
          <w:szCs w:val="24"/>
        </w:rPr>
        <w:t>Minister of Health and Social Services v Lisse</w:t>
      </w:r>
      <w:r w:rsidR="005F3F8C" w:rsidRPr="005F3F8C">
        <w:rPr>
          <w:rStyle w:val="FootnoteReference"/>
          <w:rFonts w:ascii="Arial" w:hAnsi="Arial" w:cs="Arial"/>
          <w:color w:val="000000" w:themeColor="text1"/>
          <w:sz w:val="24"/>
          <w:szCs w:val="24"/>
        </w:rPr>
        <w:footnoteReference w:id="2"/>
      </w:r>
      <w:r w:rsidR="005F3F8C">
        <w:rPr>
          <w:rFonts w:ascii="Arial" w:hAnsi="Arial" w:cs="Arial"/>
          <w:color w:val="000000" w:themeColor="text1"/>
          <w:sz w:val="24"/>
          <w:szCs w:val="24"/>
        </w:rPr>
        <w:t xml:space="preserve"> to submit</w:t>
      </w:r>
      <w:r w:rsidR="005A54C9">
        <w:rPr>
          <w:rFonts w:ascii="Arial" w:hAnsi="Arial" w:cs="Arial"/>
          <w:color w:val="000000" w:themeColor="text1"/>
          <w:sz w:val="24"/>
          <w:szCs w:val="24"/>
        </w:rPr>
        <w:t xml:space="preserve"> that given the lack of dispute</w:t>
      </w:r>
      <w:r w:rsidR="005F3F8C">
        <w:rPr>
          <w:rFonts w:ascii="Arial" w:hAnsi="Arial" w:cs="Arial"/>
          <w:color w:val="000000" w:themeColor="text1"/>
          <w:sz w:val="24"/>
          <w:szCs w:val="24"/>
        </w:rPr>
        <w:t xml:space="preserve"> on Serve’s suitability, there were exceptional circumstances justifying the High Court and this court to make the decision </w:t>
      </w:r>
      <w:r w:rsidR="00472884">
        <w:rPr>
          <w:rFonts w:ascii="Arial" w:hAnsi="Arial" w:cs="Arial"/>
          <w:color w:val="000000" w:themeColor="text1"/>
          <w:sz w:val="24"/>
          <w:szCs w:val="24"/>
        </w:rPr>
        <w:t xml:space="preserve">on consent and </w:t>
      </w:r>
      <w:r w:rsidR="005F3F8C">
        <w:rPr>
          <w:rFonts w:ascii="Arial" w:hAnsi="Arial" w:cs="Arial"/>
          <w:color w:val="000000" w:themeColor="text1"/>
          <w:sz w:val="24"/>
          <w:szCs w:val="24"/>
        </w:rPr>
        <w:t xml:space="preserve">to direct that </w:t>
      </w:r>
      <w:r w:rsidR="00345992">
        <w:rPr>
          <w:rFonts w:ascii="Arial" w:hAnsi="Arial" w:cs="Arial"/>
          <w:color w:val="000000" w:themeColor="text1"/>
          <w:sz w:val="24"/>
          <w:szCs w:val="24"/>
        </w:rPr>
        <w:t xml:space="preserve">the </w:t>
      </w:r>
      <w:r w:rsidR="005A54C9">
        <w:rPr>
          <w:rFonts w:ascii="Arial" w:hAnsi="Arial" w:cs="Arial"/>
          <w:color w:val="000000" w:themeColor="text1"/>
          <w:sz w:val="24"/>
          <w:szCs w:val="24"/>
        </w:rPr>
        <w:t>Minister grant</w:t>
      </w:r>
      <w:r w:rsidR="005F3F8C">
        <w:rPr>
          <w:rFonts w:ascii="Arial" w:hAnsi="Arial" w:cs="Arial"/>
          <w:color w:val="000000" w:themeColor="text1"/>
          <w:sz w:val="24"/>
          <w:szCs w:val="24"/>
        </w:rPr>
        <w:t xml:space="preserve"> consent to the sale of shares.</w:t>
      </w:r>
    </w:p>
    <w:p w14:paraId="5D76B179" w14:textId="77777777" w:rsidR="005F3F8C" w:rsidRDefault="005F3F8C" w:rsidP="006D4D03">
      <w:pPr>
        <w:pStyle w:val="ListParagraph"/>
        <w:spacing w:after="0" w:line="480" w:lineRule="auto"/>
        <w:rPr>
          <w:rFonts w:ascii="Arial" w:hAnsi="Arial" w:cs="Arial"/>
          <w:color w:val="000000" w:themeColor="text1"/>
          <w:sz w:val="24"/>
          <w:szCs w:val="24"/>
        </w:rPr>
      </w:pPr>
    </w:p>
    <w:p w14:paraId="2D835310" w14:textId="5CD46DAF" w:rsidR="005F3F8C" w:rsidRDefault="00976E50" w:rsidP="00976E50">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[28]</w:t>
      </w:r>
      <w:r>
        <w:rPr>
          <w:rFonts w:ascii="Arial" w:hAnsi="Arial" w:cs="Arial"/>
          <w:color w:val="000000" w:themeColor="text1"/>
          <w:sz w:val="24"/>
          <w:szCs w:val="24"/>
        </w:rPr>
        <w:tab/>
      </w:r>
      <w:r w:rsidR="005F3F8C">
        <w:rPr>
          <w:rFonts w:ascii="Arial" w:hAnsi="Arial" w:cs="Arial"/>
          <w:color w:val="000000" w:themeColor="text1"/>
          <w:sz w:val="24"/>
          <w:szCs w:val="24"/>
        </w:rPr>
        <w:t>Counsel for the Minister however countered that the facts i</w:t>
      </w:r>
      <w:r w:rsidR="005A54C9">
        <w:rPr>
          <w:rFonts w:ascii="Arial" w:hAnsi="Arial" w:cs="Arial"/>
          <w:color w:val="000000" w:themeColor="text1"/>
          <w:sz w:val="24"/>
          <w:szCs w:val="24"/>
        </w:rPr>
        <w:t>n</w:t>
      </w:r>
      <w:r w:rsidR="005F3F8C">
        <w:rPr>
          <w:rFonts w:ascii="Arial" w:hAnsi="Arial" w:cs="Arial"/>
          <w:color w:val="000000" w:themeColor="text1"/>
          <w:sz w:val="24"/>
          <w:szCs w:val="24"/>
        </w:rPr>
        <w:t xml:space="preserve"> </w:t>
      </w:r>
      <w:r w:rsidR="005F3F8C" w:rsidRPr="005F3F8C">
        <w:rPr>
          <w:rFonts w:ascii="Arial" w:hAnsi="Arial" w:cs="Arial"/>
          <w:i/>
          <w:color w:val="000000" w:themeColor="text1"/>
          <w:sz w:val="24"/>
          <w:szCs w:val="24"/>
        </w:rPr>
        <w:t>Lisse</w:t>
      </w:r>
      <w:r w:rsidR="005F3F8C">
        <w:rPr>
          <w:rFonts w:ascii="Arial" w:hAnsi="Arial" w:cs="Arial"/>
          <w:color w:val="000000" w:themeColor="text1"/>
          <w:sz w:val="24"/>
          <w:szCs w:val="24"/>
        </w:rPr>
        <w:t xml:space="preserve"> were distinguishable in that there were findings of bias</w:t>
      </w:r>
      <w:r w:rsidR="00472884">
        <w:rPr>
          <w:rFonts w:ascii="Arial" w:hAnsi="Arial" w:cs="Arial"/>
          <w:color w:val="000000" w:themeColor="text1"/>
          <w:sz w:val="24"/>
          <w:szCs w:val="24"/>
        </w:rPr>
        <w:t xml:space="preserve"> and a fraught process in that matter unlike this matter where the Minister had expressed  no view on the issue.</w:t>
      </w:r>
    </w:p>
    <w:p w14:paraId="22165A11" w14:textId="77777777" w:rsidR="007218DF" w:rsidRDefault="007218DF" w:rsidP="006D4D03">
      <w:pPr>
        <w:spacing w:after="0"/>
        <w:rPr>
          <w:rFonts w:ascii="Arial" w:hAnsi="Arial" w:cs="Arial"/>
          <w:color w:val="000000" w:themeColor="text1"/>
          <w:sz w:val="24"/>
          <w:szCs w:val="24"/>
        </w:rPr>
      </w:pPr>
    </w:p>
    <w:p w14:paraId="4E89FC11" w14:textId="77777777" w:rsidR="007218DF" w:rsidRPr="007218DF" w:rsidRDefault="007218DF" w:rsidP="007218DF">
      <w:pPr>
        <w:rPr>
          <w:rFonts w:ascii="Arial" w:hAnsi="Arial" w:cs="Arial"/>
          <w:color w:val="000000" w:themeColor="text1"/>
          <w:sz w:val="24"/>
          <w:szCs w:val="24"/>
          <w:u w:val="single"/>
        </w:rPr>
      </w:pPr>
      <w:r>
        <w:rPr>
          <w:rFonts w:ascii="Arial" w:hAnsi="Arial" w:cs="Arial"/>
          <w:color w:val="000000" w:themeColor="text1"/>
          <w:sz w:val="24"/>
          <w:szCs w:val="24"/>
          <w:u w:val="single"/>
        </w:rPr>
        <w:t>Issues for determination</w:t>
      </w:r>
    </w:p>
    <w:p w14:paraId="1E97F35E" w14:textId="7EFA2117" w:rsidR="007218DF" w:rsidRDefault="00976E50" w:rsidP="00976E50">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[29]</w:t>
      </w:r>
      <w:r>
        <w:rPr>
          <w:rFonts w:ascii="Arial" w:hAnsi="Arial" w:cs="Arial"/>
          <w:color w:val="000000" w:themeColor="text1"/>
          <w:sz w:val="24"/>
          <w:szCs w:val="24"/>
        </w:rPr>
        <w:tab/>
      </w:r>
      <w:r w:rsidR="007218DF">
        <w:rPr>
          <w:rFonts w:ascii="Arial" w:hAnsi="Arial" w:cs="Arial"/>
          <w:color w:val="000000" w:themeColor="text1"/>
          <w:sz w:val="24"/>
          <w:szCs w:val="24"/>
        </w:rPr>
        <w:t>Having disposed of the unsustainable new point (concerning a decision on 17 December 2019), there are essentially three matters for determination on appeal. The first two relate to the government appellants’ challenge upon the order of the High Court</w:t>
      </w:r>
      <w:r w:rsidR="00B76B0F">
        <w:rPr>
          <w:rFonts w:ascii="Arial" w:hAnsi="Arial" w:cs="Arial"/>
          <w:color w:val="000000" w:themeColor="text1"/>
          <w:sz w:val="24"/>
          <w:szCs w:val="24"/>
        </w:rPr>
        <w:t>, namely whether the High Court was precluded by</w:t>
      </w:r>
      <w:r w:rsidR="009F65B3">
        <w:rPr>
          <w:rFonts w:ascii="Arial" w:hAnsi="Arial" w:cs="Arial"/>
          <w:color w:val="000000" w:themeColor="text1"/>
          <w:sz w:val="24"/>
          <w:szCs w:val="24"/>
        </w:rPr>
        <w:t xml:space="preserve"> reason of</w:t>
      </w:r>
      <w:r w:rsidR="00B76B0F">
        <w:rPr>
          <w:rFonts w:ascii="Arial" w:hAnsi="Arial" w:cs="Arial"/>
          <w:color w:val="000000" w:themeColor="text1"/>
          <w:sz w:val="24"/>
          <w:szCs w:val="24"/>
        </w:rPr>
        <w:t xml:space="preserve"> </w:t>
      </w:r>
      <w:r w:rsidR="000B7D94">
        <w:rPr>
          <w:rFonts w:ascii="Arial" w:hAnsi="Arial" w:cs="Arial"/>
          <w:color w:val="000000" w:themeColor="text1"/>
          <w:sz w:val="24"/>
          <w:szCs w:val="24"/>
        </w:rPr>
        <w:t>privity</w:t>
      </w:r>
      <w:r w:rsidR="00B76B0F">
        <w:rPr>
          <w:rFonts w:ascii="Arial" w:hAnsi="Arial" w:cs="Arial"/>
          <w:color w:val="000000" w:themeColor="text1"/>
          <w:sz w:val="24"/>
          <w:szCs w:val="24"/>
        </w:rPr>
        <w:t xml:space="preserve"> of contract or secondly </w:t>
      </w:r>
      <w:r w:rsidR="00B16332">
        <w:rPr>
          <w:rFonts w:ascii="Arial" w:hAnsi="Arial" w:cs="Arial"/>
          <w:color w:val="000000" w:themeColor="text1"/>
          <w:sz w:val="24"/>
          <w:szCs w:val="24"/>
        </w:rPr>
        <w:t xml:space="preserve">by </w:t>
      </w:r>
      <w:r w:rsidR="00B76B0F">
        <w:rPr>
          <w:rFonts w:ascii="Arial" w:hAnsi="Arial" w:cs="Arial"/>
          <w:color w:val="000000" w:themeColor="text1"/>
          <w:sz w:val="24"/>
          <w:szCs w:val="24"/>
        </w:rPr>
        <w:t>s 17B of the Act from granting its order.</w:t>
      </w:r>
    </w:p>
    <w:p w14:paraId="466012CC" w14:textId="77777777" w:rsidR="007218DF" w:rsidRDefault="007218DF" w:rsidP="006D4D03">
      <w:pPr>
        <w:pStyle w:val="ListParagraph"/>
        <w:spacing w:after="0" w:line="480" w:lineRule="auto"/>
        <w:rPr>
          <w:rFonts w:ascii="Arial" w:hAnsi="Arial" w:cs="Arial"/>
          <w:color w:val="000000" w:themeColor="text1"/>
          <w:sz w:val="24"/>
          <w:szCs w:val="24"/>
        </w:rPr>
      </w:pPr>
    </w:p>
    <w:p w14:paraId="6EBDF80B" w14:textId="357C5C9F" w:rsidR="007218DF" w:rsidRDefault="00976E50" w:rsidP="00976E50">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[30]</w:t>
      </w:r>
      <w:r>
        <w:rPr>
          <w:rFonts w:ascii="Arial" w:hAnsi="Arial" w:cs="Arial"/>
          <w:color w:val="000000" w:themeColor="text1"/>
          <w:sz w:val="24"/>
          <w:szCs w:val="24"/>
        </w:rPr>
        <w:tab/>
      </w:r>
      <w:r w:rsidR="00B76B0F">
        <w:rPr>
          <w:rFonts w:ascii="Arial" w:hAnsi="Arial" w:cs="Arial"/>
          <w:color w:val="000000" w:themeColor="text1"/>
          <w:sz w:val="24"/>
          <w:szCs w:val="24"/>
        </w:rPr>
        <w:t xml:space="preserve">The third question concerns whether exceptional circumstances exist to justify </w:t>
      </w:r>
      <w:r w:rsidR="00B16332">
        <w:rPr>
          <w:rFonts w:ascii="Arial" w:hAnsi="Arial" w:cs="Arial"/>
          <w:color w:val="000000" w:themeColor="text1"/>
          <w:sz w:val="24"/>
          <w:szCs w:val="24"/>
        </w:rPr>
        <w:t>this</w:t>
      </w:r>
      <w:r w:rsidR="00B76B0F">
        <w:rPr>
          <w:rFonts w:ascii="Arial" w:hAnsi="Arial" w:cs="Arial"/>
          <w:color w:val="000000" w:themeColor="text1"/>
          <w:sz w:val="24"/>
          <w:szCs w:val="24"/>
        </w:rPr>
        <w:t xml:space="preserve"> court to direct that the Minister and NDC </w:t>
      </w:r>
      <w:r w:rsidR="00345992">
        <w:rPr>
          <w:rFonts w:ascii="Arial" w:hAnsi="Arial" w:cs="Arial"/>
          <w:color w:val="000000" w:themeColor="text1"/>
          <w:sz w:val="24"/>
          <w:szCs w:val="24"/>
        </w:rPr>
        <w:t xml:space="preserve">to </w:t>
      </w:r>
      <w:r w:rsidR="00B76B0F">
        <w:rPr>
          <w:rFonts w:ascii="Arial" w:hAnsi="Arial" w:cs="Arial"/>
          <w:color w:val="000000" w:themeColor="text1"/>
          <w:sz w:val="24"/>
          <w:szCs w:val="24"/>
        </w:rPr>
        <w:t>grant their consent to the sale of shares as is sought in the cross-appeal. These issues are addressed in that sequence.</w:t>
      </w:r>
    </w:p>
    <w:p w14:paraId="08E1B955" w14:textId="77777777" w:rsidR="007218DF" w:rsidRDefault="007218DF" w:rsidP="006D4D03">
      <w:pPr>
        <w:spacing w:after="0"/>
        <w:rPr>
          <w:rFonts w:ascii="Arial" w:hAnsi="Arial" w:cs="Arial"/>
          <w:color w:val="000000" w:themeColor="text1"/>
          <w:sz w:val="24"/>
          <w:szCs w:val="24"/>
        </w:rPr>
      </w:pPr>
    </w:p>
    <w:p w14:paraId="568FA4C1" w14:textId="77777777" w:rsidR="00B76B0F" w:rsidRPr="00B76B0F" w:rsidRDefault="00B76B0F" w:rsidP="00B76B0F">
      <w:pPr>
        <w:rPr>
          <w:rFonts w:ascii="Arial" w:hAnsi="Arial" w:cs="Arial"/>
          <w:color w:val="000000" w:themeColor="text1"/>
          <w:sz w:val="24"/>
          <w:szCs w:val="24"/>
          <w:u w:val="single"/>
        </w:rPr>
      </w:pPr>
      <w:r w:rsidRPr="000B7D94">
        <w:rPr>
          <w:rFonts w:ascii="Arial" w:hAnsi="Arial" w:cs="Arial"/>
          <w:color w:val="000000" w:themeColor="text1"/>
          <w:sz w:val="24"/>
          <w:szCs w:val="24"/>
          <w:u w:val="single"/>
        </w:rPr>
        <w:t>Privity</w:t>
      </w:r>
      <w:r w:rsidR="00E5040C">
        <w:rPr>
          <w:rFonts w:ascii="Arial" w:hAnsi="Arial" w:cs="Arial"/>
          <w:color w:val="000000" w:themeColor="text1"/>
          <w:sz w:val="24"/>
          <w:szCs w:val="24"/>
          <w:u w:val="single"/>
        </w:rPr>
        <w:t xml:space="preserve"> of contract</w:t>
      </w:r>
    </w:p>
    <w:p w14:paraId="5FB066C3" w14:textId="0FA48483" w:rsidR="007218DF" w:rsidRDefault="00976E50" w:rsidP="00976E50">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[31]</w:t>
      </w:r>
      <w:r>
        <w:rPr>
          <w:rFonts w:ascii="Arial" w:hAnsi="Arial" w:cs="Arial"/>
          <w:color w:val="000000" w:themeColor="text1"/>
          <w:sz w:val="24"/>
          <w:szCs w:val="24"/>
        </w:rPr>
        <w:tab/>
      </w:r>
      <w:r w:rsidR="00B76B0F">
        <w:rPr>
          <w:rFonts w:ascii="Arial" w:hAnsi="Arial" w:cs="Arial"/>
          <w:color w:val="000000" w:themeColor="text1"/>
          <w:sz w:val="24"/>
          <w:szCs w:val="24"/>
        </w:rPr>
        <w:t>The Minister opposed the application on th</w:t>
      </w:r>
      <w:r w:rsidR="009F65B3">
        <w:rPr>
          <w:rFonts w:ascii="Arial" w:hAnsi="Arial" w:cs="Arial"/>
          <w:color w:val="000000" w:themeColor="text1"/>
          <w:sz w:val="24"/>
          <w:szCs w:val="24"/>
        </w:rPr>
        <w:t>e</w:t>
      </w:r>
      <w:r w:rsidR="00B76B0F">
        <w:rPr>
          <w:rFonts w:ascii="Arial" w:hAnsi="Arial" w:cs="Arial"/>
          <w:color w:val="000000" w:themeColor="text1"/>
          <w:sz w:val="24"/>
          <w:szCs w:val="24"/>
        </w:rPr>
        <w:t xml:space="preserve"> basis that he was not a party to the sale of shares agreement and that the principles relating to privity o</w:t>
      </w:r>
      <w:r w:rsidR="00924F2E">
        <w:rPr>
          <w:rFonts w:ascii="Arial" w:hAnsi="Arial" w:cs="Arial"/>
          <w:color w:val="000000" w:themeColor="text1"/>
          <w:sz w:val="24"/>
          <w:szCs w:val="24"/>
        </w:rPr>
        <w:t>f</w:t>
      </w:r>
      <w:r w:rsidR="00B76B0F">
        <w:rPr>
          <w:rFonts w:ascii="Arial" w:hAnsi="Arial" w:cs="Arial"/>
          <w:color w:val="000000" w:themeColor="text1"/>
          <w:sz w:val="24"/>
          <w:szCs w:val="24"/>
        </w:rPr>
        <w:t xml:space="preserve"> contract mean</w:t>
      </w:r>
      <w:r w:rsidR="009F65B3">
        <w:rPr>
          <w:rFonts w:ascii="Arial" w:hAnsi="Arial" w:cs="Arial"/>
          <w:color w:val="000000" w:themeColor="text1"/>
          <w:sz w:val="24"/>
          <w:szCs w:val="24"/>
        </w:rPr>
        <w:t>t</w:t>
      </w:r>
      <w:r w:rsidR="00B76B0F">
        <w:rPr>
          <w:rFonts w:ascii="Arial" w:hAnsi="Arial" w:cs="Arial"/>
          <w:color w:val="000000" w:themeColor="text1"/>
          <w:sz w:val="24"/>
          <w:szCs w:val="24"/>
        </w:rPr>
        <w:t xml:space="preserve"> that clause 22 cannot be enforced against </w:t>
      </w:r>
      <w:r w:rsidR="009F65B3">
        <w:rPr>
          <w:rFonts w:ascii="Arial" w:hAnsi="Arial" w:cs="Arial"/>
          <w:color w:val="000000" w:themeColor="text1"/>
          <w:sz w:val="24"/>
          <w:szCs w:val="24"/>
        </w:rPr>
        <w:t xml:space="preserve">him </w:t>
      </w:r>
      <w:r w:rsidR="00B76B0F">
        <w:rPr>
          <w:rFonts w:ascii="Arial" w:hAnsi="Arial" w:cs="Arial"/>
          <w:color w:val="000000" w:themeColor="text1"/>
          <w:sz w:val="24"/>
          <w:szCs w:val="24"/>
        </w:rPr>
        <w:t>as a contractual matter.</w:t>
      </w:r>
    </w:p>
    <w:p w14:paraId="0D634133" w14:textId="77777777" w:rsidR="007218DF" w:rsidRDefault="007218DF" w:rsidP="007218DF">
      <w:pPr>
        <w:pStyle w:val="ListParagraph"/>
        <w:rPr>
          <w:rFonts w:ascii="Arial" w:hAnsi="Arial" w:cs="Arial"/>
          <w:color w:val="000000" w:themeColor="text1"/>
          <w:sz w:val="24"/>
          <w:szCs w:val="24"/>
        </w:rPr>
      </w:pPr>
    </w:p>
    <w:p w14:paraId="33C90CC2" w14:textId="47652E0D" w:rsidR="007218DF" w:rsidRDefault="00976E50" w:rsidP="00976E50">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[32]</w:t>
      </w:r>
      <w:r>
        <w:rPr>
          <w:rFonts w:ascii="Arial" w:hAnsi="Arial" w:cs="Arial"/>
          <w:color w:val="000000" w:themeColor="text1"/>
          <w:sz w:val="24"/>
          <w:szCs w:val="24"/>
        </w:rPr>
        <w:tab/>
      </w:r>
      <w:r w:rsidR="00B76B0F">
        <w:rPr>
          <w:rFonts w:ascii="Arial" w:hAnsi="Arial" w:cs="Arial"/>
          <w:color w:val="000000" w:themeColor="text1"/>
          <w:sz w:val="24"/>
          <w:szCs w:val="24"/>
        </w:rPr>
        <w:t xml:space="preserve">Whilst it is certainly correct that the Minister (and NDC) are not parties to the sale of shares agreement, this does not mean that rights relating to that agreement cannot be enforced against them. </w:t>
      </w:r>
      <w:r w:rsidR="00472884">
        <w:rPr>
          <w:rFonts w:ascii="Arial" w:hAnsi="Arial" w:cs="Arial"/>
          <w:color w:val="000000" w:themeColor="text1"/>
          <w:sz w:val="24"/>
          <w:szCs w:val="24"/>
        </w:rPr>
        <w:t>A</w:t>
      </w:r>
      <w:r w:rsidR="00B76B0F">
        <w:rPr>
          <w:rFonts w:ascii="Arial" w:hAnsi="Arial" w:cs="Arial"/>
          <w:color w:val="000000" w:themeColor="text1"/>
          <w:sz w:val="24"/>
          <w:szCs w:val="24"/>
        </w:rPr>
        <w:t xml:space="preserve"> sale of shares would ordinarily be between the seller and purchaser, as has occurred here. That agreement includes clause 22 which provides:</w:t>
      </w:r>
    </w:p>
    <w:p w14:paraId="42FB300A" w14:textId="77777777" w:rsidR="00B76B0F" w:rsidRDefault="00B76B0F" w:rsidP="002A2B1E">
      <w:pPr>
        <w:pStyle w:val="ListParagraph"/>
        <w:jc w:val="both"/>
        <w:rPr>
          <w:rFonts w:ascii="Arial" w:hAnsi="Arial" w:cs="Arial"/>
          <w:color w:val="000000" w:themeColor="text1"/>
          <w:sz w:val="24"/>
          <w:szCs w:val="24"/>
        </w:rPr>
      </w:pPr>
    </w:p>
    <w:p w14:paraId="396EC700" w14:textId="77777777" w:rsidR="00B4193F" w:rsidRDefault="00B4193F" w:rsidP="002A2B1E">
      <w:pPr>
        <w:pStyle w:val="NoSpacing"/>
        <w:spacing w:line="360" w:lineRule="auto"/>
        <w:ind w:left="720"/>
        <w:jc w:val="both"/>
        <w:rPr>
          <w:rFonts w:ascii="Arial" w:hAnsi="Arial" w:cs="Arial"/>
          <w:color w:val="000000" w:themeColor="text1"/>
        </w:rPr>
      </w:pPr>
      <w:r>
        <w:rPr>
          <w:rFonts w:ascii="Arial" w:hAnsi="Arial" w:cs="Arial"/>
          <w:color w:val="000000" w:themeColor="text1"/>
        </w:rPr>
        <w:t>‘This agreement shall be subject and conditional to the following condition:</w:t>
      </w:r>
    </w:p>
    <w:p w14:paraId="69D51CE5" w14:textId="77777777" w:rsidR="00B4193F" w:rsidRDefault="00B4193F" w:rsidP="002A2B1E">
      <w:pPr>
        <w:pStyle w:val="NoSpacing"/>
        <w:spacing w:line="360" w:lineRule="auto"/>
        <w:ind w:left="720"/>
        <w:jc w:val="both"/>
        <w:rPr>
          <w:rFonts w:ascii="Arial" w:hAnsi="Arial" w:cs="Arial"/>
          <w:color w:val="000000" w:themeColor="text1"/>
        </w:rPr>
      </w:pPr>
    </w:p>
    <w:p w14:paraId="2FC26B7D" w14:textId="77777777" w:rsidR="00B4193F" w:rsidRDefault="00B4193F" w:rsidP="002A2B1E">
      <w:pPr>
        <w:pStyle w:val="NoSpacing"/>
        <w:spacing w:line="360" w:lineRule="auto"/>
        <w:ind w:left="1440" w:hanging="720"/>
        <w:jc w:val="both"/>
        <w:rPr>
          <w:rFonts w:ascii="Arial" w:hAnsi="Arial" w:cs="Arial"/>
          <w:color w:val="000000" w:themeColor="text1"/>
        </w:rPr>
      </w:pPr>
      <w:r>
        <w:rPr>
          <w:rFonts w:ascii="Arial" w:hAnsi="Arial" w:cs="Arial"/>
          <w:color w:val="000000" w:themeColor="text1"/>
        </w:rPr>
        <w:t>22.1</w:t>
      </w:r>
      <w:r>
        <w:rPr>
          <w:rFonts w:ascii="Arial" w:hAnsi="Arial" w:cs="Arial"/>
          <w:color w:val="000000" w:themeColor="text1"/>
        </w:rPr>
        <w:tab/>
        <w:t xml:space="preserve">that the Minister of Water and Agriculture provides his written consent for the transfer of the shares as contemplated in terms of this agreement before or on 30 November 2018, failing which this agreement shall immediately lapse and become null and void. Should the necessary consent not be forthcoming from the Minister, the purchaser shall have the pre-emptive option to continue to farm on Shitemu under mutually agreed re-negotiated terms with no changes in the purchase consideration, provided that all monthly payments in terms of the outsourcing agreement are timeously effected by the purchaser, failing which, the provisions of clause 10.2 above shall apply </w:t>
      </w:r>
      <w:r>
        <w:rPr>
          <w:rFonts w:ascii="Arial" w:hAnsi="Arial" w:cs="Arial"/>
          <w:i/>
          <w:color w:val="000000" w:themeColor="text1"/>
        </w:rPr>
        <w:t>mutatis mutandis</w:t>
      </w:r>
      <w:r>
        <w:rPr>
          <w:rFonts w:ascii="Arial" w:hAnsi="Arial" w:cs="Arial"/>
          <w:color w:val="000000" w:themeColor="text1"/>
        </w:rPr>
        <w:t>;</w:t>
      </w:r>
    </w:p>
    <w:p w14:paraId="50A25C45" w14:textId="77777777" w:rsidR="00B4193F" w:rsidRDefault="00B4193F" w:rsidP="002A2B1E">
      <w:pPr>
        <w:pStyle w:val="NoSpacing"/>
        <w:spacing w:line="360" w:lineRule="auto"/>
        <w:ind w:left="1440" w:hanging="720"/>
        <w:jc w:val="both"/>
        <w:rPr>
          <w:rFonts w:ascii="Arial" w:hAnsi="Arial" w:cs="Arial"/>
          <w:color w:val="000000" w:themeColor="text1"/>
        </w:rPr>
      </w:pPr>
    </w:p>
    <w:p w14:paraId="7FBAB64D" w14:textId="77777777" w:rsidR="00B4193F" w:rsidRDefault="00B4193F" w:rsidP="002A2B1E">
      <w:pPr>
        <w:pStyle w:val="NoSpacing"/>
        <w:spacing w:line="360" w:lineRule="auto"/>
        <w:ind w:left="1440" w:hanging="720"/>
        <w:jc w:val="both"/>
        <w:rPr>
          <w:rFonts w:ascii="Arial" w:hAnsi="Arial" w:cs="Arial"/>
          <w:color w:val="000000" w:themeColor="text1"/>
        </w:rPr>
      </w:pPr>
      <w:r>
        <w:rPr>
          <w:rFonts w:ascii="Arial" w:hAnsi="Arial" w:cs="Arial"/>
          <w:color w:val="000000" w:themeColor="text1"/>
        </w:rPr>
        <w:t>22.2</w:t>
      </w:r>
      <w:r>
        <w:rPr>
          <w:rFonts w:ascii="Arial" w:hAnsi="Arial" w:cs="Arial"/>
          <w:color w:val="000000" w:themeColor="text1"/>
        </w:rPr>
        <w:tab/>
        <w:t>notwithstanding anything else to the contrary contained in this agreement, should the purchaser fail on the due date to provide the guarantee as contemplated in clause 4.2 above, this agreement shall immediately lapse and become null and void. In such event, the seller shall be entitled to enter into negotiations for the sale of the shares with any other interested party.’</w:t>
      </w:r>
    </w:p>
    <w:p w14:paraId="38F0B61D" w14:textId="77777777" w:rsidR="007218DF" w:rsidRDefault="007218DF" w:rsidP="002A2B1E">
      <w:pPr>
        <w:pStyle w:val="ListParagraph"/>
        <w:spacing w:after="0" w:line="480" w:lineRule="auto"/>
        <w:rPr>
          <w:rFonts w:ascii="Arial" w:hAnsi="Arial" w:cs="Arial"/>
          <w:color w:val="000000" w:themeColor="text1"/>
          <w:sz w:val="24"/>
          <w:szCs w:val="24"/>
        </w:rPr>
      </w:pPr>
    </w:p>
    <w:p w14:paraId="0587400B" w14:textId="41CF43B4" w:rsidR="007218DF" w:rsidRPr="00B16332" w:rsidRDefault="00976E50" w:rsidP="00976E50">
      <w:pPr>
        <w:pStyle w:val="NoSpacing"/>
        <w:spacing w:line="480" w:lineRule="auto"/>
        <w:jc w:val="both"/>
        <w:rPr>
          <w:rFonts w:ascii="Arial" w:hAnsi="Arial" w:cs="Arial"/>
          <w:color w:val="000000" w:themeColor="text1"/>
          <w:sz w:val="24"/>
          <w:szCs w:val="24"/>
        </w:rPr>
      </w:pPr>
      <w:r w:rsidRPr="00B16332">
        <w:rPr>
          <w:rFonts w:ascii="Arial" w:hAnsi="Arial" w:cs="Arial"/>
          <w:color w:val="000000" w:themeColor="text1"/>
          <w:sz w:val="24"/>
          <w:szCs w:val="24"/>
        </w:rPr>
        <w:t>[33]</w:t>
      </w:r>
      <w:r w:rsidRPr="00B16332">
        <w:rPr>
          <w:rFonts w:ascii="Arial" w:hAnsi="Arial" w:cs="Arial"/>
          <w:color w:val="000000" w:themeColor="text1"/>
          <w:sz w:val="24"/>
          <w:szCs w:val="24"/>
        </w:rPr>
        <w:tab/>
      </w:r>
      <w:r w:rsidR="00B76B0F">
        <w:rPr>
          <w:rFonts w:ascii="Arial" w:hAnsi="Arial" w:cs="Arial"/>
          <w:color w:val="000000" w:themeColor="text1"/>
          <w:sz w:val="24"/>
          <w:szCs w:val="24"/>
        </w:rPr>
        <w:t xml:space="preserve">The shares which are to be sold are those of </w:t>
      </w:r>
      <w:r w:rsidR="00997828">
        <w:rPr>
          <w:rFonts w:ascii="Arial" w:hAnsi="Arial" w:cs="Arial"/>
          <w:color w:val="000000" w:themeColor="text1"/>
          <w:sz w:val="24"/>
          <w:szCs w:val="24"/>
        </w:rPr>
        <w:t>Agri-Pro</w:t>
      </w:r>
      <w:r w:rsidR="00B76B0F">
        <w:rPr>
          <w:rFonts w:ascii="Arial" w:hAnsi="Arial" w:cs="Arial"/>
          <w:color w:val="000000" w:themeColor="text1"/>
          <w:sz w:val="24"/>
          <w:szCs w:val="24"/>
        </w:rPr>
        <w:t>. It is a party to the PLA and has the rights and obligation</w:t>
      </w:r>
      <w:r w:rsidR="009F65B3">
        <w:rPr>
          <w:rFonts w:ascii="Arial" w:hAnsi="Arial" w:cs="Arial"/>
          <w:color w:val="000000" w:themeColor="text1"/>
          <w:sz w:val="24"/>
          <w:szCs w:val="24"/>
        </w:rPr>
        <w:t>s</w:t>
      </w:r>
      <w:r w:rsidR="00B76B0F">
        <w:rPr>
          <w:rFonts w:ascii="Arial" w:hAnsi="Arial" w:cs="Arial"/>
          <w:color w:val="000000" w:themeColor="text1"/>
          <w:sz w:val="24"/>
          <w:szCs w:val="24"/>
        </w:rPr>
        <w:t xml:space="preserve"> as set out in the PLA. Under the PLA, its rights and obligations to operate and develop the agricultural project on that land are accorded to it by NDC and the Minister pursuant to the Government’s Green Scheme initiative.</w:t>
      </w:r>
      <w:r w:rsidR="00B16332">
        <w:rPr>
          <w:rFonts w:ascii="Arial" w:hAnsi="Arial" w:cs="Arial"/>
          <w:color w:val="000000" w:themeColor="text1"/>
          <w:sz w:val="24"/>
          <w:szCs w:val="24"/>
        </w:rPr>
        <w:t xml:space="preserve"> Its rights to sell its shares are however restricted by article 11 of the PLA. </w:t>
      </w:r>
      <w:r w:rsidR="007709DE" w:rsidRPr="00B16332">
        <w:rPr>
          <w:rFonts w:ascii="Arial" w:hAnsi="Arial" w:cs="Arial"/>
          <w:color w:val="000000" w:themeColor="text1"/>
          <w:sz w:val="24"/>
          <w:szCs w:val="24"/>
        </w:rPr>
        <w:t xml:space="preserve">It is </w:t>
      </w:r>
      <w:r w:rsidR="00B76B0F" w:rsidRPr="00B16332">
        <w:rPr>
          <w:rFonts w:ascii="Arial" w:hAnsi="Arial" w:cs="Arial"/>
          <w:color w:val="000000" w:themeColor="text1"/>
          <w:sz w:val="24"/>
          <w:szCs w:val="24"/>
        </w:rPr>
        <w:t xml:space="preserve">headed ‘Change in membership of </w:t>
      </w:r>
      <w:r w:rsidR="00997828" w:rsidRPr="00B16332">
        <w:rPr>
          <w:rFonts w:ascii="Arial" w:hAnsi="Arial" w:cs="Arial"/>
          <w:color w:val="000000" w:themeColor="text1"/>
          <w:sz w:val="24"/>
          <w:szCs w:val="24"/>
        </w:rPr>
        <w:t>Agri-Pro</w:t>
      </w:r>
      <w:r w:rsidR="00B76B0F" w:rsidRPr="00B16332">
        <w:rPr>
          <w:rFonts w:ascii="Arial" w:hAnsi="Arial" w:cs="Arial"/>
          <w:color w:val="000000" w:themeColor="text1"/>
          <w:sz w:val="24"/>
          <w:szCs w:val="24"/>
        </w:rPr>
        <w:t xml:space="preserve"> Namibia’ </w:t>
      </w:r>
      <w:r w:rsidR="007709DE" w:rsidRPr="00B16332">
        <w:rPr>
          <w:rFonts w:ascii="Arial" w:hAnsi="Arial" w:cs="Arial"/>
          <w:color w:val="000000" w:themeColor="text1"/>
          <w:sz w:val="24"/>
          <w:szCs w:val="24"/>
        </w:rPr>
        <w:t xml:space="preserve">and </w:t>
      </w:r>
      <w:r w:rsidR="00B76B0F" w:rsidRPr="00B16332">
        <w:rPr>
          <w:rFonts w:ascii="Arial" w:hAnsi="Arial" w:cs="Arial"/>
          <w:color w:val="000000" w:themeColor="text1"/>
          <w:sz w:val="24"/>
          <w:szCs w:val="24"/>
        </w:rPr>
        <w:t>reads:</w:t>
      </w:r>
    </w:p>
    <w:p w14:paraId="30B0A0BE" w14:textId="77777777" w:rsidR="00B76B0F" w:rsidRDefault="00B76B0F" w:rsidP="00B76B0F">
      <w:pPr>
        <w:pStyle w:val="ListParagraph"/>
        <w:rPr>
          <w:rFonts w:ascii="Arial" w:hAnsi="Arial" w:cs="Arial"/>
          <w:color w:val="000000" w:themeColor="text1"/>
          <w:sz w:val="24"/>
          <w:szCs w:val="24"/>
        </w:rPr>
      </w:pPr>
    </w:p>
    <w:p w14:paraId="03135C17" w14:textId="77777777" w:rsidR="002A2B1E" w:rsidRDefault="00345992" w:rsidP="00345992">
      <w:pPr>
        <w:pStyle w:val="NoSpacing"/>
        <w:spacing w:line="360" w:lineRule="auto"/>
        <w:ind w:left="1440" w:hanging="720"/>
        <w:jc w:val="both"/>
        <w:rPr>
          <w:rFonts w:ascii="Arial" w:hAnsi="Arial" w:cs="Arial"/>
          <w:color w:val="000000" w:themeColor="text1"/>
        </w:rPr>
      </w:pPr>
      <w:r>
        <w:rPr>
          <w:rFonts w:ascii="Arial" w:hAnsi="Arial" w:cs="Arial"/>
          <w:color w:val="000000" w:themeColor="text1"/>
        </w:rPr>
        <w:t>‘</w:t>
      </w:r>
      <w:r w:rsidR="002A2B1E">
        <w:rPr>
          <w:rFonts w:ascii="Arial" w:hAnsi="Arial" w:cs="Arial"/>
          <w:color w:val="000000" w:themeColor="text1"/>
        </w:rPr>
        <w:t>11.1</w:t>
      </w:r>
      <w:r w:rsidR="002A2B1E">
        <w:rPr>
          <w:rFonts w:ascii="Arial" w:hAnsi="Arial" w:cs="Arial"/>
          <w:color w:val="000000" w:themeColor="text1"/>
        </w:rPr>
        <w:tab/>
        <w:t xml:space="preserve">Agri-Pro Namibia shall ensure that no shares or interest shall be transferred from its shareholders or associates at the date of any such approval, nor that any </w:t>
      </w:r>
      <w:r w:rsidR="002A2B1E">
        <w:rPr>
          <w:rFonts w:ascii="Arial" w:hAnsi="Arial" w:cs="Arial"/>
          <w:color w:val="000000" w:themeColor="text1"/>
        </w:rPr>
        <w:lastRenderedPageBreak/>
        <w:t>shares or interest shall be transferred to any person or corporate body without the prior written consent of the Ministry and NDC, which consent shall not be unreasonably withheld.</w:t>
      </w:r>
    </w:p>
    <w:p w14:paraId="18C08146" w14:textId="77777777" w:rsidR="002A2B1E" w:rsidRDefault="002A2B1E" w:rsidP="00345992">
      <w:pPr>
        <w:pStyle w:val="NoSpacing"/>
        <w:spacing w:line="360" w:lineRule="auto"/>
        <w:ind w:left="720"/>
        <w:jc w:val="both"/>
        <w:rPr>
          <w:rFonts w:ascii="Arial" w:hAnsi="Arial" w:cs="Arial"/>
          <w:color w:val="000000" w:themeColor="text1"/>
        </w:rPr>
      </w:pPr>
    </w:p>
    <w:p w14:paraId="2C2C26A3" w14:textId="77777777" w:rsidR="00B76B0F" w:rsidRPr="002A2B1E" w:rsidRDefault="00706D0A" w:rsidP="00345992">
      <w:pPr>
        <w:pStyle w:val="NoSpacing"/>
        <w:spacing w:line="360" w:lineRule="auto"/>
        <w:ind w:left="720"/>
        <w:jc w:val="both"/>
        <w:rPr>
          <w:rFonts w:ascii="Arial" w:hAnsi="Arial" w:cs="Arial"/>
          <w:color w:val="000000" w:themeColor="text1"/>
        </w:rPr>
      </w:pPr>
      <w:r>
        <w:rPr>
          <w:rFonts w:ascii="Arial" w:hAnsi="Arial" w:cs="Arial"/>
          <w:color w:val="000000" w:themeColor="text1"/>
        </w:rPr>
        <w:t>11.2</w:t>
      </w:r>
      <w:r>
        <w:rPr>
          <w:rFonts w:ascii="Arial" w:hAnsi="Arial" w:cs="Arial"/>
          <w:color w:val="000000" w:themeColor="text1"/>
        </w:rPr>
        <w:tab/>
        <w:t>A transfer or allotment contemplated herein without the prior approval or consent of the Ministry and NDC shall be deemed to constitute a breach of this agreement.</w:t>
      </w:r>
      <w:r w:rsidR="00B76B0F" w:rsidRPr="002A2B1E">
        <w:rPr>
          <w:rFonts w:ascii="Arial" w:hAnsi="Arial" w:cs="Arial"/>
          <w:color w:val="000000" w:themeColor="text1"/>
        </w:rPr>
        <w:t>’</w:t>
      </w:r>
    </w:p>
    <w:p w14:paraId="34D2FB48" w14:textId="77777777" w:rsidR="007218DF" w:rsidRDefault="007218DF" w:rsidP="007218DF">
      <w:pPr>
        <w:pStyle w:val="ListParagraph"/>
        <w:rPr>
          <w:rFonts w:ascii="Arial" w:hAnsi="Arial" w:cs="Arial"/>
          <w:color w:val="000000" w:themeColor="text1"/>
          <w:sz w:val="24"/>
          <w:szCs w:val="24"/>
        </w:rPr>
      </w:pPr>
    </w:p>
    <w:p w14:paraId="1CFEB840" w14:textId="19E6AEDE" w:rsidR="007218DF" w:rsidRDefault="00976E50" w:rsidP="00976E50">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[34]</w:t>
      </w:r>
      <w:r>
        <w:rPr>
          <w:rFonts w:ascii="Arial" w:hAnsi="Arial" w:cs="Arial"/>
          <w:color w:val="000000" w:themeColor="text1"/>
          <w:sz w:val="24"/>
          <w:szCs w:val="24"/>
        </w:rPr>
        <w:tab/>
      </w:r>
      <w:r w:rsidR="00B76B0F">
        <w:rPr>
          <w:rFonts w:ascii="Arial" w:hAnsi="Arial" w:cs="Arial"/>
          <w:color w:val="000000" w:themeColor="text1"/>
          <w:sz w:val="24"/>
          <w:szCs w:val="24"/>
        </w:rPr>
        <w:t xml:space="preserve">Article 11 thus limits the sale and transferability of shares in </w:t>
      </w:r>
      <w:r w:rsidR="00997828">
        <w:rPr>
          <w:rFonts w:ascii="Arial" w:hAnsi="Arial" w:cs="Arial"/>
          <w:color w:val="000000" w:themeColor="text1"/>
          <w:sz w:val="24"/>
          <w:szCs w:val="24"/>
        </w:rPr>
        <w:t>Agri-Pro</w:t>
      </w:r>
      <w:r w:rsidR="00B76B0F">
        <w:rPr>
          <w:rFonts w:ascii="Arial" w:hAnsi="Arial" w:cs="Arial"/>
          <w:color w:val="000000" w:themeColor="text1"/>
          <w:sz w:val="24"/>
          <w:szCs w:val="24"/>
        </w:rPr>
        <w:t xml:space="preserve"> during the subsistence of the PLA. Any sale of shares during its subsistence would need to comply with </w:t>
      </w:r>
      <w:r w:rsidR="007709DE">
        <w:rPr>
          <w:rFonts w:ascii="Arial" w:hAnsi="Arial" w:cs="Arial"/>
          <w:color w:val="000000" w:themeColor="text1"/>
          <w:sz w:val="24"/>
          <w:szCs w:val="24"/>
        </w:rPr>
        <w:t>a</w:t>
      </w:r>
      <w:r w:rsidR="00B76B0F">
        <w:rPr>
          <w:rFonts w:ascii="Arial" w:hAnsi="Arial" w:cs="Arial"/>
          <w:color w:val="000000" w:themeColor="text1"/>
          <w:sz w:val="24"/>
          <w:szCs w:val="24"/>
        </w:rPr>
        <w:t>rt</w:t>
      </w:r>
      <w:r w:rsidR="007709DE">
        <w:rPr>
          <w:rFonts w:ascii="Arial" w:hAnsi="Arial" w:cs="Arial"/>
          <w:color w:val="000000" w:themeColor="text1"/>
          <w:sz w:val="24"/>
          <w:szCs w:val="24"/>
        </w:rPr>
        <w:t>icle</w:t>
      </w:r>
      <w:r w:rsidR="00B76B0F">
        <w:rPr>
          <w:rFonts w:ascii="Arial" w:hAnsi="Arial" w:cs="Arial"/>
          <w:color w:val="000000" w:themeColor="text1"/>
          <w:sz w:val="24"/>
          <w:szCs w:val="24"/>
        </w:rPr>
        <w:t xml:space="preserve"> 11.1</w:t>
      </w:r>
      <w:r w:rsidR="007709DE">
        <w:rPr>
          <w:rFonts w:ascii="Arial" w:hAnsi="Arial" w:cs="Arial"/>
          <w:color w:val="000000" w:themeColor="text1"/>
          <w:sz w:val="24"/>
          <w:szCs w:val="24"/>
        </w:rPr>
        <w:t xml:space="preserve"> (requiring the consent of the Minister and NDC)</w:t>
      </w:r>
      <w:r w:rsidR="00B76B0F">
        <w:rPr>
          <w:rFonts w:ascii="Arial" w:hAnsi="Arial" w:cs="Arial"/>
          <w:color w:val="000000" w:themeColor="text1"/>
          <w:sz w:val="24"/>
          <w:szCs w:val="24"/>
        </w:rPr>
        <w:t xml:space="preserve">, failing which </w:t>
      </w:r>
      <w:r w:rsidR="007709DE">
        <w:rPr>
          <w:rFonts w:ascii="Arial" w:hAnsi="Arial" w:cs="Arial"/>
          <w:color w:val="000000" w:themeColor="text1"/>
          <w:sz w:val="24"/>
          <w:szCs w:val="24"/>
        </w:rPr>
        <w:t>such a sale</w:t>
      </w:r>
      <w:r w:rsidR="00B76B0F">
        <w:rPr>
          <w:rFonts w:ascii="Arial" w:hAnsi="Arial" w:cs="Arial"/>
          <w:color w:val="000000" w:themeColor="text1"/>
          <w:sz w:val="24"/>
          <w:szCs w:val="24"/>
        </w:rPr>
        <w:t xml:space="preserve"> would amount to a breach as specified in </w:t>
      </w:r>
      <w:r w:rsidR="007709DE">
        <w:rPr>
          <w:rFonts w:ascii="Arial" w:hAnsi="Arial" w:cs="Arial"/>
          <w:color w:val="000000" w:themeColor="text1"/>
          <w:sz w:val="24"/>
          <w:szCs w:val="24"/>
        </w:rPr>
        <w:t xml:space="preserve">article </w:t>
      </w:r>
      <w:r w:rsidR="00DB5242">
        <w:rPr>
          <w:rFonts w:ascii="Arial" w:hAnsi="Arial" w:cs="Arial"/>
          <w:color w:val="000000" w:themeColor="text1"/>
          <w:sz w:val="24"/>
          <w:szCs w:val="24"/>
        </w:rPr>
        <w:t>11.2.</w:t>
      </w:r>
    </w:p>
    <w:p w14:paraId="72EF207A" w14:textId="77777777" w:rsidR="007218DF" w:rsidRDefault="007218DF" w:rsidP="006D4D03">
      <w:pPr>
        <w:pStyle w:val="ListParagraph"/>
        <w:spacing w:after="0" w:line="480" w:lineRule="auto"/>
        <w:rPr>
          <w:rFonts w:ascii="Arial" w:hAnsi="Arial" w:cs="Arial"/>
          <w:color w:val="000000" w:themeColor="text1"/>
          <w:sz w:val="24"/>
          <w:szCs w:val="24"/>
        </w:rPr>
      </w:pPr>
    </w:p>
    <w:p w14:paraId="5ABDCF1F" w14:textId="27AFAF59" w:rsidR="007218DF" w:rsidRDefault="00976E50" w:rsidP="00976E50">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[35]</w:t>
      </w:r>
      <w:r>
        <w:rPr>
          <w:rFonts w:ascii="Arial" w:hAnsi="Arial" w:cs="Arial"/>
          <w:color w:val="000000" w:themeColor="text1"/>
          <w:sz w:val="24"/>
          <w:szCs w:val="24"/>
        </w:rPr>
        <w:tab/>
      </w:r>
      <w:r w:rsidR="00DB5242">
        <w:rPr>
          <w:rFonts w:ascii="Arial" w:hAnsi="Arial" w:cs="Arial"/>
          <w:color w:val="000000" w:themeColor="text1"/>
          <w:sz w:val="24"/>
          <w:szCs w:val="24"/>
        </w:rPr>
        <w:t xml:space="preserve">In order to give effect to the obligation in </w:t>
      </w:r>
      <w:r w:rsidR="00345992">
        <w:rPr>
          <w:rFonts w:ascii="Arial" w:hAnsi="Arial" w:cs="Arial"/>
          <w:color w:val="000000" w:themeColor="text1"/>
          <w:sz w:val="24"/>
          <w:szCs w:val="24"/>
        </w:rPr>
        <w:t>article</w:t>
      </w:r>
      <w:r w:rsidR="00DB5242">
        <w:rPr>
          <w:rFonts w:ascii="Arial" w:hAnsi="Arial" w:cs="Arial"/>
          <w:color w:val="000000" w:themeColor="text1"/>
          <w:sz w:val="24"/>
          <w:szCs w:val="24"/>
        </w:rPr>
        <w:t xml:space="preserve"> 11.1, the sale of shares agreement</w:t>
      </w:r>
      <w:r w:rsidR="007709DE">
        <w:rPr>
          <w:rFonts w:ascii="Arial" w:hAnsi="Arial" w:cs="Arial"/>
          <w:color w:val="000000" w:themeColor="text1"/>
          <w:sz w:val="24"/>
          <w:szCs w:val="24"/>
        </w:rPr>
        <w:t xml:space="preserve"> has</w:t>
      </w:r>
      <w:r w:rsidR="00DB5242">
        <w:rPr>
          <w:rFonts w:ascii="Arial" w:hAnsi="Arial" w:cs="Arial"/>
          <w:color w:val="000000" w:themeColor="text1"/>
          <w:sz w:val="24"/>
          <w:szCs w:val="24"/>
        </w:rPr>
        <w:t xml:space="preserve"> include</w:t>
      </w:r>
      <w:r w:rsidR="007709DE">
        <w:rPr>
          <w:rFonts w:ascii="Arial" w:hAnsi="Arial" w:cs="Arial"/>
          <w:color w:val="000000" w:themeColor="text1"/>
          <w:sz w:val="24"/>
          <w:szCs w:val="24"/>
        </w:rPr>
        <w:t>d</w:t>
      </w:r>
      <w:r w:rsidR="00DB5242">
        <w:rPr>
          <w:rFonts w:ascii="Arial" w:hAnsi="Arial" w:cs="Arial"/>
          <w:color w:val="000000" w:themeColor="text1"/>
          <w:sz w:val="24"/>
          <w:szCs w:val="24"/>
        </w:rPr>
        <w:t xml:space="preserve"> clause 22, requiring the parties to obtain the Minister’s consent and thereby comply with </w:t>
      </w:r>
      <w:r w:rsidR="007709DE">
        <w:rPr>
          <w:rFonts w:ascii="Arial" w:hAnsi="Arial" w:cs="Arial"/>
          <w:color w:val="000000" w:themeColor="text1"/>
          <w:sz w:val="24"/>
          <w:szCs w:val="24"/>
        </w:rPr>
        <w:t xml:space="preserve">article </w:t>
      </w:r>
      <w:r w:rsidR="00DB5242">
        <w:rPr>
          <w:rFonts w:ascii="Arial" w:hAnsi="Arial" w:cs="Arial"/>
          <w:color w:val="000000" w:themeColor="text1"/>
          <w:sz w:val="24"/>
          <w:szCs w:val="24"/>
        </w:rPr>
        <w:t xml:space="preserve">11.1 of the PLA. The Minister’s right to give or refuse consent arises from </w:t>
      </w:r>
      <w:r w:rsidR="007709DE">
        <w:rPr>
          <w:rFonts w:ascii="Arial" w:hAnsi="Arial" w:cs="Arial"/>
          <w:color w:val="000000" w:themeColor="text1"/>
          <w:sz w:val="24"/>
          <w:szCs w:val="24"/>
        </w:rPr>
        <w:t xml:space="preserve">article </w:t>
      </w:r>
      <w:r w:rsidR="00DB5242">
        <w:rPr>
          <w:rFonts w:ascii="Arial" w:hAnsi="Arial" w:cs="Arial"/>
          <w:color w:val="000000" w:themeColor="text1"/>
          <w:sz w:val="24"/>
          <w:szCs w:val="24"/>
        </w:rPr>
        <w:t xml:space="preserve">11.1, as does his obligation to consider an application for consent directed to him. It does not arise from clause 22 of the sale of shares agreement which the Minister incorrectly seeks to read in isolation of the overall contractual setting. Clause 22 in the </w:t>
      </w:r>
      <w:r w:rsidR="005C2037">
        <w:rPr>
          <w:rFonts w:ascii="Arial" w:hAnsi="Arial" w:cs="Arial"/>
          <w:color w:val="000000" w:themeColor="text1"/>
          <w:sz w:val="24"/>
          <w:szCs w:val="24"/>
        </w:rPr>
        <w:t xml:space="preserve">shares </w:t>
      </w:r>
      <w:r w:rsidR="00DB5242">
        <w:rPr>
          <w:rFonts w:ascii="Arial" w:hAnsi="Arial" w:cs="Arial"/>
          <w:color w:val="000000" w:themeColor="text1"/>
          <w:sz w:val="24"/>
          <w:szCs w:val="24"/>
        </w:rPr>
        <w:t xml:space="preserve">sale agreement merely seeks to give effect to </w:t>
      </w:r>
      <w:r w:rsidR="007709DE">
        <w:rPr>
          <w:rFonts w:ascii="Arial" w:hAnsi="Arial" w:cs="Arial"/>
          <w:color w:val="000000" w:themeColor="text1"/>
          <w:sz w:val="24"/>
          <w:szCs w:val="24"/>
        </w:rPr>
        <w:t xml:space="preserve">article </w:t>
      </w:r>
      <w:r w:rsidR="00DB5242">
        <w:rPr>
          <w:rFonts w:ascii="Arial" w:hAnsi="Arial" w:cs="Arial"/>
          <w:color w:val="000000" w:themeColor="text1"/>
          <w:sz w:val="24"/>
          <w:szCs w:val="24"/>
        </w:rPr>
        <w:t>11.1 of the PLA.</w:t>
      </w:r>
    </w:p>
    <w:p w14:paraId="3EBFBA32" w14:textId="77777777" w:rsidR="00DB5242" w:rsidRDefault="00DB5242" w:rsidP="006D4D03">
      <w:pPr>
        <w:pStyle w:val="ListParagraph"/>
        <w:spacing w:after="0" w:line="480" w:lineRule="auto"/>
        <w:rPr>
          <w:rFonts w:ascii="Arial" w:hAnsi="Arial" w:cs="Arial"/>
          <w:color w:val="000000" w:themeColor="text1"/>
          <w:sz w:val="24"/>
          <w:szCs w:val="24"/>
        </w:rPr>
      </w:pPr>
    </w:p>
    <w:p w14:paraId="5C56D326" w14:textId="36DF1830" w:rsidR="00DB5242" w:rsidRDefault="00976E50" w:rsidP="00976E50">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[36]</w:t>
      </w:r>
      <w:r>
        <w:rPr>
          <w:rFonts w:ascii="Arial" w:hAnsi="Arial" w:cs="Arial"/>
          <w:color w:val="000000" w:themeColor="text1"/>
          <w:sz w:val="24"/>
          <w:szCs w:val="24"/>
        </w:rPr>
        <w:tab/>
      </w:r>
      <w:r w:rsidR="00DB5242">
        <w:rPr>
          <w:rFonts w:ascii="Arial" w:hAnsi="Arial" w:cs="Arial"/>
          <w:color w:val="000000" w:themeColor="text1"/>
          <w:sz w:val="24"/>
          <w:szCs w:val="24"/>
        </w:rPr>
        <w:t>The point tak</w:t>
      </w:r>
      <w:r w:rsidR="00345992">
        <w:rPr>
          <w:rFonts w:ascii="Arial" w:hAnsi="Arial" w:cs="Arial"/>
          <w:color w:val="000000" w:themeColor="text1"/>
          <w:sz w:val="24"/>
          <w:szCs w:val="24"/>
        </w:rPr>
        <w:t>en</w:t>
      </w:r>
      <w:r w:rsidR="00DB5242">
        <w:rPr>
          <w:rFonts w:ascii="Arial" w:hAnsi="Arial" w:cs="Arial"/>
          <w:color w:val="000000" w:themeColor="text1"/>
          <w:sz w:val="24"/>
          <w:szCs w:val="24"/>
        </w:rPr>
        <w:t xml:space="preserve"> by the Minister</w:t>
      </w:r>
      <w:r w:rsidR="009F65B3">
        <w:rPr>
          <w:rFonts w:ascii="Arial" w:hAnsi="Arial" w:cs="Arial"/>
          <w:color w:val="000000" w:themeColor="text1"/>
          <w:sz w:val="24"/>
          <w:szCs w:val="24"/>
        </w:rPr>
        <w:t xml:space="preserve"> in this regard</w:t>
      </w:r>
      <w:r w:rsidR="00DB5242">
        <w:rPr>
          <w:rFonts w:ascii="Arial" w:hAnsi="Arial" w:cs="Arial"/>
          <w:color w:val="000000" w:themeColor="text1"/>
          <w:sz w:val="24"/>
          <w:szCs w:val="24"/>
        </w:rPr>
        <w:t xml:space="preserve"> is contrived and </w:t>
      </w:r>
      <w:r w:rsidR="007709DE">
        <w:rPr>
          <w:rFonts w:ascii="Arial" w:hAnsi="Arial" w:cs="Arial"/>
          <w:color w:val="000000" w:themeColor="text1"/>
          <w:sz w:val="24"/>
          <w:szCs w:val="24"/>
        </w:rPr>
        <w:t>fails to</w:t>
      </w:r>
      <w:r w:rsidR="009F65B3">
        <w:rPr>
          <w:rFonts w:ascii="Arial" w:hAnsi="Arial" w:cs="Arial"/>
          <w:color w:val="000000" w:themeColor="text1"/>
          <w:sz w:val="24"/>
          <w:szCs w:val="24"/>
        </w:rPr>
        <w:t xml:space="preserve"> tak</w:t>
      </w:r>
      <w:r w:rsidR="007709DE">
        <w:rPr>
          <w:rFonts w:ascii="Arial" w:hAnsi="Arial" w:cs="Arial"/>
          <w:color w:val="000000" w:themeColor="text1"/>
          <w:sz w:val="24"/>
          <w:szCs w:val="24"/>
        </w:rPr>
        <w:t>e</w:t>
      </w:r>
      <w:r w:rsidR="009F65B3">
        <w:rPr>
          <w:rFonts w:ascii="Arial" w:hAnsi="Arial" w:cs="Arial"/>
          <w:color w:val="000000" w:themeColor="text1"/>
          <w:sz w:val="24"/>
          <w:szCs w:val="24"/>
        </w:rPr>
        <w:t xml:space="preserve"> into account</w:t>
      </w:r>
      <w:r w:rsidR="00DB5242">
        <w:rPr>
          <w:rFonts w:ascii="Arial" w:hAnsi="Arial" w:cs="Arial"/>
          <w:color w:val="000000" w:themeColor="text1"/>
          <w:sz w:val="24"/>
          <w:szCs w:val="24"/>
        </w:rPr>
        <w:t xml:space="preserve"> the contractual context of both clause 22 and </w:t>
      </w:r>
      <w:r w:rsidR="007709DE">
        <w:rPr>
          <w:rFonts w:ascii="Arial" w:hAnsi="Arial" w:cs="Arial"/>
          <w:color w:val="000000" w:themeColor="text1"/>
          <w:sz w:val="24"/>
          <w:szCs w:val="24"/>
        </w:rPr>
        <w:t xml:space="preserve">article </w:t>
      </w:r>
      <w:r w:rsidR="00DB5242">
        <w:rPr>
          <w:rFonts w:ascii="Arial" w:hAnsi="Arial" w:cs="Arial"/>
          <w:color w:val="000000" w:themeColor="text1"/>
          <w:sz w:val="24"/>
          <w:szCs w:val="24"/>
        </w:rPr>
        <w:t xml:space="preserve">11.1. The High Court was correct in brushing aside this </w:t>
      </w:r>
      <w:r w:rsidR="009F65B3">
        <w:rPr>
          <w:rFonts w:ascii="Arial" w:hAnsi="Arial" w:cs="Arial"/>
          <w:color w:val="000000" w:themeColor="text1"/>
          <w:sz w:val="24"/>
          <w:szCs w:val="24"/>
        </w:rPr>
        <w:t xml:space="preserve">baseless </w:t>
      </w:r>
      <w:r w:rsidR="00DB5242">
        <w:rPr>
          <w:rFonts w:ascii="Arial" w:hAnsi="Arial" w:cs="Arial"/>
          <w:color w:val="000000" w:themeColor="text1"/>
          <w:sz w:val="24"/>
          <w:szCs w:val="24"/>
        </w:rPr>
        <w:t>point.</w:t>
      </w:r>
    </w:p>
    <w:p w14:paraId="09EF417C" w14:textId="77777777" w:rsidR="00DB5242" w:rsidRDefault="00DB5242" w:rsidP="006D4D03">
      <w:pPr>
        <w:spacing w:after="0"/>
        <w:rPr>
          <w:rFonts w:ascii="Arial" w:hAnsi="Arial" w:cs="Arial"/>
          <w:color w:val="000000" w:themeColor="text1"/>
          <w:sz w:val="24"/>
          <w:szCs w:val="24"/>
        </w:rPr>
      </w:pPr>
    </w:p>
    <w:p w14:paraId="3AAFDC02" w14:textId="77777777" w:rsidR="00DB5242" w:rsidRPr="00DB5242" w:rsidRDefault="00DB5242" w:rsidP="00DB5242">
      <w:pPr>
        <w:rPr>
          <w:rFonts w:ascii="Arial" w:hAnsi="Arial" w:cs="Arial"/>
          <w:color w:val="000000" w:themeColor="text1"/>
          <w:sz w:val="24"/>
          <w:szCs w:val="24"/>
          <w:u w:val="single"/>
        </w:rPr>
      </w:pPr>
      <w:r>
        <w:rPr>
          <w:rFonts w:ascii="Arial" w:hAnsi="Arial" w:cs="Arial"/>
          <w:color w:val="000000" w:themeColor="text1"/>
          <w:sz w:val="24"/>
          <w:szCs w:val="24"/>
          <w:u w:val="single"/>
        </w:rPr>
        <w:t>Section 17B</w:t>
      </w:r>
    </w:p>
    <w:p w14:paraId="079807C8" w14:textId="3688BD9E" w:rsidR="00DB5242" w:rsidRDefault="00976E50" w:rsidP="00976E50">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[37]</w:t>
      </w:r>
      <w:r>
        <w:rPr>
          <w:rFonts w:ascii="Arial" w:hAnsi="Arial" w:cs="Arial"/>
          <w:color w:val="000000" w:themeColor="text1"/>
          <w:sz w:val="24"/>
          <w:szCs w:val="24"/>
        </w:rPr>
        <w:tab/>
      </w:r>
      <w:r w:rsidR="00DB5242">
        <w:rPr>
          <w:rFonts w:ascii="Arial" w:hAnsi="Arial" w:cs="Arial"/>
          <w:color w:val="000000" w:themeColor="text1"/>
          <w:sz w:val="24"/>
          <w:szCs w:val="24"/>
        </w:rPr>
        <w:t>During the protracted correspondence between the parties preceding the application</w:t>
      </w:r>
      <w:r w:rsidR="009F65B3">
        <w:rPr>
          <w:rFonts w:ascii="Arial" w:hAnsi="Arial" w:cs="Arial"/>
          <w:color w:val="000000" w:themeColor="text1"/>
          <w:sz w:val="24"/>
          <w:szCs w:val="24"/>
        </w:rPr>
        <w:t xml:space="preserve"> concerning the issue of consent to the sale of shares</w:t>
      </w:r>
      <w:r w:rsidR="00DB5242">
        <w:rPr>
          <w:rFonts w:ascii="Arial" w:hAnsi="Arial" w:cs="Arial"/>
          <w:color w:val="000000" w:themeColor="text1"/>
          <w:sz w:val="24"/>
          <w:szCs w:val="24"/>
        </w:rPr>
        <w:t xml:space="preserve">, s 17B was not raised </w:t>
      </w:r>
      <w:r w:rsidR="00DB5242">
        <w:rPr>
          <w:rFonts w:ascii="Arial" w:hAnsi="Arial" w:cs="Arial"/>
          <w:color w:val="000000" w:themeColor="text1"/>
          <w:sz w:val="24"/>
          <w:szCs w:val="24"/>
        </w:rPr>
        <w:lastRenderedPageBreak/>
        <w:t>by the Minister. Nor is it referred to in the PLA.</w:t>
      </w:r>
      <w:r w:rsidR="007709DE">
        <w:rPr>
          <w:rFonts w:ascii="Arial" w:hAnsi="Arial" w:cs="Arial"/>
          <w:color w:val="000000" w:themeColor="text1"/>
          <w:sz w:val="24"/>
          <w:szCs w:val="24"/>
        </w:rPr>
        <w:t xml:space="preserve"> It was </w:t>
      </w:r>
      <w:r w:rsidR="00B16332">
        <w:rPr>
          <w:rFonts w:ascii="Arial" w:hAnsi="Arial" w:cs="Arial"/>
          <w:color w:val="000000" w:themeColor="text1"/>
          <w:sz w:val="24"/>
          <w:szCs w:val="24"/>
        </w:rPr>
        <w:t>raised</w:t>
      </w:r>
      <w:r w:rsidR="007709DE">
        <w:rPr>
          <w:rFonts w:ascii="Arial" w:hAnsi="Arial" w:cs="Arial"/>
          <w:color w:val="000000" w:themeColor="text1"/>
          <w:sz w:val="24"/>
          <w:szCs w:val="24"/>
        </w:rPr>
        <w:t xml:space="preserve"> for the first time</w:t>
      </w:r>
      <w:r w:rsidR="00B16332">
        <w:rPr>
          <w:rFonts w:ascii="Arial" w:hAnsi="Arial" w:cs="Arial"/>
          <w:color w:val="000000" w:themeColor="text1"/>
          <w:sz w:val="24"/>
          <w:szCs w:val="24"/>
        </w:rPr>
        <w:t xml:space="preserve"> </w:t>
      </w:r>
      <w:r w:rsidR="007709DE">
        <w:rPr>
          <w:rFonts w:ascii="Arial" w:hAnsi="Arial" w:cs="Arial"/>
          <w:color w:val="000000" w:themeColor="text1"/>
          <w:sz w:val="24"/>
          <w:szCs w:val="24"/>
        </w:rPr>
        <w:t>in opposition to the High Court application.</w:t>
      </w:r>
      <w:r w:rsidR="00DB5242">
        <w:rPr>
          <w:rFonts w:ascii="Arial" w:hAnsi="Arial" w:cs="Arial"/>
          <w:color w:val="000000" w:themeColor="text1"/>
          <w:sz w:val="24"/>
          <w:szCs w:val="24"/>
        </w:rPr>
        <w:t xml:space="preserve"> Section 17B provides:</w:t>
      </w:r>
    </w:p>
    <w:p w14:paraId="6E6F28F8" w14:textId="77777777" w:rsidR="00DB5242" w:rsidRDefault="00DB5242" w:rsidP="00DB5242">
      <w:pPr>
        <w:pStyle w:val="NoSpacing"/>
        <w:spacing w:line="480" w:lineRule="auto"/>
        <w:jc w:val="both"/>
        <w:rPr>
          <w:rFonts w:ascii="Arial" w:hAnsi="Arial" w:cs="Arial"/>
          <w:color w:val="000000" w:themeColor="text1"/>
          <w:sz w:val="24"/>
          <w:szCs w:val="24"/>
        </w:rPr>
      </w:pPr>
    </w:p>
    <w:p w14:paraId="39839D77" w14:textId="77777777" w:rsidR="001312A9" w:rsidRDefault="001312A9" w:rsidP="001312A9">
      <w:pPr>
        <w:pStyle w:val="ListParagraph"/>
        <w:spacing w:after="0" w:line="360" w:lineRule="auto"/>
        <w:ind w:left="1440" w:hanging="720"/>
        <w:jc w:val="both"/>
        <w:rPr>
          <w:rFonts w:ascii="Arial" w:hAnsi="Arial" w:cs="Arial"/>
        </w:rPr>
      </w:pPr>
      <w:r w:rsidRPr="001312A9">
        <w:rPr>
          <w:rFonts w:ascii="Arial" w:hAnsi="Arial" w:cs="Arial"/>
        </w:rPr>
        <w:t>‘</w:t>
      </w:r>
      <w:r>
        <w:rPr>
          <w:rFonts w:ascii="Arial" w:hAnsi="Arial" w:cs="Arial"/>
        </w:rPr>
        <w:t>(1)</w:t>
      </w:r>
      <w:r>
        <w:rPr>
          <w:rFonts w:ascii="Arial" w:hAnsi="Arial" w:cs="Arial"/>
        </w:rPr>
        <w:tab/>
      </w:r>
      <w:r w:rsidRPr="001312A9">
        <w:rPr>
          <w:rFonts w:ascii="Arial" w:hAnsi="Arial" w:cs="Arial"/>
        </w:rPr>
        <w:t xml:space="preserve">A foreign national who wishes to acquire customary land right or right of leasehold must first obtain a written authorisation of the Minister before he or she applies for such rights. </w:t>
      </w:r>
    </w:p>
    <w:p w14:paraId="093CC350" w14:textId="77777777" w:rsidR="001312A9" w:rsidRDefault="001312A9" w:rsidP="001312A9">
      <w:pPr>
        <w:pStyle w:val="ListParagraph"/>
        <w:spacing w:after="0" w:line="360" w:lineRule="auto"/>
        <w:ind w:left="1440" w:hanging="720"/>
        <w:jc w:val="both"/>
        <w:rPr>
          <w:rFonts w:ascii="Arial" w:hAnsi="Arial" w:cs="Arial"/>
        </w:rPr>
      </w:pPr>
      <w:r>
        <w:rPr>
          <w:rFonts w:ascii="Arial" w:hAnsi="Arial" w:cs="Arial"/>
        </w:rPr>
        <w:t>(2)</w:t>
      </w:r>
      <w:r>
        <w:rPr>
          <w:rFonts w:ascii="Arial" w:hAnsi="Arial" w:cs="Arial"/>
        </w:rPr>
        <w:tab/>
      </w:r>
      <w:r w:rsidRPr="001312A9">
        <w:rPr>
          <w:rFonts w:ascii="Arial" w:hAnsi="Arial" w:cs="Arial"/>
        </w:rPr>
        <w:t xml:space="preserve">An application for the written authorisation referred to in subsection (1) is made in the prescribed manner and form. </w:t>
      </w:r>
    </w:p>
    <w:p w14:paraId="7B1D88CF" w14:textId="77777777" w:rsidR="001312A9" w:rsidRDefault="001312A9" w:rsidP="001312A9">
      <w:pPr>
        <w:pStyle w:val="ListParagraph"/>
        <w:spacing w:after="0" w:line="360" w:lineRule="auto"/>
        <w:ind w:left="1440" w:hanging="720"/>
        <w:jc w:val="both"/>
        <w:rPr>
          <w:rFonts w:ascii="Arial" w:hAnsi="Arial" w:cs="Arial"/>
        </w:rPr>
      </w:pPr>
      <w:r>
        <w:rPr>
          <w:rFonts w:ascii="Arial" w:hAnsi="Arial" w:cs="Arial"/>
        </w:rPr>
        <w:t>(3)</w:t>
      </w:r>
      <w:r>
        <w:rPr>
          <w:rFonts w:ascii="Arial" w:hAnsi="Arial" w:cs="Arial"/>
        </w:rPr>
        <w:tab/>
      </w:r>
      <w:r w:rsidRPr="001312A9">
        <w:rPr>
          <w:rFonts w:ascii="Arial" w:hAnsi="Arial" w:cs="Arial"/>
        </w:rPr>
        <w:t xml:space="preserve">Upon receipt of the application for the written authorisation referred to in subsection (2), the Minister may grant the application with or without conditions or refuse the application. </w:t>
      </w:r>
    </w:p>
    <w:p w14:paraId="3716689B" w14:textId="77777777" w:rsidR="00DB5242" w:rsidRDefault="001312A9" w:rsidP="001312A9">
      <w:pPr>
        <w:pStyle w:val="ListParagraph"/>
        <w:spacing w:after="0" w:line="360" w:lineRule="auto"/>
        <w:ind w:left="1440" w:hanging="720"/>
        <w:jc w:val="both"/>
        <w:rPr>
          <w:rFonts w:ascii="Arial" w:hAnsi="Arial" w:cs="Arial"/>
        </w:rPr>
      </w:pPr>
      <w:r>
        <w:rPr>
          <w:rFonts w:ascii="Arial" w:hAnsi="Arial" w:cs="Arial"/>
        </w:rPr>
        <w:t>(4)</w:t>
      </w:r>
      <w:r>
        <w:rPr>
          <w:rFonts w:ascii="Arial" w:hAnsi="Arial" w:cs="Arial"/>
        </w:rPr>
        <w:tab/>
      </w:r>
      <w:r w:rsidRPr="001312A9">
        <w:rPr>
          <w:rFonts w:ascii="Arial" w:hAnsi="Arial" w:cs="Arial"/>
        </w:rPr>
        <w:t>The Minister may prescribe criteria and conditions upon which a foreign national may be granted customary land right or right of leasehold under this Act.’</w:t>
      </w:r>
    </w:p>
    <w:p w14:paraId="71B7E270" w14:textId="77777777" w:rsidR="001312A9" w:rsidRPr="001312A9" w:rsidRDefault="001312A9" w:rsidP="001312A9">
      <w:pPr>
        <w:pStyle w:val="ListParagraph"/>
        <w:spacing w:after="0" w:line="480" w:lineRule="auto"/>
        <w:ind w:left="1440" w:hanging="720"/>
        <w:jc w:val="both"/>
        <w:rPr>
          <w:rFonts w:ascii="Arial" w:hAnsi="Arial" w:cs="Arial"/>
          <w:color w:val="000000" w:themeColor="text1"/>
          <w:sz w:val="24"/>
          <w:szCs w:val="24"/>
        </w:rPr>
      </w:pPr>
    </w:p>
    <w:p w14:paraId="3676E49D" w14:textId="595F428B" w:rsidR="00DB5242" w:rsidRDefault="00976E50" w:rsidP="00976E50">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[38]</w:t>
      </w:r>
      <w:r>
        <w:rPr>
          <w:rFonts w:ascii="Arial" w:hAnsi="Arial" w:cs="Arial"/>
          <w:color w:val="000000" w:themeColor="text1"/>
          <w:sz w:val="24"/>
          <w:szCs w:val="24"/>
        </w:rPr>
        <w:tab/>
      </w:r>
      <w:r w:rsidR="00DB5242">
        <w:rPr>
          <w:rFonts w:ascii="Arial" w:hAnsi="Arial" w:cs="Arial"/>
          <w:color w:val="000000" w:themeColor="text1"/>
          <w:sz w:val="24"/>
          <w:szCs w:val="24"/>
        </w:rPr>
        <w:t xml:space="preserve">The first question which arises concerns whether the rights of </w:t>
      </w:r>
      <w:r w:rsidR="00997828">
        <w:rPr>
          <w:rFonts w:ascii="Arial" w:hAnsi="Arial" w:cs="Arial"/>
          <w:color w:val="000000" w:themeColor="text1"/>
          <w:sz w:val="24"/>
          <w:szCs w:val="24"/>
        </w:rPr>
        <w:t>Agri-Pro</w:t>
      </w:r>
      <w:r w:rsidR="00DB5242">
        <w:rPr>
          <w:rFonts w:ascii="Arial" w:hAnsi="Arial" w:cs="Arial"/>
          <w:color w:val="000000" w:themeColor="text1"/>
          <w:sz w:val="24"/>
          <w:szCs w:val="24"/>
        </w:rPr>
        <w:t xml:space="preserve"> amount to a customary land right or a right of lease</w:t>
      </w:r>
      <w:r w:rsidR="007709DE">
        <w:rPr>
          <w:rFonts w:ascii="Arial" w:hAnsi="Arial" w:cs="Arial"/>
          <w:color w:val="000000" w:themeColor="text1"/>
          <w:sz w:val="24"/>
          <w:szCs w:val="24"/>
        </w:rPr>
        <w:t>-</w:t>
      </w:r>
      <w:r w:rsidR="00DB5242">
        <w:rPr>
          <w:rFonts w:ascii="Arial" w:hAnsi="Arial" w:cs="Arial"/>
          <w:color w:val="000000" w:themeColor="text1"/>
          <w:sz w:val="24"/>
          <w:szCs w:val="24"/>
        </w:rPr>
        <w:t>hold.</w:t>
      </w:r>
    </w:p>
    <w:p w14:paraId="0A2D33AE" w14:textId="77777777" w:rsidR="007709DE" w:rsidRDefault="007709DE" w:rsidP="007709DE">
      <w:pPr>
        <w:pStyle w:val="NoSpacing"/>
        <w:spacing w:line="480" w:lineRule="auto"/>
        <w:jc w:val="both"/>
        <w:rPr>
          <w:rFonts w:ascii="Arial" w:hAnsi="Arial" w:cs="Arial"/>
          <w:color w:val="000000" w:themeColor="text1"/>
          <w:sz w:val="24"/>
          <w:szCs w:val="24"/>
        </w:rPr>
      </w:pPr>
    </w:p>
    <w:p w14:paraId="0324491F" w14:textId="26D87723" w:rsidR="007709DE" w:rsidRDefault="00976E50" w:rsidP="00976E50">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[39]</w:t>
      </w:r>
      <w:r>
        <w:rPr>
          <w:rFonts w:ascii="Arial" w:hAnsi="Arial" w:cs="Arial"/>
          <w:color w:val="000000" w:themeColor="text1"/>
          <w:sz w:val="24"/>
          <w:szCs w:val="24"/>
        </w:rPr>
        <w:tab/>
      </w:r>
      <w:r w:rsidR="007709DE">
        <w:rPr>
          <w:rFonts w:ascii="Arial" w:hAnsi="Arial" w:cs="Arial"/>
          <w:color w:val="000000" w:themeColor="text1"/>
          <w:sz w:val="24"/>
          <w:szCs w:val="24"/>
        </w:rPr>
        <w:t>Counsel for the appellants correctly accepted that the Minister would have the burden to establish that s 17B applies to Agri-Pro’s rights under the PLA.</w:t>
      </w:r>
    </w:p>
    <w:p w14:paraId="2215D280" w14:textId="77777777" w:rsidR="00DB5242" w:rsidRDefault="00B16332" w:rsidP="006D4D03">
      <w:pPr>
        <w:pStyle w:val="ListParagraph"/>
        <w:tabs>
          <w:tab w:val="left" w:pos="3735"/>
        </w:tabs>
        <w:spacing w:after="0" w:line="480" w:lineRule="auto"/>
        <w:rPr>
          <w:rFonts w:ascii="Arial" w:hAnsi="Arial" w:cs="Arial"/>
          <w:color w:val="000000" w:themeColor="text1"/>
          <w:sz w:val="24"/>
          <w:szCs w:val="24"/>
        </w:rPr>
      </w:pPr>
      <w:r>
        <w:rPr>
          <w:rFonts w:ascii="Arial" w:hAnsi="Arial" w:cs="Arial"/>
          <w:color w:val="000000" w:themeColor="text1"/>
          <w:sz w:val="24"/>
          <w:szCs w:val="24"/>
        </w:rPr>
        <w:tab/>
      </w:r>
    </w:p>
    <w:p w14:paraId="3A3940BC" w14:textId="3F1F1795" w:rsidR="00DB5242" w:rsidRDefault="00976E50" w:rsidP="00976E50">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[40]</w:t>
      </w:r>
      <w:r>
        <w:rPr>
          <w:rFonts w:ascii="Arial" w:hAnsi="Arial" w:cs="Arial"/>
          <w:color w:val="000000" w:themeColor="text1"/>
          <w:sz w:val="24"/>
          <w:szCs w:val="24"/>
        </w:rPr>
        <w:tab/>
      </w:r>
      <w:r w:rsidR="00DB5242">
        <w:rPr>
          <w:rFonts w:ascii="Arial" w:hAnsi="Arial" w:cs="Arial"/>
          <w:color w:val="000000" w:themeColor="text1"/>
          <w:sz w:val="24"/>
          <w:szCs w:val="24"/>
        </w:rPr>
        <w:t>A customary land right is defined in the Act to mean ‘any of the rights referred to in para</w:t>
      </w:r>
      <w:r w:rsidR="00997828">
        <w:rPr>
          <w:rFonts w:ascii="Arial" w:hAnsi="Arial" w:cs="Arial"/>
          <w:color w:val="000000" w:themeColor="text1"/>
          <w:sz w:val="24"/>
          <w:szCs w:val="24"/>
        </w:rPr>
        <w:t>graphs (a), (b) and (c) of s 21’. Those rights, set out in s 21</w:t>
      </w:r>
      <w:r w:rsidR="009F65B3">
        <w:rPr>
          <w:rFonts w:ascii="Arial" w:hAnsi="Arial" w:cs="Arial"/>
          <w:color w:val="000000" w:themeColor="text1"/>
          <w:sz w:val="24"/>
          <w:szCs w:val="24"/>
        </w:rPr>
        <w:t>,</w:t>
      </w:r>
      <w:r w:rsidR="00997828">
        <w:rPr>
          <w:rFonts w:ascii="Arial" w:hAnsi="Arial" w:cs="Arial"/>
          <w:color w:val="000000" w:themeColor="text1"/>
          <w:sz w:val="24"/>
          <w:szCs w:val="24"/>
        </w:rPr>
        <w:t xml:space="preserve"> are the following:</w:t>
      </w:r>
    </w:p>
    <w:p w14:paraId="41753AAC" w14:textId="77777777" w:rsidR="00DB5242" w:rsidRDefault="00DB5242" w:rsidP="00DB5242">
      <w:pPr>
        <w:pStyle w:val="ListParagraph"/>
        <w:rPr>
          <w:rFonts w:ascii="Arial" w:hAnsi="Arial" w:cs="Arial"/>
          <w:color w:val="000000" w:themeColor="text1"/>
          <w:sz w:val="24"/>
          <w:szCs w:val="24"/>
        </w:rPr>
      </w:pPr>
    </w:p>
    <w:p w14:paraId="4958B22C" w14:textId="77777777" w:rsidR="00980DEB" w:rsidRPr="007709DE" w:rsidRDefault="00997828" w:rsidP="00980DEB">
      <w:pPr>
        <w:pStyle w:val="NoSpacing"/>
        <w:spacing w:line="360" w:lineRule="auto"/>
        <w:ind w:left="720"/>
        <w:jc w:val="both"/>
        <w:rPr>
          <w:rFonts w:ascii="Arial" w:hAnsi="Arial" w:cs="Arial"/>
        </w:rPr>
      </w:pPr>
      <w:r w:rsidRPr="00980DEB">
        <w:rPr>
          <w:rFonts w:ascii="Arial" w:hAnsi="Arial" w:cs="Arial"/>
        </w:rPr>
        <w:t>‘</w:t>
      </w:r>
      <w:r w:rsidR="00575CEE" w:rsidRPr="00980DEB">
        <w:rPr>
          <w:rFonts w:ascii="Arial" w:hAnsi="Arial" w:cs="Arial"/>
        </w:rPr>
        <w:t>(a)</w:t>
      </w:r>
      <w:r w:rsidR="00980DEB">
        <w:rPr>
          <w:rFonts w:ascii="Arial" w:hAnsi="Arial" w:cs="Arial"/>
        </w:rPr>
        <w:tab/>
      </w:r>
      <w:r w:rsidR="00575CEE" w:rsidRPr="00980DEB">
        <w:rPr>
          <w:rFonts w:ascii="Arial" w:hAnsi="Arial" w:cs="Arial"/>
        </w:rPr>
        <w:t>a right to a </w:t>
      </w:r>
      <w:hyperlink r:id="rId12" w:anchor="defn-term-farming_unit" w:history="1">
        <w:r w:rsidR="00575CEE" w:rsidRPr="007709DE">
          <w:rPr>
            <w:rFonts w:ascii="Arial" w:hAnsi="Arial" w:cs="Arial"/>
          </w:rPr>
          <w:t>farming unit</w:t>
        </w:r>
      </w:hyperlink>
      <w:r w:rsidR="00575CEE" w:rsidRPr="007709DE">
        <w:rPr>
          <w:rFonts w:ascii="Arial" w:hAnsi="Arial" w:cs="Arial"/>
        </w:rPr>
        <w:t>;</w:t>
      </w:r>
    </w:p>
    <w:p w14:paraId="6AB82C15" w14:textId="77777777" w:rsidR="00980DEB" w:rsidRPr="007709DE" w:rsidRDefault="00575CEE" w:rsidP="00980DEB">
      <w:pPr>
        <w:pStyle w:val="NoSpacing"/>
        <w:spacing w:line="360" w:lineRule="auto"/>
        <w:ind w:left="720"/>
        <w:jc w:val="both"/>
        <w:rPr>
          <w:rFonts w:ascii="Arial" w:hAnsi="Arial" w:cs="Arial"/>
        </w:rPr>
      </w:pPr>
      <w:r w:rsidRPr="007709DE">
        <w:rPr>
          <w:rFonts w:ascii="Arial" w:hAnsi="Arial" w:cs="Arial"/>
        </w:rPr>
        <w:t>(b)</w:t>
      </w:r>
      <w:r w:rsidR="00980DEB" w:rsidRPr="007709DE">
        <w:rPr>
          <w:rFonts w:ascii="Arial" w:hAnsi="Arial" w:cs="Arial"/>
        </w:rPr>
        <w:tab/>
      </w:r>
      <w:r w:rsidRPr="007709DE">
        <w:rPr>
          <w:rFonts w:ascii="Arial" w:hAnsi="Arial" w:cs="Arial"/>
        </w:rPr>
        <w:t>a right to a </w:t>
      </w:r>
      <w:hyperlink r:id="rId13" w:anchor="defn-term-residential_unit" w:history="1">
        <w:r w:rsidRPr="007709DE">
          <w:rPr>
            <w:rFonts w:ascii="Arial" w:hAnsi="Arial" w:cs="Arial"/>
          </w:rPr>
          <w:t>residential unit</w:t>
        </w:r>
      </w:hyperlink>
      <w:r w:rsidRPr="007709DE">
        <w:rPr>
          <w:rFonts w:ascii="Arial" w:hAnsi="Arial" w:cs="Arial"/>
        </w:rPr>
        <w:t>;</w:t>
      </w:r>
    </w:p>
    <w:p w14:paraId="36800343" w14:textId="77777777" w:rsidR="00DB5242" w:rsidRPr="007709DE" w:rsidRDefault="00575CEE" w:rsidP="00980DEB">
      <w:pPr>
        <w:pStyle w:val="NoSpacing"/>
        <w:spacing w:line="360" w:lineRule="auto"/>
        <w:ind w:left="1440" w:hanging="720"/>
        <w:jc w:val="both"/>
        <w:rPr>
          <w:rFonts w:ascii="Arial" w:hAnsi="Arial" w:cs="Arial"/>
        </w:rPr>
      </w:pPr>
      <w:r w:rsidRPr="007709DE">
        <w:rPr>
          <w:rFonts w:ascii="Arial" w:hAnsi="Arial" w:cs="Arial"/>
        </w:rPr>
        <w:t>(c)</w:t>
      </w:r>
      <w:r w:rsidR="00980DEB" w:rsidRPr="007709DE">
        <w:rPr>
          <w:rFonts w:ascii="Arial" w:hAnsi="Arial" w:cs="Arial"/>
        </w:rPr>
        <w:tab/>
      </w:r>
      <w:r w:rsidRPr="007709DE">
        <w:rPr>
          <w:rFonts w:ascii="Arial" w:hAnsi="Arial" w:cs="Arial"/>
        </w:rPr>
        <w:t>a right to any other form of customary tenure that may be recognised and described by the </w:t>
      </w:r>
      <w:hyperlink r:id="rId14" w:anchor="defn-term-Minister" w:history="1">
        <w:r w:rsidRPr="007709DE">
          <w:rPr>
            <w:rFonts w:ascii="Arial" w:hAnsi="Arial" w:cs="Arial"/>
          </w:rPr>
          <w:t>Minister</w:t>
        </w:r>
      </w:hyperlink>
      <w:r w:rsidRPr="007709DE">
        <w:rPr>
          <w:rFonts w:ascii="Arial" w:hAnsi="Arial" w:cs="Arial"/>
        </w:rPr>
        <w:t> by notice in the Gazette for the purposes of </w:t>
      </w:r>
      <w:hyperlink r:id="rId15" w:anchor="defn-term-this_Act" w:history="1">
        <w:r w:rsidRPr="007709DE">
          <w:rPr>
            <w:rFonts w:ascii="Arial" w:hAnsi="Arial" w:cs="Arial"/>
          </w:rPr>
          <w:t>this Act</w:t>
        </w:r>
      </w:hyperlink>
      <w:r w:rsidRPr="007709DE">
        <w:rPr>
          <w:rFonts w:ascii="Arial" w:hAnsi="Arial" w:cs="Arial"/>
        </w:rPr>
        <w:t>.</w:t>
      </w:r>
      <w:r w:rsidR="00980DEB" w:rsidRPr="007709DE">
        <w:rPr>
          <w:rFonts w:ascii="Arial" w:hAnsi="Arial" w:cs="Arial"/>
        </w:rPr>
        <w:t>’</w:t>
      </w:r>
    </w:p>
    <w:p w14:paraId="6809EED0" w14:textId="77777777" w:rsidR="007218DF" w:rsidRPr="007709DE" w:rsidRDefault="007218DF" w:rsidP="007218DF">
      <w:pPr>
        <w:pStyle w:val="ListParagraph"/>
        <w:rPr>
          <w:rFonts w:ascii="Arial" w:hAnsi="Arial" w:cs="Arial"/>
          <w:color w:val="000000" w:themeColor="text1"/>
          <w:sz w:val="24"/>
          <w:szCs w:val="24"/>
        </w:rPr>
      </w:pPr>
    </w:p>
    <w:p w14:paraId="601B9AB8" w14:textId="77777777" w:rsidR="007218DF" w:rsidRDefault="007218DF" w:rsidP="007709DE">
      <w:pPr>
        <w:pStyle w:val="ListParagraph"/>
        <w:spacing w:after="0"/>
        <w:rPr>
          <w:rFonts w:ascii="Arial" w:hAnsi="Arial" w:cs="Arial"/>
          <w:color w:val="000000" w:themeColor="text1"/>
          <w:sz w:val="24"/>
          <w:szCs w:val="24"/>
        </w:rPr>
      </w:pPr>
    </w:p>
    <w:p w14:paraId="1E0B7A09" w14:textId="6A9DB469" w:rsidR="007218DF" w:rsidRDefault="00976E50" w:rsidP="00976E50">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[41]</w:t>
      </w:r>
      <w:r>
        <w:rPr>
          <w:rFonts w:ascii="Arial" w:hAnsi="Arial" w:cs="Arial"/>
          <w:color w:val="000000" w:themeColor="text1"/>
          <w:sz w:val="24"/>
          <w:szCs w:val="24"/>
        </w:rPr>
        <w:tab/>
      </w:r>
      <w:r w:rsidR="00997828">
        <w:rPr>
          <w:rFonts w:ascii="Arial" w:hAnsi="Arial" w:cs="Arial"/>
          <w:color w:val="000000" w:themeColor="text1"/>
          <w:sz w:val="24"/>
          <w:szCs w:val="24"/>
        </w:rPr>
        <w:t>A lease</w:t>
      </w:r>
      <w:r w:rsidR="007709DE">
        <w:rPr>
          <w:rFonts w:ascii="Arial" w:hAnsi="Arial" w:cs="Arial"/>
          <w:color w:val="000000" w:themeColor="text1"/>
          <w:sz w:val="24"/>
          <w:szCs w:val="24"/>
        </w:rPr>
        <w:t>-</w:t>
      </w:r>
      <w:r w:rsidR="00997828">
        <w:rPr>
          <w:rFonts w:ascii="Arial" w:hAnsi="Arial" w:cs="Arial"/>
          <w:color w:val="000000" w:themeColor="text1"/>
          <w:sz w:val="24"/>
          <w:szCs w:val="24"/>
        </w:rPr>
        <w:t>hold is not defined in the Act, although a lease-holder is defined as ‘a person to whom a right of lease</w:t>
      </w:r>
      <w:r w:rsidR="009F65B3">
        <w:rPr>
          <w:rFonts w:ascii="Arial" w:hAnsi="Arial" w:cs="Arial"/>
          <w:color w:val="000000" w:themeColor="text1"/>
          <w:sz w:val="24"/>
          <w:szCs w:val="24"/>
        </w:rPr>
        <w:t>-</w:t>
      </w:r>
      <w:r w:rsidR="00997828">
        <w:rPr>
          <w:rFonts w:ascii="Arial" w:hAnsi="Arial" w:cs="Arial"/>
          <w:color w:val="000000" w:themeColor="text1"/>
          <w:sz w:val="24"/>
          <w:szCs w:val="24"/>
        </w:rPr>
        <w:t>hold has been granted under this Act’.</w:t>
      </w:r>
      <w:r w:rsidR="008A6314">
        <w:rPr>
          <w:rFonts w:ascii="Arial" w:hAnsi="Arial" w:cs="Arial"/>
          <w:color w:val="000000" w:themeColor="text1"/>
          <w:sz w:val="24"/>
          <w:szCs w:val="24"/>
        </w:rPr>
        <w:t xml:space="preserve"> A right of lease</w:t>
      </w:r>
      <w:r w:rsidR="00B16332">
        <w:rPr>
          <w:rFonts w:ascii="Arial" w:hAnsi="Arial" w:cs="Arial"/>
          <w:color w:val="000000" w:themeColor="text1"/>
          <w:sz w:val="24"/>
          <w:szCs w:val="24"/>
        </w:rPr>
        <w:t>-</w:t>
      </w:r>
      <w:r w:rsidR="008A6314">
        <w:rPr>
          <w:rFonts w:ascii="Arial" w:hAnsi="Arial" w:cs="Arial"/>
          <w:color w:val="000000" w:themeColor="text1"/>
          <w:sz w:val="24"/>
          <w:szCs w:val="24"/>
        </w:rPr>
        <w:lastRenderedPageBreak/>
        <w:t xml:space="preserve">hold for agricultural purposes arises </w:t>
      </w:r>
      <w:r w:rsidR="009F65B3">
        <w:rPr>
          <w:rFonts w:ascii="Arial" w:hAnsi="Arial" w:cs="Arial"/>
          <w:color w:val="000000" w:themeColor="text1"/>
          <w:sz w:val="24"/>
          <w:szCs w:val="24"/>
        </w:rPr>
        <w:t xml:space="preserve">for the purposes of the Act </w:t>
      </w:r>
      <w:r w:rsidR="008A6314">
        <w:rPr>
          <w:rFonts w:ascii="Arial" w:hAnsi="Arial" w:cs="Arial"/>
          <w:color w:val="000000" w:themeColor="text1"/>
          <w:sz w:val="24"/>
          <w:szCs w:val="24"/>
        </w:rPr>
        <w:t xml:space="preserve">after the Minister has designated by notice in the Gazette an area which </w:t>
      </w:r>
      <w:r w:rsidR="009F65B3">
        <w:rPr>
          <w:rFonts w:ascii="Arial" w:hAnsi="Arial" w:cs="Arial"/>
          <w:color w:val="000000" w:themeColor="text1"/>
          <w:sz w:val="24"/>
          <w:szCs w:val="24"/>
        </w:rPr>
        <w:t xml:space="preserve">a </w:t>
      </w:r>
      <w:r w:rsidR="008A6314">
        <w:rPr>
          <w:rFonts w:ascii="Arial" w:hAnsi="Arial" w:cs="Arial"/>
          <w:color w:val="000000" w:themeColor="text1"/>
          <w:sz w:val="24"/>
          <w:szCs w:val="24"/>
        </w:rPr>
        <w:t xml:space="preserve">land board may grant for agricultural purposes under s 31 of the Act. </w:t>
      </w:r>
    </w:p>
    <w:p w14:paraId="3955620B" w14:textId="77777777" w:rsidR="008A6314" w:rsidRDefault="008A6314" w:rsidP="006D4D03">
      <w:pPr>
        <w:pStyle w:val="ListParagraph"/>
        <w:spacing w:after="0" w:line="480" w:lineRule="auto"/>
        <w:rPr>
          <w:rFonts w:ascii="Arial" w:hAnsi="Arial" w:cs="Arial"/>
          <w:color w:val="000000" w:themeColor="text1"/>
          <w:sz w:val="24"/>
          <w:szCs w:val="24"/>
        </w:rPr>
      </w:pPr>
    </w:p>
    <w:p w14:paraId="1B9F115F" w14:textId="5D358E37" w:rsidR="008A6314" w:rsidRDefault="00976E50" w:rsidP="00976E50">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[42]</w:t>
      </w:r>
      <w:r>
        <w:rPr>
          <w:rFonts w:ascii="Arial" w:hAnsi="Arial" w:cs="Arial"/>
          <w:color w:val="000000" w:themeColor="text1"/>
          <w:sz w:val="24"/>
          <w:szCs w:val="24"/>
        </w:rPr>
        <w:tab/>
      </w:r>
      <w:r w:rsidR="008A6314">
        <w:rPr>
          <w:rFonts w:ascii="Arial" w:hAnsi="Arial" w:cs="Arial"/>
          <w:color w:val="000000" w:themeColor="text1"/>
          <w:sz w:val="24"/>
          <w:szCs w:val="24"/>
        </w:rPr>
        <w:t xml:space="preserve">Turning to Agri-Pro’s rights under the PLA, </w:t>
      </w:r>
      <w:r w:rsidR="009F65B3">
        <w:rPr>
          <w:rFonts w:ascii="Arial" w:hAnsi="Arial" w:cs="Arial"/>
          <w:color w:val="000000" w:themeColor="text1"/>
          <w:sz w:val="24"/>
          <w:szCs w:val="24"/>
        </w:rPr>
        <w:t>the subject matter is</w:t>
      </w:r>
      <w:r w:rsidR="008A6314">
        <w:rPr>
          <w:rFonts w:ascii="Arial" w:hAnsi="Arial" w:cs="Arial"/>
          <w:color w:val="000000" w:themeColor="text1"/>
          <w:sz w:val="24"/>
          <w:szCs w:val="24"/>
        </w:rPr>
        <w:t xml:space="preserve"> the Shitemo Irrigation Project which is leased to Agri-Pro ‘to develop, operate and manage’ </w:t>
      </w:r>
      <w:r w:rsidR="00B16332">
        <w:rPr>
          <w:rFonts w:ascii="Arial" w:hAnsi="Arial" w:cs="Arial"/>
          <w:color w:val="000000" w:themeColor="text1"/>
          <w:sz w:val="24"/>
          <w:szCs w:val="24"/>
        </w:rPr>
        <w:t xml:space="preserve">the project </w:t>
      </w:r>
      <w:r w:rsidR="008A6314">
        <w:rPr>
          <w:rFonts w:ascii="Arial" w:hAnsi="Arial" w:cs="Arial"/>
          <w:color w:val="000000" w:themeColor="text1"/>
          <w:sz w:val="24"/>
          <w:szCs w:val="24"/>
        </w:rPr>
        <w:t>in line with the Green Scheme Policy.</w:t>
      </w:r>
    </w:p>
    <w:p w14:paraId="406A2707" w14:textId="77777777" w:rsidR="008A6314" w:rsidRDefault="008A6314" w:rsidP="006D4D03">
      <w:pPr>
        <w:pStyle w:val="ListParagraph"/>
        <w:spacing w:after="0" w:line="480" w:lineRule="auto"/>
        <w:rPr>
          <w:rFonts w:ascii="Arial" w:hAnsi="Arial" w:cs="Arial"/>
          <w:color w:val="000000" w:themeColor="text1"/>
          <w:sz w:val="24"/>
          <w:szCs w:val="24"/>
        </w:rPr>
      </w:pPr>
    </w:p>
    <w:p w14:paraId="43681641" w14:textId="2C51E7C7" w:rsidR="008A6314" w:rsidRDefault="00976E50" w:rsidP="00976E50">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[43]</w:t>
      </w:r>
      <w:r>
        <w:rPr>
          <w:rFonts w:ascii="Arial" w:hAnsi="Arial" w:cs="Arial"/>
          <w:color w:val="000000" w:themeColor="text1"/>
          <w:sz w:val="24"/>
          <w:szCs w:val="24"/>
        </w:rPr>
        <w:tab/>
      </w:r>
      <w:r w:rsidR="008A6314">
        <w:rPr>
          <w:rFonts w:ascii="Arial" w:hAnsi="Arial" w:cs="Arial"/>
          <w:color w:val="000000" w:themeColor="text1"/>
          <w:sz w:val="24"/>
          <w:szCs w:val="24"/>
        </w:rPr>
        <w:t>In the preamble</w:t>
      </w:r>
      <w:r w:rsidR="009F65B3">
        <w:rPr>
          <w:rFonts w:ascii="Arial" w:hAnsi="Arial" w:cs="Arial"/>
          <w:color w:val="000000" w:themeColor="text1"/>
          <w:sz w:val="24"/>
          <w:szCs w:val="24"/>
        </w:rPr>
        <w:t xml:space="preserve"> to the PLA,</w:t>
      </w:r>
      <w:r w:rsidR="008A6314">
        <w:rPr>
          <w:rFonts w:ascii="Arial" w:hAnsi="Arial" w:cs="Arial"/>
          <w:color w:val="000000" w:themeColor="text1"/>
          <w:sz w:val="24"/>
          <w:szCs w:val="24"/>
        </w:rPr>
        <w:t xml:space="preserve"> it is stated that NDC ‘entrusts’ Agri-Pro ‘to operate, develop, manage and administer the project’ and that Agri-Pro is to render ‘farming services to the small scale irrigation farmers at cost </w:t>
      </w:r>
      <w:r w:rsidR="009A13ED">
        <w:rPr>
          <w:rFonts w:ascii="Arial" w:hAnsi="Arial" w:cs="Arial"/>
          <w:color w:val="000000" w:themeColor="text1"/>
          <w:sz w:val="24"/>
          <w:szCs w:val="24"/>
        </w:rPr>
        <w:t xml:space="preserve">plus administration fees as determined by the Ministry. The Minister in turn has the responsibility to settle and incorporate small scale </w:t>
      </w:r>
      <w:r w:rsidR="0056063B">
        <w:rPr>
          <w:rFonts w:ascii="Arial" w:hAnsi="Arial" w:cs="Arial"/>
          <w:color w:val="000000" w:themeColor="text1"/>
          <w:sz w:val="24"/>
          <w:szCs w:val="24"/>
        </w:rPr>
        <w:t>farmers into the project who would occupy portions of project land.</w:t>
      </w:r>
    </w:p>
    <w:p w14:paraId="0B2A85DF" w14:textId="77777777" w:rsidR="0056063B" w:rsidRDefault="0056063B" w:rsidP="006D4D03">
      <w:pPr>
        <w:pStyle w:val="ListParagraph"/>
        <w:spacing w:after="0" w:line="480" w:lineRule="auto"/>
        <w:rPr>
          <w:rFonts w:ascii="Arial" w:hAnsi="Arial" w:cs="Arial"/>
          <w:color w:val="000000" w:themeColor="text1"/>
          <w:sz w:val="24"/>
          <w:szCs w:val="24"/>
        </w:rPr>
      </w:pPr>
    </w:p>
    <w:p w14:paraId="795E6FB6" w14:textId="546B1D5A" w:rsidR="0056063B" w:rsidRDefault="00976E50" w:rsidP="00976E50">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[44]</w:t>
      </w:r>
      <w:r>
        <w:rPr>
          <w:rFonts w:ascii="Arial" w:hAnsi="Arial" w:cs="Arial"/>
          <w:color w:val="000000" w:themeColor="text1"/>
          <w:sz w:val="24"/>
          <w:szCs w:val="24"/>
        </w:rPr>
        <w:tab/>
      </w:r>
      <w:r w:rsidR="0056063B">
        <w:rPr>
          <w:rFonts w:ascii="Arial" w:hAnsi="Arial" w:cs="Arial"/>
          <w:color w:val="000000" w:themeColor="text1"/>
          <w:sz w:val="24"/>
          <w:szCs w:val="24"/>
        </w:rPr>
        <w:t xml:space="preserve">The NDC’s obligation is to make available the project comprising a total of 1000 hectare for a period of </w:t>
      </w:r>
      <w:r w:rsidR="00832564">
        <w:rPr>
          <w:rFonts w:ascii="Arial" w:hAnsi="Arial" w:cs="Arial"/>
          <w:color w:val="000000" w:themeColor="text1"/>
          <w:sz w:val="24"/>
          <w:szCs w:val="24"/>
        </w:rPr>
        <w:t>20 years.</w:t>
      </w:r>
    </w:p>
    <w:p w14:paraId="36F07FB2" w14:textId="77777777" w:rsidR="0056063B" w:rsidRDefault="0056063B" w:rsidP="006D4D03">
      <w:pPr>
        <w:pStyle w:val="ListParagraph"/>
        <w:spacing w:after="0" w:line="480" w:lineRule="auto"/>
        <w:rPr>
          <w:rFonts w:ascii="Arial" w:hAnsi="Arial" w:cs="Arial"/>
          <w:color w:val="000000" w:themeColor="text1"/>
          <w:sz w:val="24"/>
          <w:szCs w:val="24"/>
        </w:rPr>
      </w:pPr>
    </w:p>
    <w:p w14:paraId="435F9CC4" w14:textId="2B82CFD0" w:rsidR="0056063B" w:rsidRDefault="00976E50" w:rsidP="00976E50">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[45]</w:t>
      </w:r>
      <w:r>
        <w:rPr>
          <w:rFonts w:ascii="Arial" w:hAnsi="Arial" w:cs="Arial"/>
          <w:color w:val="000000" w:themeColor="text1"/>
          <w:sz w:val="24"/>
          <w:szCs w:val="24"/>
        </w:rPr>
        <w:tab/>
      </w:r>
      <w:r w:rsidR="00832564">
        <w:rPr>
          <w:rFonts w:ascii="Arial" w:hAnsi="Arial" w:cs="Arial"/>
          <w:color w:val="000000" w:themeColor="text1"/>
          <w:sz w:val="24"/>
          <w:szCs w:val="24"/>
        </w:rPr>
        <w:t>Agri-Pro’s duties essentially concern developing, operating and managing the project</w:t>
      </w:r>
      <w:r w:rsidR="00856F6A">
        <w:rPr>
          <w:rFonts w:ascii="Arial" w:hAnsi="Arial" w:cs="Arial"/>
          <w:color w:val="000000" w:themeColor="text1"/>
          <w:sz w:val="24"/>
          <w:szCs w:val="24"/>
        </w:rPr>
        <w:t xml:space="preserve"> on the basis of sound business principles. Its duties also include </w:t>
      </w:r>
      <w:r w:rsidR="009F65B3">
        <w:rPr>
          <w:rFonts w:ascii="Arial" w:hAnsi="Arial" w:cs="Arial"/>
          <w:color w:val="000000" w:themeColor="text1"/>
          <w:sz w:val="24"/>
          <w:szCs w:val="24"/>
        </w:rPr>
        <w:t xml:space="preserve">the </w:t>
      </w:r>
      <w:r w:rsidR="00856F6A">
        <w:rPr>
          <w:rFonts w:ascii="Arial" w:hAnsi="Arial" w:cs="Arial"/>
          <w:color w:val="000000" w:themeColor="text1"/>
          <w:sz w:val="24"/>
          <w:szCs w:val="24"/>
        </w:rPr>
        <w:t>upgrading of irrigation and maintaining infrastructure.</w:t>
      </w:r>
    </w:p>
    <w:p w14:paraId="460DE185" w14:textId="77777777" w:rsidR="0056063B" w:rsidRDefault="0056063B" w:rsidP="006D4D03">
      <w:pPr>
        <w:pStyle w:val="ListParagraph"/>
        <w:spacing w:after="0" w:line="480" w:lineRule="auto"/>
        <w:rPr>
          <w:rFonts w:ascii="Arial" w:hAnsi="Arial" w:cs="Arial"/>
          <w:color w:val="000000" w:themeColor="text1"/>
          <w:sz w:val="24"/>
          <w:szCs w:val="24"/>
        </w:rPr>
      </w:pPr>
    </w:p>
    <w:p w14:paraId="1D918EC0" w14:textId="63CC310E" w:rsidR="0056063B" w:rsidRDefault="00976E50" w:rsidP="00976E50">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[46]</w:t>
      </w:r>
      <w:r>
        <w:rPr>
          <w:rFonts w:ascii="Arial" w:hAnsi="Arial" w:cs="Arial"/>
          <w:color w:val="000000" w:themeColor="text1"/>
          <w:sz w:val="24"/>
          <w:szCs w:val="24"/>
        </w:rPr>
        <w:tab/>
      </w:r>
      <w:r w:rsidR="00856F6A">
        <w:rPr>
          <w:rFonts w:ascii="Arial" w:hAnsi="Arial" w:cs="Arial"/>
          <w:color w:val="000000" w:themeColor="text1"/>
          <w:sz w:val="24"/>
          <w:szCs w:val="24"/>
        </w:rPr>
        <w:t xml:space="preserve">Nowhere </w:t>
      </w:r>
      <w:r w:rsidR="00B03DCA">
        <w:rPr>
          <w:rFonts w:ascii="Arial" w:hAnsi="Arial" w:cs="Arial"/>
          <w:color w:val="000000" w:themeColor="text1"/>
          <w:sz w:val="24"/>
          <w:szCs w:val="24"/>
        </w:rPr>
        <w:t>in the PLA is there reference to a customary land right or a lease</w:t>
      </w:r>
      <w:r w:rsidR="007709DE">
        <w:rPr>
          <w:rFonts w:ascii="Arial" w:hAnsi="Arial" w:cs="Arial"/>
          <w:color w:val="000000" w:themeColor="text1"/>
          <w:sz w:val="24"/>
          <w:szCs w:val="24"/>
        </w:rPr>
        <w:t>-</w:t>
      </w:r>
      <w:r w:rsidR="00B03DCA">
        <w:rPr>
          <w:rFonts w:ascii="Arial" w:hAnsi="Arial" w:cs="Arial"/>
          <w:color w:val="000000" w:themeColor="text1"/>
          <w:sz w:val="24"/>
          <w:szCs w:val="24"/>
        </w:rPr>
        <w:t>hold as contemplated under the Act. Agri-Pro’s rights and duties as project manager do not remotely approach the forms of customary land right</w:t>
      </w:r>
      <w:r w:rsidR="00B16332">
        <w:rPr>
          <w:rFonts w:ascii="Arial" w:hAnsi="Arial" w:cs="Arial"/>
          <w:color w:val="000000" w:themeColor="text1"/>
          <w:sz w:val="24"/>
          <w:szCs w:val="24"/>
        </w:rPr>
        <w:t>s</w:t>
      </w:r>
      <w:r w:rsidR="00B03DCA">
        <w:rPr>
          <w:rFonts w:ascii="Arial" w:hAnsi="Arial" w:cs="Arial"/>
          <w:color w:val="000000" w:themeColor="text1"/>
          <w:sz w:val="24"/>
          <w:szCs w:val="24"/>
        </w:rPr>
        <w:t xml:space="preserve"> set out in</w:t>
      </w:r>
      <w:r w:rsidR="009F65B3">
        <w:rPr>
          <w:rFonts w:ascii="Arial" w:hAnsi="Arial" w:cs="Arial"/>
          <w:color w:val="000000" w:themeColor="text1"/>
          <w:sz w:val="24"/>
          <w:szCs w:val="24"/>
        </w:rPr>
        <w:t xml:space="preserve"> the</w:t>
      </w:r>
      <w:r w:rsidR="007709DE">
        <w:rPr>
          <w:rFonts w:ascii="Arial" w:hAnsi="Arial" w:cs="Arial"/>
          <w:color w:val="000000" w:themeColor="text1"/>
          <w:sz w:val="24"/>
          <w:szCs w:val="24"/>
        </w:rPr>
        <w:t>ir</w:t>
      </w:r>
      <w:r w:rsidR="009F65B3">
        <w:rPr>
          <w:rFonts w:ascii="Arial" w:hAnsi="Arial" w:cs="Arial"/>
          <w:color w:val="000000" w:themeColor="text1"/>
          <w:sz w:val="24"/>
          <w:szCs w:val="24"/>
        </w:rPr>
        <w:t xml:space="preserve"> different </w:t>
      </w:r>
      <w:r w:rsidR="009F65B3">
        <w:rPr>
          <w:rFonts w:ascii="Arial" w:hAnsi="Arial" w:cs="Arial"/>
          <w:color w:val="000000" w:themeColor="text1"/>
          <w:sz w:val="24"/>
          <w:szCs w:val="24"/>
        </w:rPr>
        <w:lastRenderedPageBreak/>
        <w:t>manifestation</w:t>
      </w:r>
      <w:r w:rsidR="007709DE">
        <w:rPr>
          <w:rFonts w:ascii="Arial" w:hAnsi="Arial" w:cs="Arial"/>
          <w:color w:val="000000" w:themeColor="text1"/>
          <w:sz w:val="24"/>
          <w:szCs w:val="24"/>
        </w:rPr>
        <w:t>s</w:t>
      </w:r>
      <w:r w:rsidR="009F65B3">
        <w:rPr>
          <w:rFonts w:ascii="Arial" w:hAnsi="Arial" w:cs="Arial"/>
          <w:color w:val="000000" w:themeColor="text1"/>
          <w:sz w:val="24"/>
          <w:szCs w:val="24"/>
        </w:rPr>
        <w:t xml:space="preserve"> contained in </w:t>
      </w:r>
      <w:r w:rsidR="00B03DCA">
        <w:rPr>
          <w:rFonts w:ascii="Arial" w:hAnsi="Arial" w:cs="Arial"/>
          <w:color w:val="000000" w:themeColor="text1"/>
          <w:sz w:val="24"/>
          <w:szCs w:val="24"/>
        </w:rPr>
        <w:t>s 21. Nor do they contemplate a lease</w:t>
      </w:r>
      <w:r w:rsidR="007709DE">
        <w:rPr>
          <w:rFonts w:ascii="Arial" w:hAnsi="Arial" w:cs="Arial"/>
          <w:color w:val="000000" w:themeColor="text1"/>
          <w:sz w:val="24"/>
          <w:szCs w:val="24"/>
        </w:rPr>
        <w:t>-</w:t>
      </w:r>
      <w:r w:rsidR="00B03DCA">
        <w:rPr>
          <w:rFonts w:ascii="Arial" w:hAnsi="Arial" w:cs="Arial"/>
          <w:color w:val="000000" w:themeColor="text1"/>
          <w:sz w:val="24"/>
          <w:szCs w:val="24"/>
        </w:rPr>
        <w:t>hold under the Act in the sense that the term is generally understood</w:t>
      </w:r>
      <w:r w:rsidR="009F65B3">
        <w:rPr>
          <w:rFonts w:ascii="Arial" w:hAnsi="Arial" w:cs="Arial"/>
          <w:color w:val="000000" w:themeColor="text1"/>
          <w:sz w:val="24"/>
          <w:szCs w:val="24"/>
        </w:rPr>
        <w:t xml:space="preserve"> and used in the Act</w:t>
      </w:r>
      <w:r w:rsidR="00B03DCA">
        <w:rPr>
          <w:rFonts w:ascii="Arial" w:hAnsi="Arial" w:cs="Arial"/>
          <w:color w:val="000000" w:themeColor="text1"/>
          <w:sz w:val="24"/>
          <w:szCs w:val="24"/>
        </w:rPr>
        <w:t>.</w:t>
      </w:r>
    </w:p>
    <w:p w14:paraId="741E10A6" w14:textId="77777777" w:rsidR="0056063B" w:rsidRDefault="0056063B" w:rsidP="006D4D03">
      <w:pPr>
        <w:pStyle w:val="ListParagraph"/>
        <w:spacing w:after="0" w:line="480" w:lineRule="auto"/>
        <w:rPr>
          <w:rFonts w:ascii="Arial" w:hAnsi="Arial" w:cs="Arial"/>
          <w:color w:val="000000" w:themeColor="text1"/>
          <w:sz w:val="24"/>
          <w:szCs w:val="24"/>
        </w:rPr>
      </w:pPr>
    </w:p>
    <w:p w14:paraId="40719349" w14:textId="61570E4B" w:rsidR="0056063B" w:rsidRDefault="00976E50" w:rsidP="00976E50">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[47]</w:t>
      </w:r>
      <w:r>
        <w:rPr>
          <w:rFonts w:ascii="Arial" w:hAnsi="Arial" w:cs="Arial"/>
          <w:color w:val="000000" w:themeColor="text1"/>
          <w:sz w:val="24"/>
          <w:szCs w:val="24"/>
        </w:rPr>
        <w:tab/>
      </w:r>
      <w:r w:rsidR="00B03DCA">
        <w:rPr>
          <w:rFonts w:ascii="Arial" w:hAnsi="Arial" w:cs="Arial"/>
          <w:color w:val="000000" w:themeColor="text1"/>
          <w:sz w:val="24"/>
          <w:szCs w:val="24"/>
        </w:rPr>
        <w:t>It would follow that s 17B does not find applica</w:t>
      </w:r>
      <w:r w:rsidR="009F65B3">
        <w:rPr>
          <w:rFonts w:ascii="Arial" w:hAnsi="Arial" w:cs="Arial"/>
          <w:color w:val="000000" w:themeColor="text1"/>
          <w:sz w:val="24"/>
          <w:szCs w:val="24"/>
        </w:rPr>
        <w:t>tion by reason of Agri-Pro’s rights under the PLA not constituting a customary land right or a right to lease-hold as contemplated by the Act</w:t>
      </w:r>
      <w:r w:rsidR="00B03DCA">
        <w:rPr>
          <w:rFonts w:ascii="Arial" w:hAnsi="Arial" w:cs="Arial"/>
          <w:color w:val="000000" w:themeColor="text1"/>
          <w:sz w:val="24"/>
          <w:szCs w:val="24"/>
        </w:rPr>
        <w:t xml:space="preserve">. It is unnecessary for present purposes to express a view as to what is meant by </w:t>
      </w:r>
      <w:r w:rsidR="009F65B3">
        <w:rPr>
          <w:rFonts w:ascii="Arial" w:hAnsi="Arial" w:cs="Arial"/>
          <w:color w:val="000000" w:themeColor="text1"/>
          <w:sz w:val="24"/>
          <w:szCs w:val="24"/>
        </w:rPr>
        <w:t>the term</w:t>
      </w:r>
      <w:r w:rsidR="00B03DCA">
        <w:rPr>
          <w:rFonts w:ascii="Arial" w:hAnsi="Arial" w:cs="Arial"/>
          <w:color w:val="000000" w:themeColor="text1"/>
          <w:sz w:val="24"/>
          <w:szCs w:val="24"/>
        </w:rPr>
        <w:t xml:space="preserve"> </w:t>
      </w:r>
      <w:r w:rsidR="009F65B3">
        <w:rPr>
          <w:rFonts w:ascii="Arial" w:hAnsi="Arial" w:cs="Arial"/>
          <w:color w:val="000000" w:themeColor="text1"/>
          <w:sz w:val="24"/>
          <w:szCs w:val="24"/>
        </w:rPr>
        <w:t>‘</w:t>
      </w:r>
      <w:r w:rsidR="00B03DCA">
        <w:rPr>
          <w:rFonts w:ascii="Arial" w:hAnsi="Arial" w:cs="Arial"/>
          <w:color w:val="000000" w:themeColor="text1"/>
          <w:sz w:val="24"/>
          <w:szCs w:val="24"/>
        </w:rPr>
        <w:t>foreign national</w:t>
      </w:r>
      <w:r w:rsidR="009F65B3">
        <w:rPr>
          <w:rFonts w:ascii="Arial" w:hAnsi="Arial" w:cs="Arial"/>
          <w:color w:val="000000" w:themeColor="text1"/>
          <w:sz w:val="24"/>
          <w:szCs w:val="24"/>
        </w:rPr>
        <w:t>’</w:t>
      </w:r>
      <w:r w:rsidR="00B03DCA">
        <w:rPr>
          <w:rFonts w:ascii="Arial" w:hAnsi="Arial" w:cs="Arial"/>
          <w:color w:val="000000" w:themeColor="text1"/>
          <w:sz w:val="24"/>
          <w:szCs w:val="24"/>
        </w:rPr>
        <w:t xml:space="preserve"> </w:t>
      </w:r>
      <w:r w:rsidR="007709DE">
        <w:rPr>
          <w:rFonts w:ascii="Arial" w:hAnsi="Arial" w:cs="Arial"/>
          <w:color w:val="000000" w:themeColor="text1"/>
          <w:sz w:val="24"/>
          <w:szCs w:val="24"/>
        </w:rPr>
        <w:t xml:space="preserve">of a corporate entity </w:t>
      </w:r>
      <w:r w:rsidR="00B03DCA">
        <w:rPr>
          <w:rFonts w:ascii="Arial" w:hAnsi="Arial" w:cs="Arial"/>
          <w:color w:val="000000" w:themeColor="text1"/>
          <w:sz w:val="24"/>
          <w:szCs w:val="24"/>
        </w:rPr>
        <w:t>in that section.</w:t>
      </w:r>
    </w:p>
    <w:p w14:paraId="602C2F69" w14:textId="77777777" w:rsidR="0056063B" w:rsidRDefault="0056063B" w:rsidP="006D4D03">
      <w:pPr>
        <w:spacing w:after="0"/>
        <w:rPr>
          <w:rFonts w:ascii="Arial" w:hAnsi="Arial" w:cs="Arial"/>
          <w:color w:val="000000" w:themeColor="text1"/>
          <w:sz w:val="24"/>
          <w:szCs w:val="24"/>
        </w:rPr>
      </w:pPr>
    </w:p>
    <w:p w14:paraId="1A23AB75" w14:textId="77777777" w:rsidR="00B03DCA" w:rsidRPr="00B03DCA" w:rsidRDefault="00B03DCA" w:rsidP="00B03DCA">
      <w:pPr>
        <w:rPr>
          <w:rFonts w:ascii="Arial" w:hAnsi="Arial" w:cs="Arial"/>
          <w:color w:val="000000" w:themeColor="text1"/>
          <w:sz w:val="24"/>
          <w:szCs w:val="24"/>
          <w:u w:val="single"/>
        </w:rPr>
      </w:pPr>
      <w:r>
        <w:rPr>
          <w:rFonts w:ascii="Arial" w:hAnsi="Arial" w:cs="Arial"/>
          <w:color w:val="000000" w:themeColor="text1"/>
          <w:sz w:val="24"/>
          <w:szCs w:val="24"/>
          <w:u w:val="single"/>
        </w:rPr>
        <w:t>The cross-appeal</w:t>
      </w:r>
    </w:p>
    <w:p w14:paraId="657578F3" w14:textId="4ACACE3E" w:rsidR="0056063B" w:rsidRDefault="00976E50" w:rsidP="00976E50">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[48]</w:t>
      </w:r>
      <w:r>
        <w:rPr>
          <w:rFonts w:ascii="Arial" w:hAnsi="Arial" w:cs="Arial"/>
          <w:color w:val="000000" w:themeColor="text1"/>
          <w:sz w:val="24"/>
          <w:szCs w:val="24"/>
        </w:rPr>
        <w:tab/>
      </w:r>
      <w:r w:rsidR="00B03DCA">
        <w:rPr>
          <w:rFonts w:ascii="Arial" w:hAnsi="Arial" w:cs="Arial"/>
          <w:color w:val="000000" w:themeColor="text1"/>
          <w:sz w:val="24"/>
          <w:szCs w:val="24"/>
        </w:rPr>
        <w:t>Serve refers to the long history of ministerial inaction in response to the application for consent to the sale of shares. It involves an inordinately long period spanning from a meeting in November 2018, follow</w:t>
      </w:r>
      <w:r w:rsidR="009F65B3">
        <w:rPr>
          <w:rFonts w:ascii="Arial" w:hAnsi="Arial" w:cs="Arial"/>
          <w:color w:val="000000" w:themeColor="text1"/>
          <w:sz w:val="24"/>
          <w:szCs w:val="24"/>
        </w:rPr>
        <w:t>ed</w:t>
      </w:r>
      <w:r w:rsidR="00B03DCA">
        <w:rPr>
          <w:rFonts w:ascii="Arial" w:hAnsi="Arial" w:cs="Arial"/>
          <w:color w:val="000000" w:themeColor="text1"/>
          <w:sz w:val="24"/>
          <w:szCs w:val="24"/>
        </w:rPr>
        <w:t xml:space="preserve"> up by submissions</w:t>
      </w:r>
      <w:r w:rsidR="009F65B3">
        <w:rPr>
          <w:rFonts w:ascii="Arial" w:hAnsi="Arial" w:cs="Arial"/>
          <w:color w:val="000000" w:themeColor="text1"/>
          <w:sz w:val="24"/>
          <w:szCs w:val="24"/>
        </w:rPr>
        <w:t>, attempts at further meeting</w:t>
      </w:r>
      <w:r w:rsidR="007709DE">
        <w:rPr>
          <w:rFonts w:ascii="Arial" w:hAnsi="Arial" w:cs="Arial"/>
          <w:color w:val="000000" w:themeColor="text1"/>
          <w:sz w:val="24"/>
          <w:szCs w:val="24"/>
        </w:rPr>
        <w:t xml:space="preserve">s as well as </w:t>
      </w:r>
      <w:r w:rsidR="00B03DCA">
        <w:rPr>
          <w:rFonts w:ascii="Arial" w:hAnsi="Arial" w:cs="Arial"/>
          <w:color w:val="000000" w:themeColor="text1"/>
          <w:sz w:val="24"/>
          <w:szCs w:val="24"/>
        </w:rPr>
        <w:t>correspondence continuing until 21 July 2021. This extended period of inaction</w:t>
      </w:r>
      <w:r w:rsidR="009F65B3">
        <w:rPr>
          <w:rFonts w:ascii="Arial" w:hAnsi="Arial" w:cs="Arial"/>
          <w:color w:val="000000" w:themeColor="text1"/>
          <w:sz w:val="24"/>
          <w:szCs w:val="24"/>
        </w:rPr>
        <w:t xml:space="preserve"> </w:t>
      </w:r>
      <w:r w:rsidR="00B16332">
        <w:rPr>
          <w:rFonts w:ascii="Arial" w:hAnsi="Arial" w:cs="Arial"/>
          <w:color w:val="000000" w:themeColor="text1"/>
          <w:sz w:val="24"/>
          <w:szCs w:val="24"/>
        </w:rPr>
        <w:t>o</w:t>
      </w:r>
      <w:r w:rsidR="009F65B3">
        <w:rPr>
          <w:rFonts w:ascii="Arial" w:hAnsi="Arial" w:cs="Arial"/>
          <w:color w:val="000000" w:themeColor="text1"/>
          <w:sz w:val="24"/>
          <w:szCs w:val="24"/>
        </w:rPr>
        <w:t>n the part of the Minister</w:t>
      </w:r>
      <w:r w:rsidR="00B03DCA">
        <w:rPr>
          <w:rFonts w:ascii="Arial" w:hAnsi="Arial" w:cs="Arial"/>
          <w:color w:val="000000" w:themeColor="text1"/>
          <w:sz w:val="24"/>
          <w:szCs w:val="24"/>
        </w:rPr>
        <w:t xml:space="preserve"> is difficult to comprehend in the context of the compelling purpose and objectives contained in the Green Scheme Policy initiative.</w:t>
      </w:r>
    </w:p>
    <w:p w14:paraId="66ADED20" w14:textId="77777777" w:rsidR="0056063B" w:rsidRDefault="0056063B" w:rsidP="006D4D03">
      <w:pPr>
        <w:pStyle w:val="ListParagraph"/>
        <w:spacing w:after="0" w:line="480" w:lineRule="auto"/>
        <w:rPr>
          <w:rFonts w:ascii="Arial" w:hAnsi="Arial" w:cs="Arial"/>
          <w:color w:val="000000" w:themeColor="text1"/>
          <w:sz w:val="24"/>
          <w:szCs w:val="24"/>
        </w:rPr>
      </w:pPr>
    </w:p>
    <w:p w14:paraId="396EBF37" w14:textId="62BEBFA3" w:rsidR="0056063B" w:rsidRDefault="00976E50" w:rsidP="00976E50">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[49]</w:t>
      </w:r>
      <w:r>
        <w:rPr>
          <w:rFonts w:ascii="Arial" w:hAnsi="Arial" w:cs="Arial"/>
          <w:color w:val="000000" w:themeColor="text1"/>
          <w:sz w:val="24"/>
          <w:szCs w:val="24"/>
        </w:rPr>
        <w:tab/>
      </w:r>
      <w:r w:rsidR="00B03DCA">
        <w:rPr>
          <w:rFonts w:ascii="Arial" w:hAnsi="Arial" w:cs="Arial"/>
          <w:color w:val="000000" w:themeColor="text1"/>
          <w:sz w:val="24"/>
          <w:szCs w:val="24"/>
        </w:rPr>
        <w:t>Counsel for Serve contend</w:t>
      </w:r>
      <w:r w:rsidR="007709DE">
        <w:rPr>
          <w:rFonts w:ascii="Arial" w:hAnsi="Arial" w:cs="Arial"/>
          <w:color w:val="000000" w:themeColor="text1"/>
          <w:sz w:val="24"/>
          <w:szCs w:val="24"/>
        </w:rPr>
        <w:t>ed</w:t>
      </w:r>
      <w:r w:rsidR="00B03DCA">
        <w:rPr>
          <w:rFonts w:ascii="Arial" w:hAnsi="Arial" w:cs="Arial"/>
          <w:color w:val="000000" w:themeColor="text1"/>
          <w:sz w:val="24"/>
          <w:szCs w:val="24"/>
        </w:rPr>
        <w:t xml:space="preserve"> that this protracted inaction coupled with the failure to raise any objection </w:t>
      </w:r>
      <w:r w:rsidR="009F65B3">
        <w:rPr>
          <w:rFonts w:ascii="Arial" w:hAnsi="Arial" w:cs="Arial"/>
          <w:color w:val="000000" w:themeColor="text1"/>
          <w:sz w:val="24"/>
          <w:szCs w:val="24"/>
        </w:rPr>
        <w:t>concerning</w:t>
      </w:r>
      <w:r w:rsidR="00B03DCA">
        <w:rPr>
          <w:rFonts w:ascii="Arial" w:hAnsi="Arial" w:cs="Arial"/>
          <w:color w:val="000000" w:themeColor="text1"/>
          <w:sz w:val="24"/>
          <w:szCs w:val="24"/>
        </w:rPr>
        <w:t xml:space="preserve"> Serve’s suitability would amount to exceptional circumstances to justify an order compelling the Minister to consent to the sale. Counsel for the Minister vigorously disagrees</w:t>
      </w:r>
      <w:r w:rsidR="009F65B3">
        <w:rPr>
          <w:rFonts w:ascii="Arial" w:hAnsi="Arial" w:cs="Arial"/>
          <w:color w:val="000000" w:themeColor="text1"/>
          <w:sz w:val="24"/>
          <w:szCs w:val="24"/>
        </w:rPr>
        <w:t xml:space="preserve"> and points to an absence of bias or the fact that </w:t>
      </w:r>
      <w:r w:rsidR="00B16332">
        <w:rPr>
          <w:rFonts w:ascii="Arial" w:hAnsi="Arial" w:cs="Arial"/>
          <w:color w:val="000000" w:themeColor="text1"/>
          <w:sz w:val="24"/>
          <w:szCs w:val="24"/>
        </w:rPr>
        <w:t xml:space="preserve">it is not established that </w:t>
      </w:r>
      <w:r w:rsidR="009F65B3">
        <w:rPr>
          <w:rFonts w:ascii="Arial" w:hAnsi="Arial" w:cs="Arial"/>
          <w:color w:val="000000" w:themeColor="text1"/>
          <w:sz w:val="24"/>
          <w:szCs w:val="24"/>
        </w:rPr>
        <w:t>a referral to the Minister is a foregone conclusion</w:t>
      </w:r>
      <w:r w:rsidR="00B03DCA">
        <w:rPr>
          <w:rFonts w:ascii="Arial" w:hAnsi="Arial" w:cs="Arial"/>
          <w:color w:val="000000" w:themeColor="text1"/>
          <w:sz w:val="24"/>
          <w:szCs w:val="24"/>
        </w:rPr>
        <w:t>.</w:t>
      </w:r>
    </w:p>
    <w:p w14:paraId="68AA6B9B" w14:textId="77777777" w:rsidR="0056063B" w:rsidRDefault="0056063B" w:rsidP="006D4D03">
      <w:pPr>
        <w:pStyle w:val="ListParagraph"/>
        <w:spacing w:after="0" w:line="480" w:lineRule="auto"/>
        <w:rPr>
          <w:rFonts w:ascii="Arial" w:hAnsi="Arial" w:cs="Arial"/>
          <w:color w:val="000000" w:themeColor="text1"/>
          <w:sz w:val="24"/>
          <w:szCs w:val="24"/>
        </w:rPr>
      </w:pPr>
    </w:p>
    <w:p w14:paraId="6CEF1636" w14:textId="1DEB30E0" w:rsidR="0056063B" w:rsidRDefault="00976E50" w:rsidP="00976E50">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[50]</w:t>
      </w:r>
      <w:r>
        <w:rPr>
          <w:rFonts w:ascii="Arial" w:hAnsi="Arial" w:cs="Arial"/>
          <w:color w:val="000000" w:themeColor="text1"/>
          <w:sz w:val="24"/>
          <w:szCs w:val="24"/>
        </w:rPr>
        <w:tab/>
      </w:r>
      <w:r w:rsidR="00B03DCA">
        <w:rPr>
          <w:rFonts w:ascii="Arial" w:hAnsi="Arial" w:cs="Arial"/>
          <w:color w:val="000000" w:themeColor="text1"/>
          <w:sz w:val="24"/>
          <w:szCs w:val="24"/>
        </w:rPr>
        <w:t xml:space="preserve">The determination of the appropriate remedy in review proceedings was recently </w:t>
      </w:r>
      <w:r w:rsidR="00B16332">
        <w:rPr>
          <w:rFonts w:ascii="Arial" w:hAnsi="Arial" w:cs="Arial"/>
          <w:color w:val="000000" w:themeColor="text1"/>
          <w:sz w:val="24"/>
          <w:szCs w:val="24"/>
        </w:rPr>
        <w:t>considered</w:t>
      </w:r>
      <w:r w:rsidR="00B03DCA">
        <w:rPr>
          <w:rFonts w:ascii="Arial" w:hAnsi="Arial" w:cs="Arial"/>
          <w:color w:val="000000" w:themeColor="text1"/>
          <w:sz w:val="24"/>
          <w:szCs w:val="24"/>
        </w:rPr>
        <w:t xml:space="preserve"> by this court with reference to applicable authority:</w:t>
      </w:r>
      <w:r w:rsidR="00B03DCA">
        <w:rPr>
          <w:rStyle w:val="FootnoteReference"/>
          <w:rFonts w:ascii="Arial" w:hAnsi="Arial" w:cs="Arial"/>
          <w:color w:val="000000" w:themeColor="text1"/>
          <w:sz w:val="24"/>
          <w:szCs w:val="24"/>
        </w:rPr>
        <w:footnoteReference w:id="3"/>
      </w:r>
    </w:p>
    <w:p w14:paraId="2B340DF4" w14:textId="77777777" w:rsidR="00C44D6A" w:rsidRDefault="00C44D6A" w:rsidP="00C44D6A">
      <w:pPr>
        <w:pStyle w:val="ListParagraph"/>
        <w:rPr>
          <w:rFonts w:ascii="Arial" w:hAnsi="Arial" w:cs="Arial"/>
          <w:color w:val="000000" w:themeColor="text1"/>
          <w:sz w:val="24"/>
          <w:szCs w:val="24"/>
        </w:rPr>
      </w:pPr>
    </w:p>
    <w:p w14:paraId="070818B2" w14:textId="77777777" w:rsidR="009F65B3" w:rsidRDefault="009F65B3" w:rsidP="009F65B3">
      <w:pPr>
        <w:pStyle w:val="ListParagraph"/>
        <w:spacing w:after="0" w:line="360" w:lineRule="auto"/>
        <w:ind w:left="709"/>
        <w:contextualSpacing w:val="0"/>
        <w:jc w:val="both"/>
        <w:rPr>
          <w:rFonts w:ascii="Arial" w:hAnsi="Arial" w:cs="Arial"/>
          <w:lang w:val="en-US"/>
        </w:rPr>
      </w:pPr>
      <w:r w:rsidRPr="009F65B3">
        <w:rPr>
          <w:rFonts w:ascii="Arial" w:hAnsi="Arial" w:cs="Arial"/>
          <w:lang w:val="en-US"/>
        </w:rPr>
        <w:lastRenderedPageBreak/>
        <w:t>‘</w:t>
      </w:r>
      <w:r w:rsidR="00C44D6A" w:rsidRPr="009F65B3">
        <w:rPr>
          <w:rFonts w:ascii="Arial" w:hAnsi="Arial" w:cs="Arial"/>
          <w:lang w:val="en-US"/>
        </w:rPr>
        <w:t xml:space="preserve">Under the common law, once invalid administrative action is established in review proceedings, the default remedy is to set aside the impugned act and remit it to the decision makers for a fresh decision. Only in exceptional circumstances will a court substitute its own decision for that of the decision maker, as was succinctly set out by the Chief Justice in </w:t>
      </w:r>
      <w:r w:rsidR="00C44D6A" w:rsidRPr="009F65B3">
        <w:rPr>
          <w:rFonts w:ascii="Arial" w:hAnsi="Arial" w:cs="Arial"/>
          <w:i/>
          <w:lang w:val="en-US"/>
        </w:rPr>
        <w:t>Waterberg Big Game Hunting Lodge v Minister of Environment and Tourism.</w:t>
      </w:r>
      <w:r w:rsidR="00C44D6A" w:rsidRPr="00345992">
        <w:rPr>
          <w:rStyle w:val="FootnoteReference"/>
          <w:rFonts w:ascii="Arial" w:hAnsi="Arial" w:cs="Arial"/>
          <w:lang w:val="en-US"/>
        </w:rPr>
        <w:footnoteReference w:id="4"/>
      </w:r>
      <w:r w:rsidR="00C44D6A" w:rsidRPr="009F65B3">
        <w:rPr>
          <w:rFonts w:ascii="Arial" w:hAnsi="Arial" w:cs="Arial"/>
          <w:i/>
          <w:lang w:val="en-US"/>
        </w:rPr>
        <w:t xml:space="preserve"> </w:t>
      </w:r>
      <w:r w:rsidR="00C44D6A" w:rsidRPr="009F65B3">
        <w:rPr>
          <w:rFonts w:ascii="Arial" w:hAnsi="Arial" w:cs="Arial"/>
          <w:lang w:val="en-US"/>
        </w:rPr>
        <w:t>This principle is reinforced by the separation of powers upon which our Constitution is based.</w:t>
      </w:r>
      <w:r w:rsidR="00C44D6A" w:rsidRPr="009F65B3">
        <w:rPr>
          <w:rStyle w:val="FootnoteReference"/>
          <w:rFonts w:ascii="Arial" w:hAnsi="Arial" w:cs="Arial"/>
          <w:lang w:val="en-US"/>
        </w:rPr>
        <w:footnoteReference w:id="5"/>
      </w:r>
      <w:r w:rsidR="00C44D6A" w:rsidRPr="009F65B3">
        <w:rPr>
          <w:rFonts w:ascii="Arial" w:hAnsi="Arial" w:cs="Arial"/>
          <w:lang w:val="en-US"/>
        </w:rPr>
        <w:t xml:space="preserve"> Furthermore as a matter of constitutional principle, the exercise of public power in conflict with the law and thus invalid should be corrected or reversed in accordance with the principles of legality and the rule of law,</w:t>
      </w:r>
      <w:r w:rsidR="00C44D6A" w:rsidRPr="009F65B3">
        <w:rPr>
          <w:rStyle w:val="FootnoteReference"/>
          <w:rFonts w:ascii="Arial" w:hAnsi="Arial" w:cs="Arial"/>
          <w:lang w:val="en-US"/>
        </w:rPr>
        <w:footnoteReference w:id="6"/>
      </w:r>
      <w:r w:rsidR="00C44D6A" w:rsidRPr="009F65B3">
        <w:rPr>
          <w:rFonts w:ascii="Arial" w:hAnsi="Arial" w:cs="Arial"/>
          <w:lang w:val="en-US"/>
        </w:rPr>
        <w:t xml:space="preserve"> as had been argued by Mr Namandje in respect of the award of the project in the Permanent Secretary’s letter.</w:t>
      </w:r>
    </w:p>
    <w:p w14:paraId="5CA809FA" w14:textId="77777777" w:rsidR="009F65B3" w:rsidRDefault="009F65B3" w:rsidP="009F65B3">
      <w:pPr>
        <w:pStyle w:val="ListParagraph"/>
        <w:spacing w:after="0" w:line="360" w:lineRule="auto"/>
        <w:ind w:left="709"/>
        <w:contextualSpacing w:val="0"/>
        <w:jc w:val="both"/>
        <w:rPr>
          <w:rFonts w:ascii="Arial" w:hAnsi="Arial" w:cs="Arial"/>
          <w:lang w:val="en-US"/>
        </w:rPr>
      </w:pPr>
    </w:p>
    <w:p w14:paraId="3593A732" w14:textId="77777777" w:rsidR="00C44D6A" w:rsidRPr="009F65B3" w:rsidRDefault="00C44D6A" w:rsidP="009F65B3">
      <w:pPr>
        <w:pStyle w:val="ListParagraph"/>
        <w:spacing w:after="0" w:line="360" w:lineRule="auto"/>
        <w:ind w:left="709"/>
        <w:contextualSpacing w:val="0"/>
        <w:jc w:val="both"/>
        <w:rPr>
          <w:rFonts w:ascii="Arial" w:hAnsi="Arial" w:cs="Arial"/>
          <w:lang w:val="en-US"/>
        </w:rPr>
      </w:pPr>
      <w:r w:rsidRPr="009F65B3">
        <w:rPr>
          <w:rFonts w:ascii="Arial" w:hAnsi="Arial" w:cs="Arial"/>
          <w:lang w:val="en-US"/>
        </w:rPr>
        <w:t xml:space="preserve">As was stated by Moseneke DCJ in </w:t>
      </w:r>
      <w:r w:rsidRPr="009F65B3">
        <w:rPr>
          <w:rFonts w:ascii="Arial" w:hAnsi="Arial" w:cs="Arial"/>
          <w:i/>
          <w:lang w:val="en-US"/>
        </w:rPr>
        <w:t>Steenkamp NO v Provi</w:t>
      </w:r>
      <w:r w:rsidR="001A7110">
        <w:rPr>
          <w:rFonts w:ascii="Arial" w:hAnsi="Arial" w:cs="Arial"/>
          <w:i/>
          <w:lang w:val="en-US"/>
        </w:rPr>
        <w:t>nci</w:t>
      </w:r>
      <w:r w:rsidRPr="009F65B3">
        <w:rPr>
          <w:rFonts w:ascii="Arial" w:hAnsi="Arial" w:cs="Arial"/>
          <w:i/>
          <w:lang w:val="en-US"/>
        </w:rPr>
        <w:t>al Tender Board, Eastern Cape:</w:t>
      </w:r>
      <w:r w:rsidRPr="00345992">
        <w:rPr>
          <w:rStyle w:val="FootnoteReference"/>
          <w:rFonts w:ascii="Arial" w:hAnsi="Arial" w:cs="Arial"/>
          <w:lang w:val="en-US"/>
        </w:rPr>
        <w:footnoteReference w:id="7"/>
      </w:r>
    </w:p>
    <w:p w14:paraId="7C81E7CD" w14:textId="77777777" w:rsidR="00C44D6A" w:rsidRPr="009F65B3" w:rsidRDefault="00C44D6A" w:rsidP="009F65B3">
      <w:pPr>
        <w:pStyle w:val="ListParagraph"/>
        <w:spacing w:line="360" w:lineRule="auto"/>
        <w:rPr>
          <w:rFonts w:ascii="Arial" w:hAnsi="Arial" w:cs="Arial"/>
          <w:lang w:val="en-US"/>
        </w:rPr>
      </w:pPr>
    </w:p>
    <w:p w14:paraId="1EA69DFC" w14:textId="77777777" w:rsidR="00C44D6A" w:rsidRPr="009F65B3" w:rsidRDefault="00345992" w:rsidP="009F65B3">
      <w:pPr>
        <w:pStyle w:val="ListParagraph"/>
        <w:spacing w:line="360" w:lineRule="auto"/>
        <w:ind w:left="2160"/>
        <w:jc w:val="both"/>
        <w:rPr>
          <w:rFonts w:ascii="Arial" w:hAnsi="Arial" w:cs="Arial"/>
          <w:lang w:val="en-US"/>
        </w:rPr>
      </w:pPr>
      <w:r>
        <w:rPr>
          <w:rFonts w:ascii="Arial" w:hAnsi="Arial" w:cs="Arial"/>
        </w:rPr>
        <w:t>“</w:t>
      </w:r>
      <w:r w:rsidR="00C44D6A" w:rsidRPr="009F65B3">
        <w:rPr>
          <w:rFonts w:ascii="Arial" w:hAnsi="Arial" w:cs="Arial"/>
        </w:rPr>
        <w:t>It goes without saying that every improper performance of an administrative function would implicate the Constitution and entitle the aggrieved party to appropriate relief. In each case the remedy must fit the injury. The remedy must be fair to those affected by it and yet vindicate effectively the right violated. It must be just and equitable in the light of the facts, the implicated constitutional principles, if any, and the controlling law. It is nonetheless appropriate to note that ordinarily a breach of administrative justice attracts public-law remedies and not private-law remedies. The purpose of a public-law remedy is to pre-empt or correct or reverse an improper administrative function. In some instances the remedy takes the form of an order to make or not to make a particular decision or an order declaring rights or an injunction to furnish reasons for an adverse decision. Ultimately the purpose of a public remedy is to afford the prejudiced party administrative justice, to advance efficient and effective public administration compelled by constitutional precepts and at a broader level, to entrench the rule of law.</w:t>
      </w:r>
      <w:r>
        <w:rPr>
          <w:rFonts w:ascii="Arial" w:hAnsi="Arial" w:cs="Arial"/>
        </w:rPr>
        <w:t>”</w:t>
      </w:r>
      <w:r w:rsidR="00C44D6A" w:rsidRPr="009F65B3">
        <w:rPr>
          <w:rFonts w:ascii="Arial" w:hAnsi="Arial" w:cs="Arial"/>
        </w:rPr>
        <w:t>’</w:t>
      </w:r>
    </w:p>
    <w:p w14:paraId="79077F6C" w14:textId="77777777" w:rsidR="00C44D6A" w:rsidRPr="00C44D6A" w:rsidRDefault="00C44D6A" w:rsidP="00C44D6A">
      <w:pPr>
        <w:rPr>
          <w:rFonts w:ascii="Arial" w:hAnsi="Arial" w:cs="Arial"/>
          <w:color w:val="000000" w:themeColor="text1"/>
          <w:sz w:val="24"/>
          <w:szCs w:val="24"/>
        </w:rPr>
      </w:pPr>
    </w:p>
    <w:p w14:paraId="2FB038E3" w14:textId="06664ED7" w:rsidR="00B16332" w:rsidRDefault="00976E50" w:rsidP="00976E50">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[51]</w:t>
      </w:r>
      <w:r>
        <w:rPr>
          <w:rFonts w:ascii="Arial" w:hAnsi="Arial" w:cs="Arial"/>
          <w:color w:val="000000" w:themeColor="text1"/>
          <w:sz w:val="24"/>
          <w:szCs w:val="24"/>
        </w:rPr>
        <w:tab/>
      </w:r>
      <w:r w:rsidR="00C44D6A">
        <w:rPr>
          <w:rFonts w:ascii="Arial" w:hAnsi="Arial" w:cs="Arial"/>
          <w:color w:val="000000" w:themeColor="text1"/>
          <w:sz w:val="24"/>
          <w:szCs w:val="24"/>
        </w:rPr>
        <w:t xml:space="preserve">Not only is the matter in </w:t>
      </w:r>
      <w:r w:rsidR="00C44D6A">
        <w:rPr>
          <w:rFonts w:ascii="Arial" w:hAnsi="Arial" w:cs="Arial"/>
          <w:i/>
          <w:color w:val="000000" w:themeColor="text1"/>
          <w:sz w:val="24"/>
          <w:szCs w:val="24"/>
        </w:rPr>
        <w:t xml:space="preserve">Lisse </w:t>
      </w:r>
      <w:r w:rsidR="00C44D6A">
        <w:rPr>
          <w:rFonts w:ascii="Arial" w:hAnsi="Arial" w:cs="Arial"/>
          <w:color w:val="000000" w:themeColor="text1"/>
          <w:sz w:val="24"/>
          <w:szCs w:val="24"/>
        </w:rPr>
        <w:t>distinguishable</w:t>
      </w:r>
      <w:r w:rsidR="0067238E">
        <w:rPr>
          <w:rFonts w:ascii="Arial" w:hAnsi="Arial" w:cs="Arial"/>
          <w:color w:val="000000" w:themeColor="text1"/>
          <w:sz w:val="24"/>
          <w:szCs w:val="24"/>
        </w:rPr>
        <w:t>,</w:t>
      </w:r>
      <w:r w:rsidR="00C44D6A">
        <w:rPr>
          <w:rFonts w:ascii="Arial" w:hAnsi="Arial" w:cs="Arial"/>
          <w:color w:val="000000" w:themeColor="text1"/>
          <w:sz w:val="24"/>
          <w:szCs w:val="24"/>
        </w:rPr>
        <w:t xml:space="preserve"> as pointed out on behalf of the appellants because of the finding of bias, but </w:t>
      </w:r>
      <w:r w:rsidR="0067238E">
        <w:rPr>
          <w:rFonts w:ascii="Arial" w:hAnsi="Arial" w:cs="Arial"/>
          <w:color w:val="000000" w:themeColor="text1"/>
          <w:sz w:val="24"/>
          <w:szCs w:val="24"/>
        </w:rPr>
        <w:t xml:space="preserve">also because </w:t>
      </w:r>
      <w:r w:rsidR="00B16332">
        <w:rPr>
          <w:rFonts w:ascii="Arial" w:hAnsi="Arial" w:cs="Arial"/>
          <w:color w:val="000000" w:themeColor="text1"/>
          <w:sz w:val="24"/>
          <w:szCs w:val="24"/>
        </w:rPr>
        <w:t xml:space="preserve">in this matter </w:t>
      </w:r>
      <w:r w:rsidR="00C44D6A">
        <w:rPr>
          <w:rFonts w:ascii="Arial" w:hAnsi="Arial" w:cs="Arial"/>
          <w:color w:val="000000" w:themeColor="text1"/>
          <w:sz w:val="24"/>
          <w:szCs w:val="24"/>
        </w:rPr>
        <w:t xml:space="preserve">the decision-maker is yet to make a decision. These remedies arise when decisions are liable to be set aside. In the absence of establishing that </w:t>
      </w:r>
      <w:r w:rsidR="0067238E">
        <w:rPr>
          <w:rFonts w:ascii="Arial" w:hAnsi="Arial" w:cs="Arial"/>
          <w:color w:val="000000" w:themeColor="text1"/>
          <w:sz w:val="24"/>
          <w:szCs w:val="24"/>
        </w:rPr>
        <w:t>the minister’s stalling amounted to a</w:t>
      </w:r>
      <w:r w:rsidR="00C44D6A">
        <w:rPr>
          <w:rFonts w:ascii="Arial" w:hAnsi="Arial" w:cs="Arial"/>
          <w:color w:val="000000" w:themeColor="text1"/>
          <w:sz w:val="24"/>
          <w:szCs w:val="24"/>
        </w:rPr>
        <w:t xml:space="preserve"> decision to refuse</w:t>
      </w:r>
      <w:r w:rsidR="00B16332">
        <w:rPr>
          <w:rFonts w:ascii="Arial" w:hAnsi="Arial" w:cs="Arial"/>
          <w:color w:val="000000" w:themeColor="text1"/>
          <w:sz w:val="24"/>
          <w:szCs w:val="24"/>
        </w:rPr>
        <w:t xml:space="preserve"> consent</w:t>
      </w:r>
      <w:r w:rsidR="0067238E">
        <w:rPr>
          <w:rFonts w:ascii="Arial" w:hAnsi="Arial" w:cs="Arial"/>
          <w:color w:val="000000" w:themeColor="text1"/>
          <w:sz w:val="24"/>
          <w:szCs w:val="24"/>
        </w:rPr>
        <w:t>,</w:t>
      </w:r>
      <w:r w:rsidR="00C44D6A">
        <w:rPr>
          <w:rFonts w:ascii="Arial" w:hAnsi="Arial" w:cs="Arial"/>
          <w:color w:val="000000" w:themeColor="text1"/>
          <w:sz w:val="24"/>
          <w:szCs w:val="24"/>
        </w:rPr>
        <w:t xml:space="preserve"> which is not Serve’s case, these proceedings are essentially at a </w:t>
      </w:r>
      <w:r w:rsidR="00C44D6A" w:rsidRPr="00C44D6A">
        <w:rPr>
          <w:rFonts w:ascii="Arial" w:hAnsi="Arial" w:cs="Arial"/>
          <w:i/>
          <w:color w:val="000000" w:themeColor="text1"/>
          <w:sz w:val="24"/>
          <w:szCs w:val="24"/>
        </w:rPr>
        <w:t>mandamus</w:t>
      </w:r>
      <w:r w:rsidR="00C44D6A">
        <w:rPr>
          <w:rFonts w:ascii="Arial" w:hAnsi="Arial" w:cs="Arial"/>
          <w:color w:val="000000" w:themeColor="text1"/>
          <w:sz w:val="24"/>
          <w:szCs w:val="24"/>
        </w:rPr>
        <w:t xml:space="preserve"> stage – compelling the Minister (and NDC) to make decisions</w:t>
      </w:r>
      <w:r w:rsidR="0067238E">
        <w:rPr>
          <w:rFonts w:ascii="Arial" w:hAnsi="Arial" w:cs="Arial"/>
          <w:color w:val="000000" w:themeColor="text1"/>
          <w:sz w:val="24"/>
          <w:szCs w:val="24"/>
        </w:rPr>
        <w:t>. It has not been shown that the Minister is biased or that the decision is a foregone conclusion. It would be premature for a court to direct the Minister to make a specific</w:t>
      </w:r>
      <w:r w:rsidR="00B16332">
        <w:rPr>
          <w:rFonts w:ascii="Arial" w:hAnsi="Arial" w:cs="Arial"/>
          <w:color w:val="000000" w:themeColor="text1"/>
          <w:sz w:val="24"/>
          <w:szCs w:val="24"/>
        </w:rPr>
        <w:t xml:space="preserve"> decision.</w:t>
      </w:r>
    </w:p>
    <w:p w14:paraId="1683309D" w14:textId="77777777" w:rsidR="00B16332" w:rsidRDefault="00B16332" w:rsidP="006D4D03">
      <w:pPr>
        <w:pStyle w:val="NoSpacing"/>
        <w:spacing w:line="480" w:lineRule="auto"/>
        <w:jc w:val="both"/>
        <w:rPr>
          <w:rFonts w:ascii="Arial" w:hAnsi="Arial" w:cs="Arial"/>
          <w:color w:val="000000" w:themeColor="text1"/>
          <w:sz w:val="24"/>
          <w:szCs w:val="24"/>
        </w:rPr>
      </w:pPr>
    </w:p>
    <w:p w14:paraId="41ECA9D6" w14:textId="4F0ED09F" w:rsidR="00C44D6A" w:rsidRDefault="00976E50" w:rsidP="00976E50">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[52]</w:t>
      </w:r>
      <w:r>
        <w:rPr>
          <w:rFonts w:ascii="Arial" w:hAnsi="Arial" w:cs="Arial"/>
          <w:color w:val="000000" w:themeColor="text1"/>
          <w:sz w:val="24"/>
          <w:szCs w:val="24"/>
        </w:rPr>
        <w:tab/>
      </w:r>
      <w:r w:rsidR="00C44D6A">
        <w:rPr>
          <w:rFonts w:ascii="Arial" w:hAnsi="Arial" w:cs="Arial"/>
          <w:color w:val="000000" w:themeColor="text1"/>
          <w:sz w:val="24"/>
          <w:szCs w:val="24"/>
        </w:rPr>
        <w:t xml:space="preserve">Exceptional circumstances would need to be shown for a court to substitute its own decision for that of a decision-maker for the compelling reasons set out by the Chief Justice in </w:t>
      </w:r>
      <w:r w:rsidR="00C44D6A">
        <w:rPr>
          <w:rFonts w:ascii="Arial" w:hAnsi="Arial" w:cs="Arial"/>
          <w:i/>
          <w:color w:val="000000" w:themeColor="text1"/>
          <w:sz w:val="24"/>
          <w:szCs w:val="24"/>
        </w:rPr>
        <w:t>Waterberg</w:t>
      </w:r>
      <w:r w:rsidR="00C44D6A">
        <w:rPr>
          <w:rFonts w:ascii="Arial" w:hAnsi="Arial" w:cs="Arial"/>
          <w:color w:val="000000" w:themeColor="text1"/>
          <w:sz w:val="24"/>
          <w:szCs w:val="24"/>
        </w:rPr>
        <w:t>. In this appeal, the considerations involved in decision-making surrounding the PLA are heavily policy laden in t</w:t>
      </w:r>
      <w:r w:rsidR="0067238E">
        <w:rPr>
          <w:rFonts w:ascii="Arial" w:hAnsi="Arial" w:cs="Arial"/>
          <w:color w:val="000000" w:themeColor="text1"/>
          <w:sz w:val="24"/>
          <w:szCs w:val="24"/>
        </w:rPr>
        <w:t>he context of the Green Scheme i</w:t>
      </w:r>
      <w:r w:rsidR="00C44D6A">
        <w:rPr>
          <w:rFonts w:ascii="Arial" w:hAnsi="Arial" w:cs="Arial"/>
          <w:color w:val="000000" w:themeColor="text1"/>
          <w:sz w:val="24"/>
          <w:szCs w:val="24"/>
        </w:rPr>
        <w:t>nitiative where technical considerations relating to agricultural matters and social benefits relating to training and employment creation are</w:t>
      </w:r>
      <w:r w:rsidR="005C2037">
        <w:rPr>
          <w:rFonts w:ascii="Arial" w:hAnsi="Arial" w:cs="Arial"/>
          <w:color w:val="000000" w:themeColor="text1"/>
          <w:sz w:val="24"/>
          <w:szCs w:val="24"/>
        </w:rPr>
        <w:t xml:space="preserve"> involved. These</w:t>
      </w:r>
      <w:r w:rsidR="00C44D6A">
        <w:rPr>
          <w:rFonts w:ascii="Arial" w:hAnsi="Arial" w:cs="Arial"/>
          <w:color w:val="000000" w:themeColor="text1"/>
          <w:sz w:val="24"/>
          <w:szCs w:val="24"/>
        </w:rPr>
        <w:t xml:space="preserve"> areas where a court is not proficient and </w:t>
      </w:r>
      <w:r w:rsidR="005C2037">
        <w:rPr>
          <w:rFonts w:ascii="Arial" w:hAnsi="Arial" w:cs="Arial"/>
          <w:color w:val="000000" w:themeColor="text1"/>
          <w:sz w:val="24"/>
          <w:szCs w:val="24"/>
        </w:rPr>
        <w:t xml:space="preserve">is </w:t>
      </w:r>
      <w:r w:rsidR="00C44D6A">
        <w:rPr>
          <w:rFonts w:ascii="Arial" w:hAnsi="Arial" w:cs="Arial"/>
          <w:color w:val="000000" w:themeColor="text1"/>
          <w:sz w:val="24"/>
          <w:szCs w:val="24"/>
        </w:rPr>
        <w:t>ill-</w:t>
      </w:r>
      <w:r w:rsidR="00822201">
        <w:rPr>
          <w:rFonts w:ascii="Arial" w:hAnsi="Arial" w:cs="Arial"/>
          <w:color w:val="000000" w:themeColor="text1"/>
          <w:sz w:val="24"/>
          <w:szCs w:val="24"/>
        </w:rPr>
        <w:t xml:space="preserve">equipped to address and where deference is appropriate to the executive branch with expertise or </w:t>
      </w:r>
      <w:r w:rsidR="007709DE">
        <w:rPr>
          <w:rFonts w:ascii="Arial" w:hAnsi="Arial" w:cs="Arial"/>
          <w:color w:val="000000" w:themeColor="text1"/>
          <w:sz w:val="24"/>
          <w:szCs w:val="24"/>
        </w:rPr>
        <w:t xml:space="preserve">where </w:t>
      </w:r>
      <w:r w:rsidR="00822201">
        <w:rPr>
          <w:rFonts w:ascii="Arial" w:hAnsi="Arial" w:cs="Arial"/>
          <w:color w:val="000000" w:themeColor="text1"/>
          <w:sz w:val="24"/>
          <w:szCs w:val="24"/>
        </w:rPr>
        <w:t>advisors with expertise are engaged.</w:t>
      </w:r>
      <w:r w:rsidR="00822201">
        <w:rPr>
          <w:rStyle w:val="FootnoteReference"/>
          <w:rFonts w:ascii="Arial" w:hAnsi="Arial" w:cs="Arial"/>
          <w:color w:val="000000" w:themeColor="text1"/>
          <w:sz w:val="24"/>
          <w:szCs w:val="24"/>
        </w:rPr>
        <w:footnoteReference w:id="8"/>
      </w:r>
    </w:p>
    <w:p w14:paraId="2F3C566D" w14:textId="77777777" w:rsidR="00C44D6A" w:rsidRDefault="00C44D6A" w:rsidP="006D4D03">
      <w:pPr>
        <w:pStyle w:val="ListParagraph"/>
        <w:spacing w:after="0" w:line="480" w:lineRule="auto"/>
        <w:rPr>
          <w:rFonts w:ascii="Arial" w:hAnsi="Arial" w:cs="Arial"/>
          <w:color w:val="000000" w:themeColor="text1"/>
          <w:sz w:val="24"/>
          <w:szCs w:val="24"/>
        </w:rPr>
      </w:pPr>
    </w:p>
    <w:p w14:paraId="38CC6BB7" w14:textId="180A6B91" w:rsidR="00C44D6A" w:rsidRDefault="00976E50" w:rsidP="00976E50">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[53]</w:t>
      </w:r>
      <w:r>
        <w:rPr>
          <w:rFonts w:ascii="Arial" w:hAnsi="Arial" w:cs="Arial"/>
          <w:color w:val="000000" w:themeColor="text1"/>
          <w:sz w:val="24"/>
          <w:szCs w:val="24"/>
        </w:rPr>
        <w:tab/>
      </w:r>
      <w:r w:rsidR="00822201">
        <w:rPr>
          <w:rFonts w:ascii="Arial" w:hAnsi="Arial" w:cs="Arial"/>
          <w:color w:val="000000" w:themeColor="text1"/>
          <w:sz w:val="24"/>
          <w:szCs w:val="24"/>
        </w:rPr>
        <w:t xml:space="preserve">Exceptional circumstances would ordinarily only arise </w:t>
      </w:r>
      <w:r w:rsidR="00822201" w:rsidRPr="00822201">
        <w:rPr>
          <w:rFonts w:ascii="Arial" w:hAnsi="Arial" w:cs="Arial"/>
          <w:color w:val="000000" w:themeColor="text1"/>
          <w:sz w:val="24"/>
          <w:szCs w:val="24"/>
          <w:u w:val="single"/>
        </w:rPr>
        <w:t>after</w:t>
      </w:r>
      <w:r w:rsidR="00822201">
        <w:rPr>
          <w:rFonts w:ascii="Arial" w:hAnsi="Arial" w:cs="Arial"/>
          <w:color w:val="000000" w:themeColor="text1"/>
          <w:sz w:val="24"/>
          <w:szCs w:val="24"/>
        </w:rPr>
        <w:t xml:space="preserve"> a decision is taken and would invariably relate to a fatally flawed and fraught process </w:t>
      </w:r>
      <w:r w:rsidR="00B16332">
        <w:rPr>
          <w:rFonts w:ascii="Arial" w:hAnsi="Arial" w:cs="Arial"/>
          <w:color w:val="000000" w:themeColor="text1"/>
          <w:sz w:val="24"/>
          <w:szCs w:val="24"/>
        </w:rPr>
        <w:t xml:space="preserve">of decision making </w:t>
      </w:r>
      <w:r w:rsidR="00822201">
        <w:rPr>
          <w:rFonts w:ascii="Arial" w:hAnsi="Arial" w:cs="Arial"/>
          <w:color w:val="000000" w:themeColor="text1"/>
          <w:sz w:val="24"/>
          <w:szCs w:val="24"/>
        </w:rPr>
        <w:t xml:space="preserve">and </w:t>
      </w:r>
      <w:r w:rsidR="00B16332">
        <w:rPr>
          <w:rFonts w:ascii="Arial" w:hAnsi="Arial" w:cs="Arial"/>
          <w:color w:val="000000" w:themeColor="text1"/>
          <w:sz w:val="24"/>
          <w:szCs w:val="24"/>
        </w:rPr>
        <w:t>result in a</w:t>
      </w:r>
      <w:r w:rsidR="00822201">
        <w:rPr>
          <w:rFonts w:ascii="Arial" w:hAnsi="Arial" w:cs="Arial"/>
          <w:color w:val="000000" w:themeColor="text1"/>
          <w:sz w:val="24"/>
          <w:szCs w:val="24"/>
        </w:rPr>
        <w:t xml:space="preserve"> reluctance </w:t>
      </w:r>
      <w:r w:rsidR="00B16332">
        <w:rPr>
          <w:rFonts w:ascii="Arial" w:hAnsi="Arial" w:cs="Arial"/>
          <w:color w:val="000000" w:themeColor="text1"/>
          <w:sz w:val="24"/>
          <w:szCs w:val="24"/>
        </w:rPr>
        <w:t>on the part of</w:t>
      </w:r>
      <w:r w:rsidR="00822201">
        <w:rPr>
          <w:rFonts w:ascii="Arial" w:hAnsi="Arial" w:cs="Arial"/>
          <w:color w:val="000000" w:themeColor="text1"/>
          <w:sz w:val="24"/>
          <w:szCs w:val="24"/>
        </w:rPr>
        <w:t xml:space="preserve"> a court to remit a matter for decision-making because of that. This would not readily arise when a decision </w:t>
      </w:r>
      <w:r w:rsidR="005C2037">
        <w:rPr>
          <w:rFonts w:ascii="Arial" w:hAnsi="Arial" w:cs="Arial"/>
          <w:color w:val="000000" w:themeColor="text1"/>
          <w:sz w:val="24"/>
          <w:szCs w:val="24"/>
        </w:rPr>
        <w:t>is yet to be</w:t>
      </w:r>
      <w:r w:rsidR="00822201">
        <w:rPr>
          <w:rFonts w:ascii="Arial" w:hAnsi="Arial" w:cs="Arial"/>
          <w:color w:val="000000" w:themeColor="text1"/>
          <w:sz w:val="24"/>
          <w:szCs w:val="24"/>
        </w:rPr>
        <w:t xml:space="preserve"> taken. Serve has </w:t>
      </w:r>
      <w:r w:rsidR="0067238E">
        <w:rPr>
          <w:rFonts w:ascii="Arial" w:hAnsi="Arial" w:cs="Arial"/>
          <w:color w:val="000000" w:themeColor="text1"/>
          <w:sz w:val="24"/>
          <w:szCs w:val="24"/>
        </w:rPr>
        <w:t>not even contended</w:t>
      </w:r>
      <w:r w:rsidR="00822201">
        <w:rPr>
          <w:rFonts w:ascii="Arial" w:hAnsi="Arial" w:cs="Arial"/>
          <w:color w:val="000000" w:themeColor="text1"/>
          <w:sz w:val="24"/>
          <w:szCs w:val="24"/>
        </w:rPr>
        <w:t xml:space="preserve"> that the Minister is incapable of applying an unbiased mind to the question</w:t>
      </w:r>
      <w:r w:rsidR="005C2037">
        <w:rPr>
          <w:rFonts w:ascii="Arial" w:hAnsi="Arial" w:cs="Arial"/>
          <w:color w:val="000000" w:themeColor="text1"/>
          <w:sz w:val="24"/>
          <w:szCs w:val="24"/>
        </w:rPr>
        <w:t>,</w:t>
      </w:r>
      <w:r w:rsidR="0067238E">
        <w:rPr>
          <w:rFonts w:ascii="Arial" w:hAnsi="Arial" w:cs="Arial"/>
          <w:color w:val="000000" w:themeColor="text1"/>
          <w:sz w:val="24"/>
          <w:szCs w:val="24"/>
        </w:rPr>
        <w:t xml:space="preserve"> le</w:t>
      </w:r>
      <w:r w:rsidR="007709DE">
        <w:rPr>
          <w:rFonts w:ascii="Arial" w:hAnsi="Arial" w:cs="Arial"/>
          <w:color w:val="000000" w:themeColor="text1"/>
          <w:sz w:val="24"/>
          <w:szCs w:val="24"/>
        </w:rPr>
        <w:t>t</w:t>
      </w:r>
      <w:r w:rsidR="0067238E">
        <w:rPr>
          <w:rFonts w:ascii="Arial" w:hAnsi="Arial" w:cs="Arial"/>
          <w:color w:val="000000" w:themeColor="text1"/>
          <w:sz w:val="24"/>
          <w:szCs w:val="24"/>
        </w:rPr>
        <w:t xml:space="preserve"> alone established that</w:t>
      </w:r>
      <w:r w:rsidR="00822201">
        <w:rPr>
          <w:rFonts w:ascii="Arial" w:hAnsi="Arial" w:cs="Arial"/>
          <w:color w:val="000000" w:themeColor="text1"/>
          <w:sz w:val="24"/>
          <w:szCs w:val="24"/>
        </w:rPr>
        <w:t>.</w:t>
      </w:r>
    </w:p>
    <w:p w14:paraId="154D1656" w14:textId="77777777" w:rsidR="007709DE" w:rsidRDefault="007709DE" w:rsidP="007709DE">
      <w:pPr>
        <w:pStyle w:val="ListParagraph"/>
        <w:rPr>
          <w:rFonts w:ascii="Arial" w:hAnsi="Arial" w:cs="Arial"/>
          <w:color w:val="000000" w:themeColor="text1"/>
          <w:sz w:val="24"/>
          <w:szCs w:val="24"/>
        </w:rPr>
      </w:pPr>
    </w:p>
    <w:p w14:paraId="495EA653" w14:textId="2D4A5778" w:rsidR="007709DE" w:rsidRDefault="00976E50" w:rsidP="00976E50">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[54]</w:t>
      </w:r>
      <w:r>
        <w:rPr>
          <w:rFonts w:ascii="Arial" w:hAnsi="Arial" w:cs="Arial"/>
          <w:color w:val="000000" w:themeColor="text1"/>
          <w:sz w:val="24"/>
          <w:szCs w:val="24"/>
        </w:rPr>
        <w:tab/>
      </w:r>
      <w:r w:rsidR="007709DE">
        <w:rPr>
          <w:rFonts w:ascii="Arial" w:hAnsi="Arial" w:cs="Arial"/>
          <w:color w:val="000000" w:themeColor="text1"/>
          <w:sz w:val="24"/>
          <w:szCs w:val="24"/>
        </w:rPr>
        <w:t>It follows that the cr</w:t>
      </w:r>
      <w:r w:rsidR="00924F2E">
        <w:rPr>
          <w:rFonts w:ascii="Arial" w:hAnsi="Arial" w:cs="Arial"/>
          <w:color w:val="000000" w:themeColor="text1"/>
          <w:sz w:val="24"/>
          <w:szCs w:val="24"/>
        </w:rPr>
        <w:t>o</w:t>
      </w:r>
      <w:r w:rsidR="007709DE">
        <w:rPr>
          <w:rFonts w:ascii="Arial" w:hAnsi="Arial" w:cs="Arial"/>
          <w:color w:val="000000" w:themeColor="text1"/>
          <w:sz w:val="24"/>
          <w:szCs w:val="24"/>
        </w:rPr>
        <w:t>ss-appeal must fail.</w:t>
      </w:r>
    </w:p>
    <w:p w14:paraId="4F1FAA20" w14:textId="77777777" w:rsidR="00C44D6A" w:rsidRDefault="00C44D6A" w:rsidP="006D4D03">
      <w:pPr>
        <w:spacing w:after="0"/>
        <w:rPr>
          <w:rFonts w:ascii="Arial" w:hAnsi="Arial" w:cs="Arial"/>
          <w:color w:val="000000" w:themeColor="text1"/>
          <w:sz w:val="24"/>
          <w:szCs w:val="24"/>
        </w:rPr>
      </w:pPr>
    </w:p>
    <w:p w14:paraId="0CCE5DA7" w14:textId="77777777" w:rsidR="00822201" w:rsidRPr="00822201" w:rsidRDefault="00822201" w:rsidP="00822201">
      <w:pPr>
        <w:rPr>
          <w:rFonts w:ascii="Arial" w:hAnsi="Arial" w:cs="Arial"/>
          <w:color w:val="000000" w:themeColor="text1"/>
          <w:sz w:val="24"/>
          <w:szCs w:val="24"/>
          <w:u w:val="single"/>
        </w:rPr>
      </w:pPr>
      <w:r>
        <w:rPr>
          <w:rFonts w:ascii="Arial" w:hAnsi="Arial" w:cs="Arial"/>
          <w:color w:val="000000" w:themeColor="text1"/>
          <w:sz w:val="24"/>
          <w:szCs w:val="24"/>
          <w:u w:val="single"/>
        </w:rPr>
        <w:t xml:space="preserve">Conclusion </w:t>
      </w:r>
    </w:p>
    <w:p w14:paraId="63EB82D8" w14:textId="3303A128" w:rsidR="00C44D6A" w:rsidRDefault="00976E50" w:rsidP="00976E50">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[55]</w:t>
      </w:r>
      <w:r>
        <w:rPr>
          <w:rFonts w:ascii="Arial" w:hAnsi="Arial" w:cs="Arial"/>
          <w:color w:val="000000" w:themeColor="text1"/>
          <w:sz w:val="24"/>
          <w:szCs w:val="24"/>
        </w:rPr>
        <w:tab/>
      </w:r>
      <w:r w:rsidR="00822201">
        <w:rPr>
          <w:rFonts w:ascii="Arial" w:hAnsi="Arial" w:cs="Arial"/>
          <w:color w:val="000000" w:themeColor="text1"/>
          <w:sz w:val="24"/>
          <w:szCs w:val="24"/>
        </w:rPr>
        <w:t xml:space="preserve">Both the appeal and the cross-appeal are unsuccessful. The order of the High Court would however need to be adjusted to take into account the time which has elapsed </w:t>
      </w:r>
      <w:r w:rsidR="0067238E">
        <w:rPr>
          <w:rFonts w:ascii="Arial" w:hAnsi="Arial" w:cs="Arial"/>
          <w:color w:val="000000" w:themeColor="text1"/>
          <w:sz w:val="24"/>
          <w:szCs w:val="24"/>
        </w:rPr>
        <w:t>within the context of</w:t>
      </w:r>
      <w:r w:rsidR="00822201">
        <w:rPr>
          <w:rFonts w:ascii="Arial" w:hAnsi="Arial" w:cs="Arial"/>
          <w:color w:val="000000" w:themeColor="text1"/>
          <w:sz w:val="24"/>
          <w:szCs w:val="24"/>
        </w:rPr>
        <w:t xml:space="preserve"> the contractual deadline</w:t>
      </w:r>
      <w:r w:rsidR="007709DE">
        <w:rPr>
          <w:rFonts w:ascii="Arial" w:hAnsi="Arial" w:cs="Arial"/>
          <w:color w:val="000000" w:themeColor="text1"/>
          <w:sz w:val="24"/>
          <w:szCs w:val="24"/>
        </w:rPr>
        <w:t xml:space="preserve"> for the sale of shares</w:t>
      </w:r>
      <w:r w:rsidR="00822201">
        <w:rPr>
          <w:rFonts w:ascii="Arial" w:hAnsi="Arial" w:cs="Arial"/>
          <w:color w:val="000000" w:themeColor="text1"/>
          <w:sz w:val="24"/>
          <w:szCs w:val="24"/>
        </w:rPr>
        <w:t>. Counsel for the appellants proposed that a 30 day period for the decision would be sufficient. That would however need to include reasons if consent is refused. For the purpose of the respective orders as to costs, the time apportioned to argument on the appeal was two-thirds and one third on the cross-appeal.</w:t>
      </w:r>
    </w:p>
    <w:p w14:paraId="5D0774A1" w14:textId="77777777" w:rsidR="00C44D6A" w:rsidRDefault="00C44D6A" w:rsidP="006D4D03">
      <w:pPr>
        <w:spacing w:after="0"/>
        <w:rPr>
          <w:rFonts w:ascii="Arial" w:hAnsi="Arial" w:cs="Arial"/>
          <w:color w:val="000000" w:themeColor="text1"/>
          <w:sz w:val="24"/>
          <w:szCs w:val="24"/>
        </w:rPr>
      </w:pPr>
    </w:p>
    <w:p w14:paraId="02122E5E" w14:textId="77777777" w:rsidR="00822201" w:rsidRPr="00822201" w:rsidRDefault="00822201" w:rsidP="00822201">
      <w:pPr>
        <w:rPr>
          <w:rFonts w:ascii="Arial" w:hAnsi="Arial" w:cs="Arial"/>
          <w:color w:val="000000" w:themeColor="text1"/>
          <w:sz w:val="24"/>
          <w:szCs w:val="24"/>
          <w:u w:val="single"/>
        </w:rPr>
      </w:pPr>
      <w:r>
        <w:rPr>
          <w:rFonts w:ascii="Arial" w:hAnsi="Arial" w:cs="Arial"/>
          <w:color w:val="000000" w:themeColor="text1"/>
          <w:sz w:val="24"/>
          <w:szCs w:val="24"/>
          <w:u w:val="single"/>
        </w:rPr>
        <w:t>Order</w:t>
      </w:r>
    </w:p>
    <w:p w14:paraId="0E897284" w14:textId="758CBB8A" w:rsidR="00C44D6A" w:rsidRDefault="00976E50" w:rsidP="00976E50">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[56]</w:t>
      </w:r>
      <w:r>
        <w:rPr>
          <w:rFonts w:ascii="Arial" w:hAnsi="Arial" w:cs="Arial"/>
          <w:color w:val="000000" w:themeColor="text1"/>
          <w:sz w:val="24"/>
          <w:szCs w:val="24"/>
        </w:rPr>
        <w:tab/>
      </w:r>
      <w:r w:rsidR="00822201">
        <w:rPr>
          <w:rFonts w:ascii="Arial" w:hAnsi="Arial" w:cs="Arial"/>
          <w:color w:val="000000" w:themeColor="text1"/>
          <w:sz w:val="24"/>
          <w:szCs w:val="24"/>
        </w:rPr>
        <w:t>The following order is made:</w:t>
      </w:r>
    </w:p>
    <w:p w14:paraId="49FAE56E" w14:textId="77777777" w:rsidR="00C44D6A" w:rsidRDefault="00C44D6A" w:rsidP="00C44D6A">
      <w:pPr>
        <w:pStyle w:val="ListParagraph"/>
        <w:rPr>
          <w:rFonts w:ascii="Arial" w:hAnsi="Arial" w:cs="Arial"/>
          <w:color w:val="000000" w:themeColor="text1"/>
          <w:sz w:val="24"/>
          <w:szCs w:val="24"/>
        </w:rPr>
      </w:pPr>
    </w:p>
    <w:p w14:paraId="394095A3" w14:textId="37A5FAA1" w:rsidR="00C44D6A" w:rsidRDefault="00976E50" w:rsidP="00976E50">
      <w:pPr>
        <w:pStyle w:val="NoSpacing"/>
        <w:spacing w:line="480" w:lineRule="auto"/>
        <w:ind w:left="1418" w:hanging="698"/>
        <w:jc w:val="both"/>
        <w:rPr>
          <w:rFonts w:ascii="Arial" w:hAnsi="Arial" w:cs="Arial"/>
          <w:color w:val="000000" w:themeColor="text1"/>
          <w:sz w:val="24"/>
          <w:szCs w:val="24"/>
        </w:rPr>
      </w:pPr>
      <w:r>
        <w:rPr>
          <w:rFonts w:ascii="Arial" w:hAnsi="Arial" w:cs="Arial"/>
          <w:color w:val="000000" w:themeColor="text1"/>
          <w:sz w:val="24"/>
          <w:szCs w:val="24"/>
        </w:rPr>
        <w:t>(a)</w:t>
      </w:r>
      <w:r>
        <w:rPr>
          <w:rFonts w:ascii="Arial" w:hAnsi="Arial" w:cs="Arial"/>
          <w:color w:val="000000" w:themeColor="text1"/>
          <w:sz w:val="24"/>
          <w:szCs w:val="24"/>
        </w:rPr>
        <w:tab/>
      </w:r>
      <w:r w:rsidR="00822201">
        <w:rPr>
          <w:rFonts w:ascii="Arial" w:hAnsi="Arial" w:cs="Arial"/>
          <w:color w:val="000000" w:themeColor="text1"/>
          <w:sz w:val="24"/>
          <w:szCs w:val="24"/>
        </w:rPr>
        <w:t>The appellants’ application for condonation for the late filing of heads of argument is granted.</w:t>
      </w:r>
    </w:p>
    <w:p w14:paraId="7DB95E89" w14:textId="138D87F8" w:rsidR="00822201" w:rsidRDefault="00976E50" w:rsidP="00976E50">
      <w:pPr>
        <w:pStyle w:val="NoSpacing"/>
        <w:spacing w:line="480" w:lineRule="auto"/>
        <w:ind w:left="1418" w:hanging="709"/>
        <w:jc w:val="both"/>
        <w:rPr>
          <w:rFonts w:ascii="Arial" w:hAnsi="Arial" w:cs="Arial"/>
          <w:color w:val="000000" w:themeColor="text1"/>
          <w:sz w:val="24"/>
          <w:szCs w:val="24"/>
        </w:rPr>
      </w:pPr>
      <w:r>
        <w:rPr>
          <w:rFonts w:ascii="Arial" w:hAnsi="Arial" w:cs="Arial"/>
          <w:color w:val="000000" w:themeColor="text1"/>
          <w:sz w:val="24"/>
          <w:szCs w:val="24"/>
        </w:rPr>
        <w:t>(b)</w:t>
      </w:r>
      <w:r>
        <w:rPr>
          <w:rFonts w:ascii="Arial" w:hAnsi="Arial" w:cs="Arial"/>
          <w:color w:val="000000" w:themeColor="text1"/>
          <w:sz w:val="24"/>
          <w:szCs w:val="24"/>
        </w:rPr>
        <w:tab/>
      </w:r>
      <w:r w:rsidR="00822201">
        <w:rPr>
          <w:rFonts w:ascii="Arial" w:hAnsi="Arial" w:cs="Arial"/>
          <w:color w:val="000000" w:themeColor="text1"/>
          <w:sz w:val="24"/>
          <w:szCs w:val="24"/>
        </w:rPr>
        <w:t xml:space="preserve">The appeal is dismissed with costs </w:t>
      </w:r>
      <w:r w:rsidR="0067238E">
        <w:rPr>
          <w:rFonts w:ascii="Arial" w:hAnsi="Arial" w:cs="Arial"/>
          <w:color w:val="000000" w:themeColor="text1"/>
          <w:sz w:val="24"/>
          <w:szCs w:val="24"/>
        </w:rPr>
        <w:t xml:space="preserve">to </w:t>
      </w:r>
      <w:r w:rsidR="00822201">
        <w:rPr>
          <w:rFonts w:ascii="Arial" w:hAnsi="Arial" w:cs="Arial"/>
          <w:color w:val="000000" w:themeColor="text1"/>
          <w:sz w:val="24"/>
          <w:szCs w:val="24"/>
        </w:rPr>
        <w:t>includ</w:t>
      </w:r>
      <w:r w:rsidR="0067238E">
        <w:rPr>
          <w:rFonts w:ascii="Arial" w:hAnsi="Arial" w:cs="Arial"/>
          <w:color w:val="000000" w:themeColor="text1"/>
          <w:sz w:val="24"/>
          <w:szCs w:val="24"/>
        </w:rPr>
        <w:t>e</w:t>
      </w:r>
      <w:r w:rsidR="00822201">
        <w:rPr>
          <w:rFonts w:ascii="Arial" w:hAnsi="Arial" w:cs="Arial"/>
          <w:color w:val="000000" w:themeColor="text1"/>
          <w:sz w:val="24"/>
          <w:szCs w:val="24"/>
        </w:rPr>
        <w:t xml:space="preserve"> the costs of one instructi</w:t>
      </w:r>
      <w:r w:rsidR="0067238E">
        <w:rPr>
          <w:rFonts w:ascii="Arial" w:hAnsi="Arial" w:cs="Arial"/>
          <w:color w:val="000000" w:themeColor="text1"/>
          <w:sz w:val="24"/>
          <w:szCs w:val="24"/>
        </w:rPr>
        <w:t>ng</w:t>
      </w:r>
      <w:r w:rsidR="00822201">
        <w:rPr>
          <w:rFonts w:ascii="Arial" w:hAnsi="Arial" w:cs="Arial"/>
          <w:color w:val="000000" w:themeColor="text1"/>
          <w:sz w:val="24"/>
          <w:szCs w:val="24"/>
        </w:rPr>
        <w:t xml:space="preserve"> and two instructed legal practitioners.</w:t>
      </w:r>
    </w:p>
    <w:p w14:paraId="4B6CA32F" w14:textId="66EFAB5A" w:rsidR="007931A3" w:rsidRDefault="00976E50" w:rsidP="00976E50">
      <w:pPr>
        <w:pStyle w:val="NoSpacing"/>
        <w:spacing w:line="480" w:lineRule="auto"/>
        <w:ind w:left="1418" w:hanging="698"/>
        <w:jc w:val="both"/>
        <w:rPr>
          <w:rFonts w:ascii="Arial" w:hAnsi="Arial" w:cs="Arial"/>
          <w:color w:val="000000" w:themeColor="text1"/>
          <w:sz w:val="24"/>
          <w:szCs w:val="24"/>
        </w:rPr>
      </w:pPr>
      <w:r>
        <w:rPr>
          <w:rFonts w:ascii="Arial" w:hAnsi="Arial" w:cs="Arial"/>
          <w:color w:val="000000" w:themeColor="text1"/>
          <w:sz w:val="24"/>
          <w:szCs w:val="24"/>
        </w:rPr>
        <w:t>(c)</w:t>
      </w:r>
      <w:r>
        <w:rPr>
          <w:rFonts w:ascii="Arial" w:hAnsi="Arial" w:cs="Arial"/>
          <w:color w:val="000000" w:themeColor="text1"/>
          <w:sz w:val="24"/>
          <w:szCs w:val="24"/>
        </w:rPr>
        <w:tab/>
      </w:r>
      <w:r w:rsidR="007931A3">
        <w:rPr>
          <w:rFonts w:ascii="Arial" w:hAnsi="Arial" w:cs="Arial"/>
          <w:color w:val="000000" w:themeColor="text1"/>
          <w:sz w:val="24"/>
          <w:szCs w:val="24"/>
        </w:rPr>
        <w:t>Paragraph 2 of the order of the High Court is replaced by the following:</w:t>
      </w:r>
    </w:p>
    <w:p w14:paraId="21BD0DD4" w14:textId="77777777" w:rsidR="007931A3" w:rsidRDefault="007931A3" w:rsidP="007931A3">
      <w:pPr>
        <w:pStyle w:val="NoSpacing"/>
        <w:spacing w:line="480" w:lineRule="auto"/>
        <w:ind w:left="1080"/>
        <w:jc w:val="both"/>
        <w:rPr>
          <w:rFonts w:ascii="Arial" w:hAnsi="Arial" w:cs="Arial"/>
          <w:color w:val="000000" w:themeColor="text1"/>
          <w:sz w:val="24"/>
          <w:szCs w:val="24"/>
        </w:rPr>
      </w:pPr>
    </w:p>
    <w:p w14:paraId="6CC849FE" w14:textId="77777777" w:rsidR="007931A3" w:rsidRDefault="007931A3" w:rsidP="002D193F">
      <w:pPr>
        <w:pStyle w:val="NoSpacing"/>
        <w:spacing w:line="480" w:lineRule="auto"/>
        <w:ind w:left="1418"/>
        <w:jc w:val="both"/>
        <w:rPr>
          <w:rFonts w:ascii="Arial" w:hAnsi="Arial" w:cs="Arial"/>
          <w:color w:val="000000" w:themeColor="text1"/>
          <w:sz w:val="24"/>
          <w:szCs w:val="24"/>
        </w:rPr>
      </w:pPr>
      <w:r w:rsidRPr="007931A3">
        <w:rPr>
          <w:rFonts w:ascii="Arial" w:hAnsi="Arial" w:cs="Arial"/>
          <w:color w:val="000000" w:themeColor="text1"/>
          <w:sz w:val="24"/>
          <w:szCs w:val="24"/>
        </w:rPr>
        <w:t>‘The Minister and NDC are directed to ma</w:t>
      </w:r>
      <w:r w:rsidR="00631A30">
        <w:rPr>
          <w:rFonts w:ascii="Arial" w:hAnsi="Arial" w:cs="Arial"/>
          <w:color w:val="000000" w:themeColor="text1"/>
          <w:sz w:val="24"/>
          <w:szCs w:val="24"/>
        </w:rPr>
        <w:t>k</w:t>
      </w:r>
      <w:r w:rsidRPr="007931A3">
        <w:rPr>
          <w:rFonts w:ascii="Arial" w:hAnsi="Arial" w:cs="Arial"/>
          <w:color w:val="000000" w:themeColor="text1"/>
          <w:sz w:val="24"/>
          <w:szCs w:val="24"/>
        </w:rPr>
        <w:t>e a decision within 30 days of this order (</w:t>
      </w:r>
      <w:r w:rsidR="00631A30">
        <w:rPr>
          <w:rFonts w:ascii="Arial" w:hAnsi="Arial" w:cs="Arial"/>
          <w:color w:val="000000" w:themeColor="text1"/>
          <w:sz w:val="24"/>
          <w:szCs w:val="24"/>
        </w:rPr>
        <w:t>as amended by</w:t>
      </w:r>
      <w:r w:rsidRPr="007931A3">
        <w:rPr>
          <w:rFonts w:ascii="Arial" w:hAnsi="Arial" w:cs="Arial"/>
          <w:color w:val="000000" w:themeColor="text1"/>
          <w:sz w:val="24"/>
          <w:szCs w:val="24"/>
        </w:rPr>
        <w:t xml:space="preserve"> the Supreme Court) whether or not to consent to the sale and transfer of shares agreement as read with article 11 of the Project Lease Agreement and to communicate such decision to the first respondent (Serve) in writing within such 30 day period together with reasons therefor</w:t>
      </w:r>
      <w:r w:rsidR="005C2037">
        <w:rPr>
          <w:rFonts w:ascii="Arial" w:hAnsi="Arial" w:cs="Arial"/>
          <w:color w:val="000000" w:themeColor="text1"/>
          <w:sz w:val="24"/>
          <w:szCs w:val="24"/>
        </w:rPr>
        <w:t>e</w:t>
      </w:r>
      <w:r w:rsidRPr="007931A3">
        <w:rPr>
          <w:rFonts w:ascii="Arial" w:hAnsi="Arial" w:cs="Arial"/>
          <w:color w:val="000000" w:themeColor="text1"/>
          <w:sz w:val="24"/>
          <w:szCs w:val="24"/>
        </w:rPr>
        <w:t xml:space="preserve"> if consent is not granted.</w:t>
      </w:r>
      <w:r w:rsidR="0067238E">
        <w:rPr>
          <w:rFonts w:ascii="Arial" w:hAnsi="Arial" w:cs="Arial"/>
          <w:color w:val="000000" w:themeColor="text1"/>
          <w:sz w:val="24"/>
          <w:szCs w:val="24"/>
        </w:rPr>
        <w:t xml:space="preserve"> If granted, s</w:t>
      </w:r>
      <w:r w:rsidRPr="007931A3">
        <w:rPr>
          <w:rFonts w:ascii="Arial" w:hAnsi="Arial" w:cs="Arial"/>
          <w:color w:val="000000" w:themeColor="text1"/>
          <w:sz w:val="24"/>
          <w:szCs w:val="24"/>
        </w:rPr>
        <w:t>uch consent will be deemed to have been given by 31 December 202</w:t>
      </w:r>
      <w:r w:rsidR="0067238E">
        <w:rPr>
          <w:rFonts w:ascii="Arial" w:hAnsi="Arial" w:cs="Arial"/>
          <w:color w:val="000000" w:themeColor="text1"/>
          <w:sz w:val="24"/>
          <w:szCs w:val="24"/>
        </w:rPr>
        <w:t>1</w:t>
      </w:r>
      <w:r w:rsidRPr="007931A3">
        <w:rPr>
          <w:rFonts w:ascii="Arial" w:hAnsi="Arial" w:cs="Arial"/>
          <w:color w:val="000000" w:themeColor="text1"/>
          <w:sz w:val="24"/>
          <w:szCs w:val="24"/>
        </w:rPr>
        <w:t>.’</w:t>
      </w:r>
    </w:p>
    <w:p w14:paraId="5ACB7628" w14:textId="77777777" w:rsidR="007931A3" w:rsidRDefault="007931A3" w:rsidP="007931A3">
      <w:pPr>
        <w:pStyle w:val="NoSpacing"/>
        <w:spacing w:line="480" w:lineRule="auto"/>
        <w:ind w:left="1080"/>
        <w:jc w:val="both"/>
        <w:rPr>
          <w:rFonts w:ascii="Arial" w:hAnsi="Arial" w:cs="Arial"/>
          <w:color w:val="000000" w:themeColor="text1"/>
          <w:sz w:val="24"/>
          <w:szCs w:val="24"/>
        </w:rPr>
      </w:pPr>
    </w:p>
    <w:p w14:paraId="4A80B120" w14:textId="4F3CB4C4" w:rsidR="007931A3" w:rsidRDefault="00976E50" w:rsidP="00976E50">
      <w:pPr>
        <w:pStyle w:val="NoSpacing"/>
        <w:spacing w:line="480" w:lineRule="auto"/>
        <w:ind w:left="1418" w:hanging="698"/>
        <w:jc w:val="both"/>
        <w:rPr>
          <w:rFonts w:ascii="Arial" w:hAnsi="Arial" w:cs="Arial"/>
          <w:color w:val="000000" w:themeColor="text1"/>
          <w:sz w:val="24"/>
          <w:szCs w:val="24"/>
        </w:rPr>
      </w:pPr>
      <w:r>
        <w:rPr>
          <w:rFonts w:ascii="Arial" w:hAnsi="Arial" w:cs="Arial"/>
          <w:color w:val="000000" w:themeColor="text1"/>
          <w:sz w:val="24"/>
          <w:szCs w:val="24"/>
        </w:rPr>
        <w:t>(d)</w:t>
      </w:r>
      <w:r>
        <w:rPr>
          <w:rFonts w:ascii="Arial" w:hAnsi="Arial" w:cs="Arial"/>
          <w:color w:val="000000" w:themeColor="text1"/>
          <w:sz w:val="24"/>
          <w:szCs w:val="24"/>
        </w:rPr>
        <w:tab/>
      </w:r>
      <w:r w:rsidR="007931A3">
        <w:rPr>
          <w:rFonts w:ascii="Arial" w:hAnsi="Arial" w:cs="Arial"/>
          <w:color w:val="000000" w:themeColor="text1"/>
          <w:sz w:val="24"/>
          <w:szCs w:val="24"/>
        </w:rPr>
        <w:t xml:space="preserve">The </w:t>
      </w:r>
      <w:r w:rsidR="0067238E">
        <w:rPr>
          <w:rFonts w:ascii="Arial" w:hAnsi="Arial" w:cs="Arial"/>
          <w:color w:val="000000" w:themeColor="text1"/>
          <w:sz w:val="24"/>
          <w:szCs w:val="24"/>
        </w:rPr>
        <w:t>cross-</w:t>
      </w:r>
      <w:r w:rsidR="007931A3">
        <w:rPr>
          <w:rFonts w:ascii="Arial" w:hAnsi="Arial" w:cs="Arial"/>
          <w:color w:val="000000" w:themeColor="text1"/>
          <w:sz w:val="24"/>
          <w:szCs w:val="24"/>
        </w:rPr>
        <w:t xml:space="preserve">appeal is dismissed with costs, </w:t>
      </w:r>
      <w:r w:rsidR="0067238E">
        <w:rPr>
          <w:rFonts w:ascii="Arial" w:hAnsi="Arial" w:cs="Arial"/>
          <w:color w:val="000000" w:themeColor="text1"/>
          <w:sz w:val="24"/>
          <w:szCs w:val="24"/>
        </w:rPr>
        <w:t xml:space="preserve">to </w:t>
      </w:r>
      <w:r w:rsidR="007931A3">
        <w:rPr>
          <w:rFonts w:ascii="Arial" w:hAnsi="Arial" w:cs="Arial"/>
          <w:color w:val="000000" w:themeColor="text1"/>
          <w:sz w:val="24"/>
          <w:szCs w:val="24"/>
        </w:rPr>
        <w:t>includ</w:t>
      </w:r>
      <w:r w:rsidR="0067238E">
        <w:rPr>
          <w:rFonts w:ascii="Arial" w:hAnsi="Arial" w:cs="Arial"/>
          <w:color w:val="000000" w:themeColor="text1"/>
          <w:sz w:val="24"/>
          <w:szCs w:val="24"/>
        </w:rPr>
        <w:t>e</w:t>
      </w:r>
      <w:r w:rsidR="007931A3">
        <w:rPr>
          <w:rFonts w:ascii="Arial" w:hAnsi="Arial" w:cs="Arial"/>
          <w:color w:val="000000" w:themeColor="text1"/>
          <w:sz w:val="24"/>
          <w:szCs w:val="24"/>
        </w:rPr>
        <w:t xml:space="preserve"> the costs of one instructed and one instructing legal practitioner.</w:t>
      </w:r>
    </w:p>
    <w:p w14:paraId="4617F53C" w14:textId="77777777" w:rsidR="007931A3" w:rsidRDefault="007931A3" w:rsidP="007931A3">
      <w:pPr>
        <w:pStyle w:val="NoSpacing"/>
        <w:spacing w:line="480" w:lineRule="auto"/>
        <w:ind w:left="1080"/>
        <w:jc w:val="both"/>
        <w:rPr>
          <w:rFonts w:ascii="Arial" w:hAnsi="Arial" w:cs="Arial"/>
          <w:color w:val="000000" w:themeColor="text1"/>
          <w:sz w:val="24"/>
          <w:szCs w:val="24"/>
        </w:rPr>
      </w:pPr>
    </w:p>
    <w:p w14:paraId="2027EC1F" w14:textId="77777777" w:rsidR="000C1257" w:rsidRDefault="000C1257" w:rsidP="0056201A">
      <w:pPr>
        <w:pStyle w:val="NoSpacing"/>
        <w:spacing w:line="360" w:lineRule="auto"/>
        <w:jc w:val="both"/>
        <w:rPr>
          <w:rFonts w:ascii="Arial" w:hAnsi="Arial" w:cs="Arial"/>
          <w:b/>
          <w:color w:val="000000" w:themeColor="text1"/>
          <w:sz w:val="24"/>
          <w:szCs w:val="24"/>
        </w:rPr>
      </w:pPr>
    </w:p>
    <w:p w14:paraId="369A1543" w14:textId="77777777" w:rsidR="00BA5726" w:rsidRPr="000B2339" w:rsidRDefault="00BA5726" w:rsidP="00BA5726">
      <w:pPr>
        <w:pStyle w:val="NoSpacing"/>
        <w:spacing w:line="360" w:lineRule="auto"/>
        <w:rPr>
          <w:rFonts w:ascii="Arial" w:hAnsi="Arial" w:cs="Arial"/>
          <w:b/>
          <w:color w:val="000000" w:themeColor="text1"/>
          <w:sz w:val="24"/>
          <w:szCs w:val="24"/>
        </w:rPr>
      </w:pPr>
      <w:r w:rsidRPr="000B2339">
        <w:rPr>
          <w:rFonts w:ascii="Arial" w:hAnsi="Arial" w:cs="Arial"/>
          <w:b/>
          <w:color w:val="000000" w:themeColor="text1"/>
          <w:sz w:val="24"/>
          <w:szCs w:val="24"/>
        </w:rPr>
        <w:t>___________________</w:t>
      </w:r>
      <w:r w:rsidR="00923510">
        <w:rPr>
          <w:rFonts w:ascii="Arial" w:hAnsi="Arial" w:cs="Arial"/>
          <w:b/>
          <w:color w:val="000000" w:themeColor="text1"/>
          <w:sz w:val="24"/>
          <w:szCs w:val="24"/>
        </w:rPr>
        <w:t>___</w:t>
      </w:r>
      <w:r w:rsidRPr="000B2339">
        <w:rPr>
          <w:rFonts w:ascii="Arial" w:hAnsi="Arial" w:cs="Arial"/>
          <w:b/>
          <w:color w:val="000000" w:themeColor="text1"/>
          <w:sz w:val="24"/>
          <w:szCs w:val="24"/>
        </w:rPr>
        <w:tab/>
      </w:r>
      <w:r w:rsidRPr="000B2339">
        <w:rPr>
          <w:rFonts w:ascii="Arial" w:hAnsi="Arial" w:cs="Arial"/>
          <w:b/>
          <w:color w:val="000000" w:themeColor="text1"/>
          <w:sz w:val="24"/>
          <w:szCs w:val="24"/>
        </w:rPr>
        <w:tab/>
      </w:r>
      <w:r w:rsidRPr="000B2339">
        <w:rPr>
          <w:rFonts w:ascii="Arial" w:hAnsi="Arial" w:cs="Arial"/>
          <w:b/>
          <w:color w:val="000000" w:themeColor="text1"/>
          <w:sz w:val="24"/>
          <w:szCs w:val="24"/>
        </w:rPr>
        <w:tab/>
      </w:r>
      <w:r w:rsidRPr="000B2339">
        <w:rPr>
          <w:rFonts w:ascii="Arial" w:hAnsi="Arial" w:cs="Arial"/>
          <w:b/>
          <w:color w:val="000000" w:themeColor="text1"/>
          <w:sz w:val="24"/>
          <w:szCs w:val="24"/>
        </w:rPr>
        <w:tab/>
      </w:r>
      <w:r w:rsidRPr="000B2339">
        <w:rPr>
          <w:rFonts w:ascii="Arial" w:hAnsi="Arial" w:cs="Arial"/>
          <w:b/>
          <w:color w:val="000000" w:themeColor="text1"/>
          <w:sz w:val="24"/>
          <w:szCs w:val="24"/>
        </w:rPr>
        <w:tab/>
      </w:r>
    </w:p>
    <w:p w14:paraId="502E876D" w14:textId="77777777" w:rsidR="00BA5726" w:rsidRPr="000B2339" w:rsidRDefault="00BA5726" w:rsidP="00BA5726">
      <w:pPr>
        <w:pStyle w:val="NoSpacing"/>
        <w:spacing w:line="360" w:lineRule="auto"/>
        <w:rPr>
          <w:rFonts w:ascii="Arial" w:hAnsi="Arial" w:cs="Arial"/>
          <w:b/>
          <w:color w:val="000000" w:themeColor="text1"/>
          <w:sz w:val="24"/>
          <w:szCs w:val="24"/>
        </w:rPr>
      </w:pPr>
      <w:r w:rsidRPr="000B2339">
        <w:rPr>
          <w:rFonts w:ascii="Arial" w:hAnsi="Arial" w:cs="Arial"/>
          <w:b/>
          <w:color w:val="000000" w:themeColor="text1"/>
          <w:sz w:val="24"/>
          <w:szCs w:val="24"/>
        </w:rPr>
        <w:t>SMUTS JA</w:t>
      </w:r>
    </w:p>
    <w:p w14:paraId="240E4381" w14:textId="77777777" w:rsidR="00BA5726" w:rsidRDefault="00BA5726" w:rsidP="00BA5726">
      <w:pPr>
        <w:pStyle w:val="NoSpacing"/>
        <w:spacing w:line="360" w:lineRule="auto"/>
        <w:jc w:val="both"/>
        <w:rPr>
          <w:rFonts w:ascii="Arial" w:hAnsi="Arial" w:cs="Arial"/>
          <w:b/>
          <w:color w:val="000000" w:themeColor="text1"/>
          <w:sz w:val="24"/>
          <w:szCs w:val="24"/>
        </w:rPr>
      </w:pPr>
    </w:p>
    <w:p w14:paraId="52407CB6" w14:textId="77777777" w:rsidR="00EA1740" w:rsidRDefault="00EA1740" w:rsidP="0069795E">
      <w:pPr>
        <w:pStyle w:val="NoSpacing"/>
        <w:spacing w:line="360" w:lineRule="auto"/>
        <w:rPr>
          <w:rFonts w:ascii="Arial" w:hAnsi="Arial" w:cs="Arial"/>
          <w:b/>
          <w:color w:val="000000" w:themeColor="text1"/>
          <w:sz w:val="24"/>
          <w:szCs w:val="24"/>
        </w:rPr>
      </w:pPr>
    </w:p>
    <w:p w14:paraId="0EFD2B96" w14:textId="77777777" w:rsidR="00223D58" w:rsidRDefault="00506827" w:rsidP="0069795E">
      <w:pPr>
        <w:pStyle w:val="NoSpacing"/>
        <w:spacing w:line="360" w:lineRule="auto"/>
        <w:rPr>
          <w:rFonts w:ascii="Arial" w:hAnsi="Arial" w:cs="Arial"/>
          <w:b/>
          <w:color w:val="000000" w:themeColor="text1"/>
          <w:sz w:val="24"/>
          <w:szCs w:val="24"/>
        </w:rPr>
      </w:pPr>
      <w:r>
        <w:rPr>
          <w:rFonts w:ascii="Arial" w:hAnsi="Arial" w:cs="Arial"/>
          <w:b/>
          <w:color w:val="000000" w:themeColor="text1"/>
          <w:sz w:val="24"/>
          <w:szCs w:val="24"/>
        </w:rPr>
        <w:t>______________________</w:t>
      </w:r>
    </w:p>
    <w:p w14:paraId="217DC853" w14:textId="77777777" w:rsidR="00506827" w:rsidRDefault="00A943DD" w:rsidP="00506827">
      <w:pPr>
        <w:pStyle w:val="NoSpacing"/>
        <w:tabs>
          <w:tab w:val="left" w:pos="1260"/>
        </w:tabs>
        <w:spacing w:line="360" w:lineRule="auto"/>
        <w:jc w:val="both"/>
        <w:rPr>
          <w:rFonts w:ascii="Arial" w:hAnsi="Arial" w:cs="Arial"/>
          <w:b/>
          <w:color w:val="000000" w:themeColor="text1"/>
          <w:sz w:val="24"/>
          <w:szCs w:val="24"/>
        </w:rPr>
      </w:pPr>
      <w:r>
        <w:rPr>
          <w:rFonts w:ascii="Arial" w:hAnsi="Arial" w:cs="Arial"/>
          <w:b/>
          <w:color w:val="000000" w:themeColor="text1"/>
          <w:sz w:val="24"/>
          <w:szCs w:val="24"/>
        </w:rPr>
        <w:t>DAMASEB</w:t>
      </w:r>
      <w:r w:rsidR="00F64428">
        <w:rPr>
          <w:rFonts w:ascii="Arial" w:hAnsi="Arial" w:cs="Arial"/>
          <w:b/>
          <w:color w:val="000000" w:themeColor="text1"/>
          <w:sz w:val="24"/>
          <w:szCs w:val="24"/>
        </w:rPr>
        <w:t xml:space="preserve"> </w:t>
      </w:r>
      <w:r>
        <w:rPr>
          <w:rFonts w:ascii="Arial" w:hAnsi="Arial" w:cs="Arial"/>
          <w:b/>
          <w:color w:val="000000" w:themeColor="text1"/>
          <w:sz w:val="24"/>
          <w:szCs w:val="24"/>
        </w:rPr>
        <w:t>DCJ</w:t>
      </w:r>
      <w:r w:rsidR="00506827">
        <w:rPr>
          <w:rFonts w:ascii="Arial" w:hAnsi="Arial" w:cs="Arial"/>
          <w:b/>
          <w:color w:val="000000" w:themeColor="text1"/>
          <w:sz w:val="24"/>
          <w:szCs w:val="24"/>
        </w:rPr>
        <w:tab/>
      </w:r>
    </w:p>
    <w:p w14:paraId="717ADFC8" w14:textId="77777777" w:rsidR="00401E74" w:rsidRDefault="00401E74" w:rsidP="0069795E">
      <w:pPr>
        <w:pStyle w:val="NoSpacing"/>
        <w:spacing w:line="360" w:lineRule="auto"/>
        <w:rPr>
          <w:rFonts w:ascii="Arial" w:hAnsi="Arial" w:cs="Arial"/>
          <w:b/>
          <w:color w:val="000000" w:themeColor="text1"/>
          <w:sz w:val="24"/>
          <w:szCs w:val="24"/>
        </w:rPr>
      </w:pPr>
    </w:p>
    <w:p w14:paraId="11E7EE60" w14:textId="77777777" w:rsidR="009C4F0B" w:rsidRDefault="009C4F0B" w:rsidP="0069795E">
      <w:pPr>
        <w:pStyle w:val="NoSpacing"/>
        <w:spacing w:line="360" w:lineRule="auto"/>
        <w:rPr>
          <w:rFonts w:ascii="Arial" w:hAnsi="Arial" w:cs="Arial"/>
          <w:b/>
          <w:color w:val="000000" w:themeColor="text1"/>
          <w:sz w:val="24"/>
          <w:szCs w:val="24"/>
        </w:rPr>
      </w:pPr>
    </w:p>
    <w:p w14:paraId="09B08FF3" w14:textId="77777777" w:rsidR="00401E74" w:rsidRPr="000B2339" w:rsidRDefault="00401E74" w:rsidP="00401E74">
      <w:pPr>
        <w:pStyle w:val="NoSpacing"/>
        <w:spacing w:line="360" w:lineRule="auto"/>
        <w:rPr>
          <w:rFonts w:ascii="Arial" w:hAnsi="Arial" w:cs="Arial"/>
          <w:b/>
          <w:color w:val="000000" w:themeColor="text1"/>
          <w:sz w:val="24"/>
          <w:szCs w:val="24"/>
        </w:rPr>
      </w:pPr>
      <w:r w:rsidRPr="000B2339">
        <w:rPr>
          <w:rFonts w:ascii="Arial" w:hAnsi="Arial" w:cs="Arial"/>
          <w:b/>
          <w:color w:val="000000" w:themeColor="text1"/>
          <w:sz w:val="24"/>
          <w:szCs w:val="24"/>
        </w:rPr>
        <w:t>___________________</w:t>
      </w:r>
      <w:r>
        <w:rPr>
          <w:rFonts w:ascii="Arial" w:hAnsi="Arial" w:cs="Arial"/>
          <w:b/>
          <w:color w:val="000000" w:themeColor="text1"/>
          <w:sz w:val="24"/>
          <w:szCs w:val="24"/>
        </w:rPr>
        <w:t>___</w:t>
      </w:r>
    </w:p>
    <w:p w14:paraId="558F2429" w14:textId="77777777" w:rsidR="00401E74" w:rsidRDefault="00A943DD" w:rsidP="00401E74">
      <w:pPr>
        <w:pStyle w:val="NoSpacing"/>
        <w:spacing w:line="360" w:lineRule="auto"/>
        <w:rPr>
          <w:rFonts w:ascii="Arial" w:hAnsi="Arial" w:cs="Arial"/>
          <w:b/>
          <w:color w:val="000000" w:themeColor="text1"/>
          <w:sz w:val="24"/>
          <w:szCs w:val="24"/>
        </w:rPr>
      </w:pPr>
      <w:r>
        <w:rPr>
          <w:rFonts w:ascii="Arial" w:hAnsi="Arial" w:cs="Arial"/>
          <w:b/>
          <w:color w:val="000000" w:themeColor="text1"/>
          <w:sz w:val="24"/>
          <w:szCs w:val="24"/>
        </w:rPr>
        <w:t>ANGULA</w:t>
      </w:r>
      <w:r w:rsidR="00401E74" w:rsidRPr="000B2339">
        <w:rPr>
          <w:rFonts w:ascii="Arial" w:hAnsi="Arial" w:cs="Arial"/>
          <w:b/>
          <w:color w:val="000000" w:themeColor="text1"/>
          <w:sz w:val="24"/>
          <w:szCs w:val="24"/>
        </w:rPr>
        <w:t xml:space="preserve"> </w:t>
      </w:r>
      <w:r w:rsidR="00F64428">
        <w:rPr>
          <w:rFonts w:ascii="Arial" w:hAnsi="Arial" w:cs="Arial"/>
          <w:b/>
          <w:color w:val="000000" w:themeColor="text1"/>
          <w:sz w:val="24"/>
          <w:szCs w:val="24"/>
        </w:rPr>
        <w:t>A</w:t>
      </w:r>
      <w:r w:rsidR="00401E74" w:rsidRPr="000B2339">
        <w:rPr>
          <w:rFonts w:ascii="Arial" w:hAnsi="Arial" w:cs="Arial"/>
          <w:b/>
          <w:color w:val="000000" w:themeColor="text1"/>
          <w:sz w:val="24"/>
          <w:szCs w:val="24"/>
        </w:rPr>
        <w:t>JA</w:t>
      </w:r>
    </w:p>
    <w:p w14:paraId="6F6B0C4A" w14:textId="77777777" w:rsidR="0069795E" w:rsidRDefault="0069795E" w:rsidP="0069795E">
      <w:pPr>
        <w:pStyle w:val="NoSpacing"/>
        <w:spacing w:line="360" w:lineRule="auto"/>
        <w:rPr>
          <w:rFonts w:ascii="Arial" w:hAnsi="Arial" w:cs="Arial"/>
          <w:color w:val="000000" w:themeColor="text1"/>
          <w:sz w:val="24"/>
          <w:szCs w:val="24"/>
        </w:rPr>
      </w:pPr>
      <w:r>
        <w:rPr>
          <w:rFonts w:ascii="Arial" w:hAnsi="Arial" w:cs="Arial"/>
          <w:color w:val="000000" w:themeColor="text1"/>
          <w:sz w:val="24"/>
          <w:szCs w:val="24"/>
        </w:rPr>
        <w:br w:type="page"/>
      </w:r>
    </w:p>
    <w:p w14:paraId="78C35316" w14:textId="77777777" w:rsidR="002E426A" w:rsidRPr="000B2339" w:rsidRDefault="002E426A" w:rsidP="000B1CCA">
      <w:pPr>
        <w:pStyle w:val="NoSpacing"/>
        <w:spacing w:line="360" w:lineRule="auto"/>
        <w:rPr>
          <w:rFonts w:ascii="Arial" w:hAnsi="Arial" w:cs="Arial"/>
          <w:color w:val="000000" w:themeColor="text1"/>
          <w:sz w:val="24"/>
          <w:szCs w:val="24"/>
        </w:rPr>
      </w:pPr>
    </w:p>
    <w:tbl>
      <w:tblPr>
        <w:tblW w:w="0" w:type="auto"/>
        <w:tblLook w:val="04A0" w:firstRow="1" w:lastRow="0" w:firstColumn="1" w:lastColumn="0" w:noHBand="0" w:noVBand="1"/>
      </w:tblPr>
      <w:tblGrid>
        <w:gridCol w:w="4386"/>
        <w:gridCol w:w="4261"/>
      </w:tblGrid>
      <w:tr w:rsidR="000B2339" w:rsidRPr="000B2339" w14:paraId="173E6CA7" w14:textId="77777777" w:rsidTr="005C0BAB">
        <w:tc>
          <w:tcPr>
            <w:tcW w:w="4386" w:type="dxa"/>
            <w:shd w:val="clear" w:color="auto" w:fill="auto"/>
          </w:tcPr>
          <w:p w14:paraId="78577BE2" w14:textId="77777777" w:rsidR="00721889" w:rsidRPr="000B2339" w:rsidRDefault="00721889" w:rsidP="00A943DD">
            <w:pPr>
              <w:ind w:left="-108" w:right="-146"/>
              <w:jc w:val="both"/>
              <w:rPr>
                <w:rFonts w:ascii="Arial" w:hAnsi="Arial" w:cs="Arial"/>
                <w:color w:val="000000" w:themeColor="text1"/>
                <w:sz w:val="24"/>
                <w:szCs w:val="24"/>
              </w:rPr>
            </w:pPr>
            <w:r w:rsidRPr="000B2339">
              <w:rPr>
                <w:rFonts w:ascii="Arial" w:hAnsi="Arial" w:cs="Arial"/>
                <w:color w:val="000000" w:themeColor="text1"/>
                <w:sz w:val="24"/>
                <w:szCs w:val="24"/>
              </w:rPr>
              <w:t>APPEARANCES</w:t>
            </w:r>
          </w:p>
          <w:p w14:paraId="4F3887E9" w14:textId="77777777" w:rsidR="00721889" w:rsidRPr="000B2339" w:rsidRDefault="00721889" w:rsidP="00A943DD">
            <w:pPr>
              <w:ind w:right="-146"/>
              <w:jc w:val="both"/>
              <w:rPr>
                <w:rFonts w:ascii="Arial" w:hAnsi="Arial" w:cs="Arial"/>
                <w:color w:val="000000" w:themeColor="text1"/>
                <w:sz w:val="24"/>
                <w:szCs w:val="24"/>
              </w:rPr>
            </w:pPr>
          </w:p>
          <w:p w14:paraId="46C2C465" w14:textId="77777777" w:rsidR="00721889" w:rsidRPr="000B2339" w:rsidRDefault="00721889" w:rsidP="00A943DD">
            <w:pPr>
              <w:ind w:left="-108" w:right="-146"/>
              <w:jc w:val="both"/>
              <w:rPr>
                <w:rFonts w:ascii="Arial" w:hAnsi="Arial" w:cs="Arial"/>
                <w:color w:val="000000" w:themeColor="text1"/>
                <w:sz w:val="24"/>
                <w:szCs w:val="24"/>
              </w:rPr>
            </w:pPr>
            <w:r w:rsidRPr="000B2339">
              <w:rPr>
                <w:rFonts w:ascii="Arial" w:hAnsi="Arial" w:cs="Arial"/>
                <w:color w:val="000000" w:themeColor="text1"/>
                <w:sz w:val="24"/>
                <w:szCs w:val="24"/>
              </w:rPr>
              <w:t>APPELLANT</w:t>
            </w:r>
            <w:r w:rsidR="00E54229">
              <w:rPr>
                <w:rFonts w:ascii="Arial" w:hAnsi="Arial" w:cs="Arial"/>
                <w:color w:val="000000" w:themeColor="text1"/>
                <w:sz w:val="24"/>
                <w:szCs w:val="24"/>
              </w:rPr>
              <w:t>S</w:t>
            </w:r>
            <w:r w:rsidRPr="000B2339">
              <w:rPr>
                <w:rFonts w:ascii="Arial" w:hAnsi="Arial" w:cs="Arial"/>
                <w:color w:val="000000" w:themeColor="text1"/>
                <w:sz w:val="24"/>
                <w:szCs w:val="24"/>
              </w:rPr>
              <w:t>:</w:t>
            </w:r>
          </w:p>
        </w:tc>
        <w:tc>
          <w:tcPr>
            <w:tcW w:w="4261" w:type="dxa"/>
            <w:shd w:val="clear" w:color="auto" w:fill="auto"/>
          </w:tcPr>
          <w:p w14:paraId="38F52CDC" w14:textId="77777777" w:rsidR="00721889" w:rsidRPr="000B2339" w:rsidRDefault="00721889" w:rsidP="00A943DD">
            <w:pPr>
              <w:jc w:val="both"/>
              <w:rPr>
                <w:rFonts w:ascii="Arial" w:hAnsi="Arial" w:cs="Arial"/>
                <w:color w:val="000000" w:themeColor="text1"/>
                <w:sz w:val="24"/>
                <w:szCs w:val="24"/>
              </w:rPr>
            </w:pPr>
          </w:p>
          <w:p w14:paraId="30C6C96B" w14:textId="77777777" w:rsidR="00721889" w:rsidRPr="000B2339" w:rsidRDefault="00721889" w:rsidP="00A943DD">
            <w:pPr>
              <w:jc w:val="both"/>
              <w:rPr>
                <w:rFonts w:ascii="Arial" w:hAnsi="Arial" w:cs="Arial"/>
                <w:color w:val="000000" w:themeColor="text1"/>
                <w:sz w:val="24"/>
                <w:szCs w:val="24"/>
              </w:rPr>
            </w:pPr>
          </w:p>
          <w:p w14:paraId="5529CB03" w14:textId="77777777" w:rsidR="00721889" w:rsidRPr="000B2339" w:rsidRDefault="00CF33F3" w:rsidP="00A943DD">
            <w:pPr>
              <w:jc w:val="both"/>
              <w:rPr>
                <w:rFonts w:ascii="Arial" w:hAnsi="Arial" w:cs="Arial"/>
                <w:color w:val="000000" w:themeColor="text1"/>
                <w:sz w:val="24"/>
                <w:szCs w:val="24"/>
              </w:rPr>
            </w:pPr>
            <w:r>
              <w:rPr>
                <w:rFonts w:ascii="Arial" w:hAnsi="Arial" w:cs="Arial"/>
                <w:color w:val="000000" w:themeColor="text1"/>
                <w:sz w:val="24"/>
                <w:szCs w:val="24"/>
              </w:rPr>
              <w:t xml:space="preserve">T </w:t>
            </w:r>
            <w:r w:rsidR="00631A30">
              <w:rPr>
                <w:rFonts w:ascii="Arial" w:hAnsi="Arial" w:cs="Arial"/>
                <w:color w:val="000000" w:themeColor="text1"/>
                <w:sz w:val="24"/>
                <w:szCs w:val="24"/>
              </w:rPr>
              <w:t>Chibwana</w:t>
            </w:r>
            <w:r>
              <w:rPr>
                <w:rFonts w:ascii="Arial" w:hAnsi="Arial" w:cs="Arial"/>
                <w:color w:val="000000" w:themeColor="text1"/>
                <w:sz w:val="24"/>
                <w:szCs w:val="24"/>
              </w:rPr>
              <w:t xml:space="preserve"> </w:t>
            </w:r>
          </w:p>
          <w:p w14:paraId="3F5E1452" w14:textId="77777777" w:rsidR="00644878" w:rsidRPr="000B2339" w:rsidRDefault="002647B9" w:rsidP="00A943DD">
            <w:pPr>
              <w:spacing w:after="0" w:line="240" w:lineRule="auto"/>
              <w:jc w:val="both"/>
              <w:rPr>
                <w:rFonts w:ascii="Arial" w:hAnsi="Arial" w:cs="Arial"/>
                <w:color w:val="000000" w:themeColor="text1"/>
                <w:sz w:val="24"/>
                <w:szCs w:val="24"/>
              </w:rPr>
            </w:pPr>
            <w:r w:rsidRPr="000B2339">
              <w:rPr>
                <w:rFonts w:ascii="Arial" w:hAnsi="Arial" w:cs="Arial"/>
                <w:color w:val="000000" w:themeColor="text1"/>
                <w:sz w:val="24"/>
                <w:szCs w:val="24"/>
              </w:rPr>
              <w:t xml:space="preserve">Instructed by </w:t>
            </w:r>
            <w:r w:rsidR="00A943DD">
              <w:rPr>
                <w:rFonts w:ascii="Arial" w:hAnsi="Arial" w:cs="Arial"/>
                <w:color w:val="000000" w:themeColor="text1"/>
                <w:sz w:val="24"/>
                <w:szCs w:val="24"/>
              </w:rPr>
              <w:t>Government Attorney</w:t>
            </w:r>
          </w:p>
        </w:tc>
      </w:tr>
      <w:tr w:rsidR="000B2339" w:rsidRPr="000B2339" w14:paraId="6C77AB35" w14:textId="77777777" w:rsidTr="005C0BAB">
        <w:tc>
          <w:tcPr>
            <w:tcW w:w="4386" w:type="dxa"/>
            <w:shd w:val="clear" w:color="auto" w:fill="auto"/>
          </w:tcPr>
          <w:p w14:paraId="50DAF47F" w14:textId="77777777" w:rsidR="00721889" w:rsidRPr="000B2339" w:rsidRDefault="00721889" w:rsidP="00A943DD">
            <w:pPr>
              <w:jc w:val="both"/>
              <w:rPr>
                <w:rFonts w:ascii="Arial" w:hAnsi="Arial" w:cs="Arial"/>
                <w:color w:val="000000" w:themeColor="text1"/>
                <w:sz w:val="24"/>
                <w:szCs w:val="24"/>
              </w:rPr>
            </w:pPr>
          </w:p>
          <w:p w14:paraId="7AE27DF5" w14:textId="77777777" w:rsidR="00721889" w:rsidRPr="000B2339" w:rsidRDefault="00AE6BE7" w:rsidP="00A943DD">
            <w:pPr>
              <w:ind w:left="-108"/>
              <w:jc w:val="both"/>
              <w:rPr>
                <w:rFonts w:ascii="Arial" w:hAnsi="Arial" w:cs="Arial"/>
                <w:color w:val="000000" w:themeColor="text1"/>
                <w:sz w:val="24"/>
                <w:szCs w:val="24"/>
              </w:rPr>
            </w:pPr>
            <w:r>
              <w:rPr>
                <w:rFonts w:ascii="Arial" w:hAnsi="Arial" w:cs="Arial"/>
                <w:color w:val="000000" w:themeColor="text1"/>
                <w:sz w:val="24"/>
                <w:szCs w:val="24"/>
              </w:rPr>
              <w:t>RESPONDENTS:</w:t>
            </w:r>
          </w:p>
        </w:tc>
        <w:tc>
          <w:tcPr>
            <w:tcW w:w="4261" w:type="dxa"/>
            <w:shd w:val="clear" w:color="auto" w:fill="auto"/>
          </w:tcPr>
          <w:p w14:paraId="5E070754" w14:textId="77777777" w:rsidR="00721889" w:rsidRPr="000B2339" w:rsidRDefault="00721889" w:rsidP="00A943DD">
            <w:pPr>
              <w:jc w:val="both"/>
              <w:rPr>
                <w:rFonts w:ascii="Arial" w:hAnsi="Arial" w:cs="Arial"/>
                <w:color w:val="000000" w:themeColor="text1"/>
                <w:sz w:val="24"/>
                <w:szCs w:val="24"/>
              </w:rPr>
            </w:pPr>
          </w:p>
          <w:p w14:paraId="4EB10DF0" w14:textId="77777777" w:rsidR="00C06ED6" w:rsidRPr="000B2339" w:rsidRDefault="00631A30" w:rsidP="00A943DD">
            <w:pPr>
              <w:jc w:val="both"/>
              <w:rPr>
                <w:rFonts w:ascii="Arial" w:hAnsi="Arial" w:cs="Arial"/>
                <w:color w:val="000000" w:themeColor="text1"/>
                <w:sz w:val="24"/>
                <w:szCs w:val="24"/>
              </w:rPr>
            </w:pPr>
            <w:r>
              <w:rPr>
                <w:rFonts w:ascii="Arial" w:hAnsi="Arial" w:cs="Arial"/>
                <w:color w:val="000000" w:themeColor="text1"/>
                <w:sz w:val="24"/>
                <w:szCs w:val="24"/>
              </w:rPr>
              <w:t>J Marais</w:t>
            </w:r>
            <w:r w:rsidR="00E54229">
              <w:rPr>
                <w:rFonts w:ascii="Arial" w:hAnsi="Arial" w:cs="Arial"/>
                <w:color w:val="000000" w:themeColor="text1"/>
                <w:sz w:val="24"/>
                <w:szCs w:val="24"/>
              </w:rPr>
              <w:t xml:space="preserve"> SC</w:t>
            </w:r>
            <w:r w:rsidR="00CF33F3">
              <w:rPr>
                <w:rFonts w:ascii="Arial" w:hAnsi="Arial" w:cs="Arial"/>
                <w:color w:val="000000" w:themeColor="text1"/>
                <w:sz w:val="24"/>
                <w:szCs w:val="24"/>
              </w:rPr>
              <w:t xml:space="preserve"> (with him </w:t>
            </w:r>
            <w:r>
              <w:rPr>
                <w:rFonts w:ascii="Arial" w:hAnsi="Arial" w:cs="Arial"/>
                <w:color w:val="000000" w:themeColor="text1"/>
                <w:sz w:val="24"/>
                <w:szCs w:val="24"/>
              </w:rPr>
              <w:t>C Gibson</w:t>
            </w:r>
            <w:r w:rsidR="00CF33F3">
              <w:rPr>
                <w:rFonts w:ascii="Arial" w:hAnsi="Arial" w:cs="Arial"/>
                <w:color w:val="000000" w:themeColor="text1"/>
                <w:sz w:val="24"/>
                <w:szCs w:val="24"/>
              </w:rPr>
              <w:t>)</w:t>
            </w:r>
          </w:p>
          <w:p w14:paraId="797083A8" w14:textId="77777777" w:rsidR="009834C3" w:rsidRPr="000B2339" w:rsidRDefault="00AE6BE7" w:rsidP="00A943DD">
            <w:pPr>
              <w:jc w:val="both"/>
              <w:rPr>
                <w:rFonts w:ascii="Arial" w:hAnsi="Arial" w:cs="Arial"/>
                <w:color w:val="000000" w:themeColor="text1"/>
                <w:sz w:val="24"/>
                <w:szCs w:val="24"/>
              </w:rPr>
            </w:pPr>
            <w:r>
              <w:rPr>
                <w:rFonts w:ascii="Arial" w:hAnsi="Arial" w:cs="Arial"/>
                <w:color w:val="000000" w:themeColor="text1"/>
                <w:sz w:val="24"/>
                <w:szCs w:val="24"/>
              </w:rPr>
              <w:t xml:space="preserve">Instructed by </w:t>
            </w:r>
            <w:r w:rsidR="00A943DD">
              <w:rPr>
                <w:rFonts w:ascii="Arial" w:hAnsi="Arial" w:cs="Arial"/>
                <w:color w:val="000000" w:themeColor="text1"/>
                <w:sz w:val="24"/>
                <w:szCs w:val="24"/>
              </w:rPr>
              <w:t>Engling, Stritter &amp; Partners</w:t>
            </w:r>
          </w:p>
        </w:tc>
      </w:tr>
    </w:tbl>
    <w:p w14:paraId="45EFEEBD" w14:textId="77777777" w:rsidR="00721889" w:rsidRPr="000B2339" w:rsidRDefault="00721889" w:rsidP="00A943DD">
      <w:pPr>
        <w:pStyle w:val="NoSpacing"/>
        <w:jc w:val="both"/>
        <w:rPr>
          <w:rFonts w:ascii="Arial" w:hAnsi="Arial" w:cs="Arial"/>
          <w:color w:val="000000" w:themeColor="text1"/>
          <w:sz w:val="24"/>
          <w:szCs w:val="24"/>
        </w:rPr>
      </w:pPr>
    </w:p>
    <w:sectPr w:rsidR="00721889" w:rsidRPr="000B2339" w:rsidSect="00CF05B1">
      <w:headerReference w:type="default" r:id="rId16"/>
      <w:pgSz w:w="11906" w:h="16838"/>
      <w:pgMar w:top="811" w:right="127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09BFB" w14:textId="77777777" w:rsidR="00AF1679" w:rsidRDefault="00AF1679" w:rsidP="00B5013F">
      <w:pPr>
        <w:spacing w:after="0" w:line="240" w:lineRule="auto"/>
      </w:pPr>
      <w:r>
        <w:separator/>
      </w:r>
    </w:p>
  </w:endnote>
  <w:endnote w:type="continuationSeparator" w:id="0">
    <w:p w14:paraId="44BFAA0C" w14:textId="77777777" w:rsidR="00AF1679" w:rsidRDefault="00AF1679" w:rsidP="00B5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12A36" w14:textId="77777777" w:rsidR="00AF1679" w:rsidRDefault="00AF1679" w:rsidP="00B5013F">
      <w:pPr>
        <w:spacing w:after="0" w:line="240" w:lineRule="auto"/>
      </w:pPr>
      <w:r>
        <w:separator/>
      </w:r>
    </w:p>
  </w:footnote>
  <w:footnote w:type="continuationSeparator" w:id="0">
    <w:p w14:paraId="74C07CA5" w14:textId="77777777" w:rsidR="00AF1679" w:rsidRDefault="00AF1679" w:rsidP="00B5013F">
      <w:pPr>
        <w:spacing w:after="0" w:line="240" w:lineRule="auto"/>
      </w:pPr>
      <w:r>
        <w:continuationSeparator/>
      </w:r>
    </w:p>
  </w:footnote>
  <w:footnote w:id="1">
    <w:p w14:paraId="54149203" w14:textId="77777777" w:rsidR="003E42B8" w:rsidRPr="000B7D94" w:rsidRDefault="003E42B8" w:rsidP="00C44D6A">
      <w:pPr>
        <w:pStyle w:val="FootnoteText"/>
        <w:jc w:val="both"/>
        <w:rPr>
          <w:rFonts w:ascii="Arial" w:hAnsi="Arial" w:cs="Arial"/>
        </w:rPr>
      </w:pPr>
      <w:r w:rsidRPr="000B7D94">
        <w:rPr>
          <w:rStyle w:val="FootnoteReference"/>
          <w:rFonts w:ascii="Arial" w:hAnsi="Arial" w:cs="Arial"/>
        </w:rPr>
        <w:footnoteRef/>
      </w:r>
      <w:r w:rsidRPr="000B7D94">
        <w:rPr>
          <w:rFonts w:ascii="Arial" w:hAnsi="Arial" w:cs="Arial"/>
        </w:rPr>
        <w:t xml:space="preserve"> </w:t>
      </w:r>
      <w:r w:rsidRPr="000B7D94">
        <w:rPr>
          <w:rFonts w:ascii="Arial" w:hAnsi="Arial" w:cs="Arial"/>
          <w:i/>
          <w:color w:val="000000" w:themeColor="text1"/>
        </w:rPr>
        <w:t>Oudekraal Estates (Pty) Ltd v City of Cape Town</w:t>
      </w:r>
      <w:r w:rsidR="00286AA3">
        <w:rPr>
          <w:rFonts w:ascii="Arial" w:hAnsi="Arial" w:cs="Arial"/>
          <w:i/>
          <w:color w:val="000000" w:themeColor="text1"/>
        </w:rPr>
        <w:t xml:space="preserve"> &amp; others</w:t>
      </w:r>
      <w:r w:rsidRPr="000B7D94">
        <w:rPr>
          <w:rFonts w:ascii="Arial" w:hAnsi="Arial" w:cs="Arial"/>
          <w:i/>
          <w:color w:val="000000" w:themeColor="text1"/>
        </w:rPr>
        <w:t xml:space="preserve"> </w:t>
      </w:r>
      <w:r w:rsidRPr="000B7D94">
        <w:rPr>
          <w:rFonts w:ascii="Arial" w:hAnsi="Arial" w:cs="Arial"/>
          <w:color w:val="000000" w:themeColor="text1"/>
        </w:rPr>
        <w:t>2004 (6) SA 222 (S</w:t>
      </w:r>
      <w:r w:rsidR="00E5040C">
        <w:rPr>
          <w:rFonts w:ascii="Arial" w:hAnsi="Arial" w:cs="Arial"/>
          <w:color w:val="000000" w:themeColor="text1"/>
        </w:rPr>
        <w:t>C</w:t>
      </w:r>
      <w:r w:rsidRPr="000B7D94">
        <w:rPr>
          <w:rFonts w:ascii="Arial" w:hAnsi="Arial" w:cs="Arial"/>
          <w:color w:val="000000" w:themeColor="text1"/>
        </w:rPr>
        <w:t>A) para 26.</w:t>
      </w:r>
    </w:p>
  </w:footnote>
  <w:footnote w:id="2">
    <w:p w14:paraId="34325AFA" w14:textId="77777777" w:rsidR="00A9519C" w:rsidRPr="000B7D94" w:rsidRDefault="005F3F8C" w:rsidP="00C44D6A">
      <w:pPr>
        <w:shd w:val="clear" w:color="auto" w:fill="FFFFFF"/>
        <w:spacing w:line="240" w:lineRule="auto"/>
        <w:jc w:val="both"/>
        <w:rPr>
          <w:rFonts w:ascii="Arial" w:eastAsia="Times New Roman" w:hAnsi="Arial" w:cs="Arial"/>
          <w:bCs/>
          <w:sz w:val="20"/>
          <w:szCs w:val="20"/>
          <w:lang w:eastAsia="en-ZA"/>
        </w:rPr>
      </w:pPr>
      <w:r w:rsidRPr="000B7D94">
        <w:rPr>
          <w:rStyle w:val="FootnoteReference"/>
          <w:rFonts w:ascii="Arial" w:hAnsi="Arial" w:cs="Arial"/>
          <w:sz w:val="20"/>
          <w:szCs w:val="20"/>
        </w:rPr>
        <w:footnoteRef/>
      </w:r>
      <w:r w:rsidRPr="000B7D94">
        <w:rPr>
          <w:rFonts w:ascii="Arial" w:hAnsi="Arial" w:cs="Arial"/>
          <w:sz w:val="20"/>
          <w:szCs w:val="20"/>
        </w:rPr>
        <w:t xml:space="preserve"> </w:t>
      </w:r>
      <w:r w:rsidRPr="000B7D94">
        <w:rPr>
          <w:rFonts w:ascii="Arial" w:hAnsi="Arial" w:cs="Arial"/>
          <w:i/>
          <w:color w:val="000000" w:themeColor="text1"/>
          <w:sz w:val="20"/>
          <w:szCs w:val="20"/>
        </w:rPr>
        <w:t xml:space="preserve">Minister of Health and Social Services v </w:t>
      </w:r>
      <w:r w:rsidRPr="000B7D94">
        <w:rPr>
          <w:rFonts w:ascii="Arial" w:hAnsi="Arial" w:cs="Arial"/>
          <w:i/>
          <w:sz w:val="20"/>
          <w:szCs w:val="20"/>
        </w:rPr>
        <w:t xml:space="preserve">Lisse </w:t>
      </w:r>
      <w:r w:rsidR="00A9519C" w:rsidRPr="000B7D94">
        <w:rPr>
          <w:rFonts w:ascii="Arial" w:eastAsia="Times New Roman" w:hAnsi="Arial" w:cs="Arial"/>
          <w:bCs/>
          <w:sz w:val="20"/>
          <w:szCs w:val="20"/>
          <w:lang w:eastAsia="en-ZA"/>
        </w:rPr>
        <w:t>200</w:t>
      </w:r>
      <w:r w:rsidR="009F65B3">
        <w:rPr>
          <w:rFonts w:ascii="Arial" w:eastAsia="Times New Roman" w:hAnsi="Arial" w:cs="Arial"/>
          <w:bCs/>
          <w:sz w:val="20"/>
          <w:szCs w:val="20"/>
          <w:lang w:eastAsia="en-ZA"/>
        </w:rPr>
        <w:t>6 (2)</w:t>
      </w:r>
      <w:r w:rsidR="00A9519C" w:rsidRPr="000B7D94">
        <w:rPr>
          <w:rFonts w:ascii="Arial" w:eastAsia="Times New Roman" w:hAnsi="Arial" w:cs="Arial"/>
          <w:bCs/>
          <w:sz w:val="20"/>
          <w:szCs w:val="20"/>
          <w:lang w:eastAsia="en-ZA"/>
        </w:rPr>
        <w:t xml:space="preserve"> </w:t>
      </w:r>
      <w:r w:rsidR="009F65B3">
        <w:rPr>
          <w:rFonts w:ascii="Arial" w:eastAsia="Times New Roman" w:hAnsi="Arial" w:cs="Arial"/>
          <w:bCs/>
          <w:sz w:val="20"/>
          <w:szCs w:val="20"/>
          <w:lang w:eastAsia="en-ZA"/>
        </w:rPr>
        <w:t>NR 739 (SC)</w:t>
      </w:r>
      <w:r w:rsidR="00A9519C" w:rsidRPr="000B7D94">
        <w:rPr>
          <w:rFonts w:ascii="Arial" w:eastAsia="Times New Roman" w:hAnsi="Arial" w:cs="Arial"/>
          <w:sz w:val="20"/>
          <w:szCs w:val="20"/>
          <w:lang w:eastAsia="en-ZA"/>
        </w:rPr>
        <w:t>.</w:t>
      </w:r>
    </w:p>
    <w:p w14:paraId="0AD8F327" w14:textId="77777777" w:rsidR="00A9519C" w:rsidRPr="000B7D94" w:rsidRDefault="00A9519C" w:rsidP="00C44D6A">
      <w:pPr>
        <w:pStyle w:val="Heading2"/>
        <w:shd w:val="clear" w:color="auto" w:fill="FFFFFF"/>
        <w:spacing w:before="0" w:line="240" w:lineRule="auto"/>
        <w:jc w:val="both"/>
        <w:rPr>
          <w:rFonts w:ascii="Arial" w:eastAsia="Times New Roman" w:hAnsi="Arial" w:cs="Arial"/>
          <w:bCs/>
          <w:color w:val="auto"/>
          <w:sz w:val="20"/>
          <w:szCs w:val="20"/>
          <w:lang w:eastAsia="en-ZA"/>
        </w:rPr>
      </w:pPr>
    </w:p>
    <w:p w14:paraId="3FF4D9D6" w14:textId="77777777" w:rsidR="005F3F8C" w:rsidRPr="000B7D94" w:rsidRDefault="005F3F8C" w:rsidP="00C44D6A">
      <w:pPr>
        <w:pStyle w:val="FootnoteText"/>
        <w:jc w:val="both"/>
        <w:rPr>
          <w:rFonts w:ascii="Arial" w:hAnsi="Arial" w:cs="Arial"/>
        </w:rPr>
      </w:pPr>
    </w:p>
  </w:footnote>
  <w:footnote w:id="3">
    <w:p w14:paraId="2F55C933" w14:textId="77777777" w:rsidR="00B03DCA" w:rsidRPr="000B7D94" w:rsidRDefault="00B03DCA" w:rsidP="00C44D6A">
      <w:pPr>
        <w:pStyle w:val="FootnoteText"/>
        <w:jc w:val="both"/>
        <w:rPr>
          <w:rFonts w:ascii="Arial" w:hAnsi="Arial" w:cs="Arial"/>
        </w:rPr>
      </w:pPr>
      <w:r w:rsidRPr="000B7D94">
        <w:rPr>
          <w:rStyle w:val="FootnoteReference"/>
          <w:rFonts w:ascii="Arial" w:hAnsi="Arial" w:cs="Arial"/>
        </w:rPr>
        <w:footnoteRef/>
      </w:r>
      <w:r w:rsidRPr="000B7D94">
        <w:rPr>
          <w:rFonts w:ascii="Arial" w:hAnsi="Arial" w:cs="Arial"/>
        </w:rPr>
        <w:t xml:space="preserve"> </w:t>
      </w:r>
      <w:r w:rsidRPr="000B7D94">
        <w:rPr>
          <w:rFonts w:ascii="Arial" w:hAnsi="Arial" w:cs="Arial"/>
          <w:i/>
        </w:rPr>
        <w:t xml:space="preserve">President of </w:t>
      </w:r>
      <w:r w:rsidR="00C44D6A" w:rsidRPr="000B7D94">
        <w:rPr>
          <w:rFonts w:ascii="Arial" w:hAnsi="Arial" w:cs="Arial"/>
          <w:i/>
        </w:rPr>
        <w:t>the</w:t>
      </w:r>
      <w:r w:rsidR="00286AA3">
        <w:rPr>
          <w:rFonts w:ascii="Arial" w:hAnsi="Arial" w:cs="Arial"/>
          <w:i/>
        </w:rPr>
        <w:t xml:space="preserve"> Republic of </w:t>
      </w:r>
      <w:r w:rsidRPr="000B7D94">
        <w:rPr>
          <w:rFonts w:ascii="Arial" w:hAnsi="Arial" w:cs="Arial"/>
          <w:i/>
        </w:rPr>
        <w:t>Namibia &amp; others v Anhui Foreign Economic Construction Group Corporation Ltd &amp; another</w:t>
      </w:r>
      <w:r w:rsidRPr="000B7D94">
        <w:rPr>
          <w:rFonts w:ascii="Arial" w:hAnsi="Arial" w:cs="Arial"/>
        </w:rPr>
        <w:t xml:space="preserve"> </w:t>
      </w:r>
      <w:r w:rsidR="00C44D6A" w:rsidRPr="000B7D94">
        <w:rPr>
          <w:rFonts w:ascii="Arial" w:hAnsi="Arial" w:cs="Arial"/>
        </w:rPr>
        <w:t>2017 (</w:t>
      </w:r>
      <w:r w:rsidR="00286AA3">
        <w:rPr>
          <w:rFonts w:ascii="Arial" w:hAnsi="Arial" w:cs="Arial"/>
        </w:rPr>
        <w:t>2</w:t>
      </w:r>
      <w:r w:rsidR="00C44D6A" w:rsidRPr="000B7D94">
        <w:rPr>
          <w:rFonts w:ascii="Arial" w:hAnsi="Arial" w:cs="Arial"/>
        </w:rPr>
        <w:t xml:space="preserve">) NR 340 (SC) para 61-62. See also </w:t>
      </w:r>
      <w:r w:rsidR="00C44D6A" w:rsidRPr="000B7D94">
        <w:rPr>
          <w:rFonts w:ascii="Arial" w:hAnsi="Arial" w:cs="Arial"/>
          <w:i/>
        </w:rPr>
        <w:t>Pamo Trading Enterprises CC</w:t>
      </w:r>
      <w:r w:rsidR="001A7110">
        <w:rPr>
          <w:rFonts w:ascii="Arial" w:hAnsi="Arial" w:cs="Arial"/>
          <w:i/>
        </w:rPr>
        <w:t xml:space="preserve"> &amp; another</w:t>
      </w:r>
      <w:r w:rsidR="00C44D6A" w:rsidRPr="000B7D94">
        <w:rPr>
          <w:rFonts w:ascii="Arial" w:hAnsi="Arial" w:cs="Arial"/>
          <w:i/>
        </w:rPr>
        <w:t xml:space="preserve"> v Chairperson of the Tender Board</w:t>
      </w:r>
      <w:r w:rsidR="00286AA3">
        <w:rPr>
          <w:rFonts w:ascii="Arial" w:hAnsi="Arial" w:cs="Arial"/>
          <w:i/>
        </w:rPr>
        <w:t xml:space="preserve"> of Namibia</w:t>
      </w:r>
      <w:r w:rsidR="00E5040C">
        <w:rPr>
          <w:rFonts w:ascii="Arial" w:hAnsi="Arial" w:cs="Arial"/>
          <w:i/>
        </w:rPr>
        <w:t xml:space="preserve"> &amp; another</w:t>
      </w:r>
      <w:r w:rsidR="00C44D6A" w:rsidRPr="000B7D94">
        <w:rPr>
          <w:rFonts w:ascii="Arial" w:hAnsi="Arial" w:cs="Arial"/>
          <w:i/>
        </w:rPr>
        <w:t xml:space="preserve"> </w:t>
      </w:r>
      <w:r w:rsidR="00C44D6A" w:rsidRPr="000B7D94">
        <w:rPr>
          <w:rFonts w:ascii="Arial" w:hAnsi="Arial" w:cs="Arial"/>
        </w:rPr>
        <w:t>2019 (3)</w:t>
      </w:r>
      <w:r w:rsidR="007709DE">
        <w:rPr>
          <w:rFonts w:ascii="Arial" w:hAnsi="Arial" w:cs="Arial"/>
        </w:rPr>
        <w:t xml:space="preserve"> </w:t>
      </w:r>
      <w:r w:rsidR="00C44D6A" w:rsidRPr="000B7D94">
        <w:rPr>
          <w:rFonts w:ascii="Arial" w:hAnsi="Arial" w:cs="Arial"/>
        </w:rPr>
        <w:t>NR 834 (SC) para 63.</w:t>
      </w:r>
    </w:p>
  </w:footnote>
  <w:footnote w:id="4">
    <w:p w14:paraId="091476EF" w14:textId="77777777" w:rsidR="00C44D6A" w:rsidRPr="000B7D94" w:rsidRDefault="00C44D6A" w:rsidP="00C44D6A">
      <w:pPr>
        <w:pStyle w:val="FootnoteText"/>
        <w:rPr>
          <w:rFonts w:ascii="Arial" w:hAnsi="Arial" w:cs="Arial"/>
        </w:rPr>
      </w:pPr>
      <w:r w:rsidRPr="000B7D94">
        <w:rPr>
          <w:rStyle w:val="FootnoteReference"/>
          <w:rFonts w:ascii="Arial" w:hAnsi="Arial" w:cs="Arial"/>
        </w:rPr>
        <w:footnoteRef/>
      </w:r>
      <w:r w:rsidRPr="000B7D94">
        <w:rPr>
          <w:rFonts w:ascii="Arial" w:hAnsi="Arial" w:cs="Arial"/>
        </w:rPr>
        <w:t xml:space="preserve"> </w:t>
      </w:r>
      <w:r w:rsidR="00E5040C" w:rsidRPr="009F65B3">
        <w:rPr>
          <w:rFonts w:ascii="Arial" w:hAnsi="Arial" w:cs="Arial"/>
          <w:i/>
          <w:lang w:val="en-US"/>
        </w:rPr>
        <w:t>Waterberg Big Game Hunting Lodge v Minister of Environment and Tourism</w:t>
      </w:r>
      <w:r w:rsidR="00E5040C" w:rsidRPr="000B7D94">
        <w:rPr>
          <w:rFonts w:ascii="Arial" w:hAnsi="Arial" w:cs="Arial"/>
        </w:rPr>
        <w:t xml:space="preserve"> </w:t>
      </w:r>
      <w:r w:rsidRPr="000B7D94">
        <w:rPr>
          <w:rFonts w:ascii="Arial" w:hAnsi="Arial" w:cs="Arial"/>
        </w:rPr>
        <w:t>2010</w:t>
      </w:r>
      <w:r w:rsidR="001A7110">
        <w:rPr>
          <w:rFonts w:ascii="Arial" w:hAnsi="Arial" w:cs="Arial"/>
        </w:rPr>
        <w:t xml:space="preserve"> </w:t>
      </w:r>
      <w:r w:rsidRPr="000B7D94">
        <w:rPr>
          <w:rFonts w:ascii="Arial" w:hAnsi="Arial" w:cs="Arial"/>
        </w:rPr>
        <w:t>(1) NR 1 (SC) at 31G-33C.</w:t>
      </w:r>
    </w:p>
  </w:footnote>
  <w:footnote w:id="5">
    <w:p w14:paraId="71235449" w14:textId="77777777" w:rsidR="00C44D6A" w:rsidRPr="000B7D94" w:rsidRDefault="00C44D6A" w:rsidP="00C44D6A">
      <w:pPr>
        <w:pStyle w:val="FootnoteText"/>
        <w:rPr>
          <w:rFonts w:ascii="Arial" w:hAnsi="Arial" w:cs="Arial"/>
        </w:rPr>
      </w:pPr>
      <w:r w:rsidRPr="000B7D94">
        <w:rPr>
          <w:rStyle w:val="FootnoteReference"/>
          <w:rFonts w:ascii="Arial" w:hAnsi="Arial" w:cs="Arial"/>
        </w:rPr>
        <w:footnoteRef/>
      </w:r>
      <w:r w:rsidRPr="000B7D94">
        <w:rPr>
          <w:rFonts w:ascii="Arial" w:hAnsi="Arial" w:cs="Arial"/>
        </w:rPr>
        <w:t xml:space="preserve"> See </w:t>
      </w:r>
      <w:r w:rsidRPr="000B7D94">
        <w:rPr>
          <w:rFonts w:ascii="Arial" w:hAnsi="Arial" w:cs="Arial"/>
          <w:i/>
        </w:rPr>
        <w:t>Masamba v Chairperson, Western Cape Regional Committee, Immigra</w:t>
      </w:r>
      <w:r w:rsidR="001A7110">
        <w:rPr>
          <w:rFonts w:ascii="Arial" w:hAnsi="Arial" w:cs="Arial"/>
          <w:i/>
        </w:rPr>
        <w:t>nts</w:t>
      </w:r>
      <w:r w:rsidRPr="000B7D94">
        <w:rPr>
          <w:rFonts w:ascii="Arial" w:hAnsi="Arial" w:cs="Arial"/>
          <w:i/>
        </w:rPr>
        <w:t xml:space="preserve"> Selection Board </w:t>
      </w:r>
      <w:r w:rsidR="001A7110">
        <w:rPr>
          <w:rFonts w:ascii="Arial" w:hAnsi="Arial" w:cs="Arial"/>
          <w:i/>
        </w:rPr>
        <w:t>&amp;</w:t>
      </w:r>
      <w:r w:rsidRPr="000B7D94">
        <w:rPr>
          <w:rFonts w:ascii="Arial" w:hAnsi="Arial" w:cs="Arial"/>
          <w:i/>
        </w:rPr>
        <w:t xml:space="preserve"> others</w:t>
      </w:r>
      <w:r w:rsidRPr="000B7D94">
        <w:rPr>
          <w:rFonts w:ascii="Arial" w:hAnsi="Arial" w:cs="Arial"/>
        </w:rPr>
        <w:t xml:space="preserve"> 200</w:t>
      </w:r>
      <w:r w:rsidR="001A7110">
        <w:rPr>
          <w:rFonts w:ascii="Arial" w:hAnsi="Arial" w:cs="Arial"/>
        </w:rPr>
        <w:t>1</w:t>
      </w:r>
      <w:r w:rsidR="007709DE">
        <w:rPr>
          <w:rFonts w:ascii="Arial" w:hAnsi="Arial" w:cs="Arial"/>
        </w:rPr>
        <w:t xml:space="preserve"> </w:t>
      </w:r>
      <w:r w:rsidRPr="000B7D94">
        <w:rPr>
          <w:rFonts w:ascii="Arial" w:hAnsi="Arial" w:cs="Arial"/>
        </w:rPr>
        <w:t>(12) BCLR 1239 (</w:t>
      </w:r>
      <w:r w:rsidR="001A7110">
        <w:rPr>
          <w:rFonts w:ascii="Arial" w:hAnsi="Arial" w:cs="Arial"/>
        </w:rPr>
        <w:t>C</w:t>
      </w:r>
      <w:r w:rsidRPr="000B7D94">
        <w:rPr>
          <w:rFonts w:ascii="Arial" w:hAnsi="Arial" w:cs="Arial"/>
        </w:rPr>
        <w:t xml:space="preserve">) at 1259D-E approved by the Chief Justice in </w:t>
      </w:r>
      <w:r w:rsidRPr="000B7D94">
        <w:rPr>
          <w:rFonts w:ascii="Arial" w:hAnsi="Arial" w:cs="Arial"/>
          <w:i/>
        </w:rPr>
        <w:t>Waterberg</w:t>
      </w:r>
      <w:r w:rsidRPr="000B7D94">
        <w:rPr>
          <w:rFonts w:ascii="Arial" w:hAnsi="Arial" w:cs="Arial"/>
        </w:rPr>
        <w:t xml:space="preserve"> at p 31H. See also </w:t>
      </w:r>
      <w:r w:rsidRPr="000B7D94">
        <w:rPr>
          <w:rFonts w:ascii="Arial" w:hAnsi="Arial" w:cs="Arial"/>
          <w:i/>
        </w:rPr>
        <w:t xml:space="preserve">Oudekraal </w:t>
      </w:r>
      <w:r w:rsidRPr="000B7D94">
        <w:rPr>
          <w:rFonts w:ascii="Arial" w:hAnsi="Arial" w:cs="Arial"/>
        </w:rPr>
        <w:t>paras 26-27.</w:t>
      </w:r>
    </w:p>
  </w:footnote>
  <w:footnote w:id="6">
    <w:p w14:paraId="73656DD3" w14:textId="77777777" w:rsidR="00C44D6A" w:rsidRPr="000B7D94" w:rsidRDefault="00C44D6A" w:rsidP="00C44D6A">
      <w:pPr>
        <w:pStyle w:val="FootnoteText"/>
        <w:rPr>
          <w:rFonts w:ascii="Arial" w:hAnsi="Arial" w:cs="Arial"/>
        </w:rPr>
      </w:pPr>
      <w:r w:rsidRPr="000B7D94">
        <w:rPr>
          <w:rStyle w:val="FootnoteReference"/>
          <w:rFonts w:ascii="Arial" w:hAnsi="Arial" w:cs="Arial"/>
        </w:rPr>
        <w:footnoteRef/>
      </w:r>
      <w:r w:rsidRPr="000B7D94">
        <w:rPr>
          <w:rFonts w:ascii="Arial" w:hAnsi="Arial" w:cs="Arial"/>
        </w:rPr>
        <w:t xml:space="preserve"> </w:t>
      </w:r>
      <w:r w:rsidR="00E5040C">
        <w:rPr>
          <w:rFonts w:ascii="Arial" w:hAnsi="Arial" w:cs="Arial"/>
          <w:i/>
        </w:rPr>
        <w:t>All</w:t>
      </w:r>
      <w:r w:rsidRPr="000B7D94">
        <w:rPr>
          <w:rFonts w:ascii="Arial" w:hAnsi="Arial" w:cs="Arial"/>
          <w:i/>
        </w:rPr>
        <w:t xml:space="preserve">Pay Consolidated Investment Holdings (Pty) Ltd </w:t>
      </w:r>
      <w:r w:rsidR="001A7110">
        <w:rPr>
          <w:rFonts w:ascii="Arial" w:hAnsi="Arial" w:cs="Arial"/>
          <w:i/>
        </w:rPr>
        <w:t xml:space="preserve">&amp; others </w:t>
      </w:r>
      <w:r w:rsidRPr="000B7D94">
        <w:rPr>
          <w:rFonts w:ascii="Arial" w:hAnsi="Arial" w:cs="Arial"/>
          <w:i/>
        </w:rPr>
        <w:t xml:space="preserve">v Chief Executive Officer, SA Social Security Agency </w:t>
      </w:r>
      <w:r w:rsidR="001A7110">
        <w:rPr>
          <w:rFonts w:ascii="Arial" w:hAnsi="Arial" w:cs="Arial"/>
          <w:i/>
        </w:rPr>
        <w:t>&amp;</w:t>
      </w:r>
      <w:r w:rsidRPr="000B7D94">
        <w:rPr>
          <w:rFonts w:ascii="Arial" w:hAnsi="Arial" w:cs="Arial"/>
          <w:i/>
        </w:rPr>
        <w:t xml:space="preserve"> others </w:t>
      </w:r>
      <w:r w:rsidRPr="000B7D94">
        <w:rPr>
          <w:rFonts w:ascii="Arial" w:hAnsi="Arial" w:cs="Arial"/>
        </w:rPr>
        <w:t>2014</w:t>
      </w:r>
      <w:r w:rsidR="001A7110">
        <w:rPr>
          <w:rFonts w:ascii="Arial" w:hAnsi="Arial" w:cs="Arial"/>
        </w:rPr>
        <w:t xml:space="preserve"> </w:t>
      </w:r>
      <w:r w:rsidRPr="000B7D94">
        <w:rPr>
          <w:rFonts w:ascii="Arial" w:hAnsi="Arial" w:cs="Arial"/>
        </w:rPr>
        <w:t>(4) SA 179 (CC) para 42.</w:t>
      </w:r>
    </w:p>
  </w:footnote>
  <w:footnote w:id="7">
    <w:p w14:paraId="15333ADB" w14:textId="77777777" w:rsidR="00C44D6A" w:rsidRPr="000B7D94" w:rsidRDefault="00C44D6A" w:rsidP="00C44D6A">
      <w:pPr>
        <w:pStyle w:val="FootnoteText"/>
        <w:rPr>
          <w:rFonts w:ascii="Arial" w:hAnsi="Arial" w:cs="Arial"/>
        </w:rPr>
      </w:pPr>
      <w:r w:rsidRPr="000B7D94">
        <w:rPr>
          <w:rStyle w:val="FootnoteReference"/>
          <w:rFonts w:ascii="Arial" w:hAnsi="Arial" w:cs="Arial"/>
        </w:rPr>
        <w:footnoteRef/>
      </w:r>
      <w:r w:rsidRPr="000B7D94">
        <w:rPr>
          <w:rFonts w:ascii="Arial" w:hAnsi="Arial" w:cs="Arial"/>
        </w:rPr>
        <w:t xml:space="preserve"> </w:t>
      </w:r>
      <w:r w:rsidR="00E5040C" w:rsidRPr="009F65B3">
        <w:rPr>
          <w:rFonts w:ascii="Arial" w:hAnsi="Arial" w:cs="Arial"/>
          <w:i/>
          <w:lang w:val="en-US"/>
        </w:rPr>
        <w:t>Steenkamp NO v Provi</w:t>
      </w:r>
      <w:r w:rsidR="00E5040C">
        <w:rPr>
          <w:rFonts w:ascii="Arial" w:hAnsi="Arial" w:cs="Arial"/>
          <w:i/>
          <w:lang w:val="en-US"/>
        </w:rPr>
        <w:t>nci</w:t>
      </w:r>
      <w:r w:rsidR="00E5040C" w:rsidRPr="009F65B3">
        <w:rPr>
          <w:rFonts w:ascii="Arial" w:hAnsi="Arial" w:cs="Arial"/>
          <w:i/>
          <w:lang w:val="en-US"/>
        </w:rPr>
        <w:t>al Tender Board, Eastern Cape</w:t>
      </w:r>
      <w:r w:rsidR="00E5040C" w:rsidRPr="000B7D94">
        <w:rPr>
          <w:rFonts w:ascii="Arial" w:hAnsi="Arial" w:cs="Arial"/>
        </w:rPr>
        <w:t xml:space="preserve"> </w:t>
      </w:r>
      <w:r w:rsidRPr="000B7D94">
        <w:rPr>
          <w:rFonts w:ascii="Arial" w:hAnsi="Arial" w:cs="Arial"/>
        </w:rPr>
        <w:t>2007</w:t>
      </w:r>
      <w:r w:rsidR="007709DE">
        <w:rPr>
          <w:rFonts w:ascii="Arial" w:hAnsi="Arial" w:cs="Arial"/>
        </w:rPr>
        <w:t xml:space="preserve"> </w:t>
      </w:r>
      <w:r w:rsidRPr="000B7D94">
        <w:rPr>
          <w:rFonts w:ascii="Arial" w:hAnsi="Arial" w:cs="Arial"/>
        </w:rPr>
        <w:t>(3) SA 121 (CC) para 29.</w:t>
      </w:r>
    </w:p>
  </w:footnote>
  <w:footnote w:id="8">
    <w:p w14:paraId="69659921" w14:textId="77777777" w:rsidR="00822201" w:rsidRPr="000B7D94" w:rsidRDefault="00822201">
      <w:pPr>
        <w:pStyle w:val="FootnoteText"/>
        <w:rPr>
          <w:rFonts w:ascii="Arial" w:hAnsi="Arial" w:cs="Arial"/>
        </w:rPr>
      </w:pPr>
      <w:r w:rsidRPr="000B7D94">
        <w:rPr>
          <w:rStyle w:val="FootnoteReference"/>
          <w:rFonts w:ascii="Arial" w:hAnsi="Arial" w:cs="Arial"/>
        </w:rPr>
        <w:footnoteRef/>
      </w:r>
      <w:r w:rsidRPr="000B7D94">
        <w:rPr>
          <w:rFonts w:ascii="Arial" w:hAnsi="Arial" w:cs="Arial"/>
        </w:rPr>
        <w:t xml:space="preserve"> </w:t>
      </w:r>
      <w:r w:rsidRPr="000B7D94">
        <w:rPr>
          <w:rFonts w:ascii="Arial" w:hAnsi="Arial" w:cs="Arial"/>
          <w:i/>
        </w:rPr>
        <w:t>CSC Neck</w:t>
      </w:r>
      <w:r w:rsidR="001A7110">
        <w:rPr>
          <w:rFonts w:ascii="Arial" w:hAnsi="Arial" w:cs="Arial"/>
          <w:i/>
        </w:rPr>
        <w:t>a</w:t>
      </w:r>
      <w:r w:rsidRPr="000B7D94">
        <w:rPr>
          <w:rFonts w:ascii="Arial" w:hAnsi="Arial" w:cs="Arial"/>
          <w:i/>
        </w:rPr>
        <w:t>rtal Dam Joint Venture v Tender Board</w:t>
      </w:r>
      <w:r w:rsidR="001A7110">
        <w:rPr>
          <w:rFonts w:ascii="Arial" w:hAnsi="Arial" w:cs="Arial"/>
          <w:i/>
        </w:rPr>
        <w:t xml:space="preserve"> of Namibia &amp; others</w:t>
      </w:r>
      <w:r w:rsidRPr="000B7D94">
        <w:rPr>
          <w:rFonts w:ascii="Arial" w:hAnsi="Arial" w:cs="Arial"/>
        </w:rPr>
        <w:t xml:space="preserve"> 2014 (1) NR 135 (HC) para 69.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56285918"/>
      <w:docPartObj>
        <w:docPartGallery w:val="Page Numbers (Top of Page)"/>
        <w:docPartUnique/>
      </w:docPartObj>
    </w:sdtPr>
    <w:sdtEndPr>
      <w:rPr>
        <w:noProof/>
      </w:rPr>
    </w:sdtEndPr>
    <w:sdtContent>
      <w:p w14:paraId="23023EB7" w14:textId="77777777" w:rsidR="00EE1815" w:rsidRPr="00111C5B" w:rsidRDefault="00EE1815">
        <w:pPr>
          <w:pStyle w:val="Header"/>
          <w:jc w:val="right"/>
          <w:rPr>
            <w:rFonts w:ascii="Arial" w:hAnsi="Arial" w:cs="Arial"/>
            <w:sz w:val="24"/>
            <w:szCs w:val="24"/>
          </w:rPr>
        </w:pPr>
        <w:r w:rsidRPr="00111C5B">
          <w:rPr>
            <w:rFonts w:ascii="Arial" w:hAnsi="Arial" w:cs="Arial"/>
            <w:sz w:val="24"/>
            <w:szCs w:val="24"/>
          </w:rPr>
          <w:fldChar w:fldCharType="begin"/>
        </w:r>
        <w:r w:rsidRPr="00111C5B">
          <w:rPr>
            <w:rFonts w:ascii="Arial" w:hAnsi="Arial" w:cs="Arial"/>
            <w:sz w:val="24"/>
            <w:szCs w:val="24"/>
          </w:rPr>
          <w:instrText xml:space="preserve"> PAGE   \* MERGEFORMAT </w:instrText>
        </w:r>
        <w:r w:rsidRPr="00111C5B">
          <w:rPr>
            <w:rFonts w:ascii="Arial" w:hAnsi="Arial" w:cs="Arial"/>
            <w:sz w:val="24"/>
            <w:szCs w:val="24"/>
          </w:rPr>
          <w:fldChar w:fldCharType="separate"/>
        </w:r>
        <w:r w:rsidR="00FD2F2A">
          <w:rPr>
            <w:rFonts w:ascii="Arial" w:hAnsi="Arial" w:cs="Arial"/>
            <w:noProof/>
            <w:sz w:val="24"/>
            <w:szCs w:val="24"/>
          </w:rPr>
          <w:t>5</w:t>
        </w:r>
        <w:r w:rsidRPr="00111C5B">
          <w:rPr>
            <w:rFonts w:ascii="Arial" w:hAnsi="Arial" w:cs="Arial"/>
            <w:noProof/>
            <w:sz w:val="24"/>
            <w:szCs w:val="24"/>
          </w:rPr>
          <w:fldChar w:fldCharType="end"/>
        </w:r>
      </w:p>
    </w:sdtContent>
  </w:sdt>
  <w:p w14:paraId="282CAC1A" w14:textId="77777777" w:rsidR="00EE1815" w:rsidRDefault="00EE1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FB4"/>
    <w:multiLevelType w:val="hybridMultilevel"/>
    <w:tmpl w:val="0B46CA26"/>
    <w:lvl w:ilvl="0" w:tplc="1FD0C492">
      <w:start w:val="1"/>
      <w:numFmt w:val="lowerLetter"/>
      <w:lvlText w:val="(%1)"/>
      <w:lvlJc w:val="left"/>
      <w:pPr>
        <w:ind w:left="1800" w:hanging="360"/>
      </w:pPr>
      <w:rPr>
        <w:rFonts w:ascii="Arial" w:hAnsi="Arial" w:cs="Arial" w:hint="default"/>
        <w:color w:val="auto"/>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09320506"/>
    <w:multiLevelType w:val="hybridMultilevel"/>
    <w:tmpl w:val="F84627B4"/>
    <w:lvl w:ilvl="0" w:tplc="7F50B27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A016A94"/>
    <w:multiLevelType w:val="hybridMultilevel"/>
    <w:tmpl w:val="57FE14F8"/>
    <w:lvl w:ilvl="0" w:tplc="FE42CA3E">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0B3B0E48"/>
    <w:multiLevelType w:val="hybridMultilevel"/>
    <w:tmpl w:val="444A40B6"/>
    <w:lvl w:ilvl="0" w:tplc="FE56C394">
      <w:start w:val="1"/>
      <w:numFmt w:val="lowerLetter"/>
      <w:lvlText w:val="(%1)"/>
      <w:lvlJc w:val="left"/>
      <w:pPr>
        <w:ind w:left="1080" w:hanging="360"/>
      </w:pPr>
      <w:rPr>
        <w:rFonts w:ascii="Arial" w:eastAsiaTheme="minorHAnsi" w:hAnsi="Arial" w:cs="Arial"/>
        <w:sz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0DEE1CE0"/>
    <w:multiLevelType w:val="hybridMultilevel"/>
    <w:tmpl w:val="22126AF2"/>
    <w:lvl w:ilvl="0" w:tplc="99967F9C">
      <w:start w:val="40"/>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7D57661"/>
    <w:multiLevelType w:val="hybridMultilevel"/>
    <w:tmpl w:val="662643AE"/>
    <w:lvl w:ilvl="0" w:tplc="D45C70D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9E4749C"/>
    <w:multiLevelType w:val="hybridMultilevel"/>
    <w:tmpl w:val="44141BAE"/>
    <w:lvl w:ilvl="0" w:tplc="B9BE3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A55B44"/>
    <w:multiLevelType w:val="hybridMultilevel"/>
    <w:tmpl w:val="34AE5114"/>
    <w:lvl w:ilvl="0" w:tplc="5D064A48">
      <w:start w:val="1"/>
      <w:numFmt w:val="decimal"/>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8" w15:restartNumberingAfterBreak="0">
    <w:nsid w:val="1CC9700F"/>
    <w:multiLevelType w:val="hybridMultilevel"/>
    <w:tmpl w:val="A9B05E10"/>
    <w:lvl w:ilvl="0" w:tplc="24EAA6F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DBE3CB0"/>
    <w:multiLevelType w:val="hybridMultilevel"/>
    <w:tmpl w:val="CB9C9500"/>
    <w:lvl w:ilvl="0" w:tplc="6A5E0AD4">
      <w:start w:val="1"/>
      <w:numFmt w:val="bullet"/>
      <w:lvlText w:val="-"/>
      <w:lvlJc w:val="left"/>
      <w:pPr>
        <w:ind w:left="1800" w:hanging="360"/>
      </w:pPr>
      <w:rPr>
        <w:rFonts w:ascii="Arial" w:eastAsia="Times New Roman" w:hAnsi="Arial" w:cs="Aria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0" w15:restartNumberingAfterBreak="0">
    <w:nsid w:val="1E501842"/>
    <w:multiLevelType w:val="multilevel"/>
    <w:tmpl w:val="BE7AD830"/>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1512DA"/>
    <w:multiLevelType w:val="hybridMultilevel"/>
    <w:tmpl w:val="34585C88"/>
    <w:lvl w:ilvl="0" w:tplc="81A87F54">
      <w:start w:val="10"/>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15:restartNumberingAfterBreak="0">
    <w:nsid w:val="1FBC2E70"/>
    <w:multiLevelType w:val="multilevel"/>
    <w:tmpl w:val="C1186552"/>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866AAA"/>
    <w:multiLevelType w:val="hybridMultilevel"/>
    <w:tmpl w:val="0BD43702"/>
    <w:lvl w:ilvl="0" w:tplc="EB2C76DA">
      <w:start w:val="1"/>
      <w:numFmt w:val="lowerLetter"/>
      <w:lvlText w:val="(%1)"/>
      <w:lvlJc w:val="left"/>
      <w:pPr>
        <w:ind w:left="1830" w:hanging="39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4" w15:restartNumberingAfterBreak="0">
    <w:nsid w:val="2AD61C6C"/>
    <w:multiLevelType w:val="hybridMultilevel"/>
    <w:tmpl w:val="79EE3B46"/>
    <w:lvl w:ilvl="0" w:tplc="5A3408D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2C905D9A"/>
    <w:multiLevelType w:val="hybridMultilevel"/>
    <w:tmpl w:val="86ACD420"/>
    <w:lvl w:ilvl="0" w:tplc="C6D097B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6" w15:restartNumberingAfterBreak="0">
    <w:nsid w:val="2CF45605"/>
    <w:multiLevelType w:val="hybridMultilevel"/>
    <w:tmpl w:val="8342D8AE"/>
    <w:lvl w:ilvl="0" w:tplc="CC96551C">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2F1D1A2C"/>
    <w:multiLevelType w:val="hybridMultilevel"/>
    <w:tmpl w:val="A216AE6C"/>
    <w:lvl w:ilvl="0" w:tplc="B568DCC2">
      <w:start w:val="40"/>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31C62FB9"/>
    <w:multiLevelType w:val="hybridMultilevel"/>
    <w:tmpl w:val="410E08EC"/>
    <w:lvl w:ilvl="0" w:tplc="B3C646B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32581D3E"/>
    <w:multiLevelType w:val="hybridMultilevel"/>
    <w:tmpl w:val="34FE5F26"/>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5826B0F"/>
    <w:multiLevelType w:val="multilevel"/>
    <w:tmpl w:val="F81AAAB4"/>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8427AD4"/>
    <w:multiLevelType w:val="multilevel"/>
    <w:tmpl w:val="E2BE50BA"/>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401B0F"/>
    <w:multiLevelType w:val="hybridMultilevel"/>
    <w:tmpl w:val="15F22816"/>
    <w:lvl w:ilvl="0" w:tplc="1C2AE5A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3E70056B"/>
    <w:multiLevelType w:val="hybridMultilevel"/>
    <w:tmpl w:val="F9B09FAE"/>
    <w:lvl w:ilvl="0" w:tplc="22544D2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4" w15:restartNumberingAfterBreak="0">
    <w:nsid w:val="4171545E"/>
    <w:multiLevelType w:val="hybridMultilevel"/>
    <w:tmpl w:val="B4523792"/>
    <w:lvl w:ilvl="0" w:tplc="4348735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445B134E"/>
    <w:multiLevelType w:val="hybridMultilevel"/>
    <w:tmpl w:val="BCA6BCE6"/>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B900D5C"/>
    <w:multiLevelType w:val="hybridMultilevel"/>
    <w:tmpl w:val="1AEE8044"/>
    <w:lvl w:ilvl="0" w:tplc="B5AE730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525F428A"/>
    <w:multiLevelType w:val="hybridMultilevel"/>
    <w:tmpl w:val="66BCA970"/>
    <w:lvl w:ilvl="0" w:tplc="28BC2032">
      <w:start w:val="1"/>
      <w:numFmt w:val="lowerRoman"/>
      <w:lvlText w:val="(%1)"/>
      <w:lvlJc w:val="left"/>
      <w:pPr>
        <w:ind w:left="1854" w:hanging="72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28" w15:restartNumberingAfterBreak="0">
    <w:nsid w:val="531C1F57"/>
    <w:multiLevelType w:val="hybridMultilevel"/>
    <w:tmpl w:val="3C5A954E"/>
    <w:lvl w:ilvl="0" w:tplc="03201F9E">
      <w:start w:val="28"/>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65C635B0"/>
    <w:multiLevelType w:val="hybridMultilevel"/>
    <w:tmpl w:val="A448F286"/>
    <w:lvl w:ilvl="0" w:tplc="D722BC5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15:restartNumberingAfterBreak="0">
    <w:nsid w:val="66BD350D"/>
    <w:multiLevelType w:val="hybridMultilevel"/>
    <w:tmpl w:val="B2DE8902"/>
    <w:lvl w:ilvl="0" w:tplc="0D2EE6F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6947122D"/>
    <w:multiLevelType w:val="hybridMultilevel"/>
    <w:tmpl w:val="6B8A23D6"/>
    <w:lvl w:ilvl="0" w:tplc="658C46BE">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69616B97"/>
    <w:multiLevelType w:val="hybridMultilevel"/>
    <w:tmpl w:val="AEBE3DF8"/>
    <w:lvl w:ilvl="0" w:tplc="E73A1D42">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FCC22E8"/>
    <w:multiLevelType w:val="hybridMultilevel"/>
    <w:tmpl w:val="AEACACAA"/>
    <w:lvl w:ilvl="0" w:tplc="7B468AA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15:restartNumberingAfterBreak="0">
    <w:nsid w:val="701D48CE"/>
    <w:multiLevelType w:val="hybridMultilevel"/>
    <w:tmpl w:val="0F881A50"/>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4AF3440"/>
    <w:multiLevelType w:val="multilevel"/>
    <w:tmpl w:val="8508EC60"/>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981D22"/>
    <w:multiLevelType w:val="hybridMultilevel"/>
    <w:tmpl w:val="AC6E95F0"/>
    <w:lvl w:ilvl="0" w:tplc="D4AEC8A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16cid:durableId="1779831056">
    <w:abstractNumId w:val="25"/>
  </w:num>
  <w:num w:numId="2" w16cid:durableId="431173597">
    <w:abstractNumId w:val="1"/>
  </w:num>
  <w:num w:numId="3" w16cid:durableId="1031154392">
    <w:abstractNumId w:val="18"/>
  </w:num>
  <w:num w:numId="4" w16cid:durableId="809908652">
    <w:abstractNumId w:val="22"/>
  </w:num>
  <w:num w:numId="5" w16cid:durableId="1508866892">
    <w:abstractNumId w:val="3"/>
  </w:num>
  <w:num w:numId="6" w16cid:durableId="728919377">
    <w:abstractNumId w:val="34"/>
  </w:num>
  <w:num w:numId="7" w16cid:durableId="1782913585">
    <w:abstractNumId w:val="29"/>
  </w:num>
  <w:num w:numId="8" w16cid:durableId="938946458">
    <w:abstractNumId w:val="27"/>
  </w:num>
  <w:num w:numId="9" w16cid:durableId="861624398">
    <w:abstractNumId w:val="7"/>
  </w:num>
  <w:num w:numId="10" w16cid:durableId="656497385">
    <w:abstractNumId w:val="19"/>
  </w:num>
  <w:num w:numId="11" w16cid:durableId="1837181497">
    <w:abstractNumId w:val="28"/>
  </w:num>
  <w:num w:numId="12" w16cid:durableId="1100486070">
    <w:abstractNumId w:val="5"/>
  </w:num>
  <w:num w:numId="13" w16cid:durableId="339476756">
    <w:abstractNumId w:val="33"/>
  </w:num>
  <w:num w:numId="14" w16cid:durableId="2132240797">
    <w:abstractNumId w:val="12"/>
  </w:num>
  <w:num w:numId="15" w16cid:durableId="2004311962">
    <w:abstractNumId w:val="14"/>
  </w:num>
  <w:num w:numId="16" w16cid:durableId="1375232243">
    <w:abstractNumId w:val="13"/>
  </w:num>
  <w:num w:numId="17" w16cid:durableId="1201285896">
    <w:abstractNumId w:val="6"/>
  </w:num>
  <w:num w:numId="18" w16cid:durableId="970985743">
    <w:abstractNumId w:val="4"/>
  </w:num>
  <w:num w:numId="19" w16cid:durableId="946691474">
    <w:abstractNumId w:val="17"/>
  </w:num>
  <w:num w:numId="20" w16cid:durableId="1641766260">
    <w:abstractNumId w:val="0"/>
  </w:num>
  <w:num w:numId="21" w16cid:durableId="361830472">
    <w:abstractNumId w:val="31"/>
  </w:num>
  <w:num w:numId="22" w16cid:durableId="564996757">
    <w:abstractNumId w:val="15"/>
  </w:num>
  <w:num w:numId="23" w16cid:durableId="905382070">
    <w:abstractNumId w:val="20"/>
  </w:num>
  <w:num w:numId="24" w16cid:durableId="221141183">
    <w:abstractNumId w:val="21"/>
  </w:num>
  <w:num w:numId="25" w16cid:durableId="1659459349">
    <w:abstractNumId w:val="10"/>
  </w:num>
  <w:num w:numId="26" w16cid:durableId="104275923">
    <w:abstractNumId w:val="11"/>
  </w:num>
  <w:num w:numId="27" w16cid:durableId="763914113">
    <w:abstractNumId w:val="30"/>
  </w:num>
  <w:num w:numId="28" w16cid:durableId="1648780264">
    <w:abstractNumId w:val="23"/>
  </w:num>
  <w:num w:numId="29" w16cid:durableId="1333724875">
    <w:abstractNumId w:val="9"/>
  </w:num>
  <w:num w:numId="30" w16cid:durableId="482818333">
    <w:abstractNumId w:val="35"/>
  </w:num>
  <w:num w:numId="31" w16cid:durableId="578905917">
    <w:abstractNumId w:val="8"/>
  </w:num>
  <w:num w:numId="32" w16cid:durableId="1364674642">
    <w:abstractNumId w:val="16"/>
  </w:num>
  <w:num w:numId="33" w16cid:durableId="1685864058">
    <w:abstractNumId w:val="26"/>
  </w:num>
  <w:num w:numId="34" w16cid:durableId="1394693724">
    <w:abstractNumId w:val="24"/>
  </w:num>
  <w:num w:numId="35" w16cid:durableId="434131076">
    <w:abstractNumId w:val="32"/>
  </w:num>
  <w:num w:numId="36" w16cid:durableId="1810707281">
    <w:abstractNumId w:val="36"/>
  </w:num>
  <w:num w:numId="37" w16cid:durableId="23975209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190"/>
    <w:rsid w:val="0000045D"/>
    <w:rsid w:val="00000DD8"/>
    <w:rsid w:val="00000E0B"/>
    <w:rsid w:val="000015F4"/>
    <w:rsid w:val="00001BAF"/>
    <w:rsid w:val="0000225F"/>
    <w:rsid w:val="0000237F"/>
    <w:rsid w:val="00004B0A"/>
    <w:rsid w:val="00004C4D"/>
    <w:rsid w:val="00004F3A"/>
    <w:rsid w:val="0000525D"/>
    <w:rsid w:val="00010CA6"/>
    <w:rsid w:val="00011B9E"/>
    <w:rsid w:val="00011EB9"/>
    <w:rsid w:val="00012D56"/>
    <w:rsid w:val="00012D59"/>
    <w:rsid w:val="00012FAA"/>
    <w:rsid w:val="00012FAE"/>
    <w:rsid w:val="0001341A"/>
    <w:rsid w:val="00013AB7"/>
    <w:rsid w:val="00016703"/>
    <w:rsid w:val="000177B8"/>
    <w:rsid w:val="00020736"/>
    <w:rsid w:val="000211B2"/>
    <w:rsid w:val="00021ECC"/>
    <w:rsid w:val="00022452"/>
    <w:rsid w:val="00022644"/>
    <w:rsid w:val="000231F7"/>
    <w:rsid w:val="000243A1"/>
    <w:rsid w:val="000256F8"/>
    <w:rsid w:val="00026DD5"/>
    <w:rsid w:val="0002744F"/>
    <w:rsid w:val="000276F0"/>
    <w:rsid w:val="0003023A"/>
    <w:rsid w:val="00030C69"/>
    <w:rsid w:val="00031EBA"/>
    <w:rsid w:val="00032648"/>
    <w:rsid w:val="00032DD2"/>
    <w:rsid w:val="00033256"/>
    <w:rsid w:val="00034227"/>
    <w:rsid w:val="00034839"/>
    <w:rsid w:val="00036241"/>
    <w:rsid w:val="000371A3"/>
    <w:rsid w:val="000400C4"/>
    <w:rsid w:val="00040AC4"/>
    <w:rsid w:val="00042A20"/>
    <w:rsid w:val="00042B3A"/>
    <w:rsid w:val="000433D8"/>
    <w:rsid w:val="00043713"/>
    <w:rsid w:val="00044717"/>
    <w:rsid w:val="00044AD2"/>
    <w:rsid w:val="00045931"/>
    <w:rsid w:val="000478EF"/>
    <w:rsid w:val="00050DFF"/>
    <w:rsid w:val="00052049"/>
    <w:rsid w:val="00052B8A"/>
    <w:rsid w:val="00055805"/>
    <w:rsid w:val="00055EEC"/>
    <w:rsid w:val="0005629E"/>
    <w:rsid w:val="00056C14"/>
    <w:rsid w:val="00057B7B"/>
    <w:rsid w:val="000610A3"/>
    <w:rsid w:val="00062308"/>
    <w:rsid w:val="000626CC"/>
    <w:rsid w:val="00064340"/>
    <w:rsid w:val="000643B5"/>
    <w:rsid w:val="00065459"/>
    <w:rsid w:val="00066723"/>
    <w:rsid w:val="00070506"/>
    <w:rsid w:val="0007080A"/>
    <w:rsid w:val="00071C15"/>
    <w:rsid w:val="00071EB4"/>
    <w:rsid w:val="00073046"/>
    <w:rsid w:val="00073B76"/>
    <w:rsid w:val="00073FC7"/>
    <w:rsid w:val="00074D92"/>
    <w:rsid w:val="00074FBE"/>
    <w:rsid w:val="000750F4"/>
    <w:rsid w:val="0007542D"/>
    <w:rsid w:val="00075678"/>
    <w:rsid w:val="00075ABD"/>
    <w:rsid w:val="00076790"/>
    <w:rsid w:val="00076931"/>
    <w:rsid w:val="00076F53"/>
    <w:rsid w:val="000778A2"/>
    <w:rsid w:val="00077B52"/>
    <w:rsid w:val="0008009C"/>
    <w:rsid w:val="00081A0D"/>
    <w:rsid w:val="0008263C"/>
    <w:rsid w:val="00083F04"/>
    <w:rsid w:val="000840CA"/>
    <w:rsid w:val="00084121"/>
    <w:rsid w:val="000852DF"/>
    <w:rsid w:val="00090142"/>
    <w:rsid w:val="000904F4"/>
    <w:rsid w:val="00090B47"/>
    <w:rsid w:val="000918CB"/>
    <w:rsid w:val="00092565"/>
    <w:rsid w:val="00092A31"/>
    <w:rsid w:val="00092D5D"/>
    <w:rsid w:val="00093D1E"/>
    <w:rsid w:val="00094C79"/>
    <w:rsid w:val="00095AB6"/>
    <w:rsid w:val="00096467"/>
    <w:rsid w:val="00096D67"/>
    <w:rsid w:val="000A0116"/>
    <w:rsid w:val="000A2F02"/>
    <w:rsid w:val="000A31F1"/>
    <w:rsid w:val="000A3C68"/>
    <w:rsid w:val="000A3CA0"/>
    <w:rsid w:val="000A3CE5"/>
    <w:rsid w:val="000A3F6B"/>
    <w:rsid w:val="000A4A51"/>
    <w:rsid w:val="000A4DEC"/>
    <w:rsid w:val="000A54B8"/>
    <w:rsid w:val="000B06C9"/>
    <w:rsid w:val="000B0A11"/>
    <w:rsid w:val="000B1CCA"/>
    <w:rsid w:val="000B2339"/>
    <w:rsid w:val="000B2CB4"/>
    <w:rsid w:val="000B303E"/>
    <w:rsid w:val="000B587E"/>
    <w:rsid w:val="000B5B95"/>
    <w:rsid w:val="000B6715"/>
    <w:rsid w:val="000B75AB"/>
    <w:rsid w:val="000B7D94"/>
    <w:rsid w:val="000C1257"/>
    <w:rsid w:val="000C1390"/>
    <w:rsid w:val="000C2A58"/>
    <w:rsid w:val="000C2D19"/>
    <w:rsid w:val="000C4126"/>
    <w:rsid w:val="000C4A34"/>
    <w:rsid w:val="000C4BFD"/>
    <w:rsid w:val="000C5AE6"/>
    <w:rsid w:val="000C5BE6"/>
    <w:rsid w:val="000C5C13"/>
    <w:rsid w:val="000D1ADC"/>
    <w:rsid w:val="000D1E08"/>
    <w:rsid w:val="000D1F3C"/>
    <w:rsid w:val="000D2762"/>
    <w:rsid w:val="000D3FA5"/>
    <w:rsid w:val="000E008B"/>
    <w:rsid w:val="000E0BFC"/>
    <w:rsid w:val="000E1C49"/>
    <w:rsid w:val="000E3DF0"/>
    <w:rsid w:val="000E4647"/>
    <w:rsid w:val="000E4E76"/>
    <w:rsid w:val="000E5305"/>
    <w:rsid w:val="000E6B27"/>
    <w:rsid w:val="000E6CCD"/>
    <w:rsid w:val="000E6D80"/>
    <w:rsid w:val="000F1A59"/>
    <w:rsid w:val="000F2629"/>
    <w:rsid w:val="000F27F1"/>
    <w:rsid w:val="000F34F8"/>
    <w:rsid w:val="000F3DA6"/>
    <w:rsid w:val="000F4BBD"/>
    <w:rsid w:val="000F4E2E"/>
    <w:rsid w:val="000F542F"/>
    <w:rsid w:val="000F613E"/>
    <w:rsid w:val="000F61A4"/>
    <w:rsid w:val="000F76DB"/>
    <w:rsid w:val="000F7D77"/>
    <w:rsid w:val="001016CF"/>
    <w:rsid w:val="00101FDB"/>
    <w:rsid w:val="0010254D"/>
    <w:rsid w:val="001028D6"/>
    <w:rsid w:val="001036DF"/>
    <w:rsid w:val="00104BAD"/>
    <w:rsid w:val="00105960"/>
    <w:rsid w:val="00105AAF"/>
    <w:rsid w:val="00107552"/>
    <w:rsid w:val="00111339"/>
    <w:rsid w:val="00111C5B"/>
    <w:rsid w:val="00112DA2"/>
    <w:rsid w:val="00112FE3"/>
    <w:rsid w:val="00114682"/>
    <w:rsid w:val="00114929"/>
    <w:rsid w:val="00115687"/>
    <w:rsid w:val="00115A1F"/>
    <w:rsid w:val="00117CE3"/>
    <w:rsid w:val="001201B4"/>
    <w:rsid w:val="00120911"/>
    <w:rsid w:val="00120F58"/>
    <w:rsid w:val="00121972"/>
    <w:rsid w:val="00122119"/>
    <w:rsid w:val="001222DE"/>
    <w:rsid w:val="001227DB"/>
    <w:rsid w:val="00123E2B"/>
    <w:rsid w:val="00124309"/>
    <w:rsid w:val="0012439B"/>
    <w:rsid w:val="00125DEC"/>
    <w:rsid w:val="00126312"/>
    <w:rsid w:val="00126A3A"/>
    <w:rsid w:val="00126E64"/>
    <w:rsid w:val="00126F0A"/>
    <w:rsid w:val="00127445"/>
    <w:rsid w:val="00127EAB"/>
    <w:rsid w:val="00130103"/>
    <w:rsid w:val="0013015A"/>
    <w:rsid w:val="001312A9"/>
    <w:rsid w:val="00132216"/>
    <w:rsid w:val="001327CE"/>
    <w:rsid w:val="00132A39"/>
    <w:rsid w:val="0013380E"/>
    <w:rsid w:val="00133B09"/>
    <w:rsid w:val="00135038"/>
    <w:rsid w:val="0013608D"/>
    <w:rsid w:val="001361CB"/>
    <w:rsid w:val="00136880"/>
    <w:rsid w:val="00140678"/>
    <w:rsid w:val="00140A9D"/>
    <w:rsid w:val="001423E7"/>
    <w:rsid w:val="0014303A"/>
    <w:rsid w:val="0014338B"/>
    <w:rsid w:val="00144DDF"/>
    <w:rsid w:val="001450C8"/>
    <w:rsid w:val="00147ACF"/>
    <w:rsid w:val="0015020C"/>
    <w:rsid w:val="0015083E"/>
    <w:rsid w:val="00151CCB"/>
    <w:rsid w:val="00151FFA"/>
    <w:rsid w:val="001522FE"/>
    <w:rsid w:val="001524C3"/>
    <w:rsid w:val="00153F19"/>
    <w:rsid w:val="00154104"/>
    <w:rsid w:val="001558CA"/>
    <w:rsid w:val="001559C5"/>
    <w:rsid w:val="0015782D"/>
    <w:rsid w:val="001578CD"/>
    <w:rsid w:val="001617C5"/>
    <w:rsid w:val="001617F5"/>
    <w:rsid w:val="00161A8D"/>
    <w:rsid w:val="00161C35"/>
    <w:rsid w:val="001624CF"/>
    <w:rsid w:val="001634AF"/>
    <w:rsid w:val="00163660"/>
    <w:rsid w:val="00164734"/>
    <w:rsid w:val="001657DE"/>
    <w:rsid w:val="00166793"/>
    <w:rsid w:val="00167F33"/>
    <w:rsid w:val="0017081A"/>
    <w:rsid w:val="0017115B"/>
    <w:rsid w:val="00171B66"/>
    <w:rsid w:val="00171BA2"/>
    <w:rsid w:val="00171C8E"/>
    <w:rsid w:val="00173532"/>
    <w:rsid w:val="00173C9B"/>
    <w:rsid w:val="001753A1"/>
    <w:rsid w:val="00177F27"/>
    <w:rsid w:val="00180CE0"/>
    <w:rsid w:val="001819C6"/>
    <w:rsid w:val="00182B59"/>
    <w:rsid w:val="001838C9"/>
    <w:rsid w:val="00183FB8"/>
    <w:rsid w:val="00184D66"/>
    <w:rsid w:val="00184FF6"/>
    <w:rsid w:val="00185996"/>
    <w:rsid w:val="00186BB3"/>
    <w:rsid w:val="001873C6"/>
    <w:rsid w:val="00187694"/>
    <w:rsid w:val="00187DCA"/>
    <w:rsid w:val="00190F70"/>
    <w:rsid w:val="00192135"/>
    <w:rsid w:val="00192C22"/>
    <w:rsid w:val="001934F2"/>
    <w:rsid w:val="00193723"/>
    <w:rsid w:val="00193825"/>
    <w:rsid w:val="00194002"/>
    <w:rsid w:val="00194D51"/>
    <w:rsid w:val="001957EE"/>
    <w:rsid w:val="00196E77"/>
    <w:rsid w:val="00197EC7"/>
    <w:rsid w:val="001A0E25"/>
    <w:rsid w:val="001A2B18"/>
    <w:rsid w:val="001A2F2F"/>
    <w:rsid w:val="001A3D9C"/>
    <w:rsid w:val="001A4A99"/>
    <w:rsid w:val="001A582C"/>
    <w:rsid w:val="001A5A11"/>
    <w:rsid w:val="001A666A"/>
    <w:rsid w:val="001A6B0E"/>
    <w:rsid w:val="001A7110"/>
    <w:rsid w:val="001A77B8"/>
    <w:rsid w:val="001A7909"/>
    <w:rsid w:val="001B292E"/>
    <w:rsid w:val="001B2A1F"/>
    <w:rsid w:val="001B3F6D"/>
    <w:rsid w:val="001B4200"/>
    <w:rsid w:val="001B4618"/>
    <w:rsid w:val="001B61E6"/>
    <w:rsid w:val="001B6E1A"/>
    <w:rsid w:val="001B7086"/>
    <w:rsid w:val="001B762F"/>
    <w:rsid w:val="001C1FD2"/>
    <w:rsid w:val="001C25C8"/>
    <w:rsid w:val="001C25CA"/>
    <w:rsid w:val="001C2720"/>
    <w:rsid w:val="001C3271"/>
    <w:rsid w:val="001C518C"/>
    <w:rsid w:val="001C558D"/>
    <w:rsid w:val="001C5939"/>
    <w:rsid w:val="001C6E80"/>
    <w:rsid w:val="001C735C"/>
    <w:rsid w:val="001C73CA"/>
    <w:rsid w:val="001C7422"/>
    <w:rsid w:val="001C7DF6"/>
    <w:rsid w:val="001D0178"/>
    <w:rsid w:val="001D0810"/>
    <w:rsid w:val="001D08D7"/>
    <w:rsid w:val="001D281C"/>
    <w:rsid w:val="001D3506"/>
    <w:rsid w:val="001D4398"/>
    <w:rsid w:val="001D4856"/>
    <w:rsid w:val="001D4EB4"/>
    <w:rsid w:val="001D54FB"/>
    <w:rsid w:val="001D58BA"/>
    <w:rsid w:val="001D608A"/>
    <w:rsid w:val="001D636E"/>
    <w:rsid w:val="001E18DF"/>
    <w:rsid w:val="001E299E"/>
    <w:rsid w:val="001E3888"/>
    <w:rsid w:val="001E44D9"/>
    <w:rsid w:val="001E4C77"/>
    <w:rsid w:val="001F004F"/>
    <w:rsid w:val="001F06C4"/>
    <w:rsid w:val="001F1589"/>
    <w:rsid w:val="001F4CB8"/>
    <w:rsid w:val="001F4D44"/>
    <w:rsid w:val="001F634C"/>
    <w:rsid w:val="001F7942"/>
    <w:rsid w:val="0020220F"/>
    <w:rsid w:val="0020312C"/>
    <w:rsid w:val="002037AE"/>
    <w:rsid w:val="0020572A"/>
    <w:rsid w:val="00206744"/>
    <w:rsid w:val="002070CF"/>
    <w:rsid w:val="00207296"/>
    <w:rsid w:val="002078F3"/>
    <w:rsid w:val="00207960"/>
    <w:rsid w:val="00207D05"/>
    <w:rsid w:val="0021141E"/>
    <w:rsid w:val="0021448D"/>
    <w:rsid w:val="00215D8F"/>
    <w:rsid w:val="00217F0E"/>
    <w:rsid w:val="002212AD"/>
    <w:rsid w:val="00221469"/>
    <w:rsid w:val="00221E41"/>
    <w:rsid w:val="00223D58"/>
    <w:rsid w:val="002245DA"/>
    <w:rsid w:val="00224757"/>
    <w:rsid w:val="00226EB6"/>
    <w:rsid w:val="00230B7C"/>
    <w:rsid w:val="002314E5"/>
    <w:rsid w:val="002317A5"/>
    <w:rsid w:val="0023277C"/>
    <w:rsid w:val="00232C78"/>
    <w:rsid w:val="002337F7"/>
    <w:rsid w:val="0023393F"/>
    <w:rsid w:val="00235497"/>
    <w:rsid w:val="00235E57"/>
    <w:rsid w:val="00236C2D"/>
    <w:rsid w:val="0023748C"/>
    <w:rsid w:val="002376ED"/>
    <w:rsid w:val="00241075"/>
    <w:rsid w:val="00243CB0"/>
    <w:rsid w:val="002441F9"/>
    <w:rsid w:val="002444CD"/>
    <w:rsid w:val="00244664"/>
    <w:rsid w:val="002447B6"/>
    <w:rsid w:val="00244C1F"/>
    <w:rsid w:val="002457A4"/>
    <w:rsid w:val="002457C7"/>
    <w:rsid w:val="00246463"/>
    <w:rsid w:val="0024749F"/>
    <w:rsid w:val="00250021"/>
    <w:rsid w:val="002506FC"/>
    <w:rsid w:val="00250B14"/>
    <w:rsid w:val="00251412"/>
    <w:rsid w:val="00254650"/>
    <w:rsid w:val="00255345"/>
    <w:rsid w:val="00255819"/>
    <w:rsid w:val="00260C62"/>
    <w:rsid w:val="00262874"/>
    <w:rsid w:val="00262EF8"/>
    <w:rsid w:val="0026340F"/>
    <w:rsid w:val="00263481"/>
    <w:rsid w:val="00263B18"/>
    <w:rsid w:val="002647B9"/>
    <w:rsid w:val="002658ED"/>
    <w:rsid w:val="0026596B"/>
    <w:rsid w:val="00265CF9"/>
    <w:rsid w:val="002662E3"/>
    <w:rsid w:val="00266E2B"/>
    <w:rsid w:val="002735A2"/>
    <w:rsid w:val="002739F8"/>
    <w:rsid w:val="00273EE9"/>
    <w:rsid w:val="00274F4E"/>
    <w:rsid w:val="002755A3"/>
    <w:rsid w:val="002772FF"/>
    <w:rsid w:val="002776CB"/>
    <w:rsid w:val="002819AA"/>
    <w:rsid w:val="00281B9E"/>
    <w:rsid w:val="00282EC4"/>
    <w:rsid w:val="002834C1"/>
    <w:rsid w:val="002834E8"/>
    <w:rsid w:val="002855CF"/>
    <w:rsid w:val="00285C4B"/>
    <w:rsid w:val="00286029"/>
    <w:rsid w:val="00286AA3"/>
    <w:rsid w:val="00286F17"/>
    <w:rsid w:val="00290EE3"/>
    <w:rsid w:val="002912B9"/>
    <w:rsid w:val="00291462"/>
    <w:rsid w:val="00291754"/>
    <w:rsid w:val="00291956"/>
    <w:rsid w:val="00291B16"/>
    <w:rsid w:val="002926C9"/>
    <w:rsid w:val="002933AF"/>
    <w:rsid w:val="00294302"/>
    <w:rsid w:val="00294AD2"/>
    <w:rsid w:val="0029556C"/>
    <w:rsid w:val="00295AE2"/>
    <w:rsid w:val="00296238"/>
    <w:rsid w:val="0029704F"/>
    <w:rsid w:val="002A24E5"/>
    <w:rsid w:val="002A2B1E"/>
    <w:rsid w:val="002A2B5C"/>
    <w:rsid w:val="002A4C01"/>
    <w:rsid w:val="002A6E22"/>
    <w:rsid w:val="002B0CAC"/>
    <w:rsid w:val="002B1CE3"/>
    <w:rsid w:val="002B2412"/>
    <w:rsid w:val="002B2DA3"/>
    <w:rsid w:val="002B3B7D"/>
    <w:rsid w:val="002B4384"/>
    <w:rsid w:val="002B5CF1"/>
    <w:rsid w:val="002B64F5"/>
    <w:rsid w:val="002B6F2A"/>
    <w:rsid w:val="002C0142"/>
    <w:rsid w:val="002C01E0"/>
    <w:rsid w:val="002C0FC3"/>
    <w:rsid w:val="002C0FF2"/>
    <w:rsid w:val="002C1199"/>
    <w:rsid w:val="002C1633"/>
    <w:rsid w:val="002C1AD2"/>
    <w:rsid w:val="002C2CDC"/>
    <w:rsid w:val="002C3E6D"/>
    <w:rsid w:val="002C568C"/>
    <w:rsid w:val="002C758D"/>
    <w:rsid w:val="002D193F"/>
    <w:rsid w:val="002D1B71"/>
    <w:rsid w:val="002D1D8D"/>
    <w:rsid w:val="002D1E38"/>
    <w:rsid w:val="002D1F1E"/>
    <w:rsid w:val="002D39D6"/>
    <w:rsid w:val="002D482E"/>
    <w:rsid w:val="002D4EE0"/>
    <w:rsid w:val="002D5C8C"/>
    <w:rsid w:val="002D5D6D"/>
    <w:rsid w:val="002D60C7"/>
    <w:rsid w:val="002E02FB"/>
    <w:rsid w:val="002E2321"/>
    <w:rsid w:val="002E2625"/>
    <w:rsid w:val="002E3346"/>
    <w:rsid w:val="002E426A"/>
    <w:rsid w:val="002E43C6"/>
    <w:rsid w:val="002E4E6A"/>
    <w:rsid w:val="002E61F7"/>
    <w:rsid w:val="002E635B"/>
    <w:rsid w:val="002E6554"/>
    <w:rsid w:val="002E708E"/>
    <w:rsid w:val="002E74E4"/>
    <w:rsid w:val="002F12B3"/>
    <w:rsid w:val="002F1E29"/>
    <w:rsid w:val="002F27EF"/>
    <w:rsid w:val="002F3401"/>
    <w:rsid w:val="002F43DF"/>
    <w:rsid w:val="002F4498"/>
    <w:rsid w:val="002F4F51"/>
    <w:rsid w:val="002F52F9"/>
    <w:rsid w:val="002F6451"/>
    <w:rsid w:val="002F6AE9"/>
    <w:rsid w:val="002F782F"/>
    <w:rsid w:val="002F7D7C"/>
    <w:rsid w:val="0030014D"/>
    <w:rsid w:val="00300CD3"/>
    <w:rsid w:val="0030303D"/>
    <w:rsid w:val="003039EF"/>
    <w:rsid w:val="003042AF"/>
    <w:rsid w:val="003046F4"/>
    <w:rsid w:val="00305FE9"/>
    <w:rsid w:val="00306347"/>
    <w:rsid w:val="00306CA5"/>
    <w:rsid w:val="0030702B"/>
    <w:rsid w:val="0030737F"/>
    <w:rsid w:val="0030744C"/>
    <w:rsid w:val="0030775E"/>
    <w:rsid w:val="003107F9"/>
    <w:rsid w:val="00310940"/>
    <w:rsid w:val="00310A94"/>
    <w:rsid w:val="00311545"/>
    <w:rsid w:val="00312262"/>
    <w:rsid w:val="003122F6"/>
    <w:rsid w:val="00312E11"/>
    <w:rsid w:val="003164FF"/>
    <w:rsid w:val="00317522"/>
    <w:rsid w:val="003212CE"/>
    <w:rsid w:val="0032135C"/>
    <w:rsid w:val="0032148F"/>
    <w:rsid w:val="00321ED1"/>
    <w:rsid w:val="00324725"/>
    <w:rsid w:val="0032579A"/>
    <w:rsid w:val="003276F9"/>
    <w:rsid w:val="00331533"/>
    <w:rsid w:val="00333E58"/>
    <w:rsid w:val="003346AE"/>
    <w:rsid w:val="0033772A"/>
    <w:rsid w:val="00337BE9"/>
    <w:rsid w:val="00342796"/>
    <w:rsid w:val="00344666"/>
    <w:rsid w:val="00345992"/>
    <w:rsid w:val="00345A8F"/>
    <w:rsid w:val="00346C25"/>
    <w:rsid w:val="00346D7E"/>
    <w:rsid w:val="00350638"/>
    <w:rsid w:val="00351B14"/>
    <w:rsid w:val="00351E20"/>
    <w:rsid w:val="00352985"/>
    <w:rsid w:val="00353481"/>
    <w:rsid w:val="003541B2"/>
    <w:rsid w:val="003551AC"/>
    <w:rsid w:val="00357C85"/>
    <w:rsid w:val="003619CC"/>
    <w:rsid w:val="00361E96"/>
    <w:rsid w:val="00361EFB"/>
    <w:rsid w:val="0036220D"/>
    <w:rsid w:val="00362560"/>
    <w:rsid w:val="00363974"/>
    <w:rsid w:val="00366640"/>
    <w:rsid w:val="00370025"/>
    <w:rsid w:val="00373028"/>
    <w:rsid w:val="003745AA"/>
    <w:rsid w:val="0037600C"/>
    <w:rsid w:val="0037609A"/>
    <w:rsid w:val="0037620D"/>
    <w:rsid w:val="00376A9F"/>
    <w:rsid w:val="00377DB7"/>
    <w:rsid w:val="003801E5"/>
    <w:rsid w:val="00381349"/>
    <w:rsid w:val="00381678"/>
    <w:rsid w:val="00384FD6"/>
    <w:rsid w:val="003863FC"/>
    <w:rsid w:val="003879E0"/>
    <w:rsid w:val="00387C5E"/>
    <w:rsid w:val="00387E33"/>
    <w:rsid w:val="003910DA"/>
    <w:rsid w:val="00392539"/>
    <w:rsid w:val="00393708"/>
    <w:rsid w:val="00395B99"/>
    <w:rsid w:val="00396B62"/>
    <w:rsid w:val="003A0DCC"/>
    <w:rsid w:val="003A1C08"/>
    <w:rsid w:val="003A1DAC"/>
    <w:rsid w:val="003A2101"/>
    <w:rsid w:val="003A31DE"/>
    <w:rsid w:val="003A3301"/>
    <w:rsid w:val="003A3A22"/>
    <w:rsid w:val="003A409D"/>
    <w:rsid w:val="003A4CE3"/>
    <w:rsid w:val="003A5B4A"/>
    <w:rsid w:val="003A6287"/>
    <w:rsid w:val="003A6F0F"/>
    <w:rsid w:val="003A78BA"/>
    <w:rsid w:val="003A7A44"/>
    <w:rsid w:val="003A7AE3"/>
    <w:rsid w:val="003A7F91"/>
    <w:rsid w:val="003B0665"/>
    <w:rsid w:val="003B14FE"/>
    <w:rsid w:val="003B1AAE"/>
    <w:rsid w:val="003B2957"/>
    <w:rsid w:val="003B3FCB"/>
    <w:rsid w:val="003B5B36"/>
    <w:rsid w:val="003B72EC"/>
    <w:rsid w:val="003B782C"/>
    <w:rsid w:val="003B7CB7"/>
    <w:rsid w:val="003C231E"/>
    <w:rsid w:val="003C266A"/>
    <w:rsid w:val="003C276A"/>
    <w:rsid w:val="003C3011"/>
    <w:rsid w:val="003C4379"/>
    <w:rsid w:val="003C4C67"/>
    <w:rsid w:val="003C4F16"/>
    <w:rsid w:val="003D02CE"/>
    <w:rsid w:val="003D0BA5"/>
    <w:rsid w:val="003D0CE6"/>
    <w:rsid w:val="003D220B"/>
    <w:rsid w:val="003D2579"/>
    <w:rsid w:val="003D4A07"/>
    <w:rsid w:val="003D4B94"/>
    <w:rsid w:val="003D6A9C"/>
    <w:rsid w:val="003D6C13"/>
    <w:rsid w:val="003D7216"/>
    <w:rsid w:val="003D7AB6"/>
    <w:rsid w:val="003E029D"/>
    <w:rsid w:val="003E1056"/>
    <w:rsid w:val="003E289D"/>
    <w:rsid w:val="003E2DB6"/>
    <w:rsid w:val="003E322E"/>
    <w:rsid w:val="003E34C8"/>
    <w:rsid w:val="003E42B8"/>
    <w:rsid w:val="003E46F3"/>
    <w:rsid w:val="003E51AD"/>
    <w:rsid w:val="003E63D1"/>
    <w:rsid w:val="003E77F5"/>
    <w:rsid w:val="003E7F28"/>
    <w:rsid w:val="003F0E71"/>
    <w:rsid w:val="003F0F43"/>
    <w:rsid w:val="003F1463"/>
    <w:rsid w:val="003F2001"/>
    <w:rsid w:val="003F2E63"/>
    <w:rsid w:val="003F3800"/>
    <w:rsid w:val="003F5965"/>
    <w:rsid w:val="003F5E62"/>
    <w:rsid w:val="003F703F"/>
    <w:rsid w:val="00400FC6"/>
    <w:rsid w:val="00401E74"/>
    <w:rsid w:val="004023CC"/>
    <w:rsid w:val="004058AB"/>
    <w:rsid w:val="004063AF"/>
    <w:rsid w:val="00406608"/>
    <w:rsid w:val="00406998"/>
    <w:rsid w:val="00406D6A"/>
    <w:rsid w:val="00407728"/>
    <w:rsid w:val="004107D3"/>
    <w:rsid w:val="00411005"/>
    <w:rsid w:val="004124E9"/>
    <w:rsid w:val="00412D99"/>
    <w:rsid w:val="00413FB2"/>
    <w:rsid w:val="0041448F"/>
    <w:rsid w:val="00414C3B"/>
    <w:rsid w:val="004154C8"/>
    <w:rsid w:val="004158ED"/>
    <w:rsid w:val="0041592B"/>
    <w:rsid w:val="004165C2"/>
    <w:rsid w:val="00416D26"/>
    <w:rsid w:val="00416EF2"/>
    <w:rsid w:val="00417876"/>
    <w:rsid w:val="00417945"/>
    <w:rsid w:val="00417BF1"/>
    <w:rsid w:val="00417E8D"/>
    <w:rsid w:val="004211CC"/>
    <w:rsid w:val="004215C2"/>
    <w:rsid w:val="00422686"/>
    <w:rsid w:val="00424142"/>
    <w:rsid w:val="00424E43"/>
    <w:rsid w:val="00426E26"/>
    <w:rsid w:val="00427400"/>
    <w:rsid w:val="00427EB2"/>
    <w:rsid w:val="00430321"/>
    <w:rsid w:val="00431601"/>
    <w:rsid w:val="00431D54"/>
    <w:rsid w:val="00432E79"/>
    <w:rsid w:val="0043337A"/>
    <w:rsid w:val="004361E6"/>
    <w:rsid w:val="00436AEB"/>
    <w:rsid w:val="00437C60"/>
    <w:rsid w:val="004413BD"/>
    <w:rsid w:val="004425FC"/>
    <w:rsid w:val="0044469D"/>
    <w:rsid w:val="00444C0F"/>
    <w:rsid w:val="004457C5"/>
    <w:rsid w:val="0044735D"/>
    <w:rsid w:val="0044790E"/>
    <w:rsid w:val="00450915"/>
    <w:rsid w:val="00451609"/>
    <w:rsid w:val="004538E7"/>
    <w:rsid w:val="00454A63"/>
    <w:rsid w:val="00454EC2"/>
    <w:rsid w:val="00455D55"/>
    <w:rsid w:val="004569B7"/>
    <w:rsid w:val="00456D8B"/>
    <w:rsid w:val="004577FF"/>
    <w:rsid w:val="00457F24"/>
    <w:rsid w:val="00460395"/>
    <w:rsid w:val="00461198"/>
    <w:rsid w:val="004616CD"/>
    <w:rsid w:val="00461B37"/>
    <w:rsid w:val="00464AAA"/>
    <w:rsid w:val="004679C9"/>
    <w:rsid w:val="00470864"/>
    <w:rsid w:val="00472884"/>
    <w:rsid w:val="00472E19"/>
    <w:rsid w:val="004731A7"/>
    <w:rsid w:val="004732FD"/>
    <w:rsid w:val="004738B5"/>
    <w:rsid w:val="00474C17"/>
    <w:rsid w:val="0047500B"/>
    <w:rsid w:val="00475114"/>
    <w:rsid w:val="00475CBE"/>
    <w:rsid w:val="00475F4A"/>
    <w:rsid w:val="00476925"/>
    <w:rsid w:val="004774C0"/>
    <w:rsid w:val="00480154"/>
    <w:rsid w:val="00480C4E"/>
    <w:rsid w:val="00480EE7"/>
    <w:rsid w:val="00481680"/>
    <w:rsid w:val="00483F40"/>
    <w:rsid w:val="00484951"/>
    <w:rsid w:val="0048547E"/>
    <w:rsid w:val="004856BA"/>
    <w:rsid w:val="00485805"/>
    <w:rsid w:val="0048592A"/>
    <w:rsid w:val="00485BB6"/>
    <w:rsid w:val="004921A4"/>
    <w:rsid w:val="00492B12"/>
    <w:rsid w:val="004930FD"/>
    <w:rsid w:val="00493B5A"/>
    <w:rsid w:val="00494F8E"/>
    <w:rsid w:val="00497826"/>
    <w:rsid w:val="00497D6A"/>
    <w:rsid w:val="00497DB0"/>
    <w:rsid w:val="004A1652"/>
    <w:rsid w:val="004A2184"/>
    <w:rsid w:val="004A2463"/>
    <w:rsid w:val="004A37E5"/>
    <w:rsid w:val="004A4108"/>
    <w:rsid w:val="004A4875"/>
    <w:rsid w:val="004A4E9A"/>
    <w:rsid w:val="004A5EC5"/>
    <w:rsid w:val="004A5FD0"/>
    <w:rsid w:val="004A60BA"/>
    <w:rsid w:val="004A64D1"/>
    <w:rsid w:val="004A66B9"/>
    <w:rsid w:val="004A6AC9"/>
    <w:rsid w:val="004A7883"/>
    <w:rsid w:val="004B07A4"/>
    <w:rsid w:val="004B1588"/>
    <w:rsid w:val="004B161D"/>
    <w:rsid w:val="004B2A56"/>
    <w:rsid w:val="004B2A80"/>
    <w:rsid w:val="004B31D9"/>
    <w:rsid w:val="004B4AEE"/>
    <w:rsid w:val="004B5483"/>
    <w:rsid w:val="004B584B"/>
    <w:rsid w:val="004B6477"/>
    <w:rsid w:val="004B6913"/>
    <w:rsid w:val="004B6BA4"/>
    <w:rsid w:val="004C0031"/>
    <w:rsid w:val="004C0E0B"/>
    <w:rsid w:val="004C0E72"/>
    <w:rsid w:val="004C4D6B"/>
    <w:rsid w:val="004C50CB"/>
    <w:rsid w:val="004C5D78"/>
    <w:rsid w:val="004C68EF"/>
    <w:rsid w:val="004C773A"/>
    <w:rsid w:val="004D023F"/>
    <w:rsid w:val="004D1969"/>
    <w:rsid w:val="004D221F"/>
    <w:rsid w:val="004D5917"/>
    <w:rsid w:val="004D60BF"/>
    <w:rsid w:val="004D77F2"/>
    <w:rsid w:val="004E00F9"/>
    <w:rsid w:val="004E0F45"/>
    <w:rsid w:val="004E198A"/>
    <w:rsid w:val="004E1BBD"/>
    <w:rsid w:val="004E21E1"/>
    <w:rsid w:val="004E232B"/>
    <w:rsid w:val="004E24F0"/>
    <w:rsid w:val="004E2834"/>
    <w:rsid w:val="004E2A24"/>
    <w:rsid w:val="004E34E5"/>
    <w:rsid w:val="004E3EBC"/>
    <w:rsid w:val="004E503B"/>
    <w:rsid w:val="004E69C6"/>
    <w:rsid w:val="004E6C81"/>
    <w:rsid w:val="004E6D91"/>
    <w:rsid w:val="004E7000"/>
    <w:rsid w:val="004F05C3"/>
    <w:rsid w:val="004F0B37"/>
    <w:rsid w:val="004F0C0D"/>
    <w:rsid w:val="004F15DB"/>
    <w:rsid w:val="004F2F0E"/>
    <w:rsid w:val="004F303A"/>
    <w:rsid w:val="004F41EF"/>
    <w:rsid w:val="004F44AA"/>
    <w:rsid w:val="004F5128"/>
    <w:rsid w:val="004F5883"/>
    <w:rsid w:val="004F7484"/>
    <w:rsid w:val="004F7B5B"/>
    <w:rsid w:val="004F7C60"/>
    <w:rsid w:val="004F7C7C"/>
    <w:rsid w:val="00501505"/>
    <w:rsid w:val="00503269"/>
    <w:rsid w:val="00504C6E"/>
    <w:rsid w:val="005050C6"/>
    <w:rsid w:val="0050541A"/>
    <w:rsid w:val="00505C05"/>
    <w:rsid w:val="00506827"/>
    <w:rsid w:val="00510B8B"/>
    <w:rsid w:val="00511905"/>
    <w:rsid w:val="00512A29"/>
    <w:rsid w:val="00512CAD"/>
    <w:rsid w:val="00513468"/>
    <w:rsid w:val="005157B4"/>
    <w:rsid w:val="005168D5"/>
    <w:rsid w:val="00516D2E"/>
    <w:rsid w:val="00516EBB"/>
    <w:rsid w:val="005171C3"/>
    <w:rsid w:val="0051747D"/>
    <w:rsid w:val="00517EF4"/>
    <w:rsid w:val="00521FA4"/>
    <w:rsid w:val="005221AF"/>
    <w:rsid w:val="00523018"/>
    <w:rsid w:val="00523919"/>
    <w:rsid w:val="00524ED7"/>
    <w:rsid w:val="00525451"/>
    <w:rsid w:val="00525868"/>
    <w:rsid w:val="005301B6"/>
    <w:rsid w:val="0053062B"/>
    <w:rsid w:val="0053087E"/>
    <w:rsid w:val="00530881"/>
    <w:rsid w:val="005318B8"/>
    <w:rsid w:val="00532A3A"/>
    <w:rsid w:val="00532C17"/>
    <w:rsid w:val="00532D93"/>
    <w:rsid w:val="00534547"/>
    <w:rsid w:val="005356B1"/>
    <w:rsid w:val="0053623E"/>
    <w:rsid w:val="00536A02"/>
    <w:rsid w:val="0053728D"/>
    <w:rsid w:val="0053799E"/>
    <w:rsid w:val="00537C77"/>
    <w:rsid w:val="00537DA8"/>
    <w:rsid w:val="00537DDD"/>
    <w:rsid w:val="00540752"/>
    <w:rsid w:val="0055044E"/>
    <w:rsid w:val="00550DE2"/>
    <w:rsid w:val="00551CFA"/>
    <w:rsid w:val="0055212E"/>
    <w:rsid w:val="00552F23"/>
    <w:rsid w:val="00552F70"/>
    <w:rsid w:val="00553821"/>
    <w:rsid w:val="00553981"/>
    <w:rsid w:val="00554367"/>
    <w:rsid w:val="00554FF4"/>
    <w:rsid w:val="00556075"/>
    <w:rsid w:val="00556367"/>
    <w:rsid w:val="00556D82"/>
    <w:rsid w:val="00557D6C"/>
    <w:rsid w:val="0056063B"/>
    <w:rsid w:val="005616AE"/>
    <w:rsid w:val="005617D0"/>
    <w:rsid w:val="0056201A"/>
    <w:rsid w:val="00562666"/>
    <w:rsid w:val="00562E0B"/>
    <w:rsid w:val="0056363B"/>
    <w:rsid w:val="00563855"/>
    <w:rsid w:val="00564BE6"/>
    <w:rsid w:val="005653A5"/>
    <w:rsid w:val="00565F88"/>
    <w:rsid w:val="0057104F"/>
    <w:rsid w:val="005717E1"/>
    <w:rsid w:val="00571EB3"/>
    <w:rsid w:val="00573289"/>
    <w:rsid w:val="00573E12"/>
    <w:rsid w:val="00575573"/>
    <w:rsid w:val="00575CEE"/>
    <w:rsid w:val="00576598"/>
    <w:rsid w:val="00581303"/>
    <w:rsid w:val="00581EA3"/>
    <w:rsid w:val="005820A9"/>
    <w:rsid w:val="005821BB"/>
    <w:rsid w:val="00582D9F"/>
    <w:rsid w:val="0058413C"/>
    <w:rsid w:val="00584213"/>
    <w:rsid w:val="00584D15"/>
    <w:rsid w:val="005850D0"/>
    <w:rsid w:val="00585292"/>
    <w:rsid w:val="00587010"/>
    <w:rsid w:val="00592466"/>
    <w:rsid w:val="0059472F"/>
    <w:rsid w:val="00594EA3"/>
    <w:rsid w:val="005A0E6E"/>
    <w:rsid w:val="005A2269"/>
    <w:rsid w:val="005A3F59"/>
    <w:rsid w:val="005A531E"/>
    <w:rsid w:val="005A54C9"/>
    <w:rsid w:val="005A73A9"/>
    <w:rsid w:val="005B2665"/>
    <w:rsid w:val="005B365F"/>
    <w:rsid w:val="005B4417"/>
    <w:rsid w:val="005B4785"/>
    <w:rsid w:val="005B483F"/>
    <w:rsid w:val="005B496A"/>
    <w:rsid w:val="005C0BAB"/>
    <w:rsid w:val="005C2037"/>
    <w:rsid w:val="005C38CD"/>
    <w:rsid w:val="005C40C0"/>
    <w:rsid w:val="005C4DD6"/>
    <w:rsid w:val="005C577D"/>
    <w:rsid w:val="005C5B26"/>
    <w:rsid w:val="005C635D"/>
    <w:rsid w:val="005C6472"/>
    <w:rsid w:val="005C6696"/>
    <w:rsid w:val="005D057E"/>
    <w:rsid w:val="005D0D22"/>
    <w:rsid w:val="005D1CBE"/>
    <w:rsid w:val="005D3137"/>
    <w:rsid w:val="005D534A"/>
    <w:rsid w:val="005D54CF"/>
    <w:rsid w:val="005D603E"/>
    <w:rsid w:val="005D6CA4"/>
    <w:rsid w:val="005D6E01"/>
    <w:rsid w:val="005E01B0"/>
    <w:rsid w:val="005E0FDE"/>
    <w:rsid w:val="005E1AF8"/>
    <w:rsid w:val="005E22D2"/>
    <w:rsid w:val="005E2333"/>
    <w:rsid w:val="005E27EC"/>
    <w:rsid w:val="005E3190"/>
    <w:rsid w:val="005E446F"/>
    <w:rsid w:val="005E4D0E"/>
    <w:rsid w:val="005F2A59"/>
    <w:rsid w:val="005F2BE5"/>
    <w:rsid w:val="005F3F8C"/>
    <w:rsid w:val="005F4387"/>
    <w:rsid w:val="005F68D7"/>
    <w:rsid w:val="005F71EA"/>
    <w:rsid w:val="00600BCA"/>
    <w:rsid w:val="00601A46"/>
    <w:rsid w:val="00601FE0"/>
    <w:rsid w:val="00603C78"/>
    <w:rsid w:val="00605D1C"/>
    <w:rsid w:val="0060629F"/>
    <w:rsid w:val="00607F6F"/>
    <w:rsid w:val="006105DE"/>
    <w:rsid w:val="00610BB3"/>
    <w:rsid w:val="006134A5"/>
    <w:rsid w:val="0061491A"/>
    <w:rsid w:val="006160AD"/>
    <w:rsid w:val="006166D8"/>
    <w:rsid w:val="006207B6"/>
    <w:rsid w:val="00623F46"/>
    <w:rsid w:val="00624D99"/>
    <w:rsid w:val="00626913"/>
    <w:rsid w:val="00626A9F"/>
    <w:rsid w:val="00630329"/>
    <w:rsid w:val="00631A30"/>
    <w:rsid w:val="00631D27"/>
    <w:rsid w:val="00633338"/>
    <w:rsid w:val="00634C4D"/>
    <w:rsid w:val="00636E9E"/>
    <w:rsid w:val="00637546"/>
    <w:rsid w:val="006406F0"/>
    <w:rsid w:val="0064150D"/>
    <w:rsid w:val="00642FBC"/>
    <w:rsid w:val="00643C33"/>
    <w:rsid w:val="00643CBC"/>
    <w:rsid w:val="006445D0"/>
    <w:rsid w:val="00644878"/>
    <w:rsid w:val="00644C54"/>
    <w:rsid w:val="0064561A"/>
    <w:rsid w:val="00645F41"/>
    <w:rsid w:val="006515A9"/>
    <w:rsid w:val="00653333"/>
    <w:rsid w:val="00653A66"/>
    <w:rsid w:val="00653E17"/>
    <w:rsid w:val="00654FB8"/>
    <w:rsid w:val="006556C0"/>
    <w:rsid w:val="00656CD1"/>
    <w:rsid w:val="006577E6"/>
    <w:rsid w:val="00657F9A"/>
    <w:rsid w:val="0066189A"/>
    <w:rsid w:val="00662CAC"/>
    <w:rsid w:val="00662DCC"/>
    <w:rsid w:val="00662F25"/>
    <w:rsid w:val="006651C5"/>
    <w:rsid w:val="006673D0"/>
    <w:rsid w:val="00670783"/>
    <w:rsid w:val="006717BE"/>
    <w:rsid w:val="0067238E"/>
    <w:rsid w:val="00673B76"/>
    <w:rsid w:val="00673E44"/>
    <w:rsid w:val="0067405A"/>
    <w:rsid w:val="00675D54"/>
    <w:rsid w:val="00676179"/>
    <w:rsid w:val="00676260"/>
    <w:rsid w:val="00676451"/>
    <w:rsid w:val="006816E8"/>
    <w:rsid w:val="00681E97"/>
    <w:rsid w:val="00682C7E"/>
    <w:rsid w:val="00683671"/>
    <w:rsid w:val="0068387E"/>
    <w:rsid w:val="0068398E"/>
    <w:rsid w:val="00684ACD"/>
    <w:rsid w:val="00684CD4"/>
    <w:rsid w:val="00684F4E"/>
    <w:rsid w:val="0068550E"/>
    <w:rsid w:val="00685B56"/>
    <w:rsid w:val="00685F57"/>
    <w:rsid w:val="006908E6"/>
    <w:rsid w:val="006912D3"/>
    <w:rsid w:val="00692548"/>
    <w:rsid w:val="0069532C"/>
    <w:rsid w:val="00695E34"/>
    <w:rsid w:val="0069795E"/>
    <w:rsid w:val="006A06DE"/>
    <w:rsid w:val="006A1CD6"/>
    <w:rsid w:val="006A29CE"/>
    <w:rsid w:val="006A2B66"/>
    <w:rsid w:val="006A368C"/>
    <w:rsid w:val="006A3D3C"/>
    <w:rsid w:val="006A6418"/>
    <w:rsid w:val="006A660B"/>
    <w:rsid w:val="006A7919"/>
    <w:rsid w:val="006A7F7A"/>
    <w:rsid w:val="006B2DF6"/>
    <w:rsid w:val="006B30C3"/>
    <w:rsid w:val="006B34C0"/>
    <w:rsid w:val="006B428A"/>
    <w:rsid w:val="006B79FA"/>
    <w:rsid w:val="006C2F17"/>
    <w:rsid w:val="006C367B"/>
    <w:rsid w:val="006C3C07"/>
    <w:rsid w:val="006C50CB"/>
    <w:rsid w:val="006C7E78"/>
    <w:rsid w:val="006D062C"/>
    <w:rsid w:val="006D094B"/>
    <w:rsid w:val="006D35D3"/>
    <w:rsid w:val="006D4181"/>
    <w:rsid w:val="006D47AF"/>
    <w:rsid w:val="006D4D03"/>
    <w:rsid w:val="006D6A13"/>
    <w:rsid w:val="006D6DA9"/>
    <w:rsid w:val="006D7412"/>
    <w:rsid w:val="006E247C"/>
    <w:rsid w:val="006E2ABB"/>
    <w:rsid w:val="006E5B7E"/>
    <w:rsid w:val="006E5C5F"/>
    <w:rsid w:val="006E698F"/>
    <w:rsid w:val="006F1014"/>
    <w:rsid w:val="006F1A08"/>
    <w:rsid w:val="006F414C"/>
    <w:rsid w:val="006F4B7D"/>
    <w:rsid w:val="006F6A61"/>
    <w:rsid w:val="006F7EFD"/>
    <w:rsid w:val="00700A0E"/>
    <w:rsid w:val="00700E33"/>
    <w:rsid w:val="00700FBC"/>
    <w:rsid w:val="0070158E"/>
    <w:rsid w:val="00701F58"/>
    <w:rsid w:val="00702906"/>
    <w:rsid w:val="00702C13"/>
    <w:rsid w:val="00703AD3"/>
    <w:rsid w:val="007046F9"/>
    <w:rsid w:val="00706D0A"/>
    <w:rsid w:val="007070FD"/>
    <w:rsid w:val="00707ADB"/>
    <w:rsid w:val="00710062"/>
    <w:rsid w:val="007104EF"/>
    <w:rsid w:val="00711D32"/>
    <w:rsid w:val="00712D3F"/>
    <w:rsid w:val="007138EE"/>
    <w:rsid w:val="0071567A"/>
    <w:rsid w:val="00715FFD"/>
    <w:rsid w:val="00716C10"/>
    <w:rsid w:val="0071730B"/>
    <w:rsid w:val="0071760F"/>
    <w:rsid w:val="0071777F"/>
    <w:rsid w:val="007217AA"/>
    <w:rsid w:val="00721889"/>
    <w:rsid w:val="007218DF"/>
    <w:rsid w:val="007233CE"/>
    <w:rsid w:val="0072415D"/>
    <w:rsid w:val="00725ABD"/>
    <w:rsid w:val="00726AAE"/>
    <w:rsid w:val="007300FC"/>
    <w:rsid w:val="0073089B"/>
    <w:rsid w:val="00730A27"/>
    <w:rsid w:val="00730DB7"/>
    <w:rsid w:val="00732591"/>
    <w:rsid w:val="0073324C"/>
    <w:rsid w:val="00733849"/>
    <w:rsid w:val="00733B65"/>
    <w:rsid w:val="00735106"/>
    <w:rsid w:val="00736B0D"/>
    <w:rsid w:val="00737740"/>
    <w:rsid w:val="007402BF"/>
    <w:rsid w:val="00742201"/>
    <w:rsid w:val="007424B2"/>
    <w:rsid w:val="00742AE8"/>
    <w:rsid w:val="00742D5B"/>
    <w:rsid w:val="00742DD0"/>
    <w:rsid w:val="00742DD8"/>
    <w:rsid w:val="00744BC3"/>
    <w:rsid w:val="00744D03"/>
    <w:rsid w:val="00745BF5"/>
    <w:rsid w:val="00746290"/>
    <w:rsid w:val="00747138"/>
    <w:rsid w:val="00747300"/>
    <w:rsid w:val="007503A2"/>
    <w:rsid w:val="00751F49"/>
    <w:rsid w:val="00752596"/>
    <w:rsid w:val="0075315B"/>
    <w:rsid w:val="007531D6"/>
    <w:rsid w:val="007545D2"/>
    <w:rsid w:val="00754C2C"/>
    <w:rsid w:val="00761DFD"/>
    <w:rsid w:val="00764342"/>
    <w:rsid w:val="00764BDC"/>
    <w:rsid w:val="00765464"/>
    <w:rsid w:val="0076561C"/>
    <w:rsid w:val="00765A3E"/>
    <w:rsid w:val="00766815"/>
    <w:rsid w:val="00766963"/>
    <w:rsid w:val="007709DE"/>
    <w:rsid w:val="00770A11"/>
    <w:rsid w:val="00770A4B"/>
    <w:rsid w:val="00770BEA"/>
    <w:rsid w:val="00771515"/>
    <w:rsid w:val="00771623"/>
    <w:rsid w:val="0077206A"/>
    <w:rsid w:val="00772F9D"/>
    <w:rsid w:val="00773035"/>
    <w:rsid w:val="00773E32"/>
    <w:rsid w:val="007740F6"/>
    <w:rsid w:val="007767BD"/>
    <w:rsid w:val="007807B5"/>
    <w:rsid w:val="00781A4E"/>
    <w:rsid w:val="00782A80"/>
    <w:rsid w:val="007835AA"/>
    <w:rsid w:val="007841FA"/>
    <w:rsid w:val="0078589B"/>
    <w:rsid w:val="00786153"/>
    <w:rsid w:val="00786211"/>
    <w:rsid w:val="007867BC"/>
    <w:rsid w:val="00786DD2"/>
    <w:rsid w:val="00786DEA"/>
    <w:rsid w:val="00787313"/>
    <w:rsid w:val="00791CD4"/>
    <w:rsid w:val="007931A3"/>
    <w:rsid w:val="00797315"/>
    <w:rsid w:val="007973FE"/>
    <w:rsid w:val="007A0174"/>
    <w:rsid w:val="007A073F"/>
    <w:rsid w:val="007A08FA"/>
    <w:rsid w:val="007A1203"/>
    <w:rsid w:val="007A2D41"/>
    <w:rsid w:val="007A31D0"/>
    <w:rsid w:val="007A36F5"/>
    <w:rsid w:val="007A38B4"/>
    <w:rsid w:val="007A4483"/>
    <w:rsid w:val="007A6033"/>
    <w:rsid w:val="007B02CA"/>
    <w:rsid w:val="007B0878"/>
    <w:rsid w:val="007B0CC5"/>
    <w:rsid w:val="007B1DA5"/>
    <w:rsid w:val="007B28AB"/>
    <w:rsid w:val="007B2B4B"/>
    <w:rsid w:val="007B3A5B"/>
    <w:rsid w:val="007B3E07"/>
    <w:rsid w:val="007B42C4"/>
    <w:rsid w:val="007B44E5"/>
    <w:rsid w:val="007B5B9E"/>
    <w:rsid w:val="007B5FE5"/>
    <w:rsid w:val="007B6348"/>
    <w:rsid w:val="007B65BB"/>
    <w:rsid w:val="007B6930"/>
    <w:rsid w:val="007B728B"/>
    <w:rsid w:val="007B77E0"/>
    <w:rsid w:val="007C0148"/>
    <w:rsid w:val="007C094C"/>
    <w:rsid w:val="007C19D8"/>
    <w:rsid w:val="007C3931"/>
    <w:rsid w:val="007C4E32"/>
    <w:rsid w:val="007C66D9"/>
    <w:rsid w:val="007C732D"/>
    <w:rsid w:val="007C7E3C"/>
    <w:rsid w:val="007D0D4C"/>
    <w:rsid w:val="007D0D7A"/>
    <w:rsid w:val="007D43B8"/>
    <w:rsid w:val="007D4AE8"/>
    <w:rsid w:val="007D5428"/>
    <w:rsid w:val="007D6B6E"/>
    <w:rsid w:val="007D6EF5"/>
    <w:rsid w:val="007E0739"/>
    <w:rsid w:val="007E349A"/>
    <w:rsid w:val="007E4BD8"/>
    <w:rsid w:val="007E5807"/>
    <w:rsid w:val="007E5D66"/>
    <w:rsid w:val="007E6060"/>
    <w:rsid w:val="007E667C"/>
    <w:rsid w:val="007E7563"/>
    <w:rsid w:val="007E7CA2"/>
    <w:rsid w:val="007F0A19"/>
    <w:rsid w:val="007F10DC"/>
    <w:rsid w:val="007F18E3"/>
    <w:rsid w:val="007F2117"/>
    <w:rsid w:val="007F3131"/>
    <w:rsid w:val="007F3458"/>
    <w:rsid w:val="007F5010"/>
    <w:rsid w:val="007F632F"/>
    <w:rsid w:val="007F6CEC"/>
    <w:rsid w:val="007F7003"/>
    <w:rsid w:val="007F76A6"/>
    <w:rsid w:val="007F7AA0"/>
    <w:rsid w:val="008005BF"/>
    <w:rsid w:val="00804852"/>
    <w:rsid w:val="008059C3"/>
    <w:rsid w:val="008077D6"/>
    <w:rsid w:val="008079B4"/>
    <w:rsid w:val="00810824"/>
    <w:rsid w:val="008111C7"/>
    <w:rsid w:val="00811FDA"/>
    <w:rsid w:val="0081289A"/>
    <w:rsid w:val="008150CF"/>
    <w:rsid w:val="00817BE0"/>
    <w:rsid w:val="00820044"/>
    <w:rsid w:val="008217EC"/>
    <w:rsid w:val="00821BB0"/>
    <w:rsid w:val="00822201"/>
    <w:rsid w:val="008249A6"/>
    <w:rsid w:val="008251AD"/>
    <w:rsid w:val="00825F8E"/>
    <w:rsid w:val="0082655F"/>
    <w:rsid w:val="00826CA7"/>
    <w:rsid w:val="00826EF1"/>
    <w:rsid w:val="008278FB"/>
    <w:rsid w:val="00827B21"/>
    <w:rsid w:val="008301A4"/>
    <w:rsid w:val="00831E6E"/>
    <w:rsid w:val="00832564"/>
    <w:rsid w:val="00832B89"/>
    <w:rsid w:val="008348D2"/>
    <w:rsid w:val="00835D11"/>
    <w:rsid w:val="0083603B"/>
    <w:rsid w:val="00836706"/>
    <w:rsid w:val="00837450"/>
    <w:rsid w:val="0084133D"/>
    <w:rsid w:val="00844016"/>
    <w:rsid w:val="00844974"/>
    <w:rsid w:val="00844A3F"/>
    <w:rsid w:val="008451F9"/>
    <w:rsid w:val="00850942"/>
    <w:rsid w:val="008519F4"/>
    <w:rsid w:val="00852FF1"/>
    <w:rsid w:val="00853E8A"/>
    <w:rsid w:val="008545FD"/>
    <w:rsid w:val="008547AD"/>
    <w:rsid w:val="00854DD1"/>
    <w:rsid w:val="00855683"/>
    <w:rsid w:val="00855935"/>
    <w:rsid w:val="00856376"/>
    <w:rsid w:val="00856F6A"/>
    <w:rsid w:val="0086095A"/>
    <w:rsid w:val="00860CDF"/>
    <w:rsid w:val="00860DA9"/>
    <w:rsid w:val="008641FA"/>
    <w:rsid w:val="00864712"/>
    <w:rsid w:val="008659E7"/>
    <w:rsid w:val="0086653F"/>
    <w:rsid w:val="00866B3A"/>
    <w:rsid w:val="008703B0"/>
    <w:rsid w:val="00871D8F"/>
    <w:rsid w:val="0087241B"/>
    <w:rsid w:val="00872DE5"/>
    <w:rsid w:val="00872FFE"/>
    <w:rsid w:val="00873000"/>
    <w:rsid w:val="008730E4"/>
    <w:rsid w:val="008742E3"/>
    <w:rsid w:val="00874C97"/>
    <w:rsid w:val="008768C8"/>
    <w:rsid w:val="008804E9"/>
    <w:rsid w:val="0088149D"/>
    <w:rsid w:val="00881C9F"/>
    <w:rsid w:val="0088232F"/>
    <w:rsid w:val="008829E3"/>
    <w:rsid w:val="00884900"/>
    <w:rsid w:val="00887ACA"/>
    <w:rsid w:val="00887D83"/>
    <w:rsid w:val="00890A79"/>
    <w:rsid w:val="0089243C"/>
    <w:rsid w:val="008948B8"/>
    <w:rsid w:val="00894EF0"/>
    <w:rsid w:val="008950C6"/>
    <w:rsid w:val="00897248"/>
    <w:rsid w:val="008A1028"/>
    <w:rsid w:val="008A1B3F"/>
    <w:rsid w:val="008A2307"/>
    <w:rsid w:val="008A3ADD"/>
    <w:rsid w:val="008A40BA"/>
    <w:rsid w:val="008A470A"/>
    <w:rsid w:val="008A55C8"/>
    <w:rsid w:val="008A5BE0"/>
    <w:rsid w:val="008A5C30"/>
    <w:rsid w:val="008A6314"/>
    <w:rsid w:val="008A6323"/>
    <w:rsid w:val="008A76A0"/>
    <w:rsid w:val="008B0713"/>
    <w:rsid w:val="008B14FB"/>
    <w:rsid w:val="008B241E"/>
    <w:rsid w:val="008B2795"/>
    <w:rsid w:val="008B5F62"/>
    <w:rsid w:val="008B65FB"/>
    <w:rsid w:val="008B750C"/>
    <w:rsid w:val="008C024E"/>
    <w:rsid w:val="008C1A41"/>
    <w:rsid w:val="008C1F3B"/>
    <w:rsid w:val="008C28A7"/>
    <w:rsid w:val="008C3165"/>
    <w:rsid w:val="008C335A"/>
    <w:rsid w:val="008C3367"/>
    <w:rsid w:val="008C3CCB"/>
    <w:rsid w:val="008C73C8"/>
    <w:rsid w:val="008D0528"/>
    <w:rsid w:val="008D13E9"/>
    <w:rsid w:val="008D2029"/>
    <w:rsid w:val="008D2384"/>
    <w:rsid w:val="008D259D"/>
    <w:rsid w:val="008D28F6"/>
    <w:rsid w:val="008D37FD"/>
    <w:rsid w:val="008D47EC"/>
    <w:rsid w:val="008D4E59"/>
    <w:rsid w:val="008D7C9D"/>
    <w:rsid w:val="008E0763"/>
    <w:rsid w:val="008E1D7B"/>
    <w:rsid w:val="008E24D5"/>
    <w:rsid w:val="008E25AA"/>
    <w:rsid w:val="008E3696"/>
    <w:rsid w:val="008E3D60"/>
    <w:rsid w:val="008E6FF0"/>
    <w:rsid w:val="008E7A2B"/>
    <w:rsid w:val="008F0180"/>
    <w:rsid w:val="008F08E1"/>
    <w:rsid w:val="008F2ABE"/>
    <w:rsid w:val="008F3E78"/>
    <w:rsid w:val="008F45CA"/>
    <w:rsid w:val="008F5849"/>
    <w:rsid w:val="008F66C7"/>
    <w:rsid w:val="008F6710"/>
    <w:rsid w:val="00900E0B"/>
    <w:rsid w:val="009019E9"/>
    <w:rsid w:val="009021BA"/>
    <w:rsid w:val="009022B5"/>
    <w:rsid w:val="0090388B"/>
    <w:rsid w:val="00906CCA"/>
    <w:rsid w:val="009112E4"/>
    <w:rsid w:val="0091164E"/>
    <w:rsid w:val="00912521"/>
    <w:rsid w:val="00913D27"/>
    <w:rsid w:val="00914143"/>
    <w:rsid w:val="00915E6F"/>
    <w:rsid w:val="00917F9A"/>
    <w:rsid w:val="00920DD1"/>
    <w:rsid w:val="0092134E"/>
    <w:rsid w:val="00922881"/>
    <w:rsid w:val="00922BC2"/>
    <w:rsid w:val="00923375"/>
    <w:rsid w:val="00923510"/>
    <w:rsid w:val="00924775"/>
    <w:rsid w:val="00924F2E"/>
    <w:rsid w:val="00926E39"/>
    <w:rsid w:val="0092748F"/>
    <w:rsid w:val="00927FAB"/>
    <w:rsid w:val="009300D3"/>
    <w:rsid w:val="009313DD"/>
    <w:rsid w:val="00933AC3"/>
    <w:rsid w:val="00933B34"/>
    <w:rsid w:val="00934B73"/>
    <w:rsid w:val="00934E1D"/>
    <w:rsid w:val="00934ED1"/>
    <w:rsid w:val="0093586D"/>
    <w:rsid w:val="009408BB"/>
    <w:rsid w:val="00940B59"/>
    <w:rsid w:val="00942DC9"/>
    <w:rsid w:val="009435D3"/>
    <w:rsid w:val="00945FA9"/>
    <w:rsid w:val="009509F3"/>
    <w:rsid w:val="009510CB"/>
    <w:rsid w:val="0095188F"/>
    <w:rsid w:val="00951A76"/>
    <w:rsid w:val="00953906"/>
    <w:rsid w:val="0095664F"/>
    <w:rsid w:val="00957243"/>
    <w:rsid w:val="00957589"/>
    <w:rsid w:val="00960030"/>
    <w:rsid w:val="009600BA"/>
    <w:rsid w:val="009602DC"/>
    <w:rsid w:val="00960DA5"/>
    <w:rsid w:val="00961435"/>
    <w:rsid w:val="00962918"/>
    <w:rsid w:val="00962C9F"/>
    <w:rsid w:val="009637EC"/>
    <w:rsid w:val="00963EDF"/>
    <w:rsid w:val="0096426B"/>
    <w:rsid w:val="009659C2"/>
    <w:rsid w:val="009667A6"/>
    <w:rsid w:val="00966C44"/>
    <w:rsid w:val="009678DB"/>
    <w:rsid w:val="00967D7A"/>
    <w:rsid w:val="00970B56"/>
    <w:rsid w:val="00971638"/>
    <w:rsid w:val="009716B0"/>
    <w:rsid w:val="00975830"/>
    <w:rsid w:val="00975FA0"/>
    <w:rsid w:val="0097677C"/>
    <w:rsid w:val="00976E50"/>
    <w:rsid w:val="00980095"/>
    <w:rsid w:val="00980DEB"/>
    <w:rsid w:val="00981103"/>
    <w:rsid w:val="009834C3"/>
    <w:rsid w:val="009845A3"/>
    <w:rsid w:val="00985241"/>
    <w:rsid w:val="00985510"/>
    <w:rsid w:val="00985768"/>
    <w:rsid w:val="00986424"/>
    <w:rsid w:val="00986AA9"/>
    <w:rsid w:val="0098715F"/>
    <w:rsid w:val="00990236"/>
    <w:rsid w:val="0099048E"/>
    <w:rsid w:val="009905D7"/>
    <w:rsid w:val="00991227"/>
    <w:rsid w:val="009914CB"/>
    <w:rsid w:val="00991642"/>
    <w:rsid w:val="00991729"/>
    <w:rsid w:val="00992B07"/>
    <w:rsid w:val="009948C7"/>
    <w:rsid w:val="00997828"/>
    <w:rsid w:val="00997979"/>
    <w:rsid w:val="009A0165"/>
    <w:rsid w:val="009A13ED"/>
    <w:rsid w:val="009A1802"/>
    <w:rsid w:val="009A1A12"/>
    <w:rsid w:val="009A2537"/>
    <w:rsid w:val="009A2FE3"/>
    <w:rsid w:val="009A394A"/>
    <w:rsid w:val="009A41F4"/>
    <w:rsid w:val="009A543F"/>
    <w:rsid w:val="009A5DA5"/>
    <w:rsid w:val="009A655A"/>
    <w:rsid w:val="009B15A8"/>
    <w:rsid w:val="009B1CB6"/>
    <w:rsid w:val="009B3D7F"/>
    <w:rsid w:val="009B3D9F"/>
    <w:rsid w:val="009B6270"/>
    <w:rsid w:val="009B657B"/>
    <w:rsid w:val="009B6631"/>
    <w:rsid w:val="009B6CF2"/>
    <w:rsid w:val="009B6DEB"/>
    <w:rsid w:val="009B712C"/>
    <w:rsid w:val="009B763E"/>
    <w:rsid w:val="009C07C9"/>
    <w:rsid w:val="009C0964"/>
    <w:rsid w:val="009C4F0B"/>
    <w:rsid w:val="009C51C5"/>
    <w:rsid w:val="009C6F69"/>
    <w:rsid w:val="009C70E6"/>
    <w:rsid w:val="009D0357"/>
    <w:rsid w:val="009D0604"/>
    <w:rsid w:val="009D117E"/>
    <w:rsid w:val="009D6D67"/>
    <w:rsid w:val="009D6E4A"/>
    <w:rsid w:val="009E035A"/>
    <w:rsid w:val="009E118E"/>
    <w:rsid w:val="009E53D5"/>
    <w:rsid w:val="009E79FF"/>
    <w:rsid w:val="009E7CF0"/>
    <w:rsid w:val="009F00A8"/>
    <w:rsid w:val="009F02EB"/>
    <w:rsid w:val="009F0449"/>
    <w:rsid w:val="009F0E47"/>
    <w:rsid w:val="009F1C11"/>
    <w:rsid w:val="009F4AD3"/>
    <w:rsid w:val="009F55ED"/>
    <w:rsid w:val="009F5663"/>
    <w:rsid w:val="009F5AE5"/>
    <w:rsid w:val="009F627F"/>
    <w:rsid w:val="009F65B3"/>
    <w:rsid w:val="009F65F4"/>
    <w:rsid w:val="009F67BC"/>
    <w:rsid w:val="009F6EDA"/>
    <w:rsid w:val="009F7D37"/>
    <w:rsid w:val="00A001B5"/>
    <w:rsid w:val="00A00293"/>
    <w:rsid w:val="00A00552"/>
    <w:rsid w:val="00A00E4E"/>
    <w:rsid w:val="00A02C21"/>
    <w:rsid w:val="00A02E08"/>
    <w:rsid w:val="00A040EA"/>
    <w:rsid w:val="00A057D6"/>
    <w:rsid w:val="00A066DB"/>
    <w:rsid w:val="00A06886"/>
    <w:rsid w:val="00A07047"/>
    <w:rsid w:val="00A07A5C"/>
    <w:rsid w:val="00A106B4"/>
    <w:rsid w:val="00A11D33"/>
    <w:rsid w:val="00A1200B"/>
    <w:rsid w:val="00A1240B"/>
    <w:rsid w:val="00A129AB"/>
    <w:rsid w:val="00A12E19"/>
    <w:rsid w:val="00A138E4"/>
    <w:rsid w:val="00A14789"/>
    <w:rsid w:val="00A14F5C"/>
    <w:rsid w:val="00A174C1"/>
    <w:rsid w:val="00A175BF"/>
    <w:rsid w:val="00A17C0E"/>
    <w:rsid w:val="00A17CF2"/>
    <w:rsid w:val="00A20498"/>
    <w:rsid w:val="00A21C4A"/>
    <w:rsid w:val="00A21F2E"/>
    <w:rsid w:val="00A21F70"/>
    <w:rsid w:val="00A22B94"/>
    <w:rsid w:val="00A23540"/>
    <w:rsid w:val="00A2465D"/>
    <w:rsid w:val="00A25AFC"/>
    <w:rsid w:val="00A26B21"/>
    <w:rsid w:val="00A274E4"/>
    <w:rsid w:val="00A27C78"/>
    <w:rsid w:val="00A27E52"/>
    <w:rsid w:val="00A33E8A"/>
    <w:rsid w:val="00A34E98"/>
    <w:rsid w:val="00A356B9"/>
    <w:rsid w:val="00A35890"/>
    <w:rsid w:val="00A362DB"/>
    <w:rsid w:val="00A36DC1"/>
    <w:rsid w:val="00A3790B"/>
    <w:rsid w:val="00A40405"/>
    <w:rsid w:val="00A40BD8"/>
    <w:rsid w:val="00A43C53"/>
    <w:rsid w:val="00A44318"/>
    <w:rsid w:val="00A44FA1"/>
    <w:rsid w:val="00A4522B"/>
    <w:rsid w:val="00A45FF9"/>
    <w:rsid w:val="00A46EFE"/>
    <w:rsid w:val="00A47669"/>
    <w:rsid w:val="00A501D5"/>
    <w:rsid w:val="00A513F3"/>
    <w:rsid w:val="00A528F9"/>
    <w:rsid w:val="00A52E70"/>
    <w:rsid w:val="00A538C8"/>
    <w:rsid w:val="00A53CC1"/>
    <w:rsid w:val="00A54F78"/>
    <w:rsid w:val="00A567BA"/>
    <w:rsid w:val="00A5797F"/>
    <w:rsid w:val="00A60633"/>
    <w:rsid w:val="00A62AC7"/>
    <w:rsid w:val="00A63522"/>
    <w:rsid w:val="00A6438F"/>
    <w:rsid w:val="00A64B26"/>
    <w:rsid w:val="00A64F96"/>
    <w:rsid w:val="00A6519D"/>
    <w:rsid w:val="00A66719"/>
    <w:rsid w:val="00A67304"/>
    <w:rsid w:val="00A67B61"/>
    <w:rsid w:val="00A72471"/>
    <w:rsid w:val="00A73499"/>
    <w:rsid w:val="00A738E3"/>
    <w:rsid w:val="00A743F2"/>
    <w:rsid w:val="00A7672C"/>
    <w:rsid w:val="00A77F5F"/>
    <w:rsid w:val="00A809E2"/>
    <w:rsid w:val="00A81986"/>
    <w:rsid w:val="00A824E8"/>
    <w:rsid w:val="00A8275B"/>
    <w:rsid w:val="00A82ACF"/>
    <w:rsid w:val="00A82D85"/>
    <w:rsid w:val="00A8322C"/>
    <w:rsid w:val="00A84764"/>
    <w:rsid w:val="00A8499D"/>
    <w:rsid w:val="00A85930"/>
    <w:rsid w:val="00A87981"/>
    <w:rsid w:val="00A92144"/>
    <w:rsid w:val="00A932C8"/>
    <w:rsid w:val="00A943DD"/>
    <w:rsid w:val="00A94967"/>
    <w:rsid w:val="00A94E26"/>
    <w:rsid w:val="00A9519C"/>
    <w:rsid w:val="00A95BCF"/>
    <w:rsid w:val="00A97558"/>
    <w:rsid w:val="00A979D0"/>
    <w:rsid w:val="00AA0F94"/>
    <w:rsid w:val="00AA341C"/>
    <w:rsid w:val="00AA402D"/>
    <w:rsid w:val="00AA4BA0"/>
    <w:rsid w:val="00AA4F7E"/>
    <w:rsid w:val="00AA5D68"/>
    <w:rsid w:val="00AA7AAB"/>
    <w:rsid w:val="00AA7AD1"/>
    <w:rsid w:val="00AA7B0A"/>
    <w:rsid w:val="00AA7D76"/>
    <w:rsid w:val="00AA7FA0"/>
    <w:rsid w:val="00AB037D"/>
    <w:rsid w:val="00AB05EF"/>
    <w:rsid w:val="00AB06FA"/>
    <w:rsid w:val="00AB1CEF"/>
    <w:rsid w:val="00AB1DB9"/>
    <w:rsid w:val="00AB3E22"/>
    <w:rsid w:val="00AB3F69"/>
    <w:rsid w:val="00AB4A33"/>
    <w:rsid w:val="00AB4C4C"/>
    <w:rsid w:val="00AB4D39"/>
    <w:rsid w:val="00AB58A9"/>
    <w:rsid w:val="00AB5A37"/>
    <w:rsid w:val="00AC0134"/>
    <w:rsid w:val="00AC02D5"/>
    <w:rsid w:val="00AC11CF"/>
    <w:rsid w:val="00AC1872"/>
    <w:rsid w:val="00AC33AD"/>
    <w:rsid w:val="00AC3EDE"/>
    <w:rsid w:val="00AC478B"/>
    <w:rsid w:val="00AC4EF1"/>
    <w:rsid w:val="00AC668A"/>
    <w:rsid w:val="00AD1804"/>
    <w:rsid w:val="00AD3A9E"/>
    <w:rsid w:val="00AD51F7"/>
    <w:rsid w:val="00AD6A1D"/>
    <w:rsid w:val="00AD6D9C"/>
    <w:rsid w:val="00AD7F23"/>
    <w:rsid w:val="00AE072F"/>
    <w:rsid w:val="00AE0C13"/>
    <w:rsid w:val="00AE140F"/>
    <w:rsid w:val="00AE15C1"/>
    <w:rsid w:val="00AE21F7"/>
    <w:rsid w:val="00AE369C"/>
    <w:rsid w:val="00AE3877"/>
    <w:rsid w:val="00AE4FE7"/>
    <w:rsid w:val="00AE5525"/>
    <w:rsid w:val="00AE6161"/>
    <w:rsid w:val="00AE6BE7"/>
    <w:rsid w:val="00AE78DB"/>
    <w:rsid w:val="00AF06B9"/>
    <w:rsid w:val="00AF0A60"/>
    <w:rsid w:val="00AF1679"/>
    <w:rsid w:val="00AF16D0"/>
    <w:rsid w:val="00AF1B4D"/>
    <w:rsid w:val="00AF2353"/>
    <w:rsid w:val="00AF25A0"/>
    <w:rsid w:val="00AF2889"/>
    <w:rsid w:val="00AF3229"/>
    <w:rsid w:val="00AF326F"/>
    <w:rsid w:val="00AF34C2"/>
    <w:rsid w:val="00AF6D86"/>
    <w:rsid w:val="00AF7042"/>
    <w:rsid w:val="00AF7B6D"/>
    <w:rsid w:val="00AF7D12"/>
    <w:rsid w:val="00B02B85"/>
    <w:rsid w:val="00B02CAE"/>
    <w:rsid w:val="00B032CF"/>
    <w:rsid w:val="00B03DCA"/>
    <w:rsid w:val="00B04029"/>
    <w:rsid w:val="00B040F4"/>
    <w:rsid w:val="00B04EE9"/>
    <w:rsid w:val="00B064B1"/>
    <w:rsid w:val="00B06B54"/>
    <w:rsid w:val="00B06BAE"/>
    <w:rsid w:val="00B07140"/>
    <w:rsid w:val="00B075A2"/>
    <w:rsid w:val="00B117C1"/>
    <w:rsid w:val="00B129B9"/>
    <w:rsid w:val="00B12D13"/>
    <w:rsid w:val="00B13A45"/>
    <w:rsid w:val="00B13B3A"/>
    <w:rsid w:val="00B13EB6"/>
    <w:rsid w:val="00B1473F"/>
    <w:rsid w:val="00B16332"/>
    <w:rsid w:val="00B207EA"/>
    <w:rsid w:val="00B2170A"/>
    <w:rsid w:val="00B21DBD"/>
    <w:rsid w:val="00B231CE"/>
    <w:rsid w:val="00B23587"/>
    <w:rsid w:val="00B239F2"/>
    <w:rsid w:val="00B23B40"/>
    <w:rsid w:val="00B23DF3"/>
    <w:rsid w:val="00B25242"/>
    <w:rsid w:val="00B26C68"/>
    <w:rsid w:val="00B27122"/>
    <w:rsid w:val="00B27C54"/>
    <w:rsid w:val="00B30010"/>
    <w:rsid w:val="00B30288"/>
    <w:rsid w:val="00B31AF4"/>
    <w:rsid w:val="00B31C7E"/>
    <w:rsid w:val="00B31E83"/>
    <w:rsid w:val="00B321E9"/>
    <w:rsid w:val="00B32436"/>
    <w:rsid w:val="00B3251F"/>
    <w:rsid w:val="00B337A2"/>
    <w:rsid w:val="00B3393F"/>
    <w:rsid w:val="00B3593D"/>
    <w:rsid w:val="00B37F89"/>
    <w:rsid w:val="00B4005A"/>
    <w:rsid w:val="00B40C53"/>
    <w:rsid w:val="00B40CD3"/>
    <w:rsid w:val="00B40DF4"/>
    <w:rsid w:val="00B41390"/>
    <w:rsid w:val="00B4176D"/>
    <w:rsid w:val="00B4193F"/>
    <w:rsid w:val="00B43918"/>
    <w:rsid w:val="00B443B2"/>
    <w:rsid w:val="00B44617"/>
    <w:rsid w:val="00B45E78"/>
    <w:rsid w:val="00B45FBC"/>
    <w:rsid w:val="00B46062"/>
    <w:rsid w:val="00B46340"/>
    <w:rsid w:val="00B47262"/>
    <w:rsid w:val="00B478FF"/>
    <w:rsid w:val="00B5013F"/>
    <w:rsid w:val="00B501DF"/>
    <w:rsid w:val="00B51071"/>
    <w:rsid w:val="00B539E3"/>
    <w:rsid w:val="00B53ED8"/>
    <w:rsid w:val="00B551E3"/>
    <w:rsid w:val="00B558A2"/>
    <w:rsid w:val="00B55A60"/>
    <w:rsid w:val="00B55BCC"/>
    <w:rsid w:val="00B56650"/>
    <w:rsid w:val="00B56701"/>
    <w:rsid w:val="00B56B94"/>
    <w:rsid w:val="00B56F30"/>
    <w:rsid w:val="00B57A5E"/>
    <w:rsid w:val="00B62F28"/>
    <w:rsid w:val="00B63FA5"/>
    <w:rsid w:val="00B644BA"/>
    <w:rsid w:val="00B65AAF"/>
    <w:rsid w:val="00B65D05"/>
    <w:rsid w:val="00B665DC"/>
    <w:rsid w:val="00B673DD"/>
    <w:rsid w:val="00B6750B"/>
    <w:rsid w:val="00B71116"/>
    <w:rsid w:val="00B731E2"/>
    <w:rsid w:val="00B749D8"/>
    <w:rsid w:val="00B756B8"/>
    <w:rsid w:val="00B76AE2"/>
    <w:rsid w:val="00B76B0F"/>
    <w:rsid w:val="00B77723"/>
    <w:rsid w:val="00B77EC2"/>
    <w:rsid w:val="00B81F33"/>
    <w:rsid w:val="00B82939"/>
    <w:rsid w:val="00B82DFC"/>
    <w:rsid w:val="00B835D4"/>
    <w:rsid w:val="00B83B9F"/>
    <w:rsid w:val="00B8476F"/>
    <w:rsid w:val="00B84F1B"/>
    <w:rsid w:val="00B855E3"/>
    <w:rsid w:val="00B85752"/>
    <w:rsid w:val="00B863A6"/>
    <w:rsid w:val="00B9086C"/>
    <w:rsid w:val="00B90AA4"/>
    <w:rsid w:val="00B92B47"/>
    <w:rsid w:val="00B93393"/>
    <w:rsid w:val="00B93BD9"/>
    <w:rsid w:val="00B9404B"/>
    <w:rsid w:val="00B949E4"/>
    <w:rsid w:val="00B94BF9"/>
    <w:rsid w:val="00B94C64"/>
    <w:rsid w:val="00B953F2"/>
    <w:rsid w:val="00B95E84"/>
    <w:rsid w:val="00B95F70"/>
    <w:rsid w:val="00BA07C6"/>
    <w:rsid w:val="00BA084B"/>
    <w:rsid w:val="00BA09F8"/>
    <w:rsid w:val="00BA2181"/>
    <w:rsid w:val="00BA2888"/>
    <w:rsid w:val="00BA42CC"/>
    <w:rsid w:val="00BA46DD"/>
    <w:rsid w:val="00BA48C5"/>
    <w:rsid w:val="00BA4A10"/>
    <w:rsid w:val="00BA5726"/>
    <w:rsid w:val="00BA5821"/>
    <w:rsid w:val="00BA6518"/>
    <w:rsid w:val="00BA6577"/>
    <w:rsid w:val="00BA6825"/>
    <w:rsid w:val="00BA6DC9"/>
    <w:rsid w:val="00BB108F"/>
    <w:rsid w:val="00BB23EB"/>
    <w:rsid w:val="00BB25FE"/>
    <w:rsid w:val="00BB2F92"/>
    <w:rsid w:val="00BB32F6"/>
    <w:rsid w:val="00BB62A0"/>
    <w:rsid w:val="00BB6308"/>
    <w:rsid w:val="00BB6962"/>
    <w:rsid w:val="00BB7BCA"/>
    <w:rsid w:val="00BC05AF"/>
    <w:rsid w:val="00BC11A0"/>
    <w:rsid w:val="00BC1533"/>
    <w:rsid w:val="00BC1B6C"/>
    <w:rsid w:val="00BC27C7"/>
    <w:rsid w:val="00BC2B32"/>
    <w:rsid w:val="00BC5201"/>
    <w:rsid w:val="00BC545F"/>
    <w:rsid w:val="00BC5BFA"/>
    <w:rsid w:val="00BD0CB3"/>
    <w:rsid w:val="00BD0D29"/>
    <w:rsid w:val="00BD1121"/>
    <w:rsid w:val="00BD1388"/>
    <w:rsid w:val="00BD1685"/>
    <w:rsid w:val="00BD25F9"/>
    <w:rsid w:val="00BD2FC0"/>
    <w:rsid w:val="00BD50FA"/>
    <w:rsid w:val="00BD516C"/>
    <w:rsid w:val="00BD52CF"/>
    <w:rsid w:val="00BD55B9"/>
    <w:rsid w:val="00BD78E5"/>
    <w:rsid w:val="00BE009E"/>
    <w:rsid w:val="00BE0BE7"/>
    <w:rsid w:val="00BE1508"/>
    <w:rsid w:val="00BE1825"/>
    <w:rsid w:val="00BE2FC5"/>
    <w:rsid w:val="00BE3075"/>
    <w:rsid w:val="00BE3CC2"/>
    <w:rsid w:val="00BE7FFA"/>
    <w:rsid w:val="00BF0146"/>
    <w:rsid w:val="00BF036C"/>
    <w:rsid w:val="00BF17E1"/>
    <w:rsid w:val="00BF2CB2"/>
    <w:rsid w:val="00BF3B10"/>
    <w:rsid w:val="00BF42DD"/>
    <w:rsid w:val="00BF4406"/>
    <w:rsid w:val="00BF47D6"/>
    <w:rsid w:val="00BF5DE1"/>
    <w:rsid w:val="00C01777"/>
    <w:rsid w:val="00C017E7"/>
    <w:rsid w:val="00C031FD"/>
    <w:rsid w:val="00C03716"/>
    <w:rsid w:val="00C03AFC"/>
    <w:rsid w:val="00C03DC2"/>
    <w:rsid w:val="00C04C67"/>
    <w:rsid w:val="00C0522A"/>
    <w:rsid w:val="00C065C7"/>
    <w:rsid w:val="00C06ED6"/>
    <w:rsid w:val="00C06F71"/>
    <w:rsid w:val="00C100CF"/>
    <w:rsid w:val="00C10693"/>
    <w:rsid w:val="00C15776"/>
    <w:rsid w:val="00C16D13"/>
    <w:rsid w:val="00C17055"/>
    <w:rsid w:val="00C17592"/>
    <w:rsid w:val="00C17EAE"/>
    <w:rsid w:val="00C21162"/>
    <w:rsid w:val="00C21C41"/>
    <w:rsid w:val="00C22523"/>
    <w:rsid w:val="00C227CF"/>
    <w:rsid w:val="00C22C62"/>
    <w:rsid w:val="00C24B1F"/>
    <w:rsid w:val="00C25ACC"/>
    <w:rsid w:val="00C27754"/>
    <w:rsid w:val="00C27B12"/>
    <w:rsid w:val="00C3154E"/>
    <w:rsid w:val="00C31EDE"/>
    <w:rsid w:val="00C3277B"/>
    <w:rsid w:val="00C3370C"/>
    <w:rsid w:val="00C34064"/>
    <w:rsid w:val="00C35630"/>
    <w:rsid w:val="00C3743E"/>
    <w:rsid w:val="00C40889"/>
    <w:rsid w:val="00C40904"/>
    <w:rsid w:val="00C40FE2"/>
    <w:rsid w:val="00C41E63"/>
    <w:rsid w:val="00C44D6A"/>
    <w:rsid w:val="00C452F5"/>
    <w:rsid w:val="00C45C12"/>
    <w:rsid w:val="00C46FB1"/>
    <w:rsid w:val="00C47094"/>
    <w:rsid w:val="00C470C9"/>
    <w:rsid w:val="00C5009C"/>
    <w:rsid w:val="00C50740"/>
    <w:rsid w:val="00C51189"/>
    <w:rsid w:val="00C51AC0"/>
    <w:rsid w:val="00C522BA"/>
    <w:rsid w:val="00C53D6F"/>
    <w:rsid w:val="00C543B6"/>
    <w:rsid w:val="00C54BFE"/>
    <w:rsid w:val="00C5513A"/>
    <w:rsid w:val="00C55F13"/>
    <w:rsid w:val="00C56EC5"/>
    <w:rsid w:val="00C5715F"/>
    <w:rsid w:val="00C57BF0"/>
    <w:rsid w:val="00C63F7B"/>
    <w:rsid w:val="00C6456D"/>
    <w:rsid w:val="00C64AD9"/>
    <w:rsid w:val="00C65A0E"/>
    <w:rsid w:val="00C66F24"/>
    <w:rsid w:val="00C6761E"/>
    <w:rsid w:val="00C70ECA"/>
    <w:rsid w:val="00C71369"/>
    <w:rsid w:val="00C71619"/>
    <w:rsid w:val="00C720A8"/>
    <w:rsid w:val="00C72565"/>
    <w:rsid w:val="00C726FE"/>
    <w:rsid w:val="00C7304B"/>
    <w:rsid w:val="00C7693C"/>
    <w:rsid w:val="00C76FB3"/>
    <w:rsid w:val="00C7748D"/>
    <w:rsid w:val="00C8032B"/>
    <w:rsid w:val="00C81A68"/>
    <w:rsid w:val="00C81B8B"/>
    <w:rsid w:val="00C82509"/>
    <w:rsid w:val="00C82AD2"/>
    <w:rsid w:val="00C83494"/>
    <w:rsid w:val="00C83CF6"/>
    <w:rsid w:val="00C85199"/>
    <w:rsid w:val="00C8542E"/>
    <w:rsid w:val="00C86EDB"/>
    <w:rsid w:val="00C87343"/>
    <w:rsid w:val="00C9051A"/>
    <w:rsid w:val="00C9154A"/>
    <w:rsid w:val="00C91DFD"/>
    <w:rsid w:val="00C9350B"/>
    <w:rsid w:val="00C9370C"/>
    <w:rsid w:val="00C9707E"/>
    <w:rsid w:val="00C971C0"/>
    <w:rsid w:val="00CA0D2D"/>
    <w:rsid w:val="00CA1800"/>
    <w:rsid w:val="00CA3D0A"/>
    <w:rsid w:val="00CA6DB4"/>
    <w:rsid w:val="00CA7917"/>
    <w:rsid w:val="00CA79F1"/>
    <w:rsid w:val="00CB07DB"/>
    <w:rsid w:val="00CB10DF"/>
    <w:rsid w:val="00CB14BE"/>
    <w:rsid w:val="00CB1763"/>
    <w:rsid w:val="00CB32A7"/>
    <w:rsid w:val="00CB3B91"/>
    <w:rsid w:val="00CB3D41"/>
    <w:rsid w:val="00CB4C75"/>
    <w:rsid w:val="00CB6DF2"/>
    <w:rsid w:val="00CB754A"/>
    <w:rsid w:val="00CC108A"/>
    <w:rsid w:val="00CC6222"/>
    <w:rsid w:val="00CC7A02"/>
    <w:rsid w:val="00CD0281"/>
    <w:rsid w:val="00CD0B62"/>
    <w:rsid w:val="00CD0C87"/>
    <w:rsid w:val="00CD1D09"/>
    <w:rsid w:val="00CD4E07"/>
    <w:rsid w:val="00CD749A"/>
    <w:rsid w:val="00CD765F"/>
    <w:rsid w:val="00CE1192"/>
    <w:rsid w:val="00CE24DD"/>
    <w:rsid w:val="00CE2AC5"/>
    <w:rsid w:val="00CE2F39"/>
    <w:rsid w:val="00CE3A02"/>
    <w:rsid w:val="00CE4314"/>
    <w:rsid w:val="00CE6404"/>
    <w:rsid w:val="00CE6ABC"/>
    <w:rsid w:val="00CE78C7"/>
    <w:rsid w:val="00CF05B1"/>
    <w:rsid w:val="00CF08D9"/>
    <w:rsid w:val="00CF0FF9"/>
    <w:rsid w:val="00CF11C4"/>
    <w:rsid w:val="00CF12F5"/>
    <w:rsid w:val="00CF2C71"/>
    <w:rsid w:val="00CF2CC2"/>
    <w:rsid w:val="00CF33F3"/>
    <w:rsid w:val="00CF3785"/>
    <w:rsid w:val="00CF6154"/>
    <w:rsid w:val="00CF630F"/>
    <w:rsid w:val="00CF649F"/>
    <w:rsid w:val="00D00D95"/>
    <w:rsid w:val="00D0114A"/>
    <w:rsid w:val="00D019CC"/>
    <w:rsid w:val="00D01CF5"/>
    <w:rsid w:val="00D02242"/>
    <w:rsid w:val="00D03039"/>
    <w:rsid w:val="00D054E6"/>
    <w:rsid w:val="00D05662"/>
    <w:rsid w:val="00D05BB6"/>
    <w:rsid w:val="00D05E4A"/>
    <w:rsid w:val="00D05E6A"/>
    <w:rsid w:val="00D0697B"/>
    <w:rsid w:val="00D07A51"/>
    <w:rsid w:val="00D105DB"/>
    <w:rsid w:val="00D11734"/>
    <w:rsid w:val="00D11C64"/>
    <w:rsid w:val="00D11E3A"/>
    <w:rsid w:val="00D12E22"/>
    <w:rsid w:val="00D15527"/>
    <w:rsid w:val="00D16C3A"/>
    <w:rsid w:val="00D16EC4"/>
    <w:rsid w:val="00D17E92"/>
    <w:rsid w:val="00D200C5"/>
    <w:rsid w:val="00D201C9"/>
    <w:rsid w:val="00D20E1D"/>
    <w:rsid w:val="00D21638"/>
    <w:rsid w:val="00D21ADF"/>
    <w:rsid w:val="00D22A38"/>
    <w:rsid w:val="00D233CE"/>
    <w:rsid w:val="00D23CD4"/>
    <w:rsid w:val="00D246C6"/>
    <w:rsid w:val="00D27302"/>
    <w:rsid w:val="00D2781C"/>
    <w:rsid w:val="00D27923"/>
    <w:rsid w:val="00D27B21"/>
    <w:rsid w:val="00D27B24"/>
    <w:rsid w:val="00D27E99"/>
    <w:rsid w:val="00D301B6"/>
    <w:rsid w:val="00D312F8"/>
    <w:rsid w:val="00D33AEA"/>
    <w:rsid w:val="00D33DC9"/>
    <w:rsid w:val="00D3451B"/>
    <w:rsid w:val="00D35137"/>
    <w:rsid w:val="00D359FF"/>
    <w:rsid w:val="00D36061"/>
    <w:rsid w:val="00D3607B"/>
    <w:rsid w:val="00D364DD"/>
    <w:rsid w:val="00D36A27"/>
    <w:rsid w:val="00D36DE1"/>
    <w:rsid w:val="00D40A25"/>
    <w:rsid w:val="00D4116A"/>
    <w:rsid w:val="00D42931"/>
    <w:rsid w:val="00D43BEB"/>
    <w:rsid w:val="00D4560A"/>
    <w:rsid w:val="00D475ED"/>
    <w:rsid w:val="00D479D5"/>
    <w:rsid w:val="00D500A8"/>
    <w:rsid w:val="00D523C7"/>
    <w:rsid w:val="00D52E03"/>
    <w:rsid w:val="00D5512B"/>
    <w:rsid w:val="00D568B7"/>
    <w:rsid w:val="00D57618"/>
    <w:rsid w:val="00D61686"/>
    <w:rsid w:val="00D644FB"/>
    <w:rsid w:val="00D648D1"/>
    <w:rsid w:val="00D650DF"/>
    <w:rsid w:val="00D655D7"/>
    <w:rsid w:val="00D65D0E"/>
    <w:rsid w:val="00D66580"/>
    <w:rsid w:val="00D66F2E"/>
    <w:rsid w:val="00D70317"/>
    <w:rsid w:val="00D72443"/>
    <w:rsid w:val="00D7278C"/>
    <w:rsid w:val="00D72D29"/>
    <w:rsid w:val="00D7427C"/>
    <w:rsid w:val="00D76EC6"/>
    <w:rsid w:val="00D80AB2"/>
    <w:rsid w:val="00D8490D"/>
    <w:rsid w:val="00D84BAC"/>
    <w:rsid w:val="00D85432"/>
    <w:rsid w:val="00D85740"/>
    <w:rsid w:val="00D860A3"/>
    <w:rsid w:val="00D864C0"/>
    <w:rsid w:val="00D8651D"/>
    <w:rsid w:val="00D86844"/>
    <w:rsid w:val="00D86876"/>
    <w:rsid w:val="00D87798"/>
    <w:rsid w:val="00D90F40"/>
    <w:rsid w:val="00D916AA"/>
    <w:rsid w:val="00D931C1"/>
    <w:rsid w:val="00D94F14"/>
    <w:rsid w:val="00D95C1E"/>
    <w:rsid w:val="00D97AA9"/>
    <w:rsid w:val="00DA03C5"/>
    <w:rsid w:val="00DA1B4F"/>
    <w:rsid w:val="00DA1EF1"/>
    <w:rsid w:val="00DA3A3B"/>
    <w:rsid w:val="00DA3E01"/>
    <w:rsid w:val="00DA42B7"/>
    <w:rsid w:val="00DA4FA9"/>
    <w:rsid w:val="00DA5C08"/>
    <w:rsid w:val="00DA7694"/>
    <w:rsid w:val="00DA7BDA"/>
    <w:rsid w:val="00DB0033"/>
    <w:rsid w:val="00DB0EAB"/>
    <w:rsid w:val="00DB1956"/>
    <w:rsid w:val="00DB1FA6"/>
    <w:rsid w:val="00DB39B3"/>
    <w:rsid w:val="00DB3EA8"/>
    <w:rsid w:val="00DB5242"/>
    <w:rsid w:val="00DB5741"/>
    <w:rsid w:val="00DB6B70"/>
    <w:rsid w:val="00DB77E5"/>
    <w:rsid w:val="00DC0068"/>
    <w:rsid w:val="00DC016F"/>
    <w:rsid w:val="00DC03F3"/>
    <w:rsid w:val="00DC0642"/>
    <w:rsid w:val="00DC244A"/>
    <w:rsid w:val="00DC594F"/>
    <w:rsid w:val="00DC5D28"/>
    <w:rsid w:val="00DC681C"/>
    <w:rsid w:val="00DD0342"/>
    <w:rsid w:val="00DD165B"/>
    <w:rsid w:val="00DD2C02"/>
    <w:rsid w:val="00DD36E0"/>
    <w:rsid w:val="00DD3B6E"/>
    <w:rsid w:val="00DD4B47"/>
    <w:rsid w:val="00DD6FF7"/>
    <w:rsid w:val="00DD7541"/>
    <w:rsid w:val="00DD756E"/>
    <w:rsid w:val="00DE039D"/>
    <w:rsid w:val="00DE057F"/>
    <w:rsid w:val="00DE09DC"/>
    <w:rsid w:val="00DE1A54"/>
    <w:rsid w:val="00DE4719"/>
    <w:rsid w:val="00DE5421"/>
    <w:rsid w:val="00DE6231"/>
    <w:rsid w:val="00DE7014"/>
    <w:rsid w:val="00DE7135"/>
    <w:rsid w:val="00DE7BC4"/>
    <w:rsid w:val="00DF1B9C"/>
    <w:rsid w:val="00DF1F9C"/>
    <w:rsid w:val="00DF2594"/>
    <w:rsid w:val="00DF2814"/>
    <w:rsid w:val="00DF2C08"/>
    <w:rsid w:val="00DF374C"/>
    <w:rsid w:val="00DF7EED"/>
    <w:rsid w:val="00E02EDF"/>
    <w:rsid w:val="00E0556A"/>
    <w:rsid w:val="00E059A9"/>
    <w:rsid w:val="00E05EEE"/>
    <w:rsid w:val="00E06CE7"/>
    <w:rsid w:val="00E0755A"/>
    <w:rsid w:val="00E10EEA"/>
    <w:rsid w:val="00E12372"/>
    <w:rsid w:val="00E12C95"/>
    <w:rsid w:val="00E141BF"/>
    <w:rsid w:val="00E14B56"/>
    <w:rsid w:val="00E16776"/>
    <w:rsid w:val="00E1692E"/>
    <w:rsid w:val="00E1729A"/>
    <w:rsid w:val="00E174AB"/>
    <w:rsid w:val="00E17E65"/>
    <w:rsid w:val="00E2050D"/>
    <w:rsid w:val="00E2076C"/>
    <w:rsid w:val="00E218E6"/>
    <w:rsid w:val="00E22919"/>
    <w:rsid w:val="00E25B8B"/>
    <w:rsid w:val="00E26935"/>
    <w:rsid w:val="00E269CF"/>
    <w:rsid w:val="00E271F7"/>
    <w:rsid w:val="00E27FD9"/>
    <w:rsid w:val="00E31947"/>
    <w:rsid w:val="00E3218C"/>
    <w:rsid w:val="00E34535"/>
    <w:rsid w:val="00E350CD"/>
    <w:rsid w:val="00E35D6A"/>
    <w:rsid w:val="00E36848"/>
    <w:rsid w:val="00E3707F"/>
    <w:rsid w:val="00E4085B"/>
    <w:rsid w:val="00E42454"/>
    <w:rsid w:val="00E42624"/>
    <w:rsid w:val="00E43FB9"/>
    <w:rsid w:val="00E44BCE"/>
    <w:rsid w:val="00E4509A"/>
    <w:rsid w:val="00E4534A"/>
    <w:rsid w:val="00E45487"/>
    <w:rsid w:val="00E454C2"/>
    <w:rsid w:val="00E46EBC"/>
    <w:rsid w:val="00E47BB5"/>
    <w:rsid w:val="00E5004F"/>
    <w:rsid w:val="00E5011B"/>
    <w:rsid w:val="00E5040C"/>
    <w:rsid w:val="00E50A9E"/>
    <w:rsid w:val="00E50E95"/>
    <w:rsid w:val="00E50EE3"/>
    <w:rsid w:val="00E52942"/>
    <w:rsid w:val="00E53C4E"/>
    <w:rsid w:val="00E54229"/>
    <w:rsid w:val="00E5457D"/>
    <w:rsid w:val="00E54957"/>
    <w:rsid w:val="00E549C7"/>
    <w:rsid w:val="00E54DE5"/>
    <w:rsid w:val="00E56089"/>
    <w:rsid w:val="00E5737F"/>
    <w:rsid w:val="00E57BCA"/>
    <w:rsid w:val="00E62AEF"/>
    <w:rsid w:val="00E63D3D"/>
    <w:rsid w:val="00E650C4"/>
    <w:rsid w:val="00E65443"/>
    <w:rsid w:val="00E658A6"/>
    <w:rsid w:val="00E65E22"/>
    <w:rsid w:val="00E65F10"/>
    <w:rsid w:val="00E66801"/>
    <w:rsid w:val="00E71546"/>
    <w:rsid w:val="00E716EB"/>
    <w:rsid w:val="00E71CBA"/>
    <w:rsid w:val="00E72932"/>
    <w:rsid w:val="00E74CA1"/>
    <w:rsid w:val="00E7527A"/>
    <w:rsid w:val="00E75B15"/>
    <w:rsid w:val="00E76268"/>
    <w:rsid w:val="00E76B62"/>
    <w:rsid w:val="00E76EE1"/>
    <w:rsid w:val="00E770D7"/>
    <w:rsid w:val="00E7752A"/>
    <w:rsid w:val="00E817FE"/>
    <w:rsid w:val="00E81F72"/>
    <w:rsid w:val="00E84B55"/>
    <w:rsid w:val="00E85EBC"/>
    <w:rsid w:val="00E870EB"/>
    <w:rsid w:val="00E871A2"/>
    <w:rsid w:val="00E87B9A"/>
    <w:rsid w:val="00E90AFE"/>
    <w:rsid w:val="00E92C01"/>
    <w:rsid w:val="00E933E3"/>
    <w:rsid w:val="00E93C4C"/>
    <w:rsid w:val="00E948E4"/>
    <w:rsid w:val="00E950C2"/>
    <w:rsid w:val="00E96067"/>
    <w:rsid w:val="00E979B6"/>
    <w:rsid w:val="00EA0987"/>
    <w:rsid w:val="00EA1012"/>
    <w:rsid w:val="00EA1740"/>
    <w:rsid w:val="00EA2C85"/>
    <w:rsid w:val="00EA3097"/>
    <w:rsid w:val="00EA444A"/>
    <w:rsid w:val="00EA5644"/>
    <w:rsid w:val="00EA5B2A"/>
    <w:rsid w:val="00EA5D96"/>
    <w:rsid w:val="00EA68B0"/>
    <w:rsid w:val="00EA6B24"/>
    <w:rsid w:val="00EA7A1A"/>
    <w:rsid w:val="00EB0CBE"/>
    <w:rsid w:val="00EB28BA"/>
    <w:rsid w:val="00EB403B"/>
    <w:rsid w:val="00EB4AB3"/>
    <w:rsid w:val="00EB6C94"/>
    <w:rsid w:val="00EC0E8C"/>
    <w:rsid w:val="00EC3C86"/>
    <w:rsid w:val="00EC48CC"/>
    <w:rsid w:val="00EC4B35"/>
    <w:rsid w:val="00EC52A5"/>
    <w:rsid w:val="00EC5C7D"/>
    <w:rsid w:val="00EC618C"/>
    <w:rsid w:val="00EC6367"/>
    <w:rsid w:val="00EC6B10"/>
    <w:rsid w:val="00EC7850"/>
    <w:rsid w:val="00ED0268"/>
    <w:rsid w:val="00ED04F8"/>
    <w:rsid w:val="00ED0730"/>
    <w:rsid w:val="00ED252D"/>
    <w:rsid w:val="00ED252F"/>
    <w:rsid w:val="00ED3760"/>
    <w:rsid w:val="00ED3D8D"/>
    <w:rsid w:val="00ED46B6"/>
    <w:rsid w:val="00ED7E1E"/>
    <w:rsid w:val="00EE021A"/>
    <w:rsid w:val="00EE1815"/>
    <w:rsid w:val="00EE372C"/>
    <w:rsid w:val="00EE5DE4"/>
    <w:rsid w:val="00EE644B"/>
    <w:rsid w:val="00EE715D"/>
    <w:rsid w:val="00EE7401"/>
    <w:rsid w:val="00EF0E56"/>
    <w:rsid w:val="00EF1E5B"/>
    <w:rsid w:val="00EF281F"/>
    <w:rsid w:val="00EF4407"/>
    <w:rsid w:val="00EF4C4C"/>
    <w:rsid w:val="00EF4E74"/>
    <w:rsid w:val="00EF6029"/>
    <w:rsid w:val="00EF68AC"/>
    <w:rsid w:val="00EF6EF1"/>
    <w:rsid w:val="00F009A4"/>
    <w:rsid w:val="00F00E47"/>
    <w:rsid w:val="00F01D36"/>
    <w:rsid w:val="00F02AE5"/>
    <w:rsid w:val="00F03ABF"/>
    <w:rsid w:val="00F04FBD"/>
    <w:rsid w:val="00F12B14"/>
    <w:rsid w:val="00F12EF4"/>
    <w:rsid w:val="00F1564F"/>
    <w:rsid w:val="00F205D9"/>
    <w:rsid w:val="00F221DC"/>
    <w:rsid w:val="00F255FF"/>
    <w:rsid w:val="00F25A0A"/>
    <w:rsid w:val="00F2608D"/>
    <w:rsid w:val="00F2660B"/>
    <w:rsid w:val="00F26773"/>
    <w:rsid w:val="00F318D0"/>
    <w:rsid w:val="00F328EA"/>
    <w:rsid w:val="00F35ACA"/>
    <w:rsid w:val="00F362EB"/>
    <w:rsid w:val="00F36521"/>
    <w:rsid w:val="00F36C83"/>
    <w:rsid w:val="00F37388"/>
    <w:rsid w:val="00F374C2"/>
    <w:rsid w:val="00F37696"/>
    <w:rsid w:val="00F41D83"/>
    <w:rsid w:val="00F437EB"/>
    <w:rsid w:val="00F45878"/>
    <w:rsid w:val="00F462FC"/>
    <w:rsid w:val="00F468F2"/>
    <w:rsid w:val="00F47291"/>
    <w:rsid w:val="00F50273"/>
    <w:rsid w:val="00F50379"/>
    <w:rsid w:val="00F507DB"/>
    <w:rsid w:val="00F5189C"/>
    <w:rsid w:val="00F5428F"/>
    <w:rsid w:val="00F54752"/>
    <w:rsid w:val="00F54E0E"/>
    <w:rsid w:val="00F5582B"/>
    <w:rsid w:val="00F55AB1"/>
    <w:rsid w:val="00F55C3C"/>
    <w:rsid w:val="00F560A6"/>
    <w:rsid w:val="00F5668E"/>
    <w:rsid w:val="00F56992"/>
    <w:rsid w:val="00F56C32"/>
    <w:rsid w:val="00F56D75"/>
    <w:rsid w:val="00F626FB"/>
    <w:rsid w:val="00F63081"/>
    <w:rsid w:val="00F64428"/>
    <w:rsid w:val="00F653DE"/>
    <w:rsid w:val="00F66131"/>
    <w:rsid w:val="00F67284"/>
    <w:rsid w:val="00F7039E"/>
    <w:rsid w:val="00F7055D"/>
    <w:rsid w:val="00F7134F"/>
    <w:rsid w:val="00F71373"/>
    <w:rsid w:val="00F713EC"/>
    <w:rsid w:val="00F71C20"/>
    <w:rsid w:val="00F732B8"/>
    <w:rsid w:val="00F7342A"/>
    <w:rsid w:val="00F73889"/>
    <w:rsid w:val="00F741A7"/>
    <w:rsid w:val="00F7451B"/>
    <w:rsid w:val="00F7453E"/>
    <w:rsid w:val="00F7494F"/>
    <w:rsid w:val="00F752C6"/>
    <w:rsid w:val="00F75530"/>
    <w:rsid w:val="00F762B5"/>
    <w:rsid w:val="00F77830"/>
    <w:rsid w:val="00F84318"/>
    <w:rsid w:val="00F84ABB"/>
    <w:rsid w:val="00F92A4A"/>
    <w:rsid w:val="00F933AE"/>
    <w:rsid w:val="00F93B9C"/>
    <w:rsid w:val="00F94D1E"/>
    <w:rsid w:val="00F95BDB"/>
    <w:rsid w:val="00F9698D"/>
    <w:rsid w:val="00F96BC1"/>
    <w:rsid w:val="00F96E59"/>
    <w:rsid w:val="00FA07D2"/>
    <w:rsid w:val="00FA0DDF"/>
    <w:rsid w:val="00FA147E"/>
    <w:rsid w:val="00FA2A00"/>
    <w:rsid w:val="00FA45A4"/>
    <w:rsid w:val="00FA4B55"/>
    <w:rsid w:val="00FA5816"/>
    <w:rsid w:val="00FA61FB"/>
    <w:rsid w:val="00FA6A7E"/>
    <w:rsid w:val="00FA6BA0"/>
    <w:rsid w:val="00FB0B96"/>
    <w:rsid w:val="00FB1479"/>
    <w:rsid w:val="00FB1B6F"/>
    <w:rsid w:val="00FB1DB0"/>
    <w:rsid w:val="00FB31DF"/>
    <w:rsid w:val="00FB4A17"/>
    <w:rsid w:val="00FB53E0"/>
    <w:rsid w:val="00FB53EE"/>
    <w:rsid w:val="00FB5BE0"/>
    <w:rsid w:val="00FB66CD"/>
    <w:rsid w:val="00FB6FFC"/>
    <w:rsid w:val="00FC02A9"/>
    <w:rsid w:val="00FC060D"/>
    <w:rsid w:val="00FC19FA"/>
    <w:rsid w:val="00FC1EA5"/>
    <w:rsid w:val="00FC4AEE"/>
    <w:rsid w:val="00FC4E87"/>
    <w:rsid w:val="00FC5809"/>
    <w:rsid w:val="00FC672E"/>
    <w:rsid w:val="00FC6CE4"/>
    <w:rsid w:val="00FC6D64"/>
    <w:rsid w:val="00FC6F81"/>
    <w:rsid w:val="00FC7A6B"/>
    <w:rsid w:val="00FD1E6B"/>
    <w:rsid w:val="00FD247C"/>
    <w:rsid w:val="00FD2C12"/>
    <w:rsid w:val="00FD2E1C"/>
    <w:rsid w:val="00FD2F2A"/>
    <w:rsid w:val="00FD51CB"/>
    <w:rsid w:val="00FD5494"/>
    <w:rsid w:val="00FD5B72"/>
    <w:rsid w:val="00FD5F42"/>
    <w:rsid w:val="00FD6FB2"/>
    <w:rsid w:val="00FE16D3"/>
    <w:rsid w:val="00FE32C2"/>
    <w:rsid w:val="00FE40D5"/>
    <w:rsid w:val="00FE4CB0"/>
    <w:rsid w:val="00FE5677"/>
    <w:rsid w:val="00FE5E27"/>
    <w:rsid w:val="00FE5E3B"/>
    <w:rsid w:val="00FE60AD"/>
    <w:rsid w:val="00FE7278"/>
    <w:rsid w:val="00FE73D2"/>
    <w:rsid w:val="00FE774C"/>
    <w:rsid w:val="00FF198B"/>
    <w:rsid w:val="00FF1FFC"/>
    <w:rsid w:val="00FF2F36"/>
    <w:rsid w:val="00FF37E6"/>
    <w:rsid w:val="00FF3ADC"/>
    <w:rsid w:val="00FF41DA"/>
    <w:rsid w:val="00FF4533"/>
    <w:rsid w:val="00FF45E1"/>
    <w:rsid w:val="00FF6170"/>
    <w:rsid w:val="00FF63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BFC88"/>
  <w15:docId w15:val="{8D5F45C1-6A4E-4419-BB0B-A1F4B997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9519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C7E"/>
    <w:pPr>
      <w:spacing w:after="0" w:line="240" w:lineRule="auto"/>
    </w:pPr>
  </w:style>
  <w:style w:type="paragraph" w:styleId="FootnoteText">
    <w:name w:val="footnote text"/>
    <w:basedOn w:val="Normal"/>
    <w:link w:val="FootnoteTextChar"/>
    <w:uiPriority w:val="99"/>
    <w:unhideWhenUsed/>
    <w:rsid w:val="00B5013F"/>
    <w:pPr>
      <w:spacing w:after="0" w:line="240" w:lineRule="auto"/>
    </w:pPr>
    <w:rPr>
      <w:sz w:val="20"/>
      <w:szCs w:val="20"/>
    </w:rPr>
  </w:style>
  <w:style w:type="character" w:customStyle="1" w:styleId="FootnoteTextChar">
    <w:name w:val="Footnote Text Char"/>
    <w:basedOn w:val="DefaultParagraphFont"/>
    <w:link w:val="FootnoteText"/>
    <w:uiPriority w:val="99"/>
    <w:rsid w:val="00B5013F"/>
    <w:rPr>
      <w:sz w:val="20"/>
      <w:szCs w:val="20"/>
    </w:rPr>
  </w:style>
  <w:style w:type="character" w:styleId="FootnoteReference">
    <w:name w:val="footnote reference"/>
    <w:basedOn w:val="DefaultParagraphFont"/>
    <w:uiPriority w:val="99"/>
    <w:unhideWhenUsed/>
    <w:rsid w:val="00B5013F"/>
    <w:rPr>
      <w:vertAlign w:val="superscript"/>
    </w:rPr>
  </w:style>
  <w:style w:type="paragraph" w:styleId="ListParagraph">
    <w:name w:val="List Paragraph"/>
    <w:basedOn w:val="Normal"/>
    <w:uiPriority w:val="34"/>
    <w:qFormat/>
    <w:rsid w:val="00207D05"/>
    <w:pPr>
      <w:ind w:left="720"/>
      <w:contextualSpacing/>
    </w:pPr>
  </w:style>
  <w:style w:type="character" w:customStyle="1" w:styleId="apple-converted-space">
    <w:name w:val="apple-converted-space"/>
    <w:basedOn w:val="DefaultParagraphFont"/>
    <w:rsid w:val="00DB39B3"/>
  </w:style>
  <w:style w:type="paragraph" w:customStyle="1" w:styleId="jugmentnumbered">
    <w:name w:val="jugmentnumbered"/>
    <w:basedOn w:val="Normal"/>
    <w:rsid w:val="00711D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F25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5FF"/>
  </w:style>
  <w:style w:type="paragraph" w:styleId="Footer">
    <w:name w:val="footer"/>
    <w:basedOn w:val="Normal"/>
    <w:link w:val="FooterChar"/>
    <w:uiPriority w:val="99"/>
    <w:unhideWhenUsed/>
    <w:rsid w:val="00F25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5FF"/>
  </w:style>
  <w:style w:type="paragraph" w:styleId="BalloonText">
    <w:name w:val="Balloon Text"/>
    <w:basedOn w:val="Normal"/>
    <w:link w:val="BalloonTextChar"/>
    <w:uiPriority w:val="99"/>
    <w:semiHidden/>
    <w:unhideWhenUsed/>
    <w:rsid w:val="00C72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0A8"/>
    <w:rPr>
      <w:rFonts w:ascii="Segoe UI" w:hAnsi="Segoe UI" w:cs="Segoe UI"/>
      <w:sz w:val="18"/>
      <w:szCs w:val="18"/>
    </w:rPr>
  </w:style>
  <w:style w:type="character" w:styleId="CommentReference">
    <w:name w:val="annotation reference"/>
    <w:basedOn w:val="DefaultParagraphFont"/>
    <w:uiPriority w:val="99"/>
    <w:semiHidden/>
    <w:unhideWhenUsed/>
    <w:rsid w:val="00985510"/>
    <w:rPr>
      <w:sz w:val="18"/>
      <w:szCs w:val="18"/>
    </w:rPr>
  </w:style>
  <w:style w:type="paragraph" w:styleId="CommentText">
    <w:name w:val="annotation text"/>
    <w:basedOn w:val="Normal"/>
    <w:link w:val="CommentTextChar"/>
    <w:uiPriority w:val="99"/>
    <w:semiHidden/>
    <w:unhideWhenUsed/>
    <w:rsid w:val="00985510"/>
    <w:pPr>
      <w:spacing w:line="240" w:lineRule="auto"/>
    </w:pPr>
    <w:rPr>
      <w:sz w:val="24"/>
      <w:szCs w:val="24"/>
    </w:rPr>
  </w:style>
  <w:style w:type="character" w:customStyle="1" w:styleId="CommentTextChar">
    <w:name w:val="Comment Text Char"/>
    <w:basedOn w:val="DefaultParagraphFont"/>
    <w:link w:val="CommentText"/>
    <w:uiPriority w:val="99"/>
    <w:semiHidden/>
    <w:rsid w:val="00985510"/>
    <w:rPr>
      <w:sz w:val="24"/>
      <w:szCs w:val="24"/>
    </w:rPr>
  </w:style>
  <w:style w:type="paragraph" w:styleId="CommentSubject">
    <w:name w:val="annotation subject"/>
    <w:basedOn w:val="CommentText"/>
    <w:next w:val="CommentText"/>
    <w:link w:val="CommentSubjectChar"/>
    <w:uiPriority w:val="99"/>
    <w:semiHidden/>
    <w:unhideWhenUsed/>
    <w:rsid w:val="00985510"/>
    <w:rPr>
      <w:b/>
      <w:bCs/>
      <w:sz w:val="20"/>
      <w:szCs w:val="20"/>
    </w:rPr>
  </w:style>
  <w:style w:type="character" w:customStyle="1" w:styleId="CommentSubjectChar">
    <w:name w:val="Comment Subject Char"/>
    <w:basedOn w:val="CommentTextChar"/>
    <w:link w:val="CommentSubject"/>
    <w:uiPriority w:val="99"/>
    <w:semiHidden/>
    <w:rsid w:val="00985510"/>
    <w:rPr>
      <w:b/>
      <w:bCs/>
      <w:sz w:val="20"/>
      <w:szCs w:val="20"/>
    </w:rPr>
  </w:style>
  <w:style w:type="character" w:styleId="Emphasis">
    <w:name w:val="Emphasis"/>
    <w:basedOn w:val="DefaultParagraphFont"/>
    <w:uiPriority w:val="20"/>
    <w:qFormat/>
    <w:rsid w:val="001C25CA"/>
    <w:rPr>
      <w:i/>
      <w:iCs/>
    </w:rPr>
  </w:style>
  <w:style w:type="character" w:customStyle="1" w:styleId="akn-term">
    <w:name w:val="akn-term"/>
    <w:basedOn w:val="DefaultParagraphFont"/>
    <w:rsid w:val="007867BC"/>
  </w:style>
  <w:style w:type="character" w:customStyle="1" w:styleId="akn-num">
    <w:name w:val="akn-num"/>
    <w:basedOn w:val="DefaultParagraphFont"/>
    <w:rsid w:val="00D7278C"/>
  </w:style>
  <w:style w:type="character" w:customStyle="1" w:styleId="akn-p">
    <w:name w:val="akn-p"/>
    <w:basedOn w:val="DefaultParagraphFont"/>
    <w:rsid w:val="00D7278C"/>
  </w:style>
  <w:style w:type="character" w:customStyle="1" w:styleId="akn-listintroduction">
    <w:name w:val="akn-listintroduction"/>
    <w:basedOn w:val="DefaultParagraphFont"/>
    <w:rsid w:val="00637546"/>
  </w:style>
  <w:style w:type="paragraph" w:styleId="NormalWeb">
    <w:name w:val="Normal (Web)"/>
    <w:basedOn w:val="Normal"/>
    <w:uiPriority w:val="99"/>
    <w:unhideWhenUsed/>
    <w:rsid w:val="00A02C2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A02C21"/>
    <w:rPr>
      <w:color w:val="0000FF"/>
      <w:u w:val="single"/>
    </w:rPr>
  </w:style>
  <w:style w:type="paragraph" w:customStyle="1" w:styleId="rteindent1">
    <w:name w:val="rteindent1"/>
    <w:basedOn w:val="Normal"/>
    <w:rsid w:val="00A02C2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A02C21"/>
    <w:rPr>
      <w:b/>
      <w:bCs/>
    </w:rPr>
  </w:style>
  <w:style w:type="paragraph" w:customStyle="1" w:styleId="western">
    <w:name w:val="western"/>
    <w:basedOn w:val="Normal"/>
    <w:rsid w:val="00B92B4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semiHidden/>
    <w:rsid w:val="00A9519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4869">
      <w:bodyDiv w:val="1"/>
      <w:marLeft w:val="0"/>
      <w:marRight w:val="0"/>
      <w:marTop w:val="0"/>
      <w:marBottom w:val="0"/>
      <w:divBdr>
        <w:top w:val="none" w:sz="0" w:space="0" w:color="auto"/>
        <w:left w:val="none" w:sz="0" w:space="0" w:color="auto"/>
        <w:bottom w:val="none" w:sz="0" w:space="0" w:color="auto"/>
        <w:right w:val="none" w:sz="0" w:space="0" w:color="auto"/>
      </w:divBdr>
    </w:div>
    <w:div w:id="17778236">
      <w:bodyDiv w:val="1"/>
      <w:marLeft w:val="0"/>
      <w:marRight w:val="0"/>
      <w:marTop w:val="0"/>
      <w:marBottom w:val="0"/>
      <w:divBdr>
        <w:top w:val="none" w:sz="0" w:space="0" w:color="auto"/>
        <w:left w:val="none" w:sz="0" w:space="0" w:color="auto"/>
        <w:bottom w:val="none" w:sz="0" w:space="0" w:color="auto"/>
        <w:right w:val="none" w:sz="0" w:space="0" w:color="auto"/>
      </w:divBdr>
    </w:div>
    <w:div w:id="205338315">
      <w:bodyDiv w:val="1"/>
      <w:marLeft w:val="0"/>
      <w:marRight w:val="0"/>
      <w:marTop w:val="0"/>
      <w:marBottom w:val="0"/>
      <w:divBdr>
        <w:top w:val="none" w:sz="0" w:space="0" w:color="auto"/>
        <w:left w:val="none" w:sz="0" w:space="0" w:color="auto"/>
        <w:bottom w:val="none" w:sz="0" w:space="0" w:color="auto"/>
        <w:right w:val="none" w:sz="0" w:space="0" w:color="auto"/>
      </w:divBdr>
    </w:div>
    <w:div w:id="294335230">
      <w:bodyDiv w:val="1"/>
      <w:marLeft w:val="0"/>
      <w:marRight w:val="0"/>
      <w:marTop w:val="0"/>
      <w:marBottom w:val="0"/>
      <w:divBdr>
        <w:top w:val="none" w:sz="0" w:space="0" w:color="auto"/>
        <w:left w:val="none" w:sz="0" w:space="0" w:color="auto"/>
        <w:bottom w:val="none" w:sz="0" w:space="0" w:color="auto"/>
        <w:right w:val="none" w:sz="0" w:space="0" w:color="auto"/>
      </w:divBdr>
    </w:div>
    <w:div w:id="337587801">
      <w:bodyDiv w:val="1"/>
      <w:marLeft w:val="0"/>
      <w:marRight w:val="0"/>
      <w:marTop w:val="0"/>
      <w:marBottom w:val="0"/>
      <w:divBdr>
        <w:top w:val="none" w:sz="0" w:space="0" w:color="auto"/>
        <w:left w:val="none" w:sz="0" w:space="0" w:color="auto"/>
        <w:bottom w:val="none" w:sz="0" w:space="0" w:color="auto"/>
        <w:right w:val="none" w:sz="0" w:space="0" w:color="auto"/>
      </w:divBdr>
    </w:div>
    <w:div w:id="376783885">
      <w:bodyDiv w:val="1"/>
      <w:marLeft w:val="0"/>
      <w:marRight w:val="0"/>
      <w:marTop w:val="0"/>
      <w:marBottom w:val="0"/>
      <w:divBdr>
        <w:top w:val="none" w:sz="0" w:space="0" w:color="auto"/>
        <w:left w:val="none" w:sz="0" w:space="0" w:color="auto"/>
        <w:bottom w:val="none" w:sz="0" w:space="0" w:color="auto"/>
        <w:right w:val="none" w:sz="0" w:space="0" w:color="auto"/>
      </w:divBdr>
    </w:div>
    <w:div w:id="408426856">
      <w:bodyDiv w:val="1"/>
      <w:marLeft w:val="0"/>
      <w:marRight w:val="0"/>
      <w:marTop w:val="0"/>
      <w:marBottom w:val="0"/>
      <w:divBdr>
        <w:top w:val="none" w:sz="0" w:space="0" w:color="auto"/>
        <w:left w:val="none" w:sz="0" w:space="0" w:color="auto"/>
        <w:bottom w:val="none" w:sz="0" w:space="0" w:color="auto"/>
        <w:right w:val="none" w:sz="0" w:space="0" w:color="auto"/>
      </w:divBdr>
    </w:div>
    <w:div w:id="610287834">
      <w:bodyDiv w:val="1"/>
      <w:marLeft w:val="0"/>
      <w:marRight w:val="0"/>
      <w:marTop w:val="0"/>
      <w:marBottom w:val="0"/>
      <w:divBdr>
        <w:top w:val="none" w:sz="0" w:space="0" w:color="auto"/>
        <w:left w:val="none" w:sz="0" w:space="0" w:color="auto"/>
        <w:bottom w:val="none" w:sz="0" w:space="0" w:color="auto"/>
        <w:right w:val="none" w:sz="0" w:space="0" w:color="auto"/>
      </w:divBdr>
    </w:div>
    <w:div w:id="791366479">
      <w:bodyDiv w:val="1"/>
      <w:marLeft w:val="0"/>
      <w:marRight w:val="0"/>
      <w:marTop w:val="0"/>
      <w:marBottom w:val="0"/>
      <w:divBdr>
        <w:top w:val="none" w:sz="0" w:space="0" w:color="auto"/>
        <w:left w:val="none" w:sz="0" w:space="0" w:color="auto"/>
        <w:bottom w:val="none" w:sz="0" w:space="0" w:color="auto"/>
        <w:right w:val="none" w:sz="0" w:space="0" w:color="auto"/>
      </w:divBdr>
    </w:div>
    <w:div w:id="907105950">
      <w:bodyDiv w:val="1"/>
      <w:marLeft w:val="0"/>
      <w:marRight w:val="0"/>
      <w:marTop w:val="0"/>
      <w:marBottom w:val="0"/>
      <w:divBdr>
        <w:top w:val="none" w:sz="0" w:space="0" w:color="auto"/>
        <w:left w:val="none" w:sz="0" w:space="0" w:color="auto"/>
        <w:bottom w:val="none" w:sz="0" w:space="0" w:color="auto"/>
        <w:right w:val="none" w:sz="0" w:space="0" w:color="auto"/>
      </w:divBdr>
    </w:div>
    <w:div w:id="940378036">
      <w:bodyDiv w:val="1"/>
      <w:marLeft w:val="0"/>
      <w:marRight w:val="0"/>
      <w:marTop w:val="0"/>
      <w:marBottom w:val="0"/>
      <w:divBdr>
        <w:top w:val="none" w:sz="0" w:space="0" w:color="auto"/>
        <w:left w:val="none" w:sz="0" w:space="0" w:color="auto"/>
        <w:bottom w:val="none" w:sz="0" w:space="0" w:color="auto"/>
        <w:right w:val="none" w:sz="0" w:space="0" w:color="auto"/>
      </w:divBdr>
    </w:div>
    <w:div w:id="945113776">
      <w:bodyDiv w:val="1"/>
      <w:marLeft w:val="0"/>
      <w:marRight w:val="0"/>
      <w:marTop w:val="0"/>
      <w:marBottom w:val="0"/>
      <w:divBdr>
        <w:top w:val="none" w:sz="0" w:space="0" w:color="auto"/>
        <w:left w:val="none" w:sz="0" w:space="0" w:color="auto"/>
        <w:bottom w:val="none" w:sz="0" w:space="0" w:color="auto"/>
        <w:right w:val="none" w:sz="0" w:space="0" w:color="auto"/>
      </w:divBdr>
    </w:div>
    <w:div w:id="1021707445">
      <w:bodyDiv w:val="1"/>
      <w:marLeft w:val="0"/>
      <w:marRight w:val="0"/>
      <w:marTop w:val="0"/>
      <w:marBottom w:val="0"/>
      <w:divBdr>
        <w:top w:val="none" w:sz="0" w:space="0" w:color="auto"/>
        <w:left w:val="none" w:sz="0" w:space="0" w:color="auto"/>
        <w:bottom w:val="none" w:sz="0" w:space="0" w:color="auto"/>
        <w:right w:val="none" w:sz="0" w:space="0" w:color="auto"/>
      </w:divBdr>
    </w:div>
    <w:div w:id="1312439422">
      <w:bodyDiv w:val="1"/>
      <w:marLeft w:val="0"/>
      <w:marRight w:val="0"/>
      <w:marTop w:val="0"/>
      <w:marBottom w:val="0"/>
      <w:divBdr>
        <w:top w:val="none" w:sz="0" w:space="0" w:color="auto"/>
        <w:left w:val="none" w:sz="0" w:space="0" w:color="auto"/>
        <w:bottom w:val="none" w:sz="0" w:space="0" w:color="auto"/>
        <w:right w:val="none" w:sz="0" w:space="0" w:color="auto"/>
      </w:divBdr>
    </w:div>
    <w:div w:id="1419908301">
      <w:bodyDiv w:val="1"/>
      <w:marLeft w:val="0"/>
      <w:marRight w:val="0"/>
      <w:marTop w:val="0"/>
      <w:marBottom w:val="0"/>
      <w:divBdr>
        <w:top w:val="none" w:sz="0" w:space="0" w:color="auto"/>
        <w:left w:val="none" w:sz="0" w:space="0" w:color="auto"/>
        <w:bottom w:val="none" w:sz="0" w:space="0" w:color="auto"/>
        <w:right w:val="none" w:sz="0" w:space="0" w:color="auto"/>
      </w:divBdr>
      <w:divsChild>
        <w:div w:id="1270039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9622641">
      <w:bodyDiv w:val="1"/>
      <w:marLeft w:val="0"/>
      <w:marRight w:val="0"/>
      <w:marTop w:val="0"/>
      <w:marBottom w:val="0"/>
      <w:divBdr>
        <w:top w:val="none" w:sz="0" w:space="0" w:color="auto"/>
        <w:left w:val="none" w:sz="0" w:space="0" w:color="auto"/>
        <w:bottom w:val="none" w:sz="0" w:space="0" w:color="auto"/>
        <w:right w:val="none" w:sz="0" w:space="0" w:color="auto"/>
      </w:divBdr>
    </w:div>
    <w:div w:id="1500846788">
      <w:bodyDiv w:val="1"/>
      <w:marLeft w:val="0"/>
      <w:marRight w:val="0"/>
      <w:marTop w:val="0"/>
      <w:marBottom w:val="0"/>
      <w:divBdr>
        <w:top w:val="none" w:sz="0" w:space="0" w:color="auto"/>
        <w:left w:val="none" w:sz="0" w:space="0" w:color="auto"/>
        <w:bottom w:val="none" w:sz="0" w:space="0" w:color="auto"/>
        <w:right w:val="none" w:sz="0" w:space="0" w:color="auto"/>
      </w:divBdr>
    </w:div>
    <w:div w:id="1638687275">
      <w:bodyDiv w:val="1"/>
      <w:marLeft w:val="0"/>
      <w:marRight w:val="0"/>
      <w:marTop w:val="0"/>
      <w:marBottom w:val="0"/>
      <w:divBdr>
        <w:top w:val="none" w:sz="0" w:space="0" w:color="auto"/>
        <w:left w:val="none" w:sz="0" w:space="0" w:color="auto"/>
        <w:bottom w:val="none" w:sz="0" w:space="0" w:color="auto"/>
        <w:right w:val="none" w:sz="0" w:space="0" w:color="auto"/>
      </w:divBdr>
    </w:div>
    <w:div w:id="1787042937">
      <w:bodyDiv w:val="1"/>
      <w:marLeft w:val="0"/>
      <w:marRight w:val="0"/>
      <w:marTop w:val="0"/>
      <w:marBottom w:val="0"/>
      <w:divBdr>
        <w:top w:val="none" w:sz="0" w:space="0" w:color="auto"/>
        <w:left w:val="none" w:sz="0" w:space="0" w:color="auto"/>
        <w:bottom w:val="none" w:sz="0" w:space="0" w:color="auto"/>
        <w:right w:val="none" w:sz="0" w:space="0" w:color="auto"/>
      </w:divBdr>
    </w:div>
    <w:div w:id="1798840490">
      <w:bodyDiv w:val="1"/>
      <w:marLeft w:val="0"/>
      <w:marRight w:val="0"/>
      <w:marTop w:val="0"/>
      <w:marBottom w:val="0"/>
      <w:divBdr>
        <w:top w:val="none" w:sz="0" w:space="0" w:color="auto"/>
        <w:left w:val="none" w:sz="0" w:space="0" w:color="auto"/>
        <w:bottom w:val="none" w:sz="0" w:space="0" w:color="auto"/>
        <w:right w:val="none" w:sz="0" w:space="0" w:color="auto"/>
      </w:divBdr>
    </w:div>
    <w:div w:id="1812866849">
      <w:bodyDiv w:val="1"/>
      <w:marLeft w:val="0"/>
      <w:marRight w:val="0"/>
      <w:marTop w:val="0"/>
      <w:marBottom w:val="0"/>
      <w:divBdr>
        <w:top w:val="none" w:sz="0" w:space="0" w:color="auto"/>
        <w:left w:val="none" w:sz="0" w:space="0" w:color="auto"/>
        <w:bottom w:val="none" w:sz="0" w:space="0" w:color="auto"/>
        <w:right w:val="none" w:sz="0" w:space="0" w:color="auto"/>
      </w:divBdr>
    </w:div>
    <w:div w:id="2034988934">
      <w:bodyDiv w:val="1"/>
      <w:marLeft w:val="0"/>
      <w:marRight w:val="0"/>
      <w:marTop w:val="0"/>
      <w:marBottom w:val="0"/>
      <w:divBdr>
        <w:top w:val="none" w:sz="0" w:space="0" w:color="auto"/>
        <w:left w:val="none" w:sz="0" w:space="0" w:color="auto"/>
        <w:bottom w:val="none" w:sz="0" w:space="0" w:color="auto"/>
        <w:right w:val="none" w:sz="0" w:space="0" w:color="auto"/>
      </w:divBdr>
    </w:div>
    <w:div w:id="2069455000">
      <w:bodyDiv w:val="1"/>
      <w:marLeft w:val="0"/>
      <w:marRight w:val="0"/>
      <w:marTop w:val="0"/>
      <w:marBottom w:val="0"/>
      <w:divBdr>
        <w:top w:val="none" w:sz="0" w:space="0" w:color="auto"/>
        <w:left w:val="none" w:sz="0" w:space="0" w:color="auto"/>
        <w:bottom w:val="none" w:sz="0" w:space="0" w:color="auto"/>
        <w:right w:val="none" w:sz="0" w:space="0" w:color="auto"/>
      </w:divBdr>
      <w:divsChild>
        <w:div w:id="1057824385">
          <w:marLeft w:val="0"/>
          <w:marRight w:val="0"/>
          <w:marTop w:val="0"/>
          <w:marBottom w:val="0"/>
          <w:divBdr>
            <w:top w:val="none" w:sz="0" w:space="0" w:color="auto"/>
            <w:left w:val="none" w:sz="0" w:space="0" w:color="auto"/>
            <w:bottom w:val="none" w:sz="0" w:space="0" w:color="auto"/>
            <w:right w:val="none" w:sz="0" w:space="0" w:color="auto"/>
          </w:divBdr>
        </w:div>
        <w:div w:id="158322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iblii.org/akn/na/act/2002/5/eng%402016-12-0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miblii.org/akn/na/act/2002/5/eng%402016-12-0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namiblii.org/akn/na/act/2002/5/eng%402016-12-01"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iblii.org/akn/na/act/2002/5/eng%402016-1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2022-10-27T18:30:00+00:00</Judgment_x0020_Date>
    <Year xmlns="63bdd487-88aa-4c54-b893-ddaa81ed2e7c">2022</Year>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054798-446A-460B-B1BF-DF764B0825F1}">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2.xml><?xml version="1.0" encoding="utf-8"?>
<ds:datastoreItem xmlns:ds="http://schemas.openxmlformats.org/officeDocument/2006/customXml" ds:itemID="{89CCCC88-AC5F-4B91-8430-3364B2BC8EE6}">
  <ds:schemaRefs>
    <ds:schemaRef ds:uri="http://schemas.openxmlformats.org/officeDocument/2006/bibliography"/>
  </ds:schemaRefs>
</ds:datastoreItem>
</file>

<file path=customXml/itemProps3.xml><?xml version="1.0" encoding="utf-8"?>
<ds:datastoreItem xmlns:ds="http://schemas.openxmlformats.org/officeDocument/2006/customXml" ds:itemID="{E04B982E-D1F2-4592-AD8C-AB1BA7561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BD913A-D085-4214-A638-FE9F25574D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5325</Words>
  <Characters>30359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inister of Agriculture, Water and Forestry v Serve Investments 84 (Pty) Ltd</dc:title>
  <dc:creator>David</dc:creator>
  <cp:lastModifiedBy>Mariana Anguelov</cp:lastModifiedBy>
  <cp:revision>3</cp:revision>
  <cp:lastPrinted>2022-10-25T13:06:00Z</cp:lastPrinted>
  <dcterms:created xsi:type="dcterms:W3CDTF">2022-10-31T09:43:00Z</dcterms:created>
  <dcterms:modified xsi:type="dcterms:W3CDTF">2022-11-01T18:13:00Z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