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EF" w:rsidRDefault="00C019EF" w:rsidP="00C019EF">
      <w:pPr>
        <w:rPr>
          <w:rFonts w:ascii="Verdana" w:eastAsia="Times New Roman" w:hAnsi="Verdana" w:cs="Times New Roman"/>
          <w:lang w:val="en-ZA" w:eastAsia="en-ZA"/>
        </w:rPr>
      </w:pPr>
      <w:bookmarkStart w:id="0" w:name="_GoBack"/>
      <w:bookmarkEnd w:id="0"/>
      <w:r w:rsidRPr="00742222">
        <w:rPr>
          <w:noProof/>
          <w:lang w:val="en-ZA" w:eastAsia="en-ZA"/>
        </w:rPr>
        <w:drawing>
          <wp:anchor distT="0" distB="0" distL="114300" distR="114300" simplePos="0" relativeHeight="251659264" behindDoc="0" locked="0" layoutInCell="1" allowOverlap="1" wp14:anchorId="07972277" wp14:editId="4C11D226">
            <wp:simplePos x="0" y="0"/>
            <wp:positionH relativeFrom="margin">
              <wp:align>center</wp:align>
            </wp:positionH>
            <wp:positionV relativeFrom="margin">
              <wp:posOffset>-616061</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C019EF" w:rsidRDefault="00C019EF" w:rsidP="00C019EF">
      <w:pPr>
        <w:rPr>
          <w:rFonts w:ascii="Verdana" w:eastAsia="Times New Roman" w:hAnsi="Verdana" w:cs="Times New Roman"/>
          <w:lang w:val="en-ZA" w:eastAsia="en-ZA"/>
        </w:rPr>
      </w:pPr>
    </w:p>
    <w:p w:rsidR="00C019EF" w:rsidRDefault="00C019EF" w:rsidP="00C019EF">
      <w:pPr>
        <w:rPr>
          <w:rFonts w:ascii="Verdana" w:eastAsia="Times New Roman" w:hAnsi="Verdana" w:cs="Times New Roman"/>
          <w:lang w:val="en-ZA" w:eastAsia="en-ZA"/>
        </w:rPr>
      </w:pPr>
    </w:p>
    <w:p w:rsidR="00C019EF" w:rsidRDefault="00C019EF" w:rsidP="00C019EF">
      <w:pPr>
        <w:rPr>
          <w:rFonts w:ascii="Verdana" w:eastAsia="Times New Roman" w:hAnsi="Verdana" w:cs="Times New Roman"/>
          <w:lang w:val="en-ZA" w:eastAsia="en-ZA"/>
        </w:rPr>
      </w:pPr>
    </w:p>
    <w:p w:rsidR="00C019EF" w:rsidRDefault="00C019EF" w:rsidP="00C019EF">
      <w:pPr>
        <w:rPr>
          <w:rFonts w:ascii="Verdana" w:eastAsia="Times New Roman" w:hAnsi="Verdana" w:cs="Times New Roman"/>
          <w:lang w:val="en-ZA" w:eastAsia="en-ZA"/>
        </w:rPr>
      </w:pPr>
    </w:p>
    <w:p w:rsidR="00C019EF" w:rsidRDefault="00C019EF" w:rsidP="00C019EF">
      <w:pPr>
        <w:rPr>
          <w:rFonts w:ascii="Verdana" w:eastAsia="Times New Roman" w:hAnsi="Verdana" w:cs="Times New Roman"/>
          <w:lang w:val="en-ZA" w:eastAsia="en-ZA"/>
        </w:rPr>
      </w:pPr>
    </w:p>
    <w:p w:rsidR="00C019EF" w:rsidRDefault="00C019EF" w:rsidP="00C019EF">
      <w:pPr>
        <w:rPr>
          <w:rFonts w:ascii="Verdana" w:eastAsia="Times New Roman" w:hAnsi="Verdana" w:cs="Times New Roman"/>
          <w:lang w:val="en-ZA" w:eastAsia="en-ZA"/>
        </w:rPr>
      </w:pPr>
    </w:p>
    <w:p w:rsidR="00C019EF" w:rsidRDefault="00C019EF" w:rsidP="00C019EF">
      <w:pPr>
        <w:rPr>
          <w:rFonts w:ascii="Verdana" w:eastAsia="Times New Roman" w:hAnsi="Verdana" w:cs="Times New Roman"/>
          <w:lang w:val="en-ZA" w:eastAsia="en-ZA"/>
        </w:rPr>
      </w:pPr>
    </w:p>
    <w:p w:rsidR="00C019EF" w:rsidRDefault="00C019EF" w:rsidP="00C019EF">
      <w:pPr>
        <w:spacing w:line="480" w:lineRule="auto"/>
        <w:jc w:val="right"/>
        <w:rPr>
          <w:b/>
        </w:rPr>
      </w:pPr>
      <w:r>
        <w:rPr>
          <w:b/>
        </w:rPr>
        <w:t>NOT REPORTABLE</w:t>
      </w:r>
    </w:p>
    <w:p w:rsidR="00C019EF" w:rsidRDefault="00C019EF" w:rsidP="00C019EF">
      <w:pPr>
        <w:spacing w:line="480" w:lineRule="auto"/>
        <w:jc w:val="right"/>
      </w:pPr>
      <w:r>
        <w:t>CASE NO: SCR 1/2022</w:t>
      </w:r>
    </w:p>
    <w:p w:rsidR="00C019EF" w:rsidRDefault="00C019EF" w:rsidP="00C019EF">
      <w:pPr>
        <w:spacing w:line="480" w:lineRule="auto"/>
        <w:rPr>
          <w:b/>
        </w:rPr>
      </w:pPr>
      <w:r>
        <w:rPr>
          <w:b/>
        </w:rPr>
        <w:t>IN THE SUPREME COURT OF NAMIBIA</w:t>
      </w:r>
    </w:p>
    <w:p w:rsidR="00C019EF" w:rsidRDefault="00C019EF" w:rsidP="00C019EF">
      <w:pPr>
        <w:spacing w:line="480" w:lineRule="auto"/>
        <w:rPr>
          <w:b/>
        </w:rPr>
      </w:pPr>
    </w:p>
    <w:p w:rsidR="00C019EF" w:rsidRDefault="00C019EF" w:rsidP="00C019EF">
      <w:pPr>
        <w:spacing w:line="480" w:lineRule="auto"/>
      </w:pPr>
      <w:r>
        <w:t>In the matter between:</w:t>
      </w:r>
    </w:p>
    <w:p w:rsidR="00C019EF" w:rsidRDefault="00C019EF" w:rsidP="00C019EF">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gridCol w:w="2611"/>
      </w:tblGrid>
      <w:tr w:rsidR="00C019EF" w:rsidTr="00820367">
        <w:tc>
          <w:tcPr>
            <w:tcW w:w="6170" w:type="dxa"/>
          </w:tcPr>
          <w:p w:rsidR="00C019EF" w:rsidRPr="00C019EF" w:rsidRDefault="00C019EF" w:rsidP="00F940F4">
            <w:pPr>
              <w:spacing w:line="480" w:lineRule="auto"/>
              <w:ind w:hanging="108"/>
              <w:rPr>
                <w:rFonts w:ascii="Arial" w:hAnsi="Arial"/>
                <w:b/>
              </w:rPr>
            </w:pPr>
            <w:r w:rsidRPr="00C019EF">
              <w:rPr>
                <w:rFonts w:ascii="Arial" w:hAnsi="Arial"/>
                <w:b/>
              </w:rPr>
              <w:t>STATE</w:t>
            </w:r>
          </w:p>
          <w:p w:rsidR="00C019EF" w:rsidRPr="00835AA9" w:rsidRDefault="00C019EF" w:rsidP="00820367">
            <w:pPr>
              <w:spacing w:line="480" w:lineRule="auto"/>
              <w:ind w:hanging="108"/>
              <w:rPr>
                <w:rFonts w:ascii="Arial" w:hAnsi="Arial"/>
              </w:rPr>
            </w:pPr>
            <w:r>
              <w:rPr>
                <w:rFonts w:ascii="Arial" w:hAnsi="Arial"/>
              </w:rPr>
              <w:t>a</w:t>
            </w:r>
            <w:r w:rsidRPr="00835AA9">
              <w:rPr>
                <w:rFonts w:ascii="Arial" w:hAnsi="Arial"/>
              </w:rPr>
              <w:t>nd</w:t>
            </w:r>
          </w:p>
        </w:tc>
        <w:tc>
          <w:tcPr>
            <w:tcW w:w="2611" w:type="dxa"/>
          </w:tcPr>
          <w:p w:rsidR="00C019EF" w:rsidRPr="00DE17E7" w:rsidRDefault="00C019EF" w:rsidP="00820367">
            <w:pPr>
              <w:spacing w:line="480" w:lineRule="auto"/>
              <w:jc w:val="right"/>
              <w:rPr>
                <w:rFonts w:ascii="Arial" w:hAnsi="Arial"/>
                <w:b/>
              </w:rPr>
            </w:pPr>
            <w:r>
              <w:rPr>
                <w:rFonts w:ascii="Arial" w:hAnsi="Arial"/>
                <w:b/>
              </w:rPr>
              <w:t> </w:t>
            </w:r>
          </w:p>
        </w:tc>
      </w:tr>
      <w:tr w:rsidR="00C019EF" w:rsidRPr="00111379" w:rsidTr="00820367">
        <w:tc>
          <w:tcPr>
            <w:tcW w:w="6170" w:type="dxa"/>
          </w:tcPr>
          <w:p w:rsidR="00C019EF" w:rsidRPr="00111379" w:rsidRDefault="00C019EF" w:rsidP="00F940F4">
            <w:pPr>
              <w:tabs>
                <w:tab w:val="left" w:pos="3555"/>
              </w:tabs>
              <w:spacing w:line="480" w:lineRule="auto"/>
              <w:ind w:hanging="108"/>
              <w:rPr>
                <w:rFonts w:ascii="Arial" w:hAnsi="Arial"/>
                <w:b/>
              </w:rPr>
            </w:pPr>
            <w:r>
              <w:rPr>
                <w:rFonts w:ascii="Arial" w:hAnsi="Arial"/>
                <w:b/>
              </w:rPr>
              <w:t>XAVIER DENTLINGER</w:t>
            </w:r>
          </w:p>
        </w:tc>
        <w:tc>
          <w:tcPr>
            <w:tcW w:w="2611" w:type="dxa"/>
          </w:tcPr>
          <w:p w:rsidR="00C019EF" w:rsidRPr="00111379" w:rsidRDefault="00C019EF" w:rsidP="00820367">
            <w:pPr>
              <w:spacing w:line="480" w:lineRule="auto"/>
              <w:jc w:val="right"/>
              <w:rPr>
                <w:rFonts w:ascii="Arial" w:hAnsi="Arial"/>
                <w:b/>
              </w:rPr>
            </w:pPr>
          </w:p>
        </w:tc>
      </w:tr>
    </w:tbl>
    <w:p w:rsidR="00C019EF" w:rsidRDefault="00C019EF" w:rsidP="00C019EF">
      <w:pPr>
        <w:spacing w:line="480" w:lineRule="auto"/>
      </w:pPr>
    </w:p>
    <w:p w:rsidR="00C019EF" w:rsidRDefault="00C019EF" w:rsidP="00C019EF">
      <w:pPr>
        <w:spacing w:line="480" w:lineRule="auto"/>
        <w:rPr>
          <w:b/>
        </w:rPr>
      </w:pPr>
      <w:r>
        <w:rPr>
          <w:b/>
        </w:rPr>
        <w:t xml:space="preserve">Coram: </w:t>
      </w:r>
      <w:r>
        <w:rPr>
          <w:b/>
        </w:rPr>
        <w:tab/>
      </w:r>
      <w:r>
        <w:rPr>
          <w:b/>
        </w:rPr>
        <w:tab/>
      </w:r>
      <w:r>
        <w:t>SHIVUTE CJ, HOFF JA and FRANK AJA</w:t>
      </w:r>
      <w:r>
        <w:rPr>
          <w:b/>
        </w:rPr>
        <w:t xml:space="preserve"> </w:t>
      </w:r>
    </w:p>
    <w:p w:rsidR="00C019EF" w:rsidRDefault="00C019EF" w:rsidP="00C019EF">
      <w:pPr>
        <w:spacing w:line="480" w:lineRule="auto"/>
      </w:pPr>
      <w:r>
        <w:rPr>
          <w:b/>
        </w:rPr>
        <w:t>Heard:</w:t>
      </w:r>
      <w:r>
        <w:rPr>
          <w:b/>
        </w:rPr>
        <w:tab/>
      </w:r>
      <w:r>
        <w:rPr>
          <w:b/>
        </w:rPr>
        <w:tab/>
        <w:t>IN CHAMBERS</w:t>
      </w:r>
    </w:p>
    <w:p w:rsidR="00C019EF" w:rsidRPr="00C306D2" w:rsidRDefault="00C019EF" w:rsidP="00C019EF">
      <w:pPr>
        <w:spacing w:line="480" w:lineRule="auto"/>
      </w:pPr>
      <w:r>
        <w:rPr>
          <w:b/>
        </w:rPr>
        <w:t>Delivered:</w:t>
      </w:r>
      <w:r>
        <w:rPr>
          <w:b/>
        </w:rPr>
        <w:tab/>
      </w:r>
      <w:r w:rsidR="00322310">
        <w:rPr>
          <w:b/>
        </w:rPr>
        <w:tab/>
      </w:r>
      <w:r w:rsidR="007F65DE">
        <w:rPr>
          <w:b/>
          <w:color w:val="000000" w:themeColor="text1"/>
        </w:rPr>
        <w:t>25</w:t>
      </w:r>
      <w:r w:rsidR="00322310">
        <w:rPr>
          <w:b/>
        </w:rPr>
        <w:t xml:space="preserve"> March 2022</w:t>
      </w:r>
    </w:p>
    <w:p w:rsidR="00C019EF" w:rsidRDefault="00C019EF" w:rsidP="00C019EF">
      <w:pPr>
        <w:spacing w:line="480" w:lineRule="auto"/>
        <w:rPr>
          <w:b/>
        </w:rPr>
      </w:pPr>
    </w:p>
    <w:p w:rsidR="00C019EF" w:rsidRDefault="00C019EF" w:rsidP="00B212DE">
      <w:pPr>
        <w:spacing w:line="360" w:lineRule="auto"/>
        <w:jc w:val="both"/>
      </w:pPr>
      <w:r>
        <w:rPr>
          <w:b/>
        </w:rPr>
        <w:t>Summary:</w:t>
      </w:r>
      <w:r w:rsidRPr="00B212DE">
        <w:t xml:space="preserve"> </w:t>
      </w:r>
      <w:r w:rsidR="00ED732D">
        <w:t>This is a request for review in terms of s 16 of the Supreme Court</w:t>
      </w:r>
      <w:r w:rsidR="007B77D8">
        <w:t xml:space="preserve"> Act</w:t>
      </w:r>
      <w:r w:rsidR="00ED732D">
        <w:t xml:space="preserve"> 15 of 1990. </w:t>
      </w:r>
      <w:r w:rsidR="00B212DE">
        <w:t>The accused was</w:t>
      </w:r>
      <w:r w:rsidR="0030210A">
        <w:t xml:space="preserve"> on 19 March 2019</w:t>
      </w:r>
      <w:r w:rsidR="00B212DE">
        <w:t xml:space="preserve"> convicted by the Regional Court for attempted murder read with the provisions of the Combating of Domestic Violence Act 4 of 2003. He was sentence</w:t>
      </w:r>
      <w:r w:rsidR="007B77D8">
        <w:t>d</w:t>
      </w:r>
      <w:r w:rsidR="00B212DE">
        <w:t xml:space="preserve"> to six months </w:t>
      </w:r>
      <w:r w:rsidR="0030210A">
        <w:t>imprisonment,</w:t>
      </w:r>
      <w:r w:rsidR="00B212DE">
        <w:t xml:space="preserve"> wholly suspended on conditions of good behaviour. </w:t>
      </w:r>
      <w:r w:rsidR="0030210A">
        <w:t>The</w:t>
      </w:r>
      <w:r w:rsidR="0030210A" w:rsidRPr="0030210A">
        <w:t xml:space="preserve"> </w:t>
      </w:r>
      <w:r w:rsidR="0030210A">
        <w:t xml:space="preserve">accused had not served </w:t>
      </w:r>
      <w:r w:rsidR="00322310">
        <w:t xml:space="preserve">any part of </w:t>
      </w:r>
      <w:r w:rsidR="0030210A">
        <w:t xml:space="preserve">his sentence when the State appealed it. The High Court set aside the sentence imposed by the Regional Court and substituted it with a sentence of seven years imprisonment, of which two years are suspended and ordered that the sentence be backdated to 19 March 2019. The legality of the sentence imposed by the </w:t>
      </w:r>
      <w:r w:rsidR="00ED732D">
        <w:t xml:space="preserve">High </w:t>
      </w:r>
      <w:r w:rsidR="00ED732D">
        <w:lastRenderedPageBreak/>
        <w:t xml:space="preserve">Court </w:t>
      </w:r>
      <w:r w:rsidR="0030210A">
        <w:t>was queried by the Deputy Commissioner of the National Release Board</w:t>
      </w:r>
      <w:r w:rsidR="00ED732D">
        <w:t xml:space="preserve"> with reference to the provisions of s 282 of the Criminal Procedure Act 51 of 1977. </w:t>
      </w:r>
      <w:r w:rsidR="008A7F67">
        <w:t>As t</w:t>
      </w:r>
      <w:r w:rsidR="00ED732D">
        <w:t xml:space="preserve">he High Court judges are </w:t>
      </w:r>
      <w:r w:rsidR="00ED732D" w:rsidRPr="00ED732D">
        <w:rPr>
          <w:i/>
        </w:rPr>
        <w:t>functus officio</w:t>
      </w:r>
      <w:r w:rsidR="00ED732D">
        <w:t xml:space="preserve"> and cannot correct the sentence</w:t>
      </w:r>
      <w:r w:rsidR="008A7F67">
        <w:t>,</w:t>
      </w:r>
      <w:r w:rsidR="00ED732D">
        <w:t xml:space="preserve"> the matter was referred to this court with the request</w:t>
      </w:r>
      <w:r w:rsidR="008A7F67">
        <w:t xml:space="preserve"> to correct the sentence.</w:t>
      </w:r>
    </w:p>
    <w:p w:rsidR="00ED732D" w:rsidRDefault="00ED732D" w:rsidP="00B212DE">
      <w:pPr>
        <w:spacing w:line="360" w:lineRule="auto"/>
        <w:jc w:val="both"/>
      </w:pPr>
    </w:p>
    <w:p w:rsidR="008A7F67" w:rsidRDefault="008A7F67" w:rsidP="00B212DE">
      <w:pPr>
        <w:spacing w:line="360" w:lineRule="auto"/>
        <w:jc w:val="both"/>
      </w:pPr>
      <w:r>
        <w:rPr>
          <w:rFonts w:cs="Arial"/>
        </w:rPr>
        <w:t>This court exercises its review jurisdiction to correct the sentence of the High Court.</w:t>
      </w:r>
    </w:p>
    <w:p w:rsidR="008A7F67" w:rsidRDefault="008A7F67" w:rsidP="00B212DE">
      <w:pPr>
        <w:spacing w:line="360" w:lineRule="auto"/>
        <w:jc w:val="both"/>
      </w:pPr>
    </w:p>
    <w:p w:rsidR="00ED732D" w:rsidRDefault="00ED732D" w:rsidP="00B212DE">
      <w:pPr>
        <w:spacing w:line="360" w:lineRule="auto"/>
        <w:jc w:val="both"/>
        <w:rPr>
          <w:rFonts w:cs="Arial"/>
        </w:rPr>
      </w:pPr>
      <w:r w:rsidRPr="00ED732D">
        <w:rPr>
          <w:i/>
        </w:rPr>
        <w:t>Held that</w:t>
      </w:r>
      <w:r>
        <w:t xml:space="preserve">, the accused having not served any part of the sentence imposed by the Regional Court, </w:t>
      </w:r>
      <w:r>
        <w:rPr>
          <w:rFonts w:cs="Arial"/>
        </w:rPr>
        <w:t>the High Court did not have the power to antedate the sentence it imposed.</w:t>
      </w:r>
    </w:p>
    <w:p w:rsidR="008A7F67" w:rsidRDefault="008A7F67" w:rsidP="00B212DE">
      <w:pPr>
        <w:spacing w:line="360" w:lineRule="auto"/>
        <w:jc w:val="both"/>
        <w:rPr>
          <w:rFonts w:cs="Arial"/>
        </w:rPr>
      </w:pPr>
    </w:p>
    <w:p w:rsidR="008A7F67" w:rsidRDefault="008A7F67" w:rsidP="00B212DE">
      <w:pPr>
        <w:spacing w:line="360" w:lineRule="auto"/>
        <w:jc w:val="both"/>
        <w:rPr>
          <w:rFonts w:cs="Arial"/>
        </w:rPr>
      </w:pPr>
      <w:r w:rsidRPr="008A7F67">
        <w:rPr>
          <w:rFonts w:cs="Arial"/>
          <w:i/>
        </w:rPr>
        <w:t>Held that</w:t>
      </w:r>
      <w:r>
        <w:rPr>
          <w:rFonts w:cs="Arial"/>
        </w:rPr>
        <w:t>, the antedating of the sentence of the High Court on appeal from the Regional Court, where no period of imprisonment was served by the accused was contrary to the provisions of s 282 of the CPA and irregular.</w:t>
      </w:r>
    </w:p>
    <w:p w:rsidR="008A7F67" w:rsidRDefault="008A7F67" w:rsidP="00B212DE">
      <w:pPr>
        <w:spacing w:line="360" w:lineRule="auto"/>
        <w:jc w:val="both"/>
        <w:rPr>
          <w:rFonts w:cs="Arial"/>
        </w:rPr>
      </w:pPr>
    </w:p>
    <w:p w:rsidR="008A7F67" w:rsidRDefault="008A7F67" w:rsidP="00B212DE">
      <w:pPr>
        <w:spacing w:line="360" w:lineRule="auto"/>
        <w:jc w:val="both"/>
        <w:rPr>
          <w:rFonts w:cs="Arial"/>
        </w:rPr>
      </w:pPr>
      <w:r w:rsidRPr="00533FDA">
        <w:rPr>
          <w:rFonts w:cs="Arial"/>
          <w:i/>
        </w:rPr>
        <w:t>Held that</w:t>
      </w:r>
      <w:r>
        <w:rPr>
          <w:rFonts w:cs="Arial"/>
        </w:rPr>
        <w:t xml:space="preserve">, </w:t>
      </w:r>
      <w:r w:rsidR="00533FDA">
        <w:rPr>
          <w:rFonts w:cs="Arial"/>
        </w:rPr>
        <w:t xml:space="preserve">the order of the High Court dated 3 September 2020 is corrected by deleting paragraph (c) in </w:t>
      </w:r>
      <w:r>
        <w:rPr>
          <w:rFonts w:cs="Arial"/>
        </w:rPr>
        <w:t>that the sentence be antedated</w:t>
      </w:r>
      <w:r w:rsidR="00322310">
        <w:rPr>
          <w:rFonts w:cs="Arial"/>
        </w:rPr>
        <w:t xml:space="preserve"> to 19 March 2019</w:t>
      </w:r>
      <w:r>
        <w:rPr>
          <w:rFonts w:cs="Arial"/>
        </w:rPr>
        <w:t>.</w:t>
      </w:r>
    </w:p>
    <w:p w:rsidR="00C019EF" w:rsidRPr="00B212DE" w:rsidRDefault="00C019EF" w:rsidP="00C019EF">
      <w:pPr>
        <w:pStyle w:val="NoSpacing"/>
        <w:spacing w:line="360" w:lineRule="auto"/>
        <w:jc w:val="both"/>
        <w:rPr>
          <w:rFonts w:ascii="Arial" w:hAnsi="Arial" w:cs="Arial"/>
          <w:sz w:val="24"/>
          <w:szCs w:val="24"/>
        </w:rPr>
      </w:pPr>
    </w:p>
    <w:p w:rsidR="00C019EF" w:rsidRPr="001C25CA" w:rsidRDefault="00C019EF" w:rsidP="00C019EF">
      <w:pPr>
        <w:pBdr>
          <w:top w:val="single" w:sz="12" w:space="1" w:color="auto"/>
          <w:bottom w:val="single" w:sz="12" w:space="1" w:color="auto"/>
        </w:pBdr>
        <w:jc w:val="both"/>
        <w:rPr>
          <w:rFonts w:cs="Arial"/>
          <w:b/>
        </w:rPr>
      </w:pPr>
    </w:p>
    <w:p w:rsidR="00C019EF" w:rsidRPr="00FD0F05" w:rsidRDefault="00C019EF" w:rsidP="00C019EF">
      <w:pPr>
        <w:pBdr>
          <w:top w:val="single" w:sz="12" w:space="1" w:color="auto"/>
          <w:bottom w:val="single" w:sz="12" w:space="1" w:color="auto"/>
        </w:pBdr>
        <w:jc w:val="center"/>
        <w:rPr>
          <w:rFonts w:cs="Arial"/>
          <w:b/>
          <w:u w:val="single"/>
        </w:rPr>
      </w:pPr>
      <w:r>
        <w:rPr>
          <w:rFonts w:cs="Arial"/>
          <w:b/>
        </w:rPr>
        <w:t>REVIEW IN TERMS OF SECTION 16 OF THE SUPREME COURT ACT 15 OF 1990</w:t>
      </w:r>
    </w:p>
    <w:p w:rsidR="00C019EF" w:rsidRPr="001C25CA" w:rsidRDefault="00C019EF" w:rsidP="00C019EF">
      <w:pPr>
        <w:pBdr>
          <w:top w:val="single" w:sz="12" w:space="1" w:color="auto"/>
          <w:bottom w:val="single" w:sz="12" w:space="1" w:color="auto"/>
        </w:pBdr>
        <w:jc w:val="both"/>
        <w:rPr>
          <w:rFonts w:cs="Arial"/>
          <w:b/>
        </w:rPr>
      </w:pPr>
    </w:p>
    <w:p w:rsidR="00C019EF" w:rsidRDefault="00C019EF" w:rsidP="00C019EF">
      <w:pPr>
        <w:pStyle w:val="NoSpacing"/>
        <w:rPr>
          <w:rFonts w:ascii="Arial" w:hAnsi="Arial" w:cs="Arial"/>
          <w:sz w:val="24"/>
          <w:szCs w:val="24"/>
        </w:rPr>
      </w:pPr>
    </w:p>
    <w:p w:rsidR="00C019EF" w:rsidRPr="001C25CA" w:rsidRDefault="00C019EF" w:rsidP="00C019EF">
      <w:pPr>
        <w:pStyle w:val="NoSpacing"/>
        <w:rPr>
          <w:rFonts w:ascii="Arial" w:hAnsi="Arial" w:cs="Arial"/>
          <w:sz w:val="24"/>
          <w:szCs w:val="24"/>
        </w:rPr>
      </w:pPr>
    </w:p>
    <w:p w:rsidR="00C019EF" w:rsidRDefault="00C019EF" w:rsidP="00C019EF">
      <w:pPr>
        <w:spacing w:line="480" w:lineRule="auto"/>
        <w:jc w:val="both"/>
        <w:rPr>
          <w:rFonts w:cs="Arial"/>
        </w:rPr>
      </w:pPr>
      <w:r>
        <w:rPr>
          <w:rFonts w:cs="Arial"/>
        </w:rPr>
        <w:t>FRANK</w:t>
      </w:r>
      <w:r w:rsidRPr="001C25CA">
        <w:rPr>
          <w:rFonts w:cs="Arial"/>
        </w:rPr>
        <w:t xml:space="preserve"> </w:t>
      </w:r>
      <w:r>
        <w:rPr>
          <w:rFonts w:cs="Arial"/>
        </w:rPr>
        <w:t>A</w:t>
      </w:r>
      <w:r w:rsidRPr="001C25CA">
        <w:rPr>
          <w:rFonts w:cs="Arial"/>
        </w:rPr>
        <w:t>JA (</w:t>
      </w:r>
      <w:r>
        <w:rPr>
          <w:rFonts w:cs="Arial"/>
        </w:rPr>
        <w:t>SHIVUTE CJ and HOFF JA</w:t>
      </w:r>
      <w:r w:rsidRPr="001C25CA">
        <w:rPr>
          <w:rFonts w:cs="Arial"/>
        </w:rPr>
        <w:t xml:space="preserve"> concurring):</w:t>
      </w:r>
    </w:p>
    <w:p w:rsidR="00C019EF" w:rsidRPr="00206EE9" w:rsidRDefault="00C019EF" w:rsidP="00206EE9">
      <w:pPr>
        <w:pStyle w:val="ListParagraph"/>
        <w:numPr>
          <w:ilvl w:val="0"/>
          <w:numId w:val="1"/>
        </w:numPr>
        <w:spacing w:line="480" w:lineRule="auto"/>
        <w:ind w:left="0" w:firstLine="0"/>
        <w:jc w:val="both"/>
        <w:rPr>
          <w:rFonts w:cs="Arial"/>
        </w:rPr>
      </w:pPr>
      <w:r>
        <w:rPr>
          <w:rFonts w:cs="Arial"/>
        </w:rPr>
        <w:t xml:space="preserve">Mr Dentlinger was convicted </w:t>
      </w:r>
      <w:r w:rsidR="00C14D19">
        <w:rPr>
          <w:rFonts w:cs="Arial"/>
        </w:rPr>
        <w:t xml:space="preserve">by the Regional Court for attempted murder, read with the provisions of the Combating of Domestic Violence Act 4 of 2003. He was sentenced </w:t>
      </w:r>
      <w:r w:rsidR="00967AD3">
        <w:rPr>
          <w:rFonts w:cs="Arial"/>
        </w:rPr>
        <w:t xml:space="preserve">to </w:t>
      </w:r>
      <w:r w:rsidR="00C14D19">
        <w:rPr>
          <w:rFonts w:cs="Arial"/>
        </w:rPr>
        <w:t>six months imprisonment, wholly suspended on cond</w:t>
      </w:r>
      <w:r w:rsidR="00967AD3">
        <w:rPr>
          <w:rFonts w:cs="Arial"/>
        </w:rPr>
        <w:t>itions of</w:t>
      </w:r>
      <w:r w:rsidR="00206EE9">
        <w:rPr>
          <w:rFonts w:cs="Arial"/>
        </w:rPr>
        <w:t xml:space="preserve"> good behaviour. He had</w:t>
      </w:r>
      <w:r w:rsidR="00C14D19">
        <w:rPr>
          <w:rFonts w:cs="Arial"/>
        </w:rPr>
        <w:t xml:space="preserve"> served no part of </w:t>
      </w:r>
      <w:r w:rsidR="00206EE9">
        <w:rPr>
          <w:rFonts w:cs="Arial"/>
        </w:rPr>
        <w:t>t</w:t>
      </w:r>
      <w:r w:rsidR="00C14D19">
        <w:rPr>
          <w:rFonts w:cs="Arial"/>
        </w:rPr>
        <w:t>his sentence</w:t>
      </w:r>
      <w:r w:rsidR="00206EE9">
        <w:rPr>
          <w:rFonts w:cs="Arial"/>
        </w:rPr>
        <w:t xml:space="preserve"> when the following events occurred; t</w:t>
      </w:r>
      <w:r w:rsidR="00C14D19" w:rsidRPr="00206EE9">
        <w:rPr>
          <w:rFonts w:cs="Arial"/>
        </w:rPr>
        <w:t xml:space="preserve">he State appealed against the sentence imposed by the High Court which set aside the sentence imposed by the Regional Court and substituted it with a sentence of seven years imprisonment, of which two years are suspended on the </w:t>
      </w:r>
      <w:r w:rsidR="00C14D19" w:rsidRPr="00206EE9">
        <w:rPr>
          <w:rFonts w:cs="Arial"/>
        </w:rPr>
        <w:lastRenderedPageBreak/>
        <w:t>usual conditions and or</w:t>
      </w:r>
      <w:r w:rsidR="004F751E" w:rsidRPr="00206EE9">
        <w:rPr>
          <w:rFonts w:cs="Arial"/>
        </w:rPr>
        <w:t>dered that the sentence be back</w:t>
      </w:r>
      <w:r w:rsidR="00C14D19" w:rsidRPr="00206EE9">
        <w:rPr>
          <w:rFonts w:cs="Arial"/>
        </w:rPr>
        <w:t>dated to 19 March 2019</w:t>
      </w:r>
      <w:r w:rsidR="004F751E" w:rsidRPr="00206EE9">
        <w:rPr>
          <w:rFonts w:cs="Arial"/>
        </w:rPr>
        <w:t xml:space="preserve"> which was the date that the Regional Court imposed its six months’ suspended sentence.</w:t>
      </w:r>
    </w:p>
    <w:p w:rsidR="004F751E" w:rsidRDefault="004F751E" w:rsidP="002A5F99">
      <w:pPr>
        <w:pStyle w:val="ListParagraph"/>
        <w:spacing w:line="480" w:lineRule="auto"/>
        <w:ind w:left="0"/>
        <w:jc w:val="both"/>
        <w:rPr>
          <w:rFonts w:cs="Arial"/>
        </w:rPr>
      </w:pPr>
    </w:p>
    <w:p w:rsidR="004F751E" w:rsidRDefault="004F751E" w:rsidP="002A5F99">
      <w:pPr>
        <w:pStyle w:val="ListParagraph"/>
        <w:numPr>
          <w:ilvl w:val="0"/>
          <w:numId w:val="1"/>
        </w:numPr>
        <w:spacing w:line="480" w:lineRule="auto"/>
        <w:ind w:left="0" w:firstLine="0"/>
        <w:jc w:val="both"/>
        <w:rPr>
          <w:rFonts w:cs="Arial"/>
        </w:rPr>
      </w:pPr>
      <w:r>
        <w:rPr>
          <w:rFonts w:cs="Arial"/>
        </w:rPr>
        <w:t>The order of the High Court, given on 3 September 2020 was as follows:</w:t>
      </w:r>
    </w:p>
    <w:p w:rsidR="002A5F99" w:rsidRPr="00D17959" w:rsidRDefault="002A5F99" w:rsidP="00D17959">
      <w:pPr>
        <w:pStyle w:val="ListParagraph"/>
        <w:spacing w:line="360" w:lineRule="auto"/>
        <w:jc w:val="both"/>
        <w:rPr>
          <w:rFonts w:cs="Arial"/>
          <w:sz w:val="22"/>
          <w:szCs w:val="22"/>
        </w:rPr>
      </w:pPr>
    </w:p>
    <w:p w:rsidR="004F751E" w:rsidRPr="00D17959" w:rsidRDefault="004F751E" w:rsidP="00D17959">
      <w:pPr>
        <w:pStyle w:val="ListParagraph"/>
        <w:spacing w:line="360" w:lineRule="auto"/>
        <w:jc w:val="both"/>
        <w:rPr>
          <w:rFonts w:cs="Arial"/>
          <w:sz w:val="22"/>
          <w:szCs w:val="22"/>
        </w:rPr>
      </w:pPr>
      <w:r w:rsidRPr="00D17959">
        <w:rPr>
          <w:rFonts w:cs="Arial"/>
          <w:sz w:val="22"/>
          <w:szCs w:val="22"/>
        </w:rPr>
        <w:t>‘(a)</w:t>
      </w:r>
      <w:r w:rsidRPr="00D17959">
        <w:rPr>
          <w:rFonts w:cs="Arial"/>
          <w:sz w:val="22"/>
          <w:szCs w:val="22"/>
        </w:rPr>
        <w:tab/>
        <w:t>The appeal against sentence succeeds.</w:t>
      </w:r>
    </w:p>
    <w:p w:rsidR="004F751E" w:rsidRPr="00D17959" w:rsidRDefault="004F751E" w:rsidP="00D17959">
      <w:pPr>
        <w:pStyle w:val="ListParagraph"/>
        <w:spacing w:line="360" w:lineRule="auto"/>
        <w:jc w:val="both"/>
        <w:rPr>
          <w:rFonts w:cs="Arial"/>
          <w:sz w:val="22"/>
          <w:szCs w:val="22"/>
        </w:rPr>
      </w:pPr>
    </w:p>
    <w:p w:rsidR="004F751E" w:rsidRPr="00D17959" w:rsidRDefault="004F751E" w:rsidP="00D17959">
      <w:pPr>
        <w:pStyle w:val="ListParagraph"/>
        <w:spacing w:line="360" w:lineRule="auto"/>
        <w:ind w:left="1440" w:hanging="720"/>
        <w:jc w:val="both"/>
        <w:rPr>
          <w:rFonts w:cs="Arial"/>
          <w:sz w:val="22"/>
          <w:szCs w:val="22"/>
        </w:rPr>
      </w:pPr>
      <w:r w:rsidRPr="00D17959">
        <w:rPr>
          <w:rFonts w:cs="Arial"/>
          <w:sz w:val="22"/>
          <w:szCs w:val="22"/>
        </w:rPr>
        <w:t>(b)</w:t>
      </w:r>
      <w:r w:rsidRPr="00D17959">
        <w:rPr>
          <w:rFonts w:cs="Arial"/>
          <w:sz w:val="22"/>
          <w:szCs w:val="22"/>
        </w:rPr>
        <w:tab/>
        <w:t>The sentence is set aside and substituted by the following sentence: 7 years imprisonment of which 2 years’ imprisonment are suspended for 5 years on the condition that the accused is not convicted of attempted murder committed during the period of suspension.</w:t>
      </w:r>
    </w:p>
    <w:p w:rsidR="004F751E" w:rsidRPr="00D17959" w:rsidRDefault="004F751E" w:rsidP="00D17959">
      <w:pPr>
        <w:pStyle w:val="ListParagraph"/>
        <w:spacing w:line="360" w:lineRule="auto"/>
        <w:jc w:val="both"/>
        <w:rPr>
          <w:rFonts w:cs="Arial"/>
          <w:sz w:val="22"/>
          <w:szCs w:val="22"/>
        </w:rPr>
      </w:pPr>
    </w:p>
    <w:p w:rsidR="004F751E" w:rsidRPr="00D17959" w:rsidRDefault="004F751E" w:rsidP="00D17959">
      <w:pPr>
        <w:pStyle w:val="ListParagraph"/>
        <w:spacing w:line="360" w:lineRule="auto"/>
        <w:jc w:val="both"/>
        <w:rPr>
          <w:rFonts w:cs="Arial"/>
          <w:sz w:val="22"/>
          <w:szCs w:val="22"/>
        </w:rPr>
      </w:pPr>
      <w:r w:rsidRPr="00D17959">
        <w:rPr>
          <w:rFonts w:cs="Arial"/>
          <w:sz w:val="22"/>
          <w:szCs w:val="22"/>
        </w:rPr>
        <w:t>(c)</w:t>
      </w:r>
      <w:r w:rsidRPr="00D17959">
        <w:rPr>
          <w:rFonts w:cs="Arial"/>
          <w:sz w:val="22"/>
          <w:szCs w:val="22"/>
        </w:rPr>
        <w:tab/>
        <w:t xml:space="preserve">The sentence is antedated to 19 March 2019.’ </w:t>
      </w:r>
    </w:p>
    <w:p w:rsidR="004F751E" w:rsidRPr="00D17959" w:rsidRDefault="004F751E" w:rsidP="00D16743">
      <w:pPr>
        <w:spacing w:line="480" w:lineRule="auto"/>
        <w:jc w:val="both"/>
        <w:rPr>
          <w:rFonts w:cs="Arial"/>
          <w:sz w:val="22"/>
          <w:szCs w:val="22"/>
        </w:rPr>
      </w:pPr>
    </w:p>
    <w:p w:rsidR="00F62915" w:rsidRDefault="00F62915" w:rsidP="002A5F99">
      <w:pPr>
        <w:pStyle w:val="ListParagraph"/>
        <w:numPr>
          <w:ilvl w:val="0"/>
          <w:numId w:val="1"/>
        </w:numPr>
        <w:spacing w:line="480" w:lineRule="auto"/>
        <w:ind w:left="0" w:firstLine="0"/>
        <w:jc w:val="both"/>
        <w:rPr>
          <w:rFonts w:cs="Arial"/>
        </w:rPr>
      </w:pPr>
      <w:r>
        <w:rPr>
          <w:rFonts w:cs="Arial"/>
        </w:rPr>
        <w:t>Deputy Commissioner D</w:t>
      </w:r>
      <w:r w:rsidR="00BD204A">
        <w:rPr>
          <w:rFonts w:cs="Arial"/>
        </w:rPr>
        <w:t xml:space="preserve"> C</w:t>
      </w:r>
      <w:r>
        <w:rPr>
          <w:rFonts w:cs="Arial"/>
        </w:rPr>
        <w:t xml:space="preserve"> Hansen of the National Release Board of the Correctional Service queried the legality of the senten</w:t>
      </w:r>
      <w:r w:rsidR="00206EE9">
        <w:rPr>
          <w:rFonts w:cs="Arial"/>
        </w:rPr>
        <w:t>ce imposed by the High Court with</w:t>
      </w:r>
      <w:r>
        <w:rPr>
          <w:rFonts w:cs="Arial"/>
        </w:rPr>
        <w:t xml:space="preserve"> reference</w:t>
      </w:r>
      <w:r w:rsidR="00206EE9">
        <w:rPr>
          <w:rFonts w:cs="Arial"/>
        </w:rPr>
        <w:t xml:space="preserve"> to</w:t>
      </w:r>
      <w:r>
        <w:rPr>
          <w:rFonts w:cs="Arial"/>
        </w:rPr>
        <w:t xml:space="preserve"> the provisions of</w:t>
      </w:r>
      <w:r w:rsidR="00D16743">
        <w:rPr>
          <w:rFonts w:cs="Arial"/>
        </w:rPr>
        <w:t xml:space="preserve"> s 28</w:t>
      </w:r>
      <w:r>
        <w:rPr>
          <w:rFonts w:cs="Arial"/>
        </w:rPr>
        <w:t>2 of the Criminal Procedure Act</w:t>
      </w:r>
      <w:r w:rsidR="00D16743">
        <w:rPr>
          <w:rStyle w:val="FootnoteReference"/>
          <w:rFonts w:cs="Arial"/>
        </w:rPr>
        <w:footnoteReference w:id="1"/>
      </w:r>
      <w:r>
        <w:rPr>
          <w:rFonts w:cs="Arial"/>
        </w:rPr>
        <w:t xml:space="preserve"> (the CPA) which reads as follows:</w:t>
      </w:r>
    </w:p>
    <w:p w:rsidR="00443191" w:rsidRPr="00206EE9" w:rsidRDefault="00443191" w:rsidP="00443191">
      <w:pPr>
        <w:pStyle w:val="ListParagraph"/>
        <w:spacing w:line="480" w:lineRule="auto"/>
        <w:ind w:left="0"/>
        <w:jc w:val="both"/>
        <w:rPr>
          <w:rFonts w:cs="Arial"/>
        </w:rPr>
      </w:pPr>
    </w:p>
    <w:p w:rsidR="00F62915" w:rsidRPr="00D17959" w:rsidRDefault="00F62915" w:rsidP="00D17959">
      <w:pPr>
        <w:pStyle w:val="ListParagraph"/>
        <w:spacing w:line="360" w:lineRule="auto"/>
        <w:jc w:val="both"/>
        <w:rPr>
          <w:rFonts w:cs="Arial"/>
          <w:sz w:val="22"/>
          <w:szCs w:val="22"/>
        </w:rPr>
      </w:pPr>
      <w:r w:rsidRPr="00D17959">
        <w:rPr>
          <w:rFonts w:cs="Arial"/>
          <w:sz w:val="22"/>
          <w:szCs w:val="22"/>
        </w:rPr>
        <w:t>‘</w:t>
      </w:r>
      <w:r w:rsidRPr="00D17959">
        <w:rPr>
          <w:sz w:val="22"/>
          <w:szCs w:val="22"/>
        </w:rPr>
        <w:t xml:space="preserve">Whenever any sentence of imprisonment imposed on any person on conviction for an offence is set aside on appeal or review and any other sentence of imprisonment is thereafter imposed on such person in respect of such offence, the latter sentence may, if the court imposing it is satisfied that the person concerned </w:t>
      </w:r>
      <w:r w:rsidRPr="00D17959">
        <w:rPr>
          <w:sz w:val="22"/>
          <w:szCs w:val="22"/>
          <w:u w:val="single"/>
        </w:rPr>
        <w:t>has served any part of the first-mentioned sentence</w:t>
      </w:r>
      <w:r w:rsidRPr="00D17959">
        <w:rPr>
          <w:sz w:val="22"/>
          <w:szCs w:val="22"/>
        </w:rPr>
        <w:t xml:space="preserve">, be antedated by the court to a specified date which shall not be earlier than the date on which such first-mentioned sentence was imposed, and thereupon such latter sentence shall be deemed to have been imposed on the date so specified.’ </w:t>
      </w:r>
      <w:r w:rsidRPr="00D16743">
        <w:t>(My underlining).</w:t>
      </w:r>
    </w:p>
    <w:p w:rsidR="00F62915" w:rsidRDefault="00F62915" w:rsidP="002A5F99">
      <w:pPr>
        <w:pStyle w:val="ListParagraph"/>
        <w:spacing w:line="480" w:lineRule="auto"/>
        <w:ind w:left="0"/>
        <w:jc w:val="both"/>
        <w:rPr>
          <w:rFonts w:cs="Arial"/>
        </w:rPr>
      </w:pPr>
    </w:p>
    <w:p w:rsidR="00F62915" w:rsidRDefault="00F940F4" w:rsidP="002A5F99">
      <w:pPr>
        <w:pStyle w:val="ListParagraph"/>
        <w:numPr>
          <w:ilvl w:val="0"/>
          <w:numId w:val="1"/>
        </w:numPr>
        <w:spacing w:line="480" w:lineRule="auto"/>
        <w:ind w:left="0" w:firstLine="0"/>
        <w:jc w:val="both"/>
        <w:rPr>
          <w:rFonts w:cs="Arial"/>
        </w:rPr>
      </w:pPr>
      <w:r>
        <w:rPr>
          <w:rFonts w:cs="Arial"/>
        </w:rPr>
        <w:lastRenderedPageBreak/>
        <w:t xml:space="preserve">As </w:t>
      </w:r>
      <w:r w:rsidR="00F62915">
        <w:rPr>
          <w:rFonts w:cs="Arial"/>
        </w:rPr>
        <w:t xml:space="preserve">Mr Dentlinger did not serve any part of the sentence imposed by the Regional Court as it was wholly </w:t>
      </w:r>
      <w:r>
        <w:rPr>
          <w:rFonts w:cs="Arial"/>
        </w:rPr>
        <w:t>suspended it</w:t>
      </w:r>
      <w:r w:rsidR="006B288C">
        <w:rPr>
          <w:rFonts w:cs="Arial"/>
        </w:rPr>
        <w:t xml:space="preserve"> </w:t>
      </w:r>
      <w:r>
        <w:rPr>
          <w:rFonts w:cs="Arial"/>
        </w:rPr>
        <w:t xml:space="preserve">follows that the </w:t>
      </w:r>
      <w:r w:rsidR="006B288C">
        <w:rPr>
          <w:rFonts w:cs="Arial"/>
        </w:rPr>
        <w:t xml:space="preserve">High Court did not </w:t>
      </w:r>
      <w:r>
        <w:rPr>
          <w:rFonts w:cs="Arial"/>
        </w:rPr>
        <w:t>have the power to antedate the sentence</w:t>
      </w:r>
      <w:r w:rsidR="006B288C">
        <w:rPr>
          <w:rFonts w:cs="Arial"/>
        </w:rPr>
        <w:t xml:space="preserve"> </w:t>
      </w:r>
      <w:r>
        <w:rPr>
          <w:rFonts w:cs="Arial"/>
        </w:rPr>
        <w:t xml:space="preserve">it imposed. This much is conceded </w:t>
      </w:r>
      <w:r w:rsidR="006B288C">
        <w:rPr>
          <w:rFonts w:cs="Arial"/>
        </w:rPr>
        <w:t xml:space="preserve">by the judges who heard the appeal. As </w:t>
      </w:r>
      <w:r>
        <w:rPr>
          <w:rFonts w:cs="Arial"/>
        </w:rPr>
        <w:t xml:space="preserve">they are </w:t>
      </w:r>
      <w:r w:rsidR="002A5F99" w:rsidRPr="00272C66">
        <w:rPr>
          <w:rFonts w:cs="Arial"/>
          <w:i/>
        </w:rPr>
        <w:t>fun</w:t>
      </w:r>
      <w:r w:rsidR="002A5F99">
        <w:rPr>
          <w:rFonts w:cs="Arial"/>
          <w:i/>
        </w:rPr>
        <w:t>c</w:t>
      </w:r>
      <w:r w:rsidR="002A5F99" w:rsidRPr="00272C66">
        <w:rPr>
          <w:rFonts w:cs="Arial"/>
          <w:i/>
        </w:rPr>
        <w:t>tus officio</w:t>
      </w:r>
      <w:r w:rsidR="002A5F99" w:rsidRPr="00272C66">
        <w:rPr>
          <w:rFonts w:cs="Arial"/>
        </w:rPr>
        <w:t xml:space="preserve">, </w:t>
      </w:r>
      <w:r w:rsidR="00206EE9">
        <w:rPr>
          <w:rFonts w:cs="Arial"/>
        </w:rPr>
        <w:t>and thus cannot correct</w:t>
      </w:r>
      <w:r>
        <w:rPr>
          <w:rFonts w:cs="Arial"/>
        </w:rPr>
        <w:t xml:space="preserve"> the sentence</w:t>
      </w:r>
      <w:r w:rsidR="00443191">
        <w:rPr>
          <w:rFonts w:cs="Arial"/>
        </w:rPr>
        <w:t>,</w:t>
      </w:r>
      <w:r>
        <w:rPr>
          <w:rFonts w:cs="Arial"/>
        </w:rPr>
        <w:t xml:space="preserve"> the matter was referred to this court with the request to correct the sentence pursuant to its powers in</w:t>
      </w:r>
      <w:r w:rsidR="006B288C">
        <w:rPr>
          <w:rFonts w:cs="Arial"/>
        </w:rPr>
        <w:t xml:space="preserve"> terms of s 16 of the Supreme Court Act</w:t>
      </w:r>
      <w:r w:rsidR="00206EE9">
        <w:rPr>
          <w:rStyle w:val="FootnoteReference"/>
          <w:rFonts w:cs="Arial"/>
        </w:rPr>
        <w:footnoteReference w:id="2"/>
      </w:r>
      <w:r w:rsidR="006B288C">
        <w:rPr>
          <w:rFonts w:cs="Arial"/>
        </w:rPr>
        <w:t>.</w:t>
      </w:r>
    </w:p>
    <w:p w:rsidR="00D17959" w:rsidRDefault="00D17959" w:rsidP="00D17959">
      <w:pPr>
        <w:pStyle w:val="ListParagraph"/>
        <w:spacing w:line="480" w:lineRule="auto"/>
        <w:ind w:left="0"/>
        <w:jc w:val="both"/>
        <w:rPr>
          <w:rFonts w:cs="Arial"/>
        </w:rPr>
      </w:pPr>
    </w:p>
    <w:p w:rsidR="00F940F4" w:rsidRDefault="00206EE9" w:rsidP="00443191">
      <w:pPr>
        <w:pStyle w:val="ListParagraph"/>
        <w:numPr>
          <w:ilvl w:val="0"/>
          <w:numId w:val="1"/>
        </w:numPr>
        <w:spacing w:line="480" w:lineRule="auto"/>
        <w:ind w:left="0" w:firstLine="0"/>
        <w:jc w:val="both"/>
        <w:rPr>
          <w:rFonts w:cs="Arial"/>
        </w:rPr>
      </w:pPr>
      <w:r>
        <w:rPr>
          <w:rFonts w:cs="Arial"/>
        </w:rPr>
        <w:t xml:space="preserve">The </w:t>
      </w:r>
      <w:r w:rsidR="00F940F4">
        <w:rPr>
          <w:rFonts w:cs="Arial"/>
        </w:rPr>
        <w:t xml:space="preserve">antedating </w:t>
      </w:r>
      <w:r w:rsidR="006B288C">
        <w:rPr>
          <w:rFonts w:cs="Arial"/>
        </w:rPr>
        <w:t>of the sentence of the High Court on appeal</w:t>
      </w:r>
      <w:r w:rsidR="002A5F99">
        <w:rPr>
          <w:rFonts w:cs="Arial"/>
        </w:rPr>
        <w:t xml:space="preserve"> from the Regional Court</w:t>
      </w:r>
      <w:r>
        <w:rPr>
          <w:rFonts w:cs="Arial"/>
        </w:rPr>
        <w:t xml:space="preserve">, </w:t>
      </w:r>
      <w:r w:rsidR="002A5F99">
        <w:rPr>
          <w:rFonts w:cs="Arial"/>
        </w:rPr>
        <w:t>where no period of imprisonment was serv</w:t>
      </w:r>
      <w:r w:rsidR="00F940F4">
        <w:rPr>
          <w:rFonts w:cs="Arial"/>
        </w:rPr>
        <w:t xml:space="preserve">ed by Mr Dentlinger </w:t>
      </w:r>
      <w:r>
        <w:rPr>
          <w:rFonts w:cs="Arial"/>
        </w:rPr>
        <w:t xml:space="preserve">was contrary to the provisions of s 282 of the CPA and hence clearly irregular. I am thus of the view that this is </w:t>
      </w:r>
      <w:r w:rsidR="002A5F99">
        <w:rPr>
          <w:rFonts w:cs="Arial"/>
        </w:rPr>
        <w:t>a matter where this court</w:t>
      </w:r>
      <w:r>
        <w:rPr>
          <w:rFonts w:cs="Arial"/>
        </w:rPr>
        <w:t xml:space="preserve"> should exercise</w:t>
      </w:r>
      <w:r w:rsidR="002A5F99">
        <w:rPr>
          <w:rFonts w:cs="Arial"/>
        </w:rPr>
        <w:t xml:space="preserve"> its review </w:t>
      </w:r>
      <w:r w:rsidR="00F940F4">
        <w:rPr>
          <w:rFonts w:cs="Arial"/>
        </w:rPr>
        <w:t>jurisdi</w:t>
      </w:r>
      <w:r>
        <w:rPr>
          <w:rFonts w:cs="Arial"/>
        </w:rPr>
        <w:t xml:space="preserve">ction and </w:t>
      </w:r>
      <w:r w:rsidR="00F940F4">
        <w:rPr>
          <w:rFonts w:cs="Arial"/>
        </w:rPr>
        <w:t xml:space="preserve">correct the sentence of the High Court by the deletion of the order of the High Court that the sentence be </w:t>
      </w:r>
      <w:r w:rsidR="00443191">
        <w:rPr>
          <w:rFonts w:cs="Arial"/>
        </w:rPr>
        <w:t>antedated.</w:t>
      </w:r>
    </w:p>
    <w:p w:rsidR="00F940F4" w:rsidRPr="009E6B5E" w:rsidRDefault="00F940F4" w:rsidP="00443191">
      <w:pPr>
        <w:spacing w:line="480" w:lineRule="auto"/>
        <w:rPr>
          <w:rFonts w:cs="Arial"/>
        </w:rPr>
      </w:pPr>
    </w:p>
    <w:p w:rsidR="002A5F99" w:rsidRDefault="002A5F99" w:rsidP="002A5F99">
      <w:pPr>
        <w:pStyle w:val="ListParagraph"/>
        <w:numPr>
          <w:ilvl w:val="0"/>
          <w:numId w:val="1"/>
        </w:numPr>
        <w:spacing w:line="480" w:lineRule="auto"/>
        <w:ind w:left="0" w:firstLine="0"/>
        <w:jc w:val="both"/>
        <w:rPr>
          <w:rFonts w:cs="Arial"/>
        </w:rPr>
      </w:pPr>
      <w:r>
        <w:rPr>
          <w:rFonts w:cs="Arial"/>
        </w:rPr>
        <w:t>In the result, I make the following order:</w:t>
      </w:r>
    </w:p>
    <w:p w:rsidR="002A5F99" w:rsidRDefault="002A5F99" w:rsidP="002A5F99">
      <w:pPr>
        <w:pStyle w:val="ListParagraph"/>
        <w:spacing w:line="480" w:lineRule="auto"/>
        <w:jc w:val="both"/>
        <w:rPr>
          <w:rFonts w:cs="Arial"/>
        </w:rPr>
      </w:pPr>
    </w:p>
    <w:p w:rsidR="002A5F99" w:rsidRDefault="002A5F99" w:rsidP="00F940F4">
      <w:pPr>
        <w:pStyle w:val="ListParagraph"/>
        <w:numPr>
          <w:ilvl w:val="0"/>
          <w:numId w:val="2"/>
        </w:numPr>
        <w:spacing w:line="480" w:lineRule="auto"/>
        <w:jc w:val="both"/>
        <w:rPr>
          <w:rFonts w:cs="Arial"/>
        </w:rPr>
      </w:pPr>
      <w:r>
        <w:rPr>
          <w:rFonts w:cs="Arial"/>
        </w:rPr>
        <w:t>Paragraph (c) of the order of</w:t>
      </w:r>
      <w:r w:rsidR="00F940F4">
        <w:rPr>
          <w:rFonts w:cs="Arial"/>
        </w:rPr>
        <w:t xml:space="preserve"> the High Court dated </w:t>
      </w:r>
      <w:r>
        <w:rPr>
          <w:rFonts w:cs="Arial"/>
        </w:rPr>
        <w:t>3 Se</w:t>
      </w:r>
      <w:r w:rsidR="00D17959">
        <w:rPr>
          <w:rFonts w:cs="Arial"/>
        </w:rPr>
        <w:t>ptember 2020 is deleted.</w:t>
      </w: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p>
    <w:p w:rsidR="00443191" w:rsidRDefault="00443191" w:rsidP="002A5F99">
      <w:pPr>
        <w:spacing w:line="276" w:lineRule="auto"/>
        <w:jc w:val="both"/>
        <w:rPr>
          <w:rFonts w:cs="Arial"/>
        </w:rPr>
      </w:pP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r>
        <w:rPr>
          <w:rFonts w:cs="Arial"/>
        </w:rPr>
        <w:t>_____________________</w:t>
      </w:r>
    </w:p>
    <w:p w:rsidR="002A5F99" w:rsidRPr="002A5F99" w:rsidRDefault="002A5F99" w:rsidP="002A5F99">
      <w:pPr>
        <w:spacing w:line="276" w:lineRule="auto"/>
        <w:jc w:val="both"/>
        <w:rPr>
          <w:rFonts w:cs="Arial"/>
          <w:b/>
        </w:rPr>
      </w:pPr>
      <w:r w:rsidRPr="002A5F99">
        <w:rPr>
          <w:rFonts w:cs="Arial"/>
          <w:b/>
        </w:rPr>
        <w:t>FRANK AJA</w:t>
      </w: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p>
    <w:p w:rsidR="00443191" w:rsidRDefault="00443191" w:rsidP="002A5F99">
      <w:pPr>
        <w:spacing w:line="276" w:lineRule="auto"/>
        <w:jc w:val="both"/>
        <w:rPr>
          <w:rFonts w:cs="Arial"/>
        </w:rPr>
      </w:pPr>
    </w:p>
    <w:p w:rsidR="002A5F99" w:rsidRDefault="002A5F99" w:rsidP="002A5F99">
      <w:pPr>
        <w:spacing w:line="276" w:lineRule="auto"/>
        <w:jc w:val="both"/>
        <w:rPr>
          <w:rFonts w:cs="Arial"/>
        </w:rPr>
      </w:pPr>
      <w:r>
        <w:rPr>
          <w:rFonts w:cs="Arial"/>
        </w:rPr>
        <w:t>______________________</w:t>
      </w:r>
    </w:p>
    <w:p w:rsidR="002A5F99" w:rsidRPr="002A5F99" w:rsidRDefault="002A5F99" w:rsidP="002A5F99">
      <w:pPr>
        <w:spacing w:line="276" w:lineRule="auto"/>
        <w:jc w:val="both"/>
        <w:rPr>
          <w:rFonts w:cs="Arial"/>
          <w:b/>
        </w:rPr>
      </w:pPr>
      <w:r w:rsidRPr="002A5F99">
        <w:rPr>
          <w:rFonts w:cs="Arial"/>
          <w:b/>
        </w:rPr>
        <w:t>SHIVUTE CJ</w:t>
      </w: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p>
    <w:p w:rsidR="002A5F99" w:rsidRDefault="002A5F99" w:rsidP="002A5F99">
      <w:pPr>
        <w:spacing w:line="276" w:lineRule="auto"/>
        <w:jc w:val="both"/>
        <w:rPr>
          <w:rFonts w:cs="Arial"/>
        </w:rPr>
      </w:pPr>
      <w:r>
        <w:rPr>
          <w:rFonts w:cs="Arial"/>
        </w:rPr>
        <w:t>______________________</w:t>
      </w:r>
    </w:p>
    <w:p w:rsidR="002A5F99" w:rsidRPr="002A5F99" w:rsidRDefault="002A5F99" w:rsidP="002A5F99">
      <w:pPr>
        <w:spacing w:line="276" w:lineRule="auto"/>
        <w:jc w:val="both"/>
        <w:rPr>
          <w:rFonts w:cs="Arial"/>
          <w:b/>
        </w:rPr>
      </w:pPr>
      <w:r w:rsidRPr="002A5F99">
        <w:rPr>
          <w:rFonts w:cs="Arial"/>
          <w:b/>
        </w:rPr>
        <w:t>HOFF JA</w:t>
      </w:r>
    </w:p>
    <w:p w:rsidR="00F62915" w:rsidRPr="00F62915" w:rsidRDefault="00F62915" w:rsidP="002A5F99">
      <w:pPr>
        <w:spacing w:line="276" w:lineRule="auto"/>
        <w:jc w:val="both"/>
        <w:rPr>
          <w:rFonts w:cs="Arial"/>
        </w:rPr>
      </w:pPr>
    </w:p>
    <w:sectPr w:rsidR="00F62915" w:rsidRPr="00F62915" w:rsidSect="00F940F4">
      <w:headerReference w:type="default" r:id="rId12"/>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D3" w:rsidRDefault="00DA43D3" w:rsidP="00F940F4">
      <w:r>
        <w:separator/>
      </w:r>
    </w:p>
  </w:endnote>
  <w:endnote w:type="continuationSeparator" w:id="0">
    <w:p w:rsidR="00DA43D3" w:rsidRDefault="00DA43D3" w:rsidP="00F9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D3" w:rsidRDefault="00DA43D3" w:rsidP="00F940F4">
      <w:r>
        <w:separator/>
      </w:r>
    </w:p>
  </w:footnote>
  <w:footnote w:type="continuationSeparator" w:id="0">
    <w:p w:rsidR="00DA43D3" w:rsidRDefault="00DA43D3" w:rsidP="00F940F4">
      <w:r>
        <w:continuationSeparator/>
      </w:r>
    </w:p>
  </w:footnote>
  <w:footnote w:id="1">
    <w:p w:rsidR="00D16743" w:rsidRPr="00D16743" w:rsidRDefault="00D16743">
      <w:pPr>
        <w:pStyle w:val="FootnoteText"/>
        <w:rPr>
          <w:lang w:val="en-ZA"/>
        </w:rPr>
      </w:pPr>
      <w:r>
        <w:rPr>
          <w:rStyle w:val="FootnoteReference"/>
        </w:rPr>
        <w:footnoteRef/>
      </w:r>
      <w:r>
        <w:t xml:space="preserve"> Criminal Procedure </w:t>
      </w:r>
      <w:r>
        <w:rPr>
          <w:lang w:val="en-ZA"/>
        </w:rPr>
        <w:t>Act 51 of 1977.</w:t>
      </w:r>
    </w:p>
  </w:footnote>
  <w:footnote w:id="2">
    <w:p w:rsidR="00206EE9" w:rsidRPr="00206EE9" w:rsidRDefault="00206EE9">
      <w:pPr>
        <w:pStyle w:val="FootnoteText"/>
        <w:rPr>
          <w:lang w:val="en-ZA"/>
        </w:rPr>
      </w:pPr>
      <w:r>
        <w:rPr>
          <w:rStyle w:val="FootnoteReference"/>
        </w:rPr>
        <w:footnoteRef/>
      </w:r>
      <w:r>
        <w:t xml:space="preserve"> </w:t>
      </w:r>
      <w:r>
        <w:rPr>
          <w:lang w:val="en-ZA"/>
        </w:rPr>
        <w:t>Act 15 of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04618"/>
      <w:docPartObj>
        <w:docPartGallery w:val="Page Numbers (Top of Page)"/>
        <w:docPartUnique/>
      </w:docPartObj>
    </w:sdtPr>
    <w:sdtEndPr>
      <w:rPr>
        <w:noProof/>
      </w:rPr>
    </w:sdtEndPr>
    <w:sdtContent>
      <w:p w:rsidR="00F940F4" w:rsidRDefault="00F940F4">
        <w:pPr>
          <w:pStyle w:val="Header"/>
          <w:jc w:val="right"/>
        </w:pPr>
        <w:r>
          <w:fldChar w:fldCharType="begin"/>
        </w:r>
        <w:r>
          <w:instrText xml:space="preserve"> PAGE   \* MERGEFORMAT </w:instrText>
        </w:r>
        <w:r>
          <w:fldChar w:fldCharType="separate"/>
        </w:r>
        <w:r w:rsidR="009106BF">
          <w:rPr>
            <w:noProof/>
          </w:rPr>
          <w:t>2</w:t>
        </w:r>
        <w:r>
          <w:rPr>
            <w:noProof/>
          </w:rPr>
          <w:fldChar w:fldCharType="end"/>
        </w:r>
      </w:p>
    </w:sdtContent>
  </w:sdt>
  <w:p w:rsidR="00F940F4" w:rsidRDefault="00F94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A759C"/>
    <w:multiLevelType w:val="hybridMultilevel"/>
    <w:tmpl w:val="51D49300"/>
    <w:lvl w:ilvl="0" w:tplc="EAC298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793A7FED"/>
    <w:multiLevelType w:val="hybridMultilevel"/>
    <w:tmpl w:val="90BAA88C"/>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EF"/>
    <w:rsid w:val="000E6656"/>
    <w:rsid w:val="000E76D6"/>
    <w:rsid w:val="00194F88"/>
    <w:rsid w:val="00206EE9"/>
    <w:rsid w:val="002A5F99"/>
    <w:rsid w:val="0030210A"/>
    <w:rsid w:val="00322310"/>
    <w:rsid w:val="00443191"/>
    <w:rsid w:val="004D5BDA"/>
    <w:rsid w:val="004F4061"/>
    <w:rsid w:val="004F751E"/>
    <w:rsid w:val="00517B75"/>
    <w:rsid w:val="00533FDA"/>
    <w:rsid w:val="005374B5"/>
    <w:rsid w:val="006157A6"/>
    <w:rsid w:val="006B288C"/>
    <w:rsid w:val="007B3C2B"/>
    <w:rsid w:val="007B77D8"/>
    <w:rsid w:val="007F65DE"/>
    <w:rsid w:val="008A7F67"/>
    <w:rsid w:val="009106BF"/>
    <w:rsid w:val="00967AD3"/>
    <w:rsid w:val="00985AFD"/>
    <w:rsid w:val="009E6B5E"/>
    <w:rsid w:val="00A32E06"/>
    <w:rsid w:val="00A35E8C"/>
    <w:rsid w:val="00AB0CB4"/>
    <w:rsid w:val="00B212DE"/>
    <w:rsid w:val="00BD204A"/>
    <w:rsid w:val="00C019EF"/>
    <w:rsid w:val="00C14D19"/>
    <w:rsid w:val="00C752F4"/>
    <w:rsid w:val="00D10AE2"/>
    <w:rsid w:val="00D16743"/>
    <w:rsid w:val="00D17959"/>
    <w:rsid w:val="00D94313"/>
    <w:rsid w:val="00DA43D3"/>
    <w:rsid w:val="00E81CAD"/>
    <w:rsid w:val="00E8493F"/>
    <w:rsid w:val="00E87749"/>
    <w:rsid w:val="00ED732D"/>
    <w:rsid w:val="00F62915"/>
    <w:rsid w:val="00F940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92942-C04F-4C35-ADED-08244727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EF"/>
    <w:rPr>
      <w:rFonts w:ascii="Segoe UI" w:hAnsi="Segoe UI" w:cs="Segoe UI"/>
      <w:sz w:val="18"/>
      <w:szCs w:val="18"/>
      <w:lang w:val="en-GB"/>
    </w:rPr>
  </w:style>
  <w:style w:type="table" w:styleId="TableGrid">
    <w:name w:val="Table Grid"/>
    <w:basedOn w:val="TableNormal"/>
    <w:uiPriority w:val="59"/>
    <w:rsid w:val="00C019EF"/>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9EF"/>
    <w:rPr>
      <w:rFonts w:asciiTheme="minorHAnsi" w:hAnsiTheme="minorHAnsi"/>
      <w:sz w:val="22"/>
      <w:szCs w:val="22"/>
    </w:rPr>
  </w:style>
  <w:style w:type="paragraph" w:styleId="ListParagraph">
    <w:name w:val="List Paragraph"/>
    <w:basedOn w:val="Normal"/>
    <w:uiPriority w:val="34"/>
    <w:qFormat/>
    <w:rsid w:val="00C019EF"/>
    <w:pPr>
      <w:ind w:left="720"/>
      <w:contextualSpacing/>
    </w:pPr>
  </w:style>
  <w:style w:type="paragraph" w:styleId="Header">
    <w:name w:val="header"/>
    <w:basedOn w:val="Normal"/>
    <w:link w:val="HeaderChar"/>
    <w:uiPriority w:val="99"/>
    <w:unhideWhenUsed/>
    <w:rsid w:val="00F940F4"/>
    <w:pPr>
      <w:tabs>
        <w:tab w:val="center" w:pos="4513"/>
        <w:tab w:val="right" w:pos="9026"/>
      </w:tabs>
    </w:pPr>
  </w:style>
  <w:style w:type="character" w:customStyle="1" w:styleId="HeaderChar">
    <w:name w:val="Header Char"/>
    <w:basedOn w:val="DefaultParagraphFont"/>
    <w:link w:val="Header"/>
    <w:uiPriority w:val="99"/>
    <w:rsid w:val="00F940F4"/>
    <w:rPr>
      <w:lang w:val="en-GB"/>
    </w:rPr>
  </w:style>
  <w:style w:type="paragraph" w:styleId="Footer">
    <w:name w:val="footer"/>
    <w:basedOn w:val="Normal"/>
    <w:link w:val="FooterChar"/>
    <w:uiPriority w:val="99"/>
    <w:unhideWhenUsed/>
    <w:rsid w:val="00F940F4"/>
    <w:pPr>
      <w:tabs>
        <w:tab w:val="center" w:pos="4513"/>
        <w:tab w:val="right" w:pos="9026"/>
      </w:tabs>
    </w:pPr>
  </w:style>
  <w:style w:type="character" w:customStyle="1" w:styleId="FooterChar">
    <w:name w:val="Footer Char"/>
    <w:basedOn w:val="DefaultParagraphFont"/>
    <w:link w:val="Footer"/>
    <w:uiPriority w:val="99"/>
    <w:rsid w:val="00F940F4"/>
    <w:rPr>
      <w:lang w:val="en-GB"/>
    </w:rPr>
  </w:style>
  <w:style w:type="paragraph" w:styleId="FootnoteText">
    <w:name w:val="footnote text"/>
    <w:basedOn w:val="Normal"/>
    <w:link w:val="FootnoteTextChar"/>
    <w:uiPriority w:val="99"/>
    <w:semiHidden/>
    <w:unhideWhenUsed/>
    <w:rsid w:val="00D16743"/>
    <w:rPr>
      <w:sz w:val="20"/>
      <w:szCs w:val="20"/>
    </w:rPr>
  </w:style>
  <w:style w:type="character" w:customStyle="1" w:styleId="FootnoteTextChar">
    <w:name w:val="Footnote Text Char"/>
    <w:basedOn w:val="DefaultParagraphFont"/>
    <w:link w:val="FootnoteText"/>
    <w:uiPriority w:val="99"/>
    <w:semiHidden/>
    <w:rsid w:val="00D16743"/>
    <w:rPr>
      <w:sz w:val="20"/>
      <w:szCs w:val="20"/>
      <w:lang w:val="en-GB"/>
    </w:rPr>
  </w:style>
  <w:style w:type="character" w:styleId="FootnoteReference">
    <w:name w:val="footnote reference"/>
    <w:basedOn w:val="DefaultParagraphFont"/>
    <w:uiPriority w:val="99"/>
    <w:semiHidden/>
    <w:unhideWhenUsed/>
    <w:rsid w:val="00D16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89512">
      <w:bodyDiv w:val="1"/>
      <w:marLeft w:val="0"/>
      <w:marRight w:val="0"/>
      <w:marTop w:val="0"/>
      <w:marBottom w:val="0"/>
      <w:divBdr>
        <w:top w:val="none" w:sz="0" w:space="0" w:color="auto"/>
        <w:left w:val="none" w:sz="0" w:space="0" w:color="auto"/>
        <w:bottom w:val="none" w:sz="0" w:space="0" w:color="auto"/>
        <w:right w:val="none" w:sz="0" w:space="0" w:color="auto"/>
      </w:divBdr>
      <w:divsChild>
        <w:div w:id="43917257">
          <w:marLeft w:val="0"/>
          <w:marRight w:val="0"/>
          <w:marTop w:val="0"/>
          <w:marBottom w:val="0"/>
          <w:divBdr>
            <w:top w:val="none" w:sz="0" w:space="0" w:color="auto"/>
            <w:left w:val="none" w:sz="0" w:space="0" w:color="auto"/>
            <w:bottom w:val="none" w:sz="0" w:space="0" w:color="auto"/>
            <w:right w:val="none" w:sz="0" w:space="0" w:color="auto"/>
          </w:divBdr>
        </w:div>
        <w:div w:id="1629360456">
          <w:marLeft w:val="0"/>
          <w:marRight w:val="0"/>
          <w:marTop w:val="0"/>
          <w:marBottom w:val="0"/>
          <w:divBdr>
            <w:top w:val="none" w:sz="0" w:space="0" w:color="auto"/>
            <w:left w:val="none" w:sz="0" w:space="0" w:color="auto"/>
            <w:bottom w:val="none" w:sz="0" w:space="0" w:color="auto"/>
            <w:right w:val="none" w:sz="0" w:space="0" w:color="auto"/>
          </w:divBdr>
        </w:div>
        <w:div w:id="2002930174">
          <w:marLeft w:val="0"/>
          <w:marRight w:val="0"/>
          <w:marTop w:val="0"/>
          <w:marBottom w:val="0"/>
          <w:divBdr>
            <w:top w:val="none" w:sz="0" w:space="0" w:color="auto"/>
            <w:left w:val="none" w:sz="0" w:space="0" w:color="auto"/>
            <w:bottom w:val="none" w:sz="0" w:space="0" w:color="auto"/>
            <w:right w:val="none" w:sz="0" w:space="0" w:color="auto"/>
          </w:divBdr>
        </w:div>
        <w:div w:id="696852482">
          <w:marLeft w:val="0"/>
          <w:marRight w:val="0"/>
          <w:marTop w:val="0"/>
          <w:marBottom w:val="0"/>
          <w:divBdr>
            <w:top w:val="none" w:sz="0" w:space="0" w:color="auto"/>
            <w:left w:val="none" w:sz="0" w:space="0" w:color="auto"/>
            <w:bottom w:val="none" w:sz="0" w:space="0" w:color="auto"/>
            <w:right w:val="none" w:sz="0" w:space="0" w:color="auto"/>
          </w:divBdr>
        </w:div>
        <w:div w:id="467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2022-03-24T18:30:00+00:00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B2FE-430C-424E-9ED3-77D22B0EE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20C61-7D48-4BA8-B52E-1E839B2171B8}">
  <ds:schemaRefs>
    <ds:schemaRef ds:uri="http://schemas.microsoft.com/sharepoint/v3/contenttype/forms"/>
  </ds:schemaRefs>
</ds:datastoreItem>
</file>

<file path=customXml/itemProps3.xml><?xml version="1.0" encoding="utf-8"?>
<ds:datastoreItem xmlns:ds="http://schemas.openxmlformats.org/officeDocument/2006/customXml" ds:itemID="{D5DAC031-95C7-442B-BF58-777F029A732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D7597C92-35D4-4CC0-A542-A727A7E2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 v Dentlinger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Dentlinger</dc:title>
  <dc:subject/>
  <dc:creator>Sevelia Nghitumbwa</dc:creator>
  <cp:keywords/>
  <dc:description/>
  <cp:lastModifiedBy>HOME</cp:lastModifiedBy>
  <cp:revision>2</cp:revision>
  <cp:lastPrinted>2022-03-22T10:17:00Z</cp:lastPrinted>
  <dcterms:created xsi:type="dcterms:W3CDTF">2022-04-05T16:11:00Z</dcterms:created>
  <dcterms:modified xsi:type="dcterms:W3CDTF">2022-04-05T16:11:00Z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