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7EC1" w14:textId="77777777"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0E5A8A4C" wp14:editId="4278357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14:paraId="0BD17F4B" w14:textId="77777777" w:rsidR="008C3367" w:rsidRPr="001C25CA" w:rsidRDefault="00357EA0"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14:paraId="7F0D172A" w14:textId="77777777"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08616D">
        <w:rPr>
          <w:rFonts w:ascii="Arial" w:hAnsi="Arial" w:cs="Arial"/>
          <w:sz w:val="24"/>
          <w:szCs w:val="24"/>
        </w:rPr>
        <w:t>38</w:t>
      </w:r>
      <w:r w:rsidRPr="001C25CA">
        <w:rPr>
          <w:rFonts w:ascii="Arial" w:hAnsi="Arial" w:cs="Arial"/>
          <w:sz w:val="24"/>
          <w:szCs w:val="24"/>
        </w:rPr>
        <w:t>/20</w:t>
      </w:r>
      <w:r w:rsidR="0008616D">
        <w:rPr>
          <w:rFonts w:ascii="Arial" w:hAnsi="Arial" w:cs="Arial"/>
          <w:sz w:val="24"/>
          <w:szCs w:val="24"/>
        </w:rPr>
        <w:t>23</w:t>
      </w:r>
    </w:p>
    <w:p w14:paraId="343EABEE" w14:textId="77777777" w:rsidR="008C3367" w:rsidRPr="001C25CA" w:rsidRDefault="008C3367" w:rsidP="008C3367">
      <w:pPr>
        <w:spacing w:line="240" w:lineRule="auto"/>
        <w:ind w:left="-142"/>
        <w:jc w:val="both"/>
        <w:rPr>
          <w:rFonts w:ascii="Arial" w:hAnsi="Arial" w:cs="Arial"/>
          <w:b/>
          <w:sz w:val="24"/>
          <w:szCs w:val="24"/>
        </w:rPr>
      </w:pPr>
    </w:p>
    <w:p w14:paraId="6356A519" w14:textId="77777777"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14:paraId="0E088F8B" w14:textId="77777777" w:rsidR="008C3367" w:rsidRPr="001C25CA" w:rsidRDefault="008C3367" w:rsidP="00B40CD3">
      <w:pPr>
        <w:spacing w:line="240" w:lineRule="auto"/>
        <w:jc w:val="both"/>
        <w:rPr>
          <w:rFonts w:ascii="Arial" w:hAnsi="Arial" w:cs="Arial"/>
          <w:sz w:val="24"/>
          <w:szCs w:val="24"/>
        </w:rPr>
      </w:pPr>
    </w:p>
    <w:p w14:paraId="79778AB4" w14:textId="77777777"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14:paraId="7A1118F8" w14:textId="77777777" w:rsidR="00230841" w:rsidRPr="001C25CA" w:rsidRDefault="00230841"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14:paraId="00ED6E6C" w14:textId="77777777" w:rsidTr="00B40CD3">
        <w:tc>
          <w:tcPr>
            <w:tcW w:w="6204" w:type="dxa"/>
            <w:shd w:val="clear" w:color="auto" w:fill="auto"/>
          </w:tcPr>
          <w:p w14:paraId="7CF7CC6A" w14:textId="77777777" w:rsidR="002212AD" w:rsidRPr="001C25CA" w:rsidRDefault="00B468D0" w:rsidP="00B40CD3">
            <w:pPr>
              <w:spacing w:line="240" w:lineRule="auto"/>
              <w:jc w:val="both"/>
              <w:rPr>
                <w:rFonts w:ascii="Arial" w:hAnsi="Arial" w:cs="Arial"/>
                <w:b/>
                <w:sz w:val="24"/>
                <w:szCs w:val="24"/>
              </w:rPr>
            </w:pPr>
            <w:r>
              <w:rPr>
                <w:rFonts w:ascii="Arial" w:hAnsi="Arial" w:cs="Arial"/>
                <w:b/>
                <w:sz w:val="24"/>
                <w:szCs w:val="24"/>
              </w:rPr>
              <w:t>AGRICULTURAL BANK OF NAMIBIA LIMITED</w:t>
            </w:r>
          </w:p>
        </w:tc>
        <w:tc>
          <w:tcPr>
            <w:tcW w:w="3011" w:type="dxa"/>
            <w:shd w:val="clear" w:color="auto" w:fill="auto"/>
          </w:tcPr>
          <w:p w14:paraId="4969F51E" w14:textId="77777777" w:rsidR="008C3367" w:rsidRPr="001C25CA" w:rsidRDefault="00B468D0" w:rsidP="00B468D0">
            <w:pPr>
              <w:spacing w:line="240" w:lineRule="auto"/>
              <w:jc w:val="right"/>
              <w:rPr>
                <w:rFonts w:ascii="Arial" w:hAnsi="Arial" w:cs="Arial"/>
                <w:b/>
                <w:sz w:val="24"/>
                <w:szCs w:val="24"/>
              </w:rPr>
            </w:pPr>
            <w:r>
              <w:rPr>
                <w:rFonts w:ascii="Arial" w:hAnsi="Arial" w:cs="Arial"/>
                <w:b/>
                <w:sz w:val="24"/>
                <w:szCs w:val="24"/>
              </w:rPr>
              <w:t>Applicant (</w:t>
            </w:r>
            <w:r w:rsidRPr="001C25CA">
              <w:rPr>
                <w:rFonts w:ascii="Arial" w:hAnsi="Arial" w:cs="Arial"/>
                <w:b/>
                <w:sz w:val="24"/>
                <w:szCs w:val="24"/>
              </w:rPr>
              <w:t>Respondent</w:t>
            </w:r>
            <w:r>
              <w:rPr>
                <w:rFonts w:ascii="Arial" w:hAnsi="Arial" w:cs="Arial"/>
                <w:b/>
                <w:sz w:val="24"/>
                <w:szCs w:val="24"/>
              </w:rPr>
              <w:t xml:space="preserve">) </w:t>
            </w:r>
          </w:p>
        </w:tc>
      </w:tr>
      <w:tr w:rsidR="008C3367" w:rsidRPr="001C25CA" w14:paraId="29F927C2" w14:textId="77777777" w:rsidTr="00B40CD3">
        <w:tc>
          <w:tcPr>
            <w:tcW w:w="6204" w:type="dxa"/>
            <w:shd w:val="clear" w:color="auto" w:fill="auto"/>
          </w:tcPr>
          <w:p w14:paraId="2FB1D5A4" w14:textId="77777777"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14:paraId="545DB517" w14:textId="77777777" w:rsidR="008C3367" w:rsidRPr="001C25CA" w:rsidRDefault="008C3367" w:rsidP="00B40CD3">
            <w:pPr>
              <w:spacing w:line="240" w:lineRule="auto"/>
              <w:jc w:val="right"/>
              <w:rPr>
                <w:rFonts w:ascii="Arial" w:hAnsi="Arial" w:cs="Arial"/>
                <w:b/>
                <w:sz w:val="24"/>
                <w:szCs w:val="24"/>
              </w:rPr>
            </w:pPr>
          </w:p>
        </w:tc>
      </w:tr>
      <w:tr w:rsidR="008C3367" w:rsidRPr="001C25CA" w14:paraId="0C996884" w14:textId="77777777" w:rsidTr="00B40CD3">
        <w:tc>
          <w:tcPr>
            <w:tcW w:w="6204" w:type="dxa"/>
            <w:shd w:val="clear" w:color="auto" w:fill="auto"/>
          </w:tcPr>
          <w:p w14:paraId="56770AF4" w14:textId="77777777"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14:paraId="2FEC0570" w14:textId="77777777" w:rsidR="008C3367" w:rsidRPr="001C25CA" w:rsidRDefault="008C3367" w:rsidP="00B40CD3">
            <w:pPr>
              <w:spacing w:line="240" w:lineRule="auto"/>
              <w:jc w:val="both"/>
              <w:rPr>
                <w:rFonts w:ascii="Arial" w:hAnsi="Arial" w:cs="Arial"/>
                <w:b/>
                <w:sz w:val="24"/>
                <w:szCs w:val="24"/>
              </w:rPr>
            </w:pPr>
          </w:p>
        </w:tc>
      </w:tr>
      <w:tr w:rsidR="008C3367" w:rsidRPr="001C25CA" w14:paraId="1EE0E795" w14:textId="77777777" w:rsidTr="00B40CD3">
        <w:tc>
          <w:tcPr>
            <w:tcW w:w="6204" w:type="dxa"/>
            <w:shd w:val="clear" w:color="auto" w:fill="auto"/>
          </w:tcPr>
          <w:p w14:paraId="744B46B9" w14:textId="77777777"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14:paraId="06E51EF2" w14:textId="77777777" w:rsidR="008C3367" w:rsidRPr="001C25CA" w:rsidRDefault="008C3367" w:rsidP="00B40CD3">
            <w:pPr>
              <w:spacing w:line="240" w:lineRule="auto"/>
              <w:jc w:val="both"/>
              <w:rPr>
                <w:rFonts w:ascii="Arial" w:hAnsi="Arial" w:cs="Arial"/>
                <w:b/>
                <w:sz w:val="24"/>
                <w:szCs w:val="24"/>
              </w:rPr>
            </w:pPr>
          </w:p>
        </w:tc>
      </w:tr>
      <w:tr w:rsidR="008C3367" w:rsidRPr="001C25CA" w14:paraId="077E4A22" w14:textId="77777777" w:rsidTr="00B40CD3">
        <w:tc>
          <w:tcPr>
            <w:tcW w:w="6204" w:type="dxa"/>
            <w:shd w:val="clear" w:color="auto" w:fill="auto"/>
          </w:tcPr>
          <w:p w14:paraId="3521056A" w14:textId="77777777" w:rsidR="008C3367" w:rsidRPr="001C25CA" w:rsidRDefault="00B468D0" w:rsidP="00B468D0">
            <w:pPr>
              <w:spacing w:line="240" w:lineRule="auto"/>
              <w:jc w:val="both"/>
              <w:rPr>
                <w:rFonts w:ascii="Arial" w:hAnsi="Arial" w:cs="Arial"/>
                <w:b/>
                <w:sz w:val="24"/>
                <w:szCs w:val="24"/>
              </w:rPr>
            </w:pPr>
            <w:r>
              <w:rPr>
                <w:rFonts w:ascii="Arial" w:hAnsi="Arial" w:cs="Arial"/>
                <w:b/>
                <w:sz w:val="24"/>
                <w:szCs w:val="24"/>
              </w:rPr>
              <w:t xml:space="preserve">ESME AVRIL GOLIATH </w:t>
            </w:r>
          </w:p>
        </w:tc>
        <w:tc>
          <w:tcPr>
            <w:tcW w:w="3011" w:type="dxa"/>
            <w:shd w:val="clear" w:color="auto" w:fill="auto"/>
          </w:tcPr>
          <w:p w14:paraId="4ED97585" w14:textId="77777777" w:rsidR="00584213" w:rsidRPr="001C25CA" w:rsidRDefault="00B468D0" w:rsidP="00B40CD3">
            <w:pPr>
              <w:spacing w:line="240" w:lineRule="auto"/>
              <w:jc w:val="right"/>
              <w:rPr>
                <w:rFonts w:ascii="Arial" w:hAnsi="Arial" w:cs="Arial"/>
                <w:b/>
                <w:sz w:val="24"/>
                <w:szCs w:val="24"/>
              </w:rPr>
            </w:pPr>
            <w:r>
              <w:rPr>
                <w:rFonts w:ascii="Arial" w:hAnsi="Arial" w:cs="Arial"/>
                <w:b/>
                <w:sz w:val="24"/>
                <w:szCs w:val="24"/>
              </w:rPr>
              <w:t>Respondent (Appellant)</w:t>
            </w:r>
          </w:p>
        </w:tc>
      </w:tr>
    </w:tbl>
    <w:p w14:paraId="12EEB386" w14:textId="77777777" w:rsidR="00AA0F94" w:rsidRDefault="00AA0F94" w:rsidP="00B40CD3">
      <w:pPr>
        <w:spacing w:line="240" w:lineRule="auto"/>
        <w:ind w:left="-142" w:firstLine="142"/>
        <w:jc w:val="both"/>
        <w:rPr>
          <w:rFonts w:ascii="Arial" w:hAnsi="Arial" w:cs="Arial"/>
          <w:b/>
          <w:sz w:val="24"/>
          <w:szCs w:val="24"/>
        </w:rPr>
      </w:pPr>
    </w:p>
    <w:p w14:paraId="6A69E5DB" w14:textId="77777777" w:rsidR="00AA0F94" w:rsidRDefault="00AA0F94" w:rsidP="00B40CD3">
      <w:pPr>
        <w:spacing w:line="240" w:lineRule="auto"/>
        <w:ind w:left="-142" w:firstLine="142"/>
        <w:jc w:val="both"/>
        <w:rPr>
          <w:rFonts w:ascii="Arial" w:hAnsi="Arial" w:cs="Arial"/>
          <w:b/>
          <w:sz w:val="24"/>
          <w:szCs w:val="24"/>
        </w:rPr>
      </w:pPr>
    </w:p>
    <w:p w14:paraId="7BA3FC04" w14:textId="77777777"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t>SMUTS JA</w:t>
      </w:r>
    </w:p>
    <w:p w14:paraId="5D081026" w14:textId="77777777"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E21FA6">
        <w:rPr>
          <w:rFonts w:ascii="Arial" w:hAnsi="Arial" w:cs="Arial"/>
          <w:b/>
          <w:sz w:val="24"/>
          <w:szCs w:val="24"/>
        </w:rPr>
        <w:t>IN CHAMBERS</w:t>
      </w:r>
    </w:p>
    <w:p w14:paraId="196074D3" w14:textId="77777777" w:rsidR="008C3367"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321967">
        <w:rPr>
          <w:rFonts w:ascii="Arial" w:hAnsi="Arial" w:cs="Arial"/>
          <w:b/>
          <w:sz w:val="24"/>
          <w:szCs w:val="24"/>
        </w:rPr>
        <w:t>2</w:t>
      </w:r>
      <w:r w:rsidR="00277CD1">
        <w:rPr>
          <w:rFonts w:ascii="Arial" w:hAnsi="Arial" w:cs="Arial"/>
          <w:b/>
          <w:sz w:val="24"/>
          <w:szCs w:val="24"/>
        </w:rPr>
        <w:t>1</w:t>
      </w:r>
      <w:r w:rsidR="00B151B2">
        <w:rPr>
          <w:rFonts w:ascii="Arial" w:hAnsi="Arial" w:cs="Arial"/>
          <w:b/>
          <w:sz w:val="24"/>
          <w:szCs w:val="24"/>
        </w:rPr>
        <w:t xml:space="preserve"> </w:t>
      </w:r>
      <w:r w:rsidR="00E437B4">
        <w:rPr>
          <w:rFonts w:ascii="Arial" w:hAnsi="Arial" w:cs="Arial"/>
          <w:b/>
          <w:sz w:val="24"/>
          <w:szCs w:val="24"/>
        </w:rPr>
        <w:t>Ju</w:t>
      </w:r>
      <w:r w:rsidR="0008616D">
        <w:rPr>
          <w:rFonts w:ascii="Arial" w:hAnsi="Arial" w:cs="Arial"/>
          <w:b/>
          <w:sz w:val="24"/>
          <w:szCs w:val="24"/>
        </w:rPr>
        <w:t>ne</w:t>
      </w:r>
      <w:r w:rsidR="009C70E6" w:rsidRPr="001C25CA">
        <w:rPr>
          <w:rFonts w:ascii="Arial" w:hAnsi="Arial" w:cs="Arial"/>
          <w:b/>
          <w:sz w:val="24"/>
          <w:szCs w:val="24"/>
        </w:rPr>
        <w:t xml:space="preserve"> 20</w:t>
      </w:r>
      <w:r w:rsidR="0008616D">
        <w:rPr>
          <w:rFonts w:ascii="Arial" w:hAnsi="Arial" w:cs="Arial"/>
          <w:b/>
          <w:sz w:val="24"/>
          <w:szCs w:val="24"/>
        </w:rPr>
        <w:t>23</w:t>
      </w:r>
    </w:p>
    <w:p w14:paraId="246E6F29" w14:textId="77777777" w:rsidR="003E561B" w:rsidRDefault="003E561B" w:rsidP="003E561B">
      <w:pPr>
        <w:spacing w:after="0" w:line="360" w:lineRule="auto"/>
        <w:jc w:val="both"/>
        <w:rPr>
          <w:rFonts w:ascii="Arial" w:hAnsi="Arial" w:cs="Arial"/>
          <w:b/>
          <w:sz w:val="24"/>
          <w:szCs w:val="24"/>
        </w:rPr>
      </w:pPr>
    </w:p>
    <w:p w14:paraId="3BAB4DB0" w14:textId="77777777" w:rsidR="003E561B" w:rsidRDefault="003E561B" w:rsidP="003E561B">
      <w:pPr>
        <w:spacing w:after="0" w:line="360" w:lineRule="auto"/>
        <w:jc w:val="both"/>
        <w:rPr>
          <w:rFonts w:ascii="Arial" w:hAnsi="Arial" w:cs="Arial"/>
          <w:b/>
          <w:sz w:val="24"/>
          <w:szCs w:val="24"/>
        </w:rPr>
      </w:pPr>
    </w:p>
    <w:p w14:paraId="35D031F4" w14:textId="77777777" w:rsidR="003E561B" w:rsidRDefault="003E561B" w:rsidP="003E561B">
      <w:pPr>
        <w:spacing w:after="0" w:line="360" w:lineRule="auto"/>
        <w:jc w:val="both"/>
        <w:rPr>
          <w:rFonts w:ascii="Arial" w:hAnsi="Arial" w:cs="Arial"/>
          <w:sz w:val="24"/>
          <w:szCs w:val="24"/>
        </w:rPr>
      </w:pPr>
      <w:r w:rsidRPr="006501AB">
        <w:rPr>
          <w:rFonts w:ascii="Arial" w:hAnsi="Arial" w:cs="Arial"/>
          <w:b/>
          <w:sz w:val="24"/>
          <w:szCs w:val="24"/>
        </w:rPr>
        <w:t>Summary:</w:t>
      </w:r>
      <w:r>
        <w:rPr>
          <w:rFonts w:ascii="Arial" w:hAnsi="Arial" w:cs="Arial"/>
          <w:sz w:val="24"/>
          <w:szCs w:val="24"/>
        </w:rPr>
        <w:tab/>
        <w:t>Application under s 14(7) of the Supreme Court Act 15 of 1990 (the Act) read with rule 6 of the Supreme Court Rules (the rules) for summary dismissal of the respondent’s/appellant’s appeal on the grounds that it is frivolous and vexatious or has no prospects of success.</w:t>
      </w:r>
    </w:p>
    <w:p w14:paraId="0F192F64" w14:textId="77777777" w:rsidR="003E561B" w:rsidRDefault="003E561B" w:rsidP="003E561B">
      <w:pPr>
        <w:spacing w:after="0" w:line="360" w:lineRule="auto"/>
        <w:jc w:val="both"/>
        <w:rPr>
          <w:rFonts w:ascii="Arial" w:hAnsi="Arial" w:cs="Arial"/>
          <w:sz w:val="24"/>
          <w:szCs w:val="24"/>
        </w:rPr>
      </w:pPr>
    </w:p>
    <w:p w14:paraId="543BC952" w14:textId="77777777" w:rsidR="003E561B" w:rsidRDefault="003E561B" w:rsidP="003E561B">
      <w:pPr>
        <w:spacing w:after="0" w:line="360" w:lineRule="auto"/>
        <w:jc w:val="both"/>
        <w:rPr>
          <w:rFonts w:ascii="Arial" w:hAnsi="Arial" w:cs="Arial"/>
          <w:sz w:val="24"/>
          <w:szCs w:val="24"/>
        </w:rPr>
      </w:pPr>
      <w:r>
        <w:rPr>
          <w:rFonts w:ascii="Arial" w:hAnsi="Arial" w:cs="Arial"/>
          <w:sz w:val="24"/>
          <w:szCs w:val="24"/>
        </w:rPr>
        <w:t xml:space="preserve">The respondent/appellant filed </w:t>
      </w:r>
      <w:r w:rsidR="00321967">
        <w:rPr>
          <w:rFonts w:ascii="Arial" w:hAnsi="Arial" w:cs="Arial"/>
          <w:sz w:val="24"/>
          <w:szCs w:val="24"/>
        </w:rPr>
        <w:t>her</w:t>
      </w:r>
      <w:r>
        <w:rPr>
          <w:rFonts w:ascii="Arial" w:hAnsi="Arial" w:cs="Arial"/>
          <w:sz w:val="24"/>
          <w:szCs w:val="24"/>
        </w:rPr>
        <w:t xml:space="preserve"> notice of appeal (accompanied by a condonation application for failing to comply with rule 7 of the rules) on 20 April 2023, five years after the order appealed against was handed down (</w:t>
      </w:r>
      <w:proofErr w:type="spellStart"/>
      <w:r>
        <w:rPr>
          <w:rFonts w:ascii="Arial" w:hAnsi="Arial" w:cs="Arial"/>
          <w:sz w:val="24"/>
          <w:szCs w:val="24"/>
        </w:rPr>
        <w:t>ie</w:t>
      </w:r>
      <w:proofErr w:type="spellEnd"/>
      <w:r>
        <w:rPr>
          <w:rFonts w:ascii="Arial" w:hAnsi="Arial" w:cs="Arial"/>
          <w:sz w:val="24"/>
          <w:szCs w:val="24"/>
        </w:rPr>
        <w:t xml:space="preserve"> on 7 February 2018). This was </w:t>
      </w:r>
      <w:r>
        <w:rPr>
          <w:rFonts w:ascii="Arial" w:hAnsi="Arial" w:cs="Arial"/>
          <w:sz w:val="24"/>
          <w:szCs w:val="24"/>
        </w:rPr>
        <w:lastRenderedPageBreak/>
        <w:t>in reaction to the applicant/respondent proceeding to take steps to execute the order of 7 February 2023 by issuing a notice of sale in execution of the farm with a sale scheduled for 24 April 2023. Respondent/appellant also failed to lodge a record of appeal within the required period (</w:t>
      </w:r>
      <w:r w:rsidR="00321967">
        <w:rPr>
          <w:rFonts w:ascii="Arial" w:hAnsi="Arial" w:cs="Arial"/>
          <w:sz w:val="24"/>
          <w:szCs w:val="24"/>
        </w:rPr>
        <w:t xml:space="preserve">in terms of </w:t>
      </w:r>
      <w:r>
        <w:rPr>
          <w:rFonts w:ascii="Arial" w:hAnsi="Arial" w:cs="Arial"/>
          <w:sz w:val="24"/>
          <w:szCs w:val="24"/>
        </w:rPr>
        <w:t>rule 8) and to find security (</w:t>
      </w:r>
      <w:r w:rsidR="00321967">
        <w:rPr>
          <w:rFonts w:ascii="Arial" w:hAnsi="Arial" w:cs="Arial"/>
          <w:sz w:val="24"/>
          <w:szCs w:val="24"/>
        </w:rPr>
        <w:t xml:space="preserve">in terms of </w:t>
      </w:r>
      <w:r>
        <w:rPr>
          <w:rFonts w:ascii="Arial" w:hAnsi="Arial" w:cs="Arial"/>
          <w:sz w:val="24"/>
          <w:szCs w:val="24"/>
        </w:rPr>
        <w:t xml:space="preserve">rule 14) which </w:t>
      </w:r>
      <w:r w:rsidR="002C2D0D">
        <w:rPr>
          <w:rFonts w:ascii="Arial" w:hAnsi="Arial" w:cs="Arial"/>
          <w:sz w:val="24"/>
          <w:szCs w:val="24"/>
        </w:rPr>
        <w:t xml:space="preserve">also </w:t>
      </w:r>
      <w:r>
        <w:rPr>
          <w:rFonts w:ascii="Arial" w:hAnsi="Arial" w:cs="Arial"/>
          <w:sz w:val="24"/>
          <w:szCs w:val="24"/>
        </w:rPr>
        <w:t>resulted in the appeal lapsing. The consequence of failing to timeously note the appeal mean</w:t>
      </w:r>
      <w:r w:rsidR="00321967">
        <w:rPr>
          <w:rFonts w:ascii="Arial" w:hAnsi="Arial" w:cs="Arial"/>
          <w:sz w:val="24"/>
          <w:szCs w:val="24"/>
        </w:rPr>
        <w:t>s</w:t>
      </w:r>
      <w:r>
        <w:rPr>
          <w:rFonts w:ascii="Arial" w:hAnsi="Arial" w:cs="Arial"/>
          <w:sz w:val="24"/>
          <w:szCs w:val="24"/>
        </w:rPr>
        <w:t xml:space="preserve"> that there is no appeal before this Court to be dismissed, unless and until condonation is granted and the appeal is reinstated (which was not even sought by the respondent/appellant).</w:t>
      </w:r>
    </w:p>
    <w:p w14:paraId="14A73F42" w14:textId="77777777" w:rsidR="003E561B" w:rsidRDefault="003E561B" w:rsidP="003E561B">
      <w:pPr>
        <w:spacing w:after="0" w:line="360" w:lineRule="auto"/>
        <w:jc w:val="both"/>
        <w:rPr>
          <w:rFonts w:ascii="Arial" w:hAnsi="Arial" w:cs="Arial"/>
          <w:sz w:val="24"/>
          <w:szCs w:val="24"/>
        </w:rPr>
      </w:pPr>
    </w:p>
    <w:p w14:paraId="6F32931A" w14:textId="77777777" w:rsidR="003E561B" w:rsidRDefault="003E561B" w:rsidP="003E561B">
      <w:pPr>
        <w:spacing w:after="0" w:line="360" w:lineRule="auto"/>
        <w:jc w:val="both"/>
        <w:rPr>
          <w:rFonts w:ascii="Arial" w:hAnsi="Arial" w:cs="Arial"/>
          <w:sz w:val="24"/>
          <w:szCs w:val="24"/>
        </w:rPr>
      </w:pPr>
      <w:r w:rsidRPr="006242B7">
        <w:rPr>
          <w:rFonts w:ascii="Arial" w:hAnsi="Arial" w:cs="Arial"/>
          <w:i/>
          <w:sz w:val="24"/>
          <w:szCs w:val="24"/>
        </w:rPr>
        <w:t>Held that</w:t>
      </w:r>
      <w:r>
        <w:rPr>
          <w:rFonts w:ascii="Arial" w:hAnsi="Arial" w:cs="Arial"/>
          <w:sz w:val="24"/>
          <w:szCs w:val="24"/>
        </w:rPr>
        <w:t xml:space="preserve">, if a notice of appeal has not been timeously filed or the appeal lapses by reasons of the failure to comply with the rules of this </w:t>
      </w:r>
      <w:r w:rsidR="00321967">
        <w:rPr>
          <w:rFonts w:ascii="Arial" w:hAnsi="Arial" w:cs="Arial"/>
          <w:sz w:val="24"/>
          <w:szCs w:val="24"/>
        </w:rPr>
        <w:t>C</w:t>
      </w:r>
      <w:r>
        <w:rPr>
          <w:rFonts w:ascii="Arial" w:hAnsi="Arial" w:cs="Arial"/>
          <w:sz w:val="24"/>
          <w:szCs w:val="24"/>
        </w:rPr>
        <w:t xml:space="preserve">ourt as provided by such rule, the respondent in that appeal, as is the case in this matter, is at liberty to execute the judgment or order obtained in its favour. </w:t>
      </w:r>
    </w:p>
    <w:p w14:paraId="02423B45" w14:textId="77777777" w:rsidR="003E561B" w:rsidRDefault="003E561B" w:rsidP="003E561B">
      <w:pPr>
        <w:spacing w:after="0" w:line="360" w:lineRule="auto"/>
        <w:jc w:val="both"/>
        <w:rPr>
          <w:rFonts w:ascii="Arial" w:hAnsi="Arial" w:cs="Arial"/>
          <w:sz w:val="24"/>
          <w:szCs w:val="24"/>
        </w:rPr>
      </w:pPr>
    </w:p>
    <w:p w14:paraId="41E86C0E" w14:textId="77777777" w:rsidR="003E561B" w:rsidRDefault="003E561B" w:rsidP="003E561B">
      <w:pPr>
        <w:spacing w:after="0" w:line="360" w:lineRule="auto"/>
        <w:jc w:val="both"/>
        <w:rPr>
          <w:rFonts w:ascii="Arial" w:hAnsi="Arial" w:cs="Arial"/>
          <w:sz w:val="24"/>
          <w:szCs w:val="24"/>
        </w:rPr>
      </w:pPr>
      <w:r w:rsidRPr="006242B7">
        <w:rPr>
          <w:rFonts w:ascii="Arial" w:hAnsi="Arial" w:cs="Arial"/>
          <w:i/>
          <w:sz w:val="24"/>
          <w:szCs w:val="24"/>
        </w:rPr>
        <w:t>Held that</w:t>
      </w:r>
      <w:r>
        <w:rPr>
          <w:rFonts w:ascii="Arial" w:hAnsi="Arial" w:cs="Arial"/>
          <w:sz w:val="24"/>
          <w:szCs w:val="24"/>
        </w:rPr>
        <w:t xml:space="preserve">, the late filing of a notice of appeal even if accompanied by a condonation application cannot suspend execution. A </w:t>
      </w:r>
      <w:r w:rsidR="002C2D0D">
        <w:rPr>
          <w:rFonts w:ascii="Arial" w:hAnsi="Arial" w:cs="Arial"/>
          <w:sz w:val="24"/>
          <w:szCs w:val="24"/>
        </w:rPr>
        <w:t>party</w:t>
      </w:r>
      <w:r>
        <w:rPr>
          <w:rFonts w:ascii="Arial" w:hAnsi="Arial" w:cs="Arial"/>
          <w:sz w:val="24"/>
          <w:szCs w:val="24"/>
        </w:rPr>
        <w:t xml:space="preserve"> in those circumstances </w:t>
      </w:r>
      <w:r w:rsidR="002C2D0D">
        <w:rPr>
          <w:rFonts w:ascii="Arial" w:hAnsi="Arial" w:cs="Arial"/>
          <w:sz w:val="24"/>
          <w:szCs w:val="24"/>
        </w:rPr>
        <w:t xml:space="preserve">seeking to appeal </w:t>
      </w:r>
      <w:r>
        <w:rPr>
          <w:rFonts w:ascii="Arial" w:hAnsi="Arial" w:cs="Arial"/>
          <w:sz w:val="24"/>
          <w:szCs w:val="24"/>
        </w:rPr>
        <w:t>would not be remediless and would be at liberty to seek an interim interdict to suspend execution pending the hearing of an application for condonation for the late filing of the notice of appeal but would be saddled with the onus of establishing prospects of success both on appeal and in respect of the condonation application.</w:t>
      </w:r>
    </w:p>
    <w:p w14:paraId="0C863274" w14:textId="77777777" w:rsidR="00EF6EF1" w:rsidRPr="001C25CA" w:rsidRDefault="00EF6EF1" w:rsidP="007F6CEC">
      <w:pPr>
        <w:pStyle w:val="NoSpacing"/>
        <w:spacing w:line="480" w:lineRule="auto"/>
        <w:jc w:val="both"/>
        <w:rPr>
          <w:rFonts w:ascii="Arial" w:hAnsi="Arial" w:cs="Arial"/>
          <w:sz w:val="24"/>
          <w:szCs w:val="24"/>
        </w:rPr>
      </w:pPr>
    </w:p>
    <w:p w14:paraId="134A3CB2"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2207471E" w14:textId="77777777"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JUDGMENT</w:t>
      </w:r>
      <w:r w:rsidR="00230841">
        <w:rPr>
          <w:rFonts w:ascii="Arial" w:hAnsi="Arial" w:cs="Arial"/>
          <w:b/>
          <w:sz w:val="24"/>
          <w:szCs w:val="24"/>
        </w:rPr>
        <w:t xml:space="preserve"> </w:t>
      </w:r>
      <w:r w:rsidR="00E21FA6">
        <w:rPr>
          <w:rFonts w:ascii="Arial" w:hAnsi="Arial" w:cs="Arial"/>
          <w:b/>
          <w:sz w:val="24"/>
          <w:szCs w:val="24"/>
        </w:rPr>
        <w:t>IN TERMS OF S 14(7</w:t>
      </w:r>
      <w:r w:rsidR="00E21FA6" w:rsidRPr="00E21FA6">
        <w:rPr>
          <w:rFonts w:ascii="Arial" w:hAnsi="Arial" w:cs="Arial"/>
          <w:b/>
          <w:i/>
          <w:sz w:val="24"/>
          <w:szCs w:val="24"/>
        </w:rPr>
        <w:t>)(a)</w:t>
      </w:r>
      <w:r w:rsidR="00E21FA6">
        <w:rPr>
          <w:rFonts w:ascii="Arial" w:hAnsi="Arial" w:cs="Arial"/>
          <w:b/>
          <w:sz w:val="24"/>
          <w:szCs w:val="24"/>
        </w:rPr>
        <w:t xml:space="preserve"> OF ACT 15 OF 1990</w:t>
      </w:r>
    </w:p>
    <w:p w14:paraId="0C400432" w14:textId="77777777"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14:paraId="0EEDB1C8" w14:textId="77777777" w:rsidR="00B40CD3" w:rsidRPr="001C25CA" w:rsidRDefault="00B40CD3" w:rsidP="00A26B21">
      <w:pPr>
        <w:pStyle w:val="NoSpacing"/>
        <w:rPr>
          <w:rFonts w:ascii="Arial" w:hAnsi="Arial" w:cs="Arial"/>
          <w:sz w:val="24"/>
          <w:szCs w:val="24"/>
        </w:rPr>
      </w:pPr>
    </w:p>
    <w:p w14:paraId="4FCA014C" w14:textId="77777777" w:rsidR="008C3367" w:rsidRPr="001C25CA" w:rsidRDefault="008C3367" w:rsidP="00E21FA6">
      <w:pPr>
        <w:spacing w:line="480" w:lineRule="auto"/>
        <w:jc w:val="both"/>
        <w:rPr>
          <w:rFonts w:ascii="Arial" w:hAnsi="Arial" w:cs="Arial"/>
          <w:sz w:val="24"/>
          <w:szCs w:val="24"/>
        </w:rPr>
      </w:pPr>
      <w:r w:rsidRPr="001C25CA">
        <w:rPr>
          <w:rFonts w:ascii="Arial" w:hAnsi="Arial" w:cs="Arial"/>
          <w:sz w:val="24"/>
          <w:szCs w:val="24"/>
        </w:rPr>
        <w:t>SMUTS JA:</w:t>
      </w:r>
    </w:p>
    <w:p w14:paraId="13A0B0EE" w14:textId="35BBC3D4"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13468">
        <w:rPr>
          <w:rFonts w:ascii="Arial" w:hAnsi="Arial" w:cs="Arial"/>
          <w:sz w:val="24"/>
          <w:szCs w:val="24"/>
        </w:rPr>
        <w:t>Th</w:t>
      </w:r>
      <w:r w:rsidR="00230841">
        <w:rPr>
          <w:rFonts w:ascii="Arial" w:hAnsi="Arial" w:cs="Arial"/>
          <w:sz w:val="24"/>
          <w:szCs w:val="24"/>
        </w:rPr>
        <w:t xml:space="preserve">is </w:t>
      </w:r>
      <w:r w:rsidR="00E21FA6">
        <w:rPr>
          <w:rFonts w:ascii="Arial" w:hAnsi="Arial" w:cs="Arial"/>
          <w:sz w:val="24"/>
          <w:szCs w:val="24"/>
        </w:rPr>
        <w:t xml:space="preserve">is an application brought by the applicant under s 14(7) of the Supreme Court Act 15 </w:t>
      </w:r>
      <w:r w:rsidR="00520EEA">
        <w:rPr>
          <w:rFonts w:ascii="Arial" w:hAnsi="Arial" w:cs="Arial"/>
          <w:sz w:val="24"/>
          <w:szCs w:val="24"/>
        </w:rPr>
        <w:t xml:space="preserve">of 1990, </w:t>
      </w:r>
      <w:r w:rsidR="00E21FA6">
        <w:rPr>
          <w:rFonts w:ascii="Arial" w:hAnsi="Arial" w:cs="Arial"/>
          <w:sz w:val="24"/>
          <w:szCs w:val="24"/>
        </w:rPr>
        <w:t xml:space="preserve">read with rule 6 of the rules of </w:t>
      </w:r>
      <w:r w:rsidR="003E561B">
        <w:rPr>
          <w:rFonts w:ascii="Arial" w:hAnsi="Arial" w:cs="Arial"/>
          <w:sz w:val="24"/>
          <w:szCs w:val="24"/>
        </w:rPr>
        <w:t>this Court</w:t>
      </w:r>
      <w:r w:rsidR="00E21FA6">
        <w:rPr>
          <w:rFonts w:ascii="Arial" w:hAnsi="Arial" w:cs="Arial"/>
          <w:sz w:val="24"/>
          <w:szCs w:val="24"/>
        </w:rPr>
        <w:t xml:space="preserve"> for the summary dismissal of the respondent’s appeal on the grounds that it is frivolous and vexatious or has no prospects of success. The applicant also seeks costs of this application.</w:t>
      </w:r>
    </w:p>
    <w:p w14:paraId="16B058A7" w14:textId="77777777" w:rsidR="00B151B2" w:rsidRDefault="00B151B2" w:rsidP="00B151B2">
      <w:pPr>
        <w:pStyle w:val="NoSpacing"/>
        <w:spacing w:line="480" w:lineRule="auto"/>
        <w:jc w:val="both"/>
        <w:rPr>
          <w:rFonts w:ascii="Arial" w:hAnsi="Arial" w:cs="Arial"/>
          <w:sz w:val="24"/>
          <w:szCs w:val="24"/>
        </w:rPr>
      </w:pPr>
    </w:p>
    <w:p w14:paraId="0645CF5F" w14:textId="77777777" w:rsidR="003E561B" w:rsidRDefault="003E561B" w:rsidP="00B151B2">
      <w:pPr>
        <w:pStyle w:val="NoSpacing"/>
        <w:spacing w:line="480" w:lineRule="auto"/>
        <w:jc w:val="both"/>
        <w:rPr>
          <w:rFonts w:ascii="Arial" w:hAnsi="Arial" w:cs="Arial"/>
          <w:sz w:val="24"/>
          <w:szCs w:val="24"/>
        </w:rPr>
      </w:pPr>
    </w:p>
    <w:p w14:paraId="3F3114AD" w14:textId="487B1AB1"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21FA6" w:rsidRPr="00B151B2">
        <w:rPr>
          <w:rFonts w:ascii="Arial" w:hAnsi="Arial" w:cs="Arial"/>
          <w:sz w:val="24"/>
          <w:szCs w:val="24"/>
        </w:rPr>
        <w:t xml:space="preserve">Section 14(7) of the Supreme Court </w:t>
      </w:r>
      <w:r w:rsidR="00520EEA">
        <w:rPr>
          <w:rFonts w:ascii="Arial" w:hAnsi="Arial" w:cs="Arial"/>
          <w:sz w:val="24"/>
          <w:szCs w:val="24"/>
        </w:rPr>
        <w:t xml:space="preserve">Act </w:t>
      </w:r>
      <w:r w:rsidR="00E21FA6" w:rsidRPr="00B151B2">
        <w:rPr>
          <w:rFonts w:ascii="Arial" w:hAnsi="Arial" w:cs="Arial"/>
          <w:sz w:val="24"/>
          <w:szCs w:val="24"/>
        </w:rPr>
        <w:t>provides:</w:t>
      </w:r>
    </w:p>
    <w:p w14:paraId="58F30E48" w14:textId="77777777" w:rsidR="00B151B2" w:rsidRDefault="00B151B2" w:rsidP="00B151B2">
      <w:pPr>
        <w:pStyle w:val="ListParagraph"/>
        <w:rPr>
          <w:rFonts w:ascii="Arial" w:hAnsi="Arial" w:cs="Arial"/>
          <w:sz w:val="24"/>
          <w:szCs w:val="24"/>
        </w:rPr>
      </w:pPr>
    </w:p>
    <w:p w14:paraId="7F77CD66" w14:textId="77777777" w:rsidR="00B151B2" w:rsidRPr="006E4C7A" w:rsidRDefault="00B151B2" w:rsidP="00B151B2">
      <w:pPr>
        <w:pStyle w:val="NoSpacing"/>
        <w:spacing w:line="360" w:lineRule="auto"/>
        <w:ind w:left="1701" w:hanging="567"/>
        <w:jc w:val="both"/>
        <w:rPr>
          <w:rFonts w:ascii="Arial" w:hAnsi="Arial" w:cs="Arial"/>
        </w:rPr>
      </w:pPr>
      <w:r w:rsidRPr="006E4C7A">
        <w:rPr>
          <w:rFonts w:ascii="Arial" w:hAnsi="Arial" w:cs="Arial"/>
        </w:rPr>
        <w:t>‘</w:t>
      </w:r>
      <w:r>
        <w:rPr>
          <w:rFonts w:ascii="Arial" w:hAnsi="Arial" w:cs="Arial"/>
        </w:rPr>
        <w:t>(a)</w:t>
      </w:r>
      <w:r>
        <w:rPr>
          <w:rFonts w:ascii="Arial" w:hAnsi="Arial" w:cs="Arial"/>
        </w:rPr>
        <w:tab/>
      </w:r>
      <w:r w:rsidRPr="006E4C7A">
        <w:rPr>
          <w:rFonts w:ascii="Arial" w:hAnsi="Arial" w:cs="Arial"/>
        </w:rPr>
        <w:t xml:space="preserve">Where in any civil proceedings no leave to appeal to the Supreme Court is required in terms of any law, the Chief Justice or any other judge designated for that purpose by the Chief Justice – </w:t>
      </w:r>
    </w:p>
    <w:p w14:paraId="320FBBD0" w14:textId="77777777" w:rsidR="00B151B2" w:rsidRPr="006E4C7A" w:rsidRDefault="00B151B2" w:rsidP="00B151B2">
      <w:pPr>
        <w:pStyle w:val="NoSpacing"/>
        <w:spacing w:line="360" w:lineRule="auto"/>
        <w:jc w:val="both"/>
        <w:rPr>
          <w:rFonts w:ascii="Arial" w:hAnsi="Arial" w:cs="Arial"/>
        </w:rPr>
      </w:pPr>
    </w:p>
    <w:p w14:paraId="20A4FAD9" w14:textId="12AB1617" w:rsidR="00B151B2" w:rsidRDefault="00941366" w:rsidP="00941366">
      <w:pPr>
        <w:pStyle w:val="NoSpacing"/>
        <w:spacing w:line="360" w:lineRule="auto"/>
        <w:ind w:left="2268" w:hanging="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B151B2" w:rsidRPr="006E4C7A">
        <w:rPr>
          <w:rFonts w:ascii="Arial" w:hAnsi="Arial" w:cs="Arial"/>
        </w:rPr>
        <w:t xml:space="preserve">may, in his or her discretion, summarily dismiss the appeal on the grounds that it is frivolous or vexatious or otherwise has no prospects of success; or </w:t>
      </w:r>
    </w:p>
    <w:p w14:paraId="743819F7" w14:textId="77777777" w:rsidR="00B151B2" w:rsidRPr="006E4C7A" w:rsidRDefault="00B151B2" w:rsidP="00B151B2">
      <w:pPr>
        <w:pStyle w:val="NoSpacing"/>
        <w:spacing w:line="360" w:lineRule="auto"/>
        <w:ind w:left="2268"/>
        <w:jc w:val="both"/>
        <w:rPr>
          <w:rFonts w:ascii="Arial" w:hAnsi="Arial" w:cs="Arial"/>
        </w:rPr>
      </w:pPr>
    </w:p>
    <w:p w14:paraId="27490F58" w14:textId="2BAFCF29" w:rsidR="00B151B2" w:rsidRDefault="00941366" w:rsidP="00941366">
      <w:pPr>
        <w:pStyle w:val="NoSpacing"/>
        <w:spacing w:line="360" w:lineRule="auto"/>
        <w:ind w:left="2268" w:hanging="567"/>
        <w:jc w:val="both"/>
        <w:rPr>
          <w:rFonts w:ascii="Arial" w:hAnsi="Arial" w:cs="Arial"/>
        </w:rPr>
      </w:pPr>
      <w:r>
        <w:rPr>
          <w:rFonts w:ascii="Arial" w:hAnsi="Arial" w:cs="Arial"/>
        </w:rPr>
        <w:t>(ii)</w:t>
      </w:r>
      <w:r>
        <w:rPr>
          <w:rFonts w:ascii="Arial" w:hAnsi="Arial" w:cs="Arial"/>
        </w:rPr>
        <w:tab/>
      </w:r>
      <w:r w:rsidR="00B151B2" w:rsidRPr="006E4C7A">
        <w:rPr>
          <w:rFonts w:ascii="Arial" w:hAnsi="Arial" w:cs="Arial"/>
        </w:rPr>
        <w:t xml:space="preserve">shall, if the appeal is not so dismissed, direct that the appeal be proceeded with in accordance with the procedures prescribed by the rules of court. </w:t>
      </w:r>
    </w:p>
    <w:p w14:paraId="38DE6B20" w14:textId="77777777" w:rsidR="00B151B2" w:rsidRPr="006E4C7A" w:rsidRDefault="00B151B2" w:rsidP="00B151B2">
      <w:pPr>
        <w:pStyle w:val="NoSpacing"/>
        <w:spacing w:line="360" w:lineRule="auto"/>
        <w:ind w:left="1287"/>
        <w:jc w:val="both"/>
        <w:rPr>
          <w:rFonts w:ascii="Arial" w:hAnsi="Arial" w:cs="Arial"/>
        </w:rPr>
      </w:pPr>
    </w:p>
    <w:p w14:paraId="47C08164" w14:textId="77777777" w:rsidR="00B151B2" w:rsidRDefault="00B151B2" w:rsidP="00B151B2">
      <w:pPr>
        <w:pStyle w:val="NoSpacing"/>
        <w:spacing w:line="360" w:lineRule="auto"/>
        <w:ind w:left="1701" w:hanging="567"/>
        <w:jc w:val="both"/>
        <w:rPr>
          <w:rFonts w:ascii="Arial" w:hAnsi="Arial" w:cs="Arial"/>
        </w:rPr>
      </w:pPr>
      <w:r>
        <w:rPr>
          <w:rFonts w:ascii="Arial" w:hAnsi="Arial" w:cs="Arial"/>
        </w:rPr>
        <w:t>(b)</w:t>
      </w:r>
      <w:r>
        <w:rPr>
          <w:rFonts w:ascii="Arial" w:hAnsi="Arial" w:cs="Arial"/>
        </w:rPr>
        <w:tab/>
      </w:r>
      <w:r w:rsidRPr="006E4C7A">
        <w:rPr>
          <w:rFonts w:ascii="Arial" w:hAnsi="Arial" w:cs="Arial"/>
        </w:rPr>
        <w:t>Where an order has been made dismissing the appeal on any of the grounds referred to in subparagraph (</w:t>
      </w:r>
      <w:proofErr w:type="spellStart"/>
      <w:r w:rsidRPr="006E4C7A">
        <w:rPr>
          <w:rFonts w:ascii="Arial" w:hAnsi="Arial" w:cs="Arial"/>
        </w:rPr>
        <w:t>i</w:t>
      </w:r>
      <w:proofErr w:type="spellEnd"/>
      <w:r w:rsidRPr="006E4C7A">
        <w:rPr>
          <w:rFonts w:ascii="Arial" w:hAnsi="Arial" w:cs="Arial"/>
        </w:rPr>
        <w:t xml:space="preserve">) of paragraph (a) of this subsection, such order shall be deemed to be an order of the Supreme Court setting aside the appeal. </w:t>
      </w:r>
    </w:p>
    <w:p w14:paraId="3F30C034" w14:textId="77777777" w:rsidR="00B151B2" w:rsidRDefault="00B151B2" w:rsidP="00B151B2">
      <w:pPr>
        <w:pStyle w:val="NoSpacing"/>
        <w:spacing w:line="360" w:lineRule="auto"/>
        <w:ind w:left="1701" w:hanging="567"/>
        <w:jc w:val="both"/>
        <w:rPr>
          <w:rFonts w:ascii="Arial" w:hAnsi="Arial" w:cs="Arial"/>
        </w:rPr>
      </w:pPr>
    </w:p>
    <w:p w14:paraId="4C4A73CA" w14:textId="77777777" w:rsidR="00B151B2" w:rsidRPr="00E21FA6" w:rsidRDefault="00B151B2" w:rsidP="00B151B2">
      <w:pPr>
        <w:pStyle w:val="NoSpacing"/>
        <w:spacing w:line="360" w:lineRule="auto"/>
        <w:ind w:left="1701" w:hanging="567"/>
        <w:jc w:val="both"/>
        <w:rPr>
          <w:rFonts w:ascii="Arial" w:hAnsi="Arial" w:cs="Arial"/>
        </w:rPr>
      </w:pPr>
      <w:r>
        <w:rPr>
          <w:rFonts w:ascii="Arial" w:hAnsi="Arial" w:cs="Arial"/>
        </w:rPr>
        <w:t>(c)</w:t>
      </w:r>
      <w:r>
        <w:rPr>
          <w:rFonts w:ascii="Arial" w:hAnsi="Arial" w:cs="Arial"/>
        </w:rPr>
        <w:tab/>
      </w:r>
      <w:r w:rsidRPr="006E4C7A">
        <w:rPr>
          <w:rFonts w:ascii="Arial" w:hAnsi="Arial" w:cs="Arial"/>
        </w:rPr>
        <w:t>Any decision or direction of the Chief Justice or such other judge in terms of paragraph (a) of this subsection, shall be communicated to the parties concerned by the registrar.’</w:t>
      </w:r>
    </w:p>
    <w:p w14:paraId="5F48F19C" w14:textId="77777777" w:rsidR="00B151B2" w:rsidRDefault="00B151B2" w:rsidP="00B151B2">
      <w:pPr>
        <w:pStyle w:val="ListParagraph"/>
        <w:rPr>
          <w:rFonts w:ascii="Arial" w:hAnsi="Arial" w:cs="Arial"/>
          <w:sz w:val="24"/>
          <w:szCs w:val="24"/>
        </w:rPr>
      </w:pPr>
    </w:p>
    <w:p w14:paraId="0C69D6BA" w14:textId="1635DEC4"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21FA6" w:rsidRPr="00B151B2">
        <w:rPr>
          <w:rFonts w:ascii="Arial" w:hAnsi="Arial" w:cs="Arial"/>
          <w:sz w:val="24"/>
          <w:szCs w:val="24"/>
        </w:rPr>
        <w:t xml:space="preserve">The procedure for bringing applications under s 14(7) is set out in rule 6 of the rules of </w:t>
      </w:r>
      <w:r w:rsidR="003E561B">
        <w:rPr>
          <w:rFonts w:ascii="Arial" w:hAnsi="Arial" w:cs="Arial"/>
          <w:sz w:val="24"/>
          <w:szCs w:val="24"/>
        </w:rPr>
        <w:t>this Court</w:t>
      </w:r>
      <w:r w:rsidR="00E21FA6" w:rsidRPr="00B151B2">
        <w:rPr>
          <w:rFonts w:ascii="Arial" w:hAnsi="Arial" w:cs="Arial"/>
          <w:sz w:val="24"/>
          <w:szCs w:val="24"/>
        </w:rPr>
        <w:t>.</w:t>
      </w:r>
    </w:p>
    <w:p w14:paraId="535F4402" w14:textId="77777777" w:rsidR="00B151B2" w:rsidRDefault="00B151B2" w:rsidP="00B151B2">
      <w:pPr>
        <w:pStyle w:val="NoSpacing"/>
        <w:spacing w:line="480" w:lineRule="auto"/>
        <w:jc w:val="both"/>
        <w:rPr>
          <w:rFonts w:ascii="Arial" w:hAnsi="Arial" w:cs="Arial"/>
          <w:sz w:val="24"/>
          <w:szCs w:val="24"/>
        </w:rPr>
      </w:pPr>
    </w:p>
    <w:p w14:paraId="08C0E18A" w14:textId="4CEF5FAA"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21FA6" w:rsidRPr="00B151B2">
        <w:rPr>
          <w:rFonts w:ascii="Arial" w:hAnsi="Arial" w:cs="Arial"/>
          <w:sz w:val="24"/>
          <w:szCs w:val="24"/>
        </w:rPr>
        <w:t xml:space="preserve">The applicant served its notice of motion and founding affidavit on </w:t>
      </w:r>
      <w:r w:rsidR="0008616D">
        <w:rPr>
          <w:rFonts w:ascii="Arial" w:hAnsi="Arial" w:cs="Arial"/>
          <w:sz w:val="24"/>
          <w:szCs w:val="24"/>
        </w:rPr>
        <w:t>23</w:t>
      </w:r>
      <w:r w:rsidR="00E21FA6" w:rsidRPr="00B151B2">
        <w:rPr>
          <w:rFonts w:ascii="Arial" w:hAnsi="Arial" w:cs="Arial"/>
          <w:sz w:val="24"/>
          <w:szCs w:val="24"/>
        </w:rPr>
        <w:t xml:space="preserve"> May 20</w:t>
      </w:r>
      <w:r w:rsidR="0008616D">
        <w:rPr>
          <w:rFonts w:ascii="Arial" w:hAnsi="Arial" w:cs="Arial"/>
          <w:sz w:val="24"/>
          <w:szCs w:val="24"/>
        </w:rPr>
        <w:t>23</w:t>
      </w:r>
      <w:r w:rsidR="00E21FA6" w:rsidRPr="00B151B2">
        <w:rPr>
          <w:rFonts w:ascii="Arial" w:hAnsi="Arial" w:cs="Arial"/>
          <w:sz w:val="24"/>
          <w:szCs w:val="24"/>
        </w:rPr>
        <w:t xml:space="preserve"> upon the respondent. Despite being called upon to file an answering affidavit under rule 6(3) within ten days of that service, no answering affidavit was filed by the respondent within that time or to date.</w:t>
      </w:r>
    </w:p>
    <w:p w14:paraId="6A991251" w14:textId="77777777" w:rsidR="00B151B2" w:rsidRDefault="00B151B2" w:rsidP="00B151B2">
      <w:pPr>
        <w:pStyle w:val="ListParagraph"/>
        <w:rPr>
          <w:rFonts w:ascii="Arial" w:hAnsi="Arial" w:cs="Arial"/>
          <w:sz w:val="24"/>
          <w:szCs w:val="24"/>
        </w:rPr>
      </w:pPr>
    </w:p>
    <w:p w14:paraId="0D60AD8E" w14:textId="447B6570"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E21FA6" w:rsidRPr="00B151B2">
        <w:rPr>
          <w:rFonts w:ascii="Arial" w:hAnsi="Arial" w:cs="Arial"/>
          <w:sz w:val="24"/>
          <w:szCs w:val="24"/>
        </w:rPr>
        <w:t xml:space="preserve">Having been designated to determine the application under s 14(7) of the Act, I do so under rule 6(4)(a) in chambers on the notice of motion and founding affidavit and annexures seeing that the respondent has not seen fit to oppose this application and file an affidavit under rule 6(3) within the time period of </w:t>
      </w:r>
      <w:r w:rsidR="003E561B">
        <w:rPr>
          <w:rFonts w:ascii="Arial" w:hAnsi="Arial" w:cs="Arial"/>
          <w:sz w:val="24"/>
          <w:szCs w:val="24"/>
        </w:rPr>
        <w:t>ten</w:t>
      </w:r>
      <w:r w:rsidR="00E21FA6" w:rsidRPr="00B151B2">
        <w:rPr>
          <w:rFonts w:ascii="Arial" w:hAnsi="Arial" w:cs="Arial"/>
          <w:sz w:val="24"/>
          <w:szCs w:val="24"/>
        </w:rPr>
        <w:t xml:space="preserve"> days which </w:t>
      </w:r>
      <w:r w:rsidR="0008616D">
        <w:rPr>
          <w:rFonts w:ascii="Arial" w:hAnsi="Arial" w:cs="Arial"/>
          <w:sz w:val="24"/>
          <w:szCs w:val="24"/>
        </w:rPr>
        <w:t xml:space="preserve">has </w:t>
      </w:r>
      <w:r w:rsidR="00E21FA6" w:rsidRPr="00B151B2">
        <w:rPr>
          <w:rFonts w:ascii="Arial" w:hAnsi="Arial" w:cs="Arial"/>
          <w:sz w:val="24"/>
          <w:szCs w:val="24"/>
        </w:rPr>
        <w:t>expired and has also not done so to date.</w:t>
      </w:r>
    </w:p>
    <w:p w14:paraId="50EEEB4A" w14:textId="77777777" w:rsidR="00B151B2" w:rsidRDefault="00B151B2" w:rsidP="00B151B2">
      <w:pPr>
        <w:pStyle w:val="ListParagraph"/>
        <w:rPr>
          <w:rFonts w:ascii="Arial" w:hAnsi="Arial" w:cs="Arial"/>
          <w:sz w:val="24"/>
          <w:szCs w:val="24"/>
        </w:rPr>
      </w:pPr>
    </w:p>
    <w:p w14:paraId="78C55364" w14:textId="7803CA78"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21FA6" w:rsidRPr="00B151B2">
        <w:rPr>
          <w:rFonts w:ascii="Arial" w:hAnsi="Arial" w:cs="Arial"/>
          <w:sz w:val="24"/>
          <w:szCs w:val="24"/>
        </w:rPr>
        <w:t>Shortly stated, the background facts are these.</w:t>
      </w:r>
    </w:p>
    <w:p w14:paraId="451D178B" w14:textId="77777777" w:rsidR="00B151B2" w:rsidRDefault="00B151B2" w:rsidP="00B151B2">
      <w:pPr>
        <w:pStyle w:val="ListParagraph"/>
        <w:rPr>
          <w:rFonts w:ascii="Arial" w:hAnsi="Arial" w:cs="Arial"/>
          <w:sz w:val="24"/>
          <w:szCs w:val="24"/>
        </w:rPr>
      </w:pPr>
    </w:p>
    <w:p w14:paraId="081CFED9" w14:textId="2603BA03"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21FA6" w:rsidRPr="00B151B2">
        <w:rPr>
          <w:rFonts w:ascii="Arial" w:hAnsi="Arial" w:cs="Arial"/>
          <w:sz w:val="24"/>
          <w:szCs w:val="24"/>
        </w:rPr>
        <w:t xml:space="preserve">The applicant </w:t>
      </w:r>
      <w:r w:rsidR="0008616D">
        <w:rPr>
          <w:rFonts w:ascii="Arial" w:hAnsi="Arial" w:cs="Arial"/>
          <w:sz w:val="24"/>
          <w:szCs w:val="24"/>
        </w:rPr>
        <w:t xml:space="preserve">as </w:t>
      </w:r>
      <w:r w:rsidR="00E21FA6" w:rsidRPr="00B151B2">
        <w:rPr>
          <w:rFonts w:ascii="Arial" w:hAnsi="Arial" w:cs="Arial"/>
          <w:sz w:val="24"/>
          <w:szCs w:val="24"/>
        </w:rPr>
        <w:t xml:space="preserve">plaintiff </w:t>
      </w:r>
      <w:r w:rsidR="0008616D">
        <w:rPr>
          <w:rFonts w:ascii="Arial" w:hAnsi="Arial" w:cs="Arial"/>
          <w:sz w:val="24"/>
          <w:szCs w:val="24"/>
        </w:rPr>
        <w:t>obtained judgment</w:t>
      </w:r>
      <w:r w:rsidR="00E21FA6" w:rsidRPr="00B151B2">
        <w:rPr>
          <w:rFonts w:ascii="Arial" w:hAnsi="Arial" w:cs="Arial"/>
          <w:sz w:val="24"/>
          <w:szCs w:val="24"/>
        </w:rPr>
        <w:t xml:space="preserve"> against the respondent </w:t>
      </w:r>
      <w:r w:rsidR="0008616D">
        <w:rPr>
          <w:rFonts w:ascii="Arial" w:hAnsi="Arial" w:cs="Arial"/>
          <w:sz w:val="24"/>
          <w:szCs w:val="24"/>
        </w:rPr>
        <w:t xml:space="preserve">as </w:t>
      </w:r>
      <w:r w:rsidR="00E21FA6" w:rsidRPr="00B151B2">
        <w:rPr>
          <w:rFonts w:ascii="Arial" w:hAnsi="Arial" w:cs="Arial"/>
          <w:sz w:val="24"/>
          <w:szCs w:val="24"/>
        </w:rPr>
        <w:t xml:space="preserve">defendant </w:t>
      </w:r>
      <w:r w:rsidR="0008616D">
        <w:rPr>
          <w:rFonts w:ascii="Arial" w:hAnsi="Arial" w:cs="Arial"/>
          <w:sz w:val="24"/>
          <w:szCs w:val="24"/>
        </w:rPr>
        <w:t>on 7 February 2018</w:t>
      </w:r>
      <w:r w:rsidR="004B4111">
        <w:rPr>
          <w:rFonts w:ascii="Arial" w:hAnsi="Arial" w:cs="Arial"/>
          <w:sz w:val="24"/>
          <w:szCs w:val="24"/>
        </w:rPr>
        <w:t xml:space="preserve"> declaring the respondent’s farm executable. This order had been given in respect of proceedings under rule 108 of the rules of the High Court and had followed an order made in October 2015 where a settlement agreement had been made an order of court</w:t>
      </w:r>
      <w:r w:rsidR="00E21FA6" w:rsidRPr="00B151B2">
        <w:rPr>
          <w:rFonts w:ascii="Arial" w:hAnsi="Arial" w:cs="Arial"/>
          <w:sz w:val="24"/>
          <w:szCs w:val="24"/>
        </w:rPr>
        <w:t xml:space="preserve">. The </w:t>
      </w:r>
      <w:r w:rsidR="0008616D">
        <w:rPr>
          <w:rFonts w:ascii="Arial" w:hAnsi="Arial" w:cs="Arial"/>
          <w:sz w:val="24"/>
          <w:szCs w:val="24"/>
        </w:rPr>
        <w:t>respondent/</w:t>
      </w:r>
      <w:r w:rsidR="00E21FA6" w:rsidRPr="00B151B2">
        <w:rPr>
          <w:rFonts w:ascii="Arial" w:hAnsi="Arial" w:cs="Arial"/>
          <w:sz w:val="24"/>
          <w:szCs w:val="24"/>
        </w:rPr>
        <w:t xml:space="preserve">defendant </w:t>
      </w:r>
      <w:r w:rsidR="00757C8D">
        <w:rPr>
          <w:rFonts w:ascii="Arial" w:hAnsi="Arial" w:cs="Arial"/>
          <w:sz w:val="24"/>
          <w:szCs w:val="24"/>
        </w:rPr>
        <w:t xml:space="preserve">was represented in both the proceedings </w:t>
      </w:r>
      <w:r w:rsidR="000459D8">
        <w:rPr>
          <w:rFonts w:ascii="Arial" w:hAnsi="Arial" w:cs="Arial"/>
          <w:sz w:val="24"/>
          <w:szCs w:val="24"/>
        </w:rPr>
        <w:t xml:space="preserve">which culminated in the </w:t>
      </w:r>
      <w:r w:rsidR="00757C8D">
        <w:rPr>
          <w:rFonts w:ascii="Arial" w:hAnsi="Arial" w:cs="Arial"/>
          <w:sz w:val="24"/>
          <w:szCs w:val="24"/>
        </w:rPr>
        <w:t>settlement agreement</w:t>
      </w:r>
      <w:r w:rsidR="00E21FA6" w:rsidRPr="00B151B2">
        <w:rPr>
          <w:rFonts w:ascii="Arial" w:hAnsi="Arial" w:cs="Arial"/>
          <w:sz w:val="24"/>
          <w:szCs w:val="24"/>
        </w:rPr>
        <w:t xml:space="preserve"> made an order of court on </w:t>
      </w:r>
      <w:r w:rsidR="004B4111">
        <w:rPr>
          <w:rFonts w:ascii="Arial" w:hAnsi="Arial" w:cs="Arial"/>
          <w:sz w:val="24"/>
          <w:szCs w:val="24"/>
        </w:rPr>
        <w:t>28</w:t>
      </w:r>
      <w:r w:rsidR="00E21FA6" w:rsidRPr="00B151B2">
        <w:rPr>
          <w:rFonts w:ascii="Arial" w:hAnsi="Arial" w:cs="Arial"/>
          <w:sz w:val="24"/>
          <w:szCs w:val="24"/>
        </w:rPr>
        <w:t xml:space="preserve"> October</w:t>
      </w:r>
      <w:r w:rsidR="007276F9">
        <w:rPr>
          <w:rFonts w:ascii="Arial" w:hAnsi="Arial" w:cs="Arial"/>
          <w:sz w:val="24"/>
          <w:szCs w:val="24"/>
        </w:rPr>
        <w:t xml:space="preserve"> 201</w:t>
      </w:r>
      <w:r w:rsidR="004B4111">
        <w:rPr>
          <w:rFonts w:ascii="Arial" w:hAnsi="Arial" w:cs="Arial"/>
          <w:sz w:val="24"/>
          <w:szCs w:val="24"/>
        </w:rPr>
        <w:t>5</w:t>
      </w:r>
      <w:r w:rsidR="00E21FA6" w:rsidRPr="00B151B2">
        <w:rPr>
          <w:rFonts w:ascii="Arial" w:hAnsi="Arial" w:cs="Arial"/>
          <w:sz w:val="24"/>
          <w:szCs w:val="24"/>
        </w:rPr>
        <w:t xml:space="preserve"> </w:t>
      </w:r>
      <w:r w:rsidR="004B4111">
        <w:rPr>
          <w:rFonts w:ascii="Arial" w:hAnsi="Arial" w:cs="Arial"/>
          <w:sz w:val="24"/>
          <w:szCs w:val="24"/>
        </w:rPr>
        <w:t>and in the rule 108 proceedings on 7 February 2018</w:t>
      </w:r>
      <w:r w:rsidR="00E21FA6" w:rsidRPr="00B151B2">
        <w:rPr>
          <w:rFonts w:ascii="Arial" w:hAnsi="Arial" w:cs="Arial"/>
          <w:sz w:val="24"/>
          <w:szCs w:val="24"/>
        </w:rPr>
        <w:t>.</w:t>
      </w:r>
    </w:p>
    <w:p w14:paraId="5B698C05" w14:textId="77777777" w:rsidR="00B151B2" w:rsidRPr="004B4111" w:rsidRDefault="00B151B2" w:rsidP="004B4111">
      <w:pPr>
        <w:rPr>
          <w:rFonts w:ascii="Arial" w:hAnsi="Arial" w:cs="Arial"/>
          <w:sz w:val="24"/>
          <w:szCs w:val="24"/>
        </w:rPr>
      </w:pPr>
    </w:p>
    <w:p w14:paraId="7B2D76B3" w14:textId="61982D03" w:rsidR="004B4111" w:rsidRDefault="00941366" w:rsidP="00941366">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459D8">
        <w:rPr>
          <w:rFonts w:ascii="Arial" w:hAnsi="Arial" w:cs="Arial"/>
          <w:sz w:val="24"/>
          <w:szCs w:val="24"/>
        </w:rPr>
        <w:t>The applicant</w:t>
      </w:r>
      <w:r w:rsidR="004B4111">
        <w:rPr>
          <w:rFonts w:ascii="Arial" w:hAnsi="Arial" w:cs="Arial"/>
          <w:sz w:val="24"/>
          <w:szCs w:val="24"/>
        </w:rPr>
        <w:t xml:space="preserve"> proceeded to take steps to execute the order in its favour by issuing a notice of sale in execution of the farm with </w:t>
      </w:r>
      <w:r w:rsidR="000459D8">
        <w:rPr>
          <w:rFonts w:ascii="Arial" w:hAnsi="Arial" w:cs="Arial"/>
          <w:sz w:val="24"/>
          <w:szCs w:val="24"/>
        </w:rPr>
        <w:t xml:space="preserve">a </w:t>
      </w:r>
      <w:r w:rsidR="004B4111">
        <w:rPr>
          <w:rFonts w:ascii="Arial" w:hAnsi="Arial" w:cs="Arial"/>
          <w:sz w:val="24"/>
          <w:szCs w:val="24"/>
        </w:rPr>
        <w:t>sale scheduled for 2</w:t>
      </w:r>
      <w:r w:rsidR="003E561B">
        <w:rPr>
          <w:rFonts w:ascii="Arial" w:hAnsi="Arial" w:cs="Arial"/>
          <w:sz w:val="24"/>
          <w:szCs w:val="24"/>
        </w:rPr>
        <w:t>4</w:t>
      </w:r>
      <w:r w:rsidR="004B4111">
        <w:rPr>
          <w:rFonts w:ascii="Arial" w:hAnsi="Arial" w:cs="Arial"/>
          <w:sz w:val="24"/>
          <w:szCs w:val="24"/>
        </w:rPr>
        <w:t xml:space="preserve"> April 2023. On 20 April 2023, the respondent filed a notice of appeal</w:t>
      </w:r>
      <w:r w:rsidR="002C2D0D">
        <w:rPr>
          <w:rFonts w:ascii="Arial" w:hAnsi="Arial" w:cs="Arial"/>
          <w:sz w:val="24"/>
          <w:szCs w:val="24"/>
        </w:rPr>
        <w:t xml:space="preserve"> and</w:t>
      </w:r>
      <w:r w:rsidR="004B4111">
        <w:rPr>
          <w:rFonts w:ascii="Arial" w:hAnsi="Arial" w:cs="Arial"/>
          <w:sz w:val="24"/>
          <w:szCs w:val="24"/>
        </w:rPr>
        <w:t xml:space="preserve"> an application for condonation for the late filing of that notice, the appeal </w:t>
      </w:r>
      <w:proofErr w:type="gramStart"/>
      <w:r w:rsidR="004B4111">
        <w:rPr>
          <w:rFonts w:ascii="Arial" w:hAnsi="Arial" w:cs="Arial"/>
          <w:sz w:val="24"/>
          <w:szCs w:val="24"/>
        </w:rPr>
        <w:t>record</w:t>
      </w:r>
      <w:proofErr w:type="gramEnd"/>
      <w:r w:rsidR="004B4111">
        <w:rPr>
          <w:rFonts w:ascii="Arial" w:hAnsi="Arial" w:cs="Arial"/>
          <w:sz w:val="24"/>
          <w:szCs w:val="24"/>
        </w:rPr>
        <w:t xml:space="preserve"> and security for costs – more than five years after the </w:t>
      </w:r>
      <w:r w:rsidR="000459D8">
        <w:rPr>
          <w:rFonts w:ascii="Arial" w:hAnsi="Arial" w:cs="Arial"/>
          <w:sz w:val="24"/>
          <w:szCs w:val="24"/>
        </w:rPr>
        <w:t xml:space="preserve">impugned </w:t>
      </w:r>
      <w:r w:rsidR="004B4111">
        <w:rPr>
          <w:rFonts w:ascii="Arial" w:hAnsi="Arial" w:cs="Arial"/>
          <w:sz w:val="24"/>
          <w:szCs w:val="24"/>
        </w:rPr>
        <w:t xml:space="preserve">order had </w:t>
      </w:r>
      <w:r w:rsidR="000459D8">
        <w:rPr>
          <w:rFonts w:ascii="Arial" w:hAnsi="Arial" w:cs="Arial"/>
          <w:sz w:val="24"/>
          <w:szCs w:val="24"/>
        </w:rPr>
        <w:t>b</w:t>
      </w:r>
      <w:r w:rsidR="004B4111">
        <w:rPr>
          <w:rFonts w:ascii="Arial" w:hAnsi="Arial" w:cs="Arial"/>
          <w:sz w:val="24"/>
          <w:szCs w:val="24"/>
        </w:rPr>
        <w:t xml:space="preserve">een granted </w:t>
      </w:r>
      <w:r w:rsidR="000459D8">
        <w:rPr>
          <w:rFonts w:ascii="Arial" w:hAnsi="Arial" w:cs="Arial"/>
          <w:sz w:val="24"/>
          <w:szCs w:val="24"/>
        </w:rPr>
        <w:t xml:space="preserve">and </w:t>
      </w:r>
      <w:r w:rsidR="004B4111">
        <w:rPr>
          <w:rFonts w:ascii="Arial" w:hAnsi="Arial" w:cs="Arial"/>
          <w:sz w:val="24"/>
          <w:szCs w:val="24"/>
        </w:rPr>
        <w:t>where the respondent was represented.</w:t>
      </w:r>
    </w:p>
    <w:p w14:paraId="1A2FBDE5" w14:textId="77777777" w:rsidR="004B4111" w:rsidRDefault="004B4111" w:rsidP="004B4111">
      <w:pPr>
        <w:pStyle w:val="ListParagraph"/>
        <w:rPr>
          <w:rFonts w:ascii="Arial" w:hAnsi="Arial" w:cs="Arial"/>
          <w:sz w:val="24"/>
          <w:szCs w:val="24"/>
        </w:rPr>
      </w:pPr>
    </w:p>
    <w:p w14:paraId="3494C040" w14:textId="7093650A" w:rsidR="00B151B2" w:rsidRDefault="00941366" w:rsidP="00941366">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C2D0D">
        <w:rPr>
          <w:rFonts w:ascii="Arial" w:hAnsi="Arial" w:cs="Arial"/>
          <w:sz w:val="24"/>
          <w:szCs w:val="24"/>
        </w:rPr>
        <w:t xml:space="preserve">The applicants asserts that the grounds of appeal raised in the notice are devoid of merit and that the notice itself does not comply with rule 7 of the rules of this Court and that the appeal is frivolous, vexatious and does not have any prospects </w:t>
      </w:r>
      <w:r w:rsidR="002C2D0D">
        <w:rPr>
          <w:rFonts w:ascii="Arial" w:hAnsi="Arial" w:cs="Arial"/>
          <w:sz w:val="24"/>
          <w:szCs w:val="24"/>
        </w:rPr>
        <w:lastRenderedPageBreak/>
        <w:t xml:space="preserve">of success. </w:t>
      </w:r>
      <w:r w:rsidR="004B4111">
        <w:rPr>
          <w:rFonts w:ascii="Arial" w:hAnsi="Arial" w:cs="Arial"/>
          <w:sz w:val="24"/>
          <w:szCs w:val="24"/>
        </w:rPr>
        <w:t xml:space="preserve">It is not necessary for the purpose of this judgment to refer to what is stated in the </w:t>
      </w:r>
      <w:r w:rsidR="006F3D7F">
        <w:rPr>
          <w:rFonts w:ascii="Arial" w:hAnsi="Arial" w:cs="Arial"/>
          <w:sz w:val="24"/>
          <w:szCs w:val="24"/>
        </w:rPr>
        <w:t>purported notice of appeal or the condonation application.</w:t>
      </w:r>
    </w:p>
    <w:p w14:paraId="49A02AB8" w14:textId="77777777" w:rsidR="006F3D7F" w:rsidRDefault="006F3D7F" w:rsidP="006F3D7F">
      <w:pPr>
        <w:pStyle w:val="ListParagraph"/>
        <w:rPr>
          <w:rFonts w:ascii="Arial" w:hAnsi="Arial" w:cs="Arial"/>
          <w:sz w:val="24"/>
          <w:szCs w:val="24"/>
        </w:rPr>
      </w:pPr>
    </w:p>
    <w:p w14:paraId="2093BC06" w14:textId="2C23B2E9" w:rsidR="006F3D7F" w:rsidRDefault="00941366" w:rsidP="00941366">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F3D7F">
        <w:rPr>
          <w:rFonts w:ascii="Arial" w:hAnsi="Arial" w:cs="Arial"/>
          <w:sz w:val="24"/>
          <w:szCs w:val="24"/>
        </w:rPr>
        <w:t xml:space="preserve">The difficulty facing this application is that the notice of appeal was filed late – in this case </w:t>
      </w:r>
      <w:r w:rsidR="000459D8">
        <w:rPr>
          <w:rFonts w:ascii="Arial" w:hAnsi="Arial" w:cs="Arial"/>
          <w:sz w:val="24"/>
          <w:szCs w:val="24"/>
        </w:rPr>
        <w:t>more than</w:t>
      </w:r>
      <w:r w:rsidR="006F3D7F">
        <w:rPr>
          <w:rFonts w:ascii="Arial" w:hAnsi="Arial" w:cs="Arial"/>
          <w:sz w:val="24"/>
          <w:szCs w:val="24"/>
        </w:rPr>
        <w:t xml:space="preserve"> </w:t>
      </w:r>
      <w:r w:rsidR="003E561B">
        <w:rPr>
          <w:rFonts w:ascii="Arial" w:hAnsi="Arial" w:cs="Arial"/>
          <w:sz w:val="24"/>
          <w:szCs w:val="24"/>
        </w:rPr>
        <w:t>five</w:t>
      </w:r>
      <w:r w:rsidR="006F3D7F">
        <w:rPr>
          <w:rFonts w:ascii="Arial" w:hAnsi="Arial" w:cs="Arial"/>
          <w:sz w:val="24"/>
          <w:szCs w:val="24"/>
        </w:rPr>
        <w:t xml:space="preserve"> years late. Although the notice of appeal is accompanied by </w:t>
      </w:r>
      <w:r w:rsidR="002C2D0D">
        <w:rPr>
          <w:rFonts w:ascii="Arial" w:hAnsi="Arial" w:cs="Arial"/>
          <w:sz w:val="24"/>
          <w:szCs w:val="24"/>
        </w:rPr>
        <w:t xml:space="preserve">a </w:t>
      </w:r>
      <w:r w:rsidR="006F3D7F">
        <w:rPr>
          <w:rFonts w:ascii="Arial" w:hAnsi="Arial" w:cs="Arial"/>
          <w:sz w:val="24"/>
          <w:szCs w:val="24"/>
        </w:rPr>
        <w:t xml:space="preserve">condonation application for this failure to comply with rule 7, the failure to timeously note the appeal means that there is no appeal before </w:t>
      </w:r>
      <w:r w:rsidR="003E561B">
        <w:rPr>
          <w:rFonts w:ascii="Arial" w:hAnsi="Arial" w:cs="Arial"/>
          <w:sz w:val="24"/>
          <w:szCs w:val="24"/>
        </w:rPr>
        <w:t>this Court</w:t>
      </w:r>
      <w:r w:rsidR="006F3D7F">
        <w:rPr>
          <w:rFonts w:ascii="Arial" w:hAnsi="Arial" w:cs="Arial"/>
          <w:sz w:val="24"/>
          <w:szCs w:val="24"/>
        </w:rPr>
        <w:t xml:space="preserve"> to be dismissed, unless and until condonation is granted and the appeal is reinstated (which was not even sought by the respondent</w:t>
      </w:r>
      <w:r w:rsidR="002C2D0D">
        <w:rPr>
          <w:rFonts w:ascii="Arial" w:hAnsi="Arial" w:cs="Arial"/>
          <w:sz w:val="24"/>
          <w:szCs w:val="24"/>
        </w:rPr>
        <w:t xml:space="preserve"> in her condonation application</w:t>
      </w:r>
      <w:r w:rsidR="006F3D7F">
        <w:rPr>
          <w:rFonts w:ascii="Arial" w:hAnsi="Arial" w:cs="Arial"/>
          <w:sz w:val="24"/>
          <w:szCs w:val="24"/>
        </w:rPr>
        <w:t>).</w:t>
      </w:r>
    </w:p>
    <w:p w14:paraId="5EA0EA39" w14:textId="77777777" w:rsidR="006F3D7F" w:rsidRDefault="006F3D7F" w:rsidP="006F3D7F">
      <w:pPr>
        <w:pStyle w:val="ListParagraph"/>
        <w:rPr>
          <w:rFonts w:ascii="Arial" w:hAnsi="Arial" w:cs="Arial"/>
          <w:sz w:val="24"/>
          <w:szCs w:val="24"/>
        </w:rPr>
      </w:pPr>
    </w:p>
    <w:p w14:paraId="5E4687D0" w14:textId="5D4B485B" w:rsidR="006F3D7F" w:rsidRDefault="00941366" w:rsidP="00941366">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F3D7F">
        <w:rPr>
          <w:rFonts w:ascii="Arial" w:hAnsi="Arial" w:cs="Arial"/>
          <w:sz w:val="24"/>
          <w:szCs w:val="24"/>
        </w:rPr>
        <w:t xml:space="preserve">The failure to lodge a record within the required period and to find security also resulted in the lapsing of the appeal. There is thus no appeal pending before </w:t>
      </w:r>
      <w:r w:rsidR="003E561B">
        <w:rPr>
          <w:rFonts w:ascii="Arial" w:hAnsi="Arial" w:cs="Arial"/>
          <w:sz w:val="24"/>
          <w:szCs w:val="24"/>
        </w:rPr>
        <w:t>this Court</w:t>
      </w:r>
      <w:r w:rsidR="006F3D7F">
        <w:rPr>
          <w:rFonts w:ascii="Arial" w:hAnsi="Arial" w:cs="Arial"/>
          <w:sz w:val="24"/>
          <w:szCs w:val="24"/>
        </w:rPr>
        <w:t xml:space="preserve"> which can be dismissed under s 14(7) read with rule 6, as has been emphatically confirmed by </w:t>
      </w:r>
      <w:r w:rsidR="003E561B">
        <w:rPr>
          <w:rFonts w:ascii="Arial" w:hAnsi="Arial" w:cs="Arial"/>
          <w:sz w:val="24"/>
          <w:szCs w:val="24"/>
        </w:rPr>
        <w:t>this Court</w:t>
      </w:r>
      <w:r w:rsidR="006F3D7F">
        <w:rPr>
          <w:rFonts w:ascii="Arial" w:hAnsi="Arial" w:cs="Arial"/>
          <w:sz w:val="24"/>
          <w:szCs w:val="24"/>
        </w:rPr>
        <w:t xml:space="preserve"> in </w:t>
      </w:r>
      <w:proofErr w:type="spellStart"/>
      <w:r w:rsidR="006F3D7F" w:rsidRPr="006F3D7F">
        <w:rPr>
          <w:rFonts w:ascii="Arial" w:hAnsi="Arial" w:cs="Arial"/>
          <w:i/>
          <w:sz w:val="24"/>
          <w:szCs w:val="24"/>
        </w:rPr>
        <w:t>Ondjava</w:t>
      </w:r>
      <w:proofErr w:type="spellEnd"/>
      <w:r w:rsidR="006F3D7F" w:rsidRPr="006F3D7F">
        <w:rPr>
          <w:rFonts w:ascii="Arial" w:hAnsi="Arial" w:cs="Arial"/>
          <w:i/>
          <w:sz w:val="24"/>
          <w:szCs w:val="24"/>
        </w:rPr>
        <w:t xml:space="preserve"> Construction CC</w:t>
      </w:r>
      <w:r w:rsidR="00321967">
        <w:rPr>
          <w:rFonts w:ascii="Arial" w:hAnsi="Arial" w:cs="Arial"/>
          <w:i/>
          <w:sz w:val="24"/>
          <w:szCs w:val="24"/>
        </w:rPr>
        <w:t xml:space="preserve"> &amp; others</w:t>
      </w:r>
      <w:r w:rsidR="006F3D7F" w:rsidRPr="006F3D7F">
        <w:rPr>
          <w:rFonts w:ascii="Arial" w:hAnsi="Arial" w:cs="Arial"/>
          <w:i/>
          <w:sz w:val="24"/>
          <w:szCs w:val="24"/>
        </w:rPr>
        <w:t xml:space="preserve"> v H</w:t>
      </w:r>
      <w:r w:rsidR="00B468D0">
        <w:rPr>
          <w:rFonts w:ascii="Arial" w:hAnsi="Arial" w:cs="Arial"/>
          <w:i/>
          <w:sz w:val="24"/>
          <w:szCs w:val="24"/>
        </w:rPr>
        <w:t>AW</w:t>
      </w:r>
      <w:r w:rsidR="006F3D7F" w:rsidRPr="006F3D7F">
        <w:rPr>
          <w:rFonts w:ascii="Arial" w:hAnsi="Arial" w:cs="Arial"/>
          <w:i/>
          <w:sz w:val="24"/>
          <w:szCs w:val="24"/>
        </w:rPr>
        <w:t xml:space="preserve"> Retailers t/a Ark Trading</w:t>
      </w:r>
      <w:r w:rsidR="006F3D7F">
        <w:rPr>
          <w:rFonts w:ascii="Arial" w:hAnsi="Arial" w:cs="Arial"/>
          <w:sz w:val="24"/>
          <w:szCs w:val="24"/>
        </w:rPr>
        <w:t>.</w:t>
      </w:r>
      <w:r w:rsidR="006F3D7F">
        <w:rPr>
          <w:rStyle w:val="FootnoteReference"/>
          <w:rFonts w:ascii="Arial" w:hAnsi="Arial" w:cs="Arial"/>
          <w:sz w:val="24"/>
          <w:szCs w:val="24"/>
        </w:rPr>
        <w:footnoteReference w:id="1"/>
      </w:r>
    </w:p>
    <w:p w14:paraId="52D5211C" w14:textId="77777777" w:rsidR="006F3D7F" w:rsidRDefault="006F3D7F" w:rsidP="006F3D7F">
      <w:pPr>
        <w:pStyle w:val="ListParagraph"/>
        <w:rPr>
          <w:rFonts w:ascii="Arial" w:hAnsi="Arial" w:cs="Arial"/>
          <w:sz w:val="24"/>
          <w:szCs w:val="24"/>
        </w:rPr>
      </w:pPr>
    </w:p>
    <w:p w14:paraId="55641440" w14:textId="3A8FEF24" w:rsidR="006F3D7F" w:rsidRDefault="00941366" w:rsidP="00941366">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F3D7F">
        <w:rPr>
          <w:rFonts w:ascii="Arial" w:hAnsi="Arial" w:cs="Arial"/>
          <w:sz w:val="24"/>
          <w:szCs w:val="24"/>
        </w:rPr>
        <w:t xml:space="preserve">If a notice of appeal has not been timeously filed or the appeal </w:t>
      </w:r>
      <w:r w:rsidR="00277CD1">
        <w:rPr>
          <w:rFonts w:ascii="Arial" w:hAnsi="Arial" w:cs="Arial"/>
          <w:sz w:val="24"/>
          <w:szCs w:val="24"/>
        </w:rPr>
        <w:t xml:space="preserve">had </w:t>
      </w:r>
      <w:r w:rsidR="006F3D7F">
        <w:rPr>
          <w:rFonts w:ascii="Arial" w:hAnsi="Arial" w:cs="Arial"/>
          <w:sz w:val="24"/>
          <w:szCs w:val="24"/>
        </w:rPr>
        <w:t>lapse</w:t>
      </w:r>
      <w:r w:rsidR="00277CD1">
        <w:rPr>
          <w:rFonts w:ascii="Arial" w:hAnsi="Arial" w:cs="Arial"/>
          <w:sz w:val="24"/>
          <w:szCs w:val="24"/>
        </w:rPr>
        <w:t>d</w:t>
      </w:r>
      <w:r w:rsidR="006F3D7F">
        <w:rPr>
          <w:rFonts w:ascii="Arial" w:hAnsi="Arial" w:cs="Arial"/>
          <w:sz w:val="24"/>
          <w:szCs w:val="24"/>
        </w:rPr>
        <w:t xml:space="preserve"> by reasons of the failure to comply with the rules of </w:t>
      </w:r>
      <w:r w:rsidR="003E561B">
        <w:rPr>
          <w:rFonts w:ascii="Arial" w:hAnsi="Arial" w:cs="Arial"/>
          <w:sz w:val="24"/>
          <w:szCs w:val="24"/>
        </w:rPr>
        <w:t>this Court</w:t>
      </w:r>
      <w:r w:rsidR="006F3D7F">
        <w:rPr>
          <w:rFonts w:ascii="Arial" w:hAnsi="Arial" w:cs="Arial"/>
          <w:sz w:val="24"/>
          <w:szCs w:val="24"/>
        </w:rPr>
        <w:t xml:space="preserve"> as provided by such rule, the respondent in that appeal, as is the case in this matter, is at liberty to execute the judgment or order obtained in its favour.</w:t>
      </w:r>
      <w:r w:rsidR="000459D8">
        <w:rPr>
          <w:rFonts w:ascii="Arial" w:hAnsi="Arial" w:cs="Arial"/>
          <w:sz w:val="24"/>
          <w:szCs w:val="24"/>
        </w:rPr>
        <w:t xml:space="preserve"> The late filing of a notice of appeal even if accompanied by a condonation application cannot suspend execution. A </w:t>
      </w:r>
      <w:r w:rsidR="002C2D0D">
        <w:rPr>
          <w:rFonts w:ascii="Arial" w:hAnsi="Arial" w:cs="Arial"/>
          <w:sz w:val="24"/>
          <w:szCs w:val="24"/>
        </w:rPr>
        <w:t>party</w:t>
      </w:r>
      <w:r w:rsidR="000459D8">
        <w:rPr>
          <w:rFonts w:ascii="Arial" w:hAnsi="Arial" w:cs="Arial"/>
          <w:sz w:val="24"/>
          <w:szCs w:val="24"/>
        </w:rPr>
        <w:t xml:space="preserve"> in those circumstances</w:t>
      </w:r>
      <w:r w:rsidR="002C2D0D">
        <w:rPr>
          <w:rFonts w:ascii="Arial" w:hAnsi="Arial" w:cs="Arial"/>
          <w:sz w:val="24"/>
          <w:szCs w:val="24"/>
        </w:rPr>
        <w:t xml:space="preserve"> seeking to appeal</w:t>
      </w:r>
      <w:r w:rsidR="000459D8">
        <w:rPr>
          <w:rFonts w:ascii="Arial" w:hAnsi="Arial" w:cs="Arial"/>
          <w:sz w:val="24"/>
          <w:szCs w:val="24"/>
        </w:rPr>
        <w:t xml:space="preserve"> would not be remediless and would be at liberty to seek an interim interdict to suspend execution pending the hearing of an application for condonation for the late filing of the notice of appeal but would be </w:t>
      </w:r>
      <w:r w:rsidR="000459D8">
        <w:rPr>
          <w:rFonts w:ascii="Arial" w:hAnsi="Arial" w:cs="Arial"/>
          <w:sz w:val="24"/>
          <w:szCs w:val="24"/>
        </w:rPr>
        <w:lastRenderedPageBreak/>
        <w:t>saddled with the onus of establishing prospects of success both on appeal and in respect of the condonation application</w:t>
      </w:r>
      <w:r w:rsidR="002C2D0D">
        <w:rPr>
          <w:rFonts w:ascii="Arial" w:hAnsi="Arial" w:cs="Arial"/>
          <w:sz w:val="24"/>
          <w:szCs w:val="24"/>
        </w:rPr>
        <w:t xml:space="preserve"> </w:t>
      </w:r>
      <w:proofErr w:type="gramStart"/>
      <w:r w:rsidR="002C2D0D">
        <w:rPr>
          <w:rFonts w:ascii="Arial" w:hAnsi="Arial" w:cs="Arial"/>
          <w:sz w:val="24"/>
          <w:szCs w:val="24"/>
        </w:rPr>
        <w:t>in order to</w:t>
      </w:r>
      <w:proofErr w:type="gramEnd"/>
      <w:r w:rsidR="002C2D0D">
        <w:rPr>
          <w:rFonts w:ascii="Arial" w:hAnsi="Arial" w:cs="Arial"/>
          <w:sz w:val="24"/>
          <w:szCs w:val="24"/>
        </w:rPr>
        <w:t xml:space="preserve"> succeed with such an interlocutory interdict. In the absence of an order embodying such an interdict, execution can proceed</w:t>
      </w:r>
      <w:r w:rsidR="000459D8">
        <w:rPr>
          <w:rFonts w:ascii="Arial" w:hAnsi="Arial" w:cs="Arial"/>
          <w:sz w:val="24"/>
          <w:szCs w:val="24"/>
        </w:rPr>
        <w:t>.</w:t>
      </w:r>
    </w:p>
    <w:p w14:paraId="7B69B65C" w14:textId="77777777" w:rsidR="006F3D7F" w:rsidRDefault="006F3D7F" w:rsidP="006F3D7F">
      <w:pPr>
        <w:pStyle w:val="ListParagraph"/>
        <w:rPr>
          <w:rFonts w:ascii="Arial" w:hAnsi="Arial" w:cs="Arial"/>
          <w:sz w:val="24"/>
          <w:szCs w:val="24"/>
        </w:rPr>
      </w:pPr>
    </w:p>
    <w:p w14:paraId="2185E2D5" w14:textId="439808A1" w:rsidR="00E21FA6" w:rsidRDefault="00941366" w:rsidP="00941366">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F3D7F">
        <w:rPr>
          <w:rFonts w:ascii="Arial" w:hAnsi="Arial" w:cs="Arial"/>
          <w:sz w:val="24"/>
          <w:szCs w:val="24"/>
        </w:rPr>
        <w:t xml:space="preserve">Given the frequency with which parties file late notices of appeal on the eve of execution in a bid to delay execution, the </w:t>
      </w:r>
      <w:r w:rsidR="003E561B">
        <w:rPr>
          <w:rFonts w:ascii="Arial" w:hAnsi="Arial" w:cs="Arial"/>
          <w:sz w:val="24"/>
          <w:szCs w:val="24"/>
        </w:rPr>
        <w:t>r</w:t>
      </w:r>
      <w:r w:rsidR="006F3D7F">
        <w:rPr>
          <w:rFonts w:ascii="Arial" w:hAnsi="Arial" w:cs="Arial"/>
          <w:sz w:val="24"/>
          <w:szCs w:val="24"/>
        </w:rPr>
        <w:t xml:space="preserve">egistrar is directed to provide a copy of this judgment to the </w:t>
      </w:r>
      <w:r w:rsidR="002C2D0D">
        <w:rPr>
          <w:rFonts w:ascii="Arial" w:hAnsi="Arial" w:cs="Arial"/>
          <w:sz w:val="24"/>
          <w:szCs w:val="24"/>
        </w:rPr>
        <w:t xml:space="preserve">Director of the </w:t>
      </w:r>
      <w:r w:rsidR="006F3D7F">
        <w:rPr>
          <w:rFonts w:ascii="Arial" w:hAnsi="Arial" w:cs="Arial"/>
          <w:sz w:val="24"/>
          <w:szCs w:val="24"/>
        </w:rPr>
        <w:t xml:space="preserve">Law Society for the attention of its members </w:t>
      </w:r>
      <w:r w:rsidR="000459D8">
        <w:rPr>
          <w:rFonts w:ascii="Arial" w:hAnsi="Arial" w:cs="Arial"/>
          <w:sz w:val="24"/>
          <w:szCs w:val="24"/>
        </w:rPr>
        <w:t xml:space="preserve">who practise as instructing legal practitioners </w:t>
      </w:r>
      <w:r w:rsidR="006F3D7F">
        <w:rPr>
          <w:rFonts w:ascii="Arial" w:hAnsi="Arial" w:cs="Arial"/>
          <w:sz w:val="24"/>
          <w:szCs w:val="24"/>
        </w:rPr>
        <w:t xml:space="preserve">and </w:t>
      </w:r>
      <w:r w:rsidR="000459D8">
        <w:rPr>
          <w:rFonts w:ascii="Arial" w:hAnsi="Arial" w:cs="Arial"/>
          <w:sz w:val="24"/>
          <w:szCs w:val="24"/>
        </w:rPr>
        <w:t xml:space="preserve">to </w:t>
      </w:r>
      <w:r w:rsidR="006F3D7F">
        <w:rPr>
          <w:rFonts w:ascii="Arial" w:hAnsi="Arial" w:cs="Arial"/>
          <w:sz w:val="24"/>
          <w:szCs w:val="24"/>
        </w:rPr>
        <w:t>deputy sheriffs charged with the execution of judgments and orders.</w:t>
      </w:r>
    </w:p>
    <w:p w14:paraId="285BBF27" w14:textId="77777777" w:rsidR="002C2D0D" w:rsidRDefault="002C2D0D" w:rsidP="002C2D0D">
      <w:pPr>
        <w:pStyle w:val="ListParagraph"/>
        <w:rPr>
          <w:rFonts w:ascii="Arial" w:hAnsi="Arial" w:cs="Arial"/>
          <w:sz w:val="24"/>
          <w:szCs w:val="24"/>
        </w:rPr>
      </w:pPr>
    </w:p>
    <w:p w14:paraId="62C0F05E" w14:textId="0801AEB5" w:rsidR="002C2D0D" w:rsidRDefault="00941366" w:rsidP="00941366">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C2D0D">
        <w:rPr>
          <w:rFonts w:ascii="Arial" w:hAnsi="Arial" w:cs="Arial"/>
          <w:sz w:val="24"/>
          <w:szCs w:val="24"/>
        </w:rPr>
        <w:t>The following order is made:</w:t>
      </w:r>
    </w:p>
    <w:p w14:paraId="1ED21EA4" w14:textId="77777777" w:rsidR="002C2D0D" w:rsidRDefault="002C2D0D" w:rsidP="002C2D0D">
      <w:pPr>
        <w:pStyle w:val="ListParagraph"/>
        <w:rPr>
          <w:rFonts w:ascii="Arial" w:hAnsi="Arial" w:cs="Arial"/>
          <w:sz w:val="24"/>
          <w:szCs w:val="24"/>
        </w:rPr>
      </w:pPr>
    </w:p>
    <w:p w14:paraId="7DEE40E8" w14:textId="3EDB8ECA" w:rsidR="002C2D0D" w:rsidRDefault="00941366" w:rsidP="00941366">
      <w:pPr>
        <w:pStyle w:val="NoSpacing"/>
        <w:spacing w:line="480" w:lineRule="auto"/>
        <w:ind w:left="1418" w:hanging="698"/>
        <w:jc w:val="both"/>
        <w:rPr>
          <w:rFonts w:ascii="Arial" w:hAnsi="Arial" w:cs="Arial"/>
          <w:sz w:val="24"/>
          <w:szCs w:val="24"/>
        </w:rPr>
      </w:pPr>
      <w:r>
        <w:rPr>
          <w:rFonts w:ascii="Arial" w:hAnsi="Arial" w:cs="Arial"/>
          <w:sz w:val="24"/>
          <w:szCs w:val="24"/>
        </w:rPr>
        <w:t>(a)</w:t>
      </w:r>
      <w:r>
        <w:rPr>
          <w:rFonts w:ascii="Arial" w:hAnsi="Arial" w:cs="Arial"/>
          <w:sz w:val="24"/>
          <w:szCs w:val="24"/>
        </w:rPr>
        <w:tab/>
      </w:r>
      <w:r w:rsidR="002C2D0D">
        <w:rPr>
          <w:rFonts w:ascii="Arial" w:hAnsi="Arial" w:cs="Arial"/>
          <w:sz w:val="24"/>
          <w:szCs w:val="24"/>
        </w:rPr>
        <w:t xml:space="preserve">The applicant’s application brought under s 14(7) of the Supreme Court Act 15 of 1990 read with rule 6 is dismissed by reason of the fact that s 14(7) is not applicable because there is currently no appeal before this court by reason of the late filing of the notice of appeal. As there is currently no appeal before this </w:t>
      </w:r>
      <w:r w:rsidR="007502AD">
        <w:rPr>
          <w:rFonts w:ascii="Arial" w:hAnsi="Arial" w:cs="Arial"/>
          <w:sz w:val="24"/>
          <w:szCs w:val="24"/>
        </w:rPr>
        <w:t>C</w:t>
      </w:r>
      <w:r w:rsidR="002C2D0D">
        <w:rPr>
          <w:rFonts w:ascii="Arial" w:hAnsi="Arial" w:cs="Arial"/>
          <w:sz w:val="24"/>
          <w:szCs w:val="24"/>
        </w:rPr>
        <w:t xml:space="preserve">ourt, there is currently no suspension of any judgment or order sought to be appealed against. </w:t>
      </w:r>
    </w:p>
    <w:p w14:paraId="383D017D" w14:textId="77777777" w:rsidR="002C2D0D" w:rsidRDefault="002C2D0D" w:rsidP="002C2D0D">
      <w:pPr>
        <w:pStyle w:val="NoSpacing"/>
        <w:spacing w:line="480" w:lineRule="auto"/>
        <w:ind w:left="1418"/>
        <w:jc w:val="both"/>
        <w:rPr>
          <w:rFonts w:ascii="Arial" w:hAnsi="Arial" w:cs="Arial"/>
          <w:sz w:val="24"/>
          <w:szCs w:val="24"/>
        </w:rPr>
      </w:pPr>
    </w:p>
    <w:p w14:paraId="176EDFF8" w14:textId="0F36A819" w:rsidR="002C2D0D" w:rsidRPr="002C2D0D" w:rsidRDefault="00941366" w:rsidP="00941366">
      <w:pPr>
        <w:pStyle w:val="NoSpacing"/>
        <w:spacing w:line="480" w:lineRule="auto"/>
        <w:ind w:left="1418" w:hanging="698"/>
        <w:jc w:val="both"/>
        <w:rPr>
          <w:rFonts w:ascii="Arial" w:hAnsi="Arial" w:cs="Arial"/>
          <w:sz w:val="24"/>
          <w:szCs w:val="24"/>
        </w:rPr>
      </w:pPr>
      <w:r w:rsidRPr="002C2D0D">
        <w:rPr>
          <w:rFonts w:ascii="Arial" w:hAnsi="Arial" w:cs="Arial"/>
          <w:sz w:val="24"/>
          <w:szCs w:val="24"/>
        </w:rPr>
        <w:t>(b)</w:t>
      </w:r>
      <w:r w:rsidRPr="002C2D0D">
        <w:rPr>
          <w:rFonts w:ascii="Arial" w:hAnsi="Arial" w:cs="Arial"/>
          <w:sz w:val="24"/>
          <w:szCs w:val="24"/>
        </w:rPr>
        <w:tab/>
      </w:r>
      <w:r w:rsidR="002C2D0D" w:rsidRPr="002C2D0D">
        <w:rPr>
          <w:rFonts w:ascii="Arial" w:hAnsi="Arial" w:cs="Arial"/>
          <w:sz w:val="24"/>
          <w:szCs w:val="24"/>
        </w:rPr>
        <w:t>No order is made as to costs of this application.</w:t>
      </w:r>
    </w:p>
    <w:p w14:paraId="1392F27B" w14:textId="77777777" w:rsidR="002C2D0D" w:rsidRPr="006F3D7F" w:rsidRDefault="002C2D0D" w:rsidP="002C2D0D">
      <w:pPr>
        <w:pStyle w:val="NoSpacing"/>
        <w:spacing w:line="480" w:lineRule="auto"/>
        <w:ind w:left="720"/>
        <w:jc w:val="both"/>
        <w:rPr>
          <w:rFonts w:ascii="Arial" w:hAnsi="Arial" w:cs="Arial"/>
          <w:sz w:val="24"/>
          <w:szCs w:val="24"/>
        </w:rPr>
      </w:pPr>
    </w:p>
    <w:p w14:paraId="076D13CE" w14:textId="77777777" w:rsidR="00E21FA6" w:rsidRDefault="00E21FA6" w:rsidP="002E426A">
      <w:pPr>
        <w:pStyle w:val="NoSpacing"/>
        <w:spacing w:line="360" w:lineRule="auto"/>
        <w:rPr>
          <w:rFonts w:ascii="Arial" w:hAnsi="Arial" w:cs="Arial"/>
          <w:b/>
          <w:sz w:val="24"/>
          <w:szCs w:val="24"/>
        </w:rPr>
      </w:pPr>
    </w:p>
    <w:p w14:paraId="7E9D855F" w14:textId="77777777"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14:paraId="7C128EE9" w14:textId="77777777"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14:paraId="6F017528" w14:textId="77777777" w:rsidR="00EA4849" w:rsidRDefault="00EA4849">
      <w:r>
        <w:br w:type="page"/>
      </w:r>
    </w:p>
    <w:tbl>
      <w:tblPr>
        <w:tblW w:w="0" w:type="auto"/>
        <w:tblLook w:val="04A0" w:firstRow="1" w:lastRow="0" w:firstColumn="1" w:lastColumn="0" w:noHBand="0" w:noVBand="1"/>
      </w:tblPr>
      <w:tblGrid>
        <w:gridCol w:w="4386"/>
        <w:gridCol w:w="4261"/>
      </w:tblGrid>
      <w:tr w:rsidR="00545697" w:rsidRPr="000B2339" w14:paraId="0D86C328" w14:textId="77777777" w:rsidTr="00810343">
        <w:tc>
          <w:tcPr>
            <w:tcW w:w="4386" w:type="dxa"/>
            <w:shd w:val="clear" w:color="auto" w:fill="auto"/>
          </w:tcPr>
          <w:p w14:paraId="25F86AC1" w14:textId="77777777" w:rsidR="00545697" w:rsidRPr="000B2339" w:rsidRDefault="00545697" w:rsidP="00810343">
            <w:pPr>
              <w:ind w:left="-108" w:right="-146"/>
              <w:rPr>
                <w:rFonts w:ascii="Arial" w:hAnsi="Arial" w:cs="Arial"/>
                <w:color w:val="000000" w:themeColor="text1"/>
                <w:sz w:val="24"/>
                <w:szCs w:val="24"/>
              </w:rPr>
            </w:pPr>
            <w:r>
              <w:rPr>
                <w:rFonts w:ascii="Arial" w:hAnsi="Arial" w:cs="Arial"/>
                <w:color w:val="000000" w:themeColor="text1"/>
                <w:sz w:val="24"/>
                <w:szCs w:val="24"/>
              </w:rPr>
              <w:lastRenderedPageBreak/>
              <w:t>REPRESENTATION</w:t>
            </w:r>
          </w:p>
          <w:p w14:paraId="46244541" w14:textId="77777777" w:rsidR="00545697" w:rsidRPr="000B2339" w:rsidRDefault="00545697" w:rsidP="00810343">
            <w:pPr>
              <w:ind w:right="-146"/>
              <w:rPr>
                <w:rFonts w:ascii="Arial" w:hAnsi="Arial" w:cs="Arial"/>
                <w:color w:val="000000" w:themeColor="text1"/>
                <w:sz w:val="24"/>
                <w:szCs w:val="24"/>
              </w:rPr>
            </w:pPr>
          </w:p>
          <w:p w14:paraId="7881B1F7" w14:textId="77777777" w:rsidR="00545697" w:rsidRPr="000B2339" w:rsidRDefault="00545697" w:rsidP="00810343">
            <w:pPr>
              <w:ind w:left="-108" w:right="-146"/>
              <w:rPr>
                <w:rFonts w:ascii="Arial" w:hAnsi="Arial" w:cs="Arial"/>
                <w:color w:val="000000" w:themeColor="text1"/>
                <w:sz w:val="24"/>
                <w:szCs w:val="24"/>
              </w:rPr>
            </w:pPr>
            <w:r>
              <w:rPr>
                <w:rFonts w:ascii="Arial" w:hAnsi="Arial" w:cs="Arial"/>
                <w:color w:val="000000" w:themeColor="text1"/>
                <w:sz w:val="24"/>
                <w:szCs w:val="24"/>
              </w:rPr>
              <w:t>APPLICANT/RESPONDENT</w:t>
            </w:r>
            <w:r w:rsidRPr="000B2339">
              <w:rPr>
                <w:rFonts w:ascii="Arial" w:hAnsi="Arial" w:cs="Arial"/>
                <w:color w:val="000000" w:themeColor="text1"/>
                <w:sz w:val="24"/>
                <w:szCs w:val="24"/>
              </w:rPr>
              <w:t>:</w:t>
            </w:r>
          </w:p>
        </w:tc>
        <w:tc>
          <w:tcPr>
            <w:tcW w:w="4261" w:type="dxa"/>
            <w:shd w:val="clear" w:color="auto" w:fill="auto"/>
          </w:tcPr>
          <w:p w14:paraId="22954B64" w14:textId="77777777" w:rsidR="00545697" w:rsidRPr="000B2339" w:rsidRDefault="00545697" w:rsidP="00810343">
            <w:pPr>
              <w:rPr>
                <w:rFonts w:ascii="Arial" w:hAnsi="Arial" w:cs="Arial"/>
                <w:color w:val="000000" w:themeColor="text1"/>
                <w:sz w:val="24"/>
                <w:szCs w:val="24"/>
              </w:rPr>
            </w:pPr>
          </w:p>
          <w:p w14:paraId="5479FC24" w14:textId="77777777" w:rsidR="00545697" w:rsidRPr="000B2339" w:rsidRDefault="00545697" w:rsidP="00810343">
            <w:pPr>
              <w:rPr>
                <w:rFonts w:ascii="Arial" w:hAnsi="Arial" w:cs="Arial"/>
                <w:color w:val="000000" w:themeColor="text1"/>
                <w:sz w:val="24"/>
                <w:szCs w:val="24"/>
              </w:rPr>
            </w:pPr>
          </w:p>
          <w:p w14:paraId="66CACF7C" w14:textId="77777777" w:rsidR="00545697" w:rsidRPr="000B2339" w:rsidRDefault="00545697" w:rsidP="00810343">
            <w:pPr>
              <w:spacing w:after="0" w:line="240" w:lineRule="auto"/>
              <w:rPr>
                <w:rFonts w:ascii="Arial" w:hAnsi="Arial" w:cs="Arial"/>
                <w:color w:val="000000" w:themeColor="text1"/>
                <w:sz w:val="24"/>
                <w:szCs w:val="24"/>
              </w:rPr>
            </w:pPr>
            <w:proofErr w:type="spellStart"/>
            <w:r>
              <w:rPr>
                <w:rFonts w:ascii="Arial" w:hAnsi="Arial" w:cs="Arial"/>
                <w:color w:val="000000" w:themeColor="text1"/>
                <w:sz w:val="24"/>
                <w:szCs w:val="24"/>
              </w:rPr>
              <w:t>Dr.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Weder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Kauta</w:t>
            </w:r>
            <w:proofErr w:type="spellEnd"/>
            <w:r>
              <w:rPr>
                <w:rFonts w:ascii="Arial" w:hAnsi="Arial" w:cs="Arial"/>
                <w:color w:val="000000" w:themeColor="text1"/>
                <w:sz w:val="24"/>
                <w:szCs w:val="24"/>
              </w:rPr>
              <w:t xml:space="preserve"> &amp; </w:t>
            </w:r>
            <w:proofErr w:type="spellStart"/>
            <w:r>
              <w:rPr>
                <w:rFonts w:ascii="Arial" w:hAnsi="Arial" w:cs="Arial"/>
                <w:color w:val="000000" w:themeColor="text1"/>
                <w:sz w:val="24"/>
                <w:szCs w:val="24"/>
              </w:rPr>
              <w:t>Hoveka</w:t>
            </w:r>
            <w:proofErr w:type="spellEnd"/>
            <w:r>
              <w:rPr>
                <w:rFonts w:ascii="Arial" w:hAnsi="Arial" w:cs="Arial"/>
                <w:color w:val="000000" w:themeColor="text1"/>
                <w:sz w:val="24"/>
                <w:szCs w:val="24"/>
              </w:rPr>
              <w:t xml:space="preserve"> Inc.</w:t>
            </w:r>
          </w:p>
        </w:tc>
      </w:tr>
      <w:tr w:rsidR="00545697" w:rsidRPr="000B2339" w14:paraId="586D8BFE" w14:textId="77777777" w:rsidTr="00810343">
        <w:tc>
          <w:tcPr>
            <w:tcW w:w="4386" w:type="dxa"/>
            <w:shd w:val="clear" w:color="auto" w:fill="auto"/>
          </w:tcPr>
          <w:p w14:paraId="05F999B8" w14:textId="77777777" w:rsidR="00545697" w:rsidRPr="000B2339" w:rsidRDefault="00545697" w:rsidP="00810343">
            <w:pPr>
              <w:rPr>
                <w:rFonts w:ascii="Arial" w:hAnsi="Arial" w:cs="Arial"/>
                <w:color w:val="000000" w:themeColor="text1"/>
                <w:sz w:val="24"/>
                <w:szCs w:val="24"/>
              </w:rPr>
            </w:pPr>
          </w:p>
          <w:p w14:paraId="538AE68F" w14:textId="77777777" w:rsidR="00545697" w:rsidRPr="000B2339" w:rsidRDefault="00545697" w:rsidP="00810343">
            <w:pPr>
              <w:ind w:left="-108"/>
              <w:rPr>
                <w:rFonts w:ascii="Arial" w:hAnsi="Arial" w:cs="Arial"/>
                <w:color w:val="000000" w:themeColor="text1"/>
                <w:sz w:val="24"/>
                <w:szCs w:val="24"/>
              </w:rPr>
            </w:pPr>
            <w:r>
              <w:rPr>
                <w:rFonts w:ascii="Arial" w:hAnsi="Arial" w:cs="Arial"/>
                <w:color w:val="000000" w:themeColor="text1"/>
                <w:sz w:val="24"/>
                <w:szCs w:val="24"/>
              </w:rPr>
              <w:t>RESPONDENT/APPELLANT:</w:t>
            </w:r>
          </w:p>
        </w:tc>
        <w:tc>
          <w:tcPr>
            <w:tcW w:w="4261" w:type="dxa"/>
            <w:shd w:val="clear" w:color="auto" w:fill="auto"/>
          </w:tcPr>
          <w:p w14:paraId="12BBD711" w14:textId="77777777" w:rsidR="00545697" w:rsidRPr="000B2339" w:rsidRDefault="00545697" w:rsidP="00810343">
            <w:pPr>
              <w:rPr>
                <w:rFonts w:ascii="Arial" w:hAnsi="Arial" w:cs="Arial"/>
                <w:color w:val="000000" w:themeColor="text1"/>
                <w:sz w:val="24"/>
                <w:szCs w:val="24"/>
              </w:rPr>
            </w:pPr>
          </w:p>
          <w:p w14:paraId="4B3655DB" w14:textId="77777777" w:rsidR="00545697" w:rsidRPr="000B2339" w:rsidRDefault="00545697" w:rsidP="00810343">
            <w:pPr>
              <w:rPr>
                <w:rFonts w:ascii="Arial" w:hAnsi="Arial" w:cs="Arial"/>
                <w:color w:val="000000" w:themeColor="text1"/>
                <w:sz w:val="24"/>
                <w:szCs w:val="24"/>
              </w:rPr>
            </w:pPr>
            <w:r>
              <w:rPr>
                <w:rFonts w:ascii="Arial" w:hAnsi="Arial" w:cs="Arial"/>
                <w:color w:val="000000" w:themeColor="text1"/>
                <w:sz w:val="24"/>
                <w:szCs w:val="24"/>
              </w:rPr>
              <w:t>In person</w:t>
            </w:r>
          </w:p>
          <w:p w14:paraId="7E88929D" w14:textId="77777777" w:rsidR="00545697" w:rsidRPr="000B2339" w:rsidRDefault="00545697" w:rsidP="00810343">
            <w:pPr>
              <w:rPr>
                <w:rFonts w:ascii="Arial" w:hAnsi="Arial" w:cs="Arial"/>
                <w:color w:val="000000" w:themeColor="text1"/>
                <w:sz w:val="24"/>
                <w:szCs w:val="24"/>
              </w:rPr>
            </w:pPr>
          </w:p>
        </w:tc>
      </w:tr>
    </w:tbl>
    <w:p w14:paraId="7DA06BF5" w14:textId="77777777" w:rsidR="00721889" w:rsidRPr="001C25CA" w:rsidRDefault="00721889" w:rsidP="00721889">
      <w:pPr>
        <w:pStyle w:val="NoSpacing"/>
        <w:jc w:val="both"/>
        <w:rPr>
          <w:rFonts w:ascii="Arial" w:hAnsi="Arial" w:cs="Arial"/>
          <w:sz w:val="24"/>
          <w:szCs w:val="24"/>
        </w:rPr>
      </w:pPr>
    </w:p>
    <w:sectPr w:rsidR="00721889" w:rsidRPr="001C25CA" w:rsidSect="00894DD3">
      <w:headerReference w:type="default" r:id="rId12"/>
      <w:pgSz w:w="11906" w:h="16838"/>
      <w:pgMar w:top="811" w:right="127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035B" w14:textId="77777777" w:rsidR="003B74B2" w:rsidRDefault="003B74B2" w:rsidP="00B5013F">
      <w:pPr>
        <w:spacing w:after="0" w:line="240" w:lineRule="auto"/>
      </w:pPr>
      <w:r>
        <w:separator/>
      </w:r>
    </w:p>
  </w:endnote>
  <w:endnote w:type="continuationSeparator" w:id="0">
    <w:p w14:paraId="3285CF44" w14:textId="77777777" w:rsidR="003B74B2" w:rsidRDefault="003B74B2"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E0F0" w14:textId="77777777" w:rsidR="003B74B2" w:rsidRDefault="003B74B2" w:rsidP="00B5013F">
      <w:pPr>
        <w:spacing w:after="0" w:line="240" w:lineRule="auto"/>
      </w:pPr>
      <w:r>
        <w:separator/>
      </w:r>
    </w:p>
  </w:footnote>
  <w:footnote w:type="continuationSeparator" w:id="0">
    <w:p w14:paraId="1D7C6BE1" w14:textId="77777777" w:rsidR="003B74B2" w:rsidRDefault="003B74B2" w:rsidP="00B5013F">
      <w:pPr>
        <w:spacing w:after="0" w:line="240" w:lineRule="auto"/>
      </w:pPr>
      <w:r>
        <w:continuationSeparator/>
      </w:r>
    </w:p>
  </w:footnote>
  <w:footnote w:id="1">
    <w:p w14:paraId="31C94644" w14:textId="77777777" w:rsidR="006F3D7F" w:rsidRPr="003E561B" w:rsidRDefault="006F3D7F">
      <w:pPr>
        <w:pStyle w:val="FootnoteText"/>
        <w:rPr>
          <w:rFonts w:ascii="Arial" w:hAnsi="Arial" w:cs="Arial"/>
        </w:rPr>
      </w:pPr>
      <w:r w:rsidRPr="003E561B">
        <w:rPr>
          <w:rStyle w:val="FootnoteReference"/>
          <w:rFonts w:ascii="Arial" w:hAnsi="Arial" w:cs="Arial"/>
        </w:rPr>
        <w:footnoteRef/>
      </w:r>
      <w:r w:rsidRPr="003E561B">
        <w:rPr>
          <w:rFonts w:ascii="Arial" w:hAnsi="Arial" w:cs="Arial"/>
        </w:rPr>
        <w:t xml:space="preserve"> </w:t>
      </w:r>
      <w:r w:rsidR="003E561B" w:rsidRPr="003E561B">
        <w:rPr>
          <w:rFonts w:ascii="Arial" w:hAnsi="Arial" w:cs="Arial"/>
          <w:i/>
        </w:rPr>
        <w:t>Ondjava Construction CC</w:t>
      </w:r>
      <w:r w:rsidR="00321967">
        <w:rPr>
          <w:rFonts w:ascii="Arial" w:hAnsi="Arial" w:cs="Arial"/>
          <w:i/>
        </w:rPr>
        <w:t xml:space="preserve"> &amp; others</w:t>
      </w:r>
      <w:r w:rsidR="003E561B" w:rsidRPr="003E561B">
        <w:rPr>
          <w:rFonts w:ascii="Arial" w:hAnsi="Arial" w:cs="Arial"/>
          <w:i/>
        </w:rPr>
        <w:t xml:space="preserve"> v HAW Retailers t/a Ark Trading</w:t>
      </w:r>
      <w:r w:rsidR="003E561B" w:rsidRPr="003E561B">
        <w:rPr>
          <w:rFonts w:ascii="Arial" w:hAnsi="Arial" w:cs="Arial"/>
        </w:rPr>
        <w:t xml:space="preserve"> </w:t>
      </w:r>
      <w:r w:rsidRPr="003E561B">
        <w:rPr>
          <w:rFonts w:ascii="Arial" w:hAnsi="Arial" w:cs="Arial"/>
        </w:rPr>
        <w:t>2010 (1) NR 2</w:t>
      </w:r>
      <w:r w:rsidR="00321967">
        <w:rPr>
          <w:rFonts w:ascii="Arial" w:hAnsi="Arial" w:cs="Arial"/>
        </w:rPr>
        <w:t>8</w:t>
      </w:r>
      <w:r w:rsidRPr="003E561B">
        <w:rPr>
          <w:rFonts w:ascii="Arial" w:hAnsi="Arial" w:cs="Arial"/>
        </w:rPr>
        <w:t>6 (SC)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82206"/>
      <w:docPartObj>
        <w:docPartGallery w:val="Page Numbers (Top of Page)"/>
        <w:docPartUnique/>
      </w:docPartObj>
    </w:sdtPr>
    <w:sdtEndPr>
      <w:rPr>
        <w:rFonts w:ascii="Arial" w:hAnsi="Arial" w:cs="Arial"/>
        <w:noProof/>
        <w:sz w:val="24"/>
        <w:szCs w:val="24"/>
      </w:rPr>
    </w:sdtEndPr>
    <w:sdtContent>
      <w:p w14:paraId="781AD4C4" w14:textId="77777777"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277CD1">
          <w:rPr>
            <w:rFonts w:ascii="Arial" w:hAnsi="Arial" w:cs="Arial"/>
            <w:noProof/>
            <w:sz w:val="24"/>
            <w:szCs w:val="24"/>
          </w:rPr>
          <w:t>7</w:t>
        </w:r>
        <w:r w:rsidRPr="00ED46B6">
          <w:rPr>
            <w:rFonts w:ascii="Arial" w:hAnsi="Arial" w:cs="Arial"/>
            <w:noProof/>
            <w:sz w:val="24"/>
            <w:szCs w:val="24"/>
          </w:rPr>
          <w:fldChar w:fldCharType="end"/>
        </w:r>
      </w:p>
    </w:sdtContent>
  </w:sdt>
  <w:p w14:paraId="38615193" w14:textId="77777777" w:rsidR="00F94D1E" w:rsidRDefault="00F9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02308"/>
    <w:multiLevelType w:val="hybridMultilevel"/>
    <w:tmpl w:val="EEB64A7E"/>
    <w:lvl w:ilvl="0" w:tplc="301E4A3A">
      <w:start w:val="1"/>
      <w:numFmt w:val="low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9"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E9C1ACB"/>
    <w:multiLevelType w:val="hybridMultilevel"/>
    <w:tmpl w:val="ACB29DBA"/>
    <w:lvl w:ilvl="0" w:tplc="3FF4CA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043AFF"/>
    <w:multiLevelType w:val="hybridMultilevel"/>
    <w:tmpl w:val="FD14A19C"/>
    <w:lvl w:ilvl="0" w:tplc="1C09000F">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7"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A7112E9"/>
    <w:multiLevelType w:val="hybridMultilevel"/>
    <w:tmpl w:val="751C49AA"/>
    <w:lvl w:ilvl="0" w:tplc="7A9632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4"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9625FD"/>
    <w:multiLevelType w:val="hybridMultilevel"/>
    <w:tmpl w:val="4AF4F3E0"/>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8ED6D94"/>
    <w:multiLevelType w:val="hybridMultilevel"/>
    <w:tmpl w:val="B1EA04CC"/>
    <w:lvl w:ilvl="0" w:tplc="3918D2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E2F2463"/>
    <w:multiLevelType w:val="hybridMultilevel"/>
    <w:tmpl w:val="17F211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31909629">
    <w:abstractNumId w:val="7"/>
  </w:num>
  <w:num w:numId="2" w16cid:durableId="594216911">
    <w:abstractNumId w:val="22"/>
  </w:num>
  <w:num w:numId="3" w16cid:durableId="438378767">
    <w:abstractNumId w:val="29"/>
  </w:num>
  <w:num w:numId="4" w16cid:durableId="2113888899">
    <w:abstractNumId w:val="15"/>
  </w:num>
  <w:num w:numId="5" w16cid:durableId="1454060008">
    <w:abstractNumId w:val="23"/>
  </w:num>
  <w:num w:numId="6" w16cid:durableId="1397120921">
    <w:abstractNumId w:val="0"/>
  </w:num>
  <w:num w:numId="7" w16cid:durableId="2000768243">
    <w:abstractNumId w:val="26"/>
  </w:num>
  <w:num w:numId="8" w16cid:durableId="1779830819">
    <w:abstractNumId w:val="6"/>
  </w:num>
  <w:num w:numId="9" w16cid:durableId="144929799">
    <w:abstractNumId w:val="27"/>
  </w:num>
  <w:num w:numId="10" w16cid:durableId="2116708619">
    <w:abstractNumId w:val="14"/>
  </w:num>
  <w:num w:numId="11" w16cid:durableId="1611551956">
    <w:abstractNumId w:val="5"/>
  </w:num>
  <w:num w:numId="12" w16cid:durableId="120927401">
    <w:abstractNumId w:val="3"/>
  </w:num>
  <w:num w:numId="13" w16cid:durableId="867566215">
    <w:abstractNumId w:val="10"/>
  </w:num>
  <w:num w:numId="14" w16cid:durableId="897283190">
    <w:abstractNumId w:val="17"/>
  </w:num>
  <w:num w:numId="15" w16cid:durableId="1505978145">
    <w:abstractNumId w:val="12"/>
  </w:num>
  <w:num w:numId="16" w16cid:durableId="796677924">
    <w:abstractNumId w:val="11"/>
  </w:num>
  <w:num w:numId="17" w16cid:durableId="1449738702">
    <w:abstractNumId w:val="24"/>
  </w:num>
  <w:num w:numId="18" w16cid:durableId="1234587676">
    <w:abstractNumId w:val="28"/>
  </w:num>
  <w:num w:numId="19" w16cid:durableId="920716699">
    <w:abstractNumId w:val="18"/>
  </w:num>
  <w:num w:numId="20" w16cid:durableId="638418174">
    <w:abstractNumId w:val="25"/>
  </w:num>
  <w:num w:numId="21" w16cid:durableId="993683992">
    <w:abstractNumId w:val="21"/>
  </w:num>
  <w:num w:numId="22" w16cid:durableId="1722056520">
    <w:abstractNumId w:val="4"/>
  </w:num>
  <w:num w:numId="23" w16cid:durableId="614604749">
    <w:abstractNumId w:val="9"/>
  </w:num>
  <w:num w:numId="24" w16cid:durableId="538977278">
    <w:abstractNumId w:val="1"/>
  </w:num>
  <w:num w:numId="25" w16cid:durableId="1824658255">
    <w:abstractNumId w:val="2"/>
  </w:num>
  <w:num w:numId="26" w16cid:durableId="546918067">
    <w:abstractNumId w:val="20"/>
  </w:num>
  <w:num w:numId="27" w16cid:durableId="375853418">
    <w:abstractNumId w:val="31"/>
  </w:num>
  <w:num w:numId="28" w16cid:durableId="667514429">
    <w:abstractNumId w:val="16"/>
  </w:num>
  <w:num w:numId="29" w16cid:durableId="1971203746">
    <w:abstractNumId w:val="13"/>
  </w:num>
  <w:num w:numId="30" w16cid:durableId="56056239">
    <w:abstractNumId w:val="8"/>
  </w:num>
  <w:num w:numId="31" w16cid:durableId="247345349">
    <w:abstractNumId w:val="30"/>
  </w:num>
  <w:num w:numId="32" w16cid:durableId="1737437375">
    <w:abstractNumId w:val="32"/>
  </w:num>
  <w:num w:numId="33" w16cid:durableId="1489857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E0B"/>
    <w:rsid w:val="0000225F"/>
    <w:rsid w:val="00004C4D"/>
    <w:rsid w:val="00004E68"/>
    <w:rsid w:val="0000525D"/>
    <w:rsid w:val="00011EB9"/>
    <w:rsid w:val="00012D59"/>
    <w:rsid w:val="00016703"/>
    <w:rsid w:val="000177B8"/>
    <w:rsid w:val="00020736"/>
    <w:rsid w:val="00021ECC"/>
    <w:rsid w:val="00022452"/>
    <w:rsid w:val="00022644"/>
    <w:rsid w:val="000231F7"/>
    <w:rsid w:val="00026DD5"/>
    <w:rsid w:val="0002744F"/>
    <w:rsid w:val="000276F0"/>
    <w:rsid w:val="00031EBA"/>
    <w:rsid w:val="00033256"/>
    <w:rsid w:val="000400C4"/>
    <w:rsid w:val="000414C4"/>
    <w:rsid w:val="00042A20"/>
    <w:rsid w:val="000459D8"/>
    <w:rsid w:val="00047F1D"/>
    <w:rsid w:val="00052B8A"/>
    <w:rsid w:val="00054236"/>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8616D"/>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2762"/>
    <w:rsid w:val="000E008B"/>
    <w:rsid w:val="000E0BFC"/>
    <w:rsid w:val="000E3DF0"/>
    <w:rsid w:val="000E4E76"/>
    <w:rsid w:val="000E5305"/>
    <w:rsid w:val="000E6B27"/>
    <w:rsid w:val="000E7E26"/>
    <w:rsid w:val="000F1A59"/>
    <w:rsid w:val="000F27F1"/>
    <w:rsid w:val="000F3DA6"/>
    <w:rsid w:val="000F4BBD"/>
    <w:rsid w:val="000F61A4"/>
    <w:rsid w:val="000F7D77"/>
    <w:rsid w:val="00101FDB"/>
    <w:rsid w:val="0010254D"/>
    <w:rsid w:val="00107552"/>
    <w:rsid w:val="00111339"/>
    <w:rsid w:val="00112DA2"/>
    <w:rsid w:val="00114682"/>
    <w:rsid w:val="00114929"/>
    <w:rsid w:val="00115A1F"/>
    <w:rsid w:val="00121972"/>
    <w:rsid w:val="001227DB"/>
    <w:rsid w:val="0012439B"/>
    <w:rsid w:val="00125DEC"/>
    <w:rsid w:val="00126E64"/>
    <w:rsid w:val="00130103"/>
    <w:rsid w:val="00132216"/>
    <w:rsid w:val="001327CE"/>
    <w:rsid w:val="0013608D"/>
    <w:rsid w:val="00137851"/>
    <w:rsid w:val="00140678"/>
    <w:rsid w:val="00140A9D"/>
    <w:rsid w:val="001423E7"/>
    <w:rsid w:val="0014303A"/>
    <w:rsid w:val="00144097"/>
    <w:rsid w:val="00151FFA"/>
    <w:rsid w:val="0015543F"/>
    <w:rsid w:val="001578CD"/>
    <w:rsid w:val="001634AF"/>
    <w:rsid w:val="0017081A"/>
    <w:rsid w:val="00180CE0"/>
    <w:rsid w:val="001838C9"/>
    <w:rsid w:val="00185996"/>
    <w:rsid w:val="00190F70"/>
    <w:rsid w:val="00192C22"/>
    <w:rsid w:val="00193825"/>
    <w:rsid w:val="00193843"/>
    <w:rsid w:val="00194D51"/>
    <w:rsid w:val="001957EE"/>
    <w:rsid w:val="001958D5"/>
    <w:rsid w:val="00197241"/>
    <w:rsid w:val="001A0E25"/>
    <w:rsid w:val="001A2B18"/>
    <w:rsid w:val="001A4A99"/>
    <w:rsid w:val="001A666A"/>
    <w:rsid w:val="001A6B0E"/>
    <w:rsid w:val="001A7909"/>
    <w:rsid w:val="001B4618"/>
    <w:rsid w:val="001B5BDA"/>
    <w:rsid w:val="001B61E6"/>
    <w:rsid w:val="001C25CA"/>
    <w:rsid w:val="001C558D"/>
    <w:rsid w:val="001C7DF6"/>
    <w:rsid w:val="001D08D7"/>
    <w:rsid w:val="001D4856"/>
    <w:rsid w:val="001D4EB4"/>
    <w:rsid w:val="001D58BA"/>
    <w:rsid w:val="001D608A"/>
    <w:rsid w:val="001E0CF3"/>
    <w:rsid w:val="001E299E"/>
    <w:rsid w:val="001E3888"/>
    <w:rsid w:val="001E44D9"/>
    <w:rsid w:val="001E4C77"/>
    <w:rsid w:val="001F4CB8"/>
    <w:rsid w:val="001F7942"/>
    <w:rsid w:val="0020312C"/>
    <w:rsid w:val="0020572A"/>
    <w:rsid w:val="00207296"/>
    <w:rsid w:val="00207960"/>
    <w:rsid w:val="00207D05"/>
    <w:rsid w:val="00215D8F"/>
    <w:rsid w:val="002212AD"/>
    <w:rsid w:val="00224757"/>
    <w:rsid w:val="00230841"/>
    <w:rsid w:val="002317A5"/>
    <w:rsid w:val="002337F7"/>
    <w:rsid w:val="00235E57"/>
    <w:rsid w:val="0023748C"/>
    <w:rsid w:val="002441F9"/>
    <w:rsid w:val="002447B6"/>
    <w:rsid w:val="002457A4"/>
    <w:rsid w:val="00251412"/>
    <w:rsid w:val="00262874"/>
    <w:rsid w:val="00262EF8"/>
    <w:rsid w:val="00263481"/>
    <w:rsid w:val="002658ED"/>
    <w:rsid w:val="002662E3"/>
    <w:rsid w:val="00266E2B"/>
    <w:rsid w:val="00273EE9"/>
    <w:rsid w:val="00274F4E"/>
    <w:rsid w:val="002755A3"/>
    <w:rsid w:val="00277CD1"/>
    <w:rsid w:val="002855CF"/>
    <w:rsid w:val="00286029"/>
    <w:rsid w:val="00286F17"/>
    <w:rsid w:val="00291956"/>
    <w:rsid w:val="002933AF"/>
    <w:rsid w:val="002A2B5C"/>
    <w:rsid w:val="002A4C01"/>
    <w:rsid w:val="002B0CAC"/>
    <w:rsid w:val="002B1CE3"/>
    <w:rsid w:val="002C0FC3"/>
    <w:rsid w:val="002C2D0D"/>
    <w:rsid w:val="002C3E6D"/>
    <w:rsid w:val="002C568C"/>
    <w:rsid w:val="002C5B02"/>
    <w:rsid w:val="002D1B71"/>
    <w:rsid w:val="002D1E38"/>
    <w:rsid w:val="002D1F1E"/>
    <w:rsid w:val="002E426A"/>
    <w:rsid w:val="002E4E6A"/>
    <w:rsid w:val="002E708E"/>
    <w:rsid w:val="003039EF"/>
    <w:rsid w:val="003042AF"/>
    <w:rsid w:val="00305FE9"/>
    <w:rsid w:val="00306CA5"/>
    <w:rsid w:val="0030702B"/>
    <w:rsid w:val="0030737F"/>
    <w:rsid w:val="0030775E"/>
    <w:rsid w:val="00310940"/>
    <w:rsid w:val="00317522"/>
    <w:rsid w:val="003212CE"/>
    <w:rsid w:val="0032148F"/>
    <w:rsid w:val="00321967"/>
    <w:rsid w:val="00321ED1"/>
    <w:rsid w:val="00324725"/>
    <w:rsid w:val="0032579A"/>
    <w:rsid w:val="00333E58"/>
    <w:rsid w:val="0033772A"/>
    <w:rsid w:val="00337BE9"/>
    <w:rsid w:val="00346C25"/>
    <w:rsid w:val="00352985"/>
    <w:rsid w:val="003551AC"/>
    <w:rsid w:val="00357C85"/>
    <w:rsid w:val="00357EA0"/>
    <w:rsid w:val="00361E96"/>
    <w:rsid w:val="00362560"/>
    <w:rsid w:val="00363974"/>
    <w:rsid w:val="00370025"/>
    <w:rsid w:val="003745AA"/>
    <w:rsid w:val="003801E5"/>
    <w:rsid w:val="00381349"/>
    <w:rsid w:val="003863FC"/>
    <w:rsid w:val="003879E0"/>
    <w:rsid w:val="00387E33"/>
    <w:rsid w:val="00395B99"/>
    <w:rsid w:val="003A1DAC"/>
    <w:rsid w:val="003A2101"/>
    <w:rsid w:val="003A31DE"/>
    <w:rsid w:val="003A78BA"/>
    <w:rsid w:val="003B0665"/>
    <w:rsid w:val="003B5B36"/>
    <w:rsid w:val="003B72EC"/>
    <w:rsid w:val="003B74B2"/>
    <w:rsid w:val="003B7CB7"/>
    <w:rsid w:val="003C231E"/>
    <w:rsid w:val="003C276A"/>
    <w:rsid w:val="003C4C67"/>
    <w:rsid w:val="003D4A07"/>
    <w:rsid w:val="003D6A9C"/>
    <w:rsid w:val="003D7216"/>
    <w:rsid w:val="003E1056"/>
    <w:rsid w:val="003E110F"/>
    <w:rsid w:val="003E289D"/>
    <w:rsid w:val="003E34C8"/>
    <w:rsid w:val="003E561B"/>
    <w:rsid w:val="003E77F5"/>
    <w:rsid w:val="003E7F28"/>
    <w:rsid w:val="003F3800"/>
    <w:rsid w:val="003F5965"/>
    <w:rsid w:val="004023CC"/>
    <w:rsid w:val="00406D6A"/>
    <w:rsid w:val="00407728"/>
    <w:rsid w:val="004107D3"/>
    <w:rsid w:val="00413FB2"/>
    <w:rsid w:val="00414C3B"/>
    <w:rsid w:val="004154C8"/>
    <w:rsid w:val="0041592B"/>
    <w:rsid w:val="00416D26"/>
    <w:rsid w:val="00416EF2"/>
    <w:rsid w:val="00417BF1"/>
    <w:rsid w:val="004211CC"/>
    <w:rsid w:val="004215C2"/>
    <w:rsid w:val="00427400"/>
    <w:rsid w:val="00431601"/>
    <w:rsid w:val="00432E79"/>
    <w:rsid w:val="00436AEB"/>
    <w:rsid w:val="00437C60"/>
    <w:rsid w:val="00450915"/>
    <w:rsid w:val="00451609"/>
    <w:rsid w:val="00456D8B"/>
    <w:rsid w:val="00457F24"/>
    <w:rsid w:val="00461B37"/>
    <w:rsid w:val="00464EDD"/>
    <w:rsid w:val="004717FD"/>
    <w:rsid w:val="004738B5"/>
    <w:rsid w:val="00475114"/>
    <w:rsid w:val="00475F4A"/>
    <w:rsid w:val="004774C0"/>
    <w:rsid w:val="00485805"/>
    <w:rsid w:val="00485BB6"/>
    <w:rsid w:val="00492B12"/>
    <w:rsid w:val="00494F8E"/>
    <w:rsid w:val="00497D6A"/>
    <w:rsid w:val="00497DB0"/>
    <w:rsid w:val="004A4108"/>
    <w:rsid w:val="004A4739"/>
    <w:rsid w:val="004A5FD0"/>
    <w:rsid w:val="004A60BA"/>
    <w:rsid w:val="004A64D1"/>
    <w:rsid w:val="004B1588"/>
    <w:rsid w:val="004B2A80"/>
    <w:rsid w:val="004B31D9"/>
    <w:rsid w:val="004B4111"/>
    <w:rsid w:val="004B4AEE"/>
    <w:rsid w:val="004B584B"/>
    <w:rsid w:val="004B6477"/>
    <w:rsid w:val="004C0E0B"/>
    <w:rsid w:val="004C0E72"/>
    <w:rsid w:val="004C4D6B"/>
    <w:rsid w:val="004D1969"/>
    <w:rsid w:val="004E0F45"/>
    <w:rsid w:val="004E198A"/>
    <w:rsid w:val="004E2834"/>
    <w:rsid w:val="004E2A24"/>
    <w:rsid w:val="004E503B"/>
    <w:rsid w:val="004E7000"/>
    <w:rsid w:val="004F0B37"/>
    <w:rsid w:val="004F0C0D"/>
    <w:rsid w:val="004F15DB"/>
    <w:rsid w:val="004F2F0E"/>
    <w:rsid w:val="004F41EF"/>
    <w:rsid w:val="004F7C7C"/>
    <w:rsid w:val="00503269"/>
    <w:rsid w:val="00510B8B"/>
    <w:rsid w:val="00511905"/>
    <w:rsid w:val="00512CAD"/>
    <w:rsid w:val="00513468"/>
    <w:rsid w:val="005157B4"/>
    <w:rsid w:val="005168D5"/>
    <w:rsid w:val="00516EBB"/>
    <w:rsid w:val="005171C3"/>
    <w:rsid w:val="00517EF4"/>
    <w:rsid w:val="00520EEA"/>
    <w:rsid w:val="00525451"/>
    <w:rsid w:val="00525868"/>
    <w:rsid w:val="0053087E"/>
    <w:rsid w:val="00532C17"/>
    <w:rsid w:val="0053623E"/>
    <w:rsid w:val="00536A02"/>
    <w:rsid w:val="00545697"/>
    <w:rsid w:val="0055044E"/>
    <w:rsid w:val="00550DE2"/>
    <w:rsid w:val="00551CFA"/>
    <w:rsid w:val="00552F70"/>
    <w:rsid w:val="00553981"/>
    <w:rsid w:val="00554FF4"/>
    <w:rsid w:val="00556D82"/>
    <w:rsid w:val="00563855"/>
    <w:rsid w:val="005653A5"/>
    <w:rsid w:val="00565510"/>
    <w:rsid w:val="005717E1"/>
    <w:rsid w:val="00571EB3"/>
    <w:rsid w:val="00573289"/>
    <w:rsid w:val="00573E12"/>
    <w:rsid w:val="00576598"/>
    <w:rsid w:val="005821BB"/>
    <w:rsid w:val="00582D9F"/>
    <w:rsid w:val="00584213"/>
    <w:rsid w:val="00584D15"/>
    <w:rsid w:val="00587010"/>
    <w:rsid w:val="0059472F"/>
    <w:rsid w:val="00594EA3"/>
    <w:rsid w:val="00597E4D"/>
    <w:rsid w:val="005A0E6E"/>
    <w:rsid w:val="005A2269"/>
    <w:rsid w:val="005A531E"/>
    <w:rsid w:val="005A73A9"/>
    <w:rsid w:val="005B365F"/>
    <w:rsid w:val="005B483F"/>
    <w:rsid w:val="005B496A"/>
    <w:rsid w:val="005C0BAB"/>
    <w:rsid w:val="005C38CD"/>
    <w:rsid w:val="005C48BA"/>
    <w:rsid w:val="005C4FE5"/>
    <w:rsid w:val="005C5AC8"/>
    <w:rsid w:val="005C5B26"/>
    <w:rsid w:val="005D1CBE"/>
    <w:rsid w:val="005D3137"/>
    <w:rsid w:val="005D54CF"/>
    <w:rsid w:val="005D6CA4"/>
    <w:rsid w:val="005D6E01"/>
    <w:rsid w:val="005D7FF9"/>
    <w:rsid w:val="005E22D2"/>
    <w:rsid w:val="005E3190"/>
    <w:rsid w:val="005E4D0E"/>
    <w:rsid w:val="005E782B"/>
    <w:rsid w:val="005E79B9"/>
    <w:rsid w:val="005F2A59"/>
    <w:rsid w:val="005F68D7"/>
    <w:rsid w:val="00607F6F"/>
    <w:rsid w:val="006105DE"/>
    <w:rsid w:val="00613095"/>
    <w:rsid w:val="0061491A"/>
    <w:rsid w:val="00633338"/>
    <w:rsid w:val="00634C4D"/>
    <w:rsid w:val="00642EC4"/>
    <w:rsid w:val="00642FBC"/>
    <w:rsid w:val="006436BC"/>
    <w:rsid w:val="00643C33"/>
    <w:rsid w:val="00644C54"/>
    <w:rsid w:val="006515A9"/>
    <w:rsid w:val="00653E17"/>
    <w:rsid w:val="00662CAC"/>
    <w:rsid w:val="00662DCC"/>
    <w:rsid w:val="00662F25"/>
    <w:rsid w:val="00666F67"/>
    <w:rsid w:val="00667F6C"/>
    <w:rsid w:val="00670783"/>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919"/>
    <w:rsid w:val="006B07BC"/>
    <w:rsid w:val="006B30C3"/>
    <w:rsid w:val="006B79FA"/>
    <w:rsid w:val="006C13DA"/>
    <w:rsid w:val="006C367B"/>
    <w:rsid w:val="006C50CB"/>
    <w:rsid w:val="006C7E78"/>
    <w:rsid w:val="006D094B"/>
    <w:rsid w:val="006D7412"/>
    <w:rsid w:val="006E698F"/>
    <w:rsid w:val="006F1A08"/>
    <w:rsid w:val="006F3D7F"/>
    <w:rsid w:val="006F4B7D"/>
    <w:rsid w:val="0070158E"/>
    <w:rsid w:val="00703AD3"/>
    <w:rsid w:val="00710062"/>
    <w:rsid w:val="007104EF"/>
    <w:rsid w:val="00711D32"/>
    <w:rsid w:val="00712D3F"/>
    <w:rsid w:val="007138EE"/>
    <w:rsid w:val="007217AA"/>
    <w:rsid w:val="00721889"/>
    <w:rsid w:val="007233CE"/>
    <w:rsid w:val="00725ABD"/>
    <w:rsid w:val="00726AAE"/>
    <w:rsid w:val="007276F9"/>
    <w:rsid w:val="00730DB7"/>
    <w:rsid w:val="0073324C"/>
    <w:rsid w:val="007402BF"/>
    <w:rsid w:val="00742AE8"/>
    <w:rsid w:val="00742D5B"/>
    <w:rsid w:val="00744D03"/>
    <w:rsid w:val="00745BF5"/>
    <w:rsid w:val="007464EB"/>
    <w:rsid w:val="00747138"/>
    <w:rsid w:val="007502AD"/>
    <w:rsid w:val="007531D6"/>
    <w:rsid w:val="007545D2"/>
    <w:rsid w:val="00756C3D"/>
    <w:rsid w:val="00757C8D"/>
    <w:rsid w:val="00763FCF"/>
    <w:rsid w:val="00765464"/>
    <w:rsid w:val="00766963"/>
    <w:rsid w:val="00770A11"/>
    <w:rsid w:val="00770A4B"/>
    <w:rsid w:val="00771623"/>
    <w:rsid w:val="0077206A"/>
    <w:rsid w:val="007740F6"/>
    <w:rsid w:val="007755AA"/>
    <w:rsid w:val="007807B5"/>
    <w:rsid w:val="007841FA"/>
    <w:rsid w:val="0078589B"/>
    <w:rsid w:val="00786153"/>
    <w:rsid w:val="00786211"/>
    <w:rsid w:val="00786DEA"/>
    <w:rsid w:val="00787313"/>
    <w:rsid w:val="007973FE"/>
    <w:rsid w:val="007A0174"/>
    <w:rsid w:val="007A1203"/>
    <w:rsid w:val="007B02CA"/>
    <w:rsid w:val="007B28AB"/>
    <w:rsid w:val="007B42C4"/>
    <w:rsid w:val="007B65BB"/>
    <w:rsid w:val="007C69B5"/>
    <w:rsid w:val="007C732D"/>
    <w:rsid w:val="007D43B8"/>
    <w:rsid w:val="007D5428"/>
    <w:rsid w:val="007D6B6E"/>
    <w:rsid w:val="007E349A"/>
    <w:rsid w:val="007E4BD8"/>
    <w:rsid w:val="007E5D66"/>
    <w:rsid w:val="007E667C"/>
    <w:rsid w:val="007E72C0"/>
    <w:rsid w:val="007E7563"/>
    <w:rsid w:val="007F632F"/>
    <w:rsid w:val="007F6CEC"/>
    <w:rsid w:val="007F7AA0"/>
    <w:rsid w:val="008077D6"/>
    <w:rsid w:val="00811FDA"/>
    <w:rsid w:val="008150CF"/>
    <w:rsid w:val="00817BE0"/>
    <w:rsid w:val="00817CA5"/>
    <w:rsid w:val="0082655F"/>
    <w:rsid w:val="00826CA7"/>
    <w:rsid w:val="008301A4"/>
    <w:rsid w:val="00832B89"/>
    <w:rsid w:val="00844974"/>
    <w:rsid w:val="00852FF1"/>
    <w:rsid w:val="00853E8A"/>
    <w:rsid w:val="008545FD"/>
    <w:rsid w:val="00854DD1"/>
    <w:rsid w:val="00856376"/>
    <w:rsid w:val="0086095A"/>
    <w:rsid w:val="00860CDF"/>
    <w:rsid w:val="00860DA9"/>
    <w:rsid w:val="00864712"/>
    <w:rsid w:val="0086653F"/>
    <w:rsid w:val="00866B3A"/>
    <w:rsid w:val="0087075D"/>
    <w:rsid w:val="008730E4"/>
    <w:rsid w:val="00874C97"/>
    <w:rsid w:val="0088149D"/>
    <w:rsid w:val="00894DD3"/>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D2384"/>
    <w:rsid w:val="008D4E59"/>
    <w:rsid w:val="008E6FF0"/>
    <w:rsid w:val="008E7A2B"/>
    <w:rsid w:val="008F0180"/>
    <w:rsid w:val="008F3E78"/>
    <w:rsid w:val="008F45CA"/>
    <w:rsid w:val="009019E9"/>
    <w:rsid w:val="009021BA"/>
    <w:rsid w:val="00903464"/>
    <w:rsid w:val="00906CCA"/>
    <w:rsid w:val="00912521"/>
    <w:rsid w:val="00914143"/>
    <w:rsid w:val="00915E6F"/>
    <w:rsid w:val="0092134E"/>
    <w:rsid w:val="00922673"/>
    <w:rsid w:val="00922881"/>
    <w:rsid w:val="00923375"/>
    <w:rsid w:val="00924775"/>
    <w:rsid w:val="00934B73"/>
    <w:rsid w:val="00941366"/>
    <w:rsid w:val="009435D3"/>
    <w:rsid w:val="00945FA9"/>
    <w:rsid w:val="009509F3"/>
    <w:rsid w:val="009510CB"/>
    <w:rsid w:val="00951A76"/>
    <w:rsid w:val="009534EA"/>
    <w:rsid w:val="00953906"/>
    <w:rsid w:val="009550F7"/>
    <w:rsid w:val="009602DC"/>
    <w:rsid w:val="00960DA5"/>
    <w:rsid w:val="00962C9A"/>
    <w:rsid w:val="009637EC"/>
    <w:rsid w:val="00963EDF"/>
    <w:rsid w:val="00965BB3"/>
    <w:rsid w:val="009667A6"/>
    <w:rsid w:val="009678DB"/>
    <w:rsid w:val="00971638"/>
    <w:rsid w:val="00975830"/>
    <w:rsid w:val="00975FA0"/>
    <w:rsid w:val="009845A3"/>
    <w:rsid w:val="00985510"/>
    <w:rsid w:val="00985768"/>
    <w:rsid w:val="00986AA9"/>
    <w:rsid w:val="00990236"/>
    <w:rsid w:val="0099048E"/>
    <w:rsid w:val="00991227"/>
    <w:rsid w:val="009914CB"/>
    <w:rsid w:val="00991729"/>
    <w:rsid w:val="00992B07"/>
    <w:rsid w:val="00997979"/>
    <w:rsid w:val="009A41F4"/>
    <w:rsid w:val="009A5DA5"/>
    <w:rsid w:val="009A655A"/>
    <w:rsid w:val="009B1CB6"/>
    <w:rsid w:val="009B3D7F"/>
    <w:rsid w:val="009B6CF2"/>
    <w:rsid w:val="009B712C"/>
    <w:rsid w:val="009C0964"/>
    <w:rsid w:val="009C51C5"/>
    <w:rsid w:val="009C70E6"/>
    <w:rsid w:val="009D0357"/>
    <w:rsid w:val="009E035A"/>
    <w:rsid w:val="009E7069"/>
    <w:rsid w:val="009E7CF0"/>
    <w:rsid w:val="009F02EB"/>
    <w:rsid w:val="009F7D37"/>
    <w:rsid w:val="00A001B5"/>
    <w:rsid w:val="00A066DB"/>
    <w:rsid w:val="00A06886"/>
    <w:rsid w:val="00A07047"/>
    <w:rsid w:val="00A07A5C"/>
    <w:rsid w:val="00A106B4"/>
    <w:rsid w:val="00A14789"/>
    <w:rsid w:val="00A20498"/>
    <w:rsid w:val="00A22B94"/>
    <w:rsid w:val="00A25AFC"/>
    <w:rsid w:val="00A26B21"/>
    <w:rsid w:val="00A36DC1"/>
    <w:rsid w:val="00A40069"/>
    <w:rsid w:val="00A44318"/>
    <w:rsid w:val="00A4522B"/>
    <w:rsid w:val="00A45FF9"/>
    <w:rsid w:val="00A46447"/>
    <w:rsid w:val="00A47669"/>
    <w:rsid w:val="00A501D5"/>
    <w:rsid w:val="00A528F9"/>
    <w:rsid w:val="00A52E70"/>
    <w:rsid w:val="00A54F78"/>
    <w:rsid w:val="00A567BA"/>
    <w:rsid w:val="00A5797F"/>
    <w:rsid w:val="00A63522"/>
    <w:rsid w:val="00A64F96"/>
    <w:rsid w:val="00A6519D"/>
    <w:rsid w:val="00A66719"/>
    <w:rsid w:val="00A67B61"/>
    <w:rsid w:val="00A8275B"/>
    <w:rsid w:val="00A8322C"/>
    <w:rsid w:val="00A8499D"/>
    <w:rsid w:val="00A92144"/>
    <w:rsid w:val="00A932C8"/>
    <w:rsid w:val="00A94967"/>
    <w:rsid w:val="00AA0631"/>
    <w:rsid w:val="00AA0F94"/>
    <w:rsid w:val="00AA341C"/>
    <w:rsid w:val="00AA4F7E"/>
    <w:rsid w:val="00AA7AAB"/>
    <w:rsid w:val="00AA7B0A"/>
    <w:rsid w:val="00AB05EF"/>
    <w:rsid w:val="00AB06FA"/>
    <w:rsid w:val="00AB3F69"/>
    <w:rsid w:val="00AB4711"/>
    <w:rsid w:val="00AB4D39"/>
    <w:rsid w:val="00AB58A9"/>
    <w:rsid w:val="00AC0134"/>
    <w:rsid w:val="00AD6D9C"/>
    <w:rsid w:val="00AD7F23"/>
    <w:rsid w:val="00AE0C13"/>
    <w:rsid w:val="00AE12F7"/>
    <w:rsid w:val="00AE369C"/>
    <w:rsid w:val="00AE3877"/>
    <w:rsid w:val="00AE3BD5"/>
    <w:rsid w:val="00AE4FE7"/>
    <w:rsid w:val="00AE6161"/>
    <w:rsid w:val="00AE78DB"/>
    <w:rsid w:val="00AF0A60"/>
    <w:rsid w:val="00AF2889"/>
    <w:rsid w:val="00AF7042"/>
    <w:rsid w:val="00AF7B6D"/>
    <w:rsid w:val="00B02710"/>
    <w:rsid w:val="00B02B85"/>
    <w:rsid w:val="00B02CAE"/>
    <w:rsid w:val="00B032CF"/>
    <w:rsid w:val="00B040F4"/>
    <w:rsid w:val="00B06B54"/>
    <w:rsid w:val="00B06BAE"/>
    <w:rsid w:val="00B11766"/>
    <w:rsid w:val="00B13A45"/>
    <w:rsid w:val="00B13B3A"/>
    <w:rsid w:val="00B151B2"/>
    <w:rsid w:val="00B231CE"/>
    <w:rsid w:val="00B23B40"/>
    <w:rsid w:val="00B23DF3"/>
    <w:rsid w:val="00B25242"/>
    <w:rsid w:val="00B265AB"/>
    <w:rsid w:val="00B26C68"/>
    <w:rsid w:val="00B30010"/>
    <w:rsid w:val="00B30288"/>
    <w:rsid w:val="00B32436"/>
    <w:rsid w:val="00B4005A"/>
    <w:rsid w:val="00B40CD3"/>
    <w:rsid w:val="00B41390"/>
    <w:rsid w:val="00B44617"/>
    <w:rsid w:val="00B45E78"/>
    <w:rsid w:val="00B45FBC"/>
    <w:rsid w:val="00B46341"/>
    <w:rsid w:val="00B468D0"/>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672D9"/>
    <w:rsid w:val="00B756B8"/>
    <w:rsid w:val="00B76AE2"/>
    <w:rsid w:val="00B85752"/>
    <w:rsid w:val="00B863A6"/>
    <w:rsid w:val="00B94BF9"/>
    <w:rsid w:val="00B94C64"/>
    <w:rsid w:val="00B95E84"/>
    <w:rsid w:val="00B95F70"/>
    <w:rsid w:val="00BA09F8"/>
    <w:rsid w:val="00BA5821"/>
    <w:rsid w:val="00BA6518"/>
    <w:rsid w:val="00BB108F"/>
    <w:rsid w:val="00BC05AF"/>
    <w:rsid w:val="00BC27C7"/>
    <w:rsid w:val="00BC2B32"/>
    <w:rsid w:val="00BC5BFA"/>
    <w:rsid w:val="00BD0CB3"/>
    <w:rsid w:val="00BD1121"/>
    <w:rsid w:val="00BD1685"/>
    <w:rsid w:val="00BD516C"/>
    <w:rsid w:val="00BE0BE7"/>
    <w:rsid w:val="00BE13E7"/>
    <w:rsid w:val="00BE3075"/>
    <w:rsid w:val="00BE3CC2"/>
    <w:rsid w:val="00BF0146"/>
    <w:rsid w:val="00BF17E1"/>
    <w:rsid w:val="00BF3B10"/>
    <w:rsid w:val="00BF42DD"/>
    <w:rsid w:val="00C01777"/>
    <w:rsid w:val="00C03DC2"/>
    <w:rsid w:val="00C15776"/>
    <w:rsid w:val="00C17055"/>
    <w:rsid w:val="00C17592"/>
    <w:rsid w:val="00C17EAE"/>
    <w:rsid w:val="00C21C41"/>
    <w:rsid w:val="00C24B1F"/>
    <w:rsid w:val="00C25ACC"/>
    <w:rsid w:val="00C27B12"/>
    <w:rsid w:val="00C31EDE"/>
    <w:rsid w:val="00C3277B"/>
    <w:rsid w:val="00C40889"/>
    <w:rsid w:val="00C437F3"/>
    <w:rsid w:val="00C47094"/>
    <w:rsid w:val="00C500BF"/>
    <w:rsid w:val="00C50740"/>
    <w:rsid w:val="00C522BA"/>
    <w:rsid w:val="00C53D6F"/>
    <w:rsid w:val="00C543B6"/>
    <w:rsid w:val="00C54BFE"/>
    <w:rsid w:val="00C55F13"/>
    <w:rsid w:val="00C5715F"/>
    <w:rsid w:val="00C57BF0"/>
    <w:rsid w:val="00C65A0E"/>
    <w:rsid w:val="00C720A8"/>
    <w:rsid w:val="00C726FE"/>
    <w:rsid w:val="00C76FB3"/>
    <w:rsid w:val="00C7748D"/>
    <w:rsid w:val="00C8032B"/>
    <w:rsid w:val="00C82509"/>
    <w:rsid w:val="00C85199"/>
    <w:rsid w:val="00C8542E"/>
    <w:rsid w:val="00C87343"/>
    <w:rsid w:val="00C93ACD"/>
    <w:rsid w:val="00C971C0"/>
    <w:rsid w:val="00CA1800"/>
    <w:rsid w:val="00CA3D0A"/>
    <w:rsid w:val="00CA7917"/>
    <w:rsid w:val="00CB32A7"/>
    <w:rsid w:val="00CB754A"/>
    <w:rsid w:val="00CC108A"/>
    <w:rsid w:val="00CC7A02"/>
    <w:rsid w:val="00CD0B62"/>
    <w:rsid w:val="00CD1D09"/>
    <w:rsid w:val="00CD41B8"/>
    <w:rsid w:val="00CE2AC5"/>
    <w:rsid w:val="00CE3A02"/>
    <w:rsid w:val="00CE6404"/>
    <w:rsid w:val="00D019CC"/>
    <w:rsid w:val="00D01CF5"/>
    <w:rsid w:val="00D03039"/>
    <w:rsid w:val="00D05662"/>
    <w:rsid w:val="00D05BB6"/>
    <w:rsid w:val="00D05E6A"/>
    <w:rsid w:val="00D07A51"/>
    <w:rsid w:val="00D11E3A"/>
    <w:rsid w:val="00D16EC4"/>
    <w:rsid w:val="00D20E1D"/>
    <w:rsid w:val="00D27B21"/>
    <w:rsid w:val="00D27E99"/>
    <w:rsid w:val="00D301B6"/>
    <w:rsid w:val="00D3451B"/>
    <w:rsid w:val="00D36DE1"/>
    <w:rsid w:val="00D479D5"/>
    <w:rsid w:val="00D644FB"/>
    <w:rsid w:val="00D65D0E"/>
    <w:rsid w:val="00D76EC6"/>
    <w:rsid w:val="00D8490D"/>
    <w:rsid w:val="00D84BAC"/>
    <w:rsid w:val="00D85432"/>
    <w:rsid w:val="00D864C0"/>
    <w:rsid w:val="00D86876"/>
    <w:rsid w:val="00D87798"/>
    <w:rsid w:val="00D916AA"/>
    <w:rsid w:val="00D94F14"/>
    <w:rsid w:val="00D95C1E"/>
    <w:rsid w:val="00D97769"/>
    <w:rsid w:val="00DA3E01"/>
    <w:rsid w:val="00DA42B7"/>
    <w:rsid w:val="00DA7694"/>
    <w:rsid w:val="00DA7AAC"/>
    <w:rsid w:val="00DB1F2D"/>
    <w:rsid w:val="00DB1FA6"/>
    <w:rsid w:val="00DB39B3"/>
    <w:rsid w:val="00DB6B70"/>
    <w:rsid w:val="00DB77E5"/>
    <w:rsid w:val="00DC0068"/>
    <w:rsid w:val="00DC016F"/>
    <w:rsid w:val="00DC594F"/>
    <w:rsid w:val="00DC5D28"/>
    <w:rsid w:val="00DD0E92"/>
    <w:rsid w:val="00DD165B"/>
    <w:rsid w:val="00DD3B6E"/>
    <w:rsid w:val="00DD3C6D"/>
    <w:rsid w:val="00DD7541"/>
    <w:rsid w:val="00DD756E"/>
    <w:rsid w:val="00DE039D"/>
    <w:rsid w:val="00DE1A54"/>
    <w:rsid w:val="00DE3A43"/>
    <w:rsid w:val="00DE4719"/>
    <w:rsid w:val="00DF1F9C"/>
    <w:rsid w:val="00DF2594"/>
    <w:rsid w:val="00E02EDF"/>
    <w:rsid w:val="00E059A9"/>
    <w:rsid w:val="00E0755A"/>
    <w:rsid w:val="00E10EEA"/>
    <w:rsid w:val="00E15E54"/>
    <w:rsid w:val="00E16776"/>
    <w:rsid w:val="00E1692E"/>
    <w:rsid w:val="00E1729A"/>
    <w:rsid w:val="00E174AB"/>
    <w:rsid w:val="00E17E65"/>
    <w:rsid w:val="00E2050D"/>
    <w:rsid w:val="00E21FA6"/>
    <w:rsid w:val="00E251F7"/>
    <w:rsid w:val="00E3218C"/>
    <w:rsid w:val="00E32B77"/>
    <w:rsid w:val="00E34535"/>
    <w:rsid w:val="00E350CD"/>
    <w:rsid w:val="00E42454"/>
    <w:rsid w:val="00E437B4"/>
    <w:rsid w:val="00E4534A"/>
    <w:rsid w:val="00E454C2"/>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F72"/>
    <w:rsid w:val="00E84B55"/>
    <w:rsid w:val="00E870EB"/>
    <w:rsid w:val="00E90AFE"/>
    <w:rsid w:val="00EA0987"/>
    <w:rsid w:val="00EA4849"/>
    <w:rsid w:val="00EA5644"/>
    <w:rsid w:val="00EA6B24"/>
    <w:rsid w:val="00EB0CBE"/>
    <w:rsid w:val="00EB403B"/>
    <w:rsid w:val="00EB4AB3"/>
    <w:rsid w:val="00EB6C94"/>
    <w:rsid w:val="00EC48CC"/>
    <w:rsid w:val="00EC5C7D"/>
    <w:rsid w:val="00EC7850"/>
    <w:rsid w:val="00ED04F8"/>
    <w:rsid w:val="00ED252F"/>
    <w:rsid w:val="00ED46B6"/>
    <w:rsid w:val="00EE7401"/>
    <w:rsid w:val="00EF4407"/>
    <w:rsid w:val="00EF4C4C"/>
    <w:rsid w:val="00EF4E74"/>
    <w:rsid w:val="00EF68AC"/>
    <w:rsid w:val="00EF6EF1"/>
    <w:rsid w:val="00F00E47"/>
    <w:rsid w:val="00F01D36"/>
    <w:rsid w:val="00F03ABF"/>
    <w:rsid w:val="00F221DC"/>
    <w:rsid w:val="00F2398D"/>
    <w:rsid w:val="00F255FF"/>
    <w:rsid w:val="00F25A0A"/>
    <w:rsid w:val="00F2608D"/>
    <w:rsid w:val="00F35ACA"/>
    <w:rsid w:val="00F362EB"/>
    <w:rsid w:val="00F36521"/>
    <w:rsid w:val="00F36C83"/>
    <w:rsid w:val="00F41D83"/>
    <w:rsid w:val="00F43DE5"/>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32B8"/>
    <w:rsid w:val="00F741A7"/>
    <w:rsid w:val="00F92A4A"/>
    <w:rsid w:val="00F94D1E"/>
    <w:rsid w:val="00F9671E"/>
    <w:rsid w:val="00F9698D"/>
    <w:rsid w:val="00F96BC1"/>
    <w:rsid w:val="00FA0DDF"/>
    <w:rsid w:val="00FA147E"/>
    <w:rsid w:val="00FA2A00"/>
    <w:rsid w:val="00FA4B55"/>
    <w:rsid w:val="00FB1479"/>
    <w:rsid w:val="00FB1B6F"/>
    <w:rsid w:val="00FB1DB0"/>
    <w:rsid w:val="00FB31DF"/>
    <w:rsid w:val="00FB32ED"/>
    <w:rsid w:val="00FB50B1"/>
    <w:rsid w:val="00FB5BE0"/>
    <w:rsid w:val="00FC02A9"/>
    <w:rsid w:val="00FC060D"/>
    <w:rsid w:val="00FC1EA5"/>
    <w:rsid w:val="00FC4AEE"/>
    <w:rsid w:val="00FC5809"/>
    <w:rsid w:val="00FC672E"/>
    <w:rsid w:val="00FC6CE4"/>
    <w:rsid w:val="00FC7A6B"/>
    <w:rsid w:val="00FD1E6B"/>
    <w:rsid w:val="00FD247C"/>
    <w:rsid w:val="00FD2C12"/>
    <w:rsid w:val="00FD2E1C"/>
    <w:rsid w:val="00FD6FB2"/>
    <w:rsid w:val="00FE076C"/>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DB8D"/>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2023-06-20T18:30:00+00:00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799A1-3D91-454E-A7B3-082A6DC0DF19}">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92B36985-E7DB-43A1-A499-316A9BDDDF11}">
  <ds:schemaRefs>
    <ds:schemaRef ds:uri="http://schemas.openxmlformats.org/officeDocument/2006/bibliography"/>
  </ds:schemaRefs>
</ds:datastoreItem>
</file>

<file path=customXml/itemProps3.xml><?xml version="1.0" encoding="utf-8"?>
<ds:datastoreItem xmlns:ds="http://schemas.openxmlformats.org/officeDocument/2006/customXml" ds:itemID="{0ACB1A70-1983-447F-A431-DB845EA03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C388F-0CF8-4311-8EEE-EC1F2BE47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Bank of Namibia Limited v Goliath (SA 38-2023) [2023] NASC (21 June 2023)</dc:title>
  <dc:creator>David</dc:creator>
  <cp:lastModifiedBy>Mariana Anguelov</cp:lastModifiedBy>
  <cp:revision>10</cp:revision>
  <cp:lastPrinted>2023-06-20T08:42:00Z</cp:lastPrinted>
  <dcterms:created xsi:type="dcterms:W3CDTF">2023-06-20T07:25:00Z</dcterms:created>
  <dcterms:modified xsi:type="dcterms:W3CDTF">2023-06-26T17:09:00Z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